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A2" w:rsidRDefault="00B223A2" w:rsidP="009320FE">
      <w:pPr>
        <w:spacing w:after="0" w:line="360" w:lineRule="auto"/>
        <w:jc w:val="center"/>
        <w:rPr>
          <w:rFonts w:ascii="Arial" w:hAnsi="Arial" w:cs="Arial"/>
          <w:lang w:val="en-ZA"/>
        </w:rPr>
      </w:pPr>
      <w:r>
        <w:rPr>
          <w:rFonts w:ascii="Arial" w:hAnsi="Arial" w:cs="Arial"/>
          <w:noProof/>
          <w:sz w:val="18"/>
          <w:szCs w:val="18"/>
          <w:lang w:val="en-ZA" w:eastAsia="en-ZA"/>
        </w:rPr>
        <w:drawing>
          <wp:inline distT="0" distB="0" distL="0" distR="0" wp14:anchorId="07B4EE60" wp14:editId="43298994">
            <wp:extent cx="1112686" cy="103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827" cy="1037982"/>
                    </a:xfrm>
                    <a:prstGeom prst="rect">
                      <a:avLst/>
                    </a:prstGeom>
                    <a:noFill/>
                    <a:ln>
                      <a:noFill/>
                    </a:ln>
                  </pic:spPr>
                </pic:pic>
              </a:graphicData>
            </a:graphic>
          </wp:inline>
        </w:drawing>
      </w:r>
    </w:p>
    <w:p w:rsidR="00B223A2" w:rsidRPr="00177A1D" w:rsidRDefault="00B223A2" w:rsidP="009320FE">
      <w:pPr>
        <w:spacing w:after="0" w:line="360" w:lineRule="auto"/>
        <w:contextualSpacing/>
        <w:jc w:val="center"/>
        <w:rPr>
          <w:rFonts w:ascii="Arial" w:hAnsi="Arial" w:cs="Arial"/>
          <w:b/>
          <w:sz w:val="24"/>
          <w:lang w:val="en-ZA"/>
        </w:rPr>
      </w:pPr>
      <w:r w:rsidRPr="00177A1D">
        <w:rPr>
          <w:rFonts w:ascii="Arial" w:hAnsi="Arial" w:cs="Arial"/>
          <w:b/>
          <w:sz w:val="24"/>
          <w:lang w:val="en-ZA"/>
        </w:rPr>
        <w:t>IN THE HIGH COURT OF SOUTH AFRICA</w:t>
      </w:r>
    </w:p>
    <w:p w:rsidR="00B223A2" w:rsidRPr="00177A1D" w:rsidRDefault="00B223A2" w:rsidP="009320FE">
      <w:pPr>
        <w:spacing w:after="0" w:line="360" w:lineRule="auto"/>
        <w:contextualSpacing/>
        <w:jc w:val="center"/>
        <w:rPr>
          <w:rFonts w:ascii="Arial" w:hAnsi="Arial" w:cs="Arial"/>
          <w:b/>
          <w:sz w:val="24"/>
          <w:lang w:val="en-ZA"/>
        </w:rPr>
      </w:pPr>
      <w:r w:rsidRPr="00177A1D">
        <w:rPr>
          <w:rFonts w:ascii="Arial" w:hAnsi="Arial" w:cs="Arial"/>
          <w:b/>
          <w:sz w:val="24"/>
          <w:lang w:val="en-ZA"/>
        </w:rPr>
        <w:t>KWAZULU-NATAL DIVISION, PIETERMARITZBURG</w:t>
      </w:r>
    </w:p>
    <w:p w:rsidR="00B223A2" w:rsidRPr="00177A1D" w:rsidRDefault="00B223A2" w:rsidP="009320FE">
      <w:pPr>
        <w:spacing w:after="0" w:line="360" w:lineRule="auto"/>
        <w:contextualSpacing/>
        <w:rPr>
          <w:rFonts w:ascii="Arial" w:hAnsi="Arial" w:cs="Arial"/>
          <w:sz w:val="24"/>
          <w:lang w:val="en-ZA"/>
        </w:rPr>
      </w:pPr>
      <w:r w:rsidRPr="00177A1D">
        <w:rPr>
          <w:rFonts w:ascii="Arial" w:hAnsi="Arial" w:cs="Arial"/>
          <w:sz w:val="24"/>
          <w:lang w:val="en-ZA"/>
        </w:rPr>
        <w:tab/>
      </w:r>
      <w:r w:rsidRPr="00177A1D">
        <w:rPr>
          <w:rFonts w:ascii="Arial" w:hAnsi="Arial" w:cs="Arial"/>
          <w:sz w:val="24"/>
          <w:lang w:val="en-ZA"/>
        </w:rPr>
        <w:tab/>
      </w:r>
    </w:p>
    <w:p w:rsidR="00B223A2" w:rsidRPr="00177A1D" w:rsidRDefault="00B223A2" w:rsidP="009320FE">
      <w:pPr>
        <w:spacing w:after="0" w:line="360" w:lineRule="auto"/>
        <w:contextualSpacing/>
        <w:rPr>
          <w:rFonts w:ascii="Arial" w:hAnsi="Arial" w:cs="Arial"/>
          <w:sz w:val="24"/>
          <w:lang w:val="en-ZA"/>
        </w:rPr>
      </w:pPr>
      <w:r w:rsidRPr="00177A1D">
        <w:rPr>
          <w:rFonts w:ascii="Arial" w:hAnsi="Arial" w:cs="Arial"/>
          <w:sz w:val="24"/>
          <w:lang w:val="en-ZA"/>
        </w:rPr>
        <w:tab/>
      </w:r>
      <w:r w:rsidRPr="00177A1D">
        <w:rPr>
          <w:rFonts w:ascii="Arial" w:hAnsi="Arial" w:cs="Arial"/>
          <w:sz w:val="24"/>
          <w:lang w:val="en-ZA"/>
        </w:rPr>
        <w:tab/>
      </w:r>
      <w:r w:rsidRPr="00177A1D">
        <w:rPr>
          <w:rFonts w:ascii="Arial" w:hAnsi="Arial" w:cs="Arial"/>
          <w:sz w:val="24"/>
          <w:lang w:val="en-ZA"/>
        </w:rPr>
        <w:tab/>
      </w:r>
      <w:r w:rsidRPr="00177A1D">
        <w:rPr>
          <w:rFonts w:ascii="Arial" w:hAnsi="Arial" w:cs="Arial"/>
          <w:sz w:val="24"/>
          <w:lang w:val="en-ZA"/>
        </w:rPr>
        <w:tab/>
      </w:r>
      <w:r w:rsidRPr="00177A1D">
        <w:rPr>
          <w:rFonts w:ascii="Arial" w:hAnsi="Arial" w:cs="Arial"/>
          <w:sz w:val="24"/>
          <w:lang w:val="en-ZA"/>
        </w:rPr>
        <w:tab/>
      </w:r>
      <w:r w:rsidRPr="00177A1D">
        <w:rPr>
          <w:rFonts w:ascii="Arial" w:hAnsi="Arial" w:cs="Arial"/>
          <w:sz w:val="24"/>
          <w:lang w:val="en-ZA"/>
        </w:rPr>
        <w:tab/>
      </w:r>
      <w:r w:rsidRPr="00177A1D">
        <w:rPr>
          <w:rFonts w:ascii="Arial" w:hAnsi="Arial" w:cs="Arial"/>
          <w:sz w:val="24"/>
          <w:lang w:val="en-ZA"/>
        </w:rPr>
        <w:tab/>
      </w:r>
      <w:r w:rsidRPr="00177A1D">
        <w:rPr>
          <w:rFonts w:ascii="Arial" w:hAnsi="Arial" w:cs="Arial"/>
          <w:sz w:val="24"/>
          <w:lang w:val="en-ZA"/>
        </w:rPr>
        <w:tab/>
        <w:t xml:space="preserve">          </w:t>
      </w:r>
      <w:r w:rsidR="0026216B" w:rsidRPr="00177A1D">
        <w:rPr>
          <w:rFonts w:ascii="Arial" w:hAnsi="Arial" w:cs="Arial"/>
          <w:sz w:val="24"/>
          <w:lang w:val="en-ZA"/>
        </w:rPr>
        <w:t>CASE NO. AR191/2020</w:t>
      </w:r>
    </w:p>
    <w:p w:rsidR="00B223A2" w:rsidRPr="00177A1D" w:rsidRDefault="00B223A2" w:rsidP="009320FE">
      <w:pPr>
        <w:spacing w:after="0" w:line="360" w:lineRule="auto"/>
        <w:contextualSpacing/>
        <w:rPr>
          <w:rFonts w:ascii="Arial" w:hAnsi="Arial" w:cs="Arial"/>
          <w:sz w:val="24"/>
          <w:lang w:val="en-ZA"/>
        </w:rPr>
      </w:pPr>
      <w:r w:rsidRPr="00177A1D">
        <w:rPr>
          <w:rFonts w:ascii="Arial" w:hAnsi="Arial" w:cs="Arial"/>
          <w:sz w:val="24"/>
          <w:lang w:val="en-ZA"/>
        </w:rPr>
        <w:t>In the matter between:</w:t>
      </w:r>
    </w:p>
    <w:p w:rsidR="009320FE" w:rsidRPr="00177A1D" w:rsidRDefault="009320FE" w:rsidP="009320FE">
      <w:pPr>
        <w:spacing w:after="0" w:line="360" w:lineRule="auto"/>
        <w:contextualSpacing/>
        <w:rPr>
          <w:rFonts w:ascii="Arial" w:hAnsi="Arial" w:cs="Arial"/>
          <w:b/>
          <w:sz w:val="24"/>
          <w:lang w:val="en-ZA"/>
        </w:rPr>
      </w:pPr>
    </w:p>
    <w:p w:rsidR="00B223A2" w:rsidRPr="00177A1D" w:rsidRDefault="0026216B" w:rsidP="009320FE">
      <w:pPr>
        <w:spacing w:after="0" w:line="360" w:lineRule="auto"/>
        <w:contextualSpacing/>
        <w:rPr>
          <w:rFonts w:ascii="Arial" w:hAnsi="Arial" w:cs="Arial"/>
          <w:b/>
          <w:sz w:val="24"/>
          <w:lang w:val="en-ZA"/>
        </w:rPr>
      </w:pPr>
      <w:r w:rsidRPr="00177A1D">
        <w:rPr>
          <w:rFonts w:ascii="Arial" w:hAnsi="Arial" w:cs="Arial"/>
          <w:b/>
          <w:sz w:val="24"/>
          <w:lang w:val="en-ZA"/>
        </w:rPr>
        <w:t>MASIBONGWE MSOMI</w:t>
      </w:r>
      <w:r w:rsidR="00B223A2" w:rsidRPr="00177A1D">
        <w:rPr>
          <w:rFonts w:ascii="Arial" w:hAnsi="Arial" w:cs="Arial"/>
          <w:b/>
          <w:sz w:val="24"/>
          <w:lang w:val="en-ZA"/>
        </w:rPr>
        <w:tab/>
      </w:r>
      <w:r w:rsidR="00B223A2" w:rsidRPr="00177A1D">
        <w:rPr>
          <w:rFonts w:ascii="Arial" w:hAnsi="Arial" w:cs="Arial"/>
          <w:b/>
          <w:sz w:val="24"/>
          <w:lang w:val="en-ZA"/>
        </w:rPr>
        <w:tab/>
      </w:r>
      <w:r w:rsidR="00B223A2" w:rsidRPr="00177A1D">
        <w:rPr>
          <w:rFonts w:ascii="Arial" w:hAnsi="Arial" w:cs="Arial"/>
          <w:b/>
          <w:sz w:val="24"/>
          <w:lang w:val="en-ZA"/>
        </w:rPr>
        <w:tab/>
      </w:r>
      <w:r w:rsidR="00B223A2" w:rsidRPr="00177A1D">
        <w:rPr>
          <w:rFonts w:ascii="Arial" w:hAnsi="Arial" w:cs="Arial"/>
          <w:b/>
          <w:sz w:val="24"/>
          <w:lang w:val="en-ZA"/>
        </w:rPr>
        <w:tab/>
        <w:t xml:space="preserve">  </w:t>
      </w:r>
      <w:r w:rsidR="00B223A2" w:rsidRPr="00177A1D">
        <w:rPr>
          <w:rFonts w:ascii="Arial" w:hAnsi="Arial" w:cs="Arial"/>
          <w:b/>
          <w:sz w:val="24"/>
          <w:lang w:val="en-ZA"/>
        </w:rPr>
        <w:tab/>
        <w:t xml:space="preserve">     </w:t>
      </w:r>
      <w:r w:rsidR="00B223A2" w:rsidRPr="00177A1D">
        <w:rPr>
          <w:rFonts w:ascii="Arial" w:hAnsi="Arial" w:cs="Arial"/>
          <w:b/>
          <w:sz w:val="24"/>
          <w:lang w:val="en-ZA"/>
        </w:rPr>
        <w:tab/>
        <w:t xml:space="preserve">           </w:t>
      </w:r>
      <w:r w:rsidR="009E5C67">
        <w:rPr>
          <w:rFonts w:ascii="Arial" w:hAnsi="Arial" w:cs="Arial"/>
          <w:b/>
          <w:sz w:val="24"/>
          <w:lang w:val="en-ZA"/>
        </w:rPr>
        <w:t xml:space="preserve"> </w:t>
      </w:r>
      <w:r w:rsidR="00B223A2" w:rsidRPr="00177A1D">
        <w:rPr>
          <w:rFonts w:ascii="Arial" w:hAnsi="Arial" w:cs="Arial"/>
          <w:b/>
          <w:sz w:val="24"/>
          <w:lang w:val="en-ZA"/>
        </w:rPr>
        <w:t xml:space="preserve"> APPELLANT</w:t>
      </w:r>
    </w:p>
    <w:p w:rsidR="009320FE" w:rsidRPr="00177A1D" w:rsidRDefault="009320FE" w:rsidP="009320FE">
      <w:pPr>
        <w:spacing w:after="0" w:line="360" w:lineRule="auto"/>
        <w:contextualSpacing/>
        <w:rPr>
          <w:rFonts w:ascii="Arial" w:hAnsi="Arial" w:cs="Arial"/>
          <w:sz w:val="24"/>
          <w:lang w:val="en-ZA"/>
        </w:rPr>
      </w:pPr>
    </w:p>
    <w:p w:rsidR="00B223A2" w:rsidRPr="00177A1D" w:rsidRDefault="00B223A2" w:rsidP="009320FE">
      <w:pPr>
        <w:spacing w:after="0" w:line="360" w:lineRule="auto"/>
        <w:contextualSpacing/>
        <w:rPr>
          <w:rFonts w:ascii="Arial" w:hAnsi="Arial" w:cs="Arial"/>
          <w:sz w:val="24"/>
          <w:lang w:val="en-ZA"/>
        </w:rPr>
      </w:pPr>
      <w:r w:rsidRPr="00177A1D">
        <w:rPr>
          <w:rFonts w:ascii="Arial" w:hAnsi="Arial" w:cs="Arial"/>
          <w:sz w:val="24"/>
          <w:lang w:val="en-ZA"/>
        </w:rPr>
        <w:t>and</w:t>
      </w:r>
    </w:p>
    <w:p w:rsidR="009320FE" w:rsidRPr="00177A1D" w:rsidRDefault="009320FE" w:rsidP="009320FE">
      <w:pPr>
        <w:spacing w:after="0" w:line="360" w:lineRule="auto"/>
        <w:contextualSpacing/>
        <w:rPr>
          <w:rFonts w:ascii="Arial" w:hAnsi="Arial" w:cs="Arial"/>
          <w:b/>
          <w:sz w:val="24"/>
          <w:lang w:val="en-ZA"/>
        </w:rPr>
      </w:pPr>
    </w:p>
    <w:p w:rsidR="004F79FF" w:rsidRPr="00177A1D" w:rsidRDefault="00B223A2" w:rsidP="009320FE">
      <w:pPr>
        <w:spacing w:after="0" w:line="360" w:lineRule="auto"/>
        <w:contextualSpacing/>
        <w:rPr>
          <w:rFonts w:ascii="Arial" w:hAnsi="Arial" w:cs="Arial"/>
          <w:b/>
          <w:sz w:val="24"/>
          <w:lang w:val="en-ZA"/>
        </w:rPr>
      </w:pPr>
      <w:r w:rsidRPr="00177A1D">
        <w:rPr>
          <w:rFonts w:ascii="Arial" w:hAnsi="Arial" w:cs="Arial"/>
          <w:b/>
          <w:sz w:val="24"/>
          <w:lang w:val="en-ZA"/>
        </w:rPr>
        <w:t>THE STATE</w:t>
      </w:r>
      <w:r w:rsidRPr="00177A1D">
        <w:rPr>
          <w:rFonts w:ascii="Arial" w:hAnsi="Arial" w:cs="Arial"/>
          <w:b/>
          <w:sz w:val="24"/>
          <w:lang w:val="en-ZA"/>
        </w:rPr>
        <w:tab/>
      </w:r>
      <w:r w:rsidRPr="00177A1D">
        <w:rPr>
          <w:rFonts w:ascii="Arial" w:hAnsi="Arial" w:cs="Arial"/>
          <w:b/>
          <w:sz w:val="24"/>
          <w:lang w:val="en-ZA"/>
        </w:rPr>
        <w:tab/>
      </w:r>
      <w:r w:rsidRPr="00177A1D">
        <w:rPr>
          <w:rFonts w:ascii="Arial" w:hAnsi="Arial" w:cs="Arial"/>
          <w:b/>
          <w:sz w:val="24"/>
          <w:lang w:val="en-ZA"/>
        </w:rPr>
        <w:tab/>
      </w:r>
      <w:r w:rsidRPr="00177A1D">
        <w:rPr>
          <w:rFonts w:ascii="Arial" w:hAnsi="Arial" w:cs="Arial"/>
          <w:b/>
          <w:sz w:val="24"/>
          <w:lang w:val="en-ZA"/>
        </w:rPr>
        <w:tab/>
      </w:r>
      <w:r w:rsidRPr="00177A1D">
        <w:rPr>
          <w:rFonts w:ascii="Arial" w:hAnsi="Arial" w:cs="Arial"/>
          <w:b/>
          <w:sz w:val="24"/>
          <w:lang w:val="en-ZA"/>
        </w:rPr>
        <w:tab/>
      </w:r>
      <w:r w:rsidRPr="00177A1D">
        <w:rPr>
          <w:rFonts w:ascii="Arial" w:hAnsi="Arial" w:cs="Arial"/>
          <w:b/>
          <w:sz w:val="24"/>
          <w:lang w:val="en-ZA"/>
        </w:rPr>
        <w:tab/>
      </w:r>
      <w:r w:rsidRPr="00177A1D">
        <w:rPr>
          <w:rFonts w:ascii="Arial" w:hAnsi="Arial" w:cs="Arial"/>
          <w:b/>
          <w:sz w:val="24"/>
          <w:lang w:val="en-ZA"/>
        </w:rPr>
        <w:tab/>
      </w:r>
      <w:r w:rsidRPr="00177A1D">
        <w:rPr>
          <w:rFonts w:ascii="Arial" w:hAnsi="Arial" w:cs="Arial"/>
          <w:b/>
          <w:sz w:val="24"/>
          <w:lang w:val="en-ZA"/>
        </w:rPr>
        <w:tab/>
        <w:t xml:space="preserve">             </w:t>
      </w:r>
      <w:r w:rsidR="004F79FF" w:rsidRPr="00177A1D">
        <w:rPr>
          <w:rFonts w:ascii="Arial" w:hAnsi="Arial" w:cs="Arial"/>
          <w:b/>
          <w:sz w:val="24"/>
          <w:lang w:val="en-ZA"/>
        </w:rPr>
        <w:t>RESPONDENT</w:t>
      </w:r>
    </w:p>
    <w:p w:rsidR="00B223A2" w:rsidRPr="00806108" w:rsidRDefault="00B223A2" w:rsidP="00B223A2">
      <w:pPr>
        <w:pBdr>
          <w:bottom w:val="single" w:sz="12" w:space="1" w:color="auto"/>
        </w:pBdr>
        <w:rPr>
          <w:rFonts w:ascii="Arial" w:hAnsi="Arial" w:cs="Arial"/>
          <w:b/>
          <w:highlight w:val="yellow"/>
          <w:lang w:val="en-ZA"/>
        </w:rPr>
      </w:pPr>
    </w:p>
    <w:p w:rsidR="00B223A2" w:rsidRPr="009320FE" w:rsidRDefault="00B223A2" w:rsidP="009320FE">
      <w:pPr>
        <w:spacing w:after="0" w:line="360" w:lineRule="auto"/>
        <w:contextualSpacing/>
        <w:jc w:val="center"/>
        <w:rPr>
          <w:rFonts w:ascii="Arial" w:hAnsi="Arial" w:cs="Arial"/>
          <w:b/>
          <w:sz w:val="24"/>
          <w:highlight w:val="yellow"/>
          <w:lang w:val="en-ZA"/>
        </w:rPr>
      </w:pPr>
    </w:p>
    <w:p w:rsidR="00B223A2" w:rsidRPr="009320FE" w:rsidRDefault="004F79FF" w:rsidP="009320FE">
      <w:pPr>
        <w:spacing w:after="0" w:line="360" w:lineRule="auto"/>
        <w:contextualSpacing/>
        <w:jc w:val="center"/>
        <w:rPr>
          <w:rFonts w:ascii="Arial" w:hAnsi="Arial" w:cs="Arial"/>
          <w:b/>
          <w:sz w:val="24"/>
          <w:lang w:val="en-ZA"/>
        </w:rPr>
      </w:pPr>
      <w:r w:rsidRPr="009320FE">
        <w:rPr>
          <w:rFonts w:ascii="Arial" w:hAnsi="Arial" w:cs="Arial"/>
          <w:b/>
          <w:sz w:val="24"/>
          <w:lang w:val="en-ZA"/>
        </w:rPr>
        <w:t>ORDER</w:t>
      </w:r>
    </w:p>
    <w:p w:rsidR="00B223A2" w:rsidRPr="004F79FF" w:rsidRDefault="00B223A2" w:rsidP="004F79FF">
      <w:pPr>
        <w:pBdr>
          <w:bottom w:val="single" w:sz="12" w:space="1" w:color="auto"/>
        </w:pBdr>
        <w:spacing w:line="360" w:lineRule="auto"/>
        <w:jc w:val="center"/>
        <w:rPr>
          <w:rFonts w:ascii="Arial" w:hAnsi="Arial" w:cs="Arial"/>
          <w:b/>
          <w:sz w:val="16"/>
          <w:szCs w:val="16"/>
          <w:lang w:val="en-ZA"/>
        </w:rPr>
      </w:pP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p>
    <w:p w:rsidR="00821742" w:rsidRPr="009320FE" w:rsidRDefault="004F79FF" w:rsidP="009320FE">
      <w:pPr>
        <w:spacing w:after="0" w:line="360" w:lineRule="auto"/>
        <w:contextualSpacing/>
        <w:jc w:val="both"/>
        <w:rPr>
          <w:rFonts w:ascii="Arial" w:hAnsi="Arial" w:cs="Arial"/>
          <w:sz w:val="24"/>
          <w:szCs w:val="24"/>
        </w:rPr>
      </w:pPr>
      <w:r w:rsidRPr="00177A1D">
        <w:rPr>
          <w:rFonts w:ascii="Arial" w:hAnsi="Arial" w:cs="Arial"/>
          <w:b/>
          <w:sz w:val="24"/>
          <w:szCs w:val="24"/>
        </w:rPr>
        <w:t xml:space="preserve">On </w:t>
      </w:r>
      <w:r w:rsidR="00177A1D" w:rsidRPr="00177A1D">
        <w:rPr>
          <w:rFonts w:ascii="Arial" w:hAnsi="Arial" w:cs="Arial"/>
          <w:b/>
          <w:sz w:val="24"/>
          <w:szCs w:val="24"/>
        </w:rPr>
        <w:t xml:space="preserve">appeal </w:t>
      </w:r>
      <w:r w:rsidRPr="00177A1D">
        <w:rPr>
          <w:rFonts w:ascii="Arial" w:hAnsi="Arial" w:cs="Arial"/>
          <w:b/>
          <w:sz w:val="24"/>
          <w:szCs w:val="24"/>
        </w:rPr>
        <w:t>from:</w:t>
      </w:r>
      <w:r w:rsidRPr="009320FE">
        <w:rPr>
          <w:rFonts w:ascii="Arial" w:hAnsi="Arial" w:cs="Arial"/>
          <w:sz w:val="24"/>
          <w:szCs w:val="24"/>
        </w:rPr>
        <w:t xml:space="preserve"> Umzimkulu Regional Court (</w:t>
      </w:r>
      <w:r w:rsidR="00177A1D" w:rsidRPr="009320FE">
        <w:rPr>
          <w:rFonts w:ascii="Arial" w:hAnsi="Arial" w:cs="Arial"/>
          <w:sz w:val="24"/>
          <w:szCs w:val="24"/>
        </w:rPr>
        <w:t xml:space="preserve">sitting </w:t>
      </w:r>
      <w:r w:rsidRPr="009320FE">
        <w:rPr>
          <w:rFonts w:ascii="Arial" w:hAnsi="Arial" w:cs="Arial"/>
          <w:sz w:val="24"/>
          <w:szCs w:val="24"/>
        </w:rPr>
        <w:t xml:space="preserve">as </w:t>
      </w:r>
      <w:r w:rsidR="00177A1D" w:rsidRPr="009320FE">
        <w:rPr>
          <w:rFonts w:ascii="Arial" w:hAnsi="Arial" w:cs="Arial"/>
          <w:sz w:val="24"/>
          <w:szCs w:val="24"/>
        </w:rPr>
        <w:t>court of first instance</w:t>
      </w:r>
      <w:r w:rsidR="00821742" w:rsidRPr="009320FE">
        <w:rPr>
          <w:rFonts w:ascii="Arial" w:hAnsi="Arial" w:cs="Arial"/>
          <w:sz w:val="24"/>
          <w:szCs w:val="24"/>
        </w:rPr>
        <w:t>)</w:t>
      </w:r>
      <w:r w:rsidR="00177A1D">
        <w:rPr>
          <w:rFonts w:ascii="Arial" w:hAnsi="Arial" w:cs="Arial"/>
          <w:sz w:val="24"/>
          <w:szCs w:val="24"/>
        </w:rPr>
        <w:t>:</w:t>
      </w:r>
    </w:p>
    <w:p w:rsidR="008E7784" w:rsidRPr="009320FE" w:rsidRDefault="008E7784" w:rsidP="008E7784">
      <w:pPr>
        <w:spacing w:after="0" w:line="360" w:lineRule="auto"/>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9320FE">
        <w:rPr>
          <w:rFonts w:ascii="Arial" w:hAnsi="Arial" w:cs="Arial"/>
          <w:sz w:val="24"/>
          <w:szCs w:val="24"/>
        </w:rPr>
        <w:t>The appeal against conviction is dismissed</w:t>
      </w:r>
      <w:r w:rsidR="004C747B">
        <w:rPr>
          <w:rFonts w:ascii="Arial" w:hAnsi="Arial" w:cs="Arial"/>
          <w:sz w:val="24"/>
          <w:szCs w:val="24"/>
        </w:rPr>
        <w:t>.</w:t>
      </w:r>
      <w:r w:rsidRPr="009320FE">
        <w:rPr>
          <w:rFonts w:ascii="Arial" w:hAnsi="Arial" w:cs="Arial"/>
          <w:sz w:val="24"/>
          <w:szCs w:val="24"/>
        </w:rPr>
        <w:t xml:space="preserve"> </w:t>
      </w:r>
    </w:p>
    <w:p w:rsidR="008E7784" w:rsidRPr="009320FE" w:rsidRDefault="008E7784" w:rsidP="008E7784">
      <w:pPr>
        <w:spacing w:after="0" w:line="36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320FE">
        <w:rPr>
          <w:rFonts w:ascii="Arial" w:hAnsi="Arial" w:cs="Arial"/>
          <w:sz w:val="24"/>
          <w:szCs w:val="24"/>
        </w:rPr>
        <w:t xml:space="preserve">The appeal against sentence is upheld. </w:t>
      </w:r>
    </w:p>
    <w:p w:rsidR="008E7784" w:rsidRPr="009320FE" w:rsidRDefault="008E7784" w:rsidP="008E7784">
      <w:pPr>
        <w:spacing w:after="0" w:line="36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9320FE">
        <w:rPr>
          <w:rFonts w:ascii="Arial" w:hAnsi="Arial" w:cs="Arial"/>
          <w:sz w:val="24"/>
          <w:szCs w:val="24"/>
        </w:rPr>
        <w:t>The sentence imposed by the regional court is set aside and substituted with          a sentence of 25 years’ imprisonment.</w:t>
      </w:r>
    </w:p>
    <w:p w:rsidR="008E7784" w:rsidRPr="009320FE" w:rsidRDefault="008E7784" w:rsidP="008E7784">
      <w:pPr>
        <w:spacing w:after="0"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9320FE">
        <w:rPr>
          <w:rFonts w:ascii="Arial" w:hAnsi="Arial" w:cs="Arial"/>
          <w:sz w:val="24"/>
          <w:szCs w:val="24"/>
        </w:rPr>
        <w:t>The sentence is antedated to 27 June 2018, in terms of section 282 of the Criminal Procedure Act 51 of 1977.</w:t>
      </w:r>
    </w:p>
    <w:p w:rsidR="00B223A2" w:rsidRPr="0031584C" w:rsidRDefault="00B223A2" w:rsidP="00B223A2">
      <w:pPr>
        <w:pBdr>
          <w:bottom w:val="single" w:sz="12" w:space="1" w:color="auto"/>
        </w:pBdr>
        <w:spacing w:line="360" w:lineRule="auto"/>
        <w:ind w:left="720" w:hanging="720"/>
        <w:rPr>
          <w:rFonts w:ascii="Arial" w:hAnsi="Arial" w:cs="Arial"/>
          <w:lang w:val="en-ZA"/>
        </w:rPr>
      </w:pPr>
      <w:r>
        <w:rPr>
          <w:rFonts w:ascii="Arial" w:hAnsi="Arial" w:cs="Arial"/>
        </w:rPr>
        <w:t xml:space="preserve"> </w:t>
      </w:r>
      <w:r>
        <w:rPr>
          <w:rFonts w:ascii="Arial" w:hAnsi="Arial" w:cs="Arial"/>
          <w:b/>
          <w:lang w:val="en-ZA"/>
        </w:rPr>
        <w:tab/>
      </w:r>
      <w:r w:rsidRPr="0031584C">
        <w:rPr>
          <w:rFonts w:ascii="Arial" w:hAnsi="Arial" w:cs="Arial"/>
          <w:lang w:val="en-ZA"/>
        </w:rPr>
        <w:tab/>
      </w:r>
    </w:p>
    <w:p w:rsidR="00B223A2" w:rsidRPr="009320FE" w:rsidRDefault="00B223A2" w:rsidP="009320FE">
      <w:pPr>
        <w:spacing w:after="0" w:line="360" w:lineRule="auto"/>
        <w:contextualSpacing/>
        <w:jc w:val="center"/>
        <w:rPr>
          <w:rFonts w:ascii="Arial" w:hAnsi="Arial" w:cs="Arial"/>
          <w:b/>
          <w:sz w:val="24"/>
          <w:szCs w:val="24"/>
          <w:highlight w:val="yellow"/>
          <w:lang w:val="en-ZA"/>
        </w:rPr>
      </w:pPr>
    </w:p>
    <w:p w:rsidR="00B223A2" w:rsidRPr="009320FE" w:rsidRDefault="00B223A2" w:rsidP="009320FE">
      <w:pPr>
        <w:spacing w:after="0" w:line="360" w:lineRule="auto"/>
        <w:contextualSpacing/>
        <w:jc w:val="center"/>
        <w:rPr>
          <w:rFonts w:ascii="Arial" w:hAnsi="Arial" w:cs="Arial"/>
          <w:b/>
          <w:sz w:val="24"/>
          <w:szCs w:val="24"/>
          <w:lang w:val="en-ZA"/>
        </w:rPr>
      </w:pPr>
      <w:r w:rsidRPr="009320FE">
        <w:rPr>
          <w:rFonts w:ascii="Arial" w:hAnsi="Arial" w:cs="Arial"/>
          <w:b/>
          <w:sz w:val="24"/>
          <w:szCs w:val="24"/>
          <w:lang w:val="en-ZA"/>
        </w:rPr>
        <w:t>JUDGMENT</w:t>
      </w:r>
    </w:p>
    <w:p w:rsidR="00B223A2" w:rsidRPr="00806108" w:rsidRDefault="00B223A2" w:rsidP="009320FE">
      <w:pPr>
        <w:pBdr>
          <w:bottom w:val="single" w:sz="12" w:space="1" w:color="auto"/>
        </w:pBdr>
        <w:spacing w:after="0" w:line="360" w:lineRule="auto"/>
        <w:contextualSpacing/>
        <w:jc w:val="center"/>
        <w:rPr>
          <w:rFonts w:ascii="Arial" w:hAnsi="Arial" w:cs="Arial"/>
          <w:b/>
          <w:sz w:val="16"/>
          <w:szCs w:val="16"/>
          <w:lang w:val="en-ZA"/>
        </w:rPr>
      </w:pP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lang w:val="en-ZA"/>
        </w:rPr>
        <w:tab/>
      </w:r>
      <w:r w:rsidRPr="00806108">
        <w:rPr>
          <w:rFonts w:ascii="Arial" w:hAnsi="Arial" w:cs="Arial"/>
          <w:b/>
          <w:sz w:val="16"/>
          <w:szCs w:val="16"/>
          <w:lang w:val="en-ZA"/>
        </w:rPr>
        <w:t xml:space="preserve"> </w:t>
      </w:r>
    </w:p>
    <w:p w:rsidR="00C36F01" w:rsidRDefault="00C36F01" w:rsidP="00B223A2">
      <w:pPr>
        <w:spacing w:line="360" w:lineRule="auto"/>
        <w:rPr>
          <w:rFonts w:ascii="Arial" w:hAnsi="Arial" w:cs="Arial"/>
          <w:b/>
        </w:rPr>
      </w:pPr>
    </w:p>
    <w:p w:rsidR="00B223A2" w:rsidRDefault="00B223A2" w:rsidP="00B223A2">
      <w:pPr>
        <w:spacing w:line="360" w:lineRule="auto"/>
        <w:rPr>
          <w:rFonts w:ascii="Arial" w:hAnsi="Arial" w:cs="Arial"/>
          <w:b/>
        </w:rPr>
      </w:pPr>
      <w:r>
        <w:rPr>
          <w:rFonts w:ascii="Arial" w:hAnsi="Arial" w:cs="Arial"/>
          <w:b/>
        </w:rPr>
        <w:t>Khallil AJ</w:t>
      </w:r>
      <w:r w:rsidRPr="00806108">
        <w:rPr>
          <w:rFonts w:ascii="Arial" w:hAnsi="Arial" w:cs="Arial"/>
          <w:b/>
        </w:rPr>
        <w:t xml:space="preserve"> (</w:t>
      </w:r>
      <w:r>
        <w:rPr>
          <w:rFonts w:ascii="Arial" w:hAnsi="Arial" w:cs="Arial"/>
          <w:b/>
        </w:rPr>
        <w:t xml:space="preserve">Seegobin </w:t>
      </w:r>
      <w:r w:rsidRPr="00806108">
        <w:rPr>
          <w:rFonts w:ascii="Arial" w:hAnsi="Arial" w:cs="Arial"/>
          <w:b/>
        </w:rPr>
        <w:t>J concurring)</w:t>
      </w:r>
    </w:p>
    <w:p w:rsidR="001F5636" w:rsidRDefault="004F79FF" w:rsidP="009320FE">
      <w:pPr>
        <w:spacing w:after="0" w:line="360" w:lineRule="auto"/>
        <w:contextualSpacing/>
        <w:rPr>
          <w:rFonts w:ascii="Arial" w:hAnsi="Arial" w:cs="Arial"/>
          <w:b/>
          <w:sz w:val="24"/>
          <w:szCs w:val="24"/>
        </w:rPr>
      </w:pPr>
      <w:r w:rsidRPr="009320FE">
        <w:rPr>
          <w:rFonts w:ascii="Arial" w:hAnsi="Arial" w:cs="Arial"/>
          <w:b/>
          <w:sz w:val="24"/>
          <w:szCs w:val="24"/>
        </w:rPr>
        <w:t xml:space="preserve">Introduction </w:t>
      </w:r>
    </w:p>
    <w:p w:rsidR="000C590D" w:rsidRPr="009320FE" w:rsidRDefault="00821742" w:rsidP="009320FE">
      <w:pPr>
        <w:spacing w:after="0" w:line="360" w:lineRule="auto"/>
        <w:contextualSpacing/>
        <w:rPr>
          <w:rFonts w:ascii="Arial" w:hAnsi="Arial" w:cs="Arial"/>
          <w:b/>
          <w:sz w:val="24"/>
          <w:szCs w:val="24"/>
        </w:rPr>
      </w:pPr>
      <w:r w:rsidRPr="009320FE">
        <w:rPr>
          <w:rFonts w:ascii="Arial" w:hAnsi="Arial" w:cs="Arial"/>
          <w:b/>
          <w:sz w:val="24"/>
          <w:szCs w:val="24"/>
        </w:rPr>
        <w:t xml:space="preserve"> </w:t>
      </w:r>
    </w:p>
    <w:p w:rsidR="000C590D" w:rsidRPr="009320FE" w:rsidRDefault="00007CCA"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Pr="009320FE">
        <w:rPr>
          <w:rFonts w:ascii="Arial" w:hAnsi="Arial" w:cs="Arial"/>
          <w:sz w:val="24"/>
          <w:szCs w:val="24"/>
        </w:rPr>
        <w:tab/>
        <w:t xml:space="preserve">The </w:t>
      </w:r>
      <w:r w:rsidR="003B5D4C" w:rsidRPr="009320FE">
        <w:rPr>
          <w:rFonts w:ascii="Arial" w:hAnsi="Arial" w:cs="Arial"/>
          <w:sz w:val="24"/>
          <w:szCs w:val="24"/>
        </w:rPr>
        <w:t>appellant, who</w:t>
      </w:r>
      <w:r w:rsidRPr="009320FE">
        <w:rPr>
          <w:rFonts w:ascii="Arial" w:hAnsi="Arial" w:cs="Arial"/>
          <w:sz w:val="24"/>
          <w:szCs w:val="24"/>
        </w:rPr>
        <w:t xml:space="preserve"> was legally represented throughout his trial in the </w:t>
      </w:r>
      <w:r w:rsidR="00F07A42">
        <w:rPr>
          <w:rFonts w:ascii="Arial" w:hAnsi="Arial" w:cs="Arial"/>
          <w:sz w:val="24"/>
          <w:szCs w:val="24"/>
        </w:rPr>
        <w:t>Umzimkhulu Regional Court</w:t>
      </w:r>
      <w:r w:rsidR="003B5D4C" w:rsidRPr="009320FE">
        <w:rPr>
          <w:rFonts w:ascii="Arial" w:hAnsi="Arial" w:cs="Arial"/>
          <w:i/>
          <w:sz w:val="24"/>
          <w:szCs w:val="24"/>
        </w:rPr>
        <w:t xml:space="preserve">, </w:t>
      </w:r>
      <w:r w:rsidR="003B5D4C" w:rsidRPr="009320FE">
        <w:rPr>
          <w:rFonts w:ascii="Arial" w:hAnsi="Arial" w:cs="Arial"/>
          <w:sz w:val="24"/>
          <w:szCs w:val="24"/>
        </w:rPr>
        <w:t>stood</w:t>
      </w:r>
      <w:r w:rsidRPr="009320FE">
        <w:rPr>
          <w:rFonts w:ascii="Arial" w:hAnsi="Arial" w:cs="Arial"/>
          <w:sz w:val="24"/>
          <w:szCs w:val="24"/>
        </w:rPr>
        <w:t xml:space="preserve"> accused </w:t>
      </w:r>
      <w:r w:rsidR="003B5D4C" w:rsidRPr="009320FE">
        <w:rPr>
          <w:rFonts w:ascii="Arial" w:hAnsi="Arial" w:cs="Arial"/>
          <w:sz w:val="24"/>
          <w:szCs w:val="24"/>
        </w:rPr>
        <w:t>on</w:t>
      </w:r>
      <w:r w:rsidRPr="009320FE">
        <w:rPr>
          <w:rFonts w:ascii="Arial" w:hAnsi="Arial" w:cs="Arial"/>
          <w:sz w:val="24"/>
          <w:szCs w:val="24"/>
        </w:rPr>
        <w:t xml:space="preserve"> a single count of </w:t>
      </w:r>
      <w:r w:rsidR="00F07A42">
        <w:rPr>
          <w:rFonts w:ascii="Arial" w:hAnsi="Arial" w:cs="Arial"/>
          <w:sz w:val="24"/>
          <w:szCs w:val="24"/>
        </w:rPr>
        <w:t xml:space="preserve">the </w:t>
      </w:r>
      <w:r w:rsidRPr="009320FE">
        <w:rPr>
          <w:rFonts w:ascii="Arial" w:hAnsi="Arial" w:cs="Arial"/>
          <w:sz w:val="24"/>
          <w:szCs w:val="24"/>
        </w:rPr>
        <w:t>rape of a 15-year</w:t>
      </w:r>
      <w:r w:rsidR="008D0BCC">
        <w:rPr>
          <w:rFonts w:ascii="Arial" w:hAnsi="Arial" w:cs="Arial"/>
          <w:sz w:val="24"/>
          <w:szCs w:val="24"/>
        </w:rPr>
        <w:t xml:space="preserve"> </w:t>
      </w:r>
      <w:r w:rsidR="00821742" w:rsidRPr="009320FE">
        <w:rPr>
          <w:rFonts w:ascii="Arial" w:hAnsi="Arial" w:cs="Arial"/>
          <w:sz w:val="24"/>
          <w:szCs w:val="24"/>
        </w:rPr>
        <w:t>old</w:t>
      </w:r>
      <w:r w:rsidRPr="009320FE">
        <w:rPr>
          <w:rFonts w:ascii="Arial" w:hAnsi="Arial" w:cs="Arial"/>
          <w:sz w:val="24"/>
          <w:szCs w:val="24"/>
        </w:rPr>
        <w:t xml:space="preserve"> child in contravention of s</w:t>
      </w:r>
      <w:r w:rsidR="003B5D4C" w:rsidRPr="009320FE">
        <w:rPr>
          <w:rFonts w:ascii="Arial" w:hAnsi="Arial" w:cs="Arial"/>
          <w:sz w:val="24"/>
          <w:szCs w:val="24"/>
        </w:rPr>
        <w:t>ection 3 of the Criminal Law (Sexual Offences and Related Matters) Amendment Act 32 of 2007 (</w:t>
      </w:r>
      <w:r w:rsidR="00177A1D">
        <w:rPr>
          <w:rFonts w:ascii="Arial" w:hAnsi="Arial" w:cs="Arial"/>
          <w:sz w:val="24"/>
          <w:szCs w:val="24"/>
        </w:rPr>
        <w:t>‘</w:t>
      </w:r>
      <w:r w:rsidR="003B5D4C" w:rsidRPr="009320FE">
        <w:rPr>
          <w:rFonts w:ascii="Arial" w:hAnsi="Arial" w:cs="Arial"/>
          <w:sz w:val="24"/>
          <w:szCs w:val="24"/>
        </w:rPr>
        <w:t>SORMA</w:t>
      </w:r>
      <w:r w:rsidR="00177A1D">
        <w:rPr>
          <w:rFonts w:ascii="Arial" w:hAnsi="Arial" w:cs="Arial"/>
          <w:sz w:val="24"/>
          <w:szCs w:val="24"/>
        </w:rPr>
        <w:t>’</w:t>
      </w:r>
      <w:r w:rsidRPr="009320FE">
        <w:rPr>
          <w:rFonts w:ascii="Arial" w:hAnsi="Arial" w:cs="Arial"/>
          <w:sz w:val="24"/>
          <w:szCs w:val="24"/>
        </w:rPr>
        <w:t>)</w:t>
      </w:r>
      <w:r w:rsidR="003B5D4C" w:rsidRPr="009320FE">
        <w:rPr>
          <w:rFonts w:ascii="Arial" w:hAnsi="Arial" w:cs="Arial"/>
          <w:sz w:val="24"/>
          <w:szCs w:val="24"/>
        </w:rPr>
        <w:t>. I</w:t>
      </w:r>
      <w:r w:rsidR="00F82211" w:rsidRPr="009320FE">
        <w:rPr>
          <w:rFonts w:ascii="Arial" w:hAnsi="Arial" w:cs="Arial"/>
          <w:sz w:val="24"/>
          <w:szCs w:val="24"/>
        </w:rPr>
        <w:t xml:space="preserve">t is unfortunate that the </w:t>
      </w:r>
      <w:r w:rsidRPr="009320FE">
        <w:rPr>
          <w:rFonts w:ascii="Arial" w:hAnsi="Arial" w:cs="Arial"/>
          <w:sz w:val="24"/>
          <w:szCs w:val="24"/>
        </w:rPr>
        <w:t xml:space="preserve">substantive </w:t>
      </w:r>
      <w:r w:rsidR="00F82211" w:rsidRPr="009320FE">
        <w:rPr>
          <w:rFonts w:ascii="Arial" w:hAnsi="Arial" w:cs="Arial"/>
          <w:sz w:val="24"/>
          <w:szCs w:val="24"/>
        </w:rPr>
        <w:t>charge</w:t>
      </w:r>
      <w:r w:rsidR="00177A1D">
        <w:rPr>
          <w:rFonts w:ascii="Arial" w:hAnsi="Arial" w:cs="Arial"/>
          <w:sz w:val="24"/>
          <w:szCs w:val="24"/>
        </w:rPr>
        <w:t>,</w:t>
      </w:r>
      <w:r w:rsidR="00F82211" w:rsidRPr="009320FE">
        <w:rPr>
          <w:rFonts w:ascii="Arial" w:hAnsi="Arial" w:cs="Arial"/>
          <w:sz w:val="24"/>
          <w:szCs w:val="24"/>
        </w:rPr>
        <w:t xml:space="preserve"> as</w:t>
      </w:r>
      <w:r w:rsidRPr="009320FE">
        <w:rPr>
          <w:rFonts w:ascii="Arial" w:hAnsi="Arial" w:cs="Arial"/>
          <w:sz w:val="24"/>
          <w:szCs w:val="24"/>
        </w:rPr>
        <w:t xml:space="preserve"> it is framed</w:t>
      </w:r>
      <w:r w:rsidR="003B5D4C" w:rsidRPr="009320FE">
        <w:rPr>
          <w:rFonts w:ascii="Arial" w:hAnsi="Arial" w:cs="Arial"/>
          <w:sz w:val="24"/>
          <w:szCs w:val="24"/>
        </w:rPr>
        <w:t xml:space="preserve"> in the charge sheet</w:t>
      </w:r>
      <w:r w:rsidRPr="009320FE">
        <w:rPr>
          <w:rFonts w:ascii="Arial" w:hAnsi="Arial" w:cs="Arial"/>
          <w:sz w:val="24"/>
          <w:szCs w:val="24"/>
        </w:rPr>
        <w:t>,</w:t>
      </w:r>
      <w:r w:rsidR="00177A1D">
        <w:rPr>
          <w:rFonts w:ascii="Arial" w:hAnsi="Arial" w:cs="Arial"/>
          <w:sz w:val="24"/>
          <w:szCs w:val="24"/>
        </w:rPr>
        <w:t xml:space="preserve"> </w:t>
      </w:r>
      <w:r w:rsidRPr="009320FE">
        <w:rPr>
          <w:rFonts w:ascii="Arial" w:hAnsi="Arial" w:cs="Arial"/>
          <w:sz w:val="24"/>
          <w:szCs w:val="24"/>
        </w:rPr>
        <w:t xml:space="preserve">whilst </w:t>
      </w:r>
      <w:r w:rsidR="004F79FF" w:rsidRPr="009320FE">
        <w:rPr>
          <w:rFonts w:ascii="Arial" w:hAnsi="Arial" w:cs="Arial"/>
          <w:sz w:val="24"/>
          <w:szCs w:val="24"/>
        </w:rPr>
        <w:t xml:space="preserve">stipulating </w:t>
      </w:r>
      <w:r w:rsidR="00725DAD">
        <w:rPr>
          <w:rFonts w:ascii="Arial" w:hAnsi="Arial" w:cs="Arial"/>
          <w:sz w:val="24"/>
          <w:szCs w:val="24"/>
        </w:rPr>
        <w:t>the</w:t>
      </w:r>
      <w:r w:rsidR="00725DAD" w:rsidRPr="009320FE">
        <w:rPr>
          <w:rFonts w:ascii="Arial" w:hAnsi="Arial" w:cs="Arial"/>
          <w:sz w:val="24"/>
          <w:szCs w:val="24"/>
        </w:rPr>
        <w:t xml:space="preserve"> </w:t>
      </w:r>
      <w:r w:rsidR="00E973AF" w:rsidRPr="009320FE">
        <w:rPr>
          <w:rFonts w:ascii="Arial" w:hAnsi="Arial" w:cs="Arial"/>
          <w:sz w:val="24"/>
          <w:szCs w:val="24"/>
        </w:rPr>
        <w:t>relevant sections of SORMA,</w:t>
      </w:r>
      <w:r w:rsidR="00177A1D">
        <w:rPr>
          <w:rFonts w:ascii="Arial" w:hAnsi="Arial" w:cs="Arial"/>
          <w:sz w:val="24"/>
          <w:szCs w:val="24"/>
        </w:rPr>
        <w:t xml:space="preserve"> </w:t>
      </w:r>
      <w:r w:rsidR="00E973AF" w:rsidRPr="009320FE">
        <w:rPr>
          <w:rFonts w:ascii="Arial" w:hAnsi="Arial" w:cs="Arial"/>
          <w:sz w:val="24"/>
          <w:szCs w:val="24"/>
        </w:rPr>
        <w:t xml:space="preserve">makes no reference to the </w:t>
      </w:r>
      <w:r w:rsidR="003B5D4C" w:rsidRPr="009320FE">
        <w:rPr>
          <w:rFonts w:ascii="Arial" w:hAnsi="Arial" w:cs="Arial"/>
          <w:sz w:val="24"/>
          <w:szCs w:val="24"/>
        </w:rPr>
        <w:t>A</w:t>
      </w:r>
      <w:r w:rsidR="00E973AF" w:rsidRPr="009320FE">
        <w:rPr>
          <w:rFonts w:ascii="Arial" w:hAnsi="Arial" w:cs="Arial"/>
          <w:sz w:val="24"/>
          <w:szCs w:val="24"/>
        </w:rPr>
        <w:t>ct and the part</w:t>
      </w:r>
      <w:r w:rsidR="003B5D4C" w:rsidRPr="009320FE">
        <w:rPr>
          <w:rFonts w:ascii="Arial" w:hAnsi="Arial" w:cs="Arial"/>
          <w:sz w:val="24"/>
          <w:szCs w:val="24"/>
        </w:rPr>
        <w:t xml:space="preserve"> of the charge sheet where the A</w:t>
      </w:r>
      <w:r w:rsidR="00E973AF" w:rsidRPr="009320FE">
        <w:rPr>
          <w:rFonts w:ascii="Arial" w:hAnsi="Arial" w:cs="Arial"/>
          <w:sz w:val="24"/>
          <w:szCs w:val="24"/>
        </w:rPr>
        <w:t xml:space="preserve">ct ought to have been inserted </w:t>
      </w:r>
      <w:r w:rsidR="00F07A42">
        <w:rPr>
          <w:rFonts w:ascii="Arial" w:hAnsi="Arial" w:cs="Arial"/>
          <w:sz w:val="24"/>
          <w:szCs w:val="24"/>
        </w:rPr>
        <w:t>was</w:t>
      </w:r>
      <w:r w:rsidR="00F07A42" w:rsidRPr="009320FE">
        <w:rPr>
          <w:rFonts w:ascii="Arial" w:hAnsi="Arial" w:cs="Arial"/>
          <w:sz w:val="24"/>
          <w:szCs w:val="24"/>
        </w:rPr>
        <w:t xml:space="preserve"> </w:t>
      </w:r>
      <w:r w:rsidR="00E973AF" w:rsidRPr="009320FE">
        <w:rPr>
          <w:rFonts w:ascii="Arial" w:hAnsi="Arial" w:cs="Arial"/>
          <w:sz w:val="24"/>
          <w:szCs w:val="24"/>
        </w:rPr>
        <w:t>left blank.</w:t>
      </w:r>
      <w:r w:rsidR="00201DB2" w:rsidRPr="009320FE">
        <w:rPr>
          <w:rStyle w:val="FootnoteReference"/>
          <w:rFonts w:ascii="Arial" w:hAnsi="Arial" w:cs="Arial"/>
          <w:sz w:val="24"/>
          <w:szCs w:val="24"/>
        </w:rPr>
        <w:footnoteReference w:id="1"/>
      </w:r>
    </w:p>
    <w:p w:rsidR="00E973AF" w:rsidRPr="009320FE" w:rsidRDefault="00E973AF" w:rsidP="009320FE">
      <w:pPr>
        <w:spacing w:after="0" w:line="360" w:lineRule="auto"/>
        <w:ind w:left="360"/>
        <w:contextualSpacing/>
        <w:jc w:val="both"/>
        <w:rPr>
          <w:rFonts w:ascii="Arial" w:hAnsi="Arial" w:cs="Arial"/>
          <w:sz w:val="24"/>
          <w:szCs w:val="24"/>
        </w:rPr>
      </w:pPr>
    </w:p>
    <w:p w:rsidR="00E973AF" w:rsidRPr="009320FE" w:rsidRDefault="00B223A2" w:rsidP="009320FE">
      <w:pPr>
        <w:spacing w:after="0" w:line="360" w:lineRule="auto"/>
        <w:contextualSpacing/>
        <w:jc w:val="both"/>
        <w:rPr>
          <w:rFonts w:ascii="Arial" w:hAnsi="Arial" w:cs="Arial"/>
          <w:sz w:val="24"/>
          <w:szCs w:val="24"/>
        </w:rPr>
      </w:pPr>
      <w:r w:rsidRPr="009320FE">
        <w:rPr>
          <w:rFonts w:ascii="Arial" w:hAnsi="Arial" w:cs="Arial"/>
          <w:sz w:val="24"/>
          <w:szCs w:val="24"/>
        </w:rPr>
        <w:t>[2]</w:t>
      </w:r>
      <w:r w:rsidR="00177A1D">
        <w:rPr>
          <w:rFonts w:ascii="Arial" w:hAnsi="Arial" w:cs="Arial"/>
          <w:sz w:val="24"/>
          <w:szCs w:val="24"/>
        </w:rPr>
        <w:tab/>
      </w:r>
      <w:r w:rsidR="003B5D4C" w:rsidRPr="009320FE">
        <w:rPr>
          <w:rFonts w:ascii="Arial" w:hAnsi="Arial" w:cs="Arial"/>
          <w:sz w:val="24"/>
          <w:szCs w:val="24"/>
        </w:rPr>
        <w:t>A</w:t>
      </w:r>
      <w:r w:rsidR="00E973AF" w:rsidRPr="009320FE">
        <w:rPr>
          <w:rFonts w:ascii="Arial" w:hAnsi="Arial" w:cs="Arial"/>
          <w:sz w:val="24"/>
          <w:szCs w:val="24"/>
        </w:rPr>
        <w:t>s the complainant was under the age of 16 years at the relevant tim</w:t>
      </w:r>
      <w:r w:rsidR="003B5D4C" w:rsidRPr="009320FE">
        <w:rPr>
          <w:rFonts w:ascii="Arial" w:hAnsi="Arial" w:cs="Arial"/>
          <w:sz w:val="24"/>
          <w:szCs w:val="24"/>
        </w:rPr>
        <w:t>e, the offence fell within the ambit of Part 1</w:t>
      </w:r>
      <w:r w:rsidR="00E00A43">
        <w:rPr>
          <w:rFonts w:ascii="Arial" w:hAnsi="Arial" w:cs="Arial"/>
          <w:sz w:val="24"/>
          <w:szCs w:val="24"/>
        </w:rPr>
        <w:t xml:space="preserve"> of</w:t>
      </w:r>
      <w:r w:rsidR="003B5D4C" w:rsidRPr="009320FE">
        <w:rPr>
          <w:rFonts w:ascii="Arial" w:hAnsi="Arial" w:cs="Arial"/>
          <w:sz w:val="24"/>
          <w:szCs w:val="24"/>
        </w:rPr>
        <w:t xml:space="preserve"> Schedule 2 of the Criminal Law Amendment A</w:t>
      </w:r>
      <w:r w:rsidR="00E973AF" w:rsidRPr="009320FE">
        <w:rPr>
          <w:rFonts w:ascii="Arial" w:hAnsi="Arial" w:cs="Arial"/>
          <w:sz w:val="24"/>
          <w:szCs w:val="24"/>
        </w:rPr>
        <w:t>ct 105 of 1997 (</w:t>
      </w:r>
      <w:r w:rsidR="00E00A43">
        <w:rPr>
          <w:rFonts w:ascii="Arial" w:hAnsi="Arial" w:cs="Arial"/>
          <w:sz w:val="24"/>
          <w:szCs w:val="24"/>
        </w:rPr>
        <w:t>‘</w:t>
      </w:r>
      <w:r w:rsidR="003B5D4C" w:rsidRPr="009320FE">
        <w:rPr>
          <w:rFonts w:ascii="Arial" w:hAnsi="Arial" w:cs="Arial"/>
          <w:sz w:val="24"/>
          <w:szCs w:val="24"/>
        </w:rPr>
        <w:t>CLAA</w:t>
      </w:r>
      <w:r w:rsidR="00E00A43">
        <w:rPr>
          <w:rFonts w:ascii="Arial" w:hAnsi="Arial" w:cs="Arial"/>
          <w:sz w:val="24"/>
          <w:szCs w:val="24"/>
        </w:rPr>
        <w:t>’</w:t>
      </w:r>
      <w:r w:rsidR="003B5D4C" w:rsidRPr="009320FE">
        <w:rPr>
          <w:rFonts w:ascii="Arial" w:hAnsi="Arial" w:cs="Arial"/>
          <w:sz w:val="24"/>
          <w:szCs w:val="24"/>
        </w:rPr>
        <w:t xml:space="preserve">) making </w:t>
      </w:r>
      <w:r w:rsidR="00951E8A">
        <w:rPr>
          <w:rFonts w:ascii="Arial" w:hAnsi="Arial" w:cs="Arial"/>
          <w:sz w:val="24"/>
          <w:szCs w:val="24"/>
        </w:rPr>
        <w:t xml:space="preserve">the </w:t>
      </w:r>
      <w:r w:rsidR="003B5D4C" w:rsidRPr="009320FE">
        <w:rPr>
          <w:rFonts w:ascii="Arial" w:hAnsi="Arial" w:cs="Arial"/>
          <w:sz w:val="24"/>
          <w:szCs w:val="24"/>
        </w:rPr>
        <w:t>sentencing regime</w:t>
      </w:r>
      <w:r w:rsidR="004F79FF" w:rsidRPr="009320FE">
        <w:rPr>
          <w:rFonts w:ascii="Arial" w:hAnsi="Arial" w:cs="Arial"/>
          <w:sz w:val="24"/>
          <w:szCs w:val="24"/>
        </w:rPr>
        <w:t xml:space="preserve"> in</w:t>
      </w:r>
      <w:r w:rsidR="003B5D4C" w:rsidRPr="009320FE">
        <w:rPr>
          <w:rFonts w:ascii="Arial" w:hAnsi="Arial" w:cs="Arial"/>
          <w:sz w:val="24"/>
          <w:szCs w:val="24"/>
        </w:rPr>
        <w:t xml:space="preserve"> section 51(1) of </w:t>
      </w:r>
      <w:r w:rsidR="00951E8A">
        <w:rPr>
          <w:rFonts w:ascii="Arial" w:hAnsi="Arial" w:cs="Arial"/>
          <w:sz w:val="24"/>
          <w:szCs w:val="24"/>
        </w:rPr>
        <w:t>the CLAA</w:t>
      </w:r>
      <w:r w:rsidR="003B5D4C" w:rsidRPr="009320FE">
        <w:rPr>
          <w:rFonts w:ascii="Arial" w:hAnsi="Arial" w:cs="Arial"/>
          <w:sz w:val="24"/>
          <w:szCs w:val="24"/>
        </w:rPr>
        <w:t xml:space="preserve"> applicable</w:t>
      </w:r>
      <w:r w:rsidR="00951E8A">
        <w:rPr>
          <w:rFonts w:ascii="Arial" w:hAnsi="Arial" w:cs="Arial"/>
          <w:sz w:val="24"/>
          <w:szCs w:val="24"/>
        </w:rPr>
        <w:t>.</w:t>
      </w:r>
      <w:r w:rsidR="003B5D4C" w:rsidRPr="009320FE">
        <w:rPr>
          <w:rFonts w:ascii="Arial" w:hAnsi="Arial" w:cs="Arial"/>
          <w:sz w:val="24"/>
          <w:szCs w:val="24"/>
        </w:rPr>
        <w:t xml:space="preserve"> T</w:t>
      </w:r>
      <w:r w:rsidR="00E973AF" w:rsidRPr="009320FE">
        <w:rPr>
          <w:rFonts w:ascii="Arial" w:hAnsi="Arial" w:cs="Arial"/>
          <w:sz w:val="24"/>
          <w:szCs w:val="24"/>
        </w:rPr>
        <w:t xml:space="preserve">he charge </w:t>
      </w:r>
      <w:r w:rsidR="003B5D4C" w:rsidRPr="009320FE">
        <w:rPr>
          <w:rFonts w:ascii="Arial" w:hAnsi="Arial" w:cs="Arial"/>
          <w:sz w:val="24"/>
          <w:szCs w:val="24"/>
        </w:rPr>
        <w:t xml:space="preserve">preferred was framed </w:t>
      </w:r>
      <w:r w:rsidR="00F07A42">
        <w:rPr>
          <w:rFonts w:ascii="Arial" w:hAnsi="Arial" w:cs="Arial"/>
          <w:sz w:val="24"/>
          <w:szCs w:val="24"/>
        </w:rPr>
        <w:t>with reference to the CLAA</w:t>
      </w:r>
      <w:r w:rsidR="00E973AF" w:rsidRPr="009320FE">
        <w:rPr>
          <w:rFonts w:ascii="Arial" w:hAnsi="Arial" w:cs="Arial"/>
          <w:sz w:val="24"/>
          <w:szCs w:val="24"/>
        </w:rPr>
        <w:t>.</w:t>
      </w:r>
    </w:p>
    <w:p w:rsidR="00ED5C97" w:rsidRPr="009320FE" w:rsidRDefault="00ED5C97" w:rsidP="009320FE">
      <w:pPr>
        <w:spacing w:after="0" w:line="360" w:lineRule="auto"/>
        <w:ind w:left="360"/>
        <w:contextualSpacing/>
        <w:jc w:val="both"/>
        <w:rPr>
          <w:rFonts w:ascii="Arial" w:hAnsi="Arial" w:cs="Arial"/>
          <w:sz w:val="24"/>
          <w:szCs w:val="24"/>
        </w:rPr>
      </w:pPr>
    </w:p>
    <w:p w:rsidR="00CB19C1" w:rsidRPr="009320FE" w:rsidRDefault="00B223A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1F5636">
        <w:rPr>
          <w:rFonts w:ascii="Arial" w:hAnsi="Arial" w:cs="Arial"/>
          <w:sz w:val="24"/>
          <w:szCs w:val="24"/>
        </w:rPr>
        <w:t>3</w:t>
      </w:r>
      <w:r w:rsidRPr="009320FE">
        <w:rPr>
          <w:rFonts w:ascii="Arial" w:hAnsi="Arial" w:cs="Arial"/>
          <w:sz w:val="24"/>
          <w:szCs w:val="24"/>
        </w:rPr>
        <w:t>]</w:t>
      </w:r>
      <w:r w:rsidR="00177A1D">
        <w:rPr>
          <w:rFonts w:ascii="Arial" w:hAnsi="Arial" w:cs="Arial"/>
          <w:sz w:val="24"/>
          <w:szCs w:val="24"/>
        </w:rPr>
        <w:tab/>
      </w:r>
      <w:r w:rsidR="00ED5C97" w:rsidRPr="009320FE">
        <w:rPr>
          <w:rFonts w:ascii="Arial" w:hAnsi="Arial" w:cs="Arial"/>
          <w:sz w:val="24"/>
          <w:szCs w:val="24"/>
        </w:rPr>
        <w:t>The appellant pleaded not guilty to the charge of rape</w:t>
      </w:r>
      <w:r w:rsidR="00F07A42">
        <w:rPr>
          <w:rFonts w:ascii="Arial" w:hAnsi="Arial" w:cs="Arial"/>
          <w:sz w:val="24"/>
          <w:szCs w:val="24"/>
        </w:rPr>
        <w:t>,</w:t>
      </w:r>
      <w:r w:rsidR="00ED5C97" w:rsidRPr="009320FE">
        <w:rPr>
          <w:rFonts w:ascii="Arial" w:hAnsi="Arial" w:cs="Arial"/>
          <w:sz w:val="24"/>
          <w:szCs w:val="24"/>
        </w:rPr>
        <w:t xml:space="preserve"> and elected to remain silent and </w:t>
      </w:r>
      <w:r w:rsidR="00725DAD">
        <w:rPr>
          <w:rFonts w:ascii="Arial" w:hAnsi="Arial" w:cs="Arial"/>
          <w:sz w:val="24"/>
          <w:szCs w:val="24"/>
        </w:rPr>
        <w:t xml:space="preserve">to </w:t>
      </w:r>
      <w:r w:rsidR="00ED5C97" w:rsidRPr="009320FE">
        <w:rPr>
          <w:rFonts w:ascii="Arial" w:hAnsi="Arial" w:cs="Arial"/>
          <w:sz w:val="24"/>
          <w:szCs w:val="24"/>
        </w:rPr>
        <w:t>not disclose the basis of his defence.</w:t>
      </w:r>
      <w:r w:rsidR="00201DB2" w:rsidRPr="009320FE">
        <w:rPr>
          <w:rStyle w:val="FootnoteReference"/>
          <w:rFonts w:ascii="Arial" w:hAnsi="Arial" w:cs="Arial"/>
          <w:sz w:val="24"/>
          <w:szCs w:val="24"/>
        </w:rPr>
        <w:footnoteReference w:id="2"/>
      </w:r>
      <w:r w:rsidR="002F1661" w:rsidRPr="009320FE">
        <w:rPr>
          <w:rFonts w:ascii="Arial" w:hAnsi="Arial" w:cs="Arial"/>
          <w:sz w:val="24"/>
          <w:szCs w:val="24"/>
        </w:rPr>
        <w:t xml:space="preserve"> At the end of </w:t>
      </w:r>
      <w:r w:rsidR="00F82211" w:rsidRPr="009320FE">
        <w:rPr>
          <w:rFonts w:ascii="Arial" w:hAnsi="Arial" w:cs="Arial"/>
          <w:sz w:val="24"/>
          <w:szCs w:val="24"/>
        </w:rPr>
        <w:t>proceedings,</w:t>
      </w:r>
      <w:r w:rsidR="002F1661" w:rsidRPr="009320FE">
        <w:rPr>
          <w:rFonts w:ascii="Arial" w:hAnsi="Arial" w:cs="Arial"/>
          <w:sz w:val="24"/>
          <w:szCs w:val="24"/>
        </w:rPr>
        <w:t xml:space="preserve"> the</w:t>
      </w:r>
      <w:r w:rsidR="00F82211" w:rsidRPr="009320FE">
        <w:rPr>
          <w:rFonts w:ascii="Arial" w:hAnsi="Arial" w:cs="Arial"/>
          <w:sz w:val="24"/>
          <w:szCs w:val="24"/>
        </w:rPr>
        <w:t xml:space="preserve"> </w:t>
      </w:r>
      <w:r w:rsidR="00CD062D" w:rsidRPr="009320FE">
        <w:rPr>
          <w:rFonts w:ascii="Arial" w:hAnsi="Arial" w:cs="Arial"/>
          <w:sz w:val="24"/>
          <w:szCs w:val="24"/>
        </w:rPr>
        <w:t xml:space="preserve">appellant </w:t>
      </w:r>
      <w:r w:rsidR="00ED5C97" w:rsidRPr="009320FE">
        <w:rPr>
          <w:rFonts w:ascii="Arial" w:hAnsi="Arial" w:cs="Arial"/>
          <w:sz w:val="24"/>
          <w:szCs w:val="24"/>
        </w:rPr>
        <w:t>was c</w:t>
      </w:r>
      <w:r w:rsidRPr="009320FE">
        <w:rPr>
          <w:rFonts w:ascii="Arial" w:hAnsi="Arial" w:cs="Arial"/>
          <w:sz w:val="24"/>
          <w:szCs w:val="24"/>
        </w:rPr>
        <w:t>onvicted</w:t>
      </w:r>
      <w:r w:rsidR="008D0BCC">
        <w:rPr>
          <w:rFonts w:ascii="Arial" w:hAnsi="Arial" w:cs="Arial"/>
          <w:sz w:val="24"/>
          <w:szCs w:val="24"/>
        </w:rPr>
        <w:t xml:space="preserve"> as indicted</w:t>
      </w:r>
      <w:r w:rsidR="00CD062D">
        <w:rPr>
          <w:rFonts w:ascii="Arial" w:hAnsi="Arial" w:cs="Arial"/>
          <w:sz w:val="24"/>
          <w:szCs w:val="24"/>
        </w:rPr>
        <w:t>,</w:t>
      </w:r>
      <w:r w:rsidRPr="009320FE">
        <w:rPr>
          <w:rFonts w:ascii="Arial" w:hAnsi="Arial" w:cs="Arial"/>
          <w:sz w:val="24"/>
          <w:szCs w:val="24"/>
        </w:rPr>
        <w:t xml:space="preserve"> and the </w:t>
      </w:r>
      <w:r w:rsidR="002F1661" w:rsidRPr="009320FE">
        <w:rPr>
          <w:rFonts w:ascii="Arial" w:hAnsi="Arial" w:cs="Arial"/>
          <w:sz w:val="24"/>
          <w:szCs w:val="24"/>
        </w:rPr>
        <w:t>lea</w:t>
      </w:r>
      <w:r w:rsidR="001827E9" w:rsidRPr="009320FE">
        <w:rPr>
          <w:rFonts w:ascii="Arial" w:hAnsi="Arial" w:cs="Arial"/>
          <w:sz w:val="24"/>
          <w:szCs w:val="24"/>
        </w:rPr>
        <w:t>r</w:t>
      </w:r>
      <w:r w:rsidR="002F1661" w:rsidRPr="009320FE">
        <w:rPr>
          <w:rFonts w:ascii="Arial" w:hAnsi="Arial" w:cs="Arial"/>
          <w:sz w:val="24"/>
          <w:szCs w:val="24"/>
        </w:rPr>
        <w:t>ned magistrate</w:t>
      </w:r>
      <w:r w:rsidR="00CB19C1" w:rsidRPr="009320FE">
        <w:rPr>
          <w:rFonts w:ascii="Arial" w:hAnsi="Arial" w:cs="Arial"/>
          <w:sz w:val="24"/>
          <w:szCs w:val="24"/>
        </w:rPr>
        <w:t>, having</w:t>
      </w:r>
      <w:r w:rsidR="00ED5C97" w:rsidRPr="009320FE">
        <w:rPr>
          <w:rFonts w:ascii="Arial" w:hAnsi="Arial" w:cs="Arial"/>
          <w:sz w:val="24"/>
          <w:szCs w:val="24"/>
        </w:rPr>
        <w:t xml:space="preserve"> found no substantial a</w:t>
      </w:r>
      <w:r w:rsidR="001827E9" w:rsidRPr="009320FE">
        <w:rPr>
          <w:rFonts w:ascii="Arial" w:hAnsi="Arial" w:cs="Arial"/>
          <w:sz w:val="24"/>
          <w:szCs w:val="24"/>
        </w:rPr>
        <w:t>nd compelling circumstances</w:t>
      </w:r>
      <w:r w:rsidR="00CB19C1" w:rsidRPr="009320FE">
        <w:rPr>
          <w:rFonts w:ascii="Arial" w:hAnsi="Arial" w:cs="Arial"/>
          <w:sz w:val="24"/>
          <w:szCs w:val="24"/>
        </w:rPr>
        <w:t>, imposed</w:t>
      </w:r>
      <w:r w:rsidR="00ED5C97" w:rsidRPr="009320FE">
        <w:rPr>
          <w:rFonts w:ascii="Arial" w:hAnsi="Arial" w:cs="Arial"/>
          <w:sz w:val="24"/>
          <w:szCs w:val="24"/>
        </w:rPr>
        <w:t xml:space="preserve"> the</w:t>
      </w:r>
      <w:r w:rsidR="00CB19C1" w:rsidRPr="009320FE">
        <w:rPr>
          <w:rFonts w:ascii="Arial" w:hAnsi="Arial" w:cs="Arial"/>
          <w:sz w:val="24"/>
          <w:szCs w:val="24"/>
        </w:rPr>
        <w:t xml:space="preserve"> </w:t>
      </w:r>
      <w:r w:rsidR="00725DAD">
        <w:rPr>
          <w:rFonts w:ascii="Arial" w:hAnsi="Arial" w:cs="Arial"/>
          <w:sz w:val="24"/>
          <w:szCs w:val="24"/>
        </w:rPr>
        <w:t>prescribed</w:t>
      </w:r>
      <w:r w:rsidR="00CB19C1" w:rsidRPr="009320FE">
        <w:rPr>
          <w:rFonts w:ascii="Arial" w:hAnsi="Arial" w:cs="Arial"/>
          <w:sz w:val="24"/>
          <w:szCs w:val="24"/>
        </w:rPr>
        <w:t xml:space="preserve"> sentence of </w:t>
      </w:r>
      <w:r w:rsidR="00F07A42">
        <w:rPr>
          <w:rFonts w:ascii="Arial" w:hAnsi="Arial" w:cs="Arial"/>
          <w:sz w:val="24"/>
          <w:szCs w:val="24"/>
        </w:rPr>
        <w:t xml:space="preserve">life </w:t>
      </w:r>
      <w:r w:rsidR="00CB19C1" w:rsidRPr="009320FE">
        <w:rPr>
          <w:rFonts w:ascii="Arial" w:hAnsi="Arial" w:cs="Arial"/>
          <w:sz w:val="24"/>
          <w:szCs w:val="24"/>
        </w:rPr>
        <w:t>imprisonment.</w:t>
      </w:r>
      <w:r w:rsidR="00201DB2" w:rsidRPr="009320FE">
        <w:rPr>
          <w:rStyle w:val="FootnoteReference"/>
          <w:rFonts w:ascii="Arial" w:hAnsi="Arial" w:cs="Arial"/>
          <w:sz w:val="24"/>
          <w:szCs w:val="24"/>
        </w:rPr>
        <w:footnoteReference w:id="3"/>
      </w:r>
    </w:p>
    <w:p w:rsidR="00CB19C1" w:rsidRPr="009320FE" w:rsidRDefault="00CB19C1" w:rsidP="009320FE">
      <w:pPr>
        <w:spacing w:after="0" w:line="360" w:lineRule="auto"/>
        <w:ind w:left="360"/>
        <w:contextualSpacing/>
        <w:jc w:val="both"/>
        <w:rPr>
          <w:rFonts w:ascii="Arial" w:hAnsi="Arial" w:cs="Arial"/>
          <w:sz w:val="24"/>
          <w:szCs w:val="24"/>
        </w:rPr>
      </w:pPr>
    </w:p>
    <w:p w:rsidR="00CB19C1" w:rsidRPr="009320FE" w:rsidRDefault="00B223A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132C05">
        <w:rPr>
          <w:rFonts w:ascii="Arial" w:hAnsi="Arial" w:cs="Arial"/>
          <w:sz w:val="24"/>
          <w:szCs w:val="24"/>
        </w:rPr>
        <w:t>4</w:t>
      </w:r>
      <w:r w:rsidRPr="009320FE">
        <w:rPr>
          <w:rFonts w:ascii="Arial" w:hAnsi="Arial" w:cs="Arial"/>
          <w:sz w:val="24"/>
          <w:szCs w:val="24"/>
        </w:rPr>
        <w:t>]</w:t>
      </w:r>
      <w:r w:rsidR="00177A1D">
        <w:rPr>
          <w:rFonts w:ascii="Arial" w:hAnsi="Arial" w:cs="Arial"/>
          <w:sz w:val="24"/>
          <w:szCs w:val="24"/>
        </w:rPr>
        <w:tab/>
      </w:r>
      <w:r w:rsidR="00CB19C1" w:rsidRPr="009320FE">
        <w:rPr>
          <w:rFonts w:ascii="Arial" w:hAnsi="Arial" w:cs="Arial"/>
          <w:sz w:val="24"/>
          <w:szCs w:val="24"/>
        </w:rPr>
        <w:t xml:space="preserve">The matter serves before </w:t>
      </w:r>
      <w:r w:rsidR="002F1661" w:rsidRPr="009320FE">
        <w:rPr>
          <w:rFonts w:ascii="Arial" w:hAnsi="Arial" w:cs="Arial"/>
          <w:sz w:val="24"/>
          <w:szCs w:val="24"/>
        </w:rPr>
        <w:t>us by</w:t>
      </w:r>
      <w:r w:rsidR="00CB19C1" w:rsidRPr="009320FE">
        <w:rPr>
          <w:rFonts w:ascii="Arial" w:hAnsi="Arial" w:cs="Arial"/>
          <w:sz w:val="24"/>
          <w:szCs w:val="24"/>
        </w:rPr>
        <w:t xml:space="preserve"> way of an automatic right of appeal </w:t>
      </w:r>
      <w:r w:rsidR="0084655C">
        <w:rPr>
          <w:rFonts w:ascii="Arial" w:hAnsi="Arial" w:cs="Arial"/>
          <w:sz w:val="24"/>
          <w:szCs w:val="24"/>
        </w:rPr>
        <w:t xml:space="preserve">in terms of </w:t>
      </w:r>
      <w:r w:rsidR="00F82211" w:rsidRPr="009320FE">
        <w:rPr>
          <w:rFonts w:ascii="Arial" w:hAnsi="Arial" w:cs="Arial"/>
          <w:sz w:val="24"/>
          <w:szCs w:val="24"/>
        </w:rPr>
        <w:t>section 309(1)</w:t>
      </w:r>
      <w:r w:rsidR="00F82211" w:rsidRPr="008E7784">
        <w:rPr>
          <w:rFonts w:ascii="Arial" w:hAnsi="Arial" w:cs="Arial"/>
          <w:i/>
          <w:sz w:val="24"/>
          <w:szCs w:val="24"/>
        </w:rPr>
        <w:t>(a)</w:t>
      </w:r>
      <w:r w:rsidR="00F82211" w:rsidRPr="009320FE">
        <w:rPr>
          <w:rFonts w:ascii="Arial" w:hAnsi="Arial" w:cs="Arial"/>
          <w:sz w:val="24"/>
          <w:szCs w:val="24"/>
        </w:rPr>
        <w:t xml:space="preserve"> of the Criminal Procedure </w:t>
      </w:r>
      <w:r w:rsidR="00CD062D" w:rsidRPr="009320FE">
        <w:rPr>
          <w:rFonts w:ascii="Arial" w:hAnsi="Arial" w:cs="Arial"/>
          <w:sz w:val="24"/>
          <w:szCs w:val="24"/>
        </w:rPr>
        <w:t xml:space="preserve">Act </w:t>
      </w:r>
      <w:r w:rsidR="00F82211" w:rsidRPr="009320FE">
        <w:rPr>
          <w:rFonts w:ascii="Arial" w:hAnsi="Arial" w:cs="Arial"/>
          <w:sz w:val="24"/>
          <w:szCs w:val="24"/>
        </w:rPr>
        <w:t>51 of 19</w:t>
      </w:r>
      <w:r w:rsidR="00725DAD">
        <w:rPr>
          <w:rFonts w:ascii="Arial" w:hAnsi="Arial" w:cs="Arial"/>
          <w:sz w:val="24"/>
          <w:szCs w:val="24"/>
        </w:rPr>
        <w:t>7</w:t>
      </w:r>
      <w:r w:rsidR="00F82211" w:rsidRPr="009320FE">
        <w:rPr>
          <w:rFonts w:ascii="Arial" w:hAnsi="Arial" w:cs="Arial"/>
          <w:sz w:val="24"/>
          <w:szCs w:val="24"/>
        </w:rPr>
        <w:t>7 (</w:t>
      </w:r>
      <w:r w:rsidR="00725DAD">
        <w:rPr>
          <w:rFonts w:ascii="Arial" w:hAnsi="Arial" w:cs="Arial"/>
          <w:sz w:val="24"/>
          <w:szCs w:val="24"/>
        </w:rPr>
        <w:t>‘</w:t>
      </w:r>
      <w:r w:rsidR="00F82211" w:rsidRPr="009320FE">
        <w:rPr>
          <w:rFonts w:ascii="Arial" w:hAnsi="Arial" w:cs="Arial"/>
          <w:sz w:val="24"/>
          <w:szCs w:val="24"/>
        </w:rPr>
        <w:t>CPA</w:t>
      </w:r>
      <w:r w:rsidR="00725DAD">
        <w:rPr>
          <w:rFonts w:ascii="Arial" w:hAnsi="Arial" w:cs="Arial"/>
          <w:sz w:val="24"/>
          <w:szCs w:val="24"/>
        </w:rPr>
        <w:t>’</w:t>
      </w:r>
      <w:r w:rsidR="00CB19C1" w:rsidRPr="009320FE">
        <w:rPr>
          <w:rFonts w:ascii="Arial" w:hAnsi="Arial" w:cs="Arial"/>
          <w:sz w:val="24"/>
          <w:szCs w:val="24"/>
        </w:rPr>
        <w:t>)</w:t>
      </w:r>
      <w:r w:rsidR="00CD062D">
        <w:rPr>
          <w:rFonts w:ascii="Arial" w:hAnsi="Arial" w:cs="Arial"/>
          <w:sz w:val="24"/>
          <w:szCs w:val="24"/>
        </w:rPr>
        <w:t>.</w:t>
      </w:r>
      <w:r w:rsidR="00201DB2" w:rsidRPr="009320FE">
        <w:rPr>
          <w:rStyle w:val="FootnoteReference"/>
          <w:rFonts w:ascii="Arial" w:hAnsi="Arial" w:cs="Arial"/>
          <w:sz w:val="24"/>
          <w:szCs w:val="24"/>
        </w:rPr>
        <w:footnoteReference w:id="4"/>
      </w:r>
    </w:p>
    <w:p w:rsidR="00CB19C1" w:rsidRPr="009320FE" w:rsidRDefault="00CB19C1" w:rsidP="009320FE">
      <w:pPr>
        <w:spacing w:after="0" w:line="360" w:lineRule="auto"/>
        <w:ind w:left="360"/>
        <w:contextualSpacing/>
        <w:jc w:val="both"/>
        <w:rPr>
          <w:rFonts w:ascii="Arial" w:hAnsi="Arial" w:cs="Arial"/>
          <w:sz w:val="24"/>
          <w:szCs w:val="24"/>
        </w:rPr>
      </w:pPr>
    </w:p>
    <w:p w:rsidR="00CB19C1" w:rsidRPr="009320FE" w:rsidRDefault="00B223A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132C05">
        <w:rPr>
          <w:rFonts w:ascii="Arial" w:hAnsi="Arial" w:cs="Arial"/>
          <w:sz w:val="24"/>
          <w:szCs w:val="24"/>
        </w:rPr>
        <w:t>5</w:t>
      </w:r>
      <w:r w:rsidRPr="009320FE">
        <w:rPr>
          <w:rFonts w:ascii="Arial" w:hAnsi="Arial" w:cs="Arial"/>
          <w:sz w:val="24"/>
          <w:szCs w:val="24"/>
        </w:rPr>
        <w:t>]</w:t>
      </w:r>
      <w:r w:rsidR="00177A1D">
        <w:rPr>
          <w:rFonts w:ascii="Arial" w:hAnsi="Arial" w:cs="Arial"/>
          <w:sz w:val="24"/>
          <w:szCs w:val="24"/>
        </w:rPr>
        <w:tab/>
      </w:r>
      <w:r w:rsidR="00CB19C1" w:rsidRPr="009320FE">
        <w:rPr>
          <w:rFonts w:ascii="Arial" w:hAnsi="Arial" w:cs="Arial"/>
          <w:sz w:val="24"/>
          <w:szCs w:val="24"/>
        </w:rPr>
        <w:t xml:space="preserve">Although the appeal noted is against both conviction and </w:t>
      </w:r>
      <w:r w:rsidR="00E76829" w:rsidRPr="009320FE">
        <w:rPr>
          <w:rFonts w:ascii="Arial" w:hAnsi="Arial" w:cs="Arial"/>
          <w:sz w:val="24"/>
          <w:szCs w:val="24"/>
        </w:rPr>
        <w:t>sentence, counsel</w:t>
      </w:r>
      <w:r w:rsidR="00CB19C1" w:rsidRPr="009320FE">
        <w:rPr>
          <w:rFonts w:ascii="Arial" w:hAnsi="Arial" w:cs="Arial"/>
          <w:sz w:val="24"/>
          <w:szCs w:val="24"/>
        </w:rPr>
        <w:t xml:space="preserve"> for the </w:t>
      </w:r>
      <w:r w:rsidR="006052FE" w:rsidRPr="009320FE">
        <w:rPr>
          <w:rFonts w:ascii="Arial" w:hAnsi="Arial" w:cs="Arial"/>
          <w:sz w:val="24"/>
          <w:szCs w:val="24"/>
        </w:rPr>
        <w:t>appellant</w:t>
      </w:r>
      <w:r w:rsidR="006052FE">
        <w:rPr>
          <w:rFonts w:ascii="Arial" w:hAnsi="Arial" w:cs="Arial"/>
          <w:sz w:val="24"/>
          <w:szCs w:val="24"/>
        </w:rPr>
        <w:t>,</w:t>
      </w:r>
      <w:r w:rsidR="006052FE" w:rsidRPr="009320FE">
        <w:rPr>
          <w:rFonts w:ascii="Arial" w:hAnsi="Arial" w:cs="Arial"/>
          <w:sz w:val="24"/>
          <w:szCs w:val="24"/>
        </w:rPr>
        <w:t xml:space="preserve"> </w:t>
      </w:r>
      <w:r w:rsidR="00E76829" w:rsidRPr="009320FE">
        <w:rPr>
          <w:rFonts w:ascii="Arial" w:hAnsi="Arial" w:cs="Arial"/>
          <w:sz w:val="24"/>
          <w:szCs w:val="24"/>
        </w:rPr>
        <w:t>at</w:t>
      </w:r>
      <w:r w:rsidR="00CB19C1" w:rsidRPr="009320FE">
        <w:rPr>
          <w:rFonts w:ascii="Arial" w:hAnsi="Arial" w:cs="Arial"/>
          <w:sz w:val="24"/>
          <w:szCs w:val="24"/>
        </w:rPr>
        <w:t xml:space="preserve"> the </w:t>
      </w:r>
      <w:r w:rsidR="00E76829" w:rsidRPr="009320FE">
        <w:rPr>
          <w:rFonts w:ascii="Arial" w:hAnsi="Arial" w:cs="Arial"/>
          <w:sz w:val="24"/>
          <w:szCs w:val="24"/>
        </w:rPr>
        <w:t>inception of the</w:t>
      </w:r>
      <w:r w:rsidR="001827E9" w:rsidRPr="009320FE">
        <w:rPr>
          <w:rFonts w:ascii="Arial" w:hAnsi="Arial" w:cs="Arial"/>
          <w:sz w:val="24"/>
          <w:szCs w:val="24"/>
        </w:rPr>
        <w:t xml:space="preserve"> hearing</w:t>
      </w:r>
      <w:r w:rsidR="006052FE">
        <w:rPr>
          <w:rFonts w:ascii="Arial" w:hAnsi="Arial" w:cs="Arial"/>
          <w:sz w:val="24"/>
          <w:szCs w:val="24"/>
        </w:rPr>
        <w:t>,</w:t>
      </w:r>
      <w:r w:rsidR="001827E9" w:rsidRPr="009320FE">
        <w:rPr>
          <w:rFonts w:ascii="Arial" w:hAnsi="Arial" w:cs="Arial"/>
          <w:sz w:val="24"/>
          <w:szCs w:val="24"/>
        </w:rPr>
        <w:t xml:space="preserve"> d</w:t>
      </w:r>
      <w:r w:rsidR="00D16016" w:rsidRPr="009320FE">
        <w:rPr>
          <w:rFonts w:ascii="Arial" w:hAnsi="Arial" w:cs="Arial"/>
          <w:sz w:val="24"/>
          <w:szCs w:val="24"/>
        </w:rPr>
        <w:t>id</w:t>
      </w:r>
      <w:r w:rsidR="001827E9" w:rsidRPr="009320FE">
        <w:rPr>
          <w:rFonts w:ascii="Arial" w:hAnsi="Arial" w:cs="Arial"/>
          <w:sz w:val="24"/>
          <w:szCs w:val="24"/>
        </w:rPr>
        <w:t xml:space="preserve"> not </w:t>
      </w:r>
      <w:r w:rsidR="00D16016" w:rsidRPr="009320FE">
        <w:rPr>
          <w:rFonts w:ascii="Arial" w:hAnsi="Arial" w:cs="Arial"/>
          <w:sz w:val="24"/>
          <w:szCs w:val="24"/>
        </w:rPr>
        <w:t xml:space="preserve">pursue </w:t>
      </w:r>
      <w:r w:rsidR="00A70836" w:rsidRPr="009320FE">
        <w:rPr>
          <w:rFonts w:ascii="Arial" w:hAnsi="Arial" w:cs="Arial"/>
          <w:sz w:val="24"/>
          <w:szCs w:val="24"/>
        </w:rPr>
        <w:t>the appeal</w:t>
      </w:r>
      <w:r w:rsidR="00E76829" w:rsidRPr="009320FE">
        <w:rPr>
          <w:rFonts w:ascii="Arial" w:hAnsi="Arial" w:cs="Arial"/>
          <w:sz w:val="24"/>
          <w:szCs w:val="24"/>
        </w:rPr>
        <w:t xml:space="preserve"> against the conviction</w:t>
      </w:r>
      <w:r w:rsidR="0084655C">
        <w:rPr>
          <w:rFonts w:ascii="Arial" w:hAnsi="Arial" w:cs="Arial"/>
          <w:sz w:val="24"/>
          <w:szCs w:val="24"/>
        </w:rPr>
        <w:t>. However, since</w:t>
      </w:r>
      <w:r w:rsidR="00E76829" w:rsidRPr="009320FE">
        <w:rPr>
          <w:rFonts w:ascii="Arial" w:hAnsi="Arial" w:cs="Arial"/>
          <w:sz w:val="24"/>
          <w:szCs w:val="24"/>
        </w:rPr>
        <w:t xml:space="preserve"> the</w:t>
      </w:r>
      <w:r w:rsidR="0084655C">
        <w:rPr>
          <w:rFonts w:ascii="Arial" w:hAnsi="Arial" w:cs="Arial"/>
          <w:sz w:val="24"/>
          <w:szCs w:val="24"/>
        </w:rPr>
        <w:t xml:space="preserve"> appeal against</w:t>
      </w:r>
      <w:r w:rsidR="00E76829" w:rsidRPr="009320FE">
        <w:rPr>
          <w:rFonts w:ascii="Arial" w:hAnsi="Arial" w:cs="Arial"/>
          <w:sz w:val="24"/>
          <w:szCs w:val="24"/>
        </w:rPr>
        <w:t xml:space="preserve"> conviction</w:t>
      </w:r>
      <w:r w:rsidR="0084655C">
        <w:rPr>
          <w:rFonts w:ascii="Arial" w:hAnsi="Arial" w:cs="Arial"/>
          <w:sz w:val="24"/>
          <w:szCs w:val="24"/>
        </w:rPr>
        <w:t xml:space="preserve"> was neither withdrawn or conceded,</w:t>
      </w:r>
      <w:r w:rsidR="00A70836" w:rsidRPr="009320FE">
        <w:rPr>
          <w:rFonts w:ascii="Arial" w:hAnsi="Arial" w:cs="Arial"/>
          <w:sz w:val="24"/>
          <w:szCs w:val="24"/>
        </w:rPr>
        <w:t xml:space="preserve"> </w:t>
      </w:r>
      <w:r w:rsidR="00E76829" w:rsidRPr="009320FE">
        <w:rPr>
          <w:rFonts w:ascii="Arial" w:hAnsi="Arial" w:cs="Arial"/>
          <w:sz w:val="24"/>
          <w:szCs w:val="24"/>
        </w:rPr>
        <w:t>it</w:t>
      </w:r>
      <w:r w:rsidR="00A70836" w:rsidRPr="009320FE">
        <w:rPr>
          <w:rFonts w:ascii="Arial" w:hAnsi="Arial" w:cs="Arial"/>
          <w:sz w:val="24"/>
          <w:szCs w:val="24"/>
        </w:rPr>
        <w:t xml:space="preserve"> </w:t>
      </w:r>
      <w:r w:rsidR="001F5636">
        <w:rPr>
          <w:rFonts w:ascii="Arial" w:hAnsi="Arial" w:cs="Arial"/>
          <w:sz w:val="24"/>
          <w:szCs w:val="24"/>
        </w:rPr>
        <w:t xml:space="preserve">becomes </w:t>
      </w:r>
      <w:r w:rsidR="00E76829" w:rsidRPr="009320FE">
        <w:rPr>
          <w:rFonts w:ascii="Arial" w:hAnsi="Arial" w:cs="Arial"/>
          <w:sz w:val="24"/>
          <w:szCs w:val="24"/>
        </w:rPr>
        <w:t>necessary</w:t>
      </w:r>
      <w:r w:rsidR="0084655C">
        <w:rPr>
          <w:rFonts w:ascii="Arial" w:hAnsi="Arial" w:cs="Arial"/>
          <w:sz w:val="24"/>
          <w:szCs w:val="24"/>
        </w:rPr>
        <w:t xml:space="preserve"> for the sake of completeness</w:t>
      </w:r>
      <w:r w:rsidR="00E76829" w:rsidRPr="009320FE">
        <w:rPr>
          <w:rFonts w:ascii="Arial" w:hAnsi="Arial" w:cs="Arial"/>
          <w:sz w:val="24"/>
          <w:szCs w:val="24"/>
        </w:rPr>
        <w:t xml:space="preserve"> to </w:t>
      </w:r>
      <w:r w:rsidR="00A70836" w:rsidRPr="009320FE">
        <w:rPr>
          <w:rFonts w:ascii="Arial" w:hAnsi="Arial" w:cs="Arial"/>
          <w:sz w:val="24"/>
          <w:szCs w:val="24"/>
        </w:rPr>
        <w:t xml:space="preserve">evaluate the evidence relating </w:t>
      </w:r>
      <w:r w:rsidR="006052FE">
        <w:rPr>
          <w:rFonts w:ascii="Arial" w:hAnsi="Arial" w:cs="Arial"/>
          <w:sz w:val="24"/>
          <w:szCs w:val="24"/>
        </w:rPr>
        <w:t>thereto</w:t>
      </w:r>
      <w:r w:rsidR="00A70836" w:rsidRPr="009320FE">
        <w:rPr>
          <w:rFonts w:ascii="Arial" w:hAnsi="Arial" w:cs="Arial"/>
          <w:sz w:val="24"/>
          <w:szCs w:val="24"/>
        </w:rPr>
        <w:t>.</w:t>
      </w:r>
    </w:p>
    <w:p w:rsidR="009C0811" w:rsidRPr="009320FE" w:rsidRDefault="009C0811" w:rsidP="009320FE">
      <w:pPr>
        <w:spacing w:after="0" w:line="360" w:lineRule="auto"/>
        <w:contextualSpacing/>
        <w:jc w:val="both"/>
        <w:rPr>
          <w:rFonts w:ascii="Arial" w:hAnsi="Arial" w:cs="Arial"/>
          <w:sz w:val="24"/>
          <w:szCs w:val="24"/>
        </w:rPr>
      </w:pPr>
    </w:p>
    <w:p w:rsidR="00132C05" w:rsidRDefault="009C0811" w:rsidP="009320FE">
      <w:pPr>
        <w:spacing w:after="0" w:line="360" w:lineRule="auto"/>
        <w:contextualSpacing/>
        <w:jc w:val="both"/>
        <w:rPr>
          <w:rFonts w:ascii="Arial" w:hAnsi="Arial" w:cs="Arial"/>
          <w:b/>
          <w:sz w:val="24"/>
          <w:szCs w:val="24"/>
        </w:rPr>
      </w:pPr>
      <w:r w:rsidRPr="00177A1D">
        <w:rPr>
          <w:rFonts w:ascii="Arial" w:hAnsi="Arial" w:cs="Arial"/>
          <w:b/>
          <w:sz w:val="24"/>
          <w:szCs w:val="24"/>
        </w:rPr>
        <w:t>Conviction</w:t>
      </w:r>
    </w:p>
    <w:p w:rsidR="00F07A42" w:rsidRDefault="009C0811" w:rsidP="009320FE">
      <w:pPr>
        <w:spacing w:after="0" w:line="360" w:lineRule="auto"/>
        <w:contextualSpacing/>
        <w:jc w:val="both"/>
        <w:rPr>
          <w:rFonts w:ascii="Arial" w:hAnsi="Arial" w:cs="Arial"/>
          <w:b/>
          <w:i/>
          <w:sz w:val="24"/>
          <w:szCs w:val="24"/>
        </w:rPr>
      </w:pPr>
      <w:r w:rsidRPr="00177A1D">
        <w:rPr>
          <w:rFonts w:ascii="Arial" w:hAnsi="Arial" w:cs="Arial"/>
          <w:b/>
          <w:sz w:val="24"/>
          <w:szCs w:val="24"/>
        </w:rPr>
        <w:t xml:space="preserve"> </w:t>
      </w:r>
      <w:r w:rsidR="00F07A42" w:rsidRPr="00F07A42">
        <w:rPr>
          <w:rFonts w:ascii="Arial" w:hAnsi="Arial" w:cs="Arial"/>
          <w:b/>
          <w:i/>
          <w:sz w:val="24"/>
          <w:szCs w:val="24"/>
        </w:rPr>
        <w:t>The State’s case</w:t>
      </w:r>
    </w:p>
    <w:p w:rsidR="00132C05" w:rsidRPr="00F07A42" w:rsidRDefault="00132C05" w:rsidP="009320FE">
      <w:pPr>
        <w:spacing w:after="0" w:line="360" w:lineRule="auto"/>
        <w:contextualSpacing/>
        <w:jc w:val="both"/>
        <w:rPr>
          <w:rFonts w:ascii="Arial" w:hAnsi="Arial" w:cs="Arial"/>
          <w:b/>
          <w:i/>
          <w:sz w:val="24"/>
          <w:szCs w:val="24"/>
        </w:rPr>
      </w:pPr>
    </w:p>
    <w:p w:rsidR="00C42812" w:rsidRPr="009320FE" w:rsidRDefault="00B223A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132C05">
        <w:rPr>
          <w:rFonts w:ascii="Arial" w:hAnsi="Arial" w:cs="Arial"/>
          <w:sz w:val="24"/>
          <w:szCs w:val="24"/>
        </w:rPr>
        <w:t>6</w:t>
      </w:r>
      <w:r w:rsidR="00A70836" w:rsidRPr="009320FE">
        <w:rPr>
          <w:rFonts w:ascii="Arial" w:hAnsi="Arial" w:cs="Arial"/>
          <w:sz w:val="24"/>
          <w:szCs w:val="24"/>
        </w:rPr>
        <w:t>]</w:t>
      </w:r>
      <w:r w:rsidR="00177A1D">
        <w:rPr>
          <w:rFonts w:ascii="Arial" w:hAnsi="Arial" w:cs="Arial"/>
          <w:sz w:val="24"/>
          <w:szCs w:val="24"/>
        </w:rPr>
        <w:tab/>
      </w:r>
      <w:r w:rsidR="00A70836" w:rsidRPr="009320FE">
        <w:rPr>
          <w:rFonts w:ascii="Arial" w:hAnsi="Arial" w:cs="Arial"/>
          <w:sz w:val="24"/>
          <w:szCs w:val="24"/>
        </w:rPr>
        <w:t>T</w:t>
      </w:r>
      <w:r w:rsidR="009C0811" w:rsidRPr="009320FE">
        <w:rPr>
          <w:rFonts w:ascii="Arial" w:hAnsi="Arial" w:cs="Arial"/>
          <w:sz w:val="24"/>
          <w:szCs w:val="24"/>
        </w:rPr>
        <w:t>he charge arise</w:t>
      </w:r>
      <w:r w:rsidR="00725DAD">
        <w:rPr>
          <w:rFonts w:ascii="Arial" w:hAnsi="Arial" w:cs="Arial"/>
          <w:sz w:val="24"/>
          <w:szCs w:val="24"/>
        </w:rPr>
        <w:t>s</w:t>
      </w:r>
      <w:r w:rsidR="009C0811" w:rsidRPr="009320FE">
        <w:rPr>
          <w:rFonts w:ascii="Arial" w:hAnsi="Arial" w:cs="Arial"/>
          <w:sz w:val="24"/>
          <w:szCs w:val="24"/>
        </w:rPr>
        <w:t xml:space="preserve"> from an</w:t>
      </w:r>
      <w:r w:rsidR="00A70836" w:rsidRPr="009320FE">
        <w:rPr>
          <w:rFonts w:ascii="Arial" w:hAnsi="Arial" w:cs="Arial"/>
          <w:sz w:val="24"/>
          <w:szCs w:val="24"/>
        </w:rPr>
        <w:t xml:space="preserve"> incident</w:t>
      </w:r>
      <w:r w:rsidR="009C0811" w:rsidRPr="009320FE">
        <w:rPr>
          <w:rFonts w:ascii="Arial" w:hAnsi="Arial" w:cs="Arial"/>
          <w:sz w:val="24"/>
          <w:szCs w:val="24"/>
        </w:rPr>
        <w:t xml:space="preserve"> which occurred on the night of 25 March 2017 at about 8</w:t>
      </w:r>
      <w:r w:rsidR="00CD3665">
        <w:rPr>
          <w:rFonts w:ascii="Arial" w:hAnsi="Arial" w:cs="Arial"/>
          <w:sz w:val="24"/>
          <w:szCs w:val="24"/>
        </w:rPr>
        <w:t>.</w:t>
      </w:r>
      <w:r w:rsidR="009C0811" w:rsidRPr="009320FE">
        <w:rPr>
          <w:rFonts w:ascii="Arial" w:hAnsi="Arial" w:cs="Arial"/>
          <w:sz w:val="24"/>
          <w:szCs w:val="24"/>
        </w:rPr>
        <w:t>30 pm</w:t>
      </w:r>
      <w:r w:rsidR="006052FE">
        <w:rPr>
          <w:rFonts w:ascii="Arial" w:hAnsi="Arial" w:cs="Arial"/>
          <w:sz w:val="24"/>
          <w:szCs w:val="24"/>
        </w:rPr>
        <w:t>,</w:t>
      </w:r>
      <w:r w:rsidR="009C0811" w:rsidRPr="009320FE">
        <w:rPr>
          <w:rFonts w:ascii="Arial" w:hAnsi="Arial" w:cs="Arial"/>
          <w:sz w:val="24"/>
          <w:szCs w:val="24"/>
        </w:rPr>
        <w:t xml:space="preserve"> when the complainant</w:t>
      </w:r>
      <w:r w:rsidR="00D16016" w:rsidRPr="009320FE">
        <w:rPr>
          <w:rFonts w:ascii="Arial" w:hAnsi="Arial" w:cs="Arial"/>
          <w:sz w:val="24"/>
          <w:szCs w:val="24"/>
        </w:rPr>
        <w:t>,</w:t>
      </w:r>
      <w:r w:rsidR="009C0811" w:rsidRPr="009320FE">
        <w:rPr>
          <w:rFonts w:ascii="Arial" w:hAnsi="Arial" w:cs="Arial"/>
          <w:sz w:val="24"/>
          <w:szCs w:val="24"/>
        </w:rPr>
        <w:t xml:space="preserve"> whilst walking on her way home</w:t>
      </w:r>
      <w:r w:rsidR="00F07A42">
        <w:rPr>
          <w:rFonts w:ascii="Arial" w:hAnsi="Arial" w:cs="Arial"/>
          <w:sz w:val="24"/>
          <w:szCs w:val="24"/>
        </w:rPr>
        <w:t>,</w:t>
      </w:r>
      <w:r w:rsidR="009C0811" w:rsidRPr="009320FE">
        <w:rPr>
          <w:rFonts w:ascii="Arial" w:hAnsi="Arial" w:cs="Arial"/>
          <w:sz w:val="24"/>
          <w:szCs w:val="24"/>
        </w:rPr>
        <w:t xml:space="preserve"> was accosted by an unknown male person, w</w:t>
      </w:r>
      <w:r w:rsidR="001E64AB" w:rsidRPr="009320FE">
        <w:rPr>
          <w:rFonts w:ascii="Arial" w:hAnsi="Arial" w:cs="Arial"/>
          <w:sz w:val="24"/>
          <w:szCs w:val="24"/>
        </w:rPr>
        <w:t xml:space="preserve">ho was later identified as the </w:t>
      </w:r>
      <w:r w:rsidR="006052FE" w:rsidRPr="009320FE">
        <w:rPr>
          <w:rFonts w:ascii="Arial" w:hAnsi="Arial" w:cs="Arial"/>
          <w:sz w:val="24"/>
          <w:szCs w:val="24"/>
        </w:rPr>
        <w:t>appellant</w:t>
      </w:r>
      <w:r w:rsidR="009C0811" w:rsidRPr="009320FE">
        <w:rPr>
          <w:rFonts w:ascii="Arial" w:hAnsi="Arial" w:cs="Arial"/>
          <w:sz w:val="24"/>
          <w:szCs w:val="24"/>
        </w:rPr>
        <w:t>.</w:t>
      </w:r>
      <w:r w:rsidR="001E64AB" w:rsidRPr="009320FE">
        <w:rPr>
          <w:rFonts w:ascii="Arial" w:hAnsi="Arial" w:cs="Arial"/>
          <w:sz w:val="24"/>
          <w:szCs w:val="24"/>
        </w:rPr>
        <w:t xml:space="preserve"> </w:t>
      </w:r>
    </w:p>
    <w:p w:rsidR="00F07A42" w:rsidRPr="00F07A42" w:rsidRDefault="00F07A42" w:rsidP="009320FE">
      <w:pPr>
        <w:spacing w:after="0" w:line="360" w:lineRule="auto"/>
        <w:contextualSpacing/>
        <w:jc w:val="both"/>
        <w:rPr>
          <w:rFonts w:ascii="Arial" w:hAnsi="Arial" w:cs="Arial"/>
          <w:sz w:val="24"/>
          <w:szCs w:val="24"/>
        </w:rPr>
      </w:pPr>
    </w:p>
    <w:p w:rsidR="00177A1D"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132C05">
        <w:rPr>
          <w:rFonts w:ascii="Arial" w:hAnsi="Arial" w:cs="Arial"/>
          <w:sz w:val="24"/>
          <w:szCs w:val="24"/>
        </w:rPr>
        <w:t>7</w:t>
      </w:r>
      <w:r w:rsidR="00B53395" w:rsidRPr="009320FE">
        <w:rPr>
          <w:rFonts w:ascii="Arial" w:hAnsi="Arial" w:cs="Arial"/>
          <w:sz w:val="24"/>
          <w:szCs w:val="24"/>
        </w:rPr>
        <w:t>]</w:t>
      </w:r>
      <w:r w:rsidR="00177A1D">
        <w:rPr>
          <w:rFonts w:ascii="Arial" w:hAnsi="Arial" w:cs="Arial"/>
          <w:sz w:val="24"/>
          <w:szCs w:val="24"/>
        </w:rPr>
        <w:tab/>
      </w:r>
      <w:r w:rsidR="00B53395" w:rsidRPr="009320FE">
        <w:rPr>
          <w:rFonts w:ascii="Arial" w:hAnsi="Arial" w:cs="Arial"/>
          <w:sz w:val="24"/>
          <w:szCs w:val="24"/>
        </w:rPr>
        <w:t>The complainant was grabbed by the neck and pushed to the ground by the assailant who removed her pants and underwear</w:t>
      </w:r>
      <w:r w:rsidR="00F07A42">
        <w:rPr>
          <w:rFonts w:ascii="Arial" w:hAnsi="Arial" w:cs="Arial"/>
          <w:sz w:val="24"/>
          <w:szCs w:val="24"/>
        </w:rPr>
        <w:t xml:space="preserve">. </w:t>
      </w:r>
      <w:r w:rsidR="008D0BCC">
        <w:rPr>
          <w:rFonts w:ascii="Arial" w:hAnsi="Arial" w:cs="Arial"/>
          <w:sz w:val="24"/>
          <w:szCs w:val="24"/>
        </w:rPr>
        <w:t xml:space="preserve">He </w:t>
      </w:r>
      <w:r w:rsidR="00B53395" w:rsidRPr="009320FE">
        <w:rPr>
          <w:rFonts w:ascii="Arial" w:hAnsi="Arial" w:cs="Arial"/>
          <w:sz w:val="24"/>
          <w:szCs w:val="24"/>
        </w:rPr>
        <w:t>then proceeded to have sexual intercourse with her twice</w:t>
      </w:r>
      <w:r w:rsidR="001E64AB" w:rsidRPr="009320FE">
        <w:rPr>
          <w:rFonts w:ascii="Arial" w:hAnsi="Arial" w:cs="Arial"/>
          <w:sz w:val="24"/>
          <w:szCs w:val="24"/>
        </w:rPr>
        <w:t xml:space="preserve"> in quick </w:t>
      </w:r>
      <w:r w:rsidR="00725DAD">
        <w:rPr>
          <w:rFonts w:ascii="Arial" w:hAnsi="Arial" w:cs="Arial"/>
          <w:sz w:val="24"/>
          <w:szCs w:val="24"/>
        </w:rPr>
        <w:t>succession</w:t>
      </w:r>
      <w:r w:rsidR="00F07A42">
        <w:rPr>
          <w:rFonts w:ascii="Arial" w:hAnsi="Arial" w:cs="Arial"/>
          <w:sz w:val="24"/>
          <w:szCs w:val="24"/>
        </w:rPr>
        <w:t>,</w:t>
      </w:r>
      <w:r w:rsidR="00B53395" w:rsidRPr="009320FE">
        <w:rPr>
          <w:rFonts w:ascii="Arial" w:hAnsi="Arial" w:cs="Arial"/>
          <w:sz w:val="24"/>
          <w:szCs w:val="24"/>
        </w:rPr>
        <w:t xml:space="preserve"> without her consent</w:t>
      </w:r>
      <w:r w:rsidR="001E64AB" w:rsidRPr="009320FE">
        <w:rPr>
          <w:rFonts w:ascii="Arial" w:hAnsi="Arial" w:cs="Arial"/>
          <w:sz w:val="24"/>
          <w:szCs w:val="24"/>
        </w:rPr>
        <w:t>. O</w:t>
      </w:r>
      <w:r w:rsidR="00B53395" w:rsidRPr="009320FE">
        <w:rPr>
          <w:rFonts w:ascii="Arial" w:hAnsi="Arial" w:cs="Arial"/>
          <w:sz w:val="24"/>
          <w:szCs w:val="24"/>
        </w:rPr>
        <w:t xml:space="preserve">n both occasions he ejaculated </w:t>
      </w:r>
      <w:r w:rsidR="001E64AB" w:rsidRPr="009320FE">
        <w:rPr>
          <w:rFonts w:ascii="Arial" w:hAnsi="Arial" w:cs="Arial"/>
          <w:sz w:val="24"/>
          <w:szCs w:val="24"/>
        </w:rPr>
        <w:t>and when she began crying aloud</w:t>
      </w:r>
      <w:r w:rsidR="00D16016" w:rsidRPr="009320FE">
        <w:rPr>
          <w:rFonts w:ascii="Arial" w:hAnsi="Arial" w:cs="Arial"/>
          <w:sz w:val="24"/>
          <w:szCs w:val="24"/>
        </w:rPr>
        <w:t>,</w:t>
      </w:r>
      <w:r w:rsidR="00B53395" w:rsidRPr="009320FE">
        <w:rPr>
          <w:rFonts w:ascii="Arial" w:hAnsi="Arial" w:cs="Arial"/>
          <w:sz w:val="24"/>
          <w:szCs w:val="24"/>
        </w:rPr>
        <w:t xml:space="preserve"> he threatened her with</w:t>
      </w:r>
      <w:r w:rsidR="00D16016" w:rsidRPr="009320FE">
        <w:rPr>
          <w:rFonts w:ascii="Arial" w:hAnsi="Arial" w:cs="Arial"/>
          <w:sz w:val="24"/>
          <w:szCs w:val="24"/>
        </w:rPr>
        <w:t xml:space="preserve"> a</w:t>
      </w:r>
      <w:r w:rsidR="00B53395" w:rsidRPr="009320FE">
        <w:rPr>
          <w:rFonts w:ascii="Arial" w:hAnsi="Arial" w:cs="Arial"/>
          <w:sz w:val="24"/>
          <w:szCs w:val="24"/>
        </w:rPr>
        <w:t xml:space="preserve"> knife.</w:t>
      </w:r>
      <w:r w:rsidR="00F07A42">
        <w:rPr>
          <w:rFonts w:ascii="Arial" w:hAnsi="Arial" w:cs="Arial"/>
          <w:sz w:val="24"/>
          <w:szCs w:val="24"/>
        </w:rPr>
        <w:t xml:space="preserve"> </w:t>
      </w:r>
      <w:r w:rsidR="00F07A42" w:rsidRPr="009320FE">
        <w:rPr>
          <w:rFonts w:ascii="Arial" w:hAnsi="Arial" w:cs="Arial"/>
          <w:sz w:val="24"/>
          <w:szCs w:val="24"/>
        </w:rPr>
        <w:t xml:space="preserve">The injuries sustained were limited to scratch marks on </w:t>
      </w:r>
      <w:r w:rsidR="00725DAD">
        <w:rPr>
          <w:rFonts w:ascii="Arial" w:hAnsi="Arial" w:cs="Arial"/>
          <w:sz w:val="24"/>
          <w:szCs w:val="24"/>
        </w:rPr>
        <w:t xml:space="preserve">the </w:t>
      </w:r>
      <w:r w:rsidR="00F07A42" w:rsidRPr="009320FE">
        <w:rPr>
          <w:rFonts w:ascii="Arial" w:hAnsi="Arial" w:cs="Arial"/>
          <w:sz w:val="24"/>
          <w:szCs w:val="24"/>
        </w:rPr>
        <w:t>complainant</w:t>
      </w:r>
      <w:r w:rsidR="00725DAD">
        <w:rPr>
          <w:rFonts w:ascii="Arial" w:hAnsi="Arial" w:cs="Arial"/>
          <w:sz w:val="24"/>
          <w:szCs w:val="24"/>
        </w:rPr>
        <w:t>’s</w:t>
      </w:r>
      <w:r w:rsidR="00F07A42" w:rsidRPr="009320FE">
        <w:rPr>
          <w:rFonts w:ascii="Arial" w:hAnsi="Arial" w:cs="Arial"/>
          <w:sz w:val="24"/>
          <w:szCs w:val="24"/>
        </w:rPr>
        <w:t xml:space="preserve"> legs and right hand</w:t>
      </w:r>
      <w:r w:rsidR="0012311E">
        <w:rPr>
          <w:rFonts w:ascii="Arial" w:hAnsi="Arial" w:cs="Arial"/>
          <w:sz w:val="24"/>
          <w:szCs w:val="24"/>
        </w:rPr>
        <w:t>.</w:t>
      </w:r>
    </w:p>
    <w:p w:rsidR="000001FA" w:rsidRPr="009320FE" w:rsidRDefault="000001FA" w:rsidP="009320FE">
      <w:pPr>
        <w:spacing w:after="0" w:line="360" w:lineRule="auto"/>
        <w:contextualSpacing/>
        <w:jc w:val="both"/>
        <w:rPr>
          <w:rFonts w:ascii="Arial" w:hAnsi="Arial" w:cs="Arial"/>
          <w:sz w:val="24"/>
          <w:szCs w:val="24"/>
        </w:rPr>
      </w:pPr>
    </w:p>
    <w:p w:rsidR="004367FC"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132C05">
        <w:rPr>
          <w:rFonts w:ascii="Arial" w:hAnsi="Arial" w:cs="Arial"/>
          <w:sz w:val="24"/>
          <w:szCs w:val="24"/>
        </w:rPr>
        <w:t>8</w:t>
      </w:r>
      <w:r w:rsidR="00B53395" w:rsidRPr="009320FE">
        <w:rPr>
          <w:rFonts w:ascii="Arial" w:hAnsi="Arial" w:cs="Arial"/>
          <w:sz w:val="24"/>
          <w:szCs w:val="24"/>
        </w:rPr>
        <w:t>]</w:t>
      </w:r>
      <w:r w:rsidR="00177A1D">
        <w:rPr>
          <w:rFonts w:ascii="Arial" w:hAnsi="Arial" w:cs="Arial"/>
          <w:sz w:val="24"/>
          <w:szCs w:val="24"/>
        </w:rPr>
        <w:tab/>
      </w:r>
      <w:r w:rsidR="00B53395" w:rsidRPr="009320FE">
        <w:rPr>
          <w:rFonts w:ascii="Arial" w:hAnsi="Arial" w:cs="Arial"/>
          <w:sz w:val="24"/>
          <w:szCs w:val="24"/>
        </w:rPr>
        <w:t xml:space="preserve">Although the complainant saw the assailant </w:t>
      </w:r>
      <w:r w:rsidR="00F07A42">
        <w:rPr>
          <w:rFonts w:ascii="Arial" w:hAnsi="Arial" w:cs="Arial"/>
          <w:sz w:val="24"/>
          <w:szCs w:val="24"/>
        </w:rPr>
        <w:t xml:space="preserve">for the first time </w:t>
      </w:r>
      <w:r w:rsidR="00B53395" w:rsidRPr="009320FE">
        <w:rPr>
          <w:rFonts w:ascii="Arial" w:hAnsi="Arial" w:cs="Arial"/>
          <w:sz w:val="24"/>
          <w:szCs w:val="24"/>
        </w:rPr>
        <w:t xml:space="preserve">on the night in </w:t>
      </w:r>
      <w:r w:rsidR="004367FC" w:rsidRPr="009320FE">
        <w:rPr>
          <w:rFonts w:ascii="Arial" w:hAnsi="Arial" w:cs="Arial"/>
          <w:sz w:val="24"/>
          <w:szCs w:val="24"/>
        </w:rPr>
        <w:t>question, she</w:t>
      </w:r>
      <w:r w:rsidR="00B53395" w:rsidRPr="009320FE">
        <w:rPr>
          <w:rFonts w:ascii="Arial" w:hAnsi="Arial" w:cs="Arial"/>
          <w:sz w:val="24"/>
          <w:szCs w:val="24"/>
        </w:rPr>
        <w:t xml:space="preserve"> was able to see his face as he had </w:t>
      </w:r>
      <w:r w:rsidR="00725DAD">
        <w:rPr>
          <w:rFonts w:ascii="Arial" w:hAnsi="Arial" w:cs="Arial"/>
          <w:sz w:val="24"/>
          <w:szCs w:val="24"/>
        </w:rPr>
        <w:t xml:space="preserve">switched </w:t>
      </w:r>
      <w:r w:rsidR="00B53395" w:rsidRPr="009320FE">
        <w:rPr>
          <w:rFonts w:ascii="Arial" w:hAnsi="Arial" w:cs="Arial"/>
          <w:sz w:val="24"/>
          <w:szCs w:val="24"/>
        </w:rPr>
        <w:t>the torch of his cellular phone on</w:t>
      </w:r>
      <w:r w:rsidR="00725DAD">
        <w:rPr>
          <w:rFonts w:ascii="Arial" w:hAnsi="Arial" w:cs="Arial"/>
          <w:sz w:val="24"/>
          <w:szCs w:val="24"/>
        </w:rPr>
        <w:t>,</w:t>
      </w:r>
      <w:r w:rsidR="001E64AB" w:rsidRPr="009320FE">
        <w:rPr>
          <w:rFonts w:ascii="Arial" w:hAnsi="Arial" w:cs="Arial"/>
          <w:sz w:val="24"/>
          <w:szCs w:val="24"/>
        </w:rPr>
        <w:t xml:space="preserve"> and the scr</w:t>
      </w:r>
      <w:r w:rsidR="00D16016" w:rsidRPr="009320FE">
        <w:rPr>
          <w:rFonts w:ascii="Arial" w:hAnsi="Arial" w:cs="Arial"/>
          <w:sz w:val="24"/>
          <w:szCs w:val="24"/>
        </w:rPr>
        <w:t>een light of his</w:t>
      </w:r>
      <w:r w:rsidR="001E64AB" w:rsidRPr="009320FE">
        <w:rPr>
          <w:rFonts w:ascii="Arial" w:hAnsi="Arial" w:cs="Arial"/>
          <w:sz w:val="24"/>
          <w:szCs w:val="24"/>
        </w:rPr>
        <w:t xml:space="preserve"> phone</w:t>
      </w:r>
      <w:r w:rsidR="00B53395" w:rsidRPr="009320FE">
        <w:rPr>
          <w:rFonts w:ascii="Arial" w:hAnsi="Arial" w:cs="Arial"/>
          <w:sz w:val="24"/>
          <w:szCs w:val="24"/>
        </w:rPr>
        <w:t xml:space="preserve"> reflected on his face</w:t>
      </w:r>
      <w:r w:rsidR="001E64AB" w:rsidRPr="009320FE">
        <w:rPr>
          <w:rFonts w:ascii="Arial" w:hAnsi="Arial" w:cs="Arial"/>
          <w:sz w:val="24"/>
          <w:szCs w:val="24"/>
        </w:rPr>
        <w:t xml:space="preserve">. </w:t>
      </w:r>
      <w:r w:rsidR="007B0733">
        <w:rPr>
          <w:rFonts w:ascii="Arial" w:hAnsi="Arial" w:cs="Arial"/>
          <w:sz w:val="24"/>
          <w:szCs w:val="24"/>
        </w:rPr>
        <w:t>S</w:t>
      </w:r>
      <w:r w:rsidR="004367FC" w:rsidRPr="009320FE">
        <w:rPr>
          <w:rFonts w:ascii="Arial" w:hAnsi="Arial" w:cs="Arial"/>
          <w:sz w:val="24"/>
          <w:szCs w:val="24"/>
        </w:rPr>
        <w:t xml:space="preserve">he described the assailant as having dreadlocks </w:t>
      </w:r>
      <w:r w:rsidR="00513497">
        <w:rPr>
          <w:rFonts w:ascii="Arial" w:hAnsi="Arial" w:cs="Arial"/>
          <w:sz w:val="24"/>
          <w:szCs w:val="24"/>
        </w:rPr>
        <w:t>and that he</w:t>
      </w:r>
      <w:r w:rsidR="004367FC" w:rsidRPr="009320FE">
        <w:rPr>
          <w:rFonts w:ascii="Arial" w:hAnsi="Arial" w:cs="Arial"/>
          <w:sz w:val="24"/>
          <w:szCs w:val="24"/>
        </w:rPr>
        <w:t xml:space="preserve"> wore white gumboots, a straight cap</w:t>
      </w:r>
      <w:r w:rsidR="00513497">
        <w:rPr>
          <w:rFonts w:ascii="Arial" w:hAnsi="Arial" w:cs="Arial"/>
          <w:sz w:val="24"/>
          <w:szCs w:val="24"/>
        </w:rPr>
        <w:t>,</w:t>
      </w:r>
      <w:r w:rsidR="004367FC" w:rsidRPr="009320FE">
        <w:rPr>
          <w:rFonts w:ascii="Arial" w:hAnsi="Arial" w:cs="Arial"/>
          <w:sz w:val="24"/>
          <w:szCs w:val="24"/>
        </w:rPr>
        <w:t xml:space="preserve"> and grey trousers at the time of the incident</w:t>
      </w:r>
      <w:r w:rsidR="007B0733">
        <w:rPr>
          <w:rFonts w:ascii="Arial" w:hAnsi="Arial" w:cs="Arial"/>
          <w:sz w:val="24"/>
          <w:szCs w:val="24"/>
        </w:rPr>
        <w:t>.</w:t>
      </w:r>
      <w:r w:rsidR="004367FC" w:rsidRPr="009320FE">
        <w:rPr>
          <w:rFonts w:ascii="Arial" w:hAnsi="Arial" w:cs="Arial"/>
          <w:sz w:val="24"/>
          <w:szCs w:val="24"/>
        </w:rPr>
        <w:t xml:space="preserve"> </w:t>
      </w:r>
      <w:r w:rsidR="007B0733">
        <w:rPr>
          <w:rFonts w:ascii="Arial" w:hAnsi="Arial" w:cs="Arial"/>
          <w:sz w:val="24"/>
          <w:szCs w:val="24"/>
        </w:rPr>
        <w:t>S</w:t>
      </w:r>
      <w:r w:rsidR="004367FC" w:rsidRPr="009320FE">
        <w:rPr>
          <w:rFonts w:ascii="Arial" w:hAnsi="Arial" w:cs="Arial"/>
          <w:sz w:val="24"/>
          <w:szCs w:val="24"/>
        </w:rPr>
        <w:t xml:space="preserve">he was confident of being able to identify the assailant as she </w:t>
      </w:r>
      <w:r w:rsidR="007B0733">
        <w:rPr>
          <w:rFonts w:ascii="Arial" w:hAnsi="Arial" w:cs="Arial"/>
          <w:sz w:val="24"/>
          <w:szCs w:val="24"/>
        </w:rPr>
        <w:t>had</w:t>
      </w:r>
      <w:r w:rsidR="007B0733" w:rsidRPr="009320FE">
        <w:rPr>
          <w:rFonts w:ascii="Arial" w:hAnsi="Arial" w:cs="Arial"/>
          <w:sz w:val="24"/>
          <w:szCs w:val="24"/>
        </w:rPr>
        <w:t xml:space="preserve"> </w:t>
      </w:r>
      <w:r w:rsidR="004367FC" w:rsidRPr="009320FE">
        <w:rPr>
          <w:rFonts w:ascii="Arial" w:hAnsi="Arial" w:cs="Arial"/>
          <w:sz w:val="24"/>
          <w:szCs w:val="24"/>
        </w:rPr>
        <w:t>clearly seen his face.</w:t>
      </w:r>
    </w:p>
    <w:p w:rsidR="004367FC" w:rsidRPr="009320FE" w:rsidRDefault="004367FC" w:rsidP="009320FE">
      <w:pPr>
        <w:spacing w:after="0" w:line="360" w:lineRule="auto"/>
        <w:contextualSpacing/>
        <w:jc w:val="both"/>
        <w:rPr>
          <w:rFonts w:ascii="Arial" w:hAnsi="Arial" w:cs="Arial"/>
          <w:sz w:val="24"/>
          <w:szCs w:val="24"/>
        </w:rPr>
      </w:pPr>
    </w:p>
    <w:p w:rsidR="004367FC"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E7E02">
        <w:rPr>
          <w:rFonts w:ascii="Arial" w:hAnsi="Arial" w:cs="Arial"/>
          <w:sz w:val="24"/>
          <w:szCs w:val="24"/>
        </w:rPr>
        <w:t>9</w:t>
      </w:r>
      <w:r w:rsidRPr="009320FE">
        <w:rPr>
          <w:rFonts w:ascii="Arial" w:hAnsi="Arial" w:cs="Arial"/>
          <w:sz w:val="24"/>
          <w:szCs w:val="24"/>
        </w:rPr>
        <w:t>]</w:t>
      </w:r>
      <w:r w:rsidR="00177A1D">
        <w:rPr>
          <w:rFonts w:ascii="Arial" w:hAnsi="Arial" w:cs="Arial"/>
          <w:sz w:val="24"/>
          <w:szCs w:val="24"/>
        </w:rPr>
        <w:tab/>
      </w:r>
      <w:r w:rsidR="001E64AB" w:rsidRPr="009320FE">
        <w:rPr>
          <w:rFonts w:ascii="Arial" w:hAnsi="Arial" w:cs="Arial"/>
          <w:sz w:val="24"/>
          <w:szCs w:val="24"/>
        </w:rPr>
        <w:t>She managed to escape in a half</w:t>
      </w:r>
      <w:r w:rsidR="006E1E56" w:rsidRPr="009320FE">
        <w:rPr>
          <w:rFonts w:ascii="Arial" w:hAnsi="Arial" w:cs="Arial"/>
          <w:sz w:val="24"/>
          <w:szCs w:val="24"/>
        </w:rPr>
        <w:t xml:space="preserve">-naked </w:t>
      </w:r>
      <w:r w:rsidR="001E64AB" w:rsidRPr="009320FE">
        <w:rPr>
          <w:rFonts w:ascii="Arial" w:hAnsi="Arial" w:cs="Arial"/>
          <w:sz w:val="24"/>
          <w:szCs w:val="24"/>
        </w:rPr>
        <w:t xml:space="preserve">state </w:t>
      </w:r>
      <w:r w:rsidR="00757A12">
        <w:rPr>
          <w:rFonts w:ascii="Arial" w:hAnsi="Arial" w:cs="Arial"/>
          <w:sz w:val="24"/>
          <w:szCs w:val="24"/>
        </w:rPr>
        <w:t xml:space="preserve">at a time </w:t>
      </w:r>
      <w:r w:rsidR="006E1E56" w:rsidRPr="009320FE">
        <w:rPr>
          <w:rFonts w:ascii="Arial" w:hAnsi="Arial" w:cs="Arial"/>
          <w:sz w:val="24"/>
          <w:szCs w:val="24"/>
        </w:rPr>
        <w:t>when the assailant lay</w:t>
      </w:r>
      <w:r w:rsidR="00200AB8" w:rsidRPr="009320FE">
        <w:rPr>
          <w:rFonts w:ascii="Arial" w:hAnsi="Arial" w:cs="Arial"/>
          <w:sz w:val="24"/>
          <w:szCs w:val="24"/>
        </w:rPr>
        <w:t xml:space="preserve"> resting</w:t>
      </w:r>
      <w:r w:rsidR="006E1E56" w:rsidRPr="009320FE">
        <w:rPr>
          <w:rFonts w:ascii="Arial" w:hAnsi="Arial" w:cs="Arial"/>
          <w:sz w:val="24"/>
          <w:szCs w:val="24"/>
        </w:rPr>
        <w:t xml:space="preserve"> on the ground aft</w:t>
      </w:r>
      <w:r w:rsidR="00200AB8" w:rsidRPr="009320FE">
        <w:rPr>
          <w:rFonts w:ascii="Arial" w:hAnsi="Arial" w:cs="Arial"/>
          <w:sz w:val="24"/>
          <w:szCs w:val="24"/>
        </w:rPr>
        <w:t xml:space="preserve">er he </w:t>
      </w:r>
      <w:r w:rsidR="00513497">
        <w:rPr>
          <w:rFonts w:ascii="Arial" w:hAnsi="Arial" w:cs="Arial"/>
          <w:sz w:val="24"/>
          <w:szCs w:val="24"/>
        </w:rPr>
        <w:t xml:space="preserve">had </w:t>
      </w:r>
      <w:r w:rsidR="00200AB8" w:rsidRPr="009320FE">
        <w:rPr>
          <w:rFonts w:ascii="Arial" w:hAnsi="Arial" w:cs="Arial"/>
          <w:sz w:val="24"/>
          <w:szCs w:val="24"/>
        </w:rPr>
        <w:t>ejaculated for the second</w:t>
      </w:r>
      <w:r w:rsidR="006E1E56" w:rsidRPr="009320FE">
        <w:rPr>
          <w:rFonts w:ascii="Arial" w:hAnsi="Arial" w:cs="Arial"/>
          <w:sz w:val="24"/>
          <w:szCs w:val="24"/>
        </w:rPr>
        <w:t xml:space="preserve"> time</w:t>
      </w:r>
      <w:r w:rsidR="00200AB8" w:rsidRPr="009320FE">
        <w:rPr>
          <w:rFonts w:ascii="Arial" w:hAnsi="Arial" w:cs="Arial"/>
          <w:sz w:val="24"/>
          <w:szCs w:val="24"/>
        </w:rPr>
        <w:t>.</w:t>
      </w:r>
      <w:r w:rsidR="006E1E56" w:rsidRPr="009320FE">
        <w:rPr>
          <w:rFonts w:ascii="Arial" w:hAnsi="Arial" w:cs="Arial"/>
          <w:sz w:val="24"/>
          <w:szCs w:val="24"/>
        </w:rPr>
        <w:t xml:space="preserve"> </w:t>
      </w:r>
      <w:r w:rsidR="00200AB8" w:rsidRPr="009320FE">
        <w:rPr>
          <w:rFonts w:ascii="Arial" w:hAnsi="Arial" w:cs="Arial"/>
          <w:sz w:val="24"/>
          <w:szCs w:val="24"/>
        </w:rPr>
        <w:t>She</w:t>
      </w:r>
      <w:r w:rsidR="009E7D70" w:rsidRPr="009320FE">
        <w:rPr>
          <w:rFonts w:ascii="Arial" w:hAnsi="Arial" w:cs="Arial"/>
          <w:sz w:val="24"/>
          <w:szCs w:val="24"/>
        </w:rPr>
        <w:t xml:space="preserve"> sought help from an e</w:t>
      </w:r>
      <w:r w:rsidR="00200AB8" w:rsidRPr="009320FE">
        <w:rPr>
          <w:rFonts w:ascii="Arial" w:hAnsi="Arial" w:cs="Arial"/>
          <w:sz w:val="24"/>
          <w:szCs w:val="24"/>
        </w:rPr>
        <w:t>ducator from her school</w:t>
      </w:r>
      <w:r w:rsidR="007B0733">
        <w:rPr>
          <w:rFonts w:ascii="Arial" w:hAnsi="Arial" w:cs="Arial"/>
          <w:sz w:val="24"/>
          <w:szCs w:val="24"/>
        </w:rPr>
        <w:t>,</w:t>
      </w:r>
      <w:r w:rsidR="00200AB8" w:rsidRPr="009320FE">
        <w:rPr>
          <w:rFonts w:ascii="Arial" w:hAnsi="Arial" w:cs="Arial"/>
          <w:sz w:val="24"/>
          <w:szCs w:val="24"/>
        </w:rPr>
        <w:t xml:space="preserve"> Ms Sosibo,</w:t>
      </w:r>
      <w:r w:rsidR="009E7D70" w:rsidRPr="009320FE">
        <w:rPr>
          <w:rFonts w:ascii="Arial" w:hAnsi="Arial" w:cs="Arial"/>
          <w:sz w:val="24"/>
          <w:szCs w:val="24"/>
        </w:rPr>
        <w:t xml:space="preserve"> whose house was close</w:t>
      </w:r>
      <w:r w:rsidR="00CE7E02">
        <w:rPr>
          <w:rFonts w:ascii="Arial" w:hAnsi="Arial" w:cs="Arial"/>
          <w:sz w:val="24"/>
          <w:szCs w:val="24"/>
        </w:rPr>
        <w:t>-</w:t>
      </w:r>
      <w:r w:rsidR="00411586" w:rsidRPr="009320FE">
        <w:rPr>
          <w:rFonts w:ascii="Arial" w:hAnsi="Arial" w:cs="Arial"/>
          <w:sz w:val="24"/>
          <w:szCs w:val="24"/>
        </w:rPr>
        <w:t>by. She</w:t>
      </w:r>
      <w:r w:rsidR="00200AB8" w:rsidRPr="009320FE">
        <w:rPr>
          <w:rFonts w:ascii="Arial" w:hAnsi="Arial" w:cs="Arial"/>
          <w:sz w:val="24"/>
          <w:szCs w:val="24"/>
        </w:rPr>
        <w:t xml:space="preserve"> related the incident to M</w:t>
      </w:r>
      <w:r w:rsidR="009E7D70" w:rsidRPr="009320FE">
        <w:rPr>
          <w:rFonts w:ascii="Arial" w:hAnsi="Arial" w:cs="Arial"/>
          <w:sz w:val="24"/>
          <w:szCs w:val="24"/>
        </w:rPr>
        <w:t>s Sosibo</w:t>
      </w:r>
      <w:r w:rsidR="00757A12">
        <w:rPr>
          <w:rFonts w:ascii="Arial" w:hAnsi="Arial" w:cs="Arial"/>
          <w:sz w:val="24"/>
          <w:szCs w:val="24"/>
        </w:rPr>
        <w:t xml:space="preserve"> </w:t>
      </w:r>
      <w:r w:rsidR="009E7D70" w:rsidRPr="009320FE">
        <w:rPr>
          <w:rFonts w:ascii="Arial" w:hAnsi="Arial" w:cs="Arial"/>
          <w:sz w:val="24"/>
          <w:szCs w:val="24"/>
        </w:rPr>
        <w:t>and was eventually fe</w:t>
      </w:r>
      <w:r w:rsidR="00200AB8" w:rsidRPr="009320FE">
        <w:rPr>
          <w:rFonts w:ascii="Arial" w:hAnsi="Arial" w:cs="Arial"/>
          <w:sz w:val="24"/>
          <w:szCs w:val="24"/>
        </w:rPr>
        <w:t xml:space="preserve">tched by her mother and taken home. The complainant was asked by Ms </w:t>
      </w:r>
      <w:r w:rsidR="009E7D70" w:rsidRPr="009320FE">
        <w:rPr>
          <w:rFonts w:ascii="Arial" w:hAnsi="Arial" w:cs="Arial"/>
          <w:sz w:val="24"/>
          <w:szCs w:val="24"/>
        </w:rPr>
        <w:t>Sosibo not to bath as DNA</w:t>
      </w:r>
      <w:r w:rsidR="00200AB8" w:rsidRPr="009320FE">
        <w:rPr>
          <w:rFonts w:ascii="Arial" w:hAnsi="Arial" w:cs="Arial"/>
          <w:sz w:val="24"/>
          <w:szCs w:val="24"/>
        </w:rPr>
        <w:t xml:space="preserve"> test</w:t>
      </w:r>
      <w:r w:rsidR="00D16016" w:rsidRPr="009320FE">
        <w:rPr>
          <w:rFonts w:ascii="Arial" w:hAnsi="Arial" w:cs="Arial"/>
          <w:sz w:val="24"/>
          <w:szCs w:val="24"/>
        </w:rPr>
        <w:t>s</w:t>
      </w:r>
      <w:r w:rsidR="009E7D70" w:rsidRPr="009320FE">
        <w:rPr>
          <w:rFonts w:ascii="Arial" w:hAnsi="Arial" w:cs="Arial"/>
          <w:sz w:val="24"/>
          <w:szCs w:val="24"/>
        </w:rPr>
        <w:t xml:space="preserve"> would be conducted</w:t>
      </w:r>
      <w:r w:rsidR="00757A12">
        <w:rPr>
          <w:rFonts w:ascii="Arial" w:hAnsi="Arial" w:cs="Arial"/>
          <w:sz w:val="24"/>
          <w:szCs w:val="24"/>
        </w:rPr>
        <w:t>.</w:t>
      </w:r>
      <w:r w:rsidR="009E7D70" w:rsidRPr="009320FE">
        <w:rPr>
          <w:rFonts w:ascii="Arial" w:hAnsi="Arial" w:cs="Arial"/>
          <w:sz w:val="24"/>
          <w:szCs w:val="24"/>
        </w:rPr>
        <w:t xml:space="preserve"> </w:t>
      </w:r>
      <w:r w:rsidR="00757A12">
        <w:rPr>
          <w:rFonts w:ascii="Arial" w:hAnsi="Arial" w:cs="Arial"/>
          <w:sz w:val="24"/>
          <w:szCs w:val="24"/>
        </w:rPr>
        <w:t>S</w:t>
      </w:r>
      <w:r w:rsidR="009E7D70" w:rsidRPr="009320FE">
        <w:rPr>
          <w:rFonts w:ascii="Arial" w:hAnsi="Arial" w:cs="Arial"/>
          <w:sz w:val="24"/>
          <w:szCs w:val="24"/>
        </w:rPr>
        <w:t>he followed that advi</w:t>
      </w:r>
      <w:r w:rsidR="00757A12">
        <w:rPr>
          <w:rFonts w:ascii="Arial" w:hAnsi="Arial" w:cs="Arial"/>
          <w:sz w:val="24"/>
          <w:szCs w:val="24"/>
        </w:rPr>
        <w:t>c</w:t>
      </w:r>
      <w:r w:rsidR="009E7D70" w:rsidRPr="009320FE">
        <w:rPr>
          <w:rFonts w:ascii="Arial" w:hAnsi="Arial" w:cs="Arial"/>
          <w:sz w:val="24"/>
          <w:szCs w:val="24"/>
        </w:rPr>
        <w:t>e.</w:t>
      </w:r>
    </w:p>
    <w:p w:rsidR="009E7D70" w:rsidRPr="009320FE" w:rsidRDefault="009E7D70" w:rsidP="009320FE">
      <w:pPr>
        <w:spacing w:after="0" w:line="360" w:lineRule="auto"/>
        <w:contextualSpacing/>
        <w:jc w:val="both"/>
        <w:rPr>
          <w:rFonts w:ascii="Arial" w:hAnsi="Arial" w:cs="Arial"/>
          <w:sz w:val="24"/>
          <w:szCs w:val="24"/>
        </w:rPr>
      </w:pPr>
    </w:p>
    <w:p w:rsidR="009E7D70"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00F50F56">
        <w:rPr>
          <w:rFonts w:ascii="Arial" w:hAnsi="Arial" w:cs="Arial"/>
          <w:sz w:val="24"/>
          <w:szCs w:val="24"/>
        </w:rPr>
        <w:t>0</w:t>
      </w:r>
      <w:r w:rsidRPr="009320FE">
        <w:rPr>
          <w:rFonts w:ascii="Arial" w:hAnsi="Arial" w:cs="Arial"/>
          <w:sz w:val="24"/>
          <w:szCs w:val="24"/>
        </w:rPr>
        <w:t>]</w:t>
      </w:r>
      <w:r w:rsidR="00177A1D">
        <w:rPr>
          <w:rFonts w:ascii="Arial" w:hAnsi="Arial" w:cs="Arial"/>
          <w:sz w:val="24"/>
          <w:szCs w:val="24"/>
        </w:rPr>
        <w:tab/>
      </w:r>
      <w:r w:rsidR="00513497">
        <w:rPr>
          <w:rFonts w:ascii="Arial" w:hAnsi="Arial" w:cs="Arial"/>
          <w:sz w:val="24"/>
          <w:szCs w:val="24"/>
        </w:rPr>
        <w:t>S</w:t>
      </w:r>
      <w:r w:rsidR="009E7D70" w:rsidRPr="009320FE">
        <w:rPr>
          <w:rFonts w:ascii="Arial" w:hAnsi="Arial" w:cs="Arial"/>
          <w:sz w:val="24"/>
          <w:szCs w:val="24"/>
        </w:rPr>
        <w:t>he was taken to the doctor for an examination</w:t>
      </w:r>
      <w:r w:rsidR="00513497">
        <w:rPr>
          <w:rFonts w:ascii="Arial" w:hAnsi="Arial" w:cs="Arial"/>
          <w:sz w:val="24"/>
          <w:szCs w:val="24"/>
        </w:rPr>
        <w:t xml:space="preserve"> the following day,</w:t>
      </w:r>
      <w:r w:rsidR="009E7D70" w:rsidRPr="009320FE">
        <w:rPr>
          <w:rFonts w:ascii="Arial" w:hAnsi="Arial" w:cs="Arial"/>
          <w:sz w:val="24"/>
          <w:szCs w:val="24"/>
        </w:rPr>
        <w:t xml:space="preserve"> and </w:t>
      </w:r>
      <w:r w:rsidR="00200AB8" w:rsidRPr="009320FE">
        <w:rPr>
          <w:rFonts w:ascii="Arial" w:hAnsi="Arial" w:cs="Arial"/>
          <w:sz w:val="24"/>
          <w:szCs w:val="24"/>
        </w:rPr>
        <w:t xml:space="preserve">the </w:t>
      </w:r>
      <w:r w:rsidR="009E7D70" w:rsidRPr="009320FE">
        <w:rPr>
          <w:rFonts w:ascii="Arial" w:hAnsi="Arial" w:cs="Arial"/>
          <w:sz w:val="24"/>
          <w:szCs w:val="24"/>
        </w:rPr>
        <w:t xml:space="preserve">medico–legal examination confirmed </w:t>
      </w:r>
      <w:r w:rsidR="00513497">
        <w:rPr>
          <w:rFonts w:ascii="Arial" w:hAnsi="Arial" w:cs="Arial"/>
          <w:sz w:val="24"/>
          <w:szCs w:val="24"/>
        </w:rPr>
        <w:t>her</w:t>
      </w:r>
      <w:r w:rsidR="009E7D70" w:rsidRPr="009320FE">
        <w:rPr>
          <w:rFonts w:ascii="Arial" w:hAnsi="Arial" w:cs="Arial"/>
          <w:sz w:val="24"/>
          <w:szCs w:val="24"/>
        </w:rPr>
        <w:t xml:space="preserve"> injuries</w:t>
      </w:r>
      <w:r w:rsidR="004C747B">
        <w:rPr>
          <w:rFonts w:ascii="Arial" w:hAnsi="Arial" w:cs="Arial"/>
          <w:sz w:val="24"/>
          <w:szCs w:val="24"/>
        </w:rPr>
        <w:t xml:space="preserve"> as well as</w:t>
      </w:r>
      <w:r w:rsidR="009E7D70" w:rsidRPr="009320FE">
        <w:rPr>
          <w:rFonts w:ascii="Arial" w:hAnsi="Arial" w:cs="Arial"/>
          <w:sz w:val="24"/>
          <w:szCs w:val="24"/>
        </w:rPr>
        <w:t xml:space="preserve"> </w:t>
      </w:r>
      <w:r w:rsidR="00200AB8" w:rsidRPr="009320FE">
        <w:rPr>
          <w:rFonts w:ascii="Arial" w:hAnsi="Arial" w:cs="Arial"/>
          <w:sz w:val="24"/>
          <w:szCs w:val="24"/>
        </w:rPr>
        <w:t>an old r</w:t>
      </w:r>
      <w:r w:rsidR="00233B8C">
        <w:rPr>
          <w:rFonts w:ascii="Arial" w:hAnsi="Arial" w:cs="Arial"/>
          <w:sz w:val="24"/>
          <w:szCs w:val="24"/>
        </w:rPr>
        <w:t>u</w:t>
      </w:r>
      <w:r w:rsidR="00200AB8" w:rsidRPr="009320FE">
        <w:rPr>
          <w:rFonts w:ascii="Arial" w:hAnsi="Arial" w:cs="Arial"/>
          <w:sz w:val="24"/>
          <w:szCs w:val="24"/>
        </w:rPr>
        <w:t>pture</w:t>
      </w:r>
      <w:r w:rsidR="009E7D70" w:rsidRPr="009320FE">
        <w:rPr>
          <w:rFonts w:ascii="Arial" w:hAnsi="Arial" w:cs="Arial"/>
          <w:sz w:val="24"/>
          <w:szCs w:val="24"/>
        </w:rPr>
        <w:t xml:space="preserve"> of the </w:t>
      </w:r>
      <w:r w:rsidR="00200AB8" w:rsidRPr="009320FE">
        <w:rPr>
          <w:rFonts w:ascii="Arial" w:hAnsi="Arial" w:cs="Arial"/>
          <w:sz w:val="24"/>
          <w:szCs w:val="24"/>
        </w:rPr>
        <w:t>hymen. T</w:t>
      </w:r>
      <w:r w:rsidR="007245A5" w:rsidRPr="009320FE">
        <w:rPr>
          <w:rFonts w:ascii="Arial" w:hAnsi="Arial" w:cs="Arial"/>
          <w:sz w:val="24"/>
          <w:szCs w:val="24"/>
        </w:rPr>
        <w:t>he</w:t>
      </w:r>
      <w:r w:rsidR="009E7D70" w:rsidRPr="009320FE">
        <w:rPr>
          <w:rFonts w:ascii="Arial" w:hAnsi="Arial" w:cs="Arial"/>
          <w:sz w:val="24"/>
          <w:szCs w:val="24"/>
        </w:rPr>
        <w:t xml:space="preserve"> fact that her vagina admitted two </w:t>
      </w:r>
      <w:r w:rsidR="00200AB8" w:rsidRPr="009320FE">
        <w:rPr>
          <w:rFonts w:ascii="Arial" w:hAnsi="Arial" w:cs="Arial"/>
          <w:sz w:val="24"/>
          <w:szCs w:val="24"/>
        </w:rPr>
        <w:t>fingers was</w:t>
      </w:r>
      <w:r w:rsidR="00233B8C">
        <w:rPr>
          <w:rFonts w:ascii="Arial" w:hAnsi="Arial" w:cs="Arial"/>
          <w:sz w:val="24"/>
          <w:szCs w:val="24"/>
        </w:rPr>
        <w:t>,</w:t>
      </w:r>
      <w:r w:rsidR="009E7D70" w:rsidRPr="009320FE">
        <w:rPr>
          <w:rFonts w:ascii="Arial" w:hAnsi="Arial" w:cs="Arial"/>
          <w:sz w:val="24"/>
          <w:szCs w:val="24"/>
        </w:rPr>
        <w:t xml:space="preserve"> ac</w:t>
      </w:r>
      <w:r w:rsidR="00200AB8" w:rsidRPr="009320FE">
        <w:rPr>
          <w:rFonts w:ascii="Arial" w:hAnsi="Arial" w:cs="Arial"/>
          <w:sz w:val="24"/>
          <w:szCs w:val="24"/>
        </w:rPr>
        <w:t xml:space="preserve">cording to the </w:t>
      </w:r>
      <w:r w:rsidR="00411586" w:rsidRPr="009320FE">
        <w:rPr>
          <w:rFonts w:ascii="Arial" w:hAnsi="Arial" w:cs="Arial"/>
          <w:sz w:val="24"/>
          <w:szCs w:val="24"/>
        </w:rPr>
        <w:t>doctor, indicative</w:t>
      </w:r>
      <w:r w:rsidR="00200AB8" w:rsidRPr="009320FE">
        <w:rPr>
          <w:rFonts w:ascii="Arial" w:hAnsi="Arial" w:cs="Arial"/>
          <w:sz w:val="24"/>
          <w:szCs w:val="24"/>
        </w:rPr>
        <w:t xml:space="preserve"> </w:t>
      </w:r>
      <w:r w:rsidR="009E7D70" w:rsidRPr="009320FE">
        <w:rPr>
          <w:rFonts w:ascii="Arial" w:hAnsi="Arial" w:cs="Arial"/>
          <w:sz w:val="24"/>
          <w:szCs w:val="24"/>
        </w:rPr>
        <w:t>of sexual intercourse.</w:t>
      </w:r>
    </w:p>
    <w:p w:rsidR="007245A5" w:rsidRPr="009320FE" w:rsidRDefault="007245A5" w:rsidP="009320FE">
      <w:pPr>
        <w:spacing w:after="0" w:line="360" w:lineRule="auto"/>
        <w:contextualSpacing/>
        <w:jc w:val="both"/>
        <w:rPr>
          <w:rFonts w:ascii="Arial" w:hAnsi="Arial" w:cs="Arial"/>
          <w:sz w:val="24"/>
          <w:szCs w:val="24"/>
        </w:rPr>
      </w:pPr>
    </w:p>
    <w:p w:rsidR="007245A5"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00F50F56">
        <w:rPr>
          <w:rFonts w:ascii="Arial" w:hAnsi="Arial" w:cs="Arial"/>
          <w:sz w:val="24"/>
          <w:szCs w:val="24"/>
        </w:rPr>
        <w:t>1</w:t>
      </w:r>
      <w:r w:rsidRPr="009320FE">
        <w:rPr>
          <w:rFonts w:ascii="Arial" w:hAnsi="Arial" w:cs="Arial"/>
          <w:sz w:val="24"/>
          <w:szCs w:val="24"/>
        </w:rPr>
        <w:t>]</w:t>
      </w:r>
      <w:r w:rsidRPr="009320FE">
        <w:rPr>
          <w:rFonts w:ascii="Arial" w:hAnsi="Arial" w:cs="Arial"/>
          <w:sz w:val="24"/>
          <w:szCs w:val="24"/>
        </w:rPr>
        <w:tab/>
      </w:r>
      <w:r w:rsidR="00513497">
        <w:rPr>
          <w:rFonts w:ascii="Arial" w:hAnsi="Arial" w:cs="Arial"/>
          <w:sz w:val="24"/>
          <w:szCs w:val="24"/>
        </w:rPr>
        <w:t>T</w:t>
      </w:r>
      <w:r w:rsidR="007245A5" w:rsidRPr="009320FE">
        <w:rPr>
          <w:rFonts w:ascii="Arial" w:hAnsi="Arial" w:cs="Arial"/>
          <w:sz w:val="24"/>
          <w:szCs w:val="24"/>
        </w:rPr>
        <w:t>he me</w:t>
      </w:r>
      <w:r w:rsidR="00200AB8" w:rsidRPr="009320FE">
        <w:rPr>
          <w:rFonts w:ascii="Arial" w:hAnsi="Arial" w:cs="Arial"/>
          <w:sz w:val="24"/>
          <w:szCs w:val="24"/>
        </w:rPr>
        <w:t xml:space="preserve">dico-legal report </w:t>
      </w:r>
      <w:r w:rsidR="00513497">
        <w:rPr>
          <w:rFonts w:ascii="Arial" w:hAnsi="Arial" w:cs="Arial"/>
          <w:sz w:val="24"/>
          <w:szCs w:val="24"/>
        </w:rPr>
        <w:t xml:space="preserve">was </w:t>
      </w:r>
      <w:r w:rsidR="00200AB8" w:rsidRPr="009320FE">
        <w:rPr>
          <w:rFonts w:ascii="Arial" w:hAnsi="Arial" w:cs="Arial"/>
          <w:sz w:val="24"/>
          <w:szCs w:val="24"/>
        </w:rPr>
        <w:t xml:space="preserve">handed in </w:t>
      </w:r>
      <w:r w:rsidR="00411586" w:rsidRPr="009320FE">
        <w:rPr>
          <w:rFonts w:ascii="Arial" w:hAnsi="Arial" w:cs="Arial"/>
          <w:sz w:val="24"/>
          <w:szCs w:val="24"/>
        </w:rPr>
        <w:t xml:space="preserve">by consent </w:t>
      </w:r>
      <w:r w:rsidR="00200AB8" w:rsidRPr="009320FE">
        <w:rPr>
          <w:rFonts w:ascii="Arial" w:hAnsi="Arial" w:cs="Arial"/>
          <w:sz w:val="24"/>
          <w:szCs w:val="24"/>
        </w:rPr>
        <w:t>as E</w:t>
      </w:r>
      <w:r w:rsidR="007245A5" w:rsidRPr="009320FE">
        <w:rPr>
          <w:rFonts w:ascii="Arial" w:hAnsi="Arial" w:cs="Arial"/>
          <w:sz w:val="24"/>
          <w:szCs w:val="24"/>
        </w:rPr>
        <w:t xml:space="preserve">xhibit </w:t>
      </w:r>
      <w:r w:rsidR="00513497">
        <w:rPr>
          <w:rFonts w:ascii="Arial" w:hAnsi="Arial" w:cs="Arial"/>
          <w:sz w:val="24"/>
          <w:szCs w:val="24"/>
        </w:rPr>
        <w:t>‘</w:t>
      </w:r>
      <w:r w:rsidR="007245A5" w:rsidRPr="009320FE">
        <w:rPr>
          <w:rFonts w:ascii="Arial" w:hAnsi="Arial" w:cs="Arial"/>
          <w:sz w:val="24"/>
          <w:szCs w:val="24"/>
        </w:rPr>
        <w:t>B</w:t>
      </w:r>
      <w:r w:rsidR="00513497">
        <w:rPr>
          <w:rFonts w:ascii="Arial" w:hAnsi="Arial" w:cs="Arial"/>
          <w:sz w:val="24"/>
          <w:szCs w:val="24"/>
        </w:rPr>
        <w:t>’.</w:t>
      </w:r>
      <w:r w:rsidR="007245A5" w:rsidRPr="009320FE">
        <w:rPr>
          <w:rFonts w:ascii="Arial" w:hAnsi="Arial" w:cs="Arial"/>
          <w:sz w:val="24"/>
          <w:szCs w:val="24"/>
        </w:rPr>
        <w:t xml:space="preserve"> </w:t>
      </w:r>
      <w:r w:rsidR="00513497">
        <w:rPr>
          <w:rFonts w:ascii="Arial" w:hAnsi="Arial" w:cs="Arial"/>
          <w:sz w:val="24"/>
          <w:szCs w:val="24"/>
        </w:rPr>
        <w:t xml:space="preserve">According to the report, </w:t>
      </w:r>
      <w:r w:rsidR="00411586" w:rsidRPr="009320FE">
        <w:rPr>
          <w:rFonts w:ascii="Arial" w:hAnsi="Arial" w:cs="Arial"/>
          <w:sz w:val="24"/>
          <w:szCs w:val="24"/>
        </w:rPr>
        <w:t xml:space="preserve">a </w:t>
      </w:r>
      <w:r w:rsidR="007245A5" w:rsidRPr="009320FE">
        <w:rPr>
          <w:rFonts w:ascii="Arial" w:hAnsi="Arial" w:cs="Arial"/>
          <w:sz w:val="24"/>
          <w:szCs w:val="24"/>
        </w:rPr>
        <w:t>forensic specimen</w:t>
      </w:r>
      <w:r w:rsidR="00411586" w:rsidRPr="009320FE">
        <w:rPr>
          <w:rFonts w:ascii="Arial" w:hAnsi="Arial" w:cs="Arial"/>
          <w:sz w:val="24"/>
          <w:szCs w:val="24"/>
        </w:rPr>
        <w:t xml:space="preserve"> sample was taken from</w:t>
      </w:r>
      <w:r w:rsidR="007245A5" w:rsidRPr="009320FE">
        <w:rPr>
          <w:rFonts w:ascii="Arial" w:hAnsi="Arial" w:cs="Arial"/>
          <w:sz w:val="24"/>
          <w:szCs w:val="24"/>
        </w:rPr>
        <w:t xml:space="preserve"> the complainant for analysis purpose</w:t>
      </w:r>
      <w:r w:rsidR="00513497">
        <w:rPr>
          <w:rFonts w:ascii="Arial" w:hAnsi="Arial" w:cs="Arial"/>
          <w:sz w:val="24"/>
          <w:szCs w:val="24"/>
        </w:rPr>
        <w:t>.</w:t>
      </w:r>
      <w:r w:rsidR="007245A5" w:rsidRPr="009320FE">
        <w:rPr>
          <w:rFonts w:ascii="Arial" w:hAnsi="Arial" w:cs="Arial"/>
          <w:sz w:val="24"/>
          <w:szCs w:val="24"/>
        </w:rPr>
        <w:t xml:space="preserve"> </w:t>
      </w:r>
      <w:r w:rsidR="00513497">
        <w:rPr>
          <w:rFonts w:ascii="Arial" w:hAnsi="Arial" w:cs="Arial"/>
          <w:sz w:val="24"/>
          <w:szCs w:val="24"/>
        </w:rPr>
        <w:t>T</w:t>
      </w:r>
      <w:r w:rsidR="007245A5" w:rsidRPr="009320FE">
        <w:rPr>
          <w:rFonts w:ascii="Arial" w:hAnsi="Arial" w:cs="Arial"/>
          <w:sz w:val="24"/>
          <w:szCs w:val="24"/>
        </w:rPr>
        <w:t>he kit was sealed and handed</w:t>
      </w:r>
      <w:r w:rsidR="00200AB8" w:rsidRPr="009320FE">
        <w:rPr>
          <w:rFonts w:ascii="Arial" w:hAnsi="Arial" w:cs="Arial"/>
          <w:sz w:val="24"/>
          <w:szCs w:val="24"/>
        </w:rPr>
        <w:t xml:space="preserve"> </w:t>
      </w:r>
      <w:r w:rsidR="007245A5" w:rsidRPr="009320FE">
        <w:rPr>
          <w:rFonts w:ascii="Arial" w:hAnsi="Arial" w:cs="Arial"/>
          <w:sz w:val="24"/>
          <w:szCs w:val="24"/>
        </w:rPr>
        <w:t xml:space="preserve">to the police </w:t>
      </w:r>
      <w:r w:rsidR="00DC466A" w:rsidRPr="009320FE">
        <w:rPr>
          <w:rFonts w:ascii="Arial" w:hAnsi="Arial" w:cs="Arial"/>
          <w:sz w:val="24"/>
          <w:szCs w:val="24"/>
        </w:rPr>
        <w:t>officer, Mr</w:t>
      </w:r>
      <w:r w:rsidR="007245A5" w:rsidRPr="009320FE">
        <w:rPr>
          <w:rFonts w:ascii="Arial" w:hAnsi="Arial" w:cs="Arial"/>
          <w:sz w:val="24"/>
          <w:szCs w:val="24"/>
        </w:rPr>
        <w:t xml:space="preserve"> Gambusha</w:t>
      </w:r>
      <w:r w:rsidR="00513497">
        <w:rPr>
          <w:rFonts w:ascii="Arial" w:hAnsi="Arial" w:cs="Arial"/>
          <w:sz w:val="24"/>
          <w:szCs w:val="24"/>
        </w:rPr>
        <w:t>,</w:t>
      </w:r>
      <w:r w:rsidR="007245A5" w:rsidRPr="009320FE">
        <w:rPr>
          <w:rFonts w:ascii="Arial" w:hAnsi="Arial" w:cs="Arial"/>
          <w:sz w:val="24"/>
          <w:szCs w:val="24"/>
        </w:rPr>
        <w:t xml:space="preserve"> who </w:t>
      </w:r>
      <w:r w:rsidR="00411586" w:rsidRPr="009320FE">
        <w:rPr>
          <w:rFonts w:ascii="Arial" w:hAnsi="Arial" w:cs="Arial"/>
          <w:sz w:val="24"/>
          <w:szCs w:val="24"/>
        </w:rPr>
        <w:t>had</w:t>
      </w:r>
      <w:r w:rsidR="00DC466A" w:rsidRPr="009320FE">
        <w:rPr>
          <w:rFonts w:ascii="Arial" w:hAnsi="Arial" w:cs="Arial"/>
          <w:sz w:val="24"/>
          <w:szCs w:val="24"/>
        </w:rPr>
        <w:t xml:space="preserve"> taken the complainant for</w:t>
      </w:r>
      <w:r w:rsidR="008B4D54" w:rsidRPr="009320FE">
        <w:rPr>
          <w:rFonts w:ascii="Arial" w:hAnsi="Arial" w:cs="Arial"/>
          <w:sz w:val="24"/>
          <w:szCs w:val="24"/>
        </w:rPr>
        <w:t xml:space="preserve"> the medical examination. It was unfortunate that the doctor</w:t>
      </w:r>
      <w:r w:rsidR="00513497">
        <w:rPr>
          <w:rFonts w:ascii="Arial" w:hAnsi="Arial" w:cs="Arial"/>
          <w:sz w:val="24"/>
          <w:szCs w:val="24"/>
        </w:rPr>
        <w:t>,</w:t>
      </w:r>
      <w:r w:rsidR="008B4D54" w:rsidRPr="009320FE">
        <w:rPr>
          <w:rFonts w:ascii="Arial" w:hAnsi="Arial" w:cs="Arial"/>
          <w:sz w:val="24"/>
          <w:szCs w:val="24"/>
        </w:rPr>
        <w:t xml:space="preserve"> when he testified, was not led</w:t>
      </w:r>
      <w:r w:rsidR="00A03392">
        <w:rPr>
          <w:rFonts w:ascii="Arial" w:hAnsi="Arial" w:cs="Arial"/>
          <w:sz w:val="24"/>
          <w:szCs w:val="24"/>
        </w:rPr>
        <w:t xml:space="preserve"> nor cross-examined</w:t>
      </w:r>
      <w:r w:rsidR="008B4D54" w:rsidRPr="009320FE">
        <w:rPr>
          <w:rFonts w:ascii="Arial" w:hAnsi="Arial" w:cs="Arial"/>
          <w:sz w:val="24"/>
          <w:szCs w:val="24"/>
        </w:rPr>
        <w:t xml:space="preserve"> on this. </w:t>
      </w:r>
      <w:r w:rsidR="007245A5" w:rsidRPr="009320FE">
        <w:rPr>
          <w:rFonts w:ascii="Arial" w:hAnsi="Arial" w:cs="Arial"/>
          <w:sz w:val="24"/>
          <w:szCs w:val="24"/>
        </w:rPr>
        <w:t>The kit was</w:t>
      </w:r>
      <w:r w:rsidR="008B4D54" w:rsidRPr="009320FE">
        <w:rPr>
          <w:rFonts w:ascii="Arial" w:hAnsi="Arial" w:cs="Arial"/>
          <w:sz w:val="24"/>
          <w:szCs w:val="24"/>
        </w:rPr>
        <w:t xml:space="preserve"> kept</w:t>
      </w:r>
      <w:r w:rsidR="007245A5" w:rsidRPr="009320FE">
        <w:rPr>
          <w:rFonts w:ascii="Arial" w:hAnsi="Arial" w:cs="Arial"/>
          <w:sz w:val="24"/>
          <w:szCs w:val="24"/>
        </w:rPr>
        <w:t xml:space="preserve"> under lock and key at the polic</w:t>
      </w:r>
      <w:r w:rsidR="00DC466A" w:rsidRPr="009320FE">
        <w:rPr>
          <w:rFonts w:ascii="Arial" w:hAnsi="Arial" w:cs="Arial"/>
          <w:sz w:val="24"/>
          <w:szCs w:val="24"/>
        </w:rPr>
        <w:t xml:space="preserve">e station and entered into the </w:t>
      </w:r>
      <w:r w:rsidR="00513497">
        <w:rPr>
          <w:rFonts w:ascii="Arial" w:hAnsi="Arial" w:cs="Arial"/>
          <w:sz w:val="24"/>
          <w:szCs w:val="24"/>
        </w:rPr>
        <w:t>SAP</w:t>
      </w:r>
      <w:r w:rsidR="00513497" w:rsidRPr="009320FE">
        <w:rPr>
          <w:rFonts w:ascii="Arial" w:hAnsi="Arial" w:cs="Arial"/>
          <w:sz w:val="24"/>
          <w:szCs w:val="24"/>
        </w:rPr>
        <w:t xml:space="preserve"> </w:t>
      </w:r>
      <w:r w:rsidR="00DC466A" w:rsidRPr="009320FE">
        <w:rPr>
          <w:rFonts w:ascii="Arial" w:hAnsi="Arial" w:cs="Arial"/>
          <w:sz w:val="24"/>
          <w:szCs w:val="24"/>
        </w:rPr>
        <w:t xml:space="preserve">13 </w:t>
      </w:r>
      <w:r w:rsidR="007F6BFB" w:rsidRPr="009320FE">
        <w:rPr>
          <w:rFonts w:ascii="Arial" w:hAnsi="Arial" w:cs="Arial"/>
          <w:sz w:val="24"/>
          <w:szCs w:val="24"/>
        </w:rPr>
        <w:t>register</w:t>
      </w:r>
      <w:r w:rsidR="00F423B5">
        <w:rPr>
          <w:rFonts w:ascii="Arial" w:hAnsi="Arial" w:cs="Arial"/>
          <w:sz w:val="24"/>
          <w:szCs w:val="24"/>
        </w:rPr>
        <w:t>.</w:t>
      </w:r>
    </w:p>
    <w:p w:rsidR="007245A5" w:rsidRPr="009320FE" w:rsidRDefault="007245A5" w:rsidP="009320FE">
      <w:pPr>
        <w:spacing w:after="0" w:line="360" w:lineRule="auto"/>
        <w:contextualSpacing/>
        <w:jc w:val="both"/>
        <w:rPr>
          <w:rFonts w:ascii="Arial" w:hAnsi="Arial" w:cs="Arial"/>
          <w:sz w:val="24"/>
          <w:szCs w:val="24"/>
        </w:rPr>
      </w:pPr>
    </w:p>
    <w:p w:rsidR="007245A5"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00F50F56">
        <w:rPr>
          <w:rFonts w:ascii="Arial" w:hAnsi="Arial" w:cs="Arial"/>
          <w:sz w:val="24"/>
          <w:szCs w:val="24"/>
        </w:rPr>
        <w:t>2</w:t>
      </w:r>
      <w:r w:rsidRPr="009320FE">
        <w:rPr>
          <w:rFonts w:ascii="Arial" w:hAnsi="Arial" w:cs="Arial"/>
          <w:sz w:val="24"/>
          <w:szCs w:val="24"/>
        </w:rPr>
        <w:t xml:space="preserve">] </w:t>
      </w:r>
      <w:r w:rsidRPr="009320FE">
        <w:rPr>
          <w:rFonts w:ascii="Arial" w:hAnsi="Arial" w:cs="Arial"/>
          <w:sz w:val="24"/>
          <w:szCs w:val="24"/>
        </w:rPr>
        <w:tab/>
      </w:r>
      <w:r w:rsidR="007245A5" w:rsidRPr="009320FE">
        <w:rPr>
          <w:rFonts w:ascii="Arial" w:hAnsi="Arial" w:cs="Arial"/>
          <w:sz w:val="24"/>
          <w:szCs w:val="24"/>
        </w:rPr>
        <w:t>The uncle of the complainant</w:t>
      </w:r>
      <w:r w:rsidR="00DC466A" w:rsidRPr="009320FE">
        <w:rPr>
          <w:rFonts w:ascii="Arial" w:hAnsi="Arial" w:cs="Arial"/>
          <w:sz w:val="24"/>
          <w:szCs w:val="24"/>
        </w:rPr>
        <w:t>,</w:t>
      </w:r>
      <w:r w:rsidR="007245A5" w:rsidRPr="009320FE">
        <w:rPr>
          <w:rFonts w:ascii="Arial" w:hAnsi="Arial" w:cs="Arial"/>
          <w:sz w:val="24"/>
          <w:szCs w:val="24"/>
        </w:rPr>
        <w:t xml:space="preserve"> Mr </w:t>
      </w:r>
      <w:r w:rsidR="00DC466A" w:rsidRPr="009320FE">
        <w:rPr>
          <w:rFonts w:ascii="Arial" w:hAnsi="Arial" w:cs="Arial"/>
          <w:sz w:val="24"/>
          <w:szCs w:val="24"/>
        </w:rPr>
        <w:t xml:space="preserve">Dlamini, </w:t>
      </w:r>
      <w:r w:rsidR="00513497">
        <w:rPr>
          <w:rFonts w:ascii="Arial" w:hAnsi="Arial" w:cs="Arial"/>
          <w:sz w:val="24"/>
          <w:szCs w:val="24"/>
        </w:rPr>
        <w:t>after he had been provided with a</w:t>
      </w:r>
      <w:r w:rsidR="007245A5" w:rsidRPr="009320FE">
        <w:rPr>
          <w:rFonts w:ascii="Arial" w:hAnsi="Arial" w:cs="Arial"/>
          <w:sz w:val="24"/>
          <w:szCs w:val="24"/>
        </w:rPr>
        <w:t xml:space="preserve"> description of</w:t>
      </w:r>
      <w:r w:rsidR="00233B8C">
        <w:rPr>
          <w:rFonts w:ascii="Arial" w:hAnsi="Arial" w:cs="Arial"/>
          <w:sz w:val="24"/>
          <w:szCs w:val="24"/>
        </w:rPr>
        <w:t xml:space="preserve"> </w:t>
      </w:r>
      <w:r w:rsidR="00513497">
        <w:rPr>
          <w:rFonts w:ascii="Arial" w:hAnsi="Arial" w:cs="Arial"/>
          <w:sz w:val="24"/>
          <w:szCs w:val="24"/>
        </w:rPr>
        <w:t xml:space="preserve">the </w:t>
      </w:r>
      <w:r w:rsidR="008B4D54" w:rsidRPr="009320FE">
        <w:rPr>
          <w:rFonts w:ascii="Arial" w:hAnsi="Arial" w:cs="Arial"/>
          <w:sz w:val="24"/>
          <w:szCs w:val="24"/>
        </w:rPr>
        <w:t>apparel worn</w:t>
      </w:r>
      <w:r w:rsidR="007245A5" w:rsidRPr="009320FE">
        <w:rPr>
          <w:rFonts w:ascii="Arial" w:hAnsi="Arial" w:cs="Arial"/>
          <w:sz w:val="24"/>
          <w:szCs w:val="24"/>
        </w:rPr>
        <w:t xml:space="preserve"> by the </w:t>
      </w:r>
      <w:r w:rsidR="00513497">
        <w:rPr>
          <w:rFonts w:ascii="Arial" w:hAnsi="Arial" w:cs="Arial"/>
          <w:sz w:val="24"/>
          <w:szCs w:val="24"/>
        </w:rPr>
        <w:t>assailant,</w:t>
      </w:r>
      <w:r w:rsidR="00513497" w:rsidRPr="009320FE">
        <w:rPr>
          <w:rFonts w:ascii="Arial" w:hAnsi="Arial" w:cs="Arial"/>
          <w:sz w:val="24"/>
          <w:szCs w:val="24"/>
        </w:rPr>
        <w:t xml:space="preserve"> </w:t>
      </w:r>
      <w:r w:rsidR="007245A5" w:rsidRPr="009320FE">
        <w:rPr>
          <w:rFonts w:ascii="Arial" w:hAnsi="Arial" w:cs="Arial"/>
          <w:sz w:val="24"/>
          <w:szCs w:val="24"/>
        </w:rPr>
        <w:t>stated that he had</w:t>
      </w:r>
      <w:r w:rsidR="000001FA">
        <w:rPr>
          <w:rFonts w:ascii="Arial" w:hAnsi="Arial" w:cs="Arial"/>
          <w:sz w:val="24"/>
          <w:szCs w:val="24"/>
        </w:rPr>
        <w:t xml:space="preserve"> earlier</w:t>
      </w:r>
      <w:r w:rsidR="007245A5" w:rsidRPr="009320FE">
        <w:rPr>
          <w:rFonts w:ascii="Arial" w:hAnsi="Arial" w:cs="Arial"/>
          <w:sz w:val="24"/>
          <w:szCs w:val="24"/>
        </w:rPr>
        <w:t xml:space="preserve"> on</w:t>
      </w:r>
      <w:r w:rsidR="008B4D54" w:rsidRPr="009320FE">
        <w:rPr>
          <w:rFonts w:ascii="Arial" w:hAnsi="Arial" w:cs="Arial"/>
          <w:sz w:val="24"/>
          <w:szCs w:val="24"/>
        </w:rPr>
        <w:t xml:space="preserve"> the day in question attended a traditional ceremony </w:t>
      </w:r>
      <w:r w:rsidR="00DC466A" w:rsidRPr="009320FE">
        <w:rPr>
          <w:rFonts w:ascii="Arial" w:hAnsi="Arial" w:cs="Arial"/>
          <w:sz w:val="24"/>
          <w:szCs w:val="24"/>
        </w:rPr>
        <w:t xml:space="preserve">in the area and </w:t>
      </w:r>
      <w:r w:rsidR="007F6BFB">
        <w:rPr>
          <w:rFonts w:ascii="Arial" w:hAnsi="Arial" w:cs="Arial"/>
          <w:sz w:val="24"/>
          <w:szCs w:val="24"/>
        </w:rPr>
        <w:t>had seen</w:t>
      </w:r>
      <w:r w:rsidR="004D4B51" w:rsidRPr="009320FE">
        <w:rPr>
          <w:rFonts w:ascii="Arial" w:hAnsi="Arial" w:cs="Arial"/>
          <w:sz w:val="24"/>
          <w:szCs w:val="24"/>
        </w:rPr>
        <w:t xml:space="preserve"> </w:t>
      </w:r>
      <w:r w:rsidR="00DC466A" w:rsidRPr="009320FE">
        <w:rPr>
          <w:rFonts w:ascii="Arial" w:hAnsi="Arial" w:cs="Arial"/>
          <w:sz w:val="24"/>
          <w:szCs w:val="24"/>
        </w:rPr>
        <w:t>only one person</w:t>
      </w:r>
      <w:r w:rsidR="00A03392">
        <w:rPr>
          <w:rFonts w:ascii="Arial" w:hAnsi="Arial" w:cs="Arial"/>
          <w:sz w:val="24"/>
          <w:szCs w:val="24"/>
        </w:rPr>
        <w:t xml:space="preserve"> at the ceremony</w:t>
      </w:r>
      <w:r w:rsidR="00DC466A" w:rsidRPr="009320FE">
        <w:rPr>
          <w:rFonts w:ascii="Arial" w:hAnsi="Arial" w:cs="Arial"/>
          <w:sz w:val="24"/>
          <w:szCs w:val="24"/>
        </w:rPr>
        <w:t xml:space="preserve"> </w:t>
      </w:r>
      <w:r w:rsidR="008B4D54" w:rsidRPr="009320FE">
        <w:rPr>
          <w:rFonts w:ascii="Arial" w:hAnsi="Arial" w:cs="Arial"/>
          <w:sz w:val="24"/>
          <w:szCs w:val="24"/>
        </w:rPr>
        <w:t>who had</w:t>
      </w:r>
      <w:r w:rsidR="00D671CB" w:rsidRPr="009320FE">
        <w:rPr>
          <w:rFonts w:ascii="Arial" w:hAnsi="Arial" w:cs="Arial"/>
          <w:sz w:val="24"/>
          <w:szCs w:val="24"/>
        </w:rPr>
        <w:t xml:space="preserve"> dreadlocks </w:t>
      </w:r>
      <w:r w:rsidR="004D4B51">
        <w:rPr>
          <w:rFonts w:ascii="Arial" w:hAnsi="Arial" w:cs="Arial"/>
          <w:sz w:val="24"/>
          <w:szCs w:val="24"/>
        </w:rPr>
        <w:t xml:space="preserve">and </w:t>
      </w:r>
      <w:r w:rsidR="007F6BFB">
        <w:rPr>
          <w:rFonts w:ascii="Arial" w:hAnsi="Arial" w:cs="Arial"/>
          <w:sz w:val="24"/>
          <w:szCs w:val="24"/>
        </w:rPr>
        <w:t xml:space="preserve">who </w:t>
      </w:r>
      <w:r w:rsidR="004D4B51">
        <w:rPr>
          <w:rFonts w:ascii="Arial" w:hAnsi="Arial" w:cs="Arial"/>
          <w:sz w:val="24"/>
          <w:szCs w:val="24"/>
        </w:rPr>
        <w:t>had worn</w:t>
      </w:r>
      <w:r w:rsidR="004D4B51" w:rsidRPr="009320FE">
        <w:rPr>
          <w:rFonts w:ascii="Arial" w:hAnsi="Arial" w:cs="Arial"/>
          <w:sz w:val="24"/>
          <w:szCs w:val="24"/>
        </w:rPr>
        <w:t xml:space="preserve"> </w:t>
      </w:r>
      <w:r w:rsidR="00D671CB" w:rsidRPr="009320FE">
        <w:rPr>
          <w:rFonts w:ascii="Arial" w:hAnsi="Arial" w:cs="Arial"/>
          <w:sz w:val="24"/>
          <w:szCs w:val="24"/>
        </w:rPr>
        <w:t xml:space="preserve">white gumboots and </w:t>
      </w:r>
      <w:r w:rsidR="008B4D54" w:rsidRPr="009320FE">
        <w:rPr>
          <w:rFonts w:ascii="Arial" w:hAnsi="Arial" w:cs="Arial"/>
          <w:sz w:val="24"/>
          <w:szCs w:val="24"/>
        </w:rPr>
        <w:t xml:space="preserve">a </w:t>
      </w:r>
      <w:r w:rsidR="00D671CB" w:rsidRPr="009320FE">
        <w:rPr>
          <w:rFonts w:ascii="Arial" w:hAnsi="Arial" w:cs="Arial"/>
          <w:sz w:val="24"/>
          <w:szCs w:val="24"/>
        </w:rPr>
        <w:t xml:space="preserve">straight cap. This person served </w:t>
      </w:r>
      <w:r w:rsidR="00322122">
        <w:rPr>
          <w:rFonts w:ascii="Arial" w:hAnsi="Arial" w:cs="Arial"/>
          <w:sz w:val="24"/>
          <w:szCs w:val="24"/>
        </w:rPr>
        <w:t xml:space="preserve">the </w:t>
      </w:r>
      <w:r w:rsidR="00D671CB" w:rsidRPr="009320FE">
        <w:rPr>
          <w:rFonts w:ascii="Arial" w:hAnsi="Arial" w:cs="Arial"/>
          <w:sz w:val="24"/>
          <w:szCs w:val="24"/>
        </w:rPr>
        <w:t>guest</w:t>
      </w:r>
      <w:r w:rsidR="00DC466A" w:rsidRPr="009320FE">
        <w:rPr>
          <w:rFonts w:ascii="Arial" w:hAnsi="Arial" w:cs="Arial"/>
          <w:sz w:val="24"/>
          <w:szCs w:val="24"/>
        </w:rPr>
        <w:t>s</w:t>
      </w:r>
      <w:r w:rsidR="00322122">
        <w:rPr>
          <w:rFonts w:ascii="Arial" w:hAnsi="Arial" w:cs="Arial"/>
          <w:sz w:val="24"/>
          <w:szCs w:val="24"/>
        </w:rPr>
        <w:t xml:space="preserve"> food</w:t>
      </w:r>
      <w:r w:rsidR="00D671CB" w:rsidRPr="009320FE">
        <w:rPr>
          <w:rFonts w:ascii="Arial" w:hAnsi="Arial" w:cs="Arial"/>
          <w:sz w:val="24"/>
          <w:szCs w:val="24"/>
        </w:rPr>
        <w:t xml:space="preserve"> at the ceremony</w:t>
      </w:r>
      <w:r w:rsidR="004D4B51">
        <w:rPr>
          <w:rFonts w:ascii="Arial" w:hAnsi="Arial" w:cs="Arial"/>
          <w:sz w:val="24"/>
          <w:szCs w:val="24"/>
        </w:rPr>
        <w:t>. Mr Dlamini made</w:t>
      </w:r>
      <w:r w:rsidR="00D671CB" w:rsidRPr="009320FE">
        <w:rPr>
          <w:rFonts w:ascii="Arial" w:hAnsi="Arial" w:cs="Arial"/>
          <w:sz w:val="24"/>
          <w:szCs w:val="24"/>
        </w:rPr>
        <w:t xml:space="preserve"> </w:t>
      </w:r>
      <w:r w:rsidR="00DC466A" w:rsidRPr="009320FE">
        <w:rPr>
          <w:rFonts w:ascii="Arial" w:hAnsi="Arial" w:cs="Arial"/>
          <w:sz w:val="24"/>
          <w:szCs w:val="24"/>
        </w:rPr>
        <w:t>enquir</w:t>
      </w:r>
      <w:r w:rsidR="004D4B51">
        <w:rPr>
          <w:rFonts w:ascii="Arial" w:hAnsi="Arial" w:cs="Arial"/>
          <w:sz w:val="24"/>
          <w:szCs w:val="24"/>
        </w:rPr>
        <w:t>i</w:t>
      </w:r>
      <w:r w:rsidR="00DC466A" w:rsidRPr="009320FE">
        <w:rPr>
          <w:rFonts w:ascii="Arial" w:hAnsi="Arial" w:cs="Arial"/>
          <w:sz w:val="24"/>
          <w:szCs w:val="24"/>
        </w:rPr>
        <w:t xml:space="preserve">es </w:t>
      </w:r>
      <w:r w:rsidR="008B4D54" w:rsidRPr="009320FE">
        <w:rPr>
          <w:rFonts w:ascii="Arial" w:hAnsi="Arial" w:cs="Arial"/>
          <w:sz w:val="24"/>
          <w:szCs w:val="24"/>
        </w:rPr>
        <w:t xml:space="preserve">on </w:t>
      </w:r>
      <w:r w:rsidR="00DC466A" w:rsidRPr="009320FE">
        <w:rPr>
          <w:rFonts w:ascii="Arial" w:hAnsi="Arial" w:cs="Arial"/>
          <w:sz w:val="24"/>
          <w:szCs w:val="24"/>
        </w:rPr>
        <w:t>the same</w:t>
      </w:r>
      <w:r w:rsidR="008B4D54" w:rsidRPr="009320FE">
        <w:rPr>
          <w:rFonts w:ascii="Arial" w:hAnsi="Arial" w:cs="Arial"/>
          <w:sz w:val="24"/>
          <w:szCs w:val="24"/>
        </w:rPr>
        <w:t xml:space="preserve"> night</w:t>
      </w:r>
      <w:r w:rsidR="004D4B51">
        <w:rPr>
          <w:rFonts w:ascii="Arial" w:hAnsi="Arial" w:cs="Arial"/>
          <w:sz w:val="24"/>
          <w:szCs w:val="24"/>
        </w:rPr>
        <w:t xml:space="preserve"> of the incident and</w:t>
      </w:r>
      <w:r w:rsidR="008B4D54" w:rsidRPr="009320FE">
        <w:rPr>
          <w:rFonts w:ascii="Arial" w:hAnsi="Arial" w:cs="Arial"/>
          <w:sz w:val="24"/>
          <w:szCs w:val="24"/>
        </w:rPr>
        <w:t xml:space="preserve"> the</w:t>
      </w:r>
      <w:r w:rsidR="00DC466A" w:rsidRPr="009320FE">
        <w:rPr>
          <w:rFonts w:ascii="Arial" w:hAnsi="Arial" w:cs="Arial"/>
          <w:sz w:val="24"/>
          <w:szCs w:val="24"/>
        </w:rPr>
        <w:t xml:space="preserve"> name</w:t>
      </w:r>
      <w:r w:rsidR="00D671CB" w:rsidRPr="009320FE">
        <w:rPr>
          <w:rFonts w:ascii="Arial" w:hAnsi="Arial" w:cs="Arial"/>
          <w:sz w:val="24"/>
          <w:szCs w:val="24"/>
        </w:rPr>
        <w:t xml:space="preserve"> of </w:t>
      </w:r>
      <w:r w:rsidR="004D4B51">
        <w:rPr>
          <w:rFonts w:ascii="Arial" w:hAnsi="Arial" w:cs="Arial"/>
          <w:sz w:val="24"/>
          <w:szCs w:val="24"/>
        </w:rPr>
        <w:t>the</w:t>
      </w:r>
      <w:r w:rsidR="004D4B51" w:rsidRPr="009320FE">
        <w:rPr>
          <w:rFonts w:ascii="Arial" w:hAnsi="Arial" w:cs="Arial"/>
          <w:sz w:val="24"/>
          <w:szCs w:val="24"/>
        </w:rPr>
        <w:t xml:space="preserve"> </w:t>
      </w:r>
      <w:r w:rsidR="00DC466A" w:rsidRPr="009320FE">
        <w:rPr>
          <w:rFonts w:ascii="Arial" w:hAnsi="Arial" w:cs="Arial"/>
          <w:sz w:val="24"/>
          <w:szCs w:val="24"/>
        </w:rPr>
        <w:t>person was obtained as well</w:t>
      </w:r>
      <w:r w:rsidR="00D671CB" w:rsidRPr="009320FE">
        <w:rPr>
          <w:rFonts w:ascii="Arial" w:hAnsi="Arial" w:cs="Arial"/>
          <w:sz w:val="24"/>
          <w:szCs w:val="24"/>
        </w:rPr>
        <w:t xml:space="preserve"> as </w:t>
      </w:r>
      <w:r w:rsidR="004D4B51">
        <w:rPr>
          <w:rFonts w:ascii="Arial" w:hAnsi="Arial" w:cs="Arial"/>
          <w:sz w:val="24"/>
          <w:szCs w:val="24"/>
        </w:rPr>
        <w:t xml:space="preserve">his employment </w:t>
      </w:r>
      <w:r w:rsidR="00D671CB" w:rsidRPr="009320FE">
        <w:rPr>
          <w:rFonts w:ascii="Arial" w:hAnsi="Arial" w:cs="Arial"/>
          <w:sz w:val="24"/>
          <w:szCs w:val="24"/>
        </w:rPr>
        <w:t xml:space="preserve">details. </w:t>
      </w:r>
    </w:p>
    <w:p w:rsidR="00D671CB" w:rsidRPr="009320FE" w:rsidRDefault="00D671CB" w:rsidP="009320FE">
      <w:pPr>
        <w:spacing w:after="0" w:line="360" w:lineRule="auto"/>
        <w:contextualSpacing/>
        <w:jc w:val="both"/>
        <w:rPr>
          <w:rFonts w:ascii="Arial" w:hAnsi="Arial" w:cs="Arial"/>
          <w:sz w:val="24"/>
          <w:szCs w:val="24"/>
        </w:rPr>
      </w:pPr>
    </w:p>
    <w:p w:rsidR="00D671CB"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00F50F56">
        <w:rPr>
          <w:rFonts w:ascii="Arial" w:hAnsi="Arial" w:cs="Arial"/>
          <w:sz w:val="24"/>
          <w:szCs w:val="24"/>
        </w:rPr>
        <w:t>3</w:t>
      </w:r>
      <w:r w:rsidRPr="009320FE">
        <w:rPr>
          <w:rFonts w:ascii="Arial" w:hAnsi="Arial" w:cs="Arial"/>
          <w:sz w:val="24"/>
          <w:szCs w:val="24"/>
        </w:rPr>
        <w:t>]</w:t>
      </w:r>
      <w:r w:rsidRPr="009320FE">
        <w:rPr>
          <w:rFonts w:ascii="Arial" w:hAnsi="Arial" w:cs="Arial"/>
          <w:sz w:val="24"/>
          <w:szCs w:val="24"/>
        </w:rPr>
        <w:tab/>
      </w:r>
      <w:r w:rsidR="00D671CB" w:rsidRPr="009320FE">
        <w:rPr>
          <w:rFonts w:ascii="Arial" w:hAnsi="Arial" w:cs="Arial"/>
          <w:sz w:val="24"/>
          <w:szCs w:val="24"/>
        </w:rPr>
        <w:t xml:space="preserve"> A few days after the incident</w:t>
      </w:r>
      <w:r w:rsidR="008B4D54" w:rsidRPr="009320FE">
        <w:rPr>
          <w:rFonts w:ascii="Arial" w:hAnsi="Arial" w:cs="Arial"/>
          <w:sz w:val="24"/>
          <w:szCs w:val="24"/>
        </w:rPr>
        <w:t>,</w:t>
      </w:r>
      <w:r w:rsidR="00D671CB" w:rsidRPr="009320FE">
        <w:rPr>
          <w:rFonts w:ascii="Arial" w:hAnsi="Arial" w:cs="Arial"/>
          <w:sz w:val="24"/>
          <w:szCs w:val="24"/>
        </w:rPr>
        <w:t xml:space="preserve"> the complainant was taken</w:t>
      </w:r>
      <w:r w:rsidR="00A03392">
        <w:rPr>
          <w:rFonts w:ascii="Arial" w:hAnsi="Arial" w:cs="Arial"/>
          <w:sz w:val="24"/>
          <w:szCs w:val="24"/>
        </w:rPr>
        <w:t xml:space="preserve"> by the police</w:t>
      </w:r>
      <w:r w:rsidR="00D671CB" w:rsidRPr="009320FE">
        <w:rPr>
          <w:rFonts w:ascii="Arial" w:hAnsi="Arial" w:cs="Arial"/>
          <w:sz w:val="24"/>
          <w:szCs w:val="24"/>
        </w:rPr>
        <w:t xml:space="preserve"> to the </w:t>
      </w:r>
      <w:r w:rsidR="00DC466A" w:rsidRPr="009320FE">
        <w:rPr>
          <w:rFonts w:ascii="Arial" w:hAnsi="Arial" w:cs="Arial"/>
          <w:sz w:val="24"/>
          <w:szCs w:val="24"/>
        </w:rPr>
        <w:t>suspect’s</w:t>
      </w:r>
      <w:r w:rsidR="00D671CB" w:rsidRPr="009320FE">
        <w:rPr>
          <w:rFonts w:ascii="Arial" w:hAnsi="Arial" w:cs="Arial"/>
          <w:sz w:val="24"/>
          <w:szCs w:val="24"/>
        </w:rPr>
        <w:t xml:space="preserve"> workplace</w:t>
      </w:r>
      <w:r w:rsidR="006F7B8B">
        <w:rPr>
          <w:rFonts w:ascii="Arial" w:hAnsi="Arial" w:cs="Arial"/>
          <w:sz w:val="24"/>
          <w:szCs w:val="24"/>
        </w:rPr>
        <w:t>,</w:t>
      </w:r>
      <w:r w:rsidR="00D671CB" w:rsidRPr="009320FE">
        <w:rPr>
          <w:rFonts w:ascii="Arial" w:hAnsi="Arial" w:cs="Arial"/>
          <w:sz w:val="24"/>
          <w:szCs w:val="24"/>
        </w:rPr>
        <w:t xml:space="preserve"> and without prompting</w:t>
      </w:r>
      <w:r w:rsidR="007F6BFB">
        <w:rPr>
          <w:rFonts w:ascii="Arial" w:hAnsi="Arial" w:cs="Arial"/>
          <w:sz w:val="24"/>
          <w:szCs w:val="24"/>
        </w:rPr>
        <w:t>,</w:t>
      </w:r>
      <w:r w:rsidR="00D671CB" w:rsidRPr="009320FE">
        <w:rPr>
          <w:rFonts w:ascii="Arial" w:hAnsi="Arial" w:cs="Arial"/>
          <w:sz w:val="24"/>
          <w:szCs w:val="24"/>
        </w:rPr>
        <w:t xml:space="preserve"> pointed</w:t>
      </w:r>
      <w:r w:rsidR="00DC466A" w:rsidRPr="009320FE">
        <w:rPr>
          <w:rFonts w:ascii="Arial" w:hAnsi="Arial" w:cs="Arial"/>
          <w:sz w:val="24"/>
          <w:szCs w:val="24"/>
        </w:rPr>
        <w:t xml:space="preserve"> out the </w:t>
      </w:r>
      <w:r w:rsidR="00F423B5" w:rsidRPr="009320FE">
        <w:rPr>
          <w:rFonts w:ascii="Arial" w:hAnsi="Arial" w:cs="Arial"/>
          <w:sz w:val="24"/>
          <w:szCs w:val="24"/>
        </w:rPr>
        <w:t xml:space="preserve">appellant </w:t>
      </w:r>
      <w:r w:rsidR="00DC466A" w:rsidRPr="009320FE">
        <w:rPr>
          <w:rFonts w:ascii="Arial" w:hAnsi="Arial" w:cs="Arial"/>
          <w:sz w:val="24"/>
          <w:szCs w:val="24"/>
        </w:rPr>
        <w:t xml:space="preserve">as the perpetrator. The </w:t>
      </w:r>
      <w:r w:rsidR="00F423B5" w:rsidRPr="009320FE">
        <w:rPr>
          <w:rFonts w:ascii="Arial" w:hAnsi="Arial" w:cs="Arial"/>
          <w:sz w:val="24"/>
          <w:szCs w:val="24"/>
        </w:rPr>
        <w:t xml:space="preserve">appellant </w:t>
      </w:r>
      <w:r w:rsidR="00D671CB" w:rsidRPr="009320FE">
        <w:rPr>
          <w:rFonts w:ascii="Arial" w:hAnsi="Arial" w:cs="Arial"/>
          <w:sz w:val="24"/>
          <w:szCs w:val="24"/>
        </w:rPr>
        <w:t>was arrested and</w:t>
      </w:r>
      <w:r w:rsidR="00B85024">
        <w:rPr>
          <w:rFonts w:ascii="Arial" w:hAnsi="Arial" w:cs="Arial"/>
          <w:sz w:val="24"/>
          <w:szCs w:val="24"/>
        </w:rPr>
        <w:t xml:space="preserve"> it is common cause that</w:t>
      </w:r>
      <w:r w:rsidR="00D671CB" w:rsidRPr="009320FE">
        <w:rPr>
          <w:rFonts w:ascii="Arial" w:hAnsi="Arial" w:cs="Arial"/>
          <w:sz w:val="24"/>
          <w:szCs w:val="24"/>
        </w:rPr>
        <w:t xml:space="preserve"> a DNA sample</w:t>
      </w:r>
      <w:r w:rsidR="00321A61">
        <w:rPr>
          <w:rFonts w:ascii="Arial" w:hAnsi="Arial" w:cs="Arial"/>
          <w:sz w:val="24"/>
          <w:szCs w:val="24"/>
        </w:rPr>
        <w:t xml:space="preserve"> </w:t>
      </w:r>
      <w:r w:rsidR="00D671CB" w:rsidRPr="009320FE">
        <w:rPr>
          <w:rFonts w:ascii="Arial" w:hAnsi="Arial" w:cs="Arial"/>
          <w:sz w:val="24"/>
          <w:szCs w:val="24"/>
        </w:rPr>
        <w:t>was taken from</w:t>
      </w:r>
      <w:r w:rsidR="00DC466A" w:rsidRPr="009320FE">
        <w:rPr>
          <w:rFonts w:ascii="Arial" w:hAnsi="Arial" w:cs="Arial"/>
          <w:sz w:val="24"/>
          <w:szCs w:val="24"/>
        </w:rPr>
        <w:t xml:space="preserve"> </w:t>
      </w:r>
      <w:r w:rsidR="00D33E69" w:rsidRPr="009320FE">
        <w:rPr>
          <w:rFonts w:ascii="Arial" w:hAnsi="Arial" w:cs="Arial"/>
          <w:sz w:val="24"/>
          <w:szCs w:val="24"/>
        </w:rPr>
        <w:t>him for</w:t>
      </w:r>
      <w:r w:rsidR="00DC466A" w:rsidRPr="009320FE">
        <w:rPr>
          <w:rFonts w:ascii="Arial" w:hAnsi="Arial" w:cs="Arial"/>
          <w:sz w:val="24"/>
          <w:szCs w:val="24"/>
        </w:rPr>
        <w:t xml:space="preserve"> analysi</w:t>
      </w:r>
      <w:r w:rsidR="00D33E69" w:rsidRPr="009320FE">
        <w:rPr>
          <w:rFonts w:ascii="Arial" w:hAnsi="Arial" w:cs="Arial"/>
          <w:sz w:val="24"/>
          <w:szCs w:val="24"/>
        </w:rPr>
        <w:t>s</w:t>
      </w:r>
      <w:r w:rsidR="006F7B8B">
        <w:rPr>
          <w:rFonts w:ascii="Arial" w:hAnsi="Arial" w:cs="Arial"/>
          <w:sz w:val="24"/>
          <w:szCs w:val="24"/>
        </w:rPr>
        <w:t>.</w:t>
      </w:r>
      <w:r w:rsidR="008B4D54" w:rsidRPr="009320FE">
        <w:rPr>
          <w:rFonts w:ascii="Arial" w:hAnsi="Arial" w:cs="Arial"/>
          <w:sz w:val="24"/>
          <w:szCs w:val="24"/>
        </w:rPr>
        <w:t xml:space="preserve"> </w:t>
      </w:r>
      <w:r w:rsidR="006F7B8B">
        <w:rPr>
          <w:rFonts w:ascii="Arial" w:hAnsi="Arial" w:cs="Arial"/>
          <w:sz w:val="24"/>
          <w:szCs w:val="24"/>
        </w:rPr>
        <w:t>T</w:t>
      </w:r>
      <w:r w:rsidR="006F7B8B" w:rsidRPr="009320FE">
        <w:rPr>
          <w:rFonts w:ascii="Arial" w:hAnsi="Arial" w:cs="Arial"/>
          <w:sz w:val="24"/>
          <w:szCs w:val="24"/>
        </w:rPr>
        <w:t xml:space="preserve">he </w:t>
      </w:r>
      <w:r w:rsidR="008B4D54" w:rsidRPr="009320FE">
        <w:rPr>
          <w:rFonts w:ascii="Arial" w:hAnsi="Arial" w:cs="Arial"/>
          <w:sz w:val="24"/>
          <w:szCs w:val="24"/>
        </w:rPr>
        <w:t>i</w:t>
      </w:r>
      <w:r w:rsidR="00D33E69" w:rsidRPr="009320FE">
        <w:rPr>
          <w:rFonts w:ascii="Arial" w:hAnsi="Arial" w:cs="Arial"/>
          <w:sz w:val="24"/>
          <w:szCs w:val="24"/>
        </w:rPr>
        <w:t xml:space="preserve">nvestigating </w:t>
      </w:r>
      <w:r w:rsidR="008B4D54" w:rsidRPr="009320FE">
        <w:rPr>
          <w:rFonts w:ascii="Arial" w:hAnsi="Arial" w:cs="Arial"/>
          <w:sz w:val="24"/>
          <w:szCs w:val="24"/>
        </w:rPr>
        <w:t>o</w:t>
      </w:r>
      <w:r w:rsidR="00D671CB" w:rsidRPr="009320FE">
        <w:rPr>
          <w:rFonts w:ascii="Arial" w:hAnsi="Arial" w:cs="Arial"/>
          <w:sz w:val="24"/>
          <w:szCs w:val="24"/>
        </w:rPr>
        <w:t>fficer</w:t>
      </w:r>
      <w:r w:rsidR="00D33E69" w:rsidRPr="009320FE">
        <w:rPr>
          <w:rFonts w:ascii="Arial" w:hAnsi="Arial" w:cs="Arial"/>
          <w:sz w:val="24"/>
          <w:szCs w:val="24"/>
        </w:rPr>
        <w:t>,</w:t>
      </w:r>
      <w:r w:rsidR="008B4D54" w:rsidRPr="009320FE">
        <w:rPr>
          <w:rFonts w:ascii="Arial" w:hAnsi="Arial" w:cs="Arial"/>
          <w:sz w:val="24"/>
          <w:szCs w:val="24"/>
        </w:rPr>
        <w:t xml:space="preserve"> S</w:t>
      </w:r>
      <w:r w:rsidR="00D671CB" w:rsidRPr="009320FE">
        <w:rPr>
          <w:rFonts w:ascii="Arial" w:hAnsi="Arial" w:cs="Arial"/>
          <w:sz w:val="24"/>
          <w:szCs w:val="24"/>
        </w:rPr>
        <w:t>ergeant Hlongwa</w:t>
      </w:r>
      <w:r w:rsidR="00D33E69" w:rsidRPr="009320FE">
        <w:rPr>
          <w:rFonts w:ascii="Arial" w:hAnsi="Arial" w:cs="Arial"/>
          <w:sz w:val="24"/>
          <w:szCs w:val="24"/>
        </w:rPr>
        <w:t>,</w:t>
      </w:r>
      <w:r w:rsidR="00D671CB" w:rsidRPr="009320FE">
        <w:rPr>
          <w:rFonts w:ascii="Arial" w:hAnsi="Arial" w:cs="Arial"/>
          <w:sz w:val="24"/>
          <w:szCs w:val="24"/>
        </w:rPr>
        <w:t xml:space="preserve"> testified to this effect.</w:t>
      </w:r>
      <w:r w:rsidR="008B4D54" w:rsidRPr="009320FE">
        <w:rPr>
          <w:rFonts w:ascii="Arial" w:hAnsi="Arial" w:cs="Arial"/>
          <w:sz w:val="24"/>
          <w:szCs w:val="24"/>
        </w:rPr>
        <w:t xml:space="preserve"> </w:t>
      </w:r>
    </w:p>
    <w:p w:rsidR="00D671CB" w:rsidRPr="009320FE" w:rsidRDefault="00D671CB" w:rsidP="009320FE">
      <w:pPr>
        <w:spacing w:after="0" w:line="360" w:lineRule="auto"/>
        <w:contextualSpacing/>
        <w:jc w:val="both"/>
        <w:rPr>
          <w:rFonts w:ascii="Arial" w:hAnsi="Arial" w:cs="Arial"/>
          <w:sz w:val="24"/>
          <w:szCs w:val="24"/>
        </w:rPr>
      </w:pPr>
    </w:p>
    <w:p w:rsidR="00D671CB"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D671CB" w:rsidRPr="009320FE">
        <w:rPr>
          <w:rFonts w:ascii="Arial" w:hAnsi="Arial" w:cs="Arial"/>
          <w:sz w:val="24"/>
          <w:szCs w:val="24"/>
        </w:rPr>
        <w:t>1</w:t>
      </w:r>
      <w:r w:rsidR="00F50F56">
        <w:rPr>
          <w:rFonts w:ascii="Arial" w:hAnsi="Arial" w:cs="Arial"/>
          <w:sz w:val="24"/>
          <w:szCs w:val="24"/>
        </w:rPr>
        <w:t>4</w:t>
      </w:r>
      <w:r w:rsidR="00D671CB" w:rsidRPr="009320FE">
        <w:rPr>
          <w:rFonts w:ascii="Arial" w:hAnsi="Arial" w:cs="Arial"/>
          <w:sz w:val="24"/>
          <w:szCs w:val="24"/>
        </w:rPr>
        <w:t xml:space="preserve">] </w:t>
      </w:r>
      <w:r w:rsidRPr="009320FE">
        <w:rPr>
          <w:rFonts w:ascii="Arial" w:hAnsi="Arial" w:cs="Arial"/>
          <w:sz w:val="24"/>
          <w:szCs w:val="24"/>
        </w:rPr>
        <w:tab/>
      </w:r>
      <w:r w:rsidR="00D671CB" w:rsidRPr="009320FE">
        <w:rPr>
          <w:rFonts w:ascii="Arial" w:hAnsi="Arial" w:cs="Arial"/>
          <w:sz w:val="24"/>
          <w:szCs w:val="24"/>
        </w:rPr>
        <w:t>The complainant</w:t>
      </w:r>
      <w:r w:rsidR="007E7080">
        <w:rPr>
          <w:rFonts w:ascii="Arial" w:hAnsi="Arial" w:cs="Arial"/>
          <w:sz w:val="24"/>
          <w:szCs w:val="24"/>
        </w:rPr>
        <w:t>,</w:t>
      </w:r>
      <w:r w:rsidR="00D671CB" w:rsidRPr="009320FE">
        <w:rPr>
          <w:rFonts w:ascii="Arial" w:hAnsi="Arial" w:cs="Arial"/>
          <w:sz w:val="24"/>
          <w:szCs w:val="24"/>
        </w:rPr>
        <w:t xml:space="preserve"> who was 16 years old</w:t>
      </w:r>
      <w:r w:rsidR="00F423B5">
        <w:rPr>
          <w:rFonts w:ascii="Arial" w:hAnsi="Arial" w:cs="Arial"/>
          <w:sz w:val="24"/>
          <w:szCs w:val="24"/>
        </w:rPr>
        <w:t>,</w:t>
      </w:r>
      <w:r w:rsidR="00D671CB" w:rsidRPr="009320FE">
        <w:rPr>
          <w:rFonts w:ascii="Arial" w:hAnsi="Arial" w:cs="Arial"/>
          <w:sz w:val="24"/>
          <w:szCs w:val="24"/>
        </w:rPr>
        <w:t xml:space="preserve"> and in grade 12 at the time of testifying</w:t>
      </w:r>
      <w:r w:rsidR="00F423B5">
        <w:rPr>
          <w:rFonts w:ascii="Arial" w:hAnsi="Arial" w:cs="Arial"/>
          <w:sz w:val="24"/>
          <w:szCs w:val="24"/>
        </w:rPr>
        <w:t>,</w:t>
      </w:r>
      <w:r w:rsidR="00D671CB" w:rsidRPr="009320FE">
        <w:rPr>
          <w:rFonts w:ascii="Arial" w:hAnsi="Arial" w:cs="Arial"/>
          <w:sz w:val="24"/>
          <w:szCs w:val="24"/>
        </w:rPr>
        <w:t xml:space="preserve"> was a </w:t>
      </w:r>
      <w:r w:rsidR="008B4D54" w:rsidRPr="009320FE">
        <w:rPr>
          <w:rFonts w:ascii="Arial" w:hAnsi="Arial" w:cs="Arial"/>
          <w:sz w:val="24"/>
          <w:szCs w:val="24"/>
        </w:rPr>
        <w:t xml:space="preserve">credible witness </w:t>
      </w:r>
      <w:r w:rsidR="00D671CB" w:rsidRPr="009320FE">
        <w:rPr>
          <w:rFonts w:ascii="Arial" w:hAnsi="Arial" w:cs="Arial"/>
          <w:sz w:val="24"/>
          <w:szCs w:val="24"/>
        </w:rPr>
        <w:t>who testified in a clear</w:t>
      </w:r>
      <w:r w:rsidR="007E7080">
        <w:rPr>
          <w:rFonts w:ascii="Arial" w:hAnsi="Arial" w:cs="Arial"/>
          <w:sz w:val="24"/>
          <w:szCs w:val="24"/>
        </w:rPr>
        <w:t>,</w:t>
      </w:r>
      <w:r w:rsidR="00D671CB" w:rsidRPr="009320FE">
        <w:rPr>
          <w:rFonts w:ascii="Arial" w:hAnsi="Arial" w:cs="Arial"/>
          <w:sz w:val="24"/>
          <w:szCs w:val="24"/>
        </w:rPr>
        <w:t xml:space="preserve"> coherent</w:t>
      </w:r>
      <w:r w:rsidR="007E7080">
        <w:rPr>
          <w:rFonts w:ascii="Arial" w:hAnsi="Arial" w:cs="Arial"/>
          <w:sz w:val="24"/>
          <w:szCs w:val="24"/>
        </w:rPr>
        <w:t>,</w:t>
      </w:r>
      <w:r w:rsidR="00D671CB" w:rsidRPr="009320FE">
        <w:rPr>
          <w:rFonts w:ascii="Arial" w:hAnsi="Arial" w:cs="Arial"/>
          <w:sz w:val="24"/>
          <w:szCs w:val="24"/>
        </w:rPr>
        <w:t xml:space="preserve"> and satisfactory manner in all material respects</w:t>
      </w:r>
      <w:r w:rsidR="00D33E69" w:rsidRPr="009320FE">
        <w:rPr>
          <w:rFonts w:ascii="Arial" w:hAnsi="Arial" w:cs="Arial"/>
          <w:sz w:val="24"/>
          <w:szCs w:val="24"/>
        </w:rPr>
        <w:t>. S</w:t>
      </w:r>
      <w:r w:rsidR="00D671CB" w:rsidRPr="009320FE">
        <w:rPr>
          <w:rFonts w:ascii="Arial" w:hAnsi="Arial" w:cs="Arial"/>
          <w:sz w:val="24"/>
          <w:szCs w:val="24"/>
        </w:rPr>
        <w:t xml:space="preserve">he withstood cross-examination well and did not </w:t>
      </w:r>
      <w:r w:rsidR="00C423DA" w:rsidRPr="009320FE">
        <w:rPr>
          <w:rFonts w:ascii="Arial" w:hAnsi="Arial" w:cs="Arial"/>
          <w:sz w:val="24"/>
          <w:szCs w:val="24"/>
        </w:rPr>
        <w:t>contradict herself</w:t>
      </w:r>
      <w:r w:rsidR="00D33E69" w:rsidRPr="009320FE">
        <w:rPr>
          <w:rFonts w:ascii="Arial" w:hAnsi="Arial" w:cs="Arial"/>
          <w:sz w:val="24"/>
          <w:szCs w:val="24"/>
        </w:rPr>
        <w:t xml:space="preserve">. The </w:t>
      </w:r>
      <w:r w:rsidR="008B4D54" w:rsidRPr="009320FE">
        <w:rPr>
          <w:rFonts w:ascii="Arial" w:hAnsi="Arial" w:cs="Arial"/>
          <w:sz w:val="24"/>
          <w:szCs w:val="24"/>
        </w:rPr>
        <w:t>t</w:t>
      </w:r>
      <w:r w:rsidR="00C423DA" w:rsidRPr="009320FE">
        <w:rPr>
          <w:rFonts w:ascii="Arial" w:hAnsi="Arial" w:cs="Arial"/>
          <w:sz w:val="24"/>
          <w:szCs w:val="24"/>
        </w:rPr>
        <w:t>rial magistrate was mindful of the need to treat her evidence with caution</w:t>
      </w:r>
      <w:r w:rsidR="00D33E69" w:rsidRPr="009320FE">
        <w:rPr>
          <w:rFonts w:ascii="Arial" w:hAnsi="Arial" w:cs="Arial"/>
          <w:sz w:val="24"/>
          <w:szCs w:val="24"/>
        </w:rPr>
        <w:t>,</w:t>
      </w:r>
      <w:r w:rsidR="00C423DA" w:rsidRPr="009320FE">
        <w:rPr>
          <w:rFonts w:ascii="Arial" w:hAnsi="Arial" w:cs="Arial"/>
          <w:sz w:val="24"/>
          <w:szCs w:val="24"/>
        </w:rPr>
        <w:t xml:space="preserve"> not only because she was 16 years old at the time of testif</w:t>
      </w:r>
      <w:r w:rsidR="00D33E69" w:rsidRPr="009320FE">
        <w:rPr>
          <w:rFonts w:ascii="Arial" w:hAnsi="Arial" w:cs="Arial"/>
          <w:sz w:val="24"/>
          <w:szCs w:val="24"/>
        </w:rPr>
        <w:t xml:space="preserve">ying but also </w:t>
      </w:r>
      <w:r w:rsidR="007E7080">
        <w:rPr>
          <w:rFonts w:ascii="Arial" w:hAnsi="Arial" w:cs="Arial"/>
          <w:sz w:val="24"/>
          <w:szCs w:val="24"/>
        </w:rPr>
        <w:t xml:space="preserve">because she was </w:t>
      </w:r>
      <w:r w:rsidR="00D33E69" w:rsidRPr="009320FE">
        <w:rPr>
          <w:rFonts w:ascii="Arial" w:hAnsi="Arial" w:cs="Arial"/>
          <w:sz w:val="24"/>
          <w:szCs w:val="24"/>
        </w:rPr>
        <w:t xml:space="preserve">a single witness. Our </w:t>
      </w:r>
      <w:r w:rsidR="00F423B5" w:rsidRPr="009320FE">
        <w:rPr>
          <w:rFonts w:ascii="Arial" w:hAnsi="Arial" w:cs="Arial"/>
          <w:sz w:val="24"/>
          <w:szCs w:val="24"/>
        </w:rPr>
        <w:t xml:space="preserve">appeal </w:t>
      </w:r>
      <w:r w:rsidR="00C423DA" w:rsidRPr="009320FE">
        <w:rPr>
          <w:rFonts w:ascii="Arial" w:hAnsi="Arial" w:cs="Arial"/>
          <w:sz w:val="24"/>
          <w:szCs w:val="24"/>
        </w:rPr>
        <w:t>court</w:t>
      </w:r>
      <w:r w:rsidR="00D33E69" w:rsidRPr="009320FE">
        <w:rPr>
          <w:rFonts w:ascii="Arial" w:hAnsi="Arial" w:cs="Arial"/>
          <w:sz w:val="24"/>
          <w:szCs w:val="24"/>
        </w:rPr>
        <w:t>s</w:t>
      </w:r>
      <w:r w:rsidR="00C423DA" w:rsidRPr="009320FE">
        <w:rPr>
          <w:rFonts w:ascii="Arial" w:hAnsi="Arial" w:cs="Arial"/>
          <w:sz w:val="24"/>
          <w:szCs w:val="24"/>
        </w:rPr>
        <w:t xml:space="preserve"> have said it often enough that the exercise of caution</w:t>
      </w:r>
      <w:r w:rsidR="007E7080">
        <w:rPr>
          <w:rFonts w:ascii="Arial" w:hAnsi="Arial" w:cs="Arial"/>
          <w:sz w:val="24"/>
          <w:szCs w:val="24"/>
        </w:rPr>
        <w:t>,</w:t>
      </w:r>
      <w:r w:rsidR="00C423DA" w:rsidRPr="009320FE">
        <w:rPr>
          <w:rFonts w:ascii="Arial" w:hAnsi="Arial" w:cs="Arial"/>
          <w:sz w:val="24"/>
          <w:szCs w:val="24"/>
        </w:rPr>
        <w:t xml:space="preserve"> in assessing </w:t>
      </w:r>
      <w:r w:rsidR="00D33E69" w:rsidRPr="009320FE">
        <w:rPr>
          <w:rFonts w:ascii="Arial" w:hAnsi="Arial" w:cs="Arial"/>
          <w:sz w:val="24"/>
          <w:szCs w:val="24"/>
        </w:rPr>
        <w:t>evidence, should</w:t>
      </w:r>
      <w:r w:rsidR="00C423DA" w:rsidRPr="009320FE">
        <w:rPr>
          <w:rFonts w:ascii="Arial" w:hAnsi="Arial" w:cs="Arial"/>
          <w:sz w:val="24"/>
          <w:szCs w:val="24"/>
        </w:rPr>
        <w:t xml:space="preserve"> however not be allowed to displace the </w:t>
      </w:r>
      <w:r w:rsidR="008B4D54" w:rsidRPr="009320FE">
        <w:rPr>
          <w:rFonts w:ascii="Arial" w:hAnsi="Arial" w:cs="Arial"/>
          <w:sz w:val="24"/>
          <w:szCs w:val="24"/>
        </w:rPr>
        <w:t xml:space="preserve">exercise </w:t>
      </w:r>
      <w:r w:rsidR="00C423DA" w:rsidRPr="009320FE">
        <w:rPr>
          <w:rFonts w:ascii="Arial" w:hAnsi="Arial" w:cs="Arial"/>
          <w:sz w:val="24"/>
          <w:szCs w:val="24"/>
        </w:rPr>
        <w:t>of common sense.</w:t>
      </w:r>
      <w:r w:rsidR="00201DB2" w:rsidRPr="009320FE">
        <w:rPr>
          <w:rStyle w:val="FootnoteReference"/>
          <w:rFonts w:ascii="Arial" w:hAnsi="Arial" w:cs="Arial"/>
          <w:sz w:val="24"/>
          <w:szCs w:val="24"/>
        </w:rPr>
        <w:footnoteReference w:id="5"/>
      </w:r>
    </w:p>
    <w:p w:rsidR="00177A1D" w:rsidRPr="009320FE" w:rsidRDefault="00177A1D" w:rsidP="009320FE">
      <w:pPr>
        <w:spacing w:after="0" w:line="360" w:lineRule="auto"/>
        <w:contextualSpacing/>
        <w:jc w:val="both"/>
        <w:rPr>
          <w:rFonts w:ascii="Arial" w:hAnsi="Arial" w:cs="Arial"/>
          <w:sz w:val="24"/>
          <w:szCs w:val="24"/>
        </w:rPr>
      </w:pPr>
    </w:p>
    <w:p w:rsidR="00C423DA"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00F50F56">
        <w:rPr>
          <w:rFonts w:ascii="Arial" w:hAnsi="Arial" w:cs="Arial"/>
          <w:sz w:val="24"/>
          <w:szCs w:val="24"/>
        </w:rPr>
        <w:t>5</w:t>
      </w:r>
      <w:r w:rsidRPr="009320FE">
        <w:rPr>
          <w:rFonts w:ascii="Arial" w:hAnsi="Arial" w:cs="Arial"/>
          <w:sz w:val="24"/>
          <w:szCs w:val="24"/>
        </w:rPr>
        <w:t>]</w:t>
      </w:r>
      <w:r w:rsidRPr="009320FE">
        <w:rPr>
          <w:rFonts w:ascii="Arial" w:hAnsi="Arial" w:cs="Arial"/>
          <w:sz w:val="24"/>
          <w:szCs w:val="24"/>
        </w:rPr>
        <w:tab/>
      </w:r>
      <w:r w:rsidR="00C423DA" w:rsidRPr="009320FE">
        <w:rPr>
          <w:rFonts w:ascii="Arial" w:hAnsi="Arial" w:cs="Arial"/>
          <w:sz w:val="24"/>
          <w:szCs w:val="24"/>
        </w:rPr>
        <w:t xml:space="preserve"> An a</w:t>
      </w:r>
      <w:r w:rsidR="00D33E69" w:rsidRPr="009320FE">
        <w:rPr>
          <w:rFonts w:ascii="Arial" w:hAnsi="Arial" w:cs="Arial"/>
          <w:sz w:val="24"/>
          <w:szCs w:val="24"/>
        </w:rPr>
        <w:t>ssessment of the record reveals</w:t>
      </w:r>
      <w:r w:rsidR="00C423DA" w:rsidRPr="009320FE">
        <w:rPr>
          <w:rFonts w:ascii="Arial" w:hAnsi="Arial" w:cs="Arial"/>
          <w:sz w:val="24"/>
          <w:szCs w:val="24"/>
        </w:rPr>
        <w:t xml:space="preserve"> that the complainant </w:t>
      </w:r>
      <w:r w:rsidR="00D33E69" w:rsidRPr="009320FE">
        <w:rPr>
          <w:rFonts w:ascii="Arial" w:hAnsi="Arial" w:cs="Arial"/>
          <w:sz w:val="24"/>
          <w:szCs w:val="24"/>
        </w:rPr>
        <w:t>was an honest,</w:t>
      </w:r>
      <w:r w:rsidR="00C423DA" w:rsidRPr="009320FE">
        <w:rPr>
          <w:rFonts w:ascii="Arial" w:hAnsi="Arial" w:cs="Arial"/>
          <w:sz w:val="24"/>
          <w:szCs w:val="24"/>
        </w:rPr>
        <w:t xml:space="preserve"> trustworthy</w:t>
      </w:r>
      <w:r w:rsidR="00A53F88">
        <w:rPr>
          <w:rFonts w:ascii="Arial" w:hAnsi="Arial" w:cs="Arial"/>
          <w:sz w:val="24"/>
          <w:szCs w:val="24"/>
        </w:rPr>
        <w:t xml:space="preserve"> </w:t>
      </w:r>
      <w:r w:rsidR="00C423DA" w:rsidRPr="009320FE">
        <w:rPr>
          <w:rFonts w:ascii="Arial" w:hAnsi="Arial" w:cs="Arial"/>
          <w:sz w:val="24"/>
          <w:szCs w:val="24"/>
        </w:rPr>
        <w:t>and intelligent witness whose evidence was</w:t>
      </w:r>
      <w:r w:rsidR="00A53F88">
        <w:rPr>
          <w:rFonts w:ascii="Arial" w:hAnsi="Arial" w:cs="Arial"/>
          <w:sz w:val="24"/>
          <w:szCs w:val="24"/>
        </w:rPr>
        <w:t xml:space="preserve"> bound to be</w:t>
      </w:r>
      <w:r w:rsidR="00C423DA" w:rsidRPr="009320FE">
        <w:rPr>
          <w:rFonts w:ascii="Arial" w:hAnsi="Arial" w:cs="Arial"/>
          <w:sz w:val="24"/>
          <w:szCs w:val="24"/>
        </w:rPr>
        <w:t xml:space="preserve"> reliable</w:t>
      </w:r>
      <w:r w:rsidR="00D33E69" w:rsidRPr="009320FE">
        <w:rPr>
          <w:rFonts w:ascii="Arial" w:hAnsi="Arial" w:cs="Arial"/>
          <w:sz w:val="24"/>
          <w:szCs w:val="24"/>
        </w:rPr>
        <w:t>.</w:t>
      </w:r>
      <w:r w:rsidR="00C423DA" w:rsidRPr="009320FE">
        <w:rPr>
          <w:rFonts w:ascii="Arial" w:hAnsi="Arial" w:cs="Arial"/>
          <w:sz w:val="24"/>
          <w:szCs w:val="24"/>
        </w:rPr>
        <w:t xml:space="preserve"> </w:t>
      </w:r>
      <w:r w:rsidR="00D33E69" w:rsidRPr="009320FE">
        <w:rPr>
          <w:rFonts w:ascii="Arial" w:hAnsi="Arial" w:cs="Arial"/>
          <w:sz w:val="24"/>
          <w:szCs w:val="24"/>
        </w:rPr>
        <w:t>W</w:t>
      </w:r>
      <w:r w:rsidR="007477ED" w:rsidRPr="009320FE">
        <w:rPr>
          <w:rFonts w:ascii="Arial" w:hAnsi="Arial" w:cs="Arial"/>
          <w:sz w:val="24"/>
          <w:szCs w:val="24"/>
        </w:rPr>
        <w:t>e have</w:t>
      </w:r>
      <w:r w:rsidR="00C423DA" w:rsidRPr="009320FE">
        <w:rPr>
          <w:rFonts w:ascii="Arial" w:hAnsi="Arial" w:cs="Arial"/>
          <w:sz w:val="24"/>
          <w:szCs w:val="24"/>
        </w:rPr>
        <w:t xml:space="preserve"> little hesitation in endorsing the findings of the trial magistrate that the complainant made a good </w:t>
      </w:r>
      <w:r w:rsidR="00CF73D1">
        <w:rPr>
          <w:rFonts w:ascii="Arial" w:hAnsi="Arial" w:cs="Arial"/>
          <w:sz w:val="24"/>
          <w:szCs w:val="24"/>
        </w:rPr>
        <w:t>impression</w:t>
      </w:r>
      <w:r w:rsidR="00CF73D1" w:rsidRPr="009320FE">
        <w:rPr>
          <w:rFonts w:ascii="Arial" w:hAnsi="Arial" w:cs="Arial"/>
          <w:sz w:val="24"/>
          <w:szCs w:val="24"/>
        </w:rPr>
        <w:t xml:space="preserve"> </w:t>
      </w:r>
      <w:r w:rsidR="00C423DA" w:rsidRPr="009320FE">
        <w:rPr>
          <w:rFonts w:ascii="Arial" w:hAnsi="Arial" w:cs="Arial"/>
          <w:sz w:val="24"/>
          <w:szCs w:val="24"/>
        </w:rPr>
        <w:t xml:space="preserve">on the trial court and </w:t>
      </w:r>
      <w:r w:rsidR="007F6BFB">
        <w:rPr>
          <w:rFonts w:ascii="Arial" w:hAnsi="Arial" w:cs="Arial"/>
          <w:sz w:val="24"/>
          <w:szCs w:val="24"/>
        </w:rPr>
        <w:t xml:space="preserve">that </w:t>
      </w:r>
      <w:r w:rsidR="00C423DA" w:rsidRPr="009320FE">
        <w:rPr>
          <w:rFonts w:ascii="Arial" w:hAnsi="Arial" w:cs="Arial"/>
          <w:sz w:val="24"/>
          <w:szCs w:val="24"/>
        </w:rPr>
        <w:t xml:space="preserve">her evidence was </w:t>
      </w:r>
      <w:r w:rsidR="00321A61">
        <w:rPr>
          <w:rFonts w:ascii="Arial" w:hAnsi="Arial" w:cs="Arial"/>
          <w:sz w:val="24"/>
          <w:szCs w:val="24"/>
        </w:rPr>
        <w:t>credible.</w:t>
      </w:r>
    </w:p>
    <w:p w:rsidR="00C423DA" w:rsidRPr="009320FE" w:rsidRDefault="00C423DA" w:rsidP="009320FE">
      <w:pPr>
        <w:spacing w:after="0" w:line="360" w:lineRule="auto"/>
        <w:contextualSpacing/>
        <w:jc w:val="both"/>
        <w:rPr>
          <w:rFonts w:ascii="Arial" w:hAnsi="Arial" w:cs="Arial"/>
          <w:sz w:val="24"/>
          <w:szCs w:val="24"/>
        </w:rPr>
      </w:pPr>
    </w:p>
    <w:p w:rsidR="00C423DA"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[1</w:t>
      </w:r>
      <w:r w:rsidR="00F50F56">
        <w:rPr>
          <w:rFonts w:ascii="Arial" w:hAnsi="Arial" w:cs="Arial"/>
          <w:sz w:val="24"/>
          <w:szCs w:val="24"/>
        </w:rPr>
        <w:t>6</w:t>
      </w:r>
      <w:r w:rsidRPr="009320FE">
        <w:rPr>
          <w:rFonts w:ascii="Arial" w:hAnsi="Arial" w:cs="Arial"/>
          <w:sz w:val="24"/>
          <w:szCs w:val="24"/>
        </w:rPr>
        <w:t>]</w:t>
      </w:r>
      <w:r w:rsidR="00C423DA" w:rsidRPr="009320FE">
        <w:rPr>
          <w:rFonts w:ascii="Arial" w:hAnsi="Arial" w:cs="Arial"/>
          <w:sz w:val="24"/>
          <w:szCs w:val="24"/>
        </w:rPr>
        <w:t xml:space="preserve"> </w:t>
      </w:r>
      <w:r w:rsidRPr="009320FE">
        <w:rPr>
          <w:rFonts w:ascii="Arial" w:hAnsi="Arial" w:cs="Arial"/>
          <w:sz w:val="24"/>
          <w:szCs w:val="24"/>
        </w:rPr>
        <w:tab/>
      </w:r>
      <w:r w:rsidR="00D33E69" w:rsidRPr="009320FE">
        <w:rPr>
          <w:rFonts w:ascii="Arial" w:hAnsi="Arial" w:cs="Arial"/>
          <w:sz w:val="24"/>
          <w:szCs w:val="24"/>
        </w:rPr>
        <w:t>The evidence of Ms Sosibo</w:t>
      </w:r>
      <w:r w:rsidR="00C423DA" w:rsidRPr="009320FE">
        <w:rPr>
          <w:rFonts w:ascii="Arial" w:hAnsi="Arial" w:cs="Arial"/>
          <w:sz w:val="24"/>
          <w:szCs w:val="24"/>
        </w:rPr>
        <w:t xml:space="preserve"> (</w:t>
      </w:r>
      <w:r w:rsidR="007E7080">
        <w:rPr>
          <w:rFonts w:ascii="Arial" w:hAnsi="Arial" w:cs="Arial"/>
          <w:sz w:val="24"/>
          <w:szCs w:val="24"/>
        </w:rPr>
        <w:t xml:space="preserve">to whom the </w:t>
      </w:r>
      <w:r w:rsidR="00C423DA" w:rsidRPr="009320FE">
        <w:rPr>
          <w:rFonts w:ascii="Arial" w:hAnsi="Arial" w:cs="Arial"/>
          <w:sz w:val="24"/>
          <w:szCs w:val="24"/>
        </w:rPr>
        <w:t>first report</w:t>
      </w:r>
      <w:r w:rsidR="007E7080">
        <w:rPr>
          <w:rFonts w:ascii="Arial" w:hAnsi="Arial" w:cs="Arial"/>
          <w:sz w:val="24"/>
          <w:szCs w:val="24"/>
        </w:rPr>
        <w:t xml:space="preserve"> was made</w:t>
      </w:r>
      <w:r w:rsidR="00C423DA" w:rsidRPr="009320FE">
        <w:rPr>
          <w:rFonts w:ascii="Arial" w:hAnsi="Arial" w:cs="Arial"/>
          <w:sz w:val="24"/>
          <w:szCs w:val="24"/>
        </w:rPr>
        <w:t>) not only established consistency in the version of the complainant</w:t>
      </w:r>
      <w:r w:rsidR="00201DB2" w:rsidRPr="009320FE">
        <w:rPr>
          <w:rStyle w:val="FootnoteReference"/>
          <w:rFonts w:ascii="Arial" w:hAnsi="Arial" w:cs="Arial"/>
          <w:sz w:val="24"/>
          <w:szCs w:val="24"/>
        </w:rPr>
        <w:footnoteReference w:id="6"/>
      </w:r>
      <w:r w:rsidR="00C423DA" w:rsidRPr="009320FE">
        <w:rPr>
          <w:rFonts w:ascii="Arial" w:hAnsi="Arial" w:cs="Arial"/>
          <w:sz w:val="24"/>
          <w:szCs w:val="24"/>
        </w:rPr>
        <w:t xml:space="preserve"> but also corroborated the </w:t>
      </w:r>
      <w:r w:rsidR="001B0F37" w:rsidRPr="009320FE">
        <w:rPr>
          <w:rFonts w:ascii="Arial" w:hAnsi="Arial" w:cs="Arial"/>
          <w:sz w:val="24"/>
          <w:szCs w:val="24"/>
        </w:rPr>
        <w:t>complainant’s</w:t>
      </w:r>
      <w:r w:rsidR="00C423DA" w:rsidRPr="009320FE">
        <w:rPr>
          <w:rFonts w:ascii="Arial" w:hAnsi="Arial" w:cs="Arial"/>
          <w:sz w:val="24"/>
          <w:szCs w:val="24"/>
        </w:rPr>
        <w:t xml:space="preserve"> version</w:t>
      </w:r>
      <w:r w:rsidR="00321A61">
        <w:rPr>
          <w:rFonts w:ascii="Arial" w:hAnsi="Arial" w:cs="Arial"/>
          <w:sz w:val="24"/>
          <w:szCs w:val="24"/>
        </w:rPr>
        <w:t xml:space="preserve"> of her condition</w:t>
      </w:r>
      <w:r w:rsidR="007C6CF7">
        <w:rPr>
          <w:rFonts w:ascii="Arial" w:hAnsi="Arial" w:cs="Arial"/>
          <w:sz w:val="24"/>
          <w:szCs w:val="24"/>
        </w:rPr>
        <w:t xml:space="preserve"> at the time,</w:t>
      </w:r>
      <w:r w:rsidR="00321A61">
        <w:rPr>
          <w:rFonts w:ascii="Arial" w:hAnsi="Arial" w:cs="Arial"/>
          <w:sz w:val="24"/>
          <w:szCs w:val="24"/>
        </w:rPr>
        <w:t xml:space="preserve"> and</w:t>
      </w:r>
      <w:r w:rsidR="00C423DA" w:rsidRPr="009320FE">
        <w:rPr>
          <w:rFonts w:ascii="Arial" w:hAnsi="Arial" w:cs="Arial"/>
          <w:sz w:val="24"/>
          <w:szCs w:val="24"/>
        </w:rPr>
        <w:t xml:space="preserve"> </w:t>
      </w:r>
      <w:r w:rsidR="00321A61">
        <w:rPr>
          <w:rFonts w:ascii="Arial" w:hAnsi="Arial" w:cs="Arial"/>
          <w:sz w:val="24"/>
          <w:szCs w:val="24"/>
        </w:rPr>
        <w:t xml:space="preserve">of what </w:t>
      </w:r>
      <w:r w:rsidR="007E7080">
        <w:rPr>
          <w:rFonts w:ascii="Arial" w:hAnsi="Arial" w:cs="Arial"/>
          <w:sz w:val="24"/>
          <w:szCs w:val="24"/>
        </w:rPr>
        <w:t>had</w:t>
      </w:r>
      <w:r w:rsidR="00C423DA" w:rsidRPr="009320FE">
        <w:rPr>
          <w:rFonts w:ascii="Arial" w:hAnsi="Arial" w:cs="Arial"/>
          <w:sz w:val="24"/>
          <w:szCs w:val="24"/>
        </w:rPr>
        <w:t xml:space="preserve"> happened from </w:t>
      </w:r>
      <w:r w:rsidR="00CF73D1">
        <w:rPr>
          <w:rFonts w:ascii="Arial" w:hAnsi="Arial" w:cs="Arial"/>
          <w:sz w:val="24"/>
          <w:szCs w:val="24"/>
        </w:rPr>
        <w:t xml:space="preserve">the </w:t>
      </w:r>
      <w:r w:rsidR="00C423DA" w:rsidRPr="009320FE">
        <w:rPr>
          <w:rFonts w:ascii="Arial" w:hAnsi="Arial" w:cs="Arial"/>
          <w:sz w:val="24"/>
          <w:szCs w:val="24"/>
        </w:rPr>
        <w:t xml:space="preserve">time </w:t>
      </w:r>
      <w:r w:rsidR="007E7080">
        <w:rPr>
          <w:rFonts w:ascii="Arial" w:hAnsi="Arial" w:cs="Arial"/>
          <w:sz w:val="24"/>
          <w:szCs w:val="24"/>
        </w:rPr>
        <w:t xml:space="preserve">that </w:t>
      </w:r>
      <w:r w:rsidR="00C423DA" w:rsidRPr="009320FE">
        <w:rPr>
          <w:rFonts w:ascii="Arial" w:hAnsi="Arial" w:cs="Arial"/>
          <w:sz w:val="24"/>
          <w:szCs w:val="24"/>
        </w:rPr>
        <w:t xml:space="preserve">the complainant </w:t>
      </w:r>
      <w:r w:rsidR="001B0F37" w:rsidRPr="009320FE">
        <w:rPr>
          <w:rFonts w:ascii="Arial" w:hAnsi="Arial" w:cs="Arial"/>
          <w:sz w:val="24"/>
          <w:szCs w:val="24"/>
        </w:rPr>
        <w:t xml:space="preserve">sought assistance at her place until </w:t>
      </w:r>
      <w:r w:rsidR="004336E0">
        <w:rPr>
          <w:rFonts w:ascii="Arial" w:hAnsi="Arial" w:cs="Arial"/>
          <w:sz w:val="24"/>
          <w:szCs w:val="24"/>
        </w:rPr>
        <w:t xml:space="preserve">the time she was </w:t>
      </w:r>
      <w:r w:rsidR="001B0F37" w:rsidRPr="009320FE">
        <w:rPr>
          <w:rFonts w:ascii="Arial" w:hAnsi="Arial" w:cs="Arial"/>
          <w:sz w:val="24"/>
          <w:szCs w:val="24"/>
        </w:rPr>
        <w:t>fetched</w:t>
      </w:r>
      <w:r w:rsidR="007477ED" w:rsidRPr="009320FE">
        <w:rPr>
          <w:rFonts w:ascii="Arial" w:hAnsi="Arial" w:cs="Arial"/>
          <w:sz w:val="24"/>
          <w:szCs w:val="24"/>
        </w:rPr>
        <w:t xml:space="preserve"> by h</w:t>
      </w:r>
      <w:r w:rsidR="001B0F37" w:rsidRPr="009320FE">
        <w:rPr>
          <w:rFonts w:ascii="Arial" w:hAnsi="Arial" w:cs="Arial"/>
          <w:sz w:val="24"/>
          <w:szCs w:val="24"/>
        </w:rPr>
        <w:t>er mother.</w:t>
      </w:r>
    </w:p>
    <w:p w:rsidR="007477ED" w:rsidRPr="009320FE" w:rsidRDefault="007477ED" w:rsidP="009320FE">
      <w:pPr>
        <w:spacing w:after="0" w:line="360" w:lineRule="auto"/>
        <w:contextualSpacing/>
        <w:jc w:val="both"/>
        <w:rPr>
          <w:rFonts w:ascii="Arial" w:hAnsi="Arial" w:cs="Arial"/>
          <w:sz w:val="24"/>
          <w:szCs w:val="24"/>
        </w:rPr>
      </w:pPr>
    </w:p>
    <w:p w:rsidR="007477ED"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1</w:t>
      </w:r>
      <w:r w:rsidR="00F50F56">
        <w:rPr>
          <w:rFonts w:ascii="Arial" w:hAnsi="Arial" w:cs="Arial"/>
          <w:sz w:val="24"/>
          <w:szCs w:val="24"/>
        </w:rPr>
        <w:t>7</w:t>
      </w:r>
      <w:r w:rsidRPr="009320FE">
        <w:rPr>
          <w:rFonts w:ascii="Arial" w:hAnsi="Arial" w:cs="Arial"/>
          <w:sz w:val="24"/>
          <w:szCs w:val="24"/>
        </w:rPr>
        <w:t>]</w:t>
      </w:r>
      <w:r w:rsidRPr="009320FE">
        <w:rPr>
          <w:rFonts w:ascii="Arial" w:hAnsi="Arial" w:cs="Arial"/>
          <w:sz w:val="24"/>
          <w:szCs w:val="24"/>
        </w:rPr>
        <w:tab/>
      </w:r>
      <w:r w:rsidR="007477ED" w:rsidRPr="009320FE">
        <w:rPr>
          <w:rFonts w:ascii="Arial" w:hAnsi="Arial" w:cs="Arial"/>
          <w:sz w:val="24"/>
          <w:szCs w:val="24"/>
        </w:rPr>
        <w:t xml:space="preserve"> The DNA evidence</w:t>
      </w:r>
      <w:r w:rsidR="001B0F37" w:rsidRPr="009320FE">
        <w:rPr>
          <w:rFonts w:ascii="Arial" w:hAnsi="Arial" w:cs="Arial"/>
          <w:sz w:val="24"/>
          <w:szCs w:val="24"/>
        </w:rPr>
        <w:t>,</w:t>
      </w:r>
      <w:r w:rsidR="007B3FC3">
        <w:rPr>
          <w:rFonts w:ascii="Arial" w:hAnsi="Arial" w:cs="Arial"/>
          <w:sz w:val="24"/>
          <w:szCs w:val="24"/>
        </w:rPr>
        <w:t xml:space="preserve"> </w:t>
      </w:r>
      <w:r w:rsidR="007477ED" w:rsidRPr="009320FE">
        <w:rPr>
          <w:rFonts w:ascii="Arial" w:hAnsi="Arial" w:cs="Arial"/>
          <w:sz w:val="24"/>
          <w:szCs w:val="24"/>
        </w:rPr>
        <w:t>which was handed in by consent</w:t>
      </w:r>
      <w:r w:rsidR="001B0F37" w:rsidRPr="009320FE">
        <w:rPr>
          <w:rFonts w:ascii="Arial" w:hAnsi="Arial" w:cs="Arial"/>
          <w:sz w:val="24"/>
          <w:szCs w:val="24"/>
        </w:rPr>
        <w:t xml:space="preserve"> and marked E</w:t>
      </w:r>
      <w:r w:rsidR="007477ED" w:rsidRPr="009320FE">
        <w:rPr>
          <w:rFonts w:ascii="Arial" w:hAnsi="Arial" w:cs="Arial"/>
          <w:sz w:val="24"/>
          <w:szCs w:val="24"/>
        </w:rPr>
        <w:t xml:space="preserve">xhibit </w:t>
      </w:r>
      <w:r w:rsidR="007B3FC3">
        <w:rPr>
          <w:rFonts w:ascii="Arial" w:hAnsi="Arial" w:cs="Arial"/>
          <w:sz w:val="24"/>
          <w:szCs w:val="24"/>
        </w:rPr>
        <w:t>‘</w:t>
      </w:r>
      <w:r w:rsidR="00542685" w:rsidRPr="009320FE">
        <w:rPr>
          <w:rFonts w:ascii="Arial" w:hAnsi="Arial" w:cs="Arial"/>
          <w:sz w:val="24"/>
          <w:szCs w:val="24"/>
        </w:rPr>
        <w:t>A</w:t>
      </w:r>
      <w:r w:rsidR="007B3FC3">
        <w:rPr>
          <w:rFonts w:ascii="Arial" w:hAnsi="Arial" w:cs="Arial"/>
          <w:sz w:val="24"/>
          <w:szCs w:val="24"/>
        </w:rPr>
        <w:t>’</w:t>
      </w:r>
      <w:r w:rsidR="007E7080">
        <w:rPr>
          <w:rFonts w:ascii="Arial" w:hAnsi="Arial" w:cs="Arial"/>
          <w:sz w:val="24"/>
          <w:szCs w:val="24"/>
        </w:rPr>
        <w:t>,</w:t>
      </w:r>
      <w:r w:rsidR="00CF73D1" w:rsidRPr="009320FE">
        <w:rPr>
          <w:rStyle w:val="FootnoteReference"/>
          <w:rFonts w:ascii="Arial" w:hAnsi="Arial" w:cs="Arial"/>
          <w:sz w:val="24"/>
          <w:szCs w:val="24"/>
        </w:rPr>
        <w:footnoteReference w:id="7"/>
      </w:r>
      <w:r w:rsidR="007B3FC3">
        <w:rPr>
          <w:rFonts w:ascii="Arial" w:hAnsi="Arial" w:cs="Arial"/>
          <w:sz w:val="24"/>
          <w:szCs w:val="24"/>
        </w:rPr>
        <w:t xml:space="preserve"> </w:t>
      </w:r>
      <w:r w:rsidR="00542685" w:rsidRPr="009320FE">
        <w:rPr>
          <w:rFonts w:ascii="Arial" w:hAnsi="Arial" w:cs="Arial"/>
          <w:sz w:val="24"/>
          <w:szCs w:val="24"/>
        </w:rPr>
        <w:t>clearly establishes that t</w:t>
      </w:r>
      <w:r w:rsidR="007477ED" w:rsidRPr="009320FE">
        <w:rPr>
          <w:rFonts w:ascii="Arial" w:hAnsi="Arial" w:cs="Arial"/>
          <w:sz w:val="24"/>
          <w:szCs w:val="24"/>
        </w:rPr>
        <w:t>he referenc</w:t>
      </w:r>
      <w:r w:rsidR="001B0F37" w:rsidRPr="009320FE">
        <w:rPr>
          <w:rFonts w:ascii="Arial" w:hAnsi="Arial" w:cs="Arial"/>
          <w:sz w:val="24"/>
          <w:szCs w:val="24"/>
        </w:rPr>
        <w:t xml:space="preserve">e DNA sample obtained from the </w:t>
      </w:r>
      <w:r w:rsidR="007B3FC3" w:rsidRPr="009320FE">
        <w:rPr>
          <w:rFonts w:ascii="Arial" w:hAnsi="Arial" w:cs="Arial"/>
          <w:sz w:val="24"/>
          <w:szCs w:val="24"/>
        </w:rPr>
        <w:t xml:space="preserve">appellant </w:t>
      </w:r>
      <w:r w:rsidR="007477ED" w:rsidRPr="009320FE">
        <w:rPr>
          <w:rFonts w:ascii="Arial" w:hAnsi="Arial" w:cs="Arial"/>
          <w:sz w:val="24"/>
          <w:szCs w:val="24"/>
        </w:rPr>
        <w:t>upon his arrest</w:t>
      </w:r>
      <w:r w:rsidR="007E7080">
        <w:rPr>
          <w:rFonts w:ascii="Arial" w:hAnsi="Arial" w:cs="Arial"/>
          <w:sz w:val="24"/>
          <w:szCs w:val="24"/>
        </w:rPr>
        <w:t>,</w:t>
      </w:r>
      <w:r w:rsidR="007477ED" w:rsidRPr="009320FE">
        <w:rPr>
          <w:rFonts w:ascii="Arial" w:hAnsi="Arial" w:cs="Arial"/>
          <w:sz w:val="24"/>
          <w:szCs w:val="24"/>
        </w:rPr>
        <w:t xml:space="preserve"> </w:t>
      </w:r>
      <w:r w:rsidR="001B0F37" w:rsidRPr="009320FE">
        <w:rPr>
          <w:rFonts w:ascii="Arial" w:hAnsi="Arial" w:cs="Arial"/>
          <w:sz w:val="24"/>
          <w:szCs w:val="24"/>
        </w:rPr>
        <w:t xml:space="preserve">matched the </w:t>
      </w:r>
      <w:r w:rsidR="007477ED" w:rsidRPr="009320FE">
        <w:rPr>
          <w:rFonts w:ascii="Arial" w:hAnsi="Arial" w:cs="Arial"/>
          <w:sz w:val="24"/>
          <w:szCs w:val="24"/>
        </w:rPr>
        <w:t>result</w:t>
      </w:r>
      <w:r w:rsidR="00542685" w:rsidRPr="009320FE">
        <w:rPr>
          <w:rFonts w:ascii="Arial" w:hAnsi="Arial" w:cs="Arial"/>
          <w:sz w:val="24"/>
          <w:szCs w:val="24"/>
        </w:rPr>
        <w:t xml:space="preserve"> of</w:t>
      </w:r>
      <w:r w:rsidR="007477ED" w:rsidRPr="009320FE">
        <w:rPr>
          <w:rFonts w:ascii="Arial" w:hAnsi="Arial" w:cs="Arial"/>
          <w:sz w:val="24"/>
          <w:szCs w:val="24"/>
        </w:rPr>
        <w:t xml:space="preserve"> the DNA </w:t>
      </w:r>
      <w:r w:rsidR="001B0F37" w:rsidRPr="009320FE">
        <w:rPr>
          <w:rFonts w:ascii="Arial" w:hAnsi="Arial" w:cs="Arial"/>
          <w:sz w:val="24"/>
          <w:szCs w:val="24"/>
        </w:rPr>
        <w:t xml:space="preserve">sample obtained </w:t>
      </w:r>
      <w:r w:rsidR="00542685" w:rsidRPr="009320FE">
        <w:rPr>
          <w:rFonts w:ascii="Arial" w:hAnsi="Arial" w:cs="Arial"/>
          <w:sz w:val="24"/>
          <w:szCs w:val="24"/>
        </w:rPr>
        <w:t xml:space="preserve"> from the complainant (swab </w:t>
      </w:r>
      <w:r w:rsidR="007477ED" w:rsidRPr="009320FE">
        <w:rPr>
          <w:rFonts w:ascii="Arial" w:hAnsi="Arial" w:cs="Arial"/>
          <w:sz w:val="24"/>
          <w:szCs w:val="24"/>
        </w:rPr>
        <w:t xml:space="preserve"> under serial n</w:t>
      </w:r>
      <w:r w:rsidR="001B0F37" w:rsidRPr="009320FE">
        <w:rPr>
          <w:rFonts w:ascii="Arial" w:hAnsi="Arial" w:cs="Arial"/>
          <w:sz w:val="24"/>
          <w:szCs w:val="24"/>
        </w:rPr>
        <w:t>umber 15DIAC2294</w:t>
      </w:r>
      <w:r w:rsidR="007E7080">
        <w:rPr>
          <w:rFonts w:ascii="Arial" w:hAnsi="Arial" w:cs="Arial"/>
          <w:sz w:val="24"/>
          <w:szCs w:val="24"/>
        </w:rPr>
        <w:t>)</w:t>
      </w:r>
      <w:r w:rsidR="001B0F37" w:rsidRPr="009320FE">
        <w:rPr>
          <w:rFonts w:ascii="Arial" w:hAnsi="Arial" w:cs="Arial"/>
          <w:sz w:val="24"/>
          <w:szCs w:val="24"/>
        </w:rPr>
        <w:t>. T</w:t>
      </w:r>
      <w:r w:rsidR="007477ED" w:rsidRPr="009320FE">
        <w:rPr>
          <w:rFonts w:ascii="Arial" w:hAnsi="Arial" w:cs="Arial"/>
          <w:sz w:val="24"/>
          <w:szCs w:val="24"/>
        </w:rPr>
        <w:t>he most conservative occurrence for the DNA result is</w:t>
      </w:r>
      <w:r w:rsidR="001B0F37" w:rsidRPr="009320FE">
        <w:rPr>
          <w:rFonts w:ascii="Arial" w:hAnsi="Arial" w:cs="Arial"/>
          <w:sz w:val="24"/>
          <w:szCs w:val="24"/>
        </w:rPr>
        <w:t xml:space="preserve"> one</w:t>
      </w:r>
      <w:r w:rsidR="007477ED" w:rsidRPr="009320FE">
        <w:rPr>
          <w:rFonts w:ascii="Arial" w:hAnsi="Arial" w:cs="Arial"/>
          <w:sz w:val="24"/>
          <w:szCs w:val="24"/>
        </w:rPr>
        <w:t xml:space="preserve"> in 23 billion people.</w:t>
      </w:r>
      <w:r w:rsidR="00D55BF7" w:rsidRPr="009320FE">
        <w:rPr>
          <w:rStyle w:val="FootnoteReference"/>
          <w:rFonts w:ascii="Arial" w:hAnsi="Arial" w:cs="Arial"/>
          <w:sz w:val="24"/>
          <w:szCs w:val="24"/>
        </w:rPr>
        <w:footnoteReference w:id="8"/>
      </w:r>
    </w:p>
    <w:p w:rsidR="007477ED" w:rsidRPr="009320FE" w:rsidRDefault="007477ED" w:rsidP="009320FE">
      <w:pPr>
        <w:spacing w:after="0" w:line="360" w:lineRule="auto"/>
        <w:contextualSpacing/>
        <w:jc w:val="both"/>
        <w:rPr>
          <w:rFonts w:ascii="Arial" w:hAnsi="Arial" w:cs="Arial"/>
          <w:sz w:val="24"/>
          <w:szCs w:val="24"/>
        </w:rPr>
      </w:pPr>
    </w:p>
    <w:p w:rsidR="007477ED"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1</w:t>
      </w:r>
      <w:r w:rsidR="00567EF2">
        <w:rPr>
          <w:rFonts w:ascii="Arial" w:hAnsi="Arial" w:cs="Arial"/>
          <w:sz w:val="24"/>
          <w:szCs w:val="24"/>
        </w:rPr>
        <w:t>8</w:t>
      </w:r>
      <w:r w:rsidRPr="009320FE">
        <w:rPr>
          <w:rFonts w:ascii="Arial" w:hAnsi="Arial" w:cs="Arial"/>
          <w:sz w:val="24"/>
          <w:szCs w:val="24"/>
        </w:rPr>
        <w:t>]</w:t>
      </w:r>
      <w:r w:rsidRPr="009320FE">
        <w:rPr>
          <w:rFonts w:ascii="Arial" w:hAnsi="Arial" w:cs="Arial"/>
          <w:sz w:val="24"/>
          <w:szCs w:val="24"/>
        </w:rPr>
        <w:tab/>
      </w:r>
      <w:r w:rsidR="007477ED" w:rsidRPr="009320FE">
        <w:rPr>
          <w:rFonts w:ascii="Arial" w:hAnsi="Arial" w:cs="Arial"/>
          <w:sz w:val="24"/>
          <w:szCs w:val="24"/>
        </w:rPr>
        <w:t xml:space="preserve"> </w:t>
      </w:r>
      <w:r w:rsidR="00355219">
        <w:rPr>
          <w:rFonts w:ascii="Arial" w:hAnsi="Arial" w:cs="Arial"/>
          <w:sz w:val="24"/>
          <w:szCs w:val="24"/>
        </w:rPr>
        <w:t>T</w:t>
      </w:r>
      <w:r w:rsidR="007477ED" w:rsidRPr="009320FE">
        <w:rPr>
          <w:rFonts w:ascii="Arial" w:hAnsi="Arial" w:cs="Arial"/>
          <w:sz w:val="24"/>
          <w:szCs w:val="24"/>
        </w:rPr>
        <w:t>he chain evidence</w:t>
      </w:r>
      <w:r w:rsidR="007B3FC3">
        <w:rPr>
          <w:rFonts w:ascii="Arial" w:hAnsi="Arial" w:cs="Arial"/>
          <w:sz w:val="24"/>
          <w:szCs w:val="24"/>
        </w:rPr>
        <w:t xml:space="preserve"> </w:t>
      </w:r>
      <w:r w:rsidR="007477ED" w:rsidRPr="009320FE">
        <w:rPr>
          <w:rFonts w:ascii="Arial" w:hAnsi="Arial" w:cs="Arial"/>
          <w:sz w:val="24"/>
          <w:szCs w:val="24"/>
        </w:rPr>
        <w:t>relating to the DNA evidence</w:t>
      </w:r>
      <w:r w:rsidR="00355219">
        <w:rPr>
          <w:rFonts w:ascii="Arial" w:hAnsi="Arial" w:cs="Arial"/>
          <w:sz w:val="24"/>
          <w:szCs w:val="24"/>
        </w:rPr>
        <w:t>, and not the result</w:t>
      </w:r>
      <w:r w:rsidR="007C6CF7">
        <w:rPr>
          <w:rFonts w:ascii="Arial" w:hAnsi="Arial" w:cs="Arial"/>
          <w:sz w:val="24"/>
          <w:szCs w:val="24"/>
        </w:rPr>
        <w:t xml:space="preserve"> of the analysis</w:t>
      </w:r>
      <w:r w:rsidR="00355219">
        <w:rPr>
          <w:rFonts w:ascii="Arial" w:hAnsi="Arial" w:cs="Arial"/>
          <w:sz w:val="24"/>
          <w:szCs w:val="24"/>
        </w:rPr>
        <w:t>,</w:t>
      </w:r>
      <w:r w:rsidR="001B0F37" w:rsidRPr="009320FE">
        <w:rPr>
          <w:rFonts w:ascii="Arial" w:hAnsi="Arial" w:cs="Arial"/>
          <w:sz w:val="24"/>
          <w:szCs w:val="24"/>
        </w:rPr>
        <w:t xml:space="preserve"> </w:t>
      </w:r>
      <w:r w:rsidR="007477ED" w:rsidRPr="009320FE">
        <w:rPr>
          <w:rFonts w:ascii="Arial" w:hAnsi="Arial" w:cs="Arial"/>
          <w:sz w:val="24"/>
          <w:szCs w:val="24"/>
        </w:rPr>
        <w:t>was challenged at trial</w:t>
      </w:r>
      <w:r w:rsidR="00355219">
        <w:rPr>
          <w:rFonts w:ascii="Arial" w:hAnsi="Arial" w:cs="Arial"/>
          <w:sz w:val="24"/>
          <w:szCs w:val="24"/>
        </w:rPr>
        <w:t>.</w:t>
      </w:r>
      <w:r w:rsidR="007B3FC3">
        <w:rPr>
          <w:rFonts w:ascii="Arial" w:hAnsi="Arial" w:cs="Arial"/>
          <w:sz w:val="24"/>
          <w:szCs w:val="24"/>
        </w:rPr>
        <w:t xml:space="preserve"> </w:t>
      </w:r>
      <w:r w:rsidR="00355219">
        <w:rPr>
          <w:rFonts w:ascii="Arial" w:hAnsi="Arial" w:cs="Arial"/>
          <w:sz w:val="24"/>
          <w:szCs w:val="24"/>
        </w:rPr>
        <w:t>W</w:t>
      </w:r>
      <w:r w:rsidR="007477ED" w:rsidRPr="009320FE">
        <w:rPr>
          <w:rFonts w:ascii="Arial" w:hAnsi="Arial" w:cs="Arial"/>
          <w:sz w:val="24"/>
          <w:szCs w:val="24"/>
        </w:rPr>
        <w:t>e are satisfied that the ev</w:t>
      </w:r>
      <w:r w:rsidR="001B0F37" w:rsidRPr="009320FE">
        <w:rPr>
          <w:rFonts w:ascii="Arial" w:hAnsi="Arial" w:cs="Arial"/>
          <w:sz w:val="24"/>
          <w:szCs w:val="24"/>
        </w:rPr>
        <w:t>idence of S</w:t>
      </w:r>
      <w:r w:rsidR="007477ED" w:rsidRPr="009320FE">
        <w:rPr>
          <w:rFonts w:ascii="Arial" w:hAnsi="Arial" w:cs="Arial"/>
          <w:sz w:val="24"/>
          <w:szCs w:val="24"/>
        </w:rPr>
        <w:t>ergeant Hlongwa</w:t>
      </w:r>
      <w:r w:rsidR="00355219">
        <w:rPr>
          <w:rFonts w:ascii="Arial" w:hAnsi="Arial" w:cs="Arial"/>
          <w:sz w:val="24"/>
          <w:szCs w:val="24"/>
        </w:rPr>
        <w:t>,</w:t>
      </w:r>
      <w:r w:rsidR="007477ED" w:rsidRPr="009320FE">
        <w:rPr>
          <w:rFonts w:ascii="Arial" w:hAnsi="Arial" w:cs="Arial"/>
          <w:sz w:val="24"/>
          <w:szCs w:val="24"/>
        </w:rPr>
        <w:t xml:space="preserve"> who procured the DNA </w:t>
      </w:r>
      <w:r w:rsidR="001B0F37" w:rsidRPr="009320FE">
        <w:rPr>
          <w:rFonts w:ascii="Arial" w:hAnsi="Arial" w:cs="Arial"/>
          <w:sz w:val="24"/>
          <w:szCs w:val="24"/>
        </w:rPr>
        <w:t xml:space="preserve">sample from the </w:t>
      </w:r>
      <w:r w:rsidR="007B3FC3" w:rsidRPr="009320FE">
        <w:rPr>
          <w:rFonts w:ascii="Arial" w:hAnsi="Arial" w:cs="Arial"/>
          <w:sz w:val="24"/>
          <w:szCs w:val="24"/>
        </w:rPr>
        <w:t>appellant</w:t>
      </w:r>
      <w:r w:rsidR="0092536E">
        <w:rPr>
          <w:rFonts w:ascii="Arial" w:hAnsi="Arial" w:cs="Arial"/>
          <w:sz w:val="24"/>
          <w:szCs w:val="24"/>
        </w:rPr>
        <w:t>,</w:t>
      </w:r>
      <w:r w:rsidR="00F50F56">
        <w:rPr>
          <w:rFonts w:ascii="Arial" w:hAnsi="Arial" w:cs="Arial"/>
          <w:sz w:val="24"/>
          <w:szCs w:val="24"/>
        </w:rPr>
        <w:t xml:space="preserve"> and</w:t>
      </w:r>
      <w:r w:rsidR="001B0F37" w:rsidRPr="009320FE">
        <w:rPr>
          <w:rFonts w:ascii="Arial" w:hAnsi="Arial" w:cs="Arial"/>
          <w:sz w:val="24"/>
          <w:szCs w:val="24"/>
        </w:rPr>
        <w:t xml:space="preserve"> C</w:t>
      </w:r>
      <w:r w:rsidR="00617FEF" w:rsidRPr="009320FE">
        <w:rPr>
          <w:rFonts w:ascii="Arial" w:hAnsi="Arial" w:cs="Arial"/>
          <w:sz w:val="24"/>
          <w:szCs w:val="24"/>
        </w:rPr>
        <w:t xml:space="preserve">onstable </w:t>
      </w:r>
      <w:r w:rsidR="0092536E" w:rsidRPr="009320FE">
        <w:rPr>
          <w:rFonts w:ascii="Arial" w:hAnsi="Arial" w:cs="Arial"/>
          <w:sz w:val="24"/>
          <w:szCs w:val="24"/>
        </w:rPr>
        <w:t>Gambusha</w:t>
      </w:r>
      <w:r w:rsidR="0092536E">
        <w:rPr>
          <w:rFonts w:ascii="Arial" w:hAnsi="Arial" w:cs="Arial"/>
          <w:sz w:val="24"/>
          <w:szCs w:val="24"/>
        </w:rPr>
        <w:t>,</w:t>
      </w:r>
      <w:r w:rsidR="0092536E" w:rsidRPr="009320FE">
        <w:rPr>
          <w:rFonts w:ascii="Arial" w:hAnsi="Arial" w:cs="Arial"/>
          <w:sz w:val="24"/>
          <w:szCs w:val="24"/>
        </w:rPr>
        <w:t xml:space="preserve"> </w:t>
      </w:r>
      <w:r w:rsidR="0092536E">
        <w:rPr>
          <w:rFonts w:ascii="Arial" w:hAnsi="Arial" w:cs="Arial"/>
          <w:sz w:val="24"/>
          <w:szCs w:val="24"/>
        </w:rPr>
        <w:t>who</w:t>
      </w:r>
      <w:r w:rsidR="00F50F56">
        <w:rPr>
          <w:rFonts w:ascii="Arial" w:hAnsi="Arial" w:cs="Arial"/>
          <w:sz w:val="24"/>
          <w:szCs w:val="24"/>
        </w:rPr>
        <w:t xml:space="preserve"> </w:t>
      </w:r>
      <w:r w:rsidR="00542685" w:rsidRPr="009320FE">
        <w:rPr>
          <w:rFonts w:ascii="Arial" w:hAnsi="Arial" w:cs="Arial"/>
          <w:sz w:val="24"/>
          <w:szCs w:val="24"/>
        </w:rPr>
        <w:t xml:space="preserve">received </w:t>
      </w:r>
      <w:r w:rsidR="00C72E64" w:rsidRPr="009320FE">
        <w:rPr>
          <w:rFonts w:ascii="Arial" w:hAnsi="Arial" w:cs="Arial"/>
          <w:sz w:val="24"/>
          <w:szCs w:val="24"/>
        </w:rPr>
        <w:t>the</w:t>
      </w:r>
      <w:r w:rsidR="00617FEF" w:rsidRPr="009320FE">
        <w:rPr>
          <w:rFonts w:ascii="Arial" w:hAnsi="Arial" w:cs="Arial"/>
          <w:sz w:val="24"/>
          <w:szCs w:val="24"/>
        </w:rPr>
        <w:t xml:space="preserve"> sealed kit </w:t>
      </w:r>
      <w:r w:rsidR="00542685" w:rsidRPr="009320FE">
        <w:rPr>
          <w:rFonts w:ascii="Arial" w:hAnsi="Arial" w:cs="Arial"/>
          <w:sz w:val="24"/>
          <w:szCs w:val="24"/>
        </w:rPr>
        <w:t>contain</w:t>
      </w:r>
      <w:r w:rsidR="00F50F56">
        <w:rPr>
          <w:rFonts w:ascii="Arial" w:hAnsi="Arial" w:cs="Arial"/>
          <w:sz w:val="24"/>
          <w:szCs w:val="24"/>
        </w:rPr>
        <w:t>ing</w:t>
      </w:r>
      <w:r w:rsidR="00542685" w:rsidRPr="009320FE">
        <w:rPr>
          <w:rFonts w:ascii="Arial" w:hAnsi="Arial" w:cs="Arial"/>
          <w:sz w:val="24"/>
          <w:szCs w:val="24"/>
        </w:rPr>
        <w:t xml:space="preserve"> </w:t>
      </w:r>
      <w:r w:rsidR="00C72E64" w:rsidRPr="009320FE">
        <w:rPr>
          <w:rFonts w:ascii="Arial" w:hAnsi="Arial" w:cs="Arial"/>
          <w:sz w:val="24"/>
          <w:szCs w:val="24"/>
        </w:rPr>
        <w:t>the DNA sample of the</w:t>
      </w:r>
      <w:r w:rsidR="00542685" w:rsidRPr="009320FE">
        <w:rPr>
          <w:rFonts w:ascii="Arial" w:hAnsi="Arial" w:cs="Arial"/>
          <w:sz w:val="24"/>
          <w:szCs w:val="24"/>
        </w:rPr>
        <w:t xml:space="preserve"> complainant</w:t>
      </w:r>
      <w:r w:rsidR="00C72E64" w:rsidRPr="009320FE">
        <w:rPr>
          <w:rFonts w:ascii="Arial" w:hAnsi="Arial" w:cs="Arial"/>
          <w:sz w:val="24"/>
          <w:szCs w:val="24"/>
        </w:rPr>
        <w:t xml:space="preserve"> </w:t>
      </w:r>
      <w:r w:rsidR="00617FEF" w:rsidRPr="009320FE">
        <w:rPr>
          <w:rFonts w:ascii="Arial" w:hAnsi="Arial" w:cs="Arial"/>
          <w:sz w:val="24"/>
          <w:szCs w:val="24"/>
        </w:rPr>
        <w:t>from the</w:t>
      </w:r>
      <w:r w:rsidR="007C6CF7">
        <w:rPr>
          <w:rFonts w:ascii="Arial" w:hAnsi="Arial" w:cs="Arial"/>
          <w:sz w:val="24"/>
          <w:szCs w:val="24"/>
        </w:rPr>
        <w:t xml:space="preserve"> examining</w:t>
      </w:r>
      <w:r w:rsidR="00542685" w:rsidRPr="009320FE">
        <w:rPr>
          <w:rFonts w:ascii="Arial" w:hAnsi="Arial" w:cs="Arial"/>
          <w:sz w:val="24"/>
          <w:szCs w:val="24"/>
        </w:rPr>
        <w:t xml:space="preserve"> </w:t>
      </w:r>
      <w:r w:rsidR="00BD1353" w:rsidRPr="009320FE">
        <w:rPr>
          <w:rFonts w:ascii="Arial" w:hAnsi="Arial" w:cs="Arial"/>
          <w:sz w:val="24"/>
          <w:szCs w:val="24"/>
        </w:rPr>
        <w:t>doctor</w:t>
      </w:r>
      <w:r w:rsidR="0092536E">
        <w:rPr>
          <w:rFonts w:ascii="Arial" w:hAnsi="Arial" w:cs="Arial"/>
          <w:sz w:val="24"/>
          <w:szCs w:val="24"/>
        </w:rPr>
        <w:t>,</w:t>
      </w:r>
      <w:r w:rsidR="00007778" w:rsidRPr="009320FE">
        <w:rPr>
          <w:rFonts w:ascii="Arial" w:hAnsi="Arial" w:cs="Arial"/>
          <w:sz w:val="24"/>
          <w:szCs w:val="24"/>
        </w:rPr>
        <w:t xml:space="preserve"> that</w:t>
      </w:r>
      <w:r w:rsidR="00542685" w:rsidRPr="009320FE">
        <w:rPr>
          <w:rFonts w:ascii="Arial" w:hAnsi="Arial" w:cs="Arial"/>
          <w:sz w:val="24"/>
          <w:szCs w:val="24"/>
        </w:rPr>
        <w:t xml:space="preserve"> the</w:t>
      </w:r>
      <w:r w:rsidR="00007778" w:rsidRPr="009320FE">
        <w:rPr>
          <w:rFonts w:ascii="Arial" w:hAnsi="Arial" w:cs="Arial"/>
          <w:sz w:val="24"/>
          <w:szCs w:val="24"/>
        </w:rPr>
        <w:t xml:space="preserve"> samples</w:t>
      </w:r>
      <w:r w:rsidR="0092536E">
        <w:rPr>
          <w:rFonts w:ascii="Arial" w:hAnsi="Arial" w:cs="Arial"/>
          <w:sz w:val="24"/>
          <w:szCs w:val="24"/>
        </w:rPr>
        <w:t xml:space="preserve"> together </w:t>
      </w:r>
      <w:r w:rsidR="00C72E64" w:rsidRPr="009320FE">
        <w:rPr>
          <w:rFonts w:ascii="Arial" w:hAnsi="Arial" w:cs="Arial"/>
          <w:sz w:val="24"/>
          <w:szCs w:val="24"/>
        </w:rPr>
        <w:t xml:space="preserve">with the </w:t>
      </w:r>
      <w:r w:rsidR="00007778" w:rsidRPr="009320FE">
        <w:rPr>
          <w:rFonts w:ascii="Arial" w:hAnsi="Arial" w:cs="Arial"/>
          <w:sz w:val="24"/>
          <w:szCs w:val="24"/>
        </w:rPr>
        <w:t>re</w:t>
      </w:r>
      <w:r w:rsidR="00C72E64" w:rsidRPr="009320FE">
        <w:rPr>
          <w:rFonts w:ascii="Arial" w:hAnsi="Arial" w:cs="Arial"/>
          <w:sz w:val="24"/>
          <w:szCs w:val="24"/>
        </w:rPr>
        <w:t>levant serial numbers</w:t>
      </w:r>
      <w:r w:rsidR="0092536E">
        <w:rPr>
          <w:rFonts w:ascii="Arial" w:hAnsi="Arial" w:cs="Arial"/>
          <w:sz w:val="24"/>
          <w:szCs w:val="24"/>
        </w:rPr>
        <w:t xml:space="preserve"> were</w:t>
      </w:r>
      <w:r w:rsidR="00542685" w:rsidRPr="009320FE">
        <w:rPr>
          <w:rFonts w:ascii="Arial" w:hAnsi="Arial" w:cs="Arial"/>
          <w:sz w:val="24"/>
          <w:szCs w:val="24"/>
        </w:rPr>
        <w:t xml:space="preserve"> </w:t>
      </w:r>
      <w:r w:rsidR="00C72E64" w:rsidRPr="009320FE">
        <w:rPr>
          <w:rFonts w:ascii="Arial" w:hAnsi="Arial" w:cs="Arial"/>
          <w:sz w:val="24"/>
          <w:szCs w:val="24"/>
        </w:rPr>
        <w:t xml:space="preserve">stored </w:t>
      </w:r>
      <w:r w:rsidR="00355219">
        <w:rPr>
          <w:rFonts w:ascii="Arial" w:hAnsi="Arial" w:cs="Arial"/>
          <w:sz w:val="24"/>
          <w:szCs w:val="24"/>
        </w:rPr>
        <w:t>safely</w:t>
      </w:r>
      <w:r w:rsidR="0092536E">
        <w:rPr>
          <w:rFonts w:ascii="Arial" w:hAnsi="Arial" w:cs="Arial"/>
          <w:sz w:val="24"/>
          <w:szCs w:val="24"/>
        </w:rPr>
        <w:t>,</w:t>
      </w:r>
      <w:r w:rsidR="00355219" w:rsidRPr="009320FE">
        <w:rPr>
          <w:rFonts w:ascii="Arial" w:hAnsi="Arial" w:cs="Arial"/>
          <w:sz w:val="24"/>
          <w:szCs w:val="24"/>
        </w:rPr>
        <w:t xml:space="preserve"> </w:t>
      </w:r>
      <w:r w:rsidR="00C72E64" w:rsidRPr="009320FE">
        <w:rPr>
          <w:rFonts w:ascii="Arial" w:hAnsi="Arial" w:cs="Arial"/>
          <w:sz w:val="24"/>
          <w:szCs w:val="24"/>
        </w:rPr>
        <w:t>free of contamination</w:t>
      </w:r>
      <w:r w:rsidR="00BD1353" w:rsidRPr="009320FE">
        <w:rPr>
          <w:rFonts w:ascii="Arial" w:hAnsi="Arial" w:cs="Arial"/>
          <w:sz w:val="24"/>
          <w:szCs w:val="24"/>
        </w:rPr>
        <w:t>,</w:t>
      </w:r>
      <w:r w:rsidR="00C72E64" w:rsidRPr="009320FE">
        <w:rPr>
          <w:rFonts w:ascii="Arial" w:hAnsi="Arial" w:cs="Arial"/>
          <w:sz w:val="24"/>
          <w:szCs w:val="24"/>
        </w:rPr>
        <w:t xml:space="preserve"> </w:t>
      </w:r>
      <w:r w:rsidR="00007778" w:rsidRPr="009320FE">
        <w:rPr>
          <w:rFonts w:ascii="Arial" w:hAnsi="Arial" w:cs="Arial"/>
          <w:sz w:val="24"/>
          <w:szCs w:val="24"/>
        </w:rPr>
        <w:t xml:space="preserve">until such time </w:t>
      </w:r>
      <w:r w:rsidR="00355219">
        <w:rPr>
          <w:rFonts w:ascii="Arial" w:hAnsi="Arial" w:cs="Arial"/>
          <w:sz w:val="24"/>
          <w:szCs w:val="24"/>
        </w:rPr>
        <w:t xml:space="preserve">as </w:t>
      </w:r>
      <w:r w:rsidR="00C72E64" w:rsidRPr="009320FE">
        <w:rPr>
          <w:rFonts w:ascii="Arial" w:hAnsi="Arial" w:cs="Arial"/>
          <w:sz w:val="24"/>
          <w:szCs w:val="24"/>
        </w:rPr>
        <w:t>the samples</w:t>
      </w:r>
      <w:r w:rsidR="00007778" w:rsidRPr="009320FE">
        <w:rPr>
          <w:rFonts w:ascii="Arial" w:hAnsi="Arial" w:cs="Arial"/>
          <w:sz w:val="24"/>
          <w:szCs w:val="24"/>
        </w:rPr>
        <w:t xml:space="preserve"> were handed to the forensic science laboratory for analysis.</w:t>
      </w:r>
      <w:r w:rsidR="0092536E">
        <w:rPr>
          <w:rFonts w:ascii="Arial" w:hAnsi="Arial" w:cs="Arial"/>
          <w:sz w:val="24"/>
          <w:szCs w:val="24"/>
        </w:rPr>
        <w:t xml:space="preserve"> There has been no suggestion to the contrary.</w:t>
      </w:r>
      <w:r w:rsidR="00007778" w:rsidRPr="009320FE">
        <w:rPr>
          <w:rFonts w:ascii="Arial" w:hAnsi="Arial" w:cs="Arial"/>
          <w:sz w:val="24"/>
          <w:szCs w:val="24"/>
        </w:rPr>
        <w:t xml:space="preserve"> The apparent contradiction </w:t>
      </w:r>
      <w:r w:rsidR="00355219">
        <w:rPr>
          <w:rFonts w:ascii="Arial" w:hAnsi="Arial" w:cs="Arial"/>
          <w:sz w:val="24"/>
          <w:szCs w:val="24"/>
        </w:rPr>
        <w:t xml:space="preserve">relating to </w:t>
      </w:r>
      <w:r w:rsidR="00007778" w:rsidRPr="009320FE">
        <w:rPr>
          <w:rFonts w:ascii="Arial" w:hAnsi="Arial" w:cs="Arial"/>
          <w:sz w:val="24"/>
          <w:szCs w:val="24"/>
        </w:rPr>
        <w:t xml:space="preserve">which of the </w:t>
      </w:r>
      <w:r w:rsidR="00C72E64" w:rsidRPr="009320FE">
        <w:rPr>
          <w:rFonts w:ascii="Arial" w:hAnsi="Arial" w:cs="Arial"/>
          <w:sz w:val="24"/>
          <w:szCs w:val="24"/>
        </w:rPr>
        <w:t xml:space="preserve">aforementioned </w:t>
      </w:r>
      <w:r w:rsidR="00007778" w:rsidRPr="009320FE">
        <w:rPr>
          <w:rFonts w:ascii="Arial" w:hAnsi="Arial" w:cs="Arial"/>
          <w:sz w:val="24"/>
          <w:szCs w:val="24"/>
        </w:rPr>
        <w:t>two po</w:t>
      </w:r>
      <w:r w:rsidR="00C72E64" w:rsidRPr="009320FE">
        <w:rPr>
          <w:rFonts w:ascii="Arial" w:hAnsi="Arial" w:cs="Arial"/>
          <w:sz w:val="24"/>
          <w:szCs w:val="24"/>
        </w:rPr>
        <w:t>lice officers handed in the samples</w:t>
      </w:r>
      <w:r w:rsidR="00007778" w:rsidRPr="009320FE">
        <w:rPr>
          <w:rFonts w:ascii="Arial" w:hAnsi="Arial" w:cs="Arial"/>
          <w:sz w:val="24"/>
          <w:szCs w:val="24"/>
        </w:rPr>
        <w:t xml:space="preserve"> for analysis</w:t>
      </w:r>
      <w:r w:rsidR="00072023" w:rsidRPr="009320FE">
        <w:rPr>
          <w:rFonts w:ascii="Arial" w:hAnsi="Arial" w:cs="Arial"/>
          <w:sz w:val="24"/>
          <w:szCs w:val="24"/>
        </w:rPr>
        <w:t>,</w:t>
      </w:r>
      <w:r w:rsidR="00007778" w:rsidRPr="009320FE">
        <w:rPr>
          <w:rFonts w:ascii="Arial" w:hAnsi="Arial" w:cs="Arial"/>
          <w:sz w:val="24"/>
          <w:szCs w:val="24"/>
        </w:rPr>
        <w:t xml:space="preserve"> is</w:t>
      </w:r>
      <w:r w:rsidR="00355219">
        <w:rPr>
          <w:rFonts w:ascii="Arial" w:hAnsi="Arial" w:cs="Arial"/>
          <w:sz w:val="24"/>
          <w:szCs w:val="24"/>
        </w:rPr>
        <w:t xml:space="preserve"> of</w:t>
      </w:r>
      <w:r w:rsidR="00007778" w:rsidRPr="009320FE">
        <w:rPr>
          <w:rFonts w:ascii="Arial" w:hAnsi="Arial" w:cs="Arial"/>
          <w:sz w:val="24"/>
          <w:szCs w:val="24"/>
        </w:rPr>
        <w:t xml:space="preserve"> no consequence</w:t>
      </w:r>
      <w:r w:rsidR="00355219">
        <w:rPr>
          <w:rFonts w:ascii="Arial" w:hAnsi="Arial" w:cs="Arial"/>
          <w:sz w:val="24"/>
          <w:szCs w:val="24"/>
        </w:rPr>
        <w:t>,</w:t>
      </w:r>
      <w:r w:rsidR="00007778" w:rsidRPr="009320FE">
        <w:rPr>
          <w:rFonts w:ascii="Arial" w:hAnsi="Arial" w:cs="Arial"/>
          <w:sz w:val="24"/>
          <w:szCs w:val="24"/>
        </w:rPr>
        <w:t xml:space="preserve"> and does </w:t>
      </w:r>
      <w:r w:rsidR="00C72E64" w:rsidRPr="009320FE">
        <w:rPr>
          <w:rFonts w:ascii="Arial" w:hAnsi="Arial" w:cs="Arial"/>
          <w:sz w:val="24"/>
          <w:szCs w:val="24"/>
        </w:rPr>
        <w:t xml:space="preserve">not in any way </w:t>
      </w:r>
      <w:r w:rsidR="00072023" w:rsidRPr="009320FE">
        <w:rPr>
          <w:rFonts w:ascii="Arial" w:hAnsi="Arial" w:cs="Arial"/>
          <w:sz w:val="24"/>
          <w:szCs w:val="24"/>
        </w:rPr>
        <w:t xml:space="preserve">detract </w:t>
      </w:r>
      <w:r w:rsidR="00007778" w:rsidRPr="009320FE">
        <w:rPr>
          <w:rFonts w:ascii="Arial" w:hAnsi="Arial" w:cs="Arial"/>
          <w:sz w:val="24"/>
          <w:szCs w:val="24"/>
        </w:rPr>
        <w:t>from the reliability of the chain evidence</w:t>
      </w:r>
      <w:r w:rsidR="0092536E">
        <w:rPr>
          <w:rFonts w:ascii="Arial" w:hAnsi="Arial" w:cs="Arial"/>
          <w:sz w:val="24"/>
          <w:szCs w:val="24"/>
        </w:rPr>
        <w:t>.</w:t>
      </w:r>
    </w:p>
    <w:p w:rsidR="00007778" w:rsidRPr="009320FE" w:rsidRDefault="00007778" w:rsidP="009320FE">
      <w:pPr>
        <w:spacing w:after="0" w:line="360" w:lineRule="auto"/>
        <w:contextualSpacing/>
        <w:jc w:val="both"/>
        <w:rPr>
          <w:rFonts w:ascii="Arial" w:hAnsi="Arial" w:cs="Arial"/>
          <w:sz w:val="24"/>
          <w:szCs w:val="24"/>
        </w:rPr>
      </w:pPr>
    </w:p>
    <w:p w:rsidR="00EF1B8E" w:rsidRDefault="00C9752B" w:rsidP="009320FE">
      <w:pPr>
        <w:spacing w:after="0" w:line="360" w:lineRule="auto"/>
        <w:contextualSpacing/>
        <w:jc w:val="both"/>
        <w:rPr>
          <w:rFonts w:ascii="Arial" w:hAnsi="Arial" w:cs="Arial"/>
          <w:sz w:val="24"/>
          <w:szCs w:val="24"/>
        </w:rPr>
      </w:pPr>
      <w:r>
        <w:rPr>
          <w:rFonts w:ascii="Arial" w:hAnsi="Arial" w:cs="Arial"/>
          <w:sz w:val="24"/>
          <w:szCs w:val="24"/>
        </w:rPr>
        <w:t>[</w:t>
      </w:r>
      <w:r w:rsidR="00567EF2">
        <w:rPr>
          <w:rFonts w:ascii="Arial" w:hAnsi="Arial" w:cs="Arial"/>
          <w:sz w:val="24"/>
          <w:szCs w:val="24"/>
        </w:rPr>
        <w:t>19</w:t>
      </w:r>
      <w:r w:rsidR="00C42812" w:rsidRPr="009320FE">
        <w:rPr>
          <w:rFonts w:ascii="Arial" w:hAnsi="Arial" w:cs="Arial"/>
          <w:sz w:val="24"/>
          <w:szCs w:val="24"/>
        </w:rPr>
        <w:t>]</w:t>
      </w:r>
      <w:r w:rsidR="00C42812" w:rsidRPr="009320FE">
        <w:rPr>
          <w:rFonts w:ascii="Arial" w:hAnsi="Arial" w:cs="Arial"/>
          <w:sz w:val="24"/>
          <w:szCs w:val="24"/>
        </w:rPr>
        <w:tab/>
        <w:t>T</w:t>
      </w:r>
      <w:r w:rsidR="00072023" w:rsidRPr="009320FE">
        <w:rPr>
          <w:rFonts w:ascii="Arial" w:hAnsi="Arial" w:cs="Arial"/>
          <w:sz w:val="24"/>
          <w:szCs w:val="24"/>
        </w:rPr>
        <w:t xml:space="preserve">he Supreme Court of Appeal in </w:t>
      </w:r>
      <w:r w:rsidR="00007778" w:rsidRPr="009320FE">
        <w:rPr>
          <w:rFonts w:ascii="Arial" w:hAnsi="Arial" w:cs="Arial"/>
          <w:i/>
          <w:sz w:val="24"/>
          <w:szCs w:val="24"/>
        </w:rPr>
        <w:t>S</w:t>
      </w:r>
      <w:r w:rsidR="007B3FC3">
        <w:rPr>
          <w:rFonts w:ascii="Arial" w:hAnsi="Arial" w:cs="Arial"/>
          <w:i/>
          <w:sz w:val="24"/>
          <w:szCs w:val="24"/>
        </w:rPr>
        <w:t xml:space="preserve"> v SB</w:t>
      </w:r>
      <w:r w:rsidR="00D55BF7" w:rsidRPr="008E7784">
        <w:rPr>
          <w:rStyle w:val="FootnoteReference"/>
          <w:rFonts w:ascii="Arial" w:hAnsi="Arial" w:cs="Arial"/>
          <w:sz w:val="24"/>
          <w:szCs w:val="24"/>
        </w:rPr>
        <w:footnoteReference w:id="9"/>
      </w:r>
      <w:r w:rsidR="00007778" w:rsidRPr="009320FE">
        <w:rPr>
          <w:rFonts w:ascii="Arial" w:hAnsi="Arial" w:cs="Arial"/>
          <w:sz w:val="24"/>
          <w:szCs w:val="24"/>
        </w:rPr>
        <w:t xml:space="preserve"> held that DNA</w:t>
      </w:r>
      <w:r w:rsidR="008D3FA3">
        <w:rPr>
          <w:rFonts w:ascii="Arial" w:hAnsi="Arial" w:cs="Arial"/>
          <w:sz w:val="24"/>
          <w:szCs w:val="24"/>
        </w:rPr>
        <w:t xml:space="preserve"> evidence</w:t>
      </w:r>
      <w:r w:rsidR="00007778" w:rsidRPr="009320FE">
        <w:rPr>
          <w:rFonts w:ascii="Arial" w:hAnsi="Arial" w:cs="Arial"/>
          <w:sz w:val="24"/>
          <w:szCs w:val="24"/>
        </w:rPr>
        <w:t xml:space="preserve"> is circumstantial evidence, the probative value of which depends on</w:t>
      </w:r>
      <w:r w:rsidR="00EF1B8E">
        <w:rPr>
          <w:rFonts w:ascii="Arial" w:hAnsi="Arial" w:cs="Arial"/>
          <w:sz w:val="24"/>
          <w:szCs w:val="24"/>
        </w:rPr>
        <w:t>:</w:t>
      </w:r>
      <w:r w:rsidR="00007778" w:rsidRPr="009320FE">
        <w:rPr>
          <w:rFonts w:ascii="Arial" w:hAnsi="Arial" w:cs="Arial"/>
          <w:sz w:val="24"/>
          <w:szCs w:val="24"/>
        </w:rPr>
        <w:t xml:space="preserve"> </w:t>
      </w:r>
    </w:p>
    <w:p w:rsidR="00EF1B8E" w:rsidRPr="00EF1B8E" w:rsidRDefault="00EF1B8E" w:rsidP="00EF1B8E">
      <w:pPr>
        <w:spacing w:after="0" w:line="360" w:lineRule="auto"/>
        <w:contextualSpacing/>
        <w:jc w:val="both"/>
        <w:rPr>
          <w:rFonts w:ascii="Arial" w:hAnsi="Arial" w:cs="Arial"/>
          <w:szCs w:val="24"/>
          <w:lang w:val="en-US"/>
        </w:rPr>
      </w:pPr>
      <w:r w:rsidRPr="00EF1B8E">
        <w:rPr>
          <w:rFonts w:ascii="Arial" w:hAnsi="Arial" w:cs="Arial"/>
          <w:szCs w:val="24"/>
          <w:lang w:val="en-US"/>
        </w:rPr>
        <w:t>‘(i)   The establishment of the chain evidence, ie that the respective samples were properly taken and safeguarded until they were tested in the laboratory.</w:t>
      </w:r>
    </w:p>
    <w:p w:rsidR="00EF1B8E" w:rsidRPr="00EF1B8E" w:rsidRDefault="00EF1B8E" w:rsidP="00EF1B8E">
      <w:pPr>
        <w:spacing w:after="0" w:line="360" w:lineRule="auto"/>
        <w:contextualSpacing/>
        <w:jc w:val="both"/>
        <w:rPr>
          <w:rFonts w:ascii="Arial" w:hAnsi="Arial" w:cs="Arial"/>
          <w:szCs w:val="24"/>
          <w:lang w:val="en-US"/>
        </w:rPr>
      </w:pPr>
      <w:r w:rsidRPr="00EF1B8E">
        <w:rPr>
          <w:rFonts w:ascii="Arial" w:hAnsi="Arial" w:cs="Arial"/>
          <w:szCs w:val="24"/>
          <w:lang w:val="en-US"/>
        </w:rPr>
        <w:t>(ii)   The proper functioning of the machines and equipment used to produce the electropherograms.</w:t>
      </w:r>
    </w:p>
    <w:p w:rsidR="00EF1B8E" w:rsidRPr="00EF1B8E" w:rsidRDefault="00EF1B8E" w:rsidP="00EF1B8E">
      <w:pPr>
        <w:spacing w:after="0" w:line="360" w:lineRule="auto"/>
        <w:contextualSpacing/>
        <w:jc w:val="both"/>
        <w:rPr>
          <w:rFonts w:ascii="Arial" w:hAnsi="Arial" w:cs="Arial"/>
          <w:szCs w:val="24"/>
          <w:lang w:val="en-US"/>
        </w:rPr>
      </w:pPr>
      <w:r w:rsidRPr="00EF1B8E">
        <w:rPr>
          <w:rFonts w:ascii="Arial" w:hAnsi="Arial" w:cs="Arial"/>
          <w:szCs w:val="24"/>
          <w:lang w:val="en-US"/>
        </w:rPr>
        <w:t>(iii)   The acceptability of the interpretation of the electropherograms.</w:t>
      </w:r>
    </w:p>
    <w:p w:rsidR="00EF1B8E" w:rsidRPr="00EF1B8E" w:rsidRDefault="00EF1B8E" w:rsidP="00EF1B8E">
      <w:pPr>
        <w:spacing w:after="0" w:line="360" w:lineRule="auto"/>
        <w:contextualSpacing/>
        <w:jc w:val="both"/>
        <w:rPr>
          <w:rFonts w:ascii="Arial" w:hAnsi="Arial" w:cs="Arial"/>
          <w:szCs w:val="24"/>
          <w:lang w:val="en-US"/>
        </w:rPr>
      </w:pPr>
      <w:r w:rsidRPr="00EF1B8E">
        <w:rPr>
          <w:rFonts w:ascii="Arial" w:hAnsi="Arial" w:cs="Arial"/>
          <w:szCs w:val="24"/>
          <w:lang w:val="en-US"/>
        </w:rPr>
        <w:t>(iv)   The probability of such a match or inclusion in the particular circumstances.</w:t>
      </w:r>
    </w:p>
    <w:p w:rsidR="00EF1B8E" w:rsidRPr="00EF1B8E" w:rsidRDefault="00EF1B8E" w:rsidP="009320FE">
      <w:pPr>
        <w:spacing w:after="0" w:line="360" w:lineRule="auto"/>
        <w:contextualSpacing/>
        <w:jc w:val="both"/>
        <w:rPr>
          <w:rFonts w:ascii="Arial" w:hAnsi="Arial" w:cs="Arial"/>
          <w:szCs w:val="24"/>
        </w:rPr>
      </w:pPr>
      <w:r w:rsidRPr="00EF1B8E">
        <w:rPr>
          <w:rFonts w:ascii="Arial" w:hAnsi="Arial" w:cs="Arial"/>
          <w:szCs w:val="24"/>
          <w:lang w:val="en-US"/>
        </w:rPr>
        <w:t>(v)   The other evidence in the case.’</w:t>
      </w:r>
      <w:r>
        <w:rPr>
          <w:rStyle w:val="FootnoteReference"/>
          <w:rFonts w:ascii="Arial" w:hAnsi="Arial" w:cs="Arial"/>
          <w:szCs w:val="24"/>
          <w:lang w:val="en-US"/>
        </w:rPr>
        <w:footnoteReference w:id="10"/>
      </w:r>
      <w:r w:rsidR="00007778" w:rsidRPr="00EF1B8E">
        <w:rPr>
          <w:rFonts w:ascii="Arial" w:hAnsi="Arial" w:cs="Arial"/>
          <w:szCs w:val="24"/>
        </w:rPr>
        <w:t xml:space="preserve"> </w:t>
      </w:r>
    </w:p>
    <w:p w:rsidR="00007778" w:rsidRPr="009320FE" w:rsidRDefault="00007778" w:rsidP="009320FE">
      <w:pPr>
        <w:spacing w:after="0" w:line="360" w:lineRule="auto"/>
        <w:contextualSpacing/>
        <w:jc w:val="both"/>
        <w:rPr>
          <w:rFonts w:ascii="Arial" w:hAnsi="Arial" w:cs="Arial"/>
          <w:sz w:val="24"/>
          <w:szCs w:val="24"/>
        </w:rPr>
      </w:pPr>
      <w:r w:rsidRPr="009320FE">
        <w:rPr>
          <w:rFonts w:ascii="Arial" w:hAnsi="Arial" w:cs="Arial"/>
          <w:sz w:val="24"/>
          <w:szCs w:val="24"/>
        </w:rPr>
        <w:t xml:space="preserve">These factors </w:t>
      </w:r>
      <w:r w:rsidR="00072023" w:rsidRPr="009320FE">
        <w:rPr>
          <w:rFonts w:ascii="Arial" w:hAnsi="Arial" w:cs="Arial"/>
          <w:sz w:val="24"/>
          <w:szCs w:val="24"/>
        </w:rPr>
        <w:t>(</w:t>
      </w:r>
      <w:r w:rsidRPr="009320FE">
        <w:rPr>
          <w:rFonts w:ascii="Arial" w:hAnsi="Arial" w:cs="Arial"/>
          <w:sz w:val="24"/>
          <w:szCs w:val="24"/>
        </w:rPr>
        <w:t xml:space="preserve">save for </w:t>
      </w:r>
      <w:r w:rsidR="008D3FA3">
        <w:rPr>
          <w:rFonts w:ascii="Arial" w:hAnsi="Arial" w:cs="Arial"/>
          <w:sz w:val="24"/>
          <w:szCs w:val="24"/>
        </w:rPr>
        <w:t>the factor listed in (v)</w:t>
      </w:r>
      <w:r w:rsidR="00072023" w:rsidRPr="009320FE">
        <w:rPr>
          <w:rFonts w:ascii="Arial" w:hAnsi="Arial" w:cs="Arial"/>
          <w:sz w:val="24"/>
          <w:szCs w:val="24"/>
        </w:rPr>
        <w:t xml:space="preserve">) </w:t>
      </w:r>
      <w:r w:rsidRPr="009320FE">
        <w:rPr>
          <w:rFonts w:ascii="Arial" w:hAnsi="Arial" w:cs="Arial"/>
          <w:sz w:val="24"/>
          <w:szCs w:val="24"/>
        </w:rPr>
        <w:t xml:space="preserve">are </w:t>
      </w:r>
      <w:r w:rsidR="008B42D6" w:rsidRPr="009320FE">
        <w:rPr>
          <w:rFonts w:ascii="Arial" w:hAnsi="Arial" w:cs="Arial"/>
          <w:sz w:val="24"/>
          <w:szCs w:val="24"/>
        </w:rPr>
        <w:t>dealt</w:t>
      </w:r>
      <w:r w:rsidR="00072023" w:rsidRPr="009320FE">
        <w:rPr>
          <w:rFonts w:ascii="Arial" w:hAnsi="Arial" w:cs="Arial"/>
          <w:sz w:val="24"/>
          <w:szCs w:val="24"/>
        </w:rPr>
        <w:t xml:space="preserve"> with in the </w:t>
      </w:r>
      <w:r w:rsidR="004E73D5">
        <w:rPr>
          <w:rFonts w:ascii="Arial" w:hAnsi="Arial" w:cs="Arial"/>
          <w:sz w:val="24"/>
          <w:szCs w:val="24"/>
        </w:rPr>
        <w:t>section 212</w:t>
      </w:r>
      <w:r w:rsidR="009529E1">
        <w:rPr>
          <w:rStyle w:val="FootnoteReference"/>
          <w:rFonts w:ascii="Arial" w:hAnsi="Arial" w:cs="Arial"/>
          <w:sz w:val="24"/>
          <w:szCs w:val="24"/>
        </w:rPr>
        <w:footnoteReference w:id="11"/>
      </w:r>
      <w:r w:rsidR="004E73D5">
        <w:rPr>
          <w:rFonts w:ascii="Arial" w:hAnsi="Arial" w:cs="Arial"/>
          <w:sz w:val="24"/>
          <w:szCs w:val="24"/>
        </w:rPr>
        <w:t xml:space="preserve"> </w:t>
      </w:r>
      <w:r w:rsidR="000D01EA" w:rsidRPr="009320FE">
        <w:rPr>
          <w:rFonts w:ascii="Arial" w:hAnsi="Arial" w:cs="Arial"/>
          <w:sz w:val="24"/>
          <w:szCs w:val="24"/>
        </w:rPr>
        <w:t>affidavit</w:t>
      </w:r>
      <w:r w:rsidR="00B87C23">
        <w:rPr>
          <w:rFonts w:ascii="Arial" w:hAnsi="Arial" w:cs="Arial"/>
          <w:sz w:val="24"/>
          <w:szCs w:val="24"/>
        </w:rPr>
        <w:t>,</w:t>
      </w:r>
      <w:r w:rsidR="00B87C23" w:rsidRPr="00B87C23">
        <w:rPr>
          <w:rFonts w:ascii="Arial" w:hAnsi="Arial" w:cs="Arial"/>
          <w:sz w:val="24"/>
          <w:szCs w:val="24"/>
        </w:rPr>
        <w:t xml:space="preserve"> </w:t>
      </w:r>
      <w:r w:rsidR="00B87C23" w:rsidRPr="009320FE">
        <w:rPr>
          <w:rFonts w:ascii="Arial" w:hAnsi="Arial" w:cs="Arial"/>
          <w:sz w:val="24"/>
          <w:szCs w:val="24"/>
        </w:rPr>
        <w:t>and the appe</w:t>
      </w:r>
      <w:r w:rsidR="00B87C23">
        <w:rPr>
          <w:rFonts w:ascii="Arial" w:hAnsi="Arial" w:cs="Arial"/>
          <w:sz w:val="24"/>
          <w:szCs w:val="24"/>
        </w:rPr>
        <w:t>n</w:t>
      </w:r>
      <w:r w:rsidR="00B87C23" w:rsidRPr="009320FE">
        <w:rPr>
          <w:rFonts w:ascii="Arial" w:hAnsi="Arial" w:cs="Arial"/>
          <w:sz w:val="24"/>
          <w:szCs w:val="24"/>
        </w:rPr>
        <w:t>dix thereto</w:t>
      </w:r>
      <w:r w:rsidR="00B87C23">
        <w:rPr>
          <w:rFonts w:ascii="Arial" w:hAnsi="Arial" w:cs="Arial"/>
          <w:sz w:val="24"/>
          <w:szCs w:val="24"/>
        </w:rPr>
        <w:t>,</w:t>
      </w:r>
      <w:r w:rsidR="000D01EA" w:rsidRPr="009320FE">
        <w:rPr>
          <w:rFonts w:ascii="Arial" w:hAnsi="Arial" w:cs="Arial"/>
          <w:sz w:val="24"/>
          <w:szCs w:val="24"/>
        </w:rPr>
        <w:t xml:space="preserve"> </w:t>
      </w:r>
      <w:r w:rsidR="00E45DCA">
        <w:rPr>
          <w:rFonts w:ascii="Arial" w:hAnsi="Arial" w:cs="Arial"/>
          <w:sz w:val="24"/>
          <w:szCs w:val="24"/>
        </w:rPr>
        <w:t>by</w:t>
      </w:r>
      <w:r w:rsidR="00072023" w:rsidRPr="009320FE">
        <w:rPr>
          <w:rFonts w:ascii="Arial" w:hAnsi="Arial" w:cs="Arial"/>
          <w:sz w:val="24"/>
          <w:szCs w:val="24"/>
        </w:rPr>
        <w:t xml:space="preserve"> C</w:t>
      </w:r>
      <w:r w:rsidR="008B42D6" w:rsidRPr="009320FE">
        <w:rPr>
          <w:rFonts w:ascii="Arial" w:hAnsi="Arial" w:cs="Arial"/>
          <w:sz w:val="24"/>
          <w:szCs w:val="24"/>
        </w:rPr>
        <w:t xml:space="preserve">olonel Khelawanlall </w:t>
      </w:r>
      <w:r w:rsidR="00072023" w:rsidRPr="009320FE">
        <w:rPr>
          <w:rFonts w:ascii="Arial" w:hAnsi="Arial" w:cs="Arial"/>
          <w:sz w:val="24"/>
          <w:szCs w:val="24"/>
        </w:rPr>
        <w:t>(E</w:t>
      </w:r>
      <w:r w:rsidR="008B42D6" w:rsidRPr="009320FE">
        <w:rPr>
          <w:rFonts w:ascii="Arial" w:hAnsi="Arial" w:cs="Arial"/>
          <w:sz w:val="24"/>
          <w:szCs w:val="24"/>
        </w:rPr>
        <w:t>xhibit</w:t>
      </w:r>
      <w:r w:rsidR="00072023" w:rsidRPr="009320FE">
        <w:rPr>
          <w:rFonts w:ascii="Arial" w:hAnsi="Arial" w:cs="Arial"/>
          <w:sz w:val="24"/>
          <w:szCs w:val="24"/>
        </w:rPr>
        <w:t xml:space="preserve"> </w:t>
      </w:r>
      <w:r w:rsidR="00E45DCA">
        <w:rPr>
          <w:rFonts w:ascii="Arial" w:hAnsi="Arial" w:cs="Arial"/>
          <w:sz w:val="24"/>
          <w:szCs w:val="24"/>
        </w:rPr>
        <w:t>‘</w:t>
      </w:r>
      <w:r w:rsidR="008B42D6" w:rsidRPr="009320FE">
        <w:rPr>
          <w:rFonts w:ascii="Arial" w:hAnsi="Arial" w:cs="Arial"/>
          <w:sz w:val="24"/>
          <w:szCs w:val="24"/>
        </w:rPr>
        <w:t>A</w:t>
      </w:r>
      <w:r w:rsidR="00E45DCA">
        <w:rPr>
          <w:rFonts w:ascii="Arial" w:hAnsi="Arial" w:cs="Arial"/>
          <w:sz w:val="24"/>
          <w:szCs w:val="24"/>
        </w:rPr>
        <w:t>’</w:t>
      </w:r>
      <w:r w:rsidR="00072023" w:rsidRPr="009320FE">
        <w:rPr>
          <w:rFonts w:ascii="Arial" w:hAnsi="Arial" w:cs="Arial"/>
          <w:sz w:val="24"/>
          <w:szCs w:val="24"/>
        </w:rPr>
        <w:t>)</w:t>
      </w:r>
      <w:r w:rsidR="00E45DCA">
        <w:rPr>
          <w:rFonts w:ascii="Arial" w:hAnsi="Arial" w:cs="Arial"/>
          <w:sz w:val="24"/>
          <w:szCs w:val="24"/>
        </w:rPr>
        <w:t xml:space="preserve">, which </w:t>
      </w:r>
      <w:r w:rsidR="00CF73D1">
        <w:rPr>
          <w:rFonts w:ascii="Arial" w:hAnsi="Arial" w:cs="Arial"/>
          <w:sz w:val="24"/>
          <w:szCs w:val="24"/>
        </w:rPr>
        <w:t>was</w:t>
      </w:r>
      <w:r w:rsidR="00072023" w:rsidRPr="009320FE">
        <w:rPr>
          <w:rFonts w:ascii="Arial" w:hAnsi="Arial" w:cs="Arial"/>
          <w:sz w:val="24"/>
          <w:szCs w:val="24"/>
        </w:rPr>
        <w:t xml:space="preserve"> </w:t>
      </w:r>
      <w:r w:rsidR="00BD1353" w:rsidRPr="009320FE">
        <w:rPr>
          <w:rFonts w:ascii="Arial" w:hAnsi="Arial" w:cs="Arial"/>
          <w:sz w:val="24"/>
          <w:szCs w:val="24"/>
        </w:rPr>
        <w:t>admitted into evidence</w:t>
      </w:r>
      <w:r w:rsidR="00072023" w:rsidRPr="009320FE">
        <w:rPr>
          <w:rFonts w:ascii="Arial" w:hAnsi="Arial" w:cs="Arial"/>
          <w:sz w:val="24"/>
          <w:szCs w:val="24"/>
        </w:rPr>
        <w:t xml:space="preserve"> by </w:t>
      </w:r>
      <w:r w:rsidR="00BD1353" w:rsidRPr="009320FE">
        <w:rPr>
          <w:rFonts w:ascii="Arial" w:hAnsi="Arial" w:cs="Arial"/>
          <w:sz w:val="24"/>
          <w:szCs w:val="24"/>
        </w:rPr>
        <w:t>consent</w:t>
      </w:r>
      <w:r w:rsidR="00E45DCA">
        <w:rPr>
          <w:rFonts w:ascii="Arial" w:hAnsi="Arial" w:cs="Arial"/>
          <w:sz w:val="24"/>
          <w:szCs w:val="24"/>
        </w:rPr>
        <w:t>.</w:t>
      </w:r>
      <w:r w:rsidR="00D55BF7" w:rsidRPr="009320FE">
        <w:rPr>
          <w:rStyle w:val="FootnoteReference"/>
          <w:rFonts w:ascii="Arial" w:hAnsi="Arial" w:cs="Arial"/>
          <w:sz w:val="24"/>
          <w:szCs w:val="24"/>
        </w:rPr>
        <w:footnoteReference w:id="12"/>
      </w:r>
      <w:r w:rsidR="008B42D6" w:rsidRPr="009320FE">
        <w:rPr>
          <w:rFonts w:ascii="Arial" w:hAnsi="Arial" w:cs="Arial"/>
          <w:sz w:val="24"/>
          <w:szCs w:val="24"/>
        </w:rPr>
        <w:t xml:space="preserve"> </w:t>
      </w:r>
      <w:r w:rsidR="00072023" w:rsidRPr="009320FE">
        <w:rPr>
          <w:rFonts w:ascii="Arial" w:hAnsi="Arial" w:cs="Arial"/>
          <w:sz w:val="24"/>
          <w:szCs w:val="24"/>
        </w:rPr>
        <w:t>T</w:t>
      </w:r>
      <w:r w:rsidR="008B42D6" w:rsidRPr="009320FE">
        <w:rPr>
          <w:rFonts w:ascii="Arial" w:hAnsi="Arial" w:cs="Arial"/>
          <w:sz w:val="24"/>
          <w:szCs w:val="24"/>
        </w:rPr>
        <w:t xml:space="preserve">here is accordingly no issue that these factors have been </w:t>
      </w:r>
      <w:r w:rsidR="00B87C23">
        <w:rPr>
          <w:rFonts w:ascii="Arial" w:hAnsi="Arial" w:cs="Arial"/>
          <w:sz w:val="24"/>
          <w:szCs w:val="24"/>
        </w:rPr>
        <w:t>satisfactorily</w:t>
      </w:r>
      <w:r w:rsidR="00B87C23" w:rsidRPr="009320FE">
        <w:rPr>
          <w:rFonts w:ascii="Arial" w:hAnsi="Arial" w:cs="Arial"/>
          <w:sz w:val="24"/>
          <w:szCs w:val="24"/>
        </w:rPr>
        <w:t xml:space="preserve"> </w:t>
      </w:r>
      <w:r w:rsidR="008B42D6" w:rsidRPr="009320FE">
        <w:rPr>
          <w:rFonts w:ascii="Arial" w:hAnsi="Arial" w:cs="Arial"/>
          <w:sz w:val="24"/>
          <w:szCs w:val="24"/>
        </w:rPr>
        <w:t>esta</w:t>
      </w:r>
      <w:r w:rsidR="00072023" w:rsidRPr="009320FE">
        <w:rPr>
          <w:rFonts w:ascii="Arial" w:hAnsi="Arial" w:cs="Arial"/>
          <w:sz w:val="24"/>
          <w:szCs w:val="24"/>
        </w:rPr>
        <w:t xml:space="preserve">blished to the requisite </w:t>
      </w:r>
      <w:r w:rsidR="00BD1353" w:rsidRPr="009320FE">
        <w:rPr>
          <w:rFonts w:ascii="Arial" w:hAnsi="Arial" w:cs="Arial"/>
          <w:sz w:val="24"/>
          <w:szCs w:val="24"/>
        </w:rPr>
        <w:t>degree. The</w:t>
      </w:r>
      <w:r w:rsidR="008B42D6" w:rsidRPr="009320FE">
        <w:rPr>
          <w:rFonts w:ascii="Arial" w:hAnsi="Arial" w:cs="Arial"/>
          <w:sz w:val="24"/>
          <w:szCs w:val="24"/>
        </w:rPr>
        <w:t xml:space="preserve"> DNA evidence</w:t>
      </w:r>
      <w:r w:rsidR="00B87C23">
        <w:rPr>
          <w:rFonts w:ascii="Arial" w:hAnsi="Arial" w:cs="Arial"/>
          <w:sz w:val="24"/>
          <w:szCs w:val="24"/>
        </w:rPr>
        <w:t>,</w:t>
      </w:r>
      <w:r w:rsidR="008B42D6" w:rsidRPr="009320FE">
        <w:rPr>
          <w:rFonts w:ascii="Arial" w:hAnsi="Arial" w:cs="Arial"/>
          <w:sz w:val="24"/>
          <w:szCs w:val="24"/>
        </w:rPr>
        <w:t xml:space="preserve"> in </w:t>
      </w:r>
      <w:r w:rsidR="00072023" w:rsidRPr="009320FE">
        <w:rPr>
          <w:rFonts w:ascii="Arial" w:hAnsi="Arial" w:cs="Arial"/>
          <w:sz w:val="24"/>
          <w:szCs w:val="24"/>
        </w:rPr>
        <w:t xml:space="preserve">my </w:t>
      </w:r>
      <w:r w:rsidR="008B42D6" w:rsidRPr="009320FE">
        <w:rPr>
          <w:rFonts w:ascii="Arial" w:hAnsi="Arial" w:cs="Arial"/>
          <w:sz w:val="24"/>
          <w:szCs w:val="24"/>
        </w:rPr>
        <w:t>view</w:t>
      </w:r>
      <w:r w:rsidR="00B87C23">
        <w:rPr>
          <w:rFonts w:ascii="Arial" w:hAnsi="Arial" w:cs="Arial"/>
          <w:sz w:val="24"/>
          <w:szCs w:val="24"/>
        </w:rPr>
        <w:t>,</w:t>
      </w:r>
      <w:r w:rsidR="008B42D6" w:rsidRPr="009320FE">
        <w:rPr>
          <w:rFonts w:ascii="Arial" w:hAnsi="Arial" w:cs="Arial"/>
          <w:sz w:val="24"/>
          <w:szCs w:val="24"/>
        </w:rPr>
        <w:t xml:space="preserve"> assist</w:t>
      </w:r>
      <w:r w:rsidR="00072023" w:rsidRPr="009320FE">
        <w:rPr>
          <w:rFonts w:ascii="Arial" w:hAnsi="Arial" w:cs="Arial"/>
          <w:sz w:val="24"/>
          <w:szCs w:val="24"/>
        </w:rPr>
        <w:t>s</w:t>
      </w:r>
      <w:r w:rsidR="008B42D6" w:rsidRPr="009320FE">
        <w:rPr>
          <w:rFonts w:ascii="Arial" w:hAnsi="Arial" w:cs="Arial"/>
          <w:sz w:val="24"/>
          <w:szCs w:val="24"/>
        </w:rPr>
        <w:t xml:space="preserve"> in overcoming the cautionary rule applicable when assessing the evidence of </w:t>
      </w:r>
      <w:r w:rsidR="004E73D5">
        <w:rPr>
          <w:rFonts w:ascii="Arial" w:hAnsi="Arial" w:cs="Arial"/>
          <w:sz w:val="24"/>
          <w:szCs w:val="24"/>
        </w:rPr>
        <w:t xml:space="preserve">the </w:t>
      </w:r>
      <w:r w:rsidR="008B42D6" w:rsidRPr="009320FE">
        <w:rPr>
          <w:rFonts w:ascii="Arial" w:hAnsi="Arial" w:cs="Arial"/>
          <w:sz w:val="24"/>
          <w:szCs w:val="24"/>
        </w:rPr>
        <w:t>identification of the perpetrator</w:t>
      </w:r>
      <w:r w:rsidR="00321A61">
        <w:rPr>
          <w:rFonts w:ascii="Arial" w:hAnsi="Arial" w:cs="Arial"/>
          <w:sz w:val="24"/>
          <w:szCs w:val="24"/>
        </w:rPr>
        <w:t xml:space="preserve"> and enhances the reliability of </w:t>
      </w:r>
      <w:r w:rsidR="00E83DEB">
        <w:rPr>
          <w:rFonts w:ascii="Arial" w:hAnsi="Arial" w:cs="Arial"/>
          <w:sz w:val="24"/>
          <w:szCs w:val="24"/>
        </w:rPr>
        <w:t xml:space="preserve">the complainant’s </w:t>
      </w:r>
      <w:r w:rsidR="00321A61">
        <w:rPr>
          <w:rFonts w:ascii="Arial" w:hAnsi="Arial" w:cs="Arial"/>
          <w:sz w:val="24"/>
          <w:szCs w:val="24"/>
        </w:rPr>
        <w:t>version.</w:t>
      </w:r>
    </w:p>
    <w:p w:rsidR="008B42D6" w:rsidRPr="009320FE" w:rsidRDefault="008B42D6" w:rsidP="009320FE">
      <w:pPr>
        <w:spacing w:after="0" w:line="360" w:lineRule="auto"/>
        <w:contextualSpacing/>
        <w:jc w:val="both"/>
        <w:rPr>
          <w:rFonts w:ascii="Arial" w:hAnsi="Arial" w:cs="Arial"/>
          <w:b/>
          <w:sz w:val="24"/>
          <w:szCs w:val="24"/>
        </w:rPr>
      </w:pPr>
    </w:p>
    <w:p w:rsidR="008B42D6" w:rsidRDefault="00BD1353" w:rsidP="009320FE">
      <w:pPr>
        <w:spacing w:after="0" w:line="360" w:lineRule="auto"/>
        <w:contextualSpacing/>
        <w:jc w:val="both"/>
        <w:rPr>
          <w:rFonts w:ascii="Arial" w:hAnsi="Arial" w:cs="Arial"/>
          <w:b/>
          <w:i/>
          <w:sz w:val="24"/>
          <w:szCs w:val="24"/>
        </w:rPr>
      </w:pPr>
      <w:r w:rsidRPr="008E7784">
        <w:rPr>
          <w:rFonts w:ascii="Arial" w:hAnsi="Arial" w:cs="Arial"/>
          <w:b/>
          <w:i/>
          <w:sz w:val="24"/>
          <w:szCs w:val="24"/>
        </w:rPr>
        <w:t xml:space="preserve">Evidence by the </w:t>
      </w:r>
      <w:r w:rsidR="000D01EA" w:rsidRPr="008E7784">
        <w:rPr>
          <w:rFonts w:ascii="Arial" w:hAnsi="Arial" w:cs="Arial"/>
          <w:b/>
          <w:i/>
          <w:sz w:val="24"/>
          <w:szCs w:val="24"/>
        </w:rPr>
        <w:t>appellant</w:t>
      </w:r>
    </w:p>
    <w:p w:rsidR="009717E8" w:rsidRPr="008E7784" w:rsidRDefault="009717E8" w:rsidP="009320FE">
      <w:pPr>
        <w:spacing w:after="0" w:line="360" w:lineRule="auto"/>
        <w:contextualSpacing/>
        <w:jc w:val="both"/>
        <w:rPr>
          <w:rFonts w:ascii="Arial" w:hAnsi="Arial" w:cs="Arial"/>
          <w:b/>
          <w:i/>
          <w:sz w:val="24"/>
          <w:szCs w:val="24"/>
        </w:rPr>
      </w:pPr>
    </w:p>
    <w:p w:rsidR="008B42D6" w:rsidRPr="009320FE" w:rsidRDefault="00C9752B" w:rsidP="009320FE">
      <w:pPr>
        <w:spacing w:after="0" w:line="360" w:lineRule="auto"/>
        <w:contextualSpacing/>
        <w:jc w:val="both"/>
        <w:rPr>
          <w:rFonts w:ascii="Arial" w:hAnsi="Arial" w:cs="Arial"/>
          <w:sz w:val="24"/>
          <w:szCs w:val="24"/>
        </w:rPr>
      </w:pPr>
      <w:r>
        <w:rPr>
          <w:rFonts w:ascii="Arial" w:hAnsi="Arial" w:cs="Arial"/>
          <w:sz w:val="24"/>
          <w:szCs w:val="24"/>
        </w:rPr>
        <w:t>[2</w:t>
      </w:r>
      <w:r w:rsidR="00567EF2">
        <w:rPr>
          <w:rFonts w:ascii="Arial" w:hAnsi="Arial" w:cs="Arial"/>
          <w:sz w:val="24"/>
          <w:szCs w:val="24"/>
        </w:rPr>
        <w:t>0</w:t>
      </w:r>
      <w:r w:rsidR="00C42812" w:rsidRPr="009320FE">
        <w:rPr>
          <w:rFonts w:ascii="Arial" w:hAnsi="Arial" w:cs="Arial"/>
          <w:sz w:val="24"/>
          <w:szCs w:val="24"/>
        </w:rPr>
        <w:t>]</w:t>
      </w:r>
      <w:r w:rsidR="00C42812" w:rsidRPr="009320FE">
        <w:rPr>
          <w:rFonts w:ascii="Arial" w:hAnsi="Arial" w:cs="Arial"/>
          <w:sz w:val="24"/>
          <w:szCs w:val="24"/>
        </w:rPr>
        <w:tab/>
      </w:r>
      <w:r w:rsidR="0083667A" w:rsidRPr="009320FE">
        <w:rPr>
          <w:rFonts w:ascii="Arial" w:hAnsi="Arial" w:cs="Arial"/>
          <w:sz w:val="24"/>
          <w:szCs w:val="24"/>
        </w:rPr>
        <w:t xml:space="preserve">The </w:t>
      </w:r>
      <w:r w:rsidR="000D01EA" w:rsidRPr="009320FE">
        <w:rPr>
          <w:rFonts w:ascii="Arial" w:hAnsi="Arial" w:cs="Arial"/>
          <w:sz w:val="24"/>
          <w:szCs w:val="24"/>
        </w:rPr>
        <w:t xml:space="preserve">appellant </w:t>
      </w:r>
      <w:r w:rsidR="008B42D6" w:rsidRPr="009320FE">
        <w:rPr>
          <w:rFonts w:ascii="Arial" w:hAnsi="Arial" w:cs="Arial"/>
          <w:sz w:val="24"/>
          <w:szCs w:val="24"/>
        </w:rPr>
        <w:t xml:space="preserve">testified that on the day in </w:t>
      </w:r>
      <w:r w:rsidR="000A7B7B" w:rsidRPr="009320FE">
        <w:rPr>
          <w:rFonts w:ascii="Arial" w:hAnsi="Arial" w:cs="Arial"/>
          <w:sz w:val="24"/>
          <w:szCs w:val="24"/>
        </w:rPr>
        <w:t>question, he</w:t>
      </w:r>
      <w:r w:rsidR="008B42D6" w:rsidRPr="009320FE">
        <w:rPr>
          <w:rFonts w:ascii="Arial" w:hAnsi="Arial" w:cs="Arial"/>
          <w:sz w:val="24"/>
          <w:szCs w:val="24"/>
        </w:rPr>
        <w:t xml:space="preserve"> </w:t>
      </w:r>
      <w:r w:rsidR="000D01EA">
        <w:rPr>
          <w:rFonts w:ascii="Arial" w:hAnsi="Arial" w:cs="Arial"/>
          <w:sz w:val="24"/>
          <w:szCs w:val="24"/>
        </w:rPr>
        <w:t xml:space="preserve">had </w:t>
      </w:r>
      <w:r w:rsidR="008B42D6" w:rsidRPr="009320FE">
        <w:rPr>
          <w:rFonts w:ascii="Arial" w:hAnsi="Arial" w:cs="Arial"/>
          <w:sz w:val="24"/>
          <w:szCs w:val="24"/>
        </w:rPr>
        <w:t>indeed attend</w:t>
      </w:r>
      <w:r w:rsidR="000D01EA">
        <w:rPr>
          <w:rFonts w:ascii="Arial" w:hAnsi="Arial" w:cs="Arial"/>
          <w:sz w:val="24"/>
          <w:szCs w:val="24"/>
        </w:rPr>
        <w:t>ed</w:t>
      </w:r>
      <w:r w:rsidR="008B42D6" w:rsidRPr="009320FE">
        <w:rPr>
          <w:rFonts w:ascii="Arial" w:hAnsi="Arial" w:cs="Arial"/>
          <w:sz w:val="24"/>
          <w:szCs w:val="24"/>
        </w:rPr>
        <w:t xml:space="preserve"> the traditional</w:t>
      </w:r>
      <w:r w:rsidR="00BD1353" w:rsidRPr="009320FE">
        <w:rPr>
          <w:rFonts w:ascii="Arial" w:hAnsi="Arial" w:cs="Arial"/>
          <w:sz w:val="24"/>
          <w:szCs w:val="24"/>
        </w:rPr>
        <w:t xml:space="preserve"> ceremony</w:t>
      </w:r>
      <w:r w:rsidR="004E73D5">
        <w:rPr>
          <w:rFonts w:ascii="Arial" w:hAnsi="Arial" w:cs="Arial"/>
          <w:sz w:val="24"/>
          <w:szCs w:val="24"/>
        </w:rPr>
        <w:t>, and that</w:t>
      </w:r>
      <w:r w:rsidR="0083667A" w:rsidRPr="009320FE">
        <w:rPr>
          <w:rFonts w:ascii="Arial" w:hAnsi="Arial" w:cs="Arial"/>
          <w:sz w:val="24"/>
          <w:szCs w:val="24"/>
        </w:rPr>
        <w:t xml:space="preserve"> he </w:t>
      </w:r>
      <w:r w:rsidR="004E73D5">
        <w:rPr>
          <w:rFonts w:ascii="Arial" w:hAnsi="Arial" w:cs="Arial"/>
          <w:sz w:val="24"/>
          <w:szCs w:val="24"/>
        </w:rPr>
        <w:t xml:space="preserve">had </w:t>
      </w:r>
      <w:r w:rsidR="0083667A" w:rsidRPr="009320FE">
        <w:rPr>
          <w:rFonts w:ascii="Arial" w:hAnsi="Arial" w:cs="Arial"/>
          <w:sz w:val="24"/>
          <w:szCs w:val="24"/>
        </w:rPr>
        <w:t>served food</w:t>
      </w:r>
      <w:r w:rsidR="004E73D5">
        <w:rPr>
          <w:rFonts w:ascii="Arial" w:hAnsi="Arial" w:cs="Arial"/>
          <w:sz w:val="24"/>
          <w:szCs w:val="24"/>
        </w:rPr>
        <w:t>,</w:t>
      </w:r>
      <w:r w:rsidR="008B42D6" w:rsidRPr="009320FE">
        <w:rPr>
          <w:rFonts w:ascii="Arial" w:hAnsi="Arial" w:cs="Arial"/>
          <w:sz w:val="24"/>
          <w:szCs w:val="24"/>
        </w:rPr>
        <w:t xml:space="preserve"> thereby confirming the evidence of the uncle of the complainant</w:t>
      </w:r>
      <w:r w:rsidR="004E73D5">
        <w:rPr>
          <w:rFonts w:ascii="Arial" w:hAnsi="Arial" w:cs="Arial"/>
          <w:sz w:val="24"/>
          <w:szCs w:val="24"/>
        </w:rPr>
        <w:t>, Mr Dlamini</w:t>
      </w:r>
      <w:r w:rsidR="000D01EA">
        <w:rPr>
          <w:rFonts w:ascii="Arial" w:hAnsi="Arial" w:cs="Arial"/>
          <w:sz w:val="24"/>
          <w:szCs w:val="24"/>
        </w:rPr>
        <w:t>.</w:t>
      </w:r>
      <w:r w:rsidR="004E5A8B" w:rsidRPr="009320FE">
        <w:rPr>
          <w:rStyle w:val="FootnoteReference"/>
          <w:rFonts w:ascii="Arial" w:hAnsi="Arial" w:cs="Arial"/>
          <w:sz w:val="24"/>
          <w:szCs w:val="24"/>
        </w:rPr>
        <w:footnoteReference w:id="13"/>
      </w:r>
      <w:r w:rsidR="0083667A" w:rsidRPr="009320FE">
        <w:rPr>
          <w:rFonts w:ascii="Arial" w:hAnsi="Arial" w:cs="Arial"/>
          <w:sz w:val="24"/>
          <w:szCs w:val="24"/>
        </w:rPr>
        <w:t xml:space="preserve"> I</w:t>
      </w:r>
      <w:r w:rsidR="008B42D6" w:rsidRPr="009320FE">
        <w:rPr>
          <w:rFonts w:ascii="Arial" w:hAnsi="Arial" w:cs="Arial"/>
          <w:sz w:val="24"/>
          <w:szCs w:val="24"/>
        </w:rPr>
        <w:t>mportantly</w:t>
      </w:r>
      <w:r w:rsidR="000D01EA">
        <w:rPr>
          <w:rFonts w:ascii="Arial" w:hAnsi="Arial" w:cs="Arial"/>
          <w:sz w:val="24"/>
          <w:szCs w:val="24"/>
        </w:rPr>
        <w:t>,</w:t>
      </w:r>
      <w:r w:rsidR="008B42D6" w:rsidRPr="009320FE">
        <w:rPr>
          <w:rFonts w:ascii="Arial" w:hAnsi="Arial" w:cs="Arial"/>
          <w:sz w:val="24"/>
          <w:szCs w:val="24"/>
        </w:rPr>
        <w:t xml:space="preserve"> he also conceded that at the time of the incident</w:t>
      </w:r>
      <w:r w:rsidR="0083667A" w:rsidRPr="009320FE">
        <w:rPr>
          <w:rFonts w:ascii="Arial" w:hAnsi="Arial" w:cs="Arial"/>
          <w:sz w:val="24"/>
          <w:szCs w:val="24"/>
        </w:rPr>
        <w:t>,</w:t>
      </w:r>
      <w:r w:rsidR="008B42D6" w:rsidRPr="009320FE">
        <w:rPr>
          <w:rFonts w:ascii="Arial" w:hAnsi="Arial" w:cs="Arial"/>
          <w:sz w:val="24"/>
          <w:szCs w:val="24"/>
        </w:rPr>
        <w:t xml:space="preserve"> he</w:t>
      </w:r>
      <w:r w:rsidR="0083667A" w:rsidRPr="009320FE">
        <w:rPr>
          <w:rFonts w:ascii="Arial" w:hAnsi="Arial" w:cs="Arial"/>
          <w:sz w:val="24"/>
          <w:szCs w:val="24"/>
        </w:rPr>
        <w:t xml:space="preserve"> </w:t>
      </w:r>
      <w:r w:rsidR="004E73D5">
        <w:rPr>
          <w:rFonts w:ascii="Arial" w:hAnsi="Arial" w:cs="Arial"/>
          <w:sz w:val="24"/>
          <w:szCs w:val="24"/>
        </w:rPr>
        <w:t>had</w:t>
      </w:r>
      <w:r w:rsidR="0083667A" w:rsidRPr="009320FE">
        <w:rPr>
          <w:rFonts w:ascii="Arial" w:hAnsi="Arial" w:cs="Arial"/>
          <w:sz w:val="24"/>
          <w:szCs w:val="24"/>
        </w:rPr>
        <w:t xml:space="preserve"> dreadlocks </w:t>
      </w:r>
      <w:r w:rsidR="00BD1353" w:rsidRPr="009320FE">
        <w:rPr>
          <w:rFonts w:ascii="Arial" w:hAnsi="Arial" w:cs="Arial"/>
          <w:sz w:val="24"/>
          <w:szCs w:val="24"/>
        </w:rPr>
        <w:t xml:space="preserve">which </w:t>
      </w:r>
      <w:r w:rsidR="000D01EA">
        <w:rPr>
          <w:rFonts w:ascii="Arial" w:hAnsi="Arial" w:cs="Arial"/>
          <w:sz w:val="24"/>
          <w:szCs w:val="24"/>
        </w:rPr>
        <w:t>have</w:t>
      </w:r>
      <w:r w:rsidR="000D01EA" w:rsidRPr="009320FE">
        <w:rPr>
          <w:rFonts w:ascii="Arial" w:hAnsi="Arial" w:cs="Arial"/>
          <w:sz w:val="24"/>
          <w:szCs w:val="24"/>
        </w:rPr>
        <w:t xml:space="preserve"> </w:t>
      </w:r>
      <w:r w:rsidR="0083667A" w:rsidRPr="009320FE">
        <w:rPr>
          <w:rFonts w:ascii="Arial" w:hAnsi="Arial" w:cs="Arial"/>
          <w:sz w:val="24"/>
          <w:szCs w:val="24"/>
        </w:rPr>
        <w:t>since</w:t>
      </w:r>
      <w:r w:rsidR="00BD1353" w:rsidRPr="009320FE">
        <w:rPr>
          <w:rFonts w:ascii="Arial" w:hAnsi="Arial" w:cs="Arial"/>
          <w:sz w:val="24"/>
          <w:szCs w:val="24"/>
        </w:rPr>
        <w:t xml:space="preserve"> been cut</w:t>
      </w:r>
      <w:r w:rsidR="004E73D5">
        <w:rPr>
          <w:rFonts w:ascii="Arial" w:hAnsi="Arial" w:cs="Arial"/>
          <w:sz w:val="24"/>
          <w:szCs w:val="24"/>
        </w:rPr>
        <w:t xml:space="preserve"> off</w:t>
      </w:r>
      <w:r w:rsidR="000D01EA">
        <w:rPr>
          <w:rFonts w:ascii="Arial" w:hAnsi="Arial" w:cs="Arial"/>
          <w:sz w:val="24"/>
          <w:szCs w:val="24"/>
        </w:rPr>
        <w:t>.</w:t>
      </w:r>
      <w:r w:rsidR="0083667A" w:rsidRPr="009320FE">
        <w:rPr>
          <w:rFonts w:ascii="Arial" w:hAnsi="Arial" w:cs="Arial"/>
          <w:sz w:val="24"/>
          <w:szCs w:val="24"/>
        </w:rPr>
        <w:t xml:space="preserve"> </w:t>
      </w:r>
      <w:r w:rsidR="000D01EA">
        <w:rPr>
          <w:rFonts w:ascii="Arial" w:hAnsi="Arial" w:cs="Arial"/>
          <w:sz w:val="24"/>
          <w:szCs w:val="24"/>
        </w:rPr>
        <w:t>H</w:t>
      </w:r>
      <w:r w:rsidR="0083667A" w:rsidRPr="009320FE">
        <w:rPr>
          <w:rFonts w:ascii="Arial" w:hAnsi="Arial" w:cs="Arial"/>
          <w:sz w:val="24"/>
          <w:szCs w:val="24"/>
        </w:rPr>
        <w:t>e further confirmed</w:t>
      </w:r>
      <w:r w:rsidR="008B42D6" w:rsidRPr="009320FE">
        <w:rPr>
          <w:rFonts w:ascii="Arial" w:hAnsi="Arial" w:cs="Arial"/>
          <w:sz w:val="24"/>
          <w:szCs w:val="24"/>
        </w:rPr>
        <w:t xml:space="preserve"> </w:t>
      </w:r>
      <w:r w:rsidR="000A7B7B" w:rsidRPr="009320FE">
        <w:rPr>
          <w:rFonts w:ascii="Arial" w:hAnsi="Arial" w:cs="Arial"/>
          <w:sz w:val="24"/>
          <w:szCs w:val="24"/>
        </w:rPr>
        <w:t>that</w:t>
      </w:r>
      <w:r w:rsidR="004E5A8B" w:rsidRPr="009320FE">
        <w:rPr>
          <w:rFonts w:ascii="Arial" w:hAnsi="Arial" w:cs="Arial"/>
          <w:sz w:val="24"/>
          <w:szCs w:val="24"/>
        </w:rPr>
        <w:t xml:space="preserve"> a DNA </w:t>
      </w:r>
      <w:r w:rsidR="0083667A" w:rsidRPr="009320FE">
        <w:rPr>
          <w:rFonts w:ascii="Arial" w:hAnsi="Arial" w:cs="Arial"/>
          <w:sz w:val="24"/>
          <w:szCs w:val="24"/>
        </w:rPr>
        <w:t>sample</w:t>
      </w:r>
      <w:r w:rsidR="009A18EA" w:rsidRPr="009320FE">
        <w:rPr>
          <w:rFonts w:ascii="Arial" w:hAnsi="Arial" w:cs="Arial"/>
          <w:sz w:val="24"/>
          <w:szCs w:val="24"/>
        </w:rPr>
        <w:t xml:space="preserve"> </w:t>
      </w:r>
      <w:r w:rsidR="004E73D5">
        <w:rPr>
          <w:rFonts w:ascii="Arial" w:hAnsi="Arial" w:cs="Arial"/>
          <w:sz w:val="24"/>
          <w:szCs w:val="24"/>
        </w:rPr>
        <w:t>had been</w:t>
      </w:r>
      <w:r w:rsidR="004E73D5" w:rsidRPr="009320FE">
        <w:rPr>
          <w:rFonts w:ascii="Arial" w:hAnsi="Arial" w:cs="Arial"/>
          <w:sz w:val="24"/>
          <w:szCs w:val="24"/>
        </w:rPr>
        <w:t xml:space="preserve"> </w:t>
      </w:r>
      <w:r w:rsidR="009A18EA" w:rsidRPr="009320FE">
        <w:rPr>
          <w:rFonts w:ascii="Arial" w:hAnsi="Arial" w:cs="Arial"/>
          <w:sz w:val="24"/>
          <w:szCs w:val="24"/>
        </w:rPr>
        <w:t>taken from him.</w:t>
      </w:r>
      <w:r w:rsidR="004E73D5" w:rsidRPr="009320FE">
        <w:rPr>
          <w:rStyle w:val="FootnoteReference"/>
          <w:rFonts w:ascii="Arial" w:hAnsi="Arial" w:cs="Arial"/>
          <w:sz w:val="24"/>
          <w:szCs w:val="24"/>
        </w:rPr>
        <w:footnoteReference w:id="14"/>
      </w:r>
      <w:r w:rsidR="009A18EA" w:rsidRPr="009320FE">
        <w:rPr>
          <w:rFonts w:ascii="Arial" w:hAnsi="Arial" w:cs="Arial"/>
          <w:sz w:val="24"/>
          <w:szCs w:val="24"/>
        </w:rPr>
        <w:t xml:space="preserve"> He however </w:t>
      </w:r>
      <w:r w:rsidR="004E73D5">
        <w:rPr>
          <w:rFonts w:ascii="Arial" w:hAnsi="Arial" w:cs="Arial"/>
          <w:sz w:val="24"/>
          <w:szCs w:val="24"/>
        </w:rPr>
        <w:t>denied</w:t>
      </w:r>
      <w:r w:rsidR="004E73D5" w:rsidRPr="009320FE">
        <w:rPr>
          <w:rFonts w:ascii="Arial" w:hAnsi="Arial" w:cs="Arial"/>
          <w:sz w:val="24"/>
          <w:szCs w:val="24"/>
        </w:rPr>
        <w:t xml:space="preserve"> </w:t>
      </w:r>
      <w:r w:rsidR="009A18EA" w:rsidRPr="009320FE">
        <w:rPr>
          <w:rFonts w:ascii="Arial" w:hAnsi="Arial" w:cs="Arial"/>
          <w:sz w:val="24"/>
          <w:szCs w:val="24"/>
        </w:rPr>
        <w:t>owning any</w:t>
      </w:r>
      <w:r w:rsidR="008B42D6" w:rsidRPr="009320FE">
        <w:rPr>
          <w:rFonts w:ascii="Arial" w:hAnsi="Arial" w:cs="Arial"/>
          <w:sz w:val="24"/>
          <w:szCs w:val="24"/>
        </w:rPr>
        <w:t xml:space="preserve"> white boots</w:t>
      </w:r>
      <w:r w:rsidR="004E73D5">
        <w:rPr>
          <w:rFonts w:ascii="Arial" w:hAnsi="Arial" w:cs="Arial"/>
          <w:sz w:val="24"/>
          <w:szCs w:val="24"/>
        </w:rPr>
        <w:t>,</w:t>
      </w:r>
      <w:r w:rsidR="008B42D6" w:rsidRPr="009320FE">
        <w:rPr>
          <w:rFonts w:ascii="Arial" w:hAnsi="Arial" w:cs="Arial"/>
          <w:sz w:val="24"/>
          <w:szCs w:val="24"/>
        </w:rPr>
        <w:t xml:space="preserve"> and </w:t>
      </w:r>
      <w:r w:rsidR="006C2B8E">
        <w:rPr>
          <w:rFonts w:ascii="Arial" w:hAnsi="Arial" w:cs="Arial"/>
          <w:sz w:val="24"/>
          <w:szCs w:val="24"/>
        </w:rPr>
        <w:t>when</w:t>
      </w:r>
      <w:r w:rsidR="004E73D5" w:rsidRPr="009320FE">
        <w:rPr>
          <w:rFonts w:ascii="Arial" w:hAnsi="Arial" w:cs="Arial"/>
          <w:sz w:val="24"/>
          <w:szCs w:val="24"/>
        </w:rPr>
        <w:t xml:space="preserve"> </w:t>
      </w:r>
      <w:r w:rsidR="0083667A" w:rsidRPr="009320FE">
        <w:rPr>
          <w:rFonts w:ascii="Arial" w:hAnsi="Arial" w:cs="Arial"/>
          <w:sz w:val="24"/>
          <w:szCs w:val="24"/>
        </w:rPr>
        <w:t>being led by his counsel</w:t>
      </w:r>
      <w:r w:rsidR="00BD1353" w:rsidRPr="009320FE">
        <w:rPr>
          <w:rFonts w:ascii="Arial" w:hAnsi="Arial" w:cs="Arial"/>
          <w:sz w:val="24"/>
          <w:szCs w:val="24"/>
        </w:rPr>
        <w:t>,</w:t>
      </w:r>
      <w:r w:rsidR="0083667A" w:rsidRPr="009320FE">
        <w:rPr>
          <w:rFonts w:ascii="Arial" w:hAnsi="Arial" w:cs="Arial"/>
          <w:sz w:val="24"/>
          <w:szCs w:val="24"/>
        </w:rPr>
        <w:t xml:space="preserve"> he</w:t>
      </w:r>
      <w:r w:rsidR="008B42D6" w:rsidRPr="009320FE">
        <w:rPr>
          <w:rFonts w:ascii="Arial" w:hAnsi="Arial" w:cs="Arial"/>
          <w:sz w:val="24"/>
          <w:szCs w:val="24"/>
        </w:rPr>
        <w:t xml:space="preserve"> could not remember if any </w:t>
      </w:r>
      <w:r w:rsidR="000A7B7B" w:rsidRPr="009320FE">
        <w:rPr>
          <w:rFonts w:ascii="Arial" w:hAnsi="Arial" w:cs="Arial"/>
          <w:sz w:val="24"/>
          <w:szCs w:val="24"/>
        </w:rPr>
        <w:t>white boots were recove</w:t>
      </w:r>
      <w:r w:rsidR="0083667A" w:rsidRPr="009320FE">
        <w:rPr>
          <w:rFonts w:ascii="Arial" w:hAnsi="Arial" w:cs="Arial"/>
          <w:sz w:val="24"/>
          <w:szCs w:val="24"/>
        </w:rPr>
        <w:t>red from his home by the police.</w:t>
      </w:r>
      <w:r w:rsidR="009A18EA" w:rsidRPr="009320FE">
        <w:rPr>
          <w:rStyle w:val="FootnoteReference"/>
          <w:rFonts w:ascii="Arial" w:hAnsi="Arial" w:cs="Arial"/>
          <w:sz w:val="24"/>
          <w:szCs w:val="24"/>
        </w:rPr>
        <w:footnoteReference w:id="15"/>
      </w:r>
      <w:r w:rsidR="0083667A" w:rsidRPr="009320FE">
        <w:rPr>
          <w:rFonts w:ascii="Arial" w:hAnsi="Arial" w:cs="Arial"/>
          <w:sz w:val="24"/>
          <w:szCs w:val="24"/>
        </w:rPr>
        <w:t xml:space="preserve"> H</w:t>
      </w:r>
      <w:r w:rsidR="000A7B7B" w:rsidRPr="009320FE">
        <w:rPr>
          <w:rFonts w:ascii="Arial" w:hAnsi="Arial" w:cs="Arial"/>
          <w:sz w:val="24"/>
          <w:szCs w:val="24"/>
        </w:rPr>
        <w:t>e could not explain how his DNA got on</w:t>
      </w:r>
      <w:r w:rsidR="007A08F4">
        <w:rPr>
          <w:rFonts w:ascii="Arial" w:hAnsi="Arial" w:cs="Arial"/>
          <w:sz w:val="24"/>
          <w:szCs w:val="24"/>
        </w:rPr>
        <w:t>to</w:t>
      </w:r>
      <w:r w:rsidR="000A7B7B" w:rsidRPr="009320FE">
        <w:rPr>
          <w:rFonts w:ascii="Arial" w:hAnsi="Arial" w:cs="Arial"/>
          <w:sz w:val="24"/>
          <w:szCs w:val="24"/>
        </w:rPr>
        <w:t xml:space="preserve"> the complainant but denied </w:t>
      </w:r>
      <w:r w:rsidR="0083667A" w:rsidRPr="009320FE">
        <w:rPr>
          <w:rFonts w:ascii="Arial" w:hAnsi="Arial" w:cs="Arial"/>
          <w:sz w:val="24"/>
          <w:szCs w:val="24"/>
        </w:rPr>
        <w:t xml:space="preserve">knowing the </w:t>
      </w:r>
      <w:r w:rsidR="00BD1353" w:rsidRPr="009320FE">
        <w:rPr>
          <w:rFonts w:ascii="Arial" w:hAnsi="Arial" w:cs="Arial"/>
          <w:sz w:val="24"/>
          <w:szCs w:val="24"/>
        </w:rPr>
        <w:t>complainant. When confronted</w:t>
      </w:r>
      <w:r w:rsidR="0083667A" w:rsidRPr="009320FE">
        <w:rPr>
          <w:rFonts w:ascii="Arial" w:hAnsi="Arial" w:cs="Arial"/>
          <w:sz w:val="24"/>
          <w:szCs w:val="24"/>
        </w:rPr>
        <w:t xml:space="preserve"> </w:t>
      </w:r>
      <w:r w:rsidR="000A7B7B" w:rsidRPr="009320FE">
        <w:rPr>
          <w:rFonts w:ascii="Arial" w:hAnsi="Arial" w:cs="Arial"/>
          <w:sz w:val="24"/>
          <w:szCs w:val="24"/>
        </w:rPr>
        <w:t>with the DNA</w:t>
      </w:r>
      <w:r w:rsidR="000D01EA">
        <w:rPr>
          <w:rFonts w:ascii="Arial" w:hAnsi="Arial" w:cs="Arial"/>
          <w:sz w:val="24"/>
          <w:szCs w:val="24"/>
        </w:rPr>
        <w:t xml:space="preserve"> </w:t>
      </w:r>
      <w:r w:rsidR="0083667A" w:rsidRPr="009320FE">
        <w:rPr>
          <w:rFonts w:ascii="Arial" w:hAnsi="Arial" w:cs="Arial"/>
          <w:sz w:val="24"/>
          <w:szCs w:val="24"/>
        </w:rPr>
        <w:t>evidence</w:t>
      </w:r>
      <w:r w:rsidR="00BD1353" w:rsidRPr="009320FE">
        <w:rPr>
          <w:rFonts w:ascii="Arial" w:hAnsi="Arial" w:cs="Arial"/>
          <w:sz w:val="24"/>
          <w:szCs w:val="24"/>
        </w:rPr>
        <w:t>,</w:t>
      </w:r>
      <w:r w:rsidR="000A7B7B" w:rsidRPr="009320FE">
        <w:rPr>
          <w:rFonts w:ascii="Arial" w:hAnsi="Arial" w:cs="Arial"/>
          <w:sz w:val="24"/>
          <w:szCs w:val="24"/>
        </w:rPr>
        <w:t xml:space="preserve"> his response was </w:t>
      </w:r>
      <w:r w:rsidR="000D01EA">
        <w:rPr>
          <w:rFonts w:ascii="Arial" w:hAnsi="Arial" w:cs="Arial"/>
          <w:sz w:val="24"/>
          <w:szCs w:val="24"/>
        </w:rPr>
        <w:t>‘</w:t>
      </w:r>
      <w:r w:rsidR="00BD1353" w:rsidRPr="009320FE">
        <w:rPr>
          <w:rFonts w:ascii="Arial" w:hAnsi="Arial" w:cs="Arial"/>
          <w:sz w:val="24"/>
          <w:szCs w:val="24"/>
        </w:rPr>
        <w:t>N</w:t>
      </w:r>
      <w:r w:rsidR="000A7B7B" w:rsidRPr="009320FE">
        <w:rPr>
          <w:rFonts w:ascii="Arial" w:hAnsi="Arial" w:cs="Arial"/>
          <w:sz w:val="24"/>
          <w:szCs w:val="24"/>
        </w:rPr>
        <w:t>o</w:t>
      </w:r>
      <w:r w:rsidR="0083667A" w:rsidRPr="009320FE">
        <w:rPr>
          <w:rFonts w:ascii="Arial" w:hAnsi="Arial" w:cs="Arial"/>
          <w:sz w:val="24"/>
          <w:szCs w:val="24"/>
        </w:rPr>
        <w:t xml:space="preserve"> comment your W</w:t>
      </w:r>
      <w:r w:rsidR="000A7B7B" w:rsidRPr="009320FE">
        <w:rPr>
          <w:rFonts w:ascii="Arial" w:hAnsi="Arial" w:cs="Arial"/>
          <w:sz w:val="24"/>
          <w:szCs w:val="24"/>
        </w:rPr>
        <w:t>orship</w:t>
      </w:r>
      <w:r w:rsidR="000D01EA">
        <w:rPr>
          <w:rFonts w:ascii="Arial" w:hAnsi="Arial" w:cs="Arial"/>
          <w:sz w:val="24"/>
          <w:szCs w:val="24"/>
        </w:rPr>
        <w:t>’</w:t>
      </w:r>
      <w:r w:rsidR="000A7B7B" w:rsidRPr="009320FE">
        <w:rPr>
          <w:rFonts w:ascii="Arial" w:hAnsi="Arial" w:cs="Arial"/>
          <w:sz w:val="24"/>
          <w:szCs w:val="24"/>
        </w:rPr>
        <w:t>.</w:t>
      </w:r>
      <w:r w:rsidR="009A18EA" w:rsidRPr="009320FE">
        <w:rPr>
          <w:rStyle w:val="FootnoteReference"/>
          <w:rFonts w:ascii="Arial" w:hAnsi="Arial" w:cs="Arial"/>
          <w:sz w:val="24"/>
          <w:szCs w:val="24"/>
        </w:rPr>
        <w:footnoteReference w:id="16"/>
      </w:r>
    </w:p>
    <w:p w:rsidR="000A7B7B" w:rsidRPr="009320FE" w:rsidRDefault="000A7B7B" w:rsidP="009320FE">
      <w:pPr>
        <w:spacing w:after="0" w:line="360" w:lineRule="auto"/>
        <w:contextualSpacing/>
        <w:jc w:val="both"/>
        <w:rPr>
          <w:rFonts w:ascii="Arial" w:hAnsi="Arial" w:cs="Arial"/>
          <w:sz w:val="24"/>
          <w:szCs w:val="24"/>
        </w:rPr>
      </w:pPr>
    </w:p>
    <w:p w:rsidR="001335D1" w:rsidRPr="009320FE" w:rsidRDefault="00C9752B" w:rsidP="009320FE">
      <w:pPr>
        <w:spacing w:after="0" w:line="360" w:lineRule="auto"/>
        <w:contextualSpacing/>
        <w:jc w:val="both"/>
        <w:rPr>
          <w:rFonts w:ascii="Arial" w:hAnsi="Arial" w:cs="Arial"/>
          <w:sz w:val="24"/>
          <w:szCs w:val="24"/>
        </w:rPr>
      </w:pPr>
      <w:r>
        <w:rPr>
          <w:rFonts w:ascii="Arial" w:hAnsi="Arial" w:cs="Arial"/>
          <w:sz w:val="24"/>
          <w:szCs w:val="24"/>
        </w:rPr>
        <w:t>[2</w:t>
      </w:r>
      <w:r w:rsidR="00567EF2">
        <w:rPr>
          <w:rFonts w:ascii="Arial" w:hAnsi="Arial" w:cs="Arial"/>
          <w:sz w:val="24"/>
          <w:szCs w:val="24"/>
        </w:rPr>
        <w:t>1</w:t>
      </w:r>
      <w:r w:rsidR="000A7B7B" w:rsidRPr="009320FE">
        <w:rPr>
          <w:rFonts w:ascii="Arial" w:hAnsi="Arial" w:cs="Arial"/>
          <w:sz w:val="24"/>
          <w:szCs w:val="24"/>
        </w:rPr>
        <w:t>]</w:t>
      </w:r>
      <w:r w:rsidR="00C42812" w:rsidRPr="009320FE">
        <w:rPr>
          <w:rFonts w:ascii="Arial" w:hAnsi="Arial" w:cs="Arial"/>
          <w:sz w:val="24"/>
          <w:szCs w:val="24"/>
        </w:rPr>
        <w:tab/>
      </w:r>
      <w:r w:rsidR="000A7B7B" w:rsidRPr="009320FE">
        <w:rPr>
          <w:rFonts w:ascii="Arial" w:hAnsi="Arial" w:cs="Arial"/>
          <w:sz w:val="24"/>
          <w:szCs w:val="24"/>
        </w:rPr>
        <w:t xml:space="preserve"> The </w:t>
      </w:r>
      <w:r w:rsidR="00A26C4B" w:rsidRPr="009320FE">
        <w:rPr>
          <w:rFonts w:ascii="Arial" w:hAnsi="Arial" w:cs="Arial"/>
          <w:sz w:val="24"/>
          <w:szCs w:val="24"/>
        </w:rPr>
        <w:t xml:space="preserve">complainant’s </w:t>
      </w:r>
      <w:r w:rsidR="000A7B7B" w:rsidRPr="009320FE">
        <w:rPr>
          <w:rFonts w:ascii="Arial" w:hAnsi="Arial" w:cs="Arial"/>
          <w:sz w:val="24"/>
          <w:szCs w:val="24"/>
        </w:rPr>
        <w:t>description of the clothing</w:t>
      </w:r>
      <w:r w:rsidR="00A26C4B" w:rsidRPr="009320FE">
        <w:rPr>
          <w:rFonts w:ascii="Arial" w:hAnsi="Arial" w:cs="Arial"/>
          <w:sz w:val="24"/>
          <w:szCs w:val="24"/>
        </w:rPr>
        <w:t xml:space="preserve"> worn by the perpetrator</w:t>
      </w:r>
      <w:r w:rsidR="000A7B7B" w:rsidRPr="009320FE">
        <w:rPr>
          <w:rFonts w:ascii="Arial" w:hAnsi="Arial" w:cs="Arial"/>
          <w:sz w:val="24"/>
          <w:szCs w:val="24"/>
        </w:rPr>
        <w:t xml:space="preserve"> on the day in question was not disputed when</w:t>
      </w:r>
      <w:r w:rsidR="009717E8">
        <w:rPr>
          <w:rFonts w:ascii="Arial" w:hAnsi="Arial" w:cs="Arial"/>
          <w:sz w:val="24"/>
          <w:szCs w:val="24"/>
        </w:rPr>
        <w:t xml:space="preserve"> she was cross-examined</w:t>
      </w:r>
      <w:r w:rsidR="00A26C4B" w:rsidRPr="009320FE">
        <w:rPr>
          <w:rFonts w:ascii="Arial" w:hAnsi="Arial" w:cs="Arial"/>
          <w:sz w:val="24"/>
          <w:szCs w:val="24"/>
        </w:rPr>
        <w:t xml:space="preserve">. The </w:t>
      </w:r>
      <w:r w:rsidR="007F2CE5" w:rsidRPr="009320FE">
        <w:rPr>
          <w:rFonts w:ascii="Arial" w:hAnsi="Arial" w:cs="Arial"/>
          <w:sz w:val="24"/>
          <w:szCs w:val="24"/>
        </w:rPr>
        <w:t xml:space="preserve">appellant </w:t>
      </w:r>
      <w:r w:rsidR="00BD1353" w:rsidRPr="009320FE">
        <w:rPr>
          <w:rFonts w:ascii="Arial" w:hAnsi="Arial" w:cs="Arial"/>
          <w:sz w:val="24"/>
          <w:szCs w:val="24"/>
        </w:rPr>
        <w:t>alluded</w:t>
      </w:r>
      <w:r w:rsidR="000A7B7B" w:rsidRPr="009320FE">
        <w:rPr>
          <w:rFonts w:ascii="Arial" w:hAnsi="Arial" w:cs="Arial"/>
          <w:sz w:val="24"/>
          <w:szCs w:val="24"/>
        </w:rPr>
        <w:t xml:space="preserve"> to having a problem with his ear when he encountered difficulty in answering straightforward </w:t>
      </w:r>
      <w:r w:rsidR="00BD1353" w:rsidRPr="009320FE">
        <w:rPr>
          <w:rFonts w:ascii="Arial" w:hAnsi="Arial" w:cs="Arial"/>
          <w:sz w:val="24"/>
          <w:szCs w:val="24"/>
        </w:rPr>
        <w:t>questions. During cross</w:t>
      </w:r>
      <w:r w:rsidR="007F2CE5">
        <w:rPr>
          <w:rFonts w:ascii="Arial" w:hAnsi="Arial" w:cs="Arial"/>
          <w:sz w:val="24"/>
          <w:szCs w:val="24"/>
        </w:rPr>
        <w:t>-</w:t>
      </w:r>
      <w:r w:rsidR="00BD1353" w:rsidRPr="009320FE">
        <w:rPr>
          <w:rFonts w:ascii="Arial" w:hAnsi="Arial" w:cs="Arial"/>
          <w:sz w:val="24"/>
          <w:szCs w:val="24"/>
        </w:rPr>
        <w:t>examination</w:t>
      </w:r>
      <w:r w:rsidR="007F2CE5">
        <w:rPr>
          <w:rFonts w:ascii="Arial" w:hAnsi="Arial" w:cs="Arial"/>
          <w:sz w:val="24"/>
          <w:szCs w:val="24"/>
        </w:rPr>
        <w:t>,</w:t>
      </w:r>
      <w:r w:rsidR="00BD1353" w:rsidRPr="009320FE">
        <w:rPr>
          <w:rFonts w:ascii="Arial" w:hAnsi="Arial" w:cs="Arial"/>
          <w:sz w:val="24"/>
          <w:szCs w:val="24"/>
        </w:rPr>
        <w:t xml:space="preserve"> </w:t>
      </w:r>
      <w:r w:rsidR="007F2CE5">
        <w:rPr>
          <w:rFonts w:ascii="Arial" w:hAnsi="Arial" w:cs="Arial"/>
          <w:sz w:val="24"/>
          <w:szCs w:val="24"/>
        </w:rPr>
        <w:t>after he had i</w:t>
      </w:r>
      <w:r w:rsidR="00A26C4B" w:rsidRPr="009320FE">
        <w:rPr>
          <w:rFonts w:ascii="Arial" w:hAnsi="Arial" w:cs="Arial"/>
          <w:sz w:val="24"/>
          <w:szCs w:val="24"/>
        </w:rPr>
        <w:t>nitially</w:t>
      </w:r>
      <w:r w:rsidR="000A7B7B" w:rsidRPr="009320FE">
        <w:rPr>
          <w:rFonts w:ascii="Arial" w:hAnsi="Arial" w:cs="Arial"/>
          <w:sz w:val="24"/>
          <w:szCs w:val="24"/>
        </w:rPr>
        <w:t xml:space="preserve"> testified that he did not discuss the DNA results with </w:t>
      </w:r>
      <w:r w:rsidR="00A26C4B" w:rsidRPr="009320FE">
        <w:rPr>
          <w:rFonts w:ascii="Arial" w:hAnsi="Arial" w:cs="Arial"/>
          <w:sz w:val="24"/>
          <w:szCs w:val="24"/>
        </w:rPr>
        <w:t>his</w:t>
      </w:r>
      <w:r w:rsidR="000A7B7B" w:rsidRPr="009320FE">
        <w:rPr>
          <w:rFonts w:ascii="Arial" w:hAnsi="Arial" w:cs="Arial"/>
          <w:sz w:val="24"/>
          <w:szCs w:val="24"/>
        </w:rPr>
        <w:t xml:space="preserve"> </w:t>
      </w:r>
      <w:r w:rsidR="001335D1" w:rsidRPr="009320FE">
        <w:rPr>
          <w:rFonts w:ascii="Arial" w:hAnsi="Arial" w:cs="Arial"/>
          <w:sz w:val="24"/>
          <w:szCs w:val="24"/>
        </w:rPr>
        <w:t>legal representative</w:t>
      </w:r>
      <w:r w:rsidR="007F2CE5">
        <w:rPr>
          <w:rFonts w:ascii="Arial" w:hAnsi="Arial" w:cs="Arial"/>
          <w:sz w:val="24"/>
          <w:szCs w:val="24"/>
        </w:rPr>
        <w:t>,</w:t>
      </w:r>
      <w:r w:rsidR="000A7B7B" w:rsidRPr="009320FE">
        <w:rPr>
          <w:rFonts w:ascii="Arial" w:hAnsi="Arial" w:cs="Arial"/>
          <w:sz w:val="24"/>
          <w:szCs w:val="24"/>
        </w:rPr>
        <w:t xml:space="preserve"> later </w:t>
      </w:r>
      <w:r w:rsidR="00BD1353" w:rsidRPr="009320FE">
        <w:rPr>
          <w:rFonts w:ascii="Arial" w:hAnsi="Arial" w:cs="Arial"/>
          <w:sz w:val="24"/>
          <w:szCs w:val="24"/>
        </w:rPr>
        <w:t>re</w:t>
      </w:r>
      <w:r w:rsidR="00D87358" w:rsidRPr="009320FE">
        <w:rPr>
          <w:rFonts w:ascii="Arial" w:hAnsi="Arial" w:cs="Arial"/>
          <w:sz w:val="24"/>
          <w:szCs w:val="24"/>
        </w:rPr>
        <w:t>canted</w:t>
      </w:r>
      <w:r w:rsidR="00A26C4B" w:rsidRPr="009320FE">
        <w:rPr>
          <w:rFonts w:ascii="Arial" w:hAnsi="Arial" w:cs="Arial"/>
          <w:sz w:val="24"/>
          <w:szCs w:val="24"/>
        </w:rPr>
        <w:t xml:space="preserve"> </w:t>
      </w:r>
      <w:r w:rsidR="001335D1" w:rsidRPr="009320FE">
        <w:rPr>
          <w:rFonts w:ascii="Arial" w:hAnsi="Arial" w:cs="Arial"/>
          <w:sz w:val="24"/>
          <w:szCs w:val="24"/>
        </w:rPr>
        <w:t>by saying:</w:t>
      </w:r>
      <w:r w:rsidR="007A08F4">
        <w:rPr>
          <w:rFonts w:ascii="Arial" w:hAnsi="Arial" w:cs="Arial"/>
          <w:sz w:val="24"/>
          <w:szCs w:val="24"/>
        </w:rPr>
        <w:t xml:space="preserve"> ‘</w:t>
      </w:r>
      <w:r w:rsidR="001335D1" w:rsidRPr="008E7784">
        <w:rPr>
          <w:rFonts w:ascii="Arial" w:hAnsi="Arial" w:cs="Arial"/>
          <w:sz w:val="24"/>
          <w:szCs w:val="24"/>
        </w:rPr>
        <w:t xml:space="preserve">No its lies your </w:t>
      </w:r>
      <w:r w:rsidR="007A08F4" w:rsidRPr="007D5A79">
        <w:rPr>
          <w:rFonts w:ascii="Arial" w:hAnsi="Arial" w:cs="Arial"/>
          <w:sz w:val="24"/>
          <w:szCs w:val="24"/>
        </w:rPr>
        <w:t>Worship</w:t>
      </w:r>
      <w:r w:rsidR="001335D1" w:rsidRPr="008E7784">
        <w:rPr>
          <w:rFonts w:ascii="Arial" w:hAnsi="Arial" w:cs="Arial"/>
          <w:sz w:val="24"/>
          <w:szCs w:val="24"/>
        </w:rPr>
        <w:t>, that I did not discuss with him</w:t>
      </w:r>
      <w:r w:rsidR="00E22755" w:rsidRPr="008E7784">
        <w:rPr>
          <w:rFonts w:ascii="Arial" w:hAnsi="Arial" w:cs="Arial"/>
          <w:sz w:val="24"/>
          <w:szCs w:val="24"/>
        </w:rPr>
        <w:t>’</w:t>
      </w:r>
      <w:r w:rsidR="004E73D5">
        <w:rPr>
          <w:rFonts w:ascii="Arial" w:hAnsi="Arial" w:cs="Arial"/>
          <w:sz w:val="24"/>
          <w:szCs w:val="24"/>
        </w:rPr>
        <w:t>.</w:t>
      </w:r>
      <w:r w:rsidR="009A18EA" w:rsidRPr="008E7784">
        <w:rPr>
          <w:rStyle w:val="FootnoteReference"/>
          <w:rFonts w:ascii="Arial" w:hAnsi="Arial" w:cs="Arial"/>
          <w:sz w:val="24"/>
          <w:szCs w:val="24"/>
        </w:rPr>
        <w:footnoteReference w:id="17"/>
      </w:r>
    </w:p>
    <w:p w:rsidR="001335D1" w:rsidRPr="009320FE" w:rsidRDefault="001335D1" w:rsidP="009320FE">
      <w:pPr>
        <w:spacing w:after="0" w:line="360" w:lineRule="auto"/>
        <w:contextualSpacing/>
        <w:jc w:val="both"/>
        <w:rPr>
          <w:rFonts w:ascii="Arial" w:hAnsi="Arial" w:cs="Arial"/>
          <w:sz w:val="24"/>
          <w:szCs w:val="24"/>
        </w:rPr>
      </w:pPr>
    </w:p>
    <w:p w:rsidR="001335D1" w:rsidRPr="009320FE" w:rsidRDefault="00C9752B" w:rsidP="009320FE">
      <w:pPr>
        <w:spacing w:after="0" w:line="360" w:lineRule="auto"/>
        <w:contextualSpacing/>
        <w:jc w:val="both"/>
        <w:rPr>
          <w:rFonts w:ascii="Arial" w:hAnsi="Arial" w:cs="Arial"/>
          <w:sz w:val="24"/>
          <w:szCs w:val="24"/>
        </w:rPr>
      </w:pPr>
      <w:r>
        <w:rPr>
          <w:rFonts w:ascii="Arial" w:hAnsi="Arial" w:cs="Arial"/>
          <w:sz w:val="24"/>
          <w:szCs w:val="24"/>
        </w:rPr>
        <w:t>[2</w:t>
      </w:r>
      <w:r w:rsidR="00567EF2">
        <w:rPr>
          <w:rFonts w:ascii="Arial" w:hAnsi="Arial" w:cs="Arial"/>
          <w:sz w:val="24"/>
          <w:szCs w:val="24"/>
        </w:rPr>
        <w:t>2</w:t>
      </w:r>
      <w:r w:rsidR="00C42812" w:rsidRPr="009320FE">
        <w:rPr>
          <w:rFonts w:ascii="Arial" w:hAnsi="Arial" w:cs="Arial"/>
          <w:sz w:val="24"/>
          <w:szCs w:val="24"/>
        </w:rPr>
        <w:t>]</w:t>
      </w:r>
      <w:r w:rsidR="001335D1" w:rsidRPr="009320FE">
        <w:rPr>
          <w:rFonts w:ascii="Arial" w:hAnsi="Arial" w:cs="Arial"/>
          <w:sz w:val="24"/>
          <w:szCs w:val="24"/>
        </w:rPr>
        <w:t xml:space="preserve"> </w:t>
      </w:r>
      <w:r w:rsidR="00C42812" w:rsidRPr="009320FE">
        <w:rPr>
          <w:rFonts w:ascii="Arial" w:hAnsi="Arial" w:cs="Arial"/>
          <w:sz w:val="24"/>
          <w:szCs w:val="24"/>
        </w:rPr>
        <w:tab/>
      </w:r>
      <w:r w:rsidR="00A26C4B" w:rsidRPr="009320FE">
        <w:rPr>
          <w:rFonts w:ascii="Arial" w:hAnsi="Arial" w:cs="Arial"/>
          <w:sz w:val="24"/>
          <w:szCs w:val="24"/>
        </w:rPr>
        <w:t xml:space="preserve">An assessment of the </w:t>
      </w:r>
      <w:r w:rsidR="00E22755" w:rsidRPr="009320FE">
        <w:rPr>
          <w:rFonts w:ascii="Arial" w:hAnsi="Arial" w:cs="Arial"/>
          <w:sz w:val="24"/>
          <w:szCs w:val="24"/>
        </w:rPr>
        <w:t xml:space="preserve">appellant’s </w:t>
      </w:r>
      <w:r w:rsidR="001335D1" w:rsidRPr="009320FE">
        <w:rPr>
          <w:rFonts w:ascii="Arial" w:hAnsi="Arial" w:cs="Arial"/>
          <w:sz w:val="24"/>
          <w:szCs w:val="24"/>
        </w:rPr>
        <w:t xml:space="preserve">evidence reveals that he was </w:t>
      </w:r>
      <w:r w:rsidR="00A26C4B" w:rsidRPr="009320FE">
        <w:rPr>
          <w:rFonts w:ascii="Arial" w:hAnsi="Arial" w:cs="Arial"/>
          <w:sz w:val="24"/>
          <w:szCs w:val="24"/>
        </w:rPr>
        <w:t xml:space="preserve">not only </w:t>
      </w:r>
      <w:r w:rsidR="001335D1" w:rsidRPr="009320FE">
        <w:rPr>
          <w:rFonts w:ascii="Arial" w:hAnsi="Arial" w:cs="Arial"/>
          <w:sz w:val="24"/>
          <w:szCs w:val="24"/>
        </w:rPr>
        <w:t>dishonest</w:t>
      </w:r>
      <w:r w:rsidR="00A26C4B" w:rsidRPr="009320FE">
        <w:rPr>
          <w:rFonts w:ascii="Arial" w:hAnsi="Arial" w:cs="Arial"/>
          <w:sz w:val="24"/>
          <w:szCs w:val="24"/>
        </w:rPr>
        <w:t xml:space="preserve"> and evasive but </w:t>
      </w:r>
      <w:r w:rsidR="001335D1" w:rsidRPr="009320FE">
        <w:rPr>
          <w:rFonts w:ascii="Arial" w:hAnsi="Arial" w:cs="Arial"/>
          <w:sz w:val="24"/>
          <w:szCs w:val="24"/>
        </w:rPr>
        <w:t>even went to the extent of blaming his legal</w:t>
      </w:r>
      <w:r w:rsidR="00A26C4B" w:rsidRPr="009320FE">
        <w:rPr>
          <w:rFonts w:ascii="Arial" w:hAnsi="Arial" w:cs="Arial"/>
          <w:sz w:val="24"/>
          <w:szCs w:val="24"/>
        </w:rPr>
        <w:t xml:space="preserve"> representative for not disputing</w:t>
      </w:r>
      <w:r w:rsidR="001335D1" w:rsidRPr="009320FE">
        <w:rPr>
          <w:rFonts w:ascii="Arial" w:hAnsi="Arial" w:cs="Arial"/>
          <w:sz w:val="24"/>
          <w:szCs w:val="24"/>
        </w:rPr>
        <w:t xml:space="preserve"> material aspects of the </w:t>
      </w:r>
      <w:r w:rsidR="00A26C4B" w:rsidRPr="009320FE">
        <w:rPr>
          <w:rFonts w:ascii="Arial" w:hAnsi="Arial" w:cs="Arial"/>
          <w:sz w:val="24"/>
          <w:szCs w:val="24"/>
        </w:rPr>
        <w:t>complainant’s version.</w:t>
      </w:r>
      <w:r w:rsidR="001335D1" w:rsidRPr="009320FE">
        <w:rPr>
          <w:rFonts w:ascii="Arial" w:hAnsi="Arial" w:cs="Arial"/>
          <w:sz w:val="24"/>
          <w:szCs w:val="24"/>
        </w:rPr>
        <w:t xml:space="preserve"> </w:t>
      </w:r>
      <w:r w:rsidR="0018345F" w:rsidRPr="009320FE">
        <w:rPr>
          <w:rFonts w:ascii="Arial" w:hAnsi="Arial" w:cs="Arial"/>
          <w:sz w:val="24"/>
          <w:szCs w:val="24"/>
        </w:rPr>
        <w:t>I</w:t>
      </w:r>
      <w:r w:rsidR="001335D1" w:rsidRPr="009320FE">
        <w:rPr>
          <w:rFonts w:ascii="Arial" w:hAnsi="Arial" w:cs="Arial"/>
          <w:sz w:val="24"/>
          <w:szCs w:val="24"/>
        </w:rPr>
        <w:t xml:space="preserve">n </w:t>
      </w:r>
      <w:r w:rsidR="00D87358" w:rsidRPr="009320FE">
        <w:rPr>
          <w:rFonts w:ascii="Arial" w:hAnsi="Arial" w:cs="Arial"/>
          <w:sz w:val="24"/>
          <w:szCs w:val="24"/>
        </w:rPr>
        <w:t>short, the</w:t>
      </w:r>
      <w:r w:rsidR="0018345F" w:rsidRPr="009320FE">
        <w:rPr>
          <w:rFonts w:ascii="Arial" w:hAnsi="Arial" w:cs="Arial"/>
          <w:sz w:val="24"/>
          <w:szCs w:val="24"/>
        </w:rPr>
        <w:t xml:space="preserve"> </w:t>
      </w:r>
      <w:r w:rsidR="00E22755" w:rsidRPr="009320FE">
        <w:rPr>
          <w:rFonts w:ascii="Arial" w:hAnsi="Arial" w:cs="Arial"/>
          <w:sz w:val="24"/>
          <w:szCs w:val="24"/>
        </w:rPr>
        <w:t xml:space="preserve">appellant </w:t>
      </w:r>
      <w:r w:rsidR="001335D1" w:rsidRPr="009320FE">
        <w:rPr>
          <w:rFonts w:ascii="Arial" w:hAnsi="Arial" w:cs="Arial"/>
          <w:sz w:val="24"/>
          <w:szCs w:val="24"/>
        </w:rPr>
        <w:t>was a poor witness.</w:t>
      </w:r>
    </w:p>
    <w:p w:rsidR="001335D1" w:rsidRPr="009320FE" w:rsidRDefault="001335D1" w:rsidP="009320FE">
      <w:pPr>
        <w:spacing w:after="0" w:line="360" w:lineRule="auto"/>
        <w:contextualSpacing/>
        <w:jc w:val="both"/>
        <w:rPr>
          <w:rFonts w:ascii="Arial" w:hAnsi="Arial" w:cs="Arial"/>
          <w:sz w:val="24"/>
          <w:szCs w:val="24"/>
        </w:rPr>
      </w:pPr>
    </w:p>
    <w:p w:rsidR="001335D1" w:rsidRPr="009320FE" w:rsidRDefault="00C9752B" w:rsidP="009320FE">
      <w:pPr>
        <w:spacing w:after="0" w:line="360" w:lineRule="auto"/>
        <w:contextualSpacing/>
        <w:jc w:val="both"/>
        <w:rPr>
          <w:rFonts w:ascii="Arial" w:hAnsi="Arial" w:cs="Arial"/>
          <w:sz w:val="24"/>
          <w:szCs w:val="24"/>
        </w:rPr>
      </w:pPr>
      <w:r>
        <w:rPr>
          <w:rFonts w:ascii="Arial" w:hAnsi="Arial" w:cs="Arial"/>
          <w:sz w:val="24"/>
          <w:szCs w:val="24"/>
        </w:rPr>
        <w:t>[2</w:t>
      </w:r>
      <w:r w:rsidR="00567EF2">
        <w:rPr>
          <w:rFonts w:ascii="Arial" w:hAnsi="Arial" w:cs="Arial"/>
          <w:sz w:val="24"/>
          <w:szCs w:val="24"/>
        </w:rPr>
        <w:t>3</w:t>
      </w:r>
      <w:r w:rsidR="00C42812" w:rsidRPr="009320FE">
        <w:rPr>
          <w:rFonts w:ascii="Arial" w:hAnsi="Arial" w:cs="Arial"/>
          <w:sz w:val="24"/>
          <w:szCs w:val="24"/>
        </w:rPr>
        <w:t>]</w:t>
      </w:r>
      <w:r w:rsidR="00C42812" w:rsidRPr="009320FE">
        <w:rPr>
          <w:rFonts w:ascii="Arial" w:hAnsi="Arial" w:cs="Arial"/>
          <w:sz w:val="24"/>
          <w:szCs w:val="24"/>
        </w:rPr>
        <w:tab/>
      </w:r>
      <w:r w:rsidR="0018345F" w:rsidRPr="009320FE">
        <w:rPr>
          <w:rFonts w:ascii="Arial" w:hAnsi="Arial" w:cs="Arial"/>
          <w:sz w:val="24"/>
          <w:szCs w:val="24"/>
        </w:rPr>
        <w:t xml:space="preserve"> It is trite that the </w:t>
      </w:r>
      <w:r w:rsidR="00E22755" w:rsidRPr="009320FE">
        <w:rPr>
          <w:rFonts w:ascii="Arial" w:hAnsi="Arial" w:cs="Arial"/>
          <w:sz w:val="24"/>
          <w:szCs w:val="24"/>
        </w:rPr>
        <w:t xml:space="preserve">appellant’s </w:t>
      </w:r>
      <w:r w:rsidR="001335D1" w:rsidRPr="009320FE">
        <w:rPr>
          <w:rFonts w:ascii="Arial" w:hAnsi="Arial" w:cs="Arial"/>
          <w:sz w:val="24"/>
          <w:szCs w:val="24"/>
        </w:rPr>
        <w:t>conviction can only be sustained if</w:t>
      </w:r>
      <w:r w:rsidR="007A08F4">
        <w:rPr>
          <w:rFonts w:ascii="Arial" w:hAnsi="Arial" w:cs="Arial"/>
          <w:sz w:val="24"/>
          <w:szCs w:val="24"/>
        </w:rPr>
        <w:t>,</w:t>
      </w:r>
      <w:r w:rsidR="001335D1" w:rsidRPr="009320FE">
        <w:rPr>
          <w:rFonts w:ascii="Arial" w:hAnsi="Arial" w:cs="Arial"/>
          <w:sz w:val="24"/>
          <w:szCs w:val="24"/>
        </w:rPr>
        <w:t xml:space="preserve"> on a consideration of all the evidence</w:t>
      </w:r>
      <w:r w:rsidR="00D87358" w:rsidRPr="009320FE">
        <w:rPr>
          <w:rFonts w:ascii="Arial" w:hAnsi="Arial" w:cs="Arial"/>
          <w:sz w:val="24"/>
          <w:szCs w:val="24"/>
        </w:rPr>
        <w:t>,</w:t>
      </w:r>
      <w:r w:rsidR="001335D1" w:rsidRPr="009320FE">
        <w:rPr>
          <w:rFonts w:ascii="Arial" w:hAnsi="Arial" w:cs="Arial"/>
          <w:sz w:val="24"/>
          <w:szCs w:val="24"/>
        </w:rPr>
        <w:t xml:space="preserve"> his</w:t>
      </w:r>
      <w:r w:rsidR="0018345F" w:rsidRPr="009320FE">
        <w:rPr>
          <w:rFonts w:ascii="Arial" w:hAnsi="Arial" w:cs="Arial"/>
          <w:sz w:val="24"/>
          <w:szCs w:val="24"/>
        </w:rPr>
        <w:t xml:space="preserve"> version of events is so highly </w:t>
      </w:r>
      <w:r w:rsidR="001335D1" w:rsidRPr="009320FE">
        <w:rPr>
          <w:rFonts w:ascii="Arial" w:hAnsi="Arial" w:cs="Arial"/>
          <w:sz w:val="24"/>
          <w:szCs w:val="24"/>
        </w:rPr>
        <w:t>improbable that it cannot reasonably</w:t>
      </w:r>
      <w:r w:rsidR="0018345F" w:rsidRPr="009320FE">
        <w:rPr>
          <w:rFonts w:ascii="Arial" w:hAnsi="Arial" w:cs="Arial"/>
          <w:sz w:val="24"/>
          <w:szCs w:val="24"/>
        </w:rPr>
        <w:t xml:space="preserve"> possibly be true or where his version</w:t>
      </w:r>
      <w:r w:rsidR="009717E8">
        <w:rPr>
          <w:rFonts w:ascii="Arial" w:hAnsi="Arial" w:cs="Arial"/>
          <w:sz w:val="24"/>
          <w:szCs w:val="24"/>
        </w:rPr>
        <w:t>,</w:t>
      </w:r>
      <w:r w:rsidR="0018345F" w:rsidRPr="009320FE">
        <w:rPr>
          <w:rFonts w:ascii="Arial" w:hAnsi="Arial" w:cs="Arial"/>
          <w:sz w:val="24"/>
          <w:szCs w:val="24"/>
        </w:rPr>
        <w:t xml:space="preserve"> </w:t>
      </w:r>
      <w:r w:rsidR="009717E8">
        <w:rPr>
          <w:rFonts w:ascii="Arial" w:hAnsi="Arial" w:cs="Arial"/>
          <w:sz w:val="24"/>
          <w:szCs w:val="24"/>
        </w:rPr>
        <w:t>i</w:t>
      </w:r>
      <w:r w:rsidR="008115E8">
        <w:rPr>
          <w:rFonts w:ascii="Arial" w:hAnsi="Arial" w:cs="Arial"/>
          <w:sz w:val="24"/>
          <w:szCs w:val="24"/>
        </w:rPr>
        <w:t>n</w:t>
      </w:r>
      <w:r w:rsidR="00D87358" w:rsidRPr="009320FE">
        <w:rPr>
          <w:rFonts w:ascii="Arial" w:hAnsi="Arial" w:cs="Arial"/>
          <w:sz w:val="24"/>
          <w:szCs w:val="24"/>
        </w:rPr>
        <w:t xml:space="preserve"> the face of credible </w:t>
      </w:r>
      <w:r w:rsidR="008115E8">
        <w:rPr>
          <w:rFonts w:ascii="Arial" w:hAnsi="Arial" w:cs="Arial"/>
          <w:sz w:val="24"/>
          <w:szCs w:val="24"/>
        </w:rPr>
        <w:t>evidence</w:t>
      </w:r>
      <w:r w:rsidR="009717E8">
        <w:rPr>
          <w:rFonts w:ascii="Arial" w:hAnsi="Arial" w:cs="Arial"/>
          <w:sz w:val="24"/>
          <w:szCs w:val="24"/>
        </w:rPr>
        <w:t>,</w:t>
      </w:r>
      <w:r w:rsidR="008115E8" w:rsidRPr="009320FE">
        <w:rPr>
          <w:rFonts w:ascii="Arial" w:hAnsi="Arial" w:cs="Arial"/>
          <w:sz w:val="24"/>
          <w:szCs w:val="24"/>
        </w:rPr>
        <w:t xml:space="preserve"> </w:t>
      </w:r>
      <w:r w:rsidR="0018345F" w:rsidRPr="009320FE">
        <w:rPr>
          <w:rFonts w:ascii="Arial" w:hAnsi="Arial" w:cs="Arial"/>
          <w:sz w:val="24"/>
          <w:szCs w:val="24"/>
        </w:rPr>
        <w:t xml:space="preserve">can be </w:t>
      </w:r>
      <w:r w:rsidR="00F40814" w:rsidRPr="009320FE">
        <w:rPr>
          <w:rFonts w:ascii="Arial" w:hAnsi="Arial" w:cs="Arial"/>
          <w:sz w:val="24"/>
          <w:szCs w:val="24"/>
        </w:rPr>
        <w:t>reje</w:t>
      </w:r>
      <w:r w:rsidR="00E95503">
        <w:rPr>
          <w:rFonts w:ascii="Arial" w:hAnsi="Arial" w:cs="Arial"/>
          <w:sz w:val="24"/>
          <w:szCs w:val="24"/>
        </w:rPr>
        <w:t>c</w:t>
      </w:r>
      <w:r w:rsidR="00F40814" w:rsidRPr="009320FE">
        <w:rPr>
          <w:rFonts w:ascii="Arial" w:hAnsi="Arial" w:cs="Arial"/>
          <w:sz w:val="24"/>
          <w:szCs w:val="24"/>
        </w:rPr>
        <w:t>ted as</w:t>
      </w:r>
      <w:r w:rsidR="001335D1" w:rsidRPr="009320FE">
        <w:rPr>
          <w:rFonts w:ascii="Arial" w:hAnsi="Arial" w:cs="Arial"/>
          <w:sz w:val="24"/>
          <w:szCs w:val="24"/>
        </w:rPr>
        <w:t xml:space="preserve"> </w:t>
      </w:r>
      <w:r w:rsidR="00FE35EA" w:rsidRPr="009320FE">
        <w:rPr>
          <w:rFonts w:ascii="Arial" w:hAnsi="Arial" w:cs="Arial"/>
          <w:sz w:val="24"/>
          <w:szCs w:val="24"/>
        </w:rPr>
        <w:t>false</w:t>
      </w:r>
      <w:r w:rsidR="001335D1" w:rsidRPr="009320FE">
        <w:rPr>
          <w:rFonts w:ascii="Arial" w:hAnsi="Arial" w:cs="Arial"/>
          <w:sz w:val="24"/>
          <w:szCs w:val="24"/>
        </w:rPr>
        <w:t xml:space="preserve"> beyond </w:t>
      </w:r>
      <w:r w:rsidR="007A08F4">
        <w:rPr>
          <w:rFonts w:ascii="Arial" w:hAnsi="Arial" w:cs="Arial"/>
          <w:sz w:val="24"/>
          <w:szCs w:val="24"/>
        </w:rPr>
        <w:t xml:space="preserve">a </w:t>
      </w:r>
      <w:r w:rsidR="001335D1" w:rsidRPr="009320FE">
        <w:rPr>
          <w:rFonts w:ascii="Arial" w:hAnsi="Arial" w:cs="Arial"/>
          <w:sz w:val="24"/>
          <w:szCs w:val="24"/>
        </w:rPr>
        <w:t>reasonable doub</w:t>
      </w:r>
      <w:r w:rsidR="0018345F" w:rsidRPr="009320FE">
        <w:rPr>
          <w:rFonts w:ascii="Arial" w:hAnsi="Arial" w:cs="Arial"/>
          <w:sz w:val="24"/>
          <w:szCs w:val="24"/>
        </w:rPr>
        <w:t>t.</w:t>
      </w:r>
    </w:p>
    <w:p w:rsidR="00FE35EA" w:rsidRPr="009320FE" w:rsidRDefault="00FE35EA" w:rsidP="009320FE">
      <w:pPr>
        <w:spacing w:after="0" w:line="360" w:lineRule="auto"/>
        <w:contextualSpacing/>
        <w:jc w:val="both"/>
        <w:rPr>
          <w:rFonts w:ascii="Arial" w:hAnsi="Arial" w:cs="Arial"/>
          <w:sz w:val="24"/>
          <w:szCs w:val="24"/>
        </w:rPr>
      </w:pPr>
      <w:r w:rsidRPr="009320FE">
        <w:rPr>
          <w:rFonts w:ascii="Arial" w:hAnsi="Arial" w:cs="Arial"/>
          <w:sz w:val="24"/>
          <w:szCs w:val="24"/>
        </w:rPr>
        <w:t xml:space="preserve"> </w:t>
      </w:r>
    </w:p>
    <w:p w:rsidR="008115E8"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2</w:t>
      </w:r>
      <w:r w:rsidR="00567EF2">
        <w:rPr>
          <w:rFonts w:ascii="Arial" w:hAnsi="Arial" w:cs="Arial"/>
          <w:sz w:val="24"/>
          <w:szCs w:val="24"/>
        </w:rPr>
        <w:t>4</w:t>
      </w:r>
      <w:r w:rsidR="00FE35EA" w:rsidRPr="009320FE">
        <w:rPr>
          <w:rFonts w:ascii="Arial" w:hAnsi="Arial" w:cs="Arial"/>
          <w:sz w:val="24"/>
          <w:szCs w:val="24"/>
        </w:rPr>
        <w:t>]</w:t>
      </w:r>
      <w:r w:rsidR="00177A1D">
        <w:rPr>
          <w:rFonts w:ascii="Arial" w:hAnsi="Arial" w:cs="Arial"/>
          <w:sz w:val="24"/>
          <w:szCs w:val="24"/>
        </w:rPr>
        <w:tab/>
      </w:r>
      <w:r w:rsidR="00D87358" w:rsidRPr="009320FE">
        <w:rPr>
          <w:rFonts w:ascii="Arial" w:hAnsi="Arial" w:cs="Arial"/>
          <w:sz w:val="24"/>
          <w:szCs w:val="24"/>
        </w:rPr>
        <w:t xml:space="preserve">In </w:t>
      </w:r>
      <w:r w:rsidR="008115E8" w:rsidRPr="008E7784">
        <w:rPr>
          <w:rFonts w:ascii="Arial" w:hAnsi="Arial" w:cs="Arial"/>
          <w:i/>
          <w:sz w:val="24"/>
          <w:szCs w:val="24"/>
        </w:rPr>
        <w:t>S v MM</w:t>
      </w:r>
      <w:r w:rsidR="004E5A8B" w:rsidRPr="009320FE">
        <w:rPr>
          <w:rStyle w:val="FootnoteReference"/>
          <w:rFonts w:ascii="Arial" w:hAnsi="Arial" w:cs="Arial"/>
          <w:sz w:val="24"/>
          <w:szCs w:val="24"/>
        </w:rPr>
        <w:footnoteReference w:id="18"/>
      </w:r>
      <w:r w:rsidR="0018345F" w:rsidRPr="009320FE">
        <w:rPr>
          <w:rFonts w:ascii="Arial" w:hAnsi="Arial" w:cs="Arial"/>
          <w:sz w:val="24"/>
          <w:szCs w:val="24"/>
        </w:rPr>
        <w:t xml:space="preserve"> the Supreme Court of A</w:t>
      </w:r>
      <w:r w:rsidR="00FE35EA" w:rsidRPr="009320FE">
        <w:rPr>
          <w:rFonts w:ascii="Arial" w:hAnsi="Arial" w:cs="Arial"/>
          <w:sz w:val="24"/>
          <w:szCs w:val="24"/>
        </w:rPr>
        <w:t>ppe</w:t>
      </w:r>
      <w:r w:rsidR="0018345F" w:rsidRPr="009320FE">
        <w:rPr>
          <w:rFonts w:ascii="Arial" w:hAnsi="Arial" w:cs="Arial"/>
          <w:sz w:val="24"/>
          <w:szCs w:val="24"/>
        </w:rPr>
        <w:t>al stated</w:t>
      </w:r>
      <w:r w:rsidR="008115E8">
        <w:rPr>
          <w:rFonts w:ascii="Arial" w:hAnsi="Arial" w:cs="Arial"/>
          <w:sz w:val="24"/>
          <w:szCs w:val="24"/>
        </w:rPr>
        <w:t xml:space="preserve"> that</w:t>
      </w:r>
      <w:r w:rsidR="00D87358" w:rsidRPr="009320FE">
        <w:rPr>
          <w:rFonts w:ascii="Arial" w:hAnsi="Arial" w:cs="Arial"/>
          <w:sz w:val="24"/>
          <w:szCs w:val="24"/>
        </w:rPr>
        <w:t xml:space="preserve">: </w:t>
      </w:r>
    </w:p>
    <w:p w:rsidR="008115E8" w:rsidRPr="008E7784" w:rsidRDefault="008115E8" w:rsidP="008115E8">
      <w:pPr>
        <w:spacing w:after="0" w:line="360" w:lineRule="auto"/>
        <w:contextualSpacing/>
        <w:jc w:val="both"/>
        <w:rPr>
          <w:rFonts w:ascii="Arial" w:hAnsi="Arial" w:cs="Arial"/>
          <w:szCs w:val="24"/>
          <w:lang w:val="en-US"/>
        </w:rPr>
      </w:pPr>
      <w:r w:rsidRPr="008E7784">
        <w:rPr>
          <w:rFonts w:ascii="Arial" w:hAnsi="Arial" w:cs="Arial"/>
          <w:szCs w:val="24"/>
          <w:lang w:val="en-US"/>
        </w:rPr>
        <w:t xml:space="preserve">‘Whilst in many cases the fact that an accused person gives a false version of events is not decisive of the merits of a conviction, in this case, where the falsity relates to events on a particular day at a particular place involving him and the complainant, if his version cannot reasonably possibly be true, its falsity lends strong support to the truth of </w:t>
      </w:r>
      <w:r w:rsidR="009717E8" w:rsidRPr="008E7784">
        <w:rPr>
          <w:rFonts w:ascii="Arial" w:hAnsi="Arial" w:cs="Arial"/>
          <w:szCs w:val="24"/>
          <w:lang w:val="en-US"/>
        </w:rPr>
        <w:t>the complainant’s</w:t>
      </w:r>
      <w:r w:rsidRPr="008E7784">
        <w:rPr>
          <w:rFonts w:ascii="Arial" w:hAnsi="Arial" w:cs="Arial"/>
          <w:szCs w:val="24"/>
          <w:lang w:val="en-US"/>
        </w:rPr>
        <w:t xml:space="preserve"> evidence.’</w:t>
      </w:r>
    </w:p>
    <w:p w:rsidR="00FE35EA" w:rsidRPr="009320FE" w:rsidRDefault="00FE35EA" w:rsidP="009320FE">
      <w:pPr>
        <w:spacing w:after="0" w:line="360" w:lineRule="auto"/>
        <w:contextualSpacing/>
        <w:jc w:val="both"/>
        <w:rPr>
          <w:rFonts w:ascii="Arial" w:hAnsi="Arial" w:cs="Arial"/>
          <w:sz w:val="24"/>
          <w:szCs w:val="24"/>
        </w:rPr>
      </w:pPr>
    </w:p>
    <w:p w:rsidR="00321A61" w:rsidRDefault="00C9752B" w:rsidP="009320FE">
      <w:pPr>
        <w:spacing w:after="0" w:line="360" w:lineRule="auto"/>
        <w:contextualSpacing/>
        <w:jc w:val="both"/>
        <w:rPr>
          <w:rFonts w:ascii="Arial" w:hAnsi="Arial" w:cs="Arial"/>
          <w:sz w:val="24"/>
          <w:szCs w:val="24"/>
        </w:rPr>
      </w:pPr>
      <w:r>
        <w:rPr>
          <w:rFonts w:ascii="Arial" w:hAnsi="Arial" w:cs="Arial"/>
          <w:sz w:val="24"/>
          <w:szCs w:val="24"/>
        </w:rPr>
        <w:t>[2</w:t>
      </w:r>
      <w:r w:rsidR="00567EF2">
        <w:rPr>
          <w:rFonts w:ascii="Arial" w:hAnsi="Arial" w:cs="Arial"/>
          <w:sz w:val="24"/>
          <w:szCs w:val="24"/>
        </w:rPr>
        <w:t>5</w:t>
      </w:r>
      <w:r w:rsidR="00FE35EA" w:rsidRPr="009320FE">
        <w:rPr>
          <w:rFonts w:ascii="Arial" w:hAnsi="Arial" w:cs="Arial"/>
          <w:sz w:val="24"/>
          <w:szCs w:val="24"/>
        </w:rPr>
        <w:t xml:space="preserve">] </w:t>
      </w:r>
      <w:r w:rsidR="00C42812" w:rsidRPr="009320FE">
        <w:rPr>
          <w:rFonts w:ascii="Arial" w:hAnsi="Arial" w:cs="Arial"/>
          <w:sz w:val="24"/>
          <w:szCs w:val="24"/>
        </w:rPr>
        <w:tab/>
      </w:r>
      <w:r w:rsidR="00FE35EA" w:rsidRPr="009320FE">
        <w:rPr>
          <w:rFonts w:ascii="Arial" w:hAnsi="Arial" w:cs="Arial"/>
          <w:sz w:val="24"/>
          <w:szCs w:val="24"/>
        </w:rPr>
        <w:t xml:space="preserve">In the light of the evidence (both direct and </w:t>
      </w:r>
      <w:r w:rsidR="0018345F" w:rsidRPr="009320FE">
        <w:rPr>
          <w:rFonts w:ascii="Arial" w:hAnsi="Arial" w:cs="Arial"/>
          <w:sz w:val="24"/>
          <w:szCs w:val="24"/>
        </w:rPr>
        <w:t>circumstantial</w:t>
      </w:r>
      <w:r w:rsidR="008115E8">
        <w:rPr>
          <w:rFonts w:ascii="Arial" w:hAnsi="Arial" w:cs="Arial"/>
          <w:sz w:val="24"/>
          <w:szCs w:val="24"/>
        </w:rPr>
        <w:t>),</w:t>
      </w:r>
      <w:r w:rsidR="0018345F" w:rsidRPr="009320FE">
        <w:rPr>
          <w:rFonts w:ascii="Arial" w:hAnsi="Arial" w:cs="Arial"/>
          <w:sz w:val="24"/>
          <w:szCs w:val="24"/>
        </w:rPr>
        <w:t xml:space="preserve"> I am of the view that</w:t>
      </w:r>
      <w:r w:rsidR="00FE35EA" w:rsidRPr="009320FE">
        <w:rPr>
          <w:rFonts w:ascii="Arial" w:hAnsi="Arial" w:cs="Arial"/>
          <w:sz w:val="24"/>
          <w:szCs w:val="24"/>
        </w:rPr>
        <w:t xml:space="preserve"> the court a</w:t>
      </w:r>
      <w:r w:rsidR="00D87358" w:rsidRPr="009320FE">
        <w:rPr>
          <w:rFonts w:ascii="Arial" w:hAnsi="Arial" w:cs="Arial"/>
          <w:sz w:val="24"/>
          <w:szCs w:val="24"/>
        </w:rPr>
        <w:t xml:space="preserve"> </w:t>
      </w:r>
      <w:r w:rsidR="00FE35EA" w:rsidRPr="009320FE">
        <w:rPr>
          <w:rFonts w:ascii="Arial" w:hAnsi="Arial" w:cs="Arial"/>
          <w:sz w:val="24"/>
          <w:szCs w:val="24"/>
        </w:rPr>
        <w:t>quo was correct i</w:t>
      </w:r>
      <w:r w:rsidR="0018345F" w:rsidRPr="009320FE">
        <w:rPr>
          <w:rFonts w:ascii="Arial" w:hAnsi="Arial" w:cs="Arial"/>
          <w:sz w:val="24"/>
          <w:szCs w:val="24"/>
        </w:rPr>
        <w:t xml:space="preserve">n rejecting the version of the </w:t>
      </w:r>
      <w:r w:rsidR="008115E8" w:rsidRPr="009320FE">
        <w:rPr>
          <w:rFonts w:ascii="Arial" w:hAnsi="Arial" w:cs="Arial"/>
          <w:sz w:val="24"/>
          <w:szCs w:val="24"/>
        </w:rPr>
        <w:t xml:space="preserve">appellant </w:t>
      </w:r>
      <w:r w:rsidR="00FE35EA" w:rsidRPr="009320FE">
        <w:rPr>
          <w:rFonts w:ascii="Arial" w:hAnsi="Arial" w:cs="Arial"/>
          <w:sz w:val="24"/>
          <w:szCs w:val="24"/>
        </w:rPr>
        <w:t>as false beyond</w:t>
      </w:r>
      <w:r w:rsidR="0018345F" w:rsidRPr="009320FE">
        <w:rPr>
          <w:rFonts w:ascii="Arial" w:hAnsi="Arial" w:cs="Arial"/>
          <w:sz w:val="24"/>
          <w:szCs w:val="24"/>
        </w:rPr>
        <w:t xml:space="preserve"> a</w:t>
      </w:r>
      <w:r w:rsidR="00FE35EA" w:rsidRPr="009320FE">
        <w:rPr>
          <w:rFonts w:ascii="Arial" w:hAnsi="Arial" w:cs="Arial"/>
          <w:sz w:val="24"/>
          <w:szCs w:val="24"/>
        </w:rPr>
        <w:t xml:space="preserve"> reasonable </w:t>
      </w:r>
      <w:r w:rsidR="00D87358" w:rsidRPr="009320FE">
        <w:rPr>
          <w:rFonts w:ascii="Arial" w:hAnsi="Arial" w:cs="Arial"/>
          <w:sz w:val="24"/>
          <w:szCs w:val="24"/>
        </w:rPr>
        <w:t>doubt. I am</w:t>
      </w:r>
      <w:r w:rsidR="00F40814" w:rsidRPr="009320FE">
        <w:rPr>
          <w:rFonts w:ascii="Arial" w:hAnsi="Arial" w:cs="Arial"/>
          <w:sz w:val="24"/>
          <w:szCs w:val="24"/>
        </w:rPr>
        <w:t xml:space="preserve"> satisfied </w:t>
      </w:r>
      <w:r w:rsidR="00D87358" w:rsidRPr="009320FE">
        <w:rPr>
          <w:rFonts w:ascii="Arial" w:hAnsi="Arial" w:cs="Arial"/>
          <w:sz w:val="24"/>
          <w:szCs w:val="24"/>
        </w:rPr>
        <w:t>that the undisputed</w:t>
      </w:r>
      <w:r w:rsidR="00F40814" w:rsidRPr="009320FE">
        <w:rPr>
          <w:rFonts w:ascii="Arial" w:hAnsi="Arial" w:cs="Arial"/>
          <w:sz w:val="24"/>
          <w:szCs w:val="24"/>
        </w:rPr>
        <w:t xml:space="preserve"> and objective evidence consider</w:t>
      </w:r>
      <w:r w:rsidR="00D87358" w:rsidRPr="009320FE">
        <w:rPr>
          <w:rFonts w:ascii="Arial" w:hAnsi="Arial" w:cs="Arial"/>
          <w:sz w:val="24"/>
          <w:szCs w:val="24"/>
        </w:rPr>
        <w:t>ed in totality, establishes the guilt</w:t>
      </w:r>
      <w:r w:rsidR="00F40814" w:rsidRPr="009320FE">
        <w:rPr>
          <w:rFonts w:ascii="Arial" w:hAnsi="Arial" w:cs="Arial"/>
          <w:sz w:val="24"/>
          <w:szCs w:val="24"/>
        </w:rPr>
        <w:t xml:space="preserve"> of the </w:t>
      </w:r>
      <w:r w:rsidR="008115E8" w:rsidRPr="009320FE">
        <w:rPr>
          <w:rFonts w:ascii="Arial" w:hAnsi="Arial" w:cs="Arial"/>
          <w:sz w:val="24"/>
          <w:szCs w:val="24"/>
        </w:rPr>
        <w:t xml:space="preserve">appellant </w:t>
      </w:r>
      <w:r w:rsidR="00F40814" w:rsidRPr="009320FE">
        <w:rPr>
          <w:rFonts w:ascii="Arial" w:hAnsi="Arial" w:cs="Arial"/>
          <w:sz w:val="24"/>
          <w:szCs w:val="24"/>
        </w:rPr>
        <w:t>beyond a reasonable doubt.</w:t>
      </w:r>
      <w:r w:rsidR="00321A61">
        <w:rPr>
          <w:rFonts w:ascii="Arial" w:hAnsi="Arial" w:cs="Arial"/>
          <w:sz w:val="24"/>
          <w:szCs w:val="24"/>
        </w:rPr>
        <w:t xml:space="preserve"> The conviction, to my mind, is sound.  </w:t>
      </w:r>
    </w:p>
    <w:p w:rsidR="00FE35EA" w:rsidRPr="009320FE" w:rsidRDefault="00321A61" w:rsidP="009320FE">
      <w:pPr>
        <w:spacing w:after="0" w:line="360" w:lineRule="auto"/>
        <w:contextualSpacing/>
        <w:jc w:val="both"/>
        <w:rPr>
          <w:rFonts w:ascii="Arial" w:hAnsi="Arial" w:cs="Arial"/>
          <w:sz w:val="24"/>
          <w:szCs w:val="24"/>
        </w:rPr>
      </w:pPr>
      <w:r>
        <w:rPr>
          <w:rFonts w:ascii="Arial" w:hAnsi="Arial" w:cs="Arial"/>
          <w:sz w:val="24"/>
          <w:szCs w:val="24"/>
        </w:rPr>
        <w:t xml:space="preserve"> </w:t>
      </w:r>
    </w:p>
    <w:p w:rsidR="00E922A3" w:rsidRDefault="00C9752B" w:rsidP="009320FE">
      <w:pPr>
        <w:spacing w:after="0" w:line="360" w:lineRule="auto"/>
        <w:contextualSpacing/>
        <w:jc w:val="both"/>
        <w:rPr>
          <w:rFonts w:ascii="Arial" w:hAnsi="Arial" w:cs="Arial"/>
          <w:sz w:val="24"/>
          <w:szCs w:val="24"/>
        </w:rPr>
      </w:pPr>
      <w:r>
        <w:rPr>
          <w:rFonts w:ascii="Arial" w:hAnsi="Arial" w:cs="Arial"/>
          <w:sz w:val="24"/>
          <w:szCs w:val="24"/>
        </w:rPr>
        <w:t>[2</w:t>
      </w:r>
      <w:r w:rsidR="00567EF2">
        <w:rPr>
          <w:rFonts w:ascii="Arial" w:hAnsi="Arial" w:cs="Arial"/>
          <w:sz w:val="24"/>
          <w:szCs w:val="24"/>
        </w:rPr>
        <w:t>6</w:t>
      </w:r>
      <w:r w:rsidR="00C42812" w:rsidRPr="009320FE">
        <w:rPr>
          <w:rFonts w:ascii="Arial" w:hAnsi="Arial" w:cs="Arial"/>
          <w:sz w:val="24"/>
          <w:szCs w:val="24"/>
        </w:rPr>
        <w:t>]</w:t>
      </w:r>
      <w:r w:rsidR="00C42812" w:rsidRPr="009320FE">
        <w:rPr>
          <w:rFonts w:ascii="Arial" w:hAnsi="Arial" w:cs="Arial"/>
          <w:sz w:val="24"/>
          <w:szCs w:val="24"/>
        </w:rPr>
        <w:tab/>
      </w:r>
      <w:r w:rsidR="00000A84" w:rsidRPr="009320FE">
        <w:rPr>
          <w:rFonts w:ascii="Arial" w:hAnsi="Arial" w:cs="Arial"/>
          <w:sz w:val="24"/>
          <w:szCs w:val="24"/>
        </w:rPr>
        <w:t xml:space="preserve"> There is one further issue relating to the c</w:t>
      </w:r>
      <w:r w:rsidR="00D87358" w:rsidRPr="009320FE">
        <w:rPr>
          <w:rFonts w:ascii="Arial" w:hAnsi="Arial" w:cs="Arial"/>
          <w:sz w:val="24"/>
          <w:szCs w:val="24"/>
        </w:rPr>
        <w:t>onviction that merits comment</w:t>
      </w:r>
      <w:r w:rsidR="00CF73D1">
        <w:rPr>
          <w:rFonts w:ascii="Arial" w:hAnsi="Arial" w:cs="Arial"/>
          <w:sz w:val="24"/>
          <w:szCs w:val="24"/>
        </w:rPr>
        <w:t>.</w:t>
      </w:r>
      <w:r w:rsidR="00F40814" w:rsidRPr="009320FE">
        <w:rPr>
          <w:rFonts w:ascii="Arial" w:hAnsi="Arial" w:cs="Arial"/>
          <w:sz w:val="24"/>
          <w:szCs w:val="24"/>
        </w:rPr>
        <w:t xml:space="preserve"> T</w:t>
      </w:r>
      <w:r w:rsidR="00000A84" w:rsidRPr="009320FE">
        <w:rPr>
          <w:rFonts w:ascii="Arial" w:hAnsi="Arial" w:cs="Arial"/>
          <w:sz w:val="24"/>
          <w:szCs w:val="24"/>
        </w:rPr>
        <w:t>he learned magistrate, in her analysis of the evidence</w:t>
      </w:r>
      <w:r w:rsidR="007A08F4">
        <w:rPr>
          <w:rFonts w:ascii="Arial" w:hAnsi="Arial" w:cs="Arial"/>
          <w:sz w:val="24"/>
          <w:szCs w:val="24"/>
        </w:rPr>
        <w:t>,</w:t>
      </w:r>
      <w:r w:rsidR="00000A84" w:rsidRPr="009320FE">
        <w:rPr>
          <w:rFonts w:ascii="Arial" w:hAnsi="Arial" w:cs="Arial"/>
          <w:sz w:val="24"/>
          <w:szCs w:val="24"/>
        </w:rPr>
        <w:t xml:space="preserve"> concluded that:</w:t>
      </w:r>
      <w:r w:rsidR="009A18EA" w:rsidRPr="009320FE">
        <w:rPr>
          <w:rStyle w:val="FootnoteReference"/>
          <w:rFonts w:ascii="Arial" w:hAnsi="Arial" w:cs="Arial"/>
          <w:sz w:val="24"/>
          <w:szCs w:val="24"/>
        </w:rPr>
        <w:footnoteReference w:id="19"/>
      </w:r>
    </w:p>
    <w:p w:rsidR="00000A84" w:rsidRPr="00E922A3" w:rsidRDefault="00E922A3" w:rsidP="009320FE">
      <w:pPr>
        <w:spacing w:after="0" w:line="360" w:lineRule="auto"/>
        <w:contextualSpacing/>
        <w:jc w:val="both"/>
        <w:rPr>
          <w:rFonts w:ascii="Arial" w:hAnsi="Arial" w:cs="Arial"/>
          <w:szCs w:val="24"/>
        </w:rPr>
      </w:pPr>
      <w:r w:rsidRPr="00E922A3">
        <w:rPr>
          <w:rFonts w:ascii="Arial" w:hAnsi="Arial" w:cs="Arial"/>
          <w:szCs w:val="24"/>
        </w:rPr>
        <w:t>‘</w:t>
      </w:r>
      <w:r w:rsidR="00F40814" w:rsidRPr="00E922A3">
        <w:rPr>
          <w:rFonts w:ascii="Arial" w:hAnsi="Arial" w:cs="Arial"/>
          <w:szCs w:val="24"/>
        </w:rPr>
        <w:t>Therefore</w:t>
      </w:r>
      <w:r w:rsidR="00000A84" w:rsidRPr="00E922A3">
        <w:rPr>
          <w:rFonts w:ascii="Arial" w:hAnsi="Arial" w:cs="Arial"/>
          <w:szCs w:val="24"/>
        </w:rPr>
        <w:t xml:space="preserve"> the court cannot just reject the evidence of these witness</w:t>
      </w:r>
      <w:r w:rsidR="00F40814" w:rsidRPr="00E922A3">
        <w:rPr>
          <w:rFonts w:ascii="Arial" w:hAnsi="Arial" w:cs="Arial"/>
          <w:szCs w:val="24"/>
        </w:rPr>
        <w:t>es of the S</w:t>
      </w:r>
      <w:r w:rsidR="00000A84" w:rsidRPr="00E922A3">
        <w:rPr>
          <w:rFonts w:ascii="Arial" w:hAnsi="Arial" w:cs="Arial"/>
          <w:szCs w:val="24"/>
        </w:rPr>
        <w:t>tate because of the</w:t>
      </w:r>
      <w:r w:rsidR="00F40814" w:rsidRPr="00E922A3">
        <w:rPr>
          <w:rFonts w:ascii="Arial" w:hAnsi="Arial" w:cs="Arial"/>
          <w:szCs w:val="24"/>
        </w:rPr>
        <w:t>se</w:t>
      </w:r>
      <w:r w:rsidR="00000A84" w:rsidRPr="00E922A3">
        <w:rPr>
          <w:rFonts w:ascii="Arial" w:hAnsi="Arial" w:cs="Arial"/>
          <w:szCs w:val="24"/>
        </w:rPr>
        <w:t xml:space="preserve"> DNA result</w:t>
      </w:r>
      <w:r w:rsidR="00F40814" w:rsidRPr="00E922A3">
        <w:rPr>
          <w:rFonts w:ascii="Arial" w:hAnsi="Arial" w:cs="Arial"/>
          <w:szCs w:val="24"/>
        </w:rPr>
        <w:t>s</w:t>
      </w:r>
      <w:r w:rsidR="00000A84" w:rsidRPr="00E922A3">
        <w:rPr>
          <w:rFonts w:ascii="Arial" w:hAnsi="Arial" w:cs="Arial"/>
          <w:szCs w:val="24"/>
        </w:rPr>
        <w:t>. Because there is also other evidence and ev</w:t>
      </w:r>
      <w:r w:rsidR="00F40814" w:rsidRPr="00E922A3">
        <w:rPr>
          <w:rFonts w:ascii="Arial" w:hAnsi="Arial" w:cs="Arial"/>
          <w:szCs w:val="24"/>
        </w:rPr>
        <w:t>en the other bit of that (sic)</w:t>
      </w:r>
      <w:r>
        <w:rPr>
          <w:rFonts w:ascii="Arial" w:hAnsi="Arial" w:cs="Arial"/>
          <w:szCs w:val="24"/>
        </w:rPr>
        <w:t>.</w:t>
      </w:r>
      <w:r w:rsidR="00F40814" w:rsidRPr="00E922A3">
        <w:rPr>
          <w:rFonts w:ascii="Arial" w:hAnsi="Arial" w:cs="Arial"/>
          <w:szCs w:val="24"/>
        </w:rPr>
        <w:t xml:space="preserve"> T</w:t>
      </w:r>
      <w:r w:rsidR="00000A84" w:rsidRPr="00E922A3">
        <w:rPr>
          <w:rFonts w:ascii="Arial" w:hAnsi="Arial" w:cs="Arial"/>
          <w:szCs w:val="24"/>
        </w:rPr>
        <w:t>he defence was also proved to be false by state, which means therefore that the evidence of the state is accepted as reasonably possibly true and that of the defence is totally rejected.</w:t>
      </w:r>
      <w:r w:rsidRPr="00E922A3">
        <w:rPr>
          <w:rFonts w:ascii="Arial" w:hAnsi="Arial" w:cs="Arial"/>
          <w:szCs w:val="24"/>
        </w:rPr>
        <w:t>’</w:t>
      </w:r>
    </w:p>
    <w:p w:rsidR="00000A84" w:rsidRPr="009320FE" w:rsidRDefault="00000A84" w:rsidP="009320FE">
      <w:pPr>
        <w:spacing w:after="0" w:line="360" w:lineRule="auto"/>
        <w:contextualSpacing/>
        <w:jc w:val="both"/>
        <w:rPr>
          <w:rFonts w:ascii="Arial" w:hAnsi="Arial" w:cs="Arial"/>
          <w:sz w:val="24"/>
          <w:szCs w:val="24"/>
        </w:rPr>
      </w:pPr>
    </w:p>
    <w:p w:rsidR="00000A84" w:rsidRPr="009320FE" w:rsidRDefault="00D87358"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2</w:t>
      </w:r>
      <w:r w:rsidR="00567EF2">
        <w:rPr>
          <w:rFonts w:ascii="Arial" w:hAnsi="Arial" w:cs="Arial"/>
          <w:sz w:val="24"/>
          <w:szCs w:val="24"/>
        </w:rPr>
        <w:t>7</w:t>
      </w:r>
      <w:r w:rsidR="00C42812" w:rsidRPr="009320FE">
        <w:rPr>
          <w:rFonts w:ascii="Arial" w:hAnsi="Arial" w:cs="Arial"/>
          <w:sz w:val="24"/>
          <w:szCs w:val="24"/>
        </w:rPr>
        <w:t>]</w:t>
      </w:r>
      <w:r w:rsidR="00000A84" w:rsidRPr="009320FE">
        <w:rPr>
          <w:rFonts w:ascii="Arial" w:hAnsi="Arial" w:cs="Arial"/>
          <w:sz w:val="24"/>
          <w:szCs w:val="24"/>
        </w:rPr>
        <w:t xml:space="preserve"> </w:t>
      </w:r>
      <w:r w:rsidR="00C42812" w:rsidRPr="009320FE">
        <w:rPr>
          <w:rFonts w:ascii="Arial" w:hAnsi="Arial" w:cs="Arial"/>
          <w:sz w:val="24"/>
          <w:szCs w:val="24"/>
        </w:rPr>
        <w:tab/>
        <w:t>F</w:t>
      </w:r>
      <w:r w:rsidR="00000A84" w:rsidRPr="009320FE">
        <w:rPr>
          <w:rFonts w:ascii="Arial" w:hAnsi="Arial" w:cs="Arial"/>
          <w:sz w:val="24"/>
          <w:szCs w:val="24"/>
        </w:rPr>
        <w:t>irstly</w:t>
      </w:r>
      <w:r w:rsidR="003066C6" w:rsidRPr="009320FE">
        <w:rPr>
          <w:rFonts w:ascii="Arial" w:hAnsi="Arial" w:cs="Arial"/>
          <w:sz w:val="24"/>
          <w:szCs w:val="24"/>
        </w:rPr>
        <w:t>,</w:t>
      </w:r>
      <w:r w:rsidR="00000A84" w:rsidRPr="009320FE">
        <w:rPr>
          <w:rFonts w:ascii="Arial" w:hAnsi="Arial" w:cs="Arial"/>
          <w:sz w:val="24"/>
          <w:szCs w:val="24"/>
        </w:rPr>
        <w:t xml:space="preserve"> upon the rejection of the defence</w:t>
      </w:r>
      <w:r w:rsidR="007A08F4">
        <w:rPr>
          <w:rFonts w:ascii="Arial" w:hAnsi="Arial" w:cs="Arial"/>
          <w:sz w:val="24"/>
          <w:szCs w:val="24"/>
        </w:rPr>
        <w:t>’s</w:t>
      </w:r>
      <w:r w:rsidR="00000A84" w:rsidRPr="009320FE">
        <w:rPr>
          <w:rFonts w:ascii="Arial" w:hAnsi="Arial" w:cs="Arial"/>
          <w:sz w:val="24"/>
          <w:szCs w:val="24"/>
        </w:rPr>
        <w:t xml:space="preserve"> </w:t>
      </w:r>
      <w:r w:rsidR="00837A9F" w:rsidRPr="009320FE">
        <w:rPr>
          <w:rFonts w:ascii="Arial" w:hAnsi="Arial" w:cs="Arial"/>
          <w:sz w:val="24"/>
          <w:szCs w:val="24"/>
        </w:rPr>
        <w:t>version, it</w:t>
      </w:r>
      <w:r w:rsidR="004B7E64" w:rsidRPr="009320FE">
        <w:rPr>
          <w:rFonts w:ascii="Arial" w:hAnsi="Arial" w:cs="Arial"/>
          <w:sz w:val="24"/>
          <w:szCs w:val="24"/>
        </w:rPr>
        <w:t xml:space="preserve"> is not axiomatic </w:t>
      </w:r>
      <w:r w:rsidR="00000A84" w:rsidRPr="009320FE">
        <w:rPr>
          <w:rFonts w:ascii="Arial" w:hAnsi="Arial" w:cs="Arial"/>
          <w:sz w:val="24"/>
          <w:szCs w:val="24"/>
        </w:rPr>
        <w:t xml:space="preserve">that </w:t>
      </w:r>
      <w:r w:rsidR="004B7E64" w:rsidRPr="009320FE">
        <w:rPr>
          <w:rFonts w:ascii="Arial" w:hAnsi="Arial" w:cs="Arial"/>
          <w:sz w:val="24"/>
          <w:szCs w:val="24"/>
        </w:rPr>
        <w:t>the evidence led by the S</w:t>
      </w:r>
      <w:r w:rsidR="00000A84" w:rsidRPr="009320FE">
        <w:rPr>
          <w:rFonts w:ascii="Arial" w:hAnsi="Arial" w:cs="Arial"/>
          <w:sz w:val="24"/>
          <w:szCs w:val="24"/>
        </w:rPr>
        <w:t xml:space="preserve">tate is to be </w:t>
      </w:r>
      <w:r w:rsidR="004B7E64" w:rsidRPr="009320FE">
        <w:rPr>
          <w:rFonts w:ascii="Arial" w:hAnsi="Arial" w:cs="Arial"/>
          <w:sz w:val="24"/>
          <w:szCs w:val="24"/>
        </w:rPr>
        <w:t>accepted. The one does not follow the other</w:t>
      </w:r>
      <w:r w:rsidR="003066C6" w:rsidRPr="009320FE">
        <w:rPr>
          <w:rFonts w:ascii="Arial" w:hAnsi="Arial" w:cs="Arial"/>
          <w:sz w:val="24"/>
          <w:szCs w:val="24"/>
        </w:rPr>
        <w:t>.</w:t>
      </w:r>
      <w:r w:rsidR="004B7E64" w:rsidRPr="009320FE">
        <w:rPr>
          <w:rFonts w:ascii="Arial" w:hAnsi="Arial" w:cs="Arial"/>
          <w:sz w:val="24"/>
          <w:szCs w:val="24"/>
        </w:rPr>
        <w:t xml:space="preserve"> </w:t>
      </w:r>
      <w:r w:rsidR="00837A9F" w:rsidRPr="009320FE">
        <w:rPr>
          <w:rFonts w:ascii="Arial" w:hAnsi="Arial" w:cs="Arial"/>
          <w:sz w:val="24"/>
          <w:szCs w:val="24"/>
        </w:rPr>
        <w:t xml:space="preserve">The correct approach is whether, in the light of all the evidence adduced </w:t>
      </w:r>
      <w:r w:rsidR="004B7E64" w:rsidRPr="009320FE">
        <w:rPr>
          <w:rFonts w:ascii="Arial" w:hAnsi="Arial" w:cs="Arial"/>
          <w:sz w:val="24"/>
          <w:szCs w:val="24"/>
        </w:rPr>
        <w:t>at the trial, the guilt of</w:t>
      </w:r>
      <w:r w:rsidR="003066C6" w:rsidRPr="009320FE">
        <w:rPr>
          <w:rFonts w:ascii="Arial" w:hAnsi="Arial" w:cs="Arial"/>
          <w:sz w:val="24"/>
          <w:szCs w:val="24"/>
        </w:rPr>
        <w:t xml:space="preserve"> the </w:t>
      </w:r>
      <w:r w:rsidR="00E922A3" w:rsidRPr="009320FE">
        <w:rPr>
          <w:rFonts w:ascii="Arial" w:hAnsi="Arial" w:cs="Arial"/>
          <w:sz w:val="24"/>
          <w:szCs w:val="24"/>
        </w:rPr>
        <w:t xml:space="preserve">appellant </w:t>
      </w:r>
      <w:r w:rsidR="003066C6" w:rsidRPr="009320FE">
        <w:rPr>
          <w:rFonts w:ascii="Arial" w:hAnsi="Arial" w:cs="Arial"/>
          <w:sz w:val="24"/>
          <w:szCs w:val="24"/>
        </w:rPr>
        <w:t>has been</w:t>
      </w:r>
      <w:r w:rsidR="00837A9F" w:rsidRPr="009320FE">
        <w:rPr>
          <w:rFonts w:ascii="Arial" w:hAnsi="Arial" w:cs="Arial"/>
          <w:sz w:val="24"/>
          <w:szCs w:val="24"/>
        </w:rPr>
        <w:t xml:space="preserve"> established beyond </w:t>
      </w:r>
      <w:r w:rsidR="004E73D5">
        <w:rPr>
          <w:rFonts w:ascii="Arial" w:hAnsi="Arial" w:cs="Arial"/>
          <w:sz w:val="24"/>
          <w:szCs w:val="24"/>
        </w:rPr>
        <w:t xml:space="preserve">a </w:t>
      </w:r>
      <w:r w:rsidR="00837A9F" w:rsidRPr="009320FE">
        <w:rPr>
          <w:rFonts w:ascii="Arial" w:hAnsi="Arial" w:cs="Arial"/>
          <w:sz w:val="24"/>
          <w:szCs w:val="24"/>
        </w:rPr>
        <w:t>reasonable doubt.</w:t>
      </w:r>
      <w:r w:rsidR="009A18EA" w:rsidRPr="009320FE">
        <w:rPr>
          <w:rStyle w:val="FootnoteReference"/>
          <w:rFonts w:ascii="Arial" w:hAnsi="Arial" w:cs="Arial"/>
          <w:sz w:val="24"/>
          <w:szCs w:val="24"/>
        </w:rPr>
        <w:footnoteReference w:id="20"/>
      </w:r>
    </w:p>
    <w:p w:rsidR="00837A9F" w:rsidRPr="009320FE" w:rsidRDefault="00837A9F" w:rsidP="009320FE">
      <w:pPr>
        <w:spacing w:after="0" w:line="360" w:lineRule="auto"/>
        <w:contextualSpacing/>
        <w:jc w:val="both"/>
        <w:rPr>
          <w:rFonts w:ascii="Arial" w:hAnsi="Arial" w:cs="Arial"/>
          <w:sz w:val="24"/>
          <w:szCs w:val="24"/>
        </w:rPr>
      </w:pPr>
    </w:p>
    <w:p w:rsidR="00FE35EA"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2</w:t>
      </w:r>
      <w:r w:rsidR="00567EF2">
        <w:rPr>
          <w:rFonts w:ascii="Arial" w:hAnsi="Arial" w:cs="Arial"/>
          <w:sz w:val="24"/>
          <w:szCs w:val="24"/>
        </w:rPr>
        <w:t>8</w:t>
      </w:r>
      <w:r w:rsidR="009D203E" w:rsidRPr="009320FE">
        <w:rPr>
          <w:rFonts w:ascii="Arial" w:hAnsi="Arial" w:cs="Arial"/>
          <w:sz w:val="24"/>
          <w:szCs w:val="24"/>
        </w:rPr>
        <w:t xml:space="preserve">] </w:t>
      </w:r>
      <w:r w:rsidRPr="009320FE">
        <w:rPr>
          <w:rFonts w:ascii="Arial" w:hAnsi="Arial" w:cs="Arial"/>
          <w:sz w:val="24"/>
          <w:szCs w:val="24"/>
        </w:rPr>
        <w:tab/>
      </w:r>
      <w:r w:rsidR="009D203E" w:rsidRPr="009320FE">
        <w:rPr>
          <w:rFonts w:ascii="Arial" w:hAnsi="Arial" w:cs="Arial"/>
          <w:sz w:val="24"/>
          <w:szCs w:val="24"/>
        </w:rPr>
        <w:t>Secondly</w:t>
      </w:r>
      <w:r w:rsidR="004B7E64" w:rsidRPr="009320FE">
        <w:rPr>
          <w:rFonts w:ascii="Arial" w:hAnsi="Arial" w:cs="Arial"/>
          <w:sz w:val="24"/>
          <w:szCs w:val="24"/>
        </w:rPr>
        <w:t>,</w:t>
      </w:r>
      <w:r w:rsidR="009D203E" w:rsidRPr="009320FE">
        <w:rPr>
          <w:rFonts w:ascii="Arial" w:hAnsi="Arial" w:cs="Arial"/>
          <w:sz w:val="24"/>
          <w:szCs w:val="24"/>
        </w:rPr>
        <w:t xml:space="preserve"> it is apparent from the passage quoted above that the lea</w:t>
      </w:r>
      <w:r w:rsidR="004B7E64" w:rsidRPr="009320FE">
        <w:rPr>
          <w:rFonts w:ascii="Arial" w:hAnsi="Arial" w:cs="Arial"/>
          <w:sz w:val="24"/>
          <w:szCs w:val="24"/>
        </w:rPr>
        <w:t>r</w:t>
      </w:r>
      <w:r w:rsidR="009D203E" w:rsidRPr="009320FE">
        <w:rPr>
          <w:rFonts w:ascii="Arial" w:hAnsi="Arial" w:cs="Arial"/>
          <w:sz w:val="24"/>
          <w:szCs w:val="24"/>
        </w:rPr>
        <w:t xml:space="preserve">ned magistrate applied the incorrect standard of proof. The </w:t>
      </w:r>
      <w:r w:rsidR="004B7E64" w:rsidRPr="009320FE">
        <w:rPr>
          <w:rFonts w:ascii="Arial" w:hAnsi="Arial" w:cs="Arial"/>
          <w:sz w:val="24"/>
          <w:szCs w:val="24"/>
        </w:rPr>
        <w:t xml:space="preserve">magistrate appears to have </w:t>
      </w:r>
      <w:r w:rsidR="009717E8" w:rsidRPr="009320FE">
        <w:rPr>
          <w:rFonts w:ascii="Arial" w:hAnsi="Arial" w:cs="Arial"/>
          <w:sz w:val="24"/>
          <w:szCs w:val="24"/>
        </w:rPr>
        <w:t>convicted the</w:t>
      </w:r>
      <w:r w:rsidR="004B7E64" w:rsidRPr="009320FE">
        <w:rPr>
          <w:rFonts w:ascii="Arial" w:hAnsi="Arial" w:cs="Arial"/>
          <w:sz w:val="24"/>
          <w:szCs w:val="24"/>
        </w:rPr>
        <w:t xml:space="preserve"> </w:t>
      </w:r>
      <w:r w:rsidR="008B7439" w:rsidRPr="009320FE">
        <w:rPr>
          <w:rFonts w:ascii="Arial" w:hAnsi="Arial" w:cs="Arial"/>
          <w:sz w:val="24"/>
          <w:szCs w:val="24"/>
        </w:rPr>
        <w:t xml:space="preserve">appellant </w:t>
      </w:r>
      <w:r w:rsidR="009D203E" w:rsidRPr="009320FE">
        <w:rPr>
          <w:rFonts w:ascii="Arial" w:hAnsi="Arial" w:cs="Arial"/>
          <w:sz w:val="24"/>
          <w:szCs w:val="24"/>
        </w:rPr>
        <w:t>on the basi</w:t>
      </w:r>
      <w:r w:rsidR="004B7E64" w:rsidRPr="009320FE">
        <w:rPr>
          <w:rFonts w:ascii="Arial" w:hAnsi="Arial" w:cs="Arial"/>
          <w:sz w:val="24"/>
          <w:szCs w:val="24"/>
        </w:rPr>
        <w:t>s that the evidence led by the S</w:t>
      </w:r>
      <w:r w:rsidR="009D203E" w:rsidRPr="009320FE">
        <w:rPr>
          <w:rFonts w:ascii="Arial" w:hAnsi="Arial" w:cs="Arial"/>
          <w:sz w:val="24"/>
          <w:szCs w:val="24"/>
        </w:rPr>
        <w:t xml:space="preserve">tate was accepted as reasonably possibly </w:t>
      </w:r>
      <w:r w:rsidR="003066C6" w:rsidRPr="009320FE">
        <w:rPr>
          <w:rFonts w:ascii="Arial" w:hAnsi="Arial" w:cs="Arial"/>
          <w:sz w:val="24"/>
          <w:szCs w:val="24"/>
        </w:rPr>
        <w:t>true. It</w:t>
      </w:r>
      <w:r w:rsidR="009D203E" w:rsidRPr="009320FE">
        <w:rPr>
          <w:rFonts w:ascii="Arial" w:hAnsi="Arial" w:cs="Arial"/>
          <w:sz w:val="24"/>
          <w:szCs w:val="24"/>
        </w:rPr>
        <w:t xml:space="preserve"> is trite t</w:t>
      </w:r>
      <w:r w:rsidR="004B7E64" w:rsidRPr="009320FE">
        <w:rPr>
          <w:rFonts w:ascii="Arial" w:hAnsi="Arial" w:cs="Arial"/>
          <w:sz w:val="24"/>
          <w:szCs w:val="24"/>
        </w:rPr>
        <w:t>hat in the criminal matters</w:t>
      </w:r>
      <w:r w:rsidR="004E73D5">
        <w:rPr>
          <w:rFonts w:ascii="Arial" w:hAnsi="Arial" w:cs="Arial"/>
          <w:sz w:val="24"/>
          <w:szCs w:val="24"/>
        </w:rPr>
        <w:t>,</w:t>
      </w:r>
      <w:r w:rsidR="004B7E64" w:rsidRPr="009320FE">
        <w:rPr>
          <w:rFonts w:ascii="Arial" w:hAnsi="Arial" w:cs="Arial"/>
          <w:sz w:val="24"/>
          <w:szCs w:val="24"/>
        </w:rPr>
        <w:t xml:space="preserve"> the S</w:t>
      </w:r>
      <w:r w:rsidR="009D203E" w:rsidRPr="009320FE">
        <w:rPr>
          <w:rFonts w:ascii="Arial" w:hAnsi="Arial" w:cs="Arial"/>
          <w:sz w:val="24"/>
          <w:szCs w:val="24"/>
        </w:rPr>
        <w:t xml:space="preserve">tate must prove </w:t>
      </w:r>
      <w:r w:rsidR="004B7E64" w:rsidRPr="009320FE">
        <w:rPr>
          <w:rFonts w:ascii="Arial" w:hAnsi="Arial" w:cs="Arial"/>
          <w:sz w:val="24"/>
          <w:szCs w:val="24"/>
        </w:rPr>
        <w:t xml:space="preserve">its </w:t>
      </w:r>
      <w:r w:rsidR="009D203E" w:rsidRPr="009320FE">
        <w:rPr>
          <w:rFonts w:ascii="Arial" w:hAnsi="Arial" w:cs="Arial"/>
          <w:sz w:val="24"/>
          <w:szCs w:val="24"/>
        </w:rPr>
        <w:t xml:space="preserve">case beyond </w:t>
      </w:r>
      <w:r w:rsidR="00C14BAA">
        <w:rPr>
          <w:rFonts w:ascii="Arial" w:hAnsi="Arial" w:cs="Arial"/>
          <w:sz w:val="24"/>
          <w:szCs w:val="24"/>
        </w:rPr>
        <w:t xml:space="preserve">a </w:t>
      </w:r>
      <w:r w:rsidR="009D203E" w:rsidRPr="009320FE">
        <w:rPr>
          <w:rFonts w:ascii="Arial" w:hAnsi="Arial" w:cs="Arial"/>
          <w:sz w:val="24"/>
          <w:szCs w:val="24"/>
        </w:rPr>
        <w:t>reasonable doubt.</w:t>
      </w:r>
      <w:r w:rsidR="009A18EA" w:rsidRPr="009320FE">
        <w:rPr>
          <w:rStyle w:val="FootnoteReference"/>
          <w:rFonts w:ascii="Arial" w:hAnsi="Arial" w:cs="Arial"/>
          <w:sz w:val="24"/>
          <w:szCs w:val="24"/>
        </w:rPr>
        <w:footnoteReference w:id="21"/>
      </w:r>
    </w:p>
    <w:p w:rsidR="009D203E" w:rsidRPr="009320FE" w:rsidRDefault="009D203E" w:rsidP="009320FE">
      <w:pPr>
        <w:spacing w:after="0" w:line="360" w:lineRule="auto"/>
        <w:contextualSpacing/>
        <w:jc w:val="both"/>
        <w:rPr>
          <w:rFonts w:ascii="Arial" w:hAnsi="Arial" w:cs="Arial"/>
          <w:sz w:val="24"/>
          <w:szCs w:val="24"/>
        </w:rPr>
      </w:pPr>
    </w:p>
    <w:p w:rsidR="00F47D22"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567EF2">
        <w:rPr>
          <w:rFonts w:ascii="Arial" w:hAnsi="Arial" w:cs="Arial"/>
          <w:sz w:val="24"/>
          <w:szCs w:val="24"/>
        </w:rPr>
        <w:t>29</w:t>
      </w:r>
      <w:r w:rsidRPr="009320FE">
        <w:rPr>
          <w:rFonts w:ascii="Arial" w:hAnsi="Arial" w:cs="Arial"/>
          <w:sz w:val="24"/>
          <w:szCs w:val="24"/>
        </w:rPr>
        <w:t>]</w:t>
      </w:r>
      <w:r w:rsidR="009D203E" w:rsidRPr="009320FE">
        <w:rPr>
          <w:rFonts w:ascii="Arial" w:hAnsi="Arial" w:cs="Arial"/>
          <w:sz w:val="24"/>
          <w:szCs w:val="24"/>
        </w:rPr>
        <w:t xml:space="preserve"> </w:t>
      </w:r>
      <w:r w:rsidRPr="009320FE">
        <w:rPr>
          <w:rFonts w:ascii="Arial" w:hAnsi="Arial" w:cs="Arial"/>
          <w:sz w:val="24"/>
          <w:szCs w:val="24"/>
        </w:rPr>
        <w:tab/>
      </w:r>
      <w:r w:rsidR="004B7E64" w:rsidRPr="009320FE">
        <w:rPr>
          <w:rFonts w:ascii="Arial" w:hAnsi="Arial" w:cs="Arial"/>
          <w:sz w:val="24"/>
          <w:szCs w:val="24"/>
        </w:rPr>
        <w:t>I am however</w:t>
      </w:r>
      <w:r w:rsidR="00F47D22" w:rsidRPr="009320FE">
        <w:rPr>
          <w:rFonts w:ascii="Arial" w:hAnsi="Arial" w:cs="Arial"/>
          <w:sz w:val="24"/>
          <w:szCs w:val="24"/>
        </w:rPr>
        <w:t xml:space="preserve"> satisfied that this </w:t>
      </w:r>
      <w:r w:rsidR="009717E8" w:rsidRPr="009320FE">
        <w:rPr>
          <w:rFonts w:ascii="Arial" w:hAnsi="Arial" w:cs="Arial"/>
          <w:sz w:val="24"/>
          <w:szCs w:val="24"/>
        </w:rPr>
        <w:t>misdirection</w:t>
      </w:r>
      <w:r w:rsidR="009717E8">
        <w:rPr>
          <w:rFonts w:ascii="Arial" w:hAnsi="Arial" w:cs="Arial"/>
          <w:sz w:val="24"/>
          <w:szCs w:val="24"/>
        </w:rPr>
        <w:t xml:space="preserve"> (</w:t>
      </w:r>
      <w:r w:rsidR="004B7E64" w:rsidRPr="009320FE">
        <w:rPr>
          <w:rFonts w:ascii="Arial" w:hAnsi="Arial" w:cs="Arial"/>
          <w:sz w:val="24"/>
          <w:szCs w:val="24"/>
        </w:rPr>
        <w:t>if not a slip of the tongue</w:t>
      </w:r>
      <w:r w:rsidR="009717E8">
        <w:rPr>
          <w:rFonts w:ascii="Arial" w:hAnsi="Arial" w:cs="Arial"/>
          <w:sz w:val="24"/>
          <w:szCs w:val="24"/>
        </w:rPr>
        <w:t xml:space="preserve"> by the magistrate),</w:t>
      </w:r>
      <w:r w:rsidR="00321A61">
        <w:rPr>
          <w:rFonts w:ascii="Arial" w:hAnsi="Arial" w:cs="Arial"/>
          <w:sz w:val="24"/>
          <w:szCs w:val="24"/>
        </w:rPr>
        <w:t xml:space="preserve"> in the light of the totality of evidence,</w:t>
      </w:r>
      <w:r w:rsidR="00FD167B">
        <w:rPr>
          <w:rFonts w:ascii="Arial" w:hAnsi="Arial" w:cs="Arial"/>
          <w:sz w:val="24"/>
          <w:szCs w:val="24"/>
        </w:rPr>
        <w:t xml:space="preserve"> had no impact on the finding of guilt. </w:t>
      </w:r>
    </w:p>
    <w:p w:rsidR="004277C6" w:rsidRPr="009320FE" w:rsidRDefault="004277C6" w:rsidP="009320FE">
      <w:pPr>
        <w:spacing w:after="0" w:line="360" w:lineRule="auto"/>
        <w:contextualSpacing/>
        <w:jc w:val="both"/>
        <w:rPr>
          <w:rFonts w:ascii="Arial" w:hAnsi="Arial" w:cs="Arial"/>
          <w:sz w:val="24"/>
          <w:szCs w:val="24"/>
        </w:rPr>
      </w:pPr>
    </w:p>
    <w:p w:rsidR="009D203E" w:rsidRDefault="004277C6" w:rsidP="009320FE">
      <w:pPr>
        <w:spacing w:after="0" w:line="360" w:lineRule="auto"/>
        <w:contextualSpacing/>
        <w:jc w:val="both"/>
        <w:rPr>
          <w:rFonts w:ascii="Arial" w:hAnsi="Arial" w:cs="Arial"/>
          <w:b/>
          <w:sz w:val="24"/>
          <w:szCs w:val="24"/>
        </w:rPr>
      </w:pPr>
      <w:r w:rsidRPr="009320FE">
        <w:rPr>
          <w:rFonts w:ascii="Arial" w:hAnsi="Arial" w:cs="Arial"/>
          <w:b/>
          <w:sz w:val="24"/>
          <w:szCs w:val="24"/>
        </w:rPr>
        <w:t>Sentence</w:t>
      </w:r>
    </w:p>
    <w:p w:rsidR="00FD167B" w:rsidRPr="009320FE" w:rsidRDefault="00FD167B" w:rsidP="009320FE">
      <w:pPr>
        <w:spacing w:after="0" w:line="360" w:lineRule="auto"/>
        <w:contextualSpacing/>
        <w:jc w:val="both"/>
        <w:rPr>
          <w:rFonts w:ascii="Arial" w:hAnsi="Arial" w:cs="Arial"/>
          <w:b/>
          <w:sz w:val="24"/>
          <w:szCs w:val="24"/>
        </w:rPr>
      </w:pPr>
    </w:p>
    <w:p w:rsidR="00F47D22" w:rsidRPr="009320FE" w:rsidRDefault="00C42812" w:rsidP="009320FE">
      <w:pPr>
        <w:spacing w:after="0" w:line="360" w:lineRule="auto"/>
        <w:contextualSpacing/>
        <w:jc w:val="both"/>
        <w:rPr>
          <w:rFonts w:ascii="Arial" w:hAnsi="Arial" w:cs="Arial"/>
          <w:sz w:val="24"/>
          <w:szCs w:val="24"/>
        </w:rPr>
      </w:pPr>
      <w:r w:rsidRPr="009320FE">
        <w:rPr>
          <w:rFonts w:ascii="Arial" w:hAnsi="Arial" w:cs="Arial"/>
          <w:sz w:val="24"/>
          <w:szCs w:val="24"/>
        </w:rPr>
        <w:t>[3</w:t>
      </w:r>
      <w:r w:rsidR="00567EF2">
        <w:rPr>
          <w:rFonts w:ascii="Arial" w:hAnsi="Arial" w:cs="Arial"/>
          <w:sz w:val="24"/>
          <w:szCs w:val="24"/>
        </w:rPr>
        <w:t>0</w:t>
      </w:r>
      <w:r w:rsidRPr="009320FE">
        <w:rPr>
          <w:rFonts w:ascii="Arial" w:hAnsi="Arial" w:cs="Arial"/>
          <w:sz w:val="24"/>
          <w:szCs w:val="24"/>
        </w:rPr>
        <w:t>]</w:t>
      </w:r>
      <w:r w:rsidRPr="009320FE">
        <w:rPr>
          <w:rFonts w:ascii="Arial" w:hAnsi="Arial" w:cs="Arial"/>
          <w:sz w:val="24"/>
          <w:szCs w:val="24"/>
        </w:rPr>
        <w:tab/>
      </w:r>
      <w:r w:rsidR="00F47D22" w:rsidRPr="009320FE">
        <w:rPr>
          <w:rFonts w:ascii="Arial" w:hAnsi="Arial" w:cs="Arial"/>
          <w:sz w:val="24"/>
          <w:szCs w:val="24"/>
        </w:rPr>
        <w:t xml:space="preserve"> The ground of appeal against sentence is premised on the court a</w:t>
      </w:r>
      <w:r w:rsidR="003066C6" w:rsidRPr="009320FE">
        <w:rPr>
          <w:rFonts w:ascii="Arial" w:hAnsi="Arial" w:cs="Arial"/>
          <w:sz w:val="24"/>
          <w:szCs w:val="24"/>
        </w:rPr>
        <w:t xml:space="preserve"> </w:t>
      </w:r>
      <w:r w:rsidR="00F47D22" w:rsidRPr="009320FE">
        <w:rPr>
          <w:rFonts w:ascii="Arial" w:hAnsi="Arial" w:cs="Arial"/>
          <w:sz w:val="24"/>
          <w:szCs w:val="24"/>
        </w:rPr>
        <w:t>quo</w:t>
      </w:r>
      <w:r w:rsidR="006C6761">
        <w:rPr>
          <w:rFonts w:ascii="Arial" w:hAnsi="Arial" w:cs="Arial"/>
          <w:sz w:val="24"/>
          <w:szCs w:val="24"/>
        </w:rPr>
        <w:t>’</w:t>
      </w:r>
      <w:r w:rsidR="00D418D1" w:rsidRPr="009320FE">
        <w:rPr>
          <w:rFonts w:ascii="Arial" w:hAnsi="Arial" w:cs="Arial"/>
          <w:sz w:val="24"/>
          <w:szCs w:val="24"/>
        </w:rPr>
        <w:t>s</w:t>
      </w:r>
      <w:r w:rsidR="00F47D22" w:rsidRPr="009320FE">
        <w:rPr>
          <w:rFonts w:ascii="Arial" w:hAnsi="Arial" w:cs="Arial"/>
          <w:sz w:val="24"/>
          <w:szCs w:val="24"/>
        </w:rPr>
        <w:t xml:space="preserve"> failure to find substantial and compelling circumstances to deviate from the mandatory sentence of </w:t>
      </w:r>
      <w:r w:rsidR="00CB3E0B">
        <w:rPr>
          <w:rFonts w:ascii="Arial" w:hAnsi="Arial" w:cs="Arial"/>
          <w:sz w:val="24"/>
          <w:szCs w:val="24"/>
        </w:rPr>
        <w:t xml:space="preserve">life </w:t>
      </w:r>
      <w:r w:rsidR="00F47D22" w:rsidRPr="009320FE">
        <w:rPr>
          <w:rFonts w:ascii="Arial" w:hAnsi="Arial" w:cs="Arial"/>
          <w:sz w:val="24"/>
          <w:szCs w:val="24"/>
        </w:rPr>
        <w:t>imprisonment.</w:t>
      </w:r>
    </w:p>
    <w:p w:rsidR="00F47D22" w:rsidRPr="009320FE" w:rsidRDefault="00F47D22" w:rsidP="009320FE">
      <w:pPr>
        <w:spacing w:after="0" w:line="360" w:lineRule="auto"/>
        <w:contextualSpacing/>
        <w:jc w:val="both"/>
        <w:rPr>
          <w:rFonts w:ascii="Arial" w:hAnsi="Arial" w:cs="Arial"/>
          <w:sz w:val="24"/>
          <w:szCs w:val="24"/>
        </w:rPr>
      </w:pPr>
    </w:p>
    <w:p w:rsidR="00F47D22" w:rsidRPr="009320FE" w:rsidRDefault="00F47D22" w:rsidP="009320FE">
      <w:pPr>
        <w:spacing w:after="0" w:line="360" w:lineRule="auto"/>
        <w:contextualSpacing/>
        <w:jc w:val="both"/>
        <w:rPr>
          <w:rFonts w:ascii="Arial" w:hAnsi="Arial" w:cs="Arial"/>
          <w:sz w:val="24"/>
          <w:szCs w:val="24"/>
        </w:rPr>
      </w:pPr>
      <w:r w:rsidRPr="009320FE">
        <w:rPr>
          <w:rFonts w:ascii="Arial" w:hAnsi="Arial" w:cs="Arial"/>
          <w:sz w:val="24"/>
          <w:szCs w:val="24"/>
        </w:rPr>
        <w:t>[3</w:t>
      </w:r>
      <w:r w:rsidR="00567EF2">
        <w:rPr>
          <w:rFonts w:ascii="Arial" w:hAnsi="Arial" w:cs="Arial"/>
          <w:sz w:val="24"/>
          <w:szCs w:val="24"/>
        </w:rPr>
        <w:t>1</w:t>
      </w:r>
      <w:r w:rsidR="00D07CF1" w:rsidRPr="009320FE">
        <w:rPr>
          <w:rFonts w:ascii="Arial" w:hAnsi="Arial" w:cs="Arial"/>
          <w:sz w:val="24"/>
          <w:szCs w:val="24"/>
        </w:rPr>
        <w:t>]</w:t>
      </w:r>
      <w:r w:rsidR="00C42812" w:rsidRPr="009320FE">
        <w:rPr>
          <w:rFonts w:ascii="Arial" w:hAnsi="Arial" w:cs="Arial"/>
          <w:sz w:val="24"/>
          <w:szCs w:val="24"/>
        </w:rPr>
        <w:tab/>
      </w:r>
      <w:r w:rsidR="00D07CF1" w:rsidRPr="009320FE">
        <w:rPr>
          <w:rFonts w:ascii="Arial" w:hAnsi="Arial" w:cs="Arial"/>
          <w:sz w:val="24"/>
          <w:szCs w:val="24"/>
        </w:rPr>
        <w:t xml:space="preserve"> It</w:t>
      </w:r>
      <w:r w:rsidRPr="009320FE">
        <w:rPr>
          <w:rFonts w:ascii="Arial" w:hAnsi="Arial" w:cs="Arial"/>
          <w:sz w:val="24"/>
          <w:szCs w:val="24"/>
        </w:rPr>
        <w:t xml:space="preserve"> </w:t>
      </w:r>
      <w:r w:rsidR="00D418D1" w:rsidRPr="009320FE">
        <w:rPr>
          <w:rFonts w:ascii="Arial" w:hAnsi="Arial" w:cs="Arial"/>
          <w:sz w:val="24"/>
          <w:szCs w:val="24"/>
        </w:rPr>
        <w:t xml:space="preserve">is trite that an </w:t>
      </w:r>
      <w:r w:rsidR="006C6761" w:rsidRPr="009320FE">
        <w:rPr>
          <w:rFonts w:ascii="Arial" w:hAnsi="Arial" w:cs="Arial"/>
          <w:sz w:val="24"/>
          <w:szCs w:val="24"/>
        </w:rPr>
        <w:t xml:space="preserve">appeal </w:t>
      </w:r>
      <w:r w:rsidR="00D07CF1" w:rsidRPr="009320FE">
        <w:rPr>
          <w:rFonts w:ascii="Arial" w:hAnsi="Arial" w:cs="Arial"/>
          <w:sz w:val="24"/>
          <w:szCs w:val="24"/>
        </w:rPr>
        <w:t xml:space="preserve">court can only interfere with a sentence imposed if there is </w:t>
      </w:r>
      <w:r w:rsidR="007D5A79">
        <w:rPr>
          <w:rFonts w:ascii="Arial" w:hAnsi="Arial" w:cs="Arial"/>
          <w:sz w:val="24"/>
          <w:szCs w:val="24"/>
        </w:rPr>
        <w:t xml:space="preserve">a </w:t>
      </w:r>
      <w:r w:rsidR="00D07CF1" w:rsidRPr="009320FE">
        <w:rPr>
          <w:rFonts w:ascii="Arial" w:hAnsi="Arial" w:cs="Arial"/>
          <w:sz w:val="24"/>
          <w:szCs w:val="24"/>
        </w:rPr>
        <w:t xml:space="preserve">material misdirection by the trial court or if there is such a grave disparity between the sentence imposed by the </w:t>
      </w:r>
      <w:r w:rsidR="00CF73D1">
        <w:rPr>
          <w:rFonts w:ascii="Arial" w:hAnsi="Arial" w:cs="Arial"/>
          <w:sz w:val="24"/>
          <w:szCs w:val="24"/>
        </w:rPr>
        <w:t xml:space="preserve">trial </w:t>
      </w:r>
      <w:r w:rsidR="00D07CF1" w:rsidRPr="009320FE">
        <w:rPr>
          <w:rFonts w:ascii="Arial" w:hAnsi="Arial" w:cs="Arial"/>
          <w:sz w:val="24"/>
          <w:szCs w:val="24"/>
        </w:rPr>
        <w:t>court</w:t>
      </w:r>
      <w:r w:rsidR="004277C6" w:rsidRPr="009320FE">
        <w:rPr>
          <w:rFonts w:ascii="Arial" w:hAnsi="Arial" w:cs="Arial"/>
          <w:sz w:val="24"/>
          <w:szCs w:val="24"/>
        </w:rPr>
        <w:t xml:space="preserve"> and the sentence</w:t>
      </w:r>
      <w:r w:rsidR="00CF73D1">
        <w:rPr>
          <w:rFonts w:ascii="Arial" w:hAnsi="Arial" w:cs="Arial"/>
          <w:sz w:val="24"/>
          <w:szCs w:val="24"/>
        </w:rPr>
        <w:t xml:space="preserve"> which</w:t>
      </w:r>
      <w:r w:rsidR="00D418D1" w:rsidRPr="009320FE">
        <w:rPr>
          <w:rFonts w:ascii="Arial" w:hAnsi="Arial" w:cs="Arial"/>
          <w:sz w:val="24"/>
          <w:szCs w:val="24"/>
        </w:rPr>
        <w:t xml:space="preserve"> the </w:t>
      </w:r>
      <w:r w:rsidR="006C6761" w:rsidRPr="009320FE">
        <w:rPr>
          <w:rFonts w:ascii="Arial" w:hAnsi="Arial" w:cs="Arial"/>
          <w:sz w:val="24"/>
          <w:szCs w:val="24"/>
        </w:rPr>
        <w:t xml:space="preserve">appeal </w:t>
      </w:r>
      <w:r w:rsidR="00D07CF1" w:rsidRPr="009320FE">
        <w:rPr>
          <w:rFonts w:ascii="Arial" w:hAnsi="Arial" w:cs="Arial"/>
          <w:sz w:val="24"/>
          <w:szCs w:val="24"/>
        </w:rPr>
        <w:t>court would have imp</w:t>
      </w:r>
      <w:r w:rsidR="00D418D1" w:rsidRPr="009320FE">
        <w:rPr>
          <w:rFonts w:ascii="Arial" w:hAnsi="Arial" w:cs="Arial"/>
          <w:sz w:val="24"/>
          <w:szCs w:val="24"/>
        </w:rPr>
        <w:t xml:space="preserve">osed if it were the trial </w:t>
      </w:r>
      <w:r w:rsidR="004277C6" w:rsidRPr="009320FE">
        <w:rPr>
          <w:rFonts w:ascii="Arial" w:hAnsi="Arial" w:cs="Arial"/>
          <w:sz w:val="24"/>
          <w:szCs w:val="24"/>
        </w:rPr>
        <w:t>court. It</w:t>
      </w:r>
      <w:r w:rsidR="00D07CF1" w:rsidRPr="009320FE">
        <w:rPr>
          <w:rFonts w:ascii="Arial" w:hAnsi="Arial" w:cs="Arial"/>
          <w:sz w:val="24"/>
          <w:szCs w:val="24"/>
        </w:rPr>
        <w:t xml:space="preserve"> is also trite that the disparity should be shocking or disturbingly inappropriate or vitiated by irregularity, to justify interference.</w:t>
      </w:r>
      <w:r w:rsidR="00384C6F" w:rsidRPr="009320FE">
        <w:rPr>
          <w:rStyle w:val="FootnoteReference"/>
          <w:rFonts w:ascii="Arial" w:hAnsi="Arial" w:cs="Arial"/>
          <w:sz w:val="24"/>
          <w:szCs w:val="24"/>
        </w:rPr>
        <w:footnoteReference w:id="22"/>
      </w:r>
    </w:p>
    <w:p w:rsidR="00D07CF1" w:rsidRPr="009320FE" w:rsidRDefault="00D07CF1" w:rsidP="009320FE">
      <w:pPr>
        <w:spacing w:after="0" w:line="360" w:lineRule="auto"/>
        <w:contextualSpacing/>
        <w:jc w:val="both"/>
        <w:rPr>
          <w:rFonts w:ascii="Arial" w:hAnsi="Arial" w:cs="Arial"/>
          <w:sz w:val="24"/>
          <w:szCs w:val="24"/>
        </w:rPr>
      </w:pPr>
    </w:p>
    <w:p w:rsidR="00D07CF1" w:rsidRPr="009320FE" w:rsidRDefault="00D07CF1" w:rsidP="009320FE">
      <w:pPr>
        <w:spacing w:after="0" w:line="360" w:lineRule="auto"/>
        <w:contextualSpacing/>
        <w:jc w:val="both"/>
        <w:rPr>
          <w:rFonts w:ascii="Arial" w:hAnsi="Arial" w:cs="Arial"/>
          <w:sz w:val="24"/>
          <w:szCs w:val="24"/>
        </w:rPr>
      </w:pPr>
      <w:r w:rsidRPr="009320FE">
        <w:rPr>
          <w:rFonts w:ascii="Arial" w:hAnsi="Arial" w:cs="Arial"/>
          <w:sz w:val="24"/>
          <w:szCs w:val="24"/>
        </w:rPr>
        <w:t>[3</w:t>
      </w:r>
      <w:r w:rsidR="00567EF2">
        <w:rPr>
          <w:rFonts w:ascii="Arial" w:hAnsi="Arial" w:cs="Arial"/>
          <w:sz w:val="24"/>
          <w:szCs w:val="24"/>
        </w:rPr>
        <w:t>2</w:t>
      </w:r>
      <w:r w:rsidRPr="009320FE">
        <w:rPr>
          <w:rFonts w:ascii="Arial" w:hAnsi="Arial" w:cs="Arial"/>
          <w:sz w:val="24"/>
          <w:szCs w:val="24"/>
        </w:rPr>
        <w:t xml:space="preserve">] </w:t>
      </w:r>
      <w:r w:rsidR="00C42812" w:rsidRPr="009320FE">
        <w:rPr>
          <w:rFonts w:ascii="Arial" w:hAnsi="Arial" w:cs="Arial"/>
          <w:sz w:val="24"/>
          <w:szCs w:val="24"/>
        </w:rPr>
        <w:tab/>
      </w:r>
      <w:r w:rsidR="007D5A79">
        <w:rPr>
          <w:rFonts w:ascii="Arial" w:hAnsi="Arial" w:cs="Arial"/>
          <w:sz w:val="24"/>
          <w:szCs w:val="24"/>
        </w:rPr>
        <w:t>R</w:t>
      </w:r>
      <w:r w:rsidRPr="009320FE">
        <w:rPr>
          <w:rFonts w:ascii="Arial" w:hAnsi="Arial" w:cs="Arial"/>
          <w:sz w:val="24"/>
          <w:szCs w:val="24"/>
        </w:rPr>
        <w:t>ape</w:t>
      </w:r>
      <w:r w:rsidR="007D5A79">
        <w:rPr>
          <w:rFonts w:ascii="Arial" w:hAnsi="Arial" w:cs="Arial"/>
          <w:sz w:val="24"/>
          <w:szCs w:val="24"/>
        </w:rPr>
        <w:t>,</w:t>
      </w:r>
      <w:r w:rsidRPr="009320FE">
        <w:rPr>
          <w:rFonts w:ascii="Arial" w:hAnsi="Arial" w:cs="Arial"/>
          <w:sz w:val="24"/>
          <w:szCs w:val="24"/>
        </w:rPr>
        <w:t xml:space="preserve"> particularly </w:t>
      </w:r>
      <w:r w:rsidR="007D5A79">
        <w:rPr>
          <w:rFonts w:ascii="Arial" w:hAnsi="Arial" w:cs="Arial"/>
          <w:sz w:val="24"/>
          <w:szCs w:val="24"/>
        </w:rPr>
        <w:t xml:space="preserve">of </w:t>
      </w:r>
      <w:r w:rsidRPr="009320FE">
        <w:rPr>
          <w:rFonts w:ascii="Arial" w:hAnsi="Arial" w:cs="Arial"/>
          <w:sz w:val="24"/>
          <w:szCs w:val="24"/>
        </w:rPr>
        <w:t>women and children</w:t>
      </w:r>
      <w:r w:rsidR="007D5A79">
        <w:rPr>
          <w:rFonts w:ascii="Arial" w:hAnsi="Arial" w:cs="Arial"/>
          <w:sz w:val="24"/>
          <w:szCs w:val="24"/>
        </w:rPr>
        <w:t>,</w:t>
      </w:r>
      <w:r w:rsidRPr="009320FE">
        <w:rPr>
          <w:rFonts w:ascii="Arial" w:hAnsi="Arial" w:cs="Arial"/>
          <w:sz w:val="24"/>
          <w:szCs w:val="24"/>
        </w:rPr>
        <w:t xml:space="preserve"> </w:t>
      </w:r>
      <w:r w:rsidR="00D418D1" w:rsidRPr="009320FE">
        <w:rPr>
          <w:rFonts w:ascii="Arial" w:hAnsi="Arial" w:cs="Arial"/>
          <w:sz w:val="24"/>
          <w:szCs w:val="24"/>
        </w:rPr>
        <w:t>has reached alarming levels in S</w:t>
      </w:r>
      <w:r w:rsidRPr="009320FE">
        <w:rPr>
          <w:rFonts w:ascii="Arial" w:hAnsi="Arial" w:cs="Arial"/>
          <w:sz w:val="24"/>
          <w:szCs w:val="24"/>
        </w:rPr>
        <w:t xml:space="preserve">outh Africa. It constitutes a vile, </w:t>
      </w:r>
      <w:r w:rsidR="00535651" w:rsidRPr="009320FE">
        <w:rPr>
          <w:rFonts w:ascii="Arial" w:hAnsi="Arial" w:cs="Arial"/>
          <w:sz w:val="24"/>
          <w:szCs w:val="24"/>
        </w:rPr>
        <w:t>humiliating, degrading</w:t>
      </w:r>
      <w:r w:rsidR="00CB3E0B">
        <w:rPr>
          <w:rFonts w:ascii="Arial" w:hAnsi="Arial" w:cs="Arial"/>
          <w:sz w:val="24"/>
          <w:szCs w:val="24"/>
        </w:rPr>
        <w:t>,</w:t>
      </w:r>
      <w:r w:rsidR="00D418D1" w:rsidRPr="009320FE">
        <w:rPr>
          <w:rFonts w:ascii="Arial" w:hAnsi="Arial" w:cs="Arial"/>
          <w:sz w:val="24"/>
          <w:szCs w:val="24"/>
        </w:rPr>
        <w:t xml:space="preserve"> and</w:t>
      </w:r>
      <w:r w:rsidR="00535651" w:rsidRPr="009320FE">
        <w:rPr>
          <w:rFonts w:ascii="Arial" w:hAnsi="Arial" w:cs="Arial"/>
          <w:sz w:val="24"/>
          <w:szCs w:val="24"/>
        </w:rPr>
        <w:t xml:space="preserve"> brutal</w:t>
      </w:r>
      <w:r w:rsidRPr="009320FE">
        <w:rPr>
          <w:rFonts w:ascii="Arial" w:hAnsi="Arial" w:cs="Arial"/>
          <w:sz w:val="24"/>
          <w:szCs w:val="24"/>
        </w:rPr>
        <w:t xml:space="preserve"> invasion of </w:t>
      </w:r>
      <w:r w:rsidR="00535651" w:rsidRPr="009320FE">
        <w:rPr>
          <w:rFonts w:ascii="Arial" w:hAnsi="Arial" w:cs="Arial"/>
          <w:sz w:val="24"/>
          <w:szCs w:val="24"/>
        </w:rPr>
        <w:t>their privacy, dignity, and self-worth as human being</w:t>
      </w:r>
      <w:r w:rsidR="00A53F88">
        <w:rPr>
          <w:rFonts w:ascii="Arial" w:hAnsi="Arial" w:cs="Arial"/>
          <w:sz w:val="24"/>
          <w:szCs w:val="24"/>
        </w:rPr>
        <w:t>s</w:t>
      </w:r>
      <w:r w:rsidR="00535651" w:rsidRPr="009320FE">
        <w:rPr>
          <w:rFonts w:ascii="Arial" w:hAnsi="Arial" w:cs="Arial"/>
          <w:sz w:val="24"/>
          <w:szCs w:val="24"/>
        </w:rPr>
        <w:t>. Children look up to adults in society to nurture, guide, care for</w:t>
      </w:r>
      <w:r w:rsidR="0055268C">
        <w:rPr>
          <w:rFonts w:ascii="Arial" w:hAnsi="Arial" w:cs="Arial"/>
          <w:sz w:val="24"/>
          <w:szCs w:val="24"/>
        </w:rPr>
        <w:t>,</w:t>
      </w:r>
      <w:r w:rsidR="00535651" w:rsidRPr="009320FE">
        <w:rPr>
          <w:rFonts w:ascii="Arial" w:hAnsi="Arial" w:cs="Arial"/>
          <w:sz w:val="24"/>
          <w:szCs w:val="24"/>
        </w:rPr>
        <w:t xml:space="preserve"> and protect them. </w:t>
      </w:r>
      <w:r w:rsidR="004277C6" w:rsidRPr="009320FE">
        <w:rPr>
          <w:rFonts w:ascii="Arial" w:hAnsi="Arial" w:cs="Arial"/>
          <w:sz w:val="24"/>
          <w:szCs w:val="24"/>
        </w:rPr>
        <w:t xml:space="preserve">They </w:t>
      </w:r>
      <w:r w:rsidR="00535651" w:rsidRPr="009320FE">
        <w:rPr>
          <w:rFonts w:ascii="Arial" w:hAnsi="Arial" w:cs="Arial"/>
          <w:sz w:val="24"/>
          <w:szCs w:val="24"/>
        </w:rPr>
        <w:t>comprise one of the most vulnera</w:t>
      </w:r>
      <w:r w:rsidR="00D418D1" w:rsidRPr="009320FE">
        <w:rPr>
          <w:rFonts w:ascii="Arial" w:hAnsi="Arial" w:cs="Arial"/>
          <w:sz w:val="24"/>
          <w:szCs w:val="24"/>
        </w:rPr>
        <w:t>ble of all vulnerable grou</w:t>
      </w:r>
      <w:r w:rsidR="00A53F88">
        <w:rPr>
          <w:rFonts w:ascii="Arial" w:hAnsi="Arial" w:cs="Arial"/>
          <w:sz w:val="24"/>
          <w:szCs w:val="24"/>
        </w:rPr>
        <w:t>ps</w:t>
      </w:r>
      <w:r w:rsidR="00D418D1" w:rsidRPr="009320FE">
        <w:rPr>
          <w:rFonts w:ascii="Arial" w:hAnsi="Arial" w:cs="Arial"/>
          <w:sz w:val="24"/>
          <w:szCs w:val="24"/>
        </w:rPr>
        <w:t xml:space="preserve"> in society</w:t>
      </w:r>
      <w:r w:rsidR="00535651" w:rsidRPr="009320FE">
        <w:rPr>
          <w:rFonts w:ascii="Arial" w:hAnsi="Arial" w:cs="Arial"/>
          <w:sz w:val="24"/>
          <w:szCs w:val="24"/>
        </w:rPr>
        <w:t>.</w:t>
      </w:r>
    </w:p>
    <w:p w:rsidR="00535651" w:rsidRPr="009320FE" w:rsidRDefault="00535651" w:rsidP="009320FE">
      <w:pPr>
        <w:spacing w:after="0" w:line="360" w:lineRule="auto"/>
        <w:contextualSpacing/>
        <w:jc w:val="both"/>
        <w:rPr>
          <w:rFonts w:ascii="Arial" w:hAnsi="Arial" w:cs="Arial"/>
          <w:sz w:val="24"/>
          <w:szCs w:val="24"/>
        </w:rPr>
      </w:pPr>
    </w:p>
    <w:p w:rsidR="00535651" w:rsidRDefault="00535651" w:rsidP="009320FE">
      <w:pPr>
        <w:spacing w:after="0" w:line="360" w:lineRule="auto"/>
        <w:contextualSpacing/>
        <w:jc w:val="both"/>
        <w:rPr>
          <w:rFonts w:ascii="Arial" w:hAnsi="Arial" w:cs="Arial"/>
          <w:sz w:val="24"/>
          <w:szCs w:val="24"/>
        </w:rPr>
      </w:pPr>
      <w:r w:rsidRPr="009320FE">
        <w:rPr>
          <w:rFonts w:ascii="Arial" w:hAnsi="Arial" w:cs="Arial"/>
          <w:sz w:val="24"/>
          <w:szCs w:val="24"/>
        </w:rPr>
        <w:t>[3</w:t>
      </w:r>
      <w:r w:rsidR="00567EF2">
        <w:rPr>
          <w:rFonts w:ascii="Arial" w:hAnsi="Arial" w:cs="Arial"/>
          <w:sz w:val="24"/>
          <w:szCs w:val="24"/>
        </w:rPr>
        <w:t>3</w:t>
      </w:r>
      <w:r w:rsidRPr="009320FE">
        <w:rPr>
          <w:rFonts w:ascii="Arial" w:hAnsi="Arial" w:cs="Arial"/>
          <w:sz w:val="24"/>
          <w:szCs w:val="24"/>
        </w:rPr>
        <w:t xml:space="preserve">] </w:t>
      </w:r>
      <w:r w:rsidR="00C42812" w:rsidRPr="009320FE">
        <w:rPr>
          <w:rFonts w:ascii="Arial" w:hAnsi="Arial" w:cs="Arial"/>
          <w:sz w:val="24"/>
          <w:szCs w:val="24"/>
        </w:rPr>
        <w:tab/>
      </w:r>
      <w:r w:rsidR="00D418D1" w:rsidRPr="009320FE">
        <w:rPr>
          <w:rFonts w:ascii="Arial" w:hAnsi="Arial" w:cs="Arial"/>
          <w:sz w:val="24"/>
          <w:szCs w:val="24"/>
        </w:rPr>
        <w:t>When the duty of care owed</w:t>
      </w:r>
      <w:r w:rsidRPr="009320FE">
        <w:rPr>
          <w:rFonts w:ascii="Arial" w:hAnsi="Arial" w:cs="Arial"/>
          <w:sz w:val="24"/>
          <w:szCs w:val="24"/>
        </w:rPr>
        <w:t xml:space="preserve"> to them by adults and </w:t>
      </w:r>
      <w:r w:rsidR="00CB3E0B">
        <w:rPr>
          <w:rFonts w:ascii="Arial" w:hAnsi="Arial" w:cs="Arial"/>
          <w:sz w:val="24"/>
          <w:szCs w:val="24"/>
        </w:rPr>
        <w:t xml:space="preserve">their </w:t>
      </w:r>
      <w:r w:rsidRPr="009320FE">
        <w:rPr>
          <w:rFonts w:ascii="Arial" w:hAnsi="Arial" w:cs="Arial"/>
          <w:sz w:val="24"/>
          <w:szCs w:val="24"/>
        </w:rPr>
        <w:t>trust is breached</w:t>
      </w:r>
      <w:r w:rsidR="00D418D1" w:rsidRPr="009320FE">
        <w:rPr>
          <w:rFonts w:ascii="Arial" w:hAnsi="Arial" w:cs="Arial"/>
          <w:sz w:val="24"/>
          <w:szCs w:val="24"/>
        </w:rPr>
        <w:t>,</w:t>
      </w:r>
      <w:r w:rsidRPr="009320FE">
        <w:rPr>
          <w:rFonts w:ascii="Arial" w:hAnsi="Arial" w:cs="Arial"/>
          <w:sz w:val="24"/>
          <w:szCs w:val="24"/>
        </w:rPr>
        <w:t xml:space="preserve"> it often </w:t>
      </w:r>
      <w:r w:rsidR="00D418D1" w:rsidRPr="009320FE">
        <w:rPr>
          <w:rFonts w:ascii="Arial" w:hAnsi="Arial" w:cs="Arial"/>
          <w:sz w:val="24"/>
          <w:szCs w:val="24"/>
        </w:rPr>
        <w:t>leaves</w:t>
      </w:r>
      <w:r w:rsidRPr="009320FE">
        <w:rPr>
          <w:rFonts w:ascii="Arial" w:hAnsi="Arial" w:cs="Arial"/>
          <w:sz w:val="24"/>
          <w:szCs w:val="24"/>
        </w:rPr>
        <w:t xml:space="preserve"> children in a helpless situation. Society looks to the courts to act decisively against persons convicted of such shameless </w:t>
      </w:r>
      <w:r w:rsidR="00D418D1" w:rsidRPr="009320FE">
        <w:rPr>
          <w:rFonts w:ascii="Arial" w:hAnsi="Arial" w:cs="Arial"/>
          <w:sz w:val="24"/>
          <w:szCs w:val="24"/>
        </w:rPr>
        <w:t>acts. T</w:t>
      </w:r>
      <w:r w:rsidR="00EA5AA5" w:rsidRPr="009320FE">
        <w:rPr>
          <w:rFonts w:ascii="Arial" w:hAnsi="Arial" w:cs="Arial"/>
          <w:sz w:val="24"/>
          <w:szCs w:val="24"/>
        </w:rPr>
        <w:t>he</w:t>
      </w:r>
      <w:r w:rsidRPr="009320FE">
        <w:rPr>
          <w:rFonts w:ascii="Arial" w:hAnsi="Arial" w:cs="Arial"/>
          <w:sz w:val="24"/>
          <w:szCs w:val="24"/>
        </w:rPr>
        <w:t xml:space="preserve"> severe sentence of</w:t>
      </w:r>
      <w:r w:rsidR="00CB3E0B">
        <w:rPr>
          <w:rFonts w:ascii="Arial" w:hAnsi="Arial" w:cs="Arial"/>
          <w:sz w:val="24"/>
          <w:szCs w:val="24"/>
        </w:rPr>
        <w:t xml:space="preserve"> life</w:t>
      </w:r>
      <w:r w:rsidRPr="009320FE">
        <w:rPr>
          <w:rFonts w:ascii="Arial" w:hAnsi="Arial" w:cs="Arial"/>
          <w:sz w:val="24"/>
          <w:szCs w:val="24"/>
        </w:rPr>
        <w:t xml:space="preserve"> imprisonment that the </w:t>
      </w:r>
      <w:r w:rsidR="007D5A79" w:rsidRPr="009320FE">
        <w:rPr>
          <w:rFonts w:ascii="Arial" w:hAnsi="Arial" w:cs="Arial"/>
          <w:sz w:val="24"/>
          <w:szCs w:val="24"/>
        </w:rPr>
        <w:t xml:space="preserve">Legislature </w:t>
      </w:r>
      <w:r w:rsidRPr="009320FE">
        <w:rPr>
          <w:rFonts w:ascii="Arial" w:hAnsi="Arial" w:cs="Arial"/>
          <w:sz w:val="24"/>
          <w:szCs w:val="24"/>
        </w:rPr>
        <w:t xml:space="preserve">has prescribed for </w:t>
      </w:r>
      <w:r w:rsidR="00CB3E0B">
        <w:rPr>
          <w:rFonts w:ascii="Arial" w:hAnsi="Arial" w:cs="Arial"/>
          <w:sz w:val="24"/>
          <w:szCs w:val="24"/>
        </w:rPr>
        <w:t xml:space="preserve">the kind of </w:t>
      </w:r>
      <w:r w:rsidRPr="009320FE">
        <w:rPr>
          <w:rFonts w:ascii="Arial" w:hAnsi="Arial" w:cs="Arial"/>
          <w:sz w:val="24"/>
          <w:szCs w:val="24"/>
        </w:rPr>
        <w:t xml:space="preserve">rape </w:t>
      </w:r>
      <w:r w:rsidR="00CB3E0B">
        <w:rPr>
          <w:rFonts w:ascii="Arial" w:hAnsi="Arial" w:cs="Arial"/>
          <w:sz w:val="24"/>
          <w:szCs w:val="24"/>
        </w:rPr>
        <w:t>as</w:t>
      </w:r>
      <w:r w:rsidRPr="009320FE">
        <w:rPr>
          <w:rFonts w:ascii="Arial" w:hAnsi="Arial" w:cs="Arial"/>
          <w:sz w:val="24"/>
          <w:szCs w:val="24"/>
        </w:rPr>
        <w:t xml:space="preserve"> in this </w:t>
      </w:r>
      <w:r w:rsidR="00EA5AA5" w:rsidRPr="009320FE">
        <w:rPr>
          <w:rFonts w:ascii="Arial" w:hAnsi="Arial" w:cs="Arial"/>
          <w:sz w:val="24"/>
          <w:szCs w:val="24"/>
        </w:rPr>
        <w:t>matter, underlies</w:t>
      </w:r>
      <w:r w:rsidRPr="009320FE">
        <w:rPr>
          <w:rFonts w:ascii="Arial" w:hAnsi="Arial" w:cs="Arial"/>
          <w:sz w:val="24"/>
          <w:szCs w:val="24"/>
        </w:rPr>
        <w:t xml:space="preserve"> its </w:t>
      </w:r>
      <w:r w:rsidR="00D418D1" w:rsidRPr="009320FE">
        <w:rPr>
          <w:rFonts w:ascii="Arial" w:hAnsi="Arial" w:cs="Arial"/>
          <w:sz w:val="24"/>
          <w:szCs w:val="24"/>
        </w:rPr>
        <w:t xml:space="preserve">gravity </w:t>
      </w:r>
      <w:r w:rsidRPr="009320FE">
        <w:rPr>
          <w:rFonts w:ascii="Arial" w:hAnsi="Arial" w:cs="Arial"/>
          <w:sz w:val="24"/>
          <w:szCs w:val="24"/>
        </w:rPr>
        <w:t>and abhorrent nature.</w:t>
      </w:r>
    </w:p>
    <w:p w:rsidR="001F5636" w:rsidRDefault="001F5636" w:rsidP="009320FE">
      <w:pPr>
        <w:spacing w:after="0" w:line="360" w:lineRule="auto"/>
        <w:contextualSpacing/>
        <w:jc w:val="both"/>
        <w:rPr>
          <w:rFonts w:ascii="Arial" w:hAnsi="Arial" w:cs="Arial"/>
          <w:sz w:val="24"/>
          <w:szCs w:val="24"/>
        </w:rPr>
      </w:pPr>
    </w:p>
    <w:p w:rsidR="001F5636" w:rsidRPr="009320FE" w:rsidRDefault="001F5636" w:rsidP="001F5636">
      <w:pPr>
        <w:spacing w:after="0" w:line="360" w:lineRule="auto"/>
        <w:contextualSpacing/>
        <w:jc w:val="both"/>
        <w:rPr>
          <w:rFonts w:ascii="Arial" w:hAnsi="Arial" w:cs="Arial"/>
          <w:sz w:val="24"/>
          <w:szCs w:val="24"/>
        </w:rPr>
      </w:pPr>
      <w:r w:rsidRPr="009320FE">
        <w:rPr>
          <w:rFonts w:ascii="Arial" w:hAnsi="Arial" w:cs="Arial"/>
          <w:sz w:val="24"/>
          <w:szCs w:val="24"/>
        </w:rPr>
        <w:t>[3</w:t>
      </w:r>
      <w:r w:rsidR="00567EF2">
        <w:rPr>
          <w:rFonts w:ascii="Arial" w:hAnsi="Arial" w:cs="Arial"/>
          <w:sz w:val="24"/>
          <w:szCs w:val="24"/>
        </w:rPr>
        <w:t>4</w:t>
      </w:r>
      <w:r w:rsidRPr="009320FE">
        <w:rPr>
          <w:rFonts w:ascii="Arial" w:hAnsi="Arial" w:cs="Arial"/>
          <w:sz w:val="24"/>
          <w:szCs w:val="24"/>
        </w:rPr>
        <w:t>]</w:t>
      </w:r>
      <w:r>
        <w:rPr>
          <w:rFonts w:ascii="Arial" w:hAnsi="Arial" w:cs="Arial"/>
          <w:sz w:val="24"/>
          <w:szCs w:val="24"/>
        </w:rPr>
        <w:tab/>
      </w:r>
      <w:r w:rsidRPr="009320FE">
        <w:rPr>
          <w:rFonts w:ascii="Arial" w:hAnsi="Arial" w:cs="Arial"/>
          <w:sz w:val="24"/>
          <w:szCs w:val="24"/>
        </w:rPr>
        <w:t xml:space="preserve">The prescribed sentence to be imposed for an offence referred to in Part 1 of Schedule 2 is </w:t>
      </w:r>
      <w:r>
        <w:rPr>
          <w:rFonts w:ascii="Arial" w:hAnsi="Arial" w:cs="Arial"/>
          <w:sz w:val="24"/>
          <w:szCs w:val="24"/>
        </w:rPr>
        <w:t xml:space="preserve">life </w:t>
      </w:r>
      <w:r w:rsidRPr="009320FE">
        <w:rPr>
          <w:rFonts w:ascii="Arial" w:hAnsi="Arial" w:cs="Arial"/>
          <w:sz w:val="24"/>
          <w:szCs w:val="24"/>
        </w:rPr>
        <w:t xml:space="preserve">imprisonment, unless of course, there are substantial and compelling circumstances which justify the imposition of a lesser sentence or if the prescribed sentence is found to be disproportionate to the crime, the offender and members of society, so that an injustice would be done by imposing that sentence, </w:t>
      </w:r>
      <w:r>
        <w:rPr>
          <w:rFonts w:ascii="Arial" w:hAnsi="Arial" w:cs="Arial"/>
          <w:sz w:val="24"/>
          <w:szCs w:val="24"/>
        </w:rPr>
        <w:t xml:space="preserve">which then </w:t>
      </w:r>
      <w:r w:rsidRPr="009320FE">
        <w:rPr>
          <w:rFonts w:ascii="Arial" w:hAnsi="Arial" w:cs="Arial"/>
          <w:sz w:val="24"/>
          <w:szCs w:val="24"/>
        </w:rPr>
        <w:t>entitle</w:t>
      </w:r>
      <w:r>
        <w:rPr>
          <w:rFonts w:ascii="Arial" w:hAnsi="Arial" w:cs="Arial"/>
          <w:sz w:val="24"/>
          <w:szCs w:val="24"/>
        </w:rPr>
        <w:t>s</w:t>
      </w:r>
      <w:r w:rsidRPr="009320FE">
        <w:rPr>
          <w:rFonts w:ascii="Arial" w:hAnsi="Arial" w:cs="Arial"/>
          <w:sz w:val="24"/>
          <w:szCs w:val="24"/>
        </w:rPr>
        <w:t xml:space="preserve"> </w:t>
      </w:r>
      <w:r>
        <w:rPr>
          <w:rFonts w:ascii="Arial" w:hAnsi="Arial" w:cs="Arial"/>
          <w:sz w:val="24"/>
          <w:szCs w:val="24"/>
        </w:rPr>
        <w:t xml:space="preserve">the court </w:t>
      </w:r>
      <w:r w:rsidRPr="009320FE">
        <w:rPr>
          <w:rFonts w:ascii="Arial" w:hAnsi="Arial" w:cs="Arial"/>
          <w:sz w:val="24"/>
          <w:szCs w:val="24"/>
        </w:rPr>
        <w:t xml:space="preserve">to impose </w:t>
      </w:r>
      <w:r>
        <w:rPr>
          <w:rFonts w:ascii="Arial" w:hAnsi="Arial" w:cs="Arial"/>
          <w:sz w:val="24"/>
          <w:szCs w:val="24"/>
        </w:rPr>
        <w:t xml:space="preserve">a </w:t>
      </w:r>
      <w:r w:rsidRPr="009320FE">
        <w:rPr>
          <w:rFonts w:ascii="Arial" w:hAnsi="Arial" w:cs="Arial"/>
          <w:sz w:val="24"/>
          <w:szCs w:val="24"/>
        </w:rPr>
        <w:t>lesser sentence.</w:t>
      </w:r>
      <w:r>
        <w:rPr>
          <w:rStyle w:val="FootnoteReference"/>
          <w:rFonts w:ascii="Arial" w:hAnsi="Arial" w:cs="Arial"/>
          <w:sz w:val="24"/>
          <w:szCs w:val="24"/>
        </w:rPr>
        <w:footnoteReference w:id="23"/>
      </w:r>
    </w:p>
    <w:p w:rsidR="001F5636" w:rsidRPr="009320FE" w:rsidRDefault="001F5636" w:rsidP="009320FE">
      <w:pPr>
        <w:spacing w:after="0" w:line="360" w:lineRule="auto"/>
        <w:contextualSpacing/>
        <w:jc w:val="both"/>
        <w:rPr>
          <w:rFonts w:ascii="Arial" w:hAnsi="Arial" w:cs="Arial"/>
          <w:sz w:val="24"/>
          <w:szCs w:val="24"/>
        </w:rPr>
      </w:pPr>
    </w:p>
    <w:p w:rsidR="00EA5AA5" w:rsidRPr="009320FE" w:rsidRDefault="00EA5AA5" w:rsidP="009320FE">
      <w:pPr>
        <w:spacing w:after="0" w:line="360" w:lineRule="auto"/>
        <w:contextualSpacing/>
        <w:jc w:val="both"/>
        <w:rPr>
          <w:rFonts w:ascii="Arial" w:hAnsi="Arial" w:cs="Arial"/>
          <w:sz w:val="24"/>
          <w:szCs w:val="24"/>
        </w:rPr>
      </w:pPr>
      <w:r w:rsidRPr="009320FE">
        <w:rPr>
          <w:rFonts w:ascii="Arial" w:hAnsi="Arial" w:cs="Arial"/>
          <w:sz w:val="24"/>
          <w:szCs w:val="24"/>
        </w:rPr>
        <w:t>[3</w:t>
      </w:r>
      <w:r w:rsidR="00567EF2">
        <w:rPr>
          <w:rFonts w:ascii="Arial" w:hAnsi="Arial" w:cs="Arial"/>
          <w:sz w:val="24"/>
          <w:szCs w:val="24"/>
        </w:rPr>
        <w:t>5</w:t>
      </w:r>
      <w:r w:rsidRPr="009320FE">
        <w:rPr>
          <w:rFonts w:ascii="Arial" w:hAnsi="Arial" w:cs="Arial"/>
          <w:sz w:val="24"/>
          <w:szCs w:val="24"/>
        </w:rPr>
        <w:t>]</w:t>
      </w:r>
      <w:r w:rsidR="00C42812" w:rsidRPr="009320FE">
        <w:rPr>
          <w:rFonts w:ascii="Arial" w:hAnsi="Arial" w:cs="Arial"/>
          <w:sz w:val="24"/>
          <w:szCs w:val="24"/>
        </w:rPr>
        <w:tab/>
      </w:r>
      <w:r w:rsidRPr="009320FE">
        <w:rPr>
          <w:rFonts w:ascii="Arial" w:hAnsi="Arial" w:cs="Arial"/>
          <w:sz w:val="24"/>
          <w:szCs w:val="24"/>
        </w:rPr>
        <w:t xml:space="preserve"> </w:t>
      </w:r>
      <w:r w:rsidR="00C42812" w:rsidRPr="009320FE">
        <w:rPr>
          <w:rFonts w:ascii="Arial" w:hAnsi="Arial" w:cs="Arial"/>
          <w:sz w:val="24"/>
          <w:szCs w:val="24"/>
        </w:rPr>
        <w:t>C</w:t>
      </w:r>
      <w:r w:rsidR="00D418D1" w:rsidRPr="009320FE">
        <w:rPr>
          <w:rFonts w:ascii="Arial" w:hAnsi="Arial" w:cs="Arial"/>
          <w:sz w:val="24"/>
          <w:szCs w:val="24"/>
        </w:rPr>
        <w:t xml:space="preserve">ounsel for the </w:t>
      </w:r>
      <w:r w:rsidR="0055268C" w:rsidRPr="009320FE">
        <w:rPr>
          <w:rFonts w:ascii="Arial" w:hAnsi="Arial" w:cs="Arial"/>
          <w:sz w:val="24"/>
          <w:szCs w:val="24"/>
        </w:rPr>
        <w:t>appellant</w:t>
      </w:r>
      <w:r w:rsidR="00D418D1" w:rsidRPr="009320FE">
        <w:rPr>
          <w:rFonts w:ascii="Arial" w:hAnsi="Arial" w:cs="Arial"/>
          <w:sz w:val="24"/>
          <w:szCs w:val="24"/>
        </w:rPr>
        <w:t xml:space="preserve">, in her written </w:t>
      </w:r>
      <w:r w:rsidR="0055268C" w:rsidRPr="009320FE">
        <w:rPr>
          <w:rFonts w:ascii="Arial" w:hAnsi="Arial" w:cs="Arial"/>
          <w:sz w:val="24"/>
          <w:szCs w:val="24"/>
        </w:rPr>
        <w:t xml:space="preserve">heads </w:t>
      </w:r>
      <w:r w:rsidR="00D418D1" w:rsidRPr="009320FE">
        <w:rPr>
          <w:rFonts w:ascii="Arial" w:hAnsi="Arial" w:cs="Arial"/>
          <w:sz w:val="24"/>
          <w:szCs w:val="24"/>
        </w:rPr>
        <w:t xml:space="preserve">of </w:t>
      </w:r>
      <w:r w:rsidR="0055268C" w:rsidRPr="009320FE">
        <w:rPr>
          <w:rFonts w:ascii="Arial" w:hAnsi="Arial" w:cs="Arial"/>
          <w:sz w:val="24"/>
          <w:szCs w:val="24"/>
        </w:rPr>
        <w:t>argument</w:t>
      </w:r>
      <w:r w:rsidRPr="009320FE">
        <w:rPr>
          <w:rFonts w:ascii="Arial" w:hAnsi="Arial" w:cs="Arial"/>
          <w:sz w:val="24"/>
          <w:szCs w:val="24"/>
        </w:rPr>
        <w:t>, submitted tha</w:t>
      </w:r>
      <w:r w:rsidR="00D418D1" w:rsidRPr="009320FE">
        <w:rPr>
          <w:rFonts w:ascii="Arial" w:hAnsi="Arial" w:cs="Arial"/>
          <w:sz w:val="24"/>
          <w:szCs w:val="24"/>
        </w:rPr>
        <w:t xml:space="preserve">t the cumulative effect of the </w:t>
      </w:r>
      <w:r w:rsidR="0055268C" w:rsidRPr="009320FE">
        <w:rPr>
          <w:rFonts w:ascii="Arial" w:hAnsi="Arial" w:cs="Arial"/>
          <w:sz w:val="24"/>
          <w:szCs w:val="24"/>
        </w:rPr>
        <w:t xml:space="preserve">appellant’s </w:t>
      </w:r>
      <w:r w:rsidRPr="009320FE">
        <w:rPr>
          <w:rFonts w:ascii="Arial" w:hAnsi="Arial" w:cs="Arial"/>
          <w:sz w:val="24"/>
          <w:szCs w:val="24"/>
        </w:rPr>
        <w:t>personal circumstances should be regarded and treated as substantial and compelling circumstances</w:t>
      </w:r>
      <w:r w:rsidR="00D418D1" w:rsidRPr="009320FE">
        <w:rPr>
          <w:rFonts w:ascii="Arial" w:hAnsi="Arial" w:cs="Arial"/>
          <w:sz w:val="24"/>
          <w:szCs w:val="24"/>
        </w:rPr>
        <w:t>. T</w:t>
      </w:r>
      <w:r w:rsidRPr="009320FE">
        <w:rPr>
          <w:rFonts w:ascii="Arial" w:hAnsi="Arial" w:cs="Arial"/>
          <w:sz w:val="24"/>
          <w:szCs w:val="24"/>
        </w:rPr>
        <w:t>hose personal ci</w:t>
      </w:r>
      <w:r w:rsidR="00D418D1" w:rsidRPr="009320FE">
        <w:rPr>
          <w:rFonts w:ascii="Arial" w:hAnsi="Arial" w:cs="Arial"/>
          <w:sz w:val="24"/>
          <w:szCs w:val="24"/>
        </w:rPr>
        <w:t xml:space="preserve">rcumstances are the following: </w:t>
      </w:r>
      <w:r w:rsidR="0055268C">
        <w:rPr>
          <w:rFonts w:ascii="Arial" w:hAnsi="Arial" w:cs="Arial"/>
          <w:sz w:val="24"/>
          <w:szCs w:val="24"/>
        </w:rPr>
        <w:t>h</w:t>
      </w:r>
      <w:r w:rsidRPr="009320FE">
        <w:rPr>
          <w:rFonts w:ascii="Arial" w:hAnsi="Arial" w:cs="Arial"/>
          <w:sz w:val="24"/>
          <w:szCs w:val="24"/>
        </w:rPr>
        <w:t xml:space="preserve">e was 23 years old at the time of his conviction and </w:t>
      </w:r>
      <w:r w:rsidR="00D418D1" w:rsidRPr="009320FE">
        <w:rPr>
          <w:rFonts w:ascii="Arial" w:hAnsi="Arial" w:cs="Arial"/>
          <w:sz w:val="24"/>
          <w:szCs w:val="24"/>
        </w:rPr>
        <w:t xml:space="preserve">sentence, </w:t>
      </w:r>
      <w:r w:rsidR="0055268C">
        <w:rPr>
          <w:rFonts w:ascii="Arial" w:hAnsi="Arial" w:cs="Arial"/>
          <w:sz w:val="24"/>
          <w:szCs w:val="24"/>
        </w:rPr>
        <w:t>h</w:t>
      </w:r>
      <w:r w:rsidR="00741EA4" w:rsidRPr="009320FE">
        <w:rPr>
          <w:rFonts w:ascii="Arial" w:hAnsi="Arial" w:cs="Arial"/>
          <w:sz w:val="24"/>
          <w:szCs w:val="24"/>
        </w:rPr>
        <w:t>e</w:t>
      </w:r>
      <w:r w:rsidRPr="009320FE">
        <w:rPr>
          <w:rFonts w:ascii="Arial" w:hAnsi="Arial" w:cs="Arial"/>
          <w:sz w:val="24"/>
          <w:szCs w:val="24"/>
        </w:rPr>
        <w:t xml:space="preserve"> </w:t>
      </w:r>
      <w:r w:rsidR="00CB3E0B">
        <w:rPr>
          <w:rFonts w:ascii="Arial" w:hAnsi="Arial" w:cs="Arial"/>
          <w:sz w:val="24"/>
          <w:szCs w:val="24"/>
        </w:rPr>
        <w:t>was a</w:t>
      </w:r>
      <w:r w:rsidR="00CB3E0B" w:rsidRPr="009320FE">
        <w:rPr>
          <w:rFonts w:ascii="Arial" w:hAnsi="Arial" w:cs="Arial"/>
          <w:sz w:val="24"/>
          <w:szCs w:val="24"/>
        </w:rPr>
        <w:t xml:space="preserve"> </w:t>
      </w:r>
      <w:r w:rsidRPr="009320FE">
        <w:rPr>
          <w:rFonts w:ascii="Arial" w:hAnsi="Arial" w:cs="Arial"/>
          <w:sz w:val="24"/>
          <w:szCs w:val="24"/>
        </w:rPr>
        <w:t xml:space="preserve">first </w:t>
      </w:r>
      <w:r w:rsidR="00D418D1" w:rsidRPr="009320FE">
        <w:rPr>
          <w:rFonts w:ascii="Arial" w:hAnsi="Arial" w:cs="Arial"/>
          <w:sz w:val="24"/>
          <w:szCs w:val="24"/>
        </w:rPr>
        <w:t xml:space="preserve">offender, </w:t>
      </w:r>
      <w:r w:rsidR="0055268C">
        <w:rPr>
          <w:rFonts w:ascii="Arial" w:hAnsi="Arial" w:cs="Arial"/>
          <w:sz w:val="24"/>
          <w:szCs w:val="24"/>
        </w:rPr>
        <w:t>h</w:t>
      </w:r>
      <w:r w:rsidR="00741EA4" w:rsidRPr="009320FE">
        <w:rPr>
          <w:rFonts w:ascii="Arial" w:hAnsi="Arial" w:cs="Arial"/>
          <w:sz w:val="24"/>
          <w:szCs w:val="24"/>
        </w:rPr>
        <w:t>e</w:t>
      </w:r>
      <w:r w:rsidRPr="009320FE">
        <w:rPr>
          <w:rFonts w:ascii="Arial" w:hAnsi="Arial" w:cs="Arial"/>
          <w:sz w:val="24"/>
          <w:szCs w:val="24"/>
        </w:rPr>
        <w:t xml:space="preserve"> was self-employed selling meat</w:t>
      </w:r>
      <w:r w:rsidR="0055268C">
        <w:rPr>
          <w:rFonts w:ascii="Arial" w:hAnsi="Arial" w:cs="Arial"/>
          <w:sz w:val="24"/>
          <w:szCs w:val="24"/>
        </w:rPr>
        <w:t>,</w:t>
      </w:r>
      <w:r w:rsidRPr="009320FE">
        <w:rPr>
          <w:rFonts w:ascii="Arial" w:hAnsi="Arial" w:cs="Arial"/>
          <w:sz w:val="24"/>
          <w:szCs w:val="24"/>
        </w:rPr>
        <w:t xml:space="preserve"> and his highest leve</w:t>
      </w:r>
      <w:r w:rsidR="00D418D1" w:rsidRPr="009320FE">
        <w:rPr>
          <w:rFonts w:ascii="Arial" w:hAnsi="Arial" w:cs="Arial"/>
          <w:sz w:val="24"/>
          <w:szCs w:val="24"/>
        </w:rPr>
        <w:t>l of education was standard 10</w:t>
      </w:r>
      <w:r w:rsidR="0055268C">
        <w:rPr>
          <w:rFonts w:ascii="Arial" w:hAnsi="Arial" w:cs="Arial"/>
          <w:sz w:val="24"/>
          <w:szCs w:val="24"/>
        </w:rPr>
        <w:t xml:space="preserve"> </w:t>
      </w:r>
      <w:r w:rsidR="00D418D1" w:rsidRPr="009320FE">
        <w:rPr>
          <w:rFonts w:ascii="Arial" w:hAnsi="Arial" w:cs="Arial"/>
          <w:sz w:val="24"/>
          <w:szCs w:val="24"/>
        </w:rPr>
        <w:t>(grade12)</w:t>
      </w:r>
      <w:r w:rsidR="0055268C">
        <w:rPr>
          <w:rFonts w:ascii="Arial" w:hAnsi="Arial" w:cs="Arial"/>
          <w:sz w:val="24"/>
          <w:szCs w:val="24"/>
        </w:rPr>
        <w:t>.</w:t>
      </w:r>
    </w:p>
    <w:p w:rsidR="00741EA4" w:rsidRPr="009320FE" w:rsidRDefault="00741EA4" w:rsidP="009320FE">
      <w:pPr>
        <w:spacing w:after="0" w:line="360" w:lineRule="auto"/>
        <w:contextualSpacing/>
        <w:jc w:val="both"/>
        <w:rPr>
          <w:rFonts w:ascii="Arial" w:hAnsi="Arial" w:cs="Arial"/>
          <w:sz w:val="24"/>
          <w:szCs w:val="24"/>
        </w:rPr>
      </w:pPr>
    </w:p>
    <w:p w:rsidR="00741EA4" w:rsidRPr="009320FE" w:rsidRDefault="00741EA4"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3</w:t>
      </w:r>
      <w:r w:rsidR="00567EF2">
        <w:rPr>
          <w:rFonts w:ascii="Arial" w:hAnsi="Arial" w:cs="Arial"/>
          <w:sz w:val="24"/>
          <w:szCs w:val="24"/>
        </w:rPr>
        <w:t>6</w:t>
      </w:r>
      <w:r w:rsidRPr="009320FE">
        <w:rPr>
          <w:rFonts w:ascii="Arial" w:hAnsi="Arial" w:cs="Arial"/>
          <w:sz w:val="24"/>
          <w:szCs w:val="24"/>
        </w:rPr>
        <w:t>]</w:t>
      </w:r>
      <w:r w:rsidR="00C42812" w:rsidRPr="009320FE">
        <w:rPr>
          <w:rFonts w:ascii="Arial" w:hAnsi="Arial" w:cs="Arial"/>
          <w:sz w:val="24"/>
          <w:szCs w:val="24"/>
        </w:rPr>
        <w:tab/>
      </w:r>
      <w:r w:rsidR="00D418D1" w:rsidRPr="009320FE">
        <w:rPr>
          <w:rFonts w:ascii="Arial" w:hAnsi="Arial" w:cs="Arial"/>
          <w:sz w:val="24"/>
          <w:szCs w:val="24"/>
        </w:rPr>
        <w:t xml:space="preserve"> It </w:t>
      </w:r>
      <w:r w:rsidRPr="009320FE">
        <w:rPr>
          <w:rFonts w:ascii="Arial" w:hAnsi="Arial" w:cs="Arial"/>
          <w:sz w:val="24"/>
          <w:szCs w:val="24"/>
        </w:rPr>
        <w:t>was also submitted that the rape in this matter was not the worst type of rape</w:t>
      </w:r>
      <w:r w:rsidR="00D418D1" w:rsidRPr="009320FE">
        <w:rPr>
          <w:rFonts w:ascii="Arial" w:hAnsi="Arial" w:cs="Arial"/>
          <w:sz w:val="24"/>
          <w:szCs w:val="24"/>
        </w:rPr>
        <w:t xml:space="preserve"> that warrants l</w:t>
      </w:r>
      <w:r w:rsidRPr="009320FE">
        <w:rPr>
          <w:rFonts w:ascii="Arial" w:hAnsi="Arial" w:cs="Arial"/>
          <w:sz w:val="24"/>
          <w:szCs w:val="24"/>
        </w:rPr>
        <w:t>ife imprisonment</w:t>
      </w:r>
      <w:r w:rsidR="0055268C">
        <w:rPr>
          <w:rFonts w:ascii="Arial" w:hAnsi="Arial" w:cs="Arial"/>
          <w:sz w:val="24"/>
          <w:szCs w:val="24"/>
        </w:rPr>
        <w:t>,</w:t>
      </w:r>
      <w:r w:rsidRPr="009320FE">
        <w:rPr>
          <w:rFonts w:ascii="Arial" w:hAnsi="Arial" w:cs="Arial"/>
          <w:sz w:val="24"/>
          <w:szCs w:val="24"/>
        </w:rPr>
        <w:t xml:space="preserve"> and </w:t>
      </w:r>
      <w:r w:rsidR="00D418D1" w:rsidRPr="009320FE">
        <w:rPr>
          <w:rFonts w:ascii="Arial" w:hAnsi="Arial" w:cs="Arial"/>
          <w:sz w:val="24"/>
          <w:szCs w:val="24"/>
        </w:rPr>
        <w:t xml:space="preserve">further that </w:t>
      </w:r>
      <w:r w:rsidRPr="009320FE">
        <w:rPr>
          <w:rFonts w:ascii="Arial" w:hAnsi="Arial" w:cs="Arial"/>
          <w:sz w:val="24"/>
          <w:szCs w:val="24"/>
        </w:rPr>
        <w:t>no victim im</w:t>
      </w:r>
      <w:r w:rsidR="00D418D1" w:rsidRPr="009320FE">
        <w:rPr>
          <w:rFonts w:ascii="Arial" w:hAnsi="Arial" w:cs="Arial"/>
          <w:sz w:val="24"/>
          <w:szCs w:val="24"/>
        </w:rPr>
        <w:t xml:space="preserve">pact statement was submitted in </w:t>
      </w:r>
      <w:r w:rsidRPr="009320FE">
        <w:rPr>
          <w:rFonts w:ascii="Arial" w:hAnsi="Arial" w:cs="Arial"/>
          <w:sz w:val="24"/>
          <w:szCs w:val="24"/>
        </w:rPr>
        <w:t>the court a</w:t>
      </w:r>
      <w:r w:rsidR="00D418D1" w:rsidRPr="009320FE">
        <w:rPr>
          <w:rFonts w:ascii="Arial" w:hAnsi="Arial" w:cs="Arial"/>
          <w:sz w:val="24"/>
          <w:szCs w:val="24"/>
        </w:rPr>
        <w:t xml:space="preserve"> </w:t>
      </w:r>
      <w:r w:rsidRPr="009320FE">
        <w:rPr>
          <w:rFonts w:ascii="Arial" w:hAnsi="Arial" w:cs="Arial"/>
          <w:sz w:val="24"/>
          <w:szCs w:val="24"/>
        </w:rPr>
        <w:t>quo to evaluate the extent of the trauma that the complainant suffered.</w:t>
      </w:r>
    </w:p>
    <w:p w:rsidR="00741EA4" w:rsidRPr="009320FE" w:rsidRDefault="00741EA4" w:rsidP="009320FE">
      <w:pPr>
        <w:spacing w:after="0" w:line="360" w:lineRule="auto"/>
        <w:contextualSpacing/>
        <w:jc w:val="both"/>
        <w:rPr>
          <w:rFonts w:ascii="Arial" w:hAnsi="Arial" w:cs="Arial"/>
          <w:sz w:val="24"/>
          <w:szCs w:val="24"/>
        </w:rPr>
      </w:pPr>
    </w:p>
    <w:p w:rsidR="00741EA4" w:rsidRPr="009320FE" w:rsidRDefault="00741EA4"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3</w:t>
      </w:r>
      <w:r w:rsidR="00567EF2">
        <w:rPr>
          <w:rFonts w:ascii="Arial" w:hAnsi="Arial" w:cs="Arial"/>
          <w:sz w:val="24"/>
          <w:szCs w:val="24"/>
        </w:rPr>
        <w:t>7</w:t>
      </w:r>
      <w:r w:rsidRPr="009320FE">
        <w:rPr>
          <w:rFonts w:ascii="Arial" w:hAnsi="Arial" w:cs="Arial"/>
          <w:sz w:val="24"/>
          <w:szCs w:val="24"/>
        </w:rPr>
        <w:t xml:space="preserve">] </w:t>
      </w:r>
      <w:r w:rsidR="00C42812" w:rsidRPr="009320FE">
        <w:rPr>
          <w:rFonts w:ascii="Arial" w:hAnsi="Arial" w:cs="Arial"/>
          <w:sz w:val="24"/>
          <w:szCs w:val="24"/>
        </w:rPr>
        <w:tab/>
        <w:t xml:space="preserve">I </w:t>
      </w:r>
      <w:r w:rsidRPr="009320FE">
        <w:rPr>
          <w:rFonts w:ascii="Arial" w:hAnsi="Arial" w:cs="Arial"/>
          <w:sz w:val="24"/>
          <w:szCs w:val="24"/>
        </w:rPr>
        <w:t xml:space="preserve">did not think that the absence of a victim impact statement by itself, can lead to the conclusion that this is not the worst kind of rape </w:t>
      </w:r>
      <w:r w:rsidR="00CB3E0B">
        <w:rPr>
          <w:rFonts w:ascii="Arial" w:hAnsi="Arial" w:cs="Arial"/>
          <w:sz w:val="24"/>
          <w:szCs w:val="24"/>
        </w:rPr>
        <w:t xml:space="preserve">as </w:t>
      </w:r>
      <w:r w:rsidRPr="009320FE">
        <w:rPr>
          <w:rFonts w:ascii="Arial" w:hAnsi="Arial" w:cs="Arial"/>
          <w:sz w:val="24"/>
          <w:szCs w:val="24"/>
        </w:rPr>
        <w:t xml:space="preserve">suggested by the </w:t>
      </w:r>
      <w:r w:rsidR="0055268C" w:rsidRPr="009320FE">
        <w:rPr>
          <w:rFonts w:ascii="Arial" w:hAnsi="Arial" w:cs="Arial"/>
          <w:sz w:val="24"/>
          <w:szCs w:val="24"/>
        </w:rPr>
        <w:t>appellant</w:t>
      </w:r>
      <w:r w:rsidR="004277C6" w:rsidRPr="009320FE">
        <w:rPr>
          <w:rFonts w:ascii="Arial" w:hAnsi="Arial" w:cs="Arial"/>
          <w:sz w:val="24"/>
          <w:szCs w:val="24"/>
        </w:rPr>
        <w:t>. The complainant was 15</w:t>
      </w:r>
      <w:r w:rsidR="008B4FEB" w:rsidRPr="009320FE">
        <w:rPr>
          <w:rFonts w:ascii="Arial" w:hAnsi="Arial" w:cs="Arial"/>
          <w:sz w:val="24"/>
          <w:szCs w:val="24"/>
        </w:rPr>
        <w:t xml:space="preserve"> years </w:t>
      </w:r>
      <w:r w:rsidR="00CB3E0B">
        <w:rPr>
          <w:rFonts w:ascii="Arial" w:hAnsi="Arial" w:cs="Arial"/>
          <w:sz w:val="24"/>
          <w:szCs w:val="24"/>
        </w:rPr>
        <w:t xml:space="preserve">old </w:t>
      </w:r>
      <w:r w:rsidR="008B4FEB" w:rsidRPr="009320FE">
        <w:rPr>
          <w:rFonts w:ascii="Arial" w:hAnsi="Arial" w:cs="Arial"/>
          <w:sz w:val="24"/>
          <w:szCs w:val="24"/>
        </w:rPr>
        <w:t>at the time. She was walkin</w:t>
      </w:r>
      <w:r w:rsidR="004277C6" w:rsidRPr="009320FE">
        <w:rPr>
          <w:rFonts w:ascii="Arial" w:hAnsi="Arial" w:cs="Arial"/>
          <w:sz w:val="24"/>
          <w:szCs w:val="24"/>
        </w:rPr>
        <w:t>g alone</w:t>
      </w:r>
      <w:r w:rsidR="00CB3E0B">
        <w:rPr>
          <w:rFonts w:ascii="Arial" w:hAnsi="Arial" w:cs="Arial"/>
          <w:sz w:val="24"/>
          <w:szCs w:val="24"/>
        </w:rPr>
        <w:t>,</w:t>
      </w:r>
      <w:r w:rsidR="004277C6" w:rsidRPr="009320FE">
        <w:rPr>
          <w:rFonts w:ascii="Arial" w:hAnsi="Arial" w:cs="Arial"/>
          <w:sz w:val="24"/>
          <w:szCs w:val="24"/>
        </w:rPr>
        <w:t xml:space="preserve"> returning home at 8</w:t>
      </w:r>
      <w:r w:rsidR="00321A61">
        <w:rPr>
          <w:rFonts w:ascii="Arial" w:hAnsi="Arial" w:cs="Arial"/>
          <w:sz w:val="24"/>
          <w:szCs w:val="24"/>
        </w:rPr>
        <w:t>.</w:t>
      </w:r>
      <w:r w:rsidR="004277C6" w:rsidRPr="009320FE">
        <w:rPr>
          <w:rFonts w:ascii="Arial" w:hAnsi="Arial" w:cs="Arial"/>
          <w:sz w:val="24"/>
          <w:szCs w:val="24"/>
        </w:rPr>
        <w:t xml:space="preserve">30 pm </w:t>
      </w:r>
      <w:r w:rsidR="0055268C" w:rsidRPr="009320FE">
        <w:rPr>
          <w:rFonts w:ascii="Arial" w:hAnsi="Arial" w:cs="Arial"/>
          <w:sz w:val="24"/>
          <w:szCs w:val="24"/>
        </w:rPr>
        <w:t xml:space="preserve">when </w:t>
      </w:r>
      <w:r w:rsidR="004277C6" w:rsidRPr="009320FE">
        <w:rPr>
          <w:rFonts w:ascii="Arial" w:hAnsi="Arial" w:cs="Arial"/>
          <w:sz w:val="24"/>
          <w:szCs w:val="24"/>
        </w:rPr>
        <w:t xml:space="preserve">the </w:t>
      </w:r>
      <w:r w:rsidR="0055268C" w:rsidRPr="009320FE">
        <w:rPr>
          <w:rFonts w:ascii="Arial" w:hAnsi="Arial" w:cs="Arial"/>
          <w:sz w:val="24"/>
          <w:szCs w:val="24"/>
        </w:rPr>
        <w:t xml:space="preserve">appellant </w:t>
      </w:r>
      <w:r w:rsidRPr="009320FE">
        <w:rPr>
          <w:rFonts w:ascii="Arial" w:hAnsi="Arial" w:cs="Arial"/>
          <w:sz w:val="24"/>
          <w:szCs w:val="24"/>
        </w:rPr>
        <w:t xml:space="preserve">grabbed her by the neck, pushed her to the ground, </w:t>
      </w:r>
      <w:r w:rsidR="00321A61">
        <w:rPr>
          <w:rFonts w:ascii="Arial" w:hAnsi="Arial" w:cs="Arial"/>
          <w:sz w:val="24"/>
          <w:szCs w:val="24"/>
        </w:rPr>
        <w:t xml:space="preserve">forcibly </w:t>
      </w:r>
      <w:r w:rsidRPr="009320FE">
        <w:rPr>
          <w:rFonts w:ascii="Arial" w:hAnsi="Arial" w:cs="Arial"/>
          <w:sz w:val="24"/>
          <w:szCs w:val="24"/>
        </w:rPr>
        <w:t>removed her pants, tights</w:t>
      </w:r>
      <w:r w:rsidR="00CB3E0B">
        <w:rPr>
          <w:rFonts w:ascii="Arial" w:hAnsi="Arial" w:cs="Arial"/>
          <w:sz w:val="24"/>
          <w:szCs w:val="24"/>
        </w:rPr>
        <w:t>,</w:t>
      </w:r>
      <w:r w:rsidRPr="009320FE">
        <w:rPr>
          <w:rFonts w:ascii="Arial" w:hAnsi="Arial" w:cs="Arial"/>
          <w:sz w:val="24"/>
          <w:szCs w:val="24"/>
        </w:rPr>
        <w:t xml:space="preserve"> and </w:t>
      </w:r>
      <w:r w:rsidR="004277C6" w:rsidRPr="009320FE">
        <w:rPr>
          <w:rFonts w:ascii="Arial" w:hAnsi="Arial" w:cs="Arial"/>
          <w:sz w:val="24"/>
          <w:szCs w:val="24"/>
        </w:rPr>
        <w:t>underwear. When</w:t>
      </w:r>
      <w:r w:rsidRPr="009320FE">
        <w:rPr>
          <w:rFonts w:ascii="Arial" w:hAnsi="Arial" w:cs="Arial"/>
          <w:sz w:val="24"/>
          <w:szCs w:val="24"/>
        </w:rPr>
        <w:t xml:space="preserve"> she began to cry</w:t>
      </w:r>
      <w:r w:rsidR="008B4FEB" w:rsidRPr="009320FE">
        <w:rPr>
          <w:rFonts w:ascii="Arial" w:hAnsi="Arial" w:cs="Arial"/>
          <w:sz w:val="24"/>
          <w:szCs w:val="24"/>
        </w:rPr>
        <w:t>,</w:t>
      </w:r>
      <w:r w:rsidRPr="009320FE">
        <w:rPr>
          <w:rFonts w:ascii="Arial" w:hAnsi="Arial" w:cs="Arial"/>
          <w:sz w:val="24"/>
          <w:szCs w:val="24"/>
        </w:rPr>
        <w:t xml:space="preserve"> he threatened her with</w:t>
      </w:r>
      <w:r w:rsidR="008B4FEB" w:rsidRPr="009320FE">
        <w:rPr>
          <w:rFonts w:ascii="Arial" w:hAnsi="Arial" w:cs="Arial"/>
          <w:sz w:val="24"/>
          <w:szCs w:val="24"/>
        </w:rPr>
        <w:t xml:space="preserve"> a</w:t>
      </w:r>
      <w:r w:rsidRPr="009320FE">
        <w:rPr>
          <w:rFonts w:ascii="Arial" w:hAnsi="Arial" w:cs="Arial"/>
          <w:sz w:val="24"/>
          <w:szCs w:val="24"/>
        </w:rPr>
        <w:t xml:space="preserve"> knife. He opened her legs and forcibly inse</w:t>
      </w:r>
      <w:r w:rsidR="008B4FEB" w:rsidRPr="009320FE">
        <w:rPr>
          <w:rFonts w:ascii="Arial" w:hAnsi="Arial" w:cs="Arial"/>
          <w:sz w:val="24"/>
          <w:szCs w:val="24"/>
        </w:rPr>
        <w:t>rted his penis into her vagina. She</w:t>
      </w:r>
      <w:r w:rsidRPr="009320FE">
        <w:rPr>
          <w:rFonts w:ascii="Arial" w:hAnsi="Arial" w:cs="Arial"/>
          <w:sz w:val="24"/>
          <w:szCs w:val="24"/>
        </w:rPr>
        <w:t xml:space="preserve"> described this </w:t>
      </w:r>
      <w:r w:rsidR="004277C6" w:rsidRPr="009320FE">
        <w:rPr>
          <w:rFonts w:ascii="Arial" w:hAnsi="Arial" w:cs="Arial"/>
          <w:sz w:val="24"/>
          <w:szCs w:val="24"/>
        </w:rPr>
        <w:t>act</w:t>
      </w:r>
      <w:r w:rsidR="008B4FEB" w:rsidRPr="009320FE">
        <w:rPr>
          <w:rFonts w:ascii="Arial" w:hAnsi="Arial" w:cs="Arial"/>
          <w:sz w:val="24"/>
          <w:szCs w:val="24"/>
        </w:rPr>
        <w:t xml:space="preserve"> as</w:t>
      </w:r>
      <w:r w:rsidRPr="009320FE">
        <w:rPr>
          <w:rFonts w:ascii="Arial" w:hAnsi="Arial" w:cs="Arial"/>
          <w:sz w:val="24"/>
          <w:szCs w:val="24"/>
        </w:rPr>
        <w:t xml:space="preserve"> painful. As he perpetrated this act</w:t>
      </w:r>
      <w:r w:rsidR="004277C6" w:rsidRPr="009320FE">
        <w:rPr>
          <w:rFonts w:ascii="Arial" w:hAnsi="Arial" w:cs="Arial"/>
          <w:sz w:val="24"/>
          <w:szCs w:val="24"/>
        </w:rPr>
        <w:t>,</w:t>
      </w:r>
      <w:r w:rsidRPr="009320FE">
        <w:rPr>
          <w:rFonts w:ascii="Arial" w:hAnsi="Arial" w:cs="Arial"/>
          <w:sz w:val="24"/>
          <w:szCs w:val="24"/>
        </w:rPr>
        <w:t xml:space="preserve"> he </w:t>
      </w:r>
      <w:r w:rsidR="00CB3E0B">
        <w:rPr>
          <w:rFonts w:ascii="Arial" w:hAnsi="Arial" w:cs="Arial"/>
          <w:sz w:val="24"/>
          <w:szCs w:val="24"/>
        </w:rPr>
        <w:t xml:space="preserve">had </w:t>
      </w:r>
      <w:r w:rsidRPr="009320FE">
        <w:rPr>
          <w:rFonts w:ascii="Arial" w:hAnsi="Arial" w:cs="Arial"/>
          <w:sz w:val="24"/>
          <w:szCs w:val="24"/>
        </w:rPr>
        <w:t xml:space="preserve">gripped </w:t>
      </w:r>
      <w:r w:rsidR="008B4FEB" w:rsidRPr="009320FE">
        <w:rPr>
          <w:rFonts w:ascii="Arial" w:hAnsi="Arial" w:cs="Arial"/>
          <w:sz w:val="24"/>
          <w:szCs w:val="24"/>
        </w:rPr>
        <w:t xml:space="preserve">her </w:t>
      </w:r>
      <w:r w:rsidR="004277C6" w:rsidRPr="009320FE">
        <w:rPr>
          <w:rFonts w:ascii="Arial" w:hAnsi="Arial" w:cs="Arial"/>
          <w:sz w:val="24"/>
          <w:szCs w:val="24"/>
        </w:rPr>
        <w:t xml:space="preserve">roughly </w:t>
      </w:r>
      <w:r w:rsidRPr="009320FE">
        <w:rPr>
          <w:rFonts w:ascii="Arial" w:hAnsi="Arial" w:cs="Arial"/>
          <w:sz w:val="24"/>
          <w:szCs w:val="24"/>
        </w:rPr>
        <w:t>with up and do</w:t>
      </w:r>
      <w:r w:rsidR="008B4FEB" w:rsidRPr="009320FE">
        <w:rPr>
          <w:rFonts w:ascii="Arial" w:hAnsi="Arial" w:cs="Arial"/>
          <w:sz w:val="24"/>
          <w:szCs w:val="24"/>
        </w:rPr>
        <w:t>wn movements. No</w:t>
      </w:r>
      <w:r w:rsidR="00507D87" w:rsidRPr="009320FE">
        <w:rPr>
          <w:rFonts w:ascii="Arial" w:hAnsi="Arial" w:cs="Arial"/>
          <w:sz w:val="24"/>
          <w:szCs w:val="24"/>
        </w:rPr>
        <w:t xml:space="preserve"> condom was used. After he ejaculated for the first time</w:t>
      </w:r>
      <w:r w:rsidR="00CB3E0B">
        <w:rPr>
          <w:rFonts w:ascii="Arial" w:hAnsi="Arial" w:cs="Arial"/>
          <w:sz w:val="24"/>
          <w:szCs w:val="24"/>
        </w:rPr>
        <w:t>,</w:t>
      </w:r>
      <w:r w:rsidR="00507D87" w:rsidRPr="009320FE">
        <w:rPr>
          <w:rFonts w:ascii="Arial" w:hAnsi="Arial" w:cs="Arial"/>
          <w:sz w:val="24"/>
          <w:szCs w:val="24"/>
        </w:rPr>
        <w:t xml:space="preserve"> he did not remove his penis and shortly thereafter continu</w:t>
      </w:r>
      <w:r w:rsidR="00321A61">
        <w:rPr>
          <w:rFonts w:ascii="Arial" w:hAnsi="Arial" w:cs="Arial"/>
          <w:sz w:val="24"/>
          <w:szCs w:val="24"/>
        </w:rPr>
        <w:t>ed having sexual intercourse with</w:t>
      </w:r>
      <w:r w:rsidR="00507D87" w:rsidRPr="009320FE">
        <w:rPr>
          <w:rFonts w:ascii="Arial" w:hAnsi="Arial" w:cs="Arial"/>
          <w:sz w:val="24"/>
          <w:szCs w:val="24"/>
        </w:rPr>
        <w:t xml:space="preserve"> the comp</w:t>
      </w:r>
      <w:r w:rsidR="008B4FEB" w:rsidRPr="009320FE">
        <w:rPr>
          <w:rFonts w:ascii="Arial" w:hAnsi="Arial" w:cs="Arial"/>
          <w:sz w:val="24"/>
          <w:szCs w:val="24"/>
        </w:rPr>
        <w:t>lainant until he ejaculated for the second time. H</w:t>
      </w:r>
      <w:r w:rsidR="00507D87" w:rsidRPr="009320FE">
        <w:rPr>
          <w:rFonts w:ascii="Arial" w:hAnsi="Arial" w:cs="Arial"/>
          <w:sz w:val="24"/>
          <w:szCs w:val="24"/>
        </w:rPr>
        <w:t>e thereafter re</w:t>
      </w:r>
      <w:r w:rsidR="008B4FEB" w:rsidRPr="009320FE">
        <w:rPr>
          <w:rFonts w:ascii="Arial" w:hAnsi="Arial" w:cs="Arial"/>
          <w:sz w:val="24"/>
          <w:szCs w:val="24"/>
        </w:rPr>
        <w:t>fused her permission to urinate. S</w:t>
      </w:r>
      <w:r w:rsidR="00507D87" w:rsidRPr="009320FE">
        <w:rPr>
          <w:rFonts w:ascii="Arial" w:hAnsi="Arial" w:cs="Arial"/>
          <w:sz w:val="24"/>
          <w:szCs w:val="24"/>
        </w:rPr>
        <w:t>he escaped and went to her teacher’s house for assistance in a s</w:t>
      </w:r>
      <w:r w:rsidR="008B4FEB" w:rsidRPr="009320FE">
        <w:rPr>
          <w:rFonts w:ascii="Arial" w:hAnsi="Arial" w:cs="Arial"/>
          <w:sz w:val="24"/>
          <w:szCs w:val="24"/>
        </w:rPr>
        <w:t>tate of semi-nakedness. She understandably</w:t>
      </w:r>
      <w:r w:rsidR="004277C6" w:rsidRPr="009320FE">
        <w:rPr>
          <w:rFonts w:ascii="Arial" w:hAnsi="Arial" w:cs="Arial"/>
          <w:sz w:val="24"/>
          <w:szCs w:val="24"/>
        </w:rPr>
        <w:t xml:space="preserve"> cried during this ordeal</w:t>
      </w:r>
      <w:r w:rsidR="00C11AED">
        <w:rPr>
          <w:rFonts w:ascii="Arial" w:hAnsi="Arial" w:cs="Arial"/>
          <w:sz w:val="24"/>
          <w:szCs w:val="24"/>
        </w:rPr>
        <w:t>,</w:t>
      </w:r>
      <w:r w:rsidR="004277C6" w:rsidRPr="009320FE">
        <w:rPr>
          <w:rFonts w:ascii="Arial" w:hAnsi="Arial" w:cs="Arial"/>
          <w:sz w:val="24"/>
          <w:szCs w:val="24"/>
        </w:rPr>
        <w:t xml:space="preserve"> and</w:t>
      </w:r>
      <w:r w:rsidR="00507D87" w:rsidRPr="009320FE">
        <w:rPr>
          <w:rFonts w:ascii="Arial" w:hAnsi="Arial" w:cs="Arial"/>
          <w:sz w:val="24"/>
          <w:szCs w:val="24"/>
        </w:rPr>
        <w:t xml:space="preserve"> suf</w:t>
      </w:r>
      <w:r w:rsidR="008B4FEB" w:rsidRPr="009320FE">
        <w:rPr>
          <w:rFonts w:ascii="Arial" w:hAnsi="Arial" w:cs="Arial"/>
          <w:sz w:val="24"/>
          <w:szCs w:val="24"/>
        </w:rPr>
        <w:t>fe</w:t>
      </w:r>
      <w:r w:rsidR="004277C6" w:rsidRPr="009320FE">
        <w:rPr>
          <w:rFonts w:ascii="Arial" w:hAnsi="Arial" w:cs="Arial"/>
          <w:sz w:val="24"/>
          <w:szCs w:val="24"/>
        </w:rPr>
        <w:t>red scratch injuries to her legs</w:t>
      </w:r>
      <w:r w:rsidR="008B4FEB" w:rsidRPr="009320FE">
        <w:rPr>
          <w:rFonts w:ascii="Arial" w:hAnsi="Arial" w:cs="Arial"/>
          <w:sz w:val="24"/>
          <w:szCs w:val="24"/>
        </w:rPr>
        <w:t xml:space="preserve"> and hand. W</w:t>
      </w:r>
      <w:r w:rsidR="00507D87" w:rsidRPr="009320FE">
        <w:rPr>
          <w:rFonts w:ascii="Arial" w:hAnsi="Arial" w:cs="Arial"/>
          <w:sz w:val="24"/>
          <w:szCs w:val="24"/>
        </w:rPr>
        <w:t xml:space="preserve">hilst a victim impact statement would have been helpful to assess how the complainant is </w:t>
      </w:r>
      <w:r w:rsidR="008B4FEB" w:rsidRPr="009320FE">
        <w:rPr>
          <w:rFonts w:ascii="Arial" w:hAnsi="Arial" w:cs="Arial"/>
          <w:sz w:val="24"/>
          <w:szCs w:val="24"/>
        </w:rPr>
        <w:t xml:space="preserve">coping, </w:t>
      </w:r>
      <w:r w:rsidR="00C150EE" w:rsidRPr="009320FE">
        <w:rPr>
          <w:rFonts w:ascii="Arial" w:hAnsi="Arial" w:cs="Arial"/>
          <w:sz w:val="24"/>
          <w:szCs w:val="24"/>
        </w:rPr>
        <w:t xml:space="preserve">if </w:t>
      </w:r>
      <w:r w:rsidR="008B4FEB" w:rsidRPr="009320FE">
        <w:rPr>
          <w:rFonts w:ascii="Arial" w:hAnsi="Arial" w:cs="Arial"/>
          <w:sz w:val="24"/>
          <w:szCs w:val="24"/>
        </w:rPr>
        <w:t xml:space="preserve">at </w:t>
      </w:r>
      <w:r w:rsidR="00014F1D" w:rsidRPr="009320FE">
        <w:rPr>
          <w:rFonts w:ascii="Arial" w:hAnsi="Arial" w:cs="Arial"/>
          <w:sz w:val="24"/>
          <w:szCs w:val="24"/>
        </w:rPr>
        <w:t>all</w:t>
      </w:r>
      <w:r w:rsidR="0055268C">
        <w:rPr>
          <w:rFonts w:ascii="Arial" w:hAnsi="Arial" w:cs="Arial"/>
          <w:sz w:val="24"/>
          <w:szCs w:val="24"/>
        </w:rPr>
        <w:t>,</w:t>
      </w:r>
      <w:r w:rsidR="00014F1D" w:rsidRPr="009320FE">
        <w:rPr>
          <w:rFonts w:ascii="Arial" w:hAnsi="Arial" w:cs="Arial"/>
          <w:sz w:val="24"/>
          <w:szCs w:val="24"/>
        </w:rPr>
        <w:t xml:space="preserve"> its</w:t>
      </w:r>
      <w:r w:rsidR="00507D87" w:rsidRPr="009320FE">
        <w:rPr>
          <w:rFonts w:ascii="Arial" w:hAnsi="Arial" w:cs="Arial"/>
          <w:sz w:val="24"/>
          <w:szCs w:val="24"/>
        </w:rPr>
        <w:t xml:space="preserve"> absence</w:t>
      </w:r>
      <w:r w:rsidR="008642C0">
        <w:rPr>
          <w:rFonts w:ascii="Arial" w:hAnsi="Arial" w:cs="Arial"/>
          <w:sz w:val="24"/>
          <w:szCs w:val="24"/>
        </w:rPr>
        <w:t>,</w:t>
      </w:r>
      <w:r w:rsidR="0070353D" w:rsidRPr="009320FE">
        <w:rPr>
          <w:rFonts w:ascii="Arial" w:hAnsi="Arial" w:cs="Arial"/>
          <w:sz w:val="24"/>
          <w:szCs w:val="24"/>
        </w:rPr>
        <w:t xml:space="preserve"> in my view</w:t>
      </w:r>
      <w:r w:rsidR="008642C0">
        <w:rPr>
          <w:rFonts w:ascii="Arial" w:hAnsi="Arial" w:cs="Arial"/>
          <w:sz w:val="24"/>
          <w:szCs w:val="24"/>
        </w:rPr>
        <w:t>,</w:t>
      </w:r>
      <w:r w:rsidR="00507D87" w:rsidRPr="009320FE">
        <w:rPr>
          <w:rFonts w:ascii="Arial" w:hAnsi="Arial" w:cs="Arial"/>
          <w:sz w:val="24"/>
          <w:szCs w:val="24"/>
        </w:rPr>
        <w:t xml:space="preserve"> does not make </w:t>
      </w:r>
      <w:r w:rsidR="0070353D" w:rsidRPr="009320FE">
        <w:rPr>
          <w:rFonts w:ascii="Arial" w:hAnsi="Arial" w:cs="Arial"/>
          <w:sz w:val="24"/>
          <w:szCs w:val="24"/>
        </w:rPr>
        <w:t xml:space="preserve">the </w:t>
      </w:r>
      <w:r w:rsidR="00507D87" w:rsidRPr="009320FE">
        <w:rPr>
          <w:rFonts w:ascii="Arial" w:hAnsi="Arial" w:cs="Arial"/>
          <w:sz w:val="24"/>
          <w:szCs w:val="24"/>
        </w:rPr>
        <w:t xml:space="preserve">rape any less </w:t>
      </w:r>
      <w:r w:rsidR="00C150EE" w:rsidRPr="009320FE">
        <w:rPr>
          <w:rFonts w:ascii="Arial" w:hAnsi="Arial" w:cs="Arial"/>
          <w:sz w:val="24"/>
          <w:szCs w:val="24"/>
        </w:rPr>
        <w:t>serious. The</w:t>
      </w:r>
      <w:r w:rsidR="00C346EE" w:rsidRPr="009320FE">
        <w:rPr>
          <w:rFonts w:ascii="Arial" w:hAnsi="Arial" w:cs="Arial"/>
          <w:sz w:val="24"/>
          <w:szCs w:val="24"/>
        </w:rPr>
        <w:t xml:space="preserve"> complainant was </w:t>
      </w:r>
      <w:r w:rsidR="0070353D" w:rsidRPr="009320FE">
        <w:rPr>
          <w:rFonts w:ascii="Arial" w:hAnsi="Arial" w:cs="Arial"/>
          <w:sz w:val="24"/>
          <w:szCs w:val="24"/>
        </w:rPr>
        <w:t xml:space="preserve">a </w:t>
      </w:r>
      <w:r w:rsidR="00C346EE" w:rsidRPr="009320FE">
        <w:rPr>
          <w:rFonts w:ascii="Arial" w:hAnsi="Arial" w:cs="Arial"/>
          <w:sz w:val="24"/>
          <w:szCs w:val="24"/>
        </w:rPr>
        <w:t>soft target</w:t>
      </w:r>
      <w:r w:rsidR="007D5A79">
        <w:rPr>
          <w:rFonts w:ascii="Arial" w:hAnsi="Arial" w:cs="Arial"/>
          <w:sz w:val="24"/>
          <w:szCs w:val="24"/>
        </w:rPr>
        <w:t>,</w:t>
      </w:r>
      <w:r w:rsidR="00C346EE" w:rsidRPr="009320FE">
        <w:rPr>
          <w:rFonts w:ascii="Arial" w:hAnsi="Arial" w:cs="Arial"/>
          <w:sz w:val="24"/>
          <w:szCs w:val="24"/>
        </w:rPr>
        <w:t xml:space="preserve"> walking alone in the dark when </w:t>
      </w:r>
      <w:r w:rsidR="00C11AED">
        <w:rPr>
          <w:rFonts w:ascii="Arial" w:hAnsi="Arial" w:cs="Arial"/>
          <w:sz w:val="24"/>
          <w:szCs w:val="24"/>
        </w:rPr>
        <w:t xml:space="preserve">she was </w:t>
      </w:r>
      <w:r w:rsidR="00C346EE" w:rsidRPr="009320FE">
        <w:rPr>
          <w:rFonts w:ascii="Arial" w:hAnsi="Arial" w:cs="Arial"/>
          <w:sz w:val="24"/>
          <w:szCs w:val="24"/>
        </w:rPr>
        <w:t xml:space="preserve">accosted and raped. It remains however that there is very little upon which to measure the emotional </w:t>
      </w:r>
      <w:r w:rsidR="00C150EE" w:rsidRPr="009320FE">
        <w:rPr>
          <w:rFonts w:ascii="Arial" w:hAnsi="Arial" w:cs="Arial"/>
          <w:sz w:val="24"/>
          <w:szCs w:val="24"/>
        </w:rPr>
        <w:t>and psychological</w:t>
      </w:r>
      <w:r w:rsidR="0070353D" w:rsidRPr="009320FE">
        <w:rPr>
          <w:rFonts w:ascii="Arial" w:hAnsi="Arial" w:cs="Arial"/>
          <w:sz w:val="24"/>
          <w:szCs w:val="24"/>
        </w:rPr>
        <w:t xml:space="preserve"> </w:t>
      </w:r>
      <w:r w:rsidR="00C150EE" w:rsidRPr="009320FE">
        <w:rPr>
          <w:rFonts w:ascii="Arial" w:hAnsi="Arial" w:cs="Arial"/>
          <w:sz w:val="24"/>
          <w:szCs w:val="24"/>
        </w:rPr>
        <w:t xml:space="preserve">impact of the offence on the </w:t>
      </w:r>
      <w:r w:rsidR="00C82D86" w:rsidRPr="009320FE">
        <w:rPr>
          <w:rFonts w:ascii="Arial" w:hAnsi="Arial" w:cs="Arial"/>
          <w:sz w:val="24"/>
          <w:szCs w:val="24"/>
        </w:rPr>
        <w:t>complainant. The</w:t>
      </w:r>
      <w:r w:rsidR="00C150EE" w:rsidRPr="009320FE">
        <w:rPr>
          <w:rFonts w:ascii="Arial" w:hAnsi="Arial" w:cs="Arial"/>
          <w:sz w:val="24"/>
          <w:szCs w:val="24"/>
        </w:rPr>
        <w:t xml:space="preserve"> court </w:t>
      </w:r>
      <w:r w:rsidR="00C82D86" w:rsidRPr="008E7784">
        <w:rPr>
          <w:rFonts w:ascii="Arial" w:hAnsi="Arial" w:cs="Arial"/>
          <w:sz w:val="24"/>
          <w:szCs w:val="24"/>
        </w:rPr>
        <w:t>a quo</w:t>
      </w:r>
      <w:r w:rsidR="00C82D86" w:rsidRPr="009320FE">
        <w:rPr>
          <w:rFonts w:ascii="Arial" w:hAnsi="Arial" w:cs="Arial"/>
          <w:sz w:val="24"/>
          <w:szCs w:val="24"/>
        </w:rPr>
        <w:t xml:space="preserve"> ought to have informed itself sufficiently on this aspect. It </w:t>
      </w:r>
      <w:r w:rsidR="00C11AED">
        <w:rPr>
          <w:rFonts w:ascii="Arial" w:hAnsi="Arial" w:cs="Arial"/>
          <w:sz w:val="24"/>
          <w:szCs w:val="24"/>
        </w:rPr>
        <w:t xml:space="preserve">is </w:t>
      </w:r>
      <w:r w:rsidR="00C82D86" w:rsidRPr="009320FE">
        <w:rPr>
          <w:rFonts w:ascii="Arial" w:hAnsi="Arial" w:cs="Arial"/>
          <w:sz w:val="24"/>
          <w:szCs w:val="24"/>
        </w:rPr>
        <w:t>regrettable that this was not done</w:t>
      </w:r>
      <w:r w:rsidR="00C11AED">
        <w:rPr>
          <w:rFonts w:ascii="Arial" w:hAnsi="Arial" w:cs="Arial"/>
          <w:sz w:val="24"/>
          <w:szCs w:val="24"/>
        </w:rPr>
        <w:t>,</w:t>
      </w:r>
      <w:r w:rsidR="00C82D86" w:rsidRPr="009320FE">
        <w:rPr>
          <w:rFonts w:ascii="Arial" w:hAnsi="Arial" w:cs="Arial"/>
          <w:sz w:val="24"/>
          <w:szCs w:val="24"/>
        </w:rPr>
        <w:t xml:space="preserve"> and has become a common feature in many rape cases that serve on appeal.</w:t>
      </w:r>
    </w:p>
    <w:p w:rsidR="00014F1D" w:rsidRPr="009320FE" w:rsidRDefault="00014F1D" w:rsidP="009320FE">
      <w:pPr>
        <w:spacing w:after="0" w:line="360" w:lineRule="auto"/>
        <w:contextualSpacing/>
        <w:jc w:val="both"/>
        <w:rPr>
          <w:rFonts w:ascii="Arial" w:hAnsi="Arial" w:cs="Arial"/>
          <w:sz w:val="24"/>
          <w:szCs w:val="24"/>
        </w:rPr>
      </w:pPr>
    </w:p>
    <w:p w:rsidR="00014F1D" w:rsidRPr="009320FE" w:rsidRDefault="00014F1D"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3</w:t>
      </w:r>
      <w:r w:rsidR="00567EF2">
        <w:rPr>
          <w:rFonts w:ascii="Arial" w:hAnsi="Arial" w:cs="Arial"/>
          <w:sz w:val="24"/>
          <w:szCs w:val="24"/>
        </w:rPr>
        <w:t>8</w:t>
      </w:r>
      <w:r w:rsidRPr="009320FE">
        <w:rPr>
          <w:rFonts w:ascii="Arial" w:hAnsi="Arial" w:cs="Arial"/>
          <w:sz w:val="24"/>
          <w:szCs w:val="24"/>
        </w:rPr>
        <w:t>]</w:t>
      </w:r>
      <w:r w:rsidR="00C42812" w:rsidRPr="009320FE">
        <w:rPr>
          <w:rFonts w:ascii="Arial" w:hAnsi="Arial" w:cs="Arial"/>
          <w:sz w:val="24"/>
          <w:szCs w:val="24"/>
        </w:rPr>
        <w:tab/>
      </w:r>
      <w:r w:rsidR="00C82D86" w:rsidRPr="009320FE">
        <w:rPr>
          <w:rFonts w:ascii="Arial" w:hAnsi="Arial" w:cs="Arial"/>
          <w:sz w:val="24"/>
          <w:szCs w:val="24"/>
        </w:rPr>
        <w:t xml:space="preserve">It is so that the </w:t>
      </w:r>
      <w:r w:rsidR="0055268C" w:rsidRPr="009320FE">
        <w:rPr>
          <w:rFonts w:ascii="Arial" w:hAnsi="Arial" w:cs="Arial"/>
          <w:sz w:val="24"/>
          <w:szCs w:val="24"/>
        </w:rPr>
        <w:t xml:space="preserve">appellant </w:t>
      </w:r>
      <w:r w:rsidR="009246E1" w:rsidRPr="009320FE">
        <w:rPr>
          <w:rFonts w:ascii="Arial" w:hAnsi="Arial" w:cs="Arial"/>
          <w:sz w:val="24"/>
          <w:szCs w:val="24"/>
        </w:rPr>
        <w:t>was relatively young and a first offender</w:t>
      </w:r>
      <w:r w:rsidR="00C11AED">
        <w:rPr>
          <w:rFonts w:ascii="Arial" w:hAnsi="Arial" w:cs="Arial"/>
          <w:sz w:val="24"/>
          <w:szCs w:val="24"/>
        </w:rPr>
        <w:t>,</w:t>
      </w:r>
      <w:r w:rsidR="009246E1" w:rsidRPr="009320FE">
        <w:rPr>
          <w:rFonts w:ascii="Arial" w:hAnsi="Arial" w:cs="Arial"/>
          <w:sz w:val="24"/>
          <w:szCs w:val="24"/>
        </w:rPr>
        <w:t xml:space="preserve"> which increases his pr</w:t>
      </w:r>
      <w:r w:rsidR="0070353D" w:rsidRPr="009320FE">
        <w:rPr>
          <w:rFonts w:ascii="Arial" w:hAnsi="Arial" w:cs="Arial"/>
          <w:sz w:val="24"/>
          <w:szCs w:val="24"/>
        </w:rPr>
        <w:t>ospects of being rehabilitated. I</w:t>
      </w:r>
      <w:r w:rsidR="009246E1" w:rsidRPr="009320FE">
        <w:rPr>
          <w:rFonts w:ascii="Arial" w:hAnsi="Arial" w:cs="Arial"/>
          <w:sz w:val="24"/>
          <w:szCs w:val="24"/>
        </w:rPr>
        <w:t>n dealing with serious and violent crime</w:t>
      </w:r>
      <w:r w:rsidR="00C11AED">
        <w:rPr>
          <w:rFonts w:ascii="Arial" w:hAnsi="Arial" w:cs="Arial"/>
          <w:sz w:val="24"/>
          <w:szCs w:val="24"/>
        </w:rPr>
        <w:t>s</w:t>
      </w:r>
      <w:r w:rsidR="009246E1" w:rsidRPr="009320FE">
        <w:rPr>
          <w:rFonts w:ascii="Arial" w:hAnsi="Arial" w:cs="Arial"/>
          <w:sz w:val="24"/>
          <w:szCs w:val="24"/>
        </w:rPr>
        <w:t>, retribution and deterrence</w:t>
      </w:r>
      <w:r w:rsidR="007D5A79">
        <w:rPr>
          <w:rFonts w:ascii="Arial" w:hAnsi="Arial" w:cs="Arial"/>
          <w:sz w:val="24"/>
          <w:szCs w:val="24"/>
        </w:rPr>
        <w:t>,</w:t>
      </w:r>
      <w:r w:rsidR="009246E1" w:rsidRPr="009320FE">
        <w:rPr>
          <w:rFonts w:ascii="Arial" w:hAnsi="Arial" w:cs="Arial"/>
          <w:sz w:val="24"/>
          <w:szCs w:val="24"/>
        </w:rPr>
        <w:t xml:space="preserve"> however, overshadow </w:t>
      </w:r>
      <w:r w:rsidR="00C82D86" w:rsidRPr="009320FE">
        <w:rPr>
          <w:rFonts w:ascii="Arial" w:hAnsi="Arial" w:cs="Arial"/>
          <w:sz w:val="24"/>
          <w:szCs w:val="24"/>
        </w:rPr>
        <w:t xml:space="preserve">rehabilitation. Sight cannot however be lost that the </w:t>
      </w:r>
      <w:r w:rsidR="0055268C" w:rsidRPr="009320FE">
        <w:rPr>
          <w:rFonts w:ascii="Arial" w:hAnsi="Arial" w:cs="Arial"/>
          <w:sz w:val="24"/>
          <w:szCs w:val="24"/>
        </w:rPr>
        <w:t xml:space="preserve">appellant </w:t>
      </w:r>
      <w:r w:rsidR="00C82D86" w:rsidRPr="009320FE">
        <w:rPr>
          <w:rFonts w:ascii="Arial" w:hAnsi="Arial" w:cs="Arial"/>
          <w:sz w:val="24"/>
          <w:szCs w:val="24"/>
        </w:rPr>
        <w:t xml:space="preserve">was 23 years old at the time and </w:t>
      </w:r>
      <w:r w:rsidR="00C11AED">
        <w:rPr>
          <w:rFonts w:ascii="Arial" w:hAnsi="Arial" w:cs="Arial"/>
          <w:sz w:val="24"/>
          <w:szCs w:val="24"/>
        </w:rPr>
        <w:t xml:space="preserve">a </w:t>
      </w:r>
      <w:r w:rsidR="00C82D86" w:rsidRPr="009320FE">
        <w:rPr>
          <w:rFonts w:ascii="Arial" w:hAnsi="Arial" w:cs="Arial"/>
          <w:sz w:val="24"/>
          <w:szCs w:val="24"/>
        </w:rPr>
        <w:t>first offender which increases his prospects of being rehabilitated.</w:t>
      </w:r>
    </w:p>
    <w:p w:rsidR="0070353D" w:rsidRPr="009320FE" w:rsidRDefault="0070353D" w:rsidP="009320FE">
      <w:pPr>
        <w:spacing w:after="0" w:line="360" w:lineRule="auto"/>
        <w:contextualSpacing/>
        <w:jc w:val="both"/>
        <w:rPr>
          <w:rFonts w:ascii="Arial" w:hAnsi="Arial" w:cs="Arial"/>
          <w:sz w:val="24"/>
          <w:szCs w:val="24"/>
        </w:rPr>
      </w:pPr>
    </w:p>
    <w:p w:rsidR="009246E1" w:rsidRPr="009320FE" w:rsidRDefault="009246E1"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567EF2">
        <w:rPr>
          <w:rFonts w:ascii="Arial" w:hAnsi="Arial" w:cs="Arial"/>
          <w:sz w:val="24"/>
          <w:szCs w:val="24"/>
        </w:rPr>
        <w:t>39]</w:t>
      </w:r>
      <w:r w:rsidR="00C42812" w:rsidRPr="009320FE">
        <w:rPr>
          <w:rFonts w:ascii="Arial" w:hAnsi="Arial" w:cs="Arial"/>
          <w:sz w:val="24"/>
          <w:szCs w:val="24"/>
        </w:rPr>
        <w:tab/>
      </w:r>
      <w:r w:rsidR="00B31893" w:rsidRPr="009320FE">
        <w:rPr>
          <w:rFonts w:ascii="Arial" w:hAnsi="Arial" w:cs="Arial"/>
          <w:sz w:val="24"/>
          <w:szCs w:val="24"/>
        </w:rPr>
        <w:t xml:space="preserve"> It seems from the record</w:t>
      </w:r>
      <w:r w:rsidR="00384C6F" w:rsidRPr="009320FE">
        <w:rPr>
          <w:rStyle w:val="FootnoteReference"/>
          <w:rFonts w:ascii="Arial" w:hAnsi="Arial" w:cs="Arial"/>
          <w:sz w:val="24"/>
          <w:szCs w:val="24"/>
        </w:rPr>
        <w:footnoteReference w:id="24"/>
      </w:r>
      <w:r w:rsidRPr="009320FE">
        <w:rPr>
          <w:rFonts w:ascii="Arial" w:hAnsi="Arial" w:cs="Arial"/>
          <w:sz w:val="24"/>
          <w:szCs w:val="24"/>
        </w:rPr>
        <w:t xml:space="preserve"> that the learne</w:t>
      </w:r>
      <w:r w:rsidR="00C82D86" w:rsidRPr="009320FE">
        <w:rPr>
          <w:rFonts w:ascii="Arial" w:hAnsi="Arial" w:cs="Arial"/>
          <w:sz w:val="24"/>
          <w:szCs w:val="24"/>
        </w:rPr>
        <w:t>d magistrate</w:t>
      </w:r>
      <w:r w:rsidR="0055268C">
        <w:rPr>
          <w:rFonts w:ascii="Arial" w:hAnsi="Arial" w:cs="Arial"/>
          <w:sz w:val="24"/>
          <w:szCs w:val="24"/>
        </w:rPr>
        <w:t>,</w:t>
      </w:r>
      <w:r w:rsidR="00C82D86" w:rsidRPr="009320FE">
        <w:rPr>
          <w:rFonts w:ascii="Arial" w:hAnsi="Arial" w:cs="Arial"/>
          <w:sz w:val="24"/>
          <w:szCs w:val="24"/>
        </w:rPr>
        <w:t xml:space="preserve"> in arriving at the</w:t>
      </w:r>
      <w:r w:rsidRPr="009320FE">
        <w:rPr>
          <w:rFonts w:ascii="Arial" w:hAnsi="Arial" w:cs="Arial"/>
          <w:sz w:val="24"/>
          <w:szCs w:val="24"/>
        </w:rPr>
        <w:t xml:space="preserve"> conclusion</w:t>
      </w:r>
      <w:r w:rsidR="00C82D86" w:rsidRPr="009320FE">
        <w:rPr>
          <w:rFonts w:ascii="Arial" w:hAnsi="Arial" w:cs="Arial"/>
          <w:sz w:val="24"/>
          <w:szCs w:val="24"/>
        </w:rPr>
        <w:t xml:space="preserve"> of an </w:t>
      </w:r>
      <w:r w:rsidR="0055268C">
        <w:rPr>
          <w:rFonts w:ascii="Arial" w:hAnsi="Arial" w:cs="Arial"/>
          <w:sz w:val="24"/>
          <w:szCs w:val="24"/>
        </w:rPr>
        <w:t>absence</w:t>
      </w:r>
      <w:r w:rsidR="0055268C" w:rsidRPr="009320FE">
        <w:rPr>
          <w:rFonts w:ascii="Arial" w:hAnsi="Arial" w:cs="Arial"/>
          <w:sz w:val="24"/>
          <w:szCs w:val="24"/>
        </w:rPr>
        <w:t xml:space="preserve"> </w:t>
      </w:r>
      <w:r w:rsidR="00C82D86" w:rsidRPr="009320FE">
        <w:rPr>
          <w:rFonts w:ascii="Arial" w:hAnsi="Arial" w:cs="Arial"/>
          <w:sz w:val="24"/>
          <w:szCs w:val="24"/>
        </w:rPr>
        <w:t>of substanti</w:t>
      </w:r>
      <w:r w:rsidR="00B07197">
        <w:rPr>
          <w:rFonts w:ascii="Arial" w:hAnsi="Arial" w:cs="Arial"/>
          <w:sz w:val="24"/>
          <w:szCs w:val="24"/>
        </w:rPr>
        <w:t>al</w:t>
      </w:r>
      <w:r w:rsidR="00C82D86" w:rsidRPr="009320FE">
        <w:rPr>
          <w:rFonts w:ascii="Arial" w:hAnsi="Arial" w:cs="Arial"/>
          <w:sz w:val="24"/>
          <w:szCs w:val="24"/>
        </w:rPr>
        <w:t xml:space="preserve"> and compelling circumstances</w:t>
      </w:r>
      <w:r w:rsidR="0055268C">
        <w:rPr>
          <w:rFonts w:ascii="Arial" w:hAnsi="Arial" w:cs="Arial"/>
          <w:sz w:val="24"/>
          <w:szCs w:val="24"/>
        </w:rPr>
        <w:t>,</w:t>
      </w:r>
      <w:r w:rsidRPr="009320FE">
        <w:rPr>
          <w:rFonts w:ascii="Arial" w:hAnsi="Arial" w:cs="Arial"/>
          <w:sz w:val="24"/>
          <w:szCs w:val="24"/>
        </w:rPr>
        <w:t xml:space="preserve"> </w:t>
      </w:r>
      <w:r w:rsidR="008D6190" w:rsidRPr="009320FE">
        <w:rPr>
          <w:rFonts w:ascii="Arial" w:hAnsi="Arial" w:cs="Arial"/>
          <w:sz w:val="24"/>
          <w:szCs w:val="24"/>
        </w:rPr>
        <w:t xml:space="preserve">misdirected herself by searching for factors </w:t>
      </w:r>
      <w:r w:rsidR="00A868C6" w:rsidRPr="009320FE">
        <w:rPr>
          <w:rFonts w:ascii="Arial" w:hAnsi="Arial" w:cs="Arial"/>
          <w:sz w:val="24"/>
          <w:szCs w:val="24"/>
        </w:rPr>
        <w:t xml:space="preserve">out of </w:t>
      </w:r>
      <w:r w:rsidR="008D6190" w:rsidRPr="009320FE">
        <w:rPr>
          <w:rFonts w:ascii="Arial" w:hAnsi="Arial" w:cs="Arial"/>
          <w:sz w:val="24"/>
          <w:szCs w:val="24"/>
        </w:rPr>
        <w:t>the ordinary</w:t>
      </w:r>
      <w:r w:rsidR="00607188">
        <w:rPr>
          <w:rFonts w:ascii="Arial" w:hAnsi="Arial" w:cs="Arial"/>
          <w:sz w:val="24"/>
          <w:szCs w:val="24"/>
        </w:rPr>
        <w:t>.</w:t>
      </w:r>
      <w:r w:rsidR="008D6190" w:rsidRPr="009320FE">
        <w:rPr>
          <w:rFonts w:ascii="Arial" w:hAnsi="Arial" w:cs="Arial"/>
          <w:sz w:val="24"/>
          <w:szCs w:val="24"/>
        </w:rPr>
        <w:t xml:space="preserve"> </w:t>
      </w:r>
      <w:r w:rsidR="00607188">
        <w:rPr>
          <w:rFonts w:ascii="Arial" w:hAnsi="Arial" w:cs="Arial"/>
          <w:sz w:val="24"/>
          <w:szCs w:val="24"/>
        </w:rPr>
        <w:t>T</w:t>
      </w:r>
      <w:r w:rsidR="008D6190" w:rsidRPr="009320FE">
        <w:rPr>
          <w:rFonts w:ascii="Arial" w:hAnsi="Arial" w:cs="Arial"/>
          <w:sz w:val="24"/>
          <w:szCs w:val="24"/>
        </w:rPr>
        <w:t>he learned magistrate stated</w:t>
      </w:r>
      <w:r w:rsidR="00607188">
        <w:rPr>
          <w:rFonts w:ascii="Arial" w:hAnsi="Arial" w:cs="Arial"/>
          <w:sz w:val="24"/>
          <w:szCs w:val="24"/>
        </w:rPr>
        <w:t xml:space="preserve"> as follows</w:t>
      </w:r>
      <w:r w:rsidR="008D6190" w:rsidRPr="009320FE">
        <w:rPr>
          <w:rFonts w:ascii="Arial" w:hAnsi="Arial" w:cs="Arial"/>
          <w:sz w:val="24"/>
          <w:szCs w:val="24"/>
        </w:rPr>
        <w:t>:</w:t>
      </w:r>
    </w:p>
    <w:p w:rsidR="00A868C6" w:rsidRDefault="00607188" w:rsidP="009320FE">
      <w:pPr>
        <w:spacing w:after="0" w:line="360" w:lineRule="auto"/>
        <w:contextualSpacing/>
        <w:jc w:val="both"/>
        <w:rPr>
          <w:rFonts w:ascii="Arial" w:hAnsi="Arial" w:cs="Arial"/>
          <w:szCs w:val="24"/>
        </w:rPr>
      </w:pPr>
      <w:r>
        <w:rPr>
          <w:rFonts w:ascii="Arial" w:hAnsi="Arial" w:cs="Arial"/>
          <w:szCs w:val="24"/>
        </w:rPr>
        <w:t>‘</w:t>
      </w:r>
      <w:r w:rsidR="00A868C6" w:rsidRPr="008E7784">
        <w:rPr>
          <w:rFonts w:ascii="Arial" w:hAnsi="Arial" w:cs="Arial"/>
          <w:szCs w:val="24"/>
        </w:rPr>
        <w:t>I don’t see (sic) and I don’t find any compelling and substantial c</w:t>
      </w:r>
      <w:r w:rsidR="00B31893" w:rsidRPr="008E7784">
        <w:rPr>
          <w:rFonts w:ascii="Arial" w:hAnsi="Arial" w:cs="Arial"/>
          <w:szCs w:val="24"/>
        </w:rPr>
        <w:t xml:space="preserve">ircumstances. There is nothing </w:t>
      </w:r>
      <w:r w:rsidR="008D6190" w:rsidRPr="008E7784">
        <w:rPr>
          <w:rFonts w:ascii="Arial" w:hAnsi="Arial" w:cs="Arial"/>
          <w:szCs w:val="24"/>
        </w:rPr>
        <w:t>out of the</w:t>
      </w:r>
      <w:r w:rsidR="00A868C6" w:rsidRPr="008E7784">
        <w:rPr>
          <w:rFonts w:ascii="Arial" w:hAnsi="Arial" w:cs="Arial"/>
          <w:szCs w:val="24"/>
        </w:rPr>
        <w:t xml:space="preserve"> ordinary which means therefore, that the penalty clause which is cont</w:t>
      </w:r>
      <w:r w:rsidR="008D6190" w:rsidRPr="008E7784">
        <w:rPr>
          <w:rFonts w:ascii="Arial" w:hAnsi="Arial" w:cs="Arial"/>
          <w:szCs w:val="24"/>
        </w:rPr>
        <w:t>ained in this section 51 (1) (2) of</w:t>
      </w:r>
      <w:r w:rsidR="00B31893" w:rsidRPr="008E7784">
        <w:rPr>
          <w:rFonts w:ascii="Arial" w:hAnsi="Arial" w:cs="Arial"/>
          <w:szCs w:val="24"/>
        </w:rPr>
        <w:t xml:space="preserve"> the Criminal Procedure Amendment Act 105 of 1977 (sic) is</w:t>
      </w:r>
      <w:r w:rsidR="00A868C6" w:rsidRPr="008E7784">
        <w:rPr>
          <w:rFonts w:ascii="Arial" w:hAnsi="Arial" w:cs="Arial"/>
          <w:szCs w:val="24"/>
        </w:rPr>
        <w:t xml:space="preserve"> the suitable senten</w:t>
      </w:r>
      <w:r w:rsidR="00B31893" w:rsidRPr="008E7784">
        <w:rPr>
          <w:rFonts w:ascii="Arial" w:hAnsi="Arial" w:cs="Arial"/>
          <w:szCs w:val="24"/>
        </w:rPr>
        <w:t>ce. T</w:t>
      </w:r>
      <w:r w:rsidR="00A868C6" w:rsidRPr="008E7784">
        <w:rPr>
          <w:rFonts w:ascii="Arial" w:hAnsi="Arial" w:cs="Arial"/>
          <w:szCs w:val="24"/>
        </w:rPr>
        <w:t>he court will not deviate from that, which means therefore that you are sentenced to life imprisonment.</w:t>
      </w:r>
      <w:r>
        <w:rPr>
          <w:rFonts w:ascii="Arial" w:hAnsi="Arial" w:cs="Arial"/>
          <w:szCs w:val="24"/>
        </w:rPr>
        <w:t>’</w:t>
      </w:r>
      <w:r w:rsidRPr="008E7784">
        <w:rPr>
          <w:rStyle w:val="FootnoteReference"/>
          <w:rFonts w:ascii="Arial" w:hAnsi="Arial" w:cs="Arial"/>
          <w:szCs w:val="24"/>
        </w:rPr>
        <w:footnoteReference w:id="25"/>
      </w:r>
    </w:p>
    <w:p w:rsidR="00A72C16" w:rsidRPr="008E7784" w:rsidRDefault="00A72C16" w:rsidP="009320FE">
      <w:pPr>
        <w:spacing w:after="0" w:line="360" w:lineRule="auto"/>
        <w:contextualSpacing/>
        <w:jc w:val="both"/>
        <w:rPr>
          <w:rFonts w:ascii="Arial" w:hAnsi="Arial" w:cs="Arial"/>
          <w:szCs w:val="24"/>
        </w:rPr>
      </w:pPr>
    </w:p>
    <w:p w:rsidR="00197CB7" w:rsidRPr="009320FE" w:rsidRDefault="00197CB7" w:rsidP="00197CB7">
      <w:pPr>
        <w:spacing w:after="0" w:line="360" w:lineRule="auto"/>
        <w:contextualSpacing/>
        <w:jc w:val="both"/>
        <w:rPr>
          <w:rFonts w:ascii="Arial" w:hAnsi="Arial" w:cs="Arial"/>
          <w:sz w:val="24"/>
          <w:szCs w:val="24"/>
        </w:rPr>
      </w:pPr>
      <w:r w:rsidRPr="009320FE">
        <w:rPr>
          <w:rFonts w:ascii="Arial" w:hAnsi="Arial" w:cs="Arial"/>
          <w:sz w:val="24"/>
          <w:szCs w:val="24"/>
        </w:rPr>
        <w:t>[</w:t>
      </w:r>
      <w:r w:rsidR="00567EF2">
        <w:rPr>
          <w:rFonts w:ascii="Arial" w:hAnsi="Arial" w:cs="Arial"/>
          <w:sz w:val="24"/>
          <w:szCs w:val="24"/>
        </w:rPr>
        <w:t>40]</w:t>
      </w:r>
      <w:r w:rsidRPr="009320FE">
        <w:rPr>
          <w:rFonts w:ascii="Arial" w:hAnsi="Arial" w:cs="Arial"/>
          <w:sz w:val="24"/>
          <w:szCs w:val="24"/>
        </w:rPr>
        <w:t xml:space="preserve">] </w:t>
      </w:r>
      <w:r w:rsidRPr="009320FE">
        <w:rPr>
          <w:rFonts w:ascii="Arial" w:hAnsi="Arial" w:cs="Arial"/>
          <w:sz w:val="24"/>
          <w:szCs w:val="24"/>
        </w:rPr>
        <w:tab/>
        <w:t>Section 51(</w:t>
      </w:r>
      <w:r w:rsidR="00567EF2" w:rsidRPr="009320FE">
        <w:rPr>
          <w:rFonts w:ascii="Arial" w:hAnsi="Arial" w:cs="Arial"/>
          <w:sz w:val="24"/>
          <w:szCs w:val="24"/>
        </w:rPr>
        <w:t>3)</w:t>
      </w:r>
      <w:r w:rsidR="00567EF2" w:rsidRPr="008E7784">
        <w:rPr>
          <w:rFonts w:ascii="Arial" w:hAnsi="Arial" w:cs="Arial"/>
          <w:i/>
          <w:sz w:val="24"/>
          <w:szCs w:val="24"/>
        </w:rPr>
        <w:t>(</w:t>
      </w:r>
      <w:r w:rsidRPr="008E7784">
        <w:rPr>
          <w:rFonts w:ascii="Arial" w:hAnsi="Arial" w:cs="Arial"/>
          <w:i/>
          <w:sz w:val="24"/>
          <w:szCs w:val="24"/>
        </w:rPr>
        <w:t>a</w:t>
      </w:r>
      <w:r>
        <w:rPr>
          <w:rFonts w:ascii="Arial" w:hAnsi="Arial" w:cs="Arial"/>
          <w:i/>
          <w:sz w:val="24"/>
          <w:szCs w:val="24"/>
        </w:rPr>
        <w:t>A</w:t>
      </w:r>
      <w:r w:rsidRPr="008E7784">
        <w:rPr>
          <w:rFonts w:ascii="Arial" w:hAnsi="Arial" w:cs="Arial"/>
          <w:i/>
          <w:sz w:val="24"/>
          <w:szCs w:val="24"/>
        </w:rPr>
        <w:t>)</w:t>
      </w:r>
      <w:r w:rsidRPr="009320FE">
        <w:rPr>
          <w:rFonts w:ascii="Arial" w:hAnsi="Arial" w:cs="Arial"/>
          <w:sz w:val="24"/>
          <w:szCs w:val="24"/>
        </w:rPr>
        <w:t xml:space="preserve"> of the CLAA provides that when imposing a sentence in respect of the offence of rape, the complainant’s previous </w:t>
      </w:r>
      <w:r>
        <w:rPr>
          <w:rFonts w:ascii="Arial" w:hAnsi="Arial" w:cs="Arial"/>
          <w:sz w:val="24"/>
          <w:szCs w:val="24"/>
        </w:rPr>
        <w:t>sexual</w:t>
      </w:r>
      <w:r w:rsidRPr="009320FE">
        <w:rPr>
          <w:rFonts w:ascii="Arial" w:hAnsi="Arial" w:cs="Arial"/>
          <w:sz w:val="24"/>
          <w:szCs w:val="24"/>
        </w:rPr>
        <w:t xml:space="preserve"> history and apparent lack of physical injury, among other factors provided therein, shall not constitute substantial and compelling circumstances justifying the imposition of a lesser sentence.</w:t>
      </w:r>
    </w:p>
    <w:p w:rsidR="00A868C6" w:rsidRDefault="00197CB7" w:rsidP="009320FE">
      <w:pPr>
        <w:spacing w:after="0" w:line="360" w:lineRule="auto"/>
        <w:contextualSpacing/>
        <w:jc w:val="both"/>
        <w:rPr>
          <w:rFonts w:ascii="Arial" w:hAnsi="Arial" w:cs="Arial"/>
          <w:sz w:val="24"/>
          <w:szCs w:val="24"/>
        </w:rPr>
      </w:pPr>
      <w:r>
        <w:rPr>
          <w:rFonts w:ascii="Arial" w:hAnsi="Arial" w:cs="Arial"/>
          <w:sz w:val="24"/>
          <w:szCs w:val="24"/>
        </w:rPr>
        <w:t xml:space="preserve">  </w:t>
      </w:r>
    </w:p>
    <w:p w:rsidR="00A868C6" w:rsidRPr="009320FE" w:rsidRDefault="00A868C6" w:rsidP="009320FE">
      <w:pPr>
        <w:spacing w:after="0" w:line="360" w:lineRule="auto"/>
        <w:contextualSpacing/>
        <w:jc w:val="both"/>
        <w:rPr>
          <w:rFonts w:ascii="Arial" w:hAnsi="Arial" w:cs="Arial"/>
          <w:sz w:val="24"/>
          <w:szCs w:val="24"/>
        </w:rPr>
      </w:pPr>
      <w:r w:rsidRPr="009320FE">
        <w:rPr>
          <w:rFonts w:ascii="Arial" w:hAnsi="Arial" w:cs="Arial"/>
          <w:sz w:val="24"/>
          <w:szCs w:val="24"/>
        </w:rPr>
        <w:t>[4</w:t>
      </w:r>
      <w:r w:rsidR="00C9752B">
        <w:rPr>
          <w:rFonts w:ascii="Arial" w:hAnsi="Arial" w:cs="Arial"/>
          <w:sz w:val="24"/>
          <w:szCs w:val="24"/>
        </w:rPr>
        <w:t>1</w:t>
      </w:r>
      <w:r w:rsidRPr="009320FE">
        <w:rPr>
          <w:rFonts w:ascii="Arial" w:hAnsi="Arial" w:cs="Arial"/>
          <w:sz w:val="24"/>
          <w:szCs w:val="24"/>
        </w:rPr>
        <w:t xml:space="preserve">] </w:t>
      </w:r>
      <w:r w:rsidR="00C42812" w:rsidRPr="009320FE">
        <w:rPr>
          <w:rFonts w:ascii="Arial" w:hAnsi="Arial" w:cs="Arial"/>
          <w:sz w:val="24"/>
          <w:szCs w:val="24"/>
        </w:rPr>
        <w:tab/>
      </w:r>
      <w:r w:rsidR="00B31893" w:rsidRPr="009320FE">
        <w:rPr>
          <w:rFonts w:ascii="Arial" w:hAnsi="Arial" w:cs="Arial"/>
          <w:sz w:val="24"/>
          <w:szCs w:val="24"/>
        </w:rPr>
        <w:t xml:space="preserve">There is clearly no such </w:t>
      </w:r>
      <w:r w:rsidR="008D6190" w:rsidRPr="009320FE">
        <w:rPr>
          <w:rFonts w:ascii="Arial" w:hAnsi="Arial" w:cs="Arial"/>
          <w:sz w:val="24"/>
          <w:szCs w:val="24"/>
        </w:rPr>
        <w:t xml:space="preserve">requirement of </w:t>
      </w:r>
      <w:r w:rsidR="00C11AED">
        <w:rPr>
          <w:rFonts w:ascii="Arial" w:hAnsi="Arial" w:cs="Arial"/>
          <w:sz w:val="24"/>
          <w:szCs w:val="24"/>
        </w:rPr>
        <w:t xml:space="preserve">‘out of </w:t>
      </w:r>
      <w:r w:rsidR="008D6190" w:rsidRPr="009320FE">
        <w:rPr>
          <w:rFonts w:ascii="Arial" w:hAnsi="Arial" w:cs="Arial"/>
          <w:sz w:val="24"/>
          <w:szCs w:val="24"/>
        </w:rPr>
        <w:t>the ordinary</w:t>
      </w:r>
      <w:r w:rsidR="00C11AED">
        <w:rPr>
          <w:rFonts w:ascii="Arial" w:hAnsi="Arial" w:cs="Arial"/>
          <w:sz w:val="24"/>
          <w:szCs w:val="24"/>
        </w:rPr>
        <w:t>’</w:t>
      </w:r>
      <w:r w:rsidR="008D6190" w:rsidRPr="009320FE">
        <w:rPr>
          <w:rFonts w:ascii="Arial" w:hAnsi="Arial" w:cs="Arial"/>
          <w:sz w:val="24"/>
          <w:szCs w:val="24"/>
        </w:rPr>
        <w:t xml:space="preserve"> in section 51(1)</w:t>
      </w:r>
      <w:r w:rsidR="00607188">
        <w:rPr>
          <w:rFonts w:ascii="Arial" w:hAnsi="Arial" w:cs="Arial"/>
          <w:sz w:val="24"/>
          <w:szCs w:val="24"/>
        </w:rPr>
        <w:t xml:space="preserve"> </w:t>
      </w:r>
      <w:r w:rsidR="008D6190" w:rsidRPr="009320FE">
        <w:rPr>
          <w:rFonts w:ascii="Arial" w:hAnsi="Arial" w:cs="Arial"/>
          <w:sz w:val="24"/>
          <w:szCs w:val="24"/>
        </w:rPr>
        <w:t>of the CLAA.</w:t>
      </w:r>
      <w:r w:rsidR="00607188">
        <w:rPr>
          <w:rFonts w:ascii="Arial" w:hAnsi="Arial" w:cs="Arial"/>
          <w:sz w:val="24"/>
          <w:szCs w:val="24"/>
        </w:rPr>
        <w:t xml:space="preserve"> </w:t>
      </w:r>
      <w:r w:rsidR="0066293A" w:rsidRPr="009320FE">
        <w:rPr>
          <w:rFonts w:ascii="Arial" w:hAnsi="Arial" w:cs="Arial"/>
          <w:sz w:val="24"/>
          <w:szCs w:val="24"/>
        </w:rPr>
        <w:t>The circumstances to be considered include those factors traditionally taken into account in sentencing</w:t>
      </w:r>
      <w:r w:rsidR="008D6190" w:rsidRPr="009320FE">
        <w:rPr>
          <w:rFonts w:ascii="Arial" w:hAnsi="Arial" w:cs="Arial"/>
          <w:sz w:val="24"/>
          <w:szCs w:val="24"/>
        </w:rPr>
        <w:t>;</w:t>
      </w:r>
      <w:r w:rsidR="0066293A" w:rsidRPr="009320FE">
        <w:rPr>
          <w:rFonts w:ascii="Arial" w:hAnsi="Arial" w:cs="Arial"/>
          <w:sz w:val="24"/>
          <w:szCs w:val="24"/>
        </w:rPr>
        <w:t xml:space="preserve"> both </w:t>
      </w:r>
      <w:r w:rsidR="00C11AED">
        <w:rPr>
          <w:rFonts w:ascii="Arial" w:hAnsi="Arial" w:cs="Arial"/>
          <w:sz w:val="24"/>
          <w:szCs w:val="24"/>
        </w:rPr>
        <w:t>mitigating</w:t>
      </w:r>
      <w:r w:rsidR="00C11AED" w:rsidRPr="009320FE">
        <w:rPr>
          <w:rFonts w:ascii="Arial" w:hAnsi="Arial" w:cs="Arial"/>
          <w:sz w:val="24"/>
          <w:szCs w:val="24"/>
        </w:rPr>
        <w:t xml:space="preserve"> </w:t>
      </w:r>
      <w:r w:rsidR="0066293A" w:rsidRPr="009320FE">
        <w:rPr>
          <w:rFonts w:ascii="Arial" w:hAnsi="Arial" w:cs="Arial"/>
          <w:sz w:val="24"/>
          <w:szCs w:val="24"/>
        </w:rPr>
        <w:t>and aggravating. But none of the</w:t>
      </w:r>
      <w:r w:rsidR="00B31893" w:rsidRPr="009320FE">
        <w:rPr>
          <w:rFonts w:ascii="Arial" w:hAnsi="Arial" w:cs="Arial"/>
          <w:sz w:val="24"/>
          <w:szCs w:val="24"/>
        </w:rPr>
        <w:t xml:space="preserve">se need </w:t>
      </w:r>
      <w:r w:rsidR="007D5A79">
        <w:rPr>
          <w:rFonts w:ascii="Arial" w:hAnsi="Arial" w:cs="Arial"/>
          <w:sz w:val="24"/>
          <w:szCs w:val="24"/>
        </w:rPr>
        <w:t xml:space="preserve">to </w:t>
      </w:r>
      <w:r w:rsidR="00B31893" w:rsidRPr="009320FE">
        <w:rPr>
          <w:rFonts w:ascii="Arial" w:hAnsi="Arial" w:cs="Arial"/>
          <w:sz w:val="24"/>
          <w:szCs w:val="24"/>
        </w:rPr>
        <w:t>be out of the ordinary.</w:t>
      </w:r>
    </w:p>
    <w:p w:rsidR="0066293A" w:rsidRPr="009320FE" w:rsidRDefault="0066293A" w:rsidP="009320FE">
      <w:pPr>
        <w:spacing w:after="0" w:line="360" w:lineRule="auto"/>
        <w:contextualSpacing/>
        <w:jc w:val="both"/>
        <w:rPr>
          <w:rFonts w:ascii="Arial" w:hAnsi="Arial" w:cs="Arial"/>
          <w:sz w:val="24"/>
          <w:szCs w:val="24"/>
        </w:rPr>
      </w:pPr>
    </w:p>
    <w:p w:rsidR="0066293A" w:rsidRPr="009320FE" w:rsidRDefault="0066293A"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42</w:t>
      </w:r>
      <w:r w:rsidRPr="009320FE">
        <w:rPr>
          <w:rFonts w:ascii="Arial" w:hAnsi="Arial" w:cs="Arial"/>
          <w:sz w:val="24"/>
          <w:szCs w:val="24"/>
        </w:rPr>
        <w:t xml:space="preserve">] </w:t>
      </w:r>
      <w:r w:rsidR="00C42812" w:rsidRPr="009320FE">
        <w:rPr>
          <w:rFonts w:ascii="Arial" w:hAnsi="Arial" w:cs="Arial"/>
          <w:sz w:val="24"/>
          <w:szCs w:val="24"/>
        </w:rPr>
        <w:tab/>
      </w:r>
      <w:r w:rsidRPr="009320FE">
        <w:rPr>
          <w:rFonts w:ascii="Arial" w:hAnsi="Arial" w:cs="Arial"/>
          <w:sz w:val="24"/>
          <w:szCs w:val="24"/>
        </w:rPr>
        <w:t>In my view</w:t>
      </w:r>
      <w:r w:rsidR="00607188">
        <w:rPr>
          <w:rFonts w:ascii="Arial" w:hAnsi="Arial" w:cs="Arial"/>
          <w:sz w:val="24"/>
          <w:szCs w:val="24"/>
        </w:rPr>
        <w:t>,</w:t>
      </w:r>
      <w:r w:rsidRPr="009320FE">
        <w:rPr>
          <w:rFonts w:ascii="Arial" w:hAnsi="Arial" w:cs="Arial"/>
          <w:sz w:val="24"/>
          <w:szCs w:val="24"/>
        </w:rPr>
        <w:t xml:space="preserve"> this constitutes a material misdirection justifying interference</w:t>
      </w:r>
      <w:r w:rsidR="008D6190" w:rsidRPr="009320FE">
        <w:rPr>
          <w:rFonts w:ascii="Arial" w:hAnsi="Arial" w:cs="Arial"/>
          <w:sz w:val="24"/>
          <w:szCs w:val="24"/>
        </w:rPr>
        <w:t>. T</w:t>
      </w:r>
      <w:r w:rsidRPr="009320FE">
        <w:rPr>
          <w:rFonts w:ascii="Arial" w:hAnsi="Arial" w:cs="Arial"/>
          <w:sz w:val="24"/>
          <w:szCs w:val="24"/>
        </w:rPr>
        <w:t xml:space="preserve">he sentence of </w:t>
      </w:r>
      <w:r w:rsidR="00C11AED">
        <w:rPr>
          <w:rFonts w:ascii="Arial" w:hAnsi="Arial" w:cs="Arial"/>
          <w:sz w:val="24"/>
          <w:szCs w:val="24"/>
        </w:rPr>
        <w:t xml:space="preserve">life </w:t>
      </w:r>
      <w:r w:rsidRPr="009320FE">
        <w:rPr>
          <w:rFonts w:ascii="Arial" w:hAnsi="Arial" w:cs="Arial"/>
          <w:sz w:val="24"/>
          <w:szCs w:val="24"/>
        </w:rPr>
        <w:t>imprisonment is the mos</w:t>
      </w:r>
      <w:r w:rsidR="00B31893" w:rsidRPr="009320FE">
        <w:rPr>
          <w:rFonts w:ascii="Arial" w:hAnsi="Arial" w:cs="Arial"/>
          <w:sz w:val="24"/>
          <w:szCs w:val="24"/>
        </w:rPr>
        <w:t xml:space="preserve">t serious that can be imposed. It effectively denies the </w:t>
      </w:r>
      <w:r w:rsidR="00607188" w:rsidRPr="009320FE">
        <w:rPr>
          <w:rFonts w:ascii="Arial" w:hAnsi="Arial" w:cs="Arial"/>
          <w:sz w:val="24"/>
          <w:szCs w:val="24"/>
        </w:rPr>
        <w:t xml:space="preserve">appellant </w:t>
      </w:r>
      <w:r w:rsidRPr="009320FE">
        <w:rPr>
          <w:rFonts w:ascii="Arial" w:hAnsi="Arial" w:cs="Arial"/>
          <w:sz w:val="24"/>
          <w:szCs w:val="24"/>
        </w:rPr>
        <w:t>the</w:t>
      </w:r>
      <w:r w:rsidR="00B31893" w:rsidRPr="009320FE">
        <w:rPr>
          <w:rFonts w:ascii="Arial" w:hAnsi="Arial" w:cs="Arial"/>
          <w:sz w:val="24"/>
          <w:szCs w:val="24"/>
        </w:rPr>
        <w:t xml:space="preserve"> possibility of rehabilitation</w:t>
      </w:r>
      <w:r w:rsidR="00607188">
        <w:rPr>
          <w:rFonts w:ascii="Arial" w:hAnsi="Arial" w:cs="Arial"/>
          <w:sz w:val="24"/>
          <w:szCs w:val="24"/>
        </w:rPr>
        <w:t>.</w:t>
      </w:r>
      <w:r w:rsidR="00B31893" w:rsidRPr="009320FE">
        <w:rPr>
          <w:rFonts w:ascii="Arial" w:hAnsi="Arial" w:cs="Arial"/>
          <w:sz w:val="24"/>
          <w:szCs w:val="24"/>
        </w:rPr>
        <w:t xml:space="preserve"> M</w:t>
      </w:r>
      <w:r w:rsidRPr="009320FE">
        <w:rPr>
          <w:rFonts w:ascii="Arial" w:hAnsi="Arial" w:cs="Arial"/>
          <w:sz w:val="24"/>
          <w:szCs w:val="24"/>
        </w:rPr>
        <w:t>oreover</w:t>
      </w:r>
      <w:r w:rsidR="00B31893" w:rsidRPr="009320FE">
        <w:rPr>
          <w:rFonts w:ascii="Arial" w:hAnsi="Arial" w:cs="Arial"/>
          <w:sz w:val="24"/>
          <w:szCs w:val="24"/>
        </w:rPr>
        <w:t>,</w:t>
      </w:r>
      <w:r w:rsidRPr="009320FE">
        <w:rPr>
          <w:rFonts w:ascii="Arial" w:hAnsi="Arial" w:cs="Arial"/>
          <w:sz w:val="24"/>
          <w:szCs w:val="24"/>
        </w:rPr>
        <w:t xml:space="preserve"> the </w:t>
      </w:r>
      <w:r w:rsidR="00607188">
        <w:rPr>
          <w:rFonts w:ascii="Arial" w:hAnsi="Arial" w:cs="Arial"/>
          <w:sz w:val="24"/>
          <w:szCs w:val="24"/>
        </w:rPr>
        <w:t>mitigat</w:t>
      </w:r>
      <w:r w:rsidR="00492B8C">
        <w:rPr>
          <w:rFonts w:ascii="Arial" w:hAnsi="Arial" w:cs="Arial"/>
          <w:sz w:val="24"/>
          <w:szCs w:val="24"/>
        </w:rPr>
        <w:t>ory</w:t>
      </w:r>
      <w:r w:rsidR="00607188" w:rsidRPr="009320FE">
        <w:rPr>
          <w:rFonts w:ascii="Arial" w:hAnsi="Arial" w:cs="Arial"/>
          <w:sz w:val="24"/>
          <w:szCs w:val="24"/>
        </w:rPr>
        <w:t xml:space="preserve"> </w:t>
      </w:r>
      <w:r w:rsidR="00794F11" w:rsidRPr="009320FE">
        <w:rPr>
          <w:rFonts w:ascii="Arial" w:hAnsi="Arial" w:cs="Arial"/>
          <w:sz w:val="24"/>
          <w:szCs w:val="24"/>
        </w:rPr>
        <w:t>factors alluded</w:t>
      </w:r>
      <w:r w:rsidRPr="009320FE">
        <w:rPr>
          <w:rFonts w:ascii="Arial" w:hAnsi="Arial" w:cs="Arial"/>
          <w:sz w:val="24"/>
          <w:szCs w:val="24"/>
        </w:rPr>
        <w:t xml:space="preserve"> to above are not </w:t>
      </w:r>
      <w:r w:rsidR="00794F11" w:rsidRPr="009320FE">
        <w:rPr>
          <w:rFonts w:ascii="Arial" w:hAnsi="Arial" w:cs="Arial"/>
          <w:sz w:val="24"/>
          <w:szCs w:val="24"/>
        </w:rPr>
        <w:t>speculative</w:t>
      </w:r>
      <w:r w:rsidRPr="009320FE">
        <w:rPr>
          <w:rFonts w:ascii="Arial" w:hAnsi="Arial" w:cs="Arial"/>
          <w:sz w:val="24"/>
          <w:szCs w:val="24"/>
        </w:rPr>
        <w:t xml:space="preserve"> or </w:t>
      </w:r>
      <w:r w:rsidR="00794F11" w:rsidRPr="009320FE">
        <w:rPr>
          <w:rFonts w:ascii="Arial" w:hAnsi="Arial" w:cs="Arial"/>
          <w:sz w:val="24"/>
          <w:szCs w:val="24"/>
        </w:rPr>
        <w:t xml:space="preserve">flimsy, </w:t>
      </w:r>
      <w:r w:rsidR="008D6190" w:rsidRPr="009320FE">
        <w:rPr>
          <w:rFonts w:ascii="Arial" w:hAnsi="Arial" w:cs="Arial"/>
          <w:sz w:val="24"/>
          <w:szCs w:val="24"/>
        </w:rPr>
        <w:t>particularly when considered cumula</w:t>
      </w:r>
      <w:r w:rsidR="00B31893" w:rsidRPr="009320FE">
        <w:rPr>
          <w:rFonts w:ascii="Arial" w:hAnsi="Arial" w:cs="Arial"/>
          <w:sz w:val="24"/>
          <w:szCs w:val="24"/>
        </w:rPr>
        <w:t xml:space="preserve">tively. </w:t>
      </w:r>
      <w:r w:rsidR="00912B89" w:rsidRPr="009320FE">
        <w:rPr>
          <w:rFonts w:ascii="Arial" w:hAnsi="Arial" w:cs="Arial"/>
          <w:sz w:val="24"/>
          <w:szCs w:val="24"/>
        </w:rPr>
        <w:t xml:space="preserve">Given </w:t>
      </w:r>
      <w:r w:rsidR="00794F11" w:rsidRPr="009320FE">
        <w:rPr>
          <w:rFonts w:ascii="Arial" w:hAnsi="Arial" w:cs="Arial"/>
          <w:sz w:val="24"/>
          <w:szCs w:val="24"/>
        </w:rPr>
        <w:t xml:space="preserve">the aggravating and </w:t>
      </w:r>
      <w:r w:rsidR="00C11AED">
        <w:rPr>
          <w:rFonts w:ascii="Arial" w:hAnsi="Arial" w:cs="Arial"/>
          <w:sz w:val="24"/>
          <w:szCs w:val="24"/>
        </w:rPr>
        <w:t>mitigating</w:t>
      </w:r>
      <w:r w:rsidR="00C11AED" w:rsidRPr="009320FE">
        <w:rPr>
          <w:rFonts w:ascii="Arial" w:hAnsi="Arial" w:cs="Arial"/>
          <w:sz w:val="24"/>
          <w:szCs w:val="24"/>
        </w:rPr>
        <w:t xml:space="preserve"> </w:t>
      </w:r>
      <w:r w:rsidR="00794F11" w:rsidRPr="009320FE">
        <w:rPr>
          <w:rFonts w:ascii="Arial" w:hAnsi="Arial" w:cs="Arial"/>
          <w:sz w:val="24"/>
          <w:szCs w:val="24"/>
        </w:rPr>
        <w:t xml:space="preserve">factors </w:t>
      </w:r>
      <w:r w:rsidR="00B31893" w:rsidRPr="009320FE">
        <w:rPr>
          <w:rFonts w:ascii="Arial" w:hAnsi="Arial" w:cs="Arial"/>
          <w:sz w:val="24"/>
          <w:szCs w:val="24"/>
        </w:rPr>
        <w:t>in this matter</w:t>
      </w:r>
      <w:r w:rsidR="00912B89" w:rsidRPr="009320FE">
        <w:rPr>
          <w:rFonts w:ascii="Arial" w:hAnsi="Arial" w:cs="Arial"/>
          <w:sz w:val="24"/>
          <w:szCs w:val="24"/>
        </w:rPr>
        <w:t>,</w:t>
      </w:r>
      <w:r w:rsidR="00B31893" w:rsidRPr="009320FE">
        <w:rPr>
          <w:rFonts w:ascii="Arial" w:hAnsi="Arial" w:cs="Arial"/>
          <w:sz w:val="24"/>
          <w:szCs w:val="24"/>
        </w:rPr>
        <w:t xml:space="preserve"> </w:t>
      </w:r>
      <w:r w:rsidR="00C11AED">
        <w:rPr>
          <w:rFonts w:ascii="Arial" w:hAnsi="Arial" w:cs="Arial"/>
          <w:sz w:val="24"/>
          <w:szCs w:val="24"/>
        </w:rPr>
        <w:t>while being</w:t>
      </w:r>
      <w:r w:rsidR="00C11AED" w:rsidRPr="009320FE">
        <w:rPr>
          <w:rFonts w:ascii="Arial" w:hAnsi="Arial" w:cs="Arial"/>
          <w:sz w:val="24"/>
          <w:szCs w:val="24"/>
        </w:rPr>
        <w:t xml:space="preserve"> </w:t>
      </w:r>
      <w:r w:rsidR="00B31893" w:rsidRPr="009320FE">
        <w:rPr>
          <w:rFonts w:ascii="Arial" w:hAnsi="Arial" w:cs="Arial"/>
          <w:sz w:val="24"/>
          <w:szCs w:val="24"/>
        </w:rPr>
        <w:t>conscious</w:t>
      </w:r>
      <w:r w:rsidR="00794F11" w:rsidRPr="009320FE">
        <w:rPr>
          <w:rFonts w:ascii="Arial" w:hAnsi="Arial" w:cs="Arial"/>
          <w:sz w:val="24"/>
          <w:szCs w:val="24"/>
        </w:rPr>
        <w:t xml:space="preserve"> of the fact that the </w:t>
      </w:r>
      <w:r w:rsidR="00607188" w:rsidRPr="009320FE">
        <w:rPr>
          <w:rFonts w:ascii="Arial" w:hAnsi="Arial" w:cs="Arial"/>
          <w:sz w:val="24"/>
          <w:szCs w:val="24"/>
        </w:rPr>
        <w:t xml:space="preserve">Legislature </w:t>
      </w:r>
      <w:r w:rsidR="00794F11" w:rsidRPr="009320FE">
        <w:rPr>
          <w:rFonts w:ascii="Arial" w:hAnsi="Arial" w:cs="Arial"/>
          <w:sz w:val="24"/>
          <w:szCs w:val="24"/>
        </w:rPr>
        <w:t xml:space="preserve">has ordained </w:t>
      </w:r>
      <w:r w:rsidR="00C11AED">
        <w:rPr>
          <w:rFonts w:ascii="Arial" w:hAnsi="Arial" w:cs="Arial"/>
          <w:sz w:val="24"/>
          <w:szCs w:val="24"/>
        </w:rPr>
        <w:t xml:space="preserve">life </w:t>
      </w:r>
      <w:r w:rsidR="00794F11" w:rsidRPr="009320FE">
        <w:rPr>
          <w:rFonts w:ascii="Arial" w:hAnsi="Arial" w:cs="Arial"/>
          <w:sz w:val="24"/>
          <w:szCs w:val="24"/>
        </w:rPr>
        <w:t xml:space="preserve">imprisonment, I </w:t>
      </w:r>
      <w:r w:rsidR="00912B89" w:rsidRPr="009320FE">
        <w:rPr>
          <w:rFonts w:ascii="Arial" w:hAnsi="Arial" w:cs="Arial"/>
          <w:sz w:val="24"/>
          <w:szCs w:val="24"/>
        </w:rPr>
        <w:t xml:space="preserve">consider the prescribed </w:t>
      </w:r>
      <w:r w:rsidR="00794F11" w:rsidRPr="009320FE">
        <w:rPr>
          <w:rFonts w:ascii="Arial" w:hAnsi="Arial" w:cs="Arial"/>
          <w:sz w:val="24"/>
          <w:szCs w:val="24"/>
        </w:rPr>
        <w:t>sente</w:t>
      </w:r>
      <w:r w:rsidR="00912B89" w:rsidRPr="009320FE">
        <w:rPr>
          <w:rFonts w:ascii="Arial" w:hAnsi="Arial" w:cs="Arial"/>
          <w:sz w:val="24"/>
          <w:szCs w:val="24"/>
        </w:rPr>
        <w:t>nce</w:t>
      </w:r>
      <w:r w:rsidR="00A72C16">
        <w:rPr>
          <w:rFonts w:ascii="Arial" w:hAnsi="Arial" w:cs="Arial"/>
          <w:sz w:val="24"/>
          <w:szCs w:val="24"/>
        </w:rPr>
        <w:t xml:space="preserve"> of life imprisonment</w:t>
      </w:r>
      <w:r w:rsidR="00912B89" w:rsidRPr="009320FE">
        <w:rPr>
          <w:rFonts w:ascii="Arial" w:hAnsi="Arial" w:cs="Arial"/>
          <w:sz w:val="24"/>
          <w:szCs w:val="24"/>
        </w:rPr>
        <w:t xml:space="preserve"> disproportionate and unjust.</w:t>
      </w:r>
    </w:p>
    <w:p w:rsidR="00794F11" w:rsidRPr="009320FE" w:rsidRDefault="00794F11" w:rsidP="009320FE">
      <w:pPr>
        <w:spacing w:after="0" w:line="360" w:lineRule="auto"/>
        <w:contextualSpacing/>
        <w:jc w:val="both"/>
        <w:rPr>
          <w:rFonts w:ascii="Arial" w:hAnsi="Arial" w:cs="Arial"/>
          <w:sz w:val="24"/>
          <w:szCs w:val="24"/>
        </w:rPr>
      </w:pPr>
    </w:p>
    <w:p w:rsidR="00794F11" w:rsidRPr="009320FE" w:rsidRDefault="00794F11"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43</w:t>
      </w:r>
      <w:r w:rsidRPr="009320FE">
        <w:rPr>
          <w:rFonts w:ascii="Arial" w:hAnsi="Arial" w:cs="Arial"/>
          <w:sz w:val="24"/>
          <w:szCs w:val="24"/>
        </w:rPr>
        <w:t>]</w:t>
      </w:r>
      <w:r w:rsidR="00C42812" w:rsidRPr="009320FE">
        <w:rPr>
          <w:rFonts w:ascii="Arial" w:hAnsi="Arial" w:cs="Arial"/>
          <w:sz w:val="24"/>
          <w:szCs w:val="24"/>
        </w:rPr>
        <w:tab/>
      </w:r>
      <w:r w:rsidR="00912B89" w:rsidRPr="009320FE">
        <w:rPr>
          <w:rFonts w:ascii="Arial" w:hAnsi="Arial" w:cs="Arial"/>
          <w:sz w:val="24"/>
          <w:szCs w:val="24"/>
        </w:rPr>
        <w:t>The learned magistrate</w:t>
      </w:r>
      <w:r w:rsidR="007D5A79">
        <w:rPr>
          <w:rFonts w:ascii="Arial" w:hAnsi="Arial" w:cs="Arial"/>
          <w:sz w:val="24"/>
          <w:szCs w:val="24"/>
        </w:rPr>
        <w:t>,</w:t>
      </w:r>
      <w:r w:rsidR="00912B89" w:rsidRPr="009320FE">
        <w:rPr>
          <w:rFonts w:ascii="Arial" w:hAnsi="Arial" w:cs="Arial"/>
          <w:sz w:val="24"/>
          <w:szCs w:val="24"/>
        </w:rPr>
        <w:t xml:space="preserve"> i</w:t>
      </w:r>
      <w:r w:rsidR="00B31893" w:rsidRPr="009320FE">
        <w:rPr>
          <w:rFonts w:ascii="Arial" w:hAnsi="Arial" w:cs="Arial"/>
          <w:sz w:val="24"/>
          <w:szCs w:val="24"/>
        </w:rPr>
        <w:t xml:space="preserve">n suggesting that because the </w:t>
      </w:r>
      <w:r w:rsidR="00607188" w:rsidRPr="009320FE">
        <w:rPr>
          <w:rFonts w:ascii="Arial" w:hAnsi="Arial" w:cs="Arial"/>
          <w:sz w:val="24"/>
          <w:szCs w:val="24"/>
        </w:rPr>
        <w:t xml:space="preserve">appellant </w:t>
      </w:r>
      <w:r w:rsidR="00C11AED">
        <w:rPr>
          <w:rFonts w:ascii="Arial" w:hAnsi="Arial" w:cs="Arial"/>
          <w:sz w:val="24"/>
          <w:szCs w:val="24"/>
        </w:rPr>
        <w:t xml:space="preserve">had </w:t>
      </w:r>
      <w:r w:rsidRPr="009320FE">
        <w:rPr>
          <w:rFonts w:ascii="Arial" w:hAnsi="Arial" w:cs="Arial"/>
          <w:sz w:val="24"/>
          <w:szCs w:val="24"/>
        </w:rPr>
        <w:t>pleaded not guilty</w:t>
      </w:r>
      <w:r w:rsidR="00C11AED">
        <w:rPr>
          <w:rFonts w:ascii="Arial" w:hAnsi="Arial" w:cs="Arial"/>
          <w:sz w:val="24"/>
          <w:szCs w:val="24"/>
        </w:rPr>
        <w:t>,</w:t>
      </w:r>
      <w:r w:rsidRPr="009320FE">
        <w:rPr>
          <w:rFonts w:ascii="Arial" w:hAnsi="Arial" w:cs="Arial"/>
          <w:sz w:val="24"/>
          <w:szCs w:val="24"/>
        </w:rPr>
        <w:t xml:space="preserve"> he </w:t>
      </w:r>
      <w:r w:rsidR="008E7784">
        <w:rPr>
          <w:rFonts w:ascii="Arial" w:hAnsi="Arial" w:cs="Arial"/>
          <w:sz w:val="24"/>
          <w:szCs w:val="24"/>
        </w:rPr>
        <w:t xml:space="preserve">had </w:t>
      </w:r>
      <w:r w:rsidRPr="009320FE">
        <w:rPr>
          <w:rFonts w:ascii="Arial" w:hAnsi="Arial" w:cs="Arial"/>
          <w:sz w:val="24"/>
          <w:szCs w:val="24"/>
        </w:rPr>
        <w:t>waste</w:t>
      </w:r>
      <w:r w:rsidR="00B31893" w:rsidRPr="009320FE">
        <w:rPr>
          <w:rFonts w:ascii="Arial" w:hAnsi="Arial" w:cs="Arial"/>
          <w:sz w:val="24"/>
          <w:szCs w:val="24"/>
        </w:rPr>
        <w:t xml:space="preserve">d </w:t>
      </w:r>
      <w:r w:rsidR="00607188">
        <w:rPr>
          <w:rFonts w:ascii="Arial" w:hAnsi="Arial" w:cs="Arial"/>
          <w:sz w:val="24"/>
          <w:szCs w:val="24"/>
        </w:rPr>
        <w:t xml:space="preserve">the </w:t>
      </w:r>
      <w:r w:rsidRPr="009320FE">
        <w:rPr>
          <w:rFonts w:ascii="Arial" w:hAnsi="Arial" w:cs="Arial"/>
          <w:sz w:val="24"/>
          <w:szCs w:val="24"/>
        </w:rPr>
        <w:t>court</w:t>
      </w:r>
      <w:r w:rsidR="00607188">
        <w:rPr>
          <w:rFonts w:ascii="Arial" w:hAnsi="Arial" w:cs="Arial"/>
          <w:sz w:val="24"/>
          <w:szCs w:val="24"/>
        </w:rPr>
        <w:t>’</w:t>
      </w:r>
      <w:r w:rsidRPr="009320FE">
        <w:rPr>
          <w:rFonts w:ascii="Arial" w:hAnsi="Arial" w:cs="Arial"/>
          <w:sz w:val="24"/>
          <w:szCs w:val="24"/>
        </w:rPr>
        <w:t xml:space="preserve">s time and </w:t>
      </w:r>
      <w:r w:rsidR="00A72C16">
        <w:rPr>
          <w:rFonts w:ascii="Arial" w:hAnsi="Arial" w:cs="Arial"/>
          <w:sz w:val="24"/>
          <w:szCs w:val="24"/>
        </w:rPr>
        <w:t xml:space="preserve">was </w:t>
      </w:r>
      <w:r w:rsidRPr="009320FE">
        <w:rPr>
          <w:rFonts w:ascii="Arial" w:hAnsi="Arial" w:cs="Arial"/>
          <w:sz w:val="24"/>
          <w:szCs w:val="24"/>
        </w:rPr>
        <w:t>the</w:t>
      </w:r>
      <w:r w:rsidR="00912B89" w:rsidRPr="009320FE">
        <w:rPr>
          <w:rFonts w:ascii="Arial" w:hAnsi="Arial" w:cs="Arial"/>
          <w:sz w:val="24"/>
          <w:szCs w:val="24"/>
        </w:rPr>
        <w:t>refore deserving of severe</w:t>
      </w:r>
      <w:r w:rsidRPr="009320FE">
        <w:rPr>
          <w:rFonts w:ascii="Arial" w:hAnsi="Arial" w:cs="Arial"/>
          <w:sz w:val="24"/>
          <w:szCs w:val="24"/>
        </w:rPr>
        <w:t xml:space="preserve"> punishment, also </w:t>
      </w:r>
      <w:r w:rsidR="00A53F88" w:rsidRPr="009320FE">
        <w:rPr>
          <w:rFonts w:ascii="Arial" w:hAnsi="Arial" w:cs="Arial"/>
          <w:sz w:val="24"/>
          <w:szCs w:val="24"/>
        </w:rPr>
        <w:t>co</w:t>
      </w:r>
      <w:r w:rsidR="00A53F88">
        <w:rPr>
          <w:rFonts w:ascii="Arial" w:hAnsi="Arial" w:cs="Arial"/>
          <w:sz w:val="24"/>
          <w:szCs w:val="24"/>
        </w:rPr>
        <w:t>mmitted</w:t>
      </w:r>
      <w:r w:rsidRPr="009320FE">
        <w:rPr>
          <w:rFonts w:ascii="Arial" w:hAnsi="Arial" w:cs="Arial"/>
          <w:sz w:val="24"/>
          <w:szCs w:val="24"/>
        </w:rPr>
        <w:t xml:space="preserve"> a misdirection.</w:t>
      </w:r>
      <w:r w:rsidR="00384C6F" w:rsidRPr="009320FE">
        <w:rPr>
          <w:rStyle w:val="FootnoteReference"/>
          <w:rFonts w:ascii="Arial" w:hAnsi="Arial" w:cs="Arial"/>
          <w:sz w:val="24"/>
          <w:szCs w:val="24"/>
        </w:rPr>
        <w:footnoteReference w:id="26"/>
      </w:r>
      <w:r w:rsidR="00B31893" w:rsidRPr="009320FE">
        <w:rPr>
          <w:rFonts w:ascii="Arial" w:hAnsi="Arial" w:cs="Arial"/>
          <w:sz w:val="24"/>
          <w:szCs w:val="24"/>
        </w:rPr>
        <w:t xml:space="preserve"> There is no </w:t>
      </w:r>
      <w:r w:rsidR="00607188">
        <w:rPr>
          <w:rFonts w:ascii="Arial" w:hAnsi="Arial" w:cs="Arial"/>
          <w:sz w:val="24"/>
          <w:szCs w:val="24"/>
        </w:rPr>
        <w:t>onus</w:t>
      </w:r>
      <w:r w:rsidR="00B31893" w:rsidRPr="009320FE">
        <w:rPr>
          <w:rFonts w:ascii="Arial" w:hAnsi="Arial" w:cs="Arial"/>
          <w:sz w:val="24"/>
          <w:szCs w:val="24"/>
        </w:rPr>
        <w:t xml:space="preserve"> on the </w:t>
      </w:r>
      <w:r w:rsidR="00607188" w:rsidRPr="009320FE">
        <w:rPr>
          <w:rFonts w:ascii="Arial" w:hAnsi="Arial" w:cs="Arial"/>
          <w:sz w:val="24"/>
          <w:szCs w:val="24"/>
        </w:rPr>
        <w:t xml:space="preserve">appellant </w:t>
      </w:r>
      <w:r w:rsidRPr="009320FE">
        <w:rPr>
          <w:rFonts w:ascii="Arial" w:hAnsi="Arial" w:cs="Arial"/>
          <w:sz w:val="24"/>
          <w:szCs w:val="24"/>
        </w:rPr>
        <w:t>to prove his i</w:t>
      </w:r>
      <w:r w:rsidR="00B31893" w:rsidRPr="009320FE">
        <w:rPr>
          <w:rFonts w:ascii="Arial" w:hAnsi="Arial" w:cs="Arial"/>
          <w:sz w:val="24"/>
          <w:szCs w:val="24"/>
        </w:rPr>
        <w:t>nnocence</w:t>
      </w:r>
      <w:r w:rsidR="00607188">
        <w:rPr>
          <w:rFonts w:ascii="Arial" w:hAnsi="Arial" w:cs="Arial"/>
          <w:sz w:val="24"/>
          <w:szCs w:val="24"/>
        </w:rPr>
        <w:t>,</w:t>
      </w:r>
      <w:r w:rsidR="00B31893" w:rsidRPr="009320FE">
        <w:rPr>
          <w:rFonts w:ascii="Arial" w:hAnsi="Arial" w:cs="Arial"/>
          <w:sz w:val="24"/>
          <w:szCs w:val="24"/>
        </w:rPr>
        <w:t xml:space="preserve"> </w:t>
      </w:r>
      <w:r w:rsidR="00912B89" w:rsidRPr="009320FE">
        <w:rPr>
          <w:rFonts w:ascii="Arial" w:hAnsi="Arial" w:cs="Arial"/>
          <w:sz w:val="24"/>
          <w:szCs w:val="24"/>
        </w:rPr>
        <w:t>and it is</w:t>
      </w:r>
      <w:r w:rsidR="00B31893" w:rsidRPr="009320FE">
        <w:rPr>
          <w:rFonts w:ascii="Arial" w:hAnsi="Arial" w:cs="Arial"/>
          <w:sz w:val="24"/>
          <w:szCs w:val="24"/>
        </w:rPr>
        <w:t xml:space="preserve"> his constitutiona</w:t>
      </w:r>
      <w:r w:rsidR="007E15FF" w:rsidRPr="009320FE">
        <w:rPr>
          <w:rFonts w:ascii="Arial" w:hAnsi="Arial" w:cs="Arial"/>
          <w:sz w:val="24"/>
          <w:szCs w:val="24"/>
        </w:rPr>
        <w:t xml:space="preserve">lly </w:t>
      </w:r>
      <w:r w:rsidRPr="009320FE">
        <w:rPr>
          <w:rFonts w:ascii="Arial" w:hAnsi="Arial" w:cs="Arial"/>
          <w:sz w:val="24"/>
          <w:szCs w:val="24"/>
        </w:rPr>
        <w:t>guaranteed right to p</w:t>
      </w:r>
      <w:r w:rsidR="007E15FF" w:rsidRPr="009320FE">
        <w:rPr>
          <w:rFonts w:ascii="Arial" w:hAnsi="Arial" w:cs="Arial"/>
          <w:sz w:val="24"/>
          <w:szCs w:val="24"/>
        </w:rPr>
        <w:t xml:space="preserve">lead not guilty. To punish the </w:t>
      </w:r>
      <w:r w:rsidR="00607188" w:rsidRPr="009320FE">
        <w:rPr>
          <w:rFonts w:ascii="Arial" w:hAnsi="Arial" w:cs="Arial"/>
          <w:sz w:val="24"/>
          <w:szCs w:val="24"/>
        </w:rPr>
        <w:t xml:space="preserve">appellant </w:t>
      </w:r>
      <w:r w:rsidR="00607188">
        <w:rPr>
          <w:rFonts w:ascii="Arial" w:hAnsi="Arial" w:cs="Arial"/>
          <w:sz w:val="24"/>
          <w:szCs w:val="24"/>
        </w:rPr>
        <w:t>‘</w:t>
      </w:r>
      <w:r w:rsidRPr="009320FE">
        <w:rPr>
          <w:rFonts w:ascii="Arial" w:hAnsi="Arial" w:cs="Arial"/>
          <w:sz w:val="24"/>
          <w:szCs w:val="24"/>
        </w:rPr>
        <w:t>severely</w:t>
      </w:r>
      <w:r w:rsidR="00607188">
        <w:rPr>
          <w:rFonts w:ascii="Arial" w:hAnsi="Arial" w:cs="Arial"/>
          <w:sz w:val="24"/>
          <w:szCs w:val="24"/>
        </w:rPr>
        <w:t>’</w:t>
      </w:r>
      <w:r w:rsidRPr="009320FE">
        <w:rPr>
          <w:rFonts w:ascii="Arial" w:hAnsi="Arial" w:cs="Arial"/>
          <w:sz w:val="24"/>
          <w:szCs w:val="24"/>
        </w:rPr>
        <w:t xml:space="preserve"> f</w:t>
      </w:r>
      <w:r w:rsidR="007E15FF" w:rsidRPr="009320FE">
        <w:rPr>
          <w:rFonts w:ascii="Arial" w:hAnsi="Arial" w:cs="Arial"/>
          <w:sz w:val="24"/>
          <w:szCs w:val="24"/>
        </w:rPr>
        <w:t>or exercising this right is unjust and unte</w:t>
      </w:r>
      <w:r w:rsidR="00607188">
        <w:rPr>
          <w:rFonts w:ascii="Arial" w:hAnsi="Arial" w:cs="Arial"/>
          <w:sz w:val="24"/>
          <w:szCs w:val="24"/>
        </w:rPr>
        <w:t>n</w:t>
      </w:r>
      <w:r w:rsidR="007E15FF" w:rsidRPr="009320FE">
        <w:rPr>
          <w:rFonts w:ascii="Arial" w:hAnsi="Arial" w:cs="Arial"/>
          <w:sz w:val="24"/>
          <w:szCs w:val="24"/>
        </w:rPr>
        <w:t>able.</w:t>
      </w:r>
      <w:r w:rsidR="00492B8C">
        <w:rPr>
          <w:rFonts w:ascii="Arial" w:hAnsi="Arial" w:cs="Arial"/>
          <w:sz w:val="24"/>
          <w:szCs w:val="24"/>
        </w:rPr>
        <w:t xml:space="preserve"> At most, one can perhaps conclude that he was not remorseful. Nothing more. </w:t>
      </w:r>
    </w:p>
    <w:p w:rsidR="00794F11" w:rsidRPr="009320FE" w:rsidRDefault="00794F11" w:rsidP="009320FE">
      <w:pPr>
        <w:spacing w:after="0" w:line="360" w:lineRule="auto"/>
        <w:contextualSpacing/>
        <w:jc w:val="both"/>
        <w:rPr>
          <w:rFonts w:ascii="Arial" w:hAnsi="Arial" w:cs="Arial"/>
          <w:sz w:val="24"/>
          <w:szCs w:val="24"/>
        </w:rPr>
      </w:pPr>
    </w:p>
    <w:p w:rsidR="00794F11" w:rsidRPr="009320FE" w:rsidRDefault="006C127F"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44</w:t>
      </w:r>
      <w:r w:rsidRPr="009320FE">
        <w:rPr>
          <w:rFonts w:ascii="Arial" w:hAnsi="Arial" w:cs="Arial"/>
          <w:sz w:val="24"/>
          <w:szCs w:val="24"/>
        </w:rPr>
        <w:t>]</w:t>
      </w:r>
      <w:r w:rsidR="00C42812" w:rsidRPr="009320FE">
        <w:rPr>
          <w:rFonts w:ascii="Arial" w:hAnsi="Arial" w:cs="Arial"/>
          <w:sz w:val="24"/>
          <w:szCs w:val="24"/>
        </w:rPr>
        <w:tab/>
      </w:r>
      <w:r w:rsidRPr="009320FE">
        <w:rPr>
          <w:rFonts w:ascii="Arial" w:hAnsi="Arial" w:cs="Arial"/>
          <w:sz w:val="24"/>
          <w:szCs w:val="24"/>
        </w:rPr>
        <w:t xml:space="preserve"> The appellant must of course be suitably punished and society demands this of </w:t>
      </w:r>
      <w:r w:rsidR="00E27F8B">
        <w:rPr>
          <w:rFonts w:ascii="Arial" w:hAnsi="Arial" w:cs="Arial"/>
          <w:sz w:val="24"/>
          <w:szCs w:val="24"/>
        </w:rPr>
        <w:t xml:space="preserve">our </w:t>
      </w:r>
      <w:r w:rsidRPr="009320FE">
        <w:rPr>
          <w:rFonts w:ascii="Arial" w:hAnsi="Arial" w:cs="Arial"/>
          <w:sz w:val="24"/>
          <w:szCs w:val="24"/>
        </w:rPr>
        <w:t>court</w:t>
      </w:r>
      <w:r w:rsidR="00E27F8B">
        <w:rPr>
          <w:rFonts w:ascii="Arial" w:hAnsi="Arial" w:cs="Arial"/>
          <w:sz w:val="24"/>
          <w:szCs w:val="24"/>
        </w:rPr>
        <w:t>s</w:t>
      </w:r>
      <w:r w:rsidRPr="009320FE">
        <w:rPr>
          <w:rFonts w:ascii="Arial" w:hAnsi="Arial" w:cs="Arial"/>
          <w:sz w:val="24"/>
          <w:szCs w:val="24"/>
        </w:rPr>
        <w:t>. At the same time</w:t>
      </w:r>
      <w:r w:rsidR="00607188">
        <w:rPr>
          <w:rFonts w:ascii="Arial" w:hAnsi="Arial" w:cs="Arial"/>
          <w:sz w:val="24"/>
          <w:szCs w:val="24"/>
        </w:rPr>
        <w:t>,</w:t>
      </w:r>
      <w:r w:rsidRPr="009320FE">
        <w:rPr>
          <w:rFonts w:ascii="Arial" w:hAnsi="Arial" w:cs="Arial"/>
          <w:sz w:val="24"/>
          <w:szCs w:val="24"/>
        </w:rPr>
        <w:t xml:space="preserve"> the impositi</w:t>
      </w:r>
      <w:r w:rsidR="007E15FF" w:rsidRPr="009320FE">
        <w:rPr>
          <w:rFonts w:ascii="Arial" w:hAnsi="Arial" w:cs="Arial"/>
          <w:sz w:val="24"/>
          <w:szCs w:val="24"/>
        </w:rPr>
        <w:t xml:space="preserve">on of sentence should not be </w:t>
      </w:r>
      <w:r w:rsidR="00912B89" w:rsidRPr="009320FE">
        <w:rPr>
          <w:rFonts w:ascii="Arial" w:hAnsi="Arial" w:cs="Arial"/>
          <w:sz w:val="24"/>
          <w:szCs w:val="24"/>
        </w:rPr>
        <w:t>like</w:t>
      </w:r>
      <w:r w:rsidR="000010E8">
        <w:rPr>
          <w:rFonts w:ascii="Arial" w:hAnsi="Arial" w:cs="Arial"/>
          <w:sz w:val="24"/>
          <w:szCs w:val="24"/>
        </w:rPr>
        <w:t>ned</w:t>
      </w:r>
      <w:r w:rsidRPr="009320FE">
        <w:rPr>
          <w:rFonts w:ascii="Arial" w:hAnsi="Arial" w:cs="Arial"/>
          <w:sz w:val="24"/>
          <w:szCs w:val="24"/>
        </w:rPr>
        <w:t xml:space="preserve"> to taking revenge</w:t>
      </w:r>
      <w:r w:rsidR="00912B89" w:rsidRPr="009320FE">
        <w:rPr>
          <w:rFonts w:ascii="Arial" w:hAnsi="Arial" w:cs="Arial"/>
          <w:sz w:val="24"/>
          <w:szCs w:val="24"/>
        </w:rPr>
        <w:t xml:space="preserve"> but should be the culmination of a process</w:t>
      </w:r>
      <w:r w:rsidR="00C11AED">
        <w:rPr>
          <w:rFonts w:ascii="Arial" w:hAnsi="Arial" w:cs="Arial"/>
          <w:sz w:val="24"/>
          <w:szCs w:val="24"/>
        </w:rPr>
        <w:t>,</w:t>
      </w:r>
      <w:r w:rsidR="00912B89" w:rsidRPr="009320FE">
        <w:rPr>
          <w:rFonts w:ascii="Arial" w:hAnsi="Arial" w:cs="Arial"/>
          <w:sz w:val="24"/>
          <w:szCs w:val="24"/>
        </w:rPr>
        <w:t xml:space="preserve"> having proper regard</w:t>
      </w:r>
      <w:r w:rsidR="007E15FF" w:rsidRPr="009320FE">
        <w:rPr>
          <w:rFonts w:ascii="Arial" w:hAnsi="Arial" w:cs="Arial"/>
          <w:sz w:val="24"/>
          <w:szCs w:val="24"/>
        </w:rPr>
        <w:t xml:space="preserve"> to</w:t>
      </w:r>
      <w:r w:rsidRPr="009320FE">
        <w:rPr>
          <w:rFonts w:ascii="Arial" w:hAnsi="Arial" w:cs="Arial"/>
          <w:sz w:val="24"/>
          <w:szCs w:val="24"/>
        </w:rPr>
        <w:t xml:space="preserve"> the</w:t>
      </w:r>
      <w:r w:rsidR="007E15FF" w:rsidRPr="009320FE">
        <w:rPr>
          <w:rFonts w:ascii="Arial" w:hAnsi="Arial" w:cs="Arial"/>
          <w:sz w:val="24"/>
          <w:szCs w:val="24"/>
        </w:rPr>
        <w:t xml:space="preserve"> personal circumstances of the </w:t>
      </w:r>
      <w:r w:rsidR="00607188" w:rsidRPr="009320FE">
        <w:rPr>
          <w:rFonts w:ascii="Arial" w:hAnsi="Arial" w:cs="Arial"/>
          <w:sz w:val="24"/>
          <w:szCs w:val="24"/>
        </w:rPr>
        <w:t>appellant</w:t>
      </w:r>
      <w:r w:rsidRPr="009320FE">
        <w:rPr>
          <w:rFonts w:ascii="Arial" w:hAnsi="Arial" w:cs="Arial"/>
          <w:sz w:val="24"/>
          <w:szCs w:val="24"/>
        </w:rPr>
        <w:t>, the nature of the offe</w:t>
      </w:r>
      <w:r w:rsidR="007E15FF" w:rsidRPr="009320FE">
        <w:rPr>
          <w:rFonts w:ascii="Arial" w:hAnsi="Arial" w:cs="Arial"/>
          <w:sz w:val="24"/>
          <w:szCs w:val="24"/>
        </w:rPr>
        <w:t>nce</w:t>
      </w:r>
      <w:r w:rsidR="00607188">
        <w:rPr>
          <w:rFonts w:ascii="Arial" w:hAnsi="Arial" w:cs="Arial"/>
          <w:sz w:val="24"/>
          <w:szCs w:val="24"/>
        </w:rPr>
        <w:t>,</w:t>
      </w:r>
      <w:r w:rsidR="007E15FF" w:rsidRPr="009320FE">
        <w:rPr>
          <w:rFonts w:ascii="Arial" w:hAnsi="Arial" w:cs="Arial"/>
          <w:sz w:val="24"/>
          <w:szCs w:val="24"/>
        </w:rPr>
        <w:t xml:space="preserve"> and the </w:t>
      </w:r>
      <w:r w:rsidR="009E5C67" w:rsidRPr="009320FE">
        <w:rPr>
          <w:rFonts w:ascii="Arial" w:hAnsi="Arial" w:cs="Arial"/>
          <w:sz w:val="24"/>
          <w:szCs w:val="24"/>
        </w:rPr>
        <w:t>interest</w:t>
      </w:r>
      <w:r w:rsidR="009E5C67">
        <w:rPr>
          <w:rFonts w:ascii="Arial" w:hAnsi="Arial" w:cs="Arial"/>
          <w:sz w:val="24"/>
          <w:szCs w:val="24"/>
        </w:rPr>
        <w:t xml:space="preserve">s </w:t>
      </w:r>
      <w:r w:rsidR="009E5C67" w:rsidRPr="009320FE">
        <w:rPr>
          <w:rFonts w:ascii="Arial" w:hAnsi="Arial" w:cs="Arial"/>
          <w:sz w:val="24"/>
          <w:szCs w:val="24"/>
        </w:rPr>
        <w:t>of</w:t>
      </w:r>
      <w:r w:rsidRPr="009320FE">
        <w:rPr>
          <w:rFonts w:ascii="Arial" w:hAnsi="Arial" w:cs="Arial"/>
          <w:sz w:val="24"/>
          <w:szCs w:val="24"/>
        </w:rPr>
        <w:t xml:space="preserve"> society, mindful </w:t>
      </w:r>
      <w:r w:rsidR="007E15FF" w:rsidRPr="009320FE">
        <w:rPr>
          <w:rFonts w:ascii="Arial" w:hAnsi="Arial" w:cs="Arial"/>
          <w:sz w:val="24"/>
          <w:szCs w:val="24"/>
        </w:rPr>
        <w:t xml:space="preserve">all the while </w:t>
      </w:r>
      <w:r w:rsidRPr="009320FE">
        <w:rPr>
          <w:rFonts w:ascii="Arial" w:hAnsi="Arial" w:cs="Arial"/>
          <w:sz w:val="24"/>
          <w:szCs w:val="24"/>
        </w:rPr>
        <w:t xml:space="preserve">of the sentence that the </w:t>
      </w:r>
      <w:r w:rsidR="007D5A79" w:rsidRPr="009320FE">
        <w:rPr>
          <w:rFonts w:ascii="Arial" w:hAnsi="Arial" w:cs="Arial"/>
          <w:sz w:val="24"/>
          <w:szCs w:val="24"/>
        </w:rPr>
        <w:t xml:space="preserve">Legislature </w:t>
      </w:r>
      <w:r w:rsidRPr="009320FE">
        <w:rPr>
          <w:rFonts w:ascii="Arial" w:hAnsi="Arial" w:cs="Arial"/>
          <w:sz w:val="24"/>
          <w:szCs w:val="24"/>
        </w:rPr>
        <w:t xml:space="preserve">has considered appropriate for the rape of a child under the age of 16 years. </w:t>
      </w:r>
    </w:p>
    <w:p w:rsidR="006C127F" w:rsidRPr="009320FE" w:rsidRDefault="006C127F" w:rsidP="009320FE">
      <w:pPr>
        <w:spacing w:after="0" w:line="360" w:lineRule="auto"/>
        <w:contextualSpacing/>
        <w:jc w:val="both"/>
        <w:rPr>
          <w:rFonts w:ascii="Arial" w:hAnsi="Arial" w:cs="Arial"/>
          <w:sz w:val="24"/>
          <w:szCs w:val="24"/>
        </w:rPr>
      </w:pPr>
    </w:p>
    <w:p w:rsidR="006C127F" w:rsidRPr="009320FE" w:rsidRDefault="007E15FF"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45</w:t>
      </w:r>
      <w:r w:rsidRPr="009320FE">
        <w:rPr>
          <w:rFonts w:ascii="Arial" w:hAnsi="Arial" w:cs="Arial"/>
          <w:sz w:val="24"/>
          <w:szCs w:val="24"/>
        </w:rPr>
        <w:t>]</w:t>
      </w:r>
      <w:r w:rsidR="00177A1D">
        <w:rPr>
          <w:rFonts w:ascii="Arial" w:hAnsi="Arial" w:cs="Arial"/>
          <w:sz w:val="24"/>
          <w:szCs w:val="24"/>
        </w:rPr>
        <w:tab/>
      </w:r>
      <w:r w:rsidRPr="009320FE">
        <w:rPr>
          <w:rFonts w:ascii="Arial" w:hAnsi="Arial" w:cs="Arial"/>
          <w:sz w:val="24"/>
          <w:szCs w:val="24"/>
        </w:rPr>
        <w:t xml:space="preserve">In </w:t>
      </w:r>
      <w:r w:rsidRPr="008E7784">
        <w:rPr>
          <w:rFonts w:ascii="Arial" w:hAnsi="Arial" w:cs="Arial"/>
          <w:i/>
          <w:sz w:val="24"/>
          <w:szCs w:val="24"/>
        </w:rPr>
        <w:t>S</w:t>
      </w:r>
      <w:r w:rsidR="00912B89" w:rsidRPr="008E7784">
        <w:rPr>
          <w:rFonts w:ascii="Arial" w:hAnsi="Arial" w:cs="Arial"/>
          <w:i/>
          <w:sz w:val="24"/>
          <w:szCs w:val="24"/>
        </w:rPr>
        <w:t xml:space="preserve"> </w:t>
      </w:r>
      <w:r w:rsidRPr="008E7784">
        <w:rPr>
          <w:rFonts w:ascii="Arial" w:hAnsi="Arial" w:cs="Arial"/>
          <w:i/>
          <w:sz w:val="24"/>
          <w:szCs w:val="24"/>
        </w:rPr>
        <w:t>v</w:t>
      </w:r>
      <w:r w:rsidR="006C127F" w:rsidRPr="008E7784">
        <w:rPr>
          <w:rFonts w:ascii="Arial" w:hAnsi="Arial" w:cs="Arial"/>
          <w:i/>
          <w:sz w:val="24"/>
          <w:szCs w:val="24"/>
        </w:rPr>
        <w:t xml:space="preserve"> Malgas</w:t>
      </w:r>
      <w:r w:rsidR="006C127F" w:rsidRPr="009320FE">
        <w:rPr>
          <w:rFonts w:ascii="Arial" w:hAnsi="Arial" w:cs="Arial"/>
          <w:sz w:val="24"/>
          <w:szCs w:val="24"/>
        </w:rPr>
        <w:t>,</w:t>
      </w:r>
      <w:r w:rsidR="00384C6F" w:rsidRPr="009320FE">
        <w:rPr>
          <w:rStyle w:val="FootnoteReference"/>
          <w:rFonts w:ascii="Arial" w:hAnsi="Arial" w:cs="Arial"/>
          <w:sz w:val="24"/>
          <w:szCs w:val="24"/>
        </w:rPr>
        <w:footnoteReference w:id="27"/>
      </w:r>
      <w:r w:rsidR="006C127F" w:rsidRPr="009320FE">
        <w:rPr>
          <w:rFonts w:ascii="Arial" w:hAnsi="Arial" w:cs="Arial"/>
          <w:sz w:val="24"/>
          <w:szCs w:val="24"/>
        </w:rPr>
        <w:t xml:space="preserve"> the </w:t>
      </w:r>
      <w:r w:rsidR="007D5A79">
        <w:rPr>
          <w:rFonts w:ascii="Arial" w:hAnsi="Arial" w:cs="Arial"/>
          <w:sz w:val="24"/>
          <w:szCs w:val="24"/>
        </w:rPr>
        <w:t xml:space="preserve">‘determinative </w:t>
      </w:r>
      <w:r w:rsidR="00C11AED">
        <w:rPr>
          <w:rFonts w:ascii="Arial" w:hAnsi="Arial" w:cs="Arial"/>
          <w:sz w:val="24"/>
          <w:szCs w:val="24"/>
        </w:rPr>
        <w:t>test</w:t>
      </w:r>
      <w:r w:rsidR="007D5A79">
        <w:rPr>
          <w:rFonts w:ascii="Arial" w:hAnsi="Arial" w:cs="Arial"/>
          <w:sz w:val="24"/>
          <w:szCs w:val="24"/>
        </w:rPr>
        <w:t>’</w:t>
      </w:r>
      <w:r w:rsidR="00C11AED">
        <w:rPr>
          <w:rFonts w:ascii="Arial" w:hAnsi="Arial" w:cs="Arial"/>
          <w:sz w:val="24"/>
          <w:szCs w:val="24"/>
        </w:rPr>
        <w:t xml:space="preserve"> </w:t>
      </w:r>
      <w:r w:rsidR="00912B89" w:rsidRPr="009320FE">
        <w:rPr>
          <w:rFonts w:ascii="Arial" w:hAnsi="Arial" w:cs="Arial"/>
          <w:sz w:val="24"/>
          <w:szCs w:val="24"/>
        </w:rPr>
        <w:t>espoused by the Supreme Court of Appeal</w:t>
      </w:r>
      <w:r w:rsidR="00C11AED">
        <w:rPr>
          <w:rFonts w:ascii="Arial" w:hAnsi="Arial" w:cs="Arial"/>
          <w:sz w:val="24"/>
          <w:szCs w:val="24"/>
        </w:rPr>
        <w:t>,</w:t>
      </w:r>
      <w:r w:rsidR="00912B89" w:rsidRPr="009320FE">
        <w:rPr>
          <w:rFonts w:ascii="Arial" w:hAnsi="Arial" w:cs="Arial"/>
          <w:sz w:val="24"/>
          <w:szCs w:val="24"/>
        </w:rPr>
        <w:t xml:space="preserve"> </w:t>
      </w:r>
      <w:r w:rsidR="00C11AED">
        <w:rPr>
          <w:rFonts w:ascii="Arial" w:hAnsi="Arial" w:cs="Arial"/>
          <w:sz w:val="24"/>
          <w:szCs w:val="24"/>
        </w:rPr>
        <w:t xml:space="preserve">which was </w:t>
      </w:r>
      <w:r w:rsidR="006C127F" w:rsidRPr="009320FE">
        <w:rPr>
          <w:rFonts w:ascii="Arial" w:hAnsi="Arial" w:cs="Arial"/>
          <w:sz w:val="24"/>
          <w:szCs w:val="24"/>
        </w:rPr>
        <w:t>endorsed by th</w:t>
      </w:r>
      <w:r w:rsidRPr="009320FE">
        <w:rPr>
          <w:rFonts w:ascii="Arial" w:hAnsi="Arial" w:cs="Arial"/>
          <w:sz w:val="24"/>
          <w:szCs w:val="24"/>
        </w:rPr>
        <w:t>e</w:t>
      </w:r>
      <w:r w:rsidR="00912B89" w:rsidRPr="009320FE">
        <w:rPr>
          <w:rFonts w:ascii="Arial" w:hAnsi="Arial" w:cs="Arial"/>
          <w:sz w:val="24"/>
          <w:szCs w:val="24"/>
        </w:rPr>
        <w:t xml:space="preserve"> </w:t>
      </w:r>
      <w:r w:rsidR="00D73556" w:rsidRPr="009320FE">
        <w:rPr>
          <w:rFonts w:ascii="Arial" w:hAnsi="Arial" w:cs="Arial"/>
          <w:sz w:val="24"/>
          <w:szCs w:val="24"/>
        </w:rPr>
        <w:t xml:space="preserve">Constitutional Court </w:t>
      </w:r>
      <w:r w:rsidR="00912B89" w:rsidRPr="009320FE">
        <w:rPr>
          <w:rFonts w:ascii="Arial" w:hAnsi="Arial" w:cs="Arial"/>
          <w:sz w:val="24"/>
          <w:szCs w:val="24"/>
        </w:rPr>
        <w:t xml:space="preserve">in </w:t>
      </w:r>
      <w:r w:rsidR="00912B89" w:rsidRPr="008E7784">
        <w:rPr>
          <w:rFonts w:ascii="Arial" w:hAnsi="Arial" w:cs="Arial"/>
          <w:i/>
          <w:sz w:val="24"/>
          <w:szCs w:val="24"/>
        </w:rPr>
        <w:t xml:space="preserve">S v </w:t>
      </w:r>
      <w:r w:rsidRPr="008E7784">
        <w:rPr>
          <w:rFonts w:ascii="Arial" w:hAnsi="Arial" w:cs="Arial"/>
          <w:i/>
          <w:sz w:val="24"/>
          <w:szCs w:val="24"/>
        </w:rPr>
        <w:t>D</w:t>
      </w:r>
      <w:r w:rsidR="006C127F" w:rsidRPr="008E7784">
        <w:rPr>
          <w:rFonts w:ascii="Arial" w:hAnsi="Arial" w:cs="Arial"/>
          <w:i/>
          <w:sz w:val="24"/>
          <w:szCs w:val="24"/>
        </w:rPr>
        <w:t>odo</w:t>
      </w:r>
      <w:r w:rsidR="00C11AED">
        <w:rPr>
          <w:rFonts w:ascii="Arial" w:hAnsi="Arial" w:cs="Arial"/>
          <w:i/>
          <w:sz w:val="24"/>
          <w:szCs w:val="24"/>
        </w:rPr>
        <w:t>,</w:t>
      </w:r>
      <w:r w:rsidR="00384C6F" w:rsidRPr="009320FE">
        <w:rPr>
          <w:rStyle w:val="FootnoteReference"/>
          <w:rFonts w:ascii="Arial" w:hAnsi="Arial" w:cs="Arial"/>
          <w:sz w:val="24"/>
          <w:szCs w:val="24"/>
        </w:rPr>
        <w:footnoteReference w:id="28"/>
      </w:r>
      <w:r w:rsidR="006C127F" w:rsidRPr="009320FE">
        <w:rPr>
          <w:rFonts w:ascii="Arial" w:hAnsi="Arial" w:cs="Arial"/>
          <w:sz w:val="24"/>
          <w:szCs w:val="24"/>
        </w:rPr>
        <w:t xml:space="preserve"> for when the prescribed sentence may be departed from was expressed as follows: </w:t>
      </w:r>
    </w:p>
    <w:p w:rsidR="001E3BDD" w:rsidRPr="00545A60" w:rsidRDefault="00545A60" w:rsidP="009320FE">
      <w:pPr>
        <w:spacing w:after="0" w:line="360" w:lineRule="auto"/>
        <w:contextualSpacing/>
        <w:jc w:val="both"/>
        <w:rPr>
          <w:rFonts w:ascii="Arial" w:hAnsi="Arial" w:cs="Arial"/>
          <w:szCs w:val="24"/>
        </w:rPr>
      </w:pPr>
      <w:r w:rsidRPr="00545A60">
        <w:rPr>
          <w:rFonts w:ascii="Arial" w:hAnsi="Arial" w:cs="Arial"/>
          <w:szCs w:val="24"/>
        </w:rPr>
        <w:t>‘If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r w:rsidR="001E3BDD" w:rsidRPr="00545A60">
        <w:rPr>
          <w:rFonts w:ascii="Arial" w:hAnsi="Arial" w:cs="Arial"/>
          <w:szCs w:val="24"/>
        </w:rPr>
        <w:t xml:space="preserve"> </w:t>
      </w:r>
    </w:p>
    <w:p w:rsidR="009320FE" w:rsidRDefault="009320FE" w:rsidP="009320FE">
      <w:pPr>
        <w:spacing w:after="0" w:line="360" w:lineRule="auto"/>
        <w:contextualSpacing/>
        <w:jc w:val="both"/>
        <w:rPr>
          <w:rFonts w:ascii="Arial" w:hAnsi="Arial" w:cs="Arial"/>
          <w:sz w:val="24"/>
          <w:szCs w:val="24"/>
        </w:rPr>
      </w:pPr>
    </w:p>
    <w:p w:rsidR="00492B8C" w:rsidRDefault="00492B8C" w:rsidP="009320FE">
      <w:pPr>
        <w:spacing w:after="0" w:line="360" w:lineRule="auto"/>
        <w:contextualSpacing/>
        <w:jc w:val="both"/>
        <w:rPr>
          <w:rFonts w:ascii="Arial" w:hAnsi="Arial" w:cs="Arial"/>
          <w:sz w:val="24"/>
          <w:szCs w:val="24"/>
        </w:rPr>
      </w:pPr>
    </w:p>
    <w:p w:rsidR="00912B89" w:rsidRDefault="00912B89" w:rsidP="009320FE">
      <w:pPr>
        <w:spacing w:after="0" w:line="360" w:lineRule="auto"/>
        <w:contextualSpacing/>
        <w:jc w:val="both"/>
        <w:rPr>
          <w:rFonts w:ascii="Arial" w:hAnsi="Arial" w:cs="Arial"/>
          <w:b/>
          <w:sz w:val="24"/>
          <w:szCs w:val="24"/>
        </w:rPr>
      </w:pPr>
      <w:r w:rsidRPr="0048666A">
        <w:rPr>
          <w:rFonts w:ascii="Arial" w:hAnsi="Arial" w:cs="Arial"/>
          <w:b/>
          <w:sz w:val="24"/>
          <w:szCs w:val="24"/>
        </w:rPr>
        <w:t xml:space="preserve">Conclusion </w:t>
      </w:r>
    </w:p>
    <w:p w:rsidR="00567EF2" w:rsidRPr="0048666A" w:rsidRDefault="00567EF2" w:rsidP="009320FE">
      <w:pPr>
        <w:spacing w:after="0" w:line="360" w:lineRule="auto"/>
        <w:contextualSpacing/>
        <w:jc w:val="both"/>
        <w:rPr>
          <w:rFonts w:ascii="Arial" w:hAnsi="Arial" w:cs="Arial"/>
          <w:b/>
          <w:sz w:val="24"/>
          <w:szCs w:val="24"/>
        </w:rPr>
      </w:pPr>
    </w:p>
    <w:p w:rsidR="001E3BDD" w:rsidRPr="009320FE" w:rsidRDefault="001E3BDD"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46</w:t>
      </w:r>
      <w:r w:rsidRPr="009320FE">
        <w:rPr>
          <w:rFonts w:ascii="Arial" w:hAnsi="Arial" w:cs="Arial"/>
          <w:sz w:val="24"/>
          <w:szCs w:val="24"/>
        </w:rPr>
        <w:t xml:space="preserve">] </w:t>
      </w:r>
      <w:r w:rsidR="00C42812" w:rsidRPr="009320FE">
        <w:rPr>
          <w:rFonts w:ascii="Arial" w:hAnsi="Arial" w:cs="Arial"/>
          <w:sz w:val="24"/>
          <w:szCs w:val="24"/>
        </w:rPr>
        <w:tab/>
      </w:r>
      <w:r w:rsidR="00492B8C">
        <w:rPr>
          <w:rFonts w:ascii="Arial" w:hAnsi="Arial" w:cs="Arial"/>
          <w:sz w:val="24"/>
          <w:szCs w:val="24"/>
        </w:rPr>
        <w:t>F</w:t>
      </w:r>
      <w:r w:rsidR="00BB5270">
        <w:rPr>
          <w:rFonts w:ascii="Arial" w:hAnsi="Arial" w:cs="Arial"/>
          <w:sz w:val="24"/>
          <w:szCs w:val="24"/>
        </w:rPr>
        <w:t xml:space="preserve">or the reasons stated </w:t>
      </w:r>
      <w:r w:rsidR="00EF6356">
        <w:rPr>
          <w:rFonts w:ascii="Arial" w:hAnsi="Arial" w:cs="Arial"/>
          <w:sz w:val="24"/>
          <w:szCs w:val="24"/>
        </w:rPr>
        <w:t>above, life</w:t>
      </w:r>
      <w:r w:rsidR="00C11AED">
        <w:rPr>
          <w:rFonts w:ascii="Arial" w:hAnsi="Arial" w:cs="Arial"/>
          <w:sz w:val="24"/>
          <w:szCs w:val="24"/>
        </w:rPr>
        <w:t xml:space="preserve"> </w:t>
      </w:r>
      <w:r w:rsidRPr="009320FE">
        <w:rPr>
          <w:rFonts w:ascii="Arial" w:hAnsi="Arial" w:cs="Arial"/>
          <w:sz w:val="24"/>
          <w:szCs w:val="24"/>
        </w:rPr>
        <w:t>imprisonment</w:t>
      </w:r>
      <w:r w:rsidR="007E15FF" w:rsidRPr="009320FE">
        <w:rPr>
          <w:rFonts w:ascii="Arial" w:hAnsi="Arial" w:cs="Arial"/>
          <w:sz w:val="24"/>
          <w:szCs w:val="24"/>
        </w:rPr>
        <w:t xml:space="preserve"> </w:t>
      </w:r>
      <w:r w:rsidRPr="009320FE">
        <w:rPr>
          <w:rFonts w:ascii="Arial" w:hAnsi="Arial" w:cs="Arial"/>
          <w:sz w:val="24"/>
          <w:szCs w:val="24"/>
        </w:rPr>
        <w:t xml:space="preserve">is not only unjust but also disproportionate. However, a lengthy sentence of imprisonment is warranted. I </w:t>
      </w:r>
      <w:r w:rsidR="00912B89" w:rsidRPr="009320FE">
        <w:rPr>
          <w:rFonts w:ascii="Arial" w:hAnsi="Arial" w:cs="Arial"/>
          <w:sz w:val="24"/>
          <w:szCs w:val="24"/>
        </w:rPr>
        <w:t>consider that a</w:t>
      </w:r>
      <w:r w:rsidR="0068219F" w:rsidRPr="009320FE">
        <w:rPr>
          <w:rFonts w:ascii="Arial" w:hAnsi="Arial" w:cs="Arial"/>
          <w:sz w:val="24"/>
          <w:szCs w:val="24"/>
        </w:rPr>
        <w:t xml:space="preserve"> period of 25 years</w:t>
      </w:r>
      <w:r w:rsidR="00AA2803">
        <w:rPr>
          <w:rFonts w:ascii="Arial" w:hAnsi="Arial" w:cs="Arial"/>
          <w:sz w:val="24"/>
          <w:szCs w:val="24"/>
        </w:rPr>
        <w:t>’ imprisonment</w:t>
      </w:r>
      <w:r w:rsidR="0068219F" w:rsidRPr="009320FE">
        <w:rPr>
          <w:rFonts w:ascii="Arial" w:hAnsi="Arial" w:cs="Arial"/>
          <w:sz w:val="24"/>
          <w:szCs w:val="24"/>
        </w:rPr>
        <w:t xml:space="preserve"> is justified</w:t>
      </w:r>
      <w:r w:rsidRPr="009320FE">
        <w:rPr>
          <w:rFonts w:ascii="Arial" w:hAnsi="Arial" w:cs="Arial"/>
          <w:sz w:val="24"/>
          <w:szCs w:val="24"/>
        </w:rPr>
        <w:t xml:space="preserve"> </w:t>
      </w:r>
      <w:r w:rsidR="000B38BB">
        <w:rPr>
          <w:rFonts w:ascii="Arial" w:hAnsi="Arial" w:cs="Arial"/>
          <w:sz w:val="24"/>
          <w:szCs w:val="24"/>
        </w:rPr>
        <w:t xml:space="preserve">and </w:t>
      </w:r>
      <w:r w:rsidRPr="009320FE">
        <w:rPr>
          <w:rFonts w:ascii="Arial" w:hAnsi="Arial" w:cs="Arial"/>
          <w:sz w:val="24"/>
          <w:szCs w:val="24"/>
        </w:rPr>
        <w:t>will send a message to the community that rape</w:t>
      </w:r>
      <w:r w:rsidR="007E15FF" w:rsidRPr="009320FE">
        <w:rPr>
          <w:rFonts w:ascii="Arial" w:hAnsi="Arial" w:cs="Arial"/>
          <w:sz w:val="24"/>
          <w:szCs w:val="24"/>
        </w:rPr>
        <w:t>,</w:t>
      </w:r>
      <w:r w:rsidRPr="009320FE">
        <w:rPr>
          <w:rFonts w:ascii="Arial" w:hAnsi="Arial" w:cs="Arial"/>
          <w:sz w:val="24"/>
          <w:szCs w:val="24"/>
        </w:rPr>
        <w:t xml:space="preserve"> and especially the rape of</w:t>
      </w:r>
      <w:r w:rsidR="00FB04EA">
        <w:rPr>
          <w:rFonts w:ascii="Arial" w:hAnsi="Arial" w:cs="Arial"/>
          <w:sz w:val="24"/>
          <w:szCs w:val="24"/>
        </w:rPr>
        <w:t xml:space="preserve"> a</w:t>
      </w:r>
      <w:r w:rsidRPr="009320FE">
        <w:rPr>
          <w:rFonts w:ascii="Arial" w:hAnsi="Arial" w:cs="Arial"/>
          <w:sz w:val="24"/>
          <w:szCs w:val="24"/>
        </w:rPr>
        <w:t xml:space="preserve"> young girl</w:t>
      </w:r>
      <w:r w:rsidR="007E15FF" w:rsidRPr="009320FE">
        <w:rPr>
          <w:rFonts w:ascii="Arial" w:hAnsi="Arial" w:cs="Arial"/>
          <w:sz w:val="24"/>
          <w:szCs w:val="24"/>
        </w:rPr>
        <w:t>,</w:t>
      </w:r>
      <w:r w:rsidRPr="009320FE">
        <w:rPr>
          <w:rFonts w:ascii="Arial" w:hAnsi="Arial" w:cs="Arial"/>
          <w:sz w:val="24"/>
          <w:szCs w:val="24"/>
        </w:rPr>
        <w:t xml:space="preserve"> wi</w:t>
      </w:r>
      <w:r w:rsidR="007E15FF" w:rsidRPr="009320FE">
        <w:rPr>
          <w:rFonts w:ascii="Arial" w:hAnsi="Arial" w:cs="Arial"/>
          <w:sz w:val="24"/>
          <w:szCs w:val="24"/>
        </w:rPr>
        <w:t>ll be visited with seve</w:t>
      </w:r>
      <w:r w:rsidR="0026139C">
        <w:rPr>
          <w:rFonts w:ascii="Arial" w:hAnsi="Arial" w:cs="Arial"/>
          <w:sz w:val="24"/>
          <w:szCs w:val="24"/>
        </w:rPr>
        <w:t>re</w:t>
      </w:r>
      <w:r w:rsidR="007E15FF" w:rsidRPr="009320FE">
        <w:rPr>
          <w:rFonts w:ascii="Arial" w:hAnsi="Arial" w:cs="Arial"/>
          <w:sz w:val="24"/>
          <w:szCs w:val="24"/>
        </w:rPr>
        <w:t xml:space="preserve"> punishment.</w:t>
      </w:r>
    </w:p>
    <w:p w:rsidR="009320FE" w:rsidRDefault="009320FE" w:rsidP="009320FE">
      <w:pPr>
        <w:spacing w:after="0" w:line="360" w:lineRule="auto"/>
        <w:contextualSpacing/>
        <w:jc w:val="both"/>
        <w:rPr>
          <w:rFonts w:ascii="Arial" w:hAnsi="Arial" w:cs="Arial"/>
          <w:sz w:val="24"/>
          <w:szCs w:val="24"/>
        </w:rPr>
      </w:pPr>
    </w:p>
    <w:p w:rsidR="001E3BDD" w:rsidRDefault="0068219F" w:rsidP="009320FE">
      <w:pPr>
        <w:spacing w:after="0" w:line="360" w:lineRule="auto"/>
        <w:contextualSpacing/>
        <w:jc w:val="both"/>
        <w:rPr>
          <w:rFonts w:ascii="Arial" w:hAnsi="Arial" w:cs="Arial"/>
          <w:b/>
          <w:sz w:val="24"/>
          <w:szCs w:val="24"/>
        </w:rPr>
      </w:pPr>
      <w:r w:rsidRPr="0048666A">
        <w:rPr>
          <w:rFonts w:ascii="Arial" w:hAnsi="Arial" w:cs="Arial"/>
          <w:b/>
          <w:sz w:val="24"/>
          <w:szCs w:val="24"/>
        </w:rPr>
        <w:t xml:space="preserve">Order </w:t>
      </w:r>
    </w:p>
    <w:p w:rsidR="0026139C" w:rsidRDefault="0026139C" w:rsidP="009320FE">
      <w:pPr>
        <w:spacing w:after="0" w:line="360" w:lineRule="auto"/>
        <w:contextualSpacing/>
        <w:jc w:val="both"/>
        <w:rPr>
          <w:rFonts w:ascii="Arial" w:hAnsi="Arial" w:cs="Arial"/>
          <w:b/>
          <w:sz w:val="24"/>
          <w:szCs w:val="24"/>
        </w:rPr>
      </w:pPr>
    </w:p>
    <w:p w:rsidR="001E3BDD" w:rsidRDefault="001E3BDD" w:rsidP="009320FE">
      <w:pPr>
        <w:spacing w:after="0" w:line="360" w:lineRule="auto"/>
        <w:contextualSpacing/>
        <w:jc w:val="both"/>
        <w:rPr>
          <w:rFonts w:ascii="Arial" w:hAnsi="Arial" w:cs="Arial"/>
          <w:sz w:val="24"/>
          <w:szCs w:val="24"/>
        </w:rPr>
      </w:pPr>
      <w:r w:rsidRPr="009320FE">
        <w:rPr>
          <w:rFonts w:ascii="Arial" w:hAnsi="Arial" w:cs="Arial"/>
          <w:sz w:val="24"/>
          <w:szCs w:val="24"/>
        </w:rPr>
        <w:t>[</w:t>
      </w:r>
      <w:r w:rsidR="00C9752B">
        <w:rPr>
          <w:rFonts w:ascii="Arial" w:hAnsi="Arial" w:cs="Arial"/>
          <w:sz w:val="24"/>
          <w:szCs w:val="24"/>
        </w:rPr>
        <w:t>47</w:t>
      </w:r>
      <w:r w:rsidRPr="009320FE">
        <w:rPr>
          <w:rFonts w:ascii="Arial" w:hAnsi="Arial" w:cs="Arial"/>
          <w:sz w:val="24"/>
          <w:szCs w:val="24"/>
        </w:rPr>
        <w:t>]</w:t>
      </w:r>
      <w:r w:rsidR="00C42812" w:rsidRPr="009320FE">
        <w:rPr>
          <w:rFonts w:ascii="Arial" w:hAnsi="Arial" w:cs="Arial"/>
          <w:sz w:val="24"/>
          <w:szCs w:val="24"/>
        </w:rPr>
        <w:tab/>
      </w:r>
      <w:r w:rsidRPr="009320FE">
        <w:rPr>
          <w:rFonts w:ascii="Arial" w:hAnsi="Arial" w:cs="Arial"/>
          <w:sz w:val="24"/>
          <w:szCs w:val="24"/>
        </w:rPr>
        <w:t xml:space="preserve"> In the resul</w:t>
      </w:r>
      <w:r w:rsidR="0068219F" w:rsidRPr="009320FE">
        <w:rPr>
          <w:rFonts w:ascii="Arial" w:hAnsi="Arial" w:cs="Arial"/>
          <w:sz w:val="24"/>
          <w:szCs w:val="24"/>
        </w:rPr>
        <w:t>t, the following orders are proposed</w:t>
      </w:r>
      <w:r w:rsidRPr="009320FE">
        <w:rPr>
          <w:rFonts w:ascii="Arial" w:hAnsi="Arial" w:cs="Arial"/>
          <w:sz w:val="24"/>
          <w:szCs w:val="24"/>
        </w:rPr>
        <w:t xml:space="preserve">: </w:t>
      </w:r>
    </w:p>
    <w:p w:rsidR="001E3BDD" w:rsidRPr="009320FE" w:rsidRDefault="00D73556" w:rsidP="009320FE">
      <w:pPr>
        <w:spacing w:after="0" w:line="360" w:lineRule="auto"/>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r>
      <w:r w:rsidR="001E3BDD" w:rsidRPr="009320FE">
        <w:rPr>
          <w:rFonts w:ascii="Arial" w:hAnsi="Arial" w:cs="Arial"/>
          <w:sz w:val="24"/>
          <w:szCs w:val="24"/>
        </w:rPr>
        <w:t xml:space="preserve">The appeal against conviction is dismissed </w:t>
      </w:r>
    </w:p>
    <w:p w:rsidR="002F1661" w:rsidRPr="009320FE" w:rsidRDefault="00D73556" w:rsidP="009320FE">
      <w:pPr>
        <w:spacing w:after="0" w:line="36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3BDD" w:rsidRPr="009320FE">
        <w:rPr>
          <w:rFonts w:ascii="Arial" w:hAnsi="Arial" w:cs="Arial"/>
          <w:sz w:val="24"/>
          <w:szCs w:val="24"/>
        </w:rPr>
        <w:t>T</w:t>
      </w:r>
      <w:r w:rsidR="002F1661" w:rsidRPr="009320FE">
        <w:rPr>
          <w:rFonts w:ascii="Arial" w:hAnsi="Arial" w:cs="Arial"/>
          <w:sz w:val="24"/>
          <w:szCs w:val="24"/>
        </w:rPr>
        <w:t xml:space="preserve">he </w:t>
      </w:r>
      <w:r w:rsidR="008D652B" w:rsidRPr="009320FE">
        <w:rPr>
          <w:rFonts w:ascii="Arial" w:hAnsi="Arial" w:cs="Arial"/>
          <w:sz w:val="24"/>
          <w:szCs w:val="24"/>
        </w:rPr>
        <w:t>appeal against sentence is upheld</w:t>
      </w:r>
      <w:r w:rsidR="0068219F" w:rsidRPr="009320FE">
        <w:rPr>
          <w:rFonts w:ascii="Arial" w:hAnsi="Arial" w:cs="Arial"/>
          <w:sz w:val="24"/>
          <w:szCs w:val="24"/>
        </w:rPr>
        <w:t>.</w:t>
      </w:r>
      <w:r w:rsidR="008D652B" w:rsidRPr="009320FE">
        <w:rPr>
          <w:rFonts w:ascii="Arial" w:hAnsi="Arial" w:cs="Arial"/>
          <w:sz w:val="24"/>
          <w:szCs w:val="24"/>
        </w:rPr>
        <w:t xml:space="preserve"> </w:t>
      </w:r>
    </w:p>
    <w:p w:rsidR="002F1661" w:rsidRPr="009320FE" w:rsidRDefault="00D73556" w:rsidP="009320FE">
      <w:pPr>
        <w:spacing w:after="0" w:line="360" w:lineRule="auto"/>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r>
      <w:r w:rsidR="002F1661" w:rsidRPr="009320FE">
        <w:rPr>
          <w:rFonts w:ascii="Arial" w:hAnsi="Arial" w:cs="Arial"/>
          <w:sz w:val="24"/>
          <w:szCs w:val="24"/>
        </w:rPr>
        <w:t xml:space="preserve">The sentence imposed by the regional court is set aside and substituted with </w:t>
      </w:r>
      <w:r w:rsidR="00C42812" w:rsidRPr="009320FE">
        <w:rPr>
          <w:rFonts w:ascii="Arial" w:hAnsi="Arial" w:cs="Arial"/>
          <w:sz w:val="24"/>
          <w:szCs w:val="24"/>
        </w:rPr>
        <w:t xml:space="preserve">  </w:t>
      </w:r>
      <w:r w:rsidR="008D652B" w:rsidRPr="009320FE">
        <w:rPr>
          <w:rFonts w:ascii="Arial" w:hAnsi="Arial" w:cs="Arial"/>
          <w:sz w:val="24"/>
          <w:szCs w:val="24"/>
        </w:rPr>
        <w:t xml:space="preserve">       a</w:t>
      </w:r>
      <w:r w:rsidR="00C42812" w:rsidRPr="009320FE">
        <w:rPr>
          <w:rFonts w:ascii="Arial" w:hAnsi="Arial" w:cs="Arial"/>
          <w:sz w:val="24"/>
          <w:szCs w:val="24"/>
        </w:rPr>
        <w:t xml:space="preserve"> </w:t>
      </w:r>
      <w:r w:rsidR="002F1661" w:rsidRPr="009320FE">
        <w:rPr>
          <w:rFonts w:ascii="Arial" w:hAnsi="Arial" w:cs="Arial"/>
          <w:sz w:val="24"/>
          <w:szCs w:val="24"/>
        </w:rPr>
        <w:t>sentence of 25</w:t>
      </w:r>
      <w:r w:rsidR="00C42812" w:rsidRPr="009320FE">
        <w:rPr>
          <w:rFonts w:ascii="Arial" w:hAnsi="Arial" w:cs="Arial"/>
          <w:sz w:val="24"/>
          <w:szCs w:val="24"/>
        </w:rPr>
        <w:t xml:space="preserve"> </w:t>
      </w:r>
      <w:r w:rsidR="008D652B" w:rsidRPr="009320FE">
        <w:rPr>
          <w:rFonts w:ascii="Arial" w:hAnsi="Arial" w:cs="Arial"/>
          <w:sz w:val="24"/>
          <w:szCs w:val="24"/>
        </w:rPr>
        <w:t>years’</w:t>
      </w:r>
      <w:r w:rsidR="002F1661" w:rsidRPr="009320FE">
        <w:rPr>
          <w:rFonts w:ascii="Arial" w:hAnsi="Arial" w:cs="Arial"/>
          <w:sz w:val="24"/>
          <w:szCs w:val="24"/>
        </w:rPr>
        <w:t xml:space="preserve"> imp</w:t>
      </w:r>
      <w:r w:rsidR="008D652B" w:rsidRPr="009320FE">
        <w:rPr>
          <w:rFonts w:ascii="Arial" w:hAnsi="Arial" w:cs="Arial"/>
          <w:sz w:val="24"/>
          <w:szCs w:val="24"/>
        </w:rPr>
        <w:t>risonment.</w:t>
      </w:r>
    </w:p>
    <w:p w:rsidR="002F1661" w:rsidRPr="009320FE" w:rsidRDefault="00D73556" w:rsidP="009320FE">
      <w:pPr>
        <w:spacing w:after="0"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sidR="0068219F" w:rsidRPr="009320FE">
        <w:rPr>
          <w:rFonts w:ascii="Arial" w:hAnsi="Arial" w:cs="Arial"/>
          <w:sz w:val="24"/>
          <w:szCs w:val="24"/>
        </w:rPr>
        <w:t>The sentence is antedated to 27 June 2018, in terms of section 282 of the Criminal Procedure Act 51 of 1977.</w:t>
      </w:r>
    </w:p>
    <w:p w:rsidR="00C42812" w:rsidRPr="009320FE" w:rsidRDefault="00C42812" w:rsidP="009320FE">
      <w:pPr>
        <w:spacing w:after="0" w:line="360" w:lineRule="auto"/>
        <w:contextualSpacing/>
        <w:jc w:val="both"/>
        <w:rPr>
          <w:rFonts w:ascii="Arial" w:hAnsi="Arial" w:cs="Arial"/>
          <w:sz w:val="24"/>
          <w:szCs w:val="24"/>
        </w:rPr>
      </w:pPr>
    </w:p>
    <w:p w:rsidR="00C42812" w:rsidRDefault="00C42812" w:rsidP="009320FE">
      <w:pPr>
        <w:spacing w:after="0" w:line="360" w:lineRule="auto"/>
        <w:contextualSpacing/>
        <w:jc w:val="both"/>
        <w:rPr>
          <w:rFonts w:ascii="Arial" w:hAnsi="Arial" w:cs="Arial"/>
          <w:sz w:val="24"/>
          <w:szCs w:val="24"/>
        </w:rPr>
      </w:pPr>
    </w:p>
    <w:p w:rsidR="0026139C" w:rsidRPr="009320FE" w:rsidRDefault="0026139C" w:rsidP="009320FE">
      <w:pPr>
        <w:spacing w:after="0" w:line="360" w:lineRule="auto"/>
        <w:contextualSpacing/>
        <w:jc w:val="both"/>
        <w:rPr>
          <w:rFonts w:ascii="Arial" w:hAnsi="Arial" w:cs="Arial"/>
          <w:sz w:val="24"/>
          <w:szCs w:val="24"/>
        </w:rPr>
      </w:pPr>
    </w:p>
    <w:p w:rsidR="0048339F" w:rsidRDefault="0048339F" w:rsidP="008E7784">
      <w:pPr>
        <w:spacing w:after="0" w:line="360" w:lineRule="auto"/>
        <w:contextualSpacing/>
        <w:jc w:val="right"/>
        <w:rPr>
          <w:rFonts w:ascii="Arial" w:hAnsi="Arial" w:cs="Arial"/>
          <w:b/>
          <w:sz w:val="24"/>
          <w:szCs w:val="24"/>
        </w:rPr>
      </w:pPr>
      <w:r>
        <w:rPr>
          <w:rFonts w:ascii="Arial" w:hAnsi="Arial" w:cs="Arial"/>
          <w:b/>
          <w:sz w:val="24"/>
          <w:szCs w:val="24"/>
        </w:rPr>
        <w:t>______________</w:t>
      </w:r>
      <w:r w:rsidR="0068219F" w:rsidRPr="008E7784">
        <w:rPr>
          <w:rFonts w:ascii="Arial" w:hAnsi="Arial" w:cs="Arial"/>
          <w:b/>
          <w:sz w:val="24"/>
          <w:szCs w:val="24"/>
        </w:rPr>
        <w:t xml:space="preserve">                                                                                                         </w:t>
      </w:r>
    </w:p>
    <w:p w:rsidR="00C42812" w:rsidRPr="008E7784" w:rsidRDefault="0068219F" w:rsidP="0048339F">
      <w:pPr>
        <w:spacing w:after="0" w:line="360" w:lineRule="auto"/>
        <w:contextualSpacing/>
        <w:jc w:val="right"/>
        <w:rPr>
          <w:rFonts w:ascii="Arial" w:hAnsi="Arial" w:cs="Arial"/>
          <w:b/>
          <w:sz w:val="24"/>
          <w:szCs w:val="24"/>
        </w:rPr>
      </w:pPr>
      <w:r w:rsidRPr="008E7784">
        <w:rPr>
          <w:rFonts w:ascii="Arial" w:hAnsi="Arial" w:cs="Arial"/>
          <w:b/>
          <w:sz w:val="24"/>
          <w:szCs w:val="24"/>
        </w:rPr>
        <w:t xml:space="preserve">KHALILL AJ </w:t>
      </w:r>
    </w:p>
    <w:p w:rsidR="00C42812" w:rsidRDefault="00C42812" w:rsidP="008E7784">
      <w:pPr>
        <w:spacing w:after="0" w:line="360" w:lineRule="auto"/>
        <w:contextualSpacing/>
        <w:jc w:val="right"/>
        <w:rPr>
          <w:rFonts w:ascii="Arial" w:hAnsi="Arial" w:cs="Arial"/>
          <w:b/>
          <w:sz w:val="24"/>
          <w:szCs w:val="24"/>
        </w:rPr>
      </w:pPr>
    </w:p>
    <w:p w:rsidR="0026139C" w:rsidRDefault="0026139C" w:rsidP="008E7784">
      <w:pPr>
        <w:spacing w:after="0" w:line="360" w:lineRule="auto"/>
        <w:contextualSpacing/>
        <w:jc w:val="right"/>
        <w:rPr>
          <w:rFonts w:ascii="Arial" w:hAnsi="Arial" w:cs="Arial"/>
          <w:b/>
          <w:sz w:val="24"/>
          <w:szCs w:val="24"/>
        </w:rPr>
      </w:pPr>
    </w:p>
    <w:p w:rsidR="0048339F" w:rsidRDefault="0068219F" w:rsidP="008E7784">
      <w:pPr>
        <w:spacing w:after="0" w:line="360" w:lineRule="auto"/>
        <w:contextualSpacing/>
        <w:jc w:val="right"/>
        <w:rPr>
          <w:rFonts w:ascii="Arial" w:hAnsi="Arial" w:cs="Arial"/>
          <w:sz w:val="24"/>
          <w:szCs w:val="24"/>
        </w:rPr>
      </w:pPr>
      <w:r w:rsidRPr="00D73556">
        <w:rPr>
          <w:rFonts w:ascii="Arial" w:hAnsi="Arial" w:cs="Arial"/>
          <w:sz w:val="24"/>
          <w:szCs w:val="24"/>
        </w:rPr>
        <w:t xml:space="preserve">I </w:t>
      </w:r>
      <w:r w:rsidR="00D73556" w:rsidRPr="00D73556">
        <w:rPr>
          <w:rFonts w:ascii="Arial" w:hAnsi="Arial" w:cs="Arial"/>
          <w:sz w:val="24"/>
          <w:szCs w:val="24"/>
        </w:rPr>
        <w:t>agree</w:t>
      </w:r>
      <w:r w:rsidR="00D73556">
        <w:rPr>
          <w:rFonts w:ascii="Arial" w:hAnsi="Arial" w:cs="Arial"/>
          <w:sz w:val="24"/>
          <w:szCs w:val="24"/>
        </w:rPr>
        <w:t>.</w:t>
      </w:r>
      <w:r w:rsidR="00492B8C">
        <w:rPr>
          <w:rFonts w:ascii="Arial" w:hAnsi="Arial" w:cs="Arial"/>
          <w:sz w:val="24"/>
          <w:szCs w:val="24"/>
        </w:rPr>
        <w:t xml:space="preserve">    </w:t>
      </w:r>
    </w:p>
    <w:p w:rsidR="0048339F" w:rsidRDefault="0048339F" w:rsidP="0048339F">
      <w:pPr>
        <w:spacing w:after="0" w:line="360" w:lineRule="auto"/>
        <w:contextualSpacing/>
        <w:jc w:val="right"/>
        <w:rPr>
          <w:rFonts w:ascii="Arial" w:hAnsi="Arial" w:cs="Arial"/>
          <w:sz w:val="24"/>
          <w:szCs w:val="24"/>
        </w:rPr>
      </w:pPr>
    </w:p>
    <w:p w:rsidR="0068219F" w:rsidRPr="00D73556" w:rsidRDefault="00D73556" w:rsidP="0048339F">
      <w:pPr>
        <w:spacing w:after="0" w:line="360" w:lineRule="auto"/>
        <w:contextualSpacing/>
        <w:jc w:val="right"/>
        <w:rPr>
          <w:rFonts w:ascii="Arial" w:hAnsi="Arial" w:cs="Arial"/>
          <w:sz w:val="24"/>
          <w:szCs w:val="24"/>
        </w:rPr>
      </w:pPr>
      <w:r w:rsidRPr="00D73556">
        <w:rPr>
          <w:rFonts w:ascii="Arial" w:hAnsi="Arial" w:cs="Arial"/>
          <w:sz w:val="24"/>
          <w:szCs w:val="24"/>
        </w:rPr>
        <w:t xml:space="preserve">                                                                                                   </w:t>
      </w:r>
    </w:p>
    <w:p w:rsidR="0068219F" w:rsidRDefault="00A172E9" w:rsidP="008E7784">
      <w:pPr>
        <w:spacing w:after="0" w:line="360" w:lineRule="auto"/>
        <w:contextualSpacing/>
        <w:jc w:val="right"/>
        <w:rPr>
          <w:rFonts w:ascii="Arial" w:hAnsi="Arial" w:cs="Arial"/>
          <w:b/>
          <w:sz w:val="24"/>
          <w:szCs w:val="24"/>
        </w:rPr>
      </w:pPr>
      <w:r>
        <w:rPr>
          <w:rFonts w:ascii="Arial" w:hAnsi="Arial" w:cs="Arial"/>
          <w:b/>
          <w:sz w:val="24"/>
          <w:szCs w:val="24"/>
        </w:rPr>
        <w:t xml:space="preserve">      </w:t>
      </w:r>
      <w:r w:rsidR="0048339F">
        <w:rPr>
          <w:rFonts w:ascii="Arial" w:hAnsi="Arial" w:cs="Arial"/>
          <w:b/>
          <w:sz w:val="24"/>
          <w:szCs w:val="24"/>
        </w:rPr>
        <w:t>______________</w:t>
      </w:r>
    </w:p>
    <w:p w:rsidR="0048339F" w:rsidRPr="008E7784" w:rsidRDefault="0048339F" w:rsidP="0048339F">
      <w:pPr>
        <w:spacing w:after="0" w:line="360" w:lineRule="auto"/>
        <w:contextualSpacing/>
        <w:jc w:val="right"/>
        <w:rPr>
          <w:rFonts w:ascii="Arial" w:hAnsi="Arial" w:cs="Arial"/>
          <w:b/>
          <w:sz w:val="24"/>
          <w:szCs w:val="24"/>
        </w:rPr>
      </w:pPr>
    </w:p>
    <w:p w:rsidR="0068219F" w:rsidRPr="008E7784" w:rsidRDefault="0068219F" w:rsidP="008E7784">
      <w:pPr>
        <w:spacing w:after="0" w:line="360" w:lineRule="auto"/>
        <w:contextualSpacing/>
        <w:jc w:val="right"/>
        <w:rPr>
          <w:b/>
          <w:sz w:val="28"/>
          <w:szCs w:val="28"/>
        </w:rPr>
      </w:pPr>
      <w:r w:rsidRPr="008E7784">
        <w:rPr>
          <w:rFonts w:ascii="Arial" w:hAnsi="Arial" w:cs="Arial"/>
          <w:b/>
          <w:sz w:val="24"/>
          <w:szCs w:val="24"/>
        </w:rPr>
        <w:t xml:space="preserve">                                                                                 </w:t>
      </w:r>
      <w:r w:rsidR="00137C66" w:rsidRPr="008E7784">
        <w:rPr>
          <w:rFonts w:ascii="Arial" w:hAnsi="Arial" w:cs="Arial"/>
          <w:b/>
          <w:sz w:val="24"/>
          <w:szCs w:val="24"/>
        </w:rPr>
        <w:t xml:space="preserve">                        </w:t>
      </w:r>
      <w:r w:rsidRPr="008E7784">
        <w:rPr>
          <w:rFonts w:ascii="Arial" w:hAnsi="Arial" w:cs="Arial"/>
          <w:b/>
          <w:sz w:val="24"/>
          <w:szCs w:val="24"/>
        </w:rPr>
        <w:t xml:space="preserve"> SEEGO</w:t>
      </w:r>
      <w:r w:rsidRPr="008E7784">
        <w:rPr>
          <w:b/>
          <w:sz w:val="28"/>
          <w:szCs w:val="28"/>
        </w:rPr>
        <w:t xml:space="preserve">BIN J </w:t>
      </w:r>
    </w:p>
    <w:p w:rsidR="00C42812" w:rsidRPr="008E7784" w:rsidRDefault="0068219F" w:rsidP="008E7784">
      <w:pPr>
        <w:jc w:val="right"/>
        <w:rPr>
          <w:b/>
          <w:sz w:val="28"/>
          <w:szCs w:val="28"/>
        </w:rPr>
      </w:pPr>
      <w:r w:rsidRPr="008E7784">
        <w:rPr>
          <w:b/>
          <w:sz w:val="28"/>
          <w:szCs w:val="28"/>
        </w:rPr>
        <w:t xml:space="preserve">                                                                                </w:t>
      </w:r>
    </w:p>
    <w:p w:rsidR="00E32B92" w:rsidRPr="00137C66" w:rsidRDefault="00137C66" w:rsidP="008D652B">
      <w:pPr>
        <w:spacing w:line="480" w:lineRule="auto"/>
        <w:jc w:val="both"/>
        <w:rPr>
          <w:rFonts w:ascii="Arial" w:hAnsi="Arial" w:cs="Arial"/>
        </w:rPr>
      </w:pPr>
      <w:r>
        <w:rPr>
          <w:rFonts w:ascii="Arial" w:hAnsi="Arial" w:cs="Arial"/>
        </w:rPr>
        <w:t xml:space="preserve">Appearances: </w:t>
      </w:r>
    </w:p>
    <w:p w:rsidR="00E32B92" w:rsidRPr="000B1967" w:rsidRDefault="00137C66" w:rsidP="00E32B92">
      <w:pPr>
        <w:spacing w:line="360" w:lineRule="auto"/>
        <w:jc w:val="both"/>
        <w:rPr>
          <w:rFonts w:ascii="Arial" w:hAnsi="Arial" w:cs="Arial"/>
        </w:rPr>
      </w:pPr>
      <w:r>
        <w:rPr>
          <w:rFonts w:ascii="Arial" w:hAnsi="Arial" w:cs="Arial"/>
        </w:rPr>
        <w:t>For Appellant</w:t>
      </w:r>
      <w:r w:rsidR="00E32B92" w:rsidRPr="000B1967">
        <w:rPr>
          <w:rFonts w:ascii="Arial" w:hAnsi="Arial" w:cs="Arial"/>
        </w:rPr>
        <w:t xml:space="preserve">:   </w:t>
      </w:r>
      <w:r w:rsidR="00E32B92">
        <w:rPr>
          <w:rFonts w:ascii="Arial" w:hAnsi="Arial" w:cs="Arial"/>
        </w:rPr>
        <w:tab/>
      </w:r>
      <w:r w:rsidR="00E32B92">
        <w:rPr>
          <w:rFonts w:ascii="Arial" w:hAnsi="Arial" w:cs="Arial"/>
        </w:rPr>
        <w:tab/>
        <w:t>Ms P. Andrew</w:t>
      </w:r>
    </w:p>
    <w:p w:rsidR="00E32B92" w:rsidRPr="000B1967" w:rsidRDefault="00E32B92" w:rsidP="00E32B92">
      <w:pPr>
        <w:spacing w:line="360" w:lineRule="auto"/>
        <w:jc w:val="both"/>
        <w:rPr>
          <w:rFonts w:ascii="Arial" w:hAnsi="Arial" w:cs="Arial"/>
        </w:rPr>
      </w:pPr>
      <w:r w:rsidRPr="000B1967">
        <w:rPr>
          <w:rFonts w:ascii="Arial" w:hAnsi="Arial" w:cs="Arial"/>
        </w:rPr>
        <w:t xml:space="preserve">INSTRUCTED BY:      </w:t>
      </w:r>
      <w:r w:rsidRPr="000B1967">
        <w:rPr>
          <w:rFonts w:ascii="Arial" w:hAnsi="Arial" w:cs="Arial"/>
        </w:rPr>
        <w:tab/>
        <w:t xml:space="preserve">Legal Aid South Africa </w:t>
      </w:r>
    </w:p>
    <w:p w:rsidR="00137C66" w:rsidRDefault="00137C66" w:rsidP="00E32B92">
      <w:pPr>
        <w:spacing w:line="360" w:lineRule="auto"/>
        <w:jc w:val="both"/>
        <w:rPr>
          <w:rFonts w:ascii="Arial" w:hAnsi="Arial" w:cs="Arial"/>
        </w:rPr>
      </w:pPr>
      <w:r>
        <w:rPr>
          <w:rFonts w:ascii="Arial" w:hAnsi="Arial" w:cs="Arial"/>
        </w:rPr>
        <w:t xml:space="preserve">                                               Pietermaritzburg</w:t>
      </w:r>
    </w:p>
    <w:p w:rsidR="00FD3609" w:rsidRDefault="00FD3609" w:rsidP="00E32B92">
      <w:pPr>
        <w:spacing w:line="360" w:lineRule="auto"/>
        <w:jc w:val="both"/>
        <w:rPr>
          <w:rFonts w:ascii="Arial" w:hAnsi="Arial" w:cs="Arial"/>
        </w:rPr>
      </w:pPr>
    </w:p>
    <w:p w:rsidR="00E32B92" w:rsidRDefault="00137C66" w:rsidP="00E32B92">
      <w:pPr>
        <w:spacing w:line="360" w:lineRule="auto"/>
        <w:jc w:val="both"/>
        <w:rPr>
          <w:rFonts w:ascii="Arial" w:hAnsi="Arial" w:cs="Arial"/>
        </w:rPr>
      </w:pPr>
      <w:r>
        <w:rPr>
          <w:rFonts w:ascii="Arial" w:hAnsi="Arial" w:cs="Arial"/>
        </w:rPr>
        <w:t xml:space="preserve"> For </w:t>
      </w:r>
      <w:r w:rsidRPr="000B1967">
        <w:rPr>
          <w:rFonts w:ascii="Arial" w:hAnsi="Arial" w:cs="Arial"/>
        </w:rPr>
        <w:t>Respondent</w:t>
      </w:r>
      <w:r w:rsidR="00E32B92" w:rsidRPr="000B1967">
        <w:rPr>
          <w:rFonts w:ascii="Arial" w:hAnsi="Arial" w:cs="Arial"/>
        </w:rPr>
        <w:t xml:space="preserve">:  </w:t>
      </w:r>
      <w:r w:rsidR="00E32B92">
        <w:rPr>
          <w:rFonts w:ascii="Arial" w:hAnsi="Arial" w:cs="Arial"/>
        </w:rPr>
        <w:t xml:space="preserve"> </w:t>
      </w:r>
      <w:r w:rsidR="00E32B92" w:rsidRPr="000B1967">
        <w:rPr>
          <w:rFonts w:ascii="Arial" w:hAnsi="Arial" w:cs="Arial"/>
        </w:rPr>
        <w:tab/>
      </w:r>
      <w:r>
        <w:rPr>
          <w:rFonts w:ascii="Arial" w:hAnsi="Arial" w:cs="Arial"/>
        </w:rPr>
        <w:t xml:space="preserve">            </w:t>
      </w:r>
      <w:r w:rsidR="00E32B92" w:rsidRPr="000B1967">
        <w:rPr>
          <w:rFonts w:ascii="Arial" w:hAnsi="Arial" w:cs="Arial"/>
        </w:rPr>
        <w:t xml:space="preserve"> </w:t>
      </w:r>
      <w:r w:rsidR="00E32B92">
        <w:rPr>
          <w:rFonts w:ascii="Arial" w:hAnsi="Arial" w:cs="Arial"/>
        </w:rPr>
        <w:t xml:space="preserve">Mr M Gula </w:t>
      </w:r>
    </w:p>
    <w:p w:rsidR="002F1661" w:rsidRDefault="00E32B92" w:rsidP="00137C66">
      <w:pPr>
        <w:spacing w:line="360" w:lineRule="auto"/>
        <w:jc w:val="both"/>
        <w:rPr>
          <w:rFonts w:ascii="Arial" w:hAnsi="Arial" w:cs="Arial"/>
        </w:rPr>
      </w:pPr>
      <w:r w:rsidRPr="000B1967">
        <w:rPr>
          <w:rFonts w:ascii="Arial" w:hAnsi="Arial" w:cs="Arial"/>
        </w:rPr>
        <w:t xml:space="preserve">INSTRUCTED BY:          </w:t>
      </w:r>
      <w:r w:rsidRPr="000B1967">
        <w:rPr>
          <w:rFonts w:ascii="Arial" w:hAnsi="Arial" w:cs="Arial"/>
        </w:rPr>
        <w:tab/>
        <w:t xml:space="preserve"> The Director of Public Prosecutions </w:t>
      </w:r>
    </w:p>
    <w:p w:rsidR="00A172E9" w:rsidRDefault="00E73717" w:rsidP="00492B8C">
      <w:pPr>
        <w:spacing w:line="360" w:lineRule="auto"/>
        <w:jc w:val="both"/>
        <w:rPr>
          <w:rFonts w:ascii="Arial" w:hAnsi="Arial" w:cs="Arial"/>
        </w:rPr>
      </w:pPr>
      <w:r>
        <w:rPr>
          <w:rFonts w:ascii="Arial" w:hAnsi="Arial" w:cs="Arial"/>
        </w:rPr>
        <w:t xml:space="preserve">                                                 Pietermaritzburg    </w:t>
      </w:r>
    </w:p>
    <w:p w:rsidR="000B38BB" w:rsidRDefault="000B38BB" w:rsidP="00492B8C">
      <w:pPr>
        <w:spacing w:line="360" w:lineRule="auto"/>
        <w:jc w:val="both"/>
        <w:rPr>
          <w:sz w:val="28"/>
          <w:szCs w:val="28"/>
        </w:rPr>
      </w:pPr>
    </w:p>
    <w:p w:rsidR="002F1661" w:rsidRDefault="008D652B" w:rsidP="0066293A">
      <w:pPr>
        <w:jc w:val="both"/>
        <w:rPr>
          <w:sz w:val="28"/>
          <w:szCs w:val="28"/>
        </w:rPr>
      </w:pPr>
      <w:r>
        <w:rPr>
          <w:sz w:val="28"/>
          <w:szCs w:val="28"/>
        </w:rPr>
        <w:t>DATE OF APPEAL</w:t>
      </w:r>
      <w:r w:rsidR="00E73717">
        <w:rPr>
          <w:sz w:val="28"/>
          <w:szCs w:val="28"/>
        </w:rPr>
        <w:t xml:space="preserve">     </w:t>
      </w:r>
      <w:r w:rsidR="00492B8C">
        <w:rPr>
          <w:sz w:val="28"/>
          <w:szCs w:val="28"/>
        </w:rPr>
        <w:t xml:space="preserve">  :</w:t>
      </w:r>
      <w:r>
        <w:rPr>
          <w:sz w:val="28"/>
          <w:szCs w:val="28"/>
        </w:rPr>
        <w:t xml:space="preserve"> 19 AUGUST 2022</w:t>
      </w:r>
    </w:p>
    <w:p w:rsidR="008D652B" w:rsidRPr="002F1661" w:rsidRDefault="008D652B" w:rsidP="0066293A">
      <w:pPr>
        <w:jc w:val="both"/>
        <w:rPr>
          <w:sz w:val="28"/>
          <w:szCs w:val="28"/>
        </w:rPr>
      </w:pPr>
      <w:r>
        <w:rPr>
          <w:sz w:val="28"/>
          <w:szCs w:val="28"/>
        </w:rPr>
        <w:t>DATE OF JUDGMENT: 0</w:t>
      </w:r>
      <w:r w:rsidR="005C487E">
        <w:rPr>
          <w:sz w:val="28"/>
          <w:szCs w:val="28"/>
        </w:rPr>
        <w:t>2</w:t>
      </w:r>
      <w:r>
        <w:rPr>
          <w:sz w:val="28"/>
          <w:szCs w:val="28"/>
        </w:rPr>
        <w:t xml:space="preserve"> SEPTEMBER 2022</w:t>
      </w:r>
    </w:p>
    <w:p w:rsidR="00A868C6" w:rsidRDefault="00A868C6" w:rsidP="0066293A">
      <w:pPr>
        <w:jc w:val="both"/>
        <w:rPr>
          <w:sz w:val="28"/>
          <w:szCs w:val="28"/>
        </w:rPr>
      </w:pPr>
    </w:p>
    <w:p w:rsidR="00EA5AA5" w:rsidRDefault="00EA5AA5" w:rsidP="0066293A">
      <w:pPr>
        <w:jc w:val="both"/>
        <w:rPr>
          <w:sz w:val="28"/>
          <w:szCs w:val="28"/>
        </w:rPr>
      </w:pPr>
    </w:p>
    <w:p w:rsidR="00EA5AA5" w:rsidRPr="00F47D22" w:rsidRDefault="00EA5AA5" w:rsidP="0066293A">
      <w:pPr>
        <w:jc w:val="both"/>
        <w:rPr>
          <w:sz w:val="28"/>
          <w:szCs w:val="28"/>
        </w:rPr>
      </w:pPr>
    </w:p>
    <w:p w:rsidR="00ED5C97" w:rsidRDefault="00ED5C97" w:rsidP="0066293A">
      <w:pPr>
        <w:ind w:left="360"/>
        <w:jc w:val="both"/>
        <w:rPr>
          <w:sz w:val="28"/>
          <w:szCs w:val="28"/>
        </w:rPr>
      </w:pPr>
      <w:r>
        <w:rPr>
          <w:sz w:val="28"/>
          <w:szCs w:val="28"/>
        </w:rPr>
        <w:t xml:space="preserve"> </w:t>
      </w:r>
    </w:p>
    <w:p w:rsidR="00ED5C97" w:rsidRPr="00E973AF" w:rsidRDefault="00ED5C97" w:rsidP="0066293A">
      <w:pPr>
        <w:ind w:left="360"/>
        <w:jc w:val="both"/>
        <w:rPr>
          <w:sz w:val="28"/>
          <w:szCs w:val="28"/>
        </w:rPr>
      </w:pPr>
    </w:p>
    <w:sectPr w:rsidR="00ED5C97" w:rsidRPr="00E973AF" w:rsidSect="0026216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F1" w:rsidRDefault="00B248F1" w:rsidP="00201DB2">
      <w:pPr>
        <w:spacing w:after="0" w:line="240" w:lineRule="auto"/>
      </w:pPr>
      <w:r>
        <w:separator/>
      </w:r>
    </w:p>
  </w:endnote>
  <w:endnote w:type="continuationSeparator" w:id="0">
    <w:p w:rsidR="00B248F1" w:rsidRDefault="00B248F1" w:rsidP="0020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F1" w:rsidRDefault="00B248F1" w:rsidP="00201DB2">
      <w:pPr>
        <w:spacing w:after="0" w:line="240" w:lineRule="auto"/>
      </w:pPr>
      <w:r>
        <w:separator/>
      </w:r>
    </w:p>
  </w:footnote>
  <w:footnote w:type="continuationSeparator" w:id="0">
    <w:p w:rsidR="00B248F1" w:rsidRDefault="00B248F1" w:rsidP="00201DB2">
      <w:pPr>
        <w:spacing w:after="0" w:line="240" w:lineRule="auto"/>
      </w:pPr>
      <w:r>
        <w:continuationSeparator/>
      </w:r>
    </w:p>
  </w:footnote>
  <w:footnote w:id="1">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A4.</w:t>
      </w:r>
    </w:p>
  </w:footnote>
  <w:footnote w:id="2">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4, lines 2-9. </w:t>
      </w:r>
    </w:p>
  </w:footnote>
  <w:footnote w:id="3">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148, lines 7-8. </w:t>
      </w:r>
    </w:p>
  </w:footnote>
  <w:footnote w:id="4">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A33544">
        <w:rPr>
          <w:rFonts w:ascii="Arial" w:hAnsi="Arial" w:cs="Arial"/>
          <w:lang w:val="en-US"/>
        </w:rPr>
        <w:t>Section 309(1)</w:t>
      </w:r>
      <w:r w:rsidRPr="008E7784">
        <w:rPr>
          <w:rFonts w:ascii="Arial" w:hAnsi="Arial" w:cs="Arial"/>
          <w:i/>
          <w:lang w:val="en-US"/>
        </w:rPr>
        <w:t>(a)</w:t>
      </w:r>
      <w:r w:rsidRPr="00A33544">
        <w:rPr>
          <w:rFonts w:ascii="Arial" w:hAnsi="Arial" w:cs="Arial"/>
          <w:lang w:val="en-US"/>
        </w:rPr>
        <w:t xml:space="preserve"> of Act 51 of 1997 provides that upon conviction of an accused by a regional court ‘. . . if that person was sentenced to imprisonment for life by a regional court under section 51 (1) of the Criminal Law Amendment Act, 1997 (Act No. 105 of 1997), he or she may note such an appeal without having to apply for leave in terms of section 309B</w:t>
      </w:r>
      <w:r>
        <w:rPr>
          <w:rFonts w:ascii="Arial" w:hAnsi="Arial" w:cs="Arial"/>
          <w:lang w:val="en-US"/>
        </w:rPr>
        <w:t xml:space="preserve"> .</w:t>
      </w:r>
      <w:r w:rsidRPr="00A33544">
        <w:rPr>
          <w:rFonts w:ascii="Arial" w:hAnsi="Arial" w:cs="Arial"/>
          <w:lang w:val="en-US"/>
        </w:rPr>
        <w:t xml:space="preserve"> . .’</w:t>
      </w:r>
    </w:p>
  </w:footnote>
  <w:footnote w:id="5">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Artman and another</w:t>
      </w:r>
      <w:r w:rsidRPr="00A33544">
        <w:rPr>
          <w:rFonts w:ascii="Arial" w:hAnsi="Arial" w:cs="Arial"/>
        </w:rPr>
        <w:t xml:space="preserve"> 1968 (3) SA 339 (A) at 341. </w:t>
      </w:r>
    </w:p>
  </w:footnote>
  <w:footnote w:id="6">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Ganga</w:t>
      </w:r>
      <w:r w:rsidRPr="00A33544">
        <w:rPr>
          <w:rFonts w:ascii="Arial" w:hAnsi="Arial" w:cs="Arial"/>
        </w:rPr>
        <w:t xml:space="preserve"> 2016 (1) SACR 600 (WCC) paras 27-30, </w:t>
      </w:r>
      <w:r w:rsidRPr="008E7784">
        <w:rPr>
          <w:rFonts w:ascii="Arial" w:hAnsi="Arial" w:cs="Arial"/>
          <w:i/>
        </w:rPr>
        <w:t>S v Heroldt</w:t>
      </w:r>
      <w:r w:rsidRPr="00A33544">
        <w:rPr>
          <w:rFonts w:ascii="Arial" w:hAnsi="Arial" w:cs="Arial"/>
        </w:rPr>
        <w:t xml:space="preserve"> 2018 (2) SACR 69 (KZP); and </w:t>
      </w:r>
      <w:r w:rsidRPr="008E7784">
        <w:rPr>
          <w:rFonts w:ascii="Arial" w:hAnsi="Arial" w:cs="Arial"/>
          <w:i/>
        </w:rPr>
        <w:t>Director</w:t>
      </w:r>
      <w:r w:rsidRPr="00A33544">
        <w:rPr>
          <w:rFonts w:ascii="Arial" w:hAnsi="Arial" w:cs="Arial"/>
          <w:i/>
        </w:rPr>
        <w:t xml:space="preserve"> of</w:t>
      </w:r>
      <w:r w:rsidRPr="008E7784">
        <w:rPr>
          <w:rFonts w:ascii="Arial" w:hAnsi="Arial" w:cs="Arial"/>
          <w:i/>
        </w:rPr>
        <w:t xml:space="preserve"> Public Prosecutions, Western Cape </w:t>
      </w:r>
      <w:r w:rsidR="0092536E">
        <w:rPr>
          <w:rFonts w:ascii="Arial" w:hAnsi="Arial" w:cs="Arial"/>
          <w:i/>
        </w:rPr>
        <w:t>v</w:t>
      </w:r>
      <w:r w:rsidRPr="008E7784">
        <w:rPr>
          <w:rFonts w:ascii="Arial" w:hAnsi="Arial" w:cs="Arial"/>
          <w:i/>
        </w:rPr>
        <w:t xml:space="preserve"> Regional Magistrate</w:t>
      </w:r>
      <w:r w:rsidRPr="00A33544">
        <w:rPr>
          <w:rFonts w:ascii="Arial" w:hAnsi="Arial" w:cs="Arial"/>
          <w:i/>
        </w:rPr>
        <w:t>,</w:t>
      </w:r>
      <w:r w:rsidRPr="008E7784">
        <w:rPr>
          <w:rFonts w:ascii="Arial" w:hAnsi="Arial" w:cs="Arial"/>
          <w:i/>
        </w:rPr>
        <w:t xml:space="preserve"> Wynberg and others</w:t>
      </w:r>
      <w:r w:rsidRPr="00A33544">
        <w:rPr>
          <w:rFonts w:ascii="Arial" w:hAnsi="Arial" w:cs="Arial"/>
        </w:rPr>
        <w:t xml:space="preserve"> 2022 (1) SACR 8 (WCC); [2022] 1 All SA 154 (WCC) para 63. </w:t>
      </w:r>
    </w:p>
  </w:footnote>
  <w:footnote w:id="7">
    <w:p w:rsidR="00132C05" w:rsidRPr="00A33544" w:rsidRDefault="00132C05" w:rsidP="00CF73D1">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23, lines 1-15 and at 150-153. </w:t>
      </w:r>
    </w:p>
  </w:footnote>
  <w:footnote w:id="8">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18 and at 151-152. </w:t>
      </w:r>
    </w:p>
  </w:footnote>
  <w:footnote w:id="9">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SB</w:t>
      </w:r>
      <w:r w:rsidRPr="00A33544">
        <w:rPr>
          <w:rFonts w:ascii="Arial" w:hAnsi="Arial" w:cs="Arial"/>
        </w:rPr>
        <w:t xml:space="preserve"> [2013] ZASCA 115; 2014 (1) SACR 66 (SCA).</w:t>
      </w:r>
    </w:p>
  </w:footnote>
  <w:footnote w:id="10">
    <w:p w:rsidR="00132C05" w:rsidRPr="00A33544" w:rsidRDefault="00132C05" w:rsidP="006B2D3C">
      <w:pPr>
        <w:pStyle w:val="FootnoteText"/>
        <w:jc w:val="both"/>
        <w:rPr>
          <w:rFonts w:ascii="Arial" w:hAnsi="Arial" w:cs="Arial"/>
        </w:rPr>
      </w:pPr>
      <w:r w:rsidRPr="00A33544">
        <w:rPr>
          <w:rStyle w:val="FootnoteReference"/>
          <w:rFonts w:ascii="Arial" w:hAnsi="Arial" w:cs="Arial"/>
        </w:rPr>
        <w:footnoteRef/>
      </w:r>
      <w:r w:rsidRPr="00A33544">
        <w:rPr>
          <w:rFonts w:ascii="Arial" w:hAnsi="Arial" w:cs="Arial"/>
        </w:rPr>
        <w:t xml:space="preserve"> Ibid para 18.</w:t>
      </w:r>
    </w:p>
  </w:footnote>
  <w:footnote w:id="11">
    <w:p w:rsidR="00132C05" w:rsidRPr="00A33544" w:rsidRDefault="00132C05">
      <w:pPr>
        <w:pStyle w:val="FootnoteText"/>
        <w:rPr>
          <w:rFonts w:ascii="Arial" w:hAnsi="Arial" w:cs="Arial"/>
        </w:rPr>
      </w:pPr>
      <w:r w:rsidRPr="00A33544">
        <w:rPr>
          <w:rStyle w:val="FootnoteReference"/>
          <w:rFonts w:ascii="Arial" w:hAnsi="Arial" w:cs="Arial"/>
        </w:rPr>
        <w:footnoteRef/>
      </w:r>
      <w:r w:rsidRPr="00A33544">
        <w:rPr>
          <w:rFonts w:ascii="Arial" w:hAnsi="Arial" w:cs="Arial"/>
        </w:rPr>
        <w:t xml:space="preserve"> Of the CPA.</w:t>
      </w:r>
    </w:p>
  </w:footnote>
  <w:footnote w:id="12">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w:t>
      </w:r>
      <w:r w:rsidR="00610159" w:rsidRPr="00A33544">
        <w:rPr>
          <w:rFonts w:ascii="Arial" w:hAnsi="Arial" w:cs="Arial"/>
        </w:rPr>
        <w:t xml:space="preserve">at </w:t>
      </w:r>
      <w:r w:rsidR="00610159">
        <w:rPr>
          <w:rFonts w:ascii="Arial" w:hAnsi="Arial" w:cs="Arial"/>
        </w:rPr>
        <w:t xml:space="preserve">18 and </w:t>
      </w:r>
      <w:r w:rsidRPr="00A33544">
        <w:rPr>
          <w:rFonts w:ascii="Arial" w:hAnsi="Arial" w:cs="Arial"/>
        </w:rPr>
        <w:t>150-153</w:t>
      </w:r>
      <w:r w:rsidR="00610159">
        <w:rPr>
          <w:rFonts w:ascii="Arial" w:hAnsi="Arial" w:cs="Arial"/>
        </w:rPr>
        <w:t>.</w:t>
      </w:r>
    </w:p>
  </w:footnote>
  <w:footnote w:id="13">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104, lines 1-4. </w:t>
      </w:r>
    </w:p>
  </w:footnote>
  <w:footnote w:id="14">
    <w:p w:rsidR="00132C05" w:rsidRPr="00A33544" w:rsidRDefault="00132C05" w:rsidP="004E73D5">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w:t>
      </w:r>
      <w:r w:rsidR="00610159">
        <w:rPr>
          <w:rFonts w:ascii="Arial" w:hAnsi="Arial" w:cs="Arial"/>
        </w:rPr>
        <w:t>100</w:t>
      </w:r>
      <w:r w:rsidRPr="00A33544">
        <w:rPr>
          <w:rFonts w:ascii="Arial" w:hAnsi="Arial" w:cs="Arial"/>
        </w:rPr>
        <w:t xml:space="preserve">, lines 16-17. </w:t>
      </w:r>
    </w:p>
  </w:footnote>
  <w:footnote w:id="15">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9</w:t>
      </w:r>
      <w:r w:rsidR="00610159">
        <w:rPr>
          <w:rFonts w:ascii="Arial" w:hAnsi="Arial" w:cs="Arial"/>
        </w:rPr>
        <w:t>9</w:t>
      </w:r>
      <w:r w:rsidRPr="00A33544">
        <w:rPr>
          <w:rFonts w:ascii="Arial" w:hAnsi="Arial" w:cs="Arial"/>
        </w:rPr>
        <w:t>, line 2</w:t>
      </w:r>
      <w:r w:rsidR="00610159">
        <w:rPr>
          <w:rFonts w:ascii="Arial" w:hAnsi="Arial" w:cs="Arial"/>
        </w:rPr>
        <w:t>5 and at 100, lines 1-3</w:t>
      </w:r>
      <w:r w:rsidRPr="00A33544">
        <w:rPr>
          <w:rFonts w:ascii="Arial" w:hAnsi="Arial" w:cs="Arial"/>
        </w:rPr>
        <w:t>.</w:t>
      </w:r>
    </w:p>
  </w:footnote>
  <w:footnote w:id="16">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w:t>
      </w:r>
      <w:r w:rsidR="00610159">
        <w:rPr>
          <w:rFonts w:ascii="Arial" w:hAnsi="Arial" w:cs="Arial"/>
        </w:rPr>
        <w:t>106</w:t>
      </w:r>
      <w:r w:rsidRPr="00A33544">
        <w:rPr>
          <w:rFonts w:ascii="Arial" w:hAnsi="Arial" w:cs="Arial"/>
        </w:rPr>
        <w:t>, line</w:t>
      </w:r>
      <w:r w:rsidR="00610159">
        <w:rPr>
          <w:rFonts w:ascii="Arial" w:hAnsi="Arial" w:cs="Arial"/>
        </w:rPr>
        <w:t>s 18-22</w:t>
      </w:r>
      <w:r w:rsidRPr="00A33544">
        <w:rPr>
          <w:rFonts w:ascii="Arial" w:hAnsi="Arial" w:cs="Arial"/>
        </w:rPr>
        <w:t>.</w:t>
      </w:r>
    </w:p>
  </w:footnote>
  <w:footnote w:id="17">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10</w:t>
      </w:r>
      <w:r w:rsidR="00E95503">
        <w:rPr>
          <w:rFonts w:ascii="Arial" w:hAnsi="Arial" w:cs="Arial"/>
        </w:rPr>
        <w:t>5</w:t>
      </w:r>
      <w:r w:rsidRPr="00A33544">
        <w:rPr>
          <w:rFonts w:ascii="Arial" w:hAnsi="Arial" w:cs="Arial"/>
        </w:rPr>
        <w:t xml:space="preserve">, lines </w:t>
      </w:r>
      <w:r w:rsidR="00E95503">
        <w:rPr>
          <w:rFonts w:ascii="Arial" w:hAnsi="Arial" w:cs="Arial"/>
        </w:rPr>
        <w:t>4</w:t>
      </w:r>
      <w:r w:rsidRPr="00A33544">
        <w:rPr>
          <w:rFonts w:ascii="Arial" w:hAnsi="Arial" w:cs="Arial"/>
        </w:rPr>
        <w:t>-</w:t>
      </w:r>
      <w:r w:rsidR="00E95503">
        <w:rPr>
          <w:rFonts w:ascii="Arial" w:hAnsi="Arial" w:cs="Arial"/>
        </w:rPr>
        <w:t>5</w:t>
      </w:r>
      <w:r w:rsidRPr="00A33544">
        <w:rPr>
          <w:rFonts w:ascii="Arial" w:hAnsi="Arial" w:cs="Arial"/>
        </w:rPr>
        <w:t>.</w:t>
      </w:r>
    </w:p>
  </w:footnote>
  <w:footnote w:id="18">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MM</w:t>
      </w:r>
      <w:r w:rsidRPr="00A33544">
        <w:rPr>
          <w:rFonts w:ascii="Arial" w:hAnsi="Arial" w:cs="Arial"/>
        </w:rPr>
        <w:t xml:space="preserve"> [2011] ZASCA 5; 2012 (2) SACR 18 (SCA); [2012] 2 All SA 401 (SCA) para 18. </w:t>
      </w:r>
    </w:p>
  </w:footnote>
  <w:footnote w:id="19">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137, lines 17-22.</w:t>
      </w:r>
    </w:p>
  </w:footnote>
  <w:footnote w:id="20">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Tra</w:t>
      </w:r>
      <w:r w:rsidRPr="00A33544">
        <w:rPr>
          <w:rFonts w:ascii="Arial" w:hAnsi="Arial" w:cs="Arial"/>
          <w:i/>
        </w:rPr>
        <w:t>i</w:t>
      </w:r>
      <w:r w:rsidRPr="008E7784">
        <w:rPr>
          <w:rFonts w:ascii="Arial" w:hAnsi="Arial" w:cs="Arial"/>
          <w:i/>
        </w:rPr>
        <w:t>nor</w:t>
      </w:r>
      <w:r w:rsidRPr="00A33544">
        <w:rPr>
          <w:rFonts w:ascii="Arial" w:hAnsi="Arial" w:cs="Arial"/>
        </w:rPr>
        <w:t xml:space="preserve"> 2003 (1) SACR 35 (SCA) para 8.</w:t>
      </w:r>
    </w:p>
  </w:footnote>
  <w:footnote w:id="21">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Hesl</w:t>
      </w:r>
      <w:r w:rsidRPr="00A33544">
        <w:rPr>
          <w:rFonts w:ascii="Arial" w:hAnsi="Arial" w:cs="Arial"/>
          <w:i/>
        </w:rPr>
        <w:t>o</w:t>
      </w:r>
      <w:r w:rsidRPr="008E7784">
        <w:rPr>
          <w:rFonts w:ascii="Arial" w:hAnsi="Arial" w:cs="Arial"/>
          <w:i/>
        </w:rPr>
        <w:t>p</w:t>
      </w:r>
      <w:r w:rsidRPr="00A33544">
        <w:rPr>
          <w:rFonts w:ascii="Arial" w:hAnsi="Arial" w:cs="Arial"/>
        </w:rPr>
        <w:t xml:space="preserve"> [2006] ZASCA 127; 2007 (4) SA 38 (SCA) para 10; and </w:t>
      </w:r>
      <w:r w:rsidRPr="00A33544">
        <w:rPr>
          <w:rFonts w:ascii="Arial" w:hAnsi="Arial" w:cs="Arial"/>
          <w:i/>
        </w:rPr>
        <w:t xml:space="preserve">Shusha </w:t>
      </w:r>
      <w:r w:rsidRPr="008E7784">
        <w:rPr>
          <w:rFonts w:ascii="Arial" w:hAnsi="Arial" w:cs="Arial"/>
          <w:i/>
        </w:rPr>
        <w:t>v S</w:t>
      </w:r>
      <w:r w:rsidRPr="00A33544">
        <w:rPr>
          <w:rFonts w:ascii="Arial" w:hAnsi="Arial" w:cs="Arial"/>
        </w:rPr>
        <w:t xml:space="preserve"> [2011] ZASCA 171 para 9.</w:t>
      </w:r>
    </w:p>
  </w:footnote>
  <w:footnote w:id="22">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Malgas</w:t>
      </w:r>
      <w:r w:rsidRPr="00A33544">
        <w:rPr>
          <w:rFonts w:ascii="Arial" w:hAnsi="Arial" w:cs="Arial"/>
        </w:rPr>
        <w:t xml:space="preserve"> 2001 (2) SA 1222 (SCA); [2001] 3 All SA 220 (A) para 12, </w:t>
      </w:r>
      <w:r w:rsidRPr="008E7784">
        <w:rPr>
          <w:rFonts w:ascii="Arial" w:hAnsi="Arial" w:cs="Arial"/>
          <w:i/>
        </w:rPr>
        <w:t>S v Bogaards</w:t>
      </w:r>
      <w:r w:rsidRPr="00A33544">
        <w:rPr>
          <w:rFonts w:ascii="Arial" w:hAnsi="Arial" w:cs="Arial"/>
        </w:rPr>
        <w:t xml:space="preserve"> [2012] ZACC 23; 2013 (1) SACR 1 (CC) para 41. </w:t>
      </w:r>
    </w:p>
  </w:footnote>
  <w:footnote w:id="23">
    <w:p w:rsidR="00132C05" w:rsidRPr="00A33544" w:rsidRDefault="00132C05" w:rsidP="001F5636">
      <w:pPr>
        <w:pStyle w:val="FootnoteText"/>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Malgas</w:t>
      </w:r>
      <w:r w:rsidRPr="00A33544">
        <w:rPr>
          <w:rFonts w:ascii="Arial" w:hAnsi="Arial" w:cs="Arial"/>
        </w:rPr>
        <w:t xml:space="preserve"> 2001 (1) SACR 469 (SCA); [2001] 3 All SA 220 (A) para 25, and </w:t>
      </w:r>
      <w:r w:rsidRPr="008E7784">
        <w:rPr>
          <w:rFonts w:ascii="Arial" w:hAnsi="Arial" w:cs="Arial"/>
          <w:i/>
        </w:rPr>
        <w:t>S v Dodo</w:t>
      </w:r>
      <w:r w:rsidRPr="00A33544">
        <w:rPr>
          <w:rFonts w:ascii="Arial" w:hAnsi="Arial" w:cs="Arial"/>
        </w:rPr>
        <w:t xml:space="preserve"> 2001 (3) SA 382 (CC); 2001 (5) BCLR 423 (CC) para 40.</w:t>
      </w:r>
    </w:p>
  </w:footnote>
  <w:footnote w:id="24">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148, lines 4-8.</w:t>
      </w:r>
    </w:p>
  </w:footnote>
  <w:footnote w:id="25">
    <w:p w:rsidR="00132C05" w:rsidRPr="00A33544" w:rsidRDefault="00132C05" w:rsidP="006B2D3C">
      <w:pPr>
        <w:pStyle w:val="FootnoteText"/>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148, lines 3-8.</w:t>
      </w:r>
    </w:p>
  </w:footnote>
  <w:footnote w:id="26">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Record at 147, line 5.</w:t>
      </w:r>
    </w:p>
  </w:footnote>
  <w:footnote w:id="27">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Malgas</w:t>
      </w:r>
      <w:r w:rsidRPr="00A33544">
        <w:rPr>
          <w:rFonts w:ascii="Arial" w:hAnsi="Arial" w:cs="Arial"/>
        </w:rPr>
        <w:t xml:space="preserve"> 2001 (2) SA 1222 (SCA); [2001] 3 All SA 220 (A) para 25.</w:t>
      </w:r>
    </w:p>
  </w:footnote>
  <w:footnote w:id="28">
    <w:p w:rsidR="00132C05" w:rsidRPr="00A33544" w:rsidRDefault="00132C05" w:rsidP="006B2D3C">
      <w:pPr>
        <w:pStyle w:val="FootnoteText"/>
        <w:contextualSpacing/>
        <w:jc w:val="both"/>
        <w:rPr>
          <w:rFonts w:ascii="Arial" w:hAnsi="Arial" w:cs="Arial"/>
        </w:rPr>
      </w:pPr>
      <w:r w:rsidRPr="00A33544">
        <w:rPr>
          <w:rStyle w:val="FootnoteReference"/>
          <w:rFonts w:ascii="Arial" w:hAnsi="Arial" w:cs="Arial"/>
        </w:rPr>
        <w:footnoteRef/>
      </w:r>
      <w:r w:rsidRPr="00A33544">
        <w:rPr>
          <w:rFonts w:ascii="Arial" w:hAnsi="Arial" w:cs="Arial"/>
        </w:rPr>
        <w:t xml:space="preserve"> </w:t>
      </w:r>
      <w:r w:rsidRPr="008E7784">
        <w:rPr>
          <w:rFonts w:ascii="Arial" w:hAnsi="Arial" w:cs="Arial"/>
          <w:i/>
        </w:rPr>
        <w:t>S v Dodo</w:t>
      </w:r>
      <w:r w:rsidRPr="00A33544">
        <w:rPr>
          <w:rFonts w:ascii="Arial" w:hAnsi="Arial" w:cs="Arial"/>
        </w:rPr>
        <w:t xml:space="preserve"> 2001 (3) SA 382 (CC); 2001 (5) BCLR 423 (CC)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00689"/>
      <w:docPartObj>
        <w:docPartGallery w:val="Page Numbers (Top of Page)"/>
        <w:docPartUnique/>
      </w:docPartObj>
    </w:sdtPr>
    <w:sdtEndPr>
      <w:rPr>
        <w:noProof/>
      </w:rPr>
    </w:sdtEndPr>
    <w:sdtContent>
      <w:p w:rsidR="00DB6E6A" w:rsidRDefault="00DB6E6A">
        <w:pPr>
          <w:pStyle w:val="Header"/>
          <w:jc w:val="right"/>
        </w:pPr>
        <w:r>
          <w:fldChar w:fldCharType="begin"/>
        </w:r>
        <w:r>
          <w:instrText xml:space="preserve"> PAGE   \* MERGEFORMAT </w:instrText>
        </w:r>
        <w:r>
          <w:fldChar w:fldCharType="separate"/>
        </w:r>
        <w:r w:rsidR="008E13FA">
          <w:rPr>
            <w:noProof/>
          </w:rPr>
          <w:t>8</w:t>
        </w:r>
        <w:r>
          <w:rPr>
            <w:noProof/>
          </w:rPr>
          <w:fldChar w:fldCharType="end"/>
        </w:r>
      </w:p>
    </w:sdtContent>
  </w:sdt>
  <w:p w:rsidR="00132C05" w:rsidRDefault="00132C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815"/>
    <w:multiLevelType w:val="hybridMultilevel"/>
    <w:tmpl w:val="C20CDA06"/>
    <w:lvl w:ilvl="0" w:tplc="358CB9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F7"/>
    <w:rsid w:val="000001FA"/>
    <w:rsid w:val="00000A84"/>
    <w:rsid w:val="000010E8"/>
    <w:rsid w:val="00007778"/>
    <w:rsid w:val="00007CCA"/>
    <w:rsid w:val="00014F1D"/>
    <w:rsid w:val="00041A68"/>
    <w:rsid w:val="00072023"/>
    <w:rsid w:val="000A7B7B"/>
    <w:rsid w:val="000B38BB"/>
    <w:rsid w:val="000C590D"/>
    <w:rsid w:val="000C6FAA"/>
    <w:rsid w:val="000D01EA"/>
    <w:rsid w:val="00106457"/>
    <w:rsid w:val="001112A5"/>
    <w:rsid w:val="0012311E"/>
    <w:rsid w:val="00132C05"/>
    <w:rsid w:val="001335D1"/>
    <w:rsid w:val="00137C66"/>
    <w:rsid w:val="00177A1D"/>
    <w:rsid w:val="001827E9"/>
    <w:rsid w:val="0018345F"/>
    <w:rsid w:val="00197CB7"/>
    <w:rsid w:val="001A4759"/>
    <w:rsid w:val="001B0F37"/>
    <w:rsid w:val="001E3BDD"/>
    <w:rsid w:val="001E64AB"/>
    <w:rsid w:val="001E69D4"/>
    <w:rsid w:val="001F5636"/>
    <w:rsid w:val="00200AB8"/>
    <w:rsid w:val="00201DB2"/>
    <w:rsid w:val="00220B0C"/>
    <w:rsid w:val="00223BE7"/>
    <w:rsid w:val="00233B8C"/>
    <w:rsid w:val="0026139C"/>
    <w:rsid w:val="0026216B"/>
    <w:rsid w:val="00281116"/>
    <w:rsid w:val="002E1A63"/>
    <w:rsid w:val="002F1661"/>
    <w:rsid w:val="003066C6"/>
    <w:rsid w:val="00321A61"/>
    <w:rsid w:val="00322122"/>
    <w:rsid w:val="00355219"/>
    <w:rsid w:val="00384C6F"/>
    <w:rsid w:val="003A2B5F"/>
    <w:rsid w:val="003B06FD"/>
    <w:rsid w:val="003B5D4C"/>
    <w:rsid w:val="003C113D"/>
    <w:rsid w:val="003D32CD"/>
    <w:rsid w:val="00411586"/>
    <w:rsid w:val="004277C6"/>
    <w:rsid w:val="004336E0"/>
    <w:rsid w:val="004367FC"/>
    <w:rsid w:val="00442884"/>
    <w:rsid w:val="004505BC"/>
    <w:rsid w:val="0048339F"/>
    <w:rsid w:val="0048666A"/>
    <w:rsid w:val="00492B8C"/>
    <w:rsid w:val="004B7E64"/>
    <w:rsid w:val="004C67B4"/>
    <w:rsid w:val="004C747B"/>
    <w:rsid w:val="004D068F"/>
    <w:rsid w:val="004D4B51"/>
    <w:rsid w:val="004E5A8B"/>
    <w:rsid w:val="004E73D5"/>
    <w:rsid w:val="004F79FF"/>
    <w:rsid w:val="00507D87"/>
    <w:rsid w:val="00513497"/>
    <w:rsid w:val="00535651"/>
    <w:rsid w:val="00542685"/>
    <w:rsid w:val="00545A60"/>
    <w:rsid w:val="0055268C"/>
    <w:rsid w:val="00561CF7"/>
    <w:rsid w:val="00565FE2"/>
    <w:rsid w:val="00567EF2"/>
    <w:rsid w:val="005C147C"/>
    <w:rsid w:val="005C487E"/>
    <w:rsid w:val="006052FE"/>
    <w:rsid w:val="00607188"/>
    <w:rsid w:val="00610159"/>
    <w:rsid w:val="00617FEF"/>
    <w:rsid w:val="00622B00"/>
    <w:rsid w:val="006358BC"/>
    <w:rsid w:val="0066293A"/>
    <w:rsid w:val="0068219F"/>
    <w:rsid w:val="006B2D3C"/>
    <w:rsid w:val="006C127F"/>
    <w:rsid w:val="006C2B8E"/>
    <w:rsid w:val="006C6761"/>
    <w:rsid w:val="006E1E56"/>
    <w:rsid w:val="006F7B8B"/>
    <w:rsid w:val="007014C0"/>
    <w:rsid w:val="0070353D"/>
    <w:rsid w:val="007245A5"/>
    <w:rsid w:val="00725DAD"/>
    <w:rsid w:val="00741EA4"/>
    <w:rsid w:val="007477ED"/>
    <w:rsid w:val="00757A12"/>
    <w:rsid w:val="00770968"/>
    <w:rsid w:val="00794F11"/>
    <w:rsid w:val="007A08F4"/>
    <w:rsid w:val="007A6D5B"/>
    <w:rsid w:val="007B03D9"/>
    <w:rsid w:val="007B0733"/>
    <w:rsid w:val="007B3FC3"/>
    <w:rsid w:val="007C6CF7"/>
    <w:rsid w:val="007D5A79"/>
    <w:rsid w:val="007E15FF"/>
    <w:rsid w:val="007E7080"/>
    <w:rsid w:val="007F2CE5"/>
    <w:rsid w:val="007F6BFB"/>
    <w:rsid w:val="008115E8"/>
    <w:rsid w:val="00821742"/>
    <w:rsid w:val="0083667A"/>
    <w:rsid w:val="00836FFE"/>
    <w:rsid w:val="00837A9F"/>
    <w:rsid w:val="00842600"/>
    <w:rsid w:val="0084655C"/>
    <w:rsid w:val="008642C0"/>
    <w:rsid w:val="008A462C"/>
    <w:rsid w:val="008B42D6"/>
    <w:rsid w:val="008B4D54"/>
    <w:rsid w:val="008B4FEB"/>
    <w:rsid w:val="008B7439"/>
    <w:rsid w:val="008B7C6E"/>
    <w:rsid w:val="008D0BCC"/>
    <w:rsid w:val="008D3FA3"/>
    <w:rsid w:val="008D4C1F"/>
    <w:rsid w:val="008D6190"/>
    <w:rsid w:val="008D652B"/>
    <w:rsid w:val="008E0B99"/>
    <w:rsid w:val="008E13FA"/>
    <w:rsid w:val="008E7784"/>
    <w:rsid w:val="009122A3"/>
    <w:rsid w:val="00912B89"/>
    <w:rsid w:val="009246E1"/>
    <w:rsid w:val="0092536E"/>
    <w:rsid w:val="009320FE"/>
    <w:rsid w:val="00942C96"/>
    <w:rsid w:val="00951E8A"/>
    <w:rsid w:val="009529E1"/>
    <w:rsid w:val="0096174D"/>
    <w:rsid w:val="009717E8"/>
    <w:rsid w:val="00972D36"/>
    <w:rsid w:val="0097701E"/>
    <w:rsid w:val="009A18EA"/>
    <w:rsid w:val="009C0811"/>
    <w:rsid w:val="009D203E"/>
    <w:rsid w:val="009D4283"/>
    <w:rsid w:val="009E5C67"/>
    <w:rsid w:val="009E7D70"/>
    <w:rsid w:val="00A03392"/>
    <w:rsid w:val="00A172E9"/>
    <w:rsid w:val="00A26C4B"/>
    <w:rsid w:val="00A33544"/>
    <w:rsid w:val="00A53F88"/>
    <w:rsid w:val="00A70836"/>
    <w:rsid w:val="00A72C16"/>
    <w:rsid w:val="00A868C6"/>
    <w:rsid w:val="00A94B15"/>
    <w:rsid w:val="00AA2803"/>
    <w:rsid w:val="00B07197"/>
    <w:rsid w:val="00B223A2"/>
    <w:rsid w:val="00B248F1"/>
    <w:rsid w:val="00B31893"/>
    <w:rsid w:val="00B53395"/>
    <w:rsid w:val="00B85024"/>
    <w:rsid w:val="00B87C23"/>
    <w:rsid w:val="00BB5270"/>
    <w:rsid w:val="00BD1353"/>
    <w:rsid w:val="00C1111E"/>
    <w:rsid w:val="00C11AED"/>
    <w:rsid w:val="00C14BAA"/>
    <w:rsid w:val="00C150EE"/>
    <w:rsid w:val="00C346EE"/>
    <w:rsid w:val="00C3535B"/>
    <w:rsid w:val="00C36F01"/>
    <w:rsid w:val="00C423DA"/>
    <w:rsid w:val="00C42812"/>
    <w:rsid w:val="00C67587"/>
    <w:rsid w:val="00C72E64"/>
    <w:rsid w:val="00C82D86"/>
    <w:rsid w:val="00C855AD"/>
    <w:rsid w:val="00C9752B"/>
    <w:rsid w:val="00CB19C1"/>
    <w:rsid w:val="00CB3E0B"/>
    <w:rsid w:val="00CD062D"/>
    <w:rsid w:val="00CD3665"/>
    <w:rsid w:val="00CE37D3"/>
    <w:rsid w:val="00CE7E02"/>
    <w:rsid w:val="00CF73D1"/>
    <w:rsid w:val="00D0155E"/>
    <w:rsid w:val="00D07CF1"/>
    <w:rsid w:val="00D16016"/>
    <w:rsid w:val="00D33E69"/>
    <w:rsid w:val="00D418D1"/>
    <w:rsid w:val="00D55BF7"/>
    <w:rsid w:val="00D671CB"/>
    <w:rsid w:val="00D73556"/>
    <w:rsid w:val="00D81169"/>
    <w:rsid w:val="00D87358"/>
    <w:rsid w:val="00DB6E6A"/>
    <w:rsid w:val="00DC466A"/>
    <w:rsid w:val="00DE4123"/>
    <w:rsid w:val="00DF41F0"/>
    <w:rsid w:val="00E00A43"/>
    <w:rsid w:val="00E033E0"/>
    <w:rsid w:val="00E22755"/>
    <w:rsid w:val="00E27F8B"/>
    <w:rsid w:val="00E32B92"/>
    <w:rsid w:val="00E36718"/>
    <w:rsid w:val="00E40F05"/>
    <w:rsid w:val="00E45DCA"/>
    <w:rsid w:val="00E47249"/>
    <w:rsid w:val="00E67757"/>
    <w:rsid w:val="00E73717"/>
    <w:rsid w:val="00E76829"/>
    <w:rsid w:val="00E83DEB"/>
    <w:rsid w:val="00E922A3"/>
    <w:rsid w:val="00E95503"/>
    <w:rsid w:val="00E973AF"/>
    <w:rsid w:val="00EA5AA5"/>
    <w:rsid w:val="00EA68E2"/>
    <w:rsid w:val="00EC4AF2"/>
    <w:rsid w:val="00ED11D7"/>
    <w:rsid w:val="00ED3381"/>
    <w:rsid w:val="00ED5C97"/>
    <w:rsid w:val="00EF1B8E"/>
    <w:rsid w:val="00EF6356"/>
    <w:rsid w:val="00F00548"/>
    <w:rsid w:val="00F03B59"/>
    <w:rsid w:val="00F07A42"/>
    <w:rsid w:val="00F40814"/>
    <w:rsid w:val="00F423B5"/>
    <w:rsid w:val="00F47D22"/>
    <w:rsid w:val="00F50F56"/>
    <w:rsid w:val="00F82211"/>
    <w:rsid w:val="00FB04EA"/>
    <w:rsid w:val="00FD167B"/>
    <w:rsid w:val="00FD3609"/>
    <w:rsid w:val="00FD78D7"/>
    <w:rsid w:val="00FE0276"/>
    <w:rsid w:val="00FE24FF"/>
    <w:rsid w:val="00FE35EA"/>
    <w:rsid w:val="00FF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579A-7329-48DA-BA26-5683ACD0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0D"/>
    <w:pPr>
      <w:ind w:left="720"/>
      <w:contextualSpacing/>
    </w:pPr>
  </w:style>
  <w:style w:type="paragraph" w:styleId="FootnoteText">
    <w:name w:val="footnote text"/>
    <w:basedOn w:val="Normal"/>
    <w:link w:val="FootnoteTextChar"/>
    <w:uiPriority w:val="99"/>
    <w:semiHidden/>
    <w:unhideWhenUsed/>
    <w:rsid w:val="00201D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DB2"/>
    <w:rPr>
      <w:sz w:val="20"/>
      <w:szCs w:val="20"/>
    </w:rPr>
  </w:style>
  <w:style w:type="character" w:styleId="FootnoteReference">
    <w:name w:val="footnote reference"/>
    <w:basedOn w:val="DefaultParagraphFont"/>
    <w:uiPriority w:val="99"/>
    <w:semiHidden/>
    <w:unhideWhenUsed/>
    <w:rsid w:val="00201DB2"/>
    <w:rPr>
      <w:vertAlign w:val="superscript"/>
    </w:rPr>
  </w:style>
  <w:style w:type="paragraph" w:styleId="BalloonText">
    <w:name w:val="Balloon Text"/>
    <w:basedOn w:val="Normal"/>
    <w:link w:val="BalloonTextChar"/>
    <w:uiPriority w:val="99"/>
    <w:semiHidden/>
    <w:unhideWhenUsed/>
    <w:rsid w:val="0026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6B"/>
    <w:rPr>
      <w:rFonts w:ascii="Segoe UI" w:hAnsi="Segoe UI" w:cs="Segoe UI"/>
      <w:sz w:val="18"/>
      <w:szCs w:val="18"/>
    </w:rPr>
  </w:style>
  <w:style w:type="paragraph" w:styleId="Header">
    <w:name w:val="header"/>
    <w:basedOn w:val="Normal"/>
    <w:link w:val="HeaderChar"/>
    <w:uiPriority w:val="99"/>
    <w:unhideWhenUsed/>
    <w:rsid w:val="0026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16B"/>
  </w:style>
  <w:style w:type="paragraph" w:styleId="Footer">
    <w:name w:val="footer"/>
    <w:basedOn w:val="Normal"/>
    <w:link w:val="FooterChar"/>
    <w:uiPriority w:val="99"/>
    <w:unhideWhenUsed/>
    <w:rsid w:val="0026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16B"/>
  </w:style>
  <w:style w:type="character" w:styleId="CommentReference">
    <w:name w:val="annotation reference"/>
    <w:basedOn w:val="DefaultParagraphFont"/>
    <w:uiPriority w:val="99"/>
    <w:semiHidden/>
    <w:unhideWhenUsed/>
    <w:rsid w:val="00770968"/>
    <w:rPr>
      <w:sz w:val="16"/>
      <w:szCs w:val="16"/>
    </w:rPr>
  </w:style>
  <w:style w:type="paragraph" w:styleId="CommentText">
    <w:name w:val="annotation text"/>
    <w:basedOn w:val="Normal"/>
    <w:link w:val="CommentTextChar"/>
    <w:uiPriority w:val="99"/>
    <w:semiHidden/>
    <w:unhideWhenUsed/>
    <w:rsid w:val="00770968"/>
    <w:pPr>
      <w:spacing w:line="240" w:lineRule="auto"/>
    </w:pPr>
    <w:rPr>
      <w:sz w:val="20"/>
      <w:szCs w:val="20"/>
    </w:rPr>
  </w:style>
  <w:style w:type="character" w:customStyle="1" w:styleId="CommentTextChar">
    <w:name w:val="Comment Text Char"/>
    <w:basedOn w:val="DefaultParagraphFont"/>
    <w:link w:val="CommentText"/>
    <w:uiPriority w:val="99"/>
    <w:semiHidden/>
    <w:rsid w:val="00770968"/>
    <w:rPr>
      <w:sz w:val="20"/>
      <w:szCs w:val="20"/>
    </w:rPr>
  </w:style>
  <w:style w:type="paragraph" w:styleId="CommentSubject">
    <w:name w:val="annotation subject"/>
    <w:basedOn w:val="CommentText"/>
    <w:next w:val="CommentText"/>
    <w:link w:val="CommentSubjectChar"/>
    <w:uiPriority w:val="99"/>
    <w:semiHidden/>
    <w:unhideWhenUsed/>
    <w:rsid w:val="00770968"/>
    <w:rPr>
      <w:b/>
      <w:bCs/>
    </w:rPr>
  </w:style>
  <w:style w:type="character" w:customStyle="1" w:styleId="CommentSubjectChar">
    <w:name w:val="Comment Subject Char"/>
    <w:basedOn w:val="CommentTextChar"/>
    <w:link w:val="CommentSubject"/>
    <w:uiPriority w:val="99"/>
    <w:semiHidden/>
    <w:rsid w:val="00770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0DB5-C62D-4DD3-AFDE-1BD31D1F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Siphesihle Mabaso</dc:creator>
  <cp:keywords/>
  <dc:description/>
  <cp:lastModifiedBy>Khallil Irfaan</cp:lastModifiedBy>
  <cp:revision>13</cp:revision>
  <cp:lastPrinted>2022-08-31T12:43:00Z</cp:lastPrinted>
  <dcterms:created xsi:type="dcterms:W3CDTF">2022-08-31T12:18:00Z</dcterms:created>
  <dcterms:modified xsi:type="dcterms:W3CDTF">2022-08-31T12:55:00Z</dcterms:modified>
</cp:coreProperties>
</file>