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4FD4" w14:textId="06744A66" w:rsidR="00182054" w:rsidRPr="00B66DD6" w:rsidRDefault="00182054" w:rsidP="00BB515B">
      <w:pPr>
        <w:spacing w:line="360" w:lineRule="auto"/>
        <w:jc w:val="center"/>
      </w:pPr>
      <w:r w:rsidRPr="00B66DD6">
        <w:rPr>
          <w:noProof/>
          <w:lang w:val="en-GB" w:eastAsia="en-GB"/>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36CD9B44" w14:textId="77777777" w:rsidR="00093030" w:rsidRPr="00B66DD6" w:rsidRDefault="00093030" w:rsidP="00BB515B">
      <w:pPr>
        <w:spacing w:line="360" w:lineRule="auto"/>
        <w:rPr>
          <w:b/>
          <w:bCs/>
        </w:rPr>
      </w:pPr>
    </w:p>
    <w:p w14:paraId="08CA4D55" w14:textId="632BE1FD" w:rsidR="00093030" w:rsidRPr="00B66DD6" w:rsidRDefault="0091589E" w:rsidP="00BB515B">
      <w:pPr>
        <w:spacing w:line="360" w:lineRule="auto"/>
        <w:jc w:val="center"/>
        <w:rPr>
          <w:b/>
          <w:bCs/>
        </w:rPr>
      </w:pPr>
      <w:r w:rsidRPr="00B66DD6">
        <w:rPr>
          <w:b/>
          <w:bCs/>
        </w:rPr>
        <w:t xml:space="preserve">IN THE HIGH COURT </w:t>
      </w:r>
      <w:r w:rsidR="00093030" w:rsidRPr="00B66DD6">
        <w:rPr>
          <w:b/>
          <w:bCs/>
        </w:rPr>
        <w:t>OF SOUTH AFRICA</w:t>
      </w:r>
    </w:p>
    <w:p w14:paraId="0A8302C5" w14:textId="48A4533F" w:rsidR="001C260A" w:rsidRPr="00592DFD" w:rsidRDefault="0091589E" w:rsidP="00BB515B">
      <w:pPr>
        <w:spacing w:line="360" w:lineRule="auto"/>
        <w:jc w:val="center"/>
        <w:rPr>
          <w:b/>
          <w:bCs/>
        </w:rPr>
      </w:pPr>
      <w:r w:rsidRPr="00B66DD6">
        <w:rPr>
          <w:b/>
          <w:bCs/>
        </w:rPr>
        <w:t>KWAZULU-NATAL DIVISION, PIETERMARITZBURG</w:t>
      </w:r>
    </w:p>
    <w:p w14:paraId="12912D52" w14:textId="77777777" w:rsidR="00FE50B1" w:rsidRPr="00B66DD6" w:rsidRDefault="00FE50B1" w:rsidP="00BB515B">
      <w:pPr>
        <w:spacing w:line="360" w:lineRule="auto"/>
        <w:rPr>
          <w:szCs w:val="24"/>
        </w:rPr>
      </w:pPr>
    </w:p>
    <w:p w14:paraId="66846506" w14:textId="77777777" w:rsidR="00FE50B1" w:rsidRPr="00B66DD6" w:rsidRDefault="00FE50B1" w:rsidP="00BB515B">
      <w:pPr>
        <w:spacing w:line="360" w:lineRule="auto"/>
        <w:ind w:left="4254" w:firstLine="2409"/>
        <w:jc w:val="center"/>
        <w:rPr>
          <w:b/>
          <w:szCs w:val="24"/>
        </w:rPr>
      </w:pPr>
      <w:r w:rsidRPr="00B66DD6">
        <w:rPr>
          <w:b/>
          <w:szCs w:val="24"/>
        </w:rPr>
        <w:t xml:space="preserve">CASE NO:  </w:t>
      </w:r>
      <w:bookmarkStart w:id="0" w:name="_MailEndCompose"/>
      <w:r w:rsidRPr="00B66DD6">
        <w:rPr>
          <w:b/>
          <w:szCs w:val="24"/>
        </w:rPr>
        <w:t>AR 32/22</w:t>
      </w:r>
    </w:p>
    <w:p w14:paraId="002486E7" w14:textId="77777777" w:rsidR="00FE50B1" w:rsidRPr="00B66DD6" w:rsidRDefault="00FE50B1" w:rsidP="00BB515B">
      <w:pPr>
        <w:spacing w:line="360" w:lineRule="auto"/>
        <w:ind w:left="4254" w:firstLine="1133"/>
        <w:jc w:val="center"/>
        <w:rPr>
          <w:szCs w:val="24"/>
        </w:rPr>
      </w:pPr>
      <w:r w:rsidRPr="00B66DD6">
        <w:rPr>
          <w:color w:val="000000" w:themeColor="text1"/>
        </w:rPr>
        <w:t xml:space="preserve">Court </w:t>
      </w:r>
      <w:r w:rsidRPr="00B66DD6">
        <w:rPr>
          <w:i/>
          <w:color w:val="000000" w:themeColor="text1"/>
        </w:rPr>
        <w:t xml:space="preserve">a quo </w:t>
      </w:r>
      <w:r w:rsidRPr="00B66DD6">
        <w:rPr>
          <w:color w:val="000000" w:themeColor="text1"/>
        </w:rPr>
        <w:t>Case No.: 2082/21P</w:t>
      </w:r>
      <w:bookmarkEnd w:id="0"/>
    </w:p>
    <w:p w14:paraId="1457F8BA" w14:textId="77777777" w:rsidR="00FE50B1" w:rsidRPr="00B66DD6" w:rsidRDefault="00FE50B1" w:rsidP="00BB515B">
      <w:pPr>
        <w:spacing w:line="360" w:lineRule="auto"/>
        <w:rPr>
          <w:szCs w:val="24"/>
        </w:rPr>
      </w:pPr>
      <w:r w:rsidRPr="00B66DD6">
        <w:rPr>
          <w:szCs w:val="24"/>
        </w:rPr>
        <w:t>In the matter between:</w:t>
      </w:r>
    </w:p>
    <w:p w14:paraId="0DEDC2E1" w14:textId="77777777" w:rsidR="00FE50B1" w:rsidRPr="00B66DD6" w:rsidRDefault="00FE50B1" w:rsidP="00BB515B">
      <w:pPr>
        <w:suppressAutoHyphens/>
        <w:spacing w:line="360" w:lineRule="auto"/>
        <w:rPr>
          <w:spacing w:val="-3"/>
          <w:szCs w:val="24"/>
          <w:lang w:val="en-GB"/>
        </w:rPr>
      </w:pPr>
    </w:p>
    <w:p w14:paraId="7559E245" w14:textId="2C7DEF80" w:rsidR="00FE50B1" w:rsidRPr="00B66DD6" w:rsidRDefault="00FE50B1" w:rsidP="00BB515B">
      <w:pPr>
        <w:suppressAutoHyphens/>
        <w:spacing w:line="360" w:lineRule="auto"/>
        <w:rPr>
          <w:b/>
          <w:spacing w:val="-3"/>
          <w:szCs w:val="24"/>
          <w:lang w:val="en-GB"/>
        </w:rPr>
      </w:pPr>
      <w:r w:rsidRPr="00B66DD6">
        <w:rPr>
          <w:b/>
          <w:spacing w:val="-3"/>
          <w:szCs w:val="24"/>
          <w:lang w:val="en-GB"/>
        </w:rPr>
        <w:t>SKEMA HOLDINGS PROPRIETARY LIMITED</w:t>
      </w:r>
      <w:r w:rsidRPr="00B66DD6">
        <w:rPr>
          <w:b/>
          <w:spacing w:val="-3"/>
          <w:szCs w:val="24"/>
          <w:lang w:val="en-GB"/>
        </w:rPr>
        <w:tab/>
      </w:r>
      <w:r w:rsidR="00596B05">
        <w:rPr>
          <w:b/>
          <w:spacing w:val="-3"/>
          <w:szCs w:val="24"/>
          <w:lang w:val="en-GB"/>
        </w:rPr>
        <w:tab/>
      </w:r>
      <w:r w:rsidR="00E81A24" w:rsidRPr="00B66DD6">
        <w:rPr>
          <w:b/>
          <w:spacing w:val="-3"/>
          <w:szCs w:val="24"/>
          <w:lang w:val="en-GB"/>
        </w:rPr>
        <w:t>FIRST</w:t>
      </w:r>
      <w:r w:rsidRPr="00B66DD6">
        <w:rPr>
          <w:b/>
          <w:spacing w:val="-3"/>
          <w:szCs w:val="24"/>
          <w:lang w:val="en-GB"/>
        </w:rPr>
        <w:t xml:space="preserve"> APPELLANT</w:t>
      </w:r>
    </w:p>
    <w:p w14:paraId="066063F2" w14:textId="4B424775" w:rsidR="00FE50B1" w:rsidRPr="00596B05" w:rsidRDefault="00FE50B1" w:rsidP="00BB515B">
      <w:pPr>
        <w:suppressAutoHyphens/>
        <w:spacing w:line="360" w:lineRule="auto"/>
        <w:rPr>
          <w:b/>
          <w:spacing w:val="-3"/>
          <w:szCs w:val="24"/>
          <w:lang w:val="en-GB"/>
        </w:rPr>
      </w:pPr>
      <w:r w:rsidRPr="00B66DD6">
        <w:rPr>
          <w:b/>
          <w:spacing w:val="-3"/>
          <w:szCs w:val="24"/>
          <w:lang w:val="en-GB"/>
        </w:rPr>
        <w:t>(REG. NO. 1990/006817/07)</w:t>
      </w:r>
      <w:r w:rsidRPr="00B66DD6">
        <w:rPr>
          <w:b/>
          <w:spacing w:val="-3"/>
          <w:szCs w:val="24"/>
          <w:lang w:val="en-GB"/>
        </w:rPr>
        <w:tab/>
      </w:r>
      <w:r w:rsidR="00596B05">
        <w:rPr>
          <w:b/>
          <w:spacing w:val="-3"/>
          <w:szCs w:val="24"/>
          <w:lang w:val="en-GB"/>
        </w:rPr>
        <w:tab/>
      </w:r>
      <w:r w:rsidR="00596B05">
        <w:rPr>
          <w:b/>
          <w:spacing w:val="-3"/>
          <w:szCs w:val="24"/>
          <w:lang w:val="en-GB"/>
        </w:rPr>
        <w:tab/>
      </w:r>
      <w:r w:rsidR="00596B05">
        <w:rPr>
          <w:b/>
          <w:spacing w:val="-3"/>
          <w:szCs w:val="24"/>
          <w:lang w:val="en-GB"/>
        </w:rPr>
        <w:tab/>
      </w:r>
      <w:r w:rsidRPr="00B66DD6">
        <w:rPr>
          <w:spacing w:val="-3"/>
          <w:szCs w:val="24"/>
          <w:lang w:val="en-GB"/>
        </w:rPr>
        <w:t>(</w:t>
      </w:r>
      <w:r w:rsidR="00E81A24" w:rsidRPr="00B66DD6">
        <w:rPr>
          <w:spacing w:val="-3"/>
          <w:szCs w:val="24"/>
          <w:lang w:val="en-GB"/>
        </w:rPr>
        <w:t>First</w:t>
      </w:r>
      <w:r w:rsidR="0030639A">
        <w:rPr>
          <w:spacing w:val="-3"/>
          <w:szCs w:val="24"/>
          <w:lang w:val="en-GB"/>
        </w:rPr>
        <w:t xml:space="preserve"> respondent in c</w:t>
      </w:r>
      <w:r w:rsidRPr="00B66DD6">
        <w:rPr>
          <w:spacing w:val="-3"/>
          <w:szCs w:val="24"/>
          <w:lang w:val="en-GB"/>
        </w:rPr>
        <w:t xml:space="preserve">ourt </w:t>
      </w:r>
      <w:r w:rsidRPr="00B66DD6">
        <w:rPr>
          <w:i/>
          <w:spacing w:val="-3"/>
          <w:szCs w:val="24"/>
          <w:lang w:val="en-GB"/>
        </w:rPr>
        <w:t>a quo</w:t>
      </w:r>
      <w:r w:rsidRPr="00B66DD6">
        <w:rPr>
          <w:spacing w:val="-3"/>
          <w:szCs w:val="24"/>
          <w:lang w:val="en-GB"/>
        </w:rPr>
        <w:t>)</w:t>
      </w:r>
    </w:p>
    <w:p w14:paraId="12BD2F1A" w14:textId="440B7885" w:rsidR="00FE50B1" w:rsidRPr="00596B05" w:rsidRDefault="00FE50B1" w:rsidP="00BB515B">
      <w:pPr>
        <w:suppressAutoHyphens/>
        <w:spacing w:line="360" w:lineRule="auto"/>
        <w:rPr>
          <w:b/>
          <w:spacing w:val="-3"/>
          <w:szCs w:val="24"/>
          <w:lang w:val="en-GB"/>
        </w:rPr>
      </w:pPr>
      <w:r w:rsidRPr="00B66DD6">
        <w:rPr>
          <w:b/>
          <w:spacing w:val="-3"/>
          <w:szCs w:val="24"/>
          <w:lang w:val="en-GB"/>
        </w:rPr>
        <w:t>FRIEDRICH WILHELM GERHARD WŐRNER</w:t>
      </w:r>
      <w:r w:rsidRPr="00B66DD6">
        <w:rPr>
          <w:b/>
          <w:spacing w:val="-3"/>
          <w:szCs w:val="24"/>
          <w:lang w:val="en-GB"/>
        </w:rPr>
        <w:tab/>
      </w:r>
      <w:r w:rsidR="00596B05">
        <w:rPr>
          <w:b/>
          <w:spacing w:val="-3"/>
          <w:szCs w:val="24"/>
          <w:lang w:val="en-GB"/>
        </w:rPr>
        <w:tab/>
      </w:r>
      <w:r w:rsidRPr="00B66DD6">
        <w:rPr>
          <w:b/>
          <w:spacing w:val="-3"/>
          <w:szCs w:val="24"/>
          <w:lang w:val="en-GB"/>
        </w:rPr>
        <w:t>SECOND APPELLANT</w:t>
      </w:r>
      <w:r w:rsidRPr="00B66DD6">
        <w:rPr>
          <w:b/>
          <w:spacing w:val="-3"/>
          <w:szCs w:val="24"/>
          <w:lang w:val="en-GB"/>
        </w:rPr>
        <w:tab/>
      </w:r>
      <w:r w:rsidRPr="00B66DD6">
        <w:rPr>
          <w:b/>
          <w:spacing w:val="-3"/>
          <w:szCs w:val="24"/>
          <w:lang w:val="en-GB"/>
        </w:rPr>
        <w:tab/>
      </w:r>
      <w:r w:rsidR="00596B05">
        <w:rPr>
          <w:b/>
          <w:spacing w:val="-3"/>
          <w:szCs w:val="24"/>
          <w:lang w:val="en-GB"/>
        </w:rPr>
        <w:tab/>
      </w:r>
      <w:r w:rsidR="00596B05">
        <w:rPr>
          <w:b/>
          <w:spacing w:val="-3"/>
          <w:szCs w:val="24"/>
          <w:lang w:val="en-GB"/>
        </w:rPr>
        <w:tab/>
      </w:r>
      <w:r w:rsidR="00596B05">
        <w:rPr>
          <w:b/>
          <w:spacing w:val="-3"/>
          <w:szCs w:val="24"/>
          <w:lang w:val="en-GB"/>
        </w:rPr>
        <w:tab/>
      </w:r>
      <w:r w:rsidR="00596B05">
        <w:rPr>
          <w:b/>
          <w:spacing w:val="-3"/>
          <w:szCs w:val="24"/>
          <w:lang w:val="en-GB"/>
        </w:rPr>
        <w:tab/>
      </w:r>
      <w:r w:rsidR="00596B05">
        <w:rPr>
          <w:b/>
          <w:spacing w:val="-3"/>
          <w:szCs w:val="24"/>
          <w:lang w:val="en-GB"/>
        </w:rPr>
        <w:tab/>
      </w:r>
      <w:r w:rsidR="00596B05">
        <w:rPr>
          <w:b/>
          <w:spacing w:val="-3"/>
          <w:szCs w:val="24"/>
          <w:lang w:val="en-GB"/>
        </w:rPr>
        <w:tab/>
      </w:r>
      <w:r w:rsidR="00596B05">
        <w:rPr>
          <w:b/>
          <w:spacing w:val="-3"/>
          <w:szCs w:val="24"/>
          <w:lang w:val="en-GB"/>
        </w:rPr>
        <w:tab/>
        <w:t xml:space="preserve">          </w:t>
      </w:r>
      <w:r w:rsidR="0030639A">
        <w:rPr>
          <w:spacing w:val="-3"/>
          <w:szCs w:val="24"/>
          <w:lang w:val="en-GB"/>
        </w:rPr>
        <w:t>(Second respondent in c</w:t>
      </w:r>
      <w:r w:rsidRPr="00B66DD6">
        <w:rPr>
          <w:spacing w:val="-3"/>
          <w:szCs w:val="24"/>
          <w:lang w:val="en-GB"/>
        </w:rPr>
        <w:t xml:space="preserve">ourt </w:t>
      </w:r>
      <w:r w:rsidRPr="00B66DD6">
        <w:rPr>
          <w:i/>
          <w:spacing w:val="-3"/>
          <w:szCs w:val="24"/>
          <w:lang w:val="en-GB"/>
        </w:rPr>
        <w:t>a quo)</w:t>
      </w:r>
    </w:p>
    <w:p w14:paraId="5AE48451" w14:textId="42590C72" w:rsidR="00FE50B1" w:rsidRPr="00B66DD6" w:rsidRDefault="00FE50B1" w:rsidP="00BB515B">
      <w:pPr>
        <w:suppressAutoHyphens/>
        <w:spacing w:line="360" w:lineRule="auto"/>
        <w:rPr>
          <w:spacing w:val="-3"/>
          <w:szCs w:val="24"/>
          <w:lang w:val="en-GB"/>
        </w:rPr>
      </w:pPr>
      <w:proofErr w:type="gramStart"/>
      <w:r w:rsidRPr="00B66DD6">
        <w:rPr>
          <w:spacing w:val="-3"/>
          <w:szCs w:val="24"/>
          <w:lang w:val="en-GB"/>
        </w:rPr>
        <w:t>and</w:t>
      </w:r>
      <w:proofErr w:type="gramEnd"/>
    </w:p>
    <w:p w14:paraId="0BB508A5" w14:textId="59D7B3B1" w:rsidR="00FE50B1" w:rsidRPr="00B66DD6" w:rsidRDefault="00FE50B1" w:rsidP="00BB515B">
      <w:pPr>
        <w:suppressAutoHyphens/>
        <w:spacing w:line="360" w:lineRule="auto"/>
        <w:rPr>
          <w:b/>
          <w:spacing w:val="-3"/>
          <w:szCs w:val="24"/>
          <w:lang w:val="en-GB"/>
        </w:rPr>
      </w:pPr>
      <w:r w:rsidRPr="00B66DD6">
        <w:rPr>
          <w:b/>
          <w:spacing w:val="-3"/>
          <w:szCs w:val="24"/>
          <w:lang w:val="en-GB"/>
        </w:rPr>
        <w:t>ROBERT FELLNER-FELDEGG</w:t>
      </w:r>
      <w:r w:rsidRPr="00B66DD6">
        <w:rPr>
          <w:b/>
          <w:spacing w:val="-3"/>
          <w:szCs w:val="24"/>
          <w:lang w:val="en-GB"/>
        </w:rPr>
        <w:tab/>
      </w:r>
      <w:r w:rsidR="00596B05">
        <w:rPr>
          <w:b/>
          <w:spacing w:val="-3"/>
          <w:szCs w:val="24"/>
          <w:lang w:val="en-GB"/>
        </w:rPr>
        <w:tab/>
      </w:r>
      <w:r w:rsidR="00596B05">
        <w:rPr>
          <w:b/>
          <w:spacing w:val="-3"/>
          <w:szCs w:val="24"/>
          <w:lang w:val="en-GB"/>
        </w:rPr>
        <w:tab/>
      </w:r>
      <w:r w:rsidR="00596B05">
        <w:rPr>
          <w:b/>
          <w:spacing w:val="-3"/>
          <w:szCs w:val="24"/>
          <w:lang w:val="en-GB"/>
        </w:rPr>
        <w:tab/>
      </w:r>
      <w:r w:rsidRPr="00B66DD6">
        <w:rPr>
          <w:b/>
          <w:spacing w:val="-3"/>
          <w:szCs w:val="24"/>
          <w:lang w:val="en-GB"/>
        </w:rPr>
        <w:t>RESPONDENT</w:t>
      </w:r>
    </w:p>
    <w:p w14:paraId="3B196707" w14:textId="3C1CD837" w:rsidR="00FE50B1" w:rsidRPr="00B66DD6" w:rsidRDefault="00FE50B1" w:rsidP="00BB515B">
      <w:pPr>
        <w:suppressAutoHyphens/>
        <w:spacing w:line="360" w:lineRule="auto"/>
        <w:jc w:val="center"/>
        <w:rPr>
          <w:spacing w:val="-3"/>
          <w:szCs w:val="24"/>
          <w:lang w:val="en-GB"/>
        </w:rPr>
      </w:pPr>
      <w:r w:rsidRPr="00B66DD6">
        <w:rPr>
          <w:spacing w:val="-3"/>
          <w:szCs w:val="24"/>
          <w:lang w:val="en-GB"/>
        </w:rPr>
        <w:tab/>
      </w:r>
      <w:r w:rsidR="00596B05">
        <w:rPr>
          <w:spacing w:val="-3"/>
          <w:szCs w:val="24"/>
          <w:lang w:val="en-GB"/>
        </w:rPr>
        <w:tab/>
      </w:r>
      <w:r w:rsidR="00596B05">
        <w:rPr>
          <w:spacing w:val="-3"/>
          <w:szCs w:val="24"/>
          <w:lang w:val="en-GB"/>
        </w:rPr>
        <w:tab/>
      </w:r>
      <w:r w:rsidR="00596B05">
        <w:rPr>
          <w:spacing w:val="-3"/>
          <w:szCs w:val="24"/>
          <w:lang w:val="en-GB"/>
        </w:rPr>
        <w:tab/>
      </w:r>
      <w:r w:rsidR="00596B05">
        <w:rPr>
          <w:spacing w:val="-3"/>
          <w:szCs w:val="24"/>
          <w:lang w:val="en-GB"/>
        </w:rPr>
        <w:tab/>
      </w:r>
      <w:r w:rsidR="00596B05">
        <w:rPr>
          <w:spacing w:val="-3"/>
          <w:szCs w:val="24"/>
          <w:lang w:val="en-GB"/>
        </w:rPr>
        <w:tab/>
      </w:r>
      <w:r w:rsidR="00596B05">
        <w:rPr>
          <w:spacing w:val="-3"/>
          <w:szCs w:val="24"/>
          <w:lang w:val="en-GB"/>
        </w:rPr>
        <w:tab/>
      </w:r>
      <w:r w:rsidR="0030639A">
        <w:rPr>
          <w:spacing w:val="-3"/>
          <w:szCs w:val="24"/>
          <w:lang w:val="en-GB"/>
        </w:rPr>
        <w:t>(Applicant in the c</w:t>
      </w:r>
      <w:r w:rsidRPr="00B66DD6">
        <w:rPr>
          <w:spacing w:val="-3"/>
          <w:szCs w:val="24"/>
          <w:lang w:val="en-GB"/>
        </w:rPr>
        <w:t xml:space="preserve">ourt </w:t>
      </w:r>
      <w:r w:rsidRPr="00B66DD6">
        <w:rPr>
          <w:i/>
          <w:spacing w:val="-3"/>
          <w:szCs w:val="24"/>
          <w:lang w:val="en-GB"/>
        </w:rPr>
        <w:t>a quo)</w:t>
      </w:r>
    </w:p>
    <w:p w14:paraId="2D2CD405" w14:textId="77777777" w:rsidR="000B1C0E" w:rsidRPr="00B66DD6" w:rsidRDefault="000B1C0E" w:rsidP="00BB515B">
      <w:pPr>
        <w:pBdr>
          <w:bottom w:val="single" w:sz="12" w:space="1" w:color="auto"/>
        </w:pBdr>
        <w:spacing w:line="360" w:lineRule="auto"/>
        <w:rPr>
          <w:b/>
          <w:bCs/>
        </w:rPr>
      </w:pPr>
    </w:p>
    <w:p w14:paraId="2749A9A7" w14:textId="30C0A8CF" w:rsidR="00510A3B" w:rsidRPr="00B66DD6" w:rsidRDefault="000B1C0E" w:rsidP="00BB515B">
      <w:pPr>
        <w:spacing w:line="360" w:lineRule="auto"/>
        <w:rPr>
          <w:b/>
          <w:bCs/>
        </w:rPr>
      </w:pPr>
      <w:r w:rsidRPr="00B66DD6">
        <w:rPr>
          <w:b/>
          <w:bCs/>
        </w:rPr>
        <w:tab/>
      </w:r>
    </w:p>
    <w:p w14:paraId="21DBB94D" w14:textId="631A7B8A" w:rsidR="003E7496" w:rsidRPr="00B66DD6" w:rsidRDefault="003E7496" w:rsidP="00BB515B">
      <w:pPr>
        <w:spacing w:line="360" w:lineRule="auto"/>
        <w:ind w:left="1418" w:hanging="1418"/>
        <w:rPr>
          <w:b/>
          <w:bCs/>
        </w:rPr>
      </w:pPr>
      <w:r w:rsidRPr="00B66DD6">
        <w:rPr>
          <w:b/>
          <w:bCs/>
        </w:rPr>
        <w:t>Coram:</w:t>
      </w:r>
      <w:r w:rsidRPr="00B66DD6">
        <w:rPr>
          <w:b/>
          <w:bCs/>
        </w:rPr>
        <w:tab/>
      </w:r>
      <w:r w:rsidR="00A52E59">
        <w:rPr>
          <w:b/>
          <w:bCs/>
        </w:rPr>
        <w:t xml:space="preserve">Madondo AJP, </w:t>
      </w:r>
      <w:r w:rsidR="0091589E" w:rsidRPr="00B66DD6">
        <w:rPr>
          <w:b/>
          <w:bCs/>
        </w:rPr>
        <w:t>K</w:t>
      </w:r>
      <w:r w:rsidR="009C1F79" w:rsidRPr="00B66DD6">
        <w:rPr>
          <w:b/>
          <w:bCs/>
        </w:rPr>
        <w:t>oen</w:t>
      </w:r>
      <w:r w:rsidR="0091589E" w:rsidRPr="00B66DD6">
        <w:rPr>
          <w:b/>
          <w:bCs/>
        </w:rPr>
        <w:t xml:space="preserve"> J</w:t>
      </w:r>
      <w:r w:rsidR="00A52E59">
        <w:rPr>
          <w:b/>
          <w:bCs/>
        </w:rPr>
        <w:t xml:space="preserve"> </w:t>
      </w:r>
      <w:proofErr w:type="gramStart"/>
      <w:r w:rsidR="00A52E59">
        <w:rPr>
          <w:b/>
          <w:bCs/>
        </w:rPr>
        <w:t>et</w:t>
      </w:r>
      <w:proofErr w:type="gramEnd"/>
      <w:r w:rsidR="00A52E59">
        <w:rPr>
          <w:b/>
          <w:bCs/>
        </w:rPr>
        <w:t xml:space="preserve"> </w:t>
      </w:r>
      <w:proofErr w:type="spellStart"/>
      <w:r w:rsidR="00A52E59">
        <w:rPr>
          <w:b/>
          <w:bCs/>
        </w:rPr>
        <w:t>M</w:t>
      </w:r>
      <w:r w:rsidR="00592DFD">
        <w:rPr>
          <w:b/>
          <w:bCs/>
        </w:rPr>
        <w:t>a</w:t>
      </w:r>
      <w:r w:rsidR="00A52E59">
        <w:rPr>
          <w:b/>
          <w:bCs/>
        </w:rPr>
        <w:t>thenjwa</w:t>
      </w:r>
      <w:proofErr w:type="spellEnd"/>
      <w:r w:rsidR="00A52E59">
        <w:rPr>
          <w:b/>
          <w:bCs/>
        </w:rPr>
        <w:t xml:space="preserve"> AJ</w:t>
      </w:r>
    </w:p>
    <w:p w14:paraId="11407E29" w14:textId="51E74929" w:rsidR="002363F2" w:rsidRPr="00B66DD6" w:rsidRDefault="00510A3B" w:rsidP="00BB515B">
      <w:pPr>
        <w:spacing w:line="360" w:lineRule="auto"/>
        <w:rPr>
          <w:b/>
        </w:rPr>
      </w:pPr>
      <w:r w:rsidRPr="00B66DD6">
        <w:rPr>
          <w:b/>
        </w:rPr>
        <w:t>Heard:</w:t>
      </w:r>
      <w:r w:rsidR="00A902FD" w:rsidRPr="00B66DD6">
        <w:rPr>
          <w:b/>
        </w:rPr>
        <w:tab/>
      </w:r>
      <w:r w:rsidR="000B1C0E" w:rsidRPr="00B66DD6">
        <w:rPr>
          <w:b/>
        </w:rPr>
        <w:t>9 September 2022</w:t>
      </w:r>
    </w:p>
    <w:p w14:paraId="7366D95D" w14:textId="2CDCC902" w:rsidR="002363F2" w:rsidRPr="00B66DD6" w:rsidRDefault="002363F2" w:rsidP="00BB515B">
      <w:pPr>
        <w:spacing w:line="360" w:lineRule="auto"/>
        <w:rPr>
          <w:b/>
          <w:bCs/>
        </w:rPr>
      </w:pPr>
      <w:r w:rsidRPr="00B66DD6">
        <w:rPr>
          <w:b/>
          <w:bCs/>
        </w:rPr>
        <w:t>Delivered</w:t>
      </w:r>
      <w:r w:rsidRPr="00B66DD6">
        <w:rPr>
          <w:b/>
        </w:rPr>
        <w:t>:</w:t>
      </w:r>
      <w:r w:rsidR="009D0A13">
        <w:rPr>
          <w:b/>
        </w:rPr>
        <w:tab/>
      </w:r>
      <w:r w:rsidR="003B6379">
        <w:rPr>
          <w:b/>
        </w:rPr>
        <w:t>21 September 2022</w:t>
      </w:r>
    </w:p>
    <w:p w14:paraId="29234C7F" w14:textId="4948292E" w:rsidR="001D6016" w:rsidRPr="00B66DD6" w:rsidRDefault="001D6016" w:rsidP="00BB515B">
      <w:pPr>
        <w:spacing w:line="360" w:lineRule="auto"/>
        <w:rPr>
          <w:b/>
          <w:bCs/>
          <w:sz w:val="22"/>
        </w:rPr>
      </w:pPr>
    </w:p>
    <w:p w14:paraId="4A3A700A" w14:textId="77777777" w:rsidR="001D6016" w:rsidRPr="00B66DD6" w:rsidRDefault="001D6016" w:rsidP="00BB515B">
      <w:pPr>
        <w:spacing w:line="360" w:lineRule="auto"/>
        <w:rPr>
          <w:b/>
          <w:sz w:val="22"/>
        </w:rPr>
      </w:pPr>
      <w:r w:rsidRPr="00B66DD6">
        <w:rPr>
          <w:b/>
          <w:noProof/>
          <w:sz w:val="20"/>
          <w:lang w:val="en-GB" w:eastAsia="en-GB"/>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B66DD6">
        <w:rPr>
          <w:b/>
          <w:noProof/>
          <w:sz w:val="20"/>
          <w:lang w:val="en-GB" w:eastAsia="en-GB"/>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77777777" w:rsidR="001D6016" w:rsidRPr="00B66DD6" w:rsidRDefault="001D6016" w:rsidP="00BB515B">
      <w:pPr>
        <w:pStyle w:val="Heading3"/>
        <w:jc w:val="center"/>
        <w:rPr>
          <w:b/>
          <w:i w:val="0"/>
          <w:sz w:val="24"/>
        </w:rPr>
      </w:pPr>
      <w:r w:rsidRPr="00B66DD6">
        <w:rPr>
          <w:b/>
          <w:i w:val="0"/>
          <w:sz w:val="24"/>
        </w:rPr>
        <w:t>ORDER</w:t>
      </w:r>
    </w:p>
    <w:p w14:paraId="0D201881" w14:textId="77777777" w:rsidR="001D6016" w:rsidRPr="00B66DD6" w:rsidRDefault="001D6016" w:rsidP="00BB515B">
      <w:pPr>
        <w:spacing w:line="360" w:lineRule="auto"/>
        <w:rPr>
          <w:b/>
          <w:bCs/>
          <w:sz w:val="22"/>
        </w:rPr>
      </w:pPr>
    </w:p>
    <w:p w14:paraId="2358BBC5" w14:textId="77777777" w:rsidR="001D6016" w:rsidRPr="00B66DD6" w:rsidRDefault="001D6016" w:rsidP="00BB515B">
      <w:pPr>
        <w:spacing w:line="360" w:lineRule="auto"/>
        <w:rPr>
          <w:b/>
          <w:sz w:val="22"/>
        </w:rPr>
      </w:pPr>
      <w:r w:rsidRPr="00B66DD6">
        <w:rPr>
          <w:b/>
          <w:noProof/>
          <w:sz w:val="20"/>
          <w:lang w:val="en-GB" w:eastAsia="en-GB"/>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B66DD6">
        <w:rPr>
          <w:b/>
          <w:noProof/>
          <w:sz w:val="20"/>
          <w:lang w:val="en-GB" w:eastAsia="en-GB"/>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0511CABF" w14:textId="1FB45B7A" w:rsidR="001C260A" w:rsidRPr="00B66DD6" w:rsidRDefault="007F199A" w:rsidP="00BB515B">
      <w:pPr>
        <w:spacing w:line="360" w:lineRule="auto"/>
        <w:jc w:val="both"/>
        <w:rPr>
          <w:bCs/>
        </w:rPr>
      </w:pPr>
      <w:r>
        <w:rPr>
          <w:b/>
          <w:bCs/>
        </w:rPr>
        <w:t>On a</w:t>
      </w:r>
      <w:r w:rsidRPr="007F199A">
        <w:rPr>
          <w:b/>
          <w:bCs/>
        </w:rPr>
        <w:t>ppeal from</w:t>
      </w:r>
      <w:r>
        <w:rPr>
          <w:bCs/>
        </w:rPr>
        <w:t xml:space="preserve"> the KwaZulu-Natal Division of the High Court, Pietermaritzburg (</w:t>
      </w:r>
      <w:proofErr w:type="spellStart"/>
      <w:r>
        <w:rPr>
          <w:bCs/>
        </w:rPr>
        <w:t>Bedderson</w:t>
      </w:r>
      <w:proofErr w:type="spellEnd"/>
      <w:r>
        <w:rPr>
          <w:bCs/>
        </w:rPr>
        <w:t xml:space="preserve"> J) sitting as </w:t>
      </w:r>
      <w:r w:rsidR="009D0A13">
        <w:rPr>
          <w:bCs/>
        </w:rPr>
        <w:t xml:space="preserve">the </w:t>
      </w:r>
      <w:r>
        <w:rPr>
          <w:bCs/>
        </w:rPr>
        <w:t>court of first instance:</w:t>
      </w:r>
    </w:p>
    <w:p w14:paraId="25656B9E" w14:textId="1226F3B2" w:rsidR="00871F22" w:rsidRDefault="00871F22" w:rsidP="007F199A">
      <w:pPr>
        <w:pStyle w:val="ListParagraph"/>
        <w:numPr>
          <w:ilvl w:val="0"/>
          <w:numId w:val="47"/>
        </w:numPr>
        <w:spacing w:line="360" w:lineRule="auto"/>
        <w:ind w:hanging="720"/>
        <w:jc w:val="both"/>
        <w:rPr>
          <w:szCs w:val="24"/>
        </w:rPr>
      </w:pPr>
      <w:r w:rsidRPr="00053AC5">
        <w:rPr>
          <w:szCs w:val="24"/>
        </w:rPr>
        <w:lastRenderedPageBreak/>
        <w:t>The appeal is dismissed with costs.</w:t>
      </w:r>
    </w:p>
    <w:p w14:paraId="35B1B2D7" w14:textId="69D97E1A" w:rsidR="00053AC5" w:rsidRDefault="00053AC5" w:rsidP="007F199A">
      <w:pPr>
        <w:pStyle w:val="ListParagraph"/>
        <w:numPr>
          <w:ilvl w:val="0"/>
          <w:numId w:val="47"/>
        </w:numPr>
        <w:spacing w:line="360" w:lineRule="auto"/>
        <w:ind w:hanging="720"/>
        <w:jc w:val="both"/>
        <w:rPr>
          <w:szCs w:val="24"/>
        </w:rPr>
      </w:pPr>
      <w:r>
        <w:rPr>
          <w:szCs w:val="24"/>
        </w:rPr>
        <w:t xml:space="preserve">The order of the court a quo is supplemented by the </w:t>
      </w:r>
      <w:r w:rsidR="00E041B8">
        <w:rPr>
          <w:szCs w:val="24"/>
        </w:rPr>
        <w:t xml:space="preserve">addition of the </w:t>
      </w:r>
      <w:r>
        <w:rPr>
          <w:szCs w:val="24"/>
        </w:rPr>
        <w:t>following order:</w:t>
      </w:r>
    </w:p>
    <w:p w14:paraId="09A590DB" w14:textId="1352AAD8" w:rsidR="001D6016" w:rsidRDefault="00053AC5" w:rsidP="00BB515B">
      <w:pPr>
        <w:pStyle w:val="ListParagraph"/>
        <w:spacing w:line="360" w:lineRule="auto"/>
        <w:jc w:val="both"/>
        <w:rPr>
          <w:szCs w:val="24"/>
        </w:rPr>
      </w:pPr>
      <w:r>
        <w:rPr>
          <w:szCs w:val="24"/>
        </w:rPr>
        <w:t>‘The counter application is dismissed with costs.’</w:t>
      </w:r>
    </w:p>
    <w:p w14:paraId="009ACBAF" w14:textId="77777777" w:rsidR="00053AC5" w:rsidRPr="00B66DD6" w:rsidRDefault="00053AC5" w:rsidP="00BB515B">
      <w:pPr>
        <w:pStyle w:val="ListParagraph"/>
        <w:spacing w:line="360" w:lineRule="auto"/>
        <w:jc w:val="both"/>
        <w:rPr>
          <w:b/>
          <w:bCs/>
          <w:szCs w:val="24"/>
        </w:rPr>
      </w:pPr>
    </w:p>
    <w:p w14:paraId="2FB2D8EF" w14:textId="77777777" w:rsidR="001D6016" w:rsidRPr="00B66DD6" w:rsidRDefault="001D6016" w:rsidP="00BB515B">
      <w:pPr>
        <w:spacing w:line="360" w:lineRule="auto"/>
        <w:rPr>
          <w:b/>
          <w:sz w:val="22"/>
        </w:rPr>
      </w:pPr>
      <w:r w:rsidRPr="00B66DD6">
        <w:rPr>
          <w:b/>
          <w:noProof/>
          <w:sz w:val="20"/>
          <w:lang w:val="en-GB" w:eastAsia="en-GB"/>
        </w:rPr>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B66DD6">
        <w:rPr>
          <w:b/>
          <w:noProof/>
          <w:sz w:val="20"/>
          <w:lang w:val="en-GB" w:eastAsia="en-GB"/>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6B600BBC" w:rsidR="001D6016" w:rsidRPr="00B66DD6" w:rsidRDefault="001D6016" w:rsidP="00BB515B">
      <w:pPr>
        <w:pStyle w:val="Heading1"/>
        <w:jc w:val="center"/>
        <w:rPr>
          <w:sz w:val="24"/>
        </w:rPr>
      </w:pPr>
      <w:r w:rsidRPr="00B66DD6">
        <w:rPr>
          <w:sz w:val="24"/>
        </w:rPr>
        <w:t>JUDGMENT</w:t>
      </w:r>
    </w:p>
    <w:p w14:paraId="5589F841" w14:textId="77777777" w:rsidR="001D6016" w:rsidRPr="00B66DD6" w:rsidRDefault="001D6016" w:rsidP="00BB515B">
      <w:pPr>
        <w:spacing w:line="360" w:lineRule="auto"/>
        <w:rPr>
          <w:b/>
          <w:bCs/>
          <w:sz w:val="22"/>
        </w:rPr>
      </w:pPr>
    </w:p>
    <w:p w14:paraId="2905B765" w14:textId="77777777" w:rsidR="001D6016" w:rsidRPr="00B66DD6" w:rsidRDefault="001D6016" w:rsidP="00BB515B">
      <w:pPr>
        <w:spacing w:line="360" w:lineRule="auto"/>
        <w:rPr>
          <w:b/>
          <w:sz w:val="22"/>
        </w:rPr>
      </w:pPr>
      <w:r w:rsidRPr="00B66DD6">
        <w:rPr>
          <w:b/>
          <w:noProof/>
          <w:sz w:val="20"/>
          <w:lang w:val="en-GB" w:eastAsia="en-GB"/>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B66DD6">
        <w:rPr>
          <w:b/>
          <w:noProof/>
          <w:sz w:val="20"/>
          <w:lang w:val="en-GB" w:eastAsia="en-GB"/>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9969C38" w:rsidR="00510A3B" w:rsidRPr="00B66DD6" w:rsidRDefault="001D6016" w:rsidP="00BB515B">
      <w:pPr>
        <w:spacing w:line="360" w:lineRule="auto"/>
        <w:rPr>
          <w:b/>
          <w:bCs/>
        </w:rPr>
      </w:pPr>
      <w:r w:rsidRPr="00B66DD6">
        <w:rPr>
          <w:b/>
        </w:rPr>
        <w:t>Koen J</w:t>
      </w:r>
      <w:r w:rsidR="00A52E59">
        <w:rPr>
          <w:b/>
        </w:rPr>
        <w:t xml:space="preserve"> (Madondo AJP </w:t>
      </w:r>
      <w:proofErr w:type="gramStart"/>
      <w:r w:rsidR="00A52E59">
        <w:rPr>
          <w:b/>
        </w:rPr>
        <w:t>et</w:t>
      </w:r>
      <w:proofErr w:type="gramEnd"/>
      <w:r w:rsidR="00A52E59">
        <w:rPr>
          <w:b/>
        </w:rPr>
        <w:t xml:space="preserve"> </w:t>
      </w:r>
      <w:proofErr w:type="spellStart"/>
      <w:r w:rsidR="00A52E59">
        <w:rPr>
          <w:b/>
        </w:rPr>
        <w:t>Mathenjwa</w:t>
      </w:r>
      <w:proofErr w:type="spellEnd"/>
      <w:r w:rsidR="00A52E59">
        <w:rPr>
          <w:b/>
        </w:rPr>
        <w:t xml:space="preserve"> AJ concurring</w:t>
      </w:r>
      <w:bookmarkStart w:id="1" w:name="_GoBack"/>
      <w:bookmarkEnd w:id="1"/>
      <w:r w:rsidR="00A52E59">
        <w:rPr>
          <w:b/>
        </w:rPr>
        <w:t>)</w:t>
      </w:r>
    </w:p>
    <w:p w14:paraId="3DB18B46" w14:textId="77777777" w:rsidR="00510A3B" w:rsidRPr="00B66DD6" w:rsidRDefault="00510A3B" w:rsidP="00BB515B">
      <w:pPr>
        <w:spacing w:line="360" w:lineRule="auto"/>
        <w:rPr>
          <w:b/>
        </w:rPr>
      </w:pPr>
    </w:p>
    <w:p w14:paraId="616E21A3" w14:textId="590D5789" w:rsidR="00E81A24" w:rsidRPr="00B66DD6" w:rsidRDefault="00E81A24" w:rsidP="00BB515B">
      <w:pPr>
        <w:spacing w:line="360" w:lineRule="auto"/>
        <w:rPr>
          <w:b/>
        </w:rPr>
      </w:pPr>
      <w:r w:rsidRPr="00B66DD6">
        <w:rPr>
          <w:b/>
        </w:rPr>
        <w:t>Introduction</w:t>
      </w:r>
    </w:p>
    <w:p w14:paraId="65C95C45" w14:textId="17A8D41E" w:rsidR="00482331" w:rsidRPr="00B66DD6" w:rsidRDefault="00AC7C48" w:rsidP="00BB515B">
      <w:pPr>
        <w:numPr>
          <w:ilvl w:val="0"/>
          <w:numId w:val="1"/>
        </w:numPr>
        <w:spacing w:line="360" w:lineRule="auto"/>
        <w:jc w:val="both"/>
      </w:pPr>
      <w:r w:rsidRPr="00B66DD6">
        <w:t>This is an appeal against the order of the court a quo</w:t>
      </w:r>
      <w:r w:rsidR="00A0715E" w:rsidRPr="00B66DD6">
        <w:t xml:space="preserve"> </w:t>
      </w:r>
      <w:r w:rsidRPr="00B66DD6">
        <w:t>which granted judge</w:t>
      </w:r>
      <w:r w:rsidR="00021233" w:rsidRPr="00B66DD6">
        <w:t>ment in</w:t>
      </w:r>
      <w:r w:rsidR="00E01CC5" w:rsidRPr="00B66DD6">
        <w:t xml:space="preserve"> motion proceedings in</w:t>
      </w:r>
      <w:r w:rsidR="00021233" w:rsidRPr="00B66DD6">
        <w:t xml:space="preserve"> favour of the respondent against the </w:t>
      </w:r>
      <w:r w:rsidRPr="00B66DD6">
        <w:t>appellant</w:t>
      </w:r>
      <w:r w:rsidR="00337354" w:rsidRPr="00B66DD6">
        <w:t>s</w:t>
      </w:r>
      <w:r w:rsidR="00E041B8">
        <w:t>,</w:t>
      </w:r>
      <w:r w:rsidR="00337354" w:rsidRPr="00B66DD6">
        <w:t xml:space="preserve"> </w:t>
      </w:r>
      <w:r w:rsidR="00337354" w:rsidRPr="00B66DD6">
        <w:rPr>
          <w:szCs w:val="24"/>
        </w:rPr>
        <w:t>jointly and severally</w:t>
      </w:r>
      <w:r w:rsidR="00A0715E" w:rsidRPr="00B66DD6">
        <w:rPr>
          <w:szCs w:val="24"/>
        </w:rPr>
        <w:t>,</w:t>
      </w:r>
      <w:r w:rsidR="00337354" w:rsidRPr="00B66DD6">
        <w:rPr>
          <w:szCs w:val="24"/>
        </w:rPr>
        <w:t xml:space="preserve"> for payment of the sum of €1</w:t>
      </w:r>
      <w:r w:rsidR="007B3127">
        <w:rPr>
          <w:szCs w:val="24"/>
        </w:rPr>
        <w:t>.</w:t>
      </w:r>
      <w:r w:rsidR="00337354" w:rsidRPr="00B66DD6">
        <w:rPr>
          <w:szCs w:val="24"/>
        </w:rPr>
        <w:t xml:space="preserve">5 million together with interest </w:t>
      </w:r>
      <w:r w:rsidR="00A0715E" w:rsidRPr="00B66DD6">
        <w:rPr>
          <w:szCs w:val="24"/>
        </w:rPr>
        <w:t xml:space="preserve">thereon </w:t>
      </w:r>
      <w:r w:rsidR="00845E92" w:rsidRPr="00B66DD6">
        <w:rPr>
          <w:szCs w:val="24"/>
        </w:rPr>
        <w:t>at the rate of 5% per annum capitalized annually in arrears from 24 January 2017 to date of payment, an order declaring the immovable properties mortgaged in covering bond B1022/2017 (the bond)</w:t>
      </w:r>
      <w:r w:rsidR="00871F22" w:rsidRPr="00B66DD6">
        <w:rPr>
          <w:szCs w:val="24"/>
        </w:rPr>
        <w:t xml:space="preserve"> </w:t>
      </w:r>
      <w:r w:rsidR="00845E92" w:rsidRPr="00B66DD6">
        <w:rPr>
          <w:szCs w:val="24"/>
        </w:rPr>
        <w:t>executable</w:t>
      </w:r>
      <w:r w:rsidR="00871F22" w:rsidRPr="00B66DD6">
        <w:rPr>
          <w:szCs w:val="24"/>
        </w:rPr>
        <w:t>,</w:t>
      </w:r>
      <w:r w:rsidR="00845E92" w:rsidRPr="00B66DD6">
        <w:rPr>
          <w:szCs w:val="24"/>
        </w:rPr>
        <w:t xml:space="preserve"> and costs </w:t>
      </w:r>
      <w:r w:rsidR="0030639A">
        <w:rPr>
          <w:szCs w:val="24"/>
        </w:rPr>
        <w:t xml:space="preserve">of the application </w:t>
      </w:r>
      <w:r w:rsidR="00845E92" w:rsidRPr="00B66DD6">
        <w:rPr>
          <w:szCs w:val="24"/>
        </w:rPr>
        <w:t>on the attorney and client scale</w:t>
      </w:r>
      <w:r w:rsidR="00E041B8">
        <w:rPr>
          <w:szCs w:val="24"/>
        </w:rPr>
        <w:t xml:space="preserve"> </w:t>
      </w:r>
      <w:r w:rsidR="00845E92" w:rsidRPr="00B66DD6">
        <w:rPr>
          <w:szCs w:val="24"/>
        </w:rPr>
        <w:t>includ</w:t>
      </w:r>
      <w:r w:rsidR="00E041B8">
        <w:rPr>
          <w:szCs w:val="24"/>
        </w:rPr>
        <w:t>ing</w:t>
      </w:r>
      <w:r w:rsidR="00845E92" w:rsidRPr="00B66DD6">
        <w:rPr>
          <w:szCs w:val="24"/>
        </w:rPr>
        <w:t xml:space="preserve"> the costs of senior counsel. </w:t>
      </w:r>
      <w:r w:rsidR="00E01CC5" w:rsidRPr="00B66DD6">
        <w:rPr>
          <w:szCs w:val="24"/>
        </w:rPr>
        <w:t>Where necessary</w:t>
      </w:r>
      <w:r w:rsidR="005E143E" w:rsidRPr="00B66DD6">
        <w:rPr>
          <w:szCs w:val="24"/>
        </w:rPr>
        <w:t>,</w:t>
      </w:r>
      <w:r w:rsidR="00E01CC5" w:rsidRPr="00B66DD6">
        <w:rPr>
          <w:szCs w:val="24"/>
        </w:rPr>
        <w:t xml:space="preserve"> and if required to be distingui</w:t>
      </w:r>
      <w:r w:rsidR="005E143E" w:rsidRPr="00B66DD6">
        <w:rPr>
          <w:szCs w:val="24"/>
        </w:rPr>
        <w:t>shed from any other application</w:t>
      </w:r>
      <w:r w:rsidR="00E01CC5" w:rsidRPr="00B66DD6">
        <w:rPr>
          <w:szCs w:val="24"/>
        </w:rPr>
        <w:t xml:space="preserve">, it shall be referred to as the main application.  </w:t>
      </w:r>
    </w:p>
    <w:p w14:paraId="1EC95F0A" w14:textId="77777777" w:rsidR="00482331" w:rsidRPr="00B66DD6" w:rsidRDefault="00482331" w:rsidP="00BB515B">
      <w:pPr>
        <w:spacing w:line="360" w:lineRule="auto"/>
        <w:jc w:val="both"/>
      </w:pPr>
    </w:p>
    <w:p w14:paraId="69306CEC" w14:textId="6D776398" w:rsidR="00E041B8" w:rsidRDefault="00845E92" w:rsidP="00BB515B">
      <w:pPr>
        <w:numPr>
          <w:ilvl w:val="0"/>
          <w:numId w:val="1"/>
        </w:numPr>
        <w:spacing w:line="360" w:lineRule="auto"/>
        <w:jc w:val="both"/>
      </w:pPr>
      <w:r w:rsidRPr="00B66DD6">
        <w:rPr>
          <w:szCs w:val="24"/>
        </w:rPr>
        <w:t>The</w:t>
      </w:r>
      <w:r w:rsidR="00482331" w:rsidRPr="00B66DD6">
        <w:rPr>
          <w:szCs w:val="24"/>
        </w:rPr>
        <w:t xml:space="preserve"> court a quo was also faced with </w:t>
      </w:r>
      <w:r w:rsidRPr="00B66DD6">
        <w:rPr>
          <w:szCs w:val="24"/>
        </w:rPr>
        <w:t>a counter application</w:t>
      </w:r>
      <w:r w:rsidR="0030639A" w:rsidRPr="00B66DD6">
        <w:rPr>
          <w:rStyle w:val="FootnoteReference"/>
        </w:rPr>
        <w:footnoteReference w:id="1"/>
      </w:r>
      <w:r w:rsidRPr="00B66DD6">
        <w:rPr>
          <w:szCs w:val="24"/>
        </w:rPr>
        <w:t xml:space="preserve"> </w:t>
      </w:r>
      <w:r w:rsidR="00592DFD">
        <w:rPr>
          <w:szCs w:val="24"/>
        </w:rPr>
        <w:t xml:space="preserve">brought by </w:t>
      </w:r>
      <w:r w:rsidRPr="00B66DD6">
        <w:rPr>
          <w:szCs w:val="24"/>
        </w:rPr>
        <w:t xml:space="preserve">the appellants. </w:t>
      </w:r>
      <w:r w:rsidR="00337354" w:rsidRPr="00B66DD6">
        <w:t xml:space="preserve">The court </w:t>
      </w:r>
      <w:r w:rsidR="00A0715E" w:rsidRPr="00B66DD6">
        <w:t xml:space="preserve">a quo </w:t>
      </w:r>
      <w:r w:rsidRPr="00B66DD6">
        <w:t xml:space="preserve">seemingly </w:t>
      </w:r>
      <w:r w:rsidR="00482331" w:rsidRPr="00B66DD6">
        <w:t xml:space="preserve">proceeded on the basis that the fate of the counter application would follow that of the main application. It </w:t>
      </w:r>
      <w:r w:rsidR="00592DFD">
        <w:t xml:space="preserve">did not </w:t>
      </w:r>
      <w:r w:rsidR="00482331" w:rsidRPr="00B66DD6">
        <w:t>issue a</w:t>
      </w:r>
      <w:r w:rsidR="00871F22" w:rsidRPr="00B66DD6">
        <w:t xml:space="preserve"> separate </w:t>
      </w:r>
      <w:r w:rsidRPr="00B66DD6">
        <w:t>order in res</w:t>
      </w:r>
      <w:r w:rsidR="00472707" w:rsidRPr="00B66DD6">
        <w:t xml:space="preserve">pect of the </w:t>
      </w:r>
      <w:r w:rsidR="00337354" w:rsidRPr="00B66DD6">
        <w:t>counter application</w:t>
      </w:r>
      <w:r w:rsidR="00472707" w:rsidRPr="00B66DD6">
        <w:t>.</w:t>
      </w:r>
      <w:r w:rsidR="00482331" w:rsidRPr="00B66DD6">
        <w:t xml:space="preserve"> </w:t>
      </w:r>
    </w:p>
    <w:p w14:paraId="10FE8425" w14:textId="77777777" w:rsidR="00E041B8" w:rsidRDefault="00E041B8" w:rsidP="00BB515B">
      <w:pPr>
        <w:pStyle w:val="ListParagraph"/>
        <w:spacing w:line="360" w:lineRule="auto"/>
      </w:pPr>
    </w:p>
    <w:p w14:paraId="550C8262" w14:textId="0EB81566" w:rsidR="00482331" w:rsidRPr="00B66DD6" w:rsidRDefault="00482331" w:rsidP="00BB515B">
      <w:pPr>
        <w:numPr>
          <w:ilvl w:val="0"/>
          <w:numId w:val="1"/>
        </w:numPr>
        <w:spacing w:line="360" w:lineRule="auto"/>
        <w:jc w:val="both"/>
      </w:pPr>
      <w:r w:rsidRPr="00B66DD6">
        <w:t xml:space="preserve">There was also an application </w:t>
      </w:r>
      <w:r w:rsidR="0030639A">
        <w:t xml:space="preserve">by the appellants </w:t>
      </w:r>
      <w:r w:rsidRPr="00B66DD6">
        <w:t xml:space="preserve">to strike out certain allegations in </w:t>
      </w:r>
      <w:r w:rsidR="000705A7">
        <w:t xml:space="preserve">and annexures to </w:t>
      </w:r>
      <w:r w:rsidRPr="00B66DD6">
        <w:t xml:space="preserve">the </w:t>
      </w:r>
      <w:r w:rsidR="000705A7">
        <w:t>respondent’s replying affidavit as inadmissible evidence with costs</w:t>
      </w:r>
      <w:r w:rsidRPr="00B66DD6">
        <w:t xml:space="preserve">. </w:t>
      </w:r>
      <w:r w:rsidR="00E01CC5" w:rsidRPr="00B66DD6">
        <w:t>No separate order was made</w:t>
      </w:r>
      <w:r w:rsidR="00592DFD">
        <w:t xml:space="preserve"> by the court a </w:t>
      </w:r>
      <w:r w:rsidR="00596B05">
        <w:t xml:space="preserve">quo </w:t>
      </w:r>
      <w:r w:rsidR="00596B05" w:rsidRPr="00B66DD6">
        <w:t>in</w:t>
      </w:r>
      <w:r w:rsidR="00E01CC5" w:rsidRPr="00B66DD6">
        <w:t xml:space="preserve"> respect of this application to strike out either. </w:t>
      </w:r>
    </w:p>
    <w:p w14:paraId="0DBBDB25" w14:textId="77777777" w:rsidR="00482331" w:rsidRPr="00B66DD6" w:rsidRDefault="00482331" w:rsidP="00BB515B">
      <w:pPr>
        <w:pStyle w:val="ListParagraph"/>
        <w:spacing w:line="360" w:lineRule="auto"/>
      </w:pPr>
    </w:p>
    <w:p w14:paraId="4812E6CB" w14:textId="4864FBB1" w:rsidR="00871F22" w:rsidRPr="00B66DD6" w:rsidRDefault="00482331" w:rsidP="00BB515B">
      <w:pPr>
        <w:numPr>
          <w:ilvl w:val="0"/>
          <w:numId w:val="1"/>
        </w:numPr>
        <w:spacing w:line="360" w:lineRule="auto"/>
        <w:jc w:val="both"/>
      </w:pPr>
      <w:r w:rsidRPr="00B66DD6">
        <w:t xml:space="preserve">The present appeal lies </w:t>
      </w:r>
      <w:r w:rsidRPr="00B66DD6">
        <w:rPr>
          <w:szCs w:val="24"/>
        </w:rPr>
        <w:t xml:space="preserve">against the whole of the judgment </w:t>
      </w:r>
      <w:r w:rsidRPr="00B66DD6">
        <w:t xml:space="preserve">of the court a quo with the leave of that court.  </w:t>
      </w:r>
      <w:r w:rsidR="00871F22" w:rsidRPr="00B66DD6">
        <w:t xml:space="preserve">According to the appellants’ notice of appeal they </w:t>
      </w:r>
      <w:r w:rsidRPr="00B66DD6">
        <w:t xml:space="preserve">seek an order </w:t>
      </w:r>
      <w:r w:rsidR="00E041B8">
        <w:t>‘</w:t>
      </w:r>
      <w:r w:rsidRPr="00B66DD6">
        <w:t xml:space="preserve">dismissing the </w:t>
      </w:r>
      <w:r w:rsidR="000705A7">
        <w:t xml:space="preserve">main </w:t>
      </w:r>
      <w:r w:rsidRPr="00B66DD6">
        <w:t>application, granting the counter application</w:t>
      </w:r>
      <w:r w:rsidR="000705A7">
        <w:t xml:space="preserve">, </w:t>
      </w:r>
      <w:r w:rsidRPr="00B66DD6">
        <w:t xml:space="preserve">and </w:t>
      </w:r>
      <w:r w:rsidR="005E143E" w:rsidRPr="00B66DD6">
        <w:t>the</w:t>
      </w:r>
      <w:r w:rsidRPr="00B66DD6">
        <w:t xml:space="preserve"> strike out application, all with costs, including the costs of senior counsel</w:t>
      </w:r>
      <w:r w:rsidR="00592DFD">
        <w:t>’</w:t>
      </w:r>
      <w:r w:rsidRPr="00B66DD6">
        <w:t>. The grounds in respect of which leave to appeal was granted by the court a quo</w:t>
      </w:r>
      <w:r w:rsidR="00871F22" w:rsidRPr="00B66DD6">
        <w:t xml:space="preserve">, </w:t>
      </w:r>
      <w:r w:rsidR="005E143E" w:rsidRPr="00B66DD6">
        <w:t xml:space="preserve">following </w:t>
      </w:r>
      <w:r w:rsidR="00871F22" w:rsidRPr="00B66DD6">
        <w:t>the application for leave to appeal,</w:t>
      </w:r>
      <w:r w:rsidRPr="00B66DD6">
        <w:t xml:space="preserve"> however </w:t>
      </w:r>
      <w:r w:rsidR="00871F22" w:rsidRPr="00B66DD6">
        <w:t xml:space="preserve">only </w:t>
      </w:r>
      <w:r w:rsidRPr="00B66DD6">
        <w:t>include</w:t>
      </w:r>
      <w:r w:rsidR="00871F22" w:rsidRPr="00B66DD6">
        <w:t xml:space="preserve">d </w:t>
      </w:r>
      <w:r w:rsidRPr="00B66DD6">
        <w:t>that the court a quo had erred</w:t>
      </w:r>
      <w:r w:rsidR="005E143E" w:rsidRPr="00B66DD6">
        <w:t xml:space="preserve"> in the main application</w:t>
      </w:r>
      <w:r w:rsidRPr="00B66DD6">
        <w:t xml:space="preserve">: in adopting the interpretation of the loan agreement which it did, </w:t>
      </w:r>
      <w:r w:rsidR="005E143E" w:rsidRPr="00B66DD6">
        <w:t xml:space="preserve">and </w:t>
      </w:r>
      <w:r w:rsidRPr="00B66DD6">
        <w:t xml:space="preserve">in not concluding that agreement of loan had been varied by the exchange of the two emails; and in respect of the counter application, </w:t>
      </w:r>
      <w:r w:rsidR="00E041B8">
        <w:t xml:space="preserve">in not finding that </w:t>
      </w:r>
      <w:r w:rsidRPr="00B66DD6">
        <w:t xml:space="preserve">the respondent frustrated </w:t>
      </w:r>
      <w:r w:rsidR="007B3127">
        <w:t xml:space="preserve">the </w:t>
      </w:r>
      <w:r w:rsidRPr="00B66DD6">
        <w:t xml:space="preserve">sales of the </w:t>
      </w:r>
      <w:r w:rsidR="00E041B8">
        <w:t xml:space="preserve">properties mortgaged </w:t>
      </w:r>
      <w:r w:rsidR="00E01CC5" w:rsidRPr="00B66DD6">
        <w:t>in the bond</w:t>
      </w:r>
      <w:r w:rsidRPr="00B66DD6">
        <w:t xml:space="preserve">. There was no reference to the application to strike out in the application for leave to appeal. </w:t>
      </w:r>
    </w:p>
    <w:p w14:paraId="0CA69D2F" w14:textId="77777777" w:rsidR="00871F22" w:rsidRPr="00B66DD6" w:rsidRDefault="00871F22" w:rsidP="00BB515B">
      <w:pPr>
        <w:pStyle w:val="ListParagraph"/>
        <w:spacing w:line="360" w:lineRule="auto"/>
      </w:pPr>
    </w:p>
    <w:p w14:paraId="155FF3C8" w14:textId="32F8AF60" w:rsidR="00053AC5" w:rsidRDefault="00871F22" w:rsidP="00BB515B">
      <w:pPr>
        <w:numPr>
          <w:ilvl w:val="0"/>
          <w:numId w:val="1"/>
        </w:numPr>
        <w:spacing w:line="360" w:lineRule="auto"/>
        <w:jc w:val="both"/>
      </w:pPr>
      <w:r w:rsidRPr="00B66DD6">
        <w:t xml:space="preserve">The application to strike out </w:t>
      </w:r>
      <w:r w:rsidR="00482331" w:rsidRPr="00B66DD6">
        <w:t>accordingly does not form part of this appeal</w:t>
      </w:r>
      <w:r w:rsidRPr="00B66DD6">
        <w:t xml:space="preserve"> and will not be considered in this judgment. The counter application, in respect of which the court a quo made no separate order shall be considered</w:t>
      </w:r>
      <w:r w:rsidR="00E01CC5" w:rsidRPr="00B66DD6">
        <w:t xml:space="preserve">, as it was covered by the </w:t>
      </w:r>
      <w:r w:rsidR="005E143E" w:rsidRPr="00B66DD6">
        <w:t>leave to appeal.</w:t>
      </w:r>
    </w:p>
    <w:p w14:paraId="2C3305C7" w14:textId="1D17EE91" w:rsidR="00472707" w:rsidRPr="00B66DD6" w:rsidRDefault="00871F22" w:rsidP="00BB515B">
      <w:pPr>
        <w:spacing w:line="360" w:lineRule="auto"/>
        <w:jc w:val="both"/>
      </w:pPr>
      <w:r w:rsidRPr="00B66DD6">
        <w:t xml:space="preserve"> </w:t>
      </w:r>
      <w:r w:rsidR="00482331" w:rsidRPr="00B66DD6">
        <w:t xml:space="preserve"> </w:t>
      </w:r>
    </w:p>
    <w:p w14:paraId="1C01BCBB" w14:textId="2BF2F70C" w:rsidR="00482331" w:rsidRPr="00B66DD6" w:rsidRDefault="003E4535" w:rsidP="00BB515B">
      <w:pPr>
        <w:spacing w:line="360" w:lineRule="auto"/>
        <w:jc w:val="both"/>
        <w:rPr>
          <w:b/>
        </w:rPr>
      </w:pPr>
      <w:r w:rsidRPr="00B66DD6">
        <w:rPr>
          <w:b/>
        </w:rPr>
        <w:t xml:space="preserve">The </w:t>
      </w:r>
      <w:r w:rsidR="005E143E" w:rsidRPr="00B66DD6">
        <w:rPr>
          <w:b/>
        </w:rPr>
        <w:t xml:space="preserve">judgment </w:t>
      </w:r>
      <w:r w:rsidRPr="00B66DD6">
        <w:rPr>
          <w:b/>
        </w:rPr>
        <w:t>of the court a quo</w:t>
      </w:r>
    </w:p>
    <w:p w14:paraId="0844CE6C" w14:textId="4DF6DF3A" w:rsidR="001D2C1A" w:rsidRDefault="00482331" w:rsidP="00BB515B">
      <w:pPr>
        <w:numPr>
          <w:ilvl w:val="0"/>
          <w:numId w:val="1"/>
        </w:numPr>
        <w:spacing w:line="360" w:lineRule="auto"/>
        <w:jc w:val="both"/>
      </w:pPr>
      <w:r w:rsidRPr="00B66DD6">
        <w:t xml:space="preserve">It </w:t>
      </w:r>
      <w:r w:rsidR="00053AC5">
        <w:t xml:space="preserve">is </w:t>
      </w:r>
      <w:r w:rsidR="003E4535" w:rsidRPr="00B66DD6">
        <w:t>c</w:t>
      </w:r>
      <w:r w:rsidRPr="00B66DD6">
        <w:t>ommon cause that the amount of the judgment debt, being the ‘initial loan’ amount</w:t>
      </w:r>
      <w:r w:rsidR="001D2C1A">
        <w:t xml:space="preserve">, </w:t>
      </w:r>
      <w:r w:rsidR="00053AC5">
        <w:t xml:space="preserve">of </w:t>
      </w:r>
      <w:r w:rsidR="001D2C1A" w:rsidRPr="001D2C1A">
        <w:rPr>
          <w:szCs w:val="24"/>
        </w:rPr>
        <w:t>€1</w:t>
      </w:r>
      <w:r w:rsidR="0071363B">
        <w:rPr>
          <w:szCs w:val="24"/>
        </w:rPr>
        <w:t>.</w:t>
      </w:r>
      <w:r w:rsidR="001D2C1A" w:rsidRPr="001D2C1A">
        <w:rPr>
          <w:szCs w:val="24"/>
        </w:rPr>
        <w:t>5 million</w:t>
      </w:r>
      <w:r w:rsidR="001D2C1A">
        <w:rPr>
          <w:szCs w:val="24"/>
        </w:rPr>
        <w:t xml:space="preserve">, </w:t>
      </w:r>
      <w:r w:rsidR="001D2C1A" w:rsidRPr="00B66DD6">
        <w:t>advanced in terms of the loan agreement</w:t>
      </w:r>
      <w:r w:rsidR="001D2C1A">
        <w:t xml:space="preserve"> as amended by two subsequent addenda</w:t>
      </w:r>
      <w:r w:rsidR="001D2C1A" w:rsidRPr="00B66DD6">
        <w:t>,</w:t>
      </w:r>
      <w:r w:rsidR="001D2C1A" w:rsidRPr="001D2C1A">
        <w:rPr>
          <w:szCs w:val="24"/>
        </w:rPr>
        <w:t xml:space="preserve"> together with interest thereon at the rate of 5% per annum capitalized annually in arrears from 24 January 2017 to date of payment</w:t>
      </w:r>
      <w:r w:rsidR="001D2C1A" w:rsidRPr="00B66DD6">
        <w:t>,</w:t>
      </w:r>
      <w:r w:rsidR="001D2C1A" w:rsidRPr="001D2C1A">
        <w:rPr>
          <w:szCs w:val="24"/>
        </w:rPr>
        <w:t xml:space="preserve"> </w:t>
      </w:r>
      <w:r w:rsidRPr="00B66DD6">
        <w:t>is owing.</w:t>
      </w:r>
      <w:r w:rsidRPr="00B66DD6">
        <w:rPr>
          <w:rStyle w:val="FootnoteReference"/>
        </w:rPr>
        <w:footnoteReference w:id="2"/>
      </w:r>
      <w:r w:rsidR="001D2C1A">
        <w:t xml:space="preserve"> What is in dispute</w:t>
      </w:r>
      <w:r w:rsidRPr="00B66DD6">
        <w:t xml:space="preserve"> is whether </w:t>
      </w:r>
      <w:r w:rsidR="00E041B8">
        <w:t xml:space="preserve">this debt </w:t>
      </w:r>
      <w:r w:rsidRPr="00B66DD6">
        <w:t xml:space="preserve">had become due and payable. </w:t>
      </w:r>
    </w:p>
    <w:p w14:paraId="391A5DA1" w14:textId="77777777" w:rsidR="001D2C1A" w:rsidRDefault="001D2C1A" w:rsidP="00BB515B">
      <w:pPr>
        <w:spacing w:line="360" w:lineRule="auto"/>
        <w:jc w:val="both"/>
      </w:pPr>
    </w:p>
    <w:p w14:paraId="6B2723D8" w14:textId="00E39C87" w:rsidR="003E4535" w:rsidRPr="00B66DD6" w:rsidRDefault="00E041B8" w:rsidP="00BB515B">
      <w:pPr>
        <w:numPr>
          <w:ilvl w:val="0"/>
          <w:numId w:val="1"/>
        </w:numPr>
        <w:spacing w:line="360" w:lineRule="auto"/>
        <w:jc w:val="both"/>
      </w:pPr>
      <w:r>
        <w:t>The appellants argued</w:t>
      </w:r>
      <w:r w:rsidR="00482331" w:rsidRPr="00B66DD6">
        <w:t xml:space="preserve"> that on a proper interpretation of th</w:t>
      </w:r>
      <w:r w:rsidR="00592DFD">
        <w:t>e loan agreement, as amended by</w:t>
      </w:r>
      <w:r>
        <w:t xml:space="preserve"> </w:t>
      </w:r>
      <w:r w:rsidR="00482331" w:rsidRPr="00B66DD6">
        <w:t xml:space="preserve">two subsequent addenda, the debt would </w:t>
      </w:r>
      <w:r w:rsidR="005E143E" w:rsidRPr="00B66DD6">
        <w:t xml:space="preserve">only </w:t>
      </w:r>
      <w:r w:rsidR="00482331" w:rsidRPr="00B66DD6">
        <w:t xml:space="preserve">become </w:t>
      </w:r>
      <w:r w:rsidR="001D2C1A">
        <w:t xml:space="preserve">due and </w:t>
      </w:r>
      <w:r w:rsidR="00482331" w:rsidRPr="00B66DD6">
        <w:t xml:space="preserve">payable from the proceeds of the immovable properties which are subject to </w:t>
      </w:r>
      <w:r w:rsidR="001D2C1A">
        <w:t>the bond, in accordance with and to the extent provided by clause 6.2 of the loan agreement, ‘</w:t>
      </w:r>
      <w:r w:rsidR="00482331" w:rsidRPr="00B66DD6">
        <w:t xml:space="preserve">as and </w:t>
      </w:r>
      <w:r w:rsidR="00482331" w:rsidRPr="00B66DD6">
        <w:lastRenderedPageBreak/>
        <w:t xml:space="preserve">when </w:t>
      </w:r>
      <w:r w:rsidR="001D2C1A">
        <w:t>a sale</w:t>
      </w:r>
      <w:r w:rsidR="001D2C1A">
        <w:rPr>
          <w:rStyle w:val="FootnoteReference"/>
        </w:rPr>
        <w:footnoteReference w:id="3"/>
      </w:r>
      <w:r>
        <w:t xml:space="preserve"> takes </w:t>
      </w:r>
      <w:r w:rsidR="00596B05">
        <w:t>place</w:t>
      </w:r>
      <w:r w:rsidR="00EC7A7E">
        <w:t xml:space="preserve">’ </w:t>
      </w:r>
      <w:r w:rsidR="00596B05">
        <w:t>of</w:t>
      </w:r>
      <w:r w:rsidR="001D2C1A">
        <w:t xml:space="preserve"> any of the properties hypothecated in terms of the bond</w:t>
      </w:r>
      <w:r w:rsidR="00482331" w:rsidRPr="00B66DD6">
        <w:t>.</w:t>
      </w:r>
      <w:r w:rsidR="005E143E" w:rsidRPr="00B66DD6">
        <w:rPr>
          <w:rStyle w:val="FootnoteReference"/>
        </w:rPr>
        <w:footnoteReference w:id="4"/>
      </w:r>
      <w:r w:rsidR="00482331" w:rsidRPr="00B66DD6">
        <w:t xml:space="preserve"> Alternatively</w:t>
      </w:r>
      <w:r w:rsidR="00470470">
        <w:t>,</w:t>
      </w:r>
      <w:r w:rsidR="00482331" w:rsidRPr="00B66DD6">
        <w:t xml:space="preserve"> the</w:t>
      </w:r>
      <w:r w:rsidR="001D2C1A">
        <w:t xml:space="preserve"> appellants </w:t>
      </w:r>
      <w:r w:rsidR="00482331" w:rsidRPr="00B66DD6">
        <w:t xml:space="preserve">submitted that the terms of the loan agreement as varied by two addenda, were varied by two emails dated </w:t>
      </w:r>
      <w:r w:rsidR="00470470">
        <w:t>31 July 2020</w:t>
      </w:r>
      <w:r w:rsidR="00482331" w:rsidRPr="00B66DD6">
        <w:t xml:space="preserve"> and </w:t>
      </w:r>
      <w:r w:rsidR="00470470">
        <w:t>22 October 2020</w:t>
      </w:r>
      <w:r w:rsidR="00482331" w:rsidRPr="00B66DD6">
        <w:t xml:space="preserve"> which were exchanged between the parties</w:t>
      </w:r>
      <w:r w:rsidR="00470470">
        <w:t>.</w:t>
      </w:r>
      <w:r w:rsidR="00482331" w:rsidRPr="00B66DD6">
        <w:t xml:space="preserve"> The respondent contended that the debt became due and payable on </w:t>
      </w:r>
      <w:r w:rsidR="00470470">
        <w:t>or before 1 March 2021</w:t>
      </w:r>
      <w:r w:rsidR="00482331" w:rsidRPr="00B66DD6">
        <w:t xml:space="preserve">, as provided </w:t>
      </w:r>
      <w:r w:rsidR="00906B1A">
        <w:t xml:space="preserve">in </w:t>
      </w:r>
      <w:r w:rsidR="00053AC5">
        <w:t>clause 5</w:t>
      </w:r>
      <w:r w:rsidR="00470470">
        <w:t xml:space="preserve"> of the loan agreement as amended by the second addendum</w:t>
      </w:r>
      <w:r w:rsidR="00482331" w:rsidRPr="00B66DD6">
        <w:t>. The court a quo agreed with the contention of the respondent</w:t>
      </w:r>
      <w:r w:rsidR="00592DFD">
        <w:t xml:space="preserve"> and rejected that of the appellants</w:t>
      </w:r>
      <w:r w:rsidR="00482331" w:rsidRPr="00B66DD6">
        <w:t>.</w:t>
      </w:r>
    </w:p>
    <w:p w14:paraId="60F22DF2" w14:textId="478763EB" w:rsidR="003E4535" w:rsidRPr="00B66DD6" w:rsidRDefault="003E4535" w:rsidP="00BB515B">
      <w:pPr>
        <w:spacing w:line="360" w:lineRule="auto"/>
        <w:jc w:val="both"/>
      </w:pPr>
    </w:p>
    <w:p w14:paraId="65470465" w14:textId="24FA5A9C" w:rsidR="00482331" w:rsidRPr="00B66DD6" w:rsidRDefault="00482331" w:rsidP="00BB515B">
      <w:pPr>
        <w:spacing w:line="360" w:lineRule="auto"/>
        <w:jc w:val="both"/>
      </w:pPr>
      <w:r w:rsidRPr="00B66DD6">
        <w:rPr>
          <w:b/>
        </w:rPr>
        <w:t>Relevant background facts</w:t>
      </w:r>
    </w:p>
    <w:p w14:paraId="2A6B80FF" w14:textId="74E26343" w:rsidR="001862BF" w:rsidRPr="00B66DD6" w:rsidRDefault="003E4535" w:rsidP="00BB515B">
      <w:pPr>
        <w:pStyle w:val="ListParagraph"/>
        <w:numPr>
          <w:ilvl w:val="0"/>
          <w:numId w:val="1"/>
        </w:numPr>
        <w:spacing w:line="360" w:lineRule="auto"/>
        <w:jc w:val="both"/>
        <w:rPr>
          <w:szCs w:val="24"/>
        </w:rPr>
      </w:pPr>
      <w:r w:rsidRPr="00B66DD6">
        <w:rPr>
          <w:szCs w:val="24"/>
        </w:rPr>
        <w:t xml:space="preserve">The </w:t>
      </w:r>
      <w:r w:rsidR="001862BF" w:rsidRPr="00B66DD6">
        <w:rPr>
          <w:szCs w:val="24"/>
        </w:rPr>
        <w:t xml:space="preserve">respondent and the appellants </w:t>
      </w:r>
      <w:r w:rsidRPr="00B66DD6">
        <w:rPr>
          <w:szCs w:val="24"/>
        </w:rPr>
        <w:t xml:space="preserve">on 18 January 2017 </w:t>
      </w:r>
      <w:r w:rsidR="00470470">
        <w:rPr>
          <w:szCs w:val="24"/>
        </w:rPr>
        <w:t>concluded the</w:t>
      </w:r>
      <w:r w:rsidR="001862BF" w:rsidRPr="00B66DD6">
        <w:rPr>
          <w:szCs w:val="24"/>
        </w:rPr>
        <w:t xml:space="preserve"> written loan agreement in terms of which the respondent agreed to lend an amount of up to €2</w:t>
      </w:r>
      <w:r w:rsidR="00596B05">
        <w:rPr>
          <w:szCs w:val="24"/>
        </w:rPr>
        <w:t>.</w:t>
      </w:r>
      <w:r w:rsidR="001862BF" w:rsidRPr="00B66DD6">
        <w:rPr>
          <w:szCs w:val="24"/>
        </w:rPr>
        <w:t xml:space="preserve">5 million to the </w:t>
      </w:r>
      <w:r w:rsidR="00E81A24" w:rsidRPr="00B66DD6">
        <w:rPr>
          <w:szCs w:val="24"/>
        </w:rPr>
        <w:t>first</w:t>
      </w:r>
      <w:r w:rsidR="001862BF" w:rsidRPr="00B66DD6">
        <w:rPr>
          <w:szCs w:val="24"/>
        </w:rPr>
        <w:t xml:space="preserve"> appellant. The loan would be drawn down in</w:t>
      </w:r>
      <w:r w:rsidR="00E81A24" w:rsidRPr="00B66DD6">
        <w:rPr>
          <w:szCs w:val="24"/>
        </w:rPr>
        <w:t xml:space="preserve"> two tranches of €1</w:t>
      </w:r>
      <w:r w:rsidR="00596B05">
        <w:rPr>
          <w:szCs w:val="24"/>
        </w:rPr>
        <w:t>.</w:t>
      </w:r>
      <w:r w:rsidR="00E81A24" w:rsidRPr="00B66DD6">
        <w:rPr>
          <w:szCs w:val="24"/>
        </w:rPr>
        <w:t>5 million (‘the Initial Loan’) and €1 million (‘the Loan Balance’</w:t>
      </w:r>
      <w:r w:rsidR="001862BF" w:rsidRPr="00B66DD6">
        <w:rPr>
          <w:szCs w:val="24"/>
        </w:rPr>
        <w:t>). On 24 January 2017 and 27 March 2017</w:t>
      </w:r>
      <w:r w:rsidR="007B3127">
        <w:rPr>
          <w:szCs w:val="24"/>
        </w:rPr>
        <w:t>,</w:t>
      </w:r>
      <w:r w:rsidR="001862BF" w:rsidRPr="00B66DD6">
        <w:rPr>
          <w:szCs w:val="24"/>
        </w:rPr>
        <w:t xml:space="preserve"> respectively</w:t>
      </w:r>
      <w:r w:rsidR="007B3127">
        <w:rPr>
          <w:szCs w:val="24"/>
        </w:rPr>
        <w:t>,</w:t>
      </w:r>
      <w:r w:rsidR="001862BF" w:rsidRPr="00B66DD6">
        <w:rPr>
          <w:szCs w:val="24"/>
        </w:rPr>
        <w:t xml:space="preserve"> the </w:t>
      </w:r>
      <w:r w:rsidR="0099255C" w:rsidRPr="00B66DD6">
        <w:rPr>
          <w:szCs w:val="24"/>
        </w:rPr>
        <w:t>f</w:t>
      </w:r>
      <w:r w:rsidR="00E81A24" w:rsidRPr="00B66DD6">
        <w:rPr>
          <w:szCs w:val="24"/>
        </w:rPr>
        <w:t>irst appellant</w:t>
      </w:r>
      <w:r w:rsidR="001862BF" w:rsidRPr="00B66DD6">
        <w:rPr>
          <w:szCs w:val="24"/>
        </w:rPr>
        <w:t xml:space="preserve"> </w:t>
      </w:r>
      <w:r w:rsidR="007B3127">
        <w:rPr>
          <w:szCs w:val="24"/>
        </w:rPr>
        <w:t>advance</w:t>
      </w:r>
      <w:r w:rsidR="00A16228">
        <w:rPr>
          <w:szCs w:val="24"/>
        </w:rPr>
        <w:t>d</w:t>
      </w:r>
      <w:r w:rsidR="0099255C" w:rsidRPr="00B66DD6">
        <w:rPr>
          <w:szCs w:val="24"/>
        </w:rPr>
        <w:t xml:space="preserve"> </w:t>
      </w:r>
      <w:r w:rsidR="001862BF" w:rsidRPr="00B66DD6">
        <w:rPr>
          <w:szCs w:val="24"/>
        </w:rPr>
        <w:t>the Initial Loan of €1</w:t>
      </w:r>
      <w:r w:rsidR="00596B05">
        <w:rPr>
          <w:szCs w:val="24"/>
        </w:rPr>
        <w:t>.</w:t>
      </w:r>
      <w:r w:rsidR="001862BF" w:rsidRPr="00B66DD6">
        <w:rPr>
          <w:szCs w:val="24"/>
        </w:rPr>
        <w:t xml:space="preserve">5 million and the Loan Balance of €1 million. The second appellant bound himself jointly and severally as surety and co-principal debtor in favour of the respondent for the </w:t>
      </w:r>
      <w:r w:rsidR="00E81A24" w:rsidRPr="00B66DD6">
        <w:rPr>
          <w:szCs w:val="24"/>
        </w:rPr>
        <w:t>first</w:t>
      </w:r>
      <w:r w:rsidR="001862BF" w:rsidRPr="00B66DD6">
        <w:rPr>
          <w:szCs w:val="24"/>
        </w:rPr>
        <w:t xml:space="preserve"> appellant’s obligations in terms of the loan agreement</w:t>
      </w:r>
      <w:r w:rsidR="00E041B8">
        <w:rPr>
          <w:szCs w:val="24"/>
        </w:rPr>
        <w:t xml:space="preserve">. The first appellant furthermore </w:t>
      </w:r>
      <w:r w:rsidR="009E7935" w:rsidRPr="00B66DD6">
        <w:rPr>
          <w:szCs w:val="24"/>
        </w:rPr>
        <w:t xml:space="preserve">provided </w:t>
      </w:r>
      <w:r w:rsidR="001862BF" w:rsidRPr="00B66DD6">
        <w:rPr>
          <w:szCs w:val="24"/>
        </w:rPr>
        <w:t xml:space="preserve">security </w:t>
      </w:r>
      <w:r w:rsidR="00E041B8">
        <w:rPr>
          <w:szCs w:val="24"/>
        </w:rPr>
        <w:t xml:space="preserve">in the form of the bond, </w:t>
      </w:r>
      <w:r w:rsidR="009E7935" w:rsidRPr="00B66DD6">
        <w:rPr>
          <w:szCs w:val="24"/>
        </w:rPr>
        <w:t xml:space="preserve">as required and set out </w:t>
      </w:r>
      <w:r w:rsidR="001862BF" w:rsidRPr="00B66DD6">
        <w:rPr>
          <w:szCs w:val="24"/>
        </w:rPr>
        <w:t>in clause 6 of the loan agreement.</w:t>
      </w:r>
    </w:p>
    <w:p w14:paraId="0B1AA87E" w14:textId="77777777" w:rsidR="001862BF" w:rsidRPr="00B66DD6" w:rsidRDefault="001862BF" w:rsidP="00BB515B">
      <w:pPr>
        <w:pStyle w:val="ListParagraph"/>
        <w:spacing w:line="360" w:lineRule="auto"/>
        <w:ind w:left="0"/>
        <w:jc w:val="both"/>
        <w:rPr>
          <w:szCs w:val="24"/>
        </w:rPr>
      </w:pPr>
    </w:p>
    <w:p w14:paraId="695B0916" w14:textId="2C06ED77" w:rsidR="0031727E" w:rsidRPr="00596B05" w:rsidRDefault="0099255C" w:rsidP="00BB515B">
      <w:pPr>
        <w:pStyle w:val="ListParagraph"/>
        <w:numPr>
          <w:ilvl w:val="0"/>
          <w:numId w:val="1"/>
        </w:numPr>
        <w:spacing w:line="360" w:lineRule="auto"/>
        <w:jc w:val="both"/>
        <w:rPr>
          <w:szCs w:val="24"/>
        </w:rPr>
      </w:pPr>
      <w:r w:rsidRPr="00B66DD6">
        <w:rPr>
          <w:szCs w:val="24"/>
        </w:rPr>
        <w:t xml:space="preserve">The express terms of the written loan agreement </w:t>
      </w:r>
      <w:r w:rsidR="009E7935" w:rsidRPr="00B66DD6">
        <w:rPr>
          <w:szCs w:val="24"/>
        </w:rPr>
        <w:t xml:space="preserve">material to this judgment include </w:t>
      </w:r>
      <w:r w:rsidRPr="00B66DD6">
        <w:rPr>
          <w:szCs w:val="24"/>
        </w:rPr>
        <w:t xml:space="preserve">the following: </w:t>
      </w:r>
    </w:p>
    <w:p w14:paraId="49C146EB" w14:textId="5DA65947" w:rsidR="001E33C3" w:rsidRPr="00B66DD6" w:rsidRDefault="0099255C" w:rsidP="00BB515B">
      <w:pPr>
        <w:pStyle w:val="ListParagraph"/>
        <w:numPr>
          <w:ilvl w:val="0"/>
          <w:numId w:val="44"/>
        </w:numPr>
        <w:spacing w:line="360" w:lineRule="auto"/>
        <w:ind w:left="0" w:firstLine="0"/>
        <w:jc w:val="both"/>
        <w:rPr>
          <w:szCs w:val="24"/>
        </w:rPr>
      </w:pPr>
      <w:r w:rsidRPr="00B66DD6">
        <w:rPr>
          <w:szCs w:val="24"/>
        </w:rPr>
        <w:t>The written agreem</w:t>
      </w:r>
      <w:r w:rsidR="00E041B8">
        <w:rPr>
          <w:szCs w:val="24"/>
        </w:rPr>
        <w:t>ent constituted</w:t>
      </w:r>
      <w:r w:rsidRPr="00B66DD6">
        <w:rPr>
          <w:szCs w:val="24"/>
        </w:rPr>
        <w:t xml:space="preserve"> </w:t>
      </w:r>
      <w:r w:rsidR="006512CA" w:rsidRPr="00B66DD6">
        <w:rPr>
          <w:szCs w:val="24"/>
        </w:rPr>
        <w:t>the whole agreement betwee</w:t>
      </w:r>
      <w:r w:rsidRPr="00B66DD6">
        <w:rPr>
          <w:szCs w:val="24"/>
        </w:rPr>
        <w:t xml:space="preserve">n the parties containing all </w:t>
      </w:r>
      <w:r w:rsidR="006512CA" w:rsidRPr="00B66DD6">
        <w:rPr>
          <w:szCs w:val="24"/>
        </w:rPr>
        <w:t>the express provisions agreed on with regard to the subje</w:t>
      </w:r>
      <w:r w:rsidRPr="00B66DD6">
        <w:rPr>
          <w:szCs w:val="24"/>
        </w:rPr>
        <w:t>ct matter of the loan agreement;</w:t>
      </w:r>
    </w:p>
    <w:p w14:paraId="2738F5C9" w14:textId="39E72F1A" w:rsidR="001E33C3" w:rsidRPr="00B66DD6" w:rsidRDefault="0099255C" w:rsidP="00BB515B">
      <w:pPr>
        <w:pStyle w:val="ListParagraph"/>
        <w:numPr>
          <w:ilvl w:val="0"/>
          <w:numId w:val="44"/>
        </w:numPr>
        <w:spacing w:line="360" w:lineRule="auto"/>
        <w:ind w:left="0" w:firstLine="0"/>
        <w:jc w:val="both"/>
        <w:rPr>
          <w:szCs w:val="24"/>
        </w:rPr>
      </w:pPr>
      <w:r w:rsidRPr="00B66DD6">
        <w:rPr>
          <w:szCs w:val="24"/>
        </w:rPr>
        <w:t>N</w:t>
      </w:r>
      <w:r w:rsidR="006512CA" w:rsidRPr="00B66DD6">
        <w:rPr>
          <w:szCs w:val="24"/>
        </w:rPr>
        <w:t>o agreement varying, adding to, deleting from</w:t>
      </w:r>
      <w:r w:rsidR="007B3127">
        <w:rPr>
          <w:szCs w:val="24"/>
        </w:rPr>
        <w:t>,</w:t>
      </w:r>
      <w:r w:rsidR="006512CA" w:rsidRPr="00B66DD6">
        <w:rPr>
          <w:szCs w:val="24"/>
        </w:rPr>
        <w:t xml:space="preserve"> or cancelling th</w:t>
      </w:r>
      <w:r w:rsidRPr="00B66DD6">
        <w:rPr>
          <w:szCs w:val="24"/>
        </w:rPr>
        <w:t>e loan agreement,</w:t>
      </w:r>
      <w:r w:rsidR="006512CA" w:rsidRPr="00B66DD6">
        <w:rPr>
          <w:szCs w:val="24"/>
        </w:rPr>
        <w:t xml:space="preserve"> and no waiver of any right </w:t>
      </w:r>
      <w:r w:rsidRPr="00B66DD6">
        <w:rPr>
          <w:szCs w:val="24"/>
        </w:rPr>
        <w:t xml:space="preserve">thereunder would </w:t>
      </w:r>
      <w:r w:rsidR="006512CA" w:rsidRPr="00B66DD6">
        <w:rPr>
          <w:szCs w:val="24"/>
        </w:rPr>
        <w:t xml:space="preserve">be effective unless </w:t>
      </w:r>
      <w:r w:rsidRPr="00B66DD6">
        <w:rPr>
          <w:szCs w:val="24"/>
        </w:rPr>
        <w:t xml:space="preserve">this was done </w:t>
      </w:r>
      <w:r w:rsidR="006512CA" w:rsidRPr="00B66DD6">
        <w:rPr>
          <w:szCs w:val="24"/>
        </w:rPr>
        <w:t>in writing and signed by or on behalf of the parties</w:t>
      </w:r>
      <w:r w:rsidRPr="00B66DD6">
        <w:rPr>
          <w:szCs w:val="24"/>
        </w:rPr>
        <w:t>;</w:t>
      </w:r>
      <w:r w:rsidR="001862BF" w:rsidRPr="00B66DD6">
        <w:rPr>
          <w:szCs w:val="24"/>
        </w:rPr>
        <w:t xml:space="preserve"> </w:t>
      </w:r>
    </w:p>
    <w:p w14:paraId="310AA29B" w14:textId="2616DD06" w:rsidR="001E33C3" w:rsidRPr="00B66DD6" w:rsidRDefault="004E7D08" w:rsidP="00BB515B">
      <w:pPr>
        <w:pStyle w:val="ListParagraph"/>
        <w:numPr>
          <w:ilvl w:val="0"/>
          <w:numId w:val="44"/>
        </w:numPr>
        <w:spacing w:line="360" w:lineRule="auto"/>
        <w:ind w:left="0" w:firstLine="0"/>
        <w:jc w:val="both"/>
        <w:rPr>
          <w:szCs w:val="24"/>
        </w:rPr>
      </w:pPr>
      <w:r w:rsidRPr="00B66DD6">
        <w:rPr>
          <w:szCs w:val="24"/>
        </w:rPr>
        <w:lastRenderedPageBreak/>
        <w:t>Clause 5.1 provided</w:t>
      </w:r>
      <w:r w:rsidR="009E7935" w:rsidRPr="00B66DD6">
        <w:rPr>
          <w:szCs w:val="24"/>
        </w:rPr>
        <w:t xml:space="preserve"> that the </w:t>
      </w:r>
      <w:r w:rsidR="00E8510F" w:rsidRPr="00B66DD6">
        <w:rPr>
          <w:szCs w:val="24"/>
        </w:rPr>
        <w:t>Initial Loan (€1</w:t>
      </w:r>
      <w:r w:rsidR="0027744F">
        <w:rPr>
          <w:szCs w:val="24"/>
        </w:rPr>
        <w:t>.</w:t>
      </w:r>
      <w:r w:rsidR="00E8510F" w:rsidRPr="00B66DD6">
        <w:rPr>
          <w:szCs w:val="24"/>
        </w:rPr>
        <w:t>5 million) plus interest would be repayable in an instalment of €1 million plus interest on or before 31 January 2022</w:t>
      </w:r>
      <w:r w:rsidR="00E041B8">
        <w:rPr>
          <w:szCs w:val="24"/>
        </w:rPr>
        <w:t>,</w:t>
      </w:r>
      <w:r w:rsidR="00E8510F" w:rsidRPr="00B66DD6">
        <w:rPr>
          <w:szCs w:val="24"/>
        </w:rPr>
        <w:t xml:space="preserve"> and the balance of €500 000 plus interest</w:t>
      </w:r>
      <w:r w:rsidR="0099255C" w:rsidRPr="00B66DD6">
        <w:rPr>
          <w:szCs w:val="24"/>
        </w:rPr>
        <w:t xml:space="preserve"> </w:t>
      </w:r>
      <w:r w:rsidR="00E8510F" w:rsidRPr="00B66DD6">
        <w:rPr>
          <w:szCs w:val="24"/>
        </w:rPr>
        <w:t>in instalments of €150 000 per month commencing on 1 July 2018</w:t>
      </w:r>
      <w:r w:rsidR="00E041B8">
        <w:rPr>
          <w:szCs w:val="24"/>
        </w:rPr>
        <w:t>,</w:t>
      </w:r>
      <w:r w:rsidR="00E8510F" w:rsidRPr="00B66DD6">
        <w:rPr>
          <w:szCs w:val="24"/>
        </w:rPr>
        <w:t xml:space="preserve"> and thereafter on the </w:t>
      </w:r>
      <w:r w:rsidR="00E81A24" w:rsidRPr="00B66DD6">
        <w:rPr>
          <w:szCs w:val="24"/>
        </w:rPr>
        <w:t>first</w:t>
      </w:r>
      <w:r w:rsidR="00E8510F" w:rsidRPr="00B66DD6">
        <w:rPr>
          <w:szCs w:val="24"/>
        </w:rPr>
        <w:t xml:space="preserve"> of every following month.</w:t>
      </w:r>
      <w:r w:rsidR="009E7935" w:rsidRPr="00B66DD6">
        <w:rPr>
          <w:rStyle w:val="FootnoteReference"/>
          <w:szCs w:val="24"/>
        </w:rPr>
        <w:footnoteReference w:id="5"/>
      </w:r>
      <w:r w:rsidR="00E8510F" w:rsidRPr="00B66DD6">
        <w:rPr>
          <w:szCs w:val="24"/>
        </w:rPr>
        <w:t xml:space="preserve">  </w:t>
      </w:r>
    </w:p>
    <w:p w14:paraId="0752B9EF" w14:textId="5E455E31" w:rsidR="001E33C3" w:rsidRPr="00B66DD6" w:rsidRDefault="009E7935" w:rsidP="00BB515B">
      <w:pPr>
        <w:pStyle w:val="ListParagraph"/>
        <w:numPr>
          <w:ilvl w:val="0"/>
          <w:numId w:val="44"/>
        </w:numPr>
        <w:spacing w:line="360" w:lineRule="auto"/>
        <w:ind w:left="0" w:firstLine="0"/>
        <w:jc w:val="both"/>
        <w:rPr>
          <w:szCs w:val="24"/>
        </w:rPr>
      </w:pPr>
      <w:r w:rsidRPr="00B66DD6">
        <w:rPr>
          <w:szCs w:val="24"/>
        </w:rPr>
        <w:t>Clause 5.2 provided that t</w:t>
      </w:r>
      <w:r w:rsidR="00E8510F" w:rsidRPr="00B66DD6">
        <w:rPr>
          <w:szCs w:val="24"/>
        </w:rPr>
        <w:t>he Loan Balance (€1 million) plus interest would be repayable in instalments of €150 000 per month commencing on 31 January 2018</w:t>
      </w:r>
      <w:r w:rsidR="00E041B8">
        <w:rPr>
          <w:szCs w:val="24"/>
        </w:rPr>
        <w:t>,</w:t>
      </w:r>
      <w:r w:rsidR="00E8510F" w:rsidRPr="00B66DD6">
        <w:rPr>
          <w:szCs w:val="24"/>
        </w:rPr>
        <w:t xml:space="preserve"> and thereafter on the last day of every following month</w:t>
      </w:r>
      <w:r w:rsidRPr="00B66DD6">
        <w:rPr>
          <w:szCs w:val="24"/>
        </w:rPr>
        <w:t>.</w:t>
      </w:r>
    </w:p>
    <w:p w14:paraId="346EEEF3" w14:textId="5BEE316A" w:rsidR="00E8510F" w:rsidRPr="00B66DD6" w:rsidRDefault="004E7D08" w:rsidP="00BB515B">
      <w:pPr>
        <w:pStyle w:val="ListParagraph"/>
        <w:numPr>
          <w:ilvl w:val="0"/>
          <w:numId w:val="44"/>
        </w:numPr>
        <w:spacing w:line="360" w:lineRule="auto"/>
        <w:ind w:left="0" w:firstLine="0"/>
        <w:jc w:val="both"/>
        <w:rPr>
          <w:szCs w:val="24"/>
        </w:rPr>
      </w:pPr>
      <w:r w:rsidRPr="00B66DD6">
        <w:rPr>
          <w:szCs w:val="24"/>
        </w:rPr>
        <w:t>Clause 5.3 provided</w:t>
      </w:r>
      <w:r w:rsidR="009E7935" w:rsidRPr="00B66DD6">
        <w:rPr>
          <w:szCs w:val="24"/>
        </w:rPr>
        <w:t xml:space="preserve"> that s</w:t>
      </w:r>
      <w:r w:rsidR="00E8510F" w:rsidRPr="00B66DD6">
        <w:rPr>
          <w:szCs w:val="24"/>
        </w:rPr>
        <w:t xml:space="preserve">hould the </w:t>
      </w:r>
      <w:r w:rsidR="00E81A24" w:rsidRPr="00B66DD6">
        <w:rPr>
          <w:szCs w:val="24"/>
        </w:rPr>
        <w:t>first</w:t>
      </w:r>
      <w:r w:rsidR="00E8510F" w:rsidRPr="00B66DD6">
        <w:rPr>
          <w:szCs w:val="24"/>
        </w:rPr>
        <w:t xml:space="preserve"> appellant default </w:t>
      </w:r>
      <w:r w:rsidR="00E041B8">
        <w:rPr>
          <w:szCs w:val="24"/>
        </w:rPr>
        <w:t xml:space="preserve">in making payment of </w:t>
      </w:r>
      <w:r w:rsidR="00E8510F" w:rsidRPr="00B66DD6">
        <w:rPr>
          <w:szCs w:val="24"/>
        </w:rPr>
        <w:t>any of the instalments referred to in clauses 5.1.2 and 5.2 of the loan agreement</w:t>
      </w:r>
      <w:r w:rsidR="009E7935" w:rsidRPr="00B66DD6">
        <w:rPr>
          <w:szCs w:val="24"/>
        </w:rPr>
        <w:t>,</w:t>
      </w:r>
      <w:r w:rsidR="00E8510F" w:rsidRPr="00B66DD6">
        <w:rPr>
          <w:szCs w:val="24"/>
        </w:rPr>
        <w:t xml:space="preserve"> and should such payment not be made within fourteen days of receipt of written notice from the respondent, the respondent </w:t>
      </w:r>
      <w:r w:rsidR="0098500A" w:rsidRPr="00B66DD6">
        <w:rPr>
          <w:szCs w:val="24"/>
        </w:rPr>
        <w:t xml:space="preserve">would be entitled to </w:t>
      </w:r>
      <w:r w:rsidR="00E8510F" w:rsidRPr="00B66DD6">
        <w:rPr>
          <w:szCs w:val="24"/>
        </w:rPr>
        <w:t>declare the entire loan plus interest repayable immediately without further notice</w:t>
      </w:r>
      <w:r w:rsidR="009E7935" w:rsidRPr="00B66DD6">
        <w:rPr>
          <w:szCs w:val="24"/>
        </w:rPr>
        <w:t>.</w:t>
      </w:r>
    </w:p>
    <w:p w14:paraId="1D9E9A46" w14:textId="77777777" w:rsidR="009E7935" w:rsidRPr="00B66DD6" w:rsidRDefault="009E7935" w:rsidP="00BB515B">
      <w:pPr>
        <w:pStyle w:val="ListParagraph"/>
        <w:numPr>
          <w:ilvl w:val="0"/>
          <w:numId w:val="44"/>
        </w:numPr>
        <w:spacing w:line="360" w:lineRule="auto"/>
        <w:ind w:left="0" w:firstLine="0"/>
        <w:jc w:val="both"/>
        <w:rPr>
          <w:szCs w:val="24"/>
        </w:rPr>
      </w:pPr>
      <w:r w:rsidRPr="00B66DD6">
        <w:rPr>
          <w:szCs w:val="24"/>
        </w:rPr>
        <w:t xml:space="preserve">Clause 6.1 provided that the bond would be registered as security for the loan. </w:t>
      </w:r>
    </w:p>
    <w:p w14:paraId="55965852" w14:textId="7B6379A5" w:rsidR="00D92FAB" w:rsidRDefault="009E7935" w:rsidP="00BB515B">
      <w:pPr>
        <w:pStyle w:val="ListParagraph"/>
        <w:numPr>
          <w:ilvl w:val="0"/>
          <w:numId w:val="44"/>
        </w:numPr>
        <w:spacing w:line="360" w:lineRule="auto"/>
        <w:ind w:left="0" w:firstLine="0"/>
        <w:jc w:val="both"/>
        <w:rPr>
          <w:szCs w:val="24"/>
        </w:rPr>
      </w:pPr>
      <w:r w:rsidRPr="00B66DD6">
        <w:rPr>
          <w:szCs w:val="24"/>
        </w:rPr>
        <w:t xml:space="preserve">In terms of clause 6.2 the </w:t>
      </w:r>
      <w:r w:rsidR="00E81A24" w:rsidRPr="00B66DD6">
        <w:rPr>
          <w:szCs w:val="24"/>
        </w:rPr>
        <w:t>first</w:t>
      </w:r>
      <w:r w:rsidR="00E8510F" w:rsidRPr="00B66DD6">
        <w:rPr>
          <w:szCs w:val="24"/>
        </w:rPr>
        <w:t xml:space="preserve"> appellant </w:t>
      </w:r>
      <w:r w:rsidR="0098500A" w:rsidRPr="00B66DD6">
        <w:rPr>
          <w:szCs w:val="24"/>
        </w:rPr>
        <w:t xml:space="preserve">was obliged </w:t>
      </w:r>
      <w:r w:rsidR="00E8510F" w:rsidRPr="00B66DD6">
        <w:rPr>
          <w:szCs w:val="24"/>
        </w:rPr>
        <w:t xml:space="preserve">to </w:t>
      </w:r>
      <w:r w:rsidRPr="00B66DD6">
        <w:rPr>
          <w:i/>
          <w:szCs w:val="24"/>
        </w:rPr>
        <w:t>‘</w:t>
      </w:r>
      <w:r w:rsidR="00E8510F" w:rsidRPr="00B66DD6">
        <w:rPr>
          <w:i/>
          <w:szCs w:val="24"/>
        </w:rPr>
        <w:t>use its best endeavours to sell</w:t>
      </w:r>
      <w:r w:rsidRPr="00B66DD6">
        <w:rPr>
          <w:i/>
          <w:szCs w:val="24"/>
        </w:rPr>
        <w:t>’</w:t>
      </w:r>
      <w:r w:rsidR="00E8510F" w:rsidRPr="00B66DD6">
        <w:rPr>
          <w:szCs w:val="24"/>
        </w:rPr>
        <w:t xml:space="preserve"> the immovable properties s</w:t>
      </w:r>
      <w:r w:rsidR="00470470">
        <w:rPr>
          <w:szCs w:val="24"/>
        </w:rPr>
        <w:t xml:space="preserve">ubject to the </w:t>
      </w:r>
      <w:r w:rsidR="0098500A" w:rsidRPr="00B66DD6">
        <w:rPr>
          <w:szCs w:val="24"/>
        </w:rPr>
        <w:t>bond and</w:t>
      </w:r>
      <w:r w:rsidR="00E8510F" w:rsidRPr="00B66DD6">
        <w:rPr>
          <w:szCs w:val="24"/>
        </w:rPr>
        <w:t>, as and when sale</w:t>
      </w:r>
      <w:r w:rsidR="0098500A" w:rsidRPr="00B66DD6">
        <w:rPr>
          <w:szCs w:val="24"/>
        </w:rPr>
        <w:t>s take</w:t>
      </w:r>
      <w:r w:rsidR="00E8510F" w:rsidRPr="00B66DD6">
        <w:rPr>
          <w:szCs w:val="24"/>
        </w:rPr>
        <w:t xml:space="preserve"> place, </w:t>
      </w:r>
      <w:r w:rsidR="0098500A" w:rsidRPr="00B66DD6">
        <w:rPr>
          <w:szCs w:val="24"/>
        </w:rPr>
        <w:t xml:space="preserve">to </w:t>
      </w:r>
      <w:r w:rsidR="00E8510F" w:rsidRPr="00B66DD6">
        <w:rPr>
          <w:szCs w:val="24"/>
        </w:rPr>
        <w:t>utilise a portion of the net</w:t>
      </w:r>
      <w:r w:rsidR="00E54951">
        <w:rPr>
          <w:szCs w:val="24"/>
        </w:rPr>
        <w:t>t</w:t>
      </w:r>
      <w:r w:rsidR="00E8510F" w:rsidRPr="00B66DD6">
        <w:rPr>
          <w:szCs w:val="24"/>
        </w:rPr>
        <w:t xml:space="preserve"> proceeds towards settlement of the loan</w:t>
      </w:r>
      <w:r w:rsidR="00C528A3" w:rsidRPr="00B66DD6">
        <w:rPr>
          <w:szCs w:val="24"/>
        </w:rPr>
        <w:t xml:space="preserve">. </w:t>
      </w:r>
      <w:r w:rsidR="00020DBB" w:rsidRPr="00B66DD6">
        <w:rPr>
          <w:szCs w:val="24"/>
        </w:rPr>
        <w:t xml:space="preserve">If the Initial Loan and Loan Balance </w:t>
      </w:r>
      <w:r w:rsidR="00D92FAB">
        <w:rPr>
          <w:szCs w:val="24"/>
        </w:rPr>
        <w:t>had</w:t>
      </w:r>
    </w:p>
    <w:p w14:paraId="236F945B" w14:textId="75765790" w:rsidR="004E7D08" w:rsidRDefault="00D92FAB" w:rsidP="00BB515B">
      <w:pPr>
        <w:pStyle w:val="ListParagraph"/>
        <w:spacing w:line="360" w:lineRule="auto"/>
        <w:jc w:val="both"/>
        <w:rPr>
          <w:szCs w:val="24"/>
        </w:rPr>
      </w:pPr>
      <w:r w:rsidRPr="007B3127">
        <w:rPr>
          <w:sz w:val="22"/>
          <w:szCs w:val="24"/>
        </w:rPr>
        <w:t>‘</w:t>
      </w:r>
      <w:proofErr w:type="gramStart"/>
      <w:r w:rsidR="004E7D08" w:rsidRPr="007B3127">
        <w:rPr>
          <w:sz w:val="22"/>
          <w:szCs w:val="24"/>
        </w:rPr>
        <w:t>been</w:t>
      </w:r>
      <w:proofErr w:type="gramEnd"/>
      <w:r w:rsidR="004E7D08" w:rsidRPr="007B3127">
        <w:rPr>
          <w:sz w:val="22"/>
          <w:szCs w:val="24"/>
        </w:rPr>
        <w:t xml:space="preserve"> drawn down, </w:t>
      </w:r>
      <w:r w:rsidRPr="007B3127">
        <w:rPr>
          <w:sz w:val="22"/>
          <w:szCs w:val="24"/>
        </w:rPr>
        <w:t xml:space="preserve">Euro </w:t>
      </w:r>
      <w:r w:rsidR="004E7D08" w:rsidRPr="007B3127">
        <w:rPr>
          <w:sz w:val="22"/>
          <w:szCs w:val="24"/>
        </w:rPr>
        <w:t>125 0000 of the net</w:t>
      </w:r>
      <w:r w:rsidR="00E54951">
        <w:rPr>
          <w:sz w:val="22"/>
          <w:szCs w:val="24"/>
        </w:rPr>
        <w:t>t</w:t>
      </w:r>
      <w:r w:rsidR="004E7D08" w:rsidRPr="007B3127">
        <w:rPr>
          <w:sz w:val="22"/>
          <w:szCs w:val="24"/>
        </w:rPr>
        <w:t xml:space="preserve"> proceeds of every sale </w:t>
      </w:r>
      <w:r w:rsidRPr="007B3127">
        <w:rPr>
          <w:sz w:val="22"/>
          <w:szCs w:val="24"/>
        </w:rPr>
        <w:t>[</w:t>
      </w:r>
      <w:r w:rsidR="00020DBB" w:rsidRPr="007B3127">
        <w:rPr>
          <w:sz w:val="22"/>
          <w:szCs w:val="24"/>
        </w:rPr>
        <w:t>had</w:t>
      </w:r>
      <w:r w:rsidRPr="007B3127">
        <w:rPr>
          <w:sz w:val="22"/>
          <w:szCs w:val="24"/>
        </w:rPr>
        <w:t>]</w:t>
      </w:r>
      <w:r w:rsidR="00020DBB" w:rsidRPr="007B3127">
        <w:rPr>
          <w:sz w:val="22"/>
          <w:szCs w:val="24"/>
        </w:rPr>
        <w:t xml:space="preserve"> to be </w:t>
      </w:r>
      <w:r w:rsidR="004E7D08" w:rsidRPr="007B3127">
        <w:rPr>
          <w:sz w:val="22"/>
          <w:szCs w:val="24"/>
        </w:rPr>
        <w:t xml:space="preserve">paid to the </w:t>
      </w:r>
      <w:r w:rsidRPr="007B3127">
        <w:rPr>
          <w:sz w:val="22"/>
          <w:szCs w:val="24"/>
        </w:rPr>
        <w:t>[</w:t>
      </w:r>
      <w:r w:rsidR="00020DBB" w:rsidRPr="007B3127">
        <w:rPr>
          <w:sz w:val="22"/>
          <w:szCs w:val="24"/>
        </w:rPr>
        <w:t>respondent</w:t>
      </w:r>
      <w:r w:rsidRPr="007B3127">
        <w:rPr>
          <w:sz w:val="22"/>
          <w:szCs w:val="24"/>
        </w:rPr>
        <w:t>]</w:t>
      </w:r>
      <w:r w:rsidR="00020DBB" w:rsidRPr="007B3127">
        <w:rPr>
          <w:sz w:val="22"/>
          <w:szCs w:val="24"/>
        </w:rPr>
        <w:t xml:space="preserve"> </w:t>
      </w:r>
      <w:r w:rsidR="004E7D08" w:rsidRPr="007B3127">
        <w:rPr>
          <w:sz w:val="22"/>
          <w:szCs w:val="24"/>
        </w:rPr>
        <w:t xml:space="preserve">in return for </w:t>
      </w:r>
      <w:r w:rsidRPr="007B3127">
        <w:rPr>
          <w:sz w:val="22"/>
          <w:szCs w:val="24"/>
        </w:rPr>
        <w:t>[</w:t>
      </w:r>
      <w:r w:rsidR="00020DBB" w:rsidRPr="007B3127">
        <w:rPr>
          <w:sz w:val="22"/>
          <w:szCs w:val="24"/>
        </w:rPr>
        <w:t>him</w:t>
      </w:r>
      <w:r w:rsidRPr="007B3127">
        <w:rPr>
          <w:sz w:val="22"/>
          <w:szCs w:val="24"/>
        </w:rPr>
        <w:t>]</w:t>
      </w:r>
      <w:r w:rsidR="00020DBB" w:rsidRPr="007B3127">
        <w:rPr>
          <w:sz w:val="22"/>
          <w:szCs w:val="24"/>
        </w:rPr>
        <w:t xml:space="preserve"> </w:t>
      </w:r>
      <w:r w:rsidR="00470470" w:rsidRPr="007B3127">
        <w:rPr>
          <w:sz w:val="22"/>
          <w:szCs w:val="24"/>
        </w:rPr>
        <w:t xml:space="preserve">releasing the security on that </w:t>
      </w:r>
      <w:r w:rsidRPr="007B3127">
        <w:rPr>
          <w:sz w:val="22"/>
          <w:szCs w:val="24"/>
        </w:rPr>
        <w:t xml:space="preserve">Property </w:t>
      </w:r>
      <w:r w:rsidR="004E7D08" w:rsidRPr="007B3127">
        <w:rPr>
          <w:sz w:val="22"/>
          <w:szCs w:val="24"/>
        </w:rPr>
        <w:t xml:space="preserve">on the basis that </w:t>
      </w:r>
      <w:r w:rsidRPr="007B3127">
        <w:rPr>
          <w:sz w:val="22"/>
          <w:szCs w:val="24"/>
        </w:rPr>
        <w:t xml:space="preserve"> Euro</w:t>
      </w:r>
      <w:r w:rsidR="00381285">
        <w:rPr>
          <w:sz w:val="22"/>
          <w:szCs w:val="24"/>
        </w:rPr>
        <w:t xml:space="preserve"> </w:t>
      </w:r>
      <w:r w:rsidR="004E7D08" w:rsidRPr="007B3127">
        <w:rPr>
          <w:sz w:val="22"/>
          <w:szCs w:val="24"/>
        </w:rPr>
        <w:t>75 000 is allocated to the Initial Loan and Euro 50 000 to the Loan Balance.’</w:t>
      </w:r>
    </w:p>
    <w:p w14:paraId="41BAA55B" w14:textId="6F6AA629" w:rsidR="00E8510F" w:rsidRDefault="0052650D" w:rsidP="00BB515B">
      <w:pPr>
        <w:pStyle w:val="ListParagraph"/>
        <w:numPr>
          <w:ilvl w:val="0"/>
          <w:numId w:val="44"/>
        </w:numPr>
        <w:spacing w:line="360" w:lineRule="auto"/>
        <w:ind w:left="0" w:firstLine="0"/>
        <w:jc w:val="both"/>
        <w:rPr>
          <w:szCs w:val="24"/>
        </w:rPr>
      </w:pPr>
      <w:r w:rsidRPr="00B66DD6">
        <w:rPr>
          <w:szCs w:val="24"/>
        </w:rPr>
        <w:t xml:space="preserve">Clause 5.5 provided that to the extent that any of the properties </w:t>
      </w:r>
      <w:r>
        <w:rPr>
          <w:szCs w:val="24"/>
        </w:rPr>
        <w:t xml:space="preserve">which are subject to the bond </w:t>
      </w:r>
      <w:r w:rsidRPr="00B66DD6">
        <w:rPr>
          <w:szCs w:val="24"/>
        </w:rPr>
        <w:t>were sold in terms of clause 6.2 of the loan agreement, the amounts payable to the respondent in terms of clause 6.2 would be deemed to have settled th</w:t>
      </w:r>
      <w:r>
        <w:rPr>
          <w:szCs w:val="24"/>
        </w:rPr>
        <w:t>os</w:t>
      </w:r>
      <w:r w:rsidRPr="00B66DD6">
        <w:rPr>
          <w:szCs w:val="24"/>
        </w:rPr>
        <w:t>e instalments covered by the payments (clause 5.5).</w:t>
      </w:r>
    </w:p>
    <w:p w14:paraId="69755EDD" w14:textId="77777777" w:rsidR="00596B05" w:rsidRPr="0052650D" w:rsidRDefault="00596B05" w:rsidP="00BB515B">
      <w:pPr>
        <w:pStyle w:val="ListParagraph"/>
        <w:spacing w:line="360" w:lineRule="auto"/>
        <w:jc w:val="both"/>
        <w:rPr>
          <w:szCs w:val="24"/>
        </w:rPr>
      </w:pPr>
    </w:p>
    <w:p w14:paraId="4442BD8D" w14:textId="3A98E941" w:rsidR="001862BF" w:rsidRPr="00B66DD6" w:rsidRDefault="00020DBB" w:rsidP="00BB515B">
      <w:pPr>
        <w:pStyle w:val="ListParagraph"/>
        <w:numPr>
          <w:ilvl w:val="0"/>
          <w:numId w:val="1"/>
        </w:numPr>
        <w:spacing w:line="360" w:lineRule="auto"/>
        <w:jc w:val="both"/>
        <w:rPr>
          <w:szCs w:val="24"/>
        </w:rPr>
      </w:pPr>
      <w:r w:rsidRPr="00B66DD6">
        <w:rPr>
          <w:szCs w:val="24"/>
        </w:rPr>
        <w:t>T</w:t>
      </w:r>
      <w:r w:rsidR="004E7D08" w:rsidRPr="00B66DD6">
        <w:rPr>
          <w:szCs w:val="24"/>
        </w:rPr>
        <w:t xml:space="preserve">wo </w:t>
      </w:r>
      <w:r w:rsidR="001862BF" w:rsidRPr="00B66DD6">
        <w:rPr>
          <w:szCs w:val="24"/>
        </w:rPr>
        <w:t>written addenda to the loan agreement</w:t>
      </w:r>
      <w:r w:rsidRPr="00B66DD6">
        <w:rPr>
          <w:szCs w:val="24"/>
        </w:rPr>
        <w:t xml:space="preserve"> were concluded subsequently</w:t>
      </w:r>
      <w:r w:rsidR="001862BF" w:rsidRPr="00B66DD6">
        <w:rPr>
          <w:szCs w:val="24"/>
        </w:rPr>
        <w:t>.</w:t>
      </w:r>
    </w:p>
    <w:p w14:paraId="68A955EE" w14:textId="77777777" w:rsidR="001E33C3" w:rsidRPr="00B66DD6" w:rsidRDefault="001E33C3" w:rsidP="00BB515B">
      <w:pPr>
        <w:spacing w:line="360" w:lineRule="auto"/>
        <w:jc w:val="both"/>
      </w:pPr>
    </w:p>
    <w:p w14:paraId="3932B184" w14:textId="19025FC0" w:rsidR="00E8510F" w:rsidRPr="00B66DD6" w:rsidRDefault="00C528A3" w:rsidP="00BB515B">
      <w:pPr>
        <w:numPr>
          <w:ilvl w:val="0"/>
          <w:numId w:val="1"/>
        </w:numPr>
        <w:spacing w:line="360" w:lineRule="auto"/>
        <w:jc w:val="both"/>
      </w:pPr>
      <w:r w:rsidRPr="00B66DD6">
        <w:t>I</w:t>
      </w:r>
      <w:r w:rsidR="001862BF" w:rsidRPr="00B66DD6">
        <w:t xml:space="preserve">n terms of the </w:t>
      </w:r>
      <w:r w:rsidR="00E81A24" w:rsidRPr="00B66DD6">
        <w:t>first</w:t>
      </w:r>
      <w:r w:rsidR="001862BF" w:rsidRPr="00B66DD6">
        <w:t xml:space="preserve"> addendu</w:t>
      </w:r>
      <w:r w:rsidR="00E8510F" w:rsidRPr="00B66DD6">
        <w:t>m</w:t>
      </w:r>
      <w:r w:rsidRPr="00B66DD6">
        <w:t xml:space="preserve"> </w:t>
      </w:r>
      <w:r w:rsidR="00154608">
        <w:t xml:space="preserve">signed by the parties </w:t>
      </w:r>
      <w:r w:rsidR="004E7D08" w:rsidRPr="00B66DD6">
        <w:t xml:space="preserve">on 12 February 2018 </w:t>
      </w:r>
      <w:r w:rsidR="00E8510F" w:rsidRPr="00B66DD6">
        <w:rPr>
          <w:szCs w:val="24"/>
        </w:rPr>
        <w:t>clauses 5.1.2 and 5.2 of the loan agreement were deleted and</w:t>
      </w:r>
      <w:r w:rsidR="00020DBB" w:rsidRPr="00B66DD6">
        <w:rPr>
          <w:szCs w:val="24"/>
        </w:rPr>
        <w:t xml:space="preserve"> substituted. </w:t>
      </w:r>
      <w:r w:rsidR="00E8510F" w:rsidRPr="00B66DD6">
        <w:rPr>
          <w:szCs w:val="24"/>
        </w:rPr>
        <w:t xml:space="preserve">Clause 5.1.2 henceforth provided that the </w:t>
      </w:r>
      <w:r w:rsidR="00020DBB" w:rsidRPr="00B66DD6">
        <w:rPr>
          <w:szCs w:val="24"/>
        </w:rPr>
        <w:t xml:space="preserve">balance </w:t>
      </w:r>
      <w:r w:rsidR="00E8510F" w:rsidRPr="00B66DD6">
        <w:rPr>
          <w:szCs w:val="24"/>
        </w:rPr>
        <w:t xml:space="preserve">of €500 000 of the Initial Loan plus interest would </w:t>
      </w:r>
      <w:r w:rsidR="00E8510F" w:rsidRPr="00B66DD6">
        <w:rPr>
          <w:szCs w:val="24"/>
        </w:rPr>
        <w:lastRenderedPageBreak/>
        <w:t xml:space="preserve">be payable in instalments of €150 000 per month commencing on 1 July 2019 and thereafter on the </w:t>
      </w:r>
      <w:r w:rsidR="00E81A24" w:rsidRPr="00B66DD6">
        <w:rPr>
          <w:szCs w:val="24"/>
        </w:rPr>
        <w:t>first</w:t>
      </w:r>
      <w:r w:rsidR="00020DBB" w:rsidRPr="00B66DD6">
        <w:rPr>
          <w:szCs w:val="24"/>
        </w:rPr>
        <w:t xml:space="preserve"> day of every following month. </w:t>
      </w:r>
      <w:r w:rsidR="00E8510F" w:rsidRPr="00B66DD6">
        <w:rPr>
          <w:szCs w:val="24"/>
        </w:rPr>
        <w:t>Clause 5.2 henceforth provided that the Loan Balance plus interest would be repayable in instalments of €150 000 per month commencing on 31 January 2019 and thereafter on the last day of every following month.</w:t>
      </w:r>
    </w:p>
    <w:p w14:paraId="68D0F4C9" w14:textId="77777777" w:rsidR="00E8510F" w:rsidRPr="00B66DD6" w:rsidRDefault="00E8510F" w:rsidP="00BB515B">
      <w:pPr>
        <w:spacing w:line="360" w:lineRule="auto"/>
        <w:jc w:val="both"/>
      </w:pPr>
    </w:p>
    <w:p w14:paraId="1DCA096F" w14:textId="182B4A0C" w:rsidR="00E8510F" w:rsidRPr="00B66DD6" w:rsidRDefault="00E8510F" w:rsidP="00BB515B">
      <w:pPr>
        <w:numPr>
          <w:ilvl w:val="0"/>
          <w:numId w:val="1"/>
        </w:numPr>
        <w:spacing w:line="360" w:lineRule="auto"/>
        <w:jc w:val="both"/>
      </w:pPr>
      <w:r w:rsidRPr="00B66DD6">
        <w:t>In terms</w:t>
      </w:r>
      <w:r w:rsidRPr="00B66DD6">
        <w:rPr>
          <w:szCs w:val="24"/>
        </w:rPr>
        <w:t xml:space="preserve"> of the second addendum</w:t>
      </w:r>
      <w:r w:rsidR="004E7D08" w:rsidRPr="00B66DD6">
        <w:rPr>
          <w:szCs w:val="24"/>
        </w:rPr>
        <w:t xml:space="preserve"> </w:t>
      </w:r>
      <w:r w:rsidR="00154608">
        <w:rPr>
          <w:szCs w:val="24"/>
        </w:rPr>
        <w:t xml:space="preserve">signed by the parties </w:t>
      </w:r>
      <w:r w:rsidR="004E7D08" w:rsidRPr="00B66DD6">
        <w:rPr>
          <w:szCs w:val="24"/>
        </w:rPr>
        <w:t>concluded on 12 May 2019</w:t>
      </w:r>
      <w:r w:rsidRPr="00B66DD6">
        <w:rPr>
          <w:szCs w:val="24"/>
        </w:rPr>
        <w:t xml:space="preserve">, clauses 5.1, 5.2 and 5.3 of the loan agreement were deleted and substituted </w:t>
      </w:r>
      <w:r w:rsidR="0052650D">
        <w:rPr>
          <w:szCs w:val="24"/>
        </w:rPr>
        <w:t>with the following</w:t>
      </w:r>
      <w:r w:rsidRPr="00B66DD6">
        <w:rPr>
          <w:szCs w:val="24"/>
        </w:rPr>
        <w:t>:</w:t>
      </w:r>
    </w:p>
    <w:p w14:paraId="6AD8A97C" w14:textId="7FFD8A9E" w:rsidR="00E8510F" w:rsidRPr="00B66DD6" w:rsidRDefault="00E8510F" w:rsidP="00BB515B">
      <w:pPr>
        <w:pStyle w:val="ListParagraph"/>
        <w:spacing w:line="360" w:lineRule="auto"/>
        <w:ind w:left="709" w:hanging="709"/>
        <w:jc w:val="both"/>
        <w:rPr>
          <w:sz w:val="22"/>
          <w:szCs w:val="22"/>
        </w:rPr>
      </w:pPr>
      <w:r w:rsidRPr="00B66DD6">
        <w:rPr>
          <w:sz w:val="22"/>
          <w:szCs w:val="22"/>
        </w:rPr>
        <w:t>‘5.1</w:t>
      </w:r>
      <w:r w:rsidRPr="00B66DD6">
        <w:rPr>
          <w:sz w:val="22"/>
          <w:szCs w:val="22"/>
        </w:rPr>
        <w:tab/>
        <w:t>The Initial Loan plus interest is repayable on or before 1 March 2021 and the Loan Balance plus interest is repayable on or before 1 July 2022.</w:t>
      </w:r>
    </w:p>
    <w:p w14:paraId="120B838E" w14:textId="77777777" w:rsidR="00E8510F" w:rsidRPr="00B66DD6" w:rsidRDefault="00E8510F" w:rsidP="00BB515B">
      <w:pPr>
        <w:pStyle w:val="ListParagraph"/>
        <w:spacing w:line="360" w:lineRule="auto"/>
        <w:ind w:left="709" w:hanging="709"/>
        <w:jc w:val="both"/>
        <w:rPr>
          <w:sz w:val="22"/>
          <w:szCs w:val="22"/>
        </w:rPr>
      </w:pPr>
      <w:r w:rsidRPr="00B66DD6">
        <w:rPr>
          <w:sz w:val="22"/>
          <w:szCs w:val="22"/>
        </w:rPr>
        <w:t>5.2</w:t>
      </w:r>
      <w:r w:rsidRPr="00B66DD6">
        <w:rPr>
          <w:sz w:val="22"/>
          <w:szCs w:val="22"/>
        </w:rPr>
        <w:tab/>
        <w:t xml:space="preserve">The interest payable on the Initial Loan and the Loan Balance must be capitalized annually in </w:t>
      </w:r>
      <w:proofErr w:type="spellStart"/>
      <w:r w:rsidRPr="00B66DD6">
        <w:rPr>
          <w:sz w:val="22"/>
          <w:szCs w:val="22"/>
        </w:rPr>
        <w:t>arrear</w:t>
      </w:r>
      <w:proofErr w:type="spellEnd"/>
      <w:r w:rsidRPr="00B66DD6">
        <w:rPr>
          <w:sz w:val="22"/>
          <w:szCs w:val="22"/>
        </w:rPr>
        <w:t>.</w:t>
      </w:r>
    </w:p>
    <w:p w14:paraId="312C18AC" w14:textId="05EEF606" w:rsidR="00C47908" w:rsidRPr="00B66DD6" w:rsidRDefault="00E8510F" w:rsidP="00BB515B">
      <w:pPr>
        <w:pStyle w:val="ListParagraph"/>
        <w:spacing w:line="360" w:lineRule="auto"/>
        <w:ind w:left="709" w:hanging="709"/>
        <w:jc w:val="both"/>
        <w:rPr>
          <w:sz w:val="22"/>
          <w:szCs w:val="22"/>
        </w:rPr>
      </w:pPr>
      <w:r w:rsidRPr="00B66DD6">
        <w:rPr>
          <w:sz w:val="22"/>
          <w:szCs w:val="22"/>
        </w:rPr>
        <w:t>5.3</w:t>
      </w:r>
      <w:r w:rsidRPr="00B66DD6">
        <w:rPr>
          <w:sz w:val="22"/>
          <w:szCs w:val="22"/>
        </w:rPr>
        <w:tab/>
        <w:t xml:space="preserve">Should </w:t>
      </w:r>
      <w:proofErr w:type="spellStart"/>
      <w:r w:rsidRPr="00B66DD6">
        <w:rPr>
          <w:sz w:val="22"/>
          <w:szCs w:val="22"/>
        </w:rPr>
        <w:t>Skema</w:t>
      </w:r>
      <w:proofErr w:type="spellEnd"/>
      <w:r w:rsidRPr="00B66DD6">
        <w:rPr>
          <w:sz w:val="22"/>
          <w:szCs w:val="22"/>
        </w:rPr>
        <w:t xml:space="preserve"> fail to repay either the Initial Loan or the Loan Balance </w:t>
      </w:r>
      <w:r w:rsidRPr="00154608">
        <w:rPr>
          <w:sz w:val="22"/>
          <w:szCs w:val="22"/>
        </w:rPr>
        <w:t>timeously</w:t>
      </w:r>
      <w:r w:rsidRPr="00B66DD6">
        <w:rPr>
          <w:sz w:val="22"/>
          <w:szCs w:val="22"/>
        </w:rPr>
        <w:t xml:space="preserve"> the Lender may take such legal </w:t>
      </w:r>
      <w:r w:rsidR="00C528A3" w:rsidRPr="00B66DD6">
        <w:rPr>
          <w:sz w:val="22"/>
          <w:szCs w:val="22"/>
        </w:rPr>
        <w:t>action as he deems appropriate.’</w:t>
      </w:r>
    </w:p>
    <w:p w14:paraId="4318E536" w14:textId="77777777" w:rsidR="00FB0BA0" w:rsidRPr="00B66DD6" w:rsidRDefault="00FB0BA0" w:rsidP="00BB515B">
      <w:pPr>
        <w:spacing w:line="360" w:lineRule="auto"/>
        <w:jc w:val="both"/>
      </w:pPr>
    </w:p>
    <w:p w14:paraId="0B4A3E10" w14:textId="611A654F" w:rsidR="00E8467E" w:rsidRPr="00B66DD6" w:rsidRDefault="00E8467E" w:rsidP="00BB515B">
      <w:pPr>
        <w:numPr>
          <w:ilvl w:val="0"/>
          <w:numId w:val="1"/>
        </w:numPr>
        <w:spacing w:line="360" w:lineRule="auto"/>
        <w:jc w:val="both"/>
      </w:pPr>
      <w:r w:rsidRPr="00B66DD6">
        <w:t xml:space="preserve">On </w:t>
      </w:r>
      <w:r w:rsidR="00081BA4">
        <w:t>31 July 2020</w:t>
      </w:r>
      <w:r w:rsidRPr="00B66DD6">
        <w:t xml:space="preserve"> the r</w:t>
      </w:r>
      <w:r w:rsidR="00154608">
        <w:t>espondent in an email to the second appellant stated</w:t>
      </w:r>
      <w:r w:rsidR="00020DBB" w:rsidRPr="00B66DD6">
        <w:t>:</w:t>
      </w:r>
    </w:p>
    <w:p w14:paraId="57E9808C" w14:textId="3F170FD6" w:rsidR="00020DBB" w:rsidRPr="00154608" w:rsidRDefault="00154608" w:rsidP="00BB515B">
      <w:pPr>
        <w:spacing w:line="360" w:lineRule="auto"/>
        <w:jc w:val="both"/>
        <w:rPr>
          <w:sz w:val="22"/>
          <w:szCs w:val="22"/>
        </w:rPr>
      </w:pPr>
      <w:r>
        <w:t>‘</w:t>
      </w:r>
      <w:r w:rsidRPr="00154608">
        <w:rPr>
          <w:sz w:val="22"/>
          <w:szCs w:val="22"/>
        </w:rPr>
        <w:t>Dear Fred</w:t>
      </w:r>
    </w:p>
    <w:p w14:paraId="78906E32" w14:textId="58CEAC9E" w:rsidR="00154608" w:rsidRPr="00154608" w:rsidRDefault="00154608" w:rsidP="00BB515B">
      <w:pPr>
        <w:spacing w:line="360" w:lineRule="auto"/>
        <w:jc w:val="both"/>
        <w:rPr>
          <w:sz w:val="22"/>
          <w:szCs w:val="22"/>
        </w:rPr>
      </w:pPr>
      <w:r w:rsidRPr="00154608">
        <w:rPr>
          <w:sz w:val="22"/>
          <w:szCs w:val="22"/>
        </w:rPr>
        <w:t>Hopefully things are going well.</w:t>
      </w:r>
    </w:p>
    <w:p w14:paraId="0BC0FEF8" w14:textId="580A2313" w:rsidR="00154608" w:rsidRPr="00154608" w:rsidRDefault="00154608" w:rsidP="00BB515B">
      <w:pPr>
        <w:spacing w:line="360" w:lineRule="auto"/>
        <w:jc w:val="both"/>
        <w:rPr>
          <w:sz w:val="22"/>
          <w:szCs w:val="22"/>
        </w:rPr>
      </w:pPr>
      <w:r w:rsidRPr="00154608">
        <w:rPr>
          <w:sz w:val="22"/>
          <w:szCs w:val="22"/>
        </w:rPr>
        <w:t xml:space="preserve">Let me confirm that our common understanding of the payback of the </w:t>
      </w:r>
      <w:r w:rsidR="00796FD9">
        <w:rPr>
          <w:sz w:val="22"/>
          <w:szCs w:val="22"/>
        </w:rPr>
        <w:t>two</w:t>
      </w:r>
      <w:r w:rsidR="00796FD9" w:rsidRPr="00154608">
        <w:rPr>
          <w:sz w:val="22"/>
          <w:szCs w:val="22"/>
        </w:rPr>
        <w:t xml:space="preserve"> </w:t>
      </w:r>
      <w:r w:rsidRPr="00154608">
        <w:rPr>
          <w:sz w:val="22"/>
          <w:szCs w:val="22"/>
        </w:rPr>
        <w:t>loans over 2</w:t>
      </w:r>
      <w:proofErr w:type="gramStart"/>
      <w:r w:rsidRPr="00154608">
        <w:rPr>
          <w:sz w:val="22"/>
          <w:szCs w:val="22"/>
        </w:rPr>
        <w:t>,5</w:t>
      </w:r>
      <w:proofErr w:type="gramEnd"/>
      <w:r w:rsidRPr="00154608">
        <w:rPr>
          <w:sz w:val="22"/>
          <w:szCs w:val="22"/>
        </w:rPr>
        <w:t xml:space="preserve"> Mio Euro given from me to SKEMA was and is that this loans will be </w:t>
      </w:r>
      <w:proofErr w:type="spellStart"/>
      <w:r w:rsidRPr="00154608">
        <w:rPr>
          <w:sz w:val="22"/>
          <w:szCs w:val="22"/>
        </w:rPr>
        <w:t>payed</w:t>
      </w:r>
      <w:proofErr w:type="spellEnd"/>
      <w:r w:rsidRPr="00154608">
        <w:rPr>
          <w:sz w:val="22"/>
          <w:szCs w:val="22"/>
        </w:rPr>
        <w:t xml:space="preserve"> back from SKEMA by selling the properties.</w:t>
      </w:r>
    </w:p>
    <w:p w14:paraId="00CE74C3" w14:textId="6F4A6177" w:rsidR="00154608" w:rsidRPr="00154608" w:rsidRDefault="00796FD9" w:rsidP="00BB515B">
      <w:pPr>
        <w:spacing w:line="360" w:lineRule="auto"/>
        <w:jc w:val="both"/>
        <w:rPr>
          <w:sz w:val="22"/>
          <w:szCs w:val="22"/>
        </w:rPr>
      </w:pPr>
      <w:r>
        <w:rPr>
          <w:sz w:val="22"/>
          <w:szCs w:val="22"/>
        </w:rPr>
        <w:t>The 2</w:t>
      </w:r>
      <w:proofErr w:type="gramStart"/>
      <w:r>
        <w:rPr>
          <w:sz w:val="22"/>
          <w:szCs w:val="22"/>
        </w:rPr>
        <w:t>,</w:t>
      </w:r>
      <w:r w:rsidR="0052650D">
        <w:rPr>
          <w:sz w:val="22"/>
          <w:szCs w:val="22"/>
        </w:rPr>
        <w:t>5</w:t>
      </w:r>
      <w:proofErr w:type="gramEnd"/>
      <w:r w:rsidR="0052650D">
        <w:rPr>
          <w:sz w:val="22"/>
          <w:szCs w:val="22"/>
        </w:rPr>
        <w:t xml:space="preserve"> Mio wi</w:t>
      </w:r>
      <w:r w:rsidR="00154608" w:rsidRPr="00154608">
        <w:rPr>
          <w:sz w:val="22"/>
          <w:szCs w:val="22"/>
        </w:rPr>
        <w:t>ll not be paid back by the MINING business.</w:t>
      </w:r>
    </w:p>
    <w:p w14:paraId="23FF6866" w14:textId="2F86E39A" w:rsidR="00154608" w:rsidRPr="00154608" w:rsidRDefault="00154608" w:rsidP="00BB515B">
      <w:pPr>
        <w:spacing w:line="360" w:lineRule="auto"/>
        <w:jc w:val="both"/>
        <w:rPr>
          <w:sz w:val="22"/>
          <w:szCs w:val="22"/>
        </w:rPr>
      </w:pPr>
      <w:r w:rsidRPr="00154608">
        <w:rPr>
          <w:sz w:val="22"/>
          <w:szCs w:val="22"/>
        </w:rPr>
        <w:t>This is already proven by my agreement to the APENDIX</w:t>
      </w:r>
      <w:r w:rsidR="0052650D">
        <w:rPr>
          <w:rStyle w:val="FootnoteReference"/>
          <w:sz w:val="22"/>
          <w:szCs w:val="22"/>
        </w:rPr>
        <w:footnoteReference w:id="6"/>
      </w:r>
      <w:r w:rsidRPr="00154608">
        <w:rPr>
          <w:sz w:val="22"/>
          <w:szCs w:val="22"/>
        </w:rPr>
        <w:t xml:space="preserve"> of the loan contract in postponing the pay</w:t>
      </w:r>
      <w:r w:rsidR="00796FD9">
        <w:rPr>
          <w:sz w:val="22"/>
          <w:szCs w:val="22"/>
        </w:rPr>
        <w:t xml:space="preserve"> </w:t>
      </w:r>
      <w:r w:rsidRPr="00154608">
        <w:rPr>
          <w:sz w:val="22"/>
          <w:szCs w:val="22"/>
        </w:rPr>
        <w:t>back. Understanding that the first date was not a good timing for selling the properties.</w:t>
      </w:r>
    </w:p>
    <w:p w14:paraId="4EF343A8" w14:textId="77777777" w:rsidR="00154608" w:rsidRPr="00154608" w:rsidRDefault="00154608" w:rsidP="00BB515B">
      <w:pPr>
        <w:spacing w:line="360" w:lineRule="auto"/>
        <w:jc w:val="both"/>
        <w:rPr>
          <w:sz w:val="22"/>
          <w:szCs w:val="22"/>
        </w:rPr>
      </w:pPr>
      <w:r w:rsidRPr="00154608">
        <w:rPr>
          <w:sz w:val="22"/>
          <w:szCs w:val="22"/>
        </w:rPr>
        <w:t>With best regards</w:t>
      </w:r>
    </w:p>
    <w:p w14:paraId="6512B075" w14:textId="713168D6" w:rsidR="00020DBB" w:rsidRDefault="00154608" w:rsidP="00BB515B">
      <w:pPr>
        <w:spacing w:line="360" w:lineRule="auto"/>
        <w:jc w:val="both"/>
        <w:rPr>
          <w:sz w:val="22"/>
          <w:szCs w:val="22"/>
        </w:rPr>
      </w:pPr>
      <w:r w:rsidRPr="00154608">
        <w:rPr>
          <w:sz w:val="22"/>
          <w:szCs w:val="22"/>
        </w:rPr>
        <w:t>Robert.’</w:t>
      </w:r>
    </w:p>
    <w:p w14:paraId="79DD3400" w14:textId="77777777" w:rsidR="00B712BD" w:rsidRPr="0052650D" w:rsidRDefault="00B712BD" w:rsidP="00BB515B">
      <w:pPr>
        <w:spacing w:line="360" w:lineRule="auto"/>
        <w:jc w:val="both"/>
        <w:rPr>
          <w:sz w:val="22"/>
          <w:szCs w:val="22"/>
        </w:rPr>
      </w:pPr>
    </w:p>
    <w:p w14:paraId="2D1E1053" w14:textId="211541AC" w:rsidR="00FB0BA0" w:rsidRPr="00154608" w:rsidRDefault="00FB0BA0" w:rsidP="00BB515B">
      <w:pPr>
        <w:numPr>
          <w:ilvl w:val="0"/>
          <w:numId w:val="1"/>
        </w:numPr>
        <w:spacing w:line="360" w:lineRule="auto"/>
        <w:jc w:val="both"/>
      </w:pPr>
      <w:r w:rsidRPr="00B66DD6">
        <w:rPr>
          <w:szCs w:val="24"/>
        </w:rPr>
        <w:t>On 22 October 2020 the second appellant in an e-mail addressed to the respondent stated</w:t>
      </w:r>
      <w:r w:rsidR="00154608">
        <w:rPr>
          <w:szCs w:val="24"/>
        </w:rPr>
        <w:t xml:space="preserve"> inter alia</w:t>
      </w:r>
      <w:r w:rsidRPr="00B66DD6">
        <w:rPr>
          <w:szCs w:val="24"/>
        </w:rPr>
        <w:t>:</w:t>
      </w:r>
    </w:p>
    <w:p w14:paraId="5A3E3F75" w14:textId="17F0822C" w:rsidR="00154608" w:rsidRPr="008C50C5" w:rsidRDefault="00154608" w:rsidP="00BB515B">
      <w:pPr>
        <w:spacing w:line="360" w:lineRule="auto"/>
        <w:jc w:val="both"/>
        <w:rPr>
          <w:sz w:val="22"/>
          <w:szCs w:val="22"/>
        </w:rPr>
      </w:pPr>
      <w:r w:rsidRPr="008C50C5">
        <w:rPr>
          <w:sz w:val="22"/>
          <w:szCs w:val="22"/>
        </w:rPr>
        <w:t>‘Whilst, I am sorry to hear that there are some delays with the SLV sale, w</w:t>
      </w:r>
      <w:r w:rsidR="0052650D">
        <w:rPr>
          <w:sz w:val="22"/>
          <w:szCs w:val="22"/>
        </w:rPr>
        <w:t xml:space="preserve">hich </w:t>
      </w:r>
      <w:r w:rsidR="00796FD9">
        <w:rPr>
          <w:sz w:val="22"/>
          <w:szCs w:val="22"/>
        </w:rPr>
        <w:t xml:space="preserve">has </w:t>
      </w:r>
      <w:r w:rsidR="0052650D">
        <w:rPr>
          <w:sz w:val="22"/>
          <w:szCs w:val="22"/>
        </w:rPr>
        <w:t>cause</w:t>
      </w:r>
      <w:r w:rsidR="00796FD9">
        <w:rPr>
          <w:sz w:val="22"/>
          <w:szCs w:val="22"/>
        </w:rPr>
        <w:t>d</w:t>
      </w:r>
      <w:r w:rsidR="0052650D">
        <w:rPr>
          <w:sz w:val="22"/>
          <w:szCs w:val="22"/>
        </w:rPr>
        <w:t xml:space="preserve"> you </w:t>
      </w:r>
      <w:r w:rsidRPr="008C50C5">
        <w:rPr>
          <w:sz w:val="22"/>
          <w:szCs w:val="22"/>
        </w:rPr>
        <w:t xml:space="preserve">certain liquidity problems, it has always been our understanding that the </w:t>
      </w:r>
      <w:r w:rsidR="0052650D">
        <w:rPr>
          <w:sz w:val="22"/>
          <w:szCs w:val="22"/>
        </w:rPr>
        <w:t xml:space="preserve">Euro </w:t>
      </w:r>
      <w:r w:rsidR="00A3277F">
        <w:rPr>
          <w:sz w:val="22"/>
          <w:szCs w:val="22"/>
        </w:rPr>
        <w:t>2,</w:t>
      </w:r>
      <w:r w:rsidRPr="008C50C5">
        <w:rPr>
          <w:sz w:val="22"/>
          <w:szCs w:val="22"/>
        </w:rPr>
        <w:t xml:space="preserve">5m loan would </w:t>
      </w:r>
      <w:r w:rsidRPr="008C50C5">
        <w:rPr>
          <w:sz w:val="22"/>
          <w:szCs w:val="22"/>
        </w:rPr>
        <w:lastRenderedPageBreak/>
        <w:t>be repaid from property sales. In fact, when we need</w:t>
      </w:r>
      <w:r w:rsidR="0052650D">
        <w:rPr>
          <w:sz w:val="22"/>
          <w:szCs w:val="22"/>
        </w:rPr>
        <w:t xml:space="preserve">ed </w:t>
      </w:r>
      <w:r w:rsidRPr="008C50C5">
        <w:rPr>
          <w:sz w:val="22"/>
          <w:szCs w:val="22"/>
        </w:rPr>
        <w:t xml:space="preserve">confirmation of this for our </w:t>
      </w:r>
      <w:proofErr w:type="spellStart"/>
      <w:r w:rsidR="00796FD9">
        <w:rPr>
          <w:sz w:val="22"/>
          <w:szCs w:val="22"/>
        </w:rPr>
        <w:t>Covid</w:t>
      </w:r>
      <w:proofErr w:type="spellEnd"/>
      <w:r w:rsidR="00796FD9" w:rsidRPr="008C50C5">
        <w:rPr>
          <w:sz w:val="22"/>
          <w:szCs w:val="22"/>
        </w:rPr>
        <w:t xml:space="preserve"> </w:t>
      </w:r>
      <w:r w:rsidRPr="008C50C5">
        <w:rPr>
          <w:sz w:val="22"/>
          <w:szCs w:val="22"/>
        </w:rPr>
        <w:t>loan application in July, you confirmed that this was indeed the arrangement, and that the loan would not be repaid by the industrial business.</w:t>
      </w:r>
    </w:p>
    <w:p w14:paraId="4A338F4B" w14:textId="00BE858A" w:rsidR="00154608" w:rsidRPr="008C50C5" w:rsidRDefault="00154608" w:rsidP="00BB515B">
      <w:pPr>
        <w:spacing w:line="360" w:lineRule="auto"/>
        <w:jc w:val="both"/>
        <w:rPr>
          <w:sz w:val="22"/>
          <w:szCs w:val="22"/>
        </w:rPr>
      </w:pPr>
      <w:r w:rsidRPr="008C50C5">
        <w:rPr>
          <w:sz w:val="22"/>
          <w:szCs w:val="22"/>
        </w:rPr>
        <w:t>During our meeting on Tuesday, you however requested that we apply to Absa for a loan re-advance in order to repay the Euro 1,5m a portion of the loan plus interest, repayable in March 2021, and that you would be prepared to offer securities for the loan, either in South Africa or Germany, in addition to Absa’s first bond</w:t>
      </w:r>
      <w:r w:rsidR="00796FD9">
        <w:rPr>
          <w:sz w:val="22"/>
          <w:szCs w:val="22"/>
        </w:rPr>
        <w:t>.</w:t>
      </w:r>
    </w:p>
    <w:p w14:paraId="4209ABE0" w14:textId="536C4A9E" w:rsidR="00154608" w:rsidRPr="008C50C5" w:rsidRDefault="00154608" w:rsidP="00BB515B">
      <w:pPr>
        <w:spacing w:line="360" w:lineRule="auto"/>
        <w:jc w:val="both"/>
        <w:rPr>
          <w:sz w:val="22"/>
          <w:szCs w:val="22"/>
        </w:rPr>
      </w:pPr>
      <w:r w:rsidRPr="008C50C5">
        <w:rPr>
          <w:sz w:val="22"/>
          <w:szCs w:val="22"/>
        </w:rPr>
        <w:t>. . .</w:t>
      </w:r>
    </w:p>
    <w:p w14:paraId="5DAD10D9" w14:textId="364D297F" w:rsidR="00154608" w:rsidRPr="008C50C5" w:rsidRDefault="00154608" w:rsidP="00BB515B">
      <w:pPr>
        <w:spacing w:line="360" w:lineRule="auto"/>
        <w:jc w:val="both"/>
        <w:rPr>
          <w:sz w:val="22"/>
          <w:szCs w:val="22"/>
        </w:rPr>
      </w:pPr>
      <w:r w:rsidRPr="008C50C5">
        <w:rPr>
          <w:sz w:val="22"/>
          <w:szCs w:val="22"/>
        </w:rPr>
        <w:t>Robert, this is unfortunately not possible for the following reasons:</w:t>
      </w:r>
    </w:p>
    <w:p w14:paraId="493DCA1F" w14:textId="2975AC4D" w:rsidR="00154608" w:rsidRPr="008C50C5" w:rsidRDefault="00154608" w:rsidP="00BB515B">
      <w:pPr>
        <w:spacing w:line="360" w:lineRule="auto"/>
        <w:jc w:val="both"/>
        <w:rPr>
          <w:sz w:val="22"/>
          <w:szCs w:val="22"/>
        </w:rPr>
      </w:pPr>
      <w:r w:rsidRPr="008C50C5">
        <w:rPr>
          <w:sz w:val="22"/>
          <w:szCs w:val="22"/>
        </w:rPr>
        <w:t>. . .</w:t>
      </w:r>
    </w:p>
    <w:p w14:paraId="4DD01D25" w14:textId="65ABD196" w:rsidR="00154608" w:rsidRPr="007B3127" w:rsidRDefault="008C50C5" w:rsidP="007B3127">
      <w:pPr>
        <w:pStyle w:val="ListParagraph"/>
        <w:numPr>
          <w:ilvl w:val="0"/>
          <w:numId w:val="49"/>
        </w:numPr>
        <w:spacing w:line="360" w:lineRule="auto"/>
        <w:jc w:val="both"/>
        <w:rPr>
          <w:sz w:val="22"/>
          <w:szCs w:val="22"/>
        </w:rPr>
      </w:pPr>
      <w:r w:rsidRPr="007B3127">
        <w:rPr>
          <w:sz w:val="22"/>
          <w:szCs w:val="22"/>
        </w:rPr>
        <w:t xml:space="preserve">Nedbank, as the </w:t>
      </w:r>
      <w:r w:rsidR="00796FD9" w:rsidRPr="007B3127">
        <w:rPr>
          <w:sz w:val="22"/>
          <w:szCs w:val="22"/>
        </w:rPr>
        <w:t xml:space="preserve">company’s </w:t>
      </w:r>
      <w:r w:rsidRPr="007B3127">
        <w:rPr>
          <w:sz w:val="22"/>
          <w:szCs w:val="22"/>
        </w:rPr>
        <w:t xml:space="preserve">banker, will not allow any new </w:t>
      </w:r>
      <w:proofErr w:type="spellStart"/>
      <w:r w:rsidRPr="007B3127">
        <w:rPr>
          <w:sz w:val="22"/>
          <w:szCs w:val="22"/>
        </w:rPr>
        <w:t>Skema</w:t>
      </w:r>
      <w:proofErr w:type="spellEnd"/>
      <w:r w:rsidRPr="007B3127">
        <w:rPr>
          <w:sz w:val="22"/>
          <w:szCs w:val="22"/>
        </w:rPr>
        <w:t xml:space="preserve"> Holdings loan to be repaid out of the industrial business – this is why they require confirmation that your loan will be repaid from property sales and not by the industrial business, prior to granting the </w:t>
      </w:r>
      <w:proofErr w:type="spellStart"/>
      <w:r w:rsidR="00796FD9" w:rsidRPr="007B3127">
        <w:rPr>
          <w:sz w:val="22"/>
          <w:szCs w:val="22"/>
        </w:rPr>
        <w:t>Covid</w:t>
      </w:r>
      <w:proofErr w:type="spellEnd"/>
      <w:r w:rsidR="00796FD9" w:rsidRPr="007B3127">
        <w:rPr>
          <w:sz w:val="22"/>
          <w:szCs w:val="22"/>
        </w:rPr>
        <w:t xml:space="preserve"> </w:t>
      </w:r>
      <w:r w:rsidRPr="007B3127">
        <w:rPr>
          <w:sz w:val="22"/>
          <w:szCs w:val="22"/>
        </w:rPr>
        <w:t>loan.</w:t>
      </w:r>
    </w:p>
    <w:p w14:paraId="17F35992" w14:textId="1DF59958" w:rsidR="008C50C5" w:rsidRPr="007B3127" w:rsidRDefault="008C50C5" w:rsidP="007B3127">
      <w:pPr>
        <w:pStyle w:val="ListParagraph"/>
        <w:numPr>
          <w:ilvl w:val="0"/>
          <w:numId w:val="49"/>
        </w:numPr>
        <w:spacing w:line="360" w:lineRule="auto"/>
        <w:jc w:val="both"/>
        <w:rPr>
          <w:sz w:val="22"/>
          <w:szCs w:val="22"/>
        </w:rPr>
      </w:pPr>
      <w:proofErr w:type="spellStart"/>
      <w:r w:rsidRPr="007B3127">
        <w:rPr>
          <w:sz w:val="22"/>
          <w:szCs w:val="22"/>
        </w:rPr>
        <w:t>Skema</w:t>
      </w:r>
      <w:proofErr w:type="spellEnd"/>
      <w:r w:rsidRPr="007B3127">
        <w:rPr>
          <w:sz w:val="22"/>
          <w:szCs w:val="22"/>
        </w:rPr>
        <w:t xml:space="preserve"> Mining Components has </w:t>
      </w:r>
      <w:r w:rsidR="00F06609" w:rsidRPr="007B3127">
        <w:rPr>
          <w:sz w:val="22"/>
          <w:szCs w:val="22"/>
        </w:rPr>
        <w:t xml:space="preserve">Neil </w:t>
      </w:r>
      <w:r w:rsidRPr="007B3127">
        <w:rPr>
          <w:sz w:val="22"/>
          <w:szCs w:val="22"/>
        </w:rPr>
        <w:t xml:space="preserve">as a 26% shareholder, and Neil is not involved in </w:t>
      </w:r>
      <w:proofErr w:type="spellStart"/>
      <w:r w:rsidRPr="007B3127">
        <w:rPr>
          <w:sz w:val="22"/>
          <w:szCs w:val="22"/>
        </w:rPr>
        <w:t>Skema</w:t>
      </w:r>
      <w:proofErr w:type="spellEnd"/>
      <w:r w:rsidRPr="007B3127">
        <w:rPr>
          <w:sz w:val="22"/>
          <w:szCs w:val="22"/>
        </w:rPr>
        <w:t xml:space="preserve"> Holdings.’ </w:t>
      </w:r>
    </w:p>
    <w:p w14:paraId="478538FA" w14:textId="77777777" w:rsidR="00154608" w:rsidRPr="00B66DD6" w:rsidRDefault="00154608" w:rsidP="00BB515B">
      <w:pPr>
        <w:spacing w:line="360" w:lineRule="auto"/>
        <w:jc w:val="both"/>
      </w:pPr>
    </w:p>
    <w:p w14:paraId="06FA7EE5" w14:textId="703D904E" w:rsidR="00FB0BA0" w:rsidRPr="00F06609" w:rsidRDefault="00F06609" w:rsidP="00BB515B">
      <w:pPr>
        <w:numPr>
          <w:ilvl w:val="0"/>
          <w:numId w:val="1"/>
        </w:numPr>
        <w:spacing w:line="360" w:lineRule="auto"/>
        <w:jc w:val="both"/>
      </w:pPr>
      <w:r>
        <w:rPr>
          <w:szCs w:val="24"/>
        </w:rPr>
        <w:t>On 16 November 2020 the a</w:t>
      </w:r>
      <w:r w:rsidR="00FB0BA0" w:rsidRPr="00B66DD6">
        <w:rPr>
          <w:szCs w:val="24"/>
        </w:rPr>
        <w:t>ppellants’ attorney,</w:t>
      </w:r>
      <w:r w:rsidR="00DB769C">
        <w:rPr>
          <w:szCs w:val="24"/>
        </w:rPr>
        <w:t xml:space="preserve"> Mr. David </w:t>
      </w:r>
      <w:proofErr w:type="spellStart"/>
      <w:r w:rsidR="00DB769C">
        <w:rPr>
          <w:szCs w:val="24"/>
        </w:rPr>
        <w:t>Warmback</w:t>
      </w:r>
      <w:proofErr w:type="spellEnd"/>
      <w:r w:rsidR="00020DBB" w:rsidRPr="00B66DD6">
        <w:rPr>
          <w:szCs w:val="24"/>
        </w:rPr>
        <w:t xml:space="preserve">, </w:t>
      </w:r>
      <w:r>
        <w:rPr>
          <w:szCs w:val="24"/>
        </w:rPr>
        <w:t xml:space="preserve">in an </w:t>
      </w:r>
      <w:r w:rsidR="00020DBB" w:rsidRPr="00B66DD6">
        <w:rPr>
          <w:szCs w:val="24"/>
        </w:rPr>
        <w:t>e-mail</w:t>
      </w:r>
      <w:r>
        <w:rPr>
          <w:szCs w:val="24"/>
        </w:rPr>
        <w:t xml:space="preserve"> to the respondent</w:t>
      </w:r>
      <w:r w:rsidR="00020DBB" w:rsidRPr="00B66DD6">
        <w:rPr>
          <w:szCs w:val="24"/>
        </w:rPr>
        <w:t xml:space="preserve"> </w:t>
      </w:r>
      <w:r>
        <w:rPr>
          <w:szCs w:val="24"/>
        </w:rPr>
        <w:t xml:space="preserve">commented </w:t>
      </w:r>
      <w:r w:rsidR="00FB0BA0" w:rsidRPr="00B66DD6">
        <w:rPr>
          <w:szCs w:val="24"/>
        </w:rPr>
        <w:t xml:space="preserve">as follows </w:t>
      </w:r>
      <w:r>
        <w:rPr>
          <w:szCs w:val="24"/>
        </w:rPr>
        <w:t xml:space="preserve">regarding </w:t>
      </w:r>
      <w:r w:rsidR="00FB0BA0" w:rsidRPr="00B66DD6">
        <w:rPr>
          <w:szCs w:val="24"/>
        </w:rPr>
        <w:t>the repayment of the Initial Loan and the Loan Balance and the due dates of such repayment:</w:t>
      </w:r>
    </w:p>
    <w:p w14:paraId="52E2CBCA" w14:textId="0B945C4F" w:rsidR="00FB0BA0" w:rsidRPr="00B66DD6" w:rsidRDefault="00FB0BA0" w:rsidP="00BB515B">
      <w:pPr>
        <w:spacing w:line="360" w:lineRule="auto"/>
        <w:jc w:val="both"/>
        <w:rPr>
          <w:sz w:val="22"/>
        </w:rPr>
      </w:pPr>
      <w:r w:rsidRPr="00B66DD6">
        <w:rPr>
          <w:sz w:val="22"/>
        </w:rPr>
        <w:t xml:space="preserve">‘The second addendum provides that the Initial Loan (Euro 1.5m) plus interest on the Initial Loan is repayable on or before 1 March 2021 and the Loan Balance (Euro 1m) plus interest on the Loan Balance on or before 1 July </w:t>
      </w:r>
      <w:r w:rsidR="00796FD9" w:rsidRPr="00B66DD6">
        <w:rPr>
          <w:sz w:val="22"/>
        </w:rPr>
        <w:t>202</w:t>
      </w:r>
      <w:r w:rsidR="00796FD9">
        <w:rPr>
          <w:sz w:val="22"/>
        </w:rPr>
        <w:t>2</w:t>
      </w:r>
      <w:r w:rsidRPr="00B66DD6">
        <w:rPr>
          <w:sz w:val="22"/>
        </w:rPr>
        <w:t xml:space="preserve">.  It is therefore the Euro 1.5m plus the capitalised interest on the Euro 1.5m which is due by 1 March 2021. </w:t>
      </w:r>
    </w:p>
    <w:p w14:paraId="61B0F1DA" w14:textId="77270A91" w:rsidR="00FB0BA0" w:rsidRPr="00B66DD6" w:rsidRDefault="00796FD9" w:rsidP="00BB515B">
      <w:pPr>
        <w:pStyle w:val="ListParagraph"/>
        <w:spacing w:line="360" w:lineRule="auto"/>
        <w:ind w:left="0"/>
        <w:jc w:val="both"/>
        <w:rPr>
          <w:sz w:val="22"/>
        </w:rPr>
      </w:pPr>
      <w:r>
        <w:rPr>
          <w:sz w:val="22"/>
        </w:rPr>
        <w:t xml:space="preserve">. . . </w:t>
      </w:r>
    </w:p>
    <w:p w14:paraId="635A7BFB" w14:textId="25B41E91" w:rsidR="00FB0BA0" w:rsidRPr="00B66DD6" w:rsidRDefault="00FB0BA0" w:rsidP="00BB515B">
      <w:pPr>
        <w:spacing w:line="360" w:lineRule="auto"/>
        <w:jc w:val="both"/>
        <w:rPr>
          <w:sz w:val="22"/>
        </w:rPr>
      </w:pPr>
      <w:r w:rsidRPr="00B66DD6">
        <w:rPr>
          <w:sz w:val="22"/>
        </w:rPr>
        <w:t xml:space="preserve">In the event of </w:t>
      </w:r>
      <w:proofErr w:type="spellStart"/>
      <w:r w:rsidRPr="00B66DD6">
        <w:rPr>
          <w:sz w:val="22"/>
        </w:rPr>
        <w:t>Skema</w:t>
      </w:r>
      <w:proofErr w:type="spellEnd"/>
      <w:r w:rsidRPr="00B66DD6">
        <w:rPr>
          <w:sz w:val="22"/>
        </w:rPr>
        <w:t xml:space="preserve"> not being able to pay you timeously, and you do not conclude a further addendum to the Loan Agreement, you will be entitled to call up the Bond and proceed against the properties.  The properties would be the subject of an auction sale.  In the event that your claim exceeds Euro 3 000 000, being the sum of the capital amount and additional amount covered by the Bond, you will still be entitled to proceed legally against </w:t>
      </w:r>
      <w:proofErr w:type="spellStart"/>
      <w:r w:rsidRPr="00B66DD6">
        <w:rPr>
          <w:sz w:val="22"/>
        </w:rPr>
        <w:t>Skema</w:t>
      </w:r>
      <w:proofErr w:type="spellEnd"/>
      <w:r w:rsidRPr="00B66DD6">
        <w:rPr>
          <w:sz w:val="22"/>
        </w:rPr>
        <w:t xml:space="preserve"> for any shortfall.</w:t>
      </w:r>
    </w:p>
    <w:p w14:paraId="0F5F14EA" w14:textId="0675B005" w:rsidR="00FB0BA0" w:rsidRPr="00B66DD6" w:rsidRDefault="00FB0BA0" w:rsidP="00BB515B">
      <w:pPr>
        <w:spacing w:line="360" w:lineRule="auto"/>
        <w:jc w:val="both"/>
        <w:rPr>
          <w:sz w:val="22"/>
        </w:rPr>
      </w:pPr>
      <w:r w:rsidRPr="00B66DD6">
        <w:rPr>
          <w:sz w:val="22"/>
        </w:rPr>
        <w:t>I understand from my client that it intends selling a number of properties as soon as possible to assist you with your interest issue with the German tax authorities, and our client is fairly confident of achieving this by 1 March 2021, based on feedback from agents.</w:t>
      </w:r>
    </w:p>
    <w:p w14:paraId="4DB20543" w14:textId="7BB4338C" w:rsidR="00FB0BA0" w:rsidRPr="00B66DD6" w:rsidRDefault="00FB0BA0" w:rsidP="00BB515B">
      <w:pPr>
        <w:spacing w:line="360" w:lineRule="auto"/>
        <w:jc w:val="both"/>
        <w:rPr>
          <w:szCs w:val="24"/>
        </w:rPr>
      </w:pPr>
      <w:r w:rsidRPr="00B66DD6">
        <w:rPr>
          <w:sz w:val="22"/>
        </w:rPr>
        <w:lastRenderedPageBreak/>
        <w:t>The balance of Euro 1m (</w:t>
      </w:r>
      <w:proofErr w:type="spellStart"/>
      <w:r w:rsidRPr="00B66DD6">
        <w:rPr>
          <w:sz w:val="22"/>
        </w:rPr>
        <w:t>ie</w:t>
      </w:r>
      <w:proofErr w:type="spellEnd"/>
      <w:r w:rsidRPr="00B66DD6">
        <w:rPr>
          <w:sz w:val="22"/>
        </w:rPr>
        <w:t xml:space="preserve"> Loan Balance) plus interest on the Loan Balance is due to be paid by </w:t>
      </w:r>
      <w:proofErr w:type="spellStart"/>
      <w:r w:rsidRPr="00B66DD6">
        <w:rPr>
          <w:sz w:val="22"/>
        </w:rPr>
        <w:t>Skema</w:t>
      </w:r>
      <w:proofErr w:type="spellEnd"/>
      <w:r w:rsidRPr="00B66DD6">
        <w:rPr>
          <w:sz w:val="22"/>
        </w:rPr>
        <w:t xml:space="preserve"> to you on or before 1 July 2022.’</w:t>
      </w:r>
    </w:p>
    <w:p w14:paraId="4180B448" w14:textId="77777777" w:rsidR="00FB0BA0" w:rsidRPr="00B66DD6" w:rsidRDefault="00FB0BA0" w:rsidP="00BB515B">
      <w:pPr>
        <w:pStyle w:val="ListParagraph"/>
        <w:spacing w:line="360" w:lineRule="auto"/>
        <w:jc w:val="both"/>
        <w:rPr>
          <w:szCs w:val="24"/>
        </w:rPr>
      </w:pPr>
    </w:p>
    <w:p w14:paraId="0190F8F0" w14:textId="145C4A38" w:rsidR="00FB0BA0" w:rsidRDefault="00FB0BA0" w:rsidP="00BB515B">
      <w:pPr>
        <w:pStyle w:val="ListParagraph"/>
        <w:numPr>
          <w:ilvl w:val="0"/>
          <w:numId w:val="1"/>
        </w:numPr>
        <w:spacing w:line="360" w:lineRule="auto"/>
        <w:jc w:val="both"/>
        <w:rPr>
          <w:szCs w:val="24"/>
        </w:rPr>
      </w:pPr>
      <w:r w:rsidRPr="00B66DD6">
        <w:rPr>
          <w:szCs w:val="24"/>
        </w:rPr>
        <w:t xml:space="preserve">On 24 November 2020 </w:t>
      </w:r>
      <w:r w:rsidR="00F06609">
        <w:rPr>
          <w:szCs w:val="24"/>
        </w:rPr>
        <w:t xml:space="preserve">Mr Coetzee, another of </w:t>
      </w:r>
      <w:r w:rsidRPr="00B66DD6">
        <w:rPr>
          <w:szCs w:val="24"/>
        </w:rPr>
        <w:t>th</w:t>
      </w:r>
      <w:r w:rsidR="00E8467E" w:rsidRPr="00B66DD6">
        <w:rPr>
          <w:szCs w:val="24"/>
        </w:rPr>
        <w:t xml:space="preserve">e appellants’ </w:t>
      </w:r>
      <w:r w:rsidRPr="00B66DD6">
        <w:rPr>
          <w:szCs w:val="24"/>
        </w:rPr>
        <w:t>attorney</w:t>
      </w:r>
      <w:r w:rsidR="00F06609">
        <w:rPr>
          <w:szCs w:val="24"/>
        </w:rPr>
        <w:t>s</w:t>
      </w:r>
      <w:r w:rsidRPr="00B66DD6">
        <w:rPr>
          <w:szCs w:val="24"/>
        </w:rPr>
        <w:t xml:space="preserve">,  addressed an e-mail to the respondent in response to the respondent’s enquiry in respect of Mr </w:t>
      </w:r>
      <w:proofErr w:type="spellStart"/>
      <w:r w:rsidRPr="00B66DD6">
        <w:rPr>
          <w:szCs w:val="24"/>
        </w:rPr>
        <w:t>Warmback’s</w:t>
      </w:r>
      <w:proofErr w:type="spellEnd"/>
      <w:r w:rsidRPr="00B66DD6">
        <w:rPr>
          <w:szCs w:val="24"/>
        </w:rPr>
        <w:t xml:space="preserve"> e-mail of</w:t>
      </w:r>
      <w:r w:rsidR="008C50C5">
        <w:rPr>
          <w:szCs w:val="24"/>
        </w:rPr>
        <w:t xml:space="preserve"> 16 November 2020 stating:</w:t>
      </w:r>
    </w:p>
    <w:p w14:paraId="224AACD4" w14:textId="68295E71" w:rsidR="008C50C5" w:rsidRPr="00174C64" w:rsidRDefault="008C50C5" w:rsidP="00BB515B">
      <w:pPr>
        <w:pStyle w:val="ListParagraph"/>
        <w:spacing w:line="360" w:lineRule="auto"/>
        <w:ind w:left="709" w:hanging="709"/>
        <w:jc w:val="both"/>
        <w:rPr>
          <w:sz w:val="22"/>
          <w:szCs w:val="22"/>
        </w:rPr>
      </w:pPr>
      <w:r w:rsidRPr="00174C64">
        <w:rPr>
          <w:sz w:val="22"/>
          <w:szCs w:val="22"/>
        </w:rPr>
        <w:t>‘1.</w:t>
      </w:r>
      <w:r w:rsidRPr="00174C64">
        <w:rPr>
          <w:sz w:val="22"/>
          <w:szCs w:val="22"/>
        </w:rPr>
        <w:tab/>
        <w:t xml:space="preserve">I am back from leave and David </w:t>
      </w:r>
      <w:proofErr w:type="spellStart"/>
      <w:r w:rsidRPr="00174C64">
        <w:rPr>
          <w:sz w:val="22"/>
          <w:szCs w:val="22"/>
        </w:rPr>
        <w:t>Warmback</w:t>
      </w:r>
      <w:proofErr w:type="spellEnd"/>
      <w:r w:rsidRPr="00174C64">
        <w:rPr>
          <w:sz w:val="22"/>
          <w:szCs w:val="22"/>
        </w:rPr>
        <w:t xml:space="preserve"> has passed on to me your email of 19 November 2020 for reply.</w:t>
      </w:r>
    </w:p>
    <w:p w14:paraId="1618F616" w14:textId="1EB5E6CF" w:rsidR="008C50C5" w:rsidRPr="00796FD9" w:rsidRDefault="00796FD9" w:rsidP="00BB515B">
      <w:pPr>
        <w:spacing w:line="360" w:lineRule="auto"/>
        <w:ind w:left="709" w:hanging="709"/>
        <w:jc w:val="both"/>
        <w:rPr>
          <w:sz w:val="22"/>
          <w:szCs w:val="22"/>
        </w:rPr>
      </w:pPr>
      <w:r>
        <w:rPr>
          <w:sz w:val="22"/>
          <w:szCs w:val="22"/>
        </w:rPr>
        <w:t>2.</w:t>
      </w:r>
      <w:r>
        <w:rPr>
          <w:sz w:val="22"/>
          <w:szCs w:val="22"/>
        </w:rPr>
        <w:tab/>
      </w:r>
      <w:r w:rsidR="008C50C5" w:rsidRPr="00796FD9">
        <w:rPr>
          <w:sz w:val="22"/>
          <w:szCs w:val="22"/>
        </w:rPr>
        <w:t>You are correct that the loans are repayable in Euros and that the exchange</w:t>
      </w:r>
      <w:r w:rsidR="00174C64" w:rsidRPr="00796FD9">
        <w:rPr>
          <w:sz w:val="22"/>
          <w:szCs w:val="22"/>
        </w:rPr>
        <w:t xml:space="preserve"> which would apply will be the rate applicable at the time of repayment.</w:t>
      </w:r>
    </w:p>
    <w:p w14:paraId="2E0A9F78" w14:textId="55A5FCFE" w:rsidR="00174C64" w:rsidRPr="00796FD9" w:rsidRDefault="00796FD9" w:rsidP="00BB515B">
      <w:pPr>
        <w:spacing w:line="360" w:lineRule="auto"/>
        <w:ind w:left="709" w:hanging="709"/>
        <w:jc w:val="both"/>
        <w:rPr>
          <w:sz w:val="22"/>
          <w:szCs w:val="22"/>
        </w:rPr>
      </w:pPr>
      <w:r>
        <w:rPr>
          <w:sz w:val="22"/>
          <w:szCs w:val="22"/>
        </w:rPr>
        <w:t>3.</w:t>
      </w:r>
      <w:r>
        <w:rPr>
          <w:sz w:val="22"/>
          <w:szCs w:val="22"/>
        </w:rPr>
        <w:tab/>
      </w:r>
      <w:r w:rsidR="00174C64" w:rsidRPr="00796FD9">
        <w:rPr>
          <w:sz w:val="22"/>
          <w:szCs w:val="22"/>
        </w:rPr>
        <w:t xml:space="preserve">Quite simply, as a result of the weakening of the </w:t>
      </w:r>
      <w:r>
        <w:rPr>
          <w:sz w:val="22"/>
          <w:szCs w:val="22"/>
        </w:rPr>
        <w:t>Rand</w:t>
      </w:r>
      <w:r w:rsidRPr="00796FD9">
        <w:rPr>
          <w:sz w:val="22"/>
          <w:szCs w:val="22"/>
        </w:rPr>
        <w:t xml:space="preserve"> </w:t>
      </w:r>
      <w:r w:rsidR="00174C64" w:rsidRPr="00796FD9">
        <w:rPr>
          <w:sz w:val="22"/>
          <w:szCs w:val="22"/>
        </w:rPr>
        <w:t xml:space="preserve">against the Euro, it is going to be necessary for </w:t>
      </w:r>
      <w:proofErr w:type="spellStart"/>
      <w:r w:rsidR="00174C64" w:rsidRPr="00796FD9">
        <w:rPr>
          <w:sz w:val="22"/>
          <w:szCs w:val="22"/>
        </w:rPr>
        <w:t>Skema</w:t>
      </w:r>
      <w:proofErr w:type="spellEnd"/>
      <w:r w:rsidR="00174C64" w:rsidRPr="00796FD9">
        <w:rPr>
          <w:sz w:val="22"/>
          <w:szCs w:val="22"/>
        </w:rPr>
        <w:t xml:space="preserve"> to sell more properties to repay the loans plus capitalised interest. </w:t>
      </w:r>
      <w:proofErr w:type="spellStart"/>
      <w:r w:rsidR="00174C64" w:rsidRPr="00796FD9">
        <w:rPr>
          <w:sz w:val="22"/>
          <w:szCs w:val="22"/>
        </w:rPr>
        <w:t>Skema</w:t>
      </w:r>
      <w:proofErr w:type="spellEnd"/>
      <w:r w:rsidR="00174C64" w:rsidRPr="00796FD9">
        <w:rPr>
          <w:sz w:val="22"/>
          <w:szCs w:val="22"/>
        </w:rPr>
        <w:t xml:space="preserve"> is however not precluded from selling its properties at a predetermined price</w:t>
      </w:r>
      <w:r>
        <w:rPr>
          <w:sz w:val="22"/>
          <w:szCs w:val="22"/>
        </w:rPr>
        <w:t>. . .’</w:t>
      </w:r>
    </w:p>
    <w:p w14:paraId="09EC566C" w14:textId="77777777" w:rsidR="00E8467E" w:rsidRPr="00B66DD6" w:rsidRDefault="00E8467E" w:rsidP="00BB515B">
      <w:pPr>
        <w:spacing w:line="360" w:lineRule="auto"/>
        <w:jc w:val="both"/>
      </w:pPr>
    </w:p>
    <w:p w14:paraId="34C9CE8D" w14:textId="18223560" w:rsidR="00FB0BA0" w:rsidRPr="00B66DD6" w:rsidRDefault="00FB0BA0" w:rsidP="00BB515B">
      <w:pPr>
        <w:spacing w:line="360" w:lineRule="auto"/>
        <w:jc w:val="both"/>
        <w:rPr>
          <w:b/>
        </w:rPr>
      </w:pPr>
      <w:r w:rsidRPr="00B66DD6">
        <w:rPr>
          <w:b/>
        </w:rPr>
        <w:t xml:space="preserve">The </w:t>
      </w:r>
      <w:r w:rsidR="00020DBB" w:rsidRPr="00B66DD6">
        <w:rPr>
          <w:b/>
        </w:rPr>
        <w:t xml:space="preserve">principal </w:t>
      </w:r>
      <w:r w:rsidRPr="00B66DD6">
        <w:rPr>
          <w:b/>
        </w:rPr>
        <w:t>issue</w:t>
      </w:r>
    </w:p>
    <w:p w14:paraId="33981339" w14:textId="17F46189" w:rsidR="00F06609" w:rsidRPr="00655473" w:rsidRDefault="00E8467E" w:rsidP="00BB515B">
      <w:pPr>
        <w:numPr>
          <w:ilvl w:val="0"/>
          <w:numId w:val="1"/>
        </w:numPr>
        <w:spacing w:line="360" w:lineRule="auto"/>
        <w:jc w:val="both"/>
      </w:pPr>
      <w:r w:rsidRPr="00B66DD6">
        <w:rPr>
          <w:szCs w:val="24"/>
        </w:rPr>
        <w:t>As</w:t>
      </w:r>
      <w:r w:rsidR="000D1FE3" w:rsidRPr="00B66DD6">
        <w:rPr>
          <w:szCs w:val="24"/>
        </w:rPr>
        <w:t xml:space="preserve"> will be apparent from the above, the </w:t>
      </w:r>
      <w:r w:rsidR="00FB0BA0" w:rsidRPr="00B66DD6">
        <w:rPr>
          <w:szCs w:val="24"/>
        </w:rPr>
        <w:t>principal issue in this matter is whether the sum of €1</w:t>
      </w:r>
      <w:r w:rsidR="00596B05">
        <w:rPr>
          <w:szCs w:val="24"/>
        </w:rPr>
        <w:t>.</w:t>
      </w:r>
      <w:r w:rsidR="00FB0BA0" w:rsidRPr="00B66DD6">
        <w:rPr>
          <w:szCs w:val="24"/>
        </w:rPr>
        <w:t>5 million claimed by the respondent fell due for payment on 1 March 2021.  The respondent contends that on a proper interpretation of the terms of the loan agreemen</w:t>
      </w:r>
      <w:r w:rsidR="00174C64">
        <w:rPr>
          <w:szCs w:val="24"/>
        </w:rPr>
        <w:t xml:space="preserve">t, the addenda and the </w:t>
      </w:r>
      <w:r w:rsidR="00FB0BA0" w:rsidRPr="00B66DD6">
        <w:rPr>
          <w:szCs w:val="24"/>
        </w:rPr>
        <w:t>bond</w:t>
      </w:r>
      <w:r w:rsidR="00DB769C">
        <w:rPr>
          <w:szCs w:val="24"/>
        </w:rPr>
        <w:t>,</w:t>
      </w:r>
      <w:r w:rsidR="00FB0BA0" w:rsidRPr="00B66DD6">
        <w:rPr>
          <w:szCs w:val="24"/>
        </w:rPr>
        <w:t xml:space="preserve"> and having due regard to the conduct of the parties during and subsequent to the conclusion of the agreements, the payment claimed </w:t>
      </w:r>
      <w:r w:rsidR="00174C64">
        <w:rPr>
          <w:szCs w:val="24"/>
        </w:rPr>
        <w:t xml:space="preserve">was </w:t>
      </w:r>
      <w:r w:rsidR="00FB0BA0" w:rsidRPr="00B66DD6">
        <w:rPr>
          <w:szCs w:val="24"/>
        </w:rPr>
        <w:t xml:space="preserve">due </w:t>
      </w:r>
      <w:r w:rsidR="00174C64">
        <w:rPr>
          <w:szCs w:val="24"/>
        </w:rPr>
        <w:t xml:space="preserve">and payable </w:t>
      </w:r>
      <w:r w:rsidR="00FB0BA0" w:rsidRPr="00B66DD6">
        <w:rPr>
          <w:szCs w:val="24"/>
        </w:rPr>
        <w:t>on 1 March 2021.</w:t>
      </w:r>
    </w:p>
    <w:p w14:paraId="6C26331E" w14:textId="77777777" w:rsidR="00F06609" w:rsidRPr="00B66DD6" w:rsidRDefault="00F06609" w:rsidP="00BB515B">
      <w:pPr>
        <w:pStyle w:val="ListParagraph"/>
        <w:spacing w:line="360" w:lineRule="auto"/>
        <w:ind w:left="0"/>
        <w:rPr>
          <w:b/>
          <w:szCs w:val="24"/>
        </w:rPr>
      </w:pPr>
    </w:p>
    <w:p w14:paraId="67905C20" w14:textId="137F430A" w:rsidR="000D1FE3" w:rsidRPr="00B66DD6" w:rsidRDefault="004E7D08" w:rsidP="00BB515B">
      <w:pPr>
        <w:pStyle w:val="ListParagraph"/>
        <w:spacing w:line="360" w:lineRule="auto"/>
        <w:ind w:left="0"/>
        <w:rPr>
          <w:b/>
          <w:szCs w:val="24"/>
        </w:rPr>
      </w:pPr>
      <w:r w:rsidRPr="00B66DD6">
        <w:rPr>
          <w:b/>
          <w:szCs w:val="24"/>
        </w:rPr>
        <w:t>Discussion</w:t>
      </w:r>
    </w:p>
    <w:p w14:paraId="1B77322F" w14:textId="0F656B1D" w:rsidR="000D1FE3" w:rsidRPr="00F06609" w:rsidRDefault="000D1FE3" w:rsidP="00BB515B">
      <w:pPr>
        <w:spacing w:line="360" w:lineRule="auto"/>
        <w:jc w:val="both"/>
        <w:rPr>
          <w:b/>
          <w:i/>
        </w:rPr>
      </w:pPr>
      <w:r w:rsidRPr="00F06609">
        <w:rPr>
          <w:b/>
          <w:i/>
        </w:rPr>
        <w:t>The principles governing the interpretation of a written loan agreement</w:t>
      </w:r>
    </w:p>
    <w:p w14:paraId="23E4D483" w14:textId="2A40A0FD" w:rsidR="000D1FE3" w:rsidRPr="00B66DD6" w:rsidRDefault="000D1FE3" w:rsidP="00BB515B">
      <w:pPr>
        <w:numPr>
          <w:ilvl w:val="0"/>
          <w:numId w:val="1"/>
        </w:numPr>
        <w:spacing w:line="360" w:lineRule="auto"/>
        <w:jc w:val="both"/>
      </w:pPr>
      <w:proofErr w:type="spellStart"/>
      <w:r w:rsidRPr="00796FD9">
        <w:rPr>
          <w:i/>
          <w:szCs w:val="24"/>
          <w:lang w:val="en-GB"/>
        </w:rPr>
        <w:t>Bothma-Batho</w:t>
      </w:r>
      <w:proofErr w:type="spellEnd"/>
      <w:r w:rsidRPr="00796FD9">
        <w:rPr>
          <w:i/>
          <w:szCs w:val="24"/>
          <w:lang w:val="en-GB"/>
        </w:rPr>
        <w:t xml:space="preserve"> Transport (</w:t>
      </w:r>
      <w:proofErr w:type="spellStart"/>
      <w:r w:rsidRPr="00796FD9">
        <w:rPr>
          <w:i/>
          <w:szCs w:val="24"/>
          <w:lang w:val="en-GB"/>
        </w:rPr>
        <w:t>Edms</w:t>
      </w:r>
      <w:proofErr w:type="spellEnd"/>
      <w:r w:rsidRPr="00796FD9">
        <w:rPr>
          <w:i/>
          <w:szCs w:val="24"/>
          <w:lang w:val="en-GB"/>
        </w:rPr>
        <w:t xml:space="preserve">) </w:t>
      </w:r>
      <w:proofErr w:type="spellStart"/>
      <w:r w:rsidRPr="00796FD9">
        <w:rPr>
          <w:i/>
          <w:szCs w:val="24"/>
          <w:lang w:val="en-GB"/>
        </w:rPr>
        <w:t>Bpk</w:t>
      </w:r>
      <w:proofErr w:type="spellEnd"/>
      <w:r w:rsidRPr="00796FD9">
        <w:rPr>
          <w:i/>
          <w:szCs w:val="24"/>
          <w:lang w:val="en-GB"/>
        </w:rPr>
        <w:t xml:space="preserve"> v S </w:t>
      </w:r>
      <w:proofErr w:type="spellStart"/>
      <w:r w:rsidRPr="00796FD9">
        <w:rPr>
          <w:i/>
          <w:szCs w:val="24"/>
          <w:lang w:val="en-GB"/>
        </w:rPr>
        <w:t>Bothma</w:t>
      </w:r>
      <w:proofErr w:type="spellEnd"/>
      <w:r w:rsidRPr="00796FD9">
        <w:rPr>
          <w:i/>
          <w:szCs w:val="24"/>
          <w:lang w:val="en-GB"/>
        </w:rPr>
        <w:t xml:space="preserve"> &amp; </w:t>
      </w:r>
      <w:proofErr w:type="spellStart"/>
      <w:r w:rsidRPr="00796FD9">
        <w:rPr>
          <w:i/>
          <w:szCs w:val="24"/>
          <w:lang w:val="en-GB"/>
        </w:rPr>
        <w:t>Seun</w:t>
      </w:r>
      <w:proofErr w:type="spellEnd"/>
      <w:r w:rsidRPr="00796FD9">
        <w:rPr>
          <w:i/>
          <w:szCs w:val="24"/>
          <w:lang w:val="en-GB"/>
        </w:rPr>
        <w:t xml:space="preserve"> Transport (</w:t>
      </w:r>
      <w:proofErr w:type="spellStart"/>
      <w:r w:rsidRPr="00796FD9">
        <w:rPr>
          <w:i/>
          <w:szCs w:val="24"/>
          <w:lang w:val="en-GB"/>
        </w:rPr>
        <w:t>Edms</w:t>
      </w:r>
      <w:proofErr w:type="spellEnd"/>
      <w:r w:rsidRPr="00796FD9">
        <w:rPr>
          <w:i/>
          <w:szCs w:val="24"/>
          <w:lang w:val="en-GB"/>
        </w:rPr>
        <w:t xml:space="preserve">) </w:t>
      </w:r>
      <w:proofErr w:type="spellStart"/>
      <w:r w:rsidRPr="00796FD9">
        <w:rPr>
          <w:i/>
          <w:szCs w:val="24"/>
          <w:lang w:val="en-GB"/>
        </w:rPr>
        <w:t>Bpk</w:t>
      </w:r>
      <w:proofErr w:type="spellEnd"/>
      <w:r w:rsidR="00803E67" w:rsidRPr="00B66DD6">
        <w:rPr>
          <w:rStyle w:val="FootnoteReference"/>
          <w:szCs w:val="24"/>
          <w:lang w:val="en-GB"/>
        </w:rPr>
        <w:footnoteReference w:id="7"/>
      </w:r>
      <w:r w:rsidRPr="00B66DD6">
        <w:rPr>
          <w:szCs w:val="24"/>
          <w:lang w:val="en-GB"/>
        </w:rPr>
        <w:t xml:space="preserve"> </w:t>
      </w:r>
      <w:r w:rsidR="00803E67" w:rsidRPr="00B66DD6">
        <w:rPr>
          <w:szCs w:val="24"/>
          <w:lang w:val="en-GB"/>
        </w:rPr>
        <w:t>held that:</w:t>
      </w:r>
    </w:p>
    <w:p w14:paraId="1CB97A09" w14:textId="0DD2F701" w:rsidR="000D1FE3" w:rsidRPr="00B66DD6" w:rsidRDefault="00F92FF2" w:rsidP="00BB515B">
      <w:pPr>
        <w:pStyle w:val="FootnoteText"/>
        <w:spacing w:line="360" w:lineRule="auto"/>
        <w:jc w:val="both"/>
        <w:rPr>
          <w:sz w:val="22"/>
          <w:szCs w:val="22"/>
        </w:rPr>
      </w:pPr>
      <w:r>
        <w:rPr>
          <w:sz w:val="22"/>
          <w:szCs w:val="22"/>
          <w:lang w:val="en-GB"/>
        </w:rPr>
        <w:t>‘</w:t>
      </w:r>
      <w:r w:rsidRPr="00F92FF2">
        <w:rPr>
          <w:sz w:val="22"/>
          <w:szCs w:val="22"/>
          <w:lang w:val="en-GB"/>
        </w:rPr>
        <w:t xml:space="preserve">Whilst the starting point remains the words of the document, which are the only relevant medium through which the parties have expressed their contractual intentions, the process of interpretation does not stop at a perceived literal meaning of those words, but considers them in the light of all relevant and admissible context, including the circumstances in which the document </w:t>
      </w:r>
      <w:r>
        <w:rPr>
          <w:sz w:val="22"/>
          <w:szCs w:val="22"/>
          <w:lang w:val="en-GB"/>
        </w:rPr>
        <w:lastRenderedPageBreak/>
        <w:t xml:space="preserve">came into being. </w:t>
      </w:r>
      <w:r w:rsidRPr="00F92FF2">
        <w:rPr>
          <w:sz w:val="22"/>
          <w:szCs w:val="22"/>
          <w:lang w:val="en-GB"/>
        </w:rPr>
        <w:t>The former distinction between permissible background and surrounding circumstances, never very clear, has fallen away. Interpretation is no l</w:t>
      </w:r>
      <w:r>
        <w:rPr>
          <w:sz w:val="22"/>
          <w:szCs w:val="22"/>
          <w:lang w:val="en-GB"/>
        </w:rPr>
        <w:t xml:space="preserve">onger a process that occurs in </w:t>
      </w:r>
      <w:r w:rsidRPr="00F92FF2">
        <w:rPr>
          <w:sz w:val="22"/>
          <w:szCs w:val="22"/>
          <w:lang w:val="en-GB"/>
        </w:rPr>
        <w:t xml:space="preserve">stages but is </w:t>
      </w:r>
      <w:r>
        <w:rPr>
          <w:sz w:val="22"/>
          <w:szCs w:val="22"/>
          <w:lang w:val="en-GB"/>
        </w:rPr>
        <w:t>“</w:t>
      </w:r>
      <w:r w:rsidRPr="00F92FF2">
        <w:rPr>
          <w:sz w:val="22"/>
          <w:szCs w:val="22"/>
          <w:lang w:val="en-GB"/>
        </w:rPr>
        <w:t>essentially one unitary exercise</w:t>
      </w:r>
      <w:r>
        <w:rPr>
          <w:sz w:val="22"/>
          <w:szCs w:val="22"/>
          <w:lang w:val="en-GB"/>
        </w:rPr>
        <w:t>”</w:t>
      </w:r>
      <w:r w:rsidRPr="00F92FF2">
        <w:rPr>
          <w:sz w:val="22"/>
          <w:szCs w:val="22"/>
          <w:lang w:val="en-GB"/>
        </w:rPr>
        <w:t>.</w:t>
      </w:r>
      <w:r>
        <w:rPr>
          <w:sz w:val="22"/>
          <w:szCs w:val="22"/>
          <w:lang w:val="en-GB"/>
        </w:rPr>
        <w:t>’</w:t>
      </w:r>
      <w:r w:rsidR="00A3277F">
        <w:rPr>
          <w:sz w:val="22"/>
          <w:szCs w:val="22"/>
          <w:lang w:val="en-GB"/>
        </w:rPr>
        <w:t xml:space="preserve"> (</w:t>
      </w:r>
      <w:proofErr w:type="gramStart"/>
      <w:r w:rsidR="00A3277F">
        <w:rPr>
          <w:sz w:val="22"/>
          <w:szCs w:val="22"/>
          <w:lang w:val="en-GB"/>
        </w:rPr>
        <w:t>footnote</w:t>
      </w:r>
      <w:proofErr w:type="gramEnd"/>
      <w:r w:rsidR="00A3277F">
        <w:rPr>
          <w:sz w:val="22"/>
          <w:szCs w:val="22"/>
          <w:lang w:val="en-GB"/>
        </w:rPr>
        <w:t xml:space="preserve"> omitted)</w:t>
      </w:r>
    </w:p>
    <w:p w14:paraId="2ECE608C" w14:textId="77777777" w:rsidR="00607B14" w:rsidRDefault="00607B14" w:rsidP="00BB515B">
      <w:pPr>
        <w:spacing w:line="360" w:lineRule="auto"/>
        <w:jc w:val="both"/>
      </w:pPr>
    </w:p>
    <w:p w14:paraId="3C745543" w14:textId="4F71BA49" w:rsidR="00803E67" w:rsidRPr="00B66DD6" w:rsidRDefault="00803E67" w:rsidP="00BB515B">
      <w:pPr>
        <w:numPr>
          <w:ilvl w:val="0"/>
          <w:numId w:val="1"/>
        </w:numPr>
        <w:spacing w:line="360" w:lineRule="auto"/>
        <w:jc w:val="both"/>
      </w:pPr>
      <w:r w:rsidRPr="00B66DD6">
        <w:t xml:space="preserve">More recently in </w:t>
      </w:r>
      <w:proofErr w:type="spellStart"/>
      <w:r w:rsidRPr="00687BE5">
        <w:rPr>
          <w:i/>
        </w:rPr>
        <w:t>Capitec</w:t>
      </w:r>
      <w:proofErr w:type="spellEnd"/>
      <w:r w:rsidRPr="00687BE5">
        <w:rPr>
          <w:i/>
        </w:rPr>
        <w:t xml:space="preserve"> Bank Holdings v Coral Lagoon Investments 194 (Pty) Ltd</w:t>
      </w:r>
      <w:r w:rsidR="00687BE5">
        <w:rPr>
          <w:rStyle w:val="FootnoteReference"/>
          <w:i/>
        </w:rPr>
        <w:footnoteReference w:id="8"/>
      </w:r>
      <w:r w:rsidRPr="00B66DD6">
        <w:t xml:space="preserve"> it was said</w:t>
      </w:r>
      <w:r w:rsidR="00B712BD">
        <w:t>,</w:t>
      </w:r>
      <w:r w:rsidRPr="00B66DD6">
        <w:t xml:space="preserve"> specifically in regard to a written contract, the requirement of contextualising the words used, and the application of the </w:t>
      </w:r>
      <w:proofErr w:type="spellStart"/>
      <w:r w:rsidRPr="00B66DD6">
        <w:t>parol</w:t>
      </w:r>
      <w:proofErr w:type="spellEnd"/>
      <w:r w:rsidRPr="00B66DD6">
        <w:t xml:space="preserve"> evidence rule</w:t>
      </w:r>
      <w:r w:rsidR="00B712BD">
        <w:t>,</w:t>
      </w:r>
      <w:r w:rsidRPr="00B66DD6">
        <w:t xml:space="preserve"> that:</w:t>
      </w:r>
    </w:p>
    <w:p w14:paraId="33305756" w14:textId="7F5BFED1" w:rsidR="00A3277F" w:rsidRPr="00A3277F" w:rsidRDefault="00A3277F" w:rsidP="00BB515B">
      <w:pPr>
        <w:spacing w:line="360" w:lineRule="auto"/>
        <w:jc w:val="both"/>
        <w:rPr>
          <w:sz w:val="22"/>
          <w:szCs w:val="22"/>
        </w:rPr>
      </w:pPr>
      <w:r>
        <w:rPr>
          <w:sz w:val="22"/>
          <w:szCs w:val="22"/>
        </w:rPr>
        <w:t>‘</w:t>
      </w:r>
      <w:r w:rsidR="00174C64" w:rsidRPr="00607B14">
        <w:rPr>
          <w:sz w:val="22"/>
          <w:szCs w:val="22"/>
        </w:rPr>
        <w:t>[</w:t>
      </w:r>
      <w:r w:rsidR="00B97A98">
        <w:rPr>
          <w:sz w:val="22"/>
          <w:szCs w:val="22"/>
        </w:rPr>
        <w:t xml:space="preserve">39] </w:t>
      </w:r>
      <w:r w:rsidRPr="00A3277F">
        <w:rPr>
          <w:sz w:val="22"/>
          <w:szCs w:val="22"/>
        </w:rPr>
        <w:t xml:space="preserve">In the recent decision of </w:t>
      </w:r>
      <w:r w:rsidRPr="00A3277F">
        <w:rPr>
          <w:i/>
          <w:sz w:val="22"/>
          <w:szCs w:val="22"/>
        </w:rPr>
        <w:t>University of Johannesburg v Auckland Park Theological Seminary and Another (University of Johannesburg)</w:t>
      </w:r>
      <w:r>
        <w:rPr>
          <w:sz w:val="22"/>
          <w:szCs w:val="22"/>
        </w:rPr>
        <w:t>,</w:t>
      </w:r>
      <w:r w:rsidRPr="00A3277F">
        <w:rPr>
          <w:sz w:val="22"/>
          <w:szCs w:val="22"/>
        </w:rPr>
        <w:t xml:space="preserve"> the Constitutional Court affirmed that an expansive approach should be taken to the admissibility of extrinsic evidence of context and purpose, whether or not the words used in the contract are ambiguous, so as to determine what the parties to the contract intended. In a passage of some importance, the Constitutional Court sought to clarify the position as follows:</w:t>
      </w:r>
    </w:p>
    <w:p w14:paraId="6AE8D16C" w14:textId="19BD6FA3" w:rsidR="00607B14" w:rsidRDefault="00A3277F" w:rsidP="00BB515B">
      <w:pPr>
        <w:spacing w:line="360" w:lineRule="auto"/>
        <w:jc w:val="both"/>
        <w:rPr>
          <w:sz w:val="22"/>
          <w:szCs w:val="22"/>
        </w:rPr>
      </w:pPr>
      <w:r>
        <w:rPr>
          <w:sz w:val="22"/>
          <w:szCs w:val="22"/>
        </w:rPr>
        <w:t>“</w:t>
      </w:r>
      <w:r w:rsidRPr="00A3277F">
        <w:rPr>
          <w:sz w:val="22"/>
          <w:szCs w:val="22"/>
        </w:rPr>
        <w:t xml:space="preserve">Let me clarify that what I say here does not mean that extrinsic evidence is always admissible. It is true that a court’s recourse to extrinsic evidence is not limitless because </w:t>
      </w:r>
      <w:r>
        <w:rPr>
          <w:sz w:val="22"/>
          <w:szCs w:val="22"/>
        </w:rPr>
        <w:t>‘</w:t>
      </w:r>
      <w:r w:rsidRPr="00A3277F">
        <w:rPr>
          <w:sz w:val="22"/>
          <w:szCs w:val="22"/>
        </w:rPr>
        <w:t>interpretation is a matter of law and not of fact and, accordingly, interpretation is a matter for the court and not for witnesses”. It is also true that “to the extent that evidence may be admissible to contextualise the document (since “context is everything”) to establish its factual matrix or purpose or for purposes of identification, one must use it as conservatively as possible”. I must, however, make it clear that this does not detract from the injunction on courts to consider evidence of context and purpose. Where, in a given case, reasonable people may disagree on the admissibility of the contextual evidence in question, the unitary approach to contractual interpretation enjoins a court to err on the side of admitting the evidence. There would, of course, still be sufficient checks against any undue reach of such evidence because the court dealing with the evidence could still disregard it on the basis that it lacks weight. When dealing with evidence in this context, it is important not to conflate admissibility and weight.</w:t>
      </w:r>
      <w:r w:rsidR="00607B14">
        <w:rPr>
          <w:sz w:val="22"/>
          <w:szCs w:val="22"/>
        </w:rPr>
        <w:t>”</w:t>
      </w:r>
    </w:p>
    <w:p w14:paraId="369931E6" w14:textId="313C4F01" w:rsidR="00607B14" w:rsidRPr="00607B14" w:rsidRDefault="00607B14" w:rsidP="00BB515B">
      <w:pPr>
        <w:spacing w:line="360" w:lineRule="auto"/>
        <w:jc w:val="both"/>
        <w:rPr>
          <w:sz w:val="22"/>
          <w:szCs w:val="22"/>
        </w:rPr>
      </w:pPr>
      <w:r>
        <w:rPr>
          <w:sz w:val="22"/>
          <w:szCs w:val="22"/>
        </w:rPr>
        <w:t xml:space="preserve">. . </w:t>
      </w:r>
      <w:r w:rsidRPr="00607B14">
        <w:rPr>
          <w:sz w:val="22"/>
          <w:szCs w:val="22"/>
        </w:rPr>
        <w:t>.</w:t>
      </w:r>
    </w:p>
    <w:p w14:paraId="3A09E848" w14:textId="0635D07B" w:rsidR="00607B14" w:rsidRPr="00607B14" w:rsidRDefault="00B97A98" w:rsidP="00BB515B">
      <w:pPr>
        <w:spacing w:line="360" w:lineRule="auto"/>
        <w:jc w:val="both"/>
        <w:rPr>
          <w:sz w:val="22"/>
          <w:szCs w:val="22"/>
        </w:rPr>
      </w:pPr>
      <w:r>
        <w:rPr>
          <w:sz w:val="22"/>
          <w:szCs w:val="22"/>
        </w:rPr>
        <w:t xml:space="preserve">[43] </w:t>
      </w:r>
      <w:r w:rsidR="00607B14" w:rsidRPr="00607B14">
        <w:rPr>
          <w:sz w:val="22"/>
          <w:szCs w:val="22"/>
        </w:rPr>
        <w:t>. . .</w:t>
      </w:r>
      <w:r w:rsidR="005C5676">
        <w:rPr>
          <w:sz w:val="22"/>
          <w:szCs w:val="22"/>
        </w:rPr>
        <w:t xml:space="preserve"> </w:t>
      </w:r>
      <w:r w:rsidRPr="00B97A98">
        <w:rPr>
          <w:sz w:val="22"/>
          <w:szCs w:val="22"/>
        </w:rPr>
        <w:t xml:space="preserve">If then, on this view, a written contract has a plain meaning and the writing is the exclusive memorial of the contract, the </w:t>
      </w:r>
      <w:proofErr w:type="spellStart"/>
      <w:r w:rsidRPr="00B97A98">
        <w:rPr>
          <w:sz w:val="22"/>
          <w:szCs w:val="22"/>
        </w:rPr>
        <w:t>parol</w:t>
      </w:r>
      <w:proofErr w:type="spellEnd"/>
      <w:r w:rsidRPr="00B97A98">
        <w:rPr>
          <w:sz w:val="22"/>
          <w:szCs w:val="22"/>
        </w:rPr>
        <w:t xml:space="preserve"> evidence rule excludes extrinsic evidence that would alter, add to or vary that plain meaning</w:t>
      </w:r>
      <w:r w:rsidR="00607B14" w:rsidRPr="00607B14">
        <w:rPr>
          <w:sz w:val="22"/>
          <w:szCs w:val="22"/>
        </w:rPr>
        <w:t>.’</w:t>
      </w:r>
      <w:r w:rsidR="00CC575E">
        <w:rPr>
          <w:sz w:val="22"/>
          <w:szCs w:val="22"/>
        </w:rPr>
        <w:t xml:space="preserve"> (</w:t>
      </w:r>
      <w:proofErr w:type="gramStart"/>
      <w:r w:rsidR="00CC575E">
        <w:rPr>
          <w:sz w:val="22"/>
          <w:szCs w:val="22"/>
        </w:rPr>
        <w:t>footnotes</w:t>
      </w:r>
      <w:proofErr w:type="gramEnd"/>
      <w:r w:rsidR="00CC575E">
        <w:rPr>
          <w:sz w:val="22"/>
          <w:szCs w:val="22"/>
        </w:rPr>
        <w:t xml:space="preserve"> omitted)</w:t>
      </w:r>
    </w:p>
    <w:p w14:paraId="03940E2F" w14:textId="77777777" w:rsidR="00607B14" w:rsidRPr="00F06609" w:rsidRDefault="00607B14" w:rsidP="00BB515B">
      <w:pPr>
        <w:spacing w:line="360" w:lineRule="auto"/>
        <w:jc w:val="both"/>
        <w:rPr>
          <w:i/>
        </w:rPr>
      </w:pPr>
    </w:p>
    <w:p w14:paraId="40CB016A" w14:textId="47021D18" w:rsidR="000D1FE3" w:rsidRPr="00F06609" w:rsidRDefault="000D1FE3" w:rsidP="00BB515B">
      <w:pPr>
        <w:spacing w:line="360" w:lineRule="auto"/>
        <w:jc w:val="both"/>
        <w:rPr>
          <w:b/>
          <w:i/>
        </w:rPr>
      </w:pPr>
      <w:r w:rsidRPr="00F06609">
        <w:rPr>
          <w:b/>
          <w:i/>
        </w:rPr>
        <w:t>The interpretation of the written loan agreement</w:t>
      </w:r>
    </w:p>
    <w:p w14:paraId="4FFF858C" w14:textId="4D3AD02B" w:rsidR="00803E67" w:rsidRPr="00B66DD6" w:rsidRDefault="00803E67" w:rsidP="00BB515B">
      <w:pPr>
        <w:numPr>
          <w:ilvl w:val="0"/>
          <w:numId w:val="1"/>
        </w:numPr>
        <w:spacing w:line="360" w:lineRule="auto"/>
        <w:jc w:val="both"/>
      </w:pPr>
      <w:r w:rsidRPr="00B66DD6">
        <w:rPr>
          <w:szCs w:val="24"/>
        </w:rPr>
        <w:t>Turning then to an application of the above principles to the facts, the plain meaning of the express wording of clauses 5, as amended, and 6, which was never amended, of the loan agreement should be t</w:t>
      </w:r>
      <w:r w:rsidR="00381285">
        <w:rPr>
          <w:szCs w:val="24"/>
        </w:rPr>
        <w:t>aken as the point of departure.</w:t>
      </w:r>
      <w:r w:rsidRPr="00B66DD6">
        <w:rPr>
          <w:szCs w:val="24"/>
        </w:rPr>
        <w:t xml:space="preserve"> Regard should be had to the facts and circumstances, to the knowledge of the respondent and the appellants</w:t>
      </w:r>
      <w:r w:rsidR="00F06609">
        <w:rPr>
          <w:szCs w:val="24"/>
        </w:rPr>
        <w:t>,</w:t>
      </w:r>
      <w:r w:rsidRPr="00B66DD6">
        <w:rPr>
          <w:szCs w:val="24"/>
        </w:rPr>
        <w:t xml:space="preserve"> under which the loan agreement and adde</w:t>
      </w:r>
      <w:r w:rsidR="00B712BD">
        <w:rPr>
          <w:szCs w:val="24"/>
        </w:rPr>
        <w:t>nda thereto were concluded</w:t>
      </w:r>
      <w:r w:rsidRPr="00B66DD6">
        <w:rPr>
          <w:szCs w:val="24"/>
        </w:rPr>
        <w:t xml:space="preserve">, and </w:t>
      </w:r>
      <w:r w:rsidR="00F06609">
        <w:rPr>
          <w:szCs w:val="24"/>
        </w:rPr>
        <w:t xml:space="preserve">their intention </w:t>
      </w:r>
      <w:r w:rsidR="00607B14">
        <w:rPr>
          <w:szCs w:val="24"/>
        </w:rPr>
        <w:t xml:space="preserve">in </w:t>
      </w:r>
      <w:r w:rsidR="00F06609">
        <w:rPr>
          <w:szCs w:val="24"/>
        </w:rPr>
        <w:t xml:space="preserve">exchanging </w:t>
      </w:r>
      <w:r w:rsidRPr="00B66DD6">
        <w:rPr>
          <w:szCs w:val="24"/>
        </w:rPr>
        <w:t>the emails</w:t>
      </w:r>
      <w:r w:rsidR="00F06609">
        <w:rPr>
          <w:szCs w:val="24"/>
        </w:rPr>
        <w:t xml:space="preserve"> relied upon by the appellants</w:t>
      </w:r>
      <w:r w:rsidRPr="00B66DD6">
        <w:rPr>
          <w:szCs w:val="24"/>
        </w:rPr>
        <w:t xml:space="preserve">. </w:t>
      </w:r>
    </w:p>
    <w:p w14:paraId="18B319A3" w14:textId="77777777" w:rsidR="00803E67" w:rsidRPr="00B66DD6" w:rsidRDefault="00803E67" w:rsidP="00BB515B">
      <w:pPr>
        <w:pStyle w:val="ListParagraph"/>
        <w:spacing w:line="360" w:lineRule="auto"/>
        <w:ind w:left="0"/>
        <w:jc w:val="both"/>
        <w:rPr>
          <w:szCs w:val="24"/>
        </w:rPr>
      </w:pPr>
    </w:p>
    <w:p w14:paraId="7D8742FC" w14:textId="2C9E582D" w:rsidR="00E8467E" w:rsidRPr="00687BE5" w:rsidRDefault="000D1FE3" w:rsidP="00BB515B">
      <w:pPr>
        <w:numPr>
          <w:ilvl w:val="0"/>
          <w:numId w:val="1"/>
        </w:numPr>
        <w:spacing w:line="360" w:lineRule="auto"/>
        <w:jc w:val="both"/>
      </w:pPr>
      <w:r w:rsidRPr="00687BE5">
        <w:rPr>
          <w:szCs w:val="24"/>
        </w:rPr>
        <w:t>The terms of clauses 5.1, 5.2 and 5.3 of the loan agreement as amended by the second addendum</w:t>
      </w:r>
      <w:r w:rsidR="00FC0252" w:rsidRPr="00687BE5">
        <w:rPr>
          <w:szCs w:val="24"/>
        </w:rPr>
        <w:t>, in the context of the loan agreement,</w:t>
      </w:r>
      <w:r w:rsidRPr="00687BE5">
        <w:rPr>
          <w:szCs w:val="24"/>
        </w:rPr>
        <w:t xml:space="preserve"> are clear and unambiguous. They do not lend themselves to the appellants’ interpretation that the loans would be paid only from the proceeds of the sale of the immovable property subje</w:t>
      </w:r>
      <w:r w:rsidR="00687BE5" w:rsidRPr="00687BE5">
        <w:rPr>
          <w:szCs w:val="24"/>
        </w:rPr>
        <w:t>ct to the</w:t>
      </w:r>
      <w:r w:rsidRPr="00687BE5">
        <w:rPr>
          <w:szCs w:val="24"/>
        </w:rPr>
        <w:t xml:space="preserve"> bond</w:t>
      </w:r>
      <w:r w:rsidR="00E8467E" w:rsidRPr="00687BE5">
        <w:rPr>
          <w:szCs w:val="24"/>
        </w:rPr>
        <w:t>,</w:t>
      </w:r>
      <w:r w:rsidRPr="00687BE5">
        <w:rPr>
          <w:szCs w:val="24"/>
        </w:rPr>
        <w:t xml:space="preserve"> and only as and when a sale takes place.</w:t>
      </w:r>
      <w:r w:rsidR="00FC0252" w:rsidRPr="00687BE5">
        <w:rPr>
          <w:szCs w:val="24"/>
        </w:rPr>
        <w:t xml:space="preserve"> If that was so, then there would have been no need for the </w:t>
      </w:r>
      <w:r w:rsidR="00B712BD">
        <w:rPr>
          <w:szCs w:val="24"/>
        </w:rPr>
        <w:t xml:space="preserve">two </w:t>
      </w:r>
      <w:r w:rsidR="00FC0252" w:rsidRPr="00687BE5">
        <w:rPr>
          <w:szCs w:val="24"/>
        </w:rPr>
        <w:t xml:space="preserve">amendments </w:t>
      </w:r>
      <w:r w:rsidR="00F06609">
        <w:rPr>
          <w:szCs w:val="24"/>
        </w:rPr>
        <w:t xml:space="preserve">to clause 5 </w:t>
      </w:r>
      <w:r w:rsidR="00B712BD">
        <w:rPr>
          <w:szCs w:val="24"/>
        </w:rPr>
        <w:t xml:space="preserve">which were </w:t>
      </w:r>
      <w:r w:rsidR="00FC0252" w:rsidRPr="00687BE5">
        <w:rPr>
          <w:szCs w:val="24"/>
        </w:rPr>
        <w:t>introduced by the addenda.</w:t>
      </w:r>
      <w:r w:rsidR="00444370" w:rsidRPr="00687BE5">
        <w:rPr>
          <w:szCs w:val="24"/>
        </w:rPr>
        <w:t xml:space="preserve"> </w:t>
      </w:r>
    </w:p>
    <w:p w14:paraId="5ECF53CC" w14:textId="77777777" w:rsidR="00687BE5" w:rsidRPr="00B66DD6" w:rsidRDefault="00687BE5" w:rsidP="00BB515B">
      <w:pPr>
        <w:spacing w:line="360" w:lineRule="auto"/>
        <w:jc w:val="both"/>
      </w:pPr>
    </w:p>
    <w:p w14:paraId="2C11F0F8" w14:textId="5BE78240" w:rsidR="000D1FE3" w:rsidRPr="00B66DD6" w:rsidRDefault="00B712BD" w:rsidP="00BB515B">
      <w:pPr>
        <w:numPr>
          <w:ilvl w:val="0"/>
          <w:numId w:val="1"/>
        </w:numPr>
        <w:spacing w:line="360" w:lineRule="auto"/>
        <w:jc w:val="both"/>
      </w:pPr>
      <w:r>
        <w:rPr>
          <w:szCs w:val="24"/>
        </w:rPr>
        <w:t>As regards the addenda, t</w:t>
      </w:r>
      <w:r w:rsidR="00672D72" w:rsidRPr="00B66DD6">
        <w:rPr>
          <w:szCs w:val="24"/>
        </w:rPr>
        <w:t>he a</w:t>
      </w:r>
      <w:r w:rsidR="000D1FE3" w:rsidRPr="00B66DD6">
        <w:rPr>
          <w:szCs w:val="24"/>
        </w:rPr>
        <w:t xml:space="preserve">ppellants knew that the first appellant was experiencing cash flow problems which would make payment of the first instalment </w:t>
      </w:r>
      <w:r w:rsidR="00444370">
        <w:rPr>
          <w:szCs w:val="24"/>
        </w:rPr>
        <w:t xml:space="preserve">on the date initially fixed in the loan agreement </w:t>
      </w:r>
      <w:r w:rsidR="00CF183E">
        <w:rPr>
          <w:szCs w:val="24"/>
        </w:rPr>
        <w:t>problematic.</w:t>
      </w:r>
      <w:r w:rsidR="000D1FE3" w:rsidRPr="00B66DD6">
        <w:rPr>
          <w:szCs w:val="24"/>
        </w:rPr>
        <w:t xml:space="preserve"> Such knowledge was conveyed by the second appellant to the respondent. I</w:t>
      </w:r>
      <w:r w:rsidR="00FC0252" w:rsidRPr="00B66DD6">
        <w:rPr>
          <w:szCs w:val="24"/>
        </w:rPr>
        <w:t xml:space="preserve">t was in those </w:t>
      </w:r>
      <w:r w:rsidR="000D1FE3" w:rsidRPr="00B66DD6">
        <w:rPr>
          <w:szCs w:val="24"/>
        </w:rPr>
        <w:t xml:space="preserve">circumstances and </w:t>
      </w:r>
      <w:r w:rsidR="00FC0252" w:rsidRPr="00B66DD6">
        <w:rPr>
          <w:szCs w:val="24"/>
        </w:rPr>
        <w:t xml:space="preserve">with that </w:t>
      </w:r>
      <w:r w:rsidR="000D1FE3" w:rsidRPr="00B66DD6">
        <w:rPr>
          <w:szCs w:val="24"/>
        </w:rPr>
        <w:t xml:space="preserve">knowledge </w:t>
      </w:r>
      <w:r w:rsidR="00FC0252" w:rsidRPr="00B66DD6">
        <w:rPr>
          <w:szCs w:val="24"/>
        </w:rPr>
        <w:t xml:space="preserve">that </w:t>
      </w:r>
      <w:r w:rsidR="000D1FE3" w:rsidRPr="00B66DD6">
        <w:rPr>
          <w:szCs w:val="24"/>
        </w:rPr>
        <w:t xml:space="preserve">the parties concluded the first addendum in terms of which the payment </w:t>
      </w:r>
      <w:r w:rsidR="00FC0252" w:rsidRPr="00B66DD6">
        <w:rPr>
          <w:szCs w:val="24"/>
        </w:rPr>
        <w:t>date of the first instalment in respect of the Initial Loan was extended from 1 July 2018 to 1 July 2019</w:t>
      </w:r>
      <w:r>
        <w:rPr>
          <w:szCs w:val="24"/>
        </w:rPr>
        <w:t>,</w:t>
      </w:r>
      <w:r w:rsidR="00FC0252" w:rsidRPr="00B66DD6">
        <w:rPr>
          <w:szCs w:val="24"/>
        </w:rPr>
        <w:t xml:space="preserve"> and the payment </w:t>
      </w:r>
      <w:r w:rsidR="000D1FE3" w:rsidRPr="00B66DD6">
        <w:rPr>
          <w:szCs w:val="24"/>
        </w:rPr>
        <w:t>date of the first instalment in respect of the Loan Balance was extended from 31 January 2018 to 31 January 2019</w:t>
      </w:r>
      <w:r w:rsidR="00FC0252" w:rsidRPr="00B66DD6">
        <w:rPr>
          <w:szCs w:val="24"/>
        </w:rPr>
        <w:t>.</w:t>
      </w:r>
      <w:r w:rsidR="00444370">
        <w:rPr>
          <w:szCs w:val="24"/>
        </w:rPr>
        <w:t xml:space="preserve"> </w:t>
      </w:r>
      <w:r w:rsidR="000D1FE3" w:rsidRPr="00B66DD6">
        <w:rPr>
          <w:szCs w:val="24"/>
        </w:rPr>
        <w:t xml:space="preserve">The first addendum </w:t>
      </w:r>
      <w:r w:rsidR="00C714FD" w:rsidRPr="00B66DD6">
        <w:rPr>
          <w:szCs w:val="24"/>
        </w:rPr>
        <w:t xml:space="preserve">simply </w:t>
      </w:r>
      <w:r w:rsidR="00444370">
        <w:rPr>
          <w:szCs w:val="24"/>
        </w:rPr>
        <w:t>extended</w:t>
      </w:r>
      <w:r w:rsidR="00FC0252" w:rsidRPr="00B66DD6">
        <w:rPr>
          <w:szCs w:val="24"/>
        </w:rPr>
        <w:t xml:space="preserve"> </w:t>
      </w:r>
      <w:r w:rsidR="000D1FE3" w:rsidRPr="00B66DD6">
        <w:rPr>
          <w:szCs w:val="24"/>
        </w:rPr>
        <w:t xml:space="preserve">the commencement dates </w:t>
      </w:r>
      <w:r w:rsidR="00F06609">
        <w:rPr>
          <w:szCs w:val="24"/>
        </w:rPr>
        <w:t xml:space="preserve">for payment </w:t>
      </w:r>
      <w:r w:rsidR="000D1FE3" w:rsidRPr="00B66DD6">
        <w:rPr>
          <w:szCs w:val="24"/>
        </w:rPr>
        <w:t xml:space="preserve">of the instalments by one year. Consistent with the initial terms of the loan agreement </w:t>
      </w:r>
      <w:r>
        <w:rPr>
          <w:szCs w:val="24"/>
        </w:rPr>
        <w:t xml:space="preserve">which provided that </w:t>
      </w:r>
      <w:r w:rsidR="000D1FE3" w:rsidRPr="00B66DD6">
        <w:rPr>
          <w:szCs w:val="24"/>
        </w:rPr>
        <w:t>repayment</w:t>
      </w:r>
      <w:r w:rsidR="005B59AD">
        <w:rPr>
          <w:szCs w:val="24"/>
        </w:rPr>
        <w:t xml:space="preserve">s would be due by </w:t>
      </w:r>
      <w:r w:rsidR="000D1FE3" w:rsidRPr="00B66DD6">
        <w:rPr>
          <w:szCs w:val="24"/>
        </w:rPr>
        <w:t>specifi</w:t>
      </w:r>
      <w:r w:rsidR="005B59AD">
        <w:rPr>
          <w:szCs w:val="24"/>
        </w:rPr>
        <w:t xml:space="preserve">c </w:t>
      </w:r>
      <w:r w:rsidR="000D1FE3" w:rsidRPr="00B66DD6">
        <w:rPr>
          <w:szCs w:val="24"/>
        </w:rPr>
        <w:t>date</w:t>
      </w:r>
      <w:r w:rsidR="005B59AD">
        <w:rPr>
          <w:szCs w:val="24"/>
        </w:rPr>
        <w:t>s</w:t>
      </w:r>
      <w:r w:rsidR="00F06609">
        <w:rPr>
          <w:szCs w:val="24"/>
        </w:rPr>
        <w:t>,</w:t>
      </w:r>
      <w:r w:rsidR="000D1FE3" w:rsidRPr="00B66DD6">
        <w:rPr>
          <w:szCs w:val="24"/>
        </w:rPr>
        <w:t xml:space="preserve"> repayment </w:t>
      </w:r>
      <w:r>
        <w:rPr>
          <w:szCs w:val="24"/>
        </w:rPr>
        <w:t>in terms of the first addendum wou</w:t>
      </w:r>
      <w:r w:rsidR="00FC0252" w:rsidRPr="00B66DD6">
        <w:rPr>
          <w:szCs w:val="24"/>
        </w:rPr>
        <w:t xml:space="preserve">ld still </w:t>
      </w:r>
      <w:r>
        <w:rPr>
          <w:szCs w:val="24"/>
        </w:rPr>
        <w:t>be</w:t>
      </w:r>
      <w:r w:rsidR="000D1FE3" w:rsidRPr="00B66DD6">
        <w:rPr>
          <w:szCs w:val="24"/>
        </w:rPr>
        <w:t xml:space="preserve"> </w:t>
      </w:r>
      <w:r>
        <w:rPr>
          <w:szCs w:val="24"/>
        </w:rPr>
        <w:t xml:space="preserve">due </w:t>
      </w:r>
      <w:r w:rsidR="000D1FE3" w:rsidRPr="00B66DD6">
        <w:rPr>
          <w:szCs w:val="24"/>
        </w:rPr>
        <w:t>on specified date</w:t>
      </w:r>
      <w:r w:rsidR="005B59AD">
        <w:rPr>
          <w:szCs w:val="24"/>
        </w:rPr>
        <w:t>s</w:t>
      </w:r>
      <w:r w:rsidR="000D1FE3" w:rsidRPr="00B66DD6">
        <w:rPr>
          <w:szCs w:val="24"/>
        </w:rPr>
        <w:t>.</w:t>
      </w:r>
    </w:p>
    <w:p w14:paraId="4E8E25B1" w14:textId="77777777" w:rsidR="00FC0252" w:rsidRPr="00B66DD6" w:rsidRDefault="00FC0252" w:rsidP="00BB515B">
      <w:pPr>
        <w:spacing w:line="360" w:lineRule="auto"/>
        <w:jc w:val="both"/>
      </w:pPr>
    </w:p>
    <w:p w14:paraId="47561729" w14:textId="5B7CB341" w:rsidR="000D1FE3" w:rsidRPr="00B66DD6" w:rsidRDefault="000D1FE3" w:rsidP="00BB515B">
      <w:pPr>
        <w:numPr>
          <w:ilvl w:val="0"/>
          <w:numId w:val="1"/>
        </w:numPr>
        <w:spacing w:line="360" w:lineRule="auto"/>
        <w:jc w:val="both"/>
      </w:pPr>
      <w:r w:rsidRPr="00B66DD6">
        <w:rPr>
          <w:szCs w:val="24"/>
        </w:rPr>
        <w:t xml:space="preserve">The </w:t>
      </w:r>
      <w:r w:rsidR="00672D72" w:rsidRPr="00B66DD6">
        <w:rPr>
          <w:szCs w:val="24"/>
        </w:rPr>
        <w:t>f</w:t>
      </w:r>
      <w:r w:rsidRPr="00B66DD6">
        <w:rPr>
          <w:szCs w:val="24"/>
        </w:rPr>
        <w:t xml:space="preserve">irst appellant failed to pay the monthly instalments of €150 000 which fell due </w:t>
      </w:r>
      <w:r w:rsidR="00672D72" w:rsidRPr="00B66DD6">
        <w:rPr>
          <w:szCs w:val="24"/>
        </w:rPr>
        <w:t>in terms of the first addendum</w:t>
      </w:r>
      <w:r w:rsidR="00444370">
        <w:rPr>
          <w:szCs w:val="24"/>
        </w:rPr>
        <w:t xml:space="preserve"> when </w:t>
      </w:r>
      <w:r w:rsidR="007B3127">
        <w:rPr>
          <w:szCs w:val="24"/>
        </w:rPr>
        <w:t>agreed</w:t>
      </w:r>
      <w:r w:rsidR="005B59AD">
        <w:rPr>
          <w:szCs w:val="24"/>
        </w:rPr>
        <w:t>.</w:t>
      </w:r>
      <w:r w:rsidR="00381285">
        <w:rPr>
          <w:szCs w:val="24"/>
        </w:rPr>
        <w:t xml:space="preserve"> </w:t>
      </w:r>
      <w:r w:rsidR="00FC0252" w:rsidRPr="00B66DD6">
        <w:rPr>
          <w:szCs w:val="24"/>
        </w:rPr>
        <w:t xml:space="preserve">Its </w:t>
      </w:r>
      <w:r w:rsidR="00672D72" w:rsidRPr="00B66DD6">
        <w:rPr>
          <w:szCs w:val="24"/>
        </w:rPr>
        <w:t xml:space="preserve">inability and </w:t>
      </w:r>
      <w:r w:rsidRPr="00B66DD6">
        <w:rPr>
          <w:szCs w:val="24"/>
        </w:rPr>
        <w:t xml:space="preserve">failure </w:t>
      </w:r>
      <w:r w:rsidR="00672D72" w:rsidRPr="00B66DD6">
        <w:rPr>
          <w:szCs w:val="24"/>
        </w:rPr>
        <w:t xml:space="preserve">to pay </w:t>
      </w:r>
      <w:r w:rsidRPr="00B66DD6">
        <w:rPr>
          <w:szCs w:val="24"/>
        </w:rPr>
        <w:t>w</w:t>
      </w:r>
      <w:r w:rsidR="00FC0252" w:rsidRPr="00B66DD6">
        <w:rPr>
          <w:szCs w:val="24"/>
        </w:rPr>
        <w:t xml:space="preserve">as </w:t>
      </w:r>
      <w:r w:rsidRPr="00B66DD6">
        <w:rPr>
          <w:szCs w:val="24"/>
        </w:rPr>
        <w:t xml:space="preserve">within the </w:t>
      </w:r>
      <w:r w:rsidRPr="00B66DD6">
        <w:rPr>
          <w:szCs w:val="24"/>
        </w:rPr>
        <w:lastRenderedPageBreak/>
        <w:t>knowledge o</w:t>
      </w:r>
      <w:r w:rsidR="00672D72" w:rsidRPr="00B66DD6">
        <w:rPr>
          <w:szCs w:val="24"/>
        </w:rPr>
        <w:t xml:space="preserve">f the </w:t>
      </w:r>
      <w:r w:rsidR="00FC0252" w:rsidRPr="00B66DD6">
        <w:rPr>
          <w:szCs w:val="24"/>
        </w:rPr>
        <w:t xml:space="preserve">appellants and the </w:t>
      </w:r>
      <w:r w:rsidR="00672D72" w:rsidRPr="00B66DD6">
        <w:rPr>
          <w:szCs w:val="24"/>
        </w:rPr>
        <w:t>respondent</w:t>
      </w:r>
      <w:r w:rsidR="00FC0252" w:rsidRPr="00B66DD6">
        <w:rPr>
          <w:szCs w:val="24"/>
        </w:rPr>
        <w:t xml:space="preserve">. </w:t>
      </w:r>
      <w:r w:rsidRPr="00B66DD6">
        <w:rPr>
          <w:szCs w:val="24"/>
        </w:rPr>
        <w:t xml:space="preserve">In addition, the </w:t>
      </w:r>
      <w:r w:rsidR="00672D72" w:rsidRPr="00B66DD6">
        <w:rPr>
          <w:szCs w:val="24"/>
        </w:rPr>
        <w:t>second appellant informed the r</w:t>
      </w:r>
      <w:r w:rsidRPr="00B66DD6">
        <w:rPr>
          <w:szCs w:val="24"/>
        </w:rPr>
        <w:t xml:space="preserve">espondent that the </w:t>
      </w:r>
      <w:r w:rsidR="00672D72" w:rsidRPr="00B66DD6">
        <w:rPr>
          <w:szCs w:val="24"/>
        </w:rPr>
        <w:t>f</w:t>
      </w:r>
      <w:r w:rsidRPr="00B66DD6">
        <w:rPr>
          <w:szCs w:val="24"/>
        </w:rPr>
        <w:t>irst appellant’s cash flow problems had not been resolved</w:t>
      </w:r>
      <w:r w:rsidR="00672D72" w:rsidRPr="00B66DD6">
        <w:rPr>
          <w:szCs w:val="24"/>
        </w:rPr>
        <w:t>,</w:t>
      </w:r>
      <w:r w:rsidRPr="00B66DD6">
        <w:rPr>
          <w:szCs w:val="24"/>
        </w:rPr>
        <w:t xml:space="preserve"> and that the </w:t>
      </w:r>
      <w:r w:rsidR="00672D72" w:rsidRPr="00B66DD6">
        <w:rPr>
          <w:szCs w:val="24"/>
        </w:rPr>
        <w:t>f</w:t>
      </w:r>
      <w:r w:rsidRPr="00B66DD6">
        <w:rPr>
          <w:szCs w:val="24"/>
        </w:rPr>
        <w:t>irst appellant would be unable to pay the further monthly instalments.</w:t>
      </w:r>
      <w:r w:rsidR="00672D72" w:rsidRPr="00B66DD6">
        <w:rPr>
          <w:szCs w:val="24"/>
        </w:rPr>
        <w:t xml:space="preserve"> The second a</w:t>
      </w:r>
      <w:r w:rsidRPr="00B66DD6">
        <w:rPr>
          <w:szCs w:val="24"/>
        </w:rPr>
        <w:t xml:space="preserve">ppellant, who had the best knowledge of the </w:t>
      </w:r>
      <w:r w:rsidR="00672D72" w:rsidRPr="00B66DD6">
        <w:rPr>
          <w:szCs w:val="24"/>
        </w:rPr>
        <w:t>f</w:t>
      </w:r>
      <w:r w:rsidRPr="00B66DD6">
        <w:rPr>
          <w:szCs w:val="24"/>
        </w:rPr>
        <w:t xml:space="preserve">irst appellant’s financial situation, prepared </w:t>
      </w:r>
      <w:r w:rsidR="00444370">
        <w:rPr>
          <w:szCs w:val="24"/>
        </w:rPr>
        <w:t xml:space="preserve">a further </w:t>
      </w:r>
      <w:r w:rsidRPr="00B66DD6">
        <w:rPr>
          <w:szCs w:val="24"/>
        </w:rPr>
        <w:t>addend</w:t>
      </w:r>
      <w:r w:rsidR="00444370">
        <w:rPr>
          <w:szCs w:val="24"/>
        </w:rPr>
        <w:t>um</w:t>
      </w:r>
      <w:r w:rsidR="005B59AD">
        <w:rPr>
          <w:szCs w:val="24"/>
        </w:rPr>
        <w:t xml:space="preserve"> and proposed a </w:t>
      </w:r>
      <w:r w:rsidRPr="00B66DD6">
        <w:rPr>
          <w:szCs w:val="24"/>
        </w:rPr>
        <w:t xml:space="preserve">repayment date of 1 March 2021 for the Initial Loan. </w:t>
      </w:r>
      <w:r w:rsidR="00FC0252" w:rsidRPr="00B66DD6">
        <w:rPr>
          <w:szCs w:val="24"/>
        </w:rPr>
        <w:t xml:space="preserve">It is in that context, </w:t>
      </w:r>
      <w:r w:rsidRPr="00B66DD6">
        <w:rPr>
          <w:szCs w:val="24"/>
        </w:rPr>
        <w:t xml:space="preserve">with knowledge of the aforementioned facts, </w:t>
      </w:r>
      <w:r w:rsidR="00672D72" w:rsidRPr="00B66DD6">
        <w:rPr>
          <w:szCs w:val="24"/>
        </w:rPr>
        <w:t xml:space="preserve">that </w:t>
      </w:r>
      <w:r w:rsidRPr="00B66DD6">
        <w:rPr>
          <w:szCs w:val="24"/>
        </w:rPr>
        <w:t>the partie</w:t>
      </w:r>
      <w:r w:rsidR="00FC0252" w:rsidRPr="00B66DD6">
        <w:rPr>
          <w:szCs w:val="24"/>
        </w:rPr>
        <w:t>s concluded the second addendum.</w:t>
      </w:r>
    </w:p>
    <w:p w14:paraId="4CC35B28" w14:textId="77777777" w:rsidR="000D1FE3" w:rsidRPr="00B66DD6" w:rsidRDefault="000D1FE3" w:rsidP="00BB515B">
      <w:pPr>
        <w:spacing w:line="360" w:lineRule="auto"/>
        <w:jc w:val="both"/>
      </w:pPr>
    </w:p>
    <w:p w14:paraId="7D8CF082" w14:textId="7EA983E7" w:rsidR="000D1FE3" w:rsidRPr="00B66DD6" w:rsidRDefault="000D1FE3" w:rsidP="00BB515B">
      <w:pPr>
        <w:numPr>
          <w:ilvl w:val="0"/>
          <w:numId w:val="1"/>
        </w:numPr>
        <w:spacing w:line="360" w:lineRule="auto"/>
        <w:jc w:val="both"/>
      </w:pPr>
      <w:r w:rsidRPr="00B66DD6">
        <w:rPr>
          <w:szCs w:val="24"/>
        </w:rPr>
        <w:t>The second addendum dispensed with the payment of monthly instalments, and provided for the repayment of the Initial Loan in full on or before a specified date (</w:t>
      </w:r>
      <w:r w:rsidR="00CF183E">
        <w:rPr>
          <w:szCs w:val="24"/>
        </w:rPr>
        <w:t xml:space="preserve">i.e. </w:t>
      </w:r>
      <w:r w:rsidRPr="00B66DD6">
        <w:rPr>
          <w:szCs w:val="24"/>
        </w:rPr>
        <w:t>1 March 2021) and the repayment of the Loan Balance in full on or before a specified date (</w:t>
      </w:r>
      <w:r w:rsidR="00CF183E">
        <w:rPr>
          <w:szCs w:val="24"/>
        </w:rPr>
        <w:t xml:space="preserve">i.e. </w:t>
      </w:r>
      <w:r w:rsidRPr="00B66DD6">
        <w:rPr>
          <w:szCs w:val="24"/>
        </w:rPr>
        <w:t>1 July 2022).</w:t>
      </w:r>
      <w:r w:rsidR="00FC0252" w:rsidRPr="00B66DD6">
        <w:rPr>
          <w:szCs w:val="24"/>
        </w:rPr>
        <w:t xml:space="preserve"> Again, consistent with what had happened in the past, specific dates for payment were fixed. There would have been no need </w:t>
      </w:r>
      <w:r w:rsidR="00F06609">
        <w:rPr>
          <w:szCs w:val="24"/>
        </w:rPr>
        <w:t xml:space="preserve">to do so </w:t>
      </w:r>
      <w:r w:rsidR="00FC0252" w:rsidRPr="00B66DD6">
        <w:rPr>
          <w:szCs w:val="24"/>
        </w:rPr>
        <w:t xml:space="preserve">if the </w:t>
      </w:r>
      <w:r w:rsidR="00F06609">
        <w:rPr>
          <w:szCs w:val="24"/>
        </w:rPr>
        <w:t>time for payment</w:t>
      </w:r>
      <w:r w:rsidR="00FC0252" w:rsidRPr="00B66DD6">
        <w:rPr>
          <w:szCs w:val="24"/>
        </w:rPr>
        <w:t xml:space="preserve"> would </w:t>
      </w:r>
      <w:r w:rsidR="00F06609">
        <w:rPr>
          <w:szCs w:val="24"/>
        </w:rPr>
        <w:t xml:space="preserve">be determined </w:t>
      </w:r>
      <w:r w:rsidR="00FC0252" w:rsidRPr="00B66DD6">
        <w:rPr>
          <w:szCs w:val="24"/>
        </w:rPr>
        <w:t>in terms of the provisions of clause 6</w:t>
      </w:r>
      <w:r w:rsidR="00F06609">
        <w:rPr>
          <w:szCs w:val="24"/>
        </w:rPr>
        <w:t xml:space="preserve">. </w:t>
      </w:r>
    </w:p>
    <w:p w14:paraId="22F3A968" w14:textId="77777777" w:rsidR="000D1FE3" w:rsidRPr="00B66DD6" w:rsidRDefault="000D1FE3" w:rsidP="00BB515B">
      <w:pPr>
        <w:spacing w:line="360" w:lineRule="auto"/>
        <w:jc w:val="both"/>
      </w:pPr>
    </w:p>
    <w:p w14:paraId="750B8E47" w14:textId="69DF47C5" w:rsidR="000D1FE3" w:rsidRPr="005B59AD" w:rsidRDefault="00EC29BF" w:rsidP="00BB515B">
      <w:pPr>
        <w:numPr>
          <w:ilvl w:val="0"/>
          <w:numId w:val="1"/>
        </w:numPr>
        <w:spacing w:line="360" w:lineRule="auto"/>
        <w:jc w:val="both"/>
      </w:pPr>
      <w:r w:rsidRPr="00B66DD6">
        <w:t>T</w:t>
      </w:r>
      <w:r w:rsidR="00672D72" w:rsidRPr="00B66DD6">
        <w:t>h</w:t>
      </w:r>
      <w:r w:rsidR="005B59AD">
        <w:t xml:space="preserve">us the </w:t>
      </w:r>
      <w:r w:rsidR="00672D72" w:rsidRPr="00B66DD6">
        <w:t xml:space="preserve">initial provisions of the loan agreement and the addenda, </w:t>
      </w:r>
      <w:r w:rsidRPr="00B66DD6">
        <w:t>all provided that t</w:t>
      </w:r>
      <w:r w:rsidR="000D1FE3" w:rsidRPr="005B59AD">
        <w:rPr>
          <w:szCs w:val="24"/>
        </w:rPr>
        <w:t xml:space="preserve">he obligation to repay the </w:t>
      </w:r>
      <w:r w:rsidR="00F850CD" w:rsidRPr="005B59AD">
        <w:rPr>
          <w:szCs w:val="24"/>
        </w:rPr>
        <w:t xml:space="preserve">loan </w:t>
      </w:r>
      <w:r w:rsidRPr="005B59AD">
        <w:rPr>
          <w:szCs w:val="24"/>
        </w:rPr>
        <w:t>had to o</w:t>
      </w:r>
      <w:r w:rsidR="000D1FE3" w:rsidRPr="005B59AD">
        <w:rPr>
          <w:szCs w:val="24"/>
        </w:rPr>
        <w:t>ccur by fixed future dates expressly agreed upon between the parties</w:t>
      </w:r>
      <w:r w:rsidRPr="005B59AD">
        <w:rPr>
          <w:szCs w:val="24"/>
        </w:rPr>
        <w:t xml:space="preserve">. Repayment was always </w:t>
      </w:r>
      <w:r w:rsidR="000D1FE3" w:rsidRPr="005B59AD">
        <w:rPr>
          <w:szCs w:val="24"/>
        </w:rPr>
        <w:t>time-based</w:t>
      </w:r>
      <w:r w:rsidRPr="005B59AD">
        <w:rPr>
          <w:szCs w:val="24"/>
        </w:rPr>
        <w:t>, not event based</w:t>
      </w:r>
      <w:r w:rsidR="000D1FE3" w:rsidRPr="005B59AD">
        <w:rPr>
          <w:szCs w:val="24"/>
        </w:rPr>
        <w:t xml:space="preserve">. </w:t>
      </w:r>
      <w:r w:rsidR="001212A2" w:rsidRPr="005B59AD">
        <w:rPr>
          <w:szCs w:val="24"/>
        </w:rPr>
        <w:t>C</w:t>
      </w:r>
      <w:r w:rsidR="000D1FE3" w:rsidRPr="005B59AD">
        <w:rPr>
          <w:szCs w:val="24"/>
        </w:rPr>
        <w:t xml:space="preserve">lause 5.3 (as amended) </w:t>
      </w:r>
      <w:r w:rsidRPr="005B59AD">
        <w:rPr>
          <w:szCs w:val="24"/>
        </w:rPr>
        <w:t xml:space="preserve">expressly provided </w:t>
      </w:r>
      <w:r w:rsidR="000D1FE3" w:rsidRPr="005B59AD">
        <w:rPr>
          <w:szCs w:val="24"/>
        </w:rPr>
        <w:t>that should there be a failure to repay the Initial Loan or the Loan Balance timeously, the respondent could</w:t>
      </w:r>
      <w:r w:rsidR="000D1FE3" w:rsidRPr="005B59AD">
        <w:rPr>
          <w:b/>
          <w:szCs w:val="24"/>
        </w:rPr>
        <w:t xml:space="preserve"> </w:t>
      </w:r>
      <w:r w:rsidR="000D1FE3" w:rsidRPr="005B59AD">
        <w:rPr>
          <w:szCs w:val="24"/>
        </w:rPr>
        <w:t>take</w:t>
      </w:r>
      <w:r w:rsidR="000D1FE3" w:rsidRPr="005B59AD">
        <w:rPr>
          <w:b/>
          <w:szCs w:val="24"/>
        </w:rPr>
        <w:t xml:space="preserve"> </w:t>
      </w:r>
      <w:r w:rsidR="000D1FE3" w:rsidRPr="005B59AD">
        <w:rPr>
          <w:szCs w:val="24"/>
        </w:rPr>
        <w:t>such legal</w:t>
      </w:r>
      <w:r w:rsidRPr="005B59AD">
        <w:rPr>
          <w:szCs w:val="24"/>
        </w:rPr>
        <w:t xml:space="preserve"> action as he deems  </w:t>
      </w:r>
      <w:r w:rsidR="000D1FE3" w:rsidRPr="005B59AD">
        <w:rPr>
          <w:szCs w:val="24"/>
        </w:rPr>
        <w:t>appropriate.</w:t>
      </w:r>
      <w:r w:rsidRPr="005B59AD">
        <w:rPr>
          <w:szCs w:val="24"/>
        </w:rPr>
        <w:t xml:space="preserve"> </w:t>
      </w:r>
    </w:p>
    <w:p w14:paraId="35D1515E" w14:textId="77777777" w:rsidR="005B59AD" w:rsidRPr="00B66DD6" w:rsidRDefault="005B59AD" w:rsidP="00BB515B">
      <w:pPr>
        <w:spacing w:line="360" w:lineRule="auto"/>
        <w:jc w:val="both"/>
      </w:pPr>
    </w:p>
    <w:p w14:paraId="0D09DA68" w14:textId="24437C45" w:rsidR="00074D76" w:rsidRPr="00B66DD6" w:rsidRDefault="00074D76" w:rsidP="00BB515B">
      <w:pPr>
        <w:pStyle w:val="ListParagraph"/>
        <w:numPr>
          <w:ilvl w:val="0"/>
          <w:numId w:val="1"/>
        </w:numPr>
        <w:spacing w:line="360" w:lineRule="auto"/>
        <w:jc w:val="both"/>
        <w:rPr>
          <w:szCs w:val="24"/>
        </w:rPr>
      </w:pPr>
      <w:r w:rsidRPr="00B66DD6">
        <w:rPr>
          <w:szCs w:val="24"/>
        </w:rPr>
        <w:t xml:space="preserve">In each instance, the addenda were concluded to extend the due dates for repayment of the Initial Loan and the Loan Balance. In paragraph 21 of their answering affidavit, the second appellant </w:t>
      </w:r>
      <w:r w:rsidR="00F06609">
        <w:rPr>
          <w:szCs w:val="24"/>
        </w:rPr>
        <w:t xml:space="preserve">tellingly </w:t>
      </w:r>
      <w:r w:rsidRPr="00B66DD6">
        <w:rPr>
          <w:szCs w:val="24"/>
        </w:rPr>
        <w:t>states:</w:t>
      </w:r>
    </w:p>
    <w:p w14:paraId="4E0C769C" w14:textId="7B2DC0A5" w:rsidR="00074D76" w:rsidRPr="00B66DD6" w:rsidRDefault="00074D76" w:rsidP="00BB515B">
      <w:pPr>
        <w:pStyle w:val="ListParagraph"/>
        <w:spacing w:line="360" w:lineRule="auto"/>
        <w:ind w:left="0"/>
        <w:rPr>
          <w:szCs w:val="24"/>
        </w:rPr>
      </w:pPr>
      <w:r w:rsidRPr="00B66DD6">
        <w:rPr>
          <w:sz w:val="22"/>
        </w:rPr>
        <w:t>‘Furthermore, the effect of the addenda was to extend the time for repayment</w:t>
      </w:r>
      <w:r w:rsidRPr="00B66DD6">
        <w:rPr>
          <w:szCs w:val="24"/>
        </w:rPr>
        <w:t>.’</w:t>
      </w:r>
    </w:p>
    <w:p w14:paraId="688A7CC2" w14:textId="4C3440EF" w:rsidR="00074D76" w:rsidRPr="00074D76" w:rsidRDefault="00074D76" w:rsidP="00BB515B">
      <w:pPr>
        <w:pStyle w:val="ListParagraph"/>
        <w:spacing w:line="360" w:lineRule="auto"/>
        <w:ind w:left="0"/>
        <w:jc w:val="both"/>
        <w:rPr>
          <w:szCs w:val="24"/>
        </w:rPr>
      </w:pPr>
      <w:r w:rsidRPr="00B66DD6">
        <w:rPr>
          <w:szCs w:val="24"/>
        </w:rPr>
        <w:t xml:space="preserve">This statement carries the implied admission that there was a fixed time for repayment of the loan, in other words a fixed due date. On the appellants’ version, there would be no need to extend these dates for payment as the loan agreement had no specific dates for repayment of the loans. </w:t>
      </w:r>
    </w:p>
    <w:p w14:paraId="23E115B1" w14:textId="77777777" w:rsidR="00074D76" w:rsidRDefault="00074D76" w:rsidP="00BB515B">
      <w:pPr>
        <w:pStyle w:val="ListParagraph"/>
        <w:spacing w:line="360" w:lineRule="auto"/>
        <w:rPr>
          <w:szCs w:val="24"/>
        </w:rPr>
      </w:pPr>
    </w:p>
    <w:p w14:paraId="575E374C" w14:textId="4C032321" w:rsidR="000D1FE3" w:rsidRPr="00F850CD" w:rsidRDefault="000D1FE3" w:rsidP="00BB515B">
      <w:pPr>
        <w:numPr>
          <w:ilvl w:val="0"/>
          <w:numId w:val="1"/>
        </w:numPr>
        <w:spacing w:line="360" w:lineRule="auto"/>
        <w:jc w:val="both"/>
      </w:pPr>
      <w:r w:rsidRPr="00B66DD6">
        <w:rPr>
          <w:szCs w:val="24"/>
        </w:rPr>
        <w:lastRenderedPageBreak/>
        <w:t>On 22 October 2020</w:t>
      </w:r>
      <w:r w:rsidR="00672D72" w:rsidRPr="00B66DD6">
        <w:rPr>
          <w:szCs w:val="24"/>
        </w:rPr>
        <w:t xml:space="preserve">, </w:t>
      </w:r>
      <w:r w:rsidR="00BB515B">
        <w:rPr>
          <w:szCs w:val="24"/>
        </w:rPr>
        <w:t>which</w:t>
      </w:r>
      <w:r w:rsidR="00BB515B" w:rsidRPr="00B66DD6">
        <w:rPr>
          <w:szCs w:val="24"/>
        </w:rPr>
        <w:t xml:space="preserve"> </w:t>
      </w:r>
      <w:r w:rsidR="00672D72" w:rsidRPr="00B66DD6">
        <w:rPr>
          <w:szCs w:val="24"/>
        </w:rPr>
        <w:t xml:space="preserve">is after the conclusion of the </w:t>
      </w:r>
      <w:r w:rsidR="00F850CD">
        <w:rPr>
          <w:szCs w:val="24"/>
        </w:rPr>
        <w:t>second addendum</w:t>
      </w:r>
      <w:r w:rsidR="00672D72" w:rsidRPr="00B66DD6">
        <w:rPr>
          <w:szCs w:val="24"/>
        </w:rPr>
        <w:t xml:space="preserve">, </w:t>
      </w:r>
      <w:r w:rsidRPr="00B66DD6">
        <w:rPr>
          <w:szCs w:val="24"/>
        </w:rPr>
        <w:t xml:space="preserve">the second appellant </w:t>
      </w:r>
      <w:r w:rsidR="00F06609">
        <w:rPr>
          <w:szCs w:val="24"/>
        </w:rPr>
        <w:t xml:space="preserve">in his e-mail </w:t>
      </w:r>
      <w:r w:rsidR="00672D72" w:rsidRPr="00B66DD6">
        <w:rPr>
          <w:szCs w:val="24"/>
        </w:rPr>
        <w:t>to the r</w:t>
      </w:r>
      <w:r w:rsidRPr="00B66DD6">
        <w:rPr>
          <w:szCs w:val="24"/>
        </w:rPr>
        <w:t>espondent confirmed that the Initial Loan of €1</w:t>
      </w:r>
      <w:r w:rsidR="00C208CE">
        <w:rPr>
          <w:szCs w:val="24"/>
        </w:rPr>
        <w:t>.</w:t>
      </w:r>
      <w:r w:rsidRPr="00B66DD6">
        <w:rPr>
          <w:szCs w:val="24"/>
        </w:rPr>
        <w:t xml:space="preserve">5 million plus interest was </w:t>
      </w:r>
      <w:r w:rsidR="00F850CD">
        <w:rPr>
          <w:szCs w:val="24"/>
        </w:rPr>
        <w:t>‘</w:t>
      </w:r>
      <w:r w:rsidRPr="00B66DD6">
        <w:rPr>
          <w:szCs w:val="24"/>
        </w:rPr>
        <w:t>repayable in March 2021.</w:t>
      </w:r>
      <w:r w:rsidR="00F850CD">
        <w:rPr>
          <w:szCs w:val="24"/>
        </w:rPr>
        <w:t>’</w:t>
      </w:r>
    </w:p>
    <w:p w14:paraId="7EC68F32" w14:textId="77777777" w:rsidR="00F850CD" w:rsidRPr="00B66DD6" w:rsidRDefault="00F850CD" w:rsidP="00BB515B">
      <w:pPr>
        <w:spacing w:line="360" w:lineRule="auto"/>
        <w:jc w:val="both"/>
      </w:pPr>
    </w:p>
    <w:p w14:paraId="40862A4F" w14:textId="4538F487" w:rsidR="003103B4" w:rsidRPr="00B66DD6" w:rsidRDefault="00EC29BF" w:rsidP="00BB515B">
      <w:pPr>
        <w:numPr>
          <w:ilvl w:val="0"/>
          <w:numId w:val="1"/>
        </w:numPr>
        <w:spacing w:line="360" w:lineRule="auto"/>
        <w:jc w:val="both"/>
        <w:rPr>
          <w:sz w:val="22"/>
          <w:szCs w:val="22"/>
        </w:rPr>
      </w:pPr>
      <w:r w:rsidRPr="00B66DD6">
        <w:rPr>
          <w:szCs w:val="24"/>
        </w:rPr>
        <w:t>On 16 November 2020 the a</w:t>
      </w:r>
      <w:r w:rsidR="00BB515B">
        <w:rPr>
          <w:szCs w:val="24"/>
        </w:rPr>
        <w:t>ppellants’ attorney, Mr</w:t>
      </w:r>
      <w:r w:rsidR="000D1FE3" w:rsidRPr="00B66DD6">
        <w:rPr>
          <w:szCs w:val="24"/>
        </w:rPr>
        <w:t xml:space="preserve"> </w:t>
      </w:r>
      <w:proofErr w:type="spellStart"/>
      <w:r w:rsidR="000D1FE3" w:rsidRPr="00B66DD6">
        <w:rPr>
          <w:szCs w:val="24"/>
        </w:rPr>
        <w:t>Warmback</w:t>
      </w:r>
      <w:proofErr w:type="spellEnd"/>
      <w:r w:rsidR="000D1FE3" w:rsidRPr="00B66DD6">
        <w:rPr>
          <w:szCs w:val="24"/>
        </w:rPr>
        <w:t xml:space="preserve">, </w:t>
      </w:r>
      <w:r w:rsidR="00F850CD">
        <w:rPr>
          <w:szCs w:val="24"/>
        </w:rPr>
        <w:t xml:space="preserve">in his </w:t>
      </w:r>
      <w:r w:rsidR="000D1FE3" w:rsidRPr="00B66DD6">
        <w:rPr>
          <w:szCs w:val="24"/>
        </w:rPr>
        <w:t xml:space="preserve">e-mail </w:t>
      </w:r>
      <w:r w:rsidRPr="00B66DD6">
        <w:rPr>
          <w:szCs w:val="24"/>
        </w:rPr>
        <w:t>recounted the terms of the loan agreement as a</w:t>
      </w:r>
      <w:r w:rsidR="00F850CD">
        <w:rPr>
          <w:szCs w:val="24"/>
        </w:rPr>
        <w:t xml:space="preserve">mended by the addenda, and </w:t>
      </w:r>
      <w:r w:rsidRPr="00B66DD6">
        <w:rPr>
          <w:szCs w:val="24"/>
        </w:rPr>
        <w:t xml:space="preserve">clearly expressed a conclusion, </w:t>
      </w:r>
      <w:r w:rsidR="00F850CD">
        <w:rPr>
          <w:szCs w:val="24"/>
        </w:rPr>
        <w:t xml:space="preserve">denoted </w:t>
      </w:r>
      <w:r w:rsidRPr="00B66DD6">
        <w:rPr>
          <w:szCs w:val="24"/>
        </w:rPr>
        <w:t xml:space="preserve">by the </w:t>
      </w:r>
      <w:r w:rsidR="005B59AD">
        <w:rPr>
          <w:szCs w:val="24"/>
        </w:rPr>
        <w:t xml:space="preserve">introductory </w:t>
      </w:r>
      <w:r w:rsidR="00C208CE">
        <w:rPr>
          <w:szCs w:val="24"/>
        </w:rPr>
        <w:t>words ‘It is therefore. . .’,</w:t>
      </w:r>
      <w:r w:rsidRPr="00B66DD6">
        <w:rPr>
          <w:sz w:val="22"/>
          <w:szCs w:val="22"/>
        </w:rPr>
        <w:t xml:space="preserve"> </w:t>
      </w:r>
      <w:r w:rsidRPr="00B66DD6">
        <w:rPr>
          <w:szCs w:val="24"/>
        </w:rPr>
        <w:t>when explaining</w:t>
      </w:r>
      <w:r w:rsidR="003103B4" w:rsidRPr="00B66DD6">
        <w:rPr>
          <w:szCs w:val="24"/>
        </w:rPr>
        <w:t>:</w:t>
      </w:r>
    </w:p>
    <w:p w14:paraId="610BB82C" w14:textId="5B0BD2D5" w:rsidR="000D1FE3" w:rsidRPr="00F850CD" w:rsidRDefault="00EC29BF" w:rsidP="00BB515B">
      <w:pPr>
        <w:spacing w:line="360" w:lineRule="auto"/>
        <w:jc w:val="both"/>
        <w:rPr>
          <w:sz w:val="22"/>
          <w:szCs w:val="22"/>
        </w:rPr>
      </w:pPr>
      <w:r w:rsidRPr="00F850CD">
        <w:rPr>
          <w:sz w:val="22"/>
          <w:szCs w:val="22"/>
        </w:rPr>
        <w:t xml:space="preserve">‘It is therefore </w:t>
      </w:r>
      <w:r w:rsidR="000D1FE3" w:rsidRPr="00F850CD">
        <w:rPr>
          <w:sz w:val="22"/>
          <w:szCs w:val="22"/>
        </w:rPr>
        <w:t>the Euro 1.5m plus the capitalised interest on the Euro 1.5m which is due by 1 March 2021.</w:t>
      </w:r>
      <w:r w:rsidR="00C208CE">
        <w:rPr>
          <w:sz w:val="22"/>
          <w:szCs w:val="22"/>
        </w:rPr>
        <w:t>’</w:t>
      </w:r>
      <w:r w:rsidR="000D1FE3" w:rsidRPr="00F850CD">
        <w:rPr>
          <w:sz w:val="22"/>
          <w:szCs w:val="22"/>
        </w:rPr>
        <w:t xml:space="preserve"> </w:t>
      </w:r>
    </w:p>
    <w:p w14:paraId="08D373F4" w14:textId="77777777" w:rsidR="00F850CD" w:rsidRPr="00B66DD6" w:rsidRDefault="00F850CD" w:rsidP="00BB515B">
      <w:pPr>
        <w:pStyle w:val="ListParagraph"/>
        <w:spacing w:line="360" w:lineRule="auto"/>
        <w:ind w:left="0"/>
        <w:jc w:val="both"/>
        <w:rPr>
          <w:szCs w:val="24"/>
        </w:rPr>
      </w:pPr>
    </w:p>
    <w:p w14:paraId="49E2FCDE" w14:textId="2F678E71" w:rsidR="005B59AD" w:rsidRDefault="005B59AD" w:rsidP="00BB515B">
      <w:pPr>
        <w:pStyle w:val="ListParagraph"/>
        <w:numPr>
          <w:ilvl w:val="0"/>
          <w:numId w:val="1"/>
        </w:numPr>
        <w:spacing w:line="360" w:lineRule="auto"/>
        <w:jc w:val="both"/>
        <w:rPr>
          <w:szCs w:val="24"/>
        </w:rPr>
      </w:pPr>
      <w:r w:rsidRPr="00F850CD">
        <w:rPr>
          <w:szCs w:val="24"/>
        </w:rPr>
        <w:t xml:space="preserve">Mr </w:t>
      </w:r>
      <w:proofErr w:type="spellStart"/>
      <w:r w:rsidRPr="00F850CD">
        <w:rPr>
          <w:szCs w:val="24"/>
        </w:rPr>
        <w:t>Warmback’s</w:t>
      </w:r>
      <w:proofErr w:type="spellEnd"/>
      <w:r w:rsidRPr="00F850CD">
        <w:rPr>
          <w:szCs w:val="24"/>
        </w:rPr>
        <w:t xml:space="preserve"> e-mail of 16 November 2020 was also addressed to </w:t>
      </w:r>
      <w:r w:rsidRPr="00F850CD">
        <w:rPr>
          <w:i/>
          <w:szCs w:val="24"/>
        </w:rPr>
        <w:t xml:space="preserve">inter alia </w:t>
      </w:r>
      <w:r w:rsidRPr="00F850CD">
        <w:rPr>
          <w:szCs w:val="24"/>
        </w:rPr>
        <w:t>the second appellant and the appellants’ attorney of record, Mr Coetzee</w:t>
      </w:r>
      <w:r w:rsidR="00BB515B">
        <w:rPr>
          <w:szCs w:val="24"/>
        </w:rPr>
        <w:t>.</w:t>
      </w:r>
      <w:r w:rsidRPr="00F850CD">
        <w:rPr>
          <w:szCs w:val="24"/>
        </w:rPr>
        <w:t xml:space="preserve"> On 24 November 2020 Mr Coetzee addressed an e-mail to the respondent in response to the respondent’s enquiry in respect of Mr </w:t>
      </w:r>
      <w:proofErr w:type="spellStart"/>
      <w:r w:rsidRPr="00F850CD">
        <w:rPr>
          <w:szCs w:val="24"/>
        </w:rPr>
        <w:t>Warmback’s</w:t>
      </w:r>
      <w:proofErr w:type="spellEnd"/>
      <w:r w:rsidRPr="00F850CD">
        <w:rPr>
          <w:szCs w:val="24"/>
        </w:rPr>
        <w:t xml:space="preserve"> e-mail of 16 November 2020. Mr Coetzee did not distance the appellants from the statements in Mr </w:t>
      </w:r>
      <w:proofErr w:type="spellStart"/>
      <w:r w:rsidRPr="00F850CD">
        <w:rPr>
          <w:szCs w:val="24"/>
        </w:rPr>
        <w:t>Warmback’s</w:t>
      </w:r>
      <w:proofErr w:type="spellEnd"/>
      <w:r w:rsidRPr="00F850CD">
        <w:rPr>
          <w:szCs w:val="24"/>
        </w:rPr>
        <w:t xml:space="preserve"> e-mail regarding the due dates for repayment of the Initial Loan and the Loan Balance.</w:t>
      </w:r>
    </w:p>
    <w:p w14:paraId="240BBFB2" w14:textId="77777777" w:rsidR="005B59AD" w:rsidRDefault="005B59AD" w:rsidP="00BB515B">
      <w:pPr>
        <w:pStyle w:val="ListParagraph"/>
        <w:spacing w:line="360" w:lineRule="auto"/>
        <w:ind w:left="0"/>
        <w:jc w:val="both"/>
        <w:rPr>
          <w:szCs w:val="24"/>
        </w:rPr>
      </w:pPr>
    </w:p>
    <w:p w14:paraId="5EB7DD85" w14:textId="289A4312" w:rsidR="00F06609" w:rsidRPr="00074D76" w:rsidRDefault="00F06609" w:rsidP="00BB515B">
      <w:pPr>
        <w:pStyle w:val="ListParagraph"/>
        <w:numPr>
          <w:ilvl w:val="0"/>
          <w:numId w:val="1"/>
        </w:numPr>
        <w:spacing w:line="360" w:lineRule="auto"/>
        <w:jc w:val="both"/>
        <w:rPr>
          <w:szCs w:val="24"/>
        </w:rPr>
      </w:pPr>
      <w:r w:rsidRPr="00B66DD6">
        <w:rPr>
          <w:szCs w:val="24"/>
        </w:rPr>
        <w:t xml:space="preserve">The appellants’ </w:t>
      </w:r>
      <w:r w:rsidR="005B59AD">
        <w:rPr>
          <w:szCs w:val="24"/>
        </w:rPr>
        <w:t xml:space="preserve">interpretation of the agreement </w:t>
      </w:r>
      <w:r w:rsidRPr="00B66DD6">
        <w:rPr>
          <w:szCs w:val="24"/>
        </w:rPr>
        <w:t>is accordingly also not supported by the evidence</w:t>
      </w:r>
      <w:r w:rsidR="005B59AD">
        <w:rPr>
          <w:szCs w:val="24"/>
        </w:rPr>
        <w:t xml:space="preserve"> as to how the obligations in terms of the agreement were viewed and implemented by the</w:t>
      </w:r>
      <w:r w:rsidR="001602EF">
        <w:rPr>
          <w:szCs w:val="24"/>
        </w:rPr>
        <w:t xml:space="preserve"> appellants and their attorneys</w:t>
      </w:r>
      <w:r w:rsidRPr="00B66DD6">
        <w:rPr>
          <w:szCs w:val="24"/>
        </w:rPr>
        <w:t xml:space="preserve">. </w:t>
      </w:r>
    </w:p>
    <w:p w14:paraId="0BABF3E2" w14:textId="77777777" w:rsidR="00F06609" w:rsidRDefault="00F06609" w:rsidP="00BB515B">
      <w:pPr>
        <w:pStyle w:val="ListParagraph"/>
        <w:spacing w:line="360" w:lineRule="auto"/>
        <w:ind w:left="0"/>
        <w:jc w:val="both"/>
        <w:rPr>
          <w:szCs w:val="24"/>
        </w:rPr>
      </w:pPr>
    </w:p>
    <w:p w14:paraId="224C317B" w14:textId="483639EA" w:rsidR="00074D76" w:rsidRPr="00074D76" w:rsidRDefault="001602EF" w:rsidP="00BB515B">
      <w:pPr>
        <w:pStyle w:val="ListParagraph"/>
        <w:numPr>
          <w:ilvl w:val="0"/>
          <w:numId w:val="1"/>
        </w:numPr>
        <w:spacing w:line="360" w:lineRule="auto"/>
        <w:jc w:val="both"/>
        <w:rPr>
          <w:szCs w:val="24"/>
        </w:rPr>
      </w:pPr>
      <w:r>
        <w:rPr>
          <w:szCs w:val="24"/>
        </w:rPr>
        <w:t xml:space="preserve">Indeed, the </w:t>
      </w:r>
      <w:r w:rsidR="00822FBE">
        <w:rPr>
          <w:szCs w:val="24"/>
        </w:rPr>
        <w:t xml:space="preserve">above evidence and </w:t>
      </w:r>
      <w:r w:rsidR="003103B4" w:rsidRPr="00B66DD6">
        <w:rPr>
          <w:szCs w:val="24"/>
        </w:rPr>
        <w:t xml:space="preserve">the conduct by the appellants and their attorneys, </w:t>
      </w:r>
      <w:r>
        <w:rPr>
          <w:szCs w:val="24"/>
        </w:rPr>
        <w:t>are</w:t>
      </w:r>
      <w:r w:rsidR="00B66DD6" w:rsidRPr="00B66DD6">
        <w:rPr>
          <w:szCs w:val="24"/>
        </w:rPr>
        <w:t xml:space="preserve"> diametrically </w:t>
      </w:r>
      <w:r>
        <w:rPr>
          <w:szCs w:val="24"/>
        </w:rPr>
        <w:t xml:space="preserve">opposed to </w:t>
      </w:r>
      <w:r w:rsidR="000D1FE3" w:rsidRPr="00B66DD6">
        <w:rPr>
          <w:szCs w:val="24"/>
        </w:rPr>
        <w:t>the appellants</w:t>
      </w:r>
      <w:r w:rsidR="003103B4" w:rsidRPr="00B66DD6">
        <w:rPr>
          <w:szCs w:val="24"/>
        </w:rPr>
        <w:t>’</w:t>
      </w:r>
      <w:r w:rsidR="000D1FE3" w:rsidRPr="00B66DD6">
        <w:rPr>
          <w:szCs w:val="24"/>
        </w:rPr>
        <w:t xml:space="preserve"> </w:t>
      </w:r>
      <w:r w:rsidR="003103B4" w:rsidRPr="00B66DD6">
        <w:rPr>
          <w:szCs w:val="24"/>
        </w:rPr>
        <w:t xml:space="preserve">now </w:t>
      </w:r>
      <w:r w:rsidR="000D1FE3" w:rsidRPr="00B66DD6">
        <w:rPr>
          <w:szCs w:val="24"/>
        </w:rPr>
        <w:t xml:space="preserve">reliance on clause 6.2 of the Loan </w:t>
      </w:r>
      <w:r w:rsidR="00BB515B">
        <w:rPr>
          <w:szCs w:val="24"/>
        </w:rPr>
        <w:t>a</w:t>
      </w:r>
      <w:r w:rsidR="00BB515B" w:rsidRPr="00B66DD6">
        <w:rPr>
          <w:szCs w:val="24"/>
        </w:rPr>
        <w:t>greement</w:t>
      </w:r>
      <w:r>
        <w:rPr>
          <w:szCs w:val="24"/>
        </w:rPr>
        <w:t>,</w:t>
      </w:r>
      <w:r w:rsidR="000D1FE3" w:rsidRPr="00B66DD6">
        <w:rPr>
          <w:szCs w:val="24"/>
        </w:rPr>
        <w:t xml:space="preserve"> that </w:t>
      </w:r>
      <w:r w:rsidR="007868A7" w:rsidRPr="00B66DD6">
        <w:rPr>
          <w:szCs w:val="24"/>
        </w:rPr>
        <w:t>payments w</w:t>
      </w:r>
      <w:r w:rsidR="000D1FE3" w:rsidRPr="00B66DD6">
        <w:rPr>
          <w:szCs w:val="24"/>
        </w:rPr>
        <w:t>ould only fall due from the proceeds of sales of the immovable properties subject to the bond</w:t>
      </w:r>
      <w:r w:rsidR="007868A7" w:rsidRPr="00B66DD6">
        <w:rPr>
          <w:szCs w:val="24"/>
        </w:rPr>
        <w:t>,</w:t>
      </w:r>
      <w:r w:rsidR="000D1FE3" w:rsidRPr="00B66DD6">
        <w:rPr>
          <w:szCs w:val="24"/>
        </w:rPr>
        <w:t xml:space="preserve"> and </w:t>
      </w:r>
      <w:r w:rsidR="007868A7" w:rsidRPr="00B66DD6">
        <w:rPr>
          <w:szCs w:val="24"/>
        </w:rPr>
        <w:t xml:space="preserve">its corollary, </w:t>
      </w:r>
      <w:r w:rsidR="000D1FE3" w:rsidRPr="00B66DD6">
        <w:rPr>
          <w:szCs w:val="24"/>
        </w:rPr>
        <w:t>that in the absence of any such sales</w:t>
      </w:r>
      <w:r>
        <w:rPr>
          <w:szCs w:val="24"/>
        </w:rPr>
        <w:t>,</w:t>
      </w:r>
      <w:r w:rsidR="000D1FE3" w:rsidRPr="00B66DD6">
        <w:rPr>
          <w:szCs w:val="24"/>
        </w:rPr>
        <w:t xml:space="preserve"> notwithstanding the best endeavours of the first appellant, no payment would be due</w:t>
      </w:r>
      <w:r>
        <w:rPr>
          <w:szCs w:val="24"/>
        </w:rPr>
        <w:t xml:space="preserve"> to the respondent</w:t>
      </w:r>
      <w:r w:rsidR="00B66DD6" w:rsidRPr="00B66DD6">
        <w:rPr>
          <w:szCs w:val="24"/>
        </w:rPr>
        <w:t xml:space="preserve">. </w:t>
      </w:r>
      <w:r w:rsidR="007868A7" w:rsidRPr="00B66DD6">
        <w:rPr>
          <w:szCs w:val="24"/>
        </w:rPr>
        <w:t>Such an</w:t>
      </w:r>
      <w:r w:rsidR="000D1FE3" w:rsidRPr="00B66DD6">
        <w:rPr>
          <w:szCs w:val="24"/>
        </w:rPr>
        <w:t xml:space="preserve"> interpretation is </w:t>
      </w:r>
      <w:r>
        <w:rPr>
          <w:szCs w:val="24"/>
        </w:rPr>
        <w:t xml:space="preserve">furthermore </w:t>
      </w:r>
      <w:r w:rsidR="000D1FE3" w:rsidRPr="00B66DD6">
        <w:rPr>
          <w:szCs w:val="24"/>
        </w:rPr>
        <w:t xml:space="preserve">in direct conflict with the </w:t>
      </w:r>
      <w:r w:rsidR="00F850CD">
        <w:rPr>
          <w:szCs w:val="24"/>
        </w:rPr>
        <w:t xml:space="preserve">clear </w:t>
      </w:r>
      <w:r w:rsidR="000D1FE3" w:rsidRPr="00B66DD6">
        <w:rPr>
          <w:szCs w:val="24"/>
        </w:rPr>
        <w:t>express terms of clauses 5.1 and 5.3 (a</w:t>
      </w:r>
      <w:r w:rsidR="007868A7" w:rsidRPr="00B66DD6">
        <w:rPr>
          <w:szCs w:val="24"/>
        </w:rPr>
        <w:t xml:space="preserve">s amended), as well as </w:t>
      </w:r>
      <w:r w:rsidR="000D1FE3" w:rsidRPr="00B66DD6">
        <w:rPr>
          <w:szCs w:val="24"/>
        </w:rPr>
        <w:t xml:space="preserve">the contents of the e-mail addressed by the appellants’ attorney, Mr </w:t>
      </w:r>
      <w:proofErr w:type="spellStart"/>
      <w:r w:rsidR="000D1FE3" w:rsidRPr="00B66DD6">
        <w:rPr>
          <w:szCs w:val="24"/>
        </w:rPr>
        <w:t>Warmback</w:t>
      </w:r>
      <w:proofErr w:type="spellEnd"/>
      <w:r w:rsidR="000D1FE3" w:rsidRPr="00B66DD6">
        <w:rPr>
          <w:szCs w:val="24"/>
        </w:rPr>
        <w:t xml:space="preserve"> to the respondent on 16</w:t>
      </w:r>
      <w:r w:rsidR="00074D76">
        <w:rPr>
          <w:szCs w:val="24"/>
        </w:rPr>
        <w:t xml:space="preserve"> November 2020, and </w:t>
      </w:r>
      <w:r w:rsidR="000D1FE3" w:rsidRPr="00B66DD6">
        <w:rPr>
          <w:szCs w:val="24"/>
        </w:rPr>
        <w:t>the second appellant’s e-mail of 22 October 2020 to the respondent</w:t>
      </w:r>
      <w:r w:rsidR="00074D76">
        <w:rPr>
          <w:szCs w:val="24"/>
        </w:rPr>
        <w:t xml:space="preserve">. </w:t>
      </w:r>
      <w:r>
        <w:rPr>
          <w:szCs w:val="24"/>
        </w:rPr>
        <w:lastRenderedPageBreak/>
        <w:t>The appellants’ interpretation would render c</w:t>
      </w:r>
      <w:r w:rsidR="00074D76" w:rsidRPr="00B66DD6">
        <w:rPr>
          <w:szCs w:val="24"/>
        </w:rPr>
        <w:t>lauses 5 and 6 mut</w:t>
      </w:r>
      <w:r w:rsidR="00074D76">
        <w:rPr>
          <w:szCs w:val="24"/>
        </w:rPr>
        <w:t xml:space="preserve">ually exclusive and destructive, and </w:t>
      </w:r>
      <w:r>
        <w:rPr>
          <w:szCs w:val="24"/>
        </w:rPr>
        <w:t xml:space="preserve">would render </w:t>
      </w:r>
      <w:r w:rsidR="00074D76">
        <w:rPr>
          <w:szCs w:val="24"/>
        </w:rPr>
        <w:t>c</w:t>
      </w:r>
      <w:r w:rsidR="00F14D4F" w:rsidRPr="00074D76">
        <w:rPr>
          <w:szCs w:val="24"/>
        </w:rPr>
        <w:t xml:space="preserve">lauses 5.1, 5.2 and 5.3 (whether </w:t>
      </w:r>
      <w:r>
        <w:rPr>
          <w:szCs w:val="24"/>
        </w:rPr>
        <w:t xml:space="preserve">in the </w:t>
      </w:r>
      <w:r w:rsidR="00F14D4F" w:rsidRPr="00074D76">
        <w:rPr>
          <w:szCs w:val="24"/>
        </w:rPr>
        <w:t>original or as amended) unnecessary</w:t>
      </w:r>
      <w:r>
        <w:rPr>
          <w:szCs w:val="24"/>
        </w:rPr>
        <w:t xml:space="preserve">. </w:t>
      </w:r>
      <w:r w:rsidR="00074D76" w:rsidRPr="00074D76">
        <w:rPr>
          <w:szCs w:val="24"/>
        </w:rPr>
        <w:t>That would violate</w:t>
      </w:r>
      <w:r w:rsidR="00F14D4F" w:rsidRPr="00074D76">
        <w:rPr>
          <w:szCs w:val="24"/>
        </w:rPr>
        <w:t xml:space="preserve"> the basic principle of interpretation that the preferred interpretation of a written agreement must account for all the words in the document.</w:t>
      </w:r>
      <w:r w:rsidR="00B66DD6" w:rsidRPr="00074D76">
        <w:rPr>
          <w:szCs w:val="24"/>
        </w:rPr>
        <w:t xml:space="preserve"> </w:t>
      </w:r>
    </w:p>
    <w:p w14:paraId="4177080F" w14:textId="77777777" w:rsidR="00074D76" w:rsidRDefault="00074D76" w:rsidP="00BB515B">
      <w:pPr>
        <w:pStyle w:val="ListParagraph"/>
        <w:spacing w:line="360" w:lineRule="auto"/>
        <w:ind w:left="0"/>
        <w:jc w:val="both"/>
        <w:rPr>
          <w:szCs w:val="24"/>
        </w:rPr>
      </w:pPr>
    </w:p>
    <w:p w14:paraId="274174B2" w14:textId="665F839E" w:rsidR="00B66DD6" w:rsidRPr="00074D76" w:rsidRDefault="000D1FE3" w:rsidP="00BB515B">
      <w:pPr>
        <w:pStyle w:val="ListParagraph"/>
        <w:numPr>
          <w:ilvl w:val="0"/>
          <w:numId w:val="1"/>
        </w:numPr>
        <w:spacing w:line="360" w:lineRule="auto"/>
        <w:jc w:val="both"/>
        <w:rPr>
          <w:szCs w:val="24"/>
        </w:rPr>
      </w:pPr>
      <w:r w:rsidRPr="00B66DD6">
        <w:rPr>
          <w:szCs w:val="24"/>
        </w:rPr>
        <w:t>Clause 6</w:t>
      </w:r>
      <w:r w:rsidR="00074D76">
        <w:rPr>
          <w:szCs w:val="24"/>
        </w:rPr>
        <w:t>,</w:t>
      </w:r>
      <w:r w:rsidRPr="00B66DD6">
        <w:rPr>
          <w:szCs w:val="24"/>
        </w:rPr>
        <w:t xml:space="preserve"> in its original form without </w:t>
      </w:r>
      <w:r w:rsidR="00074D76">
        <w:rPr>
          <w:szCs w:val="24"/>
        </w:rPr>
        <w:t xml:space="preserve">any </w:t>
      </w:r>
      <w:r w:rsidRPr="00B66DD6">
        <w:rPr>
          <w:szCs w:val="24"/>
        </w:rPr>
        <w:t>amendment</w:t>
      </w:r>
      <w:r w:rsidR="0053614D">
        <w:rPr>
          <w:szCs w:val="24"/>
        </w:rPr>
        <w:t xml:space="preserve">, always </w:t>
      </w:r>
      <w:r w:rsidR="0053614D" w:rsidRPr="00B66DD6">
        <w:rPr>
          <w:szCs w:val="24"/>
        </w:rPr>
        <w:t xml:space="preserve">remained </w:t>
      </w:r>
      <w:r w:rsidR="00BB515B">
        <w:rPr>
          <w:szCs w:val="24"/>
        </w:rPr>
        <w:t xml:space="preserve">a </w:t>
      </w:r>
      <w:r w:rsidR="0053614D" w:rsidRPr="00B66DD6">
        <w:rPr>
          <w:szCs w:val="24"/>
        </w:rPr>
        <w:t>part of the loan agreement</w:t>
      </w:r>
      <w:r w:rsidRPr="00B66DD6">
        <w:rPr>
          <w:szCs w:val="24"/>
        </w:rPr>
        <w:t xml:space="preserve">. </w:t>
      </w:r>
      <w:r w:rsidR="00074D76">
        <w:rPr>
          <w:szCs w:val="24"/>
        </w:rPr>
        <w:t xml:space="preserve">If the </w:t>
      </w:r>
      <w:r w:rsidRPr="00B66DD6">
        <w:rPr>
          <w:szCs w:val="24"/>
        </w:rPr>
        <w:t xml:space="preserve">appellants’ </w:t>
      </w:r>
      <w:r w:rsidR="007868A7" w:rsidRPr="00B66DD6">
        <w:rPr>
          <w:szCs w:val="24"/>
        </w:rPr>
        <w:t xml:space="preserve">version </w:t>
      </w:r>
      <w:r w:rsidR="001212A2" w:rsidRPr="00B66DD6">
        <w:rPr>
          <w:szCs w:val="24"/>
        </w:rPr>
        <w:t xml:space="preserve">was correct, </w:t>
      </w:r>
      <w:r w:rsidRPr="00B66DD6">
        <w:rPr>
          <w:szCs w:val="24"/>
        </w:rPr>
        <w:t xml:space="preserve">there </w:t>
      </w:r>
      <w:r w:rsidR="007868A7" w:rsidRPr="00B66DD6">
        <w:rPr>
          <w:szCs w:val="24"/>
        </w:rPr>
        <w:t>w</w:t>
      </w:r>
      <w:r w:rsidR="00074D76">
        <w:rPr>
          <w:szCs w:val="24"/>
        </w:rPr>
        <w:t xml:space="preserve">ould have been no </w:t>
      </w:r>
      <w:r w:rsidR="001212A2" w:rsidRPr="00B66DD6">
        <w:rPr>
          <w:szCs w:val="24"/>
        </w:rPr>
        <w:t>ne</w:t>
      </w:r>
      <w:r w:rsidR="00AE6A43">
        <w:rPr>
          <w:szCs w:val="24"/>
        </w:rPr>
        <w:t>ed</w:t>
      </w:r>
      <w:r w:rsidR="001212A2" w:rsidRPr="00B66DD6">
        <w:rPr>
          <w:szCs w:val="24"/>
        </w:rPr>
        <w:t xml:space="preserve"> </w:t>
      </w:r>
      <w:r w:rsidR="007868A7" w:rsidRPr="00B66DD6">
        <w:rPr>
          <w:szCs w:val="24"/>
        </w:rPr>
        <w:t xml:space="preserve">to </w:t>
      </w:r>
      <w:r w:rsidR="001212A2" w:rsidRPr="00B66DD6">
        <w:rPr>
          <w:szCs w:val="24"/>
        </w:rPr>
        <w:t>re-</w:t>
      </w:r>
      <w:r w:rsidR="007868A7" w:rsidRPr="00B66DD6">
        <w:rPr>
          <w:szCs w:val="24"/>
        </w:rPr>
        <w:t>negotiate</w:t>
      </w:r>
      <w:r w:rsidRPr="00B66DD6">
        <w:rPr>
          <w:szCs w:val="24"/>
        </w:rPr>
        <w:t xml:space="preserve"> </w:t>
      </w:r>
      <w:r w:rsidR="007868A7" w:rsidRPr="00B66DD6">
        <w:rPr>
          <w:szCs w:val="24"/>
        </w:rPr>
        <w:t xml:space="preserve">new </w:t>
      </w:r>
      <w:r w:rsidRPr="00B66DD6">
        <w:rPr>
          <w:szCs w:val="24"/>
        </w:rPr>
        <w:t xml:space="preserve">dates </w:t>
      </w:r>
      <w:r w:rsidR="007868A7" w:rsidRPr="00B66DD6">
        <w:rPr>
          <w:szCs w:val="24"/>
        </w:rPr>
        <w:t xml:space="preserve">for </w:t>
      </w:r>
      <w:r w:rsidR="001212A2" w:rsidRPr="00B66DD6">
        <w:rPr>
          <w:szCs w:val="24"/>
        </w:rPr>
        <w:t>payment</w:t>
      </w:r>
      <w:r w:rsidR="00CF6DA5">
        <w:rPr>
          <w:szCs w:val="24"/>
        </w:rPr>
        <w:t>,</w:t>
      </w:r>
      <w:r w:rsidR="001212A2" w:rsidRPr="00B66DD6">
        <w:rPr>
          <w:szCs w:val="24"/>
        </w:rPr>
        <w:t xml:space="preserve"> </w:t>
      </w:r>
      <w:r w:rsidR="0053614D">
        <w:rPr>
          <w:szCs w:val="24"/>
        </w:rPr>
        <w:t xml:space="preserve">as </w:t>
      </w:r>
      <w:r w:rsidR="00CF6DA5">
        <w:rPr>
          <w:szCs w:val="24"/>
        </w:rPr>
        <w:t xml:space="preserve">was done in </w:t>
      </w:r>
      <w:r w:rsidRPr="00B66DD6">
        <w:rPr>
          <w:szCs w:val="24"/>
        </w:rPr>
        <w:t>the first and second addenda</w:t>
      </w:r>
      <w:r w:rsidR="00CF6DA5">
        <w:rPr>
          <w:szCs w:val="24"/>
        </w:rPr>
        <w:t>.</w:t>
      </w:r>
      <w:r w:rsidRPr="00B66DD6">
        <w:rPr>
          <w:szCs w:val="24"/>
        </w:rPr>
        <w:t xml:space="preserve"> </w:t>
      </w:r>
      <w:r w:rsidR="007868A7" w:rsidRPr="00B66DD6">
        <w:rPr>
          <w:szCs w:val="24"/>
        </w:rPr>
        <w:t xml:space="preserve">It would mean </w:t>
      </w:r>
      <w:r w:rsidRPr="00B66DD6">
        <w:rPr>
          <w:szCs w:val="24"/>
        </w:rPr>
        <w:t>that on the appellants’ version, the two addenda were negotiated and concluded for no</w:t>
      </w:r>
      <w:r w:rsidR="000A1DBA">
        <w:rPr>
          <w:szCs w:val="24"/>
        </w:rPr>
        <w:t xml:space="preserve"> reason whatsoever. </w:t>
      </w:r>
      <w:r w:rsidRPr="00B66DD6">
        <w:rPr>
          <w:szCs w:val="24"/>
        </w:rPr>
        <w:t>That would</w:t>
      </w:r>
      <w:r w:rsidR="00074D76">
        <w:rPr>
          <w:szCs w:val="24"/>
        </w:rPr>
        <w:t>, with respect,</w:t>
      </w:r>
      <w:r w:rsidRPr="00B66DD6">
        <w:rPr>
          <w:szCs w:val="24"/>
        </w:rPr>
        <w:t xml:space="preserve"> be an absurd interpretation. </w:t>
      </w:r>
      <w:r w:rsidR="003E4F33" w:rsidRPr="00B66DD6">
        <w:rPr>
          <w:szCs w:val="24"/>
        </w:rPr>
        <w:t>Clearly the purpose of the addenda, on each occasion,</w:t>
      </w:r>
      <w:r w:rsidR="00074D76">
        <w:rPr>
          <w:szCs w:val="24"/>
        </w:rPr>
        <w:t xml:space="preserve"> was </w:t>
      </w:r>
      <w:r w:rsidR="003E4F33" w:rsidRPr="00B66DD6">
        <w:rPr>
          <w:szCs w:val="24"/>
        </w:rPr>
        <w:t xml:space="preserve">to extend the due dates </w:t>
      </w:r>
      <w:r w:rsidR="001602EF">
        <w:rPr>
          <w:szCs w:val="24"/>
        </w:rPr>
        <w:t xml:space="preserve">fixed </w:t>
      </w:r>
      <w:r w:rsidR="00074D76">
        <w:rPr>
          <w:szCs w:val="24"/>
        </w:rPr>
        <w:t xml:space="preserve">for </w:t>
      </w:r>
      <w:r w:rsidR="003E4F33" w:rsidRPr="00B66DD6">
        <w:rPr>
          <w:szCs w:val="24"/>
        </w:rPr>
        <w:t>repayment of the Initial Loan</w:t>
      </w:r>
      <w:r w:rsidR="001212A2" w:rsidRPr="00B66DD6">
        <w:rPr>
          <w:szCs w:val="24"/>
        </w:rPr>
        <w:t xml:space="preserve"> and the Loan Balance.  On the a</w:t>
      </w:r>
      <w:r w:rsidR="003E4F33" w:rsidRPr="00B66DD6">
        <w:rPr>
          <w:szCs w:val="24"/>
        </w:rPr>
        <w:t xml:space="preserve">ppellants’ </w:t>
      </w:r>
      <w:r w:rsidR="000A1DBA">
        <w:rPr>
          <w:szCs w:val="24"/>
        </w:rPr>
        <w:t>interpretation</w:t>
      </w:r>
      <w:r w:rsidR="003E4F33" w:rsidRPr="00B66DD6">
        <w:rPr>
          <w:szCs w:val="24"/>
        </w:rPr>
        <w:t xml:space="preserve"> there would </w:t>
      </w:r>
      <w:r w:rsidR="001212A2" w:rsidRPr="00B66DD6">
        <w:rPr>
          <w:szCs w:val="24"/>
        </w:rPr>
        <w:t xml:space="preserve">have </w:t>
      </w:r>
      <w:r w:rsidR="003E4F33" w:rsidRPr="00B66DD6">
        <w:rPr>
          <w:szCs w:val="24"/>
        </w:rPr>
        <w:t>be</w:t>
      </w:r>
      <w:r w:rsidR="001212A2" w:rsidRPr="00B66DD6">
        <w:rPr>
          <w:szCs w:val="24"/>
        </w:rPr>
        <w:t>en no need to extend the</w:t>
      </w:r>
      <w:r w:rsidR="003E4F33" w:rsidRPr="00B66DD6">
        <w:rPr>
          <w:szCs w:val="24"/>
        </w:rPr>
        <w:t xml:space="preserve"> dates</w:t>
      </w:r>
      <w:r w:rsidR="001212A2" w:rsidRPr="00B66DD6">
        <w:rPr>
          <w:szCs w:val="24"/>
        </w:rPr>
        <w:t xml:space="preserve"> for payment</w:t>
      </w:r>
      <w:r w:rsidR="003E4F33" w:rsidRPr="00B66DD6">
        <w:rPr>
          <w:szCs w:val="24"/>
        </w:rPr>
        <w:t>.</w:t>
      </w:r>
      <w:r w:rsidR="00B66DD6" w:rsidRPr="00B66DD6">
        <w:rPr>
          <w:szCs w:val="24"/>
        </w:rPr>
        <w:t xml:space="preserve"> </w:t>
      </w:r>
    </w:p>
    <w:p w14:paraId="796B080B" w14:textId="77777777" w:rsidR="000D1FE3" w:rsidRPr="00B66DD6" w:rsidRDefault="000D1FE3" w:rsidP="00BB515B">
      <w:pPr>
        <w:pStyle w:val="ListParagraph"/>
        <w:spacing w:line="360" w:lineRule="auto"/>
        <w:ind w:left="0"/>
        <w:jc w:val="both"/>
        <w:rPr>
          <w:szCs w:val="24"/>
        </w:rPr>
      </w:pPr>
    </w:p>
    <w:p w14:paraId="14F2C2FE" w14:textId="7E03282E" w:rsidR="00081BA4" w:rsidRPr="00B66DD6" w:rsidRDefault="007868A7" w:rsidP="00BB515B">
      <w:pPr>
        <w:pStyle w:val="ListParagraph"/>
        <w:numPr>
          <w:ilvl w:val="0"/>
          <w:numId w:val="1"/>
        </w:numPr>
        <w:spacing w:line="360" w:lineRule="auto"/>
        <w:jc w:val="both"/>
        <w:rPr>
          <w:szCs w:val="24"/>
        </w:rPr>
      </w:pPr>
      <w:r w:rsidRPr="00B66DD6">
        <w:rPr>
          <w:szCs w:val="24"/>
        </w:rPr>
        <w:t xml:space="preserve">If the </w:t>
      </w:r>
      <w:r w:rsidR="000D1FE3" w:rsidRPr="00B66DD6">
        <w:rPr>
          <w:szCs w:val="24"/>
        </w:rPr>
        <w:t>appellants’ version</w:t>
      </w:r>
      <w:r w:rsidRPr="00B66DD6">
        <w:rPr>
          <w:szCs w:val="24"/>
        </w:rPr>
        <w:t xml:space="preserve"> </w:t>
      </w:r>
      <w:r w:rsidR="00F14D4F" w:rsidRPr="00B66DD6">
        <w:rPr>
          <w:szCs w:val="24"/>
        </w:rPr>
        <w:t>is correct then re</w:t>
      </w:r>
      <w:r w:rsidRPr="00B66DD6">
        <w:rPr>
          <w:szCs w:val="24"/>
        </w:rPr>
        <w:t>payment of the loan wa</w:t>
      </w:r>
      <w:r w:rsidR="000D1FE3" w:rsidRPr="00B66DD6">
        <w:rPr>
          <w:szCs w:val="24"/>
        </w:rPr>
        <w:t>s conditional upon the sale of the immovable properties subject to the bond</w:t>
      </w:r>
      <w:r w:rsidR="00F14D4F" w:rsidRPr="00B66DD6">
        <w:rPr>
          <w:szCs w:val="24"/>
        </w:rPr>
        <w:t xml:space="preserve">, and if there were no </w:t>
      </w:r>
      <w:r w:rsidR="000D1FE3" w:rsidRPr="00B66DD6">
        <w:rPr>
          <w:szCs w:val="24"/>
        </w:rPr>
        <w:t>such sales,</w:t>
      </w:r>
      <w:r w:rsidR="00F14D4F" w:rsidRPr="00B66DD6">
        <w:rPr>
          <w:szCs w:val="24"/>
        </w:rPr>
        <w:t xml:space="preserve"> or insufficient sales to settle the loan</w:t>
      </w:r>
      <w:r w:rsidR="000D1FE3" w:rsidRPr="00B66DD6">
        <w:rPr>
          <w:szCs w:val="24"/>
        </w:rPr>
        <w:t xml:space="preserve"> </w:t>
      </w:r>
      <w:r w:rsidR="00F14D4F" w:rsidRPr="00B66DD6">
        <w:rPr>
          <w:szCs w:val="24"/>
        </w:rPr>
        <w:t>there would be no due date of repayment, no obligation to pay the outstanding balance, t</w:t>
      </w:r>
      <w:r w:rsidR="000D1FE3" w:rsidRPr="00B66DD6">
        <w:rPr>
          <w:szCs w:val="24"/>
        </w:rPr>
        <w:t>he loan would accordingly never be repayable</w:t>
      </w:r>
      <w:r w:rsidR="00F14D4F" w:rsidRPr="00B66DD6">
        <w:rPr>
          <w:szCs w:val="24"/>
        </w:rPr>
        <w:t>, and the respondent would not be entitled to enforce payment of the balance of the loan</w:t>
      </w:r>
      <w:r w:rsidR="003D37EF" w:rsidRPr="00B66DD6">
        <w:rPr>
          <w:szCs w:val="24"/>
        </w:rPr>
        <w:t>.</w:t>
      </w:r>
      <w:r w:rsidR="001602EF">
        <w:rPr>
          <w:szCs w:val="24"/>
        </w:rPr>
        <w:t xml:space="preserve"> That would offend against the following basic principle of our law that:</w:t>
      </w:r>
    </w:p>
    <w:p w14:paraId="402F4D69" w14:textId="2F8ED3B0" w:rsidR="00081BA4" w:rsidRPr="00B66DD6" w:rsidRDefault="00081BA4" w:rsidP="00BB515B">
      <w:pPr>
        <w:spacing w:line="360" w:lineRule="auto"/>
        <w:jc w:val="both"/>
        <w:rPr>
          <w:sz w:val="22"/>
          <w:szCs w:val="22"/>
        </w:rPr>
      </w:pPr>
      <w:r w:rsidRPr="00B66DD6">
        <w:rPr>
          <w:sz w:val="22"/>
          <w:szCs w:val="22"/>
        </w:rPr>
        <w:t>‘</w:t>
      </w:r>
      <w:r w:rsidR="00555758" w:rsidRPr="00555758">
        <w:rPr>
          <w:sz w:val="22"/>
          <w:szCs w:val="22"/>
        </w:rPr>
        <w:t xml:space="preserve">A sensible meaning is to be preferred to one that leads to insensible or </w:t>
      </w:r>
      <w:proofErr w:type="spellStart"/>
      <w:r w:rsidR="00555758" w:rsidRPr="00555758">
        <w:rPr>
          <w:sz w:val="22"/>
          <w:szCs w:val="22"/>
        </w:rPr>
        <w:t>unbusinesslike</w:t>
      </w:r>
      <w:proofErr w:type="spellEnd"/>
      <w:r w:rsidR="00555758" w:rsidRPr="00555758">
        <w:rPr>
          <w:sz w:val="22"/>
          <w:szCs w:val="22"/>
        </w:rPr>
        <w:t xml:space="preserve"> results or undermines the apparent purpose of the document</w:t>
      </w:r>
      <w:r w:rsidRPr="00B66DD6">
        <w:rPr>
          <w:sz w:val="22"/>
          <w:szCs w:val="22"/>
        </w:rPr>
        <w:t>.’</w:t>
      </w:r>
      <w:r w:rsidRPr="00B66DD6">
        <w:rPr>
          <w:rStyle w:val="FootnoteReference"/>
          <w:sz w:val="22"/>
          <w:szCs w:val="22"/>
        </w:rPr>
        <w:footnoteReference w:id="9"/>
      </w:r>
    </w:p>
    <w:p w14:paraId="7243A1AA" w14:textId="65F9AE65" w:rsidR="00B66DD6" w:rsidRPr="00B66DD6" w:rsidRDefault="00074D76" w:rsidP="00BB515B">
      <w:pPr>
        <w:pStyle w:val="ListParagraph"/>
        <w:spacing w:line="360" w:lineRule="auto"/>
        <w:ind w:left="0"/>
        <w:jc w:val="both"/>
        <w:rPr>
          <w:szCs w:val="24"/>
        </w:rPr>
      </w:pPr>
      <w:r w:rsidRPr="00B66DD6">
        <w:rPr>
          <w:szCs w:val="24"/>
        </w:rPr>
        <w:t>The</w:t>
      </w:r>
      <w:r>
        <w:rPr>
          <w:szCs w:val="24"/>
        </w:rPr>
        <w:t xml:space="preserve"> appellants’ interpretation </w:t>
      </w:r>
      <w:r w:rsidR="00081BA4">
        <w:rPr>
          <w:szCs w:val="24"/>
        </w:rPr>
        <w:t xml:space="preserve">would not make </w:t>
      </w:r>
      <w:r w:rsidRPr="00B66DD6">
        <w:rPr>
          <w:szCs w:val="24"/>
        </w:rPr>
        <w:t>business sense</w:t>
      </w:r>
      <w:r w:rsidR="00081BA4">
        <w:rPr>
          <w:szCs w:val="24"/>
        </w:rPr>
        <w:t xml:space="preserve">. Accordingly, </w:t>
      </w:r>
      <w:r>
        <w:rPr>
          <w:szCs w:val="24"/>
        </w:rPr>
        <w:t xml:space="preserve">it </w:t>
      </w:r>
      <w:r w:rsidRPr="00B66DD6">
        <w:rPr>
          <w:szCs w:val="24"/>
        </w:rPr>
        <w:t>cannot be sustained.</w:t>
      </w:r>
    </w:p>
    <w:p w14:paraId="6BD9057E" w14:textId="77777777" w:rsidR="000D1FE3" w:rsidRPr="00081BA4" w:rsidRDefault="000D1FE3" w:rsidP="00BB515B">
      <w:pPr>
        <w:spacing w:line="360" w:lineRule="auto"/>
        <w:rPr>
          <w:szCs w:val="24"/>
        </w:rPr>
      </w:pPr>
    </w:p>
    <w:p w14:paraId="4BCAC000" w14:textId="300474E8" w:rsidR="006225B3" w:rsidRPr="00081BA4" w:rsidRDefault="003D37EF" w:rsidP="00BB515B">
      <w:pPr>
        <w:pStyle w:val="ListParagraph"/>
        <w:numPr>
          <w:ilvl w:val="0"/>
          <w:numId w:val="1"/>
        </w:numPr>
        <w:spacing w:line="360" w:lineRule="auto"/>
        <w:jc w:val="both"/>
        <w:rPr>
          <w:szCs w:val="24"/>
        </w:rPr>
      </w:pPr>
      <w:r w:rsidRPr="00B66DD6">
        <w:rPr>
          <w:szCs w:val="24"/>
        </w:rPr>
        <w:t xml:space="preserve">In summary, </w:t>
      </w:r>
      <w:r w:rsidR="00081BA4">
        <w:rPr>
          <w:szCs w:val="24"/>
        </w:rPr>
        <w:t>t</w:t>
      </w:r>
      <w:r w:rsidR="00B66DD6" w:rsidRPr="00081BA4">
        <w:rPr>
          <w:szCs w:val="24"/>
        </w:rPr>
        <w:t xml:space="preserve">he </w:t>
      </w:r>
      <w:r w:rsidR="001602EF">
        <w:rPr>
          <w:szCs w:val="24"/>
        </w:rPr>
        <w:t xml:space="preserve">correct </w:t>
      </w:r>
      <w:r w:rsidR="00081BA4">
        <w:rPr>
          <w:szCs w:val="24"/>
        </w:rPr>
        <w:t xml:space="preserve">legal position was that the </w:t>
      </w:r>
      <w:r w:rsidR="00B66DD6" w:rsidRPr="00081BA4">
        <w:rPr>
          <w:szCs w:val="24"/>
        </w:rPr>
        <w:t xml:space="preserve">Initial Loan </w:t>
      </w:r>
      <w:r w:rsidR="00081BA4">
        <w:rPr>
          <w:szCs w:val="24"/>
        </w:rPr>
        <w:t xml:space="preserve">had </w:t>
      </w:r>
      <w:r w:rsidR="00B66DD6" w:rsidRPr="00081BA4">
        <w:rPr>
          <w:szCs w:val="24"/>
        </w:rPr>
        <w:t>to be repaid on or before 1 March 2021 and the Loan Balance on or before 1 July 202</w:t>
      </w:r>
      <w:r w:rsidR="00A16228">
        <w:rPr>
          <w:szCs w:val="24"/>
        </w:rPr>
        <w:t>2</w:t>
      </w:r>
      <w:r w:rsidR="00B66DD6" w:rsidRPr="00081BA4">
        <w:rPr>
          <w:szCs w:val="24"/>
        </w:rPr>
        <w:t xml:space="preserve"> Pending payment, the first appellant’s indebtedness was secured by the bond registered over the immovable </w:t>
      </w:r>
      <w:r w:rsidR="00B66DD6" w:rsidRPr="00081BA4">
        <w:rPr>
          <w:szCs w:val="24"/>
        </w:rPr>
        <w:lastRenderedPageBreak/>
        <w:t>properties. As and when the immovable properties were sold, a portion of or the entire proceeds of such sale would be utilised towards part settlement of the first appellant’s obligations arising from the €2</w:t>
      </w:r>
      <w:r w:rsidR="00300E8E">
        <w:rPr>
          <w:szCs w:val="24"/>
        </w:rPr>
        <w:t>.</w:t>
      </w:r>
      <w:r w:rsidR="00B66DD6" w:rsidRPr="00081BA4">
        <w:rPr>
          <w:szCs w:val="24"/>
        </w:rPr>
        <w:t xml:space="preserve">5 million loan advanced by the respondent to the first appellant, as the value of the respondent’s security would be reduced by the release of individual subdivisions transferred to purchasers. </w:t>
      </w:r>
      <w:r w:rsidR="003E3289">
        <w:rPr>
          <w:szCs w:val="24"/>
        </w:rPr>
        <w:t xml:space="preserve">Such an interpretation would make </w:t>
      </w:r>
      <w:r w:rsidR="00B66DD6" w:rsidRPr="00081BA4">
        <w:rPr>
          <w:szCs w:val="24"/>
        </w:rPr>
        <w:t xml:space="preserve">business </w:t>
      </w:r>
      <w:r w:rsidR="003E3289">
        <w:rPr>
          <w:szCs w:val="24"/>
        </w:rPr>
        <w:t>an</w:t>
      </w:r>
      <w:r w:rsidR="00081BA4">
        <w:rPr>
          <w:szCs w:val="24"/>
        </w:rPr>
        <w:t>d commercial sense</w:t>
      </w:r>
      <w:r w:rsidR="00B66DD6" w:rsidRPr="00081BA4">
        <w:rPr>
          <w:szCs w:val="24"/>
        </w:rPr>
        <w:t>, because if the indebtedness w</w:t>
      </w:r>
      <w:r w:rsidR="003E3289">
        <w:rPr>
          <w:szCs w:val="24"/>
        </w:rPr>
        <w:t>as</w:t>
      </w:r>
      <w:r w:rsidR="00B66DD6" w:rsidRPr="00081BA4">
        <w:rPr>
          <w:szCs w:val="24"/>
        </w:rPr>
        <w:t xml:space="preserve"> reduced on the sale of each unit and the obligation to make payment was left entirely to </w:t>
      </w:r>
      <w:r w:rsidR="003E3289">
        <w:rPr>
          <w:szCs w:val="24"/>
        </w:rPr>
        <w:t xml:space="preserve">a fixed </w:t>
      </w:r>
      <w:r w:rsidR="00B66DD6" w:rsidRPr="00081BA4">
        <w:rPr>
          <w:szCs w:val="24"/>
        </w:rPr>
        <w:t>due date, then the first appellant might no longer have those funds available</w:t>
      </w:r>
      <w:r w:rsidR="003E3289">
        <w:rPr>
          <w:szCs w:val="24"/>
        </w:rPr>
        <w:t xml:space="preserve"> when the due date arrives</w:t>
      </w:r>
      <w:r w:rsidR="00B66DD6" w:rsidRPr="00081BA4">
        <w:rPr>
          <w:szCs w:val="24"/>
        </w:rPr>
        <w:t xml:space="preserve">. The fact that the proceeds of the sale of the immovable properties would be used towards settlement of the first appellant’s indebtedness to the respondent, would not however detract from the first appellant’s obligation to repay the </w:t>
      </w:r>
      <w:r w:rsidR="003E3289">
        <w:rPr>
          <w:szCs w:val="24"/>
        </w:rPr>
        <w:t xml:space="preserve">full </w:t>
      </w:r>
      <w:r w:rsidR="00B66DD6" w:rsidRPr="00081BA4">
        <w:rPr>
          <w:szCs w:val="24"/>
        </w:rPr>
        <w:t>Initial Loan on or before 1 March 2021 and the Loan Balance on or before 1 July 2022.</w:t>
      </w:r>
      <w:r w:rsidR="00081BA4" w:rsidRPr="00081BA4">
        <w:rPr>
          <w:szCs w:val="24"/>
        </w:rPr>
        <w:t xml:space="preserve"> </w:t>
      </w:r>
      <w:r w:rsidR="000D1FE3" w:rsidRPr="00081BA4">
        <w:rPr>
          <w:szCs w:val="24"/>
        </w:rPr>
        <w:t xml:space="preserve">Such </w:t>
      </w:r>
      <w:r w:rsidR="006225B3" w:rsidRPr="00081BA4">
        <w:rPr>
          <w:szCs w:val="24"/>
        </w:rPr>
        <w:t xml:space="preserve">an </w:t>
      </w:r>
      <w:r w:rsidR="000D1FE3" w:rsidRPr="00081BA4">
        <w:rPr>
          <w:szCs w:val="24"/>
        </w:rPr>
        <w:t>interpretation gives ce</w:t>
      </w:r>
      <w:r w:rsidR="003E3289">
        <w:rPr>
          <w:szCs w:val="24"/>
        </w:rPr>
        <w:t>rtainty to the parties and</w:t>
      </w:r>
      <w:r w:rsidR="000D1FE3" w:rsidRPr="00081BA4">
        <w:rPr>
          <w:szCs w:val="24"/>
        </w:rPr>
        <w:t xml:space="preserve"> business efficacy to the loan agreement.</w:t>
      </w:r>
      <w:r w:rsidR="000D1FE3" w:rsidRPr="00B66DD6">
        <w:rPr>
          <w:rStyle w:val="FootnoteReference"/>
          <w:szCs w:val="24"/>
        </w:rPr>
        <w:footnoteReference w:id="10"/>
      </w:r>
    </w:p>
    <w:p w14:paraId="430A3339" w14:textId="705DAA14" w:rsidR="00712625" w:rsidRPr="00B66DD6" w:rsidRDefault="00712625" w:rsidP="00BB515B">
      <w:pPr>
        <w:pStyle w:val="ListParagraph"/>
        <w:spacing w:line="360" w:lineRule="auto"/>
        <w:rPr>
          <w:szCs w:val="24"/>
        </w:rPr>
      </w:pPr>
    </w:p>
    <w:p w14:paraId="672B1E78" w14:textId="35B604C2" w:rsidR="00712625" w:rsidRPr="00B66DD6" w:rsidRDefault="00712625" w:rsidP="00BB515B">
      <w:pPr>
        <w:spacing w:line="360" w:lineRule="auto"/>
        <w:rPr>
          <w:szCs w:val="24"/>
        </w:rPr>
      </w:pPr>
      <w:r w:rsidRPr="00B66DD6">
        <w:rPr>
          <w:b/>
          <w:szCs w:val="24"/>
        </w:rPr>
        <w:t xml:space="preserve">The appellants’ contention that the </w:t>
      </w:r>
      <w:r w:rsidR="00AD58A1">
        <w:rPr>
          <w:b/>
          <w:szCs w:val="24"/>
        </w:rPr>
        <w:t>l</w:t>
      </w:r>
      <w:r w:rsidRPr="00B66DD6">
        <w:rPr>
          <w:b/>
          <w:szCs w:val="24"/>
        </w:rPr>
        <w:t>oan</w:t>
      </w:r>
      <w:r w:rsidR="00A16228">
        <w:rPr>
          <w:b/>
          <w:szCs w:val="24"/>
        </w:rPr>
        <w:t xml:space="preserve"> </w:t>
      </w:r>
      <w:proofErr w:type="gramStart"/>
      <w:r w:rsidR="00AD58A1">
        <w:rPr>
          <w:b/>
          <w:szCs w:val="24"/>
        </w:rPr>
        <w:t>a</w:t>
      </w:r>
      <w:r w:rsidRPr="00B66DD6">
        <w:rPr>
          <w:b/>
          <w:szCs w:val="24"/>
        </w:rPr>
        <w:t xml:space="preserve">greement </w:t>
      </w:r>
      <w:r w:rsidR="00A16228">
        <w:rPr>
          <w:b/>
          <w:szCs w:val="24"/>
        </w:rPr>
        <w:t xml:space="preserve"> </w:t>
      </w:r>
      <w:r w:rsidRPr="00B66DD6">
        <w:rPr>
          <w:b/>
          <w:szCs w:val="24"/>
        </w:rPr>
        <w:t>was</w:t>
      </w:r>
      <w:proofErr w:type="gramEnd"/>
      <w:r w:rsidRPr="00B66DD6">
        <w:rPr>
          <w:b/>
          <w:szCs w:val="24"/>
        </w:rPr>
        <w:t xml:space="preserve"> varied by the exchange of the emails of 31 July 2020 and 22 October 2020 </w:t>
      </w:r>
    </w:p>
    <w:p w14:paraId="7628F4B2" w14:textId="0E149146" w:rsidR="00712625" w:rsidRPr="00B66DD6" w:rsidRDefault="00712625" w:rsidP="00BB515B">
      <w:pPr>
        <w:pStyle w:val="ListParagraph"/>
        <w:numPr>
          <w:ilvl w:val="0"/>
          <w:numId w:val="1"/>
        </w:numPr>
        <w:spacing w:line="360" w:lineRule="auto"/>
        <w:jc w:val="both"/>
        <w:rPr>
          <w:szCs w:val="24"/>
        </w:rPr>
      </w:pPr>
      <w:r w:rsidRPr="00B66DD6">
        <w:rPr>
          <w:szCs w:val="24"/>
        </w:rPr>
        <w:t>The contents of these emails ha</w:t>
      </w:r>
      <w:r w:rsidR="003E3289">
        <w:rPr>
          <w:szCs w:val="24"/>
        </w:rPr>
        <w:t xml:space="preserve">ve </w:t>
      </w:r>
      <w:r w:rsidRPr="00B66DD6">
        <w:rPr>
          <w:szCs w:val="24"/>
        </w:rPr>
        <w:t>been set out in paragraph</w:t>
      </w:r>
      <w:r w:rsidR="007C6000">
        <w:rPr>
          <w:szCs w:val="24"/>
        </w:rPr>
        <w:t>s 13 and 14</w:t>
      </w:r>
      <w:r w:rsidR="00081BA4">
        <w:rPr>
          <w:szCs w:val="24"/>
        </w:rPr>
        <w:t xml:space="preserve"> </w:t>
      </w:r>
      <w:r w:rsidRPr="00B66DD6">
        <w:rPr>
          <w:szCs w:val="24"/>
        </w:rPr>
        <w:t>above.</w:t>
      </w:r>
    </w:p>
    <w:p w14:paraId="3482A924" w14:textId="77777777" w:rsidR="00712625" w:rsidRPr="00B66DD6" w:rsidRDefault="00712625" w:rsidP="00BB515B">
      <w:pPr>
        <w:pStyle w:val="ListParagraph"/>
        <w:spacing w:line="360" w:lineRule="auto"/>
        <w:rPr>
          <w:szCs w:val="24"/>
        </w:rPr>
      </w:pPr>
    </w:p>
    <w:p w14:paraId="6082D57C" w14:textId="2C016D2F" w:rsidR="00573502" w:rsidRPr="00B66DD6" w:rsidRDefault="00570FBF" w:rsidP="00BB515B">
      <w:pPr>
        <w:pStyle w:val="ListParagraph"/>
        <w:numPr>
          <w:ilvl w:val="0"/>
          <w:numId w:val="1"/>
        </w:numPr>
        <w:spacing w:line="360" w:lineRule="auto"/>
        <w:jc w:val="both"/>
        <w:rPr>
          <w:szCs w:val="24"/>
        </w:rPr>
      </w:pPr>
      <w:r w:rsidRPr="00B66DD6">
        <w:rPr>
          <w:szCs w:val="24"/>
        </w:rPr>
        <w:t>In the alternative</w:t>
      </w:r>
      <w:r w:rsidR="003E3289">
        <w:rPr>
          <w:szCs w:val="24"/>
        </w:rPr>
        <w:t xml:space="preserve"> to the</w:t>
      </w:r>
      <w:r w:rsidR="003E4F33" w:rsidRPr="00B66DD6">
        <w:rPr>
          <w:szCs w:val="24"/>
        </w:rPr>
        <w:t xml:space="preserve"> interpretation that the loan </w:t>
      </w:r>
      <w:r w:rsidR="00081BA4">
        <w:rPr>
          <w:szCs w:val="24"/>
        </w:rPr>
        <w:t xml:space="preserve">agreement provided for repayment </w:t>
      </w:r>
      <w:r w:rsidR="003E4F33" w:rsidRPr="00B66DD6">
        <w:rPr>
          <w:szCs w:val="24"/>
        </w:rPr>
        <w:t>in accordance with clause 6</w:t>
      </w:r>
      <w:r w:rsidRPr="00B66DD6">
        <w:rPr>
          <w:szCs w:val="24"/>
        </w:rPr>
        <w:t xml:space="preserve">, the </w:t>
      </w:r>
      <w:r w:rsidR="00712625" w:rsidRPr="00B66DD6">
        <w:rPr>
          <w:szCs w:val="24"/>
        </w:rPr>
        <w:t>a</w:t>
      </w:r>
      <w:r w:rsidR="00823E8A" w:rsidRPr="00B66DD6">
        <w:rPr>
          <w:szCs w:val="24"/>
        </w:rPr>
        <w:t xml:space="preserve">ppellants </w:t>
      </w:r>
      <w:r w:rsidR="00712625" w:rsidRPr="00B66DD6">
        <w:rPr>
          <w:szCs w:val="24"/>
        </w:rPr>
        <w:t xml:space="preserve">argued </w:t>
      </w:r>
      <w:r w:rsidR="00823E8A" w:rsidRPr="00B66DD6">
        <w:rPr>
          <w:szCs w:val="24"/>
        </w:rPr>
        <w:t xml:space="preserve">that the </w:t>
      </w:r>
      <w:r w:rsidR="00712625" w:rsidRPr="00B66DD6">
        <w:rPr>
          <w:szCs w:val="24"/>
        </w:rPr>
        <w:t xml:space="preserve">exchange of these </w:t>
      </w:r>
      <w:r w:rsidR="00823E8A" w:rsidRPr="00B66DD6">
        <w:rPr>
          <w:szCs w:val="24"/>
        </w:rPr>
        <w:t xml:space="preserve">e-mails </w:t>
      </w:r>
      <w:r w:rsidR="00712625" w:rsidRPr="00B66DD6">
        <w:rPr>
          <w:szCs w:val="24"/>
        </w:rPr>
        <w:t>between the respondent and the second a</w:t>
      </w:r>
      <w:r w:rsidR="00823E8A" w:rsidRPr="00B66DD6">
        <w:rPr>
          <w:szCs w:val="24"/>
        </w:rPr>
        <w:t xml:space="preserve">ppellant on 31 July 2020 and 22 October 2020 </w:t>
      </w:r>
      <w:r w:rsidRPr="00B66DD6">
        <w:rPr>
          <w:szCs w:val="24"/>
        </w:rPr>
        <w:t xml:space="preserve">varied </w:t>
      </w:r>
      <w:r w:rsidR="00823E8A" w:rsidRPr="00B66DD6">
        <w:rPr>
          <w:szCs w:val="24"/>
        </w:rPr>
        <w:t xml:space="preserve">the </w:t>
      </w:r>
      <w:r w:rsidR="003E4F33" w:rsidRPr="00B66DD6">
        <w:rPr>
          <w:szCs w:val="24"/>
        </w:rPr>
        <w:t xml:space="preserve">terms of the </w:t>
      </w:r>
      <w:r w:rsidR="00823E8A" w:rsidRPr="00B66DD6">
        <w:rPr>
          <w:szCs w:val="24"/>
        </w:rPr>
        <w:t xml:space="preserve">loan agreement </w:t>
      </w:r>
      <w:r w:rsidRPr="00B66DD6">
        <w:rPr>
          <w:szCs w:val="24"/>
        </w:rPr>
        <w:t xml:space="preserve">to provide </w:t>
      </w:r>
      <w:r w:rsidR="00823E8A" w:rsidRPr="00B66DD6">
        <w:rPr>
          <w:szCs w:val="24"/>
        </w:rPr>
        <w:t xml:space="preserve">that repayment of the loan agreement would only fall due from the proceeds of </w:t>
      </w:r>
      <w:r w:rsidR="00D16D71">
        <w:rPr>
          <w:szCs w:val="24"/>
        </w:rPr>
        <w:t xml:space="preserve">the </w:t>
      </w:r>
      <w:r w:rsidR="00823E8A" w:rsidRPr="00B66DD6">
        <w:rPr>
          <w:szCs w:val="24"/>
        </w:rPr>
        <w:t>sales of the immovable properties</w:t>
      </w:r>
      <w:r w:rsidR="00081BA4">
        <w:rPr>
          <w:szCs w:val="24"/>
        </w:rPr>
        <w:t>,</w:t>
      </w:r>
      <w:r w:rsidRPr="00B66DD6">
        <w:rPr>
          <w:szCs w:val="24"/>
        </w:rPr>
        <w:t xml:space="preserve">. </w:t>
      </w:r>
    </w:p>
    <w:p w14:paraId="6CC4DCA5" w14:textId="77777777" w:rsidR="00573502" w:rsidRPr="00B66DD6" w:rsidRDefault="00573502" w:rsidP="00BB515B">
      <w:pPr>
        <w:pStyle w:val="ListParagraph"/>
        <w:spacing w:line="360" w:lineRule="auto"/>
        <w:rPr>
          <w:szCs w:val="24"/>
        </w:rPr>
      </w:pPr>
    </w:p>
    <w:p w14:paraId="414DB272" w14:textId="5667DF73" w:rsidR="006F1060" w:rsidRDefault="00573502" w:rsidP="00BB515B">
      <w:pPr>
        <w:pStyle w:val="ListParagraph"/>
        <w:numPr>
          <w:ilvl w:val="0"/>
          <w:numId w:val="1"/>
        </w:numPr>
        <w:spacing w:line="360" w:lineRule="auto"/>
        <w:jc w:val="both"/>
        <w:rPr>
          <w:szCs w:val="24"/>
        </w:rPr>
      </w:pPr>
      <w:r w:rsidRPr="00B66DD6">
        <w:rPr>
          <w:szCs w:val="24"/>
        </w:rPr>
        <w:t>The</w:t>
      </w:r>
      <w:r w:rsidR="00081BA4">
        <w:rPr>
          <w:szCs w:val="24"/>
        </w:rPr>
        <w:t xml:space="preserve"> first conceptual difficulty with this argument is that if clause 6 meant what the appellants say it did, there would be no need for a variation. </w:t>
      </w:r>
      <w:r w:rsidR="003E3289">
        <w:rPr>
          <w:szCs w:val="24"/>
        </w:rPr>
        <w:t xml:space="preserve">And if </w:t>
      </w:r>
      <w:r w:rsidR="00081BA4">
        <w:rPr>
          <w:szCs w:val="24"/>
        </w:rPr>
        <w:t xml:space="preserve">it is accepted that a proper interpretation of the loan agreement accords with that which the court a quo had found, then the variation would in fact require that the provisions of clause 5 of the loan </w:t>
      </w:r>
      <w:r w:rsidR="00081BA4">
        <w:rPr>
          <w:szCs w:val="24"/>
        </w:rPr>
        <w:lastRenderedPageBreak/>
        <w:t xml:space="preserve">agreement, as amended by the two addenda, </w:t>
      </w:r>
      <w:r w:rsidR="006F1060">
        <w:rPr>
          <w:szCs w:val="24"/>
        </w:rPr>
        <w:t>were effectively to be deleted from the loan agreement and/o</w:t>
      </w:r>
      <w:r w:rsidR="003E3289">
        <w:rPr>
          <w:szCs w:val="24"/>
        </w:rPr>
        <w:t>r ignored.</w:t>
      </w:r>
      <w:r w:rsidR="006F1060">
        <w:rPr>
          <w:szCs w:val="24"/>
        </w:rPr>
        <w:t xml:space="preserve"> </w:t>
      </w:r>
    </w:p>
    <w:p w14:paraId="54FB19E2" w14:textId="77777777" w:rsidR="006F1060" w:rsidRPr="006F1060" w:rsidRDefault="006F1060" w:rsidP="00BB515B">
      <w:pPr>
        <w:pStyle w:val="ListParagraph"/>
        <w:spacing w:line="360" w:lineRule="auto"/>
        <w:rPr>
          <w:szCs w:val="24"/>
        </w:rPr>
      </w:pPr>
    </w:p>
    <w:p w14:paraId="1D08ADC5" w14:textId="69067155" w:rsidR="00734FB3" w:rsidRDefault="006F1060" w:rsidP="00BB515B">
      <w:pPr>
        <w:pStyle w:val="ListParagraph"/>
        <w:numPr>
          <w:ilvl w:val="0"/>
          <w:numId w:val="1"/>
        </w:numPr>
        <w:spacing w:line="360" w:lineRule="auto"/>
        <w:jc w:val="both"/>
        <w:rPr>
          <w:szCs w:val="24"/>
        </w:rPr>
      </w:pPr>
      <w:r>
        <w:rPr>
          <w:szCs w:val="24"/>
        </w:rPr>
        <w:t>Insofar as the alleged variation wo</w:t>
      </w:r>
      <w:r w:rsidR="003E3289">
        <w:rPr>
          <w:szCs w:val="24"/>
        </w:rPr>
        <w:t>u</w:t>
      </w:r>
      <w:r>
        <w:rPr>
          <w:szCs w:val="24"/>
        </w:rPr>
        <w:t xml:space="preserve">ld amount to a </w:t>
      </w:r>
      <w:r w:rsidR="003E3289">
        <w:rPr>
          <w:szCs w:val="24"/>
        </w:rPr>
        <w:t xml:space="preserve">deletion </w:t>
      </w:r>
      <w:r>
        <w:rPr>
          <w:szCs w:val="24"/>
        </w:rPr>
        <w:t xml:space="preserve">of the dates fixed </w:t>
      </w:r>
      <w:r w:rsidR="003E3289">
        <w:rPr>
          <w:szCs w:val="24"/>
        </w:rPr>
        <w:t xml:space="preserve">for repayment </w:t>
      </w:r>
      <w:r>
        <w:rPr>
          <w:szCs w:val="24"/>
        </w:rPr>
        <w:t>by clause 5 o</w:t>
      </w:r>
      <w:r w:rsidR="003E3289">
        <w:rPr>
          <w:szCs w:val="24"/>
        </w:rPr>
        <w:t xml:space="preserve">f the loan agreement as amended, </w:t>
      </w:r>
      <w:r>
        <w:rPr>
          <w:szCs w:val="24"/>
        </w:rPr>
        <w:t xml:space="preserve">it would amount to a waiver </w:t>
      </w:r>
      <w:r w:rsidR="00F15C82">
        <w:rPr>
          <w:szCs w:val="24"/>
        </w:rPr>
        <w:t>o</w:t>
      </w:r>
      <w:r>
        <w:rPr>
          <w:szCs w:val="24"/>
        </w:rPr>
        <w:t xml:space="preserve">f those rights. The </w:t>
      </w:r>
      <w:r w:rsidR="00573502" w:rsidRPr="00B66DD6">
        <w:rPr>
          <w:szCs w:val="24"/>
        </w:rPr>
        <w:t xml:space="preserve">appellants </w:t>
      </w:r>
      <w:r>
        <w:rPr>
          <w:szCs w:val="24"/>
        </w:rPr>
        <w:t xml:space="preserve">would </w:t>
      </w:r>
      <w:r w:rsidR="00573502" w:rsidRPr="00B66DD6">
        <w:rPr>
          <w:szCs w:val="24"/>
        </w:rPr>
        <w:t xml:space="preserve">bear the onus to prove the </w:t>
      </w:r>
      <w:r w:rsidR="00401F1A">
        <w:rPr>
          <w:szCs w:val="24"/>
        </w:rPr>
        <w:t>waiver</w:t>
      </w:r>
      <w:r w:rsidR="003E3289">
        <w:rPr>
          <w:szCs w:val="24"/>
        </w:rPr>
        <w:t>.</w:t>
      </w:r>
      <w:r w:rsidR="00B66DD6">
        <w:rPr>
          <w:rStyle w:val="FootnoteReference"/>
          <w:szCs w:val="24"/>
        </w:rPr>
        <w:footnoteReference w:id="11"/>
      </w:r>
      <w:r w:rsidR="00401F1A">
        <w:rPr>
          <w:szCs w:val="24"/>
        </w:rPr>
        <w:t xml:space="preserve"> Whether there is a waiver, is </w:t>
      </w:r>
      <w:r w:rsidR="003E3289">
        <w:rPr>
          <w:szCs w:val="24"/>
        </w:rPr>
        <w:t xml:space="preserve">invariably </w:t>
      </w:r>
      <w:r w:rsidR="00401F1A">
        <w:rPr>
          <w:szCs w:val="24"/>
        </w:rPr>
        <w:t>a question of fact.</w:t>
      </w:r>
      <w:r w:rsidR="00401F1A">
        <w:rPr>
          <w:rStyle w:val="FootnoteReference"/>
          <w:szCs w:val="24"/>
        </w:rPr>
        <w:footnoteReference w:id="12"/>
      </w:r>
    </w:p>
    <w:p w14:paraId="082CB617" w14:textId="77777777" w:rsidR="00734FB3" w:rsidRPr="00734FB3" w:rsidRDefault="00734FB3" w:rsidP="00BB515B">
      <w:pPr>
        <w:pStyle w:val="ListParagraph"/>
        <w:spacing w:line="360" w:lineRule="auto"/>
        <w:rPr>
          <w:szCs w:val="24"/>
        </w:rPr>
      </w:pPr>
    </w:p>
    <w:p w14:paraId="09DEBD43" w14:textId="0A1BB69C" w:rsidR="00570FBF" w:rsidRPr="00734FB3" w:rsidRDefault="00734FB3" w:rsidP="00BB515B">
      <w:pPr>
        <w:pStyle w:val="ListParagraph"/>
        <w:numPr>
          <w:ilvl w:val="0"/>
          <w:numId w:val="1"/>
        </w:numPr>
        <w:spacing w:line="360" w:lineRule="auto"/>
        <w:jc w:val="both"/>
        <w:rPr>
          <w:szCs w:val="24"/>
        </w:rPr>
      </w:pPr>
      <w:r w:rsidRPr="00734FB3">
        <w:rPr>
          <w:szCs w:val="24"/>
        </w:rPr>
        <w:t xml:space="preserve">The </w:t>
      </w:r>
      <w:r w:rsidR="00570FBF" w:rsidRPr="00734FB3">
        <w:rPr>
          <w:szCs w:val="24"/>
        </w:rPr>
        <w:t>a</w:t>
      </w:r>
      <w:r w:rsidR="00823E8A" w:rsidRPr="00734FB3">
        <w:rPr>
          <w:szCs w:val="24"/>
        </w:rPr>
        <w:t xml:space="preserve">ppellants </w:t>
      </w:r>
      <w:r w:rsidR="00401F1A" w:rsidRPr="00734FB3">
        <w:rPr>
          <w:szCs w:val="24"/>
        </w:rPr>
        <w:t xml:space="preserve">focused mainly on whether </w:t>
      </w:r>
      <w:r w:rsidR="00B56A4D">
        <w:rPr>
          <w:szCs w:val="24"/>
        </w:rPr>
        <w:t xml:space="preserve">such </w:t>
      </w:r>
      <w:r w:rsidR="00401F1A" w:rsidRPr="00734FB3">
        <w:rPr>
          <w:szCs w:val="24"/>
        </w:rPr>
        <w:t xml:space="preserve">variation </w:t>
      </w:r>
      <w:r w:rsidR="003E3289" w:rsidRPr="00734FB3">
        <w:rPr>
          <w:szCs w:val="24"/>
        </w:rPr>
        <w:t>or w</w:t>
      </w:r>
      <w:r w:rsidR="00E9103B" w:rsidRPr="00734FB3">
        <w:rPr>
          <w:szCs w:val="24"/>
        </w:rPr>
        <w:t>aiver</w:t>
      </w:r>
      <w:r w:rsidR="003E3289" w:rsidRPr="00734FB3">
        <w:rPr>
          <w:szCs w:val="24"/>
        </w:rPr>
        <w:t xml:space="preserve"> </w:t>
      </w:r>
      <w:r w:rsidR="00401F1A" w:rsidRPr="00734FB3">
        <w:rPr>
          <w:szCs w:val="24"/>
        </w:rPr>
        <w:t>of the terms of the loan agreement</w:t>
      </w:r>
      <w:r w:rsidR="00B56A4D">
        <w:rPr>
          <w:szCs w:val="24"/>
        </w:rPr>
        <w:t xml:space="preserve"> </w:t>
      </w:r>
      <w:r w:rsidR="00E9103B" w:rsidRPr="00734FB3">
        <w:rPr>
          <w:szCs w:val="24"/>
        </w:rPr>
        <w:t xml:space="preserve">complied with the </w:t>
      </w:r>
      <w:r w:rsidR="00401F1A" w:rsidRPr="00734FB3">
        <w:rPr>
          <w:szCs w:val="24"/>
        </w:rPr>
        <w:t xml:space="preserve">non-variation provision </w:t>
      </w:r>
      <w:r w:rsidR="00E9103B" w:rsidRPr="00734FB3">
        <w:rPr>
          <w:szCs w:val="24"/>
        </w:rPr>
        <w:t xml:space="preserve">in the loan agreement requiring it to be written and </w:t>
      </w:r>
      <w:r w:rsidR="00401F1A" w:rsidRPr="00734FB3">
        <w:rPr>
          <w:szCs w:val="24"/>
        </w:rPr>
        <w:t>signed by the parties thereto. The</w:t>
      </w:r>
      <w:r w:rsidRPr="00734FB3">
        <w:rPr>
          <w:szCs w:val="24"/>
        </w:rPr>
        <w:t>y</w:t>
      </w:r>
      <w:r w:rsidR="00401F1A" w:rsidRPr="00734FB3">
        <w:rPr>
          <w:szCs w:val="24"/>
        </w:rPr>
        <w:t xml:space="preserve"> </w:t>
      </w:r>
      <w:r w:rsidR="00823E8A" w:rsidRPr="00734FB3">
        <w:rPr>
          <w:szCs w:val="24"/>
        </w:rPr>
        <w:t>rel</w:t>
      </w:r>
      <w:r w:rsidR="00570FBF" w:rsidRPr="00734FB3">
        <w:rPr>
          <w:szCs w:val="24"/>
        </w:rPr>
        <w:t xml:space="preserve">ied </w:t>
      </w:r>
      <w:r w:rsidR="00823E8A" w:rsidRPr="00734FB3">
        <w:rPr>
          <w:szCs w:val="24"/>
        </w:rPr>
        <w:t>on the provisions of section 13(3) of the Electronic Communications and Transactions Act</w:t>
      </w:r>
      <w:r w:rsidR="003E4F33" w:rsidRPr="00734FB3">
        <w:rPr>
          <w:szCs w:val="24"/>
        </w:rPr>
        <w:t xml:space="preserve"> (the Act)</w:t>
      </w:r>
      <w:r w:rsidR="00823E8A" w:rsidRPr="00B66DD6">
        <w:rPr>
          <w:rStyle w:val="FootnoteReference"/>
          <w:szCs w:val="24"/>
        </w:rPr>
        <w:footnoteReference w:id="13"/>
      </w:r>
      <w:r w:rsidR="00E9103B" w:rsidRPr="00734FB3">
        <w:rPr>
          <w:szCs w:val="24"/>
        </w:rPr>
        <w:t xml:space="preserve"> read with various definitions</w:t>
      </w:r>
      <w:r w:rsidRPr="00734FB3">
        <w:rPr>
          <w:szCs w:val="24"/>
        </w:rPr>
        <w:t xml:space="preserve"> in the Act</w:t>
      </w:r>
      <w:r w:rsidR="00E9103B" w:rsidRPr="00734FB3">
        <w:rPr>
          <w:szCs w:val="24"/>
        </w:rPr>
        <w:t xml:space="preserve">, </w:t>
      </w:r>
      <w:r w:rsidRPr="00734FB3">
        <w:rPr>
          <w:szCs w:val="24"/>
        </w:rPr>
        <w:t xml:space="preserve">notably the definitions of </w:t>
      </w:r>
      <w:r w:rsidR="00CB60EF" w:rsidRPr="00734FB3">
        <w:rPr>
          <w:szCs w:val="24"/>
        </w:rPr>
        <w:t>‘electronic communication’</w:t>
      </w:r>
      <w:r w:rsidRPr="00734FB3">
        <w:rPr>
          <w:szCs w:val="24"/>
        </w:rPr>
        <w:t xml:space="preserve">, </w:t>
      </w:r>
      <w:r w:rsidR="008D1D17" w:rsidRPr="00734FB3">
        <w:rPr>
          <w:szCs w:val="24"/>
        </w:rPr>
        <w:t>‘data message’</w:t>
      </w:r>
      <w:r w:rsidRPr="00734FB3">
        <w:rPr>
          <w:szCs w:val="24"/>
        </w:rPr>
        <w:t xml:space="preserve">, </w:t>
      </w:r>
      <w:r w:rsidR="00E9103B" w:rsidRPr="00734FB3">
        <w:rPr>
          <w:szCs w:val="24"/>
        </w:rPr>
        <w:t>‘electronic signature’</w:t>
      </w:r>
      <w:r w:rsidRPr="00734FB3">
        <w:rPr>
          <w:szCs w:val="24"/>
        </w:rPr>
        <w:t xml:space="preserve">, and </w:t>
      </w:r>
      <w:r w:rsidR="004217AE" w:rsidRPr="00734FB3">
        <w:rPr>
          <w:i/>
          <w:szCs w:val="24"/>
        </w:rPr>
        <w:t>‘</w:t>
      </w:r>
      <w:r w:rsidR="004217AE" w:rsidRPr="00734FB3">
        <w:rPr>
          <w:szCs w:val="24"/>
        </w:rPr>
        <w:t>transaction</w:t>
      </w:r>
      <w:r w:rsidRPr="00734FB3">
        <w:rPr>
          <w:szCs w:val="24"/>
        </w:rPr>
        <w:t>.</w:t>
      </w:r>
      <w:r w:rsidR="004217AE" w:rsidRPr="00734FB3">
        <w:rPr>
          <w:szCs w:val="24"/>
        </w:rPr>
        <w:t>’</w:t>
      </w:r>
      <w:r w:rsidR="00E9103B" w:rsidRPr="00734FB3">
        <w:rPr>
          <w:szCs w:val="24"/>
        </w:rPr>
        <w:t xml:space="preserve"> </w:t>
      </w:r>
      <w:r w:rsidR="008D1D17" w:rsidRPr="00734FB3">
        <w:rPr>
          <w:szCs w:val="24"/>
        </w:rPr>
        <w:t>S</w:t>
      </w:r>
      <w:r w:rsidR="005531B2">
        <w:rPr>
          <w:szCs w:val="24"/>
        </w:rPr>
        <w:t>ection</w:t>
      </w:r>
      <w:r w:rsidR="008D1D17" w:rsidRPr="00734FB3">
        <w:rPr>
          <w:szCs w:val="24"/>
        </w:rPr>
        <w:t>13(3) of the</w:t>
      </w:r>
      <w:r w:rsidR="003E4F33" w:rsidRPr="00734FB3">
        <w:rPr>
          <w:szCs w:val="24"/>
        </w:rPr>
        <w:t xml:space="preserve"> Act provides</w:t>
      </w:r>
      <w:r w:rsidR="008D1D17" w:rsidRPr="00734FB3">
        <w:rPr>
          <w:szCs w:val="24"/>
        </w:rPr>
        <w:t>:</w:t>
      </w:r>
    </w:p>
    <w:p w14:paraId="791CDB20" w14:textId="588F00F5" w:rsidR="00103C98" w:rsidRDefault="00103C98" w:rsidP="00103C98">
      <w:pPr>
        <w:pStyle w:val="ListParagraph"/>
        <w:spacing w:line="360" w:lineRule="auto"/>
        <w:ind w:left="0"/>
        <w:jc w:val="both"/>
        <w:rPr>
          <w:sz w:val="22"/>
          <w:szCs w:val="22"/>
        </w:rPr>
      </w:pPr>
      <w:r>
        <w:rPr>
          <w:sz w:val="22"/>
          <w:szCs w:val="22"/>
        </w:rPr>
        <w:t>‘</w:t>
      </w:r>
      <w:r w:rsidRPr="00103C98">
        <w:rPr>
          <w:sz w:val="22"/>
          <w:szCs w:val="22"/>
        </w:rPr>
        <w:t>(3) Where an electronic signature is required by the parties to an electronic transaction and the parties have not agreed on the type of</w:t>
      </w:r>
      <w:r>
        <w:rPr>
          <w:sz w:val="22"/>
          <w:szCs w:val="22"/>
        </w:rPr>
        <w:t xml:space="preserve"> </w:t>
      </w:r>
      <w:r w:rsidRPr="00103C98">
        <w:rPr>
          <w:sz w:val="22"/>
          <w:szCs w:val="22"/>
        </w:rPr>
        <w:t>electronic signature to be used, that requirement is met in relation to a data message if</w:t>
      </w:r>
      <w:r>
        <w:rPr>
          <w:sz w:val="22"/>
          <w:szCs w:val="22"/>
        </w:rPr>
        <w:t xml:space="preserve"> – </w:t>
      </w:r>
    </w:p>
    <w:p w14:paraId="42A55B4F" w14:textId="6F28D118" w:rsidR="00103C98" w:rsidRPr="00103C98" w:rsidRDefault="00103C98" w:rsidP="00103C98">
      <w:pPr>
        <w:pStyle w:val="ListParagraph"/>
        <w:spacing w:line="360" w:lineRule="auto"/>
        <w:ind w:left="0"/>
        <w:jc w:val="both"/>
        <w:rPr>
          <w:sz w:val="22"/>
          <w:szCs w:val="22"/>
        </w:rPr>
      </w:pPr>
      <w:r w:rsidRPr="00103C98">
        <w:rPr>
          <w:sz w:val="22"/>
          <w:szCs w:val="22"/>
        </w:rPr>
        <w:t xml:space="preserve">(a) </w:t>
      </w:r>
      <w:r>
        <w:rPr>
          <w:sz w:val="22"/>
          <w:szCs w:val="22"/>
        </w:rPr>
        <w:tab/>
      </w:r>
      <w:proofErr w:type="gramStart"/>
      <w:r w:rsidRPr="00103C98">
        <w:rPr>
          <w:sz w:val="22"/>
          <w:szCs w:val="22"/>
        </w:rPr>
        <w:t>a</w:t>
      </w:r>
      <w:proofErr w:type="gramEnd"/>
      <w:r w:rsidRPr="00103C98">
        <w:rPr>
          <w:sz w:val="22"/>
          <w:szCs w:val="22"/>
        </w:rPr>
        <w:t xml:space="preserve"> method is used to identify the person and to indicate the person's approval of the information communicated; </w:t>
      </w:r>
      <w:proofErr w:type="gramStart"/>
      <w:r w:rsidRPr="00103C98">
        <w:rPr>
          <w:sz w:val="22"/>
          <w:szCs w:val="22"/>
        </w:rPr>
        <w:t>and</w:t>
      </w:r>
      <w:proofErr w:type="gramEnd"/>
    </w:p>
    <w:p w14:paraId="48764003" w14:textId="16ABFD4A" w:rsidR="00CB60EF" w:rsidRPr="00B66DD6" w:rsidRDefault="00103C98" w:rsidP="00103C98">
      <w:pPr>
        <w:pStyle w:val="ListParagraph"/>
        <w:spacing w:line="360" w:lineRule="auto"/>
        <w:ind w:left="0"/>
        <w:jc w:val="both"/>
        <w:rPr>
          <w:sz w:val="22"/>
          <w:szCs w:val="22"/>
        </w:rPr>
      </w:pPr>
      <w:r w:rsidRPr="00103C98">
        <w:rPr>
          <w:sz w:val="22"/>
          <w:szCs w:val="22"/>
        </w:rPr>
        <w:t xml:space="preserve">(b) </w:t>
      </w:r>
      <w:r>
        <w:rPr>
          <w:sz w:val="22"/>
          <w:szCs w:val="22"/>
        </w:rPr>
        <w:tab/>
      </w:r>
      <w:proofErr w:type="gramStart"/>
      <w:r w:rsidRPr="00103C98">
        <w:rPr>
          <w:sz w:val="22"/>
          <w:szCs w:val="22"/>
        </w:rPr>
        <w:t>having</w:t>
      </w:r>
      <w:proofErr w:type="gramEnd"/>
      <w:r w:rsidRPr="00103C98">
        <w:rPr>
          <w:sz w:val="22"/>
          <w:szCs w:val="22"/>
        </w:rPr>
        <w:t xml:space="preserve"> regard to all the relevant circumstances at the time the method was used, the method was as reliable as was appropriate for</w:t>
      </w:r>
      <w:r>
        <w:rPr>
          <w:sz w:val="22"/>
          <w:szCs w:val="22"/>
        </w:rPr>
        <w:t xml:space="preserve"> </w:t>
      </w:r>
      <w:r w:rsidRPr="00103C98">
        <w:rPr>
          <w:sz w:val="22"/>
          <w:szCs w:val="22"/>
        </w:rPr>
        <w:t>the purposes for which the info</w:t>
      </w:r>
      <w:r>
        <w:rPr>
          <w:sz w:val="22"/>
          <w:szCs w:val="22"/>
        </w:rPr>
        <w:t>rmation was communicated</w:t>
      </w:r>
      <w:r w:rsidR="00CB60EF" w:rsidRPr="00B66DD6">
        <w:rPr>
          <w:sz w:val="22"/>
          <w:szCs w:val="22"/>
        </w:rPr>
        <w:t>.’</w:t>
      </w:r>
    </w:p>
    <w:p w14:paraId="431799A7" w14:textId="77777777" w:rsidR="00D537AA" w:rsidRPr="00B66DD6" w:rsidRDefault="00D537AA" w:rsidP="00BB515B">
      <w:pPr>
        <w:pStyle w:val="ListParagraph"/>
        <w:spacing w:line="360" w:lineRule="auto"/>
        <w:ind w:left="0"/>
        <w:jc w:val="both"/>
        <w:rPr>
          <w:szCs w:val="24"/>
        </w:rPr>
      </w:pPr>
    </w:p>
    <w:p w14:paraId="65201228" w14:textId="5A3BE141" w:rsidR="00B66DD6" w:rsidRDefault="00823E8A" w:rsidP="00BB515B">
      <w:pPr>
        <w:pStyle w:val="ListParagraph"/>
        <w:numPr>
          <w:ilvl w:val="0"/>
          <w:numId w:val="1"/>
        </w:numPr>
        <w:spacing w:line="360" w:lineRule="auto"/>
        <w:jc w:val="both"/>
        <w:rPr>
          <w:szCs w:val="24"/>
        </w:rPr>
      </w:pPr>
      <w:r w:rsidRPr="00B66DD6">
        <w:rPr>
          <w:szCs w:val="24"/>
        </w:rPr>
        <w:t xml:space="preserve">The </w:t>
      </w:r>
      <w:r w:rsidR="00CB60EF" w:rsidRPr="00B66DD6">
        <w:rPr>
          <w:szCs w:val="24"/>
        </w:rPr>
        <w:t xml:space="preserve">respondent </w:t>
      </w:r>
      <w:r w:rsidR="00B66DD6">
        <w:rPr>
          <w:szCs w:val="24"/>
        </w:rPr>
        <w:t xml:space="preserve">however </w:t>
      </w:r>
      <w:r w:rsidR="00CB60EF" w:rsidRPr="00B66DD6">
        <w:rPr>
          <w:szCs w:val="24"/>
        </w:rPr>
        <w:t>contend</w:t>
      </w:r>
      <w:r w:rsidR="00E9103B">
        <w:rPr>
          <w:szCs w:val="24"/>
        </w:rPr>
        <w:t>ed</w:t>
      </w:r>
      <w:r w:rsidR="00CB60EF" w:rsidRPr="00B66DD6">
        <w:rPr>
          <w:szCs w:val="24"/>
        </w:rPr>
        <w:t xml:space="preserve"> that </w:t>
      </w:r>
      <w:r w:rsidR="00734FB3">
        <w:rPr>
          <w:szCs w:val="24"/>
        </w:rPr>
        <w:t xml:space="preserve">the </w:t>
      </w:r>
      <w:r w:rsidR="00E9103B">
        <w:rPr>
          <w:szCs w:val="24"/>
        </w:rPr>
        <w:t>exchang</w:t>
      </w:r>
      <w:r w:rsidR="00734FB3">
        <w:rPr>
          <w:szCs w:val="24"/>
        </w:rPr>
        <w:t xml:space="preserve">e of </w:t>
      </w:r>
      <w:r w:rsidR="00CB60EF" w:rsidRPr="00B66DD6">
        <w:rPr>
          <w:szCs w:val="24"/>
        </w:rPr>
        <w:t xml:space="preserve">the </w:t>
      </w:r>
      <w:r w:rsidRPr="00B66DD6">
        <w:rPr>
          <w:szCs w:val="24"/>
        </w:rPr>
        <w:t xml:space="preserve">e-mails </w:t>
      </w:r>
      <w:r w:rsidR="00734FB3">
        <w:rPr>
          <w:szCs w:val="24"/>
        </w:rPr>
        <w:t xml:space="preserve">was </w:t>
      </w:r>
      <w:r w:rsidRPr="00B66DD6">
        <w:rPr>
          <w:szCs w:val="24"/>
        </w:rPr>
        <w:t xml:space="preserve">not an </w:t>
      </w:r>
      <w:r w:rsidR="000843FA" w:rsidRPr="00B66DD6">
        <w:rPr>
          <w:szCs w:val="24"/>
        </w:rPr>
        <w:t>‘</w:t>
      </w:r>
      <w:r w:rsidRPr="00B66DD6">
        <w:rPr>
          <w:szCs w:val="24"/>
        </w:rPr>
        <w:t>electronic transaction</w:t>
      </w:r>
      <w:r w:rsidR="000843FA" w:rsidRPr="00B66DD6">
        <w:rPr>
          <w:szCs w:val="24"/>
        </w:rPr>
        <w:t>’</w:t>
      </w:r>
      <w:r w:rsidRPr="00B66DD6">
        <w:rPr>
          <w:szCs w:val="24"/>
        </w:rPr>
        <w:t xml:space="preserve"> as contemplated in section 13(3) of the Ac</w:t>
      </w:r>
      <w:r w:rsidR="00570FBF" w:rsidRPr="00B66DD6">
        <w:rPr>
          <w:szCs w:val="24"/>
        </w:rPr>
        <w:t>t</w:t>
      </w:r>
      <w:r w:rsidR="000843FA" w:rsidRPr="00B66DD6">
        <w:rPr>
          <w:szCs w:val="24"/>
        </w:rPr>
        <w:t xml:space="preserve">, as, </w:t>
      </w:r>
      <w:r w:rsidR="00734FB3">
        <w:rPr>
          <w:szCs w:val="24"/>
        </w:rPr>
        <w:t xml:space="preserve">and because the parties, or certainly the respondent, in </w:t>
      </w:r>
      <w:r w:rsidRPr="00B66DD6">
        <w:rPr>
          <w:szCs w:val="24"/>
        </w:rPr>
        <w:t>exchanging the e-mails</w:t>
      </w:r>
      <w:r w:rsidR="000843FA" w:rsidRPr="00B66DD6">
        <w:rPr>
          <w:szCs w:val="24"/>
        </w:rPr>
        <w:t>,</w:t>
      </w:r>
      <w:r w:rsidRPr="00B66DD6">
        <w:rPr>
          <w:szCs w:val="24"/>
        </w:rPr>
        <w:t xml:space="preserve"> neither contemplated, nor intended that such exchange would constitute a transaction or an agreement varying </w:t>
      </w:r>
      <w:r w:rsidR="00734FB3">
        <w:rPr>
          <w:szCs w:val="24"/>
        </w:rPr>
        <w:t xml:space="preserve">or waiving </w:t>
      </w:r>
      <w:r w:rsidRPr="00B66DD6">
        <w:rPr>
          <w:szCs w:val="24"/>
        </w:rPr>
        <w:t xml:space="preserve">the repayment terms of the loan agreement. </w:t>
      </w:r>
    </w:p>
    <w:p w14:paraId="099AE83E" w14:textId="77777777" w:rsidR="00401F1A" w:rsidRDefault="00401F1A" w:rsidP="00BB515B">
      <w:pPr>
        <w:pStyle w:val="ListParagraph"/>
        <w:spacing w:line="360" w:lineRule="auto"/>
        <w:ind w:left="0"/>
        <w:jc w:val="both"/>
        <w:rPr>
          <w:szCs w:val="24"/>
        </w:rPr>
      </w:pPr>
    </w:p>
    <w:p w14:paraId="1F4A1149" w14:textId="2CD7EB63" w:rsidR="00734FB3" w:rsidRPr="00734FB3" w:rsidRDefault="00B66DD6" w:rsidP="00F85D7C">
      <w:pPr>
        <w:pStyle w:val="ListParagraph"/>
        <w:numPr>
          <w:ilvl w:val="0"/>
          <w:numId w:val="1"/>
        </w:numPr>
        <w:spacing w:line="360" w:lineRule="auto"/>
        <w:jc w:val="both"/>
        <w:rPr>
          <w:szCs w:val="24"/>
        </w:rPr>
      </w:pPr>
      <w:r>
        <w:rPr>
          <w:szCs w:val="24"/>
        </w:rPr>
        <w:lastRenderedPageBreak/>
        <w:t xml:space="preserve">It is clear from the </w:t>
      </w:r>
      <w:r w:rsidR="002026D3">
        <w:rPr>
          <w:szCs w:val="24"/>
        </w:rPr>
        <w:t xml:space="preserve">established </w:t>
      </w:r>
      <w:r>
        <w:rPr>
          <w:szCs w:val="24"/>
        </w:rPr>
        <w:t xml:space="preserve">facts that </w:t>
      </w:r>
      <w:r w:rsidR="002026D3">
        <w:rPr>
          <w:szCs w:val="24"/>
        </w:rPr>
        <w:t xml:space="preserve">the </w:t>
      </w:r>
      <w:r w:rsidR="00570FBF" w:rsidRPr="00B66DD6">
        <w:rPr>
          <w:szCs w:val="24"/>
        </w:rPr>
        <w:t>purpose of the r</w:t>
      </w:r>
      <w:r w:rsidR="00823E8A" w:rsidRPr="00B66DD6">
        <w:rPr>
          <w:szCs w:val="24"/>
        </w:rPr>
        <w:t xml:space="preserve">espondent’s e-mail </w:t>
      </w:r>
      <w:r w:rsidR="00B56A4D">
        <w:rPr>
          <w:szCs w:val="24"/>
        </w:rPr>
        <w:t xml:space="preserve">of </w:t>
      </w:r>
      <w:r w:rsidR="00823E8A" w:rsidRPr="00B66DD6">
        <w:rPr>
          <w:szCs w:val="24"/>
        </w:rPr>
        <w:t xml:space="preserve">31 July 2020 was </w:t>
      </w:r>
      <w:r w:rsidR="00792916">
        <w:rPr>
          <w:szCs w:val="24"/>
        </w:rPr>
        <w:t xml:space="preserve">not to vary or waive </w:t>
      </w:r>
      <w:r w:rsidR="00D16D71">
        <w:rPr>
          <w:szCs w:val="24"/>
        </w:rPr>
        <w:t xml:space="preserve">the </w:t>
      </w:r>
      <w:r w:rsidR="00792916">
        <w:rPr>
          <w:szCs w:val="24"/>
        </w:rPr>
        <w:t xml:space="preserve">terms of the loan agreement but </w:t>
      </w:r>
      <w:r w:rsidR="00823E8A" w:rsidRPr="00B66DD6">
        <w:rPr>
          <w:szCs w:val="24"/>
        </w:rPr>
        <w:t>to provide confirmation</w:t>
      </w:r>
      <w:r w:rsidR="00734FB3">
        <w:rPr>
          <w:szCs w:val="24"/>
        </w:rPr>
        <w:t>, following a request by the appellants,</w:t>
      </w:r>
      <w:r w:rsidR="00823E8A" w:rsidRPr="00B66DD6">
        <w:rPr>
          <w:szCs w:val="24"/>
        </w:rPr>
        <w:t xml:space="preserve"> that the loan </w:t>
      </w:r>
      <w:r w:rsidR="00734FB3">
        <w:rPr>
          <w:szCs w:val="24"/>
        </w:rPr>
        <w:t xml:space="preserve">forming the subject of the loan agreement </w:t>
      </w:r>
      <w:r w:rsidR="00823E8A" w:rsidRPr="00B66DD6">
        <w:rPr>
          <w:szCs w:val="24"/>
        </w:rPr>
        <w:t xml:space="preserve">would not be repaid by </w:t>
      </w:r>
      <w:proofErr w:type="spellStart"/>
      <w:r w:rsidR="00823E8A" w:rsidRPr="00B66DD6">
        <w:rPr>
          <w:szCs w:val="24"/>
        </w:rPr>
        <w:t>Skema</w:t>
      </w:r>
      <w:proofErr w:type="spellEnd"/>
      <w:r w:rsidR="00823E8A" w:rsidRPr="00B66DD6">
        <w:rPr>
          <w:szCs w:val="24"/>
        </w:rPr>
        <w:t xml:space="preserve"> Mining</w:t>
      </w:r>
      <w:r w:rsidR="002026D3">
        <w:rPr>
          <w:szCs w:val="24"/>
        </w:rPr>
        <w:t>, but by the first appellant</w:t>
      </w:r>
      <w:r w:rsidR="00734FB3">
        <w:rPr>
          <w:szCs w:val="24"/>
        </w:rPr>
        <w:t xml:space="preserve"> f</w:t>
      </w:r>
      <w:r w:rsidR="002026D3">
        <w:rPr>
          <w:szCs w:val="24"/>
        </w:rPr>
        <w:t xml:space="preserve">rom the sale of the property it owns. </w:t>
      </w:r>
      <w:r w:rsidR="00734FB3">
        <w:rPr>
          <w:szCs w:val="24"/>
        </w:rPr>
        <w:t xml:space="preserve">The second appellant in his email of </w:t>
      </w:r>
      <w:r w:rsidR="00823E8A" w:rsidRPr="00B66DD6">
        <w:rPr>
          <w:szCs w:val="24"/>
        </w:rPr>
        <w:t xml:space="preserve">22 October 2020 </w:t>
      </w:r>
      <w:r w:rsidR="00734FB3">
        <w:rPr>
          <w:szCs w:val="24"/>
        </w:rPr>
        <w:t xml:space="preserve">confirmed that </w:t>
      </w:r>
      <w:r w:rsidR="00823E8A" w:rsidRPr="00B66DD6">
        <w:rPr>
          <w:szCs w:val="24"/>
        </w:rPr>
        <w:t xml:space="preserve">Nedbank </w:t>
      </w:r>
      <w:r w:rsidR="00401F1A">
        <w:rPr>
          <w:szCs w:val="24"/>
        </w:rPr>
        <w:t xml:space="preserve">had </w:t>
      </w:r>
      <w:r w:rsidR="00823E8A" w:rsidRPr="00B66DD6">
        <w:rPr>
          <w:szCs w:val="24"/>
        </w:rPr>
        <w:t>required confirmation</w:t>
      </w:r>
      <w:r w:rsidR="00401F1A">
        <w:rPr>
          <w:szCs w:val="24"/>
        </w:rPr>
        <w:t xml:space="preserve">, </w:t>
      </w:r>
      <w:r w:rsidR="00401F1A" w:rsidRPr="00B66DD6">
        <w:rPr>
          <w:szCs w:val="24"/>
        </w:rPr>
        <w:t xml:space="preserve">prior to granting the </w:t>
      </w:r>
      <w:proofErr w:type="spellStart"/>
      <w:r w:rsidR="00401F1A" w:rsidRPr="00B66DD6">
        <w:rPr>
          <w:szCs w:val="24"/>
        </w:rPr>
        <w:t>Covid</w:t>
      </w:r>
      <w:proofErr w:type="spellEnd"/>
      <w:r w:rsidR="00401F1A" w:rsidRPr="00B66DD6">
        <w:rPr>
          <w:szCs w:val="24"/>
        </w:rPr>
        <w:t xml:space="preserve"> loan</w:t>
      </w:r>
      <w:r w:rsidR="00401F1A">
        <w:rPr>
          <w:szCs w:val="24"/>
        </w:rPr>
        <w:t>,</w:t>
      </w:r>
      <w:r w:rsidR="00823E8A" w:rsidRPr="00B66DD6">
        <w:rPr>
          <w:szCs w:val="24"/>
        </w:rPr>
        <w:t xml:space="preserve"> that the </w:t>
      </w:r>
      <w:r w:rsidR="00401F1A">
        <w:rPr>
          <w:szCs w:val="24"/>
        </w:rPr>
        <w:t xml:space="preserve">source for repayment of the </w:t>
      </w:r>
      <w:r w:rsidR="00823E8A" w:rsidRPr="00B66DD6">
        <w:rPr>
          <w:szCs w:val="24"/>
        </w:rPr>
        <w:t xml:space="preserve">loan would be </w:t>
      </w:r>
      <w:r w:rsidR="00401F1A">
        <w:rPr>
          <w:szCs w:val="24"/>
        </w:rPr>
        <w:t>fr</w:t>
      </w:r>
      <w:r w:rsidR="00823E8A" w:rsidRPr="00B66DD6">
        <w:rPr>
          <w:szCs w:val="24"/>
        </w:rPr>
        <w:t>om property sales</w:t>
      </w:r>
      <w:r w:rsidR="00401F1A">
        <w:rPr>
          <w:szCs w:val="24"/>
        </w:rPr>
        <w:t>,</w:t>
      </w:r>
      <w:r w:rsidR="00823E8A" w:rsidRPr="00B66DD6">
        <w:rPr>
          <w:szCs w:val="24"/>
        </w:rPr>
        <w:t xml:space="preserve"> and not </w:t>
      </w:r>
      <w:r w:rsidR="00401F1A">
        <w:rPr>
          <w:szCs w:val="24"/>
        </w:rPr>
        <w:t>from the industrial business.</w:t>
      </w:r>
      <w:r w:rsidR="008B6993">
        <w:rPr>
          <w:szCs w:val="24"/>
        </w:rPr>
        <w:t xml:space="preserve"> </w:t>
      </w:r>
      <w:r w:rsidR="00734FB3">
        <w:rPr>
          <w:szCs w:val="24"/>
        </w:rPr>
        <w:t>The respondent’s email of 31 July 2020 simply pro</w:t>
      </w:r>
      <w:r w:rsidR="00792916">
        <w:rPr>
          <w:szCs w:val="24"/>
        </w:rPr>
        <w:t>vided the</w:t>
      </w:r>
      <w:r w:rsidR="00734FB3">
        <w:rPr>
          <w:szCs w:val="24"/>
        </w:rPr>
        <w:t xml:space="preserve"> confirmation</w:t>
      </w:r>
      <w:r w:rsidR="00792916">
        <w:rPr>
          <w:szCs w:val="24"/>
        </w:rPr>
        <w:t xml:space="preserve"> requested by the appellants</w:t>
      </w:r>
      <w:r w:rsidR="00734FB3">
        <w:rPr>
          <w:szCs w:val="24"/>
        </w:rPr>
        <w:t>.</w:t>
      </w:r>
      <w:r w:rsidR="00792916">
        <w:rPr>
          <w:szCs w:val="24"/>
        </w:rPr>
        <w:t xml:space="preserve"> The email went no further, and was not intended to convey any more than that.</w:t>
      </w:r>
      <w:r w:rsidR="00734FB3">
        <w:rPr>
          <w:szCs w:val="24"/>
        </w:rPr>
        <w:t xml:space="preserve"> </w:t>
      </w:r>
      <w:r w:rsidR="0023781F">
        <w:rPr>
          <w:szCs w:val="24"/>
        </w:rPr>
        <w:t>In the words of the second appellant in his replying affid</w:t>
      </w:r>
      <w:r w:rsidR="00734FB3">
        <w:rPr>
          <w:szCs w:val="24"/>
        </w:rPr>
        <w:t>avit in the counter application:</w:t>
      </w:r>
      <w:r w:rsidR="00F85D7C">
        <w:rPr>
          <w:rStyle w:val="FootnoteReference"/>
          <w:szCs w:val="24"/>
        </w:rPr>
        <w:footnoteReference w:id="14"/>
      </w:r>
    </w:p>
    <w:p w14:paraId="1ED3552D" w14:textId="50329AD6" w:rsidR="00F259F2" w:rsidRPr="0011646B" w:rsidRDefault="0023781F" w:rsidP="00B92E59">
      <w:pPr>
        <w:pStyle w:val="ListParagraph"/>
        <w:spacing w:line="360" w:lineRule="auto"/>
        <w:ind w:left="709" w:hanging="709"/>
        <w:jc w:val="both"/>
        <w:rPr>
          <w:sz w:val="22"/>
          <w:szCs w:val="22"/>
        </w:rPr>
      </w:pPr>
      <w:r w:rsidRPr="0011646B">
        <w:rPr>
          <w:sz w:val="22"/>
          <w:szCs w:val="22"/>
        </w:rPr>
        <w:t>‘</w:t>
      </w:r>
      <w:r w:rsidR="00F259F2" w:rsidRPr="0011646B">
        <w:rPr>
          <w:sz w:val="22"/>
          <w:szCs w:val="22"/>
        </w:rPr>
        <w:t xml:space="preserve">[50] </w:t>
      </w:r>
      <w:r w:rsidR="00442ADF" w:rsidRPr="0011646B">
        <w:rPr>
          <w:sz w:val="22"/>
          <w:szCs w:val="22"/>
        </w:rPr>
        <w:tab/>
      </w:r>
      <w:r w:rsidRPr="0011646B">
        <w:rPr>
          <w:sz w:val="22"/>
          <w:szCs w:val="22"/>
        </w:rPr>
        <w:t>Nedbank was simply asking for confirmation o</w:t>
      </w:r>
      <w:r w:rsidR="00F259F2" w:rsidRPr="0011646B">
        <w:rPr>
          <w:sz w:val="22"/>
          <w:szCs w:val="22"/>
        </w:rPr>
        <w:t>f what the correct position was.</w:t>
      </w:r>
    </w:p>
    <w:p w14:paraId="7246A80B" w14:textId="59F36F0F" w:rsidR="00F259F2" w:rsidRPr="0011646B" w:rsidRDefault="00F259F2" w:rsidP="00B92E59">
      <w:pPr>
        <w:pStyle w:val="ListParagraph"/>
        <w:spacing w:line="360" w:lineRule="auto"/>
        <w:ind w:left="709" w:hanging="709"/>
        <w:jc w:val="both"/>
        <w:rPr>
          <w:sz w:val="22"/>
          <w:szCs w:val="22"/>
        </w:rPr>
      </w:pPr>
      <w:r w:rsidRPr="0011646B">
        <w:rPr>
          <w:sz w:val="22"/>
          <w:szCs w:val="22"/>
        </w:rPr>
        <w:t xml:space="preserve">[51] </w:t>
      </w:r>
      <w:r w:rsidR="00442ADF" w:rsidRPr="0011646B">
        <w:rPr>
          <w:sz w:val="22"/>
          <w:szCs w:val="22"/>
        </w:rPr>
        <w:tab/>
      </w:r>
      <w:r w:rsidR="0023781F" w:rsidRPr="0011646B">
        <w:rPr>
          <w:sz w:val="22"/>
          <w:szCs w:val="22"/>
        </w:rPr>
        <w:t>I telephoned the (respondent) prior to him sending the email of 31 July 2020 and at the time he was driving somewhere in northern Germany, according to him. I explained the position to him</w:t>
      </w:r>
      <w:r w:rsidR="00053AC5" w:rsidRPr="0011646B">
        <w:rPr>
          <w:sz w:val="22"/>
          <w:szCs w:val="22"/>
        </w:rPr>
        <w:t xml:space="preserve"> and asked him</w:t>
      </w:r>
      <w:r w:rsidR="0023781F" w:rsidRPr="0011646B">
        <w:rPr>
          <w:sz w:val="22"/>
          <w:szCs w:val="22"/>
        </w:rPr>
        <w:t xml:space="preserve"> simply to confirm what </w:t>
      </w:r>
      <w:proofErr w:type="gramStart"/>
      <w:r w:rsidR="0023781F" w:rsidRPr="0011646B">
        <w:rPr>
          <w:sz w:val="22"/>
          <w:szCs w:val="22"/>
        </w:rPr>
        <w:t>is in fact the truth of the matter</w:t>
      </w:r>
      <w:proofErr w:type="gramEnd"/>
      <w:r w:rsidR="00734FB3" w:rsidRPr="0011646B">
        <w:rPr>
          <w:sz w:val="22"/>
          <w:szCs w:val="22"/>
        </w:rPr>
        <w:t xml:space="preserve">. </w:t>
      </w:r>
    </w:p>
    <w:p w14:paraId="04500128" w14:textId="6125C7FA" w:rsidR="0023781F" w:rsidRPr="0011646B" w:rsidRDefault="00F259F2" w:rsidP="00B92E59">
      <w:pPr>
        <w:pStyle w:val="ListParagraph"/>
        <w:spacing w:line="360" w:lineRule="auto"/>
        <w:ind w:left="709" w:hanging="709"/>
        <w:jc w:val="both"/>
        <w:rPr>
          <w:sz w:val="22"/>
          <w:szCs w:val="22"/>
        </w:rPr>
      </w:pPr>
      <w:r w:rsidRPr="0011646B">
        <w:rPr>
          <w:sz w:val="22"/>
          <w:szCs w:val="22"/>
        </w:rPr>
        <w:t xml:space="preserve">[52] </w:t>
      </w:r>
      <w:r w:rsidR="00442ADF" w:rsidRPr="0011646B">
        <w:rPr>
          <w:sz w:val="22"/>
          <w:szCs w:val="22"/>
        </w:rPr>
        <w:tab/>
      </w:r>
      <w:r w:rsidR="00053AC5" w:rsidRPr="0011646B">
        <w:rPr>
          <w:sz w:val="22"/>
          <w:szCs w:val="22"/>
        </w:rPr>
        <w:t>He had no objection to doing so and that was the genesis of his email of 31 July 2020</w:t>
      </w:r>
      <w:r w:rsidR="0023781F" w:rsidRPr="0011646B">
        <w:rPr>
          <w:sz w:val="22"/>
          <w:szCs w:val="22"/>
        </w:rPr>
        <w:t>.</w:t>
      </w:r>
      <w:r w:rsidR="00053AC5" w:rsidRPr="0011646B">
        <w:rPr>
          <w:sz w:val="22"/>
          <w:szCs w:val="22"/>
        </w:rPr>
        <w:t>’</w:t>
      </w:r>
      <w:r w:rsidR="0023781F" w:rsidRPr="0011646B">
        <w:rPr>
          <w:sz w:val="22"/>
          <w:szCs w:val="22"/>
        </w:rPr>
        <w:t xml:space="preserve"> </w:t>
      </w:r>
    </w:p>
    <w:p w14:paraId="6C27767F" w14:textId="77777777" w:rsidR="0023781F" w:rsidRPr="0023781F" w:rsidRDefault="0023781F" w:rsidP="00BB515B">
      <w:pPr>
        <w:pStyle w:val="ListParagraph"/>
        <w:spacing w:line="360" w:lineRule="auto"/>
        <w:rPr>
          <w:szCs w:val="24"/>
        </w:rPr>
      </w:pPr>
    </w:p>
    <w:p w14:paraId="13FB9D8D" w14:textId="11845322" w:rsidR="008B6993" w:rsidRDefault="00792916" w:rsidP="00722D6E">
      <w:pPr>
        <w:pStyle w:val="ListParagraph"/>
        <w:numPr>
          <w:ilvl w:val="0"/>
          <w:numId w:val="1"/>
        </w:numPr>
        <w:spacing w:line="360" w:lineRule="auto"/>
        <w:jc w:val="both"/>
        <w:rPr>
          <w:szCs w:val="24"/>
        </w:rPr>
      </w:pPr>
      <w:r>
        <w:rPr>
          <w:szCs w:val="24"/>
        </w:rPr>
        <w:t>The aforesaid is dispositiv</w:t>
      </w:r>
      <w:r w:rsidR="00B56A4D">
        <w:rPr>
          <w:szCs w:val="24"/>
        </w:rPr>
        <w:t xml:space="preserve">e of the appellants’ contention that </w:t>
      </w:r>
      <w:r>
        <w:rPr>
          <w:szCs w:val="24"/>
        </w:rPr>
        <w:t xml:space="preserve">a variation </w:t>
      </w:r>
      <w:r w:rsidR="00B56A4D">
        <w:rPr>
          <w:szCs w:val="24"/>
        </w:rPr>
        <w:t>was e</w:t>
      </w:r>
      <w:r>
        <w:rPr>
          <w:szCs w:val="24"/>
        </w:rPr>
        <w:t xml:space="preserve">ffected by the exchange of the emails. </w:t>
      </w:r>
      <w:r w:rsidR="002026D3" w:rsidRPr="008B6993">
        <w:rPr>
          <w:szCs w:val="24"/>
        </w:rPr>
        <w:t xml:space="preserve">It is </w:t>
      </w:r>
      <w:r>
        <w:rPr>
          <w:szCs w:val="24"/>
        </w:rPr>
        <w:t xml:space="preserve">accordingly </w:t>
      </w:r>
      <w:r w:rsidR="002026D3" w:rsidRPr="008B6993">
        <w:rPr>
          <w:szCs w:val="24"/>
        </w:rPr>
        <w:t xml:space="preserve">not necessary to consider </w:t>
      </w:r>
      <w:r w:rsidR="00401F1A" w:rsidRPr="008B6993">
        <w:rPr>
          <w:szCs w:val="24"/>
        </w:rPr>
        <w:t xml:space="preserve">further </w:t>
      </w:r>
      <w:r w:rsidR="002026D3" w:rsidRPr="008B6993">
        <w:rPr>
          <w:szCs w:val="24"/>
        </w:rPr>
        <w:t>the provisions of the Act</w:t>
      </w:r>
      <w:r w:rsidR="00B56A4D">
        <w:rPr>
          <w:szCs w:val="24"/>
        </w:rPr>
        <w:t>,</w:t>
      </w:r>
      <w:r w:rsidR="002026D3" w:rsidRPr="008B6993">
        <w:rPr>
          <w:szCs w:val="24"/>
        </w:rPr>
        <w:t xml:space="preserve"> </w:t>
      </w:r>
      <w:r w:rsidR="00401F1A" w:rsidRPr="008B6993">
        <w:rPr>
          <w:szCs w:val="24"/>
        </w:rPr>
        <w:t xml:space="preserve">or the decisions in inter alia </w:t>
      </w:r>
      <w:r w:rsidR="00401F1A" w:rsidRPr="008B6993">
        <w:rPr>
          <w:i/>
          <w:szCs w:val="24"/>
        </w:rPr>
        <w:t xml:space="preserve">Spring Forest Trading 599 CC v </w:t>
      </w:r>
      <w:proofErr w:type="spellStart"/>
      <w:r w:rsidR="00401F1A" w:rsidRPr="008B6993">
        <w:rPr>
          <w:i/>
          <w:szCs w:val="24"/>
        </w:rPr>
        <w:t>Wilberry</w:t>
      </w:r>
      <w:proofErr w:type="spellEnd"/>
      <w:r w:rsidR="00401F1A" w:rsidRPr="008B6993">
        <w:rPr>
          <w:i/>
          <w:szCs w:val="24"/>
        </w:rPr>
        <w:t xml:space="preserve"> (Pty) Ltd t/</w:t>
      </w:r>
      <w:proofErr w:type="gramStart"/>
      <w:r w:rsidR="00401F1A" w:rsidRPr="008B6993">
        <w:rPr>
          <w:i/>
          <w:szCs w:val="24"/>
        </w:rPr>
        <w:t>a</w:t>
      </w:r>
      <w:proofErr w:type="gramEnd"/>
      <w:r w:rsidR="00401F1A" w:rsidRPr="008B6993">
        <w:rPr>
          <w:i/>
          <w:szCs w:val="24"/>
        </w:rPr>
        <w:t xml:space="preserve"> </w:t>
      </w:r>
      <w:proofErr w:type="spellStart"/>
      <w:r w:rsidR="00401F1A" w:rsidRPr="008B6993">
        <w:rPr>
          <w:i/>
          <w:szCs w:val="24"/>
        </w:rPr>
        <w:t>Ecowash</w:t>
      </w:r>
      <w:proofErr w:type="spellEnd"/>
      <w:r w:rsidR="008B6993">
        <w:rPr>
          <w:szCs w:val="24"/>
        </w:rPr>
        <w:t>,</w:t>
      </w:r>
      <w:r w:rsidR="00B56A4D">
        <w:rPr>
          <w:rStyle w:val="FootnoteReference"/>
          <w:szCs w:val="24"/>
        </w:rPr>
        <w:footnoteReference w:id="15"/>
      </w:r>
      <w:r w:rsidR="008B6993">
        <w:rPr>
          <w:szCs w:val="24"/>
        </w:rPr>
        <w:t xml:space="preserve"> or</w:t>
      </w:r>
      <w:r w:rsidR="008B6993" w:rsidRPr="00B66DD6">
        <w:rPr>
          <w:szCs w:val="24"/>
        </w:rPr>
        <w:t xml:space="preserve"> </w:t>
      </w:r>
      <w:proofErr w:type="spellStart"/>
      <w:r w:rsidR="008B6993" w:rsidRPr="00B66DD6">
        <w:rPr>
          <w:i/>
          <w:szCs w:val="24"/>
        </w:rPr>
        <w:t>Borcherds</w:t>
      </w:r>
      <w:proofErr w:type="spellEnd"/>
      <w:r w:rsidR="008B6993" w:rsidRPr="00B66DD6">
        <w:rPr>
          <w:i/>
          <w:szCs w:val="24"/>
        </w:rPr>
        <w:t xml:space="preserve"> v Duxbury</w:t>
      </w:r>
      <w:r w:rsidR="00B56A4D">
        <w:rPr>
          <w:i/>
          <w:szCs w:val="24"/>
        </w:rPr>
        <w:t>,</w:t>
      </w:r>
      <w:r w:rsidR="008B6993" w:rsidRPr="008B6993">
        <w:rPr>
          <w:rStyle w:val="FootnoteReference"/>
          <w:szCs w:val="24"/>
        </w:rPr>
        <w:footnoteReference w:id="16"/>
      </w:r>
      <w:r w:rsidR="00B56A4D">
        <w:rPr>
          <w:i/>
          <w:szCs w:val="24"/>
        </w:rPr>
        <w:t xml:space="preserve"> </w:t>
      </w:r>
      <w:r w:rsidR="00B56A4D">
        <w:rPr>
          <w:szCs w:val="24"/>
        </w:rPr>
        <w:t xml:space="preserve">or </w:t>
      </w:r>
      <w:r w:rsidR="00B56A4D">
        <w:rPr>
          <w:i/>
          <w:szCs w:val="24"/>
        </w:rPr>
        <w:t>Global &amp; Local Investment Advisors (Pty) Ltd v</w:t>
      </w:r>
      <w:r w:rsidR="00722D6E" w:rsidRPr="00722D6E">
        <w:t xml:space="preserve"> </w:t>
      </w:r>
      <w:proofErr w:type="spellStart"/>
      <w:r w:rsidR="00722D6E" w:rsidRPr="00722D6E">
        <w:rPr>
          <w:i/>
          <w:szCs w:val="24"/>
        </w:rPr>
        <w:t>Fouché</w:t>
      </w:r>
      <w:proofErr w:type="spellEnd"/>
      <w:r w:rsidR="00266BF5" w:rsidRPr="00266BF5">
        <w:rPr>
          <w:szCs w:val="24"/>
        </w:rPr>
        <w:t>.</w:t>
      </w:r>
      <w:r w:rsidR="00B56A4D" w:rsidRPr="00266BF5">
        <w:rPr>
          <w:rStyle w:val="FootnoteReference"/>
          <w:szCs w:val="24"/>
        </w:rPr>
        <w:footnoteReference w:id="17"/>
      </w:r>
      <w:r w:rsidR="008B6993" w:rsidRPr="00266BF5">
        <w:rPr>
          <w:szCs w:val="24"/>
        </w:rPr>
        <w:t xml:space="preserve"> </w:t>
      </w:r>
    </w:p>
    <w:p w14:paraId="1277ECAB" w14:textId="77777777" w:rsidR="008B6993" w:rsidRDefault="008B6993" w:rsidP="00BB515B">
      <w:pPr>
        <w:pStyle w:val="ListParagraph"/>
        <w:spacing w:line="360" w:lineRule="auto"/>
        <w:ind w:left="0"/>
        <w:jc w:val="both"/>
        <w:rPr>
          <w:szCs w:val="24"/>
        </w:rPr>
      </w:pPr>
    </w:p>
    <w:p w14:paraId="587500C0" w14:textId="347DD3EF" w:rsidR="00401F1A" w:rsidRPr="00A92B0F" w:rsidRDefault="00053AC5" w:rsidP="00BB515B">
      <w:pPr>
        <w:pStyle w:val="ListParagraph"/>
        <w:numPr>
          <w:ilvl w:val="0"/>
          <w:numId w:val="1"/>
        </w:numPr>
        <w:spacing w:line="360" w:lineRule="auto"/>
        <w:jc w:val="both"/>
        <w:rPr>
          <w:szCs w:val="24"/>
        </w:rPr>
      </w:pPr>
      <w:r>
        <w:rPr>
          <w:szCs w:val="24"/>
        </w:rPr>
        <w:t>T</w:t>
      </w:r>
      <w:r w:rsidR="00B56A4D">
        <w:rPr>
          <w:szCs w:val="24"/>
        </w:rPr>
        <w:t>here was</w:t>
      </w:r>
      <w:r w:rsidR="00401F1A" w:rsidRPr="008B6993">
        <w:rPr>
          <w:szCs w:val="24"/>
        </w:rPr>
        <w:t xml:space="preserve"> no evidence that the respondent transmitted the e-mail of 31 July 2020 with the intention to vary the terms of the loan agreement</w:t>
      </w:r>
      <w:r w:rsidR="008B6993">
        <w:rPr>
          <w:szCs w:val="24"/>
        </w:rPr>
        <w:t xml:space="preserve"> by </w:t>
      </w:r>
      <w:r w:rsidR="00792916">
        <w:rPr>
          <w:szCs w:val="24"/>
        </w:rPr>
        <w:t xml:space="preserve">effectively </w:t>
      </w:r>
      <w:r w:rsidR="008B6993">
        <w:rPr>
          <w:szCs w:val="24"/>
        </w:rPr>
        <w:t>waiving compliance with the provisions o</w:t>
      </w:r>
      <w:r w:rsidR="00792916">
        <w:rPr>
          <w:szCs w:val="24"/>
        </w:rPr>
        <w:t xml:space="preserve">f clause 5 thereof.  </w:t>
      </w:r>
      <w:r w:rsidR="00401F1A" w:rsidRPr="008B6993">
        <w:rPr>
          <w:szCs w:val="24"/>
        </w:rPr>
        <w:t xml:space="preserve">As was said in </w:t>
      </w:r>
      <w:proofErr w:type="spellStart"/>
      <w:r w:rsidR="00401F1A" w:rsidRPr="008B6993">
        <w:rPr>
          <w:i/>
          <w:lang w:val="en-GB"/>
        </w:rPr>
        <w:t>Sonfred</w:t>
      </w:r>
      <w:proofErr w:type="spellEnd"/>
      <w:r w:rsidR="00401F1A" w:rsidRPr="008B6993">
        <w:rPr>
          <w:i/>
          <w:lang w:val="en-GB"/>
        </w:rPr>
        <w:t xml:space="preserve"> (Pty) Ltd v </w:t>
      </w:r>
      <w:proofErr w:type="spellStart"/>
      <w:r w:rsidR="00401F1A" w:rsidRPr="008B6993">
        <w:rPr>
          <w:i/>
          <w:lang w:val="en-GB"/>
        </w:rPr>
        <w:t>Papert</w:t>
      </w:r>
      <w:proofErr w:type="spellEnd"/>
      <w:r w:rsidR="00401F1A" w:rsidRPr="00A92B0F">
        <w:rPr>
          <w:rStyle w:val="FootnoteReference"/>
          <w:szCs w:val="24"/>
        </w:rPr>
        <w:footnoteReference w:id="18"/>
      </w:r>
    </w:p>
    <w:p w14:paraId="1BAAB851" w14:textId="62415F04" w:rsidR="00401F1A" w:rsidRPr="008B6993" w:rsidRDefault="00401F1A" w:rsidP="00BB515B">
      <w:pPr>
        <w:spacing w:line="360" w:lineRule="auto"/>
        <w:jc w:val="both"/>
        <w:rPr>
          <w:sz w:val="22"/>
          <w:szCs w:val="22"/>
        </w:rPr>
      </w:pPr>
      <w:r w:rsidRPr="008B6993">
        <w:rPr>
          <w:sz w:val="22"/>
          <w:szCs w:val="22"/>
        </w:rPr>
        <w:lastRenderedPageBreak/>
        <w:t>‘</w:t>
      </w:r>
      <w:r w:rsidR="00226767" w:rsidRPr="00226767">
        <w:rPr>
          <w:sz w:val="22"/>
          <w:szCs w:val="22"/>
        </w:rPr>
        <w:t>It is</w:t>
      </w:r>
      <w:r w:rsidR="00226767">
        <w:rPr>
          <w:sz w:val="22"/>
          <w:szCs w:val="22"/>
        </w:rPr>
        <w:t xml:space="preserve"> . . .</w:t>
      </w:r>
      <w:r w:rsidR="00226767" w:rsidRPr="00226767">
        <w:rPr>
          <w:sz w:val="22"/>
          <w:szCs w:val="22"/>
        </w:rPr>
        <w:t xml:space="preserve"> axiomatic that a person is not bound by the mere fact that his signature appears upon a document of debt. The chief significance of a signature to a document of obligation is that it is evidence of the fact of consent by the signatory, and in order that he may be bound it is necessary that he shall have affixed his signature with the intention of binding himself</w:t>
      </w:r>
      <w:r w:rsidRPr="008B6993">
        <w:rPr>
          <w:sz w:val="22"/>
          <w:szCs w:val="22"/>
        </w:rPr>
        <w:t>.’</w:t>
      </w:r>
    </w:p>
    <w:p w14:paraId="0BD3629B" w14:textId="2BCB02B3" w:rsidR="00401F1A" w:rsidRPr="00401F1A" w:rsidRDefault="00401F1A" w:rsidP="00BB515B">
      <w:pPr>
        <w:pStyle w:val="ListParagraph"/>
        <w:spacing w:line="360" w:lineRule="auto"/>
        <w:jc w:val="both"/>
        <w:rPr>
          <w:szCs w:val="24"/>
        </w:rPr>
      </w:pPr>
    </w:p>
    <w:p w14:paraId="341FEAF5" w14:textId="4DC66F60" w:rsidR="00823E8A" w:rsidRPr="00792916" w:rsidRDefault="002026D3" w:rsidP="00BB515B">
      <w:pPr>
        <w:pStyle w:val="ListParagraph"/>
        <w:numPr>
          <w:ilvl w:val="0"/>
          <w:numId w:val="1"/>
        </w:numPr>
        <w:spacing w:line="360" w:lineRule="auto"/>
        <w:jc w:val="both"/>
        <w:rPr>
          <w:szCs w:val="24"/>
        </w:rPr>
      </w:pPr>
      <w:r w:rsidRPr="00792916">
        <w:rPr>
          <w:szCs w:val="24"/>
        </w:rPr>
        <w:t>If the intention was to amend the dates for repayment fixed in the second addendum, then the</w:t>
      </w:r>
      <w:r w:rsidR="00792916">
        <w:rPr>
          <w:szCs w:val="24"/>
        </w:rPr>
        <w:t xml:space="preserve"> emails would have said so. To the contrary, in </w:t>
      </w:r>
      <w:r w:rsidR="00823E8A" w:rsidRPr="00792916">
        <w:rPr>
          <w:szCs w:val="24"/>
        </w:rPr>
        <w:t>h</w:t>
      </w:r>
      <w:r w:rsidR="00D537AA" w:rsidRPr="00792916">
        <w:rPr>
          <w:szCs w:val="24"/>
        </w:rPr>
        <w:t>is e-mail of 31 July 2020, the r</w:t>
      </w:r>
      <w:r w:rsidR="00792916">
        <w:rPr>
          <w:szCs w:val="24"/>
        </w:rPr>
        <w:t>espondent specifically referred</w:t>
      </w:r>
      <w:r w:rsidR="00823E8A" w:rsidRPr="00792916">
        <w:rPr>
          <w:szCs w:val="24"/>
        </w:rPr>
        <w:t xml:space="preserve"> to the addendum to the loan agreement in terms whereof he agreed to </w:t>
      </w:r>
      <w:r w:rsidR="00823E8A" w:rsidRPr="00826686">
        <w:rPr>
          <w:szCs w:val="24"/>
        </w:rPr>
        <w:t>postpone repayment of the loan</w:t>
      </w:r>
      <w:r w:rsidR="00823E8A" w:rsidRPr="00792916">
        <w:rPr>
          <w:szCs w:val="24"/>
        </w:rPr>
        <w:t xml:space="preserve">, </w:t>
      </w:r>
      <w:r w:rsidR="00B56A4D">
        <w:rPr>
          <w:szCs w:val="24"/>
        </w:rPr>
        <w:t xml:space="preserve">as </w:t>
      </w:r>
      <w:r w:rsidR="00823E8A" w:rsidRPr="00792916">
        <w:rPr>
          <w:szCs w:val="24"/>
        </w:rPr>
        <w:t xml:space="preserve">the </w:t>
      </w:r>
      <w:r w:rsidR="00E81A24" w:rsidRPr="00792916">
        <w:rPr>
          <w:szCs w:val="24"/>
        </w:rPr>
        <w:t>first</w:t>
      </w:r>
      <w:r w:rsidR="00823E8A" w:rsidRPr="00792916">
        <w:rPr>
          <w:szCs w:val="24"/>
        </w:rPr>
        <w:t xml:space="preserve"> date </w:t>
      </w:r>
      <w:r w:rsidR="00B56A4D">
        <w:rPr>
          <w:szCs w:val="24"/>
        </w:rPr>
        <w:t xml:space="preserve">for </w:t>
      </w:r>
      <w:r w:rsidR="00823E8A" w:rsidRPr="00792916">
        <w:rPr>
          <w:szCs w:val="24"/>
        </w:rPr>
        <w:t xml:space="preserve">repayment was not </w:t>
      </w:r>
      <w:r w:rsidR="00826686" w:rsidRPr="00826686">
        <w:rPr>
          <w:szCs w:val="24"/>
        </w:rPr>
        <w:t>‘</w:t>
      </w:r>
      <w:r w:rsidR="00823E8A" w:rsidRPr="00826686">
        <w:rPr>
          <w:szCs w:val="24"/>
        </w:rPr>
        <w:t>good timing for sel</w:t>
      </w:r>
      <w:r w:rsidR="00826686" w:rsidRPr="00826686">
        <w:rPr>
          <w:szCs w:val="24"/>
        </w:rPr>
        <w:t>ling the properties.’</w:t>
      </w:r>
      <w:r w:rsidR="00573502" w:rsidRPr="00792916">
        <w:rPr>
          <w:szCs w:val="24"/>
        </w:rPr>
        <w:t xml:space="preserve"> </w:t>
      </w:r>
      <w:r w:rsidR="00823E8A" w:rsidRPr="00792916">
        <w:rPr>
          <w:szCs w:val="24"/>
        </w:rPr>
        <w:t>In his</w:t>
      </w:r>
      <w:r w:rsidR="00D537AA" w:rsidRPr="00792916">
        <w:rPr>
          <w:szCs w:val="24"/>
        </w:rPr>
        <w:t xml:space="preserve"> e-mail of 22 October 2020 the second a</w:t>
      </w:r>
      <w:r w:rsidR="00823E8A" w:rsidRPr="00792916">
        <w:rPr>
          <w:szCs w:val="24"/>
        </w:rPr>
        <w:t>ppellant expressly confirmed that the €1</w:t>
      </w:r>
      <w:r w:rsidR="002318E9">
        <w:rPr>
          <w:szCs w:val="24"/>
        </w:rPr>
        <w:t>.</w:t>
      </w:r>
      <w:r w:rsidR="00823E8A" w:rsidRPr="00792916">
        <w:rPr>
          <w:szCs w:val="24"/>
        </w:rPr>
        <w:t>5 million portion of the loan plus interest (in other words the Initial Loan plus interest) was re</w:t>
      </w:r>
      <w:r w:rsidR="00573502" w:rsidRPr="00792916">
        <w:rPr>
          <w:szCs w:val="24"/>
        </w:rPr>
        <w:t>payable in March 2021.</w:t>
      </w:r>
      <w:r w:rsidR="00823E8A" w:rsidRPr="00792916">
        <w:rPr>
          <w:szCs w:val="24"/>
        </w:rPr>
        <w:t xml:space="preserve"> S</w:t>
      </w:r>
      <w:r w:rsidR="00573502" w:rsidRPr="00792916">
        <w:rPr>
          <w:szCs w:val="24"/>
        </w:rPr>
        <w:t xml:space="preserve">hortly </w:t>
      </w:r>
      <w:r w:rsidR="00826686">
        <w:rPr>
          <w:szCs w:val="24"/>
        </w:rPr>
        <w:t xml:space="preserve">after </w:t>
      </w:r>
      <w:r w:rsidR="00D537AA" w:rsidRPr="00792916">
        <w:rPr>
          <w:szCs w:val="24"/>
        </w:rPr>
        <w:t xml:space="preserve">the </w:t>
      </w:r>
      <w:r w:rsidR="00573502" w:rsidRPr="00792916">
        <w:rPr>
          <w:szCs w:val="24"/>
        </w:rPr>
        <w:t xml:space="preserve">exchange of the emails, the </w:t>
      </w:r>
      <w:r w:rsidR="00D537AA" w:rsidRPr="00792916">
        <w:rPr>
          <w:szCs w:val="24"/>
        </w:rPr>
        <w:t>a</w:t>
      </w:r>
      <w:r w:rsidR="00823E8A" w:rsidRPr="00792916">
        <w:rPr>
          <w:szCs w:val="24"/>
        </w:rPr>
        <w:t xml:space="preserve">ppellants’ attorney, </w:t>
      </w:r>
      <w:r w:rsidR="00D537AA" w:rsidRPr="00792916">
        <w:rPr>
          <w:szCs w:val="24"/>
        </w:rPr>
        <w:t xml:space="preserve">Mr </w:t>
      </w:r>
      <w:proofErr w:type="spellStart"/>
      <w:r w:rsidR="00823E8A" w:rsidRPr="00792916">
        <w:rPr>
          <w:szCs w:val="24"/>
        </w:rPr>
        <w:t>Warmback</w:t>
      </w:r>
      <w:proofErr w:type="spellEnd"/>
      <w:r w:rsidR="00823E8A" w:rsidRPr="00792916">
        <w:rPr>
          <w:szCs w:val="24"/>
        </w:rPr>
        <w:t>, on 16 November 2020 confirmed that the Initial Loan was repayable on or before 1 March 2021 and the Loan Balance on or before 1 July 2022 (as</w:t>
      </w:r>
      <w:r w:rsidR="00573502" w:rsidRPr="00792916">
        <w:rPr>
          <w:szCs w:val="24"/>
        </w:rPr>
        <w:t xml:space="preserve"> agreed in the second addendum). These facts are inconsistent with the parties intending</w:t>
      </w:r>
      <w:r w:rsidR="00826686">
        <w:rPr>
          <w:szCs w:val="24"/>
        </w:rPr>
        <w:t xml:space="preserve"> to </w:t>
      </w:r>
      <w:r w:rsidR="00573502" w:rsidRPr="00792916">
        <w:rPr>
          <w:szCs w:val="24"/>
        </w:rPr>
        <w:t xml:space="preserve">achieve a variation to the express terms of the </w:t>
      </w:r>
      <w:r w:rsidR="000C471B">
        <w:rPr>
          <w:szCs w:val="24"/>
        </w:rPr>
        <w:t xml:space="preserve">loan </w:t>
      </w:r>
      <w:r w:rsidR="00573502" w:rsidRPr="00792916">
        <w:rPr>
          <w:szCs w:val="24"/>
        </w:rPr>
        <w:t xml:space="preserve">agreement. </w:t>
      </w:r>
      <w:r w:rsidR="00823E8A" w:rsidRPr="00792916">
        <w:rPr>
          <w:szCs w:val="24"/>
        </w:rPr>
        <w:t xml:space="preserve">Had the parties intended to vary the loan agreement as contended </w:t>
      </w:r>
      <w:r w:rsidR="00D537AA" w:rsidRPr="00792916">
        <w:rPr>
          <w:szCs w:val="24"/>
        </w:rPr>
        <w:t>by the a</w:t>
      </w:r>
      <w:r w:rsidR="00823E8A" w:rsidRPr="00792916">
        <w:rPr>
          <w:szCs w:val="24"/>
        </w:rPr>
        <w:t>ppellant</w:t>
      </w:r>
      <w:r w:rsidR="00D537AA" w:rsidRPr="00792916">
        <w:rPr>
          <w:szCs w:val="24"/>
        </w:rPr>
        <w:t xml:space="preserve">s, then they would </w:t>
      </w:r>
      <w:r w:rsidR="00823E8A" w:rsidRPr="00792916">
        <w:rPr>
          <w:szCs w:val="24"/>
        </w:rPr>
        <w:t>have concluded an addendum to that effect</w:t>
      </w:r>
      <w:r w:rsidR="00D537AA" w:rsidRPr="00792916">
        <w:rPr>
          <w:szCs w:val="24"/>
        </w:rPr>
        <w:t xml:space="preserve">, as with the previous two addenda which were concluded when </w:t>
      </w:r>
      <w:r w:rsidR="00823E8A" w:rsidRPr="00792916">
        <w:rPr>
          <w:szCs w:val="24"/>
        </w:rPr>
        <w:t xml:space="preserve">they contemplated and intended to </w:t>
      </w:r>
      <w:r w:rsidR="00826686">
        <w:rPr>
          <w:szCs w:val="24"/>
        </w:rPr>
        <w:t xml:space="preserve">change the dates for </w:t>
      </w:r>
      <w:r w:rsidR="00823E8A" w:rsidRPr="00792916">
        <w:rPr>
          <w:szCs w:val="24"/>
        </w:rPr>
        <w:t>repayment of the loan</w:t>
      </w:r>
      <w:r w:rsidR="00826686">
        <w:rPr>
          <w:szCs w:val="24"/>
        </w:rPr>
        <w:t xml:space="preserve">, or at </w:t>
      </w:r>
      <w:r w:rsidR="008B6993" w:rsidRPr="00792916">
        <w:rPr>
          <w:szCs w:val="24"/>
        </w:rPr>
        <w:t>the very least</w:t>
      </w:r>
      <w:r w:rsidR="00826686">
        <w:rPr>
          <w:szCs w:val="24"/>
        </w:rPr>
        <w:t>,</w:t>
      </w:r>
      <w:r w:rsidR="008B6993" w:rsidRPr="00792916">
        <w:rPr>
          <w:szCs w:val="24"/>
        </w:rPr>
        <w:t xml:space="preserve"> they would have </w:t>
      </w:r>
      <w:r w:rsidR="00C20450">
        <w:rPr>
          <w:szCs w:val="24"/>
        </w:rPr>
        <w:t>said that the provisions of clause 5 were varied or waived.</w:t>
      </w:r>
      <w:r w:rsidR="00D537AA" w:rsidRPr="00792916">
        <w:rPr>
          <w:szCs w:val="24"/>
        </w:rPr>
        <w:t xml:space="preserve"> </w:t>
      </w:r>
    </w:p>
    <w:p w14:paraId="392FD057" w14:textId="5F4C8174" w:rsidR="002026D3" w:rsidRDefault="002026D3" w:rsidP="00BB515B">
      <w:pPr>
        <w:pStyle w:val="ListParagraph"/>
        <w:spacing w:line="360" w:lineRule="auto"/>
        <w:ind w:left="0"/>
        <w:jc w:val="both"/>
        <w:rPr>
          <w:szCs w:val="24"/>
        </w:rPr>
      </w:pPr>
    </w:p>
    <w:p w14:paraId="7A587A7C" w14:textId="0DA2A418" w:rsidR="002026D3" w:rsidRPr="002026D3" w:rsidRDefault="002026D3" w:rsidP="00BB515B">
      <w:pPr>
        <w:pStyle w:val="ListParagraph"/>
        <w:numPr>
          <w:ilvl w:val="0"/>
          <w:numId w:val="1"/>
        </w:numPr>
        <w:spacing w:line="360" w:lineRule="auto"/>
        <w:jc w:val="both"/>
        <w:rPr>
          <w:szCs w:val="24"/>
        </w:rPr>
      </w:pPr>
      <w:r>
        <w:rPr>
          <w:szCs w:val="24"/>
        </w:rPr>
        <w:t xml:space="preserve">The appellants have failed to establish a variation </w:t>
      </w:r>
      <w:r w:rsidR="008B6993">
        <w:rPr>
          <w:szCs w:val="24"/>
        </w:rPr>
        <w:t xml:space="preserve">of the terms of the loan agreement </w:t>
      </w:r>
      <w:r>
        <w:rPr>
          <w:szCs w:val="24"/>
        </w:rPr>
        <w:t>by the exchange of the emails.</w:t>
      </w:r>
    </w:p>
    <w:p w14:paraId="60062180" w14:textId="77777777" w:rsidR="00D537AA" w:rsidRDefault="00D537AA" w:rsidP="00BB515B">
      <w:pPr>
        <w:spacing w:line="360" w:lineRule="auto"/>
        <w:jc w:val="both"/>
        <w:rPr>
          <w:szCs w:val="24"/>
        </w:rPr>
      </w:pPr>
    </w:p>
    <w:p w14:paraId="2A733EC6" w14:textId="3BB9BF83" w:rsidR="006C67B4" w:rsidRPr="00591C54" w:rsidRDefault="006C67B4" w:rsidP="00BB515B">
      <w:pPr>
        <w:pStyle w:val="ListParagraph"/>
        <w:spacing w:line="360" w:lineRule="auto"/>
        <w:ind w:left="0"/>
        <w:rPr>
          <w:b/>
          <w:szCs w:val="24"/>
        </w:rPr>
      </w:pPr>
      <w:r w:rsidRPr="008B6993">
        <w:rPr>
          <w:b/>
          <w:szCs w:val="24"/>
        </w:rPr>
        <w:t xml:space="preserve">The </w:t>
      </w:r>
      <w:proofErr w:type="spellStart"/>
      <w:r w:rsidRPr="00A16228">
        <w:rPr>
          <w:b/>
          <w:i/>
          <w:szCs w:val="24"/>
        </w:rPr>
        <w:t>exceptio</w:t>
      </w:r>
      <w:proofErr w:type="spellEnd"/>
      <w:r w:rsidRPr="00A16228">
        <w:rPr>
          <w:b/>
          <w:i/>
          <w:szCs w:val="24"/>
        </w:rPr>
        <w:t xml:space="preserve"> non </w:t>
      </w:r>
      <w:proofErr w:type="spellStart"/>
      <w:r w:rsidRPr="00A16228">
        <w:rPr>
          <w:b/>
          <w:i/>
          <w:szCs w:val="24"/>
        </w:rPr>
        <w:t>adimpleti</w:t>
      </w:r>
      <w:proofErr w:type="spellEnd"/>
      <w:r w:rsidRPr="00A16228">
        <w:rPr>
          <w:b/>
          <w:i/>
          <w:szCs w:val="24"/>
        </w:rPr>
        <w:t xml:space="preserve"> </w:t>
      </w:r>
      <w:proofErr w:type="spellStart"/>
      <w:r w:rsidRPr="00A16228">
        <w:rPr>
          <w:b/>
          <w:i/>
          <w:szCs w:val="24"/>
        </w:rPr>
        <w:t>contractus</w:t>
      </w:r>
      <w:proofErr w:type="spellEnd"/>
    </w:p>
    <w:p w14:paraId="40A3ED46" w14:textId="77777777" w:rsidR="00826686" w:rsidRDefault="006C67B4" w:rsidP="00BB515B">
      <w:pPr>
        <w:pStyle w:val="ListParagraph"/>
        <w:numPr>
          <w:ilvl w:val="0"/>
          <w:numId w:val="1"/>
        </w:numPr>
        <w:spacing w:line="360" w:lineRule="auto"/>
        <w:jc w:val="both"/>
        <w:rPr>
          <w:szCs w:val="24"/>
        </w:rPr>
      </w:pPr>
      <w:r>
        <w:rPr>
          <w:szCs w:val="24"/>
        </w:rPr>
        <w:t xml:space="preserve">There was also some suggestion that the appellants were excused from making payment </w:t>
      </w:r>
      <w:r w:rsidR="008B6993">
        <w:rPr>
          <w:szCs w:val="24"/>
        </w:rPr>
        <w:t xml:space="preserve">of the loan </w:t>
      </w:r>
      <w:r>
        <w:rPr>
          <w:szCs w:val="24"/>
        </w:rPr>
        <w:t xml:space="preserve">because the respondent had failed to co-operate, and </w:t>
      </w:r>
      <w:r w:rsidR="008B6993">
        <w:rPr>
          <w:szCs w:val="24"/>
        </w:rPr>
        <w:t xml:space="preserve">had </w:t>
      </w:r>
      <w:r w:rsidR="00826686">
        <w:rPr>
          <w:szCs w:val="24"/>
        </w:rPr>
        <w:t>indeed</w:t>
      </w:r>
      <w:r>
        <w:rPr>
          <w:szCs w:val="24"/>
        </w:rPr>
        <w:t xml:space="preserve"> frustrated the sale of the subdivisions subject to the bond</w:t>
      </w:r>
      <w:r w:rsidR="00826686">
        <w:rPr>
          <w:szCs w:val="24"/>
        </w:rPr>
        <w:t xml:space="preserve">. Invoking the </w:t>
      </w:r>
      <w:proofErr w:type="spellStart"/>
      <w:r w:rsidR="00826686" w:rsidRPr="00A16228">
        <w:rPr>
          <w:i/>
          <w:szCs w:val="24"/>
        </w:rPr>
        <w:t>exceptio</w:t>
      </w:r>
      <w:proofErr w:type="spellEnd"/>
      <w:r w:rsidRPr="00A16228">
        <w:rPr>
          <w:i/>
          <w:szCs w:val="24"/>
        </w:rPr>
        <w:t xml:space="preserve"> non </w:t>
      </w:r>
      <w:proofErr w:type="spellStart"/>
      <w:r w:rsidRPr="00A16228">
        <w:rPr>
          <w:i/>
          <w:szCs w:val="24"/>
        </w:rPr>
        <w:t>adimpleti</w:t>
      </w:r>
      <w:proofErr w:type="spellEnd"/>
      <w:r w:rsidRPr="00A16228">
        <w:rPr>
          <w:i/>
          <w:szCs w:val="24"/>
        </w:rPr>
        <w:t xml:space="preserve"> </w:t>
      </w:r>
      <w:proofErr w:type="spellStart"/>
      <w:r w:rsidRPr="00A16228">
        <w:rPr>
          <w:i/>
          <w:szCs w:val="24"/>
        </w:rPr>
        <w:t>contractus</w:t>
      </w:r>
      <w:proofErr w:type="spellEnd"/>
      <w:r w:rsidR="00826686">
        <w:rPr>
          <w:szCs w:val="24"/>
        </w:rPr>
        <w:t xml:space="preserve"> the argument would be that the appellants would therefore be excused from making payment</w:t>
      </w:r>
      <w:r>
        <w:rPr>
          <w:szCs w:val="24"/>
        </w:rPr>
        <w:t xml:space="preserve">. </w:t>
      </w:r>
    </w:p>
    <w:p w14:paraId="0399F3B3" w14:textId="77777777" w:rsidR="00826686" w:rsidRDefault="00826686" w:rsidP="00BB515B">
      <w:pPr>
        <w:pStyle w:val="ListParagraph"/>
        <w:spacing w:line="360" w:lineRule="auto"/>
        <w:ind w:left="0"/>
        <w:jc w:val="both"/>
        <w:rPr>
          <w:szCs w:val="24"/>
        </w:rPr>
      </w:pPr>
    </w:p>
    <w:p w14:paraId="4E7F0538" w14:textId="1E6B030E" w:rsidR="00591C54" w:rsidRDefault="008B6993" w:rsidP="00BB515B">
      <w:pPr>
        <w:pStyle w:val="ListParagraph"/>
        <w:numPr>
          <w:ilvl w:val="0"/>
          <w:numId w:val="1"/>
        </w:numPr>
        <w:spacing w:line="360" w:lineRule="auto"/>
        <w:jc w:val="both"/>
        <w:rPr>
          <w:szCs w:val="24"/>
        </w:rPr>
      </w:pPr>
      <w:r>
        <w:rPr>
          <w:szCs w:val="24"/>
        </w:rPr>
        <w:t xml:space="preserve">Having concluded </w:t>
      </w:r>
      <w:r w:rsidR="00826686">
        <w:rPr>
          <w:szCs w:val="24"/>
        </w:rPr>
        <w:t xml:space="preserve">above </w:t>
      </w:r>
      <w:r>
        <w:rPr>
          <w:szCs w:val="24"/>
        </w:rPr>
        <w:t>that the loans were repayable on fixed dates</w:t>
      </w:r>
      <w:r w:rsidR="00826686">
        <w:rPr>
          <w:szCs w:val="24"/>
        </w:rPr>
        <w:t>,</w:t>
      </w:r>
      <w:r>
        <w:rPr>
          <w:szCs w:val="24"/>
        </w:rPr>
        <w:t xml:space="preserve"> in accordance with the provisions of clause 5 as amended by the addenda, this argument </w:t>
      </w:r>
      <w:r w:rsidR="00C20450">
        <w:rPr>
          <w:szCs w:val="24"/>
        </w:rPr>
        <w:t>must fail,</w:t>
      </w:r>
      <w:r>
        <w:rPr>
          <w:szCs w:val="24"/>
        </w:rPr>
        <w:t xml:space="preserve"> as the </w:t>
      </w:r>
      <w:r w:rsidR="00591C54">
        <w:rPr>
          <w:szCs w:val="24"/>
        </w:rPr>
        <w:t xml:space="preserve">due date for </w:t>
      </w:r>
      <w:r>
        <w:rPr>
          <w:szCs w:val="24"/>
        </w:rPr>
        <w:t xml:space="preserve">repayment of the loans had no </w:t>
      </w:r>
      <w:r w:rsidR="00591C54">
        <w:rPr>
          <w:szCs w:val="24"/>
        </w:rPr>
        <w:t xml:space="preserve">reciprocal </w:t>
      </w:r>
      <w:r>
        <w:rPr>
          <w:szCs w:val="24"/>
        </w:rPr>
        <w:t xml:space="preserve">connection to </w:t>
      </w:r>
      <w:r w:rsidR="00591C54">
        <w:rPr>
          <w:szCs w:val="24"/>
        </w:rPr>
        <w:t xml:space="preserve">the properties being sold, or their sale </w:t>
      </w:r>
      <w:r w:rsidR="00826686">
        <w:rPr>
          <w:szCs w:val="24"/>
        </w:rPr>
        <w:t xml:space="preserve">allegedly </w:t>
      </w:r>
      <w:r w:rsidR="00591C54">
        <w:rPr>
          <w:szCs w:val="24"/>
        </w:rPr>
        <w:t xml:space="preserve">being frustrated. </w:t>
      </w:r>
      <w:r w:rsidR="00597328" w:rsidRPr="00B66DD6">
        <w:rPr>
          <w:szCs w:val="24"/>
        </w:rPr>
        <w:t xml:space="preserve">The first appellant’s obligation to </w:t>
      </w:r>
      <w:r w:rsidR="00826686">
        <w:rPr>
          <w:szCs w:val="24"/>
        </w:rPr>
        <w:t xml:space="preserve">repay the Initial Loan </w:t>
      </w:r>
      <w:r w:rsidR="00597328" w:rsidRPr="00B66DD6">
        <w:rPr>
          <w:szCs w:val="24"/>
        </w:rPr>
        <w:t>was neither conditional upon, nor undertaken in exchange for the respondent consenting to the release of the</w:t>
      </w:r>
      <w:r w:rsidR="00597328">
        <w:rPr>
          <w:szCs w:val="24"/>
        </w:rPr>
        <w:t xml:space="preserve"> immovable properties from the </w:t>
      </w:r>
      <w:r w:rsidR="00597328" w:rsidRPr="00B66DD6">
        <w:rPr>
          <w:szCs w:val="24"/>
        </w:rPr>
        <w:t>bond.</w:t>
      </w:r>
      <w:r w:rsidR="00597328" w:rsidRPr="00B66DD6">
        <w:rPr>
          <w:rStyle w:val="FootnoteReference"/>
          <w:szCs w:val="24"/>
        </w:rPr>
        <w:footnoteReference w:id="19"/>
      </w:r>
      <w:r w:rsidR="00597328">
        <w:rPr>
          <w:szCs w:val="24"/>
        </w:rPr>
        <w:t xml:space="preserve"> </w:t>
      </w:r>
      <w:r w:rsidR="00C20450">
        <w:rPr>
          <w:szCs w:val="24"/>
        </w:rPr>
        <w:t>That ends this</w:t>
      </w:r>
      <w:r w:rsidR="00591C54">
        <w:rPr>
          <w:szCs w:val="24"/>
        </w:rPr>
        <w:t xml:space="preserve"> enquiry.</w:t>
      </w:r>
    </w:p>
    <w:p w14:paraId="1C8EC776" w14:textId="77777777" w:rsidR="00591C54" w:rsidRDefault="00591C54" w:rsidP="00BB515B">
      <w:pPr>
        <w:pStyle w:val="ListParagraph"/>
        <w:spacing w:line="360" w:lineRule="auto"/>
        <w:ind w:left="0"/>
        <w:jc w:val="both"/>
        <w:rPr>
          <w:szCs w:val="24"/>
        </w:rPr>
      </w:pPr>
    </w:p>
    <w:p w14:paraId="7E80C123" w14:textId="5854441A" w:rsidR="006C67B4" w:rsidRPr="00591C54" w:rsidRDefault="00826686" w:rsidP="00BB515B">
      <w:pPr>
        <w:pStyle w:val="ListParagraph"/>
        <w:numPr>
          <w:ilvl w:val="0"/>
          <w:numId w:val="1"/>
        </w:numPr>
        <w:spacing w:line="360" w:lineRule="auto"/>
        <w:jc w:val="both"/>
        <w:rPr>
          <w:szCs w:val="24"/>
        </w:rPr>
      </w:pPr>
      <w:r>
        <w:rPr>
          <w:szCs w:val="24"/>
        </w:rPr>
        <w:t>In any event</w:t>
      </w:r>
      <w:r w:rsidR="00591C54">
        <w:rPr>
          <w:szCs w:val="24"/>
        </w:rPr>
        <w:t xml:space="preserve">, the argument must also fail because as a matter of fact, </w:t>
      </w:r>
      <w:r w:rsidR="006C67B4">
        <w:rPr>
          <w:szCs w:val="24"/>
        </w:rPr>
        <w:t>the respondent had not frustrated the sale of the subdivisions</w:t>
      </w:r>
      <w:r w:rsidR="00591C54">
        <w:rPr>
          <w:szCs w:val="24"/>
        </w:rPr>
        <w:t>. This will be considered in more detail below</w:t>
      </w:r>
      <w:r w:rsidR="006C67B4">
        <w:rPr>
          <w:szCs w:val="24"/>
        </w:rPr>
        <w:t xml:space="preserve"> when dealing with the </w:t>
      </w:r>
      <w:r w:rsidR="00591C54">
        <w:rPr>
          <w:szCs w:val="24"/>
        </w:rPr>
        <w:t xml:space="preserve">appellants’ </w:t>
      </w:r>
      <w:r w:rsidR="006C67B4">
        <w:rPr>
          <w:szCs w:val="24"/>
        </w:rPr>
        <w:t xml:space="preserve">counter application. </w:t>
      </w:r>
    </w:p>
    <w:p w14:paraId="492072C5" w14:textId="77777777" w:rsidR="006C67B4" w:rsidRPr="006C67B4" w:rsidRDefault="006C67B4" w:rsidP="00BB515B">
      <w:pPr>
        <w:pStyle w:val="ListParagraph"/>
        <w:spacing w:line="360" w:lineRule="auto"/>
        <w:rPr>
          <w:szCs w:val="24"/>
        </w:rPr>
      </w:pPr>
    </w:p>
    <w:p w14:paraId="49BFAA2E" w14:textId="2E4286D4" w:rsidR="006C67B4" w:rsidRPr="004136A1" w:rsidRDefault="004136A1" w:rsidP="00BB515B">
      <w:pPr>
        <w:pStyle w:val="ListParagraph"/>
        <w:spacing w:line="360" w:lineRule="auto"/>
        <w:ind w:left="0"/>
        <w:jc w:val="both"/>
        <w:rPr>
          <w:b/>
          <w:szCs w:val="24"/>
        </w:rPr>
      </w:pPr>
      <w:r w:rsidRPr="004136A1">
        <w:rPr>
          <w:b/>
          <w:szCs w:val="24"/>
        </w:rPr>
        <w:t>The counter application</w:t>
      </w:r>
    </w:p>
    <w:p w14:paraId="7D0C3454" w14:textId="0CED2CB7" w:rsidR="00C82195" w:rsidRPr="00C82195" w:rsidRDefault="004136A1" w:rsidP="00BB515B">
      <w:pPr>
        <w:pStyle w:val="ListParagraph"/>
        <w:numPr>
          <w:ilvl w:val="0"/>
          <w:numId w:val="1"/>
        </w:numPr>
        <w:spacing w:line="360" w:lineRule="auto"/>
        <w:jc w:val="both"/>
        <w:rPr>
          <w:szCs w:val="24"/>
        </w:rPr>
      </w:pPr>
      <w:r>
        <w:rPr>
          <w:szCs w:val="24"/>
        </w:rPr>
        <w:t>The appellants launched a counter applica</w:t>
      </w:r>
      <w:r w:rsidR="00591C54">
        <w:rPr>
          <w:szCs w:val="24"/>
        </w:rPr>
        <w:t>tion in which the following rel</w:t>
      </w:r>
      <w:r>
        <w:rPr>
          <w:szCs w:val="24"/>
        </w:rPr>
        <w:t xml:space="preserve">ief </w:t>
      </w:r>
      <w:r w:rsidR="00591C54">
        <w:rPr>
          <w:szCs w:val="24"/>
        </w:rPr>
        <w:t>was</w:t>
      </w:r>
      <w:r>
        <w:rPr>
          <w:szCs w:val="24"/>
        </w:rPr>
        <w:t xml:space="preserve"> claimed:</w:t>
      </w:r>
      <w:r w:rsidR="00F85D7C">
        <w:rPr>
          <w:rStyle w:val="FootnoteReference"/>
          <w:szCs w:val="24"/>
        </w:rPr>
        <w:footnoteReference w:id="20"/>
      </w:r>
    </w:p>
    <w:p w14:paraId="5840698F" w14:textId="50ABA4C5" w:rsidR="00C82195" w:rsidRPr="00C82195" w:rsidRDefault="00C82195" w:rsidP="00B92E59">
      <w:pPr>
        <w:pStyle w:val="FootnoteText"/>
        <w:spacing w:line="360" w:lineRule="auto"/>
        <w:ind w:left="709" w:hanging="709"/>
        <w:jc w:val="both"/>
        <w:rPr>
          <w:sz w:val="22"/>
          <w:szCs w:val="22"/>
          <w:lang w:val="en-US"/>
        </w:rPr>
      </w:pPr>
      <w:r w:rsidRPr="00C82195">
        <w:rPr>
          <w:sz w:val="22"/>
          <w:szCs w:val="22"/>
          <w:lang w:val="en-US"/>
        </w:rPr>
        <w:t>‘[1]</w:t>
      </w:r>
      <w:r w:rsidRPr="00C82195">
        <w:rPr>
          <w:sz w:val="22"/>
          <w:szCs w:val="22"/>
          <w:lang w:val="en-US"/>
        </w:rPr>
        <w:tab/>
        <w:t xml:space="preserve">The Applicant is ordered to comply with clause 6.2.2 of the loan agreement a </w:t>
      </w:r>
      <w:r w:rsidR="00826686">
        <w:rPr>
          <w:sz w:val="22"/>
          <w:szCs w:val="22"/>
          <w:lang w:val="en-US"/>
        </w:rPr>
        <w:t>copy of which is annexure ‘</w:t>
      </w:r>
      <w:r w:rsidRPr="00C82195">
        <w:rPr>
          <w:sz w:val="22"/>
          <w:szCs w:val="22"/>
          <w:lang w:val="en-US"/>
        </w:rPr>
        <w:t>RF</w:t>
      </w:r>
      <w:r w:rsidR="00826686">
        <w:rPr>
          <w:sz w:val="22"/>
          <w:szCs w:val="22"/>
          <w:lang w:val="en-US"/>
        </w:rPr>
        <w:t>1’ to</w:t>
      </w:r>
      <w:r w:rsidRPr="00C82195">
        <w:rPr>
          <w:sz w:val="22"/>
          <w:szCs w:val="22"/>
          <w:lang w:val="en-US"/>
        </w:rPr>
        <w:t xml:space="preserve"> the founding affidavit by releasing </w:t>
      </w:r>
      <w:r w:rsidR="0011646B">
        <w:rPr>
          <w:sz w:val="22"/>
          <w:szCs w:val="22"/>
          <w:lang w:val="en-US"/>
        </w:rPr>
        <w:t xml:space="preserve">his </w:t>
      </w:r>
      <w:r w:rsidRPr="00C82195">
        <w:rPr>
          <w:sz w:val="22"/>
          <w:szCs w:val="22"/>
          <w:lang w:val="en-US"/>
        </w:rPr>
        <w:t xml:space="preserve">security on each property sold as contemplated in that clause on payment of the </w:t>
      </w:r>
      <w:proofErr w:type="spellStart"/>
      <w:r w:rsidRPr="00C82195">
        <w:rPr>
          <w:sz w:val="22"/>
          <w:szCs w:val="22"/>
          <w:lang w:val="en-US"/>
        </w:rPr>
        <w:t>net</w:t>
      </w:r>
      <w:r w:rsidR="0011646B">
        <w:rPr>
          <w:sz w:val="22"/>
          <w:szCs w:val="22"/>
          <w:lang w:val="en-US"/>
        </w:rPr>
        <w:t>t</w:t>
      </w:r>
      <w:proofErr w:type="spellEnd"/>
      <w:r w:rsidRPr="00C82195">
        <w:rPr>
          <w:sz w:val="22"/>
          <w:szCs w:val="22"/>
          <w:lang w:val="en-US"/>
        </w:rPr>
        <w:t xml:space="preserve"> proceeds of the sale until the full amount of the loan amount and lawful interest thereon is paid to him on the basis that:</w:t>
      </w:r>
    </w:p>
    <w:p w14:paraId="3A1E7448" w14:textId="77777777" w:rsidR="00C82195" w:rsidRPr="00C82195" w:rsidRDefault="00C82195" w:rsidP="00B92E59">
      <w:pPr>
        <w:pStyle w:val="FootnoteText"/>
        <w:spacing w:line="360" w:lineRule="auto"/>
        <w:ind w:left="1418" w:hanging="709"/>
        <w:jc w:val="both"/>
        <w:rPr>
          <w:sz w:val="22"/>
          <w:szCs w:val="22"/>
          <w:lang w:val="en-US"/>
        </w:rPr>
      </w:pPr>
      <w:r w:rsidRPr="00C82195">
        <w:rPr>
          <w:sz w:val="22"/>
          <w:szCs w:val="22"/>
          <w:lang w:val="en-US"/>
        </w:rPr>
        <w:t>[</w:t>
      </w:r>
      <w:proofErr w:type="gramStart"/>
      <w:r w:rsidRPr="00C82195">
        <w:rPr>
          <w:sz w:val="22"/>
          <w:szCs w:val="22"/>
          <w:lang w:val="en-US"/>
        </w:rPr>
        <w:t>a</w:t>
      </w:r>
      <w:proofErr w:type="gramEnd"/>
      <w:r w:rsidRPr="00C82195">
        <w:rPr>
          <w:sz w:val="22"/>
          <w:szCs w:val="22"/>
          <w:lang w:val="en-US"/>
        </w:rPr>
        <w:t>]</w:t>
      </w:r>
      <w:r w:rsidRPr="00C82195">
        <w:rPr>
          <w:sz w:val="22"/>
          <w:szCs w:val="22"/>
          <w:lang w:val="en-US"/>
        </w:rPr>
        <w:tab/>
        <w:t xml:space="preserve">Each such property may be sold for not less than R 2 million (or such lesser amount as may be agreed to in writing by the Applicant); </w:t>
      </w:r>
    </w:p>
    <w:p w14:paraId="3D5FC61F" w14:textId="2C626A1F" w:rsidR="00C82195" w:rsidRPr="00C82195" w:rsidRDefault="00C82195" w:rsidP="00B92E59">
      <w:pPr>
        <w:pStyle w:val="FootnoteText"/>
        <w:spacing w:line="360" w:lineRule="auto"/>
        <w:ind w:left="1418" w:hanging="709"/>
        <w:jc w:val="both"/>
        <w:rPr>
          <w:sz w:val="22"/>
          <w:szCs w:val="22"/>
          <w:lang w:val="en-US"/>
        </w:rPr>
      </w:pPr>
      <w:r w:rsidRPr="00C82195">
        <w:rPr>
          <w:sz w:val="22"/>
          <w:szCs w:val="22"/>
          <w:lang w:val="en-US"/>
        </w:rPr>
        <w:t>[b]</w:t>
      </w:r>
      <w:r w:rsidRPr="00C82195">
        <w:rPr>
          <w:sz w:val="22"/>
          <w:szCs w:val="22"/>
          <w:lang w:val="en-US"/>
        </w:rPr>
        <w:tab/>
        <w:t xml:space="preserve">an amount equivalent to Euro 75,000 of each such sale shall be allocated to the initial loan referred to therein until payment in full thereof together with any lawful interest, and the balance of the said proceeds up to the amount of Euro </w:t>
      </w:r>
      <w:r w:rsidR="00826686">
        <w:rPr>
          <w:sz w:val="22"/>
          <w:szCs w:val="22"/>
          <w:lang w:val="en-US"/>
        </w:rPr>
        <w:t>1</w:t>
      </w:r>
      <w:r w:rsidRPr="00C82195">
        <w:rPr>
          <w:sz w:val="22"/>
          <w:szCs w:val="22"/>
          <w:lang w:val="en-US"/>
        </w:rPr>
        <w:t>25</w:t>
      </w:r>
      <w:r w:rsidR="00826686">
        <w:rPr>
          <w:sz w:val="22"/>
          <w:szCs w:val="22"/>
          <w:lang w:val="en-US"/>
        </w:rPr>
        <w:t xml:space="preserve"> </w:t>
      </w:r>
      <w:r w:rsidRPr="00C82195">
        <w:rPr>
          <w:sz w:val="22"/>
          <w:szCs w:val="22"/>
          <w:lang w:val="en-US"/>
        </w:rPr>
        <w:t xml:space="preserve">000 </w:t>
      </w:r>
      <w:r w:rsidR="0011646B">
        <w:rPr>
          <w:sz w:val="22"/>
          <w:szCs w:val="22"/>
          <w:lang w:val="en-US"/>
        </w:rPr>
        <w:t xml:space="preserve">shall be </w:t>
      </w:r>
      <w:r w:rsidRPr="00C82195">
        <w:rPr>
          <w:sz w:val="22"/>
          <w:szCs w:val="22"/>
          <w:lang w:val="en-US"/>
        </w:rPr>
        <w:t>allocated to any loan balance owing to the Applicant until payment in full thereof together with any lawful interest.</w:t>
      </w:r>
    </w:p>
    <w:p w14:paraId="1E40768B" w14:textId="77777777" w:rsidR="00C82195" w:rsidRPr="00C82195" w:rsidRDefault="00C82195" w:rsidP="00B92E59">
      <w:pPr>
        <w:pStyle w:val="FootnoteText"/>
        <w:spacing w:line="360" w:lineRule="auto"/>
        <w:ind w:left="709" w:hanging="709"/>
        <w:jc w:val="both"/>
        <w:rPr>
          <w:sz w:val="22"/>
          <w:szCs w:val="22"/>
          <w:lang w:val="en-US"/>
        </w:rPr>
      </w:pPr>
      <w:r w:rsidRPr="00C82195">
        <w:rPr>
          <w:sz w:val="22"/>
          <w:szCs w:val="22"/>
          <w:lang w:val="en-US"/>
        </w:rPr>
        <w:t>[2]</w:t>
      </w:r>
      <w:r w:rsidRPr="00C82195">
        <w:rPr>
          <w:sz w:val="22"/>
          <w:szCs w:val="22"/>
          <w:lang w:val="en-US"/>
        </w:rPr>
        <w:tab/>
        <w:t>The Applicant is ordered to pay the Respondents’ costs of the counter application, including the costs of senior counsel.</w:t>
      </w:r>
    </w:p>
    <w:p w14:paraId="2A107FD3" w14:textId="77777777" w:rsidR="00C82195" w:rsidRPr="00C82195" w:rsidRDefault="00C82195" w:rsidP="00B92E59">
      <w:pPr>
        <w:pStyle w:val="FootnoteText"/>
        <w:spacing w:line="360" w:lineRule="auto"/>
        <w:ind w:left="709" w:hanging="709"/>
        <w:jc w:val="both"/>
        <w:rPr>
          <w:sz w:val="22"/>
          <w:szCs w:val="22"/>
          <w:lang w:val="en-US"/>
        </w:rPr>
      </w:pPr>
      <w:r w:rsidRPr="00C82195">
        <w:rPr>
          <w:sz w:val="22"/>
          <w:szCs w:val="22"/>
          <w:lang w:val="en-US"/>
        </w:rPr>
        <w:t>[3]</w:t>
      </w:r>
      <w:r w:rsidRPr="00C82195">
        <w:rPr>
          <w:sz w:val="22"/>
          <w:szCs w:val="22"/>
          <w:lang w:val="en-US"/>
        </w:rPr>
        <w:tab/>
        <w:t>The Respondents are awarded further, other or alternative relief.'</w:t>
      </w:r>
    </w:p>
    <w:p w14:paraId="56048683" w14:textId="77777777" w:rsidR="00C82195" w:rsidRPr="000D1FE3" w:rsidRDefault="00C82195" w:rsidP="00BB515B">
      <w:pPr>
        <w:pStyle w:val="FootnoteText"/>
        <w:spacing w:line="360" w:lineRule="auto"/>
        <w:jc w:val="both"/>
        <w:rPr>
          <w:lang w:val="en-US"/>
        </w:rPr>
      </w:pPr>
    </w:p>
    <w:p w14:paraId="0BC51E4E" w14:textId="49100799" w:rsidR="004136A1" w:rsidRDefault="004136A1" w:rsidP="00BB515B">
      <w:pPr>
        <w:pStyle w:val="ListParagraph"/>
        <w:spacing w:line="360" w:lineRule="auto"/>
        <w:ind w:left="0"/>
        <w:jc w:val="both"/>
        <w:rPr>
          <w:szCs w:val="24"/>
        </w:rPr>
      </w:pPr>
      <w:r>
        <w:rPr>
          <w:szCs w:val="24"/>
        </w:rPr>
        <w:tab/>
      </w:r>
    </w:p>
    <w:p w14:paraId="72EB8FD2" w14:textId="797673AB" w:rsidR="004136A1" w:rsidRDefault="00787B0C" w:rsidP="00BB515B">
      <w:pPr>
        <w:pStyle w:val="ListParagraph"/>
        <w:numPr>
          <w:ilvl w:val="0"/>
          <w:numId w:val="1"/>
        </w:numPr>
        <w:spacing w:line="360" w:lineRule="auto"/>
        <w:jc w:val="both"/>
        <w:rPr>
          <w:szCs w:val="24"/>
        </w:rPr>
      </w:pPr>
      <w:r w:rsidRPr="007F1AC7">
        <w:rPr>
          <w:szCs w:val="24"/>
        </w:rPr>
        <w:t>The a</w:t>
      </w:r>
      <w:r w:rsidR="00823E8A" w:rsidRPr="007F1AC7">
        <w:rPr>
          <w:szCs w:val="24"/>
        </w:rPr>
        <w:t xml:space="preserve">ppellants </w:t>
      </w:r>
      <w:r w:rsidR="004136A1" w:rsidRPr="007F1AC7">
        <w:rPr>
          <w:szCs w:val="24"/>
        </w:rPr>
        <w:t>a</w:t>
      </w:r>
      <w:r w:rsidR="00C20450">
        <w:rPr>
          <w:szCs w:val="24"/>
        </w:rPr>
        <w:t xml:space="preserve">dvanced </w:t>
      </w:r>
      <w:r w:rsidR="004136A1" w:rsidRPr="007F1AC7">
        <w:rPr>
          <w:szCs w:val="24"/>
        </w:rPr>
        <w:t>as the basis for their counter app</w:t>
      </w:r>
      <w:r w:rsidR="00464720">
        <w:rPr>
          <w:szCs w:val="24"/>
        </w:rPr>
        <w:t>lication</w:t>
      </w:r>
      <w:r w:rsidR="00C20450">
        <w:rPr>
          <w:szCs w:val="24"/>
        </w:rPr>
        <w:t>,</w:t>
      </w:r>
      <w:r w:rsidR="00464720">
        <w:rPr>
          <w:szCs w:val="24"/>
        </w:rPr>
        <w:t xml:space="preserve"> that the respondent has</w:t>
      </w:r>
      <w:r w:rsidR="004136A1" w:rsidRPr="007F1AC7">
        <w:rPr>
          <w:szCs w:val="24"/>
        </w:rPr>
        <w:t xml:space="preserve"> frustrated the sale of the properties, speci</w:t>
      </w:r>
      <w:r w:rsidR="00826686">
        <w:rPr>
          <w:szCs w:val="24"/>
        </w:rPr>
        <w:t>fically, that the respondent had</w:t>
      </w:r>
      <w:r w:rsidR="004136A1" w:rsidRPr="007F1AC7">
        <w:rPr>
          <w:szCs w:val="24"/>
        </w:rPr>
        <w:t xml:space="preserve"> refused to agree to the sale of the properties below a certain price.</w:t>
      </w:r>
    </w:p>
    <w:p w14:paraId="0090FFCB" w14:textId="77777777" w:rsidR="007F1AC7" w:rsidRPr="007F1AC7" w:rsidRDefault="007F1AC7" w:rsidP="00BB515B">
      <w:pPr>
        <w:pStyle w:val="ListParagraph"/>
        <w:spacing w:line="360" w:lineRule="auto"/>
        <w:ind w:left="0"/>
        <w:jc w:val="both"/>
        <w:rPr>
          <w:szCs w:val="24"/>
        </w:rPr>
      </w:pPr>
    </w:p>
    <w:p w14:paraId="766E97DA" w14:textId="7075CB6E" w:rsidR="000E0DB1" w:rsidRPr="000C3635" w:rsidRDefault="004136A1" w:rsidP="0011646B">
      <w:pPr>
        <w:pStyle w:val="ListParagraph"/>
        <w:numPr>
          <w:ilvl w:val="0"/>
          <w:numId w:val="1"/>
        </w:numPr>
        <w:spacing w:line="360" w:lineRule="auto"/>
        <w:jc w:val="both"/>
        <w:rPr>
          <w:szCs w:val="24"/>
        </w:rPr>
      </w:pPr>
      <w:r>
        <w:rPr>
          <w:szCs w:val="24"/>
        </w:rPr>
        <w:t xml:space="preserve">The answering affidavit is </w:t>
      </w:r>
      <w:r w:rsidR="00916B50">
        <w:rPr>
          <w:szCs w:val="24"/>
        </w:rPr>
        <w:t xml:space="preserve">however very </w:t>
      </w:r>
      <w:r>
        <w:rPr>
          <w:szCs w:val="24"/>
        </w:rPr>
        <w:t xml:space="preserve">sparse on identifying the factual </w:t>
      </w:r>
      <w:r w:rsidR="00916B50">
        <w:rPr>
          <w:szCs w:val="24"/>
        </w:rPr>
        <w:t xml:space="preserve">evidence </w:t>
      </w:r>
      <w:r w:rsidR="00826686">
        <w:rPr>
          <w:szCs w:val="24"/>
        </w:rPr>
        <w:t xml:space="preserve">on which reliance would be placed </w:t>
      </w:r>
      <w:r>
        <w:rPr>
          <w:szCs w:val="24"/>
        </w:rPr>
        <w:t xml:space="preserve">to support this relief. </w:t>
      </w:r>
      <w:r w:rsidR="00D63703">
        <w:rPr>
          <w:szCs w:val="24"/>
        </w:rPr>
        <w:t xml:space="preserve">We were referred only to some </w:t>
      </w:r>
      <w:r>
        <w:rPr>
          <w:szCs w:val="24"/>
        </w:rPr>
        <w:t>general allegations</w:t>
      </w:r>
      <w:r w:rsidR="00826686">
        <w:rPr>
          <w:szCs w:val="24"/>
        </w:rPr>
        <w:t xml:space="preserve"> </w:t>
      </w:r>
      <w:r w:rsidR="00C20450">
        <w:rPr>
          <w:szCs w:val="24"/>
        </w:rPr>
        <w:t xml:space="preserve">with reference to certain </w:t>
      </w:r>
      <w:r>
        <w:rPr>
          <w:szCs w:val="24"/>
        </w:rPr>
        <w:t>‘correspondence</w:t>
      </w:r>
      <w:r w:rsidR="00F64233">
        <w:rPr>
          <w:szCs w:val="24"/>
        </w:rPr>
        <w:t>.</w:t>
      </w:r>
      <w:r>
        <w:rPr>
          <w:szCs w:val="24"/>
        </w:rPr>
        <w:t>’</w:t>
      </w:r>
      <w:r w:rsidR="00916B50">
        <w:rPr>
          <w:szCs w:val="24"/>
        </w:rPr>
        <w:t xml:space="preserve"> </w:t>
      </w:r>
      <w:r w:rsidR="000C3635">
        <w:rPr>
          <w:szCs w:val="24"/>
        </w:rPr>
        <w:t>For example, i</w:t>
      </w:r>
      <w:r w:rsidR="000E0DB1">
        <w:rPr>
          <w:szCs w:val="24"/>
        </w:rPr>
        <w:t>n paragraph 28 of the answering affidavit, the second appellant simply states:</w:t>
      </w:r>
      <w:r w:rsidR="00F85D7C">
        <w:rPr>
          <w:rStyle w:val="FootnoteReference"/>
          <w:szCs w:val="24"/>
        </w:rPr>
        <w:footnoteReference w:id="21"/>
      </w:r>
    </w:p>
    <w:p w14:paraId="7FC89DCC" w14:textId="04E8A31E" w:rsidR="000E0DB1" w:rsidRPr="000E0DB1" w:rsidRDefault="000E0DB1" w:rsidP="00BB515B">
      <w:pPr>
        <w:pStyle w:val="ListParagraph"/>
        <w:spacing w:line="360" w:lineRule="auto"/>
        <w:ind w:left="0"/>
        <w:jc w:val="both"/>
        <w:rPr>
          <w:sz w:val="22"/>
          <w:szCs w:val="22"/>
        </w:rPr>
      </w:pPr>
      <w:r w:rsidRPr="000E0DB1">
        <w:rPr>
          <w:sz w:val="22"/>
          <w:szCs w:val="22"/>
        </w:rPr>
        <w:t xml:space="preserve">‘Moreover, as is reflected in the correspondence, the Applicant has frustrated sales by refusing to agree to the proposal by SKEMA that it reduces the prices of the property. In this regard SKEMA was attempting to use its </w:t>
      </w:r>
      <w:r w:rsidRPr="000E0DB1">
        <w:rPr>
          <w:i/>
          <w:sz w:val="22"/>
          <w:szCs w:val="22"/>
        </w:rPr>
        <w:t>“best endeavours</w:t>
      </w:r>
      <w:r w:rsidRPr="000E0DB1">
        <w:rPr>
          <w:sz w:val="22"/>
          <w:szCs w:val="22"/>
        </w:rPr>
        <w:t>” to facilitate as many sales as possible by lowering the price.’</w:t>
      </w:r>
    </w:p>
    <w:p w14:paraId="2C45BE72" w14:textId="5DE63884" w:rsidR="00916B50" w:rsidRDefault="00916B50" w:rsidP="00BB515B">
      <w:pPr>
        <w:pStyle w:val="ListParagraph"/>
        <w:spacing w:line="360" w:lineRule="auto"/>
        <w:ind w:left="0"/>
        <w:jc w:val="both"/>
        <w:rPr>
          <w:szCs w:val="24"/>
        </w:rPr>
      </w:pPr>
    </w:p>
    <w:p w14:paraId="4C76070B" w14:textId="2E201BE1" w:rsidR="00D3398C" w:rsidRDefault="00F64233" w:rsidP="00BB515B">
      <w:pPr>
        <w:pStyle w:val="ListParagraph"/>
        <w:numPr>
          <w:ilvl w:val="0"/>
          <w:numId w:val="1"/>
        </w:numPr>
        <w:spacing w:line="360" w:lineRule="auto"/>
        <w:jc w:val="both"/>
        <w:rPr>
          <w:szCs w:val="24"/>
        </w:rPr>
      </w:pPr>
      <w:r>
        <w:rPr>
          <w:szCs w:val="24"/>
        </w:rPr>
        <w:t xml:space="preserve">The </w:t>
      </w:r>
      <w:r w:rsidRPr="00611EE6">
        <w:rPr>
          <w:szCs w:val="24"/>
        </w:rPr>
        <w:t xml:space="preserve">correspondence </w:t>
      </w:r>
      <w:r>
        <w:rPr>
          <w:szCs w:val="24"/>
        </w:rPr>
        <w:t xml:space="preserve">on which reliance is seemingly placed </w:t>
      </w:r>
      <w:r w:rsidR="000C3635">
        <w:rPr>
          <w:szCs w:val="24"/>
        </w:rPr>
        <w:t xml:space="preserve">by the appellants </w:t>
      </w:r>
      <w:r>
        <w:rPr>
          <w:szCs w:val="24"/>
        </w:rPr>
        <w:t xml:space="preserve">is attached to the end of the </w:t>
      </w:r>
      <w:r w:rsidRPr="00611EE6">
        <w:rPr>
          <w:szCs w:val="24"/>
        </w:rPr>
        <w:t xml:space="preserve">answering affidavit </w:t>
      </w:r>
      <w:r>
        <w:rPr>
          <w:szCs w:val="24"/>
        </w:rPr>
        <w:t xml:space="preserve">as annexures. But there are no allegations in the body of the affidavit seeking to explain the relevance of this correspondence, or setting out on which parts </w:t>
      </w:r>
      <w:r w:rsidR="000C3635">
        <w:rPr>
          <w:szCs w:val="24"/>
        </w:rPr>
        <w:t xml:space="preserve">thereof </w:t>
      </w:r>
      <w:r>
        <w:rPr>
          <w:szCs w:val="24"/>
        </w:rPr>
        <w:t>reliance is placed</w:t>
      </w:r>
      <w:r w:rsidRPr="00611EE6">
        <w:rPr>
          <w:szCs w:val="24"/>
        </w:rPr>
        <w:t>.</w:t>
      </w:r>
      <w:r>
        <w:rPr>
          <w:szCs w:val="24"/>
        </w:rPr>
        <w:t xml:space="preserve"> </w:t>
      </w:r>
      <w:r w:rsidR="000E0DB1" w:rsidRPr="000E0DB1">
        <w:rPr>
          <w:szCs w:val="24"/>
        </w:rPr>
        <w:t>S</w:t>
      </w:r>
      <w:r w:rsidR="006C4FB2">
        <w:rPr>
          <w:szCs w:val="24"/>
        </w:rPr>
        <w:t>uch an approach</w:t>
      </w:r>
      <w:r>
        <w:rPr>
          <w:szCs w:val="24"/>
        </w:rPr>
        <w:t xml:space="preserve">, </w:t>
      </w:r>
      <w:r w:rsidR="000E0DB1">
        <w:rPr>
          <w:szCs w:val="24"/>
        </w:rPr>
        <w:t xml:space="preserve">referring simply to </w:t>
      </w:r>
      <w:r w:rsidR="00D3398C">
        <w:rPr>
          <w:szCs w:val="24"/>
        </w:rPr>
        <w:t xml:space="preserve">the factual basis for </w:t>
      </w:r>
      <w:r>
        <w:rPr>
          <w:szCs w:val="24"/>
        </w:rPr>
        <w:t xml:space="preserve">relief claimed, </w:t>
      </w:r>
      <w:r w:rsidR="000E0DB1">
        <w:rPr>
          <w:szCs w:val="24"/>
        </w:rPr>
        <w:t>‘as reflected in the correspondence’ without identifying the particular contents relied upon is</w:t>
      </w:r>
      <w:r w:rsidR="00C20450">
        <w:rPr>
          <w:szCs w:val="24"/>
        </w:rPr>
        <w:t xml:space="preserve"> </w:t>
      </w:r>
      <w:r w:rsidR="000E0DB1" w:rsidRPr="000E0DB1">
        <w:rPr>
          <w:szCs w:val="24"/>
        </w:rPr>
        <w:t>irregular. It is not permissible for a deponent simply to annex documentation to his papers without identifying the portions of such documentation upon which reliance is placed.</w:t>
      </w:r>
      <w:r w:rsidR="000E0DB1">
        <w:rPr>
          <w:rStyle w:val="FootnoteReference"/>
          <w:szCs w:val="24"/>
        </w:rPr>
        <w:footnoteReference w:id="22"/>
      </w:r>
      <w:r w:rsidR="000E0DB1" w:rsidRPr="000E0DB1">
        <w:rPr>
          <w:szCs w:val="24"/>
        </w:rPr>
        <w:t xml:space="preserve"> Courts </w:t>
      </w:r>
      <w:r w:rsidR="00D3398C">
        <w:rPr>
          <w:szCs w:val="24"/>
        </w:rPr>
        <w:t xml:space="preserve">and opposing litigants </w:t>
      </w:r>
      <w:r w:rsidR="000E0DB1" w:rsidRPr="000E0DB1">
        <w:rPr>
          <w:szCs w:val="24"/>
        </w:rPr>
        <w:t xml:space="preserve">are not required to trawl through </w:t>
      </w:r>
      <w:r w:rsidR="000C3635">
        <w:rPr>
          <w:szCs w:val="24"/>
        </w:rPr>
        <w:t xml:space="preserve">lengthy </w:t>
      </w:r>
      <w:r w:rsidR="000E0DB1" w:rsidRPr="000E0DB1">
        <w:rPr>
          <w:szCs w:val="24"/>
        </w:rPr>
        <w:t>annexures to an affidavit</w:t>
      </w:r>
      <w:r w:rsidR="00D3398C">
        <w:rPr>
          <w:szCs w:val="24"/>
        </w:rPr>
        <w:t xml:space="preserve"> to identify what might or might not be the relevant allegations upon which reliance might be placed</w:t>
      </w:r>
      <w:r>
        <w:rPr>
          <w:szCs w:val="24"/>
        </w:rPr>
        <w:t xml:space="preserve"> and which they would </w:t>
      </w:r>
      <w:r w:rsidR="000C3635">
        <w:rPr>
          <w:szCs w:val="24"/>
        </w:rPr>
        <w:t xml:space="preserve">be required </w:t>
      </w:r>
      <w:r>
        <w:rPr>
          <w:szCs w:val="24"/>
        </w:rPr>
        <w:t>to address</w:t>
      </w:r>
      <w:r w:rsidR="000E0DB1" w:rsidRPr="000E0DB1">
        <w:rPr>
          <w:szCs w:val="24"/>
        </w:rPr>
        <w:t>.</w:t>
      </w:r>
    </w:p>
    <w:p w14:paraId="36998D43" w14:textId="66F91E2A" w:rsidR="000E0DB1" w:rsidRDefault="000E0DB1" w:rsidP="00BB515B">
      <w:pPr>
        <w:pStyle w:val="ListParagraph"/>
        <w:spacing w:line="360" w:lineRule="auto"/>
        <w:ind w:left="0"/>
        <w:jc w:val="both"/>
        <w:rPr>
          <w:szCs w:val="24"/>
        </w:rPr>
      </w:pPr>
      <w:r w:rsidRPr="000E0DB1">
        <w:rPr>
          <w:szCs w:val="24"/>
        </w:rPr>
        <w:t xml:space="preserve"> </w:t>
      </w:r>
    </w:p>
    <w:p w14:paraId="4D7D4264" w14:textId="6AE03190" w:rsidR="000E0DB1" w:rsidRDefault="00F64233" w:rsidP="00BB515B">
      <w:pPr>
        <w:pStyle w:val="ListParagraph"/>
        <w:numPr>
          <w:ilvl w:val="0"/>
          <w:numId w:val="1"/>
        </w:numPr>
        <w:spacing w:line="360" w:lineRule="auto"/>
        <w:jc w:val="both"/>
        <w:rPr>
          <w:szCs w:val="24"/>
        </w:rPr>
      </w:pPr>
      <w:r>
        <w:rPr>
          <w:szCs w:val="24"/>
        </w:rPr>
        <w:lastRenderedPageBreak/>
        <w:t>The aforesaid defect notwithstanding, on</w:t>
      </w:r>
      <w:r w:rsidR="000E0DB1">
        <w:rPr>
          <w:szCs w:val="24"/>
        </w:rPr>
        <w:t xml:space="preserve"> being invited </w:t>
      </w:r>
      <w:r w:rsidR="00D3398C">
        <w:rPr>
          <w:szCs w:val="24"/>
        </w:rPr>
        <w:t xml:space="preserve">nevertheless </w:t>
      </w:r>
      <w:r w:rsidR="000E0DB1">
        <w:rPr>
          <w:szCs w:val="24"/>
        </w:rPr>
        <w:t xml:space="preserve">to point to the relevant parts of the correspondence </w:t>
      </w:r>
      <w:r w:rsidR="00D3398C">
        <w:rPr>
          <w:szCs w:val="24"/>
        </w:rPr>
        <w:t xml:space="preserve">on which reliance was placed, </w:t>
      </w:r>
      <w:r w:rsidR="000E0DB1">
        <w:rPr>
          <w:szCs w:val="24"/>
        </w:rPr>
        <w:t>counsel referred to the following:</w:t>
      </w:r>
    </w:p>
    <w:p w14:paraId="139F1FCC" w14:textId="74BF4A9F" w:rsidR="00FF65B2" w:rsidRDefault="00F64233" w:rsidP="00FF65B2">
      <w:pPr>
        <w:pStyle w:val="ListParagraph"/>
        <w:numPr>
          <w:ilvl w:val="0"/>
          <w:numId w:val="46"/>
        </w:numPr>
        <w:spacing w:line="360" w:lineRule="auto"/>
        <w:ind w:left="0" w:firstLine="0"/>
        <w:jc w:val="both"/>
        <w:rPr>
          <w:szCs w:val="24"/>
        </w:rPr>
      </w:pPr>
      <w:r w:rsidRPr="006E7810">
        <w:rPr>
          <w:szCs w:val="24"/>
        </w:rPr>
        <w:t xml:space="preserve">In </w:t>
      </w:r>
      <w:r w:rsidR="00622059">
        <w:rPr>
          <w:szCs w:val="24"/>
        </w:rPr>
        <w:t>the</w:t>
      </w:r>
      <w:r w:rsidR="00622059" w:rsidRPr="006E7810">
        <w:rPr>
          <w:szCs w:val="24"/>
        </w:rPr>
        <w:t xml:space="preserve"> </w:t>
      </w:r>
      <w:r w:rsidRPr="006E7810">
        <w:rPr>
          <w:szCs w:val="24"/>
        </w:rPr>
        <w:t xml:space="preserve">email from Mr </w:t>
      </w:r>
      <w:proofErr w:type="spellStart"/>
      <w:r w:rsidRPr="006E7810">
        <w:rPr>
          <w:szCs w:val="24"/>
        </w:rPr>
        <w:t>Warmback</w:t>
      </w:r>
      <w:proofErr w:type="spellEnd"/>
      <w:r w:rsidRPr="006E7810">
        <w:rPr>
          <w:szCs w:val="24"/>
        </w:rPr>
        <w:t xml:space="preserve"> dated 16 November 2020 he recorded that: </w:t>
      </w:r>
    </w:p>
    <w:p w14:paraId="2DAD5F59" w14:textId="5AF567E2" w:rsidR="00F64233" w:rsidRPr="006E7810" w:rsidRDefault="006E7810" w:rsidP="00FF65B2">
      <w:pPr>
        <w:pStyle w:val="ListParagraph"/>
        <w:spacing w:line="360" w:lineRule="auto"/>
        <w:jc w:val="both"/>
        <w:rPr>
          <w:szCs w:val="24"/>
        </w:rPr>
      </w:pPr>
      <w:r w:rsidRPr="00FF65B2">
        <w:rPr>
          <w:sz w:val="22"/>
          <w:szCs w:val="24"/>
        </w:rPr>
        <w:t>‘</w:t>
      </w:r>
      <w:r w:rsidR="00F64233" w:rsidRPr="00FF65B2">
        <w:rPr>
          <w:sz w:val="22"/>
          <w:szCs w:val="24"/>
        </w:rPr>
        <w:t>I understand from my client</w:t>
      </w:r>
      <w:r w:rsidRPr="00FF65B2">
        <w:rPr>
          <w:sz w:val="22"/>
          <w:szCs w:val="24"/>
        </w:rPr>
        <w:t xml:space="preserve"> that it intends sell</w:t>
      </w:r>
      <w:r w:rsidR="00F64233" w:rsidRPr="00FF65B2">
        <w:rPr>
          <w:sz w:val="22"/>
          <w:szCs w:val="24"/>
        </w:rPr>
        <w:t>ing a number of properties as soon as possible to assist you with your interest issue with the German tax authorities, and our client is fairly confident of achieving this by 1 March 2021, based on feedback from agents.</w:t>
      </w:r>
      <w:r w:rsidRPr="00FF65B2">
        <w:rPr>
          <w:sz w:val="22"/>
          <w:szCs w:val="24"/>
        </w:rPr>
        <w:t>’</w:t>
      </w:r>
    </w:p>
    <w:p w14:paraId="49BF7522" w14:textId="2559D394" w:rsidR="00FF65B2" w:rsidRDefault="00F64233" w:rsidP="00FF65B2">
      <w:pPr>
        <w:pStyle w:val="ListParagraph"/>
        <w:numPr>
          <w:ilvl w:val="0"/>
          <w:numId w:val="46"/>
        </w:numPr>
        <w:spacing w:line="360" w:lineRule="auto"/>
        <w:ind w:left="0" w:firstLine="0"/>
        <w:jc w:val="both"/>
        <w:rPr>
          <w:szCs w:val="24"/>
        </w:rPr>
      </w:pPr>
      <w:r w:rsidRPr="006E7810">
        <w:rPr>
          <w:szCs w:val="24"/>
        </w:rPr>
        <w:t xml:space="preserve">In </w:t>
      </w:r>
      <w:r w:rsidR="00622059">
        <w:rPr>
          <w:szCs w:val="24"/>
        </w:rPr>
        <w:t>the</w:t>
      </w:r>
      <w:r w:rsidR="00622059" w:rsidRPr="006E7810">
        <w:rPr>
          <w:szCs w:val="24"/>
        </w:rPr>
        <w:t xml:space="preserve"> </w:t>
      </w:r>
      <w:r w:rsidRPr="006E7810">
        <w:rPr>
          <w:szCs w:val="24"/>
        </w:rPr>
        <w:t xml:space="preserve">email from Mr Coetzee dated 24 November 2020 he recorded that </w:t>
      </w:r>
    </w:p>
    <w:p w14:paraId="063282D8" w14:textId="453CD4E0" w:rsidR="004B0B95" w:rsidRPr="006E7810" w:rsidRDefault="00F64233" w:rsidP="00FF65B2">
      <w:pPr>
        <w:pStyle w:val="ListParagraph"/>
        <w:spacing w:line="360" w:lineRule="auto"/>
        <w:jc w:val="both"/>
        <w:rPr>
          <w:szCs w:val="24"/>
        </w:rPr>
      </w:pPr>
      <w:r w:rsidRPr="00FF65B2">
        <w:rPr>
          <w:sz w:val="22"/>
          <w:szCs w:val="24"/>
        </w:rPr>
        <w:t xml:space="preserve">‘. . . It is going to be necessary for </w:t>
      </w:r>
      <w:proofErr w:type="spellStart"/>
      <w:r w:rsidRPr="00FF65B2">
        <w:rPr>
          <w:sz w:val="22"/>
          <w:szCs w:val="24"/>
        </w:rPr>
        <w:t>Skema</w:t>
      </w:r>
      <w:proofErr w:type="spellEnd"/>
      <w:r w:rsidRPr="00FF65B2">
        <w:rPr>
          <w:sz w:val="22"/>
          <w:szCs w:val="24"/>
        </w:rPr>
        <w:t xml:space="preserve"> to sell more properties to repay the loans plus capitalised interest. </w:t>
      </w:r>
      <w:proofErr w:type="spellStart"/>
      <w:r w:rsidRPr="00FF65B2">
        <w:rPr>
          <w:sz w:val="22"/>
          <w:szCs w:val="24"/>
        </w:rPr>
        <w:t>Skema</w:t>
      </w:r>
      <w:proofErr w:type="spellEnd"/>
      <w:r w:rsidRPr="00FF65B2">
        <w:rPr>
          <w:sz w:val="22"/>
          <w:szCs w:val="24"/>
        </w:rPr>
        <w:t xml:space="preserve"> is however not precluded from selling its properties at a predetermined price.</w:t>
      </w:r>
      <w:r w:rsidR="004B0B95" w:rsidRPr="00FF65B2">
        <w:rPr>
          <w:sz w:val="22"/>
          <w:szCs w:val="24"/>
        </w:rPr>
        <w:t xml:space="preserve"> . . Finally, I am instructed that you advised Fred that you are prepared to reduce the interest rate on the loans if he agreed not to sell the properties. However, as pointed out to you, it would not be possible for the company to repay the loans plus capitalised interest unless it sells the properties so your proposal would not make any sense.</w:t>
      </w:r>
      <w:r w:rsidR="006E7810" w:rsidRPr="00FF65B2">
        <w:rPr>
          <w:sz w:val="22"/>
          <w:szCs w:val="24"/>
        </w:rPr>
        <w:t>’</w:t>
      </w:r>
    </w:p>
    <w:p w14:paraId="46C50521" w14:textId="0216A9F7" w:rsidR="00F85D7C" w:rsidRDefault="004B0B95" w:rsidP="00FF65B2">
      <w:pPr>
        <w:pStyle w:val="ListParagraph"/>
        <w:numPr>
          <w:ilvl w:val="0"/>
          <w:numId w:val="46"/>
        </w:numPr>
        <w:spacing w:line="360" w:lineRule="auto"/>
        <w:ind w:left="0" w:firstLine="0"/>
        <w:jc w:val="both"/>
        <w:rPr>
          <w:szCs w:val="24"/>
        </w:rPr>
      </w:pPr>
      <w:r w:rsidRPr="006E7810">
        <w:rPr>
          <w:szCs w:val="24"/>
        </w:rPr>
        <w:t xml:space="preserve">In </w:t>
      </w:r>
      <w:r w:rsidR="00622059">
        <w:rPr>
          <w:szCs w:val="24"/>
        </w:rPr>
        <w:t>the</w:t>
      </w:r>
      <w:r w:rsidR="00622059" w:rsidRPr="006E7810">
        <w:rPr>
          <w:szCs w:val="24"/>
        </w:rPr>
        <w:t xml:space="preserve"> </w:t>
      </w:r>
      <w:r w:rsidRPr="006E7810">
        <w:rPr>
          <w:szCs w:val="24"/>
        </w:rPr>
        <w:t xml:space="preserve">email of 8 January 2021 </w:t>
      </w:r>
      <w:r w:rsidR="000C3635">
        <w:rPr>
          <w:szCs w:val="24"/>
        </w:rPr>
        <w:t xml:space="preserve">addressed </w:t>
      </w:r>
      <w:r w:rsidRPr="006E7810">
        <w:rPr>
          <w:szCs w:val="24"/>
        </w:rPr>
        <w:t xml:space="preserve">to the </w:t>
      </w:r>
      <w:r w:rsidR="006E7810" w:rsidRPr="006E7810">
        <w:rPr>
          <w:szCs w:val="24"/>
        </w:rPr>
        <w:t xml:space="preserve">second </w:t>
      </w:r>
      <w:r w:rsidRPr="006E7810">
        <w:rPr>
          <w:szCs w:val="24"/>
        </w:rPr>
        <w:t xml:space="preserve">appellant the respondent stated that in 2015 he had paid R4 560 000 for portion 14 and that he was </w:t>
      </w:r>
      <w:r w:rsidR="006E7810" w:rsidRPr="006E7810">
        <w:rPr>
          <w:szCs w:val="24"/>
        </w:rPr>
        <w:t xml:space="preserve">very unhappy </w:t>
      </w:r>
    </w:p>
    <w:p w14:paraId="385A493A" w14:textId="08C9F4E7" w:rsidR="006E7810" w:rsidRPr="006E7810" w:rsidRDefault="004B0B95" w:rsidP="00F85D7C">
      <w:pPr>
        <w:pStyle w:val="ListParagraph"/>
        <w:spacing w:line="360" w:lineRule="auto"/>
        <w:jc w:val="both"/>
        <w:rPr>
          <w:szCs w:val="24"/>
        </w:rPr>
      </w:pPr>
      <w:r w:rsidRPr="00F85D7C">
        <w:rPr>
          <w:sz w:val="22"/>
          <w:szCs w:val="24"/>
        </w:rPr>
        <w:t>‘</w:t>
      </w:r>
      <w:proofErr w:type="gramStart"/>
      <w:r w:rsidRPr="00F85D7C">
        <w:rPr>
          <w:sz w:val="22"/>
          <w:szCs w:val="24"/>
        </w:rPr>
        <w:t>with</w:t>
      </w:r>
      <w:proofErr w:type="gramEnd"/>
      <w:r w:rsidRPr="00F85D7C">
        <w:rPr>
          <w:sz w:val="22"/>
          <w:szCs w:val="24"/>
        </w:rPr>
        <w:t xml:space="preserve"> the current “Black Friday” deal indicating sites for sale at 2.000.000 ZAR (</w:t>
      </w:r>
      <w:proofErr w:type="spellStart"/>
      <w:r w:rsidRPr="00F85D7C">
        <w:rPr>
          <w:sz w:val="22"/>
          <w:szCs w:val="24"/>
        </w:rPr>
        <w:t>excl</w:t>
      </w:r>
      <w:proofErr w:type="spellEnd"/>
      <w:r w:rsidRPr="00F85D7C">
        <w:rPr>
          <w:sz w:val="22"/>
          <w:szCs w:val="24"/>
        </w:rPr>
        <w:t xml:space="preserve"> VAT) each. This clearly demonstrates that we paid far too much for our site and that now a very different customer profile is being targeted too.’</w:t>
      </w:r>
    </w:p>
    <w:p w14:paraId="6CB95DFF" w14:textId="67B43A99" w:rsidR="00F306FF" w:rsidRPr="006E7810" w:rsidRDefault="004B0B95" w:rsidP="00FF65B2">
      <w:pPr>
        <w:pStyle w:val="ListParagraph"/>
        <w:numPr>
          <w:ilvl w:val="0"/>
          <w:numId w:val="46"/>
        </w:numPr>
        <w:spacing w:line="360" w:lineRule="auto"/>
        <w:ind w:left="0" w:firstLine="0"/>
        <w:jc w:val="both"/>
        <w:rPr>
          <w:szCs w:val="24"/>
        </w:rPr>
      </w:pPr>
      <w:r w:rsidRPr="006E7810">
        <w:rPr>
          <w:szCs w:val="24"/>
        </w:rPr>
        <w:t>Finally reliance was placed on a draft order which</w:t>
      </w:r>
      <w:r w:rsidR="00C20450">
        <w:rPr>
          <w:szCs w:val="24"/>
        </w:rPr>
        <w:t xml:space="preserve"> the respondent had proposed to resolve </w:t>
      </w:r>
      <w:r w:rsidRPr="006E7810">
        <w:rPr>
          <w:szCs w:val="24"/>
        </w:rPr>
        <w:t>the counter application.</w:t>
      </w:r>
      <w:r w:rsidR="00F64233" w:rsidRPr="006E7810">
        <w:rPr>
          <w:szCs w:val="24"/>
        </w:rPr>
        <w:t xml:space="preserve">   </w:t>
      </w:r>
    </w:p>
    <w:p w14:paraId="5968DC3B" w14:textId="77777777" w:rsidR="000E0DB1" w:rsidRPr="000C3635" w:rsidRDefault="000E0DB1" w:rsidP="00BB515B">
      <w:pPr>
        <w:spacing w:line="360" w:lineRule="auto"/>
        <w:jc w:val="both"/>
        <w:rPr>
          <w:szCs w:val="24"/>
        </w:rPr>
      </w:pPr>
    </w:p>
    <w:p w14:paraId="27675A5C" w14:textId="77777777" w:rsidR="000C3635" w:rsidRDefault="006E7810" w:rsidP="00BB515B">
      <w:pPr>
        <w:pStyle w:val="ListParagraph"/>
        <w:numPr>
          <w:ilvl w:val="0"/>
          <w:numId w:val="1"/>
        </w:numPr>
        <w:spacing w:line="360" w:lineRule="auto"/>
        <w:jc w:val="both"/>
        <w:rPr>
          <w:szCs w:val="24"/>
        </w:rPr>
      </w:pPr>
      <w:r w:rsidRPr="00735261">
        <w:rPr>
          <w:szCs w:val="24"/>
        </w:rPr>
        <w:t>The aforesaid portions quoted from email correspondence does not establish a frustration of sales. The respondent was unhappy about the prices charged</w:t>
      </w:r>
      <w:r w:rsidR="000C3635">
        <w:rPr>
          <w:szCs w:val="24"/>
        </w:rPr>
        <w:t xml:space="preserve"> for the properties,</w:t>
      </w:r>
      <w:r w:rsidRPr="00735261">
        <w:rPr>
          <w:szCs w:val="24"/>
        </w:rPr>
        <w:t xml:space="preserve"> but it did not go beyond that. </w:t>
      </w:r>
    </w:p>
    <w:p w14:paraId="49E17048" w14:textId="77777777" w:rsidR="000C3635" w:rsidRDefault="000C3635" w:rsidP="00BB515B">
      <w:pPr>
        <w:pStyle w:val="ListParagraph"/>
        <w:spacing w:line="360" w:lineRule="auto"/>
        <w:ind w:left="0"/>
        <w:jc w:val="both"/>
        <w:rPr>
          <w:szCs w:val="24"/>
        </w:rPr>
      </w:pPr>
    </w:p>
    <w:p w14:paraId="34D0BD31" w14:textId="65260D6B" w:rsidR="00F306FF" w:rsidRPr="00735261" w:rsidRDefault="006E7810" w:rsidP="00BB515B">
      <w:pPr>
        <w:pStyle w:val="ListParagraph"/>
        <w:numPr>
          <w:ilvl w:val="0"/>
          <w:numId w:val="1"/>
        </w:numPr>
        <w:spacing w:line="360" w:lineRule="auto"/>
        <w:jc w:val="both"/>
        <w:rPr>
          <w:szCs w:val="24"/>
        </w:rPr>
      </w:pPr>
      <w:r w:rsidRPr="00735261">
        <w:rPr>
          <w:szCs w:val="24"/>
        </w:rPr>
        <w:t xml:space="preserve">As regards the </w:t>
      </w:r>
      <w:r w:rsidR="00F306FF" w:rsidRPr="00735261">
        <w:rPr>
          <w:szCs w:val="24"/>
        </w:rPr>
        <w:t>respondent</w:t>
      </w:r>
      <w:r w:rsidRPr="00735261">
        <w:rPr>
          <w:szCs w:val="24"/>
        </w:rPr>
        <w:t>’s</w:t>
      </w:r>
      <w:r w:rsidR="00F306FF" w:rsidRPr="00735261">
        <w:rPr>
          <w:szCs w:val="24"/>
        </w:rPr>
        <w:t xml:space="preserve"> proposed alternative draft order to resolve the counter applicatio</w:t>
      </w:r>
      <w:r w:rsidR="000C3635">
        <w:rPr>
          <w:szCs w:val="24"/>
        </w:rPr>
        <w:t>n, t</w:t>
      </w:r>
      <w:r w:rsidR="00F306FF" w:rsidRPr="00735261">
        <w:rPr>
          <w:szCs w:val="24"/>
        </w:rPr>
        <w:t xml:space="preserve">he draft order annexed to </w:t>
      </w:r>
      <w:r w:rsidR="00620F60">
        <w:rPr>
          <w:szCs w:val="24"/>
        </w:rPr>
        <w:t>his</w:t>
      </w:r>
      <w:r w:rsidR="00620F60" w:rsidRPr="00735261">
        <w:rPr>
          <w:szCs w:val="24"/>
        </w:rPr>
        <w:t xml:space="preserve"> </w:t>
      </w:r>
      <w:r w:rsidR="00F306FF" w:rsidRPr="00735261">
        <w:rPr>
          <w:szCs w:val="24"/>
        </w:rPr>
        <w:t xml:space="preserve">replying affidavit was not annexed as a concession of the relief claimed by the appellants in their counter application. Indeed the respondent in the replying affidavit expressly records in regard to </w:t>
      </w:r>
      <w:r w:rsidR="000C3635">
        <w:rPr>
          <w:szCs w:val="24"/>
        </w:rPr>
        <w:t xml:space="preserve">the </w:t>
      </w:r>
      <w:r w:rsidR="00F306FF" w:rsidRPr="00735261">
        <w:rPr>
          <w:szCs w:val="24"/>
        </w:rPr>
        <w:t>draf</w:t>
      </w:r>
      <w:r w:rsidR="00C20450">
        <w:rPr>
          <w:szCs w:val="24"/>
        </w:rPr>
        <w:t xml:space="preserve">t order </w:t>
      </w:r>
      <w:r w:rsidR="000C3635">
        <w:rPr>
          <w:szCs w:val="24"/>
        </w:rPr>
        <w:t xml:space="preserve">proposed by him </w:t>
      </w:r>
      <w:r w:rsidR="00F306FF" w:rsidRPr="00735261">
        <w:rPr>
          <w:szCs w:val="24"/>
        </w:rPr>
        <w:t>that:</w:t>
      </w:r>
    </w:p>
    <w:p w14:paraId="69636CF3" w14:textId="329C36BC" w:rsidR="00735261" w:rsidRDefault="00F306FF" w:rsidP="00BB515B">
      <w:pPr>
        <w:pStyle w:val="ListParagraph"/>
        <w:spacing w:line="360" w:lineRule="auto"/>
        <w:ind w:left="0"/>
        <w:jc w:val="both"/>
        <w:rPr>
          <w:sz w:val="22"/>
          <w:szCs w:val="22"/>
        </w:rPr>
      </w:pPr>
      <w:r w:rsidRPr="00735261">
        <w:rPr>
          <w:sz w:val="22"/>
          <w:szCs w:val="22"/>
        </w:rPr>
        <w:lastRenderedPageBreak/>
        <w:t>‘My consent to the grant of the abovementioned Draft Order and the terms of the Draft Order are not to be construed as an admission by me of the Respondent</w:t>
      </w:r>
      <w:r w:rsidR="007F0F63" w:rsidRPr="00735261">
        <w:rPr>
          <w:sz w:val="22"/>
          <w:szCs w:val="22"/>
        </w:rPr>
        <w:t xml:space="preserve">s’ </w:t>
      </w:r>
      <w:r w:rsidR="00816B1F">
        <w:rPr>
          <w:sz w:val="22"/>
          <w:szCs w:val="22"/>
        </w:rPr>
        <w:t>[</w:t>
      </w:r>
      <w:r w:rsidR="008F5948" w:rsidRPr="00735261">
        <w:rPr>
          <w:sz w:val="22"/>
          <w:szCs w:val="22"/>
        </w:rPr>
        <w:t xml:space="preserve">that is, </w:t>
      </w:r>
      <w:r w:rsidR="007F0F63" w:rsidRPr="00735261">
        <w:rPr>
          <w:sz w:val="22"/>
          <w:szCs w:val="22"/>
        </w:rPr>
        <w:t>the appellants</w:t>
      </w:r>
      <w:r w:rsidR="00C20450">
        <w:rPr>
          <w:sz w:val="22"/>
          <w:szCs w:val="22"/>
        </w:rPr>
        <w:t xml:space="preserve"> in the appeal</w:t>
      </w:r>
      <w:r w:rsidR="00816B1F">
        <w:rPr>
          <w:sz w:val="22"/>
          <w:szCs w:val="22"/>
        </w:rPr>
        <w:t>]</w:t>
      </w:r>
      <w:r w:rsidR="00816B1F" w:rsidRPr="00735261">
        <w:rPr>
          <w:sz w:val="22"/>
          <w:szCs w:val="22"/>
        </w:rPr>
        <w:t xml:space="preserve"> </w:t>
      </w:r>
      <w:r w:rsidR="007F0F63" w:rsidRPr="00735261">
        <w:rPr>
          <w:sz w:val="22"/>
          <w:szCs w:val="22"/>
        </w:rPr>
        <w:t>interpretation of the agreements and the mortgage bond</w:t>
      </w:r>
      <w:r w:rsidR="00735261">
        <w:rPr>
          <w:sz w:val="22"/>
          <w:szCs w:val="22"/>
        </w:rPr>
        <w:t>.</w:t>
      </w:r>
      <w:r w:rsidR="007F0F63" w:rsidRPr="00735261">
        <w:rPr>
          <w:sz w:val="22"/>
          <w:szCs w:val="22"/>
        </w:rPr>
        <w:t>’</w:t>
      </w:r>
    </w:p>
    <w:p w14:paraId="7DFCC7D3" w14:textId="1D8C5FFC" w:rsidR="00F029E2" w:rsidRPr="00816B1F" w:rsidRDefault="00735261" w:rsidP="00BB515B">
      <w:pPr>
        <w:pStyle w:val="ListParagraph"/>
        <w:spacing w:line="360" w:lineRule="auto"/>
        <w:ind w:left="0"/>
        <w:jc w:val="both"/>
        <w:rPr>
          <w:szCs w:val="24"/>
        </w:rPr>
      </w:pPr>
      <w:r w:rsidRPr="00816B1F">
        <w:rPr>
          <w:szCs w:val="24"/>
        </w:rPr>
        <w:t xml:space="preserve">The respondent </w:t>
      </w:r>
      <w:r w:rsidR="007F0F63" w:rsidRPr="00816B1F">
        <w:rPr>
          <w:szCs w:val="24"/>
        </w:rPr>
        <w:t>prayed that no cost order should be made in respect of the appellants’ counter application</w:t>
      </w:r>
      <w:r w:rsidRPr="00816B1F">
        <w:rPr>
          <w:szCs w:val="24"/>
        </w:rPr>
        <w:t xml:space="preserve"> if his proposal was to be adopted</w:t>
      </w:r>
      <w:r w:rsidR="007F0F63" w:rsidRPr="00816B1F">
        <w:rPr>
          <w:szCs w:val="24"/>
        </w:rPr>
        <w:t>.</w:t>
      </w:r>
    </w:p>
    <w:p w14:paraId="1DFB6C6C" w14:textId="77777777" w:rsidR="008F5948" w:rsidRDefault="008F5948" w:rsidP="00BB515B">
      <w:pPr>
        <w:pStyle w:val="ListParagraph"/>
        <w:spacing w:line="360" w:lineRule="auto"/>
        <w:ind w:left="0"/>
        <w:jc w:val="both"/>
        <w:rPr>
          <w:szCs w:val="24"/>
        </w:rPr>
      </w:pPr>
    </w:p>
    <w:p w14:paraId="15E91DA5" w14:textId="5F7C793E" w:rsidR="000C3635" w:rsidRDefault="00C20450" w:rsidP="00BB515B">
      <w:pPr>
        <w:pStyle w:val="ListParagraph"/>
        <w:numPr>
          <w:ilvl w:val="0"/>
          <w:numId w:val="1"/>
        </w:numPr>
        <w:spacing w:line="360" w:lineRule="auto"/>
        <w:jc w:val="both"/>
        <w:rPr>
          <w:szCs w:val="24"/>
        </w:rPr>
      </w:pPr>
      <w:r>
        <w:rPr>
          <w:szCs w:val="24"/>
        </w:rPr>
        <w:t>As already pointed out earlier, n</w:t>
      </w:r>
      <w:r w:rsidR="007F0F63">
        <w:rPr>
          <w:szCs w:val="24"/>
        </w:rPr>
        <w:t>o order was made by the court a quo in respect of the counter application</w:t>
      </w:r>
      <w:r w:rsidR="00735261">
        <w:rPr>
          <w:szCs w:val="24"/>
        </w:rPr>
        <w:t>, whether as claimed by the appellants, or suggested by the respondent as a possible compromise</w:t>
      </w:r>
      <w:r w:rsidR="007F0F63">
        <w:rPr>
          <w:szCs w:val="24"/>
        </w:rPr>
        <w:t>.</w:t>
      </w:r>
      <w:r w:rsidR="00735261">
        <w:rPr>
          <w:szCs w:val="24"/>
        </w:rPr>
        <w:t xml:space="preserve"> The appellants however, </w:t>
      </w:r>
      <w:r w:rsidR="008F5948">
        <w:rPr>
          <w:szCs w:val="24"/>
        </w:rPr>
        <w:t xml:space="preserve">as part of the relief on appeal, </w:t>
      </w:r>
      <w:r w:rsidR="00735261">
        <w:rPr>
          <w:szCs w:val="24"/>
        </w:rPr>
        <w:t xml:space="preserve">pray for </w:t>
      </w:r>
      <w:r w:rsidR="008F5948">
        <w:rPr>
          <w:szCs w:val="24"/>
        </w:rPr>
        <w:t>an order ‘granting the counter-application . . .</w:t>
      </w:r>
      <w:r w:rsidR="00412F4A">
        <w:rPr>
          <w:szCs w:val="24"/>
        </w:rPr>
        <w:t xml:space="preserve"> </w:t>
      </w:r>
      <w:r w:rsidR="008F5948">
        <w:rPr>
          <w:szCs w:val="24"/>
        </w:rPr>
        <w:t xml:space="preserve">with costs.’ They have not sought an order in respect of the order proposed </w:t>
      </w:r>
      <w:r w:rsidR="000C3635">
        <w:rPr>
          <w:szCs w:val="24"/>
        </w:rPr>
        <w:t xml:space="preserve">as a compromise </w:t>
      </w:r>
      <w:r w:rsidR="008F5948">
        <w:rPr>
          <w:szCs w:val="24"/>
        </w:rPr>
        <w:t>of the counter application by the respondent</w:t>
      </w:r>
      <w:r w:rsidR="000C3635">
        <w:rPr>
          <w:szCs w:val="24"/>
        </w:rPr>
        <w:t>,</w:t>
      </w:r>
      <w:r w:rsidR="008F5948">
        <w:rPr>
          <w:szCs w:val="24"/>
        </w:rPr>
        <w:t xml:space="preserve"> with</w:t>
      </w:r>
      <w:r w:rsidR="000C3635">
        <w:rPr>
          <w:szCs w:val="24"/>
        </w:rPr>
        <w:t xml:space="preserve"> no order as to costs.</w:t>
      </w:r>
      <w:r w:rsidR="008F5948">
        <w:rPr>
          <w:szCs w:val="24"/>
        </w:rPr>
        <w:t xml:space="preserve"> The issue </w:t>
      </w:r>
      <w:r w:rsidR="00735261">
        <w:rPr>
          <w:szCs w:val="24"/>
        </w:rPr>
        <w:t xml:space="preserve">for determination in the appeal before us </w:t>
      </w:r>
      <w:r w:rsidR="008F5948">
        <w:rPr>
          <w:szCs w:val="24"/>
        </w:rPr>
        <w:t>is accordingly purely whether, as a matter of law, the appellants ha</w:t>
      </w:r>
      <w:r w:rsidR="000C3635">
        <w:rPr>
          <w:szCs w:val="24"/>
        </w:rPr>
        <w:t>d</w:t>
      </w:r>
      <w:r w:rsidR="008F5948">
        <w:rPr>
          <w:szCs w:val="24"/>
        </w:rPr>
        <w:t xml:space="preserve"> established that they </w:t>
      </w:r>
      <w:r w:rsidR="00735261">
        <w:rPr>
          <w:szCs w:val="24"/>
        </w:rPr>
        <w:t xml:space="preserve">were </w:t>
      </w:r>
      <w:r w:rsidR="008F5948">
        <w:rPr>
          <w:szCs w:val="24"/>
        </w:rPr>
        <w:t>entitled to an order in terms of the relief claimed in their counter application.</w:t>
      </w:r>
    </w:p>
    <w:p w14:paraId="3FC9A0A9" w14:textId="2B231238" w:rsidR="008F5948" w:rsidRPr="00735261" w:rsidRDefault="008F5948" w:rsidP="00BB515B">
      <w:pPr>
        <w:pStyle w:val="ListParagraph"/>
        <w:spacing w:line="360" w:lineRule="auto"/>
        <w:ind w:left="0"/>
        <w:jc w:val="both"/>
        <w:rPr>
          <w:szCs w:val="24"/>
        </w:rPr>
      </w:pPr>
      <w:r>
        <w:rPr>
          <w:szCs w:val="24"/>
        </w:rPr>
        <w:t xml:space="preserve">  </w:t>
      </w:r>
    </w:p>
    <w:p w14:paraId="352556AD" w14:textId="2DECAA0F" w:rsidR="008F5948" w:rsidRDefault="008F5948" w:rsidP="00BB515B">
      <w:pPr>
        <w:pStyle w:val="ListParagraph"/>
        <w:numPr>
          <w:ilvl w:val="0"/>
          <w:numId w:val="1"/>
        </w:numPr>
        <w:spacing w:line="360" w:lineRule="auto"/>
        <w:jc w:val="both"/>
        <w:rPr>
          <w:szCs w:val="24"/>
        </w:rPr>
      </w:pPr>
      <w:r w:rsidRPr="00611EE6">
        <w:rPr>
          <w:szCs w:val="24"/>
        </w:rPr>
        <w:t xml:space="preserve">The loan agreement did not contain any </w:t>
      </w:r>
      <w:r>
        <w:rPr>
          <w:szCs w:val="24"/>
        </w:rPr>
        <w:t>p</w:t>
      </w:r>
      <w:r w:rsidRPr="00611EE6">
        <w:rPr>
          <w:szCs w:val="24"/>
        </w:rPr>
        <w:t xml:space="preserve">rovision that the respondent had to agree on the price at which properties included in the bond could be sold. </w:t>
      </w:r>
      <w:r>
        <w:rPr>
          <w:szCs w:val="24"/>
        </w:rPr>
        <w:t xml:space="preserve">They could be sold by the first appellant in its discretion at whatever price. If the payment of </w:t>
      </w:r>
      <w:r w:rsidR="00B712BD">
        <w:rPr>
          <w:szCs w:val="24"/>
        </w:rPr>
        <w:t>€</w:t>
      </w:r>
      <w:r>
        <w:rPr>
          <w:szCs w:val="24"/>
        </w:rPr>
        <w:t xml:space="preserve">125 000 per sale required to be paid for the release of individual properties from the bond were not paid, the respondent </w:t>
      </w:r>
      <w:r w:rsidR="000C3635">
        <w:rPr>
          <w:szCs w:val="24"/>
        </w:rPr>
        <w:t xml:space="preserve">would not </w:t>
      </w:r>
      <w:r>
        <w:rPr>
          <w:szCs w:val="24"/>
        </w:rPr>
        <w:t xml:space="preserve">have been obliged to release the property from the bond, but that is a different issue. Indeed sales at a price of R2 </w:t>
      </w:r>
      <w:r w:rsidR="003F3A84">
        <w:rPr>
          <w:szCs w:val="24"/>
        </w:rPr>
        <w:t>million</w:t>
      </w:r>
      <w:r>
        <w:rPr>
          <w:szCs w:val="24"/>
        </w:rPr>
        <w:t xml:space="preserve"> per property would at the present exchange rate not result in sufficient gross, leav</w:t>
      </w:r>
      <w:r w:rsidR="000C3635">
        <w:rPr>
          <w:szCs w:val="24"/>
        </w:rPr>
        <w:t>e</w:t>
      </w:r>
      <w:r>
        <w:rPr>
          <w:szCs w:val="24"/>
        </w:rPr>
        <w:t xml:space="preserve"> aside nett, proceeds </w:t>
      </w:r>
      <w:r w:rsidR="000C3635">
        <w:rPr>
          <w:szCs w:val="24"/>
        </w:rPr>
        <w:t xml:space="preserve">being realized </w:t>
      </w:r>
      <w:r>
        <w:rPr>
          <w:szCs w:val="24"/>
        </w:rPr>
        <w:t xml:space="preserve">to cover a payment of </w:t>
      </w:r>
      <w:r w:rsidR="00B712BD">
        <w:rPr>
          <w:szCs w:val="24"/>
        </w:rPr>
        <w:t>€</w:t>
      </w:r>
      <w:r>
        <w:rPr>
          <w:szCs w:val="24"/>
        </w:rPr>
        <w:t>125 000 per property. Obviou</w:t>
      </w:r>
      <w:r w:rsidR="000C3635">
        <w:rPr>
          <w:szCs w:val="24"/>
        </w:rPr>
        <w:t xml:space="preserve">sly the position might </w:t>
      </w:r>
      <w:r>
        <w:rPr>
          <w:szCs w:val="24"/>
        </w:rPr>
        <w:t xml:space="preserve">change depending on the Rand/Euro exchange rate as it </w:t>
      </w:r>
      <w:r w:rsidR="000C3635">
        <w:rPr>
          <w:szCs w:val="24"/>
        </w:rPr>
        <w:t xml:space="preserve">has </w:t>
      </w:r>
      <w:r>
        <w:rPr>
          <w:szCs w:val="24"/>
        </w:rPr>
        <w:t xml:space="preserve">fluctuated from time to time. </w:t>
      </w:r>
    </w:p>
    <w:p w14:paraId="747AF82C" w14:textId="77777777" w:rsidR="008F5948" w:rsidRPr="00916B50" w:rsidRDefault="008F5948" w:rsidP="00BB515B">
      <w:pPr>
        <w:pStyle w:val="ListParagraph"/>
        <w:spacing w:line="360" w:lineRule="auto"/>
        <w:rPr>
          <w:szCs w:val="24"/>
        </w:rPr>
      </w:pPr>
    </w:p>
    <w:p w14:paraId="44D98AEE" w14:textId="7FDDA140" w:rsidR="004554EB" w:rsidRDefault="008F5948" w:rsidP="00BB515B">
      <w:pPr>
        <w:pStyle w:val="ListParagraph"/>
        <w:numPr>
          <w:ilvl w:val="0"/>
          <w:numId w:val="1"/>
        </w:numPr>
        <w:spacing w:line="360" w:lineRule="auto"/>
        <w:jc w:val="both"/>
        <w:rPr>
          <w:szCs w:val="24"/>
        </w:rPr>
      </w:pPr>
      <w:r>
        <w:rPr>
          <w:szCs w:val="24"/>
        </w:rPr>
        <w:t xml:space="preserve">Sales were not being frustrated, but the transfer of individual properties unless ‘Euro 125 000 of the nett proceeds of every sale </w:t>
      </w:r>
      <w:r w:rsidR="00E54951">
        <w:rPr>
          <w:szCs w:val="24"/>
        </w:rPr>
        <w:t xml:space="preserve">must </w:t>
      </w:r>
      <w:r>
        <w:rPr>
          <w:szCs w:val="24"/>
        </w:rPr>
        <w:t>be paid to the Lender</w:t>
      </w:r>
      <w:r w:rsidR="00E54951">
        <w:rPr>
          <w:szCs w:val="24"/>
        </w:rPr>
        <w:t xml:space="preserve"> [</w:t>
      </w:r>
      <w:proofErr w:type="spellStart"/>
      <w:r w:rsidR="00E54951">
        <w:rPr>
          <w:szCs w:val="24"/>
        </w:rPr>
        <w:t>ie</w:t>
      </w:r>
      <w:proofErr w:type="spellEnd"/>
      <w:r w:rsidR="00E54951">
        <w:rPr>
          <w:szCs w:val="24"/>
        </w:rPr>
        <w:t xml:space="preserve"> the respondent]</w:t>
      </w:r>
      <w:r>
        <w:rPr>
          <w:szCs w:val="24"/>
        </w:rPr>
        <w:t xml:space="preserve"> in return for the Lender</w:t>
      </w:r>
      <w:r w:rsidR="00E54951">
        <w:rPr>
          <w:szCs w:val="24"/>
        </w:rPr>
        <w:t xml:space="preserve"> [</w:t>
      </w:r>
      <w:proofErr w:type="spellStart"/>
      <w:r w:rsidR="00E54951">
        <w:rPr>
          <w:szCs w:val="24"/>
        </w:rPr>
        <w:t>ie</w:t>
      </w:r>
      <w:proofErr w:type="spellEnd"/>
      <w:r w:rsidR="00E54951">
        <w:rPr>
          <w:szCs w:val="24"/>
        </w:rPr>
        <w:t xml:space="preserve"> the respondent]</w:t>
      </w:r>
      <w:r>
        <w:rPr>
          <w:szCs w:val="24"/>
        </w:rPr>
        <w:t xml:space="preserve"> releasing the security on that </w:t>
      </w:r>
      <w:r w:rsidR="000C3635">
        <w:rPr>
          <w:szCs w:val="24"/>
        </w:rPr>
        <w:t xml:space="preserve">Property’, </w:t>
      </w:r>
      <w:r>
        <w:rPr>
          <w:szCs w:val="24"/>
        </w:rPr>
        <w:t>might have become a problem for the first appellant</w:t>
      </w:r>
      <w:r w:rsidR="00735261">
        <w:rPr>
          <w:szCs w:val="24"/>
        </w:rPr>
        <w:t xml:space="preserve"> if the properties were not released from the security afforded by the bond</w:t>
      </w:r>
      <w:r>
        <w:rPr>
          <w:szCs w:val="24"/>
        </w:rPr>
        <w:t xml:space="preserve">. But that </w:t>
      </w:r>
      <w:r w:rsidR="00735261">
        <w:rPr>
          <w:szCs w:val="24"/>
        </w:rPr>
        <w:t xml:space="preserve">would be as </w:t>
      </w:r>
      <w:r>
        <w:rPr>
          <w:szCs w:val="24"/>
        </w:rPr>
        <w:t xml:space="preserve">a result of the </w:t>
      </w:r>
      <w:r>
        <w:rPr>
          <w:szCs w:val="24"/>
        </w:rPr>
        <w:lastRenderedPageBreak/>
        <w:t>appellants having anticipated a more lucrative market for the properties</w:t>
      </w:r>
      <w:r w:rsidR="000C3635">
        <w:rPr>
          <w:szCs w:val="24"/>
        </w:rPr>
        <w:t>,</w:t>
      </w:r>
      <w:r w:rsidR="00735261">
        <w:rPr>
          <w:szCs w:val="24"/>
        </w:rPr>
        <w:t xml:space="preserve"> to leave </w:t>
      </w:r>
      <w:r w:rsidR="001C72F5">
        <w:rPr>
          <w:szCs w:val="24"/>
        </w:rPr>
        <w:t xml:space="preserve">sufficient </w:t>
      </w:r>
      <w:r w:rsidR="00735261">
        <w:rPr>
          <w:szCs w:val="24"/>
        </w:rPr>
        <w:t>net</w:t>
      </w:r>
      <w:r w:rsidR="00E54951">
        <w:rPr>
          <w:szCs w:val="24"/>
        </w:rPr>
        <w:t>t</w:t>
      </w:r>
      <w:r w:rsidR="00735261">
        <w:rPr>
          <w:szCs w:val="24"/>
        </w:rPr>
        <w:t xml:space="preserve"> proceeds </w:t>
      </w:r>
      <w:r w:rsidR="000C3635">
        <w:rPr>
          <w:szCs w:val="24"/>
        </w:rPr>
        <w:t xml:space="preserve">upon transfer </w:t>
      </w:r>
      <w:r w:rsidR="001C72F5">
        <w:rPr>
          <w:szCs w:val="24"/>
        </w:rPr>
        <w:t xml:space="preserve">of individual properties </w:t>
      </w:r>
      <w:r w:rsidR="00735261">
        <w:rPr>
          <w:szCs w:val="24"/>
        </w:rPr>
        <w:t xml:space="preserve">to cover </w:t>
      </w:r>
      <w:r w:rsidR="000C3635">
        <w:rPr>
          <w:szCs w:val="24"/>
        </w:rPr>
        <w:t xml:space="preserve">payments of </w:t>
      </w:r>
      <w:r w:rsidR="00B712BD">
        <w:rPr>
          <w:szCs w:val="24"/>
        </w:rPr>
        <w:t>€</w:t>
      </w:r>
      <w:r w:rsidR="00735261">
        <w:rPr>
          <w:szCs w:val="24"/>
        </w:rPr>
        <w:t>125 000 per property</w:t>
      </w:r>
      <w:r>
        <w:rPr>
          <w:szCs w:val="24"/>
        </w:rPr>
        <w:t xml:space="preserve">. What the appellants more correctly </w:t>
      </w:r>
      <w:r w:rsidR="00735261">
        <w:rPr>
          <w:szCs w:val="24"/>
        </w:rPr>
        <w:t xml:space="preserve">might possibly have wanted </w:t>
      </w:r>
      <w:r>
        <w:rPr>
          <w:szCs w:val="24"/>
        </w:rPr>
        <w:t>to achieve</w:t>
      </w:r>
      <w:r w:rsidR="001C72F5">
        <w:rPr>
          <w:szCs w:val="24"/>
        </w:rPr>
        <w:t>,</w:t>
      </w:r>
      <w:r>
        <w:rPr>
          <w:szCs w:val="24"/>
        </w:rPr>
        <w:t xml:space="preserve"> is not that sales would be permitted at R2 </w:t>
      </w:r>
      <w:r w:rsidR="00E54951">
        <w:rPr>
          <w:szCs w:val="24"/>
        </w:rPr>
        <w:t>million</w:t>
      </w:r>
      <w:r w:rsidR="001C72F5">
        <w:rPr>
          <w:szCs w:val="24"/>
        </w:rPr>
        <w:t xml:space="preserve"> (or a lesser amount as may be agreed)</w:t>
      </w:r>
      <w:r>
        <w:rPr>
          <w:szCs w:val="24"/>
        </w:rPr>
        <w:t>, but that the amount required to be paid to the respondent in respect of the transfer of individual properties</w:t>
      </w:r>
      <w:r w:rsidR="00735261">
        <w:rPr>
          <w:szCs w:val="24"/>
        </w:rPr>
        <w:t>,</w:t>
      </w:r>
      <w:r>
        <w:rPr>
          <w:szCs w:val="24"/>
        </w:rPr>
        <w:t xml:space="preserve"> for th</w:t>
      </w:r>
      <w:r w:rsidR="00735261">
        <w:rPr>
          <w:szCs w:val="24"/>
        </w:rPr>
        <w:t>os</w:t>
      </w:r>
      <w:r>
        <w:rPr>
          <w:szCs w:val="24"/>
        </w:rPr>
        <w:t xml:space="preserve">e properties to be released from the </w:t>
      </w:r>
      <w:r w:rsidR="001C72F5">
        <w:rPr>
          <w:szCs w:val="24"/>
        </w:rPr>
        <w:t>operation of the bond</w:t>
      </w:r>
      <w:r>
        <w:rPr>
          <w:szCs w:val="24"/>
        </w:rPr>
        <w:t>, be reduced to below</w:t>
      </w:r>
      <w:r w:rsidR="004554EB">
        <w:rPr>
          <w:szCs w:val="24"/>
        </w:rPr>
        <w:t xml:space="preserve"> </w:t>
      </w:r>
      <w:r w:rsidR="00B712BD">
        <w:rPr>
          <w:szCs w:val="24"/>
        </w:rPr>
        <w:t>€</w:t>
      </w:r>
      <w:r>
        <w:rPr>
          <w:szCs w:val="24"/>
        </w:rPr>
        <w:t>125 000</w:t>
      </w:r>
      <w:r w:rsidR="00735261">
        <w:rPr>
          <w:szCs w:val="24"/>
        </w:rPr>
        <w:t xml:space="preserve"> per property</w:t>
      </w:r>
      <w:r>
        <w:rPr>
          <w:szCs w:val="24"/>
        </w:rPr>
        <w:t xml:space="preserve">. </w:t>
      </w:r>
    </w:p>
    <w:p w14:paraId="5163EE19" w14:textId="77777777" w:rsidR="004554EB" w:rsidRPr="004554EB" w:rsidRDefault="004554EB" w:rsidP="00BB515B">
      <w:pPr>
        <w:pStyle w:val="ListParagraph"/>
        <w:spacing w:line="360" w:lineRule="auto"/>
        <w:rPr>
          <w:szCs w:val="24"/>
        </w:rPr>
      </w:pPr>
    </w:p>
    <w:p w14:paraId="0C659472" w14:textId="77777777" w:rsidR="00E54951" w:rsidRDefault="008F5948" w:rsidP="00BB515B">
      <w:pPr>
        <w:pStyle w:val="ListParagraph"/>
        <w:numPr>
          <w:ilvl w:val="0"/>
          <w:numId w:val="1"/>
        </w:numPr>
        <w:spacing w:line="360" w:lineRule="auto"/>
        <w:jc w:val="both"/>
        <w:rPr>
          <w:szCs w:val="24"/>
        </w:rPr>
      </w:pPr>
      <w:r>
        <w:rPr>
          <w:szCs w:val="24"/>
        </w:rPr>
        <w:t>That is however not what the counter application sought</w:t>
      </w:r>
      <w:r w:rsidR="001C72F5">
        <w:rPr>
          <w:szCs w:val="24"/>
        </w:rPr>
        <w:t xml:space="preserve"> to achieve</w:t>
      </w:r>
      <w:r>
        <w:rPr>
          <w:szCs w:val="24"/>
        </w:rPr>
        <w:t>. Indeed, paragraph [1</w:t>
      </w:r>
      <w:proofErr w:type="gramStart"/>
      <w:r>
        <w:rPr>
          <w:szCs w:val="24"/>
        </w:rPr>
        <w:t>][</w:t>
      </w:r>
      <w:proofErr w:type="gramEnd"/>
      <w:r>
        <w:rPr>
          <w:szCs w:val="24"/>
        </w:rPr>
        <w:t xml:space="preserve">b] of the counter application </w:t>
      </w:r>
      <w:r w:rsidR="001C72F5">
        <w:rPr>
          <w:szCs w:val="24"/>
        </w:rPr>
        <w:t xml:space="preserve">essentially </w:t>
      </w:r>
      <w:r>
        <w:rPr>
          <w:szCs w:val="24"/>
        </w:rPr>
        <w:t>repeated the terms of clause 6</w:t>
      </w:r>
      <w:r w:rsidR="00735261">
        <w:rPr>
          <w:szCs w:val="24"/>
        </w:rPr>
        <w:t>.2.2 of the loan agreement</w:t>
      </w:r>
      <w:r>
        <w:rPr>
          <w:szCs w:val="24"/>
        </w:rPr>
        <w:t xml:space="preserve">. And that is not surprising, because to compel the respondent, in the absence of the respondent </w:t>
      </w:r>
      <w:r w:rsidR="00735261">
        <w:rPr>
          <w:szCs w:val="24"/>
        </w:rPr>
        <w:t xml:space="preserve">voluntarily </w:t>
      </w:r>
      <w:r>
        <w:rPr>
          <w:szCs w:val="24"/>
        </w:rPr>
        <w:t xml:space="preserve">agreeing to accept a lesser payment in respect of the transfer of each property for the release of the security afforded by that property for the </w:t>
      </w:r>
      <w:r w:rsidR="00735261">
        <w:rPr>
          <w:szCs w:val="24"/>
        </w:rPr>
        <w:t xml:space="preserve">outstanding </w:t>
      </w:r>
      <w:r>
        <w:rPr>
          <w:szCs w:val="24"/>
        </w:rPr>
        <w:t>indebtedness of the appellants to the respondent, would amount to the court making an agreement for the parties and foisting it upon the parties</w:t>
      </w:r>
      <w:r w:rsidR="004554EB">
        <w:rPr>
          <w:szCs w:val="24"/>
        </w:rPr>
        <w:t xml:space="preserve">. That a court will not do. </w:t>
      </w:r>
      <w:r>
        <w:rPr>
          <w:szCs w:val="24"/>
        </w:rPr>
        <w:t xml:space="preserve"> </w:t>
      </w:r>
    </w:p>
    <w:p w14:paraId="0797984D" w14:textId="6EA6B473" w:rsidR="008F5948" w:rsidRPr="001C72F5" w:rsidRDefault="008F5948" w:rsidP="00E54951">
      <w:pPr>
        <w:pStyle w:val="ListParagraph"/>
        <w:spacing w:line="360" w:lineRule="auto"/>
        <w:ind w:left="0"/>
        <w:jc w:val="both"/>
        <w:rPr>
          <w:szCs w:val="24"/>
        </w:rPr>
      </w:pPr>
      <w:r>
        <w:rPr>
          <w:szCs w:val="24"/>
        </w:rPr>
        <w:t xml:space="preserve">   </w:t>
      </w:r>
    </w:p>
    <w:p w14:paraId="4DDCDBA2" w14:textId="52550429" w:rsidR="00F029E2" w:rsidRPr="00597328" w:rsidRDefault="00C636C2" w:rsidP="00BB515B">
      <w:pPr>
        <w:pStyle w:val="ListParagraph"/>
        <w:numPr>
          <w:ilvl w:val="0"/>
          <w:numId w:val="1"/>
        </w:numPr>
        <w:spacing w:line="360" w:lineRule="auto"/>
        <w:jc w:val="both"/>
        <w:rPr>
          <w:szCs w:val="24"/>
        </w:rPr>
      </w:pPr>
      <w:r>
        <w:rPr>
          <w:szCs w:val="24"/>
        </w:rPr>
        <w:t xml:space="preserve">The appellants had </w:t>
      </w:r>
      <w:r w:rsidR="00823E8A" w:rsidRPr="00B66DD6">
        <w:rPr>
          <w:szCs w:val="24"/>
        </w:rPr>
        <w:t>failed t</w:t>
      </w:r>
      <w:r w:rsidR="00735261">
        <w:rPr>
          <w:szCs w:val="24"/>
        </w:rPr>
        <w:t xml:space="preserve">o put up </w:t>
      </w:r>
      <w:r w:rsidR="00787B0C" w:rsidRPr="00B66DD6">
        <w:rPr>
          <w:szCs w:val="24"/>
        </w:rPr>
        <w:t>evidence that the r</w:t>
      </w:r>
      <w:r w:rsidR="00823E8A" w:rsidRPr="00B66DD6">
        <w:rPr>
          <w:szCs w:val="24"/>
        </w:rPr>
        <w:t>espondent</w:t>
      </w:r>
      <w:r w:rsidR="004554EB">
        <w:rPr>
          <w:szCs w:val="24"/>
        </w:rPr>
        <w:t xml:space="preserve"> had frustrated sales </w:t>
      </w:r>
      <w:r w:rsidR="008F5948">
        <w:rPr>
          <w:szCs w:val="24"/>
        </w:rPr>
        <w:t>which</w:t>
      </w:r>
      <w:r w:rsidR="00735261">
        <w:rPr>
          <w:szCs w:val="24"/>
        </w:rPr>
        <w:t>, in law,</w:t>
      </w:r>
      <w:r w:rsidR="008F5948">
        <w:rPr>
          <w:szCs w:val="24"/>
        </w:rPr>
        <w:t xml:space="preserve"> wo</w:t>
      </w:r>
      <w:r w:rsidR="00735261">
        <w:rPr>
          <w:szCs w:val="24"/>
        </w:rPr>
        <w:t>u</w:t>
      </w:r>
      <w:r w:rsidR="008F5948">
        <w:rPr>
          <w:szCs w:val="24"/>
        </w:rPr>
        <w:t xml:space="preserve">ld entitle them to </w:t>
      </w:r>
      <w:r w:rsidR="001C72F5">
        <w:rPr>
          <w:szCs w:val="24"/>
        </w:rPr>
        <w:t xml:space="preserve">any </w:t>
      </w:r>
      <w:r w:rsidR="008F5948">
        <w:rPr>
          <w:szCs w:val="24"/>
        </w:rPr>
        <w:t>relief in terms of the counter application</w:t>
      </w:r>
      <w:r w:rsidR="00823E8A" w:rsidRPr="00B66DD6">
        <w:rPr>
          <w:szCs w:val="24"/>
        </w:rPr>
        <w:t>.</w:t>
      </w:r>
      <w:r>
        <w:rPr>
          <w:szCs w:val="24"/>
        </w:rPr>
        <w:t xml:space="preserve"> The counter application</w:t>
      </w:r>
      <w:r w:rsidR="001C72F5">
        <w:rPr>
          <w:szCs w:val="24"/>
        </w:rPr>
        <w:t xml:space="preserve"> accordingly </w:t>
      </w:r>
      <w:r>
        <w:rPr>
          <w:szCs w:val="24"/>
        </w:rPr>
        <w:t>fell to be dismissed with cost</w:t>
      </w:r>
      <w:r w:rsidR="001C72F5">
        <w:rPr>
          <w:szCs w:val="24"/>
        </w:rPr>
        <w:t>s.</w:t>
      </w:r>
    </w:p>
    <w:p w14:paraId="2F4CCCB0" w14:textId="77777777" w:rsidR="00787B0C" w:rsidRDefault="00787B0C" w:rsidP="00BB515B">
      <w:pPr>
        <w:pStyle w:val="ListParagraph"/>
        <w:spacing w:line="360" w:lineRule="auto"/>
        <w:ind w:left="0"/>
        <w:jc w:val="both"/>
        <w:rPr>
          <w:szCs w:val="24"/>
        </w:rPr>
      </w:pPr>
    </w:p>
    <w:p w14:paraId="026F0275" w14:textId="77BDE8A4" w:rsidR="004554EB" w:rsidRPr="004554EB" w:rsidRDefault="004554EB" w:rsidP="00BB515B">
      <w:pPr>
        <w:pStyle w:val="ListParagraph"/>
        <w:spacing w:line="360" w:lineRule="auto"/>
        <w:ind w:left="0"/>
        <w:jc w:val="both"/>
        <w:rPr>
          <w:b/>
          <w:szCs w:val="24"/>
        </w:rPr>
      </w:pPr>
      <w:r w:rsidRPr="004554EB">
        <w:rPr>
          <w:b/>
          <w:szCs w:val="24"/>
        </w:rPr>
        <w:t>Order</w:t>
      </w:r>
    </w:p>
    <w:p w14:paraId="5F87E9A7" w14:textId="42E4869F" w:rsidR="00A52E59" w:rsidRPr="00A52E59" w:rsidRDefault="00787B0C" w:rsidP="00BB515B">
      <w:pPr>
        <w:pStyle w:val="ListParagraph"/>
        <w:numPr>
          <w:ilvl w:val="0"/>
          <w:numId w:val="1"/>
        </w:numPr>
        <w:spacing w:line="360" w:lineRule="auto"/>
        <w:jc w:val="both"/>
        <w:rPr>
          <w:szCs w:val="24"/>
        </w:rPr>
      </w:pPr>
      <w:r w:rsidRPr="00B66DD6">
        <w:rPr>
          <w:szCs w:val="24"/>
        </w:rPr>
        <w:t>T</w:t>
      </w:r>
      <w:r w:rsidR="00823E8A" w:rsidRPr="00B66DD6">
        <w:rPr>
          <w:szCs w:val="24"/>
        </w:rPr>
        <w:t xml:space="preserve">he </w:t>
      </w:r>
      <w:r w:rsidR="004554EB">
        <w:rPr>
          <w:szCs w:val="24"/>
        </w:rPr>
        <w:t>following order is granted:</w:t>
      </w:r>
    </w:p>
    <w:p w14:paraId="7C1B8667" w14:textId="77777777" w:rsidR="00A52E59" w:rsidRDefault="00A52E59" w:rsidP="00BB515B">
      <w:pPr>
        <w:pStyle w:val="ListParagraph"/>
        <w:numPr>
          <w:ilvl w:val="0"/>
          <w:numId w:val="48"/>
        </w:numPr>
        <w:spacing w:line="360" w:lineRule="auto"/>
        <w:jc w:val="both"/>
        <w:rPr>
          <w:szCs w:val="24"/>
        </w:rPr>
      </w:pPr>
      <w:r w:rsidRPr="00053AC5">
        <w:rPr>
          <w:szCs w:val="24"/>
        </w:rPr>
        <w:t>The appeal is dismissed with costs.</w:t>
      </w:r>
    </w:p>
    <w:p w14:paraId="47001C59" w14:textId="77777777" w:rsidR="00A52E59" w:rsidRDefault="00A52E59" w:rsidP="00BB515B">
      <w:pPr>
        <w:pStyle w:val="ListParagraph"/>
        <w:numPr>
          <w:ilvl w:val="0"/>
          <w:numId w:val="48"/>
        </w:numPr>
        <w:spacing w:line="360" w:lineRule="auto"/>
        <w:jc w:val="both"/>
        <w:rPr>
          <w:szCs w:val="24"/>
        </w:rPr>
      </w:pPr>
      <w:r>
        <w:rPr>
          <w:szCs w:val="24"/>
        </w:rPr>
        <w:t>The order of the court a quo is supplemented by the addition of the following order:</w:t>
      </w:r>
    </w:p>
    <w:p w14:paraId="6A4C50C8" w14:textId="77777777" w:rsidR="00A52E59" w:rsidRDefault="00A52E59" w:rsidP="00BB515B">
      <w:pPr>
        <w:pStyle w:val="ListParagraph"/>
        <w:spacing w:line="360" w:lineRule="auto"/>
        <w:jc w:val="both"/>
        <w:rPr>
          <w:szCs w:val="24"/>
        </w:rPr>
      </w:pPr>
      <w:r>
        <w:rPr>
          <w:szCs w:val="24"/>
        </w:rPr>
        <w:t>‘The counter application is dismissed with costs.’</w:t>
      </w:r>
    </w:p>
    <w:p w14:paraId="18FC7CB5" w14:textId="74BBB126" w:rsidR="00823E8A" w:rsidRPr="00B66DD6" w:rsidRDefault="00823E8A" w:rsidP="00BB515B">
      <w:pPr>
        <w:pStyle w:val="ListParagraph"/>
        <w:spacing w:line="360" w:lineRule="auto"/>
        <w:ind w:left="0"/>
        <w:jc w:val="both"/>
        <w:rPr>
          <w:szCs w:val="24"/>
        </w:rPr>
      </w:pPr>
      <w:r w:rsidRPr="00B66DD6">
        <w:rPr>
          <w:szCs w:val="24"/>
        </w:rPr>
        <w:t xml:space="preserve"> </w:t>
      </w:r>
    </w:p>
    <w:p w14:paraId="7E970A0F" w14:textId="597D0AC5" w:rsidR="005C06DB" w:rsidRPr="00B66DD6" w:rsidRDefault="005C06DB" w:rsidP="00BB515B">
      <w:pPr>
        <w:spacing w:line="360" w:lineRule="auto"/>
        <w:jc w:val="both"/>
      </w:pPr>
    </w:p>
    <w:p w14:paraId="74801D37" w14:textId="77777777" w:rsidR="009D0A13" w:rsidRPr="00B66DD6" w:rsidRDefault="009D0A13" w:rsidP="00BB515B">
      <w:pPr>
        <w:spacing w:line="360" w:lineRule="auto"/>
        <w:jc w:val="both"/>
      </w:pPr>
    </w:p>
    <w:p w14:paraId="7A3922DA" w14:textId="77777777" w:rsidR="00093030" w:rsidRPr="00B66DD6" w:rsidRDefault="00093030" w:rsidP="00BB515B">
      <w:pPr>
        <w:spacing w:line="360" w:lineRule="auto"/>
        <w:jc w:val="right"/>
      </w:pPr>
      <w:r w:rsidRPr="00B66DD6">
        <w:t>________________________</w:t>
      </w:r>
    </w:p>
    <w:p w14:paraId="21B1A163" w14:textId="4BBA8137" w:rsidR="00093030" w:rsidRPr="00B66DD6" w:rsidRDefault="00B20A11" w:rsidP="00E5729B">
      <w:pPr>
        <w:spacing w:line="360" w:lineRule="auto"/>
        <w:jc w:val="right"/>
      </w:pPr>
      <w:r w:rsidRPr="00B66DD6">
        <w:t>KOEN J</w:t>
      </w:r>
    </w:p>
    <w:p w14:paraId="36892636" w14:textId="7811415D" w:rsidR="00093030" w:rsidRPr="00B66DD6" w:rsidRDefault="00336B3B" w:rsidP="00BB515B">
      <w:pPr>
        <w:spacing w:line="360" w:lineRule="auto"/>
      </w:pPr>
      <w:r w:rsidRPr="00B66DD6">
        <w:lastRenderedPageBreak/>
        <w:t>APPEARANCES</w:t>
      </w:r>
      <w:r w:rsidR="00093030" w:rsidRPr="00B66DD6">
        <w:t xml:space="preserve"> </w:t>
      </w:r>
    </w:p>
    <w:p w14:paraId="468BB7E3" w14:textId="77777777" w:rsidR="00093030" w:rsidRPr="00B66DD6" w:rsidRDefault="00093030" w:rsidP="00BB515B">
      <w:pPr>
        <w:spacing w:line="360" w:lineRule="auto"/>
      </w:pPr>
    </w:p>
    <w:p w14:paraId="1F060F17" w14:textId="2A96D3D1" w:rsidR="00187D56" w:rsidRPr="00B66DD6" w:rsidRDefault="00093030" w:rsidP="00BB515B">
      <w:pPr>
        <w:spacing w:line="360" w:lineRule="auto"/>
      </w:pPr>
      <w:r w:rsidRPr="00B66DD6">
        <w:t xml:space="preserve">For </w:t>
      </w:r>
      <w:r w:rsidR="00AC0095" w:rsidRPr="00B66DD6">
        <w:t>the app</w:t>
      </w:r>
      <w:r w:rsidR="000B1C0E" w:rsidRPr="00B66DD6">
        <w:t>ellants</w:t>
      </w:r>
      <w:r w:rsidRPr="00B66DD6">
        <w:t>:</w:t>
      </w:r>
      <w:r w:rsidR="00187D56" w:rsidRPr="00B66DD6">
        <w:t xml:space="preserve"> </w:t>
      </w:r>
    </w:p>
    <w:p w14:paraId="791A6A3C" w14:textId="73E80785" w:rsidR="00093030" w:rsidRPr="00B66DD6" w:rsidRDefault="000B1C0E" w:rsidP="00BB515B">
      <w:pPr>
        <w:spacing w:line="360" w:lineRule="auto"/>
      </w:pPr>
      <w:r w:rsidRPr="00B66DD6">
        <w:t xml:space="preserve">Mr G </w:t>
      </w:r>
      <w:proofErr w:type="spellStart"/>
      <w:r w:rsidRPr="00B66DD6">
        <w:t>Harpur</w:t>
      </w:r>
      <w:proofErr w:type="spellEnd"/>
      <w:r w:rsidRPr="00B66DD6">
        <w:t xml:space="preserve"> SC</w:t>
      </w:r>
      <w:r w:rsidR="00093030" w:rsidRPr="00B66DD6">
        <w:tab/>
      </w:r>
      <w:r w:rsidR="00AC0095" w:rsidRPr="00B66DD6">
        <w:tab/>
      </w:r>
    </w:p>
    <w:p w14:paraId="127ED7FE" w14:textId="77777777" w:rsidR="00187D56" w:rsidRPr="00B66DD6" w:rsidRDefault="00093030" w:rsidP="00BB515B">
      <w:pPr>
        <w:spacing w:line="360" w:lineRule="auto"/>
        <w:rPr>
          <w:bCs/>
        </w:rPr>
      </w:pPr>
      <w:r w:rsidRPr="00B66DD6">
        <w:rPr>
          <w:bCs/>
        </w:rPr>
        <w:t xml:space="preserve">Instructed by: </w:t>
      </w:r>
    </w:p>
    <w:p w14:paraId="1F22F7D8" w14:textId="71EDC8AE" w:rsidR="00D1618F" w:rsidRPr="00B66DD6" w:rsidRDefault="000B1C0E" w:rsidP="00BB515B">
      <w:pPr>
        <w:spacing w:line="360" w:lineRule="auto"/>
        <w:rPr>
          <w:bCs/>
        </w:rPr>
      </w:pPr>
      <w:r w:rsidRPr="00B66DD6">
        <w:rPr>
          <w:bCs/>
        </w:rPr>
        <w:t>Shepstone &amp; Wylie</w:t>
      </w:r>
    </w:p>
    <w:p w14:paraId="38EA9A4F" w14:textId="651EB0D3" w:rsidR="00D1618F" w:rsidRPr="00B66DD6" w:rsidRDefault="00D1618F" w:rsidP="00BB515B">
      <w:pPr>
        <w:spacing w:line="360" w:lineRule="auto"/>
        <w:rPr>
          <w:bCs/>
        </w:rPr>
      </w:pPr>
      <w:r w:rsidRPr="00B66DD6">
        <w:rPr>
          <w:bCs/>
        </w:rPr>
        <w:t>Pietermaritzburg</w:t>
      </w:r>
    </w:p>
    <w:p w14:paraId="7518F096" w14:textId="576790D8" w:rsidR="00AC0095" w:rsidRPr="00B66DD6" w:rsidRDefault="00DC5C56" w:rsidP="00BB515B">
      <w:pPr>
        <w:spacing w:line="360" w:lineRule="auto"/>
        <w:rPr>
          <w:bCs/>
        </w:rPr>
      </w:pPr>
      <w:hyperlink r:id="rId9" w:history="1">
        <w:r w:rsidR="000B1C0E" w:rsidRPr="00B66DD6">
          <w:rPr>
            <w:rStyle w:val="Hyperlink"/>
            <w:bCs/>
          </w:rPr>
          <w:t>jmanuel@wylie.co.za</w:t>
        </w:r>
      </w:hyperlink>
    </w:p>
    <w:p w14:paraId="11CC7854" w14:textId="77777777" w:rsidR="000B1C0E" w:rsidRPr="00B66DD6" w:rsidRDefault="000B1C0E" w:rsidP="00BB515B">
      <w:pPr>
        <w:spacing w:line="360" w:lineRule="auto"/>
        <w:rPr>
          <w:bCs/>
        </w:rPr>
      </w:pPr>
    </w:p>
    <w:p w14:paraId="43408996" w14:textId="7269E19E" w:rsidR="00187D56" w:rsidRPr="00B66DD6" w:rsidRDefault="000B1C0E" w:rsidP="00BB515B">
      <w:pPr>
        <w:spacing w:line="360" w:lineRule="auto"/>
      </w:pPr>
      <w:r w:rsidRPr="00B66DD6">
        <w:t xml:space="preserve">For the </w:t>
      </w:r>
      <w:r w:rsidR="00093030" w:rsidRPr="00B66DD6">
        <w:t>respondent:</w:t>
      </w:r>
    </w:p>
    <w:p w14:paraId="1383BAC6" w14:textId="4D61E26F" w:rsidR="00093030" w:rsidRPr="00B66DD6" w:rsidRDefault="00187D56" w:rsidP="00BB515B">
      <w:pPr>
        <w:spacing w:line="360" w:lineRule="auto"/>
      </w:pPr>
      <w:r w:rsidRPr="00B66DD6">
        <w:t xml:space="preserve">Mr </w:t>
      </w:r>
      <w:r w:rsidR="000B1C0E" w:rsidRPr="00B66DD6">
        <w:t xml:space="preserve">G M E </w:t>
      </w:r>
      <w:proofErr w:type="spellStart"/>
      <w:r w:rsidR="000B1C0E" w:rsidRPr="00B66DD6">
        <w:t>Lotz</w:t>
      </w:r>
      <w:proofErr w:type="spellEnd"/>
      <w:r w:rsidR="000B1C0E" w:rsidRPr="00B66DD6">
        <w:t xml:space="preserve"> SC</w:t>
      </w:r>
      <w:r w:rsidR="00093030" w:rsidRPr="00B66DD6">
        <w:tab/>
      </w:r>
    </w:p>
    <w:p w14:paraId="3FA0FB25" w14:textId="5CF522AF" w:rsidR="002363F2" w:rsidRPr="00B66DD6" w:rsidRDefault="00093030" w:rsidP="00BB515B">
      <w:pPr>
        <w:spacing w:line="360" w:lineRule="auto"/>
        <w:rPr>
          <w:szCs w:val="24"/>
        </w:rPr>
      </w:pPr>
      <w:r w:rsidRPr="00B66DD6">
        <w:rPr>
          <w:bCs/>
        </w:rPr>
        <w:t>Instructed by:</w:t>
      </w:r>
      <w:r w:rsidR="00187D56" w:rsidRPr="00B66DD6">
        <w:rPr>
          <w:bCs/>
        </w:rPr>
        <w:tab/>
      </w:r>
      <w:r w:rsidR="00B20A11" w:rsidRPr="00B66DD6">
        <w:rPr>
          <w:bCs/>
        </w:rPr>
        <w:tab/>
      </w:r>
      <w:r w:rsidR="00AC0095" w:rsidRPr="00B66DD6">
        <w:rPr>
          <w:bCs/>
        </w:rPr>
        <w:tab/>
      </w:r>
    </w:p>
    <w:p w14:paraId="7CC0C0E6" w14:textId="4A38A53C" w:rsidR="000B1C0E" w:rsidRPr="00B66DD6" w:rsidRDefault="000B1C0E" w:rsidP="00BB515B">
      <w:pPr>
        <w:spacing w:line="360" w:lineRule="auto"/>
        <w:rPr>
          <w:szCs w:val="24"/>
        </w:rPr>
      </w:pPr>
      <w:r w:rsidRPr="00B66DD6">
        <w:rPr>
          <w:szCs w:val="24"/>
        </w:rPr>
        <w:t>Hay and Scott Attorneys</w:t>
      </w:r>
    </w:p>
    <w:p w14:paraId="3EC9A1AD" w14:textId="584C4389" w:rsidR="000B1C0E" w:rsidRPr="00B66DD6" w:rsidRDefault="00D1618F" w:rsidP="00BB515B">
      <w:pPr>
        <w:spacing w:line="360" w:lineRule="auto"/>
        <w:rPr>
          <w:szCs w:val="24"/>
        </w:rPr>
      </w:pPr>
      <w:r w:rsidRPr="00B66DD6">
        <w:rPr>
          <w:szCs w:val="24"/>
        </w:rPr>
        <w:t>Pietermaritzburg</w:t>
      </w:r>
    </w:p>
    <w:p w14:paraId="2A0BB0F7" w14:textId="7D90DDC3" w:rsidR="00187D56" w:rsidRDefault="00DC5C56" w:rsidP="00BB515B">
      <w:pPr>
        <w:spacing w:line="360" w:lineRule="auto"/>
        <w:rPr>
          <w:szCs w:val="24"/>
        </w:rPr>
      </w:pPr>
      <w:hyperlink r:id="rId10" w:history="1">
        <w:r w:rsidR="00833F51" w:rsidRPr="000C22E4">
          <w:rPr>
            <w:rStyle w:val="Hyperlink"/>
            <w:szCs w:val="24"/>
          </w:rPr>
          <w:t>paul@hayandscott.co.za</w:t>
        </w:r>
      </w:hyperlink>
    </w:p>
    <w:p w14:paraId="0381CE80" w14:textId="77777777" w:rsidR="00833F51" w:rsidRPr="00B66DD6" w:rsidRDefault="00833F51" w:rsidP="00BB515B">
      <w:pPr>
        <w:spacing w:line="360" w:lineRule="auto"/>
        <w:rPr>
          <w:szCs w:val="24"/>
        </w:rPr>
      </w:pPr>
    </w:p>
    <w:sectPr w:rsidR="00833F51" w:rsidRPr="00B66DD6" w:rsidSect="00591415">
      <w:headerReference w:type="even" r:id="rId11"/>
      <w:headerReference w:type="default" r:id="rId12"/>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0D3" w16cex:dateUtc="2021-05-06T10:34:00Z"/>
  <w16cex:commentExtensible w16cex:durableId="243F8576" w16cex:dateUtc="2021-05-07T07:23:00Z"/>
  <w16cex:commentExtensible w16cex:durableId="243F8E9B" w16cex:dateUtc="2021-05-07T08:02:00Z"/>
  <w16cex:commentExtensible w16cex:durableId="243FCBE4" w16cex:dateUtc="2021-05-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C343" w16cid:durableId="243E60D3"/>
  <w16cid:commentId w16cid:paraId="59477816" w16cid:durableId="243F8576"/>
  <w16cid:commentId w16cid:paraId="55E631E6" w16cid:durableId="243F8E9B"/>
  <w16cid:commentId w16cid:paraId="2668F859" w16cid:durableId="243FC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4AEF" w14:textId="77777777" w:rsidR="00DC5C56" w:rsidRDefault="00DC5C56">
      <w:r>
        <w:separator/>
      </w:r>
    </w:p>
  </w:endnote>
  <w:endnote w:type="continuationSeparator" w:id="0">
    <w:p w14:paraId="4B2B34E1" w14:textId="77777777" w:rsidR="00DC5C56" w:rsidRDefault="00DC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Vani">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04683" w14:textId="77777777" w:rsidR="00DC5C56" w:rsidRDefault="00DC5C56">
      <w:r>
        <w:separator/>
      </w:r>
    </w:p>
  </w:footnote>
  <w:footnote w:type="continuationSeparator" w:id="0">
    <w:p w14:paraId="0BC0BCB9" w14:textId="77777777" w:rsidR="00DC5C56" w:rsidRDefault="00DC5C56">
      <w:r>
        <w:continuationSeparator/>
      </w:r>
    </w:p>
  </w:footnote>
  <w:footnote w:id="1">
    <w:p w14:paraId="7CEA6C04" w14:textId="31DDB604" w:rsidR="00E54951" w:rsidRPr="008A7B57" w:rsidRDefault="00E54951" w:rsidP="0097419D">
      <w:pPr>
        <w:pStyle w:val="FootnoteText"/>
        <w:jc w:val="both"/>
        <w:rPr>
          <w:lang w:val="en-US"/>
        </w:rPr>
      </w:pPr>
      <w:r w:rsidRPr="008A7B57">
        <w:rPr>
          <w:rStyle w:val="FootnoteReference"/>
        </w:rPr>
        <w:footnoteRef/>
      </w:r>
      <w:r w:rsidR="00AD58A1">
        <w:t xml:space="preserve"> The relief </w:t>
      </w:r>
      <w:r w:rsidRPr="008A7B57">
        <w:t>claimed in the counter application is set out in para 49 below.</w:t>
      </w:r>
    </w:p>
    <w:p w14:paraId="778711CF" w14:textId="77777777" w:rsidR="00E54951" w:rsidRPr="008A7B57" w:rsidRDefault="00E54951" w:rsidP="0097419D">
      <w:pPr>
        <w:pStyle w:val="FootnoteText"/>
        <w:jc w:val="both"/>
        <w:rPr>
          <w:lang w:val="en-US"/>
        </w:rPr>
      </w:pPr>
    </w:p>
  </w:footnote>
  <w:footnote w:id="2">
    <w:p w14:paraId="11ED2C20" w14:textId="3C69F3C9" w:rsidR="00E54951" w:rsidRPr="008A7B57" w:rsidRDefault="00E54951" w:rsidP="0097419D">
      <w:pPr>
        <w:jc w:val="both"/>
        <w:rPr>
          <w:sz w:val="20"/>
          <w:szCs w:val="20"/>
        </w:rPr>
      </w:pPr>
      <w:r w:rsidRPr="008A7B57">
        <w:rPr>
          <w:rStyle w:val="FootnoteReference"/>
          <w:sz w:val="20"/>
          <w:szCs w:val="20"/>
        </w:rPr>
        <w:footnoteRef/>
      </w:r>
      <w:r w:rsidRPr="008A7B57">
        <w:rPr>
          <w:sz w:val="20"/>
          <w:szCs w:val="20"/>
        </w:rPr>
        <w:t xml:space="preserve"> To date the appellants have not made any payment towards settlement of their admitted liability in the sum of €2.5 million to the respondent. </w:t>
      </w:r>
    </w:p>
  </w:footnote>
  <w:footnote w:id="3">
    <w:p w14:paraId="21068176" w14:textId="44DF3242" w:rsidR="00E54951" w:rsidRPr="008A7B57" w:rsidRDefault="00E54951" w:rsidP="0097419D">
      <w:pPr>
        <w:pStyle w:val="FootnoteText"/>
        <w:jc w:val="both"/>
        <w:rPr>
          <w:lang w:val="en-US"/>
        </w:rPr>
      </w:pPr>
      <w:r w:rsidRPr="008A7B57">
        <w:rPr>
          <w:rStyle w:val="FootnoteReference"/>
        </w:rPr>
        <w:footnoteRef/>
      </w:r>
      <w:r w:rsidRPr="008A7B57">
        <w:t xml:space="preserve"> </w:t>
      </w:r>
      <w:r w:rsidRPr="008A7B57">
        <w:rPr>
          <w:lang w:val="en-US"/>
        </w:rPr>
        <w:t>It is significant that the reference is to the sale of the property, and not the transfer thereof.</w:t>
      </w:r>
    </w:p>
  </w:footnote>
  <w:footnote w:id="4">
    <w:p w14:paraId="424DF7CD" w14:textId="6DFA8E75" w:rsidR="00E54951" w:rsidRPr="008A7B57" w:rsidRDefault="00E54951" w:rsidP="0097419D">
      <w:pPr>
        <w:pStyle w:val="FootnoteText"/>
        <w:jc w:val="both"/>
        <w:rPr>
          <w:lang w:val="en-US"/>
        </w:rPr>
      </w:pPr>
      <w:r w:rsidRPr="008A7B57">
        <w:rPr>
          <w:rStyle w:val="FootnoteReference"/>
        </w:rPr>
        <w:footnoteRef/>
      </w:r>
      <w:r w:rsidRPr="008A7B57">
        <w:t xml:space="preserve"> </w:t>
      </w:r>
      <w:r w:rsidRPr="008A7B57">
        <w:rPr>
          <w:lang w:val="en-US"/>
        </w:rPr>
        <w:t xml:space="preserve">A slightly nuanced interpretation was also at one stage contended for, namely that even if the loan amount was due on the specific dates contended for by the respondent, that what would be due would only be the portion due by that date from proceeds that might have been realized from the sale of properties, and hence if none had been sold, no payment would be due, even if the date for payment had arrived. This argument will suffer the same fate as that which determines whether the payments were due in the first place. </w:t>
      </w:r>
    </w:p>
  </w:footnote>
  <w:footnote w:id="5">
    <w:p w14:paraId="6CD62220" w14:textId="6396DDEB" w:rsidR="00E54951" w:rsidRPr="008A7B57" w:rsidRDefault="00E54951" w:rsidP="0097419D">
      <w:pPr>
        <w:pStyle w:val="FootnoteText"/>
        <w:jc w:val="both"/>
        <w:rPr>
          <w:lang w:val="en-US"/>
        </w:rPr>
      </w:pPr>
      <w:r w:rsidRPr="008A7B57">
        <w:rPr>
          <w:rStyle w:val="FootnoteReference"/>
        </w:rPr>
        <w:footnoteRef/>
      </w:r>
      <w:r w:rsidRPr="008A7B57">
        <w:t xml:space="preserve"> </w:t>
      </w:r>
      <w:r w:rsidRPr="008A7B57">
        <w:rPr>
          <w:lang w:val="en-US"/>
        </w:rPr>
        <w:t xml:space="preserve">These payments in respect of the balance of the initial loan were dealt with in clause 5.1.2. </w:t>
      </w:r>
    </w:p>
  </w:footnote>
  <w:footnote w:id="6">
    <w:p w14:paraId="29950F24" w14:textId="56D980DC" w:rsidR="00E54951" w:rsidRPr="008A7B57" w:rsidRDefault="00E54951" w:rsidP="0097419D">
      <w:pPr>
        <w:pStyle w:val="FootnoteText"/>
        <w:jc w:val="both"/>
        <w:rPr>
          <w:lang w:val="en-US"/>
        </w:rPr>
      </w:pPr>
      <w:r w:rsidRPr="008A7B57">
        <w:rPr>
          <w:rStyle w:val="FootnoteReference"/>
        </w:rPr>
        <w:footnoteRef/>
      </w:r>
      <w:r w:rsidRPr="008A7B57">
        <w:t xml:space="preserve"> </w:t>
      </w:r>
      <w:r w:rsidRPr="008A7B57">
        <w:rPr>
          <w:lang w:val="en-US"/>
        </w:rPr>
        <w:t>This could only have referred to the addenda as there is no other ‘appendix’ to the loan agreement.</w:t>
      </w:r>
    </w:p>
  </w:footnote>
  <w:footnote w:id="7">
    <w:p w14:paraId="0C6CD298" w14:textId="09DBB033" w:rsidR="00E54951" w:rsidRPr="008A7B57" w:rsidRDefault="00E54951" w:rsidP="0097419D">
      <w:pPr>
        <w:pStyle w:val="FootnoteText"/>
        <w:jc w:val="both"/>
        <w:rPr>
          <w:lang w:val="en-US"/>
        </w:rPr>
      </w:pPr>
      <w:r w:rsidRPr="008A7B57">
        <w:rPr>
          <w:rStyle w:val="FootnoteReference"/>
        </w:rPr>
        <w:footnoteRef/>
      </w:r>
      <w:r w:rsidRPr="008A7B57">
        <w:t xml:space="preserve"> </w:t>
      </w:r>
      <w:proofErr w:type="spellStart"/>
      <w:r w:rsidRPr="00796FD9">
        <w:rPr>
          <w:i/>
        </w:rPr>
        <w:t>Bothma-Batho</w:t>
      </w:r>
      <w:proofErr w:type="spellEnd"/>
      <w:r w:rsidRPr="00796FD9">
        <w:rPr>
          <w:i/>
        </w:rPr>
        <w:t xml:space="preserve"> Transport (</w:t>
      </w:r>
      <w:proofErr w:type="spellStart"/>
      <w:r w:rsidRPr="00796FD9">
        <w:rPr>
          <w:i/>
        </w:rPr>
        <w:t>Edms</w:t>
      </w:r>
      <w:proofErr w:type="spellEnd"/>
      <w:r w:rsidRPr="00796FD9">
        <w:rPr>
          <w:i/>
        </w:rPr>
        <w:t xml:space="preserve">) </w:t>
      </w:r>
      <w:proofErr w:type="spellStart"/>
      <w:r w:rsidRPr="00796FD9">
        <w:rPr>
          <w:i/>
        </w:rPr>
        <w:t>Bpk</w:t>
      </w:r>
      <w:proofErr w:type="spellEnd"/>
      <w:r w:rsidRPr="00796FD9">
        <w:rPr>
          <w:i/>
        </w:rPr>
        <w:t xml:space="preserve"> v S </w:t>
      </w:r>
      <w:proofErr w:type="spellStart"/>
      <w:r w:rsidRPr="00796FD9">
        <w:rPr>
          <w:i/>
        </w:rPr>
        <w:t>Bothma</w:t>
      </w:r>
      <w:proofErr w:type="spellEnd"/>
      <w:r w:rsidRPr="00796FD9">
        <w:rPr>
          <w:i/>
        </w:rPr>
        <w:t xml:space="preserve"> &amp; </w:t>
      </w:r>
      <w:proofErr w:type="spellStart"/>
      <w:r w:rsidRPr="00796FD9">
        <w:rPr>
          <w:i/>
        </w:rPr>
        <w:t>Seun</w:t>
      </w:r>
      <w:proofErr w:type="spellEnd"/>
      <w:r w:rsidRPr="00796FD9">
        <w:rPr>
          <w:i/>
        </w:rPr>
        <w:t xml:space="preserve"> Transport (</w:t>
      </w:r>
      <w:proofErr w:type="spellStart"/>
      <w:r w:rsidRPr="00796FD9">
        <w:rPr>
          <w:i/>
        </w:rPr>
        <w:t>Edms</w:t>
      </w:r>
      <w:proofErr w:type="spellEnd"/>
      <w:r w:rsidRPr="00796FD9">
        <w:rPr>
          <w:i/>
        </w:rPr>
        <w:t xml:space="preserve">) </w:t>
      </w:r>
      <w:proofErr w:type="spellStart"/>
      <w:r w:rsidRPr="00796FD9">
        <w:rPr>
          <w:i/>
        </w:rPr>
        <w:t>Bpk</w:t>
      </w:r>
      <w:proofErr w:type="spellEnd"/>
      <w:r w:rsidRPr="00796FD9">
        <w:t xml:space="preserve"> </w:t>
      </w:r>
      <w:r w:rsidRPr="00F92FF2">
        <w:t>[2013] ZASCA 176</w:t>
      </w:r>
      <w:r>
        <w:t xml:space="preserve">, </w:t>
      </w:r>
      <w:r w:rsidRPr="008A7B57">
        <w:rPr>
          <w:lang w:val="en-GB"/>
        </w:rPr>
        <w:t xml:space="preserve">2014 (2) SA 494 (SCA) </w:t>
      </w:r>
      <w:r>
        <w:rPr>
          <w:lang w:val="en-GB"/>
        </w:rPr>
        <w:t>para 12</w:t>
      </w:r>
      <w:r w:rsidRPr="008A7B57">
        <w:rPr>
          <w:lang w:val="en-GB"/>
        </w:rPr>
        <w:t>.</w:t>
      </w:r>
    </w:p>
  </w:footnote>
  <w:footnote w:id="8">
    <w:p w14:paraId="485143CF" w14:textId="019DAF07" w:rsidR="00E54951" w:rsidRPr="008A7B57" w:rsidRDefault="00E54951" w:rsidP="0097419D">
      <w:pPr>
        <w:pStyle w:val="FootnoteText"/>
        <w:jc w:val="both"/>
        <w:rPr>
          <w:lang w:val="en-US"/>
        </w:rPr>
      </w:pPr>
      <w:r w:rsidRPr="008A7B57">
        <w:rPr>
          <w:rStyle w:val="FootnoteReference"/>
        </w:rPr>
        <w:footnoteRef/>
      </w:r>
      <w:r w:rsidRPr="008A7B57">
        <w:t xml:space="preserve"> </w:t>
      </w:r>
      <w:proofErr w:type="spellStart"/>
      <w:r w:rsidRPr="0054317C">
        <w:rPr>
          <w:i/>
        </w:rPr>
        <w:t>Capitec</w:t>
      </w:r>
      <w:proofErr w:type="spellEnd"/>
      <w:r w:rsidRPr="0054317C">
        <w:rPr>
          <w:i/>
        </w:rPr>
        <w:t xml:space="preserve"> Bank Holdings Limited and another v Coral Lagoon Investments 194 (Pty) Ltd and others</w:t>
      </w:r>
      <w:r>
        <w:t xml:space="preserve"> [2021] ZASCA 99; 2022 (1) SA 100 (</w:t>
      </w:r>
      <w:r w:rsidR="009C531A">
        <w:t xml:space="preserve">SCA); [2021] 3 All SA 647 (SCA), citing </w:t>
      </w:r>
      <w:r w:rsidR="009C531A" w:rsidRPr="009C531A">
        <w:rPr>
          <w:i/>
        </w:rPr>
        <w:t>University of Johannesburg v Auckland Park Theological Seminary and another</w:t>
      </w:r>
      <w:r w:rsidR="009C531A">
        <w:t xml:space="preserve"> </w:t>
      </w:r>
      <w:r w:rsidR="009C531A" w:rsidRPr="009C531A">
        <w:t>[2021] ZACC 13; 2021 (6) SA</w:t>
      </w:r>
      <w:r w:rsidR="009C531A">
        <w:t xml:space="preserve"> 1 (CC); 2021 (8) BCLR 807 (CC).</w:t>
      </w:r>
    </w:p>
  </w:footnote>
  <w:footnote w:id="9">
    <w:p w14:paraId="71B98564" w14:textId="0AABB72D" w:rsidR="00E54951" w:rsidRPr="008A7B57" w:rsidRDefault="00E54951" w:rsidP="0097419D">
      <w:pPr>
        <w:pStyle w:val="FootnoteText"/>
        <w:jc w:val="both"/>
        <w:rPr>
          <w:lang w:val="en-GB"/>
        </w:rPr>
      </w:pPr>
      <w:r w:rsidRPr="008A7B57">
        <w:rPr>
          <w:rStyle w:val="FootnoteReference"/>
        </w:rPr>
        <w:footnoteRef/>
      </w:r>
      <w:r>
        <w:t xml:space="preserve"> </w:t>
      </w:r>
      <w:r w:rsidRPr="00555758">
        <w:rPr>
          <w:i/>
        </w:rPr>
        <w:t xml:space="preserve">Natal Joint Municipal Pension Fund v </w:t>
      </w:r>
      <w:proofErr w:type="spellStart"/>
      <w:r w:rsidRPr="00555758">
        <w:rPr>
          <w:i/>
        </w:rPr>
        <w:t>Endumeni</w:t>
      </w:r>
      <w:proofErr w:type="spellEnd"/>
      <w:r w:rsidRPr="00555758">
        <w:rPr>
          <w:i/>
        </w:rPr>
        <w:t xml:space="preserve"> Municipality</w:t>
      </w:r>
      <w:r w:rsidRPr="00555758">
        <w:t xml:space="preserve"> [2012] ZASCA 13, 2012 (4) SA 593 (SCA), [2012] 2 All SA 262 (SCA)</w:t>
      </w:r>
      <w:r>
        <w:t xml:space="preserve"> para 18.</w:t>
      </w:r>
    </w:p>
  </w:footnote>
  <w:footnote w:id="10">
    <w:p w14:paraId="570E60E3" w14:textId="1471AFC8" w:rsidR="00E54951" w:rsidRPr="008A7B57" w:rsidRDefault="00E54951" w:rsidP="0097419D">
      <w:pPr>
        <w:pStyle w:val="FootnoteText"/>
        <w:jc w:val="both"/>
        <w:rPr>
          <w:lang w:val="en-GB"/>
        </w:rPr>
      </w:pPr>
      <w:r w:rsidRPr="008A7B57">
        <w:rPr>
          <w:rStyle w:val="FootnoteReference"/>
        </w:rPr>
        <w:footnoteRef/>
      </w:r>
      <w:r w:rsidRPr="008A7B57">
        <w:t xml:space="preserve"> </w:t>
      </w:r>
      <w:proofErr w:type="spellStart"/>
      <w:r w:rsidRPr="00300E8E">
        <w:rPr>
          <w:i/>
          <w:lang w:val="en-GB"/>
        </w:rPr>
        <w:t>Mittermeier</w:t>
      </w:r>
      <w:proofErr w:type="spellEnd"/>
      <w:r w:rsidRPr="00300E8E">
        <w:rPr>
          <w:i/>
          <w:lang w:val="en-GB"/>
        </w:rPr>
        <w:t xml:space="preserve"> v </w:t>
      </w:r>
      <w:proofErr w:type="spellStart"/>
      <w:r w:rsidRPr="00300E8E">
        <w:rPr>
          <w:i/>
          <w:lang w:val="en-GB"/>
        </w:rPr>
        <w:t>Skema</w:t>
      </w:r>
      <w:proofErr w:type="spellEnd"/>
      <w:r w:rsidRPr="00300E8E">
        <w:rPr>
          <w:i/>
          <w:lang w:val="en-GB"/>
        </w:rPr>
        <w:t xml:space="preserve"> Engineering (Pty) Ltd</w:t>
      </w:r>
      <w:r w:rsidRPr="008A7B57">
        <w:rPr>
          <w:lang w:val="en-GB"/>
        </w:rPr>
        <w:t xml:space="preserve"> 1984 (1) SA 121 (A) at 128A – B.</w:t>
      </w:r>
    </w:p>
  </w:footnote>
  <w:footnote w:id="11">
    <w:p w14:paraId="30FD2B42" w14:textId="76E5F96F" w:rsidR="00E54951" w:rsidRPr="008A7B57" w:rsidRDefault="00E54951" w:rsidP="0097419D">
      <w:pPr>
        <w:pStyle w:val="FootnoteText"/>
        <w:jc w:val="both"/>
        <w:rPr>
          <w:lang w:val="en-US"/>
        </w:rPr>
      </w:pPr>
      <w:r w:rsidRPr="008A7B57">
        <w:rPr>
          <w:rStyle w:val="FootnoteReference"/>
        </w:rPr>
        <w:footnoteRef/>
      </w:r>
      <w:r>
        <w:rPr>
          <w:lang w:val="en-US"/>
        </w:rPr>
        <w:t xml:space="preserve"> </w:t>
      </w:r>
      <w:proofErr w:type="spellStart"/>
      <w:r w:rsidRPr="00F15C82">
        <w:rPr>
          <w:i/>
          <w:lang w:val="en-US"/>
        </w:rPr>
        <w:t>Borstlap</w:t>
      </w:r>
      <w:proofErr w:type="spellEnd"/>
      <w:r w:rsidRPr="00F15C82">
        <w:rPr>
          <w:i/>
          <w:lang w:val="en-US"/>
        </w:rPr>
        <w:t xml:space="preserve"> v </w:t>
      </w:r>
      <w:proofErr w:type="spellStart"/>
      <w:r w:rsidRPr="00F15C82">
        <w:rPr>
          <w:i/>
          <w:lang w:val="en-US"/>
        </w:rPr>
        <w:t>Spangenberg</w:t>
      </w:r>
      <w:proofErr w:type="spellEnd"/>
      <w:r w:rsidRPr="00F15C82">
        <w:rPr>
          <w:i/>
          <w:lang w:val="en-US"/>
        </w:rPr>
        <w:t xml:space="preserve"> </w:t>
      </w:r>
      <w:proofErr w:type="spellStart"/>
      <w:r w:rsidRPr="00F15C82">
        <w:rPr>
          <w:i/>
          <w:lang w:val="en-US"/>
        </w:rPr>
        <w:t>en</w:t>
      </w:r>
      <w:proofErr w:type="spellEnd"/>
      <w:r w:rsidRPr="00F15C82">
        <w:rPr>
          <w:i/>
          <w:lang w:val="en-US"/>
        </w:rPr>
        <w:t xml:space="preserve"> </w:t>
      </w:r>
      <w:proofErr w:type="spellStart"/>
      <w:r w:rsidRPr="00F15C82">
        <w:rPr>
          <w:i/>
          <w:lang w:val="en-US"/>
        </w:rPr>
        <w:t>andere</w:t>
      </w:r>
      <w:proofErr w:type="spellEnd"/>
      <w:r w:rsidRPr="00F15C82">
        <w:rPr>
          <w:lang w:val="en-US"/>
        </w:rPr>
        <w:t xml:space="preserve"> 1974 (3) SA 695 (A)</w:t>
      </w:r>
      <w:r>
        <w:rPr>
          <w:lang w:val="en-US"/>
        </w:rPr>
        <w:t>.</w:t>
      </w:r>
    </w:p>
  </w:footnote>
  <w:footnote w:id="12">
    <w:p w14:paraId="3BE69A21" w14:textId="129A9A41" w:rsidR="00E54951" w:rsidRPr="008A7B57" w:rsidRDefault="00E54951" w:rsidP="0097419D">
      <w:pPr>
        <w:pStyle w:val="FootnoteText"/>
        <w:jc w:val="both"/>
        <w:rPr>
          <w:lang w:val="en-US"/>
        </w:rPr>
      </w:pPr>
      <w:r w:rsidRPr="008A7B57">
        <w:rPr>
          <w:rStyle w:val="FootnoteReference"/>
        </w:rPr>
        <w:footnoteRef/>
      </w:r>
      <w:r w:rsidRPr="008A7B57">
        <w:t xml:space="preserve"> </w:t>
      </w:r>
      <w:r w:rsidRPr="005531B2">
        <w:rPr>
          <w:i/>
          <w:lang w:val="en-US"/>
        </w:rPr>
        <w:t>Laws v Rutherford</w:t>
      </w:r>
      <w:r w:rsidRPr="008A7B57">
        <w:rPr>
          <w:lang w:val="en-US"/>
        </w:rPr>
        <w:t xml:space="preserve"> 1924 AD 261.</w:t>
      </w:r>
    </w:p>
  </w:footnote>
  <w:footnote w:id="13">
    <w:p w14:paraId="23D8D9F5" w14:textId="1562E08D" w:rsidR="00E54951" w:rsidRPr="008A7B57" w:rsidRDefault="00E54951" w:rsidP="0097419D">
      <w:pPr>
        <w:pStyle w:val="FootnoteText"/>
        <w:jc w:val="both"/>
      </w:pPr>
      <w:r w:rsidRPr="008A7B57">
        <w:rPr>
          <w:rStyle w:val="FootnoteReference"/>
        </w:rPr>
        <w:footnoteRef/>
      </w:r>
      <w:r>
        <w:t xml:space="preserve"> </w:t>
      </w:r>
      <w:r w:rsidRPr="005531B2">
        <w:t xml:space="preserve">Electronic Communications and Transactions Act </w:t>
      </w:r>
      <w:r w:rsidRPr="008A7B57">
        <w:t>25 of 2002.</w:t>
      </w:r>
    </w:p>
  </w:footnote>
  <w:footnote w:id="14">
    <w:p w14:paraId="24412DE7" w14:textId="0803B818" w:rsidR="00E54951" w:rsidRPr="00F85D7C" w:rsidRDefault="00E54951" w:rsidP="0097419D">
      <w:pPr>
        <w:pStyle w:val="FootnoteText"/>
        <w:jc w:val="both"/>
        <w:rPr>
          <w:lang w:val="en-GB"/>
        </w:rPr>
      </w:pPr>
      <w:r>
        <w:rPr>
          <w:rStyle w:val="FootnoteReference"/>
        </w:rPr>
        <w:footnoteRef/>
      </w:r>
      <w:r>
        <w:t xml:space="preserve"> I</w:t>
      </w:r>
      <w:r w:rsidRPr="00F85D7C">
        <w:t>.e. the second respondent’s (in the court a quo) re</w:t>
      </w:r>
      <w:r>
        <w:t>plying affidavit of 9 June 2021.</w:t>
      </w:r>
    </w:p>
  </w:footnote>
  <w:footnote w:id="15">
    <w:p w14:paraId="735B308C" w14:textId="6F17F4C1" w:rsidR="00E54951" w:rsidRPr="008A7B57" w:rsidRDefault="00E54951" w:rsidP="0097419D">
      <w:pPr>
        <w:pStyle w:val="FootnoteText"/>
        <w:jc w:val="both"/>
        <w:rPr>
          <w:lang w:val="en-US"/>
        </w:rPr>
      </w:pPr>
      <w:r w:rsidRPr="008A7B57">
        <w:rPr>
          <w:rStyle w:val="FootnoteReference"/>
        </w:rPr>
        <w:footnoteRef/>
      </w:r>
      <w:r w:rsidRPr="008A7B57">
        <w:t xml:space="preserve"> </w:t>
      </w:r>
      <w:r w:rsidRPr="00442ADF">
        <w:rPr>
          <w:i/>
          <w:lang w:val="en-US"/>
        </w:rPr>
        <w:t xml:space="preserve">Spring Forest Trading CC v </w:t>
      </w:r>
      <w:proofErr w:type="spellStart"/>
      <w:r w:rsidRPr="00442ADF">
        <w:rPr>
          <w:i/>
          <w:lang w:val="en-US"/>
        </w:rPr>
        <w:t>Wilberry</w:t>
      </w:r>
      <w:proofErr w:type="spellEnd"/>
      <w:r w:rsidRPr="00442ADF">
        <w:rPr>
          <w:i/>
          <w:lang w:val="en-US"/>
        </w:rPr>
        <w:t xml:space="preserve"> (Pty) Ltd t/</w:t>
      </w:r>
      <w:proofErr w:type="gramStart"/>
      <w:r w:rsidRPr="00442ADF">
        <w:rPr>
          <w:i/>
          <w:lang w:val="en-US"/>
        </w:rPr>
        <w:t>a</w:t>
      </w:r>
      <w:proofErr w:type="gramEnd"/>
      <w:r w:rsidRPr="00442ADF">
        <w:rPr>
          <w:i/>
          <w:lang w:val="en-US"/>
        </w:rPr>
        <w:t xml:space="preserve"> </w:t>
      </w:r>
      <w:proofErr w:type="spellStart"/>
      <w:r w:rsidRPr="00442ADF">
        <w:rPr>
          <w:i/>
          <w:lang w:val="en-US"/>
        </w:rPr>
        <w:t>Ecowash</w:t>
      </w:r>
      <w:proofErr w:type="spellEnd"/>
      <w:r w:rsidRPr="00442ADF">
        <w:rPr>
          <w:i/>
          <w:lang w:val="en-US"/>
        </w:rPr>
        <w:t xml:space="preserve"> and another</w:t>
      </w:r>
      <w:r w:rsidRPr="00442ADF">
        <w:rPr>
          <w:lang w:val="en-US"/>
        </w:rPr>
        <w:t xml:space="preserve"> [2014] ZASCA 178</w:t>
      </w:r>
      <w:r>
        <w:rPr>
          <w:lang w:val="en-US"/>
        </w:rPr>
        <w:t xml:space="preserve">, </w:t>
      </w:r>
      <w:r w:rsidRPr="00442ADF">
        <w:rPr>
          <w:lang w:val="en-US"/>
        </w:rPr>
        <w:t>2015 (2) SA 118 (S</w:t>
      </w:r>
      <w:r>
        <w:rPr>
          <w:lang w:val="en-US"/>
        </w:rPr>
        <w:t>CA</w:t>
      </w:r>
      <w:r w:rsidRPr="008A7B57">
        <w:rPr>
          <w:lang w:val="en-US"/>
        </w:rPr>
        <w:t>).</w:t>
      </w:r>
    </w:p>
  </w:footnote>
  <w:footnote w:id="16">
    <w:p w14:paraId="36934104" w14:textId="5EF046BE" w:rsidR="00E54951" w:rsidRPr="008A7B57" w:rsidRDefault="00E54951" w:rsidP="0097419D">
      <w:pPr>
        <w:pStyle w:val="FootnoteText"/>
        <w:jc w:val="both"/>
        <w:rPr>
          <w:lang w:val="en-US"/>
        </w:rPr>
      </w:pPr>
      <w:r w:rsidRPr="008A7B57">
        <w:rPr>
          <w:rStyle w:val="FootnoteReference"/>
        </w:rPr>
        <w:footnoteRef/>
      </w:r>
      <w:r w:rsidRPr="008A7B57">
        <w:t xml:space="preserve"> </w:t>
      </w:r>
      <w:proofErr w:type="spellStart"/>
      <w:r w:rsidRPr="002318E9">
        <w:rPr>
          <w:i/>
        </w:rPr>
        <w:t>Borcherds</w:t>
      </w:r>
      <w:proofErr w:type="spellEnd"/>
      <w:r w:rsidRPr="002318E9">
        <w:rPr>
          <w:i/>
        </w:rPr>
        <w:t xml:space="preserve"> and another v Duxbury and others</w:t>
      </w:r>
      <w:r>
        <w:t xml:space="preserve"> </w:t>
      </w:r>
      <w:r w:rsidRPr="002318E9">
        <w:t>[2020] ZAECPEHC 37</w:t>
      </w:r>
      <w:r>
        <w:t xml:space="preserve">, </w:t>
      </w:r>
      <w:r w:rsidRPr="008A7B57">
        <w:t>2021 (1) SA 410</w:t>
      </w:r>
      <w:r>
        <w:t xml:space="preserve"> </w:t>
      </w:r>
      <w:r w:rsidRPr="008A7B57">
        <w:t>(ECP</w:t>
      </w:r>
      <w:r>
        <w:t>)</w:t>
      </w:r>
      <w:r w:rsidRPr="008A7B57">
        <w:t>.</w:t>
      </w:r>
    </w:p>
  </w:footnote>
  <w:footnote w:id="17">
    <w:p w14:paraId="33449080" w14:textId="3C140EC3" w:rsidR="00E54951" w:rsidRPr="008A7B57" w:rsidRDefault="00E54951" w:rsidP="0097419D">
      <w:pPr>
        <w:pStyle w:val="FootnoteText"/>
        <w:jc w:val="both"/>
        <w:rPr>
          <w:lang w:val="en-US"/>
        </w:rPr>
      </w:pPr>
      <w:r w:rsidRPr="008A7B57">
        <w:rPr>
          <w:rStyle w:val="FootnoteReference"/>
        </w:rPr>
        <w:footnoteRef/>
      </w:r>
      <w:r w:rsidRPr="008A7B57">
        <w:t xml:space="preserve"> </w:t>
      </w:r>
      <w:r w:rsidRPr="00722D6E">
        <w:rPr>
          <w:i/>
          <w:lang w:val="en-US"/>
        </w:rPr>
        <w:t xml:space="preserve">Global &amp; Local Investments Advisors (Pty) Ltd v </w:t>
      </w:r>
      <w:proofErr w:type="spellStart"/>
      <w:r w:rsidRPr="00722D6E">
        <w:rPr>
          <w:i/>
          <w:lang w:val="en-US"/>
        </w:rPr>
        <w:t>Fouché</w:t>
      </w:r>
      <w:proofErr w:type="spellEnd"/>
      <w:r w:rsidRPr="00722D6E">
        <w:rPr>
          <w:lang w:val="en-US"/>
        </w:rPr>
        <w:t xml:space="preserve"> [2019] ZASCA 8</w:t>
      </w:r>
      <w:r>
        <w:rPr>
          <w:lang w:val="en-US"/>
        </w:rPr>
        <w:t xml:space="preserve">, </w:t>
      </w:r>
      <w:r w:rsidRPr="00722D6E">
        <w:rPr>
          <w:lang w:val="en-US"/>
        </w:rPr>
        <w:t>2021 (1) SA 371 (SCA)</w:t>
      </w:r>
      <w:r w:rsidRPr="008A7B57">
        <w:rPr>
          <w:lang w:val="en-US"/>
        </w:rPr>
        <w:t>.</w:t>
      </w:r>
    </w:p>
  </w:footnote>
  <w:footnote w:id="18">
    <w:p w14:paraId="320BD55A" w14:textId="18521F11" w:rsidR="00E54951" w:rsidRPr="008A7B57" w:rsidRDefault="00E54951" w:rsidP="0097419D">
      <w:pPr>
        <w:pStyle w:val="FootnoteText"/>
        <w:jc w:val="both"/>
        <w:rPr>
          <w:lang w:val="en-GB"/>
        </w:rPr>
      </w:pPr>
      <w:r w:rsidRPr="008A7B57">
        <w:rPr>
          <w:rStyle w:val="FootnoteReference"/>
        </w:rPr>
        <w:footnoteRef/>
      </w:r>
      <w:r w:rsidRPr="008A7B57">
        <w:t xml:space="preserve"> </w:t>
      </w:r>
      <w:proofErr w:type="spellStart"/>
      <w:r w:rsidR="00C00790" w:rsidRPr="00C00790">
        <w:rPr>
          <w:i/>
        </w:rPr>
        <w:t>Sonfred</w:t>
      </w:r>
      <w:proofErr w:type="spellEnd"/>
      <w:r w:rsidR="00C00790" w:rsidRPr="00C00790">
        <w:rPr>
          <w:i/>
        </w:rPr>
        <w:t xml:space="preserve"> (Pty) Ltd v </w:t>
      </w:r>
      <w:proofErr w:type="spellStart"/>
      <w:r w:rsidR="00C00790" w:rsidRPr="00C00790">
        <w:rPr>
          <w:i/>
        </w:rPr>
        <w:t>Papert</w:t>
      </w:r>
      <w:proofErr w:type="spellEnd"/>
      <w:r w:rsidR="00C00790" w:rsidRPr="00C00790">
        <w:t xml:space="preserve"> </w:t>
      </w:r>
      <w:r w:rsidRPr="008A7B57">
        <w:rPr>
          <w:lang w:val="en-GB"/>
        </w:rPr>
        <w:t>1962 (2) SA 140</w:t>
      </w:r>
      <w:r>
        <w:rPr>
          <w:lang w:val="en-GB"/>
        </w:rPr>
        <w:t xml:space="preserve"> </w:t>
      </w:r>
      <w:r w:rsidRPr="008A7B57">
        <w:rPr>
          <w:lang w:val="en-GB"/>
        </w:rPr>
        <w:t>(W) at 145.</w:t>
      </w:r>
    </w:p>
  </w:footnote>
  <w:footnote w:id="19">
    <w:p w14:paraId="6ECF4A25" w14:textId="711336A9" w:rsidR="00E54951" w:rsidRPr="008A7B57" w:rsidRDefault="00E54951" w:rsidP="0097419D">
      <w:pPr>
        <w:pStyle w:val="FootnoteText"/>
        <w:jc w:val="both"/>
        <w:rPr>
          <w:lang w:val="en-GB"/>
        </w:rPr>
      </w:pPr>
      <w:r w:rsidRPr="008A7B57">
        <w:rPr>
          <w:rStyle w:val="FootnoteReference"/>
        </w:rPr>
        <w:footnoteRef/>
      </w:r>
      <w:r w:rsidRPr="008A7B57">
        <w:t xml:space="preserve"> See </w:t>
      </w:r>
      <w:r w:rsidRPr="00003556">
        <w:rPr>
          <w:i/>
          <w:lang w:val="en-GB"/>
        </w:rPr>
        <w:t>ESE Financial Services (Pty) Ltd v Cramer</w:t>
      </w:r>
      <w:r>
        <w:rPr>
          <w:lang w:val="en-GB"/>
        </w:rPr>
        <w:t xml:space="preserve"> 1973 (2) SA 805(C) at 809D–</w:t>
      </w:r>
      <w:r w:rsidRPr="008A7B57">
        <w:rPr>
          <w:lang w:val="en-GB"/>
        </w:rPr>
        <w:t xml:space="preserve">E and </w:t>
      </w:r>
      <w:r w:rsidRPr="00003556">
        <w:rPr>
          <w:i/>
          <w:lang w:val="en-GB"/>
        </w:rPr>
        <w:t xml:space="preserve">Grand Mines (Pty) Ltd v </w:t>
      </w:r>
      <w:proofErr w:type="spellStart"/>
      <w:r w:rsidRPr="00003556">
        <w:rPr>
          <w:i/>
          <w:lang w:val="en-GB"/>
        </w:rPr>
        <w:t>Giddey</w:t>
      </w:r>
      <w:proofErr w:type="spellEnd"/>
      <w:r w:rsidRPr="00003556">
        <w:rPr>
          <w:i/>
          <w:lang w:val="en-GB"/>
        </w:rPr>
        <w:t xml:space="preserve"> N.O.</w:t>
      </w:r>
      <w:r w:rsidRPr="008A7B57">
        <w:rPr>
          <w:lang w:val="en-GB"/>
        </w:rPr>
        <w:t xml:space="preserve"> </w:t>
      </w:r>
      <w:r w:rsidRPr="00003556">
        <w:rPr>
          <w:lang w:val="en-GB"/>
        </w:rPr>
        <w:t>[1998] ZASCA 99</w:t>
      </w:r>
      <w:r>
        <w:rPr>
          <w:lang w:val="en-GB"/>
        </w:rPr>
        <w:t xml:space="preserve">, </w:t>
      </w:r>
      <w:r w:rsidRPr="008A7B57">
        <w:rPr>
          <w:lang w:val="en-GB"/>
        </w:rPr>
        <w:t xml:space="preserve">1999 </w:t>
      </w:r>
      <w:r>
        <w:rPr>
          <w:lang w:val="en-GB"/>
        </w:rPr>
        <w:t>(1) SA 960 (SCA) at 965E–</w:t>
      </w:r>
      <w:r w:rsidRPr="008A7B57">
        <w:rPr>
          <w:lang w:val="en-GB"/>
        </w:rPr>
        <w:t>I</w:t>
      </w:r>
      <w:r w:rsidRPr="008A7B57">
        <w:rPr>
          <w:b/>
          <w:lang w:val="en-GB"/>
        </w:rPr>
        <w:t>.</w:t>
      </w:r>
    </w:p>
  </w:footnote>
  <w:footnote w:id="20">
    <w:p w14:paraId="71C6CC6A" w14:textId="63458D94" w:rsidR="00E54951" w:rsidRPr="00F85D7C" w:rsidRDefault="00E54951" w:rsidP="0097419D">
      <w:pPr>
        <w:pStyle w:val="FootnoteText"/>
        <w:jc w:val="both"/>
        <w:rPr>
          <w:lang w:val="en-GB"/>
        </w:rPr>
      </w:pPr>
      <w:r>
        <w:rPr>
          <w:rStyle w:val="FootnoteReference"/>
        </w:rPr>
        <w:footnoteRef/>
      </w:r>
      <w:r>
        <w:t xml:space="preserve"> I</w:t>
      </w:r>
      <w:r w:rsidRPr="00F85D7C">
        <w:t>.e. the respondents’</w:t>
      </w:r>
      <w:r>
        <w:t xml:space="preserve"> (in the court a quo)</w:t>
      </w:r>
      <w:r w:rsidRPr="00F85D7C">
        <w:t xml:space="preserve"> notice of counter application of 5 May 2021</w:t>
      </w:r>
      <w:r>
        <w:t>.</w:t>
      </w:r>
    </w:p>
  </w:footnote>
  <w:footnote w:id="21">
    <w:p w14:paraId="35544987" w14:textId="6ECA05D7" w:rsidR="00E54951" w:rsidRPr="00F85D7C" w:rsidRDefault="00E54951" w:rsidP="0097419D">
      <w:pPr>
        <w:pStyle w:val="FootnoteText"/>
        <w:jc w:val="both"/>
        <w:rPr>
          <w:lang w:val="en-GB"/>
        </w:rPr>
      </w:pPr>
      <w:r>
        <w:rPr>
          <w:rStyle w:val="FootnoteReference"/>
        </w:rPr>
        <w:footnoteRef/>
      </w:r>
      <w:r>
        <w:t xml:space="preserve"> </w:t>
      </w:r>
      <w:r>
        <w:rPr>
          <w:lang w:val="en-GB"/>
        </w:rPr>
        <w:t xml:space="preserve">I.e. the respondents’ </w:t>
      </w:r>
      <w:r>
        <w:t xml:space="preserve">(in the court a quo) </w:t>
      </w:r>
      <w:r w:rsidRPr="00F85D7C">
        <w:rPr>
          <w:lang w:val="en-GB"/>
        </w:rPr>
        <w:t>notice of counter application of 5 May 2021</w:t>
      </w:r>
      <w:r>
        <w:rPr>
          <w:lang w:val="en-GB"/>
        </w:rPr>
        <w:t>.</w:t>
      </w:r>
    </w:p>
  </w:footnote>
  <w:footnote w:id="22">
    <w:p w14:paraId="7B1A2F67" w14:textId="39E6828F" w:rsidR="00E54951" w:rsidRPr="008A7B57" w:rsidRDefault="00E54951" w:rsidP="0097419D">
      <w:pPr>
        <w:pStyle w:val="FootnoteText"/>
        <w:jc w:val="both"/>
        <w:rPr>
          <w:lang w:val="en-US"/>
        </w:rPr>
      </w:pPr>
      <w:r w:rsidRPr="008A7B57">
        <w:rPr>
          <w:rStyle w:val="FootnoteReference"/>
        </w:rPr>
        <w:footnoteRef/>
      </w:r>
      <w:r w:rsidRPr="008A7B57">
        <w:t xml:space="preserve"> </w:t>
      </w:r>
      <w:r w:rsidRPr="00816B1F">
        <w:rPr>
          <w:i/>
          <w:lang w:val="en-US"/>
        </w:rPr>
        <w:t>Derby-Lewis and another v Chairman, Amnesty Committee of the Truth and Reconciliation Commission, and others</w:t>
      </w:r>
      <w:r w:rsidRPr="00FF65B2">
        <w:rPr>
          <w:lang w:val="en-US"/>
        </w:rPr>
        <w:t xml:space="preserve"> 2001 (3) SA 1033 (C)</w:t>
      </w:r>
      <w:r w:rsidRPr="008A7B57">
        <w:rPr>
          <w:lang w:val="en-US"/>
        </w:rPr>
        <w:t xml:space="preserve"> at 1052C-E</w:t>
      </w:r>
      <w:r w:rsidR="00BF624F">
        <w:rPr>
          <w:lang w:val="en-US"/>
        </w:rPr>
        <w:t xml:space="preserve">, </w:t>
      </w:r>
      <w:r w:rsidR="00BF624F" w:rsidRPr="00BF624F">
        <w:rPr>
          <w:i/>
          <w:lang w:val="en-US"/>
        </w:rPr>
        <w:t xml:space="preserve">Minister of Land Affairs and Agriculture and others v D &amp; F </w:t>
      </w:r>
      <w:proofErr w:type="spellStart"/>
      <w:r w:rsidR="00BF624F" w:rsidRPr="00BF624F">
        <w:rPr>
          <w:i/>
          <w:lang w:val="en-US"/>
        </w:rPr>
        <w:t>Wevell</w:t>
      </w:r>
      <w:proofErr w:type="spellEnd"/>
      <w:r w:rsidR="00BF624F" w:rsidRPr="00BF624F">
        <w:rPr>
          <w:i/>
          <w:lang w:val="en-US"/>
        </w:rPr>
        <w:t xml:space="preserve"> Trust and others</w:t>
      </w:r>
      <w:r w:rsidR="00BF624F" w:rsidRPr="00BF624F">
        <w:rPr>
          <w:lang w:val="en-US"/>
        </w:rPr>
        <w:t xml:space="preserve"> [2007] ZASCA 153</w:t>
      </w:r>
      <w:r w:rsidR="00BF624F">
        <w:rPr>
          <w:lang w:val="en-US"/>
        </w:rPr>
        <w:t>;</w:t>
      </w:r>
      <w:r w:rsidR="00BF624F" w:rsidRPr="00BF624F">
        <w:rPr>
          <w:lang w:val="en-US"/>
        </w:rPr>
        <w:t xml:space="preserve"> 2008 (2) SA 184 (SCA)</w:t>
      </w:r>
      <w:r w:rsidR="00BF624F">
        <w:rPr>
          <w:lang w:val="en-US"/>
        </w:rPr>
        <w:t xml:space="preserve"> para 43</w:t>
      </w:r>
      <w:r w:rsidRPr="008A7B5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E54951" w:rsidRDefault="00E549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E54951" w:rsidRDefault="00E549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2BD288FE" w:rsidR="00E54951" w:rsidRPr="00AC7DA3" w:rsidRDefault="00E54951">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3B6379">
      <w:rPr>
        <w:rStyle w:val="PageNumber"/>
        <w:rFonts w:cs="Arial"/>
        <w:noProof/>
        <w:sz w:val="22"/>
      </w:rPr>
      <w:t>22</w:t>
    </w:r>
    <w:r w:rsidRPr="00AC7DA3">
      <w:rPr>
        <w:rStyle w:val="PageNumber"/>
        <w:rFonts w:cs="Arial"/>
        <w:sz w:val="22"/>
      </w:rPr>
      <w:fldChar w:fldCharType="end"/>
    </w:r>
  </w:p>
  <w:p w14:paraId="0B7E1CB3" w14:textId="77777777" w:rsidR="00E54951" w:rsidRDefault="00E549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4AD"/>
    <w:multiLevelType w:val="hybridMultilevel"/>
    <w:tmpl w:val="3F60BBBA"/>
    <w:lvl w:ilvl="0" w:tplc="1C09000F">
      <w:start w:val="1"/>
      <w:numFmt w:val="decimal"/>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 w15:restartNumberingAfterBreak="0">
    <w:nsid w:val="02756B01"/>
    <w:multiLevelType w:val="hybridMultilevel"/>
    <w:tmpl w:val="95F2D1D4"/>
    <w:lvl w:ilvl="0" w:tplc="70F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1609"/>
    <w:multiLevelType w:val="hybridMultilevel"/>
    <w:tmpl w:val="48427F18"/>
    <w:lvl w:ilvl="0" w:tplc="9A88F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9135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94FBF"/>
    <w:multiLevelType w:val="hybridMultilevel"/>
    <w:tmpl w:val="E4AAC8FC"/>
    <w:lvl w:ilvl="0" w:tplc="BA9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E49A3"/>
    <w:multiLevelType w:val="hybridMultilevel"/>
    <w:tmpl w:val="E550D89E"/>
    <w:lvl w:ilvl="0" w:tplc="9F88B3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E3D6D"/>
    <w:multiLevelType w:val="hybridMultilevel"/>
    <w:tmpl w:val="4A3C347A"/>
    <w:lvl w:ilvl="0" w:tplc="50B4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E071D"/>
    <w:multiLevelType w:val="hybridMultilevel"/>
    <w:tmpl w:val="74ECFF98"/>
    <w:lvl w:ilvl="0" w:tplc="7766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627A"/>
    <w:multiLevelType w:val="hybridMultilevel"/>
    <w:tmpl w:val="FA7E7456"/>
    <w:lvl w:ilvl="0" w:tplc="0A7A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30B03"/>
    <w:multiLevelType w:val="hybridMultilevel"/>
    <w:tmpl w:val="2CD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0604C"/>
    <w:multiLevelType w:val="hybridMultilevel"/>
    <w:tmpl w:val="A574E34A"/>
    <w:lvl w:ilvl="0" w:tplc="41A2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D146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A1833"/>
    <w:multiLevelType w:val="hybridMultilevel"/>
    <w:tmpl w:val="61B6F2EE"/>
    <w:lvl w:ilvl="0" w:tplc="9BAA3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E4033"/>
    <w:multiLevelType w:val="hybridMultilevel"/>
    <w:tmpl w:val="80D28C1C"/>
    <w:lvl w:ilvl="0" w:tplc="DABC1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DC0"/>
    <w:multiLevelType w:val="hybridMultilevel"/>
    <w:tmpl w:val="51C2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2597B"/>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E75A2E"/>
    <w:multiLevelType w:val="hybridMultilevel"/>
    <w:tmpl w:val="D6749A34"/>
    <w:lvl w:ilvl="0" w:tplc="37B6A7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415A4"/>
    <w:multiLevelType w:val="hybridMultilevel"/>
    <w:tmpl w:val="B16CF01A"/>
    <w:lvl w:ilvl="0" w:tplc="7AEE5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54266"/>
    <w:multiLevelType w:val="hybridMultilevel"/>
    <w:tmpl w:val="73FE3232"/>
    <w:lvl w:ilvl="0" w:tplc="235AA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786945"/>
    <w:multiLevelType w:val="hybridMultilevel"/>
    <w:tmpl w:val="6FA2FE8C"/>
    <w:lvl w:ilvl="0" w:tplc="E44E3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B57706"/>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7F45FF"/>
    <w:multiLevelType w:val="hybridMultilevel"/>
    <w:tmpl w:val="F73EC280"/>
    <w:lvl w:ilvl="0" w:tplc="48181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B42EB"/>
    <w:multiLevelType w:val="hybridMultilevel"/>
    <w:tmpl w:val="0C849F70"/>
    <w:lvl w:ilvl="0" w:tplc="4DD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518BB"/>
    <w:multiLevelType w:val="hybridMultilevel"/>
    <w:tmpl w:val="2E888362"/>
    <w:lvl w:ilvl="0" w:tplc="7BC00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88F16F5"/>
    <w:multiLevelType w:val="hybridMultilevel"/>
    <w:tmpl w:val="5810DF8A"/>
    <w:lvl w:ilvl="0" w:tplc="DDB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C67813"/>
    <w:multiLevelType w:val="hybridMultilevel"/>
    <w:tmpl w:val="6C72CAEA"/>
    <w:lvl w:ilvl="0" w:tplc="9D5436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A2F2C"/>
    <w:multiLevelType w:val="hybridMultilevel"/>
    <w:tmpl w:val="DD8A896C"/>
    <w:lvl w:ilvl="0" w:tplc="493C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75537"/>
    <w:multiLevelType w:val="hybridMultilevel"/>
    <w:tmpl w:val="A3ACADCC"/>
    <w:lvl w:ilvl="0" w:tplc="84485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06ADD"/>
    <w:multiLevelType w:val="hybridMultilevel"/>
    <w:tmpl w:val="C212C060"/>
    <w:lvl w:ilvl="0" w:tplc="30CC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652548"/>
    <w:multiLevelType w:val="hybridMultilevel"/>
    <w:tmpl w:val="D870BFBC"/>
    <w:lvl w:ilvl="0" w:tplc="EA38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47475"/>
    <w:multiLevelType w:val="hybridMultilevel"/>
    <w:tmpl w:val="3162D52A"/>
    <w:lvl w:ilvl="0" w:tplc="92F40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A235C"/>
    <w:multiLevelType w:val="hybridMultilevel"/>
    <w:tmpl w:val="57CA4DF8"/>
    <w:lvl w:ilvl="0" w:tplc="67E06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F5521"/>
    <w:multiLevelType w:val="multilevel"/>
    <w:tmpl w:val="4EBA8E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FDC00F8"/>
    <w:multiLevelType w:val="hybridMultilevel"/>
    <w:tmpl w:val="BA32A678"/>
    <w:lvl w:ilvl="0" w:tplc="1C88F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F180D"/>
    <w:multiLevelType w:val="hybridMultilevel"/>
    <w:tmpl w:val="0EECD49E"/>
    <w:lvl w:ilvl="0" w:tplc="65A8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701E8"/>
    <w:multiLevelType w:val="multilevel"/>
    <w:tmpl w:val="416E6D4A"/>
    <w:lvl w:ilvl="0">
      <w:start w:val="1"/>
      <w:numFmt w:val="decimal"/>
      <w:lvlText w:val="%1."/>
      <w:lvlJc w:val="left"/>
      <w:pPr>
        <w:ind w:left="720" w:hanging="360"/>
      </w:pPr>
      <w:rPr>
        <w:rFonts w:ascii="Univers" w:eastAsia="Calibri" w:hAnsi="Univers" w:cs="Vani" w:hint="default"/>
      </w:rPr>
    </w:lvl>
    <w:lvl w:ilvl="1">
      <w:start w:val="1"/>
      <w:numFmt w:val="decimal"/>
      <w:isLgl/>
      <w:lvlText w:val="%1.%2"/>
      <w:lvlJc w:val="left"/>
      <w:pPr>
        <w:ind w:left="1418" w:hanging="1418"/>
      </w:pPr>
      <w:rPr>
        <w:rFonts w:hint="default"/>
        <w:b w:val="0"/>
      </w:rPr>
    </w:lvl>
    <w:lvl w:ilvl="2">
      <w:start w:val="1"/>
      <w:numFmt w:val="decimal"/>
      <w:isLgl/>
      <w:lvlText w:val="%1.%2.%3"/>
      <w:lvlJc w:val="left"/>
      <w:pPr>
        <w:ind w:left="1785" w:hanging="1425"/>
      </w:pPr>
      <w:rPr>
        <w:rFonts w:hint="default"/>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39546F1"/>
    <w:multiLevelType w:val="hybridMultilevel"/>
    <w:tmpl w:val="2070C092"/>
    <w:lvl w:ilvl="0" w:tplc="47169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845110"/>
    <w:multiLevelType w:val="hybridMultilevel"/>
    <w:tmpl w:val="05968506"/>
    <w:lvl w:ilvl="0" w:tplc="D3EA4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835994"/>
    <w:multiLevelType w:val="hybridMultilevel"/>
    <w:tmpl w:val="E5441FE0"/>
    <w:lvl w:ilvl="0" w:tplc="CAA80E1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96B3A"/>
    <w:multiLevelType w:val="hybridMultilevel"/>
    <w:tmpl w:val="D78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DA444F"/>
    <w:multiLevelType w:val="hybridMultilevel"/>
    <w:tmpl w:val="9A227EA2"/>
    <w:lvl w:ilvl="0" w:tplc="99C6D4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8C77DA"/>
    <w:multiLevelType w:val="hybridMultilevel"/>
    <w:tmpl w:val="1A082DEC"/>
    <w:lvl w:ilvl="0" w:tplc="A03CC1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92C15"/>
    <w:multiLevelType w:val="hybridMultilevel"/>
    <w:tmpl w:val="9740D8B0"/>
    <w:lvl w:ilvl="0" w:tplc="DEA28A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366F4"/>
    <w:multiLevelType w:val="hybridMultilevel"/>
    <w:tmpl w:val="82160E0A"/>
    <w:lvl w:ilvl="0" w:tplc="6A2CB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11F14"/>
    <w:multiLevelType w:val="hybridMultilevel"/>
    <w:tmpl w:val="B49C7836"/>
    <w:lvl w:ilvl="0" w:tplc="8D72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986423"/>
    <w:multiLevelType w:val="hybridMultilevel"/>
    <w:tmpl w:val="05EEC8BE"/>
    <w:lvl w:ilvl="0" w:tplc="1E7020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7B5E1E1D"/>
    <w:multiLevelType w:val="hybridMultilevel"/>
    <w:tmpl w:val="51C2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D7FD7"/>
    <w:multiLevelType w:val="hybridMultilevel"/>
    <w:tmpl w:val="CFCAF4EA"/>
    <w:lvl w:ilvl="0" w:tplc="5BB6E9B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8"/>
  </w:num>
  <w:num w:numId="3">
    <w:abstractNumId w:val="9"/>
  </w:num>
  <w:num w:numId="4">
    <w:abstractNumId w:val="23"/>
  </w:num>
  <w:num w:numId="5">
    <w:abstractNumId w:val="34"/>
  </w:num>
  <w:num w:numId="6">
    <w:abstractNumId w:val="18"/>
  </w:num>
  <w:num w:numId="7">
    <w:abstractNumId w:val="11"/>
  </w:num>
  <w:num w:numId="8">
    <w:abstractNumId w:val="24"/>
  </w:num>
  <w:num w:numId="9">
    <w:abstractNumId w:val="8"/>
  </w:num>
  <w:num w:numId="10">
    <w:abstractNumId w:val="31"/>
  </w:num>
  <w:num w:numId="11">
    <w:abstractNumId w:val="2"/>
  </w:num>
  <w:num w:numId="12">
    <w:abstractNumId w:val="7"/>
  </w:num>
  <w:num w:numId="13">
    <w:abstractNumId w:val="5"/>
  </w:num>
  <w:num w:numId="14">
    <w:abstractNumId w:val="20"/>
  </w:num>
  <w:num w:numId="15">
    <w:abstractNumId w:val="44"/>
  </w:num>
  <w:num w:numId="16">
    <w:abstractNumId w:val="43"/>
  </w:num>
  <w:num w:numId="17">
    <w:abstractNumId w:val="37"/>
  </w:num>
  <w:num w:numId="18">
    <w:abstractNumId w:val="26"/>
  </w:num>
  <w:num w:numId="19">
    <w:abstractNumId w:val="33"/>
  </w:num>
  <w:num w:numId="20">
    <w:abstractNumId w:val="30"/>
  </w:num>
  <w:num w:numId="21">
    <w:abstractNumId w:val="27"/>
  </w:num>
  <w:num w:numId="22">
    <w:abstractNumId w:val="28"/>
  </w:num>
  <w:num w:numId="23">
    <w:abstractNumId w:val="45"/>
  </w:num>
  <w:num w:numId="24">
    <w:abstractNumId w:val="14"/>
  </w:num>
  <w:num w:numId="25">
    <w:abstractNumId w:val="19"/>
  </w:num>
  <w:num w:numId="26">
    <w:abstractNumId w:val="4"/>
  </w:num>
  <w:num w:numId="27">
    <w:abstractNumId w:val="3"/>
  </w:num>
  <w:num w:numId="28">
    <w:abstractNumId w:val="1"/>
  </w:num>
  <w:num w:numId="29">
    <w:abstractNumId w:val="35"/>
  </w:num>
  <w:num w:numId="30">
    <w:abstractNumId w:val="13"/>
  </w:num>
  <w:num w:numId="31">
    <w:abstractNumId w:val="40"/>
  </w:num>
  <w:num w:numId="32">
    <w:abstractNumId w:val="25"/>
  </w:num>
  <w:num w:numId="33">
    <w:abstractNumId w:val="21"/>
  </w:num>
  <w:num w:numId="34">
    <w:abstractNumId w:val="29"/>
  </w:num>
  <w:num w:numId="35">
    <w:abstractNumId w:val="41"/>
  </w:num>
  <w:num w:numId="36">
    <w:abstractNumId w:val="12"/>
  </w:num>
  <w:num w:numId="37">
    <w:abstractNumId w:val="17"/>
  </w:num>
  <w:num w:numId="38">
    <w:abstractNumId w:val="0"/>
  </w:num>
  <w:num w:numId="39">
    <w:abstractNumId w:val="46"/>
  </w:num>
  <w:num w:numId="40">
    <w:abstractNumId w:val="16"/>
  </w:num>
  <w:num w:numId="41">
    <w:abstractNumId w:val="36"/>
  </w:num>
  <w:num w:numId="42">
    <w:abstractNumId w:val="22"/>
  </w:num>
  <w:num w:numId="43">
    <w:abstractNumId w:val="32"/>
  </w:num>
  <w:num w:numId="44">
    <w:abstractNumId w:val="38"/>
  </w:num>
  <w:num w:numId="45">
    <w:abstractNumId w:val="39"/>
  </w:num>
  <w:num w:numId="46">
    <w:abstractNumId w:val="42"/>
  </w:num>
  <w:num w:numId="47">
    <w:abstractNumId w:val="47"/>
  </w:num>
  <w:num w:numId="48">
    <w:abstractNumId w:val="1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18AE"/>
    <w:rsid w:val="00003556"/>
    <w:rsid w:val="00007CE3"/>
    <w:rsid w:val="00013458"/>
    <w:rsid w:val="00016245"/>
    <w:rsid w:val="00020DBB"/>
    <w:rsid w:val="00021233"/>
    <w:rsid w:val="00022B7D"/>
    <w:rsid w:val="00027A8B"/>
    <w:rsid w:val="00032E7D"/>
    <w:rsid w:val="00052E11"/>
    <w:rsid w:val="00053AC5"/>
    <w:rsid w:val="00055AB6"/>
    <w:rsid w:val="0006537F"/>
    <w:rsid w:val="000705A7"/>
    <w:rsid w:val="00071C02"/>
    <w:rsid w:val="000730D6"/>
    <w:rsid w:val="00074D76"/>
    <w:rsid w:val="00076F33"/>
    <w:rsid w:val="00081125"/>
    <w:rsid w:val="00081BA4"/>
    <w:rsid w:val="00082C3F"/>
    <w:rsid w:val="00083528"/>
    <w:rsid w:val="000843FA"/>
    <w:rsid w:val="00084FF1"/>
    <w:rsid w:val="00091C5F"/>
    <w:rsid w:val="00091C85"/>
    <w:rsid w:val="00093030"/>
    <w:rsid w:val="00093D02"/>
    <w:rsid w:val="000A1483"/>
    <w:rsid w:val="000A1DBA"/>
    <w:rsid w:val="000A1F50"/>
    <w:rsid w:val="000A2D44"/>
    <w:rsid w:val="000A7F49"/>
    <w:rsid w:val="000B1C0E"/>
    <w:rsid w:val="000B422C"/>
    <w:rsid w:val="000C3635"/>
    <w:rsid w:val="000C471B"/>
    <w:rsid w:val="000D1290"/>
    <w:rsid w:val="000D1FE3"/>
    <w:rsid w:val="000D7DB1"/>
    <w:rsid w:val="000E0DB1"/>
    <w:rsid w:val="000E16FA"/>
    <w:rsid w:val="000E39FC"/>
    <w:rsid w:val="000E5726"/>
    <w:rsid w:val="000F13C5"/>
    <w:rsid w:val="000F2ED1"/>
    <w:rsid w:val="00103C98"/>
    <w:rsid w:val="001067E6"/>
    <w:rsid w:val="00106D94"/>
    <w:rsid w:val="001077DF"/>
    <w:rsid w:val="00107B4C"/>
    <w:rsid w:val="00112230"/>
    <w:rsid w:val="0011646B"/>
    <w:rsid w:val="00117E6E"/>
    <w:rsid w:val="001212A2"/>
    <w:rsid w:val="00122128"/>
    <w:rsid w:val="0012460A"/>
    <w:rsid w:val="001249B5"/>
    <w:rsid w:val="00131C11"/>
    <w:rsid w:val="00134089"/>
    <w:rsid w:val="00134266"/>
    <w:rsid w:val="0013527F"/>
    <w:rsid w:val="00140E10"/>
    <w:rsid w:val="00142BD9"/>
    <w:rsid w:val="001441F0"/>
    <w:rsid w:val="0015193B"/>
    <w:rsid w:val="00154608"/>
    <w:rsid w:val="001602EF"/>
    <w:rsid w:val="0016475E"/>
    <w:rsid w:val="00165F55"/>
    <w:rsid w:val="00166FFB"/>
    <w:rsid w:val="00170F0E"/>
    <w:rsid w:val="00174C64"/>
    <w:rsid w:val="00174D50"/>
    <w:rsid w:val="001775CE"/>
    <w:rsid w:val="00182054"/>
    <w:rsid w:val="00184716"/>
    <w:rsid w:val="0018534A"/>
    <w:rsid w:val="001862BF"/>
    <w:rsid w:val="00187D56"/>
    <w:rsid w:val="001919CF"/>
    <w:rsid w:val="00193056"/>
    <w:rsid w:val="00196C0D"/>
    <w:rsid w:val="001A35CC"/>
    <w:rsid w:val="001A5199"/>
    <w:rsid w:val="001B744C"/>
    <w:rsid w:val="001B7972"/>
    <w:rsid w:val="001C075A"/>
    <w:rsid w:val="001C1E57"/>
    <w:rsid w:val="001C260A"/>
    <w:rsid w:val="001C3291"/>
    <w:rsid w:val="001C5C9A"/>
    <w:rsid w:val="001C72F5"/>
    <w:rsid w:val="001C734D"/>
    <w:rsid w:val="001D2C1A"/>
    <w:rsid w:val="001D6016"/>
    <w:rsid w:val="001E33C3"/>
    <w:rsid w:val="001E3E16"/>
    <w:rsid w:val="001E49B5"/>
    <w:rsid w:val="001E5B50"/>
    <w:rsid w:val="001E6034"/>
    <w:rsid w:val="002026D3"/>
    <w:rsid w:val="002029DC"/>
    <w:rsid w:val="00207A3D"/>
    <w:rsid w:val="0021401E"/>
    <w:rsid w:val="00217C64"/>
    <w:rsid w:val="002206A8"/>
    <w:rsid w:val="00221386"/>
    <w:rsid w:val="0022264C"/>
    <w:rsid w:val="002265FE"/>
    <w:rsid w:val="00226767"/>
    <w:rsid w:val="00230BE3"/>
    <w:rsid w:val="002318E9"/>
    <w:rsid w:val="0023479D"/>
    <w:rsid w:val="002358C8"/>
    <w:rsid w:val="002363F2"/>
    <w:rsid w:val="0023687E"/>
    <w:rsid w:val="0023781F"/>
    <w:rsid w:val="00240526"/>
    <w:rsid w:val="00244ADF"/>
    <w:rsid w:val="00255DBD"/>
    <w:rsid w:val="00263C19"/>
    <w:rsid w:val="00266BF5"/>
    <w:rsid w:val="002765E9"/>
    <w:rsid w:val="0027744F"/>
    <w:rsid w:val="00284EB8"/>
    <w:rsid w:val="00285099"/>
    <w:rsid w:val="002866DB"/>
    <w:rsid w:val="002932D5"/>
    <w:rsid w:val="002A02F4"/>
    <w:rsid w:val="002A084B"/>
    <w:rsid w:val="002A706E"/>
    <w:rsid w:val="002A7BA7"/>
    <w:rsid w:val="002B7D52"/>
    <w:rsid w:val="002C6FDB"/>
    <w:rsid w:val="002C7FF4"/>
    <w:rsid w:val="002D31F7"/>
    <w:rsid w:val="002D3E60"/>
    <w:rsid w:val="002D4ECE"/>
    <w:rsid w:val="002D52CE"/>
    <w:rsid w:val="002D7B47"/>
    <w:rsid w:val="002E0339"/>
    <w:rsid w:val="002E09F6"/>
    <w:rsid w:val="002E291E"/>
    <w:rsid w:val="002E6E72"/>
    <w:rsid w:val="002E757C"/>
    <w:rsid w:val="00300829"/>
    <w:rsid w:val="00300E8E"/>
    <w:rsid w:val="003051ED"/>
    <w:rsid w:val="0030639A"/>
    <w:rsid w:val="003103B4"/>
    <w:rsid w:val="00310732"/>
    <w:rsid w:val="00313410"/>
    <w:rsid w:val="0031434B"/>
    <w:rsid w:val="0031727E"/>
    <w:rsid w:val="003201BA"/>
    <w:rsid w:val="00324B8C"/>
    <w:rsid w:val="00331780"/>
    <w:rsid w:val="00333FC9"/>
    <w:rsid w:val="00336B3B"/>
    <w:rsid w:val="00337354"/>
    <w:rsid w:val="0034122B"/>
    <w:rsid w:val="00347D9D"/>
    <w:rsid w:val="00347F62"/>
    <w:rsid w:val="0035149A"/>
    <w:rsid w:val="0035325C"/>
    <w:rsid w:val="00357B47"/>
    <w:rsid w:val="00362236"/>
    <w:rsid w:val="00367442"/>
    <w:rsid w:val="0037313E"/>
    <w:rsid w:val="0037450D"/>
    <w:rsid w:val="00376B59"/>
    <w:rsid w:val="00381285"/>
    <w:rsid w:val="00383BC1"/>
    <w:rsid w:val="00391441"/>
    <w:rsid w:val="00393917"/>
    <w:rsid w:val="00394DF3"/>
    <w:rsid w:val="003955D8"/>
    <w:rsid w:val="003A3CED"/>
    <w:rsid w:val="003B0EEF"/>
    <w:rsid w:val="003B46E9"/>
    <w:rsid w:val="003B530C"/>
    <w:rsid w:val="003B6379"/>
    <w:rsid w:val="003C6877"/>
    <w:rsid w:val="003C72D8"/>
    <w:rsid w:val="003D0903"/>
    <w:rsid w:val="003D1916"/>
    <w:rsid w:val="003D1CEF"/>
    <w:rsid w:val="003D27CE"/>
    <w:rsid w:val="003D316E"/>
    <w:rsid w:val="003D37EF"/>
    <w:rsid w:val="003D6F92"/>
    <w:rsid w:val="003E2CA0"/>
    <w:rsid w:val="003E3019"/>
    <w:rsid w:val="003E3289"/>
    <w:rsid w:val="003E4381"/>
    <w:rsid w:val="003E4535"/>
    <w:rsid w:val="003E4F33"/>
    <w:rsid w:val="003E7496"/>
    <w:rsid w:val="003F15D4"/>
    <w:rsid w:val="003F1885"/>
    <w:rsid w:val="003F3832"/>
    <w:rsid w:val="003F3A84"/>
    <w:rsid w:val="003F4B7C"/>
    <w:rsid w:val="003F747F"/>
    <w:rsid w:val="00400887"/>
    <w:rsid w:val="00401F1A"/>
    <w:rsid w:val="0040435F"/>
    <w:rsid w:val="00404453"/>
    <w:rsid w:val="00405094"/>
    <w:rsid w:val="00412F4A"/>
    <w:rsid w:val="004136A1"/>
    <w:rsid w:val="004150FA"/>
    <w:rsid w:val="00416DF2"/>
    <w:rsid w:val="004200D9"/>
    <w:rsid w:val="004217AE"/>
    <w:rsid w:val="00421D33"/>
    <w:rsid w:val="0042536C"/>
    <w:rsid w:val="00425E3B"/>
    <w:rsid w:val="00434C13"/>
    <w:rsid w:val="004374B1"/>
    <w:rsid w:val="00437780"/>
    <w:rsid w:val="00440F46"/>
    <w:rsid w:val="00442ADF"/>
    <w:rsid w:val="00442E3C"/>
    <w:rsid w:val="00443458"/>
    <w:rsid w:val="00444370"/>
    <w:rsid w:val="00444D02"/>
    <w:rsid w:val="0044794A"/>
    <w:rsid w:val="00447F20"/>
    <w:rsid w:val="004554EB"/>
    <w:rsid w:val="00455B56"/>
    <w:rsid w:val="0046168C"/>
    <w:rsid w:val="00464720"/>
    <w:rsid w:val="004667E3"/>
    <w:rsid w:val="00467AD1"/>
    <w:rsid w:val="00470470"/>
    <w:rsid w:val="00471B47"/>
    <w:rsid w:val="00472707"/>
    <w:rsid w:val="004729CA"/>
    <w:rsid w:val="0047444A"/>
    <w:rsid w:val="00482331"/>
    <w:rsid w:val="00495E70"/>
    <w:rsid w:val="004A053C"/>
    <w:rsid w:val="004A1073"/>
    <w:rsid w:val="004A4692"/>
    <w:rsid w:val="004B0B95"/>
    <w:rsid w:val="004B1DC9"/>
    <w:rsid w:val="004B3A04"/>
    <w:rsid w:val="004B6FAA"/>
    <w:rsid w:val="004B7F95"/>
    <w:rsid w:val="004D3AE3"/>
    <w:rsid w:val="004D40E1"/>
    <w:rsid w:val="004E149A"/>
    <w:rsid w:val="004E7336"/>
    <w:rsid w:val="004E7D08"/>
    <w:rsid w:val="0050000C"/>
    <w:rsid w:val="0050184C"/>
    <w:rsid w:val="00504FB0"/>
    <w:rsid w:val="0050777D"/>
    <w:rsid w:val="00510A3B"/>
    <w:rsid w:val="0051658A"/>
    <w:rsid w:val="0052349D"/>
    <w:rsid w:val="005239F8"/>
    <w:rsid w:val="00523C22"/>
    <w:rsid w:val="0052650D"/>
    <w:rsid w:val="0052750D"/>
    <w:rsid w:val="0053614D"/>
    <w:rsid w:val="0053728C"/>
    <w:rsid w:val="005414C3"/>
    <w:rsid w:val="0054317C"/>
    <w:rsid w:val="005446E5"/>
    <w:rsid w:val="005527D4"/>
    <w:rsid w:val="005531B2"/>
    <w:rsid w:val="00553F83"/>
    <w:rsid w:val="00555758"/>
    <w:rsid w:val="00560A86"/>
    <w:rsid w:val="00564844"/>
    <w:rsid w:val="00564D29"/>
    <w:rsid w:val="00567A8B"/>
    <w:rsid w:val="00570BF9"/>
    <w:rsid w:val="00570FBF"/>
    <w:rsid w:val="0057332C"/>
    <w:rsid w:val="00573502"/>
    <w:rsid w:val="005749ED"/>
    <w:rsid w:val="00575C90"/>
    <w:rsid w:val="005761C8"/>
    <w:rsid w:val="00590810"/>
    <w:rsid w:val="00591415"/>
    <w:rsid w:val="005915A3"/>
    <w:rsid w:val="00591C54"/>
    <w:rsid w:val="00592DFD"/>
    <w:rsid w:val="00593915"/>
    <w:rsid w:val="00594408"/>
    <w:rsid w:val="00596B05"/>
    <w:rsid w:val="00596B0E"/>
    <w:rsid w:val="00597328"/>
    <w:rsid w:val="005A05E0"/>
    <w:rsid w:val="005A560C"/>
    <w:rsid w:val="005B59AD"/>
    <w:rsid w:val="005C06DB"/>
    <w:rsid w:val="005C37FF"/>
    <w:rsid w:val="005C5676"/>
    <w:rsid w:val="005D5A13"/>
    <w:rsid w:val="005D5B0E"/>
    <w:rsid w:val="005D7108"/>
    <w:rsid w:val="005E143E"/>
    <w:rsid w:val="005E19CA"/>
    <w:rsid w:val="005E582A"/>
    <w:rsid w:val="005E58F3"/>
    <w:rsid w:val="005E71A7"/>
    <w:rsid w:val="005E7450"/>
    <w:rsid w:val="005E7A75"/>
    <w:rsid w:val="005E7E19"/>
    <w:rsid w:val="005F299F"/>
    <w:rsid w:val="005F4371"/>
    <w:rsid w:val="006027F2"/>
    <w:rsid w:val="00604732"/>
    <w:rsid w:val="006079D6"/>
    <w:rsid w:val="00607B14"/>
    <w:rsid w:val="00611EE6"/>
    <w:rsid w:val="00613ACE"/>
    <w:rsid w:val="006151CB"/>
    <w:rsid w:val="00617608"/>
    <w:rsid w:val="00620A0A"/>
    <w:rsid w:val="00620F60"/>
    <w:rsid w:val="00622059"/>
    <w:rsid w:val="006225B3"/>
    <w:rsid w:val="00623F07"/>
    <w:rsid w:val="00631451"/>
    <w:rsid w:val="00633FBD"/>
    <w:rsid w:val="006350FC"/>
    <w:rsid w:val="00636633"/>
    <w:rsid w:val="006428D5"/>
    <w:rsid w:val="006450EF"/>
    <w:rsid w:val="00646935"/>
    <w:rsid w:val="006512CA"/>
    <w:rsid w:val="00653D93"/>
    <w:rsid w:val="00655473"/>
    <w:rsid w:val="00663153"/>
    <w:rsid w:val="00663E55"/>
    <w:rsid w:val="006644D2"/>
    <w:rsid w:val="00670467"/>
    <w:rsid w:val="00671C95"/>
    <w:rsid w:val="00672202"/>
    <w:rsid w:val="00672D72"/>
    <w:rsid w:val="00673F6A"/>
    <w:rsid w:val="006746EA"/>
    <w:rsid w:val="006754B1"/>
    <w:rsid w:val="0068230D"/>
    <w:rsid w:val="00682EA7"/>
    <w:rsid w:val="00684F1F"/>
    <w:rsid w:val="00687BE5"/>
    <w:rsid w:val="006940E6"/>
    <w:rsid w:val="006946EE"/>
    <w:rsid w:val="006A3768"/>
    <w:rsid w:val="006A567B"/>
    <w:rsid w:val="006A645B"/>
    <w:rsid w:val="006A6599"/>
    <w:rsid w:val="006A71FB"/>
    <w:rsid w:val="006B2A00"/>
    <w:rsid w:val="006B4C2C"/>
    <w:rsid w:val="006C4FB2"/>
    <w:rsid w:val="006C5352"/>
    <w:rsid w:val="006C67B4"/>
    <w:rsid w:val="006D056D"/>
    <w:rsid w:val="006D7669"/>
    <w:rsid w:val="006E4DC0"/>
    <w:rsid w:val="006E7810"/>
    <w:rsid w:val="006F104B"/>
    <w:rsid w:val="006F1060"/>
    <w:rsid w:val="006F6DDE"/>
    <w:rsid w:val="00702160"/>
    <w:rsid w:val="00703379"/>
    <w:rsid w:val="007107EB"/>
    <w:rsid w:val="007117F6"/>
    <w:rsid w:val="00712625"/>
    <w:rsid w:val="0071363B"/>
    <w:rsid w:val="007136F4"/>
    <w:rsid w:val="0071371D"/>
    <w:rsid w:val="00722729"/>
    <w:rsid w:val="00722D6E"/>
    <w:rsid w:val="00730D37"/>
    <w:rsid w:val="00732236"/>
    <w:rsid w:val="00733F81"/>
    <w:rsid w:val="00734FB3"/>
    <w:rsid w:val="00735261"/>
    <w:rsid w:val="007365A6"/>
    <w:rsid w:val="00741905"/>
    <w:rsid w:val="0075096F"/>
    <w:rsid w:val="00752443"/>
    <w:rsid w:val="00756AB3"/>
    <w:rsid w:val="00757CC7"/>
    <w:rsid w:val="00762D44"/>
    <w:rsid w:val="00767812"/>
    <w:rsid w:val="00767D6D"/>
    <w:rsid w:val="00772756"/>
    <w:rsid w:val="0078095F"/>
    <w:rsid w:val="00783757"/>
    <w:rsid w:val="007868A7"/>
    <w:rsid w:val="00787B0C"/>
    <w:rsid w:val="00790A1D"/>
    <w:rsid w:val="00792916"/>
    <w:rsid w:val="00796FD9"/>
    <w:rsid w:val="007A1453"/>
    <w:rsid w:val="007A532F"/>
    <w:rsid w:val="007A6E50"/>
    <w:rsid w:val="007A6F3F"/>
    <w:rsid w:val="007B3127"/>
    <w:rsid w:val="007B431A"/>
    <w:rsid w:val="007B6EFC"/>
    <w:rsid w:val="007C00E2"/>
    <w:rsid w:val="007C4221"/>
    <w:rsid w:val="007C46B7"/>
    <w:rsid w:val="007C6000"/>
    <w:rsid w:val="007D247C"/>
    <w:rsid w:val="007D4A5B"/>
    <w:rsid w:val="007E3691"/>
    <w:rsid w:val="007E431D"/>
    <w:rsid w:val="007F0F63"/>
    <w:rsid w:val="007F199A"/>
    <w:rsid w:val="007F1AC7"/>
    <w:rsid w:val="007F2961"/>
    <w:rsid w:val="007F5205"/>
    <w:rsid w:val="00803E67"/>
    <w:rsid w:val="0081063E"/>
    <w:rsid w:val="00812F32"/>
    <w:rsid w:val="00813BE0"/>
    <w:rsid w:val="008160EF"/>
    <w:rsid w:val="00816B1F"/>
    <w:rsid w:val="00817306"/>
    <w:rsid w:val="00821C8E"/>
    <w:rsid w:val="00822FBE"/>
    <w:rsid w:val="00823E8A"/>
    <w:rsid w:val="008260B0"/>
    <w:rsid w:val="00826686"/>
    <w:rsid w:val="00833F51"/>
    <w:rsid w:val="008355B1"/>
    <w:rsid w:val="00841DF3"/>
    <w:rsid w:val="00844EC6"/>
    <w:rsid w:val="00845E92"/>
    <w:rsid w:val="00846AE9"/>
    <w:rsid w:val="00853357"/>
    <w:rsid w:val="008544D1"/>
    <w:rsid w:val="00860556"/>
    <w:rsid w:val="00861C49"/>
    <w:rsid w:val="00864DEA"/>
    <w:rsid w:val="00866C23"/>
    <w:rsid w:val="00871F22"/>
    <w:rsid w:val="00872411"/>
    <w:rsid w:val="00880317"/>
    <w:rsid w:val="0088489B"/>
    <w:rsid w:val="00892135"/>
    <w:rsid w:val="008951B8"/>
    <w:rsid w:val="00897DF9"/>
    <w:rsid w:val="008A3AC8"/>
    <w:rsid w:val="008A41A0"/>
    <w:rsid w:val="008A7B57"/>
    <w:rsid w:val="008B4C5C"/>
    <w:rsid w:val="008B5360"/>
    <w:rsid w:val="008B6094"/>
    <w:rsid w:val="008B6993"/>
    <w:rsid w:val="008B6CDB"/>
    <w:rsid w:val="008B7590"/>
    <w:rsid w:val="008C1FC6"/>
    <w:rsid w:val="008C50C5"/>
    <w:rsid w:val="008C51ED"/>
    <w:rsid w:val="008C5F61"/>
    <w:rsid w:val="008C6109"/>
    <w:rsid w:val="008C6D5A"/>
    <w:rsid w:val="008C7022"/>
    <w:rsid w:val="008D1D17"/>
    <w:rsid w:val="008D2467"/>
    <w:rsid w:val="008D3D5D"/>
    <w:rsid w:val="008D43FD"/>
    <w:rsid w:val="008E5ABD"/>
    <w:rsid w:val="008E7613"/>
    <w:rsid w:val="008F1786"/>
    <w:rsid w:val="008F43A1"/>
    <w:rsid w:val="008F46D1"/>
    <w:rsid w:val="008F5948"/>
    <w:rsid w:val="008F5F95"/>
    <w:rsid w:val="0090041A"/>
    <w:rsid w:val="009004DD"/>
    <w:rsid w:val="00900C59"/>
    <w:rsid w:val="00906B1A"/>
    <w:rsid w:val="00907E84"/>
    <w:rsid w:val="00911895"/>
    <w:rsid w:val="0091224D"/>
    <w:rsid w:val="0091589E"/>
    <w:rsid w:val="00916B50"/>
    <w:rsid w:val="0092026F"/>
    <w:rsid w:val="00920646"/>
    <w:rsid w:val="00923DB0"/>
    <w:rsid w:val="009251F5"/>
    <w:rsid w:val="009304B8"/>
    <w:rsid w:val="00932A95"/>
    <w:rsid w:val="00942027"/>
    <w:rsid w:val="009433EF"/>
    <w:rsid w:val="009453D3"/>
    <w:rsid w:val="00950AA8"/>
    <w:rsid w:val="0095694C"/>
    <w:rsid w:val="00957CDA"/>
    <w:rsid w:val="00961A40"/>
    <w:rsid w:val="0097419D"/>
    <w:rsid w:val="00981275"/>
    <w:rsid w:val="00981AD3"/>
    <w:rsid w:val="0098500A"/>
    <w:rsid w:val="0099255C"/>
    <w:rsid w:val="009929E2"/>
    <w:rsid w:val="009B1264"/>
    <w:rsid w:val="009B14DA"/>
    <w:rsid w:val="009C163C"/>
    <w:rsid w:val="009C1F79"/>
    <w:rsid w:val="009C531A"/>
    <w:rsid w:val="009C5501"/>
    <w:rsid w:val="009D0A13"/>
    <w:rsid w:val="009D1E16"/>
    <w:rsid w:val="009D3787"/>
    <w:rsid w:val="009D3AF2"/>
    <w:rsid w:val="009D4671"/>
    <w:rsid w:val="009D620C"/>
    <w:rsid w:val="009D73D8"/>
    <w:rsid w:val="009D7AC5"/>
    <w:rsid w:val="009E0903"/>
    <w:rsid w:val="009E1C6A"/>
    <w:rsid w:val="009E1EDB"/>
    <w:rsid w:val="009E4078"/>
    <w:rsid w:val="009E7935"/>
    <w:rsid w:val="009F39EC"/>
    <w:rsid w:val="009F55D6"/>
    <w:rsid w:val="00A04E56"/>
    <w:rsid w:val="00A04FA9"/>
    <w:rsid w:val="00A06A11"/>
    <w:rsid w:val="00A0715E"/>
    <w:rsid w:val="00A137DE"/>
    <w:rsid w:val="00A14217"/>
    <w:rsid w:val="00A16228"/>
    <w:rsid w:val="00A218FC"/>
    <w:rsid w:val="00A32163"/>
    <w:rsid w:val="00A3277F"/>
    <w:rsid w:val="00A379CE"/>
    <w:rsid w:val="00A41232"/>
    <w:rsid w:val="00A4483E"/>
    <w:rsid w:val="00A462D4"/>
    <w:rsid w:val="00A5053C"/>
    <w:rsid w:val="00A521F6"/>
    <w:rsid w:val="00A52578"/>
    <w:rsid w:val="00A52E59"/>
    <w:rsid w:val="00A60B38"/>
    <w:rsid w:val="00A67679"/>
    <w:rsid w:val="00A71D37"/>
    <w:rsid w:val="00A72CA1"/>
    <w:rsid w:val="00A72CE8"/>
    <w:rsid w:val="00A77719"/>
    <w:rsid w:val="00A801EC"/>
    <w:rsid w:val="00A833F0"/>
    <w:rsid w:val="00A90200"/>
    <w:rsid w:val="00A902FD"/>
    <w:rsid w:val="00A92B0F"/>
    <w:rsid w:val="00AA033A"/>
    <w:rsid w:val="00AA2A65"/>
    <w:rsid w:val="00AA2C95"/>
    <w:rsid w:val="00AA4E55"/>
    <w:rsid w:val="00AA5394"/>
    <w:rsid w:val="00AB413D"/>
    <w:rsid w:val="00AB4FD9"/>
    <w:rsid w:val="00AB5C49"/>
    <w:rsid w:val="00AB7FC7"/>
    <w:rsid w:val="00AC0095"/>
    <w:rsid w:val="00AC7C48"/>
    <w:rsid w:val="00AC7DA3"/>
    <w:rsid w:val="00AD58A1"/>
    <w:rsid w:val="00AE1B0B"/>
    <w:rsid w:val="00AE54E2"/>
    <w:rsid w:val="00AE6A43"/>
    <w:rsid w:val="00AF02CC"/>
    <w:rsid w:val="00AF18AD"/>
    <w:rsid w:val="00AF2181"/>
    <w:rsid w:val="00AF70D8"/>
    <w:rsid w:val="00AF7D07"/>
    <w:rsid w:val="00AF7F9A"/>
    <w:rsid w:val="00B0456C"/>
    <w:rsid w:val="00B06DC9"/>
    <w:rsid w:val="00B0744D"/>
    <w:rsid w:val="00B1021F"/>
    <w:rsid w:val="00B112D2"/>
    <w:rsid w:val="00B11A4B"/>
    <w:rsid w:val="00B151C2"/>
    <w:rsid w:val="00B16A67"/>
    <w:rsid w:val="00B20852"/>
    <w:rsid w:val="00B20A11"/>
    <w:rsid w:val="00B26F22"/>
    <w:rsid w:val="00B306E6"/>
    <w:rsid w:val="00B35B0F"/>
    <w:rsid w:val="00B41719"/>
    <w:rsid w:val="00B47276"/>
    <w:rsid w:val="00B563E0"/>
    <w:rsid w:val="00B56726"/>
    <w:rsid w:val="00B56A4D"/>
    <w:rsid w:val="00B60406"/>
    <w:rsid w:val="00B62747"/>
    <w:rsid w:val="00B66DD6"/>
    <w:rsid w:val="00B708DC"/>
    <w:rsid w:val="00B712BD"/>
    <w:rsid w:val="00B74F86"/>
    <w:rsid w:val="00B92E59"/>
    <w:rsid w:val="00B95B9C"/>
    <w:rsid w:val="00B97A98"/>
    <w:rsid w:val="00BA7944"/>
    <w:rsid w:val="00BA7E7A"/>
    <w:rsid w:val="00BB1D9B"/>
    <w:rsid w:val="00BB515B"/>
    <w:rsid w:val="00BC064F"/>
    <w:rsid w:val="00BC461C"/>
    <w:rsid w:val="00BD3331"/>
    <w:rsid w:val="00BE31E3"/>
    <w:rsid w:val="00BE34D3"/>
    <w:rsid w:val="00BF12D5"/>
    <w:rsid w:val="00BF3215"/>
    <w:rsid w:val="00BF477D"/>
    <w:rsid w:val="00BF49E2"/>
    <w:rsid w:val="00BF624F"/>
    <w:rsid w:val="00C00790"/>
    <w:rsid w:val="00C015BE"/>
    <w:rsid w:val="00C04934"/>
    <w:rsid w:val="00C07A3D"/>
    <w:rsid w:val="00C07C8B"/>
    <w:rsid w:val="00C10099"/>
    <w:rsid w:val="00C107BE"/>
    <w:rsid w:val="00C20450"/>
    <w:rsid w:val="00C208CE"/>
    <w:rsid w:val="00C2774D"/>
    <w:rsid w:val="00C302E5"/>
    <w:rsid w:val="00C3268E"/>
    <w:rsid w:val="00C3501C"/>
    <w:rsid w:val="00C37D96"/>
    <w:rsid w:val="00C41D52"/>
    <w:rsid w:val="00C44DA7"/>
    <w:rsid w:val="00C44F5A"/>
    <w:rsid w:val="00C47317"/>
    <w:rsid w:val="00C47908"/>
    <w:rsid w:val="00C509CB"/>
    <w:rsid w:val="00C528A3"/>
    <w:rsid w:val="00C54FBB"/>
    <w:rsid w:val="00C57276"/>
    <w:rsid w:val="00C5749B"/>
    <w:rsid w:val="00C5749C"/>
    <w:rsid w:val="00C62C8F"/>
    <w:rsid w:val="00C636C2"/>
    <w:rsid w:val="00C648DC"/>
    <w:rsid w:val="00C66485"/>
    <w:rsid w:val="00C66804"/>
    <w:rsid w:val="00C7061F"/>
    <w:rsid w:val="00C70C28"/>
    <w:rsid w:val="00C714FD"/>
    <w:rsid w:val="00C76E0D"/>
    <w:rsid w:val="00C82195"/>
    <w:rsid w:val="00C931F4"/>
    <w:rsid w:val="00C9641F"/>
    <w:rsid w:val="00C96C89"/>
    <w:rsid w:val="00C97A1F"/>
    <w:rsid w:val="00CA2EE2"/>
    <w:rsid w:val="00CA37FF"/>
    <w:rsid w:val="00CA5FB0"/>
    <w:rsid w:val="00CB09C0"/>
    <w:rsid w:val="00CB1335"/>
    <w:rsid w:val="00CB5F17"/>
    <w:rsid w:val="00CB60EF"/>
    <w:rsid w:val="00CC45ED"/>
    <w:rsid w:val="00CC575E"/>
    <w:rsid w:val="00CC7681"/>
    <w:rsid w:val="00CD468D"/>
    <w:rsid w:val="00CD52F6"/>
    <w:rsid w:val="00CE1011"/>
    <w:rsid w:val="00CE55AD"/>
    <w:rsid w:val="00CF0CE7"/>
    <w:rsid w:val="00CF183E"/>
    <w:rsid w:val="00CF35BC"/>
    <w:rsid w:val="00CF6D01"/>
    <w:rsid w:val="00CF6DA5"/>
    <w:rsid w:val="00D02AF3"/>
    <w:rsid w:val="00D12200"/>
    <w:rsid w:val="00D15C35"/>
    <w:rsid w:val="00D1618F"/>
    <w:rsid w:val="00D16D71"/>
    <w:rsid w:val="00D20C60"/>
    <w:rsid w:val="00D27EFA"/>
    <w:rsid w:val="00D319D7"/>
    <w:rsid w:val="00D327E6"/>
    <w:rsid w:val="00D3398C"/>
    <w:rsid w:val="00D40202"/>
    <w:rsid w:val="00D40C4E"/>
    <w:rsid w:val="00D441CA"/>
    <w:rsid w:val="00D452DD"/>
    <w:rsid w:val="00D475C1"/>
    <w:rsid w:val="00D51BE1"/>
    <w:rsid w:val="00D51E6F"/>
    <w:rsid w:val="00D537AA"/>
    <w:rsid w:val="00D57326"/>
    <w:rsid w:val="00D617EA"/>
    <w:rsid w:val="00D63703"/>
    <w:rsid w:val="00D65397"/>
    <w:rsid w:val="00D74694"/>
    <w:rsid w:val="00D85D9A"/>
    <w:rsid w:val="00D863A5"/>
    <w:rsid w:val="00D92FAB"/>
    <w:rsid w:val="00D93E5F"/>
    <w:rsid w:val="00D97450"/>
    <w:rsid w:val="00D97D4E"/>
    <w:rsid w:val="00DA000E"/>
    <w:rsid w:val="00DA3069"/>
    <w:rsid w:val="00DA439C"/>
    <w:rsid w:val="00DA4C28"/>
    <w:rsid w:val="00DA55D1"/>
    <w:rsid w:val="00DB3774"/>
    <w:rsid w:val="00DB5BCD"/>
    <w:rsid w:val="00DB769C"/>
    <w:rsid w:val="00DC02F6"/>
    <w:rsid w:val="00DC13FF"/>
    <w:rsid w:val="00DC15B6"/>
    <w:rsid w:val="00DC37C9"/>
    <w:rsid w:val="00DC5C56"/>
    <w:rsid w:val="00DD14CA"/>
    <w:rsid w:val="00DD58F6"/>
    <w:rsid w:val="00DD7215"/>
    <w:rsid w:val="00DE16D5"/>
    <w:rsid w:val="00DE3B81"/>
    <w:rsid w:val="00DF4EC9"/>
    <w:rsid w:val="00DF7184"/>
    <w:rsid w:val="00DF71BA"/>
    <w:rsid w:val="00E01CC5"/>
    <w:rsid w:val="00E041B8"/>
    <w:rsid w:val="00E12C2C"/>
    <w:rsid w:val="00E13397"/>
    <w:rsid w:val="00E1591B"/>
    <w:rsid w:val="00E17576"/>
    <w:rsid w:val="00E2482A"/>
    <w:rsid w:val="00E24A8B"/>
    <w:rsid w:val="00E24D90"/>
    <w:rsid w:val="00E272ED"/>
    <w:rsid w:val="00E2796D"/>
    <w:rsid w:val="00E30FC2"/>
    <w:rsid w:val="00E31DD1"/>
    <w:rsid w:val="00E32D62"/>
    <w:rsid w:val="00E42D6B"/>
    <w:rsid w:val="00E4363E"/>
    <w:rsid w:val="00E505BA"/>
    <w:rsid w:val="00E518B9"/>
    <w:rsid w:val="00E54771"/>
    <w:rsid w:val="00E54951"/>
    <w:rsid w:val="00E5729B"/>
    <w:rsid w:val="00E57881"/>
    <w:rsid w:val="00E57C33"/>
    <w:rsid w:val="00E62F9F"/>
    <w:rsid w:val="00E704F1"/>
    <w:rsid w:val="00E70AAD"/>
    <w:rsid w:val="00E7128A"/>
    <w:rsid w:val="00E80E53"/>
    <w:rsid w:val="00E81A24"/>
    <w:rsid w:val="00E82E37"/>
    <w:rsid w:val="00E83180"/>
    <w:rsid w:val="00E8467E"/>
    <w:rsid w:val="00E8510F"/>
    <w:rsid w:val="00E9103B"/>
    <w:rsid w:val="00E97CAB"/>
    <w:rsid w:val="00EA4FCB"/>
    <w:rsid w:val="00EA659D"/>
    <w:rsid w:val="00EA69C9"/>
    <w:rsid w:val="00EA6BB9"/>
    <w:rsid w:val="00EA78CB"/>
    <w:rsid w:val="00EB119E"/>
    <w:rsid w:val="00EB4FAB"/>
    <w:rsid w:val="00EB6CAF"/>
    <w:rsid w:val="00EC0B92"/>
    <w:rsid w:val="00EC29BF"/>
    <w:rsid w:val="00EC3997"/>
    <w:rsid w:val="00EC7A7E"/>
    <w:rsid w:val="00EE24D1"/>
    <w:rsid w:val="00EE2BDF"/>
    <w:rsid w:val="00EE62A9"/>
    <w:rsid w:val="00EF3562"/>
    <w:rsid w:val="00EF3AB2"/>
    <w:rsid w:val="00F029E2"/>
    <w:rsid w:val="00F05731"/>
    <w:rsid w:val="00F06609"/>
    <w:rsid w:val="00F1033C"/>
    <w:rsid w:val="00F14614"/>
    <w:rsid w:val="00F14D4F"/>
    <w:rsid w:val="00F15C82"/>
    <w:rsid w:val="00F1625D"/>
    <w:rsid w:val="00F23496"/>
    <w:rsid w:val="00F259F2"/>
    <w:rsid w:val="00F27CC8"/>
    <w:rsid w:val="00F306FF"/>
    <w:rsid w:val="00F30BA4"/>
    <w:rsid w:val="00F32E87"/>
    <w:rsid w:val="00F420D4"/>
    <w:rsid w:val="00F421E8"/>
    <w:rsid w:val="00F42DC2"/>
    <w:rsid w:val="00F478BF"/>
    <w:rsid w:val="00F47F12"/>
    <w:rsid w:val="00F47FE8"/>
    <w:rsid w:val="00F5076A"/>
    <w:rsid w:val="00F55EA8"/>
    <w:rsid w:val="00F57D56"/>
    <w:rsid w:val="00F64233"/>
    <w:rsid w:val="00F666CC"/>
    <w:rsid w:val="00F671E9"/>
    <w:rsid w:val="00F67E2A"/>
    <w:rsid w:val="00F732A4"/>
    <w:rsid w:val="00F74F71"/>
    <w:rsid w:val="00F82963"/>
    <w:rsid w:val="00F850CD"/>
    <w:rsid w:val="00F85D7C"/>
    <w:rsid w:val="00F868EC"/>
    <w:rsid w:val="00F91CF5"/>
    <w:rsid w:val="00F92FF2"/>
    <w:rsid w:val="00F93654"/>
    <w:rsid w:val="00F96CFF"/>
    <w:rsid w:val="00FA4CA9"/>
    <w:rsid w:val="00FA57E7"/>
    <w:rsid w:val="00FB0BA0"/>
    <w:rsid w:val="00FB450F"/>
    <w:rsid w:val="00FC0252"/>
    <w:rsid w:val="00FC1675"/>
    <w:rsid w:val="00FD38B7"/>
    <w:rsid w:val="00FD6A58"/>
    <w:rsid w:val="00FE0E2D"/>
    <w:rsid w:val="00FE1C10"/>
    <w:rsid w:val="00FE3433"/>
    <w:rsid w:val="00FE3BF3"/>
    <w:rsid w:val="00FE50B1"/>
    <w:rsid w:val="00FE55D7"/>
    <w:rsid w:val="00FF5820"/>
    <w:rsid w:val="00FF65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 w:type="character" w:styleId="Hyperlink">
    <w:name w:val="Hyperlink"/>
    <w:basedOn w:val="DefaultParagraphFont"/>
    <w:uiPriority w:val="99"/>
    <w:unhideWhenUsed/>
    <w:rsid w:val="000B1C0E"/>
    <w:rPr>
      <w:color w:val="0563C1" w:themeColor="hyperlink"/>
      <w:u w:val="single"/>
    </w:rPr>
  </w:style>
  <w:style w:type="paragraph" w:styleId="Revision">
    <w:name w:val="Revision"/>
    <w:hidden/>
    <w:uiPriority w:val="99"/>
    <w:semiHidden/>
    <w:rsid w:val="00F1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ul@hayandscott.co.za" TargetMode="External"/><Relationship Id="rId4" Type="http://schemas.openxmlformats.org/officeDocument/2006/relationships/settings" Target="settings.xml"/><Relationship Id="rId9" Type="http://schemas.openxmlformats.org/officeDocument/2006/relationships/hyperlink" Target="mailto:jmanuel@wyli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7AE7-CEC4-41F6-B582-87E759F8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6531</Words>
  <Characters>37228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E Griffin</cp:lastModifiedBy>
  <cp:revision>5</cp:revision>
  <cp:lastPrinted>2022-09-20T05:09:00Z</cp:lastPrinted>
  <dcterms:created xsi:type="dcterms:W3CDTF">2022-09-15T10:22:00Z</dcterms:created>
  <dcterms:modified xsi:type="dcterms:W3CDTF">2022-09-20T05:10:00Z</dcterms:modified>
</cp:coreProperties>
</file>