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D66" w:rsidRPr="000D2843" w:rsidRDefault="00424D66" w:rsidP="00424D66">
      <w:pPr>
        <w:spacing w:line="360" w:lineRule="auto"/>
        <w:jc w:val="center"/>
        <w:rPr>
          <w:rFonts w:ascii="Arial" w:hAnsi="Arial" w:cs="Arial"/>
          <w:b/>
        </w:rPr>
      </w:pPr>
      <w:r w:rsidRPr="000D2843">
        <w:rPr>
          <w:rFonts w:ascii="Arial" w:hAnsi="Arial" w:cs="Arial"/>
          <w:noProof/>
          <w:lang w:val="en-ZA" w:eastAsia="en-ZA"/>
        </w:rPr>
        <w:drawing>
          <wp:inline distT="0" distB="0" distL="0" distR="0" wp14:anchorId="1B1B06F0" wp14:editId="76E5E506">
            <wp:extent cx="1095375" cy="1029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25111" r="24188"/>
                    <a:stretch>
                      <a:fillRect/>
                    </a:stretch>
                  </pic:blipFill>
                  <pic:spPr bwMode="auto">
                    <a:xfrm>
                      <a:off x="0" y="0"/>
                      <a:ext cx="1095375" cy="1029970"/>
                    </a:xfrm>
                    <a:prstGeom prst="rect">
                      <a:avLst/>
                    </a:prstGeom>
                    <a:noFill/>
                    <a:ln>
                      <a:noFill/>
                    </a:ln>
                  </pic:spPr>
                </pic:pic>
              </a:graphicData>
            </a:graphic>
          </wp:inline>
        </w:drawing>
      </w:r>
    </w:p>
    <w:p w:rsidR="00424D66" w:rsidRPr="000D2843" w:rsidRDefault="00424D66" w:rsidP="00424D66">
      <w:pPr>
        <w:spacing w:line="360" w:lineRule="auto"/>
        <w:jc w:val="center"/>
        <w:rPr>
          <w:rFonts w:ascii="Arial" w:hAnsi="Arial" w:cs="Arial"/>
          <w:b/>
        </w:rPr>
      </w:pPr>
      <w:r w:rsidRPr="000D2843">
        <w:rPr>
          <w:rFonts w:ascii="Arial" w:hAnsi="Arial" w:cs="Arial"/>
          <w:b/>
        </w:rPr>
        <w:t>IN THE HIGH COURT OF SOUTH AFRICA</w:t>
      </w:r>
    </w:p>
    <w:p w:rsidR="00424D66" w:rsidRPr="000D2843" w:rsidRDefault="00424D66" w:rsidP="00424D66">
      <w:pPr>
        <w:spacing w:line="360" w:lineRule="auto"/>
        <w:jc w:val="center"/>
        <w:rPr>
          <w:rFonts w:ascii="Arial" w:hAnsi="Arial" w:cs="Arial"/>
          <w:b/>
        </w:rPr>
      </w:pPr>
      <w:r w:rsidRPr="000D2843">
        <w:rPr>
          <w:rFonts w:ascii="Arial" w:hAnsi="Arial" w:cs="Arial"/>
          <w:b/>
        </w:rPr>
        <w:t>KWAZULU-NATAL DIVISION, PIETERMARITZBURG</w:t>
      </w:r>
    </w:p>
    <w:p w:rsidR="00424D66" w:rsidRPr="000D2843" w:rsidRDefault="00424D66" w:rsidP="00424D66">
      <w:pPr>
        <w:spacing w:line="360" w:lineRule="auto"/>
        <w:jc w:val="right"/>
        <w:rPr>
          <w:rFonts w:ascii="Arial" w:hAnsi="Arial" w:cs="Arial"/>
        </w:rPr>
      </w:pPr>
      <w:r w:rsidRPr="000D2843">
        <w:rPr>
          <w:rFonts w:ascii="Arial" w:hAnsi="Arial" w:cs="Arial"/>
        </w:rPr>
        <w:t xml:space="preserve">Case no. </w:t>
      </w:r>
      <w:r w:rsidR="001D6907">
        <w:rPr>
          <w:rFonts w:ascii="Arial" w:hAnsi="Arial" w:cs="Arial"/>
        </w:rPr>
        <w:t>8855/2017</w:t>
      </w:r>
      <w:r>
        <w:rPr>
          <w:rFonts w:ascii="Arial" w:hAnsi="Arial" w:cs="Arial"/>
        </w:rPr>
        <w:t>P</w:t>
      </w:r>
    </w:p>
    <w:p w:rsidR="00424D66" w:rsidRPr="000D2843" w:rsidRDefault="00424D66" w:rsidP="00424D66">
      <w:pPr>
        <w:spacing w:line="360" w:lineRule="auto"/>
        <w:rPr>
          <w:rFonts w:ascii="Arial" w:hAnsi="Arial" w:cs="Arial"/>
        </w:rPr>
      </w:pPr>
      <w:r w:rsidRPr="000D2843">
        <w:rPr>
          <w:rFonts w:ascii="Arial" w:hAnsi="Arial" w:cs="Arial"/>
        </w:rPr>
        <w:t>In the matter between:</w:t>
      </w:r>
    </w:p>
    <w:p w:rsidR="00424D66" w:rsidRDefault="00424D66" w:rsidP="00424D66">
      <w:pPr>
        <w:spacing w:line="360" w:lineRule="auto"/>
        <w:rPr>
          <w:rFonts w:ascii="Arial" w:hAnsi="Arial" w:cs="Arial"/>
        </w:rPr>
      </w:pPr>
    </w:p>
    <w:p w:rsidR="001D6907" w:rsidRDefault="001D6907" w:rsidP="001D6907">
      <w:pPr>
        <w:spacing w:line="360" w:lineRule="auto"/>
        <w:rPr>
          <w:rFonts w:ascii="Arial" w:hAnsi="Arial" w:cs="Arial"/>
          <w:b/>
        </w:rPr>
      </w:pPr>
      <w:r>
        <w:rPr>
          <w:rFonts w:ascii="Arial" w:hAnsi="Arial" w:cs="Arial"/>
          <w:b/>
        </w:rPr>
        <w:t>STEWART N.O., MICHAEL LAWRENCE</w:t>
      </w:r>
      <w:r>
        <w:rPr>
          <w:rFonts w:ascii="Arial" w:hAnsi="Arial" w:cs="Arial"/>
          <w:b/>
        </w:rPr>
        <w:tab/>
      </w:r>
      <w:r>
        <w:rPr>
          <w:rFonts w:ascii="Arial" w:hAnsi="Arial" w:cs="Arial"/>
          <w:b/>
        </w:rPr>
        <w:tab/>
      </w:r>
      <w:r>
        <w:rPr>
          <w:rFonts w:ascii="Arial" w:hAnsi="Arial" w:cs="Arial"/>
          <w:b/>
        </w:rPr>
        <w:tab/>
        <w:t>FIRST PLAINTIFF</w:t>
      </w:r>
    </w:p>
    <w:p w:rsidR="001D6907" w:rsidRDefault="000B2228" w:rsidP="001D6907">
      <w:pPr>
        <w:spacing w:line="360" w:lineRule="auto"/>
        <w:rPr>
          <w:rFonts w:ascii="Arial" w:hAnsi="Arial" w:cs="Arial"/>
          <w:b/>
        </w:rPr>
      </w:pPr>
      <w:r>
        <w:rPr>
          <w:rFonts w:ascii="Arial" w:hAnsi="Arial" w:cs="Arial"/>
          <w:b/>
        </w:rPr>
        <w:t>BODIB</w:t>
      </w:r>
      <w:r w:rsidR="001D6907">
        <w:rPr>
          <w:rFonts w:ascii="Arial" w:hAnsi="Arial" w:cs="Arial"/>
          <w:b/>
        </w:rPr>
        <w:t xml:space="preserve">E N.O., PULENG FELICITY </w:t>
      </w:r>
      <w:r w:rsidR="001D6907">
        <w:rPr>
          <w:rFonts w:ascii="Arial" w:hAnsi="Arial" w:cs="Arial"/>
          <w:b/>
        </w:rPr>
        <w:tab/>
      </w:r>
      <w:r w:rsidR="001D6907">
        <w:rPr>
          <w:rFonts w:ascii="Arial" w:hAnsi="Arial" w:cs="Arial"/>
          <w:b/>
        </w:rPr>
        <w:tab/>
      </w:r>
      <w:r w:rsidR="001D6907">
        <w:rPr>
          <w:rFonts w:ascii="Arial" w:hAnsi="Arial" w:cs="Arial"/>
          <w:b/>
        </w:rPr>
        <w:tab/>
      </w:r>
      <w:r w:rsidR="001D6907">
        <w:rPr>
          <w:rFonts w:ascii="Arial" w:hAnsi="Arial" w:cs="Arial"/>
          <w:b/>
        </w:rPr>
        <w:tab/>
        <w:t xml:space="preserve">SECOND PLAINITFF </w:t>
      </w:r>
    </w:p>
    <w:p w:rsidR="001D6907" w:rsidRDefault="001D6907" w:rsidP="001D6907">
      <w:pPr>
        <w:spacing w:line="360" w:lineRule="auto"/>
        <w:rPr>
          <w:rFonts w:ascii="Arial" w:hAnsi="Arial" w:cs="Arial"/>
          <w:b/>
        </w:rPr>
      </w:pPr>
      <w:r>
        <w:rPr>
          <w:rFonts w:ascii="Arial" w:hAnsi="Arial" w:cs="Arial"/>
          <w:b/>
        </w:rPr>
        <w:t xml:space="preserve">MASHAMBA N.O., JERIFANOS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THIRD PLAINITFF </w:t>
      </w:r>
    </w:p>
    <w:p w:rsidR="001D6907" w:rsidRDefault="001D6907" w:rsidP="001D6907">
      <w:pPr>
        <w:spacing w:line="360" w:lineRule="auto"/>
        <w:rPr>
          <w:rFonts w:ascii="Arial" w:hAnsi="Arial" w:cs="Arial"/>
        </w:rPr>
      </w:pPr>
      <w:r w:rsidRPr="001D6907">
        <w:rPr>
          <w:rFonts w:ascii="Arial" w:hAnsi="Arial" w:cs="Arial"/>
        </w:rPr>
        <w:t>(</w:t>
      </w:r>
      <w:r>
        <w:rPr>
          <w:rFonts w:ascii="Arial" w:hAnsi="Arial" w:cs="Arial"/>
        </w:rPr>
        <w:t>IN THEIR CAPACITY</w:t>
      </w:r>
      <w:r w:rsidRPr="001D6907">
        <w:rPr>
          <w:rFonts w:ascii="Arial" w:hAnsi="Arial" w:cs="Arial"/>
        </w:rPr>
        <w:t xml:space="preserve"> AS THE JOINT LIQUIDATORS O</w:t>
      </w:r>
      <w:r w:rsidR="000B2228">
        <w:rPr>
          <w:rFonts w:ascii="Arial" w:hAnsi="Arial" w:cs="Arial"/>
        </w:rPr>
        <w:t>F CARMOL DISTRIBUTORS (PTY) LTD</w:t>
      </w:r>
      <w:r w:rsidRPr="001D6907">
        <w:rPr>
          <w:rFonts w:ascii="Arial" w:hAnsi="Arial" w:cs="Arial"/>
        </w:rPr>
        <w:t xml:space="preserve"> (in liquidation))</w:t>
      </w:r>
    </w:p>
    <w:p w:rsidR="001D6907" w:rsidRPr="001D6907" w:rsidRDefault="001D6907" w:rsidP="001D6907">
      <w:pPr>
        <w:spacing w:line="360" w:lineRule="auto"/>
        <w:rPr>
          <w:rFonts w:ascii="Arial" w:hAnsi="Arial" w:cs="Arial"/>
        </w:rPr>
      </w:pPr>
    </w:p>
    <w:p w:rsidR="001D6907" w:rsidRDefault="000B2228" w:rsidP="001D6907">
      <w:pPr>
        <w:spacing w:line="360" w:lineRule="auto"/>
        <w:rPr>
          <w:rFonts w:ascii="Arial" w:hAnsi="Arial" w:cs="Arial"/>
          <w:b/>
        </w:rPr>
      </w:pPr>
      <w:r>
        <w:rPr>
          <w:rFonts w:ascii="Arial" w:hAnsi="Arial" w:cs="Arial"/>
          <w:b/>
        </w:rPr>
        <w:t>a</w:t>
      </w:r>
      <w:r w:rsidR="001D6907">
        <w:rPr>
          <w:rFonts w:ascii="Arial" w:hAnsi="Arial" w:cs="Arial"/>
          <w:b/>
        </w:rPr>
        <w:t xml:space="preserve">nd </w:t>
      </w:r>
    </w:p>
    <w:p w:rsidR="001D6907" w:rsidRDefault="001D6907" w:rsidP="001D6907">
      <w:pPr>
        <w:spacing w:line="360" w:lineRule="auto"/>
        <w:rPr>
          <w:rFonts w:ascii="Arial" w:hAnsi="Arial" w:cs="Arial"/>
          <w:b/>
        </w:rPr>
      </w:pPr>
    </w:p>
    <w:p w:rsidR="001D6907" w:rsidRDefault="001D6907" w:rsidP="001D6907">
      <w:pPr>
        <w:spacing w:line="360" w:lineRule="auto"/>
        <w:rPr>
          <w:rFonts w:ascii="Arial" w:hAnsi="Arial" w:cs="Arial"/>
          <w:b/>
        </w:rPr>
      </w:pPr>
      <w:r>
        <w:rPr>
          <w:rFonts w:ascii="Arial" w:hAnsi="Arial" w:cs="Arial"/>
          <w:b/>
        </w:rPr>
        <w:t xml:space="preserve">PILLAY N.O., SUMENTHREN POOBALAN </w:t>
      </w:r>
      <w:r>
        <w:rPr>
          <w:rFonts w:ascii="Arial" w:hAnsi="Arial" w:cs="Arial"/>
          <w:b/>
        </w:rPr>
        <w:tab/>
      </w:r>
      <w:r>
        <w:rPr>
          <w:rFonts w:ascii="Arial" w:hAnsi="Arial" w:cs="Arial"/>
          <w:b/>
        </w:rPr>
        <w:tab/>
      </w:r>
      <w:r>
        <w:rPr>
          <w:rFonts w:ascii="Arial" w:hAnsi="Arial" w:cs="Arial"/>
          <w:b/>
        </w:rPr>
        <w:tab/>
        <w:t xml:space="preserve">FIRST DEFENDANT </w:t>
      </w:r>
    </w:p>
    <w:p w:rsidR="001D6907" w:rsidRDefault="001D6907" w:rsidP="001D6907">
      <w:pPr>
        <w:spacing w:line="360" w:lineRule="auto"/>
        <w:rPr>
          <w:rFonts w:ascii="Arial" w:hAnsi="Arial" w:cs="Arial"/>
          <w:b/>
        </w:rPr>
      </w:pPr>
      <w:r>
        <w:rPr>
          <w:rFonts w:ascii="Arial" w:hAnsi="Arial" w:cs="Arial"/>
          <w:b/>
        </w:rPr>
        <w:t>PILLAY N.O., ROMILADEVI</w:t>
      </w:r>
      <w:r w:rsidR="000B2228">
        <w:rPr>
          <w:rFonts w:ascii="Arial" w:hAnsi="Arial" w:cs="Arial"/>
          <w:b/>
        </w:rPr>
        <w:t xml:space="preserve"> </w:t>
      </w:r>
      <w:r>
        <w:rPr>
          <w:rFonts w:ascii="Arial" w:hAnsi="Arial" w:cs="Arial"/>
          <w:b/>
        </w:rPr>
        <w:t>MOGHAMBRY</w:t>
      </w:r>
      <w:r>
        <w:rPr>
          <w:rFonts w:ascii="Arial" w:hAnsi="Arial" w:cs="Arial"/>
          <w:b/>
        </w:rPr>
        <w:tab/>
      </w:r>
      <w:r>
        <w:rPr>
          <w:rFonts w:ascii="Arial" w:hAnsi="Arial" w:cs="Arial"/>
          <w:b/>
        </w:rPr>
        <w:tab/>
      </w:r>
      <w:r>
        <w:rPr>
          <w:rFonts w:ascii="Arial" w:hAnsi="Arial" w:cs="Arial"/>
          <w:b/>
        </w:rPr>
        <w:tab/>
        <w:t xml:space="preserve">SECOND DEFENDANT </w:t>
      </w:r>
    </w:p>
    <w:p w:rsidR="001D6907" w:rsidRPr="001D6907" w:rsidRDefault="001D6907" w:rsidP="001D6907">
      <w:pPr>
        <w:spacing w:line="360" w:lineRule="auto"/>
        <w:rPr>
          <w:rFonts w:ascii="Arial" w:hAnsi="Arial" w:cs="Arial"/>
        </w:rPr>
      </w:pPr>
      <w:r w:rsidRPr="001D6907">
        <w:rPr>
          <w:rFonts w:ascii="Arial" w:hAnsi="Arial" w:cs="Arial"/>
        </w:rPr>
        <w:t xml:space="preserve">(IN THEIR CAPACITY AS THE DULY APPOINTED TRUSTEES OF THE SUMEN PILLAY PROPERTY TRUST) </w:t>
      </w:r>
    </w:p>
    <w:p w:rsidR="00424D66" w:rsidRPr="000D2843" w:rsidRDefault="00424D66" w:rsidP="00424D66">
      <w:pPr>
        <w:pBdr>
          <w:bottom w:val="single" w:sz="12" w:space="1" w:color="auto"/>
        </w:pBdr>
        <w:spacing w:line="360" w:lineRule="auto"/>
        <w:rPr>
          <w:rFonts w:ascii="Arial" w:hAnsi="Arial" w:cs="Arial"/>
          <w:b/>
        </w:rPr>
      </w:pPr>
    </w:p>
    <w:p w:rsidR="00424D66" w:rsidRPr="000D2843" w:rsidRDefault="00424D66" w:rsidP="00424D66">
      <w:pPr>
        <w:spacing w:line="360" w:lineRule="auto"/>
        <w:jc w:val="center"/>
        <w:rPr>
          <w:rFonts w:ascii="Arial" w:hAnsi="Arial" w:cs="Arial"/>
          <w:b/>
        </w:rPr>
      </w:pPr>
    </w:p>
    <w:p w:rsidR="00424D66" w:rsidRPr="000D2843" w:rsidRDefault="00424D66" w:rsidP="00424D66">
      <w:pPr>
        <w:spacing w:line="360" w:lineRule="auto"/>
        <w:jc w:val="center"/>
        <w:rPr>
          <w:rFonts w:ascii="Arial" w:hAnsi="Arial" w:cs="Arial"/>
          <w:b/>
        </w:rPr>
      </w:pPr>
      <w:r w:rsidRPr="000D2843">
        <w:rPr>
          <w:rFonts w:ascii="Arial" w:hAnsi="Arial" w:cs="Arial"/>
          <w:b/>
        </w:rPr>
        <w:t>JUDGMENT</w:t>
      </w:r>
    </w:p>
    <w:p w:rsidR="00424D66" w:rsidRPr="000D2843" w:rsidRDefault="00424D66" w:rsidP="00424D66">
      <w:pPr>
        <w:pBdr>
          <w:bottom w:val="single" w:sz="12" w:space="1" w:color="auto"/>
        </w:pBdr>
        <w:spacing w:line="360" w:lineRule="auto"/>
        <w:rPr>
          <w:rFonts w:ascii="Arial" w:hAnsi="Arial" w:cs="Arial"/>
          <w:b/>
        </w:rPr>
      </w:pPr>
    </w:p>
    <w:p w:rsidR="00424D66" w:rsidRPr="000D2843" w:rsidRDefault="00424D66" w:rsidP="00424D66">
      <w:pPr>
        <w:spacing w:line="360" w:lineRule="auto"/>
        <w:jc w:val="left"/>
        <w:rPr>
          <w:rFonts w:ascii="Arial" w:hAnsi="Arial" w:cs="Arial"/>
          <w:b/>
        </w:rPr>
      </w:pPr>
    </w:p>
    <w:p w:rsidR="003F501C" w:rsidRDefault="001D6907" w:rsidP="003F501C">
      <w:pPr>
        <w:spacing w:line="360" w:lineRule="auto"/>
        <w:rPr>
          <w:rFonts w:ascii="Arial" w:hAnsi="Arial" w:cs="Arial"/>
          <w:b/>
        </w:rPr>
      </w:pPr>
      <w:r>
        <w:rPr>
          <w:rFonts w:ascii="Arial" w:hAnsi="Arial" w:cs="Arial"/>
          <w:b/>
        </w:rPr>
        <w:t>KHALLIL</w:t>
      </w:r>
      <w:r w:rsidR="00424D66" w:rsidRPr="000D2843">
        <w:rPr>
          <w:rFonts w:ascii="Arial" w:hAnsi="Arial" w:cs="Arial"/>
          <w:b/>
        </w:rPr>
        <w:t xml:space="preserve"> AJ</w:t>
      </w:r>
    </w:p>
    <w:p w:rsidR="000B2228" w:rsidRDefault="000B2228" w:rsidP="003F501C">
      <w:pPr>
        <w:spacing w:line="360" w:lineRule="auto"/>
        <w:rPr>
          <w:rFonts w:ascii="Arial" w:hAnsi="Arial" w:cs="Arial"/>
          <w:b/>
        </w:rPr>
      </w:pPr>
    </w:p>
    <w:p w:rsidR="000B2228" w:rsidRPr="007D772C" w:rsidRDefault="004E54B2" w:rsidP="003F501C">
      <w:pPr>
        <w:spacing w:line="360" w:lineRule="auto"/>
        <w:rPr>
          <w:rFonts w:ascii="Arial" w:hAnsi="Arial" w:cs="Arial"/>
          <w:b/>
        </w:rPr>
      </w:pPr>
      <w:r w:rsidRPr="007D772C">
        <w:rPr>
          <w:rFonts w:ascii="Arial" w:hAnsi="Arial" w:cs="Arial"/>
          <w:b/>
        </w:rPr>
        <w:t>Introduction</w:t>
      </w:r>
    </w:p>
    <w:p w:rsidR="002328A3" w:rsidRDefault="003F501C" w:rsidP="001D6907">
      <w:pPr>
        <w:spacing w:line="360" w:lineRule="auto"/>
        <w:rPr>
          <w:rFonts w:ascii="Arial" w:hAnsi="Arial" w:cs="Arial"/>
        </w:rPr>
      </w:pPr>
      <w:r>
        <w:rPr>
          <w:rFonts w:ascii="Arial" w:hAnsi="Arial" w:cs="Arial"/>
        </w:rPr>
        <w:t>[1]</w:t>
      </w:r>
      <w:r w:rsidR="000B2228">
        <w:rPr>
          <w:rFonts w:ascii="Arial" w:hAnsi="Arial" w:cs="Arial"/>
        </w:rPr>
        <w:t xml:space="preserve"> </w:t>
      </w:r>
      <w:r w:rsidR="001D6907">
        <w:rPr>
          <w:rFonts w:ascii="Arial" w:hAnsi="Arial" w:cs="Arial"/>
        </w:rPr>
        <w:t xml:space="preserve">The </w:t>
      </w:r>
      <w:r w:rsidR="004E54B2">
        <w:rPr>
          <w:rFonts w:ascii="Arial" w:hAnsi="Arial" w:cs="Arial"/>
        </w:rPr>
        <w:t>P</w:t>
      </w:r>
      <w:r w:rsidR="00C52F58">
        <w:rPr>
          <w:rFonts w:ascii="Arial" w:hAnsi="Arial" w:cs="Arial"/>
        </w:rPr>
        <w:t>laintiffs</w:t>
      </w:r>
      <w:r w:rsidR="001D6907">
        <w:rPr>
          <w:rFonts w:ascii="Arial" w:hAnsi="Arial" w:cs="Arial"/>
        </w:rPr>
        <w:t xml:space="preserve"> are the duly appointed jo</w:t>
      </w:r>
      <w:r w:rsidR="001718CC">
        <w:rPr>
          <w:rFonts w:ascii="Arial" w:hAnsi="Arial" w:cs="Arial"/>
        </w:rPr>
        <w:t xml:space="preserve">int liquidators of Carmol Distributors (Pty) Ltd (Carmol) </w:t>
      </w:r>
      <w:r w:rsidR="00C52F58">
        <w:rPr>
          <w:rFonts w:ascii="Arial" w:hAnsi="Arial" w:cs="Arial"/>
        </w:rPr>
        <w:t xml:space="preserve">which was placed under provisional liquidation on 1 October 2015 and which </w:t>
      </w:r>
      <w:r w:rsidR="00C52F58">
        <w:rPr>
          <w:rFonts w:ascii="Arial" w:hAnsi="Arial" w:cs="Arial"/>
        </w:rPr>
        <w:lastRenderedPageBreak/>
        <w:t>order w</w:t>
      </w:r>
      <w:r w:rsidR="000B2228">
        <w:rPr>
          <w:rFonts w:ascii="Arial" w:hAnsi="Arial" w:cs="Arial"/>
        </w:rPr>
        <w:t>as made final on 30 November 20</w:t>
      </w:r>
      <w:r w:rsidR="00C52F58">
        <w:rPr>
          <w:rFonts w:ascii="Arial" w:hAnsi="Arial" w:cs="Arial"/>
        </w:rPr>
        <w:t xml:space="preserve">15 in the Gauteng Local Division of the High Court, Johannesburg. </w:t>
      </w:r>
      <w:r w:rsidR="001718CC">
        <w:rPr>
          <w:rFonts w:ascii="Arial" w:hAnsi="Arial" w:cs="Arial"/>
        </w:rPr>
        <w:t xml:space="preserve"> </w:t>
      </w:r>
    </w:p>
    <w:p w:rsidR="002328A3" w:rsidRPr="003F501C" w:rsidRDefault="002328A3" w:rsidP="002328A3">
      <w:pPr>
        <w:spacing w:line="360" w:lineRule="auto"/>
        <w:rPr>
          <w:rFonts w:ascii="Arial" w:hAnsi="Arial" w:cs="Arial"/>
        </w:rPr>
      </w:pPr>
    </w:p>
    <w:p w:rsidR="002328A3" w:rsidRDefault="00C52F58" w:rsidP="00C52F58">
      <w:pPr>
        <w:spacing w:line="360" w:lineRule="auto"/>
        <w:rPr>
          <w:rFonts w:ascii="Arial" w:hAnsi="Arial" w:cs="Arial"/>
        </w:rPr>
      </w:pPr>
      <w:r>
        <w:rPr>
          <w:rFonts w:ascii="Arial" w:hAnsi="Arial" w:cs="Arial"/>
        </w:rPr>
        <w:t xml:space="preserve">[2] </w:t>
      </w:r>
      <w:r w:rsidR="002328A3" w:rsidRPr="003F501C">
        <w:rPr>
          <w:rFonts w:ascii="Arial" w:hAnsi="Arial" w:cs="Arial"/>
        </w:rPr>
        <w:t xml:space="preserve">The </w:t>
      </w:r>
      <w:r w:rsidR="000B2228">
        <w:rPr>
          <w:rFonts w:ascii="Arial" w:hAnsi="Arial" w:cs="Arial"/>
        </w:rPr>
        <w:t>First and Second D</w:t>
      </w:r>
      <w:r>
        <w:rPr>
          <w:rFonts w:ascii="Arial" w:hAnsi="Arial" w:cs="Arial"/>
        </w:rPr>
        <w:t>efendants are the Trustees of the Sumen Pillay</w:t>
      </w:r>
      <w:r w:rsidR="000B2228">
        <w:rPr>
          <w:rFonts w:ascii="Arial" w:hAnsi="Arial" w:cs="Arial"/>
        </w:rPr>
        <w:t xml:space="preserve"> Property Trust</w:t>
      </w:r>
      <w:r w:rsidR="007D772C">
        <w:rPr>
          <w:rFonts w:ascii="Arial" w:hAnsi="Arial" w:cs="Arial"/>
        </w:rPr>
        <w:t xml:space="preserve"> (the Trust)</w:t>
      </w:r>
      <w:r w:rsidR="000B2228">
        <w:rPr>
          <w:rFonts w:ascii="Arial" w:hAnsi="Arial" w:cs="Arial"/>
        </w:rPr>
        <w:t>, a T</w:t>
      </w:r>
      <w:r>
        <w:rPr>
          <w:rFonts w:ascii="Arial" w:hAnsi="Arial" w:cs="Arial"/>
        </w:rPr>
        <w:t>rust duly registered in the Pietermaritzburg Deeds Office with Trust Number IT1129/2011.</w:t>
      </w:r>
    </w:p>
    <w:p w:rsidR="00C52F58" w:rsidRDefault="00C52F58" w:rsidP="002328A3">
      <w:pPr>
        <w:spacing w:line="360" w:lineRule="auto"/>
        <w:rPr>
          <w:rFonts w:ascii="Arial" w:hAnsi="Arial" w:cs="Arial"/>
        </w:rPr>
      </w:pPr>
    </w:p>
    <w:p w:rsidR="002328A3" w:rsidRPr="003F501C" w:rsidRDefault="00C52F58" w:rsidP="002328A3">
      <w:pPr>
        <w:spacing w:line="360" w:lineRule="auto"/>
        <w:rPr>
          <w:rFonts w:ascii="Arial" w:hAnsi="Arial" w:cs="Arial"/>
        </w:rPr>
      </w:pPr>
      <w:r>
        <w:rPr>
          <w:rFonts w:ascii="Arial" w:hAnsi="Arial" w:cs="Arial"/>
        </w:rPr>
        <w:t xml:space="preserve">[3] It </w:t>
      </w:r>
      <w:r w:rsidR="007D772C">
        <w:rPr>
          <w:rFonts w:ascii="Arial" w:hAnsi="Arial" w:cs="Arial"/>
        </w:rPr>
        <w:t>is common cause</w:t>
      </w:r>
      <w:r>
        <w:rPr>
          <w:rFonts w:ascii="Arial" w:hAnsi="Arial" w:cs="Arial"/>
        </w:rPr>
        <w:t xml:space="preserve"> that a Ms Carawan was the sole director of Carmol and her husband, Mr Moola, held himself out as the managing director, </w:t>
      </w:r>
      <w:r w:rsidR="000B2228">
        <w:rPr>
          <w:rFonts w:ascii="Arial" w:hAnsi="Arial" w:cs="Arial"/>
        </w:rPr>
        <w:t>and</w:t>
      </w:r>
      <w:r>
        <w:rPr>
          <w:rFonts w:ascii="Arial" w:hAnsi="Arial" w:cs="Arial"/>
        </w:rPr>
        <w:t xml:space="preserve"> was responsible for the day-to-day operations of Carmol</w:t>
      </w:r>
      <w:r w:rsidR="004E54B2">
        <w:rPr>
          <w:rStyle w:val="FootnoteReference"/>
          <w:rFonts w:ascii="Arial" w:hAnsi="Arial" w:cs="Arial"/>
        </w:rPr>
        <w:footnoteReference w:id="1"/>
      </w:r>
      <w:r>
        <w:rPr>
          <w:rFonts w:ascii="Arial" w:hAnsi="Arial" w:cs="Arial"/>
        </w:rPr>
        <w:t xml:space="preserve">.  </w:t>
      </w:r>
    </w:p>
    <w:p w:rsidR="002328A3" w:rsidRDefault="002328A3" w:rsidP="00145D61">
      <w:pPr>
        <w:spacing w:line="360" w:lineRule="auto"/>
        <w:rPr>
          <w:rFonts w:ascii="Arial" w:hAnsi="Arial" w:cs="Arial"/>
        </w:rPr>
      </w:pPr>
    </w:p>
    <w:p w:rsidR="00145D61" w:rsidRPr="003F501C" w:rsidRDefault="000B2228" w:rsidP="00145D61">
      <w:pPr>
        <w:spacing w:line="360" w:lineRule="auto"/>
        <w:rPr>
          <w:rFonts w:ascii="Arial" w:hAnsi="Arial" w:cs="Arial"/>
        </w:rPr>
      </w:pPr>
      <w:r>
        <w:rPr>
          <w:rFonts w:ascii="Arial" w:hAnsi="Arial" w:cs="Arial"/>
        </w:rPr>
        <w:t>[4] The P</w:t>
      </w:r>
      <w:r w:rsidR="00C52F58">
        <w:rPr>
          <w:rFonts w:ascii="Arial" w:hAnsi="Arial" w:cs="Arial"/>
        </w:rPr>
        <w:t>laintiffs</w:t>
      </w:r>
      <w:r>
        <w:rPr>
          <w:rFonts w:ascii="Arial" w:hAnsi="Arial" w:cs="Arial"/>
        </w:rPr>
        <w:t>, as joint liquidators,</w:t>
      </w:r>
      <w:r w:rsidR="00C52F58">
        <w:rPr>
          <w:rFonts w:ascii="Arial" w:hAnsi="Arial" w:cs="Arial"/>
        </w:rPr>
        <w:t xml:space="preserve"> seek to recover excess payments</w:t>
      </w:r>
      <w:r>
        <w:rPr>
          <w:rFonts w:ascii="Arial" w:hAnsi="Arial" w:cs="Arial"/>
        </w:rPr>
        <w:t>, consisting of 101 transactions,</w:t>
      </w:r>
      <w:r w:rsidR="00C52F58">
        <w:rPr>
          <w:rFonts w:ascii="Arial" w:hAnsi="Arial" w:cs="Arial"/>
        </w:rPr>
        <w:t xml:space="preserve"> made by Carmol to the </w:t>
      </w:r>
      <w:r w:rsidR="007D772C">
        <w:rPr>
          <w:rFonts w:ascii="Arial" w:hAnsi="Arial" w:cs="Arial"/>
        </w:rPr>
        <w:t>Trust</w:t>
      </w:r>
      <w:r w:rsidR="00C52F58">
        <w:rPr>
          <w:rFonts w:ascii="Arial" w:hAnsi="Arial" w:cs="Arial"/>
        </w:rPr>
        <w:t xml:space="preserve"> in terms of Section 26 (1) (b) of the Insolvency Act 24 of 1936</w:t>
      </w:r>
      <w:r w:rsidR="007D772C">
        <w:rPr>
          <w:rFonts w:ascii="Arial" w:hAnsi="Arial" w:cs="Arial"/>
        </w:rPr>
        <w:t xml:space="preserve"> (Insolvency Act)</w:t>
      </w:r>
      <w:r w:rsidR="00C52F58">
        <w:rPr>
          <w:rFonts w:ascii="Arial" w:hAnsi="Arial" w:cs="Arial"/>
        </w:rPr>
        <w:t>, as voidable dispositions</w:t>
      </w:r>
      <w:r>
        <w:rPr>
          <w:rFonts w:ascii="Arial" w:hAnsi="Arial" w:cs="Arial"/>
        </w:rPr>
        <w:t>,</w:t>
      </w:r>
      <w:r w:rsidR="00C52F58">
        <w:rPr>
          <w:rFonts w:ascii="Arial" w:hAnsi="Arial" w:cs="Arial"/>
        </w:rPr>
        <w:t xml:space="preserve"> </w:t>
      </w:r>
      <w:r>
        <w:rPr>
          <w:rFonts w:ascii="Arial" w:hAnsi="Arial" w:cs="Arial"/>
        </w:rPr>
        <w:t>made to the D</w:t>
      </w:r>
      <w:r w:rsidR="00C52F58">
        <w:rPr>
          <w:rFonts w:ascii="Arial" w:hAnsi="Arial" w:cs="Arial"/>
        </w:rPr>
        <w:t>efendant within tw</w:t>
      </w:r>
      <w:r>
        <w:rPr>
          <w:rFonts w:ascii="Arial" w:hAnsi="Arial" w:cs="Arial"/>
        </w:rPr>
        <w:t xml:space="preserve">o (2) years of </w:t>
      </w:r>
      <w:proofErr w:type="spellStart"/>
      <w:r>
        <w:rPr>
          <w:rFonts w:ascii="Arial" w:hAnsi="Arial" w:cs="Arial"/>
        </w:rPr>
        <w:t>Carmol’s</w:t>
      </w:r>
      <w:proofErr w:type="spellEnd"/>
      <w:r>
        <w:rPr>
          <w:rFonts w:ascii="Arial" w:hAnsi="Arial" w:cs="Arial"/>
        </w:rPr>
        <w:t xml:space="preserve"> winding-</w:t>
      </w:r>
      <w:r w:rsidR="00C52F58">
        <w:rPr>
          <w:rFonts w:ascii="Arial" w:hAnsi="Arial" w:cs="Arial"/>
        </w:rPr>
        <w:t xml:space="preserve">up. The </w:t>
      </w:r>
      <w:r w:rsidR="007D772C">
        <w:rPr>
          <w:rFonts w:ascii="Arial" w:hAnsi="Arial" w:cs="Arial"/>
        </w:rPr>
        <w:t>Trust</w:t>
      </w:r>
      <w:r>
        <w:rPr>
          <w:rFonts w:ascii="Arial" w:hAnsi="Arial" w:cs="Arial"/>
        </w:rPr>
        <w:t xml:space="preserve"> “invested” R3.3 m</w:t>
      </w:r>
      <w:r w:rsidR="007D772C">
        <w:rPr>
          <w:rFonts w:ascii="Arial" w:hAnsi="Arial" w:cs="Arial"/>
        </w:rPr>
        <w:t>illion in a S</w:t>
      </w:r>
      <w:r w:rsidR="00C52F58">
        <w:rPr>
          <w:rFonts w:ascii="Arial" w:hAnsi="Arial" w:cs="Arial"/>
        </w:rPr>
        <w:t>cheme operated by Carmol and</w:t>
      </w:r>
      <w:r w:rsidR="007D772C">
        <w:rPr>
          <w:rFonts w:ascii="Arial" w:hAnsi="Arial" w:cs="Arial"/>
        </w:rPr>
        <w:t xml:space="preserve"> in return received R66 087 300-</w:t>
      </w:r>
      <w:r w:rsidR="00C52F58">
        <w:rPr>
          <w:rFonts w:ascii="Arial" w:hAnsi="Arial" w:cs="Arial"/>
        </w:rPr>
        <w:t>00</w:t>
      </w:r>
      <w:r w:rsidR="00E21158">
        <w:rPr>
          <w:rFonts w:ascii="Arial" w:hAnsi="Arial" w:cs="Arial"/>
        </w:rPr>
        <w:t xml:space="preserve">. </w:t>
      </w:r>
      <w:r w:rsidR="00C52F58">
        <w:rPr>
          <w:rFonts w:ascii="Arial" w:hAnsi="Arial" w:cs="Arial"/>
        </w:rPr>
        <w:t xml:space="preserve"> </w:t>
      </w:r>
    </w:p>
    <w:p w:rsidR="00145D61" w:rsidRDefault="00145D61" w:rsidP="003F501C">
      <w:pPr>
        <w:spacing w:line="360" w:lineRule="auto"/>
        <w:rPr>
          <w:rFonts w:ascii="Arial" w:hAnsi="Arial" w:cs="Arial"/>
        </w:rPr>
      </w:pPr>
    </w:p>
    <w:p w:rsidR="00E21158" w:rsidRDefault="00E21158" w:rsidP="00606D87">
      <w:pPr>
        <w:spacing w:line="360" w:lineRule="auto"/>
        <w:rPr>
          <w:rFonts w:ascii="Arial" w:hAnsi="Arial" w:cs="Arial"/>
        </w:rPr>
      </w:pPr>
      <w:r>
        <w:rPr>
          <w:rFonts w:ascii="Arial" w:hAnsi="Arial" w:cs="Arial"/>
        </w:rPr>
        <w:t>[5] By virtue of Item 9 of Schedule 5 to the Companies Act</w:t>
      </w:r>
      <w:r w:rsidR="000B2228">
        <w:rPr>
          <w:rFonts w:ascii="Arial" w:hAnsi="Arial" w:cs="Arial"/>
        </w:rPr>
        <w:t xml:space="preserve"> 71 of 2008, Chapter 14 of the r</w:t>
      </w:r>
      <w:r>
        <w:rPr>
          <w:rFonts w:ascii="Arial" w:hAnsi="Arial" w:cs="Arial"/>
        </w:rPr>
        <w:t>epealed Companies Act 61</w:t>
      </w:r>
      <w:r w:rsidR="007D772C">
        <w:rPr>
          <w:rFonts w:ascii="Arial" w:hAnsi="Arial" w:cs="Arial"/>
        </w:rPr>
        <w:t xml:space="preserve"> of 1973 continues to apply to insolvent c</w:t>
      </w:r>
      <w:r>
        <w:rPr>
          <w:rFonts w:ascii="Arial" w:hAnsi="Arial" w:cs="Arial"/>
        </w:rPr>
        <w:t xml:space="preserve">ompanies, until a date to be determined. Sections 339 and 340 form part of Chapter 14. Section 339 makes the provisions of the law relating to insolvency </w:t>
      </w:r>
      <w:r w:rsidRPr="000B2228">
        <w:rPr>
          <w:rFonts w:ascii="Arial" w:hAnsi="Arial" w:cs="Arial"/>
          <w:i/>
        </w:rPr>
        <w:t>mutatis mutandis</w:t>
      </w:r>
      <w:r>
        <w:rPr>
          <w:rFonts w:ascii="Arial" w:hAnsi="Arial" w:cs="Arial"/>
        </w:rPr>
        <w:t xml:space="preserve"> applicable to the winding up of a company unable to pay its debts. Section 340(1) provides: </w:t>
      </w:r>
    </w:p>
    <w:p w:rsidR="008B64D8" w:rsidRDefault="008B64D8" w:rsidP="00606D87">
      <w:pPr>
        <w:spacing w:line="360" w:lineRule="auto"/>
        <w:rPr>
          <w:rFonts w:ascii="Arial" w:hAnsi="Arial" w:cs="Arial"/>
        </w:rPr>
      </w:pPr>
    </w:p>
    <w:p w:rsidR="00606D87" w:rsidRPr="00E21158" w:rsidRDefault="00E21158" w:rsidP="00606D87">
      <w:pPr>
        <w:spacing w:line="360" w:lineRule="auto"/>
        <w:rPr>
          <w:rFonts w:ascii="Arial" w:hAnsi="Arial" w:cs="Arial"/>
          <w:sz w:val="22"/>
          <w:szCs w:val="22"/>
        </w:rPr>
      </w:pPr>
      <w:r w:rsidRPr="00E21158">
        <w:rPr>
          <w:rFonts w:ascii="Arial" w:hAnsi="Arial" w:cs="Arial"/>
          <w:sz w:val="22"/>
          <w:szCs w:val="22"/>
        </w:rPr>
        <w:t xml:space="preserve">‘(1) Every disposition by a company of its property which, if made by an individual, could, for any reason, be set aside in the event of his insolvency, may, if made by a company, be set aside in the event of the company being wound up and unable to pay all its debts, and the provisions of law relating to insolvency shall mutatis mutandis be applied to any such disposition.’  </w:t>
      </w:r>
    </w:p>
    <w:p w:rsidR="00606D87" w:rsidRDefault="00606D87" w:rsidP="00606D87">
      <w:pPr>
        <w:spacing w:line="360" w:lineRule="auto"/>
        <w:rPr>
          <w:rFonts w:ascii="Arial" w:hAnsi="Arial" w:cs="Arial"/>
        </w:rPr>
      </w:pPr>
    </w:p>
    <w:p w:rsidR="00C20EE0" w:rsidRDefault="00C20EE0" w:rsidP="003F501C">
      <w:pPr>
        <w:spacing w:line="360" w:lineRule="auto"/>
        <w:rPr>
          <w:rFonts w:ascii="Arial" w:hAnsi="Arial" w:cs="Arial"/>
        </w:rPr>
      </w:pPr>
      <w:r>
        <w:rPr>
          <w:rFonts w:ascii="Arial" w:hAnsi="Arial" w:cs="Arial"/>
        </w:rPr>
        <w:lastRenderedPageBreak/>
        <w:t>[</w:t>
      </w:r>
      <w:r w:rsidR="00172DEA">
        <w:rPr>
          <w:rFonts w:ascii="Arial" w:hAnsi="Arial" w:cs="Arial"/>
        </w:rPr>
        <w:t>6</w:t>
      </w:r>
      <w:r>
        <w:rPr>
          <w:rFonts w:ascii="Arial" w:hAnsi="Arial" w:cs="Arial"/>
        </w:rPr>
        <w:t>]</w:t>
      </w:r>
      <w:r w:rsidRPr="00C20EE0">
        <w:rPr>
          <w:rFonts w:ascii="Arial" w:hAnsi="Arial" w:cs="Arial"/>
        </w:rPr>
        <w:t xml:space="preserve"> </w:t>
      </w:r>
      <w:r w:rsidR="007D772C">
        <w:rPr>
          <w:rFonts w:ascii="Arial" w:hAnsi="Arial" w:cs="Arial"/>
        </w:rPr>
        <w:t>I</w:t>
      </w:r>
      <w:r w:rsidR="00172DEA">
        <w:rPr>
          <w:rFonts w:ascii="Arial" w:hAnsi="Arial" w:cs="Arial"/>
        </w:rPr>
        <w:t>n accordance with Section 340 (2) (a</w:t>
      </w:r>
      <w:r w:rsidR="000B2228">
        <w:rPr>
          <w:rFonts w:ascii="Arial" w:hAnsi="Arial" w:cs="Arial"/>
        </w:rPr>
        <w:t>) of Act 61  of 1973 read with s</w:t>
      </w:r>
      <w:r w:rsidR="00172DEA">
        <w:rPr>
          <w:rFonts w:ascii="Arial" w:hAnsi="Arial" w:cs="Arial"/>
        </w:rPr>
        <w:t xml:space="preserve">ection 348 of Act 71 of 2008, the effective date of </w:t>
      </w:r>
      <w:proofErr w:type="spellStart"/>
      <w:r w:rsidR="00172DEA">
        <w:rPr>
          <w:rFonts w:ascii="Arial" w:hAnsi="Arial" w:cs="Arial"/>
        </w:rPr>
        <w:t>Carmol</w:t>
      </w:r>
      <w:r w:rsidR="000B2228">
        <w:rPr>
          <w:rFonts w:ascii="Arial" w:hAnsi="Arial" w:cs="Arial"/>
        </w:rPr>
        <w:t>’</w:t>
      </w:r>
      <w:r w:rsidR="00172DEA">
        <w:rPr>
          <w:rFonts w:ascii="Arial" w:hAnsi="Arial" w:cs="Arial"/>
        </w:rPr>
        <w:t>s</w:t>
      </w:r>
      <w:proofErr w:type="spellEnd"/>
      <w:r w:rsidR="00172DEA">
        <w:rPr>
          <w:rFonts w:ascii="Arial" w:hAnsi="Arial" w:cs="Arial"/>
        </w:rPr>
        <w:t xml:space="preserve"> winding-up is the date when the application for its winding-up was presented to the Johannesburg High Court</w:t>
      </w:r>
      <w:r w:rsidR="0023290B">
        <w:rPr>
          <w:rStyle w:val="FootnoteReference"/>
          <w:rFonts w:ascii="Arial" w:hAnsi="Arial" w:cs="Arial"/>
        </w:rPr>
        <w:footnoteReference w:id="2"/>
      </w:r>
      <w:r w:rsidR="00172DEA">
        <w:rPr>
          <w:rFonts w:ascii="Arial" w:hAnsi="Arial" w:cs="Arial"/>
        </w:rPr>
        <w:t>, namely</w:t>
      </w:r>
      <w:r w:rsidR="000B2228">
        <w:rPr>
          <w:rFonts w:ascii="Arial" w:hAnsi="Arial" w:cs="Arial"/>
        </w:rPr>
        <w:t>,</w:t>
      </w:r>
      <w:r w:rsidR="00172DEA">
        <w:rPr>
          <w:rFonts w:ascii="Arial" w:hAnsi="Arial" w:cs="Arial"/>
        </w:rPr>
        <w:t xml:space="preserve"> 18</w:t>
      </w:r>
      <w:r w:rsidR="00CD0925">
        <w:rPr>
          <w:rFonts w:ascii="Arial" w:hAnsi="Arial" w:cs="Arial"/>
        </w:rPr>
        <w:t xml:space="preserve"> August 2015</w:t>
      </w:r>
      <w:r w:rsidR="008B64D8">
        <w:rPr>
          <w:rFonts w:ascii="Arial" w:hAnsi="Arial" w:cs="Arial"/>
        </w:rPr>
        <w:t>,</w:t>
      </w:r>
      <w:r w:rsidR="00CD0925">
        <w:rPr>
          <w:rFonts w:ascii="Arial" w:hAnsi="Arial" w:cs="Arial"/>
        </w:rPr>
        <w:t xml:space="preserve"> and the two (2) year period is to be  calculated with reference to such date. </w:t>
      </w:r>
      <w:r w:rsidR="00172DEA">
        <w:rPr>
          <w:rFonts w:ascii="Arial" w:hAnsi="Arial" w:cs="Arial"/>
        </w:rPr>
        <w:t xml:space="preserve"> </w:t>
      </w:r>
    </w:p>
    <w:p w:rsidR="00C20EE0" w:rsidRDefault="00C20EE0" w:rsidP="003F501C">
      <w:pPr>
        <w:spacing w:line="360" w:lineRule="auto"/>
        <w:rPr>
          <w:rFonts w:ascii="Arial" w:hAnsi="Arial" w:cs="Arial"/>
        </w:rPr>
      </w:pPr>
    </w:p>
    <w:p w:rsidR="000F7AED" w:rsidRDefault="00606D87" w:rsidP="003F501C">
      <w:pPr>
        <w:spacing w:line="360" w:lineRule="auto"/>
        <w:rPr>
          <w:rFonts w:ascii="Arial" w:hAnsi="Arial" w:cs="Arial"/>
        </w:rPr>
      </w:pPr>
      <w:r>
        <w:rPr>
          <w:rFonts w:ascii="Arial" w:hAnsi="Arial" w:cs="Arial"/>
        </w:rPr>
        <w:t>[</w:t>
      </w:r>
      <w:r w:rsidR="000B2228">
        <w:rPr>
          <w:rFonts w:ascii="Arial" w:hAnsi="Arial" w:cs="Arial"/>
        </w:rPr>
        <w:t>7] The D</w:t>
      </w:r>
      <w:r w:rsidR="00CD0925">
        <w:rPr>
          <w:rFonts w:ascii="Arial" w:hAnsi="Arial" w:cs="Arial"/>
        </w:rPr>
        <w:t>efendants whilst admitting that the various payments were made by Carmol to the Trust, deny that the payments were made without value. In am</w:t>
      </w:r>
      <w:r w:rsidR="000B2228">
        <w:rPr>
          <w:rFonts w:ascii="Arial" w:hAnsi="Arial" w:cs="Arial"/>
        </w:rPr>
        <w:t>plification of its denial, the D</w:t>
      </w:r>
      <w:r w:rsidR="00CD0925">
        <w:rPr>
          <w:rFonts w:ascii="Arial" w:hAnsi="Arial" w:cs="Arial"/>
        </w:rPr>
        <w:t>efendants have pleaded that the said payments received, were repayments of monies it advanced to Carmol</w:t>
      </w:r>
      <w:r w:rsidR="0023290B">
        <w:rPr>
          <w:rStyle w:val="FootnoteReference"/>
          <w:rFonts w:ascii="Arial" w:hAnsi="Arial" w:cs="Arial"/>
        </w:rPr>
        <w:footnoteReference w:id="3"/>
      </w:r>
      <w:r w:rsidR="00CD0925">
        <w:rPr>
          <w:rFonts w:ascii="Arial" w:hAnsi="Arial" w:cs="Arial"/>
        </w:rPr>
        <w:t xml:space="preserve">. </w:t>
      </w:r>
      <w:r w:rsidR="007D772C">
        <w:rPr>
          <w:rFonts w:ascii="Arial" w:hAnsi="Arial" w:cs="Arial"/>
        </w:rPr>
        <w:t>This defen</w:t>
      </w:r>
      <w:r w:rsidR="008B64D8">
        <w:rPr>
          <w:rFonts w:ascii="Arial" w:hAnsi="Arial" w:cs="Arial"/>
        </w:rPr>
        <w:t>ce pleaded was however</w:t>
      </w:r>
      <w:r w:rsidR="007D772C">
        <w:rPr>
          <w:rFonts w:ascii="Arial" w:hAnsi="Arial" w:cs="Arial"/>
        </w:rPr>
        <w:t xml:space="preserve"> not pursued at trial.</w:t>
      </w:r>
    </w:p>
    <w:p w:rsidR="0068382F" w:rsidRPr="003F501C" w:rsidRDefault="0068382F" w:rsidP="003F501C">
      <w:pPr>
        <w:spacing w:line="360" w:lineRule="auto"/>
        <w:rPr>
          <w:rFonts w:ascii="Arial" w:hAnsi="Arial" w:cs="Arial"/>
        </w:rPr>
      </w:pPr>
    </w:p>
    <w:p w:rsidR="001F45BE" w:rsidRDefault="002328A3" w:rsidP="00606D87">
      <w:pPr>
        <w:spacing w:line="360" w:lineRule="auto"/>
        <w:rPr>
          <w:rFonts w:ascii="Arial" w:hAnsi="Arial" w:cs="Arial"/>
        </w:rPr>
      </w:pPr>
      <w:r>
        <w:rPr>
          <w:rFonts w:ascii="Arial" w:hAnsi="Arial" w:cs="Arial"/>
        </w:rPr>
        <w:t>[</w:t>
      </w:r>
      <w:r w:rsidR="000B2228">
        <w:rPr>
          <w:rFonts w:ascii="Arial" w:hAnsi="Arial" w:cs="Arial"/>
        </w:rPr>
        <w:t>8] At tria</w:t>
      </w:r>
      <w:r w:rsidR="00CD0925">
        <w:rPr>
          <w:rFonts w:ascii="Arial" w:hAnsi="Arial" w:cs="Arial"/>
        </w:rPr>
        <w:t xml:space="preserve">l, only the evidence of the lead liquidator, Mr M L Stewart </w:t>
      </w:r>
      <w:r w:rsidR="000B2228">
        <w:rPr>
          <w:rFonts w:ascii="Arial" w:hAnsi="Arial" w:cs="Arial"/>
        </w:rPr>
        <w:t>(First Plaintiff) was led on behalf of the Plaintiffs</w:t>
      </w:r>
      <w:r w:rsidR="007D772C">
        <w:rPr>
          <w:rFonts w:ascii="Arial" w:hAnsi="Arial" w:cs="Arial"/>
        </w:rPr>
        <w:t>’</w:t>
      </w:r>
      <w:r w:rsidR="000B2228">
        <w:rPr>
          <w:rFonts w:ascii="Arial" w:hAnsi="Arial" w:cs="Arial"/>
        </w:rPr>
        <w:t xml:space="preserve"> and the D</w:t>
      </w:r>
      <w:r w:rsidR="00CD0925">
        <w:rPr>
          <w:rFonts w:ascii="Arial" w:hAnsi="Arial" w:cs="Arial"/>
        </w:rPr>
        <w:t>efendants elected to close its case wit</w:t>
      </w:r>
      <w:r w:rsidR="000B2228">
        <w:rPr>
          <w:rFonts w:ascii="Arial" w:hAnsi="Arial" w:cs="Arial"/>
        </w:rPr>
        <w:t>hout leading any evidence. The D</w:t>
      </w:r>
      <w:r w:rsidR="00CD0925">
        <w:rPr>
          <w:rFonts w:ascii="Arial" w:hAnsi="Arial" w:cs="Arial"/>
        </w:rPr>
        <w:t>efendants</w:t>
      </w:r>
      <w:r w:rsidR="007D772C">
        <w:rPr>
          <w:rFonts w:ascii="Arial" w:hAnsi="Arial" w:cs="Arial"/>
        </w:rPr>
        <w:t>’</w:t>
      </w:r>
      <w:r w:rsidR="00CD0925">
        <w:rPr>
          <w:rFonts w:ascii="Arial" w:hAnsi="Arial" w:cs="Arial"/>
        </w:rPr>
        <w:t xml:space="preserve"> contend that as the </w:t>
      </w:r>
      <w:r w:rsidR="007D772C">
        <w:rPr>
          <w:rFonts w:ascii="Arial" w:hAnsi="Arial" w:cs="Arial"/>
        </w:rPr>
        <w:t>Schedule</w:t>
      </w:r>
      <w:r w:rsidR="000B2228">
        <w:rPr>
          <w:rFonts w:ascii="Arial" w:hAnsi="Arial" w:cs="Arial"/>
        </w:rPr>
        <w:t xml:space="preserve"> relied upon by the Plaintiffs to </w:t>
      </w:r>
      <w:r w:rsidR="00CD0925">
        <w:rPr>
          <w:rFonts w:ascii="Arial" w:hAnsi="Arial" w:cs="Arial"/>
        </w:rPr>
        <w:t xml:space="preserve">prove </w:t>
      </w:r>
      <w:r w:rsidR="000B2228">
        <w:rPr>
          <w:rFonts w:ascii="Arial" w:hAnsi="Arial" w:cs="Arial"/>
        </w:rPr>
        <w:t xml:space="preserve">the </w:t>
      </w:r>
      <w:r w:rsidR="00CD0925">
        <w:rPr>
          <w:rFonts w:ascii="Arial" w:hAnsi="Arial" w:cs="Arial"/>
        </w:rPr>
        <w:t xml:space="preserve">payments </w:t>
      </w:r>
      <w:r w:rsidR="007D772C">
        <w:rPr>
          <w:rFonts w:ascii="Arial" w:hAnsi="Arial" w:cs="Arial"/>
        </w:rPr>
        <w:t>(in excess of the deposit) made by Carmol to the D</w:t>
      </w:r>
      <w:r w:rsidR="00CD0925">
        <w:rPr>
          <w:rFonts w:ascii="Arial" w:hAnsi="Arial" w:cs="Arial"/>
        </w:rPr>
        <w:t>efendants (in relation to the scheme)</w:t>
      </w:r>
      <w:r w:rsidR="007D772C">
        <w:rPr>
          <w:rFonts w:ascii="Arial" w:hAnsi="Arial" w:cs="Arial"/>
        </w:rPr>
        <w:t>, was author</w:t>
      </w:r>
      <w:r w:rsidR="00F01E7B">
        <w:rPr>
          <w:rFonts w:ascii="Arial" w:hAnsi="Arial" w:cs="Arial"/>
        </w:rPr>
        <w:t>ed by another person</w:t>
      </w:r>
      <w:r w:rsidR="007D772C">
        <w:rPr>
          <w:rFonts w:ascii="Arial" w:hAnsi="Arial" w:cs="Arial"/>
        </w:rPr>
        <w:t xml:space="preserve"> </w:t>
      </w:r>
      <w:r w:rsidR="00F01E7B">
        <w:rPr>
          <w:rFonts w:ascii="Arial" w:hAnsi="Arial" w:cs="Arial"/>
        </w:rPr>
        <w:t xml:space="preserve">(Spies) and not by </w:t>
      </w:r>
      <w:r w:rsidR="007D772C">
        <w:rPr>
          <w:rFonts w:ascii="Arial" w:hAnsi="Arial" w:cs="Arial"/>
        </w:rPr>
        <w:t>Mr Stewart, his evidence relating</w:t>
      </w:r>
      <w:r w:rsidR="00F01E7B">
        <w:rPr>
          <w:rFonts w:ascii="Arial" w:hAnsi="Arial" w:cs="Arial"/>
        </w:rPr>
        <w:t xml:space="preserve"> thereto constituted hearsay evidence and ought to be disregarded. The Defendants also take issue that all the relevant bank statements running into hun</w:t>
      </w:r>
      <w:r w:rsidR="007D772C">
        <w:rPr>
          <w:rFonts w:ascii="Arial" w:hAnsi="Arial" w:cs="Arial"/>
        </w:rPr>
        <w:t>dreds of pages were not produced</w:t>
      </w:r>
      <w:r w:rsidR="00F01E7B">
        <w:rPr>
          <w:rFonts w:ascii="Arial" w:hAnsi="Arial" w:cs="Arial"/>
        </w:rPr>
        <w:t xml:space="preserve"> in court.  </w:t>
      </w:r>
      <w:r w:rsidR="00CD0925">
        <w:rPr>
          <w:rFonts w:ascii="Arial" w:hAnsi="Arial" w:cs="Arial"/>
        </w:rPr>
        <w:t xml:space="preserve">   </w:t>
      </w:r>
    </w:p>
    <w:p w:rsidR="00606D87" w:rsidRDefault="00606D87" w:rsidP="003F501C">
      <w:pPr>
        <w:spacing w:line="360" w:lineRule="auto"/>
        <w:rPr>
          <w:rFonts w:ascii="Arial" w:hAnsi="Arial" w:cs="Arial"/>
        </w:rPr>
      </w:pPr>
    </w:p>
    <w:p w:rsidR="00F01E7B" w:rsidRDefault="00176ED9" w:rsidP="003F501C">
      <w:pPr>
        <w:spacing w:line="360" w:lineRule="auto"/>
        <w:rPr>
          <w:rFonts w:ascii="Arial" w:hAnsi="Arial" w:cs="Arial"/>
          <w:b/>
        </w:rPr>
      </w:pPr>
      <w:r w:rsidRPr="007D772C">
        <w:rPr>
          <w:rFonts w:ascii="Arial" w:hAnsi="Arial" w:cs="Arial"/>
          <w:b/>
        </w:rPr>
        <w:t>The Scheme</w:t>
      </w:r>
    </w:p>
    <w:p w:rsidR="008B64D8" w:rsidRPr="007D772C" w:rsidRDefault="008B64D8" w:rsidP="003F501C">
      <w:pPr>
        <w:spacing w:line="360" w:lineRule="auto"/>
        <w:rPr>
          <w:rFonts w:ascii="Arial" w:hAnsi="Arial" w:cs="Arial"/>
          <w:b/>
        </w:rPr>
      </w:pPr>
    </w:p>
    <w:p w:rsidR="0023290B" w:rsidRDefault="00145D61" w:rsidP="00885CB3">
      <w:pPr>
        <w:spacing w:line="360" w:lineRule="auto"/>
        <w:rPr>
          <w:rFonts w:ascii="Arial" w:hAnsi="Arial" w:cs="Arial"/>
        </w:rPr>
      </w:pPr>
      <w:r>
        <w:rPr>
          <w:rFonts w:ascii="Arial" w:hAnsi="Arial" w:cs="Arial"/>
        </w:rPr>
        <w:t>[</w:t>
      </w:r>
      <w:r w:rsidR="00CD0925">
        <w:rPr>
          <w:rFonts w:ascii="Arial" w:hAnsi="Arial" w:cs="Arial"/>
        </w:rPr>
        <w:t>9] The backgr</w:t>
      </w:r>
      <w:r w:rsidR="007D772C">
        <w:rPr>
          <w:rFonts w:ascii="Arial" w:hAnsi="Arial" w:cs="Arial"/>
        </w:rPr>
        <w:t>ound to the claims against the D</w:t>
      </w:r>
      <w:r w:rsidR="00CD0925">
        <w:rPr>
          <w:rFonts w:ascii="Arial" w:hAnsi="Arial" w:cs="Arial"/>
        </w:rPr>
        <w:t>efendants as sketch</w:t>
      </w:r>
      <w:r w:rsidR="007D772C">
        <w:rPr>
          <w:rFonts w:ascii="Arial" w:hAnsi="Arial" w:cs="Arial"/>
        </w:rPr>
        <w:t>ed in the P</w:t>
      </w:r>
      <w:r w:rsidR="0023290B">
        <w:rPr>
          <w:rFonts w:ascii="Arial" w:hAnsi="Arial" w:cs="Arial"/>
        </w:rPr>
        <w:t xml:space="preserve">articulars </w:t>
      </w:r>
      <w:r w:rsidR="007D772C">
        <w:rPr>
          <w:rFonts w:ascii="Arial" w:hAnsi="Arial" w:cs="Arial"/>
        </w:rPr>
        <w:t>of C</w:t>
      </w:r>
      <w:r w:rsidR="0023290B">
        <w:rPr>
          <w:rFonts w:ascii="Arial" w:hAnsi="Arial" w:cs="Arial"/>
        </w:rPr>
        <w:t>laim, is the following</w:t>
      </w:r>
      <w:r w:rsidR="0023290B">
        <w:rPr>
          <w:rStyle w:val="FootnoteReference"/>
          <w:rFonts w:ascii="Arial" w:hAnsi="Arial" w:cs="Arial"/>
        </w:rPr>
        <w:footnoteReference w:id="4"/>
      </w:r>
      <w:r w:rsidR="0023290B">
        <w:rPr>
          <w:rFonts w:ascii="Arial" w:hAnsi="Arial" w:cs="Arial"/>
        </w:rPr>
        <w:t xml:space="preserve">: </w:t>
      </w:r>
    </w:p>
    <w:p w:rsidR="008B64D8" w:rsidRDefault="008B64D8" w:rsidP="00885CB3">
      <w:pPr>
        <w:spacing w:line="360" w:lineRule="auto"/>
        <w:rPr>
          <w:rFonts w:ascii="Arial" w:hAnsi="Arial" w:cs="Arial"/>
        </w:rPr>
      </w:pPr>
    </w:p>
    <w:p w:rsidR="007D772C" w:rsidRDefault="0023290B" w:rsidP="00885CB3">
      <w:pPr>
        <w:spacing w:line="360" w:lineRule="auto"/>
        <w:rPr>
          <w:rFonts w:ascii="Arial" w:hAnsi="Arial" w:cs="Arial"/>
        </w:rPr>
      </w:pPr>
      <w:r>
        <w:rPr>
          <w:rFonts w:ascii="Arial" w:hAnsi="Arial" w:cs="Arial"/>
        </w:rPr>
        <w:t>9</w:t>
      </w:r>
      <w:r w:rsidR="00F01E7B">
        <w:rPr>
          <w:rFonts w:ascii="Arial" w:hAnsi="Arial" w:cs="Arial"/>
        </w:rPr>
        <w:t>.1</w:t>
      </w:r>
      <w:r w:rsidR="00F01E7B">
        <w:rPr>
          <w:rFonts w:ascii="Arial" w:hAnsi="Arial" w:cs="Arial"/>
        </w:rPr>
        <w:tab/>
        <w:t>Carmol conducted an illegal S</w:t>
      </w:r>
      <w:r>
        <w:rPr>
          <w:rFonts w:ascii="Arial" w:hAnsi="Arial" w:cs="Arial"/>
        </w:rPr>
        <w:t>cheme of a company ostensibly trading in petroleum products. Funds were solicited from members of the public under the pretext that such funds would be used to fund diesel trading and the profits generated were used to pay returns to “investors” (participants).</w:t>
      </w:r>
    </w:p>
    <w:p w:rsidR="0023290B" w:rsidRDefault="0023290B" w:rsidP="00885CB3">
      <w:pPr>
        <w:spacing w:line="360" w:lineRule="auto"/>
        <w:rPr>
          <w:rFonts w:ascii="Arial" w:hAnsi="Arial" w:cs="Arial"/>
        </w:rPr>
      </w:pPr>
      <w:r>
        <w:rPr>
          <w:rFonts w:ascii="Arial" w:hAnsi="Arial" w:cs="Arial"/>
        </w:rPr>
        <w:lastRenderedPageBreak/>
        <w:t xml:space="preserve"> </w:t>
      </w:r>
    </w:p>
    <w:p w:rsidR="00DB712E" w:rsidRDefault="0023290B" w:rsidP="00885CB3">
      <w:pPr>
        <w:spacing w:line="360" w:lineRule="auto"/>
        <w:rPr>
          <w:rFonts w:ascii="Arial" w:hAnsi="Arial" w:cs="Arial"/>
        </w:rPr>
      </w:pPr>
      <w:r>
        <w:rPr>
          <w:rFonts w:ascii="Arial" w:hAnsi="Arial" w:cs="Arial"/>
        </w:rPr>
        <w:t>9.2</w:t>
      </w:r>
      <w:r>
        <w:rPr>
          <w:rFonts w:ascii="Arial" w:hAnsi="Arial" w:cs="Arial"/>
        </w:rPr>
        <w:tab/>
        <w:t>Participan</w:t>
      </w:r>
      <w:r w:rsidR="00DB712E">
        <w:rPr>
          <w:rFonts w:ascii="Arial" w:hAnsi="Arial" w:cs="Arial"/>
        </w:rPr>
        <w:t>t</w:t>
      </w:r>
      <w:r w:rsidR="005A3469">
        <w:rPr>
          <w:rFonts w:ascii="Arial" w:hAnsi="Arial" w:cs="Arial"/>
        </w:rPr>
        <w:t>s were offered and paid</w:t>
      </w:r>
      <w:r w:rsidR="003936B4">
        <w:rPr>
          <w:rFonts w:ascii="Arial" w:hAnsi="Arial" w:cs="Arial"/>
        </w:rPr>
        <w:t xml:space="preserve"> a monthly return of 6 to 8 per</w:t>
      </w:r>
      <w:r w:rsidR="00F01E7B">
        <w:rPr>
          <w:rFonts w:ascii="Arial" w:hAnsi="Arial" w:cs="Arial"/>
        </w:rPr>
        <w:t xml:space="preserve"> </w:t>
      </w:r>
      <w:r>
        <w:rPr>
          <w:rFonts w:ascii="Arial" w:hAnsi="Arial" w:cs="Arial"/>
        </w:rPr>
        <w:t>cent amo</w:t>
      </w:r>
      <w:r w:rsidR="003936B4">
        <w:rPr>
          <w:rFonts w:ascii="Arial" w:hAnsi="Arial" w:cs="Arial"/>
        </w:rPr>
        <w:t>unting to between 72 to 96 per</w:t>
      </w:r>
      <w:r w:rsidR="005A3469">
        <w:rPr>
          <w:rFonts w:ascii="Arial" w:hAnsi="Arial" w:cs="Arial"/>
        </w:rPr>
        <w:t xml:space="preserve"> </w:t>
      </w:r>
      <w:r w:rsidR="003936B4">
        <w:rPr>
          <w:rFonts w:ascii="Arial" w:hAnsi="Arial" w:cs="Arial"/>
        </w:rPr>
        <w:t>c</w:t>
      </w:r>
      <w:r>
        <w:rPr>
          <w:rFonts w:ascii="Arial" w:hAnsi="Arial" w:cs="Arial"/>
        </w:rPr>
        <w:t xml:space="preserve">ent per annum. </w:t>
      </w:r>
    </w:p>
    <w:p w:rsidR="005A3469" w:rsidRDefault="005A3469" w:rsidP="00885CB3">
      <w:pPr>
        <w:spacing w:line="360" w:lineRule="auto"/>
        <w:rPr>
          <w:rFonts w:ascii="Arial" w:hAnsi="Arial" w:cs="Arial"/>
        </w:rPr>
      </w:pPr>
    </w:p>
    <w:p w:rsidR="00DB712E" w:rsidRDefault="00F01E7B" w:rsidP="00885CB3">
      <w:pPr>
        <w:spacing w:line="360" w:lineRule="auto"/>
        <w:rPr>
          <w:rFonts w:ascii="Arial" w:hAnsi="Arial" w:cs="Arial"/>
        </w:rPr>
      </w:pPr>
      <w:r>
        <w:rPr>
          <w:rFonts w:ascii="Arial" w:hAnsi="Arial" w:cs="Arial"/>
        </w:rPr>
        <w:t xml:space="preserve">93. </w:t>
      </w:r>
      <w:r>
        <w:rPr>
          <w:rFonts w:ascii="Arial" w:hAnsi="Arial" w:cs="Arial"/>
        </w:rPr>
        <w:tab/>
        <w:t>The main business of the S</w:t>
      </w:r>
      <w:r w:rsidR="00DB712E">
        <w:rPr>
          <w:rFonts w:ascii="Arial" w:hAnsi="Arial" w:cs="Arial"/>
        </w:rPr>
        <w:t xml:space="preserve">cheme was the acceptance of deposits from participants </w:t>
      </w:r>
      <w:r w:rsidR="003B1C86">
        <w:rPr>
          <w:rFonts w:ascii="Arial" w:hAnsi="Arial" w:cs="Arial"/>
        </w:rPr>
        <w:t>(members of the public) in the S</w:t>
      </w:r>
      <w:r w:rsidR="00DB712E">
        <w:rPr>
          <w:rFonts w:ascii="Arial" w:hAnsi="Arial" w:cs="Arial"/>
        </w:rPr>
        <w:t xml:space="preserve">cheme, which deposits were repayable to participants upon the expiry of 12 months following </w:t>
      </w:r>
      <w:r w:rsidR="005A3469">
        <w:rPr>
          <w:rFonts w:ascii="Arial" w:hAnsi="Arial" w:cs="Arial"/>
        </w:rPr>
        <w:t xml:space="preserve">the </w:t>
      </w:r>
      <w:r w:rsidR="00DB712E">
        <w:rPr>
          <w:rFonts w:ascii="Arial" w:hAnsi="Arial" w:cs="Arial"/>
        </w:rPr>
        <w:t xml:space="preserve">deposits being made. </w:t>
      </w:r>
    </w:p>
    <w:p w:rsidR="005A3469" w:rsidRDefault="005A3469" w:rsidP="00885CB3">
      <w:pPr>
        <w:spacing w:line="360" w:lineRule="auto"/>
        <w:rPr>
          <w:rFonts w:ascii="Arial" w:hAnsi="Arial" w:cs="Arial"/>
        </w:rPr>
      </w:pPr>
    </w:p>
    <w:p w:rsidR="00DB712E" w:rsidRDefault="00DB712E" w:rsidP="00885CB3">
      <w:pPr>
        <w:spacing w:line="360" w:lineRule="auto"/>
        <w:rPr>
          <w:rFonts w:ascii="Arial" w:hAnsi="Arial" w:cs="Arial"/>
        </w:rPr>
      </w:pPr>
      <w:r>
        <w:rPr>
          <w:rFonts w:ascii="Arial" w:hAnsi="Arial" w:cs="Arial"/>
        </w:rPr>
        <w:t>9.4</w:t>
      </w:r>
      <w:r>
        <w:rPr>
          <w:rFonts w:ascii="Arial" w:hAnsi="Arial" w:cs="Arial"/>
        </w:rPr>
        <w:tab/>
        <w:t xml:space="preserve">The alleged diesel business was no more than a front in order to create an illusion that real business was being conducted. </w:t>
      </w:r>
    </w:p>
    <w:p w:rsidR="005A3469" w:rsidRDefault="005A3469" w:rsidP="00885CB3">
      <w:pPr>
        <w:spacing w:line="360" w:lineRule="auto"/>
        <w:rPr>
          <w:rFonts w:ascii="Arial" w:hAnsi="Arial" w:cs="Arial"/>
        </w:rPr>
      </w:pPr>
    </w:p>
    <w:p w:rsidR="00DB712E" w:rsidRDefault="00DB712E" w:rsidP="00885CB3">
      <w:pPr>
        <w:spacing w:line="360" w:lineRule="auto"/>
        <w:rPr>
          <w:rFonts w:ascii="Arial" w:hAnsi="Arial" w:cs="Arial"/>
        </w:rPr>
      </w:pPr>
      <w:r>
        <w:rPr>
          <w:rFonts w:ascii="Arial" w:hAnsi="Arial" w:cs="Arial"/>
        </w:rPr>
        <w:t>9.5</w:t>
      </w:r>
      <w:r>
        <w:rPr>
          <w:rFonts w:ascii="Arial" w:hAnsi="Arial" w:cs="Arial"/>
        </w:rPr>
        <w:tab/>
        <w:t>There were approximately 3 800 participants in th</w:t>
      </w:r>
      <w:r w:rsidR="003B1C86">
        <w:rPr>
          <w:rFonts w:ascii="Arial" w:hAnsi="Arial" w:cs="Arial"/>
        </w:rPr>
        <w:t>e scheme and an amount of R925 m</w:t>
      </w:r>
      <w:r>
        <w:rPr>
          <w:rFonts w:ascii="Arial" w:hAnsi="Arial" w:cs="Arial"/>
        </w:rPr>
        <w:t>illion had been “invested” in Carmol pur</w:t>
      </w:r>
      <w:r w:rsidR="003B1C86">
        <w:rPr>
          <w:rFonts w:ascii="Arial" w:hAnsi="Arial" w:cs="Arial"/>
        </w:rPr>
        <w:t>suant to the conducting of the S</w:t>
      </w:r>
      <w:r>
        <w:rPr>
          <w:rFonts w:ascii="Arial" w:hAnsi="Arial" w:cs="Arial"/>
        </w:rPr>
        <w:t>cheme.</w:t>
      </w:r>
    </w:p>
    <w:p w:rsidR="005A3469" w:rsidRDefault="005A3469" w:rsidP="00885CB3">
      <w:pPr>
        <w:spacing w:line="360" w:lineRule="auto"/>
        <w:rPr>
          <w:rFonts w:ascii="Arial" w:hAnsi="Arial" w:cs="Arial"/>
        </w:rPr>
      </w:pPr>
    </w:p>
    <w:p w:rsidR="00885CB3" w:rsidRDefault="005A3469" w:rsidP="00885CB3">
      <w:pPr>
        <w:spacing w:line="360" w:lineRule="auto"/>
        <w:rPr>
          <w:rFonts w:ascii="Arial" w:hAnsi="Arial" w:cs="Arial"/>
        </w:rPr>
      </w:pPr>
      <w:r>
        <w:rPr>
          <w:rFonts w:ascii="Arial" w:hAnsi="Arial" w:cs="Arial"/>
        </w:rPr>
        <w:t>9.6</w:t>
      </w:r>
      <w:r>
        <w:rPr>
          <w:rFonts w:ascii="Arial" w:hAnsi="Arial" w:cs="Arial"/>
        </w:rPr>
        <w:tab/>
      </w:r>
      <w:r w:rsidR="003B1C86">
        <w:rPr>
          <w:rFonts w:ascii="Arial" w:hAnsi="Arial" w:cs="Arial"/>
        </w:rPr>
        <w:t>Carmol operated what is often referred to as Pyramid or Ponzi Scheme</w:t>
      </w:r>
      <w:r>
        <w:rPr>
          <w:rFonts w:ascii="Arial" w:hAnsi="Arial" w:cs="Arial"/>
        </w:rPr>
        <w:t>,</w:t>
      </w:r>
      <w:r w:rsidR="003B1C86">
        <w:rPr>
          <w:rFonts w:ascii="Arial" w:hAnsi="Arial" w:cs="Arial"/>
        </w:rPr>
        <w:t xml:space="preserve"> and</w:t>
      </w:r>
      <w:r w:rsidR="00DB712E">
        <w:rPr>
          <w:rFonts w:ascii="Arial" w:hAnsi="Arial" w:cs="Arial"/>
        </w:rPr>
        <w:t xml:space="preserve"> as all these schemes do, </w:t>
      </w:r>
      <w:r>
        <w:rPr>
          <w:rFonts w:ascii="Arial" w:hAnsi="Arial" w:cs="Arial"/>
        </w:rPr>
        <w:t xml:space="preserve">it </w:t>
      </w:r>
      <w:r w:rsidR="00DB712E">
        <w:rPr>
          <w:rFonts w:ascii="Arial" w:hAnsi="Arial" w:cs="Arial"/>
        </w:rPr>
        <w:t xml:space="preserve">collapsed when the inflow of the deposits (funds) could no longer sustain the outflow of </w:t>
      </w:r>
      <w:r>
        <w:rPr>
          <w:rFonts w:ascii="Arial" w:hAnsi="Arial" w:cs="Arial"/>
        </w:rPr>
        <w:t>exorbitant</w:t>
      </w:r>
      <w:r w:rsidR="00DB712E">
        <w:rPr>
          <w:rFonts w:ascii="Arial" w:hAnsi="Arial" w:cs="Arial"/>
        </w:rPr>
        <w:t xml:space="preserve"> returns to participants.   </w:t>
      </w:r>
      <w:r w:rsidR="0023290B">
        <w:rPr>
          <w:rFonts w:ascii="Arial" w:hAnsi="Arial" w:cs="Arial"/>
        </w:rPr>
        <w:t xml:space="preserve"> </w:t>
      </w:r>
      <w:r w:rsidR="00885CB3" w:rsidRPr="003F501C">
        <w:rPr>
          <w:rFonts w:ascii="Arial" w:hAnsi="Arial" w:cs="Arial"/>
        </w:rPr>
        <w:t xml:space="preserve"> </w:t>
      </w:r>
    </w:p>
    <w:p w:rsidR="00885CB3" w:rsidRDefault="00885CB3" w:rsidP="00885CB3">
      <w:pPr>
        <w:spacing w:line="360" w:lineRule="auto"/>
        <w:rPr>
          <w:rFonts w:ascii="Arial" w:hAnsi="Arial" w:cs="Arial"/>
        </w:rPr>
      </w:pPr>
    </w:p>
    <w:p w:rsidR="00885CB3" w:rsidRPr="003F501C" w:rsidRDefault="00DB712E" w:rsidP="00885CB3">
      <w:pPr>
        <w:spacing w:line="360" w:lineRule="auto"/>
        <w:rPr>
          <w:rFonts w:ascii="Arial" w:hAnsi="Arial" w:cs="Arial"/>
        </w:rPr>
      </w:pPr>
      <w:r>
        <w:rPr>
          <w:rFonts w:ascii="Arial" w:hAnsi="Arial" w:cs="Arial"/>
        </w:rPr>
        <w:t>[10</w:t>
      </w:r>
      <w:r w:rsidR="00885CB3">
        <w:rPr>
          <w:rFonts w:ascii="Arial" w:hAnsi="Arial" w:cs="Arial"/>
        </w:rPr>
        <w:t xml:space="preserve">] </w:t>
      </w:r>
      <w:r w:rsidR="005A3469">
        <w:rPr>
          <w:rFonts w:ascii="Arial" w:hAnsi="Arial" w:cs="Arial"/>
        </w:rPr>
        <w:t>Carmol in conducting the S</w:t>
      </w:r>
      <w:r>
        <w:rPr>
          <w:rFonts w:ascii="Arial" w:hAnsi="Arial" w:cs="Arial"/>
        </w:rPr>
        <w:t>cheme</w:t>
      </w:r>
      <w:r w:rsidR="003B1C86">
        <w:rPr>
          <w:rFonts w:ascii="Arial" w:hAnsi="Arial" w:cs="Arial"/>
        </w:rPr>
        <w:t xml:space="preserve"> contravened s</w:t>
      </w:r>
      <w:r w:rsidR="00445412">
        <w:rPr>
          <w:rFonts w:ascii="Arial" w:hAnsi="Arial" w:cs="Arial"/>
        </w:rPr>
        <w:t>ection 11(1) of the Banks Act 94 of 1990 in that it conducted the business of a bank by soliciting and accepting deposits from the general public as a consistent feature of the scheme</w:t>
      </w:r>
      <w:r w:rsidR="005A3469">
        <w:rPr>
          <w:rFonts w:ascii="Arial" w:hAnsi="Arial" w:cs="Arial"/>
        </w:rPr>
        <w:t>,</w:t>
      </w:r>
      <w:r w:rsidR="00445412">
        <w:rPr>
          <w:rFonts w:ascii="Arial" w:hAnsi="Arial" w:cs="Arial"/>
        </w:rPr>
        <w:t xml:space="preserve"> in circumstances where Carmol was not registered as a bank</w:t>
      </w:r>
      <w:r w:rsidR="003B1C86">
        <w:rPr>
          <w:rFonts w:ascii="Arial" w:hAnsi="Arial" w:cs="Arial"/>
        </w:rPr>
        <w:t>.</w:t>
      </w:r>
      <w:r>
        <w:rPr>
          <w:rFonts w:ascii="Arial" w:hAnsi="Arial" w:cs="Arial"/>
        </w:rPr>
        <w:t xml:space="preserve"> </w:t>
      </w:r>
    </w:p>
    <w:p w:rsidR="00145D61" w:rsidRDefault="00145D61" w:rsidP="003F501C">
      <w:pPr>
        <w:spacing w:line="360" w:lineRule="auto"/>
        <w:rPr>
          <w:rFonts w:ascii="Arial" w:hAnsi="Arial" w:cs="Arial"/>
        </w:rPr>
      </w:pPr>
    </w:p>
    <w:p w:rsidR="00606D87" w:rsidRDefault="003B1C86" w:rsidP="003F501C">
      <w:pPr>
        <w:spacing w:line="360" w:lineRule="auto"/>
        <w:rPr>
          <w:rFonts w:ascii="Arial" w:hAnsi="Arial" w:cs="Arial"/>
        </w:rPr>
      </w:pPr>
      <w:r>
        <w:rPr>
          <w:rFonts w:ascii="Arial" w:hAnsi="Arial" w:cs="Arial"/>
        </w:rPr>
        <w:t>[11] The S</w:t>
      </w:r>
      <w:r w:rsidR="00445412">
        <w:rPr>
          <w:rFonts w:ascii="Arial" w:hAnsi="Arial" w:cs="Arial"/>
        </w:rPr>
        <w:t xml:space="preserve">cheme operated by Carmol </w:t>
      </w:r>
      <w:r w:rsidR="005A3469">
        <w:rPr>
          <w:rFonts w:ascii="Arial" w:hAnsi="Arial" w:cs="Arial"/>
        </w:rPr>
        <w:t>also constituted</w:t>
      </w:r>
      <w:r w:rsidR="00445412">
        <w:rPr>
          <w:rFonts w:ascii="Arial" w:hAnsi="Arial" w:cs="Arial"/>
        </w:rPr>
        <w:t xml:space="preserve"> a harmful business practice and was declared unlawful</w:t>
      </w:r>
      <w:r w:rsidR="00445412">
        <w:rPr>
          <w:rStyle w:val="FootnoteReference"/>
          <w:rFonts w:ascii="Arial" w:hAnsi="Arial" w:cs="Arial"/>
        </w:rPr>
        <w:footnoteReference w:id="5"/>
      </w:r>
      <w:r w:rsidR="00445412">
        <w:rPr>
          <w:rFonts w:ascii="Arial" w:hAnsi="Arial" w:cs="Arial"/>
        </w:rPr>
        <w:t xml:space="preserve">. It constituted a multiplication scheme </w:t>
      </w:r>
      <w:r w:rsidR="005A3469">
        <w:rPr>
          <w:rFonts w:ascii="Arial" w:hAnsi="Arial" w:cs="Arial"/>
        </w:rPr>
        <w:t>under</w:t>
      </w:r>
      <w:r w:rsidR="00445412">
        <w:rPr>
          <w:rFonts w:ascii="Arial" w:hAnsi="Arial" w:cs="Arial"/>
        </w:rPr>
        <w:t xml:space="preserve"> section 43 of the Consumer Protection Act</w:t>
      </w:r>
      <w:r w:rsidR="005A3469">
        <w:rPr>
          <w:rFonts w:ascii="Arial" w:hAnsi="Arial" w:cs="Arial"/>
        </w:rPr>
        <w:t xml:space="preserve"> 68 of 2008</w:t>
      </w:r>
      <w:r w:rsidR="00445412">
        <w:rPr>
          <w:rFonts w:ascii="Arial" w:hAnsi="Arial" w:cs="Arial"/>
        </w:rPr>
        <w:t xml:space="preserve"> in that participants were offered an effective annual return </w:t>
      </w:r>
      <w:r w:rsidR="009869F9">
        <w:rPr>
          <w:rFonts w:ascii="Arial" w:hAnsi="Arial" w:cs="Arial"/>
        </w:rPr>
        <w:t>which was</w:t>
      </w:r>
      <w:r w:rsidR="005A3469">
        <w:rPr>
          <w:rFonts w:ascii="Arial" w:hAnsi="Arial" w:cs="Arial"/>
        </w:rPr>
        <w:t xml:space="preserve"> at least 20 percent above the R</w:t>
      </w:r>
      <w:r w:rsidR="009869F9">
        <w:rPr>
          <w:rFonts w:ascii="Arial" w:hAnsi="Arial" w:cs="Arial"/>
        </w:rPr>
        <w:t xml:space="preserve">epo rate determined by the South African Reserve Bank as at the date of the various </w:t>
      </w:r>
      <w:r>
        <w:rPr>
          <w:rFonts w:ascii="Arial" w:hAnsi="Arial" w:cs="Arial"/>
        </w:rPr>
        <w:t>“</w:t>
      </w:r>
      <w:r w:rsidR="009869F9">
        <w:rPr>
          <w:rFonts w:ascii="Arial" w:hAnsi="Arial" w:cs="Arial"/>
        </w:rPr>
        <w:t>investments</w:t>
      </w:r>
      <w:r>
        <w:rPr>
          <w:rFonts w:ascii="Arial" w:hAnsi="Arial" w:cs="Arial"/>
        </w:rPr>
        <w:t>”</w:t>
      </w:r>
      <w:r w:rsidR="009869F9">
        <w:rPr>
          <w:rStyle w:val="FootnoteReference"/>
          <w:rFonts w:ascii="Arial" w:hAnsi="Arial" w:cs="Arial"/>
        </w:rPr>
        <w:footnoteReference w:id="6"/>
      </w:r>
      <w:r w:rsidR="009869F9">
        <w:rPr>
          <w:rFonts w:ascii="Arial" w:hAnsi="Arial" w:cs="Arial"/>
        </w:rPr>
        <w:t>.</w:t>
      </w:r>
    </w:p>
    <w:p w:rsidR="003B1C86" w:rsidRDefault="003B1C86" w:rsidP="003F501C">
      <w:pPr>
        <w:spacing w:line="360" w:lineRule="auto"/>
        <w:rPr>
          <w:rFonts w:ascii="Arial" w:hAnsi="Arial" w:cs="Arial"/>
        </w:rPr>
      </w:pPr>
    </w:p>
    <w:p w:rsidR="003B1C86" w:rsidRDefault="003B1C86" w:rsidP="003F501C">
      <w:pPr>
        <w:spacing w:line="360" w:lineRule="auto"/>
        <w:rPr>
          <w:rFonts w:ascii="Arial" w:hAnsi="Arial" w:cs="Arial"/>
        </w:rPr>
      </w:pPr>
      <w:r>
        <w:rPr>
          <w:rFonts w:ascii="Arial" w:hAnsi="Arial" w:cs="Arial"/>
        </w:rPr>
        <w:t xml:space="preserve">[12] It is common cause that Mr Moola has been convicted of a litany </w:t>
      </w:r>
      <w:r w:rsidR="008B64D8">
        <w:rPr>
          <w:rFonts w:ascii="Arial" w:hAnsi="Arial" w:cs="Arial"/>
        </w:rPr>
        <w:t xml:space="preserve">of </w:t>
      </w:r>
      <w:r>
        <w:rPr>
          <w:rFonts w:ascii="Arial" w:hAnsi="Arial" w:cs="Arial"/>
        </w:rPr>
        <w:t>charges (over 3 700) relating to the operation of the Scheme and is awaiting sentencing</w:t>
      </w:r>
      <w:r w:rsidR="00176ED9">
        <w:rPr>
          <w:rStyle w:val="FootnoteReference"/>
          <w:rFonts w:ascii="Arial" w:hAnsi="Arial" w:cs="Arial"/>
        </w:rPr>
        <w:footnoteReference w:id="7"/>
      </w:r>
      <w:r>
        <w:rPr>
          <w:rFonts w:ascii="Arial" w:hAnsi="Arial" w:cs="Arial"/>
        </w:rPr>
        <w:t xml:space="preserve">. </w:t>
      </w:r>
    </w:p>
    <w:p w:rsidR="00145D61" w:rsidRDefault="00145D61" w:rsidP="003F501C">
      <w:pPr>
        <w:spacing w:line="360" w:lineRule="auto"/>
        <w:rPr>
          <w:rFonts w:ascii="Arial" w:hAnsi="Arial" w:cs="Arial"/>
        </w:rPr>
      </w:pPr>
    </w:p>
    <w:p w:rsidR="009A4396" w:rsidRDefault="003B1C86" w:rsidP="003F501C">
      <w:pPr>
        <w:spacing w:line="360" w:lineRule="auto"/>
        <w:rPr>
          <w:rFonts w:ascii="Arial" w:hAnsi="Arial" w:cs="Arial"/>
        </w:rPr>
      </w:pPr>
      <w:r>
        <w:rPr>
          <w:rFonts w:ascii="Arial" w:hAnsi="Arial" w:cs="Arial"/>
        </w:rPr>
        <w:t>[13</w:t>
      </w:r>
      <w:r w:rsidR="00885CB3">
        <w:rPr>
          <w:rFonts w:ascii="Arial" w:hAnsi="Arial" w:cs="Arial"/>
        </w:rPr>
        <w:t xml:space="preserve">] </w:t>
      </w:r>
      <w:r w:rsidR="009869F9">
        <w:rPr>
          <w:rFonts w:ascii="Arial" w:hAnsi="Arial" w:cs="Arial"/>
        </w:rPr>
        <w:t>The particulars of the various</w:t>
      </w:r>
      <w:r w:rsidR="005A3469">
        <w:rPr>
          <w:rFonts w:ascii="Arial" w:hAnsi="Arial" w:cs="Arial"/>
        </w:rPr>
        <w:t xml:space="preserve"> dispositions by Carmol to the D</w:t>
      </w:r>
      <w:r w:rsidR="009869F9">
        <w:rPr>
          <w:rFonts w:ascii="Arial" w:hAnsi="Arial" w:cs="Arial"/>
        </w:rPr>
        <w:t xml:space="preserve">efendant </w:t>
      </w:r>
      <w:r w:rsidR="005A3469">
        <w:rPr>
          <w:rFonts w:ascii="Arial" w:hAnsi="Arial" w:cs="Arial"/>
        </w:rPr>
        <w:t xml:space="preserve">Trust </w:t>
      </w:r>
      <w:r w:rsidR="009869F9">
        <w:rPr>
          <w:rFonts w:ascii="Arial" w:hAnsi="Arial" w:cs="Arial"/>
        </w:rPr>
        <w:t>are</w:t>
      </w:r>
      <w:r w:rsidR="005A3469">
        <w:rPr>
          <w:rFonts w:ascii="Arial" w:hAnsi="Arial" w:cs="Arial"/>
        </w:rPr>
        <w:t xml:space="preserve"> set out in paragraph 5 of the Particulars of C</w:t>
      </w:r>
      <w:r w:rsidR="009869F9">
        <w:rPr>
          <w:rFonts w:ascii="Arial" w:hAnsi="Arial" w:cs="Arial"/>
        </w:rPr>
        <w:t>laim. The dispositions constitute 101 payments, totalling R66 087 300.00 commencing on 19 August 2013 to 22 November 2014</w:t>
      </w:r>
      <w:r w:rsidR="009869F9">
        <w:rPr>
          <w:rStyle w:val="FootnoteReference"/>
          <w:rFonts w:ascii="Arial" w:hAnsi="Arial" w:cs="Arial"/>
        </w:rPr>
        <w:footnoteReference w:id="8"/>
      </w:r>
      <w:r w:rsidR="009869F9">
        <w:rPr>
          <w:rFonts w:ascii="Arial" w:hAnsi="Arial" w:cs="Arial"/>
        </w:rPr>
        <w:t>. It is common cause that these dispositions were all made within two (2)</w:t>
      </w:r>
      <w:r w:rsidR="009A4396">
        <w:rPr>
          <w:rFonts w:ascii="Arial" w:hAnsi="Arial" w:cs="Arial"/>
        </w:rPr>
        <w:t xml:space="preserve"> </w:t>
      </w:r>
      <w:r>
        <w:rPr>
          <w:rFonts w:ascii="Arial" w:hAnsi="Arial" w:cs="Arial"/>
        </w:rPr>
        <w:t xml:space="preserve">years </w:t>
      </w:r>
      <w:r w:rsidR="009869F9">
        <w:rPr>
          <w:rFonts w:ascii="Arial" w:hAnsi="Arial" w:cs="Arial"/>
        </w:rPr>
        <w:t xml:space="preserve">of the winding-up of Carmol (18 August 2015).  </w:t>
      </w:r>
    </w:p>
    <w:p w:rsidR="009A4396" w:rsidRDefault="009A4396" w:rsidP="003F501C">
      <w:pPr>
        <w:spacing w:line="360" w:lineRule="auto"/>
        <w:rPr>
          <w:rFonts w:ascii="Arial" w:hAnsi="Arial" w:cs="Arial"/>
        </w:rPr>
      </w:pPr>
    </w:p>
    <w:p w:rsidR="005C4820" w:rsidRDefault="002328A3" w:rsidP="003F501C">
      <w:pPr>
        <w:spacing w:line="360" w:lineRule="auto"/>
        <w:rPr>
          <w:rFonts w:ascii="Arial" w:hAnsi="Arial" w:cs="Arial"/>
        </w:rPr>
      </w:pPr>
      <w:r>
        <w:rPr>
          <w:rFonts w:ascii="Arial" w:hAnsi="Arial" w:cs="Arial"/>
        </w:rPr>
        <w:t>[1</w:t>
      </w:r>
      <w:r w:rsidR="003B1C86">
        <w:rPr>
          <w:rFonts w:ascii="Arial" w:hAnsi="Arial" w:cs="Arial"/>
        </w:rPr>
        <w:t>4</w:t>
      </w:r>
      <w:r w:rsidR="005A3469">
        <w:rPr>
          <w:rFonts w:ascii="Arial" w:hAnsi="Arial" w:cs="Arial"/>
        </w:rPr>
        <w:t>] The P</w:t>
      </w:r>
      <w:r w:rsidR="009869F9">
        <w:rPr>
          <w:rFonts w:ascii="Arial" w:hAnsi="Arial" w:cs="Arial"/>
        </w:rPr>
        <w:t>laintiffs</w:t>
      </w:r>
      <w:r w:rsidR="005A3469">
        <w:rPr>
          <w:rFonts w:ascii="Arial" w:hAnsi="Arial" w:cs="Arial"/>
        </w:rPr>
        <w:t>’</w:t>
      </w:r>
      <w:r w:rsidR="009869F9">
        <w:rPr>
          <w:rFonts w:ascii="Arial" w:hAnsi="Arial" w:cs="Arial"/>
        </w:rPr>
        <w:t xml:space="preserve"> accordingly contend that any payments made by Carmol in relation to </w:t>
      </w:r>
      <w:r w:rsidR="003B1C86">
        <w:rPr>
          <w:rFonts w:ascii="Arial" w:hAnsi="Arial" w:cs="Arial"/>
        </w:rPr>
        <w:t>the S</w:t>
      </w:r>
      <w:r w:rsidR="009869F9">
        <w:rPr>
          <w:rFonts w:ascii="Arial" w:hAnsi="Arial" w:cs="Arial"/>
        </w:rPr>
        <w:t xml:space="preserve">cheme in excess of the deposits received, were made unlawfully and constitute dispositions without value. </w:t>
      </w:r>
    </w:p>
    <w:p w:rsidR="005C4820" w:rsidRDefault="005C4820" w:rsidP="003F501C">
      <w:pPr>
        <w:spacing w:line="360" w:lineRule="auto"/>
        <w:rPr>
          <w:rFonts w:ascii="Arial" w:hAnsi="Arial" w:cs="Arial"/>
        </w:rPr>
      </w:pPr>
    </w:p>
    <w:p w:rsidR="009A4396" w:rsidRPr="005A3469" w:rsidRDefault="00176ED9" w:rsidP="003F501C">
      <w:pPr>
        <w:spacing w:line="360" w:lineRule="auto"/>
        <w:rPr>
          <w:rFonts w:ascii="Arial" w:hAnsi="Arial" w:cs="Arial"/>
          <w:b/>
        </w:rPr>
      </w:pPr>
      <w:r w:rsidRPr="005A3469">
        <w:rPr>
          <w:rFonts w:ascii="Arial" w:hAnsi="Arial" w:cs="Arial"/>
          <w:b/>
        </w:rPr>
        <w:t xml:space="preserve">Relevant Legal Principles </w:t>
      </w:r>
    </w:p>
    <w:p w:rsidR="009A4396" w:rsidRDefault="009A4396" w:rsidP="003F501C">
      <w:pPr>
        <w:spacing w:line="360" w:lineRule="auto"/>
        <w:rPr>
          <w:rFonts w:ascii="Arial" w:hAnsi="Arial" w:cs="Arial"/>
        </w:rPr>
      </w:pPr>
    </w:p>
    <w:p w:rsidR="00145D61" w:rsidRDefault="003B1C86" w:rsidP="003F501C">
      <w:pPr>
        <w:spacing w:line="360" w:lineRule="auto"/>
        <w:rPr>
          <w:rFonts w:ascii="Arial" w:hAnsi="Arial" w:cs="Arial"/>
        </w:rPr>
      </w:pPr>
      <w:r>
        <w:rPr>
          <w:rFonts w:ascii="Arial" w:hAnsi="Arial" w:cs="Arial"/>
        </w:rPr>
        <w:t>[15</w:t>
      </w:r>
      <w:r w:rsidR="009A4396">
        <w:rPr>
          <w:rFonts w:ascii="Arial" w:hAnsi="Arial" w:cs="Arial"/>
        </w:rPr>
        <w:t xml:space="preserve">] </w:t>
      </w:r>
      <w:r w:rsidR="005C4820">
        <w:rPr>
          <w:rFonts w:ascii="Arial" w:hAnsi="Arial" w:cs="Arial"/>
        </w:rPr>
        <w:t xml:space="preserve">Section 26 (1) (b) of the Insolvency Act reads; </w:t>
      </w:r>
    </w:p>
    <w:p w:rsidR="005A3469" w:rsidRDefault="005A3469" w:rsidP="003F501C">
      <w:pPr>
        <w:spacing w:line="360" w:lineRule="auto"/>
        <w:rPr>
          <w:rFonts w:ascii="Arial" w:hAnsi="Arial" w:cs="Arial"/>
        </w:rPr>
      </w:pPr>
    </w:p>
    <w:p w:rsidR="005C4820" w:rsidRPr="005C4820" w:rsidRDefault="005C4820" w:rsidP="003F501C">
      <w:pPr>
        <w:spacing w:line="360" w:lineRule="auto"/>
        <w:rPr>
          <w:rFonts w:ascii="Arial" w:hAnsi="Arial" w:cs="Arial"/>
          <w:sz w:val="22"/>
          <w:szCs w:val="22"/>
        </w:rPr>
      </w:pPr>
      <w:r>
        <w:rPr>
          <w:rFonts w:ascii="Arial" w:hAnsi="Arial" w:cs="Arial"/>
        </w:rPr>
        <w:t>‘</w:t>
      </w:r>
      <w:r w:rsidRPr="005C4820">
        <w:rPr>
          <w:rFonts w:ascii="Arial" w:hAnsi="Arial" w:cs="Arial"/>
          <w:sz w:val="22"/>
          <w:szCs w:val="22"/>
        </w:rPr>
        <w:t>(1) Every disposition of property not made for value may be set aside by the court if such disposition was made by an insolvent –</w:t>
      </w:r>
    </w:p>
    <w:p w:rsidR="005C4820" w:rsidRDefault="005C4820" w:rsidP="005C4820">
      <w:pPr>
        <w:spacing w:line="360" w:lineRule="auto"/>
        <w:ind w:left="720"/>
        <w:rPr>
          <w:rFonts w:ascii="Arial" w:hAnsi="Arial" w:cs="Arial"/>
          <w:sz w:val="22"/>
          <w:szCs w:val="22"/>
        </w:rPr>
      </w:pPr>
      <w:r w:rsidRPr="005C4820">
        <w:rPr>
          <w:rFonts w:ascii="Arial" w:hAnsi="Arial" w:cs="Arial"/>
          <w:sz w:val="22"/>
          <w:szCs w:val="22"/>
        </w:rPr>
        <w:t>(b) within two years of the sequestration of his estate, and the person claiming under or benefitted by the disposition is unable to prove that, immediately after the disposition was made, the assets of the insolvent exceeded his liability:</w:t>
      </w:r>
    </w:p>
    <w:p w:rsidR="003C73BF" w:rsidRPr="005C4820" w:rsidRDefault="003C73BF" w:rsidP="005C4820">
      <w:pPr>
        <w:spacing w:line="360" w:lineRule="auto"/>
        <w:ind w:left="720"/>
        <w:rPr>
          <w:rFonts w:ascii="Arial" w:hAnsi="Arial" w:cs="Arial"/>
          <w:sz w:val="22"/>
          <w:szCs w:val="22"/>
        </w:rPr>
      </w:pPr>
    </w:p>
    <w:p w:rsidR="005C4820" w:rsidRDefault="005C4820" w:rsidP="005C4820">
      <w:pPr>
        <w:spacing w:line="360" w:lineRule="auto"/>
        <w:rPr>
          <w:rFonts w:ascii="Arial" w:hAnsi="Arial" w:cs="Arial"/>
        </w:rPr>
      </w:pPr>
      <w:r w:rsidRPr="005C4820">
        <w:rPr>
          <w:rFonts w:ascii="Arial" w:hAnsi="Arial" w:cs="Arial"/>
          <w:sz w:val="22"/>
          <w:szCs w:val="22"/>
        </w:rPr>
        <w:t>Provided that if it is proved that the liabilities of the insolvent at any time after the making of the disposition exceeded his assets by less that the value of the property disposed of, it may be set aside onl</w:t>
      </w:r>
      <w:r w:rsidR="005A3469">
        <w:rPr>
          <w:rFonts w:ascii="Arial" w:hAnsi="Arial" w:cs="Arial"/>
          <w:sz w:val="22"/>
          <w:szCs w:val="22"/>
        </w:rPr>
        <w:t>y to the extent of such excess</w:t>
      </w:r>
      <w:r w:rsidRPr="005C4820">
        <w:rPr>
          <w:rFonts w:ascii="Arial" w:hAnsi="Arial" w:cs="Arial"/>
          <w:sz w:val="22"/>
          <w:szCs w:val="22"/>
        </w:rPr>
        <w:t>.</w:t>
      </w:r>
      <w:r>
        <w:rPr>
          <w:rFonts w:ascii="Arial" w:hAnsi="Arial" w:cs="Arial"/>
        </w:rPr>
        <w:t xml:space="preserve">’   </w:t>
      </w:r>
    </w:p>
    <w:p w:rsidR="009A4396" w:rsidRDefault="009A4396" w:rsidP="003F501C">
      <w:pPr>
        <w:spacing w:line="360" w:lineRule="auto"/>
        <w:rPr>
          <w:rFonts w:ascii="Arial" w:hAnsi="Arial" w:cs="Arial"/>
        </w:rPr>
      </w:pPr>
    </w:p>
    <w:p w:rsidR="009A4396" w:rsidRDefault="003B1C86" w:rsidP="003F501C">
      <w:pPr>
        <w:spacing w:line="360" w:lineRule="auto"/>
        <w:rPr>
          <w:rFonts w:ascii="Arial" w:hAnsi="Arial" w:cs="Arial"/>
        </w:rPr>
      </w:pPr>
      <w:r>
        <w:rPr>
          <w:rFonts w:ascii="Arial" w:hAnsi="Arial" w:cs="Arial"/>
        </w:rPr>
        <w:lastRenderedPageBreak/>
        <w:t>[16</w:t>
      </w:r>
      <w:r w:rsidR="005C4820">
        <w:rPr>
          <w:rFonts w:ascii="Arial" w:hAnsi="Arial" w:cs="Arial"/>
        </w:rPr>
        <w:t>]</w:t>
      </w:r>
      <w:r w:rsidR="009A4396">
        <w:rPr>
          <w:rFonts w:ascii="Arial" w:hAnsi="Arial" w:cs="Arial"/>
        </w:rPr>
        <w:t xml:space="preserve"> </w:t>
      </w:r>
      <w:r w:rsidR="005C4820">
        <w:rPr>
          <w:rFonts w:ascii="Arial" w:hAnsi="Arial" w:cs="Arial"/>
        </w:rPr>
        <w:t>The only disputes on the pleadings relate to whether the dispositions were not m</w:t>
      </w:r>
      <w:r w:rsidR="008B64D8">
        <w:rPr>
          <w:rFonts w:ascii="Arial" w:hAnsi="Arial" w:cs="Arial"/>
        </w:rPr>
        <w:t>ade for value and whether</w:t>
      </w:r>
      <w:r w:rsidR="005C4820">
        <w:rPr>
          <w:rFonts w:ascii="Arial" w:hAnsi="Arial" w:cs="Arial"/>
        </w:rPr>
        <w:t xml:space="preserve"> the dispositions constituted repaym</w:t>
      </w:r>
      <w:r>
        <w:rPr>
          <w:rFonts w:ascii="Arial" w:hAnsi="Arial" w:cs="Arial"/>
        </w:rPr>
        <w:t>ents of monies advanced by the D</w:t>
      </w:r>
      <w:r w:rsidR="005C4820">
        <w:rPr>
          <w:rFonts w:ascii="Arial" w:hAnsi="Arial" w:cs="Arial"/>
        </w:rPr>
        <w:t>efendant to Carmol</w:t>
      </w:r>
      <w:r w:rsidR="005C4820">
        <w:rPr>
          <w:rStyle w:val="FootnoteReference"/>
          <w:rFonts w:ascii="Arial" w:hAnsi="Arial" w:cs="Arial"/>
        </w:rPr>
        <w:footnoteReference w:id="9"/>
      </w:r>
      <w:r w:rsidR="005C4820">
        <w:rPr>
          <w:rFonts w:ascii="Arial" w:hAnsi="Arial" w:cs="Arial"/>
        </w:rPr>
        <w:t xml:space="preserve">. </w:t>
      </w:r>
    </w:p>
    <w:p w:rsidR="009A0D02" w:rsidRDefault="009A0D02" w:rsidP="003F501C">
      <w:pPr>
        <w:spacing w:line="360" w:lineRule="auto"/>
        <w:rPr>
          <w:rFonts w:ascii="Arial" w:hAnsi="Arial" w:cs="Arial"/>
        </w:rPr>
      </w:pPr>
    </w:p>
    <w:p w:rsidR="009A0D02" w:rsidRDefault="00C84E89" w:rsidP="003F501C">
      <w:pPr>
        <w:spacing w:line="360" w:lineRule="auto"/>
        <w:rPr>
          <w:rFonts w:ascii="Arial" w:hAnsi="Arial" w:cs="Arial"/>
        </w:rPr>
      </w:pPr>
      <w:r>
        <w:rPr>
          <w:rFonts w:ascii="Arial" w:hAnsi="Arial" w:cs="Arial"/>
        </w:rPr>
        <w:t>[17</w:t>
      </w:r>
      <w:r w:rsidR="009A0D02">
        <w:rPr>
          <w:rFonts w:ascii="Arial" w:hAnsi="Arial" w:cs="Arial"/>
        </w:rPr>
        <w:t xml:space="preserve">] </w:t>
      </w:r>
      <w:r w:rsidR="00DB1279">
        <w:rPr>
          <w:rFonts w:ascii="Arial" w:hAnsi="Arial" w:cs="Arial"/>
        </w:rPr>
        <w:t xml:space="preserve">In order to </w:t>
      </w:r>
      <w:r>
        <w:rPr>
          <w:rFonts w:ascii="Arial" w:hAnsi="Arial" w:cs="Arial"/>
        </w:rPr>
        <w:t>succeed with their claims, the P</w:t>
      </w:r>
      <w:r w:rsidR="00DB1279">
        <w:rPr>
          <w:rFonts w:ascii="Arial" w:hAnsi="Arial" w:cs="Arial"/>
        </w:rPr>
        <w:t>laintiffs need to establish the following:</w:t>
      </w:r>
    </w:p>
    <w:p w:rsidR="005A3469" w:rsidRDefault="005A3469" w:rsidP="003F501C">
      <w:pPr>
        <w:spacing w:line="360" w:lineRule="auto"/>
        <w:rPr>
          <w:rFonts w:ascii="Arial" w:hAnsi="Arial" w:cs="Arial"/>
        </w:rPr>
      </w:pPr>
    </w:p>
    <w:p w:rsidR="00DB1279" w:rsidRDefault="00C84E89" w:rsidP="003F501C">
      <w:pPr>
        <w:spacing w:line="360" w:lineRule="auto"/>
        <w:rPr>
          <w:rFonts w:ascii="Arial" w:hAnsi="Arial" w:cs="Arial"/>
        </w:rPr>
      </w:pPr>
      <w:r>
        <w:rPr>
          <w:rFonts w:ascii="Arial" w:hAnsi="Arial" w:cs="Arial"/>
        </w:rPr>
        <w:t>17</w:t>
      </w:r>
      <w:r w:rsidR="00DB1279">
        <w:rPr>
          <w:rFonts w:ascii="Arial" w:hAnsi="Arial" w:cs="Arial"/>
        </w:rPr>
        <w:t>.1</w:t>
      </w:r>
      <w:r w:rsidR="00DB1279">
        <w:rPr>
          <w:rFonts w:ascii="Arial" w:hAnsi="Arial" w:cs="Arial"/>
        </w:rPr>
        <w:tab/>
        <w:t>The various dispositions by Carmol</w:t>
      </w:r>
      <w:r w:rsidR="00DB1279">
        <w:rPr>
          <w:rStyle w:val="FootnoteReference"/>
          <w:rFonts w:ascii="Arial" w:hAnsi="Arial" w:cs="Arial"/>
        </w:rPr>
        <w:footnoteReference w:id="10"/>
      </w:r>
      <w:r w:rsidR="00DB1279">
        <w:rPr>
          <w:rFonts w:ascii="Arial" w:hAnsi="Arial" w:cs="Arial"/>
        </w:rPr>
        <w:t xml:space="preserve">. </w:t>
      </w:r>
    </w:p>
    <w:p w:rsidR="00DB1279" w:rsidRDefault="00C84E89" w:rsidP="003F501C">
      <w:pPr>
        <w:spacing w:line="360" w:lineRule="auto"/>
        <w:rPr>
          <w:rFonts w:ascii="Arial" w:hAnsi="Arial" w:cs="Arial"/>
        </w:rPr>
      </w:pPr>
      <w:r>
        <w:rPr>
          <w:rFonts w:ascii="Arial" w:hAnsi="Arial" w:cs="Arial"/>
        </w:rPr>
        <w:t>17</w:t>
      </w:r>
      <w:r w:rsidR="00DB1279">
        <w:rPr>
          <w:rFonts w:ascii="Arial" w:hAnsi="Arial" w:cs="Arial"/>
        </w:rPr>
        <w:t>.2</w:t>
      </w:r>
      <w:r w:rsidR="00DB1279">
        <w:rPr>
          <w:rFonts w:ascii="Arial" w:hAnsi="Arial" w:cs="Arial"/>
        </w:rPr>
        <w:tab/>
        <w:t xml:space="preserve">Of </w:t>
      </w:r>
      <w:proofErr w:type="spellStart"/>
      <w:r w:rsidR="00DB1279">
        <w:rPr>
          <w:rFonts w:ascii="Arial" w:hAnsi="Arial" w:cs="Arial"/>
        </w:rPr>
        <w:t>Carmol’s</w:t>
      </w:r>
      <w:proofErr w:type="spellEnd"/>
      <w:r w:rsidR="00DB1279">
        <w:rPr>
          <w:rFonts w:ascii="Arial" w:hAnsi="Arial" w:cs="Arial"/>
        </w:rPr>
        <w:t xml:space="preserve"> property</w:t>
      </w:r>
      <w:r w:rsidR="00DB1279">
        <w:rPr>
          <w:rStyle w:val="FootnoteReference"/>
          <w:rFonts w:ascii="Arial" w:hAnsi="Arial" w:cs="Arial"/>
        </w:rPr>
        <w:footnoteReference w:id="11"/>
      </w:r>
      <w:r w:rsidR="00DB1279">
        <w:rPr>
          <w:rFonts w:ascii="Arial" w:hAnsi="Arial" w:cs="Arial"/>
        </w:rPr>
        <w:t>.</w:t>
      </w:r>
    </w:p>
    <w:p w:rsidR="00DB1279" w:rsidRDefault="00C84E89" w:rsidP="003F501C">
      <w:pPr>
        <w:spacing w:line="360" w:lineRule="auto"/>
        <w:rPr>
          <w:rFonts w:ascii="Arial" w:hAnsi="Arial" w:cs="Arial"/>
        </w:rPr>
      </w:pPr>
      <w:r>
        <w:rPr>
          <w:rFonts w:ascii="Arial" w:hAnsi="Arial" w:cs="Arial"/>
        </w:rPr>
        <w:t>17</w:t>
      </w:r>
      <w:r w:rsidR="00DB1279">
        <w:rPr>
          <w:rFonts w:ascii="Arial" w:hAnsi="Arial" w:cs="Arial"/>
        </w:rPr>
        <w:t>.3</w:t>
      </w:r>
      <w:r w:rsidR="00DB1279">
        <w:rPr>
          <w:rFonts w:ascii="Arial" w:hAnsi="Arial" w:cs="Arial"/>
        </w:rPr>
        <w:tab/>
      </w:r>
      <w:r w:rsidR="005A3469">
        <w:rPr>
          <w:rFonts w:ascii="Arial" w:hAnsi="Arial" w:cs="Arial"/>
        </w:rPr>
        <w:t>The dispositions were made w</w:t>
      </w:r>
      <w:r w:rsidR="00DB1279">
        <w:rPr>
          <w:rFonts w:ascii="Arial" w:hAnsi="Arial" w:cs="Arial"/>
        </w:rPr>
        <w:t xml:space="preserve">ithin two (2) years of </w:t>
      </w:r>
      <w:proofErr w:type="spellStart"/>
      <w:r w:rsidR="005A3469">
        <w:rPr>
          <w:rFonts w:ascii="Arial" w:hAnsi="Arial" w:cs="Arial"/>
        </w:rPr>
        <w:t>Carmol’s</w:t>
      </w:r>
      <w:proofErr w:type="spellEnd"/>
      <w:r w:rsidR="005A3469">
        <w:rPr>
          <w:rFonts w:ascii="Arial" w:hAnsi="Arial" w:cs="Arial"/>
        </w:rPr>
        <w:t xml:space="preserve"> </w:t>
      </w:r>
      <w:r w:rsidR="00DB1279">
        <w:rPr>
          <w:rFonts w:ascii="Arial" w:hAnsi="Arial" w:cs="Arial"/>
        </w:rPr>
        <w:t xml:space="preserve">winding-up; and </w:t>
      </w:r>
    </w:p>
    <w:p w:rsidR="00DB1279" w:rsidRDefault="00C84E89" w:rsidP="003F501C">
      <w:pPr>
        <w:spacing w:line="360" w:lineRule="auto"/>
        <w:rPr>
          <w:rFonts w:ascii="Arial" w:hAnsi="Arial" w:cs="Arial"/>
        </w:rPr>
      </w:pPr>
      <w:r>
        <w:rPr>
          <w:rFonts w:ascii="Arial" w:hAnsi="Arial" w:cs="Arial"/>
        </w:rPr>
        <w:t>17</w:t>
      </w:r>
      <w:r w:rsidR="00DB1279">
        <w:rPr>
          <w:rFonts w:ascii="Arial" w:hAnsi="Arial" w:cs="Arial"/>
        </w:rPr>
        <w:t>.4</w:t>
      </w:r>
      <w:r w:rsidR="00DB1279">
        <w:rPr>
          <w:rFonts w:ascii="Arial" w:hAnsi="Arial" w:cs="Arial"/>
        </w:rPr>
        <w:tab/>
        <w:t>The dispositions were not made for value</w:t>
      </w:r>
      <w:r w:rsidR="00DB1279">
        <w:rPr>
          <w:rStyle w:val="FootnoteReference"/>
          <w:rFonts w:ascii="Arial" w:hAnsi="Arial" w:cs="Arial"/>
        </w:rPr>
        <w:footnoteReference w:id="12"/>
      </w:r>
      <w:r w:rsidR="006E7E8D">
        <w:rPr>
          <w:rFonts w:ascii="Arial" w:hAnsi="Arial" w:cs="Arial"/>
        </w:rPr>
        <w:t>.</w:t>
      </w:r>
    </w:p>
    <w:p w:rsidR="008B64D8" w:rsidRDefault="008B64D8" w:rsidP="003F501C">
      <w:pPr>
        <w:spacing w:line="360" w:lineRule="auto"/>
        <w:rPr>
          <w:rFonts w:ascii="Arial" w:hAnsi="Arial" w:cs="Arial"/>
        </w:rPr>
      </w:pPr>
      <w:r>
        <w:rPr>
          <w:rFonts w:ascii="Arial" w:hAnsi="Arial" w:cs="Arial"/>
        </w:rPr>
        <w:t xml:space="preserve">The above factors (save for paragraph 17.4) are common cause. </w:t>
      </w:r>
      <w:r w:rsidR="00534974">
        <w:rPr>
          <w:rFonts w:ascii="Arial" w:hAnsi="Arial" w:cs="Arial"/>
        </w:rPr>
        <w:t>In respect of the dispositions made not for value, t</w:t>
      </w:r>
      <w:r>
        <w:rPr>
          <w:rFonts w:ascii="Arial" w:hAnsi="Arial" w:cs="Arial"/>
        </w:rPr>
        <w:t>here has been no evidence led by the Defendants’ to rebut the Plaintiffs’ version that no benefit or value was received</w:t>
      </w:r>
      <w:r w:rsidR="00534974">
        <w:rPr>
          <w:rFonts w:ascii="Arial" w:hAnsi="Arial" w:cs="Arial"/>
        </w:rPr>
        <w:t>.</w:t>
      </w:r>
      <w:r>
        <w:rPr>
          <w:rFonts w:ascii="Arial" w:hAnsi="Arial" w:cs="Arial"/>
        </w:rPr>
        <w:t xml:space="preserve"> </w:t>
      </w:r>
    </w:p>
    <w:p w:rsidR="00C84E89" w:rsidRDefault="00C84E89" w:rsidP="003F501C">
      <w:pPr>
        <w:spacing w:line="360" w:lineRule="auto"/>
        <w:rPr>
          <w:rFonts w:ascii="Arial" w:hAnsi="Arial" w:cs="Arial"/>
        </w:rPr>
      </w:pPr>
    </w:p>
    <w:p w:rsidR="00C84E89" w:rsidRPr="005A3469" w:rsidRDefault="00C84E89" w:rsidP="00C84E89">
      <w:pPr>
        <w:spacing w:line="360" w:lineRule="auto"/>
        <w:rPr>
          <w:rFonts w:ascii="Arial" w:hAnsi="Arial" w:cs="Arial"/>
          <w:b/>
        </w:rPr>
      </w:pPr>
      <w:r w:rsidRPr="005A3469">
        <w:rPr>
          <w:rFonts w:ascii="Arial" w:hAnsi="Arial" w:cs="Arial"/>
          <w:b/>
        </w:rPr>
        <w:t xml:space="preserve">Facts </w:t>
      </w:r>
    </w:p>
    <w:p w:rsidR="00C84E89" w:rsidRDefault="00C84E89" w:rsidP="003F501C">
      <w:pPr>
        <w:spacing w:line="360" w:lineRule="auto"/>
        <w:rPr>
          <w:rFonts w:ascii="Arial" w:hAnsi="Arial" w:cs="Arial"/>
        </w:rPr>
      </w:pPr>
    </w:p>
    <w:p w:rsidR="00C84E89" w:rsidRDefault="00C84E89" w:rsidP="00C84E89">
      <w:pPr>
        <w:spacing w:line="360" w:lineRule="auto"/>
        <w:rPr>
          <w:rFonts w:ascii="Arial" w:hAnsi="Arial" w:cs="Arial"/>
        </w:rPr>
      </w:pPr>
      <w:r>
        <w:rPr>
          <w:rFonts w:ascii="Arial" w:hAnsi="Arial" w:cs="Arial"/>
        </w:rPr>
        <w:t xml:space="preserve">[18] In regard to the Scheme operated by Carmol, the Defendants have pleaded no knowledge of such facts and nor have they denied that the 101 payments constitute dispositions of </w:t>
      </w:r>
      <w:proofErr w:type="spellStart"/>
      <w:r>
        <w:rPr>
          <w:rFonts w:ascii="Arial" w:hAnsi="Arial" w:cs="Arial"/>
        </w:rPr>
        <w:t>Carmol’s</w:t>
      </w:r>
      <w:proofErr w:type="spellEnd"/>
      <w:r>
        <w:rPr>
          <w:rFonts w:ascii="Arial" w:hAnsi="Arial" w:cs="Arial"/>
        </w:rPr>
        <w:t xml:space="preserve"> property</w:t>
      </w:r>
      <w:r w:rsidR="005A3469">
        <w:rPr>
          <w:rFonts w:ascii="Arial" w:hAnsi="Arial" w:cs="Arial"/>
        </w:rPr>
        <w:t>. S</w:t>
      </w:r>
      <w:r>
        <w:rPr>
          <w:rFonts w:ascii="Arial" w:hAnsi="Arial" w:cs="Arial"/>
        </w:rPr>
        <w:t xml:space="preserve">uch allegations are accordingly deemed to be admitted. Uniform Rule 22 (3) of the Uniform Rules of Court provides: </w:t>
      </w:r>
    </w:p>
    <w:p w:rsidR="005A3469" w:rsidRDefault="005A3469" w:rsidP="00C84E89">
      <w:pPr>
        <w:spacing w:line="360" w:lineRule="auto"/>
        <w:rPr>
          <w:rFonts w:ascii="Arial" w:hAnsi="Arial" w:cs="Arial"/>
        </w:rPr>
      </w:pPr>
    </w:p>
    <w:p w:rsidR="00C84E89" w:rsidRDefault="00C84E89" w:rsidP="00C84E89">
      <w:pPr>
        <w:spacing w:line="360" w:lineRule="auto"/>
        <w:rPr>
          <w:rFonts w:ascii="Arial" w:hAnsi="Arial" w:cs="Arial"/>
        </w:rPr>
      </w:pPr>
      <w:r>
        <w:rPr>
          <w:rFonts w:ascii="Arial" w:hAnsi="Arial" w:cs="Arial"/>
        </w:rPr>
        <w:t>‘</w:t>
      </w:r>
      <w:r w:rsidRPr="00BB457F">
        <w:rPr>
          <w:rFonts w:ascii="Arial" w:hAnsi="Arial" w:cs="Arial"/>
          <w:sz w:val="22"/>
          <w:szCs w:val="22"/>
        </w:rPr>
        <w:t>(3) Every allegation of fact in the combined summons or declaration which is not stated in the plea to be denied or be admitted, shall be deemed to be admitted. If any e</w:t>
      </w:r>
      <w:r w:rsidR="005A3469">
        <w:rPr>
          <w:rFonts w:ascii="Arial" w:hAnsi="Arial" w:cs="Arial"/>
          <w:sz w:val="22"/>
          <w:szCs w:val="22"/>
        </w:rPr>
        <w:t>xplanation or</w:t>
      </w:r>
      <w:r w:rsidRPr="00BB457F">
        <w:rPr>
          <w:rFonts w:ascii="Arial" w:hAnsi="Arial" w:cs="Arial"/>
          <w:sz w:val="22"/>
          <w:szCs w:val="22"/>
        </w:rPr>
        <w:t xml:space="preserve"> qualification of any denial is necessary, it shall be stated in the plea.</w:t>
      </w:r>
      <w:r>
        <w:rPr>
          <w:rFonts w:ascii="Arial" w:hAnsi="Arial" w:cs="Arial"/>
        </w:rPr>
        <w:t xml:space="preserve">’     </w:t>
      </w:r>
    </w:p>
    <w:p w:rsidR="006E7E8D" w:rsidRDefault="006E7E8D" w:rsidP="003F501C">
      <w:pPr>
        <w:spacing w:line="360" w:lineRule="auto"/>
        <w:rPr>
          <w:rFonts w:ascii="Arial" w:hAnsi="Arial" w:cs="Arial"/>
        </w:rPr>
      </w:pPr>
    </w:p>
    <w:p w:rsidR="006E7E8D" w:rsidRDefault="00C84E89" w:rsidP="003F501C">
      <w:pPr>
        <w:spacing w:line="360" w:lineRule="auto"/>
        <w:rPr>
          <w:rFonts w:ascii="Arial" w:hAnsi="Arial" w:cs="Arial"/>
        </w:rPr>
      </w:pPr>
      <w:r>
        <w:rPr>
          <w:rFonts w:ascii="Arial" w:hAnsi="Arial" w:cs="Arial"/>
        </w:rPr>
        <w:t xml:space="preserve"> </w:t>
      </w:r>
      <w:r w:rsidR="006E7E8D">
        <w:rPr>
          <w:rFonts w:ascii="Arial" w:hAnsi="Arial" w:cs="Arial"/>
        </w:rPr>
        <w:t>[19</w:t>
      </w:r>
      <w:r w:rsidR="009A0D02">
        <w:rPr>
          <w:rFonts w:ascii="Arial" w:hAnsi="Arial" w:cs="Arial"/>
        </w:rPr>
        <w:t xml:space="preserve">] </w:t>
      </w:r>
      <w:r w:rsidR="006E7E8D">
        <w:rPr>
          <w:rFonts w:ascii="Arial" w:hAnsi="Arial" w:cs="Arial"/>
        </w:rPr>
        <w:t xml:space="preserve">Mr Stewart who is the lead liquidator and of considerable relevant experience testified that Carmol conducted a typical pyramid scheme which used diesel return sheets </w:t>
      </w:r>
      <w:r w:rsidR="006E7E8D">
        <w:rPr>
          <w:rFonts w:ascii="Arial" w:hAnsi="Arial" w:cs="Arial"/>
        </w:rPr>
        <w:lastRenderedPageBreak/>
        <w:t xml:space="preserve">as a way of giving credence to the fraud perpetrated by it. Carmol conducted no business whatsoever apart from taking deposits from members of the public and making </w:t>
      </w:r>
      <w:r>
        <w:rPr>
          <w:rFonts w:ascii="Arial" w:hAnsi="Arial" w:cs="Arial"/>
        </w:rPr>
        <w:t xml:space="preserve">exorbitant </w:t>
      </w:r>
      <w:r w:rsidR="006E7E8D">
        <w:rPr>
          <w:rFonts w:ascii="Arial" w:hAnsi="Arial" w:cs="Arial"/>
        </w:rPr>
        <w:t>return payments. It had no ability to generate profits with which to repay its obligations to the participants other than by obtaining new “investments”</w:t>
      </w:r>
      <w:r w:rsidR="005A3469">
        <w:rPr>
          <w:rFonts w:ascii="Arial" w:hAnsi="Arial" w:cs="Arial"/>
        </w:rPr>
        <w:t>. F</w:t>
      </w:r>
      <w:r>
        <w:rPr>
          <w:rFonts w:ascii="Arial" w:hAnsi="Arial" w:cs="Arial"/>
        </w:rPr>
        <w:t xml:space="preserve">rom the time Carmol received the first “investment”, it was accordingly </w:t>
      </w:r>
      <w:r w:rsidR="00917178">
        <w:rPr>
          <w:rFonts w:ascii="Arial" w:hAnsi="Arial" w:cs="Arial"/>
        </w:rPr>
        <w:t>un</w:t>
      </w:r>
      <w:r>
        <w:rPr>
          <w:rFonts w:ascii="Arial" w:hAnsi="Arial" w:cs="Arial"/>
        </w:rPr>
        <w:t>able to pay its debts</w:t>
      </w:r>
      <w:r w:rsidR="00917178">
        <w:rPr>
          <w:rFonts w:ascii="Arial" w:hAnsi="Arial" w:cs="Arial"/>
        </w:rPr>
        <w:t xml:space="preserve"> and was insolvent</w:t>
      </w:r>
      <w:r w:rsidR="006E7E8D">
        <w:rPr>
          <w:rFonts w:ascii="Arial" w:hAnsi="Arial" w:cs="Arial"/>
        </w:rPr>
        <w:t xml:space="preserve">. </w:t>
      </w:r>
    </w:p>
    <w:p w:rsidR="006E7E8D" w:rsidRDefault="006E7E8D" w:rsidP="003F501C">
      <w:pPr>
        <w:spacing w:line="360" w:lineRule="auto"/>
        <w:rPr>
          <w:rFonts w:ascii="Arial" w:hAnsi="Arial" w:cs="Arial"/>
        </w:rPr>
      </w:pPr>
    </w:p>
    <w:p w:rsidR="00230CEF" w:rsidRDefault="006E7E8D" w:rsidP="003F501C">
      <w:pPr>
        <w:spacing w:line="360" w:lineRule="auto"/>
        <w:rPr>
          <w:rFonts w:ascii="Arial" w:hAnsi="Arial" w:cs="Arial"/>
        </w:rPr>
      </w:pPr>
      <w:r>
        <w:rPr>
          <w:rFonts w:ascii="Arial" w:hAnsi="Arial" w:cs="Arial"/>
        </w:rPr>
        <w:t xml:space="preserve">[20] </w:t>
      </w:r>
      <w:r w:rsidR="00230CEF">
        <w:rPr>
          <w:rFonts w:ascii="Arial" w:hAnsi="Arial" w:cs="Arial"/>
        </w:rPr>
        <w:t>At the time when the Second Meeting</w:t>
      </w:r>
      <w:r w:rsidR="00917178">
        <w:rPr>
          <w:rFonts w:ascii="Arial" w:hAnsi="Arial" w:cs="Arial"/>
        </w:rPr>
        <w:t xml:space="preserve"> of Creditors and Contributors R</w:t>
      </w:r>
      <w:r w:rsidR="00230CEF">
        <w:rPr>
          <w:rFonts w:ascii="Arial" w:hAnsi="Arial" w:cs="Arial"/>
        </w:rPr>
        <w:t>eport was drawn in August 2016, Carmol</w:t>
      </w:r>
      <w:r w:rsidR="003C73BF">
        <w:rPr>
          <w:rFonts w:ascii="Arial" w:hAnsi="Arial" w:cs="Arial"/>
        </w:rPr>
        <w:t xml:space="preserve"> had assets of R187 506 137-</w:t>
      </w:r>
      <w:r w:rsidR="00230CEF">
        <w:rPr>
          <w:rFonts w:ascii="Arial" w:hAnsi="Arial" w:cs="Arial"/>
        </w:rPr>
        <w:t xml:space="preserve">00 and liabilities of </w:t>
      </w:r>
    </w:p>
    <w:p w:rsidR="00230CEF" w:rsidRDefault="00230CEF" w:rsidP="003F501C">
      <w:pPr>
        <w:spacing w:line="360" w:lineRule="auto"/>
        <w:rPr>
          <w:rFonts w:ascii="Arial" w:hAnsi="Arial" w:cs="Arial"/>
        </w:rPr>
      </w:pPr>
      <w:r>
        <w:rPr>
          <w:rFonts w:ascii="Arial" w:hAnsi="Arial" w:cs="Arial"/>
        </w:rPr>
        <w:t>R576 000 000.00</w:t>
      </w:r>
      <w:r>
        <w:rPr>
          <w:rStyle w:val="FootnoteReference"/>
          <w:rFonts w:ascii="Arial" w:hAnsi="Arial" w:cs="Arial"/>
        </w:rPr>
        <w:footnoteReference w:id="13"/>
      </w:r>
      <w:r w:rsidR="00C84E89">
        <w:rPr>
          <w:rFonts w:ascii="Arial" w:hAnsi="Arial" w:cs="Arial"/>
        </w:rPr>
        <w:t xml:space="preserve">. </w:t>
      </w:r>
      <w:r w:rsidR="00917178">
        <w:rPr>
          <w:rFonts w:ascii="Arial" w:hAnsi="Arial" w:cs="Arial"/>
        </w:rPr>
        <w:t>Its</w:t>
      </w:r>
      <w:r>
        <w:rPr>
          <w:rFonts w:ascii="Arial" w:hAnsi="Arial" w:cs="Arial"/>
        </w:rPr>
        <w:t xml:space="preserve"> insolvency increased when the South African Revenue Ser</w:t>
      </w:r>
      <w:r w:rsidR="00C84E89">
        <w:rPr>
          <w:rFonts w:ascii="Arial" w:hAnsi="Arial" w:cs="Arial"/>
        </w:rPr>
        <w:t>vices lodged a claim for proof i</w:t>
      </w:r>
      <w:r w:rsidR="003C73BF">
        <w:rPr>
          <w:rFonts w:ascii="Arial" w:hAnsi="Arial" w:cs="Arial"/>
        </w:rPr>
        <w:t>n excess of R276 000 000-</w:t>
      </w:r>
      <w:r>
        <w:rPr>
          <w:rFonts w:ascii="Arial" w:hAnsi="Arial" w:cs="Arial"/>
        </w:rPr>
        <w:t xml:space="preserve">00 which was later settled </w:t>
      </w:r>
      <w:r w:rsidR="00C84E89">
        <w:rPr>
          <w:rFonts w:ascii="Arial" w:hAnsi="Arial" w:cs="Arial"/>
        </w:rPr>
        <w:t>at</w:t>
      </w:r>
      <w:r>
        <w:rPr>
          <w:rFonts w:ascii="Arial" w:hAnsi="Arial" w:cs="Arial"/>
        </w:rPr>
        <w:t xml:space="preserve"> R70 </w:t>
      </w:r>
      <w:r w:rsidR="00917178">
        <w:rPr>
          <w:rFonts w:ascii="Arial" w:hAnsi="Arial" w:cs="Arial"/>
        </w:rPr>
        <w:t>million.</w:t>
      </w:r>
    </w:p>
    <w:p w:rsidR="00230CEF" w:rsidRDefault="00230CEF" w:rsidP="003F501C">
      <w:pPr>
        <w:spacing w:line="360" w:lineRule="auto"/>
        <w:rPr>
          <w:rFonts w:ascii="Arial" w:hAnsi="Arial" w:cs="Arial"/>
        </w:rPr>
      </w:pPr>
    </w:p>
    <w:p w:rsidR="00B36AD5" w:rsidRDefault="00230CEF" w:rsidP="00917178">
      <w:pPr>
        <w:spacing w:line="360" w:lineRule="auto"/>
        <w:ind w:left="720" w:hanging="720"/>
        <w:rPr>
          <w:rFonts w:ascii="Arial" w:hAnsi="Arial" w:cs="Arial"/>
        </w:rPr>
      </w:pPr>
      <w:r>
        <w:rPr>
          <w:rFonts w:ascii="Arial" w:hAnsi="Arial" w:cs="Arial"/>
        </w:rPr>
        <w:t>[21] Mr Stewart in his evidence referred to a Schedule</w:t>
      </w:r>
      <w:r>
        <w:rPr>
          <w:rStyle w:val="FootnoteReference"/>
          <w:rFonts w:ascii="Arial" w:hAnsi="Arial" w:cs="Arial"/>
        </w:rPr>
        <w:footnoteReference w:id="14"/>
      </w:r>
      <w:r>
        <w:rPr>
          <w:rFonts w:ascii="Arial" w:hAnsi="Arial" w:cs="Arial"/>
        </w:rPr>
        <w:t xml:space="preserve"> where each payment by and to </w:t>
      </w:r>
    </w:p>
    <w:p w:rsidR="00B36AD5" w:rsidRDefault="00230CEF" w:rsidP="00917178">
      <w:pPr>
        <w:spacing w:line="360" w:lineRule="auto"/>
        <w:ind w:left="720" w:hanging="720"/>
        <w:rPr>
          <w:rFonts w:ascii="Arial" w:hAnsi="Arial" w:cs="Arial"/>
        </w:rPr>
      </w:pPr>
      <w:r>
        <w:rPr>
          <w:rFonts w:ascii="Arial" w:hAnsi="Arial" w:cs="Arial"/>
        </w:rPr>
        <w:t xml:space="preserve">the </w:t>
      </w:r>
      <w:r w:rsidR="00C84E89">
        <w:rPr>
          <w:rFonts w:ascii="Arial" w:hAnsi="Arial" w:cs="Arial"/>
        </w:rPr>
        <w:t>Defendant T</w:t>
      </w:r>
      <w:r>
        <w:rPr>
          <w:rFonts w:ascii="Arial" w:hAnsi="Arial" w:cs="Arial"/>
        </w:rPr>
        <w:t>rust is reflected</w:t>
      </w:r>
      <w:r w:rsidR="00C84E89">
        <w:rPr>
          <w:rFonts w:ascii="Arial" w:hAnsi="Arial" w:cs="Arial"/>
        </w:rPr>
        <w:t>. Although this S</w:t>
      </w:r>
      <w:r>
        <w:rPr>
          <w:rFonts w:ascii="Arial" w:hAnsi="Arial" w:cs="Arial"/>
        </w:rPr>
        <w:t xml:space="preserve">chedule was </w:t>
      </w:r>
      <w:r w:rsidR="00C84E89">
        <w:rPr>
          <w:rFonts w:ascii="Arial" w:hAnsi="Arial" w:cs="Arial"/>
        </w:rPr>
        <w:t xml:space="preserve">prepared by one Jaco Spies, </w:t>
      </w:r>
    </w:p>
    <w:p w:rsidR="00B36AD5" w:rsidRDefault="00C84E89" w:rsidP="00917178">
      <w:pPr>
        <w:spacing w:line="360" w:lineRule="auto"/>
        <w:ind w:left="720" w:hanging="720"/>
        <w:rPr>
          <w:rFonts w:ascii="Arial" w:hAnsi="Arial" w:cs="Arial"/>
        </w:rPr>
      </w:pPr>
      <w:r>
        <w:rPr>
          <w:rFonts w:ascii="Arial" w:hAnsi="Arial" w:cs="Arial"/>
        </w:rPr>
        <w:t>a chartered a</w:t>
      </w:r>
      <w:r w:rsidR="00230CEF">
        <w:rPr>
          <w:rFonts w:ascii="Arial" w:hAnsi="Arial" w:cs="Arial"/>
        </w:rPr>
        <w:t>ccountant (who was not called to testify), he examined</w:t>
      </w:r>
      <w:r>
        <w:rPr>
          <w:rFonts w:ascii="Arial" w:hAnsi="Arial" w:cs="Arial"/>
        </w:rPr>
        <w:t xml:space="preserve"> in detail</w:t>
      </w:r>
      <w:r w:rsidR="00230CEF">
        <w:rPr>
          <w:rFonts w:ascii="Arial" w:hAnsi="Arial" w:cs="Arial"/>
        </w:rPr>
        <w:t xml:space="preserve"> </w:t>
      </w:r>
      <w:r w:rsidR="00B36AD5">
        <w:rPr>
          <w:rFonts w:ascii="Arial" w:hAnsi="Arial" w:cs="Arial"/>
        </w:rPr>
        <w:t>the bank</w:t>
      </w:r>
    </w:p>
    <w:p w:rsidR="00B36AD5" w:rsidRDefault="003B55C9" w:rsidP="00917178">
      <w:pPr>
        <w:spacing w:line="360" w:lineRule="auto"/>
        <w:ind w:left="720" w:hanging="720"/>
        <w:rPr>
          <w:rFonts w:ascii="Arial" w:hAnsi="Arial" w:cs="Arial"/>
        </w:rPr>
      </w:pPr>
      <w:r>
        <w:rPr>
          <w:rFonts w:ascii="Arial" w:hAnsi="Arial" w:cs="Arial"/>
        </w:rPr>
        <w:t>statements of Carmol consisting of some 4000 pages and co</w:t>
      </w:r>
      <w:r w:rsidR="00C84E89">
        <w:rPr>
          <w:rFonts w:ascii="Arial" w:hAnsi="Arial" w:cs="Arial"/>
        </w:rPr>
        <w:t xml:space="preserve">nfirmed the correctness of </w:t>
      </w:r>
    </w:p>
    <w:p w:rsidR="00B36AD5" w:rsidRDefault="00C84E89" w:rsidP="00917178">
      <w:pPr>
        <w:spacing w:line="360" w:lineRule="auto"/>
        <w:ind w:left="720" w:hanging="720"/>
        <w:rPr>
          <w:rFonts w:ascii="Arial" w:hAnsi="Arial" w:cs="Arial"/>
        </w:rPr>
      </w:pPr>
      <w:r>
        <w:rPr>
          <w:rFonts w:ascii="Arial" w:hAnsi="Arial" w:cs="Arial"/>
        </w:rPr>
        <w:t>the S</w:t>
      </w:r>
      <w:r w:rsidR="003B55C9">
        <w:rPr>
          <w:rFonts w:ascii="Arial" w:hAnsi="Arial" w:cs="Arial"/>
        </w:rPr>
        <w:t>chedul</w:t>
      </w:r>
      <w:r>
        <w:rPr>
          <w:rFonts w:ascii="Arial" w:hAnsi="Arial" w:cs="Arial"/>
        </w:rPr>
        <w:t>e insofar as it relates to the R3.3 million “investment”</w:t>
      </w:r>
      <w:r w:rsidR="002659D0">
        <w:rPr>
          <w:rFonts w:ascii="Arial" w:hAnsi="Arial" w:cs="Arial"/>
        </w:rPr>
        <w:t xml:space="preserve"> by the </w:t>
      </w:r>
      <w:r w:rsidR="00917178">
        <w:rPr>
          <w:rFonts w:ascii="Arial" w:hAnsi="Arial" w:cs="Arial"/>
        </w:rPr>
        <w:t>Trust</w:t>
      </w:r>
      <w:r w:rsidR="002659D0">
        <w:rPr>
          <w:rFonts w:ascii="Arial" w:hAnsi="Arial" w:cs="Arial"/>
        </w:rPr>
        <w:t xml:space="preserve"> in the </w:t>
      </w:r>
    </w:p>
    <w:p w:rsidR="00B36AD5" w:rsidRDefault="002659D0" w:rsidP="00917178">
      <w:pPr>
        <w:spacing w:line="360" w:lineRule="auto"/>
        <w:ind w:left="720" w:hanging="720"/>
        <w:rPr>
          <w:rFonts w:ascii="Arial" w:hAnsi="Arial" w:cs="Arial"/>
        </w:rPr>
      </w:pPr>
      <w:r>
        <w:rPr>
          <w:rFonts w:ascii="Arial" w:hAnsi="Arial" w:cs="Arial"/>
        </w:rPr>
        <w:t xml:space="preserve">Scheme and all payments </w:t>
      </w:r>
      <w:r w:rsidR="00917178">
        <w:rPr>
          <w:rFonts w:ascii="Arial" w:hAnsi="Arial" w:cs="Arial"/>
        </w:rPr>
        <w:t xml:space="preserve">not made for value </w:t>
      </w:r>
      <w:r>
        <w:rPr>
          <w:rFonts w:ascii="Arial" w:hAnsi="Arial" w:cs="Arial"/>
        </w:rPr>
        <w:t xml:space="preserve">by Carmol to the </w:t>
      </w:r>
      <w:r w:rsidR="00917178">
        <w:rPr>
          <w:rFonts w:ascii="Arial" w:hAnsi="Arial" w:cs="Arial"/>
        </w:rPr>
        <w:t>Trust</w:t>
      </w:r>
      <w:r>
        <w:rPr>
          <w:rFonts w:ascii="Arial" w:hAnsi="Arial" w:cs="Arial"/>
        </w:rPr>
        <w:t>. The Defendant</w:t>
      </w:r>
      <w:r w:rsidR="00917178">
        <w:rPr>
          <w:rFonts w:ascii="Arial" w:hAnsi="Arial" w:cs="Arial"/>
        </w:rPr>
        <w:t>s</w:t>
      </w:r>
      <w:r>
        <w:rPr>
          <w:rFonts w:ascii="Arial" w:hAnsi="Arial" w:cs="Arial"/>
        </w:rPr>
        <w:t xml:space="preserve"> </w:t>
      </w:r>
    </w:p>
    <w:p w:rsidR="00534974" w:rsidRDefault="002659D0" w:rsidP="00534974">
      <w:pPr>
        <w:spacing w:line="360" w:lineRule="auto"/>
        <w:ind w:left="720" w:hanging="720"/>
        <w:rPr>
          <w:rFonts w:ascii="Arial" w:hAnsi="Arial" w:cs="Arial"/>
        </w:rPr>
      </w:pPr>
      <w:r>
        <w:rPr>
          <w:rFonts w:ascii="Arial" w:hAnsi="Arial" w:cs="Arial"/>
        </w:rPr>
        <w:t>take issue in their Heads of Argument that this constitute</w:t>
      </w:r>
      <w:r w:rsidR="00917178">
        <w:rPr>
          <w:rFonts w:ascii="Arial" w:hAnsi="Arial" w:cs="Arial"/>
        </w:rPr>
        <w:t>s</w:t>
      </w:r>
      <w:r>
        <w:rPr>
          <w:rFonts w:ascii="Arial" w:hAnsi="Arial" w:cs="Arial"/>
        </w:rPr>
        <w:t xml:space="preserve"> hearsay evidence.</w:t>
      </w:r>
      <w:r w:rsidR="00917178">
        <w:rPr>
          <w:rFonts w:ascii="Arial" w:hAnsi="Arial" w:cs="Arial"/>
        </w:rPr>
        <w:t xml:space="preserve"> </w:t>
      </w:r>
      <w:r>
        <w:rPr>
          <w:rFonts w:ascii="Arial" w:hAnsi="Arial" w:cs="Arial"/>
        </w:rPr>
        <w:t>I</w:t>
      </w:r>
      <w:r w:rsidR="00534974">
        <w:rPr>
          <w:rFonts w:ascii="Arial" w:hAnsi="Arial" w:cs="Arial"/>
        </w:rPr>
        <w:t xml:space="preserve"> disagree.</w:t>
      </w:r>
    </w:p>
    <w:p w:rsidR="00534974" w:rsidRDefault="00534974" w:rsidP="00534974">
      <w:pPr>
        <w:spacing w:line="360" w:lineRule="auto"/>
        <w:ind w:left="720" w:hanging="720"/>
        <w:rPr>
          <w:rFonts w:ascii="Arial" w:hAnsi="Arial" w:cs="Arial"/>
        </w:rPr>
      </w:pPr>
      <w:r>
        <w:rPr>
          <w:rFonts w:ascii="Arial" w:hAnsi="Arial" w:cs="Arial"/>
        </w:rPr>
        <w:t>Mr Stewart clearly examined the bank statements and Schedule as lead liquidator and</w:t>
      </w:r>
    </w:p>
    <w:p w:rsidR="00534974" w:rsidRDefault="00534974" w:rsidP="00534974">
      <w:pPr>
        <w:spacing w:line="360" w:lineRule="auto"/>
        <w:ind w:left="720" w:hanging="720"/>
        <w:rPr>
          <w:rFonts w:ascii="Arial" w:hAnsi="Arial" w:cs="Arial"/>
        </w:rPr>
      </w:pPr>
      <w:r>
        <w:rPr>
          <w:rFonts w:ascii="Arial" w:hAnsi="Arial" w:cs="Arial"/>
        </w:rPr>
        <w:t>satisfied himself regarding the correctness of amounts stipulated in the Schedule. It was</w:t>
      </w:r>
    </w:p>
    <w:p w:rsidR="00534974" w:rsidRDefault="00534974" w:rsidP="003C73BF">
      <w:pPr>
        <w:spacing w:line="360" w:lineRule="auto"/>
        <w:ind w:left="720" w:hanging="720"/>
        <w:rPr>
          <w:rFonts w:ascii="Arial" w:hAnsi="Arial" w:cs="Arial"/>
        </w:rPr>
      </w:pPr>
      <w:r>
        <w:rPr>
          <w:rFonts w:ascii="Arial" w:hAnsi="Arial" w:cs="Arial"/>
        </w:rPr>
        <w:t xml:space="preserve">not suggested otherwise </w:t>
      </w:r>
      <w:r w:rsidR="003C73BF">
        <w:rPr>
          <w:rFonts w:ascii="Arial" w:hAnsi="Arial" w:cs="Arial"/>
        </w:rPr>
        <w:t>to him during cross-</w:t>
      </w:r>
      <w:r w:rsidR="00B45A5C">
        <w:rPr>
          <w:rFonts w:ascii="Arial" w:hAnsi="Arial" w:cs="Arial"/>
        </w:rPr>
        <w:t>examination. The</w:t>
      </w:r>
      <w:r w:rsidR="00917178">
        <w:rPr>
          <w:rFonts w:ascii="Arial" w:hAnsi="Arial" w:cs="Arial"/>
        </w:rPr>
        <w:t xml:space="preserve"> information in the</w:t>
      </w:r>
    </w:p>
    <w:p w:rsidR="00534974" w:rsidRDefault="00917178" w:rsidP="00534974">
      <w:pPr>
        <w:spacing w:line="360" w:lineRule="auto"/>
        <w:ind w:left="720" w:hanging="720"/>
        <w:rPr>
          <w:rFonts w:ascii="Arial" w:hAnsi="Arial" w:cs="Arial"/>
        </w:rPr>
      </w:pPr>
      <w:r>
        <w:rPr>
          <w:rFonts w:ascii="Arial" w:hAnsi="Arial" w:cs="Arial"/>
        </w:rPr>
        <w:t>Schedule, e</w:t>
      </w:r>
      <w:r w:rsidR="002659D0">
        <w:rPr>
          <w:rFonts w:ascii="Arial" w:hAnsi="Arial" w:cs="Arial"/>
        </w:rPr>
        <w:t>ven if it did</w:t>
      </w:r>
      <w:r>
        <w:rPr>
          <w:rFonts w:ascii="Arial" w:hAnsi="Arial" w:cs="Arial"/>
        </w:rPr>
        <w:t xml:space="preserve"> constitute hearsay evidence</w:t>
      </w:r>
      <w:r w:rsidR="002659D0">
        <w:rPr>
          <w:rFonts w:ascii="Arial" w:hAnsi="Arial" w:cs="Arial"/>
        </w:rPr>
        <w:t>, the Defendants</w:t>
      </w:r>
      <w:r>
        <w:rPr>
          <w:rFonts w:ascii="Arial" w:hAnsi="Arial" w:cs="Arial"/>
        </w:rPr>
        <w:t>’</w:t>
      </w:r>
      <w:r w:rsidR="002659D0">
        <w:rPr>
          <w:rFonts w:ascii="Arial" w:hAnsi="Arial" w:cs="Arial"/>
        </w:rPr>
        <w:t xml:space="preserve"> clearly did not object </w:t>
      </w:r>
    </w:p>
    <w:p w:rsidR="00534974" w:rsidRDefault="002659D0" w:rsidP="00534974">
      <w:pPr>
        <w:spacing w:line="360" w:lineRule="auto"/>
        <w:ind w:left="720" w:hanging="720"/>
        <w:rPr>
          <w:rFonts w:ascii="Arial" w:hAnsi="Arial" w:cs="Arial"/>
        </w:rPr>
      </w:pPr>
      <w:r>
        <w:rPr>
          <w:rFonts w:ascii="Arial" w:hAnsi="Arial" w:cs="Arial"/>
        </w:rPr>
        <w:t xml:space="preserve">to the admission of </w:t>
      </w:r>
      <w:r w:rsidR="00917178">
        <w:rPr>
          <w:rFonts w:ascii="Arial" w:hAnsi="Arial" w:cs="Arial"/>
        </w:rPr>
        <w:t>such evidence when Mr S</w:t>
      </w:r>
      <w:r w:rsidR="00534974">
        <w:rPr>
          <w:rFonts w:ascii="Arial" w:hAnsi="Arial" w:cs="Arial"/>
        </w:rPr>
        <w:t>tewart testified on this aspect. M</w:t>
      </w:r>
      <w:r w:rsidR="00917178">
        <w:rPr>
          <w:rFonts w:ascii="Arial" w:hAnsi="Arial" w:cs="Arial"/>
        </w:rPr>
        <w:t xml:space="preserve">oreover, no </w:t>
      </w:r>
    </w:p>
    <w:p w:rsidR="00534974" w:rsidRDefault="00917178" w:rsidP="00534974">
      <w:pPr>
        <w:spacing w:line="360" w:lineRule="auto"/>
        <w:ind w:left="720" w:hanging="720"/>
        <w:rPr>
          <w:rFonts w:ascii="Arial" w:hAnsi="Arial" w:cs="Arial"/>
        </w:rPr>
      </w:pPr>
      <w:r>
        <w:rPr>
          <w:rFonts w:ascii="Arial" w:hAnsi="Arial" w:cs="Arial"/>
        </w:rPr>
        <w:t>contrary version was put to Mr Stewart in relation to the R3.3 million “investment” by the</w:t>
      </w:r>
    </w:p>
    <w:p w:rsidR="003B55C9" w:rsidRDefault="00917178" w:rsidP="00534974">
      <w:pPr>
        <w:spacing w:line="360" w:lineRule="auto"/>
        <w:ind w:left="720" w:hanging="720"/>
        <w:rPr>
          <w:rFonts w:ascii="Arial" w:hAnsi="Arial" w:cs="Arial"/>
        </w:rPr>
      </w:pPr>
      <w:r>
        <w:rPr>
          <w:rFonts w:ascii="Arial" w:hAnsi="Arial" w:cs="Arial"/>
        </w:rPr>
        <w:t xml:space="preserve"> Defendant Trust in Carmol or the subsequent payments by Carmol to the Trust.  </w:t>
      </w:r>
      <w:r w:rsidR="002659D0">
        <w:rPr>
          <w:rFonts w:ascii="Arial" w:hAnsi="Arial" w:cs="Arial"/>
        </w:rPr>
        <w:t xml:space="preserve">  </w:t>
      </w:r>
      <w:r w:rsidR="003B55C9">
        <w:rPr>
          <w:rFonts w:ascii="Arial" w:hAnsi="Arial" w:cs="Arial"/>
        </w:rPr>
        <w:t xml:space="preserve"> </w:t>
      </w:r>
    </w:p>
    <w:p w:rsidR="003B55C9" w:rsidRDefault="003B55C9" w:rsidP="003F501C">
      <w:pPr>
        <w:spacing w:line="360" w:lineRule="auto"/>
        <w:rPr>
          <w:rFonts w:ascii="Arial" w:hAnsi="Arial" w:cs="Arial"/>
        </w:rPr>
      </w:pPr>
    </w:p>
    <w:p w:rsidR="003B55C9" w:rsidRDefault="003B55C9" w:rsidP="003F501C">
      <w:pPr>
        <w:spacing w:line="360" w:lineRule="auto"/>
        <w:rPr>
          <w:rFonts w:ascii="Arial" w:hAnsi="Arial" w:cs="Arial"/>
        </w:rPr>
      </w:pPr>
      <w:r>
        <w:rPr>
          <w:rFonts w:ascii="Arial" w:hAnsi="Arial" w:cs="Arial"/>
        </w:rPr>
        <w:lastRenderedPageBreak/>
        <w:t xml:space="preserve">[22] In ascertaining the amounts paid by Carmol to the </w:t>
      </w:r>
      <w:r w:rsidR="00917178">
        <w:rPr>
          <w:rFonts w:ascii="Arial" w:hAnsi="Arial" w:cs="Arial"/>
        </w:rPr>
        <w:t>Trust</w:t>
      </w:r>
      <w:r>
        <w:rPr>
          <w:rFonts w:ascii="Arial" w:hAnsi="Arial" w:cs="Arial"/>
        </w:rPr>
        <w:t xml:space="preserve">, the fact that all the bank statements of Carmol were not produced to court, it of no consequence. These payments were admitted in the pleadings and confirmed by Mr Stewart when he testified. His explanation that he only attached the statements relevant to this case is understandable, particularly in view of the fact that the payments by Carmol </w:t>
      </w:r>
      <w:r w:rsidR="00917178">
        <w:rPr>
          <w:rFonts w:ascii="Arial" w:hAnsi="Arial" w:cs="Arial"/>
        </w:rPr>
        <w:t xml:space="preserve">to the Trust </w:t>
      </w:r>
      <w:r>
        <w:rPr>
          <w:rFonts w:ascii="Arial" w:hAnsi="Arial" w:cs="Arial"/>
        </w:rPr>
        <w:t xml:space="preserve">were admitted. </w:t>
      </w:r>
    </w:p>
    <w:p w:rsidR="003B55C9" w:rsidRDefault="003B55C9" w:rsidP="003F501C">
      <w:pPr>
        <w:spacing w:line="360" w:lineRule="auto"/>
        <w:rPr>
          <w:rFonts w:ascii="Arial" w:hAnsi="Arial" w:cs="Arial"/>
        </w:rPr>
      </w:pPr>
    </w:p>
    <w:p w:rsidR="003B55C9" w:rsidRDefault="003B55C9" w:rsidP="003F501C">
      <w:pPr>
        <w:spacing w:line="360" w:lineRule="auto"/>
        <w:rPr>
          <w:rFonts w:ascii="Arial" w:hAnsi="Arial" w:cs="Arial"/>
        </w:rPr>
      </w:pPr>
      <w:r>
        <w:rPr>
          <w:rFonts w:ascii="Arial" w:hAnsi="Arial" w:cs="Arial"/>
        </w:rPr>
        <w:t>[23</w:t>
      </w:r>
      <w:r w:rsidR="002659D0">
        <w:rPr>
          <w:rFonts w:ascii="Arial" w:hAnsi="Arial" w:cs="Arial"/>
        </w:rPr>
        <w:t>] The evidence obtained at the section 418 (read with section 417) Enquiry</w:t>
      </w:r>
      <w:r>
        <w:rPr>
          <w:rStyle w:val="FootnoteReference"/>
          <w:rFonts w:ascii="Arial" w:hAnsi="Arial" w:cs="Arial"/>
        </w:rPr>
        <w:footnoteReference w:id="15"/>
      </w:r>
      <w:r>
        <w:rPr>
          <w:rFonts w:ascii="Arial" w:hAnsi="Arial" w:cs="Arial"/>
        </w:rPr>
        <w:t xml:space="preserve">, together with the bank statements </w:t>
      </w:r>
      <w:r w:rsidR="002659D0">
        <w:rPr>
          <w:rFonts w:ascii="Arial" w:hAnsi="Arial" w:cs="Arial"/>
        </w:rPr>
        <w:t>obtained and examined</w:t>
      </w:r>
      <w:r>
        <w:rPr>
          <w:rFonts w:ascii="Arial" w:hAnsi="Arial" w:cs="Arial"/>
        </w:rPr>
        <w:t xml:space="preserve">, I am satisfied, </w:t>
      </w:r>
      <w:r w:rsidR="00CC7C0F">
        <w:rPr>
          <w:rFonts w:ascii="Arial" w:hAnsi="Arial" w:cs="Arial"/>
        </w:rPr>
        <w:t>bolsters</w:t>
      </w:r>
      <w:r w:rsidR="002659D0">
        <w:rPr>
          <w:rFonts w:ascii="Arial" w:hAnsi="Arial" w:cs="Arial"/>
        </w:rPr>
        <w:t xml:space="preserve"> the </w:t>
      </w:r>
      <w:r w:rsidR="00CC7C0F">
        <w:rPr>
          <w:rFonts w:ascii="Arial" w:hAnsi="Arial" w:cs="Arial"/>
        </w:rPr>
        <w:t xml:space="preserve">evidence of </w:t>
      </w:r>
      <w:r w:rsidR="002659D0">
        <w:rPr>
          <w:rFonts w:ascii="Arial" w:hAnsi="Arial" w:cs="Arial"/>
        </w:rPr>
        <w:t>dispositions</w:t>
      </w:r>
      <w:r w:rsidR="00CC7C0F">
        <w:rPr>
          <w:rFonts w:ascii="Arial" w:hAnsi="Arial" w:cs="Arial"/>
        </w:rPr>
        <w:t xml:space="preserve"> not for value</w:t>
      </w:r>
      <w:r w:rsidR="00534974">
        <w:rPr>
          <w:rFonts w:ascii="Arial" w:hAnsi="Arial" w:cs="Arial"/>
        </w:rPr>
        <w:t xml:space="preserve"> by Carmol</w:t>
      </w:r>
      <w:r w:rsidR="002659D0">
        <w:rPr>
          <w:rFonts w:ascii="Arial" w:hAnsi="Arial" w:cs="Arial"/>
        </w:rPr>
        <w:t xml:space="preserve"> to the </w:t>
      </w:r>
      <w:r w:rsidR="00CC7C0F">
        <w:rPr>
          <w:rFonts w:ascii="Arial" w:hAnsi="Arial" w:cs="Arial"/>
        </w:rPr>
        <w:t>Trust</w:t>
      </w:r>
      <w:r>
        <w:rPr>
          <w:rFonts w:ascii="Arial" w:hAnsi="Arial" w:cs="Arial"/>
        </w:rPr>
        <w:t xml:space="preserve">. The evidence of Mr Stewart was clear and uncontroverted that the claims </w:t>
      </w:r>
      <w:r w:rsidR="002659D0">
        <w:rPr>
          <w:rFonts w:ascii="Arial" w:hAnsi="Arial" w:cs="Arial"/>
        </w:rPr>
        <w:t xml:space="preserve">herein are amounts paid to the </w:t>
      </w:r>
      <w:r w:rsidR="00CC7C0F">
        <w:rPr>
          <w:rFonts w:ascii="Arial" w:hAnsi="Arial" w:cs="Arial"/>
        </w:rPr>
        <w:t>Trust</w:t>
      </w:r>
      <w:r>
        <w:rPr>
          <w:rFonts w:ascii="Arial" w:hAnsi="Arial" w:cs="Arial"/>
        </w:rPr>
        <w:t xml:space="preserve"> by </w:t>
      </w:r>
      <w:r w:rsidR="00E36AD4">
        <w:rPr>
          <w:rFonts w:ascii="Arial" w:hAnsi="Arial" w:cs="Arial"/>
        </w:rPr>
        <w:t>Carmol in excess of the payment</w:t>
      </w:r>
      <w:r>
        <w:rPr>
          <w:rFonts w:ascii="Arial" w:hAnsi="Arial" w:cs="Arial"/>
        </w:rPr>
        <w:t>s</w:t>
      </w:r>
      <w:r w:rsidR="00CC7C0F">
        <w:rPr>
          <w:rFonts w:ascii="Arial" w:hAnsi="Arial" w:cs="Arial"/>
        </w:rPr>
        <w:t xml:space="preserve"> (R3.3 million)</w:t>
      </w:r>
      <w:r>
        <w:rPr>
          <w:rFonts w:ascii="Arial" w:hAnsi="Arial" w:cs="Arial"/>
        </w:rPr>
        <w:t xml:space="preserve"> made</w:t>
      </w:r>
      <w:r w:rsidR="002659D0">
        <w:rPr>
          <w:rFonts w:ascii="Arial" w:hAnsi="Arial" w:cs="Arial"/>
        </w:rPr>
        <w:t xml:space="preserve"> by the D</w:t>
      </w:r>
      <w:r>
        <w:rPr>
          <w:rFonts w:ascii="Arial" w:hAnsi="Arial" w:cs="Arial"/>
        </w:rPr>
        <w:t xml:space="preserve">efendant to Carmol. </w:t>
      </w:r>
      <w:r w:rsidR="00534974">
        <w:rPr>
          <w:rFonts w:ascii="Arial" w:hAnsi="Arial" w:cs="Arial"/>
        </w:rPr>
        <w:t xml:space="preserve">Given his considerable practical experience as liquidator, the fact that he has limited qualifications does not, to my mind, derogate from his competence or the reliability of his evidence. </w:t>
      </w:r>
      <w:r w:rsidR="00CC7C0F">
        <w:rPr>
          <w:rFonts w:ascii="Arial" w:hAnsi="Arial" w:cs="Arial"/>
        </w:rPr>
        <w:t xml:space="preserve">Mr Stewart was an impressive witness. </w:t>
      </w:r>
    </w:p>
    <w:p w:rsidR="003B55C9" w:rsidRDefault="003B55C9" w:rsidP="003F501C">
      <w:pPr>
        <w:spacing w:line="360" w:lineRule="auto"/>
        <w:rPr>
          <w:rFonts w:ascii="Arial" w:hAnsi="Arial" w:cs="Arial"/>
        </w:rPr>
      </w:pPr>
    </w:p>
    <w:p w:rsidR="003B55C9" w:rsidRPr="00CC7C0F" w:rsidRDefault="002659D0" w:rsidP="003F501C">
      <w:pPr>
        <w:spacing w:line="360" w:lineRule="auto"/>
        <w:rPr>
          <w:rFonts w:ascii="Arial" w:hAnsi="Arial" w:cs="Arial"/>
          <w:b/>
        </w:rPr>
      </w:pPr>
      <w:r w:rsidRPr="00CC7C0F">
        <w:rPr>
          <w:rFonts w:ascii="Arial" w:hAnsi="Arial" w:cs="Arial"/>
          <w:b/>
        </w:rPr>
        <w:t xml:space="preserve">Conclusion </w:t>
      </w:r>
    </w:p>
    <w:p w:rsidR="003B55C9" w:rsidRDefault="003B55C9" w:rsidP="003F501C">
      <w:pPr>
        <w:spacing w:line="360" w:lineRule="auto"/>
        <w:rPr>
          <w:rFonts w:ascii="Arial" w:hAnsi="Arial" w:cs="Arial"/>
        </w:rPr>
      </w:pPr>
    </w:p>
    <w:p w:rsidR="00E36AD4" w:rsidRDefault="003B55C9" w:rsidP="003F501C">
      <w:pPr>
        <w:spacing w:line="360" w:lineRule="auto"/>
        <w:rPr>
          <w:rFonts w:ascii="Arial" w:hAnsi="Arial" w:cs="Arial"/>
        </w:rPr>
      </w:pPr>
      <w:r>
        <w:rPr>
          <w:rFonts w:ascii="Arial" w:hAnsi="Arial" w:cs="Arial"/>
        </w:rPr>
        <w:t xml:space="preserve">[24] The </w:t>
      </w:r>
      <w:r w:rsidR="002659D0">
        <w:rPr>
          <w:rFonts w:ascii="Arial" w:hAnsi="Arial" w:cs="Arial"/>
        </w:rPr>
        <w:t>D</w:t>
      </w:r>
      <w:r w:rsidR="00E36AD4">
        <w:rPr>
          <w:rFonts w:ascii="Arial" w:hAnsi="Arial" w:cs="Arial"/>
        </w:rPr>
        <w:t xml:space="preserve">efendant </w:t>
      </w:r>
      <w:r w:rsidR="00CC7C0F">
        <w:rPr>
          <w:rFonts w:ascii="Arial" w:hAnsi="Arial" w:cs="Arial"/>
        </w:rPr>
        <w:t>elected</w:t>
      </w:r>
      <w:r w:rsidR="00E36AD4">
        <w:rPr>
          <w:rFonts w:ascii="Arial" w:hAnsi="Arial" w:cs="Arial"/>
        </w:rPr>
        <w:t xml:space="preserve"> not</w:t>
      </w:r>
      <w:r>
        <w:rPr>
          <w:rFonts w:ascii="Arial" w:hAnsi="Arial" w:cs="Arial"/>
        </w:rPr>
        <w:t xml:space="preserve"> p</w:t>
      </w:r>
      <w:r w:rsidR="00E36AD4">
        <w:rPr>
          <w:rFonts w:ascii="Arial" w:hAnsi="Arial" w:cs="Arial"/>
        </w:rPr>
        <w:t>resent any evidence in rebuttal of the Plaintiffs’ case</w:t>
      </w:r>
      <w:r w:rsidR="00E36AD4">
        <w:rPr>
          <w:rStyle w:val="FootnoteReference"/>
          <w:rFonts w:ascii="Arial" w:hAnsi="Arial" w:cs="Arial"/>
        </w:rPr>
        <w:footnoteReference w:id="16"/>
      </w:r>
      <w:r w:rsidR="00E36AD4">
        <w:rPr>
          <w:rFonts w:ascii="Arial" w:hAnsi="Arial" w:cs="Arial"/>
        </w:rPr>
        <w:t>. That elevates the prima facie case to a conclusive one</w:t>
      </w:r>
      <w:r w:rsidR="00E36AD4">
        <w:rPr>
          <w:rStyle w:val="FootnoteReference"/>
          <w:rFonts w:ascii="Arial" w:hAnsi="Arial" w:cs="Arial"/>
        </w:rPr>
        <w:footnoteReference w:id="17"/>
      </w:r>
      <w:r w:rsidR="002659D0">
        <w:rPr>
          <w:rFonts w:ascii="Arial" w:hAnsi="Arial" w:cs="Arial"/>
        </w:rPr>
        <w:t>. The D</w:t>
      </w:r>
      <w:r w:rsidR="00E36AD4">
        <w:rPr>
          <w:rFonts w:ascii="Arial" w:hAnsi="Arial" w:cs="Arial"/>
        </w:rPr>
        <w:t xml:space="preserve">efendants </w:t>
      </w:r>
      <w:r w:rsidR="00CC7C0F">
        <w:rPr>
          <w:rFonts w:ascii="Arial" w:hAnsi="Arial" w:cs="Arial"/>
        </w:rPr>
        <w:t xml:space="preserve">were </w:t>
      </w:r>
      <w:r w:rsidR="002659D0">
        <w:rPr>
          <w:rFonts w:ascii="Arial" w:hAnsi="Arial" w:cs="Arial"/>
        </w:rPr>
        <w:t>well placed</w:t>
      </w:r>
      <w:r w:rsidR="004E54B2">
        <w:rPr>
          <w:rFonts w:ascii="Arial" w:hAnsi="Arial" w:cs="Arial"/>
        </w:rPr>
        <w:t xml:space="preserve"> to</w:t>
      </w:r>
      <w:r w:rsidR="00E36AD4">
        <w:rPr>
          <w:rFonts w:ascii="Arial" w:hAnsi="Arial" w:cs="Arial"/>
        </w:rPr>
        <w:t xml:space="preserve"> have come forward to deny </w:t>
      </w:r>
      <w:r w:rsidR="003C73BF">
        <w:rPr>
          <w:rFonts w:ascii="Arial" w:hAnsi="Arial" w:cs="Arial"/>
        </w:rPr>
        <w:t xml:space="preserve">the </w:t>
      </w:r>
      <w:r w:rsidR="00E36AD4">
        <w:rPr>
          <w:rFonts w:ascii="Arial" w:hAnsi="Arial" w:cs="Arial"/>
        </w:rPr>
        <w:t>prima facie</w:t>
      </w:r>
      <w:r w:rsidR="004E54B2">
        <w:rPr>
          <w:rFonts w:ascii="Arial" w:hAnsi="Arial" w:cs="Arial"/>
        </w:rPr>
        <w:t xml:space="preserve"> evidence. The rebuttal of the P</w:t>
      </w:r>
      <w:r w:rsidR="00E36AD4">
        <w:rPr>
          <w:rFonts w:ascii="Arial" w:hAnsi="Arial" w:cs="Arial"/>
        </w:rPr>
        <w:t>laintiffs’ cla</w:t>
      </w:r>
      <w:r w:rsidR="00CC7C0F">
        <w:rPr>
          <w:rFonts w:ascii="Arial" w:hAnsi="Arial" w:cs="Arial"/>
        </w:rPr>
        <w:t>im lay within the power of the D</w:t>
      </w:r>
      <w:r w:rsidR="00E36AD4">
        <w:rPr>
          <w:rFonts w:ascii="Arial" w:hAnsi="Arial" w:cs="Arial"/>
        </w:rPr>
        <w:t>efendants.</w:t>
      </w:r>
      <w:r w:rsidR="00CC7C0F">
        <w:rPr>
          <w:rFonts w:ascii="Arial" w:hAnsi="Arial" w:cs="Arial"/>
        </w:rPr>
        <w:t xml:space="preserve"> At the least, I am satisfied that</w:t>
      </w:r>
      <w:r w:rsidR="003C73BF">
        <w:rPr>
          <w:rFonts w:ascii="Arial" w:hAnsi="Arial" w:cs="Arial"/>
        </w:rPr>
        <w:t xml:space="preserve"> a</w:t>
      </w:r>
      <w:r w:rsidR="00CC7C0F">
        <w:rPr>
          <w:rFonts w:ascii="Arial" w:hAnsi="Arial" w:cs="Arial"/>
        </w:rPr>
        <w:t xml:space="preserve"> prima facie case has been made out for the relief claimed in terms of section 26 (1)(b) of the Insolvency Act.</w:t>
      </w:r>
    </w:p>
    <w:p w:rsidR="00E36AD4" w:rsidRDefault="00E36AD4" w:rsidP="003F501C">
      <w:pPr>
        <w:spacing w:line="360" w:lineRule="auto"/>
        <w:rPr>
          <w:rFonts w:ascii="Arial" w:hAnsi="Arial" w:cs="Arial"/>
        </w:rPr>
      </w:pPr>
    </w:p>
    <w:p w:rsidR="00CC7C0F" w:rsidRDefault="00E36AD4" w:rsidP="003F501C">
      <w:pPr>
        <w:spacing w:line="360" w:lineRule="auto"/>
        <w:rPr>
          <w:rFonts w:ascii="Arial" w:hAnsi="Arial" w:cs="Arial"/>
        </w:rPr>
      </w:pPr>
      <w:r>
        <w:rPr>
          <w:rFonts w:ascii="Arial" w:hAnsi="Arial" w:cs="Arial"/>
        </w:rPr>
        <w:t xml:space="preserve">[25] </w:t>
      </w:r>
      <w:r w:rsidR="00CC7C0F">
        <w:rPr>
          <w:rFonts w:ascii="Arial" w:hAnsi="Arial" w:cs="Arial"/>
        </w:rPr>
        <w:t>In Ex P</w:t>
      </w:r>
      <w:r w:rsidR="00AF2CAB">
        <w:rPr>
          <w:rFonts w:ascii="Arial" w:hAnsi="Arial" w:cs="Arial"/>
        </w:rPr>
        <w:t xml:space="preserve">arte Minister of Justice: In Re Rex v Jacobson and Levy </w:t>
      </w:r>
      <w:r w:rsidR="00CC7C0F">
        <w:rPr>
          <w:rFonts w:ascii="Arial" w:hAnsi="Arial" w:cs="Arial"/>
        </w:rPr>
        <w:t>it was</w:t>
      </w:r>
      <w:r w:rsidR="004E54B2">
        <w:rPr>
          <w:rFonts w:ascii="Arial" w:hAnsi="Arial" w:cs="Arial"/>
        </w:rPr>
        <w:t xml:space="preserve"> </w:t>
      </w:r>
      <w:r w:rsidR="00AF2CAB">
        <w:rPr>
          <w:rFonts w:ascii="Arial" w:hAnsi="Arial" w:cs="Arial"/>
        </w:rPr>
        <w:t>stated:</w:t>
      </w:r>
      <w:r w:rsidR="00CC7C0F">
        <w:rPr>
          <w:rStyle w:val="FootnoteReference"/>
          <w:rFonts w:ascii="Arial" w:hAnsi="Arial" w:cs="Arial"/>
        </w:rPr>
        <w:footnoteReference w:id="18"/>
      </w:r>
      <w:r w:rsidR="00AF2CAB">
        <w:rPr>
          <w:rFonts w:ascii="Arial" w:hAnsi="Arial" w:cs="Arial"/>
        </w:rPr>
        <w:t xml:space="preserve"> </w:t>
      </w:r>
    </w:p>
    <w:p w:rsidR="009A0D02" w:rsidRDefault="00AF2CAB" w:rsidP="003F501C">
      <w:pPr>
        <w:spacing w:line="360" w:lineRule="auto"/>
        <w:rPr>
          <w:rFonts w:ascii="Arial" w:hAnsi="Arial" w:cs="Arial"/>
        </w:rPr>
      </w:pPr>
      <w:r>
        <w:rPr>
          <w:rFonts w:ascii="Arial" w:hAnsi="Arial" w:cs="Arial"/>
        </w:rPr>
        <w:lastRenderedPageBreak/>
        <w:t>‘</w:t>
      </w:r>
      <w:r w:rsidRPr="00AF2CAB">
        <w:rPr>
          <w:rFonts w:ascii="Arial" w:hAnsi="Arial" w:cs="Arial"/>
          <w:sz w:val="22"/>
        </w:rPr>
        <w:t>Prima facie evidence in its usual sense, is used to mean prima facie proof of an issue the burden of proving which is upon</w:t>
      </w:r>
      <w:r w:rsidR="00CC7C0F">
        <w:rPr>
          <w:rFonts w:ascii="Arial" w:hAnsi="Arial" w:cs="Arial"/>
          <w:sz w:val="22"/>
        </w:rPr>
        <w:t xml:space="preserve"> the party giving that evidence.</w:t>
      </w:r>
      <w:r w:rsidRPr="00AF2CAB">
        <w:rPr>
          <w:rFonts w:ascii="Arial" w:hAnsi="Arial" w:cs="Arial"/>
          <w:sz w:val="22"/>
        </w:rPr>
        <w:t xml:space="preserve"> In the absence of further evidence from the other side, the prima facie proof becomes conclusive proof and the party giving it discharges his onus</w:t>
      </w:r>
      <w:r w:rsidR="00CC7C0F">
        <w:rPr>
          <w:rFonts w:ascii="Arial" w:hAnsi="Arial" w:cs="Arial"/>
          <w:sz w:val="22"/>
        </w:rPr>
        <w:t>.</w:t>
      </w:r>
      <w:r>
        <w:rPr>
          <w:rFonts w:ascii="Arial" w:hAnsi="Arial" w:cs="Arial"/>
        </w:rPr>
        <w:t xml:space="preserve">’ </w:t>
      </w:r>
      <w:r w:rsidR="006E7E8D">
        <w:rPr>
          <w:rFonts w:ascii="Arial" w:hAnsi="Arial" w:cs="Arial"/>
        </w:rPr>
        <w:t xml:space="preserve">  </w:t>
      </w:r>
    </w:p>
    <w:p w:rsidR="003C73BF" w:rsidRDefault="003C73BF" w:rsidP="003F501C">
      <w:pPr>
        <w:spacing w:line="360" w:lineRule="auto"/>
        <w:rPr>
          <w:rFonts w:ascii="Arial" w:hAnsi="Arial" w:cs="Arial"/>
        </w:rPr>
      </w:pPr>
    </w:p>
    <w:p w:rsidR="00CC7C0F" w:rsidRDefault="00CC7C0F" w:rsidP="003F501C">
      <w:pPr>
        <w:spacing w:line="360" w:lineRule="auto"/>
        <w:rPr>
          <w:rFonts w:ascii="Arial" w:hAnsi="Arial" w:cs="Arial"/>
        </w:rPr>
      </w:pPr>
      <w:r>
        <w:rPr>
          <w:rFonts w:ascii="Arial" w:hAnsi="Arial" w:cs="Arial"/>
        </w:rPr>
        <w:t>[26] The Plaintiffs being successful, there is no reason why cost</w:t>
      </w:r>
      <w:r w:rsidR="00B36AD5">
        <w:rPr>
          <w:rFonts w:ascii="Arial" w:hAnsi="Arial" w:cs="Arial"/>
        </w:rPr>
        <w:t>s should not follow the result.</w:t>
      </w:r>
    </w:p>
    <w:p w:rsidR="0013280F" w:rsidRDefault="0013280F" w:rsidP="003F501C">
      <w:pPr>
        <w:spacing w:line="360" w:lineRule="auto"/>
        <w:rPr>
          <w:rFonts w:ascii="Arial" w:hAnsi="Arial" w:cs="Arial"/>
        </w:rPr>
      </w:pPr>
    </w:p>
    <w:p w:rsidR="009A0D02" w:rsidRDefault="004E54B2" w:rsidP="003F501C">
      <w:pPr>
        <w:spacing w:line="360" w:lineRule="auto"/>
        <w:rPr>
          <w:rFonts w:ascii="Arial" w:hAnsi="Arial" w:cs="Arial"/>
          <w:b/>
        </w:rPr>
      </w:pPr>
      <w:r w:rsidRPr="00B36AD5">
        <w:rPr>
          <w:rFonts w:ascii="Arial" w:hAnsi="Arial" w:cs="Arial"/>
          <w:b/>
        </w:rPr>
        <w:t>Order</w:t>
      </w:r>
    </w:p>
    <w:p w:rsidR="00534974" w:rsidRPr="00B36AD5" w:rsidRDefault="00534974" w:rsidP="003F501C">
      <w:pPr>
        <w:spacing w:line="360" w:lineRule="auto"/>
        <w:rPr>
          <w:rFonts w:ascii="Arial" w:hAnsi="Arial" w:cs="Arial"/>
          <w:b/>
        </w:rPr>
      </w:pPr>
    </w:p>
    <w:p w:rsidR="00B36AD5" w:rsidRDefault="00B36AD5" w:rsidP="003F501C">
      <w:pPr>
        <w:spacing w:line="360" w:lineRule="auto"/>
        <w:rPr>
          <w:rFonts w:ascii="Arial" w:hAnsi="Arial" w:cs="Arial"/>
        </w:rPr>
      </w:pPr>
      <w:r>
        <w:rPr>
          <w:rFonts w:ascii="Arial" w:hAnsi="Arial" w:cs="Arial"/>
        </w:rPr>
        <w:t xml:space="preserve">In the result, the following order is made: </w:t>
      </w:r>
    </w:p>
    <w:p w:rsidR="00B36AD5" w:rsidRPr="00B36AD5" w:rsidRDefault="00B36AD5" w:rsidP="003F501C">
      <w:pPr>
        <w:spacing w:line="360" w:lineRule="auto"/>
        <w:rPr>
          <w:rFonts w:ascii="Arial" w:hAnsi="Arial" w:cs="Arial"/>
        </w:rPr>
      </w:pPr>
    </w:p>
    <w:p w:rsidR="00AF2CAB" w:rsidRDefault="004E54B2" w:rsidP="004E54B2">
      <w:pPr>
        <w:spacing w:line="360" w:lineRule="auto"/>
        <w:rPr>
          <w:rFonts w:ascii="Arial" w:hAnsi="Arial" w:cs="Arial"/>
        </w:rPr>
      </w:pPr>
      <w:r>
        <w:rPr>
          <w:rFonts w:ascii="Arial" w:hAnsi="Arial" w:cs="Arial"/>
        </w:rPr>
        <w:t xml:space="preserve">1. </w:t>
      </w:r>
      <w:r w:rsidR="00AF2CAB" w:rsidRPr="004E54B2">
        <w:rPr>
          <w:rFonts w:ascii="Arial" w:hAnsi="Arial" w:cs="Arial"/>
        </w:rPr>
        <w:t>The dispositions (totalling 101</w:t>
      </w:r>
      <w:r>
        <w:rPr>
          <w:rFonts w:ascii="Arial" w:hAnsi="Arial" w:cs="Arial"/>
        </w:rPr>
        <w:t xml:space="preserve"> in number</w:t>
      </w:r>
      <w:r w:rsidR="00AF2CAB" w:rsidRPr="004E54B2">
        <w:rPr>
          <w:rFonts w:ascii="Arial" w:hAnsi="Arial" w:cs="Arial"/>
        </w:rPr>
        <w:t xml:space="preserve">) made by Carmol Distributors (Pty) Ltd to the Defendant </w:t>
      </w:r>
      <w:r w:rsidR="00B36AD5">
        <w:rPr>
          <w:rFonts w:ascii="Arial" w:hAnsi="Arial" w:cs="Arial"/>
        </w:rPr>
        <w:t xml:space="preserve">Trust </w:t>
      </w:r>
      <w:r w:rsidR="00AF2CAB" w:rsidRPr="004E54B2">
        <w:rPr>
          <w:rFonts w:ascii="Arial" w:hAnsi="Arial" w:cs="Arial"/>
        </w:rPr>
        <w:t xml:space="preserve">(Sumen Pillay Property Trust) are set aside. </w:t>
      </w:r>
    </w:p>
    <w:p w:rsidR="00534974" w:rsidRPr="004E54B2" w:rsidRDefault="00534974" w:rsidP="004E54B2">
      <w:pPr>
        <w:spacing w:line="360" w:lineRule="auto"/>
        <w:rPr>
          <w:rFonts w:ascii="Arial" w:hAnsi="Arial" w:cs="Arial"/>
        </w:rPr>
      </w:pPr>
    </w:p>
    <w:p w:rsidR="00AF2CAB" w:rsidRDefault="004E54B2" w:rsidP="004E54B2">
      <w:pPr>
        <w:spacing w:line="360" w:lineRule="auto"/>
        <w:rPr>
          <w:rFonts w:ascii="Arial" w:hAnsi="Arial" w:cs="Arial"/>
        </w:rPr>
      </w:pPr>
      <w:r>
        <w:rPr>
          <w:rFonts w:ascii="Arial" w:hAnsi="Arial" w:cs="Arial"/>
        </w:rPr>
        <w:t xml:space="preserve">2. </w:t>
      </w:r>
      <w:r w:rsidR="00AF2CAB" w:rsidRPr="004E54B2">
        <w:rPr>
          <w:rFonts w:ascii="Arial" w:hAnsi="Arial" w:cs="Arial"/>
        </w:rPr>
        <w:t xml:space="preserve">Payment </w:t>
      </w:r>
      <w:r>
        <w:rPr>
          <w:rFonts w:ascii="Arial" w:hAnsi="Arial" w:cs="Arial"/>
        </w:rPr>
        <w:t xml:space="preserve">in the sum </w:t>
      </w:r>
      <w:r w:rsidR="00AF2CAB" w:rsidRPr="004E54B2">
        <w:rPr>
          <w:rFonts w:ascii="Arial" w:hAnsi="Arial" w:cs="Arial"/>
        </w:rPr>
        <w:t xml:space="preserve">of </w:t>
      </w:r>
      <w:r w:rsidR="00B36AD5">
        <w:rPr>
          <w:rFonts w:ascii="Arial" w:hAnsi="Arial" w:cs="Arial"/>
        </w:rPr>
        <w:t xml:space="preserve">R62 778 947-00 by the Defendants </w:t>
      </w:r>
      <w:r>
        <w:rPr>
          <w:rFonts w:ascii="Arial" w:hAnsi="Arial" w:cs="Arial"/>
        </w:rPr>
        <w:t>to the P</w:t>
      </w:r>
      <w:r w:rsidR="00AF2CAB" w:rsidRPr="004E54B2">
        <w:rPr>
          <w:rFonts w:ascii="Arial" w:hAnsi="Arial" w:cs="Arial"/>
        </w:rPr>
        <w:t>laintiffs.</w:t>
      </w:r>
    </w:p>
    <w:p w:rsidR="00534974" w:rsidRPr="004E54B2" w:rsidRDefault="00534974" w:rsidP="004E54B2">
      <w:pPr>
        <w:spacing w:line="360" w:lineRule="auto"/>
        <w:rPr>
          <w:rFonts w:ascii="Arial" w:hAnsi="Arial" w:cs="Arial"/>
        </w:rPr>
      </w:pPr>
    </w:p>
    <w:p w:rsidR="00AF2CAB" w:rsidRDefault="004E54B2" w:rsidP="004E54B2">
      <w:pPr>
        <w:spacing w:line="360" w:lineRule="auto"/>
        <w:rPr>
          <w:rFonts w:ascii="Arial" w:hAnsi="Arial" w:cs="Arial"/>
        </w:rPr>
      </w:pPr>
      <w:r>
        <w:rPr>
          <w:rFonts w:ascii="Arial" w:hAnsi="Arial" w:cs="Arial"/>
        </w:rPr>
        <w:t xml:space="preserve">3. </w:t>
      </w:r>
      <w:r w:rsidR="00AF2CAB" w:rsidRPr="004E54B2">
        <w:rPr>
          <w:rFonts w:ascii="Arial" w:hAnsi="Arial" w:cs="Arial"/>
        </w:rPr>
        <w:t>Interest on the aforesaid amount calculated at 7.75 per</w:t>
      </w:r>
      <w:r w:rsidR="00B36AD5">
        <w:rPr>
          <w:rFonts w:ascii="Arial" w:hAnsi="Arial" w:cs="Arial"/>
        </w:rPr>
        <w:t xml:space="preserve"> </w:t>
      </w:r>
      <w:r w:rsidR="00AF2CAB" w:rsidRPr="004E54B2">
        <w:rPr>
          <w:rFonts w:ascii="Arial" w:hAnsi="Arial" w:cs="Arial"/>
        </w:rPr>
        <w:t xml:space="preserve">cent per annum from the date of judgment to date of payment. </w:t>
      </w:r>
    </w:p>
    <w:p w:rsidR="00534974" w:rsidRPr="004E54B2" w:rsidRDefault="00534974" w:rsidP="004E54B2">
      <w:pPr>
        <w:spacing w:line="360" w:lineRule="auto"/>
        <w:rPr>
          <w:rFonts w:ascii="Arial" w:hAnsi="Arial" w:cs="Arial"/>
        </w:rPr>
      </w:pPr>
    </w:p>
    <w:p w:rsidR="00AF2CAB" w:rsidRPr="004E54B2" w:rsidRDefault="004E54B2" w:rsidP="004E54B2">
      <w:pPr>
        <w:spacing w:line="360" w:lineRule="auto"/>
        <w:rPr>
          <w:rFonts w:ascii="Arial" w:hAnsi="Arial" w:cs="Arial"/>
        </w:rPr>
      </w:pPr>
      <w:r>
        <w:rPr>
          <w:rFonts w:ascii="Arial" w:hAnsi="Arial" w:cs="Arial"/>
        </w:rPr>
        <w:t xml:space="preserve">4. </w:t>
      </w:r>
      <w:r w:rsidR="00B36AD5">
        <w:rPr>
          <w:rFonts w:ascii="Arial" w:hAnsi="Arial" w:cs="Arial"/>
        </w:rPr>
        <w:t>The D</w:t>
      </w:r>
      <w:r w:rsidR="00AF2CAB" w:rsidRPr="004E54B2">
        <w:rPr>
          <w:rFonts w:ascii="Arial" w:hAnsi="Arial" w:cs="Arial"/>
        </w:rPr>
        <w:t>efendant</w:t>
      </w:r>
      <w:r>
        <w:rPr>
          <w:rFonts w:ascii="Arial" w:hAnsi="Arial" w:cs="Arial"/>
        </w:rPr>
        <w:t>s</w:t>
      </w:r>
      <w:r w:rsidR="00AF2CAB" w:rsidRPr="004E54B2">
        <w:rPr>
          <w:rFonts w:ascii="Arial" w:hAnsi="Arial" w:cs="Arial"/>
        </w:rPr>
        <w:t xml:space="preserve"> </w:t>
      </w:r>
      <w:r>
        <w:rPr>
          <w:rFonts w:ascii="Arial" w:hAnsi="Arial" w:cs="Arial"/>
        </w:rPr>
        <w:t>shall</w:t>
      </w:r>
      <w:r w:rsidR="00AF2CAB" w:rsidRPr="004E54B2">
        <w:rPr>
          <w:rFonts w:ascii="Arial" w:hAnsi="Arial" w:cs="Arial"/>
        </w:rPr>
        <w:t xml:space="preserve"> </w:t>
      </w:r>
      <w:r w:rsidR="00B36AD5">
        <w:rPr>
          <w:rFonts w:ascii="Arial" w:hAnsi="Arial" w:cs="Arial"/>
        </w:rPr>
        <w:t>bear</w:t>
      </w:r>
      <w:r>
        <w:rPr>
          <w:rFonts w:ascii="Arial" w:hAnsi="Arial" w:cs="Arial"/>
        </w:rPr>
        <w:t xml:space="preserve"> the</w:t>
      </w:r>
      <w:r w:rsidR="00AF2CAB" w:rsidRPr="004E54B2">
        <w:rPr>
          <w:rFonts w:ascii="Arial" w:hAnsi="Arial" w:cs="Arial"/>
        </w:rPr>
        <w:t xml:space="preserve"> costs. </w:t>
      </w:r>
    </w:p>
    <w:p w:rsidR="009A0D02" w:rsidRDefault="009A0D02" w:rsidP="003F501C">
      <w:pPr>
        <w:spacing w:line="360" w:lineRule="auto"/>
        <w:rPr>
          <w:rFonts w:ascii="Arial" w:hAnsi="Arial" w:cs="Arial"/>
        </w:rPr>
      </w:pPr>
    </w:p>
    <w:p w:rsidR="00176ED9" w:rsidRDefault="005E0D42" w:rsidP="005E0D42">
      <w:pPr>
        <w:spacing w:line="360" w:lineRule="auto"/>
        <w:rPr>
          <w:rFonts w:ascii="Arial" w:hAnsi="Arial" w:cs="Arial"/>
          <w:b/>
        </w:rPr>
      </w:pPr>
      <w:r w:rsidRPr="006B51EF">
        <w:rPr>
          <w:rFonts w:ascii="Arial" w:hAnsi="Arial" w:cs="Arial"/>
          <w:b/>
        </w:rPr>
        <w:tab/>
      </w:r>
      <w:r w:rsidRPr="006B51EF">
        <w:rPr>
          <w:rFonts w:ascii="Arial" w:hAnsi="Arial" w:cs="Arial"/>
          <w:b/>
        </w:rPr>
        <w:tab/>
      </w:r>
      <w:r w:rsidRPr="006B51EF">
        <w:rPr>
          <w:rFonts w:ascii="Arial" w:hAnsi="Arial" w:cs="Arial"/>
          <w:b/>
        </w:rPr>
        <w:tab/>
      </w:r>
      <w:r w:rsidRPr="006B51EF">
        <w:rPr>
          <w:rFonts w:ascii="Arial" w:hAnsi="Arial" w:cs="Arial"/>
          <w:b/>
        </w:rPr>
        <w:tab/>
      </w:r>
      <w:r w:rsidRPr="006B51EF">
        <w:rPr>
          <w:rFonts w:ascii="Arial" w:hAnsi="Arial" w:cs="Arial"/>
          <w:b/>
        </w:rPr>
        <w:tab/>
      </w:r>
      <w:r w:rsidRPr="006B51EF">
        <w:rPr>
          <w:rFonts w:ascii="Arial" w:hAnsi="Arial" w:cs="Arial"/>
          <w:b/>
        </w:rPr>
        <w:tab/>
      </w:r>
      <w:r w:rsidRPr="006B51EF">
        <w:rPr>
          <w:rFonts w:ascii="Arial" w:hAnsi="Arial" w:cs="Arial"/>
          <w:b/>
        </w:rPr>
        <w:tab/>
      </w:r>
      <w:r w:rsidRPr="006B51EF">
        <w:rPr>
          <w:rFonts w:ascii="Arial" w:hAnsi="Arial" w:cs="Arial"/>
          <w:b/>
        </w:rPr>
        <w:tab/>
      </w:r>
    </w:p>
    <w:p w:rsidR="00176ED9" w:rsidRDefault="00176ED9" w:rsidP="005E0D42">
      <w:pPr>
        <w:spacing w:line="360" w:lineRule="auto"/>
        <w:rPr>
          <w:rFonts w:ascii="Arial" w:hAnsi="Arial" w:cs="Arial"/>
          <w:b/>
        </w:rPr>
      </w:pPr>
    </w:p>
    <w:p w:rsidR="005E0D42" w:rsidRPr="006B51EF" w:rsidRDefault="00176ED9" w:rsidP="005E0D42">
      <w:pPr>
        <w:spacing w:line="360" w:lineRule="auto"/>
        <w:rPr>
          <w:rFonts w:ascii="Arial" w:hAnsi="Arial" w:cs="Arial"/>
          <w:b/>
          <w:u w:val="single"/>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5E0D42" w:rsidRPr="006B51EF">
        <w:rPr>
          <w:rFonts w:ascii="Arial" w:hAnsi="Arial" w:cs="Arial"/>
          <w:b/>
          <w:u w:val="single"/>
        </w:rPr>
        <w:tab/>
      </w:r>
      <w:r w:rsidR="005E0D42" w:rsidRPr="006B51EF">
        <w:rPr>
          <w:rFonts w:ascii="Arial" w:hAnsi="Arial" w:cs="Arial"/>
          <w:b/>
          <w:u w:val="single"/>
        </w:rPr>
        <w:tab/>
      </w:r>
      <w:r w:rsidR="005E0D42" w:rsidRPr="006B51EF">
        <w:rPr>
          <w:rFonts w:ascii="Arial" w:hAnsi="Arial" w:cs="Arial"/>
          <w:b/>
          <w:u w:val="single"/>
        </w:rPr>
        <w:tab/>
      </w:r>
    </w:p>
    <w:p w:rsidR="005E0D42" w:rsidRPr="006B51EF" w:rsidRDefault="005E0D42" w:rsidP="005E0D42">
      <w:pPr>
        <w:spacing w:line="360" w:lineRule="auto"/>
        <w:rPr>
          <w:rFonts w:ascii="Arial" w:hAnsi="Arial" w:cs="Arial"/>
          <w:b/>
        </w:rPr>
      </w:pPr>
      <w:r w:rsidRPr="006B51EF">
        <w:rPr>
          <w:rFonts w:ascii="Arial" w:hAnsi="Arial" w:cs="Arial"/>
          <w:b/>
        </w:rPr>
        <w:tab/>
      </w:r>
      <w:r w:rsidRPr="006B51EF">
        <w:rPr>
          <w:rFonts w:ascii="Arial" w:hAnsi="Arial" w:cs="Arial"/>
          <w:b/>
        </w:rPr>
        <w:tab/>
      </w:r>
      <w:r w:rsidRPr="006B51EF">
        <w:rPr>
          <w:rFonts w:ascii="Arial" w:hAnsi="Arial" w:cs="Arial"/>
          <w:b/>
        </w:rPr>
        <w:tab/>
      </w:r>
      <w:r w:rsidRPr="006B51EF">
        <w:rPr>
          <w:rFonts w:ascii="Arial" w:hAnsi="Arial" w:cs="Arial"/>
          <w:b/>
        </w:rPr>
        <w:tab/>
      </w:r>
      <w:r w:rsidRPr="006B51EF">
        <w:rPr>
          <w:rFonts w:ascii="Arial" w:hAnsi="Arial" w:cs="Arial"/>
          <w:b/>
        </w:rPr>
        <w:tab/>
      </w:r>
      <w:r w:rsidRPr="006B51EF">
        <w:rPr>
          <w:rFonts w:ascii="Arial" w:hAnsi="Arial" w:cs="Arial"/>
          <w:b/>
        </w:rPr>
        <w:tab/>
        <w:t xml:space="preserve"> </w:t>
      </w:r>
      <w:r w:rsidRPr="006B51EF">
        <w:rPr>
          <w:rFonts w:ascii="Arial" w:hAnsi="Arial" w:cs="Arial"/>
          <w:b/>
        </w:rPr>
        <w:tab/>
      </w:r>
      <w:r w:rsidRPr="006B51EF">
        <w:rPr>
          <w:rFonts w:ascii="Arial" w:hAnsi="Arial" w:cs="Arial"/>
          <w:b/>
        </w:rPr>
        <w:tab/>
      </w:r>
      <w:proofErr w:type="gramStart"/>
      <w:r w:rsidR="005A1DD9">
        <w:rPr>
          <w:rFonts w:ascii="Arial" w:hAnsi="Arial" w:cs="Arial"/>
          <w:b/>
        </w:rPr>
        <w:t>KHALLIL</w:t>
      </w:r>
      <w:r w:rsidRPr="006B51EF">
        <w:rPr>
          <w:rFonts w:ascii="Arial" w:hAnsi="Arial" w:cs="Arial"/>
          <w:b/>
        </w:rPr>
        <w:t xml:space="preserve">  AJ</w:t>
      </w:r>
      <w:proofErr w:type="gramEnd"/>
      <w:r w:rsidRPr="006B51EF">
        <w:rPr>
          <w:rFonts w:ascii="Arial" w:hAnsi="Arial" w:cs="Arial"/>
          <w:b/>
        </w:rPr>
        <w:t xml:space="preserve"> </w:t>
      </w:r>
    </w:p>
    <w:p w:rsidR="005E0D42" w:rsidRDefault="005E0D42" w:rsidP="005E0D42">
      <w:pPr>
        <w:spacing w:line="360" w:lineRule="auto"/>
        <w:rPr>
          <w:rFonts w:ascii="Arial" w:hAnsi="Arial" w:cs="Arial"/>
          <w:b/>
        </w:rPr>
      </w:pPr>
    </w:p>
    <w:p w:rsidR="00B36AD5" w:rsidRDefault="00B36AD5" w:rsidP="005E0D42">
      <w:pPr>
        <w:spacing w:line="360" w:lineRule="auto"/>
        <w:rPr>
          <w:rFonts w:ascii="Arial" w:hAnsi="Arial" w:cs="Arial"/>
          <w:b/>
        </w:rPr>
      </w:pPr>
    </w:p>
    <w:p w:rsidR="00B36AD5" w:rsidRDefault="00B36AD5" w:rsidP="005E0D42">
      <w:pPr>
        <w:spacing w:line="360" w:lineRule="auto"/>
        <w:rPr>
          <w:rFonts w:ascii="Arial" w:hAnsi="Arial" w:cs="Arial"/>
          <w:b/>
        </w:rPr>
      </w:pPr>
    </w:p>
    <w:p w:rsidR="00B36AD5" w:rsidRDefault="00B36AD5" w:rsidP="005E0D42">
      <w:pPr>
        <w:spacing w:line="360" w:lineRule="auto"/>
        <w:rPr>
          <w:rFonts w:ascii="Arial" w:hAnsi="Arial" w:cs="Arial"/>
          <w:b/>
        </w:rPr>
      </w:pPr>
    </w:p>
    <w:p w:rsidR="00B36AD5" w:rsidRDefault="00B36AD5" w:rsidP="005E0D42">
      <w:pPr>
        <w:spacing w:line="360" w:lineRule="auto"/>
        <w:rPr>
          <w:rFonts w:ascii="Arial" w:hAnsi="Arial" w:cs="Arial"/>
          <w:b/>
        </w:rPr>
      </w:pPr>
    </w:p>
    <w:p w:rsidR="005E0D42" w:rsidRPr="006B51EF" w:rsidRDefault="005E0D42" w:rsidP="005E0D42">
      <w:pPr>
        <w:spacing w:line="360" w:lineRule="auto"/>
        <w:rPr>
          <w:rFonts w:ascii="Arial" w:hAnsi="Arial" w:cs="Arial"/>
        </w:rPr>
      </w:pPr>
    </w:p>
    <w:p w:rsidR="005E0D42" w:rsidRPr="002F3B27" w:rsidRDefault="005E0D42" w:rsidP="005E0D42">
      <w:pPr>
        <w:spacing w:line="600" w:lineRule="auto"/>
        <w:rPr>
          <w:rFonts w:ascii="Arial" w:hAnsi="Arial" w:cs="Arial"/>
          <w:b/>
        </w:rPr>
      </w:pPr>
      <w:r w:rsidRPr="002F3B27">
        <w:rPr>
          <w:rFonts w:ascii="Arial" w:hAnsi="Arial" w:cs="Arial"/>
          <w:b/>
        </w:rPr>
        <w:t>Appearances</w:t>
      </w:r>
    </w:p>
    <w:p w:rsidR="005E0D42" w:rsidRPr="006B51EF" w:rsidRDefault="005E0D42" w:rsidP="005E0D42">
      <w:pPr>
        <w:spacing w:line="600" w:lineRule="auto"/>
        <w:rPr>
          <w:rFonts w:ascii="Arial" w:hAnsi="Arial" w:cs="Arial"/>
        </w:rPr>
      </w:pPr>
      <w:r>
        <w:rPr>
          <w:rFonts w:ascii="Arial" w:hAnsi="Arial" w:cs="Arial"/>
        </w:rPr>
        <w:t xml:space="preserve">Counsel for </w:t>
      </w:r>
      <w:r w:rsidR="00AF2CAB">
        <w:rPr>
          <w:rFonts w:ascii="Arial" w:hAnsi="Arial" w:cs="Arial"/>
        </w:rPr>
        <w:t>Plaintiffs</w:t>
      </w:r>
      <w:r>
        <w:rPr>
          <w:rFonts w:ascii="Arial" w:hAnsi="Arial" w:cs="Arial"/>
        </w:rPr>
        <w:tab/>
      </w:r>
      <w:r w:rsidRPr="006B51EF">
        <w:rPr>
          <w:rFonts w:ascii="Arial" w:hAnsi="Arial" w:cs="Arial"/>
        </w:rPr>
        <w:t xml:space="preserve"> </w:t>
      </w:r>
      <w:r w:rsidRPr="006B51EF">
        <w:rPr>
          <w:rFonts w:ascii="Arial" w:hAnsi="Arial" w:cs="Arial"/>
        </w:rPr>
        <w:tab/>
        <w:t xml:space="preserve">: </w:t>
      </w:r>
      <w:r w:rsidR="004E54B2">
        <w:rPr>
          <w:rFonts w:ascii="Arial" w:hAnsi="Arial" w:cs="Arial"/>
        </w:rPr>
        <w:t xml:space="preserve">J W Steyn </w:t>
      </w:r>
    </w:p>
    <w:p w:rsidR="005E0D42" w:rsidRPr="006B51EF" w:rsidRDefault="005E0D42" w:rsidP="005E0D42">
      <w:pPr>
        <w:spacing w:line="600" w:lineRule="auto"/>
        <w:rPr>
          <w:rFonts w:ascii="Arial" w:hAnsi="Arial" w:cs="Arial"/>
        </w:rPr>
      </w:pPr>
      <w:r w:rsidRPr="006B51EF">
        <w:rPr>
          <w:rFonts w:ascii="Arial" w:hAnsi="Arial" w:cs="Arial"/>
        </w:rPr>
        <w:t xml:space="preserve">Instructed by </w:t>
      </w:r>
      <w:r w:rsidRPr="006B51EF">
        <w:rPr>
          <w:rFonts w:ascii="Arial" w:hAnsi="Arial" w:cs="Arial"/>
        </w:rPr>
        <w:tab/>
      </w:r>
      <w:r w:rsidRPr="006B51EF">
        <w:rPr>
          <w:rFonts w:ascii="Arial" w:hAnsi="Arial" w:cs="Arial"/>
        </w:rPr>
        <w:tab/>
      </w:r>
      <w:r w:rsidRPr="006B51EF">
        <w:rPr>
          <w:rFonts w:ascii="Arial" w:hAnsi="Arial" w:cs="Arial"/>
        </w:rPr>
        <w:tab/>
        <w:t xml:space="preserve">: </w:t>
      </w:r>
      <w:r w:rsidR="004E54B2">
        <w:rPr>
          <w:rFonts w:ascii="Arial" w:hAnsi="Arial" w:cs="Arial"/>
        </w:rPr>
        <w:t xml:space="preserve">Brand Potgieter Incorporated, Johannesburg </w:t>
      </w:r>
    </w:p>
    <w:p w:rsidR="005E0D42" w:rsidRPr="00815B5B" w:rsidRDefault="005E0D42" w:rsidP="005E0D42">
      <w:pPr>
        <w:spacing w:line="600" w:lineRule="auto"/>
        <w:rPr>
          <w:rFonts w:ascii="Arial" w:hAnsi="Arial" w:cs="Arial"/>
          <w:i/>
        </w:rPr>
      </w:pPr>
      <w:r w:rsidRPr="006B51EF">
        <w:rPr>
          <w:rFonts w:ascii="Arial" w:hAnsi="Arial" w:cs="Arial"/>
        </w:rPr>
        <w:t xml:space="preserve">Counsel for </w:t>
      </w:r>
      <w:r w:rsidR="00AF2CAB">
        <w:rPr>
          <w:rFonts w:ascii="Arial" w:hAnsi="Arial" w:cs="Arial"/>
        </w:rPr>
        <w:t>D</w:t>
      </w:r>
      <w:r>
        <w:rPr>
          <w:rFonts w:ascii="Arial" w:hAnsi="Arial" w:cs="Arial"/>
        </w:rPr>
        <w:t>efendants</w:t>
      </w:r>
      <w:r>
        <w:rPr>
          <w:rFonts w:ascii="Arial" w:hAnsi="Arial" w:cs="Arial"/>
        </w:rPr>
        <w:tab/>
      </w:r>
      <w:r>
        <w:rPr>
          <w:rFonts w:ascii="Arial" w:hAnsi="Arial" w:cs="Arial"/>
        </w:rPr>
        <w:tab/>
      </w:r>
      <w:r w:rsidR="004E54B2">
        <w:rPr>
          <w:rFonts w:ascii="Arial" w:hAnsi="Arial" w:cs="Arial"/>
        </w:rPr>
        <w:t xml:space="preserve">: N G Winfred </w:t>
      </w:r>
    </w:p>
    <w:p w:rsidR="00534974" w:rsidRDefault="005E0D42" w:rsidP="00534974">
      <w:pPr>
        <w:spacing w:line="600" w:lineRule="auto"/>
        <w:rPr>
          <w:rFonts w:ascii="Arial" w:hAnsi="Arial" w:cs="Arial"/>
        </w:rPr>
      </w:pPr>
      <w:r w:rsidRPr="006B51EF">
        <w:rPr>
          <w:rFonts w:ascii="Arial" w:hAnsi="Arial" w:cs="Arial"/>
        </w:rPr>
        <w:t xml:space="preserve">Instructed by </w:t>
      </w:r>
      <w:r w:rsidRPr="006B51EF">
        <w:rPr>
          <w:rFonts w:ascii="Arial" w:hAnsi="Arial" w:cs="Arial"/>
        </w:rPr>
        <w:tab/>
      </w:r>
      <w:r w:rsidRPr="006B51EF">
        <w:rPr>
          <w:rFonts w:ascii="Arial" w:hAnsi="Arial" w:cs="Arial"/>
        </w:rPr>
        <w:tab/>
      </w:r>
      <w:r w:rsidRPr="006B51EF">
        <w:rPr>
          <w:rFonts w:ascii="Arial" w:hAnsi="Arial" w:cs="Arial"/>
        </w:rPr>
        <w:tab/>
        <w:t>:</w:t>
      </w:r>
      <w:r w:rsidR="004E54B2">
        <w:rPr>
          <w:rFonts w:ascii="Arial" w:hAnsi="Arial" w:cs="Arial"/>
        </w:rPr>
        <w:t xml:space="preserve"> S P Attorneys, Sandton </w:t>
      </w:r>
    </w:p>
    <w:p w:rsidR="00534974" w:rsidRDefault="005E0D42" w:rsidP="00534974">
      <w:pPr>
        <w:spacing w:line="600" w:lineRule="auto"/>
        <w:rPr>
          <w:rFonts w:ascii="Arial" w:hAnsi="Arial" w:cs="Arial"/>
        </w:rPr>
      </w:pPr>
      <w:r w:rsidRPr="006B51EF">
        <w:rPr>
          <w:rFonts w:ascii="Arial" w:hAnsi="Arial" w:cs="Arial"/>
        </w:rPr>
        <w:t xml:space="preserve">  </w:t>
      </w:r>
    </w:p>
    <w:p w:rsidR="00534974" w:rsidRPr="006B51EF" w:rsidRDefault="00534974" w:rsidP="00534974">
      <w:pPr>
        <w:spacing w:line="600" w:lineRule="auto"/>
        <w:rPr>
          <w:rFonts w:ascii="Arial" w:hAnsi="Arial" w:cs="Arial"/>
        </w:rPr>
      </w:pPr>
      <w:r w:rsidRPr="006B51EF">
        <w:rPr>
          <w:rFonts w:ascii="Arial" w:hAnsi="Arial" w:cs="Arial"/>
        </w:rPr>
        <w:t xml:space="preserve">Date </w:t>
      </w:r>
      <w:r>
        <w:rPr>
          <w:rFonts w:ascii="Arial" w:hAnsi="Arial" w:cs="Arial"/>
        </w:rPr>
        <w:t>of Reservation</w:t>
      </w:r>
      <w:r w:rsidRPr="006B51EF">
        <w:rPr>
          <w:rFonts w:ascii="Arial" w:hAnsi="Arial" w:cs="Arial"/>
        </w:rPr>
        <w:tab/>
      </w:r>
      <w:r w:rsidRPr="006B51EF">
        <w:rPr>
          <w:rFonts w:ascii="Arial" w:hAnsi="Arial" w:cs="Arial"/>
        </w:rPr>
        <w:tab/>
      </w:r>
      <w:r>
        <w:rPr>
          <w:rFonts w:ascii="Arial" w:hAnsi="Arial" w:cs="Arial"/>
        </w:rPr>
        <w:tab/>
        <w:t>: 23 August 2022</w:t>
      </w:r>
    </w:p>
    <w:p w:rsidR="00534974" w:rsidRPr="006B51EF" w:rsidRDefault="00534974" w:rsidP="00534974">
      <w:pPr>
        <w:spacing w:line="600" w:lineRule="auto"/>
        <w:rPr>
          <w:rFonts w:ascii="Arial" w:hAnsi="Arial" w:cs="Arial"/>
        </w:rPr>
      </w:pPr>
      <w:r w:rsidRPr="006B51EF">
        <w:rPr>
          <w:rFonts w:ascii="Arial" w:hAnsi="Arial" w:cs="Arial"/>
        </w:rPr>
        <w:t>Date of Judgment</w:t>
      </w:r>
      <w:r w:rsidRPr="006B51EF">
        <w:rPr>
          <w:rFonts w:ascii="Arial" w:hAnsi="Arial" w:cs="Arial"/>
        </w:rPr>
        <w:tab/>
      </w:r>
      <w:r w:rsidRPr="006B51EF">
        <w:rPr>
          <w:rFonts w:ascii="Arial" w:hAnsi="Arial" w:cs="Arial"/>
        </w:rPr>
        <w:tab/>
      </w:r>
      <w:r>
        <w:rPr>
          <w:rFonts w:ascii="Arial" w:hAnsi="Arial" w:cs="Arial"/>
        </w:rPr>
        <w:tab/>
      </w:r>
      <w:r w:rsidRPr="006B51EF">
        <w:rPr>
          <w:rFonts w:ascii="Arial" w:hAnsi="Arial" w:cs="Arial"/>
        </w:rPr>
        <w:t xml:space="preserve">: </w:t>
      </w:r>
      <w:bookmarkStart w:id="0" w:name="_GoBack"/>
      <w:bookmarkEnd w:id="0"/>
      <w:r w:rsidR="0091067E">
        <w:rPr>
          <w:rFonts w:ascii="Arial" w:hAnsi="Arial" w:cs="Arial"/>
        </w:rPr>
        <w:t>16 September</w:t>
      </w:r>
      <w:r w:rsidR="0030114A">
        <w:rPr>
          <w:rFonts w:ascii="Arial" w:hAnsi="Arial" w:cs="Arial"/>
        </w:rPr>
        <w:t xml:space="preserve"> </w:t>
      </w:r>
      <w:r>
        <w:rPr>
          <w:rFonts w:ascii="Arial" w:hAnsi="Arial" w:cs="Arial"/>
        </w:rPr>
        <w:t>2022</w:t>
      </w:r>
    </w:p>
    <w:p w:rsidR="005E0D42" w:rsidRPr="006B51EF" w:rsidRDefault="005E0D42" w:rsidP="005E0D42">
      <w:pPr>
        <w:spacing w:line="600" w:lineRule="auto"/>
        <w:rPr>
          <w:rFonts w:ascii="Arial" w:eastAsia="Arial" w:hAnsi="Arial" w:cs="Arial"/>
        </w:rPr>
      </w:pPr>
    </w:p>
    <w:sectPr w:rsidR="005E0D42" w:rsidRPr="006B51EF" w:rsidSect="0009332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153" w:rsidRDefault="00AC3153" w:rsidP="00D56E91">
      <w:r>
        <w:separator/>
      </w:r>
    </w:p>
  </w:endnote>
  <w:endnote w:type="continuationSeparator" w:id="0">
    <w:p w:rsidR="00AC3153" w:rsidRDefault="00AC3153" w:rsidP="00D5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153" w:rsidRDefault="00AC3153" w:rsidP="00D56E91">
      <w:r>
        <w:separator/>
      </w:r>
    </w:p>
  </w:footnote>
  <w:footnote w:type="continuationSeparator" w:id="0">
    <w:p w:rsidR="00AC3153" w:rsidRDefault="00AC3153" w:rsidP="00D56E91">
      <w:r>
        <w:continuationSeparator/>
      </w:r>
    </w:p>
  </w:footnote>
  <w:footnote w:id="1">
    <w:p w:rsidR="004E54B2" w:rsidRPr="004E54B2" w:rsidRDefault="004E54B2" w:rsidP="00B36AD5">
      <w:pPr>
        <w:pStyle w:val="FootnoteText"/>
        <w:jc w:val="both"/>
        <w:rPr>
          <w:lang w:val="en-GB"/>
        </w:rPr>
      </w:pPr>
      <w:r w:rsidRPr="00B36AD5">
        <w:rPr>
          <w:rStyle w:val="FootnoteReference"/>
          <w:sz w:val="20"/>
        </w:rPr>
        <w:footnoteRef/>
      </w:r>
      <w:r w:rsidRPr="00B36AD5">
        <w:rPr>
          <w:sz w:val="20"/>
        </w:rPr>
        <w:t xml:space="preserve"> </w:t>
      </w:r>
      <w:r w:rsidRPr="00B36AD5">
        <w:rPr>
          <w:sz w:val="20"/>
          <w:lang w:val="en-GB"/>
        </w:rPr>
        <w:t xml:space="preserve">Exhibit “A”, paragraph 1, page 388, wherein Moola formally </w:t>
      </w:r>
      <w:r w:rsidR="00B45A5C" w:rsidRPr="00B36AD5">
        <w:rPr>
          <w:sz w:val="20"/>
          <w:lang w:val="en-GB"/>
        </w:rPr>
        <w:t>admitted in</w:t>
      </w:r>
      <w:r w:rsidRPr="00B36AD5">
        <w:rPr>
          <w:sz w:val="20"/>
          <w:lang w:val="en-GB"/>
        </w:rPr>
        <w:t xml:space="preserve"> the </w:t>
      </w:r>
      <w:r w:rsidR="007D772C" w:rsidRPr="00B36AD5">
        <w:rPr>
          <w:sz w:val="20"/>
          <w:lang w:val="en-GB"/>
        </w:rPr>
        <w:t>resultan</w:t>
      </w:r>
      <w:r w:rsidR="00B45A5C">
        <w:rPr>
          <w:sz w:val="20"/>
          <w:lang w:val="en-GB"/>
        </w:rPr>
        <w:t>t</w:t>
      </w:r>
      <w:r w:rsidR="007D772C" w:rsidRPr="00B36AD5">
        <w:rPr>
          <w:sz w:val="20"/>
          <w:lang w:val="en-GB"/>
        </w:rPr>
        <w:t xml:space="preserve"> </w:t>
      </w:r>
      <w:r w:rsidRPr="00B36AD5">
        <w:rPr>
          <w:sz w:val="20"/>
          <w:lang w:val="en-GB"/>
        </w:rPr>
        <w:t>criminal proceedings under section 220 of the Criminal Procedure Act 51 of 1977 under case 41/154/2016, the following: “I admit that Fathima Carawan (</w:t>
      </w:r>
      <w:r w:rsidR="00176ED9" w:rsidRPr="00B36AD5">
        <w:rPr>
          <w:sz w:val="20"/>
          <w:lang w:val="en-GB"/>
        </w:rPr>
        <w:t>accused two</w:t>
      </w:r>
      <w:r w:rsidRPr="00B36AD5">
        <w:rPr>
          <w:sz w:val="20"/>
          <w:lang w:val="en-GB"/>
        </w:rPr>
        <w:t xml:space="preserve">) is my customary wife, and I only used her name to register </w:t>
      </w:r>
      <w:r w:rsidR="00176ED9" w:rsidRPr="00B36AD5">
        <w:rPr>
          <w:sz w:val="20"/>
          <w:lang w:val="en-GB"/>
        </w:rPr>
        <w:t>Carmol Distributors (Pty) Ltd (accused three). She was in no way involved in the operations of the business. I fully represented accused three at all times</w:t>
      </w:r>
      <w:r w:rsidR="007D772C" w:rsidRPr="00B36AD5">
        <w:rPr>
          <w:sz w:val="20"/>
          <w:lang w:val="en-GB"/>
        </w:rPr>
        <w:t>.</w:t>
      </w:r>
      <w:r w:rsidR="00176ED9" w:rsidRPr="00B36AD5">
        <w:rPr>
          <w:sz w:val="20"/>
          <w:lang w:val="en-GB"/>
        </w:rPr>
        <w:t>”</w:t>
      </w:r>
    </w:p>
  </w:footnote>
  <w:footnote w:id="2">
    <w:p w:rsidR="0023290B" w:rsidRPr="00B36AD5" w:rsidRDefault="0023290B" w:rsidP="00B36AD5">
      <w:pPr>
        <w:pStyle w:val="FootnoteText"/>
        <w:jc w:val="both"/>
        <w:rPr>
          <w:sz w:val="20"/>
          <w:lang w:val="en-GB"/>
        </w:rPr>
      </w:pPr>
      <w:r w:rsidRPr="00B36AD5">
        <w:rPr>
          <w:rStyle w:val="FootnoteReference"/>
          <w:sz w:val="20"/>
        </w:rPr>
        <w:footnoteRef/>
      </w:r>
      <w:r w:rsidRPr="00B36AD5">
        <w:rPr>
          <w:sz w:val="20"/>
        </w:rPr>
        <w:t xml:space="preserve"> </w:t>
      </w:r>
      <w:r w:rsidRPr="00B36AD5">
        <w:rPr>
          <w:sz w:val="20"/>
          <w:lang w:val="en-GB"/>
        </w:rPr>
        <w:t>Paragraph 1.7 of the Particulars of Claim read with paragraph 1 of Defendants’ Plea, page 174 of Exhibit “A”</w:t>
      </w:r>
      <w:r w:rsidR="007D772C" w:rsidRPr="00B36AD5">
        <w:rPr>
          <w:sz w:val="20"/>
          <w:lang w:val="en-GB"/>
        </w:rPr>
        <w:t>. See also Notice of Motion in Liquidation Application.</w:t>
      </w:r>
    </w:p>
  </w:footnote>
  <w:footnote w:id="3">
    <w:p w:rsidR="0023290B" w:rsidRPr="00B36AD5" w:rsidRDefault="0023290B" w:rsidP="00B36AD5">
      <w:pPr>
        <w:pStyle w:val="FootnoteText"/>
        <w:jc w:val="both"/>
        <w:rPr>
          <w:sz w:val="20"/>
          <w:lang w:val="en-GB"/>
        </w:rPr>
      </w:pPr>
      <w:r w:rsidRPr="00B36AD5">
        <w:rPr>
          <w:rStyle w:val="FootnoteReference"/>
          <w:sz w:val="20"/>
        </w:rPr>
        <w:footnoteRef/>
      </w:r>
      <w:r w:rsidRPr="00B36AD5">
        <w:rPr>
          <w:sz w:val="20"/>
        </w:rPr>
        <w:t xml:space="preserve"> </w:t>
      </w:r>
      <w:r w:rsidRPr="00B36AD5">
        <w:rPr>
          <w:sz w:val="20"/>
          <w:lang w:val="en-GB"/>
        </w:rPr>
        <w:t xml:space="preserve">Paragraph 4 of Defendants Plea, pages 36 – 37. </w:t>
      </w:r>
    </w:p>
  </w:footnote>
  <w:footnote w:id="4">
    <w:p w:rsidR="0023290B" w:rsidRPr="0023290B" w:rsidRDefault="0023290B" w:rsidP="00B36AD5">
      <w:pPr>
        <w:pStyle w:val="FootnoteText"/>
        <w:jc w:val="both"/>
        <w:rPr>
          <w:lang w:val="en-GB"/>
        </w:rPr>
      </w:pPr>
      <w:r w:rsidRPr="00B36AD5">
        <w:rPr>
          <w:rStyle w:val="FootnoteReference"/>
          <w:sz w:val="20"/>
        </w:rPr>
        <w:footnoteRef/>
      </w:r>
      <w:r w:rsidRPr="00B36AD5">
        <w:rPr>
          <w:sz w:val="20"/>
        </w:rPr>
        <w:t xml:space="preserve"> </w:t>
      </w:r>
      <w:r w:rsidR="008B64D8">
        <w:rPr>
          <w:sz w:val="20"/>
          <w:lang w:val="en-GB"/>
        </w:rPr>
        <w:t>Paragraph 4 of Particulars of C</w:t>
      </w:r>
      <w:r w:rsidRPr="00B36AD5">
        <w:rPr>
          <w:sz w:val="20"/>
          <w:lang w:val="en-GB"/>
        </w:rPr>
        <w:t>laim, Exhibit “A”, pages 8 – 10.</w:t>
      </w:r>
    </w:p>
  </w:footnote>
  <w:footnote w:id="5">
    <w:p w:rsidR="00445412" w:rsidRPr="00445412" w:rsidRDefault="00445412" w:rsidP="00B36AD5">
      <w:pPr>
        <w:pStyle w:val="FootnoteText"/>
        <w:jc w:val="both"/>
        <w:rPr>
          <w:lang w:val="en-GB"/>
        </w:rPr>
      </w:pPr>
      <w:r w:rsidRPr="00B36AD5">
        <w:rPr>
          <w:rStyle w:val="FootnoteReference"/>
          <w:sz w:val="20"/>
        </w:rPr>
        <w:footnoteRef/>
      </w:r>
      <w:r w:rsidRPr="00B36AD5">
        <w:rPr>
          <w:sz w:val="20"/>
        </w:rPr>
        <w:t xml:space="preserve"> </w:t>
      </w:r>
      <w:r w:rsidRPr="00B36AD5">
        <w:rPr>
          <w:sz w:val="20"/>
          <w:lang w:val="en-GB"/>
        </w:rPr>
        <w:t>Notice 1135 of 1999 (Government Gazette number 20169 dated 9 June 1999), promulgated in terms of Section 12 (6) of the Consumers Affairs (Unfair Business Practices) Act 71 of 1988.</w:t>
      </w:r>
    </w:p>
  </w:footnote>
  <w:footnote w:id="6">
    <w:p w:rsidR="009869F9" w:rsidRPr="00B36AD5" w:rsidRDefault="009869F9" w:rsidP="00B36AD5">
      <w:pPr>
        <w:pStyle w:val="FootnoteText"/>
        <w:jc w:val="both"/>
        <w:rPr>
          <w:sz w:val="20"/>
          <w:lang w:val="en-GB"/>
        </w:rPr>
      </w:pPr>
      <w:r w:rsidRPr="00B36AD5">
        <w:rPr>
          <w:rStyle w:val="FootnoteReference"/>
          <w:sz w:val="20"/>
        </w:rPr>
        <w:footnoteRef/>
      </w:r>
      <w:r w:rsidRPr="00B36AD5">
        <w:rPr>
          <w:sz w:val="20"/>
        </w:rPr>
        <w:t xml:space="preserve"> </w:t>
      </w:r>
      <w:r w:rsidRPr="00B36AD5">
        <w:rPr>
          <w:sz w:val="20"/>
          <w:lang w:val="en-GB"/>
        </w:rPr>
        <w:t>Consumer Protection Act 68 of</w:t>
      </w:r>
      <w:r w:rsidR="008B64D8">
        <w:rPr>
          <w:sz w:val="20"/>
          <w:lang w:val="en-GB"/>
        </w:rPr>
        <w:t xml:space="preserve"> 2008 (section 43 in particular – Pyramid and Related Schemes).</w:t>
      </w:r>
    </w:p>
  </w:footnote>
  <w:footnote w:id="7">
    <w:p w:rsidR="00176ED9" w:rsidRPr="00B36AD5" w:rsidRDefault="00176ED9" w:rsidP="00B36AD5">
      <w:pPr>
        <w:pStyle w:val="FootnoteText"/>
        <w:jc w:val="both"/>
        <w:rPr>
          <w:sz w:val="20"/>
          <w:lang w:val="en-GB"/>
        </w:rPr>
      </w:pPr>
      <w:r w:rsidRPr="00B36AD5">
        <w:rPr>
          <w:rStyle w:val="FootnoteReference"/>
          <w:sz w:val="20"/>
        </w:rPr>
        <w:footnoteRef/>
      </w:r>
      <w:r w:rsidRPr="00B36AD5">
        <w:rPr>
          <w:sz w:val="20"/>
        </w:rPr>
        <w:t xml:space="preserve"> </w:t>
      </w:r>
      <w:r w:rsidRPr="00B36AD5">
        <w:rPr>
          <w:sz w:val="20"/>
          <w:lang w:val="en-GB"/>
        </w:rPr>
        <w:t xml:space="preserve">Exhibit “A”, pages 373 – 394 </w:t>
      </w:r>
    </w:p>
  </w:footnote>
  <w:footnote w:id="8">
    <w:p w:rsidR="009869F9" w:rsidRPr="009869F9" w:rsidRDefault="009869F9" w:rsidP="00B36AD5">
      <w:pPr>
        <w:pStyle w:val="FootnoteText"/>
        <w:jc w:val="both"/>
        <w:rPr>
          <w:lang w:val="en-GB"/>
        </w:rPr>
      </w:pPr>
      <w:r w:rsidRPr="00B36AD5">
        <w:rPr>
          <w:rStyle w:val="FootnoteReference"/>
          <w:sz w:val="20"/>
        </w:rPr>
        <w:footnoteRef/>
      </w:r>
      <w:r w:rsidRPr="00B36AD5">
        <w:rPr>
          <w:sz w:val="20"/>
        </w:rPr>
        <w:t xml:space="preserve"> </w:t>
      </w:r>
      <w:r w:rsidR="008B64D8">
        <w:rPr>
          <w:sz w:val="20"/>
          <w:lang w:val="en-GB"/>
        </w:rPr>
        <w:t>Exhibit “A”, paragraph 5 of Particulars of C</w:t>
      </w:r>
      <w:r w:rsidRPr="00B36AD5">
        <w:rPr>
          <w:sz w:val="20"/>
          <w:lang w:val="en-GB"/>
        </w:rPr>
        <w:t xml:space="preserve">laim, pages 10 – 16. </w:t>
      </w:r>
    </w:p>
  </w:footnote>
  <w:footnote w:id="9">
    <w:p w:rsidR="005C4820" w:rsidRPr="00B36AD5" w:rsidRDefault="005C4820" w:rsidP="00B36AD5">
      <w:pPr>
        <w:pStyle w:val="FootnoteText"/>
        <w:jc w:val="both"/>
        <w:rPr>
          <w:sz w:val="20"/>
          <w:lang w:val="en-GB"/>
        </w:rPr>
      </w:pPr>
      <w:r w:rsidRPr="00B36AD5">
        <w:rPr>
          <w:rStyle w:val="FootnoteReference"/>
          <w:sz w:val="20"/>
        </w:rPr>
        <w:footnoteRef/>
      </w:r>
      <w:r w:rsidRPr="00B36AD5">
        <w:rPr>
          <w:sz w:val="20"/>
        </w:rPr>
        <w:t xml:space="preserve"> </w:t>
      </w:r>
      <w:r w:rsidR="005A3469" w:rsidRPr="00B36AD5">
        <w:rPr>
          <w:sz w:val="20"/>
          <w:lang w:val="en-GB"/>
        </w:rPr>
        <w:t>Exhibit “A”, pages 36 – 37, First and Second D</w:t>
      </w:r>
      <w:r w:rsidR="005A1DD9" w:rsidRPr="00B36AD5">
        <w:rPr>
          <w:sz w:val="20"/>
          <w:lang w:val="en-GB"/>
        </w:rPr>
        <w:t xml:space="preserve">efendants’ </w:t>
      </w:r>
      <w:r w:rsidR="00176ED9" w:rsidRPr="00B36AD5">
        <w:rPr>
          <w:sz w:val="20"/>
          <w:lang w:val="en-GB"/>
        </w:rPr>
        <w:t>plea</w:t>
      </w:r>
      <w:r w:rsidR="005A1DD9" w:rsidRPr="00B36AD5">
        <w:rPr>
          <w:sz w:val="20"/>
          <w:lang w:val="en-GB"/>
        </w:rPr>
        <w:t>, paragraph 4.</w:t>
      </w:r>
    </w:p>
  </w:footnote>
  <w:footnote w:id="10">
    <w:p w:rsidR="00DB1279" w:rsidRPr="00B36AD5" w:rsidRDefault="00DB1279" w:rsidP="00B36AD5">
      <w:pPr>
        <w:pStyle w:val="FootnoteText"/>
        <w:jc w:val="both"/>
        <w:rPr>
          <w:sz w:val="20"/>
          <w:lang w:val="en-GB"/>
        </w:rPr>
      </w:pPr>
      <w:r w:rsidRPr="00B36AD5">
        <w:rPr>
          <w:rStyle w:val="FootnoteReference"/>
          <w:sz w:val="20"/>
        </w:rPr>
        <w:footnoteRef/>
      </w:r>
      <w:r w:rsidRPr="00B36AD5">
        <w:rPr>
          <w:sz w:val="20"/>
        </w:rPr>
        <w:t xml:space="preserve"> </w:t>
      </w:r>
      <w:r w:rsidRPr="00B36AD5">
        <w:rPr>
          <w:sz w:val="20"/>
          <w:lang w:val="en-GB"/>
        </w:rPr>
        <w:t>Langeberg Koöperasie Bpk v Inverdoorn Farming and Trading Company Ltd 1965 (2) SA 597 (A) at 602</w:t>
      </w:r>
    </w:p>
  </w:footnote>
  <w:footnote w:id="11">
    <w:p w:rsidR="00DB1279" w:rsidRPr="00B36AD5" w:rsidRDefault="00DB1279" w:rsidP="00B36AD5">
      <w:pPr>
        <w:pStyle w:val="FootnoteText"/>
        <w:jc w:val="both"/>
        <w:rPr>
          <w:sz w:val="20"/>
          <w:lang w:val="en-GB"/>
        </w:rPr>
      </w:pPr>
      <w:r w:rsidRPr="00B36AD5">
        <w:rPr>
          <w:rStyle w:val="FootnoteReference"/>
          <w:sz w:val="20"/>
        </w:rPr>
        <w:footnoteRef/>
      </w:r>
      <w:r w:rsidRPr="00B36AD5">
        <w:rPr>
          <w:sz w:val="20"/>
        </w:rPr>
        <w:t xml:space="preserve"> </w:t>
      </w:r>
      <w:r w:rsidR="005A3469" w:rsidRPr="00B36AD5">
        <w:rPr>
          <w:sz w:val="20"/>
          <w:lang w:val="en-GB"/>
        </w:rPr>
        <w:t>I</w:t>
      </w:r>
      <w:r w:rsidRPr="00B36AD5">
        <w:rPr>
          <w:sz w:val="20"/>
          <w:lang w:val="en-GB"/>
        </w:rPr>
        <w:t>bid</w:t>
      </w:r>
    </w:p>
  </w:footnote>
  <w:footnote w:id="12">
    <w:p w:rsidR="00DB1279" w:rsidRPr="00DB1279" w:rsidRDefault="00DB1279" w:rsidP="00B36AD5">
      <w:pPr>
        <w:pStyle w:val="FootnoteText"/>
        <w:jc w:val="both"/>
        <w:rPr>
          <w:lang w:val="en-GB"/>
        </w:rPr>
      </w:pPr>
      <w:r w:rsidRPr="00B36AD5">
        <w:rPr>
          <w:rStyle w:val="FootnoteReference"/>
          <w:sz w:val="20"/>
        </w:rPr>
        <w:footnoteRef/>
      </w:r>
      <w:r w:rsidRPr="00B36AD5">
        <w:rPr>
          <w:sz w:val="20"/>
        </w:rPr>
        <w:t xml:space="preserve"> </w:t>
      </w:r>
      <w:r w:rsidRPr="00B36AD5">
        <w:rPr>
          <w:sz w:val="20"/>
          <w:lang w:val="en-GB"/>
        </w:rPr>
        <w:t xml:space="preserve">Commissioner of Inland Revenue </w:t>
      </w:r>
      <w:proofErr w:type="gramStart"/>
      <w:r w:rsidRPr="00B36AD5">
        <w:rPr>
          <w:sz w:val="20"/>
          <w:lang w:val="en-GB"/>
        </w:rPr>
        <w:t>v</w:t>
      </w:r>
      <w:proofErr w:type="gramEnd"/>
      <w:r w:rsidRPr="00B36AD5">
        <w:rPr>
          <w:sz w:val="20"/>
          <w:lang w:val="en-GB"/>
        </w:rPr>
        <w:t xml:space="preserve"> Bowman NO 1990 (3) SA 311 (AD) </w:t>
      </w:r>
      <w:r w:rsidR="006E7E8D" w:rsidRPr="00B36AD5">
        <w:rPr>
          <w:sz w:val="20"/>
          <w:lang w:val="en-GB"/>
        </w:rPr>
        <w:t>at 314. As to the meaning of “not made for value”, cf, Strydom NO and another v</w:t>
      </w:r>
      <w:r w:rsidR="005A3469" w:rsidRPr="00B36AD5">
        <w:rPr>
          <w:sz w:val="20"/>
          <w:lang w:val="en-GB"/>
        </w:rPr>
        <w:t xml:space="preserve"> Snowball Wealth (Pty) Ltd and O</w:t>
      </w:r>
      <w:r w:rsidR="006E7E8D" w:rsidRPr="00B36AD5">
        <w:rPr>
          <w:sz w:val="20"/>
          <w:lang w:val="en-GB"/>
        </w:rPr>
        <w:t xml:space="preserve">thers (356/2021) [2022] ZASCA 91 (15 June 2022) at paragraph 25. </w:t>
      </w:r>
      <w:r w:rsidR="00534974">
        <w:rPr>
          <w:sz w:val="20"/>
          <w:lang w:val="en-GB"/>
        </w:rPr>
        <w:t>(</w:t>
      </w:r>
      <w:r w:rsidR="006E7E8D" w:rsidRPr="00B36AD5">
        <w:rPr>
          <w:sz w:val="20"/>
          <w:lang w:val="en-GB"/>
        </w:rPr>
        <w:t xml:space="preserve">There must be no value, i.e., there must have been no </w:t>
      </w:r>
      <w:r w:rsidR="00534974">
        <w:rPr>
          <w:i/>
          <w:sz w:val="20"/>
          <w:lang w:val="en-GB"/>
        </w:rPr>
        <w:t>quid pro quo).</w:t>
      </w:r>
    </w:p>
  </w:footnote>
  <w:footnote w:id="13">
    <w:p w:rsidR="00230CEF" w:rsidRPr="00B36AD5" w:rsidRDefault="00230CEF" w:rsidP="00B36AD5">
      <w:pPr>
        <w:pStyle w:val="FootnoteText"/>
        <w:jc w:val="both"/>
        <w:rPr>
          <w:sz w:val="20"/>
          <w:lang w:val="en-GB"/>
        </w:rPr>
      </w:pPr>
      <w:r w:rsidRPr="00B36AD5">
        <w:rPr>
          <w:rStyle w:val="FootnoteReference"/>
          <w:sz w:val="20"/>
        </w:rPr>
        <w:footnoteRef/>
      </w:r>
      <w:r w:rsidRPr="00B36AD5">
        <w:rPr>
          <w:sz w:val="20"/>
        </w:rPr>
        <w:t xml:space="preserve"> </w:t>
      </w:r>
      <w:r w:rsidRPr="00B36AD5">
        <w:rPr>
          <w:sz w:val="20"/>
          <w:lang w:val="en-GB"/>
        </w:rPr>
        <w:t>Report s</w:t>
      </w:r>
      <w:r w:rsidR="00917178" w:rsidRPr="00B36AD5">
        <w:rPr>
          <w:sz w:val="20"/>
          <w:lang w:val="en-GB"/>
        </w:rPr>
        <w:t>ubmitted by Liquidators at the Second Meeting of Creditors, E</w:t>
      </w:r>
      <w:r w:rsidRPr="00B36AD5">
        <w:rPr>
          <w:sz w:val="20"/>
          <w:lang w:val="en-GB"/>
        </w:rPr>
        <w:t>xhibit “A”, pages 257 - 263</w:t>
      </w:r>
    </w:p>
  </w:footnote>
  <w:footnote w:id="14">
    <w:p w:rsidR="00230CEF" w:rsidRPr="00230CEF" w:rsidRDefault="00230CEF" w:rsidP="00B36AD5">
      <w:pPr>
        <w:pStyle w:val="FootnoteText"/>
        <w:jc w:val="both"/>
        <w:rPr>
          <w:lang w:val="en-GB"/>
        </w:rPr>
      </w:pPr>
      <w:r w:rsidRPr="00B36AD5">
        <w:rPr>
          <w:rStyle w:val="FootnoteReference"/>
          <w:sz w:val="20"/>
        </w:rPr>
        <w:footnoteRef/>
      </w:r>
      <w:r w:rsidRPr="00B36AD5">
        <w:rPr>
          <w:sz w:val="20"/>
        </w:rPr>
        <w:t xml:space="preserve"> </w:t>
      </w:r>
      <w:r w:rsidRPr="00B36AD5">
        <w:rPr>
          <w:sz w:val="20"/>
          <w:lang w:val="en-GB"/>
        </w:rPr>
        <w:t xml:space="preserve">Exhibit “A”, pages 369 – 372 </w:t>
      </w:r>
    </w:p>
  </w:footnote>
  <w:footnote w:id="15">
    <w:p w:rsidR="003B55C9" w:rsidRPr="00B36AD5" w:rsidRDefault="003B55C9" w:rsidP="00B36AD5">
      <w:pPr>
        <w:pStyle w:val="FootnoteText"/>
        <w:jc w:val="both"/>
        <w:rPr>
          <w:sz w:val="20"/>
          <w:lang w:val="en-GB"/>
        </w:rPr>
      </w:pPr>
      <w:r w:rsidRPr="00B36AD5">
        <w:rPr>
          <w:rStyle w:val="FootnoteReference"/>
          <w:sz w:val="20"/>
        </w:rPr>
        <w:footnoteRef/>
      </w:r>
      <w:r w:rsidRPr="00B36AD5">
        <w:rPr>
          <w:sz w:val="20"/>
        </w:rPr>
        <w:t xml:space="preserve"> </w:t>
      </w:r>
      <w:r w:rsidRPr="00B36AD5">
        <w:rPr>
          <w:sz w:val="20"/>
          <w:lang w:val="en-GB"/>
        </w:rPr>
        <w:t xml:space="preserve">Exhibit “A”, pages 294 – 368 </w:t>
      </w:r>
    </w:p>
  </w:footnote>
  <w:footnote w:id="16">
    <w:p w:rsidR="00E36AD4" w:rsidRPr="00B36AD5" w:rsidRDefault="00E36AD4" w:rsidP="00B36AD5">
      <w:pPr>
        <w:pStyle w:val="FootnoteText"/>
        <w:jc w:val="both"/>
        <w:rPr>
          <w:sz w:val="20"/>
          <w:lang w:val="en-GB"/>
        </w:rPr>
      </w:pPr>
      <w:r w:rsidRPr="00B36AD5">
        <w:rPr>
          <w:rStyle w:val="FootnoteReference"/>
          <w:sz w:val="20"/>
        </w:rPr>
        <w:footnoteRef/>
      </w:r>
      <w:r w:rsidRPr="00B36AD5">
        <w:rPr>
          <w:sz w:val="20"/>
        </w:rPr>
        <w:t xml:space="preserve"> </w:t>
      </w:r>
      <w:r w:rsidRPr="00B36AD5">
        <w:rPr>
          <w:sz w:val="20"/>
          <w:lang w:val="en-GB"/>
        </w:rPr>
        <w:t xml:space="preserve">Trust Bank of Africa Ltd v Senekal 1977 (2) SA 587 (W) confirmed </w:t>
      </w:r>
      <w:r w:rsidR="00534974" w:rsidRPr="00B36AD5">
        <w:rPr>
          <w:sz w:val="20"/>
          <w:lang w:val="en-GB"/>
        </w:rPr>
        <w:t xml:space="preserve">on appeal </w:t>
      </w:r>
      <w:r w:rsidR="00534974">
        <w:rPr>
          <w:sz w:val="20"/>
          <w:lang w:val="en-GB"/>
        </w:rPr>
        <w:t>i</w:t>
      </w:r>
      <w:r w:rsidRPr="00B36AD5">
        <w:rPr>
          <w:sz w:val="20"/>
          <w:lang w:val="en-GB"/>
        </w:rPr>
        <w:t xml:space="preserve">n Senekal v Trust Bank of Africa Ltd 1978 (3) SA 373 (A).  </w:t>
      </w:r>
    </w:p>
  </w:footnote>
  <w:footnote w:id="17">
    <w:p w:rsidR="00E36AD4" w:rsidRPr="00B36AD5" w:rsidRDefault="00E36AD4" w:rsidP="00B36AD5">
      <w:pPr>
        <w:pStyle w:val="FootnoteText"/>
        <w:jc w:val="both"/>
        <w:rPr>
          <w:sz w:val="20"/>
          <w:lang w:val="en-GB"/>
        </w:rPr>
      </w:pPr>
      <w:r w:rsidRPr="00B36AD5">
        <w:rPr>
          <w:rStyle w:val="FootnoteReference"/>
          <w:sz w:val="20"/>
        </w:rPr>
        <w:footnoteRef/>
      </w:r>
      <w:r w:rsidRPr="00B36AD5">
        <w:rPr>
          <w:sz w:val="20"/>
        </w:rPr>
        <w:t xml:space="preserve"> </w:t>
      </w:r>
      <w:r w:rsidR="00B36AD5" w:rsidRPr="00B36AD5">
        <w:rPr>
          <w:sz w:val="20"/>
        </w:rPr>
        <w:t xml:space="preserve">Ex Parte Minister of Justice: in Re Rex v Jacobson and Levy </w:t>
      </w:r>
      <w:r w:rsidRPr="00B36AD5">
        <w:rPr>
          <w:sz w:val="20"/>
          <w:lang w:val="en-GB"/>
        </w:rPr>
        <w:t xml:space="preserve">1931 AD 466 at 478. Followed in Marine and Trade Insurance Co. Ltd v Van der </w:t>
      </w:r>
      <w:proofErr w:type="spellStart"/>
      <w:r w:rsidRPr="00B36AD5">
        <w:rPr>
          <w:sz w:val="20"/>
          <w:lang w:val="en-GB"/>
        </w:rPr>
        <w:t>Schyff</w:t>
      </w:r>
      <w:proofErr w:type="spellEnd"/>
      <w:r w:rsidRPr="00B36AD5">
        <w:rPr>
          <w:sz w:val="20"/>
          <w:lang w:val="en-GB"/>
        </w:rPr>
        <w:t xml:space="preserve"> 1972 (1) SA 26 A at 37; S v </w:t>
      </w:r>
      <w:proofErr w:type="spellStart"/>
      <w:r w:rsidRPr="00B36AD5">
        <w:rPr>
          <w:sz w:val="20"/>
          <w:lang w:val="en-GB"/>
        </w:rPr>
        <w:t>Boesak</w:t>
      </w:r>
      <w:proofErr w:type="spellEnd"/>
      <w:r w:rsidRPr="00B36AD5">
        <w:rPr>
          <w:sz w:val="20"/>
          <w:lang w:val="en-GB"/>
        </w:rPr>
        <w:t xml:space="preserve"> 2003 (3) SA 381 SCA, paragraph 46 -47 and </w:t>
      </w:r>
      <w:proofErr w:type="spellStart"/>
      <w:r w:rsidRPr="00B36AD5">
        <w:rPr>
          <w:sz w:val="20"/>
          <w:lang w:val="en-GB"/>
        </w:rPr>
        <w:t>Moscon</w:t>
      </w:r>
      <w:proofErr w:type="spellEnd"/>
      <w:r w:rsidRPr="00B36AD5">
        <w:rPr>
          <w:sz w:val="20"/>
          <w:lang w:val="en-GB"/>
        </w:rPr>
        <w:t xml:space="preserve"> </w:t>
      </w:r>
      <w:proofErr w:type="spellStart"/>
      <w:r w:rsidRPr="00B36AD5">
        <w:rPr>
          <w:sz w:val="20"/>
          <w:lang w:val="en-GB"/>
        </w:rPr>
        <w:t>hyme</w:t>
      </w:r>
      <w:proofErr w:type="spellEnd"/>
      <w:r w:rsidRPr="00B36AD5">
        <w:rPr>
          <w:sz w:val="20"/>
          <w:lang w:val="en-GB"/>
        </w:rPr>
        <w:t xml:space="preserve"> CC v JP Krugerrand Dears CC (Case No: 16451/2010) [2014] ZAGPJHC 24 (25 February 2014). </w:t>
      </w:r>
    </w:p>
  </w:footnote>
  <w:footnote w:id="18">
    <w:p w:rsidR="00CC7C0F" w:rsidRPr="00CC7C0F" w:rsidRDefault="00CC7C0F" w:rsidP="00B36AD5">
      <w:pPr>
        <w:pStyle w:val="FootnoteText"/>
        <w:jc w:val="both"/>
        <w:rPr>
          <w:lang w:val="en-GB"/>
        </w:rPr>
      </w:pPr>
      <w:r w:rsidRPr="00B36AD5">
        <w:rPr>
          <w:rStyle w:val="FootnoteReference"/>
          <w:sz w:val="20"/>
        </w:rPr>
        <w:footnoteRef/>
      </w:r>
      <w:r w:rsidRPr="00B36AD5">
        <w:rPr>
          <w:sz w:val="20"/>
        </w:rPr>
        <w:t xml:space="preserve"> </w:t>
      </w:r>
      <w:r w:rsidRPr="00B36AD5">
        <w:rPr>
          <w:sz w:val="20"/>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473994"/>
      <w:docPartObj>
        <w:docPartGallery w:val="Page Numbers (Top of Page)"/>
        <w:docPartUnique/>
      </w:docPartObj>
    </w:sdtPr>
    <w:sdtEndPr>
      <w:rPr>
        <w:noProof/>
      </w:rPr>
    </w:sdtEndPr>
    <w:sdtContent>
      <w:p w:rsidR="000B2228" w:rsidRDefault="000B2228">
        <w:pPr>
          <w:pStyle w:val="Header"/>
          <w:jc w:val="right"/>
        </w:pPr>
        <w:r>
          <w:fldChar w:fldCharType="begin"/>
        </w:r>
        <w:r>
          <w:instrText xml:space="preserve"> PAGE   \* MERGEFORMAT </w:instrText>
        </w:r>
        <w:r>
          <w:fldChar w:fldCharType="separate"/>
        </w:r>
        <w:r w:rsidR="0091067E">
          <w:rPr>
            <w:noProof/>
          </w:rPr>
          <w:t>9</w:t>
        </w:r>
        <w:r>
          <w:rPr>
            <w:noProof/>
          </w:rPr>
          <w:fldChar w:fldCharType="end"/>
        </w:r>
      </w:p>
    </w:sdtContent>
  </w:sdt>
  <w:p w:rsidR="000B2228" w:rsidRDefault="000B222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DE"/>
    <w:multiLevelType w:val="hybridMultilevel"/>
    <w:tmpl w:val="CD56D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93A4B"/>
    <w:multiLevelType w:val="hybridMultilevel"/>
    <w:tmpl w:val="7CCCFBD4"/>
    <w:lvl w:ilvl="0" w:tplc="349A6580">
      <w:start w:val="1"/>
      <w:numFmt w:val="lowerRoman"/>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9F0E98"/>
    <w:multiLevelType w:val="hybridMultilevel"/>
    <w:tmpl w:val="0D20E79C"/>
    <w:lvl w:ilvl="0" w:tplc="D57470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9D65B0F"/>
    <w:multiLevelType w:val="hybridMultilevel"/>
    <w:tmpl w:val="ED7A2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66"/>
    <w:rsid w:val="00006D7E"/>
    <w:rsid w:val="0003049C"/>
    <w:rsid w:val="00093327"/>
    <w:rsid w:val="000B2228"/>
    <w:rsid w:val="000F7AED"/>
    <w:rsid w:val="0013280F"/>
    <w:rsid w:val="00145D61"/>
    <w:rsid w:val="001718CC"/>
    <w:rsid w:val="00172DEA"/>
    <w:rsid w:val="00176ED9"/>
    <w:rsid w:val="00194B89"/>
    <w:rsid w:val="001D6907"/>
    <w:rsid w:val="001F45BE"/>
    <w:rsid w:val="00230CEF"/>
    <w:rsid w:val="002328A3"/>
    <w:rsid w:val="0023290B"/>
    <w:rsid w:val="002659D0"/>
    <w:rsid w:val="0030114A"/>
    <w:rsid w:val="003936B4"/>
    <w:rsid w:val="003B1C86"/>
    <w:rsid w:val="003B55C9"/>
    <w:rsid w:val="003C73BF"/>
    <w:rsid w:val="003E5057"/>
    <w:rsid w:val="003F501C"/>
    <w:rsid w:val="00404D90"/>
    <w:rsid w:val="00424D66"/>
    <w:rsid w:val="0044394E"/>
    <w:rsid w:val="00445412"/>
    <w:rsid w:val="004E54B2"/>
    <w:rsid w:val="00534974"/>
    <w:rsid w:val="00576B6E"/>
    <w:rsid w:val="00580FFA"/>
    <w:rsid w:val="005A1DD9"/>
    <w:rsid w:val="005A3469"/>
    <w:rsid w:val="005C4820"/>
    <w:rsid w:val="005E0D42"/>
    <w:rsid w:val="00606D87"/>
    <w:rsid w:val="0068241A"/>
    <w:rsid w:val="0068382F"/>
    <w:rsid w:val="006E7E8D"/>
    <w:rsid w:val="0074164A"/>
    <w:rsid w:val="00790BF8"/>
    <w:rsid w:val="007D772C"/>
    <w:rsid w:val="00885CB3"/>
    <w:rsid w:val="0088673D"/>
    <w:rsid w:val="008B64D8"/>
    <w:rsid w:val="0091067E"/>
    <w:rsid w:val="00917178"/>
    <w:rsid w:val="009274A4"/>
    <w:rsid w:val="009869F9"/>
    <w:rsid w:val="009A0D02"/>
    <w:rsid w:val="009A4396"/>
    <w:rsid w:val="009C49D8"/>
    <w:rsid w:val="009F6499"/>
    <w:rsid w:val="00A24CF5"/>
    <w:rsid w:val="00AC3153"/>
    <w:rsid w:val="00AC66E2"/>
    <w:rsid w:val="00AF2CAB"/>
    <w:rsid w:val="00B36AD5"/>
    <w:rsid w:val="00B45A5C"/>
    <w:rsid w:val="00B776AE"/>
    <w:rsid w:val="00BB457F"/>
    <w:rsid w:val="00C20EE0"/>
    <w:rsid w:val="00C52F58"/>
    <w:rsid w:val="00C84E89"/>
    <w:rsid w:val="00CC770C"/>
    <w:rsid w:val="00CC7C0F"/>
    <w:rsid w:val="00CD0925"/>
    <w:rsid w:val="00D56E91"/>
    <w:rsid w:val="00D76610"/>
    <w:rsid w:val="00DB1279"/>
    <w:rsid w:val="00DB712E"/>
    <w:rsid w:val="00DF0051"/>
    <w:rsid w:val="00E079F5"/>
    <w:rsid w:val="00E21158"/>
    <w:rsid w:val="00E36AD4"/>
    <w:rsid w:val="00E97E56"/>
    <w:rsid w:val="00EC18E1"/>
    <w:rsid w:val="00F01E7B"/>
    <w:rsid w:val="00FA0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2E9F98"/>
  <w15:docId w15:val="{22312EF3-30F5-4BD1-8EBE-F7A70FA3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D66"/>
    <w:pPr>
      <w:spacing w:line="240" w:lineRule="auto"/>
    </w:pPr>
    <w:rPr>
      <w:rFonts w:ascii="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CF5"/>
    <w:pPr>
      <w:ind w:left="720"/>
      <w:contextualSpacing/>
    </w:pPr>
    <w:rPr>
      <w:rFonts w:eastAsia="Times New Roman" w:cs="Times New Roman"/>
    </w:rPr>
  </w:style>
  <w:style w:type="table" w:styleId="TableGrid">
    <w:name w:val="Table Grid"/>
    <w:basedOn w:val="TableNormal"/>
    <w:uiPriority w:val="59"/>
    <w:rsid w:val="00424D66"/>
    <w:pPr>
      <w:spacing w:line="240" w:lineRule="auto"/>
      <w:jc w:val="left"/>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4D66"/>
    <w:rPr>
      <w:sz w:val="16"/>
      <w:szCs w:val="16"/>
    </w:rPr>
  </w:style>
  <w:style w:type="paragraph" w:styleId="CommentText">
    <w:name w:val="annotation text"/>
    <w:basedOn w:val="Normal"/>
    <w:link w:val="CommentTextChar"/>
    <w:uiPriority w:val="99"/>
    <w:semiHidden/>
    <w:unhideWhenUsed/>
    <w:rsid w:val="00424D66"/>
    <w:rPr>
      <w:sz w:val="20"/>
      <w:szCs w:val="20"/>
    </w:rPr>
  </w:style>
  <w:style w:type="character" w:customStyle="1" w:styleId="CommentTextChar">
    <w:name w:val="Comment Text Char"/>
    <w:basedOn w:val="DefaultParagraphFont"/>
    <w:link w:val="CommentText"/>
    <w:uiPriority w:val="99"/>
    <w:semiHidden/>
    <w:rsid w:val="00424D66"/>
    <w:rPr>
      <w:rFonts w:ascii="Times New Roman" w:hAnsi="Times New Roman"/>
      <w:sz w:val="20"/>
      <w:szCs w:val="20"/>
      <w:lang w:val="en-GB" w:eastAsia="en-GB"/>
    </w:rPr>
  </w:style>
  <w:style w:type="paragraph" w:styleId="BalloonText">
    <w:name w:val="Balloon Text"/>
    <w:basedOn w:val="Normal"/>
    <w:link w:val="BalloonTextChar"/>
    <w:uiPriority w:val="99"/>
    <w:semiHidden/>
    <w:unhideWhenUsed/>
    <w:rsid w:val="00424D66"/>
    <w:rPr>
      <w:rFonts w:ascii="Tahoma" w:hAnsi="Tahoma" w:cs="Tahoma"/>
      <w:sz w:val="16"/>
      <w:szCs w:val="16"/>
    </w:rPr>
  </w:style>
  <w:style w:type="character" w:customStyle="1" w:styleId="BalloonTextChar">
    <w:name w:val="Balloon Text Char"/>
    <w:basedOn w:val="DefaultParagraphFont"/>
    <w:link w:val="BalloonText"/>
    <w:uiPriority w:val="99"/>
    <w:semiHidden/>
    <w:rsid w:val="00424D66"/>
    <w:rPr>
      <w:rFonts w:ascii="Tahoma" w:hAnsi="Tahoma" w:cs="Tahoma"/>
      <w:sz w:val="16"/>
      <w:szCs w:val="16"/>
      <w:lang w:val="en-GB" w:eastAsia="en-GB"/>
    </w:rPr>
  </w:style>
  <w:style w:type="paragraph" w:styleId="FootnoteText">
    <w:name w:val="footnote text"/>
    <w:basedOn w:val="Normal"/>
    <w:link w:val="FootnoteTextChar"/>
    <w:uiPriority w:val="99"/>
    <w:unhideWhenUsed/>
    <w:rsid w:val="00D56E91"/>
    <w:pPr>
      <w:jc w:val="left"/>
    </w:pPr>
    <w:rPr>
      <w:rFonts w:asciiTheme="minorHAnsi" w:eastAsiaTheme="minorEastAsia" w:hAnsiTheme="minorHAnsi"/>
      <w:lang w:val="en-US" w:eastAsia="en-US"/>
    </w:rPr>
  </w:style>
  <w:style w:type="character" w:customStyle="1" w:styleId="FootnoteTextChar">
    <w:name w:val="Footnote Text Char"/>
    <w:basedOn w:val="DefaultParagraphFont"/>
    <w:link w:val="FootnoteText"/>
    <w:uiPriority w:val="99"/>
    <w:rsid w:val="00D56E91"/>
    <w:rPr>
      <w:rFonts w:eastAsiaTheme="minorEastAsia"/>
      <w:sz w:val="24"/>
      <w:szCs w:val="24"/>
    </w:rPr>
  </w:style>
  <w:style w:type="character" w:styleId="FootnoteReference">
    <w:name w:val="footnote reference"/>
    <w:basedOn w:val="DefaultParagraphFont"/>
    <w:uiPriority w:val="99"/>
    <w:unhideWhenUsed/>
    <w:rsid w:val="00D56E91"/>
    <w:rPr>
      <w:vertAlign w:val="superscript"/>
    </w:rPr>
  </w:style>
  <w:style w:type="paragraph" w:styleId="Header">
    <w:name w:val="header"/>
    <w:basedOn w:val="Normal"/>
    <w:link w:val="HeaderChar"/>
    <w:uiPriority w:val="99"/>
    <w:unhideWhenUsed/>
    <w:rsid w:val="000B2228"/>
    <w:pPr>
      <w:tabs>
        <w:tab w:val="center" w:pos="4680"/>
        <w:tab w:val="right" w:pos="9360"/>
      </w:tabs>
    </w:pPr>
  </w:style>
  <w:style w:type="character" w:customStyle="1" w:styleId="HeaderChar">
    <w:name w:val="Header Char"/>
    <w:basedOn w:val="DefaultParagraphFont"/>
    <w:link w:val="Header"/>
    <w:uiPriority w:val="99"/>
    <w:rsid w:val="000B2228"/>
    <w:rPr>
      <w:rFonts w:ascii="Times New Roman" w:hAnsi="Times New Roman"/>
      <w:sz w:val="24"/>
      <w:szCs w:val="24"/>
      <w:lang w:val="en-GB" w:eastAsia="en-GB"/>
    </w:rPr>
  </w:style>
  <w:style w:type="paragraph" w:styleId="Footer">
    <w:name w:val="footer"/>
    <w:basedOn w:val="Normal"/>
    <w:link w:val="FooterChar"/>
    <w:uiPriority w:val="99"/>
    <w:unhideWhenUsed/>
    <w:rsid w:val="000B2228"/>
    <w:pPr>
      <w:tabs>
        <w:tab w:val="center" w:pos="4680"/>
        <w:tab w:val="right" w:pos="9360"/>
      </w:tabs>
    </w:pPr>
  </w:style>
  <w:style w:type="character" w:customStyle="1" w:styleId="FooterChar">
    <w:name w:val="Footer Char"/>
    <w:basedOn w:val="DefaultParagraphFont"/>
    <w:link w:val="Footer"/>
    <w:uiPriority w:val="99"/>
    <w:rsid w:val="000B2228"/>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9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134C8-6E94-484E-A37A-D24C50927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2042</Words>
  <Characters>11644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Khallil Irfaan</cp:lastModifiedBy>
  <cp:revision>3</cp:revision>
  <cp:lastPrinted>2022-09-15T12:58:00Z</cp:lastPrinted>
  <dcterms:created xsi:type="dcterms:W3CDTF">2022-09-16T06:10:00Z</dcterms:created>
  <dcterms:modified xsi:type="dcterms:W3CDTF">2022-09-16T08:51:00Z</dcterms:modified>
</cp:coreProperties>
</file>