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60310" w14:textId="77777777" w:rsidR="000008AC" w:rsidRPr="00A44543" w:rsidRDefault="000008AC" w:rsidP="00A140A0">
      <w:pPr>
        <w:spacing w:line="360" w:lineRule="auto"/>
        <w:jc w:val="center"/>
        <w:rPr>
          <w:rFonts w:ascii="Arial" w:hAnsi="Arial" w:cs="Arial"/>
          <w:b/>
        </w:rPr>
      </w:pPr>
      <w:r w:rsidRPr="00A44543">
        <w:rPr>
          <w:rFonts w:ascii="Arial" w:hAnsi="Arial" w:cs="Arial"/>
          <w:noProof/>
          <w:sz w:val="20"/>
          <w:lang w:val="en-US" w:eastAsia="en-US"/>
        </w:rPr>
        <w:drawing>
          <wp:inline distT="0" distB="0" distL="0" distR="0" wp14:anchorId="46264674" wp14:editId="4569AD47">
            <wp:extent cx="1439186" cy="126448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3385" cy="1276962"/>
                    </a:xfrm>
                    <a:prstGeom prst="rect">
                      <a:avLst/>
                    </a:prstGeom>
                    <a:noFill/>
                    <a:ln>
                      <a:noFill/>
                    </a:ln>
                  </pic:spPr>
                </pic:pic>
              </a:graphicData>
            </a:graphic>
          </wp:inline>
        </w:drawing>
      </w:r>
    </w:p>
    <w:p w14:paraId="47B065B6" w14:textId="77777777" w:rsidR="000008AC" w:rsidRPr="00A44543" w:rsidRDefault="000008AC" w:rsidP="00A140A0">
      <w:pPr>
        <w:spacing w:line="360" w:lineRule="auto"/>
        <w:jc w:val="center"/>
        <w:rPr>
          <w:rFonts w:ascii="Arial" w:hAnsi="Arial" w:cs="Arial"/>
          <w:b/>
          <w:szCs w:val="24"/>
        </w:rPr>
      </w:pPr>
      <w:r w:rsidRPr="00A44543">
        <w:rPr>
          <w:rFonts w:ascii="Arial" w:hAnsi="Arial" w:cs="Arial"/>
          <w:b/>
          <w:szCs w:val="24"/>
        </w:rPr>
        <w:t>IN THE HIGH COURT OF SOUTH AFRICA</w:t>
      </w:r>
    </w:p>
    <w:p w14:paraId="4E240505" w14:textId="11849AC4" w:rsidR="000008AC" w:rsidRPr="00A44543" w:rsidRDefault="000008AC" w:rsidP="00A140A0">
      <w:pPr>
        <w:spacing w:line="360" w:lineRule="auto"/>
        <w:jc w:val="center"/>
        <w:rPr>
          <w:rFonts w:ascii="Arial" w:hAnsi="Arial" w:cs="Arial"/>
          <w:b/>
          <w:szCs w:val="24"/>
        </w:rPr>
      </w:pPr>
      <w:r w:rsidRPr="00A44543">
        <w:rPr>
          <w:rFonts w:ascii="Arial" w:hAnsi="Arial" w:cs="Arial"/>
          <w:b/>
          <w:szCs w:val="24"/>
        </w:rPr>
        <w:t>KWAZULU-NATAL DIVISION</w:t>
      </w:r>
      <w:r w:rsidR="00C87435">
        <w:rPr>
          <w:rFonts w:ascii="Arial" w:hAnsi="Arial" w:cs="Arial"/>
          <w:b/>
          <w:szCs w:val="24"/>
        </w:rPr>
        <w:t xml:space="preserve">, </w:t>
      </w:r>
      <w:r w:rsidRPr="00A44543">
        <w:rPr>
          <w:rFonts w:ascii="Arial" w:hAnsi="Arial" w:cs="Arial"/>
          <w:b/>
          <w:szCs w:val="24"/>
        </w:rPr>
        <w:t>PIETERMARITZBURG</w:t>
      </w:r>
    </w:p>
    <w:p w14:paraId="56E15D9E" w14:textId="77777777" w:rsidR="000008AC" w:rsidRPr="00A44543" w:rsidRDefault="000008AC" w:rsidP="00A140A0">
      <w:pPr>
        <w:spacing w:line="360" w:lineRule="auto"/>
        <w:jc w:val="both"/>
        <w:rPr>
          <w:rFonts w:ascii="Arial" w:hAnsi="Arial" w:cs="Arial"/>
          <w:b/>
          <w:szCs w:val="24"/>
        </w:rPr>
      </w:pPr>
    </w:p>
    <w:p w14:paraId="1ED15735" w14:textId="77777777" w:rsidR="00CD1A82" w:rsidRPr="00A44543" w:rsidRDefault="00172F86" w:rsidP="00A140A0">
      <w:pPr>
        <w:spacing w:line="360" w:lineRule="auto"/>
        <w:jc w:val="right"/>
        <w:rPr>
          <w:rFonts w:ascii="Arial" w:hAnsi="Arial" w:cs="Arial"/>
          <w:szCs w:val="24"/>
        </w:rPr>
      </w:pPr>
      <w:r w:rsidRPr="00A44543">
        <w:rPr>
          <w:rFonts w:ascii="Arial" w:hAnsi="Arial" w:cs="Arial"/>
          <w:b/>
          <w:bCs/>
          <w:szCs w:val="24"/>
        </w:rPr>
        <w:t xml:space="preserve">CASE NO: </w:t>
      </w:r>
      <w:r w:rsidR="004C0C0F">
        <w:rPr>
          <w:rFonts w:ascii="Arial" w:hAnsi="Arial" w:cs="Arial"/>
          <w:b/>
          <w:bCs/>
          <w:szCs w:val="24"/>
        </w:rPr>
        <w:t>8800/2021P</w:t>
      </w:r>
    </w:p>
    <w:p w14:paraId="600B59CE" w14:textId="77777777" w:rsidR="00CD1A82" w:rsidRPr="00A44543" w:rsidRDefault="00CD1A82" w:rsidP="00A140A0">
      <w:pPr>
        <w:pBdr>
          <w:bottom w:val="single" w:sz="12" w:space="1" w:color="auto"/>
        </w:pBdr>
        <w:tabs>
          <w:tab w:val="right" w:pos="8505"/>
        </w:tabs>
        <w:spacing w:line="360" w:lineRule="auto"/>
        <w:jc w:val="both"/>
        <w:rPr>
          <w:rFonts w:ascii="Arial" w:hAnsi="Arial" w:cs="Arial"/>
          <w:bCs/>
          <w:szCs w:val="24"/>
        </w:rPr>
      </w:pPr>
      <w:r w:rsidRPr="00A44543">
        <w:rPr>
          <w:rFonts w:ascii="Arial" w:hAnsi="Arial" w:cs="Arial"/>
          <w:bCs/>
          <w:szCs w:val="24"/>
        </w:rPr>
        <w:t>In the matter between:</w:t>
      </w:r>
    </w:p>
    <w:p w14:paraId="2E810D9A" w14:textId="77777777" w:rsidR="00CD1A82" w:rsidRPr="00A44543" w:rsidRDefault="00CD1A82" w:rsidP="00A140A0">
      <w:pPr>
        <w:pBdr>
          <w:bottom w:val="single" w:sz="12" w:space="1" w:color="auto"/>
        </w:pBdr>
        <w:tabs>
          <w:tab w:val="right" w:pos="8505"/>
        </w:tabs>
        <w:spacing w:line="360" w:lineRule="auto"/>
        <w:jc w:val="both"/>
        <w:rPr>
          <w:rFonts w:ascii="Arial" w:hAnsi="Arial" w:cs="Arial"/>
          <w:b/>
          <w:bCs/>
          <w:szCs w:val="24"/>
        </w:rPr>
      </w:pPr>
    </w:p>
    <w:p w14:paraId="27F397A7" w14:textId="77777777" w:rsidR="00CD1A82" w:rsidRPr="00A44543" w:rsidRDefault="004C0C0F" w:rsidP="00A140A0">
      <w:pPr>
        <w:pBdr>
          <w:bottom w:val="single" w:sz="12" w:space="1" w:color="auto"/>
        </w:pBdr>
        <w:tabs>
          <w:tab w:val="right" w:pos="8505"/>
        </w:tabs>
        <w:spacing w:line="360" w:lineRule="auto"/>
        <w:jc w:val="both"/>
        <w:rPr>
          <w:rFonts w:ascii="Arial" w:hAnsi="Arial" w:cs="Arial"/>
          <w:bCs/>
          <w:szCs w:val="24"/>
        </w:rPr>
      </w:pPr>
      <w:r>
        <w:rPr>
          <w:rFonts w:ascii="Arial" w:hAnsi="Arial" w:cs="Arial"/>
          <w:b/>
          <w:bCs/>
          <w:szCs w:val="24"/>
        </w:rPr>
        <w:t>VENATOR AFRICA (PTY) LIMITED</w:t>
      </w:r>
      <w:r w:rsidR="00CD1A82" w:rsidRPr="00A44543">
        <w:rPr>
          <w:rFonts w:ascii="Arial" w:hAnsi="Arial" w:cs="Arial"/>
          <w:b/>
          <w:bCs/>
          <w:szCs w:val="24"/>
        </w:rPr>
        <w:tab/>
      </w:r>
      <w:r>
        <w:rPr>
          <w:rFonts w:ascii="Arial" w:hAnsi="Arial" w:cs="Arial"/>
          <w:b/>
          <w:bCs/>
          <w:szCs w:val="24"/>
        </w:rPr>
        <w:t>PLAINTIFF</w:t>
      </w:r>
    </w:p>
    <w:p w14:paraId="470D98D1" w14:textId="77777777" w:rsidR="00994E75" w:rsidRPr="00A44543" w:rsidRDefault="00994E75" w:rsidP="00A140A0">
      <w:pPr>
        <w:pBdr>
          <w:bottom w:val="single" w:sz="12" w:space="1" w:color="auto"/>
        </w:pBdr>
        <w:tabs>
          <w:tab w:val="right" w:pos="8505"/>
        </w:tabs>
        <w:spacing w:line="360" w:lineRule="auto"/>
        <w:jc w:val="both"/>
        <w:rPr>
          <w:rFonts w:ascii="Arial" w:hAnsi="Arial" w:cs="Arial"/>
          <w:szCs w:val="24"/>
        </w:rPr>
      </w:pPr>
    </w:p>
    <w:p w14:paraId="6FAC57C6" w14:textId="77777777" w:rsidR="00CD1A82" w:rsidRPr="00A44543" w:rsidRDefault="00CD1A82" w:rsidP="00A140A0">
      <w:pPr>
        <w:pBdr>
          <w:bottom w:val="single" w:sz="12" w:space="1" w:color="auto"/>
        </w:pBdr>
        <w:tabs>
          <w:tab w:val="right" w:pos="8505"/>
        </w:tabs>
        <w:spacing w:line="360" w:lineRule="auto"/>
        <w:jc w:val="both"/>
        <w:rPr>
          <w:rFonts w:ascii="Arial" w:hAnsi="Arial" w:cs="Arial"/>
          <w:szCs w:val="24"/>
        </w:rPr>
      </w:pPr>
      <w:r w:rsidRPr="00A44543">
        <w:rPr>
          <w:rFonts w:ascii="Arial" w:hAnsi="Arial" w:cs="Arial"/>
          <w:szCs w:val="24"/>
        </w:rPr>
        <w:t>and</w:t>
      </w:r>
    </w:p>
    <w:p w14:paraId="41B03C91" w14:textId="77777777" w:rsidR="00CD1A82" w:rsidRPr="00A44543" w:rsidRDefault="00CD1A82" w:rsidP="00A140A0">
      <w:pPr>
        <w:pBdr>
          <w:bottom w:val="single" w:sz="12" w:space="1" w:color="auto"/>
        </w:pBdr>
        <w:tabs>
          <w:tab w:val="right" w:pos="8505"/>
        </w:tabs>
        <w:spacing w:line="360" w:lineRule="auto"/>
        <w:jc w:val="both"/>
        <w:rPr>
          <w:rFonts w:ascii="Arial" w:hAnsi="Arial" w:cs="Arial"/>
          <w:b/>
          <w:bCs/>
          <w:szCs w:val="24"/>
        </w:rPr>
      </w:pPr>
    </w:p>
    <w:p w14:paraId="21106769" w14:textId="77777777" w:rsidR="00CD1A82" w:rsidRDefault="004C0C0F" w:rsidP="00A140A0">
      <w:pPr>
        <w:pBdr>
          <w:bottom w:val="single" w:sz="12" w:space="1" w:color="auto"/>
        </w:pBdr>
        <w:tabs>
          <w:tab w:val="right" w:pos="8505"/>
        </w:tabs>
        <w:spacing w:line="360" w:lineRule="auto"/>
        <w:jc w:val="both"/>
        <w:rPr>
          <w:rFonts w:ascii="Arial" w:hAnsi="Arial" w:cs="Arial"/>
          <w:b/>
          <w:bCs/>
          <w:szCs w:val="24"/>
        </w:rPr>
      </w:pPr>
      <w:r>
        <w:rPr>
          <w:rFonts w:ascii="Arial" w:hAnsi="Arial" w:cs="Arial"/>
          <w:b/>
        </w:rPr>
        <w:t>MARTIN BEKKER</w:t>
      </w:r>
      <w:r w:rsidR="00CD1A82" w:rsidRPr="00A44543">
        <w:rPr>
          <w:rFonts w:ascii="Arial" w:hAnsi="Arial" w:cs="Arial"/>
          <w:b/>
          <w:bCs/>
          <w:szCs w:val="24"/>
        </w:rPr>
        <w:tab/>
      </w:r>
      <w:r>
        <w:rPr>
          <w:rFonts w:ascii="Arial" w:hAnsi="Arial" w:cs="Arial"/>
          <w:b/>
          <w:bCs/>
          <w:szCs w:val="24"/>
        </w:rPr>
        <w:t>FIRST DEFENDANT</w:t>
      </w:r>
      <w:r w:rsidR="00994E75" w:rsidRPr="00A44543">
        <w:rPr>
          <w:rFonts w:ascii="Arial" w:hAnsi="Arial" w:cs="Arial"/>
          <w:b/>
          <w:bCs/>
          <w:szCs w:val="24"/>
        </w:rPr>
        <w:t xml:space="preserve"> </w:t>
      </w:r>
    </w:p>
    <w:p w14:paraId="0D5BEDBB" w14:textId="77777777" w:rsidR="004C0C0F" w:rsidRDefault="004C0C0F" w:rsidP="00A140A0">
      <w:pPr>
        <w:pBdr>
          <w:bottom w:val="single" w:sz="12" w:space="1" w:color="auto"/>
        </w:pBdr>
        <w:tabs>
          <w:tab w:val="right" w:pos="8505"/>
        </w:tabs>
        <w:spacing w:line="360" w:lineRule="auto"/>
        <w:jc w:val="both"/>
        <w:rPr>
          <w:rFonts w:ascii="Arial" w:hAnsi="Arial" w:cs="Arial"/>
          <w:b/>
          <w:bCs/>
          <w:szCs w:val="24"/>
        </w:rPr>
      </w:pPr>
      <w:r>
        <w:rPr>
          <w:rFonts w:ascii="Arial" w:hAnsi="Arial" w:cs="Arial"/>
          <w:b/>
        </w:rPr>
        <w:t>LLOYD MASON WATTS</w:t>
      </w:r>
      <w:r w:rsidRPr="00A44543">
        <w:rPr>
          <w:rFonts w:ascii="Arial" w:hAnsi="Arial" w:cs="Arial"/>
          <w:b/>
          <w:bCs/>
          <w:szCs w:val="24"/>
        </w:rPr>
        <w:tab/>
      </w:r>
      <w:r>
        <w:rPr>
          <w:rFonts w:ascii="Arial" w:hAnsi="Arial" w:cs="Arial"/>
          <w:b/>
          <w:bCs/>
          <w:szCs w:val="24"/>
        </w:rPr>
        <w:t>SECOND DEFENDANT</w:t>
      </w:r>
      <w:r w:rsidRPr="00A44543">
        <w:rPr>
          <w:rFonts w:ascii="Arial" w:hAnsi="Arial" w:cs="Arial"/>
          <w:b/>
          <w:bCs/>
          <w:szCs w:val="24"/>
        </w:rPr>
        <w:t xml:space="preserve"> </w:t>
      </w:r>
    </w:p>
    <w:p w14:paraId="1ABBD675" w14:textId="77777777" w:rsidR="00B34884" w:rsidRPr="00A44543" w:rsidRDefault="00B34884" w:rsidP="00A140A0">
      <w:pPr>
        <w:pBdr>
          <w:bottom w:val="single" w:sz="12" w:space="1" w:color="auto"/>
        </w:pBdr>
        <w:spacing w:line="360" w:lineRule="auto"/>
        <w:jc w:val="both"/>
        <w:rPr>
          <w:rFonts w:ascii="Arial" w:hAnsi="Arial" w:cs="Arial"/>
          <w:b/>
          <w:szCs w:val="24"/>
        </w:rPr>
      </w:pPr>
    </w:p>
    <w:p w14:paraId="331F10D5" w14:textId="77777777" w:rsidR="00B34884" w:rsidRPr="00A44543" w:rsidRDefault="00B34884" w:rsidP="00A140A0">
      <w:pPr>
        <w:spacing w:line="360" w:lineRule="auto"/>
        <w:jc w:val="both"/>
        <w:rPr>
          <w:rFonts w:ascii="Arial" w:hAnsi="Arial" w:cs="Arial"/>
          <w:b/>
          <w:szCs w:val="24"/>
        </w:rPr>
      </w:pPr>
    </w:p>
    <w:p w14:paraId="49D59C69" w14:textId="77777777" w:rsidR="00B34884" w:rsidRPr="00A44543" w:rsidRDefault="00B34884" w:rsidP="00A140A0">
      <w:pPr>
        <w:spacing w:line="360" w:lineRule="auto"/>
        <w:jc w:val="center"/>
        <w:rPr>
          <w:rFonts w:ascii="Arial" w:hAnsi="Arial" w:cs="Arial"/>
          <w:b/>
          <w:szCs w:val="24"/>
        </w:rPr>
      </w:pPr>
      <w:r w:rsidRPr="00A44543">
        <w:rPr>
          <w:rFonts w:ascii="Arial" w:hAnsi="Arial" w:cs="Arial"/>
          <w:b/>
          <w:szCs w:val="24"/>
        </w:rPr>
        <w:t>ORDER</w:t>
      </w:r>
    </w:p>
    <w:p w14:paraId="22DE4A9A" w14:textId="77777777" w:rsidR="00B34884" w:rsidRPr="00A44543" w:rsidRDefault="00B34884" w:rsidP="00A140A0">
      <w:pPr>
        <w:pBdr>
          <w:bottom w:val="single" w:sz="12" w:space="1" w:color="auto"/>
        </w:pBdr>
        <w:tabs>
          <w:tab w:val="right" w:pos="8505"/>
        </w:tabs>
        <w:spacing w:line="360" w:lineRule="auto"/>
        <w:rPr>
          <w:rFonts w:ascii="Arial" w:hAnsi="Arial" w:cs="Arial"/>
          <w:b/>
          <w:bCs/>
          <w:szCs w:val="24"/>
        </w:rPr>
      </w:pPr>
    </w:p>
    <w:p w14:paraId="44E0C359" w14:textId="08051859" w:rsidR="00BD1D1C" w:rsidRDefault="00BD1D1C" w:rsidP="00A140A0">
      <w:pPr>
        <w:spacing w:line="360" w:lineRule="auto"/>
        <w:rPr>
          <w:rFonts w:ascii="Arial" w:hAnsi="Arial" w:cs="Arial"/>
          <w:szCs w:val="24"/>
        </w:rPr>
      </w:pPr>
    </w:p>
    <w:p w14:paraId="4683BA51" w14:textId="3B15D74C" w:rsidR="00A713E5" w:rsidRPr="00A44543" w:rsidRDefault="00A713E5" w:rsidP="00A140A0">
      <w:pPr>
        <w:spacing w:line="360" w:lineRule="auto"/>
        <w:rPr>
          <w:rFonts w:ascii="Arial" w:hAnsi="Arial" w:cs="Arial"/>
          <w:szCs w:val="24"/>
        </w:rPr>
      </w:pPr>
      <w:r>
        <w:rPr>
          <w:rFonts w:ascii="Arial" w:hAnsi="Arial" w:cs="Arial"/>
          <w:szCs w:val="24"/>
        </w:rPr>
        <w:t>The following order is granted:</w:t>
      </w:r>
    </w:p>
    <w:p w14:paraId="58219F6B" w14:textId="77777777" w:rsidR="00A713E5" w:rsidRDefault="00A713E5" w:rsidP="00A713E5">
      <w:pPr>
        <w:pStyle w:val="ListParagraph"/>
        <w:numPr>
          <w:ilvl w:val="0"/>
          <w:numId w:val="12"/>
        </w:numPr>
        <w:spacing w:line="360" w:lineRule="auto"/>
        <w:ind w:left="0" w:firstLine="0"/>
        <w:contextualSpacing/>
        <w:mirrorIndents/>
        <w:jc w:val="both"/>
        <w:rPr>
          <w:rFonts w:ascii="Arial" w:hAnsi="Arial"/>
        </w:rPr>
      </w:pPr>
      <w:r>
        <w:rPr>
          <w:rFonts w:ascii="Arial" w:hAnsi="Arial"/>
        </w:rPr>
        <w:t>The second defendant’s first exception dated 4 November 2021 is upheld, with costs</w:t>
      </w:r>
      <w:r w:rsidRPr="005B4E7A">
        <w:rPr>
          <w:rFonts w:ascii="Arial" w:hAnsi="Arial"/>
        </w:rPr>
        <w:t>.</w:t>
      </w:r>
    </w:p>
    <w:p w14:paraId="1CEDA603" w14:textId="77777777" w:rsidR="00A713E5" w:rsidRDefault="00A713E5" w:rsidP="00A713E5">
      <w:pPr>
        <w:pStyle w:val="ListParagraph"/>
        <w:numPr>
          <w:ilvl w:val="0"/>
          <w:numId w:val="12"/>
        </w:numPr>
        <w:spacing w:line="360" w:lineRule="auto"/>
        <w:ind w:left="0" w:firstLine="0"/>
        <w:contextualSpacing/>
        <w:mirrorIndents/>
        <w:jc w:val="both"/>
        <w:rPr>
          <w:rFonts w:ascii="Arial" w:hAnsi="Arial"/>
        </w:rPr>
      </w:pPr>
      <w:r>
        <w:rPr>
          <w:rFonts w:ascii="Arial" w:hAnsi="Arial"/>
        </w:rPr>
        <w:t xml:space="preserve">The plaintiff’s particulars of claim are set aside. </w:t>
      </w:r>
    </w:p>
    <w:p w14:paraId="64068845" w14:textId="77777777" w:rsidR="00A713E5" w:rsidRPr="005B4E7A" w:rsidRDefault="00A713E5" w:rsidP="00A713E5">
      <w:pPr>
        <w:pStyle w:val="ListParagraph"/>
        <w:numPr>
          <w:ilvl w:val="0"/>
          <w:numId w:val="12"/>
        </w:numPr>
        <w:spacing w:line="360" w:lineRule="auto"/>
        <w:ind w:left="0" w:firstLine="0"/>
        <w:contextualSpacing/>
        <w:mirrorIndents/>
        <w:jc w:val="both"/>
        <w:rPr>
          <w:rFonts w:ascii="Arial" w:hAnsi="Arial"/>
        </w:rPr>
      </w:pPr>
      <w:r>
        <w:rPr>
          <w:rFonts w:ascii="Arial" w:hAnsi="Arial"/>
        </w:rPr>
        <w:t>The plaintiff is granted leave, if so advised, to file amended particulars of claim within ten days from the date of the granting of this order</w:t>
      </w:r>
      <w:r w:rsidRPr="005B4E7A">
        <w:rPr>
          <w:rFonts w:ascii="Arial" w:hAnsi="Arial"/>
        </w:rPr>
        <w:t>.</w:t>
      </w:r>
    </w:p>
    <w:p w14:paraId="38CF096A" w14:textId="77777777" w:rsidR="00AC798B" w:rsidRPr="00A44543" w:rsidRDefault="00AC798B" w:rsidP="00A140A0">
      <w:pPr>
        <w:pStyle w:val="ListParagraph"/>
        <w:spacing w:line="360" w:lineRule="auto"/>
        <w:rPr>
          <w:rFonts w:ascii="Arial" w:hAnsi="Arial"/>
          <w:sz w:val="6"/>
          <w:szCs w:val="6"/>
        </w:rPr>
      </w:pPr>
    </w:p>
    <w:p w14:paraId="79A8F581" w14:textId="77777777" w:rsidR="00EB0BCB" w:rsidRPr="00A44543" w:rsidRDefault="00EB0BCB" w:rsidP="00A140A0">
      <w:pPr>
        <w:pBdr>
          <w:bottom w:val="single" w:sz="12" w:space="1" w:color="auto"/>
        </w:pBdr>
        <w:spacing w:line="360" w:lineRule="auto"/>
        <w:rPr>
          <w:rFonts w:ascii="Arial" w:hAnsi="Arial" w:cs="Arial"/>
          <w:szCs w:val="24"/>
        </w:rPr>
      </w:pPr>
    </w:p>
    <w:p w14:paraId="61DF5970" w14:textId="77777777" w:rsidR="00B34884" w:rsidRPr="00A44543" w:rsidRDefault="00B34884" w:rsidP="00A140A0">
      <w:pPr>
        <w:spacing w:line="360" w:lineRule="auto"/>
        <w:rPr>
          <w:rFonts w:ascii="Arial" w:hAnsi="Arial" w:cs="Arial"/>
          <w:szCs w:val="24"/>
        </w:rPr>
      </w:pPr>
    </w:p>
    <w:p w14:paraId="5076F607" w14:textId="77777777" w:rsidR="00B34884" w:rsidRPr="00A44543" w:rsidRDefault="00B34884" w:rsidP="00A140A0">
      <w:pPr>
        <w:spacing w:line="360" w:lineRule="auto"/>
        <w:jc w:val="center"/>
        <w:rPr>
          <w:rFonts w:ascii="Arial" w:hAnsi="Arial" w:cs="Arial"/>
          <w:b/>
          <w:szCs w:val="24"/>
        </w:rPr>
      </w:pPr>
      <w:r w:rsidRPr="00A44543">
        <w:rPr>
          <w:rFonts w:ascii="Arial" w:hAnsi="Arial" w:cs="Arial"/>
          <w:b/>
          <w:szCs w:val="24"/>
        </w:rPr>
        <w:t>JUDGMENT</w:t>
      </w:r>
    </w:p>
    <w:p w14:paraId="7EC94A4C" w14:textId="77777777" w:rsidR="00B34884" w:rsidRPr="00A44543" w:rsidRDefault="00B34884" w:rsidP="00A140A0">
      <w:pPr>
        <w:pBdr>
          <w:bottom w:val="single" w:sz="12" w:space="1" w:color="auto"/>
        </w:pBdr>
        <w:spacing w:line="360" w:lineRule="auto"/>
        <w:rPr>
          <w:rFonts w:ascii="Arial" w:hAnsi="Arial" w:cs="Arial"/>
          <w:szCs w:val="24"/>
        </w:rPr>
      </w:pPr>
    </w:p>
    <w:p w14:paraId="0B344B0F" w14:textId="77777777" w:rsidR="005E4ED3" w:rsidRPr="00A44543" w:rsidRDefault="005E4ED3" w:rsidP="00A140A0">
      <w:pPr>
        <w:spacing w:line="360" w:lineRule="auto"/>
        <w:rPr>
          <w:rFonts w:ascii="Arial" w:hAnsi="Arial" w:cs="Arial"/>
          <w:b/>
          <w:szCs w:val="24"/>
        </w:rPr>
      </w:pPr>
    </w:p>
    <w:p w14:paraId="70304541" w14:textId="77777777" w:rsidR="005E4ED3" w:rsidRPr="00A44543" w:rsidRDefault="005E4ED3" w:rsidP="00A140A0">
      <w:pPr>
        <w:spacing w:line="360" w:lineRule="auto"/>
        <w:rPr>
          <w:rFonts w:ascii="Arial" w:hAnsi="Arial" w:cs="Arial"/>
          <w:b/>
          <w:szCs w:val="24"/>
        </w:rPr>
      </w:pPr>
      <w:r w:rsidRPr="00A44543">
        <w:rPr>
          <w:rFonts w:ascii="Arial" w:hAnsi="Arial" w:cs="Arial"/>
          <w:b/>
          <w:szCs w:val="24"/>
        </w:rPr>
        <w:lastRenderedPageBreak/>
        <w:t xml:space="preserve">BEZUIDENHOUT AJ </w:t>
      </w:r>
    </w:p>
    <w:p w14:paraId="06DDC168" w14:textId="77777777" w:rsidR="00B34884" w:rsidRPr="00A44543" w:rsidRDefault="00B34884" w:rsidP="002238E7">
      <w:pPr>
        <w:spacing w:line="360" w:lineRule="auto"/>
        <w:contextualSpacing/>
        <w:rPr>
          <w:rFonts w:ascii="Arial" w:hAnsi="Arial" w:cs="Arial"/>
          <w:szCs w:val="24"/>
        </w:rPr>
      </w:pPr>
    </w:p>
    <w:p w14:paraId="045170C0" w14:textId="77777777" w:rsidR="00532391" w:rsidRPr="00E473AC" w:rsidRDefault="00E473AC" w:rsidP="002238E7">
      <w:pPr>
        <w:spacing w:line="360" w:lineRule="auto"/>
        <w:contextualSpacing/>
        <w:rPr>
          <w:rFonts w:ascii="Arial" w:hAnsi="Arial" w:cs="Arial"/>
          <w:b/>
          <w:szCs w:val="24"/>
        </w:rPr>
      </w:pPr>
      <w:r w:rsidRPr="00E473AC">
        <w:rPr>
          <w:rFonts w:ascii="Arial" w:hAnsi="Arial" w:cs="Arial"/>
          <w:b/>
          <w:szCs w:val="24"/>
        </w:rPr>
        <w:t>Introduction</w:t>
      </w:r>
    </w:p>
    <w:p w14:paraId="435F318B" w14:textId="4F8D669D" w:rsidR="00EB0BCB" w:rsidRDefault="00EB0BCB" w:rsidP="002238E7">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The plaintiff, Venator Africa (Pty) Limited, issued summons against the first defendant, </w:t>
      </w:r>
      <w:r w:rsidR="0038253F">
        <w:rPr>
          <w:rFonts w:ascii="Arial" w:hAnsi="Arial"/>
        </w:rPr>
        <w:t xml:space="preserve">Mr </w:t>
      </w:r>
      <w:r>
        <w:rPr>
          <w:rFonts w:ascii="Arial" w:hAnsi="Arial"/>
        </w:rPr>
        <w:t>Martin Bekker</w:t>
      </w:r>
      <w:r w:rsidR="0038253F">
        <w:rPr>
          <w:rFonts w:ascii="Arial" w:hAnsi="Arial"/>
        </w:rPr>
        <w:t>,</w:t>
      </w:r>
      <w:r>
        <w:rPr>
          <w:rFonts w:ascii="Arial" w:hAnsi="Arial"/>
        </w:rPr>
        <w:t xml:space="preserve"> and the second defendant</w:t>
      </w:r>
      <w:r w:rsidR="0038253F">
        <w:rPr>
          <w:rFonts w:ascii="Arial" w:hAnsi="Arial"/>
        </w:rPr>
        <w:t>,</w:t>
      </w:r>
      <w:r>
        <w:rPr>
          <w:rFonts w:ascii="Arial" w:hAnsi="Arial"/>
        </w:rPr>
        <w:t xml:space="preserve"> </w:t>
      </w:r>
      <w:r w:rsidR="0038253F">
        <w:rPr>
          <w:rFonts w:ascii="Arial" w:hAnsi="Arial"/>
        </w:rPr>
        <w:t xml:space="preserve">Mr </w:t>
      </w:r>
      <w:r>
        <w:rPr>
          <w:rFonts w:ascii="Arial" w:hAnsi="Arial"/>
        </w:rPr>
        <w:t>Lloyd Mason Watts</w:t>
      </w:r>
      <w:r w:rsidR="0038253F">
        <w:rPr>
          <w:rFonts w:ascii="Arial" w:hAnsi="Arial"/>
        </w:rPr>
        <w:t>,</w:t>
      </w:r>
      <w:r>
        <w:rPr>
          <w:rFonts w:ascii="Arial" w:hAnsi="Arial"/>
        </w:rPr>
        <w:t xml:space="preserve"> on 8</w:t>
      </w:r>
      <w:r w:rsidR="00AC51C6">
        <w:rPr>
          <w:rFonts w:ascii="Arial" w:hAnsi="Arial"/>
        </w:rPr>
        <w:t> </w:t>
      </w:r>
      <w:r>
        <w:rPr>
          <w:rFonts w:ascii="Arial" w:hAnsi="Arial"/>
        </w:rPr>
        <w:t xml:space="preserve">October 2021, claiming payment in the sum of R41 407 220 against the two defendants, jointly and severally, the one paying the other to be absolved. </w:t>
      </w:r>
    </w:p>
    <w:p w14:paraId="35FC7963" w14:textId="77777777" w:rsidR="00E34CEA" w:rsidRPr="00A44543" w:rsidRDefault="00E34CEA" w:rsidP="002238E7">
      <w:pPr>
        <w:pStyle w:val="ListParagraph"/>
        <w:spacing w:line="360" w:lineRule="auto"/>
        <w:ind w:left="0" w:firstLine="0"/>
        <w:contextualSpacing/>
        <w:mirrorIndents/>
        <w:jc w:val="both"/>
        <w:rPr>
          <w:rFonts w:ascii="Arial" w:hAnsi="Arial"/>
        </w:rPr>
      </w:pPr>
    </w:p>
    <w:p w14:paraId="31C9A747" w14:textId="77777777" w:rsidR="00EB0BCB" w:rsidRDefault="00E34CEA" w:rsidP="002238E7">
      <w:pPr>
        <w:pStyle w:val="ListParagraph"/>
        <w:numPr>
          <w:ilvl w:val="0"/>
          <w:numId w:val="7"/>
        </w:numPr>
        <w:spacing w:line="360" w:lineRule="auto"/>
        <w:ind w:left="0" w:firstLine="0"/>
        <w:contextualSpacing/>
        <w:mirrorIndents/>
        <w:jc w:val="both"/>
        <w:rPr>
          <w:rFonts w:ascii="Arial" w:hAnsi="Arial"/>
        </w:rPr>
      </w:pPr>
      <w:r w:rsidRPr="00A44543">
        <w:rPr>
          <w:rFonts w:ascii="Arial" w:hAnsi="Arial"/>
        </w:rPr>
        <w:t xml:space="preserve">The </w:t>
      </w:r>
      <w:r w:rsidR="00EB0BCB">
        <w:rPr>
          <w:rFonts w:ascii="Arial" w:hAnsi="Arial"/>
        </w:rPr>
        <w:t>first defendant filed a plea on or about 18 February 2022. The second defendant filed his first exception on 4 November 2021</w:t>
      </w:r>
      <w:r w:rsidR="00E32C67">
        <w:rPr>
          <w:rFonts w:ascii="Arial" w:hAnsi="Arial"/>
        </w:rPr>
        <w:t>,</w:t>
      </w:r>
      <w:r w:rsidR="00EB0BCB">
        <w:rPr>
          <w:rFonts w:ascii="Arial" w:hAnsi="Arial"/>
        </w:rPr>
        <w:t xml:space="preserve"> and his second exception on 29 November 2021.</w:t>
      </w:r>
      <w:r w:rsidR="00AA39C4">
        <w:rPr>
          <w:rFonts w:ascii="Arial" w:hAnsi="Arial"/>
        </w:rPr>
        <w:t xml:space="preserve"> It is these two exceptions which came before me as an opposed motion. </w:t>
      </w:r>
    </w:p>
    <w:p w14:paraId="2023203E" w14:textId="77777777" w:rsidR="00AA39C4" w:rsidRPr="00AA39C4" w:rsidRDefault="00AA39C4" w:rsidP="002238E7">
      <w:pPr>
        <w:pStyle w:val="ListParagraph"/>
        <w:spacing w:line="360" w:lineRule="auto"/>
        <w:contextualSpacing/>
        <w:rPr>
          <w:rFonts w:ascii="Arial" w:hAnsi="Arial"/>
        </w:rPr>
      </w:pPr>
    </w:p>
    <w:p w14:paraId="7E98AF01" w14:textId="77777777" w:rsidR="00AA39C4" w:rsidRDefault="00AA39C4" w:rsidP="002238E7">
      <w:pPr>
        <w:pStyle w:val="ListParagraph"/>
        <w:numPr>
          <w:ilvl w:val="0"/>
          <w:numId w:val="7"/>
        </w:numPr>
        <w:spacing w:line="360" w:lineRule="auto"/>
        <w:ind w:left="0" w:firstLine="0"/>
        <w:contextualSpacing/>
        <w:mirrorIndents/>
        <w:jc w:val="both"/>
        <w:rPr>
          <w:rFonts w:ascii="Arial" w:hAnsi="Arial"/>
        </w:rPr>
      </w:pPr>
      <w:r>
        <w:rPr>
          <w:rFonts w:ascii="Arial" w:hAnsi="Arial"/>
        </w:rPr>
        <w:t>The first exception is taken on the basis that the particulars of claim fail to disclose a cause of action. In the second exception</w:t>
      </w:r>
      <w:r w:rsidR="00E32C67">
        <w:rPr>
          <w:rFonts w:ascii="Arial" w:hAnsi="Arial"/>
        </w:rPr>
        <w:t>,</w:t>
      </w:r>
      <w:r>
        <w:rPr>
          <w:rFonts w:ascii="Arial" w:hAnsi="Arial"/>
        </w:rPr>
        <w:t xml:space="preserve"> it is contended that the particulars of claim are vague and embarrassing. </w:t>
      </w:r>
    </w:p>
    <w:p w14:paraId="427EBA51" w14:textId="77777777" w:rsidR="00AA39C4" w:rsidRDefault="00AA39C4" w:rsidP="002238E7">
      <w:pPr>
        <w:spacing w:line="360" w:lineRule="auto"/>
        <w:contextualSpacing/>
        <w:rPr>
          <w:rFonts w:ascii="Arial" w:hAnsi="Arial"/>
          <w:b/>
          <w:u w:val="single"/>
        </w:rPr>
      </w:pPr>
    </w:p>
    <w:p w14:paraId="12BE8022" w14:textId="77777777" w:rsidR="00AA39C4" w:rsidRPr="00E473AC" w:rsidRDefault="00E473AC" w:rsidP="002238E7">
      <w:pPr>
        <w:spacing w:line="360" w:lineRule="auto"/>
        <w:contextualSpacing/>
        <w:rPr>
          <w:rFonts w:ascii="Arial" w:hAnsi="Arial"/>
          <w:b/>
        </w:rPr>
      </w:pPr>
      <w:r w:rsidRPr="00E473AC">
        <w:rPr>
          <w:rFonts w:ascii="Arial" w:hAnsi="Arial"/>
          <w:b/>
        </w:rPr>
        <w:t>The plaintiff’s claim</w:t>
      </w:r>
    </w:p>
    <w:p w14:paraId="31464F80" w14:textId="54A47A44" w:rsidR="00AA39C4" w:rsidRDefault="00AA39C4" w:rsidP="002238E7">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It is pleaded in paras 4 and 6 </w:t>
      </w:r>
      <w:r w:rsidR="00E32C67">
        <w:rPr>
          <w:rFonts w:ascii="Arial" w:hAnsi="Arial"/>
        </w:rPr>
        <w:t xml:space="preserve">of the particulars of claim </w:t>
      </w:r>
      <w:r>
        <w:rPr>
          <w:rFonts w:ascii="Arial" w:hAnsi="Arial"/>
        </w:rPr>
        <w:t>that at all material times</w:t>
      </w:r>
      <w:r w:rsidR="00E32C67">
        <w:rPr>
          <w:rFonts w:ascii="Arial" w:hAnsi="Arial"/>
        </w:rPr>
        <w:t>,</w:t>
      </w:r>
      <w:r>
        <w:rPr>
          <w:rFonts w:ascii="Arial" w:hAnsi="Arial"/>
        </w:rPr>
        <w:t xml:space="preserve"> the defendants were directors of Siyazi Logistics and Trading (Pty) L</w:t>
      </w:r>
      <w:r w:rsidR="00BD1123">
        <w:rPr>
          <w:rFonts w:ascii="Arial" w:hAnsi="Arial"/>
        </w:rPr>
        <w:t>imited (Siyazi</w:t>
      </w:r>
      <w:r w:rsidR="000E61B2">
        <w:rPr>
          <w:rFonts w:ascii="Arial" w:hAnsi="Arial"/>
        </w:rPr>
        <w:t xml:space="preserve">). </w:t>
      </w:r>
      <w:r>
        <w:rPr>
          <w:rFonts w:ascii="Arial" w:hAnsi="Arial"/>
        </w:rPr>
        <w:t xml:space="preserve">Siyazi conducted business as a clearing and forwarding agent. </w:t>
      </w:r>
    </w:p>
    <w:p w14:paraId="7164AF59" w14:textId="77777777" w:rsidR="00AA39C4" w:rsidRDefault="00AA39C4" w:rsidP="002238E7">
      <w:pPr>
        <w:pStyle w:val="ListParagraph"/>
        <w:spacing w:line="360" w:lineRule="auto"/>
        <w:ind w:left="0" w:firstLine="0"/>
        <w:contextualSpacing/>
        <w:mirrorIndents/>
        <w:jc w:val="both"/>
        <w:rPr>
          <w:rFonts w:ascii="Arial" w:hAnsi="Arial"/>
        </w:rPr>
      </w:pPr>
    </w:p>
    <w:p w14:paraId="3EA7DEF8" w14:textId="44F36CBA" w:rsidR="00AA39C4" w:rsidRDefault="00AA39C4" w:rsidP="002238E7">
      <w:pPr>
        <w:pStyle w:val="ListParagraph"/>
        <w:numPr>
          <w:ilvl w:val="0"/>
          <w:numId w:val="7"/>
        </w:numPr>
        <w:spacing w:line="360" w:lineRule="auto"/>
        <w:ind w:left="0" w:firstLine="0"/>
        <w:contextualSpacing/>
        <w:mirrorIndents/>
        <w:jc w:val="both"/>
        <w:rPr>
          <w:rFonts w:ascii="Arial" w:hAnsi="Arial"/>
        </w:rPr>
      </w:pPr>
      <w:r>
        <w:rPr>
          <w:rFonts w:ascii="Arial" w:hAnsi="Arial"/>
        </w:rPr>
        <w:t>It is pleaded in para 7 that during or about 2016, Siyazi contracted with the plaintiff for the performance of clearing and forwarding duties by Si</w:t>
      </w:r>
      <w:r w:rsidR="000E61B2">
        <w:rPr>
          <w:rFonts w:ascii="Arial" w:hAnsi="Arial"/>
        </w:rPr>
        <w:t>yazi on the plaintiff’s behalf.</w:t>
      </w:r>
      <w:r>
        <w:rPr>
          <w:rFonts w:ascii="Arial" w:hAnsi="Arial"/>
        </w:rPr>
        <w:t xml:space="preserve"> It was </w:t>
      </w:r>
      <w:r>
        <w:rPr>
          <w:rFonts w:ascii="Arial" w:hAnsi="Arial"/>
          <w:i/>
        </w:rPr>
        <w:t xml:space="preserve">inter alia </w:t>
      </w:r>
      <w:r w:rsidR="00B23301">
        <w:rPr>
          <w:rFonts w:ascii="Arial" w:hAnsi="Arial"/>
        </w:rPr>
        <w:t>agreed that Siyazi would issue disbursement accounts to the plaintiff</w:t>
      </w:r>
      <w:r w:rsidR="009075C3">
        <w:rPr>
          <w:rFonts w:ascii="Arial" w:hAnsi="Arial"/>
        </w:rPr>
        <w:t>,</w:t>
      </w:r>
      <w:r w:rsidR="00B23301">
        <w:rPr>
          <w:rFonts w:ascii="Arial" w:hAnsi="Arial"/>
        </w:rPr>
        <w:t xml:space="preserve"> which represented the amounts due by the plaintiff to the South A</w:t>
      </w:r>
      <w:r w:rsidR="000E61B2">
        <w:rPr>
          <w:rFonts w:ascii="Arial" w:hAnsi="Arial"/>
        </w:rPr>
        <w:t>frican Revenue Services (SARS).</w:t>
      </w:r>
      <w:r w:rsidR="00B23301">
        <w:rPr>
          <w:rFonts w:ascii="Arial" w:hAnsi="Arial"/>
        </w:rPr>
        <w:t xml:space="preserve"> The plaintiff would pay the amounts reflected on the disbursement accounts to Siyazi</w:t>
      </w:r>
      <w:r w:rsidR="00FC1A10">
        <w:rPr>
          <w:rFonts w:ascii="Arial" w:hAnsi="Arial"/>
        </w:rPr>
        <w:t>,</w:t>
      </w:r>
      <w:r w:rsidR="00B23301">
        <w:rPr>
          <w:rFonts w:ascii="Arial" w:hAnsi="Arial"/>
        </w:rPr>
        <w:t xml:space="preserve"> who in turn would pay the amounts received from </w:t>
      </w:r>
      <w:r w:rsidR="000E61B2">
        <w:rPr>
          <w:rFonts w:ascii="Arial" w:hAnsi="Arial"/>
        </w:rPr>
        <w:t>the plaintiff to SARS.</w:t>
      </w:r>
    </w:p>
    <w:p w14:paraId="4921B0D3" w14:textId="77777777" w:rsidR="00B23301" w:rsidRPr="001335F0" w:rsidRDefault="00B23301" w:rsidP="002238E7">
      <w:pPr>
        <w:spacing w:line="360" w:lineRule="auto"/>
        <w:contextualSpacing/>
        <w:rPr>
          <w:rFonts w:ascii="Arial" w:hAnsi="Arial"/>
        </w:rPr>
      </w:pPr>
    </w:p>
    <w:p w14:paraId="2C897B99" w14:textId="792F9132" w:rsidR="00B23301" w:rsidRDefault="00B23301" w:rsidP="002238E7">
      <w:pPr>
        <w:pStyle w:val="ListParagraph"/>
        <w:numPr>
          <w:ilvl w:val="0"/>
          <w:numId w:val="7"/>
        </w:numPr>
        <w:spacing w:line="360" w:lineRule="auto"/>
        <w:ind w:left="0" w:firstLine="0"/>
        <w:contextualSpacing/>
        <w:mirrorIndents/>
        <w:jc w:val="both"/>
        <w:rPr>
          <w:rFonts w:ascii="Arial" w:hAnsi="Arial"/>
        </w:rPr>
      </w:pPr>
      <w:r>
        <w:rPr>
          <w:rFonts w:ascii="Arial" w:hAnsi="Arial"/>
        </w:rPr>
        <w:t>It is further pleaded in paras 8 to 14 that Siyazi delivered disbursement accounts to the plaintiff totalling R66 395 006</w:t>
      </w:r>
      <w:r w:rsidR="00FC1A10">
        <w:rPr>
          <w:rFonts w:ascii="Arial" w:hAnsi="Arial"/>
        </w:rPr>
        <w:t>.</w:t>
      </w:r>
      <w:r>
        <w:rPr>
          <w:rFonts w:ascii="Arial" w:hAnsi="Arial"/>
        </w:rPr>
        <w:t>27, which the plaintiff paid to Siyazi</w:t>
      </w:r>
      <w:r w:rsidR="00F11F35">
        <w:rPr>
          <w:rFonts w:ascii="Arial" w:hAnsi="Arial"/>
        </w:rPr>
        <w:t xml:space="preserve">. The disbursement accounts constituted a representation by Siyazi to the plaintiff that the amounts reflected were due to SARS by the plaintiff. It is the plaintiff’s case that Siyazi </w:t>
      </w:r>
      <w:r w:rsidR="00F11F35">
        <w:rPr>
          <w:rFonts w:ascii="Arial" w:hAnsi="Arial"/>
        </w:rPr>
        <w:lastRenderedPageBreak/>
        <w:t>only paid R31</w:t>
      </w:r>
      <w:r w:rsidR="00261B3D">
        <w:rPr>
          <w:rFonts w:ascii="Arial" w:hAnsi="Arial"/>
        </w:rPr>
        <w:t xml:space="preserve"> 353 697</w:t>
      </w:r>
      <w:r w:rsidR="00FC1A10">
        <w:rPr>
          <w:rFonts w:ascii="Arial" w:hAnsi="Arial"/>
        </w:rPr>
        <w:t>.</w:t>
      </w:r>
      <w:r w:rsidR="00261B3D">
        <w:rPr>
          <w:rFonts w:ascii="Arial" w:hAnsi="Arial"/>
        </w:rPr>
        <w:t>27 over to SARS</w:t>
      </w:r>
      <w:r w:rsidR="009075C3">
        <w:rPr>
          <w:rFonts w:ascii="Arial" w:hAnsi="Arial"/>
        </w:rPr>
        <w:t>,</w:t>
      </w:r>
      <w:r w:rsidR="00261B3D">
        <w:rPr>
          <w:rFonts w:ascii="Arial" w:hAnsi="Arial"/>
        </w:rPr>
        <w:t xml:space="preserve"> which resulted in SARS raising assessments against the plaintiff for VAT due in the amount of R</w:t>
      </w:r>
      <w:r w:rsidR="009757DA">
        <w:rPr>
          <w:rFonts w:ascii="Arial" w:hAnsi="Arial"/>
        </w:rPr>
        <w:t xml:space="preserve">34 630 202 and penalties </w:t>
      </w:r>
      <w:r w:rsidR="000E61B2">
        <w:rPr>
          <w:rFonts w:ascii="Arial" w:hAnsi="Arial"/>
        </w:rPr>
        <w:t>in the amount of R2 143 774.</w:t>
      </w:r>
      <w:r w:rsidR="009757DA">
        <w:rPr>
          <w:rFonts w:ascii="Arial" w:hAnsi="Arial"/>
        </w:rPr>
        <w:t xml:space="preserve"> The plaintiff pleads that it suffered damages totalling R41</w:t>
      </w:r>
      <w:r w:rsidR="00FC1A10">
        <w:rPr>
          <w:rFonts w:ascii="Arial" w:hAnsi="Arial"/>
        </w:rPr>
        <w:t> </w:t>
      </w:r>
      <w:r w:rsidR="009757DA">
        <w:rPr>
          <w:rFonts w:ascii="Arial" w:hAnsi="Arial"/>
        </w:rPr>
        <w:t>407</w:t>
      </w:r>
      <w:r w:rsidR="00FC1A10">
        <w:rPr>
          <w:rFonts w:ascii="Arial" w:hAnsi="Arial"/>
        </w:rPr>
        <w:t> </w:t>
      </w:r>
      <w:r w:rsidR="009757DA">
        <w:rPr>
          <w:rFonts w:ascii="Arial" w:hAnsi="Arial"/>
        </w:rPr>
        <w:t xml:space="preserve">220 due to </w:t>
      </w:r>
      <w:r w:rsidR="000E61B2">
        <w:rPr>
          <w:rFonts w:ascii="Arial" w:hAnsi="Arial"/>
        </w:rPr>
        <w:t>Siyazi’s short payment to SARS.</w:t>
      </w:r>
    </w:p>
    <w:p w14:paraId="31577A78" w14:textId="77777777" w:rsidR="009757DA" w:rsidRPr="001335F0" w:rsidRDefault="009757DA" w:rsidP="002238E7">
      <w:pPr>
        <w:spacing w:line="360" w:lineRule="auto"/>
        <w:contextualSpacing/>
        <w:rPr>
          <w:rFonts w:ascii="Arial" w:hAnsi="Arial"/>
        </w:rPr>
      </w:pPr>
    </w:p>
    <w:p w14:paraId="040217ED" w14:textId="30E2242D" w:rsidR="009757DA" w:rsidRDefault="009757DA" w:rsidP="002238E7">
      <w:pPr>
        <w:pStyle w:val="ListParagraph"/>
        <w:numPr>
          <w:ilvl w:val="0"/>
          <w:numId w:val="7"/>
        </w:numPr>
        <w:spacing w:line="360" w:lineRule="auto"/>
        <w:ind w:left="0" w:firstLine="0"/>
        <w:contextualSpacing/>
        <w:mirrorIndents/>
        <w:jc w:val="both"/>
        <w:rPr>
          <w:rFonts w:ascii="Arial" w:hAnsi="Arial"/>
        </w:rPr>
      </w:pPr>
      <w:r>
        <w:rPr>
          <w:rFonts w:ascii="Arial" w:hAnsi="Arial"/>
        </w:rPr>
        <w:t>The plaintiff pleads further in para 15 that the short payment occurred as a result of fraud and/or theft by Siyazi’s employees and/or the defendant</w:t>
      </w:r>
      <w:r w:rsidR="005B11C8">
        <w:rPr>
          <w:rFonts w:ascii="Arial" w:hAnsi="Arial"/>
        </w:rPr>
        <w:t>s.</w:t>
      </w:r>
    </w:p>
    <w:p w14:paraId="5F5C99C4" w14:textId="77777777" w:rsidR="005B11C8" w:rsidRPr="001335F0" w:rsidRDefault="005B11C8" w:rsidP="002238E7">
      <w:pPr>
        <w:spacing w:line="360" w:lineRule="auto"/>
        <w:contextualSpacing/>
        <w:rPr>
          <w:rFonts w:ascii="Arial" w:hAnsi="Arial"/>
        </w:rPr>
      </w:pPr>
    </w:p>
    <w:p w14:paraId="7E83D6A8" w14:textId="1CE563F6" w:rsidR="005B11C8" w:rsidRDefault="005B11C8" w:rsidP="002238E7">
      <w:pPr>
        <w:pStyle w:val="ListParagraph"/>
        <w:numPr>
          <w:ilvl w:val="0"/>
          <w:numId w:val="7"/>
        </w:numPr>
        <w:spacing w:line="360" w:lineRule="auto"/>
        <w:ind w:left="0" w:firstLine="0"/>
        <w:contextualSpacing/>
        <w:mirrorIndents/>
        <w:jc w:val="both"/>
        <w:rPr>
          <w:rFonts w:ascii="Arial" w:hAnsi="Arial"/>
        </w:rPr>
      </w:pPr>
      <w:r>
        <w:rPr>
          <w:rFonts w:ascii="Arial" w:hAnsi="Arial"/>
        </w:rPr>
        <w:t>With reference to section 22(1) of the Companies Act 71 of 2008 (the Companies Act)</w:t>
      </w:r>
      <w:r w:rsidR="00E6204D">
        <w:rPr>
          <w:rFonts w:ascii="Arial" w:hAnsi="Arial"/>
        </w:rPr>
        <w:t>,</w:t>
      </w:r>
      <w:r>
        <w:rPr>
          <w:rFonts w:ascii="Arial" w:hAnsi="Arial"/>
        </w:rPr>
        <w:t xml:space="preserve"> the plaintiff pleads in paras 16 and 17 that Siyazi was reckless, alternatively grossly negligent, further alternatively that the business </w:t>
      </w:r>
      <w:r w:rsidR="00E6204D">
        <w:rPr>
          <w:rFonts w:ascii="Arial" w:hAnsi="Arial"/>
        </w:rPr>
        <w:t xml:space="preserve">of </w:t>
      </w:r>
      <w:r>
        <w:rPr>
          <w:rFonts w:ascii="Arial" w:hAnsi="Arial"/>
        </w:rPr>
        <w:t>Siyazi was conducted with the intention to defraud the plaintiff or further alternat</w:t>
      </w:r>
      <w:r w:rsidR="000E61B2">
        <w:rPr>
          <w:rFonts w:ascii="Arial" w:hAnsi="Arial"/>
        </w:rPr>
        <w:t>ively for a fraudulent purpose.</w:t>
      </w:r>
      <w:r>
        <w:rPr>
          <w:rFonts w:ascii="Arial" w:hAnsi="Arial"/>
        </w:rPr>
        <w:t xml:space="preserve"> </w:t>
      </w:r>
    </w:p>
    <w:p w14:paraId="22CEDECC" w14:textId="77777777" w:rsidR="00A45C1B" w:rsidRPr="001335F0" w:rsidRDefault="00A45C1B" w:rsidP="002238E7">
      <w:pPr>
        <w:spacing w:line="360" w:lineRule="auto"/>
        <w:contextualSpacing/>
        <w:rPr>
          <w:rFonts w:ascii="Arial" w:hAnsi="Arial"/>
        </w:rPr>
      </w:pPr>
    </w:p>
    <w:p w14:paraId="75460402" w14:textId="549BDB03" w:rsidR="00A45C1B" w:rsidRPr="009C32FB" w:rsidRDefault="00A45C1B" w:rsidP="002238E7">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Section 22 of the Companies Act, </w:t>
      </w:r>
      <w:r w:rsidRPr="00FC1A10">
        <w:rPr>
          <w:rFonts w:ascii="Arial" w:hAnsi="Arial"/>
        </w:rPr>
        <w:t xml:space="preserve">with the heading </w:t>
      </w:r>
      <w:r w:rsidR="00FC1A10" w:rsidRPr="00FC1A10">
        <w:rPr>
          <w:rFonts w:ascii="Arial" w:hAnsi="Arial"/>
        </w:rPr>
        <w:t>‘</w:t>
      </w:r>
      <w:r w:rsidRPr="00F670C8">
        <w:rPr>
          <w:rFonts w:ascii="Arial" w:hAnsi="Arial"/>
        </w:rPr>
        <w:t>Reckless trading prohibited</w:t>
      </w:r>
      <w:r w:rsidR="00FC1A10">
        <w:rPr>
          <w:rFonts w:ascii="Arial" w:hAnsi="Arial"/>
        </w:rPr>
        <w:t>’</w:t>
      </w:r>
      <w:r w:rsidRPr="00FC1A10">
        <w:rPr>
          <w:rFonts w:ascii="Arial" w:hAnsi="Arial"/>
        </w:rPr>
        <w:t>,</w:t>
      </w:r>
      <w:r w:rsidR="00BD1123" w:rsidRPr="00FC1A10">
        <w:rPr>
          <w:rFonts w:ascii="Arial" w:hAnsi="Arial"/>
        </w:rPr>
        <w:t xml:space="preserve"> falls under Chapter 2</w:t>
      </w:r>
      <w:r w:rsidR="009A6E0B">
        <w:rPr>
          <w:rFonts w:ascii="Arial" w:hAnsi="Arial"/>
        </w:rPr>
        <w:t xml:space="preserve"> which is titled</w:t>
      </w:r>
      <w:r w:rsidR="00BD1123" w:rsidRPr="00FC1A10">
        <w:rPr>
          <w:rFonts w:ascii="Arial" w:hAnsi="Arial"/>
        </w:rPr>
        <w:t xml:space="preserve"> </w:t>
      </w:r>
      <w:r w:rsidR="00FC1A10">
        <w:rPr>
          <w:rFonts w:ascii="Arial" w:hAnsi="Arial"/>
        </w:rPr>
        <w:t>‘</w:t>
      </w:r>
      <w:r w:rsidR="00BD1123" w:rsidRPr="00FC1A10">
        <w:rPr>
          <w:rFonts w:ascii="Arial" w:hAnsi="Arial"/>
        </w:rPr>
        <w:t>Formation, Administration and Dissolution of Companies</w:t>
      </w:r>
      <w:r w:rsidR="00FC1A10">
        <w:rPr>
          <w:rFonts w:ascii="Arial" w:hAnsi="Arial"/>
        </w:rPr>
        <w:t>’</w:t>
      </w:r>
      <w:r w:rsidR="00BD1123" w:rsidRPr="00FC1A10">
        <w:rPr>
          <w:rFonts w:ascii="Arial" w:hAnsi="Arial"/>
        </w:rPr>
        <w:t xml:space="preserve"> and</w:t>
      </w:r>
      <w:r w:rsidRPr="009C32FB">
        <w:rPr>
          <w:rFonts w:ascii="Arial" w:hAnsi="Arial"/>
        </w:rPr>
        <w:t xml:space="preserve"> reads as follows:</w:t>
      </w:r>
    </w:p>
    <w:p w14:paraId="1A14C102" w14:textId="77777777" w:rsidR="00FC1A10" w:rsidRPr="001E7AE6" w:rsidRDefault="00FC1A10" w:rsidP="00FC1A10">
      <w:pPr>
        <w:pStyle w:val="lg-section"/>
        <w:shd w:val="clear" w:color="auto" w:fill="FFFFFF"/>
        <w:spacing w:before="0" w:beforeAutospacing="0" w:after="0" w:afterAutospacing="0" w:line="360" w:lineRule="auto"/>
        <w:contextualSpacing/>
        <w:jc w:val="both"/>
        <w:rPr>
          <w:rFonts w:ascii="Arial" w:hAnsi="Arial" w:cs="Arial"/>
          <w:color w:val="000000"/>
          <w:sz w:val="22"/>
        </w:rPr>
      </w:pPr>
      <w:r w:rsidRPr="00F670C8">
        <w:rPr>
          <w:rFonts w:ascii="Arial" w:hAnsi="Arial" w:cs="Arial"/>
          <w:bCs/>
          <w:color w:val="000000"/>
          <w:sz w:val="22"/>
        </w:rPr>
        <w:t>‘</w:t>
      </w:r>
      <w:r w:rsidRPr="001E7AE6">
        <w:rPr>
          <w:rFonts w:ascii="Arial" w:hAnsi="Arial" w:cs="Arial"/>
          <w:b/>
          <w:bCs/>
          <w:color w:val="000000"/>
          <w:sz w:val="22"/>
        </w:rPr>
        <w:t>22.   Reckless trading prohibited.</w:t>
      </w:r>
      <w:r w:rsidRPr="001E7AE6">
        <w:rPr>
          <w:rFonts w:ascii="Arial" w:hAnsi="Arial" w:cs="Arial"/>
          <w:color w:val="000000"/>
          <w:sz w:val="22"/>
        </w:rPr>
        <w:t>—(1)  A company must not carry on its business recklessly, with gross negligence, with intent to defraud any person or for any fraudulent purpose.</w:t>
      </w:r>
    </w:p>
    <w:p w14:paraId="293D1C01" w14:textId="11F3CDE4" w:rsidR="00FC1A10" w:rsidRPr="001E7AE6" w:rsidRDefault="00FC1A10" w:rsidP="00FC1A10">
      <w:pPr>
        <w:pStyle w:val="lg-para3"/>
        <w:shd w:val="clear" w:color="auto" w:fill="FFFFFF"/>
        <w:spacing w:before="0" w:beforeAutospacing="0" w:after="0" w:afterAutospacing="0" w:line="360" w:lineRule="auto"/>
        <w:contextualSpacing/>
        <w:jc w:val="both"/>
        <w:rPr>
          <w:rFonts w:ascii="Arial" w:hAnsi="Arial" w:cs="Arial"/>
          <w:color w:val="000000"/>
          <w:sz w:val="22"/>
        </w:rPr>
      </w:pPr>
      <w:r w:rsidRPr="001E7AE6">
        <w:rPr>
          <w:rFonts w:ascii="Arial" w:hAnsi="Arial" w:cs="Arial"/>
          <w:color w:val="000000"/>
          <w:sz w:val="22"/>
        </w:rPr>
        <w:t>(2)  If the Commission has reasonable grounds to believe that a company is engaging in conduct prohibited by subsection (1), or is unable to pay its debts as they become due and payable in the normal course of business, the Commission may issue a notice to the company to show cause why the company should be permitted to continue carrying on its business, or to trade, as the case may be.</w:t>
      </w:r>
    </w:p>
    <w:p w14:paraId="286827A2" w14:textId="325B7545" w:rsidR="00324805" w:rsidRDefault="00FC1A10" w:rsidP="00FC1A10">
      <w:pPr>
        <w:pStyle w:val="lg-para3"/>
        <w:shd w:val="clear" w:color="auto" w:fill="FFFFFF"/>
        <w:spacing w:before="0" w:beforeAutospacing="0" w:after="0" w:afterAutospacing="0" w:line="360" w:lineRule="auto"/>
        <w:contextualSpacing/>
        <w:jc w:val="both"/>
        <w:rPr>
          <w:rFonts w:ascii="Arial" w:hAnsi="Arial"/>
        </w:rPr>
      </w:pPr>
      <w:r w:rsidRPr="001E7AE6">
        <w:rPr>
          <w:rFonts w:ascii="Arial" w:hAnsi="Arial" w:cs="Arial"/>
          <w:color w:val="000000"/>
          <w:sz w:val="22"/>
        </w:rPr>
        <w:t>(3)  If a company to whom a notice has been issued in terms of subsection (2) fails within 20 business days to satisfy the Commission that it is not engaging in conduct prohibited by subsection (1), or that it is able to pay its debts as they become due and payable in the normal course of business, the Commission may issue a compliance notice to the company requiring it to cease carrying on its business or trading, as the case may be.</w:t>
      </w:r>
      <w:r>
        <w:rPr>
          <w:rFonts w:ascii="Arial" w:hAnsi="Arial" w:cs="Arial"/>
          <w:color w:val="000000"/>
          <w:sz w:val="22"/>
        </w:rPr>
        <w:t>’</w:t>
      </w:r>
    </w:p>
    <w:p w14:paraId="3EC54074" w14:textId="77777777" w:rsidR="00CD3AD9" w:rsidRPr="00466312" w:rsidRDefault="00CD3AD9" w:rsidP="002238E7">
      <w:pPr>
        <w:pStyle w:val="ListParagraph"/>
        <w:spacing w:line="360" w:lineRule="auto"/>
        <w:ind w:left="0" w:firstLine="0"/>
        <w:contextualSpacing/>
        <w:mirrorIndents/>
        <w:jc w:val="both"/>
        <w:rPr>
          <w:rFonts w:ascii="Arial" w:hAnsi="Arial"/>
        </w:rPr>
      </w:pPr>
    </w:p>
    <w:p w14:paraId="30466A5F" w14:textId="0960B25B" w:rsidR="00A45C1B" w:rsidRDefault="000871F1" w:rsidP="002238E7">
      <w:pPr>
        <w:pStyle w:val="ListParagraph"/>
        <w:numPr>
          <w:ilvl w:val="0"/>
          <w:numId w:val="7"/>
        </w:numPr>
        <w:spacing w:line="360" w:lineRule="auto"/>
        <w:ind w:left="0" w:firstLine="0"/>
        <w:contextualSpacing/>
        <w:mirrorIndents/>
        <w:jc w:val="both"/>
        <w:rPr>
          <w:rFonts w:ascii="Arial" w:hAnsi="Arial"/>
        </w:rPr>
      </w:pPr>
      <w:r>
        <w:rPr>
          <w:rFonts w:ascii="Arial" w:hAnsi="Arial"/>
        </w:rPr>
        <w:t>The plaintiff pleads further in paras 18 and 19</w:t>
      </w:r>
      <w:r w:rsidR="00FC1A10">
        <w:rPr>
          <w:rFonts w:ascii="Arial" w:hAnsi="Arial"/>
        </w:rPr>
        <w:t>,</w:t>
      </w:r>
      <w:r>
        <w:rPr>
          <w:rFonts w:ascii="Arial" w:hAnsi="Arial"/>
        </w:rPr>
        <w:t xml:space="preserve"> with reference to section 218(2) of the Companies Act</w:t>
      </w:r>
      <w:r w:rsidR="00FC1A10">
        <w:rPr>
          <w:rFonts w:ascii="Arial" w:hAnsi="Arial"/>
        </w:rPr>
        <w:t>,</w:t>
      </w:r>
      <w:r>
        <w:rPr>
          <w:rFonts w:ascii="Arial" w:hAnsi="Arial"/>
        </w:rPr>
        <w:t xml:space="preserve"> that the defendants, as the directors of Siyazi, were the guiding minds behind the fraud, alternatively reckless, </w:t>
      </w:r>
      <w:r w:rsidR="00605D97">
        <w:rPr>
          <w:rFonts w:ascii="Arial" w:hAnsi="Arial"/>
        </w:rPr>
        <w:t xml:space="preserve">and </w:t>
      </w:r>
      <w:r>
        <w:rPr>
          <w:rFonts w:ascii="Arial" w:hAnsi="Arial"/>
        </w:rPr>
        <w:t>further alternatively grossly negligent in contro</w:t>
      </w:r>
      <w:r w:rsidR="000E61B2">
        <w:rPr>
          <w:rFonts w:ascii="Arial" w:hAnsi="Arial"/>
        </w:rPr>
        <w:t>lling the activities of Siyazi.</w:t>
      </w:r>
      <w:r>
        <w:rPr>
          <w:rFonts w:ascii="Arial" w:hAnsi="Arial"/>
        </w:rPr>
        <w:t xml:space="preserve"> </w:t>
      </w:r>
    </w:p>
    <w:p w14:paraId="186B9C40" w14:textId="77777777" w:rsidR="000871F1" w:rsidRDefault="000871F1" w:rsidP="002238E7">
      <w:pPr>
        <w:pStyle w:val="ListParagraph"/>
        <w:spacing w:line="360" w:lineRule="auto"/>
        <w:ind w:left="0" w:firstLine="0"/>
        <w:contextualSpacing/>
        <w:mirrorIndents/>
        <w:jc w:val="both"/>
        <w:rPr>
          <w:rFonts w:ascii="Arial" w:hAnsi="Arial"/>
        </w:rPr>
      </w:pPr>
    </w:p>
    <w:p w14:paraId="7355FFA4" w14:textId="4B4FB729" w:rsidR="000871F1" w:rsidRDefault="000871F1" w:rsidP="002238E7">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It was further averred in para 20 </w:t>
      </w:r>
      <w:r w:rsidR="008B5DB0">
        <w:rPr>
          <w:rFonts w:ascii="Arial" w:hAnsi="Arial"/>
        </w:rPr>
        <w:t xml:space="preserve">that the recklessness or gross negligence manifested in </w:t>
      </w:r>
      <w:r w:rsidR="008B5DB0">
        <w:rPr>
          <w:rFonts w:ascii="Arial" w:hAnsi="Arial"/>
          <w:i/>
        </w:rPr>
        <w:t xml:space="preserve">inter alia </w:t>
      </w:r>
      <w:r w:rsidR="008B5DB0">
        <w:rPr>
          <w:rFonts w:ascii="Arial" w:hAnsi="Arial"/>
        </w:rPr>
        <w:t xml:space="preserve">a failure to maintain proper records or books of account, a failure to maintain controls and </w:t>
      </w:r>
      <w:r w:rsidR="009A6E0B">
        <w:rPr>
          <w:rFonts w:ascii="Arial" w:hAnsi="Arial"/>
        </w:rPr>
        <w:t xml:space="preserve">to </w:t>
      </w:r>
      <w:r w:rsidR="008B5DB0">
        <w:rPr>
          <w:rFonts w:ascii="Arial" w:hAnsi="Arial"/>
        </w:rPr>
        <w:t xml:space="preserve">reconcile disbursement accounts and/or </w:t>
      </w:r>
      <w:r w:rsidR="005F4485">
        <w:rPr>
          <w:rFonts w:ascii="Arial" w:hAnsi="Arial"/>
        </w:rPr>
        <w:t xml:space="preserve">a </w:t>
      </w:r>
      <w:r w:rsidR="008B5DB0">
        <w:rPr>
          <w:rFonts w:ascii="Arial" w:hAnsi="Arial"/>
        </w:rPr>
        <w:t>fail</w:t>
      </w:r>
      <w:r w:rsidR="005F4485">
        <w:rPr>
          <w:rFonts w:ascii="Arial" w:hAnsi="Arial"/>
        </w:rPr>
        <w:t>ure</w:t>
      </w:r>
      <w:r w:rsidR="008B5DB0">
        <w:rPr>
          <w:rFonts w:ascii="Arial" w:hAnsi="Arial"/>
        </w:rPr>
        <w:t xml:space="preserve"> to impose controls that monies paid against disbursement accounts were paid to the</w:t>
      </w:r>
      <w:r w:rsidR="000E61B2">
        <w:rPr>
          <w:rFonts w:ascii="Arial" w:hAnsi="Arial"/>
        </w:rPr>
        <w:t xml:space="preserve"> third parties entitled to it.</w:t>
      </w:r>
    </w:p>
    <w:p w14:paraId="453D1FDA" w14:textId="77777777" w:rsidR="00AC51C6" w:rsidRDefault="00AC51C6" w:rsidP="002238E7">
      <w:pPr>
        <w:pStyle w:val="ListParagraph"/>
        <w:spacing w:line="360" w:lineRule="auto"/>
        <w:ind w:left="0" w:firstLine="0"/>
        <w:contextualSpacing/>
        <w:mirrorIndents/>
        <w:jc w:val="both"/>
        <w:rPr>
          <w:rFonts w:ascii="Arial" w:hAnsi="Arial"/>
        </w:rPr>
      </w:pPr>
    </w:p>
    <w:p w14:paraId="54FBCFFA" w14:textId="1DD9CA94" w:rsidR="008B5DB0" w:rsidRDefault="008B5DB0" w:rsidP="002238E7">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Section 218, with the heading </w:t>
      </w:r>
      <w:r w:rsidR="00FC1A10">
        <w:rPr>
          <w:rFonts w:ascii="Arial" w:hAnsi="Arial"/>
        </w:rPr>
        <w:t>‘</w:t>
      </w:r>
      <w:r>
        <w:rPr>
          <w:rFonts w:ascii="Arial" w:hAnsi="Arial"/>
        </w:rPr>
        <w:t>Civil actions</w:t>
      </w:r>
      <w:r w:rsidR="00FC1A10">
        <w:rPr>
          <w:rFonts w:ascii="Arial" w:hAnsi="Arial"/>
        </w:rPr>
        <w:t>’,</w:t>
      </w:r>
      <w:r>
        <w:rPr>
          <w:rFonts w:ascii="Arial" w:hAnsi="Arial"/>
        </w:rPr>
        <w:t xml:space="preserve"> falls within Chapter 9 of the Companies Act, which deals with </w:t>
      </w:r>
      <w:r>
        <w:rPr>
          <w:rFonts w:ascii="Arial" w:hAnsi="Arial"/>
          <w:i/>
        </w:rPr>
        <w:t xml:space="preserve">inter alia </w:t>
      </w:r>
      <w:r>
        <w:rPr>
          <w:rFonts w:ascii="Arial" w:hAnsi="Arial"/>
        </w:rPr>
        <w:t xml:space="preserve">offences </w:t>
      </w:r>
      <w:r w:rsidR="00AD19B2">
        <w:rPr>
          <w:rFonts w:ascii="Arial" w:hAnsi="Arial"/>
        </w:rPr>
        <w:t>and miscellaneous matters. It reads as follows:</w:t>
      </w:r>
    </w:p>
    <w:p w14:paraId="5B66853B" w14:textId="77777777" w:rsidR="00FC1A10" w:rsidRDefault="00FC1A10" w:rsidP="00FC1A10">
      <w:pPr>
        <w:pStyle w:val="ListParagraph"/>
        <w:spacing w:line="360" w:lineRule="auto"/>
        <w:ind w:left="0" w:firstLine="0"/>
        <w:contextualSpacing/>
        <w:mirrorIndents/>
        <w:jc w:val="both"/>
        <w:rPr>
          <w:rFonts w:ascii="Arial" w:hAnsi="Arial"/>
          <w:sz w:val="22"/>
          <w:szCs w:val="22"/>
        </w:rPr>
      </w:pPr>
      <w:r>
        <w:rPr>
          <w:rFonts w:ascii="Arial" w:hAnsi="Arial"/>
          <w:sz w:val="22"/>
          <w:szCs w:val="22"/>
        </w:rPr>
        <w:t>‘</w:t>
      </w:r>
      <w:r w:rsidRPr="00FC1A10">
        <w:rPr>
          <w:rFonts w:ascii="Arial" w:hAnsi="Arial"/>
          <w:sz w:val="22"/>
          <w:szCs w:val="22"/>
        </w:rPr>
        <w:t xml:space="preserve">218.   </w:t>
      </w:r>
      <w:r w:rsidRPr="00FC1A10">
        <w:rPr>
          <w:rFonts w:ascii="Arial" w:hAnsi="Arial"/>
          <w:b/>
          <w:sz w:val="22"/>
          <w:szCs w:val="22"/>
        </w:rPr>
        <w:t>Civil actions</w:t>
      </w:r>
      <w:r w:rsidRPr="00FC1A10">
        <w:rPr>
          <w:rFonts w:ascii="Arial" w:hAnsi="Arial"/>
          <w:sz w:val="22"/>
          <w:szCs w:val="22"/>
        </w:rPr>
        <w:t xml:space="preserve">.— </w:t>
      </w:r>
    </w:p>
    <w:p w14:paraId="0712195B" w14:textId="77777777" w:rsidR="00FC1A10" w:rsidRPr="00FC1A10" w:rsidRDefault="00FC1A10" w:rsidP="00FC1A10">
      <w:pPr>
        <w:pStyle w:val="ListParagraph"/>
        <w:spacing w:line="360" w:lineRule="auto"/>
        <w:ind w:left="0" w:firstLine="0"/>
        <w:contextualSpacing/>
        <w:mirrorIndents/>
        <w:jc w:val="both"/>
        <w:rPr>
          <w:rFonts w:ascii="Arial" w:hAnsi="Arial"/>
          <w:sz w:val="22"/>
          <w:szCs w:val="22"/>
        </w:rPr>
      </w:pPr>
      <w:r w:rsidRPr="00FC1A10">
        <w:rPr>
          <w:rFonts w:ascii="Arial" w:hAnsi="Arial"/>
          <w:sz w:val="22"/>
          <w:szCs w:val="22"/>
        </w:rPr>
        <w:t>(1)  . . .</w:t>
      </w:r>
    </w:p>
    <w:p w14:paraId="5C636145" w14:textId="77777777" w:rsidR="00FC1A10" w:rsidRPr="00FC1A10" w:rsidRDefault="00FC1A10" w:rsidP="00FC1A10">
      <w:pPr>
        <w:pStyle w:val="ListParagraph"/>
        <w:spacing w:line="360" w:lineRule="auto"/>
        <w:ind w:left="0" w:firstLine="0"/>
        <w:contextualSpacing/>
        <w:mirrorIndents/>
        <w:jc w:val="both"/>
        <w:rPr>
          <w:rFonts w:ascii="Arial" w:hAnsi="Arial"/>
          <w:sz w:val="22"/>
          <w:szCs w:val="22"/>
        </w:rPr>
      </w:pPr>
      <w:r w:rsidRPr="00FC1A10">
        <w:rPr>
          <w:rFonts w:ascii="Arial" w:hAnsi="Arial"/>
          <w:sz w:val="22"/>
          <w:szCs w:val="22"/>
        </w:rPr>
        <w:t>(2)  Any person who contravenes any provision of this Act is liable to any other person for any loss or damage suffered by that person as a result of that contravention.</w:t>
      </w:r>
    </w:p>
    <w:p w14:paraId="6B976A28" w14:textId="77777777" w:rsidR="00AD19B2" w:rsidRDefault="00FC1A10" w:rsidP="00FC1A10">
      <w:pPr>
        <w:pStyle w:val="ListParagraph"/>
        <w:spacing w:line="360" w:lineRule="auto"/>
        <w:ind w:left="0" w:firstLine="0"/>
        <w:contextualSpacing/>
        <w:mirrorIndents/>
        <w:jc w:val="both"/>
        <w:rPr>
          <w:rFonts w:ascii="Arial" w:hAnsi="Arial"/>
          <w:sz w:val="22"/>
          <w:szCs w:val="22"/>
        </w:rPr>
      </w:pPr>
      <w:r w:rsidRPr="00FC1A10">
        <w:rPr>
          <w:rFonts w:ascii="Arial" w:hAnsi="Arial"/>
          <w:sz w:val="22"/>
          <w:szCs w:val="22"/>
        </w:rPr>
        <w:t>(3)  The provisions of this section do not affect the right to any remedy that a person may otherwise have.</w:t>
      </w:r>
      <w:r>
        <w:rPr>
          <w:rFonts w:ascii="Arial" w:hAnsi="Arial"/>
          <w:sz w:val="22"/>
          <w:szCs w:val="22"/>
        </w:rPr>
        <w:t>’</w:t>
      </w:r>
    </w:p>
    <w:p w14:paraId="2AD0756C" w14:textId="77777777" w:rsidR="00FC1A10" w:rsidRPr="00AD19B2" w:rsidRDefault="00FC1A10" w:rsidP="00FC1A10">
      <w:pPr>
        <w:pStyle w:val="ListParagraph"/>
        <w:spacing w:line="360" w:lineRule="auto"/>
        <w:ind w:left="0" w:firstLine="0"/>
        <w:contextualSpacing/>
        <w:mirrorIndents/>
        <w:jc w:val="both"/>
        <w:rPr>
          <w:rFonts w:ascii="Arial" w:hAnsi="Arial"/>
        </w:rPr>
      </w:pPr>
    </w:p>
    <w:p w14:paraId="1A357180" w14:textId="473D5A3F" w:rsidR="00AD19B2" w:rsidRDefault="00B866C1" w:rsidP="002238E7">
      <w:pPr>
        <w:pStyle w:val="ListParagraph"/>
        <w:numPr>
          <w:ilvl w:val="0"/>
          <w:numId w:val="7"/>
        </w:numPr>
        <w:spacing w:line="360" w:lineRule="auto"/>
        <w:ind w:left="0" w:firstLine="0"/>
        <w:contextualSpacing/>
        <w:mirrorIndents/>
        <w:jc w:val="both"/>
        <w:rPr>
          <w:rFonts w:ascii="Arial" w:hAnsi="Arial"/>
        </w:rPr>
      </w:pPr>
      <w:r>
        <w:rPr>
          <w:rFonts w:ascii="Arial" w:hAnsi="Arial"/>
        </w:rPr>
        <w:t>The plaintiff pleads further in paras 21 and 22 that but for the defendants</w:t>
      </w:r>
      <w:r w:rsidR="00D62497">
        <w:rPr>
          <w:rFonts w:ascii="Arial" w:hAnsi="Arial"/>
        </w:rPr>
        <w:t>’</w:t>
      </w:r>
      <w:r>
        <w:rPr>
          <w:rFonts w:ascii="Arial" w:hAnsi="Arial"/>
        </w:rPr>
        <w:t xml:space="preserve"> fraud, alternatively recklessness, further alternatively gross negligence, the plaintiff would not have been obliged to pay SARS the amount of </w:t>
      </w:r>
      <w:r w:rsidR="0072720C">
        <w:rPr>
          <w:rFonts w:ascii="Arial" w:hAnsi="Arial"/>
        </w:rPr>
        <w:br/>
      </w:r>
      <w:r>
        <w:rPr>
          <w:rFonts w:ascii="Arial" w:hAnsi="Arial"/>
        </w:rPr>
        <w:t>R</w:t>
      </w:r>
      <w:r w:rsidR="0072720C">
        <w:rPr>
          <w:rFonts w:ascii="Arial" w:hAnsi="Arial"/>
        </w:rPr>
        <w:t>41 407 220. It accordingly holds the defendants liable, jointly and severally</w:t>
      </w:r>
      <w:r w:rsidR="005F4485">
        <w:rPr>
          <w:rFonts w:ascii="Arial" w:hAnsi="Arial"/>
        </w:rPr>
        <w:t>,</w:t>
      </w:r>
      <w:r w:rsidR="0072720C">
        <w:rPr>
          <w:rFonts w:ascii="Arial" w:hAnsi="Arial"/>
        </w:rPr>
        <w:t xml:space="preserve"> in terms of sect</w:t>
      </w:r>
      <w:r w:rsidR="00BD1123">
        <w:rPr>
          <w:rFonts w:ascii="Arial" w:hAnsi="Arial"/>
        </w:rPr>
        <w:t>ion 218(2), read with section 22</w:t>
      </w:r>
      <w:r w:rsidR="0072720C">
        <w:rPr>
          <w:rFonts w:ascii="Arial" w:hAnsi="Arial"/>
        </w:rPr>
        <w:t>(1)</w:t>
      </w:r>
      <w:r w:rsidR="009A6E0B">
        <w:rPr>
          <w:rFonts w:ascii="Arial" w:hAnsi="Arial"/>
        </w:rPr>
        <w:t>,</w:t>
      </w:r>
      <w:r w:rsidR="0072720C">
        <w:rPr>
          <w:rFonts w:ascii="Arial" w:hAnsi="Arial"/>
        </w:rPr>
        <w:t xml:space="preserve"> of the Companies Act for the aforementioned amount. </w:t>
      </w:r>
    </w:p>
    <w:p w14:paraId="0F4FF6FF" w14:textId="77777777" w:rsidR="0072720C" w:rsidRDefault="0072720C" w:rsidP="002238E7">
      <w:pPr>
        <w:pStyle w:val="ListParagraph"/>
        <w:spacing w:line="360" w:lineRule="auto"/>
        <w:ind w:left="0" w:firstLine="0"/>
        <w:contextualSpacing/>
        <w:mirrorIndents/>
        <w:jc w:val="both"/>
        <w:rPr>
          <w:rFonts w:ascii="Arial" w:hAnsi="Arial"/>
        </w:rPr>
      </w:pPr>
    </w:p>
    <w:p w14:paraId="09C350A8" w14:textId="77777777" w:rsidR="0072720C" w:rsidRPr="00E473AC" w:rsidRDefault="00E473AC" w:rsidP="002238E7">
      <w:pPr>
        <w:pStyle w:val="ListParagraph"/>
        <w:spacing w:line="360" w:lineRule="auto"/>
        <w:ind w:left="0" w:firstLine="0"/>
        <w:contextualSpacing/>
        <w:mirrorIndents/>
        <w:jc w:val="both"/>
        <w:rPr>
          <w:rFonts w:ascii="Arial" w:hAnsi="Arial"/>
          <w:b/>
        </w:rPr>
      </w:pPr>
      <w:r w:rsidRPr="00E473AC">
        <w:rPr>
          <w:rFonts w:ascii="Arial" w:hAnsi="Arial"/>
          <w:b/>
        </w:rPr>
        <w:t>The first exception – no cause of action</w:t>
      </w:r>
    </w:p>
    <w:p w14:paraId="24FA0377" w14:textId="660C6670" w:rsidR="003012CE" w:rsidRDefault="0072720C" w:rsidP="002238E7">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The second </w:t>
      </w:r>
      <w:r w:rsidR="00D62497">
        <w:rPr>
          <w:rFonts w:ascii="Arial" w:hAnsi="Arial"/>
        </w:rPr>
        <w:t>defendant</w:t>
      </w:r>
      <w:r>
        <w:rPr>
          <w:rFonts w:ascii="Arial" w:hAnsi="Arial"/>
        </w:rPr>
        <w:t xml:space="preserve"> </w:t>
      </w:r>
      <w:r w:rsidR="00D62497">
        <w:rPr>
          <w:rFonts w:ascii="Arial" w:hAnsi="Arial"/>
        </w:rPr>
        <w:t>alleges that section 22(1) regulates companies, which are distinct juristic persons, and therefore do</w:t>
      </w:r>
      <w:r w:rsidR="00302743">
        <w:rPr>
          <w:rFonts w:ascii="Arial" w:hAnsi="Arial"/>
        </w:rPr>
        <w:t>es</w:t>
      </w:r>
      <w:r w:rsidR="00D62497">
        <w:rPr>
          <w:rFonts w:ascii="Arial" w:hAnsi="Arial"/>
        </w:rPr>
        <w:t xml:space="preserve"> not regulate what directors</w:t>
      </w:r>
      <w:r w:rsidR="009A6E0B">
        <w:rPr>
          <w:rFonts w:ascii="Arial" w:hAnsi="Arial"/>
        </w:rPr>
        <w:t>,</w:t>
      </w:r>
      <w:r w:rsidR="00D62497">
        <w:rPr>
          <w:rFonts w:ascii="Arial" w:hAnsi="Arial"/>
        </w:rPr>
        <w:t xml:space="preserve"> such as the defendants</w:t>
      </w:r>
      <w:r w:rsidR="009A6E0B">
        <w:rPr>
          <w:rFonts w:ascii="Arial" w:hAnsi="Arial"/>
        </w:rPr>
        <w:t>,</w:t>
      </w:r>
      <w:r w:rsidR="00D62497">
        <w:rPr>
          <w:rFonts w:ascii="Arial" w:hAnsi="Arial"/>
        </w:rPr>
        <w:t xml:space="preserve"> must do or not</w:t>
      </w:r>
      <w:r w:rsidR="00DB0297">
        <w:rPr>
          <w:rFonts w:ascii="Arial" w:hAnsi="Arial"/>
        </w:rPr>
        <w:t xml:space="preserve"> do</w:t>
      </w:r>
      <w:r w:rsidR="00D62497">
        <w:rPr>
          <w:rFonts w:ascii="Arial" w:hAnsi="Arial"/>
        </w:rPr>
        <w:t xml:space="preserve">, nor does it impose duties on directors. It is alleged that there is no allegation in the particulars of claim that </w:t>
      </w:r>
      <w:r w:rsidR="003012CE">
        <w:rPr>
          <w:rFonts w:ascii="Arial" w:hAnsi="Arial"/>
        </w:rPr>
        <w:t>section 22 regulates directors’ conduct.</w:t>
      </w:r>
    </w:p>
    <w:p w14:paraId="2663BC2E" w14:textId="77777777" w:rsidR="0072720C" w:rsidRDefault="0072720C" w:rsidP="002238E7">
      <w:pPr>
        <w:pStyle w:val="ListParagraph"/>
        <w:spacing w:line="360" w:lineRule="auto"/>
        <w:ind w:left="0" w:firstLine="0"/>
        <w:contextualSpacing/>
        <w:mirrorIndents/>
        <w:jc w:val="both"/>
        <w:rPr>
          <w:rFonts w:ascii="Arial" w:hAnsi="Arial"/>
        </w:rPr>
      </w:pPr>
    </w:p>
    <w:p w14:paraId="5B370348" w14:textId="77777777" w:rsidR="003012CE" w:rsidRDefault="003012CE" w:rsidP="002238E7">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It is alleged that section 218(2) finds application where a person breaches a </w:t>
      </w:r>
      <w:r w:rsidR="000E61B2">
        <w:rPr>
          <w:rFonts w:ascii="Arial" w:hAnsi="Arial"/>
        </w:rPr>
        <w:t>provision of the Companies Act.</w:t>
      </w:r>
      <w:r>
        <w:rPr>
          <w:rFonts w:ascii="Arial" w:hAnsi="Arial"/>
        </w:rPr>
        <w:t xml:space="preserve"> There is however no allegation in the particulars of claim that the defendants breached a provision of the Companies Act.</w:t>
      </w:r>
    </w:p>
    <w:p w14:paraId="6885C170" w14:textId="77777777" w:rsidR="003012CE" w:rsidRPr="00AC51C6" w:rsidRDefault="003012CE" w:rsidP="002238E7">
      <w:pPr>
        <w:spacing w:line="360" w:lineRule="auto"/>
        <w:contextualSpacing/>
        <w:rPr>
          <w:rFonts w:ascii="Arial" w:hAnsi="Arial"/>
        </w:rPr>
      </w:pPr>
    </w:p>
    <w:p w14:paraId="6E5ACF2F" w14:textId="17BBEB7F" w:rsidR="003012CE" w:rsidRDefault="003012CE" w:rsidP="002238E7">
      <w:pPr>
        <w:pStyle w:val="ListParagraph"/>
        <w:numPr>
          <w:ilvl w:val="0"/>
          <w:numId w:val="7"/>
        </w:numPr>
        <w:spacing w:line="360" w:lineRule="auto"/>
        <w:ind w:left="0" w:firstLine="0"/>
        <w:contextualSpacing/>
        <w:mirrorIndents/>
        <w:jc w:val="both"/>
        <w:rPr>
          <w:rFonts w:ascii="Arial" w:hAnsi="Arial"/>
        </w:rPr>
      </w:pPr>
      <w:r>
        <w:rPr>
          <w:rFonts w:ascii="Arial" w:hAnsi="Arial"/>
        </w:rPr>
        <w:t>It is also alleged that the allegations in the particulars of claim, with reference to fraud, recklessness and gross misconduct</w:t>
      </w:r>
      <w:r w:rsidR="00607418">
        <w:rPr>
          <w:rFonts w:ascii="Arial" w:hAnsi="Arial"/>
        </w:rPr>
        <w:t>,</w:t>
      </w:r>
      <w:r>
        <w:rPr>
          <w:rFonts w:ascii="Arial" w:hAnsi="Arial"/>
        </w:rPr>
        <w:t xml:space="preserve"> mirror the jurisdict</w:t>
      </w:r>
      <w:r w:rsidR="00BD1123">
        <w:rPr>
          <w:rFonts w:ascii="Arial" w:hAnsi="Arial"/>
        </w:rPr>
        <w:t>ional requirements of section 22(1</w:t>
      </w:r>
      <w:r>
        <w:rPr>
          <w:rFonts w:ascii="Arial" w:hAnsi="Arial"/>
        </w:rPr>
        <w:t>) but that section 22(1) does not impose obligations on, and cannot apply t</w:t>
      </w:r>
      <w:r w:rsidR="000E61B2">
        <w:rPr>
          <w:rFonts w:ascii="Arial" w:hAnsi="Arial"/>
        </w:rPr>
        <w:t>o the defendants as directors.</w:t>
      </w:r>
      <w:r>
        <w:rPr>
          <w:rFonts w:ascii="Arial" w:hAnsi="Arial"/>
        </w:rPr>
        <w:t xml:space="preserve"> </w:t>
      </w:r>
    </w:p>
    <w:p w14:paraId="2CCB34B0" w14:textId="77777777" w:rsidR="003012CE" w:rsidRPr="00AC51C6" w:rsidRDefault="003012CE" w:rsidP="002238E7">
      <w:pPr>
        <w:spacing w:line="360" w:lineRule="auto"/>
        <w:contextualSpacing/>
        <w:rPr>
          <w:rFonts w:ascii="Arial" w:hAnsi="Arial"/>
        </w:rPr>
      </w:pPr>
    </w:p>
    <w:p w14:paraId="0AB10C19" w14:textId="1F461AFD" w:rsidR="006C2D05" w:rsidRDefault="003012CE" w:rsidP="002238E7">
      <w:pPr>
        <w:pStyle w:val="ListParagraph"/>
        <w:numPr>
          <w:ilvl w:val="0"/>
          <w:numId w:val="7"/>
        </w:numPr>
        <w:spacing w:line="360" w:lineRule="auto"/>
        <w:ind w:left="0" w:firstLine="0"/>
        <w:contextualSpacing/>
        <w:mirrorIndents/>
        <w:jc w:val="both"/>
        <w:rPr>
          <w:rFonts w:ascii="Arial" w:hAnsi="Arial"/>
        </w:rPr>
      </w:pPr>
      <w:r>
        <w:rPr>
          <w:rFonts w:ascii="Arial" w:hAnsi="Arial"/>
        </w:rPr>
        <w:t>It is also alleged that the obligations and duties of directors are set out in section 76 of the Companies Act</w:t>
      </w:r>
      <w:r w:rsidR="00302743">
        <w:rPr>
          <w:rFonts w:ascii="Arial" w:hAnsi="Arial"/>
        </w:rPr>
        <w:t>,</w:t>
      </w:r>
      <w:r>
        <w:rPr>
          <w:rFonts w:ascii="Arial" w:hAnsi="Arial"/>
        </w:rPr>
        <w:t xml:space="preserve"> </w:t>
      </w:r>
      <w:r w:rsidR="00951554">
        <w:rPr>
          <w:rFonts w:ascii="Arial" w:hAnsi="Arial"/>
        </w:rPr>
        <w:t xml:space="preserve">with </w:t>
      </w:r>
      <w:r>
        <w:rPr>
          <w:rFonts w:ascii="Arial" w:hAnsi="Arial"/>
        </w:rPr>
        <w:t>the available remedi</w:t>
      </w:r>
      <w:r w:rsidR="000E61B2">
        <w:rPr>
          <w:rFonts w:ascii="Arial" w:hAnsi="Arial"/>
        </w:rPr>
        <w:t xml:space="preserve">es for breaches </w:t>
      </w:r>
      <w:r w:rsidR="00302743">
        <w:rPr>
          <w:rFonts w:ascii="Arial" w:hAnsi="Arial"/>
        </w:rPr>
        <w:t xml:space="preserve">set out </w:t>
      </w:r>
      <w:r w:rsidR="000E61B2">
        <w:rPr>
          <w:rFonts w:ascii="Arial" w:hAnsi="Arial"/>
        </w:rPr>
        <w:t xml:space="preserve">in section 77. </w:t>
      </w:r>
      <w:r>
        <w:rPr>
          <w:rFonts w:ascii="Arial" w:hAnsi="Arial"/>
        </w:rPr>
        <w:t>The plaintiff</w:t>
      </w:r>
      <w:r w:rsidR="00302743">
        <w:rPr>
          <w:rFonts w:ascii="Arial" w:hAnsi="Arial"/>
        </w:rPr>
        <w:t>,</w:t>
      </w:r>
      <w:r>
        <w:rPr>
          <w:rFonts w:ascii="Arial" w:hAnsi="Arial"/>
        </w:rPr>
        <w:t xml:space="preserve"> apparently</w:t>
      </w:r>
      <w:r w:rsidR="00302743">
        <w:rPr>
          <w:rFonts w:ascii="Arial" w:hAnsi="Arial"/>
        </w:rPr>
        <w:t>,</w:t>
      </w:r>
      <w:r>
        <w:rPr>
          <w:rFonts w:ascii="Arial" w:hAnsi="Arial"/>
        </w:rPr>
        <w:t xml:space="preserve"> </w:t>
      </w:r>
      <w:r w:rsidR="006C2D05">
        <w:rPr>
          <w:rFonts w:ascii="Arial" w:hAnsi="Arial"/>
        </w:rPr>
        <w:t>is contending for a contravention of section 77(3) of the Companies Act, but any claim under that section is confined to section 77(2) of the Companies Act. Section 77(3)</w:t>
      </w:r>
      <w:r w:rsidR="006C2D05" w:rsidRPr="00F670C8">
        <w:rPr>
          <w:rFonts w:ascii="Arial" w:hAnsi="Arial"/>
          <w:i/>
        </w:rPr>
        <w:t>(b)</w:t>
      </w:r>
      <w:r w:rsidR="006C2D05">
        <w:rPr>
          <w:rFonts w:ascii="Arial" w:hAnsi="Arial"/>
        </w:rPr>
        <w:t xml:space="preserve"> specifically deals with the liability of directors in respect of section 22</w:t>
      </w:r>
      <w:r w:rsidR="002721B6">
        <w:rPr>
          <w:rFonts w:ascii="Arial" w:hAnsi="Arial"/>
        </w:rPr>
        <w:t>,</w:t>
      </w:r>
      <w:r w:rsidR="006C2D05">
        <w:rPr>
          <w:rFonts w:ascii="Arial" w:hAnsi="Arial"/>
        </w:rPr>
        <w:t xml:space="preserve"> and effectively provides for a director who carries on the business of the company contrary to section 22, to be liable for any loss, damages or costs susta</w:t>
      </w:r>
      <w:r w:rsidR="00BD1123">
        <w:rPr>
          <w:rFonts w:ascii="Arial" w:hAnsi="Arial"/>
        </w:rPr>
        <w:t>ined by the company. It is further</w:t>
      </w:r>
      <w:r w:rsidR="006C2D05">
        <w:rPr>
          <w:rFonts w:ascii="Arial" w:hAnsi="Arial"/>
        </w:rPr>
        <w:t xml:space="preserve"> alleged that section 218(2) cannot be invoked because when a statute expressly and specifically creates liability for the breach of a section, then a general section in the same statute cannot be invoked to establish a co-ordinate liability. </w:t>
      </w:r>
    </w:p>
    <w:p w14:paraId="4529CB7C" w14:textId="77777777" w:rsidR="006C2D05" w:rsidRPr="00AC51C6" w:rsidRDefault="006C2D05" w:rsidP="002238E7">
      <w:pPr>
        <w:spacing w:line="360" w:lineRule="auto"/>
        <w:contextualSpacing/>
        <w:rPr>
          <w:rFonts w:ascii="Arial" w:hAnsi="Arial"/>
        </w:rPr>
      </w:pPr>
    </w:p>
    <w:p w14:paraId="6F703AEC" w14:textId="77777777" w:rsidR="006C2D05" w:rsidRDefault="006C2D05" w:rsidP="002238E7">
      <w:pPr>
        <w:pStyle w:val="ListParagraph"/>
        <w:numPr>
          <w:ilvl w:val="0"/>
          <w:numId w:val="7"/>
        </w:numPr>
        <w:spacing w:line="360" w:lineRule="auto"/>
        <w:ind w:left="0" w:firstLine="0"/>
        <w:contextualSpacing/>
        <w:mirrorIndents/>
        <w:jc w:val="both"/>
        <w:rPr>
          <w:rFonts w:ascii="Arial" w:hAnsi="Arial"/>
        </w:rPr>
      </w:pPr>
      <w:r>
        <w:rPr>
          <w:rFonts w:ascii="Arial" w:hAnsi="Arial"/>
        </w:rPr>
        <w:t>Section 76(3) of the Companies Act reads as follows:</w:t>
      </w:r>
    </w:p>
    <w:p w14:paraId="3F9158A2" w14:textId="77777777" w:rsidR="006303A0" w:rsidRPr="001E7AE6" w:rsidRDefault="006303A0" w:rsidP="006303A0">
      <w:pPr>
        <w:pStyle w:val="lg-para3"/>
        <w:shd w:val="clear" w:color="auto" w:fill="FFFFFF"/>
        <w:spacing w:before="0" w:beforeAutospacing="0" w:after="0" w:afterAutospacing="0" w:line="360" w:lineRule="auto"/>
        <w:contextualSpacing/>
        <w:jc w:val="both"/>
        <w:rPr>
          <w:rFonts w:ascii="Arial" w:hAnsi="Arial" w:cs="Arial"/>
          <w:color w:val="000000"/>
          <w:sz w:val="22"/>
          <w:szCs w:val="18"/>
        </w:rPr>
      </w:pPr>
      <w:r>
        <w:rPr>
          <w:rFonts w:ascii="Arial" w:hAnsi="Arial" w:cs="Arial"/>
          <w:color w:val="000000"/>
          <w:sz w:val="22"/>
          <w:szCs w:val="18"/>
        </w:rPr>
        <w:t>‘</w:t>
      </w:r>
      <w:r w:rsidRPr="001E7AE6">
        <w:rPr>
          <w:rFonts w:ascii="Arial" w:hAnsi="Arial" w:cs="Arial"/>
          <w:color w:val="000000"/>
          <w:sz w:val="22"/>
          <w:szCs w:val="18"/>
        </w:rPr>
        <w:t>(3)  Subject to subsections (4) and (5), a director of a company, when acting in that capacity, must exercise the powers and perform the functions of director—</w:t>
      </w:r>
    </w:p>
    <w:p w14:paraId="46022414" w14:textId="77777777" w:rsidR="006303A0" w:rsidRPr="001E7AE6" w:rsidRDefault="006303A0" w:rsidP="006303A0">
      <w:pPr>
        <w:pStyle w:val="lg-a-1"/>
        <w:shd w:val="clear" w:color="auto" w:fill="FFFFFF"/>
        <w:spacing w:before="0" w:beforeAutospacing="0" w:after="0" w:afterAutospacing="0" w:line="360" w:lineRule="auto"/>
        <w:contextualSpacing/>
        <w:jc w:val="both"/>
        <w:rPr>
          <w:rFonts w:ascii="Arial" w:hAnsi="Arial" w:cs="Arial"/>
          <w:color w:val="000000"/>
          <w:sz w:val="22"/>
          <w:szCs w:val="18"/>
        </w:rPr>
      </w:pPr>
      <w:r w:rsidRPr="001E7AE6">
        <w:rPr>
          <w:rFonts w:ascii="Arial" w:hAnsi="Arial" w:cs="Arial"/>
          <w:color w:val="000000"/>
          <w:sz w:val="22"/>
          <w:szCs w:val="18"/>
        </w:rPr>
        <w:t>(</w:t>
      </w:r>
      <w:r w:rsidRPr="001E7AE6">
        <w:rPr>
          <w:rFonts w:ascii="Arial" w:hAnsi="Arial" w:cs="Arial"/>
          <w:i/>
          <w:iCs/>
          <w:color w:val="000000"/>
          <w:sz w:val="22"/>
          <w:szCs w:val="18"/>
        </w:rPr>
        <w:t>a</w:t>
      </w:r>
      <w:r w:rsidRPr="001E7AE6">
        <w:rPr>
          <w:rFonts w:ascii="Arial" w:hAnsi="Arial" w:cs="Arial"/>
          <w:color w:val="000000"/>
          <w:sz w:val="22"/>
          <w:szCs w:val="18"/>
        </w:rPr>
        <w:t xml:space="preserve">) </w:t>
      </w:r>
      <w:r>
        <w:rPr>
          <w:rFonts w:ascii="Arial" w:hAnsi="Arial" w:cs="Arial"/>
          <w:color w:val="000000"/>
          <w:sz w:val="22"/>
          <w:szCs w:val="18"/>
        </w:rPr>
        <w:tab/>
      </w:r>
      <w:r w:rsidRPr="001E7AE6">
        <w:rPr>
          <w:rFonts w:ascii="Arial" w:hAnsi="Arial" w:cs="Arial"/>
          <w:color w:val="000000"/>
          <w:sz w:val="22"/>
          <w:szCs w:val="18"/>
        </w:rPr>
        <w:t>in good faith and for a proper purpose;</w:t>
      </w:r>
    </w:p>
    <w:p w14:paraId="5B2EFC50" w14:textId="77777777" w:rsidR="006303A0" w:rsidRPr="001E7AE6" w:rsidRDefault="006303A0" w:rsidP="006303A0">
      <w:pPr>
        <w:pStyle w:val="lg-a-1"/>
        <w:shd w:val="clear" w:color="auto" w:fill="FFFFFF"/>
        <w:spacing w:before="0" w:beforeAutospacing="0" w:after="0" w:afterAutospacing="0" w:line="360" w:lineRule="auto"/>
        <w:contextualSpacing/>
        <w:jc w:val="both"/>
        <w:rPr>
          <w:rFonts w:ascii="Arial" w:hAnsi="Arial" w:cs="Arial"/>
          <w:color w:val="000000"/>
          <w:sz w:val="22"/>
          <w:szCs w:val="18"/>
        </w:rPr>
      </w:pPr>
      <w:r w:rsidRPr="001E7AE6">
        <w:rPr>
          <w:rFonts w:ascii="Arial" w:hAnsi="Arial" w:cs="Arial"/>
          <w:color w:val="000000"/>
          <w:sz w:val="22"/>
          <w:szCs w:val="18"/>
        </w:rPr>
        <w:t>(</w:t>
      </w:r>
      <w:r w:rsidRPr="001E7AE6">
        <w:rPr>
          <w:rFonts w:ascii="Arial" w:hAnsi="Arial" w:cs="Arial"/>
          <w:i/>
          <w:iCs/>
          <w:color w:val="000000"/>
          <w:sz w:val="22"/>
          <w:szCs w:val="18"/>
        </w:rPr>
        <w:t>b</w:t>
      </w:r>
      <w:r w:rsidRPr="001E7AE6">
        <w:rPr>
          <w:rFonts w:ascii="Arial" w:hAnsi="Arial" w:cs="Arial"/>
          <w:color w:val="000000"/>
          <w:sz w:val="22"/>
          <w:szCs w:val="18"/>
        </w:rPr>
        <w:t>)</w:t>
      </w:r>
      <w:r>
        <w:rPr>
          <w:rFonts w:ascii="Arial" w:hAnsi="Arial" w:cs="Arial"/>
          <w:color w:val="000000"/>
          <w:sz w:val="22"/>
          <w:szCs w:val="18"/>
        </w:rPr>
        <w:tab/>
      </w:r>
      <w:r w:rsidRPr="001E7AE6">
        <w:rPr>
          <w:rFonts w:ascii="Arial" w:hAnsi="Arial" w:cs="Arial"/>
          <w:color w:val="000000"/>
          <w:sz w:val="22"/>
          <w:szCs w:val="18"/>
        </w:rPr>
        <w:t>in the best interests of the company; and</w:t>
      </w:r>
    </w:p>
    <w:p w14:paraId="34927C3A" w14:textId="77777777" w:rsidR="006303A0" w:rsidRPr="001E7AE6" w:rsidRDefault="006303A0" w:rsidP="006303A0">
      <w:pPr>
        <w:pStyle w:val="lg-a-1"/>
        <w:shd w:val="clear" w:color="auto" w:fill="FFFFFF"/>
        <w:spacing w:before="0" w:beforeAutospacing="0" w:after="0" w:afterAutospacing="0" w:line="360" w:lineRule="auto"/>
        <w:contextualSpacing/>
        <w:jc w:val="both"/>
        <w:rPr>
          <w:rFonts w:ascii="Arial" w:hAnsi="Arial" w:cs="Arial"/>
          <w:color w:val="000000"/>
          <w:sz w:val="22"/>
          <w:szCs w:val="18"/>
        </w:rPr>
      </w:pPr>
      <w:r w:rsidRPr="001E7AE6">
        <w:rPr>
          <w:rFonts w:ascii="Arial" w:hAnsi="Arial" w:cs="Arial"/>
          <w:color w:val="000000"/>
          <w:sz w:val="22"/>
          <w:szCs w:val="18"/>
        </w:rPr>
        <w:t>(</w:t>
      </w:r>
      <w:r w:rsidRPr="001E7AE6">
        <w:rPr>
          <w:rFonts w:ascii="Arial" w:hAnsi="Arial" w:cs="Arial"/>
          <w:i/>
          <w:iCs/>
          <w:color w:val="000000"/>
          <w:sz w:val="22"/>
          <w:szCs w:val="18"/>
        </w:rPr>
        <w:t>c</w:t>
      </w:r>
      <w:r w:rsidRPr="001E7AE6">
        <w:rPr>
          <w:rFonts w:ascii="Arial" w:hAnsi="Arial" w:cs="Arial"/>
          <w:color w:val="000000"/>
          <w:sz w:val="22"/>
          <w:szCs w:val="18"/>
        </w:rPr>
        <w:t xml:space="preserve">) </w:t>
      </w:r>
      <w:r>
        <w:rPr>
          <w:rFonts w:ascii="Arial" w:hAnsi="Arial" w:cs="Arial"/>
          <w:color w:val="000000"/>
          <w:sz w:val="22"/>
          <w:szCs w:val="18"/>
        </w:rPr>
        <w:tab/>
      </w:r>
      <w:r w:rsidRPr="001E7AE6">
        <w:rPr>
          <w:rFonts w:ascii="Arial" w:hAnsi="Arial" w:cs="Arial"/>
          <w:color w:val="000000"/>
          <w:sz w:val="22"/>
          <w:szCs w:val="18"/>
        </w:rPr>
        <w:t>with the degree of care, skill and diligence that may reasonably be expected of a person—</w:t>
      </w:r>
    </w:p>
    <w:p w14:paraId="72B49DE0" w14:textId="77777777" w:rsidR="006303A0" w:rsidRPr="001E7AE6" w:rsidRDefault="006303A0" w:rsidP="006303A0">
      <w:pPr>
        <w:pStyle w:val="lg-i-a-1"/>
        <w:shd w:val="clear" w:color="auto" w:fill="FFFFFF"/>
        <w:spacing w:before="0" w:beforeAutospacing="0" w:after="0" w:afterAutospacing="0" w:line="360" w:lineRule="auto"/>
        <w:ind w:left="720" w:hanging="720"/>
        <w:contextualSpacing/>
        <w:jc w:val="both"/>
        <w:rPr>
          <w:rFonts w:ascii="Arial" w:hAnsi="Arial" w:cs="Arial"/>
          <w:color w:val="000000"/>
          <w:sz w:val="22"/>
          <w:szCs w:val="18"/>
        </w:rPr>
      </w:pPr>
      <w:r>
        <w:rPr>
          <w:rFonts w:ascii="Arial" w:hAnsi="Arial" w:cs="Arial"/>
          <w:color w:val="000000"/>
          <w:sz w:val="22"/>
          <w:szCs w:val="18"/>
        </w:rPr>
        <w:tab/>
      </w:r>
      <w:r w:rsidRPr="001E7AE6">
        <w:rPr>
          <w:rFonts w:ascii="Arial" w:hAnsi="Arial" w:cs="Arial"/>
          <w:color w:val="000000"/>
          <w:sz w:val="22"/>
          <w:szCs w:val="18"/>
        </w:rPr>
        <w:t>(i) carrying out the same functions in relation to the company as those carried out by that director; and</w:t>
      </w:r>
    </w:p>
    <w:p w14:paraId="16198E4B" w14:textId="77777777" w:rsidR="00990FB1" w:rsidRDefault="006303A0" w:rsidP="006303A0">
      <w:pPr>
        <w:pStyle w:val="lg-i-a-1"/>
        <w:shd w:val="clear" w:color="auto" w:fill="FFFFFF"/>
        <w:spacing w:before="0" w:beforeAutospacing="0" w:after="0" w:afterAutospacing="0" w:line="360" w:lineRule="auto"/>
        <w:ind w:left="720" w:hanging="720"/>
        <w:contextualSpacing/>
        <w:jc w:val="both"/>
        <w:rPr>
          <w:rFonts w:ascii="Arial" w:hAnsi="Arial"/>
          <w:sz w:val="22"/>
          <w:szCs w:val="22"/>
        </w:rPr>
      </w:pPr>
      <w:r>
        <w:rPr>
          <w:rFonts w:ascii="Arial" w:hAnsi="Arial" w:cs="Arial"/>
          <w:color w:val="000000"/>
          <w:sz w:val="22"/>
          <w:szCs w:val="18"/>
        </w:rPr>
        <w:tab/>
      </w:r>
      <w:r w:rsidRPr="001E7AE6">
        <w:rPr>
          <w:rFonts w:ascii="Arial" w:hAnsi="Arial" w:cs="Arial"/>
          <w:color w:val="000000"/>
          <w:sz w:val="22"/>
          <w:szCs w:val="18"/>
        </w:rPr>
        <w:t>(ii) having the general knowledge, skill and experience of that director.</w:t>
      </w:r>
      <w:r>
        <w:rPr>
          <w:rFonts w:ascii="Arial" w:hAnsi="Arial" w:cs="Arial"/>
          <w:color w:val="000000"/>
          <w:sz w:val="22"/>
          <w:szCs w:val="18"/>
        </w:rPr>
        <w:t>’</w:t>
      </w:r>
    </w:p>
    <w:p w14:paraId="6D7486B8" w14:textId="77777777" w:rsidR="00990FB1" w:rsidRPr="00990FB1" w:rsidRDefault="00990FB1" w:rsidP="002238E7">
      <w:pPr>
        <w:pStyle w:val="ListParagraph"/>
        <w:spacing w:line="360" w:lineRule="auto"/>
        <w:ind w:left="1843" w:firstLine="0"/>
        <w:contextualSpacing/>
        <w:mirrorIndents/>
        <w:jc w:val="both"/>
        <w:rPr>
          <w:rFonts w:ascii="Arial" w:hAnsi="Arial"/>
          <w:sz w:val="22"/>
          <w:szCs w:val="22"/>
        </w:rPr>
      </w:pPr>
    </w:p>
    <w:p w14:paraId="2A6138E1" w14:textId="77777777" w:rsidR="003012CE" w:rsidRDefault="00990FB1" w:rsidP="002238E7">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Section 77(2) of the Companies Act </w:t>
      </w:r>
      <w:r w:rsidR="002A6DF8">
        <w:rPr>
          <w:rFonts w:ascii="Arial" w:hAnsi="Arial"/>
        </w:rPr>
        <w:t>reads as follows:</w:t>
      </w:r>
    </w:p>
    <w:p w14:paraId="6ECFE946" w14:textId="77777777" w:rsidR="006303A0" w:rsidRPr="001E7AE6" w:rsidRDefault="006303A0" w:rsidP="006303A0">
      <w:pPr>
        <w:pStyle w:val="lg-para3"/>
        <w:shd w:val="clear" w:color="auto" w:fill="FFFFFF"/>
        <w:spacing w:before="0" w:beforeAutospacing="0" w:after="0" w:afterAutospacing="0" w:line="360" w:lineRule="auto"/>
        <w:jc w:val="both"/>
        <w:rPr>
          <w:rFonts w:ascii="Arial" w:hAnsi="Arial" w:cs="Arial"/>
          <w:color w:val="000000"/>
          <w:sz w:val="22"/>
          <w:szCs w:val="22"/>
        </w:rPr>
      </w:pPr>
      <w:r>
        <w:rPr>
          <w:rFonts w:ascii="Arial" w:hAnsi="Arial"/>
          <w:sz w:val="22"/>
          <w:szCs w:val="22"/>
        </w:rPr>
        <w:t>‘</w:t>
      </w:r>
      <w:r w:rsidRPr="001E7AE6">
        <w:rPr>
          <w:rFonts w:ascii="Arial" w:hAnsi="Arial" w:cs="Arial"/>
          <w:color w:val="000000"/>
          <w:sz w:val="22"/>
          <w:szCs w:val="22"/>
        </w:rPr>
        <w:t>(2)  A director of a company may be held liable—</w:t>
      </w:r>
    </w:p>
    <w:p w14:paraId="393524F5" w14:textId="77777777" w:rsidR="006303A0" w:rsidRPr="001E7AE6" w:rsidRDefault="006303A0" w:rsidP="006303A0">
      <w:pPr>
        <w:pStyle w:val="lg-a-1"/>
        <w:shd w:val="clear" w:color="auto" w:fill="FFFFFF"/>
        <w:spacing w:before="0" w:beforeAutospacing="0" w:after="0" w:afterAutospacing="0" w:line="360" w:lineRule="auto"/>
        <w:jc w:val="both"/>
        <w:rPr>
          <w:rFonts w:ascii="Arial" w:hAnsi="Arial" w:cs="Arial"/>
          <w:color w:val="000000"/>
          <w:sz w:val="22"/>
          <w:szCs w:val="22"/>
        </w:rPr>
      </w:pPr>
      <w:r w:rsidRPr="001E7AE6">
        <w:rPr>
          <w:rFonts w:ascii="Arial" w:hAnsi="Arial" w:cs="Arial"/>
          <w:color w:val="000000"/>
          <w:sz w:val="22"/>
          <w:szCs w:val="22"/>
        </w:rPr>
        <w:t>(</w:t>
      </w:r>
      <w:r w:rsidRPr="001E7AE6">
        <w:rPr>
          <w:rFonts w:ascii="Arial" w:hAnsi="Arial" w:cs="Arial"/>
          <w:i/>
          <w:iCs/>
          <w:color w:val="000000"/>
          <w:sz w:val="22"/>
          <w:szCs w:val="22"/>
        </w:rPr>
        <w:t>a</w:t>
      </w:r>
      <w:r w:rsidRPr="001E7AE6">
        <w:rPr>
          <w:rFonts w:ascii="Arial" w:hAnsi="Arial" w:cs="Arial"/>
          <w:color w:val="000000"/>
          <w:sz w:val="22"/>
          <w:szCs w:val="22"/>
        </w:rPr>
        <w:t xml:space="preserve">) </w:t>
      </w:r>
      <w:r>
        <w:rPr>
          <w:rFonts w:ascii="Arial" w:hAnsi="Arial" w:cs="Arial"/>
          <w:color w:val="000000"/>
          <w:sz w:val="22"/>
          <w:szCs w:val="22"/>
        </w:rPr>
        <w:tab/>
      </w:r>
      <w:r w:rsidRPr="001E7AE6">
        <w:rPr>
          <w:rFonts w:ascii="Arial" w:hAnsi="Arial" w:cs="Arial"/>
          <w:color w:val="000000"/>
          <w:sz w:val="22"/>
          <w:szCs w:val="22"/>
        </w:rPr>
        <w:t>in accordance with the principles of the common law relating to breach of a fiduciary duty, for any loss, damages or costs sustained by the company as a consequence of any breach by the director of a duty contemplated in section 75, 76 (2) or 76 (3) (</w:t>
      </w:r>
      <w:r w:rsidRPr="001E7AE6">
        <w:rPr>
          <w:rFonts w:ascii="Arial" w:hAnsi="Arial" w:cs="Arial"/>
          <w:i/>
          <w:iCs/>
          <w:color w:val="000000"/>
          <w:sz w:val="22"/>
          <w:szCs w:val="22"/>
        </w:rPr>
        <w:t>a</w:t>
      </w:r>
      <w:r w:rsidRPr="001E7AE6">
        <w:rPr>
          <w:rFonts w:ascii="Arial" w:hAnsi="Arial" w:cs="Arial"/>
          <w:color w:val="000000"/>
          <w:sz w:val="22"/>
          <w:szCs w:val="22"/>
        </w:rPr>
        <w:t>) or (</w:t>
      </w:r>
      <w:r w:rsidRPr="001E7AE6">
        <w:rPr>
          <w:rFonts w:ascii="Arial" w:hAnsi="Arial" w:cs="Arial"/>
          <w:i/>
          <w:iCs/>
          <w:color w:val="000000"/>
          <w:sz w:val="22"/>
          <w:szCs w:val="22"/>
        </w:rPr>
        <w:t>b</w:t>
      </w:r>
      <w:r w:rsidRPr="001E7AE6">
        <w:rPr>
          <w:rFonts w:ascii="Arial" w:hAnsi="Arial" w:cs="Arial"/>
          <w:color w:val="000000"/>
          <w:sz w:val="22"/>
          <w:szCs w:val="22"/>
        </w:rPr>
        <w:t>); or</w:t>
      </w:r>
    </w:p>
    <w:p w14:paraId="46D78EAA" w14:textId="77777777" w:rsidR="006303A0" w:rsidRPr="001E7AE6" w:rsidRDefault="006303A0" w:rsidP="006303A0">
      <w:pPr>
        <w:pStyle w:val="lg-a-1"/>
        <w:shd w:val="clear" w:color="auto" w:fill="FFFFFF"/>
        <w:spacing w:before="0" w:beforeAutospacing="0" w:after="0" w:afterAutospacing="0" w:line="360" w:lineRule="auto"/>
        <w:jc w:val="both"/>
        <w:rPr>
          <w:rFonts w:ascii="Arial" w:hAnsi="Arial" w:cs="Arial"/>
          <w:color w:val="000000"/>
          <w:sz w:val="22"/>
          <w:szCs w:val="22"/>
        </w:rPr>
      </w:pPr>
      <w:r w:rsidRPr="001E7AE6">
        <w:rPr>
          <w:rFonts w:ascii="Arial" w:hAnsi="Arial" w:cs="Arial"/>
          <w:color w:val="000000"/>
          <w:sz w:val="22"/>
          <w:szCs w:val="22"/>
        </w:rPr>
        <w:lastRenderedPageBreak/>
        <w:t>(</w:t>
      </w:r>
      <w:r w:rsidRPr="001E7AE6">
        <w:rPr>
          <w:rFonts w:ascii="Arial" w:hAnsi="Arial" w:cs="Arial"/>
          <w:i/>
          <w:iCs/>
          <w:color w:val="000000"/>
          <w:sz w:val="22"/>
          <w:szCs w:val="22"/>
        </w:rPr>
        <w:t>b</w:t>
      </w:r>
      <w:r w:rsidRPr="001E7AE6">
        <w:rPr>
          <w:rFonts w:ascii="Arial" w:hAnsi="Arial" w:cs="Arial"/>
          <w:color w:val="000000"/>
          <w:sz w:val="22"/>
          <w:szCs w:val="22"/>
        </w:rPr>
        <w:t xml:space="preserve">) </w:t>
      </w:r>
      <w:r>
        <w:rPr>
          <w:rFonts w:ascii="Arial" w:hAnsi="Arial" w:cs="Arial"/>
          <w:color w:val="000000"/>
          <w:sz w:val="22"/>
          <w:szCs w:val="22"/>
        </w:rPr>
        <w:tab/>
      </w:r>
      <w:r w:rsidRPr="001E7AE6">
        <w:rPr>
          <w:rFonts w:ascii="Arial" w:hAnsi="Arial" w:cs="Arial"/>
          <w:color w:val="000000"/>
          <w:sz w:val="22"/>
          <w:szCs w:val="22"/>
        </w:rPr>
        <w:t>in accordance with the principles of the common law relating to delict for any loss, damages or costs sustained by the company as a consequence of any breach by the director of—</w:t>
      </w:r>
    </w:p>
    <w:p w14:paraId="5688EA6C" w14:textId="77777777" w:rsidR="006303A0" w:rsidRPr="001E7AE6" w:rsidRDefault="006303A0" w:rsidP="006303A0">
      <w:pPr>
        <w:pStyle w:val="lg-i-a-1"/>
        <w:shd w:val="clear" w:color="auto" w:fill="FFFFFF"/>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ab/>
      </w:r>
      <w:r w:rsidRPr="001E7AE6">
        <w:rPr>
          <w:rFonts w:ascii="Arial" w:hAnsi="Arial" w:cs="Arial"/>
          <w:color w:val="000000"/>
          <w:sz w:val="22"/>
          <w:szCs w:val="22"/>
        </w:rPr>
        <w:t>(i) a duty contemplated in section 76 (3) (</w:t>
      </w:r>
      <w:r w:rsidRPr="001E7AE6">
        <w:rPr>
          <w:rFonts w:ascii="Arial" w:hAnsi="Arial" w:cs="Arial"/>
          <w:i/>
          <w:iCs/>
          <w:color w:val="000000"/>
          <w:sz w:val="22"/>
          <w:szCs w:val="22"/>
        </w:rPr>
        <w:t>c</w:t>
      </w:r>
      <w:r w:rsidRPr="001E7AE6">
        <w:rPr>
          <w:rFonts w:ascii="Arial" w:hAnsi="Arial" w:cs="Arial"/>
          <w:color w:val="000000"/>
          <w:sz w:val="22"/>
          <w:szCs w:val="22"/>
        </w:rPr>
        <w:t>);</w:t>
      </w:r>
    </w:p>
    <w:p w14:paraId="5D9602D4" w14:textId="77777777" w:rsidR="006303A0" w:rsidRPr="001E7AE6" w:rsidRDefault="006303A0" w:rsidP="006303A0">
      <w:pPr>
        <w:pStyle w:val="lg-i-a-1"/>
        <w:shd w:val="clear" w:color="auto" w:fill="FFFFFF"/>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ab/>
      </w:r>
      <w:r w:rsidRPr="001E7AE6">
        <w:rPr>
          <w:rFonts w:ascii="Arial" w:hAnsi="Arial" w:cs="Arial"/>
          <w:color w:val="000000"/>
          <w:sz w:val="22"/>
          <w:szCs w:val="22"/>
        </w:rPr>
        <w:t>(ii) any provision of this Act not otherwise mentioned in this section; or</w:t>
      </w:r>
    </w:p>
    <w:p w14:paraId="5EF777CC" w14:textId="77777777" w:rsidR="006303A0" w:rsidRPr="001E7AE6" w:rsidRDefault="006303A0" w:rsidP="006303A0">
      <w:pPr>
        <w:pStyle w:val="lg-i-a-1"/>
        <w:shd w:val="clear" w:color="auto" w:fill="FFFFFF"/>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ab/>
      </w:r>
      <w:r w:rsidRPr="001E7AE6">
        <w:rPr>
          <w:rFonts w:ascii="Arial" w:hAnsi="Arial" w:cs="Arial"/>
          <w:color w:val="000000"/>
          <w:sz w:val="22"/>
          <w:szCs w:val="22"/>
        </w:rPr>
        <w:t>(iii) any provision of the company’s Memorandum of Incorporation.</w:t>
      </w:r>
      <w:r>
        <w:rPr>
          <w:rFonts w:ascii="Arial" w:hAnsi="Arial" w:cs="Arial"/>
          <w:color w:val="000000"/>
          <w:sz w:val="22"/>
          <w:szCs w:val="22"/>
        </w:rPr>
        <w:t>’</w:t>
      </w:r>
    </w:p>
    <w:p w14:paraId="56BBC5D1" w14:textId="77777777" w:rsidR="00A65B52" w:rsidRPr="002F5176" w:rsidRDefault="00A65B52" w:rsidP="006303A0">
      <w:pPr>
        <w:pStyle w:val="ListParagraph"/>
        <w:spacing w:line="360" w:lineRule="auto"/>
        <w:ind w:left="0" w:firstLine="0"/>
        <w:contextualSpacing/>
        <w:mirrorIndents/>
        <w:jc w:val="both"/>
        <w:rPr>
          <w:rFonts w:ascii="Arial" w:hAnsi="Arial"/>
          <w:sz w:val="22"/>
          <w:szCs w:val="22"/>
        </w:rPr>
      </w:pPr>
    </w:p>
    <w:p w14:paraId="7CA0D4AA" w14:textId="77777777" w:rsidR="002A6DF8" w:rsidRDefault="00A65B52" w:rsidP="002238E7">
      <w:pPr>
        <w:pStyle w:val="ListParagraph"/>
        <w:numPr>
          <w:ilvl w:val="0"/>
          <w:numId w:val="7"/>
        </w:numPr>
        <w:spacing w:line="360" w:lineRule="auto"/>
        <w:ind w:left="0" w:firstLine="0"/>
        <w:contextualSpacing/>
        <w:mirrorIndents/>
        <w:jc w:val="both"/>
        <w:rPr>
          <w:rFonts w:ascii="Arial" w:hAnsi="Arial"/>
        </w:rPr>
      </w:pPr>
      <w:r>
        <w:rPr>
          <w:rFonts w:ascii="Arial" w:hAnsi="Arial"/>
        </w:rPr>
        <w:t>Section 77(3)</w:t>
      </w:r>
      <w:r w:rsidRPr="00F670C8">
        <w:rPr>
          <w:rFonts w:ascii="Arial" w:hAnsi="Arial"/>
          <w:i/>
        </w:rPr>
        <w:t xml:space="preserve">(b) </w:t>
      </w:r>
      <w:r>
        <w:rPr>
          <w:rFonts w:ascii="Arial" w:hAnsi="Arial"/>
        </w:rPr>
        <w:t>of the Companies Act reads as follows:</w:t>
      </w:r>
    </w:p>
    <w:p w14:paraId="410B739F" w14:textId="77777777" w:rsidR="006303A0" w:rsidRPr="001E7AE6" w:rsidRDefault="006303A0" w:rsidP="006303A0">
      <w:pPr>
        <w:pStyle w:val="lg-para3"/>
        <w:shd w:val="clear" w:color="auto" w:fill="FFFFFF"/>
        <w:spacing w:before="0" w:beforeAutospacing="0" w:after="0" w:afterAutospacing="0" w:line="360" w:lineRule="auto"/>
        <w:jc w:val="both"/>
        <w:rPr>
          <w:rFonts w:ascii="Arial" w:hAnsi="Arial" w:cs="Arial"/>
          <w:color w:val="000000"/>
          <w:sz w:val="22"/>
          <w:szCs w:val="18"/>
        </w:rPr>
      </w:pPr>
      <w:r>
        <w:rPr>
          <w:rFonts w:ascii="Arial" w:hAnsi="Arial" w:cs="Arial"/>
          <w:color w:val="000000"/>
          <w:sz w:val="22"/>
          <w:szCs w:val="18"/>
        </w:rPr>
        <w:t>‘</w:t>
      </w:r>
      <w:r w:rsidRPr="001E7AE6">
        <w:rPr>
          <w:rFonts w:ascii="Arial" w:hAnsi="Arial" w:cs="Arial"/>
          <w:color w:val="000000"/>
          <w:sz w:val="22"/>
          <w:szCs w:val="18"/>
        </w:rPr>
        <w:t>(3)  A director of a company is liable for any loss, damages or costs sustained by the company as a direct or indirect consequence of the director having—</w:t>
      </w:r>
    </w:p>
    <w:p w14:paraId="6F5F69F5" w14:textId="77777777" w:rsidR="006303A0" w:rsidRPr="001E7AE6" w:rsidRDefault="006303A0" w:rsidP="006303A0">
      <w:pPr>
        <w:pStyle w:val="lg-a-1"/>
        <w:shd w:val="clear" w:color="auto" w:fill="FFFFFF"/>
        <w:spacing w:before="0" w:beforeAutospacing="0" w:after="0" w:afterAutospacing="0" w:line="360" w:lineRule="auto"/>
        <w:jc w:val="both"/>
        <w:rPr>
          <w:rFonts w:ascii="Arial" w:hAnsi="Arial" w:cs="Arial"/>
          <w:color w:val="000000"/>
          <w:sz w:val="22"/>
          <w:szCs w:val="18"/>
        </w:rPr>
      </w:pPr>
      <w:r w:rsidRPr="001E7AE6">
        <w:rPr>
          <w:rFonts w:ascii="Arial" w:hAnsi="Arial" w:cs="Arial"/>
          <w:color w:val="000000"/>
          <w:sz w:val="22"/>
          <w:szCs w:val="18"/>
        </w:rPr>
        <w:t>(</w:t>
      </w:r>
      <w:r w:rsidRPr="001E7AE6">
        <w:rPr>
          <w:rFonts w:ascii="Arial" w:hAnsi="Arial" w:cs="Arial"/>
          <w:i/>
          <w:iCs/>
          <w:color w:val="000000"/>
          <w:sz w:val="22"/>
          <w:szCs w:val="18"/>
        </w:rPr>
        <w:t>a</w:t>
      </w:r>
      <w:r w:rsidRPr="001E7AE6">
        <w:rPr>
          <w:rFonts w:ascii="Arial" w:hAnsi="Arial" w:cs="Arial"/>
          <w:color w:val="000000"/>
          <w:sz w:val="22"/>
          <w:szCs w:val="18"/>
        </w:rPr>
        <w:t xml:space="preserve">) </w:t>
      </w:r>
      <w:r>
        <w:rPr>
          <w:rFonts w:ascii="Arial" w:hAnsi="Arial" w:cs="Arial"/>
          <w:color w:val="000000"/>
          <w:sz w:val="22"/>
          <w:szCs w:val="18"/>
        </w:rPr>
        <w:tab/>
        <w:t>. . .</w:t>
      </w:r>
    </w:p>
    <w:p w14:paraId="3A70DBFB" w14:textId="77777777" w:rsidR="00A65B52" w:rsidRDefault="006303A0" w:rsidP="006303A0">
      <w:pPr>
        <w:pStyle w:val="ListParagraph"/>
        <w:spacing w:line="360" w:lineRule="auto"/>
        <w:ind w:left="709" w:hanging="709"/>
        <w:contextualSpacing/>
        <w:mirrorIndents/>
        <w:jc w:val="both"/>
        <w:rPr>
          <w:rFonts w:ascii="Arial" w:hAnsi="Arial"/>
          <w:color w:val="000000"/>
          <w:sz w:val="22"/>
          <w:szCs w:val="18"/>
        </w:rPr>
      </w:pPr>
      <w:r w:rsidRPr="001E7AE6">
        <w:rPr>
          <w:rFonts w:ascii="Arial" w:hAnsi="Arial"/>
          <w:color w:val="000000"/>
          <w:sz w:val="22"/>
          <w:szCs w:val="18"/>
        </w:rPr>
        <w:t>(</w:t>
      </w:r>
      <w:r w:rsidRPr="001E7AE6">
        <w:rPr>
          <w:rFonts w:ascii="Arial" w:hAnsi="Arial"/>
          <w:i/>
          <w:iCs/>
          <w:color w:val="000000"/>
          <w:sz w:val="22"/>
          <w:szCs w:val="18"/>
        </w:rPr>
        <w:t>b</w:t>
      </w:r>
      <w:r w:rsidRPr="001E7AE6">
        <w:rPr>
          <w:rFonts w:ascii="Arial" w:hAnsi="Arial"/>
          <w:color w:val="000000"/>
          <w:sz w:val="22"/>
          <w:szCs w:val="18"/>
        </w:rPr>
        <w:t xml:space="preserve">) </w:t>
      </w:r>
      <w:r>
        <w:rPr>
          <w:rFonts w:ascii="Arial" w:hAnsi="Arial"/>
          <w:color w:val="000000"/>
          <w:sz w:val="22"/>
          <w:szCs w:val="18"/>
        </w:rPr>
        <w:tab/>
      </w:r>
      <w:r w:rsidRPr="001E7AE6">
        <w:rPr>
          <w:rFonts w:ascii="Arial" w:hAnsi="Arial"/>
          <w:color w:val="000000"/>
          <w:sz w:val="22"/>
          <w:szCs w:val="18"/>
        </w:rPr>
        <w:t>acquiesced in the carrying on of the company’s business despite knowing that it was being conducted in a manner prohibited by </w:t>
      </w:r>
      <w:r>
        <w:rPr>
          <w:rFonts w:ascii="Arial" w:hAnsi="Arial"/>
          <w:color w:val="000000"/>
          <w:sz w:val="22"/>
          <w:szCs w:val="18"/>
        </w:rPr>
        <w:t>section 22 (1).’</w:t>
      </w:r>
    </w:p>
    <w:p w14:paraId="16B40F51" w14:textId="77777777" w:rsidR="006303A0" w:rsidRDefault="006303A0" w:rsidP="006303A0">
      <w:pPr>
        <w:pStyle w:val="ListParagraph"/>
        <w:spacing w:line="360" w:lineRule="auto"/>
        <w:ind w:left="709" w:hanging="709"/>
        <w:contextualSpacing/>
        <w:mirrorIndents/>
        <w:jc w:val="both"/>
        <w:rPr>
          <w:rFonts w:ascii="Arial" w:hAnsi="Arial"/>
        </w:rPr>
      </w:pPr>
    </w:p>
    <w:p w14:paraId="14BC55D1" w14:textId="74023AE1" w:rsidR="000E61B2" w:rsidRPr="000E61B2" w:rsidRDefault="00EB17D5" w:rsidP="000E61B2">
      <w:pPr>
        <w:pStyle w:val="ListParagraph"/>
        <w:numPr>
          <w:ilvl w:val="0"/>
          <w:numId w:val="7"/>
        </w:numPr>
        <w:spacing w:line="360" w:lineRule="auto"/>
        <w:ind w:left="0" w:firstLine="0"/>
        <w:contextualSpacing/>
        <w:mirrorIndents/>
        <w:jc w:val="both"/>
        <w:rPr>
          <w:rFonts w:ascii="Arial" w:hAnsi="Arial"/>
        </w:rPr>
      </w:pPr>
      <w:r>
        <w:rPr>
          <w:rFonts w:ascii="Arial" w:hAnsi="Arial"/>
        </w:rPr>
        <w:t>The second defendant alleges that the particulars of claim do not aver any breach by the defendants of an obligation imposed on them by the Companies Act</w:t>
      </w:r>
      <w:r w:rsidR="00130E88">
        <w:rPr>
          <w:rFonts w:ascii="Arial" w:hAnsi="Arial"/>
        </w:rPr>
        <w:t>,</w:t>
      </w:r>
      <w:r>
        <w:rPr>
          <w:rFonts w:ascii="Arial" w:hAnsi="Arial"/>
        </w:rPr>
        <w:t xml:space="preserve"> in order to bring them and the alleged loss said to have been caused by them </w:t>
      </w:r>
      <w:r w:rsidR="000808E7">
        <w:rPr>
          <w:rFonts w:ascii="Arial" w:hAnsi="Arial"/>
        </w:rPr>
        <w:t>within the purview of section 218(2)</w:t>
      </w:r>
      <w:r w:rsidR="00130E88">
        <w:rPr>
          <w:rFonts w:ascii="Arial" w:hAnsi="Arial"/>
        </w:rPr>
        <w:t>,</w:t>
      </w:r>
      <w:r w:rsidR="000808E7">
        <w:rPr>
          <w:rFonts w:ascii="Arial" w:hAnsi="Arial"/>
        </w:rPr>
        <w:t xml:space="preserve"> and accordingly do</w:t>
      </w:r>
      <w:r w:rsidR="00EE6AE3">
        <w:rPr>
          <w:rFonts w:ascii="Arial" w:hAnsi="Arial"/>
        </w:rPr>
        <w:t>es</w:t>
      </w:r>
      <w:r w:rsidR="000808E7">
        <w:rPr>
          <w:rFonts w:ascii="Arial" w:hAnsi="Arial"/>
        </w:rPr>
        <w:t xml:space="preserve"> not sustain a cause of action. </w:t>
      </w:r>
    </w:p>
    <w:p w14:paraId="18350008" w14:textId="77777777" w:rsidR="000808E7" w:rsidRDefault="000808E7" w:rsidP="002238E7">
      <w:pPr>
        <w:pStyle w:val="ListParagraph"/>
        <w:spacing w:line="360" w:lineRule="auto"/>
        <w:ind w:left="0" w:firstLine="0"/>
        <w:contextualSpacing/>
        <w:mirrorIndents/>
        <w:jc w:val="both"/>
        <w:rPr>
          <w:rFonts w:ascii="Arial" w:hAnsi="Arial"/>
        </w:rPr>
      </w:pPr>
    </w:p>
    <w:p w14:paraId="444EE2DC" w14:textId="39086C99" w:rsidR="004E5D7C" w:rsidRDefault="000808E7" w:rsidP="002238E7">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It is further alleged that any conduct or omissions on the part of the defendants could not, on the pleaded case, have caused a loss to the plaintiff as it is </w:t>
      </w:r>
      <w:r>
        <w:rPr>
          <w:rFonts w:ascii="Arial" w:hAnsi="Arial"/>
          <w:i/>
        </w:rPr>
        <w:t xml:space="preserve">inter alia </w:t>
      </w:r>
      <w:r>
        <w:rPr>
          <w:rFonts w:ascii="Arial" w:hAnsi="Arial"/>
        </w:rPr>
        <w:t>pleaded that there was an agreement b</w:t>
      </w:r>
      <w:r w:rsidR="00BD1123">
        <w:rPr>
          <w:rFonts w:ascii="Arial" w:hAnsi="Arial"/>
        </w:rPr>
        <w:t xml:space="preserve">etween the plaintiff and Siyazi, in terms of which </w:t>
      </w:r>
      <w:r>
        <w:rPr>
          <w:rFonts w:ascii="Arial" w:hAnsi="Arial"/>
        </w:rPr>
        <w:t xml:space="preserve">Siyazi would pay over the amount </w:t>
      </w:r>
      <w:r w:rsidR="00826B9F">
        <w:rPr>
          <w:rFonts w:ascii="Arial" w:hAnsi="Arial"/>
        </w:rPr>
        <w:t xml:space="preserve">for </w:t>
      </w:r>
      <w:r>
        <w:rPr>
          <w:rFonts w:ascii="Arial" w:hAnsi="Arial"/>
        </w:rPr>
        <w:t>the disbursements to SARS. It was also pleaded that Siyazi only paid the amount of R31 353 697</w:t>
      </w:r>
      <w:r w:rsidR="00EE6AE3">
        <w:rPr>
          <w:rFonts w:ascii="Arial" w:hAnsi="Arial"/>
        </w:rPr>
        <w:t>.</w:t>
      </w:r>
      <w:r>
        <w:rPr>
          <w:rFonts w:ascii="Arial" w:hAnsi="Arial"/>
        </w:rPr>
        <w:t>27 to SARS</w:t>
      </w:r>
      <w:r w:rsidR="00130E88">
        <w:rPr>
          <w:rFonts w:ascii="Arial" w:hAnsi="Arial"/>
        </w:rPr>
        <w:t>,</w:t>
      </w:r>
      <w:r>
        <w:rPr>
          <w:rFonts w:ascii="Arial" w:hAnsi="Arial"/>
        </w:rPr>
        <w:t xml:space="preserve"> and that the damages suffered by the </w:t>
      </w:r>
      <w:r w:rsidR="004E5D7C">
        <w:rPr>
          <w:rFonts w:ascii="Arial" w:hAnsi="Arial"/>
        </w:rPr>
        <w:t>plaintiff arise from the alleged breach of the agreement by Siyazi.</w:t>
      </w:r>
      <w:r w:rsidR="00263DBB">
        <w:rPr>
          <w:rFonts w:ascii="Arial" w:hAnsi="Arial"/>
        </w:rPr>
        <w:t xml:space="preserve"> </w:t>
      </w:r>
      <w:r w:rsidR="00BD1123">
        <w:rPr>
          <w:rFonts w:ascii="Arial" w:hAnsi="Arial"/>
        </w:rPr>
        <w:t>It was alleged that</w:t>
      </w:r>
      <w:r w:rsidR="004E5D7C">
        <w:rPr>
          <w:rFonts w:ascii="Arial" w:hAnsi="Arial"/>
        </w:rPr>
        <w:t xml:space="preserve"> Siyazi was accordingly the cause of the alleged loss. </w:t>
      </w:r>
    </w:p>
    <w:p w14:paraId="2161F55B" w14:textId="77777777" w:rsidR="004E5D7C" w:rsidRPr="008D5C4D" w:rsidRDefault="004E5D7C" w:rsidP="002238E7">
      <w:pPr>
        <w:spacing w:line="360" w:lineRule="auto"/>
        <w:contextualSpacing/>
        <w:rPr>
          <w:rFonts w:ascii="Arial" w:hAnsi="Arial"/>
        </w:rPr>
      </w:pPr>
    </w:p>
    <w:p w14:paraId="460E58F5" w14:textId="2A8332E3" w:rsidR="005C60EA" w:rsidRDefault="004E5D7C" w:rsidP="002238E7">
      <w:pPr>
        <w:pStyle w:val="ListParagraph"/>
        <w:numPr>
          <w:ilvl w:val="0"/>
          <w:numId w:val="7"/>
        </w:numPr>
        <w:spacing w:line="360" w:lineRule="auto"/>
        <w:ind w:left="0" w:firstLine="0"/>
        <w:contextualSpacing/>
        <w:mirrorIndents/>
        <w:jc w:val="both"/>
        <w:rPr>
          <w:rFonts w:ascii="Arial" w:hAnsi="Arial"/>
        </w:rPr>
      </w:pPr>
      <w:r>
        <w:rPr>
          <w:rFonts w:ascii="Arial" w:hAnsi="Arial"/>
        </w:rPr>
        <w:t>It was also alleged that</w:t>
      </w:r>
      <w:r w:rsidR="00BD1123">
        <w:rPr>
          <w:rFonts w:ascii="Arial" w:hAnsi="Arial"/>
        </w:rPr>
        <w:t xml:space="preserve"> to the extent that the claim i</w:t>
      </w:r>
      <w:r>
        <w:rPr>
          <w:rFonts w:ascii="Arial" w:hAnsi="Arial"/>
        </w:rPr>
        <w:t>s predicated on fraud</w:t>
      </w:r>
      <w:r w:rsidR="00870D40">
        <w:rPr>
          <w:rFonts w:ascii="Arial" w:hAnsi="Arial"/>
        </w:rPr>
        <w:t xml:space="preserve">, it was not properly pleaded. The more serious the allegation, the greater the need </w:t>
      </w:r>
      <w:r w:rsidR="00A664BD">
        <w:rPr>
          <w:rFonts w:ascii="Arial" w:hAnsi="Arial"/>
        </w:rPr>
        <w:t xml:space="preserve">is </w:t>
      </w:r>
      <w:r w:rsidR="00870D40">
        <w:rPr>
          <w:rFonts w:ascii="Arial" w:hAnsi="Arial"/>
        </w:rPr>
        <w:t xml:space="preserve">for particulars to be given which explain the basis of the allegation, especially when  allegations of bad faith and dishonesty </w:t>
      </w:r>
      <w:r w:rsidR="00A664BD">
        <w:rPr>
          <w:rFonts w:ascii="Arial" w:hAnsi="Arial"/>
        </w:rPr>
        <w:t xml:space="preserve">are </w:t>
      </w:r>
      <w:r w:rsidR="00870D40">
        <w:rPr>
          <w:rFonts w:ascii="Arial" w:hAnsi="Arial"/>
        </w:rPr>
        <w:t xml:space="preserve">made. A general allegation of fraud is not sufficient to infer liability, </w:t>
      </w:r>
      <w:r w:rsidR="005C60EA">
        <w:rPr>
          <w:rFonts w:ascii="Arial" w:hAnsi="Arial"/>
        </w:rPr>
        <w:t>and must be supported by particulars.</w:t>
      </w:r>
    </w:p>
    <w:p w14:paraId="2F7791FC" w14:textId="77777777" w:rsidR="005C60EA" w:rsidRPr="008D5C4D" w:rsidRDefault="005C60EA" w:rsidP="002238E7">
      <w:pPr>
        <w:spacing w:line="360" w:lineRule="auto"/>
        <w:contextualSpacing/>
        <w:rPr>
          <w:rFonts w:ascii="Arial" w:hAnsi="Arial"/>
        </w:rPr>
      </w:pPr>
    </w:p>
    <w:p w14:paraId="1928485E" w14:textId="77777777" w:rsidR="005C60EA" w:rsidRDefault="005C60EA" w:rsidP="002238E7">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It was further alleged that the allegations of recklessness or gross negligence on the part of the second defendant as director do not sustain a cause of action as </w:t>
      </w:r>
      <w:r>
        <w:rPr>
          <w:rFonts w:ascii="Arial" w:hAnsi="Arial"/>
        </w:rPr>
        <w:lastRenderedPageBreak/>
        <w:t xml:space="preserve">there is no basis in law for the second defendant, as a separate person from Siyazi, to have prepared accounts, maintained controls and the like. The plaintiff did not plead any legally recognisable obligation on the second defendant as director to have maintained </w:t>
      </w:r>
      <w:r>
        <w:rPr>
          <w:rFonts w:ascii="Arial" w:hAnsi="Arial"/>
          <w:i/>
        </w:rPr>
        <w:t xml:space="preserve">inter alia </w:t>
      </w:r>
      <w:r>
        <w:rPr>
          <w:rFonts w:ascii="Arial" w:hAnsi="Arial"/>
        </w:rPr>
        <w:t xml:space="preserve">books of account and controls. At best for the plaintiff, the defendants were required to ensure that Siyazi conducted itself in this way. </w:t>
      </w:r>
    </w:p>
    <w:p w14:paraId="396CED21" w14:textId="77777777" w:rsidR="005C60EA" w:rsidRPr="008D5C4D" w:rsidRDefault="005C60EA" w:rsidP="002238E7">
      <w:pPr>
        <w:spacing w:line="360" w:lineRule="auto"/>
        <w:contextualSpacing/>
        <w:rPr>
          <w:rFonts w:ascii="Arial" w:hAnsi="Arial"/>
        </w:rPr>
      </w:pPr>
    </w:p>
    <w:p w14:paraId="22D1E08F" w14:textId="504B0811" w:rsidR="00915037" w:rsidRDefault="005C60EA" w:rsidP="002238E7">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It was also alleged that the allegations pleaded cannot constitute gross negligence. As far as fault is concerned, </w:t>
      </w:r>
      <w:r w:rsidR="006E21F9">
        <w:rPr>
          <w:rFonts w:ascii="Arial" w:hAnsi="Arial"/>
        </w:rPr>
        <w:t xml:space="preserve">it was argued that </w:t>
      </w:r>
      <w:r>
        <w:rPr>
          <w:rFonts w:ascii="Arial" w:hAnsi="Arial"/>
        </w:rPr>
        <w:t>there is a legal continuum</w:t>
      </w:r>
      <w:r w:rsidR="009D343E">
        <w:rPr>
          <w:rFonts w:ascii="Arial" w:hAnsi="Arial"/>
        </w:rPr>
        <w:t>,</w:t>
      </w:r>
      <w:r>
        <w:rPr>
          <w:rFonts w:ascii="Arial" w:hAnsi="Arial"/>
        </w:rPr>
        <w:t xml:space="preserve"> commencing with negligence, proceeding to gross negligence, recklessness</w:t>
      </w:r>
      <w:r w:rsidR="009D343E">
        <w:rPr>
          <w:rFonts w:ascii="Arial" w:hAnsi="Arial"/>
        </w:rPr>
        <w:t>,</w:t>
      </w:r>
      <w:r>
        <w:rPr>
          <w:rFonts w:ascii="Arial" w:hAnsi="Arial"/>
        </w:rPr>
        <w:t xml:space="preserve"> and culminating in </w:t>
      </w:r>
      <w:r>
        <w:rPr>
          <w:rFonts w:ascii="Arial" w:hAnsi="Arial"/>
          <w:i/>
        </w:rPr>
        <w:t xml:space="preserve">dolus eventualis, </w:t>
      </w:r>
      <w:r>
        <w:rPr>
          <w:rFonts w:ascii="Arial" w:hAnsi="Arial"/>
        </w:rPr>
        <w:t>which all embody d</w:t>
      </w:r>
      <w:r w:rsidR="000E61B2">
        <w:rPr>
          <w:rFonts w:ascii="Arial" w:hAnsi="Arial"/>
        </w:rPr>
        <w:t xml:space="preserve">ifferent standards of conduct. </w:t>
      </w:r>
      <w:r>
        <w:rPr>
          <w:rFonts w:ascii="Arial" w:hAnsi="Arial"/>
        </w:rPr>
        <w:t xml:space="preserve">The particulars of claim do not </w:t>
      </w:r>
      <w:r w:rsidR="00915037">
        <w:rPr>
          <w:rFonts w:ascii="Arial" w:hAnsi="Arial"/>
        </w:rPr>
        <w:t xml:space="preserve">make out a case for any of the aforementioned. </w:t>
      </w:r>
    </w:p>
    <w:p w14:paraId="68A0920F" w14:textId="77777777" w:rsidR="00915037" w:rsidRDefault="00915037" w:rsidP="002238E7">
      <w:pPr>
        <w:spacing w:line="360" w:lineRule="auto"/>
        <w:contextualSpacing/>
        <w:rPr>
          <w:rFonts w:ascii="Arial" w:hAnsi="Arial"/>
        </w:rPr>
      </w:pPr>
    </w:p>
    <w:p w14:paraId="7310278E" w14:textId="77777777" w:rsidR="00915037" w:rsidRPr="00E473AC" w:rsidRDefault="00E473AC" w:rsidP="002238E7">
      <w:pPr>
        <w:spacing w:line="360" w:lineRule="auto"/>
        <w:contextualSpacing/>
        <w:rPr>
          <w:rFonts w:ascii="Arial" w:hAnsi="Arial"/>
          <w:b/>
        </w:rPr>
      </w:pPr>
      <w:r w:rsidRPr="00E473AC">
        <w:rPr>
          <w:rFonts w:ascii="Arial" w:hAnsi="Arial"/>
          <w:b/>
        </w:rPr>
        <w:t xml:space="preserve">The second exception – vague and embarrassing </w:t>
      </w:r>
    </w:p>
    <w:p w14:paraId="4DCA782F" w14:textId="77B52FE6" w:rsidR="000808E7" w:rsidRDefault="00915037" w:rsidP="002238E7">
      <w:pPr>
        <w:pStyle w:val="ListParagraph"/>
        <w:numPr>
          <w:ilvl w:val="0"/>
          <w:numId w:val="7"/>
        </w:numPr>
        <w:spacing w:line="360" w:lineRule="auto"/>
        <w:ind w:left="0" w:firstLine="0"/>
        <w:contextualSpacing/>
        <w:mirrorIndents/>
        <w:jc w:val="both"/>
        <w:rPr>
          <w:rFonts w:ascii="Arial" w:hAnsi="Arial"/>
        </w:rPr>
      </w:pPr>
      <w:r>
        <w:rPr>
          <w:rFonts w:ascii="Arial" w:hAnsi="Arial"/>
        </w:rPr>
        <w:t>It is alleged that the plaintiff pleads with reference to section 22(1) of the Companies Act</w:t>
      </w:r>
      <w:r w:rsidR="009D343E">
        <w:rPr>
          <w:rFonts w:ascii="Arial" w:hAnsi="Arial"/>
        </w:rPr>
        <w:t>,</w:t>
      </w:r>
      <w:r>
        <w:rPr>
          <w:rFonts w:ascii="Arial" w:hAnsi="Arial"/>
        </w:rPr>
        <w:t xml:space="preserve"> and in particular pleads the elements of the section</w:t>
      </w:r>
      <w:r w:rsidR="009D343E">
        <w:rPr>
          <w:rFonts w:ascii="Arial" w:hAnsi="Arial"/>
        </w:rPr>
        <w:t xml:space="preserve">, namely </w:t>
      </w:r>
      <w:r>
        <w:rPr>
          <w:rFonts w:ascii="Arial" w:hAnsi="Arial"/>
        </w:rPr>
        <w:t xml:space="preserve">fraud, recklessness and negligence. It is unclear how section 22(1) is actionable in consequence of omissions of the defendants as directors, as section 22(1) relates to a company and not </w:t>
      </w:r>
      <w:r w:rsidR="00705817">
        <w:rPr>
          <w:rFonts w:ascii="Arial" w:hAnsi="Arial"/>
        </w:rPr>
        <w:t xml:space="preserve">to </w:t>
      </w:r>
      <w:r>
        <w:rPr>
          <w:rFonts w:ascii="Arial" w:hAnsi="Arial"/>
        </w:rPr>
        <w:t>directors. There is no allegation that section 22(1) regulates a director</w:t>
      </w:r>
      <w:r w:rsidR="00705817">
        <w:rPr>
          <w:rFonts w:ascii="Arial" w:hAnsi="Arial"/>
        </w:rPr>
        <w:t>’</w:t>
      </w:r>
      <w:r>
        <w:rPr>
          <w:rFonts w:ascii="Arial" w:hAnsi="Arial"/>
        </w:rPr>
        <w:t xml:space="preserve">s conduct. It is also alleged that section 22(1) does not impose obligations on the defendants as directors but the claim is set out on the basis that it does, which renders the claim vague. The second defendant is embarrassed and prejudiced by the pleading. </w:t>
      </w:r>
    </w:p>
    <w:p w14:paraId="6B7177D1" w14:textId="77777777" w:rsidR="00915037" w:rsidRDefault="00915037" w:rsidP="002238E7">
      <w:pPr>
        <w:pStyle w:val="ListParagraph"/>
        <w:spacing w:line="360" w:lineRule="auto"/>
        <w:ind w:left="0" w:firstLine="0"/>
        <w:contextualSpacing/>
        <w:mirrorIndents/>
        <w:jc w:val="both"/>
        <w:rPr>
          <w:rFonts w:ascii="Arial" w:hAnsi="Arial"/>
        </w:rPr>
      </w:pPr>
    </w:p>
    <w:p w14:paraId="7B0E7778" w14:textId="366D3980" w:rsidR="00915037" w:rsidRDefault="00915037" w:rsidP="002238E7">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It is further alleged that the plaintiff pleaded that Siyazi delivered disbursement accounts during the period 2018 and early 2019, </w:t>
      </w:r>
      <w:r w:rsidR="00F72CF1">
        <w:rPr>
          <w:rFonts w:ascii="Arial" w:hAnsi="Arial"/>
        </w:rPr>
        <w:t>after which</w:t>
      </w:r>
      <w:r>
        <w:rPr>
          <w:rFonts w:ascii="Arial" w:hAnsi="Arial"/>
        </w:rPr>
        <w:t xml:space="preserve"> the plaintiff paid the full amount to Siyazi. The particulars of claim contain no allegation as to when the plaintiff made the payments to Siyazi. It was necessary for the plaintiff to </w:t>
      </w:r>
      <w:r w:rsidR="004854E4">
        <w:rPr>
          <w:rFonts w:ascii="Arial" w:hAnsi="Arial"/>
        </w:rPr>
        <w:t xml:space="preserve">specifically </w:t>
      </w:r>
      <w:r w:rsidR="00F72CF1">
        <w:rPr>
          <w:rFonts w:ascii="Arial" w:hAnsi="Arial"/>
        </w:rPr>
        <w:t xml:space="preserve">particularise </w:t>
      </w:r>
      <w:r>
        <w:rPr>
          <w:rFonts w:ascii="Arial" w:hAnsi="Arial"/>
        </w:rPr>
        <w:t xml:space="preserve">when </w:t>
      </w:r>
      <w:r w:rsidR="00BD1123">
        <w:rPr>
          <w:rFonts w:ascii="Arial" w:hAnsi="Arial"/>
        </w:rPr>
        <w:t>payments were made as</w:t>
      </w:r>
      <w:r>
        <w:rPr>
          <w:rFonts w:ascii="Arial" w:hAnsi="Arial"/>
        </w:rPr>
        <w:t xml:space="preserve"> </w:t>
      </w:r>
      <w:r w:rsidR="00F72CF1">
        <w:rPr>
          <w:rFonts w:ascii="Arial" w:hAnsi="Arial"/>
        </w:rPr>
        <w:t xml:space="preserve">the </w:t>
      </w:r>
      <w:r>
        <w:rPr>
          <w:rFonts w:ascii="Arial" w:hAnsi="Arial"/>
        </w:rPr>
        <w:t>summons was issued in October 2021. It is alleged that the second defendant is prejudiced as it is not possible to discern from the pleading when the plaintiff contends it made payments</w:t>
      </w:r>
      <w:r w:rsidR="004854E4">
        <w:rPr>
          <w:rFonts w:ascii="Arial" w:hAnsi="Arial"/>
        </w:rPr>
        <w:t>,</w:t>
      </w:r>
      <w:r>
        <w:rPr>
          <w:rFonts w:ascii="Arial" w:hAnsi="Arial"/>
        </w:rPr>
        <w:t xml:space="preserve"> and therefore the second defendant cannot properly consider whether to plead prescription. </w:t>
      </w:r>
    </w:p>
    <w:p w14:paraId="750A422F" w14:textId="77777777" w:rsidR="00915037" w:rsidRPr="008D5C4D" w:rsidRDefault="00915037" w:rsidP="002238E7">
      <w:pPr>
        <w:spacing w:line="360" w:lineRule="auto"/>
        <w:contextualSpacing/>
        <w:rPr>
          <w:rFonts w:ascii="Arial" w:hAnsi="Arial"/>
        </w:rPr>
      </w:pPr>
    </w:p>
    <w:p w14:paraId="2599EE33" w14:textId="1743B480" w:rsidR="00915037" w:rsidRDefault="00915037" w:rsidP="002238E7">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It is </w:t>
      </w:r>
      <w:r w:rsidR="00BD1123">
        <w:rPr>
          <w:rFonts w:ascii="Arial" w:hAnsi="Arial"/>
        </w:rPr>
        <w:t>also alleged that the allegation</w:t>
      </w:r>
      <w:r>
        <w:rPr>
          <w:rFonts w:ascii="Arial" w:hAnsi="Arial"/>
        </w:rPr>
        <w:t xml:space="preserve"> that the disbursement accounts constituted a representation</w:t>
      </w:r>
      <w:r w:rsidR="00585255">
        <w:rPr>
          <w:rFonts w:ascii="Arial" w:hAnsi="Arial"/>
        </w:rPr>
        <w:t xml:space="preserve"> by Siyazi to the plaintiff is vague and embarrassing as it is unclear </w:t>
      </w:r>
      <w:r w:rsidR="00585255">
        <w:rPr>
          <w:rFonts w:ascii="Arial" w:hAnsi="Arial"/>
        </w:rPr>
        <w:lastRenderedPageBreak/>
        <w:t>how it forms part of the cause of action. The plaintiff’s claim seems to be based on statutory liability</w:t>
      </w:r>
      <w:r w:rsidR="004854E4">
        <w:rPr>
          <w:rFonts w:ascii="Arial" w:hAnsi="Arial"/>
        </w:rPr>
        <w:t>,</w:t>
      </w:r>
      <w:r w:rsidR="00585255">
        <w:rPr>
          <w:rFonts w:ascii="Arial" w:hAnsi="Arial"/>
        </w:rPr>
        <w:t xml:space="preserve"> and not </w:t>
      </w:r>
      <w:r w:rsidR="00CC4048">
        <w:rPr>
          <w:rFonts w:ascii="Arial" w:hAnsi="Arial"/>
        </w:rPr>
        <w:t xml:space="preserve">on </w:t>
      </w:r>
      <w:r w:rsidR="00585255">
        <w:rPr>
          <w:rFonts w:ascii="Arial" w:hAnsi="Arial"/>
        </w:rPr>
        <w:t>an actionable representation or misrepresentation. There is also no averment that Siyazi intended the plaintiff to rely on the representation or that the plaintiff did so, as would be expected when a representation is pleaded. The second defendant is</w:t>
      </w:r>
      <w:r w:rsidR="00F25EF2">
        <w:rPr>
          <w:rFonts w:ascii="Arial" w:hAnsi="Arial"/>
        </w:rPr>
        <w:t xml:space="preserve"> thus</w:t>
      </w:r>
      <w:r w:rsidR="00585255">
        <w:rPr>
          <w:rFonts w:ascii="Arial" w:hAnsi="Arial"/>
        </w:rPr>
        <w:t xml:space="preserve"> prejudiced by the pleading. </w:t>
      </w:r>
    </w:p>
    <w:p w14:paraId="1D53EE60" w14:textId="77777777" w:rsidR="00585255" w:rsidRPr="008D5C4D" w:rsidRDefault="00585255" w:rsidP="002238E7">
      <w:pPr>
        <w:spacing w:line="360" w:lineRule="auto"/>
        <w:contextualSpacing/>
        <w:rPr>
          <w:rFonts w:ascii="Arial" w:hAnsi="Arial"/>
        </w:rPr>
      </w:pPr>
    </w:p>
    <w:p w14:paraId="37EC962B" w14:textId="1B70538A" w:rsidR="00585255" w:rsidRDefault="00585255" w:rsidP="002238E7">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The lack of particularity with regard to the allegations of fraud was again raised, it being alleged that it is vague and that it is insufficient to make a general allegation of fraud. The vagueness is compounded by the allegation that the fraud and/or theft was on the part of the employees and/or the defendants. It should </w:t>
      </w:r>
      <w:r>
        <w:rPr>
          <w:rFonts w:ascii="Arial" w:hAnsi="Arial"/>
          <w:i/>
        </w:rPr>
        <w:t xml:space="preserve">inter alia </w:t>
      </w:r>
      <w:r>
        <w:rPr>
          <w:rFonts w:ascii="Arial" w:hAnsi="Arial"/>
        </w:rPr>
        <w:t>have been alleged whether the second defendant conspired or acted in common purpose with employees</w:t>
      </w:r>
      <w:r w:rsidR="004854E4">
        <w:rPr>
          <w:rFonts w:ascii="Arial" w:hAnsi="Arial"/>
        </w:rPr>
        <w:t>,</w:t>
      </w:r>
      <w:r>
        <w:rPr>
          <w:rFonts w:ascii="Arial" w:hAnsi="Arial"/>
        </w:rPr>
        <w:t xml:space="preserve"> as the second defendant should be able to understand the case he is required to meet. The second defendant is embarrassed and prejudiced in pleading. </w:t>
      </w:r>
    </w:p>
    <w:p w14:paraId="0A49B96E" w14:textId="77777777" w:rsidR="00585255" w:rsidRDefault="00585255" w:rsidP="002238E7">
      <w:pPr>
        <w:spacing w:line="360" w:lineRule="auto"/>
        <w:contextualSpacing/>
        <w:rPr>
          <w:rFonts w:ascii="Arial" w:hAnsi="Arial"/>
        </w:rPr>
      </w:pPr>
    </w:p>
    <w:p w14:paraId="495B6137" w14:textId="77777777" w:rsidR="00585255" w:rsidRPr="00E473AC" w:rsidRDefault="00E473AC" w:rsidP="002238E7">
      <w:pPr>
        <w:spacing w:line="360" w:lineRule="auto"/>
        <w:contextualSpacing/>
        <w:rPr>
          <w:rFonts w:ascii="Arial" w:hAnsi="Arial"/>
          <w:b/>
        </w:rPr>
      </w:pPr>
      <w:r w:rsidRPr="00E473AC">
        <w:rPr>
          <w:rFonts w:ascii="Arial" w:hAnsi="Arial"/>
          <w:b/>
        </w:rPr>
        <w:t>Legal principles – exceptions</w:t>
      </w:r>
    </w:p>
    <w:p w14:paraId="51AD53EB" w14:textId="77777777" w:rsidR="00585255" w:rsidRDefault="00585255" w:rsidP="002238E7">
      <w:pPr>
        <w:pStyle w:val="ListParagraph"/>
        <w:numPr>
          <w:ilvl w:val="0"/>
          <w:numId w:val="7"/>
        </w:numPr>
        <w:spacing w:line="360" w:lineRule="auto"/>
        <w:ind w:left="0" w:firstLine="0"/>
        <w:contextualSpacing/>
        <w:mirrorIndents/>
        <w:jc w:val="both"/>
        <w:rPr>
          <w:rFonts w:ascii="Arial" w:hAnsi="Arial"/>
        </w:rPr>
      </w:pPr>
      <w:r>
        <w:rPr>
          <w:rFonts w:ascii="Arial" w:hAnsi="Arial"/>
        </w:rPr>
        <w:t>Before I proceed to deal with the contentions made on behalf of both parties, it may be useful to consider the approach taken by courts when considering exceptions.</w:t>
      </w:r>
    </w:p>
    <w:p w14:paraId="01794F84" w14:textId="77777777" w:rsidR="00585255" w:rsidRDefault="00585255" w:rsidP="002238E7">
      <w:pPr>
        <w:pStyle w:val="ListParagraph"/>
        <w:spacing w:line="360" w:lineRule="auto"/>
        <w:ind w:left="0" w:firstLine="0"/>
        <w:contextualSpacing/>
        <w:mirrorIndents/>
        <w:jc w:val="both"/>
        <w:rPr>
          <w:rFonts w:ascii="Arial" w:hAnsi="Arial"/>
        </w:rPr>
      </w:pPr>
    </w:p>
    <w:p w14:paraId="25EC3912" w14:textId="07C1579C" w:rsidR="00585255" w:rsidRPr="00F25EF2" w:rsidRDefault="00585255" w:rsidP="00F25EF2">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In </w:t>
      </w:r>
      <w:r>
        <w:rPr>
          <w:rFonts w:ascii="Arial" w:hAnsi="Arial"/>
          <w:i/>
        </w:rPr>
        <w:t>Living Hands (Pty) Ltd v Ditz</w:t>
      </w:r>
      <w:r>
        <w:rPr>
          <w:rFonts w:ascii="Arial" w:hAnsi="Arial"/>
        </w:rPr>
        <w:t>,</w:t>
      </w:r>
      <w:r w:rsidR="00F25EF2">
        <w:rPr>
          <w:rStyle w:val="FootnoteReference"/>
          <w:rFonts w:ascii="Arial" w:hAnsi="Arial"/>
        </w:rPr>
        <w:footnoteReference w:id="1"/>
      </w:r>
      <w:r>
        <w:rPr>
          <w:rFonts w:ascii="Arial" w:hAnsi="Arial"/>
        </w:rPr>
        <w:t xml:space="preserve"> </w:t>
      </w:r>
      <w:r w:rsidR="00407007">
        <w:rPr>
          <w:rFonts w:ascii="Arial" w:hAnsi="Arial"/>
        </w:rPr>
        <w:t>the court</w:t>
      </w:r>
      <w:r w:rsidR="008D0F59">
        <w:rPr>
          <w:rFonts w:ascii="Arial" w:hAnsi="Arial"/>
        </w:rPr>
        <w:t xml:space="preserve"> provided an overview of the </w:t>
      </w:r>
      <w:r w:rsidR="008D0F59" w:rsidRPr="00F25EF2">
        <w:rPr>
          <w:rFonts w:ascii="Arial" w:hAnsi="Arial"/>
        </w:rPr>
        <w:t xml:space="preserve">general principles, </w:t>
      </w:r>
      <w:r w:rsidR="001C686B">
        <w:rPr>
          <w:rFonts w:ascii="Arial" w:hAnsi="Arial"/>
        </w:rPr>
        <w:t xml:space="preserve">as </w:t>
      </w:r>
      <w:r w:rsidR="008D0F59" w:rsidRPr="00F25EF2">
        <w:rPr>
          <w:rFonts w:ascii="Arial" w:hAnsi="Arial"/>
        </w:rPr>
        <w:t xml:space="preserve">distilled from </w:t>
      </w:r>
      <w:r w:rsidR="00545EF1" w:rsidRPr="00F25EF2">
        <w:rPr>
          <w:rFonts w:ascii="Arial" w:hAnsi="Arial"/>
        </w:rPr>
        <w:t>case</w:t>
      </w:r>
      <w:r w:rsidR="008D0F59" w:rsidRPr="00F25EF2">
        <w:rPr>
          <w:rFonts w:ascii="Arial" w:hAnsi="Arial"/>
        </w:rPr>
        <w:t xml:space="preserve"> law:</w:t>
      </w:r>
    </w:p>
    <w:p w14:paraId="72563144" w14:textId="77777777" w:rsidR="00F25EF2" w:rsidRPr="00F25EF2" w:rsidRDefault="00F25EF2" w:rsidP="00F25EF2">
      <w:pPr>
        <w:pStyle w:val="ListParagraph"/>
        <w:spacing w:line="360" w:lineRule="auto"/>
        <w:ind w:left="0" w:firstLine="0"/>
        <w:contextualSpacing/>
        <w:mirrorIndents/>
        <w:jc w:val="both"/>
        <w:rPr>
          <w:rFonts w:ascii="Arial" w:hAnsi="Arial"/>
          <w:color w:val="000000"/>
          <w:sz w:val="22"/>
          <w:szCs w:val="22"/>
          <w:lang w:val="en-US" w:eastAsia="en-US"/>
        </w:rPr>
      </w:pPr>
      <w:r w:rsidRPr="00F25EF2">
        <w:rPr>
          <w:rFonts w:ascii="Arial" w:hAnsi="Arial"/>
          <w:sz w:val="22"/>
          <w:szCs w:val="22"/>
        </w:rPr>
        <w:t>‘</w:t>
      </w:r>
      <w:r w:rsidRPr="00F25EF2">
        <w:rPr>
          <w:rFonts w:ascii="Arial" w:hAnsi="Arial"/>
          <w:i/>
          <w:iCs/>
          <w:color w:val="000000"/>
          <w:sz w:val="22"/>
          <w:szCs w:val="22"/>
          <w:lang w:val="en-US" w:eastAsia="en-US"/>
        </w:rPr>
        <w:t>(a)</w:t>
      </w:r>
      <w:r w:rsidRPr="00F25EF2">
        <w:rPr>
          <w:rFonts w:ascii="Arial" w:hAnsi="Arial"/>
          <w:color w:val="000000"/>
          <w:sz w:val="22"/>
          <w:szCs w:val="22"/>
          <w:lang w:val="en-US" w:eastAsia="en-US"/>
        </w:rPr>
        <w:t>   In considering an exception that a pleading does not sustain a cause of action, the court will accept, as true, the allegations pleaded by the plaintiff to assess whether they disclose a cause of action.</w:t>
      </w:r>
    </w:p>
    <w:p w14:paraId="6FACFF37" w14:textId="77777777" w:rsidR="00F25EF2" w:rsidRPr="00F25EF2" w:rsidRDefault="00F25EF2" w:rsidP="00F25EF2">
      <w:pPr>
        <w:spacing w:line="360" w:lineRule="auto"/>
        <w:jc w:val="both"/>
        <w:rPr>
          <w:rFonts w:ascii="Arial" w:hAnsi="Arial" w:cs="Arial"/>
          <w:color w:val="000000"/>
          <w:sz w:val="22"/>
          <w:szCs w:val="22"/>
          <w:lang w:val="en-US" w:eastAsia="en-US"/>
        </w:rPr>
      </w:pPr>
      <w:r w:rsidRPr="00F25EF2">
        <w:rPr>
          <w:rFonts w:ascii="Arial" w:hAnsi="Arial" w:cs="Arial"/>
          <w:i/>
          <w:iCs/>
          <w:color w:val="000000"/>
          <w:sz w:val="22"/>
          <w:szCs w:val="22"/>
          <w:lang w:val="en-US" w:eastAsia="en-US"/>
        </w:rPr>
        <w:t>(b)</w:t>
      </w:r>
      <w:r w:rsidRPr="00F25EF2">
        <w:rPr>
          <w:rFonts w:ascii="Arial" w:hAnsi="Arial" w:cs="Arial"/>
          <w:color w:val="000000"/>
          <w:sz w:val="22"/>
          <w:szCs w:val="22"/>
          <w:lang w:val="en-US" w:eastAsia="en-US"/>
        </w:rPr>
        <w:t>   The object of an exception is not to embarrass one's opponent or to take advantage of a technical flaw, but to dispose of the case or a portion thereof in an expeditious manner, or to protect oneself against an embarrassment which is so serious as to merit the costs even of an exception.</w:t>
      </w:r>
      <w:bookmarkStart w:id="0" w:name="0-0-0-225437"/>
      <w:bookmarkEnd w:id="0"/>
    </w:p>
    <w:p w14:paraId="5AC7CCCD" w14:textId="77777777" w:rsidR="00F25EF2" w:rsidRPr="00F25EF2" w:rsidRDefault="00F25EF2" w:rsidP="00F25EF2">
      <w:pPr>
        <w:spacing w:line="360" w:lineRule="auto"/>
        <w:jc w:val="both"/>
        <w:rPr>
          <w:rFonts w:ascii="Arial" w:hAnsi="Arial" w:cs="Arial"/>
          <w:color w:val="000000"/>
          <w:sz w:val="22"/>
          <w:szCs w:val="22"/>
          <w:lang w:val="en-US" w:eastAsia="en-US"/>
        </w:rPr>
      </w:pPr>
      <w:r w:rsidRPr="00F25EF2">
        <w:rPr>
          <w:rFonts w:ascii="Arial" w:hAnsi="Arial" w:cs="Arial"/>
          <w:i/>
          <w:iCs/>
          <w:color w:val="000000"/>
          <w:sz w:val="22"/>
          <w:szCs w:val="22"/>
          <w:lang w:val="en-US" w:eastAsia="en-US"/>
        </w:rPr>
        <w:t>(c)</w:t>
      </w:r>
      <w:r w:rsidRPr="00F25EF2">
        <w:rPr>
          <w:rFonts w:ascii="Arial" w:hAnsi="Arial" w:cs="Arial"/>
          <w:color w:val="000000"/>
          <w:sz w:val="22"/>
          <w:szCs w:val="22"/>
          <w:lang w:val="en-US" w:eastAsia="en-US"/>
        </w:rPr>
        <w:t>   The purpose of an exception is to raise a substantive question of law which may have the effect of settling the dispute between the parties. If the exception is not taken for that purpose, an excipient should make out a very clear case before it would be allowed to succeed.</w:t>
      </w:r>
      <w:bookmarkStart w:id="1" w:name="0-0-0-225441"/>
      <w:bookmarkEnd w:id="1"/>
    </w:p>
    <w:p w14:paraId="3E08BD00" w14:textId="77777777" w:rsidR="00F25EF2" w:rsidRPr="00F25EF2" w:rsidRDefault="00F25EF2" w:rsidP="00F25EF2">
      <w:pPr>
        <w:spacing w:line="360" w:lineRule="auto"/>
        <w:jc w:val="both"/>
        <w:rPr>
          <w:rFonts w:ascii="Arial" w:hAnsi="Arial" w:cs="Arial"/>
          <w:color w:val="000000"/>
          <w:sz w:val="22"/>
          <w:szCs w:val="22"/>
          <w:lang w:val="en-US" w:eastAsia="en-US"/>
        </w:rPr>
      </w:pPr>
      <w:r w:rsidRPr="00F25EF2">
        <w:rPr>
          <w:rFonts w:ascii="Arial" w:hAnsi="Arial" w:cs="Arial"/>
          <w:i/>
          <w:iCs/>
          <w:color w:val="000000"/>
          <w:sz w:val="22"/>
          <w:szCs w:val="22"/>
          <w:lang w:val="en-US" w:eastAsia="en-US"/>
        </w:rPr>
        <w:t>(d)</w:t>
      </w:r>
      <w:r w:rsidRPr="00F25EF2">
        <w:rPr>
          <w:rFonts w:ascii="Arial" w:hAnsi="Arial" w:cs="Arial"/>
          <w:color w:val="000000"/>
          <w:sz w:val="22"/>
          <w:szCs w:val="22"/>
          <w:lang w:val="en-US" w:eastAsia="en-US"/>
        </w:rPr>
        <w:t>   An excipient who alleges that a summons does not disclose a cause of action must establish that, upon any construction of the particulars of claim, no cause of action is disclosed.</w:t>
      </w:r>
      <w:bookmarkStart w:id="2" w:name="0-0-0-225445"/>
      <w:bookmarkEnd w:id="2"/>
      <w:r w:rsidRPr="00F25EF2">
        <w:rPr>
          <w:rFonts w:ascii="Arial" w:hAnsi="Arial" w:cs="Arial"/>
          <w:color w:val="000000"/>
          <w:sz w:val="22"/>
          <w:szCs w:val="22"/>
          <w:lang w:val="en-US" w:eastAsia="en-US"/>
        </w:rPr>
        <w:t xml:space="preserve"> </w:t>
      </w:r>
    </w:p>
    <w:p w14:paraId="70476B62" w14:textId="77777777" w:rsidR="00F25EF2" w:rsidRPr="00F25EF2" w:rsidRDefault="00F25EF2" w:rsidP="00F25EF2">
      <w:pPr>
        <w:spacing w:line="360" w:lineRule="auto"/>
        <w:jc w:val="both"/>
        <w:rPr>
          <w:rFonts w:ascii="Arial" w:hAnsi="Arial" w:cs="Arial"/>
          <w:color w:val="000000"/>
          <w:sz w:val="22"/>
          <w:szCs w:val="22"/>
          <w:lang w:val="en-US" w:eastAsia="en-US"/>
        </w:rPr>
      </w:pPr>
      <w:r w:rsidRPr="00F25EF2">
        <w:rPr>
          <w:rFonts w:ascii="Arial" w:hAnsi="Arial" w:cs="Arial"/>
          <w:i/>
          <w:iCs/>
          <w:color w:val="000000"/>
          <w:sz w:val="22"/>
          <w:szCs w:val="22"/>
          <w:lang w:val="en-US" w:eastAsia="en-US"/>
        </w:rPr>
        <w:lastRenderedPageBreak/>
        <w:t>(e)</w:t>
      </w:r>
      <w:r w:rsidRPr="00F25EF2">
        <w:rPr>
          <w:rFonts w:ascii="Arial" w:hAnsi="Arial" w:cs="Arial"/>
          <w:color w:val="000000"/>
          <w:sz w:val="22"/>
          <w:szCs w:val="22"/>
          <w:lang w:val="en-US" w:eastAsia="en-US"/>
        </w:rPr>
        <w:t>   An over-technical approach should be avoided because it destroys the usefulness of the exception procedure, which is to weed out cases without legal merit.</w:t>
      </w:r>
      <w:bookmarkStart w:id="3" w:name="0-0-0-225449"/>
      <w:bookmarkEnd w:id="3"/>
      <w:r w:rsidRPr="00F25EF2">
        <w:rPr>
          <w:rFonts w:ascii="Arial" w:hAnsi="Arial" w:cs="Arial"/>
          <w:color w:val="000000"/>
          <w:sz w:val="22"/>
          <w:szCs w:val="22"/>
          <w:lang w:val="en-US" w:eastAsia="en-US"/>
        </w:rPr>
        <w:t xml:space="preserve"> </w:t>
      </w:r>
    </w:p>
    <w:p w14:paraId="7EEF8C41" w14:textId="77777777" w:rsidR="00F25EF2" w:rsidRPr="00F25EF2" w:rsidRDefault="00F25EF2" w:rsidP="00F25EF2">
      <w:pPr>
        <w:spacing w:line="360" w:lineRule="auto"/>
        <w:jc w:val="both"/>
        <w:rPr>
          <w:rFonts w:ascii="Arial" w:hAnsi="Arial" w:cs="Arial"/>
          <w:color w:val="000000"/>
          <w:sz w:val="22"/>
          <w:szCs w:val="22"/>
          <w:lang w:val="en-US" w:eastAsia="en-US"/>
        </w:rPr>
      </w:pPr>
      <w:r w:rsidRPr="00F25EF2">
        <w:rPr>
          <w:rFonts w:ascii="Arial" w:hAnsi="Arial" w:cs="Arial"/>
          <w:i/>
          <w:iCs/>
          <w:color w:val="000000"/>
          <w:sz w:val="22"/>
          <w:szCs w:val="22"/>
          <w:lang w:val="en-US" w:eastAsia="en-US"/>
        </w:rPr>
        <w:t>(f)</w:t>
      </w:r>
      <w:r w:rsidRPr="00F25EF2">
        <w:rPr>
          <w:rFonts w:ascii="Arial" w:hAnsi="Arial" w:cs="Arial"/>
          <w:color w:val="000000"/>
          <w:sz w:val="22"/>
          <w:szCs w:val="22"/>
          <w:lang w:val="en-US" w:eastAsia="en-US"/>
        </w:rPr>
        <w:t>   Pleadings must be read as a whole and an exception cannot be taken to a paragraph or a part of a pleading that is not self-contained.</w:t>
      </w:r>
      <w:bookmarkStart w:id="4" w:name="0-0-0-225453"/>
      <w:bookmarkEnd w:id="4"/>
      <w:r w:rsidRPr="00F25EF2">
        <w:rPr>
          <w:rFonts w:ascii="Arial" w:hAnsi="Arial" w:cs="Arial"/>
          <w:color w:val="000000"/>
          <w:sz w:val="22"/>
          <w:szCs w:val="22"/>
          <w:lang w:val="en-US" w:eastAsia="en-US"/>
        </w:rPr>
        <w:t xml:space="preserve"> </w:t>
      </w:r>
    </w:p>
    <w:p w14:paraId="46E48AFB" w14:textId="77777777" w:rsidR="009C5C8C" w:rsidRPr="00F25EF2" w:rsidRDefault="00F25EF2" w:rsidP="00F25EF2">
      <w:pPr>
        <w:pStyle w:val="ListParagraph"/>
        <w:spacing w:line="360" w:lineRule="auto"/>
        <w:ind w:left="0" w:firstLine="0"/>
        <w:contextualSpacing/>
        <w:mirrorIndents/>
        <w:jc w:val="both"/>
        <w:rPr>
          <w:rFonts w:ascii="Arial" w:hAnsi="Arial"/>
          <w:sz w:val="22"/>
          <w:szCs w:val="22"/>
        </w:rPr>
      </w:pPr>
      <w:r w:rsidRPr="00503208">
        <w:rPr>
          <w:rFonts w:ascii="Arial" w:hAnsi="Arial"/>
          <w:i/>
          <w:iCs/>
          <w:color w:val="000000"/>
          <w:sz w:val="22"/>
          <w:szCs w:val="22"/>
          <w:lang w:val="en-US" w:eastAsia="en-US"/>
        </w:rPr>
        <w:t>(g)</w:t>
      </w:r>
      <w:r w:rsidRPr="00503208">
        <w:rPr>
          <w:rFonts w:ascii="Arial" w:hAnsi="Arial"/>
          <w:color w:val="000000"/>
          <w:sz w:val="22"/>
          <w:szCs w:val="22"/>
          <w:lang w:val="en-US" w:eastAsia="en-US"/>
        </w:rPr>
        <w:t>   Minor blemishes and unradical embarrassments caused by a pleading can and should be cured by further particulars</w:t>
      </w:r>
      <w:r w:rsidRPr="00F25EF2">
        <w:rPr>
          <w:rFonts w:ascii="Arial" w:hAnsi="Arial"/>
          <w:color w:val="000000"/>
          <w:sz w:val="22"/>
          <w:szCs w:val="22"/>
          <w:lang w:val="en-US" w:eastAsia="en-US"/>
        </w:rPr>
        <w:t xml:space="preserve">.’ </w:t>
      </w:r>
      <w:r w:rsidR="00BD1123" w:rsidRPr="00F25EF2">
        <w:rPr>
          <w:rFonts w:ascii="Arial" w:hAnsi="Arial"/>
          <w:sz w:val="22"/>
          <w:szCs w:val="22"/>
        </w:rPr>
        <w:t>(</w:t>
      </w:r>
      <w:r w:rsidRPr="00F25EF2">
        <w:rPr>
          <w:rFonts w:ascii="Arial" w:hAnsi="Arial"/>
          <w:sz w:val="22"/>
          <w:szCs w:val="22"/>
        </w:rPr>
        <w:t xml:space="preserve">Footnotes </w:t>
      </w:r>
      <w:r w:rsidR="00BD1123" w:rsidRPr="00F25EF2">
        <w:rPr>
          <w:rFonts w:ascii="Arial" w:hAnsi="Arial"/>
          <w:sz w:val="22"/>
          <w:szCs w:val="22"/>
        </w:rPr>
        <w:t>omitted)</w:t>
      </w:r>
    </w:p>
    <w:p w14:paraId="48B49247" w14:textId="77777777" w:rsidR="008D0F59" w:rsidRPr="008D5C4D" w:rsidRDefault="008D0F59" w:rsidP="002238E7">
      <w:pPr>
        <w:spacing w:line="360" w:lineRule="auto"/>
        <w:contextualSpacing/>
        <w:rPr>
          <w:rFonts w:ascii="Arial" w:hAnsi="Arial"/>
        </w:rPr>
      </w:pPr>
    </w:p>
    <w:p w14:paraId="525C987D" w14:textId="1D154F09" w:rsidR="008D0F59" w:rsidRPr="00C50D2D" w:rsidRDefault="0097793E" w:rsidP="002238E7">
      <w:pPr>
        <w:pStyle w:val="ListParagraph"/>
        <w:numPr>
          <w:ilvl w:val="0"/>
          <w:numId w:val="7"/>
        </w:numPr>
        <w:spacing w:line="360" w:lineRule="auto"/>
        <w:ind w:left="0" w:firstLine="0"/>
        <w:contextualSpacing/>
        <w:mirrorIndents/>
        <w:jc w:val="both"/>
        <w:rPr>
          <w:rFonts w:ascii="Arial" w:hAnsi="Arial"/>
        </w:rPr>
      </w:pPr>
      <w:r>
        <w:rPr>
          <w:rFonts w:ascii="Arial" w:hAnsi="Arial"/>
        </w:rPr>
        <w:t xml:space="preserve">Where an exception arises in respect of </w:t>
      </w:r>
      <w:r w:rsidR="001C686B">
        <w:rPr>
          <w:rFonts w:ascii="Arial" w:hAnsi="Arial"/>
        </w:rPr>
        <w:t xml:space="preserve">the </w:t>
      </w:r>
      <w:r>
        <w:rPr>
          <w:rFonts w:ascii="Arial" w:hAnsi="Arial"/>
        </w:rPr>
        <w:t xml:space="preserve">interpretation of statutory provisions, it was held in </w:t>
      </w:r>
      <w:r>
        <w:rPr>
          <w:rFonts w:ascii="Arial" w:hAnsi="Arial"/>
          <w:i/>
        </w:rPr>
        <w:t xml:space="preserve">Fairlands (Pty) </w:t>
      </w:r>
      <w:r w:rsidR="00F25EF2">
        <w:rPr>
          <w:rFonts w:ascii="Arial" w:hAnsi="Arial"/>
          <w:i/>
        </w:rPr>
        <w:t xml:space="preserve">Ltd </w:t>
      </w:r>
      <w:r>
        <w:rPr>
          <w:rFonts w:ascii="Arial" w:hAnsi="Arial"/>
          <w:i/>
        </w:rPr>
        <w:t xml:space="preserve">v Inter-Continental Motors (Pty) </w:t>
      </w:r>
      <w:r w:rsidR="00F25EF2">
        <w:rPr>
          <w:rFonts w:ascii="Arial" w:hAnsi="Arial"/>
          <w:i/>
        </w:rPr>
        <w:t>Ltd</w:t>
      </w:r>
      <w:r w:rsidR="00F25EF2">
        <w:rPr>
          <w:rStyle w:val="FootnoteReference"/>
          <w:rFonts w:ascii="Arial" w:hAnsi="Arial"/>
          <w:i/>
        </w:rPr>
        <w:footnoteReference w:id="2"/>
      </w:r>
      <w:r w:rsidRPr="00F25EF2">
        <w:rPr>
          <w:rFonts w:ascii="Arial" w:hAnsi="Arial"/>
          <w:i/>
        </w:rPr>
        <w:t xml:space="preserve"> </w:t>
      </w:r>
      <w:r w:rsidRPr="00F25EF2">
        <w:rPr>
          <w:rFonts w:ascii="Arial" w:hAnsi="Arial"/>
        </w:rPr>
        <w:t xml:space="preserve"> that </w:t>
      </w:r>
      <w:r w:rsidR="00F25EF2" w:rsidRPr="00F25EF2">
        <w:rPr>
          <w:rFonts w:ascii="Arial" w:hAnsi="Arial"/>
        </w:rPr>
        <w:t>‘</w:t>
      </w:r>
      <w:r w:rsidR="00F25EF2" w:rsidRPr="00F25EF2">
        <w:rPr>
          <w:rFonts w:ascii="Arial" w:hAnsi="Arial"/>
          <w:color w:val="000000"/>
        </w:rPr>
        <w:t>the question is not whether the meaning contended for by the appellant is necessarily the correct one, but whether it is a reasonably possible one’</w:t>
      </w:r>
      <w:r w:rsidR="00C50D2D" w:rsidRPr="00F25EF2">
        <w:rPr>
          <w:rFonts w:ascii="Arial" w:hAnsi="Arial"/>
        </w:rPr>
        <w:t xml:space="preserve">. </w:t>
      </w:r>
    </w:p>
    <w:p w14:paraId="4552E66D" w14:textId="77777777" w:rsidR="00C50D2D" w:rsidRPr="00C50D2D" w:rsidRDefault="00C50D2D" w:rsidP="002238E7">
      <w:pPr>
        <w:pStyle w:val="ListParagraph"/>
        <w:spacing w:line="360" w:lineRule="auto"/>
        <w:ind w:left="0" w:firstLine="0"/>
        <w:contextualSpacing/>
        <w:mirrorIndents/>
        <w:jc w:val="both"/>
        <w:rPr>
          <w:rFonts w:ascii="Arial" w:hAnsi="Arial"/>
        </w:rPr>
      </w:pPr>
    </w:p>
    <w:p w14:paraId="185EB679" w14:textId="0A2DE0E8" w:rsidR="00C50D2D" w:rsidRPr="000F7587" w:rsidRDefault="00C50D2D"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Counsel for the plaintiff,</w:t>
      </w:r>
      <w:r w:rsidR="00BD1123">
        <w:rPr>
          <w:rFonts w:ascii="Arial" w:hAnsi="Arial"/>
        </w:rPr>
        <w:t xml:space="preserve"> Mr Wallis SC</w:t>
      </w:r>
      <w:r w:rsidR="001C686B">
        <w:rPr>
          <w:rFonts w:ascii="Arial" w:hAnsi="Arial"/>
        </w:rPr>
        <w:t>,</w:t>
      </w:r>
      <w:r w:rsidR="00BD1123">
        <w:rPr>
          <w:rFonts w:ascii="Arial" w:hAnsi="Arial"/>
        </w:rPr>
        <w:t xml:space="preserve"> referred to </w:t>
      </w:r>
      <w:r w:rsidR="000F7587" w:rsidRPr="000F7587">
        <w:rPr>
          <w:rFonts w:ascii="Arial" w:hAnsi="Arial"/>
          <w:i/>
        </w:rPr>
        <w:t>Fundstrust (Pty) Ltd</w:t>
      </w:r>
      <w:r w:rsidR="00B34484">
        <w:rPr>
          <w:rFonts w:ascii="Arial" w:hAnsi="Arial"/>
          <w:i/>
        </w:rPr>
        <w:t xml:space="preserve"> (in liquidation)</w:t>
      </w:r>
      <w:r w:rsidR="000F7587" w:rsidRPr="000F7587">
        <w:rPr>
          <w:rFonts w:ascii="Arial" w:hAnsi="Arial"/>
          <w:i/>
        </w:rPr>
        <w:t xml:space="preserve"> v</w:t>
      </w:r>
      <w:r w:rsidR="00B34484">
        <w:rPr>
          <w:rFonts w:ascii="Arial" w:hAnsi="Arial"/>
          <w:i/>
        </w:rPr>
        <w:t xml:space="preserve"> Van</w:t>
      </w:r>
      <w:r w:rsidR="000F7587">
        <w:rPr>
          <w:rFonts w:ascii="Arial" w:hAnsi="Arial"/>
          <w:i/>
        </w:rPr>
        <w:t xml:space="preserve"> Deventer</w:t>
      </w:r>
      <w:r w:rsidR="00B34484">
        <w:rPr>
          <w:rStyle w:val="FootnoteReference"/>
          <w:rFonts w:ascii="Arial" w:hAnsi="Arial"/>
        </w:rPr>
        <w:footnoteReference w:id="3"/>
      </w:r>
      <w:r w:rsidR="000F7587">
        <w:rPr>
          <w:rFonts w:ascii="Arial" w:hAnsi="Arial"/>
        </w:rPr>
        <w:t xml:space="preserve"> in his heads of argument, where it was held that as long as sufficient facts are pleaded from which it can be concluded that a specific statutory provision applies, it is not necessary to </w:t>
      </w:r>
      <w:r w:rsidR="00B34484">
        <w:rPr>
          <w:rFonts w:ascii="Arial" w:hAnsi="Arial"/>
        </w:rPr>
        <w:t xml:space="preserve">expressly </w:t>
      </w:r>
      <w:r w:rsidR="000F7587">
        <w:rPr>
          <w:rFonts w:ascii="Arial" w:hAnsi="Arial"/>
        </w:rPr>
        <w:t xml:space="preserve">refer to the section. </w:t>
      </w:r>
    </w:p>
    <w:p w14:paraId="048AEF64" w14:textId="77777777" w:rsidR="000F7587" w:rsidRDefault="000F7587" w:rsidP="002238E7">
      <w:pPr>
        <w:spacing w:line="360" w:lineRule="auto"/>
        <w:contextualSpacing/>
        <w:rPr>
          <w:rFonts w:ascii="Arial" w:hAnsi="Arial"/>
        </w:rPr>
      </w:pPr>
    </w:p>
    <w:p w14:paraId="610E81FA" w14:textId="77777777" w:rsidR="000F7587" w:rsidRPr="00E473AC" w:rsidRDefault="00E473AC" w:rsidP="002238E7">
      <w:pPr>
        <w:spacing w:line="360" w:lineRule="auto"/>
        <w:contextualSpacing/>
        <w:rPr>
          <w:rFonts w:ascii="Arial" w:hAnsi="Arial"/>
          <w:b/>
        </w:rPr>
      </w:pPr>
      <w:r w:rsidRPr="00E473AC">
        <w:rPr>
          <w:rFonts w:ascii="Arial" w:hAnsi="Arial"/>
          <w:b/>
        </w:rPr>
        <w:t>The second defendant’s contentions</w:t>
      </w:r>
    </w:p>
    <w:p w14:paraId="049D4BEF" w14:textId="2D57FCBB" w:rsidR="000F7587" w:rsidRPr="00296F53" w:rsidRDefault="000F7587"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Counsel for the second defendant, Ms Anna</w:t>
      </w:r>
      <w:r w:rsidR="00BD1123">
        <w:rPr>
          <w:rFonts w:ascii="Arial" w:hAnsi="Arial"/>
        </w:rPr>
        <w:t>n</w:t>
      </w:r>
      <w:r>
        <w:rPr>
          <w:rFonts w:ascii="Arial" w:hAnsi="Arial"/>
        </w:rPr>
        <w:t>dale SC</w:t>
      </w:r>
      <w:r w:rsidR="00F215C2">
        <w:rPr>
          <w:rFonts w:ascii="Arial" w:hAnsi="Arial"/>
        </w:rPr>
        <w:t>,</w:t>
      </w:r>
      <w:r>
        <w:rPr>
          <w:rFonts w:ascii="Arial" w:hAnsi="Arial"/>
        </w:rPr>
        <w:t xml:space="preserve"> submitted that the plaintiff could easily have sued on the basis of Siyazi’s breach of its contract with the plaintiff. Instead</w:t>
      </w:r>
      <w:r w:rsidR="001C686B">
        <w:rPr>
          <w:rFonts w:ascii="Arial" w:hAnsi="Arial"/>
        </w:rPr>
        <w:t>,</w:t>
      </w:r>
      <w:r>
        <w:rPr>
          <w:rFonts w:ascii="Arial" w:hAnsi="Arial"/>
        </w:rPr>
        <w:t xml:space="preserve"> the plaintiff placed a convoluted reliance o</w:t>
      </w:r>
      <w:r w:rsidR="00BD1123">
        <w:rPr>
          <w:rFonts w:ascii="Arial" w:hAnsi="Arial"/>
        </w:rPr>
        <w:t>n section 218(2</w:t>
      </w:r>
      <w:r>
        <w:rPr>
          <w:rFonts w:ascii="Arial" w:hAnsi="Arial"/>
        </w:rPr>
        <w:t>) read with section 22(1) of the Companies Act, as the basis for its cause of action. No other sections of the Companies Act were disclosed or relied upon. It w</w:t>
      </w:r>
      <w:r w:rsidR="00135B03">
        <w:rPr>
          <w:rFonts w:ascii="Arial" w:hAnsi="Arial"/>
        </w:rPr>
        <w:t xml:space="preserve">as submitted that the plaintiff should </w:t>
      </w:r>
      <w:r w:rsidR="00BD1123">
        <w:rPr>
          <w:rFonts w:ascii="Arial" w:hAnsi="Arial"/>
        </w:rPr>
        <w:t xml:space="preserve">at least </w:t>
      </w:r>
      <w:r w:rsidR="00135B03">
        <w:rPr>
          <w:rFonts w:ascii="Arial" w:hAnsi="Arial"/>
        </w:rPr>
        <w:t>also have pleaded</w:t>
      </w:r>
      <w:r w:rsidR="001C686B">
        <w:rPr>
          <w:rFonts w:ascii="Arial" w:hAnsi="Arial"/>
        </w:rPr>
        <w:t>,</w:t>
      </w:r>
      <w:r w:rsidR="00135B03">
        <w:rPr>
          <w:rFonts w:ascii="Arial" w:hAnsi="Arial"/>
        </w:rPr>
        <w:t xml:space="preserve"> and made reference to the provisions of section 214(1) of the Companies Act. Section 214, with the heading </w:t>
      </w:r>
      <w:r w:rsidR="00296F53">
        <w:rPr>
          <w:rFonts w:ascii="Arial" w:hAnsi="Arial"/>
        </w:rPr>
        <w:t>‘</w:t>
      </w:r>
      <w:r w:rsidR="00135B03" w:rsidRPr="00F670C8">
        <w:rPr>
          <w:rFonts w:ascii="Arial" w:hAnsi="Arial"/>
        </w:rPr>
        <w:t>False statements, reckless conduct and non-compliance</w:t>
      </w:r>
      <w:r w:rsidR="00296F53">
        <w:rPr>
          <w:rFonts w:ascii="Arial" w:hAnsi="Arial"/>
        </w:rPr>
        <w:t>’</w:t>
      </w:r>
      <w:r w:rsidR="00135B03" w:rsidRPr="009C32FB">
        <w:rPr>
          <w:rFonts w:ascii="Arial" w:hAnsi="Arial"/>
        </w:rPr>
        <w:t xml:space="preserve"> reads as follows</w:t>
      </w:r>
      <w:r w:rsidR="009126A7" w:rsidRPr="009C32FB">
        <w:rPr>
          <w:rFonts w:ascii="Arial" w:hAnsi="Arial"/>
        </w:rPr>
        <w:t>:</w:t>
      </w:r>
    </w:p>
    <w:p w14:paraId="2176C9D2" w14:textId="77777777" w:rsidR="00296F53" w:rsidRPr="00BD0AB4" w:rsidRDefault="00296F53" w:rsidP="00296F53">
      <w:pPr>
        <w:pStyle w:val="lg-section"/>
        <w:shd w:val="clear" w:color="auto" w:fill="FFFFFF"/>
        <w:spacing w:before="0" w:beforeAutospacing="0" w:after="0" w:afterAutospacing="0" w:line="360" w:lineRule="auto"/>
        <w:contextualSpacing/>
        <w:jc w:val="both"/>
        <w:rPr>
          <w:rFonts w:ascii="Arial" w:hAnsi="Arial" w:cs="Arial"/>
          <w:color w:val="000000"/>
          <w:sz w:val="22"/>
          <w:szCs w:val="18"/>
        </w:rPr>
      </w:pPr>
      <w:r w:rsidRPr="00296F53">
        <w:rPr>
          <w:rFonts w:ascii="Arial" w:hAnsi="Arial" w:cs="Arial"/>
          <w:bCs/>
          <w:color w:val="000000"/>
          <w:sz w:val="22"/>
          <w:szCs w:val="18"/>
        </w:rPr>
        <w:t>‘</w:t>
      </w:r>
      <w:r>
        <w:rPr>
          <w:rFonts w:ascii="Arial" w:hAnsi="Arial" w:cs="Arial"/>
          <w:bCs/>
          <w:color w:val="000000"/>
          <w:sz w:val="22"/>
          <w:szCs w:val="18"/>
        </w:rPr>
        <w:t>(</w:t>
      </w:r>
      <w:r w:rsidRPr="00BD0AB4">
        <w:rPr>
          <w:rFonts w:ascii="Arial" w:hAnsi="Arial" w:cs="Arial"/>
          <w:color w:val="000000"/>
          <w:sz w:val="22"/>
          <w:szCs w:val="18"/>
        </w:rPr>
        <w:t>1)  A person is guilty of an offence if the person—</w:t>
      </w:r>
    </w:p>
    <w:p w14:paraId="65294764" w14:textId="77777777" w:rsidR="00296F53" w:rsidRPr="00BD0AB4" w:rsidRDefault="00296F53" w:rsidP="00296F53">
      <w:pPr>
        <w:pStyle w:val="lg-a-1"/>
        <w:shd w:val="clear" w:color="auto" w:fill="FFFFFF"/>
        <w:spacing w:before="0" w:beforeAutospacing="0" w:after="0" w:afterAutospacing="0" w:line="360" w:lineRule="auto"/>
        <w:contextualSpacing/>
        <w:jc w:val="both"/>
        <w:rPr>
          <w:rFonts w:ascii="Arial" w:hAnsi="Arial" w:cs="Arial"/>
          <w:color w:val="000000"/>
          <w:sz w:val="22"/>
          <w:szCs w:val="18"/>
        </w:rPr>
      </w:pPr>
      <w:r w:rsidRPr="00BD0AB4">
        <w:rPr>
          <w:rFonts w:ascii="Arial" w:hAnsi="Arial" w:cs="Arial"/>
          <w:color w:val="000000"/>
          <w:sz w:val="22"/>
          <w:szCs w:val="18"/>
        </w:rPr>
        <w:t>(</w:t>
      </w:r>
      <w:r w:rsidRPr="00BD0AB4">
        <w:rPr>
          <w:rFonts w:ascii="Arial" w:hAnsi="Arial" w:cs="Arial"/>
          <w:i/>
          <w:iCs/>
          <w:color w:val="000000"/>
          <w:sz w:val="22"/>
          <w:szCs w:val="18"/>
        </w:rPr>
        <w:t>a</w:t>
      </w:r>
      <w:r w:rsidRPr="00BD0AB4">
        <w:rPr>
          <w:rFonts w:ascii="Arial" w:hAnsi="Arial" w:cs="Arial"/>
          <w:color w:val="000000"/>
          <w:sz w:val="22"/>
          <w:szCs w:val="18"/>
        </w:rPr>
        <w:t>)</w:t>
      </w:r>
      <w:r>
        <w:rPr>
          <w:rFonts w:ascii="Arial" w:hAnsi="Arial" w:cs="Arial"/>
          <w:color w:val="000000"/>
          <w:sz w:val="22"/>
          <w:szCs w:val="18"/>
        </w:rPr>
        <w:t xml:space="preserve"> </w:t>
      </w:r>
      <w:r>
        <w:rPr>
          <w:rFonts w:ascii="Arial" w:hAnsi="Arial" w:cs="Arial"/>
          <w:color w:val="000000"/>
          <w:sz w:val="22"/>
          <w:szCs w:val="18"/>
        </w:rPr>
        <w:tab/>
        <w:t>. . .</w:t>
      </w:r>
    </w:p>
    <w:p w14:paraId="7BA4B9D1" w14:textId="77777777" w:rsidR="00296F53" w:rsidRPr="00BD0AB4" w:rsidRDefault="00296F53" w:rsidP="00296F53">
      <w:pPr>
        <w:pStyle w:val="lg-a-1"/>
        <w:shd w:val="clear" w:color="auto" w:fill="FFFFFF"/>
        <w:spacing w:before="0" w:beforeAutospacing="0" w:after="0" w:afterAutospacing="0" w:line="360" w:lineRule="auto"/>
        <w:contextualSpacing/>
        <w:jc w:val="both"/>
        <w:rPr>
          <w:rFonts w:ascii="Arial" w:hAnsi="Arial" w:cs="Arial"/>
          <w:color w:val="000000"/>
          <w:sz w:val="22"/>
          <w:szCs w:val="18"/>
        </w:rPr>
      </w:pPr>
      <w:r w:rsidRPr="00BD0AB4">
        <w:rPr>
          <w:rFonts w:ascii="Arial" w:hAnsi="Arial" w:cs="Arial"/>
          <w:color w:val="000000"/>
          <w:sz w:val="22"/>
          <w:szCs w:val="18"/>
        </w:rPr>
        <w:t>(</w:t>
      </w:r>
      <w:r w:rsidRPr="00BD0AB4">
        <w:rPr>
          <w:rFonts w:ascii="Arial" w:hAnsi="Arial" w:cs="Arial"/>
          <w:i/>
          <w:iCs/>
          <w:color w:val="000000"/>
          <w:sz w:val="22"/>
          <w:szCs w:val="18"/>
        </w:rPr>
        <w:t>b</w:t>
      </w:r>
      <w:r w:rsidRPr="00BD0AB4">
        <w:rPr>
          <w:rFonts w:ascii="Arial" w:hAnsi="Arial" w:cs="Arial"/>
          <w:color w:val="000000"/>
          <w:sz w:val="22"/>
          <w:szCs w:val="18"/>
        </w:rPr>
        <w:t>)</w:t>
      </w:r>
      <w:r>
        <w:rPr>
          <w:rFonts w:ascii="Arial" w:hAnsi="Arial" w:cs="Arial"/>
          <w:color w:val="000000"/>
          <w:sz w:val="22"/>
          <w:szCs w:val="18"/>
        </w:rPr>
        <w:t xml:space="preserve"> </w:t>
      </w:r>
      <w:r>
        <w:rPr>
          <w:rFonts w:ascii="Arial" w:hAnsi="Arial" w:cs="Arial"/>
          <w:color w:val="000000"/>
          <w:sz w:val="22"/>
          <w:szCs w:val="18"/>
        </w:rPr>
        <w:tab/>
      </w:r>
      <w:r w:rsidRPr="00BD0AB4">
        <w:rPr>
          <w:rFonts w:ascii="Arial" w:hAnsi="Arial" w:cs="Arial"/>
          <w:color w:val="000000"/>
          <w:sz w:val="22"/>
          <w:szCs w:val="18"/>
        </w:rPr>
        <w:t>with a fraudulent purpose, knowingly provided false or misleading information in any circumstances in which this Act requires the person to provide information or give notice to another person;</w:t>
      </w:r>
    </w:p>
    <w:p w14:paraId="797975BE" w14:textId="77777777" w:rsidR="00296F53" w:rsidRPr="00BD0AB4" w:rsidRDefault="00296F53" w:rsidP="00296F53">
      <w:pPr>
        <w:pStyle w:val="lg-a-1"/>
        <w:shd w:val="clear" w:color="auto" w:fill="FFFFFF"/>
        <w:spacing w:before="0" w:beforeAutospacing="0" w:after="0" w:afterAutospacing="0" w:line="360" w:lineRule="auto"/>
        <w:contextualSpacing/>
        <w:jc w:val="both"/>
        <w:rPr>
          <w:rFonts w:ascii="Arial" w:hAnsi="Arial" w:cs="Arial"/>
          <w:color w:val="000000"/>
          <w:sz w:val="22"/>
          <w:szCs w:val="18"/>
        </w:rPr>
      </w:pPr>
      <w:r w:rsidRPr="00BD0AB4">
        <w:rPr>
          <w:rFonts w:ascii="Arial" w:hAnsi="Arial" w:cs="Arial"/>
          <w:color w:val="000000"/>
          <w:sz w:val="22"/>
          <w:szCs w:val="18"/>
        </w:rPr>
        <w:lastRenderedPageBreak/>
        <w:t>(</w:t>
      </w:r>
      <w:r w:rsidRPr="00BD0AB4">
        <w:rPr>
          <w:rFonts w:ascii="Arial" w:hAnsi="Arial" w:cs="Arial"/>
          <w:i/>
          <w:iCs/>
          <w:color w:val="000000"/>
          <w:sz w:val="22"/>
          <w:szCs w:val="18"/>
        </w:rPr>
        <w:t>c</w:t>
      </w:r>
      <w:r w:rsidRPr="00BD0AB4">
        <w:rPr>
          <w:rFonts w:ascii="Arial" w:hAnsi="Arial" w:cs="Arial"/>
          <w:color w:val="000000"/>
          <w:sz w:val="22"/>
          <w:szCs w:val="18"/>
        </w:rPr>
        <w:t>)</w:t>
      </w:r>
      <w:r>
        <w:rPr>
          <w:rFonts w:ascii="Arial" w:hAnsi="Arial" w:cs="Arial"/>
          <w:color w:val="000000"/>
          <w:sz w:val="22"/>
          <w:szCs w:val="18"/>
        </w:rPr>
        <w:t xml:space="preserve"> </w:t>
      </w:r>
      <w:r>
        <w:rPr>
          <w:rFonts w:ascii="Arial" w:hAnsi="Arial" w:cs="Arial"/>
          <w:color w:val="000000"/>
          <w:sz w:val="22"/>
          <w:szCs w:val="18"/>
        </w:rPr>
        <w:tab/>
      </w:r>
      <w:r w:rsidRPr="00BD0AB4">
        <w:rPr>
          <w:rFonts w:ascii="Arial" w:hAnsi="Arial" w:cs="Arial"/>
          <w:color w:val="000000"/>
          <w:sz w:val="22"/>
          <w:szCs w:val="18"/>
        </w:rPr>
        <w:t>was knowingly a party to an act or omission by a company calculated to defraud a creditor or employee of the company, or a holder of the company’s securities, or wit</w:t>
      </w:r>
      <w:r>
        <w:rPr>
          <w:rFonts w:ascii="Arial" w:hAnsi="Arial" w:cs="Arial"/>
          <w:color w:val="000000"/>
          <w:sz w:val="22"/>
          <w:szCs w:val="18"/>
        </w:rPr>
        <w:t>h another fraudulent purpose. . .’</w:t>
      </w:r>
    </w:p>
    <w:p w14:paraId="43A6ECBD" w14:textId="77777777" w:rsidR="00F3427C" w:rsidRDefault="00F3427C" w:rsidP="002238E7">
      <w:pPr>
        <w:pStyle w:val="ListParagraph"/>
        <w:spacing w:line="360" w:lineRule="auto"/>
        <w:ind w:left="0" w:firstLine="0"/>
        <w:contextualSpacing/>
        <w:mirrorIndents/>
        <w:jc w:val="both"/>
        <w:rPr>
          <w:rFonts w:ascii="Arial" w:hAnsi="Arial"/>
        </w:rPr>
      </w:pPr>
      <w:r>
        <w:rPr>
          <w:rFonts w:ascii="Arial" w:hAnsi="Arial"/>
        </w:rPr>
        <w:t xml:space="preserve">The plaintiff failed to plead any misrepresentation made to it or to SARS or that it was provided with false information by Siyazi. </w:t>
      </w:r>
    </w:p>
    <w:p w14:paraId="75D4EC18" w14:textId="77777777" w:rsidR="00F3427C" w:rsidRPr="00F3427C" w:rsidRDefault="00F3427C" w:rsidP="002238E7">
      <w:pPr>
        <w:pStyle w:val="ListParagraph"/>
        <w:spacing w:line="360" w:lineRule="auto"/>
        <w:ind w:firstLine="0"/>
        <w:contextualSpacing/>
        <w:mirrorIndents/>
        <w:jc w:val="both"/>
        <w:rPr>
          <w:rFonts w:ascii="Arial" w:hAnsi="Arial"/>
        </w:rPr>
      </w:pPr>
    </w:p>
    <w:p w14:paraId="047241F8" w14:textId="77777777" w:rsidR="009126A7" w:rsidRPr="00CB04E8" w:rsidRDefault="00F3427C"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The main thrust of the argument on behalf of the second defendant however centred around whether a director of a company can be held liable under section 218(2) if the company breaches section 22(1) of the Companies Act. It was submitted that two principles were relevant:</w:t>
      </w:r>
    </w:p>
    <w:p w14:paraId="2E597447" w14:textId="39981D26" w:rsidR="00F3427C" w:rsidRPr="00BF7160" w:rsidRDefault="00BF7160" w:rsidP="00A70442">
      <w:pPr>
        <w:pStyle w:val="ListParagraph"/>
        <w:numPr>
          <w:ilvl w:val="0"/>
          <w:numId w:val="19"/>
        </w:numPr>
        <w:spacing w:line="360" w:lineRule="auto"/>
        <w:ind w:left="0" w:firstLine="0"/>
        <w:contextualSpacing/>
        <w:mirrorIndents/>
        <w:jc w:val="both"/>
        <w:rPr>
          <w:rFonts w:ascii="Arial" w:hAnsi="Arial"/>
          <w:i/>
        </w:rPr>
      </w:pPr>
      <w:r>
        <w:rPr>
          <w:rFonts w:ascii="Arial" w:hAnsi="Arial"/>
        </w:rPr>
        <w:t>There is a distinction between a company and its director. A director is not personally liable for the wrongs of the company;</w:t>
      </w:r>
      <w:r w:rsidR="00B72854">
        <w:rPr>
          <w:rFonts w:ascii="Arial" w:hAnsi="Arial"/>
        </w:rPr>
        <w:t xml:space="preserve"> and</w:t>
      </w:r>
    </w:p>
    <w:p w14:paraId="38CE8F93" w14:textId="1381633F" w:rsidR="00BF7160" w:rsidRPr="007C6E32" w:rsidRDefault="00BF7160" w:rsidP="00A70442">
      <w:pPr>
        <w:pStyle w:val="ListParagraph"/>
        <w:numPr>
          <w:ilvl w:val="0"/>
          <w:numId w:val="19"/>
        </w:numPr>
        <w:spacing w:line="360" w:lineRule="auto"/>
        <w:ind w:left="0" w:firstLine="0"/>
        <w:contextualSpacing/>
        <w:mirrorIndents/>
        <w:jc w:val="both"/>
        <w:rPr>
          <w:rFonts w:ascii="Arial" w:hAnsi="Arial"/>
          <w:i/>
        </w:rPr>
      </w:pPr>
      <w:r>
        <w:rPr>
          <w:rFonts w:ascii="Arial" w:hAnsi="Arial"/>
        </w:rPr>
        <w:t>When a section in the statutes specifically imposes a liab</w:t>
      </w:r>
      <w:r w:rsidR="00BD1123">
        <w:rPr>
          <w:rFonts w:ascii="Arial" w:hAnsi="Arial"/>
        </w:rPr>
        <w:t>ility on a person, liability in respect of</w:t>
      </w:r>
      <w:r>
        <w:rPr>
          <w:rFonts w:ascii="Arial" w:hAnsi="Arial"/>
        </w:rPr>
        <w:t xml:space="preserve"> that person cannot also arise under a more general section. Reliance was placed on </w:t>
      </w:r>
      <w:r>
        <w:rPr>
          <w:rFonts w:ascii="Arial" w:hAnsi="Arial"/>
          <w:i/>
        </w:rPr>
        <w:t xml:space="preserve">Hlumisa Investment Holdings RF </w:t>
      </w:r>
      <w:r w:rsidR="00BF0D3B">
        <w:rPr>
          <w:rFonts w:ascii="Arial" w:hAnsi="Arial"/>
          <w:i/>
        </w:rPr>
        <w:t xml:space="preserve">Ltd </w:t>
      </w:r>
      <w:r>
        <w:rPr>
          <w:rFonts w:ascii="Arial" w:hAnsi="Arial"/>
          <w:i/>
        </w:rPr>
        <w:t xml:space="preserve">and </w:t>
      </w:r>
      <w:r w:rsidR="00BF0D3B">
        <w:rPr>
          <w:rFonts w:ascii="Arial" w:hAnsi="Arial"/>
          <w:i/>
        </w:rPr>
        <w:t xml:space="preserve">another </w:t>
      </w:r>
      <w:r>
        <w:rPr>
          <w:rFonts w:ascii="Arial" w:hAnsi="Arial"/>
          <w:i/>
        </w:rPr>
        <w:t xml:space="preserve">v Kirkinis and </w:t>
      </w:r>
      <w:r w:rsidR="00BF0D3B">
        <w:rPr>
          <w:rFonts w:ascii="Arial" w:hAnsi="Arial"/>
          <w:i/>
        </w:rPr>
        <w:t>others</w:t>
      </w:r>
      <w:r w:rsidR="00BF0D3B">
        <w:rPr>
          <w:rStyle w:val="FootnoteReference"/>
          <w:rFonts w:ascii="Arial" w:hAnsi="Arial"/>
        </w:rPr>
        <w:footnoteReference w:id="4"/>
      </w:r>
      <w:r w:rsidR="00BF0D3B">
        <w:rPr>
          <w:rFonts w:ascii="Arial" w:hAnsi="Arial"/>
        </w:rPr>
        <w:t xml:space="preserve"> </w:t>
      </w:r>
      <w:r>
        <w:rPr>
          <w:rFonts w:ascii="Arial" w:hAnsi="Arial"/>
        </w:rPr>
        <w:t xml:space="preserve">where </w:t>
      </w:r>
      <w:r w:rsidR="00407007">
        <w:rPr>
          <w:rFonts w:ascii="Arial" w:hAnsi="Arial"/>
        </w:rPr>
        <w:t>the following was</w:t>
      </w:r>
      <w:r w:rsidR="006C3F84">
        <w:rPr>
          <w:rFonts w:ascii="Arial" w:hAnsi="Arial"/>
        </w:rPr>
        <w:t xml:space="preserve"> held:</w:t>
      </w:r>
    </w:p>
    <w:p w14:paraId="6766D4B0" w14:textId="77777777" w:rsidR="00BF0D3B" w:rsidRPr="00BF0D3B" w:rsidRDefault="00BF0D3B" w:rsidP="00BF0D3B">
      <w:pPr>
        <w:spacing w:line="360" w:lineRule="auto"/>
        <w:contextualSpacing/>
        <w:mirrorIndents/>
        <w:jc w:val="both"/>
        <w:rPr>
          <w:rFonts w:ascii="Arial" w:hAnsi="Arial" w:cs="Arial"/>
          <w:sz w:val="22"/>
          <w:szCs w:val="22"/>
          <w:lang w:val="en-GB"/>
        </w:rPr>
      </w:pPr>
      <w:r>
        <w:rPr>
          <w:rFonts w:ascii="Arial" w:hAnsi="Arial" w:cs="Arial"/>
          <w:sz w:val="22"/>
          <w:szCs w:val="22"/>
          <w:lang w:val="en-GB"/>
        </w:rPr>
        <w:t>‘</w:t>
      </w:r>
      <w:r w:rsidRPr="00BF0D3B">
        <w:rPr>
          <w:rFonts w:ascii="Arial" w:hAnsi="Arial" w:cs="Arial"/>
          <w:sz w:val="22"/>
          <w:szCs w:val="22"/>
          <w:lang w:val="en-GB"/>
        </w:rPr>
        <w:t xml:space="preserve">[29] </w:t>
      </w:r>
      <w:r>
        <w:rPr>
          <w:rFonts w:ascii="Arial" w:hAnsi="Arial" w:cs="Arial"/>
          <w:sz w:val="22"/>
          <w:szCs w:val="22"/>
          <w:lang w:val="en-GB"/>
        </w:rPr>
        <w:tab/>
      </w:r>
      <w:r w:rsidRPr="00BF0D3B">
        <w:rPr>
          <w:rFonts w:ascii="Arial" w:hAnsi="Arial" w:cs="Arial"/>
          <w:sz w:val="22"/>
          <w:szCs w:val="22"/>
          <w:lang w:val="en-GB"/>
        </w:rPr>
        <w:t>Therefore, a claim that alleges that directors are liable for damages as a result of a breach of s 76(3) must be brought in terms of s 77(2), which specifically creates the liability for a breach of s 76(3).</w:t>
      </w:r>
    </w:p>
    <w:p w14:paraId="6EFA5F6B" w14:textId="77777777" w:rsidR="00E84CBB" w:rsidRDefault="00BF0D3B" w:rsidP="00BF0D3B">
      <w:pPr>
        <w:spacing w:line="360" w:lineRule="auto"/>
        <w:contextualSpacing/>
        <w:mirrorIndents/>
        <w:jc w:val="both"/>
        <w:rPr>
          <w:rFonts w:ascii="Arial" w:hAnsi="Arial" w:cs="Arial"/>
          <w:sz w:val="22"/>
          <w:szCs w:val="22"/>
          <w:lang w:val="en-GB"/>
        </w:rPr>
      </w:pPr>
      <w:r w:rsidRPr="00BF0D3B">
        <w:rPr>
          <w:rFonts w:ascii="Arial" w:hAnsi="Arial" w:cs="Arial"/>
          <w:sz w:val="22"/>
          <w:szCs w:val="22"/>
          <w:lang w:val="en-GB"/>
        </w:rPr>
        <w:t xml:space="preserve">[30] </w:t>
      </w:r>
      <w:r>
        <w:rPr>
          <w:rFonts w:ascii="Arial" w:hAnsi="Arial" w:cs="Arial"/>
          <w:sz w:val="22"/>
          <w:szCs w:val="22"/>
          <w:lang w:val="en-GB"/>
        </w:rPr>
        <w:tab/>
      </w:r>
      <w:r w:rsidRPr="00BF0D3B">
        <w:rPr>
          <w:rFonts w:ascii="Arial" w:hAnsi="Arial" w:cs="Arial"/>
          <w:sz w:val="22"/>
          <w:szCs w:val="22"/>
          <w:lang w:val="en-GB"/>
        </w:rPr>
        <w:t xml:space="preserve">Where a statute expressly and specifically creates liability for the breach of a section, then a general section in the same statute cannot be invoked to establish a co-ordinate liability; see </w:t>
      </w:r>
      <w:r w:rsidRPr="009C32FB">
        <w:rPr>
          <w:rFonts w:ascii="Arial" w:hAnsi="Arial" w:cs="Arial"/>
          <w:i/>
          <w:sz w:val="22"/>
          <w:szCs w:val="22"/>
          <w:lang w:val="en-GB"/>
        </w:rPr>
        <w:t>Gentiruco AG v Firestone SA (Pty) Ltd</w:t>
      </w:r>
      <w:r w:rsidRPr="00BF0D3B">
        <w:rPr>
          <w:rFonts w:ascii="Arial" w:hAnsi="Arial" w:cs="Arial"/>
          <w:sz w:val="22"/>
          <w:szCs w:val="22"/>
          <w:lang w:val="en-GB"/>
        </w:rPr>
        <w:t xml:space="preserve"> 1972 (1) SA 589 (A) (1971 BIP 58) at 603.</w:t>
      </w:r>
      <w:r w:rsidR="009C32FB" w:rsidRPr="009C32FB">
        <w:rPr>
          <w:rFonts w:ascii="Arial" w:hAnsi="Arial" w:cs="Arial"/>
          <w:sz w:val="22"/>
          <w:szCs w:val="22"/>
          <w:lang w:val="en-GB"/>
        </w:rPr>
        <w:t xml:space="preserve"> </w:t>
      </w:r>
      <w:r w:rsidR="009C32FB" w:rsidRPr="00BF0D3B">
        <w:rPr>
          <w:rFonts w:ascii="Arial" w:hAnsi="Arial" w:cs="Arial"/>
          <w:sz w:val="22"/>
          <w:szCs w:val="22"/>
          <w:lang w:val="en-GB"/>
        </w:rPr>
        <w:t xml:space="preserve">This is the result of the </w:t>
      </w:r>
      <w:r w:rsidR="009C32FB" w:rsidRPr="00BF0D3B">
        <w:rPr>
          <w:rFonts w:ascii="Arial" w:hAnsi="Arial" w:cs="Arial"/>
          <w:i/>
          <w:sz w:val="22"/>
          <w:szCs w:val="22"/>
          <w:lang w:val="en-GB"/>
        </w:rPr>
        <w:t xml:space="preserve">generalia specialibus non derogant </w:t>
      </w:r>
      <w:r w:rsidR="009C32FB" w:rsidRPr="009C32FB">
        <w:rPr>
          <w:rFonts w:ascii="Arial" w:hAnsi="Arial" w:cs="Arial"/>
          <w:i/>
          <w:sz w:val="22"/>
          <w:szCs w:val="22"/>
          <w:lang w:val="en-GB"/>
        </w:rPr>
        <w:t>maxim</w:t>
      </w:r>
      <w:r w:rsidR="009C32FB" w:rsidRPr="00BF0D3B">
        <w:rPr>
          <w:rFonts w:ascii="Arial" w:hAnsi="Arial" w:cs="Arial"/>
          <w:sz w:val="22"/>
          <w:szCs w:val="22"/>
          <w:lang w:val="en-GB"/>
        </w:rPr>
        <w:t xml:space="preserve"> in terms of which general provisions do not derogate from special provisions.</w:t>
      </w:r>
      <w:r>
        <w:rPr>
          <w:rFonts w:ascii="Arial" w:hAnsi="Arial" w:cs="Arial"/>
          <w:sz w:val="22"/>
          <w:szCs w:val="22"/>
          <w:lang w:val="en-GB"/>
        </w:rPr>
        <w:t>’</w:t>
      </w:r>
    </w:p>
    <w:p w14:paraId="162B72E6" w14:textId="77777777" w:rsidR="00BF0D3B" w:rsidRPr="00743AC3" w:rsidRDefault="00BF0D3B" w:rsidP="00BF0D3B">
      <w:pPr>
        <w:spacing w:line="360" w:lineRule="auto"/>
        <w:contextualSpacing/>
        <w:mirrorIndents/>
        <w:jc w:val="both"/>
        <w:rPr>
          <w:rFonts w:ascii="Arial" w:hAnsi="Arial"/>
          <w:sz w:val="22"/>
          <w:szCs w:val="22"/>
        </w:rPr>
      </w:pPr>
    </w:p>
    <w:p w14:paraId="1BE3B21B" w14:textId="36644108" w:rsidR="00F3427C" w:rsidRPr="007C6E32" w:rsidRDefault="009E7CAA"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It was submitted that obligations are imposed on directors under section 76</w:t>
      </w:r>
      <w:r w:rsidR="001C686B">
        <w:rPr>
          <w:rFonts w:ascii="Arial" w:hAnsi="Arial"/>
        </w:rPr>
        <w:t>,</w:t>
      </w:r>
      <w:r>
        <w:rPr>
          <w:rFonts w:ascii="Arial" w:hAnsi="Arial"/>
        </w:rPr>
        <w:t xml:space="preserve"> whilst the remedies for a breach thereof </w:t>
      </w:r>
      <w:r w:rsidR="00E948A6">
        <w:rPr>
          <w:rFonts w:ascii="Arial" w:hAnsi="Arial"/>
        </w:rPr>
        <w:t xml:space="preserve">are </w:t>
      </w:r>
      <w:r>
        <w:rPr>
          <w:rFonts w:ascii="Arial" w:hAnsi="Arial"/>
        </w:rPr>
        <w:t>set out in section 77 of the Companies Act</w:t>
      </w:r>
      <w:r w:rsidR="009C32FB">
        <w:rPr>
          <w:rFonts w:ascii="Arial" w:hAnsi="Arial"/>
        </w:rPr>
        <w:t>,</w:t>
      </w:r>
      <w:r>
        <w:rPr>
          <w:rFonts w:ascii="Arial" w:hAnsi="Arial"/>
        </w:rPr>
        <w:t xml:space="preserve"> and that it is where liability must be established – not under section</w:t>
      </w:r>
      <w:r w:rsidR="009C32FB">
        <w:rPr>
          <w:rFonts w:ascii="Arial" w:hAnsi="Arial"/>
        </w:rPr>
        <w:t>s</w:t>
      </w:r>
      <w:r>
        <w:rPr>
          <w:rFonts w:ascii="Arial" w:hAnsi="Arial"/>
        </w:rPr>
        <w:t xml:space="preserve"> </w:t>
      </w:r>
      <w:r w:rsidR="00E948A6">
        <w:rPr>
          <w:rFonts w:ascii="Arial" w:hAnsi="Arial"/>
        </w:rPr>
        <w:t xml:space="preserve">22 and </w:t>
      </w:r>
      <w:r>
        <w:rPr>
          <w:rFonts w:ascii="Arial" w:hAnsi="Arial"/>
        </w:rPr>
        <w:t>218. The plaintiff has however not relied on sections 76 and 77</w:t>
      </w:r>
      <w:r w:rsidR="001C686B">
        <w:rPr>
          <w:rFonts w:ascii="Arial" w:hAnsi="Arial"/>
        </w:rPr>
        <w:t>,</w:t>
      </w:r>
      <w:r>
        <w:rPr>
          <w:rFonts w:ascii="Arial" w:hAnsi="Arial"/>
        </w:rPr>
        <w:t xml:space="preserve"> and cannot</w:t>
      </w:r>
      <w:r w:rsidR="00BD1123">
        <w:rPr>
          <w:rFonts w:ascii="Arial" w:hAnsi="Arial"/>
        </w:rPr>
        <w:t xml:space="preserve"> now</w:t>
      </w:r>
      <w:r>
        <w:rPr>
          <w:rFonts w:ascii="Arial" w:hAnsi="Arial"/>
        </w:rPr>
        <w:t xml:space="preserve"> invoke reliance on them. The duties owed by a director in terms of section 76 are furthermore </w:t>
      </w:r>
      <w:r w:rsidR="00CB04E8">
        <w:rPr>
          <w:rFonts w:ascii="Arial" w:hAnsi="Arial"/>
        </w:rPr>
        <w:t>owed to the company</w:t>
      </w:r>
      <w:r w:rsidR="001C686B">
        <w:rPr>
          <w:rFonts w:ascii="Arial" w:hAnsi="Arial"/>
        </w:rPr>
        <w:t>,</w:t>
      </w:r>
      <w:r w:rsidR="00CB04E8">
        <w:rPr>
          <w:rFonts w:ascii="Arial" w:hAnsi="Arial"/>
        </w:rPr>
        <w:t xml:space="preserve"> and not to third parties, </w:t>
      </w:r>
      <w:r w:rsidR="00E827BF">
        <w:rPr>
          <w:rFonts w:ascii="Arial" w:hAnsi="Arial"/>
        </w:rPr>
        <w:t>and it was submitted that</w:t>
      </w:r>
      <w:r w:rsidR="00CB04E8">
        <w:rPr>
          <w:rFonts w:ascii="Arial" w:hAnsi="Arial"/>
        </w:rPr>
        <w:t xml:space="preserve"> even if it wanted to, the plaintiff could not invoke reliance on these sections. </w:t>
      </w:r>
    </w:p>
    <w:p w14:paraId="09347367" w14:textId="77777777" w:rsidR="007C6E32" w:rsidRPr="00CB04E8" w:rsidRDefault="007C6E32" w:rsidP="002238E7">
      <w:pPr>
        <w:pStyle w:val="ListParagraph"/>
        <w:spacing w:line="360" w:lineRule="auto"/>
        <w:ind w:left="0" w:firstLine="0"/>
        <w:contextualSpacing/>
        <w:mirrorIndents/>
        <w:jc w:val="both"/>
        <w:rPr>
          <w:rFonts w:ascii="Arial" w:hAnsi="Arial"/>
          <w:i/>
        </w:rPr>
      </w:pPr>
    </w:p>
    <w:p w14:paraId="3C3BF5BC" w14:textId="3E244606" w:rsidR="0048172F" w:rsidRDefault="007C6E32" w:rsidP="0048172F">
      <w:pPr>
        <w:pStyle w:val="ListParagraph"/>
        <w:numPr>
          <w:ilvl w:val="0"/>
          <w:numId w:val="7"/>
        </w:numPr>
        <w:spacing w:line="360" w:lineRule="auto"/>
        <w:ind w:left="0" w:firstLine="0"/>
        <w:contextualSpacing/>
        <w:mirrorIndents/>
        <w:jc w:val="both"/>
        <w:rPr>
          <w:rFonts w:ascii="Arial" w:hAnsi="Arial"/>
          <w:i/>
        </w:rPr>
      </w:pPr>
      <w:r>
        <w:rPr>
          <w:rFonts w:ascii="Arial" w:hAnsi="Arial"/>
        </w:rPr>
        <w:lastRenderedPageBreak/>
        <w:t>Reference was made to Professor P Delport</w:t>
      </w:r>
      <w:r w:rsidR="009C32FB">
        <w:rPr>
          <w:rFonts w:ascii="Arial" w:hAnsi="Arial"/>
        </w:rPr>
        <w:t>’s</w:t>
      </w:r>
      <w:r>
        <w:rPr>
          <w:rFonts w:ascii="Arial" w:hAnsi="Arial"/>
        </w:rPr>
        <w:t xml:space="preserve"> </w:t>
      </w:r>
      <w:r w:rsidRPr="005D5CC4">
        <w:rPr>
          <w:rFonts w:ascii="Arial" w:hAnsi="Arial"/>
          <w:i/>
        </w:rPr>
        <w:t>Henochsberg on the Companies Act 71 of 2008</w:t>
      </w:r>
      <w:r>
        <w:rPr>
          <w:rFonts w:ascii="Arial" w:hAnsi="Arial"/>
        </w:rPr>
        <w:t>,</w:t>
      </w:r>
      <w:r w:rsidR="009C32FB">
        <w:rPr>
          <w:rStyle w:val="FootnoteReference"/>
          <w:rFonts w:ascii="Arial" w:hAnsi="Arial"/>
        </w:rPr>
        <w:footnoteReference w:id="5"/>
      </w:r>
      <w:r>
        <w:rPr>
          <w:rFonts w:ascii="Arial" w:hAnsi="Arial"/>
        </w:rPr>
        <w:t xml:space="preserve"> where it was stated that </w:t>
      </w:r>
    </w:p>
    <w:p w14:paraId="634EF36E" w14:textId="665A97A0" w:rsidR="0048172F" w:rsidRPr="005D5CC4" w:rsidRDefault="0048172F" w:rsidP="0048172F">
      <w:pPr>
        <w:pStyle w:val="ListParagraph"/>
        <w:spacing w:line="360" w:lineRule="auto"/>
        <w:ind w:left="0" w:firstLine="0"/>
        <w:contextualSpacing/>
        <w:mirrorIndents/>
        <w:jc w:val="both"/>
        <w:rPr>
          <w:rFonts w:ascii="Arial" w:hAnsi="Arial"/>
          <w:i/>
          <w:sz w:val="22"/>
          <w:szCs w:val="22"/>
        </w:rPr>
      </w:pPr>
      <w:r w:rsidRPr="005D5CC4">
        <w:rPr>
          <w:rFonts w:ascii="Arial" w:hAnsi="Arial"/>
          <w:color w:val="000000"/>
          <w:sz w:val="22"/>
          <w:szCs w:val="22"/>
          <w:shd w:val="clear" w:color="auto" w:fill="FFFFFF"/>
        </w:rPr>
        <w:t>‘. . . it is clear from </w:t>
      </w:r>
      <w:r w:rsidRPr="005D5CC4">
        <w:rPr>
          <w:rFonts w:ascii="Arial" w:hAnsi="Arial"/>
          <w:sz w:val="22"/>
          <w:szCs w:val="22"/>
        </w:rPr>
        <w:t>s 22</w:t>
      </w:r>
      <w:r w:rsidRPr="005D5CC4">
        <w:rPr>
          <w:rFonts w:ascii="Arial" w:hAnsi="Arial"/>
          <w:color w:val="000000"/>
          <w:sz w:val="22"/>
          <w:szCs w:val="22"/>
          <w:shd w:val="clear" w:color="auto" w:fill="FFFFFF"/>
        </w:rPr>
        <w:t> and </w:t>
      </w:r>
      <w:r w:rsidRPr="005D5CC4">
        <w:rPr>
          <w:rFonts w:ascii="Arial" w:hAnsi="Arial"/>
          <w:sz w:val="22"/>
          <w:szCs w:val="22"/>
        </w:rPr>
        <w:t>s 77 (3) (</w:t>
      </w:r>
      <w:r w:rsidRPr="005D5CC4">
        <w:rPr>
          <w:rFonts w:ascii="Arial" w:hAnsi="Arial"/>
          <w:i/>
          <w:iCs/>
          <w:sz w:val="22"/>
          <w:szCs w:val="22"/>
        </w:rPr>
        <w:t>b</w:t>
      </w:r>
      <w:r w:rsidRPr="005D5CC4">
        <w:rPr>
          <w:rFonts w:ascii="Arial" w:hAnsi="Arial"/>
          <w:sz w:val="22"/>
          <w:szCs w:val="22"/>
        </w:rPr>
        <w:t>)</w:t>
      </w:r>
      <w:r w:rsidRPr="005D5CC4">
        <w:rPr>
          <w:rFonts w:ascii="Arial" w:hAnsi="Arial"/>
          <w:color w:val="000000"/>
          <w:sz w:val="22"/>
          <w:szCs w:val="22"/>
          <w:shd w:val="clear" w:color="auto" w:fill="FFFFFF"/>
        </w:rPr>
        <w:t> that a creditor should not be able to institute a claim under </w:t>
      </w:r>
      <w:r w:rsidRPr="005D5CC4">
        <w:rPr>
          <w:rFonts w:ascii="Arial" w:hAnsi="Arial"/>
          <w:sz w:val="22"/>
          <w:szCs w:val="22"/>
        </w:rPr>
        <w:t>s 22</w:t>
      </w:r>
      <w:r w:rsidRPr="005D5CC4">
        <w:rPr>
          <w:rFonts w:ascii="Arial" w:hAnsi="Arial"/>
          <w:color w:val="000000"/>
          <w:sz w:val="22"/>
          <w:szCs w:val="22"/>
          <w:shd w:val="clear" w:color="auto" w:fill="FFFFFF"/>
        </w:rPr>
        <w:t>, as is the case with</w:t>
      </w:r>
      <w:r w:rsidRPr="001C6582">
        <w:rPr>
          <w:rFonts w:ascii="Arial" w:hAnsi="Arial"/>
          <w:color w:val="000000"/>
          <w:sz w:val="22"/>
          <w:szCs w:val="22"/>
          <w:shd w:val="clear" w:color="auto" w:fill="FFFFFF"/>
        </w:rPr>
        <w:t> </w:t>
      </w:r>
      <w:r w:rsidRPr="001C6582">
        <w:rPr>
          <w:rFonts w:ascii="Arial" w:hAnsi="Arial"/>
          <w:sz w:val="22"/>
          <w:szCs w:val="22"/>
        </w:rPr>
        <w:t>s 424</w:t>
      </w:r>
      <w:r w:rsidRPr="001C6582">
        <w:rPr>
          <w:rFonts w:ascii="Arial" w:hAnsi="Arial"/>
          <w:color w:val="000000"/>
          <w:sz w:val="22"/>
          <w:szCs w:val="22"/>
          <w:shd w:val="clear" w:color="auto" w:fill="FFFFFF"/>
        </w:rPr>
        <w:t>, and the possibility for such claim under eg</w:t>
      </w:r>
      <w:r w:rsidRPr="001D74A8">
        <w:rPr>
          <w:rFonts w:ascii="Arial" w:hAnsi="Arial"/>
          <w:color w:val="000000"/>
          <w:sz w:val="22"/>
          <w:szCs w:val="22"/>
          <w:shd w:val="clear" w:color="auto" w:fill="FFFFFF"/>
        </w:rPr>
        <w:t> </w:t>
      </w:r>
      <w:r w:rsidRPr="001D74A8">
        <w:rPr>
          <w:rFonts w:ascii="Arial" w:hAnsi="Arial"/>
          <w:sz w:val="22"/>
          <w:szCs w:val="22"/>
        </w:rPr>
        <w:t>s 218 (2</w:t>
      </w:r>
      <w:r w:rsidRPr="00E86A70">
        <w:rPr>
          <w:rFonts w:ascii="Arial" w:hAnsi="Arial"/>
          <w:sz w:val="22"/>
          <w:szCs w:val="22"/>
        </w:rPr>
        <w:t>)</w:t>
      </w:r>
      <w:r w:rsidRPr="00E86A70">
        <w:rPr>
          <w:rFonts w:ascii="Arial" w:hAnsi="Arial"/>
          <w:color w:val="000000"/>
          <w:sz w:val="22"/>
          <w:szCs w:val="22"/>
          <w:shd w:val="clear" w:color="auto" w:fill="FFFFFF"/>
        </w:rPr>
        <w:t> as contemplated in</w:t>
      </w:r>
      <w:r w:rsidRPr="001D66B7">
        <w:rPr>
          <w:rFonts w:ascii="Arial" w:hAnsi="Arial"/>
          <w:color w:val="000000"/>
          <w:sz w:val="22"/>
          <w:szCs w:val="22"/>
          <w:shd w:val="clear" w:color="auto" w:fill="FFFFFF"/>
        </w:rPr>
        <w:t> </w:t>
      </w:r>
      <w:r w:rsidRPr="001D66B7">
        <w:rPr>
          <w:rFonts w:ascii="Arial" w:hAnsi="Arial"/>
          <w:i/>
          <w:iCs/>
          <w:color w:val="000000"/>
          <w:sz w:val="22"/>
          <w:szCs w:val="22"/>
          <w:shd w:val="clear" w:color="auto" w:fill="FFFFFF"/>
        </w:rPr>
        <w:t>Rabinowitz </w:t>
      </w:r>
      <w:r w:rsidRPr="002765BA">
        <w:rPr>
          <w:rFonts w:ascii="Arial" w:hAnsi="Arial"/>
          <w:color w:val="000000"/>
          <w:sz w:val="22"/>
          <w:szCs w:val="22"/>
          <w:shd w:val="clear" w:color="auto" w:fill="FFFFFF"/>
        </w:rPr>
        <w:t>case </w:t>
      </w:r>
      <w:r w:rsidRPr="002765BA">
        <w:rPr>
          <w:rFonts w:ascii="Arial" w:hAnsi="Arial"/>
          <w:i/>
          <w:iCs/>
          <w:color w:val="000000"/>
          <w:sz w:val="22"/>
          <w:szCs w:val="22"/>
          <w:shd w:val="clear" w:color="auto" w:fill="FFFFFF"/>
        </w:rPr>
        <w:t>supra </w:t>
      </w:r>
      <w:r w:rsidRPr="005D5CC4">
        <w:rPr>
          <w:rFonts w:ascii="Arial" w:hAnsi="Arial"/>
          <w:color w:val="000000"/>
          <w:sz w:val="22"/>
          <w:szCs w:val="22"/>
          <w:shd w:val="clear" w:color="auto" w:fill="FFFFFF"/>
        </w:rPr>
        <w:t>para 22 . . . was excluded in </w:t>
      </w:r>
      <w:r w:rsidRPr="005D5CC4">
        <w:rPr>
          <w:rFonts w:ascii="Arial" w:hAnsi="Arial"/>
          <w:i/>
          <w:iCs/>
          <w:color w:val="000000"/>
          <w:sz w:val="22"/>
          <w:szCs w:val="22"/>
          <w:shd w:val="clear" w:color="auto" w:fill="FFFFFF"/>
        </w:rPr>
        <w:t xml:space="preserve">Hlumisa </w:t>
      </w:r>
      <w:r w:rsidR="005D5CC4" w:rsidRPr="005D5CC4">
        <w:rPr>
          <w:rFonts w:ascii="Arial" w:hAnsi="Arial"/>
          <w:iCs/>
          <w:color w:val="000000"/>
          <w:sz w:val="22"/>
          <w:szCs w:val="22"/>
          <w:shd w:val="clear" w:color="auto" w:fill="FFFFFF"/>
        </w:rPr>
        <w:t>. . .’</w:t>
      </w:r>
      <w:r w:rsidR="005D5CC4" w:rsidRPr="005D5CC4" w:rsidDel="0048172F">
        <w:rPr>
          <w:rFonts w:ascii="Arial" w:hAnsi="Arial"/>
          <w:sz w:val="22"/>
          <w:szCs w:val="22"/>
        </w:rPr>
        <w:t xml:space="preserve"> </w:t>
      </w:r>
      <w:r w:rsidR="007C6E32" w:rsidRPr="005D5CC4">
        <w:rPr>
          <w:rFonts w:ascii="Arial" w:hAnsi="Arial"/>
          <w:i/>
          <w:sz w:val="22"/>
          <w:szCs w:val="22"/>
        </w:rPr>
        <w:t xml:space="preserve"> </w:t>
      </w:r>
    </w:p>
    <w:p w14:paraId="66DD9D66" w14:textId="63943665" w:rsidR="00CB04E8" w:rsidRPr="0048172F" w:rsidRDefault="007C6E32" w:rsidP="0048172F">
      <w:pPr>
        <w:pStyle w:val="ListParagraph"/>
        <w:spacing w:line="360" w:lineRule="auto"/>
        <w:ind w:left="0" w:firstLine="0"/>
        <w:contextualSpacing/>
        <w:mirrorIndents/>
        <w:jc w:val="both"/>
        <w:rPr>
          <w:rFonts w:ascii="Arial" w:hAnsi="Arial"/>
          <w:i/>
        </w:rPr>
      </w:pPr>
      <w:r w:rsidRPr="0048172F">
        <w:rPr>
          <w:rFonts w:ascii="Arial" w:hAnsi="Arial"/>
        </w:rPr>
        <w:t xml:space="preserve">I will deal with </w:t>
      </w:r>
      <w:r w:rsidRPr="0048172F">
        <w:rPr>
          <w:rFonts w:ascii="Arial" w:hAnsi="Arial"/>
          <w:i/>
        </w:rPr>
        <w:t>R</w:t>
      </w:r>
      <w:r w:rsidR="00A021C6" w:rsidRPr="0048172F">
        <w:rPr>
          <w:rFonts w:ascii="Arial" w:hAnsi="Arial"/>
          <w:i/>
        </w:rPr>
        <w:t>a</w:t>
      </w:r>
      <w:r w:rsidRPr="0048172F">
        <w:rPr>
          <w:rFonts w:ascii="Arial" w:hAnsi="Arial"/>
          <w:i/>
        </w:rPr>
        <w:t>bin</w:t>
      </w:r>
      <w:r w:rsidR="00BE295F" w:rsidRPr="0048172F">
        <w:rPr>
          <w:rFonts w:ascii="Arial" w:hAnsi="Arial"/>
          <w:i/>
        </w:rPr>
        <w:t>ow</w:t>
      </w:r>
      <w:r w:rsidRPr="0048172F">
        <w:rPr>
          <w:rFonts w:ascii="Arial" w:hAnsi="Arial"/>
          <w:i/>
        </w:rPr>
        <w:t>itz</w:t>
      </w:r>
      <w:r w:rsidR="005D5CC4" w:rsidRPr="00F670C8">
        <w:rPr>
          <w:rStyle w:val="FootnoteReference"/>
          <w:rFonts w:ascii="Arial" w:hAnsi="Arial"/>
        </w:rPr>
        <w:footnoteReference w:id="6"/>
      </w:r>
      <w:r w:rsidRPr="0048172F">
        <w:rPr>
          <w:rFonts w:ascii="Arial" w:hAnsi="Arial"/>
        </w:rPr>
        <w:t xml:space="preserve"> later </w:t>
      </w:r>
      <w:r w:rsidR="0056262C">
        <w:rPr>
          <w:rFonts w:ascii="Arial" w:hAnsi="Arial"/>
        </w:rPr>
        <w:t xml:space="preserve">on </w:t>
      </w:r>
      <w:r w:rsidR="00A021C6" w:rsidRPr="0048172F">
        <w:rPr>
          <w:rFonts w:ascii="Arial" w:hAnsi="Arial"/>
        </w:rPr>
        <w:t>as it forms part of a line of cases relied upon by the plaintiff to support its reliance</w:t>
      </w:r>
      <w:r w:rsidR="00BD1123" w:rsidRPr="0048172F">
        <w:rPr>
          <w:rFonts w:ascii="Arial" w:hAnsi="Arial"/>
        </w:rPr>
        <w:t xml:space="preserve"> on sections 22(1) and 218(2) as </w:t>
      </w:r>
      <w:r w:rsidR="00A021C6" w:rsidRPr="0048172F">
        <w:rPr>
          <w:rFonts w:ascii="Arial" w:hAnsi="Arial"/>
        </w:rPr>
        <w:t>its cause of action.</w:t>
      </w:r>
    </w:p>
    <w:p w14:paraId="5EEC351C" w14:textId="77777777" w:rsidR="00A021C6" w:rsidRPr="00BE295F" w:rsidRDefault="00A021C6" w:rsidP="002238E7">
      <w:pPr>
        <w:spacing w:line="360" w:lineRule="auto"/>
        <w:contextualSpacing/>
        <w:rPr>
          <w:rFonts w:ascii="Arial" w:hAnsi="Arial"/>
          <w:i/>
        </w:rPr>
      </w:pPr>
    </w:p>
    <w:p w14:paraId="26BE51F5" w14:textId="1BC20E64" w:rsidR="00A021C6" w:rsidRPr="004E3986" w:rsidRDefault="00BD1123"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The reference to section</w:t>
      </w:r>
      <w:r w:rsidR="00A021C6">
        <w:rPr>
          <w:rFonts w:ascii="Arial" w:hAnsi="Arial"/>
        </w:rPr>
        <w:t xml:space="preserve"> 424, was a reference to the </w:t>
      </w:r>
      <w:r w:rsidR="006B11B1">
        <w:rPr>
          <w:rFonts w:ascii="Arial" w:hAnsi="Arial"/>
        </w:rPr>
        <w:t xml:space="preserve">repealed </w:t>
      </w:r>
      <w:r w:rsidR="00A021C6">
        <w:rPr>
          <w:rFonts w:ascii="Arial" w:hAnsi="Arial"/>
        </w:rPr>
        <w:t>Companies Act 61 of 1973</w:t>
      </w:r>
      <w:r w:rsidR="0080700E">
        <w:rPr>
          <w:rFonts w:ascii="Arial" w:hAnsi="Arial"/>
        </w:rPr>
        <w:t xml:space="preserve"> (the 1973 Companies Act)</w:t>
      </w:r>
      <w:r w:rsidR="00A021C6">
        <w:rPr>
          <w:rFonts w:ascii="Arial" w:hAnsi="Arial"/>
        </w:rPr>
        <w:t xml:space="preserve">. Section 424 with the heading </w:t>
      </w:r>
      <w:r w:rsidR="006B11B1">
        <w:rPr>
          <w:rFonts w:ascii="Arial" w:hAnsi="Arial"/>
        </w:rPr>
        <w:t>‘</w:t>
      </w:r>
      <w:r w:rsidR="00A021C6" w:rsidRPr="00F670C8">
        <w:rPr>
          <w:rFonts w:ascii="Arial" w:hAnsi="Arial"/>
        </w:rPr>
        <w:t>Liability of directors and others for fraudulent conduct</w:t>
      </w:r>
      <w:r w:rsidR="004E3986" w:rsidRPr="00F670C8">
        <w:rPr>
          <w:rFonts w:ascii="Arial" w:hAnsi="Arial"/>
        </w:rPr>
        <w:t xml:space="preserve"> of business</w:t>
      </w:r>
      <w:r w:rsidR="006B11B1">
        <w:rPr>
          <w:rFonts w:ascii="Arial" w:hAnsi="Arial"/>
        </w:rPr>
        <w:t>’</w:t>
      </w:r>
      <w:r w:rsidR="004E3986" w:rsidRPr="001C6582">
        <w:rPr>
          <w:rFonts w:ascii="Arial" w:hAnsi="Arial"/>
        </w:rPr>
        <w:t xml:space="preserve"> falls within Chapter XIV, which continues to apply in respect of the winding-up and liquidation of companies.</w:t>
      </w:r>
      <w:r w:rsidR="0056262C">
        <w:rPr>
          <w:rStyle w:val="FootnoteReference"/>
          <w:rFonts w:ascii="Arial" w:hAnsi="Arial"/>
        </w:rPr>
        <w:footnoteReference w:id="7"/>
      </w:r>
      <w:r w:rsidR="004E3986" w:rsidRPr="001C6582">
        <w:rPr>
          <w:rFonts w:ascii="Arial" w:hAnsi="Arial"/>
        </w:rPr>
        <w:t xml:space="preserve"> It reads as follows:</w:t>
      </w:r>
    </w:p>
    <w:p w14:paraId="6E5AF539" w14:textId="64A1EA90" w:rsidR="004E3986" w:rsidRPr="0083642E" w:rsidRDefault="006B11B1" w:rsidP="006B11B1">
      <w:pPr>
        <w:spacing w:line="360" w:lineRule="auto"/>
        <w:contextualSpacing/>
        <w:jc w:val="both"/>
        <w:rPr>
          <w:rFonts w:ascii="Arial" w:hAnsi="Arial"/>
          <w:sz w:val="22"/>
          <w:szCs w:val="22"/>
        </w:rPr>
      </w:pPr>
      <w:r>
        <w:rPr>
          <w:rFonts w:ascii="Arial" w:hAnsi="Arial"/>
          <w:sz w:val="22"/>
          <w:szCs w:val="22"/>
        </w:rPr>
        <w:t>‘</w:t>
      </w:r>
      <w:r w:rsidR="004E3986" w:rsidRPr="0083642E">
        <w:rPr>
          <w:rFonts w:ascii="Arial" w:hAnsi="Arial"/>
          <w:sz w:val="22"/>
          <w:szCs w:val="22"/>
        </w:rPr>
        <w:t>(1)</w:t>
      </w:r>
      <w:r w:rsidR="004E3986" w:rsidRPr="0083642E">
        <w:rPr>
          <w:rFonts w:ascii="Arial" w:hAnsi="Arial"/>
          <w:sz w:val="22"/>
          <w:szCs w:val="22"/>
        </w:rPr>
        <w:tab/>
      </w:r>
      <w:r w:rsidRPr="006B11B1">
        <w:rPr>
          <w:rFonts w:ascii="Arial" w:hAnsi="Arial"/>
          <w:sz w:val="22"/>
          <w:szCs w:val="22"/>
        </w:rPr>
        <w:t>When it appears, whether it be in a winding-up, judicial management or otherwise, that any business of the company was or is being carried on recklessly or with intent to defraud creditors of the company or creditors of any other person or for any fraudulent purpose, the Court may, on the application of the Master, the liquidator, the judicial manager, any creditor or member or contributory of the company, declare that any person who was knowingly a party to the carrying on of the business in the manner aforesaid, shall be personally responsible, without any limitation of liability, for all or any of the debts or other liabilities of the company as the Court may direct</w:t>
      </w:r>
      <w:r>
        <w:rPr>
          <w:rFonts w:ascii="Arial" w:hAnsi="Arial"/>
          <w:sz w:val="22"/>
          <w:szCs w:val="22"/>
        </w:rPr>
        <w:t>.’</w:t>
      </w:r>
    </w:p>
    <w:p w14:paraId="327E8804" w14:textId="77777777" w:rsidR="0083642E" w:rsidRPr="004E3986" w:rsidRDefault="0083642E" w:rsidP="002238E7">
      <w:pPr>
        <w:spacing w:line="360" w:lineRule="auto"/>
        <w:contextualSpacing/>
        <w:jc w:val="both"/>
        <w:rPr>
          <w:rFonts w:ascii="Arial" w:hAnsi="Arial"/>
        </w:rPr>
      </w:pPr>
    </w:p>
    <w:p w14:paraId="7F8F3906" w14:textId="0E20383A" w:rsidR="007A0034" w:rsidRPr="00F863D9" w:rsidRDefault="0083642E"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 xml:space="preserve">According to </w:t>
      </w:r>
      <w:r w:rsidRPr="00F670C8">
        <w:rPr>
          <w:rFonts w:ascii="Arial" w:hAnsi="Arial"/>
          <w:i/>
        </w:rPr>
        <w:t>Henochsberg</w:t>
      </w:r>
      <w:r>
        <w:rPr>
          <w:rFonts w:ascii="Arial" w:hAnsi="Arial"/>
        </w:rPr>
        <w:t xml:space="preserve">, </w:t>
      </w:r>
    </w:p>
    <w:p w14:paraId="3B34C21E" w14:textId="0ED730D8" w:rsidR="004E3986" w:rsidRPr="008B0079" w:rsidRDefault="00F863D9" w:rsidP="007A0034">
      <w:pPr>
        <w:pStyle w:val="ListParagraph"/>
        <w:spacing w:line="360" w:lineRule="auto"/>
        <w:ind w:left="0" w:firstLine="0"/>
        <w:contextualSpacing/>
        <w:mirrorIndents/>
        <w:jc w:val="both"/>
        <w:rPr>
          <w:rFonts w:ascii="Arial" w:hAnsi="Arial"/>
          <w:i/>
        </w:rPr>
      </w:pPr>
      <w:r w:rsidRPr="00F863D9">
        <w:rPr>
          <w:rFonts w:ascii="Arial" w:hAnsi="Arial"/>
          <w:sz w:val="22"/>
          <w:szCs w:val="22"/>
          <w:lang w:val="en-US"/>
        </w:rPr>
        <w:t>‘the law relating to s 424 of the 1973 Act is relevant when interpreting s 22, but only in respect of, eg, the meanings attached to “fraudulent purpose”, “recklessly” or “intent to defraud” because the ambit of s 22 is otherwise totally different from that of s 424 of the 1973 Act</w:t>
      </w:r>
      <w:r>
        <w:rPr>
          <w:rFonts w:ascii="Arial" w:hAnsi="Arial"/>
          <w:sz w:val="22"/>
          <w:szCs w:val="22"/>
          <w:lang w:val="en-US"/>
        </w:rPr>
        <w:t> </w:t>
      </w:r>
      <w:r w:rsidRPr="00F863D9">
        <w:rPr>
          <w:rFonts w:ascii="Arial" w:hAnsi="Arial"/>
          <w:sz w:val="22"/>
          <w:szCs w:val="22"/>
          <w:lang w:val="en-US"/>
        </w:rPr>
        <w:t>.</w:t>
      </w:r>
      <w:r>
        <w:rPr>
          <w:rFonts w:ascii="Arial" w:hAnsi="Arial"/>
          <w:sz w:val="22"/>
          <w:szCs w:val="22"/>
          <w:lang w:val="en-US"/>
        </w:rPr>
        <w:t> </w:t>
      </w:r>
      <w:r w:rsidRPr="00F863D9">
        <w:rPr>
          <w:rFonts w:ascii="Arial" w:hAnsi="Arial"/>
          <w:sz w:val="22"/>
          <w:szCs w:val="22"/>
          <w:lang w:val="en-US"/>
        </w:rPr>
        <w:t>.</w:t>
      </w:r>
      <w:r>
        <w:t> </w:t>
      </w:r>
      <w:r w:rsidRPr="00F863D9">
        <w:rPr>
          <w:rFonts w:ascii="Arial" w:hAnsi="Arial"/>
          <w:sz w:val="22"/>
          <w:szCs w:val="22"/>
          <w:lang w:val="en-US"/>
        </w:rPr>
        <w:t>. the effect of a company trading in terms of the prohibited conduct is the possibility of the Commission requiring the company to cease carrying on its business or trading [whereas the] effect in terms of s 424 of the 1973 Act is personal liability for all or any of the debts or other liabilities of the company. A director is liable [in terms of s 77(3)</w:t>
      </w:r>
      <w:r w:rsidRPr="00F863D9">
        <w:rPr>
          <w:rFonts w:ascii="Arial" w:hAnsi="Arial"/>
          <w:i/>
          <w:sz w:val="22"/>
          <w:szCs w:val="22"/>
          <w:lang w:val="en-US"/>
        </w:rPr>
        <w:t>(b)</w:t>
      </w:r>
      <w:r w:rsidRPr="00F863D9">
        <w:rPr>
          <w:rFonts w:ascii="Arial" w:hAnsi="Arial"/>
          <w:sz w:val="22"/>
          <w:szCs w:val="22"/>
          <w:lang w:val="en-US"/>
        </w:rPr>
        <w:t xml:space="preserve">] to the company for any loss, damage or costs arising as a direct or indirect consequence of allowing trading as </w:t>
      </w:r>
      <w:r w:rsidRPr="00F863D9">
        <w:rPr>
          <w:rFonts w:ascii="Arial" w:hAnsi="Arial"/>
          <w:sz w:val="22"/>
          <w:szCs w:val="22"/>
          <w:lang w:val="en-US"/>
        </w:rPr>
        <w:lastRenderedPageBreak/>
        <w:t>prohibited in s 22 (1) . . . In terms of s 22, the Commission will make the relevant finding, whereas the Court will do so in terms of s 424.’</w:t>
      </w:r>
      <w:r>
        <w:rPr>
          <w:rStyle w:val="FootnoteReference"/>
          <w:rFonts w:ascii="Arial" w:hAnsi="Arial"/>
          <w:sz w:val="22"/>
          <w:szCs w:val="22"/>
          <w:lang w:val="en-US"/>
        </w:rPr>
        <w:footnoteReference w:id="8"/>
      </w:r>
    </w:p>
    <w:p w14:paraId="7207C95E" w14:textId="77777777" w:rsidR="008B0079" w:rsidRPr="008B0079" w:rsidRDefault="008B0079" w:rsidP="002238E7">
      <w:pPr>
        <w:pStyle w:val="ListParagraph"/>
        <w:spacing w:line="360" w:lineRule="auto"/>
        <w:ind w:left="0" w:firstLine="0"/>
        <w:contextualSpacing/>
        <w:mirrorIndents/>
        <w:jc w:val="both"/>
        <w:rPr>
          <w:rFonts w:ascii="Arial" w:hAnsi="Arial"/>
          <w:i/>
        </w:rPr>
      </w:pPr>
    </w:p>
    <w:p w14:paraId="2FC51E80" w14:textId="20CCD3AB" w:rsidR="008B0079" w:rsidRPr="006750A3" w:rsidRDefault="00081E36"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Second d</w:t>
      </w:r>
      <w:r w:rsidR="008B0079">
        <w:rPr>
          <w:rFonts w:ascii="Arial" w:hAnsi="Arial"/>
        </w:rPr>
        <w:t>efendant</w:t>
      </w:r>
      <w:r>
        <w:rPr>
          <w:rFonts w:ascii="Arial" w:hAnsi="Arial"/>
        </w:rPr>
        <w:t>’</w:t>
      </w:r>
      <w:r w:rsidR="008B0079">
        <w:rPr>
          <w:rFonts w:ascii="Arial" w:hAnsi="Arial"/>
        </w:rPr>
        <w:t xml:space="preserve">s counsel also referred me to </w:t>
      </w:r>
      <w:r w:rsidR="008B0079" w:rsidRPr="00A70442">
        <w:rPr>
          <w:rFonts w:ascii="Arial" w:hAnsi="Arial"/>
        </w:rPr>
        <w:t>the provisions of section 214(1</w:t>
      </w:r>
      <w:r w:rsidR="008505AD" w:rsidRPr="00A70442">
        <w:rPr>
          <w:rFonts w:ascii="Arial" w:hAnsi="Arial"/>
        </w:rPr>
        <w:t>)</w:t>
      </w:r>
      <w:r w:rsidR="008505AD" w:rsidRPr="00F670C8">
        <w:rPr>
          <w:rFonts w:ascii="Arial" w:hAnsi="Arial"/>
          <w:i/>
        </w:rPr>
        <w:t>(c</w:t>
      </w:r>
      <w:r w:rsidR="006750A3" w:rsidRPr="00F670C8">
        <w:rPr>
          <w:rFonts w:ascii="Arial" w:hAnsi="Arial"/>
          <w:i/>
        </w:rPr>
        <w:t>)</w:t>
      </w:r>
      <w:r w:rsidR="006750A3" w:rsidRPr="00A70442">
        <w:rPr>
          <w:rFonts w:ascii="Arial" w:hAnsi="Arial"/>
        </w:rPr>
        <w:t xml:space="preserve"> of the Companies Act, as it read before it was</w:t>
      </w:r>
      <w:r w:rsidR="008505AD" w:rsidRPr="00A70442">
        <w:rPr>
          <w:rFonts w:ascii="Arial" w:hAnsi="Arial"/>
        </w:rPr>
        <w:t xml:space="preserve"> </w:t>
      </w:r>
      <w:r w:rsidR="00CF15BA">
        <w:rPr>
          <w:rFonts w:ascii="Arial" w:hAnsi="Arial"/>
        </w:rPr>
        <w:t>substituted</w:t>
      </w:r>
      <w:r w:rsidR="006750A3" w:rsidRPr="00A70442">
        <w:rPr>
          <w:rFonts w:ascii="Arial" w:hAnsi="Arial"/>
        </w:rPr>
        <w:t xml:space="preserve"> by section</w:t>
      </w:r>
      <w:r w:rsidR="006750A3">
        <w:rPr>
          <w:rFonts w:ascii="Arial" w:hAnsi="Arial"/>
        </w:rPr>
        <w:t xml:space="preserve"> 119</w:t>
      </w:r>
      <w:r w:rsidR="006750A3" w:rsidRPr="00F670C8">
        <w:rPr>
          <w:rFonts w:ascii="Arial" w:hAnsi="Arial"/>
          <w:i/>
        </w:rPr>
        <w:t>(</w:t>
      </w:r>
      <w:r w:rsidR="00FB5A21" w:rsidRPr="00F670C8">
        <w:rPr>
          <w:rFonts w:ascii="Arial" w:hAnsi="Arial"/>
          <w:i/>
        </w:rPr>
        <w:t>a</w:t>
      </w:r>
      <w:r w:rsidR="006750A3" w:rsidRPr="00F670C8">
        <w:rPr>
          <w:rFonts w:ascii="Arial" w:hAnsi="Arial"/>
          <w:i/>
        </w:rPr>
        <w:t>)</w:t>
      </w:r>
      <w:r w:rsidR="006750A3">
        <w:rPr>
          <w:rFonts w:ascii="Arial" w:hAnsi="Arial"/>
        </w:rPr>
        <w:t xml:space="preserve"> of the Companies Amendment Act 3 of 2011</w:t>
      </w:r>
      <w:r w:rsidR="00CF15BA">
        <w:rPr>
          <w:rFonts w:ascii="Arial" w:hAnsi="Arial"/>
        </w:rPr>
        <w:t>,</w:t>
      </w:r>
      <w:r w:rsidR="008505AD">
        <w:rPr>
          <w:rFonts w:ascii="Arial" w:hAnsi="Arial"/>
        </w:rPr>
        <w:t xml:space="preserve"> which came into operation on 1 May 2011</w:t>
      </w:r>
      <w:r w:rsidR="006750A3">
        <w:rPr>
          <w:rFonts w:ascii="Arial" w:hAnsi="Arial"/>
        </w:rPr>
        <w:t>. It read as follows:</w:t>
      </w:r>
    </w:p>
    <w:p w14:paraId="382FD803" w14:textId="262DB6F2" w:rsidR="006750A3" w:rsidRPr="006750A3" w:rsidRDefault="00CF15BA" w:rsidP="002238E7">
      <w:pPr>
        <w:spacing w:line="360" w:lineRule="auto"/>
        <w:contextualSpacing/>
        <w:rPr>
          <w:rFonts w:ascii="Arial" w:hAnsi="Arial"/>
          <w:sz w:val="22"/>
          <w:szCs w:val="22"/>
        </w:rPr>
      </w:pPr>
      <w:r>
        <w:rPr>
          <w:rFonts w:ascii="Arial" w:hAnsi="Arial"/>
          <w:sz w:val="22"/>
          <w:szCs w:val="22"/>
        </w:rPr>
        <w:t>‘</w:t>
      </w:r>
      <w:r w:rsidR="006750A3" w:rsidRPr="006750A3">
        <w:rPr>
          <w:rFonts w:ascii="Arial" w:hAnsi="Arial"/>
          <w:sz w:val="22"/>
          <w:szCs w:val="22"/>
        </w:rPr>
        <w:t>A person is guilty of an offence if the person-</w:t>
      </w:r>
    </w:p>
    <w:p w14:paraId="1E7EB7D2" w14:textId="77777777" w:rsidR="006750A3" w:rsidRPr="006750A3" w:rsidRDefault="006750A3" w:rsidP="002238E7">
      <w:pPr>
        <w:spacing w:line="360" w:lineRule="auto"/>
        <w:ind w:left="426" w:hanging="426"/>
        <w:contextualSpacing/>
        <w:rPr>
          <w:rFonts w:ascii="Arial" w:hAnsi="Arial"/>
          <w:sz w:val="22"/>
          <w:szCs w:val="22"/>
        </w:rPr>
      </w:pPr>
      <w:r w:rsidRPr="006750A3">
        <w:rPr>
          <w:rFonts w:ascii="Arial" w:hAnsi="Arial"/>
          <w:sz w:val="22"/>
          <w:szCs w:val="22"/>
        </w:rPr>
        <w:t>(c)</w:t>
      </w:r>
      <w:r w:rsidRPr="006750A3">
        <w:rPr>
          <w:rFonts w:ascii="Arial" w:hAnsi="Arial"/>
          <w:sz w:val="22"/>
          <w:szCs w:val="22"/>
        </w:rPr>
        <w:tab/>
        <w:t>was knowingly a party to-</w:t>
      </w:r>
    </w:p>
    <w:p w14:paraId="7E5EA6C3" w14:textId="41AA5106" w:rsidR="006750A3" w:rsidRDefault="006750A3" w:rsidP="002238E7">
      <w:pPr>
        <w:spacing w:line="360" w:lineRule="auto"/>
        <w:ind w:left="851" w:hanging="425"/>
        <w:contextualSpacing/>
        <w:rPr>
          <w:rFonts w:ascii="Arial" w:hAnsi="Arial"/>
          <w:sz w:val="22"/>
          <w:szCs w:val="22"/>
        </w:rPr>
      </w:pPr>
      <w:r w:rsidRPr="006750A3">
        <w:rPr>
          <w:rFonts w:ascii="Arial" w:hAnsi="Arial"/>
          <w:sz w:val="22"/>
          <w:szCs w:val="22"/>
        </w:rPr>
        <w:t>(i)</w:t>
      </w:r>
      <w:r w:rsidRPr="006750A3">
        <w:rPr>
          <w:rFonts w:ascii="Arial" w:hAnsi="Arial"/>
          <w:sz w:val="22"/>
          <w:szCs w:val="22"/>
        </w:rPr>
        <w:tab/>
        <w:t>conduct prohibited by</w:t>
      </w:r>
      <w:r w:rsidR="00C87435">
        <w:rPr>
          <w:rFonts w:ascii="Arial" w:hAnsi="Arial"/>
          <w:sz w:val="22"/>
          <w:szCs w:val="22"/>
        </w:rPr>
        <w:t xml:space="preserve"> </w:t>
      </w:r>
      <w:r w:rsidR="00CF15BA">
        <w:rPr>
          <w:rFonts w:ascii="Arial" w:hAnsi="Arial"/>
          <w:sz w:val="22"/>
          <w:szCs w:val="22"/>
        </w:rPr>
        <w:t>section 22(1). . .’</w:t>
      </w:r>
    </w:p>
    <w:p w14:paraId="2F8030EA" w14:textId="1A974952" w:rsidR="00C0572E" w:rsidRPr="00F5773F" w:rsidRDefault="00C0572E" w:rsidP="002238E7">
      <w:pPr>
        <w:spacing w:line="360" w:lineRule="auto"/>
        <w:contextualSpacing/>
        <w:jc w:val="both"/>
        <w:rPr>
          <w:rFonts w:ascii="Arial" w:hAnsi="Arial"/>
          <w:szCs w:val="24"/>
        </w:rPr>
      </w:pPr>
      <w:r w:rsidRPr="00F5773F">
        <w:rPr>
          <w:rFonts w:ascii="Arial" w:hAnsi="Arial"/>
          <w:szCs w:val="24"/>
        </w:rPr>
        <w:t xml:space="preserve">It was submitted that it underscores the legislature’s intention to exclude personal liability of a director </w:t>
      </w:r>
      <w:r w:rsidR="008505AD">
        <w:rPr>
          <w:rFonts w:ascii="Arial" w:hAnsi="Arial"/>
          <w:szCs w:val="24"/>
        </w:rPr>
        <w:t>under</w:t>
      </w:r>
      <w:r w:rsidR="00F5773F" w:rsidRPr="00F5773F">
        <w:rPr>
          <w:rFonts w:ascii="Arial" w:hAnsi="Arial"/>
          <w:szCs w:val="24"/>
        </w:rPr>
        <w:t xml:space="preserve"> section 22.</w:t>
      </w:r>
      <w:r w:rsidR="00F5773F">
        <w:rPr>
          <w:rFonts w:ascii="Arial" w:hAnsi="Arial"/>
          <w:szCs w:val="24"/>
        </w:rPr>
        <w:t xml:space="preserve"> In contrast to this position, section 424(3)</w:t>
      </w:r>
      <w:r w:rsidR="008505AD">
        <w:rPr>
          <w:rFonts w:ascii="Arial" w:hAnsi="Arial"/>
          <w:szCs w:val="24"/>
        </w:rPr>
        <w:t xml:space="preserve"> of the 1973 Companies Act </w:t>
      </w:r>
      <w:r w:rsidR="00F5773F">
        <w:rPr>
          <w:rFonts w:ascii="Arial" w:hAnsi="Arial"/>
          <w:szCs w:val="24"/>
        </w:rPr>
        <w:t xml:space="preserve">ordains that a person who knowingly is a party to the carrying on of the business of a company recklessly or with intent to defraud, shall be guilty of an offence. </w:t>
      </w:r>
    </w:p>
    <w:p w14:paraId="63E15D2B" w14:textId="77777777" w:rsidR="00F5773F" w:rsidRPr="006750A3" w:rsidRDefault="00F5773F" w:rsidP="002238E7">
      <w:pPr>
        <w:spacing w:line="360" w:lineRule="auto"/>
        <w:contextualSpacing/>
        <w:jc w:val="both"/>
        <w:rPr>
          <w:rFonts w:ascii="Arial" w:hAnsi="Arial"/>
          <w:sz w:val="22"/>
          <w:szCs w:val="22"/>
        </w:rPr>
      </w:pPr>
    </w:p>
    <w:p w14:paraId="57C0247E" w14:textId="1172C94C" w:rsidR="006750A3" w:rsidRPr="0061161B" w:rsidRDefault="00101843"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It was submitted that a further indication of the legislature’s intention is the fact that section 64 of the Close Corporations Act 69 of 1984 expressly makes provision for the liability</w:t>
      </w:r>
      <w:r w:rsidR="008505AD">
        <w:rPr>
          <w:rFonts w:ascii="Arial" w:hAnsi="Arial"/>
        </w:rPr>
        <w:t xml:space="preserve"> of its members</w:t>
      </w:r>
      <w:r>
        <w:rPr>
          <w:rFonts w:ascii="Arial" w:hAnsi="Arial"/>
        </w:rPr>
        <w:t xml:space="preserve"> for </w:t>
      </w:r>
      <w:r w:rsidR="00C9215C">
        <w:rPr>
          <w:rFonts w:ascii="Arial" w:hAnsi="Arial"/>
        </w:rPr>
        <w:t xml:space="preserve">the </w:t>
      </w:r>
      <w:r>
        <w:rPr>
          <w:rFonts w:ascii="Arial" w:hAnsi="Arial"/>
        </w:rPr>
        <w:t>reckless or fraudulent carrying on of the business of the close corporation. There is no equivalent express provision in the Companies Act</w:t>
      </w:r>
      <w:r w:rsidR="008505AD">
        <w:rPr>
          <w:rFonts w:ascii="Arial" w:hAnsi="Arial"/>
        </w:rPr>
        <w:t>. This</w:t>
      </w:r>
      <w:r>
        <w:rPr>
          <w:rFonts w:ascii="Arial" w:hAnsi="Arial"/>
        </w:rPr>
        <w:t xml:space="preserve"> supports the submission that for a director to be held liable, there must be an express provision to that effect. There is furthermore no </w:t>
      </w:r>
      <w:r w:rsidR="0061161B">
        <w:rPr>
          <w:rFonts w:ascii="Arial" w:hAnsi="Arial"/>
        </w:rPr>
        <w:t xml:space="preserve">analogous provision in the Companies Act to section 424 of the </w:t>
      </w:r>
      <w:r w:rsidR="00067275">
        <w:rPr>
          <w:rFonts w:ascii="Arial" w:hAnsi="Arial"/>
        </w:rPr>
        <w:t xml:space="preserve">1973 Companies </w:t>
      </w:r>
      <w:r w:rsidR="0061161B">
        <w:rPr>
          <w:rFonts w:ascii="Arial" w:hAnsi="Arial"/>
        </w:rPr>
        <w:t xml:space="preserve">Act. It was submitted that the plaintiff seeks to invoke a section 424 style liability, but cannot do so. </w:t>
      </w:r>
    </w:p>
    <w:p w14:paraId="0144E8DE" w14:textId="77777777" w:rsidR="0061161B" w:rsidRPr="0061161B" w:rsidRDefault="0061161B" w:rsidP="002238E7">
      <w:pPr>
        <w:pStyle w:val="ListParagraph"/>
        <w:spacing w:line="360" w:lineRule="auto"/>
        <w:ind w:left="0" w:firstLine="0"/>
        <w:contextualSpacing/>
        <w:mirrorIndents/>
        <w:jc w:val="both"/>
        <w:rPr>
          <w:rFonts w:ascii="Arial" w:hAnsi="Arial"/>
          <w:i/>
        </w:rPr>
      </w:pPr>
    </w:p>
    <w:p w14:paraId="4BA64020" w14:textId="7BA1144A" w:rsidR="0061161B" w:rsidRPr="0061161B" w:rsidRDefault="0061161B"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It was also submitted that the language used in section 22(1) does not impose any obligation or duties on the directors</w:t>
      </w:r>
      <w:r w:rsidR="00C9215C">
        <w:rPr>
          <w:rFonts w:ascii="Arial" w:hAnsi="Arial"/>
        </w:rPr>
        <w:t>,</w:t>
      </w:r>
      <w:r>
        <w:rPr>
          <w:rFonts w:ascii="Arial" w:hAnsi="Arial"/>
        </w:rPr>
        <w:t xml:space="preserve"> and that they therefore cannot be held liable</w:t>
      </w:r>
      <w:r w:rsidR="008505AD">
        <w:rPr>
          <w:rFonts w:ascii="Arial" w:hAnsi="Arial"/>
        </w:rPr>
        <w:t xml:space="preserve"> in terms of this section</w:t>
      </w:r>
      <w:r>
        <w:rPr>
          <w:rFonts w:ascii="Arial" w:hAnsi="Arial"/>
        </w:rPr>
        <w:t xml:space="preserve">. Sections 76 and 77 set out the obligations of the directors and when they can be held liable. Section 77 in turn only provides a remedy to the company. </w:t>
      </w:r>
    </w:p>
    <w:p w14:paraId="43F6DD4C" w14:textId="77777777" w:rsidR="0061161B" w:rsidRPr="00843402" w:rsidRDefault="0061161B" w:rsidP="002238E7">
      <w:pPr>
        <w:spacing w:line="360" w:lineRule="auto"/>
        <w:contextualSpacing/>
        <w:rPr>
          <w:rFonts w:ascii="Arial" w:hAnsi="Arial"/>
          <w:i/>
        </w:rPr>
      </w:pPr>
    </w:p>
    <w:p w14:paraId="70949176" w14:textId="51741C7B" w:rsidR="0061161B" w:rsidRPr="00AA49B2" w:rsidRDefault="0061161B" w:rsidP="00067275">
      <w:pPr>
        <w:pStyle w:val="ListParagraph"/>
        <w:numPr>
          <w:ilvl w:val="0"/>
          <w:numId w:val="7"/>
        </w:numPr>
        <w:spacing w:line="360" w:lineRule="auto"/>
        <w:ind w:left="0" w:firstLine="0"/>
        <w:contextualSpacing/>
        <w:mirrorIndents/>
        <w:jc w:val="both"/>
        <w:rPr>
          <w:rFonts w:ascii="Arial" w:hAnsi="Arial"/>
          <w:i/>
        </w:rPr>
      </w:pPr>
      <w:r>
        <w:rPr>
          <w:rFonts w:ascii="Arial" w:hAnsi="Arial"/>
        </w:rPr>
        <w:lastRenderedPageBreak/>
        <w:t xml:space="preserve">I was referred to </w:t>
      </w:r>
      <w:r>
        <w:rPr>
          <w:rFonts w:ascii="Arial" w:hAnsi="Arial"/>
          <w:i/>
        </w:rPr>
        <w:t>D</w:t>
      </w:r>
      <w:r w:rsidR="00EC659C">
        <w:rPr>
          <w:rFonts w:ascii="Arial" w:hAnsi="Arial"/>
          <w:i/>
        </w:rPr>
        <w:t xml:space="preserve">e Bruyn v Steinhoff International Holdings NV and </w:t>
      </w:r>
      <w:r w:rsidR="00AB0429">
        <w:rPr>
          <w:rFonts w:ascii="Arial" w:hAnsi="Arial"/>
          <w:i/>
        </w:rPr>
        <w:t>others</w:t>
      </w:r>
      <w:r w:rsidR="00067275">
        <w:rPr>
          <w:rStyle w:val="FootnoteReference"/>
          <w:rFonts w:ascii="Arial" w:hAnsi="Arial"/>
        </w:rPr>
        <w:footnoteReference w:id="9"/>
      </w:r>
      <w:r w:rsidR="00EC659C">
        <w:rPr>
          <w:rFonts w:ascii="Arial" w:hAnsi="Arial"/>
        </w:rPr>
        <w:t xml:space="preserve"> where Unter</w:t>
      </w:r>
      <w:r w:rsidR="000E405D">
        <w:rPr>
          <w:rFonts w:ascii="Arial" w:hAnsi="Arial"/>
        </w:rPr>
        <w:t>halter</w:t>
      </w:r>
      <w:r w:rsidR="00EC659C">
        <w:rPr>
          <w:rFonts w:ascii="Arial" w:hAnsi="Arial"/>
        </w:rPr>
        <w:t xml:space="preserve"> J made certain obiter remarks regarding sections 22(1) and 218(2) of the Companies Act. In this matter</w:t>
      </w:r>
      <w:r w:rsidR="00067275">
        <w:rPr>
          <w:rFonts w:ascii="Arial" w:hAnsi="Arial"/>
        </w:rPr>
        <w:t xml:space="preserve"> </w:t>
      </w:r>
      <w:r w:rsidR="008505AD">
        <w:rPr>
          <w:rFonts w:ascii="Arial" w:hAnsi="Arial"/>
        </w:rPr>
        <w:t>(</w:t>
      </w:r>
      <w:r w:rsidR="00EC659C">
        <w:rPr>
          <w:rFonts w:ascii="Arial" w:hAnsi="Arial"/>
        </w:rPr>
        <w:t xml:space="preserve">as in </w:t>
      </w:r>
      <w:r w:rsidR="00EC659C">
        <w:rPr>
          <w:rFonts w:ascii="Arial" w:hAnsi="Arial"/>
          <w:i/>
        </w:rPr>
        <w:t>Hlumisa supra</w:t>
      </w:r>
      <w:r w:rsidR="008505AD">
        <w:rPr>
          <w:rFonts w:ascii="Arial" w:hAnsi="Arial"/>
        </w:rPr>
        <w:t xml:space="preserve">) </w:t>
      </w:r>
      <w:r w:rsidR="00EC659C">
        <w:rPr>
          <w:rFonts w:ascii="Arial" w:hAnsi="Arial"/>
        </w:rPr>
        <w:t xml:space="preserve">the shareholders sought relief against certain directors, which of course differs from the position in the present matter. </w:t>
      </w:r>
      <w:r w:rsidR="00AA49B2">
        <w:rPr>
          <w:rFonts w:ascii="Arial" w:hAnsi="Arial"/>
        </w:rPr>
        <w:t>With reference to claims by third parties against directors, the following was said:</w:t>
      </w:r>
    </w:p>
    <w:p w14:paraId="2BF14B44" w14:textId="6562B140" w:rsidR="00067275" w:rsidRPr="00067275" w:rsidRDefault="00067275" w:rsidP="00067275">
      <w:pPr>
        <w:spacing w:line="360" w:lineRule="auto"/>
        <w:contextualSpacing/>
        <w:jc w:val="both"/>
        <w:rPr>
          <w:rFonts w:ascii="Arial" w:hAnsi="Arial" w:cs="Arial"/>
          <w:color w:val="000000"/>
          <w:sz w:val="22"/>
          <w:lang w:val="en-US" w:eastAsia="en-US"/>
        </w:rPr>
      </w:pPr>
      <w:r w:rsidRPr="00067275">
        <w:rPr>
          <w:rFonts w:ascii="Arial" w:hAnsi="Arial" w:cs="Arial"/>
          <w:color w:val="000000"/>
          <w:sz w:val="22"/>
          <w:lang w:val="en-US" w:eastAsia="en-US"/>
        </w:rPr>
        <w:t>‘[184] Two cases were cited in support of the proposition that s 218(2) does impose liability upon directors for contraventions of the Companies Act at the instance of third parties. In </w:t>
      </w:r>
      <w:r w:rsidRPr="00067275">
        <w:rPr>
          <w:rFonts w:ascii="Arial" w:hAnsi="Arial" w:cs="Arial"/>
          <w:i/>
          <w:iCs/>
          <w:color w:val="000000"/>
          <w:sz w:val="22"/>
          <w:lang w:val="en-US" w:eastAsia="en-US"/>
        </w:rPr>
        <w:t>Rabinowitz</w:t>
      </w:r>
      <w:bookmarkStart w:id="5" w:name="0-0-0-5237"/>
      <w:bookmarkEnd w:id="5"/>
      <w:r w:rsidRPr="00067275">
        <w:rPr>
          <w:rFonts w:ascii="Arial" w:hAnsi="Arial" w:cs="Arial"/>
          <w:color w:val="000000"/>
          <w:sz w:val="22"/>
          <w:lang w:val="en-US" w:eastAsia="en-US"/>
        </w:rPr>
        <w:t xml:space="preserve"> the court, citing the interpretations of two commentaries on the Companies Act, found, on exception, that the directors can be held personally liable in terms of s 218(2) for acquiescing in or knowing about conduct that falls within the ambit of s 22(1) — the prohibition against reckless trading. In </w:t>
      </w:r>
      <w:r w:rsidRPr="00067275">
        <w:rPr>
          <w:rFonts w:ascii="Arial" w:hAnsi="Arial" w:cs="Arial"/>
          <w:i/>
          <w:iCs/>
          <w:color w:val="000000"/>
          <w:sz w:val="22"/>
          <w:lang w:val="en-US" w:eastAsia="en-US"/>
        </w:rPr>
        <w:t>Sanlam</w:t>
      </w:r>
      <w:bookmarkStart w:id="6" w:name="0-0-0-5241"/>
      <w:bookmarkEnd w:id="6"/>
      <w:r w:rsidRPr="00067275">
        <w:rPr>
          <w:rFonts w:ascii="Arial" w:hAnsi="Arial" w:cs="Arial"/>
          <w:color w:val="000000"/>
          <w:sz w:val="22"/>
          <w:lang w:val="en-US" w:eastAsia="en-US"/>
        </w:rPr>
        <w:t> it was held that a person induced to enter a transaction could sue for damages in terms of s 218(2) as a result of the contraventions by directors of s 76(3).</w:t>
      </w:r>
    </w:p>
    <w:p w14:paraId="62E12A5F" w14:textId="77777777" w:rsidR="00067275" w:rsidRPr="00067275" w:rsidRDefault="00067275" w:rsidP="00067275">
      <w:pPr>
        <w:spacing w:before="240" w:line="360" w:lineRule="auto"/>
        <w:contextualSpacing/>
        <w:jc w:val="both"/>
        <w:rPr>
          <w:rFonts w:ascii="Arial" w:hAnsi="Arial" w:cs="Arial"/>
          <w:color w:val="000000"/>
          <w:sz w:val="22"/>
          <w:lang w:val="en-US" w:eastAsia="en-US"/>
        </w:rPr>
      </w:pPr>
      <w:r w:rsidRPr="00067275">
        <w:rPr>
          <w:rFonts w:ascii="Arial" w:hAnsi="Arial" w:cs="Arial"/>
          <w:color w:val="000000"/>
          <w:sz w:val="22"/>
          <w:lang w:val="en-US" w:eastAsia="en-US"/>
        </w:rPr>
        <w:t>. . .</w:t>
      </w:r>
    </w:p>
    <w:p w14:paraId="732360F7" w14:textId="77777777" w:rsidR="00067275" w:rsidRPr="00067275" w:rsidRDefault="00067275" w:rsidP="00067275">
      <w:pPr>
        <w:spacing w:before="240" w:line="360" w:lineRule="auto"/>
        <w:contextualSpacing/>
        <w:jc w:val="both"/>
        <w:rPr>
          <w:rFonts w:ascii="Arial" w:hAnsi="Arial" w:cs="Arial"/>
          <w:color w:val="000000"/>
          <w:sz w:val="22"/>
          <w:lang w:val="en-US" w:eastAsia="en-US"/>
        </w:rPr>
      </w:pPr>
      <w:r w:rsidRPr="00067275">
        <w:rPr>
          <w:rFonts w:ascii="Arial" w:hAnsi="Arial" w:cs="Arial"/>
          <w:color w:val="000000"/>
          <w:sz w:val="22"/>
          <w:lang w:val="en-US" w:eastAsia="en-US"/>
        </w:rPr>
        <w:t>[190] . . . Section 22 states that a company must not carry on its business recklessly, with gross negligence, with intent to defraud any person or for any fraudulent purpose. A company contravenes s 22 only if it carries on its business with one or other of the specified species of fault. Any liability that arises under s 22 is determined under the disciplining concepts of fault to be found in this provision. No coherent interpretation would suggest that because s 218(2) provides for liability without reference to fault, s 22 can be read to impose strict liability. On the contrary, fault is constitutive of the contravention.</w:t>
      </w:r>
    </w:p>
    <w:p w14:paraId="2F4BD77F" w14:textId="77777777" w:rsidR="00067275" w:rsidRPr="00067275" w:rsidRDefault="00067275" w:rsidP="00067275">
      <w:pPr>
        <w:spacing w:before="240" w:line="360" w:lineRule="auto"/>
        <w:contextualSpacing/>
        <w:jc w:val="both"/>
        <w:rPr>
          <w:rFonts w:ascii="Arial" w:hAnsi="Arial" w:cs="Arial"/>
          <w:color w:val="000000"/>
          <w:sz w:val="22"/>
          <w:lang w:val="en-US" w:eastAsia="en-US"/>
        </w:rPr>
      </w:pPr>
      <w:r w:rsidRPr="00067275">
        <w:rPr>
          <w:rFonts w:ascii="Arial" w:hAnsi="Arial" w:cs="Arial"/>
          <w:color w:val="000000"/>
          <w:sz w:val="22"/>
          <w:lang w:val="en-US" w:eastAsia="en-US"/>
        </w:rPr>
        <w:t>[191] Section 218(2) should not be interpreted in a literal way. Rather, the provision recognises that liability for loss or damage may arise from contraventions of the Companies Act. And so, the statute confers a right of action. But what that right consists of, who enjoys the right, and against whom the right may be exercised, are all issues to be resolved by reference to the substantive provisions of the Companies Act.</w:t>
      </w:r>
    </w:p>
    <w:p w14:paraId="0B96EF0B" w14:textId="5389235D" w:rsidR="00067275" w:rsidRPr="00067275" w:rsidRDefault="00067275" w:rsidP="00067275">
      <w:pPr>
        <w:spacing w:before="240" w:line="360" w:lineRule="auto"/>
        <w:contextualSpacing/>
        <w:jc w:val="both"/>
        <w:rPr>
          <w:rFonts w:ascii="Arial" w:hAnsi="Arial" w:cs="Arial"/>
          <w:color w:val="000000"/>
          <w:sz w:val="22"/>
          <w:lang w:val="en-US" w:eastAsia="en-US"/>
        </w:rPr>
      </w:pPr>
      <w:r w:rsidRPr="00067275">
        <w:rPr>
          <w:rFonts w:ascii="Arial" w:hAnsi="Arial" w:cs="Arial"/>
          <w:color w:val="000000"/>
          <w:sz w:val="22"/>
          <w:lang w:val="en-US" w:eastAsia="en-US"/>
        </w:rPr>
        <w:t>[192] Such an interpretation answers another difficulty that the literal interpretation of s 218(2) does not. As </w:t>
      </w:r>
      <w:r w:rsidRPr="00067275">
        <w:rPr>
          <w:rFonts w:ascii="Arial" w:hAnsi="Arial" w:cs="Arial"/>
          <w:i/>
          <w:iCs/>
          <w:color w:val="000000"/>
          <w:sz w:val="22"/>
          <w:lang w:val="en-US" w:eastAsia="en-US"/>
        </w:rPr>
        <w:t>Hlumisa</w:t>
      </w:r>
      <w:r w:rsidRPr="00067275">
        <w:rPr>
          <w:rFonts w:ascii="Arial" w:hAnsi="Arial" w:cs="Arial"/>
          <w:color w:val="000000"/>
          <w:sz w:val="22"/>
          <w:lang w:val="en-US" w:eastAsia="en-US"/>
        </w:rPr>
        <w:t xml:space="preserve"> observed, can s 218(2) be understood to impose liability without the regulating concepts of fault, foreseeability and remoteness, and an undifferentiated conception of permissible plaintiffs? Such an understanding would require an interpretation of s 218(2) that gives rise to wholesale liability at the instance of all persons who sustained loss or damage as a result of the contravention. That is to place a burden of liability and hence risk upon directors so great that it is hard to imagine who would accept office on these terms. And </w:t>
      </w:r>
      <w:r w:rsidRPr="00067275">
        <w:rPr>
          <w:rFonts w:ascii="Arial" w:hAnsi="Arial" w:cs="Arial"/>
          <w:color w:val="000000"/>
          <w:sz w:val="22"/>
          <w:lang w:val="en-US" w:eastAsia="en-US"/>
        </w:rPr>
        <w:lastRenderedPageBreak/>
        <w:t>if that is what the legislature intended it would be expected to have made the imposition of so great a burden clear. The better interpretation is that the legislature intended that the specific requirements of any liability are to be found in the substantive provisions of the Companies Act. Section 218(2) has a different function. It determines the question posed in </w:t>
      </w:r>
      <w:r w:rsidRPr="00067275">
        <w:rPr>
          <w:rFonts w:ascii="Arial" w:hAnsi="Arial" w:cs="Arial"/>
          <w:i/>
          <w:iCs/>
          <w:color w:val="000000"/>
          <w:sz w:val="22"/>
          <w:lang w:val="en-US" w:eastAsia="en-US"/>
        </w:rPr>
        <w:t>Steenkamp</w:t>
      </w:r>
      <w:r w:rsidRPr="00067275">
        <w:rPr>
          <w:rFonts w:ascii="Arial" w:hAnsi="Arial" w:cs="Arial"/>
          <w:color w:val="000000"/>
          <w:sz w:val="22"/>
          <w:lang w:val="en-US" w:eastAsia="en-US"/>
        </w:rPr>
        <w:t>: contraventions do permit of a right of action. Whether there is a right of action, who enjoys the right, and on what basis are all matters regulated by the substantive provisions of the Companies Act.’</w:t>
      </w:r>
      <w:r w:rsidR="009D144D">
        <w:rPr>
          <w:rFonts w:ascii="Arial" w:hAnsi="Arial" w:cs="Arial"/>
          <w:color w:val="000000"/>
          <w:sz w:val="22"/>
          <w:lang w:val="en-US" w:eastAsia="en-US"/>
        </w:rPr>
        <w:t xml:space="preserve"> (Footnotes omitted.)</w:t>
      </w:r>
    </w:p>
    <w:p w14:paraId="70EF59B5" w14:textId="77777777" w:rsidR="00942CC8" w:rsidRPr="00677D48" w:rsidRDefault="00942CC8" w:rsidP="002238E7">
      <w:pPr>
        <w:spacing w:line="360" w:lineRule="auto"/>
        <w:contextualSpacing/>
        <w:jc w:val="both"/>
        <w:rPr>
          <w:rFonts w:ascii="Arial" w:hAnsi="Arial"/>
        </w:rPr>
      </w:pPr>
    </w:p>
    <w:p w14:paraId="29517A94" w14:textId="77777777" w:rsidR="00AA49B2" w:rsidRPr="00942CC8" w:rsidRDefault="00942CC8"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 xml:space="preserve">Second defendant’s counsel also made brief submissions on the issues of fraud, fault and causation in line with what was set out in the exceptions. </w:t>
      </w:r>
    </w:p>
    <w:p w14:paraId="35D84321" w14:textId="77777777" w:rsidR="00942CC8" w:rsidRDefault="00942CC8" w:rsidP="002238E7">
      <w:pPr>
        <w:pStyle w:val="ListParagraph"/>
        <w:spacing w:line="360" w:lineRule="auto"/>
        <w:ind w:left="0" w:firstLine="0"/>
        <w:contextualSpacing/>
        <w:mirrorIndents/>
        <w:jc w:val="both"/>
        <w:rPr>
          <w:rFonts w:ascii="Arial" w:hAnsi="Arial"/>
        </w:rPr>
      </w:pPr>
    </w:p>
    <w:p w14:paraId="449407C7" w14:textId="79C82BD4" w:rsidR="00942CC8" w:rsidRPr="00E473AC" w:rsidRDefault="00E473AC" w:rsidP="002238E7">
      <w:pPr>
        <w:pStyle w:val="ListParagraph"/>
        <w:spacing w:line="360" w:lineRule="auto"/>
        <w:ind w:left="0" w:firstLine="0"/>
        <w:contextualSpacing/>
        <w:mirrorIndents/>
        <w:jc w:val="both"/>
        <w:rPr>
          <w:rFonts w:ascii="Arial" w:hAnsi="Arial"/>
          <w:b/>
        </w:rPr>
      </w:pPr>
      <w:r w:rsidRPr="00E473AC">
        <w:rPr>
          <w:rFonts w:ascii="Arial" w:hAnsi="Arial"/>
          <w:b/>
        </w:rPr>
        <w:t>The plaintiff</w:t>
      </w:r>
      <w:r w:rsidR="00AB0429">
        <w:rPr>
          <w:rFonts w:ascii="Arial" w:hAnsi="Arial"/>
          <w:b/>
        </w:rPr>
        <w:t>’</w:t>
      </w:r>
      <w:r w:rsidRPr="00E473AC">
        <w:rPr>
          <w:rFonts w:ascii="Arial" w:hAnsi="Arial"/>
          <w:b/>
        </w:rPr>
        <w:t xml:space="preserve">s contentions </w:t>
      </w:r>
    </w:p>
    <w:p w14:paraId="7DFB3F5F" w14:textId="789CE73A" w:rsidR="00942CC8" w:rsidRPr="00AC0852" w:rsidRDefault="00942CC8"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 xml:space="preserve">Plaintiff’s counsel submitted in his heads of argument that on its </w:t>
      </w:r>
      <w:r w:rsidR="008B18C4">
        <w:rPr>
          <w:rFonts w:ascii="Arial" w:hAnsi="Arial"/>
        </w:rPr>
        <w:t xml:space="preserve">plain and unambiguous meaning, section 218(2) encapsulates a claim by a creditor of the </w:t>
      </w:r>
      <w:r w:rsidR="008B18C4" w:rsidRPr="001C6582">
        <w:rPr>
          <w:rFonts w:ascii="Arial" w:hAnsi="Arial"/>
        </w:rPr>
        <w:t xml:space="preserve">company, being </w:t>
      </w:r>
      <w:r w:rsidR="00516240">
        <w:rPr>
          <w:rFonts w:ascii="Arial" w:hAnsi="Arial"/>
        </w:rPr>
        <w:t>‘</w:t>
      </w:r>
      <w:r w:rsidR="008B18C4" w:rsidRPr="00F670C8">
        <w:rPr>
          <w:rFonts w:ascii="Arial" w:hAnsi="Arial"/>
        </w:rPr>
        <w:t>any other person</w:t>
      </w:r>
      <w:r w:rsidR="00516240">
        <w:rPr>
          <w:rFonts w:ascii="Arial" w:hAnsi="Arial"/>
        </w:rPr>
        <w:t>’</w:t>
      </w:r>
      <w:r w:rsidR="008B18C4" w:rsidRPr="001C6582">
        <w:rPr>
          <w:rFonts w:ascii="Arial" w:hAnsi="Arial"/>
        </w:rPr>
        <w:t xml:space="preserve"> for damage caused by </w:t>
      </w:r>
      <w:r w:rsidR="00516240">
        <w:rPr>
          <w:rFonts w:ascii="Arial" w:hAnsi="Arial"/>
        </w:rPr>
        <w:t>‘</w:t>
      </w:r>
      <w:r w:rsidR="008B18C4" w:rsidRPr="00F670C8">
        <w:rPr>
          <w:rFonts w:ascii="Arial" w:hAnsi="Arial"/>
        </w:rPr>
        <w:t>any person who contravenes any provision of this Ac</w:t>
      </w:r>
      <w:r w:rsidR="008B18C4" w:rsidRPr="000D3692">
        <w:rPr>
          <w:rFonts w:ascii="Arial" w:hAnsi="Arial"/>
          <w:sz w:val="22"/>
          <w:szCs w:val="22"/>
        </w:rPr>
        <w:t>t</w:t>
      </w:r>
      <w:r w:rsidR="000D3692" w:rsidRPr="00F670C8">
        <w:rPr>
          <w:rFonts w:ascii="Arial" w:hAnsi="Arial"/>
          <w:szCs w:val="22"/>
        </w:rPr>
        <w:t>’</w:t>
      </w:r>
      <w:r w:rsidR="009A64A0" w:rsidRPr="001C6582">
        <w:rPr>
          <w:rFonts w:ascii="Arial" w:hAnsi="Arial"/>
        </w:rPr>
        <w:t xml:space="preserve">, which must include a director </w:t>
      </w:r>
      <w:r w:rsidR="00AC0852" w:rsidRPr="001C6582">
        <w:rPr>
          <w:rFonts w:ascii="Arial" w:hAnsi="Arial"/>
        </w:rPr>
        <w:t>who contravenes the Act.</w:t>
      </w:r>
      <w:r w:rsidR="00AC0852">
        <w:rPr>
          <w:rFonts w:ascii="Arial" w:hAnsi="Arial"/>
        </w:rPr>
        <w:t xml:space="preserve"> </w:t>
      </w:r>
    </w:p>
    <w:p w14:paraId="2ABB16CD" w14:textId="77777777" w:rsidR="00AC0852" w:rsidRPr="00AC0852" w:rsidRDefault="00AC0852" w:rsidP="002238E7">
      <w:pPr>
        <w:pStyle w:val="ListParagraph"/>
        <w:spacing w:line="360" w:lineRule="auto"/>
        <w:ind w:left="0" w:firstLine="0"/>
        <w:contextualSpacing/>
        <w:mirrorIndents/>
        <w:jc w:val="both"/>
        <w:rPr>
          <w:rFonts w:ascii="Arial" w:hAnsi="Arial"/>
          <w:i/>
        </w:rPr>
      </w:pPr>
    </w:p>
    <w:p w14:paraId="6666708A" w14:textId="0E42AC70" w:rsidR="00AC0852" w:rsidRPr="00AC0852" w:rsidRDefault="00AC0852"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 xml:space="preserve">It was submitted that the exceptions raised by the second defendant </w:t>
      </w:r>
      <w:r w:rsidR="00516240">
        <w:rPr>
          <w:rFonts w:ascii="Arial" w:hAnsi="Arial"/>
        </w:rPr>
        <w:t xml:space="preserve">were </w:t>
      </w:r>
      <w:r>
        <w:rPr>
          <w:rFonts w:ascii="Arial" w:hAnsi="Arial"/>
        </w:rPr>
        <w:t xml:space="preserve">not </w:t>
      </w:r>
      <w:r w:rsidR="00AB0429">
        <w:rPr>
          <w:rFonts w:ascii="Arial" w:hAnsi="Arial"/>
        </w:rPr>
        <w:t>novel</w:t>
      </w:r>
      <w:r>
        <w:rPr>
          <w:rFonts w:ascii="Arial" w:hAnsi="Arial"/>
        </w:rPr>
        <w:t xml:space="preserve">, having been raised in a number of cases where actions were instituted for damages on a similar basis as in the present matter. </w:t>
      </w:r>
    </w:p>
    <w:p w14:paraId="02F85593" w14:textId="77777777" w:rsidR="00AC0852" w:rsidRPr="00AC0852" w:rsidRDefault="00AC0852" w:rsidP="002238E7">
      <w:pPr>
        <w:pStyle w:val="ListParagraph"/>
        <w:spacing w:line="360" w:lineRule="auto"/>
        <w:contextualSpacing/>
        <w:rPr>
          <w:rFonts w:ascii="Arial" w:hAnsi="Arial"/>
          <w:i/>
        </w:rPr>
      </w:pPr>
    </w:p>
    <w:p w14:paraId="0BF78A0C" w14:textId="141619FA" w:rsidR="00AC0852" w:rsidRPr="003C6E87" w:rsidRDefault="00AC0852"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 xml:space="preserve">I was referred to </w:t>
      </w:r>
      <w:r>
        <w:rPr>
          <w:rFonts w:ascii="Arial" w:hAnsi="Arial"/>
          <w:i/>
        </w:rPr>
        <w:t>Rabinowitz</w:t>
      </w:r>
      <w:r w:rsidR="00516240" w:rsidRPr="00F670C8">
        <w:rPr>
          <w:rStyle w:val="FootnoteReference"/>
          <w:rFonts w:ascii="Arial" w:hAnsi="Arial"/>
        </w:rPr>
        <w:footnoteReference w:id="10"/>
      </w:r>
      <w:r>
        <w:rPr>
          <w:rFonts w:ascii="Arial" w:hAnsi="Arial"/>
          <w:i/>
        </w:rPr>
        <w:t xml:space="preserve"> </w:t>
      </w:r>
      <w:r w:rsidR="003C6E87">
        <w:rPr>
          <w:rFonts w:ascii="Arial" w:hAnsi="Arial"/>
        </w:rPr>
        <w:t xml:space="preserve">where the court agreed with the proposition made on behalf of the plaintiff, namely, that </w:t>
      </w:r>
      <w:r w:rsidR="00516240">
        <w:rPr>
          <w:rFonts w:ascii="Arial" w:hAnsi="Arial"/>
        </w:rPr>
        <w:t>if ‘</w:t>
      </w:r>
      <w:r w:rsidR="00516240" w:rsidRPr="00516240">
        <w:rPr>
          <w:rFonts w:ascii="Arial" w:hAnsi="Arial"/>
          <w:lang w:val="en-US"/>
        </w:rPr>
        <w:t>a director is guilty of the offence created by s 214, such director must therefore be found to have contravened a provision of the Act for purposes of s 218(2)</w:t>
      </w:r>
      <w:r w:rsidR="00516240">
        <w:rPr>
          <w:rFonts w:ascii="Arial" w:hAnsi="Arial"/>
          <w:lang w:val="en-US"/>
        </w:rPr>
        <w:t>’</w:t>
      </w:r>
      <w:r w:rsidR="003C6E87">
        <w:rPr>
          <w:rFonts w:ascii="Arial" w:hAnsi="Arial"/>
        </w:rPr>
        <w:t>.</w:t>
      </w:r>
    </w:p>
    <w:p w14:paraId="3277B731" w14:textId="77777777" w:rsidR="003C6E87" w:rsidRPr="003C6E87" w:rsidRDefault="003C6E87" w:rsidP="002238E7">
      <w:pPr>
        <w:pStyle w:val="ListParagraph"/>
        <w:spacing w:line="360" w:lineRule="auto"/>
        <w:contextualSpacing/>
        <w:rPr>
          <w:rFonts w:ascii="Arial" w:hAnsi="Arial"/>
          <w:i/>
        </w:rPr>
      </w:pPr>
    </w:p>
    <w:p w14:paraId="35BBB28D" w14:textId="2C61AC84" w:rsidR="003C6E87" w:rsidRPr="003B27E1" w:rsidRDefault="003B27E1"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 xml:space="preserve">Earlier on in </w:t>
      </w:r>
      <w:r w:rsidR="002A0E35">
        <w:rPr>
          <w:rFonts w:ascii="Arial" w:hAnsi="Arial"/>
          <w:i/>
        </w:rPr>
        <w:t>Rabinowitz</w:t>
      </w:r>
      <w:r w:rsidR="002A0E35" w:rsidDel="002A0E35">
        <w:rPr>
          <w:rFonts w:ascii="Arial" w:hAnsi="Arial"/>
        </w:rPr>
        <w:t xml:space="preserve"> </w:t>
      </w:r>
      <w:r>
        <w:rPr>
          <w:rFonts w:ascii="Arial" w:hAnsi="Arial"/>
        </w:rPr>
        <w:t>the following was held:</w:t>
      </w:r>
    </w:p>
    <w:p w14:paraId="7CBD9B0E" w14:textId="585FC330" w:rsidR="003B27E1" w:rsidRPr="003B27E1" w:rsidRDefault="001C6582" w:rsidP="002238E7">
      <w:pPr>
        <w:spacing w:line="360" w:lineRule="auto"/>
        <w:contextualSpacing/>
        <w:jc w:val="both"/>
        <w:rPr>
          <w:rFonts w:ascii="Arial" w:hAnsi="Arial"/>
          <w:sz w:val="22"/>
          <w:szCs w:val="22"/>
        </w:rPr>
      </w:pPr>
      <w:r>
        <w:rPr>
          <w:rFonts w:ascii="Arial" w:hAnsi="Arial"/>
          <w:sz w:val="22"/>
          <w:szCs w:val="22"/>
        </w:rPr>
        <w:t>‘</w:t>
      </w:r>
      <w:r w:rsidRPr="001C6582">
        <w:rPr>
          <w:rFonts w:ascii="Arial" w:hAnsi="Arial"/>
          <w:sz w:val="22"/>
          <w:szCs w:val="22"/>
        </w:rPr>
        <w:t>The offence created by s 214(1)</w:t>
      </w:r>
      <w:r w:rsidRPr="001C6582">
        <w:rPr>
          <w:rFonts w:ascii="Arial" w:hAnsi="Arial"/>
          <w:i/>
          <w:iCs/>
          <w:sz w:val="22"/>
          <w:szCs w:val="22"/>
        </w:rPr>
        <w:t>(c)</w:t>
      </w:r>
      <w:r w:rsidRPr="001C6582">
        <w:rPr>
          <w:rFonts w:ascii="Arial" w:hAnsi="Arial"/>
          <w:sz w:val="22"/>
          <w:szCs w:val="22"/>
        </w:rPr>
        <w:t> is, inter alia, in respect of a director who was knowingly a p</w:t>
      </w:r>
      <w:r>
        <w:rPr>
          <w:rFonts w:ascii="Arial" w:hAnsi="Arial"/>
          <w:sz w:val="22"/>
          <w:szCs w:val="22"/>
        </w:rPr>
        <w:t>arty to conduct of the company</w:t>
      </w:r>
      <w:r w:rsidRPr="001C6582">
        <w:rPr>
          <w:rFonts w:ascii="Arial" w:hAnsi="Arial"/>
          <w:sz w:val="22"/>
          <w:szCs w:val="22"/>
        </w:rPr>
        <w:t xml:space="preserve"> prohibited under s 22. The section precludes a director from knowingly being party to a company carrying on its business with intent to defraud or for any </w:t>
      </w:r>
      <w:r w:rsidRPr="001C6582">
        <w:rPr>
          <w:rFonts w:ascii="Arial" w:hAnsi="Arial"/>
          <w:sz w:val="22"/>
          <w:szCs w:val="22"/>
        </w:rPr>
        <w:lastRenderedPageBreak/>
        <w:t>fraudulent purpose. This is one of the matters provided for in s 22 and is the primary complaint of the plaintiff</w:t>
      </w:r>
      <w:r w:rsidR="003B27E1" w:rsidRPr="003B27E1">
        <w:rPr>
          <w:rFonts w:ascii="Arial" w:hAnsi="Arial"/>
          <w:sz w:val="22"/>
          <w:szCs w:val="22"/>
        </w:rPr>
        <w:t>.</w:t>
      </w:r>
      <w:r>
        <w:rPr>
          <w:rFonts w:ascii="Arial" w:hAnsi="Arial"/>
          <w:sz w:val="22"/>
          <w:szCs w:val="22"/>
        </w:rPr>
        <w:t>’</w:t>
      </w:r>
      <w:r w:rsidR="002A0E35">
        <w:rPr>
          <w:rStyle w:val="FootnoteReference"/>
          <w:rFonts w:ascii="Arial" w:hAnsi="Arial"/>
          <w:sz w:val="22"/>
          <w:szCs w:val="22"/>
        </w:rPr>
        <w:footnoteReference w:id="11"/>
      </w:r>
    </w:p>
    <w:p w14:paraId="10F269B7" w14:textId="77777777" w:rsidR="003B27E1" w:rsidRPr="003B27E1" w:rsidRDefault="003B27E1" w:rsidP="002238E7">
      <w:pPr>
        <w:spacing w:line="360" w:lineRule="auto"/>
        <w:contextualSpacing/>
        <w:jc w:val="both"/>
        <w:rPr>
          <w:rFonts w:ascii="Arial" w:hAnsi="Arial"/>
        </w:rPr>
      </w:pPr>
    </w:p>
    <w:p w14:paraId="3ECE4E3F" w14:textId="577A44B9" w:rsidR="003B27E1" w:rsidRPr="001E782D" w:rsidRDefault="003B27E1"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 xml:space="preserve">The court referred to </w:t>
      </w:r>
      <w:r w:rsidRPr="000E405D">
        <w:rPr>
          <w:rFonts w:ascii="Arial" w:hAnsi="Arial"/>
          <w:i/>
        </w:rPr>
        <w:t xml:space="preserve">Henochsberg </w:t>
      </w:r>
      <w:r w:rsidRPr="00F670C8">
        <w:rPr>
          <w:rFonts w:ascii="Arial" w:hAnsi="Arial"/>
        </w:rPr>
        <w:t>and</w:t>
      </w:r>
      <w:r w:rsidRPr="000E405D">
        <w:rPr>
          <w:rFonts w:ascii="Arial" w:hAnsi="Arial"/>
          <w:i/>
        </w:rPr>
        <w:t xml:space="preserve"> Contemporary Company Law</w:t>
      </w:r>
      <w:r>
        <w:rPr>
          <w:rFonts w:ascii="Arial" w:hAnsi="Arial"/>
        </w:rPr>
        <w:t xml:space="preserve"> where opinions were expressed that section 218(2) </w:t>
      </w:r>
      <w:r w:rsidR="001E782D">
        <w:rPr>
          <w:rFonts w:ascii="Arial" w:hAnsi="Arial"/>
        </w:rPr>
        <w:t xml:space="preserve">provided a remedy in terms of which </w:t>
      </w:r>
      <w:r w:rsidR="001E782D">
        <w:rPr>
          <w:rFonts w:ascii="Arial" w:hAnsi="Arial"/>
          <w:i/>
        </w:rPr>
        <w:t xml:space="preserve">inter alia </w:t>
      </w:r>
      <w:r w:rsidR="001E782D">
        <w:rPr>
          <w:rFonts w:ascii="Arial" w:hAnsi="Arial"/>
        </w:rPr>
        <w:t>creditors would be entitled to redress from the company or its directors for fraudulent or reckless trading.</w:t>
      </w:r>
      <w:r w:rsidR="00E200F8">
        <w:rPr>
          <w:rStyle w:val="FootnoteReference"/>
          <w:rFonts w:ascii="Arial" w:hAnsi="Arial"/>
        </w:rPr>
        <w:footnoteReference w:id="12"/>
      </w:r>
      <w:r w:rsidR="001E782D">
        <w:rPr>
          <w:rFonts w:ascii="Arial" w:hAnsi="Arial"/>
        </w:rPr>
        <w:t xml:space="preserve"> </w:t>
      </w:r>
    </w:p>
    <w:p w14:paraId="0B9CACA5" w14:textId="52A22A4F" w:rsidR="001E782D" w:rsidRPr="001E782D" w:rsidRDefault="001E782D" w:rsidP="002238E7">
      <w:pPr>
        <w:pStyle w:val="ListParagraph"/>
        <w:spacing w:line="360" w:lineRule="auto"/>
        <w:ind w:left="0" w:firstLine="0"/>
        <w:contextualSpacing/>
        <w:mirrorIndents/>
        <w:jc w:val="both"/>
        <w:rPr>
          <w:rFonts w:ascii="Arial" w:hAnsi="Arial"/>
          <w:i/>
        </w:rPr>
      </w:pPr>
    </w:p>
    <w:p w14:paraId="42C4EB78" w14:textId="2E5B62D3" w:rsidR="005D4485" w:rsidRPr="005D4485" w:rsidRDefault="009D144D"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T</w:t>
      </w:r>
      <w:r w:rsidR="001E782D">
        <w:rPr>
          <w:rFonts w:ascii="Arial" w:hAnsi="Arial"/>
        </w:rPr>
        <w:t xml:space="preserve">he court found </w:t>
      </w:r>
      <w:r>
        <w:rPr>
          <w:rFonts w:ascii="Arial" w:hAnsi="Arial"/>
        </w:rPr>
        <w:t>‘</w:t>
      </w:r>
      <w:r w:rsidR="001E782D">
        <w:rPr>
          <w:rFonts w:ascii="Arial" w:hAnsi="Arial"/>
        </w:rPr>
        <w:t>that a third party can hold a director personally liable in terms of the Act for acquiescing in or knowing about conduct that falls within the ambit of s</w:t>
      </w:r>
      <w:r>
        <w:rPr>
          <w:rFonts w:ascii="Arial" w:hAnsi="Arial"/>
        </w:rPr>
        <w:t> </w:t>
      </w:r>
      <w:r w:rsidR="001E782D">
        <w:rPr>
          <w:rFonts w:ascii="Arial" w:hAnsi="Arial"/>
        </w:rPr>
        <w:t>22(1)</w:t>
      </w:r>
      <w:r>
        <w:rPr>
          <w:rFonts w:ascii="Arial" w:hAnsi="Arial"/>
        </w:rPr>
        <w:t>’</w:t>
      </w:r>
      <w:r w:rsidR="001E782D">
        <w:rPr>
          <w:rFonts w:ascii="Arial" w:hAnsi="Arial"/>
        </w:rPr>
        <w:t>.</w:t>
      </w:r>
      <w:r>
        <w:rPr>
          <w:rStyle w:val="FootnoteReference"/>
          <w:rFonts w:ascii="Arial" w:hAnsi="Arial"/>
        </w:rPr>
        <w:footnoteReference w:id="13"/>
      </w:r>
      <w:r w:rsidR="001E782D">
        <w:rPr>
          <w:rFonts w:ascii="Arial" w:hAnsi="Arial"/>
        </w:rPr>
        <w:t xml:space="preserve"> </w:t>
      </w:r>
      <w:r w:rsidR="00B877A8">
        <w:rPr>
          <w:rFonts w:ascii="Arial" w:hAnsi="Arial"/>
        </w:rPr>
        <w:t>In reaching this conclusion, the court relied on</w:t>
      </w:r>
      <w:r>
        <w:rPr>
          <w:rFonts w:ascii="Arial" w:hAnsi="Arial"/>
        </w:rPr>
        <w:t>,</w:t>
      </w:r>
      <w:r w:rsidR="00B877A8">
        <w:rPr>
          <w:rFonts w:ascii="Arial" w:hAnsi="Arial"/>
        </w:rPr>
        <w:t xml:space="preserve"> and agreed with a submission made</w:t>
      </w:r>
      <w:r>
        <w:rPr>
          <w:rFonts w:ascii="Arial" w:hAnsi="Arial"/>
        </w:rPr>
        <w:t>,</w:t>
      </w:r>
      <w:r w:rsidR="00B877A8">
        <w:rPr>
          <w:rFonts w:ascii="Arial" w:hAnsi="Arial"/>
        </w:rPr>
        <w:t xml:space="preserve"> that </w:t>
      </w:r>
      <w:r w:rsidR="005C6509">
        <w:rPr>
          <w:rFonts w:ascii="Arial" w:hAnsi="Arial"/>
        </w:rPr>
        <w:t>‘</w:t>
      </w:r>
      <w:r w:rsidR="005C6509" w:rsidRPr="005C6509">
        <w:rPr>
          <w:rFonts w:ascii="Arial" w:hAnsi="Arial"/>
          <w:lang w:val="en-US"/>
        </w:rPr>
        <w:t>despite the express liability created in s 77(3) thereof, the legislature did not intend to preclude a director from knowingly being a party to conduct specified in s 22 of the Act</w:t>
      </w:r>
      <w:r w:rsidR="005C6509">
        <w:rPr>
          <w:rFonts w:ascii="Arial" w:hAnsi="Arial"/>
          <w:lang w:val="en-US"/>
        </w:rPr>
        <w:t>’</w:t>
      </w:r>
      <w:r w:rsidR="00B877A8">
        <w:rPr>
          <w:rFonts w:ascii="Arial" w:hAnsi="Arial"/>
        </w:rPr>
        <w:t>.</w:t>
      </w:r>
      <w:r w:rsidR="005C6509">
        <w:rPr>
          <w:rStyle w:val="FootnoteReference"/>
          <w:rFonts w:ascii="Arial" w:hAnsi="Arial"/>
        </w:rPr>
        <w:footnoteReference w:id="14"/>
      </w:r>
      <w:r w:rsidR="00B877A8">
        <w:rPr>
          <w:rFonts w:ascii="Arial" w:hAnsi="Arial"/>
        </w:rPr>
        <w:t xml:space="preserve"> </w:t>
      </w:r>
      <w:r w:rsidR="005D4485">
        <w:rPr>
          <w:rFonts w:ascii="Arial" w:hAnsi="Arial"/>
        </w:rPr>
        <w:t>It was held that t</w:t>
      </w:r>
      <w:r w:rsidR="00B877A8">
        <w:rPr>
          <w:rFonts w:ascii="Arial" w:hAnsi="Arial"/>
        </w:rPr>
        <w:t xml:space="preserve">he </w:t>
      </w:r>
      <w:r>
        <w:rPr>
          <w:rFonts w:ascii="Arial" w:hAnsi="Arial"/>
        </w:rPr>
        <w:t xml:space="preserve">Companies </w:t>
      </w:r>
      <w:r w:rsidR="00B877A8">
        <w:rPr>
          <w:rFonts w:ascii="Arial" w:hAnsi="Arial"/>
        </w:rPr>
        <w:t xml:space="preserve">Act </w:t>
      </w:r>
    </w:p>
    <w:p w14:paraId="1497DCAF" w14:textId="04EDB5AE" w:rsidR="001E782D" w:rsidRPr="005D4485" w:rsidRDefault="005D4485" w:rsidP="005D4485">
      <w:pPr>
        <w:pStyle w:val="ListParagraph"/>
        <w:spacing w:line="360" w:lineRule="auto"/>
        <w:ind w:left="0" w:firstLine="0"/>
        <w:contextualSpacing/>
        <w:mirrorIndents/>
        <w:jc w:val="both"/>
        <w:rPr>
          <w:rFonts w:ascii="Arial" w:hAnsi="Arial"/>
          <w:i/>
          <w:sz w:val="22"/>
          <w:szCs w:val="22"/>
        </w:rPr>
      </w:pPr>
      <w:r w:rsidRPr="005D4485">
        <w:rPr>
          <w:rFonts w:ascii="Arial" w:hAnsi="Arial"/>
          <w:color w:val="000000"/>
          <w:sz w:val="22"/>
          <w:szCs w:val="22"/>
        </w:rPr>
        <w:t>‘specifically contemplates that the business and affairs of a company are to be managed by or under the direction of its board,</w:t>
      </w:r>
      <w:bookmarkStart w:id="7" w:name="0-0-0-234619"/>
      <w:bookmarkEnd w:id="7"/>
      <w:r w:rsidRPr="005D4485">
        <w:rPr>
          <w:rFonts w:ascii="Arial" w:hAnsi="Arial"/>
          <w:color w:val="000000"/>
          <w:sz w:val="22"/>
          <w:szCs w:val="22"/>
        </w:rPr>
        <w:t>  it is hard to conceive of any basis upon which the legislature intended to prevent a company from acting in the manner provided for in s 22, but did not intend to prevent the directors responsible for the management of the company from acting in that manner’</w:t>
      </w:r>
      <w:r w:rsidR="00222280" w:rsidRPr="005D4485">
        <w:rPr>
          <w:rFonts w:ascii="Arial" w:hAnsi="Arial"/>
          <w:sz w:val="22"/>
          <w:szCs w:val="22"/>
        </w:rPr>
        <w:t>.</w:t>
      </w:r>
      <w:r>
        <w:rPr>
          <w:rStyle w:val="FootnoteReference"/>
          <w:rFonts w:ascii="Arial" w:hAnsi="Arial"/>
          <w:sz w:val="22"/>
          <w:szCs w:val="22"/>
        </w:rPr>
        <w:footnoteReference w:id="15"/>
      </w:r>
      <w:r w:rsidR="00222280" w:rsidRPr="005D4485">
        <w:rPr>
          <w:rFonts w:ascii="Arial" w:hAnsi="Arial"/>
          <w:sz w:val="22"/>
          <w:szCs w:val="22"/>
        </w:rPr>
        <w:t xml:space="preserve"> </w:t>
      </w:r>
    </w:p>
    <w:p w14:paraId="20F9D588" w14:textId="77777777" w:rsidR="00222280" w:rsidRPr="00222280" w:rsidRDefault="00222280" w:rsidP="002238E7">
      <w:pPr>
        <w:pStyle w:val="ListParagraph"/>
        <w:spacing w:line="360" w:lineRule="auto"/>
        <w:contextualSpacing/>
        <w:rPr>
          <w:rFonts w:ascii="Arial" w:hAnsi="Arial"/>
          <w:i/>
        </w:rPr>
      </w:pPr>
    </w:p>
    <w:p w14:paraId="2B817F79" w14:textId="6EB6BF54" w:rsidR="003B27E1" w:rsidRPr="001F326E" w:rsidRDefault="00222280"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 xml:space="preserve">I was also referred to </w:t>
      </w:r>
      <w:r>
        <w:rPr>
          <w:rFonts w:ascii="Arial" w:hAnsi="Arial"/>
          <w:i/>
        </w:rPr>
        <w:t xml:space="preserve">Chemfit Fine Chemicals (Pty) </w:t>
      </w:r>
      <w:r w:rsidR="005D4485">
        <w:rPr>
          <w:rFonts w:ascii="Arial" w:hAnsi="Arial"/>
          <w:i/>
        </w:rPr>
        <w:t xml:space="preserve">Ltd </w:t>
      </w:r>
      <w:r>
        <w:rPr>
          <w:rFonts w:ascii="Arial" w:hAnsi="Arial"/>
          <w:i/>
        </w:rPr>
        <w:t>v Maake</w:t>
      </w:r>
      <w:r w:rsidR="005D4485">
        <w:rPr>
          <w:rStyle w:val="FootnoteReference"/>
          <w:rFonts w:ascii="Arial" w:hAnsi="Arial"/>
        </w:rPr>
        <w:footnoteReference w:id="16"/>
      </w:r>
      <w:r>
        <w:rPr>
          <w:rFonts w:ascii="Arial" w:hAnsi="Arial"/>
        </w:rPr>
        <w:t xml:space="preserve"> where the court followed the approach in </w:t>
      </w:r>
      <w:r>
        <w:rPr>
          <w:rFonts w:ascii="Arial" w:hAnsi="Arial"/>
          <w:i/>
        </w:rPr>
        <w:t xml:space="preserve">Rabinowitz </w:t>
      </w:r>
      <w:r>
        <w:rPr>
          <w:rFonts w:ascii="Arial" w:hAnsi="Arial"/>
        </w:rPr>
        <w:t xml:space="preserve">and held the directors personally liable to </w:t>
      </w:r>
      <w:r w:rsidR="00285AAF">
        <w:rPr>
          <w:rFonts w:ascii="Arial" w:hAnsi="Arial"/>
        </w:rPr>
        <w:t xml:space="preserve">the </w:t>
      </w:r>
      <w:r>
        <w:rPr>
          <w:rFonts w:ascii="Arial" w:hAnsi="Arial"/>
        </w:rPr>
        <w:t>creditors of the company. The court dealt with the matter where the company apparently traded under insolvent circumstances as set out in section 22(1)</w:t>
      </w:r>
      <w:r w:rsidRPr="00F670C8">
        <w:rPr>
          <w:rFonts w:ascii="Arial" w:hAnsi="Arial"/>
          <w:i/>
        </w:rPr>
        <w:t>(b)</w:t>
      </w:r>
      <w:r>
        <w:rPr>
          <w:rFonts w:ascii="Arial" w:hAnsi="Arial"/>
        </w:rPr>
        <w:t xml:space="preserve"> of the Companies Act </w:t>
      </w:r>
      <w:r w:rsidR="001D74A8">
        <w:rPr>
          <w:rFonts w:ascii="Arial" w:hAnsi="Arial"/>
        </w:rPr>
        <w:t>(</w:t>
      </w:r>
      <w:r>
        <w:rPr>
          <w:rFonts w:ascii="Arial" w:hAnsi="Arial"/>
        </w:rPr>
        <w:t>before it was amended in 2011</w:t>
      </w:r>
      <w:r w:rsidR="001D74A8">
        <w:rPr>
          <w:rFonts w:ascii="Arial" w:hAnsi="Arial"/>
        </w:rPr>
        <w:t>)</w:t>
      </w:r>
      <w:r w:rsidR="00285AAF">
        <w:rPr>
          <w:rFonts w:ascii="Arial" w:hAnsi="Arial"/>
        </w:rPr>
        <w:t>,</w:t>
      </w:r>
      <w:r>
        <w:rPr>
          <w:rFonts w:ascii="Arial" w:hAnsi="Arial"/>
        </w:rPr>
        <w:t xml:space="preserve"> and found that the directors </w:t>
      </w:r>
      <w:r w:rsidR="00336EAA">
        <w:rPr>
          <w:rFonts w:ascii="Arial" w:hAnsi="Arial"/>
        </w:rPr>
        <w:t>had been trading under insolvent circumstances</w:t>
      </w:r>
      <w:r w:rsidR="001D74A8">
        <w:rPr>
          <w:rFonts w:ascii="Arial" w:hAnsi="Arial"/>
        </w:rPr>
        <w:t>,</w:t>
      </w:r>
      <w:r w:rsidR="00336EAA">
        <w:rPr>
          <w:rFonts w:ascii="Arial" w:hAnsi="Arial"/>
        </w:rPr>
        <w:t xml:space="preserve"> which was a contravention </w:t>
      </w:r>
      <w:r w:rsidR="00285AAF">
        <w:rPr>
          <w:rFonts w:ascii="Arial" w:hAnsi="Arial"/>
        </w:rPr>
        <w:t xml:space="preserve">and </w:t>
      </w:r>
      <w:r w:rsidR="00336EAA">
        <w:rPr>
          <w:rFonts w:ascii="Arial" w:hAnsi="Arial"/>
        </w:rPr>
        <w:t>which attracted personal liability of the directors within the meaning of section 218(2).</w:t>
      </w:r>
      <w:r w:rsidR="001D74A8">
        <w:rPr>
          <w:rStyle w:val="FootnoteReference"/>
          <w:rFonts w:ascii="Arial" w:hAnsi="Arial"/>
        </w:rPr>
        <w:footnoteReference w:id="17"/>
      </w:r>
      <w:r w:rsidR="00336EAA">
        <w:rPr>
          <w:rFonts w:ascii="Arial" w:hAnsi="Arial"/>
        </w:rPr>
        <w:t xml:space="preserve"> </w:t>
      </w:r>
      <w:r w:rsidR="001D74A8">
        <w:rPr>
          <w:rFonts w:ascii="Arial" w:hAnsi="Arial"/>
        </w:rPr>
        <w:t>T</w:t>
      </w:r>
      <w:r w:rsidR="00336EAA">
        <w:rPr>
          <w:rFonts w:ascii="Arial" w:hAnsi="Arial"/>
        </w:rPr>
        <w:t xml:space="preserve">he court </w:t>
      </w:r>
      <w:r w:rsidR="001D74A8">
        <w:rPr>
          <w:rFonts w:ascii="Arial" w:hAnsi="Arial"/>
        </w:rPr>
        <w:t xml:space="preserve">then </w:t>
      </w:r>
      <w:r w:rsidR="00336EAA" w:rsidRPr="001D74A8">
        <w:rPr>
          <w:rFonts w:ascii="Arial" w:hAnsi="Arial"/>
        </w:rPr>
        <w:t xml:space="preserve">held that </w:t>
      </w:r>
      <w:r w:rsidR="001D74A8">
        <w:rPr>
          <w:rFonts w:ascii="Arial" w:hAnsi="Arial"/>
        </w:rPr>
        <w:t>‘[a]</w:t>
      </w:r>
      <w:r w:rsidR="002E2575" w:rsidRPr="001D74A8">
        <w:rPr>
          <w:rFonts w:ascii="Arial" w:hAnsi="Arial"/>
        </w:rPr>
        <w:t>ny conduct that contravenes a provision of the Act, catapults any person, including the directors to personal liability</w:t>
      </w:r>
      <w:r w:rsidR="001D74A8">
        <w:rPr>
          <w:rFonts w:ascii="Arial" w:hAnsi="Arial"/>
        </w:rPr>
        <w:t>’</w:t>
      </w:r>
      <w:r w:rsidR="002E2575" w:rsidRPr="001D74A8">
        <w:rPr>
          <w:rFonts w:ascii="Arial" w:hAnsi="Arial"/>
        </w:rPr>
        <w:t>.</w:t>
      </w:r>
      <w:r w:rsidR="001D74A8" w:rsidRPr="001D74A8">
        <w:rPr>
          <w:rStyle w:val="FootnoteReference"/>
          <w:rFonts w:ascii="Arial" w:hAnsi="Arial"/>
        </w:rPr>
        <w:footnoteReference w:id="18"/>
      </w:r>
    </w:p>
    <w:p w14:paraId="22042039" w14:textId="77777777" w:rsidR="001F326E" w:rsidRPr="001F326E" w:rsidRDefault="001F326E" w:rsidP="002238E7">
      <w:pPr>
        <w:pStyle w:val="ListParagraph"/>
        <w:spacing w:line="360" w:lineRule="auto"/>
        <w:contextualSpacing/>
        <w:rPr>
          <w:rFonts w:ascii="Arial" w:hAnsi="Arial"/>
          <w:i/>
        </w:rPr>
      </w:pPr>
    </w:p>
    <w:p w14:paraId="1354E754" w14:textId="4839AE36" w:rsidR="001F326E" w:rsidRDefault="001F326E" w:rsidP="00470951">
      <w:pPr>
        <w:pStyle w:val="ListParagraph"/>
        <w:numPr>
          <w:ilvl w:val="0"/>
          <w:numId w:val="7"/>
        </w:numPr>
        <w:spacing w:line="360" w:lineRule="auto"/>
        <w:ind w:left="0" w:firstLine="0"/>
        <w:contextualSpacing/>
        <w:mirrorIndents/>
        <w:jc w:val="both"/>
        <w:rPr>
          <w:rFonts w:ascii="Arial" w:hAnsi="Arial"/>
          <w:i/>
        </w:rPr>
      </w:pPr>
      <w:r>
        <w:rPr>
          <w:rFonts w:ascii="Arial" w:hAnsi="Arial"/>
          <w:i/>
        </w:rPr>
        <w:t xml:space="preserve">Chemfit </w:t>
      </w:r>
      <w:r>
        <w:rPr>
          <w:rFonts w:ascii="Arial" w:hAnsi="Arial"/>
        </w:rPr>
        <w:t xml:space="preserve">was overturned on appeal before a Full Bench in </w:t>
      </w:r>
      <w:r w:rsidR="00470951" w:rsidRPr="00470951">
        <w:rPr>
          <w:rFonts w:ascii="Arial" w:hAnsi="Arial"/>
          <w:i/>
          <w:lang w:val="en-US"/>
        </w:rPr>
        <w:t xml:space="preserve">Maake and </w:t>
      </w:r>
      <w:r w:rsidR="00285AAF" w:rsidRPr="00470951">
        <w:rPr>
          <w:rFonts w:ascii="Arial" w:hAnsi="Arial"/>
          <w:i/>
          <w:lang w:val="en-US"/>
        </w:rPr>
        <w:t xml:space="preserve">others </w:t>
      </w:r>
      <w:r w:rsidR="00470951" w:rsidRPr="00470951">
        <w:rPr>
          <w:rFonts w:ascii="Arial" w:hAnsi="Arial"/>
          <w:i/>
          <w:lang w:val="en-US"/>
        </w:rPr>
        <w:t>v Chemfit Finechemical (Proprietary) Limited</w:t>
      </w:r>
      <w:r w:rsidR="00104F13">
        <w:rPr>
          <w:rFonts w:ascii="Arial" w:hAnsi="Arial"/>
        </w:rPr>
        <w:t>,</w:t>
      </w:r>
      <w:r w:rsidR="00470951">
        <w:rPr>
          <w:rStyle w:val="FootnoteReference"/>
          <w:rFonts w:ascii="Arial" w:hAnsi="Arial"/>
        </w:rPr>
        <w:footnoteReference w:id="19"/>
      </w:r>
      <w:r w:rsidR="00104F13">
        <w:rPr>
          <w:rFonts w:ascii="Arial" w:hAnsi="Arial"/>
        </w:rPr>
        <w:t xml:space="preserve"> but only on a factual basis, not in respect of its legal approach. The court held that: </w:t>
      </w:r>
    </w:p>
    <w:p w14:paraId="1737F985" w14:textId="3006AF69" w:rsidR="00470951" w:rsidRPr="00470951" w:rsidRDefault="00470951" w:rsidP="00470951">
      <w:pPr>
        <w:spacing w:line="360" w:lineRule="auto"/>
        <w:contextualSpacing/>
        <w:jc w:val="both"/>
        <w:rPr>
          <w:rFonts w:ascii="Arial" w:eastAsiaTheme="minorHAnsi" w:hAnsi="Arial" w:cs="Arial"/>
          <w:color w:val="000000"/>
          <w:sz w:val="22"/>
          <w:szCs w:val="22"/>
          <w:lang w:val="en-US" w:eastAsia="en-US"/>
        </w:rPr>
      </w:pPr>
      <w:r w:rsidRPr="00470951">
        <w:rPr>
          <w:rFonts w:ascii="Arial" w:eastAsiaTheme="minorHAnsi" w:hAnsi="Arial" w:cs="Arial"/>
          <w:color w:val="000000"/>
          <w:sz w:val="22"/>
          <w:szCs w:val="22"/>
          <w:lang w:val="en-US" w:eastAsia="en-US"/>
        </w:rPr>
        <w:t>‘[27]       Section 218 of the CA imposes liability on any person who contravenes any provision of the Act and who in so doing caused another person to suffer a loss or damage. </w:t>
      </w:r>
      <w:r w:rsidRPr="00470951">
        <w:rPr>
          <w:rFonts w:ascii="Arial" w:eastAsiaTheme="minorHAnsi" w:hAnsi="Arial" w:cs="Arial"/>
          <w:bCs/>
          <w:color w:val="000000"/>
          <w:sz w:val="22"/>
          <w:szCs w:val="22"/>
          <w:lang w:val="en-US" w:eastAsia="en-US"/>
        </w:rPr>
        <w:t xml:space="preserve">(See </w:t>
      </w:r>
      <w:r w:rsidRPr="00470951">
        <w:rPr>
          <w:rFonts w:ascii="Arial" w:eastAsiaTheme="minorHAnsi" w:hAnsi="Arial" w:cs="Arial"/>
          <w:bCs/>
          <w:i/>
          <w:color w:val="000000"/>
          <w:sz w:val="22"/>
          <w:szCs w:val="22"/>
          <w:lang w:val="en-US" w:eastAsia="en-US"/>
        </w:rPr>
        <w:t>Rabinowitz v Van Graan </w:t>
      </w:r>
      <w:r w:rsidRPr="00470951">
        <w:rPr>
          <w:rFonts w:ascii="Arial" w:eastAsiaTheme="minorHAnsi" w:hAnsi="Arial" w:cs="Arial"/>
          <w:bCs/>
          <w:color w:val="000000"/>
          <w:sz w:val="22"/>
          <w:szCs w:val="22"/>
          <w:lang w:val="en-US" w:eastAsia="en-US"/>
        </w:rPr>
        <w:t>2013 (5) SA 315 (GST) </w:t>
      </w:r>
      <w:r w:rsidRPr="00470951">
        <w:rPr>
          <w:rFonts w:ascii="Arial" w:eastAsiaTheme="minorHAnsi" w:hAnsi="Arial" w:cs="Arial"/>
          <w:color w:val="000000"/>
          <w:sz w:val="22"/>
          <w:szCs w:val="22"/>
          <w:lang w:val="en-US" w:eastAsia="en-US"/>
        </w:rPr>
        <w:t>and </w:t>
      </w:r>
      <w:r w:rsidRPr="00470951">
        <w:rPr>
          <w:rFonts w:ascii="Arial" w:eastAsiaTheme="minorHAnsi" w:hAnsi="Arial" w:cs="Arial"/>
          <w:bCs/>
          <w:i/>
          <w:color w:val="000000"/>
          <w:sz w:val="22"/>
          <w:szCs w:val="22"/>
          <w:lang w:val="en-US" w:eastAsia="en-US"/>
        </w:rPr>
        <w:t>Sanlam Capital Markets v Mettle Manco</w:t>
      </w:r>
      <w:r w:rsidRPr="00470951">
        <w:rPr>
          <w:rFonts w:ascii="Arial" w:eastAsiaTheme="minorHAnsi" w:hAnsi="Arial" w:cs="Arial"/>
          <w:bCs/>
          <w:color w:val="000000"/>
          <w:sz w:val="22"/>
          <w:szCs w:val="22"/>
          <w:lang w:val="en-US" w:eastAsia="en-US"/>
        </w:rPr>
        <w:t> [2014] 3 ALL SA 454 (GT). </w:t>
      </w:r>
      <w:r w:rsidRPr="00470951">
        <w:rPr>
          <w:rFonts w:ascii="Arial" w:eastAsiaTheme="minorHAnsi" w:hAnsi="Arial" w:cs="Arial"/>
          <w:color w:val="000000"/>
          <w:sz w:val="22"/>
          <w:szCs w:val="22"/>
          <w:lang w:val="en-US" w:eastAsia="en-US"/>
        </w:rPr>
        <w:t>Any person who can sue for loss or damage in our view will include a creditor of the company.</w:t>
      </w:r>
    </w:p>
    <w:p w14:paraId="596C113F" w14:textId="22EDF0B3" w:rsidR="00470951" w:rsidRPr="00470951" w:rsidRDefault="00470951" w:rsidP="00470951">
      <w:pPr>
        <w:spacing w:line="360" w:lineRule="auto"/>
        <w:contextualSpacing/>
        <w:jc w:val="both"/>
        <w:rPr>
          <w:rFonts w:ascii="Arial" w:eastAsiaTheme="minorHAnsi" w:hAnsi="Arial" w:cs="Arial"/>
          <w:color w:val="000000"/>
          <w:sz w:val="22"/>
          <w:szCs w:val="22"/>
          <w:lang w:val="en-US" w:eastAsia="en-US"/>
        </w:rPr>
      </w:pPr>
      <w:r w:rsidRPr="00470951">
        <w:rPr>
          <w:rFonts w:ascii="Arial" w:eastAsiaTheme="minorHAnsi" w:hAnsi="Arial" w:cs="Arial"/>
          <w:color w:val="000000"/>
          <w:sz w:val="22"/>
          <w:szCs w:val="22"/>
          <w:lang w:val="en-US" w:eastAsia="en-US"/>
        </w:rPr>
        <w:t>[28]       Section 218 of the CA provides a general remedy to any person who suffers loss or damages as a result of contravention of the Act. However, it does not specify which contravention the person may sue for. A creditor may sue a director of a company in his/her personal capacity for the loss or damage it has suffered as a result of that director(s) actions. Since the section does not specify which actions may be regarded as contravention of the CA, it follows that the creditor who sues must specify which contravention were attributed to the director(s) and the exact losses or damages with sufficient particulars. Sufficient facts should be pleaded to enable the director(s) to know which case they would meet.’</w:t>
      </w:r>
    </w:p>
    <w:p w14:paraId="09C60D2E" w14:textId="4C669A3D" w:rsidR="00E028F7" w:rsidRPr="0075351E" w:rsidRDefault="00E028F7" w:rsidP="00470951">
      <w:pPr>
        <w:spacing w:line="360" w:lineRule="auto"/>
        <w:contextualSpacing/>
        <w:jc w:val="both"/>
        <w:rPr>
          <w:rFonts w:ascii="Arial" w:hAnsi="Arial"/>
          <w:sz w:val="22"/>
          <w:szCs w:val="22"/>
        </w:rPr>
      </w:pPr>
    </w:p>
    <w:p w14:paraId="0DF45DA1" w14:textId="2A1FE69A" w:rsidR="00104F13" w:rsidRPr="00F1013C" w:rsidRDefault="00D279AB"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 xml:space="preserve">The court found on the facts of the case </w:t>
      </w:r>
      <w:r w:rsidR="006066AB">
        <w:rPr>
          <w:rFonts w:ascii="Arial" w:hAnsi="Arial"/>
        </w:rPr>
        <w:t xml:space="preserve">that the directors did not carry on the business of the company recklessly or with gross negligence (the respondents having relied on a contravention of section 22(1) </w:t>
      </w:r>
      <w:r w:rsidR="00F1013C">
        <w:rPr>
          <w:rFonts w:ascii="Arial" w:hAnsi="Arial"/>
        </w:rPr>
        <w:t>of the Companies Act)</w:t>
      </w:r>
      <w:r w:rsidR="00470951">
        <w:rPr>
          <w:rFonts w:ascii="Arial" w:hAnsi="Arial"/>
        </w:rPr>
        <w:t>.</w:t>
      </w:r>
      <w:r w:rsidR="00470951">
        <w:rPr>
          <w:rStyle w:val="FootnoteReference"/>
          <w:rFonts w:ascii="Arial" w:hAnsi="Arial"/>
        </w:rPr>
        <w:footnoteReference w:id="20"/>
      </w:r>
      <w:r w:rsidR="00F1013C">
        <w:rPr>
          <w:rFonts w:ascii="Arial" w:hAnsi="Arial"/>
        </w:rPr>
        <w:t xml:space="preserve"> </w:t>
      </w:r>
    </w:p>
    <w:p w14:paraId="72B89AA3" w14:textId="77777777" w:rsidR="00F1013C" w:rsidRPr="00F1013C" w:rsidRDefault="00F1013C" w:rsidP="002238E7">
      <w:pPr>
        <w:pStyle w:val="ListParagraph"/>
        <w:spacing w:line="360" w:lineRule="auto"/>
        <w:ind w:left="0" w:firstLine="0"/>
        <w:contextualSpacing/>
        <w:mirrorIndents/>
        <w:jc w:val="both"/>
        <w:rPr>
          <w:rFonts w:ascii="Arial" w:hAnsi="Arial"/>
          <w:i/>
        </w:rPr>
      </w:pPr>
    </w:p>
    <w:p w14:paraId="2F11656A" w14:textId="757344EF" w:rsidR="00F1013C" w:rsidRPr="005C3213" w:rsidRDefault="00F1013C"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 xml:space="preserve">Counsel for the plaintiff also referred me to </w:t>
      </w:r>
      <w:r w:rsidR="00E50E16">
        <w:rPr>
          <w:rFonts w:ascii="Arial" w:hAnsi="Arial"/>
          <w:i/>
        </w:rPr>
        <w:t xml:space="preserve">Blue Farm Fashion Limited v Rapitrade 6 (Pty) Limited and </w:t>
      </w:r>
      <w:r w:rsidR="00971320">
        <w:rPr>
          <w:rFonts w:ascii="Arial" w:hAnsi="Arial"/>
          <w:i/>
        </w:rPr>
        <w:t>others</w:t>
      </w:r>
      <w:r w:rsidR="00E50E16">
        <w:rPr>
          <w:rFonts w:ascii="Arial" w:hAnsi="Arial"/>
        </w:rPr>
        <w:t>.</w:t>
      </w:r>
      <w:r w:rsidR="00971320">
        <w:rPr>
          <w:rStyle w:val="FootnoteReference"/>
          <w:rFonts w:ascii="Arial" w:hAnsi="Arial"/>
        </w:rPr>
        <w:footnoteReference w:id="21"/>
      </w:r>
      <w:r w:rsidR="00E50E16">
        <w:rPr>
          <w:rFonts w:ascii="Arial" w:hAnsi="Arial"/>
        </w:rPr>
        <w:t xml:space="preserve"> The court deal</w:t>
      </w:r>
      <w:r w:rsidR="008505AD">
        <w:rPr>
          <w:rFonts w:ascii="Arial" w:hAnsi="Arial"/>
        </w:rPr>
        <w:t>t</w:t>
      </w:r>
      <w:r w:rsidR="00E50E16">
        <w:rPr>
          <w:rFonts w:ascii="Arial" w:hAnsi="Arial"/>
        </w:rPr>
        <w:t xml:space="preserve"> with an exception on the basis that the plaintiff was not entitled</w:t>
      </w:r>
      <w:r w:rsidR="00BB7D44">
        <w:rPr>
          <w:rFonts w:ascii="Arial" w:hAnsi="Arial"/>
        </w:rPr>
        <w:t>,</w:t>
      </w:r>
      <w:r w:rsidR="00E50E16">
        <w:rPr>
          <w:rFonts w:ascii="Arial" w:hAnsi="Arial"/>
        </w:rPr>
        <w:t xml:space="preserve"> as a third party creditor</w:t>
      </w:r>
      <w:r w:rsidR="00BB7D44">
        <w:rPr>
          <w:rFonts w:ascii="Arial" w:hAnsi="Arial"/>
        </w:rPr>
        <w:t>,</w:t>
      </w:r>
      <w:r w:rsidR="00E50E16">
        <w:rPr>
          <w:rFonts w:ascii="Arial" w:hAnsi="Arial"/>
        </w:rPr>
        <w:t xml:space="preserve"> to rely on the provisions of section</w:t>
      </w:r>
      <w:r w:rsidR="006F58C4">
        <w:rPr>
          <w:rFonts w:ascii="Arial" w:hAnsi="Arial"/>
        </w:rPr>
        <w:t>s</w:t>
      </w:r>
      <w:r w:rsidR="00E50E16">
        <w:rPr>
          <w:rFonts w:ascii="Arial" w:hAnsi="Arial"/>
        </w:rPr>
        <w:t xml:space="preserve"> </w:t>
      </w:r>
      <w:r w:rsidR="00285AAF">
        <w:rPr>
          <w:rFonts w:ascii="Arial" w:hAnsi="Arial"/>
        </w:rPr>
        <w:t xml:space="preserve">22(1), </w:t>
      </w:r>
      <w:r w:rsidR="00E50E16">
        <w:rPr>
          <w:rFonts w:ascii="Arial" w:hAnsi="Arial"/>
        </w:rPr>
        <w:t>77(3)</w:t>
      </w:r>
      <w:r w:rsidR="00E50E16" w:rsidRPr="00F670C8">
        <w:rPr>
          <w:rFonts w:ascii="Arial" w:hAnsi="Arial"/>
          <w:i/>
        </w:rPr>
        <w:t>(b)</w:t>
      </w:r>
      <w:r w:rsidR="006F58C4">
        <w:rPr>
          <w:rFonts w:ascii="Arial" w:hAnsi="Arial"/>
        </w:rPr>
        <w:t xml:space="preserve"> and 77(6) of the Companies Act to hold the directors personally liable for a debt due to it by the company. The court found that a company </w:t>
      </w:r>
      <w:r w:rsidR="00BB7D44">
        <w:rPr>
          <w:rFonts w:ascii="Arial" w:hAnsi="Arial"/>
        </w:rPr>
        <w:t>‘</w:t>
      </w:r>
      <w:r w:rsidR="006F58C4">
        <w:rPr>
          <w:rFonts w:ascii="Arial" w:hAnsi="Arial"/>
        </w:rPr>
        <w:t>cannot incur losses, damages or cost without the actions of its directors</w:t>
      </w:r>
      <w:r w:rsidR="00BB7D44">
        <w:rPr>
          <w:rFonts w:ascii="Arial" w:hAnsi="Arial"/>
        </w:rPr>
        <w:t>’</w:t>
      </w:r>
      <w:r w:rsidR="006F58C4">
        <w:rPr>
          <w:rFonts w:ascii="Arial" w:hAnsi="Arial"/>
        </w:rPr>
        <w:t>.</w:t>
      </w:r>
      <w:r w:rsidR="00BB7D44">
        <w:rPr>
          <w:rStyle w:val="FootnoteReference"/>
          <w:rFonts w:ascii="Arial" w:hAnsi="Arial"/>
        </w:rPr>
        <w:footnoteReference w:id="22"/>
      </w:r>
      <w:r w:rsidR="006F58C4">
        <w:rPr>
          <w:rFonts w:ascii="Arial" w:hAnsi="Arial"/>
        </w:rPr>
        <w:t xml:space="preserve"> Although section 77(3)</w:t>
      </w:r>
      <w:r w:rsidR="006F58C4" w:rsidRPr="00F670C8">
        <w:rPr>
          <w:rFonts w:ascii="Arial" w:hAnsi="Arial"/>
          <w:i/>
        </w:rPr>
        <w:t>(b)</w:t>
      </w:r>
      <w:r w:rsidR="006F58C4">
        <w:rPr>
          <w:rFonts w:ascii="Arial" w:hAnsi="Arial"/>
        </w:rPr>
        <w:t xml:space="preserve"> envisages the directors being accountable to the company, the court found that the directors acted recklessly with the possibility of intent to defraud the plaintiff and </w:t>
      </w:r>
      <w:r w:rsidR="00EF1154">
        <w:rPr>
          <w:rFonts w:ascii="Arial" w:hAnsi="Arial"/>
        </w:rPr>
        <w:t xml:space="preserve">could not </w:t>
      </w:r>
      <w:r w:rsidR="006F58C4">
        <w:rPr>
          <w:rFonts w:ascii="Arial" w:hAnsi="Arial"/>
        </w:rPr>
        <w:t xml:space="preserve">escape liability. The court held </w:t>
      </w:r>
      <w:r w:rsidR="006F58C4">
        <w:rPr>
          <w:rFonts w:ascii="Arial" w:hAnsi="Arial"/>
          <w:i/>
        </w:rPr>
        <w:t xml:space="preserve">inter alia </w:t>
      </w:r>
      <w:r w:rsidR="006F58C4">
        <w:rPr>
          <w:rFonts w:ascii="Arial" w:hAnsi="Arial"/>
        </w:rPr>
        <w:t xml:space="preserve">that to find </w:t>
      </w:r>
      <w:r w:rsidR="002D43B5">
        <w:rPr>
          <w:rFonts w:ascii="Arial" w:hAnsi="Arial"/>
        </w:rPr>
        <w:t xml:space="preserve">that directors </w:t>
      </w:r>
      <w:r w:rsidR="002D43B5">
        <w:rPr>
          <w:rFonts w:ascii="Arial" w:hAnsi="Arial"/>
        </w:rPr>
        <w:lastRenderedPageBreak/>
        <w:t xml:space="preserve">were not liable would lead to absurd </w:t>
      </w:r>
      <w:r w:rsidR="005369EB">
        <w:rPr>
          <w:rFonts w:ascii="Arial" w:hAnsi="Arial"/>
        </w:rPr>
        <w:t>results.</w:t>
      </w:r>
      <w:r w:rsidR="00BB7D44">
        <w:rPr>
          <w:rStyle w:val="FootnoteReference"/>
          <w:rFonts w:ascii="Arial" w:hAnsi="Arial"/>
        </w:rPr>
        <w:footnoteReference w:id="23"/>
      </w:r>
      <w:r w:rsidR="008505AD">
        <w:rPr>
          <w:rFonts w:ascii="Arial" w:hAnsi="Arial"/>
        </w:rPr>
        <w:t xml:space="preserve"> Such an</w:t>
      </w:r>
      <w:r w:rsidR="005369EB">
        <w:rPr>
          <w:rFonts w:ascii="Arial" w:hAnsi="Arial"/>
        </w:rPr>
        <w:t xml:space="preserve"> </w:t>
      </w:r>
      <w:r w:rsidR="008505AD">
        <w:rPr>
          <w:rFonts w:ascii="Arial" w:hAnsi="Arial"/>
        </w:rPr>
        <w:t>approach would create a lacuna, which the legislator would never have intended.</w:t>
      </w:r>
      <w:r w:rsidR="005369EB">
        <w:rPr>
          <w:rFonts w:ascii="Arial" w:hAnsi="Arial"/>
        </w:rPr>
        <w:t xml:space="preserve"> </w:t>
      </w:r>
    </w:p>
    <w:p w14:paraId="496C5346" w14:textId="77777777" w:rsidR="005C3213" w:rsidRPr="005C3213" w:rsidRDefault="005C3213" w:rsidP="002238E7">
      <w:pPr>
        <w:pStyle w:val="ListParagraph"/>
        <w:spacing w:line="360" w:lineRule="auto"/>
        <w:contextualSpacing/>
        <w:rPr>
          <w:rFonts w:ascii="Arial" w:hAnsi="Arial"/>
          <w:i/>
        </w:rPr>
      </w:pPr>
    </w:p>
    <w:p w14:paraId="5BC36E02" w14:textId="679ECE5B" w:rsidR="005C3213" w:rsidRPr="00AA7492" w:rsidRDefault="007579CA"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 xml:space="preserve">I was </w:t>
      </w:r>
      <w:r w:rsidR="00C85C5F">
        <w:rPr>
          <w:rFonts w:ascii="Arial" w:hAnsi="Arial"/>
        </w:rPr>
        <w:t xml:space="preserve">also </w:t>
      </w:r>
      <w:r>
        <w:rPr>
          <w:rFonts w:ascii="Arial" w:hAnsi="Arial"/>
        </w:rPr>
        <w:t xml:space="preserve">referred to </w:t>
      </w:r>
      <w:r>
        <w:rPr>
          <w:rFonts w:ascii="Arial" w:hAnsi="Arial"/>
          <w:i/>
        </w:rPr>
        <w:t>Meatworld Factory CC v ET Trading House (Pty) L</w:t>
      </w:r>
      <w:r w:rsidR="00C85C5F" w:rsidRPr="00F670C8">
        <w:rPr>
          <w:rFonts w:ascii="Arial" w:hAnsi="Arial"/>
          <w:i/>
        </w:rPr>
        <w:t>td</w:t>
      </w:r>
      <w:r>
        <w:rPr>
          <w:rFonts w:ascii="Arial" w:hAnsi="Arial"/>
        </w:rPr>
        <w:t>.</w:t>
      </w:r>
      <w:r w:rsidR="00C85C5F">
        <w:rPr>
          <w:rStyle w:val="FootnoteReference"/>
          <w:rFonts w:ascii="Arial" w:hAnsi="Arial"/>
        </w:rPr>
        <w:footnoteReference w:id="24"/>
      </w:r>
      <w:r>
        <w:rPr>
          <w:rFonts w:ascii="Arial" w:hAnsi="Arial"/>
        </w:rPr>
        <w:t xml:space="preserve"> It was submitted that the court upheld</w:t>
      </w:r>
      <w:r w:rsidR="00C85C5F">
        <w:rPr>
          <w:rFonts w:ascii="Arial" w:hAnsi="Arial"/>
        </w:rPr>
        <w:t>,</w:t>
      </w:r>
      <w:r>
        <w:rPr>
          <w:rFonts w:ascii="Arial" w:hAnsi="Arial"/>
        </w:rPr>
        <w:t xml:space="preserve"> at </w:t>
      </w:r>
      <w:r w:rsidR="00EF1154">
        <w:rPr>
          <w:rFonts w:ascii="Arial" w:hAnsi="Arial"/>
        </w:rPr>
        <w:t xml:space="preserve">the </w:t>
      </w:r>
      <w:r>
        <w:rPr>
          <w:rFonts w:ascii="Arial" w:hAnsi="Arial"/>
        </w:rPr>
        <w:t>trial stage, claims for liability in respect of the director</w:t>
      </w:r>
      <w:r w:rsidR="00EF1154">
        <w:rPr>
          <w:rFonts w:ascii="Arial" w:hAnsi="Arial"/>
        </w:rPr>
        <w:t>’</w:t>
      </w:r>
      <w:r>
        <w:rPr>
          <w:rFonts w:ascii="Arial" w:hAnsi="Arial"/>
        </w:rPr>
        <w:t>s acquiescence</w:t>
      </w:r>
      <w:r w:rsidR="00EF1154">
        <w:rPr>
          <w:rFonts w:ascii="Arial" w:hAnsi="Arial"/>
        </w:rPr>
        <w:t>,</w:t>
      </w:r>
      <w:r>
        <w:rPr>
          <w:rFonts w:ascii="Arial" w:hAnsi="Arial"/>
        </w:rPr>
        <w:t xml:space="preserve"> and a breach of</w:t>
      </w:r>
      <w:r w:rsidR="00EF1154">
        <w:rPr>
          <w:rFonts w:ascii="Arial" w:hAnsi="Arial"/>
        </w:rPr>
        <w:t>,</w:t>
      </w:r>
      <w:r>
        <w:rPr>
          <w:rFonts w:ascii="Arial" w:hAnsi="Arial"/>
        </w:rPr>
        <w:t xml:space="preserve"> section 22 of the Companies Act. In this matter</w:t>
      </w:r>
      <w:r w:rsidR="00A839E3">
        <w:rPr>
          <w:rFonts w:ascii="Arial" w:hAnsi="Arial"/>
        </w:rPr>
        <w:t>,</w:t>
      </w:r>
      <w:r>
        <w:rPr>
          <w:rFonts w:ascii="Arial" w:hAnsi="Arial"/>
        </w:rPr>
        <w:t xml:space="preserve"> the plaintiff instituted action against the company as well as its sole </w:t>
      </w:r>
      <w:r w:rsidR="0094780F">
        <w:rPr>
          <w:rFonts w:ascii="Arial" w:hAnsi="Arial"/>
        </w:rPr>
        <w:t>director</w:t>
      </w:r>
      <w:r w:rsidR="00C85C5F">
        <w:rPr>
          <w:rFonts w:ascii="Arial" w:hAnsi="Arial"/>
        </w:rPr>
        <w:t>,</w:t>
      </w:r>
      <w:r w:rsidR="0094780F">
        <w:rPr>
          <w:rFonts w:ascii="Arial" w:hAnsi="Arial"/>
        </w:rPr>
        <w:t xml:space="preserve"> who was also the only shareholder and in charge of its management. The court however granted an order, absolving the second defendant </w:t>
      </w:r>
      <w:r w:rsidR="00C85C5F">
        <w:rPr>
          <w:rFonts w:ascii="Arial" w:hAnsi="Arial"/>
        </w:rPr>
        <w:t>(</w:t>
      </w:r>
      <w:r w:rsidR="0094780F">
        <w:rPr>
          <w:rFonts w:ascii="Arial" w:hAnsi="Arial"/>
        </w:rPr>
        <w:t>the director</w:t>
      </w:r>
      <w:r w:rsidR="00C85C5F">
        <w:rPr>
          <w:rFonts w:ascii="Arial" w:hAnsi="Arial"/>
        </w:rPr>
        <w:t>)</w:t>
      </w:r>
      <w:r w:rsidR="0094780F">
        <w:rPr>
          <w:rFonts w:ascii="Arial" w:hAnsi="Arial"/>
        </w:rPr>
        <w:t xml:space="preserve"> from the instance, </w:t>
      </w:r>
      <w:r w:rsidR="004057DE">
        <w:rPr>
          <w:rFonts w:ascii="Arial" w:hAnsi="Arial"/>
        </w:rPr>
        <w:t xml:space="preserve">thus </w:t>
      </w:r>
      <w:r w:rsidR="00AA7492">
        <w:rPr>
          <w:rFonts w:ascii="Arial" w:hAnsi="Arial"/>
        </w:rPr>
        <w:t xml:space="preserve">the aforementioned submission is not entirely accurate. </w:t>
      </w:r>
    </w:p>
    <w:p w14:paraId="73602ACD" w14:textId="77777777" w:rsidR="00AA7492" w:rsidRPr="00AA7492" w:rsidRDefault="00AA7492" w:rsidP="002238E7">
      <w:pPr>
        <w:pStyle w:val="ListParagraph"/>
        <w:spacing w:line="360" w:lineRule="auto"/>
        <w:contextualSpacing/>
        <w:rPr>
          <w:rFonts w:ascii="Arial" w:hAnsi="Arial"/>
          <w:i/>
        </w:rPr>
      </w:pPr>
    </w:p>
    <w:p w14:paraId="2C554FE6" w14:textId="525F6C5F" w:rsidR="00E86A70" w:rsidRPr="00E86A70" w:rsidRDefault="000D3692"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The court</w:t>
      </w:r>
      <w:r w:rsidR="00AA7492">
        <w:rPr>
          <w:rFonts w:ascii="Arial" w:hAnsi="Arial"/>
        </w:rPr>
        <w:t xml:space="preserve"> dealt with </w:t>
      </w:r>
      <w:r w:rsidR="00AA7492">
        <w:rPr>
          <w:rFonts w:ascii="Arial" w:hAnsi="Arial"/>
          <w:i/>
        </w:rPr>
        <w:t xml:space="preserve">Rabinowitz </w:t>
      </w:r>
      <w:r w:rsidR="00AA7492">
        <w:rPr>
          <w:rFonts w:ascii="Arial" w:hAnsi="Arial"/>
        </w:rPr>
        <w:t xml:space="preserve">and </w:t>
      </w:r>
      <w:r w:rsidR="00AA7492">
        <w:rPr>
          <w:rFonts w:ascii="Arial" w:hAnsi="Arial"/>
          <w:i/>
        </w:rPr>
        <w:t xml:space="preserve">Chemfit </w:t>
      </w:r>
      <w:r w:rsidR="00AA7492">
        <w:rPr>
          <w:rFonts w:ascii="Arial" w:hAnsi="Arial"/>
        </w:rPr>
        <w:t xml:space="preserve">and expressed reservations about the soundness of the conclusion in </w:t>
      </w:r>
      <w:r w:rsidR="00AA7492">
        <w:rPr>
          <w:rFonts w:ascii="Arial" w:hAnsi="Arial"/>
          <w:i/>
        </w:rPr>
        <w:t xml:space="preserve">Rabinowitz </w:t>
      </w:r>
      <w:r w:rsidR="008505AD">
        <w:rPr>
          <w:rFonts w:ascii="Arial" w:hAnsi="Arial"/>
        </w:rPr>
        <w:t>but held itself bound</w:t>
      </w:r>
      <w:r w:rsidR="00AA7492">
        <w:rPr>
          <w:rFonts w:ascii="Arial" w:hAnsi="Arial"/>
        </w:rPr>
        <w:t xml:space="preserve"> to it, and proceeded to deal with the matter before it </w:t>
      </w:r>
    </w:p>
    <w:p w14:paraId="4B56DFC6" w14:textId="67BA0F08" w:rsidR="00AA7492" w:rsidRPr="00AA7492" w:rsidRDefault="00E86A70" w:rsidP="00E86A70">
      <w:pPr>
        <w:pStyle w:val="ListParagraph"/>
        <w:spacing w:line="360" w:lineRule="auto"/>
        <w:ind w:left="0" w:firstLine="0"/>
        <w:contextualSpacing/>
        <w:mirrorIndents/>
        <w:jc w:val="both"/>
        <w:rPr>
          <w:rFonts w:ascii="Arial" w:hAnsi="Arial"/>
          <w:i/>
        </w:rPr>
      </w:pPr>
      <w:r>
        <w:rPr>
          <w:rFonts w:ascii="Arial" w:hAnsi="Arial"/>
          <w:sz w:val="22"/>
          <w:szCs w:val="22"/>
        </w:rPr>
        <w:t>‘</w:t>
      </w:r>
      <w:r w:rsidRPr="00E86A70">
        <w:rPr>
          <w:rFonts w:ascii="Arial" w:hAnsi="Arial"/>
          <w:sz w:val="22"/>
          <w:szCs w:val="22"/>
          <w:lang w:val="en-US"/>
        </w:rPr>
        <w:t>on the basis of an assumption that s 22(1) and/or s 77(3) impliedly prohibits a director from acquiescing or participating in the reckless conduct by a company of its business and that such acquiescence or participation would constitute a contravention of the implied prohibition potentially giving rise to liability in terms of s 218</w:t>
      </w:r>
      <w:r w:rsidR="004057DE">
        <w:rPr>
          <w:rFonts w:ascii="Arial" w:hAnsi="Arial"/>
          <w:sz w:val="22"/>
          <w:szCs w:val="22"/>
          <w:lang w:val="en-US"/>
        </w:rPr>
        <w:t>(2)</w:t>
      </w:r>
      <w:r>
        <w:rPr>
          <w:rFonts w:ascii="Arial" w:hAnsi="Arial"/>
          <w:sz w:val="22"/>
          <w:szCs w:val="22"/>
        </w:rPr>
        <w:t>’</w:t>
      </w:r>
      <w:r w:rsidR="00AA7492">
        <w:rPr>
          <w:rFonts w:ascii="Arial" w:hAnsi="Arial"/>
        </w:rPr>
        <w:t>.</w:t>
      </w:r>
      <w:r w:rsidR="00C85C5F">
        <w:rPr>
          <w:rStyle w:val="FootnoteReference"/>
          <w:rFonts w:ascii="Arial" w:hAnsi="Arial"/>
        </w:rPr>
        <w:footnoteReference w:id="25"/>
      </w:r>
      <w:r w:rsidR="00AA7492">
        <w:rPr>
          <w:rFonts w:ascii="Arial" w:hAnsi="Arial"/>
          <w:i/>
        </w:rPr>
        <w:t xml:space="preserve"> </w:t>
      </w:r>
    </w:p>
    <w:p w14:paraId="5ED39EF2" w14:textId="77777777" w:rsidR="00AA7492" w:rsidRPr="00AA7492" w:rsidRDefault="00AA7492" w:rsidP="002238E7">
      <w:pPr>
        <w:pStyle w:val="ListParagraph"/>
        <w:spacing w:line="360" w:lineRule="auto"/>
        <w:contextualSpacing/>
        <w:rPr>
          <w:rFonts w:ascii="Arial" w:hAnsi="Arial"/>
          <w:i/>
        </w:rPr>
      </w:pPr>
    </w:p>
    <w:p w14:paraId="778598F4" w14:textId="31472A56" w:rsidR="008B42B7" w:rsidRPr="008B42B7" w:rsidRDefault="00AA7492"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Prior to reaching this conclusion</w:t>
      </w:r>
      <w:r w:rsidR="000D3692">
        <w:rPr>
          <w:rFonts w:ascii="Arial" w:hAnsi="Arial"/>
        </w:rPr>
        <w:t>, the court</w:t>
      </w:r>
      <w:r>
        <w:rPr>
          <w:rFonts w:ascii="Arial" w:hAnsi="Arial"/>
        </w:rPr>
        <w:t xml:space="preserve"> </w:t>
      </w:r>
      <w:bookmarkStart w:id="8" w:name="_GoBack"/>
      <w:bookmarkEnd w:id="8"/>
      <w:r>
        <w:rPr>
          <w:rFonts w:ascii="Arial" w:hAnsi="Arial"/>
        </w:rPr>
        <w:t xml:space="preserve">also referred to </w:t>
      </w:r>
      <w:r>
        <w:rPr>
          <w:rFonts w:ascii="Arial" w:hAnsi="Arial"/>
          <w:i/>
        </w:rPr>
        <w:t>G</w:t>
      </w:r>
      <w:r w:rsidR="00797AFC">
        <w:rPr>
          <w:rFonts w:ascii="Arial" w:hAnsi="Arial"/>
          <w:i/>
        </w:rPr>
        <w:t>ihwala v Grancy Property Limited</w:t>
      </w:r>
      <w:r w:rsidR="00E86A70">
        <w:rPr>
          <w:rStyle w:val="FootnoteReference"/>
          <w:rFonts w:ascii="Arial" w:hAnsi="Arial"/>
        </w:rPr>
        <w:footnoteReference w:id="26"/>
      </w:r>
      <w:r w:rsidR="00797AFC">
        <w:rPr>
          <w:rFonts w:ascii="Arial" w:hAnsi="Arial"/>
          <w:i/>
        </w:rPr>
        <w:t xml:space="preserve"> </w:t>
      </w:r>
      <w:r w:rsidR="00797AFC">
        <w:rPr>
          <w:rFonts w:ascii="Arial" w:hAnsi="Arial"/>
        </w:rPr>
        <w:t xml:space="preserve">where Wallis JA dealt </w:t>
      </w:r>
      <w:r w:rsidR="00797AFC">
        <w:rPr>
          <w:rFonts w:ascii="Arial" w:hAnsi="Arial"/>
          <w:i/>
        </w:rPr>
        <w:t xml:space="preserve">inter alia </w:t>
      </w:r>
      <w:r w:rsidR="00797AFC">
        <w:rPr>
          <w:rFonts w:ascii="Arial" w:hAnsi="Arial"/>
        </w:rPr>
        <w:t xml:space="preserve">with a claim in terms of section 424 of the 1973 Companies Act, but in respect of which a claim in terms of section 77(3) of the Companies Act was advanced in the alternative. The </w:t>
      </w:r>
      <w:r w:rsidR="008B42B7">
        <w:rPr>
          <w:rFonts w:ascii="Arial" w:hAnsi="Arial"/>
        </w:rPr>
        <w:t xml:space="preserve">following was held </w:t>
      </w:r>
      <w:r w:rsidR="00E86A70">
        <w:rPr>
          <w:rFonts w:ascii="Arial" w:hAnsi="Arial"/>
        </w:rPr>
        <w:t xml:space="preserve">in </w:t>
      </w:r>
      <w:r w:rsidR="00E86A70" w:rsidRPr="00E86A70">
        <w:rPr>
          <w:rFonts w:ascii="Arial" w:hAnsi="Arial"/>
          <w:i/>
        </w:rPr>
        <w:t>Gihwala</w:t>
      </w:r>
      <w:r w:rsidR="00E86A70">
        <w:rPr>
          <w:rFonts w:ascii="Arial" w:hAnsi="Arial"/>
          <w:i/>
        </w:rPr>
        <w:t xml:space="preserve"> </w:t>
      </w:r>
      <w:r w:rsidR="008B42B7">
        <w:rPr>
          <w:rFonts w:ascii="Arial" w:hAnsi="Arial"/>
        </w:rPr>
        <w:t>with reference to section 77(3):</w:t>
      </w:r>
    </w:p>
    <w:p w14:paraId="5B49D02F" w14:textId="27191B1B" w:rsidR="008B42B7" w:rsidRPr="008B42B7" w:rsidRDefault="00E86A70" w:rsidP="002238E7">
      <w:pPr>
        <w:spacing w:line="360" w:lineRule="auto"/>
        <w:contextualSpacing/>
        <w:jc w:val="both"/>
        <w:rPr>
          <w:rFonts w:ascii="Arial" w:hAnsi="Arial"/>
          <w:sz w:val="22"/>
          <w:szCs w:val="22"/>
        </w:rPr>
      </w:pPr>
      <w:r>
        <w:rPr>
          <w:rFonts w:ascii="Arial" w:hAnsi="Arial"/>
          <w:sz w:val="22"/>
          <w:szCs w:val="22"/>
        </w:rPr>
        <w:t>‘</w:t>
      </w:r>
      <w:r w:rsidR="008B42B7" w:rsidRPr="008B42B7">
        <w:rPr>
          <w:rFonts w:ascii="Arial" w:hAnsi="Arial"/>
          <w:sz w:val="22"/>
          <w:szCs w:val="22"/>
        </w:rPr>
        <w:t xml:space="preserve">That </w:t>
      </w:r>
      <w:r w:rsidRPr="00E86A70">
        <w:rPr>
          <w:rFonts w:ascii="Arial" w:hAnsi="Arial"/>
          <w:sz w:val="22"/>
          <w:szCs w:val="22"/>
          <w:lang w:val="en-US"/>
        </w:rPr>
        <w:t>that section, in this departing from s 424, does not involve a declaration by the court, but creates a statutory claim in favour of the company against a director, imposing liability on the latter for any loss, damages or costs incurred by the company in certain circumstances, including where the director acquiesces in the company engaging in reckless trading. It is not a provision that can be invoked to secure payment to a creditor or shareholder in respect of their claim against the company or a director. So the attempt to rely on s 77(3) must also fail</w:t>
      </w:r>
      <w:r w:rsidR="000A508D">
        <w:rPr>
          <w:rFonts w:ascii="Arial" w:hAnsi="Arial"/>
          <w:sz w:val="22"/>
          <w:szCs w:val="22"/>
        </w:rPr>
        <w:t>.</w:t>
      </w:r>
      <w:r>
        <w:rPr>
          <w:rFonts w:ascii="Arial" w:hAnsi="Arial"/>
          <w:sz w:val="22"/>
          <w:szCs w:val="22"/>
        </w:rPr>
        <w:t>’</w:t>
      </w:r>
      <w:r>
        <w:rPr>
          <w:rStyle w:val="FootnoteReference"/>
          <w:rFonts w:ascii="Arial" w:hAnsi="Arial"/>
          <w:sz w:val="22"/>
          <w:szCs w:val="22"/>
        </w:rPr>
        <w:footnoteReference w:id="27"/>
      </w:r>
    </w:p>
    <w:p w14:paraId="39C48B8B" w14:textId="77777777" w:rsidR="008B42B7" w:rsidRPr="008B42B7" w:rsidRDefault="008B42B7" w:rsidP="002238E7">
      <w:pPr>
        <w:spacing w:line="360" w:lineRule="auto"/>
        <w:contextualSpacing/>
        <w:rPr>
          <w:rFonts w:ascii="Arial" w:hAnsi="Arial"/>
        </w:rPr>
      </w:pPr>
    </w:p>
    <w:p w14:paraId="442A1FA0" w14:textId="542EE1A5" w:rsidR="00605ADC" w:rsidRPr="00605ADC" w:rsidRDefault="00605ADC"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lastRenderedPageBreak/>
        <w:t xml:space="preserve">After analysing the purpose of the Companies Act, </w:t>
      </w:r>
      <w:r w:rsidR="000D3692">
        <w:rPr>
          <w:rFonts w:ascii="Arial" w:hAnsi="Arial"/>
        </w:rPr>
        <w:t>the court in</w:t>
      </w:r>
      <w:r w:rsidR="000D3692" w:rsidRPr="000D3692">
        <w:rPr>
          <w:rFonts w:ascii="Arial" w:hAnsi="Arial"/>
          <w:i/>
        </w:rPr>
        <w:t xml:space="preserve"> Meatworld Factory</w:t>
      </w:r>
      <w:r>
        <w:rPr>
          <w:rFonts w:ascii="Arial" w:hAnsi="Arial"/>
        </w:rPr>
        <w:t xml:space="preserve"> held as follows:</w:t>
      </w:r>
    </w:p>
    <w:p w14:paraId="1F0C0595" w14:textId="07B6F6C4" w:rsidR="00605ADC" w:rsidRPr="00C87B4E" w:rsidRDefault="00E86A70" w:rsidP="00E86A70">
      <w:pPr>
        <w:pStyle w:val="ListParagraph"/>
        <w:spacing w:line="360" w:lineRule="auto"/>
        <w:ind w:left="0" w:firstLine="0"/>
        <w:contextualSpacing/>
        <w:mirrorIndents/>
        <w:jc w:val="both"/>
        <w:rPr>
          <w:rFonts w:ascii="Arial" w:hAnsi="Arial"/>
          <w:sz w:val="22"/>
          <w:szCs w:val="22"/>
        </w:rPr>
      </w:pPr>
      <w:r>
        <w:rPr>
          <w:rFonts w:ascii="Arial" w:hAnsi="Arial"/>
          <w:sz w:val="22"/>
          <w:szCs w:val="22"/>
        </w:rPr>
        <w:t>‘</w:t>
      </w:r>
      <w:r w:rsidRPr="00E86A70">
        <w:rPr>
          <w:rFonts w:ascii="Arial" w:hAnsi="Arial"/>
          <w:sz w:val="22"/>
          <w:szCs w:val="22"/>
          <w:lang w:val="en-US"/>
        </w:rPr>
        <w:t>That the imposition of personal liability on those controlling a company which trades recklessly would be a legitimate manner in which to promote the aim of good corporate governance, and to protect those dealing with a company, is no doubt so</w:t>
      </w:r>
      <w:bookmarkStart w:id="9" w:name="0-0-0-390919"/>
      <w:bookmarkEnd w:id="9"/>
      <w:r w:rsidRPr="00E86A70">
        <w:rPr>
          <w:rFonts w:ascii="Arial" w:hAnsi="Arial"/>
          <w:sz w:val="22"/>
          <w:szCs w:val="22"/>
          <w:lang w:val="en-US"/>
        </w:rPr>
        <w:t>. It is however not the only manner in which this object can, rationally, be achieved.</w:t>
      </w:r>
      <w:r>
        <w:rPr>
          <w:rFonts w:ascii="Arial" w:hAnsi="Arial"/>
          <w:sz w:val="22"/>
          <w:szCs w:val="22"/>
        </w:rPr>
        <w:t>’</w:t>
      </w:r>
      <w:r>
        <w:rPr>
          <w:rStyle w:val="FootnoteReference"/>
          <w:rFonts w:ascii="Arial" w:hAnsi="Arial"/>
          <w:sz w:val="22"/>
          <w:szCs w:val="22"/>
        </w:rPr>
        <w:footnoteReference w:id="28"/>
      </w:r>
    </w:p>
    <w:p w14:paraId="2DB3BCC1" w14:textId="3EA08B5C" w:rsidR="002765BA" w:rsidRDefault="000D3692" w:rsidP="002238E7">
      <w:pPr>
        <w:pStyle w:val="ListParagraph"/>
        <w:spacing w:line="360" w:lineRule="auto"/>
        <w:ind w:left="0" w:firstLine="0"/>
        <w:contextualSpacing/>
        <w:mirrorIndents/>
        <w:jc w:val="both"/>
        <w:rPr>
          <w:rFonts w:ascii="Arial" w:hAnsi="Arial"/>
        </w:rPr>
      </w:pPr>
      <w:r>
        <w:rPr>
          <w:rFonts w:ascii="Arial" w:hAnsi="Arial"/>
        </w:rPr>
        <w:t>It was stated,</w:t>
      </w:r>
      <w:r w:rsidR="00C87B4E">
        <w:rPr>
          <w:rFonts w:ascii="Arial" w:hAnsi="Arial"/>
        </w:rPr>
        <w:t xml:space="preserve"> </w:t>
      </w:r>
      <w:r w:rsidR="002765BA">
        <w:rPr>
          <w:rFonts w:ascii="Arial" w:hAnsi="Arial"/>
        </w:rPr>
        <w:t xml:space="preserve">with </w:t>
      </w:r>
      <w:r w:rsidR="00C87B4E">
        <w:rPr>
          <w:rFonts w:ascii="Arial" w:hAnsi="Arial"/>
        </w:rPr>
        <w:t xml:space="preserve">reference to </w:t>
      </w:r>
      <w:r w:rsidR="00C87B4E">
        <w:rPr>
          <w:rFonts w:ascii="Arial" w:hAnsi="Arial"/>
          <w:i/>
        </w:rPr>
        <w:t xml:space="preserve">Ebrahim v Airport Cold Storage (Pty) </w:t>
      </w:r>
      <w:r w:rsidR="00EE4FC0">
        <w:rPr>
          <w:rFonts w:ascii="Arial" w:hAnsi="Arial"/>
          <w:i/>
        </w:rPr>
        <w:t>Ltd</w:t>
      </w:r>
      <w:r>
        <w:rPr>
          <w:rFonts w:ascii="Arial" w:hAnsi="Arial"/>
          <w:i/>
        </w:rPr>
        <w:t>,</w:t>
      </w:r>
      <w:r w:rsidR="00D53C96">
        <w:rPr>
          <w:rStyle w:val="FootnoteReference"/>
          <w:rFonts w:ascii="Arial" w:hAnsi="Arial"/>
        </w:rPr>
        <w:footnoteReference w:id="29"/>
      </w:r>
      <w:r w:rsidR="002765BA">
        <w:rPr>
          <w:rFonts w:ascii="Arial" w:hAnsi="Arial"/>
        </w:rPr>
        <w:t xml:space="preserve"> that</w:t>
      </w:r>
    </w:p>
    <w:p w14:paraId="2B3EF168" w14:textId="7AA19563" w:rsidR="00C87B4E" w:rsidRPr="00F670C8" w:rsidRDefault="002765BA" w:rsidP="002238E7">
      <w:pPr>
        <w:pStyle w:val="ListParagraph"/>
        <w:spacing w:line="360" w:lineRule="auto"/>
        <w:ind w:left="0" w:firstLine="0"/>
        <w:contextualSpacing/>
        <w:mirrorIndents/>
        <w:jc w:val="both"/>
        <w:rPr>
          <w:rFonts w:ascii="Arial" w:hAnsi="Arial"/>
          <w:sz w:val="22"/>
          <w:szCs w:val="22"/>
        </w:rPr>
      </w:pPr>
      <w:r>
        <w:rPr>
          <w:rFonts w:ascii="Arial" w:hAnsi="Arial"/>
          <w:sz w:val="22"/>
          <w:szCs w:val="22"/>
        </w:rPr>
        <w:t>‘</w:t>
      </w:r>
      <w:r w:rsidR="00C755F9" w:rsidRPr="00F6158D">
        <w:rPr>
          <w:rFonts w:ascii="Arial" w:hAnsi="Arial"/>
          <w:sz w:val="22"/>
          <w:szCs w:val="22"/>
          <w:lang w:val="en-US"/>
        </w:rPr>
        <w:t>The rationale for the imposition of personal liability on those in charge of an artificial person is considered, with reference to s 64(1) of the Close Corporations Act, 69 of 1984, in </w:t>
      </w:r>
      <w:r w:rsidR="00C755F9" w:rsidRPr="002A1175">
        <w:rPr>
          <w:rFonts w:ascii="Arial" w:hAnsi="Arial"/>
          <w:bCs/>
          <w:i/>
          <w:sz w:val="22"/>
          <w:szCs w:val="22"/>
          <w:lang w:val="en-US"/>
        </w:rPr>
        <w:t>Ebrahim v Airport Cold Storage (Pty) Ltd</w:t>
      </w:r>
      <w:r w:rsidRPr="002A1175">
        <w:rPr>
          <w:rFonts w:ascii="Arial" w:hAnsi="Arial"/>
          <w:bCs/>
          <w:i/>
          <w:sz w:val="22"/>
          <w:szCs w:val="22"/>
          <w:lang w:val="en-US"/>
        </w:rPr>
        <w:t>. . .</w:t>
      </w:r>
      <w:r>
        <w:rPr>
          <w:rFonts w:ascii="Arial" w:hAnsi="Arial"/>
          <w:sz w:val="22"/>
          <w:szCs w:val="22"/>
        </w:rPr>
        <w:t>’</w:t>
      </w:r>
      <w:r w:rsidR="001D66B7" w:rsidRPr="00F670C8">
        <w:rPr>
          <w:rStyle w:val="FootnoteReference"/>
          <w:rFonts w:ascii="Arial" w:hAnsi="Arial"/>
          <w:sz w:val="22"/>
          <w:szCs w:val="22"/>
        </w:rPr>
        <w:footnoteReference w:id="30"/>
      </w:r>
      <w:r w:rsidR="009876EC" w:rsidRPr="00F670C8">
        <w:rPr>
          <w:rFonts w:ascii="Arial" w:hAnsi="Arial"/>
          <w:sz w:val="22"/>
          <w:szCs w:val="22"/>
        </w:rPr>
        <w:t xml:space="preserve"> </w:t>
      </w:r>
    </w:p>
    <w:p w14:paraId="28BFF92D" w14:textId="77777777" w:rsidR="009876EC" w:rsidRPr="00C87B4E" w:rsidRDefault="009876EC" w:rsidP="002238E7">
      <w:pPr>
        <w:pStyle w:val="ListParagraph"/>
        <w:spacing w:line="360" w:lineRule="auto"/>
        <w:ind w:left="0" w:firstLine="0"/>
        <w:contextualSpacing/>
        <w:mirrorIndents/>
        <w:jc w:val="both"/>
        <w:rPr>
          <w:rFonts w:ascii="Arial" w:hAnsi="Arial"/>
        </w:rPr>
      </w:pPr>
    </w:p>
    <w:p w14:paraId="67C6F761" w14:textId="549980F4" w:rsidR="00B77883" w:rsidRPr="00B77883" w:rsidRDefault="009876EC"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 xml:space="preserve">The court </w:t>
      </w:r>
      <w:r w:rsidR="007E5722">
        <w:rPr>
          <w:rFonts w:ascii="Arial" w:hAnsi="Arial"/>
        </w:rPr>
        <w:t>then proceed</w:t>
      </w:r>
      <w:r w:rsidR="002765BA">
        <w:rPr>
          <w:rFonts w:ascii="Arial" w:hAnsi="Arial"/>
        </w:rPr>
        <w:t>ed</w:t>
      </w:r>
      <w:r w:rsidR="007E5722">
        <w:rPr>
          <w:rFonts w:ascii="Arial" w:hAnsi="Arial"/>
        </w:rPr>
        <w:t xml:space="preserve"> to refer to the remedies available in terms of section 424 of the 1973 Companies Act, where the right of recourse against the company’s director will occur in the context of liquidations</w:t>
      </w:r>
      <w:r w:rsidR="002765BA">
        <w:rPr>
          <w:rFonts w:ascii="Arial" w:hAnsi="Arial"/>
        </w:rPr>
        <w:t>,</w:t>
      </w:r>
      <w:r w:rsidR="007E5722">
        <w:rPr>
          <w:rFonts w:ascii="Arial" w:hAnsi="Arial"/>
        </w:rPr>
        <w:t xml:space="preserve"> and in terms of section 141(2)</w:t>
      </w:r>
      <w:r w:rsidR="007E5722" w:rsidRPr="00F670C8">
        <w:rPr>
          <w:rFonts w:ascii="Arial" w:hAnsi="Arial"/>
          <w:i/>
        </w:rPr>
        <w:t>(c)</w:t>
      </w:r>
      <w:r w:rsidR="007E5722">
        <w:rPr>
          <w:rFonts w:ascii="Arial" w:hAnsi="Arial"/>
        </w:rPr>
        <w:t>(ii)</w:t>
      </w:r>
      <w:r w:rsidR="007E5722" w:rsidRPr="00F670C8">
        <w:rPr>
          <w:rFonts w:ascii="Arial" w:hAnsi="Arial"/>
          <w:i/>
        </w:rPr>
        <w:t>(bb)</w:t>
      </w:r>
      <w:r w:rsidR="002765BA">
        <w:rPr>
          <w:rFonts w:ascii="Arial" w:hAnsi="Arial"/>
        </w:rPr>
        <w:t xml:space="preserve"> of the Companies Act</w:t>
      </w:r>
      <w:r w:rsidR="00DF0C84">
        <w:rPr>
          <w:rFonts w:ascii="Arial" w:hAnsi="Arial"/>
        </w:rPr>
        <w:t>,</w:t>
      </w:r>
      <w:r w:rsidR="007E5722">
        <w:rPr>
          <w:rFonts w:ascii="Arial" w:hAnsi="Arial"/>
        </w:rPr>
        <w:t xml:space="preserve"> where a business rescue practitioner</w:t>
      </w:r>
      <w:r w:rsidR="002E1FCE">
        <w:rPr>
          <w:rFonts w:ascii="Arial" w:hAnsi="Arial"/>
        </w:rPr>
        <w:t>,</w:t>
      </w:r>
      <w:r w:rsidR="007E5722">
        <w:rPr>
          <w:rFonts w:ascii="Arial" w:hAnsi="Arial"/>
        </w:rPr>
        <w:t xml:space="preserve"> who finds evidence of reckless trading or fraud</w:t>
      </w:r>
      <w:r w:rsidR="002E1FCE">
        <w:rPr>
          <w:rFonts w:ascii="Arial" w:hAnsi="Arial"/>
        </w:rPr>
        <w:t>,</w:t>
      </w:r>
      <w:r w:rsidR="007E5722">
        <w:rPr>
          <w:rFonts w:ascii="Arial" w:hAnsi="Arial"/>
        </w:rPr>
        <w:t xml:space="preserve"> </w:t>
      </w:r>
      <w:r w:rsidR="00C37163">
        <w:rPr>
          <w:rFonts w:ascii="Arial" w:hAnsi="Arial"/>
        </w:rPr>
        <w:t xml:space="preserve">is required to </w:t>
      </w:r>
      <w:r w:rsidR="007E5722">
        <w:rPr>
          <w:rFonts w:ascii="Arial" w:hAnsi="Arial"/>
        </w:rPr>
        <w:t xml:space="preserve">direct management to take the necessary steps to rectify the matter. </w:t>
      </w:r>
      <w:r w:rsidR="00314E31">
        <w:rPr>
          <w:rFonts w:ascii="Arial" w:hAnsi="Arial"/>
        </w:rPr>
        <w:t>Although not referred to in the judgment, it is important to note that in terms of section 141(2)</w:t>
      </w:r>
      <w:r w:rsidR="00314E31" w:rsidRPr="00F670C8">
        <w:rPr>
          <w:rFonts w:ascii="Arial" w:hAnsi="Arial"/>
          <w:i/>
        </w:rPr>
        <w:t>(c)</w:t>
      </w:r>
      <w:r w:rsidR="00314E31">
        <w:rPr>
          <w:rFonts w:ascii="Arial" w:hAnsi="Arial"/>
        </w:rPr>
        <w:t>(ii)</w:t>
      </w:r>
      <w:r w:rsidR="00314E31" w:rsidRPr="00F670C8">
        <w:rPr>
          <w:rFonts w:ascii="Arial" w:hAnsi="Arial"/>
          <w:i/>
        </w:rPr>
        <w:t>(aa)</w:t>
      </w:r>
      <w:r w:rsidR="00314E31">
        <w:rPr>
          <w:rFonts w:ascii="Arial" w:hAnsi="Arial"/>
        </w:rPr>
        <w:t xml:space="preserve">, a business rescue practitioner must forward the evidence to the appropriate authority (presumably the </w:t>
      </w:r>
      <w:r w:rsidR="00A41BD5">
        <w:rPr>
          <w:rFonts w:ascii="Arial" w:hAnsi="Arial"/>
        </w:rPr>
        <w:t>Commission</w:t>
      </w:r>
      <w:r w:rsidR="00314E31">
        <w:rPr>
          <w:rFonts w:ascii="Arial" w:hAnsi="Arial"/>
        </w:rPr>
        <w:t>) for further investigation and prosecution. The third remedy referred to was the possibility of declaring a direct</w:t>
      </w:r>
      <w:r w:rsidR="00B77883">
        <w:rPr>
          <w:rFonts w:ascii="Arial" w:hAnsi="Arial"/>
        </w:rPr>
        <w:t xml:space="preserve">or delinquent if he or she acquiesced in the company trading recklessly. </w:t>
      </w:r>
    </w:p>
    <w:p w14:paraId="570D41BE" w14:textId="77777777" w:rsidR="00B77883" w:rsidRPr="00B77883" w:rsidRDefault="00B77883" w:rsidP="002238E7">
      <w:pPr>
        <w:pStyle w:val="ListParagraph"/>
        <w:spacing w:line="360" w:lineRule="auto"/>
        <w:ind w:left="0" w:firstLine="0"/>
        <w:contextualSpacing/>
        <w:mirrorIndents/>
        <w:jc w:val="both"/>
        <w:rPr>
          <w:rFonts w:ascii="Arial" w:hAnsi="Arial"/>
          <w:i/>
        </w:rPr>
      </w:pPr>
    </w:p>
    <w:p w14:paraId="329FF961" w14:textId="1FF4F6B2" w:rsidR="00B77883" w:rsidRPr="00B77883" w:rsidRDefault="00B77883"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 xml:space="preserve">The </w:t>
      </w:r>
      <w:r w:rsidR="00A41BD5">
        <w:rPr>
          <w:rFonts w:ascii="Arial" w:hAnsi="Arial"/>
        </w:rPr>
        <w:t xml:space="preserve">judge </w:t>
      </w:r>
      <w:r>
        <w:rPr>
          <w:rFonts w:ascii="Arial" w:hAnsi="Arial"/>
        </w:rPr>
        <w:t>held as follows:</w:t>
      </w:r>
    </w:p>
    <w:p w14:paraId="3E2ED288" w14:textId="065BE5CC" w:rsidR="00B77883" w:rsidRPr="00B77883" w:rsidRDefault="00A41BD5" w:rsidP="002238E7">
      <w:pPr>
        <w:spacing w:line="360" w:lineRule="auto"/>
        <w:contextualSpacing/>
        <w:jc w:val="both"/>
        <w:rPr>
          <w:rFonts w:ascii="Arial" w:hAnsi="Arial"/>
          <w:sz w:val="22"/>
          <w:szCs w:val="22"/>
        </w:rPr>
      </w:pPr>
      <w:r>
        <w:rPr>
          <w:rFonts w:ascii="Arial" w:hAnsi="Arial"/>
          <w:sz w:val="22"/>
          <w:szCs w:val="22"/>
        </w:rPr>
        <w:t>‘</w:t>
      </w:r>
      <w:r w:rsidRPr="00A41BD5">
        <w:rPr>
          <w:rFonts w:ascii="Arial" w:hAnsi="Arial"/>
          <w:sz w:val="22"/>
          <w:szCs w:val="22"/>
          <w:lang w:val="en-US"/>
        </w:rPr>
        <w:t>In these circumstances the omission of the legislature to expressly prohibit a director from participating or acquiescing in reckless trading by a company, on pain of personal liability in terms of s 218, may very well have constituted a deliberate policy choice</w:t>
      </w:r>
      <w:r>
        <w:rPr>
          <w:rFonts w:ascii="Arial" w:hAnsi="Arial"/>
          <w:sz w:val="22"/>
          <w:szCs w:val="22"/>
        </w:rPr>
        <w:t>.’</w:t>
      </w:r>
      <w:r>
        <w:rPr>
          <w:rStyle w:val="FootnoteReference"/>
          <w:rFonts w:ascii="Arial" w:hAnsi="Arial"/>
          <w:sz w:val="22"/>
          <w:szCs w:val="22"/>
        </w:rPr>
        <w:footnoteReference w:id="31"/>
      </w:r>
    </w:p>
    <w:p w14:paraId="254F9282" w14:textId="77777777" w:rsidR="00B77883" w:rsidRPr="00B77883" w:rsidRDefault="00B77883" w:rsidP="002238E7">
      <w:pPr>
        <w:spacing w:line="360" w:lineRule="auto"/>
        <w:contextualSpacing/>
        <w:jc w:val="both"/>
        <w:rPr>
          <w:rFonts w:ascii="Arial" w:hAnsi="Arial"/>
        </w:rPr>
      </w:pPr>
    </w:p>
    <w:p w14:paraId="78B45CAA" w14:textId="0EE85B44" w:rsidR="00AA7492" w:rsidRPr="00051FE1" w:rsidRDefault="00805805"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 xml:space="preserve">Counsel for the plaintiff lastly referred me to </w:t>
      </w:r>
      <w:r>
        <w:rPr>
          <w:rFonts w:ascii="Arial" w:hAnsi="Arial"/>
          <w:i/>
        </w:rPr>
        <w:t>Metro Minds (Pty) Limited v Pienaar</w:t>
      </w:r>
      <w:r w:rsidR="00A41BD5">
        <w:rPr>
          <w:rStyle w:val="FootnoteReference"/>
          <w:rFonts w:ascii="Arial" w:hAnsi="Arial"/>
        </w:rPr>
        <w:footnoteReference w:id="32"/>
      </w:r>
      <w:r w:rsidR="00900DC6">
        <w:rPr>
          <w:rFonts w:ascii="Arial" w:hAnsi="Arial"/>
        </w:rPr>
        <w:t xml:space="preserve"> where the court had to decide whether the defendant should be held liable </w:t>
      </w:r>
      <w:r w:rsidR="00900DC6">
        <w:rPr>
          <w:rFonts w:ascii="Arial" w:hAnsi="Arial"/>
        </w:rPr>
        <w:lastRenderedPageBreak/>
        <w:t xml:space="preserve">for a debt owed to the plaintiff by the contracting company (of which the defendant was a director), as a consequence of the defendant acquiescing in reckless, grossly negligent or fraudulent conduct of company business </w:t>
      </w:r>
      <w:r w:rsidR="00051FE1">
        <w:rPr>
          <w:rFonts w:ascii="Arial" w:hAnsi="Arial"/>
        </w:rPr>
        <w:t>as contemplated in section 22(1), read with section 218 of the Companies Act. The court also had to decide whether th</w:t>
      </w:r>
      <w:r w:rsidR="00DF0C84">
        <w:rPr>
          <w:rFonts w:ascii="Arial" w:hAnsi="Arial"/>
        </w:rPr>
        <w:t>e defendant should be declared</w:t>
      </w:r>
      <w:r w:rsidR="0084639C">
        <w:rPr>
          <w:rFonts w:ascii="Arial" w:hAnsi="Arial"/>
        </w:rPr>
        <w:t xml:space="preserve"> </w:t>
      </w:r>
      <w:r w:rsidR="00051FE1">
        <w:rPr>
          <w:rFonts w:ascii="Arial" w:hAnsi="Arial"/>
        </w:rPr>
        <w:t>delinquent for acting in such reckless, grossly negligent or fraudulent manner in terms of section 162(5)</w:t>
      </w:r>
      <w:r w:rsidR="00051FE1" w:rsidRPr="00F670C8">
        <w:rPr>
          <w:rFonts w:ascii="Arial" w:hAnsi="Arial"/>
          <w:i/>
        </w:rPr>
        <w:t>(c)</w:t>
      </w:r>
      <w:r w:rsidR="00051FE1">
        <w:rPr>
          <w:rFonts w:ascii="Arial" w:hAnsi="Arial"/>
        </w:rPr>
        <w:t>(iv)</w:t>
      </w:r>
      <w:r w:rsidR="00051FE1" w:rsidRPr="00F670C8">
        <w:rPr>
          <w:rFonts w:ascii="Arial" w:hAnsi="Arial"/>
          <w:i/>
        </w:rPr>
        <w:t>(aa)</w:t>
      </w:r>
      <w:r w:rsidR="00051FE1">
        <w:rPr>
          <w:rFonts w:ascii="Arial" w:hAnsi="Arial"/>
        </w:rPr>
        <w:t xml:space="preserve"> and/or </w:t>
      </w:r>
      <w:r w:rsidR="00051FE1" w:rsidRPr="00F670C8">
        <w:rPr>
          <w:rFonts w:ascii="Arial" w:hAnsi="Arial"/>
          <w:i/>
        </w:rPr>
        <w:t>(bb)</w:t>
      </w:r>
      <w:r w:rsidR="00051FE1">
        <w:rPr>
          <w:rFonts w:ascii="Arial" w:hAnsi="Arial"/>
        </w:rPr>
        <w:t xml:space="preserve"> of the Companies Act. </w:t>
      </w:r>
    </w:p>
    <w:p w14:paraId="3A53E4FD" w14:textId="77777777" w:rsidR="00051FE1" w:rsidRPr="00051FE1" w:rsidRDefault="00051FE1" w:rsidP="002238E7">
      <w:pPr>
        <w:pStyle w:val="ListParagraph"/>
        <w:spacing w:line="360" w:lineRule="auto"/>
        <w:ind w:left="0" w:firstLine="0"/>
        <w:contextualSpacing/>
        <w:mirrorIndents/>
        <w:jc w:val="both"/>
        <w:rPr>
          <w:rFonts w:ascii="Arial" w:hAnsi="Arial"/>
          <w:i/>
        </w:rPr>
      </w:pPr>
    </w:p>
    <w:p w14:paraId="3F8481DF" w14:textId="7D64F72C" w:rsidR="00051FE1" w:rsidRPr="00275F61" w:rsidRDefault="00C37163"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The court</w:t>
      </w:r>
      <w:r w:rsidR="00275F61">
        <w:rPr>
          <w:rFonts w:ascii="Arial" w:hAnsi="Arial"/>
        </w:rPr>
        <w:t xml:space="preserve"> held as follows:</w:t>
      </w:r>
    </w:p>
    <w:p w14:paraId="6EEEE444" w14:textId="354D420D" w:rsidR="008143DC" w:rsidRPr="008143DC" w:rsidRDefault="008143DC" w:rsidP="008143DC">
      <w:pPr>
        <w:spacing w:line="360" w:lineRule="auto"/>
        <w:contextualSpacing/>
        <w:jc w:val="both"/>
        <w:rPr>
          <w:rFonts w:ascii="Arial" w:hAnsi="Arial"/>
          <w:sz w:val="22"/>
          <w:szCs w:val="22"/>
          <w:lang w:val="en-US"/>
        </w:rPr>
      </w:pPr>
      <w:r>
        <w:rPr>
          <w:rFonts w:ascii="Arial" w:hAnsi="Arial"/>
          <w:sz w:val="22"/>
          <w:szCs w:val="22"/>
        </w:rPr>
        <w:t>‘</w:t>
      </w:r>
      <w:r w:rsidRPr="008143DC">
        <w:rPr>
          <w:rFonts w:ascii="Arial" w:hAnsi="Arial"/>
          <w:sz w:val="22"/>
          <w:szCs w:val="22"/>
          <w:lang w:val="en-US"/>
        </w:rPr>
        <w:t>[22]</w:t>
      </w:r>
      <w:r w:rsidRPr="008143DC">
        <w:rPr>
          <w:rFonts w:ascii="Arial" w:hAnsi="Arial"/>
          <w:sz w:val="22"/>
          <w:szCs w:val="22"/>
          <w:lang w:val="en-US"/>
        </w:rPr>
        <w:tab/>
        <w:t>Generally, directors of companies do not act in their personal capacity but as agents for their company. Where a director enters into a contract with a party, it acts on behalf of the company and not in his personal capacity. In order to prevent the abuse of the separate legal personality of a company, the Companies Act provides in sections 22(1) (read with section 218(2)) and 77(3)(b) for the personal liability of a director towards a company for reckless or fraudulent trading. Directors may also be personally held liable for any loss, damage or costs sustained by a “third party” as a direct or indirect consequence of the director having acquiesced in carrying on the company’s business despite knowing that it 7 is being conducted in a manner prohibited by section 22(1) of the Companies Act. Where a director acquiesced in such reckless or fraudulent behaviour as contemplated in section 22, a court must declare a director acting in the manner contemplated in s 77(3)(b) to be a delinquent director in terms of section 162(5)(c)(iv)(bb) [see s 214(1)(c)]. . .</w:t>
      </w:r>
    </w:p>
    <w:p w14:paraId="7A86B724" w14:textId="2D7CC3ED" w:rsidR="00853F7C" w:rsidRDefault="008143DC" w:rsidP="008143DC">
      <w:pPr>
        <w:spacing w:line="360" w:lineRule="auto"/>
        <w:contextualSpacing/>
        <w:jc w:val="both"/>
        <w:rPr>
          <w:rFonts w:ascii="Arial" w:hAnsi="Arial"/>
          <w:sz w:val="22"/>
          <w:szCs w:val="22"/>
        </w:rPr>
      </w:pPr>
      <w:r w:rsidRPr="008143DC">
        <w:rPr>
          <w:rFonts w:ascii="Arial" w:hAnsi="Arial"/>
          <w:sz w:val="22"/>
          <w:szCs w:val="22"/>
          <w:lang w:val="en-US"/>
        </w:rPr>
        <w:t>[23] Thus, a third party may in terms of section 22 read with section 218(2) and section 77(3)(b) of the Companies Act hold a director personally liable for acquiescing in reckless, grossly negligent or fraudulent conduct of company business where such conduct causes damage to such third party. . .’</w:t>
      </w:r>
    </w:p>
    <w:p w14:paraId="1D2CCAB4" w14:textId="77777777" w:rsidR="00D308C7" w:rsidRPr="00853F7C" w:rsidRDefault="00D308C7" w:rsidP="002238E7">
      <w:pPr>
        <w:spacing w:line="360" w:lineRule="auto"/>
        <w:contextualSpacing/>
        <w:jc w:val="both"/>
        <w:rPr>
          <w:rFonts w:ascii="Arial" w:hAnsi="Arial"/>
          <w:sz w:val="22"/>
          <w:szCs w:val="22"/>
        </w:rPr>
      </w:pPr>
    </w:p>
    <w:p w14:paraId="5A692126" w14:textId="47F19911" w:rsidR="00275F61" w:rsidRPr="008C0DE6" w:rsidRDefault="00C37163"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T</w:t>
      </w:r>
      <w:r w:rsidR="0012028D">
        <w:rPr>
          <w:rFonts w:ascii="Arial" w:hAnsi="Arial"/>
        </w:rPr>
        <w:t>he court referred to</w:t>
      </w:r>
      <w:r w:rsidR="00D308C7">
        <w:rPr>
          <w:rFonts w:ascii="Arial" w:hAnsi="Arial"/>
        </w:rPr>
        <w:t xml:space="preserve"> </w:t>
      </w:r>
      <w:r w:rsidR="00D308C7">
        <w:rPr>
          <w:rFonts w:ascii="Arial" w:hAnsi="Arial"/>
          <w:i/>
        </w:rPr>
        <w:t xml:space="preserve">Ebrahim and </w:t>
      </w:r>
      <w:r w:rsidR="00F6158D">
        <w:rPr>
          <w:rFonts w:ascii="Arial" w:hAnsi="Arial"/>
          <w:i/>
        </w:rPr>
        <w:t xml:space="preserve">another </w:t>
      </w:r>
      <w:r w:rsidR="00D308C7">
        <w:rPr>
          <w:rFonts w:ascii="Arial" w:hAnsi="Arial"/>
          <w:i/>
        </w:rPr>
        <w:t>v Airport Cold Storage (Pty) Ltd</w:t>
      </w:r>
      <w:r w:rsidR="004060AD" w:rsidRPr="00F670C8">
        <w:rPr>
          <w:rStyle w:val="FootnoteReference"/>
          <w:rFonts w:ascii="Arial" w:hAnsi="Arial"/>
        </w:rPr>
        <w:footnoteReference w:id="33"/>
      </w:r>
      <w:r w:rsidR="0012028D">
        <w:rPr>
          <w:rFonts w:ascii="Arial" w:hAnsi="Arial"/>
        </w:rPr>
        <w:t xml:space="preserve"> and stated that the SCA had</w:t>
      </w:r>
      <w:r w:rsidR="00D308C7" w:rsidRPr="008143DC">
        <w:rPr>
          <w:rFonts w:ascii="Arial" w:hAnsi="Arial"/>
        </w:rPr>
        <w:t xml:space="preserve"> made </w:t>
      </w:r>
      <w:r w:rsidR="008143DC">
        <w:rPr>
          <w:rFonts w:ascii="Arial" w:hAnsi="Arial"/>
        </w:rPr>
        <w:t>‘</w:t>
      </w:r>
      <w:r w:rsidR="008143DC" w:rsidRPr="008143DC">
        <w:rPr>
          <w:rFonts w:ascii="Arial" w:hAnsi="Arial"/>
          <w:lang w:val="en-ZA"/>
        </w:rPr>
        <w:t xml:space="preserve">important observations regarding the abuse of juristic personality in circumstances where a controlling member (in the present matter the defendant in his capacity as director) recklessly use the corporation instrumentality to promote its own interests. . </w:t>
      </w:r>
      <w:r w:rsidR="00D308C7" w:rsidRPr="008143DC">
        <w:rPr>
          <w:rFonts w:ascii="Arial" w:hAnsi="Arial"/>
        </w:rPr>
        <w:t>.</w:t>
      </w:r>
      <w:r w:rsidR="008143DC">
        <w:rPr>
          <w:rFonts w:ascii="Arial" w:hAnsi="Arial"/>
        </w:rPr>
        <w:t>’</w:t>
      </w:r>
      <w:r w:rsidR="008143DC" w:rsidRPr="008143DC">
        <w:rPr>
          <w:rFonts w:ascii="Arial" w:hAnsi="Arial"/>
        </w:rPr>
        <w:t>.</w:t>
      </w:r>
      <w:r w:rsidR="0012028D">
        <w:rPr>
          <w:rStyle w:val="FootnoteReference"/>
          <w:rFonts w:ascii="Arial" w:hAnsi="Arial"/>
        </w:rPr>
        <w:footnoteReference w:id="34"/>
      </w:r>
      <w:r w:rsidR="00D308C7">
        <w:rPr>
          <w:rFonts w:ascii="Arial" w:hAnsi="Arial"/>
        </w:rPr>
        <w:t xml:space="preserve"> </w:t>
      </w:r>
      <w:r w:rsidR="00DF0C84">
        <w:rPr>
          <w:rFonts w:ascii="Arial" w:hAnsi="Arial"/>
        </w:rPr>
        <w:t>It is important to note that</w:t>
      </w:r>
      <w:r w:rsidR="008C0DE6">
        <w:rPr>
          <w:rFonts w:ascii="Arial" w:hAnsi="Arial"/>
        </w:rPr>
        <w:t xml:space="preserve"> </w:t>
      </w:r>
      <w:r w:rsidR="008C0DE6">
        <w:rPr>
          <w:rFonts w:ascii="Arial" w:hAnsi="Arial"/>
          <w:i/>
        </w:rPr>
        <w:t xml:space="preserve">Ebrahim </w:t>
      </w:r>
      <w:r w:rsidR="00DF0C84">
        <w:rPr>
          <w:rFonts w:ascii="Arial" w:hAnsi="Arial"/>
        </w:rPr>
        <w:t xml:space="preserve">was </w:t>
      </w:r>
      <w:r w:rsidR="008C0DE6">
        <w:rPr>
          <w:rFonts w:ascii="Arial" w:hAnsi="Arial"/>
        </w:rPr>
        <w:t>decided in the context of a close corporation</w:t>
      </w:r>
      <w:r w:rsidR="00455F4B">
        <w:rPr>
          <w:rFonts w:ascii="Arial" w:hAnsi="Arial"/>
        </w:rPr>
        <w:t>,</w:t>
      </w:r>
      <w:r w:rsidR="008C0DE6">
        <w:rPr>
          <w:rFonts w:ascii="Arial" w:hAnsi="Arial"/>
        </w:rPr>
        <w:t xml:space="preserve"> and</w:t>
      </w:r>
      <w:r w:rsidR="00455F4B">
        <w:rPr>
          <w:rFonts w:ascii="Arial" w:hAnsi="Arial"/>
        </w:rPr>
        <w:t xml:space="preserve"> the SCA</w:t>
      </w:r>
      <w:r w:rsidR="008C0DE6">
        <w:rPr>
          <w:rFonts w:ascii="Arial" w:hAnsi="Arial"/>
        </w:rPr>
        <w:t xml:space="preserve"> held </w:t>
      </w:r>
      <w:r w:rsidR="008C0DE6">
        <w:rPr>
          <w:rFonts w:ascii="Arial" w:hAnsi="Arial"/>
          <w:i/>
        </w:rPr>
        <w:t xml:space="preserve">inter alia </w:t>
      </w:r>
      <w:r w:rsidR="008C0DE6">
        <w:rPr>
          <w:rFonts w:ascii="Arial" w:hAnsi="Arial"/>
        </w:rPr>
        <w:t xml:space="preserve">that the members of the </w:t>
      </w:r>
      <w:r w:rsidR="008C0DE6">
        <w:rPr>
          <w:rFonts w:ascii="Arial" w:hAnsi="Arial"/>
        </w:rPr>
        <w:lastRenderedPageBreak/>
        <w:t xml:space="preserve">close corporation were correctly found to be personally liable in terms of section 64(1) of the Close Corporations Act 69 of 1984, which expressly provides for such liability. </w:t>
      </w:r>
    </w:p>
    <w:p w14:paraId="0E298CC5" w14:textId="77777777" w:rsidR="008C0DE6" w:rsidRPr="008C0DE6" w:rsidRDefault="008C0DE6" w:rsidP="002238E7">
      <w:pPr>
        <w:pStyle w:val="ListParagraph"/>
        <w:spacing w:line="360" w:lineRule="auto"/>
        <w:ind w:left="0" w:firstLine="0"/>
        <w:contextualSpacing/>
        <w:mirrorIndents/>
        <w:jc w:val="both"/>
        <w:rPr>
          <w:rFonts w:ascii="Arial" w:hAnsi="Arial"/>
          <w:i/>
        </w:rPr>
      </w:pPr>
    </w:p>
    <w:p w14:paraId="0AB6B8DA" w14:textId="275128CD" w:rsidR="00F6158D" w:rsidRPr="00F6158D" w:rsidRDefault="00455F4B" w:rsidP="00F6158D">
      <w:pPr>
        <w:pStyle w:val="ListParagraph"/>
        <w:numPr>
          <w:ilvl w:val="0"/>
          <w:numId w:val="7"/>
        </w:numPr>
        <w:spacing w:line="360" w:lineRule="auto"/>
        <w:ind w:left="0" w:firstLine="0"/>
        <w:contextualSpacing/>
        <w:mirrorIndents/>
        <w:jc w:val="both"/>
        <w:rPr>
          <w:rFonts w:ascii="Arial" w:hAnsi="Arial"/>
          <w:i/>
        </w:rPr>
      </w:pPr>
      <w:r>
        <w:rPr>
          <w:rFonts w:ascii="Arial" w:hAnsi="Arial"/>
        </w:rPr>
        <w:t xml:space="preserve">The court in </w:t>
      </w:r>
      <w:r w:rsidRPr="000D3692">
        <w:rPr>
          <w:rFonts w:ascii="Arial" w:hAnsi="Arial"/>
          <w:i/>
        </w:rPr>
        <w:t xml:space="preserve">Metro Minds </w:t>
      </w:r>
      <w:r w:rsidR="00317937" w:rsidRPr="00F670C8">
        <w:rPr>
          <w:rFonts w:ascii="Arial" w:hAnsi="Arial"/>
        </w:rPr>
        <w:t xml:space="preserve">then </w:t>
      </w:r>
      <w:r w:rsidR="00F6158D" w:rsidRPr="00F6158D">
        <w:rPr>
          <w:rFonts w:ascii="Arial" w:hAnsi="Arial"/>
        </w:rPr>
        <w:t>found</w:t>
      </w:r>
      <w:r w:rsidR="008C0DE6" w:rsidRPr="00F6158D">
        <w:rPr>
          <w:rFonts w:ascii="Arial" w:hAnsi="Arial"/>
        </w:rPr>
        <w:t xml:space="preserve"> that </w:t>
      </w:r>
    </w:p>
    <w:p w14:paraId="3CFAC7A5" w14:textId="64216E91" w:rsidR="00F6158D" w:rsidRPr="00F6158D" w:rsidRDefault="00F6158D" w:rsidP="00F6158D">
      <w:pPr>
        <w:pStyle w:val="ListParagraph"/>
        <w:spacing w:line="360" w:lineRule="auto"/>
        <w:ind w:left="0" w:firstLine="0"/>
        <w:contextualSpacing/>
        <w:mirrorIndents/>
        <w:jc w:val="both"/>
        <w:rPr>
          <w:rFonts w:ascii="Arial" w:hAnsi="Arial"/>
          <w:sz w:val="22"/>
        </w:rPr>
      </w:pPr>
      <w:r w:rsidRPr="00F6158D">
        <w:rPr>
          <w:rFonts w:ascii="Arial" w:hAnsi="Arial"/>
          <w:sz w:val="22"/>
        </w:rPr>
        <w:t>‘the defendant caused the contracting company to act in a manner prohibited by the provisions of section 22(1) of the Companies Act. Moreover, at all material times the defendant acted in his representative capacity as director on behalf on the contracting company when he conducted business in the way that contravenes the provisions of section 22(1) of the Companies Act</w:t>
      </w:r>
      <w:r w:rsidR="005149C0" w:rsidRPr="00F6158D">
        <w:rPr>
          <w:rFonts w:ascii="Arial" w:hAnsi="Arial"/>
          <w:sz w:val="22"/>
        </w:rPr>
        <w:t>.</w:t>
      </w:r>
      <w:r w:rsidRPr="00F6158D">
        <w:rPr>
          <w:rFonts w:ascii="Arial" w:hAnsi="Arial"/>
          <w:sz w:val="22"/>
        </w:rPr>
        <w:t>’</w:t>
      </w:r>
      <w:r>
        <w:rPr>
          <w:rStyle w:val="FootnoteReference"/>
          <w:rFonts w:ascii="Arial" w:hAnsi="Arial"/>
          <w:sz w:val="22"/>
        </w:rPr>
        <w:footnoteReference w:id="35"/>
      </w:r>
      <w:r w:rsidR="005149C0" w:rsidRPr="00F6158D">
        <w:rPr>
          <w:rFonts w:ascii="Arial" w:hAnsi="Arial"/>
          <w:sz w:val="22"/>
        </w:rPr>
        <w:t xml:space="preserve"> </w:t>
      </w:r>
    </w:p>
    <w:p w14:paraId="6B0A0C7F" w14:textId="6140BE04" w:rsidR="005149C0" w:rsidRPr="00F6158D" w:rsidRDefault="005149C0" w:rsidP="00F6158D">
      <w:pPr>
        <w:pStyle w:val="ListParagraph"/>
        <w:spacing w:line="360" w:lineRule="auto"/>
        <w:ind w:left="0" w:firstLine="0"/>
        <w:contextualSpacing/>
        <w:mirrorIndents/>
        <w:jc w:val="both"/>
        <w:rPr>
          <w:rFonts w:ascii="Arial" w:hAnsi="Arial"/>
          <w:i/>
        </w:rPr>
      </w:pPr>
      <w:r w:rsidRPr="00F6158D">
        <w:rPr>
          <w:rFonts w:ascii="Arial" w:hAnsi="Arial"/>
        </w:rPr>
        <w:t xml:space="preserve">The </w:t>
      </w:r>
      <w:r w:rsidR="00317937">
        <w:rPr>
          <w:rFonts w:ascii="Arial" w:hAnsi="Arial"/>
        </w:rPr>
        <w:t>court</w:t>
      </w:r>
      <w:r w:rsidRPr="00F6158D">
        <w:rPr>
          <w:rFonts w:ascii="Arial" w:hAnsi="Arial"/>
        </w:rPr>
        <w:t xml:space="preserve"> then proceed</w:t>
      </w:r>
      <w:r w:rsidR="00F6158D">
        <w:rPr>
          <w:rFonts w:ascii="Arial" w:hAnsi="Arial"/>
        </w:rPr>
        <w:t>ed</w:t>
      </w:r>
      <w:r w:rsidRPr="00F6158D">
        <w:rPr>
          <w:rFonts w:ascii="Arial" w:hAnsi="Arial"/>
        </w:rPr>
        <w:t xml:space="preserve"> to hold that this was confirmed by the court in </w:t>
      </w:r>
      <w:r w:rsidRPr="00F6158D">
        <w:rPr>
          <w:rFonts w:ascii="Arial" w:hAnsi="Arial"/>
          <w:i/>
        </w:rPr>
        <w:t xml:space="preserve">Rabinowitz, </w:t>
      </w:r>
      <w:r w:rsidRPr="00F6158D">
        <w:rPr>
          <w:rFonts w:ascii="Arial" w:hAnsi="Arial"/>
        </w:rPr>
        <w:t xml:space="preserve">with reference to para 18 of that judgment – where reference was made to </w:t>
      </w:r>
      <w:r w:rsidR="00F6158D" w:rsidRPr="00F670C8">
        <w:rPr>
          <w:rFonts w:ascii="Arial" w:hAnsi="Arial"/>
          <w:i/>
        </w:rPr>
        <w:t>Contemporary Company Law</w:t>
      </w:r>
      <w:r w:rsidRPr="00F6158D">
        <w:rPr>
          <w:rFonts w:ascii="Arial" w:hAnsi="Arial"/>
        </w:rPr>
        <w:t xml:space="preserve"> and </w:t>
      </w:r>
      <w:r w:rsidRPr="00F670C8">
        <w:rPr>
          <w:rFonts w:ascii="Arial" w:hAnsi="Arial"/>
          <w:i/>
        </w:rPr>
        <w:t>Henochsberg</w:t>
      </w:r>
      <w:r w:rsidR="00F6158D">
        <w:rPr>
          <w:rFonts w:ascii="Arial" w:hAnsi="Arial"/>
          <w:i/>
        </w:rPr>
        <w:t xml:space="preserve"> on the Companies Act 71 of 2008</w:t>
      </w:r>
      <w:r w:rsidRPr="00F6158D">
        <w:rPr>
          <w:rFonts w:ascii="Arial" w:hAnsi="Arial"/>
        </w:rPr>
        <w:t xml:space="preserve">, </w:t>
      </w:r>
      <w:r w:rsidR="009761A7">
        <w:rPr>
          <w:rFonts w:ascii="Arial" w:hAnsi="Arial"/>
        </w:rPr>
        <w:t xml:space="preserve">as </w:t>
      </w:r>
      <w:r w:rsidRPr="00F6158D">
        <w:rPr>
          <w:rFonts w:ascii="Arial" w:hAnsi="Arial"/>
        </w:rPr>
        <w:t>referred to above.</w:t>
      </w:r>
    </w:p>
    <w:p w14:paraId="7B8E6768" w14:textId="77777777" w:rsidR="005149C0" w:rsidRPr="00843402" w:rsidRDefault="005149C0" w:rsidP="002238E7">
      <w:pPr>
        <w:spacing w:line="360" w:lineRule="auto"/>
        <w:contextualSpacing/>
        <w:rPr>
          <w:rFonts w:ascii="Arial" w:hAnsi="Arial"/>
          <w:i/>
        </w:rPr>
      </w:pPr>
    </w:p>
    <w:p w14:paraId="212209FA" w14:textId="5CB70F69" w:rsidR="008C0DE6" w:rsidRPr="00774A1B" w:rsidRDefault="004D015A"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The court</w:t>
      </w:r>
      <w:r w:rsidR="00774A1B">
        <w:rPr>
          <w:rFonts w:ascii="Arial" w:hAnsi="Arial"/>
        </w:rPr>
        <w:t xml:space="preserve"> concluded that the defendant was personally liable to the plaintiff and also declared the defendant delinquent in terms of section 162(5)</w:t>
      </w:r>
      <w:r w:rsidR="00774A1B" w:rsidRPr="00F670C8">
        <w:rPr>
          <w:rFonts w:ascii="Arial" w:hAnsi="Arial"/>
          <w:i/>
        </w:rPr>
        <w:t>(c)</w:t>
      </w:r>
      <w:r w:rsidR="00774A1B">
        <w:rPr>
          <w:rFonts w:ascii="Arial" w:hAnsi="Arial"/>
        </w:rPr>
        <w:t>(i) and (iv)</w:t>
      </w:r>
      <w:r w:rsidR="00774A1B" w:rsidRPr="00F670C8">
        <w:rPr>
          <w:rFonts w:ascii="Arial" w:hAnsi="Arial"/>
          <w:i/>
        </w:rPr>
        <w:t>(aa)</w:t>
      </w:r>
      <w:r w:rsidR="00774A1B">
        <w:rPr>
          <w:rFonts w:ascii="Arial" w:hAnsi="Arial"/>
        </w:rPr>
        <w:t xml:space="preserve"> and </w:t>
      </w:r>
      <w:r w:rsidR="00774A1B" w:rsidRPr="00F670C8">
        <w:rPr>
          <w:rFonts w:ascii="Arial" w:hAnsi="Arial"/>
          <w:i/>
        </w:rPr>
        <w:t>(bb)</w:t>
      </w:r>
      <w:r w:rsidR="00774A1B">
        <w:rPr>
          <w:rFonts w:ascii="Arial" w:hAnsi="Arial"/>
        </w:rPr>
        <w:t xml:space="preserve"> of the Companies Act (although it is not clear on what basis the plaintiff had standing</w:t>
      </w:r>
      <w:r w:rsidR="00DF0C84">
        <w:rPr>
          <w:rFonts w:ascii="Arial" w:hAnsi="Arial"/>
        </w:rPr>
        <w:t xml:space="preserve"> to apply for such relief, bearing in mind the provisions of section 162(2) of the Companies Act</w:t>
      </w:r>
      <w:r w:rsidR="00D44063">
        <w:rPr>
          <w:rFonts w:ascii="Arial" w:hAnsi="Arial"/>
        </w:rPr>
        <w:t>)</w:t>
      </w:r>
      <w:r w:rsidR="00DF0C84">
        <w:rPr>
          <w:rFonts w:ascii="Arial" w:hAnsi="Arial"/>
        </w:rPr>
        <w:t>.</w:t>
      </w:r>
      <w:r w:rsidR="00774A1B">
        <w:rPr>
          <w:rFonts w:ascii="Arial" w:hAnsi="Arial"/>
        </w:rPr>
        <w:t xml:space="preserve"> </w:t>
      </w:r>
    </w:p>
    <w:p w14:paraId="31E585C7" w14:textId="77777777" w:rsidR="00774A1B" w:rsidRPr="00843402" w:rsidRDefault="00774A1B" w:rsidP="002238E7">
      <w:pPr>
        <w:spacing w:line="360" w:lineRule="auto"/>
        <w:contextualSpacing/>
        <w:rPr>
          <w:rFonts w:ascii="Arial" w:hAnsi="Arial"/>
          <w:i/>
        </w:rPr>
      </w:pPr>
    </w:p>
    <w:p w14:paraId="4D49E17C" w14:textId="75D7175E" w:rsidR="00774A1B" w:rsidRPr="000C7C1B" w:rsidRDefault="00774A1B"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Counsel for the</w:t>
      </w:r>
      <w:r w:rsidR="00DF0C84">
        <w:rPr>
          <w:rFonts w:ascii="Arial" w:hAnsi="Arial"/>
        </w:rPr>
        <w:t xml:space="preserve"> plaintiff</w:t>
      </w:r>
      <w:r>
        <w:rPr>
          <w:rFonts w:ascii="Arial" w:hAnsi="Arial"/>
        </w:rPr>
        <w:t xml:space="preserve"> </w:t>
      </w:r>
      <w:r w:rsidR="00E461DB">
        <w:rPr>
          <w:rFonts w:ascii="Arial" w:hAnsi="Arial"/>
        </w:rPr>
        <w:t>submitted that it is clear from the cases relied upon by the plaintiff that the courts have acc</w:t>
      </w:r>
      <w:r w:rsidR="00DF0C84">
        <w:rPr>
          <w:rFonts w:ascii="Arial" w:hAnsi="Arial"/>
        </w:rPr>
        <w:t>epted that a creditor enjoys a</w:t>
      </w:r>
      <w:r w:rsidR="00E461DB">
        <w:rPr>
          <w:rFonts w:ascii="Arial" w:hAnsi="Arial"/>
        </w:rPr>
        <w:t xml:space="preserve"> right as against directors where there </w:t>
      </w:r>
      <w:r w:rsidR="00D44063">
        <w:rPr>
          <w:rFonts w:ascii="Arial" w:hAnsi="Arial"/>
        </w:rPr>
        <w:t xml:space="preserve">are </w:t>
      </w:r>
      <w:r w:rsidR="00E461DB">
        <w:rPr>
          <w:rFonts w:ascii="Arial" w:hAnsi="Arial"/>
        </w:rPr>
        <w:t xml:space="preserve">circumstances of fraud and recklessness. It was also submitted that the plaintiff has a reasonably arguable cause of action. He was also critical of the cases relied upon by the second defendant, as both </w:t>
      </w:r>
      <w:r w:rsidR="000C7C1B">
        <w:rPr>
          <w:rFonts w:ascii="Arial" w:hAnsi="Arial"/>
          <w:i/>
        </w:rPr>
        <w:t xml:space="preserve">Hlumisa </w:t>
      </w:r>
      <w:r w:rsidR="000C7C1B">
        <w:rPr>
          <w:rFonts w:ascii="Arial" w:hAnsi="Arial"/>
        </w:rPr>
        <w:t xml:space="preserve">and </w:t>
      </w:r>
      <w:r w:rsidR="000C7C1B">
        <w:rPr>
          <w:rFonts w:ascii="Arial" w:hAnsi="Arial"/>
          <w:i/>
        </w:rPr>
        <w:t xml:space="preserve">Steinhoff </w:t>
      </w:r>
      <w:r w:rsidR="000C7C1B">
        <w:rPr>
          <w:rFonts w:ascii="Arial" w:hAnsi="Arial"/>
        </w:rPr>
        <w:t xml:space="preserve">dealt with the position of shareholders’ claims against directors. </w:t>
      </w:r>
    </w:p>
    <w:p w14:paraId="265C22BF" w14:textId="77777777" w:rsidR="000C7C1B" w:rsidRPr="00843402" w:rsidRDefault="000C7C1B" w:rsidP="002238E7">
      <w:pPr>
        <w:spacing w:line="360" w:lineRule="auto"/>
        <w:contextualSpacing/>
        <w:rPr>
          <w:rFonts w:ascii="Arial" w:hAnsi="Arial"/>
          <w:i/>
        </w:rPr>
      </w:pPr>
    </w:p>
    <w:p w14:paraId="37ADC4EA" w14:textId="77777777" w:rsidR="000C7C1B" w:rsidRPr="000C7C1B" w:rsidRDefault="000C7C1B"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 xml:space="preserve">Counsel for the plaintiff made a number of further submissions regarding the second exception relating to the particulars of claim being vague and embarrassing but I will deal with this later if it becomes necessary. </w:t>
      </w:r>
    </w:p>
    <w:p w14:paraId="20682272" w14:textId="77777777" w:rsidR="000C7C1B" w:rsidRDefault="000C7C1B" w:rsidP="002238E7">
      <w:pPr>
        <w:spacing w:line="360" w:lineRule="auto"/>
        <w:contextualSpacing/>
        <w:rPr>
          <w:rFonts w:ascii="Arial" w:hAnsi="Arial"/>
          <w:i/>
        </w:rPr>
      </w:pPr>
    </w:p>
    <w:p w14:paraId="55FE364C" w14:textId="77777777" w:rsidR="000C7C1B" w:rsidRPr="007B7153" w:rsidRDefault="007B7153" w:rsidP="002238E7">
      <w:pPr>
        <w:spacing w:line="360" w:lineRule="auto"/>
        <w:contextualSpacing/>
        <w:rPr>
          <w:rFonts w:ascii="Arial" w:hAnsi="Arial"/>
          <w:b/>
        </w:rPr>
      </w:pPr>
      <w:r w:rsidRPr="007B7153">
        <w:rPr>
          <w:rFonts w:ascii="Arial" w:hAnsi="Arial"/>
          <w:b/>
        </w:rPr>
        <w:t xml:space="preserve">The second defendant’s contentions in reply </w:t>
      </w:r>
    </w:p>
    <w:p w14:paraId="1475D502" w14:textId="77777777" w:rsidR="000C7C1B" w:rsidRPr="000E0288" w:rsidRDefault="000C7C1B"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lastRenderedPageBreak/>
        <w:t xml:space="preserve">Second defendant’s counsel </w:t>
      </w:r>
      <w:r w:rsidR="00E74787">
        <w:rPr>
          <w:rFonts w:ascii="Arial" w:hAnsi="Arial"/>
        </w:rPr>
        <w:t xml:space="preserve">submitted that the line of cases relied upon by the plaintiff was inconsistent </w:t>
      </w:r>
      <w:r w:rsidR="000E0288">
        <w:rPr>
          <w:rFonts w:ascii="Arial" w:hAnsi="Arial"/>
        </w:rPr>
        <w:t xml:space="preserve">with a principle of law that has been established and followed by our courts and in the Supreme Court of Appeal over a number of years. </w:t>
      </w:r>
    </w:p>
    <w:p w14:paraId="07796793" w14:textId="77777777" w:rsidR="000E0288" w:rsidRPr="000E0288" w:rsidRDefault="000E0288" w:rsidP="002238E7">
      <w:pPr>
        <w:pStyle w:val="ListParagraph"/>
        <w:spacing w:line="360" w:lineRule="auto"/>
        <w:ind w:left="0" w:firstLine="0"/>
        <w:contextualSpacing/>
        <w:mirrorIndents/>
        <w:jc w:val="both"/>
        <w:rPr>
          <w:rFonts w:ascii="Arial" w:hAnsi="Arial"/>
          <w:i/>
        </w:rPr>
      </w:pPr>
    </w:p>
    <w:p w14:paraId="57872E92" w14:textId="722011E3" w:rsidR="000E0288" w:rsidRPr="000E0288" w:rsidRDefault="000E0288"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 xml:space="preserve">Reference was made to </w:t>
      </w:r>
      <w:r>
        <w:rPr>
          <w:rFonts w:ascii="Arial" w:hAnsi="Arial"/>
          <w:i/>
        </w:rPr>
        <w:t xml:space="preserve">Metro Minds </w:t>
      </w:r>
      <w:r>
        <w:rPr>
          <w:rFonts w:ascii="Arial" w:hAnsi="Arial"/>
        </w:rPr>
        <w:t xml:space="preserve">and </w:t>
      </w:r>
      <w:r>
        <w:rPr>
          <w:rFonts w:ascii="Arial" w:hAnsi="Arial"/>
          <w:i/>
        </w:rPr>
        <w:t xml:space="preserve">Meatworld. </w:t>
      </w:r>
      <w:r>
        <w:rPr>
          <w:rFonts w:ascii="Arial" w:hAnsi="Arial"/>
        </w:rPr>
        <w:t xml:space="preserve">It was submitted that in </w:t>
      </w:r>
      <w:r>
        <w:rPr>
          <w:rFonts w:ascii="Arial" w:hAnsi="Arial"/>
          <w:i/>
        </w:rPr>
        <w:t>Meatworld</w:t>
      </w:r>
      <w:r w:rsidR="009B1CB3">
        <w:rPr>
          <w:rFonts w:ascii="Arial" w:hAnsi="Arial"/>
          <w:i/>
        </w:rPr>
        <w:t>,</w:t>
      </w:r>
      <w:r>
        <w:rPr>
          <w:rFonts w:ascii="Arial" w:hAnsi="Arial"/>
          <w:i/>
        </w:rPr>
        <w:t xml:space="preserve"> </w:t>
      </w:r>
      <w:r>
        <w:rPr>
          <w:rFonts w:ascii="Arial" w:hAnsi="Arial"/>
        </w:rPr>
        <w:t xml:space="preserve">the court attempted to </w:t>
      </w:r>
      <w:r w:rsidRPr="002A1175">
        <w:rPr>
          <w:rFonts w:ascii="Arial" w:hAnsi="Arial"/>
        </w:rPr>
        <w:t xml:space="preserve">cure a </w:t>
      </w:r>
      <w:r w:rsidR="00D44063" w:rsidRPr="002A1175">
        <w:rPr>
          <w:rFonts w:ascii="Arial" w:hAnsi="Arial"/>
        </w:rPr>
        <w:t>‘</w:t>
      </w:r>
      <w:r w:rsidRPr="00F670C8">
        <w:rPr>
          <w:rFonts w:ascii="Arial" w:hAnsi="Arial"/>
        </w:rPr>
        <w:t>gap</w:t>
      </w:r>
      <w:r w:rsidR="00D44063" w:rsidRPr="002A1175">
        <w:rPr>
          <w:rFonts w:ascii="Arial" w:hAnsi="Arial"/>
        </w:rPr>
        <w:t>’</w:t>
      </w:r>
      <w:r w:rsidRPr="002A1175">
        <w:rPr>
          <w:rFonts w:ascii="Arial" w:hAnsi="Arial"/>
        </w:rPr>
        <w:t xml:space="preserve"> in the</w:t>
      </w:r>
      <w:r>
        <w:rPr>
          <w:rFonts w:ascii="Arial" w:hAnsi="Arial"/>
        </w:rPr>
        <w:t xml:space="preserve"> Companies Act and what was held as being a lacuna</w:t>
      </w:r>
      <w:r w:rsidR="009761A7">
        <w:rPr>
          <w:rFonts w:ascii="Arial" w:hAnsi="Arial"/>
        </w:rPr>
        <w:t>,</w:t>
      </w:r>
      <w:r>
        <w:rPr>
          <w:rFonts w:ascii="Arial" w:hAnsi="Arial"/>
        </w:rPr>
        <w:t xml:space="preserve"> is in fact a clear indication of </w:t>
      </w:r>
      <w:r w:rsidR="00DF0C84">
        <w:rPr>
          <w:rFonts w:ascii="Arial" w:hAnsi="Arial"/>
        </w:rPr>
        <w:t>the legislator’s intention to ex</w:t>
      </w:r>
      <w:r>
        <w:rPr>
          <w:rFonts w:ascii="Arial" w:hAnsi="Arial"/>
        </w:rPr>
        <w:t xml:space="preserve">clude personal liability of directors. </w:t>
      </w:r>
    </w:p>
    <w:p w14:paraId="78126B68" w14:textId="77777777" w:rsidR="000E0288" w:rsidRPr="00843402" w:rsidRDefault="000E0288" w:rsidP="002238E7">
      <w:pPr>
        <w:spacing w:line="360" w:lineRule="auto"/>
        <w:contextualSpacing/>
        <w:rPr>
          <w:rFonts w:ascii="Arial" w:hAnsi="Arial"/>
          <w:i/>
        </w:rPr>
      </w:pPr>
    </w:p>
    <w:p w14:paraId="75AF62D9" w14:textId="77777777" w:rsidR="000E0288" w:rsidRPr="00A140A0" w:rsidRDefault="000E0288"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 xml:space="preserve">It was also submitted </w:t>
      </w:r>
      <w:r w:rsidR="00A140A0">
        <w:rPr>
          <w:rFonts w:ascii="Arial" w:hAnsi="Arial"/>
        </w:rPr>
        <w:t xml:space="preserve">that in some of the cases referred to, the court had not been made aware of amendments to the Companies Act, with reference to </w:t>
      </w:r>
      <w:r w:rsidR="00A140A0">
        <w:rPr>
          <w:rFonts w:ascii="Arial" w:hAnsi="Arial"/>
          <w:i/>
        </w:rPr>
        <w:t xml:space="preserve">inter alia </w:t>
      </w:r>
      <w:r w:rsidR="00A140A0">
        <w:rPr>
          <w:rFonts w:ascii="Arial" w:hAnsi="Arial"/>
        </w:rPr>
        <w:t>the amendment to section 214(1)</w:t>
      </w:r>
      <w:r w:rsidR="00A140A0" w:rsidRPr="00F670C8">
        <w:rPr>
          <w:rFonts w:ascii="Arial" w:hAnsi="Arial"/>
          <w:i/>
        </w:rPr>
        <w:t>(c)</w:t>
      </w:r>
      <w:r w:rsidR="00A140A0">
        <w:rPr>
          <w:rFonts w:ascii="Arial" w:hAnsi="Arial"/>
        </w:rPr>
        <w:t xml:space="preserve"> of the Companies Act. </w:t>
      </w:r>
    </w:p>
    <w:p w14:paraId="64701897" w14:textId="77777777" w:rsidR="00A140A0" w:rsidRPr="00A140A0" w:rsidRDefault="00A140A0" w:rsidP="002238E7">
      <w:pPr>
        <w:spacing w:line="360" w:lineRule="auto"/>
        <w:contextualSpacing/>
        <w:rPr>
          <w:rFonts w:ascii="Arial" w:hAnsi="Arial"/>
          <w:i/>
        </w:rPr>
      </w:pPr>
    </w:p>
    <w:p w14:paraId="3B6C3924" w14:textId="77777777" w:rsidR="00A140A0" w:rsidRPr="007B7153" w:rsidRDefault="007B7153" w:rsidP="002238E7">
      <w:pPr>
        <w:pStyle w:val="ListParagraph"/>
        <w:spacing w:line="360" w:lineRule="auto"/>
        <w:ind w:left="0" w:firstLine="0"/>
        <w:contextualSpacing/>
        <w:mirrorIndents/>
        <w:jc w:val="both"/>
        <w:rPr>
          <w:rFonts w:ascii="Arial" w:hAnsi="Arial"/>
          <w:b/>
        </w:rPr>
      </w:pPr>
      <w:r w:rsidRPr="007B7153">
        <w:rPr>
          <w:rFonts w:ascii="Arial" w:hAnsi="Arial"/>
          <w:b/>
        </w:rPr>
        <w:t xml:space="preserve">Discussion </w:t>
      </w:r>
    </w:p>
    <w:p w14:paraId="41D8DD37" w14:textId="431C66EC" w:rsidR="00A140A0" w:rsidRPr="002E581F" w:rsidRDefault="002E581F"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 xml:space="preserve">Section 19 of the Companies Act deals with the legal status of companies. In terms of section 19(2) a person is not solely by reason of being </w:t>
      </w:r>
      <w:r>
        <w:rPr>
          <w:rFonts w:ascii="Arial" w:hAnsi="Arial"/>
          <w:i/>
        </w:rPr>
        <w:t xml:space="preserve">inter alia </w:t>
      </w:r>
      <w:r>
        <w:rPr>
          <w:rFonts w:ascii="Arial" w:hAnsi="Arial"/>
        </w:rPr>
        <w:t>a director of a company, liable for any liabilities or obligations of the company</w:t>
      </w:r>
      <w:r w:rsidR="007058A2">
        <w:rPr>
          <w:rFonts w:ascii="Arial" w:hAnsi="Arial"/>
        </w:rPr>
        <w:t>, except where the Companies Act and Memo</w:t>
      </w:r>
      <w:r w:rsidR="009B1CB3">
        <w:rPr>
          <w:rFonts w:ascii="Arial" w:hAnsi="Arial"/>
        </w:rPr>
        <w:t>randum of Incorporation provide</w:t>
      </w:r>
      <w:r w:rsidR="007058A2">
        <w:rPr>
          <w:rFonts w:ascii="Arial" w:hAnsi="Arial"/>
        </w:rPr>
        <w:t xml:space="preserve"> otherwise</w:t>
      </w:r>
      <w:r>
        <w:rPr>
          <w:rFonts w:ascii="Arial" w:hAnsi="Arial"/>
        </w:rPr>
        <w:t>. It is considered to be one of the cardinal principles and cornerstones of company law that a company is considered to be a legal persona, distinct from its members, with its own separate legal existence.</w:t>
      </w:r>
      <w:r w:rsidR="007058A2">
        <w:rPr>
          <w:rStyle w:val="FootnoteReference"/>
          <w:rFonts w:ascii="Arial" w:hAnsi="Arial"/>
        </w:rPr>
        <w:footnoteReference w:id="36"/>
      </w:r>
      <w:r>
        <w:rPr>
          <w:rFonts w:ascii="Arial" w:hAnsi="Arial"/>
        </w:rPr>
        <w:t xml:space="preserve"> </w:t>
      </w:r>
    </w:p>
    <w:p w14:paraId="37AB573B" w14:textId="77777777" w:rsidR="002E581F" w:rsidRPr="002E581F" w:rsidRDefault="002E581F" w:rsidP="002238E7">
      <w:pPr>
        <w:pStyle w:val="ListParagraph"/>
        <w:spacing w:line="360" w:lineRule="auto"/>
        <w:ind w:left="0" w:firstLine="0"/>
        <w:contextualSpacing/>
        <w:mirrorIndents/>
        <w:jc w:val="both"/>
        <w:rPr>
          <w:rFonts w:ascii="Arial" w:hAnsi="Arial"/>
          <w:i/>
        </w:rPr>
      </w:pPr>
    </w:p>
    <w:p w14:paraId="433E3A84" w14:textId="016FE387" w:rsidR="002E581F" w:rsidRPr="00907E82" w:rsidRDefault="00907E82"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 xml:space="preserve">Section 19(3) of the Companies Act ordains in very express terms that </w:t>
      </w:r>
      <w:r w:rsidR="002842E5">
        <w:rPr>
          <w:rFonts w:ascii="Arial" w:hAnsi="Arial"/>
        </w:rPr>
        <w:t>‘[i]</w:t>
      </w:r>
      <w:r w:rsidR="002842E5" w:rsidRPr="002842E5">
        <w:rPr>
          <w:rFonts w:ascii="Arial" w:hAnsi="Arial"/>
          <w:lang w:val="en-ZA"/>
        </w:rPr>
        <w:t>f a company is a personal liability company the directors and past directors are jointly and severally liable, together with the company, for any debts and liabilities of the company</w:t>
      </w:r>
      <w:r w:rsidR="002842E5">
        <w:rPr>
          <w:rFonts w:ascii="Arial" w:hAnsi="Arial"/>
          <w:lang w:val="en-ZA"/>
        </w:rPr>
        <w:t>’</w:t>
      </w:r>
      <w:r>
        <w:rPr>
          <w:rFonts w:ascii="Arial" w:hAnsi="Arial"/>
        </w:rPr>
        <w:t xml:space="preserve">. </w:t>
      </w:r>
    </w:p>
    <w:p w14:paraId="4557A9C0" w14:textId="77777777" w:rsidR="00907E82" w:rsidRPr="00907E82" w:rsidRDefault="00907E82" w:rsidP="002238E7">
      <w:pPr>
        <w:pStyle w:val="ListParagraph"/>
        <w:spacing w:line="360" w:lineRule="auto"/>
        <w:contextualSpacing/>
        <w:rPr>
          <w:rFonts w:ascii="Arial" w:hAnsi="Arial"/>
          <w:i/>
        </w:rPr>
      </w:pPr>
    </w:p>
    <w:p w14:paraId="4F1815BF" w14:textId="77777777" w:rsidR="00630D2A" w:rsidRPr="00630D2A" w:rsidRDefault="00907E82"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There is no equivalent provision</w:t>
      </w:r>
      <w:r w:rsidR="00DF0C84">
        <w:rPr>
          <w:rFonts w:ascii="Arial" w:hAnsi="Arial"/>
        </w:rPr>
        <w:t xml:space="preserve"> in the Companies Act</w:t>
      </w:r>
      <w:r w:rsidR="00C87435">
        <w:rPr>
          <w:rFonts w:ascii="Arial" w:hAnsi="Arial"/>
        </w:rPr>
        <w:t xml:space="preserve"> </w:t>
      </w:r>
      <w:r>
        <w:rPr>
          <w:rFonts w:ascii="Arial" w:hAnsi="Arial"/>
        </w:rPr>
        <w:t xml:space="preserve">in such express terms dealing </w:t>
      </w:r>
      <w:r w:rsidR="00630D2A">
        <w:rPr>
          <w:rFonts w:ascii="Arial" w:hAnsi="Arial"/>
        </w:rPr>
        <w:t>with the liability of directors of a private company for any of its debts and l</w:t>
      </w:r>
      <w:r w:rsidR="00DF0C84">
        <w:rPr>
          <w:rFonts w:ascii="Arial" w:hAnsi="Arial"/>
        </w:rPr>
        <w:t>iabilities towards third parties.</w:t>
      </w:r>
      <w:r w:rsidR="00630D2A">
        <w:rPr>
          <w:rFonts w:ascii="Arial" w:hAnsi="Arial"/>
        </w:rPr>
        <w:t xml:space="preserve"> </w:t>
      </w:r>
    </w:p>
    <w:p w14:paraId="6A0728E9" w14:textId="77777777" w:rsidR="00630D2A" w:rsidRPr="00630D2A" w:rsidRDefault="00630D2A" w:rsidP="002238E7">
      <w:pPr>
        <w:pStyle w:val="ListParagraph"/>
        <w:spacing w:line="360" w:lineRule="auto"/>
        <w:contextualSpacing/>
        <w:rPr>
          <w:rFonts w:ascii="Arial" w:hAnsi="Arial"/>
        </w:rPr>
      </w:pPr>
    </w:p>
    <w:p w14:paraId="2FB95B65" w14:textId="7D2DB92E" w:rsidR="00907E82" w:rsidRPr="001017D2" w:rsidRDefault="00630D2A"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lastRenderedPageBreak/>
        <w:t>Section 77</w:t>
      </w:r>
      <w:r w:rsidR="00584600">
        <w:rPr>
          <w:rFonts w:ascii="Arial" w:hAnsi="Arial"/>
        </w:rPr>
        <w:t>,</w:t>
      </w:r>
      <w:r w:rsidR="00907E82">
        <w:rPr>
          <w:rFonts w:ascii="Arial" w:hAnsi="Arial"/>
        </w:rPr>
        <w:t xml:space="preserve"> </w:t>
      </w:r>
      <w:r w:rsidR="00D92064">
        <w:rPr>
          <w:rFonts w:ascii="Arial" w:hAnsi="Arial"/>
        </w:rPr>
        <w:t>and in particular section 77(3)</w:t>
      </w:r>
      <w:r w:rsidR="00584600">
        <w:rPr>
          <w:rFonts w:ascii="Arial" w:hAnsi="Arial"/>
        </w:rPr>
        <w:t>,</w:t>
      </w:r>
      <w:r w:rsidR="00D92064">
        <w:rPr>
          <w:rFonts w:ascii="Arial" w:hAnsi="Arial"/>
        </w:rPr>
        <w:t xml:space="preserve"> deals with the liability of direc</w:t>
      </w:r>
      <w:r w:rsidR="00DF0C84">
        <w:rPr>
          <w:rFonts w:ascii="Arial" w:hAnsi="Arial"/>
        </w:rPr>
        <w:t>tors</w:t>
      </w:r>
      <w:r w:rsidR="00584600">
        <w:rPr>
          <w:rFonts w:ascii="Arial" w:hAnsi="Arial"/>
        </w:rPr>
        <w:t>,</w:t>
      </w:r>
      <w:r w:rsidR="00DF0C84">
        <w:rPr>
          <w:rFonts w:ascii="Arial" w:hAnsi="Arial"/>
        </w:rPr>
        <w:t xml:space="preserve"> and set</w:t>
      </w:r>
      <w:r w:rsidR="005C2B2C">
        <w:rPr>
          <w:rFonts w:ascii="Arial" w:hAnsi="Arial"/>
        </w:rPr>
        <w:t>s</w:t>
      </w:r>
      <w:r w:rsidR="00D92064">
        <w:rPr>
          <w:rFonts w:ascii="Arial" w:hAnsi="Arial"/>
        </w:rPr>
        <w:t xml:space="preserve"> out the circumstances under which a director is liable for any loss, damages or debts sustained by the company. Just from a plain reading of section 77(3)</w:t>
      </w:r>
      <w:r w:rsidR="00584600">
        <w:rPr>
          <w:rFonts w:ascii="Arial" w:hAnsi="Arial"/>
        </w:rPr>
        <w:t>,</w:t>
      </w:r>
      <w:r w:rsidR="00D92064">
        <w:rPr>
          <w:rFonts w:ascii="Arial" w:hAnsi="Arial"/>
        </w:rPr>
        <w:t xml:space="preserve"> it is clear that no liability is accorded to a director</w:t>
      </w:r>
      <w:r w:rsidR="00DF0C84">
        <w:rPr>
          <w:rFonts w:ascii="Arial" w:hAnsi="Arial"/>
        </w:rPr>
        <w:t xml:space="preserve"> in favour of third parties such as creditors</w:t>
      </w:r>
      <w:r w:rsidR="00D92064">
        <w:rPr>
          <w:rFonts w:ascii="Arial" w:hAnsi="Arial"/>
        </w:rPr>
        <w:t xml:space="preserve"> for debts and liabilities of the company. This much is clear from what was held in </w:t>
      </w:r>
      <w:r w:rsidR="00D92064">
        <w:rPr>
          <w:rFonts w:ascii="Arial" w:hAnsi="Arial"/>
          <w:i/>
        </w:rPr>
        <w:t>Gihwala</w:t>
      </w:r>
      <w:r w:rsidR="00D92064" w:rsidRPr="00F670C8">
        <w:rPr>
          <w:rFonts w:ascii="Arial" w:hAnsi="Arial"/>
        </w:rPr>
        <w:t>,</w:t>
      </w:r>
      <w:r w:rsidR="00584600" w:rsidRPr="00F670C8">
        <w:rPr>
          <w:rStyle w:val="FootnoteReference"/>
          <w:rFonts w:ascii="Arial" w:hAnsi="Arial"/>
        </w:rPr>
        <w:footnoteReference w:id="37"/>
      </w:r>
      <w:r w:rsidR="00D92064">
        <w:rPr>
          <w:rFonts w:ascii="Arial" w:hAnsi="Arial"/>
          <w:i/>
        </w:rPr>
        <w:t xml:space="preserve"> </w:t>
      </w:r>
      <w:r w:rsidR="00D92064">
        <w:rPr>
          <w:rFonts w:ascii="Arial" w:hAnsi="Arial"/>
        </w:rPr>
        <w:t>namely that section 77(3) cannot be invoked to secure payment</w:t>
      </w:r>
      <w:r w:rsidR="00DF0C84">
        <w:rPr>
          <w:rFonts w:ascii="Arial" w:hAnsi="Arial"/>
        </w:rPr>
        <w:t xml:space="preserve"> to a creditor. This is perhaps</w:t>
      </w:r>
      <w:r w:rsidR="00237E1D">
        <w:rPr>
          <w:rFonts w:ascii="Arial" w:hAnsi="Arial"/>
        </w:rPr>
        <w:t xml:space="preserve"> </w:t>
      </w:r>
      <w:r w:rsidR="00D92064">
        <w:rPr>
          <w:rFonts w:ascii="Arial" w:hAnsi="Arial"/>
        </w:rPr>
        <w:t>why the plaintiff in the present matter before me places no reliance on section 77(3)</w:t>
      </w:r>
      <w:r w:rsidR="001017D2">
        <w:rPr>
          <w:rFonts w:ascii="Arial" w:hAnsi="Arial"/>
        </w:rPr>
        <w:t>, as was done in some of the cases being relied upon</w:t>
      </w:r>
      <w:r w:rsidR="00DF0C84">
        <w:rPr>
          <w:rFonts w:ascii="Arial" w:hAnsi="Arial"/>
        </w:rPr>
        <w:t xml:space="preserve"> such as </w:t>
      </w:r>
      <w:r w:rsidR="00DF0C84" w:rsidRPr="00F670C8">
        <w:rPr>
          <w:rFonts w:ascii="Arial" w:hAnsi="Arial"/>
          <w:i/>
        </w:rPr>
        <w:t>Blue Farm</w:t>
      </w:r>
      <w:r w:rsidR="00237E1D">
        <w:rPr>
          <w:rFonts w:ascii="Arial" w:hAnsi="Arial"/>
          <w:i/>
        </w:rPr>
        <w:t xml:space="preserve"> Fashion</w:t>
      </w:r>
      <w:r w:rsidR="00DF0C84">
        <w:rPr>
          <w:rFonts w:ascii="Arial" w:hAnsi="Arial"/>
        </w:rPr>
        <w:t xml:space="preserve"> and </w:t>
      </w:r>
      <w:r w:rsidR="00DF0C84" w:rsidRPr="00F670C8">
        <w:rPr>
          <w:rFonts w:ascii="Arial" w:hAnsi="Arial"/>
          <w:i/>
        </w:rPr>
        <w:t>Metro Minds</w:t>
      </w:r>
      <w:r w:rsidR="00DF0C84">
        <w:rPr>
          <w:rFonts w:ascii="Arial" w:hAnsi="Arial"/>
        </w:rPr>
        <w:t>.</w:t>
      </w:r>
    </w:p>
    <w:p w14:paraId="74F408FB" w14:textId="77777777" w:rsidR="001017D2" w:rsidRPr="001017D2" w:rsidRDefault="001017D2" w:rsidP="002238E7">
      <w:pPr>
        <w:pStyle w:val="ListParagraph"/>
        <w:spacing w:line="360" w:lineRule="auto"/>
        <w:contextualSpacing/>
        <w:rPr>
          <w:rFonts w:ascii="Arial" w:hAnsi="Arial"/>
          <w:i/>
        </w:rPr>
      </w:pPr>
    </w:p>
    <w:p w14:paraId="51097679" w14:textId="48B2894C" w:rsidR="001017D2" w:rsidRPr="000A0B20" w:rsidRDefault="001017D2"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 xml:space="preserve">Section 424 of the 1973 Companies Act provides in express terms that directors </w:t>
      </w:r>
      <w:r w:rsidR="00237E1D" w:rsidRPr="00F670C8">
        <w:rPr>
          <w:rFonts w:ascii="Arial" w:hAnsi="Arial"/>
          <w:i/>
        </w:rPr>
        <w:t>‘</w:t>
      </w:r>
      <w:r w:rsidRPr="00F670C8">
        <w:rPr>
          <w:rFonts w:ascii="Arial" w:hAnsi="Arial"/>
        </w:rPr>
        <w:t>shall be personally responsible</w:t>
      </w:r>
      <w:r w:rsidR="00237E1D" w:rsidRPr="002A1175">
        <w:rPr>
          <w:rFonts w:ascii="Arial" w:hAnsi="Arial"/>
        </w:rPr>
        <w:t>’</w:t>
      </w:r>
      <w:r>
        <w:rPr>
          <w:rFonts w:ascii="Arial" w:hAnsi="Arial"/>
        </w:rPr>
        <w:t xml:space="preserve"> for all or any of the debts or liabilities of the company when the business of the company had been carried on recklessly or with intent to defraud creditors. It also expressly </w:t>
      </w:r>
      <w:r w:rsidR="000A0B20">
        <w:rPr>
          <w:rFonts w:ascii="Arial" w:hAnsi="Arial"/>
        </w:rPr>
        <w:t>provides that the court has to make such a declaration</w:t>
      </w:r>
      <w:r w:rsidR="00237E1D">
        <w:rPr>
          <w:rFonts w:ascii="Arial" w:hAnsi="Arial"/>
        </w:rPr>
        <w:t>,</w:t>
      </w:r>
      <w:r w:rsidR="000A0B20">
        <w:rPr>
          <w:rFonts w:ascii="Arial" w:hAnsi="Arial"/>
        </w:rPr>
        <w:t xml:space="preserve"> and it can only be done when the company is being </w:t>
      </w:r>
      <w:r w:rsidR="00237E1D">
        <w:rPr>
          <w:rFonts w:ascii="Arial" w:hAnsi="Arial"/>
        </w:rPr>
        <w:t>wound-</w:t>
      </w:r>
      <w:r w:rsidR="000A0B20">
        <w:rPr>
          <w:rFonts w:ascii="Arial" w:hAnsi="Arial"/>
        </w:rPr>
        <w:t xml:space="preserve">up or </w:t>
      </w:r>
      <w:r w:rsidR="004E4477">
        <w:rPr>
          <w:rFonts w:ascii="Arial" w:hAnsi="Arial"/>
        </w:rPr>
        <w:t xml:space="preserve">is </w:t>
      </w:r>
      <w:r w:rsidR="000A0B20">
        <w:rPr>
          <w:rFonts w:ascii="Arial" w:hAnsi="Arial"/>
        </w:rPr>
        <w:t>under judicial management.</w:t>
      </w:r>
    </w:p>
    <w:p w14:paraId="7312F25F" w14:textId="77777777" w:rsidR="000A0B20" w:rsidRPr="000A0B20" w:rsidRDefault="000A0B20" w:rsidP="002238E7">
      <w:pPr>
        <w:pStyle w:val="ListParagraph"/>
        <w:spacing w:line="360" w:lineRule="auto"/>
        <w:contextualSpacing/>
        <w:rPr>
          <w:rFonts w:ascii="Arial" w:hAnsi="Arial"/>
          <w:i/>
        </w:rPr>
      </w:pPr>
    </w:p>
    <w:p w14:paraId="38E90E5D" w14:textId="338CDE1F" w:rsidR="000A0B20" w:rsidRPr="000A0B20" w:rsidRDefault="000A0B20"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 xml:space="preserve">Section 22 of the Companies Act, read as a whole, ordains that </w:t>
      </w:r>
      <w:r w:rsidR="00B91C22">
        <w:rPr>
          <w:rFonts w:ascii="Arial" w:hAnsi="Arial"/>
        </w:rPr>
        <w:t>‘[a]</w:t>
      </w:r>
      <w:r w:rsidR="00B91C22" w:rsidRPr="00B91C22">
        <w:rPr>
          <w:rFonts w:ascii="Arial" w:hAnsi="Arial"/>
          <w:lang w:val="en-ZA"/>
        </w:rPr>
        <w:t xml:space="preserve"> company must not carry on its business recklessly, with gross negligence, with intent to defraud any person or for any fraudulent purpose</w:t>
      </w:r>
      <w:r w:rsidR="00B91C22">
        <w:rPr>
          <w:rFonts w:ascii="Arial" w:hAnsi="Arial"/>
          <w:lang w:val="en-ZA"/>
        </w:rPr>
        <w:t>’</w:t>
      </w:r>
      <w:r w:rsidR="004E4477">
        <w:rPr>
          <w:rFonts w:ascii="Arial" w:hAnsi="Arial"/>
          <w:lang w:val="en-ZA"/>
        </w:rPr>
        <w:t>,</w:t>
      </w:r>
      <w:r>
        <w:rPr>
          <w:rFonts w:ascii="Arial" w:hAnsi="Arial"/>
        </w:rPr>
        <w:t xml:space="preserve"> and if the Commission has reasonable grounds to believe a company is engaging in such conduct, it will take the steps prescribed in subsections (2) and (3) of section 22. </w:t>
      </w:r>
    </w:p>
    <w:p w14:paraId="5FD8D655" w14:textId="77777777" w:rsidR="000A0B20" w:rsidRPr="000A0B20" w:rsidRDefault="000A0B20" w:rsidP="002238E7">
      <w:pPr>
        <w:pStyle w:val="ListParagraph"/>
        <w:spacing w:line="360" w:lineRule="auto"/>
        <w:contextualSpacing/>
        <w:rPr>
          <w:rFonts w:ascii="Arial" w:hAnsi="Arial"/>
          <w:i/>
        </w:rPr>
      </w:pPr>
    </w:p>
    <w:p w14:paraId="1CA35ED6" w14:textId="4EB4C434" w:rsidR="000A0B20" w:rsidRPr="00BE6411" w:rsidRDefault="000A0B20"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 xml:space="preserve">Section 22 contains no express </w:t>
      </w:r>
      <w:r w:rsidR="0048546C">
        <w:rPr>
          <w:rFonts w:ascii="Arial" w:hAnsi="Arial"/>
        </w:rPr>
        <w:t xml:space="preserve">provision </w:t>
      </w:r>
      <w:r>
        <w:rPr>
          <w:rFonts w:ascii="Arial" w:hAnsi="Arial"/>
        </w:rPr>
        <w:t>that a director will be held liable for acting in the manner described in subsection (1). A remedy</w:t>
      </w:r>
      <w:r w:rsidR="0048546C">
        <w:rPr>
          <w:rFonts w:ascii="Arial" w:hAnsi="Arial"/>
        </w:rPr>
        <w:t xml:space="preserve"> </w:t>
      </w:r>
      <w:r w:rsidR="009761A7">
        <w:rPr>
          <w:rFonts w:ascii="Arial" w:hAnsi="Arial"/>
        </w:rPr>
        <w:t>for</w:t>
      </w:r>
      <w:r w:rsidR="00DF0C84">
        <w:rPr>
          <w:rFonts w:ascii="Arial" w:hAnsi="Arial"/>
        </w:rPr>
        <w:t xml:space="preserve"> </w:t>
      </w:r>
      <w:r>
        <w:rPr>
          <w:rFonts w:ascii="Arial" w:hAnsi="Arial"/>
        </w:rPr>
        <w:t xml:space="preserve">holding a director liable for </w:t>
      </w:r>
      <w:r w:rsidR="0048546C">
        <w:rPr>
          <w:rFonts w:ascii="Arial" w:hAnsi="Arial"/>
        </w:rPr>
        <w:t xml:space="preserve">a </w:t>
      </w:r>
      <w:r>
        <w:rPr>
          <w:rFonts w:ascii="Arial" w:hAnsi="Arial"/>
        </w:rPr>
        <w:t>loss</w:t>
      </w:r>
      <w:r w:rsidR="0048546C">
        <w:rPr>
          <w:rFonts w:ascii="Arial" w:hAnsi="Arial"/>
        </w:rPr>
        <w:t xml:space="preserve"> sustained</w:t>
      </w:r>
      <w:r>
        <w:rPr>
          <w:rFonts w:ascii="Arial" w:hAnsi="Arial"/>
        </w:rPr>
        <w:t xml:space="preserve"> for acquiescing in the carrying on of the company’s business in a manner as set out in section 22(1) is available in terms of section 77(3)</w:t>
      </w:r>
      <w:r w:rsidRPr="00F670C8">
        <w:rPr>
          <w:rFonts w:ascii="Arial" w:hAnsi="Arial"/>
          <w:i/>
        </w:rPr>
        <w:t>(b)</w:t>
      </w:r>
      <w:r>
        <w:rPr>
          <w:rFonts w:ascii="Arial" w:hAnsi="Arial"/>
        </w:rPr>
        <w:t xml:space="preserve"> but, as mentioned before, this remedy is not available to creditors – </w:t>
      </w:r>
      <w:r w:rsidR="00B91C22">
        <w:rPr>
          <w:rFonts w:ascii="Arial" w:hAnsi="Arial"/>
        </w:rPr>
        <w:t xml:space="preserve">it is </w:t>
      </w:r>
      <w:r>
        <w:rPr>
          <w:rFonts w:ascii="Arial" w:hAnsi="Arial"/>
        </w:rPr>
        <w:t xml:space="preserve">only </w:t>
      </w:r>
      <w:r w:rsidR="00B91C22">
        <w:rPr>
          <w:rFonts w:ascii="Arial" w:hAnsi="Arial"/>
        </w:rPr>
        <w:t xml:space="preserve">available </w:t>
      </w:r>
      <w:r w:rsidR="00BE6411">
        <w:rPr>
          <w:rFonts w:ascii="Arial" w:hAnsi="Arial"/>
        </w:rPr>
        <w:t>to the company itself.</w:t>
      </w:r>
    </w:p>
    <w:p w14:paraId="4279F70F" w14:textId="77777777" w:rsidR="00BE6411" w:rsidRPr="00BE6411" w:rsidRDefault="00BE6411" w:rsidP="002238E7">
      <w:pPr>
        <w:pStyle w:val="ListParagraph"/>
        <w:spacing w:line="360" w:lineRule="auto"/>
        <w:contextualSpacing/>
        <w:rPr>
          <w:rFonts w:ascii="Arial" w:hAnsi="Arial"/>
          <w:i/>
        </w:rPr>
      </w:pPr>
    </w:p>
    <w:p w14:paraId="5C07C095" w14:textId="5342C3EC" w:rsidR="00BE6411" w:rsidRPr="00613BCD" w:rsidRDefault="00BE6411"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 xml:space="preserve">As mentioned above, section 214 of the Companies Act sets out certain actions by a person which would make that person guilty of an offence – one of them being if </w:t>
      </w:r>
      <w:r>
        <w:rPr>
          <w:rFonts w:ascii="Arial" w:hAnsi="Arial"/>
        </w:rPr>
        <w:lastRenderedPageBreak/>
        <w:t>the person is knowingly a party to an act calculated to defraud a creditor. Section 24(1)</w:t>
      </w:r>
      <w:r w:rsidRPr="00F670C8">
        <w:rPr>
          <w:rFonts w:ascii="Arial" w:hAnsi="Arial"/>
          <w:i/>
        </w:rPr>
        <w:t>(c)</w:t>
      </w:r>
      <w:r>
        <w:rPr>
          <w:rFonts w:ascii="Arial" w:hAnsi="Arial"/>
        </w:rPr>
        <w:t xml:space="preserve"> previously made reference to conduct prohibited by section 22(1), which reference was removed by the legislator as long ago as 1 May 2011</w:t>
      </w:r>
      <w:r w:rsidR="00B91C22">
        <w:rPr>
          <w:rFonts w:ascii="Arial" w:hAnsi="Arial"/>
        </w:rPr>
        <w:t xml:space="preserve"> already</w:t>
      </w:r>
      <w:r>
        <w:rPr>
          <w:rFonts w:ascii="Arial" w:hAnsi="Arial"/>
        </w:rPr>
        <w:t xml:space="preserve">, </w:t>
      </w:r>
      <w:r w:rsidR="00613BCD">
        <w:rPr>
          <w:rFonts w:ascii="Arial" w:hAnsi="Arial"/>
        </w:rPr>
        <w:t xml:space="preserve">the same day the Companies Act itself came into operation. </w:t>
      </w:r>
    </w:p>
    <w:p w14:paraId="3073EE92" w14:textId="77777777" w:rsidR="00613BCD" w:rsidRPr="00613BCD" w:rsidRDefault="00613BCD" w:rsidP="002238E7">
      <w:pPr>
        <w:pStyle w:val="ListParagraph"/>
        <w:spacing w:line="360" w:lineRule="auto"/>
        <w:contextualSpacing/>
        <w:rPr>
          <w:rFonts w:ascii="Arial" w:hAnsi="Arial"/>
          <w:i/>
        </w:rPr>
      </w:pPr>
    </w:p>
    <w:p w14:paraId="6A9413BB" w14:textId="63E517C5" w:rsidR="00613BCD" w:rsidRPr="0013185C" w:rsidRDefault="00613BCD"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 xml:space="preserve">In </w:t>
      </w:r>
      <w:r>
        <w:rPr>
          <w:rFonts w:ascii="Arial" w:hAnsi="Arial"/>
          <w:i/>
        </w:rPr>
        <w:t xml:space="preserve">Rabinowitz, </w:t>
      </w:r>
      <w:r>
        <w:rPr>
          <w:rFonts w:ascii="Arial" w:hAnsi="Arial"/>
        </w:rPr>
        <w:t>the court clearly considered section 22(1)</w:t>
      </w:r>
      <w:r w:rsidRPr="00F670C8">
        <w:rPr>
          <w:rFonts w:ascii="Arial" w:hAnsi="Arial"/>
          <w:i/>
        </w:rPr>
        <w:t>(c)</w:t>
      </w:r>
      <w:r>
        <w:rPr>
          <w:rFonts w:ascii="Arial" w:hAnsi="Arial"/>
        </w:rPr>
        <w:t xml:space="preserve"> in its original form and referred to this pertinently in para 13</w:t>
      </w:r>
      <w:r w:rsidR="004B1FD2">
        <w:rPr>
          <w:rFonts w:ascii="Arial" w:hAnsi="Arial"/>
        </w:rPr>
        <w:t>,</w:t>
      </w:r>
      <w:r>
        <w:rPr>
          <w:rFonts w:ascii="Arial" w:hAnsi="Arial"/>
        </w:rPr>
        <w:t xml:space="preserve"> and then proceeded in para 17 to agree with the submission that if the director is guilty of the offence created in section 214, such director must be found to have contravened sectio</w:t>
      </w:r>
      <w:r w:rsidR="00DF0C84">
        <w:rPr>
          <w:rFonts w:ascii="Arial" w:hAnsi="Arial"/>
        </w:rPr>
        <w:t>n 218(2). The court then relied</w:t>
      </w:r>
      <w:r>
        <w:rPr>
          <w:rFonts w:ascii="Arial" w:hAnsi="Arial"/>
        </w:rPr>
        <w:t xml:space="preserve"> on </w:t>
      </w:r>
      <w:r>
        <w:rPr>
          <w:rFonts w:ascii="Arial" w:hAnsi="Arial"/>
          <w:i/>
        </w:rPr>
        <w:t>Contemporary Company Law</w:t>
      </w:r>
      <w:r w:rsidRPr="00F670C8">
        <w:rPr>
          <w:rFonts w:ascii="Arial" w:hAnsi="Arial"/>
        </w:rPr>
        <w:t>,</w:t>
      </w:r>
      <w:r w:rsidR="00EA13B7" w:rsidRPr="00F670C8">
        <w:rPr>
          <w:rStyle w:val="FootnoteReference"/>
          <w:rFonts w:ascii="Arial" w:hAnsi="Arial"/>
        </w:rPr>
        <w:footnoteReference w:id="38"/>
      </w:r>
      <w:r>
        <w:rPr>
          <w:rFonts w:ascii="Arial" w:hAnsi="Arial"/>
          <w:i/>
        </w:rPr>
        <w:t xml:space="preserve"> </w:t>
      </w:r>
      <w:r>
        <w:rPr>
          <w:rFonts w:ascii="Arial" w:hAnsi="Arial"/>
        </w:rPr>
        <w:t xml:space="preserve">as authority that directors are personally liable to creditors if section 22(1) is breached. The remark by the author </w:t>
      </w:r>
      <w:r w:rsidR="009761A7">
        <w:rPr>
          <w:rFonts w:ascii="Arial" w:hAnsi="Arial"/>
        </w:rPr>
        <w:t xml:space="preserve">of </w:t>
      </w:r>
      <w:r w:rsidR="009761A7">
        <w:rPr>
          <w:rFonts w:ascii="Arial" w:hAnsi="Arial"/>
          <w:i/>
        </w:rPr>
        <w:t xml:space="preserve">Contemporary Company Law </w:t>
      </w:r>
      <w:r>
        <w:rPr>
          <w:rFonts w:ascii="Arial" w:hAnsi="Arial"/>
        </w:rPr>
        <w:t>is made in the context of section 218(2) but after having discussed the amendment to section 21</w:t>
      </w:r>
      <w:r w:rsidR="0013185C">
        <w:rPr>
          <w:rFonts w:ascii="Arial" w:hAnsi="Arial"/>
        </w:rPr>
        <w:t>4(1)</w:t>
      </w:r>
      <w:r w:rsidR="0013185C" w:rsidRPr="00F670C8">
        <w:rPr>
          <w:rFonts w:ascii="Arial" w:hAnsi="Arial"/>
          <w:i/>
        </w:rPr>
        <w:t>(c)</w:t>
      </w:r>
      <w:r w:rsidR="0013185C">
        <w:rPr>
          <w:rFonts w:ascii="Arial" w:hAnsi="Arial"/>
        </w:rPr>
        <w:t xml:space="preserve"> where the legislator removed the reference to section 22(1). The statement </w:t>
      </w:r>
      <w:r w:rsidR="0013185C" w:rsidRPr="002A1175">
        <w:rPr>
          <w:rFonts w:ascii="Arial" w:hAnsi="Arial"/>
        </w:rPr>
        <w:t xml:space="preserve">made </w:t>
      </w:r>
      <w:r w:rsidR="0013185C" w:rsidRPr="00F670C8">
        <w:rPr>
          <w:rFonts w:ascii="Arial" w:hAnsi="Arial"/>
        </w:rPr>
        <w:t xml:space="preserve">that </w:t>
      </w:r>
      <w:r w:rsidR="009761A7">
        <w:rPr>
          <w:rFonts w:ascii="Arial" w:hAnsi="Arial"/>
        </w:rPr>
        <w:t>‘[</w:t>
      </w:r>
      <w:r w:rsidR="0013185C" w:rsidRPr="00F670C8">
        <w:rPr>
          <w:rFonts w:ascii="Arial" w:hAnsi="Arial"/>
        </w:rPr>
        <w:t>c</w:t>
      </w:r>
      <w:r w:rsidR="009761A7">
        <w:rPr>
          <w:rFonts w:ascii="Arial" w:hAnsi="Arial"/>
        </w:rPr>
        <w:t>]</w:t>
      </w:r>
      <w:r w:rsidR="0013185C" w:rsidRPr="00F670C8">
        <w:rPr>
          <w:rFonts w:ascii="Arial" w:hAnsi="Arial"/>
        </w:rPr>
        <w:t>reditors, in particular, will be entitled to redress from the company or its directors for fraudulent or reckless trading</w:t>
      </w:r>
      <w:r w:rsidR="00B25013" w:rsidRPr="002A1175">
        <w:rPr>
          <w:rFonts w:ascii="Arial" w:hAnsi="Arial"/>
        </w:rPr>
        <w:t>’</w:t>
      </w:r>
      <w:r w:rsidR="009761A7">
        <w:rPr>
          <w:rStyle w:val="FootnoteReference"/>
          <w:rFonts w:ascii="Arial" w:hAnsi="Arial"/>
        </w:rPr>
        <w:footnoteReference w:id="39"/>
      </w:r>
      <w:r w:rsidR="0013185C">
        <w:rPr>
          <w:rFonts w:ascii="Arial" w:hAnsi="Arial"/>
        </w:rPr>
        <w:t xml:space="preserve"> is done with no reference to </w:t>
      </w:r>
      <w:r w:rsidR="004B1FD2">
        <w:rPr>
          <w:rFonts w:ascii="Arial" w:hAnsi="Arial"/>
        </w:rPr>
        <w:t xml:space="preserve">any </w:t>
      </w:r>
      <w:r w:rsidR="0013185C">
        <w:rPr>
          <w:rFonts w:ascii="Arial" w:hAnsi="Arial"/>
        </w:rPr>
        <w:t xml:space="preserve">authorities or any in-depth analysis or discussion. </w:t>
      </w:r>
    </w:p>
    <w:p w14:paraId="4DC5CBB8" w14:textId="77777777" w:rsidR="0013185C" w:rsidRPr="0013185C" w:rsidRDefault="0013185C" w:rsidP="002238E7">
      <w:pPr>
        <w:pStyle w:val="ListParagraph"/>
        <w:spacing w:line="360" w:lineRule="auto"/>
        <w:contextualSpacing/>
        <w:rPr>
          <w:rFonts w:ascii="Arial" w:hAnsi="Arial"/>
          <w:i/>
        </w:rPr>
      </w:pPr>
    </w:p>
    <w:p w14:paraId="512BECF1" w14:textId="00DED224" w:rsidR="002A1175" w:rsidRPr="002A1175" w:rsidRDefault="0013185C"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 xml:space="preserve">The court </w:t>
      </w:r>
      <w:r w:rsidR="00DF0C84">
        <w:rPr>
          <w:rFonts w:ascii="Arial" w:hAnsi="Arial"/>
        </w:rPr>
        <w:t xml:space="preserve">in </w:t>
      </w:r>
      <w:r w:rsidR="00DF0C84" w:rsidRPr="00F670C8">
        <w:rPr>
          <w:rFonts w:ascii="Arial" w:hAnsi="Arial"/>
          <w:i/>
        </w:rPr>
        <w:t>Rabinowitz</w:t>
      </w:r>
      <w:r w:rsidR="00DF0C84">
        <w:rPr>
          <w:rFonts w:ascii="Arial" w:hAnsi="Arial"/>
        </w:rPr>
        <w:t xml:space="preserve"> </w:t>
      </w:r>
      <w:r>
        <w:rPr>
          <w:rFonts w:ascii="Arial" w:hAnsi="Arial"/>
        </w:rPr>
        <w:t>also relied on submissions made regarding the declaration of a director as delinquent in terms of section 162(5)</w:t>
      </w:r>
      <w:r w:rsidR="00F554FB" w:rsidRPr="00F670C8">
        <w:rPr>
          <w:rFonts w:ascii="Arial" w:hAnsi="Arial"/>
          <w:i/>
        </w:rPr>
        <w:t>(c)</w:t>
      </w:r>
      <w:r>
        <w:rPr>
          <w:rFonts w:ascii="Arial" w:hAnsi="Arial"/>
        </w:rPr>
        <w:t>(iv)</w:t>
      </w:r>
      <w:r w:rsidRPr="00F670C8">
        <w:rPr>
          <w:rFonts w:ascii="Arial" w:hAnsi="Arial"/>
          <w:i/>
        </w:rPr>
        <w:t>(bb)</w:t>
      </w:r>
      <w:r>
        <w:rPr>
          <w:rFonts w:ascii="Arial" w:hAnsi="Arial"/>
        </w:rPr>
        <w:t xml:space="preserve"> if he or she acted in a manner contemplated in section 77(3)</w:t>
      </w:r>
      <w:r w:rsidRPr="00F670C8">
        <w:rPr>
          <w:rFonts w:ascii="Arial" w:hAnsi="Arial"/>
          <w:i/>
        </w:rPr>
        <w:t>(a)</w:t>
      </w:r>
      <w:r w:rsidR="00D0471D">
        <w:rPr>
          <w:rFonts w:ascii="Arial" w:hAnsi="Arial"/>
        </w:rPr>
        <w:t xml:space="preserve">, </w:t>
      </w:r>
      <w:r w:rsidRPr="00F670C8">
        <w:rPr>
          <w:rFonts w:ascii="Arial" w:hAnsi="Arial"/>
          <w:i/>
        </w:rPr>
        <w:t>(b)</w:t>
      </w:r>
      <w:r>
        <w:rPr>
          <w:rFonts w:ascii="Arial" w:hAnsi="Arial"/>
        </w:rPr>
        <w:t xml:space="preserve"> or </w:t>
      </w:r>
      <w:r w:rsidRPr="00F670C8">
        <w:rPr>
          <w:rFonts w:ascii="Arial" w:hAnsi="Arial"/>
          <w:i/>
        </w:rPr>
        <w:t>(c)</w:t>
      </w:r>
      <w:r w:rsidR="008A60ED">
        <w:rPr>
          <w:rFonts w:ascii="Arial" w:hAnsi="Arial"/>
        </w:rPr>
        <w:t xml:space="preserve">. The court found that </w:t>
      </w:r>
    </w:p>
    <w:p w14:paraId="0DAC7B51" w14:textId="77777777" w:rsidR="002A1175" w:rsidRDefault="002A1175" w:rsidP="002A1175">
      <w:pPr>
        <w:pStyle w:val="ListParagraph"/>
        <w:spacing w:line="360" w:lineRule="auto"/>
        <w:ind w:left="0" w:firstLine="0"/>
        <w:contextualSpacing/>
        <w:mirrorIndents/>
        <w:jc w:val="both"/>
        <w:rPr>
          <w:rFonts w:ascii="Arial" w:hAnsi="Arial"/>
        </w:rPr>
      </w:pPr>
      <w:r>
        <w:rPr>
          <w:rFonts w:ascii="Arial" w:hAnsi="Arial"/>
        </w:rPr>
        <w:t>‘</w:t>
      </w:r>
      <w:r w:rsidRPr="002A1175">
        <w:rPr>
          <w:rFonts w:ascii="Arial" w:hAnsi="Arial"/>
          <w:sz w:val="22"/>
          <w:szCs w:val="22"/>
          <w:lang w:val="en-US"/>
        </w:rPr>
        <w:t>it is hard to conceive of any basis upon which the legislature intended to prevent a company from acting in the manner provided for in s 22, but did not intend to prevent the directors responsible for the management of the company from acting in that manner</w:t>
      </w:r>
      <w:r>
        <w:rPr>
          <w:rFonts w:ascii="Arial" w:hAnsi="Arial"/>
          <w:sz w:val="22"/>
          <w:szCs w:val="22"/>
          <w:lang w:val="en-US"/>
        </w:rPr>
        <w:t>’</w:t>
      </w:r>
      <w:r w:rsidR="008A60ED">
        <w:rPr>
          <w:rFonts w:ascii="Arial" w:hAnsi="Arial"/>
        </w:rPr>
        <w:t>.</w:t>
      </w:r>
      <w:r>
        <w:rPr>
          <w:rStyle w:val="FootnoteReference"/>
          <w:rFonts w:ascii="Arial" w:hAnsi="Arial"/>
        </w:rPr>
        <w:footnoteReference w:id="40"/>
      </w:r>
      <w:r w:rsidR="008A60ED">
        <w:rPr>
          <w:rFonts w:ascii="Arial" w:hAnsi="Arial"/>
        </w:rPr>
        <w:t xml:space="preserve"> </w:t>
      </w:r>
    </w:p>
    <w:p w14:paraId="38252311" w14:textId="7F306F4A" w:rsidR="008A60ED" w:rsidRPr="008A60ED" w:rsidRDefault="008A60ED" w:rsidP="002A1175">
      <w:pPr>
        <w:pStyle w:val="ListParagraph"/>
        <w:spacing w:line="360" w:lineRule="auto"/>
        <w:ind w:left="0" w:firstLine="0"/>
        <w:contextualSpacing/>
        <w:mirrorIndents/>
        <w:jc w:val="both"/>
        <w:rPr>
          <w:rFonts w:ascii="Arial" w:hAnsi="Arial"/>
          <w:i/>
        </w:rPr>
      </w:pPr>
      <w:r>
        <w:rPr>
          <w:rFonts w:ascii="Arial" w:hAnsi="Arial"/>
        </w:rPr>
        <w:t>The court then simply proceed</w:t>
      </w:r>
      <w:r w:rsidR="002A1175">
        <w:rPr>
          <w:rFonts w:ascii="Arial" w:hAnsi="Arial"/>
        </w:rPr>
        <w:t>ed</w:t>
      </w:r>
      <w:r>
        <w:rPr>
          <w:rFonts w:ascii="Arial" w:hAnsi="Arial"/>
        </w:rPr>
        <w:t xml:space="preserve"> to find that </w:t>
      </w:r>
      <w:r w:rsidR="002A1175">
        <w:rPr>
          <w:rFonts w:ascii="Arial" w:hAnsi="Arial"/>
        </w:rPr>
        <w:t>‘</w:t>
      </w:r>
      <w:r w:rsidR="002A1175" w:rsidRPr="002A1175">
        <w:rPr>
          <w:rFonts w:ascii="Arial" w:hAnsi="Arial"/>
          <w:lang w:val="en-US"/>
        </w:rPr>
        <w:t>a third party can hold a director personally liable in terms of the Act for acquiescing in or knowing about conduct that falls within the ambit of s 22(1) thereof</w:t>
      </w:r>
      <w:r w:rsidR="002A1175">
        <w:rPr>
          <w:rFonts w:ascii="Arial" w:hAnsi="Arial"/>
          <w:lang w:val="en-US"/>
        </w:rPr>
        <w:t>’</w:t>
      </w:r>
      <w:r>
        <w:rPr>
          <w:rFonts w:ascii="Arial" w:hAnsi="Arial"/>
        </w:rPr>
        <w:t>.</w:t>
      </w:r>
      <w:r w:rsidR="002A1175">
        <w:rPr>
          <w:rStyle w:val="FootnoteReference"/>
          <w:rFonts w:ascii="Arial" w:hAnsi="Arial"/>
        </w:rPr>
        <w:footnoteReference w:id="41"/>
      </w:r>
      <w:r>
        <w:rPr>
          <w:rFonts w:ascii="Arial" w:hAnsi="Arial"/>
        </w:rPr>
        <w:t xml:space="preserve"> </w:t>
      </w:r>
    </w:p>
    <w:p w14:paraId="03BF191F" w14:textId="77777777" w:rsidR="008A60ED" w:rsidRPr="008A60ED" w:rsidRDefault="008A60ED" w:rsidP="002238E7">
      <w:pPr>
        <w:pStyle w:val="ListParagraph"/>
        <w:spacing w:line="360" w:lineRule="auto"/>
        <w:contextualSpacing/>
        <w:rPr>
          <w:rFonts w:ascii="Arial" w:hAnsi="Arial"/>
        </w:rPr>
      </w:pPr>
    </w:p>
    <w:p w14:paraId="55337AD9" w14:textId="002A5D47" w:rsidR="0013185C" w:rsidRPr="008A60ED" w:rsidRDefault="008A60ED"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 xml:space="preserve">I respectfully disagree with this finding and am of the view that the court failed to consider the fact that if the legislator had wanted to make a director criminally liable for being a party to conduct prohibited by section 22(1), it would not have amended </w:t>
      </w:r>
      <w:r>
        <w:rPr>
          <w:rFonts w:ascii="Arial" w:hAnsi="Arial"/>
        </w:rPr>
        <w:lastRenderedPageBreak/>
        <w:t xml:space="preserve">the </w:t>
      </w:r>
      <w:r w:rsidR="00DC5178">
        <w:rPr>
          <w:rFonts w:ascii="Arial" w:hAnsi="Arial"/>
        </w:rPr>
        <w:t xml:space="preserve">Companies </w:t>
      </w:r>
      <w:r>
        <w:rPr>
          <w:rFonts w:ascii="Arial" w:hAnsi="Arial"/>
        </w:rPr>
        <w:t>Act by removing the reference to section 22(1)</w:t>
      </w:r>
      <w:r w:rsidR="000701A8">
        <w:rPr>
          <w:rFonts w:ascii="Arial" w:hAnsi="Arial"/>
        </w:rPr>
        <w:t xml:space="preserve"> in section 214(1)</w:t>
      </w:r>
      <w:r w:rsidR="000701A8">
        <w:rPr>
          <w:rFonts w:ascii="Arial" w:hAnsi="Arial"/>
          <w:i/>
        </w:rPr>
        <w:t>(c)</w:t>
      </w:r>
      <w:r>
        <w:rPr>
          <w:rFonts w:ascii="Arial" w:hAnsi="Arial"/>
        </w:rPr>
        <w:t>. More importantly</w:t>
      </w:r>
      <w:r w:rsidR="002B2BC5">
        <w:rPr>
          <w:rFonts w:ascii="Arial" w:hAnsi="Arial"/>
        </w:rPr>
        <w:t>,</w:t>
      </w:r>
      <w:r>
        <w:rPr>
          <w:rFonts w:ascii="Arial" w:hAnsi="Arial"/>
        </w:rPr>
        <w:t xml:space="preserve"> if the legislator intended to hold a director liable to a third party for acquiescing in the carrying on of the company’s business as prohibited by section 22(1) or in any other respects for that matter, it would have said so expressly as it has done in section 424 of the 1973 </w:t>
      </w:r>
      <w:r w:rsidR="002B2BC5">
        <w:rPr>
          <w:rFonts w:ascii="Arial" w:hAnsi="Arial"/>
        </w:rPr>
        <w:t xml:space="preserve">Companies </w:t>
      </w:r>
      <w:r>
        <w:rPr>
          <w:rFonts w:ascii="Arial" w:hAnsi="Arial"/>
        </w:rPr>
        <w:t>Act</w:t>
      </w:r>
      <w:r w:rsidR="002B2BC5">
        <w:rPr>
          <w:rFonts w:ascii="Arial" w:hAnsi="Arial"/>
        </w:rPr>
        <w:t>,</w:t>
      </w:r>
      <w:r>
        <w:rPr>
          <w:rFonts w:ascii="Arial" w:hAnsi="Arial"/>
        </w:rPr>
        <w:t xml:space="preserve"> and section 19(3) of the Companies Act. The express provisions in section 64(1) of the Close Corporations Act also </w:t>
      </w:r>
      <w:r w:rsidR="00436541">
        <w:rPr>
          <w:rFonts w:ascii="Arial" w:hAnsi="Arial"/>
        </w:rPr>
        <w:t xml:space="preserve">comes </w:t>
      </w:r>
      <w:r>
        <w:rPr>
          <w:rFonts w:ascii="Arial" w:hAnsi="Arial"/>
        </w:rPr>
        <w:t xml:space="preserve">to mind in this regard. </w:t>
      </w:r>
    </w:p>
    <w:p w14:paraId="32FCC6B3" w14:textId="77777777" w:rsidR="008A60ED" w:rsidRPr="008A60ED" w:rsidRDefault="008A60ED" w:rsidP="002238E7">
      <w:pPr>
        <w:pStyle w:val="ListParagraph"/>
        <w:spacing w:line="360" w:lineRule="auto"/>
        <w:contextualSpacing/>
        <w:rPr>
          <w:rFonts w:ascii="Arial" w:hAnsi="Arial"/>
          <w:i/>
        </w:rPr>
      </w:pPr>
    </w:p>
    <w:p w14:paraId="265FA223" w14:textId="74492151" w:rsidR="008A60ED" w:rsidRPr="00A2138A" w:rsidRDefault="008A60ED"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i/>
        </w:rPr>
        <w:t xml:space="preserve">Rabinowitz </w:t>
      </w:r>
      <w:r>
        <w:rPr>
          <w:rFonts w:ascii="Arial" w:hAnsi="Arial"/>
        </w:rPr>
        <w:t>set in motion a number of decisions, accepting it as correct that a creditor can hold a director personally liable in terms of section 22(1). In each case liability is found by relying</w:t>
      </w:r>
      <w:r w:rsidR="00436541">
        <w:rPr>
          <w:rFonts w:ascii="Arial" w:hAnsi="Arial"/>
        </w:rPr>
        <w:t>,</w:t>
      </w:r>
      <w:r>
        <w:rPr>
          <w:rFonts w:ascii="Arial" w:hAnsi="Arial"/>
        </w:rPr>
        <w:t xml:space="preserve"> in a convoluted manner</w:t>
      </w:r>
      <w:r w:rsidR="00436541">
        <w:rPr>
          <w:rFonts w:ascii="Arial" w:hAnsi="Arial"/>
        </w:rPr>
        <w:t>,</w:t>
      </w:r>
      <w:r>
        <w:rPr>
          <w:rFonts w:ascii="Arial" w:hAnsi="Arial"/>
        </w:rPr>
        <w:t xml:space="preserve"> on sections </w:t>
      </w:r>
      <w:r w:rsidR="00436541">
        <w:rPr>
          <w:rFonts w:ascii="Arial" w:hAnsi="Arial"/>
        </w:rPr>
        <w:t xml:space="preserve">22(1), </w:t>
      </w:r>
      <w:r>
        <w:rPr>
          <w:rFonts w:ascii="Arial" w:hAnsi="Arial"/>
        </w:rPr>
        <w:t>218(</w:t>
      </w:r>
      <w:r w:rsidR="00402BCD">
        <w:rPr>
          <w:rFonts w:ascii="Arial" w:hAnsi="Arial"/>
        </w:rPr>
        <w:t>2), and 214(1)</w:t>
      </w:r>
      <w:r w:rsidR="00402BCD" w:rsidRPr="00F670C8">
        <w:rPr>
          <w:rFonts w:ascii="Arial" w:hAnsi="Arial"/>
          <w:i/>
        </w:rPr>
        <w:t>(c)</w:t>
      </w:r>
      <w:r w:rsidR="00402BCD">
        <w:rPr>
          <w:rFonts w:ascii="Arial" w:hAnsi="Arial"/>
        </w:rPr>
        <w:t xml:space="preserve"> (in its original form)</w:t>
      </w:r>
      <w:r w:rsidR="00430CE7">
        <w:rPr>
          <w:rFonts w:ascii="Arial" w:hAnsi="Arial"/>
        </w:rPr>
        <w:t>,</w:t>
      </w:r>
      <w:r w:rsidR="00402BCD">
        <w:rPr>
          <w:rFonts w:ascii="Arial" w:hAnsi="Arial"/>
        </w:rPr>
        <w:t xml:space="preserve"> and </w:t>
      </w:r>
      <w:r w:rsidR="00DF0C84">
        <w:rPr>
          <w:rFonts w:ascii="Arial" w:hAnsi="Arial"/>
        </w:rPr>
        <w:t>in most cases also with reference to</w:t>
      </w:r>
      <w:r w:rsidR="004C368A">
        <w:rPr>
          <w:rFonts w:ascii="Arial" w:hAnsi="Arial"/>
        </w:rPr>
        <w:t xml:space="preserve"> </w:t>
      </w:r>
      <w:r w:rsidR="00402BCD">
        <w:rPr>
          <w:rFonts w:ascii="Arial" w:hAnsi="Arial"/>
        </w:rPr>
        <w:t xml:space="preserve">section 77(3) of the Companies Act. </w:t>
      </w:r>
    </w:p>
    <w:p w14:paraId="3DDBDBC7" w14:textId="77777777" w:rsidR="00A2138A" w:rsidRPr="00A2138A" w:rsidRDefault="00A2138A" w:rsidP="002238E7">
      <w:pPr>
        <w:pStyle w:val="ListParagraph"/>
        <w:spacing w:line="360" w:lineRule="auto"/>
        <w:contextualSpacing/>
        <w:rPr>
          <w:rFonts w:ascii="Arial" w:hAnsi="Arial"/>
          <w:i/>
        </w:rPr>
      </w:pPr>
    </w:p>
    <w:p w14:paraId="368B2A93" w14:textId="1679EE43" w:rsidR="00A2138A" w:rsidRPr="00A63004" w:rsidRDefault="00A2138A"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 xml:space="preserve">The court in </w:t>
      </w:r>
      <w:r>
        <w:rPr>
          <w:rFonts w:ascii="Arial" w:hAnsi="Arial"/>
          <w:i/>
        </w:rPr>
        <w:t xml:space="preserve">Chemfit </w:t>
      </w:r>
      <w:r>
        <w:rPr>
          <w:rFonts w:ascii="Arial" w:hAnsi="Arial"/>
        </w:rPr>
        <w:t>relied on versions of section 22(1) and 214(1)</w:t>
      </w:r>
      <w:r w:rsidRPr="00F670C8">
        <w:rPr>
          <w:rFonts w:ascii="Arial" w:hAnsi="Arial"/>
          <w:i/>
        </w:rPr>
        <w:t>(c)</w:t>
      </w:r>
      <w:r>
        <w:rPr>
          <w:rFonts w:ascii="Arial" w:hAnsi="Arial"/>
        </w:rPr>
        <w:t xml:space="preserve"> which had been amended as far back as 1 May 2011. The court found that the provision of section 214(1)</w:t>
      </w:r>
      <w:r w:rsidRPr="00F670C8">
        <w:rPr>
          <w:rFonts w:ascii="Arial" w:hAnsi="Arial"/>
          <w:i/>
        </w:rPr>
        <w:t>(c)</w:t>
      </w:r>
      <w:r>
        <w:rPr>
          <w:rFonts w:ascii="Arial" w:hAnsi="Arial"/>
        </w:rPr>
        <w:t xml:space="preserve"> was </w:t>
      </w:r>
      <w:r w:rsidR="001155E3">
        <w:rPr>
          <w:rFonts w:ascii="Arial" w:hAnsi="Arial"/>
        </w:rPr>
        <w:t>‘</w:t>
      </w:r>
      <w:r w:rsidR="00437611" w:rsidRPr="00F670C8">
        <w:rPr>
          <w:rFonts w:ascii="Arial" w:hAnsi="Arial"/>
        </w:rPr>
        <w:t>of cardinal importance</w:t>
      </w:r>
      <w:r w:rsidR="001155E3">
        <w:rPr>
          <w:rFonts w:ascii="Arial" w:hAnsi="Arial"/>
        </w:rPr>
        <w:t>’,</w:t>
      </w:r>
      <w:r w:rsidR="00CF5963">
        <w:rPr>
          <w:rStyle w:val="FootnoteReference"/>
          <w:rFonts w:ascii="Arial" w:hAnsi="Arial"/>
        </w:rPr>
        <w:footnoteReference w:id="42"/>
      </w:r>
      <w:r w:rsidR="00437611">
        <w:rPr>
          <w:rFonts w:ascii="Arial" w:hAnsi="Arial"/>
        </w:rPr>
        <w:t xml:space="preserve"> but section 214(1)</w:t>
      </w:r>
      <w:r w:rsidR="00437611" w:rsidRPr="00F670C8">
        <w:rPr>
          <w:rFonts w:ascii="Arial" w:hAnsi="Arial"/>
          <w:i/>
        </w:rPr>
        <w:t>(c)</w:t>
      </w:r>
      <w:r w:rsidR="00437611">
        <w:rPr>
          <w:rFonts w:ascii="Arial" w:hAnsi="Arial"/>
        </w:rPr>
        <w:t xml:space="preserve"> was referred to as it was in its original version in terms of which a person was guilty of an offence if he was knowingly a party to conduct prohibited by section 22(1). It was also found </w:t>
      </w:r>
      <w:r w:rsidR="00A63004">
        <w:rPr>
          <w:rFonts w:ascii="Arial" w:hAnsi="Arial"/>
        </w:rPr>
        <w:t xml:space="preserve">that liability in terms of section 218(2) ensues as a result of any contravention and therefore </w:t>
      </w:r>
      <w:r w:rsidR="00A63004" w:rsidRPr="009E5324">
        <w:rPr>
          <w:rFonts w:ascii="Arial" w:hAnsi="Arial"/>
        </w:rPr>
        <w:t xml:space="preserve">that </w:t>
      </w:r>
      <w:r w:rsidR="00CF5963" w:rsidRPr="009E5324">
        <w:rPr>
          <w:rFonts w:ascii="Arial" w:hAnsi="Arial"/>
        </w:rPr>
        <w:t>‘[s]</w:t>
      </w:r>
      <w:r w:rsidR="00CF5963" w:rsidRPr="00F670C8">
        <w:rPr>
          <w:rFonts w:ascii="Arial" w:hAnsi="Arial"/>
          <w:lang w:val="en-ZA"/>
        </w:rPr>
        <w:t>uch liability ensues as a result of any contravention, and therefore such ordinary common law requirements for liability as fault or wrongfulness are dispensed with</w:t>
      </w:r>
      <w:r w:rsidR="00CF5963" w:rsidRPr="009E5324">
        <w:rPr>
          <w:rFonts w:ascii="Arial" w:hAnsi="Arial"/>
        </w:rPr>
        <w:t>’</w:t>
      </w:r>
      <w:r w:rsidR="00A63004" w:rsidRPr="009E5324">
        <w:rPr>
          <w:rFonts w:ascii="Arial" w:hAnsi="Arial"/>
        </w:rPr>
        <w:t>.</w:t>
      </w:r>
      <w:r w:rsidR="00CF5963" w:rsidRPr="009E5324">
        <w:rPr>
          <w:rStyle w:val="FootnoteReference"/>
          <w:rFonts w:ascii="Arial" w:hAnsi="Arial"/>
        </w:rPr>
        <w:footnoteReference w:id="43"/>
      </w:r>
    </w:p>
    <w:p w14:paraId="13ED159C" w14:textId="77777777" w:rsidR="00A63004" w:rsidRPr="00A63004" w:rsidRDefault="00A63004" w:rsidP="002238E7">
      <w:pPr>
        <w:pStyle w:val="ListParagraph"/>
        <w:spacing w:line="360" w:lineRule="auto"/>
        <w:contextualSpacing/>
        <w:rPr>
          <w:rFonts w:ascii="Arial" w:hAnsi="Arial"/>
          <w:i/>
        </w:rPr>
      </w:pPr>
    </w:p>
    <w:p w14:paraId="0962AABC" w14:textId="18487AFB" w:rsidR="00A63004" w:rsidRPr="00311C02" w:rsidRDefault="00A63004"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The court then proceed</w:t>
      </w:r>
      <w:r w:rsidR="00F803F3">
        <w:rPr>
          <w:rFonts w:ascii="Arial" w:hAnsi="Arial"/>
        </w:rPr>
        <w:t>ed</w:t>
      </w:r>
      <w:r>
        <w:rPr>
          <w:rFonts w:ascii="Arial" w:hAnsi="Arial"/>
        </w:rPr>
        <w:t xml:space="preserve"> to find </w:t>
      </w:r>
      <w:r w:rsidR="00F803F3">
        <w:rPr>
          <w:rFonts w:ascii="Arial" w:hAnsi="Arial"/>
        </w:rPr>
        <w:t>‘</w:t>
      </w:r>
      <w:r>
        <w:rPr>
          <w:rFonts w:ascii="Arial" w:hAnsi="Arial"/>
        </w:rPr>
        <w:t>refuge</w:t>
      </w:r>
      <w:r w:rsidR="00F803F3">
        <w:rPr>
          <w:rFonts w:ascii="Arial" w:hAnsi="Arial"/>
        </w:rPr>
        <w:t>’</w:t>
      </w:r>
      <w:r>
        <w:rPr>
          <w:rFonts w:ascii="Arial" w:hAnsi="Arial"/>
        </w:rPr>
        <w:t xml:space="preserve"> in the dictum of </w:t>
      </w:r>
      <w:r w:rsidRPr="00311C02">
        <w:rPr>
          <w:rFonts w:ascii="Arial" w:hAnsi="Arial"/>
        </w:rPr>
        <w:t>Du Plessis AJ</w:t>
      </w:r>
      <w:r w:rsidR="00311C02">
        <w:rPr>
          <w:rFonts w:ascii="Arial" w:hAnsi="Arial"/>
        </w:rPr>
        <w:t xml:space="preserve"> in </w:t>
      </w:r>
      <w:r w:rsidR="00311C02" w:rsidRPr="00311C02">
        <w:rPr>
          <w:rFonts w:ascii="Arial" w:hAnsi="Arial"/>
          <w:i/>
        </w:rPr>
        <w:t>Rabinowitz</w:t>
      </w:r>
      <w:r w:rsidR="00311C02">
        <w:rPr>
          <w:rFonts w:ascii="Arial" w:hAnsi="Arial"/>
        </w:rPr>
        <w:t>,</w:t>
      </w:r>
      <w:r w:rsidR="00F803F3">
        <w:rPr>
          <w:rStyle w:val="FootnoteReference"/>
          <w:rFonts w:ascii="Arial" w:hAnsi="Arial"/>
        </w:rPr>
        <w:footnoteReference w:id="44"/>
      </w:r>
      <w:r w:rsidR="00311C02">
        <w:rPr>
          <w:rFonts w:ascii="Arial" w:hAnsi="Arial"/>
        </w:rPr>
        <w:t xml:space="preserve"> and proceed</w:t>
      </w:r>
      <w:r w:rsidR="000701A8">
        <w:rPr>
          <w:rFonts w:ascii="Arial" w:hAnsi="Arial"/>
        </w:rPr>
        <w:t>ed</w:t>
      </w:r>
      <w:r w:rsidR="00311C02">
        <w:rPr>
          <w:rFonts w:ascii="Arial" w:hAnsi="Arial"/>
        </w:rPr>
        <w:t xml:space="preserve"> to find that </w:t>
      </w:r>
      <w:r w:rsidR="00F803F3">
        <w:rPr>
          <w:rFonts w:ascii="Arial" w:hAnsi="Arial"/>
        </w:rPr>
        <w:t>‘</w:t>
      </w:r>
      <w:r w:rsidR="00F803F3">
        <w:rPr>
          <w:rFonts w:ascii="Arial" w:hAnsi="Arial"/>
          <w:lang w:val="en-ZA"/>
        </w:rPr>
        <w:t>[a]</w:t>
      </w:r>
      <w:r w:rsidR="00F803F3" w:rsidRPr="00F803F3">
        <w:rPr>
          <w:rFonts w:ascii="Arial" w:hAnsi="Arial"/>
          <w:lang w:val="en-ZA"/>
        </w:rPr>
        <w:t xml:space="preserve">ny conduct that contravenes a provision of the Act, catapults any person, including the directors to personal liability </w:t>
      </w:r>
      <w:r w:rsidR="00311C02">
        <w:rPr>
          <w:rFonts w:ascii="Arial" w:hAnsi="Arial"/>
        </w:rPr>
        <w:t>any conduct that contravenes a provision of the Companies Act</w:t>
      </w:r>
      <w:r w:rsidR="00F803F3">
        <w:rPr>
          <w:rFonts w:ascii="Arial" w:hAnsi="Arial"/>
        </w:rPr>
        <w:t>.’</w:t>
      </w:r>
      <w:r w:rsidR="00F803F3">
        <w:rPr>
          <w:rStyle w:val="FootnoteReference"/>
          <w:rFonts w:ascii="Arial" w:hAnsi="Arial"/>
        </w:rPr>
        <w:footnoteReference w:id="45"/>
      </w:r>
    </w:p>
    <w:p w14:paraId="293CB674" w14:textId="77777777" w:rsidR="00311C02" w:rsidRPr="00311C02" w:rsidRDefault="00311C02" w:rsidP="002238E7">
      <w:pPr>
        <w:pStyle w:val="ListParagraph"/>
        <w:spacing w:line="360" w:lineRule="auto"/>
        <w:contextualSpacing/>
        <w:rPr>
          <w:rFonts w:ascii="Arial" w:hAnsi="Arial"/>
          <w:i/>
        </w:rPr>
      </w:pPr>
    </w:p>
    <w:p w14:paraId="193056E9" w14:textId="3B7598FD" w:rsidR="00311C02" w:rsidRDefault="00311C02"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lastRenderedPageBreak/>
        <w:t xml:space="preserve">I respectfully disagree with the court’s findings and conclusions. It is unfortunate that counsel involved did not bring the amendments to the </w:t>
      </w:r>
      <w:r w:rsidR="008C16B0">
        <w:rPr>
          <w:rFonts w:ascii="Arial" w:hAnsi="Arial"/>
        </w:rPr>
        <w:t xml:space="preserve">Companies </w:t>
      </w:r>
      <w:r>
        <w:rPr>
          <w:rFonts w:ascii="Arial" w:hAnsi="Arial"/>
        </w:rPr>
        <w:t>Act to the court’s attention</w:t>
      </w:r>
      <w:r w:rsidR="008C16B0">
        <w:rPr>
          <w:rFonts w:ascii="Arial" w:hAnsi="Arial"/>
        </w:rPr>
        <w:t>,</w:t>
      </w:r>
      <w:r>
        <w:rPr>
          <w:rFonts w:ascii="Arial" w:hAnsi="Arial"/>
        </w:rPr>
        <w:t xml:space="preserve"> as I am of the view that the reliance placed on the particular sections as they were, played a major part in the court reaching the conclusions it did. As far as the findings on appeal by the Full Court in </w:t>
      </w:r>
      <w:r>
        <w:rPr>
          <w:rFonts w:ascii="Arial" w:hAnsi="Arial"/>
          <w:i/>
        </w:rPr>
        <w:t xml:space="preserve">Maake </w:t>
      </w:r>
      <w:r>
        <w:rPr>
          <w:rFonts w:ascii="Arial" w:hAnsi="Arial"/>
        </w:rPr>
        <w:t xml:space="preserve">is concerned, I respectfully disagree. </w:t>
      </w:r>
      <w:r w:rsidR="00F07947">
        <w:rPr>
          <w:rFonts w:ascii="Arial" w:hAnsi="Arial"/>
        </w:rPr>
        <w:t>Although</w:t>
      </w:r>
      <w:r>
        <w:rPr>
          <w:rFonts w:ascii="Arial" w:hAnsi="Arial"/>
        </w:rPr>
        <w:t xml:space="preserve"> it is a judgment </w:t>
      </w:r>
      <w:r w:rsidR="00F07947">
        <w:rPr>
          <w:rFonts w:ascii="Arial" w:hAnsi="Arial"/>
        </w:rPr>
        <w:t>by a Full Court, it was delivered in another geographical division of the High Court. Although such decisions carry persuasive weight, I am not bound to follow them.</w:t>
      </w:r>
      <w:r w:rsidR="008C16B0" w:rsidRPr="00333B9C">
        <w:rPr>
          <w:rStyle w:val="FootnoteReference"/>
          <w:rFonts w:ascii="Arial" w:hAnsi="Arial"/>
        </w:rPr>
        <w:footnoteReference w:id="46"/>
      </w:r>
    </w:p>
    <w:p w14:paraId="6E82E928" w14:textId="77777777" w:rsidR="005F0B78" w:rsidRPr="005F0B78" w:rsidRDefault="005F0B78" w:rsidP="002238E7">
      <w:pPr>
        <w:pStyle w:val="ListParagraph"/>
        <w:spacing w:line="360" w:lineRule="auto"/>
        <w:contextualSpacing/>
        <w:rPr>
          <w:rFonts w:ascii="Arial" w:hAnsi="Arial"/>
          <w:i/>
        </w:rPr>
      </w:pPr>
    </w:p>
    <w:p w14:paraId="2F378C6F" w14:textId="297AF695" w:rsidR="00506DE3" w:rsidRPr="00506DE3" w:rsidRDefault="005F0B78" w:rsidP="002238E7">
      <w:pPr>
        <w:pStyle w:val="ListParagraph"/>
        <w:numPr>
          <w:ilvl w:val="0"/>
          <w:numId w:val="7"/>
        </w:numPr>
        <w:spacing w:line="360" w:lineRule="auto"/>
        <w:ind w:left="0" w:firstLine="0"/>
        <w:contextualSpacing/>
        <w:mirrorIndents/>
        <w:jc w:val="both"/>
        <w:rPr>
          <w:rFonts w:ascii="Arial" w:hAnsi="Arial"/>
          <w:i/>
        </w:rPr>
      </w:pPr>
      <w:r>
        <w:rPr>
          <w:rFonts w:ascii="Arial" w:hAnsi="Arial"/>
        </w:rPr>
        <w:t xml:space="preserve">As far as the remainder of the cases relied upon by the plaintiff </w:t>
      </w:r>
      <w:r w:rsidR="00B213D1">
        <w:rPr>
          <w:rFonts w:ascii="Arial" w:hAnsi="Arial"/>
        </w:rPr>
        <w:t xml:space="preserve">are </w:t>
      </w:r>
      <w:r>
        <w:rPr>
          <w:rFonts w:ascii="Arial" w:hAnsi="Arial"/>
        </w:rPr>
        <w:t xml:space="preserve">concerned, I am of the view that like in </w:t>
      </w:r>
      <w:r>
        <w:rPr>
          <w:rFonts w:ascii="Arial" w:hAnsi="Arial"/>
          <w:i/>
        </w:rPr>
        <w:t xml:space="preserve">Rabinowitz, </w:t>
      </w:r>
      <w:r>
        <w:rPr>
          <w:rFonts w:ascii="Arial" w:hAnsi="Arial"/>
        </w:rPr>
        <w:t xml:space="preserve">the courts attempted to find a way to hold a director liable to a creditor by reading into the </w:t>
      </w:r>
      <w:r w:rsidR="004C368A">
        <w:rPr>
          <w:rFonts w:ascii="Arial" w:hAnsi="Arial"/>
        </w:rPr>
        <w:t>Companies Act</w:t>
      </w:r>
      <w:r w:rsidR="00C87435">
        <w:rPr>
          <w:rFonts w:ascii="Arial" w:hAnsi="Arial"/>
        </w:rPr>
        <w:t xml:space="preserve"> </w:t>
      </w:r>
      <w:r w:rsidR="00506DE3">
        <w:rPr>
          <w:rFonts w:ascii="Arial" w:hAnsi="Arial"/>
        </w:rPr>
        <w:t xml:space="preserve">something which simply is not there. In </w:t>
      </w:r>
      <w:r w:rsidR="00506DE3">
        <w:rPr>
          <w:rFonts w:ascii="Arial" w:hAnsi="Arial"/>
          <w:i/>
        </w:rPr>
        <w:t xml:space="preserve">Meatworld </w:t>
      </w:r>
      <w:r w:rsidR="00506DE3">
        <w:rPr>
          <w:rFonts w:ascii="Arial" w:hAnsi="Arial"/>
        </w:rPr>
        <w:t xml:space="preserve">the court held </w:t>
      </w:r>
      <w:r w:rsidR="004C368A">
        <w:rPr>
          <w:rFonts w:ascii="Arial" w:hAnsi="Arial"/>
        </w:rPr>
        <w:t xml:space="preserve">that </w:t>
      </w:r>
      <w:r w:rsidR="00063E3E">
        <w:rPr>
          <w:rFonts w:ascii="Arial" w:hAnsi="Arial"/>
        </w:rPr>
        <w:t>‘</w:t>
      </w:r>
      <w:r w:rsidR="00063E3E" w:rsidRPr="00063E3E">
        <w:rPr>
          <w:rFonts w:ascii="Arial" w:hAnsi="Arial"/>
          <w:lang w:val="en-US"/>
        </w:rPr>
        <w:t>the imposition of personal liability on those controlling a company which trades recklessly would be a legitimate manner in which to promote the aim of good corporate governance</w:t>
      </w:r>
      <w:r w:rsidR="00063E3E">
        <w:rPr>
          <w:rFonts w:ascii="Arial" w:hAnsi="Arial"/>
          <w:lang w:val="en-US"/>
        </w:rPr>
        <w:t>’</w:t>
      </w:r>
      <w:r w:rsidR="00506DE3">
        <w:rPr>
          <w:rFonts w:ascii="Arial" w:hAnsi="Arial"/>
        </w:rPr>
        <w:t>.</w:t>
      </w:r>
      <w:r w:rsidR="00063E3E">
        <w:rPr>
          <w:rStyle w:val="FootnoteReference"/>
          <w:rFonts w:ascii="Arial" w:hAnsi="Arial"/>
        </w:rPr>
        <w:footnoteReference w:id="47"/>
      </w:r>
      <w:r w:rsidR="00506DE3">
        <w:rPr>
          <w:rFonts w:ascii="Arial" w:hAnsi="Arial"/>
        </w:rPr>
        <w:t xml:space="preserve"> One can sense the frustration some judges might feel when it is clear that a director was up to no good and a creditor ended up suffering damages or a huge financial loss</w:t>
      </w:r>
      <w:r w:rsidR="004C368A">
        <w:rPr>
          <w:rFonts w:ascii="Arial" w:hAnsi="Arial"/>
        </w:rPr>
        <w:t>. T</w:t>
      </w:r>
      <w:r w:rsidR="00506DE3">
        <w:rPr>
          <w:rFonts w:ascii="Arial" w:hAnsi="Arial"/>
        </w:rPr>
        <w:t>he fact</w:t>
      </w:r>
      <w:r w:rsidR="004C368A">
        <w:rPr>
          <w:rFonts w:ascii="Arial" w:hAnsi="Arial"/>
        </w:rPr>
        <w:t xml:space="preserve"> however</w:t>
      </w:r>
      <w:r w:rsidR="00506DE3">
        <w:rPr>
          <w:rFonts w:ascii="Arial" w:hAnsi="Arial"/>
        </w:rPr>
        <w:t xml:space="preserve"> remains that the Companies Act does not make express provision for such liability. It could never have been the intention of the legislator to provide for liability in a manner that would involve a convoluted manner of interpreting various sections, and then to arrive at a conclusion that is still open to doubt, based on how certain sections are interpreted. </w:t>
      </w:r>
    </w:p>
    <w:p w14:paraId="01133D31" w14:textId="77777777" w:rsidR="00506DE3" w:rsidRPr="00506DE3" w:rsidRDefault="00506DE3" w:rsidP="002238E7">
      <w:pPr>
        <w:pStyle w:val="ListParagraph"/>
        <w:spacing w:line="360" w:lineRule="auto"/>
        <w:contextualSpacing/>
        <w:rPr>
          <w:rFonts w:ascii="Arial" w:hAnsi="Arial"/>
        </w:rPr>
      </w:pPr>
    </w:p>
    <w:p w14:paraId="6C16A056" w14:textId="07AC09FE" w:rsidR="00CA3E76" w:rsidRPr="00F670C8" w:rsidRDefault="006C780A" w:rsidP="006C780A">
      <w:pPr>
        <w:pStyle w:val="ListParagraph"/>
        <w:spacing w:line="360" w:lineRule="auto"/>
        <w:ind w:left="0" w:firstLine="0"/>
        <w:contextualSpacing/>
        <w:mirrorIndents/>
        <w:jc w:val="both"/>
        <w:rPr>
          <w:rFonts w:ascii="Arial" w:hAnsi="Arial"/>
          <w:i/>
        </w:rPr>
      </w:pPr>
      <w:r>
        <w:rPr>
          <w:rFonts w:ascii="Arial" w:hAnsi="Arial"/>
        </w:rPr>
        <w:t>[87]</w:t>
      </w:r>
      <w:r>
        <w:rPr>
          <w:rFonts w:ascii="Arial" w:hAnsi="Arial"/>
        </w:rPr>
        <w:tab/>
      </w:r>
      <w:r w:rsidR="00506DE3">
        <w:rPr>
          <w:rFonts w:ascii="Arial" w:hAnsi="Arial"/>
        </w:rPr>
        <w:t xml:space="preserve">I find myself </w:t>
      </w:r>
      <w:r w:rsidR="000925D2">
        <w:rPr>
          <w:rFonts w:ascii="Arial" w:hAnsi="Arial"/>
        </w:rPr>
        <w:t xml:space="preserve">agreeing with the remarks made in </w:t>
      </w:r>
      <w:r w:rsidR="000925D2">
        <w:rPr>
          <w:rFonts w:ascii="Arial" w:hAnsi="Arial"/>
          <w:i/>
        </w:rPr>
        <w:t xml:space="preserve">Steinhoff </w:t>
      </w:r>
      <w:r w:rsidR="000925D2">
        <w:rPr>
          <w:rFonts w:ascii="Arial" w:hAnsi="Arial"/>
        </w:rPr>
        <w:t xml:space="preserve">namely that section 218(2) simply </w:t>
      </w:r>
      <w:r w:rsidR="00A713E5">
        <w:rPr>
          <w:rFonts w:ascii="Arial" w:hAnsi="Arial"/>
        </w:rPr>
        <w:t>‘</w:t>
      </w:r>
      <w:r w:rsidR="000925D2">
        <w:rPr>
          <w:rFonts w:ascii="Arial" w:hAnsi="Arial"/>
        </w:rPr>
        <w:t>recognises that liability for loss or damage may arise from contraventions of the Companies Act</w:t>
      </w:r>
      <w:r w:rsidR="00A713E5">
        <w:rPr>
          <w:rFonts w:ascii="Arial" w:hAnsi="Arial"/>
        </w:rPr>
        <w:t>’</w:t>
      </w:r>
      <w:r w:rsidR="004C368A">
        <w:rPr>
          <w:rFonts w:ascii="Arial" w:hAnsi="Arial"/>
        </w:rPr>
        <w:t>,</w:t>
      </w:r>
      <w:r w:rsidR="000925D2">
        <w:rPr>
          <w:rFonts w:ascii="Arial" w:hAnsi="Arial"/>
        </w:rPr>
        <w:t xml:space="preserve"> but what that right is and who enjoys it, is to be found in the provisions of the Companies Act itself.</w:t>
      </w:r>
      <w:r w:rsidR="00A713E5" w:rsidRPr="00F670C8">
        <w:rPr>
          <w:rStyle w:val="FootnoteReference"/>
          <w:rFonts w:ascii="Arial" w:hAnsi="Arial"/>
        </w:rPr>
        <w:footnoteReference w:id="48"/>
      </w:r>
      <w:r w:rsidR="000925D2">
        <w:rPr>
          <w:rFonts w:ascii="Arial" w:hAnsi="Arial"/>
        </w:rPr>
        <w:t xml:space="preserve"> This is even more important when considering what was held by the Supreme Court of Appeal in </w:t>
      </w:r>
      <w:r w:rsidR="000925D2">
        <w:rPr>
          <w:rFonts w:ascii="Arial" w:hAnsi="Arial"/>
          <w:i/>
        </w:rPr>
        <w:t>Hlumisa</w:t>
      </w:r>
      <w:r w:rsidR="00814381">
        <w:rPr>
          <w:rFonts w:ascii="Arial" w:hAnsi="Arial"/>
        </w:rPr>
        <w:t>, with reference to sections 77(2)</w:t>
      </w:r>
      <w:r w:rsidR="00814381" w:rsidRPr="00F670C8">
        <w:rPr>
          <w:rFonts w:ascii="Arial" w:hAnsi="Arial"/>
          <w:i/>
        </w:rPr>
        <w:t>(b)</w:t>
      </w:r>
      <w:r w:rsidR="00814381">
        <w:rPr>
          <w:rFonts w:ascii="Arial" w:hAnsi="Arial"/>
        </w:rPr>
        <w:t xml:space="preserve"> and 77(3)</w:t>
      </w:r>
      <w:r w:rsidR="00814381" w:rsidRPr="00F670C8">
        <w:rPr>
          <w:rFonts w:ascii="Arial" w:hAnsi="Arial"/>
          <w:i/>
        </w:rPr>
        <w:t>(b)</w:t>
      </w:r>
      <w:r w:rsidR="00814381">
        <w:rPr>
          <w:rFonts w:ascii="Arial" w:hAnsi="Arial"/>
        </w:rPr>
        <w:t xml:space="preserve">, namely that the </w:t>
      </w:r>
    </w:p>
    <w:p w14:paraId="5A1F437C" w14:textId="5469205B" w:rsidR="005F0B78" w:rsidRPr="00F670C8" w:rsidRDefault="00CA3E76" w:rsidP="00F670C8">
      <w:pPr>
        <w:pStyle w:val="ListParagraph"/>
        <w:spacing w:line="360" w:lineRule="auto"/>
        <w:ind w:left="0" w:firstLine="0"/>
        <w:contextualSpacing/>
        <w:mirrorIndents/>
        <w:jc w:val="both"/>
        <w:rPr>
          <w:rFonts w:ascii="Arial" w:hAnsi="Arial"/>
          <w:i/>
          <w:sz w:val="22"/>
        </w:rPr>
      </w:pPr>
      <w:r w:rsidRPr="00F670C8">
        <w:rPr>
          <w:rFonts w:ascii="Arial" w:hAnsi="Arial"/>
          <w:sz w:val="22"/>
        </w:rPr>
        <w:t>‘</w:t>
      </w:r>
      <w:r w:rsidRPr="00F670C8">
        <w:rPr>
          <w:rFonts w:ascii="Arial" w:hAnsi="Arial"/>
          <w:sz w:val="22"/>
          <w:lang w:val="en-ZA"/>
        </w:rPr>
        <w:t xml:space="preserve">provisions of the Companies Act make it clear that the legislature decided where liability should lie for conduct by directors in contravention of certain sections of the Act and who could </w:t>
      </w:r>
      <w:r w:rsidRPr="00F670C8">
        <w:rPr>
          <w:rFonts w:ascii="Arial" w:hAnsi="Arial"/>
          <w:sz w:val="22"/>
          <w:lang w:val="en-ZA"/>
        </w:rPr>
        <w:lastRenderedPageBreak/>
        <w:t>recover the resultant loss. It is also clear that the legislature was astute to preserve certain common-law principles’.</w:t>
      </w:r>
      <w:r w:rsidRPr="00CA3E76">
        <w:rPr>
          <w:rStyle w:val="FootnoteReference"/>
          <w:rFonts w:ascii="Arial" w:hAnsi="Arial"/>
        </w:rPr>
        <w:t xml:space="preserve"> </w:t>
      </w:r>
      <w:r>
        <w:rPr>
          <w:rStyle w:val="FootnoteReference"/>
          <w:rFonts w:ascii="Arial" w:hAnsi="Arial"/>
        </w:rPr>
        <w:footnoteReference w:id="49"/>
      </w:r>
      <w:r w:rsidR="00506DE3" w:rsidRPr="00F670C8">
        <w:rPr>
          <w:rFonts w:ascii="Arial" w:hAnsi="Arial"/>
          <w:sz w:val="22"/>
        </w:rPr>
        <w:t xml:space="preserve"> </w:t>
      </w:r>
    </w:p>
    <w:p w14:paraId="7C6CDF36" w14:textId="77777777" w:rsidR="00B27F89" w:rsidRPr="00B27F89" w:rsidRDefault="00B27F89" w:rsidP="002238E7">
      <w:pPr>
        <w:pStyle w:val="ListParagraph"/>
        <w:spacing w:line="360" w:lineRule="auto"/>
        <w:contextualSpacing/>
        <w:rPr>
          <w:rFonts w:ascii="Arial" w:hAnsi="Arial"/>
          <w:i/>
        </w:rPr>
      </w:pPr>
    </w:p>
    <w:p w14:paraId="77BC06E3" w14:textId="6E07FD35" w:rsidR="00B27F89" w:rsidRPr="00D147B7" w:rsidRDefault="00B27F89" w:rsidP="006C780A">
      <w:pPr>
        <w:pStyle w:val="ListParagraph"/>
        <w:numPr>
          <w:ilvl w:val="0"/>
          <w:numId w:val="21"/>
        </w:numPr>
        <w:spacing w:line="360" w:lineRule="auto"/>
        <w:ind w:left="0" w:firstLine="0"/>
        <w:contextualSpacing/>
        <w:mirrorIndents/>
        <w:jc w:val="both"/>
        <w:rPr>
          <w:rFonts w:ascii="Arial" w:hAnsi="Arial"/>
          <w:i/>
        </w:rPr>
      </w:pPr>
      <w:r>
        <w:rPr>
          <w:rFonts w:ascii="Arial" w:hAnsi="Arial"/>
        </w:rPr>
        <w:t>In my view</w:t>
      </w:r>
      <w:r w:rsidR="00CA3E76">
        <w:rPr>
          <w:rFonts w:ascii="Arial" w:hAnsi="Arial"/>
        </w:rPr>
        <w:t>,</w:t>
      </w:r>
      <w:r>
        <w:rPr>
          <w:rFonts w:ascii="Arial" w:hAnsi="Arial"/>
        </w:rPr>
        <w:t xml:space="preserve"> the so-called lacuna created by the legislature in not providing expressly for the liability of directors to other persons, such as creditors</w:t>
      </w:r>
      <w:r w:rsidR="004C368A">
        <w:rPr>
          <w:rFonts w:ascii="Arial" w:hAnsi="Arial"/>
        </w:rPr>
        <w:t>,</w:t>
      </w:r>
      <w:r>
        <w:rPr>
          <w:rFonts w:ascii="Arial" w:hAnsi="Arial"/>
        </w:rPr>
        <w:t xml:space="preserve"> for loss or damage suffered, is a clear indication that it was not </w:t>
      </w:r>
      <w:r w:rsidR="00001FE1">
        <w:rPr>
          <w:rFonts w:ascii="Arial" w:hAnsi="Arial"/>
        </w:rPr>
        <w:t>its intention to do so, thereby conti</w:t>
      </w:r>
      <w:r w:rsidR="00D147B7">
        <w:rPr>
          <w:rFonts w:ascii="Arial" w:hAnsi="Arial"/>
        </w:rPr>
        <w:t xml:space="preserve">nuing to recognise what </w:t>
      </w:r>
      <w:r w:rsidR="004C368A">
        <w:rPr>
          <w:rFonts w:ascii="Arial" w:hAnsi="Arial"/>
        </w:rPr>
        <w:t>has been</w:t>
      </w:r>
      <w:r w:rsidR="00D147B7">
        <w:rPr>
          <w:rFonts w:ascii="Arial" w:hAnsi="Arial"/>
        </w:rPr>
        <w:t xml:space="preserve"> referred to as a foundation of company law. </w:t>
      </w:r>
    </w:p>
    <w:p w14:paraId="03611E71" w14:textId="77777777" w:rsidR="00D147B7" w:rsidRPr="00D147B7" w:rsidRDefault="00D147B7" w:rsidP="002238E7">
      <w:pPr>
        <w:pStyle w:val="ListParagraph"/>
        <w:spacing w:line="360" w:lineRule="auto"/>
        <w:contextualSpacing/>
        <w:rPr>
          <w:rFonts w:ascii="Arial" w:hAnsi="Arial"/>
          <w:i/>
        </w:rPr>
      </w:pPr>
    </w:p>
    <w:p w14:paraId="3FD97EC9" w14:textId="77777777" w:rsidR="00D147B7" w:rsidRPr="00D147B7" w:rsidRDefault="00D147B7" w:rsidP="006C780A">
      <w:pPr>
        <w:pStyle w:val="ListParagraph"/>
        <w:numPr>
          <w:ilvl w:val="0"/>
          <w:numId w:val="21"/>
        </w:numPr>
        <w:spacing w:line="360" w:lineRule="auto"/>
        <w:ind w:left="0" w:firstLine="0"/>
        <w:contextualSpacing/>
        <w:mirrorIndents/>
        <w:jc w:val="both"/>
        <w:rPr>
          <w:rFonts w:ascii="Arial" w:hAnsi="Arial"/>
          <w:i/>
        </w:rPr>
      </w:pPr>
      <w:r>
        <w:rPr>
          <w:rFonts w:ascii="Arial" w:hAnsi="Arial"/>
        </w:rPr>
        <w:t xml:space="preserve">I am therefore of the view that the plaintiff’s claim does not disclose a cause of action. As a result of this finding, it is not necessary to deal with the second exception. </w:t>
      </w:r>
    </w:p>
    <w:p w14:paraId="15E1C588" w14:textId="77777777" w:rsidR="007B7153" w:rsidRDefault="007B7153" w:rsidP="002238E7">
      <w:pPr>
        <w:pStyle w:val="ListParagraph"/>
        <w:spacing w:line="360" w:lineRule="auto"/>
        <w:contextualSpacing/>
        <w:rPr>
          <w:rFonts w:ascii="Arial" w:hAnsi="Arial"/>
          <w:i/>
        </w:rPr>
      </w:pPr>
    </w:p>
    <w:p w14:paraId="1163A416" w14:textId="77777777" w:rsidR="007B7153" w:rsidRPr="007B7153" w:rsidRDefault="007B7153" w:rsidP="007B7153">
      <w:pPr>
        <w:pStyle w:val="ListParagraph"/>
        <w:spacing w:line="360" w:lineRule="auto"/>
        <w:ind w:left="0" w:firstLine="0"/>
        <w:contextualSpacing/>
        <w:rPr>
          <w:rFonts w:ascii="Arial" w:hAnsi="Arial"/>
          <w:b/>
        </w:rPr>
      </w:pPr>
      <w:r>
        <w:rPr>
          <w:rFonts w:ascii="Arial" w:hAnsi="Arial"/>
          <w:b/>
        </w:rPr>
        <w:t>Order</w:t>
      </w:r>
    </w:p>
    <w:p w14:paraId="369AA3E1" w14:textId="77777777" w:rsidR="00D147B7" w:rsidRPr="00B27F89" w:rsidRDefault="00D147B7" w:rsidP="006C780A">
      <w:pPr>
        <w:pStyle w:val="ListParagraph"/>
        <w:numPr>
          <w:ilvl w:val="0"/>
          <w:numId w:val="21"/>
        </w:numPr>
        <w:spacing w:line="360" w:lineRule="auto"/>
        <w:ind w:left="0" w:firstLine="0"/>
        <w:contextualSpacing/>
        <w:mirrorIndents/>
        <w:jc w:val="both"/>
        <w:rPr>
          <w:rFonts w:ascii="Arial" w:hAnsi="Arial"/>
          <w:i/>
        </w:rPr>
      </w:pPr>
      <w:r>
        <w:rPr>
          <w:rFonts w:ascii="Arial" w:hAnsi="Arial"/>
        </w:rPr>
        <w:t>I make the following order:</w:t>
      </w:r>
    </w:p>
    <w:p w14:paraId="658DB7F1" w14:textId="77777777" w:rsidR="005B4E7A" w:rsidRDefault="00603719" w:rsidP="00F670C8">
      <w:pPr>
        <w:pStyle w:val="ListParagraph"/>
        <w:numPr>
          <w:ilvl w:val="0"/>
          <w:numId w:val="20"/>
        </w:numPr>
        <w:spacing w:line="360" w:lineRule="auto"/>
        <w:ind w:left="0" w:firstLine="0"/>
        <w:contextualSpacing/>
        <w:mirrorIndents/>
        <w:jc w:val="both"/>
        <w:rPr>
          <w:rFonts w:ascii="Arial" w:hAnsi="Arial"/>
        </w:rPr>
      </w:pPr>
      <w:r>
        <w:rPr>
          <w:rFonts w:ascii="Arial" w:hAnsi="Arial"/>
        </w:rPr>
        <w:t>The second defendant’s first exception dated 4 November 2021 is upheld, with costs</w:t>
      </w:r>
      <w:r w:rsidR="008A487B" w:rsidRPr="005B4E7A">
        <w:rPr>
          <w:rFonts w:ascii="Arial" w:hAnsi="Arial"/>
        </w:rPr>
        <w:t>.</w:t>
      </w:r>
    </w:p>
    <w:p w14:paraId="308546A2" w14:textId="77777777" w:rsidR="00057149" w:rsidRDefault="00B213D1" w:rsidP="00F670C8">
      <w:pPr>
        <w:pStyle w:val="ListParagraph"/>
        <w:numPr>
          <w:ilvl w:val="0"/>
          <w:numId w:val="20"/>
        </w:numPr>
        <w:spacing w:line="360" w:lineRule="auto"/>
        <w:ind w:left="0" w:firstLine="0"/>
        <w:contextualSpacing/>
        <w:mirrorIndents/>
        <w:jc w:val="both"/>
        <w:rPr>
          <w:rFonts w:ascii="Arial" w:hAnsi="Arial"/>
        </w:rPr>
      </w:pPr>
      <w:r>
        <w:rPr>
          <w:rFonts w:ascii="Arial" w:hAnsi="Arial"/>
        </w:rPr>
        <w:t>The plaintiff’s par</w:t>
      </w:r>
      <w:r w:rsidR="00057149">
        <w:rPr>
          <w:rFonts w:ascii="Arial" w:hAnsi="Arial"/>
        </w:rPr>
        <w:t>ticulars of claim are set aside.</w:t>
      </w:r>
      <w:r>
        <w:rPr>
          <w:rFonts w:ascii="Arial" w:hAnsi="Arial"/>
        </w:rPr>
        <w:t xml:space="preserve"> </w:t>
      </w:r>
    </w:p>
    <w:p w14:paraId="08D68427" w14:textId="197D7877" w:rsidR="008A487B" w:rsidRPr="005B4E7A" w:rsidRDefault="00057149" w:rsidP="00F670C8">
      <w:pPr>
        <w:pStyle w:val="ListParagraph"/>
        <w:numPr>
          <w:ilvl w:val="0"/>
          <w:numId w:val="20"/>
        </w:numPr>
        <w:spacing w:line="360" w:lineRule="auto"/>
        <w:ind w:left="0" w:firstLine="0"/>
        <w:contextualSpacing/>
        <w:mirrorIndents/>
        <w:jc w:val="both"/>
        <w:rPr>
          <w:rFonts w:ascii="Arial" w:hAnsi="Arial"/>
        </w:rPr>
      </w:pPr>
      <w:r>
        <w:rPr>
          <w:rFonts w:ascii="Arial" w:hAnsi="Arial"/>
        </w:rPr>
        <w:t>T</w:t>
      </w:r>
      <w:r w:rsidR="00603719">
        <w:rPr>
          <w:rFonts w:ascii="Arial" w:hAnsi="Arial"/>
        </w:rPr>
        <w:t>he plaintiff is granted leave</w:t>
      </w:r>
      <w:r w:rsidR="00B213D1">
        <w:rPr>
          <w:rFonts w:ascii="Arial" w:hAnsi="Arial"/>
        </w:rPr>
        <w:t>, if so advised,</w:t>
      </w:r>
      <w:r w:rsidR="00603719">
        <w:rPr>
          <w:rFonts w:ascii="Arial" w:hAnsi="Arial"/>
        </w:rPr>
        <w:t xml:space="preserve"> to </w:t>
      </w:r>
      <w:r w:rsidR="00610C05">
        <w:rPr>
          <w:rFonts w:ascii="Arial" w:hAnsi="Arial"/>
        </w:rPr>
        <w:t xml:space="preserve">file </w:t>
      </w:r>
      <w:r w:rsidR="00603719">
        <w:rPr>
          <w:rFonts w:ascii="Arial" w:hAnsi="Arial"/>
        </w:rPr>
        <w:t>amend</w:t>
      </w:r>
      <w:r w:rsidR="00610C05">
        <w:rPr>
          <w:rFonts w:ascii="Arial" w:hAnsi="Arial"/>
        </w:rPr>
        <w:t>ed</w:t>
      </w:r>
      <w:r w:rsidR="00603719">
        <w:rPr>
          <w:rFonts w:ascii="Arial" w:hAnsi="Arial"/>
        </w:rPr>
        <w:t xml:space="preserve"> particulars of claim within ten days from the date of the granting of this order</w:t>
      </w:r>
      <w:r w:rsidR="008A487B" w:rsidRPr="005B4E7A">
        <w:rPr>
          <w:rFonts w:ascii="Arial" w:hAnsi="Arial"/>
        </w:rPr>
        <w:t>.</w:t>
      </w:r>
    </w:p>
    <w:p w14:paraId="7C743979" w14:textId="77777777" w:rsidR="00603719" w:rsidRDefault="00603719" w:rsidP="00F670C8">
      <w:pPr>
        <w:spacing w:line="360" w:lineRule="auto"/>
        <w:jc w:val="right"/>
        <w:rPr>
          <w:rFonts w:ascii="Arial" w:hAnsi="Arial" w:cs="Arial"/>
          <w:szCs w:val="24"/>
        </w:rPr>
      </w:pPr>
    </w:p>
    <w:p w14:paraId="11CDD79D" w14:textId="77777777" w:rsidR="00603719" w:rsidRPr="00A44543" w:rsidRDefault="00603719" w:rsidP="00F670C8">
      <w:pPr>
        <w:spacing w:line="360" w:lineRule="auto"/>
        <w:jc w:val="right"/>
        <w:rPr>
          <w:rFonts w:ascii="Arial" w:hAnsi="Arial" w:cs="Arial"/>
          <w:szCs w:val="24"/>
        </w:rPr>
      </w:pPr>
    </w:p>
    <w:p w14:paraId="20D550DE" w14:textId="77777777" w:rsidR="00C052D0" w:rsidRPr="00A44543" w:rsidRDefault="00C052D0" w:rsidP="00F670C8">
      <w:pPr>
        <w:spacing w:line="360" w:lineRule="auto"/>
        <w:jc w:val="right"/>
        <w:rPr>
          <w:rFonts w:ascii="Arial" w:hAnsi="Arial" w:cs="Arial"/>
          <w:szCs w:val="24"/>
        </w:rPr>
      </w:pPr>
      <w:r w:rsidRPr="00A44543">
        <w:rPr>
          <w:rFonts w:ascii="Arial" w:hAnsi="Arial" w:cs="Arial"/>
          <w:szCs w:val="24"/>
        </w:rPr>
        <w:t>____________________</w:t>
      </w:r>
    </w:p>
    <w:p w14:paraId="328C1C48" w14:textId="77777777" w:rsidR="001322F6" w:rsidRPr="00F670C8" w:rsidRDefault="00C052D0" w:rsidP="00F670C8">
      <w:pPr>
        <w:spacing w:line="360" w:lineRule="auto"/>
        <w:jc w:val="right"/>
        <w:rPr>
          <w:rFonts w:ascii="Arial" w:hAnsi="Arial" w:cs="Arial"/>
          <w:b/>
          <w:szCs w:val="24"/>
        </w:rPr>
      </w:pPr>
      <w:r w:rsidRPr="00F670C8">
        <w:rPr>
          <w:rFonts w:ascii="Arial" w:hAnsi="Arial" w:cs="Arial"/>
          <w:b/>
          <w:szCs w:val="24"/>
        </w:rPr>
        <w:t>BEZUIDENHOUT AJ</w:t>
      </w:r>
    </w:p>
    <w:p w14:paraId="4425C282" w14:textId="77777777" w:rsidR="00C052D0" w:rsidRPr="00A44543" w:rsidRDefault="00C052D0" w:rsidP="00CE1CDF">
      <w:pPr>
        <w:spacing w:line="360" w:lineRule="auto"/>
        <w:jc w:val="both"/>
        <w:rPr>
          <w:rFonts w:ascii="Arial" w:hAnsi="Arial" w:cs="Arial"/>
          <w:szCs w:val="24"/>
        </w:rPr>
      </w:pPr>
    </w:p>
    <w:p w14:paraId="77A3D296" w14:textId="77777777" w:rsidR="00B34884" w:rsidRPr="00A44543" w:rsidRDefault="00B34884" w:rsidP="00CE1CDF">
      <w:pPr>
        <w:spacing w:line="360" w:lineRule="auto"/>
        <w:jc w:val="both"/>
        <w:rPr>
          <w:rFonts w:ascii="Arial" w:hAnsi="Arial" w:cs="Arial"/>
          <w:b/>
          <w:szCs w:val="24"/>
          <w:u w:val="single"/>
        </w:rPr>
      </w:pPr>
      <w:r w:rsidRPr="00A44543">
        <w:rPr>
          <w:rFonts w:ascii="Arial" w:hAnsi="Arial" w:cs="Arial"/>
          <w:b/>
          <w:szCs w:val="24"/>
          <w:u w:val="single"/>
        </w:rPr>
        <w:t xml:space="preserve">APPEARANCES </w:t>
      </w:r>
    </w:p>
    <w:p w14:paraId="62D2AAC4" w14:textId="77777777" w:rsidR="001847D7" w:rsidRPr="00A44543" w:rsidRDefault="001847D7" w:rsidP="00CE1CDF">
      <w:pPr>
        <w:spacing w:line="360" w:lineRule="auto"/>
        <w:jc w:val="both"/>
        <w:rPr>
          <w:rFonts w:ascii="Arial" w:hAnsi="Arial" w:cs="Arial"/>
          <w:szCs w:val="24"/>
        </w:rPr>
      </w:pPr>
    </w:p>
    <w:p w14:paraId="46EE1F28" w14:textId="77777777" w:rsidR="00B34884" w:rsidRPr="00A44543" w:rsidRDefault="001847D7" w:rsidP="00CE1CDF">
      <w:pPr>
        <w:spacing w:line="360" w:lineRule="auto"/>
        <w:jc w:val="both"/>
        <w:rPr>
          <w:rFonts w:ascii="Arial" w:hAnsi="Arial" w:cs="Arial"/>
          <w:szCs w:val="24"/>
        </w:rPr>
      </w:pPr>
      <w:r w:rsidRPr="00A44543">
        <w:rPr>
          <w:rFonts w:ascii="Arial" w:hAnsi="Arial" w:cs="Arial"/>
          <w:szCs w:val="24"/>
        </w:rPr>
        <w:t>Date of hearing</w:t>
      </w:r>
      <w:r w:rsidRPr="00A44543">
        <w:rPr>
          <w:rFonts w:ascii="Arial" w:hAnsi="Arial" w:cs="Arial"/>
          <w:szCs w:val="24"/>
        </w:rPr>
        <w:tab/>
        <w:t>:</w:t>
      </w:r>
      <w:r w:rsidR="00030188" w:rsidRPr="00A44543">
        <w:rPr>
          <w:rFonts w:ascii="Arial" w:hAnsi="Arial" w:cs="Arial"/>
          <w:szCs w:val="24"/>
        </w:rPr>
        <w:tab/>
      </w:r>
      <w:r w:rsidR="00603719">
        <w:rPr>
          <w:rFonts w:ascii="Arial" w:hAnsi="Arial" w:cs="Arial"/>
          <w:szCs w:val="24"/>
        </w:rPr>
        <w:t>19 May 2022</w:t>
      </w:r>
    </w:p>
    <w:p w14:paraId="382E2855" w14:textId="77777777" w:rsidR="001847D7" w:rsidRPr="00A44543" w:rsidRDefault="001847D7" w:rsidP="00CE1CDF">
      <w:pPr>
        <w:spacing w:line="360" w:lineRule="auto"/>
        <w:jc w:val="both"/>
        <w:rPr>
          <w:rFonts w:ascii="Arial" w:hAnsi="Arial" w:cs="Arial"/>
          <w:szCs w:val="24"/>
        </w:rPr>
      </w:pPr>
      <w:r w:rsidRPr="00A44543">
        <w:rPr>
          <w:rFonts w:ascii="Arial" w:hAnsi="Arial" w:cs="Arial"/>
          <w:szCs w:val="24"/>
        </w:rPr>
        <w:t>Date of judgment</w:t>
      </w:r>
      <w:r w:rsidRPr="00A44543">
        <w:rPr>
          <w:rFonts w:ascii="Arial" w:hAnsi="Arial" w:cs="Arial"/>
          <w:szCs w:val="24"/>
        </w:rPr>
        <w:tab/>
        <w:t>:</w:t>
      </w:r>
      <w:r w:rsidR="00030188" w:rsidRPr="00A44543">
        <w:rPr>
          <w:rFonts w:ascii="Arial" w:hAnsi="Arial" w:cs="Arial"/>
          <w:szCs w:val="24"/>
        </w:rPr>
        <w:tab/>
      </w:r>
      <w:r w:rsidR="007D06C9">
        <w:rPr>
          <w:rFonts w:ascii="Arial" w:hAnsi="Arial" w:cs="Arial"/>
          <w:szCs w:val="24"/>
        </w:rPr>
        <w:t>16 September 2022</w:t>
      </w:r>
    </w:p>
    <w:p w14:paraId="5DCE26CF" w14:textId="77777777" w:rsidR="001847D7" w:rsidRPr="00A44543" w:rsidRDefault="001847D7" w:rsidP="00CE1CDF">
      <w:pPr>
        <w:spacing w:line="360" w:lineRule="auto"/>
        <w:jc w:val="both"/>
        <w:rPr>
          <w:rFonts w:ascii="Arial" w:hAnsi="Arial" w:cs="Arial"/>
          <w:szCs w:val="24"/>
        </w:rPr>
      </w:pPr>
    </w:p>
    <w:p w14:paraId="48B3BC8C" w14:textId="4C0CCD04" w:rsidR="00674618" w:rsidRPr="00A44543" w:rsidRDefault="00B34884" w:rsidP="00CE1CDF">
      <w:pPr>
        <w:spacing w:line="360" w:lineRule="auto"/>
        <w:jc w:val="both"/>
        <w:rPr>
          <w:rFonts w:ascii="Arial" w:hAnsi="Arial" w:cs="Arial"/>
          <w:szCs w:val="24"/>
        </w:rPr>
      </w:pPr>
      <w:r w:rsidRPr="00A44543">
        <w:rPr>
          <w:rFonts w:ascii="Arial" w:hAnsi="Arial" w:cs="Arial"/>
          <w:szCs w:val="24"/>
        </w:rPr>
        <w:t xml:space="preserve">For </w:t>
      </w:r>
      <w:r w:rsidR="00AA7B5F">
        <w:rPr>
          <w:rFonts w:ascii="Arial" w:hAnsi="Arial" w:cs="Arial"/>
          <w:szCs w:val="24"/>
        </w:rPr>
        <w:t>plaintiff</w:t>
      </w:r>
      <w:r w:rsidRPr="00A44543">
        <w:rPr>
          <w:rFonts w:ascii="Arial" w:hAnsi="Arial" w:cs="Arial"/>
          <w:szCs w:val="24"/>
        </w:rPr>
        <w:tab/>
        <w:t>:</w:t>
      </w:r>
      <w:r w:rsidR="00674618" w:rsidRPr="00A44543">
        <w:rPr>
          <w:rFonts w:ascii="Arial" w:hAnsi="Arial" w:cs="Arial"/>
          <w:szCs w:val="24"/>
        </w:rPr>
        <w:t xml:space="preserve"> </w:t>
      </w:r>
      <w:r w:rsidR="00030188" w:rsidRPr="00A44543">
        <w:rPr>
          <w:rFonts w:ascii="Arial" w:hAnsi="Arial" w:cs="Arial"/>
          <w:szCs w:val="24"/>
        </w:rPr>
        <w:tab/>
      </w:r>
      <w:r w:rsidR="00030188" w:rsidRPr="00A44543">
        <w:rPr>
          <w:rFonts w:ascii="Arial" w:hAnsi="Arial" w:cs="Arial"/>
          <w:szCs w:val="24"/>
        </w:rPr>
        <w:tab/>
      </w:r>
      <w:r w:rsidR="00AA7B5F">
        <w:rPr>
          <w:rFonts w:ascii="Arial" w:hAnsi="Arial" w:cs="Arial"/>
          <w:szCs w:val="24"/>
        </w:rPr>
        <w:t xml:space="preserve">Mr </w:t>
      </w:r>
      <w:r w:rsidR="007D06C9">
        <w:rPr>
          <w:rFonts w:ascii="Arial" w:hAnsi="Arial" w:cs="Arial"/>
          <w:szCs w:val="24"/>
        </w:rPr>
        <w:t xml:space="preserve">PJ Wallis SC </w:t>
      </w:r>
    </w:p>
    <w:p w14:paraId="32552F89" w14:textId="77777777" w:rsidR="00F86681" w:rsidRPr="00A44543" w:rsidRDefault="00F86681" w:rsidP="00CE1CDF">
      <w:pPr>
        <w:spacing w:line="360" w:lineRule="auto"/>
        <w:ind w:left="2160" w:firstLine="720"/>
        <w:jc w:val="both"/>
        <w:rPr>
          <w:rFonts w:ascii="Arial" w:hAnsi="Arial" w:cs="Arial"/>
          <w:szCs w:val="24"/>
        </w:rPr>
      </w:pPr>
    </w:p>
    <w:p w14:paraId="090D6B19" w14:textId="77777777" w:rsidR="00F86681" w:rsidRDefault="00B34884" w:rsidP="00CE1CDF">
      <w:pPr>
        <w:spacing w:line="360" w:lineRule="auto"/>
        <w:jc w:val="both"/>
        <w:rPr>
          <w:rFonts w:ascii="Arial" w:hAnsi="Arial" w:cs="Arial"/>
          <w:szCs w:val="24"/>
        </w:rPr>
      </w:pPr>
      <w:r w:rsidRPr="00A44543">
        <w:rPr>
          <w:rFonts w:ascii="Arial" w:hAnsi="Arial" w:cs="Arial"/>
          <w:szCs w:val="24"/>
        </w:rPr>
        <w:t>Instructed by</w:t>
      </w:r>
      <w:r w:rsidRPr="00A44543">
        <w:rPr>
          <w:rFonts w:ascii="Arial" w:hAnsi="Arial" w:cs="Arial"/>
          <w:szCs w:val="24"/>
        </w:rPr>
        <w:tab/>
        <w:t>:</w:t>
      </w:r>
      <w:r w:rsidR="00674618" w:rsidRPr="00A44543">
        <w:rPr>
          <w:rFonts w:ascii="Arial" w:hAnsi="Arial" w:cs="Arial"/>
          <w:szCs w:val="24"/>
        </w:rPr>
        <w:t xml:space="preserve"> </w:t>
      </w:r>
      <w:r w:rsidR="00030188" w:rsidRPr="00A44543">
        <w:rPr>
          <w:rFonts w:ascii="Arial" w:hAnsi="Arial" w:cs="Arial"/>
          <w:szCs w:val="24"/>
        </w:rPr>
        <w:tab/>
      </w:r>
      <w:r w:rsidR="00030188" w:rsidRPr="00A44543">
        <w:rPr>
          <w:rFonts w:ascii="Arial" w:hAnsi="Arial" w:cs="Arial"/>
          <w:szCs w:val="24"/>
        </w:rPr>
        <w:tab/>
      </w:r>
      <w:r w:rsidR="007D06C9">
        <w:rPr>
          <w:rFonts w:ascii="Arial" w:hAnsi="Arial" w:cs="Arial"/>
          <w:szCs w:val="24"/>
        </w:rPr>
        <w:t xml:space="preserve">Shepstone &amp; Wylie </w:t>
      </w:r>
      <w:r w:rsidR="007D0DE8">
        <w:rPr>
          <w:rFonts w:ascii="Arial" w:hAnsi="Arial" w:cs="Arial"/>
          <w:szCs w:val="24"/>
        </w:rPr>
        <w:t>Attorneys</w:t>
      </w:r>
    </w:p>
    <w:p w14:paraId="62D246C4" w14:textId="77777777" w:rsidR="007D0DE8" w:rsidRDefault="007D0DE8" w:rsidP="00CE1CDF">
      <w:pPr>
        <w:spacing w:line="360" w:lineRule="auto"/>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24 Richefond Circle </w:t>
      </w:r>
    </w:p>
    <w:p w14:paraId="37F1BF3F" w14:textId="77777777" w:rsidR="007D0DE8" w:rsidRDefault="007D0DE8" w:rsidP="00CE1CDF">
      <w:pPr>
        <w:spacing w:line="360" w:lineRule="auto"/>
        <w:jc w:val="both"/>
        <w:rPr>
          <w:rFonts w:ascii="Arial" w:hAnsi="Arial" w:cs="Arial"/>
          <w:szCs w:val="24"/>
        </w:rPr>
      </w:pPr>
      <w:r>
        <w:rPr>
          <w:rFonts w:ascii="Arial" w:hAnsi="Arial" w:cs="Arial"/>
          <w:szCs w:val="24"/>
        </w:rPr>
        <w:lastRenderedPageBreak/>
        <w:tab/>
      </w:r>
      <w:r>
        <w:rPr>
          <w:rFonts w:ascii="Arial" w:hAnsi="Arial" w:cs="Arial"/>
          <w:szCs w:val="24"/>
        </w:rPr>
        <w:tab/>
      </w:r>
      <w:r>
        <w:rPr>
          <w:rFonts w:ascii="Arial" w:hAnsi="Arial" w:cs="Arial"/>
          <w:szCs w:val="24"/>
        </w:rPr>
        <w:tab/>
      </w:r>
      <w:r>
        <w:rPr>
          <w:rFonts w:ascii="Arial" w:hAnsi="Arial" w:cs="Arial"/>
          <w:szCs w:val="24"/>
        </w:rPr>
        <w:tab/>
        <w:t>Ridgeside Office Park</w:t>
      </w:r>
    </w:p>
    <w:p w14:paraId="504298E5" w14:textId="77777777" w:rsidR="007D0DE8" w:rsidRDefault="007D0DE8" w:rsidP="00CE1CDF">
      <w:pPr>
        <w:spacing w:line="360" w:lineRule="auto"/>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Umhlanga Ridge</w:t>
      </w:r>
    </w:p>
    <w:p w14:paraId="25F06E32" w14:textId="77777777" w:rsidR="00CB2754" w:rsidRDefault="00CB2754" w:rsidP="00CE1CDF">
      <w:pPr>
        <w:spacing w:line="360" w:lineRule="auto"/>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Tel: (031) 575 7543</w:t>
      </w:r>
    </w:p>
    <w:p w14:paraId="13C04850" w14:textId="77777777" w:rsidR="00CB2754" w:rsidRDefault="00CB2754" w:rsidP="00CE1CDF">
      <w:pPr>
        <w:spacing w:line="360" w:lineRule="auto"/>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E-mail: smith@wylie.co.za</w:t>
      </w:r>
    </w:p>
    <w:p w14:paraId="52A2D7DD" w14:textId="77777777" w:rsidR="007D0DE8" w:rsidRDefault="007D0DE8" w:rsidP="00CE1CDF">
      <w:pPr>
        <w:spacing w:line="360" w:lineRule="auto"/>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c/o S</w:t>
      </w:r>
      <w:r w:rsidR="002F3CFF">
        <w:rPr>
          <w:rFonts w:ascii="Arial" w:hAnsi="Arial" w:cs="Arial"/>
          <w:szCs w:val="24"/>
        </w:rPr>
        <w:t>hepstone &amp; Wylie Attorneys</w:t>
      </w:r>
    </w:p>
    <w:p w14:paraId="4C4018F8" w14:textId="77777777" w:rsidR="002F3CFF" w:rsidRDefault="002F3CFF" w:rsidP="00CE1CDF">
      <w:pPr>
        <w:spacing w:line="360" w:lineRule="auto"/>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w:t>
      </w:r>
      <w:r w:rsidRPr="002F3CFF">
        <w:rPr>
          <w:rFonts w:ascii="Arial" w:hAnsi="Arial" w:cs="Arial"/>
          <w:szCs w:val="24"/>
          <w:vertAlign w:val="superscript"/>
        </w:rPr>
        <w:t>st</w:t>
      </w:r>
      <w:r>
        <w:rPr>
          <w:rFonts w:ascii="Arial" w:hAnsi="Arial" w:cs="Arial"/>
          <w:szCs w:val="24"/>
        </w:rPr>
        <w:t xml:space="preserve"> Floor, Absa House </w:t>
      </w:r>
    </w:p>
    <w:p w14:paraId="520ABA35" w14:textId="77777777" w:rsidR="002F3CFF" w:rsidRDefault="002F3CFF" w:rsidP="00CE1CDF">
      <w:pPr>
        <w:spacing w:line="360" w:lineRule="auto"/>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15 Chatterton Road</w:t>
      </w:r>
    </w:p>
    <w:p w14:paraId="0096747A" w14:textId="77777777" w:rsidR="002F3CFF" w:rsidRDefault="002F3CFF" w:rsidP="00CE1CDF">
      <w:pPr>
        <w:spacing w:line="360" w:lineRule="auto"/>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Pietermaritzburg</w:t>
      </w:r>
    </w:p>
    <w:p w14:paraId="26FF0B0B" w14:textId="77777777" w:rsidR="002F3CFF" w:rsidRPr="00A44543" w:rsidRDefault="002F3CFF" w:rsidP="00CE1CDF">
      <w:pPr>
        <w:spacing w:line="360" w:lineRule="auto"/>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(Ref: J</w:t>
      </w:r>
      <w:r w:rsidR="003B655C">
        <w:rPr>
          <w:rFonts w:ascii="Arial" w:hAnsi="Arial" w:cs="Arial"/>
          <w:szCs w:val="24"/>
        </w:rPr>
        <w:t>CS)</w:t>
      </w:r>
    </w:p>
    <w:p w14:paraId="21576A9C" w14:textId="77777777" w:rsidR="0035214A" w:rsidRPr="00A44543" w:rsidRDefault="0035214A" w:rsidP="00CE1CDF">
      <w:pPr>
        <w:spacing w:line="360" w:lineRule="auto"/>
        <w:jc w:val="both"/>
        <w:rPr>
          <w:rFonts w:ascii="Arial" w:hAnsi="Arial" w:cs="Arial"/>
          <w:szCs w:val="24"/>
        </w:rPr>
      </w:pPr>
    </w:p>
    <w:p w14:paraId="31A197D6" w14:textId="7D83281F" w:rsidR="00AB7EED" w:rsidRPr="00A44543" w:rsidRDefault="003B655C" w:rsidP="00CE1CDF">
      <w:pPr>
        <w:spacing w:line="360" w:lineRule="auto"/>
        <w:jc w:val="both"/>
        <w:rPr>
          <w:rFonts w:ascii="Arial" w:hAnsi="Arial" w:cs="Arial"/>
          <w:szCs w:val="24"/>
        </w:rPr>
      </w:pPr>
      <w:r w:rsidRPr="00A44543">
        <w:rPr>
          <w:rFonts w:ascii="Arial" w:hAnsi="Arial" w:cs="Arial"/>
          <w:szCs w:val="24"/>
        </w:rPr>
        <w:t xml:space="preserve">For </w:t>
      </w:r>
      <w:r w:rsidR="00AA7B5F">
        <w:rPr>
          <w:rFonts w:ascii="Arial" w:hAnsi="Arial" w:cs="Arial"/>
          <w:szCs w:val="24"/>
        </w:rPr>
        <w:t xml:space="preserve">second </w:t>
      </w:r>
      <w:r w:rsidR="00AA7B5F" w:rsidRPr="00A44543">
        <w:rPr>
          <w:rFonts w:ascii="Arial" w:hAnsi="Arial" w:cs="Arial"/>
          <w:szCs w:val="24"/>
        </w:rPr>
        <w:t>defendant</w:t>
      </w:r>
      <w:r w:rsidR="00B34884" w:rsidRPr="00A44543">
        <w:rPr>
          <w:rFonts w:ascii="Arial" w:hAnsi="Arial" w:cs="Arial"/>
          <w:szCs w:val="24"/>
        </w:rPr>
        <w:t>:</w:t>
      </w:r>
      <w:r w:rsidR="00674618" w:rsidRPr="00A44543">
        <w:rPr>
          <w:rFonts w:ascii="Arial" w:hAnsi="Arial" w:cs="Arial"/>
          <w:szCs w:val="24"/>
        </w:rPr>
        <w:t xml:space="preserve"> </w:t>
      </w:r>
      <w:r w:rsidR="00030188" w:rsidRPr="00A44543">
        <w:rPr>
          <w:rFonts w:ascii="Arial" w:hAnsi="Arial" w:cs="Arial"/>
          <w:szCs w:val="24"/>
        </w:rPr>
        <w:tab/>
      </w:r>
      <w:r>
        <w:rPr>
          <w:rFonts w:ascii="Arial" w:hAnsi="Arial" w:cs="Arial"/>
          <w:szCs w:val="24"/>
        </w:rPr>
        <w:t xml:space="preserve">Ms AM Annandale SC </w:t>
      </w:r>
    </w:p>
    <w:p w14:paraId="1F4AAE92" w14:textId="77777777" w:rsidR="00030188" w:rsidRPr="00A44543" w:rsidRDefault="00030188" w:rsidP="00CE1CDF">
      <w:pPr>
        <w:spacing w:line="360" w:lineRule="auto"/>
        <w:ind w:left="2160" w:firstLine="720"/>
        <w:jc w:val="both"/>
        <w:rPr>
          <w:rFonts w:ascii="Arial" w:hAnsi="Arial" w:cs="Arial"/>
          <w:szCs w:val="24"/>
        </w:rPr>
      </w:pPr>
    </w:p>
    <w:p w14:paraId="0F17CD41" w14:textId="77777777" w:rsidR="003B655C" w:rsidRDefault="00AB7EED" w:rsidP="00CE1CDF">
      <w:pPr>
        <w:spacing w:line="360" w:lineRule="auto"/>
        <w:jc w:val="both"/>
        <w:rPr>
          <w:rFonts w:ascii="Arial" w:hAnsi="Arial" w:cs="Arial"/>
          <w:szCs w:val="24"/>
        </w:rPr>
      </w:pPr>
      <w:r w:rsidRPr="00A44543">
        <w:rPr>
          <w:rFonts w:ascii="Arial" w:hAnsi="Arial" w:cs="Arial"/>
          <w:szCs w:val="24"/>
        </w:rPr>
        <w:t>Instructed by</w:t>
      </w:r>
      <w:r w:rsidRPr="00A44543">
        <w:rPr>
          <w:rFonts w:ascii="Arial" w:hAnsi="Arial" w:cs="Arial"/>
          <w:szCs w:val="24"/>
        </w:rPr>
        <w:tab/>
        <w:t>:</w:t>
      </w:r>
      <w:r w:rsidR="00030188" w:rsidRPr="00A44543">
        <w:rPr>
          <w:rFonts w:ascii="Arial" w:hAnsi="Arial" w:cs="Arial"/>
          <w:szCs w:val="24"/>
        </w:rPr>
        <w:tab/>
      </w:r>
      <w:r w:rsidR="00030188" w:rsidRPr="00A44543">
        <w:rPr>
          <w:rFonts w:ascii="Arial" w:hAnsi="Arial" w:cs="Arial"/>
          <w:szCs w:val="24"/>
        </w:rPr>
        <w:tab/>
      </w:r>
      <w:r w:rsidR="003B655C">
        <w:rPr>
          <w:rFonts w:ascii="Arial" w:hAnsi="Arial" w:cs="Arial"/>
          <w:szCs w:val="24"/>
        </w:rPr>
        <w:t>Grant &amp; Swanepoel Attorneys Inc.</w:t>
      </w:r>
    </w:p>
    <w:p w14:paraId="1F29E6E8" w14:textId="77777777" w:rsidR="003B655C" w:rsidRDefault="003B655C" w:rsidP="00CE1CDF">
      <w:pPr>
        <w:spacing w:line="360" w:lineRule="auto"/>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Suite 1, The Mews</w:t>
      </w:r>
    </w:p>
    <w:p w14:paraId="258C1B87" w14:textId="77777777" w:rsidR="003B655C" w:rsidRDefault="003B655C" w:rsidP="00CE1CDF">
      <w:pPr>
        <w:spacing w:line="360" w:lineRule="auto"/>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Redlands Estate</w:t>
      </w:r>
    </w:p>
    <w:p w14:paraId="0B08BF95" w14:textId="77777777" w:rsidR="003B655C" w:rsidRDefault="003B655C" w:rsidP="00CE1CDF">
      <w:pPr>
        <w:spacing w:line="360" w:lineRule="auto"/>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 George MacFarlane Lane</w:t>
      </w:r>
    </w:p>
    <w:p w14:paraId="69AA756E" w14:textId="77777777" w:rsidR="003B655C" w:rsidRDefault="003B655C" w:rsidP="00CE1CDF">
      <w:pPr>
        <w:spacing w:line="360" w:lineRule="auto"/>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Wembley</w:t>
      </w:r>
    </w:p>
    <w:p w14:paraId="4B67EB4B" w14:textId="77777777" w:rsidR="00A70039" w:rsidRDefault="00A70039" w:rsidP="00CE1CDF">
      <w:pPr>
        <w:spacing w:line="360" w:lineRule="auto"/>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Pietermaritzburg</w:t>
      </w:r>
    </w:p>
    <w:p w14:paraId="6CBA74CF" w14:textId="77777777" w:rsidR="00A70039" w:rsidRDefault="00A70039" w:rsidP="00CE1CDF">
      <w:pPr>
        <w:spacing w:line="360" w:lineRule="auto"/>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Tel: (033) 342 0375</w:t>
      </w:r>
    </w:p>
    <w:p w14:paraId="48201DDD" w14:textId="77777777" w:rsidR="00A70039" w:rsidRPr="002204A3" w:rsidRDefault="00A70039" w:rsidP="00CE1CDF">
      <w:pPr>
        <w:spacing w:line="360" w:lineRule="auto"/>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E-mail: michael@gsalaw.co.za</w:t>
      </w:r>
    </w:p>
    <w:p w14:paraId="13267A15" w14:textId="77777777" w:rsidR="00A70039" w:rsidRPr="002204A3" w:rsidRDefault="003B655C" w:rsidP="00CE1CDF">
      <w:pPr>
        <w:spacing w:line="360" w:lineRule="auto"/>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(Ref: Michael Swanepoel/Rufaida/02W002321)</w:t>
      </w:r>
    </w:p>
    <w:sectPr w:rsidR="00A70039" w:rsidRPr="002204A3" w:rsidSect="005D5CC4">
      <w:headerReference w:type="even" r:id="rId9"/>
      <w:headerReference w:type="default" r:id="rId10"/>
      <w:footerReference w:type="default" r:id="rId11"/>
      <w:footerReference w:type="first" r:id="rId12"/>
      <w:pgSz w:w="11907" w:h="16840" w:code="9"/>
      <w:pgMar w:top="1440" w:right="1440" w:bottom="1440" w:left="1440" w:header="709" w:footer="709" w:gutter="0"/>
      <w:cols w:space="708"/>
      <w:titlePg/>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409FB" w14:textId="77777777" w:rsidR="001D33A8" w:rsidRDefault="001D33A8">
      <w:r>
        <w:separator/>
      </w:r>
    </w:p>
  </w:endnote>
  <w:endnote w:type="continuationSeparator" w:id="0">
    <w:p w14:paraId="163EBF75" w14:textId="77777777" w:rsidR="001D33A8" w:rsidRDefault="001D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6329" w14:textId="77777777" w:rsidR="0056262C" w:rsidRDefault="0056262C">
    <w:pPr>
      <w:pStyle w:val="Footer"/>
      <w:jc w:val="right"/>
    </w:pPr>
  </w:p>
  <w:p w14:paraId="4F1D2157" w14:textId="77777777" w:rsidR="0056262C" w:rsidRDefault="00562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316093"/>
      <w:docPartObj>
        <w:docPartGallery w:val="Page Numbers (Bottom of Page)"/>
        <w:docPartUnique/>
      </w:docPartObj>
    </w:sdtPr>
    <w:sdtEndPr/>
    <w:sdtContent>
      <w:sdt>
        <w:sdtPr>
          <w:id w:val="-1769616900"/>
          <w:docPartObj>
            <w:docPartGallery w:val="Page Numbers (Top of Page)"/>
            <w:docPartUnique/>
          </w:docPartObj>
        </w:sdtPr>
        <w:sdtEndPr/>
        <w:sdtContent>
          <w:p w14:paraId="0C58E5B9" w14:textId="77777777" w:rsidR="0056262C" w:rsidRDefault="001D33A8">
            <w:pPr>
              <w:pStyle w:val="Footer"/>
              <w:jc w:val="right"/>
            </w:pPr>
          </w:p>
        </w:sdtContent>
      </w:sdt>
    </w:sdtContent>
  </w:sdt>
  <w:p w14:paraId="4971A82C" w14:textId="77777777" w:rsidR="0056262C" w:rsidRDefault="00562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E0D9C" w14:textId="77777777" w:rsidR="001D33A8" w:rsidRDefault="001D33A8">
      <w:r>
        <w:separator/>
      </w:r>
    </w:p>
  </w:footnote>
  <w:footnote w:type="continuationSeparator" w:id="0">
    <w:p w14:paraId="2204760E" w14:textId="77777777" w:rsidR="001D33A8" w:rsidRDefault="001D33A8">
      <w:r>
        <w:continuationSeparator/>
      </w:r>
    </w:p>
  </w:footnote>
  <w:footnote w:id="1">
    <w:p w14:paraId="018EE469" w14:textId="77777777"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i/>
        </w:rPr>
        <w:t xml:space="preserve">Living Hands (Pty) Ltd and another v Ditz and others </w:t>
      </w:r>
      <w:r w:rsidRPr="009761A7">
        <w:rPr>
          <w:rFonts w:ascii="Arial" w:hAnsi="Arial" w:cs="Arial"/>
        </w:rPr>
        <w:t>2013 (2) SA 368 (GSJ) para 15.</w:t>
      </w:r>
    </w:p>
  </w:footnote>
  <w:footnote w:id="2">
    <w:p w14:paraId="61DD3B3A" w14:textId="77777777"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i/>
        </w:rPr>
        <w:t xml:space="preserve">Fairlands (Pty) Ltd v Inter-Continental Motors (Pty) Ltd </w:t>
      </w:r>
      <w:r w:rsidRPr="009761A7">
        <w:rPr>
          <w:rFonts w:ascii="Arial" w:hAnsi="Arial" w:cs="Arial"/>
        </w:rPr>
        <w:t>1972 (2) SA 270 (A) at 275G-H.</w:t>
      </w:r>
    </w:p>
  </w:footnote>
  <w:footnote w:id="3">
    <w:p w14:paraId="7F360AEA" w14:textId="77777777"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i/>
        </w:rPr>
        <w:t xml:space="preserve">Fundstrust (Pty) Ltd (in liquidation) v Van Deventer </w:t>
      </w:r>
      <w:r w:rsidRPr="00F670C8">
        <w:rPr>
          <w:rFonts w:ascii="Arial" w:hAnsi="Arial" w:cs="Arial"/>
        </w:rPr>
        <w:t>1997</w:t>
      </w:r>
      <w:r w:rsidRPr="009761A7">
        <w:rPr>
          <w:rFonts w:ascii="Arial" w:hAnsi="Arial" w:cs="Arial"/>
          <w:i/>
        </w:rPr>
        <w:t xml:space="preserve"> </w:t>
      </w:r>
      <w:r w:rsidRPr="009761A7">
        <w:rPr>
          <w:rFonts w:ascii="Arial" w:hAnsi="Arial" w:cs="Arial"/>
        </w:rPr>
        <w:t>(1) SA 710 (A) at 725H-726B.</w:t>
      </w:r>
    </w:p>
  </w:footnote>
  <w:footnote w:id="4">
    <w:p w14:paraId="574DBF6C" w14:textId="3064D8A3"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i/>
        </w:rPr>
        <w:t xml:space="preserve">Hlumisa Investment Holdings RF Ltd and another v Kirkinis and others </w:t>
      </w:r>
      <w:r w:rsidRPr="009761A7">
        <w:rPr>
          <w:rFonts w:ascii="Arial" w:hAnsi="Arial" w:cs="Arial"/>
        </w:rPr>
        <w:t>2019 (4) SA 569 (GP).</w:t>
      </w:r>
    </w:p>
  </w:footnote>
  <w:footnote w:id="5">
    <w:p w14:paraId="5CB57B5B" w14:textId="368F2AB1"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lang w:val="en-GB"/>
        </w:rPr>
        <w:t xml:space="preserve">P Delport </w:t>
      </w:r>
      <w:r w:rsidRPr="009761A7">
        <w:rPr>
          <w:rFonts w:ascii="Arial" w:hAnsi="Arial" w:cs="Arial"/>
          <w:i/>
          <w:lang w:val="en-GB"/>
        </w:rPr>
        <w:t>Henochsberg on the Companies Act 71 of 2008</w:t>
      </w:r>
      <w:r w:rsidRPr="009761A7">
        <w:rPr>
          <w:rFonts w:ascii="Arial" w:hAnsi="Arial" w:cs="Arial"/>
          <w:lang w:val="en-GB"/>
        </w:rPr>
        <w:t xml:space="preserve"> (May 2022 - SI 28) at 118(3).</w:t>
      </w:r>
    </w:p>
  </w:footnote>
  <w:footnote w:id="6">
    <w:p w14:paraId="16DC00B4" w14:textId="106BA527"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F670C8">
        <w:rPr>
          <w:rFonts w:ascii="Arial" w:hAnsi="Arial" w:cs="Arial"/>
          <w:i/>
        </w:rPr>
        <w:t>Rabinowitz v Van Graan and others</w:t>
      </w:r>
      <w:r w:rsidRPr="009761A7">
        <w:rPr>
          <w:rFonts w:ascii="Arial" w:hAnsi="Arial" w:cs="Arial"/>
        </w:rPr>
        <w:t xml:space="preserve"> 2013 (5) SA 315 (GSJ).</w:t>
      </w:r>
    </w:p>
  </w:footnote>
  <w:footnote w:id="7">
    <w:p w14:paraId="48C0FB8A" w14:textId="48A817A5" w:rsidR="0056262C" w:rsidRPr="00F670C8" w:rsidRDefault="0056262C" w:rsidP="009761A7">
      <w:pPr>
        <w:pStyle w:val="FootnoteText"/>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00552CD5" w:rsidRPr="009761A7">
        <w:rPr>
          <w:rFonts w:ascii="Arial" w:hAnsi="Arial" w:cs="Arial"/>
          <w:lang w:val="en-GB"/>
        </w:rPr>
        <w:t>Paragraph 9 of Schedule 5 of</w:t>
      </w:r>
      <w:r w:rsidRPr="009761A7">
        <w:rPr>
          <w:rFonts w:ascii="Arial" w:hAnsi="Arial" w:cs="Arial"/>
          <w:lang w:val="en-GB"/>
        </w:rPr>
        <w:t xml:space="preserve"> the Companies Act 71 of 2008</w:t>
      </w:r>
      <w:r w:rsidR="00552CD5" w:rsidRPr="009761A7">
        <w:rPr>
          <w:rFonts w:ascii="Arial" w:hAnsi="Arial" w:cs="Arial"/>
          <w:lang w:val="en-GB"/>
        </w:rPr>
        <w:t>.</w:t>
      </w:r>
      <w:r w:rsidRPr="009761A7">
        <w:rPr>
          <w:rFonts w:ascii="Arial" w:hAnsi="Arial" w:cs="Arial"/>
          <w:lang w:val="en-GB"/>
        </w:rPr>
        <w:t xml:space="preserve"> </w:t>
      </w:r>
    </w:p>
  </w:footnote>
  <w:footnote w:id="8">
    <w:p w14:paraId="5A855D14" w14:textId="1D355AAE"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lang w:val="en-GB"/>
        </w:rPr>
        <w:t xml:space="preserve">P Delport </w:t>
      </w:r>
      <w:r w:rsidRPr="009761A7">
        <w:rPr>
          <w:rFonts w:ascii="Arial" w:hAnsi="Arial" w:cs="Arial"/>
          <w:i/>
          <w:lang w:val="en-GB"/>
        </w:rPr>
        <w:t>Henochsberg on the Companies Act 71 of 2008</w:t>
      </w:r>
      <w:r w:rsidRPr="009761A7">
        <w:rPr>
          <w:rFonts w:ascii="Arial" w:hAnsi="Arial" w:cs="Arial"/>
          <w:lang w:val="en-GB"/>
        </w:rPr>
        <w:t xml:space="preserve"> (May 2022 - SI 28) at 118(2)-118(3)</w:t>
      </w:r>
      <w:r w:rsidR="00D867B4" w:rsidRPr="009761A7">
        <w:rPr>
          <w:rFonts w:ascii="Arial" w:hAnsi="Arial" w:cs="Arial"/>
          <w:lang w:val="en-GB"/>
        </w:rPr>
        <w:t>.</w:t>
      </w:r>
    </w:p>
  </w:footnote>
  <w:footnote w:id="9">
    <w:p w14:paraId="4B5925C4" w14:textId="6D61046C"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i/>
        </w:rPr>
        <w:t xml:space="preserve">De Bruyn v Steinhoff International Holdings NV and </w:t>
      </w:r>
      <w:r w:rsidR="000D3692" w:rsidRPr="009761A7">
        <w:rPr>
          <w:rFonts w:ascii="Arial" w:hAnsi="Arial" w:cs="Arial"/>
          <w:i/>
        </w:rPr>
        <w:t xml:space="preserve">others </w:t>
      </w:r>
      <w:r w:rsidRPr="009761A7">
        <w:rPr>
          <w:rFonts w:ascii="Arial" w:hAnsi="Arial" w:cs="Arial"/>
        </w:rPr>
        <w:t>2022 (1) SA 442 (GJ).</w:t>
      </w:r>
    </w:p>
  </w:footnote>
  <w:footnote w:id="10">
    <w:p w14:paraId="7FB535E8" w14:textId="1134AF7A"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i/>
        </w:rPr>
        <w:t>Rabinowitz v Van Graan and others</w:t>
      </w:r>
      <w:r w:rsidRPr="009761A7">
        <w:rPr>
          <w:rFonts w:ascii="Arial" w:hAnsi="Arial" w:cs="Arial"/>
        </w:rPr>
        <w:t xml:space="preserve"> 2013 (5) SA 315 (GSJ) para 17.</w:t>
      </w:r>
    </w:p>
  </w:footnote>
  <w:footnote w:id="11">
    <w:p w14:paraId="17AF21AB" w14:textId="4E4161F6"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lang w:val="en-GB"/>
        </w:rPr>
        <w:t>Ibid para 13.</w:t>
      </w:r>
    </w:p>
  </w:footnote>
  <w:footnote w:id="12">
    <w:p w14:paraId="6DEFB58D" w14:textId="77777777"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lang w:val="en-GB"/>
        </w:rPr>
        <w:t>Ibid para 18.</w:t>
      </w:r>
    </w:p>
  </w:footnote>
  <w:footnote w:id="13">
    <w:p w14:paraId="225F6B9E" w14:textId="5BE29F01"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lang w:val="en-GB"/>
        </w:rPr>
        <w:t>Ibid para 22.</w:t>
      </w:r>
    </w:p>
  </w:footnote>
  <w:footnote w:id="14">
    <w:p w14:paraId="1D1EBECF" w14:textId="01F3992B" w:rsidR="005C6509" w:rsidRPr="00F670C8" w:rsidRDefault="005C6509" w:rsidP="009761A7">
      <w:pPr>
        <w:pStyle w:val="FootnoteText"/>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lang w:val="en-GB"/>
        </w:rPr>
        <w:t>Ibid para 21.</w:t>
      </w:r>
    </w:p>
  </w:footnote>
  <w:footnote w:id="15">
    <w:p w14:paraId="2E5F8A76" w14:textId="109A5DE1"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005C6509" w:rsidRPr="009761A7">
        <w:rPr>
          <w:rFonts w:ascii="Arial" w:hAnsi="Arial" w:cs="Arial"/>
          <w:lang w:val="en-GB"/>
        </w:rPr>
        <w:t>Ibid</w:t>
      </w:r>
      <w:r w:rsidRPr="009761A7">
        <w:rPr>
          <w:rFonts w:ascii="Arial" w:hAnsi="Arial" w:cs="Arial"/>
          <w:lang w:val="en-GB"/>
        </w:rPr>
        <w:t>.</w:t>
      </w:r>
    </w:p>
  </w:footnote>
  <w:footnote w:id="16">
    <w:p w14:paraId="7FE7592D" w14:textId="16AEEED7"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i/>
        </w:rPr>
        <w:t xml:space="preserve">Chemfit Fine Chemicals (Pty) Ltd v Maake </w:t>
      </w:r>
      <w:r w:rsidRPr="009761A7">
        <w:rPr>
          <w:rFonts w:ascii="Arial" w:hAnsi="Arial" w:cs="Arial"/>
        </w:rPr>
        <w:t>2017 JDR 1473 (LP).</w:t>
      </w:r>
    </w:p>
  </w:footnote>
  <w:footnote w:id="17">
    <w:p w14:paraId="2799CE3E" w14:textId="48CC727E"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lang w:val="en-GB"/>
        </w:rPr>
        <w:t>Ibid para 25.</w:t>
      </w:r>
    </w:p>
  </w:footnote>
  <w:footnote w:id="18">
    <w:p w14:paraId="18FE30BF" w14:textId="33A1EF9F"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lang w:val="en-GB"/>
        </w:rPr>
        <w:t>Ibid para 36.</w:t>
      </w:r>
    </w:p>
  </w:footnote>
  <w:footnote w:id="19">
    <w:p w14:paraId="16F62815" w14:textId="21761578"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F670C8">
        <w:rPr>
          <w:rFonts w:ascii="Arial" w:hAnsi="Arial" w:cs="Arial"/>
          <w:i/>
        </w:rPr>
        <w:t xml:space="preserve">Maake and </w:t>
      </w:r>
      <w:r w:rsidRPr="009761A7">
        <w:rPr>
          <w:rFonts w:ascii="Arial" w:hAnsi="Arial" w:cs="Arial"/>
          <w:i/>
        </w:rPr>
        <w:t xml:space="preserve">others </w:t>
      </w:r>
      <w:r w:rsidRPr="00F670C8">
        <w:rPr>
          <w:rFonts w:ascii="Arial" w:hAnsi="Arial" w:cs="Arial"/>
          <w:i/>
        </w:rPr>
        <w:t>v Chemfit Finechemical (Proprietary) Limited</w:t>
      </w:r>
      <w:r w:rsidRPr="009761A7">
        <w:rPr>
          <w:rFonts w:ascii="Arial" w:hAnsi="Arial" w:cs="Arial"/>
        </w:rPr>
        <w:t xml:space="preserve"> [2018] ZALMPPHC 71.</w:t>
      </w:r>
    </w:p>
  </w:footnote>
  <w:footnote w:id="20">
    <w:p w14:paraId="2F304BDC" w14:textId="1F8F9509"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lang w:val="en-GB"/>
        </w:rPr>
        <w:t>Ibid para 37.</w:t>
      </w:r>
    </w:p>
  </w:footnote>
  <w:footnote w:id="21">
    <w:p w14:paraId="3D7F4D3C" w14:textId="3502AB99"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i/>
        </w:rPr>
        <w:t xml:space="preserve">Blue Farm Fashion Limited v Rapitrade 6 (Pty) Limited and others </w:t>
      </w:r>
      <w:r w:rsidRPr="009761A7">
        <w:rPr>
          <w:rFonts w:ascii="Arial" w:hAnsi="Arial" w:cs="Arial"/>
        </w:rPr>
        <w:t>[2016] JOL 35613 (WCC).</w:t>
      </w:r>
    </w:p>
  </w:footnote>
  <w:footnote w:id="22">
    <w:p w14:paraId="32B4A97A" w14:textId="0E26008B"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lang w:val="en-GB"/>
        </w:rPr>
        <w:t>Ibid para 30.</w:t>
      </w:r>
    </w:p>
  </w:footnote>
  <w:footnote w:id="23">
    <w:p w14:paraId="25B249F5" w14:textId="2270FFB7"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lang w:val="en-GB"/>
        </w:rPr>
        <w:t>Ibid para</w:t>
      </w:r>
      <w:r w:rsidR="000D3692" w:rsidRPr="009761A7">
        <w:rPr>
          <w:rFonts w:ascii="Arial" w:hAnsi="Arial" w:cs="Arial"/>
          <w:lang w:val="en-GB"/>
        </w:rPr>
        <w:t>s</w:t>
      </w:r>
      <w:r w:rsidRPr="009761A7">
        <w:rPr>
          <w:rFonts w:ascii="Arial" w:hAnsi="Arial" w:cs="Arial"/>
          <w:lang w:val="en-GB"/>
        </w:rPr>
        <w:t xml:space="preserve"> 31-32.</w:t>
      </w:r>
    </w:p>
  </w:footnote>
  <w:footnote w:id="24">
    <w:p w14:paraId="741C37B4" w14:textId="25DB4068"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i/>
        </w:rPr>
        <w:t xml:space="preserve">Meatworld Factory CC v ET Trading House (Pty) Ltd </w:t>
      </w:r>
      <w:r w:rsidRPr="009761A7">
        <w:rPr>
          <w:rFonts w:ascii="Arial" w:hAnsi="Arial" w:cs="Arial"/>
        </w:rPr>
        <w:t>2019 JDR 1351 (GJ).</w:t>
      </w:r>
    </w:p>
  </w:footnote>
  <w:footnote w:id="25">
    <w:p w14:paraId="23E96234" w14:textId="50B26D15"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lang w:val="en-GB"/>
        </w:rPr>
        <w:t>Ibid para 37.</w:t>
      </w:r>
    </w:p>
  </w:footnote>
  <w:footnote w:id="26">
    <w:p w14:paraId="416EEE6D" w14:textId="352AD236"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i/>
        </w:rPr>
        <w:t xml:space="preserve">Gihwala and others v Grancy Property Ltd and others </w:t>
      </w:r>
      <w:r w:rsidRPr="00F670C8">
        <w:rPr>
          <w:rFonts w:ascii="Arial" w:hAnsi="Arial" w:cs="Arial"/>
        </w:rPr>
        <w:t xml:space="preserve">[2016] ZASCA 35; </w:t>
      </w:r>
      <w:r w:rsidRPr="009761A7">
        <w:rPr>
          <w:rFonts w:ascii="Arial" w:hAnsi="Arial" w:cs="Arial"/>
        </w:rPr>
        <w:t>2017 (2) SA 337 (SCA).</w:t>
      </w:r>
    </w:p>
  </w:footnote>
  <w:footnote w:id="27">
    <w:p w14:paraId="3FA7DFAC" w14:textId="66EE215E"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lang w:val="en-GB"/>
        </w:rPr>
        <w:t>Ibid para 120.</w:t>
      </w:r>
    </w:p>
  </w:footnote>
  <w:footnote w:id="28">
    <w:p w14:paraId="59551F41" w14:textId="51B9D878"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i/>
        </w:rPr>
        <w:t xml:space="preserve">Meatworld Factory CC v ET Trading House (Pty) Ltd </w:t>
      </w:r>
      <w:r w:rsidRPr="009761A7">
        <w:rPr>
          <w:rFonts w:ascii="Arial" w:hAnsi="Arial" w:cs="Arial"/>
        </w:rPr>
        <w:t>2019 JDR 1351 (GJ) para 34.</w:t>
      </w:r>
    </w:p>
  </w:footnote>
  <w:footnote w:id="29">
    <w:p w14:paraId="3E31B77A" w14:textId="6A31A1E8"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i/>
        </w:rPr>
        <w:t xml:space="preserve">Ebrahim and another v Airport Cold Storage (Pty) Ltd </w:t>
      </w:r>
      <w:r w:rsidRPr="009761A7">
        <w:rPr>
          <w:rFonts w:ascii="Arial" w:hAnsi="Arial" w:cs="Arial"/>
        </w:rPr>
        <w:t>[2008] ZASCA 113; 2008 (6) SA 585 (SCA) para 16.</w:t>
      </w:r>
    </w:p>
  </w:footnote>
  <w:footnote w:id="30">
    <w:p w14:paraId="6A5EE775" w14:textId="3F26B180"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i/>
        </w:rPr>
        <w:t xml:space="preserve">Meatworld Factory CC v ET Trading House (Pty) Ltd </w:t>
      </w:r>
      <w:r w:rsidRPr="009761A7">
        <w:rPr>
          <w:rFonts w:ascii="Arial" w:hAnsi="Arial" w:cs="Arial"/>
        </w:rPr>
        <w:t>2019 JDR 1351 (GJ) fn 16.</w:t>
      </w:r>
    </w:p>
  </w:footnote>
  <w:footnote w:id="31">
    <w:p w14:paraId="0E8B8966" w14:textId="3F7C7D42"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lang w:val="en-GB"/>
        </w:rPr>
        <w:t>Ibid para 35.</w:t>
      </w:r>
    </w:p>
  </w:footnote>
  <w:footnote w:id="32">
    <w:p w14:paraId="6DD05A89" w14:textId="5280CF1C"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i/>
        </w:rPr>
        <w:t xml:space="preserve">Metro Minds (Pty) Limited v Pienaar </w:t>
      </w:r>
      <w:r w:rsidRPr="009761A7">
        <w:rPr>
          <w:rFonts w:ascii="Arial" w:hAnsi="Arial" w:cs="Arial"/>
        </w:rPr>
        <w:t>[2020] JOL 49546 (GP).</w:t>
      </w:r>
    </w:p>
  </w:footnote>
  <w:footnote w:id="33">
    <w:p w14:paraId="7F2D9E1B" w14:textId="1088A03A"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i/>
        </w:rPr>
        <w:t xml:space="preserve">Ebrahim and another v Airport Cold Storage (Pty) Ltd </w:t>
      </w:r>
      <w:r w:rsidRPr="009761A7">
        <w:rPr>
          <w:rFonts w:ascii="Arial" w:hAnsi="Arial" w:cs="Arial"/>
        </w:rPr>
        <w:t>[2008] ZASCA 113; 2008 (6) SA 585 (SCA).</w:t>
      </w:r>
    </w:p>
  </w:footnote>
  <w:footnote w:id="34">
    <w:p w14:paraId="6C4800BA" w14:textId="1CA37119" w:rsidR="0012028D" w:rsidRPr="00F670C8" w:rsidRDefault="0012028D"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i/>
        </w:rPr>
        <w:t xml:space="preserve">Metro Minds (Pty) Limited v Pienaar </w:t>
      </w:r>
      <w:r w:rsidRPr="009761A7">
        <w:rPr>
          <w:rFonts w:ascii="Arial" w:hAnsi="Arial" w:cs="Arial"/>
        </w:rPr>
        <w:t>[2020] JOL 49546 (GP)</w:t>
      </w:r>
      <w:r w:rsidRPr="009761A7">
        <w:rPr>
          <w:rFonts w:ascii="Arial" w:hAnsi="Arial" w:cs="Arial"/>
          <w:lang w:val="en-GB"/>
        </w:rPr>
        <w:t xml:space="preserve"> para 30.</w:t>
      </w:r>
    </w:p>
  </w:footnote>
  <w:footnote w:id="35">
    <w:p w14:paraId="719B8F62" w14:textId="0BE9B7D0"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lang w:val="en-GB"/>
        </w:rPr>
        <w:t>Ibid para 32.</w:t>
      </w:r>
    </w:p>
  </w:footnote>
  <w:footnote w:id="36">
    <w:p w14:paraId="0EEFF7E1" w14:textId="2F9186AE"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See </w:t>
      </w:r>
      <w:r w:rsidRPr="009761A7">
        <w:rPr>
          <w:rFonts w:ascii="Arial" w:hAnsi="Arial" w:cs="Arial"/>
          <w:i/>
        </w:rPr>
        <w:t xml:space="preserve">Dadoo Ltd and others v Krugersdorp Municipal Council </w:t>
      </w:r>
      <w:r w:rsidRPr="009761A7">
        <w:rPr>
          <w:rFonts w:ascii="Arial" w:hAnsi="Arial" w:cs="Arial"/>
        </w:rPr>
        <w:t xml:space="preserve">1920 AD 530 at 550–551; </w:t>
      </w:r>
      <w:r w:rsidRPr="009761A7">
        <w:rPr>
          <w:rFonts w:ascii="Arial" w:hAnsi="Arial" w:cs="Arial"/>
          <w:i/>
        </w:rPr>
        <w:t xml:space="preserve">Salomon v  Salomon &amp; Company Limited </w:t>
      </w:r>
      <w:r w:rsidRPr="009761A7">
        <w:rPr>
          <w:rFonts w:ascii="Arial" w:hAnsi="Arial" w:cs="Arial"/>
        </w:rPr>
        <w:t>[1897] AC 22 (HL) at 42–43</w:t>
      </w:r>
      <w:r w:rsidR="00AA7B5F" w:rsidRPr="009761A7">
        <w:rPr>
          <w:rFonts w:ascii="Arial" w:hAnsi="Arial" w:cs="Arial"/>
        </w:rPr>
        <w:t>;</w:t>
      </w:r>
      <w:r w:rsidRPr="009761A7">
        <w:rPr>
          <w:rFonts w:ascii="Arial" w:hAnsi="Arial" w:cs="Arial"/>
        </w:rPr>
        <w:t xml:space="preserve"> </w:t>
      </w:r>
      <w:r w:rsidRPr="00F670C8">
        <w:rPr>
          <w:rFonts w:ascii="Arial" w:hAnsi="Arial" w:cs="Arial"/>
          <w:i/>
        </w:rPr>
        <w:t>Hlumisa Investment Holdings RF Ltd and another v Kirkinis and others</w:t>
      </w:r>
      <w:r w:rsidRPr="009761A7">
        <w:rPr>
          <w:rFonts w:ascii="Arial" w:hAnsi="Arial" w:cs="Arial"/>
        </w:rPr>
        <w:t xml:space="preserve"> [2020] ZASCA 83; 2020 (5) SA 419 (SCA) para 42.</w:t>
      </w:r>
    </w:p>
  </w:footnote>
  <w:footnote w:id="37">
    <w:p w14:paraId="5F9FC536" w14:textId="0046E130"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i/>
        </w:rPr>
        <w:t xml:space="preserve">Gihwala and others v Grancy Property Ltd and others </w:t>
      </w:r>
      <w:r w:rsidRPr="009761A7">
        <w:rPr>
          <w:rFonts w:ascii="Arial" w:hAnsi="Arial" w:cs="Arial"/>
        </w:rPr>
        <w:t>[2016] ZASCA 35; 2017 (2) SA 337 (SCA).</w:t>
      </w:r>
    </w:p>
  </w:footnote>
  <w:footnote w:id="38">
    <w:p w14:paraId="2E140C88" w14:textId="27A2939D"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color w:val="000000"/>
        </w:rPr>
        <w:t>F</w:t>
      </w:r>
      <w:r w:rsidR="00436541" w:rsidRPr="009761A7">
        <w:rPr>
          <w:rFonts w:ascii="Arial" w:hAnsi="Arial" w:cs="Arial"/>
          <w:color w:val="000000"/>
        </w:rPr>
        <w:t xml:space="preserve"> </w:t>
      </w:r>
      <w:r w:rsidRPr="009761A7">
        <w:rPr>
          <w:rFonts w:ascii="Arial" w:hAnsi="Arial" w:cs="Arial"/>
          <w:color w:val="000000"/>
        </w:rPr>
        <w:t>H</w:t>
      </w:r>
      <w:r w:rsidR="00436541" w:rsidRPr="009761A7">
        <w:rPr>
          <w:rFonts w:ascii="Arial" w:hAnsi="Arial" w:cs="Arial"/>
          <w:color w:val="000000"/>
        </w:rPr>
        <w:t xml:space="preserve"> </w:t>
      </w:r>
      <w:r w:rsidRPr="009761A7">
        <w:rPr>
          <w:rFonts w:ascii="Arial" w:hAnsi="Arial" w:cs="Arial"/>
          <w:color w:val="000000"/>
        </w:rPr>
        <w:t>I Cassim et al </w:t>
      </w:r>
      <w:r w:rsidRPr="009761A7">
        <w:rPr>
          <w:rFonts w:ascii="Arial" w:hAnsi="Arial" w:cs="Arial"/>
          <w:i/>
          <w:iCs/>
          <w:color w:val="000000"/>
        </w:rPr>
        <w:t>Contemporary Company Law</w:t>
      </w:r>
      <w:r w:rsidRPr="009761A7">
        <w:rPr>
          <w:rFonts w:ascii="Arial" w:hAnsi="Arial" w:cs="Arial"/>
          <w:color w:val="000000"/>
        </w:rPr>
        <w:t> 2 ed (2012).</w:t>
      </w:r>
    </w:p>
  </w:footnote>
  <w:footnote w:id="39">
    <w:p w14:paraId="51B24ABB" w14:textId="595BED75" w:rsidR="009761A7" w:rsidRPr="00F670C8" w:rsidRDefault="009761A7" w:rsidP="009761A7">
      <w:pPr>
        <w:pStyle w:val="FootnoteText"/>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lang w:val="en-GB"/>
        </w:rPr>
        <w:t>Ibid at 587.</w:t>
      </w:r>
    </w:p>
  </w:footnote>
  <w:footnote w:id="40">
    <w:p w14:paraId="7CEA981A" w14:textId="7EE85DA0"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i/>
        </w:rPr>
        <w:t>Rabinowitz v Van Graan and others</w:t>
      </w:r>
      <w:r w:rsidRPr="009761A7">
        <w:rPr>
          <w:rFonts w:ascii="Arial" w:hAnsi="Arial" w:cs="Arial"/>
        </w:rPr>
        <w:t xml:space="preserve"> 2013 (5) SA 315 (GSJ) para 21.</w:t>
      </w:r>
    </w:p>
  </w:footnote>
  <w:footnote w:id="41">
    <w:p w14:paraId="44B482B6" w14:textId="31E33F77"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lang w:val="en-GB"/>
        </w:rPr>
        <w:t>Ibid para 22.</w:t>
      </w:r>
    </w:p>
  </w:footnote>
  <w:footnote w:id="42">
    <w:p w14:paraId="3DEC5DC5" w14:textId="77777777"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i/>
        </w:rPr>
        <w:t xml:space="preserve">Chemfit Fine Chemicals (Pty) Ltd v Maake </w:t>
      </w:r>
      <w:r w:rsidRPr="009761A7">
        <w:rPr>
          <w:rFonts w:ascii="Arial" w:hAnsi="Arial" w:cs="Arial"/>
        </w:rPr>
        <w:t>2017 JDR 1473 (LP) para 28.4.</w:t>
      </w:r>
    </w:p>
  </w:footnote>
  <w:footnote w:id="43">
    <w:p w14:paraId="1BDA9CBC" w14:textId="7FFB3B69"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lang w:val="en-GB"/>
        </w:rPr>
        <w:t>Ibid para 30.</w:t>
      </w:r>
    </w:p>
  </w:footnote>
  <w:footnote w:id="44">
    <w:p w14:paraId="78CECB2A" w14:textId="2D9AD418"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i/>
        </w:rPr>
        <w:t>Rabinowitz v Van Graan and others</w:t>
      </w:r>
      <w:r w:rsidRPr="009761A7">
        <w:rPr>
          <w:rFonts w:ascii="Arial" w:hAnsi="Arial" w:cs="Arial"/>
        </w:rPr>
        <w:t xml:space="preserve"> 2013 (5) SA 315 (GSJ) para 21.</w:t>
      </w:r>
    </w:p>
  </w:footnote>
  <w:footnote w:id="45">
    <w:p w14:paraId="7C0B2F42" w14:textId="62CA9391"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i/>
        </w:rPr>
        <w:t xml:space="preserve">Chemfit Fine Chemicals (Pty) Ltd v Maake </w:t>
      </w:r>
      <w:r w:rsidRPr="009761A7">
        <w:rPr>
          <w:rFonts w:ascii="Arial" w:hAnsi="Arial" w:cs="Arial"/>
        </w:rPr>
        <w:t>2017 JDR 1473 (LP) para 36.</w:t>
      </w:r>
    </w:p>
  </w:footnote>
  <w:footnote w:id="46">
    <w:p w14:paraId="2C1090D8" w14:textId="3272CAF9"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00333B9C" w:rsidRPr="009761A7">
        <w:rPr>
          <w:rFonts w:ascii="Arial" w:hAnsi="Arial" w:cs="Arial"/>
        </w:rPr>
        <w:t xml:space="preserve">F du Bois et al </w:t>
      </w:r>
      <w:r w:rsidRPr="009761A7">
        <w:rPr>
          <w:rFonts w:ascii="Arial" w:hAnsi="Arial" w:cs="Arial"/>
          <w:i/>
        </w:rPr>
        <w:t xml:space="preserve">Wille’s </w:t>
      </w:r>
      <w:r w:rsidR="00333B9C" w:rsidRPr="009761A7">
        <w:rPr>
          <w:rFonts w:ascii="Arial" w:hAnsi="Arial" w:cs="Arial"/>
          <w:i/>
        </w:rPr>
        <w:t>Principles of South African Law</w:t>
      </w:r>
      <w:r w:rsidRPr="009761A7">
        <w:rPr>
          <w:rFonts w:ascii="Arial" w:hAnsi="Arial" w:cs="Arial"/>
          <w:i/>
        </w:rPr>
        <w:t xml:space="preserve"> </w:t>
      </w:r>
      <w:r w:rsidR="00333B9C" w:rsidRPr="00F670C8">
        <w:rPr>
          <w:rFonts w:ascii="Arial" w:hAnsi="Arial" w:cs="Arial"/>
        </w:rPr>
        <w:t>9 ed (2007)</w:t>
      </w:r>
      <w:r w:rsidRPr="009761A7">
        <w:rPr>
          <w:rFonts w:ascii="Arial" w:hAnsi="Arial" w:cs="Arial"/>
        </w:rPr>
        <w:t xml:space="preserve"> at 90.</w:t>
      </w:r>
    </w:p>
  </w:footnote>
  <w:footnote w:id="47">
    <w:p w14:paraId="6E1E3B68" w14:textId="3FE5CD14" w:rsidR="0056262C" w:rsidRPr="00F670C8"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i/>
        </w:rPr>
        <w:t xml:space="preserve">Meatworld Factory CC v ET Trading House (Pty) Ltd </w:t>
      </w:r>
      <w:r w:rsidRPr="009761A7">
        <w:rPr>
          <w:rFonts w:ascii="Arial" w:hAnsi="Arial" w:cs="Arial"/>
        </w:rPr>
        <w:t>2019 JDR 1351 (GJ) para 34.</w:t>
      </w:r>
    </w:p>
  </w:footnote>
  <w:footnote w:id="48">
    <w:p w14:paraId="04A8D8BD" w14:textId="77777777" w:rsidR="00A713E5" w:rsidRPr="00F670C8" w:rsidRDefault="00A713E5" w:rsidP="00A713E5">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i/>
        </w:rPr>
        <w:t xml:space="preserve">De Bruyn v Steinhoff International Holdings NV and others </w:t>
      </w:r>
      <w:r w:rsidRPr="009761A7">
        <w:rPr>
          <w:rFonts w:ascii="Arial" w:hAnsi="Arial" w:cs="Arial"/>
        </w:rPr>
        <w:t>2022 (1) SA 442 (GJ) para 191.</w:t>
      </w:r>
    </w:p>
  </w:footnote>
  <w:footnote w:id="49">
    <w:p w14:paraId="4AAD4CB7" w14:textId="77777777" w:rsidR="0056262C" w:rsidRPr="009761A7" w:rsidRDefault="0056262C" w:rsidP="009761A7">
      <w:pPr>
        <w:pStyle w:val="FootnoteText"/>
        <w:contextualSpacing/>
        <w:jc w:val="both"/>
        <w:rPr>
          <w:rFonts w:ascii="Arial" w:hAnsi="Arial" w:cs="Arial"/>
          <w:lang w:val="en-GB"/>
        </w:rPr>
      </w:pPr>
      <w:r w:rsidRPr="009761A7">
        <w:rPr>
          <w:rStyle w:val="FootnoteReference"/>
          <w:rFonts w:ascii="Arial" w:hAnsi="Arial" w:cs="Arial"/>
        </w:rPr>
        <w:footnoteRef/>
      </w:r>
      <w:r w:rsidRPr="009761A7">
        <w:rPr>
          <w:rFonts w:ascii="Arial" w:hAnsi="Arial" w:cs="Arial"/>
        </w:rPr>
        <w:t xml:space="preserve"> </w:t>
      </w:r>
      <w:r w:rsidRPr="009761A7">
        <w:rPr>
          <w:rFonts w:ascii="Arial" w:hAnsi="Arial" w:cs="Arial"/>
          <w:i/>
        </w:rPr>
        <w:t>Hlumisa Investment Holdings RF Ltd and another v Kirkinis and others</w:t>
      </w:r>
      <w:r w:rsidRPr="009761A7">
        <w:rPr>
          <w:rFonts w:ascii="Arial" w:hAnsi="Arial" w:cs="Arial"/>
        </w:rPr>
        <w:t xml:space="preserve"> [2020] ZASCA 83; 2020 (5) SA 419 (SCA) para 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1443C" w14:textId="77777777" w:rsidR="0056262C" w:rsidRDefault="0056262C" w:rsidP="007315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38EA2" w14:textId="77777777" w:rsidR="0056262C" w:rsidRDefault="0056262C" w:rsidP="002158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0812078"/>
      <w:docPartObj>
        <w:docPartGallery w:val="Page Numbers (Top of Page)"/>
        <w:docPartUnique/>
      </w:docPartObj>
    </w:sdtPr>
    <w:sdtEndPr>
      <w:rPr>
        <w:rFonts w:ascii="Arial" w:hAnsi="Arial" w:cs="Arial"/>
        <w:noProof/>
      </w:rPr>
    </w:sdtEndPr>
    <w:sdtContent>
      <w:p w14:paraId="70E2127A" w14:textId="3D69EFC9" w:rsidR="0056262C" w:rsidRPr="002238E7" w:rsidRDefault="0056262C">
        <w:pPr>
          <w:pStyle w:val="Header"/>
          <w:jc w:val="right"/>
          <w:rPr>
            <w:rFonts w:ascii="Arial" w:hAnsi="Arial" w:cs="Arial"/>
          </w:rPr>
        </w:pPr>
        <w:r w:rsidRPr="002238E7">
          <w:rPr>
            <w:rFonts w:ascii="Arial" w:hAnsi="Arial" w:cs="Arial"/>
          </w:rPr>
          <w:fldChar w:fldCharType="begin"/>
        </w:r>
        <w:r w:rsidRPr="002238E7">
          <w:rPr>
            <w:rFonts w:ascii="Arial" w:hAnsi="Arial" w:cs="Arial"/>
          </w:rPr>
          <w:instrText xml:space="preserve"> PAGE   \* MERGEFORMAT </w:instrText>
        </w:r>
        <w:r w:rsidRPr="002238E7">
          <w:rPr>
            <w:rFonts w:ascii="Arial" w:hAnsi="Arial" w:cs="Arial"/>
          </w:rPr>
          <w:fldChar w:fldCharType="separate"/>
        </w:r>
        <w:r w:rsidR="00AB3B59">
          <w:rPr>
            <w:rFonts w:ascii="Arial" w:hAnsi="Arial" w:cs="Arial"/>
            <w:noProof/>
          </w:rPr>
          <w:t>27</w:t>
        </w:r>
        <w:r w:rsidRPr="002238E7">
          <w:rPr>
            <w:rFonts w:ascii="Arial" w:hAnsi="Arial" w:cs="Arial"/>
            <w:noProof/>
          </w:rPr>
          <w:fldChar w:fldCharType="end"/>
        </w:r>
      </w:p>
    </w:sdtContent>
  </w:sdt>
  <w:p w14:paraId="2BEBD5E5" w14:textId="77777777" w:rsidR="0056262C" w:rsidRDefault="00562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976"/>
    <w:multiLevelType w:val="hybridMultilevel"/>
    <w:tmpl w:val="92902A9A"/>
    <w:lvl w:ilvl="0" w:tplc="E124B978">
      <w:start w:val="1"/>
      <w:numFmt w:val="upperLetter"/>
      <w:pStyle w:val="Heading1"/>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ED3A61"/>
    <w:multiLevelType w:val="hybridMultilevel"/>
    <w:tmpl w:val="C85E49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03140E"/>
    <w:multiLevelType w:val="multilevel"/>
    <w:tmpl w:val="0902D2B6"/>
    <w:lvl w:ilvl="0">
      <w:start w:val="1"/>
      <w:numFmt w:val="decimal"/>
      <w:lvlText w:val="%1"/>
      <w:lvlJc w:val="left"/>
      <w:pPr>
        <w:ind w:left="360" w:hanging="360"/>
      </w:pPr>
      <w:rPr>
        <w:rFonts w:hint="default"/>
      </w:rPr>
    </w:lvl>
    <w:lvl w:ilvl="1">
      <w:start w:val="1"/>
      <w:numFmt w:val="decimal"/>
      <w:lvlText w:val="%1.%2"/>
      <w:lvlJc w:val="left"/>
      <w:pPr>
        <w:ind w:left="74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3340" w:hanging="144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460" w:hanging="1800"/>
      </w:pPr>
      <w:rPr>
        <w:rFonts w:hint="default"/>
      </w:rPr>
    </w:lvl>
    <w:lvl w:ilvl="8">
      <w:start w:val="1"/>
      <w:numFmt w:val="decimal"/>
      <w:lvlText w:val="%1.%2.%3.%4.%5.%6.%7.%8.%9"/>
      <w:lvlJc w:val="left"/>
      <w:pPr>
        <w:ind w:left="4840" w:hanging="1800"/>
      </w:pPr>
      <w:rPr>
        <w:rFonts w:hint="default"/>
      </w:rPr>
    </w:lvl>
  </w:abstractNum>
  <w:abstractNum w:abstractNumId="3" w15:restartNumberingAfterBreak="0">
    <w:nsid w:val="05F41720"/>
    <w:multiLevelType w:val="hybridMultilevel"/>
    <w:tmpl w:val="F50C69C6"/>
    <w:lvl w:ilvl="0" w:tplc="5EA8DA2C">
      <w:start w:val="1"/>
      <w:numFmt w:val="lowerLetter"/>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6D25293"/>
    <w:multiLevelType w:val="hybridMultilevel"/>
    <w:tmpl w:val="DA988E4C"/>
    <w:lvl w:ilvl="0" w:tplc="F74241C2">
      <w:start w:val="1"/>
      <w:numFmt w:val="decimal"/>
      <w:lvlText w:val="[%1]"/>
      <w:lvlJc w:val="left"/>
      <w:pPr>
        <w:ind w:left="862" w:hanging="720"/>
      </w:pPr>
      <w:rPr>
        <w:rFonts w:hint="default"/>
        <w:b w:val="0"/>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84B6519"/>
    <w:multiLevelType w:val="multilevel"/>
    <w:tmpl w:val="C8842B28"/>
    <w:numStyleLink w:val="Style1"/>
  </w:abstractNum>
  <w:abstractNum w:abstractNumId="6" w15:restartNumberingAfterBreak="0">
    <w:nsid w:val="170F3EBB"/>
    <w:multiLevelType w:val="hybridMultilevel"/>
    <w:tmpl w:val="0896CC78"/>
    <w:lvl w:ilvl="0" w:tplc="9A2E8270">
      <w:start w:val="1"/>
      <w:numFmt w:val="lowerLetter"/>
      <w:pStyle w:val="Heading3"/>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15:restartNumberingAfterBreak="0">
    <w:nsid w:val="196F6BC4"/>
    <w:multiLevelType w:val="hybridMultilevel"/>
    <w:tmpl w:val="93C6A298"/>
    <w:lvl w:ilvl="0" w:tplc="9634C4D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B386EE9"/>
    <w:multiLevelType w:val="hybridMultilevel"/>
    <w:tmpl w:val="80108DCC"/>
    <w:lvl w:ilvl="0" w:tplc="5EA8DA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44F28C2"/>
    <w:multiLevelType w:val="hybridMultilevel"/>
    <w:tmpl w:val="DEAAB1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1F702B4"/>
    <w:multiLevelType w:val="hybridMultilevel"/>
    <w:tmpl w:val="80108DCC"/>
    <w:lvl w:ilvl="0" w:tplc="5EA8DA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3E64280"/>
    <w:multiLevelType w:val="hybridMultilevel"/>
    <w:tmpl w:val="FE884976"/>
    <w:lvl w:ilvl="0" w:tplc="F4A0240A">
      <w:start w:val="1"/>
      <w:numFmt w:val="lowerLetter"/>
      <w:lvlText w:val="%1."/>
      <w:lvlJc w:val="left"/>
      <w:pPr>
        <w:ind w:left="740" w:hanging="360"/>
      </w:pPr>
      <w:rPr>
        <w:rFonts w:hint="default"/>
      </w:rPr>
    </w:lvl>
    <w:lvl w:ilvl="1" w:tplc="1C090019" w:tentative="1">
      <w:start w:val="1"/>
      <w:numFmt w:val="lowerLetter"/>
      <w:lvlText w:val="%2."/>
      <w:lvlJc w:val="left"/>
      <w:pPr>
        <w:ind w:left="1460" w:hanging="360"/>
      </w:pPr>
    </w:lvl>
    <w:lvl w:ilvl="2" w:tplc="1C09001B" w:tentative="1">
      <w:start w:val="1"/>
      <w:numFmt w:val="lowerRoman"/>
      <w:lvlText w:val="%3."/>
      <w:lvlJc w:val="right"/>
      <w:pPr>
        <w:ind w:left="2180" w:hanging="180"/>
      </w:pPr>
    </w:lvl>
    <w:lvl w:ilvl="3" w:tplc="1C09000F" w:tentative="1">
      <w:start w:val="1"/>
      <w:numFmt w:val="decimal"/>
      <w:lvlText w:val="%4."/>
      <w:lvlJc w:val="left"/>
      <w:pPr>
        <w:ind w:left="2900" w:hanging="360"/>
      </w:pPr>
    </w:lvl>
    <w:lvl w:ilvl="4" w:tplc="1C090019" w:tentative="1">
      <w:start w:val="1"/>
      <w:numFmt w:val="lowerLetter"/>
      <w:lvlText w:val="%5."/>
      <w:lvlJc w:val="left"/>
      <w:pPr>
        <w:ind w:left="3620" w:hanging="360"/>
      </w:pPr>
    </w:lvl>
    <w:lvl w:ilvl="5" w:tplc="1C09001B" w:tentative="1">
      <w:start w:val="1"/>
      <w:numFmt w:val="lowerRoman"/>
      <w:lvlText w:val="%6."/>
      <w:lvlJc w:val="right"/>
      <w:pPr>
        <w:ind w:left="4340" w:hanging="180"/>
      </w:pPr>
    </w:lvl>
    <w:lvl w:ilvl="6" w:tplc="1C09000F" w:tentative="1">
      <w:start w:val="1"/>
      <w:numFmt w:val="decimal"/>
      <w:lvlText w:val="%7."/>
      <w:lvlJc w:val="left"/>
      <w:pPr>
        <w:ind w:left="5060" w:hanging="360"/>
      </w:pPr>
    </w:lvl>
    <w:lvl w:ilvl="7" w:tplc="1C090019" w:tentative="1">
      <w:start w:val="1"/>
      <w:numFmt w:val="lowerLetter"/>
      <w:lvlText w:val="%8."/>
      <w:lvlJc w:val="left"/>
      <w:pPr>
        <w:ind w:left="5780" w:hanging="360"/>
      </w:pPr>
    </w:lvl>
    <w:lvl w:ilvl="8" w:tplc="1C09001B" w:tentative="1">
      <w:start w:val="1"/>
      <w:numFmt w:val="lowerRoman"/>
      <w:lvlText w:val="%9."/>
      <w:lvlJc w:val="right"/>
      <w:pPr>
        <w:ind w:left="6500" w:hanging="180"/>
      </w:pPr>
    </w:lvl>
  </w:abstractNum>
  <w:abstractNum w:abstractNumId="12" w15:restartNumberingAfterBreak="0">
    <w:nsid w:val="38C8051A"/>
    <w:multiLevelType w:val="hybridMultilevel"/>
    <w:tmpl w:val="C85E49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C443352"/>
    <w:multiLevelType w:val="multilevel"/>
    <w:tmpl w:val="C8842B28"/>
    <w:styleLink w:val="Style1"/>
    <w:lvl w:ilvl="0">
      <w:start w:val="1"/>
      <w:numFmt w:val="decimal"/>
      <w:pStyle w:val="1"/>
      <w:lvlText w:val="%1"/>
      <w:lvlJc w:val="center"/>
      <w:pPr>
        <w:tabs>
          <w:tab w:val="num" w:pos="851"/>
        </w:tabs>
        <w:ind w:left="851" w:hanging="851"/>
      </w:pPr>
      <w:rPr>
        <w:rFonts w:hint="default"/>
      </w:rPr>
    </w:lvl>
    <w:lvl w:ilvl="1">
      <w:start w:val="1"/>
      <w:numFmt w:val="decimal"/>
      <w:pStyle w:val="11"/>
      <w:lvlText w:val="%1.%2"/>
      <w:lvlJc w:val="left"/>
      <w:pPr>
        <w:tabs>
          <w:tab w:val="num" w:pos="3402"/>
        </w:tabs>
        <w:ind w:left="3402" w:hanging="708"/>
      </w:pPr>
      <w:rPr>
        <w:rFonts w:hint="default"/>
      </w:rPr>
    </w:lvl>
    <w:lvl w:ilvl="2">
      <w:start w:val="1"/>
      <w:numFmt w:val="decimal"/>
      <w:pStyle w:val="111"/>
      <w:lvlText w:val="%1.%2.%3"/>
      <w:lvlJc w:val="left"/>
      <w:pPr>
        <w:tabs>
          <w:tab w:val="num" w:pos="2552"/>
        </w:tabs>
        <w:ind w:left="2552" w:hanging="993"/>
      </w:pPr>
      <w:rPr>
        <w:rFonts w:hint="default"/>
      </w:rPr>
    </w:lvl>
    <w:lvl w:ilvl="3">
      <w:start w:val="1"/>
      <w:numFmt w:val="decimal"/>
      <w:pStyle w:val="1111"/>
      <w:lvlText w:val="%1.%2.%3.%4"/>
      <w:lvlJc w:val="left"/>
      <w:pPr>
        <w:tabs>
          <w:tab w:val="num" w:pos="3686"/>
        </w:tabs>
        <w:ind w:left="3686" w:hanging="1134"/>
      </w:pPr>
      <w:rPr>
        <w:rFonts w:hint="default"/>
      </w:rPr>
    </w:lvl>
    <w:lvl w:ilvl="4">
      <w:start w:val="1"/>
      <w:numFmt w:val="decimal"/>
      <w:lvlText w:val="%1.%2.%3.%4.%5."/>
      <w:lvlJc w:val="left"/>
      <w:pPr>
        <w:tabs>
          <w:tab w:val="num" w:pos="4961"/>
        </w:tabs>
        <w:ind w:left="4961" w:hanging="1275"/>
      </w:pPr>
      <w:rPr>
        <w:rFonts w:hint="default"/>
      </w:rPr>
    </w:lvl>
    <w:lvl w:ilvl="5">
      <w:start w:val="1"/>
      <w:numFmt w:val="decimal"/>
      <w:lvlText w:val="%1.%2.%3.%4.%5.%6."/>
      <w:lvlJc w:val="left"/>
      <w:pPr>
        <w:tabs>
          <w:tab w:val="num" w:pos="-5124"/>
        </w:tabs>
        <w:ind w:left="-5628" w:hanging="936"/>
      </w:pPr>
      <w:rPr>
        <w:rFonts w:hint="default"/>
      </w:rPr>
    </w:lvl>
    <w:lvl w:ilvl="6">
      <w:start w:val="1"/>
      <w:numFmt w:val="decimal"/>
      <w:lvlText w:val="%1.%2.%3.%4.%5.%6.%7."/>
      <w:lvlJc w:val="left"/>
      <w:pPr>
        <w:tabs>
          <w:tab w:val="num" w:pos="-4404"/>
        </w:tabs>
        <w:ind w:left="-5124" w:hanging="1080"/>
      </w:pPr>
      <w:rPr>
        <w:rFonts w:hint="default"/>
      </w:rPr>
    </w:lvl>
    <w:lvl w:ilvl="7">
      <w:start w:val="1"/>
      <w:numFmt w:val="decimal"/>
      <w:lvlText w:val="%1.%2.%3.%4.%5.%6.%7.%8."/>
      <w:lvlJc w:val="left"/>
      <w:pPr>
        <w:tabs>
          <w:tab w:val="num" w:pos="-4044"/>
        </w:tabs>
        <w:ind w:left="-4620" w:hanging="1224"/>
      </w:pPr>
      <w:rPr>
        <w:rFonts w:hint="default"/>
      </w:rPr>
    </w:lvl>
    <w:lvl w:ilvl="8">
      <w:start w:val="1"/>
      <w:numFmt w:val="decimal"/>
      <w:lvlText w:val="%1.%2.%3.%4.%5.%6.%7.%8.%9."/>
      <w:lvlJc w:val="left"/>
      <w:pPr>
        <w:tabs>
          <w:tab w:val="num" w:pos="-3324"/>
        </w:tabs>
        <w:ind w:left="-4044" w:hanging="1440"/>
      </w:pPr>
      <w:rPr>
        <w:rFonts w:hint="default"/>
      </w:rPr>
    </w:lvl>
  </w:abstractNum>
  <w:abstractNum w:abstractNumId="14" w15:restartNumberingAfterBreak="0">
    <w:nsid w:val="3F376FBB"/>
    <w:multiLevelType w:val="hybridMultilevel"/>
    <w:tmpl w:val="FBF8F338"/>
    <w:lvl w:ilvl="0" w:tplc="E8C0C884">
      <w:start w:val="1"/>
      <w:numFmt w:val="lowerLetter"/>
      <w:lvlText w:val="(%1)"/>
      <w:lvlJc w:val="left"/>
      <w:pPr>
        <w:ind w:left="1996" w:hanging="72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15" w15:restartNumberingAfterBreak="0">
    <w:nsid w:val="3FA26E05"/>
    <w:multiLevelType w:val="hybridMultilevel"/>
    <w:tmpl w:val="D2D276A6"/>
    <w:lvl w:ilvl="0" w:tplc="5EA8DA2C">
      <w:start w:val="1"/>
      <w:numFmt w:val="lowerLetter"/>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1CA1F98"/>
    <w:multiLevelType w:val="hybridMultilevel"/>
    <w:tmpl w:val="DB8AFA14"/>
    <w:lvl w:ilvl="0" w:tplc="63507FBE">
      <w:start w:val="1"/>
      <w:numFmt w:val="lowerRoman"/>
      <w:pStyle w:val="Heading2"/>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425442A4"/>
    <w:multiLevelType w:val="multilevel"/>
    <w:tmpl w:val="36B666AC"/>
    <w:styleLink w:val="Style2"/>
    <w:lvl w:ilvl="0">
      <w:start w:val="1"/>
      <w:numFmt w:val="decimal"/>
      <w:lvlText w:val="%1"/>
      <w:lvlJc w:val="center"/>
      <w:pPr>
        <w:tabs>
          <w:tab w:val="num" w:pos="4536"/>
        </w:tabs>
        <w:ind w:left="4536" w:hanging="425"/>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843"/>
        </w:tabs>
        <w:ind w:left="1843" w:hanging="709"/>
      </w:pPr>
      <w:rPr>
        <w:rFonts w:hint="default"/>
      </w:rPr>
    </w:lvl>
    <w:lvl w:ilvl="3">
      <w:start w:val="1"/>
      <w:numFmt w:val="decimal"/>
      <w:lvlText w:val="%1.%2.%3.%4"/>
      <w:lvlJc w:val="left"/>
      <w:pPr>
        <w:tabs>
          <w:tab w:val="num" w:pos="2835"/>
        </w:tabs>
        <w:ind w:left="2835" w:hanging="992"/>
      </w:pPr>
      <w:rPr>
        <w:rFonts w:hint="default"/>
      </w:rPr>
    </w:lvl>
    <w:lvl w:ilvl="4">
      <w:start w:val="1"/>
      <w:numFmt w:val="decimal"/>
      <w:lvlText w:val="%1.%2.%3.%4.%5."/>
      <w:lvlJc w:val="left"/>
      <w:pPr>
        <w:tabs>
          <w:tab w:val="num" w:pos="4111"/>
        </w:tabs>
        <w:ind w:left="4111" w:hanging="1276"/>
      </w:pPr>
      <w:rPr>
        <w:rFonts w:hint="default"/>
      </w:rPr>
    </w:lvl>
    <w:lvl w:ilvl="5">
      <w:start w:val="1"/>
      <w:numFmt w:val="decimal"/>
      <w:lvlText w:val="%1.%2.%3.%4.%5.%6."/>
      <w:lvlJc w:val="left"/>
      <w:pPr>
        <w:tabs>
          <w:tab w:val="num" w:pos="-1013"/>
        </w:tabs>
        <w:ind w:left="-1517" w:hanging="936"/>
      </w:pPr>
      <w:rPr>
        <w:rFonts w:hint="default"/>
      </w:rPr>
    </w:lvl>
    <w:lvl w:ilvl="6">
      <w:start w:val="1"/>
      <w:numFmt w:val="decimal"/>
      <w:lvlText w:val="%1.%2.%3.%4.%5.%6.%7."/>
      <w:lvlJc w:val="left"/>
      <w:pPr>
        <w:tabs>
          <w:tab w:val="num" w:pos="-293"/>
        </w:tabs>
        <w:ind w:left="-1013" w:hanging="1080"/>
      </w:pPr>
      <w:rPr>
        <w:rFonts w:hint="default"/>
      </w:rPr>
    </w:lvl>
    <w:lvl w:ilvl="7">
      <w:start w:val="1"/>
      <w:numFmt w:val="decimal"/>
      <w:lvlText w:val="%1.%2.%3.%4.%5.%6.%7.%8."/>
      <w:lvlJc w:val="left"/>
      <w:pPr>
        <w:tabs>
          <w:tab w:val="num" w:pos="67"/>
        </w:tabs>
        <w:ind w:left="-509" w:hanging="1224"/>
      </w:pPr>
      <w:rPr>
        <w:rFonts w:hint="default"/>
      </w:rPr>
    </w:lvl>
    <w:lvl w:ilvl="8">
      <w:start w:val="1"/>
      <w:numFmt w:val="decimal"/>
      <w:lvlText w:val="%1.%2.%3.%4.%5.%6.%7.%8.%9."/>
      <w:lvlJc w:val="left"/>
      <w:pPr>
        <w:tabs>
          <w:tab w:val="num" w:pos="787"/>
        </w:tabs>
        <w:ind w:left="67" w:hanging="1440"/>
      </w:pPr>
      <w:rPr>
        <w:rFonts w:hint="default"/>
      </w:rPr>
    </w:lvl>
  </w:abstractNum>
  <w:abstractNum w:abstractNumId="18" w15:restartNumberingAfterBreak="0">
    <w:nsid w:val="557F39D5"/>
    <w:multiLevelType w:val="hybridMultilevel"/>
    <w:tmpl w:val="BB52DC30"/>
    <w:lvl w:ilvl="0" w:tplc="016E52D2">
      <w:start w:val="1"/>
      <w:numFmt w:val="lowerLetter"/>
      <w:lvlText w:val="%1."/>
      <w:lvlJc w:val="left"/>
      <w:pPr>
        <w:ind w:left="740" w:hanging="360"/>
      </w:pPr>
      <w:rPr>
        <w:rFonts w:hint="default"/>
      </w:rPr>
    </w:lvl>
    <w:lvl w:ilvl="1" w:tplc="1C090019" w:tentative="1">
      <w:start w:val="1"/>
      <w:numFmt w:val="lowerLetter"/>
      <w:lvlText w:val="%2."/>
      <w:lvlJc w:val="left"/>
      <w:pPr>
        <w:ind w:left="1460" w:hanging="360"/>
      </w:pPr>
    </w:lvl>
    <w:lvl w:ilvl="2" w:tplc="1C09001B" w:tentative="1">
      <w:start w:val="1"/>
      <w:numFmt w:val="lowerRoman"/>
      <w:lvlText w:val="%3."/>
      <w:lvlJc w:val="right"/>
      <w:pPr>
        <w:ind w:left="2180" w:hanging="180"/>
      </w:pPr>
    </w:lvl>
    <w:lvl w:ilvl="3" w:tplc="1C09000F" w:tentative="1">
      <w:start w:val="1"/>
      <w:numFmt w:val="decimal"/>
      <w:lvlText w:val="%4."/>
      <w:lvlJc w:val="left"/>
      <w:pPr>
        <w:ind w:left="2900" w:hanging="360"/>
      </w:pPr>
    </w:lvl>
    <w:lvl w:ilvl="4" w:tplc="1C090019" w:tentative="1">
      <w:start w:val="1"/>
      <w:numFmt w:val="lowerLetter"/>
      <w:lvlText w:val="%5."/>
      <w:lvlJc w:val="left"/>
      <w:pPr>
        <w:ind w:left="3620" w:hanging="360"/>
      </w:pPr>
    </w:lvl>
    <w:lvl w:ilvl="5" w:tplc="1C09001B" w:tentative="1">
      <w:start w:val="1"/>
      <w:numFmt w:val="lowerRoman"/>
      <w:lvlText w:val="%6."/>
      <w:lvlJc w:val="right"/>
      <w:pPr>
        <w:ind w:left="4340" w:hanging="180"/>
      </w:pPr>
    </w:lvl>
    <w:lvl w:ilvl="6" w:tplc="1C09000F" w:tentative="1">
      <w:start w:val="1"/>
      <w:numFmt w:val="decimal"/>
      <w:lvlText w:val="%7."/>
      <w:lvlJc w:val="left"/>
      <w:pPr>
        <w:ind w:left="5060" w:hanging="360"/>
      </w:pPr>
    </w:lvl>
    <w:lvl w:ilvl="7" w:tplc="1C090019" w:tentative="1">
      <w:start w:val="1"/>
      <w:numFmt w:val="lowerLetter"/>
      <w:lvlText w:val="%8."/>
      <w:lvlJc w:val="left"/>
      <w:pPr>
        <w:ind w:left="5780" w:hanging="360"/>
      </w:pPr>
    </w:lvl>
    <w:lvl w:ilvl="8" w:tplc="1C09001B" w:tentative="1">
      <w:start w:val="1"/>
      <w:numFmt w:val="lowerRoman"/>
      <w:lvlText w:val="%9."/>
      <w:lvlJc w:val="right"/>
      <w:pPr>
        <w:ind w:left="6500" w:hanging="180"/>
      </w:pPr>
    </w:lvl>
  </w:abstractNum>
  <w:abstractNum w:abstractNumId="19" w15:restartNumberingAfterBreak="0">
    <w:nsid w:val="582674A1"/>
    <w:multiLevelType w:val="hybridMultilevel"/>
    <w:tmpl w:val="AD227A86"/>
    <w:lvl w:ilvl="0" w:tplc="37BCA97C">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20" w15:restartNumberingAfterBreak="0">
    <w:nsid w:val="5AF70056"/>
    <w:multiLevelType w:val="hybridMultilevel"/>
    <w:tmpl w:val="FD6E00DA"/>
    <w:lvl w:ilvl="0" w:tplc="46B4E474">
      <w:start w:val="88"/>
      <w:numFmt w:val="decimal"/>
      <w:lvlText w:val="[%1]"/>
      <w:lvlJc w:val="left"/>
      <w:pPr>
        <w:ind w:left="862"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5"/>
    <w:lvlOverride w:ilvl="0">
      <w:lvl w:ilvl="0">
        <w:start w:val="1"/>
        <w:numFmt w:val="decimal"/>
        <w:pStyle w:val="1"/>
        <w:lvlText w:val="%1"/>
        <w:lvlJc w:val="center"/>
        <w:pPr>
          <w:tabs>
            <w:tab w:val="num" w:pos="851"/>
          </w:tabs>
          <w:ind w:left="851" w:hanging="851"/>
        </w:pPr>
        <w:rPr>
          <w:rFonts w:hint="default"/>
          <w:b w:val="0"/>
          <w:bCs w:val="0"/>
        </w:rPr>
      </w:lvl>
    </w:lvlOverride>
    <w:lvlOverride w:ilvl="1">
      <w:lvl w:ilvl="1">
        <w:start w:val="1"/>
        <w:numFmt w:val="decimal"/>
        <w:pStyle w:val="11"/>
        <w:lvlText w:val="%1.%2"/>
        <w:lvlJc w:val="left"/>
        <w:pPr>
          <w:tabs>
            <w:tab w:val="num" w:pos="3402"/>
          </w:tabs>
          <w:ind w:left="3402" w:hanging="708"/>
        </w:pPr>
        <w:rPr>
          <w:rFonts w:hint="default"/>
          <w:b w:val="0"/>
          <w:bCs w:val="0"/>
        </w:rPr>
      </w:lvl>
    </w:lvlOverride>
    <w:lvlOverride w:ilvl="2">
      <w:lvl w:ilvl="2">
        <w:start w:val="1"/>
        <w:numFmt w:val="decimal"/>
        <w:pStyle w:val="111"/>
        <w:lvlText w:val="%1.%2.%3"/>
        <w:lvlJc w:val="left"/>
        <w:pPr>
          <w:tabs>
            <w:tab w:val="num" w:pos="2552"/>
          </w:tabs>
          <w:ind w:left="2552" w:hanging="993"/>
        </w:pPr>
        <w:rPr>
          <w:rFonts w:hint="default"/>
        </w:rPr>
      </w:lvl>
    </w:lvlOverride>
    <w:lvlOverride w:ilvl="3">
      <w:lvl w:ilvl="3">
        <w:start w:val="1"/>
        <w:numFmt w:val="decimal"/>
        <w:pStyle w:val="1111"/>
        <w:lvlText w:val="%1.%2.%3.%4"/>
        <w:lvlJc w:val="left"/>
        <w:pPr>
          <w:tabs>
            <w:tab w:val="num" w:pos="3686"/>
          </w:tabs>
          <w:ind w:left="3686" w:hanging="1134"/>
        </w:pPr>
        <w:rPr>
          <w:rFonts w:hint="default"/>
        </w:rPr>
      </w:lvl>
    </w:lvlOverride>
    <w:lvlOverride w:ilvl="4">
      <w:lvl w:ilvl="4">
        <w:start w:val="1"/>
        <w:numFmt w:val="decimal"/>
        <w:lvlText w:val="%1.%2.%3.%4.%5."/>
        <w:lvlJc w:val="left"/>
        <w:pPr>
          <w:tabs>
            <w:tab w:val="num" w:pos="4961"/>
          </w:tabs>
          <w:ind w:left="4961" w:hanging="1275"/>
        </w:pPr>
        <w:rPr>
          <w:rFonts w:hint="default"/>
        </w:rPr>
      </w:lvl>
    </w:lvlOverride>
    <w:lvlOverride w:ilvl="5">
      <w:lvl w:ilvl="5">
        <w:start w:val="1"/>
        <w:numFmt w:val="decimal"/>
        <w:lvlText w:val="%1.%2.%3.%4.%5.%6."/>
        <w:lvlJc w:val="left"/>
        <w:pPr>
          <w:tabs>
            <w:tab w:val="num" w:pos="-5124"/>
          </w:tabs>
          <w:ind w:left="-5628" w:hanging="936"/>
        </w:pPr>
        <w:rPr>
          <w:rFonts w:hint="default"/>
        </w:rPr>
      </w:lvl>
    </w:lvlOverride>
    <w:lvlOverride w:ilvl="6">
      <w:lvl w:ilvl="6">
        <w:start w:val="1"/>
        <w:numFmt w:val="decimal"/>
        <w:lvlText w:val="%1.%2.%3.%4.%5.%6.%7."/>
        <w:lvlJc w:val="left"/>
        <w:pPr>
          <w:tabs>
            <w:tab w:val="num" w:pos="-4404"/>
          </w:tabs>
          <w:ind w:left="-5124" w:hanging="1080"/>
        </w:pPr>
        <w:rPr>
          <w:rFonts w:hint="default"/>
        </w:rPr>
      </w:lvl>
    </w:lvlOverride>
    <w:lvlOverride w:ilvl="7">
      <w:lvl w:ilvl="7">
        <w:start w:val="1"/>
        <w:numFmt w:val="decimal"/>
        <w:lvlText w:val="%1.%2.%3.%4.%5.%6.%7.%8."/>
        <w:lvlJc w:val="left"/>
        <w:pPr>
          <w:tabs>
            <w:tab w:val="num" w:pos="-4044"/>
          </w:tabs>
          <w:ind w:left="-4620" w:hanging="1224"/>
        </w:pPr>
        <w:rPr>
          <w:rFonts w:hint="default"/>
        </w:rPr>
      </w:lvl>
    </w:lvlOverride>
    <w:lvlOverride w:ilvl="8">
      <w:lvl w:ilvl="8">
        <w:start w:val="1"/>
        <w:numFmt w:val="decimal"/>
        <w:lvlText w:val="%1.%2.%3.%4.%5.%6.%7.%8.%9."/>
        <w:lvlJc w:val="left"/>
        <w:pPr>
          <w:tabs>
            <w:tab w:val="num" w:pos="-3324"/>
          </w:tabs>
          <w:ind w:left="-4044" w:hanging="1440"/>
        </w:pPr>
        <w:rPr>
          <w:rFonts w:hint="default"/>
        </w:rPr>
      </w:lvl>
    </w:lvlOverride>
  </w:num>
  <w:num w:numId="4">
    <w:abstractNumId w:val="0"/>
  </w:num>
  <w:num w:numId="5">
    <w:abstractNumId w:val="16"/>
  </w:num>
  <w:num w:numId="6">
    <w:abstractNumId w:val="6"/>
  </w:num>
  <w:num w:numId="7">
    <w:abstractNumId w:val="4"/>
  </w:num>
  <w:num w:numId="8">
    <w:abstractNumId w:val="2"/>
  </w:num>
  <w:num w:numId="9">
    <w:abstractNumId w:val="11"/>
  </w:num>
  <w:num w:numId="10">
    <w:abstractNumId w:val="18"/>
  </w:num>
  <w:num w:numId="11">
    <w:abstractNumId w:val="9"/>
  </w:num>
  <w:num w:numId="12">
    <w:abstractNumId w:val="1"/>
  </w:num>
  <w:num w:numId="13">
    <w:abstractNumId w:val="10"/>
  </w:num>
  <w:num w:numId="14">
    <w:abstractNumId w:val="7"/>
  </w:num>
  <w:num w:numId="15">
    <w:abstractNumId w:val="19"/>
  </w:num>
  <w:num w:numId="16">
    <w:abstractNumId w:val="8"/>
  </w:num>
  <w:num w:numId="17">
    <w:abstractNumId w:val="14"/>
  </w:num>
  <w:num w:numId="18">
    <w:abstractNumId w:val="3"/>
  </w:num>
  <w:num w:numId="19">
    <w:abstractNumId w:val="15"/>
  </w:num>
  <w:num w:numId="20">
    <w:abstractNumId w:val="12"/>
  </w:num>
  <w:num w:numId="21">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C2"/>
    <w:rsid w:val="000008AC"/>
    <w:rsid w:val="00000D8A"/>
    <w:rsid w:val="00001CAF"/>
    <w:rsid w:val="00001FE1"/>
    <w:rsid w:val="000027D0"/>
    <w:rsid w:val="00002DED"/>
    <w:rsid w:val="0000365D"/>
    <w:rsid w:val="00005551"/>
    <w:rsid w:val="000106B2"/>
    <w:rsid w:val="0001084F"/>
    <w:rsid w:val="00010AF8"/>
    <w:rsid w:val="00012527"/>
    <w:rsid w:val="000132DF"/>
    <w:rsid w:val="000156B8"/>
    <w:rsid w:val="000157F4"/>
    <w:rsid w:val="00016AA1"/>
    <w:rsid w:val="00017CD2"/>
    <w:rsid w:val="00020A90"/>
    <w:rsid w:val="000230FF"/>
    <w:rsid w:val="00030188"/>
    <w:rsid w:val="00031488"/>
    <w:rsid w:val="0003253C"/>
    <w:rsid w:val="000353FD"/>
    <w:rsid w:val="00037C1D"/>
    <w:rsid w:val="00041ABA"/>
    <w:rsid w:val="00042299"/>
    <w:rsid w:val="00042E11"/>
    <w:rsid w:val="00043528"/>
    <w:rsid w:val="00043886"/>
    <w:rsid w:val="00043977"/>
    <w:rsid w:val="00043D4C"/>
    <w:rsid w:val="00045359"/>
    <w:rsid w:val="0004696C"/>
    <w:rsid w:val="0005019D"/>
    <w:rsid w:val="00051A92"/>
    <w:rsid w:val="00051FE1"/>
    <w:rsid w:val="000521FB"/>
    <w:rsid w:val="0005305C"/>
    <w:rsid w:val="00054752"/>
    <w:rsid w:val="0005479B"/>
    <w:rsid w:val="00054A78"/>
    <w:rsid w:val="00055C9B"/>
    <w:rsid w:val="00056FCD"/>
    <w:rsid w:val="0005700C"/>
    <w:rsid w:val="00057149"/>
    <w:rsid w:val="00060483"/>
    <w:rsid w:val="000609E1"/>
    <w:rsid w:val="00060E11"/>
    <w:rsid w:val="00062111"/>
    <w:rsid w:val="00062343"/>
    <w:rsid w:val="00062ABD"/>
    <w:rsid w:val="00063C39"/>
    <w:rsid w:val="00063E3E"/>
    <w:rsid w:val="00064E03"/>
    <w:rsid w:val="00066CF3"/>
    <w:rsid w:val="00067275"/>
    <w:rsid w:val="00067A7E"/>
    <w:rsid w:val="000701A8"/>
    <w:rsid w:val="00070468"/>
    <w:rsid w:val="00072693"/>
    <w:rsid w:val="00075D57"/>
    <w:rsid w:val="00076AE4"/>
    <w:rsid w:val="0007799B"/>
    <w:rsid w:val="00077CA7"/>
    <w:rsid w:val="000808E7"/>
    <w:rsid w:val="00081828"/>
    <w:rsid w:val="00081BE9"/>
    <w:rsid w:val="00081E36"/>
    <w:rsid w:val="00085072"/>
    <w:rsid w:val="000854E7"/>
    <w:rsid w:val="000871F1"/>
    <w:rsid w:val="000912CE"/>
    <w:rsid w:val="000919B4"/>
    <w:rsid w:val="00091B6D"/>
    <w:rsid w:val="000925D2"/>
    <w:rsid w:val="0009343F"/>
    <w:rsid w:val="00093539"/>
    <w:rsid w:val="0009477A"/>
    <w:rsid w:val="000950DD"/>
    <w:rsid w:val="00095D00"/>
    <w:rsid w:val="00096C16"/>
    <w:rsid w:val="00097407"/>
    <w:rsid w:val="00097A5C"/>
    <w:rsid w:val="000A0B20"/>
    <w:rsid w:val="000A22F1"/>
    <w:rsid w:val="000A3616"/>
    <w:rsid w:val="000A408C"/>
    <w:rsid w:val="000A4747"/>
    <w:rsid w:val="000A4ECD"/>
    <w:rsid w:val="000A508D"/>
    <w:rsid w:val="000A5916"/>
    <w:rsid w:val="000A61E0"/>
    <w:rsid w:val="000B218C"/>
    <w:rsid w:val="000B60A1"/>
    <w:rsid w:val="000B7336"/>
    <w:rsid w:val="000B779F"/>
    <w:rsid w:val="000C1A44"/>
    <w:rsid w:val="000C3630"/>
    <w:rsid w:val="000C3E4B"/>
    <w:rsid w:val="000C4065"/>
    <w:rsid w:val="000C7C1B"/>
    <w:rsid w:val="000D0F5E"/>
    <w:rsid w:val="000D12C3"/>
    <w:rsid w:val="000D16F6"/>
    <w:rsid w:val="000D356A"/>
    <w:rsid w:val="000D3692"/>
    <w:rsid w:val="000D37E5"/>
    <w:rsid w:val="000D42F3"/>
    <w:rsid w:val="000D4850"/>
    <w:rsid w:val="000D5F0E"/>
    <w:rsid w:val="000D66FC"/>
    <w:rsid w:val="000D7D82"/>
    <w:rsid w:val="000E0254"/>
    <w:rsid w:val="000E0288"/>
    <w:rsid w:val="000E0648"/>
    <w:rsid w:val="000E1314"/>
    <w:rsid w:val="000E1504"/>
    <w:rsid w:val="000E151C"/>
    <w:rsid w:val="000E1690"/>
    <w:rsid w:val="000E204F"/>
    <w:rsid w:val="000E2972"/>
    <w:rsid w:val="000E371D"/>
    <w:rsid w:val="000E405D"/>
    <w:rsid w:val="000E61B2"/>
    <w:rsid w:val="000E6B89"/>
    <w:rsid w:val="000E7569"/>
    <w:rsid w:val="000E7C4D"/>
    <w:rsid w:val="000F3559"/>
    <w:rsid w:val="000F4356"/>
    <w:rsid w:val="000F7587"/>
    <w:rsid w:val="00100E0D"/>
    <w:rsid w:val="001017D2"/>
    <w:rsid w:val="00101843"/>
    <w:rsid w:val="00104F13"/>
    <w:rsid w:val="0010514E"/>
    <w:rsid w:val="00105772"/>
    <w:rsid w:val="001059C3"/>
    <w:rsid w:val="0010743D"/>
    <w:rsid w:val="001079EF"/>
    <w:rsid w:val="00107A4B"/>
    <w:rsid w:val="00111097"/>
    <w:rsid w:val="00112E68"/>
    <w:rsid w:val="00114148"/>
    <w:rsid w:val="00114B22"/>
    <w:rsid w:val="001155E3"/>
    <w:rsid w:val="001178C1"/>
    <w:rsid w:val="00117C0A"/>
    <w:rsid w:val="0012028D"/>
    <w:rsid w:val="00121A11"/>
    <w:rsid w:val="00123ABF"/>
    <w:rsid w:val="00125343"/>
    <w:rsid w:val="001270FE"/>
    <w:rsid w:val="00130363"/>
    <w:rsid w:val="00130E88"/>
    <w:rsid w:val="0013185C"/>
    <w:rsid w:val="00131C85"/>
    <w:rsid w:val="001322F6"/>
    <w:rsid w:val="001335F0"/>
    <w:rsid w:val="001342EC"/>
    <w:rsid w:val="00135B03"/>
    <w:rsid w:val="0013613A"/>
    <w:rsid w:val="0013731A"/>
    <w:rsid w:val="00137ADD"/>
    <w:rsid w:val="00140722"/>
    <w:rsid w:val="00141085"/>
    <w:rsid w:val="0014194E"/>
    <w:rsid w:val="00142338"/>
    <w:rsid w:val="00142B63"/>
    <w:rsid w:val="00142FD9"/>
    <w:rsid w:val="00143604"/>
    <w:rsid w:val="0014574A"/>
    <w:rsid w:val="00145D8F"/>
    <w:rsid w:val="001463BD"/>
    <w:rsid w:val="001464CB"/>
    <w:rsid w:val="00147A6B"/>
    <w:rsid w:val="0015007E"/>
    <w:rsid w:val="00152DE5"/>
    <w:rsid w:val="001537CA"/>
    <w:rsid w:val="001537E6"/>
    <w:rsid w:val="0015671A"/>
    <w:rsid w:val="00156B43"/>
    <w:rsid w:val="001604B3"/>
    <w:rsid w:val="00160761"/>
    <w:rsid w:val="001609CF"/>
    <w:rsid w:val="00161042"/>
    <w:rsid w:val="00161180"/>
    <w:rsid w:val="00165122"/>
    <w:rsid w:val="00170500"/>
    <w:rsid w:val="00171093"/>
    <w:rsid w:val="00172F86"/>
    <w:rsid w:val="00173536"/>
    <w:rsid w:val="001739F1"/>
    <w:rsid w:val="001745D0"/>
    <w:rsid w:val="00174862"/>
    <w:rsid w:val="00174B7D"/>
    <w:rsid w:val="001759A3"/>
    <w:rsid w:val="00175B73"/>
    <w:rsid w:val="00175CD5"/>
    <w:rsid w:val="0017607D"/>
    <w:rsid w:val="00177583"/>
    <w:rsid w:val="00183449"/>
    <w:rsid w:val="00184491"/>
    <w:rsid w:val="00184728"/>
    <w:rsid w:val="001847D7"/>
    <w:rsid w:val="00187928"/>
    <w:rsid w:val="00187F85"/>
    <w:rsid w:val="00190C41"/>
    <w:rsid w:val="001913EF"/>
    <w:rsid w:val="00195BEF"/>
    <w:rsid w:val="0019692D"/>
    <w:rsid w:val="00196E02"/>
    <w:rsid w:val="00196F64"/>
    <w:rsid w:val="001A185D"/>
    <w:rsid w:val="001A2A99"/>
    <w:rsid w:val="001A3333"/>
    <w:rsid w:val="001A368D"/>
    <w:rsid w:val="001A4913"/>
    <w:rsid w:val="001A4BFD"/>
    <w:rsid w:val="001A576B"/>
    <w:rsid w:val="001A65D0"/>
    <w:rsid w:val="001A7982"/>
    <w:rsid w:val="001B02E3"/>
    <w:rsid w:val="001B0A45"/>
    <w:rsid w:val="001B1533"/>
    <w:rsid w:val="001B178C"/>
    <w:rsid w:val="001B3CD5"/>
    <w:rsid w:val="001B4D0F"/>
    <w:rsid w:val="001B7C5C"/>
    <w:rsid w:val="001C0507"/>
    <w:rsid w:val="001C16DD"/>
    <w:rsid w:val="001C2678"/>
    <w:rsid w:val="001C3B78"/>
    <w:rsid w:val="001C3CBB"/>
    <w:rsid w:val="001C4F5A"/>
    <w:rsid w:val="001C6582"/>
    <w:rsid w:val="001C686B"/>
    <w:rsid w:val="001D0BB8"/>
    <w:rsid w:val="001D232C"/>
    <w:rsid w:val="001D2A8D"/>
    <w:rsid w:val="001D3230"/>
    <w:rsid w:val="001D33A8"/>
    <w:rsid w:val="001D3677"/>
    <w:rsid w:val="001D3957"/>
    <w:rsid w:val="001D4BC6"/>
    <w:rsid w:val="001D5ECB"/>
    <w:rsid w:val="001D66B7"/>
    <w:rsid w:val="001D6920"/>
    <w:rsid w:val="001D74A8"/>
    <w:rsid w:val="001D7DEE"/>
    <w:rsid w:val="001E03CD"/>
    <w:rsid w:val="001E2772"/>
    <w:rsid w:val="001E4231"/>
    <w:rsid w:val="001E4426"/>
    <w:rsid w:val="001E4B45"/>
    <w:rsid w:val="001E584E"/>
    <w:rsid w:val="001E6326"/>
    <w:rsid w:val="001E6C15"/>
    <w:rsid w:val="001E6C59"/>
    <w:rsid w:val="001E75D7"/>
    <w:rsid w:val="001E782D"/>
    <w:rsid w:val="001F12DF"/>
    <w:rsid w:val="001F1549"/>
    <w:rsid w:val="001F1EB4"/>
    <w:rsid w:val="001F24CF"/>
    <w:rsid w:val="001F326E"/>
    <w:rsid w:val="001F3F54"/>
    <w:rsid w:val="001F5B70"/>
    <w:rsid w:val="001F5B9C"/>
    <w:rsid w:val="001F6B94"/>
    <w:rsid w:val="001F6DC9"/>
    <w:rsid w:val="001F7B1F"/>
    <w:rsid w:val="00200AFD"/>
    <w:rsid w:val="00202181"/>
    <w:rsid w:val="002024C4"/>
    <w:rsid w:val="00202CF6"/>
    <w:rsid w:val="00202FF6"/>
    <w:rsid w:val="0020406A"/>
    <w:rsid w:val="00204B40"/>
    <w:rsid w:val="00205DBF"/>
    <w:rsid w:val="00207B2C"/>
    <w:rsid w:val="00207B42"/>
    <w:rsid w:val="002102EA"/>
    <w:rsid w:val="002107BB"/>
    <w:rsid w:val="0021210D"/>
    <w:rsid w:val="002128BE"/>
    <w:rsid w:val="00212F7E"/>
    <w:rsid w:val="002134FB"/>
    <w:rsid w:val="00213E41"/>
    <w:rsid w:val="002145DB"/>
    <w:rsid w:val="00214A20"/>
    <w:rsid w:val="0021588F"/>
    <w:rsid w:val="002162A3"/>
    <w:rsid w:val="00216AC5"/>
    <w:rsid w:val="00216ACE"/>
    <w:rsid w:val="002204A3"/>
    <w:rsid w:val="00221920"/>
    <w:rsid w:val="00221E0D"/>
    <w:rsid w:val="00222280"/>
    <w:rsid w:val="0022243D"/>
    <w:rsid w:val="002238E7"/>
    <w:rsid w:val="00223A69"/>
    <w:rsid w:val="00225B62"/>
    <w:rsid w:val="00227BD5"/>
    <w:rsid w:val="00227E15"/>
    <w:rsid w:val="002307B3"/>
    <w:rsid w:val="002307F7"/>
    <w:rsid w:val="002325D4"/>
    <w:rsid w:val="002326C0"/>
    <w:rsid w:val="00232CAC"/>
    <w:rsid w:val="002362FF"/>
    <w:rsid w:val="00237E1D"/>
    <w:rsid w:val="00241FED"/>
    <w:rsid w:val="00242B65"/>
    <w:rsid w:val="00243F4F"/>
    <w:rsid w:val="00246556"/>
    <w:rsid w:val="0024669A"/>
    <w:rsid w:val="00247D3E"/>
    <w:rsid w:val="00247F1A"/>
    <w:rsid w:val="00252704"/>
    <w:rsid w:val="00252CAE"/>
    <w:rsid w:val="0025304C"/>
    <w:rsid w:val="00254277"/>
    <w:rsid w:val="00256750"/>
    <w:rsid w:val="00260100"/>
    <w:rsid w:val="00260F4D"/>
    <w:rsid w:val="00261B3D"/>
    <w:rsid w:val="00262E7E"/>
    <w:rsid w:val="00263DBB"/>
    <w:rsid w:val="002649DD"/>
    <w:rsid w:val="00264F3E"/>
    <w:rsid w:val="00265721"/>
    <w:rsid w:val="0026796C"/>
    <w:rsid w:val="00267F7A"/>
    <w:rsid w:val="0027111C"/>
    <w:rsid w:val="00271449"/>
    <w:rsid w:val="002721B6"/>
    <w:rsid w:val="00272BE4"/>
    <w:rsid w:val="00274CD1"/>
    <w:rsid w:val="00275176"/>
    <w:rsid w:val="00275F61"/>
    <w:rsid w:val="002765BA"/>
    <w:rsid w:val="00282A14"/>
    <w:rsid w:val="00283F56"/>
    <w:rsid w:val="002842E5"/>
    <w:rsid w:val="00285533"/>
    <w:rsid w:val="00285AAF"/>
    <w:rsid w:val="00287615"/>
    <w:rsid w:val="00290F66"/>
    <w:rsid w:val="00291DC3"/>
    <w:rsid w:val="00291E66"/>
    <w:rsid w:val="00292521"/>
    <w:rsid w:val="00293F63"/>
    <w:rsid w:val="00294801"/>
    <w:rsid w:val="00296E07"/>
    <w:rsid w:val="00296F53"/>
    <w:rsid w:val="002A039A"/>
    <w:rsid w:val="002A0E35"/>
    <w:rsid w:val="002A1175"/>
    <w:rsid w:val="002A1ECC"/>
    <w:rsid w:val="002A2286"/>
    <w:rsid w:val="002A258B"/>
    <w:rsid w:val="002A27D0"/>
    <w:rsid w:val="002A2D96"/>
    <w:rsid w:val="002A2E71"/>
    <w:rsid w:val="002A4023"/>
    <w:rsid w:val="002A418A"/>
    <w:rsid w:val="002A4CB0"/>
    <w:rsid w:val="002A5FE9"/>
    <w:rsid w:val="002A6DF8"/>
    <w:rsid w:val="002A7C83"/>
    <w:rsid w:val="002B19C2"/>
    <w:rsid w:val="002B1AFC"/>
    <w:rsid w:val="002B20D0"/>
    <w:rsid w:val="002B2BC5"/>
    <w:rsid w:val="002B5B99"/>
    <w:rsid w:val="002B5C15"/>
    <w:rsid w:val="002B7413"/>
    <w:rsid w:val="002C069F"/>
    <w:rsid w:val="002C0A31"/>
    <w:rsid w:val="002C229A"/>
    <w:rsid w:val="002C37F2"/>
    <w:rsid w:val="002C3E3C"/>
    <w:rsid w:val="002C416C"/>
    <w:rsid w:val="002C4FC5"/>
    <w:rsid w:val="002C58C1"/>
    <w:rsid w:val="002C59A1"/>
    <w:rsid w:val="002C60BD"/>
    <w:rsid w:val="002C747F"/>
    <w:rsid w:val="002D0957"/>
    <w:rsid w:val="002D1BF3"/>
    <w:rsid w:val="002D2278"/>
    <w:rsid w:val="002D43B5"/>
    <w:rsid w:val="002D4D6A"/>
    <w:rsid w:val="002D7018"/>
    <w:rsid w:val="002D765E"/>
    <w:rsid w:val="002D7C39"/>
    <w:rsid w:val="002E07FD"/>
    <w:rsid w:val="002E16F2"/>
    <w:rsid w:val="002E17A5"/>
    <w:rsid w:val="002E1AF7"/>
    <w:rsid w:val="002E1FCE"/>
    <w:rsid w:val="002E2575"/>
    <w:rsid w:val="002E3227"/>
    <w:rsid w:val="002E47A9"/>
    <w:rsid w:val="002E581F"/>
    <w:rsid w:val="002E5A17"/>
    <w:rsid w:val="002E73AC"/>
    <w:rsid w:val="002F0DB6"/>
    <w:rsid w:val="002F20F3"/>
    <w:rsid w:val="002F2C0C"/>
    <w:rsid w:val="002F3CFF"/>
    <w:rsid w:val="002F4588"/>
    <w:rsid w:val="002F5176"/>
    <w:rsid w:val="002F579A"/>
    <w:rsid w:val="002F616D"/>
    <w:rsid w:val="002F660E"/>
    <w:rsid w:val="002F7C3B"/>
    <w:rsid w:val="003012CE"/>
    <w:rsid w:val="00301565"/>
    <w:rsid w:val="00301937"/>
    <w:rsid w:val="00302743"/>
    <w:rsid w:val="00302A96"/>
    <w:rsid w:val="00303550"/>
    <w:rsid w:val="00305329"/>
    <w:rsid w:val="003053BE"/>
    <w:rsid w:val="00305DCD"/>
    <w:rsid w:val="00307C16"/>
    <w:rsid w:val="00310C9A"/>
    <w:rsid w:val="00311C02"/>
    <w:rsid w:val="00312561"/>
    <w:rsid w:val="00313BB0"/>
    <w:rsid w:val="003143E2"/>
    <w:rsid w:val="00314E31"/>
    <w:rsid w:val="003160B3"/>
    <w:rsid w:val="00317666"/>
    <w:rsid w:val="00317937"/>
    <w:rsid w:val="00320599"/>
    <w:rsid w:val="00322021"/>
    <w:rsid w:val="00323776"/>
    <w:rsid w:val="00324805"/>
    <w:rsid w:val="00327045"/>
    <w:rsid w:val="0033012E"/>
    <w:rsid w:val="003309EE"/>
    <w:rsid w:val="00332E9C"/>
    <w:rsid w:val="00333166"/>
    <w:rsid w:val="003332C5"/>
    <w:rsid w:val="00333521"/>
    <w:rsid w:val="00333B9C"/>
    <w:rsid w:val="00333C67"/>
    <w:rsid w:val="00334476"/>
    <w:rsid w:val="00336EAA"/>
    <w:rsid w:val="00337017"/>
    <w:rsid w:val="0033740F"/>
    <w:rsid w:val="0034069F"/>
    <w:rsid w:val="003411EB"/>
    <w:rsid w:val="00343A17"/>
    <w:rsid w:val="003444B4"/>
    <w:rsid w:val="00346DC2"/>
    <w:rsid w:val="00347F24"/>
    <w:rsid w:val="00350BDC"/>
    <w:rsid w:val="00351541"/>
    <w:rsid w:val="0035214A"/>
    <w:rsid w:val="003528AF"/>
    <w:rsid w:val="0035410C"/>
    <w:rsid w:val="003560AB"/>
    <w:rsid w:val="00356317"/>
    <w:rsid w:val="00357C82"/>
    <w:rsid w:val="00360665"/>
    <w:rsid w:val="00361C91"/>
    <w:rsid w:val="00367AD7"/>
    <w:rsid w:val="00370508"/>
    <w:rsid w:val="003706DD"/>
    <w:rsid w:val="00370EEB"/>
    <w:rsid w:val="00371F76"/>
    <w:rsid w:val="003736A2"/>
    <w:rsid w:val="00377E26"/>
    <w:rsid w:val="00380D46"/>
    <w:rsid w:val="0038253F"/>
    <w:rsid w:val="00383AD2"/>
    <w:rsid w:val="0038478E"/>
    <w:rsid w:val="003868CE"/>
    <w:rsid w:val="00387082"/>
    <w:rsid w:val="00387619"/>
    <w:rsid w:val="0039063F"/>
    <w:rsid w:val="003955B3"/>
    <w:rsid w:val="00395AE8"/>
    <w:rsid w:val="00396753"/>
    <w:rsid w:val="00396EBC"/>
    <w:rsid w:val="00397B35"/>
    <w:rsid w:val="003A00B1"/>
    <w:rsid w:val="003A1856"/>
    <w:rsid w:val="003A1BB7"/>
    <w:rsid w:val="003A7424"/>
    <w:rsid w:val="003A7C1F"/>
    <w:rsid w:val="003A7EDB"/>
    <w:rsid w:val="003B1A60"/>
    <w:rsid w:val="003B27E1"/>
    <w:rsid w:val="003B2BD4"/>
    <w:rsid w:val="003B44B6"/>
    <w:rsid w:val="003B655C"/>
    <w:rsid w:val="003C04D2"/>
    <w:rsid w:val="003C07B5"/>
    <w:rsid w:val="003C16F8"/>
    <w:rsid w:val="003C379C"/>
    <w:rsid w:val="003C4BD7"/>
    <w:rsid w:val="003C4DA2"/>
    <w:rsid w:val="003C6E87"/>
    <w:rsid w:val="003D00D0"/>
    <w:rsid w:val="003D07DB"/>
    <w:rsid w:val="003D2667"/>
    <w:rsid w:val="003D4E59"/>
    <w:rsid w:val="003D66BF"/>
    <w:rsid w:val="003E0470"/>
    <w:rsid w:val="003E12C5"/>
    <w:rsid w:val="003E136E"/>
    <w:rsid w:val="003E2FA3"/>
    <w:rsid w:val="003E358A"/>
    <w:rsid w:val="003E37FC"/>
    <w:rsid w:val="003E453D"/>
    <w:rsid w:val="003E66C1"/>
    <w:rsid w:val="003E68C2"/>
    <w:rsid w:val="003F04DF"/>
    <w:rsid w:val="003F11AA"/>
    <w:rsid w:val="003F1F57"/>
    <w:rsid w:val="003F2324"/>
    <w:rsid w:val="003F346E"/>
    <w:rsid w:val="003F3ACE"/>
    <w:rsid w:val="003F6B80"/>
    <w:rsid w:val="0040094C"/>
    <w:rsid w:val="00401611"/>
    <w:rsid w:val="00401D7A"/>
    <w:rsid w:val="00402BCD"/>
    <w:rsid w:val="0040381A"/>
    <w:rsid w:val="00403880"/>
    <w:rsid w:val="00404572"/>
    <w:rsid w:val="004057DE"/>
    <w:rsid w:val="00406053"/>
    <w:rsid w:val="004060AD"/>
    <w:rsid w:val="00407007"/>
    <w:rsid w:val="00413067"/>
    <w:rsid w:val="004138BA"/>
    <w:rsid w:val="00413B11"/>
    <w:rsid w:val="00414397"/>
    <w:rsid w:val="00415767"/>
    <w:rsid w:val="00416617"/>
    <w:rsid w:val="00416B59"/>
    <w:rsid w:val="0042082B"/>
    <w:rsid w:val="00422F46"/>
    <w:rsid w:val="00425C8D"/>
    <w:rsid w:val="004269FD"/>
    <w:rsid w:val="00430CE7"/>
    <w:rsid w:val="00432DF9"/>
    <w:rsid w:val="00433ED3"/>
    <w:rsid w:val="004341EE"/>
    <w:rsid w:val="00434B0F"/>
    <w:rsid w:val="00436462"/>
    <w:rsid w:val="004364CB"/>
    <w:rsid w:val="00436541"/>
    <w:rsid w:val="00437611"/>
    <w:rsid w:val="00437C96"/>
    <w:rsid w:val="00442074"/>
    <w:rsid w:val="004440AD"/>
    <w:rsid w:val="004450A1"/>
    <w:rsid w:val="004453E6"/>
    <w:rsid w:val="00445888"/>
    <w:rsid w:val="00445CF6"/>
    <w:rsid w:val="00446D21"/>
    <w:rsid w:val="00450E98"/>
    <w:rsid w:val="004525B3"/>
    <w:rsid w:val="004541A5"/>
    <w:rsid w:val="00455F4B"/>
    <w:rsid w:val="004567E5"/>
    <w:rsid w:val="004579C3"/>
    <w:rsid w:val="00457D98"/>
    <w:rsid w:val="004604AC"/>
    <w:rsid w:val="00461774"/>
    <w:rsid w:val="004625D4"/>
    <w:rsid w:val="00462E06"/>
    <w:rsid w:val="00463207"/>
    <w:rsid w:val="004639A6"/>
    <w:rsid w:val="00464965"/>
    <w:rsid w:val="004658F8"/>
    <w:rsid w:val="00466312"/>
    <w:rsid w:val="00466A7F"/>
    <w:rsid w:val="004703C7"/>
    <w:rsid w:val="00470951"/>
    <w:rsid w:val="00471ECE"/>
    <w:rsid w:val="00474716"/>
    <w:rsid w:val="0047578D"/>
    <w:rsid w:val="00475D46"/>
    <w:rsid w:val="0047615E"/>
    <w:rsid w:val="004773F1"/>
    <w:rsid w:val="0048172F"/>
    <w:rsid w:val="00482EA0"/>
    <w:rsid w:val="004848EB"/>
    <w:rsid w:val="00484C99"/>
    <w:rsid w:val="0048546C"/>
    <w:rsid w:val="004854E4"/>
    <w:rsid w:val="00485633"/>
    <w:rsid w:val="004876C1"/>
    <w:rsid w:val="004901B0"/>
    <w:rsid w:val="00491F93"/>
    <w:rsid w:val="004935C6"/>
    <w:rsid w:val="00495B29"/>
    <w:rsid w:val="004977DD"/>
    <w:rsid w:val="004A0861"/>
    <w:rsid w:val="004A1723"/>
    <w:rsid w:val="004A3857"/>
    <w:rsid w:val="004A4F9C"/>
    <w:rsid w:val="004A550D"/>
    <w:rsid w:val="004A5EFE"/>
    <w:rsid w:val="004A60D9"/>
    <w:rsid w:val="004A65D5"/>
    <w:rsid w:val="004A6902"/>
    <w:rsid w:val="004A6987"/>
    <w:rsid w:val="004A6C4A"/>
    <w:rsid w:val="004A6E7B"/>
    <w:rsid w:val="004B057F"/>
    <w:rsid w:val="004B1FD2"/>
    <w:rsid w:val="004B28FA"/>
    <w:rsid w:val="004B3E5A"/>
    <w:rsid w:val="004B4450"/>
    <w:rsid w:val="004B5275"/>
    <w:rsid w:val="004C08BB"/>
    <w:rsid w:val="004C0C0F"/>
    <w:rsid w:val="004C304B"/>
    <w:rsid w:val="004C368A"/>
    <w:rsid w:val="004C4B52"/>
    <w:rsid w:val="004C528D"/>
    <w:rsid w:val="004C63E3"/>
    <w:rsid w:val="004D015A"/>
    <w:rsid w:val="004D04B0"/>
    <w:rsid w:val="004D1C93"/>
    <w:rsid w:val="004D354D"/>
    <w:rsid w:val="004D37CE"/>
    <w:rsid w:val="004D4A6F"/>
    <w:rsid w:val="004D746B"/>
    <w:rsid w:val="004E3986"/>
    <w:rsid w:val="004E4477"/>
    <w:rsid w:val="004E5D7C"/>
    <w:rsid w:val="004F1F84"/>
    <w:rsid w:val="004F29B2"/>
    <w:rsid w:val="004F3D6A"/>
    <w:rsid w:val="004F504A"/>
    <w:rsid w:val="004F56E2"/>
    <w:rsid w:val="004F7071"/>
    <w:rsid w:val="004F70F1"/>
    <w:rsid w:val="004F725A"/>
    <w:rsid w:val="00506DE3"/>
    <w:rsid w:val="00510AB7"/>
    <w:rsid w:val="00510AEA"/>
    <w:rsid w:val="00512052"/>
    <w:rsid w:val="00513FCC"/>
    <w:rsid w:val="005149C0"/>
    <w:rsid w:val="00515D4E"/>
    <w:rsid w:val="00516240"/>
    <w:rsid w:val="0051691C"/>
    <w:rsid w:val="0052122C"/>
    <w:rsid w:val="00524361"/>
    <w:rsid w:val="00525643"/>
    <w:rsid w:val="0053147B"/>
    <w:rsid w:val="00532193"/>
    <w:rsid w:val="00532391"/>
    <w:rsid w:val="0053298E"/>
    <w:rsid w:val="00534334"/>
    <w:rsid w:val="005347DC"/>
    <w:rsid w:val="0053516B"/>
    <w:rsid w:val="005369EB"/>
    <w:rsid w:val="005415C5"/>
    <w:rsid w:val="005432E4"/>
    <w:rsid w:val="00544C17"/>
    <w:rsid w:val="0054520C"/>
    <w:rsid w:val="00545EF1"/>
    <w:rsid w:val="00546FDA"/>
    <w:rsid w:val="005470C0"/>
    <w:rsid w:val="00547D68"/>
    <w:rsid w:val="0055050A"/>
    <w:rsid w:val="0055108C"/>
    <w:rsid w:val="00551708"/>
    <w:rsid w:val="00552CD5"/>
    <w:rsid w:val="0055606A"/>
    <w:rsid w:val="0055615A"/>
    <w:rsid w:val="005570DF"/>
    <w:rsid w:val="00557B82"/>
    <w:rsid w:val="005602D3"/>
    <w:rsid w:val="005609EF"/>
    <w:rsid w:val="00560A34"/>
    <w:rsid w:val="00561464"/>
    <w:rsid w:val="005615C5"/>
    <w:rsid w:val="0056262C"/>
    <w:rsid w:val="00570AD1"/>
    <w:rsid w:val="00572638"/>
    <w:rsid w:val="005738B8"/>
    <w:rsid w:val="005747BF"/>
    <w:rsid w:val="00574B65"/>
    <w:rsid w:val="00575ACF"/>
    <w:rsid w:val="00575E77"/>
    <w:rsid w:val="005769AE"/>
    <w:rsid w:val="00577B5E"/>
    <w:rsid w:val="00580ECF"/>
    <w:rsid w:val="00581080"/>
    <w:rsid w:val="0058185C"/>
    <w:rsid w:val="005822AC"/>
    <w:rsid w:val="00583E23"/>
    <w:rsid w:val="005842A1"/>
    <w:rsid w:val="00584600"/>
    <w:rsid w:val="00584D35"/>
    <w:rsid w:val="00585255"/>
    <w:rsid w:val="005866BD"/>
    <w:rsid w:val="005873A4"/>
    <w:rsid w:val="00587765"/>
    <w:rsid w:val="00587DED"/>
    <w:rsid w:val="00590236"/>
    <w:rsid w:val="00592449"/>
    <w:rsid w:val="00592757"/>
    <w:rsid w:val="00593A5A"/>
    <w:rsid w:val="00593C9D"/>
    <w:rsid w:val="005940D8"/>
    <w:rsid w:val="005945DA"/>
    <w:rsid w:val="00596525"/>
    <w:rsid w:val="00596ACC"/>
    <w:rsid w:val="00596FD7"/>
    <w:rsid w:val="005A1270"/>
    <w:rsid w:val="005A1377"/>
    <w:rsid w:val="005A1A07"/>
    <w:rsid w:val="005A24BB"/>
    <w:rsid w:val="005A2902"/>
    <w:rsid w:val="005A382E"/>
    <w:rsid w:val="005A5378"/>
    <w:rsid w:val="005A5983"/>
    <w:rsid w:val="005A5D71"/>
    <w:rsid w:val="005A6230"/>
    <w:rsid w:val="005A66EB"/>
    <w:rsid w:val="005B034E"/>
    <w:rsid w:val="005B11C8"/>
    <w:rsid w:val="005B4503"/>
    <w:rsid w:val="005B4E7A"/>
    <w:rsid w:val="005B51B8"/>
    <w:rsid w:val="005B56D5"/>
    <w:rsid w:val="005B5E9F"/>
    <w:rsid w:val="005B7483"/>
    <w:rsid w:val="005B7785"/>
    <w:rsid w:val="005C08DC"/>
    <w:rsid w:val="005C1938"/>
    <w:rsid w:val="005C2B2C"/>
    <w:rsid w:val="005C3159"/>
    <w:rsid w:val="005C3213"/>
    <w:rsid w:val="005C3DE2"/>
    <w:rsid w:val="005C4572"/>
    <w:rsid w:val="005C4870"/>
    <w:rsid w:val="005C557C"/>
    <w:rsid w:val="005C5B68"/>
    <w:rsid w:val="005C60EA"/>
    <w:rsid w:val="005C6509"/>
    <w:rsid w:val="005C7979"/>
    <w:rsid w:val="005D0176"/>
    <w:rsid w:val="005D2CF1"/>
    <w:rsid w:val="005D3E15"/>
    <w:rsid w:val="005D3F3B"/>
    <w:rsid w:val="005D4485"/>
    <w:rsid w:val="005D4698"/>
    <w:rsid w:val="005D5A52"/>
    <w:rsid w:val="005D5CC4"/>
    <w:rsid w:val="005D5DB2"/>
    <w:rsid w:val="005D7A8F"/>
    <w:rsid w:val="005E0414"/>
    <w:rsid w:val="005E0E6B"/>
    <w:rsid w:val="005E1442"/>
    <w:rsid w:val="005E18AE"/>
    <w:rsid w:val="005E1DC2"/>
    <w:rsid w:val="005E1DE5"/>
    <w:rsid w:val="005E251B"/>
    <w:rsid w:val="005E29BD"/>
    <w:rsid w:val="005E4ED3"/>
    <w:rsid w:val="005E5793"/>
    <w:rsid w:val="005E7193"/>
    <w:rsid w:val="005F0B78"/>
    <w:rsid w:val="005F0FC5"/>
    <w:rsid w:val="005F250E"/>
    <w:rsid w:val="005F41AC"/>
    <w:rsid w:val="005F4485"/>
    <w:rsid w:val="005F46AE"/>
    <w:rsid w:val="005F5ABA"/>
    <w:rsid w:val="005F6974"/>
    <w:rsid w:val="005F6DA3"/>
    <w:rsid w:val="006000AE"/>
    <w:rsid w:val="00601748"/>
    <w:rsid w:val="006019B4"/>
    <w:rsid w:val="00603289"/>
    <w:rsid w:val="006035CA"/>
    <w:rsid w:val="00603719"/>
    <w:rsid w:val="00603C8F"/>
    <w:rsid w:val="00604CF7"/>
    <w:rsid w:val="00605ADC"/>
    <w:rsid w:val="00605D97"/>
    <w:rsid w:val="006066AB"/>
    <w:rsid w:val="00607418"/>
    <w:rsid w:val="00607BA4"/>
    <w:rsid w:val="00610019"/>
    <w:rsid w:val="00610AAA"/>
    <w:rsid w:val="00610C05"/>
    <w:rsid w:val="00610D1A"/>
    <w:rsid w:val="00611223"/>
    <w:rsid w:val="0061161B"/>
    <w:rsid w:val="00612418"/>
    <w:rsid w:val="00612B7E"/>
    <w:rsid w:val="00613317"/>
    <w:rsid w:val="00613BA5"/>
    <w:rsid w:val="00613BCD"/>
    <w:rsid w:val="006145AC"/>
    <w:rsid w:val="006152C6"/>
    <w:rsid w:val="00620754"/>
    <w:rsid w:val="00621F9F"/>
    <w:rsid w:val="00624C88"/>
    <w:rsid w:val="006303A0"/>
    <w:rsid w:val="0063044A"/>
    <w:rsid w:val="00630D2A"/>
    <w:rsid w:val="00632A5A"/>
    <w:rsid w:val="00634F5F"/>
    <w:rsid w:val="00637342"/>
    <w:rsid w:val="0064132B"/>
    <w:rsid w:val="006431FD"/>
    <w:rsid w:val="00650D93"/>
    <w:rsid w:val="006518D8"/>
    <w:rsid w:val="006519A9"/>
    <w:rsid w:val="006523C3"/>
    <w:rsid w:val="00652A4A"/>
    <w:rsid w:val="0065332B"/>
    <w:rsid w:val="0065353B"/>
    <w:rsid w:val="00653DA7"/>
    <w:rsid w:val="00654A27"/>
    <w:rsid w:val="006558A7"/>
    <w:rsid w:val="00655D31"/>
    <w:rsid w:val="00661D15"/>
    <w:rsid w:val="00661EEB"/>
    <w:rsid w:val="00664112"/>
    <w:rsid w:val="00664842"/>
    <w:rsid w:val="00665C14"/>
    <w:rsid w:val="0066655F"/>
    <w:rsid w:val="00666878"/>
    <w:rsid w:val="00670C0F"/>
    <w:rsid w:val="00674618"/>
    <w:rsid w:val="00674B18"/>
    <w:rsid w:val="006750A3"/>
    <w:rsid w:val="00675AAB"/>
    <w:rsid w:val="006775FC"/>
    <w:rsid w:val="00677D48"/>
    <w:rsid w:val="006805A3"/>
    <w:rsid w:val="006817A2"/>
    <w:rsid w:val="00681BD2"/>
    <w:rsid w:val="00681EA2"/>
    <w:rsid w:val="006821B9"/>
    <w:rsid w:val="00682AD6"/>
    <w:rsid w:val="00685664"/>
    <w:rsid w:val="00686131"/>
    <w:rsid w:val="00686D90"/>
    <w:rsid w:val="0069173F"/>
    <w:rsid w:val="006926E1"/>
    <w:rsid w:val="006933D2"/>
    <w:rsid w:val="00696822"/>
    <w:rsid w:val="00696D60"/>
    <w:rsid w:val="006A1333"/>
    <w:rsid w:val="006A1A0E"/>
    <w:rsid w:val="006A1FED"/>
    <w:rsid w:val="006B11B1"/>
    <w:rsid w:val="006B423B"/>
    <w:rsid w:val="006B5EF7"/>
    <w:rsid w:val="006B6628"/>
    <w:rsid w:val="006B663D"/>
    <w:rsid w:val="006B70BF"/>
    <w:rsid w:val="006B7B53"/>
    <w:rsid w:val="006C22FF"/>
    <w:rsid w:val="006C2362"/>
    <w:rsid w:val="006C2D05"/>
    <w:rsid w:val="006C3F84"/>
    <w:rsid w:val="006C6515"/>
    <w:rsid w:val="006C780A"/>
    <w:rsid w:val="006C78F3"/>
    <w:rsid w:val="006D0E68"/>
    <w:rsid w:val="006D380E"/>
    <w:rsid w:val="006D52C0"/>
    <w:rsid w:val="006D5463"/>
    <w:rsid w:val="006D55C9"/>
    <w:rsid w:val="006D562A"/>
    <w:rsid w:val="006D599B"/>
    <w:rsid w:val="006E0BA2"/>
    <w:rsid w:val="006E1817"/>
    <w:rsid w:val="006E1BF0"/>
    <w:rsid w:val="006E1E68"/>
    <w:rsid w:val="006E21F9"/>
    <w:rsid w:val="006E35AC"/>
    <w:rsid w:val="006E4CB9"/>
    <w:rsid w:val="006E5648"/>
    <w:rsid w:val="006E56D5"/>
    <w:rsid w:val="006E5BB6"/>
    <w:rsid w:val="006E7940"/>
    <w:rsid w:val="006F0107"/>
    <w:rsid w:val="006F0256"/>
    <w:rsid w:val="006F06B0"/>
    <w:rsid w:val="006F181F"/>
    <w:rsid w:val="006F200E"/>
    <w:rsid w:val="006F39EA"/>
    <w:rsid w:val="006F41E0"/>
    <w:rsid w:val="006F58C4"/>
    <w:rsid w:val="006F5EC5"/>
    <w:rsid w:val="007007D8"/>
    <w:rsid w:val="00701B95"/>
    <w:rsid w:val="00702534"/>
    <w:rsid w:val="00703195"/>
    <w:rsid w:val="00703AA2"/>
    <w:rsid w:val="007041EA"/>
    <w:rsid w:val="00704A49"/>
    <w:rsid w:val="00705817"/>
    <w:rsid w:val="00705877"/>
    <w:rsid w:val="007058A2"/>
    <w:rsid w:val="007058C4"/>
    <w:rsid w:val="007066BD"/>
    <w:rsid w:val="0070686F"/>
    <w:rsid w:val="00707FBD"/>
    <w:rsid w:val="00712D05"/>
    <w:rsid w:val="0071327F"/>
    <w:rsid w:val="00713ADD"/>
    <w:rsid w:val="00713BF7"/>
    <w:rsid w:val="00715FF4"/>
    <w:rsid w:val="00716FF3"/>
    <w:rsid w:val="0072087D"/>
    <w:rsid w:val="00721FAA"/>
    <w:rsid w:val="007227BE"/>
    <w:rsid w:val="00723BC4"/>
    <w:rsid w:val="00723E22"/>
    <w:rsid w:val="00724070"/>
    <w:rsid w:val="00725947"/>
    <w:rsid w:val="0072619A"/>
    <w:rsid w:val="007266F3"/>
    <w:rsid w:val="0072720C"/>
    <w:rsid w:val="00731566"/>
    <w:rsid w:val="00731890"/>
    <w:rsid w:val="00732576"/>
    <w:rsid w:val="00732E59"/>
    <w:rsid w:val="00732EE0"/>
    <w:rsid w:val="0073328D"/>
    <w:rsid w:val="00733845"/>
    <w:rsid w:val="007342B9"/>
    <w:rsid w:val="00734534"/>
    <w:rsid w:val="007347FE"/>
    <w:rsid w:val="00734F8A"/>
    <w:rsid w:val="007353F7"/>
    <w:rsid w:val="00740A74"/>
    <w:rsid w:val="00742F6B"/>
    <w:rsid w:val="00743AC3"/>
    <w:rsid w:val="00743B5B"/>
    <w:rsid w:val="007442CA"/>
    <w:rsid w:val="0074615D"/>
    <w:rsid w:val="007464C2"/>
    <w:rsid w:val="007466CD"/>
    <w:rsid w:val="00746894"/>
    <w:rsid w:val="0074790C"/>
    <w:rsid w:val="007515C6"/>
    <w:rsid w:val="00751FA6"/>
    <w:rsid w:val="00752249"/>
    <w:rsid w:val="007523AE"/>
    <w:rsid w:val="0075351E"/>
    <w:rsid w:val="0075450F"/>
    <w:rsid w:val="0075501B"/>
    <w:rsid w:val="00755991"/>
    <w:rsid w:val="007573CF"/>
    <w:rsid w:val="007579CA"/>
    <w:rsid w:val="00760418"/>
    <w:rsid w:val="00762566"/>
    <w:rsid w:val="00763083"/>
    <w:rsid w:val="00763ABC"/>
    <w:rsid w:val="00763F5C"/>
    <w:rsid w:val="00764812"/>
    <w:rsid w:val="00766BF2"/>
    <w:rsid w:val="00770B8D"/>
    <w:rsid w:val="00771B97"/>
    <w:rsid w:val="007728BC"/>
    <w:rsid w:val="007738E1"/>
    <w:rsid w:val="00774A1B"/>
    <w:rsid w:val="0077577A"/>
    <w:rsid w:val="00775BB2"/>
    <w:rsid w:val="00777511"/>
    <w:rsid w:val="00777AEE"/>
    <w:rsid w:val="007817BE"/>
    <w:rsid w:val="00784744"/>
    <w:rsid w:val="00784A4C"/>
    <w:rsid w:val="0078520C"/>
    <w:rsid w:val="00786CF6"/>
    <w:rsid w:val="0078792E"/>
    <w:rsid w:val="00787C29"/>
    <w:rsid w:val="007903D3"/>
    <w:rsid w:val="00791B1F"/>
    <w:rsid w:val="00792220"/>
    <w:rsid w:val="0079243C"/>
    <w:rsid w:val="00792AD7"/>
    <w:rsid w:val="00793684"/>
    <w:rsid w:val="007941DC"/>
    <w:rsid w:val="0079615E"/>
    <w:rsid w:val="0079744E"/>
    <w:rsid w:val="00797AFC"/>
    <w:rsid w:val="007A0034"/>
    <w:rsid w:val="007A0F01"/>
    <w:rsid w:val="007A1007"/>
    <w:rsid w:val="007A132E"/>
    <w:rsid w:val="007A14D7"/>
    <w:rsid w:val="007A6002"/>
    <w:rsid w:val="007A7553"/>
    <w:rsid w:val="007B0C52"/>
    <w:rsid w:val="007B277B"/>
    <w:rsid w:val="007B5B87"/>
    <w:rsid w:val="007B6C6D"/>
    <w:rsid w:val="007B7153"/>
    <w:rsid w:val="007C0C8C"/>
    <w:rsid w:val="007C1878"/>
    <w:rsid w:val="007C2384"/>
    <w:rsid w:val="007C24DA"/>
    <w:rsid w:val="007C39E4"/>
    <w:rsid w:val="007C4F6E"/>
    <w:rsid w:val="007C6E32"/>
    <w:rsid w:val="007C6F56"/>
    <w:rsid w:val="007D06C9"/>
    <w:rsid w:val="007D0DE8"/>
    <w:rsid w:val="007D46EB"/>
    <w:rsid w:val="007D4B9C"/>
    <w:rsid w:val="007E1514"/>
    <w:rsid w:val="007E1571"/>
    <w:rsid w:val="007E2D35"/>
    <w:rsid w:val="007E3D60"/>
    <w:rsid w:val="007E42EA"/>
    <w:rsid w:val="007E52FF"/>
    <w:rsid w:val="007E5722"/>
    <w:rsid w:val="007E5C63"/>
    <w:rsid w:val="007F035D"/>
    <w:rsid w:val="007F05A4"/>
    <w:rsid w:val="007F08FC"/>
    <w:rsid w:val="007F2736"/>
    <w:rsid w:val="007F4639"/>
    <w:rsid w:val="007F7430"/>
    <w:rsid w:val="007F7B0E"/>
    <w:rsid w:val="00801973"/>
    <w:rsid w:val="00802E35"/>
    <w:rsid w:val="00803EB4"/>
    <w:rsid w:val="008045F1"/>
    <w:rsid w:val="00805805"/>
    <w:rsid w:val="00805FA9"/>
    <w:rsid w:val="008065AE"/>
    <w:rsid w:val="0080700E"/>
    <w:rsid w:val="00810465"/>
    <w:rsid w:val="00811994"/>
    <w:rsid w:val="00813BBC"/>
    <w:rsid w:val="00814381"/>
    <w:rsid w:val="008143DC"/>
    <w:rsid w:val="00814D50"/>
    <w:rsid w:val="00820EFF"/>
    <w:rsid w:val="008242A3"/>
    <w:rsid w:val="00825A3B"/>
    <w:rsid w:val="00826B9F"/>
    <w:rsid w:val="00827439"/>
    <w:rsid w:val="0082765D"/>
    <w:rsid w:val="00831543"/>
    <w:rsid w:val="008332D3"/>
    <w:rsid w:val="008346EA"/>
    <w:rsid w:val="00834F7C"/>
    <w:rsid w:val="00835435"/>
    <w:rsid w:val="00835819"/>
    <w:rsid w:val="00836295"/>
    <w:rsid w:val="0083642E"/>
    <w:rsid w:val="00837829"/>
    <w:rsid w:val="008378A5"/>
    <w:rsid w:val="00840EB6"/>
    <w:rsid w:val="00841A88"/>
    <w:rsid w:val="008420DF"/>
    <w:rsid w:val="00842134"/>
    <w:rsid w:val="00842675"/>
    <w:rsid w:val="00843402"/>
    <w:rsid w:val="008438F7"/>
    <w:rsid w:val="008440F8"/>
    <w:rsid w:val="0084639C"/>
    <w:rsid w:val="008505AD"/>
    <w:rsid w:val="008518A2"/>
    <w:rsid w:val="00853F7C"/>
    <w:rsid w:val="00857D17"/>
    <w:rsid w:val="00862178"/>
    <w:rsid w:val="0086363C"/>
    <w:rsid w:val="008636DC"/>
    <w:rsid w:val="008651E4"/>
    <w:rsid w:val="008668CB"/>
    <w:rsid w:val="00866C33"/>
    <w:rsid w:val="00870051"/>
    <w:rsid w:val="00870D40"/>
    <w:rsid w:val="0087265E"/>
    <w:rsid w:val="0087336C"/>
    <w:rsid w:val="00875A65"/>
    <w:rsid w:val="00875D75"/>
    <w:rsid w:val="008760E2"/>
    <w:rsid w:val="00876815"/>
    <w:rsid w:val="00877714"/>
    <w:rsid w:val="00880176"/>
    <w:rsid w:val="008813B2"/>
    <w:rsid w:val="00881853"/>
    <w:rsid w:val="00883C4C"/>
    <w:rsid w:val="008843E2"/>
    <w:rsid w:val="00886644"/>
    <w:rsid w:val="008866CF"/>
    <w:rsid w:val="008868B0"/>
    <w:rsid w:val="00887717"/>
    <w:rsid w:val="00887720"/>
    <w:rsid w:val="008879AA"/>
    <w:rsid w:val="0089020B"/>
    <w:rsid w:val="008909A4"/>
    <w:rsid w:val="00895BCB"/>
    <w:rsid w:val="0089603C"/>
    <w:rsid w:val="00897072"/>
    <w:rsid w:val="008972DB"/>
    <w:rsid w:val="008A28B0"/>
    <w:rsid w:val="008A3D5F"/>
    <w:rsid w:val="008A487B"/>
    <w:rsid w:val="008A4F05"/>
    <w:rsid w:val="008A60ED"/>
    <w:rsid w:val="008A69D3"/>
    <w:rsid w:val="008A7579"/>
    <w:rsid w:val="008A7623"/>
    <w:rsid w:val="008A78F0"/>
    <w:rsid w:val="008A7F36"/>
    <w:rsid w:val="008B0079"/>
    <w:rsid w:val="008B1383"/>
    <w:rsid w:val="008B18C4"/>
    <w:rsid w:val="008B1BD4"/>
    <w:rsid w:val="008B27A8"/>
    <w:rsid w:val="008B42B7"/>
    <w:rsid w:val="008B4D5F"/>
    <w:rsid w:val="008B5DB0"/>
    <w:rsid w:val="008B6274"/>
    <w:rsid w:val="008B6ADC"/>
    <w:rsid w:val="008B6E76"/>
    <w:rsid w:val="008B76C2"/>
    <w:rsid w:val="008B7AB4"/>
    <w:rsid w:val="008C0374"/>
    <w:rsid w:val="008C0DE6"/>
    <w:rsid w:val="008C16B0"/>
    <w:rsid w:val="008C3872"/>
    <w:rsid w:val="008C44BF"/>
    <w:rsid w:val="008C5326"/>
    <w:rsid w:val="008C5B11"/>
    <w:rsid w:val="008C764E"/>
    <w:rsid w:val="008D013C"/>
    <w:rsid w:val="008D0F59"/>
    <w:rsid w:val="008D13B8"/>
    <w:rsid w:val="008D4501"/>
    <w:rsid w:val="008D4612"/>
    <w:rsid w:val="008D4F02"/>
    <w:rsid w:val="008D5C4D"/>
    <w:rsid w:val="008D65C5"/>
    <w:rsid w:val="008D7306"/>
    <w:rsid w:val="008D735E"/>
    <w:rsid w:val="008E07E5"/>
    <w:rsid w:val="008E2612"/>
    <w:rsid w:val="008E5577"/>
    <w:rsid w:val="008E6E33"/>
    <w:rsid w:val="008F10AB"/>
    <w:rsid w:val="008F11AA"/>
    <w:rsid w:val="008F28B1"/>
    <w:rsid w:val="008F613B"/>
    <w:rsid w:val="008F65E3"/>
    <w:rsid w:val="008F7FC0"/>
    <w:rsid w:val="00900B7E"/>
    <w:rsid w:val="00900DC6"/>
    <w:rsid w:val="00900E38"/>
    <w:rsid w:val="00901534"/>
    <w:rsid w:val="009031D2"/>
    <w:rsid w:val="00904059"/>
    <w:rsid w:val="0090418F"/>
    <w:rsid w:val="00904400"/>
    <w:rsid w:val="009065FB"/>
    <w:rsid w:val="009075C3"/>
    <w:rsid w:val="00907E0D"/>
    <w:rsid w:val="00907E82"/>
    <w:rsid w:val="00910684"/>
    <w:rsid w:val="009123F4"/>
    <w:rsid w:val="009126A7"/>
    <w:rsid w:val="00912EE7"/>
    <w:rsid w:val="00914DA9"/>
    <w:rsid w:val="00914F0F"/>
    <w:rsid w:val="00915037"/>
    <w:rsid w:val="00915061"/>
    <w:rsid w:val="00923476"/>
    <w:rsid w:val="009237B4"/>
    <w:rsid w:val="009253B4"/>
    <w:rsid w:val="009256E1"/>
    <w:rsid w:val="009260F5"/>
    <w:rsid w:val="00926C12"/>
    <w:rsid w:val="009277E9"/>
    <w:rsid w:val="00930A2F"/>
    <w:rsid w:val="0093523E"/>
    <w:rsid w:val="00937ABB"/>
    <w:rsid w:val="009411B1"/>
    <w:rsid w:val="00942A44"/>
    <w:rsid w:val="00942CC8"/>
    <w:rsid w:val="00943D19"/>
    <w:rsid w:val="0094511F"/>
    <w:rsid w:val="0094780F"/>
    <w:rsid w:val="00947F2F"/>
    <w:rsid w:val="00950748"/>
    <w:rsid w:val="009508BD"/>
    <w:rsid w:val="00950E09"/>
    <w:rsid w:val="00951554"/>
    <w:rsid w:val="00954DA2"/>
    <w:rsid w:val="0095508C"/>
    <w:rsid w:val="00956011"/>
    <w:rsid w:val="0095713F"/>
    <w:rsid w:val="009603BC"/>
    <w:rsid w:val="0096071D"/>
    <w:rsid w:val="00961108"/>
    <w:rsid w:val="00962BFD"/>
    <w:rsid w:val="009654DC"/>
    <w:rsid w:val="00965BD2"/>
    <w:rsid w:val="00966C51"/>
    <w:rsid w:val="00967A0C"/>
    <w:rsid w:val="00970DF7"/>
    <w:rsid w:val="00971320"/>
    <w:rsid w:val="009718CC"/>
    <w:rsid w:val="0097193B"/>
    <w:rsid w:val="00971AD1"/>
    <w:rsid w:val="00971DAD"/>
    <w:rsid w:val="00972453"/>
    <w:rsid w:val="009730EB"/>
    <w:rsid w:val="00973712"/>
    <w:rsid w:val="009740FC"/>
    <w:rsid w:val="00974EE9"/>
    <w:rsid w:val="00974F12"/>
    <w:rsid w:val="009757DA"/>
    <w:rsid w:val="009760B1"/>
    <w:rsid w:val="009761A7"/>
    <w:rsid w:val="00977372"/>
    <w:rsid w:val="0097793E"/>
    <w:rsid w:val="00977A87"/>
    <w:rsid w:val="00983092"/>
    <w:rsid w:val="00986F8C"/>
    <w:rsid w:val="00987522"/>
    <w:rsid w:val="009876EC"/>
    <w:rsid w:val="00990FB1"/>
    <w:rsid w:val="00991DF3"/>
    <w:rsid w:val="00993AD1"/>
    <w:rsid w:val="0099418A"/>
    <w:rsid w:val="00994E75"/>
    <w:rsid w:val="0099511A"/>
    <w:rsid w:val="0099683C"/>
    <w:rsid w:val="00997179"/>
    <w:rsid w:val="009A15F8"/>
    <w:rsid w:val="009A1C30"/>
    <w:rsid w:val="009A35BF"/>
    <w:rsid w:val="009A4BE1"/>
    <w:rsid w:val="009A5AF0"/>
    <w:rsid w:val="009A64A0"/>
    <w:rsid w:val="009A6DED"/>
    <w:rsid w:val="009A6E0B"/>
    <w:rsid w:val="009A755B"/>
    <w:rsid w:val="009B1CB3"/>
    <w:rsid w:val="009B3506"/>
    <w:rsid w:val="009B5986"/>
    <w:rsid w:val="009B6B3E"/>
    <w:rsid w:val="009B71EC"/>
    <w:rsid w:val="009B724A"/>
    <w:rsid w:val="009C061D"/>
    <w:rsid w:val="009C141A"/>
    <w:rsid w:val="009C32FB"/>
    <w:rsid w:val="009C3A0E"/>
    <w:rsid w:val="009C463E"/>
    <w:rsid w:val="009C5644"/>
    <w:rsid w:val="009C5C8C"/>
    <w:rsid w:val="009C615A"/>
    <w:rsid w:val="009C6491"/>
    <w:rsid w:val="009C69B5"/>
    <w:rsid w:val="009C7A57"/>
    <w:rsid w:val="009D0F1F"/>
    <w:rsid w:val="009D144D"/>
    <w:rsid w:val="009D1AF3"/>
    <w:rsid w:val="009D291D"/>
    <w:rsid w:val="009D343E"/>
    <w:rsid w:val="009D49A1"/>
    <w:rsid w:val="009E0899"/>
    <w:rsid w:val="009E1BB2"/>
    <w:rsid w:val="009E1C33"/>
    <w:rsid w:val="009E31AC"/>
    <w:rsid w:val="009E3F3D"/>
    <w:rsid w:val="009E5324"/>
    <w:rsid w:val="009E6177"/>
    <w:rsid w:val="009E7CAA"/>
    <w:rsid w:val="009E7F6C"/>
    <w:rsid w:val="009F028C"/>
    <w:rsid w:val="009F1EAE"/>
    <w:rsid w:val="009F2EBE"/>
    <w:rsid w:val="009F32FB"/>
    <w:rsid w:val="009F44C9"/>
    <w:rsid w:val="009F56BA"/>
    <w:rsid w:val="009F5B27"/>
    <w:rsid w:val="009F68AF"/>
    <w:rsid w:val="009F76C8"/>
    <w:rsid w:val="00A00D7D"/>
    <w:rsid w:val="00A01421"/>
    <w:rsid w:val="00A016EB"/>
    <w:rsid w:val="00A021C6"/>
    <w:rsid w:val="00A02552"/>
    <w:rsid w:val="00A03DAD"/>
    <w:rsid w:val="00A049A2"/>
    <w:rsid w:val="00A0538C"/>
    <w:rsid w:val="00A058F3"/>
    <w:rsid w:val="00A0603D"/>
    <w:rsid w:val="00A0693F"/>
    <w:rsid w:val="00A07282"/>
    <w:rsid w:val="00A1003D"/>
    <w:rsid w:val="00A12069"/>
    <w:rsid w:val="00A12296"/>
    <w:rsid w:val="00A12A69"/>
    <w:rsid w:val="00A12FD1"/>
    <w:rsid w:val="00A13C1F"/>
    <w:rsid w:val="00A140A0"/>
    <w:rsid w:val="00A15179"/>
    <w:rsid w:val="00A17556"/>
    <w:rsid w:val="00A17652"/>
    <w:rsid w:val="00A2138A"/>
    <w:rsid w:val="00A2262E"/>
    <w:rsid w:val="00A23463"/>
    <w:rsid w:val="00A252E9"/>
    <w:rsid w:val="00A26564"/>
    <w:rsid w:val="00A2711F"/>
    <w:rsid w:val="00A27E1B"/>
    <w:rsid w:val="00A309C2"/>
    <w:rsid w:val="00A325E1"/>
    <w:rsid w:val="00A328D0"/>
    <w:rsid w:val="00A35C33"/>
    <w:rsid w:val="00A36AA8"/>
    <w:rsid w:val="00A37285"/>
    <w:rsid w:val="00A411F2"/>
    <w:rsid w:val="00A41399"/>
    <w:rsid w:val="00A4186C"/>
    <w:rsid w:val="00A41895"/>
    <w:rsid w:val="00A41BD5"/>
    <w:rsid w:val="00A43A47"/>
    <w:rsid w:val="00A43F2A"/>
    <w:rsid w:val="00A44543"/>
    <w:rsid w:val="00A4503C"/>
    <w:rsid w:val="00A451E6"/>
    <w:rsid w:val="00A45277"/>
    <w:rsid w:val="00A45B50"/>
    <w:rsid w:val="00A45C1B"/>
    <w:rsid w:val="00A45C6D"/>
    <w:rsid w:val="00A465F0"/>
    <w:rsid w:val="00A46ABE"/>
    <w:rsid w:val="00A46FB4"/>
    <w:rsid w:val="00A46FD8"/>
    <w:rsid w:val="00A50722"/>
    <w:rsid w:val="00A511E6"/>
    <w:rsid w:val="00A53259"/>
    <w:rsid w:val="00A5377C"/>
    <w:rsid w:val="00A540FD"/>
    <w:rsid w:val="00A54653"/>
    <w:rsid w:val="00A54FEE"/>
    <w:rsid w:val="00A57CC6"/>
    <w:rsid w:val="00A600DA"/>
    <w:rsid w:val="00A6117B"/>
    <w:rsid w:val="00A616CB"/>
    <w:rsid w:val="00A62CF2"/>
    <w:rsid w:val="00A63004"/>
    <w:rsid w:val="00A64A97"/>
    <w:rsid w:val="00A64C96"/>
    <w:rsid w:val="00A65603"/>
    <w:rsid w:val="00A65B52"/>
    <w:rsid w:val="00A664BD"/>
    <w:rsid w:val="00A6656D"/>
    <w:rsid w:val="00A70039"/>
    <w:rsid w:val="00A70442"/>
    <w:rsid w:val="00A713E5"/>
    <w:rsid w:val="00A762EF"/>
    <w:rsid w:val="00A81D2E"/>
    <w:rsid w:val="00A8302C"/>
    <w:rsid w:val="00A839E3"/>
    <w:rsid w:val="00A843B9"/>
    <w:rsid w:val="00A84636"/>
    <w:rsid w:val="00A84A37"/>
    <w:rsid w:val="00A85A79"/>
    <w:rsid w:val="00A85FD2"/>
    <w:rsid w:val="00A862A1"/>
    <w:rsid w:val="00A9121D"/>
    <w:rsid w:val="00A917A4"/>
    <w:rsid w:val="00A92FDD"/>
    <w:rsid w:val="00A936D5"/>
    <w:rsid w:val="00A93954"/>
    <w:rsid w:val="00A941BC"/>
    <w:rsid w:val="00A94C97"/>
    <w:rsid w:val="00A9771E"/>
    <w:rsid w:val="00A979D3"/>
    <w:rsid w:val="00AA0698"/>
    <w:rsid w:val="00AA2ABB"/>
    <w:rsid w:val="00AA2B57"/>
    <w:rsid w:val="00AA3533"/>
    <w:rsid w:val="00AA39C4"/>
    <w:rsid w:val="00AA4615"/>
    <w:rsid w:val="00AA49B2"/>
    <w:rsid w:val="00AA7492"/>
    <w:rsid w:val="00AA7A16"/>
    <w:rsid w:val="00AA7B5F"/>
    <w:rsid w:val="00AB0429"/>
    <w:rsid w:val="00AB3B59"/>
    <w:rsid w:val="00AB733B"/>
    <w:rsid w:val="00AB7EED"/>
    <w:rsid w:val="00AC0141"/>
    <w:rsid w:val="00AC070C"/>
    <w:rsid w:val="00AC0852"/>
    <w:rsid w:val="00AC1812"/>
    <w:rsid w:val="00AC20F1"/>
    <w:rsid w:val="00AC51C6"/>
    <w:rsid w:val="00AC699F"/>
    <w:rsid w:val="00AC6CF7"/>
    <w:rsid w:val="00AC710D"/>
    <w:rsid w:val="00AC798B"/>
    <w:rsid w:val="00AC7CA3"/>
    <w:rsid w:val="00AC7D26"/>
    <w:rsid w:val="00AD0A18"/>
    <w:rsid w:val="00AD1145"/>
    <w:rsid w:val="00AD14D7"/>
    <w:rsid w:val="00AD19B2"/>
    <w:rsid w:val="00AD4AB1"/>
    <w:rsid w:val="00AD5722"/>
    <w:rsid w:val="00AE25A6"/>
    <w:rsid w:val="00AE42AC"/>
    <w:rsid w:val="00AE752B"/>
    <w:rsid w:val="00AE77DF"/>
    <w:rsid w:val="00AF05BF"/>
    <w:rsid w:val="00AF1B89"/>
    <w:rsid w:val="00AF30E9"/>
    <w:rsid w:val="00AF4867"/>
    <w:rsid w:val="00AF4915"/>
    <w:rsid w:val="00AF54C2"/>
    <w:rsid w:val="00AF603B"/>
    <w:rsid w:val="00B005D2"/>
    <w:rsid w:val="00B01FD2"/>
    <w:rsid w:val="00B075D3"/>
    <w:rsid w:val="00B07C0B"/>
    <w:rsid w:val="00B121EC"/>
    <w:rsid w:val="00B13D89"/>
    <w:rsid w:val="00B20CEF"/>
    <w:rsid w:val="00B20E1F"/>
    <w:rsid w:val="00B213D1"/>
    <w:rsid w:val="00B22077"/>
    <w:rsid w:val="00B2208C"/>
    <w:rsid w:val="00B22AF0"/>
    <w:rsid w:val="00B22D9C"/>
    <w:rsid w:val="00B23301"/>
    <w:rsid w:val="00B236E9"/>
    <w:rsid w:val="00B24090"/>
    <w:rsid w:val="00B24B09"/>
    <w:rsid w:val="00B25013"/>
    <w:rsid w:val="00B27F89"/>
    <w:rsid w:val="00B30190"/>
    <w:rsid w:val="00B3020E"/>
    <w:rsid w:val="00B3178B"/>
    <w:rsid w:val="00B324A8"/>
    <w:rsid w:val="00B337FC"/>
    <w:rsid w:val="00B33D24"/>
    <w:rsid w:val="00B341F1"/>
    <w:rsid w:val="00B34484"/>
    <w:rsid w:val="00B344F6"/>
    <w:rsid w:val="00B34884"/>
    <w:rsid w:val="00B34CAE"/>
    <w:rsid w:val="00B3505D"/>
    <w:rsid w:val="00B35286"/>
    <w:rsid w:val="00B36876"/>
    <w:rsid w:val="00B372B7"/>
    <w:rsid w:val="00B377BA"/>
    <w:rsid w:val="00B402FB"/>
    <w:rsid w:val="00B439B0"/>
    <w:rsid w:val="00B4409F"/>
    <w:rsid w:val="00B44DF6"/>
    <w:rsid w:val="00B45411"/>
    <w:rsid w:val="00B459B1"/>
    <w:rsid w:val="00B461E6"/>
    <w:rsid w:val="00B50264"/>
    <w:rsid w:val="00B50740"/>
    <w:rsid w:val="00B5438E"/>
    <w:rsid w:val="00B5572B"/>
    <w:rsid w:val="00B5693F"/>
    <w:rsid w:val="00B61AED"/>
    <w:rsid w:val="00B6234E"/>
    <w:rsid w:val="00B62CA8"/>
    <w:rsid w:val="00B62D89"/>
    <w:rsid w:val="00B63375"/>
    <w:rsid w:val="00B65711"/>
    <w:rsid w:val="00B65AEF"/>
    <w:rsid w:val="00B661D3"/>
    <w:rsid w:val="00B66358"/>
    <w:rsid w:val="00B668B3"/>
    <w:rsid w:val="00B710E3"/>
    <w:rsid w:val="00B71BB0"/>
    <w:rsid w:val="00B72854"/>
    <w:rsid w:val="00B731C5"/>
    <w:rsid w:val="00B775EC"/>
    <w:rsid w:val="00B77883"/>
    <w:rsid w:val="00B77A32"/>
    <w:rsid w:val="00B77A4F"/>
    <w:rsid w:val="00B82795"/>
    <w:rsid w:val="00B84D9E"/>
    <w:rsid w:val="00B8650D"/>
    <w:rsid w:val="00B866C1"/>
    <w:rsid w:val="00B8719C"/>
    <w:rsid w:val="00B877A8"/>
    <w:rsid w:val="00B90C6A"/>
    <w:rsid w:val="00B91C22"/>
    <w:rsid w:val="00B93BF8"/>
    <w:rsid w:val="00B9462B"/>
    <w:rsid w:val="00B95B34"/>
    <w:rsid w:val="00B96D3C"/>
    <w:rsid w:val="00B97B0F"/>
    <w:rsid w:val="00BA0D11"/>
    <w:rsid w:val="00BA2191"/>
    <w:rsid w:val="00BA4321"/>
    <w:rsid w:val="00BA4E40"/>
    <w:rsid w:val="00BA6083"/>
    <w:rsid w:val="00BA7232"/>
    <w:rsid w:val="00BB15FE"/>
    <w:rsid w:val="00BB1B5C"/>
    <w:rsid w:val="00BB4303"/>
    <w:rsid w:val="00BB7D44"/>
    <w:rsid w:val="00BC1825"/>
    <w:rsid w:val="00BC2D72"/>
    <w:rsid w:val="00BC35A9"/>
    <w:rsid w:val="00BC4BDD"/>
    <w:rsid w:val="00BC4E5B"/>
    <w:rsid w:val="00BC51A6"/>
    <w:rsid w:val="00BC536A"/>
    <w:rsid w:val="00BC55BA"/>
    <w:rsid w:val="00BC6CAA"/>
    <w:rsid w:val="00BD1123"/>
    <w:rsid w:val="00BD15D3"/>
    <w:rsid w:val="00BD1D1C"/>
    <w:rsid w:val="00BD29B2"/>
    <w:rsid w:val="00BD2F12"/>
    <w:rsid w:val="00BD30A8"/>
    <w:rsid w:val="00BD42E7"/>
    <w:rsid w:val="00BD43B8"/>
    <w:rsid w:val="00BD4B3A"/>
    <w:rsid w:val="00BD5792"/>
    <w:rsid w:val="00BD684E"/>
    <w:rsid w:val="00BD77FC"/>
    <w:rsid w:val="00BD7F8D"/>
    <w:rsid w:val="00BE001F"/>
    <w:rsid w:val="00BE01B4"/>
    <w:rsid w:val="00BE07C7"/>
    <w:rsid w:val="00BE0FD4"/>
    <w:rsid w:val="00BE295F"/>
    <w:rsid w:val="00BE328E"/>
    <w:rsid w:val="00BE40EC"/>
    <w:rsid w:val="00BE4EAB"/>
    <w:rsid w:val="00BE6411"/>
    <w:rsid w:val="00BF0D3B"/>
    <w:rsid w:val="00BF10AB"/>
    <w:rsid w:val="00BF1133"/>
    <w:rsid w:val="00BF381E"/>
    <w:rsid w:val="00BF47B3"/>
    <w:rsid w:val="00BF4B71"/>
    <w:rsid w:val="00BF5B03"/>
    <w:rsid w:val="00BF6302"/>
    <w:rsid w:val="00BF6E69"/>
    <w:rsid w:val="00BF7160"/>
    <w:rsid w:val="00C011D6"/>
    <w:rsid w:val="00C03570"/>
    <w:rsid w:val="00C04E60"/>
    <w:rsid w:val="00C052B0"/>
    <w:rsid w:val="00C052D0"/>
    <w:rsid w:val="00C05326"/>
    <w:rsid w:val="00C0572E"/>
    <w:rsid w:val="00C07485"/>
    <w:rsid w:val="00C146F4"/>
    <w:rsid w:val="00C16322"/>
    <w:rsid w:val="00C16644"/>
    <w:rsid w:val="00C169D0"/>
    <w:rsid w:val="00C206BD"/>
    <w:rsid w:val="00C20F63"/>
    <w:rsid w:val="00C22CB2"/>
    <w:rsid w:val="00C24544"/>
    <w:rsid w:val="00C27FCD"/>
    <w:rsid w:val="00C30C44"/>
    <w:rsid w:val="00C318C7"/>
    <w:rsid w:val="00C31BE4"/>
    <w:rsid w:val="00C32403"/>
    <w:rsid w:val="00C3281F"/>
    <w:rsid w:val="00C32BA9"/>
    <w:rsid w:val="00C3353E"/>
    <w:rsid w:val="00C3399A"/>
    <w:rsid w:val="00C34EC7"/>
    <w:rsid w:val="00C35310"/>
    <w:rsid w:val="00C35590"/>
    <w:rsid w:val="00C35E18"/>
    <w:rsid w:val="00C36EA7"/>
    <w:rsid w:val="00C37163"/>
    <w:rsid w:val="00C37249"/>
    <w:rsid w:val="00C410D7"/>
    <w:rsid w:val="00C419D2"/>
    <w:rsid w:val="00C41EB2"/>
    <w:rsid w:val="00C42100"/>
    <w:rsid w:val="00C42697"/>
    <w:rsid w:val="00C4449F"/>
    <w:rsid w:val="00C450A7"/>
    <w:rsid w:val="00C4574A"/>
    <w:rsid w:val="00C4775E"/>
    <w:rsid w:val="00C50C3C"/>
    <w:rsid w:val="00C50D2D"/>
    <w:rsid w:val="00C51607"/>
    <w:rsid w:val="00C52864"/>
    <w:rsid w:val="00C5431E"/>
    <w:rsid w:val="00C5665F"/>
    <w:rsid w:val="00C57281"/>
    <w:rsid w:val="00C603C5"/>
    <w:rsid w:val="00C64DCF"/>
    <w:rsid w:val="00C658EB"/>
    <w:rsid w:val="00C66FFA"/>
    <w:rsid w:val="00C67188"/>
    <w:rsid w:val="00C67BF8"/>
    <w:rsid w:val="00C70489"/>
    <w:rsid w:val="00C755F9"/>
    <w:rsid w:val="00C75B0D"/>
    <w:rsid w:val="00C76E63"/>
    <w:rsid w:val="00C7700A"/>
    <w:rsid w:val="00C80DC3"/>
    <w:rsid w:val="00C814D9"/>
    <w:rsid w:val="00C8175A"/>
    <w:rsid w:val="00C82522"/>
    <w:rsid w:val="00C82906"/>
    <w:rsid w:val="00C85191"/>
    <w:rsid w:val="00C85C5F"/>
    <w:rsid w:val="00C86B09"/>
    <w:rsid w:val="00C87435"/>
    <w:rsid w:val="00C87781"/>
    <w:rsid w:val="00C87B4E"/>
    <w:rsid w:val="00C91038"/>
    <w:rsid w:val="00C91456"/>
    <w:rsid w:val="00C917C7"/>
    <w:rsid w:val="00C9215C"/>
    <w:rsid w:val="00C923CF"/>
    <w:rsid w:val="00C9287B"/>
    <w:rsid w:val="00C93461"/>
    <w:rsid w:val="00C97165"/>
    <w:rsid w:val="00C97B37"/>
    <w:rsid w:val="00CA1FD2"/>
    <w:rsid w:val="00CA3196"/>
    <w:rsid w:val="00CA3B14"/>
    <w:rsid w:val="00CA3E76"/>
    <w:rsid w:val="00CA4190"/>
    <w:rsid w:val="00CA4D01"/>
    <w:rsid w:val="00CA4D0A"/>
    <w:rsid w:val="00CA4F97"/>
    <w:rsid w:val="00CA54AF"/>
    <w:rsid w:val="00CA5672"/>
    <w:rsid w:val="00CA6220"/>
    <w:rsid w:val="00CA777E"/>
    <w:rsid w:val="00CA7C63"/>
    <w:rsid w:val="00CB041F"/>
    <w:rsid w:val="00CB04E8"/>
    <w:rsid w:val="00CB181B"/>
    <w:rsid w:val="00CB18C5"/>
    <w:rsid w:val="00CB1B15"/>
    <w:rsid w:val="00CB2754"/>
    <w:rsid w:val="00CB2D0A"/>
    <w:rsid w:val="00CB6192"/>
    <w:rsid w:val="00CB652F"/>
    <w:rsid w:val="00CB7001"/>
    <w:rsid w:val="00CB704F"/>
    <w:rsid w:val="00CB75B0"/>
    <w:rsid w:val="00CB76DC"/>
    <w:rsid w:val="00CC0688"/>
    <w:rsid w:val="00CC0EF6"/>
    <w:rsid w:val="00CC104B"/>
    <w:rsid w:val="00CC1C27"/>
    <w:rsid w:val="00CC2052"/>
    <w:rsid w:val="00CC2089"/>
    <w:rsid w:val="00CC3BD2"/>
    <w:rsid w:val="00CC3E26"/>
    <w:rsid w:val="00CC4048"/>
    <w:rsid w:val="00CC41CE"/>
    <w:rsid w:val="00CC51C2"/>
    <w:rsid w:val="00CD087C"/>
    <w:rsid w:val="00CD0C3E"/>
    <w:rsid w:val="00CD16CA"/>
    <w:rsid w:val="00CD1A82"/>
    <w:rsid w:val="00CD3AD9"/>
    <w:rsid w:val="00CD4BF1"/>
    <w:rsid w:val="00CD4FF3"/>
    <w:rsid w:val="00CE1CDF"/>
    <w:rsid w:val="00CE3291"/>
    <w:rsid w:val="00CE4514"/>
    <w:rsid w:val="00CE4947"/>
    <w:rsid w:val="00CF03EA"/>
    <w:rsid w:val="00CF06A3"/>
    <w:rsid w:val="00CF15BA"/>
    <w:rsid w:val="00CF3528"/>
    <w:rsid w:val="00CF3707"/>
    <w:rsid w:val="00CF4B09"/>
    <w:rsid w:val="00CF5963"/>
    <w:rsid w:val="00CF5D5D"/>
    <w:rsid w:val="00CF6892"/>
    <w:rsid w:val="00CF6AEE"/>
    <w:rsid w:val="00CF716E"/>
    <w:rsid w:val="00D014E2"/>
    <w:rsid w:val="00D0327F"/>
    <w:rsid w:val="00D0471D"/>
    <w:rsid w:val="00D04B6B"/>
    <w:rsid w:val="00D056BD"/>
    <w:rsid w:val="00D1038E"/>
    <w:rsid w:val="00D104BB"/>
    <w:rsid w:val="00D10616"/>
    <w:rsid w:val="00D10731"/>
    <w:rsid w:val="00D11356"/>
    <w:rsid w:val="00D11571"/>
    <w:rsid w:val="00D11CEE"/>
    <w:rsid w:val="00D147B7"/>
    <w:rsid w:val="00D156E1"/>
    <w:rsid w:val="00D15A37"/>
    <w:rsid w:val="00D15A4D"/>
    <w:rsid w:val="00D202B6"/>
    <w:rsid w:val="00D209B0"/>
    <w:rsid w:val="00D209EF"/>
    <w:rsid w:val="00D215D7"/>
    <w:rsid w:val="00D23175"/>
    <w:rsid w:val="00D2500F"/>
    <w:rsid w:val="00D279AB"/>
    <w:rsid w:val="00D30863"/>
    <w:rsid w:val="00D308C7"/>
    <w:rsid w:val="00D319DA"/>
    <w:rsid w:val="00D32950"/>
    <w:rsid w:val="00D33839"/>
    <w:rsid w:val="00D33E97"/>
    <w:rsid w:val="00D35979"/>
    <w:rsid w:val="00D36192"/>
    <w:rsid w:val="00D363D8"/>
    <w:rsid w:val="00D36A4C"/>
    <w:rsid w:val="00D41436"/>
    <w:rsid w:val="00D4337A"/>
    <w:rsid w:val="00D44063"/>
    <w:rsid w:val="00D457F6"/>
    <w:rsid w:val="00D468A1"/>
    <w:rsid w:val="00D47598"/>
    <w:rsid w:val="00D50080"/>
    <w:rsid w:val="00D504DA"/>
    <w:rsid w:val="00D5087F"/>
    <w:rsid w:val="00D53C96"/>
    <w:rsid w:val="00D54F96"/>
    <w:rsid w:val="00D556DC"/>
    <w:rsid w:val="00D55FAC"/>
    <w:rsid w:val="00D5659E"/>
    <w:rsid w:val="00D609F7"/>
    <w:rsid w:val="00D60B9E"/>
    <w:rsid w:val="00D60FA6"/>
    <w:rsid w:val="00D61203"/>
    <w:rsid w:val="00D61EE7"/>
    <w:rsid w:val="00D622F3"/>
    <w:rsid w:val="00D62497"/>
    <w:rsid w:val="00D628D2"/>
    <w:rsid w:val="00D6344A"/>
    <w:rsid w:val="00D634F7"/>
    <w:rsid w:val="00D640D4"/>
    <w:rsid w:val="00D64AD5"/>
    <w:rsid w:val="00D66E34"/>
    <w:rsid w:val="00D732EE"/>
    <w:rsid w:val="00D73389"/>
    <w:rsid w:val="00D74E72"/>
    <w:rsid w:val="00D7756A"/>
    <w:rsid w:val="00D809E5"/>
    <w:rsid w:val="00D81ACA"/>
    <w:rsid w:val="00D81C84"/>
    <w:rsid w:val="00D82546"/>
    <w:rsid w:val="00D86504"/>
    <w:rsid w:val="00D867B4"/>
    <w:rsid w:val="00D86EC3"/>
    <w:rsid w:val="00D873B9"/>
    <w:rsid w:val="00D879F1"/>
    <w:rsid w:val="00D92064"/>
    <w:rsid w:val="00D92B4E"/>
    <w:rsid w:val="00D9374D"/>
    <w:rsid w:val="00D93E8E"/>
    <w:rsid w:val="00DA06EA"/>
    <w:rsid w:val="00DA0718"/>
    <w:rsid w:val="00DA2673"/>
    <w:rsid w:val="00DA2A4A"/>
    <w:rsid w:val="00DA3968"/>
    <w:rsid w:val="00DA46B3"/>
    <w:rsid w:val="00DA53ED"/>
    <w:rsid w:val="00DA75E7"/>
    <w:rsid w:val="00DB0297"/>
    <w:rsid w:val="00DB0382"/>
    <w:rsid w:val="00DB0941"/>
    <w:rsid w:val="00DB1019"/>
    <w:rsid w:val="00DB56A9"/>
    <w:rsid w:val="00DB7127"/>
    <w:rsid w:val="00DC0C59"/>
    <w:rsid w:val="00DC192D"/>
    <w:rsid w:val="00DC1DB7"/>
    <w:rsid w:val="00DC3FDF"/>
    <w:rsid w:val="00DC5178"/>
    <w:rsid w:val="00DC62D3"/>
    <w:rsid w:val="00DC6C26"/>
    <w:rsid w:val="00DC6D45"/>
    <w:rsid w:val="00DC70EE"/>
    <w:rsid w:val="00DD054B"/>
    <w:rsid w:val="00DD2273"/>
    <w:rsid w:val="00DD2F09"/>
    <w:rsid w:val="00DD367D"/>
    <w:rsid w:val="00DD4504"/>
    <w:rsid w:val="00DD4EAE"/>
    <w:rsid w:val="00DD4ECE"/>
    <w:rsid w:val="00DD5445"/>
    <w:rsid w:val="00DD662B"/>
    <w:rsid w:val="00DE007E"/>
    <w:rsid w:val="00DE1F78"/>
    <w:rsid w:val="00DE379D"/>
    <w:rsid w:val="00DE3BEF"/>
    <w:rsid w:val="00DE77ED"/>
    <w:rsid w:val="00DF0596"/>
    <w:rsid w:val="00DF0C84"/>
    <w:rsid w:val="00DF153D"/>
    <w:rsid w:val="00DF2AC9"/>
    <w:rsid w:val="00DF2BAD"/>
    <w:rsid w:val="00DF2E2E"/>
    <w:rsid w:val="00DF2EDE"/>
    <w:rsid w:val="00DF3D9F"/>
    <w:rsid w:val="00DF4CEC"/>
    <w:rsid w:val="00DF5EDE"/>
    <w:rsid w:val="00DF6CEF"/>
    <w:rsid w:val="00DF6F54"/>
    <w:rsid w:val="00DF71E3"/>
    <w:rsid w:val="00DF76B8"/>
    <w:rsid w:val="00DF79F7"/>
    <w:rsid w:val="00E00BA2"/>
    <w:rsid w:val="00E00C3A"/>
    <w:rsid w:val="00E01AEA"/>
    <w:rsid w:val="00E0215B"/>
    <w:rsid w:val="00E028F7"/>
    <w:rsid w:val="00E02942"/>
    <w:rsid w:val="00E02CCE"/>
    <w:rsid w:val="00E030A4"/>
    <w:rsid w:val="00E039A9"/>
    <w:rsid w:val="00E03FF3"/>
    <w:rsid w:val="00E04075"/>
    <w:rsid w:val="00E0463C"/>
    <w:rsid w:val="00E060CA"/>
    <w:rsid w:val="00E0701A"/>
    <w:rsid w:val="00E071DA"/>
    <w:rsid w:val="00E0727E"/>
    <w:rsid w:val="00E111D8"/>
    <w:rsid w:val="00E11500"/>
    <w:rsid w:val="00E12002"/>
    <w:rsid w:val="00E13465"/>
    <w:rsid w:val="00E152B3"/>
    <w:rsid w:val="00E15498"/>
    <w:rsid w:val="00E154F9"/>
    <w:rsid w:val="00E169AD"/>
    <w:rsid w:val="00E200F8"/>
    <w:rsid w:val="00E20B64"/>
    <w:rsid w:val="00E2175C"/>
    <w:rsid w:val="00E224A7"/>
    <w:rsid w:val="00E22C3C"/>
    <w:rsid w:val="00E23FFC"/>
    <w:rsid w:val="00E241C2"/>
    <w:rsid w:val="00E2448F"/>
    <w:rsid w:val="00E244DE"/>
    <w:rsid w:val="00E245FC"/>
    <w:rsid w:val="00E254D4"/>
    <w:rsid w:val="00E27CC7"/>
    <w:rsid w:val="00E30473"/>
    <w:rsid w:val="00E31C50"/>
    <w:rsid w:val="00E32C67"/>
    <w:rsid w:val="00E32EC7"/>
    <w:rsid w:val="00E349F9"/>
    <w:rsid w:val="00E34CEA"/>
    <w:rsid w:val="00E36E4F"/>
    <w:rsid w:val="00E40646"/>
    <w:rsid w:val="00E44CEE"/>
    <w:rsid w:val="00E461DB"/>
    <w:rsid w:val="00E473AC"/>
    <w:rsid w:val="00E50C99"/>
    <w:rsid w:val="00E50E16"/>
    <w:rsid w:val="00E5137D"/>
    <w:rsid w:val="00E520E5"/>
    <w:rsid w:val="00E5221D"/>
    <w:rsid w:val="00E52692"/>
    <w:rsid w:val="00E53D11"/>
    <w:rsid w:val="00E572F3"/>
    <w:rsid w:val="00E57A25"/>
    <w:rsid w:val="00E61ABB"/>
    <w:rsid w:val="00E6204D"/>
    <w:rsid w:val="00E6209D"/>
    <w:rsid w:val="00E63B60"/>
    <w:rsid w:val="00E6460A"/>
    <w:rsid w:val="00E70FC0"/>
    <w:rsid w:val="00E74538"/>
    <w:rsid w:val="00E74787"/>
    <w:rsid w:val="00E74D69"/>
    <w:rsid w:val="00E751F4"/>
    <w:rsid w:val="00E75D22"/>
    <w:rsid w:val="00E806E1"/>
    <w:rsid w:val="00E810C2"/>
    <w:rsid w:val="00E817DC"/>
    <w:rsid w:val="00E8221D"/>
    <w:rsid w:val="00E827BF"/>
    <w:rsid w:val="00E8304F"/>
    <w:rsid w:val="00E8324B"/>
    <w:rsid w:val="00E83665"/>
    <w:rsid w:val="00E8418E"/>
    <w:rsid w:val="00E84CBB"/>
    <w:rsid w:val="00E86A55"/>
    <w:rsid w:val="00E86A70"/>
    <w:rsid w:val="00E9243B"/>
    <w:rsid w:val="00E92CCD"/>
    <w:rsid w:val="00E937FB"/>
    <w:rsid w:val="00E948A6"/>
    <w:rsid w:val="00E95E8B"/>
    <w:rsid w:val="00E96C01"/>
    <w:rsid w:val="00EA13B7"/>
    <w:rsid w:val="00EA1BC5"/>
    <w:rsid w:val="00EA242A"/>
    <w:rsid w:val="00EA4591"/>
    <w:rsid w:val="00EA47B3"/>
    <w:rsid w:val="00EA4D4D"/>
    <w:rsid w:val="00EA761C"/>
    <w:rsid w:val="00EA7A39"/>
    <w:rsid w:val="00EB0668"/>
    <w:rsid w:val="00EB0BCB"/>
    <w:rsid w:val="00EB17D5"/>
    <w:rsid w:val="00EB1C8C"/>
    <w:rsid w:val="00EB30A1"/>
    <w:rsid w:val="00EB36C7"/>
    <w:rsid w:val="00EC0279"/>
    <w:rsid w:val="00EC0D3B"/>
    <w:rsid w:val="00EC0D41"/>
    <w:rsid w:val="00EC17EF"/>
    <w:rsid w:val="00EC2DA7"/>
    <w:rsid w:val="00EC2E29"/>
    <w:rsid w:val="00EC4EF2"/>
    <w:rsid w:val="00EC574B"/>
    <w:rsid w:val="00EC659C"/>
    <w:rsid w:val="00EC6B83"/>
    <w:rsid w:val="00EC74D4"/>
    <w:rsid w:val="00ED2969"/>
    <w:rsid w:val="00ED2DB8"/>
    <w:rsid w:val="00ED4F34"/>
    <w:rsid w:val="00ED5BDF"/>
    <w:rsid w:val="00ED5C49"/>
    <w:rsid w:val="00ED6241"/>
    <w:rsid w:val="00ED6B54"/>
    <w:rsid w:val="00ED7E39"/>
    <w:rsid w:val="00EE293B"/>
    <w:rsid w:val="00EE4075"/>
    <w:rsid w:val="00EE4FC0"/>
    <w:rsid w:val="00EE5916"/>
    <w:rsid w:val="00EE66C3"/>
    <w:rsid w:val="00EE6AE3"/>
    <w:rsid w:val="00EE6C66"/>
    <w:rsid w:val="00EE714F"/>
    <w:rsid w:val="00EF0119"/>
    <w:rsid w:val="00EF1154"/>
    <w:rsid w:val="00EF2B10"/>
    <w:rsid w:val="00EF367C"/>
    <w:rsid w:val="00EF3843"/>
    <w:rsid w:val="00EF5895"/>
    <w:rsid w:val="00EF5CFF"/>
    <w:rsid w:val="00EF5D5B"/>
    <w:rsid w:val="00EF62E2"/>
    <w:rsid w:val="00EF6943"/>
    <w:rsid w:val="00EF7885"/>
    <w:rsid w:val="00F02787"/>
    <w:rsid w:val="00F03ADF"/>
    <w:rsid w:val="00F03DE3"/>
    <w:rsid w:val="00F044A3"/>
    <w:rsid w:val="00F04CFC"/>
    <w:rsid w:val="00F06150"/>
    <w:rsid w:val="00F07057"/>
    <w:rsid w:val="00F07947"/>
    <w:rsid w:val="00F1013C"/>
    <w:rsid w:val="00F11460"/>
    <w:rsid w:val="00F114FF"/>
    <w:rsid w:val="00F11F35"/>
    <w:rsid w:val="00F165DB"/>
    <w:rsid w:val="00F16D6D"/>
    <w:rsid w:val="00F2074C"/>
    <w:rsid w:val="00F215C2"/>
    <w:rsid w:val="00F22E03"/>
    <w:rsid w:val="00F2394F"/>
    <w:rsid w:val="00F2436B"/>
    <w:rsid w:val="00F24ADE"/>
    <w:rsid w:val="00F25EF2"/>
    <w:rsid w:val="00F2785A"/>
    <w:rsid w:val="00F30191"/>
    <w:rsid w:val="00F31CED"/>
    <w:rsid w:val="00F32856"/>
    <w:rsid w:val="00F32EE9"/>
    <w:rsid w:val="00F33353"/>
    <w:rsid w:val="00F3427C"/>
    <w:rsid w:val="00F36524"/>
    <w:rsid w:val="00F370BA"/>
    <w:rsid w:val="00F37157"/>
    <w:rsid w:val="00F419DE"/>
    <w:rsid w:val="00F41B8B"/>
    <w:rsid w:val="00F4253D"/>
    <w:rsid w:val="00F425C5"/>
    <w:rsid w:val="00F42634"/>
    <w:rsid w:val="00F42D6C"/>
    <w:rsid w:val="00F4309E"/>
    <w:rsid w:val="00F44569"/>
    <w:rsid w:val="00F470C7"/>
    <w:rsid w:val="00F47525"/>
    <w:rsid w:val="00F50702"/>
    <w:rsid w:val="00F50B42"/>
    <w:rsid w:val="00F53E36"/>
    <w:rsid w:val="00F554FB"/>
    <w:rsid w:val="00F559B9"/>
    <w:rsid w:val="00F56381"/>
    <w:rsid w:val="00F56651"/>
    <w:rsid w:val="00F5773F"/>
    <w:rsid w:val="00F57B8D"/>
    <w:rsid w:val="00F57EA7"/>
    <w:rsid w:val="00F6158D"/>
    <w:rsid w:val="00F62958"/>
    <w:rsid w:val="00F63402"/>
    <w:rsid w:val="00F64078"/>
    <w:rsid w:val="00F64334"/>
    <w:rsid w:val="00F64D5F"/>
    <w:rsid w:val="00F653C2"/>
    <w:rsid w:val="00F654B4"/>
    <w:rsid w:val="00F6551B"/>
    <w:rsid w:val="00F670C8"/>
    <w:rsid w:val="00F670DB"/>
    <w:rsid w:val="00F72322"/>
    <w:rsid w:val="00F72CF1"/>
    <w:rsid w:val="00F73655"/>
    <w:rsid w:val="00F74831"/>
    <w:rsid w:val="00F77EEF"/>
    <w:rsid w:val="00F80137"/>
    <w:rsid w:val="00F803F3"/>
    <w:rsid w:val="00F81513"/>
    <w:rsid w:val="00F82857"/>
    <w:rsid w:val="00F85B87"/>
    <w:rsid w:val="00F863D9"/>
    <w:rsid w:val="00F86634"/>
    <w:rsid w:val="00F86681"/>
    <w:rsid w:val="00F866D5"/>
    <w:rsid w:val="00F87B54"/>
    <w:rsid w:val="00F91B99"/>
    <w:rsid w:val="00F94FC8"/>
    <w:rsid w:val="00F953B5"/>
    <w:rsid w:val="00F9619A"/>
    <w:rsid w:val="00FA0A5E"/>
    <w:rsid w:val="00FA4269"/>
    <w:rsid w:val="00FA78C6"/>
    <w:rsid w:val="00FB0978"/>
    <w:rsid w:val="00FB23BB"/>
    <w:rsid w:val="00FB56E8"/>
    <w:rsid w:val="00FB5A21"/>
    <w:rsid w:val="00FC0189"/>
    <w:rsid w:val="00FC0EA7"/>
    <w:rsid w:val="00FC1097"/>
    <w:rsid w:val="00FC1A10"/>
    <w:rsid w:val="00FC2258"/>
    <w:rsid w:val="00FC3707"/>
    <w:rsid w:val="00FC38B7"/>
    <w:rsid w:val="00FC3B89"/>
    <w:rsid w:val="00FC6606"/>
    <w:rsid w:val="00FC7164"/>
    <w:rsid w:val="00FC7ECF"/>
    <w:rsid w:val="00FD353B"/>
    <w:rsid w:val="00FD3E39"/>
    <w:rsid w:val="00FD4DD0"/>
    <w:rsid w:val="00FD50D6"/>
    <w:rsid w:val="00FE03F6"/>
    <w:rsid w:val="00FE142B"/>
    <w:rsid w:val="00FE1B0E"/>
    <w:rsid w:val="00FE3528"/>
    <w:rsid w:val="00FE5875"/>
    <w:rsid w:val="00FE7F51"/>
    <w:rsid w:val="00FF15A1"/>
    <w:rsid w:val="00FF4413"/>
    <w:rsid w:val="00FF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54E6E4"/>
  <w15:docId w15:val="{801A6225-B5A5-45CE-97DC-8E471370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ZA" w:eastAsia="en-ZA"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25D4"/>
  </w:style>
  <w:style w:type="paragraph" w:styleId="Heading1">
    <w:name w:val="heading 1"/>
    <w:basedOn w:val="Normal"/>
    <w:next w:val="Normal"/>
    <w:link w:val="Heading1Char"/>
    <w:qFormat/>
    <w:rsid w:val="00B3178B"/>
    <w:pPr>
      <w:numPr>
        <w:numId w:val="4"/>
      </w:numPr>
      <w:spacing w:before="360" w:after="360" w:line="480" w:lineRule="auto"/>
      <w:ind w:right="11" w:hanging="720"/>
      <w:jc w:val="both"/>
      <w:outlineLvl w:val="0"/>
    </w:pPr>
    <w:rPr>
      <w:b/>
      <w:szCs w:val="24"/>
      <w:u w:val="single"/>
    </w:rPr>
  </w:style>
  <w:style w:type="paragraph" w:styleId="Heading2">
    <w:name w:val="heading 2"/>
    <w:basedOn w:val="Heading1"/>
    <w:next w:val="Normal"/>
    <w:link w:val="Heading2Char"/>
    <w:unhideWhenUsed/>
    <w:qFormat/>
    <w:rsid w:val="00B3178B"/>
    <w:pPr>
      <w:numPr>
        <w:numId w:val="5"/>
      </w:numPr>
      <w:outlineLvl w:val="1"/>
    </w:pPr>
  </w:style>
  <w:style w:type="paragraph" w:styleId="Heading3">
    <w:name w:val="heading 3"/>
    <w:basedOn w:val="1"/>
    <w:next w:val="Normal"/>
    <w:link w:val="Heading3Char"/>
    <w:unhideWhenUsed/>
    <w:qFormat/>
    <w:rsid w:val="00B3178B"/>
    <w:pPr>
      <w:numPr>
        <w:numId w:val="6"/>
      </w:num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DC6D45"/>
    <w:pPr>
      <w:numPr>
        <w:numId w:val="1"/>
      </w:numPr>
    </w:pPr>
  </w:style>
  <w:style w:type="numbering" w:customStyle="1" w:styleId="Style2">
    <w:name w:val="Style2"/>
    <w:rsid w:val="00DC6D45"/>
    <w:pPr>
      <w:numPr>
        <w:numId w:val="2"/>
      </w:numPr>
    </w:pPr>
  </w:style>
  <w:style w:type="paragraph" w:styleId="Header">
    <w:name w:val="header"/>
    <w:basedOn w:val="Normal"/>
    <w:link w:val="HeaderChar"/>
    <w:uiPriority w:val="99"/>
    <w:rsid w:val="0021588F"/>
    <w:pPr>
      <w:tabs>
        <w:tab w:val="center" w:pos="4153"/>
        <w:tab w:val="right" w:pos="8306"/>
      </w:tabs>
    </w:pPr>
  </w:style>
  <w:style w:type="character" w:styleId="PageNumber">
    <w:name w:val="page number"/>
    <w:basedOn w:val="DefaultParagraphFont"/>
    <w:rsid w:val="0021588F"/>
  </w:style>
  <w:style w:type="paragraph" w:styleId="Footer">
    <w:name w:val="footer"/>
    <w:basedOn w:val="Normal"/>
    <w:link w:val="FooterChar"/>
    <w:uiPriority w:val="99"/>
    <w:rsid w:val="0021588F"/>
    <w:pPr>
      <w:tabs>
        <w:tab w:val="center" w:pos="4153"/>
        <w:tab w:val="right" w:pos="8306"/>
      </w:tabs>
    </w:pPr>
  </w:style>
  <w:style w:type="paragraph" w:customStyle="1" w:styleId="1">
    <w:name w:val="1"/>
    <w:basedOn w:val="Normal"/>
    <w:link w:val="1Char"/>
    <w:qFormat/>
    <w:rsid w:val="00B3178B"/>
    <w:pPr>
      <w:numPr>
        <w:numId w:val="3"/>
      </w:numPr>
      <w:spacing w:before="360" w:after="360" w:line="480" w:lineRule="auto"/>
      <w:ind w:right="11"/>
      <w:jc w:val="both"/>
    </w:pPr>
    <w:rPr>
      <w:szCs w:val="24"/>
    </w:rPr>
  </w:style>
  <w:style w:type="paragraph" w:customStyle="1" w:styleId="11">
    <w:name w:val="1.1"/>
    <w:basedOn w:val="Normal"/>
    <w:link w:val="11Char"/>
    <w:qFormat/>
    <w:rsid w:val="00B3178B"/>
    <w:pPr>
      <w:numPr>
        <w:ilvl w:val="1"/>
        <w:numId w:val="3"/>
      </w:numPr>
      <w:tabs>
        <w:tab w:val="clear" w:pos="3402"/>
        <w:tab w:val="num" w:pos="1701"/>
      </w:tabs>
      <w:spacing w:before="360" w:after="360" w:line="480" w:lineRule="auto"/>
      <w:ind w:left="1702" w:right="11" w:hanging="851"/>
      <w:jc w:val="both"/>
    </w:pPr>
    <w:rPr>
      <w:szCs w:val="24"/>
    </w:rPr>
  </w:style>
  <w:style w:type="character" w:customStyle="1" w:styleId="1Char">
    <w:name w:val="1 Char"/>
    <w:link w:val="1"/>
    <w:rsid w:val="00B3178B"/>
    <w:rPr>
      <w:szCs w:val="24"/>
    </w:rPr>
  </w:style>
  <w:style w:type="paragraph" w:customStyle="1" w:styleId="111">
    <w:name w:val="1.1.1"/>
    <w:basedOn w:val="11"/>
    <w:link w:val="111Char"/>
    <w:qFormat/>
    <w:rsid w:val="00B3178B"/>
    <w:pPr>
      <w:numPr>
        <w:ilvl w:val="2"/>
      </w:numPr>
      <w:tabs>
        <w:tab w:val="clear" w:pos="2552"/>
        <w:tab w:val="num" w:pos="2835"/>
      </w:tabs>
      <w:ind w:left="2835" w:hanging="1134"/>
    </w:pPr>
  </w:style>
  <w:style w:type="character" w:customStyle="1" w:styleId="11Char">
    <w:name w:val="1.1 Char"/>
    <w:link w:val="11"/>
    <w:rsid w:val="00B3178B"/>
    <w:rPr>
      <w:szCs w:val="24"/>
    </w:rPr>
  </w:style>
  <w:style w:type="character" w:customStyle="1" w:styleId="Heading1Char">
    <w:name w:val="Heading 1 Char"/>
    <w:link w:val="Heading1"/>
    <w:rsid w:val="00B3178B"/>
    <w:rPr>
      <w:b/>
      <w:szCs w:val="24"/>
      <w:u w:val="single"/>
    </w:rPr>
  </w:style>
  <w:style w:type="character" w:customStyle="1" w:styleId="111Char">
    <w:name w:val="1.1.1 Char"/>
    <w:basedOn w:val="11Char"/>
    <w:link w:val="111"/>
    <w:rsid w:val="00B3178B"/>
    <w:rPr>
      <w:szCs w:val="24"/>
    </w:rPr>
  </w:style>
  <w:style w:type="paragraph" w:customStyle="1" w:styleId="1111">
    <w:name w:val="1.1.1.1"/>
    <w:basedOn w:val="111"/>
    <w:link w:val="1111Char"/>
    <w:qFormat/>
    <w:rsid w:val="00B3178B"/>
    <w:pPr>
      <w:numPr>
        <w:ilvl w:val="3"/>
      </w:numPr>
      <w:tabs>
        <w:tab w:val="clear" w:pos="3686"/>
        <w:tab w:val="left" w:pos="3969"/>
      </w:tabs>
      <w:ind w:left="3969"/>
    </w:pPr>
  </w:style>
  <w:style w:type="character" w:customStyle="1" w:styleId="HeaderChar">
    <w:name w:val="Header Char"/>
    <w:link w:val="Header"/>
    <w:uiPriority w:val="99"/>
    <w:rsid w:val="00482EA0"/>
    <w:rPr>
      <w:rFonts w:ascii="Arial" w:hAnsi="Arial" w:cs="Arial"/>
      <w:sz w:val="25"/>
      <w:szCs w:val="25"/>
      <w:lang w:val="en-GB" w:eastAsia="en-GB"/>
    </w:rPr>
  </w:style>
  <w:style w:type="character" w:customStyle="1" w:styleId="1111Char">
    <w:name w:val="1.1.1.1 Char"/>
    <w:basedOn w:val="111Char"/>
    <w:link w:val="1111"/>
    <w:rsid w:val="00B3178B"/>
    <w:rPr>
      <w:szCs w:val="24"/>
    </w:rPr>
  </w:style>
  <w:style w:type="character" w:styleId="CommentReference">
    <w:name w:val="annotation reference"/>
    <w:rsid w:val="00792AD7"/>
    <w:rPr>
      <w:sz w:val="16"/>
      <w:szCs w:val="16"/>
    </w:rPr>
  </w:style>
  <w:style w:type="paragraph" w:styleId="CommentText">
    <w:name w:val="annotation text"/>
    <w:basedOn w:val="Normal"/>
    <w:link w:val="CommentTextChar"/>
    <w:rsid w:val="00792AD7"/>
    <w:rPr>
      <w:sz w:val="20"/>
    </w:rPr>
  </w:style>
  <w:style w:type="character" w:customStyle="1" w:styleId="CommentTextChar">
    <w:name w:val="Comment Text Char"/>
    <w:link w:val="CommentText"/>
    <w:rsid w:val="00792AD7"/>
    <w:rPr>
      <w:rFonts w:ascii="Arial" w:hAnsi="Arial" w:cs="Arial"/>
      <w:lang w:val="en-GB" w:eastAsia="en-GB"/>
    </w:rPr>
  </w:style>
  <w:style w:type="paragraph" w:styleId="CommentSubject">
    <w:name w:val="annotation subject"/>
    <w:basedOn w:val="CommentText"/>
    <w:next w:val="CommentText"/>
    <w:link w:val="CommentSubjectChar"/>
    <w:rsid w:val="00792AD7"/>
    <w:rPr>
      <w:b/>
      <w:bCs/>
    </w:rPr>
  </w:style>
  <w:style w:type="character" w:customStyle="1" w:styleId="CommentSubjectChar">
    <w:name w:val="Comment Subject Char"/>
    <w:link w:val="CommentSubject"/>
    <w:rsid w:val="00792AD7"/>
    <w:rPr>
      <w:rFonts w:ascii="Arial" w:hAnsi="Arial" w:cs="Arial"/>
      <w:b/>
      <w:bCs/>
      <w:lang w:val="en-GB" w:eastAsia="en-GB"/>
    </w:rPr>
  </w:style>
  <w:style w:type="paragraph" w:styleId="BalloonText">
    <w:name w:val="Balloon Text"/>
    <w:basedOn w:val="Normal"/>
    <w:link w:val="BalloonTextChar"/>
    <w:rsid w:val="00792AD7"/>
    <w:rPr>
      <w:rFonts w:ascii="Segoe UI" w:hAnsi="Segoe UI" w:cs="Segoe UI"/>
      <w:sz w:val="18"/>
      <w:szCs w:val="18"/>
    </w:rPr>
  </w:style>
  <w:style w:type="character" w:customStyle="1" w:styleId="BalloonTextChar">
    <w:name w:val="Balloon Text Char"/>
    <w:link w:val="BalloonText"/>
    <w:rsid w:val="00792AD7"/>
    <w:rPr>
      <w:rFonts w:ascii="Segoe UI" w:hAnsi="Segoe UI" w:cs="Segoe UI"/>
      <w:sz w:val="18"/>
      <w:szCs w:val="18"/>
      <w:lang w:val="en-GB" w:eastAsia="en-GB"/>
    </w:rPr>
  </w:style>
  <w:style w:type="paragraph" w:customStyle="1" w:styleId="ADPARA">
    <w:name w:val="AD PARA"/>
    <w:basedOn w:val="1"/>
    <w:link w:val="ADPARAChar"/>
    <w:qFormat/>
    <w:rsid w:val="009E7F6C"/>
    <w:rPr>
      <w:b/>
      <w:u w:val="single"/>
    </w:rPr>
  </w:style>
  <w:style w:type="paragraph" w:customStyle="1" w:styleId="nonumber">
    <w:name w:val="no number"/>
    <w:basedOn w:val="1"/>
    <w:link w:val="nonumberChar"/>
    <w:qFormat/>
    <w:rsid w:val="00B3178B"/>
    <w:pPr>
      <w:numPr>
        <w:numId w:val="0"/>
      </w:numPr>
    </w:pPr>
  </w:style>
  <w:style w:type="character" w:customStyle="1" w:styleId="ADPARAChar">
    <w:name w:val="AD PARA Char"/>
    <w:link w:val="ADPARA"/>
    <w:rsid w:val="009E7F6C"/>
    <w:rPr>
      <w:b/>
      <w:szCs w:val="24"/>
      <w:u w:val="single"/>
    </w:rPr>
  </w:style>
  <w:style w:type="character" w:customStyle="1" w:styleId="nonumberChar">
    <w:name w:val="no number Char"/>
    <w:basedOn w:val="1Char"/>
    <w:link w:val="nonumber"/>
    <w:rsid w:val="00B3178B"/>
    <w:rPr>
      <w:szCs w:val="24"/>
    </w:rPr>
  </w:style>
  <w:style w:type="paragraph" w:styleId="FootnoteText">
    <w:name w:val="footnote text"/>
    <w:basedOn w:val="Normal"/>
    <w:link w:val="FootnoteTextChar"/>
    <w:rsid w:val="008B7AB4"/>
    <w:rPr>
      <w:sz w:val="20"/>
    </w:rPr>
  </w:style>
  <w:style w:type="character" w:customStyle="1" w:styleId="FootnoteTextChar">
    <w:name w:val="Footnote Text Char"/>
    <w:basedOn w:val="DefaultParagraphFont"/>
    <w:link w:val="FootnoteText"/>
    <w:rsid w:val="008B7AB4"/>
    <w:rPr>
      <w:rFonts w:ascii="Arial" w:hAnsi="Arial" w:cs="Arial"/>
      <w:lang w:val="en-GB" w:eastAsia="en-GB"/>
    </w:rPr>
  </w:style>
  <w:style w:type="character" w:styleId="FootnoteReference">
    <w:name w:val="footnote reference"/>
    <w:basedOn w:val="DefaultParagraphFont"/>
    <w:rsid w:val="008B7AB4"/>
    <w:rPr>
      <w:vertAlign w:val="superscript"/>
    </w:rPr>
  </w:style>
  <w:style w:type="paragraph" w:customStyle="1" w:styleId="Footnote">
    <w:name w:val="Footnote"/>
    <w:basedOn w:val="FootnoteText"/>
    <w:link w:val="FootnoteChar"/>
    <w:qFormat/>
    <w:rsid w:val="00AC1812"/>
    <w:pPr>
      <w:tabs>
        <w:tab w:val="left" w:pos="567"/>
      </w:tabs>
      <w:ind w:left="567" w:hanging="567"/>
      <w:jc w:val="both"/>
    </w:pPr>
  </w:style>
  <w:style w:type="character" w:customStyle="1" w:styleId="Heading2Char">
    <w:name w:val="Heading 2 Char"/>
    <w:basedOn w:val="DefaultParagraphFont"/>
    <w:link w:val="Heading2"/>
    <w:rsid w:val="00B3178B"/>
    <w:rPr>
      <w:b/>
      <w:szCs w:val="24"/>
      <w:u w:val="single"/>
    </w:rPr>
  </w:style>
  <w:style w:type="character" w:customStyle="1" w:styleId="FootnoteChar">
    <w:name w:val="Footnote Char"/>
    <w:basedOn w:val="FootnoteTextChar"/>
    <w:link w:val="Footnote"/>
    <w:rsid w:val="00AC1812"/>
    <w:rPr>
      <w:rFonts w:ascii="Arial" w:hAnsi="Arial" w:cs="Arial"/>
      <w:sz w:val="20"/>
      <w:lang w:val="en-GB" w:eastAsia="en-GB"/>
    </w:rPr>
  </w:style>
  <w:style w:type="character" w:customStyle="1" w:styleId="Heading3Char">
    <w:name w:val="Heading 3 Char"/>
    <w:basedOn w:val="DefaultParagraphFont"/>
    <w:link w:val="Heading3"/>
    <w:rsid w:val="00B3178B"/>
    <w:rPr>
      <w:szCs w:val="24"/>
      <w:u w:val="single"/>
    </w:rPr>
  </w:style>
  <w:style w:type="paragraph" w:customStyle="1" w:styleId="quotation">
    <w:name w:val="quotation"/>
    <w:basedOn w:val="1"/>
    <w:link w:val="quotationChar"/>
    <w:qFormat/>
    <w:rsid w:val="00B3178B"/>
    <w:pPr>
      <w:numPr>
        <w:numId w:val="0"/>
      </w:numPr>
      <w:spacing w:before="0" w:after="0" w:line="240" w:lineRule="auto"/>
      <w:ind w:left="1440"/>
    </w:pPr>
    <w:rPr>
      <w:i/>
    </w:rPr>
  </w:style>
  <w:style w:type="character" w:customStyle="1" w:styleId="quotationChar">
    <w:name w:val="quotation Char"/>
    <w:basedOn w:val="1Char"/>
    <w:link w:val="quotation"/>
    <w:rsid w:val="00B3178B"/>
    <w:rPr>
      <w:i/>
      <w:szCs w:val="24"/>
    </w:rPr>
  </w:style>
  <w:style w:type="table" w:styleId="TableGrid">
    <w:name w:val="Table Grid"/>
    <w:basedOn w:val="TableNormal"/>
    <w:uiPriority w:val="39"/>
    <w:rsid w:val="002C4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3178B"/>
    <w:pPr>
      <w:ind w:left="720" w:hanging="340"/>
    </w:pPr>
    <w:rPr>
      <w:rFonts w:cs="Arial"/>
      <w:szCs w:val="24"/>
      <w:lang w:val="en-GB"/>
    </w:rPr>
  </w:style>
  <w:style w:type="character" w:customStyle="1" w:styleId="ListParagraphChar">
    <w:name w:val="List Paragraph Char"/>
    <w:link w:val="ListParagraph"/>
    <w:uiPriority w:val="34"/>
    <w:rsid w:val="00B3178B"/>
    <w:rPr>
      <w:rFonts w:cs="Arial"/>
      <w:szCs w:val="24"/>
      <w:lang w:val="en-GB"/>
    </w:rPr>
  </w:style>
  <w:style w:type="paragraph" w:customStyle="1" w:styleId="M3">
    <w:name w:val="M3"/>
    <w:basedOn w:val="Normal"/>
    <w:link w:val="M3Char"/>
    <w:qFormat/>
    <w:rsid w:val="00D732EE"/>
    <w:pPr>
      <w:widowControl w:val="0"/>
      <w:spacing w:before="240" w:after="120" w:line="480" w:lineRule="auto"/>
      <w:jc w:val="both"/>
    </w:pPr>
    <w:rPr>
      <w:rFonts w:ascii="Arial" w:hAnsi="Arial"/>
      <w:lang w:val="en-GB"/>
    </w:rPr>
  </w:style>
  <w:style w:type="character" w:customStyle="1" w:styleId="M3Char">
    <w:name w:val="M3 Char"/>
    <w:link w:val="M3"/>
    <w:rsid w:val="00D732EE"/>
    <w:rPr>
      <w:rFonts w:ascii="Arial" w:hAnsi="Arial"/>
      <w:lang w:val="en-GB"/>
    </w:rPr>
  </w:style>
  <w:style w:type="character" w:styleId="Hyperlink">
    <w:name w:val="Hyperlink"/>
    <w:basedOn w:val="DefaultParagraphFont"/>
    <w:unhideWhenUsed/>
    <w:rsid w:val="00D732EE"/>
    <w:rPr>
      <w:color w:val="0563C1" w:themeColor="hyperlink"/>
      <w:u w:val="single"/>
    </w:rPr>
  </w:style>
  <w:style w:type="paragraph" w:customStyle="1" w:styleId="2">
    <w:name w:val="2"/>
    <w:basedOn w:val="1"/>
    <w:qFormat/>
    <w:rsid w:val="006F0256"/>
    <w:pPr>
      <w:widowControl w:val="0"/>
      <w:numPr>
        <w:numId w:val="0"/>
      </w:numPr>
      <w:tabs>
        <w:tab w:val="num" w:pos="1361"/>
      </w:tabs>
      <w:suppressAutoHyphens/>
      <w:autoSpaceDN w:val="0"/>
      <w:spacing w:before="240" w:after="240"/>
      <w:ind w:left="720" w:right="0" w:hanging="720"/>
      <w:textAlignment w:val="baseline"/>
    </w:pPr>
    <w:rPr>
      <w:rFonts w:ascii="Arial" w:hAnsi="Arial" w:cs="Arial"/>
      <w:sz w:val="23"/>
      <w:lang w:eastAsia="zh-CN"/>
    </w:rPr>
  </w:style>
  <w:style w:type="paragraph" w:customStyle="1" w:styleId="3">
    <w:name w:val="3"/>
    <w:basedOn w:val="Normal"/>
    <w:qFormat/>
    <w:rsid w:val="006F0256"/>
    <w:pPr>
      <w:tabs>
        <w:tab w:val="num" w:pos="2155"/>
      </w:tabs>
      <w:spacing w:before="240" w:after="240" w:line="480" w:lineRule="auto"/>
      <w:ind w:left="1440" w:hanging="720"/>
      <w:jc w:val="both"/>
    </w:pPr>
    <w:rPr>
      <w:rFonts w:ascii="Arial" w:hAnsi="Arial" w:cs="Arial"/>
      <w:sz w:val="23"/>
      <w:szCs w:val="24"/>
      <w:lang w:eastAsia="en-US"/>
    </w:rPr>
  </w:style>
  <w:style w:type="paragraph" w:customStyle="1" w:styleId="4">
    <w:name w:val="4"/>
    <w:basedOn w:val="3"/>
    <w:qFormat/>
    <w:rsid w:val="006F0256"/>
    <w:pPr>
      <w:tabs>
        <w:tab w:val="clear" w:pos="2155"/>
      </w:tabs>
      <w:ind w:left="2448" w:hanging="1008"/>
    </w:pPr>
  </w:style>
  <w:style w:type="paragraph" w:styleId="NormalWeb">
    <w:name w:val="Normal (Web)"/>
    <w:basedOn w:val="Normal"/>
    <w:uiPriority w:val="99"/>
    <w:semiHidden/>
    <w:unhideWhenUsed/>
    <w:rsid w:val="003F04DF"/>
    <w:pPr>
      <w:spacing w:before="100" w:beforeAutospacing="1" w:after="100" w:afterAutospacing="1"/>
    </w:pPr>
    <w:rPr>
      <w:szCs w:val="24"/>
    </w:rPr>
  </w:style>
  <w:style w:type="character" w:customStyle="1" w:styleId="FooterChar">
    <w:name w:val="Footer Char"/>
    <w:basedOn w:val="DefaultParagraphFont"/>
    <w:link w:val="Footer"/>
    <w:uiPriority w:val="99"/>
    <w:rsid w:val="00B34884"/>
  </w:style>
  <w:style w:type="character" w:customStyle="1" w:styleId="lrzxr">
    <w:name w:val="lrzxr"/>
    <w:basedOn w:val="DefaultParagraphFont"/>
    <w:rsid w:val="006D380E"/>
  </w:style>
  <w:style w:type="character" w:customStyle="1" w:styleId="w8qarf">
    <w:name w:val="w8qarf"/>
    <w:basedOn w:val="DefaultParagraphFont"/>
    <w:rsid w:val="006D380E"/>
  </w:style>
  <w:style w:type="character" w:customStyle="1" w:styleId="jjswrd">
    <w:name w:val="jjswrd"/>
    <w:basedOn w:val="DefaultParagraphFont"/>
    <w:rsid w:val="006D380E"/>
  </w:style>
  <w:style w:type="paragraph" w:customStyle="1" w:styleId="lg-section">
    <w:name w:val="lg-section"/>
    <w:basedOn w:val="Normal"/>
    <w:rsid w:val="00FC1A10"/>
    <w:pPr>
      <w:spacing w:before="100" w:beforeAutospacing="1" w:after="100" w:afterAutospacing="1"/>
    </w:pPr>
    <w:rPr>
      <w:szCs w:val="24"/>
      <w:lang w:val="en-US" w:eastAsia="en-US"/>
    </w:rPr>
  </w:style>
  <w:style w:type="paragraph" w:customStyle="1" w:styleId="lg-para3">
    <w:name w:val="lg-para3"/>
    <w:basedOn w:val="Normal"/>
    <w:rsid w:val="00FC1A10"/>
    <w:pPr>
      <w:spacing w:before="100" w:beforeAutospacing="1" w:after="100" w:afterAutospacing="1"/>
    </w:pPr>
    <w:rPr>
      <w:szCs w:val="24"/>
      <w:lang w:val="en-US" w:eastAsia="en-US"/>
    </w:rPr>
  </w:style>
  <w:style w:type="paragraph" w:customStyle="1" w:styleId="lg-a-1">
    <w:name w:val="lg-a-1"/>
    <w:basedOn w:val="Normal"/>
    <w:rsid w:val="006303A0"/>
    <w:pPr>
      <w:spacing w:before="100" w:beforeAutospacing="1" w:after="100" w:afterAutospacing="1"/>
    </w:pPr>
    <w:rPr>
      <w:szCs w:val="24"/>
      <w:lang w:val="en-US" w:eastAsia="en-US"/>
    </w:rPr>
  </w:style>
  <w:style w:type="paragraph" w:customStyle="1" w:styleId="lg-i-a-1">
    <w:name w:val="lg-i-a-1"/>
    <w:basedOn w:val="Normal"/>
    <w:rsid w:val="006303A0"/>
    <w:pPr>
      <w:spacing w:before="100" w:beforeAutospacing="1" w:after="100" w:afterAutospacing="1"/>
    </w:pPr>
    <w:rPr>
      <w:szCs w:val="24"/>
      <w:lang w:val="en-US" w:eastAsia="en-US"/>
    </w:rPr>
  </w:style>
  <w:style w:type="character" w:customStyle="1" w:styleId="mc">
    <w:name w:val="mc"/>
    <w:basedOn w:val="DefaultParagraphFont"/>
    <w:rsid w:val="00F25EF2"/>
  </w:style>
  <w:style w:type="paragraph" w:styleId="Revision">
    <w:name w:val="Revision"/>
    <w:hidden/>
    <w:uiPriority w:val="99"/>
    <w:semiHidden/>
    <w:rsid w:val="00F67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7909">
      <w:bodyDiv w:val="1"/>
      <w:marLeft w:val="0"/>
      <w:marRight w:val="0"/>
      <w:marTop w:val="0"/>
      <w:marBottom w:val="0"/>
      <w:divBdr>
        <w:top w:val="none" w:sz="0" w:space="0" w:color="auto"/>
        <w:left w:val="none" w:sz="0" w:space="0" w:color="auto"/>
        <w:bottom w:val="none" w:sz="0" w:space="0" w:color="auto"/>
        <w:right w:val="none" w:sz="0" w:space="0" w:color="auto"/>
      </w:divBdr>
    </w:div>
    <w:div w:id="92476860">
      <w:bodyDiv w:val="1"/>
      <w:marLeft w:val="0"/>
      <w:marRight w:val="0"/>
      <w:marTop w:val="0"/>
      <w:marBottom w:val="0"/>
      <w:divBdr>
        <w:top w:val="none" w:sz="0" w:space="0" w:color="auto"/>
        <w:left w:val="none" w:sz="0" w:space="0" w:color="auto"/>
        <w:bottom w:val="none" w:sz="0" w:space="0" w:color="auto"/>
        <w:right w:val="none" w:sz="0" w:space="0" w:color="auto"/>
      </w:divBdr>
    </w:div>
    <w:div w:id="154226707">
      <w:bodyDiv w:val="1"/>
      <w:marLeft w:val="0"/>
      <w:marRight w:val="0"/>
      <w:marTop w:val="0"/>
      <w:marBottom w:val="0"/>
      <w:divBdr>
        <w:top w:val="none" w:sz="0" w:space="0" w:color="auto"/>
        <w:left w:val="none" w:sz="0" w:space="0" w:color="auto"/>
        <w:bottom w:val="none" w:sz="0" w:space="0" w:color="auto"/>
        <w:right w:val="none" w:sz="0" w:space="0" w:color="auto"/>
      </w:divBdr>
    </w:div>
    <w:div w:id="256602397">
      <w:bodyDiv w:val="1"/>
      <w:marLeft w:val="0"/>
      <w:marRight w:val="0"/>
      <w:marTop w:val="0"/>
      <w:marBottom w:val="0"/>
      <w:divBdr>
        <w:top w:val="none" w:sz="0" w:space="0" w:color="auto"/>
        <w:left w:val="none" w:sz="0" w:space="0" w:color="auto"/>
        <w:bottom w:val="none" w:sz="0" w:space="0" w:color="auto"/>
        <w:right w:val="none" w:sz="0" w:space="0" w:color="auto"/>
      </w:divBdr>
    </w:div>
    <w:div w:id="259222979">
      <w:bodyDiv w:val="1"/>
      <w:marLeft w:val="0"/>
      <w:marRight w:val="0"/>
      <w:marTop w:val="0"/>
      <w:marBottom w:val="0"/>
      <w:divBdr>
        <w:top w:val="none" w:sz="0" w:space="0" w:color="auto"/>
        <w:left w:val="none" w:sz="0" w:space="0" w:color="auto"/>
        <w:bottom w:val="none" w:sz="0" w:space="0" w:color="auto"/>
        <w:right w:val="none" w:sz="0" w:space="0" w:color="auto"/>
      </w:divBdr>
    </w:div>
    <w:div w:id="266041959">
      <w:bodyDiv w:val="1"/>
      <w:marLeft w:val="0"/>
      <w:marRight w:val="0"/>
      <w:marTop w:val="0"/>
      <w:marBottom w:val="0"/>
      <w:divBdr>
        <w:top w:val="none" w:sz="0" w:space="0" w:color="auto"/>
        <w:left w:val="none" w:sz="0" w:space="0" w:color="auto"/>
        <w:bottom w:val="none" w:sz="0" w:space="0" w:color="auto"/>
        <w:right w:val="none" w:sz="0" w:space="0" w:color="auto"/>
      </w:divBdr>
    </w:div>
    <w:div w:id="271402234">
      <w:bodyDiv w:val="1"/>
      <w:marLeft w:val="0"/>
      <w:marRight w:val="0"/>
      <w:marTop w:val="0"/>
      <w:marBottom w:val="0"/>
      <w:divBdr>
        <w:top w:val="none" w:sz="0" w:space="0" w:color="auto"/>
        <w:left w:val="none" w:sz="0" w:space="0" w:color="auto"/>
        <w:bottom w:val="none" w:sz="0" w:space="0" w:color="auto"/>
        <w:right w:val="none" w:sz="0" w:space="0" w:color="auto"/>
      </w:divBdr>
    </w:div>
    <w:div w:id="280259534">
      <w:bodyDiv w:val="1"/>
      <w:marLeft w:val="0"/>
      <w:marRight w:val="0"/>
      <w:marTop w:val="0"/>
      <w:marBottom w:val="0"/>
      <w:divBdr>
        <w:top w:val="none" w:sz="0" w:space="0" w:color="auto"/>
        <w:left w:val="none" w:sz="0" w:space="0" w:color="auto"/>
        <w:bottom w:val="none" w:sz="0" w:space="0" w:color="auto"/>
        <w:right w:val="none" w:sz="0" w:space="0" w:color="auto"/>
      </w:divBdr>
    </w:div>
    <w:div w:id="329260904">
      <w:bodyDiv w:val="1"/>
      <w:marLeft w:val="0"/>
      <w:marRight w:val="0"/>
      <w:marTop w:val="0"/>
      <w:marBottom w:val="0"/>
      <w:divBdr>
        <w:top w:val="none" w:sz="0" w:space="0" w:color="auto"/>
        <w:left w:val="none" w:sz="0" w:space="0" w:color="auto"/>
        <w:bottom w:val="none" w:sz="0" w:space="0" w:color="auto"/>
        <w:right w:val="none" w:sz="0" w:space="0" w:color="auto"/>
      </w:divBdr>
    </w:div>
    <w:div w:id="411705981">
      <w:bodyDiv w:val="1"/>
      <w:marLeft w:val="0"/>
      <w:marRight w:val="0"/>
      <w:marTop w:val="0"/>
      <w:marBottom w:val="0"/>
      <w:divBdr>
        <w:top w:val="none" w:sz="0" w:space="0" w:color="auto"/>
        <w:left w:val="none" w:sz="0" w:space="0" w:color="auto"/>
        <w:bottom w:val="none" w:sz="0" w:space="0" w:color="auto"/>
        <w:right w:val="none" w:sz="0" w:space="0" w:color="auto"/>
      </w:divBdr>
    </w:div>
    <w:div w:id="604270619">
      <w:bodyDiv w:val="1"/>
      <w:marLeft w:val="0"/>
      <w:marRight w:val="0"/>
      <w:marTop w:val="0"/>
      <w:marBottom w:val="0"/>
      <w:divBdr>
        <w:top w:val="none" w:sz="0" w:space="0" w:color="auto"/>
        <w:left w:val="none" w:sz="0" w:space="0" w:color="auto"/>
        <w:bottom w:val="none" w:sz="0" w:space="0" w:color="auto"/>
        <w:right w:val="none" w:sz="0" w:space="0" w:color="auto"/>
      </w:divBdr>
    </w:div>
    <w:div w:id="612708850">
      <w:bodyDiv w:val="1"/>
      <w:marLeft w:val="0"/>
      <w:marRight w:val="0"/>
      <w:marTop w:val="0"/>
      <w:marBottom w:val="0"/>
      <w:divBdr>
        <w:top w:val="none" w:sz="0" w:space="0" w:color="auto"/>
        <w:left w:val="none" w:sz="0" w:space="0" w:color="auto"/>
        <w:bottom w:val="none" w:sz="0" w:space="0" w:color="auto"/>
        <w:right w:val="none" w:sz="0" w:space="0" w:color="auto"/>
      </w:divBdr>
      <w:divsChild>
        <w:div w:id="412047833">
          <w:marLeft w:val="0"/>
          <w:marRight w:val="0"/>
          <w:marTop w:val="0"/>
          <w:marBottom w:val="0"/>
          <w:divBdr>
            <w:top w:val="none" w:sz="0" w:space="0" w:color="auto"/>
            <w:left w:val="none" w:sz="0" w:space="0" w:color="auto"/>
            <w:bottom w:val="none" w:sz="0" w:space="0" w:color="auto"/>
            <w:right w:val="none" w:sz="0" w:space="0" w:color="auto"/>
          </w:divBdr>
          <w:divsChild>
            <w:div w:id="1827940589">
              <w:marLeft w:val="0"/>
              <w:marRight w:val="0"/>
              <w:marTop w:val="0"/>
              <w:marBottom w:val="0"/>
              <w:divBdr>
                <w:top w:val="none" w:sz="0" w:space="0" w:color="auto"/>
                <w:left w:val="none" w:sz="0" w:space="0" w:color="auto"/>
                <w:bottom w:val="none" w:sz="0" w:space="0" w:color="auto"/>
                <w:right w:val="none" w:sz="0" w:space="0" w:color="auto"/>
              </w:divBdr>
              <w:divsChild>
                <w:div w:id="136801907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66805912">
          <w:marLeft w:val="0"/>
          <w:marRight w:val="0"/>
          <w:marTop w:val="0"/>
          <w:marBottom w:val="0"/>
          <w:divBdr>
            <w:top w:val="none" w:sz="0" w:space="0" w:color="auto"/>
            <w:left w:val="none" w:sz="0" w:space="0" w:color="auto"/>
            <w:bottom w:val="none" w:sz="0" w:space="0" w:color="auto"/>
            <w:right w:val="none" w:sz="0" w:space="0" w:color="auto"/>
          </w:divBdr>
          <w:divsChild>
            <w:div w:id="1136532823">
              <w:marLeft w:val="0"/>
              <w:marRight w:val="0"/>
              <w:marTop w:val="105"/>
              <w:marBottom w:val="0"/>
              <w:divBdr>
                <w:top w:val="none" w:sz="0" w:space="0" w:color="auto"/>
                <w:left w:val="none" w:sz="0" w:space="0" w:color="auto"/>
                <w:bottom w:val="none" w:sz="0" w:space="0" w:color="auto"/>
                <w:right w:val="none" w:sz="0" w:space="0" w:color="auto"/>
              </w:divBdr>
              <w:divsChild>
                <w:div w:id="52001856">
                  <w:marLeft w:val="0"/>
                  <w:marRight w:val="0"/>
                  <w:marTop w:val="0"/>
                  <w:marBottom w:val="0"/>
                  <w:divBdr>
                    <w:top w:val="none" w:sz="0" w:space="0" w:color="auto"/>
                    <w:left w:val="none" w:sz="0" w:space="0" w:color="auto"/>
                    <w:bottom w:val="none" w:sz="0" w:space="0" w:color="auto"/>
                    <w:right w:val="none" w:sz="0" w:space="0" w:color="auto"/>
                  </w:divBdr>
                  <w:divsChild>
                    <w:div w:id="20172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1605">
          <w:marLeft w:val="0"/>
          <w:marRight w:val="0"/>
          <w:marTop w:val="0"/>
          <w:marBottom w:val="0"/>
          <w:divBdr>
            <w:top w:val="none" w:sz="0" w:space="0" w:color="auto"/>
            <w:left w:val="none" w:sz="0" w:space="0" w:color="auto"/>
            <w:bottom w:val="none" w:sz="0" w:space="0" w:color="auto"/>
            <w:right w:val="none" w:sz="0" w:space="0" w:color="auto"/>
          </w:divBdr>
          <w:divsChild>
            <w:div w:id="478881215">
              <w:marLeft w:val="0"/>
              <w:marRight w:val="0"/>
              <w:marTop w:val="0"/>
              <w:marBottom w:val="0"/>
              <w:divBdr>
                <w:top w:val="none" w:sz="0" w:space="0" w:color="auto"/>
                <w:left w:val="none" w:sz="0" w:space="0" w:color="auto"/>
                <w:bottom w:val="none" w:sz="0" w:space="0" w:color="auto"/>
                <w:right w:val="none" w:sz="0" w:space="0" w:color="auto"/>
              </w:divBdr>
              <w:divsChild>
                <w:div w:id="19824917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635993861">
      <w:bodyDiv w:val="1"/>
      <w:marLeft w:val="0"/>
      <w:marRight w:val="0"/>
      <w:marTop w:val="0"/>
      <w:marBottom w:val="0"/>
      <w:divBdr>
        <w:top w:val="none" w:sz="0" w:space="0" w:color="auto"/>
        <w:left w:val="none" w:sz="0" w:space="0" w:color="auto"/>
        <w:bottom w:val="none" w:sz="0" w:space="0" w:color="auto"/>
        <w:right w:val="none" w:sz="0" w:space="0" w:color="auto"/>
      </w:divBdr>
    </w:div>
    <w:div w:id="652025310">
      <w:bodyDiv w:val="1"/>
      <w:marLeft w:val="0"/>
      <w:marRight w:val="0"/>
      <w:marTop w:val="0"/>
      <w:marBottom w:val="0"/>
      <w:divBdr>
        <w:top w:val="none" w:sz="0" w:space="0" w:color="auto"/>
        <w:left w:val="none" w:sz="0" w:space="0" w:color="auto"/>
        <w:bottom w:val="none" w:sz="0" w:space="0" w:color="auto"/>
        <w:right w:val="none" w:sz="0" w:space="0" w:color="auto"/>
      </w:divBdr>
    </w:div>
    <w:div w:id="704717791">
      <w:bodyDiv w:val="1"/>
      <w:marLeft w:val="0"/>
      <w:marRight w:val="0"/>
      <w:marTop w:val="0"/>
      <w:marBottom w:val="0"/>
      <w:divBdr>
        <w:top w:val="none" w:sz="0" w:space="0" w:color="auto"/>
        <w:left w:val="none" w:sz="0" w:space="0" w:color="auto"/>
        <w:bottom w:val="none" w:sz="0" w:space="0" w:color="auto"/>
        <w:right w:val="none" w:sz="0" w:space="0" w:color="auto"/>
      </w:divBdr>
    </w:div>
    <w:div w:id="862088321">
      <w:bodyDiv w:val="1"/>
      <w:marLeft w:val="0"/>
      <w:marRight w:val="0"/>
      <w:marTop w:val="0"/>
      <w:marBottom w:val="0"/>
      <w:divBdr>
        <w:top w:val="none" w:sz="0" w:space="0" w:color="auto"/>
        <w:left w:val="none" w:sz="0" w:space="0" w:color="auto"/>
        <w:bottom w:val="none" w:sz="0" w:space="0" w:color="auto"/>
        <w:right w:val="none" w:sz="0" w:space="0" w:color="auto"/>
      </w:divBdr>
    </w:div>
    <w:div w:id="878471692">
      <w:bodyDiv w:val="1"/>
      <w:marLeft w:val="0"/>
      <w:marRight w:val="0"/>
      <w:marTop w:val="0"/>
      <w:marBottom w:val="0"/>
      <w:divBdr>
        <w:top w:val="none" w:sz="0" w:space="0" w:color="auto"/>
        <w:left w:val="none" w:sz="0" w:space="0" w:color="auto"/>
        <w:bottom w:val="none" w:sz="0" w:space="0" w:color="auto"/>
        <w:right w:val="none" w:sz="0" w:space="0" w:color="auto"/>
      </w:divBdr>
    </w:div>
    <w:div w:id="960720350">
      <w:bodyDiv w:val="1"/>
      <w:marLeft w:val="0"/>
      <w:marRight w:val="0"/>
      <w:marTop w:val="0"/>
      <w:marBottom w:val="0"/>
      <w:divBdr>
        <w:top w:val="none" w:sz="0" w:space="0" w:color="auto"/>
        <w:left w:val="none" w:sz="0" w:space="0" w:color="auto"/>
        <w:bottom w:val="none" w:sz="0" w:space="0" w:color="auto"/>
        <w:right w:val="none" w:sz="0" w:space="0" w:color="auto"/>
      </w:divBdr>
    </w:div>
    <w:div w:id="1085762998">
      <w:bodyDiv w:val="1"/>
      <w:marLeft w:val="0"/>
      <w:marRight w:val="0"/>
      <w:marTop w:val="0"/>
      <w:marBottom w:val="0"/>
      <w:divBdr>
        <w:top w:val="none" w:sz="0" w:space="0" w:color="auto"/>
        <w:left w:val="none" w:sz="0" w:space="0" w:color="auto"/>
        <w:bottom w:val="none" w:sz="0" w:space="0" w:color="auto"/>
        <w:right w:val="none" w:sz="0" w:space="0" w:color="auto"/>
      </w:divBdr>
    </w:div>
    <w:div w:id="1148398503">
      <w:bodyDiv w:val="1"/>
      <w:marLeft w:val="0"/>
      <w:marRight w:val="0"/>
      <w:marTop w:val="0"/>
      <w:marBottom w:val="0"/>
      <w:divBdr>
        <w:top w:val="none" w:sz="0" w:space="0" w:color="auto"/>
        <w:left w:val="none" w:sz="0" w:space="0" w:color="auto"/>
        <w:bottom w:val="none" w:sz="0" w:space="0" w:color="auto"/>
        <w:right w:val="none" w:sz="0" w:space="0" w:color="auto"/>
      </w:divBdr>
    </w:div>
    <w:div w:id="1189680900">
      <w:bodyDiv w:val="1"/>
      <w:marLeft w:val="0"/>
      <w:marRight w:val="0"/>
      <w:marTop w:val="0"/>
      <w:marBottom w:val="0"/>
      <w:divBdr>
        <w:top w:val="none" w:sz="0" w:space="0" w:color="auto"/>
        <w:left w:val="none" w:sz="0" w:space="0" w:color="auto"/>
        <w:bottom w:val="none" w:sz="0" w:space="0" w:color="auto"/>
        <w:right w:val="none" w:sz="0" w:space="0" w:color="auto"/>
      </w:divBdr>
    </w:div>
    <w:div w:id="1296719093">
      <w:bodyDiv w:val="1"/>
      <w:marLeft w:val="0"/>
      <w:marRight w:val="0"/>
      <w:marTop w:val="0"/>
      <w:marBottom w:val="0"/>
      <w:divBdr>
        <w:top w:val="none" w:sz="0" w:space="0" w:color="auto"/>
        <w:left w:val="none" w:sz="0" w:space="0" w:color="auto"/>
        <w:bottom w:val="none" w:sz="0" w:space="0" w:color="auto"/>
        <w:right w:val="none" w:sz="0" w:space="0" w:color="auto"/>
      </w:divBdr>
    </w:div>
    <w:div w:id="1443721738">
      <w:bodyDiv w:val="1"/>
      <w:marLeft w:val="0"/>
      <w:marRight w:val="0"/>
      <w:marTop w:val="0"/>
      <w:marBottom w:val="0"/>
      <w:divBdr>
        <w:top w:val="none" w:sz="0" w:space="0" w:color="auto"/>
        <w:left w:val="none" w:sz="0" w:space="0" w:color="auto"/>
        <w:bottom w:val="none" w:sz="0" w:space="0" w:color="auto"/>
        <w:right w:val="none" w:sz="0" w:space="0" w:color="auto"/>
      </w:divBdr>
    </w:div>
    <w:div w:id="1472557290">
      <w:bodyDiv w:val="1"/>
      <w:marLeft w:val="0"/>
      <w:marRight w:val="0"/>
      <w:marTop w:val="0"/>
      <w:marBottom w:val="0"/>
      <w:divBdr>
        <w:top w:val="none" w:sz="0" w:space="0" w:color="auto"/>
        <w:left w:val="none" w:sz="0" w:space="0" w:color="auto"/>
        <w:bottom w:val="none" w:sz="0" w:space="0" w:color="auto"/>
        <w:right w:val="none" w:sz="0" w:space="0" w:color="auto"/>
      </w:divBdr>
      <w:divsChild>
        <w:div w:id="436679783">
          <w:marLeft w:val="0"/>
          <w:marRight w:val="0"/>
          <w:marTop w:val="0"/>
          <w:marBottom w:val="0"/>
          <w:divBdr>
            <w:top w:val="none" w:sz="0" w:space="0" w:color="auto"/>
            <w:left w:val="none" w:sz="0" w:space="0" w:color="auto"/>
            <w:bottom w:val="none" w:sz="0" w:space="0" w:color="auto"/>
            <w:right w:val="none" w:sz="0" w:space="0" w:color="auto"/>
          </w:divBdr>
          <w:divsChild>
            <w:div w:id="1257521858">
              <w:marLeft w:val="0"/>
              <w:marRight w:val="0"/>
              <w:marTop w:val="0"/>
              <w:marBottom w:val="0"/>
              <w:divBdr>
                <w:top w:val="none" w:sz="0" w:space="0" w:color="auto"/>
                <w:left w:val="none" w:sz="0" w:space="0" w:color="auto"/>
                <w:bottom w:val="none" w:sz="0" w:space="0" w:color="auto"/>
                <w:right w:val="none" w:sz="0" w:space="0" w:color="auto"/>
              </w:divBdr>
              <w:divsChild>
                <w:div w:id="4206798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24661050">
          <w:marLeft w:val="0"/>
          <w:marRight w:val="0"/>
          <w:marTop w:val="0"/>
          <w:marBottom w:val="0"/>
          <w:divBdr>
            <w:top w:val="none" w:sz="0" w:space="0" w:color="auto"/>
            <w:left w:val="none" w:sz="0" w:space="0" w:color="auto"/>
            <w:bottom w:val="none" w:sz="0" w:space="0" w:color="auto"/>
            <w:right w:val="none" w:sz="0" w:space="0" w:color="auto"/>
          </w:divBdr>
          <w:divsChild>
            <w:div w:id="1199393173">
              <w:marLeft w:val="0"/>
              <w:marRight w:val="0"/>
              <w:marTop w:val="105"/>
              <w:marBottom w:val="0"/>
              <w:divBdr>
                <w:top w:val="none" w:sz="0" w:space="0" w:color="auto"/>
                <w:left w:val="none" w:sz="0" w:space="0" w:color="auto"/>
                <w:bottom w:val="none" w:sz="0" w:space="0" w:color="auto"/>
                <w:right w:val="none" w:sz="0" w:space="0" w:color="auto"/>
              </w:divBdr>
              <w:divsChild>
                <w:div w:id="825241625">
                  <w:marLeft w:val="0"/>
                  <w:marRight w:val="0"/>
                  <w:marTop w:val="0"/>
                  <w:marBottom w:val="0"/>
                  <w:divBdr>
                    <w:top w:val="none" w:sz="0" w:space="0" w:color="auto"/>
                    <w:left w:val="none" w:sz="0" w:space="0" w:color="auto"/>
                    <w:bottom w:val="none" w:sz="0" w:space="0" w:color="auto"/>
                    <w:right w:val="none" w:sz="0" w:space="0" w:color="auto"/>
                  </w:divBdr>
                  <w:divsChild>
                    <w:div w:id="16579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2313">
          <w:marLeft w:val="0"/>
          <w:marRight w:val="0"/>
          <w:marTop w:val="0"/>
          <w:marBottom w:val="0"/>
          <w:divBdr>
            <w:top w:val="none" w:sz="0" w:space="0" w:color="auto"/>
            <w:left w:val="none" w:sz="0" w:space="0" w:color="auto"/>
            <w:bottom w:val="none" w:sz="0" w:space="0" w:color="auto"/>
            <w:right w:val="none" w:sz="0" w:space="0" w:color="auto"/>
          </w:divBdr>
          <w:divsChild>
            <w:div w:id="564920485">
              <w:marLeft w:val="0"/>
              <w:marRight w:val="0"/>
              <w:marTop w:val="0"/>
              <w:marBottom w:val="0"/>
              <w:divBdr>
                <w:top w:val="none" w:sz="0" w:space="0" w:color="auto"/>
                <w:left w:val="none" w:sz="0" w:space="0" w:color="auto"/>
                <w:bottom w:val="none" w:sz="0" w:space="0" w:color="auto"/>
                <w:right w:val="none" w:sz="0" w:space="0" w:color="auto"/>
              </w:divBdr>
              <w:divsChild>
                <w:div w:id="76554391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527870881">
      <w:bodyDiv w:val="1"/>
      <w:marLeft w:val="0"/>
      <w:marRight w:val="0"/>
      <w:marTop w:val="0"/>
      <w:marBottom w:val="0"/>
      <w:divBdr>
        <w:top w:val="none" w:sz="0" w:space="0" w:color="auto"/>
        <w:left w:val="none" w:sz="0" w:space="0" w:color="auto"/>
        <w:bottom w:val="none" w:sz="0" w:space="0" w:color="auto"/>
        <w:right w:val="none" w:sz="0" w:space="0" w:color="auto"/>
      </w:divBdr>
    </w:div>
    <w:div w:id="1538811195">
      <w:bodyDiv w:val="1"/>
      <w:marLeft w:val="0"/>
      <w:marRight w:val="0"/>
      <w:marTop w:val="0"/>
      <w:marBottom w:val="0"/>
      <w:divBdr>
        <w:top w:val="none" w:sz="0" w:space="0" w:color="auto"/>
        <w:left w:val="none" w:sz="0" w:space="0" w:color="auto"/>
        <w:bottom w:val="none" w:sz="0" w:space="0" w:color="auto"/>
        <w:right w:val="none" w:sz="0" w:space="0" w:color="auto"/>
      </w:divBdr>
    </w:div>
    <w:div w:id="1561013580">
      <w:bodyDiv w:val="1"/>
      <w:marLeft w:val="0"/>
      <w:marRight w:val="0"/>
      <w:marTop w:val="0"/>
      <w:marBottom w:val="0"/>
      <w:divBdr>
        <w:top w:val="none" w:sz="0" w:space="0" w:color="auto"/>
        <w:left w:val="none" w:sz="0" w:space="0" w:color="auto"/>
        <w:bottom w:val="none" w:sz="0" w:space="0" w:color="auto"/>
        <w:right w:val="none" w:sz="0" w:space="0" w:color="auto"/>
      </w:divBdr>
    </w:div>
    <w:div w:id="1578781547">
      <w:bodyDiv w:val="1"/>
      <w:marLeft w:val="0"/>
      <w:marRight w:val="0"/>
      <w:marTop w:val="0"/>
      <w:marBottom w:val="0"/>
      <w:divBdr>
        <w:top w:val="none" w:sz="0" w:space="0" w:color="auto"/>
        <w:left w:val="none" w:sz="0" w:space="0" w:color="auto"/>
        <w:bottom w:val="none" w:sz="0" w:space="0" w:color="auto"/>
        <w:right w:val="none" w:sz="0" w:space="0" w:color="auto"/>
      </w:divBdr>
    </w:div>
    <w:div w:id="1612710252">
      <w:bodyDiv w:val="1"/>
      <w:marLeft w:val="0"/>
      <w:marRight w:val="0"/>
      <w:marTop w:val="0"/>
      <w:marBottom w:val="0"/>
      <w:divBdr>
        <w:top w:val="none" w:sz="0" w:space="0" w:color="auto"/>
        <w:left w:val="none" w:sz="0" w:space="0" w:color="auto"/>
        <w:bottom w:val="none" w:sz="0" w:space="0" w:color="auto"/>
        <w:right w:val="none" w:sz="0" w:space="0" w:color="auto"/>
      </w:divBdr>
    </w:div>
    <w:div w:id="1643609662">
      <w:bodyDiv w:val="1"/>
      <w:marLeft w:val="0"/>
      <w:marRight w:val="0"/>
      <w:marTop w:val="0"/>
      <w:marBottom w:val="0"/>
      <w:divBdr>
        <w:top w:val="none" w:sz="0" w:space="0" w:color="auto"/>
        <w:left w:val="none" w:sz="0" w:space="0" w:color="auto"/>
        <w:bottom w:val="none" w:sz="0" w:space="0" w:color="auto"/>
        <w:right w:val="none" w:sz="0" w:space="0" w:color="auto"/>
      </w:divBdr>
    </w:div>
    <w:div w:id="1782383164">
      <w:bodyDiv w:val="1"/>
      <w:marLeft w:val="0"/>
      <w:marRight w:val="0"/>
      <w:marTop w:val="0"/>
      <w:marBottom w:val="0"/>
      <w:divBdr>
        <w:top w:val="none" w:sz="0" w:space="0" w:color="auto"/>
        <w:left w:val="none" w:sz="0" w:space="0" w:color="auto"/>
        <w:bottom w:val="none" w:sz="0" w:space="0" w:color="auto"/>
        <w:right w:val="none" w:sz="0" w:space="0" w:color="auto"/>
      </w:divBdr>
    </w:div>
    <w:div w:id="1785805079">
      <w:bodyDiv w:val="1"/>
      <w:marLeft w:val="0"/>
      <w:marRight w:val="0"/>
      <w:marTop w:val="0"/>
      <w:marBottom w:val="0"/>
      <w:divBdr>
        <w:top w:val="none" w:sz="0" w:space="0" w:color="auto"/>
        <w:left w:val="none" w:sz="0" w:space="0" w:color="auto"/>
        <w:bottom w:val="none" w:sz="0" w:space="0" w:color="auto"/>
        <w:right w:val="none" w:sz="0" w:space="0" w:color="auto"/>
      </w:divBdr>
    </w:div>
    <w:div w:id="1848980909">
      <w:bodyDiv w:val="1"/>
      <w:marLeft w:val="0"/>
      <w:marRight w:val="0"/>
      <w:marTop w:val="0"/>
      <w:marBottom w:val="0"/>
      <w:divBdr>
        <w:top w:val="none" w:sz="0" w:space="0" w:color="auto"/>
        <w:left w:val="none" w:sz="0" w:space="0" w:color="auto"/>
        <w:bottom w:val="none" w:sz="0" w:space="0" w:color="auto"/>
        <w:right w:val="none" w:sz="0" w:space="0" w:color="auto"/>
      </w:divBdr>
    </w:div>
    <w:div w:id="1850483855">
      <w:bodyDiv w:val="1"/>
      <w:marLeft w:val="0"/>
      <w:marRight w:val="0"/>
      <w:marTop w:val="0"/>
      <w:marBottom w:val="0"/>
      <w:divBdr>
        <w:top w:val="none" w:sz="0" w:space="0" w:color="auto"/>
        <w:left w:val="none" w:sz="0" w:space="0" w:color="auto"/>
        <w:bottom w:val="none" w:sz="0" w:space="0" w:color="auto"/>
        <w:right w:val="none" w:sz="0" w:space="0" w:color="auto"/>
      </w:divBdr>
    </w:div>
    <w:div w:id="1850755240">
      <w:bodyDiv w:val="1"/>
      <w:marLeft w:val="0"/>
      <w:marRight w:val="0"/>
      <w:marTop w:val="0"/>
      <w:marBottom w:val="0"/>
      <w:divBdr>
        <w:top w:val="none" w:sz="0" w:space="0" w:color="auto"/>
        <w:left w:val="none" w:sz="0" w:space="0" w:color="auto"/>
        <w:bottom w:val="none" w:sz="0" w:space="0" w:color="auto"/>
        <w:right w:val="none" w:sz="0" w:space="0" w:color="auto"/>
      </w:divBdr>
    </w:div>
    <w:div w:id="1897279283">
      <w:bodyDiv w:val="1"/>
      <w:marLeft w:val="0"/>
      <w:marRight w:val="0"/>
      <w:marTop w:val="0"/>
      <w:marBottom w:val="0"/>
      <w:divBdr>
        <w:top w:val="none" w:sz="0" w:space="0" w:color="auto"/>
        <w:left w:val="none" w:sz="0" w:space="0" w:color="auto"/>
        <w:bottom w:val="none" w:sz="0" w:space="0" w:color="auto"/>
        <w:right w:val="none" w:sz="0" w:space="0" w:color="auto"/>
      </w:divBdr>
    </w:div>
    <w:div w:id="1956401685">
      <w:bodyDiv w:val="1"/>
      <w:marLeft w:val="0"/>
      <w:marRight w:val="0"/>
      <w:marTop w:val="0"/>
      <w:marBottom w:val="0"/>
      <w:divBdr>
        <w:top w:val="none" w:sz="0" w:space="0" w:color="auto"/>
        <w:left w:val="none" w:sz="0" w:space="0" w:color="auto"/>
        <w:bottom w:val="none" w:sz="0" w:space="0" w:color="auto"/>
        <w:right w:val="none" w:sz="0" w:space="0" w:color="auto"/>
      </w:divBdr>
    </w:div>
    <w:div w:id="1993218630">
      <w:bodyDiv w:val="1"/>
      <w:marLeft w:val="0"/>
      <w:marRight w:val="0"/>
      <w:marTop w:val="0"/>
      <w:marBottom w:val="0"/>
      <w:divBdr>
        <w:top w:val="none" w:sz="0" w:space="0" w:color="auto"/>
        <w:left w:val="none" w:sz="0" w:space="0" w:color="auto"/>
        <w:bottom w:val="none" w:sz="0" w:space="0" w:color="auto"/>
        <w:right w:val="none" w:sz="0" w:space="0" w:color="auto"/>
      </w:divBdr>
    </w:div>
    <w:div w:id="211898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9F562-4E4F-434A-936D-AB8D0069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8078</Words>
  <Characters>46049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Grizli777</Company>
  <LinksUpToDate>false</LinksUpToDate>
  <CharactersWithSpaces>54019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creator>Franman</dc:creator>
  <cp:lastModifiedBy>Birgit VonFintel</cp:lastModifiedBy>
  <cp:revision>2</cp:revision>
  <cp:lastPrinted>2022-09-14T07:26:00Z</cp:lastPrinted>
  <dcterms:created xsi:type="dcterms:W3CDTF">2022-09-16T08:56:00Z</dcterms:created>
  <dcterms:modified xsi:type="dcterms:W3CDTF">2022-09-16T08:56:00Z</dcterms:modified>
</cp:coreProperties>
</file>