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84FD4" w14:textId="06744A66" w:rsidR="00182054" w:rsidRPr="00C70C28" w:rsidRDefault="00182054" w:rsidP="00594408">
      <w:pPr>
        <w:jc w:val="center"/>
      </w:pPr>
      <w:bookmarkStart w:id="0" w:name="_GoBack"/>
      <w:bookmarkEnd w:id="0"/>
      <w:r w:rsidRPr="00C70C28">
        <w:rPr>
          <w:noProof/>
          <w:lang w:val="en-GB" w:eastAsia="en-GB"/>
        </w:rPr>
        <w:drawing>
          <wp:inline distT="0" distB="0" distL="0" distR="0" wp14:anchorId="74FB4005" wp14:editId="65D3EF02">
            <wp:extent cx="993775"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inline>
        </w:drawing>
      </w:r>
    </w:p>
    <w:p w14:paraId="36CD9B44" w14:textId="77777777" w:rsidR="00093030" w:rsidRPr="00C70C28" w:rsidRDefault="00093030" w:rsidP="0091589E">
      <w:pPr>
        <w:spacing w:line="360" w:lineRule="auto"/>
        <w:rPr>
          <w:b/>
          <w:bCs/>
        </w:rPr>
      </w:pPr>
    </w:p>
    <w:p w14:paraId="08CA4D55" w14:textId="632BE1FD" w:rsidR="00093030" w:rsidRPr="00C70C28" w:rsidRDefault="0091589E" w:rsidP="00093030">
      <w:pPr>
        <w:spacing w:line="360" w:lineRule="auto"/>
        <w:jc w:val="center"/>
        <w:rPr>
          <w:b/>
          <w:bCs/>
        </w:rPr>
      </w:pPr>
      <w:r w:rsidRPr="00C70C28">
        <w:rPr>
          <w:b/>
          <w:bCs/>
        </w:rPr>
        <w:t xml:space="preserve">IN THE HIGH COURT </w:t>
      </w:r>
      <w:r w:rsidR="00093030" w:rsidRPr="00C70C28">
        <w:rPr>
          <w:b/>
          <w:bCs/>
        </w:rPr>
        <w:t>OF SOUTH AFRICA</w:t>
      </w:r>
    </w:p>
    <w:p w14:paraId="5405703F" w14:textId="554C651E" w:rsidR="00093030" w:rsidRDefault="0091589E" w:rsidP="00FE0E2D">
      <w:pPr>
        <w:spacing w:line="360" w:lineRule="auto"/>
        <w:jc w:val="center"/>
        <w:rPr>
          <w:b/>
          <w:bCs/>
        </w:rPr>
      </w:pPr>
      <w:r w:rsidRPr="00C70C28">
        <w:rPr>
          <w:b/>
          <w:bCs/>
        </w:rPr>
        <w:t>KWAZULU-NATAL DIVISION, PIETERMARITZBURG</w:t>
      </w:r>
    </w:p>
    <w:p w14:paraId="4E50FCC0" w14:textId="77777777" w:rsidR="001C260A" w:rsidRDefault="001C260A" w:rsidP="001C260A">
      <w:pPr>
        <w:spacing w:line="360" w:lineRule="auto"/>
        <w:rPr>
          <w:b/>
          <w:bCs/>
        </w:rPr>
      </w:pPr>
    </w:p>
    <w:p w14:paraId="33685476" w14:textId="1DD1631F" w:rsidR="001C260A" w:rsidRPr="00C70C28" w:rsidRDefault="001C260A" w:rsidP="001C260A">
      <w:pPr>
        <w:spacing w:line="360" w:lineRule="auto"/>
        <w:jc w:val="right"/>
      </w:pPr>
      <w:r w:rsidRPr="00C70C28">
        <w:t xml:space="preserve">Case no: </w:t>
      </w:r>
      <w:r w:rsidR="000B1C3D">
        <w:t>4426/2021P</w:t>
      </w:r>
    </w:p>
    <w:p w14:paraId="447D0058" w14:textId="77777777" w:rsidR="001C260A" w:rsidRPr="00C70C28" w:rsidRDefault="001C260A" w:rsidP="001C260A">
      <w:pPr>
        <w:spacing w:line="360" w:lineRule="auto"/>
      </w:pPr>
    </w:p>
    <w:p w14:paraId="0A8302C5" w14:textId="77777777" w:rsidR="001C260A" w:rsidRPr="00C70C28" w:rsidRDefault="001C260A" w:rsidP="001C260A">
      <w:pPr>
        <w:spacing w:line="360" w:lineRule="auto"/>
      </w:pPr>
      <w:r w:rsidRPr="00C70C28">
        <w:t>In the matter between:</w:t>
      </w:r>
    </w:p>
    <w:p w14:paraId="5F0DE807" w14:textId="77777777" w:rsidR="001C260A" w:rsidRPr="00C70C28" w:rsidRDefault="001C260A" w:rsidP="001C260A">
      <w:pPr>
        <w:spacing w:line="360" w:lineRule="auto"/>
      </w:pPr>
    </w:p>
    <w:p w14:paraId="338B31AE" w14:textId="18F21EAE" w:rsidR="001C260A" w:rsidRPr="00C70C28" w:rsidRDefault="008B4889" w:rsidP="00A34DA1">
      <w:pPr>
        <w:tabs>
          <w:tab w:val="right" w:pos="8789"/>
        </w:tabs>
        <w:spacing w:line="360" w:lineRule="auto"/>
        <w:rPr>
          <w:b/>
        </w:rPr>
      </w:pPr>
      <w:r>
        <w:rPr>
          <w:b/>
          <w:bCs/>
        </w:rPr>
        <w:t>BUSINESS PARTNERS LIMITED</w:t>
      </w:r>
      <w:r w:rsidR="00A34DA1">
        <w:rPr>
          <w:b/>
          <w:bCs/>
        </w:rPr>
        <w:tab/>
      </w:r>
      <w:r w:rsidR="001C260A">
        <w:rPr>
          <w:b/>
          <w:bCs/>
        </w:rPr>
        <w:t>APPLICANT</w:t>
      </w:r>
      <w:r w:rsidR="001C260A" w:rsidRPr="00C70C28">
        <w:rPr>
          <w:b/>
        </w:rPr>
        <w:t xml:space="preserve"> </w:t>
      </w:r>
    </w:p>
    <w:p w14:paraId="57FDC96E" w14:textId="77777777" w:rsidR="001C260A" w:rsidRDefault="001C260A" w:rsidP="00A34DA1">
      <w:pPr>
        <w:tabs>
          <w:tab w:val="right" w:pos="8789"/>
        </w:tabs>
        <w:spacing w:line="360" w:lineRule="auto"/>
      </w:pPr>
    </w:p>
    <w:p w14:paraId="3E256212" w14:textId="77777777" w:rsidR="001C260A" w:rsidRPr="00C70C28" w:rsidRDefault="001C260A" w:rsidP="00A34DA1">
      <w:pPr>
        <w:tabs>
          <w:tab w:val="right" w:pos="8789"/>
        </w:tabs>
        <w:spacing w:line="360" w:lineRule="auto"/>
      </w:pPr>
      <w:proofErr w:type="gramStart"/>
      <w:r w:rsidRPr="00C70C28">
        <w:t>and</w:t>
      </w:r>
      <w:proofErr w:type="gramEnd"/>
    </w:p>
    <w:p w14:paraId="3B300F9A" w14:textId="77777777" w:rsidR="001C260A" w:rsidRPr="00C70C28" w:rsidRDefault="001C260A" w:rsidP="00A34DA1">
      <w:pPr>
        <w:tabs>
          <w:tab w:val="right" w:pos="8789"/>
        </w:tabs>
        <w:spacing w:line="360" w:lineRule="auto"/>
        <w:rPr>
          <w:b/>
          <w:bCs/>
        </w:rPr>
      </w:pPr>
    </w:p>
    <w:p w14:paraId="79DAE16F" w14:textId="1EB8C3CD" w:rsidR="001C260A" w:rsidRDefault="008B4889" w:rsidP="00A34DA1">
      <w:pPr>
        <w:tabs>
          <w:tab w:val="right" w:pos="8789"/>
        </w:tabs>
        <w:spacing w:line="360" w:lineRule="auto"/>
        <w:rPr>
          <w:b/>
          <w:bCs/>
        </w:rPr>
      </w:pPr>
      <w:r>
        <w:rPr>
          <w:b/>
          <w:bCs/>
        </w:rPr>
        <w:t>FAIR DEAL SELECT</w:t>
      </w:r>
      <w:r w:rsidR="001C260A">
        <w:rPr>
          <w:b/>
          <w:bCs/>
        </w:rPr>
        <w:t xml:space="preserve"> </w:t>
      </w:r>
      <w:r>
        <w:rPr>
          <w:b/>
          <w:bCs/>
        </w:rPr>
        <w:t xml:space="preserve">CC </w:t>
      </w:r>
      <w:r w:rsidR="00A34DA1">
        <w:rPr>
          <w:b/>
          <w:bCs/>
        </w:rPr>
        <w:tab/>
      </w:r>
      <w:r w:rsidR="001C260A">
        <w:rPr>
          <w:b/>
          <w:bCs/>
        </w:rPr>
        <w:t xml:space="preserve">RESPONDENT </w:t>
      </w:r>
    </w:p>
    <w:p w14:paraId="5F6D85DA" w14:textId="31B5025A" w:rsidR="001C260A" w:rsidRPr="00C70C28" w:rsidRDefault="001C260A" w:rsidP="001C260A">
      <w:pPr>
        <w:spacing w:line="360" w:lineRule="auto"/>
        <w:rPr>
          <w:b/>
          <w:bCs/>
        </w:rPr>
      </w:pPr>
      <w:r>
        <w:rPr>
          <w:b/>
          <w:bCs/>
        </w:rPr>
        <w:tab/>
      </w:r>
      <w:r>
        <w:rPr>
          <w:b/>
          <w:bCs/>
        </w:rPr>
        <w:tab/>
      </w:r>
      <w:r>
        <w:rPr>
          <w:b/>
          <w:bCs/>
        </w:rPr>
        <w:tab/>
      </w:r>
      <w:r>
        <w:rPr>
          <w:b/>
          <w:bCs/>
        </w:rPr>
        <w:tab/>
        <w:t xml:space="preserve"> </w:t>
      </w:r>
    </w:p>
    <w:p w14:paraId="2749A9A7" w14:textId="592032D0" w:rsidR="00510A3B" w:rsidRPr="00C70C28" w:rsidRDefault="008B4889" w:rsidP="008B4889">
      <w:pPr>
        <w:spacing w:line="360" w:lineRule="auto"/>
        <w:ind w:left="1418" w:hanging="1418"/>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_____________________________________________________________________</w:t>
      </w:r>
    </w:p>
    <w:p w14:paraId="21DBB94D" w14:textId="65802116" w:rsidR="003E7496" w:rsidRPr="00510A3B" w:rsidRDefault="003E7496" w:rsidP="003E7496">
      <w:pPr>
        <w:spacing w:line="360" w:lineRule="auto"/>
        <w:ind w:left="1418" w:hanging="1418"/>
        <w:rPr>
          <w:b/>
          <w:bCs/>
        </w:rPr>
      </w:pPr>
      <w:r w:rsidRPr="00510A3B">
        <w:rPr>
          <w:b/>
          <w:bCs/>
        </w:rPr>
        <w:t>Coram:</w:t>
      </w:r>
      <w:r w:rsidRPr="00510A3B">
        <w:rPr>
          <w:b/>
          <w:bCs/>
        </w:rPr>
        <w:tab/>
      </w:r>
      <w:r w:rsidR="0091589E" w:rsidRPr="00510A3B">
        <w:rPr>
          <w:b/>
          <w:bCs/>
        </w:rPr>
        <w:t>K</w:t>
      </w:r>
      <w:r w:rsidR="009C1F79" w:rsidRPr="00510A3B">
        <w:rPr>
          <w:b/>
          <w:bCs/>
        </w:rPr>
        <w:t>oen</w:t>
      </w:r>
      <w:r w:rsidR="0091589E" w:rsidRPr="00510A3B">
        <w:rPr>
          <w:b/>
          <w:bCs/>
        </w:rPr>
        <w:t xml:space="preserve"> J</w:t>
      </w:r>
    </w:p>
    <w:p w14:paraId="11407E29" w14:textId="2B56FCB8" w:rsidR="002363F2" w:rsidRPr="00510A3B" w:rsidRDefault="00510A3B" w:rsidP="002363F2">
      <w:pPr>
        <w:spacing w:line="360" w:lineRule="auto"/>
        <w:rPr>
          <w:b/>
        </w:rPr>
      </w:pPr>
      <w:r w:rsidRPr="00510A3B">
        <w:rPr>
          <w:b/>
        </w:rPr>
        <w:t>Heard:</w:t>
      </w:r>
      <w:r w:rsidR="00A902FD">
        <w:rPr>
          <w:b/>
        </w:rPr>
        <w:tab/>
      </w:r>
      <w:r w:rsidR="008B4889">
        <w:rPr>
          <w:b/>
        </w:rPr>
        <w:t>7 September 2022</w:t>
      </w:r>
    </w:p>
    <w:p w14:paraId="7366D95D" w14:textId="4C1FB017" w:rsidR="002363F2" w:rsidRPr="00510A3B" w:rsidRDefault="002363F2" w:rsidP="002363F2">
      <w:pPr>
        <w:spacing w:line="360" w:lineRule="auto"/>
        <w:rPr>
          <w:b/>
          <w:bCs/>
        </w:rPr>
      </w:pPr>
      <w:r w:rsidRPr="00510A3B">
        <w:rPr>
          <w:b/>
          <w:bCs/>
        </w:rPr>
        <w:t>Delivered</w:t>
      </w:r>
      <w:r w:rsidRPr="00510A3B">
        <w:rPr>
          <w:b/>
        </w:rPr>
        <w:t>:</w:t>
      </w:r>
      <w:r w:rsidR="005E6712">
        <w:rPr>
          <w:b/>
        </w:rPr>
        <w:tab/>
        <w:t>4 October 2022</w:t>
      </w:r>
    </w:p>
    <w:p w14:paraId="29234C7F" w14:textId="77777777" w:rsidR="001D6016" w:rsidRPr="00C70C28" w:rsidRDefault="001D6016" w:rsidP="001D6016">
      <w:pPr>
        <w:spacing w:line="360" w:lineRule="auto"/>
        <w:rPr>
          <w:b/>
          <w:bCs/>
          <w:sz w:val="22"/>
        </w:rPr>
      </w:pPr>
    </w:p>
    <w:p w14:paraId="4A3A700A" w14:textId="77777777" w:rsidR="001D6016" w:rsidRPr="00C70C28" w:rsidRDefault="001D6016" w:rsidP="001D6016">
      <w:pPr>
        <w:spacing w:line="360" w:lineRule="auto"/>
        <w:rPr>
          <w:b/>
          <w:sz w:val="22"/>
        </w:rPr>
      </w:pPr>
      <w:r w:rsidRPr="00C70C28">
        <w:rPr>
          <w:b/>
          <w:noProof/>
          <w:sz w:val="20"/>
          <w:lang w:val="en-GB" w:eastAsia="en-GB"/>
        </w:rPr>
        <mc:AlternateContent>
          <mc:Choice Requires="wps">
            <w:drawing>
              <wp:anchor distT="0" distB="0" distL="114300" distR="114300" simplePos="0" relativeHeight="251664384" behindDoc="0" locked="0" layoutInCell="1" allowOverlap="1" wp14:anchorId="1287CB5E" wp14:editId="7E917E5B">
                <wp:simplePos x="0" y="0"/>
                <wp:positionH relativeFrom="margin">
                  <wp:align>right</wp:align>
                </wp:positionH>
                <wp:positionV relativeFrom="paragraph">
                  <wp:posOffset>13336</wp:posOffset>
                </wp:positionV>
                <wp:extent cx="5915025" cy="0"/>
                <wp:effectExtent l="0" t="0" r="2857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4DEFAF" id="Line 5"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7mBQ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LEK3uYFAgAAEgQAAA4AAAAAAAAA&#10;AAAAAAAALgIAAGRycy9lMm9Eb2MueG1sUEsBAi0AFAAGAAgAAAAhAANZJGXZAAAABAEAAA8AAAAA&#10;AAAAAAAAAAAAXwQAAGRycy9kb3ducmV2LnhtbFBLBQYAAAAABAAEAPMAAABlBQAAAAA=&#10;">
                <o:lock v:ext="edit" shapetype="f"/>
                <w10:wrap anchorx="margin"/>
              </v:line>
            </w:pict>
          </mc:Fallback>
        </mc:AlternateContent>
      </w:r>
      <w:r w:rsidRPr="00C70C28">
        <w:rPr>
          <w:b/>
          <w:noProof/>
          <w:sz w:val="20"/>
          <w:lang w:val="en-GB" w:eastAsia="en-GB"/>
        </w:rPr>
        <mc:AlternateContent>
          <mc:Choice Requires="wps">
            <w:drawing>
              <wp:anchor distT="0" distB="0" distL="114300" distR="114300" simplePos="0" relativeHeight="251663360" behindDoc="0" locked="0" layoutInCell="1" allowOverlap="1" wp14:anchorId="2EA96584" wp14:editId="33A8478E">
                <wp:simplePos x="0" y="0"/>
                <wp:positionH relativeFrom="column">
                  <wp:posOffset>0</wp:posOffset>
                </wp:positionH>
                <wp:positionV relativeFrom="paragraph">
                  <wp:posOffset>114300</wp:posOffset>
                </wp:positionV>
                <wp:extent cx="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61890C"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gf/wEAAAw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CTGEgf/wEAAAwEAAAOAAAAAAAAAAAAAAAAAC4C&#10;AABkcnMvZTJvRG9jLnhtbFBLAQItABQABgAIAAAAIQBUInSH1wAAAAMBAAAPAAAAAAAAAAAAAAAA&#10;AFkEAABkcnMvZG93bnJldi54bWxQSwUGAAAAAAQABADzAAAAXQUAAAAA&#10;">
                <o:lock v:ext="edit" shapetype="f"/>
              </v:line>
            </w:pict>
          </mc:Fallback>
        </mc:AlternateContent>
      </w:r>
    </w:p>
    <w:p w14:paraId="3EE9098C" w14:textId="77777777" w:rsidR="001D6016" w:rsidRPr="00C70C28" w:rsidRDefault="001D6016" w:rsidP="001D6016">
      <w:pPr>
        <w:pStyle w:val="Heading3"/>
        <w:jc w:val="center"/>
        <w:rPr>
          <w:b/>
          <w:i w:val="0"/>
          <w:sz w:val="24"/>
        </w:rPr>
      </w:pPr>
      <w:r w:rsidRPr="00C70C28">
        <w:rPr>
          <w:b/>
          <w:i w:val="0"/>
          <w:sz w:val="24"/>
        </w:rPr>
        <w:t>ORDER</w:t>
      </w:r>
    </w:p>
    <w:p w14:paraId="0D201881" w14:textId="77777777" w:rsidR="001D6016" w:rsidRPr="00C70C28" w:rsidRDefault="001D6016" w:rsidP="001D6016">
      <w:pPr>
        <w:spacing w:line="360" w:lineRule="auto"/>
        <w:rPr>
          <w:b/>
          <w:bCs/>
          <w:sz w:val="22"/>
        </w:rPr>
      </w:pPr>
    </w:p>
    <w:p w14:paraId="2358BBC5" w14:textId="77777777" w:rsidR="001D6016" w:rsidRPr="00C70C28" w:rsidRDefault="001D6016" w:rsidP="001D6016">
      <w:pPr>
        <w:spacing w:line="360" w:lineRule="auto"/>
        <w:rPr>
          <w:b/>
          <w:sz w:val="22"/>
        </w:rPr>
      </w:pPr>
      <w:r w:rsidRPr="00C70C28">
        <w:rPr>
          <w:b/>
          <w:noProof/>
          <w:sz w:val="20"/>
          <w:lang w:val="en-GB" w:eastAsia="en-GB"/>
        </w:rPr>
        <mc:AlternateContent>
          <mc:Choice Requires="wps">
            <w:drawing>
              <wp:anchor distT="0" distB="0" distL="114300" distR="114300" simplePos="0" relativeHeight="251666432" behindDoc="0" locked="0" layoutInCell="1" allowOverlap="1" wp14:anchorId="59CDDAD1" wp14:editId="495061A9">
                <wp:simplePos x="0" y="0"/>
                <wp:positionH relativeFrom="margin">
                  <wp:align>right</wp:align>
                </wp:positionH>
                <wp:positionV relativeFrom="paragraph">
                  <wp:posOffset>13336</wp:posOffset>
                </wp:positionV>
                <wp:extent cx="5915025" cy="0"/>
                <wp:effectExtent l="0" t="0" r="2857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45F784" id="Line 5"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6x0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OPOsdAQCAAASBAAADgAAAAAAAAAA&#10;AAAAAAAuAgAAZHJzL2Uyb0RvYy54bWxQSwECLQAUAAYACAAAACEAA1kkZdkAAAAEAQAADwAAAAAA&#10;AAAAAAAAAABeBAAAZHJzL2Rvd25yZXYueG1sUEsFBgAAAAAEAAQA8wAAAGQFAAAAAA==&#10;">
                <o:lock v:ext="edit" shapetype="f"/>
                <w10:wrap anchorx="margin"/>
              </v:line>
            </w:pict>
          </mc:Fallback>
        </mc:AlternateContent>
      </w:r>
      <w:r w:rsidRPr="00C70C28">
        <w:rPr>
          <w:b/>
          <w:noProof/>
          <w:sz w:val="20"/>
          <w:lang w:val="en-GB" w:eastAsia="en-GB"/>
        </w:rPr>
        <mc:AlternateContent>
          <mc:Choice Requires="wps">
            <w:drawing>
              <wp:anchor distT="0" distB="0" distL="114300" distR="114300" simplePos="0" relativeHeight="251665408" behindDoc="0" locked="0" layoutInCell="1" allowOverlap="1" wp14:anchorId="2BBF7327" wp14:editId="6AB16214">
                <wp:simplePos x="0" y="0"/>
                <wp:positionH relativeFrom="column">
                  <wp:posOffset>0</wp:posOffset>
                </wp:positionH>
                <wp:positionV relativeFrom="paragraph">
                  <wp:posOffset>114300</wp:posOffset>
                </wp:positionV>
                <wp:extent cx="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85AB80"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91/wE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gTK91/wEAAA0EAAAOAAAAAAAAAAAAAAAAAC4C&#10;AABkcnMvZTJvRG9jLnhtbFBLAQItABQABgAIAAAAIQBUInSH1wAAAAMBAAAPAAAAAAAAAAAAAAAA&#10;AFkEAABkcnMvZG93bnJldi54bWxQSwUGAAAAAAQABADzAAAAXQUAAAAA&#10;">
                <o:lock v:ext="edit" shapetype="f"/>
              </v:line>
            </w:pict>
          </mc:Fallback>
        </mc:AlternateContent>
      </w:r>
    </w:p>
    <w:p w14:paraId="04A6EB6F" w14:textId="7239493D" w:rsidR="00332728" w:rsidRDefault="00332728" w:rsidP="00332728">
      <w:pPr>
        <w:pStyle w:val="ListParagraph"/>
        <w:numPr>
          <w:ilvl w:val="0"/>
          <w:numId w:val="42"/>
        </w:numPr>
        <w:spacing w:line="360" w:lineRule="auto"/>
        <w:ind w:left="0" w:firstLine="0"/>
        <w:jc w:val="both"/>
      </w:pPr>
      <w:r>
        <w:t>A rule nisi is issued calling upon all persons interested to show cause before this Honourable Court on 25 November 2022 at 9h30 or as soon thereafter as the matter may be heard, why the respondent should not be finally wound-up</w:t>
      </w:r>
      <w:r w:rsidR="00CC2E3E">
        <w:t>,</w:t>
      </w:r>
      <w:r>
        <w:t xml:space="preserve"> and why the costs of this application, and the applicant’s costs in relation to the application to compel compliance with a subpoena issued by the respondent, should not be costs in the liquidation;</w:t>
      </w:r>
    </w:p>
    <w:p w14:paraId="12A2B135" w14:textId="77777777" w:rsidR="00332728" w:rsidRDefault="00332728" w:rsidP="00332728">
      <w:pPr>
        <w:pStyle w:val="ListParagraph"/>
        <w:numPr>
          <w:ilvl w:val="0"/>
          <w:numId w:val="42"/>
        </w:numPr>
        <w:spacing w:line="360" w:lineRule="auto"/>
        <w:ind w:left="0" w:firstLine="0"/>
        <w:jc w:val="both"/>
      </w:pPr>
      <w:r>
        <w:lastRenderedPageBreak/>
        <w:t>This order operates with immediate effect as a provisional order for the winding-up of the respondent;</w:t>
      </w:r>
    </w:p>
    <w:p w14:paraId="0674F45B" w14:textId="77777777" w:rsidR="00332728" w:rsidRDefault="00332728" w:rsidP="00332728">
      <w:pPr>
        <w:pStyle w:val="ListParagraph"/>
        <w:numPr>
          <w:ilvl w:val="0"/>
          <w:numId w:val="42"/>
        </w:numPr>
        <w:spacing w:line="360" w:lineRule="auto"/>
        <w:ind w:left="0" w:firstLine="0"/>
        <w:jc w:val="both"/>
      </w:pPr>
      <w:r>
        <w:t>Service of this order is to be effected by:</w:t>
      </w:r>
    </w:p>
    <w:p w14:paraId="4FCF0014" w14:textId="77777777" w:rsidR="00332728" w:rsidRDefault="00332728" w:rsidP="00332728">
      <w:pPr>
        <w:pStyle w:val="ListParagraph"/>
        <w:numPr>
          <w:ilvl w:val="1"/>
          <w:numId w:val="42"/>
        </w:numPr>
        <w:spacing w:line="360" w:lineRule="auto"/>
        <w:ind w:left="0" w:firstLine="0"/>
        <w:jc w:val="both"/>
      </w:pPr>
      <w:r>
        <w:t xml:space="preserve">Publication forthwith in both the </w:t>
      </w:r>
      <w:r w:rsidRPr="0062259E">
        <w:rPr>
          <w:i/>
        </w:rPr>
        <w:t>Government Gazette</w:t>
      </w:r>
      <w:r>
        <w:t xml:space="preserve"> and the </w:t>
      </w:r>
      <w:r w:rsidRPr="0062259E">
        <w:rPr>
          <w:i/>
        </w:rPr>
        <w:t>Mercury</w:t>
      </w:r>
      <w:r>
        <w:t xml:space="preserve"> newspaper;</w:t>
      </w:r>
    </w:p>
    <w:p w14:paraId="5342E1DF" w14:textId="77777777" w:rsidR="00332728" w:rsidRDefault="00332728" w:rsidP="00332728">
      <w:pPr>
        <w:pStyle w:val="ListParagraph"/>
        <w:numPr>
          <w:ilvl w:val="1"/>
          <w:numId w:val="42"/>
        </w:numPr>
        <w:spacing w:line="360" w:lineRule="auto"/>
        <w:ind w:left="0" w:firstLine="0"/>
        <w:jc w:val="both"/>
      </w:pPr>
      <w:r>
        <w:t>Service on the South African Revenue Service;</w:t>
      </w:r>
    </w:p>
    <w:p w14:paraId="47E00359" w14:textId="77777777" w:rsidR="00332728" w:rsidRDefault="00332728" w:rsidP="00332728">
      <w:pPr>
        <w:pStyle w:val="ListParagraph"/>
        <w:numPr>
          <w:ilvl w:val="1"/>
          <w:numId w:val="42"/>
        </w:numPr>
        <w:spacing w:line="360" w:lineRule="auto"/>
        <w:ind w:left="0" w:firstLine="0"/>
        <w:jc w:val="both"/>
      </w:pPr>
      <w:r>
        <w:t xml:space="preserve">Service on the registered address of the respondent at 303 </w:t>
      </w:r>
      <w:proofErr w:type="spellStart"/>
      <w:r>
        <w:t>Crimby</w:t>
      </w:r>
      <w:proofErr w:type="spellEnd"/>
      <w:r>
        <w:t xml:space="preserve"> Avenue, </w:t>
      </w:r>
      <w:proofErr w:type="spellStart"/>
      <w:r>
        <w:t>Westcliff</w:t>
      </w:r>
      <w:proofErr w:type="spellEnd"/>
      <w:r>
        <w:t>, Chatsworth;</w:t>
      </w:r>
    </w:p>
    <w:p w14:paraId="77ED5747" w14:textId="77777777" w:rsidR="00332728" w:rsidRDefault="00332728" w:rsidP="00332728">
      <w:pPr>
        <w:pStyle w:val="ListParagraph"/>
        <w:numPr>
          <w:ilvl w:val="1"/>
          <w:numId w:val="42"/>
        </w:numPr>
        <w:spacing w:line="360" w:lineRule="auto"/>
        <w:ind w:left="0" w:firstLine="0"/>
        <w:jc w:val="both"/>
      </w:pPr>
      <w:r>
        <w:t>Service on the employees of the respondent, if any; and</w:t>
      </w:r>
    </w:p>
    <w:p w14:paraId="673A38D9" w14:textId="77777777" w:rsidR="00332728" w:rsidRDefault="00332728" w:rsidP="00332728">
      <w:pPr>
        <w:pStyle w:val="ListParagraph"/>
        <w:numPr>
          <w:ilvl w:val="1"/>
          <w:numId w:val="42"/>
        </w:numPr>
        <w:spacing w:line="360" w:lineRule="auto"/>
        <w:ind w:left="0" w:firstLine="0"/>
        <w:jc w:val="both"/>
      </w:pPr>
      <w:r>
        <w:t>Service on any registered trade union that represents any of the employees of the respondent, if any.</w:t>
      </w:r>
    </w:p>
    <w:p w14:paraId="09A590DB" w14:textId="6C950910" w:rsidR="001D6016" w:rsidRPr="0047444A" w:rsidRDefault="001D6016" w:rsidP="001D6016">
      <w:pPr>
        <w:spacing w:line="360" w:lineRule="auto"/>
        <w:rPr>
          <w:b/>
          <w:bCs/>
          <w:szCs w:val="24"/>
        </w:rPr>
      </w:pPr>
    </w:p>
    <w:p w14:paraId="2FB2D8EF" w14:textId="77777777" w:rsidR="001D6016" w:rsidRPr="00C70C28" w:rsidRDefault="001D6016" w:rsidP="001D6016">
      <w:pPr>
        <w:spacing w:line="360" w:lineRule="auto"/>
        <w:rPr>
          <w:b/>
          <w:sz w:val="22"/>
        </w:rPr>
      </w:pPr>
      <w:r w:rsidRPr="00C70C28">
        <w:rPr>
          <w:b/>
          <w:noProof/>
          <w:sz w:val="20"/>
          <w:lang w:val="en-GB" w:eastAsia="en-GB"/>
        </w:rPr>
        <mc:AlternateContent>
          <mc:Choice Requires="wps">
            <w:drawing>
              <wp:anchor distT="0" distB="0" distL="114300" distR="114300" simplePos="0" relativeHeight="251660288" behindDoc="0" locked="0" layoutInCell="1" allowOverlap="1" wp14:anchorId="320C7AF9" wp14:editId="23D676E7">
                <wp:simplePos x="0" y="0"/>
                <wp:positionH relativeFrom="margin">
                  <wp:align>right</wp:align>
                </wp:positionH>
                <wp:positionV relativeFrom="paragraph">
                  <wp:posOffset>13336</wp:posOffset>
                </wp:positionV>
                <wp:extent cx="5915025" cy="0"/>
                <wp:effectExtent l="0" t="0" r="2857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9C3CD3" id="Line 5"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d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BYQI3QQCAAASBAAADgAAAAAAAAAA&#10;AAAAAAAuAgAAZHJzL2Uyb0RvYy54bWxQSwECLQAUAAYACAAAACEAA1kkZdkAAAAEAQAADwAAAAAA&#10;AAAAAAAAAABeBAAAZHJzL2Rvd25yZXYueG1sUEsFBgAAAAAEAAQA8wAAAGQFAAAAAA==&#10;">
                <o:lock v:ext="edit" shapetype="f"/>
                <w10:wrap anchorx="margin"/>
              </v:line>
            </w:pict>
          </mc:Fallback>
        </mc:AlternateContent>
      </w:r>
      <w:r w:rsidRPr="00C70C28">
        <w:rPr>
          <w:b/>
          <w:noProof/>
          <w:sz w:val="20"/>
          <w:lang w:val="en-GB" w:eastAsia="en-GB"/>
        </w:rPr>
        <mc:AlternateContent>
          <mc:Choice Requires="wps">
            <w:drawing>
              <wp:anchor distT="0" distB="0" distL="114300" distR="114300" simplePos="0" relativeHeight="251659264" behindDoc="0" locked="0" layoutInCell="1" allowOverlap="1" wp14:anchorId="759C4A97" wp14:editId="07E6786C">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FBFD06"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14:paraId="7B390537" w14:textId="77777777" w:rsidR="001D6016" w:rsidRPr="00C70C28" w:rsidRDefault="001D6016" w:rsidP="001D6016">
      <w:pPr>
        <w:pStyle w:val="Heading1"/>
        <w:jc w:val="center"/>
        <w:rPr>
          <w:sz w:val="24"/>
        </w:rPr>
      </w:pPr>
      <w:r w:rsidRPr="00C70C28">
        <w:rPr>
          <w:sz w:val="24"/>
        </w:rPr>
        <w:t>JUDGMENT</w:t>
      </w:r>
    </w:p>
    <w:p w14:paraId="5589F841" w14:textId="77777777" w:rsidR="001D6016" w:rsidRPr="00C70C28" w:rsidRDefault="001D6016" w:rsidP="001D6016">
      <w:pPr>
        <w:spacing w:line="360" w:lineRule="auto"/>
        <w:rPr>
          <w:b/>
          <w:bCs/>
          <w:sz w:val="22"/>
        </w:rPr>
      </w:pPr>
    </w:p>
    <w:p w14:paraId="2905B765" w14:textId="77777777" w:rsidR="001D6016" w:rsidRPr="003A3CED" w:rsidRDefault="001D6016" w:rsidP="003A3CED">
      <w:pPr>
        <w:spacing w:line="360" w:lineRule="auto"/>
        <w:rPr>
          <w:b/>
          <w:sz w:val="22"/>
        </w:rPr>
      </w:pPr>
      <w:r w:rsidRPr="00C70C28">
        <w:rPr>
          <w:b/>
          <w:noProof/>
          <w:sz w:val="20"/>
          <w:lang w:val="en-GB" w:eastAsia="en-GB"/>
        </w:rPr>
        <mc:AlternateContent>
          <mc:Choice Requires="wps">
            <w:drawing>
              <wp:anchor distT="0" distB="0" distL="114300" distR="114300" simplePos="0" relativeHeight="251662336" behindDoc="0" locked="0" layoutInCell="1" allowOverlap="1" wp14:anchorId="2FA67A90" wp14:editId="20B8AA0D">
                <wp:simplePos x="0" y="0"/>
                <wp:positionH relativeFrom="margin">
                  <wp:align>right</wp:align>
                </wp:positionH>
                <wp:positionV relativeFrom="paragraph">
                  <wp:posOffset>13336</wp:posOffset>
                </wp:positionV>
                <wp:extent cx="5915025" cy="0"/>
                <wp:effectExtent l="0" t="0" r="2857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5BCD70" id="Line 5"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FDuAQMFAgAAEgQAAA4AAAAAAAAA&#10;AAAAAAAALgIAAGRycy9lMm9Eb2MueG1sUEsBAi0AFAAGAAgAAAAhAANZJGXZAAAABAEAAA8AAAAA&#10;AAAAAAAAAAAAXwQAAGRycy9kb3ducmV2LnhtbFBLBQYAAAAABAAEAPMAAABlBQAAAAA=&#10;">
                <o:lock v:ext="edit" shapetype="f"/>
                <w10:wrap anchorx="margin"/>
              </v:line>
            </w:pict>
          </mc:Fallback>
        </mc:AlternateContent>
      </w:r>
      <w:r w:rsidRPr="00C70C28">
        <w:rPr>
          <w:b/>
          <w:noProof/>
          <w:sz w:val="20"/>
          <w:lang w:val="en-GB" w:eastAsia="en-GB"/>
        </w:rPr>
        <mc:AlternateContent>
          <mc:Choice Requires="wps">
            <w:drawing>
              <wp:anchor distT="0" distB="0" distL="114300" distR="114300" simplePos="0" relativeHeight="251661312" behindDoc="0" locked="0" layoutInCell="1" allowOverlap="1" wp14:anchorId="67606FFD" wp14:editId="79B530BF">
                <wp:simplePos x="0" y="0"/>
                <wp:positionH relativeFrom="column">
                  <wp:posOffset>0</wp:posOffset>
                </wp:positionH>
                <wp:positionV relativeFrom="paragraph">
                  <wp:posOffset>114300</wp:posOffset>
                </wp:positionV>
                <wp:extent cx="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C2304A"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E/AAI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">
                <o:lock v:ext="edit" shapetype="f"/>
              </v:line>
            </w:pict>
          </mc:Fallback>
        </mc:AlternateContent>
      </w:r>
    </w:p>
    <w:p w14:paraId="1D07576C" w14:textId="40265898" w:rsidR="00510A3B" w:rsidRPr="003A3CED" w:rsidRDefault="001D6016" w:rsidP="003A3CED">
      <w:pPr>
        <w:spacing w:line="360" w:lineRule="auto"/>
        <w:rPr>
          <w:b/>
          <w:bCs/>
        </w:rPr>
      </w:pPr>
      <w:r w:rsidRPr="003A3CED">
        <w:rPr>
          <w:b/>
        </w:rPr>
        <w:t>Koen J</w:t>
      </w:r>
    </w:p>
    <w:p w14:paraId="3DB18B46" w14:textId="77777777" w:rsidR="00510A3B" w:rsidRPr="003A3CED" w:rsidRDefault="00510A3B" w:rsidP="003A3CED">
      <w:pPr>
        <w:spacing w:line="360" w:lineRule="auto"/>
        <w:rPr>
          <w:b/>
        </w:rPr>
      </w:pPr>
    </w:p>
    <w:p w14:paraId="095FD79E" w14:textId="4CD95317" w:rsidR="00641DD9" w:rsidRPr="00617546" w:rsidRDefault="001F3C2D" w:rsidP="00DC780D">
      <w:pPr>
        <w:numPr>
          <w:ilvl w:val="0"/>
          <w:numId w:val="1"/>
        </w:numPr>
        <w:spacing w:line="360" w:lineRule="auto"/>
        <w:jc w:val="both"/>
      </w:pPr>
      <w:r>
        <w:t>T</w:t>
      </w:r>
      <w:r w:rsidR="008B4889">
        <w:t xml:space="preserve">he applicant, Business Partners Limited, </w:t>
      </w:r>
      <w:r>
        <w:t xml:space="preserve">in its capacity as </w:t>
      </w:r>
      <w:r w:rsidR="00DC780D">
        <w:t xml:space="preserve">a </w:t>
      </w:r>
      <w:r>
        <w:t>creditor</w:t>
      </w:r>
      <w:r w:rsidR="00DC780D">
        <w:t xml:space="preserve"> </w:t>
      </w:r>
      <w:r w:rsidR="008B4889">
        <w:t>of the respondent, Fair Deal Select CC</w:t>
      </w:r>
      <w:r w:rsidR="00DC780D">
        <w:t>, seeks an order for the provisional winding</w:t>
      </w:r>
      <w:r w:rsidR="00D128AD">
        <w:t>-</w:t>
      </w:r>
      <w:r w:rsidR="00DC780D">
        <w:t>up of the respondent</w:t>
      </w:r>
      <w:r w:rsidR="008B4889">
        <w:t>.</w:t>
      </w:r>
      <w:r w:rsidR="006776A6">
        <w:rPr>
          <w:rStyle w:val="FootnoteReference"/>
        </w:rPr>
        <w:footnoteReference w:id="1"/>
      </w:r>
      <w:r w:rsidR="008B4889">
        <w:t xml:space="preserve"> It is not in dispute that a written demand for R2 645 498.75 was addressed</w:t>
      </w:r>
      <w:r w:rsidR="00DC780D">
        <w:t xml:space="preserve"> on behalf of the applicant</w:t>
      </w:r>
      <w:r w:rsidR="008B4889">
        <w:t xml:space="preserve"> to the respondent on </w:t>
      </w:r>
      <w:r w:rsidR="00641DD9">
        <w:t>11 March 2021</w:t>
      </w:r>
      <w:r w:rsidR="00DC780D">
        <w:t>,</w:t>
      </w:r>
      <w:r>
        <w:t xml:space="preserve"> </w:t>
      </w:r>
      <w:r w:rsidR="008B4889">
        <w:t xml:space="preserve">and that </w:t>
      </w:r>
      <w:r w:rsidR="00DC780D">
        <w:t>the amount demanded</w:t>
      </w:r>
      <w:r w:rsidR="008B4889">
        <w:t xml:space="preserve"> remained unsatisfied thereafter for a period of 21 days</w:t>
      </w:r>
      <w:r>
        <w:t xml:space="preserve">. </w:t>
      </w:r>
      <w:r w:rsidR="00DC780D">
        <w:t>In the ordinary course</w:t>
      </w:r>
      <w:r w:rsidR="00D128AD">
        <w:t>,</w:t>
      </w:r>
      <w:r w:rsidR="00DC780D">
        <w:t xml:space="preserve"> that would mean that </w:t>
      </w:r>
      <w:r w:rsidR="008B4889">
        <w:t xml:space="preserve">the respondent is </w:t>
      </w:r>
      <w:r w:rsidR="00641DD9">
        <w:t xml:space="preserve">deemed to be </w:t>
      </w:r>
      <w:r w:rsidR="00DC780D">
        <w:t>unable to pay its debts,</w:t>
      </w:r>
      <w:r w:rsidR="00641DD9">
        <w:rPr>
          <w:rStyle w:val="FootnoteReference"/>
        </w:rPr>
        <w:footnoteReference w:id="2"/>
      </w:r>
      <w:r w:rsidR="008B4889">
        <w:t xml:space="preserve"> </w:t>
      </w:r>
      <w:r w:rsidR="00DC780D">
        <w:t xml:space="preserve">and as the </w:t>
      </w:r>
      <w:r w:rsidR="008B4889">
        <w:t xml:space="preserve">other requirements for </w:t>
      </w:r>
      <w:r w:rsidR="00DC780D">
        <w:t xml:space="preserve">the </w:t>
      </w:r>
      <w:r w:rsidR="008B4889">
        <w:t>provisional liquidation of the respondent have been satisfied</w:t>
      </w:r>
      <w:r w:rsidR="00DC780D">
        <w:t>, a provisional winding</w:t>
      </w:r>
      <w:r w:rsidR="00D128AD">
        <w:t>-</w:t>
      </w:r>
      <w:r w:rsidR="00DC780D">
        <w:t>up order may follow</w:t>
      </w:r>
      <w:r w:rsidR="008B4889">
        <w:t xml:space="preserve">. </w:t>
      </w:r>
      <w:r w:rsidR="00DC780D">
        <w:t>The respondent how</w:t>
      </w:r>
      <w:r w:rsidR="00004FB5">
        <w:t>ever disputes the amount of its alleged indebtedness</w:t>
      </w:r>
      <w:r w:rsidR="00DC780D">
        <w:t xml:space="preserve">. </w:t>
      </w:r>
      <w:r w:rsidR="008B4889">
        <w:t>The issue</w:t>
      </w:r>
      <w:r w:rsidR="00DC780D">
        <w:t xml:space="preserve"> arising </w:t>
      </w:r>
      <w:r w:rsidR="00004FB5">
        <w:t xml:space="preserve">is </w:t>
      </w:r>
      <w:r w:rsidR="00DC780D">
        <w:t xml:space="preserve">whether </w:t>
      </w:r>
      <w:r w:rsidR="008B4889">
        <w:t xml:space="preserve">the </w:t>
      </w:r>
      <w:r>
        <w:t xml:space="preserve">debt is disputed </w:t>
      </w:r>
      <w:r w:rsidR="00DC780D">
        <w:t>by the respondent</w:t>
      </w:r>
      <w:r w:rsidR="00641DD9" w:rsidRPr="00DC780D">
        <w:rPr>
          <w:szCs w:val="24"/>
        </w:rPr>
        <w:t xml:space="preserve"> on reasonable and bona fide grounds.</w:t>
      </w:r>
      <w:r w:rsidR="00641DD9" w:rsidRPr="00641DD9">
        <w:rPr>
          <w:rStyle w:val="FootnoteReference"/>
          <w:szCs w:val="24"/>
        </w:rPr>
        <w:footnoteReference w:id="3"/>
      </w:r>
      <w:r w:rsidR="00641DD9" w:rsidRPr="00DC780D">
        <w:rPr>
          <w:szCs w:val="24"/>
        </w:rPr>
        <w:t xml:space="preserve">  </w:t>
      </w:r>
      <w:r w:rsidR="00004FB5">
        <w:rPr>
          <w:szCs w:val="24"/>
        </w:rPr>
        <w:t xml:space="preserve">At the stage of an application for a </w:t>
      </w:r>
      <w:r w:rsidR="00004FB5">
        <w:rPr>
          <w:szCs w:val="24"/>
        </w:rPr>
        <w:lastRenderedPageBreak/>
        <w:t xml:space="preserve">provisional order of liquidation, the </w:t>
      </w:r>
      <w:r w:rsidR="00641DD9" w:rsidRPr="00DC780D">
        <w:rPr>
          <w:szCs w:val="24"/>
          <w:lang w:val="en-US"/>
        </w:rPr>
        <w:t xml:space="preserve">applicant must show that the debt </w:t>
      </w:r>
      <w:r w:rsidR="00641DD9" w:rsidRPr="00DC780D">
        <w:rPr>
          <w:i/>
          <w:szCs w:val="24"/>
          <w:lang w:val="en-US"/>
        </w:rPr>
        <w:t>prima facie</w:t>
      </w:r>
      <w:r w:rsidR="00641DD9" w:rsidRPr="00DC780D">
        <w:rPr>
          <w:szCs w:val="24"/>
          <w:lang w:val="en-US"/>
        </w:rPr>
        <w:t xml:space="preserve"> exists</w:t>
      </w:r>
      <w:r w:rsidR="00004FB5">
        <w:rPr>
          <w:szCs w:val="24"/>
          <w:lang w:val="en-US"/>
        </w:rPr>
        <w:t>,</w:t>
      </w:r>
      <w:r w:rsidR="00641DD9" w:rsidRPr="00DC780D">
        <w:rPr>
          <w:szCs w:val="24"/>
          <w:lang w:val="en-US"/>
        </w:rPr>
        <w:t xml:space="preserve"> and it is for the respondent to show that it is </w:t>
      </w:r>
      <w:r w:rsidR="00641DD9" w:rsidRPr="00B64DB5">
        <w:rPr>
          <w:szCs w:val="24"/>
          <w:lang w:val="en-US"/>
        </w:rPr>
        <w:t>bona fide</w:t>
      </w:r>
      <w:r w:rsidR="00641DD9" w:rsidRPr="00DC780D">
        <w:rPr>
          <w:szCs w:val="24"/>
          <w:lang w:val="en-US"/>
        </w:rPr>
        <w:t xml:space="preserve"> disputed on reasonable grounds.</w:t>
      </w:r>
      <w:r w:rsidR="00617546">
        <w:rPr>
          <w:rStyle w:val="FootnoteReference"/>
          <w:szCs w:val="24"/>
          <w:lang w:val="en-US"/>
        </w:rPr>
        <w:footnoteReference w:id="4"/>
      </w:r>
    </w:p>
    <w:p w14:paraId="50394A9A" w14:textId="77777777" w:rsidR="00617546" w:rsidRPr="00641DD9" w:rsidRDefault="00617546" w:rsidP="00617546">
      <w:pPr>
        <w:spacing w:line="360" w:lineRule="auto"/>
        <w:jc w:val="both"/>
      </w:pPr>
    </w:p>
    <w:p w14:paraId="6FB2E7F5" w14:textId="6E449897" w:rsidR="00617546" w:rsidRDefault="008B4889" w:rsidP="007701AA">
      <w:pPr>
        <w:numPr>
          <w:ilvl w:val="0"/>
          <w:numId w:val="1"/>
        </w:numPr>
        <w:spacing w:line="360" w:lineRule="auto"/>
        <w:jc w:val="both"/>
      </w:pPr>
      <w:r>
        <w:t xml:space="preserve">The respondent is a </w:t>
      </w:r>
      <w:r w:rsidR="003643BA">
        <w:t xml:space="preserve">property </w:t>
      </w:r>
      <w:r>
        <w:t>developer</w:t>
      </w:r>
      <w:r w:rsidR="00617546">
        <w:t xml:space="preserve">. Its sole </w:t>
      </w:r>
      <w:r w:rsidR="001346E8">
        <w:t xml:space="preserve">member is Mr </w:t>
      </w:r>
      <w:proofErr w:type="spellStart"/>
      <w:r w:rsidR="001346E8">
        <w:t>Ramakhrishnan</w:t>
      </w:r>
      <w:proofErr w:type="spellEnd"/>
      <w:r w:rsidR="001346E8">
        <w:t xml:space="preserve"> Pillay, who </w:t>
      </w:r>
      <w:r w:rsidR="00617546">
        <w:t xml:space="preserve">is also referred to as </w:t>
      </w:r>
      <w:r w:rsidR="001346E8">
        <w:t>Collin Pillay</w:t>
      </w:r>
      <w:r w:rsidR="00004FB5">
        <w:t xml:space="preserve"> (Mr Pillay)</w:t>
      </w:r>
      <w:r>
        <w:t xml:space="preserve">. </w:t>
      </w:r>
      <w:r w:rsidR="001346E8">
        <w:t xml:space="preserve">The respondent </w:t>
      </w:r>
      <w:r>
        <w:t xml:space="preserve">and the applicant have a long business association going back, on what is alleged in the papers, to </w:t>
      </w:r>
      <w:r w:rsidR="00617546">
        <w:t xml:space="preserve">before </w:t>
      </w:r>
      <w:r>
        <w:t xml:space="preserve">2009. </w:t>
      </w:r>
      <w:r w:rsidR="007701AA">
        <w:t>During that association</w:t>
      </w:r>
      <w:r w:rsidR="00E85080">
        <w:t>,</w:t>
      </w:r>
      <w:r w:rsidR="007701AA">
        <w:t xml:space="preserve"> the respondent has </w:t>
      </w:r>
      <w:r>
        <w:t xml:space="preserve">operated </w:t>
      </w:r>
      <w:r w:rsidR="00617546">
        <w:t xml:space="preserve">a number of </w:t>
      </w:r>
      <w:r>
        <w:t>accounts</w:t>
      </w:r>
      <w:r w:rsidR="007701AA">
        <w:t xml:space="preserve"> with the applicant. They include </w:t>
      </w:r>
      <w:r w:rsidR="00617546">
        <w:t xml:space="preserve">mainly </w:t>
      </w:r>
      <w:r>
        <w:t>account</w:t>
      </w:r>
      <w:r w:rsidR="007701AA">
        <w:t xml:space="preserve"> </w:t>
      </w:r>
      <w:r w:rsidR="00617546">
        <w:t>numbers</w:t>
      </w:r>
      <w:r>
        <w:t xml:space="preserve"> 403575, 403576 and 407410, although there is also an account </w:t>
      </w:r>
      <w:r w:rsidR="003643BA">
        <w:t xml:space="preserve">with number </w:t>
      </w:r>
      <w:r w:rsidR="00617546">
        <w:t xml:space="preserve">703414 in respect of </w:t>
      </w:r>
      <w:r w:rsidR="00E85080">
        <w:t xml:space="preserve">the payment of </w:t>
      </w:r>
      <w:r w:rsidR="00617546">
        <w:t>a royalty.</w:t>
      </w:r>
      <w:r w:rsidR="007701AA">
        <w:t xml:space="preserve"> It is common cause that a</w:t>
      </w:r>
      <w:r w:rsidR="003643BA">
        <w:t>ccount 403575 has long been settled</w:t>
      </w:r>
      <w:r w:rsidR="00004FB5">
        <w:t xml:space="preserve"> and is irrelevant to the issues before this court</w:t>
      </w:r>
      <w:r w:rsidR="007701AA">
        <w:t xml:space="preserve">. It will accordingly not feature further in this judgment. </w:t>
      </w:r>
      <w:r w:rsidR="003643BA">
        <w:t xml:space="preserve"> </w:t>
      </w:r>
    </w:p>
    <w:p w14:paraId="7AC16612" w14:textId="77777777" w:rsidR="00617546" w:rsidRDefault="00617546" w:rsidP="00617546">
      <w:pPr>
        <w:pStyle w:val="ListParagraph"/>
      </w:pPr>
    </w:p>
    <w:p w14:paraId="7216B833" w14:textId="11C1B213" w:rsidR="003643BA" w:rsidRDefault="003643BA" w:rsidP="003A3CED">
      <w:pPr>
        <w:numPr>
          <w:ilvl w:val="0"/>
          <w:numId w:val="1"/>
        </w:numPr>
        <w:spacing w:line="360" w:lineRule="auto"/>
        <w:jc w:val="both"/>
      </w:pPr>
      <w:r>
        <w:t xml:space="preserve">Account </w:t>
      </w:r>
      <w:r w:rsidR="00617546">
        <w:t>4</w:t>
      </w:r>
      <w:r>
        <w:t xml:space="preserve">03576 was opened in respect of a loan agreement concluded on 8 December 2009. </w:t>
      </w:r>
      <w:r w:rsidR="007701AA">
        <w:t>Clause 3 of that loan agreement provided:</w:t>
      </w:r>
    </w:p>
    <w:p w14:paraId="5459501C" w14:textId="77777777" w:rsidR="003643BA" w:rsidRPr="0031415F" w:rsidRDefault="003643BA" w:rsidP="003643BA">
      <w:pPr>
        <w:spacing w:line="360" w:lineRule="auto"/>
        <w:jc w:val="both"/>
        <w:rPr>
          <w:sz w:val="22"/>
          <w:szCs w:val="22"/>
        </w:rPr>
      </w:pPr>
      <w:r w:rsidRPr="0031415F">
        <w:rPr>
          <w:sz w:val="22"/>
          <w:szCs w:val="22"/>
        </w:rPr>
        <w:t>‘3. PURPOSE FOR WHICH THE LOAN IS GRANTED</w:t>
      </w:r>
    </w:p>
    <w:p w14:paraId="642C78A3" w14:textId="01631A5E" w:rsidR="003643BA" w:rsidRPr="0031415F" w:rsidRDefault="003643BA" w:rsidP="003643BA">
      <w:pPr>
        <w:spacing w:line="360" w:lineRule="auto"/>
        <w:jc w:val="both"/>
        <w:rPr>
          <w:sz w:val="22"/>
          <w:szCs w:val="22"/>
        </w:rPr>
      </w:pPr>
      <w:r w:rsidRPr="0031415F">
        <w:rPr>
          <w:sz w:val="22"/>
          <w:szCs w:val="22"/>
        </w:rPr>
        <w:t>The loan is granted for purposes of financing:</w:t>
      </w:r>
    </w:p>
    <w:p w14:paraId="3C288853" w14:textId="0BFE41CE" w:rsidR="003643BA" w:rsidRPr="0031415F" w:rsidRDefault="003643BA" w:rsidP="003643BA">
      <w:pPr>
        <w:spacing w:line="360" w:lineRule="auto"/>
        <w:jc w:val="both"/>
        <w:rPr>
          <w:sz w:val="22"/>
          <w:szCs w:val="22"/>
        </w:rPr>
      </w:pPr>
      <w:r w:rsidRPr="0031415F">
        <w:rPr>
          <w:sz w:val="22"/>
          <w:szCs w:val="22"/>
        </w:rPr>
        <w:t xml:space="preserve">3.1 </w:t>
      </w:r>
      <w:r w:rsidRPr="0031415F">
        <w:rPr>
          <w:sz w:val="22"/>
          <w:szCs w:val="22"/>
        </w:rPr>
        <w:tab/>
        <w:t>The business known as:</w:t>
      </w:r>
      <w:r w:rsidRPr="0031415F">
        <w:rPr>
          <w:sz w:val="22"/>
          <w:szCs w:val="22"/>
        </w:rPr>
        <w:tab/>
        <w:t>Select Construction</w:t>
      </w:r>
    </w:p>
    <w:p w14:paraId="5C48AC3E" w14:textId="10090F51" w:rsidR="003643BA" w:rsidRPr="0031415F" w:rsidRDefault="003643BA" w:rsidP="003643BA">
      <w:pPr>
        <w:spacing w:line="360" w:lineRule="auto"/>
        <w:jc w:val="both"/>
        <w:rPr>
          <w:sz w:val="22"/>
          <w:szCs w:val="22"/>
        </w:rPr>
      </w:pPr>
      <w:r w:rsidRPr="0031415F">
        <w:rPr>
          <w:sz w:val="22"/>
          <w:szCs w:val="22"/>
        </w:rPr>
        <w:t>3.2</w:t>
      </w:r>
      <w:r w:rsidRPr="0031415F">
        <w:rPr>
          <w:sz w:val="22"/>
          <w:szCs w:val="22"/>
        </w:rPr>
        <w:tab/>
        <w:t>Situate at:</w:t>
      </w:r>
      <w:r w:rsidRPr="0031415F">
        <w:rPr>
          <w:sz w:val="22"/>
          <w:szCs w:val="22"/>
        </w:rPr>
        <w:tab/>
      </w:r>
      <w:r w:rsidRPr="0031415F">
        <w:rPr>
          <w:sz w:val="22"/>
          <w:szCs w:val="22"/>
        </w:rPr>
        <w:tab/>
      </w:r>
      <w:r w:rsidRPr="0031415F">
        <w:rPr>
          <w:sz w:val="22"/>
          <w:szCs w:val="22"/>
        </w:rPr>
        <w:tab/>
        <w:t>303 Crimpy Avenue</w:t>
      </w:r>
    </w:p>
    <w:p w14:paraId="342F2772" w14:textId="3458C50A" w:rsidR="003643BA" w:rsidRPr="0031415F" w:rsidRDefault="003643BA" w:rsidP="003643BA">
      <w:pPr>
        <w:spacing w:line="360" w:lineRule="auto"/>
        <w:jc w:val="both"/>
        <w:rPr>
          <w:sz w:val="22"/>
          <w:szCs w:val="22"/>
        </w:rPr>
      </w:pPr>
      <w:r w:rsidRPr="0031415F">
        <w:rPr>
          <w:sz w:val="22"/>
          <w:szCs w:val="22"/>
        </w:rPr>
        <w:tab/>
      </w:r>
      <w:r w:rsidRPr="0031415F">
        <w:rPr>
          <w:sz w:val="22"/>
          <w:szCs w:val="22"/>
        </w:rPr>
        <w:tab/>
      </w:r>
      <w:r w:rsidRPr="0031415F">
        <w:rPr>
          <w:sz w:val="22"/>
          <w:szCs w:val="22"/>
        </w:rPr>
        <w:tab/>
      </w:r>
      <w:r w:rsidRPr="0031415F">
        <w:rPr>
          <w:sz w:val="22"/>
          <w:szCs w:val="22"/>
        </w:rPr>
        <w:tab/>
      </w:r>
      <w:r w:rsidRPr="0031415F">
        <w:rPr>
          <w:sz w:val="22"/>
          <w:szCs w:val="22"/>
        </w:rPr>
        <w:tab/>
      </w:r>
      <w:proofErr w:type="spellStart"/>
      <w:r w:rsidRPr="0031415F">
        <w:rPr>
          <w:sz w:val="22"/>
          <w:szCs w:val="22"/>
        </w:rPr>
        <w:t>Westcliff</w:t>
      </w:r>
      <w:proofErr w:type="spellEnd"/>
    </w:p>
    <w:p w14:paraId="5FFAD20A" w14:textId="425DB0D2" w:rsidR="003643BA" w:rsidRPr="0031415F" w:rsidRDefault="003643BA" w:rsidP="003643BA">
      <w:pPr>
        <w:spacing w:line="360" w:lineRule="auto"/>
        <w:jc w:val="both"/>
        <w:rPr>
          <w:sz w:val="22"/>
          <w:szCs w:val="22"/>
        </w:rPr>
      </w:pPr>
      <w:r w:rsidRPr="0031415F">
        <w:rPr>
          <w:sz w:val="22"/>
          <w:szCs w:val="22"/>
        </w:rPr>
        <w:tab/>
      </w:r>
      <w:r w:rsidRPr="0031415F">
        <w:rPr>
          <w:sz w:val="22"/>
          <w:szCs w:val="22"/>
        </w:rPr>
        <w:tab/>
      </w:r>
      <w:r w:rsidRPr="0031415F">
        <w:rPr>
          <w:sz w:val="22"/>
          <w:szCs w:val="22"/>
        </w:rPr>
        <w:tab/>
      </w:r>
      <w:r w:rsidRPr="0031415F">
        <w:rPr>
          <w:sz w:val="22"/>
          <w:szCs w:val="22"/>
        </w:rPr>
        <w:tab/>
      </w:r>
      <w:r w:rsidRPr="0031415F">
        <w:rPr>
          <w:sz w:val="22"/>
          <w:szCs w:val="22"/>
        </w:rPr>
        <w:tab/>
        <w:t>Chatsworth</w:t>
      </w:r>
    </w:p>
    <w:p w14:paraId="1F553DA2" w14:textId="04B60459" w:rsidR="003643BA" w:rsidRPr="0031415F" w:rsidRDefault="003643BA" w:rsidP="003643BA">
      <w:pPr>
        <w:spacing w:line="360" w:lineRule="auto"/>
        <w:ind w:left="2880" w:firstLine="720"/>
        <w:jc w:val="both"/>
        <w:rPr>
          <w:sz w:val="22"/>
          <w:szCs w:val="22"/>
        </w:rPr>
      </w:pPr>
      <w:r w:rsidRPr="0031415F">
        <w:rPr>
          <w:sz w:val="22"/>
          <w:szCs w:val="22"/>
        </w:rPr>
        <w:t>4092</w:t>
      </w:r>
    </w:p>
    <w:p w14:paraId="242A456C" w14:textId="48556A81" w:rsidR="003643BA" w:rsidRPr="00731258" w:rsidRDefault="003643BA" w:rsidP="003643BA">
      <w:pPr>
        <w:spacing w:line="360" w:lineRule="auto"/>
        <w:jc w:val="both"/>
        <w:rPr>
          <w:sz w:val="22"/>
          <w:szCs w:val="22"/>
        </w:rPr>
      </w:pPr>
      <w:r w:rsidRPr="00731258">
        <w:rPr>
          <w:sz w:val="22"/>
          <w:szCs w:val="22"/>
        </w:rPr>
        <w:t>3.3</w:t>
      </w:r>
      <w:r w:rsidRPr="00731258">
        <w:rPr>
          <w:sz w:val="22"/>
          <w:szCs w:val="22"/>
        </w:rPr>
        <w:tab/>
        <w:t>Nature of business:</w:t>
      </w:r>
      <w:r w:rsidRPr="00731258">
        <w:rPr>
          <w:sz w:val="22"/>
          <w:szCs w:val="22"/>
        </w:rPr>
        <w:tab/>
      </w:r>
      <w:r w:rsidRPr="00731258">
        <w:rPr>
          <w:sz w:val="22"/>
          <w:szCs w:val="22"/>
        </w:rPr>
        <w:tab/>
        <w:t xml:space="preserve">Property </w:t>
      </w:r>
      <w:r w:rsidR="00D128AD">
        <w:rPr>
          <w:sz w:val="22"/>
          <w:szCs w:val="22"/>
        </w:rPr>
        <w:t>Development</w:t>
      </w:r>
      <w:r w:rsidRPr="00731258">
        <w:rPr>
          <w:sz w:val="22"/>
          <w:szCs w:val="22"/>
        </w:rPr>
        <w:t>.’</w:t>
      </w:r>
    </w:p>
    <w:p w14:paraId="191CF310" w14:textId="77777777" w:rsidR="003643BA" w:rsidRDefault="003643BA" w:rsidP="003643BA">
      <w:pPr>
        <w:pStyle w:val="ListParagraph"/>
      </w:pPr>
    </w:p>
    <w:p w14:paraId="29C2CE3D" w14:textId="6C88F791" w:rsidR="00DC24B7" w:rsidRDefault="00DC24B7" w:rsidP="003A3CED">
      <w:pPr>
        <w:numPr>
          <w:ilvl w:val="0"/>
          <w:numId w:val="1"/>
        </w:numPr>
        <w:spacing w:line="360" w:lineRule="auto"/>
        <w:jc w:val="both"/>
      </w:pPr>
      <w:r>
        <w:t xml:space="preserve">The loan was granted subject to various securities </w:t>
      </w:r>
      <w:r w:rsidR="007701AA">
        <w:t xml:space="preserve">being </w:t>
      </w:r>
      <w:r>
        <w:t>put in place</w:t>
      </w:r>
      <w:r w:rsidR="007701AA">
        <w:t xml:space="preserve">. Mr Pillay provided </w:t>
      </w:r>
      <w:r>
        <w:t xml:space="preserve">a suretyship </w:t>
      </w:r>
      <w:r w:rsidR="007701AA">
        <w:t xml:space="preserve">in respect of the debts of the respondent. </w:t>
      </w:r>
      <w:r>
        <w:t xml:space="preserve">A covering bond was registered by </w:t>
      </w:r>
      <w:r w:rsidR="007701AA">
        <w:t xml:space="preserve">Mr Pillay </w:t>
      </w:r>
      <w:r>
        <w:t xml:space="preserve">and his wife to </w:t>
      </w:r>
      <w:r w:rsidR="007701AA">
        <w:t xml:space="preserve">secure all their indebtedness howsoever arising. That would include the suretyship obligations of Mr Pillay. </w:t>
      </w:r>
      <w:r>
        <w:t>In addition, on 18 January 2016</w:t>
      </w:r>
      <w:r w:rsidR="009C49C2">
        <w:t>,</w:t>
      </w:r>
      <w:r>
        <w:t xml:space="preserve"> the respondent caused a covering mortgage bond no B526/2016 to be registered over the property described as Erf 1029 </w:t>
      </w:r>
      <w:proofErr w:type="spellStart"/>
      <w:r>
        <w:t>Queensburgh</w:t>
      </w:r>
      <w:proofErr w:type="spellEnd"/>
      <w:r>
        <w:t>, in respect of ‘any cause, including but not restricted to moneys lent and advanced and/</w:t>
      </w:r>
      <w:r w:rsidR="00617546">
        <w:t>or to be lent and advanced</w:t>
      </w:r>
      <w:r w:rsidR="00D128AD">
        <w:t>. . .</w:t>
      </w:r>
      <w:r w:rsidR="0009047A">
        <w:t>’</w:t>
      </w:r>
      <w:r w:rsidR="00617546">
        <w:t>. The</w:t>
      </w:r>
      <w:r>
        <w:t xml:space="preserve"> </w:t>
      </w:r>
      <w:r>
        <w:lastRenderedPageBreak/>
        <w:t xml:space="preserve">property </w:t>
      </w:r>
      <w:r w:rsidR="00617546">
        <w:t xml:space="preserve">mortgaged </w:t>
      </w:r>
      <w:r>
        <w:t>i</w:t>
      </w:r>
      <w:r w:rsidR="007701AA">
        <w:t>n terms of this bond i</w:t>
      </w:r>
      <w:r>
        <w:t>s situated at 90 Coronation Road, Malvern.</w:t>
      </w:r>
      <w:r w:rsidR="00777A91">
        <w:t xml:space="preserve"> During the latter half of 2017</w:t>
      </w:r>
      <w:r w:rsidR="0009047A">
        <w:t>,</w:t>
      </w:r>
      <w:r w:rsidR="00777A91">
        <w:t xml:space="preserve"> the respondent was developing a sectional title scheme comprising six units on the property. The scheme is known as Coronation, or also as </w:t>
      </w:r>
      <w:proofErr w:type="spellStart"/>
      <w:r w:rsidR="00777A91">
        <w:t>Millereece</w:t>
      </w:r>
      <w:proofErr w:type="spellEnd"/>
      <w:r w:rsidR="00777A91">
        <w:t>.</w:t>
      </w:r>
    </w:p>
    <w:p w14:paraId="06A56B3B" w14:textId="316ED353" w:rsidR="003643BA" w:rsidRDefault="00DC24B7" w:rsidP="00DC24B7">
      <w:pPr>
        <w:spacing w:line="360" w:lineRule="auto"/>
        <w:jc w:val="both"/>
      </w:pPr>
      <w:r>
        <w:t xml:space="preserve">  </w:t>
      </w:r>
    </w:p>
    <w:p w14:paraId="5574A6F7" w14:textId="648C36D9" w:rsidR="009B437D" w:rsidRDefault="00DC24B7" w:rsidP="003A3CED">
      <w:pPr>
        <w:numPr>
          <w:ilvl w:val="0"/>
          <w:numId w:val="1"/>
        </w:numPr>
        <w:spacing w:line="360" w:lineRule="auto"/>
        <w:jc w:val="both"/>
      </w:pPr>
      <w:r>
        <w:t>On 19 October 2017</w:t>
      </w:r>
      <w:r w:rsidR="00D128AD">
        <w:t>,</w:t>
      </w:r>
      <w:r>
        <w:t xml:space="preserve"> the parties concluded a further loan agreement. It is very similar in its terms to the loan agreement referred to </w:t>
      </w:r>
      <w:r w:rsidR="007701AA">
        <w:t xml:space="preserve">in paragraph </w:t>
      </w:r>
      <w:r w:rsidR="008D0312">
        <w:t xml:space="preserve">3 </w:t>
      </w:r>
      <w:r>
        <w:t>above. The purpose of the loan is stated in similar terms</w:t>
      </w:r>
      <w:r w:rsidR="00617546">
        <w:t xml:space="preserve"> to that of the previous loan</w:t>
      </w:r>
      <w:r>
        <w:t xml:space="preserve">, the only difference being that the ‘Nature of </w:t>
      </w:r>
      <w:proofErr w:type="gramStart"/>
      <w:r>
        <w:t>business’</w:t>
      </w:r>
      <w:proofErr w:type="gramEnd"/>
      <w:r>
        <w:t xml:space="preserve"> is stated as ‘Residential Development’, and not ‘Property Development.’ </w:t>
      </w:r>
      <w:r w:rsidR="00617546">
        <w:t xml:space="preserve">Nothing seems to turn on that difference. </w:t>
      </w:r>
      <w:r>
        <w:t xml:space="preserve">The composition of the loan, and </w:t>
      </w:r>
      <w:r w:rsidR="00AB31EA">
        <w:t xml:space="preserve">the purposes for which </w:t>
      </w:r>
      <w:r>
        <w:t>it would be paid out</w:t>
      </w:r>
      <w:r w:rsidR="00AB31EA">
        <w:t xml:space="preserve">, are </w:t>
      </w:r>
      <w:r w:rsidR="00617546">
        <w:t xml:space="preserve">specifically </w:t>
      </w:r>
      <w:r>
        <w:t>stated to be</w:t>
      </w:r>
      <w:r w:rsidR="00CA63D9">
        <w:t xml:space="preserve"> ‘Other R232</w:t>
      </w:r>
      <w:r w:rsidR="0009047A">
        <w:t> </w:t>
      </w:r>
      <w:r w:rsidR="00CA63D9">
        <w:t>109,00’, ‘Raising fee R51 300</w:t>
      </w:r>
      <w:r w:rsidR="00D128AD">
        <w:t>,00</w:t>
      </w:r>
      <w:r w:rsidR="00CA63D9">
        <w:t>’, ‘Other R20 000</w:t>
      </w:r>
      <w:r w:rsidR="00D128AD">
        <w:t>,00</w:t>
      </w:r>
      <w:r w:rsidR="00CA63D9">
        <w:t>’ (</w:t>
      </w:r>
      <w:r w:rsidR="00617546">
        <w:t xml:space="preserve">later explained to be </w:t>
      </w:r>
      <w:r w:rsidR="00CA63D9">
        <w:t>for ‘The Quantity Surveyor or Representative’</w:t>
      </w:r>
      <w:r w:rsidR="00617546">
        <w:t>)</w:t>
      </w:r>
      <w:r w:rsidR="00CA63D9">
        <w:t xml:space="preserve">, </w:t>
      </w:r>
      <w:r w:rsidR="00732CF2">
        <w:t xml:space="preserve">another </w:t>
      </w:r>
      <w:r w:rsidR="00CA63D9">
        <w:t>‘Other  R2 728 915,00’ and ‘Land and Buildings R1 467 6</w:t>
      </w:r>
      <w:r w:rsidR="00617546">
        <w:t>76,00’</w:t>
      </w:r>
      <w:r w:rsidR="00CA63D9">
        <w:t xml:space="preserve">. </w:t>
      </w:r>
      <w:r w:rsidR="00732CF2">
        <w:t>Account number 407410 was opened in respect of this loan.</w:t>
      </w:r>
    </w:p>
    <w:p w14:paraId="77264FB2" w14:textId="77777777" w:rsidR="009B437D" w:rsidRDefault="009B437D" w:rsidP="009B437D">
      <w:pPr>
        <w:pStyle w:val="ListParagraph"/>
      </w:pPr>
    </w:p>
    <w:p w14:paraId="53222D03" w14:textId="3C47BBF5" w:rsidR="003643BA" w:rsidRDefault="00CA63D9" w:rsidP="003A3CED">
      <w:pPr>
        <w:numPr>
          <w:ilvl w:val="0"/>
          <w:numId w:val="1"/>
        </w:numPr>
        <w:spacing w:line="360" w:lineRule="auto"/>
        <w:jc w:val="both"/>
      </w:pPr>
      <w:r>
        <w:t>The ‘Other R2 728 915</w:t>
      </w:r>
      <w:proofErr w:type="gramStart"/>
      <w:r>
        <w:t>,00</w:t>
      </w:r>
      <w:proofErr w:type="gramEnd"/>
      <w:r w:rsidR="00732CF2">
        <w:t>,</w:t>
      </w:r>
      <w:r>
        <w:t xml:space="preserve">’ being the major part of the loan, is significant. It is reflected </w:t>
      </w:r>
      <w:r w:rsidR="00AB31EA">
        <w:t xml:space="preserve">as </w:t>
      </w:r>
      <w:r>
        <w:t>payable to the applicant</w:t>
      </w:r>
      <w:r w:rsidR="00732CF2">
        <w:t xml:space="preserve">. The </w:t>
      </w:r>
      <w:r>
        <w:t xml:space="preserve">‘Conditions for Payment’ </w:t>
      </w:r>
      <w:r w:rsidR="00AB31EA">
        <w:t>applicable thereto state that it is:</w:t>
      </w:r>
    </w:p>
    <w:p w14:paraId="082ABF16" w14:textId="7DC56C27" w:rsidR="00CA63D9" w:rsidRDefault="00CA63D9" w:rsidP="00CA63D9">
      <w:pPr>
        <w:spacing w:line="360" w:lineRule="auto"/>
        <w:jc w:val="both"/>
        <w:rPr>
          <w:sz w:val="22"/>
          <w:szCs w:val="22"/>
        </w:rPr>
      </w:pPr>
      <w:r w:rsidRPr="00CA63D9">
        <w:rPr>
          <w:sz w:val="22"/>
          <w:szCs w:val="22"/>
        </w:rPr>
        <w:t>‘To be paid upon compliance with all conditions precedent towards contract number 403</w:t>
      </w:r>
      <w:r w:rsidR="00914C45">
        <w:rPr>
          <w:sz w:val="22"/>
          <w:szCs w:val="22"/>
        </w:rPr>
        <w:t> </w:t>
      </w:r>
      <w:r w:rsidRPr="00CA63D9">
        <w:rPr>
          <w:sz w:val="22"/>
          <w:szCs w:val="22"/>
        </w:rPr>
        <w:t xml:space="preserve">576, except 8.4.13. Any shortfall shall be paid from the land and buildings allocation.’ </w:t>
      </w:r>
    </w:p>
    <w:p w14:paraId="566B851D" w14:textId="78926CBF" w:rsidR="00732CF2" w:rsidRDefault="00AB31EA" w:rsidP="00CA63D9">
      <w:pPr>
        <w:spacing w:line="360" w:lineRule="auto"/>
        <w:jc w:val="both"/>
        <w:rPr>
          <w:szCs w:val="24"/>
        </w:rPr>
      </w:pPr>
      <w:r>
        <w:rPr>
          <w:szCs w:val="24"/>
        </w:rPr>
        <w:t xml:space="preserve">Clause </w:t>
      </w:r>
      <w:r w:rsidR="00CA63D9" w:rsidRPr="00CA63D9">
        <w:rPr>
          <w:szCs w:val="24"/>
        </w:rPr>
        <w:t xml:space="preserve">8.4.13 </w:t>
      </w:r>
      <w:r>
        <w:rPr>
          <w:szCs w:val="24"/>
        </w:rPr>
        <w:t xml:space="preserve">of the loan agreement required that </w:t>
      </w:r>
      <w:r w:rsidR="00CA63D9" w:rsidRPr="00CA63D9">
        <w:rPr>
          <w:szCs w:val="24"/>
        </w:rPr>
        <w:t>proof of payment by the respondent of a minimum amount of R1 500 000 towards the applicant’s loan account number 403576</w:t>
      </w:r>
      <w:r>
        <w:rPr>
          <w:szCs w:val="24"/>
        </w:rPr>
        <w:t xml:space="preserve"> had to be submitted</w:t>
      </w:r>
      <w:r w:rsidR="00CA63D9">
        <w:rPr>
          <w:szCs w:val="24"/>
        </w:rPr>
        <w:t>.</w:t>
      </w:r>
      <w:r>
        <w:rPr>
          <w:szCs w:val="24"/>
        </w:rPr>
        <w:t xml:space="preserve"> Compliance with this condition precedent was however not insisted upon</w:t>
      </w:r>
      <w:r w:rsidR="00914C45">
        <w:rPr>
          <w:szCs w:val="24"/>
        </w:rPr>
        <w:t>,</w:t>
      </w:r>
      <w:r>
        <w:rPr>
          <w:szCs w:val="24"/>
        </w:rPr>
        <w:t xml:space="preserve"> as the amount of R2 728 915 was </w:t>
      </w:r>
      <w:r w:rsidR="00732CF2">
        <w:rPr>
          <w:szCs w:val="24"/>
        </w:rPr>
        <w:t xml:space="preserve">paid/credited to account 403576 </w:t>
      </w:r>
      <w:r>
        <w:rPr>
          <w:szCs w:val="24"/>
        </w:rPr>
        <w:t>without the sum of R1 500 000 having been paid to accou</w:t>
      </w:r>
      <w:r w:rsidR="00732CF2">
        <w:rPr>
          <w:szCs w:val="24"/>
        </w:rPr>
        <w:t>nt 403576</w:t>
      </w:r>
      <w:r>
        <w:rPr>
          <w:szCs w:val="24"/>
        </w:rPr>
        <w:t xml:space="preserve">. What the condition of payment </w:t>
      </w:r>
      <w:r w:rsidR="00732CF2">
        <w:rPr>
          <w:szCs w:val="24"/>
        </w:rPr>
        <w:t xml:space="preserve">clearly </w:t>
      </w:r>
      <w:r>
        <w:rPr>
          <w:szCs w:val="24"/>
        </w:rPr>
        <w:t xml:space="preserve">contemplated was that the </w:t>
      </w:r>
      <w:r w:rsidR="00CA63D9">
        <w:rPr>
          <w:szCs w:val="24"/>
        </w:rPr>
        <w:t>payment of R2 728 915 w</w:t>
      </w:r>
      <w:r w:rsidR="00732CF2">
        <w:rPr>
          <w:szCs w:val="24"/>
        </w:rPr>
        <w:t>ould be</w:t>
      </w:r>
      <w:r>
        <w:rPr>
          <w:szCs w:val="24"/>
        </w:rPr>
        <w:t xml:space="preserve"> </w:t>
      </w:r>
      <w:r w:rsidR="00CA63D9">
        <w:rPr>
          <w:szCs w:val="24"/>
        </w:rPr>
        <w:t>in addition to the payment of R1 500 000</w:t>
      </w:r>
      <w:r w:rsidR="00617546">
        <w:rPr>
          <w:szCs w:val="24"/>
        </w:rPr>
        <w:t xml:space="preserve"> in respect of the respondent’s indebtedness to the applicant </w:t>
      </w:r>
      <w:r>
        <w:rPr>
          <w:szCs w:val="24"/>
        </w:rPr>
        <w:t xml:space="preserve">on </w:t>
      </w:r>
      <w:r w:rsidR="00617546">
        <w:rPr>
          <w:szCs w:val="24"/>
        </w:rPr>
        <w:t xml:space="preserve">account </w:t>
      </w:r>
      <w:r w:rsidR="00057405">
        <w:rPr>
          <w:szCs w:val="24"/>
        </w:rPr>
        <w:t>403576</w:t>
      </w:r>
      <w:r w:rsidR="00CA63D9">
        <w:rPr>
          <w:szCs w:val="24"/>
        </w:rPr>
        <w:t xml:space="preserve">. </w:t>
      </w:r>
      <w:r>
        <w:rPr>
          <w:szCs w:val="24"/>
        </w:rPr>
        <w:t>It was further</w:t>
      </w:r>
      <w:r w:rsidR="00B170FE">
        <w:rPr>
          <w:szCs w:val="24"/>
        </w:rPr>
        <w:t xml:space="preserve"> envisaged that </w:t>
      </w:r>
      <w:r>
        <w:rPr>
          <w:szCs w:val="24"/>
        </w:rPr>
        <w:t>account</w:t>
      </w:r>
      <w:r w:rsidR="00732CF2">
        <w:rPr>
          <w:szCs w:val="24"/>
        </w:rPr>
        <w:t xml:space="preserve"> 403576 </w:t>
      </w:r>
      <w:r>
        <w:rPr>
          <w:szCs w:val="24"/>
        </w:rPr>
        <w:t xml:space="preserve">might </w:t>
      </w:r>
      <w:r w:rsidR="00732CF2">
        <w:rPr>
          <w:szCs w:val="24"/>
        </w:rPr>
        <w:t>even after those</w:t>
      </w:r>
      <w:r w:rsidR="00E85080">
        <w:rPr>
          <w:szCs w:val="24"/>
        </w:rPr>
        <w:t xml:space="preserve"> amounts having been credited</w:t>
      </w:r>
      <w:r w:rsidR="00732CF2">
        <w:rPr>
          <w:szCs w:val="24"/>
        </w:rPr>
        <w:t xml:space="preserve"> be </w:t>
      </w:r>
      <w:r>
        <w:rPr>
          <w:szCs w:val="24"/>
        </w:rPr>
        <w:t>in debit</w:t>
      </w:r>
      <w:r w:rsidR="00914C45">
        <w:rPr>
          <w:szCs w:val="24"/>
        </w:rPr>
        <w:t>,</w:t>
      </w:r>
      <w:r>
        <w:rPr>
          <w:szCs w:val="24"/>
        </w:rPr>
        <w:t xml:space="preserve"> as the condition of payment expressly recorded</w:t>
      </w:r>
      <w:r w:rsidR="00914C45">
        <w:rPr>
          <w:szCs w:val="24"/>
        </w:rPr>
        <w:t>,</w:t>
      </w:r>
      <w:r>
        <w:rPr>
          <w:szCs w:val="24"/>
        </w:rPr>
        <w:t xml:space="preserve"> in respect of the balance on that account</w:t>
      </w:r>
      <w:r w:rsidR="00914C45">
        <w:rPr>
          <w:szCs w:val="24"/>
        </w:rPr>
        <w:t>,</w:t>
      </w:r>
      <w:r>
        <w:rPr>
          <w:szCs w:val="24"/>
        </w:rPr>
        <w:t xml:space="preserve"> that </w:t>
      </w:r>
      <w:r w:rsidR="00B170FE">
        <w:rPr>
          <w:szCs w:val="24"/>
        </w:rPr>
        <w:t>‘any shortfall shall be paid from the land and buildings allocation.</w:t>
      </w:r>
      <w:r>
        <w:rPr>
          <w:szCs w:val="24"/>
        </w:rPr>
        <w:t xml:space="preserve">’ With the amount of R1 500 000, </w:t>
      </w:r>
      <w:r w:rsidR="00FE7587">
        <w:rPr>
          <w:szCs w:val="24"/>
        </w:rPr>
        <w:t xml:space="preserve">being the subject of the condition precedent not being paid, account 403576 would remain with a </w:t>
      </w:r>
      <w:r w:rsidR="009B437D">
        <w:rPr>
          <w:szCs w:val="24"/>
        </w:rPr>
        <w:t xml:space="preserve">balance of at least R1 </w:t>
      </w:r>
      <w:r w:rsidR="009B437D">
        <w:rPr>
          <w:szCs w:val="24"/>
        </w:rPr>
        <w:lastRenderedPageBreak/>
        <w:t xml:space="preserve">500 000, and probably more, as a shortfall was envisaged. </w:t>
      </w:r>
      <w:r w:rsidR="00057405">
        <w:rPr>
          <w:szCs w:val="24"/>
        </w:rPr>
        <w:t>What</w:t>
      </w:r>
      <w:r w:rsidR="009B437D">
        <w:rPr>
          <w:szCs w:val="24"/>
        </w:rPr>
        <w:t xml:space="preserve">ever the amount owing </w:t>
      </w:r>
      <w:r w:rsidR="00732CF2">
        <w:rPr>
          <w:szCs w:val="24"/>
        </w:rPr>
        <w:t xml:space="preserve">on account 403576 </w:t>
      </w:r>
      <w:r w:rsidR="009B437D">
        <w:rPr>
          <w:szCs w:val="24"/>
        </w:rPr>
        <w:t>might have been, an aspect to which I shall return below, it</w:t>
      </w:r>
      <w:r w:rsidR="00057405">
        <w:rPr>
          <w:szCs w:val="24"/>
        </w:rPr>
        <w:t xml:space="preserve"> is clear </w:t>
      </w:r>
      <w:r w:rsidR="009B437D">
        <w:rPr>
          <w:szCs w:val="24"/>
        </w:rPr>
        <w:t>t</w:t>
      </w:r>
      <w:r w:rsidR="00057405">
        <w:rPr>
          <w:szCs w:val="24"/>
        </w:rPr>
        <w:t xml:space="preserve">hat there </w:t>
      </w:r>
      <w:r w:rsidR="009B437D">
        <w:rPr>
          <w:szCs w:val="24"/>
        </w:rPr>
        <w:t xml:space="preserve">was </w:t>
      </w:r>
      <w:r w:rsidR="00057405">
        <w:rPr>
          <w:szCs w:val="24"/>
        </w:rPr>
        <w:t xml:space="preserve">no agreement </w:t>
      </w:r>
      <w:r w:rsidR="00732CF2">
        <w:rPr>
          <w:szCs w:val="24"/>
        </w:rPr>
        <w:t xml:space="preserve">between the parties </w:t>
      </w:r>
      <w:r w:rsidR="00057405">
        <w:rPr>
          <w:szCs w:val="24"/>
        </w:rPr>
        <w:t>that the payment of the R2 728 915 would extinguish the respondent’s liability to the applicant under account number 403576</w:t>
      </w:r>
      <w:r w:rsidR="00732CF2">
        <w:rPr>
          <w:szCs w:val="24"/>
        </w:rPr>
        <w:t>.</w:t>
      </w:r>
    </w:p>
    <w:p w14:paraId="6125AAA6" w14:textId="06E145E4" w:rsidR="003643BA" w:rsidRDefault="00732CF2" w:rsidP="00732CF2">
      <w:pPr>
        <w:tabs>
          <w:tab w:val="left" w:pos="3690"/>
        </w:tabs>
        <w:spacing w:line="360" w:lineRule="auto"/>
        <w:jc w:val="both"/>
      </w:pPr>
      <w:r>
        <w:tab/>
      </w:r>
    </w:p>
    <w:p w14:paraId="14F03AC9" w14:textId="3BBDF4EE" w:rsidR="00B170FE" w:rsidRDefault="00732CF2" w:rsidP="003A3CED">
      <w:pPr>
        <w:numPr>
          <w:ilvl w:val="0"/>
          <w:numId w:val="1"/>
        </w:numPr>
        <w:spacing w:line="360" w:lineRule="auto"/>
        <w:jc w:val="both"/>
      </w:pPr>
      <w:r>
        <w:t xml:space="preserve">The </w:t>
      </w:r>
      <w:r w:rsidR="00057405">
        <w:t xml:space="preserve">following </w:t>
      </w:r>
      <w:r w:rsidR="00B170FE">
        <w:t xml:space="preserve">amounts were </w:t>
      </w:r>
      <w:r>
        <w:t xml:space="preserve">accordingly </w:t>
      </w:r>
      <w:r w:rsidR="00B170FE">
        <w:t>disbursed</w:t>
      </w:r>
      <w:r w:rsidR="00057405">
        <w:t xml:space="preserve"> from</w:t>
      </w:r>
      <w:r w:rsidR="00B170FE">
        <w:t xml:space="preserve"> and</w:t>
      </w:r>
      <w:r w:rsidR="003B203D">
        <w:t xml:space="preserve">/or applied in respect of </w:t>
      </w:r>
      <w:r w:rsidR="00057405">
        <w:t>account 407410</w:t>
      </w:r>
      <w:r>
        <w:t xml:space="preserve"> pursuant to this loan agreement</w:t>
      </w:r>
      <w:r w:rsidR="00B170FE">
        <w:t>:</w:t>
      </w:r>
    </w:p>
    <w:p w14:paraId="66BF8881" w14:textId="2239754E" w:rsidR="00B170FE" w:rsidRDefault="009B437D" w:rsidP="00B170FE">
      <w:pPr>
        <w:spacing w:line="360" w:lineRule="auto"/>
        <w:jc w:val="both"/>
      </w:pPr>
      <w:r>
        <w:t xml:space="preserve">Payment to </w:t>
      </w:r>
      <w:r w:rsidR="00057405">
        <w:t>account 403576</w:t>
      </w:r>
      <w:r w:rsidR="00057405">
        <w:tab/>
      </w:r>
      <w:r w:rsidR="00057405">
        <w:tab/>
      </w:r>
      <w:r w:rsidR="00057405">
        <w:tab/>
      </w:r>
      <w:r w:rsidR="00057405">
        <w:tab/>
      </w:r>
      <w:r w:rsidR="00057405">
        <w:tab/>
        <w:t>R2 728 915</w:t>
      </w:r>
    </w:p>
    <w:p w14:paraId="665520BF" w14:textId="2CA42052" w:rsidR="00777A91" w:rsidRDefault="00777A91" w:rsidP="00B170FE">
      <w:pPr>
        <w:spacing w:line="360" w:lineRule="auto"/>
        <w:jc w:val="both"/>
      </w:pPr>
      <w:r>
        <w:t xml:space="preserve">A raising fee payable to the applicant </w:t>
      </w:r>
      <w:r>
        <w:tab/>
      </w:r>
      <w:r>
        <w:tab/>
      </w:r>
      <w:r>
        <w:tab/>
      </w:r>
      <w:r>
        <w:tab/>
        <w:t>R     51 300</w:t>
      </w:r>
    </w:p>
    <w:p w14:paraId="2FBACF01" w14:textId="77185A5B" w:rsidR="00777A91" w:rsidRDefault="007212F9" w:rsidP="00B170FE">
      <w:pPr>
        <w:spacing w:line="360" w:lineRule="auto"/>
        <w:jc w:val="both"/>
      </w:pPr>
      <w:r>
        <w:t xml:space="preserve">Quantity </w:t>
      </w:r>
      <w:r w:rsidR="00E85080">
        <w:t xml:space="preserve">surveyor </w:t>
      </w:r>
      <w:r>
        <w:t>fees</w:t>
      </w:r>
      <w:r w:rsidR="00777A91">
        <w:tab/>
      </w:r>
      <w:r w:rsidR="00777A91">
        <w:tab/>
      </w:r>
      <w:r w:rsidR="00777A91">
        <w:tab/>
      </w:r>
      <w:r w:rsidR="00777A91">
        <w:tab/>
      </w:r>
      <w:r w:rsidR="00777A91">
        <w:tab/>
      </w:r>
      <w:r w:rsidR="00777A91">
        <w:tab/>
        <w:t>R     20 000</w:t>
      </w:r>
    </w:p>
    <w:p w14:paraId="6ED06272" w14:textId="6BEE49D1" w:rsidR="003B203D" w:rsidRDefault="003B203D" w:rsidP="00B170FE">
      <w:pPr>
        <w:spacing w:line="360" w:lineRule="auto"/>
        <w:jc w:val="both"/>
      </w:pPr>
      <w:r>
        <w:t>Amount retained out of which monthly interest payable</w:t>
      </w:r>
    </w:p>
    <w:p w14:paraId="5D539E57" w14:textId="7AD48CB6" w:rsidR="003B203D" w:rsidRDefault="003B203D" w:rsidP="00B170FE">
      <w:pPr>
        <w:spacing w:line="360" w:lineRule="auto"/>
        <w:jc w:val="both"/>
      </w:pPr>
      <w:proofErr w:type="gramStart"/>
      <w:r>
        <w:t>on</w:t>
      </w:r>
      <w:proofErr w:type="gramEnd"/>
      <w:r>
        <w:t xml:space="preserve"> the loan amount advanced would be paid</w:t>
      </w:r>
      <w:r>
        <w:tab/>
      </w:r>
      <w:r>
        <w:tab/>
      </w:r>
      <w:r>
        <w:tab/>
        <w:t>R   232 109</w:t>
      </w:r>
    </w:p>
    <w:p w14:paraId="4727234B" w14:textId="5E8BF400" w:rsidR="003B203D" w:rsidRDefault="003B203D" w:rsidP="00B170FE">
      <w:pPr>
        <w:spacing w:line="360" w:lineRule="auto"/>
        <w:jc w:val="both"/>
      </w:pPr>
      <w:r>
        <w:t xml:space="preserve">Amount to be retained to pay over to the respondent or its </w:t>
      </w:r>
    </w:p>
    <w:p w14:paraId="572FC456" w14:textId="5E070695" w:rsidR="003B203D" w:rsidRPr="003B203D" w:rsidRDefault="00914C45" w:rsidP="00B170FE">
      <w:pPr>
        <w:spacing w:line="360" w:lineRule="auto"/>
        <w:jc w:val="both"/>
        <w:rPr>
          <w:u w:val="single"/>
        </w:rPr>
      </w:pPr>
      <w:proofErr w:type="gramStart"/>
      <w:r>
        <w:t>creditors</w:t>
      </w:r>
      <w:proofErr w:type="gramEnd"/>
      <w:r>
        <w:t xml:space="preserve"> </w:t>
      </w:r>
      <w:r w:rsidR="003B203D">
        <w:t>in respect of development (not R1</w:t>
      </w:r>
      <w:r w:rsidR="00E85080">
        <w:t xml:space="preserve"> </w:t>
      </w:r>
      <w:r w:rsidR="003B203D">
        <w:t>500 000)</w:t>
      </w:r>
      <w:r w:rsidR="003B203D">
        <w:tab/>
      </w:r>
      <w:r w:rsidR="003B203D">
        <w:tab/>
      </w:r>
      <w:r w:rsidR="003B203D" w:rsidRPr="003B203D">
        <w:rPr>
          <w:u w:val="single"/>
        </w:rPr>
        <w:t>R1 467 676</w:t>
      </w:r>
    </w:p>
    <w:p w14:paraId="52F679E6" w14:textId="602C152C" w:rsidR="00057405" w:rsidRDefault="003B203D" w:rsidP="00B170FE">
      <w:pPr>
        <w:spacing w:line="360" w:lineRule="auto"/>
        <w:jc w:val="both"/>
      </w:pPr>
      <w:r>
        <w:tab/>
      </w:r>
      <w:r>
        <w:tab/>
      </w:r>
      <w:r>
        <w:tab/>
      </w:r>
      <w:r>
        <w:tab/>
      </w:r>
      <w:r>
        <w:tab/>
      </w:r>
      <w:r>
        <w:tab/>
      </w:r>
      <w:r>
        <w:tab/>
      </w:r>
      <w:r>
        <w:tab/>
      </w:r>
      <w:r>
        <w:tab/>
        <w:t>R4 500 000</w:t>
      </w:r>
    </w:p>
    <w:p w14:paraId="1881DA13" w14:textId="04472CA8" w:rsidR="007212F9" w:rsidRDefault="00B170FE" w:rsidP="007212F9">
      <w:pPr>
        <w:spacing w:line="360" w:lineRule="auto"/>
        <w:jc w:val="both"/>
        <w:rPr>
          <w:szCs w:val="24"/>
        </w:rPr>
      </w:pPr>
      <w:r>
        <w:t>The debit of R2 72</w:t>
      </w:r>
      <w:r w:rsidR="006F6089">
        <w:t xml:space="preserve">8 </w:t>
      </w:r>
      <w:r>
        <w:t xml:space="preserve">915 </w:t>
      </w:r>
      <w:r w:rsidR="009B437D">
        <w:t xml:space="preserve">on account 407410 </w:t>
      </w:r>
      <w:r>
        <w:t>found its corresponding entry as a credit in account 403576. The respondent contends that it believed that this payment discharged any outstanding liability on account 40</w:t>
      </w:r>
      <w:r w:rsidR="00914C45">
        <w:t>3</w:t>
      </w:r>
      <w:r>
        <w:t>576, but that could not be</w:t>
      </w:r>
      <w:r w:rsidR="00E85080">
        <w:t>,</w:t>
      </w:r>
      <w:r w:rsidR="009B437D">
        <w:t xml:space="preserve"> as </w:t>
      </w:r>
      <w:r w:rsidR="00E85080">
        <w:t xml:space="preserve">has been </w:t>
      </w:r>
      <w:r w:rsidR="009B437D">
        <w:t>demonstrated in paragraph 6 above</w:t>
      </w:r>
      <w:r>
        <w:t>. If th</w:t>
      </w:r>
      <w:r w:rsidR="009B437D">
        <w:t xml:space="preserve">e payment of the R2 </w:t>
      </w:r>
      <w:r w:rsidR="006F6089">
        <w:t xml:space="preserve">728 915 was to have extinguished </w:t>
      </w:r>
      <w:r w:rsidR="008D0312">
        <w:t xml:space="preserve">the balance on </w:t>
      </w:r>
      <w:r w:rsidR="006F6089">
        <w:t>account 403576</w:t>
      </w:r>
      <w:r>
        <w:t>, then there would have been no need to exclude the anticipated payment of R1</w:t>
      </w:r>
      <w:r w:rsidR="0009047A">
        <w:t> </w:t>
      </w:r>
      <w:r>
        <w:t>500 000, or to provide for ‘any shortfall</w:t>
      </w:r>
      <w:r w:rsidR="0009047A">
        <w:t>’</w:t>
      </w:r>
      <w:r w:rsidRPr="007212F9">
        <w:t xml:space="preserve">. </w:t>
      </w:r>
      <w:r w:rsidR="007212F9">
        <w:t>T</w:t>
      </w:r>
      <w:r w:rsidR="007212F9" w:rsidRPr="007212F9">
        <w:rPr>
          <w:szCs w:val="24"/>
        </w:rPr>
        <w:t xml:space="preserve">here </w:t>
      </w:r>
      <w:r w:rsidR="007212F9">
        <w:rPr>
          <w:szCs w:val="24"/>
        </w:rPr>
        <w:t xml:space="preserve">is no scope, on the wording of the condition of payment, </w:t>
      </w:r>
      <w:r w:rsidR="007212F9" w:rsidRPr="007212F9">
        <w:rPr>
          <w:szCs w:val="24"/>
        </w:rPr>
        <w:t>for the respondent to have been under such an impression.</w:t>
      </w:r>
    </w:p>
    <w:p w14:paraId="456FD943" w14:textId="4897B6D0" w:rsidR="007212F9" w:rsidRPr="007212F9" w:rsidRDefault="007212F9" w:rsidP="007212F9">
      <w:pPr>
        <w:spacing w:line="360" w:lineRule="auto"/>
        <w:jc w:val="both"/>
        <w:rPr>
          <w:szCs w:val="24"/>
        </w:rPr>
      </w:pPr>
      <w:r w:rsidRPr="007212F9">
        <w:rPr>
          <w:szCs w:val="24"/>
        </w:rPr>
        <w:t xml:space="preserve">    </w:t>
      </w:r>
    </w:p>
    <w:p w14:paraId="3595DDA0" w14:textId="54719985" w:rsidR="007212F9" w:rsidRDefault="00B170FE" w:rsidP="00B170FE">
      <w:pPr>
        <w:numPr>
          <w:ilvl w:val="0"/>
          <w:numId w:val="1"/>
        </w:numPr>
        <w:spacing w:line="360" w:lineRule="auto"/>
        <w:jc w:val="both"/>
      </w:pPr>
      <w:r>
        <w:t xml:space="preserve">Indeed, the copy of the statement </w:t>
      </w:r>
      <w:r w:rsidR="003B203D">
        <w:t xml:space="preserve">in respect of account 403576 annexed </w:t>
      </w:r>
      <w:r>
        <w:t xml:space="preserve">to </w:t>
      </w:r>
      <w:r w:rsidR="007212F9">
        <w:t xml:space="preserve">the respondent’s </w:t>
      </w:r>
      <w:r>
        <w:t>answering affidavit reflect</w:t>
      </w:r>
      <w:r w:rsidR="003B203D">
        <w:t>s the credit of R2 728 915 on 9 November 2017</w:t>
      </w:r>
      <w:r w:rsidR="007212F9">
        <w:t xml:space="preserve">, which then left </w:t>
      </w:r>
      <w:r w:rsidR="00383067">
        <w:t>a balance of R2 625 752</w:t>
      </w:r>
      <w:r w:rsidR="0009047A">
        <w:t>.</w:t>
      </w:r>
      <w:r w:rsidR="00383067">
        <w:t xml:space="preserve">15. </w:t>
      </w:r>
      <w:r w:rsidR="007212F9">
        <w:t xml:space="preserve">Whether this statement can be relied upon is an aspect to be returned to below when considering whether the debt is </w:t>
      </w:r>
      <w:r w:rsidR="00914C45">
        <w:t xml:space="preserve">bona fide </w:t>
      </w:r>
      <w:r w:rsidR="007212F9">
        <w:t xml:space="preserve">disputed on reasonable grounds. </w:t>
      </w:r>
    </w:p>
    <w:p w14:paraId="2073E48F" w14:textId="77777777" w:rsidR="0009047A" w:rsidRDefault="0009047A" w:rsidP="0009047A">
      <w:pPr>
        <w:spacing w:line="360" w:lineRule="auto"/>
        <w:jc w:val="both"/>
      </w:pPr>
    </w:p>
    <w:p w14:paraId="25A0C9F1" w14:textId="247E6877" w:rsidR="00B170FE" w:rsidRDefault="00383067" w:rsidP="00B170FE">
      <w:pPr>
        <w:numPr>
          <w:ilvl w:val="0"/>
          <w:numId w:val="1"/>
        </w:numPr>
        <w:spacing w:line="360" w:lineRule="auto"/>
        <w:jc w:val="both"/>
      </w:pPr>
      <w:r>
        <w:lastRenderedPageBreak/>
        <w:t xml:space="preserve">Various debits and transactions were effected </w:t>
      </w:r>
      <w:r w:rsidR="007212F9">
        <w:t xml:space="preserve">on </w:t>
      </w:r>
      <w:r>
        <w:t>acc</w:t>
      </w:r>
      <w:r w:rsidR="00057405">
        <w:t xml:space="preserve">ount </w:t>
      </w:r>
      <w:r w:rsidR="006F6089">
        <w:t xml:space="preserve">403576 </w:t>
      </w:r>
      <w:r>
        <w:t xml:space="preserve">after </w:t>
      </w:r>
      <w:r w:rsidR="007212F9">
        <w:t xml:space="preserve">9 November 2017 </w:t>
      </w:r>
      <w:r w:rsidR="00B170FE">
        <w:t xml:space="preserve">until 20 March 2019 </w:t>
      </w:r>
      <w:r>
        <w:t>(</w:t>
      </w:r>
      <w:r w:rsidR="007212F9">
        <w:t xml:space="preserve">that is according to a </w:t>
      </w:r>
      <w:r>
        <w:t>copy of the statement relating to that account provided by the applicant with the consent of the respondent, as the copy ther</w:t>
      </w:r>
      <w:r w:rsidR="007212F9">
        <w:t xml:space="preserve">eof </w:t>
      </w:r>
      <w:r>
        <w:t xml:space="preserve">annexed to the </w:t>
      </w:r>
      <w:r w:rsidR="007212F9">
        <w:t xml:space="preserve">respondent’s </w:t>
      </w:r>
      <w:r>
        <w:t>answering affidavit was incomplete)</w:t>
      </w:r>
      <w:r w:rsidR="007212F9">
        <w:t xml:space="preserve">. On 20 March 2019 the balance on </w:t>
      </w:r>
      <w:r w:rsidR="00B170FE">
        <w:t xml:space="preserve">account </w:t>
      </w:r>
      <w:r w:rsidR="007212F9">
        <w:t xml:space="preserve">403576 </w:t>
      </w:r>
      <w:r w:rsidR="00B170FE">
        <w:t>was extinguished by credits to that account of R1</w:t>
      </w:r>
      <w:r w:rsidR="00914C45">
        <w:t> </w:t>
      </w:r>
      <w:r w:rsidR="00B170FE">
        <w:t>733 070</w:t>
      </w:r>
      <w:r w:rsidR="00914C45">
        <w:t>.</w:t>
      </w:r>
      <w:r w:rsidR="00B170FE">
        <w:t xml:space="preserve">09 </w:t>
      </w:r>
      <w:r>
        <w:t>and R53 167</w:t>
      </w:r>
      <w:r w:rsidR="002512F8">
        <w:t>.</w:t>
      </w:r>
      <w:r>
        <w:t xml:space="preserve">46. </w:t>
      </w:r>
      <w:r w:rsidR="00B170FE">
        <w:t xml:space="preserve"> </w:t>
      </w:r>
    </w:p>
    <w:p w14:paraId="179FE09D" w14:textId="77777777" w:rsidR="007212F9" w:rsidRDefault="007212F9" w:rsidP="007212F9">
      <w:pPr>
        <w:spacing w:line="360" w:lineRule="auto"/>
        <w:jc w:val="both"/>
      </w:pPr>
    </w:p>
    <w:p w14:paraId="1E14A516" w14:textId="3337656E" w:rsidR="00DD00A0" w:rsidRDefault="007212F9" w:rsidP="003A3CED">
      <w:pPr>
        <w:numPr>
          <w:ilvl w:val="0"/>
          <w:numId w:val="1"/>
        </w:numPr>
        <w:spacing w:line="360" w:lineRule="auto"/>
        <w:jc w:val="both"/>
      </w:pPr>
      <w:r>
        <w:t>At some stage, v</w:t>
      </w:r>
      <w:r w:rsidR="00B170FE">
        <w:t xml:space="preserve">arious </w:t>
      </w:r>
      <w:r w:rsidR="00057405">
        <w:t xml:space="preserve">sectional title </w:t>
      </w:r>
      <w:r w:rsidR="00B170FE">
        <w:t xml:space="preserve">units </w:t>
      </w:r>
      <w:r>
        <w:t>were seemingly developed</w:t>
      </w:r>
      <w:r w:rsidR="006F6089">
        <w:t xml:space="preserve"> </w:t>
      </w:r>
      <w:r w:rsidR="00057405">
        <w:t xml:space="preserve">on the property </w:t>
      </w:r>
      <w:r w:rsidR="00B170FE">
        <w:t xml:space="preserve">at 90 Coronation Road. </w:t>
      </w:r>
      <w:r w:rsidR="00DD00A0">
        <w:t>Units 1,3</w:t>
      </w:r>
      <w:r w:rsidR="002512F8">
        <w:t>,</w:t>
      </w:r>
      <w:r w:rsidR="00DD00A0">
        <w:t xml:space="preserve"> 4 and 5 were sold </w:t>
      </w:r>
      <w:r>
        <w:t>and transferred</w:t>
      </w:r>
      <w:r w:rsidR="00DD00A0">
        <w:t xml:space="preserve"> prior to 20 March 2019, as on that date, according to a letter from </w:t>
      </w:r>
      <w:proofErr w:type="spellStart"/>
      <w:r w:rsidR="00DD00A0">
        <w:t>Phipson</w:t>
      </w:r>
      <w:proofErr w:type="spellEnd"/>
      <w:r w:rsidR="00DD00A0">
        <w:t>-De Villiers</w:t>
      </w:r>
      <w:r w:rsidR="00914C45">
        <w:t xml:space="preserve"> Attorneys</w:t>
      </w:r>
      <w:r w:rsidR="00DD00A0">
        <w:t xml:space="preserve"> dated 23 July 2021, </w:t>
      </w:r>
      <w:r w:rsidR="00914C45">
        <w:t xml:space="preserve">which </w:t>
      </w:r>
      <w:r>
        <w:t xml:space="preserve">is </w:t>
      </w:r>
      <w:r w:rsidR="00DD00A0">
        <w:t xml:space="preserve">more than two years </w:t>
      </w:r>
      <w:r w:rsidR="00D464DF">
        <w:t>after the event</w:t>
      </w:r>
      <w:r w:rsidR="00057405">
        <w:t>, the following historical fact</w:t>
      </w:r>
      <w:r w:rsidR="00DD00A0">
        <w:t xml:space="preserve">, </w:t>
      </w:r>
      <w:r>
        <w:t xml:space="preserve">under the heading </w:t>
      </w:r>
      <w:r w:rsidR="00DD00A0">
        <w:t>’90 Coronation Road</w:t>
      </w:r>
      <w:r w:rsidR="00057405">
        <w:t>, Malvern: Business Partners’</w:t>
      </w:r>
      <w:r w:rsidR="00DD00A0">
        <w:t xml:space="preserve"> </w:t>
      </w:r>
      <w:r>
        <w:t xml:space="preserve">was </w:t>
      </w:r>
      <w:r w:rsidR="00DD00A0">
        <w:t>record</w:t>
      </w:r>
      <w:r w:rsidR="00014E33">
        <w:t xml:space="preserve">ed: </w:t>
      </w:r>
    </w:p>
    <w:p w14:paraId="4D3AA2D8" w14:textId="6F3AEA66" w:rsidR="00E85080" w:rsidRDefault="00DD00A0" w:rsidP="00DD00A0">
      <w:pPr>
        <w:spacing w:line="360" w:lineRule="auto"/>
        <w:jc w:val="both"/>
      </w:pPr>
      <w:r w:rsidRPr="006F6089">
        <w:rPr>
          <w:sz w:val="22"/>
          <w:szCs w:val="22"/>
        </w:rPr>
        <w:t>‘With further reference to the above, we confirm the following amounts were paid to Business Partners in respect of their release figures when the transfers were registered in the Deeds Office</w:t>
      </w:r>
      <w:r w:rsidR="00914C45">
        <w:rPr>
          <w:sz w:val="22"/>
          <w:szCs w:val="22"/>
        </w:rPr>
        <w:t>. . .</w:t>
      </w:r>
      <w:r w:rsidRPr="006F6089">
        <w:rPr>
          <w:sz w:val="22"/>
          <w:szCs w:val="22"/>
        </w:rPr>
        <w:t>’</w:t>
      </w:r>
      <w:r w:rsidR="00914C45">
        <w:t>.</w:t>
      </w:r>
      <w:r w:rsidR="007212F9">
        <w:t xml:space="preserve"> </w:t>
      </w:r>
    </w:p>
    <w:p w14:paraId="0A462063" w14:textId="4867B294" w:rsidR="00DD00A0" w:rsidRDefault="007212F9" w:rsidP="00DD00A0">
      <w:pPr>
        <w:spacing w:line="360" w:lineRule="auto"/>
        <w:jc w:val="both"/>
      </w:pPr>
      <w:r>
        <w:t>T</w:t>
      </w:r>
      <w:r w:rsidR="006F6089">
        <w:t xml:space="preserve">he letter </w:t>
      </w:r>
      <w:r>
        <w:t xml:space="preserve">confirms that </w:t>
      </w:r>
      <w:r w:rsidR="00DD00A0">
        <w:t>a</w:t>
      </w:r>
      <w:r w:rsidR="006F6089">
        <w:t xml:space="preserve"> total </w:t>
      </w:r>
      <w:r w:rsidR="00DD00A0">
        <w:t>amount of R4 000 000</w:t>
      </w:r>
      <w:r>
        <w:t xml:space="preserve"> was paid</w:t>
      </w:r>
      <w:r w:rsidR="00DD00A0">
        <w:t>.</w:t>
      </w:r>
    </w:p>
    <w:p w14:paraId="57FC81AB" w14:textId="77777777" w:rsidR="00D02AF3" w:rsidRPr="003A3CED" w:rsidRDefault="00D02AF3" w:rsidP="003A3CED">
      <w:pPr>
        <w:spacing w:line="360" w:lineRule="auto"/>
        <w:jc w:val="both"/>
      </w:pPr>
    </w:p>
    <w:p w14:paraId="4DE32341" w14:textId="2F4F58A5" w:rsidR="00057405" w:rsidRDefault="007212F9" w:rsidP="00DD00A0">
      <w:pPr>
        <w:numPr>
          <w:ilvl w:val="0"/>
          <w:numId w:val="1"/>
        </w:numPr>
        <w:spacing w:line="360" w:lineRule="auto"/>
        <w:jc w:val="both"/>
      </w:pPr>
      <w:r>
        <w:t>It is the apportionment of this</w:t>
      </w:r>
      <w:r w:rsidR="00057405">
        <w:t xml:space="preserve"> </w:t>
      </w:r>
      <w:r w:rsidR="006F6089">
        <w:t xml:space="preserve">R4 000 000 </w:t>
      </w:r>
      <w:r w:rsidR="00057405">
        <w:t>payment, which</w:t>
      </w:r>
      <w:r w:rsidR="006F6089">
        <w:t xml:space="preserve"> has assumed</w:t>
      </w:r>
      <w:r w:rsidR="00057405">
        <w:t xml:space="preserve"> significance</w:t>
      </w:r>
      <w:r w:rsidR="009620AE">
        <w:t xml:space="preserve"> in this application</w:t>
      </w:r>
      <w:r w:rsidR="00057405">
        <w:t xml:space="preserve">. </w:t>
      </w:r>
    </w:p>
    <w:p w14:paraId="42FB9D87" w14:textId="77777777" w:rsidR="00057405" w:rsidRDefault="00057405" w:rsidP="00057405">
      <w:pPr>
        <w:spacing w:line="360" w:lineRule="auto"/>
        <w:jc w:val="both"/>
      </w:pPr>
    </w:p>
    <w:p w14:paraId="65287046" w14:textId="4D04DE54" w:rsidR="00DD00A0" w:rsidRDefault="00DD00A0" w:rsidP="00DD00A0">
      <w:pPr>
        <w:numPr>
          <w:ilvl w:val="0"/>
          <w:numId w:val="1"/>
        </w:numPr>
        <w:spacing w:line="360" w:lineRule="auto"/>
        <w:jc w:val="both"/>
      </w:pPr>
      <w:r>
        <w:t>According to the account printout in respect of account 407410</w:t>
      </w:r>
      <w:r w:rsidR="00057405">
        <w:t xml:space="preserve">, </w:t>
      </w:r>
      <w:r>
        <w:t>amounts of R1</w:t>
      </w:r>
      <w:r w:rsidR="002512F8">
        <w:t> </w:t>
      </w:r>
      <w:r>
        <w:t>700</w:t>
      </w:r>
      <w:r w:rsidR="00C37B31">
        <w:t> </w:t>
      </w:r>
      <w:r>
        <w:t>000</w:t>
      </w:r>
      <w:r w:rsidR="00914C45">
        <w:t xml:space="preserve"> and</w:t>
      </w:r>
      <w:r>
        <w:t xml:space="preserve"> R110 968</w:t>
      </w:r>
      <w:r w:rsidR="002512F8">
        <w:t>.</w:t>
      </w:r>
      <w:r>
        <w:t>35</w:t>
      </w:r>
      <w:r w:rsidR="00914C45">
        <w:t xml:space="preserve"> were credited to that account on 20 March 2019,</w:t>
      </w:r>
      <w:r>
        <w:t xml:space="preserve"> and R102</w:t>
      </w:r>
      <w:r w:rsidR="00C37B31">
        <w:t> </w:t>
      </w:r>
      <w:r>
        <w:t>794</w:t>
      </w:r>
      <w:r w:rsidR="002512F8">
        <w:t>.</w:t>
      </w:r>
      <w:r>
        <w:t xml:space="preserve">10 </w:t>
      </w:r>
      <w:r w:rsidR="00914C45">
        <w:t xml:space="preserve">was </w:t>
      </w:r>
      <w:r>
        <w:t>credited t</w:t>
      </w:r>
      <w:r w:rsidR="00057405">
        <w:t xml:space="preserve">o that account on </w:t>
      </w:r>
      <w:r w:rsidR="00914C45">
        <w:t>25 April</w:t>
      </w:r>
      <w:r w:rsidR="00057405">
        <w:t xml:space="preserve"> 2019. These credits total </w:t>
      </w:r>
      <w:r>
        <w:t>R1</w:t>
      </w:r>
      <w:r w:rsidR="00C37B31">
        <w:t> </w:t>
      </w:r>
      <w:r>
        <w:t>913</w:t>
      </w:r>
      <w:r w:rsidR="00C37B31">
        <w:t> </w:t>
      </w:r>
      <w:r>
        <w:t>762</w:t>
      </w:r>
      <w:r w:rsidR="002512F8">
        <w:t>.</w:t>
      </w:r>
      <w:r>
        <w:t>45.</w:t>
      </w:r>
      <w:r w:rsidR="00D464DF">
        <w:t xml:space="preserve"> That left R2 016 237</w:t>
      </w:r>
      <w:r w:rsidR="002512F8">
        <w:t>.</w:t>
      </w:r>
      <w:r w:rsidR="00D464DF">
        <w:t>55 of the payment of R4</w:t>
      </w:r>
      <w:r w:rsidR="002512F8">
        <w:t> </w:t>
      </w:r>
      <w:r w:rsidR="00D464DF">
        <w:t>000 000.</w:t>
      </w:r>
    </w:p>
    <w:p w14:paraId="33E60C41" w14:textId="77777777" w:rsidR="00DD00A0" w:rsidRDefault="00DD00A0" w:rsidP="00DD00A0">
      <w:pPr>
        <w:spacing w:line="360" w:lineRule="auto"/>
        <w:jc w:val="both"/>
      </w:pPr>
    </w:p>
    <w:p w14:paraId="1581A9AF" w14:textId="37BC6F91" w:rsidR="00D464DF" w:rsidRDefault="00DD00A0" w:rsidP="005C06DB">
      <w:pPr>
        <w:numPr>
          <w:ilvl w:val="0"/>
          <w:numId w:val="1"/>
        </w:numPr>
        <w:spacing w:line="360" w:lineRule="auto"/>
        <w:jc w:val="both"/>
      </w:pPr>
      <w:r>
        <w:t>According to a statement i</w:t>
      </w:r>
      <w:r w:rsidR="009620AE">
        <w:t>n respect of account 703414, an</w:t>
      </w:r>
      <w:r>
        <w:t xml:space="preserve"> amount of R300 000 was credited to that account on 20 March 2019, being in respect of a royalty</w:t>
      </w:r>
      <w:r w:rsidR="00C37B31">
        <w:t xml:space="preserve"> payment</w:t>
      </w:r>
      <w:r>
        <w:t>.</w:t>
      </w:r>
      <w:r w:rsidR="00D464DF">
        <w:t xml:space="preserve"> The corresponding debit was reflected in account 407410</w:t>
      </w:r>
      <w:r w:rsidR="002512F8">
        <w:t>.</w:t>
      </w:r>
      <w:r w:rsidR="00D464DF">
        <w:t xml:space="preserve"> </w:t>
      </w:r>
      <w:r w:rsidR="00D8613E">
        <w:t xml:space="preserve"> </w:t>
      </w:r>
    </w:p>
    <w:p w14:paraId="74E20F27" w14:textId="77777777" w:rsidR="00D464DF" w:rsidRDefault="00D464DF" w:rsidP="00D464DF">
      <w:pPr>
        <w:pStyle w:val="ListParagraph"/>
      </w:pPr>
    </w:p>
    <w:p w14:paraId="036118B8" w14:textId="6FC4264C" w:rsidR="00D464DF" w:rsidRDefault="00D464DF" w:rsidP="005C06DB">
      <w:pPr>
        <w:numPr>
          <w:ilvl w:val="0"/>
          <w:numId w:val="1"/>
        </w:numPr>
        <w:spacing w:line="360" w:lineRule="auto"/>
        <w:jc w:val="both"/>
      </w:pPr>
      <w:r>
        <w:t>What remained of the R4 000 000 was an amount of R1 786 237</w:t>
      </w:r>
      <w:r w:rsidR="002512F8">
        <w:t>.</w:t>
      </w:r>
      <w:r>
        <w:t>55, which w</w:t>
      </w:r>
      <w:r w:rsidR="007212F9">
        <w:t>as</w:t>
      </w:r>
      <w:r>
        <w:t xml:space="preserve"> </w:t>
      </w:r>
      <w:r w:rsidR="00ED04D1">
        <w:t xml:space="preserve">credited </w:t>
      </w:r>
      <w:r>
        <w:t xml:space="preserve">to account 403576 on 20 March 2019 as </w:t>
      </w:r>
      <w:r w:rsidR="00ED04D1">
        <w:t>two credit</w:t>
      </w:r>
      <w:r>
        <w:t>s of R1 733 070</w:t>
      </w:r>
      <w:r w:rsidR="002512F8">
        <w:t>.</w:t>
      </w:r>
      <w:r>
        <w:t>09 and R53</w:t>
      </w:r>
      <w:r w:rsidR="002512F8">
        <w:t> </w:t>
      </w:r>
      <w:r>
        <w:t>167.46</w:t>
      </w:r>
      <w:r w:rsidR="00ED04D1">
        <w:t xml:space="preserve"> respectively</w:t>
      </w:r>
      <w:r>
        <w:t>. Altogether these</w:t>
      </w:r>
      <w:r w:rsidR="00D8613E">
        <w:t xml:space="preserve"> payments amount to </w:t>
      </w:r>
      <w:r w:rsidR="009620AE">
        <w:t xml:space="preserve">exactly </w:t>
      </w:r>
      <w:r w:rsidR="00D8613E">
        <w:t>R4 000 000</w:t>
      </w:r>
      <w:r>
        <w:t>:</w:t>
      </w:r>
    </w:p>
    <w:p w14:paraId="123355E5" w14:textId="52FE17A9" w:rsidR="00665D2B" w:rsidRDefault="00665D2B" w:rsidP="00D464DF">
      <w:pPr>
        <w:spacing w:line="360" w:lineRule="auto"/>
        <w:jc w:val="both"/>
      </w:pPr>
      <w:r>
        <w:lastRenderedPageBreak/>
        <w:t>Amounts paid to account 403576</w:t>
      </w:r>
      <w:r>
        <w:tab/>
      </w:r>
      <w:r>
        <w:tab/>
      </w:r>
      <w:r>
        <w:tab/>
      </w:r>
      <w:r>
        <w:tab/>
      </w:r>
      <w:r>
        <w:tab/>
        <w:t>R1 786 237</w:t>
      </w:r>
      <w:r w:rsidR="002512F8">
        <w:t>.</w:t>
      </w:r>
      <w:r>
        <w:t>55</w:t>
      </w:r>
    </w:p>
    <w:p w14:paraId="4D38D617" w14:textId="78DE9784" w:rsidR="00DD00A0" w:rsidRDefault="00665D2B" w:rsidP="00D464DF">
      <w:pPr>
        <w:spacing w:line="360" w:lineRule="auto"/>
        <w:jc w:val="both"/>
      </w:pPr>
      <w:r>
        <w:t>Royalty payment</w:t>
      </w:r>
      <w:r>
        <w:tab/>
      </w:r>
      <w:r>
        <w:tab/>
      </w:r>
      <w:r>
        <w:tab/>
      </w:r>
      <w:r>
        <w:tab/>
      </w:r>
      <w:r>
        <w:tab/>
      </w:r>
      <w:r>
        <w:tab/>
      </w:r>
      <w:r>
        <w:tab/>
        <w:t>R   300 000</w:t>
      </w:r>
      <w:r w:rsidR="002512F8">
        <w:t>.</w:t>
      </w:r>
      <w:r>
        <w:t>00</w:t>
      </w:r>
    </w:p>
    <w:p w14:paraId="07B5DDCA" w14:textId="0E679D17" w:rsidR="00665D2B" w:rsidRDefault="00665D2B" w:rsidP="00D464DF">
      <w:pPr>
        <w:spacing w:line="360" w:lineRule="auto"/>
        <w:jc w:val="both"/>
      </w:pPr>
      <w:r>
        <w:t>Payments credited to account 407410</w:t>
      </w:r>
      <w:r>
        <w:tab/>
      </w:r>
      <w:r>
        <w:tab/>
      </w:r>
      <w:r>
        <w:tab/>
      </w:r>
      <w:r>
        <w:tab/>
      </w:r>
      <w:r w:rsidRPr="00665D2B">
        <w:rPr>
          <w:u w:val="single"/>
        </w:rPr>
        <w:t>R1 913 762</w:t>
      </w:r>
      <w:r w:rsidR="002512F8">
        <w:rPr>
          <w:u w:val="single"/>
        </w:rPr>
        <w:t>.</w:t>
      </w:r>
      <w:r w:rsidRPr="00665D2B">
        <w:rPr>
          <w:u w:val="single"/>
        </w:rPr>
        <w:t>45</w:t>
      </w:r>
    </w:p>
    <w:p w14:paraId="6E5256E5" w14:textId="380231D4" w:rsidR="00D8613E" w:rsidRDefault="00665D2B" w:rsidP="00D8613E">
      <w:pPr>
        <w:pStyle w:val="ListParagraph"/>
      </w:pPr>
      <w:r>
        <w:tab/>
      </w:r>
      <w:r>
        <w:tab/>
      </w:r>
      <w:r>
        <w:tab/>
      </w:r>
      <w:r>
        <w:tab/>
      </w:r>
      <w:r>
        <w:tab/>
      </w:r>
      <w:r>
        <w:tab/>
      </w:r>
      <w:r>
        <w:tab/>
      </w:r>
      <w:r>
        <w:tab/>
        <w:t>R4 000 000</w:t>
      </w:r>
      <w:r w:rsidR="002512F8">
        <w:t>.</w:t>
      </w:r>
      <w:r>
        <w:t>00</w:t>
      </w:r>
    </w:p>
    <w:p w14:paraId="6DAB1B95" w14:textId="77777777" w:rsidR="00ED04D1" w:rsidRDefault="00ED04D1" w:rsidP="00D8613E">
      <w:pPr>
        <w:pStyle w:val="ListParagraph"/>
      </w:pPr>
    </w:p>
    <w:p w14:paraId="6E6FEC64" w14:textId="77777777" w:rsidR="00665D2B" w:rsidRDefault="00665D2B" w:rsidP="00D8613E">
      <w:pPr>
        <w:pStyle w:val="ListParagraph"/>
      </w:pPr>
    </w:p>
    <w:p w14:paraId="775E0E2A" w14:textId="33293790" w:rsidR="00D8613E" w:rsidRDefault="00D8613E" w:rsidP="005C06DB">
      <w:pPr>
        <w:numPr>
          <w:ilvl w:val="0"/>
          <w:numId w:val="1"/>
        </w:numPr>
        <w:spacing w:line="360" w:lineRule="auto"/>
        <w:jc w:val="both"/>
      </w:pPr>
      <w:r>
        <w:t xml:space="preserve">Although </w:t>
      </w:r>
      <w:r w:rsidR="009620AE">
        <w:t xml:space="preserve">the correctness of </w:t>
      </w:r>
      <w:r>
        <w:t xml:space="preserve">some interest amounts </w:t>
      </w:r>
      <w:r w:rsidR="0035460C">
        <w:t xml:space="preserve">which have been </w:t>
      </w:r>
      <w:r>
        <w:t xml:space="preserve">debited to account </w:t>
      </w:r>
      <w:r w:rsidR="00663024">
        <w:t xml:space="preserve">403576 </w:t>
      </w:r>
      <w:r>
        <w:t xml:space="preserve">during </w:t>
      </w:r>
      <w:r w:rsidR="00663024">
        <w:t>November 2017 to June 2018 have been disputed by the r</w:t>
      </w:r>
      <w:r w:rsidR="009620AE">
        <w:t>espondent, the above allocation</w:t>
      </w:r>
      <w:r w:rsidR="00663024">
        <w:t xml:space="preserve"> of payments</w:t>
      </w:r>
      <w:r w:rsidR="00ED04D1">
        <w:t>/credits</w:t>
      </w:r>
      <w:r w:rsidR="00663024">
        <w:t xml:space="preserve">, although some of </w:t>
      </w:r>
      <w:r w:rsidR="009620AE">
        <w:t xml:space="preserve">the details relating thereto </w:t>
      </w:r>
      <w:r w:rsidR="00663024">
        <w:t xml:space="preserve">emerged </w:t>
      </w:r>
      <w:r w:rsidR="002E5277">
        <w:t>only in the replying affidavit,</w:t>
      </w:r>
      <w:r w:rsidR="009620AE">
        <w:t xml:space="preserve"> </w:t>
      </w:r>
      <w:r w:rsidR="00663024">
        <w:t>ha</w:t>
      </w:r>
      <w:r w:rsidR="009620AE">
        <w:t>s</w:t>
      </w:r>
      <w:r w:rsidR="00663024">
        <w:t xml:space="preserve"> not been </w:t>
      </w:r>
      <w:r w:rsidR="002E5277">
        <w:t>contested in argument</w:t>
      </w:r>
      <w:r w:rsidR="00663024">
        <w:t>.</w:t>
      </w:r>
      <w:r w:rsidR="00ED04D1">
        <w:t xml:space="preserve"> But</w:t>
      </w:r>
      <w:r w:rsidR="0035460C">
        <w:t>,</w:t>
      </w:r>
      <w:r w:rsidR="00ED04D1">
        <w:t xml:space="preserve"> important</w:t>
      </w:r>
      <w:r w:rsidR="0035460C">
        <w:t>ly</w:t>
      </w:r>
      <w:r w:rsidR="00ED04D1">
        <w:t xml:space="preserve"> from the respondent’s perspective, the R4 000 000 which it alleged had not been accounted for, has been properly accounted for. </w:t>
      </w:r>
    </w:p>
    <w:p w14:paraId="1879FD29" w14:textId="77777777" w:rsidR="00DD00A0" w:rsidRDefault="00DD00A0" w:rsidP="009620AE">
      <w:pPr>
        <w:spacing w:line="360" w:lineRule="auto"/>
        <w:jc w:val="both"/>
      </w:pPr>
    </w:p>
    <w:p w14:paraId="1AF1C857" w14:textId="622BB886" w:rsidR="00DD00A0" w:rsidRDefault="002E5277" w:rsidP="00ED04D1">
      <w:pPr>
        <w:numPr>
          <w:ilvl w:val="0"/>
          <w:numId w:val="1"/>
        </w:numPr>
        <w:spacing w:line="360" w:lineRule="auto"/>
        <w:jc w:val="both"/>
      </w:pPr>
      <w:r>
        <w:t>I</w:t>
      </w:r>
      <w:r w:rsidR="00663024">
        <w:t>n its founding affidavit</w:t>
      </w:r>
      <w:r w:rsidR="00914C45">
        <w:t>,</w:t>
      </w:r>
      <w:r w:rsidR="00663024">
        <w:t xml:space="preserve"> </w:t>
      </w:r>
      <w:r>
        <w:t xml:space="preserve">the applicant </w:t>
      </w:r>
      <w:r w:rsidR="00663024">
        <w:t xml:space="preserve">relied on the loan agreement concluded on </w:t>
      </w:r>
      <w:r w:rsidR="00905781">
        <w:t>9 November 2017</w:t>
      </w:r>
      <w:r w:rsidR="00663024">
        <w:t>, that is account 407410, as the underlying causa for the outstanding debt due to it</w:t>
      </w:r>
      <w:r w:rsidR="00ED04D1">
        <w:t xml:space="preserve"> and on which the liquidation </w:t>
      </w:r>
      <w:r w:rsidR="007B642F">
        <w:t xml:space="preserve">application </w:t>
      </w:r>
      <w:r w:rsidR="00ED04D1">
        <w:t>is based</w:t>
      </w:r>
      <w:r w:rsidR="00663024">
        <w:t xml:space="preserve">. In </w:t>
      </w:r>
      <w:r w:rsidR="007B642F">
        <w:t xml:space="preserve">its </w:t>
      </w:r>
      <w:r w:rsidR="00663024">
        <w:t>answering</w:t>
      </w:r>
      <w:r w:rsidR="007B642F">
        <w:t xml:space="preserve"> affidavit</w:t>
      </w:r>
      <w:r w:rsidR="0035460C">
        <w:t>,</w:t>
      </w:r>
      <w:r w:rsidR="00663024">
        <w:t xml:space="preserve"> the respondent alleged that had the R4 000 000 transferred by </w:t>
      </w:r>
      <w:proofErr w:type="spellStart"/>
      <w:r w:rsidR="00663024">
        <w:t>Phipson</w:t>
      </w:r>
      <w:proofErr w:type="spellEnd"/>
      <w:r w:rsidR="00663024">
        <w:t>–De Villiers</w:t>
      </w:r>
      <w:r w:rsidR="007B642F">
        <w:t xml:space="preserve"> Attorneys</w:t>
      </w:r>
      <w:r w:rsidR="00663024">
        <w:t xml:space="preserve"> </w:t>
      </w:r>
      <w:r w:rsidR="00ED04D1">
        <w:t xml:space="preserve">all </w:t>
      </w:r>
      <w:r w:rsidR="00663024">
        <w:t>been allocated to account 407410, it would have extinguished that liability as well</w:t>
      </w:r>
      <w:r w:rsidR="00ED04D1">
        <w:t xml:space="preserve">; </w:t>
      </w:r>
      <w:r w:rsidR="00663024">
        <w:t>hence it owes not</w:t>
      </w:r>
      <w:r w:rsidR="00ED04D1">
        <w:t>h</w:t>
      </w:r>
      <w:r w:rsidR="00663024">
        <w:t>ing to the applicant</w:t>
      </w:r>
      <w:r w:rsidR="00ED04D1">
        <w:t xml:space="preserve"> in respect of account 407410</w:t>
      </w:r>
      <w:r w:rsidR="00014E33">
        <w:t>.</w:t>
      </w:r>
      <w:r w:rsidR="00663024">
        <w:t xml:space="preserve"> </w:t>
      </w:r>
      <w:r w:rsidR="00ED04D1">
        <w:t xml:space="preserve">Insofar as the applicant explained that the R4 000 000 was used on 20 March 2019 to settle an outstanding indebtedness on account 403576, the </w:t>
      </w:r>
      <w:r w:rsidR="00F90476">
        <w:t>respondent complain</w:t>
      </w:r>
      <w:r w:rsidR="00ED04D1">
        <w:t>ed that a different indebtedness was now sought to be relied upon in reply</w:t>
      </w:r>
      <w:r w:rsidR="00060C5B">
        <w:t>. It is of course trite law that an applicant has to make out its case in its founding affidavit,</w:t>
      </w:r>
      <w:r w:rsidR="00060C5B">
        <w:rPr>
          <w:rStyle w:val="FootnoteReference"/>
        </w:rPr>
        <w:footnoteReference w:id="5"/>
      </w:r>
      <w:r w:rsidR="00060C5B">
        <w:t xml:space="preserve"> and not in </w:t>
      </w:r>
      <w:r w:rsidR="00F90476">
        <w:t>reply.</w:t>
      </w:r>
      <w:r w:rsidR="00663024">
        <w:t xml:space="preserve"> </w:t>
      </w:r>
    </w:p>
    <w:p w14:paraId="5A6040CB" w14:textId="77777777" w:rsidR="009620AE" w:rsidRDefault="009620AE" w:rsidP="009620AE">
      <w:pPr>
        <w:spacing w:line="360" w:lineRule="auto"/>
        <w:jc w:val="both"/>
      </w:pPr>
    </w:p>
    <w:p w14:paraId="489F7F28" w14:textId="4C141563" w:rsidR="00DD00A0" w:rsidRDefault="00905781" w:rsidP="005C06DB">
      <w:pPr>
        <w:numPr>
          <w:ilvl w:val="0"/>
          <w:numId w:val="1"/>
        </w:numPr>
        <w:spacing w:line="360" w:lineRule="auto"/>
        <w:jc w:val="both"/>
      </w:pPr>
      <w:r>
        <w:t>It is correct that t</w:t>
      </w:r>
      <w:r w:rsidR="00F90476">
        <w:t>he basis for the applicant’s claim</w:t>
      </w:r>
      <w:r w:rsidR="007B642F">
        <w:t>,</w:t>
      </w:r>
      <w:r w:rsidR="00F90476">
        <w:t xml:space="preserve"> </w:t>
      </w:r>
      <w:r w:rsidR="00060C5B">
        <w:t xml:space="preserve">as </w:t>
      </w:r>
      <w:r w:rsidR="00F90476">
        <w:t>alleged in the founding affidavit</w:t>
      </w:r>
      <w:r w:rsidR="009620AE">
        <w:t>,</w:t>
      </w:r>
      <w:r w:rsidR="00F90476">
        <w:t xml:space="preserve"> i</w:t>
      </w:r>
      <w:r w:rsidR="00060C5B">
        <w:t xml:space="preserve">s confined to the balance owing in respect of account 407410. The applicant cannot </w:t>
      </w:r>
      <w:r w:rsidR="00F90476">
        <w:t>rely on</w:t>
      </w:r>
      <w:r w:rsidR="00060C5B">
        <w:t xml:space="preserve"> amounts owing in respect of</w:t>
      </w:r>
      <w:r w:rsidR="00F90476">
        <w:t xml:space="preserve"> other accounts, because these were not </w:t>
      </w:r>
      <w:r>
        <w:t xml:space="preserve">the causa </w:t>
      </w:r>
      <w:r w:rsidR="00F90476">
        <w:t>alleged</w:t>
      </w:r>
      <w:r w:rsidR="009620AE">
        <w:t xml:space="preserve"> </w:t>
      </w:r>
      <w:r>
        <w:t xml:space="preserve">in the founding affidavit. However, the applicant’s case was </w:t>
      </w:r>
      <w:r w:rsidR="00F90476">
        <w:t xml:space="preserve">not that there </w:t>
      </w:r>
      <w:r w:rsidR="00000DCC">
        <w:t xml:space="preserve">were </w:t>
      </w:r>
      <w:r w:rsidR="00F90476">
        <w:t xml:space="preserve">any outstanding debts owing in respect of </w:t>
      </w:r>
      <w:r w:rsidR="009620AE">
        <w:t xml:space="preserve">any </w:t>
      </w:r>
      <w:r w:rsidR="00F90476">
        <w:t>other accounts</w:t>
      </w:r>
      <w:r>
        <w:t xml:space="preserve"> and causes of action</w:t>
      </w:r>
      <w:r w:rsidR="00F90476">
        <w:t xml:space="preserve">, but that it had allocated the R4 000 000 received to </w:t>
      </w:r>
      <w:r w:rsidR="007B642F">
        <w:t xml:space="preserve">the </w:t>
      </w:r>
      <w:r w:rsidR="00F90476">
        <w:t xml:space="preserve">payment of those accounts, thus </w:t>
      </w:r>
      <w:r w:rsidR="00F90476">
        <w:lastRenderedPageBreak/>
        <w:t xml:space="preserve">extinguishing whatever was owing on those accounts, and leaving only the balance </w:t>
      </w:r>
      <w:r w:rsidR="009620AE">
        <w:t xml:space="preserve">owing </w:t>
      </w:r>
      <w:r>
        <w:t>on account 407410</w:t>
      </w:r>
      <w:r w:rsidR="00060C5B">
        <w:t>, on which it relies for the provisional order</w:t>
      </w:r>
      <w:r>
        <w:t xml:space="preserve">. If the applicant </w:t>
      </w:r>
      <w:r w:rsidR="00F90476">
        <w:t>was entitled to alloc</w:t>
      </w:r>
      <w:r>
        <w:t>ate the payments/credits to th</w:t>
      </w:r>
      <w:r w:rsidR="00F90476">
        <w:t>e accounts</w:t>
      </w:r>
      <w:r>
        <w:t xml:space="preserve"> in the manner</w:t>
      </w:r>
      <w:r w:rsidR="009620AE">
        <w:t xml:space="preserve"> it had done</w:t>
      </w:r>
      <w:r w:rsidR="00F90476">
        <w:t>, then there was nothing wrong, in principle, in its approach</w:t>
      </w:r>
      <w:r w:rsidR="009620AE">
        <w:t xml:space="preserve"> to rely only on the indebtedness remaining on account 407410</w:t>
      </w:r>
      <w:r w:rsidR="00F90476">
        <w:t>. Counsel were agreed that th</w:t>
      </w:r>
      <w:r>
        <w:t xml:space="preserve">e allocation of the R4 000 000 </w:t>
      </w:r>
      <w:r w:rsidR="009620AE">
        <w:t xml:space="preserve">had </w:t>
      </w:r>
      <w:r w:rsidR="00060C5B">
        <w:t xml:space="preserve">thus </w:t>
      </w:r>
      <w:r w:rsidR="009620AE">
        <w:t xml:space="preserve">become </w:t>
      </w:r>
      <w:r w:rsidR="00F90476">
        <w:t xml:space="preserve">the central issue for determination. This </w:t>
      </w:r>
      <w:r w:rsidR="009620AE">
        <w:t xml:space="preserve">then </w:t>
      </w:r>
      <w:r w:rsidR="00060C5B">
        <w:t xml:space="preserve">turns to an </w:t>
      </w:r>
      <w:r w:rsidR="00F90476">
        <w:t>enquiry into the issue</w:t>
      </w:r>
      <w:r w:rsidR="00014E33">
        <w:t xml:space="preserve"> </w:t>
      </w:r>
      <w:r w:rsidR="00F90476">
        <w:t>whether such an allocation was permitted in the light of the relevant applicable legal principles</w:t>
      </w:r>
      <w:r w:rsidR="00060C5B">
        <w:t>. N</w:t>
      </w:r>
      <w:r w:rsidR="00F90476">
        <w:t xml:space="preserve">either party had really addressed </w:t>
      </w:r>
      <w:r w:rsidR="00060C5B">
        <w:t xml:space="preserve">this issue </w:t>
      </w:r>
      <w:r w:rsidR="00F90476">
        <w:t>in their heads of argument</w:t>
      </w:r>
      <w:r w:rsidR="009620AE">
        <w:t xml:space="preserve">, but </w:t>
      </w:r>
      <w:r w:rsidR="00060C5B">
        <w:t xml:space="preserve">it was dealt with </w:t>
      </w:r>
      <w:r w:rsidR="009620AE">
        <w:t>fully in argument, after also allowing the matter to stand down over the short adjournment</w:t>
      </w:r>
      <w:r w:rsidR="00F90476">
        <w:t>.</w:t>
      </w:r>
    </w:p>
    <w:p w14:paraId="29DDFB4C" w14:textId="2514AD4B" w:rsidR="00DD00A0" w:rsidRDefault="00DD00A0" w:rsidP="00F90476">
      <w:pPr>
        <w:spacing w:line="360" w:lineRule="auto"/>
        <w:jc w:val="both"/>
      </w:pPr>
    </w:p>
    <w:p w14:paraId="7D77AECB" w14:textId="44BE1268" w:rsidR="00874EAD" w:rsidRDefault="00874EAD" w:rsidP="00297E3F">
      <w:pPr>
        <w:numPr>
          <w:ilvl w:val="0"/>
          <w:numId w:val="1"/>
        </w:numPr>
        <w:spacing w:line="360" w:lineRule="auto"/>
        <w:contextualSpacing/>
        <w:jc w:val="both"/>
      </w:pPr>
      <w:r>
        <w:t xml:space="preserve">The relevant legal principles </w:t>
      </w:r>
      <w:r w:rsidR="009620AE">
        <w:t xml:space="preserve">regarding the allocation of payments made/received in a debtor/creditor relationship, </w:t>
      </w:r>
      <w:r>
        <w:t xml:space="preserve">have been summarized in </w:t>
      </w:r>
      <w:proofErr w:type="spellStart"/>
      <w:r w:rsidRPr="000D2318">
        <w:rPr>
          <w:i/>
        </w:rPr>
        <w:t>Ebrahim</w:t>
      </w:r>
      <w:proofErr w:type="spellEnd"/>
      <w:r w:rsidR="000D2318">
        <w:rPr>
          <w:i/>
        </w:rPr>
        <w:t xml:space="preserve"> (Pty) Ltd v Mahomed</w:t>
      </w:r>
      <w:r w:rsidR="000D2318" w:rsidRPr="00731258">
        <w:rPr>
          <w:rStyle w:val="FootnoteReference"/>
        </w:rPr>
        <w:footnoteReference w:id="6"/>
      </w:r>
      <w:r w:rsidRPr="002512F8">
        <w:t xml:space="preserve"> </w:t>
      </w:r>
      <w:r w:rsidR="00263B73">
        <w:t xml:space="preserve">and are stated by </w:t>
      </w:r>
      <w:r w:rsidR="00263B73" w:rsidRPr="00731258">
        <w:rPr>
          <w:i/>
        </w:rPr>
        <w:t>Christie</w:t>
      </w:r>
      <w:r w:rsidR="002512F8" w:rsidRPr="00731258">
        <w:rPr>
          <w:i/>
        </w:rPr>
        <w:t>’s</w:t>
      </w:r>
      <w:r w:rsidR="00263B73" w:rsidRPr="00731258">
        <w:rPr>
          <w:i/>
        </w:rPr>
        <w:t xml:space="preserve"> </w:t>
      </w:r>
      <w:r w:rsidR="00263B73" w:rsidRPr="00263B73">
        <w:rPr>
          <w:i/>
        </w:rPr>
        <w:t>Law of Contract in South Africa</w:t>
      </w:r>
      <w:r w:rsidR="00263B73">
        <w:rPr>
          <w:rStyle w:val="FootnoteReference"/>
        </w:rPr>
        <w:footnoteReference w:id="7"/>
      </w:r>
      <w:r w:rsidR="00263B73">
        <w:t xml:space="preserve"> </w:t>
      </w:r>
      <w:r>
        <w:t>as follows:</w:t>
      </w:r>
    </w:p>
    <w:p w14:paraId="474D543E" w14:textId="77777777" w:rsidR="00297E3F" w:rsidRPr="00297E3F" w:rsidRDefault="00263B73" w:rsidP="00297E3F">
      <w:pPr>
        <w:autoSpaceDE w:val="0"/>
        <w:autoSpaceDN w:val="0"/>
        <w:adjustRightInd w:val="0"/>
        <w:spacing w:line="360" w:lineRule="auto"/>
        <w:contextualSpacing/>
        <w:jc w:val="both"/>
        <w:rPr>
          <w:rFonts w:eastAsia="Calibri"/>
          <w:color w:val="CD0000"/>
          <w:sz w:val="22"/>
          <w:szCs w:val="22"/>
          <w:lang w:val="en-US"/>
        </w:rPr>
      </w:pPr>
      <w:r w:rsidRPr="00263B73">
        <w:rPr>
          <w:sz w:val="22"/>
          <w:szCs w:val="22"/>
        </w:rPr>
        <w:t>‘</w:t>
      </w:r>
      <w:r w:rsidR="00297E3F" w:rsidRPr="00297E3F">
        <w:rPr>
          <w:rFonts w:eastAsia="Calibri"/>
          <w:color w:val="000000"/>
          <w:sz w:val="22"/>
          <w:szCs w:val="22"/>
          <w:lang w:val="en-US"/>
        </w:rPr>
        <w:t>(1) The general principle is that the payment ought to be appropriated to the debt which the debtor had the most interest in discharging, that is to say, the debt bearing most heavily on the debtor, and the rules should be used as a guide towards that end, bearing in mind the circumstances of the particular case.</w:t>
      </w:r>
    </w:p>
    <w:p w14:paraId="7CA5BAB7" w14:textId="77777777" w:rsidR="00297E3F" w:rsidRPr="00297E3F" w:rsidRDefault="00297E3F" w:rsidP="00297E3F">
      <w:pPr>
        <w:autoSpaceDE w:val="0"/>
        <w:autoSpaceDN w:val="0"/>
        <w:adjustRightInd w:val="0"/>
        <w:spacing w:line="360" w:lineRule="auto"/>
        <w:contextualSpacing/>
        <w:jc w:val="both"/>
        <w:rPr>
          <w:rFonts w:eastAsia="Calibri"/>
          <w:color w:val="CD0000"/>
          <w:sz w:val="22"/>
          <w:szCs w:val="22"/>
          <w:lang w:val="en-US"/>
        </w:rPr>
      </w:pPr>
      <w:r w:rsidRPr="00297E3F">
        <w:rPr>
          <w:rFonts w:eastAsia="Calibri"/>
          <w:color w:val="000000"/>
          <w:sz w:val="22"/>
          <w:szCs w:val="22"/>
          <w:lang w:val="en-US"/>
        </w:rPr>
        <w:t xml:space="preserve">(2) The limitations upon the creditor's right to appropriate must also be </w:t>
      </w:r>
      <w:proofErr w:type="spellStart"/>
      <w:r w:rsidRPr="00297E3F">
        <w:rPr>
          <w:rFonts w:eastAsia="Calibri"/>
          <w:color w:val="000000"/>
          <w:sz w:val="22"/>
          <w:szCs w:val="22"/>
          <w:lang w:val="en-US"/>
        </w:rPr>
        <w:t>recognised</w:t>
      </w:r>
      <w:proofErr w:type="spellEnd"/>
      <w:r w:rsidRPr="00297E3F">
        <w:rPr>
          <w:rFonts w:eastAsia="Calibri"/>
          <w:color w:val="000000"/>
          <w:sz w:val="22"/>
          <w:szCs w:val="22"/>
          <w:lang w:val="en-US"/>
        </w:rPr>
        <w:t xml:space="preserve"> if the creditor has not appropriated. So an admitted debt must be paid before a disputed debt, a debt that is due must be paid before one not yet due, and an enforceable debt must be paid before an unenforceable one.</w:t>
      </w:r>
    </w:p>
    <w:p w14:paraId="7CF909C5" w14:textId="77777777" w:rsidR="00297E3F" w:rsidRPr="00297E3F" w:rsidRDefault="00297E3F" w:rsidP="00297E3F">
      <w:pPr>
        <w:autoSpaceDE w:val="0"/>
        <w:autoSpaceDN w:val="0"/>
        <w:adjustRightInd w:val="0"/>
        <w:spacing w:line="360" w:lineRule="auto"/>
        <w:contextualSpacing/>
        <w:jc w:val="both"/>
        <w:rPr>
          <w:rFonts w:eastAsia="Calibri"/>
          <w:color w:val="000000"/>
          <w:sz w:val="22"/>
          <w:szCs w:val="22"/>
          <w:lang w:val="en-US"/>
        </w:rPr>
      </w:pPr>
      <w:r w:rsidRPr="00297E3F">
        <w:rPr>
          <w:rFonts w:eastAsia="Calibri"/>
          <w:color w:val="000000"/>
          <w:sz w:val="22"/>
          <w:szCs w:val="22"/>
          <w:lang w:val="en-US"/>
        </w:rPr>
        <w:t xml:space="preserve">(3) </w:t>
      </w:r>
      <w:r w:rsidRPr="00297E3F">
        <w:rPr>
          <w:rFonts w:eastAsia="Calibri"/>
          <w:i/>
          <w:iCs/>
          <w:color w:val="000000"/>
          <w:sz w:val="22"/>
          <w:szCs w:val="22"/>
          <w:lang w:val="en-US"/>
        </w:rPr>
        <w:t xml:space="preserve">In </w:t>
      </w:r>
      <w:proofErr w:type="spellStart"/>
      <w:r w:rsidRPr="00297E3F">
        <w:rPr>
          <w:rFonts w:eastAsia="Calibri"/>
          <w:i/>
          <w:iCs/>
          <w:color w:val="000000"/>
          <w:sz w:val="22"/>
          <w:szCs w:val="22"/>
          <w:lang w:val="en-US"/>
        </w:rPr>
        <w:t>favorem</w:t>
      </w:r>
      <w:proofErr w:type="spellEnd"/>
      <w:r w:rsidRPr="00297E3F">
        <w:rPr>
          <w:rFonts w:eastAsia="Calibri"/>
          <w:i/>
          <w:iCs/>
          <w:color w:val="000000"/>
          <w:sz w:val="22"/>
          <w:szCs w:val="22"/>
          <w:lang w:val="en-US"/>
        </w:rPr>
        <w:t xml:space="preserve"> </w:t>
      </w:r>
      <w:proofErr w:type="spellStart"/>
      <w:r w:rsidRPr="00297E3F">
        <w:rPr>
          <w:rFonts w:eastAsia="Calibri"/>
          <w:i/>
          <w:iCs/>
          <w:color w:val="000000"/>
          <w:sz w:val="22"/>
          <w:szCs w:val="22"/>
          <w:lang w:val="en-US"/>
        </w:rPr>
        <w:t>libertatis</w:t>
      </w:r>
      <w:proofErr w:type="spellEnd"/>
      <w:r w:rsidRPr="00297E3F">
        <w:rPr>
          <w:rFonts w:eastAsia="Calibri"/>
          <w:color w:val="000000"/>
          <w:sz w:val="22"/>
          <w:szCs w:val="22"/>
          <w:lang w:val="en-US"/>
        </w:rPr>
        <w:t>, a judgment debt on which a writ of execution has been obtained will normally rank first</w:t>
      </w:r>
    </w:p>
    <w:p w14:paraId="78F8BE2D" w14:textId="77777777" w:rsidR="00297E3F" w:rsidRPr="00297E3F" w:rsidRDefault="00297E3F" w:rsidP="00297E3F">
      <w:pPr>
        <w:autoSpaceDE w:val="0"/>
        <w:autoSpaceDN w:val="0"/>
        <w:adjustRightInd w:val="0"/>
        <w:spacing w:line="360" w:lineRule="auto"/>
        <w:contextualSpacing/>
        <w:jc w:val="both"/>
        <w:rPr>
          <w:rFonts w:eastAsia="Calibri"/>
          <w:color w:val="CD0000"/>
          <w:sz w:val="22"/>
          <w:szCs w:val="22"/>
          <w:lang w:val="en-US"/>
        </w:rPr>
      </w:pPr>
      <w:proofErr w:type="gramStart"/>
      <w:r w:rsidRPr="00297E3F">
        <w:rPr>
          <w:rFonts w:eastAsia="Calibri"/>
          <w:color w:val="000000"/>
          <w:sz w:val="22"/>
          <w:szCs w:val="22"/>
          <w:lang w:val="en-US"/>
        </w:rPr>
        <w:t>for</w:t>
      </w:r>
      <w:proofErr w:type="gramEnd"/>
      <w:r w:rsidRPr="00297E3F">
        <w:rPr>
          <w:rFonts w:eastAsia="Calibri"/>
          <w:color w:val="000000"/>
          <w:sz w:val="22"/>
          <w:szCs w:val="22"/>
          <w:lang w:val="en-US"/>
        </w:rPr>
        <w:t xml:space="preserve"> payment, followed by a judgment debt, followed by a debt subject to </w:t>
      </w:r>
      <w:proofErr w:type="spellStart"/>
      <w:r w:rsidRPr="00297E3F">
        <w:rPr>
          <w:rFonts w:eastAsia="Calibri"/>
          <w:i/>
          <w:iCs/>
          <w:color w:val="000000"/>
          <w:sz w:val="22"/>
          <w:szCs w:val="22"/>
          <w:lang w:val="en-US"/>
        </w:rPr>
        <w:t>parate</w:t>
      </w:r>
      <w:proofErr w:type="spellEnd"/>
      <w:r w:rsidRPr="00297E3F">
        <w:rPr>
          <w:rFonts w:eastAsia="Calibri"/>
          <w:i/>
          <w:iCs/>
          <w:color w:val="000000"/>
          <w:sz w:val="22"/>
          <w:szCs w:val="22"/>
          <w:lang w:val="en-US"/>
        </w:rPr>
        <w:t xml:space="preserve"> </w:t>
      </w:r>
      <w:proofErr w:type="spellStart"/>
      <w:r w:rsidRPr="00297E3F">
        <w:rPr>
          <w:rFonts w:eastAsia="Calibri"/>
          <w:i/>
          <w:iCs/>
          <w:color w:val="000000"/>
          <w:sz w:val="22"/>
          <w:szCs w:val="22"/>
          <w:lang w:val="en-US"/>
        </w:rPr>
        <w:t>executie</w:t>
      </w:r>
      <w:proofErr w:type="spellEnd"/>
      <w:r w:rsidRPr="00297E3F">
        <w:rPr>
          <w:rFonts w:eastAsia="Calibri"/>
          <w:color w:val="000000"/>
          <w:sz w:val="22"/>
          <w:szCs w:val="22"/>
          <w:lang w:val="en-US"/>
        </w:rPr>
        <w:t xml:space="preserve">, followed by a debt subject to any other penalty in the sense of some additional enforceable obligation which the debtor can avoid by paying the debt when it falls due. </w:t>
      </w:r>
      <w:r w:rsidRPr="00297E3F">
        <w:rPr>
          <w:rFonts w:eastAsia="Calibri"/>
          <w:i/>
          <w:iCs/>
          <w:color w:val="000000"/>
          <w:sz w:val="22"/>
          <w:szCs w:val="22"/>
          <w:lang w:val="en-US"/>
        </w:rPr>
        <w:t>Inter alia</w:t>
      </w:r>
      <w:r w:rsidRPr="00297E3F">
        <w:rPr>
          <w:rFonts w:eastAsia="Calibri"/>
          <w:color w:val="000000"/>
          <w:sz w:val="22"/>
          <w:szCs w:val="22"/>
          <w:lang w:val="en-US"/>
        </w:rPr>
        <w:t>, the accruing of interest and an acceleration clause rank as penalties for this purpose, but the fact that one debt is on a liquid document on which provisional sentence might be granted does not.</w:t>
      </w:r>
    </w:p>
    <w:p w14:paraId="79A4CF09" w14:textId="77777777" w:rsidR="00297E3F" w:rsidRPr="00297E3F" w:rsidRDefault="00297E3F" w:rsidP="00297E3F">
      <w:pPr>
        <w:autoSpaceDE w:val="0"/>
        <w:autoSpaceDN w:val="0"/>
        <w:adjustRightInd w:val="0"/>
        <w:spacing w:line="360" w:lineRule="auto"/>
        <w:contextualSpacing/>
        <w:jc w:val="both"/>
        <w:rPr>
          <w:rFonts w:eastAsia="Calibri"/>
          <w:color w:val="CD0000"/>
          <w:sz w:val="22"/>
          <w:szCs w:val="22"/>
          <w:lang w:val="en-US"/>
        </w:rPr>
      </w:pPr>
      <w:r w:rsidRPr="00297E3F">
        <w:rPr>
          <w:rFonts w:eastAsia="Calibri"/>
          <w:color w:val="000000"/>
          <w:sz w:val="22"/>
          <w:szCs w:val="22"/>
          <w:lang w:val="en-US"/>
        </w:rPr>
        <w:lastRenderedPageBreak/>
        <w:t>(4) A debt that is secured by a mortgage or pledge or a surety should be paid before an unsecured debt, a debt for which the debtor is solely liable before one for which it is jointly or jointly and severally liable, and one for which it is liable as principal before one for which it is liable as surety.</w:t>
      </w:r>
    </w:p>
    <w:p w14:paraId="23081326" w14:textId="6B618AFC" w:rsidR="00263B73" w:rsidRPr="00263B73" w:rsidRDefault="00297E3F" w:rsidP="00263B73">
      <w:pPr>
        <w:spacing w:line="360" w:lineRule="auto"/>
        <w:contextualSpacing/>
        <w:jc w:val="both"/>
        <w:rPr>
          <w:sz w:val="22"/>
          <w:szCs w:val="22"/>
        </w:rPr>
      </w:pPr>
      <w:r w:rsidRPr="00297E3F">
        <w:rPr>
          <w:rFonts w:eastAsia="Calibri"/>
          <w:color w:val="000000"/>
          <w:sz w:val="22"/>
          <w:szCs w:val="22"/>
          <w:lang w:val="en-US"/>
        </w:rPr>
        <w:t>(5) If the debts are equal in all other respects, the payment should be appropriated to the oldest, that is to say, the first contracted</w:t>
      </w:r>
      <w:r w:rsidR="00263B73" w:rsidRPr="00263B73">
        <w:rPr>
          <w:sz w:val="22"/>
          <w:szCs w:val="22"/>
        </w:rPr>
        <w:t>.</w:t>
      </w:r>
      <w:r>
        <w:rPr>
          <w:sz w:val="22"/>
          <w:szCs w:val="22"/>
        </w:rPr>
        <w:t>’ (Footnotes omitted.)</w:t>
      </w:r>
    </w:p>
    <w:p w14:paraId="1AD109D7" w14:textId="77777777" w:rsidR="00874EAD" w:rsidRDefault="00874EAD" w:rsidP="00263B73"/>
    <w:p w14:paraId="607335D3" w14:textId="39854351" w:rsidR="00874EAD" w:rsidRDefault="00F90476" w:rsidP="005C06DB">
      <w:pPr>
        <w:numPr>
          <w:ilvl w:val="0"/>
          <w:numId w:val="1"/>
        </w:numPr>
        <w:spacing w:line="360" w:lineRule="auto"/>
        <w:jc w:val="both"/>
      </w:pPr>
      <w:r>
        <w:t>Common to both</w:t>
      </w:r>
      <w:r w:rsidR="00874EAD">
        <w:t xml:space="preserve"> loan agreements under </w:t>
      </w:r>
      <w:r w:rsidR="007B642F">
        <w:t xml:space="preserve">accounts </w:t>
      </w:r>
      <w:r w:rsidR="00874EAD">
        <w:t>403576 and 407410, as a standard term and condition</w:t>
      </w:r>
      <w:r w:rsidR="003B3ECA">
        <w:t>,</w:t>
      </w:r>
      <w:r w:rsidR="00874EAD">
        <w:t xml:space="preserve"> is</w:t>
      </w:r>
      <w:r w:rsidR="006B3D13">
        <w:t xml:space="preserve"> clause 7.2</w:t>
      </w:r>
      <w:r w:rsidR="00874EAD">
        <w:t>:</w:t>
      </w:r>
    </w:p>
    <w:p w14:paraId="240E84B5" w14:textId="53299688" w:rsidR="00874EAD" w:rsidRPr="00874EAD" w:rsidRDefault="00874EAD" w:rsidP="00874EAD">
      <w:pPr>
        <w:spacing w:line="360" w:lineRule="auto"/>
        <w:jc w:val="both"/>
        <w:rPr>
          <w:sz w:val="22"/>
          <w:szCs w:val="22"/>
        </w:rPr>
      </w:pPr>
      <w:r>
        <w:t>‘</w:t>
      </w:r>
      <w:r w:rsidRPr="00874EAD">
        <w:rPr>
          <w:sz w:val="22"/>
          <w:szCs w:val="22"/>
        </w:rPr>
        <w:t>7.2</w:t>
      </w:r>
      <w:r w:rsidRPr="00874EAD">
        <w:rPr>
          <w:sz w:val="22"/>
          <w:szCs w:val="22"/>
        </w:rPr>
        <w:tab/>
        <w:t>Any payment received from the Borrower shall, in the first instance, be utilised against interest and sundry expenses, and thereafter against the principal debt.’</w:t>
      </w:r>
    </w:p>
    <w:p w14:paraId="7D2A6D3E" w14:textId="77777777" w:rsidR="00874EAD" w:rsidRDefault="00874EAD" w:rsidP="00874EAD">
      <w:pPr>
        <w:pStyle w:val="ListParagraph"/>
      </w:pPr>
    </w:p>
    <w:p w14:paraId="5FADDFFA" w14:textId="487457C9" w:rsidR="00874EAD" w:rsidRDefault="006B3D13" w:rsidP="005C06DB">
      <w:pPr>
        <w:numPr>
          <w:ilvl w:val="0"/>
          <w:numId w:val="1"/>
        </w:numPr>
        <w:spacing w:line="360" w:lineRule="auto"/>
        <w:jc w:val="both"/>
      </w:pPr>
      <w:r>
        <w:t>This provision</w:t>
      </w:r>
      <w:r w:rsidR="00874EAD">
        <w:t xml:space="preserve"> simply restates the common law position dealing with the appropriation of payments in respect of a single </w:t>
      </w:r>
      <w:r w:rsidR="003B3ECA">
        <w:t xml:space="preserve">debt owing, </w:t>
      </w:r>
      <w:r w:rsidR="00874EAD">
        <w:t>compris</w:t>
      </w:r>
      <w:r>
        <w:t>ing</w:t>
      </w:r>
      <w:r w:rsidR="00874EAD">
        <w:t xml:space="preserve"> </w:t>
      </w:r>
      <w:r w:rsidR="003778C0">
        <w:t xml:space="preserve">of </w:t>
      </w:r>
      <w:r w:rsidR="00874EAD">
        <w:t xml:space="preserve">capital and interest. </w:t>
      </w:r>
      <w:r w:rsidR="005328C6">
        <w:t xml:space="preserve">The principle </w:t>
      </w:r>
      <w:r>
        <w:t xml:space="preserve">is also confirmed in </w:t>
      </w:r>
      <w:r w:rsidR="00874EAD" w:rsidRPr="003B3ECA">
        <w:rPr>
          <w:i/>
        </w:rPr>
        <w:t xml:space="preserve">Standard Bank </w:t>
      </w:r>
      <w:r w:rsidR="003B3ECA" w:rsidRPr="003B3ECA">
        <w:rPr>
          <w:i/>
        </w:rPr>
        <w:t>of South Africa</w:t>
      </w:r>
      <w:r w:rsidR="00EB5678">
        <w:rPr>
          <w:i/>
        </w:rPr>
        <w:t xml:space="preserve"> Ltd</w:t>
      </w:r>
      <w:r w:rsidR="003B3ECA" w:rsidRPr="003B3ECA">
        <w:rPr>
          <w:i/>
        </w:rPr>
        <w:t xml:space="preserve"> </w:t>
      </w:r>
      <w:r w:rsidR="00874EAD" w:rsidRPr="003B3ECA">
        <w:rPr>
          <w:i/>
        </w:rPr>
        <w:t xml:space="preserve">v </w:t>
      </w:r>
      <w:proofErr w:type="spellStart"/>
      <w:r w:rsidR="00874EAD" w:rsidRPr="003B3ECA">
        <w:rPr>
          <w:i/>
        </w:rPr>
        <w:t>Onea</w:t>
      </w:r>
      <w:r w:rsidR="00EB5678">
        <w:rPr>
          <w:i/>
        </w:rPr>
        <w:t>na</w:t>
      </w:r>
      <w:r w:rsidR="00874EAD" w:rsidRPr="003B3ECA">
        <w:rPr>
          <w:i/>
        </w:rPr>
        <w:t>te</w:t>
      </w:r>
      <w:proofErr w:type="spellEnd"/>
      <w:r w:rsidR="00874EAD" w:rsidRPr="003B3ECA">
        <w:rPr>
          <w:i/>
        </w:rPr>
        <w:t xml:space="preserve"> </w:t>
      </w:r>
      <w:r w:rsidR="003B3ECA" w:rsidRPr="003B3ECA">
        <w:rPr>
          <w:i/>
        </w:rPr>
        <w:t>Investments (Pty) Ltd (in liquidation).</w:t>
      </w:r>
      <w:r w:rsidR="003B3ECA">
        <w:rPr>
          <w:rStyle w:val="FootnoteReference"/>
        </w:rPr>
        <w:footnoteReference w:id="8"/>
      </w:r>
      <w:r w:rsidR="00874EAD">
        <w:t xml:space="preserve"> </w:t>
      </w:r>
      <w:r>
        <w:t xml:space="preserve">The provision </w:t>
      </w:r>
      <w:r w:rsidR="00874EAD">
        <w:t xml:space="preserve">does not deal with </w:t>
      </w:r>
      <w:r>
        <w:t xml:space="preserve">the situation of </w:t>
      </w:r>
      <w:r w:rsidR="00874EAD">
        <w:t xml:space="preserve">competing debts. In that regard, the legal principles summarized </w:t>
      </w:r>
      <w:r w:rsidR="000A7B2E">
        <w:t xml:space="preserve">in </w:t>
      </w:r>
      <w:r w:rsidR="003B3ECA" w:rsidRPr="00731258">
        <w:rPr>
          <w:i/>
        </w:rPr>
        <w:t>Christie</w:t>
      </w:r>
      <w:r w:rsidR="000A7B2E">
        <w:rPr>
          <w:i/>
        </w:rPr>
        <w:t>’s Law of Contract in South Africa</w:t>
      </w:r>
      <w:r w:rsidR="003B3ECA">
        <w:t xml:space="preserve"> </w:t>
      </w:r>
      <w:r w:rsidR="00874EAD">
        <w:t xml:space="preserve">above apply.  </w:t>
      </w:r>
    </w:p>
    <w:p w14:paraId="300D4F4E" w14:textId="77777777" w:rsidR="00874EAD" w:rsidRDefault="00874EAD" w:rsidP="00874EAD">
      <w:pPr>
        <w:pStyle w:val="ListParagraph"/>
      </w:pPr>
    </w:p>
    <w:p w14:paraId="361F9CB5" w14:textId="776AB5BB" w:rsidR="003B3ECA" w:rsidRDefault="00874EAD" w:rsidP="003B3ECA">
      <w:pPr>
        <w:numPr>
          <w:ilvl w:val="0"/>
          <w:numId w:val="1"/>
        </w:numPr>
        <w:spacing w:line="360" w:lineRule="auto"/>
        <w:jc w:val="both"/>
      </w:pPr>
      <w:r>
        <w:t>There is no evidence that the respondent had s</w:t>
      </w:r>
      <w:r w:rsidR="003B3ECA">
        <w:t xml:space="preserve">pecified </w:t>
      </w:r>
      <w:r>
        <w:t xml:space="preserve">that the </w:t>
      </w:r>
      <w:r w:rsidR="003B3ECA">
        <w:t xml:space="preserve">R4 000 000 </w:t>
      </w:r>
      <w:r>
        <w:t xml:space="preserve">payment should be appropriated to account 407410. That much was accepted </w:t>
      </w:r>
      <w:r w:rsidR="003B3ECA">
        <w:t xml:space="preserve">on behalf of the respondent. Had </w:t>
      </w:r>
      <w:r>
        <w:t>it d</w:t>
      </w:r>
      <w:r w:rsidR="003B3ECA">
        <w:t>one so</w:t>
      </w:r>
      <w:r w:rsidR="006B3D13">
        <w:t>,</w:t>
      </w:r>
      <w:r w:rsidR="003B3ECA">
        <w:t xml:space="preserve"> as </w:t>
      </w:r>
      <w:r>
        <w:t xml:space="preserve">a </w:t>
      </w:r>
      <w:r w:rsidR="003B3ECA">
        <w:t xml:space="preserve">condition of </w:t>
      </w:r>
      <w:r>
        <w:t>payment</w:t>
      </w:r>
      <w:r w:rsidR="003B3ECA">
        <w:t xml:space="preserve">, </w:t>
      </w:r>
      <w:r>
        <w:t xml:space="preserve">such condition could have been refused by the applicant. </w:t>
      </w:r>
      <w:r w:rsidR="00F57798">
        <w:t>There is also no evidence that the respondent had the most interest in discharging the debt on account 407410, or that it weighed mo</w:t>
      </w:r>
      <w:r w:rsidR="006B3D13">
        <w:t>re</w:t>
      </w:r>
      <w:r w:rsidR="00F57798">
        <w:t xml:space="preserve"> heavily on it</w:t>
      </w:r>
      <w:r w:rsidR="003B3ECA">
        <w:t xml:space="preserve">, than the other debts paid from the R4 000 000. </w:t>
      </w:r>
      <w:r w:rsidR="00F57798">
        <w:t xml:space="preserve">The </w:t>
      </w:r>
      <w:r w:rsidR="006B3D13">
        <w:t xml:space="preserve">respondent has not shown that the </w:t>
      </w:r>
      <w:r w:rsidR="00F57798">
        <w:t xml:space="preserve">balance on each account was </w:t>
      </w:r>
      <w:r w:rsidR="006B3D13">
        <w:t xml:space="preserve">not </w:t>
      </w:r>
      <w:r w:rsidR="00F57798">
        <w:t xml:space="preserve">due, </w:t>
      </w:r>
      <w:r w:rsidR="006B3D13">
        <w:t xml:space="preserve">owing and payable. It is not a case that the </w:t>
      </w:r>
      <w:r w:rsidR="00F57798">
        <w:t xml:space="preserve">debt on </w:t>
      </w:r>
      <w:r w:rsidR="006B3D13">
        <w:t xml:space="preserve">account </w:t>
      </w:r>
      <w:r w:rsidR="00F57798">
        <w:t xml:space="preserve">407410 </w:t>
      </w:r>
      <w:r w:rsidR="006B3D13">
        <w:t xml:space="preserve">was </w:t>
      </w:r>
      <w:r w:rsidR="00F57798">
        <w:t xml:space="preserve">due but that on </w:t>
      </w:r>
      <w:r w:rsidR="006B3D13">
        <w:t xml:space="preserve">account </w:t>
      </w:r>
      <w:r w:rsidR="00F57798">
        <w:t>403576</w:t>
      </w:r>
      <w:r w:rsidR="006B3D13">
        <w:t xml:space="preserve"> </w:t>
      </w:r>
      <w:r w:rsidR="007B642F">
        <w:t xml:space="preserve">it </w:t>
      </w:r>
      <w:r w:rsidR="006B3D13">
        <w:t>was not, or that the latter debt was unenforceable. Indeed</w:t>
      </w:r>
      <w:r w:rsidR="007B642F">
        <w:t>,</w:t>
      </w:r>
      <w:r w:rsidR="006B3D13">
        <w:t xml:space="preserve"> the debt on account 403576 was the older debt.</w:t>
      </w:r>
      <w:r w:rsidR="00F57798">
        <w:t xml:space="preserve"> </w:t>
      </w:r>
    </w:p>
    <w:p w14:paraId="21AABDBC" w14:textId="77777777" w:rsidR="003B3ECA" w:rsidRDefault="003B3ECA" w:rsidP="003B3ECA">
      <w:pPr>
        <w:pStyle w:val="ListParagraph"/>
      </w:pPr>
    </w:p>
    <w:p w14:paraId="6DD1B62A" w14:textId="6156BA75" w:rsidR="00DB2161" w:rsidRDefault="00F57798" w:rsidP="00DB2161">
      <w:pPr>
        <w:numPr>
          <w:ilvl w:val="0"/>
          <w:numId w:val="1"/>
        </w:numPr>
        <w:spacing w:line="360" w:lineRule="auto"/>
        <w:jc w:val="both"/>
      </w:pPr>
      <w:r>
        <w:t xml:space="preserve">It was argued </w:t>
      </w:r>
      <w:r w:rsidR="003B3ECA">
        <w:t xml:space="preserve">on behalf of the respondent </w:t>
      </w:r>
      <w:r>
        <w:t>that the debt under account 407410 was secured by the mortgage bond</w:t>
      </w:r>
      <w:r w:rsidR="006B3D13">
        <w:t xml:space="preserve">. But that is not </w:t>
      </w:r>
      <w:r w:rsidR="00E53A57">
        <w:t xml:space="preserve">entirely </w:t>
      </w:r>
      <w:r w:rsidR="006B3D13">
        <w:t xml:space="preserve">correct. The mortgage bond is </w:t>
      </w:r>
      <w:r>
        <w:t xml:space="preserve">a general covering bond, so </w:t>
      </w:r>
      <w:r w:rsidR="006B3D13">
        <w:t>it would cover any debt outstanding by the res</w:t>
      </w:r>
      <w:r w:rsidR="005328C6">
        <w:t xml:space="preserve">pondent to the </w:t>
      </w:r>
      <w:r w:rsidR="005328C6">
        <w:lastRenderedPageBreak/>
        <w:t>applicant</w:t>
      </w:r>
      <w:r w:rsidR="003778C0">
        <w:t>,</w:t>
      </w:r>
      <w:r w:rsidR="005328C6">
        <w:t xml:space="preserve"> including the royalty payment</w:t>
      </w:r>
      <w:r w:rsidR="006B3D13">
        <w:t xml:space="preserve">. </w:t>
      </w:r>
      <w:r>
        <w:t xml:space="preserve">It </w:t>
      </w:r>
      <w:r w:rsidR="003B3ECA">
        <w:t xml:space="preserve">is so </w:t>
      </w:r>
      <w:r>
        <w:t xml:space="preserve">that the R4 000 000 </w:t>
      </w:r>
      <w:r w:rsidR="003B3ECA">
        <w:t xml:space="preserve">was earned from the proceeds of </w:t>
      </w:r>
      <w:r>
        <w:t>land and buildings being constructed</w:t>
      </w:r>
      <w:r w:rsidR="00DB2161">
        <w:t xml:space="preserve"> and sold</w:t>
      </w:r>
      <w:r>
        <w:t xml:space="preserve">, as </w:t>
      </w:r>
      <w:r w:rsidR="005328C6">
        <w:t>contemplated for part of the finance to be provided pursuant to</w:t>
      </w:r>
      <w:r>
        <w:t xml:space="preserve"> the loan agreement relating to </w:t>
      </w:r>
      <w:r w:rsidR="005328C6">
        <w:t xml:space="preserve">account </w:t>
      </w:r>
      <w:r>
        <w:t>407410</w:t>
      </w:r>
      <w:r w:rsidR="00DB2161">
        <w:t xml:space="preserve"> (R1 467 676, later apparently reduced even further to R542</w:t>
      </w:r>
      <w:r w:rsidR="007B642F">
        <w:t> </w:t>
      </w:r>
      <w:r w:rsidR="00DB2161">
        <w:t>000)</w:t>
      </w:r>
      <w:r>
        <w:t xml:space="preserve">, but </w:t>
      </w:r>
      <w:r w:rsidR="006176DB">
        <w:t xml:space="preserve">the </w:t>
      </w:r>
      <w:r w:rsidR="005328C6">
        <w:t xml:space="preserve">major </w:t>
      </w:r>
      <w:r>
        <w:t xml:space="preserve">portion of that loan </w:t>
      </w:r>
      <w:r w:rsidR="00885F45">
        <w:t xml:space="preserve">(R2 728 915) </w:t>
      </w:r>
      <w:r>
        <w:t xml:space="preserve">was </w:t>
      </w:r>
      <w:r w:rsidR="006176DB">
        <w:t xml:space="preserve">used </w:t>
      </w:r>
      <w:r>
        <w:t xml:space="preserve">in respect of payment </w:t>
      </w:r>
      <w:r w:rsidR="00885F45">
        <w:t xml:space="preserve">of the respondent’s liability under </w:t>
      </w:r>
      <w:r w:rsidR="00FD160D">
        <w:t xml:space="preserve">account </w:t>
      </w:r>
      <w:r w:rsidR="00885F45">
        <w:t>403576.</w:t>
      </w:r>
      <w:r w:rsidR="005328C6">
        <w:t xml:space="preserve"> The loan was accordingly not restricted to the property development, such as to give rise to some form of implied condition that the proceeds </w:t>
      </w:r>
      <w:r w:rsidR="007B642F">
        <w:t xml:space="preserve">from the </w:t>
      </w:r>
      <w:r w:rsidR="005328C6">
        <w:t xml:space="preserve">sales of sectional title units </w:t>
      </w:r>
      <w:r w:rsidR="007B642F">
        <w:t xml:space="preserve">were </w:t>
      </w:r>
      <w:r w:rsidR="005328C6">
        <w:t>to be used solely to discharge the amount owing in respect</w:t>
      </w:r>
      <w:r w:rsidR="00FD160D">
        <w:t xml:space="preserve"> of </w:t>
      </w:r>
      <w:r w:rsidR="005328C6">
        <w:t>account</w:t>
      </w:r>
      <w:r w:rsidR="00FD160D">
        <w:t xml:space="preserve"> 407410</w:t>
      </w:r>
      <w:r w:rsidR="005328C6">
        <w:t xml:space="preserve">. </w:t>
      </w:r>
    </w:p>
    <w:p w14:paraId="78A5620F" w14:textId="77777777" w:rsidR="00FD160D" w:rsidRDefault="00FD160D" w:rsidP="00FD160D">
      <w:pPr>
        <w:spacing w:line="360" w:lineRule="auto"/>
        <w:jc w:val="both"/>
      </w:pPr>
    </w:p>
    <w:p w14:paraId="36A01C25" w14:textId="491D86F3" w:rsidR="004206A1" w:rsidRDefault="00885F45" w:rsidP="008F200E">
      <w:pPr>
        <w:numPr>
          <w:ilvl w:val="0"/>
          <w:numId w:val="1"/>
        </w:numPr>
        <w:spacing w:line="360" w:lineRule="auto"/>
        <w:jc w:val="both"/>
      </w:pPr>
      <w:r>
        <w:t xml:space="preserve">It accordingly seems clear that the guiding principle was that the payment </w:t>
      </w:r>
      <w:r w:rsidR="00FD160D">
        <w:t>of</w:t>
      </w:r>
      <w:r w:rsidR="00DC194D">
        <w:t xml:space="preserve"> </w:t>
      </w:r>
      <w:r w:rsidR="00FD160D">
        <w:t>R4</w:t>
      </w:r>
      <w:r w:rsidR="00DC194D">
        <w:t> </w:t>
      </w:r>
      <w:r w:rsidR="00FD160D">
        <w:t>000</w:t>
      </w:r>
      <w:r w:rsidR="00DC194D">
        <w:t> </w:t>
      </w:r>
      <w:r w:rsidR="00FD160D">
        <w:t xml:space="preserve">000 </w:t>
      </w:r>
      <w:r>
        <w:t xml:space="preserve">should be credited to </w:t>
      </w:r>
      <w:r w:rsidR="00FD160D">
        <w:t>interest and the oldest debt,</w:t>
      </w:r>
      <w:r w:rsidR="006176DB">
        <w:t xml:space="preserve"> which is</w:t>
      </w:r>
      <w:r>
        <w:t xml:space="preserve"> what the applicant </w:t>
      </w:r>
      <w:r w:rsidR="00FD160D">
        <w:t xml:space="preserve">seemingly </w:t>
      </w:r>
      <w:r>
        <w:t>did.</w:t>
      </w:r>
      <w:r w:rsidR="00F57798">
        <w:t xml:space="preserve"> </w:t>
      </w:r>
      <w:r w:rsidR="00FD160D">
        <w:t xml:space="preserve">It appropriated the payment </w:t>
      </w:r>
      <w:r w:rsidR="00880F4B">
        <w:t xml:space="preserve">first </w:t>
      </w:r>
      <w:r w:rsidR="00FD160D">
        <w:t xml:space="preserve">to </w:t>
      </w:r>
      <w:r w:rsidR="00880F4B">
        <w:t>cover the interest on each of the tw</w:t>
      </w:r>
      <w:r w:rsidR="00DB2161">
        <w:t>o debts, being not only the more onerous obligation, but also w</w:t>
      </w:r>
      <w:r w:rsidR="00880F4B">
        <w:t>hat the common law and clause 7.2 of the standard terms and conditions</w:t>
      </w:r>
      <w:r w:rsidR="00DB2161">
        <w:t xml:space="preserve"> of the loan agreements </w:t>
      </w:r>
      <w:r w:rsidR="006176DB">
        <w:t>dictate</w:t>
      </w:r>
      <w:r w:rsidR="00880F4B">
        <w:t>.</w:t>
      </w:r>
      <w:r w:rsidR="00DB2161">
        <w:t xml:space="preserve"> </w:t>
      </w:r>
      <w:r w:rsidR="00A327DA">
        <w:t>Thereafter the balance</w:t>
      </w:r>
      <w:r w:rsidR="00FD160D">
        <w:t xml:space="preserve"> was applied in respect of the capital outstanding on the oldest debt, being that outstanding on account 403576 to result in a nil balance</w:t>
      </w:r>
      <w:r w:rsidR="00A327DA">
        <w:t xml:space="preserve"> on that account</w:t>
      </w:r>
      <w:r w:rsidR="00FD160D">
        <w:t xml:space="preserve">. </w:t>
      </w:r>
      <w:r w:rsidR="00A327DA">
        <w:t>What remained was applied in respect of account 407410 and the royalty</w:t>
      </w:r>
      <w:r w:rsidR="0053493D">
        <w:t xml:space="preserve"> payment</w:t>
      </w:r>
      <w:r w:rsidR="00A327DA">
        <w:t>.</w:t>
      </w:r>
    </w:p>
    <w:p w14:paraId="297F3950" w14:textId="77777777" w:rsidR="004206A1" w:rsidRDefault="004206A1" w:rsidP="004206A1">
      <w:pPr>
        <w:pStyle w:val="ListParagraph"/>
      </w:pPr>
    </w:p>
    <w:p w14:paraId="10C6694A" w14:textId="53C9CA25" w:rsidR="004206A1" w:rsidRDefault="004206A1" w:rsidP="00DB2161">
      <w:pPr>
        <w:numPr>
          <w:ilvl w:val="0"/>
          <w:numId w:val="1"/>
        </w:numPr>
        <w:spacing w:line="360" w:lineRule="auto"/>
        <w:jc w:val="both"/>
      </w:pPr>
      <w:r>
        <w:t xml:space="preserve">Insofar as the payment of the royalty is concerned, although the terms </w:t>
      </w:r>
      <w:r w:rsidR="00A327DA">
        <w:t xml:space="preserve">relating </w:t>
      </w:r>
      <w:r>
        <w:t>to</w:t>
      </w:r>
      <w:r w:rsidR="00A327DA">
        <w:t xml:space="preserve"> that indebtedness </w:t>
      </w:r>
      <w:r w:rsidR="0053493D">
        <w:t xml:space="preserve">are </w:t>
      </w:r>
      <w:r w:rsidR="00A327DA">
        <w:t>terse</w:t>
      </w:r>
      <w:r>
        <w:t xml:space="preserve">, it was </w:t>
      </w:r>
      <w:r w:rsidR="00A327DA">
        <w:t xml:space="preserve">a debt that was </w:t>
      </w:r>
      <w:r>
        <w:t xml:space="preserve">due. Whether the royalty debt attracted interest </w:t>
      </w:r>
      <w:r w:rsidR="00A327DA">
        <w:t xml:space="preserve">is </w:t>
      </w:r>
      <w:r>
        <w:t>not clear.</w:t>
      </w:r>
      <w:r w:rsidR="00A327DA">
        <w:t xml:space="preserve"> The R300 000 payment did not repay any interest, only capital. </w:t>
      </w:r>
      <w:r>
        <w:t>But even assuming that, contrary to the indebtedness on accounts 403576 and 407410</w:t>
      </w:r>
      <w:r w:rsidR="00A327DA">
        <w:t>,</w:t>
      </w:r>
      <w:r>
        <w:t xml:space="preserve"> it might not have attracted interest and would thus be less onerous</w:t>
      </w:r>
      <w:r w:rsidR="00A327DA">
        <w:t xml:space="preserve"> to the indebtedness in account 407410</w:t>
      </w:r>
      <w:r>
        <w:t xml:space="preserve">, if the R300 000 had been appropriated to account 407410, it would still </w:t>
      </w:r>
      <w:r w:rsidR="00A327DA">
        <w:t xml:space="preserve">have left </w:t>
      </w:r>
      <w:r>
        <w:t>a substantial balance</w:t>
      </w:r>
      <w:r w:rsidR="007B642F" w:rsidRPr="007B642F">
        <w:t xml:space="preserve"> </w:t>
      </w:r>
      <w:r w:rsidR="007B642F">
        <w:t>due and owing on account 407410,</w:t>
      </w:r>
      <w:r>
        <w:t xml:space="preserve"> in excess of that required by law</w:t>
      </w:r>
      <w:r w:rsidR="00A327DA">
        <w:t xml:space="preserve"> for the liquidation of a company</w:t>
      </w:r>
      <w:r>
        <w:t>.</w:t>
      </w:r>
    </w:p>
    <w:p w14:paraId="76561D2C" w14:textId="77777777" w:rsidR="00DB2161" w:rsidRDefault="00DB2161" w:rsidP="004206A1"/>
    <w:p w14:paraId="37BF71F0" w14:textId="7F5CD25E" w:rsidR="00DB2161" w:rsidRDefault="00DB2161" w:rsidP="00DB2161">
      <w:pPr>
        <w:numPr>
          <w:ilvl w:val="0"/>
          <w:numId w:val="1"/>
        </w:numPr>
        <w:spacing w:line="360" w:lineRule="auto"/>
        <w:jc w:val="both"/>
      </w:pPr>
      <w:r>
        <w:t>The respondent would have received statements reflecting the balance owing to it from time to time – that is a simple commercial reality</w:t>
      </w:r>
      <w:r w:rsidR="006176DB">
        <w:t xml:space="preserve">. If it had not, it could and </w:t>
      </w:r>
      <w:r w:rsidR="00A327DA">
        <w:t xml:space="preserve">undoubtedly as a matter of probability </w:t>
      </w:r>
      <w:r w:rsidR="006176DB">
        <w:t>would</w:t>
      </w:r>
      <w:r>
        <w:t xml:space="preserve"> have requested such statements. Although </w:t>
      </w:r>
      <w:r w:rsidR="00A327DA">
        <w:t xml:space="preserve">Mr Pillay </w:t>
      </w:r>
      <w:r>
        <w:t>referred</w:t>
      </w:r>
      <w:r w:rsidR="006176DB">
        <w:t xml:space="preserve"> to a </w:t>
      </w:r>
      <w:r>
        <w:t xml:space="preserve">time when he was indisposed, </w:t>
      </w:r>
      <w:r w:rsidR="00A327DA">
        <w:t xml:space="preserve">his illness </w:t>
      </w:r>
      <w:r>
        <w:t xml:space="preserve">did not cover the whole </w:t>
      </w:r>
      <w:r>
        <w:lastRenderedPageBreak/>
        <w:t>period since 2019. The doctor’s certificate which he annexed in respect of a charge of R918</w:t>
      </w:r>
      <w:r w:rsidR="0053493D">
        <w:t>.</w:t>
      </w:r>
      <w:r>
        <w:t xml:space="preserve">20 raised by a neurosurgeon, was dated 22 October 2019. </w:t>
      </w:r>
      <w:r w:rsidR="00A327DA">
        <w:t>That was several months after the payment of the R4 000 000 had been received and apportioned on 20 March 2019</w:t>
      </w:r>
      <w:r w:rsidR="0053493D">
        <w:t>.</w:t>
      </w:r>
    </w:p>
    <w:p w14:paraId="24D48C7E" w14:textId="77777777" w:rsidR="00DB2161" w:rsidRDefault="00DB2161" w:rsidP="00DB2161">
      <w:pPr>
        <w:spacing w:line="360" w:lineRule="auto"/>
        <w:jc w:val="both"/>
      </w:pPr>
    </w:p>
    <w:p w14:paraId="180E55D4" w14:textId="2C3A6460" w:rsidR="00731258" w:rsidRDefault="00DB2161" w:rsidP="004206A1">
      <w:pPr>
        <w:numPr>
          <w:ilvl w:val="0"/>
          <w:numId w:val="1"/>
        </w:numPr>
        <w:spacing w:line="360" w:lineRule="auto"/>
        <w:jc w:val="both"/>
      </w:pPr>
      <w:r>
        <w:t xml:space="preserve">Further, the respondent had brought an application for condonation in which one of the grounds advanced was that some of the delay which occurred in filing its heads of argument was due to the fact that, after receiving the heads of argument from </w:t>
      </w:r>
      <w:r w:rsidR="00A327DA">
        <w:t>the respondent’s c</w:t>
      </w:r>
      <w:r>
        <w:t>ounsel, the respondent’s attorney ‘forwarded them to the Respondent’s member as he has a legal advisor who is assisting him and advising him in this matter</w:t>
      </w:r>
      <w:r w:rsidR="007B642F">
        <w:t>’</w:t>
      </w:r>
      <w:r>
        <w:t xml:space="preserve">. The attorney continues that </w:t>
      </w:r>
    </w:p>
    <w:p w14:paraId="7611F59E" w14:textId="57297DC2" w:rsidR="00731258" w:rsidRPr="00731258" w:rsidRDefault="00DB2161" w:rsidP="00731258">
      <w:pPr>
        <w:spacing w:line="360" w:lineRule="auto"/>
        <w:jc w:val="both"/>
        <w:rPr>
          <w:sz w:val="22"/>
        </w:rPr>
      </w:pPr>
      <w:r w:rsidRPr="00731258">
        <w:rPr>
          <w:sz w:val="22"/>
        </w:rPr>
        <w:t xml:space="preserve">‘Client detected an error in one of the figures which were referred to in the Heads of Argument and unfortunately neither I </w:t>
      </w:r>
      <w:r w:rsidR="007B642F" w:rsidRPr="00731258">
        <w:rPr>
          <w:sz w:val="22"/>
        </w:rPr>
        <w:t xml:space="preserve">nor </w:t>
      </w:r>
      <w:r w:rsidRPr="00731258">
        <w:rPr>
          <w:sz w:val="22"/>
        </w:rPr>
        <w:t xml:space="preserve">client were able to contact our Counsel regarding the correction as Counsel was detained in Pietermaritzburg High </w:t>
      </w:r>
      <w:r w:rsidR="004206A1" w:rsidRPr="00731258">
        <w:rPr>
          <w:sz w:val="22"/>
        </w:rPr>
        <w:t>Court in an urgent application.’</w:t>
      </w:r>
      <w:r w:rsidRPr="00731258">
        <w:rPr>
          <w:sz w:val="22"/>
        </w:rPr>
        <w:t xml:space="preserve"> </w:t>
      </w:r>
    </w:p>
    <w:p w14:paraId="670FC6D3" w14:textId="1F510876" w:rsidR="004206A1" w:rsidRDefault="00A327DA" w:rsidP="00731258">
      <w:pPr>
        <w:spacing w:line="360" w:lineRule="auto"/>
        <w:jc w:val="both"/>
      </w:pPr>
      <w:r>
        <w:t xml:space="preserve">What is clear from these allegations is that the </w:t>
      </w:r>
      <w:r w:rsidR="00DB2161">
        <w:t>sole member of the respondent</w:t>
      </w:r>
      <w:r w:rsidR="004206A1">
        <w:t>, Mr Pillay,</w:t>
      </w:r>
      <w:r w:rsidR="00DB2161">
        <w:t xml:space="preserve"> is not an ignorant person who</w:t>
      </w:r>
      <w:r w:rsidR="00A43F5D">
        <w:t xml:space="preserve"> might not have taken an </w:t>
      </w:r>
      <w:r w:rsidR="00DB2161">
        <w:t>interest in the outstanding obligations owed by the respondent to the applicant. On the contrary</w:t>
      </w:r>
      <w:r>
        <w:t>,</w:t>
      </w:r>
      <w:r w:rsidR="00DB2161">
        <w:t xml:space="preserve"> he take</w:t>
      </w:r>
      <w:r w:rsidR="004206A1">
        <w:t>s</w:t>
      </w:r>
      <w:r w:rsidR="00DB2161">
        <w:t xml:space="preserve"> an active interest in the actual figures appearing in the heads of argument; </w:t>
      </w:r>
      <w:r w:rsidR="00DB2161">
        <w:rPr>
          <w:i/>
        </w:rPr>
        <w:t>a</w:t>
      </w:r>
      <w:r w:rsidR="00DB2161" w:rsidRPr="00DB2161">
        <w:rPr>
          <w:i/>
        </w:rPr>
        <w:t xml:space="preserve"> fortiori</w:t>
      </w:r>
      <w:r w:rsidR="00DB2161">
        <w:t xml:space="preserve"> where statements would have been </w:t>
      </w:r>
      <w:r>
        <w:t xml:space="preserve">sent by </w:t>
      </w:r>
      <w:r w:rsidR="00DB2161">
        <w:t xml:space="preserve">the applicant reflecting the indebtedness </w:t>
      </w:r>
      <w:r>
        <w:t>remaining due to the applicant by t</w:t>
      </w:r>
      <w:r w:rsidR="00DB2161">
        <w:t>he respondent</w:t>
      </w:r>
      <w:r>
        <w:t xml:space="preserve">. </w:t>
      </w:r>
      <w:r w:rsidR="004206A1">
        <w:t>If there was a misallocation of the R4 000 000 as alleged by the respondent</w:t>
      </w:r>
      <w:r w:rsidR="007B642F">
        <w:t>,</w:t>
      </w:r>
      <w:r w:rsidR="004206A1">
        <w:t xml:space="preserve"> then one would have expected an immediate objection from the respondent.</w:t>
      </w:r>
    </w:p>
    <w:p w14:paraId="634B7EB1" w14:textId="77777777" w:rsidR="004206A1" w:rsidRDefault="004206A1" w:rsidP="004206A1">
      <w:pPr>
        <w:spacing w:line="360" w:lineRule="auto"/>
        <w:jc w:val="both"/>
      </w:pPr>
    </w:p>
    <w:p w14:paraId="4828B097" w14:textId="6DCA4EDF" w:rsidR="00DB2161" w:rsidRDefault="00DB2161" w:rsidP="004206A1">
      <w:pPr>
        <w:numPr>
          <w:ilvl w:val="0"/>
          <w:numId w:val="1"/>
        </w:numPr>
        <w:spacing w:line="360" w:lineRule="auto"/>
        <w:jc w:val="both"/>
      </w:pPr>
      <w:r>
        <w:t xml:space="preserve">The printout on account 403576 annexed to the respondent’s answering affidavit </w:t>
      </w:r>
      <w:r w:rsidR="00E53A57">
        <w:t xml:space="preserve">as an annexure </w:t>
      </w:r>
      <w:r>
        <w:t xml:space="preserve">to correspondence </w:t>
      </w:r>
      <w:r w:rsidR="00E53A57">
        <w:t>received from its</w:t>
      </w:r>
      <w:r w:rsidR="00657EB7">
        <w:t xml:space="preserve"> accountant, could </w:t>
      </w:r>
      <w:r>
        <w:t>only have emanated from the respondent, mean</w:t>
      </w:r>
      <w:r w:rsidR="00657EB7">
        <w:t xml:space="preserve">ing </w:t>
      </w:r>
      <w:r>
        <w:t>that it would have had</w:t>
      </w:r>
      <w:r w:rsidR="00E53A57">
        <w:t xml:space="preserve"> possession thereof, </w:t>
      </w:r>
      <w:r>
        <w:t>at som</w:t>
      </w:r>
      <w:r w:rsidR="00F82713">
        <w:t xml:space="preserve">e stage </w:t>
      </w:r>
      <w:r w:rsidR="00A327DA">
        <w:t>after March 2019</w:t>
      </w:r>
      <w:r w:rsidR="00F82713">
        <w:t>. That statement</w:t>
      </w:r>
      <w:r>
        <w:t xml:space="preserve"> reflects the credits</w:t>
      </w:r>
      <w:r w:rsidR="00A327DA">
        <w:t xml:space="preserve"> to that account </w:t>
      </w:r>
      <w:r w:rsidR="0053493D">
        <w:t xml:space="preserve">which </w:t>
      </w:r>
      <w:r w:rsidR="00A327DA">
        <w:t>result</w:t>
      </w:r>
      <w:r w:rsidR="0053493D">
        <w:t>ed</w:t>
      </w:r>
      <w:r w:rsidR="00A327DA">
        <w:t xml:space="preserve"> in a nil balance</w:t>
      </w:r>
      <w:r w:rsidR="00F82713">
        <w:t xml:space="preserve">, </w:t>
      </w:r>
      <w:r>
        <w:t>which means that the respondent would have been aware that the</w:t>
      </w:r>
      <w:r w:rsidR="00657EB7">
        <w:t>se</w:t>
      </w:r>
      <w:r>
        <w:t xml:space="preserve"> amounts were credited to that account on 20 March 2019, at a time, when on the respondent’s version, it </w:t>
      </w:r>
      <w:r w:rsidR="00657EB7">
        <w:t xml:space="preserve">maintains it </w:t>
      </w:r>
      <w:r>
        <w:t>thought the debt owing on that account had been extinguished in 2017</w:t>
      </w:r>
      <w:r w:rsidR="00F82713">
        <w:t>.  I</w:t>
      </w:r>
      <w:r>
        <w:t xml:space="preserve">f that was Mr Pillay’s belief, then it is also difficult to understand </w:t>
      </w:r>
      <w:r>
        <w:lastRenderedPageBreak/>
        <w:t>why he, on 27 September 2019 concluded the ‘Addendum to the loan agreement’ of 19 October 2017, restructuring the repayments which inter alia recorded:</w:t>
      </w:r>
    </w:p>
    <w:p w14:paraId="5C0B7A47" w14:textId="22AE4787" w:rsidR="00DB2161" w:rsidRDefault="00DB2161" w:rsidP="00DB2161">
      <w:pPr>
        <w:spacing w:line="360" w:lineRule="auto"/>
        <w:jc w:val="both"/>
        <w:rPr>
          <w:sz w:val="22"/>
          <w:szCs w:val="22"/>
        </w:rPr>
      </w:pPr>
      <w:r w:rsidRPr="00B91AA8">
        <w:rPr>
          <w:sz w:val="22"/>
          <w:szCs w:val="22"/>
        </w:rPr>
        <w:t>‘Amendment to the finance charges in terms of clause 5, and extension of the repayment terms in clause 6 of the Loan Agreement (</w:t>
      </w:r>
      <w:r w:rsidR="007B642F" w:rsidRPr="00B91AA8">
        <w:rPr>
          <w:sz w:val="22"/>
          <w:szCs w:val="22"/>
        </w:rPr>
        <w:t xml:space="preserve">Term </w:t>
      </w:r>
      <w:r w:rsidRPr="00B91AA8">
        <w:rPr>
          <w:sz w:val="22"/>
          <w:szCs w:val="22"/>
        </w:rPr>
        <w:t>Loan 407410)</w:t>
      </w:r>
    </w:p>
    <w:p w14:paraId="3F5EE570" w14:textId="77777777" w:rsidR="00DB2161" w:rsidRDefault="00DB2161" w:rsidP="00DB2161">
      <w:pPr>
        <w:spacing w:line="360" w:lineRule="auto"/>
        <w:jc w:val="both"/>
        <w:rPr>
          <w:sz w:val="22"/>
          <w:szCs w:val="22"/>
        </w:rPr>
      </w:pPr>
      <w:r>
        <w:rPr>
          <w:sz w:val="22"/>
          <w:szCs w:val="22"/>
        </w:rPr>
        <w:t>The outstanding balance and repayment terms in the Loan Agreement (Term Loan 407410) be extended and be repayable as follows:</w:t>
      </w:r>
    </w:p>
    <w:p w14:paraId="3694C5E4" w14:textId="57F12C9F" w:rsidR="00DB2161" w:rsidRDefault="00DB2161" w:rsidP="00DB2161">
      <w:pPr>
        <w:spacing w:line="360" w:lineRule="auto"/>
        <w:jc w:val="both"/>
        <w:rPr>
          <w:sz w:val="22"/>
          <w:szCs w:val="22"/>
        </w:rPr>
      </w:pPr>
      <w:r>
        <w:rPr>
          <w:sz w:val="22"/>
          <w:szCs w:val="22"/>
        </w:rPr>
        <w:t>R1 000 000 – payable on 01 February 2020; and</w:t>
      </w:r>
      <w:r w:rsidR="007B642F">
        <w:rPr>
          <w:sz w:val="22"/>
          <w:szCs w:val="22"/>
        </w:rPr>
        <w:t>,</w:t>
      </w:r>
      <w:r>
        <w:rPr>
          <w:sz w:val="22"/>
          <w:szCs w:val="22"/>
        </w:rPr>
        <w:t xml:space="preserve"> </w:t>
      </w:r>
    </w:p>
    <w:p w14:paraId="5BF76814" w14:textId="6B08B121" w:rsidR="00657EB7" w:rsidRDefault="00DB2161" w:rsidP="00DB2161">
      <w:pPr>
        <w:spacing w:line="360" w:lineRule="auto"/>
        <w:jc w:val="both"/>
        <w:rPr>
          <w:sz w:val="22"/>
          <w:szCs w:val="22"/>
        </w:rPr>
      </w:pPr>
      <w:r>
        <w:rPr>
          <w:sz w:val="22"/>
          <w:szCs w:val="22"/>
        </w:rPr>
        <w:t>R1 118 476 together with interest – payable on 01 September 2020.’</w:t>
      </w:r>
    </w:p>
    <w:p w14:paraId="5544A067" w14:textId="77777777" w:rsidR="000A5C90" w:rsidRPr="00E53A57" w:rsidRDefault="000A5C90" w:rsidP="00DB2161">
      <w:pPr>
        <w:spacing w:line="360" w:lineRule="auto"/>
        <w:jc w:val="both"/>
        <w:rPr>
          <w:sz w:val="22"/>
          <w:szCs w:val="22"/>
        </w:rPr>
      </w:pPr>
    </w:p>
    <w:p w14:paraId="5FBA79B7" w14:textId="0540A139" w:rsidR="000A5C90" w:rsidRDefault="00E53A57" w:rsidP="00E53A57">
      <w:pPr>
        <w:pStyle w:val="ListParagraph"/>
        <w:numPr>
          <w:ilvl w:val="0"/>
          <w:numId w:val="1"/>
        </w:numPr>
        <w:spacing w:line="360" w:lineRule="auto"/>
        <w:jc w:val="both"/>
        <w:rPr>
          <w:szCs w:val="24"/>
        </w:rPr>
      </w:pPr>
      <w:r w:rsidRPr="00E53A57">
        <w:rPr>
          <w:szCs w:val="24"/>
        </w:rPr>
        <w:t>At that time</w:t>
      </w:r>
      <w:r w:rsidR="0053493D">
        <w:rPr>
          <w:szCs w:val="24"/>
        </w:rPr>
        <w:t>,</w:t>
      </w:r>
      <w:r w:rsidRPr="00E53A57">
        <w:rPr>
          <w:szCs w:val="24"/>
        </w:rPr>
        <w:t xml:space="preserve"> the respondent on the above calculations owed the applicant </w:t>
      </w:r>
      <w:r w:rsidR="000A5C90">
        <w:rPr>
          <w:szCs w:val="24"/>
        </w:rPr>
        <w:t xml:space="preserve">some </w:t>
      </w:r>
      <w:r w:rsidRPr="00E53A57">
        <w:rPr>
          <w:szCs w:val="24"/>
        </w:rPr>
        <w:t>R</w:t>
      </w:r>
      <w:r w:rsidR="000A5C90">
        <w:rPr>
          <w:szCs w:val="24"/>
        </w:rPr>
        <w:t>2</w:t>
      </w:r>
      <w:r w:rsidR="007B642F">
        <w:rPr>
          <w:szCs w:val="24"/>
        </w:rPr>
        <w:t> </w:t>
      </w:r>
      <w:r w:rsidR="000A5C90">
        <w:rPr>
          <w:szCs w:val="24"/>
        </w:rPr>
        <w:t>118 476 with interest, which is remarkably close after taking into account interest</w:t>
      </w:r>
      <w:r w:rsidR="0053493D">
        <w:rPr>
          <w:szCs w:val="24"/>
        </w:rPr>
        <w:t>,</w:t>
      </w:r>
      <w:r w:rsidR="000A5C90">
        <w:rPr>
          <w:szCs w:val="24"/>
        </w:rPr>
        <w:t xml:space="preserve"> to the figure (R2 645 498</w:t>
      </w:r>
      <w:r w:rsidR="007B642F">
        <w:rPr>
          <w:szCs w:val="24"/>
        </w:rPr>
        <w:t>.</w:t>
      </w:r>
      <w:r w:rsidR="000A5C90">
        <w:rPr>
          <w:szCs w:val="24"/>
        </w:rPr>
        <w:t>75 as at 26 February 2021) which was demanded by the applicant from the respondent and on which the application for provisional liquidation is based.</w:t>
      </w:r>
      <w:r w:rsidRPr="00E53A57">
        <w:rPr>
          <w:szCs w:val="24"/>
        </w:rPr>
        <w:t xml:space="preserve"> The admission of liability and the calculations based on the above appropriations are accordingly consistent</w:t>
      </w:r>
      <w:r w:rsidR="000A5C90">
        <w:rPr>
          <w:szCs w:val="24"/>
        </w:rPr>
        <w:t>,</w:t>
      </w:r>
      <w:r w:rsidRPr="00E53A57">
        <w:rPr>
          <w:szCs w:val="24"/>
        </w:rPr>
        <w:t xml:space="preserve"> which carries significant probative force. It is improbable that Mr Pillay would have signed this addendum if</w:t>
      </w:r>
      <w:r w:rsidR="000A5C90">
        <w:rPr>
          <w:szCs w:val="24"/>
        </w:rPr>
        <w:t>,</w:t>
      </w:r>
      <w:r w:rsidRPr="00E53A57">
        <w:rPr>
          <w:szCs w:val="24"/>
        </w:rPr>
        <w:t xml:space="preserve"> as at March 2019</w:t>
      </w:r>
      <w:r w:rsidR="000A5C90">
        <w:rPr>
          <w:szCs w:val="24"/>
        </w:rPr>
        <w:t>,</w:t>
      </w:r>
      <w:r w:rsidRPr="00E53A57">
        <w:rPr>
          <w:szCs w:val="24"/>
        </w:rPr>
        <w:t xml:space="preserve"> he believed that account 407410 was in credit. </w:t>
      </w:r>
    </w:p>
    <w:p w14:paraId="116BECFA" w14:textId="77777777" w:rsidR="000A5C90" w:rsidRDefault="000A5C90" w:rsidP="000A5C90">
      <w:pPr>
        <w:pStyle w:val="ListParagraph"/>
        <w:spacing w:line="360" w:lineRule="auto"/>
        <w:ind w:left="0"/>
        <w:jc w:val="both"/>
        <w:rPr>
          <w:szCs w:val="24"/>
        </w:rPr>
      </w:pPr>
    </w:p>
    <w:p w14:paraId="6767256B" w14:textId="49AA9DFA" w:rsidR="00E53A57" w:rsidRPr="00E53A57" w:rsidRDefault="00E53A57" w:rsidP="00E53A57">
      <w:pPr>
        <w:pStyle w:val="ListParagraph"/>
        <w:numPr>
          <w:ilvl w:val="0"/>
          <w:numId w:val="1"/>
        </w:numPr>
        <w:spacing w:line="360" w:lineRule="auto"/>
        <w:jc w:val="both"/>
        <w:rPr>
          <w:szCs w:val="24"/>
        </w:rPr>
      </w:pPr>
      <w:r w:rsidRPr="00E53A57">
        <w:rPr>
          <w:szCs w:val="24"/>
        </w:rPr>
        <w:t>On 13 September 2019</w:t>
      </w:r>
      <w:r w:rsidR="0053493D">
        <w:rPr>
          <w:szCs w:val="24"/>
        </w:rPr>
        <w:t>,</w:t>
      </w:r>
      <w:r w:rsidRPr="00E53A57">
        <w:rPr>
          <w:szCs w:val="24"/>
        </w:rPr>
        <w:t xml:space="preserve"> Mr Pillay had written to the applicant in relation to the release of unit 6 </w:t>
      </w:r>
      <w:r w:rsidR="0053493D">
        <w:rPr>
          <w:szCs w:val="24"/>
        </w:rPr>
        <w:t>at</w:t>
      </w:r>
      <w:r w:rsidR="007B642F">
        <w:rPr>
          <w:szCs w:val="24"/>
        </w:rPr>
        <w:t xml:space="preserve"> 90 </w:t>
      </w:r>
      <w:r w:rsidRPr="00E53A57">
        <w:rPr>
          <w:szCs w:val="24"/>
        </w:rPr>
        <w:t xml:space="preserve">Coronation </w:t>
      </w:r>
      <w:r w:rsidR="007B642F" w:rsidRPr="00E53A57">
        <w:rPr>
          <w:szCs w:val="24"/>
        </w:rPr>
        <w:t xml:space="preserve">Road </w:t>
      </w:r>
      <w:r w:rsidRPr="00E53A57">
        <w:rPr>
          <w:szCs w:val="24"/>
        </w:rPr>
        <w:t>from the mortgage bond in favour of the a</w:t>
      </w:r>
      <w:r w:rsidR="000A5C90">
        <w:rPr>
          <w:szCs w:val="24"/>
        </w:rPr>
        <w:t xml:space="preserve">pplicant, </w:t>
      </w:r>
      <w:r w:rsidRPr="00E53A57">
        <w:rPr>
          <w:szCs w:val="24"/>
        </w:rPr>
        <w:t xml:space="preserve">requesting that the applicant reduce its release fee. That is indicative of the fact that the respondent knew that there was an amount outstanding on the loan account. It accords with the terms of the final addendum referred to earlier. </w:t>
      </w:r>
    </w:p>
    <w:p w14:paraId="1421AD79" w14:textId="77777777" w:rsidR="00E53A57" w:rsidRDefault="00E53A57" w:rsidP="00E53A57">
      <w:pPr>
        <w:spacing w:line="360" w:lineRule="auto"/>
        <w:jc w:val="both"/>
      </w:pPr>
    </w:p>
    <w:p w14:paraId="005AD056" w14:textId="037E10C6" w:rsidR="00DB2161" w:rsidRDefault="00DB2161" w:rsidP="00DB2161">
      <w:pPr>
        <w:numPr>
          <w:ilvl w:val="0"/>
          <w:numId w:val="1"/>
        </w:numPr>
        <w:spacing w:line="360" w:lineRule="auto"/>
        <w:jc w:val="both"/>
      </w:pPr>
      <w:r>
        <w:t>On 5 January 2021</w:t>
      </w:r>
      <w:r w:rsidR="007B642F">
        <w:t>,</w:t>
      </w:r>
      <w:r>
        <w:t xml:space="preserve"> Mr Pillay again requested that the applicant restructure the loan agreement. There would have been no reason to do so unless he knew that there was an amount outstanding and that account 407410 had not been settled in full</w:t>
      </w:r>
      <w:r w:rsidR="00657EB7">
        <w:t>, as he alleges</w:t>
      </w:r>
      <w:r w:rsidR="007B642F">
        <w:t>,</w:t>
      </w:r>
      <w:r>
        <w:t xml:space="preserve"> by the </w:t>
      </w:r>
      <w:r w:rsidR="00657EB7">
        <w:t xml:space="preserve">payment of the </w:t>
      </w:r>
      <w:r>
        <w:t>R4  000 000</w:t>
      </w:r>
      <w:r w:rsidR="00657EB7">
        <w:t xml:space="preserve">. </w:t>
      </w:r>
    </w:p>
    <w:p w14:paraId="3B29EC86" w14:textId="77777777" w:rsidR="00874EAD" w:rsidRDefault="00874EAD" w:rsidP="00874EAD">
      <w:pPr>
        <w:pStyle w:val="ListParagraph"/>
      </w:pPr>
    </w:p>
    <w:p w14:paraId="60AC6779" w14:textId="3C17A827" w:rsidR="00880F4B" w:rsidRDefault="00F90476" w:rsidP="00880F4B">
      <w:pPr>
        <w:numPr>
          <w:ilvl w:val="0"/>
          <w:numId w:val="1"/>
        </w:numPr>
        <w:spacing w:line="360" w:lineRule="auto"/>
        <w:jc w:val="both"/>
      </w:pPr>
      <w:r>
        <w:t xml:space="preserve"> </w:t>
      </w:r>
      <w:r w:rsidR="00880F4B">
        <w:t>As the applicant was entitled to appropriate the payment of R4</w:t>
      </w:r>
      <w:r w:rsidR="00DB2161">
        <w:t xml:space="preserve"> </w:t>
      </w:r>
      <w:r w:rsidR="00880F4B">
        <w:t xml:space="preserve">000 000 in the manner it did, the extent to which the appropriation of the R4 000 000 did not extinguish </w:t>
      </w:r>
      <w:r w:rsidR="00880F4B">
        <w:lastRenderedPageBreak/>
        <w:t xml:space="preserve">the indebtedness on account number 407410 remained as an outstanding debt which the applicant could invoke </w:t>
      </w:r>
      <w:r w:rsidR="00657EB7">
        <w:t xml:space="preserve">as the basis for </w:t>
      </w:r>
      <w:r w:rsidR="00880F4B">
        <w:t>its application</w:t>
      </w:r>
      <w:r w:rsidR="006776A6">
        <w:t xml:space="preserve"> for liquid</w:t>
      </w:r>
      <w:r w:rsidR="00880F4B">
        <w:t>ation.</w:t>
      </w:r>
      <w:r w:rsidR="00150902">
        <w:t xml:space="preserve"> </w:t>
      </w:r>
    </w:p>
    <w:p w14:paraId="75D1A6BF" w14:textId="77777777" w:rsidR="00DB2161" w:rsidRDefault="00DB2161" w:rsidP="00DB2161">
      <w:pPr>
        <w:spacing w:line="360" w:lineRule="auto"/>
        <w:jc w:val="both"/>
      </w:pPr>
    </w:p>
    <w:p w14:paraId="7EA2FD9C" w14:textId="229C49C6" w:rsidR="00880F4B" w:rsidRDefault="00880F4B" w:rsidP="005C06DB">
      <w:pPr>
        <w:numPr>
          <w:ilvl w:val="0"/>
          <w:numId w:val="1"/>
        </w:numPr>
        <w:spacing w:line="360" w:lineRule="auto"/>
        <w:jc w:val="both"/>
      </w:pPr>
      <w:r>
        <w:t>The alleged irregular in</w:t>
      </w:r>
      <w:r w:rsidR="006776A6">
        <w:t>terest</w:t>
      </w:r>
      <w:r>
        <w:t xml:space="preserve"> calculations complained of for November 2017 (R18</w:t>
      </w:r>
      <w:r w:rsidR="007B642F">
        <w:t> </w:t>
      </w:r>
      <w:r>
        <w:t>012</w:t>
      </w:r>
      <w:r w:rsidR="007B642F">
        <w:t>.</w:t>
      </w:r>
      <w:r>
        <w:t>21), December 2017 (R17 668</w:t>
      </w:r>
      <w:r w:rsidR="007B642F">
        <w:t>.</w:t>
      </w:r>
      <w:r>
        <w:t>59), January</w:t>
      </w:r>
      <w:r w:rsidR="007B642F">
        <w:t xml:space="preserve"> 2018</w:t>
      </w:r>
      <w:r>
        <w:t xml:space="preserve"> (R18 451</w:t>
      </w:r>
      <w:r w:rsidR="007B642F">
        <w:t>.</w:t>
      </w:r>
      <w:r>
        <w:t>13), February 2018 (R18 658</w:t>
      </w:r>
      <w:r w:rsidR="007B642F">
        <w:t>.</w:t>
      </w:r>
      <w:r>
        <w:t>77), March 2018 (R</w:t>
      </w:r>
      <w:r w:rsidR="007B642F">
        <w:t>1</w:t>
      </w:r>
      <w:r>
        <w:t>7 042</w:t>
      </w:r>
      <w:r w:rsidR="007B642F">
        <w:t>.</w:t>
      </w:r>
      <w:r>
        <w:t>74), April 2018 (R2</w:t>
      </w:r>
      <w:r w:rsidR="007B642F">
        <w:t xml:space="preserve"> </w:t>
      </w:r>
      <w:r>
        <w:t>052</w:t>
      </w:r>
      <w:r w:rsidR="007B642F">
        <w:t>.</w:t>
      </w:r>
      <w:r>
        <w:t>70), May 2018 (R18</w:t>
      </w:r>
      <w:r w:rsidR="007B642F">
        <w:t> </w:t>
      </w:r>
      <w:r>
        <w:t>119</w:t>
      </w:r>
      <w:r w:rsidR="007B642F">
        <w:t>.</w:t>
      </w:r>
      <w:r>
        <w:t>58) and June 2018 (R18</w:t>
      </w:r>
      <w:r w:rsidR="007B642F">
        <w:t xml:space="preserve"> </w:t>
      </w:r>
      <w:r>
        <w:t>922</w:t>
      </w:r>
      <w:r w:rsidR="007B642F">
        <w:t>.</w:t>
      </w:r>
      <w:r>
        <w:t>64), totalling R128 928</w:t>
      </w:r>
      <w:proofErr w:type="gramStart"/>
      <w:r>
        <w:t>,36</w:t>
      </w:r>
      <w:proofErr w:type="gramEnd"/>
      <w:r>
        <w:t xml:space="preserve">, even if </w:t>
      </w:r>
      <w:r w:rsidR="00657EB7">
        <w:t xml:space="preserve">disregarded </w:t>
      </w:r>
      <w:r>
        <w:t>in their entirety, would</w:t>
      </w:r>
      <w:r w:rsidR="00657EB7">
        <w:t xml:space="preserve"> still </w:t>
      </w:r>
      <w:r>
        <w:t xml:space="preserve">leave a debt due by the respondent to the applicant </w:t>
      </w:r>
      <w:r w:rsidR="00657EB7">
        <w:t xml:space="preserve">considerably </w:t>
      </w:r>
      <w:r>
        <w:t>in excess of R200.</w:t>
      </w:r>
      <w:r w:rsidR="007B642F">
        <w:rPr>
          <w:rStyle w:val="FootnoteReference"/>
        </w:rPr>
        <w:footnoteReference w:id="9"/>
      </w:r>
    </w:p>
    <w:p w14:paraId="463C31D8" w14:textId="77777777" w:rsidR="00150902" w:rsidRDefault="00150902" w:rsidP="00150902">
      <w:pPr>
        <w:spacing w:line="360" w:lineRule="auto"/>
        <w:jc w:val="both"/>
      </w:pPr>
    </w:p>
    <w:p w14:paraId="7F378487" w14:textId="5E5D977B" w:rsidR="00B91AA8" w:rsidRDefault="00150902" w:rsidP="005C06DB">
      <w:pPr>
        <w:numPr>
          <w:ilvl w:val="0"/>
          <w:numId w:val="1"/>
        </w:numPr>
        <w:spacing w:line="360" w:lineRule="auto"/>
        <w:jc w:val="both"/>
      </w:pPr>
      <w:r>
        <w:t>Although the respondent in its answering affidavit has stated that</w:t>
      </w:r>
      <w:r w:rsidR="00657EB7">
        <w:t>,</w:t>
      </w:r>
      <w:r>
        <w:t xml:space="preserve"> if it is found to be indebted to the applicant in any amount whatsoever</w:t>
      </w:r>
      <w:r w:rsidR="00657EB7">
        <w:t>,</w:t>
      </w:r>
      <w:r>
        <w:t xml:space="preserve"> that it will pay </w:t>
      </w:r>
      <w:r w:rsidR="00B025AF">
        <w:t xml:space="preserve">such amount </w:t>
      </w:r>
      <w:r>
        <w:t xml:space="preserve">over immediately, </w:t>
      </w:r>
      <w:r w:rsidR="0053493D">
        <w:t xml:space="preserve">and </w:t>
      </w:r>
      <w:r>
        <w:t>arrangements therefor already having been made, failing which it will consent to its winding</w:t>
      </w:r>
      <w:r w:rsidR="007A03E3">
        <w:t>-</w:t>
      </w:r>
      <w:r>
        <w:t>up, it has not annexed its latest financial statements or indicated that it is possessed of available liquid resources</w:t>
      </w:r>
      <w:r w:rsidR="000A5C90">
        <w:t xml:space="preserve"> to give effect to what it has indicated it would do</w:t>
      </w:r>
      <w:r>
        <w:t xml:space="preserve">.  </w:t>
      </w:r>
      <w:r w:rsidR="007359AC">
        <w:t xml:space="preserve"> </w:t>
      </w:r>
    </w:p>
    <w:p w14:paraId="0FE41AA5" w14:textId="77777777" w:rsidR="00B91AA8" w:rsidRDefault="00B91AA8" w:rsidP="00657EB7">
      <w:pPr>
        <w:spacing w:line="360" w:lineRule="auto"/>
        <w:jc w:val="both"/>
      </w:pPr>
    </w:p>
    <w:p w14:paraId="3CDED920" w14:textId="47891F40" w:rsidR="00B91AA8" w:rsidRDefault="00150902" w:rsidP="005C06DB">
      <w:pPr>
        <w:numPr>
          <w:ilvl w:val="0"/>
          <w:numId w:val="1"/>
        </w:numPr>
        <w:spacing w:line="360" w:lineRule="auto"/>
        <w:jc w:val="both"/>
      </w:pPr>
      <w:r>
        <w:t xml:space="preserve">The applicant has shown that </w:t>
      </w:r>
      <w:r w:rsidRPr="00F87776">
        <w:rPr>
          <w:i/>
        </w:rPr>
        <w:t>prima facie</w:t>
      </w:r>
      <w:r>
        <w:t xml:space="preserve"> the respondent is unable to pay its debts within the meaning of s</w:t>
      </w:r>
      <w:r w:rsidR="00F87776">
        <w:t xml:space="preserve"> </w:t>
      </w:r>
      <w:r>
        <w:t>69 of the Close Corporations Act.</w:t>
      </w:r>
      <w:r w:rsidR="00F87776">
        <w:t xml:space="preserve"> There is no reason why a provisional order for its winding</w:t>
      </w:r>
      <w:r w:rsidR="0053493D">
        <w:t>-</w:t>
      </w:r>
      <w:r w:rsidR="00F87776">
        <w:t>up should not follow.</w:t>
      </w:r>
      <w:r w:rsidR="000A5C90">
        <w:t xml:space="preserve"> The respondent, for the reasons stated above, has not shown that such indebtedness is disputed on bona fide and reasonable grounds.</w:t>
      </w:r>
    </w:p>
    <w:p w14:paraId="59111012" w14:textId="77777777" w:rsidR="00150902" w:rsidRDefault="00150902" w:rsidP="00150902">
      <w:pPr>
        <w:spacing w:line="360" w:lineRule="auto"/>
        <w:jc w:val="both"/>
      </w:pPr>
    </w:p>
    <w:p w14:paraId="331FA5D0" w14:textId="7E85450F" w:rsidR="000A5C90" w:rsidRDefault="00150902" w:rsidP="005C06DB">
      <w:pPr>
        <w:numPr>
          <w:ilvl w:val="0"/>
          <w:numId w:val="1"/>
        </w:numPr>
        <w:spacing w:line="360" w:lineRule="auto"/>
        <w:jc w:val="both"/>
      </w:pPr>
      <w:r>
        <w:t xml:space="preserve">The respondent has also brought an application to compel the furnishing of certain documents requested by </w:t>
      </w:r>
      <w:r w:rsidR="00CC2E3E">
        <w:t xml:space="preserve">a </w:t>
      </w:r>
      <w:r>
        <w:t xml:space="preserve">subpoena. I express no view as to the correctness of such a procedure. The founding affidavit in that application was signed on 1 September 2022, the </w:t>
      </w:r>
      <w:r w:rsidR="0053493D">
        <w:t xml:space="preserve">notice </w:t>
      </w:r>
      <w:r>
        <w:t xml:space="preserve">of </w:t>
      </w:r>
      <w:r w:rsidR="0053493D">
        <w:t xml:space="preserve">motion </w:t>
      </w:r>
      <w:r>
        <w:t xml:space="preserve">is dated 31 August 2022, and the papers were issued by the </w:t>
      </w:r>
      <w:r w:rsidR="0053493D">
        <w:t xml:space="preserve">registrar </w:t>
      </w:r>
      <w:r w:rsidR="005E2120">
        <w:t xml:space="preserve">on 6 September 2022. The answering affidavit reveals that the subpoena had been responded to </w:t>
      </w:r>
      <w:r w:rsidR="00CC2E3E">
        <w:t>with the applicant</w:t>
      </w:r>
      <w:r w:rsidR="005E2120">
        <w:t xml:space="preserve"> providing whatever documents </w:t>
      </w:r>
      <w:r w:rsidR="00CC2E3E">
        <w:t>it</w:t>
      </w:r>
      <w:r w:rsidR="005E2120">
        <w:t xml:space="preserve"> could on 29 August 2022. The respondent sought an order that the costs of that application be costs in the </w:t>
      </w:r>
      <w:r w:rsidR="005E2120">
        <w:lastRenderedPageBreak/>
        <w:t>liquidation</w:t>
      </w:r>
      <w:r w:rsidR="00597392">
        <w:t>,</w:t>
      </w:r>
      <w:r w:rsidR="005E2120">
        <w:t xml:space="preserve"> alternatively that the applicant pay the costs of this application in the event of it being opposed. </w:t>
      </w:r>
    </w:p>
    <w:p w14:paraId="1D456D51" w14:textId="77777777" w:rsidR="000A5C90" w:rsidRDefault="000A5C90" w:rsidP="000A5C90">
      <w:pPr>
        <w:pStyle w:val="ListParagraph"/>
      </w:pPr>
    </w:p>
    <w:p w14:paraId="0E511725" w14:textId="59B75A64" w:rsidR="00150902" w:rsidRDefault="000A5C90" w:rsidP="005C06DB">
      <w:pPr>
        <w:numPr>
          <w:ilvl w:val="0"/>
          <w:numId w:val="1"/>
        </w:numPr>
        <w:spacing w:line="360" w:lineRule="auto"/>
        <w:jc w:val="both"/>
      </w:pPr>
      <w:r>
        <w:t>T</w:t>
      </w:r>
      <w:r w:rsidR="005E2120">
        <w:t>his application was ill</w:t>
      </w:r>
      <w:r w:rsidR="0053493D">
        <w:t>-</w:t>
      </w:r>
      <w:r w:rsidR="005E2120">
        <w:t xml:space="preserve">conceived and should be dismissed with costs. This costs order in favour of the applicant, </w:t>
      </w:r>
      <w:r w:rsidR="001A68CE">
        <w:t>sh</w:t>
      </w:r>
      <w:r>
        <w:t>all</w:t>
      </w:r>
      <w:r w:rsidR="001A68CE">
        <w:t xml:space="preserve"> form part of the rule I intend issuing for interested parties to show </w:t>
      </w:r>
      <w:proofErr w:type="gramStart"/>
      <w:r w:rsidR="001A68CE">
        <w:t>cause</w:t>
      </w:r>
      <w:proofErr w:type="gramEnd"/>
      <w:r w:rsidR="001A68CE">
        <w:t xml:space="preserve"> why, </w:t>
      </w:r>
      <w:r w:rsidR="005E2120">
        <w:t xml:space="preserve">insofar as that may be necessary, </w:t>
      </w:r>
      <w:r w:rsidR="001A68CE">
        <w:t xml:space="preserve">it should not form part of the </w:t>
      </w:r>
      <w:r w:rsidR="005E2120">
        <w:t xml:space="preserve">costs </w:t>
      </w:r>
      <w:r w:rsidR="001A68CE">
        <w:t xml:space="preserve">of </w:t>
      </w:r>
      <w:r w:rsidR="005E2120">
        <w:t>the liquidation.</w:t>
      </w:r>
    </w:p>
    <w:p w14:paraId="3AD5546D" w14:textId="5C5A4496" w:rsidR="00F90476" w:rsidRDefault="00F90476" w:rsidP="000A5C90">
      <w:pPr>
        <w:spacing w:line="360" w:lineRule="auto"/>
        <w:jc w:val="both"/>
      </w:pPr>
    </w:p>
    <w:p w14:paraId="36CAE3D9" w14:textId="77777777" w:rsidR="005E2120" w:rsidRDefault="005E2120" w:rsidP="005C06DB">
      <w:pPr>
        <w:numPr>
          <w:ilvl w:val="0"/>
          <w:numId w:val="1"/>
        </w:numPr>
        <w:spacing w:line="360" w:lineRule="auto"/>
        <w:jc w:val="both"/>
      </w:pPr>
      <w:r>
        <w:t>The following order is granted:</w:t>
      </w:r>
    </w:p>
    <w:p w14:paraId="0369EA92" w14:textId="11CA0637" w:rsidR="005C06DB" w:rsidRDefault="005E2120" w:rsidP="006A2900">
      <w:pPr>
        <w:pStyle w:val="ListParagraph"/>
        <w:numPr>
          <w:ilvl w:val="0"/>
          <w:numId w:val="43"/>
        </w:numPr>
        <w:spacing w:line="360" w:lineRule="auto"/>
        <w:ind w:left="0" w:firstLine="0"/>
        <w:jc w:val="both"/>
      </w:pPr>
      <w:r>
        <w:t xml:space="preserve">A rule nisi is issued calling upon all persons interested to show cause before this Honourable Court on </w:t>
      </w:r>
      <w:r w:rsidR="000D2318">
        <w:t>25</w:t>
      </w:r>
      <w:r>
        <w:t xml:space="preserve"> November 2022 at 9h30 or as soon thereafter as the matter may be heard, why the res</w:t>
      </w:r>
      <w:r w:rsidR="001F3C2D">
        <w:t>pondent should not be finally wou</w:t>
      </w:r>
      <w:r>
        <w:t>nd</w:t>
      </w:r>
      <w:r w:rsidR="0053493D">
        <w:t>-</w:t>
      </w:r>
      <w:r>
        <w:t>up</w:t>
      </w:r>
      <w:r w:rsidR="00CC2E3E">
        <w:t>,</w:t>
      </w:r>
      <w:r>
        <w:t xml:space="preserve"> and wh</w:t>
      </w:r>
      <w:r w:rsidR="00454479">
        <w:t>y the costs of this application,</w:t>
      </w:r>
      <w:r>
        <w:t xml:space="preserve"> </w:t>
      </w:r>
      <w:r w:rsidR="00454479">
        <w:t>and the applicant</w:t>
      </w:r>
      <w:r w:rsidR="001F3C2D">
        <w:t>’s costs</w:t>
      </w:r>
      <w:r w:rsidR="00454479">
        <w:t xml:space="preserve"> in relation to the application to compel compliance with a subpoena issued by the respondent, </w:t>
      </w:r>
      <w:r>
        <w:t>should not be costs in the liquidation;</w:t>
      </w:r>
    </w:p>
    <w:p w14:paraId="4553A08B" w14:textId="7367E443" w:rsidR="005E2120" w:rsidRDefault="008A5CB3" w:rsidP="006A2900">
      <w:pPr>
        <w:pStyle w:val="ListParagraph"/>
        <w:numPr>
          <w:ilvl w:val="0"/>
          <w:numId w:val="43"/>
        </w:numPr>
        <w:spacing w:line="360" w:lineRule="auto"/>
        <w:ind w:left="0" w:firstLine="0"/>
        <w:jc w:val="both"/>
      </w:pPr>
      <w:r>
        <w:t>T</w:t>
      </w:r>
      <w:r w:rsidR="005E2120">
        <w:t>his order operate</w:t>
      </w:r>
      <w:r w:rsidR="000A7E21">
        <w:t>s</w:t>
      </w:r>
      <w:r w:rsidR="005E2120">
        <w:t xml:space="preserve"> with immediate effect as a provisional order for the winding</w:t>
      </w:r>
      <w:r>
        <w:t>-</w:t>
      </w:r>
      <w:r w:rsidR="005E2120">
        <w:t>up of the respondent;</w:t>
      </w:r>
    </w:p>
    <w:p w14:paraId="122FDD98" w14:textId="45EB99F8" w:rsidR="005E2120" w:rsidRDefault="008A5CB3" w:rsidP="006A2900">
      <w:pPr>
        <w:pStyle w:val="ListParagraph"/>
        <w:numPr>
          <w:ilvl w:val="0"/>
          <w:numId w:val="43"/>
        </w:numPr>
        <w:spacing w:line="360" w:lineRule="auto"/>
        <w:ind w:left="0" w:firstLine="0"/>
        <w:jc w:val="both"/>
      </w:pPr>
      <w:r>
        <w:t>S</w:t>
      </w:r>
      <w:r w:rsidR="005E2120">
        <w:t xml:space="preserve">ervice of this order </w:t>
      </w:r>
      <w:r>
        <w:t xml:space="preserve">is to </w:t>
      </w:r>
      <w:r w:rsidR="005E2120">
        <w:t xml:space="preserve">be </w:t>
      </w:r>
      <w:r>
        <w:t>e</w:t>
      </w:r>
      <w:r w:rsidR="005E2120">
        <w:t>ffected by</w:t>
      </w:r>
      <w:r>
        <w:t>:</w:t>
      </w:r>
    </w:p>
    <w:p w14:paraId="3F14B09C" w14:textId="7A7EA36B" w:rsidR="005E2120" w:rsidRDefault="0053493D" w:rsidP="006A2900">
      <w:pPr>
        <w:pStyle w:val="ListParagraph"/>
        <w:numPr>
          <w:ilvl w:val="1"/>
          <w:numId w:val="43"/>
        </w:numPr>
        <w:spacing w:line="360" w:lineRule="auto"/>
        <w:ind w:left="0" w:firstLine="0"/>
        <w:jc w:val="both"/>
      </w:pPr>
      <w:r>
        <w:t xml:space="preserve">Publication </w:t>
      </w:r>
      <w:r w:rsidR="001A68CE">
        <w:t xml:space="preserve">forthwith in both the </w:t>
      </w:r>
      <w:r w:rsidRPr="006A2900">
        <w:rPr>
          <w:i/>
        </w:rPr>
        <w:t xml:space="preserve">Government </w:t>
      </w:r>
      <w:r w:rsidR="001A68CE" w:rsidRPr="006A2900">
        <w:rPr>
          <w:i/>
        </w:rPr>
        <w:t>Gazette</w:t>
      </w:r>
      <w:r w:rsidR="001A68CE">
        <w:t xml:space="preserve"> and the </w:t>
      </w:r>
      <w:r w:rsidR="001A68CE" w:rsidRPr="006A2900">
        <w:rPr>
          <w:i/>
        </w:rPr>
        <w:t>Mercury</w:t>
      </w:r>
      <w:r w:rsidR="001A68CE">
        <w:t xml:space="preserve"> newspaper;</w:t>
      </w:r>
    </w:p>
    <w:p w14:paraId="56583930" w14:textId="401EDD77" w:rsidR="001A68CE" w:rsidRDefault="001A68CE" w:rsidP="006A2900">
      <w:pPr>
        <w:pStyle w:val="ListParagraph"/>
        <w:numPr>
          <w:ilvl w:val="1"/>
          <w:numId w:val="43"/>
        </w:numPr>
        <w:spacing w:line="360" w:lineRule="auto"/>
        <w:ind w:left="0" w:firstLine="0"/>
        <w:jc w:val="both"/>
      </w:pPr>
      <w:r>
        <w:t>Service on the South African Revenue Service;</w:t>
      </w:r>
    </w:p>
    <w:p w14:paraId="27E610CA" w14:textId="761317FE" w:rsidR="001A68CE" w:rsidRDefault="001A68CE" w:rsidP="006A2900">
      <w:pPr>
        <w:pStyle w:val="ListParagraph"/>
        <w:numPr>
          <w:ilvl w:val="1"/>
          <w:numId w:val="43"/>
        </w:numPr>
        <w:spacing w:line="360" w:lineRule="auto"/>
        <w:ind w:left="0" w:firstLine="0"/>
        <w:jc w:val="both"/>
      </w:pPr>
      <w:r>
        <w:t xml:space="preserve">Service on the registered address of the respondent at 303 </w:t>
      </w:r>
      <w:proofErr w:type="spellStart"/>
      <w:r>
        <w:t>Crimby</w:t>
      </w:r>
      <w:proofErr w:type="spellEnd"/>
      <w:r>
        <w:t xml:space="preserve"> Avenue, </w:t>
      </w:r>
      <w:proofErr w:type="spellStart"/>
      <w:r>
        <w:t>Westcliff</w:t>
      </w:r>
      <w:proofErr w:type="spellEnd"/>
      <w:r>
        <w:t>, Chatsworth;</w:t>
      </w:r>
    </w:p>
    <w:p w14:paraId="558C567F" w14:textId="4EABFB51" w:rsidR="001A68CE" w:rsidRDefault="001A68CE" w:rsidP="006A2900">
      <w:pPr>
        <w:pStyle w:val="ListParagraph"/>
        <w:numPr>
          <w:ilvl w:val="1"/>
          <w:numId w:val="43"/>
        </w:numPr>
        <w:spacing w:line="360" w:lineRule="auto"/>
        <w:ind w:left="0" w:firstLine="0"/>
        <w:jc w:val="both"/>
      </w:pPr>
      <w:r>
        <w:t>Service on the employees of the respondent, if any;</w:t>
      </w:r>
      <w:r w:rsidR="000A7E21">
        <w:t xml:space="preserve"> and</w:t>
      </w:r>
    </w:p>
    <w:p w14:paraId="21731026" w14:textId="5C8F4219" w:rsidR="001A68CE" w:rsidRDefault="001A68CE" w:rsidP="006A2900">
      <w:pPr>
        <w:pStyle w:val="ListParagraph"/>
        <w:numPr>
          <w:ilvl w:val="1"/>
          <w:numId w:val="43"/>
        </w:numPr>
        <w:spacing w:line="360" w:lineRule="auto"/>
        <w:ind w:left="0" w:firstLine="0"/>
        <w:jc w:val="both"/>
      </w:pPr>
      <w:r>
        <w:t>Service on any registered trade union that represents any of the employees of the respondent, if any.</w:t>
      </w:r>
    </w:p>
    <w:p w14:paraId="7E970A0F" w14:textId="77777777" w:rsidR="005C06DB" w:rsidRDefault="005C06DB" w:rsidP="005C06DB">
      <w:pPr>
        <w:spacing w:line="360" w:lineRule="auto"/>
        <w:jc w:val="both"/>
      </w:pPr>
    </w:p>
    <w:p w14:paraId="10E8FCBA" w14:textId="77777777" w:rsidR="005C06DB" w:rsidRDefault="005C06DB" w:rsidP="005C06DB">
      <w:pPr>
        <w:spacing w:line="360" w:lineRule="auto"/>
        <w:jc w:val="both"/>
      </w:pPr>
    </w:p>
    <w:p w14:paraId="02BE6745" w14:textId="77777777" w:rsidR="00A43F5D" w:rsidRDefault="00A43F5D" w:rsidP="005C06DB">
      <w:pPr>
        <w:spacing w:line="360" w:lineRule="auto"/>
        <w:jc w:val="both"/>
      </w:pPr>
    </w:p>
    <w:p w14:paraId="5D8C71B8" w14:textId="77777777" w:rsidR="00A43F5D" w:rsidRPr="003A3CED" w:rsidRDefault="00A43F5D" w:rsidP="005C06DB">
      <w:pPr>
        <w:spacing w:line="360" w:lineRule="auto"/>
        <w:jc w:val="both"/>
      </w:pPr>
    </w:p>
    <w:p w14:paraId="7A3922DA" w14:textId="77777777" w:rsidR="00093030" w:rsidRPr="003A3CED" w:rsidRDefault="00093030" w:rsidP="003A3CED">
      <w:pPr>
        <w:spacing w:line="360" w:lineRule="auto"/>
        <w:jc w:val="right"/>
      </w:pPr>
      <w:r w:rsidRPr="003A3CED">
        <w:t>________________________</w:t>
      </w:r>
    </w:p>
    <w:p w14:paraId="7CFB0BB0" w14:textId="2A2B86FA" w:rsidR="00093030" w:rsidRPr="00731258" w:rsidRDefault="00B20A11" w:rsidP="003A3CED">
      <w:pPr>
        <w:spacing w:line="360" w:lineRule="auto"/>
        <w:jc w:val="right"/>
        <w:rPr>
          <w:b/>
        </w:rPr>
      </w:pPr>
      <w:r w:rsidRPr="00731258">
        <w:rPr>
          <w:b/>
        </w:rPr>
        <w:t>KOEN J</w:t>
      </w:r>
    </w:p>
    <w:p w14:paraId="21B1A163" w14:textId="77777777" w:rsidR="00093030" w:rsidRPr="00C70C28" w:rsidRDefault="00093030" w:rsidP="00440F46">
      <w:pPr>
        <w:spacing w:line="360" w:lineRule="auto"/>
      </w:pPr>
    </w:p>
    <w:p w14:paraId="468BB7E3" w14:textId="55672FBF" w:rsidR="00093030" w:rsidRDefault="00336B3B" w:rsidP="00093030">
      <w:pPr>
        <w:spacing w:line="360" w:lineRule="auto"/>
      </w:pPr>
      <w:r w:rsidRPr="00C70C28">
        <w:lastRenderedPageBreak/>
        <w:t>APPEARANCES</w:t>
      </w:r>
      <w:r w:rsidR="001F3C2D">
        <w:t>:</w:t>
      </w:r>
    </w:p>
    <w:p w14:paraId="729F95D0" w14:textId="77777777" w:rsidR="00004FB5" w:rsidRPr="00C70C28" w:rsidRDefault="00004FB5" w:rsidP="00093030">
      <w:pPr>
        <w:spacing w:line="360" w:lineRule="auto"/>
      </w:pPr>
    </w:p>
    <w:p w14:paraId="1F060F17" w14:textId="6DCE3CBA" w:rsidR="00187D56" w:rsidRDefault="00093030" w:rsidP="00004FB5">
      <w:pPr>
        <w:spacing w:line="276" w:lineRule="auto"/>
      </w:pPr>
      <w:r w:rsidRPr="00C70C28">
        <w:t xml:space="preserve">For </w:t>
      </w:r>
      <w:r w:rsidR="00AC0095" w:rsidRPr="00C70C28">
        <w:t>the applicant</w:t>
      </w:r>
      <w:r w:rsidRPr="00C70C28">
        <w:t>:</w:t>
      </w:r>
      <w:r w:rsidR="00187D56">
        <w:t xml:space="preserve"> </w:t>
      </w:r>
    </w:p>
    <w:p w14:paraId="791A6A3C" w14:textId="31EC70D2" w:rsidR="00093030" w:rsidRPr="00C70C28" w:rsidRDefault="00187D56" w:rsidP="00004FB5">
      <w:pPr>
        <w:spacing w:line="276" w:lineRule="auto"/>
      </w:pPr>
      <w:r>
        <w:t>M</w:t>
      </w:r>
      <w:r w:rsidR="001F3C2D">
        <w:t xml:space="preserve">s </w:t>
      </w:r>
      <w:r w:rsidR="00004FB5">
        <w:t xml:space="preserve">L.K. </w:t>
      </w:r>
      <w:r w:rsidR="001F3C2D">
        <w:t>Olsen</w:t>
      </w:r>
      <w:r w:rsidR="00093030" w:rsidRPr="00C70C28">
        <w:tab/>
      </w:r>
      <w:r w:rsidR="00AC0095" w:rsidRPr="00C70C28">
        <w:tab/>
      </w:r>
    </w:p>
    <w:p w14:paraId="127ED7FE" w14:textId="77777777" w:rsidR="00187D56" w:rsidRDefault="00093030" w:rsidP="00004FB5">
      <w:pPr>
        <w:spacing w:line="276" w:lineRule="auto"/>
        <w:rPr>
          <w:bCs/>
        </w:rPr>
      </w:pPr>
      <w:r w:rsidRPr="00C70C28">
        <w:rPr>
          <w:bCs/>
        </w:rPr>
        <w:t xml:space="preserve">Instructed by: </w:t>
      </w:r>
    </w:p>
    <w:p w14:paraId="2312DB69" w14:textId="4145563D" w:rsidR="00004FB5" w:rsidRDefault="001F3C2D" w:rsidP="00004FB5">
      <w:pPr>
        <w:spacing w:line="276" w:lineRule="auto"/>
        <w:rPr>
          <w:bCs/>
        </w:rPr>
      </w:pPr>
      <w:r>
        <w:rPr>
          <w:bCs/>
        </w:rPr>
        <w:t>E</w:t>
      </w:r>
      <w:r w:rsidR="00004FB5">
        <w:rPr>
          <w:bCs/>
        </w:rPr>
        <w:t xml:space="preserve">dward Nathan </w:t>
      </w:r>
      <w:proofErr w:type="spellStart"/>
      <w:r w:rsidR="00004FB5">
        <w:rPr>
          <w:bCs/>
        </w:rPr>
        <w:t>Sonnenbergs</w:t>
      </w:r>
      <w:proofErr w:type="spellEnd"/>
      <w:r w:rsidR="00004FB5">
        <w:rPr>
          <w:bCs/>
        </w:rPr>
        <w:t xml:space="preserve"> </w:t>
      </w:r>
      <w:proofErr w:type="spellStart"/>
      <w:r w:rsidR="00004FB5">
        <w:rPr>
          <w:bCs/>
        </w:rPr>
        <w:t>Inc</w:t>
      </w:r>
      <w:proofErr w:type="spellEnd"/>
    </w:p>
    <w:p w14:paraId="1F22F7D8" w14:textId="2B635D51" w:rsidR="00D1618F" w:rsidRDefault="00004FB5" w:rsidP="00004FB5">
      <w:pPr>
        <w:spacing w:line="276" w:lineRule="auto"/>
        <w:rPr>
          <w:bCs/>
        </w:rPr>
      </w:pPr>
      <w:proofErr w:type="gramStart"/>
      <w:r>
        <w:rPr>
          <w:bCs/>
        </w:rPr>
        <w:t>c/o</w:t>
      </w:r>
      <w:proofErr w:type="gramEnd"/>
      <w:r>
        <w:rPr>
          <w:bCs/>
        </w:rPr>
        <w:t xml:space="preserve"> </w:t>
      </w:r>
      <w:proofErr w:type="spellStart"/>
      <w:r>
        <w:rPr>
          <w:bCs/>
        </w:rPr>
        <w:t>Stowell</w:t>
      </w:r>
      <w:proofErr w:type="spellEnd"/>
      <w:r>
        <w:rPr>
          <w:bCs/>
        </w:rPr>
        <w:t xml:space="preserve"> and Co</w:t>
      </w:r>
    </w:p>
    <w:p w14:paraId="38EA9A4F" w14:textId="651EB0D3" w:rsidR="00D1618F" w:rsidRDefault="00D1618F" w:rsidP="00004FB5">
      <w:pPr>
        <w:spacing w:line="276" w:lineRule="auto"/>
        <w:rPr>
          <w:bCs/>
        </w:rPr>
      </w:pPr>
      <w:r>
        <w:rPr>
          <w:bCs/>
        </w:rPr>
        <w:t>Pietermaritzburg</w:t>
      </w:r>
    </w:p>
    <w:p w14:paraId="7518F096" w14:textId="7F36C7AD" w:rsidR="00AC0095" w:rsidRPr="00C70C28" w:rsidRDefault="00AC0095" w:rsidP="00004FB5">
      <w:pPr>
        <w:spacing w:line="276" w:lineRule="auto"/>
        <w:rPr>
          <w:bCs/>
        </w:rPr>
      </w:pPr>
    </w:p>
    <w:p w14:paraId="43408996" w14:textId="191F6EE4" w:rsidR="00187D56" w:rsidRDefault="00093030" w:rsidP="00004FB5">
      <w:pPr>
        <w:spacing w:line="276" w:lineRule="auto"/>
      </w:pPr>
      <w:r w:rsidRPr="00C70C28">
        <w:t xml:space="preserve">For </w:t>
      </w:r>
      <w:r w:rsidR="00AC0095" w:rsidRPr="00C70C28">
        <w:t xml:space="preserve">the </w:t>
      </w:r>
      <w:r w:rsidRPr="00C70C28">
        <w:t>respondent</w:t>
      </w:r>
      <w:r w:rsidR="001F3C2D">
        <w:t>:</w:t>
      </w:r>
    </w:p>
    <w:p w14:paraId="1383BAC6" w14:textId="542DBBCD" w:rsidR="00093030" w:rsidRPr="00C70C28" w:rsidRDefault="00187D56" w:rsidP="00004FB5">
      <w:pPr>
        <w:spacing w:line="276" w:lineRule="auto"/>
      </w:pPr>
      <w:r>
        <w:t xml:space="preserve">Mr </w:t>
      </w:r>
      <w:r w:rsidR="001F3C2D">
        <w:t>G Harrison</w:t>
      </w:r>
      <w:r w:rsidR="00093030" w:rsidRPr="00C70C28">
        <w:tab/>
      </w:r>
    </w:p>
    <w:p w14:paraId="1DFFAD9E" w14:textId="77777777" w:rsidR="00004FB5" w:rsidRDefault="00093030" w:rsidP="00004FB5">
      <w:pPr>
        <w:spacing w:line="276" w:lineRule="auto"/>
        <w:rPr>
          <w:bCs/>
        </w:rPr>
      </w:pPr>
      <w:r w:rsidRPr="00C70C28">
        <w:rPr>
          <w:bCs/>
        </w:rPr>
        <w:t>Instructed by:</w:t>
      </w:r>
    </w:p>
    <w:p w14:paraId="62C0C741" w14:textId="4CB5BFD0" w:rsidR="00E24A8B" w:rsidRDefault="00004FB5" w:rsidP="00004FB5">
      <w:pPr>
        <w:spacing w:line="276" w:lineRule="auto"/>
        <w:rPr>
          <w:szCs w:val="24"/>
        </w:rPr>
      </w:pPr>
      <w:r>
        <w:rPr>
          <w:bCs/>
        </w:rPr>
        <w:t>Logan Naidoo and Associates</w:t>
      </w:r>
      <w:r w:rsidR="00187D56">
        <w:rPr>
          <w:bCs/>
        </w:rPr>
        <w:tab/>
      </w:r>
      <w:r w:rsidR="00B20A11" w:rsidRPr="00C70C28">
        <w:rPr>
          <w:bCs/>
        </w:rPr>
        <w:tab/>
      </w:r>
      <w:r w:rsidR="00AC0095" w:rsidRPr="00C70C28">
        <w:rPr>
          <w:bCs/>
        </w:rPr>
        <w:tab/>
      </w:r>
    </w:p>
    <w:p w14:paraId="5C256AF6" w14:textId="738C75BC" w:rsidR="00D1618F" w:rsidRDefault="00D1618F" w:rsidP="00004FB5">
      <w:pPr>
        <w:spacing w:line="276" w:lineRule="auto"/>
        <w:rPr>
          <w:szCs w:val="24"/>
        </w:rPr>
      </w:pPr>
      <w:proofErr w:type="gramStart"/>
      <w:r>
        <w:rPr>
          <w:szCs w:val="24"/>
        </w:rPr>
        <w:t>c/o</w:t>
      </w:r>
      <w:proofErr w:type="gramEnd"/>
      <w:r>
        <w:rPr>
          <w:szCs w:val="24"/>
        </w:rPr>
        <w:t xml:space="preserve"> </w:t>
      </w:r>
      <w:proofErr w:type="spellStart"/>
      <w:r w:rsidR="00004FB5">
        <w:rPr>
          <w:szCs w:val="24"/>
        </w:rPr>
        <w:t>Mastross</w:t>
      </w:r>
      <w:proofErr w:type="spellEnd"/>
      <w:r w:rsidR="00004FB5">
        <w:rPr>
          <w:szCs w:val="24"/>
        </w:rPr>
        <w:t xml:space="preserve"> </w:t>
      </w:r>
      <w:proofErr w:type="spellStart"/>
      <w:r w:rsidR="00004FB5">
        <w:rPr>
          <w:szCs w:val="24"/>
        </w:rPr>
        <w:t>Inc</w:t>
      </w:r>
      <w:proofErr w:type="spellEnd"/>
    </w:p>
    <w:p w14:paraId="12C31BFD" w14:textId="62157E11" w:rsidR="00D1618F" w:rsidRDefault="00D1618F" w:rsidP="00004FB5">
      <w:pPr>
        <w:spacing w:line="276" w:lineRule="auto"/>
        <w:rPr>
          <w:szCs w:val="24"/>
        </w:rPr>
      </w:pPr>
      <w:r>
        <w:rPr>
          <w:szCs w:val="24"/>
        </w:rPr>
        <w:t>Pietermaritzburg</w:t>
      </w:r>
    </w:p>
    <w:p w14:paraId="2A0BB0F7" w14:textId="273C82EF" w:rsidR="00187D56" w:rsidRPr="00C70C28" w:rsidRDefault="00187D56" w:rsidP="00004FB5">
      <w:pPr>
        <w:spacing w:line="276" w:lineRule="auto"/>
        <w:rPr>
          <w:szCs w:val="24"/>
        </w:rPr>
      </w:pPr>
    </w:p>
    <w:sectPr w:rsidR="00187D56" w:rsidRPr="00C70C28" w:rsidSect="00591415">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60D3" w16cex:dateUtc="2021-05-06T10:34:00Z"/>
  <w16cex:commentExtensible w16cex:durableId="243F8576" w16cex:dateUtc="2021-05-07T07:23:00Z"/>
  <w16cex:commentExtensible w16cex:durableId="243F8E9B" w16cex:dateUtc="2021-05-07T08:02:00Z"/>
  <w16cex:commentExtensible w16cex:durableId="243FCBE4" w16cex:dateUtc="2021-05-06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68C343" w16cid:durableId="243E60D3"/>
  <w16cid:commentId w16cid:paraId="59477816" w16cid:durableId="243F8576"/>
  <w16cid:commentId w16cid:paraId="55E631E6" w16cid:durableId="243F8E9B"/>
  <w16cid:commentId w16cid:paraId="2668F859" w16cid:durableId="243FCB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55146" w14:textId="77777777" w:rsidR="00BC472D" w:rsidRDefault="00BC472D">
      <w:r>
        <w:separator/>
      </w:r>
    </w:p>
  </w:endnote>
  <w:endnote w:type="continuationSeparator" w:id="0">
    <w:p w14:paraId="3AF2CDBD" w14:textId="77777777" w:rsidR="00BC472D" w:rsidRDefault="00BC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2F2B5" w14:textId="77777777" w:rsidR="00BC472D" w:rsidRDefault="00BC472D">
      <w:r>
        <w:separator/>
      </w:r>
    </w:p>
  </w:footnote>
  <w:footnote w:type="continuationSeparator" w:id="0">
    <w:p w14:paraId="04A60EEB" w14:textId="77777777" w:rsidR="00BC472D" w:rsidRDefault="00BC472D">
      <w:r>
        <w:continuationSeparator/>
      </w:r>
    </w:p>
  </w:footnote>
  <w:footnote w:id="1">
    <w:p w14:paraId="1E507EFC" w14:textId="103A3AB8" w:rsidR="001A68CE" w:rsidRPr="006776A6" w:rsidRDefault="001A68CE" w:rsidP="00DC194D">
      <w:pPr>
        <w:pStyle w:val="FootnoteText"/>
        <w:jc w:val="both"/>
        <w:rPr>
          <w:lang w:val="en-US"/>
        </w:rPr>
      </w:pPr>
      <w:r>
        <w:rPr>
          <w:rStyle w:val="FootnoteReference"/>
        </w:rPr>
        <w:footnoteRef/>
      </w:r>
      <w:r>
        <w:t xml:space="preserve"> </w:t>
      </w:r>
      <w:r>
        <w:rPr>
          <w:lang w:val="en-US"/>
        </w:rPr>
        <w:t>The respondent’s heads of argument were filed late. It brought a substantive application for condonation which was not opposed, and condonation was granted.</w:t>
      </w:r>
    </w:p>
  </w:footnote>
  <w:footnote w:id="2">
    <w:p w14:paraId="0EC5D949" w14:textId="67504863" w:rsidR="00641DD9" w:rsidRPr="00641DD9" w:rsidRDefault="00641DD9" w:rsidP="00DC194D">
      <w:pPr>
        <w:pStyle w:val="FootnoteText"/>
        <w:jc w:val="both"/>
        <w:rPr>
          <w:lang w:val="en-US"/>
        </w:rPr>
      </w:pPr>
      <w:r>
        <w:rPr>
          <w:rStyle w:val="FootnoteReference"/>
        </w:rPr>
        <w:footnoteRef/>
      </w:r>
      <w:r>
        <w:t xml:space="preserve"> </w:t>
      </w:r>
      <w:r>
        <w:rPr>
          <w:lang w:val="en-US"/>
        </w:rPr>
        <w:t>S</w:t>
      </w:r>
      <w:r w:rsidR="00A34DA1">
        <w:rPr>
          <w:lang w:val="en-US"/>
        </w:rPr>
        <w:t>ection</w:t>
      </w:r>
      <w:r>
        <w:rPr>
          <w:lang w:val="en-US"/>
        </w:rPr>
        <w:t xml:space="preserve"> 66(1) of the Close Corporations Act 69 of 1984</w:t>
      </w:r>
      <w:r w:rsidR="00A34DA1">
        <w:rPr>
          <w:lang w:val="en-US"/>
        </w:rPr>
        <w:t>,</w:t>
      </w:r>
      <w:r>
        <w:rPr>
          <w:lang w:val="en-US"/>
        </w:rPr>
        <w:t xml:space="preserve"> read with s 34</w:t>
      </w:r>
      <w:r w:rsidR="008D0312">
        <w:rPr>
          <w:lang w:val="en-US"/>
        </w:rPr>
        <w:t>5</w:t>
      </w:r>
      <w:r>
        <w:rPr>
          <w:lang w:val="en-US"/>
        </w:rPr>
        <w:t xml:space="preserve">(1) of the Companies Act 61 of 1973. </w:t>
      </w:r>
    </w:p>
  </w:footnote>
  <w:footnote w:id="3">
    <w:p w14:paraId="68E673B8" w14:textId="6847B84A" w:rsidR="00641DD9" w:rsidRPr="00641DD9" w:rsidRDefault="00641DD9" w:rsidP="00DC194D">
      <w:pPr>
        <w:pStyle w:val="FootnoteText"/>
        <w:jc w:val="both"/>
        <w:rPr>
          <w:lang w:val="en-US"/>
        </w:rPr>
      </w:pPr>
      <w:r>
        <w:rPr>
          <w:rStyle w:val="FootnoteReference"/>
        </w:rPr>
        <w:footnoteRef/>
      </w:r>
      <w:r>
        <w:t xml:space="preserve"> </w:t>
      </w:r>
      <w:proofErr w:type="spellStart"/>
      <w:r w:rsidRPr="00641DD9">
        <w:rPr>
          <w:i/>
          <w:lang w:val="en-US"/>
        </w:rPr>
        <w:t>Kalil</w:t>
      </w:r>
      <w:proofErr w:type="spellEnd"/>
      <w:r w:rsidRPr="00641DD9">
        <w:rPr>
          <w:i/>
          <w:lang w:val="en-US"/>
        </w:rPr>
        <w:t xml:space="preserve"> v </w:t>
      </w:r>
      <w:proofErr w:type="spellStart"/>
      <w:r w:rsidRPr="00641DD9">
        <w:rPr>
          <w:i/>
          <w:lang w:val="en-US"/>
        </w:rPr>
        <w:t>Decotex</w:t>
      </w:r>
      <w:proofErr w:type="spellEnd"/>
      <w:r w:rsidRPr="00641DD9">
        <w:rPr>
          <w:i/>
          <w:lang w:val="en-US"/>
        </w:rPr>
        <w:t xml:space="preserve"> (</w:t>
      </w:r>
      <w:r w:rsidR="007C23C5" w:rsidRPr="00641DD9">
        <w:rPr>
          <w:i/>
          <w:lang w:val="en-US"/>
        </w:rPr>
        <w:t>Pty</w:t>
      </w:r>
      <w:r w:rsidRPr="00641DD9">
        <w:rPr>
          <w:i/>
          <w:lang w:val="en-US"/>
        </w:rPr>
        <w:t xml:space="preserve">) Ltd and </w:t>
      </w:r>
      <w:r w:rsidR="007C23C5" w:rsidRPr="00641DD9">
        <w:rPr>
          <w:i/>
          <w:lang w:val="en-US"/>
        </w:rPr>
        <w:t>another</w:t>
      </w:r>
      <w:r w:rsidR="007C23C5">
        <w:rPr>
          <w:i/>
          <w:lang w:val="en-US"/>
        </w:rPr>
        <w:t xml:space="preserve"> </w:t>
      </w:r>
      <w:r>
        <w:rPr>
          <w:lang w:val="en-US"/>
        </w:rPr>
        <w:t xml:space="preserve">1988 (1) SA 943 (A). </w:t>
      </w:r>
    </w:p>
  </w:footnote>
  <w:footnote w:id="4">
    <w:p w14:paraId="05295B88" w14:textId="4337EBF3" w:rsidR="00617546" w:rsidRPr="00617546" w:rsidRDefault="00617546" w:rsidP="00DC194D">
      <w:pPr>
        <w:pStyle w:val="FootnoteText"/>
        <w:jc w:val="both"/>
        <w:rPr>
          <w:lang w:val="en-US"/>
        </w:rPr>
      </w:pPr>
      <w:r>
        <w:rPr>
          <w:rStyle w:val="FootnoteReference"/>
        </w:rPr>
        <w:footnoteRef/>
      </w:r>
      <w:r>
        <w:t xml:space="preserve"> </w:t>
      </w:r>
      <w:proofErr w:type="spellStart"/>
      <w:r w:rsidRPr="00617546">
        <w:rPr>
          <w:i/>
          <w:lang w:val="en-US"/>
        </w:rPr>
        <w:t>H</w:t>
      </w:r>
      <w:r w:rsidR="0031415F">
        <w:rPr>
          <w:i/>
          <w:lang w:val="en-US"/>
        </w:rPr>
        <w:t>ü</w:t>
      </w:r>
      <w:r w:rsidRPr="00617546">
        <w:rPr>
          <w:i/>
          <w:lang w:val="en-US"/>
        </w:rPr>
        <w:t>lse</w:t>
      </w:r>
      <w:proofErr w:type="spellEnd"/>
      <w:r w:rsidRPr="00617546">
        <w:rPr>
          <w:i/>
          <w:lang w:val="en-US"/>
        </w:rPr>
        <w:t>-Reu</w:t>
      </w:r>
      <w:r w:rsidR="0031415F">
        <w:rPr>
          <w:i/>
          <w:lang w:val="en-US"/>
        </w:rPr>
        <w:t>t</w:t>
      </w:r>
      <w:r w:rsidRPr="00617546">
        <w:rPr>
          <w:i/>
          <w:lang w:val="en-US"/>
        </w:rPr>
        <w:t xml:space="preserve">ter and </w:t>
      </w:r>
      <w:r w:rsidR="0031415F" w:rsidRPr="00617546">
        <w:rPr>
          <w:i/>
          <w:lang w:val="en-US"/>
        </w:rPr>
        <w:t xml:space="preserve">another </w:t>
      </w:r>
      <w:r w:rsidRPr="00617546">
        <w:rPr>
          <w:i/>
          <w:lang w:val="en-US"/>
        </w:rPr>
        <w:t>v HEG Consulting Enterprises (Pty) Ltd (Lane and Fey NNO Intervening)</w:t>
      </w:r>
      <w:r>
        <w:rPr>
          <w:lang w:val="en-US"/>
        </w:rPr>
        <w:t xml:space="preserve"> 1998 (2) SA 208 (C) at 218D–219C.</w:t>
      </w:r>
    </w:p>
  </w:footnote>
  <w:footnote w:id="5">
    <w:p w14:paraId="33F50FE2" w14:textId="389BEE30" w:rsidR="00060C5B" w:rsidRPr="009620AE" w:rsidRDefault="00060C5B" w:rsidP="00DC194D">
      <w:pPr>
        <w:pStyle w:val="FootnoteText"/>
        <w:jc w:val="both"/>
        <w:rPr>
          <w:lang w:val="en-US"/>
        </w:rPr>
      </w:pPr>
      <w:r>
        <w:rPr>
          <w:rStyle w:val="FootnoteReference"/>
        </w:rPr>
        <w:footnoteRef/>
      </w:r>
      <w:r>
        <w:t xml:space="preserve"> </w:t>
      </w:r>
      <w:r w:rsidRPr="009620AE">
        <w:rPr>
          <w:i/>
          <w:lang w:val="en-US"/>
        </w:rPr>
        <w:t>Poseidon Ships Agencies (Pty) Ltd v Africa</w:t>
      </w:r>
      <w:r w:rsidR="002512F8">
        <w:rPr>
          <w:i/>
          <w:lang w:val="en-US"/>
        </w:rPr>
        <w:t>n</w:t>
      </w:r>
      <w:r w:rsidRPr="009620AE">
        <w:rPr>
          <w:i/>
          <w:lang w:val="en-US"/>
        </w:rPr>
        <w:t xml:space="preserve"> Coaling and Exporting Co (Durban) (Pty) Ltd</w:t>
      </w:r>
      <w:r w:rsidR="002512F8">
        <w:rPr>
          <w:i/>
          <w:lang w:val="en-US"/>
        </w:rPr>
        <w:t xml:space="preserve"> and another</w:t>
      </w:r>
      <w:r>
        <w:rPr>
          <w:lang w:val="en-US"/>
        </w:rPr>
        <w:t xml:space="preserve"> 1980 (1) SA 313 (D).</w:t>
      </w:r>
    </w:p>
  </w:footnote>
  <w:footnote w:id="6">
    <w:p w14:paraId="788AF59D" w14:textId="2DC3A69C" w:rsidR="000D2318" w:rsidRPr="000D2318" w:rsidRDefault="000D2318" w:rsidP="00DC194D">
      <w:pPr>
        <w:pStyle w:val="FootnoteText"/>
        <w:jc w:val="both"/>
        <w:rPr>
          <w:lang w:val="en-US"/>
        </w:rPr>
      </w:pPr>
      <w:r>
        <w:rPr>
          <w:rStyle w:val="FootnoteReference"/>
        </w:rPr>
        <w:footnoteRef/>
      </w:r>
      <w:r>
        <w:t xml:space="preserve"> </w:t>
      </w:r>
      <w:proofErr w:type="spellStart"/>
      <w:r w:rsidR="002512F8" w:rsidRPr="000D2318">
        <w:rPr>
          <w:i/>
        </w:rPr>
        <w:t>Ebrahim</w:t>
      </w:r>
      <w:proofErr w:type="spellEnd"/>
      <w:r w:rsidR="002512F8">
        <w:rPr>
          <w:i/>
        </w:rPr>
        <w:t xml:space="preserve"> (Pty) Ltd v Mahomed and others</w:t>
      </w:r>
      <w:r w:rsidR="002512F8">
        <w:t xml:space="preserve"> </w:t>
      </w:r>
      <w:r>
        <w:t>1962 (1) SA 90 (</w:t>
      </w:r>
      <w:r w:rsidR="002512F8">
        <w:t>N</w:t>
      </w:r>
      <w:r>
        <w:t xml:space="preserve">) </w:t>
      </w:r>
      <w:r w:rsidR="002512F8">
        <w:t xml:space="preserve">at </w:t>
      </w:r>
      <w:r>
        <w:t>97</w:t>
      </w:r>
      <w:r w:rsidR="002512F8">
        <w:t>F</w:t>
      </w:r>
      <w:r>
        <w:t>-100</w:t>
      </w:r>
      <w:r w:rsidR="002512F8">
        <w:t>A</w:t>
      </w:r>
      <w:r>
        <w:t>.</w:t>
      </w:r>
    </w:p>
  </w:footnote>
  <w:footnote w:id="7">
    <w:p w14:paraId="30246AD2" w14:textId="10BDAA86" w:rsidR="00263B73" w:rsidRPr="00263B73" w:rsidRDefault="00263B73" w:rsidP="00DC194D">
      <w:pPr>
        <w:pStyle w:val="FootnoteText"/>
        <w:jc w:val="both"/>
        <w:rPr>
          <w:lang w:val="en-US"/>
        </w:rPr>
      </w:pPr>
      <w:r>
        <w:rPr>
          <w:rStyle w:val="FootnoteReference"/>
        </w:rPr>
        <w:footnoteRef/>
      </w:r>
      <w:r>
        <w:t xml:space="preserve"> </w:t>
      </w:r>
      <w:r w:rsidR="002512F8">
        <w:t xml:space="preserve">G Bradfield </w:t>
      </w:r>
      <w:r w:rsidR="002512F8">
        <w:rPr>
          <w:i/>
        </w:rPr>
        <w:t xml:space="preserve">Christie’s Law of Contract in South Africa </w:t>
      </w:r>
      <w:r>
        <w:rPr>
          <w:lang w:val="en-US"/>
        </w:rPr>
        <w:t xml:space="preserve">7 </w:t>
      </w:r>
      <w:proofErr w:type="spellStart"/>
      <w:proofErr w:type="gramStart"/>
      <w:r>
        <w:rPr>
          <w:lang w:val="en-US"/>
        </w:rPr>
        <w:t>ed</w:t>
      </w:r>
      <w:proofErr w:type="spellEnd"/>
      <w:proofErr w:type="gramEnd"/>
      <w:r>
        <w:rPr>
          <w:lang w:val="en-US"/>
        </w:rPr>
        <w:t xml:space="preserve"> </w:t>
      </w:r>
      <w:r w:rsidR="002512F8">
        <w:rPr>
          <w:lang w:val="en-US"/>
        </w:rPr>
        <w:t xml:space="preserve">(2016) at </w:t>
      </w:r>
      <w:r>
        <w:rPr>
          <w:lang w:val="en-US"/>
        </w:rPr>
        <w:t>497.</w:t>
      </w:r>
    </w:p>
  </w:footnote>
  <w:footnote w:id="8">
    <w:p w14:paraId="75489AC7" w14:textId="7BCDA828" w:rsidR="003B3ECA" w:rsidRPr="003B3ECA" w:rsidRDefault="003B3ECA" w:rsidP="00DC194D">
      <w:pPr>
        <w:pStyle w:val="FootnoteText"/>
        <w:jc w:val="both"/>
        <w:rPr>
          <w:lang w:val="en-US"/>
        </w:rPr>
      </w:pPr>
      <w:r>
        <w:rPr>
          <w:rStyle w:val="FootnoteReference"/>
        </w:rPr>
        <w:footnoteRef/>
      </w:r>
      <w:r>
        <w:t xml:space="preserve"> </w:t>
      </w:r>
      <w:r w:rsidR="00EB5678" w:rsidRPr="00EB5678">
        <w:rPr>
          <w:i/>
        </w:rPr>
        <w:t>Standard Bank of South Africa</w:t>
      </w:r>
      <w:r w:rsidR="00EB5678">
        <w:rPr>
          <w:i/>
        </w:rPr>
        <w:t xml:space="preserve"> Ltd</w:t>
      </w:r>
      <w:r w:rsidR="00EB5678" w:rsidRPr="00EB5678">
        <w:rPr>
          <w:i/>
        </w:rPr>
        <w:t xml:space="preserve"> v </w:t>
      </w:r>
      <w:proofErr w:type="spellStart"/>
      <w:r w:rsidR="00EB5678" w:rsidRPr="00EB5678">
        <w:rPr>
          <w:i/>
        </w:rPr>
        <w:t>Onea</w:t>
      </w:r>
      <w:r w:rsidR="00EB5678">
        <w:rPr>
          <w:i/>
        </w:rPr>
        <w:t>na</w:t>
      </w:r>
      <w:r w:rsidR="00EB5678" w:rsidRPr="00EB5678">
        <w:rPr>
          <w:i/>
        </w:rPr>
        <w:t>te</w:t>
      </w:r>
      <w:proofErr w:type="spellEnd"/>
      <w:r w:rsidR="00EB5678" w:rsidRPr="00EB5678">
        <w:rPr>
          <w:i/>
        </w:rPr>
        <w:t xml:space="preserve"> Investments (Pty) Ltd (in liquidation)</w:t>
      </w:r>
      <w:r w:rsidR="00EB5678">
        <w:rPr>
          <w:i/>
        </w:rPr>
        <w:t xml:space="preserve"> </w:t>
      </w:r>
      <w:r>
        <w:rPr>
          <w:lang w:val="en-US"/>
        </w:rPr>
        <w:t xml:space="preserve">1998 (1) SA 811 (SCA) </w:t>
      </w:r>
      <w:r w:rsidR="00EB5678">
        <w:rPr>
          <w:lang w:val="en-US"/>
        </w:rPr>
        <w:t xml:space="preserve">at </w:t>
      </w:r>
      <w:r>
        <w:rPr>
          <w:lang w:val="en-US"/>
        </w:rPr>
        <w:t>829H – 832G.</w:t>
      </w:r>
    </w:p>
  </w:footnote>
  <w:footnote w:id="9">
    <w:p w14:paraId="5824AE97" w14:textId="129B0D2D" w:rsidR="007B642F" w:rsidRPr="00731258" w:rsidRDefault="007B642F">
      <w:pPr>
        <w:pStyle w:val="FootnoteText"/>
        <w:rPr>
          <w:lang w:val="en-GB"/>
        </w:rPr>
      </w:pPr>
      <w:r>
        <w:rPr>
          <w:rStyle w:val="FootnoteReference"/>
        </w:rPr>
        <w:footnoteRef/>
      </w:r>
      <w:r>
        <w:t xml:space="preserve"> </w:t>
      </w:r>
      <w:r>
        <w:rPr>
          <w:lang w:val="en-GB"/>
        </w:rPr>
        <w:t>See s 69 of the Close Corporation Act 69 of 1984.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1A68CE" w:rsidRDefault="001A68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1A68CE" w:rsidRDefault="001A68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417E0C16" w:rsidR="001A68CE" w:rsidRPr="00AC7DA3" w:rsidRDefault="001A68CE">
    <w:pPr>
      <w:pStyle w:val="Header"/>
      <w:framePr w:wrap="around" w:vAnchor="text" w:hAnchor="margin" w:xAlign="right" w:y="1"/>
      <w:rPr>
        <w:rStyle w:val="PageNumber"/>
        <w:rFonts w:cs="Arial"/>
        <w:sz w:val="22"/>
      </w:rPr>
    </w:pPr>
    <w:r w:rsidRPr="00AC7DA3">
      <w:rPr>
        <w:rStyle w:val="PageNumber"/>
        <w:rFonts w:cs="Arial"/>
        <w:sz w:val="22"/>
      </w:rPr>
      <w:fldChar w:fldCharType="begin"/>
    </w:r>
    <w:r w:rsidRPr="00AC7DA3">
      <w:rPr>
        <w:rStyle w:val="PageNumber"/>
        <w:rFonts w:cs="Arial"/>
        <w:sz w:val="22"/>
      </w:rPr>
      <w:instrText xml:space="preserve">PAGE  </w:instrText>
    </w:r>
    <w:r w:rsidRPr="00AC7DA3">
      <w:rPr>
        <w:rStyle w:val="PageNumber"/>
        <w:rFonts w:cs="Arial"/>
        <w:sz w:val="22"/>
      </w:rPr>
      <w:fldChar w:fldCharType="separate"/>
    </w:r>
    <w:r w:rsidR="00A94965">
      <w:rPr>
        <w:rStyle w:val="PageNumber"/>
        <w:rFonts w:cs="Arial"/>
        <w:noProof/>
        <w:sz w:val="22"/>
      </w:rPr>
      <w:t>15</w:t>
    </w:r>
    <w:r w:rsidRPr="00AC7DA3">
      <w:rPr>
        <w:rStyle w:val="PageNumber"/>
        <w:rFonts w:cs="Arial"/>
        <w:sz w:val="22"/>
      </w:rPr>
      <w:fldChar w:fldCharType="end"/>
    </w:r>
  </w:p>
  <w:p w14:paraId="0B7E1CB3" w14:textId="77777777" w:rsidR="001A68CE" w:rsidRDefault="001A68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4AD"/>
    <w:multiLevelType w:val="hybridMultilevel"/>
    <w:tmpl w:val="3F60BBBA"/>
    <w:lvl w:ilvl="0" w:tplc="1C09000F">
      <w:start w:val="1"/>
      <w:numFmt w:val="decimal"/>
      <w:lvlText w:val="%1."/>
      <w:lvlJc w:val="left"/>
      <w:pPr>
        <w:ind w:left="1710" w:hanging="360"/>
      </w:p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1" w15:restartNumberingAfterBreak="0">
    <w:nsid w:val="02756B01"/>
    <w:multiLevelType w:val="hybridMultilevel"/>
    <w:tmpl w:val="95F2D1D4"/>
    <w:lvl w:ilvl="0" w:tplc="70F61F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41609"/>
    <w:multiLevelType w:val="hybridMultilevel"/>
    <w:tmpl w:val="48427F18"/>
    <w:lvl w:ilvl="0" w:tplc="9A88F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91358"/>
    <w:multiLevelType w:val="hybridMultilevel"/>
    <w:tmpl w:val="047A362C"/>
    <w:lvl w:ilvl="0" w:tplc="C4AEE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94FBF"/>
    <w:multiLevelType w:val="hybridMultilevel"/>
    <w:tmpl w:val="E4AAC8FC"/>
    <w:lvl w:ilvl="0" w:tplc="BA96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E49A3"/>
    <w:multiLevelType w:val="hybridMultilevel"/>
    <w:tmpl w:val="E550D89E"/>
    <w:lvl w:ilvl="0" w:tplc="9F88B3A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FE7929"/>
    <w:multiLevelType w:val="hybridMultilevel"/>
    <w:tmpl w:val="7C80A148"/>
    <w:lvl w:ilvl="0" w:tplc="A5CCF2C8">
      <w:start w:val="1"/>
      <w:numFmt w:val="decimal"/>
      <w:lvlText w:val="[%1]"/>
      <w:lvlJc w:val="left"/>
      <w:pPr>
        <w:ind w:left="0"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E3D6D"/>
    <w:multiLevelType w:val="hybridMultilevel"/>
    <w:tmpl w:val="4A3C347A"/>
    <w:lvl w:ilvl="0" w:tplc="50B45E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E071D"/>
    <w:multiLevelType w:val="hybridMultilevel"/>
    <w:tmpl w:val="74ECFF98"/>
    <w:lvl w:ilvl="0" w:tplc="77662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B627A"/>
    <w:multiLevelType w:val="hybridMultilevel"/>
    <w:tmpl w:val="FA7E7456"/>
    <w:lvl w:ilvl="0" w:tplc="0A7A2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0604C"/>
    <w:multiLevelType w:val="hybridMultilevel"/>
    <w:tmpl w:val="A574E34A"/>
    <w:lvl w:ilvl="0" w:tplc="41A242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D1468"/>
    <w:multiLevelType w:val="hybridMultilevel"/>
    <w:tmpl w:val="047A362C"/>
    <w:lvl w:ilvl="0" w:tplc="C4AEE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A1833"/>
    <w:multiLevelType w:val="hybridMultilevel"/>
    <w:tmpl w:val="61B6F2EE"/>
    <w:lvl w:ilvl="0" w:tplc="9BAA35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CE4033"/>
    <w:multiLevelType w:val="hybridMultilevel"/>
    <w:tmpl w:val="80D28C1C"/>
    <w:lvl w:ilvl="0" w:tplc="DABC1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2597B"/>
    <w:multiLevelType w:val="hybridMultilevel"/>
    <w:tmpl w:val="A53A17AC"/>
    <w:lvl w:ilvl="0" w:tplc="87A09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E75A2E"/>
    <w:multiLevelType w:val="hybridMultilevel"/>
    <w:tmpl w:val="D6749A34"/>
    <w:lvl w:ilvl="0" w:tplc="37B6A7D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415A4"/>
    <w:multiLevelType w:val="hybridMultilevel"/>
    <w:tmpl w:val="B16CF01A"/>
    <w:lvl w:ilvl="0" w:tplc="7AEE5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54266"/>
    <w:multiLevelType w:val="hybridMultilevel"/>
    <w:tmpl w:val="73FE3232"/>
    <w:lvl w:ilvl="0" w:tplc="235AAE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786945"/>
    <w:multiLevelType w:val="hybridMultilevel"/>
    <w:tmpl w:val="6FA2FE8C"/>
    <w:lvl w:ilvl="0" w:tplc="E44E3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B57706"/>
    <w:multiLevelType w:val="hybridMultilevel"/>
    <w:tmpl w:val="A53A17AC"/>
    <w:lvl w:ilvl="0" w:tplc="87A09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AB42EB"/>
    <w:multiLevelType w:val="hybridMultilevel"/>
    <w:tmpl w:val="0C849F70"/>
    <w:lvl w:ilvl="0" w:tplc="4DD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518BB"/>
    <w:multiLevelType w:val="hybridMultilevel"/>
    <w:tmpl w:val="2E888362"/>
    <w:lvl w:ilvl="0" w:tplc="7BC00F0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88F16F5"/>
    <w:multiLevelType w:val="hybridMultilevel"/>
    <w:tmpl w:val="5810DF8A"/>
    <w:lvl w:ilvl="0" w:tplc="DDB87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C67813"/>
    <w:multiLevelType w:val="hybridMultilevel"/>
    <w:tmpl w:val="6C72CAEA"/>
    <w:lvl w:ilvl="0" w:tplc="9D54369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A2F2C"/>
    <w:multiLevelType w:val="hybridMultilevel"/>
    <w:tmpl w:val="DD8A896C"/>
    <w:lvl w:ilvl="0" w:tplc="493CE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75537"/>
    <w:multiLevelType w:val="hybridMultilevel"/>
    <w:tmpl w:val="A3ACADCC"/>
    <w:lvl w:ilvl="0" w:tplc="84485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706ADD"/>
    <w:multiLevelType w:val="hybridMultilevel"/>
    <w:tmpl w:val="C212C060"/>
    <w:lvl w:ilvl="0" w:tplc="30CC6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652548"/>
    <w:multiLevelType w:val="hybridMultilevel"/>
    <w:tmpl w:val="D870BFBC"/>
    <w:lvl w:ilvl="0" w:tplc="EA381A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481962"/>
    <w:multiLevelType w:val="multilevel"/>
    <w:tmpl w:val="C144C8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8B47475"/>
    <w:multiLevelType w:val="hybridMultilevel"/>
    <w:tmpl w:val="3162D52A"/>
    <w:lvl w:ilvl="0" w:tplc="92F40D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7F5521"/>
    <w:multiLevelType w:val="multilevel"/>
    <w:tmpl w:val="4EBA8E3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FDC00F8"/>
    <w:multiLevelType w:val="hybridMultilevel"/>
    <w:tmpl w:val="BA32A678"/>
    <w:lvl w:ilvl="0" w:tplc="1C88F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9F180D"/>
    <w:multiLevelType w:val="hybridMultilevel"/>
    <w:tmpl w:val="0EECD49E"/>
    <w:lvl w:ilvl="0" w:tplc="65A85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9546F1"/>
    <w:multiLevelType w:val="hybridMultilevel"/>
    <w:tmpl w:val="2070C092"/>
    <w:lvl w:ilvl="0" w:tplc="471696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5E14D0"/>
    <w:multiLevelType w:val="hybridMultilevel"/>
    <w:tmpl w:val="C21E9E28"/>
    <w:lvl w:ilvl="0" w:tplc="0409000F">
      <w:start w:val="1"/>
      <w:numFmt w:val="decimal"/>
      <w:lvlText w:val="%1."/>
      <w:lvlJc w:val="left"/>
      <w:pPr>
        <w:ind w:left="720" w:hanging="360"/>
      </w:pPr>
      <w:rPr>
        <w:rFonts w:hint="default"/>
      </w:rPr>
    </w:lvl>
    <w:lvl w:ilvl="1" w:tplc="A238E9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96B3A"/>
    <w:multiLevelType w:val="hybridMultilevel"/>
    <w:tmpl w:val="D786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DA444F"/>
    <w:multiLevelType w:val="hybridMultilevel"/>
    <w:tmpl w:val="9A227EA2"/>
    <w:lvl w:ilvl="0" w:tplc="99C6D41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92C15"/>
    <w:multiLevelType w:val="hybridMultilevel"/>
    <w:tmpl w:val="9740D8B0"/>
    <w:lvl w:ilvl="0" w:tplc="DEA28A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366F4"/>
    <w:multiLevelType w:val="hybridMultilevel"/>
    <w:tmpl w:val="82160E0A"/>
    <w:lvl w:ilvl="0" w:tplc="6A2CB1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11F14"/>
    <w:multiLevelType w:val="hybridMultilevel"/>
    <w:tmpl w:val="B49C7836"/>
    <w:lvl w:ilvl="0" w:tplc="8D72CF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71526F"/>
    <w:multiLevelType w:val="hybridMultilevel"/>
    <w:tmpl w:val="C21E9E28"/>
    <w:lvl w:ilvl="0" w:tplc="0409000F">
      <w:start w:val="1"/>
      <w:numFmt w:val="decimal"/>
      <w:lvlText w:val="%1."/>
      <w:lvlJc w:val="left"/>
      <w:pPr>
        <w:ind w:left="720" w:hanging="360"/>
      </w:pPr>
      <w:rPr>
        <w:rFonts w:hint="default"/>
      </w:rPr>
    </w:lvl>
    <w:lvl w:ilvl="1" w:tplc="A238E9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986423"/>
    <w:multiLevelType w:val="hybridMultilevel"/>
    <w:tmpl w:val="05EEC8BE"/>
    <w:lvl w:ilvl="0" w:tplc="1E7020D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C8D7FD7"/>
    <w:multiLevelType w:val="hybridMultilevel"/>
    <w:tmpl w:val="CFCAF4EA"/>
    <w:lvl w:ilvl="0" w:tplc="5BB6E9BA">
      <w:start w:val="1"/>
      <w:numFmt w:val="lowerLetter"/>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2"/>
  </w:num>
  <w:num w:numId="3">
    <w:abstractNumId w:val="9"/>
  </w:num>
  <w:num w:numId="4">
    <w:abstractNumId w:val="20"/>
  </w:num>
  <w:num w:numId="5">
    <w:abstractNumId w:val="31"/>
  </w:num>
  <w:num w:numId="6">
    <w:abstractNumId w:val="16"/>
  </w:num>
  <w:num w:numId="7">
    <w:abstractNumId w:val="10"/>
  </w:num>
  <w:num w:numId="8">
    <w:abstractNumId w:val="21"/>
  </w:num>
  <w:num w:numId="9">
    <w:abstractNumId w:val="8"/>
  </w:num>
  <w:num w:numId="10">
    <w:abstractNumId w:val="29"/>
  </w:num>
  <w:num w:numId="11">
    <w:abstractNumId w:val="2"/>
  </w:num>
  <w:num w:numId="12">
    <w:abstractNumId w:val="7"/>
  </w:num>
  <w:num w:numId="13">
    <w:abstractNumId w:val="5"/>
  </w:num>
  <w:num w:numId="14">
    <w:abstractNumId w:val="18"/>
  </w:num>
  <w:num w:numId="15">
    <w:abstractNumId w:val="38"/>
  </w:num>
  <w:num w:numId="16">
    <w:abstractNumId w:val="37"/>
  </w:num>
  <w:num w:numId="17">
    <w:abstractNumId w:val="33"/>
  </w:num>
  <w:num w:numId="18">
    <w:abstractNumId w:val="23"/>
  </w:num>
  <w:num w:numId="19">
    <w:abstractNumId w:val="30"/>
  </w:num>
  <w:num w:numId="20">
    <w:abstractNumId w:val="27"/>
  </w:num>
  <w:num w:numId="21">
    <w:abstractNumId w:val="24"/>
  </w:num>
  <w:num w:numId="22">
    <w:abstractNumId w:val="25"/>
  </w:num>
  <w:num w:numId="23">
    <w:abstractNumId w:val="39"/>
  </w:num>
  <w:num w:numId="24">
    <w:abstractNumId w:val="13"/>
  </w:num>
  <w:num w:numId="25">
    <w:abstractNumId w:val="17"/>
  </w:num>
  <w:num w:numId="26">
    <w:abstractNumId w:val="4"/>
  </w:num>
  <w:num w:numId="27">
    <w:abstractNumId w:val="3"/>
  </w:num>
  <w:num w:numId="28">
    <w:abstractNumId w:val="1"/>
  </w:num>
  <w:num w:numId="29">
    <w:abstractNumId w:val="32"/>
  </w:num>
  <w:num w:numId="30">
    <w:abstractNumId w:val="12"/>
  </w:num>
  <w:num w:numId="31">
    <w:abstractNumId w:val="35"/>
  </w:num>
  <w:num w:numId="32">
    <w:abstractNumId w:val="22"/>
  </w:num>
  <w:num w:numId="33">
    <w:abstractNumId w:val="19"/>
  </w:num>
  <w:num w:numId="34">
    <w:abstractNumId w:val="26"/>
  </w:num>
  <w:num w:numId="35">
    <w:abstractNumId w:val="36"/>
  </w:num>
  <w:num w:numId="36">
    <w:abstractNumId w:val="11"/>
  </w:num>
  <w:num w:numId="37">
    <w:abstractNumId w:val="15"/>
  </w:num>
  <w:num w:numId="38">
    <w:abstractNumId w:val="0"/>
  </w:num>
  <w:num w:numId="39">
    <w:abstractNumId w:val="41"/>
  </w:num>
  <w:num w:numId="40">
    <w:abstractNumId w:val="14"/>
  </w:num>
  <w:num w:numId="41">
    <w:abstractNumId w:val="28"/>
  </w:num>
  <w:num w:numId="42">
    <w:abstractNumId w:val="4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FD0FF1C-1A63-4F45-9A29-B99CD88E04F5}"/>
    <w:docVar w:name="dgnword-eventsink" w:val="203208840"/>
  </w:docVars>
  <w:rsids>
    <w:rsidRoot w:val="00093030"/>
    <w:rsid w:val="00000DCC"/>
    <w:rsid w:val="000018AE"/>
    <w:rsid w:val="00004FB5"/>
    <w:rsid w:val="00007CE3"/>
    <w:rsid w:val="00013458"/>
    <w:rsid w:val="00014E33"/>
    <w:rsid w:val="00016245"/>
    <w:rsid w:val="00022B7D"/>
    <w:rsid w:val="00027A8B"/>
    <w:rsid w:val="00032E7D"/>
    <w:rsid w:val="00052E11"/>
    <w:rsid w:val="00055AB6"/>
    <w:rsid w:val="00057405"/>
    <w:rsid w:val="00060C5B"/>
    <w:rsid w:val="0006537F"/>
    <w:rsid w:val="00071C02"/>
    <w:rsid w:val="000730D6"/>
    <w:rsid w:val="00076F33"/>
    <w:rsid w:val="00081125"/>
    <w:rsid w:val="00082C3F"/>
    <w:rsid w:val="00083528"/>
    <w:rsid w:val="00084FF1"/>
    <w:rsid w:val="0009047A"/>
    <w:rsid w:val="00091C5F"/>
    <w:rsid w:val="00091C85"/>
    <w:rsid w:val="00093030"/>
    <w:rsid w:val="000A1483"/>
    <w:rsid w:val="000A1F50"/>
    <w:rsid w:val="000A2D44"/>
    <w:rsid w:val="000A5C90"/>
    <w:rsid w:val="000A7B2E"/>
    <w:rsid w:val="000A7E21"/>
    <w:rsid w:val="000A7F49"/>
    <w:rsid w:val="000B1C3D"/>
    <w:rsid w:val="000B422C"/>
    <w:rsid w:val="000D1290"/>
    <w:rsid w:val="000D2318"/>
    <w:rsid w:val="000D4566"/>
    <w:rsid w:val="000D7DB1"/>
    <w:rsid w:val="000E16FA"/>
    <w:rsid w:val="000E39FC"/>
    <w:rsid w:val="000E5726"/>
    <w:rsid w:val="000F13C5"/>
    <w:rsid w:val="000F2ED1"/>
    <w:rsid w:val="001067E6"/>
    <w:rsid w:val="001077DF"/>
    <w:rsid w:val="00107B4C"/>
    <w:rsid w:val="00112230"/>
    <w:rsid w:val="00117E6E"/>
    <w:rsid w:val="00122128"/>
    <w:rsid w:val="0012460A"/>
    <w:rsid w:val="00131C11"/>
    <w:rsid w:val="00134089"/>
    <w:rsid w:val="0013411D"/>
    <w:rsid w:val="00134266"/>
    <w:rsid w:val="001346E8"/>
    <w:rsid w:val="0013527F"/>
    <w:rsid w:val="00140E10"/>
    <w:rsid w:val="00142BD9"/>
    <w:rsid w:val="001441F0"/>
    <w:rsid w:val="00150902"/>
    <w:rsid w:val="0015193B"/>
    <w:rsid w:val="0016475E"/>
    <w:rsid w:val="00165F55"/>
    <w:rsid w:val="00166FFB"/>
    <w:rsid w:val="00170F0E"/>
    <w:rsid w:val="00174D50"/>
    <w:rsid w:val="001775CE"/>
    <w:rsid w:val="00182054"/>
    <w:rsid w:val="00184716"/>
    <w:rsid w:val="0018534A"/>
    <w:rsid w:val="00187D56"/>
    <w:rsid w:val="001919CF"/>
    <w:rsid w:val="00193056"/>
    <w:rsid w:val="00196C0D"/>
    <w:rsid w:val="001A35CC"/>
    <w:rsid w:val="001A5199"/>
    <w:rsid w:val="001A68CE"/>
    <w:rsid w:val="001B1C5D"/>
    <w:rsid w:val="001B744C"/>
    <w:rsid w:val="001B7972"/>
    <w:rsid w:val="001C075A"/>
    <w:rsid w:val="001C1E57"/>
    <w:rsid w:val="001C260A"/>
    <w:rsid w:val="001C5C9A"/>
    <w:rsid w:val="001C734D"/>
    <w:rsid w:val="001D6016"/>
    <w:rsid w:val="001E3E16"/>
    <w:rsid w:val="001E49B5"/>
    <w:rsid w:val="001E5B50"/>
    <w:rsid w:val="001E600B"/>
    <w:rsid w:val="001E6034"/>
    <w:rsid w:val="001F3C2D"/>
    <w:rsid w:val="002029DC"/>
    <w:rsid w:val="00207A3D"/>
    <w:rsid w:val="0021401E"/>
    <w:rsid w:val="00217C64"/>
    <w:rsid w:val="002206A8"/>
    <w:rsid w:val="00221386"/>
    <w:rsid w:val="002265FE"/>
    <w:rsid w:val="00230BE3"/>
    <w:rsid w:val="0023479D"/>
    <w:rsid w:val="002363F2"/>
    <w:rsid w:val="0023687E"/>
    <w:rsid w:val="00240526"/>
    <w:rsid w:val="00244ADF"/>
    <w:rsid w:val="002512F8"/>
    <w:rsid w:val="00251911"/>
    <w:rsid w:val="00255DBD"/>
    <w:rsid w:val="00263B73"/>
    <w:rsid w:val="002765E9"/>
    <w:rsid w:val="00284EB8"/>
    <w:rsid w:val="00285099"/>
    <w:rsid w:val="002866DB"/>
    <w:rsid w:val="002932D5"/>
    <w:rsid w:val="00297E3F"/>
    <w:rsid w:val="002A02F4"/>
    <w:rsid w:val="002A084B"/>
    <w:rsid w:val="002A706E"/>
    <w:rsid w:val="002A7BA7"/>
    <w:rsid w:val="002B32D2"/>
    <w:rsid w:val="002B7D52"/>
    <w:rsid w:val="002C6FDB"/>
    <w:rsid w:val="002C7FF4"/>
    <w:rsid w:val="002D31F7"/>
    <w:rsid w:val="002D3E60"/>
    <w:rsid w:val="002D4ECE"/>
    <w:rsid w:val="002D4EF6"/>
    <w:rsid w:val="002D52CE"/>
    <w:rsid w:val="002D7B47"/>
    <w:rsid w:val="002E0339"/>
    <w:rsid w:val="002E09F6"/>
    <w:rsid w:val="002E291E"/>
    <w:rsid w:val="002E5277"/>
    <w:rsid w:val="002E6E72"/>
    <w:rsid w:val="002E757C"/>
    <w:rsid w:val="00300829"/>
    <w:rsid w:val="003051ED"/>
    <w:rsid w:val="00310732"/>
    <w:rsid w:val="00313410"/>
    <w:rsid w:val="0031415F"/>
    <w:rsid w:val="0031434B"/>
    <w:rsid w:val="003201BA"/>
    <w:rsid w:val="00324B8C"/>
    <w:rsid w:val="00331780"/>
    <w:rsid w:val="00332728"/>
    <w:rsid w:val="00333FC9"/>
    <w:rsid w:val="00336B3B"/>
    <w:rsid w:val="0034122B"/>
    <w:rsid w:val="00347D9D"/>
    <w:rsid w:val="00347F62"/>
    <w:rsid w:val="0035325C"/>
    <w:rsid w:val="0035460C"/>
    <w:rsid w:val="00357B47"/>
    <w:rsid w:val="00362236"/>
    <w:rsid w:val="003643BA"/>
    <w:rsid w:val="00367442"/>
    <w:rsid w:val="0037313E"/>
    <w:rsid w:val="0037450D"/>
    <w:rsid w:val="00376B59"/>
    <w:rsid w:val="003778C0"/>
    <w:rsid w:val="00383067"/>
    <w:rsid w:val="00383BC1"/>
    <w:rsid w:val="00391441"/>
    <w:rsid w:val="00393917"/>
    <w:rsid w:val="00394DF3"/>
    <w:rsid w:val="003955D8"/>
    <w:rsid w:val="003A3CED"/>
    <w:rsid w:val="003B0EEF"/>
    <w:rsid w:val="003B203D"/>
    <w:rsid w:val="003B3ECA"/>
    <w:rsid w:val="003B4546"/>
    <w:rsid w:val="003B46E9"/>
    <w:rsid w:val="003B530C"/>
    <w:rsid w:val="003C6877"/>
    <w:rsid w:val="003C72D8"/>
    <w:rsid w:val="003D0903"/>
    <w:rsid w:val="003D1916"/>
    <w:rsid w:val="003D1CEF"/>
    <w:rsid w:val="003D27CE"/>
    <w:rsid w:val="003D316E"/>
    <w:rsid w:val="003D6F92"/>
    <w:rsid w:val="003E2CA0"/>
    <w:rsid w:val="003E3019"/>
    <w:rsid w:val="003E4381"/>
    <w:rsid w:val="003E7496"/>
    <w:rsid w:val="003F15D4"/>
    <w:rsid w:val="003F1885"/>
    <w:rsid w:val="003F4B7C"/>
    <w:rsid w:val="003F747F"/>
    <w:rsid w:val="00400887"/>
    <w:rsid w:val="0040435F"/>
    <w:rsid w:val="00404453"/>
    <w:rsid w:val="00405094"/>
    <w:rsid w:val="004150FA"/>
    <w:rsid w:val="00416DF2"/>
    <w:rsid w:val="004200D9"/>
    <w:rsid w:val="004206A1"/>
    <w:rsid w:val="00421D33"/>
    <w:rsid w:val="0042536C"/>
    <w:rsid w:val="00425E3B"/>
    <w:rsid w:val="00434C13"/>
    <w:rsid w:val="00437780"/>
    <w:rsid w:val="00440F46"/>
    <w:rsid w:val="00442E3C"/>
    <w:rsid w:val="00443458"/>
    <w:rsid w:val="00444D02"/>
    <w:rsid w:val="0044794A"/>
    <w:rsid w:val="00447F20"/>
    <w:rsid w:val="00454479"/>
    <w:rsid w:val="00455B56"/>
    <w:rsid w:val="0046168C"/>
    <w:rsid w:val="004667E3"/>
    <w:rsid w:val="00467AD1"/>
    <w:rsid w:val="00471B47"/>
    <w:rsid w:val="004729CA"/>
    <w:rsid w:val="0047444A"/>
    <w:rsid w:val="00495E70"/>
    <w:rsid w:val="004A053C"/>
    <w:rsid w:val="004A1073"/>
    <w:rsid w:val="004A4692"/>
    <w:rsid w:val="004B1DC9"/>
    <w:rsid w:val="004B3A04"/>
    <w:rsid w:val="004B6FAA"/>
    <w:rsid w:val="004B7F95"/>
    <w:rsid w:val="004D3AE3"/>
    <w:rsid w:val="004D40E1"/>
    <w:rsid w:val="004E149A"/>
    <w:rsid w:val="004E7336"/>
    <w:rsid w:val="0050000C"/>
    <w:rsid w:val="0050184C"/>
    <w:rsid w:val="00504FB0"/>
    <w:rsid w:val="0050777D"/>
    <w:rsid w:val="00510A3B"/>
    <w:rsid w:val="0051658A"/>
    <w:rsid w:val="0052349D"/>
    <w:rsid w:val="005239F8"/>
    <w:rsid w:val="00523C22"/>
    <w:rsid w:val="0052750D"/>
    <w:rsid w:val="005328C6"/>
    <w:rsid w:val="0053493D"/>
    <w:rsid w:val="0053728C"/>
    <w:rsid w:val="005414C3"/>
    <w:rsid w:val="005446E5"/>
    <w:rsid w:val="00553F83"/>
    <w:rsid w:val="00560A86"/>
    <w:rsid w:val="00564844"/>
    <w:rsid w:val="00564D29"/>
    <w:rsid w:val="00567A8B"/>
    <w:rsid w:val="0057332C"/>
    <w:rsid w:val="005749ED"/>
    <w:rsid w:val="00575C90"/>
    <w:rsid w:val="005761C8"/>
    <w:rsid w:val="00590810"/>
    <w:rsid w:val="00591415"/>
    <w:rsid w:val="005915A3"/>
    <w:rsid w:val="00593915"/>
    <w:rsid w:val="00594408"/>
    <w:rsid w:val="00596B0E"/>
    <w:rsid w:val="00597392"/>
    <w:rsid w:val="005A05E0"/>
    <w:rsid w:val="005A560C"/>
    <w:rsid w:val="005C06DB"/>
    <w:rsid w:val="005C37FF"/>
    <w:rsid w:val="005D1554"/>
    <w:rsid w:val="005D5A13"/>
    <w:rsid w:val="005D7108"/>
    <w:rsid w:val="005E19CA"/>
    <w:rsid w:val="005E2120"/>
    <w:rsid w:val="005E582A"/>
    <w:rsid w:val="005E58F3"/>
    <w:rsid w:val="005E6712"/>
    <w:rsid w:val="005E71A7"/>
    <w:rsid w:val="005E7450"/>
    <w:rsid w:val="005E7A75"/>
    <w:rsid w:val="005E7E19"/>
    <w:rsid w:val="005F299F"/>
    <w:rsid w:val="005F4371"/>
    <w:rsid w:val="006027F2"/>
    <w:rsid w:val="00604732"/>
    <w:rsid w:val="006079D6"/>
    <w:rsid w:val="00613ACE"/>
    <w:rsid w:val="00617546"/>
    <w:rsid w:val="00617608"/>
    <w:rsid w:val="006176DB"/>
    <w:rsid w:val="00623F07"/>
    <w:rsid w:val="00631451"/>
    <w:rsid w:val="00633FBD"/>
    <w:rsid w:val="006350FC"/>
    <w:rsid w:val="00636633"/>
    <w:rsid w:val="00641DD9"/>
    <w:rsid w:val="006450EF"/>
    <w:rsid w:val="00646935"/>
    <w:rsid w:val="00653D93"/>
    <w:rsid w:val="00657EB7"/>
    <w:rsid w:val="00663024"/>
    <w:rsid w:val="00663E55"/>
    <w:rsid w:val="00665D2B"/>
    <w:rsid w:val="00670467"/>
    <w:rsid w:val="00671C95"/>
    <w:rsid w:val="00672202"/>
    <w:rsid w:val="00673F6A"/>
    <w:rsid w:val="006746EA"/>
    <w:rsid w:val="006754B1"/>
    <w:rsid w:val="006776A6"/>
    <w:rsid w:val="0068230D"/>
    <w:rsid w:val="00682C31"/>
    <w:rsid w:val="00684F1F"/>
    <w:rsid w:val="006940E6"/>
    <w:rsid w:val="006A2900"/>
    <w:rsid w:val="006A3768"/>
    <w:rsid w:val="006A567B"/>
    <w:rsid w:val="006A645B"/>
    <w:rsid w:val="006A6599"/>
    <w:rsid w:val="006A71FB"/>
    <w:rsid w:val="006B2A00"/>
    <w:rsid w:val="006B3D13"/>
    <w:rsid w:val="006B4C2C"/>
    <w:rsid w:val="006C5352"/>
    <w:rsid w:val="006D056D"/>
    <w:rsid w:val="006D7669"/>
    <w:rsid w:val="006E4DC0"/>
    <w:rsid w:val="006F104B"/>
    <w:rsid w:val="006F6089"/>
    <w:rsid w:val="006F6DDE"/>
    <w:rsid w:val="007107EB"/>
    <w:rsid w:val="007117F6"/>
    <w:rsid w:val="007136F4"/>
    <w:rsid w:val="0071371D"/>
    <w:rsid w:val="007212F9"/>
    <w:rsid w:val="00722729"/>
    <w:rsid w:val="00730D37"/>
    <w:rsid w:val="00731258"/>
    <w:rsid w:val="00732236"/>
    <w:rsid w:val="00732CF2"/>
    <w:rsid w:val="00733F81"/>
    <w:rsid w:val="007359AC"/>
    <w:rsid w:val="007365A6"/>
    <w:rsid w:val="00741905"/>
    <w:rsid w:val="0075096F"/>
    <w:rsid w:val="00752443"/>
    <w:rsid w:val="00756AB3"/>
    <w:rsid w:val="00757CC7"/>
    <w:rsid w:val="00762D44"/>
    <w:rsid w:val="00767812"/>
    <w:rsid w:val="007701AA"/>
    <w:rsid w:val="00772756"/>
    <w:rsid w:val="00777A91"/>
    <w:rsid w:val="00783757"/>
    <w:rsid w:val="00790A1D"/>
    <w:rsid w:val="007A03E3"/>
    <w:rsid w:val="007A1453"/>
    <w:rsid w:val="007A532F"/>
    <w:rsid w:val="007A6E50"/>
    <w:rsid w:val="007A6F3F"/>
    <w:rsid w:val="007B431A"/>
    <w:rsid w:val="007B642F"/>
    <w:rsid w:val="007B6EFC"/>
    <w:rsid w:val="007C00E2"/>
    <w:rsid w:val="007C23C5"/>
    <w:rsid w:val="007C4221"/>
    <w:rsid w:val="007C46B7"/>
    <w:rsid w:val="007D4A5B"/>
    <w:rsid w:val="007E3691"/>
    <w:rsid w:val="007E431D"/>
    <w:rsid w:val="007F2961"/>
    <w:rsid w:val="007F5205"/>
    <w:rsid w:val="0081063E"/>
    <w:rsid w:val="00812F32"/>
    <w:rsid w:val="00813BE0"/>
    <w:rsid w:val="008160EF"/>
    <w:rsid w:val="00821C8E"/>
    <w:rsid w:val="008260B0"/>
    <w:rsid w:val="008355B1"/>
    <w:rsid w:val="00841DF3"/>
    <w:rsid w:val="00844EC6"/>
    <w:rsid w:val="00846AE9"/>
    <w:rsid w:val="00853357"/>
    <w:rsid w:val="008544D1"/>
    <w:rsid w:val="00860556"/>
    <w:rsid w:val="00861C49"/>
    <w:rsid w:val="00864DEA"/>
    <w:rsid w:val="00866C23"/>
    <w:rsid w:val="00874EAD"/>
    <w:rsid w:val="00880317"/>
    <w:rsid w:val="00880F4B"/>
    <w:rsid w:val="0088489B"/>
    <w:rsid w:val="00885F45"/>
    <w:rsid w:val="00892135"/>
    <w:rsid w:val="008951B8"/>
    <w:rsid w:val="00897DF9"/>
    <w:rsid w:val="008A3AC8"/>
    <w:rsid w:val="008A41A0"/>
    <w:rsid w:val="008A5CB3"/>
    <w:rsid w:val="008B4889"/>
    <w:rsid w:val="008B5360"/>
    <w:rsid w:val="008B6094"/>
    <w:rsid w:val="008B6CDB"/>
    <w:rsid w:val="008C1FC6"/>
    <w:rsid w:val="008C51ED"/>
    <w:rsid w:val="008C5F61"/>
    <w:rsid w:val="008C6109"/>
    <w:rsid w:val="008C6D5A"/>
    <w:rsid w:val="008C7022"/>
    <w:rsid w:val="008D0312"/>
    <w:rsid w:val="008D43FD"/>
    <w:rsid w:val="008E5ABD"/>
    <w:rsid w:val="008E7613"/>
    <w:rsid w:val="008F43A1"/>
    <w:rsid w:val="008F46D1"/>
    <w:rsid w:val="008F5F95"/>
    <w:rsid w:val="0090041A"/>
    <w:rsid w:val="009004DD"/>
    <w:rsid w:val="00900C59"/>
    <w:rsid w:val="00905781"/>
    <w:rsid w:val="00907E84"/>
    <w:rsid w:val="00911895"/>
    <w:rsid w:val="00914C45"/>
    <w:rsid w:val="0091589E"/>
    <w:rsid w:val="00920646"/>
    <w:rsid w:val="00923DB0"/>
    <w:rsid w:val="00923F49"/>
    <w:rsid w:val="009251F5"/>
    <w:rsid w:val="009304B8"/>
    <w:rsid w:val="00932A95"/>
    <w:rsid w:val="00942027"/>
    <w:rsid w:val="009433EF"/>
    <w:rsid w:val="009453D3"/>
    <w:rsid w:val="00950AA8"/>
    <w:rsid w:val="0095694C"/>
    <w:rsid w:val="00957CDA"/>
    <w:rsid w:val="00961A40"/>
    <w:rsid w:val="009620AE"/>
    <w:rsid w:val="00981275"/>
    <w:rsid w:val="00981AD3"/>
    <w:rsid w:val="009A743F"/>
    <w:rsid w:val="009B1264"/>
    <w:rsid w:val="009B14DA"/>
    <w:rsid w:val="009B437D"/>
    <w:rsid w:val="009C163C"/>
    <w:rsid w:val="009C1F79"/>
    <w:rsid w:val="009C49C2"/>
    <w:rsid w:val="009C5501"/>
    <w:rsid w:val="009D1E16"/>
    <w:rsid w:val="009D3787"/>
    <w:rsid w:val="009D3AF2"/>
    <w:rsid w:val="009D4671"/>
    <w:rsid w:val="009D620C"/>
    <w:rsid w:val="009D73D8"/>
    <w:rsid w:val="009D7AC5"/>
    <w:rsid w:val="009E0903"/>
    <w:rsid w:val="009E1C6A"/>
    <w:rsid w:val="009E1EDB"/>
    <w:rsid w:val="009E2294"/>
    <w:rsid w:val="009E4078"/>
    <w:rsid w:val="009F55D6"/>
    <w:rsid w:val="00A04E56"/>
    <w:rsid w:val="00A04FA9"/>
    <w:rsid w:val="00A06A11"/>
    <w:rsid w:val="00A1103D"/>
    <w:rsid w:val="00A14217"/>
    <w:rsid w:val="00A218FC"/>
    <w:rsid w:val="00A32163"/>
    <w:rsid w:val="00A327DA"/>
    <w:rsid w:val="00A34DA1"/>
    <w:rsid w:val="00A379CE"/>
    <w:rsid w:val="00A41232"/>
    <w:rsid w:val="00A43557"/>
    <w:rsid w:val="00A43F5D"/>
    <w:rsid w:val="00A4483E"/>
    <w:rsid w:val="00A462D4"/>
    <w:rsid w:val="00A5053C"/>
    <w:rsid w:val="00A521F6"/>
    <w:rsid w:val="00A52578"/>
    <w:rsid w:val="00A60B38"/>
    <w:rsid w:val="00A67679"/>
    <w:rsid w:val="00A71D37"/>
    <w:rsid w:val="00A72CA1"/>
    <w:rsid w:val="00A72CE8"/>
    <w:rsid w:val="00A77719"/>
    <w:rsid w:val="00A801EC"/>
    <w:rsid w:val="00A833F0"/>
    <w:rsid w:val="00A90200"/>
    <w:rsid w:val="00A902FD"/>
    <w:rsid w:val="00A94965"/>
    <w:rsid w:val="00A95F32"/>
    <w:rsid w:val="00AA033A"/>
    <w:rsid w:val="00AA2A65"/>
    <w:rsid w:val="00AA2C95"/>
    <w:rsid w:val="00AA5394"/>
    <w:rsid w:val="00AA79A7"/>
    <w:rsid w:val="00AB31EA"/>
    <w:rsid w:val="00AB413D"/>
    <w:rsid w:val="00AB4FD9"/>
    <w:rsid w:val="00AB5C49"/>
    <w:rsid w:val="00AB7FC7"/>
    <w:rsid w:val="00AC0095"/>
    <w:rsid w:val="00AC7DA3"/>
    <w:rsid w:val="00AE1B0B"/>
    <w:rsid w:val="00AE54E2"/>
    <w:rsid w:val="00AF02CC"/>
    <w:rsid w:val="00AF18AD"/>
    <w:rsid w:val="00AF2181"/>
    <w:rsid w:val="00AF70D8"/>
    <w:rsid w:val="00AF7D07"/>
    <w:rsid w:val="00AF7F9A"/>
    <w:rsid w:val="00B025AF"/>
    <w:rsid w:val="00B0456C"/>
    <w:rsid w:val="00B06DC9"/>
    <w:rsid w:val="00B0744D"/>
    <w:rsid w:val="00B112D2"/>
    <w:rsid w:val="00B11A4B"/>
    <w:rsid w:val="00B151C2"/>
    <w:rsid w:val="00B16A67"/>
    <w:rsid w:val="00B170FE"/>
    <w:rsid w:val="00B20852"/>
    <w:rsid w:val="00B20A11"/>
    <w:rsid w:val="00B26F22"/>
    <w:rsid w:val="00B306E6"/>
    <w:rsid w:val="00B35B0F"/>
    <w:rsid w:val="00B47276"/>
    <w:rsid w:val="00B563E0"/>
    <w:rsid w:val="00B56726"/>
    <w:rsid w:val="00B60406"/>
    <w:rsid w:val="00B62747"/>
    <w:rsid w:val="00B64DB5"/>
    <w:rsid w:val="00B708DC"/>
    <w:rsid w:val="00B74F86"/>
    <w:rsid w:val="00B91AA8"/>
    <w:rsid w:val="00B95B9C"/>
    <w:rsid w:val="00B966B1"/>
    <w:rsid w:val="00BA7944"/>
    <w:rsid w:val="00BA7E7A"/>
    <w:rsid w:val="00BB1D9B"/>
    <w:rsid w:val="00BC064F"/>
    <w:rsid w:val="00BC461C"/>
    <w:rsid w:val="00BC472D"/>
    <w:rsid w:val="00BD3331"/>
    <w:rsid w:val="00BE31E3"/>
    <w:rsid w:val="00BE34D3"/>
    <w:rsid w:val="00BF12D5"/>
    <w:rsid w:val="00BF3215"/>
    <w:rsid w:val="00BF477D"/>
    <w:rsid w:val="00BF49E2"/>
    <w:rsid w:val="00C015BE"/>
    <w:rsid w:val="00C04934"/>
    <w:rsid w:val="00C04E81"/>
    <w:rsid w:val="00C07C8B"/>
    <w:rsid w:val="00C10099"/>
    <w:rsid w:val="00C107BE"/>
    <w:rsid w:val="00C2774D"/>
    <w:rsid w:val="00C302E5"/>
    <w:rsid w:val="00C3268E"/>
    <w:rsid w:val="00C3501C"/>
    <w:rsid w:val="00C37B31"/>
    <w:rsid w:val="00C37D96"/>
    <w:rsid w:val="00C41D52"/>
    <w:rsid w:val="00C44DA7"/>
    <w:rsid w:val="00C44F5A"/>
    <w:rsid w:val="00C47317"/>
    <w:rsid w:val="00C509CB"/>
    <w:rsid w:val="00C54FBB"/>
    <w:rsid w:val="00C57276"/>
    <w:rsid w:val="00C5749B"/>
    <w:rsid w:val="00C5749C"/>
    <w:rsid w:val="00C62C8F"/>
    <w:rsid w:val="00C66485"/>
    <w:rsid w:val="00C66804"/>
    <w:rsid w:val="00C7061F"/>
    <w:rsid w:val="00C70C28"/>
    <w:rsid w:val="00C76E0D"/>
    <w:rsid w:val="00C931F4"/>
    <w:rsid w:val="00C9641F"/>
    <w:rsid w:val="00C96C89"/>
    <w:rsid w:val="00C97A1F"/>
    <w:rsid w:val="00CA2EE2"/>
    <w:rsid w:val="00CA37FF"/>
    <w:rsid w:val="00CA63D9"/>
    <w:rsid w:val="00CB09C0"/>
    <w:rsid w:val="00CB1335"/>
    <w:rsid w:val="00CB5F17"/>
    <w:rsid w:val="00CC2E3E"/>
    <w:rsid w:val="00CC45ED"/>
    <w:rsid w:val="00CC7681"/>
    <w:rsid w:val="00CD468D"/>
    <w:rsid w:val="00CD52F6"/>
    <w:rsid w:val="00CE4DF8"/>
    <w:rsid w:val="00CE55AD"/>
    <w:rsid w:val="00CF0CE7"/>
    <w:rsid w:val="00CF35BC"/>
    <w:rsid w:val="00CF6D01"/>
    <w:rsid w:val="00D02AF3"/>
    <w:rsid w:val="00D12200"/>
    <w:rsid w:val="00D128AD"/>
    <w:rsid w:val="00D15C35"/>
    <w:rsid w:val="00D1618F"/>
    <w:rsid w:val="00D20C60"/>
    <w:rsid w:val="00D27EFA"/>
    <w:rsid w:val="00D319D7"/>
    <w:rsid w:val="00D327E6"/>
    <w:rsid w:val="00D40202"/>
    <w:rsid w:val="00D40C4E"/>
    <w:rsid w:val="00D441CA"/>
    <w:rsid w:val="00D452DD"/>
    <w:rsid w:val="00D464DF"/>
    <w:rsid w:val="00D475C1"/>
    <w:rsid w:val="00D51BE1"/>
    <w:rsid w:val="00D51E6F"/>
    <w:rsid w:val="00D617EA"/>
    <w:rsid w:val="00D65269"/>
    <w:rsid w:val="00D65397"/>
    <w:rsid w:val="00D74694"/>
    <w:rsid w:val="00D85D9A"/>
    <w:rsid w:val="00D8613E"/>
    <w:rsid w:val="00D863A5"/>
    <w:rsid w:val="00D93E5F"/>
    <w:rsid w:val="00D97450"/>
    <w:rsid w:val="00D97D4E"/>
    <w:rsid w:val="00DA000E"/>
    <w:rsid w:val="00DA3069"/>
    <w:rsid w:val="00DA439C"/>
    <w:rsid w:val="00DA4C28"/>
    <w:rsid w:val="00DA55D1"/>
    <w:rsid w:val="00DB2161"/>
    <w:rsid w:val="00DB3774"/>
    <w:rsid w:val="00DB5BCD"/>
    <w:rsid w:val="00DC02F6"/>
    <w:rsid w:val="00DC13FF"/>
    <w:rsid w:val="00DC15B6"/>
    <w:rsid w:val="00DC194D"/>
    <w:rsid w:val="00DC24B7"/>
    <w:rsid w:val="00DC780D"/>
    <w:rsid w:val="00DD00A0"/>
    <w:rsid w:val="00DD14CA"/>
    <w:rsid w:val="00DD58F6"/>
    <w:rsid w:val="00DD7215"/>
    <w:rsid w:val="00DE16D5"/>
    <w:rsid w:val="00DE3B81"/>
    <w:rsid w:val="00DF4EC9"/>
    <w:rsid w:val="00DF7184"/>
    <w:rsid w:val="00DF71BA"/>
    <w:rsid w:val="00DF7BE4"/>
    <w:rsid w:val="00E12C2C"/>
    <w:rsid w:val="00E13397"/>
    <w:rsid w:val="00E1591B"/>
    <w:rsid w:val="00E17576"/>
    <w:rsid w:val="00E2482A"/>
    <w:rsid w:val="00E24A8B"/>
    <w:rsid w:val="00E24D90"/>
    <w:rsid w:val="00E272ED"/>
    <w:rsid w:val="00E2796D"/>
    <w:rsid w:val="00E30FC2"/>
    <w:rsid w:val="00E31DD1"/>
    <w:rsid w:val="00E32D62"/>
    <w:rsid w:val="00E42D6B"/>
    <w:rsid w:val="00E4363E"/>
    <w:rsid w:val="00E518B9"/>
    <w:rsid w:val="00E53A57"/>
    <w:rsid w:val="00E54771"/>
    <w:rsid w:val="00E57881"/>
    <w:rsid w:val="00E57C33"/>
    <w:rsid w:val="00E62F9F"/>
    <w:rsid w:val="00E704F1"/>
    <w:rsid w:val="00E70AAD"/>
    <w:rsid w:val="00E7128A"/>
    <w:rsid w:val="00E802AF"/>
    <w:rsid w:val="00E80E53"/>
    <w:rsid w:val="00E82E37"/>
    <w:rsid w:val="00E83180"/>
    <w:rsid w:val="00E85080"/>
    <w:rsid w:val="00E97CAB"/>
    <w:rsid w:val="00EA4FCB"/>
    <w:rsid w:val="00EA659D"/>
    <w:rsid w:val="00EA69C9"/>
    <w:rsid w:val="00EA78CB"/>
    <w:rsid w:val="00EB0B64"/>
    <w:rsid w:val="00EB119E"/>
    <w:rsid w:val="00EB4FAB"/>
    <w:rsid w:val="00EB5678"/>
    <w:rsid w:val="00EB6CAF"/>
    <w:rsid w:val="00EC0B92"/>
    <w:rsid w:val="00EC3997"/>
    <w:rsid w:val="00ED04D1"/>
    <w:rsid w:val="00EE24D1"/>
    <w:rsid w:val="00EE2BDF"/>
    <w:rsid w:val="00EE62A9"/>
    <w:rsid w:val="00EF3562"/>
    <w:rsid w:val="00EF3AB2"/>
    <w:rsid w:val="00F05731"/>
    <w:rsid w:val="00F14614"/>
    <w:rsid w:val="00F27CC8"/>
    <w:rsid w:val="00F30BA4"/>
    <w:rsid w:val="00F32E87"/>
    <w:rsid w:val="00F420D4"/>
    <w:rsid w:val="00F421E8"/>
    <w:rsid w:val="00F42DC2"/>
    <w:rsid w:val="00F478BF"/>
    <w:rsid w:val="00F47F12"/>
    <w:rsid w:val="00F47FE8"/>
    <w:rsid w:val="00F5076A"/>
    <w:rsid w:val="00F55EA8"/>
    <w:rsid w:val="00F57798"/>
    <w:rsid w:val="00F57D56"/>
    <w:rsid w:val="00F666CC"/>
    <w:rsid w:val="00F671E9"/>
    <w:rsid w:val="00F67E2A"/>
    <w:rsid w:val="00F732A4"/>
    <w:rsid w:val="00F74F71"/>
    <w:rsid w:val="00F82713"/>
    <w:rsid w:val="00F82963"/>
    <w:rsid w:val="00F868EC"/>
    <w:rsid w:val="00F87776"/>
    <w:rsid w:val="00F90476"/>
    <w:rsid w:val="00F91CF5"/>
    <w:rsid w:val="00F93654"/>
    <w:rsid w:val="00F96CFF"/>
    <w:rsid w:val="00FA4CA9"/>
    <w:rsid w:val="00FA57E7"/>
    <w:rsid w:val="00FB450F"/>
    <w:rsid w:val="00FC1675"/>
    <w:rsid w:val="00FD160D"/>
    <w:rsid w:val="00FD38B7"/>
    <w:rsid w:val="00FD6A58"/>
    <w:rsid w:val="00FE0E2D"/>
    <w:rsid w:val="00FE1C10"/>
    <w:rsid w:val="00FE3433"/>
    <w:rsid w:val="00FE3BF3"/>
    <w:rsid w:val="00FE55D7"/>
    <w:rsid w:val="00FE7587"/>
    <w:rsid w:val="00FF58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chartTrackingRefBased/>
  <w15:docId w15:val="{60A34D2E-8BCE-9141-B33D-B4388785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8"/>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style>
  <w:style w:type="paragraph" w:styleId="Heading1">
    <w:name w:val="heading 1"/>
    <w:basedOn w:val="Normal"/>
    <w:next w:val="Normal"/>
    <w:link w:val="Heading1Char"/>
    <w:qFormat/>
    <w:rsid w:val="00093030"/>
    <w:pPr>
      <w:keepNext/>
      <w:spacing w:line="360" w:lineRule="auto"/>
      <w:outlineLvl w:val="0"/>
    </w:pPr>
    <w:rPr>
      <w:b/>
      <w:bCs/>
      <w:sz w:val="28"/>
    </w:rPr>
  </w:style>
  <w:style w:type="paragraph" w:styleId="Heading3">
    <w:name w:val="heading 3"/>
    <w:basedOn w:val="Normal"/>
    <w:next w:val="Normal"/>
    <w:link w:val="Heading3Char"/>
    <w:qFormat/>
    <w:rsid w:val="00093030"/>
    <w:pPr>
      <w:keepNext/>
      <w:spacing w:line="360" w:lineRule="auto"/>
      <w:jc w:val="both"/>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style>
  <w:style w:type="paragraph" w:styleId="NormalIndent">
    <w:name w:val="Normal Indent"/>
    <w:basedOn w:val="Normal"/>
    <w:uiPriority w:val="99"/>
    <w:semiHidden/>
    <w:unhideWhenUsed/>
    <w:rsid w:val="00093030"/>
    <w:pPr>
      <w:spacing w:line="480" w:lineRule="auto"/>
      <w:ind w:left="720"/>
      <w:jc w:val="both"/>
    </w:pPr>
    <w:rPr>
      <w:sz w:val="28"/>
    </w:rPr>
  </w:style>
  <w:style w:type="paragraph" w:styleId="ListParagraph">
    <w:name w:val="List Paragraph"/>
    <w:basedOn w:val="Normal"/>
    <w:uiPriority w:val="34"/>
    <w:qFormat/>
    <w:rsid w:val="00093030"/>
    <w:pPr>
      <w:ind w:left="720"/>
      <w:contextualSpacing/>
    </w:pPr>
  </w:style>
  <w:style w:type="paragraph" w:styleId="Footer">
    <w:name w:val="footer"/>
    <w:basedOn w:val="Normal"/>
    <w:link w:val="FooterChar"/>
    <w:uiPriority w:val="99"/>
    <w:unhideWhenUsed/>
    <w:rsid w:val="00E57881"/>
    <w:pPr>
      <w:tabs>
        <w:tab w:val="center" w:pos="4680"/>
        <w:tab w:val="right" w:pos="9360"/>
      </w:tabs>
    </w:pPr>
  </w:style>
  <w:style w:type="character" w:customStyle="1" w:styleId="FooterChar">
    <w:name w:val="Footer Char"/>
    <w:basedOn w:val="DefaultParagraphFont"/>
    <w:link w:val="Footer"/>
    <w:uiPriority w:val="99"/>
    <w:rsid w:val="00E57881"/>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AC7DA3"/>
    <w:rPr>
      <w:vertAlign w:val="superscript"/>
    </w:rPr>
  </w:style>
  <w:style w:type="character" w:styleId="CommentReference">
    <w:name w:val="annotation reference"/>
    <w:basedOn w:val="DefaultParagraphFont"/>
    <w:uiPriority w:val="99"/>
    <w:semiHidden/>
    <w:unhideWhenUsed/>
    <w:rsid w:val="008B6094"/>
    <w:rPr>
      <w:sz w:val="16"/>
      <w:szCs w:val="16"/>
    </w:rPr>
  </w:style>
  <w:style w:type="paragraph" w:styleId="CommentText">
    <w:name w:val="annotation text"/>
    <w:basedOn w:val="Normal"/>
    <w:link w:val="CommentTextChar"/>
    <w:uiPriority w:val="99"/>
    <w:unhideWhenUsed/>
    <w:rsid w:val="008B6094"/>
    <w:rPr>
      <w:sz w:val="20"/>
      <w:szCs w:val="20"/>
    </w:rPr>
  </w:style>
  <w:style w:type="character" w:customStyle="1" w:styleId="CommentTextChar">
    <w:name w:val="Comment Text Char"/>
    <w:basedOn w:val="DefaultParagraphFont"/>
    <w:link w:val="CommentText"/>
    <w:uiPriority w:val="99"/>
    <w:rsid w:val="008B6094"/>
    <w:rPr>
      <w:sz w:val="20"/>
      <w:szCs w:val="20"/>
    </w:rPr>
  </w:style>
  <w:style w:type="paragraph" w:styleId="CommentSubject">
    <w:name w:val="annotation subject"/>
    <w:basedOn w:val="CommentText"/>
    <w:next w:val="CommentText"/>
    <w:link w:val="CommentSubjectChar"/>
    <w:uiPriority w:val="99"/>
    <w:semiHidden/>
    <w:unhideWhenUsed/>
    <w:rsid w:val="008B6094"/>
    <w:rPr>
      <w:b/>
      <w:bCs/>
    </w:rPr>
  </w:style>
  <w:style w:type="character" w:customStyle="1" w:styleId="CommentSubjectChar">
    <w:name w:val="Comment Subject Char"/>
    <w:basedOn w:val="CommentTextChar"/>
    <w:link w:val="CommentSubject"/>
    <w:uiPriority w:val="99"/>
    <w:semiHidden/>
    <w:rsid w:val="008B6094"/>
    <w:rPr>
      <w:b/>
      <w:bCs/>
      <w:sz w:val="20"/>
      <w:szCs w:val="20"/>
    </w:rPr>
  </w:style>
  <w:style w:type="paragraph" w:styleId="BalloonText">
    <w:name w:val="Balloon Text"/>
    <w:basedOn w:val="Normal"/>
    <w:link w:val="BalloonTextChar"/>
    <w:uiPriority w:val="99"/>
    <w:semiHidden/>
    <w:unhideWhenUsed/>
    <w:rsid w:val="00F42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5640B-3BB1-4839-8B10-14177874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4085</Words>
  <Characters>23290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E Griffin</cp:lastModifiedBy>
  <cp:revision>2</cp:revision>
  <cp:lastPrinted>2022-09-19T07:52:00Z</cp:lastPrinted>
  <dcterms:created xsi:type="dcterms:W3CDTF">2022-10-03T05:49:00Z</dcterms:created>
  <dcterms:modified xsi:type="dcterms:W3CDTF">2022-10-03T05:49:00Z</dcterms:modified>
</cp:coreProperties>
</file>