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9B44" w14:textId="592015FD" w:rsidR="00093030" w:rsidRPr="00B12A93" w:rsidRDefault="00182054" w:rsidP="00B12A93">
      <w:pPr>
        <w:spacing w:line="360" w:lineRule="auto"/>
        <w:jc w:val="center"/>
      </w:pPr>
      <w:bookmarkStart w:id="0" w:name="_GoBack"/>
      <w:bookmarkEnd w:id="0"/>
      <w:r w:rsidRPr="00C70C28">
        <w:rPr>
          <w:noProof/>
          <w:lang w:eastAsia="en-ZA"/>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C70C28" w:rsidRDefault="0091589E" w:rsidP="00B12A93">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B12A93">
      <w:pPr>
        <w:spacing w:line="360" w:lineRule="auto"/>
        <w:jc w:val="center"/>
        <w:rPr>
          <w:b/>
          <w:bCs/>
        </w:rPr>
      </w:pPr>
      <w:r w:rsidRPr="00C70C28">
        <w:rPr>
          <w:b/>
          <w:bCs/>
        </w:rPr>
        <w:t>KWAZULU-NATAL DIVISION, PIETERMARITZBURG</w:t>
      </w:r>
    </w:p>
    <w:p w14:paraId="4E50FCC0" w14:textId="77777777" w:rsidR="001C260A" w:rsidRDefault="001C260A" w:rsidP="00FB18EC">
      <w:pPr>
        <w:spacing w:line="360" w:lineRule="auto"/>
        <w:jc w:val="both"/>
        <w:rPr>
          <w:b/>
          <w:bCs/>
        </w:rPr>
      </w:pPr>
    </w:p>
    <w:p w14:paraId="33685476" w14:textId="5ADB8B59" w:rsidR="001C260A" w:rsidRPr="00C70C28" w:rsidRDefault="001C260A" w:rsidP="00B12A93">
      <w:pPr>
        <w:spacing w:line="360" w:lineRule="auto"/>
        <w:jc w:val="right"/>
      </w:pPr>
      <w:r w:rsidRPr="00C70C28">
        <w:t xml:space="preserve">Case no: </w:t>
      </w:r>
      <w:r w:rsidR="00D20E62">
        <w:t>7909/21</w:t>
      </w:r>
      <w:r w:rsidRPr="00C70C28">
        <w:t>P</w:t>
      </w:r>
    </w:p>
    <w:p w14:paraId="447D0058" w14:textId="77777777" w:rsidR="001C260A" w:rsidRPr="00C70C28" w:rsidRDefault="001C260A" w:rsidP="00FB18EC">
      <w:pPr>
        <w:spacing w:line="360" w:lineRule="auto"/>
        <w:jc w:val="both"/>
      </w:pPr>
    </w:p>
    <w:p w14:paraId="0A8302C5" w14:textId="77777777" w:rsidR="001C260A" w:rsidRPr="00C70C28" w:rsidRDefault="001C260A" w:rsidP="00FB18EC">
      <w:pPr>
        <w:spacing w:line="360" w:lineRule="auto"/>
        <w:jc w:val="both"/>
      </w:pPr>
      <w:r w:rsidRPr="00C70C28">
        <w:t>In the matter between:</w:t>
      </w:r>
    </w:p>
    <w:p w14:paraId="5F0DE807" w14:textId="77777777" w:rsidR="001C260A" w:rsidRDefault="001C260A" w:rsidP="00FB18EC">
      <w:pPr>
        <w:spacing w:line="360" w:lineRule="auto"/>
        <w:jc w:val="both"/>
      </w:pPr>
    </w:p>
    <w:p w14:paraId="3DD3503A" w14:textId="1AE7F6DE" w:rsidR="001C260A" w:rsidRDefault="0055065D" w:rsidP="00FB18EC">
      <w:pPr>
        <w:spacing w:line="360" w:lineRule="auto"/>
        <w:jc w:val="both"/>
        <w:rPr>
          <w:b/>
          <w:bCs/>
        </w:rPr>
      </w:pPr>
      <w:r>
        <w:rPr>
          <w:b/>
          <w:bCs/>
        </w:rPr>
        <w:t>SZC</w:t>
      </w:r>
      <w:r w:rsidR="00D20E62">
        <w:rPr>
          <w:b/>
          <w:bCs/>
        </w:rPr>
        <w:t xml:space="preserve"> INVESTMENTS (PTY) LTD</w:t>
      </w:r>
      <w:r w:rsidR="00D20E62">
        <w:rPr>
          <w:b/>
          <w:bCs/>
        </w:rPr>
        <w:tab/>
      </w:r>
      <w:r w:rsidR="00D20E62">
        <w:rPr>
          <w:b/>
          <w:bCs/>
        </w:rPr>
        <w:tab/>
      </w:r>
      <w:r w:rsidR="005958C1">
        <w:rPr>
          <w:b/>
          <w:bCs/>
        </w:rPr>
        <w:tab/>
      </w:r>
      <w:r w:rsidR="005958C1">
        <w:rPr>
          <w:b/>
          <w:bCs/>
        </w:rPr>
        <w:tab/>
      </w:r>
      <w:r w:rsidR="005958C1">
        <w:rPr>
          <w:b/>
          <w:bCs/>
        </w:rPr>
        <w:tab/>
      </w:r>
      <w:r w:rsidR="00D20E62">
        <w:rPr>
          <w:b/>
          <w:bCs/>
        </w:rPr>
        <w:t xml:space="preserve">EXCIPIENT/DEFENDANT </w:t>
      </w:r>
    </w:p>
    <w:p w14:paraId="476B0676" w14:textId="77777777" w:rsidR="005958C1" w:rsidRDefault="005958C1" w:rsidP="00FB18EC">
      <w:pPr>
        <w:spacing w:line="360" w:lineRule="auto"/>
        <w:jc w:val="both"/>
        <w:rPr>
          <w:b/>
          <w:bCs/>
        </w:rPr>
      </w:pPr>
    </w:p>
    <w:p w14:paraId="6FE3A818" w14:textId="3494C6A5" w:rsidR="005958C1" w:rsidRPr="001148EA" w:rsidRDefault="005958C1" w:rsidP="00FB18EC">
      <w:pPr>
        <w:spacing w:line="360" w:lineRule="auto"/>
        <w:jc w:val="both"/>
        <w:rPr>
          <w:bCs/>
        </w:rPr>
      </w:pPr>
      <w:r w:rsidRPr="001148EA">
        <w:rPr>
          <w:bCs/>
        </w:rPr>
        <w:t>and</w:t>
      </w:r>
    </w:p>
    <w:p w14:paraId="4DF46A09" w14:textId="77777777" w:rsidR="005958C1" w:rsidRDefault="005958C1" w:rsidP="00FB18EC">
      <w:pPr>
        <w:spacing w:line="360" w:lineRule="auto"/>
        <w:jc w:val="both"/>
        <w:rPr>
          <w:b/>
          <w:bCs/>
        </w:rPr>
      </w:pPr>
    </w:p>
    <w:p w14:paraId="2467F499" w14:textId="0E80BD9D" w:rsidR="005958C1" w:rsidRPr="005958C1" w:rsidRDefault="005958C1" w:rsidP="00FB18EC">
      <w:pPr>
        <w:spacing w:line="360" w:lineRule="auto"/>
        <w:jc w:val="both"/>
        <w:rPr>
          <w:b/>
          <w:bCs/>
        </w:rPr>
      </w:pPr>
      <w:r>
        <w:rPr>
          <w:b/>
          <w:bCs/>
        </w:rPr>
        <w:t>SWINDON PRO</w:t>
      </w:r>
      <w:r w:rsidR="00FD58D3">
        <w:rPr>
          <w:b/>
          <w:bCs/>
        </w:rPr>
        <w:t>PE</w:t>
      </w:r>
      <w:r>
        <w:rPr>
          <w:b/>
          <w:bCs/>
        </w:rPr>
        <w:t xml:space="preserve">RTY SERVICES (PTY) LTD </w:t>
      </w:r>
      <w:r>
        <w:rPr>
          <w:b/>
          <w:bCs/>
        </w:rPr>
        <w:tab/>
        <w:t xml:space="preserve">         RESPONDENT/PLAINTIFF </w:t>
      </w:r>
      <w:r w:rsidRPr="00C70C28">
        <w:rPr>
          <w:b/>
        </w:rPr>
        <w:t xml:space="preserve"> </w:t>
      </w:r>
    </w:p>
    <w:p w14:paraId="4A956695" w14:textId="77777777" w:rsidR="005958C1" w:rsidRPr="00D20E62" w:rsidRDefault="005958C1" w:rsidP="00FB18EC">
      <w:pPr>
        <w:spacing w:line="360" w:lineRule="auto"/>
        <w:jc w:val="both"/>
        <w:rPr>
          <w:b/>
          <w:bCs/>
        </w:rPr>
      </w:pPr>
    </w:p>
    <w:p w14:paraId="2749A9A7" w14:textId="2A38C1FA" w:rsidR="00510A3B" w:rsidRPr="00C70C28" w:rsidRDefault="005958C1" w:rsidP="00FB18EC">
      <w:pPr>
        <w:spacing w:line="360" w:lineRule="auto"/>
        <w:jc w:val="both"/>
        <w:rPr>
          <w:b/>
          <w:bCs/>
        </w:rPr>
      </w:pPr>
      <w:r>
        <w:rPr>
          <w:b/>
          <w:bCs/>
        </w:rPr>
        <w:t>______________________________________________________________________</w:t>
      </w:r>
    </w:p>
    <w:p w14:paraId="21DBB94D" w14:textId="65802116" w:rsidR="003E7496" w:rsidRPr="00510A3B" w:rsidRDefault="003E7496" w:rsidP="00FB18EC">
      <w:pPr>
        <w:spacing w:line="360" w:lineRule="auto"/>
        <w:ind w:left="1418" w:hanging="1418"/>
        <w:jc w:val="both"/>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J</w:t>
      </w:r>
    </w:p>
    <w:p w14:paraId="11407E29" w14:textId="05BBC5B8" w:rsidR="002363F2" w:rsidRPr="00510A3B" w:rsidRDefault="00510A3B" w:rsidP="00FB18EC">
      <w:pPr>
        <w:spacing w:line="360" w:lineRule="auto"/>
        <w:jc w:val="both"/>
        <w:rPr>
          <w:b/>
        </w:rPr>
      </w:pPr>
      <w:r w:rsidRPr="00510A3B">
        <w:rPr>
          <w:b/>
        </w:rPr>
        <w:t>Heard:</w:t>
      </w:r>
      <w:r w:rsidR="00A902FD">
        <w:rPr>
          <w:b/>
        </w:rPr>
        <w:tab/>
      </w:r>
      <w:r w:rsidR="005958C1">
        <w:rPr>
          <w:b/>
        </w:rPr>
        <w:t>16 August 2022</w:t>
      </w:r>
    </w:p>
    <w:p w14:paraId="7366D95D" w14:textId="77A890A7" w:rsidR="002363F2" w:rsidRPr="00510A3B" w:rsidRDefault="002363F2" w:rsidP="00FB18EC">
      <w:pPr>
        <w:spacing w:line="360" w:lineRule="auto"/>
        <w:jc w:val="both"/>
        <w:rPr>
          <w:b/>
          <w:bCs/>
        </w:rPr>
      </w:pPr>
      <w:r w:rsidRPr="00510A3B">
        <w:rPr>
          <w:b/>
          <w:bCs/>
        </w:rPr>
        <w:t>Delivered</w:t>
      </w:r>
      <w:r w:rsidRPr="00510A3B">
        <w:rPr>
          <w:b/>
        </w:rPr>
        <w:t>:</w:t>
      </w:r>
      <w:r w:rsidR="00DA5C19">
        <w:rPr>
          <w:b/>
        </w:rPr>
        <w:tab/>
      </w:r>
      <w:r w:rsidR="00A75F80">
        <w:rPr>
          <w:b/>
        </w:rPr>
        <w:t>27</w:t>
      </w:r>
      <w:r w:rsidR="00DA5C19">
        <w:rPr>
          <w:b/>
        </w:rPr>
        <w:t xml:space="preserve"> October 2022</w:t>
      </w:r>
    </w:p>
    <w:p w14:paraId="29234C7F" w14:textId="77777777" w:rsidR="001D6016" w:rsidRPr="00C70C28" w:rsidRDefault="001D6016" w:rsidP="00FB18EC">
      <w:pPr>
        <w:spacing w:line="360" w:lineRule="auto"/>
        <w:jc w:val="both"/>
        <w:rPr>
          <w:b/>
          <w:bCs/>
          <w:sz w:val="22"/>
        </w:rPr>
      </w:pPr>
    </w:p>
    <w:p w14:paraId="4A3A700A" w14:textId="77777777" w:rsidR="001D6016" w:rsidRPr="00C70C28" w:rsidRDefault="001D6016" w:rsidP="00FB18EC">
      <w:pPr>
        <w:spacing w:line="360" w:lineRule="auto"/>
        <w:jc w:val="both"/>
        <w:rPr>
          <w:b/>
          <w:sz w:val="22"/>
        </w:rPr>
      </w:pPr>
      <w:r w:rsidRPr="00C70C28">
        <w:rPr>
          <w:b/>
          <w:noProof/>
          <w:sz w:val="20"/>
          <w:lang w:eastAsia="en-ZA"/>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C70C28" w:rsidRDefault="001D6016" w:rsidP="00B12A93">
      <w:pPr>
        <w:pStyle w:val="Heading3"/>
        <w:jc w:val="center"/>
        <w:rPr>
          <w:b/>
          <w:i w:val="0"/>
          <w:sz w:val="24"/>
        </w:rPr>
      </w:pPr>
      <w:r w:rsidRPr="00C70C28">
        <w:rPr>
          <w:b/>
          <w:i w:val="0"/>
          <w:sz w:val="24"/>
        </w:rPr>
        <w:t>ORDER</w:t>
      </w:r>
    </w:p>
    <w:p w14:paraId="0D201881" w14:textId="77777777" w:rsidR="001D6016" w:rsidRPr="00C70C28" w:rsidRDefault="001D6016" w:rsidP="00FB18EC">
      <w:pPr>
        <w:spacing w:line="360" w:lineRule="auto"/>
        <w:jc w:val="both"/>
        <w:rPr>
          <w:b/>
          <w:bCs/>
          <w:sz w:val="22"/>
        </w:rPr>
      </w:pPr>
    </w:p>
    <w:p w14:paraId="2358BBC5" w14:textId="77777777" w:rsidR="001D6016" w:rsidRPr="00C70C28" w:rsidRDefault="001D6016" w:rsidP="00FB18EC">
      <w:pPr>
        <w:spacing w:line="360" w:lineRule="auto"/>
        <w:jc w:val="both"/>
        <w:rPr>
          <w:b/>
          <w:sz w:val="22"/>
        </w:rPr>
      </w:pPr>
      <w:r w:rsidRPr="00C70C28">
        <w:rPr>
          <w:b/>
          <w:noProof/>
          <w:sz w:val="20"/>
          <w:lang w:eastAsia="en-ZA"/>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2A16BA48" w14:textId="0A689CE2" w:rsidR="001148EA" w:rsidRPr="001148EA" w:rsidRDefault="00AA7C20" w:rsidP="00FB18EC">
      <w:pPr>
        <w:spacing w:line="360" w:lineRule="auto"/>
        <w:jc w:val="both"/>
        <w:rPr>
          <w:bCs/>
        </w:rPr>
      </w:pPr>
      <w:r>
        <w:rPr>
          <w:bCs/>
        </w:rPr>
        <w:t>The following order is granted:</w:t>
      </w:r>
    </w:p>
    <w:p w14:paraId="2CCC3EDE" w14:textId="6C047031" w:rsidR="00AA7C20" w:rsidRDefault="008D44BF" w:rsidP="008D44BF">
      <w:pPr>
        <w:spacing w:line="360" w:lineRule="auto"/>
        <w:ind w:left="720" w:hanging="720"/>
        <w:jc w:val="both"/>
      </w:pPr>
      <w:r>
        <w:t>(a)</w:t>
      </w:r>
      <w:r>
        <w:tab/>
      </w:r>
      <w:r w:rsidR="00AA7C20">
        <w:t>The exception is upheld with costs;</w:t>
      </w:r>
    </w:p>
    <w:p w14:paraId="3294A696" w14:textId="4DC03D88" w:rsidR="00AA7C20" w:rsidRDefault="008D44BF" w:rsidP="008D44BF">
      <w:pPr>
        <w:spacing w:line="360" w:lineRule="auto"/>
        <w:ind w:left="720" w:hanging="720"/>
        <w:jc w:val="both"/>
      </w:pPr>
      <w:r>
        <w:t>(b)</w:t>
      </w:r>
      <w:r>
        <w:tab/>
      </w:r>
      <w:r w:rsidR="00AA7C20">
        <w:t>The plaintiff is afforded the opportunity to amend its particulars of claim within 20 days from the date of the grant of this order, failing which the plaintiff’s claim shall be dismissed with costs.</w:t>
      </w:r>
      <w:r w:rsidR="00AA7C20" w:rsidRPr="003A3CED">
        <w:t xml:space="preserve"> </w:t>
      </w:r>
    </w:p>
    <w:p w14:paraId="09A590DB" w14:textId="208CC98A" w:rsidR="001D6016" w:rsidRPr="003C1B9F" w:rsidRDefault="00F47F12" w:rsidP="00FB18EC">
      <w:pPr>
        <w:spacing w:line="360" w:lineRule="auto"/>
        <w:jc w:val="both"/>
        <w:rPr>
          <w:szCs w:val="24"/>
        </w:rPr>
      </w:pPr>
      <w:r>
        <w:rPr>
          <w:szCs w:val="24"/>
        </w:rPr>
        <w:tab/>
      </w:r>
    </w:p>
    <w:p w14:paraId="2FB2D8EF" w14:textId="77777777" w:rsidR="001D6016" w:rsidRPr="00C70C28" w:rsidRDefault="001D6016" w:rsidP="00FB18EC">
      <w:pPr>
        <w:spacing w:line="360" w:lineRule="auto"/>
        <w:jc w:val="both"/>
        <w:rPr>
          <w:b/>
          <w:sz w:val="22"/>
        </w:rPr>
      </w:pPr>
      <w:r w:rsidRPr="00C70C28">
        <w:rPr>
          <w:b/>
          <w:noProof/>
          <w:sz w:val="20"/>
          <w:lang w:eastAsia="en-ZA"/>
        </w:rPr>
        <w:lastRenderedPageBreak/>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C70C28" w:rsidRDefault="001D6016" w:rsidP="00B12A93">
      <w:pPr>
        <w:pStyle w:val="Heading1"/>
        <w:jc w:val="center"/>
        <w:rPr>
          <w:sz w:val="24"/>
        </w:rPr>
      </w:pPr>
      <w:r w:rsidRPr="00C70C28">
        <w:rPr>
          <w:sz w:val="24"/>
        </w:rPr>
        <w:t>JUDGMENT</w:t>
      </w:r>
    </w:p>
    <w:p w14:paraId="5589F841" w14:textId="77777777" w:rsidR="001D6016" w:rsidRPr="00C70C28" w:rsidRDefault="001D6016" w:rsidP="00FB18EC">
      <w:pPr>
        <w:spacing w:line="360" w:lineRule="auto"/>
        <w:jc w:val="both"/>
        <w:rPr>
          <w:b/>
          <w:bCs/>
          <w:sz w:val="22"/>
        </w:rPr>
      </w:pPr>
    </w:p>
    <w:p w14:paraId="2905B765" w14:textId="77777777" w:rsidR="001D6016" w:rsidRPr="003A3CED" w:rsidRDefault="001D6016" w:rsidP="00FB18EC">
      <w:pPr>
        <w:spacing w:line="360" w:lineRule="auto"/>
        <w:jc w:val="both"/>
        <w:rPr>
          <w:b/>
          <w:sz w:val="22"/>
        </w:rPr>
      </w:pPr>
      <w:r w:rsidRPr="00C70C28">
        <w:rPr>
          <w:b/>
          <w:noProof/>
          <w:sz w:val="20"/>
          <w:lang w:eastAsia="en-ZA"/>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eastAsia="en-ZA"/>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3A3CED" w:rsidRDefault="001D6016" w:rsidP="00FB18EC">
      <w:pPr>
        <w:spacing w:line="360" w:lineRule="auto"/>
        <w:jc w:val="both"/>
        <w:rPr>
          <w:b/>
          <w:bCs/>
        </w:rPr>
      </w:pPr>
      <w:r w:rsidRPr="003A3CED">
        <w:rPr>
          <w:b/>
        </w:rPr>
        <w:t>Koen J</w:t>
      </w:r>
    </w:p>
    <w:p w14:paraId="3DB18B46" w14:textId="77777777" w:rsidR="00510A3B" w:rsidRPr="003A3CED" w:rsidRDefault="00510A3B" w:rsidP="00FB18EC">
      <w:pPr>
        <w:spacing w:line="360" w:lineRule="auto"/>
        <w:jc w:val="both"/>
        <w:rPr>
          <w:b/>
        </w:rPr>
      </w:pPr>
    </w:p>
    <w:p w14:paraId="100B3F80" w14:textId="646FAFE4" w:rsidR="00465BC3" w:rsidRDefault="008D44BF" w:rsidP="008D44BF">
      <w:pPr>
        <w:spacing w:line="360" w:lineRule="auto"/>
        <w:jc w:val="both"/>
      </w:pPr>
      <w:r>
        <w:rPr>
          <w:szCs w:val="24"/>
        </w:rPr>
        <w:t>[1]</w:t>
      </w:r>
      <w:r>
        <w:rPr>
          <w:szCs w:val="24"/>
        </w:rPr>
        <w:tab/>
      </w:r>
      <w:r w:rsidR="00EB6CAF" w:rsidRPr="003A3CED">
        <w:t>Th</w:t>
      </w:r>
      <w:r w:rsidR="00DA3DC8">
        <w:t xml:space="preserve">is judgment deals with an exception </w:t>
      </w:r>
      <w:r w:rsidR="005958C1">
        <w:t xml:space="preserve">taken to the </w:t>
      </w:r>
      <w:r w:rsidR="00AE1089">
        <w:t xml:space="preserve">plaintiff’s </w:t>
      </w:r>
      <w:r w:rsidR="005958C1">
        <w:t>claim for estate agents commission</w:t>
      </w:r>
      <w:r w:rsidR="009E2FDB">
        <w:t>,</w:t>
      </w:r>
      <w:r w:rsidR="005958C1">
        <w:t xml:space="preserve"> on the basis that </w:t>
      </w:r>
      <w:r w:rsidR="009E2FDB">
        <w:t xml:space="preserve">the particulars of claim do </w:t>
      </w:r>
      <w:r w:rsidR="003676AE">
        <w:t>not disc</w:t>
      </w:r>
      <w:r w:rsidR="005958C1">
        <w:t>lose a valid cause of action.</w:t>
      </w:r>
      <w:r w:rsidR="003676AE">
        <w:t xml:space="preserve"> </w:t>
      </w:r>
    </w:p>
    <w:p w14:paraId="1BE89570" w14:textId="77777777" w:rsidR="00465BC3" w:rsidRDefault="00465BC3" w:rsidP="00FB18EC">
      <w:pPr>
        <w:spacing w:line="360" w:lineRule="auto"/>
        <w:jc w:val="both"/>
      </w:pPr>
    </w:p>
    <w:p w14:paraId="7004104E" w14:textId="138B5CB1" w:rsidR="009E2FDB" w:rsidRDefault="008D44BF" w:rsidP="008D44BF">
      <w:pPr>
        <w:spacing w:line="360" w:lineRule="auto"/>
        <w:jc w:val="both"/>
      </w:pPr>
      <w:r>
        <w:rPr>
          <w:szCs w:val="24"/>
        </w:rPr>
        <w:t>[2]</w:t>
      </w:r>
      <w:r>
        <w:rPr>
          <w:szCs w:val="24"/>
        </w:rPr>
        <w:tab/>
      </w:r>
      <w:r w:rsidR="009E2FDB">
        <w:t xml:space="preserve">The </w:t>
      </w:r>
      <w:r w:rsidR="00AE1089">
        <w:t xml:space="preserve">plaintiff’s </w:t>
      </w:r>
      <w:r w:rsidR="009E2FDB">
        <w:t>claim arises in respect of a</w:t>
      </w:r>
      <w:r w:rsidR="00186D79">
        <w:t>n</w:t>
      </w:r>
      <w:r w:rsidR="009E2FDB">
        <w:t xml:space="preserve"> </w:t>
      </w:r>
      <w:r w:rsidR="00186D79">
        <w:t>agreement</w:t>
      </w:r>
      <w:r w:rsidR="009E2FDB">
        <w:t xml:space="preserve"> of letting of immovable property</w:t>
      </w:r>
      <w:r w:rsidR="00CF57E0">
        <w:t xml:space="preserve"> (the </w:t>
      </w:r>
      <w:r w:rsidR="00186D79">
        <w:t>agreement</w:t>
      </w:r>
      <w:r w:rsidR="00CF57E0">
        <w:t>)</w:t>
      </w:r>
      <w:r w:rsidR="009E2FDB">
        <w:t xml:space="preserve"> concluded on 4 or 7 June 2021 between the </w:t>
      </w:r>
      <w:r w:rsidR="008A6B69">
        <w:t xml:space="preserve">defendant </w:t>
      </w:r>
      <w:r w:rsidR="009E2FDB">
        <w:t xml:space="preserve">and a tenant. Mr </w:t>
      </w:r>
      <w:r w:rsidR="009E2FDB" w:rsidRPr="009E2FDB">
        <w:rPr>
          <w:szCs w:val="24"/>
        </w:rPr>
        <w:t>Thor-Christian Schwanzer</w:t>
      </w:r>
      <w:r w:rsidR="00186D79">
        <w:t xml:space="preserve"> (Mr Schwanzer), an</w:t>
      </w:r>
      <w:r w:rsidR="009E2FDB">
        <w:t xml:space="preserve"> estate agent, represented the </w:t>
      </w:r>
      <w:r w:rsidR="008A6B69">
        <w:t xml:space="preserve">plaintiff </w:t>
      </w:r>
      <w:r w:rsidR="009E2FDB">
        <w:t xml:space="preserve">in negotiating the conclusion of </w:t>
      </w:r>
      <w:r w:rsidR="00581145">
        <w:t xml:space="preserve">the </w:t>
      </w:r>
      <w:r w:rsidR="00186D79">
        <w:t>agreement</w:t>
      </w:r>
      <w:r w:rsidR="009E2FDB">
        <w:t xml:space="preserve">. The </w:t>
      </w:r>
      <w:r w:rsidR="00186D79">
        <w:t>agreement</w:t>
      </w:r>
      <w:r w:rsidR="009E2FDB">
        <w:t xml:space="preserve"> contained a </w:t>
      </w:r>
      <w:r w:rsidR="009E2FDB" w:rsidRPr="004C18E1">
        <w:rPr>
          <w:i/>
        </w:rPr>
        <w:t>stipulatio alteri</w:t>
      </w:r>
      <w:r w:rsidR="009E2FDB">
        <w:t xml:space="preserve"> </w:t>
      </w:r>
      <w:r w:rsidR="00581145">
        <w:t xml:space="preserve">providing for </w:t>
      </w:r>
      <w:r w:rsidR="009E2FDB">
        <w:t xml:space="preserve">the payment of commission </w:t>
      </w:r>
      <w:r w:rsidR="00581145">
        <w:t xml:space="preserve">by the </w:t>
      </w:r>
      <w:r w:rsidR="008A6B69">
        <w:t xml:space="preserve">defendant </w:t>
      </w:r>
      <w:r w:rsidR="009E2FDB">
        <w:t xml:space="preserve">in favour of the </w:t>
      </w:r>
      <w:r w:rsidR="008A6B69">
        <w:t>plaintiff</w:t>
      </w:r>
      <w:r w:rsidR="009E2FDB">
        <w:t xml:space="preserve">. The benefit of </w:t>
      </w:r>
      <w:r w:rsidR="00581145">
        <w:t xml:space="preserve">the </w:t>
      </w:r>
      <w:r w:rsidR="00581145" w:rsidRPr="004C18E1">
        <w:rPr>
          <w:i/>
        </w:rPr>
        <w:t>stipulatio</w:t>
      </w:r>
      <w:r w:rsidR="00581145">
        <w:t xml:space="preserve"> </w:t>
      </w:r>
      <w:r w:rsidR="009E2FDB">
        <w:t xml:space="preserve">was accepted </w:t>
      </w:r>
      <w:r w:rsidR="00581145">
        <w:t xml:space="preserve">by Mr Schwanzer </w:t>
      </w:r>
      <w:r w:rsidR="009E2FDB">
        <w:t xml:space="preserve">on behalf of the </w:t>
      </w:r>
      <w:r w:rsidR="008A6B69">
        <w:t>plaintiff</w:t>
      </w:r>
      <w:r w:rsidR="009E2FDB">
        <w:t xml:space="preserve"> on 7 June 2021. </w:t>
      </w:r>
    </w:p>
    <w:p w14:paraId="4E1A4B1C" w14:textId="77777777" w:rsidR="009E2FDB" w:rsidRDefault="009E2FDB" w:rsidP="00FB18EC">
      <w:pPr>
        <w:pStyle w:val="ListParagraph"/>
        <w:spacing w:line="360" w:lineRule="auto"/>
        <w:jc w:val="both"/>
      </w:pPr>
    </w:p>
    <w:p w14:paraId="2DF748EE" w14:textId="67BB3273" w:rsidR="008A6B69" w:rsidRDefault="008D44BF" w:rsidP="008D44BF">
      <w:pPr>
        <w:spacing w:line="360" w:lineRule="auto"/>
        <w:jc w:val="both"/>
      </w:pPr>
      <w:r>
        <w:rPr>
          <w:szCs w:val="24"/>
        </w:rPr>
        <w:t>[3]</w:t>
      </w:r>
      <w:r>
        <w:rPr>
          <w:szCs w:val="24"/>
        </w:rPr>
        <w:tab/>
      </w:r>
      <w:r w:rsidR="00581145">
        <w:t xml:space="preserve">The exception is to the effect that in negotiating the conclusion of the </w:t>
      </w:r>
      <w:r w:rsidR="00186D79">
        <w:t>agreement</w:t>
      </w:r>
      <w:r w:rsidR="00581145">
        <w:t xml:space="preserve"> </w:t>
      </w:r>
      <w:r w:rsidR="003C1B9F">
        <w:t xml:space="preserve">during June 2021 </w:t>
      </w:r>
      <w:r w:rsidR="00581145">
        <w:t>M</w:t>
      </w:r>
      <w:r w:rsidR="00186D79">
        <w:t>r Schwanzer was an estate agent</w:t>
      </w:r>
      <w:r w:rsidR="00581145">
        <w:t xml:space="preserve"> </w:t>
      </w:r>
      <w:r w:rsidR="00186D79">
        <w:t xml:space="preserve">and rendering services as an estate agent </w:t>
      </w:r>
      <w:r w:rsidR="00581145">
        <w:t xml:space="preserve">as provided in the Estate Agency Affairs Act 112 of 1976 (‘the Act’), but that he was, </w:t>
      </w:r>
      <w:r w:rsidR="00186D79">
        <w:t xml:space="preserve">in </w:t>
      </w:r>
      <w:r w:rsidR="00581145">
        <w:t>terms of s</w:t>
      </w:r>
      <w:r w:rsidR="00FD58D3">
        <w:t xml:space="preserve"> </w:t>
      </w:r>
      <w:r w:rsidR="00581145">
        <w:t xml:space="preserve">34A of the Act not entitled to remuneration </w:t>
      </w:r>
      <w:r w:rsidR="00186D79">
        <w:t xml:space="preserve">as he did not hold a valid fidelity fund certificate. </w:t>
      </w:r>
      <w:r w:rsidR="003C1B9F">
        <w:t xml:space="preserve"> </w:t>
      </w:r>
    </w:p>
    <w:p w14:paraId="4D908F24" w14:textId="169FBC9F" w:rsidR="00186D79" w:rsidRPr="00CF57E0" w:rsidRDefault="00186D79" w:rsidP="00FB18EC">
      <w:pPr>
        <w:pStyle w:val="ListParagraph"/>
        <w:spacing w:line="360" w:lineRule="auto"/>
        <w:ind w:left="0"/>
        <w:jc w:val="both"/>
        <w:rPr>
          <w:b/>
          <w:sz w:val="22"/>
          <w:szCs w:val="22"/>
        </w:rPr>
      </w:pPr>
    </w:p>
    <w:p w14:paraId="3DD02A20" w14:textId="7BB84850" w:rsidR="00186D79" w:rsidRPr="008D44BF" w:rsidRDefault="008D44BF" w:rsidP="008D44BF">
      <w:pPr>
        <w:spacing w:line="360" w:lineRule="auto"/>
        <w:jc w:val="both"/>
        <w:rPr>
          <w:b/>
          <w:sz w:val="22"/>
          <w:szCs w:val="22"/>
        </w:rPr>
      </w:pPr>
      <w:r w:rsidRPr="00CF57E0">
        <w:rPr>
          <w:szCs w:val="24"/>
        </w:rPr>
        <w:t>[4]</w:t>
      </w:r>
      <w:r w:rsidRPr="00CF57E0">
        <w:rPr>
          <w:szCs w:val="24"/>
        </w:rPr>
        <w:tab/>
      </w:r>
      <w:r w:rsidR="00186D79">
        <w:t>The definition of estate agent in the Act, is as follows:</w:t>
      </w:r>
    </w:p>
    <w:p w14:paraId="75ECE37D" w14:textId="308A7D51" w:rsidR="00186D79" w:rsidRPr="00C94900" w:rsidRDefault="00FD58D3" w:rsidP="00FB18EC">
      <w:pPr>
        <w:spacing w:line="360" w:lineRule="auto"/>
        <w:jc w:val="both"/>
        <w:rPr>
          <w:sz w:val="22"/>
          <w:szCs w:val="22"/>
        </w:rPr>
      </w:pPr>
      <w:r>
        <w:rPr>
          <w:sz w:val="22"/>
          <w:szCs w:val="22"/>
        </w:rPr>
        <w:t>'"</w:t>
      </w:r>
      <w:r w:rsidR="00186D79" w:rsidRPr="00C94900">
        <w:rPr>
          <w:sz w:val="22"/>
          <w:szCs w:val="22"/>
        </w:rPr>
        <w:t>estate agent</w:t>
      </w:r>
      <w:r>
        <w:rPr>
          <w:sz w:val="22"/>
          <w:szCs w:val="22"/>
        </w:rPr>
        <w:t>"</w:t>
      </w:r>
      <w:r w:rsidR="00186D79" w:rsidRPr="00C94900">
        <w:rPr>
          <w:sz w:val="22"/>
          <w:szCs w:val="22"/>
        </w:rPr>
        <w:t xml:space="preserve"> –</w:t>
      </w:r>
    </w:p>
    <w:p w14:paraId="2DBCD494" w14:textId="16BC503D" w:rsidR="00FB18EC" w:rsidRDefault="00FD58D3" w:rsidP="00F65D19">
      <w:pPr>
        <w:spacing w:line="360" w:lineRule="auto"/>
        <w:jc w:val="both"/>
        <w:rPr>
          <w:sz w:val="22"/>
          <w:szCs w:val="22"/>
        </w:rPr>
      </w:pPr>
      <w:r w:rsidRPr="00FB18EC">
        <w:rPr>
          <w:i/>
          <w:sz w:val="22"/>
          <w:szCs w:val="22"/>
        </w:rPr>
        <w:t>(a)</w:t>
      </w:r>
      <w:r w:rsidRPr="00FD58D3">
        <w:rPr>
          <w:sz w:val="22"/>
          <w:szCs w:val="22"/>
        </w:rPr>
        <w:t xml:space="preserve"> </w:t>
      </w:r>
      <w:r>
        <w:rPr>
          <w:sz w:val="22"/>
          <w:szCs w:val="22"/>
        </w:rPr>
        <w:tab/>
      </w:r>
      <w:r w:rsidRPr="00FD58D3">
        <w:rPr>
          <w:sz w:val="22"/>
          <w:szCs w:val="22"/>
        </w:rPr>
        <w:t>means any person who for the acquisition of gain on his own account or in partnership, in any</w:t>
      </w:r>
      <w:r>
        <w:rPr>
          <w:sz w:val="22"/>
          <w:szCs w:val="22"/>
        </w:rPr>
        <w:t xml:space="preserve"> </w:t>
      </w:r>
      <w:r w:rsidRPr="00FD58D3">
        <w:rPr>
          <w:sz w:val="22"/>
          <w:szCs w:val="22"/>
        </w:rPr>
        <w:t>manner holds himself out as a person who, or directly or indirectly advertises that he, on the</w:t>
      </w:r>
      <w:r w:rsidR="00FB18EC">
        <w:rPr>
          <w:sz w:val="22"/>
          <w:szCs w:val="22"/>
        </w:rPr>
        <w:t xml:space="preserve"> </w:t>
      </w:r>
      <w:r w:rsidRPr="00FD58D3">
        <w:rPr>
          <w:sz w:val="22"/>
          <w:szCs w:val="22"/>
        </w:rPr>
        <w:t>instructions of or on behalf of any other person</w:t>
      </w:r>
      <w:r w:rsidR="00FB18EC">
        <w:rPr>
          <w:sz w:val="22"/>
          <w:szCs w:val="22"/>
        </w:rPr>
        <w:t xml:space="preserve"> – </w:t>
      </w:r>
    </w:p>
    <w:p w14:paraId="515FCDA5" w14:textId="0D991057" w:rsidR="00FD58D3" w:rsidRPr="00FD58D3" w:rsidRDefault="00FD58D3" w:rsidP="00FB18EC">
      <w:pPr>
        <w:spacing w:line="360" w:lineRule="auto"/>
        <w:ind w:left="1418" w:hanging="709"/>
        <w:jc w:val="both"/>
        <w:rPr>
          <w:sz w:val="22"/>
          <w:szCs w:val="22"/>
        </w:rPr>
      </w:pPr>
      <w:r w:rsidRPr="00FD58D3">
        <w:rPr>
          <w:sz w:val="22"/>
          <w:szCs w:val="22"/>
        </w:rPr>
        <w:t xml:space="preserve">(i) </w:t>
      </w:r>
      <w:r w:rsidR="00FB18EC">
        <w:rPr>
          <w:sz w:val="22"/>
          <w:szCs w:val="22"/>
        </w:rPr>
        <w:tab/>
      </w:r>
      <w:r w:rsidRPr="00FD58D3">
        <w:rPr>
          <w:sz w:val="22"/>
          <w:szCs w:val="22"/>
        </w:rPr>
        <w:t>sells or purchases or publicly exhibits for sale immovable property or any business undertaking or</w:t>
      </w:r>
      <w:r w:rsidR="00FB18EC">
        <w:rPr>
          <w:sz w:val="22"/>
          <w:szCs w:val="22"/>
        </w:rPr>
        <w:t xml:space="preserve"> </w:t>
      </w:r>
      <w:r w:rsidRPr="00FD58D3">
        <w:rPr>
          <w:sz w:val="22"/>
          <w:szCs w:val="22"/>
        </w:rPr>
        <w:t>negotiates in connection therewith or canvasses or undertakes or offers to canvas a seller or</w:t>
      </w:r>
      <w:r w:rsidR="00FB18EC">
        <w:rPr>
          <w:sz w:val="22"/>
          <w:szCs w:val="22"/>
        </w:rPr>
        <w:t xml:space="preserve"> </w:t>
      </w:r>
      <w:r w:rsidRPr="00FD58D3">
        <w:rPr>
          <w:sz w:val="22"/>
          <w:szCs w:val="22"/>
        </w:rPr>
        <w:t>purchaser therefor; or</w:t>
      </w:r>
    </w:p>
    <w:p w14:paraId="228856E1" w14:textId="29CC27B7" w:rsidR="00FD58D3" w:rsidRPr="00FD58D3" w:rsidRDefault="00FD58D3" w:rsidP="00FB18EC">
      <w:pPr>
        <w:spacing w:line="360" w:lineRule="auto"/>
        <w:ind w:left="1418" w:hanging="709"/>
        <w:jc w:val="both"/>
        <w:rPr>
          <w:sz w:val="22"/>
          <w:szCs w:val="22"/>
        </w:rPr>
      </w:pPr>
      <w:r w:rsidRPr="00FD58D3">
        <w:rPr>
          <w:sz w:val="22"/>
          <w:szCs w:val="22"/>
        </w:rPr>
        <w:lastRenderedPageBreak/>
        <w:t xml:space="preserve">(ii) </w:t>
      </w:r>
      <w:r w:rsidR="00FB18EC">
        <w:rPr>
          <w:sz w:val="22"/>
          <w:szCs w:val="22"/>
        </w:rPr>
        <w:tab/>
      </w:r>
      <w:r w:rsidRPr="00FD58D3">
        <w:rPr>
          <w:sz w:val="22"/>
          <w:szCs w:val="22"/>
        </w:rPr>
        <w:t>lets or hires or publicly exhibits for hire immovable property or any business undertaking or</w:t>
      </w:r>
      <w:r w:rsidR="00FB18EC">
        <w:rPr>
          <w:sz w:val="22"/>
          <w:szCs w:val="22"/>
        </w:rPr>
        <w:t xml:space="preserve"> </w:t>
      </w:r>
      <w:r w:rsidRPr="00FD58D3">
        <w:rPr>
          <w:sz w:val="22"/>
          <w:szCs w:val="22"/>
        </w:rPr>
        <w:t>negotiates in connection therewith or canvasses or undertakes or offers to canvass a lessee or</w:t>
      </w:r>
      <w:r w:rsidR="00FB18EC">
        <w:rPr>
          <w:sz w:val="22"/>
          <w:szCs w:val="22"/>
        </w:rPr>
        <w:t xml:space="preserve"> </w:t>
      </w:r>
      <w:r w:rsidRPr="00FD58D3">
        <w:rPr>
          <w:sz w:val="22"/>
          <w:szCs w:val="22"/>
        </w:rPr>
        <w:t>lessor therefor; or</w:t>
      </w:r>
    </w:p>
    <w:p w14:paraId="7EAE51FC" w14:textId="01EA30D7" w:rsidR="00FD58D3" w:rsidRPr="00FD58D3" w:rsidRDefault="00FD58D3" w:rsidP="00FB18EC">
      <w:pPr>
        <w:spacing w:line="360" w:lineRule="auto"/>
        <w:ind w:left="1418" w:hanging="709"/>
        <w:jc w:val="both"/>
        <w:rPr>
          <w:sz w:val="22"/>
          <w:szCs w:val="22"/>
        </w:rPr>
      </w:pPr>
      <w:r w:rsidRPr="00FD58D3">
        <w:rPr>
          <w:sz w:val="22"/>
          <w:szCs w:val="22"/>
        </w:rPr>
        <w:t xml:space="preserve">(iii) </w:t>
      </w:r>
      <w:r w:rsidR="00FB18EC">
        <w:rPr>
          <w:sz w:val="22"/>
          <w:szCs w:val="22"/>
        </w:rPr>
        <w:tab/>
      </w:r>
      <w:r w:rsidRPr="00FD58D3">
        <w:rPr>
          <w:sz w:val="22"/>
          <w:szCs w:val="22"/>
        </w:rPr>
        <w:t>collects or receives any moneys payable on account of a lease of immovable property or any</w:t>
      </w:r>
      <w:r w:rsidR="00FB18EC">
        <w:rPr>
          <w:sz w:val="22"/>
          <w:szCs w:val="22"/>
        </w:rPr>
        <w:t xml:space="preserve"> </w:t>
      </w:r>
      <w:r w:rsidRPr="00FD58D3">
        <w:rPr>
          <w:sz w:val="22"/>
          <w:szCs w:val="22"/>
        </w:rPr>
        <w:t>business undertaking; or</w:t>
      </w:r>
    </w:p>
    <w:p w14:paraId="1D6225A2" w14:textId="6216413D" w:rsidR="00FD58D3" w:rsidRPr="00FD58D3" w:rsidRDefault="00FD58D3" w:rsidP="00FB18EC">
      <w:pPr>
        <w:spacing w:line="360" w:lineRule="auto"/>
        <w:ind w:left="1418" w:hanging="709"/>
        <w:jc w:val="both"/>
        <w:rPr>
          <w:sz w:val="22"/>
          <w:szCs w:val="22"/>
        </w:rPr>
      </w:pPr>
      <w:r w:rsidRPr="00FD58D3">
        <w:rPr>
          <w:sz w:val="22"/>
          <w:szCs w:val="22"/>
        </w:rPr>
        <w:t xml:space="preserve">(iv) </w:t>
      </w:r>
      <w:r w:rsidR="00FB18EC">
        <w:rPr>
          <w:sz w:val="22"/>
          <w:szCs w:val="22"/>
        </w:rPr>
        <w:tab/>
      </w:r>
      <w:r w:rsidRPr="00FD58D3">
        <w:rPr>
          <w:sz w:val="22"/>
          <w:szCs w:val="22"/>
        </w:rPr>
        <w:t>renders any such other service as the Minister on the recommendation of the board may specify</w:t>
      </w:r>
      <w:r w:rsidR="00FB18EC">
        <w:rPr>
          <w:sz w:val="22"/>
          <w:szCs w:val="22"/>
        </w:rPr>
        <w:t xml:space="preserve"> </w:t>
      </w:r>
      <w:r w:rsidRPr="00FD58D3">
        <w:rPr>
          <w:sz w:val="22"/>
          <w:szCs w:val="22"/>
        </w:rPr>
        <w:t xml:space="preserve">from time to time by notice in the </w:t>
      </w:r>
      <w:r w:rsidRPr="00FB18EC">
        <w:rPr>
          <w:i/>
          <w:sz w:val="22"/>
          <w:szCs w:val="22"/>
        </w:rPr>
        <w:t>Gazette</w:t>
      </w:r>
      <w:r w:rsidRPr="00FD58D3">
        <w:rPr>
          <w:sz w:val="22"/>
          <w:szCs w:val="22"/>
        </w:rPr>
        <w:t>;</w:t>
      </w:r>
    </w:p>
    <w:p w14:paraId="2D48DF32" w14:textId="3B5E9D0B" w:rsidR="00FD58D3" w:rsidRPr="00FD58D3" w:rsidRDefault="00FD58D3" w:rsidP="00F65D19">
      <w:pPr>
        <w:spacing w:line="360" w:lineRule="auto"/>
        <w:jc w:val="both"/>
        <w:rPr>
          <w:sz w:val="22"/>
          <w:szCs w:val="22"/>
        </w:rPr>
      </w:pPr>
      <w:r w:rsidRPr="00FB18EC">
        <w:rPr>
          <w:i/>
          <w:sz w:val="22"/>
          <w:szCs w:val="22"/>
        </w:rPr>
        <w:t>(b)</w:t>
      </w:r>
      <w:r w:rsidRPr="00FD58D3">
        <w:rPr>
          <w:sz w:val="22"/>
          <w:szCs w:val="22"/>
        </w:rPr>
        <w:t xml:space="preserve"> </w:t>
      </w:r>
      <w:r w:rsidR="00FB18EC">
        <w:rPr>
          <w:sz w:val="22"/>
          <w:szCs w:val="22"/>
        </w:rPr>
        <w:tab/>
        <w:t>for purposes of section 3(2)</w:t>
      </w:r>
      <w:r w:rsidRPr="00FD58D3">
        <w:rPr>
          <w:sz w:val="22"/>
          <w:szCs w:val="22"/>
        </w:rPr>
        <w:t>(a), includes any director of a company or a member who is competent</w:t>
      </w:r>
      <w:r w:rsidR="00FB18EC">
        <w:rPr>
          <w:sz w:val="22"/>
          <w:szCs w:val="22"/>
        </w:rPr>
        <w:t xml:space="preserve"> </w:t>
      </w:r>
      <w:r w:rsidRPr="00FD58D3">
        <w:rPr>
          <w:sz w:val="22"/>
          <w:szCs w:val="22"/>
        </w:rPr>
        <w:t>and entitled to take part in the running of the business and the management, or a manager who is</w:t>
      </w:r>
      <w:r w:rsidR="00FB18EC">
        <w:rPr>
          <w:sz w:val="22"/>
          <w:szCs w:val="22"/>
        </w:rPr>
        <w:t xml:space="preserve"> </w:t>
      </w:r>
      <w:r w:rsidRPr="00FD58D3">
        <w:rPr>
          <w:sz w:val="22"/>
          <w:szCs w:val="22"/>
        </w:rPr>
        <w:t>an officer, of a close corporation which is an estat</w:t>
      </w:r>
      <w:r w:rsidR="00F65D19">
        <w:rPr>
          <w:sz w:val="22"/>
          <w:szCs w:val="22"/>
        </w:rPr>
        <w:t>e agent as defined in paragraph </w:t>
      </w:r>
      <w:r w:rsidRPr="00F65D19">
        <w:rPr>
          <w:i/>
          <w:sz w:val="22"/>
          <w:szCs w:val="22"/>
        </w:rPr>
        <w:t>(a)</w:t>
      </w:r>
      <w:r w:rsidRPr="00FD58D3">
        <w:rPr>
          <w:sz w:val="22"/>
          <w:szCs w:val="22"/>
        </w:rPr>
        <w:t>;</w:t>
      </w:r>
    </w:p>
    <w:p w14:paraId="30534062" w14:textId="186BB2D6" w:rsidR="00FB18EC" w:rsidRDefault="00FD58D3" w:rsidP="00F65D19">
      <w:pPr>
        <w:spacing w:line="360" w:lineRule="auto"/>
        <w:jc w:val="both"/>
        <w:rPr>
          <w:sz w:val="22"/>
          <w:szCs w:val="22"/>
        </w:rPr>
      </w:pPr>
      <w:r w:rsidRPr="00FB18EC">
        <w:rPr>
          <w:i/>
          <w:sz w:val="22"/>
          <w:szCs w:val="22"/>
        </w:rPr>
        <w:t>(c)</w:t>
      </w:r>
      <w:r w:rsidRPr="00FD58D3">
        <w:rPr>
          <w:sz w:val="22"/>
          <w:szCs w:val="22"/>
        </w:rPr>
        <w:t xml:space="preserve"> </w:t>
      </w:r>
      <w:r w:rsidR="00FB18EC">
        <w:rPr>
          <w:sz w:val="22"/>
          <w:szCs w:val="22"/>
        </w:rPr>
        <w:tab/>
      </w:r>
      <w:r w:rsidRPr="00FD58D3">
        <w:rPr>
          <w:sz w:val="22"/>
          <w:szCs w:val="22"/>
        </w:rPr>
        <w:t>for purposes of sections 7, 8, 9, 12, 15, 16, 18, 19, 21, 26, 27, 30, 33 and 34B, includes</w:t>
      </w:r>
      <w:r w:rsidR="00FB18EC">
        <w:rPr>
          <w:sz w:val="22"/>
          <w:szCs w:val="22"/>
        </w:rPr>
        <w:t xml:space="preserve"> –</w:t>
      </w:r>
    </w:p>
    <w:p w14:paraId="6D93E967" w14:textId="7B3DF507" w:rsidR="00FD58D3" w:rsidRPr="00FD58D3" w:rsidRDefault="00FD58D3" w:rsidP="00FB18EC">
      <w:pPr>
        <w:spacing w:line="360" w:lineRule="auto"/>
        <w:ind w:left="1418" w:hanging="698"/>
        <w:jc w:val="both"/>
        <w:rPr>
          <w:sz w:val="22"/>
          <w:szCs w:val="22"/>
        </w:rPr>
      </w:pPr>
      <w:r w:rsidRPr="00FD58D3">
        <w:rPr>
          <w:sz w:val="22"/>
          <w:szCs w:val="22"/>
        </w:rPr>
        <w:t xml:space="preserve">(i) </w:t>
      </w:r>
      <w:r w:rsidR="00FB18EC">
        <w:rPr>
          <w:sz w:val="22"/>
          <w:szCs w:val="22"/>
        </w:rPr>
        <w:tab/>
      </w:r>
      <w:r w:rsidRPr="00FD58D3">
        <w:rPr>
          <w:sz w:val="22"/>
          <w:szCs w:val="22"/>
        </w:rPr>
        <w:t xml:space="preserve">any director of a company, or a member referred to in paragraph </w:t>
      </w:r>
      <w:r w:rsidRPr="00FB18EC">
        <w:rPr>
          <w:i/>
          <w:sz w:val="22"/>
          <w:szCs w:val="22"/>
        </w:rPr>
        <w:t>(b)</w:t>
      </w:r>
      <w:r w:rsidRPr="00FD58D3">
        <w:rPr>
          <w:sz w:val="22"/>
          <w:szCs w:val="22"/>
        </w:rPr>
        <w:t>, of a close corporation which</w:t>
      </w:r>
      <w:r w:rsidR="00FB18EC">
        <w:rPr>
          <w:sz w:val="22"/>
          <w:szCs w:val="22"/>
        </w:rPr>
        <w:t xml:space="preserve"> </w:t>
      </w:r>
      <w:r w:rsidRPr="00FD58D3">
        <w:rPr>
          <w:sz w:val="22"/>
          <w:szCs w:val="22"/>
        </w:rPr>
        <w:t xml:space="preserve">is an estate agent as defined in paragraph </w:t>
      </w:r>
      <w:r w:rsidRPr="00FB18EC">
        <w:rPr>
          <w:i/>
          <w:sz w:val="22"/>
          <w:szCs w:val="22"/>
        </w:rPr>
        <w:t>(a)</w:t>
      </w:r>
      <w:r w:rsidRPr="00FD58D3">
        <w:rPr>
          <w:sz w:val="22"/>
          <w:szCs w:val="22"/>
        </w:rPr>
        <w:t>; and</w:t>
      </w:r>
    </w:p>
    <w:p w14:paraId="33E4F6FB" w14:textId="2F1B1265" w:rsidR="00186D79" w:rsidRPr="00FB18EC" w:rsidRDefault="00FD58D3" w:rsidP="00FB18EC">
      <w:pPr>
        <w:spacing w:line="360" w:lineRule="auto"/>
        <w:ind w:left="1418" w:hanging="698"/>
        <w:jc w:val="both"/>
        <w:rPr>
          <w:sz w:val="22"/>
          <w:szCs w:val="22"/>
        </w:rPr>
      </w:pPr>
      <w:r w:rsidRPr="00FD58D3">
        <w:rPr>
          <w:sz w:val="22"/>
          <w:szCs w:val="22"/>
        </w:rPr>
        <w:t xml:space="preserve">(ii) </w:t>
      </w:r>
      <w:r w:rsidR="00FB18EC">
        <w:rPr>
          <w:sz w:val="22"/>
          <w:szCs w:val="22"/>
        </w:rPr>
        <w:tab/>
      </w:r>
      <w:r w:rsidRPr="00FD58D3">
        <w:rPr>
          <w:sz w:val="22"/>
          <w:szCs w:val="22"/>
        </w:rPr>
        <w:t xml:space="preserve">any person who is employed by an estate agent as defined in paragraph </w:t>
      </w:r>
      <w:r w:rsidRPr="00FB18EC">
        <w:rPr>
          <w:i/>
          <w:sz w:val="22"/>
          <w:szCs w:val="22"/>
        </w:rPr>
        <w:t>(a)</w:t>
      </w:r>
      <w:r w:rsidRPr="00FD58D3">
        <w:rPr>
          <w:sz w:val="22"/>
          <w:szCs w:val="22"/>
        </w:rPr>
        <w:t xml:space="preserve"> and performs on his</w:t>
      </w:r>
      <w:r w:rsidR="00FB18EC">
        <w:rPr>
          <w:sz w:val="22"/>
          <w:szCs w:val="22"/>
        </w:rPr>
        <w:t xml:space="preserve"> </w:t>
      </w:r>
      <w:r w:rsidRPr="00FD58D3">
        <w:rPr>
          <w:sz w:val="22"/>
          <w:szCs w:val="22"/>
        </w:rPr>
        <w:t>behalf any act referred to in subparagraph (i) or (ii) of the said paragraph</w:t>
      </w:r>
      <w:r w:rsidR="00186D79" w:rsidRPr="00E70593">
        <w:rPr>
          <w:sz w:val="22"/>
          <w:szCs w:val="22"/>
        </w:rPr>
        <w:t>; . . .’</w:t>
      </w:r>
    </w:p>
    <w:p w14:paraId="71E3C343" w14:textId="77777777" w:rsidR="00186D79" w:rsidRPr="00FB18EC" w:rsidRDefault="00186D79" w:rsidP="00FB18EC">
      <w:pPr>
        <w:pStyle w:val="ListParagraph"/>
        <w:spacing w:line="360" w:lineRule="auto"/>
        <w:ind w:left="0"/>
        <w:jc w:val="both"/>
      </w:pPr>
    </w:p>
    <w:p w14:paraId="0879E5C2" w14:textId="439F79F5" w:rsidR="00186D79" w:rsidRPr="008D44BF" w:rsidRDefault="008D44BF" w:rsidP="008D44BF">
      <w:pPr>
        <w:spacing w:line="360" w:lineRule="auto"/>
        <w:jc w:val="both"/>
        <w:rPr>
          <w:b/>
          <w:sz w:val="22"/>
          <w:szCs w:val="22"/>
        </w:rPr>
      </w:pPr>
      <w:r w:rsidRPr="00FB18EC">
        <w:rPr>
          <w:szCs w:val="24"/>
        </w:rPr>
        <w:t>[5]</w:t>
      </w:r>
      <w:r w:rsidRPr="00FB18EC">
        <w:rPr>
          <w:szCs w:val="24"/>
        </w:rPr>
        <w:tab/>
      </w:r>
      <w:r w:rsidR="00186D79">
        <w:t xml:space="preserve">The contention in the exception initially was that the provisions of paragraphs </w:t>
      </w:r>
      <w:r w:rsidR="00186D79" w:rsidRPr="008D44BF">
        <w:rPr>
          <w:i/>
        </w:rPr>
        <w:t>(a)</w:t>
      </w:r>
      <w:r w:rsidR="00186D79">
        <w:t xml:space="preserve"> and </w:t>
      </w:r>
      <w:r w:rsidR="00186D79" w:rsidRPr="008D44BF">
        <w:rPr>
          <w:i/>
        </w:rPr>
        <w:t>(b)</w:t>
      </w:r>
      <w:r w:rsidR="00186D79">
        <w:t xml:space="preserve"> of the definition of estate agent applied</w:t>
      </w:r>
      <w:r w:rsidR="00A75F80">
        <w:t xml:space="preserve"> to Mr Schwanzer</w:t>
      </w:r>
      <w:r w:rsidR="00186D79">
        <w:t xml:space="preserve">. At the commencement of argument, the defendant’s counsel however said that he would also be relying on the provisions of paragraph </w:t>
      </w:r>
      <w:r w:rsidR="00186D79" w:rsidRPr="008D44BF">
        <w:rPr>
          <w:i/>
        </w:rPr>
        <w:t>(c)</w:t>
      </w:r>
      <w:r w:rsidR="00186D79">
        <w:t xml:space="preserve"> of the definition of ‘estate agent.’ </w:t>
      </w:r>
      <w:r w:rsidR="00186D79" w:rsidRPr="008D44BF">
        <w:rPr>
          <w:szCs w:val="24"/>
        </w:rPr>
        <w:t>The plaintiff</w:t>
      </w:r>
      <w:r w:rsidR="00186D79" w:rsidRPr="008D44BF">
        <w:rPr>
          <w:b/>
          <w:szCs w:val="24"/>
        </w:rPr>
        <w:t xml:space="preserve"> </w:t>
      </w:r>
      <w:r w:rsidR="00186D79" w:rsidRPr="008D44BF">
        <w:rPr>
          <w:szCs w:val="24"/>
        </w:rPr>
        <w:t>agreed</w:t>
      </w:r>
      <w:r w:rsidR="00186D79">
        <w:t xml:space="preserve"> that the defendant could rely on the provisions of sub-paragraph </w:t>
      </w:r>
      <w:r w:rsidR="00186D79" w:rsidRPr="008D44BF">
        <w:rPr>
          <w:i/>
        </w:rPr>
        <w:t>(c)</w:t>
      </w:r>
      <w:r w:rsidR="00A75F80" w:rsidRPr="008D44BF">
        <w:rPr>
          <w:i/>
        </w:rPr>
        <w:t>.</w:t>
      </w:r>
      <w:r w:rsidR="00186D79">
        <w:t xml:space="preserve"> Paragraph 19A of the particulars of claim, set out below, was also amended by consent, to allege positively that at the material time when </w:t>
      </w:r>
      <w:r w:rsidR="00CD44DB">
        <w:t xml:space="preserve">negotiating </w:t>
      </w:r>
      <w:r w:rsidR="00186D79">
        <w:t xml:space="preserve">the conclusion of the agreement Mr Schwanzer acted as an ‘employee’ of the plaintiff. </w:t>
      </w:r>
    </w:p>
    <w:p w14:paraId="613FE908" w14:textId="77777777" w:rsidR="00FB18EC" w:rsidRPr="00186D79" w:rsidRDefault="00FB18EC" w:rsidP="00FB18EC">
      <w:pPr>
        <w:pStyle w:val="ListParagraph"/>
        <w:spacing w:line="360" w:lineRule="auto"/>
        <w:ind w:left="0"/>
        <w:jc w:val="both"/>
        <w:rPr>
          <w:b/>
          <w:sz w:val="22"/>
          <w:szCs w:val="22"/>
        </w:rPr>
      </w:pPr>
    </w:p>
    <w:p w14:paraId="72CEC465" w14:textId="5851BD33" w:rsidR="003C6CA1" w:rsidRDefault="008D44BF" w:rsidP="008D44BF">
      <w:pPr>
        <w:spacing w:line="360" w:lineRule="auto"/>
        <w:jc w:val="both"/>
      </w:pPr>
      <w:r>
        <w:rPr>
          <w:szCs w:val="24"/>
        </w:rPr>
        <w:t>[6]</w:t>
      </w:r>
      <w:r>
        <w:rPr>
          <w:szCs w:val="24"/>
        </w:rPr>
        <w:tab/>
      </w:r>
      <w:r w:rsidR="003C6CA1">
        <w:t>An amendment was also effected to the exception by consent, by the concluding paragraph thereto, being paragraph 10, being amplified by the words indicated in bold below, to read:</w:t>
      </w:r>
    </w:p>
    <w:p w14:paraId="01513F12" w14:textId="77777777" w:rsidR="003C6CA1" w:rsidRDefault="003C6CA1" w:rsidP="00FB18EC">
      <w:pPr>
        <w:spacing w:line="360" w:lineRule="auto"/>
        <w:jc w:val="both"/>
        <w:rPr>
          <w:b/>
          <w:sz w:val="22"/>
          <w:szCs w:val="22"/>
        </w:rPr>
      </w:pPr>
      <w:r w:rsidRPr="00833410">
        <w:rPr>
          <w:sz w:val="22"/>
          <w:szCs w:val="22"/>
        </w:rPr>
        <w:t xml:space="preserve">‘In the premises, no valid cause of action is disclosed by the Plaintiff, </w:t>
      </w:r>
      <w:r w:rsidRPr="00833410">
        <w:rPr>
          <w:b/>
          <w:sz w:val="22"/>
          <w:szCs w:val="22"/>
        </w:rPr>
        <w:t>as envisaged in terms of section 26 read with section 34A(1) or (2) of the Act.</w:t>
      </w:r>
      <w:r w:rsidRPr="00833410">
        <w:rPr>
          <w:sz w:val="22"/>
          <w:szCs w:val="22"/>
        </w:rPr>
        <w:t>’</w:t>
      </w:r>
      <w:r w:rsidRPr="00833410">
        <w:rPr>
          <w:b/>
          <w:sz w:val="22"/>
          <w:szCs w:val="22"/>
        </w:rPr>
        <w:t xml:space="preserve">   </w:t>
      </w:r>
    </w:p>
    <w:p w14:paraId="6EB090C0" w14:textId="77777777" w:rsidR="003C6CA1" w:rsidRDefault="003C6CA1" w:rsidP="00FB18EC">
      <w:pPr>
        <w:spacing w:line="360" w:lineRule="auto"/>
        <w:jc w:val="both"/>
        <w:rPr>
          <w:szCs w:val="24"/>
        </w:rPr>
      </w:pPr>
    </w:p>
    <w:p w14:paraId="06AE05EC" w14:textId="0BD3D2FC" w:rsidR="003C6CA1" w:rsidRPr="002E648A" w:rsidRDefault="008D44BF" w:rsidP="008D44BF">
      <w:pPr>
        <w:spacing w:line="360" w:lineRule="auto"/>
        <w:jc w:val="both"/>
        <w:rPr>
          <w:szCs w:val="24"/>
        </w:rPr>
      </w:pPr>
      <w:r w:rsidRPr="002E648A">
        <w:rPr>
          <w:szCs w:val="24"/>
        </w:rPr>
        <w:lastRenderedPageBreak/>
        <w:t>[7]</w:t>
      </w:r>
      <w:r w:rsidRPr="002E648A">
        <w:rPr>
          <w:szCs w:val="24"/>
        </w:rPr>
        <w:tab/>
      </w:r>
      <w:r w:rsidR="003C6CA1" w:rsidRPr="002E648A">
        <w:rPr>
          <w:szCs w:val="24"/>
        </w:rPr>
        <w:t xml:space="preserve">Section 26 </w:t>
      </w:r>
      <w:r w:rsidR="003C6CA1">
        <w:rPr>
          <w:szCs w:val="24"/>
        </w:rPr>
        <w:t xml:space="preserve">of the Act </w:t>
      </w:r>
      <w:r w:rsidR="003C6CA1" w:rsidRPr="002E648A">
        <w:rPr>
          <w:szCs w:val="24"/>
        </w:rPr>
        <w:t>provides:</w:t>
      </w:r>
    </w:p>
    <w:p w14:paraId="611D45F9" w14:textId="5EF09B4D" w:rsidR="00B12A93" w:rsidRDefault="003C6CA1" w:rsidP="00B12A93">
      <w:pPr>
        <w:spacing w:line="360" w:lineRule="auto"/>
        <w:jc w:val="both"/>
        <w:rPr>
          <w:sz w:val="22"/>
          <w:szCs w:val="22"/>
        </w:rPr>
      </w:pPr>
      <w:r w:rsidRPr="002E648A">
        <w:rPr>
          <w:sz w:val="22"/>
          <w:szCs w:val="22"/>
        </w:rPr>
        <w:t>‘</w:t>
      </w:r>
      <w:r w:rsidR="00B12A93" w:rsidRPr="00B12A93">
        <w:rPr>
          <w:sz w:val="22"/>
          <w:szCs w:val="22"/>
        </w:rPr>
        <w:t>Prohibition of rendering of services as estate agent in certain circumstances.</w:t>
      </w:r>
      <w:r w:rsidR="001C7324">
        <w:rPr>
          <w:sz w:val="22"/>
          <w:szCs w:val="22"/>
        </w:rPr>
        <w:t xml:space="preserve"> – </w:t>
      </w:r>
      <w:r w:rsidR="00B12A93" w:rsidRPr="00B12A93">
        <w:rPr>
          <w:sz w:val="22"/>
          <w:szCs w:val="22"/>
        </w:rPr>
        <w:t>No</w:t>
      </w:r>
      <w:r w:rsidR="001C7324">
        <w:rPr>
          <w:sz w:val="22"/>
          <w:szCs w:val="22"/>
        </w:rPr>
        <w:t xml:space="preserve"> </w:t>
      </w:r>
      <w:r w:rsidR="00B12A93" w:rsidRPr="00B12A93">
        <w:rPr>
          <w:sz w:val="22"/>
          <w:szCs w:val="22"/>
        </w:rPr>
        <w:t>person shall perform</w:t>
      </w:r>
      <w:r w:rsidR="00B12A93">
        <w:rPr>
          <w:sz w:val="22"/>
          <w:szCs w:val="22"/>
        </w:rPr>
        <w:t xml:space="preserve"> </w:t>
      </w:r>
      <w:r w:rsidR="00B12A93" w:rsidRPr="00B12A93">
        <w:rPr>
          <w:sz w:val="22"/>
          <w:szCs w:val="22"/>
        </w:rPr>
        <w:t>any act as an estate agent unless a valid fidelity fund certificate has been issued to him or her and to every person</w:t>
      </w:r>
      <w:r w:rsidR="00B12A93">
        <w:rPr>
          <w:sz w:val="22"/>
          <w:szCs w:val="22"/>
        </w:rPr>
        <w:t xml:space="preserve"> </w:t>
      </w:r>
      <w:r w:rsidR="00B12A93" w:rsidRPr="00B12A93">
        <w:rPr>
          <w:sz w:val="22"/>
          <w:szCs w:val="22"/>
        </w:rPr>
        <w:t>employed by him or her as an estate agent and, if such person is</w:t>
      </w:r>
      <w:r w:rsidR="00B12A93">
        <w:rPr>
          <w:sz w:val="22"/>
          <w:szCs w:val="22"/>
        </w:rPr>
        <w:t xml:space="preserve"> – </w:t>
      </w:r>
    </w:p>
    <w:p w14:paraId="0B39D8B3" w14:textId="3376016A" w:rsidR="00B12A93" w:rsidRPr="00B12A93" w:rsidRDefault="00B12A93" w:rsidP="00B12A93">
      <w:pPr>
        <w:spacing w:line="360" w:lineRule="auto"/>
        <w:jc w:val="both"/>
        <w:rPr>
          <w:sz w:val="22"/>
          <w:szCs w:val="22"/>
        </w:rPr>
      </w:pPr>
      <w:r w:rsidRPr="00B12A93">
        <w:rPr>
          <w:i/>
          <w:sz w:val="22"/>
          <w:szCs w:val="22"/>
        </w:rPr>
        <w:t>(a)</w:t>
      </w:r>
      <w:r w:rsidRPr="00B12A93">
        <w:rPr>
          <w:sz w:val="22"/>
          <w:szCs w:val="22"/>
        </w:rPr>
        <w:t xml:space="preserve"> </w:t>
      </w:r>
      <w:r>
        <w:rPr>
          <w:sz w:val="22"/>
          <w:szCs w:val="22"/>
        </w:rPr>
        <w:tab/>
      </w:r>
      <w:r w:rsidRPr="00B12A93">
        <w:rPr>
          <w:sz w:val="22"/>
          <w:szCs w:val="22"/>
        </w:rPr>
        <w:t>a company, to every director of that company; or</w:t>
      </w:r>
    </w:p>
    <w:p w14:paraId="30A1AE24" w14:textId="4211F4F6" w:rsidR="003C6CA1" w:rsidRPr="002E648A" w:rsidRDefault="00B12A93" w:rsidP="00B12A93">
      <w:pPr>
        <w:spacing w:line="360" w:lineRule="auto"/>
        <w:jc w:val="both"/>
        <w:rPr>
          <w:sz w:val="22"/>
          <w:szCs w:val="22"/>
        </w:rPr>
      </w:pPr>
      <w:r w:rsidRPr="00B12A93">
        <w:rPr>
          <w:i/>
          <w:sz w:val="22"/>
          <w:szCs w:val="22"/>
        </w:rPr>
        <w:t>(b)</w:t>
      </w:r>
      <w:r w:rsidRPr="00B12A93">
        <w:rPr>
          <w:sz w:val="22"/>
          <w:szCs w:val="22"/>
        </w:rPr>
        <w:t xml:space="preserve"> </w:t>
      </w:r>
      <w:r>
        <w:rPr>
          <w:sz w:val="22"/>
          <w:szCs w:val="22"/>
        </w:rPr>
        <w:tab/>
      </w:r>
      <w:r w:rsidRPr="00B12A93">
        <w:rPr>
          <w:sz w:val="22"/>
          <w:szCs w:val="22"/>
        </w:rPr>
        <w:t xml:space="preserve">a close corporation, to every member referred to in paragraph </w:t>
      </w:r>
      <w:r w:rsidRPr="00B12A93">
        <w:rPr>
          <w:i/>
          <w:sz w:val="22"/>
          <w:szCs w:val="22"/>
        </w:rPr>
        <w:t>(b)</w:t>
      </w:r>
      <w:r w:rsidRPr="00B12A93">
        <w:rPr>
          <w:sz w:val="22"/>
          <w:szCs w:val="22"/>
        </w:rPr>
        <w:t xml:space="preserve"> of the definition of </w:t>
      </w:r>
      <w:r>
        <w:rPr>
          <w:sz w:val="22"/>
          <w:szCs w:val="22"/>
        </w:rPr>
        <w:t>"</w:t>
      </w:r>
      <w:r w:rsidRPr="00B12A93">
        <w:rPr>
          <w:sz w:val="22"/>
          <w:szCs w:val="22"/>
        </w:rPr>
        <w:t>estate agent</w:t>
      </w:r>
      <w:r>
        <w:rPr>
          <w:sz w:val="22"/>
          <w:szCs w:val="22"/>
        </w:rPr>
        <w:t xml:space="preserve">" </w:t>
      </w:r>
      <w:r w:rsidRPr="00B12A93">
        <w:rPr>
          <w:sz w:val="22"/>
          <w:szCs w:val="22"/>
        </w:rPr>
        <w:t>of that corporation</w:t>
      </w:r>
      <w:r w:rsidR="003C6CA1" w:rsidRPr="002E648A">
        <w:rPr>
          <w:sz w:val="22"/>
          <w:szCs w:val="22"/>
        </w:rPr>
        <w:t>.’</w:t>
      </w:r>
    </w:p>
    <w:p w14:paraId="45A26149" w14:textId="77777777" w:rsidR="003C6CA1" w:rsidRDefault="003C6CA1" w:rsidP="00FB18EC">
      <w:pPr>
        <w:spacing w:line="360" w:lineRule="auto"/>
        <w:jc w:val="both"/>
        <w:rPr>
          <w:sz w:val="22"/>
          <w:szCs w:val="22"/>
        </w:rPr>
      </w:pPr>
    </w:p>
    <w:p w14:paraId="017B0EEE" w14:textId="4FA51999" w:rsidR="003C6CA1" w:rsidRPr="002E648A" w:rsidRDefault="008D44BF" w:rsidP="008D44BF">
      <w:pPr>
        <w:spacing w:line="360" w:lineRule="auto"/>
        <w:jc w:val="both"/>
      </w:pPr>
      <w:r w:rsidRPr="002E648A">
        <w:rPr>
          <w:szCs w:val="24"/>
        </w:rPr>
        <w:t>[8]</w:t>
      </w:r>
      <w:r w:rsidRPr="002E648A">
        <w:rPr>
          <w:szCs w:val="24"/>
        </w:rPr>
        <w:tab/>
      </w:r>
      <w:r w:rsidR="003C6CA1" w:rsidRPr="002E648A">
        <w:rPr>
          <w:szCs w:val="24"/>
        </w:rPr>
        <w:t xml:space="preserve">Section 34A </w:t>
      </w:r>
      <w:r w:rsidR="003C6CA1">
        <w:rPr>
          <w:szCs w:val="24"/>
        </w:rPr>
        <w:t xml:space="preserve">of the Act </w:t>
      </w:r>
      <w:r w:rsidR="003C6CA1" w:rsidRPr="002E648A">
        <w:rPr>
          <w:szCs w:val="24"/>
        </w:rPr>
        <w:t>provides</w:t>
      </w:r>
      <w:r w:rsidR="003C6CA1" w:rsidRPr="002E648A">
        <w:rPr>
          <w:sz w:val="22"/>
          <w:szCs w:val="22"/>
        </w:rPr>
        <w:t>:</w:t>
      </w:r>
    </w:p>
    <w:p w14:paraId="37D8622B" w14:textId="27314AE9" w:rsidR="00B12A93" w:rsidRDefault="00B12A93" w:rsidP="00B12A93">
      <w:pPr>
        <w:spacing w:line="360" w:lineRule="auto"/>
        <w:jc w:val="both"/>
        <w:rPr>
          <w:sz w:val="22"/>
          <w:szCs w:val="22"/>
        </w:rPr>
      </w:pPr>
      <w:r>
        <w:rPr>
          <w:sz w:val="22"/>
          <w:szCs w:val="22"/>
        </w:rPr>
        <w:t>'</w:t>
      </w:r>
      <w:r w:rsidRPr="00B12A93">
        <w:rPr>
          <w:sz w:val="22"/>
          <w:szCs w:val="22"/>
        </w:rPr>
        <w:t>Estate agent not entitled to remuneration in certain circumstances.</w:t>
      </w:r>
      <w:r>
        <w:rPr>
          <w:sz w:val="22"/>
          <w:szCs w:val="22"/>
        </w:rPr>
        <w:t xml:space="preserve"> –</w:t>
      </w:r>
      <w:r w:rsidR="001C7324">
        <w:rPr>
          <w:sz w:val="22"/>
          <w:szCs w:val="22"/>
        </w:rPr>
        <w:t xml:space="preserve"> </w:t>
      </w:r>
      <w:r w:rsidRPr="00B12A93">
        <w:rPr>
          <w:sz w:val="22"/>
          <w:szCs w:val="22"/>
        </w:rPr>
        <w:t>(1) No estate agent shall be</w:t>
      </w:r>
      <w:r>
        <w:rPr>
          <w:sz w:val="22"/>
          <w:szCs w:val="22"/>
        </w:rPr>
        <w:t xml:space="preserve"> </w:t>
      </w:r>
      <w:r w:rsidRPr="00B12A93">
        <w:rPr>
          <w:sz w:val="22"/>
          <w:szCs w:val="22"/>
        </w:rPr>
        <w:t>entitled to any remuneration or other payment in respect of or arising from the performance of any act referred to in</w:t>
      </w:r>
      <w:r>
        <w:rPr>
          <w:sz w:val="22"/>
          <w:szCs w:val="22"/>
        </w:rPr>
        <w:t xml:space="preserve"> </w:t>
      </w:r>
      <w:r w:rsidR="00FD43B5">
        <w:rPr>
          <w:sz w:val="22"/>
          <w:szCs w:val="22"/>
        </w:rPr>
        <w:t>subparagraph (i), (ii), (iii) or (iv) o</w:t>
      </w:r>
      <w:r w:rsidRPr="00B12A93">
        <w:rPr>
          <w:sz w:val="22"/>
          <w:szCs w:val="22"/>
        </w:rPr>
        <w:t xml:space="preserve">f paragraph </w:t>
      </w:r>
      <w:r w:rsidRPr="00FD43B5">
        <w:rPr>
          <w:i/>
          <w:sz w:val="22"/>
          <w:szCs w:val="22"/>
        </w:rPr>
        <w:t>(a)</w:t>
      </w:r>
      <w:r w:rsidRPr="00B12A93">
        <w:rPr>
          <w:sz w:val="22"/>
          <w:szCs w:val="22"/>
        </w:rPr>
        <w:t xml:space="preserve"> of the definition of "estate agent", unless at the time of the</w:t>
      </w:r>
      <w:r>
        <w:rPr>
          <w:sz w:val="22"/>
          <w:szCs w:val="22"/>
        </w:rPr>
        <w:t xml:space="preserve"> </w:t>
      </w:r>
      <w:r w:rsidRPr="00B12A93">
        <w:rPr>
          <w:sz w:val="22"/>
          <w:szCs w:val="22"/>
        </w:rPr>
        <w:t>performance of the act a valid fidelity fund certificate has been issued</w:t>
      </w:r>
      <w:r>
        <w:rPr>
          <w:sz w:val="22"/>
          <w:szCs w:val="22"/>
        </w:rPr>
        <w:t xml:space="preserve"> – </w:t>
      </w:r>
    </w:p>
    <w:p w14:paraId="20AEF0DF" w14:textId="2C1C1474" w:rsidR="00B12A93" w:rsidRPr="00B12A93" w:rsidRDefault="00B12A93" w:rsidP="00B12A93">
      <w:pPr>
        <w:spacing w:line="360" w:lineRule="auto"/>
        <w:jc w:val="both"/>
        <w:rPr>
          <w:sz w:val="22"/>
          <w:szCs w:val="22"/>
        </w:rPr>
      </w:pPr>
      <w:r w:rsidRPr="00FD43B5">
        <w:rPr>
          <w:i/>
          <w:sz w:val="22"/>
          <w:szCs w:val="22"/>
        </w:rPr>
        <w:t>(a)</w:t>
      </w:r>
      <w:r w:rsidRPr="00B12A93">
        <w:rPr>
          <w:sz w:val="22"/>
          <w:szCs w:val="22"/>
        </w:rPr>
        <w:t xml:space="preserve"> </w:t>
      </w:r>
      <w:r w:rsidR="00FD43B5">
        <w:rPr>
          <w:sz w:val="22"/>
          <w:szCs w:val="22"/>
        </w:rPr>
        <w:tab/>
      </w:r>
      <w:r w:rsidRPr="00B12A93">
        <w:rPr>
          <w:sz w:val="22"/>
          <w:szCs w:val="22"/>
        </w:rPr>
        <w:t>to such estate agent; and</w:t>
      </w:r>
    </w:p>
    <w:p w14:paraId="04511C6F" w14:textId="4260930A" w:rsidR="00B12A93" w:rsidRPr="00B12A93" w:rsidRDefault="00B12A93" w:rsidP="00B12A93">
      <w:pPr>
        <w:spacing w:line="360" w:lineRule="auto"/>
        <w:jc w:val="both"/>
        <w:rPr>
          <w:sz w:val="22"/>
          <w:szCs w:val="22"/>
        </w:rPr>
      </w:pPr>
      <w:r w:rsidRPr="00FD43B5">
        <w:rPr>
          <w:i/>
          <w:sz w:val="22"/>
          <w:szCs w:val="22"/>
        </w:rPr>
        <w:t>(b)</w:t>
      </w:r>
      <w:r w:rsidRPr="00B12A93">
        <w:rPr>
          <w:sz w:val="22"/>
          <w:szCs w:val="22"/>
        </w:rPr>
        <w:t xml:space="preserve"> </w:t>
      </w:r>
      <w:r w:rsidR="00FD43B5">
        <w:rPr>
          <w:sz w:val="22"/>
          <w:szCs w:val="22"/>
        </w:rPr>
        <w:tab/>
      </w:r>
      <w:r w:rsidRPr="00B12A93">
        <w:rPr>
          <w:sz w:val="22"/>
          <w:szCs w:val="22"/>
        </w:rPr>
        <w:t>if such estate agent is a company, to every director of such company or, if such estate agent is a</w:t>
      </w:r>
      <w:r>
        <w:rPr>
          <w:sz w:val="22"/>
          <w:szCs w:val="22"/>
        </w:rPr>
        <w:t xml:space="preserve"> </w:t>
      </w:r>
      <w:r w:rsidRPr="00B12A93">
        <w:rPr>
          <w:sz w:val="22"/>
          <w:szCs w:val="22"/>
        </w:rPr>
        <w:t>close corporation, to every member referred to in paragraph (b) of the definition of "estate agent" of</w:t>
      </w:r>
      <w:r>
        <w:rPr>
          <w:sz w:val="22"/>
          <w:szCs w:val="22"/>
        </w:rPr>
        <w:t xml:space="preserve"> </w:t>
      </w:r>
      <w:r w:rsidRPr="00B12A93">
        <w:rPr>
          <w:sz w:val="22"/>
          <w:szCs w:val="22"/>
        </w:rPr>
        <w:t>such corporation.</w:t>
      </w:r>
    </w:p>
    <w:p w14:paraId="6A9F03FF" w14:textId="1113FFEE" w:rsidR="003C6CA1" w:rsidRPr="00B12A93" w:rsidRDefault="00B12A93" w:rsidP="00B12A93">
      <w:pPr>
        <w:spacing w:line="360" w:lineRule="auto"/>
        <w:jc w:val="both"/>
        <w:rPr>
          <w:sz w:val="22"/>
          <w:szCs w:val="22"/>
        </w:rPr>
      </w:pPr>
      <w:r w:rsidRPr="00B12A93">
        <w:rPr>
          <w:sz w:val="22"/>
          <w:szCs w:val="22"/>
        </w:rPr>
        <w:t xml:space="preserve">(2) No person referred to in paragraph </w:t>
      </w:r>
      <w:r w:rsidRPr="00FD43B5">
        <w:rPr>
          <w:i/>
          <w:sz w:val="22"/>
          <w:szCs w:val="22"/>
        </w:rPr>
        <w:t>(c)</w:t>
      </w:r>
      <w:r w:rsidRPr="00B12A93">
        <w:rPr>
          <w:sz w:val="22"/>
          <w:szCs w:val="22"/>
        </w:rPr>
        <w:t>(ii) of the definition of "estate agent", and no estate agent who</w:t>
      </w:r>
      <w:r>
        <w:rPr>
          <w:sz w:val="22"/>
          <w:szCs w:val="22"/>
        </w:rPr>
        <w:t xml:space="preserve"> </w:t>
      </w:r>
      <w:r w:rsidRPr="00B12A93">
        <w:rPr>
          <w:sz w:val="22"/>
          <w:szCs w:val="22"/>
        </w:rPr>
        <w:t>employs such person, shall be entitled to any remuneration or other payment in respect of or arising from the</w:t>
      </w:r>
      <w:r>
        <w:rPr>
          <w:sz w:val="22"/>
          <w:szCs w:val="22"/>
        </w:rPr>
        <w:t xml:space="preserve"> </w:t>
      </w:r>
      <w:r w:rsidRPr="00B12A93">
        <w:rPr>
          <w:sz w:val="22"/>
          <w:szCs w:val="22"/>
        </w:rPr>
        <w:t>performance by such person of any act referred to in that paragraph, unless at the time of the performance of the</w:t>
      </w:r>
      <w:r>
        <w:rPr>
          <w:sz w:val="22"/>
          <w:szCs w:val="22"/>
        </w:rPr>
        <w:t xml:space="preserve"> </w:t>
      </w:r>
      <w:r w:rsidRPr="00B12A93">
        <w:rPr>
          <w:sz w:val="22"/>
          <w:szCs w:val="22"/>
        </w:rPr>
        <w:t>act a valid fidelity fund certificate has been issued to such person</w:t>
      </w:r>
      <w:r w:rsidR="003C6CA1" w:rsidRPr="00B12A93">
        <w:rPr>
          <w:sz w:val="22"/>
          <w:szCs w:val="22"/>
        </w:rPr>
        <w:t>.’</w:t>
      </w:r>
    </w:p>
    <w:p w14:paraId="7BF724A5" w14:textId="066AD00D" w:rsidR="00186D79" w:rsidRPr="003C6CA1" w:rsidRDefault="003C6CA1" w:rsidP="00FB18EC">
      <w:pPr>
        <w:spacing w:line="360" w:lineRule="auto"/>
        <w:jc w:val="both"/>
        <w:rPr>
          <w:b/>
          <w:sz w:val="22"/>
          <w:szCs w:val="22"/>
        </w:rPr>
      </w:pPr>
      <w:r>
        <w:t xml:space="preserve"> </w:t>
      </w:r>
    </w:p>
    <w:p w14:paraId="4ABC4110" w14:textId="5E787ECB" w:rsidR="003C6CA1" w:rsidRDefault="008D44BF" w:rsidP="008D44BF">
      <w:pPr>
        <w:spacing w:line="360" w:lineRule="auto"/>
        <w:jc w:val="both"/>
      </w:pPr>
      <w:r>
        <w:rPr>
          <w:szCs w:val="24"/>
        </w:rPr>
        <w:t>[9]</w:t>
      </w:r>
      <w:r>
        <w:rPr>
          <w:szCs w:val="24"/>
        </w:rPr>
        <w:tab/>
      </w:r>
      <w:r w:rsidR="003C6CA1">
        <w:t>The allegations in the particulars of claim specifically implicated by the exception, as amended during argument, read as follows:</w:t>
      </w:r>
    </w:p>
    <w:p w14:paraId="3318E173" w14:textId="77777777" w:rsidR="003C6CA1" w:rsidRPr="00E32AE2" w:rsidRDefault="003C6CA1" w:rsidP="00FB18EC">
      <w:pPr>
        <w:spacing w:line="360" w:lineRule="auto"/>
        <w:jc w:val="both"/>
        <w:rPr>
          <w:sz w:val="22"/>
          <w:szCs w:val="22"/>
        </w:rPr>
      </w:pPr>
      <w:r w:rsidRPr="003676AE">
        <w:rPr>
          <w:sz w:val="22"/>
          <w:szCs w:val="22"/>
        </w:rPr>
        <w:t>‘19A</w:t>
      </w:r>
      <w:r w:rsidRPr="003676AE">
        <w:rPr>
          <w:sz w:val="22"/>
          <w:szCs w:val="22"/>
        </w:rPr>
        <w:tab/>
        <w:t>The Plaintiff, every director of the Plaintiff as well as Thor-Christian Schwanzer, an employee of the plaintiff, were all in possession of valid fidelity fund certificates at the time of the conclusion of the Agreement. Copies of the fidelity fund certificates are annexed hereto, marked “POC 6” to “POC 12”.’</w:t>
      </w:r>
      <w:r>
        <w:rPr>
          <w:rStyle w:val="FootnoteReference"/>
        </w:rPr>
        <w:footnoteReference w:id="1"/>
      </w:r>
      <w:r>
        <w:t xml:space="preserve"> </w:t>
      </w:r>
    </w:p>
    <w:p w14:paraId="5C8DBC10" w14:textId="77777777" w:rsidR="003C6CA1" w:rsidRDefault="003C6CA1" w:rsidP="00FB18EC">
      <w:pPr>
        <w:pStyle w:val="ListParagraph"/>
        <w:spacing w:line="360" w:lineRule="auto"/>
        <w:jc w:val="both"/>
      </w:pPr>
    </w:p>
    <w:p w14:paraId="44748FFF" w14:textId="325E15D6" w:rsidR="003C6CA1" w:rsidRDefault="008D44BF" w:rsidP="008D44BF">
      <w:pPr>
        <w:spacing w:line="360" w:lineRule="auto"/>
        <w:jc w:val="both"/>
      </w:pPr>
      <w:r>
        <w:rPr>
          <w:szCs w:val="24"/>
        </w:rPr>
        <w:t>[10]</w:t>
      </w:r>
      <w:r>
        <w:rPr>
          <w:szCs w:val="24"/>
        </w:rPr>
        <w:tab/>
      </w:r>
      <w:r w:rsidR="003C6CA1">
        <w:t xml:space="preserve">Annexure </w:t>
      </w:r>
      <w:r w:rsidR="00F06B4D">
        <w:t>"</w:t>
      </w:r>
      <w:r w:rsidR="003C6CA1">
        <w:t xml:space="preserve">POC </w:t>
      </w:r>
      <w:r w:rsidR="00F06B4D">
        <w:t xml:space="preserve">11" </w:t>
      </w:r>
      <w:r w:rsidR="003C6CA1">
        <w:t>is a fidelity fund certificate issued to Mr Schwanzer as ‘Non-Principal at firm, professional practitioner in real estate’ in respect of a close corporation, Hancock and Pavlou CC</w:t>
      </w:r>
      <w:r w:rsidR="00173DCE">
        <w:t>,</w:t>
      </w:r>
      <w:r w:rsidR="003C6CA1">
        <w:t xml:space="preserve"> by the Estate Agency Affairs Board, valid from 11 January 2021 to 31 December 2021.  Annexure </w:t>
      </w:r>
      <w:r w:rsidR="00F06B4D">
        <w:t>"</w:t>
      </w:r>
      <w:r w:rsidR="003C6CA1">
        <w:t xml:space="preserve">POC </w:t>
      </w:r>
      <w:r w:rsidR="00F06B4D">
        <w:t xml:space="preserve">12" </w:t>
      </w:r>
      <w:r w:rsidR="003C6CA1">
        <w:t xml:space="preserve">is similarly a fidelity fund certificate issued by the Estate Agency Affairs Board to Mr Schwanzer as ‘Non-Principal at firm, professional practitioner in real estate,’ but in respect of the plaintiff, except that it is valid only from 6 September 2021 to 31 December 2021. It does not cover the period when the agreement was negotiated and concluded. The fidelity fund certificate, annexure “POC12”, was not a valid fidelity fund certificate at the time that either the lease agreement was concluded or the benefits of the </w:t>
      </w:r>
      <w:r w:rsidR="003C6CA1" w:rsidRPr="006A0865">
        <w:rPr>
          <w:i/>
        </w:rPr>
        <w:t>stipulatio alteri</w:t>
      </w:r>
      <w:r w:rsidR="003C6CA1">
        <w:t xml:space="preserve"> were accepted by Mr Schwanzer.</w:t>
      </w:r>
    </w:p>
    <w:p w14:paraId="46C50FD7" w14:textId="77777777" w:rsidR="003C6CA1" w:rsidRDefault="003C6CA1" w:rsidP="00FB18EC">
      <w:pPr>
        <w:pStyle w:val="ListParagraph"/>
        <w:spacing w:line="360" w:lineRule="auto"/>
        <w:jc w:val="both"/>
      </w:pPr>
    </w:p>
    <w:p w14:paraId="6E59BDC9" w14:textId="733AD083" w:rsidR="003C6CA1" w:rsidRDefault="008D44BF" w:rsidP="008D44BF">
      <w:pPr>
        <w:spacing w:line="360" w:lineRule="auto"/>
        <w:jc w:val="both"/>
      </w:pPr>
      <w:r>
        <w:rPr>
          <w:szCs w:val="24"/>
        </w:rPr>
        <w:t>[11]</w:t>
      </w:r>
      <w:r>
        <w:rPr>
          <w:szCs w:val="24"/>
        </w:rPr>
        <w:tab/>
      </w:r>
      <w:r w:rsidR="003C6CA1">
        <w:t xml:space="preserve">It was submitted by the plaintiff that the fidelity fund certificate, annexure “POC11” issued in respect of the </w:t>
      </w:r>
      <w:r w:rsidR="005D571E">
        <w:t xml:space="preserve">Close </w:t>
      </w:r>
      <w:r w:rsidR="003C6CA1">
        <w:t>Corporation ‘Hancock and Pavlou CC’, which did cover the period when the agreement was concluded, was a valid fidelity fund certificate which had been issued to Mr Schwanzer, having regard to the objects and purpose of the Act, and that it complied with the provisions of s 34A(2) of the Act</w:t>
      </w:r>
      <w:r w:rsidR="00A75F80">
        <w:t>, accordingly that Mr Schwanzer and the plaintiff were entitled to claim the commission</w:t>
      </w:r>
      <w:r w:rsidR="003C6CA1">
        <w:t xml:space="preserve">. This is disputed by the defendant as a matter of law.  </w:t>
      </w:r>
    </w:p>
    <w:p w14:paraId="4583A50B" w14:textId="77777777" w:rsidR="003C6CA1" w:rsidRDefault="003C6CA1" w:rsidP="00FB18EC">
      <w:pPr>
        <w:pStyle w:val="ListParagraph"/>
        <w:spacing w:line="360" w:lineRule="auto"/>
        <w:jc w:val="both"/>
      </w:pPr>
    </w:p>
    <w:p w14:paraId="7C4703C5" w14:textId="08710789" w:rsidR="00581145" w:rsidRDefault="008D44BF" w:rsidP="008D44BF">
      <w:pPr>
        <w:spacing w:line="360" w:lineRule="auto"/>
        <w:jc w:val="both"/>
      </w:pPr>
      <w:r>
        <w:rPr>
          <w:szCs w:val="24"/>
        </w:rPr>
        <w:t>[12]</w:t>
      </w:r>
      <w:r>
        <w:rPr>
          <w:szCs w:val="24"/>
        </w:rPr>
        <w:tab/>
      </w:r>
      <w:r w:rsidR="003C6CA1">
        <w:t xml:space="preserve">It is the answer to that issue that forms the crux of this judgment. If annexure “POC 11” is not a valid </w:t>
      </w:r>
      <w:r w:rsidR="00AE1089">
        <w:t>fidelity fund certificate</w:t>
      </w:r>
      <w:r w:rsidR="003C6CA1">
        <w:t xml:space="preserve"> as required by law, then Mr Schwanzer and </w:t>
      </w:r>
      <w:r w:rsidR="008A6B69">
        <w:t xml:space="preserve">the plaintiff will not be entitled to the commission claimed. </w:t>
      </w:r>
    </w:p>
    <w:p w14:paraId="168C7633" w14:textId="7EA400F1" w:rsidR="00402DEC" w:rsidRDefault="00402DEC" w:rsidP="00F06B4D">
      <w:pPr>
        <w:pStyle w:val="ListParagraph"/>
        <w:spacing w:line="360" w:lineRule="auto"/>
        <w:ind w:left="0"/>
        <w:jc w:val="both"/>
      </w:pPr>
    </w:p>
    <w:p w14:paraId="020D1EBB" w14:textId="02300D0B" w:rsidR="006A0865" w:rsidRDefault="008D44BF" w:rsidP="008D44BF">
      <w:pPr>
        <w:spacing w:line="360" w:lineRule="auto"/>
        <w:jc w:val="both"/>
      </w:pPr>
      <w:r>
        <w:rPr>
          <w:szCs w:val="24"/>
        </w:rPr>
        <w:t>[13]</w:t>
      </w:r>
      <w:r>
        <w:rPr>
          <w:szCs w:val="24"/>
        </w:rPr>
        <w:tab/>
      </w:r>
      <w:r w:rsidR="006A0865">
        <w:t xml:space="preserve">The Act </w:t>
      </w:r>
      <w:r w:rsidR="003C6CA1">
        <w:t xml:space="preserve">does not require an express provision that </w:t>
      </w:r>
      <w:r w:rsidR="006541A6">
        <w:t>a</w:t>
      </w:r>
      <w:r w:rsidR="006A0865">
        <w:t xml:space="preserve"> fidelity fund certificate required to be held by an employee estate agent needs to refer to the identity of his/her employer </w:t>
      </w:r>
      <w:r w:rsidR="003C6CA1">
        <w:t xml:space="preserve">in order to be </w:t>
      </w:r>
      <w:r w:rsidR="006A0865">
        <w:t>valid.</w:t>
      </w:r>
      <w:r w:rsidR="003C6CA1">
        <w:t xml:space="preserve"> The defendant however argues that having regard to the objects of the Act, its provisions, and the requirements in regulations issued pursuant to the Act, that </w:t>
      </w:r>
      <w:r w:rsidR="00A75F80">
        <w:t xml:space="preserve">this </w:t>
      </w:r>
      <w:r w:rsidR="003C6CA1">
        <w:t xml:space="preserve">is clearly required. </w:t>
      </w:r>
      <w:r w:rsidR="006A0865">
        <w:t xml:space="preserve"> </w:t>
      </w:r>
    </w:p>
    <w:p w14:paraId="4C609153" w14:textId="77777777" w:rsidR="006A0865" w:rsidRDefault="006A0865" w:rsidP="00FB18EC">
      <w:pPr>
        <w:pStyle w:val="ListParagraph"/>
        <w:spacing w:line="360" w:lineRule="auto"/>
        <w:jc w:val="both"/>
      </w:pPr>
    </w:p>
    <w:p w14:paraId="31114C53" w14:textId="0BA63446" w:rsidR="006541A6" w:rsidRDefault="008D44BF" w:rsidP="008D44BF">
      <w:pPr>
        <w:spacing w:line="360" w:lineRule="auto"/>
        <w:jc w:val="both"/>
      </w:pPr>
      <w:r>
        <w:rPr>
          <w:szCs w:val="24"/>
        </w:rPr>
        <w:lastRenderedPageBreak/>
        <w:t>[14]</w:t>
      </w:r>
      <w:r>
        <w:rPr>
          <w:szCs w:val="24"/>
        </w:rPr>
        <w:tab/>
      </w:r>
      <w:r w:rsidR="006A0865">
        <w:t>Applications for and the issue of fidelity fund certificates</w:t>
      </w:r>
      <w:r w:rsidR="008823AE">
        <w:t xml:space="preserve"> </w:t>
      </w:r>
      <w:r w:rsidR="003C6CA1">
        <w:t xml:space="preserve">are </w:t>
      </w:r>
      <w:r w:rsidR="008823AE">
        <w:t xml:space="preserve">regulated in terms of </w:t>
      </w:r>
      <w:r w:rsidR="006541A6">
        <w:t xml:space="preserve">s 16 of the Act and </w:t>
      </w:r>
      <w:r w:rsidR="008823AE">
        <w:t xml:space="preserve">the regulations published pursuant to the provisions of s </w:t>
      </w:r>
      <w:r w:rsidR="00C354D6">
        <w:t xml:space="preserve">33 </w:t>
      </w:r>
      <w:r w:rsidR="008823AE">
        <w:t xml:space="preserve">of the Act. </w:t>
      </w:r>
    </w:p>
    <w:p w14:paraId="76AFF570" w14:textId="77777777" w:rsidR="006541A6" w:rsidRDefault="006541A6" w:rsidP="00FB18EC">
      <w:pPr>
        <w:spacing w:line="360" w:lineRule="auto"/>
        <w:jc w:val="both"/>
      </w:pPr>
    </w:p>
    <w:p w14:paraId="4365A566" w14:textId="572A4502" w:rsidR="006541A6" w:rsidRDefault="008D44BF" w:rsidP="008D44BF">
      <w:pPr>
        <w:spacing w:line="360" w:lineRule="auto"/>
        <w:jc w:val="both"/>
      </w:pPr>
      <w:r>
        <w:rPr>
          <w:szCs w:val="24"/>
        </w:rPr>
        <w:t>[15]</w:t>
      </w:r>
      <w:r>
        <w:rPr>
          <w:szCs w:val="24"/>
        </w:rPr>
        <w:tab/>
      </w:r>
      <w:r w:rsidR="006541A6">
        <w:t>Section 16 of the Act requires that:</w:t>
      </w:r>
    </w:p>
    <w:p w14:paraId="2D8725CE" w14:textId="78CE3A56" w:rsidR="006541A6" w:rsidRPr="006541A6" w:rsidRDefault="006541A6" w:rsidP="00C354D6">
      <w:pPr>
        <w:pStyle w:val="ListParagraph"/>
        <w:spacing w:line="360" w:lineRule="auto"/>
        <w:ind w:left="0"/>
        <w:jc w:val="both"/>
        <w:rPr>
          <w:sz w:val="22"/>
          <w:szCs w:val="22"/>
        </w:rPr>
      </w:pPr>
      <w:r w:rsidRPr="006541A6">
        <w:rPr>
          <w:sz w:val="22"/>
          <w:szCs w:val="22"/>
        </w:rPr>
        <w:t>‘(1)</w:t>
      </w:r>
      <w:r w:rsidRPr="006541A6">
        <w:rPr>
          <w:sz w:val="22"/>
          <w:szCs w:val="22"/>
        </w:rPr>
        <w:tab/>
      </w:r>
      <w:r w:rsidR="00C354D6" w:rsidRPr="00C354D6">
        <w:rPr>
          <w:sz w:val="22"/>
          <w:szCs w:val="22"/>
        </w:rPr>
        <w:t>Every estate</w:t>
      </w:r>
      <w:r w:rsidR="00C354D6">
        <w:rPr>
          <w:sz w:val="22"/>
          <w:szCs w:val="22"/>
        </w:rPr>
        <w:t xml:space="preserve"> </w:t>
      </w:r>
      <w:r w:rsidR="00C354D6" w:rsidRPr="00C354D6">
        <w:rPr>
          <w:sz w:val="22"/>
          <w:szCs w:val="22"/>
        </w:rPr>
        <w:t>agent or prospective estate agent</w:t>
      </w:r>
      <w:r w:rsidRPr="006541A6">
        <w:rPr>
          <w:sz w:val="22"/>
          <w:szCs w:val="22"/>
        </w:rPr>
        <w:t>,</w:t>
      </w:r>
      <w:r w:rsidR="00C354D6">
        <w:rPr>
          <w:sz w:val="22"/>
          <w:szCs w:val="22"/>
        </w:rPr>
        <w:t xml:space="preserve"> </w:t>
      </w:r>
      <w:r w:rsidRPr="006541A6">
        <w:rPr>
          <w:sz w:val="22"/>
          <w:szCs w:val="22"/>
        </w:rPr>
        <w:t xml:space="preserve">. . . </w:t>
      </w:r>
      <w:r w:rsidR="00C354D6" w:rsidRPr="00C354D6">
        <w:rPr>
          <w:sz w:val="22"/>
          <w:szCs w:val="22"/>
        </w:rPr>
        <w:t xml:space="preserve">shall, within the prescribed period and </w:t>
      </w:r>
      <w:r w:rsidR="00C354D6" w:rsidRPr="00C354D6">
        <w:rPr>
          <w:sz w:val="22"/>
          <w:szCs w:val="22"/>
          <w:u w:val="single"/>
        </w:rPr>
        <w:t>in the prescribed manner</w:t>
      </w:r>
      <w:r w:rsidR="00C354D6" w:rsidRPr="00C354D6">
        <w:rPr>
          <w:sz w:val="22"/>
          <w:szCs w:val="22"/>
        </w:rPr>
        <w:t>, apply to the board for</w:t>
      </w:r>
      <w:r w:rsidR="00C354D6">
        <w:rPr>
          <w:sz w:val="22"/>
          <w:szCs w:val="22"/>
        </w:rPr>
        <w:t xml:space="preserve"> </w:t>
      </w:r>
      <w:r w:rsidR="00C354D6" w:rsidRPr="00C354D6">
        <w:rPr>
          <w:sz w:val="22"/>
          <w:szCs w:val="22"/>
        </w:rPr>
        <w:t>a fidelity fund certificate, and such application shall be accompanied by the levies referred to in section 9(1)</w:t>
      </w:r>
      <w:r w:rsidR="00C354D6" w:rsidRPr="00C354D6">
        <w:rPr>
          <w:i/>
          <w:sz w:val="22"/>
          <w:szCs w:val="22"/>
        </w:rPr>
        <w:t>(a)</w:t>
      </w:r>
      <w:r w:rsidR="00C354D6" w:rsidRPr="00C354D6">
        <w:rPr>
          <w:sz w:val="22"/>
          <w:szCs w:val="22"/>
        </w:rPr>
        <w:t xml:space="preserve"> and</w:t>
      </w:r>
      <w:r w:rsidR="00C354D6">
        <w:rPr>
          <w:sz w:val="22"/>
          <w:szCs w:val="22"/>
        </w:rPr>
        <w:t xml:space="preserve"> </w:t>
      </w:r>
      <w:r w:rsidR="00C354D6" w:rsidRPr="00C354D6">
        <w:rPr>
          <w:sz w:val="22"/>
          <w:szCs w:val="22"/>
        </w:rPr>
        <w:t>the contribution referred to in section 15</w:t>
      </w:r>
      <w:r w:rsidRPr="006541A6">
        <w:rPr>
          <w:sz w:val="22"/>
          <w:szCs w:val="22"/>
        </w:rPr>
        <w:t>.</w:t>
      </w:r>
    </w:p>
    <w:p w14:paraId="34C20AF5" w14:textId="50E2090D" w:rsidR="006541A6" w:rsidRPr="006541A6" w:rsidRDefault="006541A6" w:rsidP="00FB18EC">
      <w:pPr>
        <w:pStyle w:val="ListParagraph"/>
        <w:spacing w:line="360" w:lineRule="auto"/>
        <w:ind w:left="0"/>
        <w:jc w:val="both"/>
        <w:rPr>
          <w:sz w:val="22"/>
          <w:szCs w:val="22"/>
        </w:rPr>
      </w:pPr>
      <w:r w:rsidRPr="006541A6">
        <w:rPr>
          <w:sz w:val="22"/>
          <w:szCs w:val="22"/>
        </w:rPr>
        <w:t>(2)</w:t>
      </w:r>
      <w:r w:rsidR="00C354D6">
        <w:rPr>
          <w:sz w:val="22"/>
          <w:szCs w:val="22"/>
        </w:rPr>
        <w:t xml:space="preserve"> . . . </w:t>
      </w:r>
    </w:p>
    <w:p w14:paraId="132B188C" w14:textId="572E9E9D" w:rsidR="006541A6" w:rsidRDefault="006541A6" w:rsidP="00C354D6">
      <w:pPr>
        <w:pStyle w:val="ListParagraph"/>
        <w:spacing w:line="360" w:lineRule="auto"/>
        <w:ind w:left="0"/>
        <w:jc w:val="both"/>
        <w:rPr>
          <w:sz w:val="22"/>
          <w:szCs w:val="22"/>
        </w:rPr>
      </w:pPr>
      <w:r w:rsidRPr="006541A6">
        <w:rPr>
          <w:sz w:val="22"/>
          <w:szCs w:val="22"/>
        </w:rPr>
        <w:t xml:space="preserve">(3) </w:t>
      </w:r>
      <w:r w:rsidR="00C354D6" w:rsidRPr="00C354D6">
        <w:rPr>
          <w:sz w:val="22"/>
          <w:szCs w:val="22"/>
        </w:rPr>
        <w:t>Subject to sections 28 (1), 28 (5) and 30 (6), if the board upon receipt of any application referred to in</w:t>
      </w:r>
      <w:r w:rsidR="00C354D6">
        <w:rPr>
          <w:sz w:val="22"/>
          <w:szCs w:val="22"/>
        </w:rPr>
        <w:t xml:space="preserve"> </w:t>
      </w:r>
      <w:r w:rsidR="00C354D6" w:rsidRPr="00C354D6">
        <w:rPr>
          <w:sz w:val="22"/>
          <w:szCs w:val="22"/>
        </w:rPr>
        <w:t>subsection (1) or (2) and the levies and contribution referred to in those subsections, is satisfied that the applicant</w:t>
      </w:r>
      <w:r w:rsidR="00C354D6">
        <w:rPr>
          <w:sz w:val="22"/>
          <w:szCs w:val="22"/>
        </w:rPr>
        <w:t xml:space="preserve"> </w:t>
      </w:r>
      <w:r w:rsidR="00C354D6" w:rsidRPr="00C354D6">
        <w:rPr>
          <w:sz w:val="22"/>
          <w:szCs w:val="22"/>
        </w:rPr>
        <w:t>concerned is not disqualified in terms of section 27 from being issued with a fidelity fund certificate, the board shall</w:t>
      </w:r>
      <w:r w:rsidR="00C354D6">
        <w:rPr>
          <w:sz w:val="22"/>
          <w:szCs w:val="22"/>
        </w:rPr>
        <w:t xml:space="preserve"> </w:t>
      </w:r>
      <w:r w:rsidR="00C354D6" w:rsidRPr="00C354D6">
        <w:rPr>
          <w:sz w:val="22"/>
          <w:szCs w:val="22"/>
          <w:u w:val="single"/>
        </w:rPr>
        <w:t>in the prescribed form</w:t>
      </w:r>
      <w:r w:rsidR="00C354D6" w:rsidRPr="00C354D6">
        <w:rPr>
          <w:sz w:val="22"/>
          <w:szCs w:val="22"/>
        </w:rPr>
        <w:t xml:space="preserve"> issue to the applicant concerned a fidelity fund certificate or a registration certificate, as the</w:t>
      </w:r>
      <w:r w:rsidR="00C354D6">
        <w:rPr>
          <w:sz w:val="22"/>
          <w:szCs w:val="22"/>
        </w:rPr>
        <w:t xml:space="preserve"> </w:t>
      </w:r>
      <w:r w:rsidR="00C354D6" w:rsidRPr="00C354D6">
        <w:rPr>
          <w:sz w:val="22"/>
          <w:szCs w:val="22"/>
        </w:rPr>
        <w:t>case may be, which shall be valid until 31 December of the year to which such application relates</w:t>
      </w:r>
      <w:r w:rsidRPr="006541A6">
        <w:rPr>
          <w:sz w:val="22"/>
          <w:szCs w:val="22"/>
        </w:rPr>
        <w:t>.’</w:t>
      </w:r>
    </w:p>
    <w:p w14:paraId="5767C7B7" w14:textId="55547D4D" w:rsidR="006541A6" w:rsidRPr="006541A6" w:rsidRDefault="006541A6" w:rsidP="00FB18EC">
      <w:pPr>
        <w:pStyle w:val="ListParagraph"/>
        <w:spacing w:line="360" w:lineRule="auto"/>
        <w:ind w:left="0"/>
        <w:jc w:val="both"/>
        <w:rPr>
          <w:szCs w:val="24"/>
        </w:rPr>
      </w:pPr>
    </w:p>
    <w:p w14:paraId="29CE9DB1" w14:textId="70D2C918" w:rsidR="006541A6" w:rsidRDefault="008D44BF" w:rsidP="008D44BF">
      <w:pPr>
        <w:spacing w:line="360" w:lineRule="auto"/>
        <w:jc w:val="both"/>
      </w:pPr>
      <w:r>
        <w:rPr>
          <w:szCs w:val="24"/>
        </w:rPr>
        <w:t>[16]</w:t>
      </w:r>
      <w:r>
        <w:rPr>
          <w:szCs w:val="24"/>
        </w:rPr>
        <w:tab/>
      </w:r>
      <w:r w:rsidR="008823AE">
        <w:t>The current regulations</w:t>
      </w:r>
      <w:r w:rsidR="006541A6">
        <w:rPr>
          <w:rStyle w:val="FootnoteReference"/>
        </w:rPr>
        <w:footnoteReference w:id="2"/>
      </w:r>
      <w:r w:rsidR="008823AE">
        <w:t xml:space="preserve"> do not prescribe a set form which the fidelity fund certificate has to follow, or what it has to contain. Some assistance can however be obtained fro</w:t>
      </w:r>
      <w:r w:rsidR="006541A6">
        <w:t>m regulations which</w:t>
      </w:r>
      <w:r w:rsidR="008823AE">
        <w:t xml:space="preserve"> preceded the current regulations, which although repealed by subsequent regulations, in part contain</w:t>
      </w:r>
      <w:r w:rsidR="006541A6">
        <w:t>ed</w:t>
      </w:r>
      <w:r w:rsidR="008823AE">
        <w:t xml:space="preserve"> similar</w:t>
      </w:r>
      <w:r w:rsidR="006541A6">
        <w:t xml:space="preserve">, if not identical </w:t>
      </w:r>
      <w:r w:rsidR="008823AE">
        <w:t>provisions to those which applied</w:t>
      </w:r>
      <w:r w:rsidR="006541A6">
        <w:t xml:space="preserve"> when a standard form was specifically </w:t>
      </w:r>
      <w:r w:rsidR="008823AE">
        <w:t>prescribed for fidelity fund certificates.</w:t>
      </w:r>
    </w:p>
    <w:p w14:paraId="768454C2" w14:textId="77777777" w:rsidR="006541A6" w:rsidRDefault="006541A6" w:rsidP="00FB18EC">
      <w:pPr>
        <w:pStyle w:val="ListParagraph"/>
        <w:spacing w:line="360" w:lineRule="auto"/>
        <w:jc w:val="both"/>
      </w:pPr>
    </w:p>
    <w:p w14:paraId="7D13D0F1" w14:textId="2C37B977" w:rsidR="008823AE" w:rsidRDefault="008D44BF" w:rsidP="008D44BF">
      <w:pPr>
        <w:spacing w:line="360" w:lineRule="auto"/>
        <w:jc w:val="both"/>
      </w:pPr>
      <w:r>
        <w:rPr>
          <w:szCs w:val="24"/>
        </w:rPr>
        <w:t>[17]</w:t>
      </w:r>
      <w:r>
        <w:rPr>
          <w:szCs w:val="24"/>
        </w:rPr>
        <w:tab/>
      </w:r>
      <w:r w:rsidR="00A75F80">
        <w:t xml:space="preserve">Annexure ‘A’ to the regulations in </w:t>
      </w:r>
      <w:r w:rsidR="008823AE">
        <w:t>Government Notice R1798 of 1986</w:t>
      </w:r>
      <w:r w:rsidR="00A75F80">
        <w:t>,</w:t>
      </w:r>
      <w:r w:rsidR="008823AE">
        <w:t xml:space="preserve"> published in </w:t>
      </w:r>
      <w:r w:rsidR="008823AE" w:rsidRPr="00F6407F">
        <w:rPr>
          <w:i/>
        </w:rPr>
        <w:t>Government Gazette</w:t>
      </w:r>
      <w:r w:rsidR="008823AE">
        <w:t xml:space="preserve"> 10403 of 29 August 1986</w:t>
      </w:r>
      <w:r w:rsidR="00A75F80">
        <w:t>,</w:t>
      </w:r>
      <w:r w:rsidR="008823AE">
        <w:t xml:space="preserve"> prescribed the form which a fidelity fund certificate had to follow. Apart from the full names of the agent having to be re</w:t>
      </w:r>
      <w:r w:rsidR="00473023">
        <w:t>flected</w:t>
      </w:r>
      <w:r w:rsidR="005D1F03">
        <w:t>, the form provided for the ‘Name of firm/company/close c</w:t>
      </w:r>
      <w:r w:rsidR="008823AE">
        <w:t>orporation’ and an address to be specified. Regulations 10 and 12 t</w:t>
      </w:r>
      <w:r w:rsidR="00473023">
        <w:t>hereof provided as follows:</w:t>
      </w:r>
    </w:p>
    <w:p w14:paraId="0220C213" w14:textId="262B16CC" w:rsidR="00473023" w:rsidRDefault="007A56C9" w:rsidP="007A56C9">
      <w:pPr>
        <w:spacing w:line="360" w:lineRule="auto"/>
        <w:jc w:val="both"/>
        <w:rPr>
          <w:sz w:val="22"/>
          <w:szCs w:val="22"/>
        </w:rPr>
      </w:pPr>
      <w:r>
        <w:rPr>
          <w:sz w:val="22"/>
          <w:szCs w:val="22"/>
        </w:rPr>
        <w:t>'</w:t>
      </w:r>
      <w:r w:rsidRPr="007A56C9">
        <w:rPr>
          <w:sz w:val="22"/>
          <w:szCs w:val="22"/>
        </w:rPr>
        <w:t>10</w:t>
      </w:r>
      <w:r>
        <w:rPr>
          <w:sz w:val="22"/>
          <w:szCs w:val="22"/>
        </w:rPr>
        <w:t xml:space="preserve"> </w:t>
      </w:r>
      <w:r w:rsidRPr="007A56C9">
        <w:rPr>
          <w:sz w:val="22"/>
          <w:szCs w:val="22"/>
        </w:rPr>
        <w:t>The holder of a fidelity fund certificate or a registration certificate shall inform the board</w:t>
      </w:r>
      <w:r>
        <w:rPr>
          <w:sz w:val="22"/>
          <w:szCs w:val="22"/>
        </w:rPr>
        <w:t xml:space="preserve"> </w:t>
      </w:r>
      <w:r w:rsidRPr="007A56C9">
        <w:rPr>
          <w:sz w:val="22"/>
          <w:szCs w:val="22"/>
        </w:rPr>
        <w:t>within 14 days of any change in the information supplied to the board at the time of applying for the</w:t>
      </w:r>
      <w:r>
        <w:rPr>
          <w:sz w:val="22"/>
          <w:szCs w:val="22"/>
        </w:rPr>
        <w:t xml:space="preserve"> </w:t>
      </w:r>
      <w:r w:rsidRPr="007A56C9">
        <w:rPr>
          <w:sz w:val="22"/>
          <w:szCs w:val="22"/>
        </w:rPr>
        <w:t>issue to him of such certificate and, if the information appearing on the certificate is no longer</w:t>
      </w:r>
      <w:r>
        <w:rPr>
          <w:sz w:val="22"/>
          <w:szCs w:val="22"/>
        </w:rPr>
        <w:t xml:space="preserve"> </w:t>
      </w:r>
      <w:r w:rsidRPr="007A56C9">
        <w:rPr>
          <w:sz w:val="22"/>
          <w:szCs w:val="22"/>
        </w:rPr>
        <w:t xml:space="preserve">applicable </w:t>
      </w:r>
      <w:r w:rsidRPr="007A56C9">
        <w:rPr>
          <w:sz w:val="22"/>
          <w:szCs w:val="22"/>
        </w:rPr>
        <w:lastRenderedPageBreak/>
        <w:t>or has changed, such certificate shall forthwith be for warded to the board for appropriate</w:t>
      </w:r>
      <w:r>
        <w:rPr>
          <w:sz w:val="22"/>
          <w:szCs w:val="22"/>
        </w:rPr>
        <w:t xml:space="preserve"> </w:t>
      </w:r>
      <w:r w:rsidRPr="007A56C9">
        <w:rPr>
          <w:sz w:val="22"/>
          <w:szCs w:val="22"/>
        </w:rPr>
        <w:t>amendment thereof or for the issue of a new certificate in substitution therefor</w:t>
      </w:r>
      <w:r w:rsidR="009B63BE" w:rsidRPr="009B63BE">
        <w:rPr>
          <w:sz w:val="22"/>
          <w:szCs w:val="22"/>
        </w:rPr>
        <w:t>.’</w:t>
      </w:r>
    </w:p>
    <w:p w14:paraId="404D54FA" w14:textId="320A4721" w:rsidR="009B63BE" w:rsidRPr="009B63BE" w:rsidRDefault="009B63BE" w:rsidP="00FB18EC">
      <w:pPr>
        <w:spacing w:line="360" w:lineRule="auto"/>
        <w:jc w:val="both"/>
        <w:rPr>
          <w:szCs w:val="24"/>
        </w:rPr>
      </w:pPr>
      <w:r>
        <w:rPr>
          <w:szCs w:val="24"/>
        </w:rPr>
        <w:t>and</w:t>
      </w:r>
    </w:p>
    <w:p w14:paraId="4320FD86" w14:textId="2FE5B7D9" w:rsidR="007A56C9" w:rsidRPr="007A56C9" w:rsidRDefault="009B63BE" w:rsidP="007A56C9">
      <w:pPr>
        <w:spacing w:line="360" w:lineRule="auto"/>
        <w:jc w:val="both"/>
        <w:rPr>
          <w:sz w:val="22"/>
          <w:szCs w:val="22"/>
        </w:rPr>
      </w:pPr>
      <w:r>
        <w:t>‘</w:t>
      </w:r>
      <w:r w:rsidR="007A56C9" w:rsidRPr="007A56C9">
        <w:rPr>
          <w:sz w:val="22"/>
          <w:szCs w:val="22"/>
        </w:rPr>
        <w:t>12(1) If a fidelity fund certificate was issued to an independent contractor or any person referred</w:t>
      </w:r>
      <w:r w:rsidR="007A56C9">
        <w:rPr>
          <w:sz w:val="22"/>
          <w:szCs w:val="22"/>
        </w:rPr>
        <w:t xml:space="preserve"> </w:t>
      </w:r>
      <w:r w:rsidR="007A56C9" w:rsidRPr="007A56C9">
        <w:rPr>
          <w:sz w:val="22"/>
          <w:szCs w:val="22"/>
        </w:rPr>
        <w:t>to in paragraph</w:t>
      </w:r>
      <w:r w:rsidR="007A56C9">
        <w:rPr>
          <w:sz w:val="22"/>
          <w:szCs w:val="22"/>
        </w:rPr>
        <w:t xml:space="preserve"> </w:t>
      </w:r>
      <w:r w:rsidR="007A56C9" w:rsidRPr="007A56C9">
        <w:rPr>
          <w:i/>
          <w:sz w:val="22"/>
          <w:szCs w:val="22"/>
        </w:rPr>
        <w:t>(c)</w:t>
      </w:r>
      <w:r w:rsidR="007A56C9" w:rsidRPr="007A56C9">
        <w:rPr>
          <w:sz w:val="22"/>
          <w:szCs w:val="22"/>
        </w:rPr>
        <w:t xml:space="preserve">(ii) of the definition of </w:t>
      </w:r>
      <w:r w:rsidR="007A56C9">
        <w:rPr>
          <w:sz w:val="22"/>
          <w:szCs w:val="22"/>
        </w:rPr>
        <w:t>"</w:t>
      </w:r>
      <w:r w:rsidR="007A56C9" w:rsidRPr="007A56C9">
        <w:rPr>
          <w:sz w:val="22"/>
          <w:szCs w:val="22"/>
        </w:rPr>
        <w:t>estate agent</w:t>
      </w:r>
      <w:r w:rsidR="007A56C9">
        <w:rPr>
          <w:sz w:val="22"/>
          <w:szCs w:val="22"/>
        </w:rPr>
        <w:t>"</w:t>
      </w:r>
      <w:r w:rsidR="007A56C9" w:rsidRPr="007A56C9">
        <w:rPr>
          <w:sz w:val="22"/>
          <w:szCs w:val="22"/>
        </w:rPr>
        <w:t xml:space="preserve"> in section 1 of this Act, and such person</w:t>
      </w:r>
      <w:r w:rsidR="007A56C9">
        <w:rPr>
          <w:sz w:val="22"/>
          <w:szCs w:val="22"/>
        </w:rPr>
        <w:t xml:space="preserve"> </w:t>
      </w:r>
      <w:r w:rsidR="007A56C9" w:rsidRPr="007A56C9">
        <w:rPr>
          <w:sz w:val="22"/>
          <w:szCs w:val="22"/>
        </w:rPr>
        <w:t>ceases to be employed by or associated with the employer mentioned in such certificate that</w:t>
      </w:r>
      <w:r w:rsidR="007A56C9">
        <w:rPr>
          <w:sz w:val="22"/>
          <w:szCs w:val="22"/>
        </w:rPr>
        <w:t xml:space="preserve"> </w:t>
      </w:r>
      <w:r w:rsidR="007A56C9" w:rsidRPr="007A56C9">
        <w:rPr>
          <w:sz w:val="22"/>
          <w:szCs w:val="22"/>
        </w:rPr>
        <w:t>employer shall, within 14 days of such person ceasing to be in his employ, or to be thus associated,</w:t>
      </w:r>
      <w:r w:rsidR="007A56C9">
        <w:rPr>
          <w:sz w:val="22"/>
          <w:szCs w:val="22"/>
        </w:rPr>
        <w:t xml:space="preserve"> </w:t>
      </w:r>
      <w:r w:rsidR="007A56C9" w:rsidRPr="007A56C9">
        <w:rPr>
          <w:sz w:val="22"/>
          <w:szCs w:val="22"/>
        </w:rPr>
        <w:t>return such certificate to the board together with a letter informing the board of such fact and, if</w:t>
      </w:r>
      <w:r w:rsidR="007A56C9">
        <w:rPr>
          <w:sz w:val="22"/>
          <w:szCs w:val="22"/>
        </w:rPr>
        <w:t xml:space="preserve"> </w:t>
      </w:r>
      <w:r w:rsidR="007A56C9" w:rsidRPr="007A56C9">
        <w:rPr>
          <w:sz w:val="22"/>
          <w:szCs w:val="22"/>
        </w:rPr>
        <w:t>such information is available, stating with whom that person is taking up employment or becoming</w:t>
      </w:r>
      <w:r w:rsidR="007A56C9">
        <w:rPr>
          <w:sz w:val="22"/>
          <w:szCs w:val="22"/>
        </w:rPr>
        <w:t xml:space="preserve"> </w:t>
      </w:r>
      <w:r w:rsidR="007A56C9" w:rsidRPr="007A56C9">
        <w:rPr>
          <w:sz w:val="22"/>
          <w:szCs w:val="22"/>
        </w:rPr>
        <w:t>associated.</w:t>
      </w:r>
    </w:p>
    <w:p w14:paraId="34721FE9" w14:textId="0109965E" w:rsidR="007A56C9" w:rsidRPr="007A56C9" w:rsidRDefault="007A56C9" w:rsidP="007A56C9">
      <w:pPr>
        <w:spacing w:line="360" w:lineRule="auto"/>
        <w:jc w:val="both"/>
        <w:rPr>
          <w:sz w:val="22"/>
          <w:szCs w:val="22"/>
        </w:rPr>
      </w:pPr>
      <w:r w:rsidRPr="007A56C9">
        <w:rPr>
          <w:sz w:val="22"/>
          <w:szCs w:val="22"/>
        </w:rPr>
        <w:t>(2) The provisions of subregulation (1) shall</w:t>
      </w:r>
      <w:r>
        <w:rPr>
          <w:sz w:val="22"/>
          <w:szCs w:val="22"/>
        </w:rPr>
        <w:t xml:space="preserve"> </w:t>
      </w:r>
      <w:r w:rsidRPr="007A56C9">
        <w:rPr>
          <w:i/>
          <w:sz w:val="22"/>
          <w:szCs w:val="22"/>
        </w:rPr>
        <w:t>mutatis mutandis</w:t>
      </w:r>
      <w:r>
        <w:rPr>
          <w:sz w:val="22"/>
          <w:szCs w:val="22"/>
        </w:rPr>
        <w:t xml:space="preserve"> </w:t>
      </w:r>
      <w:r w:rsidRPr="007A56C9">
        <w:rPr>
          <w:sz w:val="22"/>
          <w:szCs w:val="22"/>
        </w:rPr>
        <w:t>apply to a registration certificate</w:t>
      </w:r>
      <w:r w:rsidR="00AC22A3">
        <w:rPr>
          <w:sz w:val="22"/>
          <w:szCs w:val="22"/>
        </w:rPr>
        <w:t xml:space="preserve"> </w:t>
      </w:r>
      <w:r w:rsidRPr="007A56C9">
        <w:rPr>
          <w:sz w:val="22"/>
          <w:szCs w:val="22"/>
        </w:rPr>
        <w:t>issued to any person referred to in paragraph</w:t>
      </w:r>
      <w:r>
        <w:rPr>
          <w:sz w:val="22"/>
          <w:szCs w:val="22"/>
        </w:rPr>
        <w:t xml:space="preserve"> </w:t>
      </w:r>
      <w:r w:rsidRPr="007A56C9">
        <w:rPr>
          <w:i/>
          <w:sz w:val="22"/>
          <w:szCs w:val="22"/>
        </w:rPr>
        <w:t>(cA)</w:t>
      </w:r>
      <w:r>
        <w:rPr>
          <w:sz w:val="22"/>
          <w:szCs w:val="22"/>
        </w:rPr>
        <w:t xml:space="preserve"> </w:t>
      </w:r>
      <w:r w:rsidRPr="007A56C9">
        <w:rPr>
          <w:sz w:val="22"/>
          <w:szCs w:val="22"/>
        </w:rPr>
        <w:t xml:space="preserve">of the definition of </w:t>
      </w:r>
      <w:r>
        <w:rPr>
          <w:sz w:val="22"/>
          <w:szCs w:val="22"/>
        </w:rPr>
        <w:t>"</w:t>
      </w:r>
      <w:r w:rsidRPr="007A56C9">
        <w:rPr>
          <w:sz w:val="22"/>
          <w:szCs w:val="22"/>
        </w:rPr>
        <w:t>estate agent</w:t>
      </w:r>
      <w:r>
        <w:rPr>
          <w:sz w:val="22"/>
          <w:szCs w:val="22"/>
        </w:rPr>
        <w:t>"</w:t>
      </w:r>
      <w:r w:rsidRPr="007A56C9">
        <w:rPr>
          <w:sz w:val="22"/>
          <w:szCs w:val="22"/>
        </w:rPr>
        <w:t xml:space="preserve"> in section 1 of</w:t>
      </w:r>
      <w:r>
        <w:rPr>
          <w:sz w:val="22"/>
          <w:szCs w:val="22"/>
        </w:rPr>
        <w:t xml:space="preserve"> </w:t>
      </w:r>
      <w:r w:rsidRPr="007A56C9">
        <w:rPr>
          <w:sz w:val="22"/>
          <w:szCs w:val="22"/>
        </w:rPr>
        <w:t>this Act.</w:t>
      </w:r>
    </w:p>
    <w:p w14:paraId="03D409ED" w14:textId="0B1D78B6" w:rsidR="009B63BE" w:rsidRPr="009B63BE" w:rsidRDefault="007A56C9" w:rsidP="007A56C9">
      <w:pPr>
        <w:spacing w:line="360" w:lineRule="auto"/>
        <w:jc w:val="both"/>
        <w:rPr>
          <w:sz w:val="22"/>
          <w:szCs w:val="22"/>
        </w:rPr>
      </w:pPr>
      <w:r w:rsidRPr="007A56C9">
        <w:rPr>
          <w:sz w:val="22"/>
          <w:szCs w:val="22"/>
        </w:rPr>
        <w:t>(3) If the employer concerned is unable for any reason to return the certificate as required by</w:t>
      </w:r>
      <w:r>
        <w:rPr>
          <w:sz w:val="22"/>
          <w:szCs w:val="22"/>
        </w:rPr>
        <w:t xml:space="preserve"> </w:t>
      </w:r>
      <w:r w:rsidRPr="007A56C9">
        <w:rPr>
          <w:sz w:val="22"/>
          <w:szCs w:val="22"/>
        </w:rPr>
        <w:t>subregulation (1) or (2), as the case may be, the employer shall within 14 days of the termination of</w:t>
      </w:r>
      <w:r>
        <w:rPr>
          <w:sz w:val="22"/>
          <w:szCs w:val="22"/>
        </w:rPr>
        <w:t xml:space="preserve"> </w:t>
      </w:r>
      <w:r w:rsidRPr="007A56C9">
        <w:rPr>
          <w:sz w:val="22"/>
          <w:szCs w:val="22"/>
        </w:rPr>
        <w:t>employment or ceasing to be associated, inform the board of that fact, stating the reasons why it is</w:t>
      </w:r>
      <w:r>
        <w:rPr>
          <w:sz w:val="22"/>
          <w:szCs w:val="22"/>
        </w:rPr>
        <w:t xml:space="preserve"> </w:t>
      </w:r>
      <w:r w:rsidRPr="007A56C9">
        <w:rPr>
          <w:sz w:val="22"/>
          <w:szCs w:val="22"/>
        </w:rPr>
        <w:t>unable to return such certificate as well as furnishing all available information concerning the</w:t>
      </w:r>
      <w:r>
        <w:rPr>
          <w:sz w:val="22"/>
          <w:szCs w:val="22"/>
        </w:rPr>
        <w:t xml:space="preserve"> </w:t>
      </w:r>
      <w:r w:rsidRPr="007A56C9">
        <w:rPr>
          <w:sz w:val="22"/>
          <w:szCs w:val="22"/>
        </w:rPr>
        <w:t>whereabouts of such employee or independent contractor</w:t>
      </w:r>
      <w:r w:rsidR="009B63BE" w:rsidRPr="009B63BE">
        <w:rPr>
          <w:sz w:val="22"/>
          <w:szCs w:val="22"/>
        </w:rPr>
        <w:t>.’</w:t>
      </w:r>
    </w:p>
    <w:p w14:paraId="4B5977B1" w14:textId="77777777" w:rsidR="008823AE" w:rsidRDefault="008823AE" w:rsidP="00FB18EC">
      <w:pPr>
        <w:pStyle w:val="ListParagraph"/>
        <w:spacing w:line="360" w:lineRule="auto"/>
        <w:jc w:val="both"/>
      </w:pPr>
    </w:p>
    <w:p w14:paraId="1A0A1C3D" w14:textId="6295E9D0" w:rsidR="0085000F" w:rsidRDefault="008D44BF" w:rsidP="008D44BF">
      <w:pPr>
        <w:spacing w:line="360" w:lineRule="auto"/>
        <w:jc w:val="both"/>
      </w:pPr>
      <w:r>
        <w:rPr>
          <w:szCs w:val="24"/>
        </w:rPr>
        <w:t>[18]</w:t>
      </w:r>
      <w:r>
        <w:rPr>
          <w:szCs w:val="24"/>
        </w:rPr>
        <w:tab/>
      </w:r>
      <w:r w:rsidR="008823AE">
        <w:t>The r</w:t>
      </w:r>
      <w:r w:rsidR="003C6CA1">
        <w:t>egulations published in Government N</w:t>
      </w:r>
      <w:r w:rsidR="008823AE">
        <w:t xml:space="preserve">otice R1798 </w:t>
      </w:r>
      <w:r w:rsidR="009B63BE">
        <w:t>were withdr</w:t>
      </w:r>
      <w:r w:rsidR="00017757">
        <w:t>awn b</w:t>
      </w:r>
      <w:r w:rsidR="003C6CA1">
        <w:t>y Government N</w:t>
      </w:r>
      <w:r w:rsidR="008823AE">
        <w:t xml:space="preserve">otice 373 of 2006 published in </w:t>
      </w:r>
      <w:r w:rsidR="008823AE" w:rsidRPr="00AC22A3">
        <w:rPr>
          <w:i/>
        </w:rPr>
        <w:t>Government Ga</w:t>
      </w:r>
      <w:r w:rsidR="00017757" w:rsidRPr="00AC22A3">
        <w:rPr>
          <w:i/>
        </w:rPr>
        <w:t>zette</w:t>
      </w:r>
      <w:r w:rsidR="00017757">
        <w:t xml:space="preserve"> 28588 of 2 March 2006. The</w:t>
      </w:r>
      <w:r w:rsidR="008823AE">
        <w:t xml:space="preserve">se regulations did not </w:t>
      </w:r>
      <w:r w:rsidR="00017757">
        <w:t xml:space="preserve">prescribe a form, </w:t>
      </w:r>
      <w:r w:rsidR="008823AE">
        <w:t xml:space="preserve">and did not specifically require </w:t>
      </w:r>
      <w:r w:rsidR="00CD7BE2">
        <w:t xml:space="preserve">in express terms </w:t>
      </w:r>
      <w:r w:rsidR="008823AE">
        <w:t>that a fidelity fund certificate had to be issued to an estate agent employed by a compan</w:t>
      </w:r>
      <w:r w:rsidR="001F1278">
        <w:t>y with specific reference to that</w:t>
      </w:r>
      <w:r w:rsidR="008823AE">
        <w:t xml:space="preserve"> company only.</w:t>
      </w:r>
      <w:r w:rsidR="00CD7BE2">
        <w:t xml:space="preserve"> It h</w:t>
      </w:r>
      <w:r w:rsidR="008823AE">
        <w:t xml:space="preserve">owever contained regulations 10 and 12 in </w:t>
      </w:r>
      <w:r w:rsidR="00CD7BE2">
        <w:t xml:space="preserve">terms essentially </w:t>
      </w:r>
      <w:r w:rsidR="008823AE">
        <w:t>similar to that in</w:t>
      </w:r>
      <w:r w:rsidR="001F1278">
        <w:t xml:space="preserve"> Government N</w:t>
      </w:r>
      <w:r w:rsidR="0085000F">
        <w:t>otice R1798.</w:t>
      </w:r>
    </w:p>
    <w:p w14:paraId="10DF6851" w14:textId="77777777" w:rsidR="00F06B4D" w:rsidRDefault="00F06B4D" w:rsidP="00F06B4D">
      <w:pPr>
        <w:spacing w:line="360" w:lineRule="auto"/>
        <w:jc w:val="both"/>
      </w:pPr>
    </w:p>
    <w:p w14:paraId="3BFD3D5F" w14:textId="2298FFB1" w:rsidR="0085000F" w:rsidRDefault="008D44BF" w:rsidP="008D44BF">
      <w:pPr>
        <w:spacing w:line="360" w:lineRule="auto"/>
        <w:jc w:val="both"/>
      </w:pPr>
      <w:r>
        <w:rPr>
          <w:szCs w:val="24"/>
        </w:rPr>
        <w:t>[19]</w:t>
      </w:r>
      <w:r>
        <w:rPr>
          <w:szCs w:val="24"/>
        </w:rPr>
        <w:tab/>
      </w:r>
      <w:r w:rsidR="0085000F">
        <w:t>The current relevant regulations governing the issuing of fidelity fund and registration certific</w:t>
      </w:r>
      <w:r w:rsidR="001F1278">
        <w:t>ates promulgated in Government N</w:t>
      </w:r>
      <w:r w:rsidR="0085000F">
        <w:t xml:space="preserve">otice R2a published in </w:t>
      </w:r>
      <w:r w:rsidR="0085000F" w:rsidRPr="00F6407F">
        <w:rPr>
          <w:i/>
        </w:rPr>
        <w:t>Government Gazette</w:t>
      </w:r>
      <w:r w:rsidR="0085000F">
        <w:t xml:space="preserve"> 39743 of 26 Fe</w:t>
      </w:r>
      <w:r w:rsidR="00CD7BE2">
        <w:t>bruary 2016, do not expressly</w:t>
      </w:r>
      <w:r w:rsidR="0085000F">
        <w:t xml:space="preserve"> require </w:t>
      </w:r>
      <w:r w:rsidR="00CD7BE2">
        <w:t xml:space="preserve">that </w:t>
      </w:r>
      <w:r w:rsidR="0085000F">
        <w:t xml:space="preserve">the fidelity fund certificate must be issued to </w:t>
      </w:r>
      <w:r w:rsidR="009E50A5">
        <w:t xml:space="preserve">an </w:t>
      </w:r>
      <w:r w:rsidR="0085000F">
        <w:t xml:space="preserve">estate agent specifically in regard to </w:t>
      </w:r>
      <w:r w:rsidR="009E50A5">
        <w:t xml:space="preserve">a </w:t>
      </w:r>
      <w:r w:rsidR="0085000F">
        <w:t>particular firm. No</w:t>
      </w:r>
      <w:r w:rsidR="00CD7BE2">
        <w:t>r is a set form</w:t>
      </w:r>
      <w:r w:rsidR="0085000F">
        <w:t xml:space="preserve"> prescribed in the regulations as to what a fidelity fund certificate should </w:t>
      </w:r>
      <w:r w:rsidR="0085000F">
        <w:lastRenderedPageBreak/>
        <w:t>contain.</w:t>
      </w:r>
      <w:r w:rsidR="00CD7BE2">
        <w:t xml:space="preserve"> The regulations however contain provision</w:t>
      </w:r>
      <w:r w:rsidR="00285107">
        <w:t>s</w:t>
      </w:r>
      <w:r w:rsidR="00CD7BE2">
        <w:t xml:space="preserve"> in regulation</w:t>
      </w:r>
      <w:r w:rsidR="00285107">
        <w:t>s</w:t>
      </w:r>
      <w:r w:rsidR="00CD7BE2">
        <w:t xml:space="preserve"> 9 </w:t>
      </w:r>
      <w:r w:rsidR="00285107">
        <w:t xml:space="preserve">and </w:t>
      </w:r>
      <w:r w:rsidR="00106341">
        <w:t xml:space="preserve">11(2) </w:t>
      </w:r>
      <w:r w:rsidR="00005F63">
        <w:t xml:space="preserve">that are </w:t>
      </w:r>
      <w:r w:rsidR="00285107">
        <w:t>similar to regulation</w:t>
      </w:r>
      <w:r w:rsidR="00005F63">
        <w:t>s</w:t>
      </w:r>
      <w:r w:rsidR="00285107">
        <w:t xml:space="preserve"> 10</w:t>
      </w:r>
      <w:r w:rsidR="00CD7BE2">
        <w:t xml:space="preserve"> </w:t>
      </w:r>
      <w:r w:rsidR="00285107">
        <w:t>and 12</w:t>
      </w:r>
      <w:r w:rsidR="00106341">
        <w:t>(3)</w:t>
      </w:r>
      <w:r w:rsidR="00285107">
        <w:t xml:space="preserve"> </w:t>
      </w:r>
      <w:r w:rsidR="00CD7BE2">
        <w:t>of th</w:t>
      </w:r>
      <w:r w:rsidR="00285107">
        <w:t>e prior regulations</w:t>
      </w:r>
      <w:r w:rsidR="001F1278">
        <w:t xml:space="preserve">. </w:t>
      </w:r>
      <w:r w:rsidR="00005F63">
        <w:t xml:space="preserve">Regulations 9 and 11(2) </w:t>
      </w:r>
      <w:r w:rsidR="001F1278">
        <w:t>read</w:t>
      </w:r>
      <w:r w:rsidR="00CD7BE2">
        <w:t>:</w:t>
      </w:r>
    </w:p>
    <w:p w14:paraId="576B38D6" w14:textId="227346A6" w:rsidR="00CD7BE2" w:rsidRPr="00285107" w:rsidRDefault="00CD7BE2" w:rsidP="009E50A5">
      <w:pPr>
        <w:spacing w:line="360" w:lineRule="auto"/>
        <w:jc w:val="both"/>
        <w:rPr>
          <w:sz w:val="22"/>
          <w:szCs w:val="22"/>
        </w:rPr>
      </w:pPr>
      <w:r w:rsidRPr="00285107">
        <w:rPr>
          <w:sz w:val="22"/>
          <w:szCs w:val="22"/>
        </w:rPr>
        <w:t xml:space="preserve">‘9. </w:t>
      </w:r>
      <w:r w:rsidR="009E50A5" w:rsidRPr="009E50A5">
        <w:rPr>
          <w:sz w:val="22"/>
          <w:szCs w:val="22"/>
        </w:rPr>
        <w:t>The holder of a fidelity fund certificate or a registration certificate, as the</w:t>
      </w:r>
      <w:r w:rsidR="009E50A5">
        <w:rPr>
          <w:sz w:val="22"/>
          <w:szCs w:val="22"/>
        </w:rPr>
        <w:t xml:space="preserve"> </w:t>
      </w:r>
      <w:r w:rsidR="009E50A5" w:rsidRPr="009E50A5">
        <w:rPr>
          <w:sz w:val="22"/>
          <w:szCs w:val="22"/>
        </w:rPr>
        <w:t>case may be, shall inform the Board within fourteen (14) days of any</w:t>
      </w:r>
      <w:r w:rsidR="009E50A5">
        <w:rPr>
          <w:sz w:val="22"/>
          <w:szCs w:val="22"/>
        </w:rPr>
        <w:t xml:space="preserve"> </w:t>
      </w:r>
      <w:r w:rsidR="009E50A5" w:rsidRPr="009E50A5">
        <w:rPr>
          <w:sz w:val="22"/>
          <w:szCs w:val="22"/>
        </w:rPr>
        <w:t>change in the information supplied to the Board at the time of applying for</w:t>
      </w:r>
      <w:r w:rsidR="009E50A5">
        <w:rPr>
          <w:sz w:val="22"/>
          <w:szCs w:val="22"/>
        </w:rPr>
        <w:t xml:space="preserve"> </w:t>
      </w:r>
      <w:r w:rsidR="009E50A5" w:rsidRPr="009E50A5">
        <w:rPr>
          <w:sz w:val="22"/>
          <w:szCs w:val="22"/>
        </w:rPr>
        <w:t>the issue to him/her of such certificate and, if the information appearing on</w:t>
      </w:r>
      <w:r w:rsidR="009E50A5">
        <w:rPr>
          <w:sz w:val="22"/>
          <w:szCs w:val="22"/>
        </w:rPr>
        <w:t xml:space="preserve"> </w:t>
      </w:r>
      <w:r w:rsidR="009E50A5" w:rsidRPr="009E50A5">
        <w:rPr>
          <w:sz w:val="22"/>
          <w:szCs w:val="22"/>
        </w:rPr>
        <w:t>the certificate is no longer applicable or has changed, such certificate shall</w:t>
      </w:r>
      <w:r w:rsidR="009E50A5">
        <w:rPr>
          <w:sz w:val="22"/>
          <w:szCs w:val="22"/>
        </w:rPr>
        <w:t xml:space="preserve"> </w:t>
      </w:r>
      <w:r w:rsidR="009E50A5" w:rsidRPr="009E50A5">
        <w:rPr>
          <w:sz w:val="22"/>
          <w:szCs w:val="22"/>
        </w:rPr>
        <w:t>forthwith be forwarded to the Board for the appropriate amendment</w:t>
      </w:r>
      <w:r w:rsidR="009E50A5">
        <w:rPr>
          <w:sz w:val="22"/>
          <w:szCs w:val="22"/>
        </w:rPr>
        <w:t xml:space="preserve"> </w:t>
      </w:r>
      <w:r w:rsidR="009E50A5" w:rsidRPr="009E50A5">
        <w:rPr>
          <w:sz w:val="22"/>
          <w:szCs w:val="22"/>
        </w:rPr>
        <w:t>thereof or for the issue of a new certificate in substitution therefor</w:t>
      </w:r>
      <w:r w:rsidR="00285107" w:rsidRPr="00285107">
        <w:rPr>
          <w:sz w:val="22"/>
          <w:szCs w:val="22"/>
        </w:rPr>
        <w:t>.’</w:t>
      </w:r>
    </w:p>
    <w:p w14:paraId="1B24320C" w14:textId="49AB1F12" w:rsidR="0085000F" w:rsidRDefault="00005F63" w:rsidP="00FB18EC">
      <w:pPr>
        <w:spacing w:line="360" w:lineRule="auto"/>
        <w:jc w:val="both"/>
      </w:pPr>
      <w:r>
        <w:t>and</w:t>
      </w:r>
    </w:p>
    <w:p w14:paraId="10FCD099" w14:textId="12E88CD8" w:rsidR="00285107" w:rsidRPr="00106341" w:rsidRDefault="00285107" w:rsidP="009E50A5">
      <w:pPr>
        <w:spacing w:line="360" w:lineRule="auto"/>
        <w:jc w:val="both"/>
        <w:rPr>
          <w:sz w:val="22"/>
          <w:szCs w:val="22"/>
        </w:rPr>
      </w:pPr>
      <w:r>
        <w:t>‘</w:t>
      </w:r>
      <w:r w:rsidR="00106341" w:rsidRPr="00106341">
        <w:rPr>
          <w:sz w:val="22"/>
          <w:szCs w:val="22"/>
        </w:rPr>
        <w:t xml:space="preserve">11(2) </w:t>
      </w:r>
      <w:r w:rsidR="009E50A5" w:rsidRPr="009E50A5">
        <w:rPr>
          <w:sz w:val="22"/>
          <w:szCs w:val="22"/>
        </w:rPr>
        <w:t>If the employer concerned is unable, for any reason, to return the</w:t>
      </w:r>
      <w:r w:rsidR="009E50A5">
        <w:rPr>
          <w:sz w:val="22"/>
          <w:szCs w:val="22"/>
        </w:rPr>
        <w:t xml:space="preserve"> </w:t>
      </w:r>
      <w:r w:rsidR="009E50A5" w:rsidRPr="009E50A5">
        <w:rPr>
          <w:sz w:val="22"/>
          <w:szCs w:val="22"/>
        </w:rPr>
        <w:t>certificate as required by sub-regulation (1) or (2), as the case may be, the</w:t>
      </w:r>
      <w:r w:rsidR="009E50A5">
        <w:rPr>
          <w:sz w:val="22"/>
          <w:szCs w:val="22"/>
        </w:rPr>
        <w:t xml:space="preserve"> </w:t>
      </w:r>
      <w:r w:rsidR="009E50A5" w:rsidRPr="009E50A5">
        <w:rPr>
          <w:sz w:val="22"/>
          <w:szCs w:val="22"/>
        </w:rPr>
        <w:t>employer shall within fourteen (14) days of the termination of</w:t>
      </w:r>
      <w:r w:rsidR="009E50A5">
        <w:rPr>
          <w:sz w:val="22"/>
          <w:szCs w:val="22"/>
        </w:rPr>
        <w:t xml:space="preserve"> </w:t>
      </w:r>
      <w:r w:rsidR="009E50A5" w:rsidRPr="009E50A5">
        <w:rPr>
          <w:sz w:val="22"/>
          <w:szCs w:val="22"/>
        </w:rPr>
        <w:t>employment or ceasing to be associated, inform the Board of that fact,</w:t>
      </w:r>
      <w:r w:rsidR="009E50A5">
        <w:rPr>
          <w:sz w:val="22"/>
          <w:szCs w:val="22"/>
        </w:rPr>
        <w:t xml:space="preserve"> </w:t>
      </w:r>
      <w:r w:rsidR="009E50A5" w:rsidRPr="009E50A5">
        <w:rPr>
          <w:sz w:val="22"/>
          <w:szCs w:val="22"/>
        </w:rPr>
        <w:t>stating the reasons why it is unable to return such certificate as well as</w:t>
      </w:r>
      <w:r w:rsidR="009E50A5">
        <w:rPr>
          <w:sz w:val="22"/>
          <w:szCs w:val="22"/>
        </w:rPr>
        <w:t xml:space="preserve"> </w:t>
      </w:r>
      <w:r w:rsidR="009E50A5" w:rsidRPr="009E50A5">
        <w:rPr>
          <w:sz w:val="22"/>
          <w:szCs w:val="22"/>
        </w:rPr>
        <w:t>furnishing all available information concerning the whereabouts of such</w:t>
      </w:r>
      <w:r w:rsidR="009E50A5">
        <w:rPr>
          <w:sz w:val="22"/>
          <w:szCs w:val="22"/>
        </w:rPr>
        <w:t xml:space="preserve"> </w:t>
      </w:r>
      <w:r w:rsidR="009E50A5" w:rsidRPr="009E50A5">
        <w:rPr>
          <w:sz w:val="22"/>
          <w:szCs w:val="22"/>
        </w:rPr>
        <w:t>employee or independent contractor</w:t>
      </w:r>
      <w:r w:rsidR="00106341" w:rsidRPr="00106341">
        <w:rPr>
          <w:sz w:val="22"/>
          <w:szCs w:val="22"/>
        </w:rPr>
        <w:t>.’</w:t>
      </w:r>
    </w:p>
    <w:p w14:paraId="6C3A18B7" w14:textId="77777777" w:rsidR="00285107" w:rsidRPr="00106341" w:rsidRDefault="00285107" w:rsidP="00FB18EC">
      <w:pPr>
        <w:spacing w:line="360" w:lineRule="auto"/>
        <w:jc w:val="both"/>
        <w:rPr>
          <w:sz w:val="22"/>
        </w:rPr>
      </w:pPr>
    </w:p>
    <w:p w14:paraId="4085EB15" w14:textId="33E2E5DC" w:rsidR="00455F9D" w:rsidRDefault="008D44BF" w:rsidP="008D44BF">
      <w:pPr>
        <w:spacing w:line="360" w:lineRule="auto"/>
        <w:jc w:val="both"/>
      </w:pPr>
      <w:r>
        <w:rPr>
          <w:szCs w:val="24"/>
        </w:rPr>
        <w:t>[20]</w:t>
      </w:r>
      <w:r>
        <w:rPr>
          <w:szCs w:val="24"/>
        </w:rPr>
        <w:tab/>
      </w:r>
      <w:r w:rsidR="005E5B04">
        <w:t>The former</w:t>
      </w:r>
      <w:r w:rsidR="00106341">
        <w:t xml:space="preserve"> regulation 12(1) is omitted from the present regulations</w:t>
      </w:r>
      <w:r w:rsidR="001F1278">
        <w:t>,</w:t>
      </w:r>
      <w:r w:rsidR="00106341">
        <w:t xml:space="preserve"> however the fact that the present regulation 11(2) still refers to </w:t>
      </w:r>
      <w:r w:rsidR="00A75F80">
        <w:t xml:space="preserve">such certificates issued to an employee and imposing duties on the employer </w:t>
      </w:r>
      <w:r w:rsidR="00106341">
        <w:t>must be interpreted with the aid of sections 11 and/or 12 of the Interpretation Act 33 of 1957</w:t>
      </w:r>
      <w:r w:rsidR="00086BFA">
        <w:t>,</w:t>
      </w:r>
      <w:r w:rsidR="00106341">
        <w:t xml:space="preserve"> and the operational </w:t>
      </w:r>
      <w:r w:rsidR="009B59F9">
        <w:t>obligations under regulation 12</w:t>
      </w:r>
      <w:r w:rsidR="00106341">
        <w:t>(1) of the previous regulations must be regarded as those still in force</w:t>
      </w:r>
      <w:r w:rsidR="00455F9D">
        <w:t>.</w:t>
      </w:r>
    </w:p>
    <w:p w14:paraId="4286D635" w14:textId="673A450F" w:rsidR="00106341" w:rsidRDefault="00A75F80" w:rsidP="00FB18EC">
      <w:pPr>
        <w:spacing w:line="360" w:lineRule="auto"/>
        <w:jc w:val="both"/>
      </w:pPr>
      <w:r>
        <w:t>Sections</w:t>
      </w:r>
      <w:r w:rsidR="001F1278">
        <w:t xml:space="preserve"> 11 and 12 of the Interpretation Act provide:</w:t>
      </w:r>
    </w:p>
    <w:p w14:paraId="44DC7DAA" w14:textId="55C61736" w:rsidR="00102854" w:rsidRPr="00102854" w:rsidRDefault="001F1278" w:rsidP="00102854">
      <w:pPr>
        <w:spacing w:line="360" w:lineRule="auto"/>
        <w:jc w:val="both"/>
        <w:rPr>
          <w:sz w:val="22"/>
        </w:rPr>
      </w:pPr>
      <w:r w:rsidRPr="00102854">
        <w:rPr>
          <w:sz w:val="22"/>
        </w:rPr>
        <w:t>‘</w:t>
      </w:r>
      <w:r w:rsidR="00102854" w:rsidRPr="00102854">
        <w:rPr>
          <w:sz w:val="22"/>
        </w:rPr>
        <w:t>11. Repeal and substitution.</w:t>
      </w:r>
      <w:r w:rsidR="00102854">
        <w:rPr>
          <w:sz w:val="22"/>
        </w:rPr>
        <w:t xml:space="preserve"> </w:t>
      </w:r>
      <w:r w:rsidR="00102854" w:rsidRPr="00102854">
        <w:rPr>
          <w:sz w:val="22"/>
        </w:rPr>
        <w:t>—</w:t>
      </w:r>
      <w:r w:rsidR="00102854">
        <w:rPr>
          <w:sz w:val="22"/>
        </w:rPr>
        <w:t xml:space="preserve"> </w:t>
      </w:r>
      <w:r w:rsidR="00102854" w:rsidRPr="00102854">
        <w:rPr>
          <w:sz w:val="22"/>
        </w:rPr>
        <w:t>When a law repeals wholly or partially any former law and substitutes</w:t>
      </w:r>
      <w:r w:rsidR="00102854">
        <w:rPr>
          <w:sz w:val="22"/>
        </w:rPr>
        <w:t xml:space="preserve"> </w:t>
      </w:r>
      <w:r w:rsidR="00102854" w:rsidRPr="00102854">
        <w:rPr>
          <w:sz w:val="22"/>
        </w:rPr>
        <w:t>provisions for the law so repealed, the repealed law shall remain in force until the substituted provisions come into</w:t>
      </w:r>
      <w:r w:rsidR="00102854">
        <w:rPr>
          <w:sz w:val="22"/>
        </w:rPr>
        <w:t xml:space="preserve"> </w:t>
      </w:r>
      <w:r w:rsidR="00102854" w:rsidRPr="00102854">
        <w:rPr>
          <w:sz w:val="22"/>
        </w:rPr>
        <w:t>operation.</w:t>
      </w:r>
    </w:p>
    <w:p w14:paraId="2C42D0DD" w14:textId="76148EB9" w:rsidR="00102854" w:rsidRPr="00102854" w:rsidRDefault="00102854" w:rsidP="00102854">
      <w:pPr>
        <w:spacing w:line="360" w:lineRule="auto"/>
        <w:jc w:val="both"/>
        <w:rPr>
          <w:sz w:val="22"/>
        </w:rPr>
      </w:pPr>
      <w:r w:rsidRPr="00102854">
        <w:rPr>
          <w:sz w:val="22"/>
        </w:rPr>
        <w:t>12. Effect of repeal of a law.</w:t>
      </w:r>
      <w:r>
        <w:rPr>
          <w:sz w:val="22"/>
        </w:rPr>
        <w:t xml:space="preserve"> </w:t>
      </w:r>
      <w:r w:rsidRPr="00102854">
        <w:rPr>
          <w:sz w:val="22"/>
        </w:rPr>
        <w:t>—</w:t>
      </w:r>
      <w:r>
        <w:rPr>
          <w:sz w:val="22"/>
        </w:rPr>
        <w:t xml:space="preserve"> </w:t>
      </w:r>
      <w:r w:rsidRPr="00102854">
        <w:rPr>
          <w:sz w:val="22"/>
        </w:rPr>
        <w:t xml:space="preserve">(1) Where a law repeals and </w:t>
      </w:r>
      <w:r>
        <w:rPr>
          <w:sz w:val="22"/>
        </w:rPr>
        <w:t xml:space="preserve">re-enacts </w:t>
      </w:r>
      <w:r w:rsidRPr="00102854">
        <w:rPr>
          <w:sz w:val="22"/>
        </w:rPr>
        <w:t>with or without modifications, any</w:t>
      </w:r>
      <w:r>
        <w:rPr>
          <w:sz w:val="22"/>
        </w:rPr>
        <w:t xml:space="preserve"> </w:t>
      </w:r>
      <w:r w:rsidRPr="00102854">
        <w:rPr>
          <w:sz w:val="22"/>
        </w:rPr>
        <w:t>provision of a former law, references in any other law to the provision so repealed shall, unless the contrary</w:t>
      </w:r>
      <w:r>
        <w:rPr>
          <w:sz w:val="22"/>
        </w:rPr>
        <w:t xml:space="preserve"> </w:t>
      </w:r>
      <w:r w:rsidRPr="00102854">
        <w:rPr>
          <w:sz w:val="22"/>
        </w:rPr>
        <w:t>intention appears, be construed as references to the provision so re-enacted.</w:t>
      </w:r>
    </w:p>
    <w:p w14:paraId="1A538102" w14:textId="68BF92D9" w:rsidR="00102854" w:rsidRPr="00102854" w:rsidRDefault="00102854" w:rsidP="00102854">
      <w:pPr>
        <w:spacing w:line="360" w:lineRule="auto"/>
        <w:jc w:val="both"/>
        <w:rPr>
          <w:sz w:val="22"/>
        </w:rPr>
      </w:pPr>
      <w:r w:rsidRPr="00102854">
        <w:rPr>
          <w:sz w:val="22"/>
        </w:rPr>
        <w:t>(2) Where a law repeals any other law, then unless the contrary intention appears, the repeal shall not</w:t>
      </w:r>
      <w:r w:rsidR="00FE4BB4">
        <w:rPr>
          <w:sz w:val="22"/>
        </w:rPr>
        <w:t xml:space="preserve"> </w:t>
      </w:r>
      <w:r w:rsidRPr="00102854">
        <w:rPr>
          <w:sz w:val="22"/>
        </w:rPr>
        <w:t>—</w:t>
      </w:r>
    </w:p>
    <w:p w14:paraId="1088F196" w14:textId="6770541B" w:rsidR="00102854" w:rsidRPr="00102854" w:rsidRDefault="00102854" w:rsidP="00102854">
      <w:pPr>
        <w:spacing w:line="360" w:lineRule="auto"/>
        <w:jc w:val="both"/>
        <w:rPr>
          <w:sz w:val="22"/>
        </w:rPr>
      </w:pPr>
      <w:r w:rsidRPr="00102854">
        <w:rPr>
          <w:i/>
          <w:sz w:val="22"/>
        </w:rPr>
        <w:t>(a)</w:t>
      </w:r>
      <w:r w:rsidRPr="00102854">
        <w:rPr>
          <w:sz w:val="22"/>
        </w:rPr>
        <w:t xml:space="preserve"> </w:t>
      </w:r>
      <w:r>
        <w:rPr>
          <w:sz w:val="22"/>
        </w:rPr>
        <w:tab/>
      </w:r>
      <w:r w:rsidRPr="00102854">
        <w:rPr>
          <w:sz w:val="22"/>
        </w:rPr>
        <w:t>revive anything not in force or existing at the time at which the repeal takes effect; or</w:t>
      </w:r>
    </w:p>
    <w:p w14:paraId="153620F7" w14:textId="2F4B2BF6" w:rsidR="00102854" w:rsidRPr="00102854" w:rsidRDefault="00102854" w:rsidP="00102854">
      <w:pPr>
        <w:spacing w:line="360" w:lineRule="auto"/>
        <w:jc w:val="both"/>
        <w:rPr>
          <w:sz w:val="22"/>
        </w:rPr>
      </w:pPr>
      <w:r w:rsidRPr="00102854">
        <w:rPr>
          <w:i/>
          <w:sz w:val="22"/>
        </w:rPr>
        <w:t>(b)</w:t>
      </w:r>
      <w:r w:rsidRPr="00102854">
        <w:rPr>
          <w:sz w:val="22"/>
        </w:rPr>
        <w:t xml:space="preserve"> </w:t>
      </w:r>
      <w:r>
        <w:rPr>
          <w:sz w:val="22"/>
        </w:rPr>
        <w:tab/>
      </w:r>
      <w:r w:rsidRPr="00102854">
        <w:rPr>
          <w:sz w:val="22"/>
        </w:rPr>
        <w:t>affect the previous operation of any law so repealed or anything duly done or suffered under the law</w:t>
      </w:r>
      <w:r>
        <w:rPr>
          <w:sz w:val="22"/>
        </w:rPr>
        <w:t xml:space="preserve"> </w:t>
      </w:r>
      <w:r w:rsidRPr="00102854">
        <w:rPr>
          <w:sz w:val="22"/>
        </w:rPr>
        <w:t>so repealed; or</w:t>
      </w:r>
    </w:p>
    <w:p w14:paraId="5C788663" w14:textId="4916C4FE" w:rsidR="00102854" w:rsidRPr="00102854" w:rsidRDefault="00102854" w:rsidP="00102854">
      <w:pPr>
        <w:spacing w:line="360" w:lineRule="auto"/>
        <w:jc w:val="both"/>
        <w:rPr>
          <w:sz w:val="22"/>
        </w:rPr>
      </w:pPr>
      <w:r w:rsidRPr="00102854">
        <w:rPr>
          <w:i/>
          <w:sz w:val="22"/>
        </w:rPr>
        <w:lastRenderedPageBreak/>
        <w:t>(c)</w:t>
      </w:r>
      <w:r w:rsidRPr="00102854">
        <w:rPr>
          <w:sz w:val="22"/>
        </w:rPr>
        <w:t xml:space="preserve"> </w:t>
      </w:r>
      <w:r>
        <w:rPr>
          <w:sz w:val="22"/>
        </w:rPr>
        <w:tab/>
      </w:r>
      <w:r w:rsidRPr="00102854">
        <w:rPr>
          <w:sz w:val="22"/>
        </w:rPr>
        <w:t>affect any right, privilege, obligation or liability acquired, accrued or incurred under any law so</w:t>
      </w:r>
      <w:r w:rsidR="00C14C07">
        <w:rPr>
          <w:sz w:val="22"/>
        </w:rPr>
        <w:t xml:space="preserve"> </w:t>
      </w:r>
      <w:r w:rsidRPr="00102854">
        <w:rPr>
          <w:sz w:val="22"/>
        </w:rPr>
        <w:t>repealed; or</w:t>
      </w:r>
    </w:p>
    <w:p w14:paraId="22475C8A" w14:textId="7959BF92" w:rsidR="00102854" w:rsidRPr="00102854" w:rsidRDefault="00102854" w:rsidP="00102854">
      <w:pPr>
        <w:spacing w:line="360" w:lineRule="auto"/>
        <w:jc w:val="both"/>
        <w:rPr>
          <w:sz w:val="22"/>
        </w:rPr>
      </w:pPr>
      <w:r w:rsidRPr="00102854">
        <w:rPr>
          <w:i/>
          <w:sz w:val="22"/>
        </w:rPr>
        <w:t>(d)</w:t>
      </w:r>
      <w:r w:rsidRPr="00102854">
        <w:rPr>
          <w:sz w:val="22"/>
        </w:rPr>
        <w:t xml:space="preserve"> </w:t>
      </w:r>
      <w:r>
        <w:rPr>
          <w:sz w:val="22"/>
        </w:rPr>
        <w:tab/>
      </w:r>
      <w:r w:rsidRPr="00102854">
        <w:rPr>
          <w:sz w:val="22"/>
        </w:rPr>
        <w:t>affect any penalty, forfeiture or punishment incurred in respect of any offence committed against any</w:t>
      </w:r>
      <w:r>
        <w:rPr>
          <w:sz w:val="22"/>
        </w:rPr>
        <w:t xml:space="preserve"> </w:t>
      </w:r>
      <w:r w:rsidRPr="00102854">
        <w:rPr>
          <w:sz w:val="22"/>
        </w:rPr>
        <w:t>law so repealed; or</w:t>
      </w:r>
    </w:p>
    <w:p w14:paraId="01175407" w14:textId="08D4531A" w:rsidR="001F1278" w:rsidRPr="00102854" w:rsidRDefault="00102854" w:rsidP="00102854">
      <w:pPr>
        <w:spacing w:line="360" w:lineRule="auto"/>
        <w:jc w:val="both"/>
        <w:rPr>
          <w:sz w:val="22"/>
        </w:rPr>
      </w:pPr>
      <w:r w:rsidRPr="00102854">
        <w:rPr>
          <w:i/>
          <w:sz w:val="22"/>
        </w:rPr>
        <w:t>(e)</w:t>
      </w:r>
      <w:r w:rsidRPr="00102854">
        <w:rPr>
          <w:sz w:val="22"/>
        </w:rPr>
        <w:t xml:space="preserve"> </w:t>
      </w:r>
      <w:r>
        <w:rPr>
          <w:sz w:val="22"/>
        </w:rPr>
        <w:tab/>
      </w:r>
      <w:r w:rsidRPr="00102854">
        <w:rPr>
          <w:sz w:val="22"/>
        </w:rPr>
        <w:t>affect any investigation, legal proceeding or remedy in respect of any such right, privilege, obligation,</w:t>
      </w:r>
      <w:r>
        <w:rPr>
          <w:sz w:val="22"/>
        </w:rPr>
        <w:t xml:space="preserve"> </w:t>
      </w:r>
      <w:r w:rsidRPr="00102854">
        <w:rPr>
          <w:sz w:val="22"/>
        </w:rPr>
        <w:t>liability, forfeiture or punishment as is in this subsection mentioned,</w:t>
      </w:r>
      <w:r>
        <w:rPr>
          <w:sz w:val="22"/>
        </w:rPr>
        <w:t xml:space="preserve"> </w:t>
      </w:r>
      <w:r w:rsidRPr="00102854">
        <w:rPr>
          <w:sz w:val="22"/>
        </w:rPr>
        <w:t>and any such investigation, legal proceeding or remedy may be instituted, continued or enforced, and any such</w:t>
      </w:r>
      <w:r>
        <w:rPr>
          <w:sz w:val="22"/>
        </w:rPr>
        <w:t xml:space="preserve"> </w:t>
      </w:r>
      <w:r w:rsidRPr="00102854">
        <w:rPr>
          <w:sz w:val="22"/>
        </w:rPr>
        <w:t>penalty, forfeiture or punishment may be imposed, as if the repealing law had not been passed.</w:t>
      </w:r>
      <w:r>
        <w:rPr>
          <w:sz w:val="22"/>
        </w:rPr>
        <w:t>'</w:t>
      </w:r>
    </w:p>
    <w:p w14:paraId="71EBE6F1" w14:textId="77777777" w:rsidR="001F1278" w:rsidRDefault="001F1278" w:rsidP="00FB18EC">
      <w:pPr>
        <w:spacing w:line="360" w:lineRule="auto"/>
        <w:jc w:val="both"/>
      </w:pPr>
    </w:p>
    <w:p w14:paraId="143042E9" w14:textId="13C2D144" w:rsidR="00426762" w:rsidRPr="008D44BF" w:rsidRDefault="008D44BF" w:rsidP="008D44BF">
      <w:pPr>
        <w:spacing w:line="360" w:lineRule="auto"/>
        <w:jc w:val="both"/>
        <w:rPr>
          <w:szCs w:val="24"/>
        </w:rPr>
      </w:pPr>
      <w:r>
        <w:rPr>
          <w:szCs w:val="24"/>
        </w:rPr>
        <w:t>[21]</w:t>
      </w:r>
      <w:r>
        <w:rPr>
          <w:szCs w:val="24"/>
        </w:rPr>
        <w:tab/>
      </w:r>
      <w:r w:rsidR="00426762" w:rsidRPr="008D44BF">
        <w:rPr>
          <w:szCs w:val="24"/>
        </w:rPr>
        <w:t xml:space="preserve">These provisions all have significance only in the context of the fidelity fund certificate held by an employee estate agent </w:t>
      </w:r>
      <w:r w:rsidR="00916509" w:rsidRPr="008D44BF">
        <w:rPr>
          <w:szCs w:val="24"/>
        </w:rPr>
        <w:t xml:space="preserve">being </w:t>
      </w:r>
      <w:r w:rsidR="00426762" w:rsidRPr="008D44BF">
        <w:rPr>
          <w:szCs w:val="24"/>
        </w:rPr>
        <w:t xml:space="preserve">specific to his/her employer. </w:t>
      </w:r>
      <w:r w:rsidR="003D068C" w:rsidRPr="008D44BF">
        <w:rPr>
          <w:szCs w:val="24"/>
        </w:rPr>
        <w:t xml:space="preserve">Any </w:t>
      </w:r>
      <w:r w:rsidR="00032E99" w:rsidRPr="008D44BF">
        <w:rPr>
          <w:szCs w:val="24"/>
        </w:rPr>
        <w:t xml:space="preserve">possible </w:t>
      </w:r>
      <w:r w:rsidR="00A75F80" w:rsidRPr="008D44BF">
        <w:rPr>
          <w:szCs w:val="24"/>
        </w:rPr>
        <w:t>casus omissus by</w:t>
      </w:r>
      <w:r w:rsidR="003D068C" w:rsidRPr="008D44BF">
        <w:rPr>
          <w:szCs w:val="24"/>
        </w:rPr>
        <w:t xml:space="preserve"> the legislation </w:t>
      </w:r>
      <w:r w:rsidR="00032E99" w:rsidRPr="008D44BF">
        <w:rPr>
          <w:szCs w:val="24"/>
        </w:rPr>
        <w:t xml:space="preserve">no longer prescribing the actual form </w:t>
      </w:r>
      <w:r w:rsidR="00A75F80" w:rsidRPr="008D44BF">
        <w:rPr>
          <w:szCs w:val="24"/>
        </w:rPr>
        <w:t xml:space="preserve">which </w:t>
      </w:r>
      <w:r w:rsidR="00032E99" w:rsidRPr="008D44BF">
        <w:rPr>
          <w:szCs w:val="24"/>
        </w:rPr>
        <w:t xml:space="preserve">a fidelity fund certificate </w:t>
      </w:r>
      <w:r w:rsidR="003D068C" w:rsidRPr="008D44BF">
        <w:rPr>
          <w:szCs w:val="24"/>
        </w:rPr>
        <w:t xml:space="preserve">should </w:t>
      </w:r>
      <w:r w:rsidR="00A75F80" w:rsidRPr="008D44BF">
        <w:rPr>
          <w:szCs w:val="24"/>
        </w:rPr>
        <w:t xml:space="preserve">follow, should </w:t>
      </w:r>
      <w:r w:rsidR="003D068C" w:rsidRPr="008D44BF">
        <w:rPr>
          <w:szCs w:val="24"/>
        </w:rPr>
        <w:t>be avoided</w:t>
      </w:r>
      <w:r w:rsidR="006535FA" w:rsidRPr="008D44BF">
        <w:rPr>
          <w:szCs w:val="24"/>
        </w:rPr>
        <w:t xml:space="preserve">. It is </w:t>
      </w:r>
      <w:r w:rsidR="003D068C" w:rsidRPr="008D44BF">
        <w:rPr>
          <w:szCs w:val="24"/>
        </w:rPr>
        <w:t xml:space="preserve">possible to do so by a purposive interpretation of the terms of the </w:t>
      </w:r>
      <w:r w:rsidR="00032E99" w:rsidRPr="008D44BF">
        <w:rPr>
          <w:szCs w:val="24"/>
        </w:rPr>
        <w:t xml:space="preserve">previous </w:t>
      </w:r>
      <w:r w:rsidR="003D068C" w:rsidRPr="008D44BF">
        <w:rPr>
          <w:szCs w:val="24"/>
        </w:rPr>
        <w:t xml:space="preserve">and </w:t>
      </w:r>
      <w:r w:rsidR="00032E99" w:rsidRPr="008D44BF">
        <w:rPr>
          <w:szCs w:val="24"/>
        </w:rPr>
        <w:t xml:space="preserve">current </w:t>
      </w:r>
      <w:r w:rsidR="003D068C" w:rsidRPr="008D44BF">
        <w:rPr>
          <w:szCs w:val="24"/>
        </w:rPr>
        <w:t>regulations.</w:t>
      </w:r>
      <w:r w:rsidR="00916509" w:rsidRPr="008D44BF">
        <w:rPr>
          <w:szCs w:val="24"/>
        </w:rPr>
        <w:t xml:space="preserve"> The inference that the legislation had left a gap intentionally in not prescribing a form for fidelity fund certificates to follow</w:t>
      </w:r>
      <w:r w:rsidR="006535FA" w:rsidRPr="008D44BF">
        <w:rPr>
          <w:szCs w:val="24"/>
        </w:rPr>
        <w:t xml:space="preserve"> as indicating a change in intention</w:t>
      </w:r>
      <w:r w:rsidR="00916509" w:rsidRPr="008D44BF">
        <w:rPr>
          <w:szCs w:val="24"/>
        </w:rPr>
        <w:t>, is not justified</w:t>
      </w:r>
      <w:r w:rsidR="006535FA" w:rsidRPr="008D44BF">
        <w:rPr>
          <w:szCs w:val="24"/>
        </w:rPr>
        <w:t xml:space="preserve"> or sufficiently justified</w:t>
      </w:r>
      <w:r w:rsidR="00916509" w:rsidRPr="008D44BF">
        <w:rPr>
          <w:szCs w:val="24"/>
        </w:rPr>
        <w:t>.</w:t>
      </w:r>
      <w:r w:rsidR="003D068C">
        <w:rPr>
          <w:rStyle w:val="FootnoteReference"/>
          <w:szCs w:val="24"/>
        </w:rPr>
        <w:footnoteReference w:id="3"/>
      </w:r>
      <w:r w:rsidR="00916509" w:rsidRPr="008D44BF">
        <w:rPr>
          <w:szCs w:val="24"/>
        </w:rPr>
        <w:t xml:space="preserve"> Indeed the contrary is the case. </w:t>
      </w:r>
      <w:r w:rsidR="003D068C" w:rsidRPr="008D44BF">
        <w:rPr>
          <w:szCs w:val="24"/>
        </w:rPr>
        <w:t xml:space="preserve"> </w:t>
      </w:r>
    </w:p>
    <w:p w14:paraId="2880D537" w14:textId="77777777" w:rsidR="00426762" w:rsidRDefault="00426762" w:rsidP="00FB18EC">
      <w:pPr>
        <w:spacing w:line="360" w:lineRule="auto"/>
        <w:jc w:val="both"/>
      </w:pPr>
    </w:p>
    <w:p w14:paraId="7BEA751E" w14:textId="0285F001" w:rsidR="00455F9D" w:rsidRDefault="008D44BF" w:rsidP="008D44BF">
      <w:pPr>
        <w:spacing w:line="360" w:lineRule="auto"/>
        <w:jc w:val="both"/>
      </w:pPr>
      <w:r>
        <w:rPr>
          <w:szCs w:val="24"/>
        </w:rPr>
        <w:t>[22]</w:t>
      </w:r>
      <w:r>
        <w:rPr>
          <w:szCs w:val="24"/>
        </w:rPr>
        <w:tab/>
      </w:r>
      <w:r w:rsidR="00455F9D">
        <w:t>Section 32A(1)</w:t>
      </w:r>
      <w:r w:rsidR="00455F9D" w:rsidRPr="00FE4BB4">
        <w:rPr>
          <w:i/>
        </w:rPr>
        <w:t>(b)</w:t>
      </w:r>
      <w:r w:rsidR="00455F9D">
        <w:t xml:space="preserve">(i) of the Act </w:t>
      </w:r>
      <w:r w:rsidR="00426762">
        <w:t>furthermore</w:t>
      </w:r>
      <w:r w:rsidR="00455F9D">
        <w:t xml:space="preserve"> provides:</w:t>
      </w:r>
    </w:p>
    <w:p w14:paraId="691B3284" w14:textId="6CEC760D" w:rsidR="00FE4BB4" w:rsidRDefault="00455F9D" w:rsidP="00FE4BB4">
      <w:pPr>
        <w:spacing w:line="360" w:lineRule="auto"/>
        <w:jc w:val="both"/>
        <w:rPr>
          <w:sz w:val="22"/>
          <w:szCs w:val="22"/>
        </w:rPr>
      </w:pPr>
      <w:r w:rsidRPr="00455F9D">
        <w:rPr>
          <w:sz w:val="22"/>
          <w:szCs w:val="22"/>
        </w:rPr>
        <w:t>‘</w:t>
      </w:r>
      <w:r w:rsidR="00FE4BB4" w:rsidRPr="00FE4BB4">
        <w:rPr>
          <w:sz w:val="22"/>
          <w:szCs w:val="22"/>
        </w:rPr>
        <w:t>Any inspector furnished with inspection authority in writing by the board may</w:t>
      </w:r>
      <w:r w:rsidR="00FE4BB4">
        <w:rPr>
          <w:sz w:val="22"/>
          <w:szCs w:val="22"/>
        </w:rPr>
        <w:t xml:space="preserve"> </w:t>
      </w:r>
      <w:r w:rsidR="00FE4BB4" w:rsidRPr="00FE4BB4">
        <w:rPr>
          <w:sz w:val="22"/>
          <w:szCs w:val="22"/>
        </w:rPr>
        <w:t>conduct an investigation to determine whether the provisions of this Act are being or have been complied with and</w:t>
      </w:r>
      <w:r w:rsidR="00FE4BB4">
        <w:rPr>
          <w:sz w:val="22"/>
          <w:szCs w:val="22"/>
        </w:rPr>
        <w:t xml:space="preserve"> </w:t>
      </w:r>
      <w:r w:rsidR="00FE4BB4" w:rsidRPr="00FE4BB4">
        <w:rPr>
          <w:sz w:val="22"/>
          <w:szCs w:val="22"/>
        </w:rPr>
        <w:t xml:space="preserve">may, subject to subsection (5), for that purpose, without giving prior </w:t>
      </w:r>
      <w:r w:rsidR="00FE4BB4">
        <w:rPr>
          <w:sz w:val="22"/>
          <w:szCs w:val="22"/>
        </w:rPr>
        <w:t xml:space="preserve">notice, at all reasonable times – </w:t>
      </w:r>
    </w:p>
    <w:p w14:paraId="5E8AC391" w14:textId="28AC46DE" w:rsidR="00FE4BB4" w:rsidRDefault="00FE4BB4" w:rsidP="00FE4BB4">
      <w:pPr>
        <w:spacing w:line="360" w:lineRule="auto"/>
        <w:jc w:val="both"/>
        <w:rPr>
          <w:sz w:val="22"/>
          <w:szCs w:val="22"/>
        </w:rPr>
      </w:pPr>
      <w:r w:rsidRPr="00FE4BB4">
        <w:rPr>
          <w:i/>
          <w:sz w:val="22"/>
          <w:szCs w:val="22"/>
        </w:rPr>
        <w:t>(a)</w:t>
      </w:r>
      <w:r>
        <w:rPr>
          <w:sz w:val="22"/>
          <w:szCs w:val="22"/>
        </w:rPr>
        <w:t xml:space="preserve"> . . .</w:t>
      </w:r>
    </w:p>
    <w:p w14:paraId="09B13911" w14:textId="03191BDE" w:rsidR="00FE4BB4" w:rsidRDefault="00FE4BB4" w:rsidP="00FE4BB4">
      <w:pPr>
        <w:spacing w:line="360" w:lineRule="auto"/>
        <w:jc w:val="both"/>
        <w:rPr>
          <w:sz w:val="22"/>
          <w:szCs w:val="22"/>
        </w:rPr>
      </w:pPr>
      <w:r w:rsidRPr="00FE4BB4">
        <w:rPr>
          <w:i/>
          <w:sz w:val="22"/>
          <w:szCs w:val="22"/>
        </w:rPr>
        <w:t>(b)</w:t>
      </w:r>
      <w:r>
        <w:rPr>
          <w:sz w:val="22"/>
          <w:szCs w:val="22"/>
        </w:rPr>
        <w:t xml:space="preserve"> </w:t>
      </w:r>
      <w:r>
        <w:rPr>
          <w:sz w:val="22"/>
          <w:szCs w:val="22"/>
        </w:rPr>
        <w:tab/>
      </w:r>
      <w:r w:rsidRPr="00FE4BB4">
        <w:rPr>
          <w:sz w:val="22"/>
          <w:szCs w:val="22"/>
        </w:rPr>
        <w:t>order any estate agent or the manager, employ</w:t>
      </w:r>
      <w:r>
        <w:rPr>
          <w:sz w:val="22"/>
          <w:szCs w:val="22"/>
        </w:rPr>
        <w:t xml:space="preserve">ee or agent of any estate agent – </w:t>
      </w:r>
    </w:p>
    <w:p w14:paraId="742786F1" w14:textId="32C2B832" w:rsidR="00FE4BB4" w:rsidRDefault="00FE4BB4" w:rsidP="00FE4BB4">
      <w:pPr>
        <w:spacing w:line="360" w:lineRule="auto"/>
        <w:jc w:val="both"/>
        <w:rPr>
          <w:sz w:val="22"/>
          <w:szCs w:val="22"/>
        </w:rPr>
      </w:pPr>
      <w:r>
        <w:rPr>
          <w:sz w:val="22"/>
          <w:szCs w:val="22"/>
        </w:rPr>
        <w:tab/>
        <w:t>(</w:t>
      </w:r>
      <w:r w:rsidRPr="00FE4BB4">
        <w:rPr>
          <w:sz w:val="22"/>
          <w:szCs w:val="22"/>
        </w:rPr>
        <w:t xml:space="preserve">i) </w:t>
      </w:r>
      <w:r>
        <w:rPr>
          <w:sz w:val="22"/>
          <w:szCs w:val="22"/>
        </w:rPr>
        <w:tab/>
      </w:r>
      <w:r w:rsidRPr="00FE4BB4">
        <w:rPr>
          <w:sz w:val="22"/>
          <w:szCs w:val="22"/>
        </w:rPr>
        <w:t>to produce to him the fidelity fund certificate of that estate agent</w:t>
      </w:r>
      <w:r>
        <w:rPr>
          <w:sz w:val="22"/>
          <w:szCs w:val="22"/>
        </w:rPr>
        <w:t xml:space="preserve"> . . .'</w:t>
      </w:r>
    </w:p>
    <w:p w14:paraId="7A73C5B0" w14:textId="09360B9F" w:rsidR="00106341" w:rsidRDefault="00455F9D" w:rsidP="00FB18EC">
      <w:pPr>
        <w:spacing w:line="360" w:lineRule="auto"/>
        <w:jc w:val="both"/>
      </w:pPr>
      <w:r>
        <w:t xml:space="preserve">If an inspector is to be in a position to order an employer to produce the fidelity fund certificate of an employee, it follows that the inspector must be in a position to know who the employer </w:t>
      </w:r>
      <w:r w:rsidR="001F1278">
        <w:t xml:space="preserve">of the </w:t>
      </w:r>
      <w:r>
        <w:t xml:space="preserve">employee </w:t>
      </w:r>
      <w:r w:rsidR="001F1278">
        <w:t xml:space="preserve">is </w:t>
      </w:r>
      <w:r>
        <w:t>in any given estate agency relationship.</w:t>
      </w:r>
    </w:p>
    <w:p w14:paraId="4673EE84" w14:textId="77777777" w:rsidR="00106341" w:rsidRDefault="00106341" w:rsidP="00FB18EC">
      <w:pPr>
        <w:spacing w:line="360" w:lineRule="auto"/>
        <w:jc w:val="both"/>
      </w:pPr>
    </w:p>
    <w:p w14:paraId="75D33C5A" w14:textId="44AED749" w:rsidR="005E5B04" w:rsidRDefault="008D44BF" w:rsidP="008D44BF">
      <w:pPr>
        <w:spacing w:line="360" w:lineRule="auto"/>
        <w:jc w:val="both"/>
      </w:pPr>
      <w:r>
        <w:rPr>
          <w:szCs w:val="24"/>
        </w:rPr>
        <w:lastRenderedPageBreak/>
        <w:t>[23]</w:t>
      </w:r>
      <w:r>
        <w:rPr>
          <w:szCs w:val="24"/>
        </w:rPr>
        <w:tab/>
      </w:r>
      <w:r w:rsidR="001F1278">
        <w:t xml:space="preserve">Regulation 11 of the </w:t>
      </w:r>
      <w:r w:rsidR="005E5B04">
        <w:t xml:space="preserve">Code of Conduct 1992, </w:t>
      </w:r>
      <w:r w:rsidR="001F1278">
        <w:t>contained in Government N</w:t>
      </w:r>
      <w:r w:rsidR="005E5B04">
        <w:t>otice R3415 published in Government Gazette 14489 of</w:t>
      </w:r>
      <w:r w:rsidR="001F1278">
        <w:t xml:space="preserve"> 24 December 1992, provides</w:t>
      </w:r>
      <w:r w:rsidR="005E5B04">
        <w:t>:</w:t>
      </w:r>
    </w:p>
    <w:p w14:paraId="186B7E9F" w14:textId="18FCF274" w:rsidR="005E5B04" w:rsidRDefault="005E5B04" w:rsidP="00FB18EC">
      <w:pPr>
        <w:spacing w:line="360" w:lineRule="auto"/>
        <w:jc w:val="both"/>
        <w:rPr>
          <w:sz w:val="22"/>
          <w:szCs w:val="22"/>
        </w:rPr>
      </w:pPr>
      <w:r w:rsidRPr="001F1278">
        <w:rPr>
          <w:sz w:val="22"/>
          <w:szCs w:val="22"/>
        </w:rPr>
        <w:t>‘</w:t>
      </w:r>
      <w:r w:rsidR="00C21EF7" w:rsidRPr="00C21EF7">
        <w:rPr>
          <w:sz w:val="22"/>
          <w:szCs w:val="22"/>
        </w:rPr>
        <w:t>Every estate agent who is the sole proprietor of an estate agency business or a partner in a partnership or a director of</w:t>
      </w:r>
      <w:r w:rsidR="00C21EF7">
        <w:rPr>
          <w:sz w:val="22"/>
          <w:szCs w:val="22"/>
        </w:rPr>
        <w:t xml:space="preserve"> </w:t>
      </w:r>
      <w:r w:rsidR="00C21EF7" w:rsidRPr="00C21EF7">
        <w:rPr>
          <w:sz w:val="22"/>
          <w:szCs w:val="22"/>
        </w:rPr>
        <w:t xml:space="preserve">a company or a member of a close corporation contemplated in paragraph (b) of the definition of </w:t>
      </w:r>
      <w:r w:rsidR="00C21EF7">
        <w:rPr>
          <w:sz w:val="22"/>
          <w:szCs w:val="22"/>
        </w:rPr>
        <w:t>"</w:t>
      </w:r>
      <w:r w:rsidR="00C21EF7" w:rsidRPr="00C21EF7">
        <w:rPr>
          <w:sz w:val="22"/>
          <w:szCs w:val="22"/>
        </w:rPr>
        <w:t>estate agent</w:t>
      </w:r>
      <w:r w:rsidR="00C21EF7">
        <w:rPr>
          <w:sz w:val="22"/>
          <w:szCs w:val="22"/>
        </w:rPr>
        <w:t>"</w:t>
      </w:r>
      <w:r w:rsidR="00C21EF7" w:rsidRPr="00C21EF7">
        <w:rPr>
          <w:sz w:val="22"/>
          <w:szCs w:val="22"/>
        </w:rPr>
        <w:t xml:space="preserve"> in</w:t>
      </w:r>
      <w:r w:rsidR="00C21EF7">
        <w:rPr>
          <w:sz w:val="22"/>
          <w:szCs w:val="22"/>
        </w:rPr>
        <w:t xml:space="preserve"> </w:t>
      </w:r>
      <w:r w:rsidR="00C21EF7" w:rsidRPr="00C21EF7">
        <w:rPr>
          <w:sz w:val="22"/>
          <w:szCs w:val="22"/>
        </w:rPr>
        <w:t>section 1 of the Act carrying on the business of an estate agent, shall be held responsible for any contravention of or</w:t>
      </w:r>
      <w:r w:rsidR="00C21EF7">
        <w:rPr>
          <w:sz w:val="22"/>
          <w:szCs w:val="22"/>
        </w:rPr>
        <w:t xml:space="preserve"> </w:t>
      </w:r>
      <w:r w:rsidR="00C21EF7" w:rsidRPr="00C21EF7">
        <w:rPr>
          <w:sz w:val="22"/>
          <w:szCs w:val="22"/>
        </w:rPr>
        <w:t xml:space="preserve">failure to comply with this code of conduct by any other partner, director, or member or </w:t>
      </w:r>
      <w:r w:rsidR="00C21EF7" w:rsidRPr="00C21EF7">
        <w:rPr>
          <w:sz w:val="22"/>
          <w:szCs w:val="22"/>
          <w:u w:val="single"/>
        </w:rPr>
        <w:t>by any estate agent in the service of such</w:t>
      </w:r>
      <w:r w:rsidR="00C21EF7" w:rsidRPr="00C21EF7">
        <w:rPr>
          <w:sz w:val="22"/>
          <w:szCs w:val="22"/>
        </w:rPr>
        <w:t xml:space="preserve"> sole proprietorship, partnership, company or close corporation, unless he has prior to such</w:t>
      </w:r>
      <w:r w:rsidR="00C21EF7">
        <w:rPr>
          <w:sz w:val="22"/>
          <w:szCs w:val="22"/>
        </w:rPr>
        <w:t xml:space="preserve"> </w:t>
      </w:r>
      <w:r w:rsidR="00C21EF7" w:rsidRPr="00C21EF7">
        <w:rPr>
          <w:sz w:val="22"/>
          <w:szCs w:val="22"/>
        </w:rPr>
        <w:t>contravention or failure to comply taken all reasonable steps to prevent the same and could not in the circumstances</w:t>
      </w:r>
      <w:r w:rsidR="00C21EF7">
        <w:rPr>
          <w:sz w:val="22"/>
          <w:szCs w:val="22"/>
        </w:rPr>
        <w:t xml:space="preserve"> </w:t>
      </w:r>
      <w:r w:rsidR="00C21EF7" w:rsidRPr="00C21EF7">
        <w:rPr>
          <w:sz w:val="22"/>
          <w:szCs w:val="22"/>
        </w:rPr>
        <w:t>have prevented such contravention or failure to comply</w:t>
      </w:r>
      <w:r w:rsidR="00C21EF7">
        <w:rPr>
          <w:sz w:val="22"/>
          <w:szCs w:val="22"/>
        </w:rPr>
        <w:t>.</w:t>
      </w:r>
      <w:r w:rsidR="006D5842" w:rsidRPr="001F1278">
        <w:rPr>
          <w:sz w:val="22"/>
          <w:szCs w:val="22"/>
        </w:rPr>
        <w:t>’</w:t>
      </w:r>
    </w:p>
    <w:p w14:paraId="43868835" w14:textId="695D1BF1" w:rsidR="0085000F" w:rsidRDefault="0085000F" w:rsidP="00FB18EC">
      <w:pPr>
        <w:spacing w:line="360" w:lineRule="auto"/>
        <w:jc w:val="both"/>
      </w:pPr>
    </w:p>
    <w:p w14:paraId="0B5E1C87" w14:textId="61243269" w:rsidR="001F1278" w:rsidRDefault="008D44BF" w:rsidP="008D44BF">
      <w:pPr>
        <w:spacing w:line="360" w:lineRule="auto"/>
        <w:jc w:val="both"/>
      </w:pPr>
      <w:r>
        <w:rPr>
          <w:szCs w:val="24"/>
        </w:rPr>
        <w:t>[24]</w:t>
      </w:r>
      <w:r>
        <w:rPr>
          <w:szCs w:val="24"/>
        </w:rPr>
        <w:tab/>
      </w:r>
      <w:r w:rsidR="001F1278">
        <w:t>If the name of the employer of the employee estate agent is reflected on the fidelity fund certificate, then there can be no doubt as to the identity of the employer implicated by any contravention or failure on the part of an employee estate agent</w:t>
      </w:r>
      <w:r w:rsidR="00426762">
        <w:t xml:space="preserve"> to comply with the provisions of the Act, the regulations, or the Code of Conduct</w:t>
      </w:r>
      <w:r w:rsidR="001F1278">
        <w:t>, as the employment relationship will appear ex facie the fidelity fund certificate.</w:t>
      </w:r>
    </w:p>
    <w:p w14:paraId="654A04B8" w14:textId="77777777" w:rsidR="001F1278" w:rsidRPr="006D5842" w:rsidRDefault="001F1278" w:rsidP="00FB18EC">
      <w:pPr>
        <w:pStyle w:val="ListParagraph"/>
        <w:spacing w:line="360" w:lineRule="auto"/>
        <w:ind w:left="0"/>
        <w:jc w:val="both"/>
      </w:pPr>
    </w:p>
    <w:p w14:paraId="24038EE0" w14:textId="13D6CEB7" w:rsidR="006A0865" w:rsidRDefault="008D44BF" w:rsidP="008D44BF">
      <w:pPr>
        <w:spacing w:line="360" w:lineRule="auto"/>
        <w:jc w:val="both"/>
      </w:pPr>
      <w:r>
        <w:rPr>
          <w:szCs w:val="24"/>
        </w:rPr>
        <w:t>[25]</w:t>
      </w:r>
      <w:r>
        <w:rPr>
          <w:szCs w:val="24"/>
        </w:rPr>
        <w:tab/>
      </w:r>
      <w:r w:rsidR="001F1278">
        <w:t xml:space="preserve">The standing of an </w:t>
      </w:r>
      <w:r w:rsidR="006D5842">
        <w:t>employer</w:t>
      </w:r>
      <w:r w:rsidR="001F1278">
        <w:t xml:space="preserve"> of an estate agent employee </w:t>
      </w:r>
      <w:r w:rsidR="006D5842">
        <w:t xml:space="preserve">furthermore </w:t>
      </w:r>
      <w:r w:rsidR="001F1278">
        <w:t xml:space="preserve">appears </w:t>
      </w:r>
      <w:r w:rsidR="006D5842">
        <w:t>intrinsically linked</w:t>
      </w:r>
      <w:r w:rsidR="00CB6EDC">
        <w:t xml:space="preserve"> to the protection of the public and the validity of an employee’s fidelity fund certificate. Should it happen that an employer no longer has a valid fidelity fund certificate, it cannot be suggested</w:t>
      </w:r>
      <w:r w:rsidR="00086BFA">
        <w:t xml:space="preserve"> that the </w:t>
      </w:r>
      <w:r w:rsidR="00CB6EDC">
        <w:t>fidelity insurance remains in place to cover the employees</w:t>
      </w:r>
      <w:r w:rsidR="001F1278">
        <w:t xml:space="preserve"> of the employer</w:t>
      </w:r>
      <w:r w:rsidR="00CB6EDC">
        <w:t>.</w:t>
      </w:r>
    </w:p>
    <w:p w14:paraId="604ADDED" w14:textId="77777777" w:rsidR="00CB6EDC" w:rsidRDefault="00CB6EDC" w:rsidP="00FB18EC">
      <w:pPr>
        <w:spacing w:line="360" w:lineRule="auto"/>
        <w:jc w:val="both"/>
      </w:pPr>
    </w:p>
    <w:p w14:paraId="2C5EE4D5" w14:textId="033B451B" w:rsidR="00086BFA" w:rsidRDefault="008D44BF" w:rsidP="008D44BF">
      <w:pPr>
        <w:spacing w:line="360" w:lineRule="auto"/>
        <w:jc w:val="both"/>
      </w:pPr>
      <w:r>
        <w:rPr>
          <w:szCs w:val="24"/>
        </w:rPr>
        <w:t>[26]</w:t>
      </w:r>
      <w:r>
        <w:rPr>
          <w:szCs w:val="24"/>
        </w:rPr>
        <w:tab/>
      </w:r>
      <w:r w:rsidR="00CB6EDC">
        <w:t xml:space="preserve">It </w:t>
      </w:r>
      <w:r w:rsidR="00426762">
        <w:t xml:space="preserve">is </w:t>
      </w:r>
      <w:r w:rsidR="001F1278">
        <w:t xml:space="preserve">accordingly </w:t>
      </w:r>
      <w:r w:rsidR="00CB6EDC">
        <w:t xml:space="preserve">not </w:t>
      </w:r>
      <w:r w:rsidR="00426762">
        <w:t>su</w:t>
      </w:r>
      <w:r w:rsidR="00CB6EDC">
        <w:t xml:space="preserve">rprising that as </w:t>
      </w:r>
      <w:r w:rsidR="0085000F">
        <w:t xml:space="preserve">a matter of practice the </w:t>
      </w:r>
      <w:r w:rsidR="00CB6EDC">
        <w:t xml:space="preserve">fidelity fund certificate </w:t>
      </w:r>
      <w:r w:rsidR="0085000F">
        <w:t xml:space="preserve">form which </w:t>
      </w:r>
      <w:r w:rsidR="001F1278">
        <w:t>the Board continues to issue</w:t>
      </w:r>
      <w:r w:rsidR="00D245C6">
        <w:t xml:space="preserve"> </w:t>
      </w:r>
      <w:r w:rsidR="00086BFA">
        <w:t>pursuant to applications in terms of s 16 of the Act</w:t>
      </w:r>
      <w:r w:rsidR="00426762">
        <w:t xml:space="preserve"> provides for the identity of the employer and its address to be s</w:t>
      </w:r>
      <w:r w:rsidR="006535FA">
        <w:t>tated</w:t>
      </w:r>
      <w:r w:rsidR="00086BFA">
        <w:t xml:space="preserve">. </w:t>
      </w:r>
      <w:r w:rsidR="00426762">
        <w:t>If the employer’s details change</w:t>
      </w:r>
      <w:r w:rsidR="006535FA">
        <w:t>,</w:t>
      </w:r>
      <w:r w:rsidR="00426762">
        <w:t xml:space="preserve"> then the certificate must be surrendered and amended. And it </w:t>
      </w:r>
      <w:r w:rsidR="006541A6">
        <w:t>is significan</w:t>
      </w:r>
      <w:r w:rsidR="00426762">
        <w:t>t</w:t>
      </w:r>
      <w:r w:rsidR="006541A6">
        <w:t xml:space="preserve"> that s 16 of the Act requires that an application for a fidelity fund certificate</w:t>
      </w:r>
      <w:r w:rsidR="00426762">
        <w:t xml:space="preserve"> has to be made </w:t>
      </w:r>
      <w:r w:rsidR="006541A6">
        <w:t xml:space="preserve">‘in the prescribed manner.’ </w:t>
      </w:r>
    </w:p>
    <w:p w14:paraId="1DA8AAD5" w14:textId="77777777" w:rsidR="00086BFA" w:rsidRDefault="00086BFA" w:rsidP="00FB18EC">
      <w:pPr>
        <w:pStyle w:val="ListParagraph"/>
        <w:spacing w:line="360" w:lineRule="auto"/>
        <w:jc w:val="both"/>
        <w:rPr>
          <w:szCs w:val="24"/>
        </w:rPr>
      </w:pPr>
    </w:p>
    <w:p w14:paraId="5852E748" w14:textId="5C535045" w:rsidR="00086BFA" w:rsidRDefault="008D44BF" w:rsidP="008D44BF">
      <w:pPr>
        <w:spacing w:line="360" w:lineRule="auto"/>
        <w:jc w:val="both"/>
      </w:pPr>
      <w:r>
        <w:rPr>
          <w:szCs w:val="24"/>
        </w:rPr>
        <w:lastRenderedPageBreak/>
        <w:t>[27]</w:t>
      </w:r>
      <w:r>
        <w:rPr>
          <w:szCs w:val="24"/>
        </w:rPr>
        <w:tab/>
      </w:r>
      <w:r w:rsidR="00426762">
        <w:rPr>
          <w:szCs w:val="24"/>
        </w:rPr>
        <w:t>The above considerations all point</w:t>
      </w:r>
      <w:r w:rsidR="0085000F" w:rsidRPr="00086BFA">
        <w:rPr>
          <w:szCs w:val="24"/>
        </w:rPr>
        <w:t xml:space="preserve"> to a valid fidelity fund certif</w:t>
      </w:r>
      <w:r w:rsidR="00043616" w:rsidRPr="00086BFA">
        <w:rPr>
          <w:szCs w:val="24"/>
        </w:rPr>
        <w:t>icate being required to be issue</w:t>
      </w:r>
      <w:r w:rsidR="0085000F" w:rsidRPr="00086BFA">
        <w:rPr>
          <w:szCs w:val="24"/>
        </w:rPr>
        <w:t>d in respect of an employee estate agent specifically with reference to the employer which employs him</w:t>
      </w:r>
      <w:r w:rsidR="00CB6EDC" w:rsidRPr="00086BFA">
        <w:rPr>
          <w:szCs w:val="24"/>
        </w:rPr>
        <w:t xml:space="preserve"> or her</w:t>
      </w:r>
      <w:r w:rsidR="0085000F" w:rsidRPr="00086BFA">
        <w:rPr>
          <w:szCs w:val="24"/>
        </w:rPr>
        <w:t xml:space="preserve">. </w:t>
      </w:r>
    </w:p>
    <w:p w14:paraId="69D4752E" w14:textId="77777777" w:rsidR="003C1B9F" w:rsidRPr="003C1B9F" w:rsidRDefault="003C1B9F" w:rsidP="00FB18EC">
      <w:pPr>
        <w:pStyle w:val="ListParagraph"/>
        <w:spacing w:line="360" w:lineRule="auto"/>
        <w:ind w:left="0"/>
        <w:jc w:val="both"/>
        <w:rPr>
          <w:szCs w:val="24"/>
        </w:rPr>
      </w:pPr>
    </w:p>
    <w:p w14:paraId="1D37FDA5" w14:textId="710EB56F" w:rsidR="00043616" w:rsidRPr="008D44BF" w:rsidRDefault="008D44BF" w:rsidP="008D44BF">
      <w:pPr>
        <w:spacing w:line="360" w:lineRule="auto"/>
        <w:jc w:val="both"/>
        <w:rPr>
          <w:szCs w:val="24"/>
        </w:rPr>
      </w:pPr>
      <w:r w:rsidRPr="00043616">
        <w:rPr>
          <w:szCs w:val="24"/>
        </w:rPr>
        <w:t>[28]</w:t>
      </w:r>
      <w:r w:rsidRPr="00043616">
        <w:rPr>
          <w:szCs w:val="24"/>
        </w:rPr>
        <w:tab/>
      </w:r>
      <w:r w:rsidR="00043616" w:rsidRPr="008D44BF">
        <w:rPr>
          <w:szCs w:val="24"/>
        </w:rPr>
        <w:t xml:space="preserve">The prohibition against receipt of remuneration </w:t>
      </w:r>
      <w:r w:rsidR="00086BFA" w:rsidRPr="008D44BF">
        <w:rPr>
          <w:szCs w:val="24"/>
        </w:rPr>
        <w:t>in s</w:t>
      </w:r>
      <w:r w:rsidR="00732EFB" w:rsidRPr="008D44BF">
        <w:rPr>
          <w:szCs w:val="24"/>
        </w:rPr>
        <w:t xml:space="preserve"> </w:t>
      </w:r>
      <w:r w:rsidR="00086BFA" w:rsidRPr="008D44BF">
        <w:rPr>
          <w:szCs w:val="24"/>
        </w:rPr>
        <w:t xml:space="preserve">34A(2) </w:t>
      </w:r>
      <w:r w:rsidR="00043616" w:rsidRPr="008D44BF">
        <w:rPr>
          <w:szCs w:val="24"/>
        </w:rPr>
        <w:t>extends to both the employee and his</w:t>
      </w:r>
      <w:r w:rsidR="00086BFA" w:rsidRPr="008D44BF">
        <w:rPr>
          <w:szCs w:val="24"/>
        </w:rPr>
        <w:t>/her</w:t>
      </w:r>
      <w:r w:rsidR="00043616" w:rsidRPr="008D44BF">
        <w:rPr>
          <w:szCs w:val="24"/>
        </w:rPr>
        <w:t xml:space="preserve"> employer where the employee does not have the required </w:t>
      </w:r>
      <w:r w:rsidR="00732EFB" w:rsidRPr="008D44BF">
        <w:rPr>
          <w:szCs w:val="24"/>
        </w:rPr>
        <w:t xml:space="preserve">fidelity </w:t>
      </w:r>
      <w:r w:rsidR="00043616" w:rsidRPr="008D44BF">
        <w:rPr>
          <w:szCs w:val="24"/>
        </w:rPr>
        <w:t xml:space="preserve">fund certificate. This makes it clear that the fidelity fund certificate must attach to the employee estate agent in the context of his employment with a particular employer whose name is required to be stipulated on the certificate. </w:t>
      </w:r>
    </w:p>
    <w:p w14:paraId="07F925BA" w14:textId="77777777" w:rsidR="00043616" w:rsidRDefault="00043616" w:rsidP="00FB18EC">
      <w:pPr>
        <w:spacing w:line="360" w:lineRule="auto"/>
        <w:jc w:val="both"/>
      </w:pPr>
    </w:p>
    <w:p w14:paraId="0E064459" w14:textId="074201EF" w:rsidR="000F7BB6" w:rsidRDefault="008D44BF" w:rsidP="008D44BF">
      <w:pPr>
        <w:spacing w:line="360" w:lineRule="auto"/>
        <w:jc w:val="both"/>
      </w:pPr>
      <w:r>
        <w:rPr>
          <w:szCs w:val="24"/>
        </w:rPr>
        <w:t>[29]</w:t>
      </w:r>
      <w:r>
        <w:rPr>
          <w:szCs w:val="24"/>
        </w:rPr>
        <w:tab/>
      </w:r>
      <w:r w:rsidR="000F7BB6">
        <w:t>The objects of the Act, with reference to its preamble, are:</w:t>
      </w:r>
    </w:p>
    <w:p w14:paraId="08A68FEB" w14:textId="690AA661" w:rsidR="000F7BB6" w:rsidRPr="000F7BB6" w:rsidRDefault="000F7BB6" w:rsidP="00732EFB">
      <w:pPr>
        <w:spacing w:line="360" w:lineRule="auto"/>
        <w:jc w:val="both"/>
        <w:rPr>
          <w:sz w:val="22"/>
          <w:szCs w:val="22"/>
        </w:rPr>
      </w:pPr>
      <w:r w:rsidRPr="0032676B">
        <w:rPr>
          <w:sz w:val="22"/>
          <w:szCs w:val="22"/>
        </w:rPr>
        <w:t>‘</w:t>
      </w:r>
      <w:r w:rsidR="00732EFB" w:rsidRPr="00732EFB">
        <w:rPr>
          <w:sz w:val="22"/>
          <w:szCs w:val="22"/>
        </w:rPr>
        <w:t>To provide for the establishment of an Estate Agency Affairs Board and an Estate Agents Fidelity Fund: for</w:t>
      </w:r>
      <w:r w:rsidR="00732EFB">
        <w:rPr>
          <w:sz w:val="22"/>
          <w:szCs w:val="22"/>
        </w:rPr>
        <w:t xml:space="preserve"> </w:t>
      </w:r>
      <w:r w:rsidR="00732EFB" w:rsidRPr="00732EFB">
        <w:rPr>
          <w:sz w:val="22"/>
          <w:szCs w:val="22"/>
        </w:rPr>
        <w:t>the control of certain activities of estate agents in the public interest; and for incidental matters</w:t>
      </w:r>
      <w:r w:rsidRPr="0032676B">
        <w:rPr>
          <w:sz w:val="22"/>
          <w:szCs w:val="22"/>
        </w:rPr>
        <w:t>.’</w:t>
      </w:r>
    </w:p>
    <w:p w14:paraId="78EBED94" w14:textId="77777777" w:rsidR="000F7BB6" w:rsidRDefault="000F7BB6" w:rsidP="00FB18EC">
      <w:pPr>
        <w:pStyle w:val="ListParagraph"/>
        <w:spacing w:line="360" w:lineRule="auto"/>
        <w:jc w:val="both"/>
      </w:pPr>
    </w:p>
    <w:p w14:paraId="632AAA20" w14:textId="0E8B0B6D" w:rsidR="000F7BB6" w:rsidRDefault="008D44BF" w:rsidP="008D44BF">
      <w:pPr>
        <w:spacing w:line="360" w:lineRule="auto"/>
        <w:jc w:val="both"/>
      </w:pPr>
      <w:r>
        <w:rPr>
          <w:szCs w:val="24"/>
        </w:rPr>
        <w:t>[30]</w:t>
      </w:r>
      <w:r>
        <w:rPr>
          <w:szCs w:val="24"/>
        </w:rPr>
        <w:tab/>
      </w:r>
      <w:r w:rsidR="00086BFA">
        <w:t xml:space="preserve">The above interpretation and the conclusion I have reached </w:t>
      </w:r>
      <w:r w:rsidR="0085000F">
        <w:t xml:space="preserve">is purposive and also consistent with </w:t>
      </w:r>
      <w:r w:rsidR="000F7BB6">
        <w:t xml:space="preserve">the </w:t>
      </w:r>
      <w:r w:rsidR="0085000F">
        <w:t>context within which provision is made for the prohibition against the receipt of remuneration and the requirement for a valid fidelity fund certificate to be held by an employee</w:t>
      </w:r>
      <w:r w:rsidR="006535FA">
        <w:t xml:space="preserve"> agent</w:t>
      </w:r>
      <w:r w:rsidR="0085000F">
        <w:t xml:space="preserve">. It is also consistent with the objects and purpose of the Act. </w:t>
      </w:r>
    </w:p>
    <w:p w14:paraId="424EC329" w14:textId="77777777" w:rsidR="000F7BB6" w:rsidRDefault="000F7BB6" w:rsidP="00FB18EC">
      <w:pPr>
        <w:pStyle w:val="ListParagraph"/>
        <w:spacing w:line="360" w:lineRule="auto"/>
        <w:jc w:val="both"/>
      </w:pPr>
    </w:p>
    <w:p w14:paraId="40F38C6F" w14:textId="6DCA8CDE" w:rsidR="00A55130" w:rsidRPr="00A55130" w:rsidRDefault="008D44BF" w:rsidP="008D44BF">
      <w:pPr>
        <w:spacing w:line="360" w:lineRule="auto"/>
        <w:jc w:val="both"/>
        <w:rPr>
          <w:sz w:val="28"/>
        </w:rPr>
      </w:pPr>
      <w:r w:rsidRPr="00A55130">
        <w:rPr>
          <w:szCs w:val="24"/>
        </w:rPr>
        <w:t>[31]</w:t>
      </w:r>
      <w:r w:rsidRPr="00A55130">
        <w:rPr>
          <w:szCs w:val="24"/>
        </w:rPr>
        <w:tab/>
      </w:r>
      <w:r w:rsidR="002C3C39">
        <w:t>The requirement of a fidelit</w:t>
      </w:r>
      <w:r w:rsidR="00876A1E">
        <w:t xml:space="preserve">y fund certificate is also </w:t>
      </w:r>
      <w:r w:rsidR="002C3C39">
        <w:t xml:space="preserve">a measure </w:t>
      </w:r>
      <w:r w:rsidR="00732EFB">
        <w:t>of</w:t>
      </w:r>
      <w:r w:rsidR="002C3C39">
        <w:t xml:space="preserve"> protection </w:t>
      </w:r>
      <w:r w:rsidR="00732EFB">
        <w:t xml:space="preserve">for </w:t>
      </w:r>
      <w:r w:rsidR="002C3C39">
        <w:t>the public. The requirements for the issue of a valid fidelity fund cer</w:t>
      </w:r>
      <w:r w:rsidR="000F7BB6">
        <w:t xml:space="preserve">tificate are stringent and </w:t>
      </w:r>
      <w:r w:rsidR="002C3C39">
        <w:t>apply</w:t>
      </w:r>
      <w:r w:rsidR="000F7BB6">
        <w:t>,</w:t>
      </w:r>
      <w:r w:rsidR="002C3C39">
        <w:t xml:space="preserve"> in the context of the prohibition in s</w:t>
      </w:r>
      <w:r w:rsidR="002C3C39" w:rsidRPr="00A55130">
        <w:rPr>
          <w:szCs w:val="24"/>
        </w:rPr>
        <w:t xml:space="preserve"> 34A(2) of the Act</w:t>
      </w:r>
      <w:r w:rsidR="000F7BB6" w:rsidRPr="00A55130">
        <w:rPr>
          <w:szCs w:val="24"/>
        </w:rPr>
        <w:t>,</w:t>
      </w:r>
      <w:r w:rsidR="002C3C39" w:rsidRPr="00A55130">
        <w:rPr>
          <w:szCs w:val="24"/>
        </w:rPr>
        <w:t xml:space="preserve"> </w:t>
      </w:r>
      <w:r w:rsidR="006535FA">
        <w:rPr>
          <w:szCs w:val="24"/>
        </w:rPr>
        <w:t xml:space="preserve">also </w:t>
      </w:r>
      <w:r w:rsidR="002C3C39" w:rsidRPr="00A55130">
        <w:rPr>
          <w:szCs w:val="24"/>
        </w:rPr>
        <w:t xml:space="preserve">in respect of employees, being a </w:t>
      </w:r>
      <w:r w:rsidR="00A55130">
        <w:rPr>
          <w:szCs w:val="24"/>
        </w:rPr>
        <w:t>'</w:t>
      </w:r>
      <w:r w:rsidR="002C3C39" w:rsidRPr="00A55130">
        <w:rPr>
          <w:szCs w:val="22"/>
        </w:rPr>
        <w:t xml:space="preserve">person referred to in paragraph </w:t>
      </w:r>
      <w:r w:rsidR="00732EFB" w:rsidRPr="00A55130">
        <w:rPr>
          <w:i/>
          <w:szCs w:val="22"/>
        </w:rPr>
        <w:t>(c)</w:t>
      </w:r>
      <w:r w:rsidR="002C3C39" w:rsidRPr="00A55130">
        <w:rPr>
          <w:szCs w:val="22"/>
        </w:rPr>
        <w:t>(ii) of the definition of “estate agent</w:t>
      </w:r>
      <w:r w:rsidR="006535FA">
        <w:rPr>
          <w:szCs w:val="22"/>
        </w:rPr>
        <w:t>.</w:t>
      </w:r>
      <w:r w:rsidR="002C3C39" w:rsidRPr="00A55130">
        <w:rPr>
          <w:szCs w:val="22"/>
        </w:rPr>
        <w:t xml:space="preserve">”’ </w:t>
      </w:r>
      <w:r w:rsidR="006535FA">
        <w:rPr>
          <w:szCs w:val="22"/>
        </w:rPr>
        <w:t xml:space="preserve">The prohibition </w:t>
      </w:r>
      <w:r w:rsidR="002C3C39" w:rsidRPr="00A55130">
        <w:rPr>
          <w:szCs w:val="22"/>
        </w:rPr>
        <w:t>is not confined to the employee, but also to an ‘estate agent who employs such a person’</w:t>
      </w:r>
      <w:r w:rsidR="006535FA">
        <w:rPr>
          <w:szCs w:val="22"/>
        </w:rPr>
        <w:t xml:space="preserve">, both of whom are </w:t>
      </w:r>
      <w:r w:rsidR="002C3C39" w:rsidRPr="00A55130">
        <w:rPr>
          <w:szCs w:val="22"/>
        </w:rPr>
        <w:t>precluded from being</w:t>
      </w:r>
      <w:r w:rsidR="006535FA">
        <w:rPr>
          <w:szCs w:val="22"/>
        </w:rPr>
        <w:t>:</w:t>
      </w:r>
      <w:r w:rsidR="002C3C39" w:rsidRPr="00A55130">
        <w:rPr>
          <w:szCs w:val="22"/>
        </w:rPr>
        <w:t xml:space="preserve"> </w:t>
      </w:r>
    </w:p>
    <w:p w14:paraId="03323645" w14:textId="1673C3DD" w:rsidR="00A55130" w:rsidRPr="00A55130" w:rsidRDefault="002C3C39" w:rsidP="00A55130">
      <w:pPr>
        <w:spacing w:line="360" w:lineRule="auto"/>
        <w:jc w:val="both"/>
      </w:pPr>
      <w:r w:rsidRPr="00A55130">
        <w:rPr>
          <w:sz w:val="22"/>
          <w:szCs w:val="22"/>
        </w:rPr>
        <w:t>‘entitled to any remuneration or other payment in respect of or arising from the performance by such person of any act referred to in that paragraph, unless at the time of the performance of the act a valid fidelity fund certificate had been issued to such person.’</w:t>
      </w:r>
    </w:p>
    <w:p w14:paraId="4319025E" w14:textId="580BA697" w:rsidR="00947C7A" w:rsidRDefault="00947C7A" w:rsidP="00FB18EC">
      <w:pPr>
        <w:spacing w:line="360" w:lineRule="auto"/>
        <w:jc w:val="both"/>
      </w:pPr>
    </w:p>
    <w:p w14:paraId="5997E378" w14:textId="1522A96E" w:rsidR="00833410" w:rsidRDefault="008D44BF" w:rsidP="008D44BF">
      <w:pPr>
        <w:spacing w:line="360" w:lineRule="auto"/>
        <w:jc w:val="both"/>
      </w:pPr>
      <w:r>
        <w:rPr>
          <w:szCs w:val="24"/>
        </w:rPr>
        <w:t>[32]</w:t>
      </w:r>
      <w:r>
        <w:rPr>
          <w:szCs w:val="24"/>
        </w:rPr>
        <w:tab/>
      </w:r>
      <w:r w:rsidR="00947C7A">
        <w:t xml:space="preserve">The failure </w:t>
      </w:r>
      <w:r w:rsidR="0085000F">
        <w:t>on the part of Mr Sc</w:t>
      </w:r>
      <w:r w:rsidR="002C3C39">
        <w:t xml:space="preserve">hwanzer to </w:t>
      </w:r>
      <w:r w:rsidR="00876A1E">
        <w:t xml:space="preserve">have alleged and annexed </w:t>
      </w:r>
      <w:r w:rsidR="002C3C39">
        <w:t xml:space="preserve">a </w:t>
      </w:r>
      <w:r w:rsidR="00876A1E">
        <w:t xml:space="preserve">fidelity fund </w:t>
      </w:r>
      <w:r w:rsidR="002C3C39">
        <w:t xml:space="preserve">certificate </w:t>
      </w:r>
      <w:r w:rsidR="00876A1E">
        <w:t xml:space="preserve">issued to him </w:t>
      </w:r>
      <w:r w:rsidR="002C3C39">
        <w:t xml:space="preserve">covering the relevant period </w:t>
      </w:r>
      <w:r w:rsidR="00876A1E">
        <w:t xml:space="preserve">when he rendered services as </w:t>
      </w:r>
      <w:r w:rsidR="00876A1E">
        <w:lastRenderedPageBreak/>
        <w:t xml:space="preserve">an estate agent to the </w:t>
      </w:r>
      <w:r w:rsidR="000F7BB6">
        <w:t>defendant</w:t>
      </w:r>
      <w:r w:rsidR="006535FA">
        <w:t>,</w:t>
      </w:r>
      <w:r w:rsidR="000F7BB6">
        <w:t xml:space="preserve"> </w:t>
      </w:r>
      <w:r w:rsidR="002C3C39">
        <w:t xml:space="preserve">disclosing the name of the </w:t>
      </w:r>
      <w:r w:rsidR="00434510">
        <w:t xml:space="preserve">plaintiff </w:t>
      </w:r>
      <w:r w:rsidR="002C3C39">
        <w:t xml:space="preserve">as his employer, is accordingly fatal to the </w:t>
      </w:r>
      <w:r w:rsidR="00434510">
        <w:t xml:space="preserve">plaintiff’s </w:t>
      </w:r>
      <w:r w:rsidR="002C3C39">
        <w:t xml:space="preserve">claim as presently pleaded. The exception must therefore succeed. In accordance with accepted practice, a time period will be specified to allow the </w:t>
      </w:r>
      <w:r w:rsidR="00434510">
        <w:t xml:space="preserve">plaintiff </w:t>
      </w:r>
      <w:r w:rsidR="002C3C39">
        <w:t xml:space="preserve">to amend its particulars of claim to cure the cause of the exception, if possible. </w:t>
      </w:r>
    </w:p>
    <w:p w14:paraId="018811FD" w14:textId="2F6A7E97" w:rsidR="0032676B" w:rsidRDefault="0032676B" w:rsidP="00FB18EC">
      <w:pPr>
        <w:spacing w:line="360" w:lineRule="auto"/>
        <w:jc w:val="both"/>
      </w:pPr>
    </w:p>
    <w:p w14:paraId="0860DE94" w14:textId="5528B132" w:rsidR="00242D0D" w:rsidRDefault="008D44BF" w:rsidP="008D44BF">
      <w:pPr>
        <w:spacing w:line="360" w:lineRule="auto"/>
        <w:jc w:val="both"/>
      </w:pPr>
      <w:r>
        <w:rPr>
          <w:szCs w:val="24"/>
        </w:rPr>
        <w:t>[33]</w:t>
      </w:r>
      <w:r>
        <w:rPr>
          <w:szCs w:val="24"/>
        </w:rPr>
        <w:tab/>
      </w:r>
      <w:r w:rsidR="00D867C4">
        <w:t>Regarding the costs of the exception, the basis on which the exc</w:t>
      </w:r>
      <w:r w:rsidR="000F7BB6">
        <w:t>eption succeeds only</w:t>
      </w:r>
      <w:r w:rsidR="00D867C4">
        <w:t xml:space="preserve"> became firmly crystalized following the amendments to the particulars of claim and the exception. The underlying argument </w:t>
      </w:r>
      <w:r w:rsidR="00434510">
        <w:t>t</w:t>
      </w:r>
      <w:r w:rsidR="00876A1E">
        <w:t xml:space="preserve">hroughout </w:t>
      </w:r>
      <w:r w:rsidR="000F7BB6">
        <w:t>h</w:t>
      </w:r>
      <w:r w:rsidR="00D867C4">
        <w:t xml:space="preserve">owever always </w:t>
      </w:r>
      <w:r w:rsidR="000F7BB6">
        <w:t xml:space="preserve">was </w:t>
      </w:r>
      <w:r w:rsidR="00D867C4">
        <w:t xml:space="preserve">that the plaintiff’s claim was not competent because Mr Schwanzer did not hold </w:t>
      </w:r>
      <w:r w:rsidR="00876A1E">
        <w:t xml:space="preserve">a valid </w:t>
      </w:r>
      <w:r w:rsidR="00D867C4">
        <w:t>fidelity fund certificate</w:t>
      </w:r>
      <w:r w:rsidR="00876A1E">
        <w:t xml:space="preserve"> in respect of his employment with the respondent</w:t>
      </w:r>
      <w:r w:rsidR="00D867C4">
        <w:t xml:space="preserve">. As is evident from the allegations in the particulars of claim, even prior to amendment, the </w:t>
      </w:r>
      <w:r w:rsidR="00434510">
        <w:t xml:space="preserve">plaintiff </w:t>
      </w:r>
      <w:r w:rsidR="00D867C4">
        <w:t>has always accepted that Mr Schwanzer would require a valid fidelity fund certificate. If it contended that no such certificate was required, and the amendment to the exception made it evident</w:t>
      </w:r>
      <w:r w:rsidR="00876A1E">
        <w:t>,</w:t>
      </w:r>
      <w:r w:rsidR="00D867C4">
        <w:t xml:space="preserve"> from that point</w:t>
      </w:r>
      <w:r w:rsidR="00876A1E">
        <w:t xml:space="preserve"> in time,</w:t>
      </w:r>
      <w:r w:rsidR="00D867C4">
        <w:t xml:space="preserve"> that a fidelity fund certificate was required, the </w:t>
      </w:r>
      <w:r w:rsidR="00434510">
        <w:t xml:space="preserve">plaintiff </w:t>
      </w:r>
      <w:r w:rsidR="00D867C4">
        <w:t xml:space="preserve">could </w:t>
      </w:r>
      <w:r w:rsidR="00876A1E">
        <w:t xml:space="preserve">then </w:t>
      </w:r>
      <w:r w:rsidR="00D867C4">
        <w:t>have conceded the exception</w:t>
      </w:r>
      <w:r w:rsidR="00876A1E">
        <w:t xml:space="preserve">. In </w:t>
      </w:r>
      <w:r w:rsidR="00D867C4">
        <w:t xml:space="preserve">that event an order that each party pay its own costs, or some other </w:t>
      </w:r>
      <w:r w:rsidR="00434510">
        <w:t>order</w:t>
      </w:r>
      <w:r w:rsidR="00876A1E">
        <w:t>, might</w:t>
      </w:r>
      <w:r w:rsidR="00D867C4">
        <w:t xml:space="preserve"> have been appropriate. </w:t>
      </w:r>
    </w:p>
    <w:p w14:paraId="60E22740" w14:textId="77777777" w:rsidR="00242D0D" w:rsidRDefault="00242D0D" w:rsidP="00FB18EC">
      <w:pPr>
        <w:pStyle w:val="ListParagraph"/>
        <w:spacing w:line="360" w:lineRule="auto"/>
        <w:jc w:val="both"/>
      </w:pPr>
    </w:p>
    <w:p w14:paraId="787F196C" w14:textId="010FC5EC" w:rsidR="00187D56" w:rsidRPr="003A3CED" w:rsidRDefault="008D44BF" w:rsidP="008D44BF">
      <w:pPr>
        <w:spacing w:line="360" w:lineRule="auto"/>
        <w:jc w:val="both"/>
      </w:pPr>
      <w:r w:rsidRPr="003A3CED">
        <w:rPr>
          <w:szCs w:val="24"/>
        </w:rPr>
        <w:t>[34]</w:t>
      </w:r>
      <w:r w:rsidRPr="003A3CED">
        <w:rPr>
          <w:szCs w:val="24"/>
        </w:rPr>
        <w:tab/>
      </w:r>
      <w:r w:rsidR="00876A1E">
        <w:t xml:space="preserve">That was however not the stance adopted by the </w:t>
      </w:r>
      <w:r w:rsidR="00434510">
        <w:t>plaintiff</w:t>
      </w:r>
      <w:r w:rsidR="00876A1E">
        <w:t>. It persisted with its o</w:t>
      </w:r>
      <w:r w:rsidR="00D867C4">
        <w:t xml:space="preserve">pposition to the exception </w:t>
      </w:r>
      <w:r w:rsidR="00876A1E">
        <w:t xml:space="preserve">on the basis that annexure </w:t>
      </w:r>
      <w:r w:rsidR="00A55130">
        <w:t>"</w:t>
      </w:r>
      <w:r w:rsidR="00876A1E">
        <w:t>POC11</w:t>
      </w:r>
      <w:r w:rsidR="00A55130">
        <w:t>"</w:t>
      </w:r>
      <w:r w:rsidR="00D867C4">
        <w:t xml:space="preserve"> satisfied such requirement. I have concluded that it does not. In those circumstances the </w:t>
      </w:r>
      <w:r w:rsidR="00434510">
        <w:t xml:space="preserve">defendant </w:t>
      </w:r>
      <w:r w:rsidR="003D45A4">
        <w:t xml:space="preserve">has </w:t>
      </w:r>
      <w:r w:rsidR="000F7BB6">
        <w:t xml:space="preserve">been </w:t>
      </w:r>
      <w:r w:rsidR="003D45A4">
        <w:t>successful and there is no reason why it should not be awarded its costs</w:t>
      </w:r>
      <w:r w:rsidR="00242D0D">
        <w:t xml:space="preserve"> of the exception</w:t>
      </w:r>
      <w:r w:rsidR="003D45A4">
        <w:t xml:space="preserve">. </w:t>
      </w:r>
    </w:p>
    <w:p w14:paraId="57FC81AB" w14:textId="77777777" w:rsidR="00D02AF3" w:rsidRPr="003A3CED" w:rsidRDefault="00D02AF3" w:rsidP="00FB18EC">
      <w:pPr>
        <w:spacing w:line="360" w:lineRule="auto"/>
        <w:jc w:val="both"/>
      </w:pPr>
    </w:p>
    <w:p w14:paraId="26D0A22F" w14:textId="11CD0399" w:rsidR="003D45A4" w:rsidRDefault="008D44BF" w:rsidP="008D44BF">
      <w:pPr>
        <w:spacing w:line="360" w:lineRule="auto"/>
        <w:jc w:val="both"/>
      </w:pPr>
      <w:r>
        <w:rPr>
          <w:szCs w:val="24"/>
        </w:rPr>
        <w:t>[35]</w:t>
      </w:r>
      <w:r>
        <w:rPr>
          <w:szCs w:val="24"/>
        </w:rPr>
        <w:tab/>
      </w:r>
      <w:r w:rsidR="003D45A4">
        <w:t>The following order is granted:</w:t>
      </w:r>
    </w:p>
    <w:p w14:paraId="6927532D" w14:textId="31BF4529" w:rsidR="004518EB" w:rsidRDefault="008D44BF" w:rsidP="008D44BF">
      <w:pPr>
        <w:spacing w:line="360" w:lineRule="auto"/>
        <w:ind w:left="720" w:hanging="720"/>
        <w:jc w:val="both"/>
      </w:pPr>
      <w:r>
        <w:t>(a)</w:t>
      </w:r>
      <w:r>
        <w:tab/>
      </w:r>
      <w:r w:rsidR="004518EB">
        <w:t>The exception is upheld with costs;</w:t>
      </w:r>
    </w:p>
    <w:p w14:paraId="0E04775D" w14:textId="5B913C52" w:rsidR="004B6FAA" w:rsidRDefault="008D44BF" w:rsidP="008D44BF">
      <w:pPr>
        <w:spacing w:line="360" w:lineRule="auto"/>
        <w:ind w:left="720" w:hanging="720"/>
        <w:jc w:val="both"/>
      </w:pPr>
      <w:r>
        <w:t>(b)</w:t>
      </w:r>
      <w:r>
        <w:tab/>
      </w:r>
      <w:r w:rsidR="00004C06">
        <w:t>T</w:t>
      </w:r>
      <w:r w:rsidR="004518EB">
        <w:t>he plaintiff is afforded the opportunity to amend its particulars of claim within 20 days from the date of the grant of this order, failing which the plaintiff’s claim sh</w:t>
      </w:r>
      <w:r w:rsidR="00242D0D">
        <w:t xml:space="preserve">all be </w:t>
      </w:r>
      <w:r w:rsidR="004518EB">
        <w:t>dismissed with costs.</w:t>
      </w:r>
      <w:r w:rsidR="00A902FD" w:rsidRPr="003A3CED">
        <w:t xml:space="preserve"> </w:t>
      </w:r>
    </w:p>
    <w:p w14:paraId="0369EA92" w14:textId="77777777" w:rsidR="005C06DB" w:rsidRDefault="005C06DB" w:rsidP="00A55130">
      <w:pPr>
        <w:pStyle w:val="ListParagraph"/>
        <w:spacing w:line="360" w:lineRule="auto"/>
        <w:ind w:hanging="720"/>
        <w:jc w:val="both"/>
      </w:pPr>
    </w:p>
    <w:p w14:paraId="7E970A0F" w14:textId="77777777" w:rsidR="005C06DB" w:rsidRDefault="005C06DB" w:rsidP="00FB18EC">
      <w:pPr>
        <w:spacing w:line="360" w:lineRule="auto"/>
        <w:jc w:val="both"/>
      </w:pPr>
    </w:p>
    <w:p w14:paraId="1158A61A" w14:textId="77777777" w:rsidR="005C06DB" w:rsidRDefault="005C06DB" w:rsidP="00FB18EC">
      <w:pPr>
        <w:spacing w:line="360" w:lineRule="auto"/>
        <w:jc w:val="both"/>
      </w:pPr>
    </w:p>
    <w:p w14:paraId="10E8FCBA" w14:textId="77777777" w:rsidR="005C06DB" w:rsidRDefault="005C06DB" w:rsidP="00FB18EC">
      <w:pPr>
        <w:spacing w:line="360" w:lineRule="auto"/>
        <w:jc w:val="both"/>
      </w:pPr>
    </w:p>
    <w:p w14:paraId="668FC671" w14:textId="77777777" w:rsidR="004518EB" w:rsidRDefault="004518EB" w:rsidP="00FB18EC">
      <w:pPr>
        <w:spacing w:line="360" w:lineRule="auto"/>
        <w:jc w:val="both"/>
      </w:pPr>
    </w:p>
    <w:p w14:paraId="34BCC102" w14:textId="77777777" w:rsidR="004518EB" w:rsidRPr="003A3CED" w:rsidRDefault="004518EB" w:rsidP="00FB18EC">
      <w:pPr>
        <w:spacing w:line="360" w:lineRule="auto"/>
        <w:jc w:val="both"/>
      </w:pPr>
    </w:p>
    <w:p w14:paraId="7A3922DA" w14:textId="77777777" w:rsidR="00093030" w:rsidRPr="003A3CED" w:rsidRDefault="00093030" w:rsidP="006535FA">
      <w:pPr>
        <w:spacing w:line="360" w:lineRule="auto"/>
        <w:ind w:left="5040" w:firstLine="720"/>
        <w:jc w:val="both"/>
      </w:pPr>
      <w:r w:rsidRPr="003A3CED">
        <w:t>________________________</w:t>
      </w:r>
    </w:p>
    <w:p w14:paraId="7CFB0BB0" w14:textId="2A2B86FA" w:rsidR="00093030" w:rsidRPr="003A3CED" w:rsidRDefault="00B20A11" w:rsidP="006535FA">
      <w:pPr>
        <w:spacing w:line="360" w:lineRule="auto"/>
        <w:ind w:left="5040" w:firstLine="720"/>
        <w:jc w:val="both"/>
      </w:pPr>
      <w:r w:rsidRPr="003A3CED">
        <w:t>KOEN J</w:t>
      </w:r>
    </w:p>
    <w:p w14:paraId="21B1A163" w14:textId="77777777" w:rsidR="00093030" w:rsidRPr="00C70C28" w:rsidRDefault="00093030" w:rsidP="00FB18EC">
      <w:pPr>
        <w:spacing w:line="360" w:lineRule="auto"/>
        <w:jc w:val="both"/>
      </w:pPr>
    </w:p>
    <w:p w14:paraId="35B3F4DC" w14:textId="77777777" w:rsidR="005958C1" w:rsidRDefault="005958C1" w:rsidP="00FB18EC">
      <w:pPr>
        <w:spacing w:line="360" w:lineRule="auto"/>
        <w:jc w:val="both"/>
      </w:pPr>
    </w:p>
    <w:p w14:paraId="36892636" w14:textId="7811415D" w:rsidR="00093030" w:rsidRPr="00C70C28" w:rsidRDefault="00336B3B" w:rsidP="00FB18EC">
      <w:pPr>
        <w:spacing w:line="360" w:lineRule="auto"/>
        <w:jc w:val="both"/>
      </w:pPr>
      <w:r w:rsidRPr="00C70C28">
        <w:t>APPEARANCES</w:t>
      </w:r>
      <w:r w:rsidR="00093030" w:rsidRPr="00C70C28">
        <w:t xml:space="preserve"> </w:t>
      </w:r>
    </w:p>
    <w:p w14:paraId="468BB7E3" w14:textId="77777777" w:rsidR="00093030" w:rsidRPr="00C70C28" w:rsidRDefault="00093030" w:rsidP="00FB18EC">
      <w:pPr>
        <w:spacing w:line="360" w:lineRule="auto"/>
        <w:jc w:val="both"/>
      </w:pPr>
    </w:p>
    <w:p w14:paraId="1F060F17" w14:textId="691FE26F" w:rsidR="00187D56" w:rsidRDefault="00093030" w:rsidP="00FB18EC">
      <w:pPr>
        <w:spacing w:line="360" w:lineRule="auto"/>
        <w:jc w:val="both"/>
      </w:pPr>
      <w:r w:rsidRPr="00C70C28">
        <w:t xml:space="preserve">For </w:t>
      </w:r>
      <w:r w:rsidR="00AC0095" w:rsidRPr="00C70C28">
        <w:t xml:space="preserve">the </w:t>
      </w:r>
      <w:r w:rsidR="005958C1">
        <w:t>excipient</w:t>
      </w:r>
      <w:r w:rsidRPr="00C70C28">
        <w:t>:</w:t>
      </w:r>
      <w:r w:rsidR="00187D56">
        <w:t xml:space="preserve"> </w:t>
      </w:r>
    </w:p>
    <w:p w14:paraId="791A6A3C" w14:textId="4D7B47BB" w:rsidR="00093030" w:rsidRPr="00C70C28" w:rsidRDefault="00187D56" w:rsidP="00FB18EC">
      <w:pPr>
        <w:spacing w:line="360" w:lineRule="auto"/>
        <w:jc w:val="both"/>
      </w:pPr>
      <w:r>
        <w:t xml:space="preserve">Mr </w:t>
      </w:r>
      <w:r w:rsidR="005958C1">
        <w:t>H.P van Nieuwenhuizen</w:t>
      </w:r>
      <w:r w:rsidR="00AC0095" w:rsidRPr="00C70C28">
        <w:tab/>
      </w:r>
    </w:p>
    <w:p w14:paraId="7D7AE212" w14:textId="5E41A95B" w:rsidR="00D1618F" w:rsidRDefault="00093030" w:rsidP="00FB18EC">
      <w:pPr>
        <w:spacing w:line="360" w:lineRule="auto"/>
        <w:jc w:val="both"/>
        <w:rPr>
          <w:bCs/>
        </w:rPr>
      </w:pPr>
      <w:r w:rsidRPr="00C70C28">
        <w:rPr>
          <w:bCs/>
        </w:rPr>
        <w:t xml:space="preserve">Instructed by: </w:t>
      </w:r>
    </w:p>
    <w:p w14:paraId="180AF588" w14:textId="647A712C" w:rsidR="005958C1" w:rsidRDefault="005958C1" w:rsidP="00FB18EC">
      <w:pPr>
        <w:spacing w:line="360" w:lineRule="auto"/>
        <w:jc w:val="both"/>
        <w:rPr>
          <w:bCs/>
        </w:rPr>
      </w:pPr>
      <w:r>
        <w:rPr>
          <w:bCs/>
        </w:rPr>
        <w:t>Alan Allschwang and Associates</w:t>
      </w:r>
    </w:p>
    <w:p w14:paraId="48549EF8" w14:textId="71635ED7" w:rsidR="005958C1" w:rsidRDefault="005958C1" w:rsidP="00FB18EC">
      <w:pPr>
        <w:spacing w:line="360" w:lineRule="auto"/>
        <w:jc w:val="both"/>
        <w:rPr>
          <w:bCs/>
        </w:rPr>
      </w:pPr>
      <w:r>
        <w:rPr>
          <w:bCs/>
        </w:rPr>
        <w:t>c/o Thorpe and Hands Inc</w:t>
      </w:r>
    </w:p>
    <w:p w14:paraId="1F22F7D8" w14:textId="2FE9ADE7" w:rsidR="00D1618F" w:rsidRDefault="005958C1" w:rsidP="00FB18EC">
      <w:pPr>
        <w:spacing w:line="360" w:lineRule="auto"/>
        <w:jc w:val="both"/>
        <w:rPr>
          <w:bCs/>
        </w:rPr>
      </w:pPr>
      <w:r>
        <w:rPr>
          <w:bCs/>
        </w:rPr>
        <w:t>c/o PGPS Attorneys</w:t>
      </w:r>
      <w:r>
        <w:rPr>
          <w:bCs/>
        </w:rPr>
        <w:tab/>
      </w:r>
    </w:p>
    <w:p w14:paraId="38EA9A4F" w14:textId="651EB0D3" w:rsidR="00D1618F" w:rsidRDefault="00D1618F" w:rsidP="00FB18EC">
      <w:pPr>
        <w:spacing w:line="360" w:lineRule="auto"/>
        <w:jc w:val="both"/>
        <w:rPr>
          <w:bCs/>
        </w:rPr>
      </w:pPr>
      <w:r>
        <w:rPr>
          <w:bCs/>
        </w:rPr>
        <w:t>Pietermaritzburg</w:t>
      </w:r>
    </w:p>
    <w:p w14:paraId="7518F096" w14:textId="7F36C7AD" w:rsidR="00AC0095" w:rsidRPr="00C70C28" w:rsidRDefault="00AC0095" w:rsidP="00FB18EC">
      <w:pPr>
        <w:spacing w:line="360" w:lineRule="auto"/>
        <w:jc w:val="both"/>
        <w:rPr>
          <w:bCs/>
        </w:rPr>
      </w:pPr>
    </w:p>
    <w:p w14:paraId="43408996" w14:textId="638188FC" w:rsidR="00187D56" w:rsidRDefault="00093030" w:rsidP="00FB18EC">
      <w:pPr>
        <w:spacing w:line="360" w:lineRule="auto"/>
        <w:jc w:val="both"/>
      </w:pPr>
      <w:r w:rsidRPr="00C70C28">
        <w:t xml:space="preserve">For </w:t>
      </w:r>
      <w:r w:rsidR="00AC0095" w:rsidRPr="00C70C28">
        <w:t xml:space="preserve">the </w:t>
      </w:r>
      <w:r w:rsidR="005958C1">
        <w:t>respondent:</w:t>
      </w:r>
    </w:p>
    <w:p w14:paraId="1383BAC6" w14:textId="6C29A1C0" w:rsidR="00093030" w:rsidRPr="00C70C28" w:rsidRDefault="005958C1" w:rsidP="00FB18EC">
      <w:pPr>
        <w:spacing w:line="360" w:lineRule="auto"/>
        <w:jc w:val="both"/>
      </w:pPr>
      <w:r>
        <w:t>Ms B Brown</w:t>
      </w:r>
      <w:r w:rsidR="00093030" w:rsidRPr="00C70C28">
        <w:tab/>
      </w:r>
    </w:p>
    <w:p w14:paraId="3FA0FB25" w14:textId="5CF522AF" w:rsidR="002363F2" w:rsidRPr="00C70C28" w:rsidRDefault="00093030" w:rsidP="00FB18EC">
      <w:pPr>
        <w:spacing w:line="360" w:lineRule="auto"/>
        <w:jc w:val="both"/>
        <w:rPr>
          <w:szCs w:val="24"/>
        </w:rPr>
      </w:pPr>
      <w:r w:rsidRPr="00C70C28">
        <w:rPr>
          <w:bCs/>
        </w:rPr>
        <w:t>Instructed by:</w:t>
      </w:r>
      <w:r w:rsidR="00187D56">
        <w:rPr>
          <w:bCs/>
        </w:rPr>
        <w:tab/>
      </w:r>
      <w:r w:rsidR="00B20A11" w:rsidRPr="00C70C28">
        <w:rPr>
          <w:bCs/>
        </w:rPr>
        <w:tab/>
      </w:r>
      <w:r w:rsidR="00AC0095" w:rsidRPr="00C70C28">
        <w:rPr>
          <w:bCs/>
        </w:rPr>
        <w:tab/>
      </w:r>
    </w:p>
    <w:p w14:paraId="62C0C741" w14:textId="7B34B3FB" w:rsidR="00E24A8B" w:rsidRDefault="005958C1" w:rsidP="00FB18EC">
      <w:pPr>
        <w:spacing w:line="360" w:lineRule="auto"/>
        <w:jc w:val="both"/>
        <w:rPr>
          <w:szCs w:val="24"/>
        </w:rPr>
      </w:pPr>
      <w:r>
        <w:rPr>
          <w:szCs w:val="24"/>
        </w:rPr>
        <w:t>C &amp; A Friedlander Attorneys</w:t>
      </w:r>
    </w:p>
    <w:p w14:paraId="5C256AF6" w14:textId="2076FDE3" w:rsidR="00D1618F" w:rsidRDefault="00D1618F" w:rsidP="00FB18EC">
      <w:pPr>
        <w:spacing w:line="360" w:lineRule="auto"/>
        <w:jc w:val="both"/>
        <w:rPr>
          <w:szCs w:val="24"/>
        </w:rPr>
      </w:pPr>
      <w:r>
        <w:rPr>
          <w:szCs w:val="24"/>
        </w:rPr>
        <w:t xml:space="preserve">c/o </w:t>
      </w:r>
      <w:r w:rsidR="005958C1">
        <w:rPr>
          <w:szCs w:val="24"/>
        </w:rPr>
        <w:t>Austen Smith</w:t>
      </w:r>
    </w:p>
    <w:p w14:paraId="12C31BFD" w14:textId="62157E11" w:rsidR="00D1618F" w:rsidRDefault="00D1618F" w:rsidP="00FB18EC">
      <w:pPr>
        <w:spacing w:line="360" w:lineRule="auto"/>
        <w:jc w:val="both"/>
        <w:rPr>
          <w:szCs w:val="24"/>
        </w:rPr>
      </w:pPr>
      <w:r>
        <w:rPr>
          <w:szCs w:val="24"/>
        </w:rPr>
        <w:t>Pietermaritzburg</w:t>
      </w:r>
    </w:p>
    <w:p w14:paraId="2A0BB0F7" w14:textId="6902207A" w:rsidR="00187D56" w:rsidRDefault="00D1618F" w:rsidP="00FB18EC">
      <w:pPr>
        <w:spacing w:line="360" w:lineRule="auto"/>
        <w:jc w:val="both"/>
        <w:rPr>
          <w:szCs w:val="24"/>
        </w:rPr>
      </w:pPr>
      <w:r>
        <w:rPr>
          <w:szCs w:val="24"/>
        </w:rPr>
        <w:t>(Ref</w:t>
      </w:r>
      <w:r w:rsidR="00957CDA">
        <w:rPr>
          <w:szCs w:val="24"/>
        </w:rPr>
        <w:t>:</w:t>
      </w:r>
      <w:r>
        <w:rPr>
          <w:szCs w:val="24"/>
        </w:rPr>
        <w:t xml:space="preserve"> </w:t>
      </w:r>
      <w:r w:rsidR="005958C1">
        <w:rPr>
          <w:szCs w:val="24"/>
        </w:rPr>
        <w:t>Mr Smythe</w:t>
      </w:r>
      <w:r>
        <w:rPr>
          <w:szCs w:val="24"/>
        </w:rPr>
        <w:t>)</w:t>
      </w:r>
    </w:p>
    <w:p w14:paraId="11A4D2B9" w14:textId="77777777" w:rsidR="005958C1" w:rsidRPr="00C70C28" w:rsidRDefault="005958C1" w:rsidP="00FB18EC">
      <w:pPr>
        <w:spacing w:line="360" w:lineRule="auto"/>
        <w:jc w:val="both"/>
        <w:rPr>
          <w:szCs w:val="24"/>
        </w:rPr>
      </w:pPr>
    </w:p>
    <w:p w14:paraId="3F733E0F" w14:textId="77777777" w:rsidR="00242D0D" w:rsidRPr="00C70C28" w:rsidRDefault="00242D0D" w:rsidP="00FB18EC">
      <w:pPr>
        <w:spacing w:line="360" w:lineRule="auto"/>
        <w:jc w:val="both"/>
        <w:rPr>
          <w:szCs w:val="24"/>
        </w:rPr>
      </w:pPr>
    </w:p>
    <w:sectPr w:rsidR="00242D0D" w:rsidRPr="00C70C28" w:rsidSect="00591415">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10A3" w14:textId="77777777" w:rsidR="00483BDF" w:rsidRDefault="00483BDF">
      <w:r>
        <w:separator/>
      </w:r>
    </w:p>
  </w:endnote>
  <w:endnote w:type="continuationSeparator" w:id="0">
    <w:p w14:paraId="59102278" w14:textId="77777777" w:rsidR="00483BDF" w:rsidRDefault="0048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85192" w14:textId="77777777" w:rsidR="00483BDF" w:rsidRDefault="00483BDF">
      <w:r>
        <w:separator/>
      </w:r>
    </w:p>
  </w:footnote>
  <w:footnote w:type="continuationSeparator" w:id="0">
    <w:p w14:paraId="58F70539" w14:textId="77777777" w:rsidR="00483BDF" w:rsidRDefault="00483BDF">
      <w:r>
        <w:continuationSeparator/>
      </w:r>
    </w:p>
  </w:footnote>
  <w:footnote w:id="1">
    <w:p w14:paraId="587B4E70" w14:textId="7D220B26" w:rsidR="003C6CA1" w:rsidRPr="005D571E" w:rsidRDefault="003C6CA1" w:rsidP="005D571E">
      <w:pPr>
        <w:jc w:val="both"/>
        <w:rPr>
          <w:sz w:val="20"/>
          <w:szCs w:val="20"/>
        </w:rPr>
      </w:pPr>
      <w:r w:rsidRPr="00BD4C67">
        <w:rPr>
          <w:rStyle w:val="FootnoteReference"/>
          <w:sz w:val="20"/>
          <w:szCs w:val="20"/>
        </w:rPr>
        <w:footnoteRef/>
      </w:r>
      <w:r w:rsidRPr="00BD4C67">
        <w:rPr>
          <w:sz w:val="20"/>
          <w:szCs w:val="20"/>
        </w:rPr>
        <w:t xml:space="preserve"> </w:t>
      </w:r>
      <w:r w:rsidRPr="00984737">
        <w:rPr>
          <w:sz w:val="20"/>
          <w:szCs w:val="20"/>
        </w:rPr>
        <w:t xml:space="preserve">Annexures </w:t>
      </w:r>
      <w:r w:rsidR="00F06B4D">
        <w:rPr>
          <w:sz w:val="20"/>
          <w:szCs w:val="20"/>
        </w:rPr>
        <w:t>"</w:t>
      </w:r>
      <w:r w:rsidRPr="00984737">
        <w:rPr>
          <w:sz w:val="20"/>
          <w:szCs w:val="20"/>
        </w:rPr>
        <w:t>POC6</w:t>
      </w:r>
      <w:r w:rsidR="00F06B4D">
        <w:rPr>
          <w:sz w:val="20"/>
          <w:szCs w:val="20"/>
        </w:rPr>
        <w:t>"</w:t>
      </w:r>
      <w:r w:rsidRPr="00984737">
        <w:rPr>
          <w:sz w:val="20"/>
          <w:szCs w:val="20"/>
        </w:rPr>
        <w:t xml:space="preserve">, </w:t>
      </w:r>
      <w:r w:rsidR="00F06B4D">
        <w:rPr>
          <w:sz w:val="20"/>
          <w:szCs w:val="20"/>
        </w:rPr>
        <w:t>"</w:t>
      </w:r>
      <w:r w:rsidRPr="00984737">
        <w:rPr>
          <w:sz w:val="20"/>
          <w:szCs w:val="20"/>
        </w:rPr>
        <w:t>POC7</w:t>
      </w:r>
      <w:r w:rsidR="00F06B4D">
        <w:rPr>
          <w:sz w:val="20"/>
          <w:szCs w:val="20"/>
        </w:rPr>
        <w:t>"</w:t>
      </w:r>
      <w:r w:rsidRPr="00984737">
        <w:rPr>
          <w:sz w:val="20"/>
          <w:szCs w:val="20"/>
        </w:rPr>
        <w:t xml:space="preserve">, </w:t>
      </w:r>
      <w:r w:rsidR="00F06B4D">
        <w:rPr>
          <w:sz w:val="20"/>
          <w:szCs w:val="20"/>
        </w:rPr>
        <w:t>"</w:t>
      </w:r>
      <w:r w:rsidRPr="00984737">
        <w:rPr>
          <w:sz w:val="20"/>
          <w:szCs w:val="20"/>
        </w:rPr>
        <w:t>POC8</w:t>
      </w:r>
      <w:r w:rsidR="00F06B4D">
        <w:rPr>
          <w:sz w:val="20"/>
          <w:szCs w:val="20"/>
        </w:rPr>
        <w:t>"</w:t>
      </w:r>
      <w:r w:rsidRPr="00984737">
        <w:rPr>
          <w:sz w:val="20"/>
          <w:szCs w:val="20"/>
        </w:rPr>
        <w:t xml:space="preserve">, </w:t>
      </w:r>
      <w:r w:rsidR="00F06B4D">
        <w:rPr>
          <w:sz w:val="20"/>
          <w:szCs w:val="20"/>
        </w:rPr>
        <w:t>"</w:t>
      </w:r>
      <w:r w:rsidRPr="00984737">
        <w:rPr>
          <w:sz w:val="20"/>
          <w:szCs w:val="20"/>
        </w:rPr>
        <w:t>POC9</w:t>
      </w:r>
      <w:r w:rsidR="00F06B4D">
        <w:rPr>
          <w:sz w:val="20"/>
          <w:szCs w:val="20"/>
        </w:rPr>
        <w:t>"</w:t>
      </w:r>
      <w:r w:rsidRPr="00984737">
        <w:rPr>
          <w:sz w:val="20"/>
          <w:szCs w:val="20"/>
        </w:rPr>
        <w:t xml:space="preserve"> and </w:t>
      </w:r>
      <w:r w:rsidR="00F06B4D">
        <w:rPr>
          <w:sz w:val="20"/>
          <w:szCs w:val="20"/>
        </w:rPr>
        <w:t>"</w:t>
      </w:r>
      <w:r w:rsidRPr="00984737">
        <w:rPr>
          <w:sz w:val="20"/>
          <w:szCs w:val="20"/>
        </w:rPr>
        <w:t>POC10</w:t>
      </w:r>
      <w:r w:rsidR="00F06B4D">
        <w:rPr>
          <w:sz w:val="20"/>
          <w:szCs w:val="20"/>
        </w:rPr>
        <w:t>"</w:t>
      </w:r>
      <w:r w:rsidRPr="00984737">
        <w:rPr>
          <w:sz w:val="20"/>
          <w:szCs w:val="20"/>
        </w:rPr>
        <w:t xml:space="preserve"> are not relevant to th</w:t>
      </w:r>
      <w:r>
        <w:rPr>
          <w:sz w:val="20"/>
          <w:szCs w:val="20"/>
        </w:rPr>
        <w:t>e exception.</w:t>
      </w:r>
      <w:r w:rsidRPr="00984737">
        <w:rPr>
          <w:sz w:val="20"/>
          <w:szCs w:val="20"/>
        </w:rPr>
        <w:t xml:space="preserve"> Annexures </w:t>
      </w:r>
      <w:r w:rsidR="00F06B4D">
        <w:rPr>
          <w:sz w:val="20"/>
          <w:szCs w:val="20"/>
        </w:rPr>
        <w:t>"</w:t>
      </w:r>
      <w:r w:rsidRPr="00984737">
        <w:rPr>
          <w:sz w:val="20"/>
          <w:szCs w:val="20"/>
        </w:rPr>
        <w:t>POC6</w:t>
      </w:r>
      <w:r w:rsidR="00F06B4D">
        <w:rPr>
          <w:sz w:val="20"/>
          <w:szCs w:val="20"/>
        </w:rPr>
        <w:t>"</w:t>
      </w:r>
      <w:r w:rsidRPr="00984737">
        <w:rPr>
          <w:sz w:val="20"/>
          <w:szCs w:val="20"/>
        </w:rPr>
        <w:t xml:space="preserve"> and </w:t>
      </w:r>
      <w:r w:rsidR="00F06B4D">
        <w:rPr>
          <w:sz w:val="20"/>
          <w:szCs w:val="20"/>
        </w:rPr>
        <w:t>"</w:t>
      </w:r>
      <w:r w:rsidRPr="00984737">
        <w:rPr>
          <w:sz w:val="20"/>
          <w:szCs w:val="20"/>
        </w:rPr>
        <w:t>POC7</w:t>
      </w:r>
      <w:r w:rsidR="00F06B4D">
        <w:rPr>
          <w:sz w:val="20"/>
          <w:szCs w:val="20"/>
        </w:rPr>
        <w:t>"</w:t>
      </w:r>
      <w:r w:rsidRPr="00984737">
        <w:rPr>
          <w:sz w:val="20"/>
          <w:szCs w:val="20"/>
        </w:rPr>
        <w:t xml:space="preserve"> are copies of fidelity fund certificates issued to the </w:t>
      </w:r>
      <w:r>
        <w:rPr>
          <w:sz w:val="20"/>
          <w:szCs w:val="20"/>
        </w:rPr>
        <w:t xml:space="preserve">respondent </w:t>
      </w:r>
      <w:r w:rsidRPr="00984737">
        <w:rPr>
          <w:sz w:val="20"/>
          <w:szCs w:val="20"/>
        </w:rPr>
        <w:t xml:space="preserve">on 1 January 2021, annexure </w:t>
      </w:r>
      <w:r w:rsidR="00F06B4D">
        <w:rPr>
          <w:sz w:val="20"/>
          <w:szCs w:val="20"/>
        </w:rPr>
        <w:t>"</w:t>
      </w:r>
      <w:r w:rsidRPr="00984737">
        <w:rPr>
          <w:sz w:val="20"/>
          <w:szCs w:val="20"/>
        </w:rPr>
        <w:t>POC8</w:t>
      </w:r>
      <w:r w:rsidR="00F06B4D">
        <w:rPr>
          <w:sz w:val="20"/>
          <w:szCs w:val="20"/>
        </w:rPr>
        <w:t>"</w:t>
      </w:r>
      <w:r w:rsidRPr="00984737">
        <w:rPr>
          <w:sz w:val="20"/>
          <w:szCs w:val="20"/>
        </w:rPr>
        <w:t xml:space="preserve"> is a fidelity fund certificate issued to Dewey Andrew De</w:t>
      </w:r>
      <w:r w:rsidR="00F06B4D">
        <w:rPr>
          <w:sz w:val="20"/>
          <w:szCs w:val="20"/>
        </w:rPr>
        <w:t xml:space="preserve"> </w:t>
      </w:r>
      <w:r w:rsidRPr="00984737">
        <w:rPr>
          <w:sz w:val="20"/>
          <w:szCs w:val="20"/>
        </w:rPr>
        <w:t xml:space="preserve">Villiers of the </w:t>
      </w:r>
      <w:r>
        <w:rPr>
          <w:sz w:val="20"/>
          <w:szCs w:val="20"/>
        </w:rPr>
        <w:t>respondent</w:t>
      </w:r>
      <w:r w:rsidRPr="00984737">
        <w:rPr>
          <w:sz w:val="20"/>
          <w:szCs w:val="20"/>
        </w:rPr>
        <w:t xml:space="preserve"> on 1 January 2021</w:t>
      </w:r>
      <w:r w:rsidRPr="00BD4C67">
        <w:rPr>
          <w:sz w:val="20"/>
          <w:szCs w:val="20"/>
        </w:rPr>
        <w:t xml:space="preserve">, annexure </w:t>
      </w:r>
      <w:r w:rsidR="00F06B4D">
        <w:rPr>
          <w:sz w:val="20"/>
          <w:szCs w:val="20"/>
        </w:rPr>
        <w:t>"</w:t>
      </w:r>
      <w:r w:rsidRPr="00BD4C67">
        <w:rPr>
          <w:sz w:val="20"/>
          <w:szCs w:val="20"/>
        </w:rPr>
        <w:t>POC9</w:t>
      </w:r>
      <w:r w:rsidR="00F06B4D">
        <w:rPr>
          <w:sz w:val="20"/>
          <w:szCs w:val="20"/>
        </w:rPr>
        <w:t>"</w:t>
      </w:r>
      <w:r w:rsidRPr="00BD4C67">
        <w:rPr>
          <w:sz w:val="20"/>
          <w:szCs w:val="20"/>
        </w:rPr>
        <w:t xml:space="preserve"> is a fidelity fund certificate issued to Te Vaarwerk Marcus Engelbertus of the</w:t>
      </w:r>
      <w:r>
        <w:rPr>
          <w:sz w:val="20"/>
          <w:szCs w:val="20"/>
        </w:rPr>
        <w:t xml:space="preserve"> respondent </w:t>
      </w:r>
      <w:r w:rsidRPr="00BD4C67">
        <w:rPr>
          <w:sz w:val="20"/>
          <w:szCs w:val="20"/>
        </w:rPr>
        <w:t xml:space="preserve">on 1 January 2021, and annexure </w:t>
      </w:r>
      <w:r w:rsidR="00F06B4D">
        <w:rPr>
          <w:sz w:val="20"/>
          <w:szCs w:val="20"/>
        </w:rPr>
        <w:t>"</w:t>
      </w:r>
      <w:r w:rsidRPr="00BD4C67">
        <w:rPr>
          <w:sz w:val="20"/>
          <w:szCs w:val="20"/>
        </w:rPr>
        <w:t>POC10</w:t>
      </w:r>
      <w:r w:rsidR="00F06B4D">
        <w:rPr>
          <w:sz w:val="20"/>
          <w:szCs w:val="20"/>
        </w:rPr>
        <w:t>"</w:t>
      </w:r>
      <w:r w:rsidRPr="00BD4C67">
        <w:rPr>
          <w:sz w:val="20"/>
          <w:szCs w:val="20"/>
        </w:rPr>
        <w:t xml:space="preserve"> is a fidelity fund certificate issued to Van Schoor Michael-John of the </w:t>
      </w:r>
      <w:r>
        <w:rPr>
          <w:sz w:val="20"/>
          <w:szCs w:val="20"/>
        </w:rPr>
        <w:t xml:space="preserve">respondent </w:t>
      </w:r>
      <w:r w:rsidR="005D571E">
        <w:rPr>
          <w:sz w:val="20"/>
          <w:szCs w:val="20"/>
        </w:rPr>
        <w:t>on 1 January 2021</w:t>
      </w:r>
    </w:p>
  </w:footnote>
  <w:footnote w:id="2">
    <w:p w14:paraId="1AA223CC" w14:textId="6CF5D9B8" w:rsidR="006541A6" w:rsidRPr="006541A6" w:rsidRDefault="006541A6">
      <w:pPr>
        <w:pStyle w:val="FootnoteText"/>
        <w:rPr>
          <w:lang w:val="en-US"/>
        </w:rPr>
      </w:pPr>
      <w:r>
        <w:rPr>
          <w:rStyle w:val="FootnoteReference"/>
        </w:rPr>
        <w:footnoteRef/>
      </w:r>
      <w:r>
        <w:t xml:space="preserve"> Promulgated in </w:t>
      </w:r>
      <w:r w:rsidR="00C354D6">
        <w:t>GN</w:t>
      </w:r>
      <w:r>
        <w:t xml:space="preserve"> R2</w:t>
      </w:r>
      <w:r w:rsidR="009F3028">
        <w:t>a</w:t>
      </w:r>
      <w:r w:rsidR="00C354D6">
        <w:t>,</w:t>
      </w:r>
      <w:r>
        <w:t xml:space="preserve"> </w:t>
      </w:r>
      <w:r w:rsidR="00C354D6" w:rsidRPr="00F6407F">
        <w:rPr>
          <w:i/>
        </w:rPr>
        <w:t>GG</w:t>
      </w:r>
      <w:r>
        <w:t xml:space="preserve"> 39743 of 26 February 2016.</w:t>
      </w:r>
    </w:p>
  </w:footnote>
  <w:footnote w:id="3">
    <w:p w14:paraId="5AEBA70E" w14:textId="17F267B0" w:rsidR="003D068C" w:rsidRPr="00916509" w:rsidRDefault="003D068C">
      <w:pPr>
        <w:pStyle w:val="FootnoteText"/>
        <w:rPr>
          <w:lang w:val="en-US"/>
        </w:rPr>
      </w:pPr>
      <w:r>
        <w:rPr>
          <w:rStyle w:val="FootnoteReference"/>
        </w:rPr>
        <w:footnoteRef/>
      </w:r>
      <w:r>
        <w:t xml:space="preserve"> </w:t>
      </w:r>
      <w:r>
        <w:rPr>
          <w:lang w:val="en-US"/>
        </w:rPr>
        <w:t xml:space="preserve">See LM du Plessis ‘Statute Law and Interpretation’ in WA Joubert (founding ed) 25(1) </w:t>
      </w:r>
      <w:r w:rsidRPr="00916509">
        <w:rPr>
          <w:i/>
          <w:lang w:val="en-US"/>
        </w:rPr>
        <w:t>LAWSA</w:t>
      </w:r>
      <w:r>
        <w:rPr>
          <w:lang w:val="en-US"/>
        </w:rPr>
        <w:t xml:space="preserve"> 2ed paras 342 and 358, and </w:t>
      </w:r>
      <w:r w:rsidR="00032E99">
        <w:rPr>
          <w:lang w:val="en-US"/>
        </w:rPr>
        <w:t>M van Staden ‘A Comparative Analysis of Common Law Presumptions of Statutory Interpretation’ (2015) 26 Stellenbosch L Rev 550 at 562.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8FC0" w14:textId="77777777" w:rsidR="00B62747" w:rsidRDefault="00B627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B62747" w:rsidRDefault="00B6274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4483" w14:textId="08725052" w:rsidR="00B62747" w:rsidRPr="00AC7DA3" w:rsidRDefault="00B62747">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8D44BF">
      <w:rPr>
        <w:rStyle w:val="PageNumber"/>
        <w:rFonts w:cs="Arial"/>
        <w:noProof/>
        <w:sz w:val="22"/>
      </w:rPr>
      <w:t>13</w:t>
    </w:r>
    <w:r w:rsidRPr="00AC7DA3">
      <w:rPr>
        <w:rStyle w:val="PageNumber"/>
        <w:rFonts w:cs="Arial"/>
        <w:sz w:val="22"/>
      </w:rPr>
      <w:fldChar w:fldCharType="end"/>
    </w:r>
  </w:p>
  <w:p w14:paraId="0B7E1CB3" w14:textId="77777777" w:rsidR="00B62747" w:rsidRDefault="00B62747">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F372" w14:textId="586676D1" w:rsidR="0055065D" w:rsidRPr="0055065D" w:rsidRDefault="0055065D">
    <w:pPr>
      <w:pStyle w:val="Header"/>
      <w:rPr>
        <w:lang w:val="en-GB"/>
      </w:rPr>
    </w:pPr>
    <w:r>
      <w:rPr>
        <w:lang w:val="en-GB"/>
      </w:rPr>
      <w:t xml:space="preserve">AMENDED PAGE 1 :   </w:t>
    </w:r>
    <w:r w:rsidRPr="0055065D">
      <w:rPr>
        <w:b/>
        <w:lang w:val="en-GB"/>
      </w:rPr>
      <w:t>SZC INVESTMENTS</w:t>
    </w:r>
    <w:r>
      <w:rPr>
        <w:lang w:val="en-GB"/>
      </w:rPr>
      <w:t xml:space="preserve"> and not SCZ INVESTMENTS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572B"/>
    <w:multiLevelType w:val="hybridMultilevel"/>
    <w:tmpl w:val="567A1638"/>
    <w:lvl w:ilvl="0" w:tplc="470E3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65F33"/>
    <w:multiLevelType w:val="hybridMultilevel"/>
    <w:tmpl w:val="A5148F00"/>
    <w:lvl w:ilvl="0" w:tplc="386003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934B06"/>
    <w:multiLevelType w:val="hybridMultilevel"/>
    <w:tmpl w:val="0C4E4BAA"/>
    <w:lvl w:ilvl="0" w:tplc="B1AA3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57D57"/>
    <w:multiLevelType w:val="hybridMultilevel"/>
    <w:tmpl w:val="761E0306"/>
    <w:lvl w:ilvl="0" w:tplc="8C226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A4620"/>
    <w:multiLevelType w:val="hybridMultilevel"/>
    <w:tmpl w:val="AC969FE8"/>
    <w:lvl w:ilvl="0" w:tplc="8E7A7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43935"/>
    <w:multiLevelType w:val="hybridMultilevel"/>
    <w:tmpl w:val="D44C156E"/>
    <w:lvl w:ilvl="0" w:tplc="02282F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F6340E5"/>
    <w:multiLevelType w:val="hybridMultilevel"/>
    <w:tmpl w:val="17DA6F82"/>
    <w:lvl w:ilvl="0" w:tplc="07A49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6C5822-325E-4D02-ADBF-9E673466A0AD}"/>
    <w:docVar w:name="dgnword-eventsink" w:val="304720120"/>
  </w:docVars>
  <w:rsids>
    <w:rsidRoot w:val="00093030"/>
    <w:rsid w:val="0000145C"/>
    <w:rsid w:val="000018AE"/>
    <w:rsid w:val="00004C06"/>
    <w:rsid w:val="00005F63"/>
    <w:rsid w:val="00007CE3"/>
    <w:rsid w:val="00013458"/>
    <w:rsid w:val="00016245"/>
    <w:rsid w:val="00017757"/>
    <w:rsid w:val="00022B7D"/>
    <w:rsid w:val="00027A8B"/>
    <w:rsid w:val="00032584"/>
    <w:rsid w:val="00032E7D"/>
    <w:rsid w:val="00032E99"/>
    <w:rsid w:val="00043616"/>
    <w:rsid w:val="000519E5"/>
    <w:rsid w:val="00052E11"/>
    <w:rsid w:val="00055AB6"/>
    <w:rsid w:val="0006537F"/>
    <w:rsid w:val="00071C02"/>
    <w:rsid w:val="000730D6"/>
    <w:rsid w:val="00076F33"/>
    <w:rsid w:val="00081125"/>
    <w:rsid w:val="00082C3F"/>
    <w:rsid w:val="00083528"/>
    <w:rsid w:val="00084743"/>
    <w:rsid w:val="00084FF1"/>
    <w:rsid w:val="00086BFA"/>
    <w:rsid w:val="00091C5F"/>
    <w:rsid w:val="00091C85"/>
    <w:rsid w:val="00093030"/>
    <w:rsid w:val="000A1483"/>
    <w:rsid w:val="000A1F50"/>
    <w:rsid w:val="000A2D44"/>
    <w:rsid w:val="000A7F49"/>
    <w:rsid w:val="000B422C"/>
    <w:rsid w:val="000D1290"/>
    <w:rsid w:val="000D315A"/>
    <w:rsid w:val="000D7DB1"/>
    <w:rsid w:val="000E16FA"/>
    <w:rsid w:val="000E39FC"/>
    <w:rsid w:val="000E5726"/>
    <w:rsid w:val="000F13C5"/>
    <w:rsid w:val="000F2ED1"/>
    <w:rsid w:val="000F3AF4"/>
    <w:rsid w:val="000F7B5E"/>
    <w:rsid w:val="000F7BB6"/>
    <w:rsid w:val="00102854"/>
    <w:rsid w:val="00103829"/>
    <w:rsid w:val="00106341"/>
    <w:rsid w:val="001067E6"/>
    <w:rsid w:val="001077DF"/>
    <w:rsid w:val="00107B4C"/>
    <w:rsid w:val="00112230"/>
    <w:rsid w:val="001148EA"/>
    <w:rsid w:val="00117E6E"/>
    <w:rsid w:val="00122128"/>
    <w:rsid w:val="0012460A"/>
    <w:rsid w:val="00131C11"/>
    <w:rsid w:val="00134089"/>
    <w:rsid w:val="00134266"/>
    <w:rsid w:val="0013527F"/>
    <w:rsid w:val="00140E10"/>
    <w:rsid w:val="00142BD9"/>
    <w:rsid w:val="001441F0"/>
    <w:rsid w:val="0015193B"/>
    <w:rsid w:val="0016475E"/>
    <w:rsid w:val="00165F55"/>
    <w:rsid w:val="00166FFB"/>
    <w:rsid w:val="00170F0E"/>
    <w:rsid w:val="00173DCE"/>
    <w:rsid w:val="00174D50"/>
    <w:rsid w:val="001775CE"/>
    <w:rsid w:val="00182054"/>
    <w:rsid w:val="00184716"/>
    <w:rsid w:val="0018534A"/>
    <w:rsid w:val="00186D79"/>
    <w:rsid w:val="00187D56"/>
    <w:rsid w:val="001919CF"/>
    <w:rsid w:val="00193056"/>
    <w:rsid w:val="00196C0D"/>
    <w:rsid w:val="001A0D0D"/>
    <w:rsid w:val="001A35CC"/>
    <w:rsid w:val="001A5199"/>
    <w:rsid w:val="001A655B"/>
    <w:rsid w:val="001B744C"/>
    <w:rsid w:val="001B7972"/>
    <w:rsid w:val="001C075A"/>
    <w:rsid w:val="001C1A01"/>
    <w:rsid w:val="001C1E57"/>
    <w:rsid w:val="001C260A"/>
    <w:rsid w:val="001C5C9A"/>
    <w:rsid w:val="001C6279"/>
    <w:rsid w:val="001C7324"/>
    <w:rsid w:val="001C734D"/>
    <w:rsid w:val="001D6016"/>
    <w:rsid w:val="001E3E16"/>
    <w:rsid w:val="001E49B5"/>
    <w:rsid w:val="001E5B50"/>
    <w:rsid w:val="001E6034"/>
    <w:rsid w:val="001F1278"/>
    <w:rsid w:val="002029DC"/>
    <w:rsid w:val="00207A3D"/>
    <w:rsid w:val="0021401E"/>
    <w:rsid w:val="00217C64"/>
    <w:rsid w:val="002206A8"/>
    <w:rsid w:val="00221386"/>
    <w:rsid w:val="002265FE"/>
    <w:rsid w:val="00230BE3"/>
    <w:rsid w:val="0023479D"/>
    <w:rsid w:val="002363F2"/>
    <w:rsid w:val="0023687E"/>
    <w:rsid w:val="00240526"/>
    <w:rsid w:val="00242D0D"/>
    <w:rsid w:val="00244ADF"/>
    <w:rsid w:val="00255DBD"/>
    <w:rsid w:val="002609B4"/>
    <w:rsid w:val="002765E9"/>
    <w:rsid w:val="00284EB8"/>
    <w:rsid w:val="00285099"/>
    <w:rsid w:val="00285107"/>
    <w:rsid w:val="002866DB"/>
    <w:rsid w:val="002932D5"/>
    <w:rsid w:val="002A02F4"/>
    <w:rsid w:val="002A084B"/>
    <w:rsid w:val="002A706E"/>
    <w:rsid w:val="002A7BA7"/>
    <w:rsid w:val="002B7D52"/>
    <w:rsid w:val="002C3C39"/>
    <w:rsid w:val="002C6FDB"/>
    <w:rsid w:val="002C7FF4"/>
    <w:rsid w:val="002D31F7"/>
    <w:rsid w:val="002D3E60"/>
    <w:rsid w:val="002D4ECE"/>
    <w:rsid w:val="002D52CE"/>
    <w:rsid w:val="002D7B47"/>
    <w:rsid w:val="002E0339"/>
    <w:rsid w:val="002E09F6"/>
    <w:rsid w:val="002E291E"/>
    <w:rsid w:val="002E648A"/>
    <w:rsid w:val="002E6E72"/>
    <w:rsid w:val="002E757C"/>
    <w:rsid w:val="00300829"/>
    <w:rsid w:val="00304C04"/>
    <w:rsid w:val="003051ED"/>
    <w:rsid w:val="00310732"/>
    <w:rsid w:val="00313410"/>
    <w:rsid w:val="0031434B"/>
    <w:rsid w:val="003201BA"/>
    <w:rsid w:val="00324B8C"/>
    <w:rsid w:val="0032676B"/>
    <w:rsid w:val="00331780"/>
    <w:rsid w:val="00331C9B"/>
    <w:rsid w:val="00333FC9"/>
    <w:rsid w:val="00336B3B"/>
    <w:rsid w:val="0034122B"/>
    <w:rsid w:val="00347D9D"/>
    <w:rsid w:val="00347F62"/>
    <w:rsid w:val="0035325C"/>
    <w:rsid w:val="00357B47"/>
    <w:rsid w:val="00362236"/>
    <w:rsid w:val="00367442"/>
    <w:rsid w:val="003676AE"/>
    <w:rsid w:val="0037313E"/>
    <w:rsid w:val="0037450D"/>
    <w:rsid w:val="00376B59"/>
    <w:rsid w:val="003821B1"/>
    <w:rsid w:val="00383BC1"/>
    <w:rsid w:val="00391441"/>
    <w:rsid w:val="00393917"/>
    <w:rsid w:val="00394DF3"/>
    <w:rsid w:val="003955D8"/>
    <w:rsid w:val="003A3CED"/>
    <w:rsid w:val="003B0EEF"/>
    <w:rsid w:val="003B46E9"/>
    <w:rsid w:val="003B530C"/>
    <w:rsid w:val="003C1B9F"/>
    <w:rsid w:val="003C6877"/>
    <w:rsid w:val="003C6CA1"/>
    <w:rsid w:val="003C72D8"/>
    <w:rsid w:val="003D068C"/>
    <w:rsid w:val="003D0903"/>
    <w:rsid w:val="003D1916"/>
    <w:rsid w:val="003D1CEF"/>
    <w:rsid w:val="003D27CE"/>
    <w:rsid w:val="003D316E"/>
    <w:rsid w:val="003D45A4"/>
    <w:rsid w:val="003D6F92"/>
    <w:rsid w:val="003E2CA0"/>
    <w:rsid w:val="003E3019"/>
    <w:rsid w:val="003E4381"/>
    <w:rsid w:val="003E644C"/>
    <w:rsid w:val="003E7496"/>
    <w:rsid w:val="003E7CEE"/>
    <w:rsid w:val="003F15D4"/>
    <w:rsid w:val="003F1885"/>
    <w:rsid w:val="003F4B7C"/>
    <w:rsid w:val="003F747F"/>
    <w:rsid w:val="00400887"/>
    <w:rsid w:val="00402DEC"/>
    <w:rsid w:val="0040435F"/>
    <w:rsid w:val="00404453"/>
    <w:rsid w:val="00405094"/>
    <w:rsid w:val="004150FA"/>
    <w:rsid w:val="00416DF2"/>
    <w:rsid w:val="004200D9"/>
    <w:rsid w:val="00421D33"/>
    <w:rsid w:val="0042536C"/>
    <w:rsid w:val="00425E3B"/>
    <w:rsid w:val="00426762"/>
    <w:rsid w:val="00434510"/>
    <w:rsid w:val="00434C13"/>
    <w:rsid w:val="00437780"/>
    <w:rsid w:val="00440F46"/>
    <w:rsid w:val="00442E3C"/>
    <w:rsid w:val="00443458"/>
    <w:rsid w:val="00444D02"/>
    <w:rsid w:val="00445DD2"/>
    <w:rsid w:val="0044794A"/>
    <w:rsid w:val="00447F20"/>
    <w:rsid w:val="004518EB"/>
    <w:rsid w:val="00454344"/>
    <w:rsid w:val="00455B56"/>
    <w:rsid w:val="00455F9D"/>
    <w:rsid w:val="0046168C"/>
    <w:rsid w:val="00465BC3"/>
    <w:rsid w:val="004667E3"/>
    <w:rsid w:val="00467AD1"/>
    <w:rsid w:val="00471B47"/>
    <w:rsid w:val="004729CA"/>
    <w:rsid w:val="00473023"/>
    <w:rsid w:val="0047444A"/>
    <w:rsid w:val="00483BDF"/>
    <w:rsid w:val="00495E70"/>
    <w:rsid w:val="004A053C"/>
    <w:rsid w:val="004A1073"/>
    <w:rsid w:val="004A4692"/>
    <w:rsid w:val="004B1DC9"/>
    <w:rsid w:val="004B3A04"/>
    <w:rsid w:val="004B50BB"/>
    <w:rsid w:val="004B6FAA"/>
    <w:rsid w:val="004B7F95"/>
    <w:rsid w:val="004C18E1"/>
    <w:rsid w:val="004D3AE3"/>
    <w:rsid w:val="004D40E1"/>
    <w:rsid w:val="004E149A"/>
    <w:rsid w:val="004E7336"/>
    <w:rsid w:val="0050000C"/>
    <w:rsid w:val="0050184C"/>
    <w:rsid w:val="00504FB0"/>
    <w:rsid w:val="0050777D"/>
    <w:rsid w:val="005079DB"/>
    <w:rsid w:val="00510A3B"/>
    <w:rsid w:val="0051658A"/>
    <w:rsid w:val="0052349D"/>
    <w:rsid w:val="005239F8"/>
    <w:rsid w:val="00523C22"/>
    <w:rsid w:val="0052750D"/>
    <w:rsid w:val="0053728C"/>
    <w:rsid w:val="005414C3"/>
    <w:rsid w:val="005446E5"/>
    <w:rsid w:val="0055065D"/>
    <w:rsid w:val="00553F83"/>
    <w:rsid w:val="00560A86"/>
    <w:rsid w:val="00564844"/>
    <w:rsid w:val="00564D29"/>
    <w:rsid w:val="00567A8B"/>
    <w:rsid w:val="0057332C"/>
    <w:rsid w:val="005749ED"/>
    <w:rsid w:val="00575C90"/>
    <w:rsid w:val="005761C8"/>
    <w:rsid w:val="00581145"/>
    <w:rsid w:val="00590810"/>
    <w:rsid w:val="00591415"/>
    <w:rsid w:val="005915A3"/>
    <w:rsid w:val="00593915"/>
    <w:rsid w:val="00594408"/>
    <w:rsid w:val="005958C1"/>
    <w:rsid w:val="00596B0E"/>
    <w:rsid w:val="005A05E0"/>
    <w:rsid w:val="005A560C"/>
    <w:rsid w:val="005C06DB"/>
    <w:rsid w:val="005C37FF"/>
    <w:rsid w:val="005D1F03"/>
    <w:rsid w:val="005D571E"/>
    <w:rsid w:val="005D5A13"/>
    <w:rsid w:val="005D7108"/>
    <w:rsid w:val="005E19CA"/>
    <w:rsid w:val="005E582A"/>
    <w:rsid w:val="005E58F3"/>
    <w:rsid w:val="005E5B04"/>
    <w:rsid w:val="005E71A7"/>
    <w:rsid w:val="005E7450"/>
    <w:rsid w:val="005E7A75"/>
    <w:rsid w:val="005E7B48"/>
    <w:rsid w:val="005E7E19"/>
    <w:rsid w:val="005F299F"/>
    <w:rsid w:val="005F4371"/>
    <w:rsid w:val="006027F2"/>
    <w:rsid w:val="00604732"/>
    <w:rsid w:val="006079D6"/>
    <w:rsid w:val="00613ACE"/>
    <w:rsid w:val="00617608"/>
    <w:rsid w:val="00623F07"/>
    <w:rsid w:val="00631451"/>
    <w:rsid w:val="00633FBD"/>
    <w:rsid w:val="006350FC"/>
    <w:rsid w:val="00635B24"/>
    <w:rsid w:val="00636633"/>
    <w:rsid w:val="006450EF"/>
    <w:rsid w:val="00646935"/>
    <w:rsid w:val="006535FA"/>
    <w:rsid w:val="00653D93"/>
    <w:rsid w:val="006541A6"/>
    <w:rsid w:val="00663E55"/>
    <w:rsid w:val="00670467"/>
    <w:rsid w:val="00671C95"/>
    <w:rsid w:val="00672202"/>
    <w:rsid w:val="00673F6A"/>
    <w:rsid w:val="006746EA"/>
    <w:rsid w:val="00674FB7"/>
    <w:rsid w:val="006754B1"/>
    <w:rsid w:val="0068230D"/>
    <w:rsid w:val="00684F1F"/>
    <w:rsid w:val="006940E6"/>
    <w:rsid w:val="006A0865"/>
    <w:rsid w:val="006A3768"/>
    <w:rsid w:val="006A567B"/>
    <w:rsid w:val="006A645B"/>
    <w:rsid w:val="006A6599"/>
    <w:rsid w:val="006A71FB"/>
    <w:rsid w:val="006B2A00"/>
    <w:rsid w:val="006B4C2C"/>
    <w:rsid w:val="006C5352"/>
    <w:rsid w:val="006D056D"/>
    <w:rsid w:val="006D5842"/>
    <w:rsid w:val="006D7669"/>
    <w:rsid w:val="006E4802"/>
    <w:rsid w:val="006E4DC0"/>
    <w:rsid w:val="006F104B"/>
    <w:rsid w:val="006F6DDE"/>
    <w:rsid w:val="007107EB"/>
    <w:rsid w:val="007117F6"/>
    <w:rsid w:val="00712F3D"/>
    <w:rsid w:val="007136F4"/>
    <w:rsid w:val="0071371D"/>
    <w:rsid w:val="00722729"/>
    <w:rsid w:val="00730D37"/>
    <w:rsid w:val="00732236"/>
    <w:rsid w:val="00732EFB"/>
    <w:rsid w:val="00733F81"/>
    <w:rsid w:val="007365A6"/>
    <w:rsid w:val="00741905"/>
    <w:rsid w:val="0075096F"/>
    <w:rsid w:val="00752443"/>
    <w:rsid w:val="00756AB3"/>
    <w:rsid w:val="00757CC7"/>
    <w:rsid w:val="00762D44"/>
    <w:rsid w:val="00767812"/>
    <w:rsid w:val="00772756"/>
    <w:rsid w:val="00783757"/>
    <w:rsid w:val="00790A1D"/>
    <w:rsid w:val="007A1453"/>
    <w:rsid w:val="007A532F"/>
    <w:rsid w:val="007A56C9"/>
    <w:rsid w:val="007A6E50"/>
    <w:rsid w:val="007A6F3F"/>
    <w:rsid w:val="007B431A"/>
    <w:rsid w:val="007B6EFC"/>
    <w:rsid w:val="007C00E2"/>
    <w:rsid w:val="007C4221"/>
    <w:rsid w:val="007C46B7"/>
    <w:rsid w:val="007D4A5B"/>
    <w:rsid w:val="007E3691"/>
    <w:rsid w:val="007E431D"/>
    <w:rsid w:val="007F2961"/>
    <w:rsid w:val="007F42B7"/>
    <w:rsid w:val="007F5205"/>
    <w:rsid w:val="008022E0"/>
    <w:rsid w:val="0081063E"/>
    <w:rsid w:val="00812F32"/>
    <w:rsid w:val="00813BE0"/>
    <w:rsid w:val="008160EF"/>
    <w:rsid w:val="00821C8E"/>
    <w:rsid w:val="008260B0"/>
    <w:rsid w:val="00833410"/>
    <w:rsid w:val="008355B1"/>
    <w:rsid w:val="00841DF3"/>
    <w:rsid w:val="00844EC6"/>
    <w:rsid w:val="00846AE9"/>
    <w:rsid w:val="0085000F"/>
    <w:rsid w:val="00853357"/>
    <w:rsid w:val="008544D1"/>
    <w:rsid w:val="00860556"/>
    <w:rsid w:val="0086125C"/>
    <w:rsid w:val="00861C49"/>
    <w:rsid w:val="00864DEA"/>
    <w:rsid w:val="00866C23"/>
    <w:rsid w:val="00876A1E"/>
    <w:rsid w:val="00880317"/>
    <w:rsid w:val="008823AE"/>
    <w:rsid w:val="00883788"/>
    <w:rsid w:val="0088489B"/>
    <w:rsid w:val="00892135"/>
    <w:rsid w:val="008951B8"/>
    <w:rsid w:val="00897DF9"/>
    <w:rsid w:val="008A3AC8"/>
    <w:rsid w:val="008A41A0"/>
    <w:rsid w:val="008A6B69"/>
    <w:rsid w:val="008B5360"/>
    <w:rsid w:val="008B6094"/>
    <w:rsid w:val="008B6CDB"/>
    <w:rsid w:val="008C0CAC"/>
    <w:rsid w:val="008C1FC6"/>
    <w:rsid w:val="008C51ED"/>
    <w:rsid w:val="008C5F61"/>
    <w:rsid w:val="008C6109"/>
    <w:rsid w:val="008C6D5A"/>
    <w:rsid w:val="008C7022"/>
    <w:rsid w:val="008D43FD"/>
    <w:rsid w:val="008D44BF"/>
    <w:rsid w:val="008E34C7"/>
    <w:rsid w:val="008E5ABD"/>
    <w:rsid w:val="008E7613"/>
    <w:rsid w:val="008F43A1"/>
    <w:rsid w:val="008F46D1"/>
    <w:rsid w:val="008F5F95"/>
    <w:rsid w:val="0090041A"/>
    <w:rsid w:val="009004DD"/>
    <w:rsid w:val="00900C59"/>
    <w:rsid w:val="00907E84"/>
    <w:rsid w:val="00911895"/>
    <w:rsid w:val="0091589E"/>
    <w:rsid w:val="00916509"/>
    <w:rsid w:val="00920646"/>
    <w:rsid w:val="00923DB0"/>
    <w:rsid w:val="009251F5"/>
    <w:rsid w:val="009304B8"/>
    <w:rsid w:val="00932A95"/>
    <w:rsid w:val="00935216"/>
    <w:rsid w:val="00942027"/>
    <w:rsid w:val="009433EF"/>
    <w:rsid w:val="009453D3"/>
    <w:rsid w:val="00947C7A"/>
    <w:rsid w:val="00950AA8"/>
    <w:rsid w:val="0095694C"/>
    <w:rsid w:val="00957CDA"/>
    <w:rsid w:val="00961A40"/>
    <w:rsid w:val="00971700"/>
    <w:rsid w:val="00981275"/>
    <w:rsid w:val="00981AD3"/>
    <w:rsid w:val="00982094"/>
    <w:rsid w:val="00984737"/>
    <w:rsid w:val="009B1264"/>
    <w:rsid w:val="009B14DA"/>
    <w:rsid w:val="009B477A"/>
    <w:rsid w:val="009B59F9"/>
    <w:rsid w:val="009B63BE"/>
    <w:rsid w:val="009C163C"/>
    <w:rsid w:val="009C1F79"/>
    <w:rsid w:val="009C5501"/>
    <w:rsid w:val="009D1E16"/>
    <w:rsid w:val="009D3787"/>
    <w:rsid w:val="009D3AF2"/>
    <w:rsid w:val="009D4671"/>
    <w:rsid w:val="009D51B0"/>
    <w:rsid w:val="009D620C"/>
    <w:rsid w:val="009D73D8"/>
    <w:rsid w:val="009D7AC5"/>
    <w:rsid w:val="009E0903"/>
    <w:rsid w:val="009E1C6A"/>
    <w:rsid w:val="009E1EDB"/>
    <w:rsid w:val="009E2487"/>
    <w:rsid w:val="009E2FDB"/>
    <w:rsid w:val="009E4078"/>
    <w:rsid w:val="009E50A5"/>
    <w:rsid w:val="009F3028"/>
    <w:rsid w:val="009F55D6"/>
    <w:rsid w:val="00A04E56"/>
    <w:rsid w:val="00A04FA9"/>
    <w:rsid w:val="00A06A11"/>
    <w:rsid w:val="00A14217"/>
    <w:rsid w:val="00A218FC"/>
    <w:rsid w:val="00A24E70"/>
    <w:rsid w:val="00A32163"/>
    <w:rsid w:val="00A35380"/>
    <w:rsid w:val="00A379CE"/>
    <w:rsid w:val="00A41232"/>
    <w:rsid w:val="00A4483E"/>
    <w:rsid w:val="00A462D4"/>
    <w:rsid w:val="00A5053C"/>
    <w:rsid w:val="00A521F6"/>
    <w:rsid w:val="00A52578"/>
    <w:rsid w:val="00A55130"/>
    <w:rsid w:val="00A60B38"/>
    <w:rsid w:val="00A67679"/>
    <w:rsid w:val="00A71D37"/>
    <w:rsid w:val="00A72CA1"/>
    <w:rsid w:val="00A72CE8"/>
    <w:rsid w:val="00A75F80"/>
    <w:rsid w:val="00A77719"/>
    <w:rsid w:val="00A801EC"/>
    <w:rsid w:val="00A833F0"/>
    <w:rsid w:val="00A90200"/>
    <w:rsid w:val="00A902FD"/>
    <w:rsid w:val="00AA033A"/>
    <w:rsid w:val="00AA2A65"/>
    <w:rsid w:val="00AA2C95"/>
    <w:rsid w:val="00AA5394"/>
    <w:rsid w:val="00AA70A5"/>
    <w:rsid w:val="00AA7C20"/>
    <w:rsid w:val="00AB413D"/>
    <w:rsid w:val="00AB4FD9"/>
    <w:rsid w:val="00AB5C49"/>
    <w:rsid w:val="00AB7FC7"/>
    <w:rsid w:val="00AC0095"/>
    <w:rsid w:val="00AC22A3"/>
    <w:rsid w:val="00AC7DA3"/>
    <w:rsid w:val="00AE1089"/>
    <w:rsid w:val="00AE1B0B"/>
    <w:rsid w:val="00AE54E2"/>
    <w:rsid w:val="00AF02CC"/>
    <w:rsid w:val="00AF18AD"/>
    <w:rsid w:val="00AF2181"/>
    <w:rsid w:val="00AF70D8"/>
    <w:rsid w:val="00AF7D07"/>
    <w:rsid w:val="00AF7F9A"/>
    <w:rsid w:val="00B0456C"/>
    <w:rsid w:val="00B06DC9"/>
    <w:rsid w:val="00B0744D"/>
    <w:rsid w:val="00B112D2"/>
    <w:rsid w:val="00B11A4B"/>
    <w:rsid w:val="00B12A93"/>
    <w:rsid w:val="00B151C2"/>
    <w:rsid w:val="00B16A67"/>
    <w:rsid w:val="00B20852"/>
    <w:rsid w:val="00B20A11"/>
    <w:rsid w:val="00B26F22"/>
    <w:rsid w:val="00B306E6"/>
    <w:rsid w:val="00B35B0F"/>
    <w:rsid w:val="00B47276"/>
    <w:rsid w:val="00B563E0"/>
    <w:rsid w:val="00B56726"/>
    <w:rsid w:val="00B60406"/>
    <w:rsid w:val="00B62747"/>
    <w:rsid w:val="00B708DC"/>
    <w:rsid w:val="00B74F86"/>
    <w:rsid w:val="00B95B9C"/>
    <w:rsid w:val="00BA7944"/>
    <w:rsid w:val="00BA7E7A"/>
    <w:rsid w:val="00BB1D9B"/>
    <w:rsid w:val="00BC064F"/>
    <w:rsid w:val="00BC461C"/>
    <w:rsid w:val="00BD3331"/>
    <w:rsid w:val="00BD392C"/>
    <w:rsid w:val="00BD4C67"/>
    <w:rsid w:val="00BE31E3"/>
    <w:rsid w:val="00BE34D3"/>
    <w:rsid w:val="00BF12D5"/>
    <w:rsid w:val="00BF3215"/>
    <w:rsid w:val="00BF477D"/>
    <w:rsid w:val="00BF49E2"/>
    <w:rsid w:val="00C015BE"/>
    <w:rsid w:val="00C04934"/>
    <w:rsid w:val="00C07C8B"/>
    <w:rsid w:val="00C10099"/>
    <w:rsid w:val="00C107BE"/>
    <w:rsid w:val="00C14C07"/>
    <w:rsid w:val="00C21EF7"/>
    <w:rsid w:val="00C2774D"/>
    <w:rsid w:val="00C302E5"/>
    <w:rsid w:val="00C3268E"/>
    <w:rsid w:val="00C3501C"/>
    <w:rsid w:val="00C354D6"/>
    <w:rsid w:val="00C37D96"/>
    <w:rsid w:val="00C41D52"/>
    <w:rsid w:val="00C44DA7"/>
    <w:rsid w:val="00C44F5A"/>
    <w:rsid w:val="00C47317"/>
    <w:rsid w:val="00C509C9"/>
    <w:rsid w:val="00C509CB"/>
    <w:rsid w:val="00C54FBB"/>
    <w:rsid w:val="00C57276"/>
    <w:rsid w:val="00C5749B"/>
    <w:rsid w:val="00C5749C"/>
    <w:rsid w:val="00C62C8F"/>
    <w:rsid w:val="00C66485"/>
    <w:rsid w:val="00C66804"/>
    <w:rsid w:val="00C7061F"/>
    <w:rsid w:val="00C70C28"/>
    <w:rsid w:val="00C72774"/>
    <w:rsid w:val="00C76E0D"/>
    <w:rsid w:val="00C931F4"/>
    <w:rsid w:val="00C94900"/>
    <w:rsid w:val="00C9641F"/>
    <w:rsid w:val="00C96C89"/>
    <w:rsid w:val="00C97A1F"/>
    <w:rsid w:val="00CA2EE2"/>
    <w:rsid w:val="00CA37FF"/>
    <w:rsid w:val="00CB09C0"/>
    <w:rsid w:val="00CB12DF"/>
    <w:rsid w:val="00CB1335"/>
    <w:rsid w:val="00CB5F17"/>
    <w:rsid w:val="00CB6EDC"/>
    <w:rsid w:val="00CC45ED"/>
    <w:rsid w:val="00CC7681"/>
    <w:rsid w:val="00CD44DB"/>
    <w:rsid w:val="00CD468D"/>
    <w:rsid w:val="00CD52F6"/>
    <w:rsid w:val="00CD7BE2"/>
    <w:rsid w:val="00CE55AD"/>
    <w:rsid w:val="00CF0CE7"/>
    <w:rsid w:val="00CF35BC"/>
    <w:rsid w:val="00CF57E0"/>
    <w:rsid w:val="00CF6D01"/>
    <w:rsid w:val="00D02AF3"/>
    <w:rsid w:val="00D12200"/>
    <w:rsid w:val="00D15C35"/>
    <w:rsid w:val="00D1618F"/>
    <w:rsid w:val="00D20C60"/>
    <w:rsid w:val="00D20E62"/>
    <w:rsid w:val="00D245C6"/>
    <w:rsid w:val="00D27EFA"/>
    <w:rsid w:val="00D319D7"/>
    <w:rsid w:val="00D327E6"/>
    <w:rsid w:val="00D40202"/>
    <w:rsid w:val="00D40C4E"/>
    <w:rsid w:val="00D441CA"/>
    <w:rsid w:val="00D452DD"/>
    <w:rsid w:val="00D475C1"/>
    <w:rsid w:val="00D51590"/>
    <w:rsid w:val="00D51BE1"/>
    <w:rsid w:val="00D51E6F"/>
    <w:rsid w:val="00D617EA"/>
    <w:rsid w:val="00D65397"/>
    <w:rsid w:val="00D66C60"/>
    <w:rsid w:val="00D74694"/>
    <w:rsid w:val="00D80279"/>
    <w:rsid w:val="00D85D9A"/>
    <w:rsid w:val="00D863A5"/>
    <w:rsid w:val="00D867C4"/>
    <w:rsid w:val="00D93E5F"/>
    <w:rsid w:val="00D97450"/>
    <w:rsid w:val="00D97D4E"/>
    <w:rsid w:val="00DA000E"/>
    <w:rsid w:val="00DA3069"/>
    <w:rsid w:val="00DA328A"/>
    <w:rsid w:val="00DA3DC8"/>
    <w:rsid w:val="00DA439C"/>
    <w:rsid w:val="00DA4C28"/>
    <w:rsid w:val="00DA55D1"/>
    <w:rsid w:val="00DA5C19"/>
    <w:rsid w:val="00DB3774"/>
    <w:rsid w:val="00DB50B0"/>
    <w:rsid w:val="00DB5BCD"/>
    <w:rsid w:val="00DC02F6"/>
    <w:rsid w:val="00DC13FF"/>
    <w:rsid w:val="00DC15B6"/>
    <w:rsid w:val="00DD14CA"/>
    <w:rsid w:val="00DD58F6"/>
    <w:rsid w:val="00DD7215"/>
    <w:rsid w:val="00DE16D5"/>
    <w:rsid w:val="00DE3B81"/>
    <w:rsid w:val="00DE4670"/>
    <w:rsid w:val="00DF4EC9"/>
    <w:rsid w:val="00DF7184"/>
    <w:rsid w:val="00DF71BA"/>
    <w:rsid w:val="00E12C2C"/>
    <w:rsid w:val="00E13397"/>
    <w:rsid w:val="00E1591B"/>
    <w:rsid w:val="00E17576"/>
    <w:rsid w:val="00E2482A"/>
    <w:rsid w:val="00E24A8B"/>
    <w:rsid w:val="00E24D90"/>
    <w:rsid w:val="00E272ED"/>
    <w:rsid w:val="00E2796D"/>
    <w:rsid w:val="00E30FC2"/>
    <w:rsid w:val="00E31DD1"/>
    <w:rsid w:val="00E32AE2"/>
    <w:rsid w:val="00E32D62"/>
    <w:rsid w:val="00E42D6B"/>
    <w:rsid w:val="00E4363E"/>
    <w:rsid w:val="00E518B9"/>
    <w:rsid w:val="00E54771"/>
    <w:rsid w:val="00E57881"/>
    <w:rsid w:val="00E57C33"/>
    <w:rsid w:val="00E62F9F"/>
    <w:rsid w:val="00E704F1"/>
    <w:rsid w:val="00E70593"/>
    <w:rsid w:val="00E70AAD"/>
    <w:rsid w:val="00E7128A"/>
    <w:rsid w:val="00E80E53"/>
    <w:rsid w:val="00E82E37"/>
    <w:rsid w:val="00E83180"/>
    <w:rsid w:val="00E97CAB"/>
    <w:rsid w:val="00EA4FCB"/>
    <w:rsid w:val="00EA659D"/>
    <w:rsid w:val="00EA69C9"/>
    <w:rsid w:val="00EA78CB"/>
    <w:rsid w:val="00EB119E"/>
    <w:rsid w:val="00EB4FAB"/>
    <w:rsid w:val="00EB6CAF"/>
    <w:rsid w:val="00EC0B92"/>
    <w:rsid w:val="00EC3997"/>
    <w:rsid w:val="00EE24D1"/>
    <w:rsid w:val="00EE2BDF"/>
    <w:rsid w:val="00EE62A9"/>
    <w:rsid w:val="00EF3562"/>
    <w:rsid w:val="00EF3AB2"/>
    <w:rsid w:val="00F04C5F"/>
    <w:rsid w:val="00F05731"/>
    <w:rsid w:val="00F06B4D"/>
    <w:rsid w:val="00F14614"/>
    <w:rsid w:val="00F27CC8"/>
    <w:rsid w:val="00F30BA4"/>
    <w:rsid w:val="00F32E87"/>
    <w:rsid w:val="00F420D4"/>
    <w:rsid w:val="00F421E8"/>
    <w:rsid w:val="00F42DC2"/>
    <w:rsid w:val="00F478BF"/>
    <w:rsid w:val="00F47F12"/>
    <w:rsid w:val="00F47FE8"/>
    <w:rsid w:val="00F5076A"/>
    <w:rsid w:val="00F55EA8"/>
    <w:rsid w:val="00F57D56"/>
    <w:rsid w:val="00F6407F"/>
    <w:rsid w:val="00F65D19"/>
    <w:rsid w:val="00F666CC"/>
    <w:rsid w:val="00F671E9"/>
    <w:rsid w:val="00F67E2A"/>
    <w:rsid w:val="00F732A4"/>
    <w:rsid w:val="00F74F71"/>
    <w:rsid w:val="00F82963"/>
    <w:rsid w:val="00F868EC"/>
    <w:rsid w:val="00F91CF5"/>
    <w:rsid w:val="00F93654"/>
    <w:rsid w:val="00F96CFF"/>
    <w:rsid w:val="00FA4CA9"/>
    <w:rsid w:val="00FA57E7"/>
    <w:rsid w:val="00FB18EC"/>
    <w:rsid w:val="00FB450F"/>
    <w:rsid w:val="00FC1675"/>
    <w:rsid w:val="00FD38B7"/>
    <w:rsid w:val="00FD43B5"/>
    <w:rsid w:val="00FD58D3"/>
    <w:rsid w:val="00FD6A58"/>
    <w:rsid w:val="00FE0E2D"/>
    <w:rsid w:val="00FE1C10"/>
    <w:rsid w:val="00FE3433"/>
    <w:rsid w:val="00FE34FE"/>
    <w:rsid w:val="00FE3BF3"/>
    <w:rsid w:val="00FE4BB4"/>
    <w:rsid w:val="00FE55D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3FE1-6FB9-4FFD-A06D-15184AEA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4</cp:revision>
  <cp:lastPrinted>2022-10-31T09:10:00Z</cp:lastPrinted>
  <dcterms:created xsi:type="dcterms:W3CDTF">2022-10-25T11:36:00Z</dcterms:created>
  <dcterms:modified xsi:type="dcterms:W3CDTF">2022-10-31T09:27:00Z</dcterms:modified>
</cp:coreProperties>
</file>