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6B77" w14:textId="77777777" w:rsidR="00A45709" w:rsidRPr="00E805DE" w:rsidRDefault="00A45709" w:rsidP="00F450FB">
      <w:pPr>
        <w:spacing w:line="240" w:lineRule="auto"/>
        <w:jc w:val="center"/>
        <w:rPr>
          <w:b/>
        </w:rPr>
      </w:pPr>
      <w:r w:rsidRPr="0045646E">
        <w:rPr>
          <w:noProof/>
          <w:sz w:val="28"/>
          <w:szCs w:val="28"/>
          <w:lang w:eastAsia="en-ZA"/>
        </w:rPr>
        <w:drawing>
          <wp:inline distT="0" distB="0" distL="0" distR="0" wp14:anchorId="07DDF0B8" wp14:editId="6868877A">
            <wp:extent cx="1115491" cy="109515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474" cy="1096119"/>
                    </a:xfrm>
                    <a:prstGeom prst="rect">
                      <a:avLst/>
                    </a:prstGeom>
                    <a:noFill/>
                    <a:ln>
                      <a:noFill/>
                    </a:ln>
                  </pic:spPr>
                </pic:pic>
              </a:graphicData>
            </a:graphic>
          </wp:inline>
        </w:drawing>
      </w:r>
    </w:p>
    <w:p w14:paraId="3D6774D2" w14:textId="77777777" w:rsidR="00A45709" w:rsidRPr="0067564F" w:rsidRDefault="00A45709" w:rsidP="00A45709">
      <w:pPr>
        <w:spacing w:line="360" w:lineRule="auto"/>
        <w:contextualSpacing/>
        <w:jc w:val="center"/>
        <w:rPr>
          <w:b/>
        </w:rPr>
      </w:pPr>
      <w:r w:rsidRPr="0067564F">
        <w:rPr>
          <w:b/>
        </w:rPr>
        <w:t>IN THE HIGH COURT OF SOUTH AFRICA</w:t>
      </w:r>
    </w:p>
    <w:p w14:paraId="44F965CB" w14:textId="77777777" w:rsidR="00A45709" w:rsidRPr="0067564F" w:rsidRDefault="00F551DB" w:rsidP="00A45709">
      <w:pPr>
        <w:spacing w:line="240" w:lineRule="auto"/>
        <w:contextualSpacing/>
        <w:jc w:val="center"/>
        <w:rPr>
          <w:b/>
        </w:rPr>
      </w:pPr>
      <w:r w:rsidRPr="0067564F">
        <w:rPr>
          <w:b/>
        </w:rPr>
        <w:t>KWAZULU-</w:t>
      </w:r>
      <w:r w:rsidR="00A45709" w:rsidRPr="0067564F">
        <w:rPr>
          <w:b/>
        </w:rPr>
        <w:t xml:space="preserve">NATAL DIVISION, </w:t>
      </w:r>
      <w:r w:rsidR="008D0189" w:rsidRPr="0067564F">
        <w:rPr>
          <w:b/>
        </w:rPr>
        <w:t>PIETERMARITZBURG</w:t>
      </w:r>
    </w:p>
    <w:p w14:paraId="2EC2FDDB" w14:textId="77777777" w:rsidR="00A45709" w:rsidRPr="0067564F" w:rsidRDefault="00A45709" w:rsidP="00A45709">
      <w:pPr>
        <w:spacing w:line="240" w:lineRule="auto"/>
        <w:contextualSpacing/>
        <w:jc w:val="center"/>
        <w:rPr>
          <w:b/>
        </w:rPr>
      </w:pPr>
    </w:p>
    <w:p w14:paraId="09917DA0" w14:textId="77777777" w:rsidR="00A45709" w:rsidRPr="0067564F" w:rsidRDefault="00A45709" w:rsidP="00A45709">
      <w:pPr>
        <w:spacing w:after="0" w:line="240" w:lineRule="auto"/>
        <w:contextualSpacing/>
        <w:jc w:val="center"/>
        <w:rPr>
          <w:b/>
          <w:highlight w:val="yellow"/>
        </w:rPr>
      </w:pPr>
    </w:p>
    <w:p w14:paraId="2D8D060B" w14:textId="77777777" w:rsidR="00A45709" w:rsidRPr="0067564F" w:rsidRDefault="00A45709" w:rsidP="00A45709">
      <w:pPr>
        <w:spacing w:line="240" w:lineRule="auto"/>
        <w:contextualSpacing/>
        <w:jc w:val="right"/>
        <w:rPr>
          <w:b/>
        </w:rPr>
      </w:pPr>
      <w:r w:rsidRPr="0067564F">
        <w:rPr>
          <w:b/>
        </w:rPr>
        <w:t xml:space="preserve">CASE NO. </w:t>
      </w:r>
      <w:r w:rsidR="009600E5" w:rsidRPr="0067564F">
        <w:rPr>
          <w:b/>
        </w:rPr>
        <w:t>AR</w:t>
      </w:r>
      <w:r w:rsidR="005135FC">
        <w:rPr>
          <w:b/>
        </w:rPr>
        <w:t>236/21</w:t>
      </w:r>
    </w:p>
    <w:p w14:paraId="162DA033" w14:textId="77777777" w:rsidR="00A45709" w:rsidRPr="0067564F" w:rsidRDefault="00A45709" w:rsidP="00A45709">
      <w:pPr>
        <w:spacing w:line="240" w:lineRule="auto"/>
        <w:contextualSpacing/>
        <w:jc w:val="right"/>
        <w:rPr>
          <w:b/>
        </w:rPr>
      </w:pPr>
    </w:p>
    <w:p w14:paraId="6F6793F3" w14:textId="77777777" w:rsidR="00A45709" w:rsidRPr="0067564F" w:rsidRDefault="00A45709" w:rsidP="00A45709">
      <w:pPr>
        <w:spacing w:line="360" w:lineRule="auto"/>
        <w:contextualSpacing/>
        <w:jc w:val="both"/>
      </w:pPr>
      <w:r w:rsidRPr="0067564F">
        <w:t xml:space="preserve">In the matter </w:t>
      </w:r>
      <w:r w:rsidR="00885DBF" w:rsidRPr="0067564F">
        <w:t>between:</w:t>
      </w:r>
    </w:p>
    <w:p w14:paraId="73A3BFCB" w14:textId="77777777" w:rsidR="00C86E0D" w:rsidRPr="0067564F" w:rsidRDefault="00C86E0D" w:rsidP="00C86E0D">
      <w:pPr>
        <w:spacing w:after="0"/>
        <w:rPr>
          <w:b/>
        </w:rPr>
      </w:pPr>
    </w:p>
    <w:p w14:paraId="6C01CBF3" w14:textId="77777777" w:rsidR="002C78AA" w:rsidRDefault="005135FC" w:rsidP="005135FC">
      <w:pPr>
        <w:spacing w:after="0" w:line="360" w:lineRule="auto"/>
        <w:rPr>
          <w:b/>
        </w:rPr>
      </w:pPr>
      <w:r>
        <w:rPr>
          <w:b/>
        </w:rPr>
        <w:t>KURT ROBERT KNOOP N.O.</w:t>
      </w:r>
      <w:r>
        <w:rPr>
          <w:b/>
        </w:rPr>
        <w:tab/>
      </w:r>
      <w:r w:rsidR="00234FFA" w:rsidRPr="0067564F">
        <w:rPr>
          <w:b/>
        </w:rPr>
        <w:tab/>
      </w:r>
      <w:r w:rsidR="00234FFA" w:rsidRPr="0067564F">
        <w:rPr>
          <w:b/>
        </w:rPr>
        <w:tab/>
      </w:r>
      <w:r w:rsidR="00234FFA" w:rsidRPr="0067564F">
        <w:rPr>
          <w:b/>
        </w:rPr>
        <w:tab/>
      </w:r>
      <w:r w:rsidR="00234FFA" w:rsidRPr="0067564F">
        <w:rPr>
          <w:b/>
        </w:rPr>
        <w:tab/>
      </w:r>
      <w:r w:rsidR="00936EE1" w:rsidRPr="0067564F">
        <w:rPr>
          <w:b/>
        </w:rPr>
        <w:t xml:space="preserve"> </w:t>
      </w:r>
      <w:r w:rsidR="001945C9" w:rsidRPr="0067564F">
        <w:rPr>
          <w:b/>
        </w:rPr>
        <w:t xml:space="preserve">  </w:t>
      </w:r>
      <w:r>
        <w:rPr>
          <w:b/>
        </w:rPr>
        <w:t xml:space="preserve">FIRST </w:t>
      </w:r>
      <w:r w:rsidR="0009429D" w:rsidRPr="0067564F">
        <w:rPr>
          <w:b/>
        </w:rPr>
        <w:t>APPELLANT</w:t>
      </w:r>
    </w:p>
    <w:p w14:paraId="1BFA1733" w14:textId="77777777" w:rsidR="005135FC" w:rsidRDefault="005135FC" w:rsidP="005135FC">
      <w:pPr>
        <w:spacing w:after="0" w:line="360" w:lineRule="auto"/>
        <w:rPr>
          <w:b/>
        </w:rPr>
      </w:pPr>
      <w:r>
        <w:rPr>
          <w:b/>
        </w:rPr>
        <w:t>THAMSANQA EUGENE MSHENGU N.O.</w:t>
      </w:r>
      <w:r>
        <w:rPr>
          <w:b/>
        </w:rPr>
        <w:tab/>
      </w:r>
      <w:r>
        <w:rPr>
          <w:b/>
        </w:rPr>
        <w:tab/>
        <w:t xml:space="preserve">         SECOND </w:t>
      </w:r>
      <w:r w:rsidRPr="0067564F">
        <w:rPr>
          <w:b/>
        </w:rPr>
        <w:t>APPELLANT</w:t>
      </w:r>
    </w:p>
    <w:p w14:paraId="6458C4FC" w14:textId="77777777" w:rsidR="005135FC" w:rsidRPr="0067564F" w:rsidRDefault="005135FC" w:rsidP="005135FC">
      <w:pPr>
        <w:spacing w:after="0" w:line="360" w:lineRule="auto"/>
        <w:rPr>
          <w:b/>
        </w:rPr>
      </w:pPr>
      <w:r>
        <w:rPr>
          <w:b/>
        </w:rPr>
        <w:t>NTOMBIZETHU THABILE NTANZI N.O.</w:t>
      </w:r>
      <w:r>
        <w:rPr>
          <w:b/>
        </w:rPr>
        <w:tab/>
      </w:r>
      <w:r>
        <w:rPr>
          <w:b/>
        </w:rPr>
        <w:tab/>
      </w:r>
      <w:r>
        <w:rPr>
          <w:b/>
        </w:rPr>
        <w:tab/>
        <w:t xml:space="preserve">  THIRD </w:t>
      </w:r>
      <w:r w:rsidRPr="0067564F">
        <w:rPr>
          <w:b/>
        </w:rPr>
        <w:t>APPELLANT</w:t>
      </w:r>
    </w:p>
    <w:p w14:paraId="3C89DFFF" w14:textId="77777777" w:rsidR="00A45709" w:rsidRPr="0067564F" w:rsidRDefault="00A45709" w:rsidP="00C86E0D">
      <w:pPr>
        <w:spacing w:after="0"/>
        <w:rPr>
          <w:b/>
        </w:rPr>
      </w:pPr>
    </w:p>
    <w:p w14:paraId="10631B6C" w14:textId="77777777" w:rsidR="00A45709" w:rsidRPr="00E75DB6" w:rsidRDefault="00A45709" w:rsidP="00C86E0D">
      <w:pPr>
        <w:spacing w:after="0"/>
      </w:pPr>
      <w:r w:rsidRPr="00E75DB6">
        <w:t>and</w:t>
      </w:r>
    </w:p>
    <w:p w14:paraId="451FB349" w14:textId="77777777" w:rsidR="00A45709" w:rsidRPr="0067564F" w:rsidRDefault="00A45709" w:rsidP="00C86E0D">
      <w:pPr>
        <w:spacing w:after="0"/>
        <w:rPr>
          <w:b/>
        </w:rPr>
      </w:pPr>
    </w:p>
    <w:p w14:paraId="6C2DC212" w14:textId="77777777" w:rsidR="00FF2135" w:rsidRDefault="005135FC" w:rsidP="007B120E">
      <w:pPr>
        <w:spacing w:after="0" w:line="360" w:lineRule="auto"/>
        <w:rPr>
          <w:b/>
        </w:rPr>
      </w:pPr>
      <w:r>
        <w:rPr>
          <w:b/>
        </w:rPr>
        <w:t>BOARDWARE (PTY) LTD</w:t>
      </w:r>
      <w:r>
        <w:rPr>
          <w:b/>
        </w:rPr>
        <w:tab/>
      </w:r>
      <w:r w:rsidR="0009429D" w:rsidRPr="0067564F">
        <w:rPr>
          <w:b/>
        </w:rPr>
        <w:tab/>
      </w:r>
      <w:r w:rsidR="0009429D" w:rsidRPr="0067564F">
        <w:rPr>
          <w:b/>
        </w:rPr>
        <w:tab/>
      </w:r>
      <w:r w:rsidR="0009429D" w:rsidRPr="0067564F">
        <w:rPr>
          <w:b/>
        </w:rPr>
        <w:tab/>
      </w:r>
      <w:r w:rsidR="0009429D" w:rsidRPr="0067564F">
        <w:rPr>
          <w:b/>
        </w:rPr>
        <w:tab/>
      </w:r>
      <w:r w:rsidR="0009429D" w:rsidRPr="0067564F">
        <w:rPr>
          <w:b/>
        </w:rPr>
        <w:tab/>
      </w:r>
      <w:r w:rsidR="0009429D" w:rsidRPr="0067564F">
        <w:rPr>
          <w:b/>
        </w:rPr>
        <w:tab/>
        <w:t>RESPONDENT</w:t>
      </w:r>
    </w:p>
    <w:p w14:paraId="327B227A" w14:textId="77777777" w:rsidR="00D253E2" w:rsidRPr="0067564F" w:rsidRDefault="00D253E2" w:rsidP="00D253E2">
      <w:pPr>
        <w:spacing w:after="0"/>
        <w:jc w:val="center"/>
        <w:rPr>
          <w:b/>
        </w:rPr>
      </w:pPr>
    </w:p>
    <w:p w14:paraId="38E67890" w14:textId="77777777" w:rsidR="008009FC" w:rsidRPr="0067564F" w:rsidRDefault="008009FC" w:rsidP="008009FC">
      <w:pPr>
        <w:rPr>
          <w:b/>
        </w:rPr>
      </w:pPr>
      <w:r w:rsidRPr="0067564F">
        <w:rPr>
          <w:b/>
        </w:rPr>
        <w:t>__________________________________________________________________</w:t>
      </w:r>
    </w:p>
    <w:p w14:paraId="7CAC08C5" w14:textId="77777777" w:rsidR="008009FC" w:rsidRPr="0067564F" w:rsidRDefault="008009FC" w:rsidP="008009FC">
      <w:pPr>
        <w:spacing w:after="0"/>
        <w:jc w:val="center"/>
        <w:rPr>
          <w:b/>
        </w:rPr>
      </w:pPr>
      <w:r w:rsidRPr="0067564F">
        <w:rPr>
          <w:b/>
        </w:rPr>
        <w:t>ORDER</w:t>
      </w:r>
    </w:p>
    <w:p w14:paraId="6ED97350" w14:textId="77777777" w:rsidR="008009FC" w:rsidRPr="0067564F" w:rsidRDefault="008009FC" w:rsidP="008009FC">
      <w:pPr>
        <w:jc w:val="both"/>
        <w:rPr>
          <w:b/>
        </w:rPr>
      </w:pPr>
      <w:r w:rsidRPr="0067564F">
        <w:rPr>
          <w:b/>
        </w:rPr>
        <w:t>__________________________________________________________________</w:t>
      </w:r>
    </w:p>
    <w:p w14:paraId="2729A6BF" w14:textId="77777777" w:rsidR="009600E5" w:rsidRPr="00525F5E" w:rsidRDefault="00525F5E" w:rsidP="00525F5E">
      <w:pPr>
        <w:spacing w:after="0" w:line="360" w:lineRule="auto"/>
        <w:contextualSpacing/>
        <w:jc w:val="both"/>
        <w:rPr>
          <w:color w:val="000000" w:themeColor="text1"/>
        </w:rPr>
      </w:pPr>
      <w:r>
        <w:rPr>
          <w:b/>
          <w:color w:val="000000" w:themeColor="text1"/>
        </w:rPr>
        <w:t>On appeal from:</w:t>
      </w:r>
      <w:r>
        <w:rPr>
          <w:color w:val="000000" w:themeColor="text1"/>
        </w:rPr>
        <w:t xml:space="preserve"> KwaZulu-Natal Division of the High Court, Pietermaritzburg (</w:t>
      </w:r>
      <w:proofErr w:type="spellStart"/>
      <w:r>
        <w:rPr>
          <w:color w:val="000000" w:themeColor="text1"/>
        </w:rPr>
        <w:t>Bezuidenhout</w:t>
      </w:r>
      <w:proofErr w:type="spellEnd"/>
      <w:r>
        <w:rPr>
          <w:color w:val="000000" w:themeColor="text1"/>
        </w:rPr>
        <w:t xml:space="preserve"> J sitting as court of first instance):</w:t>
      </w:r>
    </w:p>
    <w:p w14:paraId="03EEA969" w14:textId="77777777" w:rsidR="001E6878" w:rsidRDefault="003E7F77" w:rsidP="00525F5E">
      <w:pPr>
        <w:spacing w:after="0" w:line="360" w:lineRule="auto"/>
        <w:contextualSpacing/>
        <w:jc w:val="both"/>
        <w:rPr>
          <w:b/>
          <w:color w:val="000000" w:themeColor="text1"/>
        </w:rPr>
      </w:pPr>
      <w:r>
        <w:rPr>
          <w:color w:val="000000" w:themeColor="text1"/>
        </w:rPr>
        <w:t>The appeal is dismissed with costs, such costs to include the costs of the application for leave to appeal.</w:t>
      </w:r>
    </w:p>
    <w:p w14:paraId="75E5C136" w14:textId="77777777" w:rsidR="00A45709" w:rsidRPr="0067564F" w:rsidRDefault="00A45709" w:rsidP="007B120E">
      <w:pPr>
        <w:spacing w:after="0" w:line="360" w:lineRule="auto"/>
        <w:ind w:left="720" w:hanging="720"/>
        <w:jc w:val="both"/>
        <w:rPr>
          <w:b/>
          <w:color w:val="000000" w:themeColor="text1"/>
        </w:rPr>
      </w:pPr>
      <w:r w:rsidRPr="0067564F">
        <w:rPr>
          <w:b/>
          <w:color w:val="000000" w:themeColor="text1"/>
        </w:rPr>
        <w:t>__________________________________________________________________</w:t>
      </w:r>
    </w:p>
    <w:p w14:paraId="0A322AEF" w14:textId="77777777" w:rsidR="00A45709" w:rsidRPr="0067564F" w:rsidRDefault="00421B2E" w:rsidP="00C86E0D">
      <w:pPr>
        <w:spacing w:after="0"/>
        <w:jc w:val="center"/>
        <w:rPr>
          <w:b/>
          <w:color w:val="000000" w:themeColor="text1"/>
        </w:rPr>
      </w:pPr>
      <w:r>
        <w:rPr>
          <w:b/>
          <w:color w:val="000000" w:themeColor="text1"/>
        </w:rPr>
        <w:t>JUDGMENT</w:t>
      </w:r>
    </w:p>
    <w:p w14:paraId="41A5BF1B" w14:textId="77777777" w:rsidR="00A45709" w:rsidRPr="0067564F" w:rsidRDefault="00A45709" w:rsidP="00FA3470">
      <w:pPr>
        <w:contextualSpacing/>
        <w:jc w:val="both"/>
        <w:rPr>
          <w:b/>
          <w:color w:val="000000" w:themeColor="text1"/>
        </w:rPr>
      </w:pPr>
      <w:r w:rsidRPr="0067564F">
        <w:rPr>
          <w:b/>
          <w:color w:val="000000" w:themeColor="text1"/>
        </w:rPr>
        <w:t>__________________________________________________________________</w:t>
      </w:r>
    </w:p>
    <w:p w14:paraId="0EA15610" w14:textId="77777777" w:rsidR="00A45709" w:rsidRDefault="0009429D" w:rsidP="00110FCD">
      <w:pPr>
        <w:spacing w:after="0" w:line="360" w:lineRule="auto"/>
        <w:jc w:val="both"/>
        <w:rPr>
          <w:b/>
          <w:color w:val="000000" w:themeColor="text1"/>
        </w:rPr>
      </w:pPr>
      <w:r w:rsidRPr="00110FCD">
        <w:rPr>
          <w:b/>
          <w:color w:val="000000" w:themeColor="text1"/>
        </w:rPr>
        <w:t>S</w:t>
      </w:r>
      <w:r w:rsidR="009D73E1" w:rsidRPr="00110FCD">
        <w:rPr>
          <w:b/>
          <w:color w:val="000000" w:themeColor="text1"/>
        </w:rPr>
        <w:t>teyn</w:t>
      </w:r>
      <w:r w:rsidRPr="00110FCD">
        <w:rPr>
          <w:b/>
          <w:color w:val="000000" w:themeColor="text1"/>
        </w:rPr>
        <w:t xml:space="preserve"> J</w:t>
      </w:r>
      <w:r w:rsidR="00401B4F" w:rsidRPr="00110FCD">
        <w:rPr>
          <w:b/>
          <w:color w:val="000000" w:themeColor="text1"/>
        </w:rPr>
        <w:t xml:space="preserve"> (</w:t>
      </w:r>
      <w:r w:rsidR="005135FC" w:rsidRPr="00110FCD">
        <w:rPr>
          <w:b/>
          <w:color w:val="000000" w:themeColor="text1"/>
        </w:rPr>
        <w:t xml:space="preserve">Chili et </w:t>
      </w:r>
      <w:proofErr w:type="spellStart"/>
      <w:r w:rsidR="005135FC" w:rsidRPr="00110FCD">
        <w:rPr>
          <w:b/>
          <w:color w:val="000000" w:themeColor="text1"/>
        </w:rPr>
        <w:t>Hadebe</w:t>
      </w:r>
      <w:proofErr w:type="spellEnd"/>
      <w:r w:rsidR="009600E5" w:rsidRPr="00110FCD">
        <w:rPr>
          <w:b/>
          <w:color w:val="000000" w:themeColor="text1"/>
        </w:rPr>
        <w:t xml:space="preserve"> </w:t>
      </w:r>
      <w:r w:rsidR="005135FC" w:rsidRPr="00110FCD">
        <w:rPr>
          <w:b/>
          <w:color w:val="000000" w:themeColor="text1"/>
        </w:rPr>
        <w:t>J</w:t>
      </w:r>
      <w:r w:rsidR="009600E5" w:rsidRPr="00110FCD">
        <w:rPr>
          <w:b/>
          <w:color w:val="000000" w:themeColor="text1"/>
        </w:rPr>
        <w:t>J</w:t>
      </w:r>
      <w:r w:rsidR="00D93F19" w:rsidRPr="00110FCD">
        <w:rPr>
          <w:b/>
          <w:color w:val="000000" w:themeColor="text1"/>
        </w:rPr>
        <w:t xml:space="preserve"> concurring)</w:t>
      </w:r>
      <w:r w:rsidR="00AA5949" w:rsidRPr="00110FCD">
        <w:rPr>
          <w:b/>
          <w:color w:val="000000" w:themeColor="text1"/>
        </w:rPr>
        <w:t>:</w:t>
      </w:r>
    </w:p>
    <w:p w14:paraId="5E6F62D3" w14:textId="77777777" w:rsidR="00525F5E" w:rsidRPr="00110FCD" w:rsidRDefault="00525F5E" w:rsidP="00110FCD">
      <w:pPr>
        <w:spacing w:after="0" w:line="360" w:lineRule="auto"/>
        <w:jc w:val="both"/>
        <w:rPr>
          <w:b/>
          <w:color w:val="000000" w:themeColor="text1"/>
        </w:rPr>
      </w:pPr>
    </w:p>
    <w:p w14:paraId="722F2FA3" w14:textId="77777777" w:rsidR="00332809" w:rsidRDefault="00323232" w:rsidP="00110FCD">
      <w:pPr>
        <w:spacing w:after="0" w:line="360" w:lineRule="auto"/>
        <w:jc w:val="both"/>
        <w:rPr>
          <w:color w:val="000000" w:themeColor="text1"/>
        </w:rPr>
      </w:pPr>
      <w:r w:rsidRPr="00110FCD">
        <w:rPr>
          <w:color w:val="000000" w:themeColor="text1"/>
        </w:rPr>
        <w:t>[1]</w:t>
      </w:r>
      <w:r w:rsidRPr="00110FCD">
        <w:rPr>
          <w:color w:val="000000" w:themeColor="text1"/>
        </w:rPr>
        <w:tab/>
      </w:r>
      <w:r w:rsidR="002B35FA" w:rsidRPr="00110FCD">
        <w:rPr>
          <w:color w:val="000000" w:themeColor="text1"/>
        </w:rPr>
        <w:t>The appellants</w:t>
      </w:r>
      <w:r w:rsidR="00CC13EB" w:rsidRPr="00110FCD">
        <w:rPr>
          <w:color w:val="000000" w:themeColor="text1"/>
        </w:rPr>
        <w:t xml:space="preserve"> appeal</w:t>
      </w:r>
      <w:r w:rsidR="0088434A">
        <w:rPr>
          <w:color w:val="000000" w:themeColor="text1"/>
        </w:rPr>
        <w:t>,</w:t>
      </w:r>
      <w:r w:rsidR="00CC13EB" w:rsidRPr="00110FCD">
        <w:rPr>
          <w:color w:val="000000" w:themeColor="text1"/>
        </w:rPr>
        <w:t xml:space="preserve"> </w:t>
      </w:r>
      <w:r w:rsidR="00C531DF" w:rsidRPr="00110FCD">
        <w:rPr>
          <w:color w:val="000000" w:themeColor="text1"/>
        </w:rPr>
        <w:t xml:space="preserve">with leave granted by the court </w:t>
      </w:r>
      <w:r w:rsidR="00821FA0">
        <w:rPr>
          <w:color w:val="000000" w:themeColor="text1"/>
        </w:rPr>
        <w:t>a quo</w:t>
      </w:r>
      <w:r w:rsidR="0088434A">
        <w:rPr>
          <w:color w:val="000000" w:themeColor="text1"/>
        </w:rPr>
        <w:t>,</w:t>
      </w:r>
      <w:r w:rsidR="00821FA0" w:rsidRPr="00110FCD">
        <w:rPr>
          <w:color w:val="000000" w:themeColor="text1"/>
        </w:rPr>
        <w:t xml:space="preserve"> </w:t>
      </w:r>
      <w:r w:rsidR="00ED570C" w:rsidRPr="00110FCD">
        <w:rPr>
          <w:color w:val="000000" w:themeColor="text1"/>
        </w:rPr>
        <w:t xml:space="preserve">against </w:t>
      </w:r>
      <w:r w:rsidR="00CC13EB" w:rsidRPr="00110FCD">
        <w:rPr>
          <w:color w:val="000000" w:themeColor="text1"/>
        </w:rPr>
        <w:t>the whole of the judg</w:t>
      </w:r>
      <w:r w:rsidR="002B35FA" w:rsidRPr="00110FCD">
        <w:rPr>
          <w:color w:val="000000" w:themeColor="text1"/>
        </w:rPr>
        <w:t>ment of th</w:t>
      </w:r>
      <w:r w:rsidR="00821FA0">
        <w:rPr>
          <w:color w:val="000000" w:themeColor="text1"/>
        </w:rPr>
        <w:t>at</w:t>
      </w:r>
      <w:r w:rsidR="002B35FA" w:rsidRPr="00110FCD">
        <w:rPr>
          <w:color w:val="000000" w:themeColor="text1"/>
        </w:rPr>
        <w:t xml:space="preserve"> court</w:t>
      </w:r>
      <w:r w:rsidR="00C75C9A" w:rsidRPr="00110FCD">
        <w:rPr>
          <w:color w:val="000000" w:themeColor="text1"/>
        </w:rPr>
        <w:t>.</w:t>
      </w:r>
      <w:r w:rsidR="00381E87" w:rsidRPr="00110FCD">
        <w:rPr>
          <w:color w:val="000000" w:themeColor="text1"/>
        </w:rPr>
        <w:t xml:space="preserve"> </w:t>
      </w:r>
      <w:r w:rsidR="002B35FA" w:rsidRPr="00110FCD">
        <w:rPr>
          <w:color w:val="000000" w:themeColor="text1"/>
        </w:rPr>
        <w:t xml:space="preserve">The appellants are the liquidators of </w:t>
      </w:r>
      <w:r w:rsidR="002A3910" w:rsidRPr="00110FCD">
        <w:rPr>
          <w:color w:val="000000" w:themeColor="text1"/>
        </w:rPr>
        <w:t>Evowood</w:t>
      </w:r>
      <w:r w:rsidR="002B35FA" w:rsidRPr="00110FCD">
        <w:rPr>
          <w:color w:val="000000" w:themeColor="text1"/>
        </w:rPr>
        <w:t xml:space="preserve"> (Pty)</w:t>
      </w:r>
      <w:r w:rsidR="00F870AE" w:rsidRPr="00110FCD">
        <w:rPr>
          <w:color w:val="000000" w:themeColor="text1"/>
        </w:rPr>
        <w:t xml:space="preserve"> Ltd </w:t>
      </w:r>
      <w:r w:rsidR="00CC13EB" w:rsidRPr="00110FCD">
        <w:rPr>
          <w:color w:val="000000" w:themeColor="text1"/>
        </w:rPr>
        <w:t>(</w:t>
      </w:r>
      <w:r w:rsidR="00F870AE" w:rsidRPr="00110FCD">
        <w:rPr>
          <w:color w:val="000000" w:themeColor="text1"/>
        </w:rPr>
        <w:t>here</w:t>
      </w:r>
      <w:r w:rsidR="00CC13EB" w:rsidRPr="00110FCD">
        <w:rPr>
          <w:color w:val="000000" w:themeColor="text1"/>
        </w:rPr>
        <w:t>in</w:t>
      </w:r>
      <w:r w:rsidR="00F870AE" w:rsidRPr="00110FCD">
        <w:rPr>
          <w:color w:val="000000" w:themeColor="text1"/>
        </w:rPr>
        <w:t xml:space="preserve">after </w:t>
      </w:r>
      <w:r w:rsidR="00CC13EB" w:rsidRPr="00110FCD">
        <w:rPr>
          <w:color w:val="000000" w:themeColor="text1"/>
        </w:rPr>
        <w:t>‘</w:t>
      </w:r>
      <w:r w:rsidR="002A3910" w:rsidRPr="00110FCD">
        <w:rPr>
          <w:color w:val="000000" w:themeColor="text1"/>
        </w:rPr>
        <w:t>Evowood</w:t>
      </w:r>
      <w:r w:rsidR="00CC13EB" w:rsidRPr="00110FCD">
        <w:rPr>
          <w:color w:val="000000" w:themeColor="text1"/>
        </w:rPr>
        <w:t>’)</w:t>
      </w:r>
      <w:r w:rsidR="00525F5E">
        <w:rPr>
          <w:color w:val="000000" w:themeColor="text1"/>
        </w:rPr>
        <w:t>,</w:t>
      </w:r>
      <w:r w:rsidR="00F870AE" w:rsidRPr="00110FCD">
        <w:rPr>
          <w:color w:val="000000" w:themeColor="text1"/>
        </w:rPr>
        <w:t xml:space="preserve"> a company in liquidation. The respondent is </w:t>
      </w:r>
      <w:proofErr w:type="spellStart"/>
      <w:r w:rsidR="00B13518" w:rsidRPr="00110FCD">
        <w:rPr>
          <w:color w:val="000000" w:themeColor="text1"/>
        </w:rPr>
        <w:t>Boardware</w:t>
      </w:r>
      <w:proofErr w:type="spellEnd"/>
      <w:r w:rsidR="00B13518" w:rsidRPr="00110FCD">
        <w:rPr>
          <w:color w:val="000000" w:themeColor="text1"/>
        </w:rPr>
        <w:t xml:space="preserve"> (Pty) Ltd (</w:t>
      </w:r>
      <w:r w:rsidR="00CC13EB" w:rsidRPr="00110FCD">
        <w:rPr>
          <w:color w:val="000000" w:themeColor="text1"/>
        </w:rPr>
        <w:t>‘</w:t>
      </w:r>
      <w:proofErr w:type="spellStart"/>
      <w:r w:rsidR="00B13518" w:rsidRPr="00110FCD">
        <w:rPr>
          <w:color w:val="000000" w:themeColor="text1"/>
        </w:rPr>
        <w:t>Boardware</w:t>
      </w:r>
      <w:proofErr w:type="spellEnd"/>
      <w:r w:rsidR="00CC13EB" w:rsidRPr="00110FCD">
        <w:rPr>
          <w:color w:val="000000" w:themeColor="text1"/>
        </w:rPr>
        <w:t>’</w:t>
      </w:r>
      <w:r w:rsidR="00ED570C" w:rsidRPr="00110FCD">
        <w:rPr>
          <w:color w:val="000000" w:themeColor="text1"/>
        </w:rPr>
        <w:t>)</w:t>
      </w:r>
      <w:r w:rsidR="002F162B" w:rsidRPr="00110FCD">
        <w:rPr>
          <w:color w:val="000000" w:themeColor="text1"/>
        </w:rPr>
        <w:t xml:space="preserve"> a company in George, Western Cape</w:t>
      </w:r>
      <w:r w:rsidR="00367447" w:rsidRPr="00110FCD">
        <w:rPr>
          <w:color w:val="000000" w:themeColor="text1"/>
        </w:rPr>
        <w:t xml:space="preserve">. The </w:t>
      </w:r>
      <w:r w:rsidR="00367447" w:rsidRPr="00110FCD">
        <w:rPr>
          <w:color w:val="000000" w:themeColor="text1"/>
        </w:rPr>
        <w:lastRenderedPageBreak/>
        <w:t>respondent use</w:t>
      </w:r>
      <w:r w:rsidR="00525F5E">
        <w:rPr>
          <w:color w:val="000000" w:themeColor="text1"/>
        </w:rPr>
        <w:t>d</w:t>
      </w:r>
      <w:r w:rsidR="00367447" w:rsidRPr="00110FCD">
        <w:rPr>
          <w:color w:val="000000" w:themeColor="text1"/>
        </w:rPr>
        <w:t xml:space="preserve"> </w:t>
      </w:r>
      <w:r w:rsidR="00B13518" w:rsidRPr="00110FCD">
        <w:rPr>
          <w:color w:val="000000" w:themeColor="text1"/>
        </w:rPr>
        <w:t xml:space="preserve">to purchase materials from </w:t>
      </w:r>
      <w:r w:rsidR="002A3910" w:rsidRPr="00110FCD">
        <w:rPr>
          <w:color w:val="000000" w:themeColor="text1"/>
        </w:rPr>
        <w:t>Evowood</w:t>
      </w:r>
      <w:r w:rsidR="00821FA0">
        <w:rPr>
          <w:color w:val="000000" w:themeColor="text1"/>
        </w:rPr>
        <w:t>, which</w:t>
      </w:r>
      <w:r w:rsidR="004F76E1" w:rsidRPr="00110FCD">
        <w:rPr>
          <w:color w:val="000000" w:themeColor="text1"/>
        </w:rPr>
        <w:t xml:space="preserve"> </w:t>
      </w:r>
      <w:r w:rsidR="002F162B" w:rsidRPr="00110FCD">
        <w:rPr>
          <w:color w:val="000000" w:themeColor="text1"/>
        </w:rPr>
        <w:t xml:space="preserve">conducted </w:t>
      </w:r>
      <w:r w:rsidR="0088434A">
        <w:rPr>
          <w:color w:val="000000" w:themeColor="text1"/>
        </w:rPr>
        <w:t xml:space="preserve">its </w:t>
      </w:r>
      <w:r w:rsidR="002F162B" w:rsidRPr="00110FCD">
        <w:rPr>
          <w:color w:val="000000" w:themeColor="text1"/>
        </w:rPr>
        <w:t xml:space="preserve">business </w:t>
      </w:r>
      <w:r w:rsidR="00ED570C" w:rsidRPr="00110FCD">
        <w:rPr>
          <w:color w:val="000000" w:themeColor="text1"/>
        </w:rPr>
        <w:t xml:space="preserve">in </w:t>
      </w:r>
      <w:proofErr w:type="spellStart"/>
      <w:r w:rsidR="00ED570C" w:rsidRPr="00110FCD">
        <w:rPr>
          <w:color w:val="000000" w:themeColor="text1"/>
        </w:rPr>
        <w:t>Es</w:t>
      </w:r>
      <w:r w:rsidR="0088434A">
        <w:rPr>
          <w:color w:val="000000" w:themeColor="text1"/>
        </w:rPr>
        <w:t>t</w:t>
      </w:r>
      <w:r w:rsidR="00ED570C" w:rsidRPr="00110FCD">
        <w:rPr>
          <w:color w:val="000000" w:themeColor="text1"/>
        </w:rPr>
        <w:t>co</w:t>
      </w:r>
      <w:r w:rsidR="0088434A">
        <w:rPr>
          <w:color w:val="000000" w:themeColor="text1"/>
        </w:rPr>
        <w:t>u</w:t>
      </w:r>
      <w:r w:rsidR="00ED570C" w:rsidRPr="00110FCD">
        <w:rPr>
          <w:color w:val="000000" w:themeColor="text1"/>
        </w:rPr>
        <w:t>rt</w:t>
      </w:r>
      <w:proofErr w:type="spellEnd"/>
      <w:r w:rsidR="00ED570C" w:rsidRPr="00110FCD">
        <w:rPr>
          <w:color w:val="000000" w:themeColor="text1"/>
        </w:rPr>
        <w:t>, KwaZulu-Natal</w:t>
      </w:r>
      <w:r w:rsidR="00B13518" w:rsidRPr="00110FCD">
        <w:rPr>
          <w:color w:val="000000" w:themeColor="text1"/>
        </w:rPr>
        <w:t>.</w:t>
      </w:r>
    </w:p>
    <w:p w14:paraId="17436B24" w14:textId="77777777" w:rsidR="00525F5E" w:rsidRPr="00110FCD" w:rsidRDefault="00525F5E" w:rsidP="00110FCD">
      <w:pPr>
        <w:spacing w:after="0" w:line="360" w:lineRule="auto"/>
        <w:jc w:val="both"/>
        <w:rPr>
          <w:color w:val="000000" w:themeColor="text1"/>
        </w:rPr>
      </w:pPr>
    </w:p>
    <w:p w14:paraId="1071FF5A" w14:textId="77777777" w:rsidR="00B13518" w:rsidRPr="00110FCD" w:rsidRDefault="00B13518" w:rsidP="00110FCD">
      <w:pPr>
        <w:spacing w:after="0" w:line="360" w:lineRule="auto"/>
        <w:contextualSpacing/>
        <w:jc w:val="both"/>
        <w:rPr>
          <w:color w:val="000000" w:themeColor="text1"/>
        </w:rPr>
      </w:pPr>
      <w:r w:rsidRPr="00110FCD">
        <w:rPr>
          <w:b/>
          <w:color w:val="000000" w:themeColor="text1"/>
        </w:rPr>
        <w:t xml:space="preserve">Background </w:t>
      </w:r>
    </w:p>
    <w:p w14:paraId="005DC6D0" w14:textId="65373083" w:rsidR="001372FC" w:rsidRDefault="00B13518" w:rsidP="00110FCD">
      <w:pPr>
        <w:spacing w:after="0" w:line="360" w:lineRule="auto"/>
        <w:jc w:val="both"/>
        <w:rPr>
          <w:color w:val="000000" w:themeColor="text1"/>
        </w:rPr>
      </w:pPr>
      <w:r w:rsidRPr="00110FCD">
        <w:rPr>
          <w:color w:val="000000" w:themeColor="text1"/>
        </w:rPr>
        <w:t>[2]</w:t>
      </w:r>
      <w:r w:rsidRPr="00110FCD">
        <w:rPr>
          <w:color w:val="000000" w:themeColor="text1"/>
        </w:rPr>
        <w:tab/>
        <w:t xml:space="preserve">The respondent </w:t>
      </w:r>
      <w:r w:rsidR="00434CAB" w:rsidRPr="00110FCD">
        <w:rPr>
          <w:color w:val="000000" w:themeColor="text1"/>
        </w:rPr>
        <w:t>o</w:t>
      </w:r>
      <w:r w:rsidR="00367447" w:rsidRPr="00110FCD">
        <w:rPr>
          <w:color w:val="000000" w:themeColor="text1"/>
        </w:rPr>
        <w:t xml:space="preserve">wed </w:t>
      </w:r>
      <w:r w:rsidR="002A3910" w:rsidRPr="00110FCD">
        <w:rPr>
          <w:color w:val="000000" w:themeColor="text1"/>
        </w:rPr>
        <w:t>Evowood</w:t>
      </w:r>
      <w:r w:rsidR="00367447" w:rsidRPr="00110FCD">
        <w:rPr>
          <w:color w:val="000000" w:themeColor="text1"/>
        </w:rPr>
        <w:t xml:space="preserve"> money </w:t>
      </w:r>
      <w:r w:rsidR="00C0432C" w:rsidRPr="00110FCD">
        <w:rPr>
          <w:color w:val="000000" w:themeColor="text1"/>
        </w:rPr>
        <w:t xml:space="preserve">for goods delivered. It </w:t>
      </w:r>
      <w:r w:rsidR="00ED570C" w:rsidRPr="00110FCD">
        <w:rPr>
          <w:color w:val="000000" w:themeColor="text1"/>
        </w:rPr>
        <w:t xml:space="preserve">received </w:t>
      </w:r>
      <w:r w:rsidR="00FF55FF" w:rsidRPr="00110FCD">
        <w:rPr>
          <w:color w:val="000000" w:themeColor="text1"/>
        </w:rPr>
        <w:t xml:space="preserve">a notification </w:t>
      </w:r>
      <w:r w:rsidRPr="00110FCD">
        <w:rPr>
          <w:color w:val="000000" w:themeColor="text1"/>
        </w:rPr>
        <w:t xml:space="preserve">from </w:t>
      </w:r>
      <w:r w:rsidR="002A3910" w:rsidRPr="00110FCD">
        <w:rPr>
          <w:color w:val="000000" w:themeColor="text1"/>
        </w:rPr>
        <w:t>Evowood</w:t>
      </w:r>
      <w:r w:rsidRPr="00110FCD">
        <w:rPr>
          <w:color w:val="000000" w:themeColor="text1"/>
        </w:rPr>
        <w:t xml:space="preserve"> that if it paid the amount</w:t>
      </w:r>
      <w:r w:rsidR="001372FC" w:rsidRPr="00110FCD">
        <w:rPr>
          <w:color w:val="000000" w:themeColor="text1"/>
        </w:rPr>
        <w:t xml:space="preserve"> owed</w:t>
      </w:r>
      <w:r w:rsidRPr="00110FCD">
        <w:rPr>
          <w:color w:val="000000" w:themeColor="text1"/>
        </w:rPr>
        <w:t xml:space="preserve"> immediately, a reduced </w:t>
      </w:r>
      <w:r w:rsidR="00DE3EBD" w:rsidRPr="00110FCD">
        <w:rPr>
          <w:color w:val="000000" w:themeColor="text1"/>
        </w:rPr>
        <w:t xml:space="preserve">amount of </w:t>
      </w:r>
      <w:r w:rsidRPr="00110FCD">
        <w:rPr>
          <w:color w:val="000000" w:themeColor="text1"/>
        </w:rPr>
        <w:t>R333 495.90 would be payable</w:t>
      </w:r>
      <w:r w:rsidR="00525F5E">
        <w:rPr>
          <w:color w:val="000000" w:themeColor="text1"/>
        </w:rPr>
        <w:t>,</w:t>
      </w:r>
      <w:r w:rsidRPr="00110FCD">
        <w:rPr>
          <w:color w:val="000000" w:themeColor="text1"/>
        </w:rPr>
        <w:t xml:space="preserve"> rather than the </w:t>
      </w:r>
      <w:r w:rsidR="00ED570C" w:rsidRPr="00110FCD">
        <w:rPr>
          <w:color w:val="000000" w:themeColor="text1"/>
        </w:rPr>
        <w:t xml:space="preserve">full </w:t>
      </w:r>
      <w:r w:rsidRPr="00110FCD">
        <w:rPr>
          <w:color w:val="000000" w:themeColor="text1"/>
        </w:rPr>
        <w:t>purchased amount of R338 573.80</w:t>
      </w:r>
      <w:r w:rsidR="001372FC" w:rsidRPr="00110FCD">
        <w:rPr>
          <w:color w:val="000000" w:themeColor="text1"/>
        </w:rPr>
        <w:t>.</w:t>
      </w:r>
      <w:r w:rsidR="00383CC0">
        <w:rPr>
          <w:color w:val="000000" w:themeColor="text1"/>
        </w:rPr>
        <w:t xml:space="preserve"> </w:t>
      </w:r>
      <w:r w:rsidR="00FF55FF" w:rsidRPr="00110FCD">
        <w:rPr>
          <w:color w:val="000000" w:themeColor="text1"/>
        </w:rPr>
        <w:t xml:space="preserve">The respondent </w:t>
      </w:r>
      <w:r w:rsidRPr="00110FCD">
        <w:rPr>
          <w:color w:val="000000" w:themeColor="text1"/>
        </w:rPr>
        <w:t>paid the reduced amount o</w:t>
      </w:r>
      <w:r w:rsidR="00CC13EB" w:rsidRPr="00110FCD">
        <w:rPr>
          <w:color w:val="000000" w:themeColor="text1"/>
        </w:rPr>
        <w:t>n</w:t>
      </w:r>
      <w:r w:rsidRPr="00110FCD">
        <w:rPr>
          <w:color w:val="000000" w:themeColor="text1"/>
        </w:rPr>
        <w:t xml:space="preserve"> 27 May 2019</w:t>
      </w:r>
      <w:r w:rsidR="00367447" w:rsidRPr="00110FCD">
        <w:rPr>
          <w:color w:val="000000" w:themeColor="text1"/>
        </w:rPr>
        <w:t>. E</w:t>
      </w:r>
      <w:r w:rsidRPr="00110FCD">
        <w:rPr>
          <w:color w:val="000000" w:themeColor="text1"/>
        </w:rPr>
        <w:t>rroneously</w:t>
      </w:r>
      <w:r w:rsidR="00525F5E">
        <w:rPr>
          <w:color w:val="000000" w:themeColor="text1"/>
        </w:rPr>
        <w:t>,</w:t>
      </w:r>
      <w:r w:rsidRPr="00110FCD">
        <w:rPr>
          <w:color w:val="000000" w:themeColor="text1"/>
        </w:rPr>
        <w:t xml:space="preserve"> </w:t>
      </w:r>
      <w:r w:rsidR="00367447" w:rsidRPr="00110FCD">
        <w:rPr>
          <w:color w:val="000000" w:themeColor="text1"/>
        </w:rPr>
        <w:t xml:space="preserve">it </w:t>
      </w:r>
      <w:r w:rsidRPr="00110FCD">
        <w:rPr>
          <w:color w:val="000000" w:themeColor="text1"/>
        </w:rPr>
        <w:t xml:space="preserve">paid </w:t>
      </w:r>
      <w:r w:rsidR="001372FC" w:rsidRPr="00110FCD">
        <w:rPr>
          <w:color w:val="000000" w:themeColor="text1"/>
        </w:rPr>
        <w:t>Evowood a</w:t>
      </w:r>
      <w:r w:rsidR="00D02FA6" w:rsidRPr="00110FCD">
        <w:rPr>
          <w:color w:val="000000" w:themeColor="text1"/>
        </w:rPr>
        <w:t>gain the</w:t>
      </w:r>
      <w:r w:rsidRPr="00110FCD">
        <w:rPr>
          <w:color w:val="000000" w:themeColor="text1"/>
        </w:rPr>
        <w:t xml:space="preserve"> </w:t>
      </w:r>
      <w:r w:rsidR="00FE436D" w:rsidRPr="00110FCD">
        <w:rPr>
          <w:color w:val="000000" w:themeColor="text1"/>
        </w:rPr>
        <w:t xml:space="preserve">same </w:t>
      </w:r>
      <w:r w:rsidR="008F6552" w:rsidRPr="00110FCD">
        <w:rPr>
          <w:color w:val="000000" w:themeColor="text1"/>
        </w:rPr>
        <w:t>amount of R338 573</w:t>
      </w:r>
      <w:r w:rsidR="00525F5E">
        <w:rPr>
          <w:color w:val="000000" w:themeColor="text1"/>
        </w:rPr>
        <w:t>.</w:t>
      </w:r>
      <w:r w:rsidR="008F6552" w:rsidRPr="00110FCD">
        <w:rPr>
          <w:color w:val="000000" w:themeColor="text1"/>
        </w:rPr>
        <w:t xml:space="preserve">80 </w:t>
      </w:r>
      <w:r w:rsidR="00CC13EB" w:rsidRPr="00110FCD">
        <w:rPr>
          <w:color w:val="000000" w:themeColor="text1"/>
        </w:rPr>
        <w:t>on 31 May 2019</w:t>
      </w:r>
      <w:r w:rsidR="008F6552" w:rsidRPr="00110FCD">
        <w:rPr>
          <w:color w:val="000000" w:themeColor="text1"/>
        </w:rPr>
        <w:t xml:space="preserve">. </w:t>
      </w:r>
      <w:r w:rsidR="004F76E1" w:rsidRPr="00110FCD">
        <w:rPr>
          <w:color w:val="000000" w:themeColor="text1"/>
        </w:rPr>
        <w:t>Evo</w:t>
      </w:r>
      <w:r w:rsidR="001372FC" w:rsidRPr="00110FCD">
        <w:rPr>
          <w:color w:val="000000" w:themeColor="text1"/>
        </w:rPr>
        <w:t xml:space="preserve">wood was informed of the </w:t>
      </w:r>
      <w:r w:rsidR="00821FA0">
        <w:rPr>
          <w:color w:val="000000" w:themeColor="text1"/>
        </w:rPr>
        <w:t xml:space="preserve">erroneous </w:t>
      </w:r>
      <w:r w:rsidR="00FF55FF" w:rsidRPr="00110FCD">
        <w:rPr>
          <w:color w:val="000000" w:themeColor="text1"/>
        </w:rPr>
        <w:t>payment that was made</w:t>
      </w:r>
      <w:r w:rsidR="00D02FA6" w:rsidRPr="00110FCD">
        <w:rPr>
          <w:color w:val="000000" w:themeColor="text1"/>
        </w:rPr>
        <w:t xml:space="preserve"> </w:t>
      </w:r>
      <w:r w:rsidR="001372FC" w:rsidRPr="00110FCD">
        <w:rPr>
          <w:color w:val="000000" w:themeColor="text1"/>
        </w:rPr>
        <w:t>on 3 June 2019 at 07h03</w:t>
      </w:r>
      <w:r w:rsidR="00525F5E">
        <w:rPr>
          <w:color w:val="000000" w:themeColor="text1"/>
        </w:rPr>
        <w:t>,</w:t>
      </w:r>
      <w:r w:rsidR="001372FC" w:rsidRPr="00110FCD">
        <w:rPr>
          <w:color w:val="000000" w:themeColor="text1"/>
        </w:rPr>
        <w:t xml:space="preserve"> and </w:t>
      </w:r>
      <w:r w:rsidR="007270B4">
        <w:rPr>
          <w:color w:val="000000" w:themeColor="text1"/>
        </w:rPr>
        <w:t xml:space="preserve">was </w:t>
      </w:r>
      <w:r w:rsidR="00821FA0">
        <w:rPr>
          <w:color w:val="000000" w:themeColor="text1"/>
        </w:rPr>
        <w:t xml:space="preserve">requested </w:t>
      </w:r>
      <w:r w:rsidR="007270B4">
        <w:rPr>
          <w:color w:val="000000" w:themeColor="text1"/>
        </w:rPr>
        <w:t>to transfer back</w:t>
      </w:r>
      <w:r w:rsidR="00821FA0">
        <w:rPr>
          <w:color w:val="000000" w:themeColor="text1"/>
        </w:rPr>
        <w:t xml:space="preserve"> the amount paid in error</w:t>
      </w:r>
      <w:r w:rsidR="001372FC" w:rsidRPr="00110FCD">
        <w:rPr>
          <w:color w:val="000000" w:themeColor="text1"/>
        </w:rPr>
        <w:t>. On the same day at 07h47</w:t>
      </w:r>
      <w:r w:rsidR="00525F5E">
        <w:rPr>
          <w:color w:val="000000" w:themeColor="text1"/>
        </w:rPr>
        <w:t>,</w:t>
      </w:r>
      <w:r w:rsidR="001372FC" w:rsidRPr="00110FCD">
        <w:rPr>
          <w:color w:val="000000" w:themeColor="text1"/>
        </w:rPr>
        <w:t xml:space="preserve"> Evowood </w:t>
      </w:r>
      <w:r w:rsidR="009608A1" w:rsidRPr="00110FCD">
        <w:rPr>
          <w:color w:val="000000" w:themeColor="text1"/>
        </w:rPr>
        <w:t>sent a form, which is termed a bank i</w:t>
      </w:r>
      <w:r w:rsidR="001372FC" w:rsidRPr="00110FCD">
        <w:rPr>
          <w:color w:val="000000" w:themeColor="text1"/>
        </w:rPr>
        <w:t xml:space="preserve">ndemnity </w:t>
      </w:r>
      <w:r w:rsidR="009608A1" w:rsidRPr="00110FCD">
        <w:rPr>
          <w:color w:val="000000" w:themeColor="text1"/>
        </w:rPr>
        <w:t>f</w:t>
      </w:r>
      <w:r w:rsidR="001372FC" w:rsidRPr="00110FCD">
        <w:rPr>
          <w:color w:val="000000" w:themeColor="text1"/>
        </w:rPr>
        <w:t>orm</w:t>
      </w:r>
      <w:r w:rsidR="00821FA0">
        <w:rPr>
          <w:color w:val="000000" w:themeColor="text1"/>
        </w:rPr>
        <w:t>,</w:t>
      </w:r>
      <w:r w:rsidR="001372FC" w:rsidRPr="00110FCD">
        <w:rPr>
          <w:color w:val="000000" w:themeColor="text1"/>
        </w:rPr>
        <w:t xml:space="preserve"> to</w:t>
      </w:r>
      <w:r w:rsidR="009608A1" w:rsidRPr="00110FCD">
        <w:rPr>
          <w:color w:val="000000" w:themeColor="text1"/>
        </w:rPr>
        <w:t xml:space="preserve"> the</w:t>
      </w:r>
      <w:r w:rsidR="001372FC" w:rsidRPr="00110FCD">
        <w:rPr>
          <w:color w:val="000000" w:themeColor="text1"/>
        </w:rPr>
        <w:t xml:space="preserve"> </w:t>
      </w:r>
      <w:r w:rsidR="00D02FA6" w:rsidRPr="00110FCD">
        <w:rPr>
          <w:color w:val="000000" w:themeColor="text1"/>
        </w:rPr>
        <w:t>respondent</w:t>
      </w:r>
      <w:r w:rsidR="001372FC" w:rsidRPr="00110FCD">
        <w:rPr>
          <w:color w:val="000000" w:themeColor="text1"/>
        </w:rPr>
        <w:t xml:space="preserve"> to complete</w:t>
      </w:r>
      <w:r w:rsidR="009608A1" w:rsidRPr="00110FCD">
        <w:rPr>
          <w:color w:val="000000" w:themeColor="text1"/>
        </w:rPr>
        <w:t xml:space="preserve">. </w:t>
      </w:r>
      <w:r w:rsidR="00525F5E">
        <w:rPr>
          <w:color w:val="000000" w:themeColor="text1"/>
        </w:rPr>
        <w:t>The r</w:t>
      </w:r>
      <w:r w:rsidR="00D02FA6" w:rsidRPr="00110FCD">
        <w:rPr>
          <w:color w:val="000000" w:themeColor="text1"/>
        </w:rPr>
        <w:t xml:space="preserve">espondent </w:t>
      </w:r>
      <w:r w:rsidR="001372FC" w:rsidRPr="00110FCD">
        <w:rPr>
          <w:color w:val="000000" w:themeColor="text1"/>
        </w:rPr>
        <w:t xml:space="preserve">returned </w:t>
      </w:r>
      <w:r w:rsidR="00D02FA6" w:rsidRPr="00110FCD">
        <w:rPr>
          <w:color w:val="000000" w:themeColor="text1"/>
        </w:rPr>
        <w:t xml:space="preserve">the completed form </w:t>
      </w:r>
      <w:r w:rsidR="001372FC" w:rsidRPr="00110FCD">
        <w:rPr>
          <w:color w:val="000000" w:themeColor="text1"/>
        </w:rPr>
        <w:t>on the same day at 12h29 to Evowood</w:t>
      </w:r>
      <w:r w:rsidR="00525F5E">
        <w:rPr>
          <w:color w:val="000000" w:themeColor="text1"/>
        </w:rPr>
        <w:t>,</w:t>
      </w:r>
      <w:r w:rsidR="001372FC" w:rsidRPr="00110FCD">
        <w:rPr>
          <w:color w:val="000000" w:themeColor="text1"/>
        </w:rPr>
        <w:t xml:space="preserve"> together with a letter from the bank. On 4 June 2019</w:t>
      </w:r>
      <w:r w:rsidR="00821FA0">
        <w:rPr>
          <w:color w:val="000000" w:themeColor="text1"/>
        </w:rPr>
        <w:t>,</w:t>
      </w:r>
      <w:r w:rsidR="001372FC" w:rsidRPr="00110FCD">
        <w:rPr>
          <w:color w:val="000000" w:themeColor="text1"/>
        </w:rPr>
        <w:t xml:space="preserve"> Evowood did a weekly reconciliation</w:t>
      </w:r>
      <w:r w:rsidR="009608A1" w:rsidRPr="00110FCD">
        <w:rPr>
          <w:color w:val="000000" w:themeColor="text1"/>
        </w:rPr>
        <w:t xml:space="preserve"> and</w:t>
      </w:r>
      <w:r w:rsidR="001372FC" w:rsidRPr="00110FCD">
        <w:rPr>
          <w:color w:val="000000" w:themeColor="text1"/>
        </w:rPr>
        <w:t xml:space="preserve"> acknowledged the overpayment and that there had to be a refund of R338 573.80 to </w:t>
      </w:r>
      <w:r w:rsidR="00D02FA6" w:rsidRPr="00110FCD">
        <w:rPr>
          <w:color w:val="000000" w:themeColor="text1"/>
        </w:rPr>
        <w:t>the respondent</w:t>
      </w:r>
      <w:r w:rsidR="001372FC" w:rsidRPr="00110FCD">
        <w:rPr>
          <w:color w:val="000000" w:themeColor="text1"/>
        </w:rPr>
        <w:t>. On 12 June 2019</w:t>
      </w:r>
      <w:r w:rsidR="00525F5E">
        <w:rPr>
          <w:color w:val="000000" w:themeColor="text1"/>
        </w:rPr>
        <w:t>,</w:t>
      </w:r>
      <w:r w:rsidR="001372FC" w:rsidRPr="00110FCD">
        <w:rPr>
          <w:color w:val="000000" w:themeColor="text1"/>
        </w:rPr>
        <w:t xml:space="preserve"> </w:t>
      </w:r>
      <w:r w:rsidR="00C06BFC" w:rsidRPr="00110FCD">
        <w:rPr>
          <w:color w:val="000000" w:themeColor="text1"/>
        </w:rPr>
        <w:t xml:space="preserve">the </w:t>
      </w:r>
      <w:r w:rsidR="0014121F" w:rsidRPr="00110FCD">
        <w:rPr>
          <w:color w:val="000000" w:themeColor="text1"/>
        </w:rPr>
        <w:t xml:space="preserve">respondent </w:t>
      </w:r>
      <w:r w:rsidR="001372FC" w:rsidRPr="00110FCD">
        <w:rPr>
          <w:color w:val="000000" w:themeColor="text1"/>
        </w:rPr>
        <w:t>enquired from Evowood when payment would be received</w:t>
      </w:r>
      <w:r w:rsidR="0014121F" w:rsidRPr="00110FCD">
        <w:rPr>
          <w:color w:val="000000" w:themeColor="text1"/>
        </w:rPr>
        <w:t xml:space="preserve"> but n</w:t>
      </w:r>
      <w:r w:rsidR="001372FC" w:rsidRPr="00110FCD">
        <w:rPr>
          <w:color w:val="000000" w:themeColor="text1"/>
        </w:rPr>
        <w:t>o response was received. On 19 June 2019</w:t>
      </w:r>
      <w:r w:rsidR="00821FA0">
        <w:rPr>
          <w:color w:val="000000" w:themeColor="text1"/>
        </w:rPr>
        <w:t>,</w:t>
      </w:r>
      <w:r w:rsidR="001372FC" w:rsidRPr="00110FCD">
        <w:rPr>
          <w:color w:val="000000" w:themeColor="text1"/>
        </w:rPr>
        <w:t xml:space="preserve"> a further </w:t>
      </w:r>
      <w:r w:rsidR="009608A1" w:rsidRPr="00110FCD">
        <w:rPr>
          <w:color w:val="000000" w:themeColor="text1"/>
        </w:rPr>
        <w:t>email</w:t>
      </w:r>
      <w:r w:rsidR="001372FC" w:rsidRPr="00110FCD">
        <w:rPr>
          <w:color w:val="000000" w:themeColor="text1"/>
        </w:rPr>
        <w:t xml:space="preserve"> was </w:t>
      </w:r>
      <w:r w:rsidR="009608A1" w:rsidRPr="00110FCD">
        <w:rPr>
          <w:color w:val="000000" w:themeColor="text1"/>
        </w:rPr>
        <w:t xml:space="preserve">sent </w:t>
      </w:r>
      <w:r w:rsidR="001372FC" w:rsidRPr="00110FCD">
        <w:rPr>
          <w:color w:val="000000" w:themeColor="text1"/>
        </w:rPr>
        <w:t>a</w:t>
      </w:r>
      <w:r w:rsidR="0014121F" w:rsidRPr="00110FCD">
        <w:rPr>
          <w:color w:val="000000" w:themeColor="text1"/>
        </w:rPr>
        <w:t>nd a</w:t>
      </w:r>
      <w:r w:rsidR="001372FC" w:rsidRPr="00110FCD">
        <w:rPr>
          <w:color w:val="000000" w:themeColor="text1"/>
        </w:rPr>
        <w:t>gain, no response was received</w:t>
      </w:r>
      <w:r w:rsidR="009608A1" w:rsidRPr="00110FCD">
        <w:rPr>
          <w:color w:val="000000" w:themeColor="text1"/>
        </w:rPr>
        <w:t xml:space="preserve"> from Evowood</w:t>
      </w:r>
      <w:r w:rsidR="001372FC" w:rsidRPr="00110FCD">
        <w:rPr>
          <w:color w:val="000000" w:themeColor="text1"/>
        </w:rPr>
        <w:t>. On 4 July 2019, after a further email</w:t>
      </w:r>
      <w:r w:rsidR="00C06BFC" w:rsidRPr="00110FCD">
        <w:rPr>
          <w:color w:val="000000" w:themeColor="text1"/>
        </w:rPr>
        <w:t xml:space="preserve"> was sent</w:t>
      </w:r>
      <w:r w:rsidR="001372FC" w:rsidRPr="00110FCD">
        <w:rPr>
          <w:color w:val="000000" w:themeColor="text1"/>
        </w:rPr>
        <w:t xml:space="preserve">, the response was that </w:t>
      </w:r>
      <w:r w:rsidR="00C06BFC" w:rsidRPr="00110FCD">
        <w:rPr>
          <w:color w:val="000000" w:themeColor="text1"/>
        </w:rPr>
        <w:t>Evowood</w:t>
      </w:r>
      <w:r w:rsidR="001372FC" w:rsidRPr="00110FCD">
        <w:rPr>
          <w:color w:val="000000" w:themeColor="text1"/>
        </w:rPr>
        <w:t xml:space="preserve"> </w:t>
      </w:r>
      <w:r w:rsidR="00383CC0">
        <w:rPr>
          <w:color w:val="000000" w:themeColor="text1"/>
        </w:rPr>
        <w:t>would</w:t>
      </w:r>
      <w:r w:rsidR="00F76422" w:rsidRPr="00110FCD">
        <w:rPr>
          <w:color w:val="000000" w:themeColor="text1"/>
        </w:rPr>
        <w:t xml:space="preserve"> </w:t>
      </w:r>
      <w:r w:rsidR="001372FC" w:rsidRPr="00110FCD">
        <w:rPr>
          <w:color w:val="000000" w:themeColor="text1"/>
        </w:rPr>
        <w:t xml:space="preserve">discuss </w:t>
      </w:r>
      <w:r w:rsidR="00F76422" w:rsidRPr="00110FCD">
        <w:rPr>
          <w:color w:val="000000" w:themeColor="text1"/>
        </w:rPr>
        <w:t xml:space="preserve">the matter </w:t>
      </w:r>
      <w:r w:rsidR="001372FC" w:rsidRPr="00110FCD">
        <w:rPr>
          <w:color w:val="000000" w:themeColor="text1"/>
        </w:rPr>
        <w:t xml:space="preserve">with </w:t>
      </w:r>
      <w:r w:rsidR="00177480">
        <w:rPr>
          <w:color w:val="000000" w:themeColor="text1"/>
        </w:rPr>
        <w:t>its</w:t>
      </w:r>
      <w:r w:rsidR="001372FC" w:rsidRPr="00110FCD">
        <w:rPr>
          <w:color w:val="000000" w:themeColor="text1"/>
        </w:rPr>
        <w:t xml:space="preserve"> Chief Financial Officer</w:t>
      </w:r>
      <w:r w:rsidR="00B95FB6" w:rsidRPr="00110FCD">
        <w:rPr>
          <w:color w:val="000000" w:themeColor="text1"/>
        </w:rPr>
        <w:t>. On 18 July 2019</w:t>
      </w:r>
      <w:r w:rsidR="00821FA0">
        <w:rPr>
          <w:color w:val="000000" w:themeColor="text1"/>
        </w:rPr>
        <w:t>,</w:t>
      </w:r>
      <w:r w:rsidR="00B95FB6" w:rsidRPr="00110FCD">
        <w:rPr>
          <w:color w:val="000000" w:themeColor="text1"/>
        </w:rPr>
        <w:t xml:space="preserve"> Evo</w:t>
      </w:r>
      <w:r w:rsidR="001372FC" w:rsidRPr="00110FCD">
        <w:rPr>
          <w:color w:val="000000" w:themeColor="text1"/>
        </w:rPr>
        <w:t>wood was placed under liquidation by special resolution in terms of the Companies Act</w:t>
      </w:r>
      <w:r w:rsidR="008F1E96">
        <w:rPr>
          <w:color w:val="000000" w:themeColor="text1"/>
        </w:rPr>
        <w:t xml:space="preserve"> 61 of 1973</w:t>
      </w:r>
      <w:r w:rsidR="001372FC" w:rsidRPr="00110FCD">
        <w:rPr>
          <w:color w:val="000000" w:themeColor="text1"/>
        </w:rPr>
        <w:t>.</w:t>
      </w:r>
      <w:r w:rsidR="008F1E96">
        <w:rPr>
          <w:rStyle w:val="FootnoteReference"/>
          <w:color w:val="000000" w:themeColor="text1"/>
        </w:rPr>
        <w:footnoteReference w:id="1"/>
      </w:r>
    </w:p>
    <w:p w14:paraId="28A0C5FF" w14:textId="77777777" w:rsidR="00525F5E" w:rsidRPr="00110FCD" w:rsidRDefault="00525F5E" w:rsidP="00110FCD">
      <w:pPr>
        <w:spacing w:after="0" w:line="360" w:lineRule="auto"/>
        <w:jc w:val="both"/>
        <w:rPr>
          <w:color w:val="000000" w:themeColor="text1"/>
        </w:rPr>
      </w:pPr>
    </w:p>
    <w:p w14:paraId="3AD89677" w14:textId="60ED4948" w:rsidR="001372FC" w:rsidRPr="00110FCD" w:rsidRDefault="00367447" w:rsidP="00110FCD">
      <w:pPr>
        <w:spacing w:after="0" w:line="360" w:lineRule="auto"/>
        <w:jc w:val="both"/>
        <w:rPr>
          <w:color w:val="000000" w:themeColor="text1"/>
        </w:rPr>
      </w:pPr>
      <w:r w:rsidRPr="00110FCD">
        <w:rPr>
          <w:color w:val="000000" w:themeColor="text1"/>
        </w:rPr>
        <w:t>[</w:t>
      </w:r>
      <w:r w:rsidR="0014121F" w:rsidRPr="00110FCD">
        <w:rPr>
          <w:color w:val="000000" w:themeColor="text1"/>
        </w:rPr>
        <w:t>3</w:t>
      </w:r>
      <w:r w:rsidRPr="00110FCD">
        <w:rPr>
          <w:color w:val="000000" w:themeColor="text1"/>
        </w:rPr>
        <w:t>]</w:t>
      </w:r>
      <w:r w:rsidRPr="00110FCD">
        <w:rPr>
          <w:color w:val="000000" w:themeColor="text1"/>
        </w:rPr>
        <w:tab/>
        <w:t>The appellants concede</w:t>
      </w:r>
      <w:r w:rsidR="00303405" w:rsidRPr="00110FCD">
        <w:rPr>
          <w:color w:val="000000" w:themeColor="text1"/>
        </w:rPr>
        <w:t>d</w:t>
      </w:r>
      <w:r w:rsidRPr="00110FCD">
        <w:rPr>
          <w:color w:val="000000" w:themeColor="text1"/>
        </w:rPr>
        <w:t xml:space="preserve"> that the amount that was claimed </w:t>
      </w:r>
      <w:r w:rsidR="00905E54" w:rsidRPr="00110FCD">
        <w:rPr>
          <w:color w:val="000000" w:themeColor="text1"/>
        </w:rPr>
        <w:t xml:space="preserve">by the </w:t>
      </w:r>
      <w:r w:rsidR="001D2A75" w:rsidRPr="00110FCD">
        <w:rPr>
          <w:color w:val="000000" w:themeColor="text1"/>
        </w:rPr>
        <w:t>respondent</w:t>
      </w:r>
      <w:r w:rsidR="00905E54" w:rsidRPr="00110FCD">
        <w:rPr>
          <w:color w:val="000000" w:themeColor="text1"/>
        </w:rPr>
        <w:t xml:space="preserve"> </w:t>
      </w:r>
      <w:r w:rsidRPr="00110FCD">
        <w:rPr>
          <w:color w:val="000000" w:themeColor="text1"/>
        </w:rPr>
        <w:t xml:space="preserve">was </w:t>
      </w:r>
      <w:r w:rsidR="00A80621">
        <w:rPr>
          <w:color w:val="000000" w:themeColor="text1"/>
        </w:rPr>
        <w:t xml:space="preserve">claimed </w:t>
      </w:r>
      <w:r w:rsidRPr="00110FCD">
        <w:rPr>
          <w:color w:val="000000" w:themeColor="text1"/>
        </w:rPr>
        <w:t>well before the winding</w:t>
      </w:r>
      <w:r w:rsidR="000356BE">
        <w:rPr>
          <w:color w:val="000000" w:themeColor="text1"/>
        </w:rPr>
        <w:t>-</w:t>
      </w:r>
      <w:r w:rsidRPr="00110FCD">
        <w:rPr>
          <w:color w:val="000000" w:themeColor="text1"/>
        </w:rPr>
        <w:t xml:space="preserve">up of </w:t>
      </w:r>
      <w:r w:rsidR="002A3910" w:rsidRPr="00110FCD">
        <w:rPr>
          <w:color w:val="000000" w:themeColor="text1"/>
        </w:rPr>
        <w:t>Evowood</w:t>
      </w:r>
      <w:r w:rsidR="0014121F" w:rsidRPr="00110FCD">
        <w:rPr>
          <w:color w:val="000000" w:themeColor="text1"/>
        </w:rPr>
        <w:t>. The refund</w:t>
      </w:r>
      <w:r w:rsidRPr="00110FCD">
        <w:rPr>
          <w:color w:val="000000" w:themeColor="text1"/>
        </w:rPr>
        <w:t xml:space="preserve"> was claimed at a time </w:t>
      </w:r>
      <w:r w:rsidR="000356BE">
        <w:rPr>
          <w:color w:val="000000" w:themeColor="text1"/>
        </w:rPr>
        <w:t>when</w:t>
      </w:r>
      <w:r w:rsidR="000356BE" w:rsidRPr="00110FCD">
        <w:rPr>
          <w:color w:val="000000" w:themeColor="text1"/>
        </w:rPr>
        <w:t xml:space="preserve"> </w:t>
      </w:r>
      <w:r w:rsidR="002A3910" w:rsidRPr="00110FCD">
        <w:rPr>
          <w:color w:val="000000" w:themeColor="text1"/>
        </w:rPr>
        <w:t>Evowood</w:t>
      </w:r>
      <w:r w:rsidRPr="00110FCD">
        <w:rPr>
          <w:color w:val="000000" w:themeColor="text1"/>
        </w:rPr>
        <w:t xml:space="preserve"> was still in business and trading. </w:t>
      </w:r>
      <w:r w:rsidR="002B667A" w:rsidRPr="00110FCD">
        <w:rPr>
          <w:color w:val="000000" w:themeColor="text1"/>
        </w:rPr>
        <w:t>The appellants</w:t>
      </w:r>
      <w:r w:rsidR="00A80621">
        <w:rPr>
          <w:color w:val="000000" w:themeColor="text1"/>
        </w:rPr>
        <w:t>,</w:t>
      </w:r>
      <w:r w:rsidR="002B667A" w:rsidRPr="00110FCD">
        <w:rPr>
          <w:color w:val="000000" w:themeColor="text1"/>
        </w:rPr>
        <w:t xml:space="preserve"> in their answering affidavit before the court a quo</w:t>
      </w:r>
      <w:r w:rsidR="00A80621">
        <w:rPr>
          <w:color w:val="000000" w:themeColor="text1"/>
        </w:rPr>
        <w:t>,</w:t>
      </w:r>
      <w:r w:rsidR="002B667A" w:rsidRPr="00110FCD">
        <w:rPr>
          <w:color w:val="000000" w:themeColor="text1"/>
        </w:rPr>
        <w:t xml:space="preserve"> contended as follows:</w:t>
      </w:r>
    </w:p>
    <w:p w14:paraId="22111864" w14:textId="77777777" w:rsidR="004722BC" w:rsidRPr="00110FCD" w:rsidRDefault="004722BC" w:rsidP="00110FCD">
      <w:pPr>
        <w:spacing w:after="0" w:line="360" w:lineRule="auto"/>
        <w:jc w:val="center"/>
        <w:rPr>
          <w:color w:val="000000" w:themeColor="text1"/>
          <w:sz w:val="22"/>
          <w:szCs w:val="22"/>
        </w:rPr>
      </w:pPr>
      <w:r w:rsidRPr="00110FCD">
        <w:rPr>
          <w:color w:val="000000" w:themeColor="text1"/>
        </w:rPr>
        <w:t>‘</w:t>
      </w:r>
      <w:r w:rsidRPr="00110FCD">
        <w:rPr>
          <w:color w:val="000000" w:themeColor="text1"/>
          <w:sz w:val="22"/>
          <w:szCs w:val="22"/>
        </w:rPr>
        <w:t>5.</w:t>
      </w:r>
    </w:p>
    <w:p w14:paraId="04E180E9" w14:textId="22365312" w:rsidR="004722BC" w:rsidRPr="00110FCD" w:rsidRDefault="004722BC" w:rsidP="00525F5E">
      <w:pPr>
        <w:spacing w:after="0" w:line="360" w:lineRule="auto"/>
        <w:ind w:left="720" w:hanging="720"/>
        <w:jc w:val="both"/>
        <w:rPr>
          <w:color w:val="000000" w:themeColor="text1"/>
          <w:sz w:val="22"/>
          <w:szCs w:val="22"/>
        </w:rPr>
      </w:pPr>
      <w:r w:rsidRPr="00110FCD">
        <w:rPr>
          <w:color w:val="000000" w:themeColor="text1"/>
          <w:sz w:val="22"/>
          <w:szCs w:val="22"/>
        </w:rPr>
        <w:t>5.1</w:t>
      </w:r>
      <w:r w:rsidR="0072504B" w:rsidRPr="00110FCD">
        <w:rPr>
          <w:color w:val="000000" w:themeColor="text1"/>
          <w:sz w:val="22"/>
          <w:szCs w:val="22"/>
        </w:rPr>
        <w:t>.</w:t>
      </w:r>
      <w:r w:rsidRPr="00110FCD">
        <w:rPr>
          <w:color w:val="000000" w:themeColor="text1"/>
          <w:sz w:val="22"/>
          <w:szCs w:val="22"/>
        </w:rPr>
        <w:tab/>
        <w:t>The app</w:t>
      </w:r>
      <w:r w:rsidR="00EC311E">
        <w:rPr>
          <w:color w:val="000000" w:themeColor="text1"/>
          <w:sz w:val="22"/>
          <w:szCs w:val="22"/>
        </w:rPr>
        <w:t>licant</w:t>
      </w:r>
      <w:r w:rsidRPr="00110FCD">
        <w:rPr>
          <w:color w:val="000000" w:themeColor="text1"/>
          <w:sz w:val="22"/>
          <w:szCs w:val="22"/>
        </w:rPr>
        <w:t xml:space="preserve">’s duplicated payment was utilised by the insolvent company prior to the winding up and there are accordingly no steps which the joint liquidators can take to obtain those funds as they were utilised in </w:t>
      </w:r>
      <w:proofErr w:type="spellStart"/>
      <w:r w:rsidRPr="00110FCD">
        <w:rPr>
          <w:color w:val="000000" w:themeColor="text1"/>
          <w:sz w:val="22"/>
          <w:szCs w:val="22"/>
        </w:rPr>
        <w:t>Evowood’s</w:t>
      </w:r>
      <w:proofErr w:type="spellEnd"/>
      <w:r w:rsidRPr="00110FCD">
        <w:rPr>
          <w:color w:val="000000" w:themeColor="text1"/>
          <w:sz w:val="22"/>
          <w:szCs w:val="22"/>
        </w:rPr>
        <w:t xml:space="preserve"> ordinary course of business;</w:t>
      </w:r>
    </w:p>
    <w:p w14:paraId="5A1B102F" w14:textId="77777777" w:rsidR="00DB3376" w:rsidRPr="00110FCD" w:rsidRDefault="004722BC" w:rsidP="00525F5E">
      <w:pPr>
        <w:spacing w:after="0" w:line="360" w:lineRule="auto"/>
        <w:ind w:left="720" w:hanging="720"/>
        <w:jc w:val="both"/>
        <w:rPr>
          <w:color w:val="000000" w:themeColor="text1"/>
          <w:sz w:val="22"/>
          <w:szCs w:val="22"/>
        </w:rPr>
      </w:pPr>
      <w:r w:rsidRPr="00110FCD">
        <w:rPr>
          <w:color w:val="000000" w:themeColor="text1"/>
          <w:sz w:val="22"/>
          <w:szCs w:val="22"/>
        </w:rPr>
        <w:lastRenderedPageBreak/>
        <w:t>5.2</w:t>
      </w:r>
      <w:r w:rsidR="0072504B" w:rsidRPr="00110FCD">
        <w:rPr>
          <w:color w:val="000000" w:themeColor="text1"/>
          <w:sz w:val="22"/>
          <w:szCs w:val="22"/>
        </w:rPr>
        <w:t>.</w:t>
      </w:r>
      <w:r w:rsidR="0072504B" w:rsidRPr="00110FCD">
        <w:rPr>
          <w:color w:val="000000" w:themeColor="text1"/>
          <w:sz w:val="22"/>
          <w:szCs w:val="22"/>
        </w:rPr>
        <w:tab/>
        <w:t xml:space="preserve">The </w:t>
      </w:r>
      <w:r w:rsidR="006D7760" w:rsidRPr="00110FCD">
        <w:rPr>
          <w:color w:val="000000" w:themeColor="text1"/>
          <w:sz w:val="22"/>
          <w:szCs w:val="22"/>
        </w:rPr>
        <w:t>joint</w:t>
      </w:r>
      <w:r w:rsidR="0072504B" w:rsidRPr="00110FCD">
        <w:rPr>
          <w:color w:val="000000" w:themeColor="text1"/>
          <w:sz w:val="22"/>
          <w:szCs w:val="22"/>
        </w:rPr>
        <w:t xml:space="preserve"> liquidators have acted expe</w:t>
      </w:r>
      <w:r w:rsidR="006D7760" w:rsidRPr="00110FCD">
        <w:rPr>
          <w:color w:val="000000" w:themeColor="text1"/>
          <w:sz w:val="22"/>
          <w:szCs w:val="22"/>
        </w:rPr>
        <w:t>ditiously and with due diligence in tracing the payment and accordingly there ought to be no order as against the joint liquidators given that they are exercising their duties as joint liquidators and report to the Master of the High Court.</w:t>
      </w:r>
    </w:p>
    <w:p w14:paraId="5B48B4FD" w14:textId="77777777" w:rsidR="00DB3376" w:rsidRPr="00110FCD" w:rsidRDefault="00DB3376" w:rsidP="00525F5E">
      <w:pPr>
        <w:spacing w:after="0" w:line="360" w:lineRule="auto"/>
        <w:jc w:val="center"/>
        <w:rPr>
          <w:color w:val="000000" w:themeColor="text1"/>
          <w:sz w:val="22"/>
          <w:szCs w:val="22"/>
        </w:rPr>
      </w:pPr>
      <w:r w:rsidRPr="00110FCD">
        <w:rPr>
          <w:color w:val="000000" w:themeColor="text1"/>
          <w:sz w:val="22"/>
          <w:szCs w:val="22"/>
        </w:rPr>
        <w:t>6</w:t>
      </w:r>
    </w:p>
    <w:p w14:paraId="0F54268E" w14:textId="77777777" w:rsidR="002B667A" w:rsidRPr="00110FCD" w:rsidRDefault="00DB3376" w:rsidP="00525F5E">
      <w:pPr>
        <w:spacing w:after="0" w:line="360" w:lineRule="auto"/>
        <w:jc w:val="both"/>
        <w:rPr>
          <w:color w:val="000000" w:themeColor="text1"/>
        </w:rPr>
      </w:pPr>
      <w:r w:rsidRPr="00110FCD">
        <w:rPr>
          <w:color w:val="000000" w:themeColor="text1"/>
          <w:sz w:val="22"/>
          <w:szCs w:val="22"/>
        </w:rPr>
        <w:t xml:space="preserve">The Applicant would be entitled to lodge a claim in the estate of Evowood so that if funds do </w:t>
      </w:r>
      <w:proofErr w:type="gramStart"/>
      <w:r w:rsidRPr="00110FCD">
        <w:rPr>
          <w:color w:val="000000" w:themeColor="text1"/>
          <w:sz w:val="22"/>
          <w:szCs w:val="22"/>
        </w:rPr>
        <w:t>became</w:t>
      </w:r>
      <w:proofErr w:type="gramEnd"/>
      <w:r w:rsidRPr="00110FCD">
        <w:rPr>
          <w:color w:val="000000" w:themeColor="text1"/>
          <w:sz w:val="22"/>
          <w:szCs w:val="22"/>
        </w:rPr>
        <w:t xml:space="preserve"> available in regard to winding up, it could receive a dividend. The Master of the High Court would determine the nature of such a claim and its ranking as to whether it would be </w:t>
      </w:r>
      <w:proofErr w:type="spellStart"/>
      <w:r w:rsidRPr="00110FCD">
        <w:rPr>
          <w:color w:val="000000" w:themeColor="text1"/>
          <w:sz w:val="22"/>
          <w:szCs w:val="22"/>
        </w:rPr>
        <w:t>preferent</w:t>
      </w:r>
      <w:proofErr w:type="spellEnd"/>
      <w:r w:rsidRPr="00110FCD">
        <w:rPr>
          <w:color w:val="000000" w:themeColor="text1"/>
          <w:sz w:val="22"/>
          <w:szCs w:val="22"/>
        </w:rPr>
        <w:t xml:space="preserve"> or concurrent.</w:t>
      </w:r>
      <w:r w:rsidR="004722BC" w:rsidRPr="00110FCD">
        <w:rPr>
          <w:color w:val="000000" w:themeColor="text1"/>
        </w:rPr>
        <w:t>’</w:t>
      </w:r>
      <w:r w:rsidRPr="00110FCD">
        <w:rPr>
          <w:rStyle w:val="FootnoteReference"/>
          <w:rFonts w:cs="Arial"/>
          <w:color w:val="000000" w:themeColor="text1"/>
        </w:rPr>
        <w:footnoteReference w:id="2"/>
      </w:r>
    </w:p>
    <w:p w14:paraId="2A57C47E" w14:textId="77777777" w:rsidR="002B667A" w:rsidRPr="00110FCD" w:rsidRDefault="002B667A" w:rsidP="00110FCD">
      <w:pPr>
        <w:spacing w:after="0" w:line="360" w:lineRule="auto"/>
        <w:contextualSpacing/>
        <w:jc w:val="both"/>
        <w:rPr>
          <w:color w:val="000000" w:themeColor="text1"/>
        </w:rPr>
      </w:pPr>
    </w:p>
    <w:p w14:paraId="0419E461" w14:textId="3F656F76" w:rsidR="00A70219" w:rsidRDefault="001372FC" w:rsidP="00110FCD">
      <w:pPr>
        <w:spacing w:after="0" w:line="360" w:lineRule="auto"/>
        <w:jc w:val="both"/>
        <w:rPr>
          <w:color w:val="000000" w:themeColor="text1"/>
        </w:rPr>
      </w:pPr>
      <w:r w:rsidRPr="00110FCD">
        <w:rPr>
          <w:color w:val="000000" w:themeColor="text1"/>
        </w:rPr>
        <w:t>[</w:t>
      </w:r>
      <w:r w:rsidR="007F1592" w:rsidRPr="00110FCD">
        <w:rPr>
          <w:color w:val="000000" w:themeColor="text1"/>
        </w:rPr>
        <w:t>4</w:t>
      </w:r>
      <w:r w:rsidRPr="00110FCD">
        <w:rPr>
          <w:color w:val="000000" w:themeColor="text1"/>
        </w:rPr>
        <w:t>]</w:t>
      </w:r>
      <w:r w:rsidRPr="00110FCD">
        <w:rPr>
          <w:color w:val="000000" w:themeColor="text1"/>
        </w:rPr>
        <w:tab/>
      </w:r>
      <w:r w:rsidR="00A70219">
        <w:rPr>
          <w:color w:val="000000" w:themeColor="text1"/>
        </w:rPr>
        <w:t xml:space="preserve">The appellants were informed on </w:t>
      </w:r>
      <w:r w:rsidR="00A70219" w:rsidRPr="00A47635">
        <w:rPr>
          <w:color w:val="000000" w:themeColor="text1"/>
        </w:rPr>
        <w:t xml:space="preserve">12 August 2019 that the payment of R338 537.80 made to Evowood </w:t>
      </w:r>
      <w:r w:rsidR="00B13E66">
        <w:rPr>
          <w:color w:val="000000" w:themeColor="text1"/>
        </w:rPr>
        <w:t>was</w:t>
      </w:r>
      <w:r w:rsidR="00B13E66" w:rsidRPr="00A47635">
        <w:rPr>
          <w:color w:val="000000" w:themeColor="text1"/>
        </w:rPr>
        <w:t xml:space="preserve"> </w:t>
      </w:r>
      <w:r w:rsidR="00A70219" w:rsidRPr="00A47635">
        <w:rPr>
          <w:color w:val="000000" w:themeColor="text1"/>
        </w:rPr>
        <w:t xml:space="preserve">not the </w:t>
      </w:r>
      <w:r w:rsidR="009C12F6" w:rsidRPr="00A47635">
        <w:rPr>
          <w:color w:val="000000" w:themeColor="text1"/>
        </w:rPr>
        <w:t xml:space="preserve">property of Evowood but </w:t>
      </w:r>
      <w:r w:rsidR="00B13E66" w:rsidRPr="00A47635">
        <w:rPr>
          <w:color w:val="000000" w:themeColor="text1"/>
        </w:rPr>
        <w:t>belong</w:t>
      </w:r>
      <w:r w:rsidR="00B13E66">
        <w:rPr>
          <w:color w:val="000000" w:themeColor="text1"/>
        </w:rPr>
        <w:t>ed</w:t>
      </w:r>
      <w:r w:rsidR="00B13E66" w:rsidRPr="00A47635">
        <w:rPr>
          <w:color w:val="000000" w:themeColor="text1"/>
        </w:rPr>
        <w:t xml:space="preserve"> </w:t>
      </w:r>
      <w:r w:rsidR="009C12F6" w:rsidRPr="00A47635">
        <w:rPr>
          <w:color w:val="000000" w:themeColor="text1"/>
        </w:rPr>
        <w:t>to the respondent.</w:t>
      </w:r>
      <w:r w:rsidR="009C12F6" w:rsidRPr="00A47635">
        <w:rPr>
          <w:rStyle w:val="FootnoteReference"/>
          <w:color w:val="000000" w:themeColor="text1"/>
        </w:rPr>
        <w:footnoteReference w:id="3"/>
      </w:r>
      <w:r w:rsidR="009C12F6" w:rsidRPr="00A47635">
        <w:rPr>
          <w:color w:val="000000" w:themeColor="text1"/>
        </w:rPr>
        <w:t xml:space="preserve"> </w:t>
      </w:r>
      <w:r w:rsidR="00E01032" w:rsidRPr="00A47635">
        <w:rPr>
          <w:color w:val="000000" w:themeColor="text1"/>
        </w:rPr>
        <w:t>The appellants</w:t>
      </w:r>
      <w:r w:rsidR="008E6197" w:rsidRPr="00A47635">
        <w:rPr>
          <w:color w:val="000000" w:themeColor="text1"/>
        </w:rPr>
        <w:t>,</w:t>
      </w:r>
      <w:r w:rsidR="00E01032" w:rsidRPr="00A47635">
        <w:rPr>
          <w:color w:val="000000" w:themeColor="text1"/>
        </w:rPr>
        <w:t xml:space="preserve"> however</w:t>
      </w:r>
      <w:r w:rsidR="008E6197" w:rsidRPr="00A47635">
        <w:rPr>
          <w:color w:val="000000" w:themeColor="text1"/>
        </w:rPr>
        <w:t>,</w:t>
      </w:r>
      <w:r w:rsidR="00E01032" w:rsidRPr="00A47635">
        <w:rPr>
          <w:color w:val="000000" w:themeColor="text1"/>
        </w:rPr>
        <w:t xml:space="preserve"> only </w:t>
      </w:r>
      <w:r w:rsidR="008E6197" w:rsidRPr="00A47635">
        <w:rPr>
          <w:color w:val="000000" w:themeColor="text1"/>
        </w:rPr>
        <w:t>replied</w:t>
      </w:r>
      <w:r w:rsidR="00E01032" w:rsidRPr="00A47635">
        <w:rPr>
          <w:color w:val="000000" w:themeColor="text1"/>
        </w:rPr>
        <w:t xml:space="preserve"> to the respondent on 15 September 2019 and informed it </w:t>
      </w:r>
      <w:r w:rsidR="00074325" w:rsidRPr="00A47635">
        <w:rPr>
          <w:color w:val="000000" w:themeColor="text1"/>
        </w:rPr>
        <w:t xml:space="preserve">that it was required </w:t>
      </w:r>
      <w:r w:rsidR="008E6197" w:rsidRPr="00A47635">
        <w:rPr>
          <w:color w:val="000000" w:themeColor="text1"/>
        </w:rPr>
        <w:t>to</w:t>
      </w:r>
      <w:r w:rsidR="00E01032" w:rsidRPr="00A47635">
        <w:rPr>
          <w:color w:val="000000" w:themeColor="text1"/>
        </w:rPr>
        <w:t xml:space="preserve"> lodge a claim against the company in liquidation.</w:t>
      </w:r>
      <w:r w:rsidR="00E01032" w:rsidRPr="00A47635">
        <w:rPr>
          <w:rStyle w:val="FootnoteReference"/>
          <w:color w:val="000000" w:themeColor="text1"/>
        </w:rPr>
        <w:footnoteReference w:id="4"/>
      </w:r>
      <w:r w:rsidR="00E01032">
        <w:rPr>
          <w:color w:val="000000" w:themeColor="text1"/>
        </w:rPr>
        <w:t xml:space="preserve"> The appellants thus knew since 12 August 2019 that the amount of R338 578.80 was not due to Evowood </w:t>
      </w:r>
      <w:r w:rsidR="008E6197">
        <w:rPr>
          <w:color w:val="000000" w:themeColor="text1"/>
        </w:rPr>
        <w:t xml:space="preserve">and </w:t>
      </w:r>
      <w:r w:rsidR="00E01032">
        <w:rPr>
          <w:color w:val="000000" w:themeColor="text1"/>
        </w:rPr>
        <w:t xml:space="preserve">could </w:t>
      </w:r>
      <w:r w:rsidR="008E6197">
        <w:rPr>
          <w:color w:val="000000" w:themeColor="text1"/>
        </w:rPr>
        <w:t>not</w:t>
      </w:r>
      <w:r w:rsidR="00E01032">
        <w:rPr>
          <w:color w:val="000000" w:themeColor="text1"/>
        </w:rPr>
        <w:t xml:space="preserve"> be utilised </w:t>
      </w:r>
      <w:r w:rsidR="008E6197">
        <w:rPr>
          <w:color w:val="000000" w:themeColor="text1"/>
        </w:rPr>
        <w:t>by</w:t>
      </w:r>
      <w:r w:rsidR="00E01032">
        <w:rPr>
          <w:color w:val="000000" w:themeColor="text1"/>
        </w:rPr>
        <w:t xml:space="preserve"> Evowood. Despite this knowledge</w:t>
      </w:r>
      <w:r w:rsidR="00383CC0">
        <w:rPr>
          <w:color w:val="000000" w:themeColor="text1"/>
        </w:rPr>
        <w:t>,</w:t>
      </w:r>
      <w:r w:rsidR="00E01032">
        <w:rPr>
          <w:color w:val="000000" w:themeColor="text1"/>
        </w:rPr>
        <w:t xml:space="preserve"> the </w:t>
      </w:r>
      <w:r w:rsidR="008E6197">
        <w:rPr>
          <w:color w:val="000000" w:themeColor="text1"/>
        </w:rPr>
        <w:t>appellants</w:t>
      </w:r>
      <w:r w:rsidR="00E01032">
        <w:rPr>
          <w:color w:val="000000" w:themeColor="text1"/>
        </w:rPr>
        <w:t xml:space="preserve"> </w:t>
      </w:r>
      <w:r w:rsidR="00A80621">
        <w:rPr>
          <w:color w:val="000000" w:themeColor="text1"/>
        </w:rPr>
        <w:t xml:space="preserve">delivered </w:t>
      </w:r>
      <w:r w:rsidR="00E01032">
        <w:rPr>
          <w:color w:val="000000" w:themeColor="text1"/>
        </w:rPr>
        <w:t>an interim answering affidavit deposed to on 28 February 2020 requesting an adjournment to investigate the matter.</w:t>
      </w:r>
      <w:r w:rsidR="00E01032">
        <w:rPr>
          <w:rStyle w:val="FootnoteReference"/>
          <w:color w:val="000000" w:themeColor="text1"/>
        </w:rPr>
        <w:footnoteReference w:id="5"/>
      </w:r>
      <w:r w:rsidR="00E01032">
        <w:rPr>
          <w:color w:val="000000" w:themeColor="text1"/>
        </w:rPr>
        <w:t xml:space="preserve"> </w:t>
      </w:r>
      <w:r w:rsidR="00D42228">
        <w:rPr>
          <w:color w:val="000000" w:themeColor="text1"/>
        </w:rPr>
        <w:t>On 25 March 2020</w:t>
      </w:r>
      <w:r w:rsidR="00383CC0">
        <w:rPr>
          <w:color w:val="000000" w:themeColor="text1"/>
        </w:rPr>
        <w:t>,</w:t>
      </w:r>
      <w:r w:rsidR="00D42228">
        <w:rPr>
          <w:color w:val="000000" w:themeColor="text1"/>
        </w:rPr>
        <w:t xml:space="preserve"> the appellants deposed to</w:t>
      </w:r>
      <w:r w:rsidR="008E6197">
        <w:rPr>
          <w:color w:val="000000" w:themeColor="text1"/>
        </w:rPr>
        <w:t xml:space="preserve"> another</w:t>
      </w:r>
      <w:r w:rsidR="00D42228">
        <w:rPr>
          <w:color w:val="000000" w:themeColor="text1"/>
        </w:rPr>
        <w:t xml:space="preserve"> answering affidavit and contend</w:t>
      </w:r>
      <w:r w:rsidR="00A80621">
        <w:rPr>
          <w:color w:val="000000" w:themeColor="text1"/>
        </w:rPr>
        <w:t>ed</w:t>
      </w:r>
      <w:r w:rsidR="00D42228">
        <w:rPr>
          <w:color w:val="000000" w:themeColor="text1"/>
        </w:rPr>
        <w:t>:</w:t>
      </w:r>
    </w:p>
    <w:p w14:paraId="705AFF1A" w14:textId="77777777" w:rsidR="00D42228" w:rsidRDefault="00D42228" w:rsidP="00110FCD">
      <w:pPr>
        <w:spacing w:after="0" w:line="360" w:lineRule="auto"/>
        <w:jc w:val="both"/>
        <w:rPr>
          <w:color w:val="000000" w:themeColor="text1"/>
        </w:rPr>
      </w:pPr>
      <w:r>
        <w:rPr>
          <w:color w:val="000000" w:themeColor="text1"/>
        </w:rPr>
        <w:t>‘</w:t>
      </w:r>
      <w:r w:rsidR="004C7280">
        <w:rPr>
          <w:color w:val="000000" w:themeColor="text1"/>
          <w:sz w:val="22"/>
          <w:szCs w:val="22"/>
        </w:rPr>
        <w:t>There are insufficient funds in the insolvent estate at present to effect any payment to the Applicant and until the assets of the business are realised, the joint liquidators are simply not in a position to refund the amount claimed by the Applicant. Further, even when the assets are sold, there are secured creditors whom payment must be made and there will be no free residue in the insolvent estate in terms of which payment could then be made to the Applicant.</w:t>
      </w:r>
      <w:r>
        <w:rPr>
          <w:color w:val="000000" w:themeColor="text1"/>
        </w:rPr>
        <w:t>’</w:t>
      </w:r>
      <w:r>
        <w:rPr>
          <w:rStyle w:val="FootnoteReference"/>
          <w:color w:val="000000" w:themeColor="text1"/>
        </w:rPr>
        <w:footnoteReference w:id="6"/>
      </w:r>
    </w:p>
    <w:p w14:paraId="6DF98C8B" w14:textId="77777777" w:rsidR="00A70219" w:rsidRDefault="00A70219" w:rsidP="00110FCD">
      <w:pPr>
        <w:spacing w:after="0" w:line="360" w:lineRule="auto"/>
        <w:jc w:val="both"/>
        <w:rPr>
          <w:color w:val="000000" w:themeColor="text1"/>
        </w:rPr>
      </w:pPr>
    </w:p>
    <w:p w14:paraId="19919354" w14:textId="2EB6F6E7" w:rsidR="00124D0F" w:rsidRDefault="00124D0F" w:rsidP="00110FCD">
      <w:pPr>
        <w:spacing w:after="0" w:line="360" w:lineRule="auto"/>
        <w:jc w:val="both"/>
        <w:rPr>
          <w:color w:val="000000" w:themeColor="text1"/>
        </w:rPr>
      </w:pPr>
      <w:r>
        <w:rPr>
          <w:color w:val="000000" w:themeColor="text1"/>
        </w:rPr>
        <w:t>[5]</w:t>
      </w:r>
      <w:r>
        <w:rPr>
          <w:color w:val="000000" w:themeColor="text1"/>
        </w:rPr>
        <w:tab/>
        <w:t xml:space="preserve">The weekly reconciliation attached to the answering </w:t>
      </w:r>
      <w:r w:rsidR="00981BC8">
        <w:rPr>
          <w:color w:val="000000" w:themeColor="text1"/>
        </w:rPr>
        <w:t xml:space="preserve">affidavit </w:t>
      </w:r>
      <w:r>
        <w:rPr>
          <w:color w:val="000000" w:themeColor="text1"/>
        </w:rPr>
        <w:t xml:space="preserve">is a reconciliation statement for the period </w:t>
      </w:r>
      <w:r w:rsidR="00BF4C17">
        <w:rPr>
          <w:color w:val="000000" w:themeColor="text1"/>
        </w:rPr>
        <w:t xml:space="preserve">from </w:t>
      </w:r>
      <w:r>
        <w:rPr>
          <w:color w:val="000000" w:themeColor="text1"/>
        </w:rPr>
        <w:t>31 M</w:t>
      </w:r>
      <w:r w:rsidR="00886B1C">
        <w:rPr>
          <w:color w:val="000000" w:themeColor="text1"/>
        </w:rPr>
        <w:t xml:space="preserve">ay 2019 to </w:t>
      </w:r>
      <w:r>
        <w:rPr>
          <w:color w:val="000000" w:themeColor="text1"/>
        </w:rPr>
        <w:t>4 June 2019</w:t>
      </w:r>
      <w:r w:rsidR="00BF4C17">
        <w:rPr>
          <w:color w:val="000000" w:themeColor="text1"/>
        </w:rPr>
        <w:t>,</w:t>
      </w:r>
      <w:r>
        <w:rPr>
          <w:color w:val="000000" w:themeColor="text1"/>
        </w:rPr>
        <w:t xml:space="preserve"> which reflects that </w:t>
      </w:r>
      <w:r w:rsidR="00990BF1">
        <w:rPr>
          <w:color w:val="000000" w:themeColor="text1"/>
        </w:rPr>
        <w:t xml:space="preserve">an </w:t>
      </w:r>
      <w:r>
        <w:rPr>
          <w:color w:val="000000" w:themeColor="text1"/>
        </w:rPr>
        <w:t>amount of R439 395.07 was still in the account</w:t>
      </w:r>
      <w:r w:rsidR="008E6197">
        <w:rPr>
          <w:color w:val="000000" w:themeColor="text1"/>
        </w:rPr>
        <w:t>. No</w:t>
      </w:r>
      <w:r>
        <w:rPr>
          <w:color w:val="000000" w:themeColor="text1"/>
        </w:rPr>
        <w:t xml:space="preserve"> reconciliation statement was </w:t>
      </w:r>
      <w:r>
        <w:rPr>
          <w:color w:val="000000" w:themeColor="text1"/>
        </w:rPr>
        <w:lastRenderedPageBreak/>
        <w:t xml:space="preserve">attached to the papers for the period when Evowood </w:t>
      </w:r>
      <w:r w:rsidR="007E0B99">
        <w:rPr>
          <w:color w:val="000000" w:themeColor="text1"/>
        </w:rPr>
        <w:t xml:space="preserve">was </w:t>
      </w:r>
      <w:r>
        <w:rPr>
          <w:color w:val="000000" w:themeColor="text1"/>
        </w:rPr>
        <w:t xml:space="preserve">requested </w:t>
      </w:r>
      <w:r w:rsidR="007E0B99">
        <w:rPr>
          <w:color w:val="000000" w:themeColor="text1"/>
        </w:rPr>
        <w:t>to</w:t>
      </w:r>
      <w:r>
        <w:rPr>
          <w:color w:val="000000" w:themeColor="text1"/>
        </w:rPr>
        <w:t xml:space="preserve"> refund </w:t>
      </w:r>
      <w:r w:rsidR="008E6197">
        <w:rPr>
          <w:color w:val="000000" w:themeColor="text1"/>
        </w:rPr>
        <w:t>the respondent</w:t>
      </w:r>
      <w:r>
        <w:rPr>
          <w:color w:val="000000" w:themeColor="text1"/>
        </w:rPr>
        <w:t>. Th</w:t>
      </w:r>
      <w:r w:rsidR="008E6197">
        <w:rPr>
          <w:color w:val="000000" w:themeColor="text1"/>
        </w:rPr>
        <w:t>e</w:t>
      </w:r>
      <w:r>
        <w:rPr>
          <w:color w:val="000000" w:themeColor="text1"/>
        </w:rPr>
        <w:t xml:space="preserve"> request was only made on 3 July 2019, one month after </w:t>
      </w:r>
      <w:r w:rsidR="008E6197">
        <w:rPr>
          <w:color w:val="000000" w:themeColor="text1"/>
        </w:rPr>
        <w:t>respondent requested the refund</w:t>
      </w:r>
      <w:r>
        <w:rPr>
          <w:color w:val="000000" w:themeColor="text1"/>
        </w:rPr>
        <w:t xml:space="preserve">. </w:t>
      </w:r>
      <w:r w:rsidR="00412AA6">
        <w:rPr>
          <w:color w:val="000000" w:themeColor="text1"/>
        </w:rPr>
        <w:t xml:space="preserve">Inasmuch as the appellants aver that there </w:t>
      </w:r>
      <w:r w:rsidR="008E6197">
        <w:rPr>
          <w:color w:val="000000" w:themeColor="text1"/>
        </w:rPr>
        <w:t>wer</w:t>
      </w:r>
      <w:r w:rsidR="00412AA6">
        <w:rPr>
          <w:color w:val="000000" w:themeColor="text1"/>
        </w:rPr>
        <w:t xml:space="preserve">e insufficient funds in the </w:t>
      </w:r>
      <w:r w:rsidR="008E6197">
        <w:rPr>
          <w:color w:val="000000" w:themeColor="text1"/>
        </w:rPr>
        <w:t>e</w:t>
      </w:r>
      <w:r w:rsidR="00412AA6">
        <w:rPr>
          <w:color w:val="000000" w:themeColor="text1"/>
        </w:rPr>
        <w:t xml:space="preserve">state of Evowood, no bank statements </w:t>
      </w:r>
      <w:r w:rsidR="008E6197">
        <w:rPr>
          <w:color w:val="000000" w:themeColor="text1"/>
        </w:rPr>
        <w:t xml:space="preserve">or reconciliation statements </w:t>
      </w:r>
      <w:r w:rsidR="00412AA6">
        <w:rPr>
          <w:color w:val="000000" w:themeColor="text1"/>
        </w:rPr>
        <w:t xml:space="preserve">were produced to </w:t>
      </w:r>
      <w:r w:rsidR="008E6197">
        <w:rPr>
          <w:color w:val="000000" w:themeColor="text1"/>
        </w:rPr>
        <w:t xml:space="preserve">support </w:t>
      </w:r>
      <w:r w:rsidR="006161F5">
        <w:rPr>
          <w:color w:val="000000" w:themeColor="text1"/>
        </w:rPr>
        <w:t xml:space="preserve">the averment </w:t>
      </w:r>
      <w:r w:rsidR="008E6197">
        <w:rPr>
          <w:color w:val="000000" w:themeColor="text1"/>
        </w:rPr>
        <w:t>that the property of the respondent was not realisable.</w:t>
      </w:r>
    </w:p>
    <w:p w14:paraId="00CDC779" w14:textId="77777777" w:rsidR="00412AA6" w:rsidRDefault="00412AA6" w:rsidP="00110FCD">
      <w:pPr>
        <w:spacing w:after="0" w:line="360" w:lineRule="auto"/>
        <w:jc w:val="both"/>
        <w:rPr>
          <w:color w:val="000000" w:themeColor="text1"/>
        </w:rPr>
      </w:pPr>
    </w:p>
    <w:p w14:paraId="716A2B25" w14:textId="22F2D104" w:rsidR="00ED570C" w:rsidRPr="00110FCD" w:rsidRDefault="00A70219" w:rsidP="00110FCD">
      <w:pPr>
        <w:spacing w:after="0" w:line="360" w:lineRule="auto"/>
        <w:jc w:val="both"/>
        <w:rPr>
          <w:color w:val="000000" w:themeColor="text1"/>
        </w:rPr>
      </w:pPr>
      <w:r>
        <w:rPr>
          <w:color w:val="000000" w:themeColor="text1"/>
        </w:rPr>
        <w:t>[</w:t>
      </w:r>
      <w:r w:rsidR="007C6AE9">
        <w:rPr>
          <w:color w:val="000000" w:themeColor="text1"/>
        </w:rPr>
        <w:t>6</w:t>
      </w:r>
      <w:r>
        <w:rPr>
          <w:color w:val="000000" w:themeColor="text1"/>
        </w:rPr>
        <w:t>]</w:t>
      </w:r>
      <w:r>
        <w:rPr>
          <w:color w:val="000000" w:themeColor="text1"/>
        </w:rPr>
        <w:tab/>
      </w:r>
      <w:r w:rsidR="00ED570C" w:rsidRPr="00110FCD">
        <w:rPr>
          <w:color w:val="000000" w:themeColor="text1"/>
        </w:rPr>
        <w:t>The court a quo</w:t>
      </w:r>
      <w:r w:rsidR="009207B6">
        <w:rPr>
          <w:color w:val="000000" w:themeColor="text1"/>
        </w:rPr>
        <w:t>,</w:t>
      </w:r>
      <w:r w:rsidR="00ED570C" w:rsidRPr="00110FCD">
        <w:rPr>
          <w:color w:val="000000" w:themeColor="text1"/>
        </w:rPr>
        <w:t xml:space="preserve"> </w:t>
      </w:r>
      <w:r>
        <w:rPr>
          <w:color w:val="000000" w:themeColor="text1"/>
        </w:rPr>
        <w:t>after hearing the application</w:t>
      </w:r>
      <w:r w:rsidR="00EC311E">
        <w:rPr>
          <w:color w:val="000000" w:themeColor="text1"/>
        </w:rPr>
        <w:t>,</w:t>
      </w:r>
      <w:r>
        <w:rPr>
          <w:color w:val="000000" w:themeColor="text1"/>
        </w:rPr>
        <w:t xml:space="preserve"> </w:t>
      </w:r>
      <w:r w:rsidR="00C16D09" w:rsidRPr="00110FCD">
        <w:rPr>
          <w:color w:val="000000" w:themeColor="text1"/>
        </w:rPr>
        <w:t>was satisfied that Evowood was unjustifiably enriched and issued the following order</w:t>
      </w:r>
      <w:r w:rsidR="00ED570C" w:rsidRPr="00110FCD">
        <w:rPr>
          <w:color w:val="000000" w:themeColor="text1"/>
        </w:rPr>
        <w:t>:</w:t>
      </w:r>
    </w:p>
    <w:p w14:paraId="11062182" w14:textId="77777777" w:rsidR="00ED570C" w:rsidRPr="00110FCD" w:rsidRDefault="00ED570C" w:rsidP="00110FCD">
      <w:pPr>
        <w:spacing w:after="0" w:line="360" w:lineRule="auto"/>
        <w:ind w:left="720" w:hanging="720"/>
        <w:jc w:val="both"/>
        <w:rPr>
          <w:color w:val="000000" w:themeColor="text1"/>
          <w:sz w:val="22"/>
          <w:szCs w:val="22"/>
        </w:rPr>
      </w:pPr>
      <w:r w:rsidRPr="00110FCD">
        <w:rPr>
          <w:color w:val="000000" w:themeColor="text1"/>
          <w:sz w:val="22"/>
          <w:szCs w:val="22"/>
        </w:rPr>
        <w:t>‘1.</w:t>
      </w:r>
      <w:r w:rsidRPr="00110FCD">
        <w:rPr>
          <w:color w:val="000000" w:themeColor="text1"/>
          <w:sz w:val="22"/>
          <w:szCs w:val="22"/>
        </w:rPr>
        <w:tab/>
        <w:t xml:space="preserve">Respondents in their capacity as joint liquidators of Evowood (Pty) Ltd are ordered to repay to </w:t>
      </w:r>
      <w:r w:rsidR="00525F5E" w:rsidRPr="00110FCD">
        <w:rPr>
          <w:color w:val="000000" w:themeColor="text1"/>
          <w:sz w:val="22"/>
          <w:szCs w:val="22"/>
        </w:rPr>
        <w:t xml:space="preserve">Applicant </w:t>
      </w:r>
      <w:r w:rsidRPr="00110FCD">
        <w:rPr>
          <w:color w:val="000000" w:themeColor="text1"/>
          <w:sz w:val="22"/>
          <w:szCs w:val="22"/>
        </w:rPr>
        <w:t>the amount of R338 573</w:t>
      </w:r>
      <w:r w:rsidR="00525F5E">
        <w:rPr>
          <w:color w:val="000000" w:themeColor="text1"/>
          <w:sz w:val="22"/>
          <w:szCs w:val="22"/>
        </w:rPr>
        <w:t>,</w:t>
      </w:r>
      <w:r w:rsidRPr="00110FCD">
        <w:rPr>
          <w:color w:val="000000" w:themeColor="text1"/>
          <w:sz w:val="22"/>
          <w:szCs w:val="22"/>
        </w:rPr>
        <w:t>80.</w:t>
      </w:r>
    </w:p>
    <w:p w14:paraId="33402902" w14:textId="77777777" w:rsidR="00ED570C" w:rsidRPr="00110FCD" w:rsidRDefault="00ED570C" w:rsidP="00110FCD">
      <w:pPr>
        <w:spacing w:after="0" w:line="360" w:lineRule="auto"/>
        <w:jc w:val="both"/>
        <w:rPr>
          <w:color w:val="000000" w:themeColor="text1"/>
          <w:sz w:val="22"/>
          <w:szCs w:val="22"/>
        </w:rPr>
      </w:pPr>
      <w:r w:rsidRPr="00110FCD">
        <w:rPr>
          <w:color w:val="000000" w:themeColor="text1"/>
          <w:sz w:val="22"/>
          <w:szCs w:val="22"/>
        </w:rPr>
        <w:t>2.</w:t>
      </w:r>
      <w:r w:rsidRPr="00110FCD">
        <w:rPr>
          <w:color w:val="000000" w:themeColor="text1"/>
          <w:sz w:val="22"/>
          <w:szCs w:val="22"/>
        </w:rPr>
        <w:tab/>
        <w:t>Respondents to pay the costs of the application.’</w:t>
      </w:r>
    </w:p>
    <w:p w14:paraId="3F71EEB8" w14:textId="77777777" w:rsidR="00AB5E0C" w:rsidRPr="00110FCD" w:rsidRDefault="00AB5E0C" w:rsidP="00110FCD">
      <w:pPr>
        <w:spacing w:after="0" w:line="360" w:lineRule="auto"/>
        <w:contextualSpacing/>
        <w:jc w:val="both"/>
        <w:rPr>
          <w:color w:val="000000" w:themeColor="text1"/>
        </w:rPr>
      </w:pPr>
    </w:p>
    <w:p w14:paraId="10DFDD24" w14:textId="77777777" w:rsidR="00203F21" w:rsidRPr="00203F21" w:rsidRDefault="00203F21" w:rsidP="00110FCD">
      <w:pPr>
        <w:spacing w:after="0" w:line="360" w:lineRule="auto"/>
        <w:jc w:val="both"/>
        <w:rPr>
          <w:b/>
          <w:color w:val="000000" w:themeColor="text1"/>
        </w:rPr>
      </w:pPr>
      <w:r>
        <w:rPr>
          <w:b/>
          <w:color w:val="000000" w:themeColor="text1"/>
        </w:rPr>
        <w:t>Grounds of appeal</w:t>
      </w:r>
    </w:p>
    <w:p w14:paraId="77336ED0" w14:textId="77777777" w:rsidR="00367447" w:rsidRPr="00110FCD" w:rsidRDefault="007C6AE9" w:rsidP="00110FCD">
      <w:pPr>
        <w:spacing w:after="0" w:line="360" w:lineRule="auto"/>
        <w:jc w:val="both"/>
        <w:rPr>
          <w:color w:val="000000" w:themeColor="text1"/>
        </w:rPr>
      </w:pPr>
      <w:r>
        <w:rPr>
          <w:color w:val="000000" w:themeColor="text1"/>
        </w:rPr>
        <w:t>[7</w:t>
      </w:r>
      <w:r w:rsidR="00AB5E0C" w:rsidRPr="00110FCD">
        <w:rPr>
          <w:color w:val="000000" w:themeColor="text1"/>
        </w:rPr>
        <w:t>]</w:t>
      </w:r>
      <w:r w:rsidR="00AB5E0C" w:rsidRPr="00110FCD">
        <w:rPr>
          <w:color w:val="000000" w:themeColor="text1"/>
        </w:rPr>
        <w:tab/>
      </w:r>
      <w:r w:rsidR="00367447" w:rsidRPr="00110FCD">
        <w:rPr>
          <w:color w:val="000000" w:themeColor="text1"/>
        </w:rPr>
        <w:t xml:space="preserve">The appellants contend that the appeal against the judgment should </w:t>
      </w:r>
      <w:r w:rsidR="004A5B5A" w:rsidRPr="00110FCD">
        <w:rPr>
          <w:color w:val="000000" w:themeColor="text1"/>
        </w:rPr>
        <w:t xml:space="preserve">succeed </w:t>
      </w:r>
      <w:r w:rsidR="00AB5E0C" w:rsidRPr="00110FCD">
        <w:rPr>
          <w:color w:val="000000" w:themeColor="text1"/>
        </w:rPr>
        <w:t xml:space="preserve">on the </w:t>
      </w:r>
      <w:r w:rsidR="00367447" w:rsidRPr="00110FCD">
        <w:rPr>
          <w:color w:val="000000" w:themeColor="text1"/>
        </w:rPr>
        <w:t xml:space="preserve">following </w:t>
      </w:r>
      <w:r w:rsidR="00AB5E0C" w:rsidRPr="00110FCD">
        <w:rPr>
          <w:color w:val="000000" w:themeColor="text1"/>
        </w:rPr>
        <w:t>grounds</w:t>
      </w:r>
      <w:r w:rsidR="00367447" w:rsidRPr="00110FCD">
        <w:rPr>
          <w:color w:val="000000" w:themeColor="text1"/>
        </w:rPr>
        <w:t>:</w:t>
      </w:r>
    </w:p>
    <w:p w14:paraId="0B2F1F5F" w14:textId="658056BB" w:rsidR="005576B2" w:rsidRPr="00110FCD" w:rsidRDefault="00B633FF" w:rsidP="00110FCD">
      <w:pPr>
        <w:spacing w:after="0" w:line="360" w:lineRule="auto"/>
        <w:jc w:val="both"/>
        <w:rPr>
          <w:color w:val="000000" w:themeColor="text1"/>
          <w:sz w:val="22"/>
          <w:szCs w:val="22"/>
        </w:rPr>
      </w:pPr>
      <w:r w:rsidRPr="00110FCD">
        <w:rPr>
          <w:color w:val="000000" w:themeColor="text1"/>
          <w:sz w:val="22"/>
          <w:szCs w:val="22"/>
        </w:rPr>
        <w:t>‘a.</w:t>
      </w:r>
      <w:r w:rsidR="005576B2" w:rsidRPr="00110FCD">
        <w:rPr>
          <w:color w:val="000000" w:themeColor="text1"/>
          <w:sz w:val="22"/>
          <w:szCs w:val="22"/>
        </w:rPr>
        <w:tab/>
        <w:t xml:space="preserve">By virtue of </w:t>
      </w:r>
      <w:r w:rsidR="002A3910" w:rsidRPr="00110FCD">
        <w:rPr>
          <w:color w:val="000000" w:themeColor="text1"/>
          <w:sz w:val="22"/>
          <w:szCs w:val="22"/>
        </w:rPr>
        <w:t>Evowood</w:t>
      </w:r>
      <w:r w:rsidR="005576B2" w:rsidRPr="00110FCD">
        <w:rPr>
          <w:color w:val="000000" w:themeColor="text1"/>
          <w:sz w:val="22"/>
          <w:szCs w:val="22"/>
        </w:rPr>
        <w:t xml:space="preserve"> (Pty) Ltd (</w:t>
      </w:r>
      <w:r w:rsidR="00434CAB" w:rsidRPr="00110FCD">
        <w:rPr>
          <w:color w:val="000000" w:themeColor="text1"/>
          <w:sz w:val="22"/>
          <w:szCs w:val="22"/>
        </w:rPr>
        <w:t>the</w:t>
      </w:r>
      <w:r w:rsidR="005576B2" w:rsidRPr="00110FCD">
        <w:rPr>
          <w:color w:val="000000" w:themeColor="text1"/>
          <w:sz w:val="22"/>
          <w:szCs w:val="22"/>
        </w:rPr>
        <w:t xml:space="preserve"> insolvent company represented by the appellants) having been placed under winding up after the date of the payment from which the respondent’s claim against it arose, the respondent is in the same position as any other pre-</w:t>
      </w:r>
      <w:r w:rsidR="00905E54" w:rsidRPr="00110FCD">
        <w:rPr>
          <w:color w:val="000000" w:themeColor="text1"/>
          <w:sz w:val="22"/>
          <w:szCs w:val="22"/>
        </w:rPr>
        <w:t xml:space="preserve">liquidation creditor </w:t>
      </w:r>
      <w:r w:rsidR="00711C0A" w:rsidRPr="00110FCD">
        <w:rPr>
          <w:color w:val="000000" w:themeColor="text1"/>
          <w:sz w:val="22"/>
          <w:szCs w:val="22"/>
        </w:rPr>
        <w:t xml:space="preserve">of </w:t>
      </w:r>
      <w:proofErr w:type="spellStart"/>
      <w:r w:rsidR="00711C0A" w:rsidRPr="00110FCD">
        <w:rPr>
          <w:color w:val="000000" w:themeColor="text1"/>
          <w:sz w:val="22"/>
          <w:szCs w:val="22"/>
        </w:rPr>
        <w:t>Evowood</w:t>
      </w:r>
      <w:proofErr w:type="spellEnd"/>
      <w:r w:rsidR="00905E54" w:rsidRPr="00110FCD">
        <w:rPr>
          <w:color w:val="000000" w:themeColor="text1"/>
          <w:sz w:val="22"/>
          <w:szCs w:val="22"/>
        </w:rPr>
        <w:t xml:space="preserve">, and its only recourse, should it wish to pursue its claim, is to lodge with the appellants in terms of section 44(1) of the Insolvency Act 24 of 1936 (“the Act”). </w:t>
      </w:r>
    </w:p>
    <w:p w14:paraId="29D33217" w14:textId="77777777" w:rsidR="00905E54" w:rsidRPr="00110FCD" w:rsidRDefault="00B633FF" w:rsidP="00110FCD">
      <w:pPr>
        <w:spacing w:after="0" w:line="360" w:lineRule="auto"/>
        <w:jc w:val="both"/>
        <w:rPr>
          <w:color w:val="000000" w:themeColor="text1"/>
          <w:sz w:val="22"/>
          <w:szCs w:val="22"/>
        </w:rPr>
      </w:pPr>
      <w:r w:rsidRPr="00110FCD">
        <w:rPr>
          <w:color w:val="000000" w:themeColor="text1"/>
          <w:sz w:val="22"/>
          <w:szCs w:val="22"/>
        </w:rPr>
        <w:t>b.</w:t>
      </w:r>
      <w:r w:rsidR="00905E54" w:rsidRPr="00110FCD">
        <w:rPr>
          <w:color w:val="000000" w:themeColor="text1"/>
          <w:sz w:val="22"/>
          <w:szCs w:val="22"/>
        </w:rPr>
        <w:tab/>
        <w:t>T</w:t>
      </w:r>
      <w:r w:rsidR="007F1592" w:rsidRPr="00110FCD">
        <w:rPr>
          <w:color w:val="000000" w:themeColor="text1"/>
          <w:sz w:val="22"/>
          <w:szCs w:val="22"/>
        </w:rPr>
        <w:t>he laws of I</w:t>
      </w:r>
      <w:r w:rsidR="00905E54" w:rsidRPr="00110FCD">
        <w:rPr>
          <w:color w:val="000000" w:themeColor="text1"/>
          <w:sz w:val="22"/>
          <w:szCs w:val="22"/>
        </w:rPr>
        <w:t>nsolvency preclude the respondent from bringing its claim against the appellants in the manner in which it did.</w:t>
      </w:r>
    </w:p>
    <w:p w14:paraId="26356723" w14:textId="77777777" w:rsidR="00905E54" w:rsidRPr="00110FCD" w:rsidRDefault="00B633FF" w:rsidP="00110FCD">
      <w:pPr>
        <w:spacing w:after="0" w:line="360" w:lineRule="auto"/>
        <w:jc w:val="both"/>
        <w:rPr>
          <w:color w:val="000000" w:themeColor="text1"/>
          <w:sz w:val="22"/>
          <w:szCs w:val="22"/>
        </w:rPr>
      </w:pPr>
      <w:r w:rsidRPr="00110FCD">
        <w:rPr>
          <w:color w:val="000000" w:themeColor="text1"/>
          <w:sz w:val="22"/>
          <w:szCs w:val="22"/>
        </w:rPr>
        <w:t>c.</w:t>
      </w:r>
      <w:r w:rsidR="00905E54" w:rsidRPr="00110FCD">
        <w:rPr>
          <w:color w:val="000000" w:themeColor="text1"/>
          <w:sz w:val="22"/>
          <w:szCs w:val="22"/>
        </w:rPr>
        <w:tab/>
        <w:t xml:space="preserve">The Learned Judge erred in relying on several case authorities in his judgment which, it is </w:t>
      </w:r>
      <w:r w:rsidR="000356BE">
        <w:rPr>
          <w:color w:val="000000" w:themeColor="text1"/>
          <w:sz w:val="22"/>
          <w:szCs w:val="22"/>
        </w:rPr>
        <w:t>respectfully</w:t>
      </w:r>
      <w:r w:rsidR="000356BE" w:rsidRPr="00110FCD">
        <w:rPr>
          <w:color w:val="000000" w:themeColor="text1"/>
          <w:sz w:val="22"/>
          <w:szCs w:val="22"/>
        </w:rPr>
        <w:t xml:space="preserve"> </w:t>
      </w:r>
      <w:r w:rsidR="00905E54" w:rsidRPr="00110FCD">
        <w:rPr>
          <w:color w:val="000000" w:themeColor="text1"/>
          <w:sz w:val="22"/>
          <w:szCs w:val="22"/>
        </w:rPr>
        <w:t>submitted, are distinguish</w:t>
      </w:r>
      <w:r w:rsidR="000A2FB6" w:rsidRPr="00110FCD">
        <w:rPr>
          <w:color w:val="000000" w:themeColor="text1"/>
          <w:sz w:val="22"/>
          <w:szCs w:val="22"/>
        </w:rPr>
        <w:t xml:space="preserve">able </w:t>
      </w:r>
      <w:r w:rsidR="00905E54" w:rsidRPr="00110FCD">
        <w:rPr>
          <w:color w:val="000000" w:themeColor="text1"/>
          <w:sz w:val="22"/>
          <w:szCs w:val="22"/>
        </w:rPr>
        <w:t>from the facts of the present matter and irrelevant to the issues to be decided.</w:t>
      </w:r>
    </w:p>
    <w:p w14:paraId="69C267D4" w14:textId="77777777" w:rsidR="00905E54" w:rsidRPr="00110FCD" w:rsidRDefault="00B633FF" w:rsidP="00110FCD">
      <w:pPr>
        <w:spacing w:after="0" w:line="360" w:lineRule="auto"/>
        <w:jc w:val="both"/>
        <w:rPr>
          <w:color w:val="000000" w:themeColor="text1"/>
          <w:sz w:val="22"/>
          <w:szCs w:val="22"/>
        </w:rPr>
      </w:pPr>
      <w:r w:rsidRPr="00110FCD">
        <w:rPr>
          <w:color w:val="000000" w:themeColor="text1"/>
          <w:sz w:val="22"/>
          <w:szCs w:val="22"/>
        </w:rPr>
        <w:t>d.</w:t>
      </w:r>
      <w:r w:rsidR="00905E54" w:rsidRPr="00110FCD">
        <w:rPr>
          <w:color w:val="000000" w:themeColor="text1"/>
          <w:sz w:val="22"/>
          <w:szCs w:val="22"/>
        </w:rPr>
        <w:tab/>
        <w:t>The Learned Judge further erred in finding that it was just and equitable that the respondent be entitled to claim</w:t>
      </w:r>
      <w:r w:rsidR="000A2FB6" w:rsidRPr="00110FCD">
        <w:rPr>
          <w:color w:val="000000" w:themeColor="text1"/>
          <w:sz w:val="22"/>
          <w:szCs w:val="22"/>
        </w:rPr>
        <w:t xml:space="preserve"> repayment</w:t>
      </w:r>
      <w:r w:rsidR="00905E54" w:rsidRPr="00110FCD">
        <w:rPr>
          <w:color w:val="000000" w:themeColor="text1"/>
          <w:sz w:val="22"/>
          <w:szCs w:val="22"/>
        </w:rPr>
        <w:t xml:space="preserve"> of the amount</w:t>
      </w:r>
      <w:r w:rsidR="000A2FB6" w:rsidRPr="00110FCD">
        <w:rPr>
          <w:color w:val="000000" w:themeColor="text1"/>
          <w:sz w:val="22"/>
          <w:szCs w:val="22"/>
        </w:rPr>
        <w:t>s</w:t>
      </w:r>
      <w:r w:rsidR="00905E54" w:rsidRPr="00110FCD">
        <w:rPr>
          <w:color w:val="000000" w:themeColor="text1"/>
          <w:sz w:val="22"/>
          <w:szCs w:val="22"/>
        </w:rPr>
        <w:t xml:space="preserve"> owed to it immediately, and failed to consider the effect of such a decision on the other creditors of </w:t>
      </w:r>
      <w:r w:rsidR="002A3910" w:rsidRPr="00110FCD">
        <w:rPr>
          <w:color w:val="000000" w:themeColor="text1"/>
          <w:sz w:val="22"/>
          <w:szCs w:val="22"/>
        </w:rPr>
        <w:t>Evowood</w:t>
      </w:r>
      <w:r w:rsidR="00905E54" w:rsidRPr="00110FCD">
        <w:rPr>
          <w:color w:val="000000" w:themeColor="text1"/>
          <w:sz w:val="22"/>
          <w:szCs w:val="22"/>
        </w:rPr>
        <w:t>.</w:t>
      </w:r>
    </w:p>
    <w:p w14:paraId="6216201B" w14:textId="77777777" w:rsidR="000A2FB6" w:rsidRPr="00110FCD" w:rsidRDefault="00B633FF" w:rsidP="00110FCD">
      <w:pPr>
        <w:spacing w:after="0" w:line="360" w:lineRule="auto"/>
        <w:jc w:val="both"/>
        <w:rPr>
          <w:color w:val="000000" w:themeColor="text1"/>
          <w:sz w:val="22"/>
          <w:szCs w:val="22"/>
        </w:rPr>
      </w:pPr>
      <w:r w:rsidRPr="00110FCD">
        <w:rPr>
          <w:color w:val="000000" w:themeColor="text1"/>
          <w:sz w:val="22"/>
          <w:szCs w:val="22"/>
        </w:rPr>
        <w:t>e.</w:t>
      </w:r>
      <w:r w:rsidR="000A2FB6" w:rsidRPr="00110FCD">
        <w:rPr>
          <w:color w:val="000000" w:themeColor="text1"/>
          <w:sz w:val="22"/>
          <w:szCs w:val="22"/>
        </w:rPr>
        <w:tab/>
        <w:t xml:space="preserve">No basis exists in law for the respondent to be treated any differently to any other pre-liquidation creditor of </w:t>
      </w:r>
      <w:r w:rsidR="002A3910" w:rsidRPr="00110FCD">
        <w:rPr>
          <w:color w:val="000000" w:themeColor="text1"/>
          <w:sz w:val="22"/>
          <w:szCs w:val="22"/>
        </w:rPr>
        <w:t>Evowood</w:t>
      </w:r>
      <w:r w:rsidR="000A2FB6" w:rsidRPr="00110FCD">
        <w:rPr>
          <w:color w:val="000000" w:themeColor="text1"/>
          <w:sz w:val="22"/>
          <w:szCs w:val="22"/>
        </w:rPr>
        <w:t>.</w:t>
      </w:r>
      <w:r w:rsidRPr="00110FCD">
        <w:rPr>
          <w:color w:val="000000" w:themeColor="text1"/>
          <w:sz w:val="22"/>
          <w:szCs w:val="22"/>
        </w:rPr>
        <w:t>’</w:t>
      </w:r>
    </w:p>
    <w:p w14:paraId="05DAA1D3" w14:textId="77777777" w:rsidR="00F65A7A" w:rsidRPr="00110FCD" w:rsidRDefault="00F65A7A" w:rsidP="00110FCD">
      <w:pPr>
        <w:spacing w:after="0" w:line="360" w:lineRule="auto"/>
        <w:contextualSpacing/>
        <w:jc w:val="both"/>
        <w:rPr>
          <w:color w:val="000000" w:themeColor="text1"/>
          <w:sz w:val="22"/>
          <w:szCs w:val="22"/>
        </w:rPr>
      </w:pPr>
    </w:p>
    <w:p w14:paraId="5FD54119" w14:textId="77777777" w:rsidR="00D25C98" w:rsidRDefault="00D25C98" w:rsidP="00110FCD">
      <w:pPr>
        <w:spacing w:after="0" w:line="360" w:lineRule="auto"/>
        <w:jc w:val="both"/>
        <w:rPr>
          <w:b/>
          <w:color w:val="000000" w:themeColor="text1"/>
        </w:rPr>
      </w:pPr>
    </w:p>
    <w:p w14:paraId="02233E5B" w14:textId="77777777" w:rsidR="00D25C98" w:rsidRDefault="00D25C98" w:rsidP="00110FCD">
      <w:pPr>
        <w:spacing w:after="0" w:line="360" w:lineRule="auto"/>
        <w:jc w:val="both"/>
        <w:rPr>
          <w:b/>
          <w:color w:val="000000" w:themeColor="text1"/>
        </w:rPr>
      </w:pPr>
    </w:p>
    <w:p w14:paraId="2F7ED25A" w14:textId="20694906" w:rsidR="000356BE" w:rsidRPr="00E75DB6" w:rsidRDefault="000356BE" w:rsidP="00110FCD">
      <w:pPr>
        <w:spacing w:after="0" w:line="360" w:lineRule="auto"/>
        <w:jc w:val="both"/>
        <w:rPr>
          <w:b/>
          <w:color w:val="000000" w:themeColor="text1"/>
        </w:rPr>
      </w:pPr>
      <w:r>
        <w:rPr>
          <w:b/>
          <w:color w:val="000000" w:themeColor="text1"/>
        </w:rPr>
        <w:lastRenderedPageBreak/>
        <w:t>Was section 44 of the Act applicable?</w:t>
      </w:r>
    </w:p>
    <w:p w14:paraId="2F58911A" w14:textId="77777777" w:rsidR="00862466" w:rsidRPr="00110FCD" w:rsidRDefault="00B633FF" w:rsidP="00110FCD">
      <w:pPr>
        <w:spacing w:after="0" w:line="360" w:lineRule="auto"/>
        <w:jc w:val="both"/>
        <w:rPr>
          <w:color w:val="000000" w:themeColor="text1"/>
        </w:rPr>
      </w:pPr>
      <w:r w:rsidRPr="00110FCD">
        <w:rPr>
          <w:color w:val="000000" w:themeColor="text1"/>
        </w:rPr>
        <w:t>[</w:t>
      </w:r>
      <w:r w:rsidR="007C6AE9">
        <w:rPr>
          <w:color w:val="000000" w:themeColor="text1"/>
        </w:rPr>
        <w:t>8</w:t>
      </w:r>
      <w:r w:rsidRPr="00110FCD">
        <w:rPr>
          <w:color w:val="000000" w:themeColor="text1"/>
        </w:rPr>
        <w:t>]</w:t>
      </w:r>
      <w:r w:rsidRPr="00110FCD">
        <w:rPr>
          <w:color w:val="000000" w:themeColor="text1"/>
        </w:rPr>
        <w:tab/>
      </w:r>
      <w:r w:rsidR="001D74EA" w:rsidRPr="00110FCD">
        <w:rPr>
          <w:color w:val="000000" w:themeColor="text1"/>
        </w:rPr>
        <w:t>It is necessary to start with the appellants’</w:t>
      </w:r>
      <w:r w:rsidRPr="00110FCD">
        <w:rPr>
          <w:color w:val="000000" w:themeColor="text1"/>
        </w:rPr>
        <w:t xml:space="preserve"> subm</w:t>
      </w:r>
      <w:r w:rsidR="001D74EA" w:rsidRPr="00110FCD">
        <w:rPr>
          <w:color w:val="000000" w:themeColor="text1"/>
        </w:rPr>
        <w:t>ission</w:t>
      </w:r>
      <w:r w:rsidRPr="00110FCD">
        <w:rPr>
          <w:color w:val="000000" w:themeColor="text1"/>
        </w:rPr>
        <w:t xml:space="preserve"> that s 44(1) of the Insolvency Act 24 of 1936 (the Act) </w:t>
      </w:r>
      <w:r w:rsidR="00862466" w:rsidRPr="00110FCD">
        <w:rPr>
          <w:color w:val="000000" w:themeColor="text1"/>
        </w:rPr>
        <w:t xml:space="preserve">should </w:t>
      </w:r>
      <w:r w:rsidR="002342FE" w:rsidRPr="00110FCD">
        <w:rPr>
          <w:color w:val="000000" w:themeColor="text1"/>
        </w:rPr>
        <w:t xml:space="preserve">have found </w:t>
      </w:r>
      <w:r w:rsidR="00862466" w:rsidRPr="00110FCD">
        <w:rPr>
          <w:color w:val="000000" w:themeColor="text1"/>
        </w:rPr>
        <w:t>application</w:t>
      </w:r>
      <w:r w:rsidR="000356BE">
        <w:rPr>
          <w:color w:val="000000" w:themeColor="text1"/>
        </w:rPr>
        <w:t>,</w:t>
      </w:r>
      <w:r w:rsidR="002342FE" w:rsidRPr="00110FCD">
        <w:rPr>
          <w:color w:val="000000" w:themeColor="text1"/>
        </w:rPr>
        <w:t xml:space="preserve"> and that it precluded</w:t>
      </w:r>
      <w:r w:rsidR="002B667A" w:rsidRPr="00110FCD">
        <w:rPr>
          <w:color w:val="000000" w:themeColor="text1"/>
        </w:rPr>
        <w:t xml:space="preserve"> the respondent </w:t>
      </w:r>
      <w:r w:rsidR="00F615E8">
        <w:rPr>
          <w:color w:val="000000" w:themeColor="text1"/>
        </w:rPr>
        <w:t>from bringing</w:t>
      </w:r>
      <w:r w:rsidR="002B667A" w:rsidRPr="00110FCD">
        <w:rPr>
          <w:color w:val="000000" w:themeColor="text1"/>
        </w:rPr>
        <w:t xml:space="preserve"> its claim against the appellants in the manner it did.</w:t>
      </w:r>
      <w:r w:rsidR="00862466" w:rsidRPr="00110FCD">
        <w:rPr>
          <w:color w:val="000000" w:themeColor="text1"/>
        </w:rPr>
        <w:t xml:space="preserve"> </w:t>
      </w:r>
      <w:r w:rsidR="002B667A" w:rsidRPr="00110FCD">
        <w:rPr>
          <w:color w:val="000000" w:themeColor="text1"/>
        </w:rPr>
        <w:t xml:space="preserve">The section </w:t>
      </w:r>
      <w:r w:rsidR="00862466" w:rsidRPr="00110FCD">
        <w:rPr>
          <w:color w:val="000000" w:themeColor="text1"/>
        </w:rPr>
        <w:t>reads:</w:t>
      </w:r>
    </w:p>
    <w:p w14:paraId="73C35414" w14:textId="77777777" w:rsidR="00862466" w:rsidRPr="00110FCD" w:rsidRDefault="00862466" w:rsidP="00110FCD">
      <w:pPr>
        <w:spacing w:after="0" w:line="360" w:lineRule="auto"/>
        <w:jc w:val="both"/>
        <w:rPr>
          <w:color w:val="000000" w:themeColor="text1"/>
          <w:sz w:val="22"/>
          <w:szCs w:val="22"/>
        </w:rPr>
      </w:pPr>
      <w:r w:rsidRPr="00110FCD">
        <w:rPr>
          <w:color w:val="000000" w:themeColor="text1"/>
          <w:sz w:val="22"/>
          <w:szCs w:val="22"/>
        </w:rPr>
        <w:t>‘</w:t>
      </w:r>
      <w:bookmarkStart w:id="0" w:name="0-0-0-81643"/>
      <w:bookmarkEnd w:id="0"/>
      <w:r w:rsidRPr="00110FCD">
        <w:rPr>
          <w:rFonts w:eastAsia="Times New Roman"/>
          <w:color w:val="000000" w:themeColor="text1"/>
          <w:sz w:val="22"/>
          <w:szCs w:val="22"/>
          <w:lang w:eastAsia="en-GB"/>
        </w:rPr>
        <w:t>(1) </w:t>
      </w:r>
      <w:r w:rsidRPr="00110FCD">
        <w:rPr>
          <w:rFonts w:eastAsia="Times New Roman"/>
          <w:color w:val="000000" w:themeColor="text1"/>
          <w:sz w:val="22"/>
          <w:szCs w:val="22"/>
          <w:u w:val="single"/>
          <w:lang w:eastAsia="en-GB"/>
        </w:rPr>
        <w:t>Any person</w:t>
      </w:r>
      <w:r w:rsidRPr="00110FCD">
        <w:rPr>
          <w:rFonts w:eastAsia="Times New Roman"/>
          <w:color w:val="000000" w:themeColor="text1"/>
          <w:sz w:val="22"/>
          <w:szCs w:val="22"/>
          <w:lang w:eastAsia="en-GB"/>
        </w:rPr>
        <w:t xml:space="preserve"> or the representative of any person </w:t>
      </w:r>
      <w:r w:rsidRPr="00110FCD">
        <w:rPr>
          <w:rFonts w:eastAsia="Times New Roman"/>
          <w:color w:val="000000" w:themeColor="text1"/>
          <w:sz w:val="22"/>
          <w:szCs w:val="22"/>
          <w:u w:val="single"/>
          <w:lang w:eastAsia="en-GB"/>
        </w:rPr>
        <w:t>who has a liquidated claim against an insolvent estate, the cause of which arose before the sequestration of that estate, may, at any time before the final distribution</w:t>
      </w:r>
      <w:r w:rsidRPr="00110FCD">
        <w:rPr>
          <w:rFonts w:eastAsia="Times New Roman"/>
          <w:color w:val="000000" w:themeColor="text1"/>
          <w:sz w:val="22"/>
          <w:szCs w:val="22"/>
          <w:lang w:eastAsia="en-GB"/>
        </w:rPr>
        <w:t xml:space="preserve"> of that estate in terms of section </w:t>
      </w:r>
      <w:r w:rsidRPr="00110FCD">
        <w:rPr>
          <w:rFonts w:eastAsia="Times New Roman"/>
          <w:i/>
          <w:iCs/>
          <w:color w:val="000000" w:themeColor="text1"/>
          <w:sz w:val="22"/>
          <w:szCs w:val="22"/>
          <w:lang w:eastAsia="en-GB"/>
        </w:rPr>
        <w:t>one hundred and thirteen</w:t>
      </w:r>
      <w:r w:rsidRPr="00110FCD">
        <w:rPr>
          <w:rFonts w:eastAsia="Times New Roman"/>
          <w:color w:val="000000" w:themeColor="text1"/>
          <w:sz w:val="22"/>
          <w:szCs w:val="22"/>
          <w:lang w:eastAsia="en-GB"/>
        </w:rPr>
        <w:t>, but subject to the provisions of section </w:t>
      </w:r>
      <w:r w:rsidRPr="00110FCD">
        <w:rPr>
          <w:rFonts w:eastAsia="Times New Roman"/>
          <w:i/>
          <w:iCs/>
          <w:color w:val="000000" w:themeColor="text1"/>
          <w:sz w:val="22"/>
          <w:szCs w:val="22"/>
          <w:lang w:eastAsia="en-GB"/>
        </w:rPr>
        <w:t>one hundred and four</w:t>
      </w:r>
      <w:r w:rsidRPr="00110FCD">
        <w:rPr>
          <w:rFonts w:eastAsia="Times New Roman"/>
          <w:color w:val="000000" w:themeColor="text1"/>
          <w:sz w:val="22"/>
          <w:szCs w:val="22"/>
          <w:lang w:eastAsia="en-GB"/>
        </w:rPr>
        <w:t>, prove that claim in the manner hereinafter provided: Provided that no claim shall be proved against an estate after the expiration of a period of three months as from the conclusion of the second meeting of creditors of the estate, except with leave of the Court or the Master, and on payment of such sum to cover the cost or any part thereof, occasioned by the late proof of the claim, as the Court or Master may direct.</w:t>
      </w:r>
      <w:bookmarkStart w:id="1" w:name="0-0-0-81647"/>
      <w:bookmarkEnd w:id="1"/>
      <w:r w:rsidRPr="00110FCD">
        <w:rPr>
          <w:color w:val="000000" w:themeColor="text1"/>
          <w:sz w:val="22"/>
          <w:szCs w:val="22"/>
        </w:rPr>
        <w:t>’</w:t>
      </w:r>
      <w:r w:rsidR="00525F5E">
        <w:rPr>
          <w:color w:val="000000" w:themeColor="text1"/>
          <w:sz w:val="22"/>
          <w:szCs w:val="22"/>
        </w:rPr>
        <w:t xml:space="preserve"> </w:t>
      </w:r>
      <w:r w:rsidR="00525F5E" w:rsidRPr="00BE1722">
        <w:rPr>
          <w:color w:val="000000" w:themeColor="text1"/>
          <w:szCs w:val="22"/>
        </w:rPr>
        <w:t>(Underlining is my emphasis.)</w:t>
      </w:r>
    </w:p>
    <w:p w14:paraId="277D87F7" w14:textId="77777777" w:rsidR="00862466" w:rsidRPr="00110FCD" w:rsidRDefault="00862466" w:rsidP="00110FCD">
      <w:pPr>
        <w:spacing w:after="0" w:line="360" w:lineRule="auto"/>
        <w:contextualSpacing/>
        <w:rPr>
          <w:color w:val="000000" w:themeColor="text1"/>
        </w:rPr>
      </w:pPr>
    </w:p>
    <w:p w14:paraId="15D5DC95" w14:textId="7D2E8EA2" w:rsidR="00814D9A" w:rsidRPr="00110FCD" w:rsidRDefault="00610A9B" w:rsidP="00110FCD">
      <w:pPr>
        <w:spacing w:after="0" w:line="360" w:lineRule="auto"/>
        <w:jc w:val="both"/>
        <w:rPr>
          <w:color w:val="000000" w:themeColor="text1"/>
        </w:rPr>
      </w:pPr>
      <w:r w:rsidRPr="00110FCD">
        <w:rPr>
          <w:color w:val="000000" w:themeColor="text1"/>
        </w:rPr>
        <w:t>[</w:t>
      </w:r>
      <w:r w:rsidR="007C6AE9">
        <w:rPr>
          <w:color w:val="000000" w:themeColor="text1"/>
        </w:rPr>
        <w:t>9</w:t>
      </w:r>
      <w:r w:rsidRPr="00110FCD">
        <w:rPr>
          <w:color w:val="000000" w:themeColor="text1"/>
        </w:rPr>
        <w:t>]</w:t>
      </w:r>
      <w:r w:rsidRPr="00110FCD">
        <w:rPr>
          <w:color w:val="000000" w:themeColor="text1"/>
        </w:rPr>
        <w:tab/>
      </w:r>
      <w:r w:rsidR="00525F5E">
        <w:rPr>
          <w:color w:val="000000" w:themeColor="text1"/>
        </w:rPr>
        <w:t>The a</w:t>
      </w:r>
      <w:r w:rsidRPr="00110FCD">
        <w:rPr>
          <w:color w:val="000000" w:themeColor="text1"/>
        </w:rPr>
        <w:t xml:space="preserve">ppellants </w:t>
      </w:r>
      <w:r w:rsidR="00BA3060" w:rsidRPr="00110FCD">
        <w:rPr>
          <w:color w:val="000000" w:themeColor="text1"/>
        </w:rPr>
        <w:t xml:space="preserve">have submitted </w:t>
      </w:r>
      <w:r w:rsidR="00862466" w:rsidRPr="00110FCD">
        <w:rPr>
          <w:color w:val="000000" w:themeColor="text1"/>
        </w:rPr>
        <w:t xml:space="preserve">that the respondent </w:t>
      </w:r>
      <w:r w:rsidR="00BA3060" w:rsidRPr="00110FCD">
        <w:rPr>
          <w:color w:val="000000" w:themeColor="text1"/>
        </w:rPr>
        <w:t>w</w:t>
      </w:r>
      <w:r w:rsidR="00862466" w:rsidRPr="00110FCD">
        <w:rPr>
          <w:color w:val="000000" w:themeColor="text1"/>
        </w:rPr>
        <w:t>as</w:t>
      </w:r>
      <w:r w:rsidR="00B633FF" w:rsidRPr="00110FCD">
        <w:rPr>
          <w:color w:val="000000" w:themeColor="text1"/>
        </w:rPr>
        <w:t xml:space="preserve"> a creditor</w:t>
      </w:r>
      <w:r w:rsidR="000356BE">
        <w:rPr>
          <w:color w:val="000000" w:themeColor="text1"/>
        </w:rPr>
        <w:t>,</w:t>
      </w:r>
      <w:r w:rsidR="00B633FF" w:rsidRPr="00110FCD">
        <w:rPr>
          <w:color w:val="000000" w:themeColor="text1"/>
        </w:rPr>
        <w:t xml:space="preserve"> and</w:t>
      </w:r>
      <w:r w:rsidR="00862466" w:rsidRPr="00110FCD">
        <w:rPr>
          <w:color w:val="000000" w:themeColor="text1"/>
        </w:rPr>
        <w:t xml:space="preserve"> that </w:t>
      </w:r>
      <w:r w:rsidR="000356BE">
        <w:rPr>
          <w:color w:val="000000" w:themeColor="text1"/>
        </w:rPr>
        <w:t>it</w:t>
      </w:r>
      <w:r w:rsidR="00862466" w:rsidRPr="00110FCD">
        <w:rPr>
          <w:color w:val="000000" w:themeColor="text1"/>
        </w:rPr>
        <w:t xml:space="preserve"> </w:t>
      </w:r>
      <w:r w:rsidR="00B633FF" w:rsidRPr="00110FCD">
        <w:rPr>
          <w:color w:val="000000" w:themeColor="text1"/>
        </w:rPr>
        <w:t xml:space="preserve">should </w:t>
      </w:r>
      <w:r w:rsidR="00605445" w:rsidRPr="00110FCD">
        <w:rPr>
          <w:color w:val="000000" w:themeColor="text1"/>
        </w:rPr>
        <w:t xml:space="preserve">form part of the </w:t>
      </w:r>
      <w:proofErr w:type="spellStart"/>
      <w:r w:rsidR="00605445" w:rsidRPr="00E75DB6">
        <w:rPr>
          <w:i/>
          <w:color w:val="000000" w:themeColor="text1"/>
        </w:rPr>
        <w:t>c</w:t>
      </w:r>
      <w:r w:rsidR="00836DE1" w:rsidRPr="00E75DB6">
        <w:rPr>
          <w:i/>
          <w:color w:val="000000" w:themeColor="text1"/>
        </w:rPr>
        <w:t>oncursus</w:t>
      </w:r>
      <w:proofErr w:type="spellEnd"/>
      <w:r w:rsidR="00836DE1" w:rsidRPr="00E75DB6">
        <w:rPr>
          <w:i/>
          <w:color w:val="000000" w:themeColor="text1"/>
        </w:rPr>
        <w:t xml:space="preserve"> </w:t>
      </w:r>
      <w:proofErr w:type="spellStart"/>
      <w:r w:rsidR="007279F5" w:rsidRPr="007E1075">
        <w:rPr>
          <w:i/>
          <w:iCs/>
          <w:color w:val="000000" w:themeColor="text1"/>
        </w:rPr>
        <w:t>creditorum</w:t>
      </w:r>
      <w:proofErr w:type="spellEnd"/>
      <w:r w:rsidR="007279F5">
        <w:rPr>
          <w:color w:val="000000" w:themeColor="text1"/>
        </w:rPr>
        <w:t>,</w:t>
      </w:r>
      <w:r w:rsidR="00605445" w:rsidRPr="00110FCD">
        <w:rPr>
          <w:color w:val="000000" w:themeColor="text1"/>
        </w:rPr>
        <w:t xml:space="preserve"> and was required to lodge a claim against the insolvent company.</w:t>
      </w:r>
      <w:r w:rsidR="00436D41" w:rsidRPr="00110FCD">
        <w:rPr>
          <w:color w:val="000000" w:themeColor="text1"/>
        </w:rPr>
        <w:t xml:space="preserve"> </w:t>
      </w:r>
    </w:p>
    <w:p w14:paraId="487C0F67" w14:textId="77777777" w:rsidR="00814D9A" w:rsidRPr="00110FCD" w:rsidRDefault="00814D9A" w:rsidP="00110FCD">
      <w:pPr>
        <w:spacing w:after="0" w:line="360" w:lineRule="auto"/>
        <w:contextualSpacing/>
        <w:jc w:val="both"/>
        <w:rPr>
          <w:color w:val="000000" w:themeColor="text1"/>
        </w:rPr>
      </w:pPr>
    </w:p>
    <w:p w14:paraId="5A67C300" w14:textId="77777777" w:rsidR="00406942" w:rsidRDefault="00814D9A" w:rsidP="00110FCD">
      <w:pPr>
        <w:spacing w:after="0" w:line="360" w:lineRule="auto"/>
        <w:jc w:val="both"/>
        <w:rPr>
          <w:color w:val="000000" w:themeColor="text1"/>
        </w:rPr>
      </w:pPr>
      <w:r w:rsidRPr="00110FCD">
        <w:rPr>
          <w:color w:val="000000" w:themeColor="text1"/>
        </w:rPr>
        <w:t>[</w:t>
      </w:r>
      <w:r w:rsidR="007C6AE9">
        <w:rPr>
          <w:color w:val="000000" w:themeColor="text1"/>
        </w:rPr>
        <w:t>10</w:t>
      </w:r>
      <w:r w:rsidRPr="00110FCD">
        <w:rPr>
          <w:color w:val="000000" w:themeColor="text1"/>
        </w:rPr>
        <w:t>]</w:t>
      </w:r>
      <w:r w:rsidRPr="00110FCD">
        <w:rPr>
          <w:color w:val="000000" w:themeColor="text1"/>
        </w:rPr>
        <w:tab/>
      </w:r>
      <w:r w:rsidR="00830208" w:rsidRPr="00110FCD">
        <w:rPr>
          <w:color w:val="000000" w:themeColor="text1"/>
        </w:rPr>
        <w:t>The court a quo held that Evowood was well aware that it receive</w:t>
      </w:r>
      <w:r w:rsidR="00177480">
        <w:rPr>
          <w:color w:val="000000" w:themeColor="text1"/>
        </w:rPr>
        <w:t>d</w:t>
      </w:r>
      <w:r w:rsidR="00830208" w:rsidRPr="00110FCD">
        <w:rPr>
          <w:color w:val="000000" w:themeColor="text1"/>
        </w:rPr>
        <w:t xml:space="preserve"> an amount that had to be repaid. It found that </w:t>
      </w:r>
    </w:p>
    <w:p w14:paraId="59B0B602" w14:textId="77777777" w:rsidR="00406942" w:rsidRPr="00D42FF2" w:rsidRDefault="00406942" w:rsidP="00110FCD">
      <w:pPr>
        <w:spacing w:after="0" w:line="360" w:lineRule="auto"/>
        <w:jc w:val="both"/>
        <w:rPr>
          <w:color w:val="000000" w:themeColor="text1"/>
        </w:rPr>
      </w:pPr>
      <w:r w:rsidRPr="00E75DB6">
        <w:rPr>
          <w:color w:val="000000" w:themeColor="text1"/>
          <w:sz w:val="22"/>
        </w:rPr>
        <w:t>‘</w:t>
      </w:r>
      <w:r w:rsidR="00830208" w:rsidRPr="00E75DB6">
        <w:rPr>
          <w:color w:val="000000" w:themeColor="text1"/>
          <w:sz w:val="22"/>
        </w:rPr>
        <w:t xml:space="preserve">it cannot be just and equitable that the company or person who receives </w:t>
      </w:r>
      <w:r w:rsidR="000B2A45" w:rsidRPr="00E75DB6">
        <w:rPr>
          <w:color w:val="000000" w:themeColor="text1"/>
          <w:sz w:val="22"/>
        </w:rPr>
        <w:t xml:space="preserve">such </w:t>
      </w:r>
      <w:r w:rsidR="00830208" w:rsidRPr="00E75DB6">
        <w:rPr>
          <w:color w:val="000000" w:themeColor="text1"/>
          <w:sz w:val="22"/>
        </w:rPr>
        <w:t xml:space="preserve">payment incorrectly and without cause </w:t>
      </w:r>
      <w:r w:rsidR="000B2A45" w:rsidRPr="00E75DB6">
        <w:rPr>
          <w:color w:val="000000" w:themeColor="text1"/>
          <w:sz w:val="22"/>
        </w:rPr>
        <w:t xml:space="preserve">is then </w:t>
      </w:r>
      <w:r w:rsidR="00830208" w:rsidRPr="00E75DB6">
        <w:rPr>
          <w:color w:val="000000" w:themeColor="text1"/>
          <w:sz w:val="22"/>
        </w:rPr>
        <w:t>liq</w:t>
      </w:r>
      <w:r w:rsidR="00FB51E0" w:rsidRPr="00E75DB6">
        <w:rPr>
          <w:color w:val="000000" w:themeColor="text1"/>
          <w:sz w:val="22"/>
        </w:rPr>
        <w:t xml:space="preserve">uidated </w:t>
      </w:r>
      <w:r w:rsidR="000B2A45" w:rsidRPr="00E75DB6">
        <w:rPr>
          <w:color w:val="000000" w:themeColor="text1"/>
          <w:sz w:val="22"/>
        </w:rPr>
        <w:t xml:space="preserve">or sequestrated must benefit from such incorrect payment </w:t>
      </w:r>
      <w:r w:rsidR="000B2A45" w:rsidRPr="00D921D8">
        <w:rPr>
          <w:i/>
          <w:color w:val="000000" w:themeColor="text1"/>
          <w:sz w:val="22"/>
        </w:rPr>
        <w:t xml:space="preserve">and </w:t>
      </w:r>
      <w:r w:rsidR="00FB51E0" w:rsidRPr="00D921D8">
        <w:rPr>
          <w:i/>
          <w:color w:val="000000" w:themeColor="text1"/>
          <w:sz w:val="22"/>
        </w:rPr>
        <w:t xml:space="preserve">that the </w:t>
      </w:r>
      <w:r w:rsidR="00814D9A" w:rsidRPr="00D921D8">
        <w:rPr>
          <w:i/>
          <w:color w:val="000000" w:themeColor="text1"/>
          <w:sz w:val="22"/>
        </w:rPr>
        <w:t>person</w:t>
      </w:r>
      <w:r w:rsidR="00FB51E0" w:rsidRPr="00D921D8">
        <w:rPr>
          <w:i/>
          <w:color w:val="000000" w:themeColor="text1"/>
          <w:sz w:val="22"/>
        </w:rPr>
        <w:t xml:space="preserve"> who made the </w:t>
      </w:r>
      <w:r w:rsidR="000B2A45" w:rsidRPr="00D921D8">
        <w:rPr>
          <w:i/>
          <w:color w:val="000000" w:themeColor="text1"/>
          <w:sz w:val="22"/>
        </w:rPr>
        <w:t xml:space="preserve">incorrect </w:t>
      </w:r>
      <w:r w:rsidR="00FB51E0" w:rsidRPr="00D921D8">
        <w:rPr>
          <w:i/>
          <w:color w:val="000000" w:themeColor="text1"/>
          <w:sz w:val="22"/>
        </w:rPr>
        <w:t>payment</w:t>
      </w:r>
      <w:r w:rsidR="002036FF" w:rsidRPr="00D921D8">
        <w:rPr>
          <w:i/>
          <w:color w:val="000000" w:themeColor="text1"/>
          <w:sz w:val="22"/>
        </w:rPr>
        <w:t xml:space="preserve"> </w:t>
      </w:r>
      <w:r w:rsidR="00FB51E0" w:rsidRPr="00D921D8">
        <w:rPr>
          <w:i/>
          <w:color w:val="000000" w:themeColor="text1"/>
          <w:sz w:val="22"/>
        </w:rPr>
        <w:t>must only have a claim against the estate in terms of s</w:t>
      </w:r>
      <w:r w:rsidR="000B2A45" w:rsidRPr="00D921D8">
        <w:rPr>
          <w:i/>
          <w:color w:val="000000" w:themeColor="text1"/>
          <w:sz w:val="22"/>
        </w:rPr>
        <w:t>ection</w:t>
      </w:r>
      <w:r w:rsidR="00FB51E0" w:rsidRPr="00D921D8">
        <w:rPr>
          <w:i/>
          <w:color w:val="000000" w:themeColor="text1"/>
          <w:sz w:val="22"/>
        </w:rPr>
        <w:t xml:space="preserve"> 44 of the </w:t>
      </w:r>
      <w:r w:rsidR="000B2A45" w:rsidRPr="00D921D8">
        <w:rPr>
          <w:i/>
          <w:color w:val="000000" w:themeColor="text1"/>
          <w:sz w:val="22"/>
        </w:rPr>
        <w:t xml:space="preserve">Insolvency </w:t>
      </w:r>
      <w:r w:rsidR="00FB51E0" w:rsidRPr="000317A3">
        <w:rPr>
          <w:i/>
          <w:color w:val="000000" w:themeColor="text1"/>
          <w:sz w:val="22"/>
        </w:rPr>
        <w:t>Act</w:t>
      </w:r>
      <w:r w:rsidRPr="000317A3">
        <w:rPr>
          <w:color w:val="000000" w:themeColor="text1"/>
          <w:sz w:val="22"/>
        </w:rPr>
        <w:t>’</w:t>
      </w:r>
      <w:r w:rsidR="00FB51E0" w:rsidRPr="000317A3">
        <w:rPr>
          <w:color w:val="000000" w:themeColor="text1"/>
          <w:sz w:val="22"/>
        </w:rPr>
        <w:t>.</w:t>
      </w:r>
      <w:r w:rsidR="00F376BF" w:rsidRPr="000317A3">
        <w:rPr>
          <w:rStyle w:val="FootnoteReference"/>
          <w:rFonts w:cs="Arial"/>
          <w:color w:val="000000" w:themeColor="text1"/>
          <w:sz w:val="22"/>
        </w:rPr>
        <w:footnoteReference w:id="7"/>
      </w:r>
      <w:r w:rsidR="002342FE" w:rsidRPr="000317A3">
        <w:rPr>
          <w:color w:val="000000" w:themeColor="text1"/>
          <w:sz w:val="22"/>
        </w:rPr>
        <w:t xml:space="preserve"> </w:t>
      </w:r>
      <w:r w:rsidR="00DA113B" w:rsidRPr="000317A3">
        <w:rPr>
          <w:color w:val="000000" w:themeColor="text1"/>
        </w:rPr>
        <w:t>(My emphasis.)</w:t>
      </w:r>
    </w:p>
    <w:p w14:paraId="6B4350DA" w14:textId="77777777" w:rsidR="00DA113B" w:rsidRDefault="00DA113B" w:rsidP="00110FCD">
      <w:pPr>
        <w:spacing w:after="0" w:line="360" w:lineRule="auto"/>
        <w:jc w:val="both"/>
        <w:rPr>
          <w:color w:val="000000" w:themeColor="text1"/>
        </w:rPr>
      </w:pPr>
    </w:p>
    <w:p w14:paraId="1081AB24" w14:textId="77777777" w:rsidR="00B633FF" w:rsidRPr="00110FCD" w:rsidRDefault="00DA113B" w:rsidP="00110FCD">
      <w:pPr>
        <w:spacing w:after="0" w:line="360" w:lineRule="auto"/>
        <w:jc w:val="both"/>
        <w:rPr>
          <w:color w:val="000000" w:themeColor="text1"/>
        </w:rPr>
      </w:pPr>
      <w:r>
        <w:rPr>
          <w:color w:val="000000" w:themeColor="text1"/>
        </w:rPr>
        <w:t>[</w:t>
      </w:r>
      <w:r w:rsidR="007C6AE9">
        <w:rPr>
          <w:color w:val="000000" w:themeColor="text1"/>
        </w:rPr>
        <w:t>11</w:t>
      </w:r>
      <w:r>
        <w:rPr>
          <w:color w:val="000000" w:themeColor="text1"/>
        </w:rPr>
        <w:t>]</w:t>
      </w:r>
      <w:r>
        <w:rPr>
          <w:color w:val="000000" w:themeColor="text1"/>
        </w:rPr>
        <w:tab/>
      </w:r>
      <w:r w:rsidR="002342FE" w:rsidRPr="00110FCD">
        <w:rPr>
          <w:color w:val="000000" w:themeColor="text1"/>
        </w:rPr>
        <w:t>Importantly</w:t>
      </w:r>
      <w:r w:rsidR="00406942">
        <w:rPr>
          <w:color w:val="000000" w:themeColor="text1"/>
        </w:rPr>
        <w:t>,</w:t>
      </w:r>
      <w:r w:rsidR="002342FE" w:rsidRPr="00110FCD">
        <w:rPr>
          <w:color w:val="000000" w:themeColor="text1"/>
        </w:rPr>
        <w:t xml:space="preserve"> the court applied the principles of interpretation as set out in </w:t>
      </w:r>
      <w:r w:rsidR="002342FE" w:rsidRPr="00110FCD">
        <w:rPr>
          <w:i/>
          <w:color w:val="000000" w:themeColor="text1"/>
        </w:rPr>
        <w:t xml:space="preserve">Natal Joint Municipal Pension Fund v </w:t>
      </w:r>
      <w:proofErr w:type="spellStart"/>
      <w:r w:rsidR="002342FE" w:rsidRPr="00110FCD">
        <w:rPr>
          <w:i/>
          <w:color w:val="000000" w:themeColor="text1"/>
        </w:rPr>
        <w:t>E</w:t>
      </w:r>
      <w:r w:rsidR="00850071" w:rsidRPr="00110FCD">
        <w:rPr>
          <w:i/>
          <w:color w:val="000000" w:themeColor="text1"/>
        </w:rPr>
        <w:t>ndumen</w:t>
      </w:r>
      <w:r w:rsidR="002342FE" w:rsidRPr="00110FCD">
        <w:rPr>
          <w:i/>
          <w:color w:val="000000" w:themeColor="text1"/>
        </w:rPr>
        <w:t>i</w:t>
      </w:r>
      <w:proofErr w:type="spellEnd"/>
      <w:r w:rsidR="002342FE" w:rsidRPr="00110FCD">
        <w:rPr>
          <w:i/>
          <w:color w:val="000000" w:themeColor="text1"/>
        </w:rPr>
        <w:t xml:space="preserve"> </w:t>
      </w:r>
      <w:r w:rsidR="00850071" w:rsidRPr="00110FCD">
        <w:rPr>
          <w:i/>
          <w:color w:val="000000" w:themeColor="text1"/>
        </w:rPr>
        <w:t>M</w:t>
      </w:r>
      <w:r w:rsidR="002342FE" w:rsidRPr="00110FCD">
        <w:rPr>
          <w:i/>
          <w:color w:val="000000" w:themeColor="text1"/>
        </w:rPr>
        <w:t>unicipality</w:t>
      </w:r>
      <w:r w:rsidR="002342FE" w:rsidRPr="00E75DB6">
        <w:rPr>
          <w:rStyle w:val="FootnoteReference"/>
          <w:rFonts w:cs="Arial"/>
          <w:color w:val="000000" w:themeColor="text1"/>
        </w:rPr>
        <w:footnoteReference w:id="8"/>
      </w:r>
      <w:r w:rsidR="002342FE" w:rsidRPr="00110FCD">
        <w:rPr>
          <w:color w:val="000000" w:themeColor="text1"/>
        </w:rPr>
        <w:t xml:space="preserve"> and concluded that s 44 of the Act does not serve as a limitation for the claim to be brought in the manner it did.</w:t>
      </w:r>
      <w:r w:rsidR="002342FE" w:rsidRPr="00110FCD">
        <w:rPr>
          <w:rStyle w:val="FootnoteReference"/>
          <w:rFonts w:cs="Arial"/>
          <w:color w:val="000000" w:themeColor="text1"/>
        </w:rPr>
        <w:footnoteReference w:id="9"/>
      </w:r>
    </w:p>
    <w:p w14:paraId="598F45F0" w14:textId="77777777" w:rsidR="00AF1D92" w:rsidRPr="00110FCD" w:rsidRDefault="00AF1D92" w:rsidP="00110FCD">
      <w:pPr>
        <w:spacing w:after="0" w:line="360" w:lineRule="auto"/>
        <w:contextualSpacing/>
        <w:rPr>
          <w:rFonts w:eastAsia="Times New Roman"/>
          <w:color w:val="000000"/>
          <w:sz w:val="20"/>
          <w:szCs w:val="20"/>
          <w:lang w:eastAsia="en-GB"/>
        </w:rPr>
      </w:pPr>
    </w:p>
    <w:p w14:paraId="687AFB6D" w14:textId="77777777" w:rsidR="00085159" w:rsidRPr="00110FCD" w:rsidRDefault="00085159" w:rsidP="00110FCD">
      <w:pPr>
        <w:spacing w:after="0" w:line="360" w:lineRule="auto"/>
        <w:jc w:val="both"/>
      </w:pPr>
      <w:r w:rsidRPr="00110FCD">
        <w:lastRenderedPageBreak/>
        <w:t>[</w:t>
      </w:r>
      <w:r w:rsidR="00DA113B">
        <w:t>1</w:t>
      </w:r>
      <w:r w:rsidR="007C6AE9">
        <w:t>2</w:t>
      </w:r>
      <w:r w:rsidRPr="00110FCD">
        <w:t>]</w:t>
      </w:r>
      <w:r w:rsidRPr="00110FCD">
        <w:tab/>
        <w:t>The approach to be followed in interpreting legislat</w:t>
      </w:r>
      <w:r w:rsidR="004F76E1" w:rsidRPr="00110FCD">
        <w:t>ion</w:t>
      </w:r>
      <w:r w:rsidRPr="00110FCD">
        <w:t xml:space="preserve"> has been </w:t>
      </w:r>
      <w:r w:rsidR="004F76E1" w:rsidRPr="00110FCD">
        <w:t xml:space="preserve">well </w:t>
      </w:r>
      <w:r w:rsidRPr="00110FCD">
        <w:t xml:space="preserve">established. The SCA in </w:t>
      </w:r>
      <w:proofErr w:type="spellStart"/>
      <w:r w:rsidRPr="00110FCD">
        <w:rPr>
          <w:i/>
        </w:rPr>
        <w:t>Endumeni</w:t>
      </w:r>
      <w:proofErr w:type="spellEnd"/>
      <w:r w:rsidRPr="00110FCD">
        <w:rPr>
          <w:i/>
        </w:rPr>
        <w:t xml:space="preserve"> </w:t>
      </w:r>
      <w:r w:rsidRPr="00110FCD">
        <w:t>stated it as follows:</w:t>
      </w:r>
    </w:p>
    <w:p w14:paraId="510C6C5F" w14:textId="77777777" w:rsidR="00085159" w:rsidRDefault="00085159" w:rsidP="005E65F1">
      <w:pPr>
        <w:pStyle w:val="western"/>
        <w:shd w:val="clear" w:color="auto" w:fill="FFFFFF"/>
        <w:spacing w:before="0" w:beforeAutospacing="0" w:after="0" w:afterAutospacing="0" w:line="360" w:lineRule="auto"/>
        <w:contextualSpacing/>
        <w:jc w:val="both"/>
        <w:rPr>
          <w:rFonts w:ascii="Arial" w:hAnsi="Arial" w:cs="Arial"/>
          <w:color w:val="000000" w:themeColor="text1"/>
          <w:sz w:val="22"/>
          <w:szCs w:val="22"/>
        </w:rPr>
      </w:pPr>
      <w:r w:rsidRPr="005E65F1">
        <w:rPr>
          <w:rFonts w:ascii="Arial" w:hAnsi="Arial" w:cs="Arial"/>
          <w:color w:val="000000" w:themeColor="text1"/>
          <w:sz w:val="22"/>
          <w:szCs w:val="22"/>
        </w:rPr>
        <w:t>‘</w:t>
      </w:r>
      <w:r w:rsidR="005E65F1" w:rsidRPr="005E65F1">
        <w:rPr>
          <w:rFonts w:ascii="Arial" w:hAnsi="Arial" w:cs="Arial"/>
          <w:color w:val="000000" w:themeColor="text1"/>
          <w:sz w:val="22"/>
          <w:szCs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2" w:name="0-0-0-75031"/>
      <w:bookmarkEnd w:id="2"/>
      <w:r w:rsidR="005E65F1" w:rsidRPr="005E65F1">
        <w:rPr>
          <w:rFonts w:ascii="Arial" w:hAnsi="Arial" w:cs="Arial"/>
          <w:color w:val="000000" w:themeColor="text1"/>
          <w:sz w:val="22"/>
          <w:szCs w:val="22"/>
        </w:rPr>
        <w:t xml:space="preserve">. </w:t>
      </w:r>
      <w:r w:rsidR="005E65F1" w:rsidRPr="005E65F1">
        <w:rPr>
          <w:rFonts w:ascii="Arial" w:hAnsi="Arial" w:cs="Arial"/>
          <w:i/>
          <w:color w:val="000000" w:themeColor="text1"/>
          <w:sz w:val="22"/>
          <w:szCs w:val="22"/>
        </w:rPr>
        <w:t xml:space="preserve">The process is objective, not subjective. A sensible meaning is to be preferred to one that leads to insensible or </w:t>
      </w:r>
      <w:proofErr w:type="spellStart"/>
      <w:r w:rsidR="005E65F1" w:rsidRPr="005E65F1">
        <w:rPr>
          <w:rFonts w:ascii="Arial" w:hAnsi="Arial" w:cs="Arial"/>
          <w:i/>
          <w:color w:val="000000" w:themeColor="text1"/>
          <w:sz w:val="22"/>
          <w:szCs w:val="22"/>
        </w:rPr>
        <w:t>unbusinesslike</w:t>
      </w:r>
      <w:proofErr w:type="spellEnd"/>
      <w:r w:rsidR="005E65F1" w:rsidRPr="005E65F1">
        <w:rPr>
          <w:rFonts w:ascii="Arial" w:hAnsi="Arial" w:cs="Arial"/>
          <w:i/>
          <w:color w:val="000000" w:themeColor="text1"/>
          <w:sz w:val="22"/>
          <w:szCs w:val="22"/>
        </w:rPr>
        <w:t xml:space="preserve"> results or undermines the apparent purpose of the document.</w:t>
      </w:r>
      <w:r w:rsidR="005E65F1" w:rsidRPr="005E65F1">
        <w:rPr>
          <w:rFonts w:ascii="Arial" w:hAnsi="Arial" w:cs="Arial"/>
          <w:color w:val="000000" w:themeColor="text1"/>
          <w:sz w:val="22"/>
          <w:szCs w:val="22"/>
        </w:rPr>
        <w:t xml:space="preserve"> Judges must be alert to, and guard against, the temptation to substitute what they regard as reasonable, sensible or </w:t>
      </w:r>
      <w:proofErr w:type="spellStart"/>
      <w:r w:rsidR="005E65F1" w:rsidRPr="005E65F1">
        <w:rPr>
          <w:rFonts w:ascii="Arial" w:hAnsi="Arial" w:cs="Arial"/>
          <w:color w:val="000000" w:themeColor="text1"/>
          <w:sz w:val="22"/>
          <w:szCs w:val="22"/>
        </w:rPr>
        <w:t>businesslike</w:t>
      </w:r>
      <w:proofErr w:type="spellEnd"/>
      <w:r w:rsidR="005E65F1" w:rsidRPr="005E65F1">
        <w:rPr>
          <w:rFonts w:ascii="Arial" w:hAnsi="Arial" w:cs="Arial"/>
          <w:color w:val="000000" w:themeColor="text1"/>
          <w:sz w:val="22"/>
          <w:szCs w:val="22"/>
        </w:rPr>
        <w:t xml:space="preserve"> for the words actually used. To do so in regard to a statute or statutory instrument is to cross the divide between interpretation and legislation; in a contractual context it is to make a contract for the parties other than </w:t>
      </w:r>
      <w:r w:rsidR="005F536C">
        <w:rPr>
          <w:rFonts w:ascii="Arial" w:hAnsi="Arial" w:cs="Arial"/>
          <w:color w:val="000000" w:themeColor="text1"/>
          <w:sz w:val="22"/>
          <w:szCs w:val="22"/>
        </w:rPr>
        <w:t>the one they in fact made. The “</w:t>
      </w:r>
      <w:r w:rsidR="005E65F1" w:rsidRPr="005E65F1">
        <w:rPr>
          <w:rFonts w:ascii="Arial" w:hAnsi="Arial" w:cs="Arial"/>
          <w:color w:val="000000" w:themeColor="text1"/>
          <w:sz w:val="22"/>
          <w:szCs w:val="22"/>
        </w:rPr>
        <w:t>inevitable point of departure is the l</w:t>
      </w:r>
      <w:r w:rsidR="005F536C">
        <w:rPr>
          <w:rFonts w:ascii="Arial" w:hAnsi="Arial" w:cs="Arial"/>
          <w:color w:val="000000" w:themeColor="text1"/>
          <w:sz w:val="22"/>
          <w:szCs w:val="22"/>
        </w:rPr>
        <w:t>anguage of the provision itself”</w:t>
      </w:r>
      <w:r w:rsidR="005E65F1" w:rsidRPr="005E65F1">
        <w:rPr>
          <w:rFonts w:ascii="Arial" w:hAnsi="Arial" w:cs="Arial"/>
          <w:color w:val="000000" w:themeColor="text1"/>
          <w:sz w:val="22"/>
          <w:szCs w:val="22"/>
        </w:rPr>
        <w:t>,</w:t>
      </w:r>
      <w:bookmarkStart w:id="3" w:name="0-0-0-75035"/>
      <w:bookmarkEnd w:id="3"/>
      <w:r w:rsidR="005E65F1" w:rsidRPr="005E65F1">
        <w:rPr>
          <w:rFonts w:ascii="Arial" w:hAnsi="Arial" w:cs="Arial"/>
          <w:color w:val="000000" w:themeColor="text1"/>
          <w:sz w:val="22"/>
          <w:szCs w:val="22"/>
        </w:rPr>
        <w:t xml:space="preserve"> read in context and having regard to the purpose of the provision and the background to the preparation and production of the document.</w:t>
      </w:r>
      <w:r w:rsidRPr="005E65F1">
        <w:rPr>
          <w:rFonts w:ascii="Arial" w:hAnsi="Arial" w:cs="Arial"/>
          <w:color w:val="000000" w:themeColor="text1"/>
          <w:sz w:val="22"/>
          <w:szCs w:val="22"/>
        </w:rPr>
        <w:t>’</w:t>
      </w:r>
      <w:r w:rsidR="005E65F1" w:rsidRPr="005E65F1">
        <w:rPr>
          <w:rStyle w:val="FootnoteReference"/>
          <w:rFonts w:ascii="Arial" w:hAnsi="Arial" w:cs="Arial"/>
          <w:color w:val="000000" w:themeColor="text1"/>
          <w:sz w:val="22"/>
          <w:szCs w:val="22"/>
        </w:rPr>
        <w:footnoteReference w:id="10"/>
      </w:r>
      <w:r w:rsidRPr="005E65F1">
        <w:rPr>
          <w:rFonts w:ascii="Arial" w:hAnsi="Arial" w:cs="Arial"/>
          <w:color w:val="000000" w:themeColor="text1"/>
          <w:sz w:val="22"/>
          <w:szCs w:val="22"/>
        </w:rPr>
        <w:t xml:space="preserve"> </w:t>
      </w:r>
      <w:r w:rsidRPr="00D42FF2">
        <w:rPr>
          <w:rFonts w:ascii="Arial" w:hAnsi="Arial" w:cs="Arial"/>
          <w:color w:val="000000" w:themeColor="text1"/>
        </w:rPr>
        <w:t>(My emphasis</w:t>
      </w:r>
      <w:r w:rsidR="005E65F1" w:rsidRPr="00D42FF2">
        <w:rPr>
          <w:rFonts w:ascii="Arial" w:hAnsi="Arial" w:cs="Arial"/>
          <w:color w:val="000000" w:themeColor="text1"/>
        </w:rPr>
        <w:t>, and footnotes omitted</w:t>
      </w:r>
      <w:r w:rsidRPr="00D42FF2">
        <w:rPr>
          <w:rFonts w:ascii="Arial" w:hAnsi="Arial" w:cs="Arial"/>
          <w:color w:val="000000" w:themeColor="text1"/>
        </w:rPr>
        <w:t>).</w:t>
      </w:r>
    </w:p>
    <w:p w14:paraId="64A6684E" w14:textId="77777777" w:rsidR="00D54889" w:rsidRDefault="00D54889" w:rsidP="005E65F1">
      <w:pPr>
        <w:pStyle w:val="western"/>
        <w:shd w:val="clear" w:color="auto" w:fill="FFFFFF"/>
        <w:spacing w:before="0" w:beforeAutospacing="0" w:after="0" w:afterAutospacing="0" w:line="360" w:lineRule="auto"/>
        <w:contextualSpacing/>
        <w:jc w:val="both"/>
        <w:rPr>
          <w:rFonts w:ascii="Arial" w:hAnsi="Arial" w:cs="Arial"/>
          <w:color w:val="000000" w:themeColor="text1"/>
        </w:rPr>
      </w:pPr>
    </w:p>
    <w:p w14:paraId="5EFC5279" w14:textId="77777777" w:rsidR="00D54889" w:rsidRPr="00D54889" w:rsidRDefault="00DA113B" w:rsidP="005E65F1">
      <w:pPr>
        <w:pStyle w:val="western"/>
        <w:shd w:val="clear" w:color="auto" w:fill="FFFFFF"/>
        <w:spacing w:before="0" w:beforeAutospacing="0" w:after="0" w:afterAutospacing="0" w:line="360" w:lineRule="auto"/>
        <w:contextualSpacing/>
        <w:jc w:val="both"/>
        <w:rPr>
          <w:rFonts w:ascii="Arial" w:hAnsi="Arial" w:cs="Arial"/>
          <w:color w:val="000000" w:themeColor="text1"/>
        </w:rPr>
      </w:pPr>
      <w:r>
        <w:rPr>
          <w:rFonts w:ascii="Arial" w:hAnsi="Arial" w:cs="Arial"/>
          <w:color w:val="000000" w:themeColor="text1"/>
        </w:rPr>
        <w:t>[1</w:t>
      </w:r>
      <w:r w:rsidR="007C6AE9">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ab/>
      </w:r>
      <w:r w:rsidR="00D54889">
        <w:rPr>
          <w:rFonts w:ascii="Arial" w:hAnsi="Arial" w:cs="Arial"/>
          <w:color w:val="000000" w:themeColor="text1"/>
        </w:rPr>
        <w:t xml:space="preserve">It is evident from the judgment that the court a quo duly considered the provision and </w:t>
      </w:r>
      <w:r>
        <w:rPr>
          <w:rFonts w:ascii="Arial" w:hAnsi="Arial" w:cs="Arial"/>
          <w:color w:val="000000" w:themeColor="text1"/>
        </w:rPr>
        <w:t xml:space="preserve">interpreted the provision in accordance with the </w:t>
      </w:r>
      <w:r w:rsidR="00D54889">
        <w:rPr>
          <w:rFonts w:ascii="Arial" w:hAnsi="Arial" w:cs="Arial"/>
          <w:color w:val="000000" w:themeColor="text1"/>
        </w:rPr>
        <w:t>trite principles of interpretation</w:t>
      </w:r>
      <w:r>
        <w:rPr>
          <w:rFonts w:ascii="Arial" w:hAnsi="Arial" w:cs="Arial"/>
          <w:color w:val="000000" w:themeColor="text1"/>
        </w:rPr>
        <w:t>. N</w:t>
      </w:r>
      <w:r w:rsidR="00D54889">
        <w:rPr>
          <w:rFonts w:ascii="Arial" w:hAnsi="Arial" w:cs="Arial"/>
          <w:color w:val="000000" w:themeColor="text1"/>
        </w:rPr>
        <w:t xml:space="preserve">othing more was required. </w:t>
      </w:r>
      <w:r w:rsidR="00F8300B">
        <w:rPr>
          <w:rFonts w:ascii="Arial" w:hAnsi="Arial" w:cs="Arial"/>
          <w:color w:val="000000" w:themeColor="text1"/>
        </w:rPr>
        <w:t>Counsel for the appellants did</w:t>
      </w:r>
      <w:r w:rsidR="00D54889">
        <w:rPr>
          <w:rFonts w:ascii="Arial" w:hAnsi="Arial" w:cs="Arial"/>
          <w:color w:val="000000" w:themeColor="text1"/>
        </w:rPr>
        <w:t xml:space="preserve"> not refer </w:t>
      </w:r>
      <w:r w:rsidR="00F8300B">
        <w:rPr>
          <w:rFonts w:ascii="Arial" w:hAnsi="Arial" w:cs="Arial"/>
          <w:color w:val="000000" w:themeColor="text1"/>
        </w:rPr>
        <w:t>us</w:t>
      </w:r>
      <w:r>
        <w:rPr>
          <w:rFonts w:ascii="Arial" w:hAnsi="Arial" w:cs="Arial"/>
          <w:color w:val="000000" w:themeColor="text1"/>
        </w:rPr>
        <w:t xml:space="preserve"> </w:t>
      </w:r>
      <w:r w:rsidR="00D54889">
        <w:rPr>
          <w:rFonts w:ascii="Arial" w:hAnsi="Arial" w:cs="Arial"/>
          <w:color w:val="000000" w:themeColor="text1"/>
        </w:rPr>
        <w:t xml:space="preserve">to any rule of interpretation that was not observed. </w:t>
      </w:r>
    </w:p>
    <w:p w14:paraId="10F4D981" w14:textId="77777777" w:rsidR="00085159" w:rsidRPr="00110FCD" w:rsidRDefault="00085159" w:rsidP="00110FCD">
      <w:pPr>
        <w:spacing w:after="0" w:line="360" w:lineRule="auto"/>
        <w:contextualSpacing/>
        <w:jc w:val="both"/>
        <w:rPr>
          <w:color w:val="000000" w:themeColor="text1"/>
        </w:rPr>
      </w:pPr>
    </w:p>
    <w:p w14:paraId="1C48F2C5" w14:textId="77777777" w:rsidR="002036FF" w:rsidRPr="00110FCD" w:rsidRDefault="00F53B64" w:rsidP="00110FCD">
      <w:pPr>
        <w:spacing w:after="0" w:line="360" w:lineRule="auto"/>
        <w:jc w:val="both"/>
        <w:rPr>
          <w:color w:val="000000" w:themeColor="text1"/>
        </w:rPr>
      </w:pPr>
      <w:r w:rsidRPr="00110FCD">
        <w:rPr>
          <w:color w:val="000000" w:themeColor="text1"/>
        </w:rPr>
        <w:t>[</w:t>
      </w:r>
      <w:r w:rsidR="00085159" w:rsidRPr="00110FCD">
        <w:rPr>
          <w:color w:val="000000" w:themeColor="text1"/>
        </w:rPr>
        <w:t>1</w:t>
      </w:r>
      <w:r w:rsidR="007C6AE9">
        <w:rPr>
          <w:color w:val="000000" w:themeColor="text1"/>
        </w:rPr>
        <w:t>4</w:t>
      </w:r>
      <w:r w:rsidRPr="00110FCD">
        <w:rPr>
          <w:color w:val="000000" w:themeColor="text1"/>
        </w:rPr>
        <w:t>]</w:t>
      </w:r>
      <w:r w:rsidRPr="00110FCD">
        <w:rPr>
          <w:color w:val="000000" w:themeColor="text1"/>
        </w:rPr>
        <w:tab/>
      </w:r>
      <w:r w:rsidR="002036FF" w:rsidRPr="00110FCD">
        <w:rPr>
          <w:color w:val="000000" w:themeColor="text1"/>
        </w:rPr>
        <w:t>When the matter was heard by the court a quo</w:t>
      </w:r>
      <w:r w:rsidR="005F536C">
        <w:rPr>
          <w:color w:val="000000" w:themeColor="text1"/>
        </w:rPr>
        <w:t>,</w:t>
      </w:r>
      <w:r w:rsidR="002036FF" w:rsidRPr="00110FCD">
        <w:rPr>
          <w:color w:val="000000" w:themeColor="text1"/>
        </w:rPr>
        <w:t xml:space="preserve"> it was submitted by the appellant</w:t>
      </w:r>
      <w:r w:rsidR="007B1189" w:rsidRPr="00110FCD">
        <w:rPr>
          <w:color w:val="000000" w:themeColor="text1"/>
        </w:rPr>
        <w:t>s that the timing of the claim wa</w:t>
      </w:r>
      <w:r w:rsidR="002036FF" w:rsidRPr="00110FCD">
        <w:rPr>
          <w:color w:val="000000" w:themeColor="text1"/>
        </w:rPr>
        <w:t xml:space="preserve">s of vital importance. </w:t>
      </w:r>
      <w:r w:rsidR="005F536C">
        <w:rPr>
          <w:color w:val="000000" w:themeColor="text1"/>
        </w:rPr>
        <w:t>The a</w:t>
      </w:r>
      <w:r w:rsidR="007B1189" w:rsidRPr="00110FCD">
        <w:rPr>
          <w:color w:val="000000" w:themeColor="text1"/>
        </w:rPr>
        <w:t xml:space="preserve">ppellants </w:t>
      </w:r>
      <w:r w:rsidR="006A3933" w:rsidRPr="00110FCD">
        <w:rPr>
          <w:color w:val="000000" w:themeColor="text1"/>
        </w:rPr>
        <w:t>claimed that</w:t>
      </w:r>
      <w:r w:rsidR="002036FF" w:rsidRPr="00110FCD">
        <w:rPr>
          <w:color w:val="000000" w:themeColor="text1"/>
        </w:rPr>
        <w:t xml:space="preserve"> the respondent was a pre-liquidation creditor, and as such</w:t>
      </w:r>
      <w:r w:rsidR="005F536C">
        <w:rPr>
          <w:color w:val="000000" w:themeColor="text1"/>
        </w:rPr>
        <w:t>,</w:t>
      </w:r>
      <w:r w:rsidR="002036FF" w:rsidRPr="00110FCD">
        <w:rPr>
          <w:color w:val="000000" w:themeColor="text1"/>
        </w:rPr>
        <w:t xml:space="preserve"> </w:t>
      </w:r>
      <w:r w:rsidR="00D54889">
        <w:rPr>
          <w:color w:val="000000" w:themeColor="text1"/>
        </w:rPr>
        <w:t>the respondent was only</w:t>
      </w:r>
      <w:r w:rsidR="002036FF" w:rsidRPr="00110FCD">
        <w:rPr>
          <w:color w:val="000000" w:themeColor="text1"/>
        </w:rPr>
        <w:t xml:space="preserve"> entitled to lodge a claim against the liquidated company. </w:t>
      </w:r>
      <w:r w:rsidR="007B1189" w:rsidRPr="00110FCD">
        <w:rPr>
          <w:color w:val="000000" w:themeColor="text1"/>
        </w:rPr>
        <w:t>I</w:t>
      </w:r>
      <w:r w:rsidR="002036FF" w:rsidRPr="00110FCD">
        <w:rPr>
          <w:color w:val="000000" w:themeColor="text1"/>
        </w:rPr>
        <w:t xml:space="preserve">t is </w:t>
      </w:r>
      <w:r w:rsidR="007B1189" w:rsidRPr="00110FCD">
        <w:rPr>
          <w:color w:val="000000" w:themeColor="text1"/>
        </w:rPr>
        <w:t xml:space="preserve">accordingly </w:t>
      </w:r>
      <w:r w:rsidR="002036FF" w:rsidRPr="00110FCD">
        <w:rPr>
          <w:color w:val="000000" w:themeColor="text1"/>
        </w:rPr>
        <w:t xml:space="preserve">necessary for purposes of this appeal, to consider whether the respondent was </w:t>
      </w:r>
      <w:r w:rsidR="00A42B1F" w:rsidRPr="00110FCD">
        <w:rPr>
          <w:color w:val="000000" w:themeColor="text1"/>
        </w:rPr>
        <w:t>a</w:t>
      </w:r>
      <w:r w:rsidR="002036FF" w:rsidRPr="00110FCD">
        <w:rPr>
          <w:color w:val="000000" w:themeColor="text1"/>
        </w:rPr>
        <w:t xml:space="preserve"> pre-liquidation </w:t>
      </w:r>
      <w:r w:rsidR="00A42B1F" w:rsidRPr="00110FCD">
        <w:rPr>
          <w:color w:val="000000" w:themeColor="text1"/>
        </w:rPr>
        <w:t xml:space="preserve">creditor </w:t>
      </w:r>
      <w:r w:rsidR="00A4602C">
        <w:rPr>
          <w:color w:val="000000" w:themeColor="text1"/>
        </w:rPr>
        <w:t>when</w:t>
      </w:r>
      <w:r w:rsidR="002036FF" w:rsidRPr="00110FCD">
        <w:rPr>
          <w:color w:val="000000" w:themeColor="text1"/>
        </w:rPr>
        <w:t xml:space="preserve"> it made </w:t>
      </w:r>
      <w:r w:rsidR="00A42B1F" w:rsidRPr="00110FCD">
        <w:rPr>
          <w:color w:val="000000" w:themeColor="text1"/>
        </w:rPr>
        <w:t>the</w:t>
      </w:r>
      <w:r w:rsidR="002036FF" w:rsidRPr="00110FCD">
        <w:rPr>
          <w:color w:val="000000" w:themeColor="text1"/>
        </w:rPr>
        <w:t xml:space="preserve"> erroneous payment to Evowood.</w:t>
      </w:r>
    </w:p>
    <w:p w14:paraId="35963F4B" w14:textId="77777777" w:rsidR="00381AC3" w:rsidRPr="00110FCD" w:rsidRDefault="00381AC3" w:rsidP="00110FCD">
      <w:pPr>
        <w:spacing w:after="0" w:line="360" w:lineRule="auto"/>
        <w:contextualSpacing/>
        <w:jc w:val="both"/>
        <w:rPr>
          <w:color w:val="000000" w:themeColor="text1"/>
        </w:rPr>
      </w:pPr>
    </w:p>
    <w:p w14:paraId="6006DDE9" w14:textId="77777777" w:rsidR="007B1189" w:rsidRPr="00E75DB6" w:rsidRDefault="00CC18DB" w:rsidP="00110FCD">
      <w:pPr>
        <w:spacing w:after="0" w:line="360" w:lineRule="auto"/>
        <w:contextualSpacing/>
        <w:jc w:val="both"/>
        <w:rPr>
          <w:b/>
          <w:i/>
          <w:color w:val="000000" w:themeColor="text1"/>
        </w:rPr>
      </w:pPr>
      <w:r w:rsidRPr="00E75DB6">
        <w:rPr>
          <w:b/>
          <w:i/>
          <w:color w:val="000000" w:themeColor="text1"/>
        </w:rPr>
        <w:lastRenderedPageBreak/>
        <w:t xml:space="preserve">Who is a creditor? </w:t>
      </w:r>
    </w:p>
    <w:p w14:paraId="027C204B" w14:textId="77777777" w:rsidR="00605445" w:rsidRPr="00110FCD" w:rsidRDefault="002036FF" w:rsidP="00110FCD">
      <w:pPr>
        <w:spacing w:after="0" w:line="360" w:lineRule="auto"/>
        <w:jc w:val="both"/>
        <w:rPr>
          <w:color w:val="000000" w:themeColor="text1"/>
        </w:rPr>
      </w:pPr>
      <w:r w:rsidRPr="00110FCD">
        <w:rPr>
          <w:color w:val="000000" w:themeColor="text1"/>
        </w:rPr>
        <w:t>[</w:t>
      </w:r>
      <w:r w:rsidR="008022D2" w:rsidRPr="00110FCD">
        <w:rPr>
          <w:color w:val="000000" w:themeColor="text1"/>
        </w:rPr>
        <w:t>1</w:t>
      </w:r>
      <w:r w:rsidR="007C6AE9">
        <w:rPr>
          <w:color w:val="000000" w:themeColor="text1"/>
        </w:rPr>
        <w:t>5</w:t>
      </w:r>
      <w:r w:rsidRPr="00110FCD">
        <w:rPr>
          <w:color w:val="000000" w:themeColor="text1"/>
        </w:rPr>
        <w:t>]</w:t>
      </w:r>
      <w:r w:rsidRPr="00110FCD">
        <w:rPr>
          <w:color w:val="000000" w:themeColor="text1"/>
        </w:rPr>
        <w:tab/>
      </w:r>
      <w:r w:rsidR="00F65A7A" w:rsidRPr="00110FCD">
        <w:rPr>
          <w:color w:val="000000" w:themeColor="text1"/>
        </w:rPr>
        <w:t>Generally a creditor is defined as a person ‘who gives credit for money or goods; one whom a debt is owing’</w:t>
      </w:r>
      <w:r w:rsidR="00F474F0" w:rsidRPr="00110FCD">
        <w:rPr>
          <w:color w:val="000000" w:themeColor="text1"/>
        </w:rPr>
        <w:t>.</w:t>
      </w:r>
      <w:r w:rsidR="00F65A7A" w:rsidRPr="00110FCD">
        <w:rPr>
          <w:rStyle w:val="FootnoteReference"/>
          <w:rFonts w:cs="Arial"/>
          <w:color w:val="000000" w:themeColor="text1"/>
        </w:rPr>
        <w:footnoteReference w:id="11"/>
      </w:r>
      <w:r w:rsidR="00F65A7A" w:rsidRPr="00110FCD">
        <w:rPr>
          <w:color w:val="000000" w:themeColor="text1"/>
        </w:rPr>
        <w:t xml:space="preserve"> </w:t>
      </w:r>
      <w:r w:rsidR="00605445" w:rsidRPr="00110FCD">
        <w:rPr>
          <w:color w:val="000000" w:themeColor="text1"/>
        </w:rPr>
        <w:t xml:space="preserve">In </w:t>
      </w:r>
      <w:r w:rsidR="00605445" w:rsidRPr="00110FCD">
        <w:rPr>
          <w:i/>
          <w:color w:val="000000" w:themeColor="text1"/>
        </w:rPr>
        <w:t xml:space="preserve">Pine Village Home </w:t>
      </w:r>
      <w:r w:rsidR="00AD77A5" w:rsidRPr="00110FCD">
        <w:rPr>
          <w:i/>
          <w:color w:val="000000" w:themeColor="text1"/>
        </w:rPr>
        <w:t>O</w:t>
      </w:r>
      <w:r w:rsidR="00605445" w:rsidRPr="00110FCD">
        <w:rPr>
          <w:i/>
          <w:color w:val="000000" w:themeColor="text1"/>
        </w:rPr>
        <w:t>wners Association Ltd and others v The Master and others</w:t>
      </w:r>
      <w:r w:rsidR="00605445" w:rsidRPr="00110FCD">
        <w:rPr>
          <w:rStyle w:val="FootnoteReference"/>
          <w:rFonts w:cs="Arial"/>
          <w:i/>
          <w:color w:val="000000" w:themeColor="text1"/>
        </w:rPr>
        <w:footnoteReference w:id="12"/>
      </w:r>
      <w:r w:rsidR="00605445" w:rsidRPr="00110FCD">
        <w:rPr>
          <w:i/>
          <w:color w:val="000000" w:themeColor="text1"/>
        </w:rPr>
        <w:t xml:space="preserve"> </w:t>
      </w:r>
      <w:r w:rsidR="00836DE1" w:rsidRPr="00110FCD">
        <w:rPr>
          <w:color w:val="000000" w:themeColor="text1"/>
        </w:rPr>
        <w:t>the court confirmed that the Act does not contain a definition of a creditor</w:t>
      </w:r>
      <w:r w:rsidR="00A42B1F" w:rsidRPr="00110FCD">
        <w:rPr>
          <w:color w:val="000000" w:themeColor="text1"/>
        </w:rPr>
        <w:t>. It held</w:t>
      </w:r>
      <w:r w:rsidR="005F536C">
        <w:rPr>
          <w:color w:val="000000" w:themeColor="text1"/>
        </w:rPr>
        <w:t xml:space="preserve"> that</w:t>
      </w:r>
      <w:r w:rsidR="00836DE1" w:rsidRPr="00110FCD">
        <w:rPr>
          <w:color w:val="000000" w:themeColor="text1"/>
        </w:rPr>
        <w:t>:</w:t>
      </w:r>
    </w:p>
    <w:p w14:paraId="6EEF9F41" w14:textId="77777777" w:rsidR="00367447" w:rsidRDefault="00CF0F99" w:rsidP="00110FCD">
      <w:pPr>
        <w:spacing w:after="0" w:line="360" w:lineRule="auto"/>
        <w:jc w:val="both"/>
        <w:rPr>
          <w:sz w:val="22"/>
          <w:szCs w:val="22"/>
        </w:rPr>
      </w:pPr>
      <w:r w:rsidRPr="00110FCD">
        <w:rPr>
          <w:sz w:val="22"/>
          <w:szCs w:val="22"/>
        </w:rPr>
        <w:t xml:space="preserve">‘The Act does not define the term </w:t>
      </w:r>
      <w:r w:rsidR="005F536C">
        <w:rPr>
          <w:sz w:val="22"/>
          <w:szCs w:val="22"/>
        </w:rPr>
        <w:t>“creditor”</w:t>
      </w:r>
      <w:r w:rsidR="00EC3505" w:rsidRPr="00110FCD">
        <w:rPr>
          <w:sz w:val="22"/>
          <w:szCs w:val="22"/>
        </w:rPr>
        <w:t>,</w:t>
      </w:r>
      <w:r w:rsidRPr="00110FCD">
        <w:rPr>
          <w:sz w:val="22"/>
          <w:szCs w:val="22"/>
        </w:rPr>
        <w:t xml:space="preserve"> consequently it shall be </w:t>
      </w:r>
      <w:r w:rsidR="00BB0D11" w:rsidRPr="00110FCD">
        <w:rPr>
          <w:sz w:val="22"/>
          <w:szCs w:val="22"/>
        </w:rPr>
        <w:t>given its ordinary meaning viewed in the particular context. Under the Act a creditor could be a proved or unproved creditor or to both, depending on the circumstances relevant to the particular provision.</w:t>
      </w:r>
      <w:r w:rsidRPr="00110FCD">
        <w:rPr>
          <w:sz w:val="22"/>
          <w:szCs w:val="22"/>
        </w:rPr>
        <w:t>’</w:t>
      </w:r>
      <w:r w:rsidR="00EC3505" w:rsidRPr="00110FCD">
        <w:rPr>
          <w:rStyle w:val="FootnoteReference"/>
          <w:rFonts w:cs="Arial"/>
        </w:rPr>
        <w:footnoteReference w:id="13"/>
      </w:r>
    </w:p>
    <w:p w14:paraId="79BD81CA" w14:textId="77777777" w:rsidR="005F536C" w:rsidRPr="00110FCD" w:rsidRDefault="005F536C" w:rsidP="00110FCD">
      <w:pPr>
        <w:spacing w:after="0" w:line="360" w:lineRule="auto"/>
        <w:jc w:val="both"/>
      </w:pPr>
    </w:p>
    <w:p w14:paraId="762918FE" w14:textId="77777777" w:rsidR="00830208" w:rsidRPr="00110FCD" w:rsidRDefault="00922F4F" w:rsidP="00110FCD">
      <w:pPr>
        <w:spacing w:after="0" w:line="360" w:lineRule="auto"/>
        <w:jc w:val="both"/>
        <w:rPr>
          <w:color w:val="000000" w:themeColor="text1"/>
        </w:rPr>
      </w:pPr>
      <w:r w:rsidRPr="00110FCD">
        <w:t>[1</w:t>
      </w:r>
      <w:r w:rsidR="007C6AE9">
        <w:t>6</w:t>
      </w:r>
      <w:r w:rsidRPr="00110FCD">
        <w:t>]</w:t>
      </w:r>
      <w:r w:rsidRPr="00110FCD">
        <w:tab/>
      </w:r>
      <w:proofErr w:type="spellStart"/>
      <w:r w:rsidR="00EC3505" w:rsidRPr="00110FCD">
        <w:t>Conradie</w:t>
      </w:r>
      <w:proofErr w:type="spellEnd"/>
      <w:r w:rsidR="00EC3505" w:rsidRPr="00110FCD">
        <w:t xml:space="preserve"> J in </w:t>
      </w:r>
      <w:proofErr w:type="spellStart"/>
      <w:r w:rsidR="00EC3505" w:rsidRPr="00110FCD">
        <w:rPr>
          <w:i/>
        </w:rPr>
        <w:t>Myburgh</w:t>
      </w:r>
      <w:proofErr w:type="spellEnd"/>
      <w:r w:rsidR="00EC3505" w:rsidRPr="00110FCD">
        <w:rPr>
          <w:i/>
        </w:rPr>
        <w:t xml:space="preserve"> v Walters NO</w:t>
      </w:r>
      <w:r w:rsidR="00EC3505" w:rsidRPr="00E75DB6">
        <w:rPr>
          <w:rStyle w:val="FootnoteReference"/>
          <w:rFonts w:cs="Arial"/>
        </w:rPr>
        <w:footnoteReference w:id="14"/>
      </w:r>
      <w:r w:rsidR="00EC3505" w:rsidRPr="00110FCD">
        <w:t xml:space="preserve"> considered that a person without a claim against an insolvent estate cannot be considered a ‘creditor’.</w:t>
      </w:r>
      <w:r w:rsidR="00F74594" w:rsidRPr="00110FCD">
        <w:t xml:space="preserve"> </w:t>
      </w:r>
      <w:r w:rsidR="002403CF" w:rsidRPr="00110FCD">
        <w:rPr>
          <w:color w:val="000000" w:themeColor="text1"/>
        </w:rPr>
        <w:t>It was held</w:t>
      </w:r>
      <w:r w:rsidR="00CC18DB">
        <w:rPr>
          <w:color w:val="000000" w:themeColor="text1"/>
        </w:rPr>
        <w:t xml:space="preserve"> that</w:t>
      </w:r>
      <w:r w:rsidR="002403CF" w:rsidRPr="00110FCD">
        <w:rPr>
          <w:color w:val="000000" w:themeColor="text1"/>
        </w:rPr>
        <w:t>:</w:t>
      </w:r>
    </w:p>
    <w:p w14:paraId="21B0B6CB" w14:textId="77777777" w:rsidR="002403CF" w:rsidRDefault="002403CF" w:rsidP="00110FCD">
      <w:pPr>
        <w:spacing w:after="0" w:line="360" w:lineRule="auto"/>
        <w:jc w:val="both"/>
        <w:rPr>
          <w:color w:val="000000" w:themeColor="text1"/>
          <w:sz w:val="22"/>
          <w:szCs w:val="22"/>
        </w:rPr>
      </w:pPr>
      <w:r w:rsidRPr="00110FCD">
        <w:rPr>
          <w:color w:val="000000" w:themeColor="text1"/>
          <w:sz w:val="22"/>
          <w:szCs w:val="22"/>
        </w:rPr>
        <w:t>‘</w:t>
      </w:r>
      <w:r w:rsidR="00D33CF2" w:rsidRPr="00D33CF2">
        <w:rPr>
          <w:color w:val="000000" w:themeColor="text1"/>
          <w:sz w:val="22"/>
          <w:szCs w:val="22"/>
        </w:rPr>
        <w:t xml:space="preserve">Just as a plaintiff must have a claim to litigate, the person litigating in the name of the trustee must have a claim. </w:t>
      </w:r>
      <w:r w:rsidR="00D33CF2" w:rsidRPr="00D921D8">
        <w:rPr>
          <w:i/>
          <w:color w:val="000000" w:themeColor="text1"/>
          <w:sz w:val="22"/>
          <w:szCs w:val="22"/>
        </w:rPr>
        <w:t>If he has no claim, he cannot be considered to be a “creditor”.</w:t>
      </w:r>
      <w:r w:rsidR="00D33CF2" w:rsidRPr="00D33CF2">
        <w:rPr>
          <w:color w:val="000000" w:themeColor="text1"/>
          <w:sz w:val="22"/>
          <w:szCs w:val="22"/>
        </w:rPr>
        <w:t xml:space="preserve"> An agent for a “creditor” is not, by virtue of that capacity, himself a creditor. The Act, moreover, provides that a trustee may demand indemnification from a “creditor”. It does not provide that he may demand indemnification from one who is not a creditor. In my view, Davidson was not empowered to have indemnified the respondent or to have taken proceedings against the applicant in his name.</w:t>
      </w:r>
      <w:r w:rsidRPr="00110FCD">
        <w:rPr>
          <w:color w:val="000000" w:themeColor="text1"/>
          <w:sz w:val="22"/>
          <w:szCs w:val="22"/>
        </w:rPr>
        <w:t>’</w:t>
      </w:r>
      <w:r w:rsidR="00D33CF2" w:rsidRPr="00110FCD">
        <w:rPr>
          <w:rStyle w:val="FootnoteReference"/>
          <w:rFonts w:cs="Arial"/>
        </w:rPr>
        <w:footnoteReference w:id="15"/>
      </w:r>
      <w:r w:rsidR="008F1E96" w:rsidRPr="00D921D8">
        <w:rPr>
          <w:color w:val="000000" w:themeColor="text1"/>
          <w:sz w:val="20"/>
          <w:szCs w:val="22"/>
        </w:rPr>
        <w:t xml:space="preserve"> </w:t>
      </w:r>
      <w:r w:rsidR="008F1E96" w:rsidRPr="00BE1722">
        <w:rPr>
          <w:color w:val="000000" w:themeColor="text1"/>
        </w:rPr>
        <w:t>(My emphasis).</w:t>
      </w:r>
    </w:p>
    <w:p w14:paraId="13616097" w14:textId="77777777" w:rsidR="00525F5E" w:rsidRPr="00110FCD" w:rsidRDefault="00525F5E" w:rsidP="00110FCD">
      <w:pPr>
        <w:spacing w:after="0" w:line="360" w:lineRule="auto"/>
        <w:jc w:val="both"/>
        <w:rPr>
          <w:sz w:val="22"/>
          <w:szCs w:val="22"/>
        </w:rPr>
      </w:pPr>
    </w:p>
    <w:p w14:paraId="19C34857" w14:textId="77777777" w:rsidR="007629A3" w:rsidRPr="00110FCD" w:rsidRDefault="007629A3" w:rsidP="00110FCD">
      <w:pPr>
        <w:pStyle w:val="western"/>
        <w:shd w:val="clear" w:color="auto" w:fill="FFFFFF"/>
        <w:spacing w:before="0" w:beforeAutospacing="0" w:after="0" w:afterAutospacing="0" w:line="360" w:lineRule="auto"/>
        <w:jc w:val="both"/>
        <w:rPr>
          <w:rFonts w:ascii="Arial" w:hAnsi="Arial" w:cs="Arial"/>
          <w:color w:val="000000" w:themeColor="text1"/>
        </w:rPr>
      </w:pPr>
      <w:r w:rsidRPr="00110FCD">
        <w:rPr>
          <w:rFonts w:ascii="Arial" w:hAnsi="Arial" w:cs="Arial"/>
          <w:color w:val="000000" w:themeColor="text1"/>
        </w:rPr>
        <w:t>[</w:t>
      </w:r>
      <w:r w:rsidR="00922F4F" w:rsidRPr="00110FCD">
        <w:rPr>
          <w:rFonts w:ascii="Arial" w:hAnsi="Arial" w:cs="Arial"/>
          <w:color w:val="000000" w:themeColor="text1"/>
        </w:rPr>
        <w:t>1</w:t>
      </w:r>
      <w:r w:rsidR="007C6AE9">
        <w:rPr>
          <w:rFonts w:ascii="Arial" w:hAnsi="Arial" w:cs="Arial"/>
          <w:color w:val="000000" w:themeColor="text1"/>
        </w:rPr>
        <w:t>7</w:t>
      </w:r>
      <w:r w:rsidRPr="00110FCD">
        <w:rPr>
          <w:rFonts w:ascii="Arial" w:hAnsi="Arial" w:cs="Arial"/>
          <w:color w:val="000000" w:themeColor="text1"/>
        </w:rPr>
        <w:t>]</w:t>
      </w:r>
      <w:r w:rsidRPr="00110FCD">
        <w:rPr>
          <w:rFonts w:ascii="Arial" w:hAnsi="Arial" w:cs="Arial"/>
          <w:color w:val="000000" w:themeColor="text1"/>
        </w:rPr>
        <w:tab/>
        <w:t xml:space="preserve">The authors of </w:t>
      </w:r>
      <w:r w:rsidRPr="00E75DB6">
        <w:rPr>
          <w:rFonts w:ascii="Arial" w:hAnsi="Arial" w:cs="Arial"/>
          <w:i/>
          <w:color w:val="000000" w:themeColor="text1"/>
        </w:rPr>
        <w:t>Mars: The Law of Insolvency in South Africa</w:t>
      </w:r>
      <w:r w:rsidRPr="00110FCD">
        <w:rPr>
          <w:rStyle w:val="FootnoteReference"/>
          <w:rFonts w:ascii="Arial" w:hAnsi="Arial" w:cs="Arial"/>
          <w:color w:val="000000" w:themeColor="text1"/>
        </w:rPr>
        <w:footnoteReference w:id="16"/>
      </w:r>
      <w:r w:rsidRPr="00110FCD">
        <w:rPr>
          <w:rFonts w:ascii="Arial" w:hAnsi="Arial" w:cs="Arial"/>
          <w:color w:val="000000" w:themeColor="text1"/>
        </w:rPr>
        <w:t xml:space="preserve"> state the following in relation to creditors:</w:t>
      </w:r>
    </w:p>
    <w:p w14:paraId="73BAF005" w14:textId="7A17183C" w:rsidR="001F3DFF" w:rsidRPr="00110FCD" w:rsidRDefault="007629A3" w:rsidP="00110FCD">
      <w:pPr>
        <w:pStyle w:val="western"/>
        <w:shd w:val="clear" w:color="auto" w:fill="FFFFFF"/>
        <w:spacing w:before="0" w:beforeAutospacing="0" w:after="0" w:afterAutospacing="0" w:line="360" w:lineRule="auto"/>
        <w:jc w:val="both"/>
        <w:rPr>
          <w:rFonts w:ascii="Arial" w:hAnsi="Arial" w:cs="Arial"/>
          <w:color w:val="000000" w:themeColor="text1"/>
          <w:sz w:val="22"/>
          <w:szCs w:val="22"/>
        </w:rPr>
      </w:pPr>
      <w:proofErr w:type="gramStart"/>
      <w:r w:rsidRPr="00110FCD">
        <w:rPr>
          <w:rFonts w:ascii="Arial" w:hAnsi="Arial" w:cs="Arial"/>
          <w:color w:val="000000" w:themeColor="text1"/>
          <w:sz w:val="22"/>
          <w:szCs w:val="22"/>
        </w:rPr>
        <w:t>‘</w:t>
      </w:r>
      <w:r w:rsidR="007E1075" w:rsidRPr="007E1075">
        <w:rPr>
          <w:rFonts w:ascii="Arial" w:hAnsi="Arial" w:cs="Arial"/>
          <w:color w:val="000000" w:themeColor="text1"/>
          <w:sz w:val="22"/>
          <w:szCs w:val="22"/>
        </w:rPr>
        <w:t>”Creditor</w:t>
      </w:r>
      <w:proofErr w:type="gramEnd"/>
      <w:r w:rsidR="007E1075" w:rsidRPr="007E1075">
        <w:rPr>
          <w:rFonts w:ascii="Arial" w:hAnsi="Arial" w:cs="Arial"/>
          <w:color w:val="000000" w:themeColor="text1"/>
          <w:sz w:val="22"/>
          <w:szCs w:val="22"/>
        </w:rPr>
        <w:t>” is not defined in the Act, but it includes any person or any estate of a person who is a creditor in the usual sense of the word . . . As a rule, a person whose claim was not in existence at the date of sequestration is not a creditor of the estate sequestrated.’</w:t>
      </w:r>
      <w:r w:rsidRPr="00110FCD">
        <w:rPr>
          <w:rStyle w:val="FootnoteReference"/>
          <w:rFonts w:ascii="Arial" w:hAnsi="Arial" w:cs="Arial"/>
          <w:color w:val="000000" w:themeColor="text1"/>
          <w:sz w:val="22"/>
          <w:szCs w:val="22"/>
        </w:rPr>
        <w:footnoteReference w:id="17"/>
      </w:r>
      <w:r w:rsidR="007E1075">
        <w:rPr>
          <w:rFonts w:ascii="Arial" w:hAnsi="Arial" w:cs="Arial"/>
          <w:color w:val="000000" w:themeColor="text1"/>
          <w:sz w:val="22"/>
          <w:szCs w:val="22"/>
        </w:rPr>
        <w:t xml:space="preserve"> </w:t>
      </w:r>
      <w:r w:rsidR="007E1075" w:rsidRPr="00D42FF2">
        <w:rPr>
          <w:rFonts w:ascii="Arial" w:hAnsi="Arial" w:cs="Arial"/>
          <w:color w:val="000000" w:themeColor="text1"/>
        </w:rPr>
        <w:t>(Footnotes omitted.)</w:t>
      </w:r>
    </w:p>
    <w:p w14:paraId="6596D56B" w14:textId="77777777" w:rsidR="00525F5E" w:rsidRDefault="00525F5E" w:rsidP="00110FCD">
      <w:pPr>
        <w:spacing w:after="0" w:line="360" w:lineRule="auto"/>
        <w:jc w:val="both"/>
        <w:rPr>
          <w:color w:val="000000" w:themeColor="text1"/>
        </w:rPr>
      </w:pPr>
    </w:p>
    <w:p w14:paraId="66864F66" w14:textId="3FEAF4A2" w:rsidR="0045173C" w:rsidRPr="00110FCD" w:rsidRDefault="00215708" w:rsidP="00110FCD">
      <w:pPr>
        <w:spacing w:after="0" w:line="360" w:lineRule="auto"/>
        <w:jc w:val="both"/>
        <w:rPr>
          <w:color w:val="000000" w:themeColor="text1"/>
        </w:rPr>
      </w:pPr>
      <w:r w:rsidRPr="00110FCD">
        <w:rPr>
          <w:color w:val="000000" w:themeColor="text1"/>
        </w:rPr>
        <w:t>[</w:t>
      </w:r>
      <w:r w:rsidR="00AA31CB" w:rsidRPr="00110FCD">
        <w:rPr>
          <w:color w:val="000000" w:themeColor="text1"/>
        </w:rPr>
        <w:t>1</w:t>
      </w:r>
      <w:r w:rsidR="007C6AE9">
        <w:rPr>
          <w:color w:val="000000" w:themeColor="text1"/>
        </w:rPr>
        <w:t>8</w:t>
      </w:r>
      <w:r w:rsidRPr="00110FCD">
        <w:rPr>
          <w:color w:val="000000" w:themeColor="text1"/>
        </w:rPr>
        <w:t>]</w:t>
      </w:r>
      <w:r w:rsidRPr="00110FCD">
        <w:rPr>
          <w:color w:val="000000" w:themeColor="text1"/>
        </w:rPr>
        <w:tab/>
      </w:r>
      <w:r w:rsidR="0045173C" w:rsidRPr="00110FCD">
        <w:rPr>
          <w:color w:val="000000" w:themeColor="text1"/>
        </w:rPr>
        <w:t>In my view</w:t>
      </w:r>
      <w:r w:rsidR="007E1075">
        <w:rPr>
          <w:color w:val="000000" w:themeColor="text1"/>
        </w:rPr>
        <w:t>,</w:t>
      </w:r>
      <w:r w:rsidR="0045173C" w:rsidRPr="00110FCD">
        <w:rPr>
          <w:color w:val="000000" w:themeColor="text1"/>
        </w:rPr>
        <w:t xml:space="preserve"> the application of s 44 of the Act </w:t>
      </w:r>
      <w:r w:rsidR="00215C73" w:rsidRPr="00110FCD">
        <w:rPr>
          <w:color w:val="000000" w:themeColor="text1"/>
        </w:rPr>
        <w:t xml:space="preserve">is triggered if </w:t>
      </w:r>
      <w:r w:rsidR="007E1075">
        <w:rPr>
          <w:color w:val="000000" w:themeColor="text1"/>
        </w:rPr>
        <w:t>a person is</w:t>
      </w:r>
      <w:r w:rsidR="0045173C" w:rsidRPr="00110FCD">
        <w:rPr>
          <w:color w:val="000000" w:themeColor="text1"/>
        </w:rPr>
        <w:t xml:space="preserve"> a creditor. Once the respondent has paid for the goods delivered</w:t>
      </w:r>
      <w:r w:rsidR="007E1075">
        <w:rPr>
          <w:color w:val="000000" w:themeColor="text1"/>
        </w:rPr>
        <w:t>,</w:t>
      </w:r>
      <w:r w:rsidR="0045173C" w:rsidRPr="00110FCD">
        <w:rPr>
          <w:color w:val="000000" w:themeColor="text1"/>
        </w:rPr>
        <w:t xml:space="preserve"> it was no longer a </w:t>
      </w:r>
      <w:r w:rsidR="0045173C" w:rsidRPr="00110FCD">
        <w:rPr>
          <w:color w:val="000000" w:themeColor="text1"/>
        </w:rPr>
        <w:lastRenderedPageBreak/>
        <w:t xml:space="preserve">creditor of Evowood. The second amount paid over to Evowood was not due nor did the money belong to Evowood. The court a quo was therefore not misdirected when it held that the money was not the money of </w:t>
      </w:r>
      <w:r w:rsidR="006C708E" w:rsidRPr="00110FCD">
        <w:rPr>
          <w:color w:val="000000" w:themeColor="text1"/>
        </w:rPr>
        <w:t>Evowood</w:t>
      </w:r>
      <w:r w:rsidR="0045173C" w:rsidRPr="00110FCD">
        <w:rPr>
          <w:color w:val="000000" w:themeColor="text1"/>
        </w:rPr>
        <w:t xml:space="preserve"> and that it could not keep it in its accounts.</w:t>
      </w:r>
      <w:r w:rsidR="003D664A">
        <w:rPr>
          <w:color w:val="000000" w:themeColor="text1"/>
        </w:rPr>
        <w:t xml:space="preserve"> As the respondent was not a creditor of Evowood, the question arises what other remedy was available to the respondent other than bringing th</w:t>
      </w:r>
      <w:r w:rsidR="00AD4650">
        <w:rPr>
          <w:color w:val="000000" w:themeColor="text1"/>
        </w:rPr>
        <w:t>is</w:t>
      </w:r>
      <w:r w:rsidR="003D664A">
        <w:rPr>
          <w:color w:val="000000" w:themeColor="text1"/>
        </w:rPr>
        <w:t xml:space="preserve"> application.</w:t>
      </w:r>
    </w:p>
    <w:p w14:paraId="49A0DA9D" w14:textId="77777777" w:rsidR="00195D25" w:rsidRDefault="00195D25" w:rsidP="00110FCD">
      <w:pPr>
        <w:spacing w:after="0" w:line="360" w:lineRule="auto"/>
        <w:contextualSpacing/>
        <w:jc w:val="both"/>
        <w:rPr>
          <w:color w:val="000000" w:themeColor="text1"/>
        </w:rPr>
      </w:pPr>
    </w:p>
    <w:p w14:paraId="3AEF9BB7" w14:textId="77777777" w:rsidR="00D125FA" w:rsidRPr="00E75DB6" w:rsidRDefault="00D125FA" w:rsidP="00110FCD">
      <w:pPr>
        <w:spacing w:after="0" w:line="360" w:lineRule="auto"/>
        <w:contextualSpacing/>
        <w:jc w:val="both"/>
        <w:rPr>
          <w:b/>
          <w:color w:val="000000" w:themeColor="text1"/>
        </w:rPr>
      </w:pPr>
      <w:r>
        <w:rPr>
          <w:b/>
          <w:color w:val="000000" w:themeColor="text1"/>
        </w:rPr>
        <w:t>Undue enrichment</w:t>
      </w:r>
    </w:p>
    <w:p w14:paraId="15359DCA" w14:textId="77777777" w:rsidR="00215708" w:rsidRPr="00110FCD" w:rsidRDefault="0045173C" w:rsidP="00110FCD">
      <w:pPr>
        <w:spacing w:after="0" w:line="360" w:lineRule="auto"/>
        <w:jc w:val="both"/>
        <w:rPr>
          <w:color w:val="000000" w:themeColor="text1"/>
          <w:lang w:val="en-GB"/>
        </w:rPr>
      </w:pPr>
      <w:r w:rsidRPr="00110FCD">
        <w:rPr>
          <w:color w:val="000000" w:themeColor="text1"/>
        </w:rPr>
        <w:t>[</w:t>
      </w:r>
      <w:r w:rsidR="00195D25" w:rsidRPr="00110FCD">
        <w:rPr>
          <w:color w:val="000000" w:themeColor="text1"/>
        </w:rPr>
        <w:t>1</w:t>
      </w:r>
      <w:r w:rsidR="007C6AE9">
        <w:rPr>
          <w:color w:val="000000" w:themeColor="text1"/>
        </w:rPr>
        <w:t>9</w:t>
      </w:r>
      <w:r w:rsidRPr="00110FCD">
        <w:rPr>
          <w:color w:val="000000" w:themeColor="text1"/>
        </w:rPr>
        <w:t>]</w:t>
      </w:r>
      <w:r w:rsidRPr="00110FCD">
        <w:rPr>
          <w:color w:val="000000" w:themeColor="text1"/>
        </w:rPr>
        <w:tab/>
      </w:r>
      <w:r w:rsidR="00195D25" w:rsidRPr="00110FCD">
        <w:rPr>
          <w:color w:val="000000" w:themeColor="text1"/>
        </w:rPr>
        <w:t xml:space="preserve">Evowood was unjustifiably enriched by the second amount paid to it. </w:t>
      </w:r>
      <w:r w:rsidR="00215708" w:rsidRPr="00110FCD">
        <w:rPr>
          <w:i/>
          <w:iCs/>
          <w:color w:val="000000" w:themeColor="text1"/>
          <w:lang w:val="en-GB"/>
        </w:rPr>
        <w:t xml:space="preserve">Nissan South Africa (Pty) Ltd v </w:t>
      </w:r>
      <w:proofErr w:type="spellStart"/>
      <w:r w:rsidR="00215708" w:rsidRPr="00110FCD">
        <w:rPr>
          <w:i/>
          <w:iCs/>
          <w:color w:val="000000" w:themeColor="text1"/>
          <w:lang w:val="en-GB"/>
        </w:rPr>
        <w:t>Marnitz</w:t>
      </w:r>
      <w:proofErr w:type="spellEnd"/>
      <w:r w:rsidR="00215708" w:rsidRPr="00110FCD">
        <w:rPr>
          <w:i/>
          <w:iCs/>
          <w:color w:val="000000" w:themeColor="text1"/>
          <w:lang w:val="en-GB"/>
        </w:rPr>
        <w:t xml:space="preserve"> </w:t>
      </w:r>
      <w:r w:rsidR="00CC18DB" w:rsidRPr="00110FCD">
        <w:rPr>
          <w:i/>
          <w:iCs/>
          <w:color w:val="000000" w:themeColor="text1"/>
          <w:lang w:val="en-GB"/>
        </w:rPr>
        <w:t xml:space="preserve">NO </w:t>
      </w:r>
      <w:r w:rsidR="00215708" w:rsidRPr="00110FCD">
        <w:rPr>
          <w:i/>
          <w:iCs/>
          <w:color w:val="000000" w:themeColor="text1"/>
          <w:lang w:val="en-GB"/>
        </w:rPr>
        <w:t xml:space="preserve">and others (Stand 186 </w:t>
      </w:r>
      <w:proofErr w:type="spellStart"/>
      <w:r w:rsidR="00215708" w:rsidRPr="00110FCD">
        <w:rPr>
          <w:i/>
          <w:iCs/>
          <w:color w:val="000000" w:themeColor="text1"/>
          <w:lang w:val="en-GB"/>
        </w:rPr>
        <w:t>Aeroport</w:t>
      </w:r>
      <w:proofErr w:type="spellEnd"/>
      <w:r w:rsidR="00215708" w:rsidRPr="00110FCD">
        <w:rPr>
          <w:i/>
          <w:iCs/>
          <w:color w:val="000000" w:themeColor="text1"/>
          <w:lang w:val="en-GB"/>
        </w:rPr>
        <w:t xml:space="preserve"> (Pty) Ltd intervening)</w:t>
      </w:r>
      <w:r w:rsidR="00215708" w:rsidRPr="00E75DB6">
        <w:rPr>
          <w:rStyle w:val="FootnoteReference"/>
          <w:rFonts w:cs="Arial"/>
          <w:iCs/>
          <w:color w:val="000000" w:themeColor="text1"/>
          <w:lang w:val="en-GB"/>
        </w:rPr>
        <w:footnoteReference w:id="18"/>
      </w:r>
      <w:r w:rsidR="00215708" w:rsidRPr="00110FCD">
        <w:rPr>
          <w:i/>
          <w:iCs/>
          <w:color w:val="000000" w:themeColor="text1"/>
          <w:lang w:val="en-GB"/>
        </w:rPr>
        <w:t xml:space="preserve"> </w:t>
      </w:r>
      <w:r w:rsidR="00AA31CB" w:rsidRPr="00110FCD">
        <w:rPr>
          <w:iCs/>
          <w:color w:val="000000" w:themeColor="text1"/>
          <w:lang w:val="en-GB"/>
        </w:rPr>
        <w:t xml:space="preserve">dealt with </w:t>
      </w:r>
      <w:r w:rsidR="00195D25" w:rsidRPr="00110FCD">
        <w:rPr>
          <w:iCs/>
          <w:color w:val="000000" w:themeColor="text1"/>
          <w:lang w:val="en-GB"/>
        </w:rPr>
        <w:t xml:space="preserve">such </w:t>
      </w:r>
      <w:r w:rsidR="00AA31CB" w:rsidRPr="00110FCD">
        <w:rPr>
          <w:iCs/>
          <w:color w:val="000000" w:themeColor="text1"/>
          <w:lang w:val="en-GB"/>
        </w:rPr>
        <w:t xml:space="preserve">unjustified enrichment. </w:t>
      </w:r>
      <w:r w:rsidR="00F474F0" w:rsidRPr="00110FCD">
        <w:rPr>
          <w:color w:val="000000" w:themeColor="text1"/>
          <w:lang w:val="en-GB"/>
        </w:rPr>
        <w:t>The</w:t>
      </w:r>
      <w:r w:rsidR="00215708" w:rsidRPr="00110FCD">
        <w:rPr>
          <w:color w:val="000000" w:themeColor="text1"/>
          <w:lang w:val="en-GB"/>
        </w:rPr>
        <w:t xml:space="preserve"> SCA held that ‘payment is a bilateral juristic act requiring the meeting of two minds’.</w:t>
      </w:r>
      <w:r w:rsidR="0057674B">
        <w:rPr>
          <w:rStyle w:val="FootnoteReference"/>
          <w:color w:val="000000" w:themeColor="text1"/>
          <w:lang w:val="en-GB"/>
        </w:rPr>
        <w:footnoteReference w:id="19"/>
      </w:r>
      <w:r w:rsidR="00215708" w:rsidRPr="00110FCD">
        <w:rPr>
          <w:color w:val="000000" w:themeColor="text1"/>
          <w:lang w:val="en-GB"/>
        </w:rPr>
        <w:t xml:space="preserve"> It then proceeded to state the following:</w:t>
      </w:r>
    </w:p>
    <w:p w14:paraId="44F30DD9" w14:textId="77777777" w:rsidR="00215708" w:rsidRPr="002A1C94" w:rsidRDefault="00215708" w:rsidP="00110FCD">
      <w:pPr>
        <w:spacing w:after="0" w:line="360" w:lineRule="auto"/>
        <w:jc w:val="both"/>
        <w:rPr>
          <w:color w:val="000000" w:themeColor="text1"/>
          <w:sz w:val="22"/>
          <w:szCs w:val="22"/>
          <w:lang w:val="en-US"/>
        </w:rPr>
      </w:pPr>
      <w:r w:rsidRPr="002A1C94">
        <w:rPr>
          <w:color w:val="000000" w:themeColor="text1"/>
          <w:sz w:val="22"/>
          <w:szCs w:val="22"/>
        </w:rPr>
        <w:t xml:space="preserve">‘Where A hands over money to B mistakenly believing that the money is due to B, B, if he is aware of the mistake, is not entitled to appropriate the money. </w:t>
      </w:r>
      <w:r w:rsidRPr="00E75DB6">
        <w:rPr>
          <w:i/>
          <w:color w:val="000000" w:themeColor="text1"/>
          <w:sz w:val="22"/>
          <w:szCs w:val="22"/>
        </w:rPr>
        <w:t>Ownership of the money does not pass from A to B</w:t>
      </w:r>
      <w:r w:rsidRPr="002A1C94">
        <w:rPr>
          <w:color w:val="000000" w:themeColor="text1"/>
          <w:sz w:val="22"/>
          <w:szCs w:val="22"/>
        </w:rPr>
        <w:t>. Should B in these circumstances appropriate the money such appropriation would constitute theft (</w:t>
      </w:r>
      <w:r w:rsidRPr="00D64299">
        <w:rPr>
          <w:i/>
          <w:iCs/>
          <w:color w:val="000000" w:themeColor="text1"/>
          <w:sz w:val="22"/>
          <w:szCs w:val="22"/>
        </w:rPr>
        <w:t xml:space="preserve">R v </w:t>
      </w:r>
      <w:proofErr w:type="spellStart"/>
      <w:r w:rsidRPr="00D64299">
        <w:rPr>
          <w:i/>
          <w:iCs/>
          <w:color w:val="000000" w:themeColor="text1"/>
          <w:sz w:val="22"/>
          <w:szCs w:val="22"/>
        </w:rPr>
        <w:t>Oelsen</w:t>
      </w:r>
      <w:proofErr w:type="spellEnd"/>
      <w:r w:rsidRPr="00D64299">
        <w:rPr>
          <w:i/>
          <w:iCs/>
          <w:color w:val="000000" w:themeColor="text1"/>
          <w:sz w:val="22"/>
          <w:szCs w:val="22"/>
        </w:rPr>
        <w:t> </w:t>
      </w:r>
      <w:r w:rsidRPr="00D64299">
        <w:rPr>
          <w:color w:val="000000" w:themeColor="text1"/>
          <w:sz w:val="22"/>
          <w:szCs w:val="22"/>
        </w:rPr>
        <w:t>1950 (2) PH H198; and </w:t>
      </w:r>
      <w:r w:rsidRPr="00D64299">
        <w:rPr>
          <w:i/>
          <w:iCs/>
          <w:color w:val="000000" w:themeColor="text1"/>
          <w:sz w:val="22"/>
          <w:szCs w:val="22"/>
        </w:rPr>
        <w:t>S v Graham </w:t>
      </w:r>
      <w:r w:rsidRPr="00D64299">
        <w:rPr>
          <w:color w:val="000000" w:themeColor="text1"/>
          <w:sz w:val="22"/>
          <w:szCs w:val="22"/>
        </w:rPr>
        <w:t>1975 (3) SA 569 (A) at 573E–H).’</w:t>
      </w:r>
      <w:r w:rsidR="0057674B" w:rsidRPr="002A1C94">
        <w:rPr>
          <w:rStyle w:val="FootnoteReference"/>
          <w:color w:val="000000" w:themeColor="text1"/>
          <w:sz w:val="22"/>
          <w:szCs w:val="22"/>
        </w:rPr>
        <w:footnoteReference w:id="20"/>
      </w:r>
      <w:r w:rsidR="00D146F2" w:rsidRPr="002A1C94">
        <w:rPr>
          <w:color w:val="000000" w:themeColor="text1"/>
          <w:sz w:val="22"/>
          <w:szCs w:val="22"/>
        </w:rPr>
        <w:t xml:space="preserve"> </w:t>
      </w:r>
      <w:r w:rsidR="00D146F2" w:rsidRPr="00AA5872">
        <w:rPr>
          <w:color w:val="000000" w:themeColor="text1"/>
          <w:szCs w:val="22"/>
        </w:rPr>
        <w:t>(My emphasis).</w:t>
      </w:r>
    </w:p>
    <w:p w14:paraId="3B6711E7" w14:textId="77777777" w:rsidR="00215708" w:rsidRPr="00110FCD" w:rsidRDefault="00B63E89" w:rsidP="00110FCD">
      <w:pPr>
        <w:spacing w:after="0" w:line="360" w:lineRule="auto"/>
        <w:jc w:val="both"/>
        <w:rPr>
          <w:color w:val="000000" w:themeColor="text1"/>
        </w:rPr>
      </w:pPr>
      <w:r>
        <w:rPr>
          <w:color w:val="000000" w:themeColor="text1"/>
        </w:rPr>
        <w:t>I</w:t>
      </w:r>
      <w:r w:rsidR="00215708" w:rsidRPr="00110FCD">
        <w:rPr>
          <w:color w:val="000000" w:themeColor="text1"/>
        </w:rPr>
        <w:t xml:space="preserve">t was further held that the position does not change in respect of a transfer of money: </w:t>
      </w:r>
    </w:p>
    <w:p w14:paraId="7C269D1C" w14:textId="77777777" w:rsidR="00215708" w:rsidRPr="00110FCD" w:rsidRDefault="00215708" w:rsidP="00110FCD">
      <w:pPr>
        <w:spacing w:after="0" w:line="360" w:lineRule="auto"/>
        <w:jc w:val="both"/>
        <w:rPr>
          <w:color w:val="000000" w:themeColor="text1"/>
        </w:rPr>
      </w:pPr>
      <w:r w:rsidRPr="00110FCD">
        <w:rPr>
          <w:color w:val="000000" w:themeColor="text1"/>
          <w:sz w:val="22"/>
          <w:szCs w:val="22"/>
        </w:rPr>
        <w:t>‘</w:t>
      </w:r>
      <w:r w:rsidRPr="00110FCD">
        <w:rPr>
          <w:color w:val="000000" w:themeColor="text1"/>
          <w:sz w:val="22"/>
          <w:szCs w:val="22"/>
          <w:shd w:val="clear" w:color="auto" w:fill="FFFFFF"/>
        </w:rPr>
        <w:t xml:space="preserve">The position can be no different where A, instead of paying by cheque, deposits the amount into the bank account of B. Just as B is not entitled to claim entitlement to be credited with the proceeds of a cheque mistakenly handed to him, he is not entitled to claim entitlement to a </w:t>
      </w:r>
      <w:r w:rsidRPr="00E75DB6">
        <w:rPr>
          <w:i/>
          <w:color w:val="000000" w:themeColor="text1"/>
          <w:sz w:val="22"/>
          <w:szCs w:val="22"/>
          <w:shd w:val="clear" w:color="auto" w:fill="FFFFFF"/>
        </w:rPr>
        <w:t xml:space="preserve">credit because of an amount mistakenly transferred to his bank account. Should he appropriate the amount so transferred, </w:t>
      </w:r>
      <w:proofErr w:type="spellStart"/>
      <w:r w:rsidRPr="00E75DB6">
        <w:rPr>
          <w:i/>
          <w:color w:val="000000" w:themeColor="text1"/>
          <w:sz w:val="22"/>
          <w:szCs w:val="22"/>
          <w:shd w:val="clear" w:color="auto" w:fill="FFFFFF"/>
        </w:rPr>
        <w:t>ie</w:t>
      </w:r>
      <w:proofErr w:type="spellEnd"/>
      <w:r w:rsidRPr="00E75DB6">
        <w:rPr>
          <w:i/>
          <w:color w:val="000000" w:themeColor="text1"/>
          <w:sz w:val="22"/>
          <w:szCs w:val="22"/>
          <w:shd w:val="clear" w:color="auto" w:fill="FFFFFF"/>
        </w:rPr>
        <w:t xml:space="preserve"> should he withdraw the amount so credited, not to repay it to the transferor but to use it for his own purposes, well knowing that it is not due to him, he is equally guilty of theft</w:t>
      </w:r>
      <w:r w:rsidRPr="002A1C94">
        <w:rPr>
          <w:color w:val="000000" w:themeColor="text1"/>
          <w:sz w:val="22"/>
          <w:szCs w:val="22"/>
          <w:shd w:val="clear" w:color="auto" w:fill="FFFFFF"/>
        </w:rPr>
        <w:t>.</w:t>
      </w:r>
      <w:r w:rsidRPr="002A1C94">
        <w:rPr>
          <w:color w:val="000000" w:themeColor="text1"/>
          <w:sz w:val="22"/>
          <w:szCs w:val="22"/>
        </w:rPr>
        <w:t>’</w:t>
      </w:r>
      <w:r w:rsidR="00D64299" w:rsidRPr="002A1C94">
        <w:rPr>
          <w:rStyle w:val="FootnoteReference"/>
          <w:color w:val="000000" w:themeColor="text1"/>
          <w:sz w:val="22"/>
          <w:szCs w:val="22"/>
        </w:rPr>
        <w:footnoteReference w:id="21"/>
      </w:r>
      <w:r w:rsidR="009B72DD" w:rsidRPr="002A1C94">
        <w:rPr>
          <w:color w:val="000000" w:themeColor="text1"/>
          <w:sz w:val="22"/>
          <w:szCs w:val="22"/>
        </w:rPr>
        <w:t xml:space="preserve"> </w:t>
      </w:r>
      <w:r w:rsidR="009B72DD" w:rsidRPr="00D42FF2">
        <w:rPr>
          <w:color w:val="000000" w:themeColor="text1"/>
        </w:rPr>
        <w:t>(My emphasis).</w:t>
      </w:r>
    </w:p>
    <w:p w14:paraId="70664556" w14:textId="77777777" w:rsidR="00D15380" w:rsidRPr="00110FCD" w:rsidRDefault="00D15380" w:rsidP="00110FCD">
      <w:pPr>
        <w:spacing w:after="0" w:line="360" w:lineRule="auto"/>
        <w:contextualSpacing/>
        <w:jc w:val="both"/>
        <w:rPr>
          <w:color w:val="000000" w:themeColor="text1"/>
          <w:sz w:val="22"/>
          <w:szCs w:val="22"/>
        </w:rPr>
      </w:pPr>
    </w:p>
    <w:p w14:paraId="1E7EF259" w14:textId="77777777" w:rsidR="00215708" w:rsidRPr="00110FCD" w:rsidRDefault="009B72DD" w:rsidP="00110FCD">
      <w:pPr>
        <w:spacing w:after="0" w:line="360" w:lineRule="auto"/>
        <w:jc w:val="both"/>
        <w:rPr>
          <w:color w:val="000000" w:themeColor="text1"/>
          <w:shd w:val="clear" w:color="auto" w:fill="FFFFFF"/>
        </w:rPr>
      </w:pPr>
      <w:r w:rsidRPr="00110FCD">
        <w:rPr>
          <w:color w:val="000000" w:themeColor="text1"/>
          <w:shd w:val="clear" w:color="auto" w:fill="FFFFFF"/>
        </w:rPr>
        <w:t>[</w:t>
      </w:r>
      <w:r w:rsidR="007C6AE9">
        <w:rPr>
          <w:color w:val="000000" w:themeColor="text1"/>
          <w:shd w:val="clear" w:color="auto" w:fill="FFFFFF"/>
        </w:rPr>
        <w:t>20</w:t>
      </w:r>
      <w:r w:rsidRPr="00110FCD">
        <w:rPr>
          <w:color w:val="000000" w:themeColor="text1"/>
          <w:shd w:val="clear" w:color="auto" w:fill="FFFFFF"/>
        </w:rPr>
        <w:t>]</w:t>
      </w:r>
      <w:r w:rsidRPr="00110FCD">
        <w:rPr>
          <w:color w:val="000000" w:themeColor="text1"/>
          <w:shd w:val="clear" w:color="auto" w:fill="FFFFFF"/>
        </w:rPr>
        <w:tab/>
      </w:r>
      <w:r w:rsidR="00215708" w:rsidRPr="00110FCD">
        <w:rPr>
          <w:color w:val="000000" w:themeColor="text1"/>
          <w:shd w:val="clear" w:color="auto" w:fill="FFFFFF"/>
        </w:rPr>
        <w:t xml:space="preserve">It was held </w:t>
      </w:r>
      <w:r w:rsidRPr="00110FCD">
        <w:rPr>
          <w:color w:val="000000" w:themeColor="text1"/>
          <w:shd w:val="clear" w:color="auto" w:fill="FFFFFF"/>
        </w:rPr>
        <w:t xml:space="preserve">in </w:t>
      </w:r>
      <w:r w:rsidRPr="00110FCD">
        <w:rPr>
          <w:i/>
          <w:color w:val="000000" w:themeColor="text1"/>
          <w:shd w:val="clear" w:color="auto" w:fill="FFFFFF"/>
        </w:rPr>
        <w:t xml:space="preserve">Nissan </w:t>
      </w:r>
      <w:r w:rsidR="00215708" w:rsidRPr="00110FCD">
        <w:rPr>
          <w:color w:val="000000" w:themeColor="text1"/>
          <w:shd w:val="clear" w:color="auto" w:fill="FFFFFF"/>
        </w:rPr>
        <w:t xml:space="preserve">that the liquidators of Maple Freight (who were the first and second respondents) were not entitled to </w:t>
      </w:r>
      <w:r w:rsidR="00177480">
        <w:rPr>
          <w:color w:val="000000" w:themeColor="text1"/>
          <w:shd w:val="clear" w:color="auto" w:fill="FFFFFF"/>
        </w:rPr>
        <w:t xml:space="preserve">the </w:t>
      </w:r>
      <w:r w:rsidR="00215708" w:rsidRPr="00110FCD">
        <w:rPr>
          <w:color w:val="000000" w:themeColor="text1"/>
          <w:shd w:val="clear" w:color="auto" w:fill="FFFFFF"/>
        </w:rPr>
        <w:t>funds which were erroneously transferred:</w:t>
      </w:r>
    </w:p>
    <w:p w14:paraId="07240EC9" w14:textId="77777777" w:rsidR="00215708" w:rsidRPr="00110FCD" w:rsidRDefault="00215708" w:rsidP="00110FCD">
      <w:pPr>
        <w:shd w:val="clear" w:color="auto" w:fill="FFFFFF"/>
        <w:spacing w:after="0" w:line="360" w:lineRule="auto"/>
        <w:jc w:val="both"/>
        <w:rPr>
          <w:color w:val="000000" w:themeColor="text1"/>
        </w:rPr>
      </w:pPr>
      <w:r w:rsidRPr="00110FCD">
        <w:rPr>
          <w:color w:val="000000" w:themeColor="text1"/>
          <w:sz w:val="22"/>
          <w:szCs w:val="22"/>
          <w:shd w:val="clear" w:color="auto" w:fill="FFFFFF"/>
        </w:rPr>
        <w:lastRenderedPageBreak/>
        <w:t>‘</w:t>
      </w:r>
      <w:r w:rsidRPr="00110FCD">
        <w:rPr>
          <w:color w:val="000000" w:themeColor="text1"/>
          <w:sz w:val="22"/>
          <w:szCs w:val="22"/>
        </w:rPr>
        <w:t>[26] In this case FNB, as agent of the appellant, intended to effect payment to TSW, and Standard Bank, as agent of Maple, intended to receive payment on behalf of Maple. There was no meeting of the minds. In these circumstances</w:t>
      </w:r>
      <w:r w:rsidRPr="00E75DB6">
        <w:rPr>
          <w:i/>
          <w:color w:val="000000" w:themeColor="text1"/>
          <w:sz w:val="22"/>
          <w:szCs w:val="22"/>
        </w:rPr>
        <w:t>, Maple, did not become entitled to the funds credited to its account. Any appropriation of the funds by Maple, with knowledge that it was not entitled to deal with the funds, would have constituted theft.</w:t>
      </w:r>
      <w:r w:rsidRPr="00110FCD">
        <w:rPr>
          <w:color w:val="000000" w:themeColor="text1"/>
          <w:sz w:val="22"/>
          <w:szCs w:val="22"/>
        </w:rPr>
        <w:t xml:space="preserve"> The transfer of the funds to the receipts account and thereafter to the payments account of Maple did not change Maple’s position concerning those funds. Just like Standard Bank, FNB received funds to which Maple was not entitled. An appropriation of these funds by Maple, with knowledge that it was not entitled to the funds, would likewise have constituted theft thereof. The first and second respondents, consequently, have no claim against FNB in respect of the funds.</w:t>
      </w:r>
      <w:r w:rsidR="00E26475" w:rsidRPr="00110FCD">
        <w:rPr>
          <w:color w:val="000000" w:themeColor="text1"/>
          <w:sz w:val="22"/>
          <w:szCs w:val="22"/>
        </w:rPr>
        <w:t xml:space="preserve">       </w:t>
      </w:r>
    </w:p>
    <w:p w14:paraId="0D57EF51" w14:textId="77777777" w:rsidR="00D15380" w:rsidRPr="00110FCD" w:rsidRDefault="00215708" w:rsidP="00110FCD">
      <w:pPr>
        <w:shd w:val="clear" w:color="auto" w:fill="FFFFFF"/>
        <w:spacing w:after="0" w:line="360" w:lineRule="auto"/>
        <w:jc w:val="both"/>
        <w:rPr>
          <w:color w:val="000000" w:themeColor="text1"/>
        </w:rPr>
      </w:pPr>
      <w:r w:rsidRPr="00110FCD">
        <w:rPr>
          <w:color w:val="000000" w:themeColor="text1"/>
          <w:sz w:val="22"/>
          <w:szCs w:val="22"/>
        </w:rPr>
        <w:t xml:space="preserve">[27] It was common cause that, in the event of it being found that the first and second respondents were not entitled to the funds, </w:t>
      </w:r>
      <w:r w:rsidRPr="00E75DB6">
        <w:rPr>
          <w:i/>
          <w:color w:val="000000" w:themeColor="text1"/>
          <w:sz w:val="22"/>
          <w:szCs w:val="22"/>
        </w:rPr>
        <w:t>the appellant was entitled to payment thereof.</w:t>
      </w:r>
      <w:r w:rsidRPr="002A1C94">
        <w:rPr>
          <w:color w:val="000000" w:themeColor="text1"/>
          <w:sz w:val="22"/>
          <w:szCs w:val="22"/>
        </w:rPr>
        <w:t>’</w:t>
      </w:r>
      <w:r w:rsidR="00416FC1" w:rsidRPr="002A1C94">
        <w:rPr>
          <w:color w:val="000000" w:themeColor="text1"/>
          <w:sz w:val="22"/>
          <w:szCs w:val="22"/>
        </w:rPr>
        <w:t xml:space="preserve"> </w:t>
      </w:r>
      <w:r w:rsidR="00416FC1" w:rsidRPr="00D42FF2">
        <w:rPr>
          <w:color w:val="000000" w:themeColor="text1"/>
        </w:rPr>
        <w:t>(My emphasis).</w:t>
      </w:r>
    </w:p>
    <w:p w14:paraId="0184B60B" w14:textId="77777777" w:rsidR="00696543" w:rsidRPr="00110FCD" w:rsidRDefault="00696543" w:rsidP="00110FCD">
      <w:pPr>
        <w:shd w:val="clear" w:color="auto" w:fill="FFFFFF"/>
        <w:spacing w:after="0" w:line="360" w:lineRule="auto"/>
        <w:contextualSpacing/>
        <w:jc w:val="both"/>
        <w:rPr>
          <w:color w:val="000000" w:themeColor="text1"/>
        </w:rPr>
      </w:pPr>
    </w:p>
    <w:p w14:paraId="5B487FA3" w14:textId="77777777" w:rsidR="008E4DF3" w:rsidRPr="00110FCD" w:rsidRDefault="00233BC9" w:rsidP="008E4DF3">
      <w:pPr>
        <w:spacing w:after="0" w:line="360" w:lineRule="auto"/>
        <w:jc w:val="both"/>
        <w:rPr>
          <w:color w:val="000000" w:themeColor="text1"/>
        </w:rPr>
      </w:pPr>
      <w:r w:rsidRPr="00110FCD">
        <w:rPr>
          <w:color w:val="000000" w:themeColor="text1"/>
          <w:shd w:val="clear" w:color="auto" w:fill="FFFFFF"/>
        </w:rPr>
        <w:t>[</w:t>
      </w:r>
      <w:r w:rsidR="00381AC3">
        <w:rPr>
          <w:color w:val="000000" w:themeColor="text1"/>
          <w:shd w:val="clear" w:color="auto" w:fill="FFFFFF"/>
        </w:rPr>
        <w:t>2</w:t>
      </w:r>
      <w:r w:rsidR="007C6AE9">
        <w:rPr>
          <w:color w:val="000000" w:themeColor="text1"/>
          <w:shd w:val="clear" w:color="auto" w:fill="FFFFFF"/>
        </w:rPr>
        <w:t>1</w:t>
      </w:r>
      <w:r w:rsidRPr="00110FCD">
        <w:rPr>
          <w:color w:val="000000" w:themeColor="text1"/>
          <w:shd w:val="clear" w:color="auto" w:fill="FFFFFF"/>
        </w:rPr>
        <w:t>]</w:t>
      </w:r>
      <w:r w:rsidR="00505D63" w:rsidRPr="00110FCD">
        <w:rPr>
          <w:color w:val="000000" w:themeColor="text1"/>
          <w:shd w:val="clear" w:color="auto" w:fill="FFFFFF"/>
        </w:rPr>
        <w:tab/>
      </w:r>
      <w:r w:rsidR="008E4DF3" w:rsidRPr="00110FCD">
        <w:rPr>
          <w:color w:val="000000" w:themeColor="text1"/>
          <w:shd w:val="clear" w:color="auto" w:fill="FFFFFF"/>
        </w:rPr>
        <w:t>Essentially</w:t>
      </w:r>
      <w:r w:rsidR="008E4DF3">
        <w:rPr>
          <w:color w:val="000000" w:themeColor="text1"/>
          <w:shd w:val="clear" w:color="auto" w:fill="FFFFFF"/>
        </w:rPr>
        <w:t>,</w:t>
      </w:r>
      <w:r w:rsidR="008E4DF3" w:rsidRPr="00110FCD">
        <w:rPr>
          <w:color w:val="000000" w:themeColor="text1"/>
          <w:shd w:val="clear" w:color="auto" w:fill="FFFFFF"/>
        </w:rPr>
        <w:t xml:space="preserve"> the SCA has held that a person</w:t>
      </w:r>
      <w:r w:rsidR="008E4DF3">
        <w:rPr>
          <w:color w:val="000000" w:themeColor="text1"/>
          <w:shd w:val="clear" w:color="auto" w:fill="FFFFFF"/>
        </w:rPr>
        <w:t>,</w:t>
      </w:r>
      <w:r w:rsidR="008E4DF3" w:rsidRPr="00110FCD">
        <w:rPr>
          <w:color w:val="000000" w:themeColor="text1"/>
          <w:shd w:val="clear" w:color="auto" w:fill="FFFFFF"/>
        </w:rPr>
        <w:t xml:space="preserve"> who receives money into his account in his name, knowing that he is not entitled thereto, and who uses it, commits theft. </w:t>
      </w:r>
      <w:r w:rsidR="008E4DF3" w:rsidRPr="00110FCD">
        <w:rPr>
          <w:color w:val="000000" w:themeColor="text1"/>
        </w:rPr>
        <w:t>Evowood</w:t>
      </w:r>
      <w:r w:rsidR="008E4DF3">
        <w:rPr>
          <w:color w:val="000000" w:themeColor="text1"/>
        </w:rPr>
        <w:t>,</w:t>
      </w:r>
      <w:r w:rsidR="008E4DF3" w:rsidRPr="00110FCD">
        <w:rPr>
          <w:color w:val="000000" w:themeColor="text1"/>
        </w:rPr>
        <w:t xml:space="preserve"> by using the credit to which it was not entitled to, committed theft. More recently</w:t>
      </w:r>
      <w:r w:rsidR="008E4DF3">
        <w:rPr>
          <w:color w:val="000000" w:themeColor="text1"/>
        </w:rPr>
        <w:t>,</w:t>
      </w:r>
      <w:r w:rsidR="008E4DF3" w:rsidRPr="00110FCD">
        <w:rPr>
          <w:color w:val="000000" w:themeColor="text1"/>
        </w:rPr>
        <w:t xml:space="preserve"> the SCA in </w:t>
      </w:r>
      <w:proofErr w:type="spellStart"/>
      <w:r w:rsidR="008E4DF3" w:rsidRPr="00110FCD">
        <w:rPr>
          <w:i/>
          <w:color w:val="000000" w:themeColor="text1"/>
        </w:rPr>
        <w:t>Firstrand</w:t>
      </w:r>
      <w:proofErr w:type="spellEnd"/>
      <w:r w:rsidR="008E4DF3" w:rsidRPr="00110FCD">
        <w:rPr>
          <w:i/>
          <w:color w:val="000000" w:themeColor="text1"/>
        </w:rPr>
        <w:t xml:space="preserve"> Bank Ltd v Spar Group Ltd</w:t>
      </w:r>
      <w:r w:rsidR="008E4DF3" w:rsidRPr="00110FCD">
        <w:rPr>
          <w:rStyle w:val="FootnoteReference"/>
          <w:rFonts w:cs="Arial"/>
          <w:color w:val="000000" w:themeColor="text1"/>
        </w:rPr>
        <w:footnoteReference w:id="22"/>
      </w:r>
      <w:r w:rsidR="008E4DF3" w:rsidRPr="00110FCD">
        <w:rPr>
          <w:color w:val="000000" w:themeColor="text1"/>
        </w:rPr>
        <w:t xml:space="preserve"> re-affirmed the principle stated in </w:t>
      </w:r>
      <w:r w:rsidR="008E4DF3" w:rsidRPr="00110FCD">
        <w:rPr>
          <w:i/>
          <w:color w:val="000000" w:themeColor="text1"/>
        </w:rPr>
        <w:t>Nissan</w:t>
      </w:r>
      <w:r w:rsidR="008E4DF3" w:rsidRPr="00110FCD">
        <w:rPr>
          <w:color w:val="000000" w:themeColor="text1"/>
        </w:rPr>
        <w:t xml:space="preserve"> as follows:</w:t>
      </w:r>
    </w:p>
    <w:p w14:paraId="0755808A" w14:textId="77777777" w:rsidR="008E4DF3" w:rsidRPr="001E1FE1" w:rsidRDefault="008E4DF3" w:rsidP="008E4DF3">
      <w:pPr>
        <w:spacing w:after="0" w:line="360" w:lineRule="auto"/>
        <w:contextualSpacing/>
        <w:jc w:val="both"/>
        <w:rPr>
          <w:rFonts w:eastAsia="Times New Roman"/>
          <w:color w:val="000000" w:themeColor="text1"/>
          <w:sz w:val="22"/>
          <w:szCs w:val="22"/>
        </w:rPr>
      </w:pPr>
      <w:r w:rsidRPr="00110FCD">
        <w:rPr>
          <w:rFonts w:eastAsia="Times New Roman"/>
          <w:color w:val="000000"/>
          <w:sz w:val="22"/>
          <w:szCs w:val="22"/>
        </w:rPr>
        <w:t>‘</w:t>
      </w:r>
      <w:r w:rsidRPr="001E1FE1">
        <w:rPr>
          <w:rFonts w:eastAsia="Times New Roman"/>
          <w:color w:val="000000" w:themeColor="text1"/>
          <w:sz w:val="22"/>
          <w:szCs w:val="22"/>
        </w:rPr>
        <w:t>In </w:t>
      </w:r>
      <w:r w:rsidRPr="001E1FE1">
        <w:rPr>
          <w:rFonts w:eastAsia="Times New Roman"/>
          <w:i/>
          <w:iCs/>
          <w:color w:val="000000" w:themeColor="text1"/>
          <w:sz w:val="22"/>
          <w:szCs w:val="22"/>
        </w:rPr>
        <w:t>Perry NO</w:t>
      </w:r>
      <w:r w:rsidRPr="001E1FE1">
        <w:rPr>
          <w:rFonts w:eastAsia="Times New Roman"/>
          <w:color w:val="000000" w:themeColor="text1"/>
          <w:sz w:val="22"/>
          <w:szCs w:val="22"/>
        </w:rPr>
        <w:t xml:space="preserve"> the funds deposited were stolen. </w:t>
      </w:r>
      <w:r w:rsidRPr="001E1FE1">
        <w:rPr>
          <w:rFonts w:eastAsia="Times New Roman"/>
          <w:i/>
          <w:color w:val="000000" w:themeColor="text1"/>
          <w:sz w:val="22"/>
          <w:szCs w:val="22"/>
        </w:rPr>
        <w:t>In </w:t>
      </w:r>
      <w:r w:rsidRPr="001E1FE1">
        <w:rPr>
          <w:rFonts w:eastAsia="Times New Roman"/>
          <w:i/>
          <w:iCs/>
          <w:color w:val="000000" w:themeColor="text1"/>
          <w:sz w:val="22"/>
          <w:szCs w:val="22"/>
        </w:rPr>
        <w:t>Nissan</w:t>
      </w:r>
      <w:r w:rsidRPr="001E1FE1">
        <w:rPr>
          <w:rFonts w:eastAsia="Times New Roman"/>
          <w:i/>
          <w:color w:val="000000" w:themeColor="text1"/>
          <w:sz w:val="22"/>
          <w:szCs w:val="22"/>
        </w:rPr>
        <w:t> the funds were deposited in error.</w:t>
      </w:r>
      <w:r w:rsidRPr="001E1FE1">
        <w:rPr>
          <w:rFonts w:eastAsia="Times New Roman"/>
          <w:color w:val="000000" w:themeColor="text1"/>
          <w:sz w:val="22"/>
          <w:szCs w:val="22"/>
        </w:rPr>
        <w:t xml:space="preserve"> The court in </w:t>
      </w:r>
      <w:r w:rsidRPr="001E1FE1">
        <w:rPr>
          <w:rFonts w:eastAsia="Times New Roman"/>
          <w:i/>
          <w:iCs/>
          <w:color w:val="000000" w:themeColor="text1"/>
          <w:sz w:val="22"/>
          <w:szCs w:val="22"/>
        </w:rPr>
        <w:t>Nissan</w:t>
      </w:r>
      <w:r w:rsidRPr="001E1FE1">
        <w:rPr>
          <w:rFonts w:eastAsia="Times New Roman"/>
          <w:color w:val="000000" w:themeColor="text1"/>
          <w:sz w:val="22"/>
          <w:szCs w:val="22"/>
        </w:rPr>
        <w:t xml:space="preserve"> nevertheless required that, since the account holder credited with the deposit had no claim against the bank, </w:t>
      </w:r>
      <w:r w:rsidRPr="001E1FE1">
        <w:rPr>
          <w:rFonts w:eastAsia="Times New Roman"/>
          <w:i/>
          <w:color w:val="000000" w:themeColor="text1"/>
          <w:sz w:val="22"/>
          <w:szCs w:val="22"/>
        </w:rPr>
        <w:t>payment must be made to the appellant who had paid in error. To do otherwise would permit of the unjustified enrichment of the bank.</w:t>
      </w:r>
      <w:r w:rsidRPr="001E1FE1">
        <w:rPr>
          <w:rFonts w:eastAsia="Times New Roman"/>
          <w:color w:val="000000" w:themeColor="text1"/>
          <w:sz w:val="22"/>
          <w:szCs w:val="22"/>
        </w:rPr>
        <w:t>’</w:t>
      </w:r>
      <w:r w:rsidRPr="001E1FE1">
        <w:rPr>
          <w:rStyle w:val="FootnoteReference"/>
          <w:rFonts w:eastAsia="Times New Roman" w:cs="Arial"/>
          <w:color w:val="000000" w:themeColor="text1"/>
          <w:sz w:val="22"/>
          <w:szCs w:val="22"/>
        </w:rPr>
        <w:footnoteReference w:id="23"/>
      </w:r>
      <w:r w:rsidRPr="001E1FE1">
        <w:rPr>
          <w:rFonts w:eastAsia="Times New Roman"/>
          <w:color w:val="000000" w:themeColor="text1"/>
          <w:sz w:val="22"/>
          <w:szCs w:val="22"/>
        </w:rPr>
        <w:t xml:space="preserve"> </w:t>
      </w:r>
    </w:p>
    <w:p w14:paraId="7630D16C" w14:textId="77777777" w:rsidR="008E4DF3" w:rsidRPr="001E1FE1" w:rsidRDefault="008E4DF3" w:rsidP="008E4DF3">
      <w:pPr>
        <w:spacing w:after="0" w:line="360" w:lineRule="auto"/>
        <w:contextualSpacing/>
        <w:jc w:val="both"/>
        <w:rPr>
          <w:color w:val="000000" w:themeColor="text1"/>
        </w:rPr>
      </w:pPr>
      <w:r w:rsidRPr="001E1FE1">
        <w:rPr>
          <w:color w:val="000000" w:themeColor="text1"/>
        </w:rPr>
        <w:t>(My emphasis).</w:t>
      </w:r>
    </w:p>
    <w:p w14:paraId="49DF0B47" w14:textId="77777777" w:rsidR="008E4DF3" w:rsidRDefault="008E4DF3" w:rsidP="00110FCD">
      <w:pPr>
        <w:spacing w:after="0" w:line="360" w:lineRule="auto"/>
        <w:jc w:val="both"/>
        <w:rPr>
          <w:color w:val="000000" w:themeColor="text1"/>
          <w:shd w:val="clear" w:color="auto" w:fill="FFFFFF"/>
        </w:rPr>
      </w:pPr>
    </w:p>
    <w:p w14:paraId="0CC08421" w14:textId="0FA11C65" w:rsidR="003841C2" w:rsidRDefault="008E4DF3" w:rsidP="00110FCD">
      <w:pPr>
        <w:spacing w:after="0" w:line="360" w:lineRule="auto"/>
        <w:jc w:val="both"/>
        <w:rPr>
          <w:color w:val="000000" w:themeColor="text1"/>
          <w:shd w:val="clear" w:color="auto" w:fill="FFFFFF"/>
        </w:rPr>
      </w:pPr>
      <w:r>
        <w:rPr>
          <w:color w:val="000000" w:themeColor="text1"/>
          <w:shd w:val="clear" w:color="auto" w:fill="FFFFFF"/>
        </w:rPr>
        <w:t>[2</w:t>
      </w:r>
      <w:r w:rsidR="007C6AE9">
        <w:rPr>
          <w:color w:val="000000" w:themeColor="text1"/>
          <w:shd w:val="clear" w:color="auto" w:fill="FFFFFF"/>
        </w:rPr>
        <w:t>2</w:t>
      </w:r>
      <w:r>
        <w:rPr>
          <w:color w:val="000000" w:themeColor="text1"/>
          <w:shd w:val="clear" w:color="auto" w:fill="FFFFFF"/>
        </w:rPr>
        <w:t>]</w:t>
      </w:r>
      <w:r>
        <w:rPr>
          <w:color w:val="000000" w:themeColor="text1"/>
          <w:shd w:val="clear" w:color="auto" w:fill="FFFFFF"/>
        </w:rPr>
        <w:tab/>
      </w:r>
      <w:r w:rsidR="003841C2">
        <w:rPr>
          <w:color w:val="000000" w:themeColor="text1"/>
          <w:shd w:val="clear" w:color="auto" w:fill="FFFFFF"/>
        </w:rPr>
        <w:t>In my view</w:t>
      </w:r>
      <w:r w:rsidR="00981BC8">
        <w:rPr>
          <w:color w:val="000000" w:themeColor="text1"/>
          <w:shd w:val="clear" w:color="auto" w:fill="FFFFFF"/>
        </w:rPr>
        <w:t>,</w:t>
      </w:r>
      <w:r w:rsidR="003841C2">
        <w:rPr>
          <w:color w:val="000000" w:themeColor="text1"/>
          <w:shd w:val="clear" w:color="auto" w:fill="FFFFFF"/>
        </w:rPr>
        <w:t xml:space="preserve"> the appellants</w:t>
      </w:r>
      <w:r w:rsidR="00981BC8">
        <w:rPr>
          <w:color w:val="000000" w:themeColor="text1"/>
          <w:shd w:val="clear" w:color="auto" w:fill="FFFFFF"/>
        </w:rPr>
        <w:t>,</w:t>
      </w:r>
      <w:r w:rsidR="003841C2">
        <w:rPr>
          <w:color w:val="000000" w:themeColor="text1"/>
          <w:shd w:val="clear" w:color="auto" w:fill="FFFFFF"/>
        </w:rPr>
        <w:t xml:space="preserve"> as liquidators of the company in liquidation</w:t>
      </w:r>
      <w:r w:rsidR="00981BC8">
        <w:rPr>
          <w:color w:val="000000" w:themeColor="text1"/>
          <w:shd w:val="clear" w:color="auto" w:fill="FFFFFF"/>
        </w:rPr>
        <w:t>,</w:t>
      </w:r>
      <w:r w:rsidR="003841C2">
        <w:rPr>
          <w:color w:val="000000" w:themeColor="text1"/>
          <w:shd w:val="clear" w:color="auto" w:fill="FFFFFF"/>
        </w:rPr>
        <w:t xml:space="preserve"> </w:t>
      </w:r>
      <w:r w:rsidR="00981BC8">
        <w:rPr>
          <w:color w:val="000000" w:themeColor="text1"/>
          <w:shd w:val="clear" w:color="auto" w:fill="FFFFFF"/>
        </w:rPr>
        <w:t xml:space="preserve">are </w:t>
      </w:r>
      <w:r w:rsidR="003841C2">
        <w:rPr>
          <w:color w:val="000000" w:themeColor="text1"/>
          <w:shd w:val="clear" w:color="auto" w:fill="FFFFFF"/>
        </w:rPr>
        <w:t xml:space="preserve">duty bound in terms of s 391 </w:t>
      </w:r>
      <w:r w:rsidR="00124290">
        <w:rPr>
          <w:color w:val="000000" w:themeColor="text1"/>
          <w:shd w:val="clear" w:color="auto" w:fill="FFFFFF"/>
        </w:rPr>
        <w:t xml:space="preserve">read with s 342 </w:t>
      </w:r>
      <w:r w:rsidR="003841C2">
        <w:rPr>
          <w:color w:val="000000" w:themeColor="text1"/>
          <w:shd w:val="clear" w:color="auto" w:fill="FFFFFF"/>
        </w:rPr>
        <w:t xml:space="preserve">of the Companies Act 61 of 1973 to recover and realise all the assets of Evowood. </w:t>
      </w:r>
      <w:r>
        <w:rPr>
          <w:color w:val="000000" w:themeColor="text1"/>
          <w:shd w:val="clear" w:color="auto" w:fill="FFFFFF"/>
        </w:rPr>
        <w:t>However</w:t>
      </w:r>
      <w:r w:rsidR="003841C2">
        <w:rPr>
          <w:color w:val="000000" w:themeColor="text1"/>
          <w:shd w:val="clear" w:color="auto" w:fill="FFFFFF"/>
        </w:rPr>
        <w:t xml:space="preserve">, in light of the findings in </w:t>
      </w:r>
      <w:r w:rsidR="003841C2">
        <w:rPr>
          <w:i/>
          <w:color w:val="000000" w:themeColor="text1"/>
          <w:shd w:val="clear" w:color="auto" w:fill="FFFFFF"/>
        </w:rPr>
        <w:t>Nissan</w:t>
      </w:r>
      <w:r w:rsidR="00E03FB8">
        <w:rPr>
          <w:i/>
          <w:color w:val="000000" w:themeColor="text1"/>
          <w:shd w:val="clear" w:color="auto" w:fill="FFFFFF"/>
        </w:rPr>
        <w:t>,</w:t>
      </w:r>
      <w:r w:rsidR="003841C2">
        <w:rPr>
          <w:i/>
          <w:color w:val="000000" w:themeColor="text1"/>
          <w:shd w:val="clear" w:color="auto" w:fill="FFFFFF"/>
        </w:rPr>
        <w:t xml:space="preserve"> </w:t>
      </w:r>
      <w:r w:rsidR="003841C2">
        <w:rPr>
          <w:color w:val="000000" w:themeColor="text1"/>
          <w:shd w:val="clear" w:color="auto" w:fill="FFFFFF"/>
        </w:rPr>
        <w:t xml:space="preserve">ownership of the money erroneously paid </w:t>
      </w:r>
      <w:r w:rsidR="00AC2103">
        <w:rPr>
          <w:color w:val="000000" w:themeColor="text1"/>
          <w:shd w:val="clear" w:color="auto" w:fill="FFFFFF"/>
        </w:rPr>
        <w:t xml:space="preserve">to Evowood </w:t>
      </w:r>
      <w:r w:rsidR="003841C2">
        <w:rPr>
          <w:color w:val="000000" w:themeColor="text1"/>
          <w:shd w:val="clear" w:color="auto" w:fill="FFFFFF"/>
        </w:rPr>
        <w:t xml:space="preserve">did not pass to </w:t>
      </w:r>
      <w:r w:rsidR="00AC2103">
        <w:rPr>
          <w:color w:val="000000" w:themeColor="text1"/>
          <w:shd w:val="clear" w:color="auto" w:fill="FFFFFF"/>
        </w:rPr>
        <w:t xml:space="preserve">it </w:t>
      </w:r>
      <w:r w:rsidR="003841C2">
        <w:rPr>
          <w:color w:val="000000" w:themeColor="text1"/>
          <w:shd w:val="clear" w:color="auto" w:fill="FFFFFF"/>
        </w:rPr>
        <w:t xml:space="preserve">and the utilisation of the money constituted theft. The appellants ought to have realised that the money </w:t>
      </w:r>
      <w:r w:rsidR="002105F1">
        <w:rPr>
          <w:color w:val="000000" w:themeColor="text1"/>
          <w:shd w:val="clear" w:color="auto" w:fill="FFFFFF"/>
        </w:rPr>
        <w:t xml:space="preserve">belonged to the respondent, </w:t>
      </w:r>
      <w:r w:rsidR="00E03FB8">
        <w:rPr>
          <w:color w:val="000000" w:themeColor="text1"/>
          <w:shd w:val="clear" w:color="auto" w:fill="FFFFFF"/>
        </w:rPr>
        <w:t xml:space="preserve">and that it </w:t>
      </w:r>
      <w:r w:rsidR="003841C2">
        <w:rPr>
          <w:color w:val="000000" w:themeColor="text1"/>
          <w:shd w:val="clear" w:color="auto" w:fill="FFFFFF"/>
        </w:rPr>
        <w:t xml:space="preserve">could not form part of the assets of Evowood. Consequently, it could also not be distributed to the creditors of Evowood. A prudent liquidator would, in such </w:t>
      </w:r>
      <w:r w:rsidR="00E03FB8">
        <w:rPr>
          <w:color w:val="000000" w:themeColor="text1"/>
          <w:shd w:val="clear" w:color="auto" w:fill="FFFFFF"/>
        </w:rPr>
        <w:t xml:space="preserve">an </w:t>
      </w:r>
      <w:r w:rsidR="003841C2">
        <w:rPr>
          <w:color w:val="000000" w:themeColor="text1"/>
          <w:shd w:val="clear" w:color="auto" w:fill="FFFFFF"/>
        </w:rPr>
        <w:t xml:space="preserve">instance, have preserved the money </w:t>
      </w:r>
      <w:r w:rsidR="003841C2">
        <w:rPr>
          <w:color w:val="000000" w:themeColor="text1"/>
          <w:shd w:val="clear" w:color="auto" w:fill="FFFFFF"/>
        </w:rPr>
        <w:lastRenderedPageBreak/>
        <w:t xml:space="preserve">pending a court order. The appellants are in a precarious position, </w:t>
      </w:r>
      <w:r w:rsidR="00016BBD">
        <w:rPr>
          <w:color w:val="000000" w:themeColor="text1"/>
          <w:shd w:val="clear" w:color="auto" w:fill="FFFFFF"/>
        </w:rPr>
        <w:t>as should they use</w:t>
      </w:r>
      <w:r w:rsidR="003841C2">
        <w:rPr>
          <w:color w:val="000000" w:themeColor="text1"/>
          <w:shd w:val="clear" w:color="auto" w:fill="FFFFFF"/>
        </w:rPr>
        <w:t xml:space="preserve"> the money from the respondent (which in applying </w:t>
      </w:r>
      <w:r w:rsidR="003841C2">
        <w:rPr>
          <w:i/>
          <w:color w:val="000000" w:themeColor="text1"/>
          <w:shd w:val="clear" w:color="auto" w:fill="FFFFFF"/>
        </w:rPr>
        <w:t>Nissan</w:t>
      </w:r>
      <w:r w:rsidR="003841C2">
        <w:rPr>
          <w:color w:val="000000" w:themeColor="text1"/>
          <w:shd w:val="clear" w:color="auto" w:fill="FFFFFF"/>
        </w:rPr>
        <w:t xml:space="preserve"> would </w:t>
      </w:r>
      <w:r w:rsidR="00016BBD">
        <w:rPr>
          <w:color w:val="000000" w:themeColor="text1"/>
          <w:shd w:val="clear" w:color="auto" w:fill="FFFFFF"/>
        </w:rPr>
        <w:t>constitute</w:t>
      </w:r>
      <w:r w:rsidR="003841C2">
        <w:rPr>
          <w:color w:val="000000" w:themeColor="text1"/>
          <w:shd w:val="clear" w:color="auto" w:fill="FFFFFF"/>
        </w:rPr>
        <w:t xml:space="preserve"> stolen money)</w:t>
      </w:r>
      <w:r w:rsidR="00E03FB8">
        <w:rPr>
          <w:color w:val="000000" w:themeColor="text1"/>
          <w:shd w:val="clear" w:color="auto" w:fill="FFFFFF"/>
        </w:rPr>
        <w:t>,</w:t>
      </w:r>
      <w:r w:rsidR="003841C2">
        <w:rPr>
          <w:color w:val="000000" w:themeColor="text1"/>
          <w:shd w:val="clear" w:color="auto" w:fill="FFFFFF"/>
        </w:rPr>
        <w:t xml:space="preserve"> to pay creditors</w:t>
      </w:r>
      <w:r w:rsidR="00E03FB8">
        <w:rPr>
          <w:color w:val="000000" w:themeColor="text1"/>
          <w:shd w:val="clear" w:color="auto" w:fill="FFFFFF"/>
        </w:rPr>
        <w:t>,</w:t>
      </w:r>
      <w:r w:rsidR="003841C2">
        <w:rPr>
          <w:color w:val="000000" w:themeColor="text1"/>
          <w:shd w:val="clear" w:color="auto" w:fill="FFFFFF"/>
        </w:rPr>
        <w:t xml:space="preserve"> </w:t>
      </w:r>
      <w:r w:rsidR="00016BBD">
        <w:rPr>
          <w:color w:val="000000" w:themeColor="text1"/>
          <w:shd w:val="clear" w:color="auto" w:fill="FFFFFF"/>
        </w:rPr>
        <w:t xml:space="preserve">it </w:t>
      </w:r>
      <w:r w:rsidR="003841C2">
        <w:rPr>
          <w:color w:val="000000" w:themeColor="text1"/>
          <w:shd w:val="clear" w:color="auto" w:fill="FFFFFF"/>
        </w:rPr>
        <w:t xml:space="preserve">could possibly be argued that the appellants </w:t>
      </w:r>
      <w:r w:rsidR="00016BBD">
        <w:rPr>
          <w:color w:val="000000" w:themeColor="text1"/>
          <w:shd w:val="clear" w:color="auto" w:fill="FFFFFF"/>
        </w:rPr>
        <w:t xml:space="preserve">might </w:t>
      </w:r>
      <w:r w:rsidR="003841C2">
        <w:rPr>
          <w:color w:val="000000" w:themeColor="text1"/>
          <w:shd w:val="clear" w:color="auto" w:fill="FFFFFF"/>
        </w:rPr>
        <w:t xml:space="preserve">be complicit in committing a criminal offence like </w:t>
      </w:r>
      <w:r w:rsidR="002105F1">
        <w:rPr>
          <w:color w:val="000000" w:themeColor="text1"/>
          <w:shd w:val="clear" w:color="auto" w:fill="FFFFFF"/>
        </w:rPr>
        <w:t xml:space="preserve">being in </w:t>
      </w:r>
      <w:r w:rsidR="003841C2">
        <w:rPr>
          <w:color w:val="000000" w:themeColor="text1"/>
          <w:shd w:val="clear" w:color="auto" w:fill="FFFFFF"/>
        </w:rPr>
        <w:t>receipt of stolen property.</w:t>
      </w:r>
      <w:r w:rsidR="003841C2">
        <w:rPr>
          <w:rStyle w:val="FootnoteReference"/>
          <w:color w:val="000000" w:themeColor="text1"/>
          <w:shd w:val="clear" w:color="auto" w:fill="FFFFFF"/>
        </w:rPr>
        <w:footnoteReference w:id="24"/>
      </w:r>
    </w:p>
    <w:p w14:paraId="1E64C71B" w14:textId="77777777" w:rsidR="00016BBD" w:rsidRDefault="00016BBD" w:rsidP="00110FCD">
      <w:pPr>
        <w:spacing w:after="0" w:line="360" w:lineRule="auto"/>
        <w:jc w:val="both"/>
        <w:rPr>
          <w:color w:val="000000" w:themeColor="text1"/>
          <w:shd w:val="clear" w:color="auto" w:fill="FFFFFF"/>
        </w:rPr>
      </w:pPr>
    </w:p>
    <w:p w14:paraId="2F595F23" w14:textId="5FF2605B" w:rsidR="00660DA9" w:rsidRPr="00110FCD" w:rsidRDefault="00660DA9" w:rsidP="003C58DD">
      <w:pPr>
        <w:spacing w:after="0" w:line="360" w:lineRule="auto"/>
        <w:jc w:val="both"/>
        <w:rPr>
          <w:color w:val="000000" w:themeColor="text1"/>
          <w:shd w:val="clear" w:color="auto" w:fill="FFFFFF"/>
        </w:rPr>
      </w:pPr>
      <w:r w:rsidRPr="00110FCD">
        <w:rPr>
          <w:color w:val="000000" w:themeColor="text1"/>
          <w:shd w:val="clear" w:color="auto" w:fill="FFFFFF"/>
        </w:rPr>
        <w:t>[</w:t>
      </w:r>
      <w:r w:rsidR="00381AC3">
        <w:rPr>
          <w:color w:val="000000" w:themeColor="text1"/>
          <w:shd w:val="clear" w:color="auto" w:fill="FFFFFF"/>
        </w:rPr>
        <w:t>2</w:t>
      </w:r>
      <w:r w:rsidR="007C6AE9">
        <w:rPr>
          <w:color w:val="000000" w:themeColor="text1"/>
          <w:shd w:val="clear" w:color="auto" w:fill="FFFFFF"/>
        </w:rPr>
        <w:t>3</w:t>
      </w:r>
      <w:r w:rsidRPr="00110FCD">
        <w:rPr>
          <w:color w:val="000000" w:themeColor="text1"/>
          <w:shd w:val="clear" w:color="auto" w:fill="FFFFFF"/>
        </w:rPr>
        <w:t>]</w:t>
      </w:r>
      <w:r w:rsidRPr="00110FCD">
        <w:rPr>
          <w:color w:val="000000" w:themeColor="text1"/>
          <w:shd w:val="clear" w:color="auto" w:fill="FFFFFF"/>
        </w:rPr>
        <w:tab/>
        <w:t xml:space="preserve">Counsel for the appellants submitted that </w:t>
      </w:r>
      <w:r w:rsidRPr="00110FCD">
        <w:rPr>
          <w:i/>
          <w:color w:val="000000" w:themeColor="text1"/>
          <w:shd w:val="clear" w:color="auto" w:fill="FFFFFF"/>
        </w:rPr>
        <w:t>Nissan</w:t>
      </w:r>
      <w:r w:rsidRPr="00110FCD">
        <w:rPr>
          <w:color w:val="000000" w:themeColor="text1"/>
          <w:shd w:val="clear" w:color="auto" w:fill="FFFFFF"/>
        </w:rPr>
        <w:t xml:space="preserve"> is distinguishable from the present matter. I disagree. </w:t>
      </w:r>
      <w:r w:rsidR="007D09DC">
        <w:rPr>
          <w:color w:val="000000" w:themeColor="text1"/>
          <w:shd w:val="clear" w:color="auto" w:fill="FFFFFF"/>
        </w:rPr>
        <w:t xml:space="preserve">Counsel argued that </w:t>
      </w:r>
      <w:r w:rsidR="007D09DC">
        <w:rPr>
          <w:i/>
          <w:color w:val="000000" w:themeColor="text1"/>
          <w:shd w:val="clear" w:color="auto" w:fill="FFFFFF"/>
        </w:rPr>
        <w:t xml:space="preserve">Nissan </w:t>
      </w:r>
      <w:r w:rsidR="007D09DC">
        <w:rPr>
          <w:color w:val="000000" w:themeColor="text1"/>
          <w:shd w:val="clear" w:color="auto" w:fill="FFFFFF"/>
        </w:rPr>
        <w:t>should be distinguish</w:t>
      </w:r>
      <w:r w:rsidR="003C58DD">
        <w:rPr>
          <w:color w:val="000000" w:themeColor="text1"/>
          <w:shd w:val="clear" w:color="auto" w:fill="FFFFFF"/>
        </w:rPr>
        <w:t>ed</w:t>
      </w:r>
      <w:r w:rsidR="007D09DC">
        <w:rPr>
          <w:color w:val="000000" w:themeColor="text1"/>
          <w:shd w:val="clear" w:color="auto" w:fill="FFFFFF"/>
        </w:rPr>
        <w:t xml:space="preserve"> because in </w:t>
      </w:r>
      <w:r w:rsidR="007D09DC">
        <w:rPr>
          <w:i/>
          <w:color w:val="000000" w:themeColor="text1"/>
          <w:shd w:val="clear" w:color="auto" w:fill="FFFFFF"/>
        </w:rPr>
        <w:t xml:space="preserve">Nissan </w:t>
      </w:r>
      <w:r w:rsidR="007D09DC">
        <w:rPr>
          <w:color w:val="000000" w:themeColor="text1"/>
          <w:shd w:val="clear" w:color="auto" w:fill="FFFFFF"/>
        </w:rPr>
        <w:t xml:space="preserve">a preservation order was obtained. Whilst it is correct that the respondent did not apply for a preservation </w:t>
      </w:r>
      <w:r w:rsidR="00D16B7B">
        <w:rPr>
          <w:color w:val="000000" w:themeColor="text1"/>
          <w:shd w:val="clear" w:color="auto" w:fill="FFFFFF"/>
        </w:rPr>
        <w:t>order,</w:t>
      </w:r>
      <w:r w:rsidR="007D09DC">
        <w:rPr>
          <w:color w:val="000000" w:themeColor="text1"/>
          <w:shd w:val="clear" w:color="auto" w:fill="FFFFFF"/>
        </w:rPr>
        <w:t xml:space="preserve"> the failure to do so will have to be considered against the following facts: Evowood</w:t>
      </w:r>
      <w:r w:rsidR="00BF581C">
        <w:rPr>
          <w:color w:val="000000" w:themeColor="text1"/>
          <w:shd w:val="clear" w:color="auto" w:fill="FFFFFF"/>
        </w:rPr>
        <w:t>,</w:t>
      </w:r>
      <w:r w:rsidR="007D09DC">
        <w:rPr>
          <w:color w:val="000000" w:themeColor="text1"/>
          <w:shd w:val="clear" w:color="auto" w:fill="FFFFFF"/>
        </w:rPr>
        <w:t xml:space="preserve"> by requesting the</w:t>
      </w:r>
      <w:r w:rsidR="00D16B7B">
        <w:rPr>
          <w:color w:val="000000" w:themeColor="text1"/>
          <w:shd w:val="clear" w:color="auto" w:fill="FFFFFF"/>
        </w:rPr>
        <w:t xml:space="preserve"> respondent to complete the bank indemnity form</w:t>
      </w:r>
      <w:r w:rsidR="00BF581C">
        <w:rPr>
          <w:color w:val="000000" w:themeColor="text1"/>
          <w:shd w:val="clear" w:color="auto" w:fill="FFFFFF"/>
        </w:rPr>
        <w:t>,</w:t>
      </w:r>
      <w:r w:rsidR="00D16B7B">
        <w:rPr>
          <w:color w:val="000000" w:themeColor="text1"/>
          <w:shd w:val="clear" w:color="auto" w:fill="FFFFFF"/>
        </w:rPr>
        <w:t xml:space="preserve"> implicitly undertook to repay the funds. It was never disputed that such funds were owed to the respondent. Ex facie the record</w:t>
      </w:r>
      <w:r w:rsidR="00BF581C">
        <w:rPr>
          <w:color w:val="000000" w:themeColor="text1"/>
          <w:shd w:val="clear" w:color="auto" w:fill="FFFFFF"/>
        </w:rPr>
        <w:t>,</w:t>
      </w:r>
      <w:r w:rsidR="00D16B7B">
        <w:rPr>
          <w:color w:val="000000" w:themeColor="text1"/>
          <w:shd w:val="clear" w:color="auto" w:fill="FFFFFF"/>
        </w:rPr>
        <w:t xml:space="preserve"> there was no reason to doubt the bona fides of Evowood. There was no need to bring a preservation order in circumstances where there was an undertaking</w:t>
      </w:r>
      <w:r w:rsidR="00BF581C">
        <w:rPr>
          <w:color w:val="000000" w:themeColor="text1"/>
          <w:shd w:val="clear" w:color="auto" w:fill="FFFFFF"/>
        </w:rPr>
        <w:t>,</w:t>
      </w:r>
      <w:r w:rsidR="00D16B7B">
        <w:rPr>
          <w:color w:val="000000" w:themeColor="text1"/>
          <w:shd w:val="clear" w:color="auto" w:fill="FFFFFF"/>
        </w:rPr>
        <w:t xml:space="preserve"> </w:t>
      </w:r>
      <w:r w:rsidR="00BF581C">
        <w:rPr>
          <w:color w:val="000000" w:themeColor="text1"/>
          <w:shd w:val="clear" w:color="auto" w:fill="FFFFFF"/>
        </w:rPr>
        <w:t xml:space="preserve">albeit </w:t>
      </w:r>
      <w:r w:rsidR="00787131">
        <w:rPr>
          <w:color w:val="000000" w:themeColor="text1"/>
          <w:shd w:val="clear" w:color="auto" w:fill="FFFFFF"/>
        </w:rPr>
        <w:t>implied</w:t>
      </w:r>
      <w:r w:rsidR="00BF581C">
        <w:rPr>
          <w:color w:val="000000" w:themeColor="text1"/>
          <w:shd w:val="clear" w:color="auto" w:fill="FFFFFF"/>
        </w:rPr>
        <w:t>,</w:t>
      </w:r>
      <w:r w:rsidR="00787131">
        <w:rPr>
          <w:color w:val="000000" w:themeColor="text1"/>
          <w:shd w:val="clear" w:color="auto" w:fill="FFFFFF"/>
        </w:rPr>
        <w:t xml:space="preserve"> </w:t>
      </w:r>
      <w:r w:rsidR="00D16B7B">
        <w:rPr>
          <w:color w:val="000000" w:themeColor="text1"/>
          <w:shd w:val="clear" w:color="auto" w:fill="FFFFFF"/>
        </w:rPr>
        <w:t xml:space="preserve">to pay. Furthermore, the presence or absence of a preservation order does not change the ratio </w:t>
      </w:r>
      <w:r w:rsidR="00CD1FF6">
        <w:rPr>
          <w:color w:val="000000" w:themeColor="text1"/>
          <w:shd w:val="clear" w:color="auto" w:fill="FFFFFF"/>
        </w:rPr>
        <w:t xml:space="preserve">in </w:t>
      </w:r>
      <w:r w:rsidR="00CD1FF6">
        <w:rPr>
          <w:i/>
          <w:color w:val="000000" w:themeColor="text1"/>
          <w:shd w:val="clear" w:color="auto" w:fill="FFFFFF"/>
        </w:rPr>
        <w:t>Nissan</w:t>
      </w:r>
      <w:r w:rsidR="00D16B7B">
        <w:rPr>
          <w:i/>
          <w:color w:val="000000" w:themeColor="text1"/>
          <w:shd w:val="clear" w:color="auto" w:fill="FFFFFF"/>
        </w:rPr>
        <w:t xml:space="preserve"> </w:t>
      </w:r>
      <w:r w:rsidR="00D16B7B">
        <w:rPr>
          <w:color w:val="000000" w:themeColor="text1"/>
          <w:shd w:val="clear" w:color="auto" w:fill="FFFFFF"/>
        </w:rPr>
        <w:t>that the utilisation of funds erroneously transferred</w:t>
      </w:r>
      <w:r w:rsidR="00BF581C">
        <w:rPr>
          <w:color w:val="000000" w:themeColor="text1"/>
          <w:shd w:val="clear" w:color="auto" w:fill="FFFFFF"/>
        </w:rPr>
        <w:t>,</w:t>
      </w:r>
      <w:r w:rsidR="00D16B7B">
        <w:rPr>
          <w:color w:val="000000" w:themeColor="text1"/>
          <w:shd w:val="clear" w:color="auto" w:fill="FFFFFF"/>
        </w:rPr>
        <w:t xml:space="preserve"> whilst knowing that these funds were erroneously transferred, constituted theft.</w:t>
      </w:r>
      <w:r w:rsidR="007D09DC">
        <w:rPr>
          <w:color w:val="000000" w:themeColor="text1"/>
          <w:shd w:val="clear" w:color="auto" w:fill="FFFFFF"/>
        </w:rPr>
        <w:t xml:space="preserve"> </w:t>
      </w:r>
      <w:r w:rsidRPr="00110FCD">
        <w:rPr>
          <w:color w:val="000000" w:themeColor="text1"/>
          <w:shd w:val="clear" w:color="auto" w:fill="FFFFFF"/>
        </w:rPr>
        <w:t xml:space="preserve">Counsel’s reliance on </w:t>
      </w:r>
      <w:r w:rsidRPr="00110FCD">
        <w:rPr>
          <w:i/>
          <w:color w:val="000000" w:themeColor="text1"/>
          <w:shd w:val="clear" w:color="auto" w:fill="FFFFFF"/>
        </w:rPr>
        <w:t xml:space="preserve">Trustees, Estate Whitehead v Dumas and </w:t>
      </w:r>
      <w:r w:rsidR="00900003" w:rsidRPr="00110FCD">
        <w:rPr>
          <w:i/>
          <w:color w:val="000000" w:themeColor="text1"/>
          <w:shd w:val="clear" w:color="auto" w:fill="FFFFFF"/>
        </w:rPr>
        <w:t>another</w:t>
      </w:r>
      <w:r w:rsidRPr="00110FCD">
        <w:rPr>
          <w:rStyle w:val="FootnoteReference"/>
          <w:rFonts w:cs="Arial"/>
          <w:i/>
          <w:color w:val="000000" w:themeColor="text1"/>
          <w:shd w:val="clear" w:color="auto" w:fill="FFFFFF"/>
        </w:rPr>
        <w:footnoteReference w:id="25"/>
      </w:r>
      <w:r w:rsidRPr="00110FCD">
        <w:rPr>
          <w:color w:val="000000" w:themeColor="text1"/>
          <w:shd w:val="clear" w:color="auto" w:fill="FFFFFF"/>
        </w:rPr>
        <w:t xml:space="preserve"> is also misplaced. </w:t>
      </w:r>
      <w:r w:rsidRPr="00110FCD">
        <w:rPr>
          <w:i/>
          <w:color w:val="000000" w:themeColor="text1"/>
          <w:shd w:val="clear" w:color="auto" w:fill="FFFFFF"/>
        </w:rPr>
        <w:t>Whitehead</w:t>
      </w:r>
      <w:r w:rsidRPr="00110FCD">
        <w:rPr>
          <w:color w:val="000000" w:themeColor="text1"/>
          <w:shd w:val="clear" w:color="auto" w:fill="FFFFFF"/>
        </w:rPr>
        <w:t xml:space="preserve"> is distinguishable since </w:t>
      </w:r>
      <w:r w:rsidR="00A83AAF" w:rsidRPr="00110FCD">
        <w:rPr>
          <w:color w:val="000000" w:themeColor="text1"/>
          <w:shd w:val="clear" w:color="auto" w:fill="FFFFFF"/>
        </w:rPr>
        <w:t xml:space="preserve">the </w:t>
      </w:r>
      <w:r w:rsidRPr="00110FCD">
        <w:rPr>
          <w:color w:val="000000" w:themeColor="text1"/>
          <w:shd w:val="clear" w:color="auto" w:fill="FFFFFF"/>
        </w:rPr>
        <w:t xml:space="preserve">money </w:t>
      </w:r>
      <w:r w:rsidR="00177480">
        <w:rPr>
          <w:color w:val="000000" w:themeColor="text1"/>
          <w:shd w:val="clear" w:color="auto" w:fill="FFFFFF"/>
        </w:rPr>
        <w:t xml:space="preserve">in </w:t>
      </w:r>
      <w:r w:rsidR="00177480">
        <w:rPr>
          <w:i/>
          <w:color w:val="000000" w:themeColor="text1"/>
          <w:shd w:val="clear" w:color="auto" w:fill="FFFFFF"/>
        </w:rPr>
        <w:t xml:space="preserve">Whitehead </w:t>
      </w:r>
      <w:r w:rsidRPr="00110FCD">
        <w:rPr>
          <w:color w:val="000000" w:themeColor="text1"/>
          <w:shd w:val="clear" w:color="auto" w:fill="FFFFFF"/>
        </w:rPr>
        <w:t>was transferred pursuant to an agreement induced by misrepresentation</w:t>
      </w:r>
      <w:r w:rsidRPr="00110FCD">
        <w:rPr>
          <w:i/>
          <w:color w:val="000000" w:themeColor="text1"/>
          <w:shd w:val="clear" w:color="auto" w:fill="FFFFFF"/>
        </w:rPr>
        <w:t>.</w:t>
      </w:r>
      <w:r w:rsidRPr="00110FCD">
        <w:rPr>
          <w:color w:val="000000" w:themeColor="text1"/>
          <w:shd w:val="clear" w:color="auto" w:fill="FFFFFF"/>
        </w:rPr>
        <w:t xml:space="preserve"> </w:t>
      </w:r>
    </w:p>
    <w:p w14:paraId="12A38F0B" w14:textId="77777777" w:rsidR="00505D63" w:rsidRPr="00110FCD" w:rsidRDefault="00505D63" w:rsidP="00110FCD">
      <w:pPr>
        <w:shd w:val="clear" w:color="auto" w:fill="FFFFFF"/>
        <w:spacing w:after="0" w:line="360" w:lineRule="auto"/>
        <w:contextualSpacing/>
        <w:jc w:val="both"/>
        <w:rPr>
          <w:color w:val="000000" w:themeColor="text1"/>
        </w:rPr>
      </w:pPr>
    </w:p>
    <w:p w14:paraId="27B35DDB" w14:textId="0F71F64A" w:rsidR="008254C6" w:rsidRDefault="00464A99" w:rsidP="00110FCD">
      <w:pPr>
        <w:spacing w:after="0" w:line="360" w:lineRule="auto"/>
        <w:jc w:val="both"/>
        <w:rPr>
          <w:color w:val="000000" w:themeColor="text1"/>
        </w:rPr>
      </w:pPr>
      <w:r w:rsidRPr="00110FCD">
        <w:rPr>
          <w:color w:val="000000" w:themeColor="text1"/>
        </w:rPr>
        <w:t>[</w:t>
      </w:r>
      <w:r w:rsidR="00381AC3">
        <w:rPr>
          <w:color w:val="000000" w:themeColor="text1"/>
        </w:rPr>
        <w:t>2</w:t>
      </w:r>
      <w:r w:rsidR="007C6AE9">
        <w:rPr>
          <w:color w:val="000000" w:themeColor="text1"/>
        </w:rPr>
        <w:t>4</w:t>
      </w:r>
      <w:r w:rsidRPr="00110FCD">
        <w:rPr>
          <w:color w:val="000000" w:themeColor="text1"/>
        </w:rPr>
        <w:t>]</w:t>
      </w:r>
      <w:r w:rsidRPr="00110FCD">
        <w:rPr>
          <w:color w:val="000000" w:themeColor="text1"/>
        </w:rPr>
        <w:tab/>
        <w:t>The court a quo</w:t>
      </w:r>
      <w:r w:rsidR="00B4241E" w:rsidRPr="00110FCD">
        <w:rPr>
          <w:color w:val="000000" w:themeColor="text1"/>
        </w:rPr>
        <w:t>,</w:t>
      </w:r>
      <w:r w:rsidRPr="00110FCD">
        <w:rPr>
          <w:color w:val="000000" w:themeColor="text1"/>
        </w:rPr>
        <w:t xml:space="preserve"> quite correctly in my view</w:t>
      </w:r>
      <w:r w:rsidR="00B4241E" w:rsidRPr="00110FCD">
        <w:rPr>
          <w:color w:val="000000" w:themeColor="text1"/>
        </w:rPr>
        <w:t>,</w:t>
      </w:r>
      <w:r w:rsidRPr="00110FCD">
        <w:rPr>
          <w:color w:val="000000" w:themeColor="text1"/>
        </w:rPr>
        <w:t xml:space="preserve"> held that Evowood was aware of the fact that it had been unjustifiably enriched and had a duty to preserve the </w:t>
      </w:r>
      <w:r w:rsidR="00B4241E" w:rsidRPr="00110FCD">
        <w:rPr>
          <w:color w:val="000000" w:themeColor="text1"/>
        </w:rPr>
        <w:t>money</w:t>
      </w:r>
      <w:r w:rsidRPr="00110FCD">
        <w:rPr>
          <w:color w:val="000000" w:themeColor="text1"/>
        </w:rPr>
        <w:t xml:space="preserve"> </w:t>
      </w:r>
      <w:r w:rsidR="00660DA9" w:rsidRPr="00110FCD">
        <w:rPr>
          <w:color w:val="000000" w:themeColor="text1"/>
        </w:rPr>
        <w:t>that</w:t>
      </w:r>
      <w:r w:rsidR="00B5193D" w:rsidRPr="00110FCD">
        <w:rPr>
          <w:color w:val="000000" w:themeColor="text1"/>
        </w:rPr>
        <w:t xml:space="preserve"> </w:t>
      </w:r>
      <w:r w:rsidR="00A83AAF" w:rsidRPr="00110FCD">
        <w:rPr>
          <w:color w:val="000000" w:themeColor="text1"/>
        </w:rPr>
        <w:t xml:space="preserve">did </w:t>
      </w:r>
      <w:r w:rsidR="00B5193D" w:rsidRPr="00110FCD">
        <w:rPr>
          <w:color w:val="000000" w:themeColor="text1"/>
        </w:rPr>
        <w:t xml:space="preserve">not belong to </w:t>
      </w:r>
      <w:r w:rsidRPr="00110FCD">
        <w:rPr>
          <w:color w:val="000000" w:themeColor="text1"/>
        </w:rPr>
        <w:t xml:space="preserve">it. </w:t>
      </w:r>
      <w:r w:rsidR="00B4241E" w:rsidRPr="00110FCD">
        <w:rPr>
          <w:color w:val="000000" w:themeColor="text1"/>
        </w:rPr>
        <w:t xml:space="preserve">It </w:t>
      </w:r>
      <w:r w:rsidR="00B5193D" w:rsidRPr="00110FCD">
        <w:rPr>
          <w:color w:val="000000" w:themeColor="text1"/>
        </w:rPr>
        <w:t xml:space="preserve">held that </w:t>
      </w:r>
      <w:r w:rsidR="00B4241E" w:rsidRPr="00110FCD">
        <w:rPr>
          <w:color w:val="000000" w:themeColor="text1"/>
        </w:rPr>
        <w:t xml:space="preserve">in a situation </w:t>
      </w:r>
      <w:r w:rsidR="00660DA9" w:rsidRPr="00110FCD">
        <w:rPr>
          <w:color w:val="000000" w:themeColor="text1"/>
        </w:rPr>
        <w:t xml:space="preserve">as </w:t>
      </w:r>
      <w:r w:rsidR="00452F74">
        <w:rPr>
          <w:color w:val="000000" w:themeColor="text1"/>
        </w:rPr>
        <w:t xml:space="preserve">in </w:t>
      </w:r>
      <w:r w:rsidR="00660DA9" w:rsidRPr="00110FCD">
        <w:rPr>
          <w:color w:val="000000" w:themeColor="text1"/>
        </w:rPr>
        <w:t>the present matter</w:t>
      </w:r>
      <w:r w:rsidR="00452F74">
        <w:rPr>
          <w:color w:val="000000" w:themeColor="text1"/>
        </w:rPr>
        <w:t>,</w:t>
      </w:r>
      <w:r w:rsidR="00660DA9" w:rsidRPr="00110FCD">
        <w:rPr>
          <w:color w:val="000000" w:themeColor="text1"/>
        </w:rPr>
        <w:t xml:space="preserve"> it was necessary to </w:t>
      </w:r>
      <w:r w:rsidR="00B4241E" w:rsidRPr="00110FCD">
        <w:rPr>
          <w:color w:val="000000" w:themeColor="text1"/>
        </w:rPr>
        <w:t xml:space="preserve">determine what would be just and equitable </w:t>
      </w:r>
      <w:r w:rsidR="00660DA9" w:rsidRPr="00110FCD">
        <w:rPr>
          <w:color w:val="000000" w:themeColor="text1"/>
        </w:rPr>
        <w:t>given</w:t>
      </w:r>
      <w:r w:rsidR="00B4241E" w:rsidRPr="00110FCD">
        <w:rPr>
          <w:color w:val="000000" w:themeColor="text1"/>
        </w:rPr>
        <w:t xml:space="preserve"> the circumstances </w:t>
      </w:r>
      <w:r w:rsidR="00A24B01" w:rsidRPr="00110FCD">
        <w:rPr>
          <w:color w:val="000000" w:themeColor="text1"/>
        </w:rPr>
        <w:t>so as to</w:t>
      </w:r>
      <w:r w:rsidR="00B4241E" w:rsidRPr="00110FCD">
        <w:rPr>
          <w:color w:val="000000" w:themeColor="text1"/>
        </w:rPr>
        <w:t xml:space="preserve"> ensure that there is corrective justice and to restore the position that existed prior to the enrichment taking place</w:t>
      </w:r>
      <w:r w:rsidR="00ED3A2B" w:rsidRPr="00110FCD">
        <w:rPr>
          <w:color w:val="000000" w:themeColor="text1"/>
        </w:rPr>
        <w:t>. The</w:t>
      </w:r>
      <w:r w:rsidR="00B4241E" w:rsidRPr="00110FCD">
        <w:rPr>
          <w:color w:val="000000" w:themeColor="text1"/>
        </w:rPr>
        <w:t xml:space="preserve"> </w:t>
      </w:r>
      <w:r w:rsidR="0070540C" w:rsidRPr="00110FCD">
        <w:rPr>
          <w:color w:val="000000" w:themeColor="text1"/>
        </w:rPr>
        <w:t>only</w:t>
      </w:r>
      <w:r w:rsidR="00B4241E" w:rsidRPr="00110FCD">
        <w:rPr>
          <w:color w:val="000000" w:themeColor="text1"/>
        </w:rPr>
        <w:t xml:space="preserve"> way it c</w:t>
      </w:r>
      <w:r w:rsidR="00ED3A2B" w:rsidRPr="00110FCD">
        <w:rPr>
          <w:color w:val="000000" w:themeColor="text1"/>
        </w:rPr>
        <w:t>ould</w:t>
      </w:r>
      <w:r w:rsidR="00B4241E" w:rsidRPr="00110FCD">
        <w:rPr>
          <w:color w:val="000000" w:themeColor="text1"/>
        </w:rPr>
        <w:t xml:space="preserve"> </w:t>
      </w:r>
      <w:r w:rsidR="00660DA9" w:rsidRPr="00110FCD">
        <w:rPr>
          <w:color w:val="000000" w:themeColor="text1"/>
        </w:rPr>
        <w:t xml:space="preserve">have been </w:t>
      </w:r>
      <w:r w:rsidR="00A24B01" w:rsidRPr="00110FCD">
        <w:rPr>
          <w:color w:val="000000" w:themeColor="text1"/>
        </w:rPr>
        <w:t xml:space="preserve">done </w:t>
      </w:r>
      <w:r w:rsidR="00ED3A2B" w:rsidRPr="00110FCD">
        <w:rPr>
          <w:color w:val="000000" w:themeColor="text1"/>
        </w:rPr>
        <w:t>wa</w:t>
      </w:r>
      <w:r w:rsidR="00A24B01" w:rsidRPr="00110FCD">
        <w:rPr>
          <w:color w:val="000000" w:themeColor="text1"/>
        </w:rPr>
        <w:t>s to repay the money to the</w:t>
      </w:r>
      <w:r w:rsidR="00660DA9" w:rsidRPr="00110FCD">
        <w:rPr>
          <w:color w:val="000000" w:themeColor="text1"/>
        </w:rPr>
        <w:t xml:space="preserve"> rightful </w:t>
      </w:r>
      <w:r w:rsidR="00A24B01" w:rsidRPr="00110FCD">
        <w:rPr>
          <w:color w:val="000000" w:themeColor="text1"/>
        </w:rPr>
        <w:t>owner, which is the respondent.</w:t>
      </w:r>
      <w:r w:rsidR="00A24B01" w:rsidRPr="00110FCD">
        <w:rPr>
          <w:rStyle w:val="FootnoteReference"/>
          <w:rFonts w:cs="Arial"/>
          <w:color w:val="000000" w:themeColor="text1"/>
        </w:rPr>
        <w:footnoteReference w:id="26"/>
      </w:r>
    </w:p>
    <w:p w14:paraId="22022E5B" w14:textId="77777777" w:rsidR="00016BBD" w:rsidRPr="00110FCD" w:rsidRDefault="00016BBD" w:rsidP="00110FCD">
      <w:pPr>
        <w:spacing w:after="0" w:line="360" w:lineRule="auto"/>
        <w:jc w:val="both"/>
        <w:rPr>
          <w:color w:val="000000" w:themeColor="text1"/>
        </w:rPr>
      </w:pPr>
    </w:p>
    <w:p w14:paraId="272471A1" w14:textId="77777777" w:rsidR="00953A1B" w:rsidRPr="00110FCD" w:rsidRDefault="00953A1B" w:rsidP="00110FCD">
      <w:pPr>
        <w:spacing w:after="0" w:line="360" w:lineRule="auto"/>
        <w:jc w:val="both"/>
        <w:rPr>
          <w:color w:val="000000" w:themeColor="text1"/>
        </w:rPr>
      </w:pPr>
      <w:r w:rsidRPr="00110FCD">
        <w:rPr>
          <w:color w:val="000000" w:themeColor="text1"/>
        </w:rPr>
        <w:lastRenderedPageBreak/>
        <w:t>[</w:t>
      </w:r>
      <w:r w:rsidR="00FE729F" w:rsidRPr="00110FCD">
        <w:rPr>
          <w:color w:val="000000" w:themeColor="text1"/>
        </w:rPr>
        <w:t>2</w:t>
      </w:r>
      <w:r w:rsidR="007C6AE9">
        <w:rPr>
          <w:color w:val="000000" w:themeColor="text1"/>
        </w:rPr>
        <w:t>5</w:t>
      </w:r>
      <w:r w:rsidRPr="00110FCD">
        <w:rPr>
          <w:color w:val="000000" w:themeColor="text1"/>
        </w:rPr>
        <w:t>]</w:t>
      </w:r>
      <w:r w:rsidRPr="00110FCD">
        <w:rPr>
          <w:color w:val="000000" w:themeColor="text1"/>
        </w:rPr>
        <w:tab/>
        <w:t xml:space="preserve">In circumstances where the money was mistakenly paid to Evowood and where </w:t>
      </w:r>
      <w:r w:rsidR="007340CB" w:rsidRPr="00110FCD">
        <w:rPr>
          <w:color w:val="000000" w:themeColor="text1"/>
        </w:rPr>
        <w:t>Evowood was made aware of the fact, the ownership of the money did not pass to Evowood</w:t>
      </w:r>
      <w:r w:rsidR="000009F0">
        <w:rPr>
          <w:color w:val="000000" w:themeColor="text1"/>
        </w:rPr>
        <w:t>,</w:t>
      </w:r>
      <w:r w:rsidR="007340CB" w:rsidRPr="00110FCD">
        <w:rPr>
          <w:color w:val="000000" w:themeColor="text1"/>
        </w:rPr>
        <w:t xml:space="preserve"> and Evowood was not entitled </w:t>
      </w:r>
      <w:r w:rsidR="00EA0510" w:rsidRPr="00110FCD">
        <w:rPr>
          <w:color w:val="000000" w:themeColor="text1"/>
        </w:rPr>
        <w:t xml:space="preserve">to </w:t>
      </w:r>
      <w:r w:rsidR="00201055" w:rsidRPr="00110FCD">
        <w:rPr>
          <w:color w:val="000000" w:themeColor="text1"/>
        </w:rPr>
        <w:t xml:space="preserve">appropriate the money. </w:t>
      </w:r>
      <w:r w:rsidR="0086585C">
        <w:rPr>
          <w:color w:val="000000" w:themeColor="text1"/>
        </w:rPr>
        <w:t>Accordingly,</w:t>
      </w:r>
      <w:r w:rsidR="0086585C" w:rsidRPr="00110FCD">
        <w:rPr>
          <w:color w:val="000000" w:themeColor="text1"/>
        </w:rPr>
        <w:t xml:space="preserve"> </w:t>
      </w:r>
      <w:r w:rsidR="00201055" w:rsidRPr="00110FCD">
        <w:rPr>
          <w:color w:val="000000" w:themeColor="text1"/>
        </w:rPr>
        <w:t xml:space="preserve">the court a quo was not misdirected </w:t>
      </w:r>
      <w:r w:rsidR="00A83AAF" w:rsidRPr="00110FCD">
        <w:rPr>
          <w:color w:val="000000" w:themeColor="text1"/>
        </w:rPr>
        <w:t>in its finding</w:t>
      </w:r>
      <w:r w:rsidR="00201055" w:rsidRPr="00110FCD">
        <w:rPr>
          <w:color w:val="000000" w:themeColor="text1"/>
        </w:rPr>
        <w:t xml:space="preserve"> that Evowood should not have used the money.</w:t>
      </w:r>
    </w:p>
    <w:p w14:paraId="3C27E383" w14:textId="77777777" w:rsidR="0095399C" w:rsidRPr="00110FCD" w:rsidRDefault="0095399C" w:rsidP="00110FCD">
      <w:pPr>
        <w:spacing w:after="0" w:line="360" w:lineRule="auto"/>
        <w:contextualSpacing/>
        <w:jc w:val="both"/>
        <w:rPr>
          <w:color w:val="000000" w:themeColor="text1"/>
        </w:rPr>
      </w:pPr>
    </w:p>
    <w:p w14:paraId="614FF101" w14:textId="35D83985" w:rsidR="000B2E72" w:rsidRPr="00110FCD" w:rsidRDefault="000B2E72" w:rsidP="00110FCD">
      <w:pPr>
        <w:spacing w:after="0" w:line="360" w:lineRule="auto"/>
        <w:jc w:val="both"/>
        <w:rPr>
          <w:color w:val="000000" w:themeColor="text1"/>
        </w:rPr>
      </w:pPr>
      <w:r w:rsidRPr="00110FCD">
        <w:rPr>
          <w:color w:val="000000" w:themeColor="text1"/>
        </w:rPr>
        <w:t>[</w:t>
      </w:r>
      <w:r w:rsidR="00FE729F" w:rsidRPr="00110FCD">
        <w:rPr>
          <w:color w:val="000000" w:themeColor="text1"/>
        </w:rPr>
        <w:t>2</w:t>
      </w:r>
      <w:r w:rsidR="007C6AE9">
        <w:rPr>
          <w:color w:val="000000" w:themeColor="text1"/>
        </w:rPr>
        <w:t>6</w:t>
      </w:r>
      <w:r w:rsidRPr="00110FCD">
        <w:rPr>
          <w:color w:val="000000" w:themeColor="text1"/>
        </w:rPr>
        <w:t>]</w:t>
      </w:r>
      <w:r w:rsidRPr="00110FCD">
        <w:rPr>
          <w:color w:val="000000" w:themeColor="text1"/>
        </w:rPr>
        <w:tab/>
        <w:t>The court a quo considered the</w:t>
      </w:r>
      <w:r w:rsidR="00F45E90" w:rsidRPr="00110FCD">
        <w:rPr>
          <w:color w:val="000000" w:themeColor="text1"/>
        </w:rPr>
        <w:t xml:space="preserve"> </w:t>
      </w:r>
      <w:proofErr w:type="spellStart"/>
      <w:r w:rsidR="00F6713A" w:rsidRPr="00E75DB6">
        <w:rPr>
          <w:i/>
          <w:color w:val="000000" w:themeColor="text1"/>
        </w:rPr>
        <w:t>condi</w:t>
      </w:r>
      <w:r w:rsidR="0086585C">
        <w:rPr>
          <w:i/>
          <w:color w:val="000000" w:themeColor="text1"/>
        </w:rPr>
        <w:t>c</w:t>
      </w:r>
      <w:r w:rsidR="00F6713A" w:rsidRPr="00E75DB6">
        <w:rPr>
          <w:i/>
          <w:color w:val="000000" w:themeColor="text1"/>
        </w:rPr>
        <w:t>tio</w:t>
      </w:r>
      <w:proofErr w:type="spellEnd"/>
      <w:r w:rsidR="00F6713A" w:rsidRPr="00E75DB6">
        <w:rPr>
          <w:i/>
          <w:color w:val="000000" w:themeColor="text1"/>
        </w:rPr>
        <w:t xml:space="preserve"> </w:t>
      </w:r>
      <w:proofErr w:type="spellStart"/>
      <w:r w:rsidR="00F6713A" w:rsidRPr="00E75DB6">
        <w:rPr>
          <w:i/>
          <w:color w:val="000000" w:themeColor="text1"/>
        </w:rPr>
        <w:t>indebiti</w:t>
      </w:r>
      <w:proofErr w:type="spellEnd"/>
      <w:r w:rsidR="00F6713A" w:rsidRPr="00110FCD">
        <w:rPr>
          <w:color w:val="000000" w:themeColor="text1"/>
        </w:rPr>
        <w:t xml:space="preserve"> and whether it </w:t>
      </w:r>
      <w:r w:rsidR="000009F0">
        <w:rPr>
          <w:color w:val="000000" w:themeColor="text1"/>
        </w:rPr>
        <w:t>could</w:t>
      </w:r>
      <w:r w:rsidR="000009F0" w:rsidRPr="00110FCD">
        <w:rPr>
          <w:color w:val="000000" w:themeColor="text1"/>
        </w:rPr>
        <w:t xml:space="preserve"> </w:t>
      </w:r>
      <w:r w:rsidR="00F6713A" w:rsidRPr="00110FCD">
        <w:rPr>
          <w:color w:val="000000" w:themeColor="text1"/>
        </w:rPr>
        <w:t>be used in respect of a pre-liquidation payment.</w:t>
      </w:r>
      <w:r w:rsidR="00A83AAF" w:rsidRPr="00110FCD">
        <w:rPr>
          <w:color w:val="000000" w:themeColor="text1"/>
        </w:rPr>
        <w:t xml:space="preserve"> This was considered </w:t>
      </w:r>
      <w:r w:rsidR="000009F0">
        <w:rPr>
          <w:color w:val="000000" w:themeColor="text1"/>
        </w:rPr>
        <w:t>as</w:t>
      </w:r>
      <w:r w:rsidR="000009F0" w:rsidRPr="00110FCD">
        <w:rPr>
          <w:color w:val="000000" w:themeColor="text1"/>
        </w:rPr>
        <w:t xml:space="preserve"> </w:t>
      </w:r>
      <w:r w:rsidR="00A83AAF" w:rsidRPr="00110FCD">
        <w:rPr>
          <w:color w:val="000000" w:themeColor="text1"/>
        </w:rPr>
        <w:t>the appellants submitted that the respondent was a pre-liquidat</w:t>
      </w:r>
      <w:r w:rsidR="002B6D29">
        <w:rPr>
          <w:color w:val="000000" w:themeColor="text1"/>
        </w:rPr>
        <w:t>ion</w:t>
      </w:r>
      <w:r w:rsidR="00A83AAF" w:rsidRPr="00110FCD">
        <w:rPr>
          <w:color w:val="000000" w:themeColor="text1"/>
        </w:rPr>
        <w:t xml:space="preserve"> creditor.</w:t>
      </w:r>
      <w:r w:rsidR="00F6713A" w:rsidRPr="00110FCD">
        <w:rPr>
          <w:color w:val="000000" w:themeColor="text1"/>
        </w:rPr>
        <w:t xml:space="preserve"> It held</w:t>
      </w:r>
      <w:r w:rsidR="00177480">
        <w:rPr>
          <w:color w:val="000000" w:themeColor="text1"/>
        </w:rPr>
        <w:t xml:space="preserve"> that</w:t>
      </w:r>
      <w:r w:rsidR="00F6713A" w:rsidRPr="00110FCD">
        <w:rPr>
          <w:color w:val="000000" w:themeColor="text1"/>
        </w:rPr>
        <w:t>:</w:t>
      </w:r>
    </w:p>
    <w:p w14:paraId="52DD9A17" w14:textId="77777777" w:rsidR="00B053A4" w:rsidRPr="00110FCD" w:rsidRDefault="00B053A4" w:rsidP="00110FCD">
      <w:pPr>
        <w:spacing w:after="0" w:line="360" w:lineRule="auto"/>
        <w:jc w:val="both"/>
        <w:rPr>
          <w:color w:val="000000" w:themeColor="text1"/>
        </w:rPr>
      </w:pPr>
      <w:r w:rsidRPr="00110FCD">
        <w:rPr>
          <w:color w:val="000000" w:themeColor="text1"/>
        </w:rPr>
        <w:t>‘</w:t>
      </w:r>
      <w:r w:rsidR="00D15380" w:rsidRPr="00110FCD">
        <w:rPr>
          <w:color w:val="000000" w:themeColor="text1"/>
          <w:sz w:val="22"/>
          <w:szCs w:val="22"/>
        </w:rPr>
        <w:t>T</w:t>
      </w:r>
      <w:r w:rsidR="00281E3F" w:rsidRPr="00110FCD">
        <w:rPr>
          <w:color w:val="000000" w:themeColor="text1"/>
          <w:sz w:val="22"/>
          <w:szCs w:val="22"/>
        </w:rPr>
        <w:t xml:space="preserve">he money </w:t>
      </w:r>
      <w:r w:rsidR="00DE44FD">
        <w:rPr>
          <w:color w:val="000000" w:themeColor="text1"/>
          <w:sz w:val="22"/>
          <w:szCs w:val="22"/>
        </w:rPr>
        <w:t>c</w:t>
      </w:r>
      <w:r w:rsidR="00281E3F" w:rsidRPr="00110FCD">
        <w:rPr>
          <w:color w:val="000000" w:themeColor="text1"/>
          <w:sz w:val="22"/>
          <w:szCs w:val="22"/>
        </w:rPr>
        <w:t xml:space="preserve">ould not and should not have been used by Evowood. </w:t>
      </w:r>
      <w:r w:rsidR="00281E3F" w:rsidRPr="00AA5872">
        <w:rPr>
          <w:i/>
          <w:color w:val="000000" w:themeColor="text1"/>
          <w:sz w:val="22"/>
          <w:szCs w:val="22"/>
        </w:rPr>
        <w:t>The</w:t>
      </w:r>
      <w:r w:rsidR="00DE44FD" w:rsidRPr="00AA5872">
        <w:rPr>
          <w:i/>
          <w:color w:val="000000" w:themeColor="text1"/>
          <w:sz w:val="22"/>
          <w:szCs w:val="22"/>
        </w:rPr>
        <w:t>y</w:t>
      </w:r>
      <w:r w:rsidR="00281E3F" w:rsidRPr="00AA5872">
        <w:rPr>
          <w:i/>
          <w:color w:val="000000" w:themeColor="text1"/>
          <w:sz w:val="22"/>
          <w:szCs w:val="22"/>
        </w:rPr>
        <w:t xml:space="preserve"> were well aware that it was an overpayment and had to be repaid.</w:t>
      </w:r>
      <w:r w:rsidR="00281E3F" w:rsidRPr="00110FCD">
        <w:rPr>
          <w:color w:val="000000" w:themeColor="text1"/>
          <w:sz w:val="22"/>
          <w:szCs w:val="22"/>
        </w:rPr>
        <w:t xml:space="preserve"> In this day and age where electronic payments are made daily it is easy for a wrong digit, for example, to be placed in a bank account number causing an incorrect payment to be made.</w:t>
      </w:r>
      <w:r w:rsidRPr="00110FCD">
        <w:rPr>
          <w:color w:val="000000" w:themeColor="text1"/>
        </w:rPr>
        <w:t>’</w:t>
      </w:r>
      <w:r w:rsidRPr="00110FCD">
        <w:rPr>
          <w:rStyle w:val="FootnoteReference"/>
          <w:rFonts w:cs="Arial"/>
          <w:color w:val="000000" w:themeColor="text1"/>
        </w:rPr>
        <w:footnoteReference w:id="27"/>
      </w:r>
      <w:r w:rsidR="00A4602C">
        <w:rPr>
          <w:color w:val="000000" w:themeColor="text1"/>
        </w:rPr>
        <w:t xml:space="preserve"> </w:t>
      </w:r>
      <w:r w:rsidR="00A4602C" w:rsidRPr="00D42FF2">
        <w:rPr>
          <w:color w:val="000000" w:themeColor="text1"/>
        </w:rPr>
        <w:t>(My emphasis).</w:t>
      </w:r>
    </w:p>
    <w:p w14:paraId="1A6D3F52" w14:textId="77777777" w:rsidR="0095399C" w:rsidRPr="00110FCD" w:rsidRDefault="0095399C" w:rsidP="00110FCD">
      <w:pPr>
        <w:spacing w:after="0" w:line="360" w:lineRule="auto"/>
        <w:contextualSpacing/>
        <w:jc w:val="both"/>
        <w:rPr>
          <w:color w:val="000000" w:themeColor="text1"/>
        </w:rPr>
      </w:pPr>
    </w:p>
    <w:p w14:paraId="6C22F3E5" w14:textId="77777777" w:rsidR="0095399C" w:rsidRPr="00110FCD" w:rsidRDefault="0095399C" w:rsidP="00110FCD">
      <w:pPr>
        <w:spacing w:after="0" w:line="360" w:lineRule="auto"/>
        <w:jc w:val="both"/>
        <w:rPr>
          <w:color w:val="000000" w:themeColor="text1"/>
        </w:rPr>
      </w:pPr>
      <w:r w:rsidRPr="00110FCD">
        <w:rPr>
          <w:color w:val="000000" w:themeColor="text1"/>
        </w:rPr>
        <w:t>[2</w:t>
      </w:r>
      <w:r w:rsidR="007C6AE9">
        <w:rPr>
          <w:color w:val="000000" w:themeColor="text1"/>
        </w:rPr>
        <w:t>7</w:t>
      </w:r>
      <w:r w:rsidRPr="00110FCD">
        <w:rPr>
          <w:color w:val="000000" w:themeColor="text1"/>
        </w:rPr>
        <w:t>]</w:t>
      </w:r>
      <w:r w:rsidRPr="00110FCD">
        <w:rPr>
          <w:color w:val="000000" w:themeColor="text1"/>
        </w:rPr>
        <w:tab/>
        <w:t xml:space="preserve">The court a quo dealt with the fact that it was not just to consider the </w:t>
      </w:r>
      <w:r w:rsidR="00FE729F" w:rsidRPr="00110FCD">
        <w:rPr>
          <w:color w:val="000000" w:themeColor="text1"/>
        </w:rPr>
        <w:t>amount</w:t>
      </w:r>
      <w:r w:rsidRPr="00110FCD">
        <w:rPr>
          <w:color w:val="000000" w:themeColor="text1"/>
        </w:rPr>
        <w:t xml:space="preserve"> paid erroneously as part of the property of Evowood. It stated:</w:t>
      </w:r>
    </w:p>
    <w:p w14:paraId="13F3807F" w14:textId="2DFCAF7D" w:rsidR="0095399C" w:rsidRPr="00E75DB6" w:rsidRDefault="0095399C" w:rsidP="00110FCD">
      <w:pPr>
        <w:spacing w:after="0" w:line="360" w:lineRule="auto"/>
        <w:contextualSpacing/>
        <w:jc w:val="both"/>
        <w:rPr>
          <w:color w:val="000000" w:themeColor="text1"/>
          <w:sz w:val="22"/>
        </w:rPr>
      </w:pPr>
      <w:r w:rsidRPr="00110FCD">
        <w:rPr>
          <w:color w:val="000000" w:themeColor="text1"/>
        </w:rPr>
        <w:t>‘</w:t>
      </w:r>
      <w:r w:rsidRPr="00110FCD">
        <w:rPr>
          <w:color w:val="000000" w:themeColor="text1"/>
          <w:sz w:val="22"/>
          <w:szCs w:val="22"/>
        </w:rPr>
        <w:t xml:space="preserve">In my view the facts of this case are unique. It cannot, in </w:t>
      </w:r>
      <w:r w:rsidR="002B6D29">
        <w:rPr>
          <w:color w:val="000000" w:themeColor="text1"/>
          <w:sz w:val="22"/>
          <w:szCs w:val="22"/>
        </w:rPr>
        <w:t xml:space="preserve">my </w:t>
      </w:r>
      <w:r w:rsidRPr="00110FCD">
        <w:rPr>
          <w:color w:val="000000" w:themeColor="text1"/>
          <w:sz w:val="22"/>
          <w:szCs w:val="22"/>
        </w:rPr>
        <w:t xml:space="preserve">view, be just and equitable that a </w:t>
      </w:r>
      <w:r w:rsidRPr="00E75DB6">
        <w:rPr>
          <w:i/>
          <w:color w:val="000000" w:themeColor="text1"/>
          <w:sz w:val="22"/>
          <w:szCs w:val="22"/>
        </w:rPr>
        <w:t>wrong payment received, acknowledged and which should have been repaid and could have been repaid at that stage as the money had been received from Nedbank was not done and the company liquidated about a month later</w:t>
      </w:r>
      <w:r w:rsidRPr="00110FCD">
        <w:rPr>
          <w:color w:val="000000" w:themeColor="text1"/>
          <w:sz w:val="22"/>
          <w:szCs w:val="22"/>
        </w:rPr>
        <w:t>, that the person who made the incorrect payment should only have a claim in terms of section 44 of the Insolvency Act merely because the repayment was not made when it should have been done. That money was never the money of the company and they were well aware that they could not keep it but had to repay it.</w:t>
      </w:r>
      <w:r w:rsidRPr="00110FCD">
        <w:rPr>
          <w:color w:val="000000" w:themeColor="text1"/>
        </w:rPr>
        <w:t>’</w:t>
      </w:r>
      <w:r w:rsidR="00DE44FD">
        <w:rPr>
          <w:rStyle w:val="FootnoteReference"/>
          <w:color w:val="000000" w:themeColor="text1"/>
        </w:rPr>
        <w:footnoteReference w:id="28"/>
      </w:r>
      <w:r w:rsidR="000009F0">
        <w:rPr>
          <w:color w:val="000000" w:themeColor="text1"/>
        </w:rPr>
        <w:t xml:space="preserve"> </w:t>
      </w:r>
      <w:r w:rsidR="00FE729F" w:rsidRPr="00BE1722">
        <w:rPr>
          <w:color w:val="000000" w:themeColor="text1"/>
        </w:rPr>
        <w:t>(My emphasis)</w:t>
      </w:r>
      <w:r w:rsidR="00A4602C" w:rsidRPr="00BE1722">
        <w:rPr>
          <w:color w:val="000000" w:themeColor="text1"/>
        </w:rPr>
        <w:t>.</w:t>
      </w:r>
    </w:p>
    <w:p w14:paraId="7F95359D" w14:textId="77777777" w:rsidR="0059488C" w:rsidRPr="00110FCD" w:rsidRDefault="0059488C" w:rsidP="00110FCD">
      <w:pPr>
        <w:spacing w:after="0" w:line="360" w:lineRule="auto"/>
        <w:contextualSpacing/>
        <w:jc w:val="both"/>
        <w:rPr>
          <w:b/>
          <w:color w:val="000000" w:themeColor="text1"/>
        </w:rPr>
      </w:pPr>
    </w:p>
    <w:p w14:paraId="613DBD2F" w14:textId="77BE0F40" w:rsidR="0059488C" w:rsidRDefault="0059488C" w:rsidP="00110FCD">
      <w:pPr>
        <w:spacing w:after="0" w:line="360" w:lineRule="auto"/>
        <w:jc w:val="both"/>
        <w:rPr>
          <w:color w:val="000000" w:themeColor="text1"/>
        </w:rPr>
      </w:pPr>
      <w:r w:rsidRPr="00110FCD">
        <w:rPr>
          <w:color w:val="000000" w:themeColor="text1"/>
        </w:rPr>
        <w:t>[</w:t>
      </w:r>
      <w:r w:rsidR="00FE729F" w:rsidRPr="00110FCD">
        <w:rPr>
          <w:color w:val="000000" w:themeColor="text1"/>
        </w:rPr>
        <w:t>2</w:t>
      </w:r>
      <w:r w:rsidR="007C6AE9">
        <w:rPr>
          <w:color w:val="000000" w:themeColor="text1"/>
        </w:rPr>
        <w:t>8</w:t>
      </w:r>
      <w:r w:rsidRPr="00110FCD">
        <w:rPr>
          <w:color w:val="000000" w:themeColor="text1"/>
        </w:rPr>
        <w:t>]</w:t>
      </w:r>
      <w:r w:rsidR="00FE729F" w:rsidRPr="00110FCD">
        <w:rPr>
          <w:color w:val="000000" w:themeColor="text1"/>
        </w:rPr>
        <w:tab/>
        <w:t>The respondent</w:t>
      </w:r>
      <w:r w:rsidR="008516AA">
        <w:rPr>
          <w:color w:val="000000" w:themeColor="text1"/>
        </w:rPr>
        <w:t>,</w:t>
      </w:r>
      <w:r w:rsidR="00FE729F" w:rsidRPr="00110FCD">
        <w:rPr>
          <w:color w:val="000000" w:themeColor="text1"/>
        </w:rPr>
        <w:t xml:space="preserve"> as the owner of the money</w:t>
      </w:r>
      <w:r w:rsidR="008516AA">
        <w:rPr>
          <w:color w:val="000000" w:themeColor="text1"/>
        </w:rPr>
        <w:t>,</w:t>
      </w:r>
      <w:r w:rsidR="00FE729F" w:rsidRPr="00110FCD">
        <w:rPr>
          <w:color w:val="000000" w:themeColor="text1"/>
        </w:rPr>
        <w:t xml:space="preserve"> is entitled to have its own money back and cannot be labelled as a creditor of Evowood, when it is not. Counsel for the appellants argue</w:t>
      </w:r>
      <w:r w:rsidR="00634A61">
        <w:rPr>
          <w:color w:val="000000" w:themeColor="text1"/>
        </w:rPr>
        <w:t>d</w:t>
      </w:r>
      <w:r w:rsidR="00FE729F" w:rsidRPr="00110FCD">
        <w:rPr>
          <w:color w:val="000000" w:themeColor="text1"/>
        </w:rPr>
        <w:t xml:space="preserve"> that the other creditors will be prejudiced if it is expected to pay the amount back to the respondent. </w:t>
      </w:r>
      <w:r w:rsidR="00AE1DC6">
        <w:rPr>
          <w:color w:val="000000" w:themeColor="text1"/>
        </w:rPr>
        <w:t>T</w:t>
      </w:r>
      <w:r w:rsidR="0047373A">
        <w:rPr>
          <w:color w:val="000000" w:themeColor="text1"/>
        </w:rPr>
        <w:t xml:space="preserve">his submission fails to acknowledge that the money never </w:t>
      </w:r>
      <w:r w:rsidR="00D12C2D" w:rsidRPr="00110FCD">
        <w:rPr>
          <w:color w:val="000000" w:themeColor="text1"/>
        </w:rPr>
        <w:t xml:space="preserve">belonged to </w:t>
      </w:r>
      <w:r w:rsidR="0047373A">
        <w:rPr>
          <w:color w:val="000000" w:themeColor="text1"/>
        </w:rPr>
        <w:t xml:space="preserve">Evowood </w:t>
      </w:r>
      <w:r w:rsidR="00D12C2D" w:rsidRPr="00110FCD">
        <w:rPr>
          <w:color w:val="000000" w:themeColor="text1"/>
        </w:rPr>
        <w:t>and should not have been utilised</w:t>
      </w:r>
      <w:r w:rsidR="0047373A">
        <w:rPr>
          <w:color w:val="000000" w:themeColor="text1"/>
        </w:rPr>
        <w:t xml:space="preserve"> by it. A</w:t>
      </w:r>
      <w:r w:rsidR="000009F0">
        <w:rPr>
          <w:color w:val="000000" w:themeColor="text1"/>
        </w:rPr>
        <w:t>ccordingly,</w:t>
      </w:r>
      <w:r w:rsidR="000009F0" w:rsidRPr="00110FCD">
        <w:rPr>
          <w:color w:val="000000" w:themeColor="text1"/>
        </w:rPr>
        <w:t xml:space="preserve"> </w:t>
      </w:r>
      <w:r w:rsidR="00D12C2D" w:rsidRPr="00110FCD">
        <w:rPr>
          <w:color w:val="000000" w:themeColor="text1"/>
        </w:rPr>
        <w:t xml:space="preserve">the creditors will not be prejudiced in </w:t>
      </w:r>
      <w:proofErr w:type="spellStart"/>
      <w:r w:rsidR="00D12C2D" w:rsidRPr="00110FCD">
        <w:rPr>
          <w:color w:val="000000" w:themeColor="text1"/>
        </w:rPr>
        <w:t>casu</w:t>
      </w:r>
      <w:proofErr w:type="spellEnd"/>
      <w:r w:rsidR="00D12C2D" w:rsidRPr="00110FCD">
        <w:rPr>
          <w:color w:val="000000" w:themeColor="text1"/>
        </w:rPr>
        <w:t xml:space="preserve"> </w:t>
      </w:r>
      <w:r w:rsidR="008516AA">
        <w:rPr>
          <w:color w:val="000000" w:themeColor="text1"/>
        </w:rPr>
        <w:t>where</w:t>
      </w:r>
      <w:r w:rsidR="008516AA" w:rsidRPr="00110FCD">
        <w:rPr>
          <w:color w:val="000000" w:themeColor="text1"/>
        </w:rPr>
        <w:t xml:space="preserve"> </w:t>
      </w:r>
      <w:r w:rsidR="00D12C2D" w:rsidRPr="00110FCD">
        <w:rPr>
          <w:color w:val="000000" w:themeColor="text1"/>
        </w:rPr>
        <w:t xml:space="preserve">the asset (the money) </w:t>
      </w:r>
      <w:r w:rsidR="00D12C2D" w:rsidRPr="00110FCD">
        <w:rPr>
          <w:color w:val="000000" w:themeColor="text1"/>
        </w:rPr>
        <w:lastRenderedPageBreak/>
        <w:t xml:space="preserve">was never part of the assets of Evowood. </w:t>
      </w:r>
      <w:r w:rsidR="008577A1">
        <w:rPr>
          <w:color w:val="000000" w:themeColor="text1"/>
        </w:rPr>
        <w:t>In fact</w:t>
      </w:r>
      <w:r w:rsidR="0002194A">
        <w:rPr>
          <w:color w:val="000000" w:themeColor="text1"/>
        </w:rPr>
        <w:t>,</w:t>
      </w:r>
      <w:r w:rsidR="008577A1">
        <w:rPr>
          <w:color w:val="000000" w:themeColor="text1"/>
        </w:rPr>
        <w:t xml:space="preserve"> the respondent has already been prejudiced since Evowood has not returned its money.</w:t>
      </w:r>
      <w:r w:rsidR="0096728D">
        <w:rPr>
          <w:rStyle w:val="FootnoteReference"/>
          <w:color w:val="000000" w:themeColor="text1"/>
        </w:rPr>
        <w:footnoteReference w:id="29"/>
      </w:r>
      <w:r w:rsidR="00A000E1" w:rsidRPr="0096728D">
        <w:rPr>
          <w:color w:val="000000" w:themeColor="text1"/>
          <w:sz w:val="18"/>
          <w:szCs w:val="18"/>
        </w:rPr>
        <w:t xml:space="preserve"> </w:t>
      </w:r>
    </w:p>
    <w:p w14:paraId="188FAB23" w14:textId="77777777" w:rsidR="0057536F" w:rsidRDefault="0057536F" w:rsidP="00110FCD">
      <w:pPr>
        <w:spacing w:after="0" w:line="360" w:lineRule="auto"/>
        <w:jc w:val="both"/>
        <w:rPr>
          <w:color w:val="000000" w:themeColor="text1"/>
        </w:rPr>
      </w:pPr>
    </w:p>
    <w:p w14:paraId="5AA5293E" w14:textId="77777777" w:rsidR="0057536F" w:rsidRPr="0057536F" w:rsidRDefault="0057536F" w:rsidP="00110FCD">
      <w:pPr>
        <w:spacing w:after="0" w:line="360" w:lineRule="auto"/>
        <w:jc w:val="both"/>
        <w:rPr>
          <w:b/>
          <w:color w:val="000000" w:themeColor="text1"/>
        </w:rPr>
      </w:pPr>
      <w:r>
        <w:rPr>
          <w:b/>
          <w:color w:val="000000" w:themeColor="text1"/>
        </w:rPr>
        <w:t>Conclusion</w:t>
      </w:r>
    </w:p>
    <w:p w14:paraId="0D2C0CF6" w14:textId="246BBE9B" w:rsidR="0057536F" w:rsidRPr="00110FCD" w:rsidRDefault="0057536F" w:rsidP="00110FCD">
      <w:pPr>
        <w:spacing w:after="0" w:line="360" w:lineRule="auto"/>
        <w:jc w:val="both"/>
        <w:rPr>
          <w:color w:val="000000" w:themeColor="text1"/>
        </w:rPr>
      </w:pPr>
      <w:r>
        <w:rPr>
          <w:color w:val="000000" w:themeColor="text1"/>
        </w:rPr>
        <w:t>[</w:t>
      </w:r>
      <w:r w:rsidR="0096728D">
        <w:rPr>
          <w:color w:val="000000" w:themeColor="text1"/>
        </w:rPr>
        <w:t>29</w:t>
      </w:r>
      <w:r>
        <w:rPr>
          <w:color w:val="000000" w:themeColor="text1"/>
        </w:rPr>
        <w:t>]</w:t>
      </w:r>
      <w:r>
        <w:rPr>
          <w:color w:val="000000" w:themeColor="text1"/>
        </w:rPr>
        <w:tab/>
        <w:t xml:space="preserve">The court a quo was not misdirected on fact or law in granting the relief that </w:t>
      </w:r>
      <w:r w:rsidR="00787131">
        <w:rPr>
          <w:color w:val="000000" w:themeColor="text1"/>
        </w:rPr>
        <w:t xml:space="preserve">was </w:t>
      </w:r>
      <w:r>
        <w:rPr>
          <w:color w:val="000000" w:themeColor="text1"/>
        </w:rPr>
        <w:t xml:space="preserve">sought by the respondent. The appellants failed to show that the respondent was a creditor of the insolvent estate. The appeal </w:t>
      </w:r>
      <w:r w:rsidR="008577A1">
        <w:rPr>
          <w:color w:val="000000" w:themeColor="text1"/>
        </w:rPr>
        <w:t>cannot succeed</w:t>
      </w:r>
      <w:r>
        <w:rPr>
          <w:color w:val="000000" w:themeColor="text1"/>
        </w:rPr>
        <w:t>.</w:t>
      </w:r>
    </w:p>
    <w:p w14:paraId="6DFA003F" w14:textId="77777777" w:rsidR="00715342" w:rsidRPr="00110FCD" w:rsidRDefault="00715342" w:rsidP="00110FCD">
      <w:pPr>
        <w:spacing w:after="0" w:line="360" w:lineRule="auto"/>
        <w:contextualSpacing/>
        <w:jc w:val="both"/>
        <w:rPr>
          <w:b/>
          <w:color w:val="000000" w:themeColor="text1"/>
        </w:rPr>
      </w:pPr>
    </w:p>
    <w:p w14:paraId="2AE86AA6" w14:textId="77777777" w:rsidR="00AE7ED9" w:rsidRPr="00110FCD" w:rsidRDefault="00AE7ED9" w:rsidP="00110FCD">
      <w:pPr>
        <w:spacing w:after="0" w:line="360" w:lineRule="auto"/>
        <w:contextualSpacing/>
        <w:jc w:val="both"/>
        <w:rPr>
          <w:b/>
          <w:color w:val="000000" w:themeColor="text1"/>
        </w:rPr>
      </w:pPr>
      <w:r w:rsidRPr="00110FCD">
        <w:rPr>
          <w:b/>
          <w:color w:val="000000" w:themeColor="text1"/>
        </w:rPr>
        <w:t>Order</w:t>
      </w:r>
    </w:p>
    <w:p w14:paraId="31501C3A" w14:textId="2FDA970A" w:rsidR="0047373A" w:rsidRDefault="00715342" w:rsidP="00110FCD">
      <w:pPr>
        <w:spacing w:after="0" w:line="360" w:lineRule="auto"/>
        <w:jc w:val="both"/>
        <w:rPr>
          <w:color w:val="000000" w:themeColor="text1"/>
        </w:rPr>
      </w:pPr>
      <w:r w:rsidRPr="00110FCD">
        <w:rPr>
          <w:color w:val="000000" w:themeColor="text1"/>
        </w:rPr>
        <w:t>[</w:t>
      </w:r>
      <w:r w:rsidR="0096728D">
        <w:rPr>
          <w:color w:val="000000" w:themeColor="text1"/>
        </w:rPr>
        <w:t>30</w:t>
      </w:r>
      <w:r w:rsidR="00AE7ED9" w:rsidRPr="00110FCD">
        <w:rPr>
          <w:color w:val="000000" w:themeColor="text1"/>
        </w:rPr>
        <w:t>]</w:t>
      </w:r>
      <w:r w:rsidR="00AE7ED9" w:rsidRPr="00110FCD">
        <w:rPr>
          <w:color w:val="000000" w:themeColor="text1"/>
        </w:rPr>
        <w:tab/>
      </w:r>
      <w:r w:rsidR="0047373A">
        <w:rPr>
          <w:color w:val="000000" w:themeColor="text1"/>
        </w:rPr>
        <w:t>The foll</w:t>
      </w:r>
      <w:r w:rsidR="001E1FE1">
        <w:rPr>
          <w:color w:val="000000" w:themeColor="text1"/>
        </w:rPr>
        <w:t>owing order is accordingly made:</w:t>
      </w:r>
    </w:p>
    <w:p w14:paraId="6957A034" w14:textId="3903AA56" w:rsidR="00AE7ED9" w:rsidRPr="00110FCD" w:rsidRDefault="007A376B" w:rsidP="00110FCD">
      <w:pPr>
        <w:spacing w:after="0" w:line="360" w:lineRule="auto"/>
        <w:jc w:val="both"/>
        <w:rPr>
          <w:b/>
          <w:color w:val="000000" w:themeColor="text1"/>
        </w:rPr>
      </w:pPr>
      <w:r>
        <w:rPr>
          <w:color w:val="000000" w:themeColor="text1"/>
        </w:rPr>
        <w:t>1</w:t>
      </w:r>
      <w:r w:rsidR="00AA5872">
        <w:rPr>
          <w:color w:val="000000" w:themeColor="text1"/>
        </w:rPr>
        <w:t>.</w:t>
      </w:r>
      <w:r w:rsidR="0047373A">
        <w:rPr>
          <w:color w:val="000000" w:themeColor="text1"/>
        </w:rPr>
        <w:tab/>
      </w:r>
      <w:r w:rsidR="00AE7ED9" w:rsidRPr="00110FCD">
        <w:rPr>
          <w:color w:val="000000" w:themeColor="text1"/>
        </w:rPr>
        <w:t>The appeal is dismissed with costs, such costs to include the costs of the application for leave to appeal.</w:t>
      </w:r>
    </w:p>
    <w:p w14:paraId="3281E8B7" w14:textId="77777777" w:rsidR="0016366B" w:rsidRDefault="0016366B" w:rsidP="00E75DB6">
      <w:pPr>
        <w:spacing w:line="360" w:lineRule="auto"/>
        <w:jc w:val="right"/>
        <w:rPr>
          <w:color w:val="000000" w:themeColor="text1"/>
        </w:rPr>
      </w:pPr>
    </w:p>
    <w:p w14:paraId="3CC9791E" w14:textId="77777777" w:rsidR="00BB0C10" w:rsidRPr="008C1508" w:rsidRDefault="00BB0C10" w:rsidP="00E75DB6">
      <w:pPr>
        <w:spacing w:line="360" w:lineRule="auto"/>
        <w:ind w:left="720" w:hanging="720"/>
        <w:jc w:val="right"/>
        <w:rPr>
          <w:b/>
        </w:rPr>
      </w:pPr>
      <w:r w:rsidRPr="008C1508">
        <w:rPr>
          <w:b/>
        </w:rPr>
        <w:t>_________________</w:t>
      </w:r>
    </w:p>
    <w:p w14:paraId="18383610" w14:textId="77777777" w:rsidR="00BB0C10" w:rsidRPr="008C1508" w:rsidRDefault="000009F0" w:rsidP="00E75DB6">
      <w:pPr>
        <w:spacing w:line="360" w:lineRule="auto"/>
        <w:ind w:left="720" w:hanging="720"/>
        <w:jc w:val="right"/>
        <w:rPr>
          <w:b/>
        </w:rPr>
      </w:pPr>
      <w:r w:rsidRPr="008C1508">
        <w:rPr>
          <w:b/>
        </w:rPr>
        <w:t xml:space="preserve">STEYN </w:t>
      </w:r>
      <w:r w:rsidR="00BB0C10" w:rsidRPr="008C1508">
        <w:rPr>
          <w:b/>
        </w:rPr>
        <w:t>J</w:t>
      </w:r>
    </w:p>
    <w:p w14:paraId="7D8669D1" w14:textId="77777777" w:rsidR="00BB0C10" w:rsidRDefault="00BB0C10" w:rsidP="00E75DB6">
      <w:pPr>
        <w:spacing w:line="360" w:lineRule="auto"/>
        <w:ind w:left="720" w:hanging="720"/>
        <w:jc w:val="right"/>
        <w:rPr>
          <w:b/>
        </w:rPr>
      </w:pPr>
    </w:p>
    <w:p w14:paraId="14692D85" w14:textId="77777777" w:rsidR="00EC311E" w:rsidRDefault="00EC311E" w:rsidP="00E75DB6">
      <w:pPr>
        <w:spacing w:line="360" w:lineRule="auto"/>
        <w:ind w:left="720" w:hanging="720"/>
        <w:jc w:val="right"/>
        <w:rPr>
          <w:b/>
        </w:rPr>
      </w:pPr>
    </w:p>
    <w:p w14:paraId="4A139D7B" w14:textId="77777777" w:rsidR="00BB0C10" w:rsidRPr="008C1508" w:rsidRDefault="00BB0C10" w:rsidP="00E75DB6">
      <w:pPr>
        <w:spacing w:line="360" w:lineRule="auto"/>
        <w:ind w:left="720" w:hanging="720"/>
        <w:jc w:val="right"/>
        <w:rPr>
          <w:b/>
        </w:rPr>
      </w:pPr>
      <w:r w:rsidRPr="008C1508">
        <w:rPr>
          <w:b/>
        </w:rPr>
        <w:t>___________________</w:t>
      </w:r>
    </w:p>
    <w:p w14:paraId="6D8D4695" w14:textId="77777777" w:rsidR="00BB0C10" w:rsidRPr="008C1508" w:rsidRDefault="000009F0" w:rsidP="00E75DB6">
      <w:pPr>
        <w:spacing w:line="360" w:lineRule="auto"/>
        <w:ind w:left="720" w:hanging="720"/>
        <w:jc w:val="right"/>
        <w:rPr>
          <w:b/>
        </w:rPr>
      </w:pPr>
      <w:r>
        <w:rPr>
          <w:b/>
        </w:rPr>
        <w:t>CHILI</w:t>
      </w:r>
      <w:r w:rsidRPr="008C1508">
        <w:rPr>
          <w:b/>
        </w:rPr>
        <w:t xml:space="preserve"> </w:t>
      </w:r>
      <w:r w:rsidR="00BB0C10" w:rsidRPr="008C1508">
        <w:rPr>
          <w:b/>
        </w:rPr>
        <w:t>J</w:t>
      </w:r>
    </w:p>
    <w:p w14:paraId="35D0ADCB" w14:textId="2814F9EB" w:rsidR="00BB0C10" w:rsidRDefault="00BB0C10" w:rsidP="00E75DB6">
      <w:pPr>
        <w:spacing w:line="360" w:lineRule="auto"/>
        <w:ind w:left="720" w:hanging="720"/>
        <w:jc w:val="right"/>
        <w:rPr>
          <w:b/>
        </w:rPr>
      </w:pPr>
    </w:p>
    <w:p w14:paraId="47C46D1C" w14:textId="77777777" w:rsidR="00EC311E" w:rsidRPr="008C1508" w:rsidRDefault="00EC311E" w:rsidP="00E75DB6">
      <w:pPr>
        <w:spacing w:line="360" w:lineRule="auto"/>
        <w:ind w:left="720" w:hanging="720"/>
        <w:jc w:val="right"/>
        <w:rPr>
          <w:b/>
        </w:rPr>
      </w:pPr>
    </w:p>
    <w:p w14:paraId="21A827A7" w14:textId="77777777" w:rsidR="00BB0C10" w:rsidRPr="008C1508" w:rsidRDefault="00BB0C10" w:rsidP="00E75DB6">
      <w:pPr>
        <w:spacing w:line="360" w:lineRule="auto"/>
        <w:ind w:left="720" w:hanging="720"/>
        <w:jc w:val="right"/>
        <w:rPr>
          <w:b/>
        </w:rPr>
      </w:pPr>
      <w:r w:rsidRPr="008C1508">
        <w:rPr>
          <w:b/>
        </w:rPr>
        <w:t>___________________</w:t>
      </w:r>
    </w:p>
    <w:p w14:paraId="4B060284" w14:textId="0475BD0D" w:rsidR="00BB0C10" w:rsidRDefault="000009F0" w:rsidP="00EC3FBE">
      <w:pPr>
        <w:spacing w:line="360" w:lineRule="auto"/>
        <w:ind w:left="720" w:hanging="720"/>
        <w:jc w:val="right"/>
        <w:rPr>
          <w:b/>
        </w:rPr>
      </w:pPr>
      <w:r>
        <w:rPr>
          <w:b/>
        </w:rPr>
        <w:t>HADEBE</w:t>
      </w:r>
      <w:r w:rsidRPr="008C1508">
        <w:rPr>
          <w:b/>
        </w:rPr>
        <w:t xml:space="preserve"> </w:t>
      </w:r>
      <w:r w:rsidR="00BB0C10" w:rsidRPr="008C1508">
        <w:rPr>
          <w:b/>
        </w:rPr>
        <w:t>J</w:t>
      </w:r>
    </w:p>
    <w:p w14:paraId="33E25F02" w14:textId="2492C418" w:rsidR="00EC311E" w:rsidRDefault="00EC311E" w:rsidP="00EC3FBE">
      <w:pPr>
        <w:spacing w:line="360" w:lineRule="auto"/>
        <w:ind w:left="720" w:hanging="720"/>
        <w:jc w:val="right"/>
        <w:rPr>
          <w:b/>
        </w:rPr>
      </w:pPr>
    </w:p>
    <w:p w14:paraId="2D79A150" w14:textId="77777777" w:rsidR="00EC311E" w:rsidRDefault="00EC311E" w:rsidP="00EC3FBE">
      <w:pPr>
        <w:spacing w:line="360" w:lineRule="auto"/>
        <w:ind w:left="720" w:hanging="720"/>
        <w:jc w:val="right"/>
        <w:rPr>
          <w:b/>
        </w:rPr>
      </w:pPr>
    </w:p>
    <w:p w14:paraId="2E04E512" w14:textId="77777777" w:rsidR="00CD1FF6" w:rsidRPr="00452624" w:rsidRDefault="00CD1FF6" w:rsidP="00CD1FF6">
      <w:pPr>
        <w:spacing w:line="360" w:lineRule="auto"/>
        <w:jc w:val="center"/>
        <w:rPr>
          <w:rFonts w:eastAsia="Calibri"/>
          <w:b/>
          <w:szCs w:val="22"/>
          <w:u w:val="single"/>
          <w:lang w:val="en-GB"/>
        </w:rPr>
      </w:pPr>
      <w:r>
        <w:rPr>
          <w:rFonts w:eastAsia="Calibri"/>
          <w:b/>
          <w:szCs w:val="22"/>
          <w:u w:val="single"/>
          <w:lang w:val="en-GB"/>
        </w:rPr>
        <w:lastRenderedPageBreak/>
        <w:t>A</w:t>
      </w:r>
      <w:r w:rsidRPr="00452624">
        <w:rPr>
          <w:rFonts w:eastAsia="Calibri"/>
          <w:b/>
          <w:szCs w:val="22"/>
          <w:u w:val="single"/>
          <w:lang w:val="en-GB"/>
        </w:rPr>
        <w:t>PPEARANCES</w:t>
      </w:r>
    </w:p>
    <w:p w14:paraId="0CD4A21C" w14:textId="77777777" w:rsidR="00CD1FF6" w:rsidRPr="00452624" w:rsidRDefault="00CD1FF6" w:rsidP="00CD1FF6">
      <w:pPr>
        <w:spacing w:after="0" w:line="360" w:lineRule="auto"/>
        <w:ind w:right="-82"/>
        <w:jc w:val="both"/>
        <w:rPr>
          <w:rFonts w:eastAsia="Times New Roman"/>
          <w:lang w:val="en-GB" w:eastAsia="en-GB"/>
        </w:rPr>
      </w:pPr>
      <w:r w:rsidRPr="00452624">
        <w:rPr>
          <w:rFonts w:eastAsia="Times New Roman"/>
          <w:lang w:val="en-GB" w:eastAsia="en-GB"/>
        </w:rPr>
        <w:t xml:space="preserve">Counsel for the </w:t>
      </w:r>
      <w:r>
        <w:rPr>
          <w:rFonts w:eastAsia="Times New Roman"/>
          <w:lang w:val="en-GB" w:eastAsia="en-GB"/>
        </w:rPr>
        <w:t>appellant</w:t>
      </w:r>
      <w:r>
        <w:rPr>
          <w:rFonts w:eastAsia="Times New Roman"/>
          <w:lang w:val="en-GB" w:eastAsia="en-GB"/>
        </w:rPr>
        <w:tab/>
      </w:r>
      <w:r>
        <w:rPr>
          <w:rFonts w:eastAsia="Times New Roman"/>
          <w:lang w:val="en-GB" w:eastAsia="en-GB"/>
        </w:rPr>
        <w:tab/>
      </w:r>
      <w:r w:rsidRPr="00452624">
        <w:rPr>
          <w:rFonts w:eastAsia="Times New Roman"/>
          <w:lang w:val="en-GB" w:eastAsia="en-GB"/>
        </w:rPr>
        <w:t xml:space="preserve">:  </w:t>
      </w:r>
      <w:r w:rsidRPr="00452624">
        <w:rPr>
          <w:rFonts w:eastAsia="Times New Roman"/>
          <w:lang w:val="en-GB" w:eastAsia="en-GB"/>
        </w:rPr>
        <w:tab/>
      </w:r>
      <w:r>
        <w:rPr>
          <w:rFonts w:eastAsia="Times New Roman"/>
          <w:lang w:val="en-GB" w:eastAsia="en-GB"/>
        </w:rPr>
        <w:t xml:space="preserve">Mr D </w:t>
      </w:r>
      <w:proofErr w:type="spellStart"/>
      <w:r>
        <w:rPr>
          <w:rFonts w:eastAsia="Times New Roman"/>
          <w:lang w:val="en-GB" w:eastAsia="en-GB"/>
        </w:rPr>
        <w:t>Aldworth</w:t>
      </w:r>
      <w:proofErr w:type="spellEnd"/>
    </w:p>
    <w:p w14:paraId="545BB2FC" w14:textId="77777777" w:rsidR="00CD1FF6" w:rsidRDefault="00CD1FF6" w:rsidP="00CD1FF6">
      <w:pPr>
        <w:spacing w:after="0" w:line="360" w:lineRule="auto"/>
        <w:jc w:val="both"/>
        <w:rPr>
          <w:rFonts w:eastAsia="Times New Roman"/>
          <w:lang w:val="en-GB" w:eastAsia="en-GB"/>
        </w:rPr>
      </w:pPr>
      <w:r w:rsidRPr="00452624">
        <w:rPr>
          <w:rFonts w:eastAsia="Times New Roman"/>
          <w:lang w:val="en-GB" w:eastAsia="en-GB"/>
        </w:rPr>
        <w:t>Instructed by</w:t>
      </w:r>
      <w:r w:rsidRPr="00452624">
        <w:rPr>
          <w:rFonts w:eastAsia="Times New Roman"/>
          <w:lang w:val="en-GB" w:eastAsia="en-GB"/>
        </w:rPr>
        <w:tab/>
      </w:r>
      <w:r w:rsidRPr="00452624">
        <w:rPr>
          <w:rFonts w:eastAsia="Times New Roman"/>
          <w:lang w:val="en-GB" w:eastAsia="en-GB"/>
        </w:rPr>
        <w:tab/>
      </w:r>
      <w:r w:rsidRPr="00452624">
        <w:rPr>
          <w:rFonts w:eastAsia="Times New Roman"/>
          <w:lang w:val="en-GB" w:eastAsia="en-GB"/>
        </w:rPr>
        <w:tab/>
      </w:r>
      <w:r w:rsidRPr="00452624">
        <w:rPr>
          <w:rFonts w:eastAsia="Times New Roman"/>
          <w:lang w:val="en-GB" w:eastAsia="en-GB"/>
        </w:rPr>
        <w:tab/>
        <w:t>:</w:t>
      </w:r>
      <w:r w:rsidRPr="00452624">
        <w:rPr>
          <w:rFonts w:eastAsia="Times New Roman"/>
          <w:lang w:val="en-GB" w:eastAsia="en-GB"/>
        </w:rPr>
        <w:tab/>
      </w:r>
      <w:proofErr w:type="spellStart"/>
      <w:r>
        <w:rPr>
          <w:rFonts w:eastAsia="Times New Roman"/>
          <w:lang w:val="en-GB" w:eastAsia="en-GB"/>
        </w:rPr>
        <w:t>Garlicle</w:t>
      </w:r>
      <w:proofErr w:type="spellEnd"/>
      <w:r>
        <w:rPr>
          <w:rFonts w:eastAsia="Times New Roman"/>
          <w:lang w:val="en-GB" w:eastAsia="en-GB"/>
        </w:rPr>
        <w:t xml:space="preserve"> &amp; </w:t>
      </w:r>
      <w:proofErr w:type="spellStart"/>
      <w:r>
        <w:rPr>
          <w:rFonts w:eastAsia="Times New Roman"/>
          <w:lang w:val="en-GB" w:eastAsia="en-GB"/>
        </w:rPr>
        <w:t>Bousfield</w:t>
      </w:r>
      <w:proofErr w:type="spellEnd"/>
      <w:r>
        <w:rPr>
          <w:rFonts w:eastAsia="Times New Roman"/>
          <w:lang w:val="en-GB" w:eastAsia="en-GB"/>
        </w:rPr>
        <w:t xml:space="preserve"> Inc.</w:t>
      </w:r>
    </w:p>
    <w:p w14:paraId="5CEE4AD5" w14:textId="77777777" w:rsidR="00CD1FF6" w:rsidRDefault="00CD1FF6" w:rsidP="00CD1FF6">
      <w:pPr>
        <w:spacing w:after="0" w:line="360" w:lineRule="auto"/>
        <w:ind w:left="3600" w:firstLine="720"/>
        <w:jc w:val="both"/>
        <w:rPr>
          <w:rFonts w:eastAsia="Times New Roman"/>
          <w:lang w:val="en-GB" w:eastAsia="en-GB"/>
        </w:rPr>
      </w:pPr>
      <w:r>
        <w:rPr>
          <w:rFonts w:eastAsia="Times New Roman"/>
          <w:lang w:val="en-GB" w:eastAsia="en-GB"/>
        </w:rPr>
        <w:t xml:space="preserve">7 </w:t>
      </w:r>
      <w:proofErr w:type="spellStart"/>
      <w:r>
        <w:rPr>
          <w:rFonts w:eastAsia="Times New Roman"/>
          <w:lang w:val="en-GB" w:eastAsia="en-GB"/>
        </w:rPr>
        <w:t>Torsvale</w:t>
      </w:r>
      <w:proofErr w:type="spellEnd"/>
      <w:r>
        <w:rPr>
          <w:rFonts w:eastAsia="Times New Roman"/>
          <w:lang w:val="en-GB" w:eastAsia="en-GB"/>
        </w:rPr>
        <w:t xml:space="preserve"> Crescent</w:t>
      </w:r>
    </w:p>
    <w:p w14:paraId="3CB9ACB0" w14:textId="77777777" w:rsidR="00CD1FF6" w:rsidRDefault="00CD1FF6" w:rsidP="00CD1FF6">
      <w:pPr>
        <w:spacing w:after="0" w:line="360" w:lineRule="auto"/>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 xml:space="preserve">La Lucia Office Estate </w:t>
      </w:r>
    </w:p>
    <w:p w14:paraId="3A22B793" w14:textId="77777777" w:rsidR="00CD1FF6" w:rsidRDefault="00CD1FF6" w:rsidP="00CD1FF6">
      <w:pPr>
        <w:spacing w:after="0" w:line="360" w:lineRule="auto"/>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 xml:space="preserve">REF:C </w:t>
      </w:r>
      <w:proofErr w:type="spellStart"/>
      <w:r>
        <w:rPr>
          <w:rFonts w:eastAsia="Times New Roman"/>
          <w:lang w:val="en-GB" w:eastAsia="en-GB"/>
        </w:rPr>
        <w:t>Seger</w:t>
      </w:r>
      <w:proofErr w:type="spellEnd"/>
      <w:r>
        <w:rPr>
          <w:rFonts w:eastAsia="Times New Roman"/>
          <w:lang w:val="en-GB" w:eastAsia="en-GB"/>
        </w:rPr>
        <w:t>/ma/E055</w:t>
      </w:r>
    </w:p>
    <w:p w14:paraId="60E961DC" w14:textId="77777777" w:rsidR="007E68ED" w:rsidRDefault="007E68ED" w:rsidP="007E68ED">
      <w:pPr>
        <w:spacing w:after="0" w:line="360" w:lineRule="auto"/>
        <w:ind w:left="3600" w:right="-1300" w:firstLine="720"/>
        <w:jc w:val="both"/>
        <w:rPr>
          <w:rFonts w:eastAsia="Times New Roman"/>
          <w:lang w:val="en-GB" w:eastAsia="en-GB"/>
        </w:rPr>
      </w:pPr>
      <w:r>
        <w:rPr>
          <w:rFonts w:eastAsia="Times New Roman"/>
          <w:lang w:val="en-GB" w:eastAsia="en-GB"/>
        </w:rPr>
        <w:t xml:space="preserve">c/o Tatham Wilkens </w:t>
      </w:r>
      <w:proofErr w:type="spellStart"/>
      <w:r>
        <w:rPr>
          <w:rFonts w:eastAsia="Times New Roman"/>
          <w:lang w:val="en-GB" w:eastAsia="en-GB"/>
        </w:rPr>
        <w:t>Inc</w:t>
      </w:r>
      <w:proofErr w:type="spellEnd"/>
    </w:p>
    <w:p w14:paraId="745C1E7E" w14:textId="77777777" w:rsidR="007E68ED" w:rsidRDefault="007E68ED" w:rsidP="007E68ED">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REF: Mr H Drummond/Gisela/A1485</w:t>
      </w:r>
    </w:p>
    <w:p w14:paraId="0D0AC55B" w14:textId="77777777" w:rsidR="00CD1FF6" w:rsidRPr="00452624" w:rsidRDefault="007E68ED" w:rsidP="00CD1FF6">
      <w:pPr>
        <w:spacing w:after="0" w:line="360" w:lineRule="auto"/>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r w:rsidR="00CD1FF6">
        <w:rPr>
          <w:rFonts w:eastAsia="Times New Roman"/>
          <w:lang w:val="en-GB" w:eastAsia="en-GB"/>
        </w:rPr>
        <w:tab/>
      </w:r>
    </w:p>
    <w:p w14:paraId="7141F804" w14:textId="77777777" w:rsidR="00CD1FF6" w:rsidRPr="00452624" w:rsidRDefault="00CD1FF6" w:rsidP="00CD1FF6">
      <w:pPr>
        <w:spacing w:after="0" w:line="360" w:lineRule="auto"/>
        <w:jc w:val="both"/>
        <w:rPr>
          <w:rFonts w:eastAsia="Times New Roman"/>
          <w:lang w:val="en-GB" w:eastAsia="en-GB"/>
        </w:rPr>
      </w:pPr>
      <w:r w:rsidRPr="00452624">
        <w:rPr>
          <w:rFonts w:eastAsia="Times New Roman"/>
          <w:lang w:val="en-GB" w:eastAsia="en-GB"/>
        </w:rPr>
        <w:t xml:space="preserve">Counsel for the </w:t>
      </w:r>
      <w:r>
        <w:rPr>
          <w:rFonts w:eastAsia="Times New Roman"/>
          <w:lang w:val="en-GB" w:eastAsia="en-GB"/>
        </w:rPr>
        <w:t>respondent</w:t>
      </w:r>
      <w:r>
        <w:rPr>
          <w:rFonts w:eastAsia="Times New Roman"/>
          <w:lang w:val="en-GB" w:eastAsia="en-GB"/>
        </w:rPr>
        <w:tab/>
      </w:r>
      <w:r w:rsidRPr="00452624">
        <w:rPr>
          <w:rFonts w:eastAsia="Times New Roman"/>
          <w:lang w:val="en-GB" w:eastAsia="en-GB"/>
        </w:rPr>
        <w:t>:</w:t>
      </w:r>
      <w:r>
        <w:rPr>
          <w:rFonts w:eastAsia="Times New Roman"/>
          <w:lang w:val="en-GB" w:eastAsia="en-GB"/>
        </w:rPr>
        <w:tab/>
        <w:t xml:space="preserve">Mr T </w:t>
      </w:r>
      <w:proofErr w:type="spellStart"/>
      <w:r>
        <w:rPr>
          <w:rFonts w:eastAsia="Times New Roman"/>
          <w:lang w:val="en-GB" w:eastAsia="en-GB"/>
        </w:rPr>
        <w:t>Lotz</w:t>
      </w:r>
      <w:proofErr w:type="spellEnd"/>
      <w:r w:rsidRPr="00452624">
        <w:rPr>
          <w:rFonts w:eastAsia="Times New Roman"/>
          <w:lang w:val="en-GB" w:eastAsia="en-GB"/>
        </w:rPr>
        <w:tab/>
      </w:r>
      <w:r>
        <w:rPr>
          <w:rFonts w:eastAsia="Times New Roman"/>
          <w:lang w:val="en-GB" w:eastAsia="en-GB"/>
        </w:rPr>
        <w:t xml:space="preserve"> </w:t>
      </w:r>
    </w:p>
    <w:p w14:paraId="0AD4A7FE" w14:textId="77777777" w:rsidR="00CD1FF6" w:rsidRDefault="00CD1FF6" w:rsidP="00CD1FF6">
      <w:pPr>
        <w:spacing w:after="0" w:line="360" w:lineRule="auto"/>
        <w:ind w:right="-1300"/>
        <w:jc w:val="both"/>
        <w:rPr>
          <w:rFonts w:eastAsia="Times New Roman"/>
          <w:lang w:val="en-GB" w:eastAsia="en-GB"/>
        </w:rPr>
      </w:pPr>
      <w:r w:rsidRPr="00452624">
        <w:rPr>
          <w:rFonts w:eastAsia="Times New Roman"/>
          <w:lang w:val="en-GB" w:eastAsia="en-GB"/>
        </w:rPr>
        <w:t xml:space="preserve">Instructed by </w:t>
      </w:r>
      <w:r w:rsidRPr="00452624">
        <w:rPr>
          <w:rFonts w:eastAsia="Times New Roman"/>
          <w:lang w:val="en-GB" w:eastAsia="en-GB"/>
        </w:rPr>
        <w:tab/>
      </w:r>
      <w:r w:rsidRPr="00452624">
        <w:rPr>
          <w:rFonts w:eastAsia="Times New Roman"/>
          <w:lang w:val="en-GB" w:eastAsia="en-GB"/>
        </w:rPr>
        <w:tab/>
      </w:r>
      <w:r w:rsidRPr="00452624">
        <w:rPr>
          <w:rFonts w:eastAsia="Times New Roman"/>
          <w:lang w:val="en-GB" w:eastAsia="en-GB"/>
        </w:rPr>
        <w:tab/>
        <w:t>:</w:t>
      </w:r>
      <w:r w:rsidRPr="00452624">
        <w:rPr>
          <w:rFonts w:eastAsia="Times New Roman"/>
          <w:lang w:val="en-GB" w:eastAsia="en-GB"/>
        </w:rPr>
        <w:tab/>
      </w:r>
      <w:proofErr w:type="spellStart"/>
      <w:r>
        <w:rPr>
          <w:rFonts w:eastAsia="Times New Roman"/>
          <w:lang w:val="en-GB" w:eastAsia="en-GB"/>
        </w:rPr>
        <w:t>Goussard</w:t>
      </w:r>
      <w:proofErr w:type="spellEnd"/>
      <w:r>
        <w:rPr>
          <w:rFonts w:eastAsia="Times New Roman"/>
          <w:lang w:val="en-GB" w:eastAsia="en-GB"/>
        </w:rPr>
        <w:t xml:space="preserve"> Attorneys Inc.</w:t>
      </w:r>
    </w:p>
    <w:p w14:paraId="1B3D7C8A" w14:textId="77777777" w:rsidR="00CD1FF6" w:rsidRDefault="00CD1FF6"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33 Victoria Street</w:t>
      </w:r>
    </w:p>
    <w:p w14:paraId="20DF75A1" w14:textId="77777777" w:rsidR="00CD1FF6" w:rsidRDefault="00CD1FF6"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sidR="007E68ED">
        <w:rPr>
          <w:rFonts w:eastAsia="Times New Roman"/>
          <w:lang w:val="en-GB" w:eastAsia="en-GB"/>
        </w:rPr>
        <w:t xml:space="preserve">George </w:t>
      </w:r>
      <w:r>
        <w:rPr>
          <w:rFonts w:eastAsia="Times New Roman"/>
          <w:lang w:val="en-GB" w:eastAsia="en-GB"/>
        </w:rPr>
        <w:t>Central</w:t>
      </w:r>
    </w:p>
    <w:p w14:paraId="37B05D82" w14:textId="77777777" w:rsidR="007E68ED" w:rsidRDefault="007E68ED"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George</w:t>
      </w:r>
    </w:p>
    <w:p w14:paraId="04000AAA" w14:textId="77777777" w:rsidR="007E68ED" w:rsidRDefault="007E68ED"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REF: DG/bb/AB782</w:t>
      </w:r>
    </w:p>
    <w:p w14:paraId="10A5C559" w14:textId="77777777" w:rsidR="007E68ED" w:rsidRDefault="007E68ED"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c/o Hay &amp; Scott Attorneys</w:t>
      </w:r>
    </w:p>
    <w:p w14:paraId="4290938A" w14:textId="2C6E3CE7" w:rsidR="007E68ED" w:rsidRDefault="007E68ED" w:rsidP="00CD1FF6">
      <w:pPr>
        <w:spacing w:after="0" w:line="360" w:lineRule="auto"/>
        <w:ind w:right="-1300"/>
        <w:jc w:val="both"/>
        <w:rPr>
          <w:rFonts w:eastAsia="Times New Roman"/>
          <w:lang w:val="en-GB" w:eastAsia="en-GB"/>
        </w:rPr>
      </w:pP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r>
      <w:r>
        <w:rPr>
          <w:rFonts w:eastAsia="Times New Roman"/>
          <w:lang w:val="en-GB" w:eastAsia="en-GB"/>
        </w:rPr>
        <w:tab/>
        <w:t>REF:</w:t>
      </w:r>
      <w:r w:rsidR="0096728D">
        <w:rPr>
          <w:rFonts w:eastAsia="Times New Roman"/>
          <w:lang w:val="en-GB" w:eastAsia="en-GB"/>
        </w:rPr>
        <w:t xml:space="preserve"> </w:t>
      </w:r>
      <w:r>
        <w:rPr>
          <w:rFonts w:eastAsia="Times New Roman"/>
          <w:lang w:val="en-GB" w:eastAsia="en-GB"/>
        </w:rPr>
        <w:t xml:space="preserve">J </w:t>
      </w:r>
      <w:proofErr w:type="spellStart"/>
      <w:r>
        <w:rPr>
          <w:rFonts w:eastAsia="Times New Roman"/>
          <w:lang w:val="en-GB" w:eastAsia="en-GB"/>
        </w:rPr>
        <w:t>Cappon</w:t>
      </w:r>
      <w:proofErr w:type="spellEnd"/>
      <w:r>
        <w:rPr>
          <w:rFonts w:eastAsia="Times New Roman"/>
          <w:lang w:val="en-GB" w:eastAsia="en-GB"/>
        </w:rPr>
        <w:t>/lm/029205001</w:t>
      </w:r>
    </w:p>
    <w:p w14:paraId="3F78F56B" w14:textId="77777777" w:rsidR="00CD1FF6" w:rsidRPr="00C82981" w:rsidRDefault="00CD1FF6" w:rsidP="00CD1FF6">
      <w:pPr>
        <w:spacing w:after="0" w:line="360" w:lineRule="auto"/>
        <w:contextualSpacing/>
        <w:rPr>
          <w:rFonts w:eastAsia="Times New Roman"/>
          <w:bCs/>
          <w:iCs/>
          <w:color w:val="000000"/>
        </w:rPr>
      </w:pPr>
      <w:r>
        <w:rPr>
          <w:rFonts w:ascii="Calibri" w:eastAsia="Times New Roman" w:hAnsi="Calibri"/>
          <w:b/>
          <w:bCs/>
          <w:i/>
          <w:iCs/>
          <w:color w:val="000000"/>
        </w:rPr>
        <w:tab/>
      </w:r>
      <w:r>
        <w:rPr>
          <w:rFonts w:ascii="Calibri" w:eastAsia="Times New Roman" w:hAnsi="Calibri"/>
          <w:b/>
          <w:bCs/>
          <w:i/>
          <w:iCs/>
          <w:color w:val="000000"/>
        </w:rPr>
        <w:tab/>
      </w:r>
      <w:r>
        <w:rPr>
          <w:rFonts w:ascii="Calibri" w:eastAsia="Times New Roman" w:hAnsi="Calibri"/>
          <w:b/>
          <w:bCs/>
          <w:i/>
          <w:iCs/>
          <w:color w:val="000000"/>
        </w:rPr>
        <w:tab/>
      </w:r>
      <w:r>
        <w:rPr>
          <w:rFonts w:ascii="Calibri" w:eastAsia="Times New Roman" w:hAnsi="Calibri"/>
          <w:b/>
          <w:bCs/>
          <w:i/>
          <w:iCs/>
          <w:color w:val="000000"/>
        </w:rPr>
        <w:tab/>
      </w:r>
    </w:p>
    <w:p w14:paraId="1E6BCD02" w14:textId="41CFC104" w:rsidR="00CD1FF6" w:rsidRPr="00452624" w:rsidRDefault="00CD1FF6" w:rsidP="00CD1FF6">
      <w:pPr>
        <w:spacing w:line="360" w:lineRule="auto"/>
        <w:jc w:val="both"/>
        <w:rPr>
          <w:rFonts w:eastAsia="Calibri"/>
          <w:szCs w:val="22"/>
          <w:lang w:val="en-GB"/>
        </w:rPr>
      </w:pPr>
      <w:r w:rsidRPr="00452624">
        <w:rPr>
          <w:rFonts w:eastAsia="Calibri"/>
          <w:szCs w:val="22"/>
          <w:lang w:val="en-GB"/>
        </w:rPr>
        <w:t xml:space="preserve">Date of Hearing </w:t>
      </w:r>
      <w:r w:rsidRPr="00452624">
        <w:rPr>
          <w:rFonts w:eastAsia="Calibri"/>
          <w:szCs w:val="22"/>
          <w:lang w:val="en-GB"/>
        </w:rPr>
        <w:tab/>
      </w:r>
      <w:r w:rsidRPr="00452624">
        <w:rPr>
          <w:rFonts w:eastAsia="Calibri"/>
          <w:szCs w:val="22"/>
          <w:lang w:val="en-GB"/>
        </w:rPr>
        <w:tab/>
      </w:r>
      <w:r w:rsidRPr="00452624">
        <w:rPr>
          <w:rFonts w:eastAsia="Calibri"/>
          <w:szCs w:val="22"/>
          <w:lang w:val="en-GB"/>
        </w:rPr>
        <w:tab/>
        <w:t>:</w:t>
      </w:r>
      <w:r w:rsidRPr="00452624">
        <w:rPr>
          <w:rFonts w:eastAsia="Calibri"/>
          <w:szCs w:val="22"/>
          <w:lang w:val="en-GB"/>
        </w:rPr>
        <w:tab/>
      </w:r>
      <w:r w:rsidR="00C83E61">
        <w:rPr>
          <w:rFonts w:eastAsia="Calibri"/>
          <w:szCs w:val="22"/>
          <w:lang w:val="en-GB"/>
        </w:rPr>
        <w:t>0</w:t>
      </w:r>
      <w:r w:rsidR="007E68ED">
        <w:rPr>
          <w:rFonts w:eastAsia="Calibri"/>
          <w:szCs w:val="22"/>
          <w:lang w:val="en-GB"/>
        </w:rPr>
        <w:t>4 March 2022</w:t>
      </w:r>
    </w:p>
    <w:p w14:paraId="28A495FA" w14:textId="6C365E86" w:rsidR="00CD1FF6" w:rsidRDefault="00CD1FF6" w:rsidP="00CD1FF6">
      <w:pPr>
        <w:spacing w:line="360" w:lineRule="auto"/>
        <w:jc w:val="both"/>
        <w:rPr>
          <w:rFonts w:eastAsia="Calibri"/>
          <w:szCs w:val="22"/>
          <w:lang w:val="en-GB"/>
        </w:rPr>
      </w:pPr>
      <w:r w:rsidRPr="00452624">
        <w:rPr>
          <w:rFonts w:eastAsia="Calibri"/>
          <w:szCs w:val="22"/>
          <w:lang w:val="en-GB"/>
        </w:rPr>
        <w:t xml:space="preserve">Date of Judgment </w:t>
      </w:r>
      <w:r w:rsidRPr="00452624">
        <w:rPr>
          <w:rFonts w:eastAsia="Calibri"/>
          <w:szCs w:val="22"/>
          <w:lang w:val="en-GB"/>
        </w:rPr>
        <w:tab/>
      </w:r>
      <w:r w:rsidRPr="00452624">
        <w:rPr>
          <w:rFonts w:eastAsia="Calibri"/>
          <w:szCs w:val="22"/>
          <w:lang w:val="en-GB"/>
        </w:rPr>
        <w:tab/>
      </w:r>
      <w:r w:rsidRPr="00452624">
        <w:rPr>
          <w:rFonts w:eastAsia="Calibri"/>
          <w:szCs w:val="22"/>
          <w:lang w:val="en-GB"/>
        </w:rPr>
        <w:tab/>
        <w:t>:</w:t>
      </w:r>
      <w:r w:rsidRPr="00452624">
        <w:rPr>
          <w:rFonts w:eastAsia="Calibri"/>
          <w:szCs w:val="22"/>
          <w:lang w:val="en-GB"/>
        </w:rPr>
        <w:tab/>
      </w:r>
      <w:r w:rsidR="00292304">
        <w:rPr>
          <w:rFonts w:eastAsia="Calibri"/>
          <w:szCs w:val="22"/>
          <w:lang w:val="en-GB"/>
        </w:rPr>
        <w:t>22 April 2022</w:t>
      </w:r>
      <w:bookmarkStart w:id="4" w:name="_GoBack"/>
      <w:bookmarkEnd w:id="4"/>
    </w:p>
    <w:p w14:paraId="4D1A5FE7" w14:textId="77777777" w:rsidR="00CD1FF6" w:rsidRDefault="00CD1FF6" w:rsidP="00EC3FBE">
      <w:pPr>
        <w:spacing w:line="360" w:lineRule="auto"/>
        <w:ind w:left="720" w:hanging="720"/>
        <w:jc w:val="right"/>
        <w:rPr>
          <w:color w:val="000000" w:themeColor="text1"/>
        </w:rPr>
      </w:pPr>
    </w:p>
    <w:sectPr w:rsidR="00CD1FF6" w:rsidSect="00E93DDF">
      <w:headerReference w:type="default" r:id="rId9"/>
      <w:type w:val="continuous"/>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8FAB" w14:textId="77777777" w:rsidR="00592506" w:rsidRDefault="00592506" w:rsidP="00A45709">
      <w:pPr>
        <w:spacing w:after="0" w:line="240" w:lineRule="auto"/>
      </w:pPr>
      <w:r>
        <w:separator/>
      </w:r>
    </w:p>
  </w:endnote>
  <w:endnote w:type="continuationSeparator" w:id="0">
    <w:p w14:paraId="467220F4" w14:textId="77777777" w:rsidR="00592506" w:rsidRDefault="00592506" w:rsidP="00A4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1BAD" w14:textId="77777777" w:rsidR="00592506" w:rsidRDefault="00592506" w:rsidP="00A45709">
      <w:pPr>
        <w:spacing w:after="0" w:line="240" w:lineRule="auto"/>
      </w:pPr>
      <w:r>
        <w:separator/>
      </w:r>
    </w:p>
  </w:footnote>
  <w:footnote w:type="continuationSeparator" w:id="0">
    <w:p w14:paraId="17773691" w14:textId="77777777" w:rsidR="00592506" w:rsidRDefault="00592506" w:rsidP="00A45709">
      <w:pPr>
        <w:spacing w:after="0" w:line="240" w:lineRule="auto"/>
      </w:pPr>
      <w:r>
        <w:continuationSeparator/>
      </w:r>
    </w:p>
  </w:footnote>
  <w:footnote w:id="1">
    <w:p w14:paraId="4E2CBA4D" w14:textId="77777777" w:rsidR="008F1E96" w:rsidRPr="006A5F53" w:rsidRDefault="008F1E96"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 xml:space="preserve">See </w:t>
      </w:r>
      <w:r w:rsidR="00544ADC" w:rsidRPr="006A5F53">
        <w:rPr>
          <w:rFonts w:ascii="Arial" w:hAnsi="Arial" w:cs="Arial"/>
          <w:lang w:val="en-GB"/>
        </w:rPr>
        <w:t>a</w:t>
      </w:r>
      <w:r w:rsidR="00F31E04" w:rsidRPr="006A5F53">
        <w:rPr>
          <w:rFonts w:ascii="Arial" w:hAnsi="Arial" w:cs="Arial"/>
          <w:lang w:val="en-GB"/>
        </w:rPr>
        <w:t xml:space="preserve">nnexure </w:t>
      </w:r>
      <w:r w:rsidRPr="006A5F53">
        <w:rPr>
          <w:rFonts w:ascii="Arial" w:hAnsi="Arial" w:cs="Arial"/>
          <w:lang w:val="en-GB"/>
        </w:rPr>
        <w:t xml:space="preserve">GAR13 at </w:t>
      </w:r>
      <w:r w:rsidR="00AE54D0" w:rsidRPr="006A5F53">
        <w:rPr>
          <w:rFonts w:ascii="Arial" w:hAnsi="Arial" w:cs="Arial"/>
          <w:lang w:val="en-GB"/>
        </w:rPr>
        <w:t xml:space="preserve">page </w:t>
      </w:r>
      <w:r w:rsidRPr="006A5F53">
        <w:rPr>
          <w:rFonts w:ascii="Arial" w:hAnsi="Arial" w:cs="Arial"/>
          <w:lang w:val="en-GB"/>
        </w:rPr>
        <w:t>26</w:t>
      </w:r>
      <w:r w:rsidR="00F31E04" w:rsidRPr="006A5F53">
        <w:rPr>
          <w:rFonts w:ascii="Arial" w:hAnsi="Arial" w:cs="Arial"/>
          <w:lang w:val="en-GB"/>
        </w:rPr>
        <w:t xml:space="preserve"> of the indexed bundle</w:t>
      </w:r>
      <w:r w:rsidRPr="006A5F53">
        <w:rPr>
          <w:rFonts w:ascii="Arial" w:hAnsi="Arial" w:cs="Arial"/>
          <w:lang w:val="en-GB"/>
        </w:rPr>
        <w:t>.</w:t>
      </w:r>
    </w:p>
  </w:footnote>
  <w:footnote w:id="2">
    <w:p w14:paraId="24F3F870" w14:textId="52080EFF" w:rsidR="00DB3376" w:rsidRPr="006A5F53" w:rsidRDefault="00DB3376"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See Vol 1 page 44, para 5 and 6</w:t>
      </w:r>
      <w:r w:rsidR="00A47635" w:rsidRPr="006A5F53">
        <w:rPr>
          <w:rFonts w:ascii="Arial" w:hAnsi="Arial" w:cs="Arial"/>
          <w:lang w:val="en-GB"/>
        </w:rPr>
        <w:t xml:space="preserve"> of the indexed bundle</w:t>
      </w:r>
      <w:r w:rsidRPr="006A5F53">
        <w:rPr>
          <w:rFonts w:ascii="Arial" w:hAnsi="Arial" w:cs="Arial"/>
          <w:lang w:val="en-GB"/>
        </w:rPr>
        <w:t>.</w:t>
      </w:r>
    </w:p>
  </w:footnote>
  <w:footnote w:id="3">
    <w:p w14:paraId="3E8E99B5" w14:textId="0C0A2250" w:rsidR="009C12F6" w:rsidRPr="006A5F53" w:rsidRDefault="009C12F6"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See the content of the letter that was sent to the appellants on 12 August 2019 (</w:t>
      </w:r>
      <w:r w:rsidR="00A47635" w:rsidRPr="006A5F53">
        <w:rPr>
          <w:rFonts w:ascii="Arial" w:hAnsi="Arial" w:cs="Arial"/>
        </w:rPr>
        <w:t xml:space="preserve">annexure </w:t>
      </w:r>
      <w:r w:rsidRPr="006A5F53">
        <w:rPr>
          <w:rFonts w:ascii="Arial" w:hAnsi="Arial" w:cs="Arial"/>
        </w:rPr>
        <w:t xml:space="preserve">GAR 14) at </w:t>
      </w:r>
      <w:r w:rsidR="00B13E66" w:rsidRPr="006A5F53">
        <w:rPr>
          <w:rFonts w:ascii="Arial" w:hAnsi="Arial" w:cs="Arial"/>
        </w:rPr>
        <w:t xml:space="preserve">page </w:t>
      </w:r>
      <w:r w:rsidRPr="006A5F53">
        <w:rPr>
          <w:rFonts w:ascii="Arial" w:hAnsi="Arial" w:cs="Arial"/>
        </w:rPr>
        <w:t xml:space="preserve">27 </w:t>
      </w:r>
      <w:r w:rsidR="00E01032" w:rsidRPr="006A5F53">
        <w:rPr>
          <w:rFonts w:ascii="Arial" w:hAnsi="Arial" w:cs="Arial"/>
        </w:rPr>
        <w:t>e</w:t>
      </w:r>
      <w:r w:rsidR="005905C5" w:rsidRPr="006A5F53">
        <w:rPr>
          <w:rFonts w:ascii="Arial" w:hAnsi="Arial" w:cs="Arial"/>
        </w:rPr>
        <w:t>t</w:t>
      </w:r>
      <w:r w:rsidR="008E6197" w:rsidRPr="006A5F53">
        <w:rPr>
          <w:rFonts w:ascii="Arial" w:hAnsi="Arial" w:cs="Arial"/>
        </w:rPr>
        <w:t xml:space="preserve"> </w:t>
      </w:r>
      <w:r w:rsidR="00E01032" w:rsidRPr="006A5F53">
        <w:rPr>
          <w:rFonts w:ascii="Arial" w:hAnsi="Arial" w:cs="Arial"/>
        </w:rPr>
        <w:t>seq</w:t>
      </w:r>
      <w:r w:rsidRPr="006A5F53">
        <w:rPr>
          <w:rFonts w:ascii="Arial" w:hAnsi="Arial" w:cs="Arial"/>
        </w:rPr>
        <w:t>.</w:t>
      </w:r>
    </w:p>
  </w:footnote>
  <w:footnote w:id="4">
    <w:p w14:paraId="7FAB975B" w14:textId="27A6C56A" w:rsidR="00E01032" w:rsidRPr="006A5F53" w:rsidRDefault="00E01032"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See </w:t>
      </w:r>
      <w:r w:rsidR="00074325" w:rsidRPr="006A5F53">
        <w:rPr>
          <w:rFonts w:ascii="Arial" w:hAnsi="Arial" w:cs="Arial"/>
        </w:rPr>
        <w:t xml:space="preserve">annexure </w:t>
      </w:r>
      <w:r w:rsidRPr="006A5F53">
        <w:rPr>
          <w:rFonts w:ascii="Arial" w:hAnsi="Arial" w:cs="Arial"/>
        </w:rPr>
        <w:t xml:space="preserve">GAR 15 at </w:t>
      </w:r>
      <w:r w:rsidR="00B13E66" w:rsidRPr="006A5F53">
        <w:rPr>
          <w:rFonts w:ascii="Arial" w:hAnsi="Arial" w:cs="Arial"/>
        </w:rPr>
        <w:t xml:space="preserve">page </w:t>
      </w:r>
      <w:r w:rsidRPr="006A5F53">
        <w:rPr>
          <w:rFonts w:ascii="Arial" w:hAnsi="Arial" w:cs="Arial"/>
        </w:rPr>
        <w:t>32</w:t>
      </w:r>
      <w:r w:rsidR="00A47635" w:rsidRPr="006A5F53">
        <w:rPr>
          <w:rFonts w:ascii="Arial" w:hAnsi="Arial" w:cs="Arial"/>
          <w:lang w:val="en-GB"/>
        </w:rPr>
        <w:t xml:space="preserve"> of the indexed bundle</w:t>
      </w:r>
      <w:r w:rsidRPr="006A5F53">
        <w:rPr>
          <w:rFonts w:ascii="Arial" w:hAnsi="Arial" w:cs="Arial"/>
        </w:rPr>
        <w:t>.</w:t>
      </w:r>
    </w:p>
  </w:footnote>
  <w:footnote w:id="5">
    <w:p w14:paraId="74DA7FC2" w14:textId="08951C4B" w:rsidR="00E01032" w:rsidRPr="006A5F53" w:rsidRDefault="00E01032"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Vol 1 pages 33 to 36</w:t>
      </w:r>
      <w:r w:rsidR="00A47635" w:rsidRPr="006A5F53">
        <w:rPr>
          <w:rFonts w:ascii="Arial" w:hAnsi="Arial" w:cs="Arial"/>
          <w:lang w:val="en-GB"/>
        </w:rPr>
        <w:t xml:space="preserve"> of the indexed bundle</w:t>
      </w:r>
      <w:r w:rsidRPr="006A5F53">
        <w:rPr>
          <w:rFonts w:ascii="Arial" w:hAnsi="Arial" w:cs="Arial"/>
        </w:rPr>
        <w:t>.</w:t>
      </w:r>
    </w:p>
  </w:footnote>
  <w:footnote w:id="6">
    <w:p w14:paraId="7D641F7F" w14:textId="3D30B55F" w:rsidR="00D42228" w:rsidRPr="006A5F53" w:rsidRDefault="00D42228"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8E6197" w:rsidRPr="006A5F53">
        <w:rPr>
          <w:rFonts w:ascii="Arial" w:hAnsi="Arial" w:cs="Arial"/>
        </w:rPr>
        <w:t>Vol 1 page 43</w:t>
      </w:r>
      <w:r w:rsidR="00A47635" w:rsidRPr="006A5F53">
        <w:rPr>
          <w:rFonts w:ascii="Arial" w:hAnsi="Arial" w:cs="Arial"/>
          <w:lang w:val="en-GB"/>
        </w:rPr>
        <w:t xml:space="preserve"> of the indexed bundle</w:t>
      </w:r>
      <w:r w:rsidR="008E6197" w:rsidRPr="006A5F53">
        <w:rPr>
          <w:rFonts w:ascii="Arial" w:hAnsi="Arial" w:cs="Arial"/>
        </w:rPr>
        <w:t xml:space="preserve">. </w:t>
      </w:r>
    </w:p>
  </w:footnote>
  <w:footnote w:id="7">
    <w:p w14:paraId="05194C3E" w14:textId="77777777" w:rsidR="00F376BF" w:rsidRPr="006A5F53" w:rsidRDefault="00F376BF"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CF32A0" w:rsidRPr="006A5F53">
        <w:rPr>
          <w:rFonts w:ascii="Arial" w:hAnsi="Arial" w:cs="Arial"/>
        </w:rPr>
        <w:t>P</w:t>
      </w:r>
      <w:r w:rsidRPr="006A5F53">
        <w:rPr>
          <w:rFonts w:ascii="Arial" w:hAnsi="Arial" w:cs="Arial"/>
        </w:rPr>
        <w:t xml:space="preserve">ara 17 </w:t>
      </w:r>
      <w:r w:rsidR="00406942" w:rsidRPr="006A5F53">
        <w:rPr>
          <w:rFonts w:ascii="Arial" w:hAnsi="Arial" w:cs="Arial"/>
        </w:rPr>
        <w:t xml:space="preserve">of </w:t>
      </w:r>
      <w:r w:rsidR="00AA5872" w:rsidRPr="006A5F53">
        <w:rPr>
          <w:rFonts w:ascii="Arial" w:hAnsi="Arial" w:cs="Arial"/>
        </w:rPr>
        <w:t>the court a quo’s</w:t>
      </w:r>
      <w:r w:rsidR="00406942" w:rsidRPr="006A5F53">
        <w:rPr>
          <w:rFonts w:ascii="Arial" w:hAnsi="Arial" w:cs="Arial"/>
        </w:rPr>
        <w:t xml:space="preserve"> judgment</w:t>
      </w:r>
      <w:r w:rsidR="001A5D11" w:rsidRPr="006A5F53">
        <w:rPr>
          <w:rFonts w:ascii="Arial" w:hAnsi="Arial" w:cs="Arial"/>
        </w:rPr>
        <w:t>.</w:t>
      </w:r>
    </w:p>
  </w:footnote>
  <w:footnote w:id="8">
    <w:p w14:paraId="368E98CD" w14:textId="77777777" w:rsidR="002342FE" w:rsidRPr="006A5F53" w:rsidRDefault="002342FE"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406942" w:rsidRPr="006A5F53">
        <w:rPr>
          <w:rFonts w:ascii="Arial" w:hAnsi="Arial" w:cs="Arial"/>
          <w:i/>
        </w:rPr>
        <w:t xml:space="preserve">Natal Joint Municipal Pension Fund v </w:t>
      </w:r>
      <w:proofErr w:type="spellStart"/>
      <w:r w:rsidR="00406942" w:rsidRPr="006A5F53">
        <w:rPr>
          <w:rFonts w:ascii="Arial" w:hAnsi="Arial" w:cs="Arial"/>
          <w:i/>
        </w:rPr>
        <w:t>Endumeni</w:t>
      </w:r>
      <w:proofErr w:type="spellEnd"/>
      <w:r w:rsidR="00406942" w:rsidRPr="006A5F53">
        <w:rPr>
          <w:rFonts w:ascii="Arial" w:hAnsi="Arial" w:cs="Arial"/>
          <w:i/>
        </w:rPr>
        <w:t xml:space="preserve"> Municipality</w:t>
      </w:r>
      <w:r w:rsidR="00406942" w:rsidRPr="006A5F53">
        <w:rPr>
          <w:rFonts w:ascii="Arial" w:hAnsi="Arial" w:cs="Arial"/>
        </w:rPr>
        <w:t xml:space="preserve"> [2012] ZASCA 13; </w:t>
      </w:r>
      <w:r w:rsidRPr="006A5F53">
        <w:rPr>
          <w:rFonts w:ascii="Arial" w:hAnsi="Arial" w:cs="Arial"/>
        </w:rPr>
        <w:t>2012 (4) SA 593 (SCA).</w:t>
      </w:r>
    </w:p>
  </w:footnote>
  <w:footnote w:id="9">
    <w:p w14:paraId="1788C5BE" w14:textId="77777777" w:rsidR="002342FE" w:rsidRPr="006A5F53" w:rsidRDefault="002342FE"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CF32A0" w:rsidRPr="006A5F53">
        <w:rPr>
          <w:rFonts w:ascii="Arial" w:hAnsi="Arial" w:cs="Arial"/>
        </w:rPr>
        <w:t>P</w:t>
      </w:r>
      <w:r w:rsidRPr="006A5F53">
        <w:rPr>
          <w:rFonts w:ascii="Arial" w:hAnsi="Arial" w:cs="Arial"/>
        </w:rPr>
        <w:t xml:space="preserve">ara 18 of </w:t>
      </w:r>
      <w:r w:rsidR="00AA5872" w:rsidRPr="006A5F53">
        <w:rPr>
          <w:rFonts w:ascii="Arial" w:hAnsi="Arial" w:cs="Arial"/>
        </w:rPr>
        <w:t xml:space="preserve">the court a quo’s </w:t>
      </w:r>
      <w:r w:rsidRPr="006A5F53">
        <w:rPr>
          <w:rFonts w:ascii="Arial" w:hAnsi="Arial" w:cs="Arial"/>
        </w:rPr>
        <w:t>judgment.</w:t>
      </w:r>
    </w:p>
  </w:footnote>
  <w:footnote w:id="10">
    <w:p w14:paraId="7516D89F" w14:textId="77777777" w:rsidR="005E65F1" w:rsidRPr="006A5F53" w:rsidRDefault="005E65F1"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Ibid para 18.</w:t>
      </w:r>
    </w:p>
  </w:footnote>
  <w:footnote w:id="11">
    <w:p w14:paraId="08813A5C" w14:textId="77777777" w:rsidR="00F65A7A" w:rsidRPr="006A5F53" w:rsidRDefault="00F65A7A"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The Shorter Oxford English Dictionary (1978) at 453.</w:t>
      </w:r>
    </w:p>
  </w:footnote>
  <w:footnote w:id="12">
    <w:p w14:paraId="60A892CB" w14:textId="77777777" w:rsidR="00605445" w:rsidRPr="006A5F53" w:rsidRDefault="00605445"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5F536C" w:rsidRPr="006A5F53">
        <w:rPr>
          <w:rFonts w:ascii="Arial" w:hAnsi="Arial" w:cs="Arial"/>
          <w:i/>
        </w:rPr>
        <w:t>Pine Village Home Owners Association Ltd and others v The Master and others</w:t>
      </w:r>
      <w:r w:rsidR="005F536C" w:rsidRPr="006A5F53">
        <w:rPr>
          <w:rFonts w:ascii="Arial" w:hAnsi="Arial" w:cs="Arial"/>
        </w:rPr>
        <w:t xml:space="preserve"> </w:t>
      </w:r>
      <w:r w:rsidR="00ED1F7C" w:rsidRPr="006A5F53">
        <w:rPr>
          <w:rFonts w:ascii="Arial" w:hAnsi="Arial" w:cs="Arial"/>
        </w:rPr>
        <w:t>2001</w:t>
      </w:r>
      <w:r w:rsidR="00DF5D14" w:rsidRPr="006A5F53">
        <w:rPr>
          <w:rFonts w:ascii="Arial" w:hAnsi="Arial" w:cs="Arial"/>
        </w:rPr>
        <w:t xml:space="preserve"> </w:t>
      </w:r>
      <w:r w:rsidRPr="006A5F53">
        <w:rPr>
          <w:rFonts w:ascii="Arial" w:hAnsi="Arial" w:cs="Arial"/>
        </w:rPr>
        <w:t>(2) SA 576 (SE).</w:t>
      </w:r>
    </w:p>
  </w:footnote>
  <w:footnote w:id="13">
    <w:p w14:paraId="3E145881" w14:textId="77777777" w:rsidR="00EC3505" w:rsidRPr="006A5F53" w:rsidRDefault="00EC3505"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Ibid at 581C-D.</w:t>
      </w:r>
    </w:p>
  </w:footnote>
  <w:footnote w:id="14">
    <w:p w14:paraId="2D940FC7" w14:textId="77777777" w:rsidR="00EC3505" w:rsidRPr="006A5F53" w:rsidRDefault="00EC3505"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proofErr w:type="spellStart"/>
      <w:r w:rsidR="007B1CC1" w:rsidRPr="006A5F53">
        <w:rPr>
          <w:rFonts w:ascii="Arial" w:hAnsi="Arial" w:cs="Arial"/>
          <w:i/>
        </w:rPr>
        <w:t>Myburgh</w:t>
      </w:r>
      <w:proofErr w:type="spellEnd"/>
      <w:r w:rsidR="007B1CC1" w:rsidRPr="006A5F53">
        <w:rPr>
          <w:rFonts w:ascii="Arial" w:hAnsi="Arial" w:cs="Arial"/>
          <w:i/>
        </w:rPr>
        <w:t xml:space="preserve"> v Walters NO</w:t>
      </w:r>
      <w:r w:rsidR="007B1CC1" w:rsidRPr="006A5F53">
        <w:rPr>
          <w:rFonts w:ascii="Arial" w:hAnsi="Arial" w:cs="Arial"/>
          <w:lang w:val="en-GB"/>
        </w:rPr>
        <w:t xml:space="preserve"> </w:t>
      </w:r>
      <w:r w:rsidR="00ED1F7C" w:rsidRPr="006A5F53">
        <w:rPr>
          <w:rFonts w:ascii="Arial" w:hAnsi="Arial" w:cs="Arial"/>
          <w:lang w:val="en-GB"/>
        </w:rPr>
        <w:t>2001</w:t>
      </w:r>
      <w:r w:rsidR="00DF5D14" w:rsidRPr="006A5F53">
        <w:rPr>
          <w:rFonts w:ascii="Arial" w:hAnsi="Arial" w:cs="Arial"/>
          <w:lang w:val="en-GB"/>
        </w:rPr>
        <w:t xml:space="preserve"> </w:t>
      </w:r>
      <w:r w:rsidRPr="006A5F53">
        <w:rPr>
          <w:rFonts w:ascii="Arial" w:hAnsi="Arial" w:cs="Arial"/>
          <w:lang w:val="en-GB"/>
        </w:rPr>
        <w:t>(2) SA 127 (C).</w:t>
      </w:r>
    </w:p>
  </w:footnote>
  <w:footnote w:id="15">
    <w:p w14:paraId="242E00A3" w14:textId="77777777" w:rsidR="00D33CF2" w:rsidRPr="006A5F53" w:rsidRDefault="00D33CF2"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Ibid at 130H-I.</w:t>
      </w:r>
    </w:p>
  </w:footnote>
  <w:footnote w:id="16">
    <w:p w14:paraId="13DB41A9" w14:textId="77777777" w:rsidR="007629A3" w:rsidRPr="006A5F53" w:rsidRDefault="007629A3"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E Bertelsmann </w:t>
      </w:r>
      <w:r w:rsidRPr="006A5F53">
        <w:rPr>
          <w:rFonts w:ascii="Arial" w:hAnsi="Arial" w:cs="Arial"/>
          <w:i/>
        </w:rPr>
        <w:t>et al</w:t>
      </w:r>
      <w:r w:rsidRPr="006A5F53">
        <w:rPr>
          <w:rFonts w:ascii="Arial" w:hAnsi="Arial" w:cs="Arial"/>
        </w:rPr>
        <w:t xml:space="preserve"> </w:t>
      </w:r>
      <w:r w:rsidRPr="006A5F53">
        <w:rPr>
          <w:rFonts w:ascii="Arial" w:hAnsi="Arial" w:cs="Arial"/>
          <w:i/>
        </w:rPr>
        <w:t>Mars: The Law of Insolvency in South Africa</w:t>
      </w:r>
      <w:r w:rsidRPr="006A5F53">
        <w:rPr>
          <w:rFonts w:ascii="Arial" w:hAnsi="Arial" w:cs="Arial"/>
        </w:rPr>
        <w:t xml:space="preserve"> 10 </w:t>
      </w:r>
      <w:proofErr w:type="spellStart"/>
      <w:r w:rsidRPr="006A5F53">
        <w:rPr>
          <w:rFonts w:ascii="Arial" w:hAnsi="Arial" w:cs="Arial"/>
        </w:rPr>
        <w:t>ed</w:t>
      </w:r>
      <w:proofErr w:type="spellEnd"/>
      <w:r w:rsidRPr="006A5F53">
        <w:rPr>
          <w:rFonts w:ascii="Arial" w:hAnsi="Arial" w:cs="Arial"/>
        </w:rPr>
        <w:t xml:space="preserve"> (2019).</w:t>
      </w:r>
    </w:p>
  </w:footnote>
  <w:footnote w:id="17">
    <w:p w14:paraId="5D72BF11" w14:textId="77777777" w:rsidR="007629A3" w:rsidRPr="006A5F53" w:rsidRDefault="007629A3"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CC18DB" w:rsidRPr="006A5F53">
        <w:rPr>
          <w:rFonts w:ascii="Arial" w:hAnsi="Arial" w:cs="Arial"/>
        </w:rPr>
        <w:t>Ibid</w:t>
      </w:r>
      <w:r w:rsidR="007E1075" w:rsidRPr="006A5F53">
        <w:rPr>
          <w:rFonts w:ascii="Arial" w:hAnsi="Arial" w:cs="Arial"/>
        </w:rPr>
        <w:t xml:space="preserve"> para 17.1 at 404</w:t>
      </w:r>
      <w:r w:rsidRPr="006A5F53">
        <w:rPr>
          <w:rFonts w:ascii="Arial" w:hAnsi="Arial" w:cs="Arial"/>
        </w:rPr>
        <w:t>.</w:t>
      </w:r>
    </w:p>
  </w:footnote>
  <w:footnote w:id="18">
    <w:p w14:paraId="1618E4BE" w14:textId="77777777" w:rsidR="00215708" w:rsidRPr="006A5F53" w:rsidRDefault="00215708" w:rsidP="006A5F53">
      <w:pPr>
        <w:pStyle w:val="FootnoteText"/>
        <w:contextualSpacing/>
        <w:jc w:val="both"/>
        <w:rPr>
          <w:rFonts w:ascii="Arial" w:hAnsi="Arial" w:cs="Arial"/>
          <w:lang w:val="en-GB"/>
        </w:rPr>
      </w:pPr>
      <w:r w:rsidRPr="006A5F53">
        <w:rPr>
          <w:rStyle w:val="FootnoteReference"/>
          <w:rFonts w:ascii="Arial" w:hAnsi="Arial" w:cs="Arial"/>
        </w:rPr>
        <w:footnoteRef/>
      </w:r>
      <w:r w:rsidR="000E334E" w:rsidRPr="006A5F53">
        <w:rPr>
          <w:rFonts w:ascii="Arial" w:hAnsi="Arial" w:cs="Arial"/>
        </w:rPr>
        <w:t xml:space="preserve"> </w:t>
      </w:r>
      <w:r w:rsidR="0057674B" w:rsidRPr="006A5F53">
        <w:rPr>
          <w:rFonts w:ascii="Arial" w:hAnsi="Arial" w:cs="Arial"/>
          <w:i/>
          <w:iCs/>
          <w:lang w:val="en-GB"/>
        </w:rPr>
        <w:t xml:space="preserve">Nissan South Africa (Pty) Ltd v </w:t>
      </w:r>
      <w:proofErr w:type="spellStart"/>
      <w:r w:rsidR="0057674B" w:rsidRPr="006A5F53">
        <w:rPr>
          <w:rFonts w:ascii="Arial" w:hAnsi="Arial" w:cs="Arial"/>
          <w:i/>
          <w:iCs/>
          <w:lang w:val="en-GB"/>
        </w:rPr>
        <w:t>Marnitz</w:t>
      </w:r>
      <w:proofErr w:type="spellEnd"/>
      <w:r w:rsidR="0057674B" w:rsidRPr="006A5F53">
        <w:rPr>
          <w:rFonts w:ascii="Arial" w:hAnsi="Arial" w:cs="Arial"/>
          <w:i/>
          <w:iCs/>
          <w:lang w:val="en-GB"/>
        </w:rPr>
        <w:t xml:space="preserve"> </w:t>
      </w:r>
      <w:r w:rsidR="00CC18DB" w:rsidRPr="006A5F53">
        <w:rPr>
          <w:rFonts w:ascii="Arial" w:hAnsi="Arial" w:cs="Arial"/>
          <w:i/>
          <w:iCs/>
          <w:lang w:val="en-GB"/>
        </w:rPr>
        <w:t xml:space="preserve">NO </w:t>
      </w:r>
      <w:r w:rsidR="0057674B" w:rsidRPr="006A5F53">
        <w:rPr>
          <w:rFonts w:ascii="Arial" w:hAnsi="Arial" w:cs="Arial"/>
          <w:i/>
          <w:iCs/>
          <w:lang w:val="en-GB"/>
        </w:rPr>
        <w:t xml:space="preserve">and others (Stand 186 </w:t>
      </w:r>
      <w:proofErr w:type="spellStart"/>
      <w:r w:rsidR="0057674B" w:rsidRPr="006A5F53">
        <w:rPr>
          <w:rFonts w:ascii="Arial" w:hAnsi="Arial" w:cs="Arial"/>
          <w:i/>
          <w:iCs/>
          <w:lang w:val="en-GB"/>
        </w:rPr>
        <w:t>Aeroport</w:t>
      </w:r>
      <w:proofErr w:type="spellEnd"/>
      <w:r w:rsidR="0057674B" w:rsidRPr="006A5F53">
        <w:rPr>
          <w:rFonts w:ascii="Arial" w:hAnsi="Arial" w:cs="Arial"/>
          <w:i/>
          <w:iCs/>
          <w:lang w:val="en-GB"/>
        </w:rPr>
        <w:t xml:space="preserve"> (Pty) Ltd intervening)</w:t>
      </w:r>
      <w:r w:rsidR="0057674B" w:rsidRPr="006A5F53">
        <w:rPr>
          <w:rFonts w:ascii="Arial" w:hAnsi="Arial" w:cs="Arial"/>
          <w:lang w:val="en-GB"/>
        </w:rPr>
        <w:t xml:space="preserve"> </w:t>
      </w:r>
      <w:r w:rsidR="000E334E" w:rsidRPr="006A5F53">
        <w:rPr>
          <w:rFonts w:ascii="Arial" w:hAnsi="Arial" w:cs="Arial"/>
          <w:lang w:val="en-GB"/>
        </w:rPr>
        <w:t>[2006] 4 All SA 120 (SCA).</w:t>
      </w:r>
    </w:p>
  </w:footnote>
  <w:footnote w:id="19">
    <w:p w14:paraId="540C0046" w14:textId="77777777" w:rsidR="0057674B" w:rsidRPr="006A5F53" w:rsidRDefault="0057674B"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Ibid para 24.</w:t>
      </w:r>
    </w:p>
  </w:footnote>
  <w:footnote w:id="20">
    <w:p w14:paraId="6B73608F" w14:textId="77777777" w:rsidR="0057674B" w:rsidRPr="006A5F53" w:rsidRDefault="0057674B"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Ibid</w:t>
      </w:r>
      <w:r w:rsidR="00D64299" w:rsidRPr="006A5F53">
        <w:rPr>
          <w:rFonts w:ascii="Arial" w:hAnsi="Arial" w:cs="Arial"/>
          <w:lang w:val="en-GB"/>
        </w:rPr>
        <w:t>.</w:t>
      </w:r>
    </w:p>
  </w:footnote>
  <w:footnote w:id="21">
    <w:p w14:paraId="444C33B4" w14:textId="77777777" w:rsidR="00D64299" w:rsidRPr="006A5F53" w:rsidRDefault="00D64299"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Ibid para 25.</w:t>
      </w:r>
    </w:p>
  </w:footnote>
  <w:footnote w:id="22">
    <w:p w14:paraId="3A684DA4" w14:textId="77777777" w:rsidR="008E4DF3" w:rsidRPr="006A5F53" w:rsidRDefault="008E4DF3"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proofErr w:type="spellStart"/>
      <w:r w:rsidRPr="006A5F53">
        <w:rPr>
          <w:rFonts w:ascii="Arial" w:hAnsi="Arial" w:cs="Arial"/>
          <w:i/>
        </w:rPr>
        <w:t>Firstrand</w:t>
      </w:r>
      <w:proofErr w:type="spellEnd"/>
      <w:r w:rsidRPr="006A5F53">
        <w:rPr>
          <w:rFonts w:ascii="Arial" w:hAnsi="Arial" w:cs="Arial"/>
          <w:i/>
        </w:rPr>
        <w:t xml:space="preserve"> Bank Ltd </w:t>
      </w:r>
      <w:proofErr w:type="gramStart"/>
      <w:r w:rsidRPr="006A5F53">
        <w:rPr>
          <w:rFonts w:ascii="Arial" w:hAnsi="Arial" w:cs="Arial"/>
          <w:i/>
        </w:rPr>
        <w:t>v</w:t>
      </w:r>
      <w:proofErr w:type="gramEnd"/>
      <w:r w:rsidRPr="006A5F53">
        <w:rPr>
          <w:rFonts w:ascii="Arial" w:hAnsi="Arial" w:cs="Arial"/>
          <w:i/>
        </w:rPr>
        <w:t xml:space="preserve"> Spar Group Ltd</w:t>
      </w:r>
      <w:r w:rsidRPr="006A5F53">
        <w:rPr>
          <w:rFonts w:ascii="Arial" w:hAnsi="Arial" w:cs="Arial"/>
        </w:rPr>
        <w:t xml:space="preserve"> [2021] ZASCA 20; 2021 (5) SA 511 (SCA).</w:t>
      </w:r>
    </w:p>
  </w:footnote>
  <w:footnote w:id="23">
    <w:p w14:paraId="4E7770D5" w14:textId="77777777" w:rsidR="008E4DF3" w:rsidRPr="006A5F53" w:rsidRDefault="008E4DF3"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Ibid para 62.</w:t>
      </w:r>
    </w:p>
  </w:footnote>
  <w:footnote w:id="24">
    <w:p w14:paraId="57307691" w14:textId="7EFEE526" w:rsidR="003841C2" w:rsidRPr="006A5F53" w:rsidRDefault="003841C2" w:rsidP="006A5F53">
      <w:pPr>
        <w:pStyle w:val="FootnoteText"/>
        <w:jc w:val="both"/>
        <w:rPr>
          <w:rFonts w:ascii="Arial" w:hAnsi="Arial" w:cs="Arial"/>
        </w:rPr>
      </w:pPr>
      <w:r w:rsidRPr="006A5F53">
        <w:rPr>
          <w:rStyle w:val="FootnoteReference"/>
          <w:rFonts w:ascii="Arial" w:hAnsi="Arial" w:cs="Arial"/>
        </w:rPr>
        <w:footnoteRef/>
      </w:r>
      <w:r w:rsidRPr="006A5F53">
        <w:rPr>
          <w:rFonts w:ascii="Arial" w:hAnsi="Arial" w:cs="Arial"/>
        </w:rPr>
        <w:t xml:space="preserve"> See CR </w:t>
      </w:r>
      <w:proofErr w:type="spellStart"/>
      <w:r w:rsidRPr="006A5F53">
        <w:rPr>
          <w:rFonts w:ascii="Arial" w:hAnsi="Arial" w:cs="Arial"/>
        </w:rPr>
        <w:t>Snyman</w:t>
      </w:r>
      <w:proofErr w:type="spellEnd"/>
      <w:r w:rsidRPr="006A5F53">
        <w:rPr>
          <w:rFonts w:ascii="Arial" w:hAnsi="Arial" w:cs="Arial"/>
        </w:rPr>
        <w:t xml:space="preserve"> </w:t>
      </w:r>
      <w:r w:rsidRPr="006A5F53">
        <w:rPr>
          <w:rFonts w:ascii="Arial" w:hAnsi="Arial" w:cs="Arial"/>
          <w:i/>
        </w:rPr>
        <w:t>Criminal Law</w:t>
      </w:r>
      <w:r w:rsidRPr="006A5F53">
        <w:rPr>
          <w:rFonts w:ascii="Arial" w:hAnsi="Arial" w:cs="Arial"/>
        </w:rPr>
        <w:t xml:space="preserve"> </w:t>
      </w:r>
      <w:r w:rsidR="00DE2AB9" w:rsidRPr="006A5F53">
        <w:rPr>
          <w:rFonts w:ascii="Arial" w:hAnsi="Arial" w:cs="Arial"/>
        </w:rPr>
        <w:t>7</w:t>
      </w:r>
      <w:r w:rsidRPr="006A5F53">
        <w:rPr>
          <w:rFonts w:ascii="Arial" w:hAnsi="Arial" w:cs="Arial"/>
        </w:rPr>
        <w:t xml:space="preserve"> </w:t>
      </w:r>
      <w:proofErr w:type="spellStart"/>
      <w:r w:rsidRPr="006A5F53">
        <w:rPr>
          <w:rFonts w:ascii="Arial" w:hAnsi="Arial" w:cs="Arial"/>
        </w:rPr>
        <w:t>ed</w:t>
      </w:r>
      <w:proofErr w:type="spellEnd"/>
      <w:r w:rsidRPr="006A5F53">
        <w:rPr>
          <w:rFonts w:ascii="Arial" w:hAnsi="Arial" w:cs="Arial"/>
        </w:rPr>
        <w:t xml:space="preserve"> (20</w:t>
      </w:r>
      <w:r w:rsidR="00DE2AB9" w:rsidRPr="006A5F53">
        <w:rPr>
          <w:rFonts w:ascii="Arial" w:hAnsi="Arial" w:cs="Arial"/>
        </w:rPr>
        <w:t>20</w:t>
      </w:r>
      <w:r w:rsidRPr="006A5F53">
        <w:rPr>
          <w:rFonts w:ascii="Arial" w:hAnsi="Arial" w:cs="Arial"/>
        </w:rPr>
        <w:t xml:space="preserve">) at </w:t>
      </w:r>
      <w:r w:rsidR="00DE2AB9" w:rsidRPr="006A5F53">
        <w:rPr>
          <w:rFonts w:ascii="Arial" w:hAnsi="Arial" w:cs="Arial"/>
        </w:rPr>
        <w:t>452</w:t>
      </w:r>
      <w:r w:rsidR="00016BBD" w:rsidRPr="006A5F53">
        <w:rPr>
          <w:rFonts w:ascii="Arial" w:hAnsi="Arial" w:cs="Arial"/>
        </w:rPr>
        <w:t>, which</w:t>
      </w:r>
      <w:r w:rsidRPr="006A5F53">
        <w:rPr>
          <w:rFonts w:ascii="Arial" w:hAnsi="Arial" w:cs="Arial"/>
        </w:rPr>
        <w:t xml:space="preserve"> defines the crime as:</w:t>
      </w:r>
    </w:p>
    <w:p w14:paraId="794174AF" w14:textId="77777777" w:rsidR="003841C2" w:rsidRPr="006A5F53" w:rsidRDefault="003841C2" w:rsidP="006A5F53">
      <w:pPr>
        <w:pStyle w:val="FootnoteText"/>
        <w:jc w:val="both"/>
        <w:rPr>
          <w:rFonts w:ascii="Arial" w:hAnsi="Arial" w:cs="Arial"/>
          <w:lang w:val="en-GB"/>
        </w:rPr>
      </w:pPr>
      <w:r w:rsidRPr="006A5F53">
        <w:rPr>
          <w:rFonts w:ascii="Arial" w:hAnsi="Arial" w:cs="Arial"/>
        </w:rPr>
        <w:t>‘</w:t>
      </w:r>
      <w:r w:rsidRPr="006A5F53">
        <w:rPr>
          <w:rFonts w:ascii="Arial" w:hAnsi="Arial" w:cs="Arial"/>
          <w:i/>
        </w:rPr>
        <w:t xml:space="preserve">A </w:t>
      </w:r>
      <w:r w:rsidR="009F723E" w:rsidRPr="006A5F53">
        <w:rPr>
          <w:rFonts w:ascii="Arial" w:hAnsi="Arial" w:cs="Arial"/>
          <w:i/>
        </w:rPr>
        <w:t>person commits the crime of receiving stolen property knowing it to be stolen if he unlawfully and intentionally receives into his possession property knowing, at the time that he does so, that it has been stolen.</w:t>
      </w:r>
      <w:r w:rsidR="009F723E" w:rsidRPr="006A5F53">
        <w:rPr>
          <w:rFonts w:ascii="Arial" w:hAnsi="Arial" w:cs="Arial"/>
        </w:rPr>
        <w:t>’ (My emphasis.)</w:t>
      </w:r>
    </w:p>
  </w:footnote>
  <w:footnote w:id="25">
    <w:p w14:paraId="5F265FDF" w14:textId="77777777" w:rsidR="00660DA9" w:rsidRPr="006A5F53" w:rsidRDefault="00660DA9"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900003" w:rsidRPr="006A5F53">
        <w:rPr>
          <w:rFonts w:ascii="Arial" w:hAnsi="Arial" w:cs="Arial"/>
          <w:i/>
          <w:shd w:val="clear" w:color="auto" w:fill="FFFFFF"/>
        </w:rPr>
        <w:t>Trustees, Estate Whitehead v Dumas and another</w:t>
      </w:r>
      <w:r w:rsidR="00900003" w:rsidRPr="006A5F53">
        <w:rPr>
          <w:rFonts w:ascii="Arial" w:hAnsi="Arial" w:cs="Arial"/>
        </w:rPr>
        <w:t xml:space="preserve"> [2013] ZASCA 19; </w:t>
      </w:r>
      <w:r w:rsidRPr="006A5F53">
        <w:rPr>
          <w:rFonts w:ascii="Arial" w:hAnsi="Arial" w:cs="Arial"/>
        </w:rPr>
        <w:t>2013 (3) SA 331 (SCA).</w:t>
      </w:r>
    </w:p>
  </w:footnote>
  <w:footnote w:id="26">
    <w:p w14:paraId="485F8DEE" w14:textId="77777777" w:rsidR="00A24B01" w:rsidRPr="006A5F53" w:rsidRDefault="00A24B01"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CF32A0" w:rsidRPr="006A5F53">
        <w:rPr>
          <w:rFonts w:ascii="Arial" w:hAnsi="Arial" w:cs="Arial"/>
        </w:rPr>
        <w:t>P</w:t>
      </w:r>
      <w:r w:rsidRPr="006A5F53">
        <w:rPr>
          <w:rFonts w:ascii="Arial" w:hAnsi="Arial" w:cs="Arial"/>
        </w:rPr>
        <w:t xml:space="preserve">ara 20 of </w:t>
      </w:r>
      <w:r w:rsidR="00AA5872" w:rsidRPr="006A5F53">
        <w:rPr>
          <w:rFonts w:ascii="Arial" w:hAnsi="Arial" w:cs="Arial"/>
        </w:rPr>
        <w:t xml:space="preserve">the court a quo’s </w:t>
      </w:r>
      <w:r w:rsidRPr="006A5F53">
        <w:rPr>
          <w:rFonts w:ascii="Arial" w:hAnsi="Arial" w:cs="Arial"/>
        </w:rPr>
        <w:t>judgment.</w:t>
      </w:r>
    </w:p>
  </w:footnote>
  <w:footnote w:id="27">
    <w:p w14:paraId="14D4B80F" w14:textId="77777777" w:rsidR="00B053A4" w:rsidRPr="006A5F53" w:rsidRDefault="00B053A4" w:rsidP="006A5F53">
      <w:pPr>
        <w:pStyle w:val="FootnoteText"/>
        <w:contextualSpacing/>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00CF32A0" w:rsidRPr="006A5F53">
        <w:rPr>
          <w:rFonts w:ascii="Arial" w:hAnsi="Arial" w:cs="Arial"/>
        </w:rPr>
        <w:t>P</w:t>
      </w:r>
      <w:r w:rsidR="00177C95" w:rsidRPr="006A5F53">
        <w:rPr>
          <w:rFonts w:ascii="Arial" w:hAnsi="Arial" w:cs="Arial"/>
        </w:rPr>
        <w:t xml:space="preserve">ara </w:t>
      </w:r>
      <w:r w:rsidR="0086585C" w:rsidRPr="006A5F53">
        <w:rPr>
          <w:rFonts w:ascii="Arial" w:hAnsi="Arial" w:cs="Arial"/>
        </w:rPr>
        <w:t>1</w:t>
      </w:r>
      <w:r w:rsidR="00177C95" w:rsidRPr="006A5F53">
        <w:rPr>
          <w:rFonts w:ascii="Arial" w:hAnsi="Arial" w:cs="Arial"/>
        </w:rPr>
        <w:t>7</w:t>
      </w:r>
      <w:r w:rsidR="000009F0" w:rsidRPr="006A5F53">
        <w:rPr>
          <w:rFonts w:ascii="Arial" w:hAnsi="Arial" w:cs="Arial"/>
        </w:rPr>
        <w:t xml:space="preserve"> of </w:t>
      </w:r>
      <w:r w:rsidR="00AA5872" w:rsidRPr="006A5F53">
        <w:rPr>
          <w:rFonts w:ascii="Arial" w:hAnsi="Arial" w:cs="Arial"/>
        </w:rPr>
        <w:t xml:space="preserve">the court a quo’s </w:t>
      </w:r>
      <w:r w:rsidR="000009F0" w:rsidRPr="006A5F53">
        <w:rPr>
          <w:rFonts w:ascii="Arial" w:hAnsi="Arial" w:cs="Arial"/>
        </w:rPr>
        <w:t>judgment</w:t>
      </w:r>
      <w:r w:rsidRPr="006A5F53">
        <w:rPr>
          <w:rFonts w:ascii="Arial" w:hAnsi="Arial" w:cs="Arial"/>
        </w:rPr>
        <w:t>.</w:t>
      </w:r>
    </w:p>
  </w:footnote>
  <w:footnote w:id="28">
    <w:p w14:paraId="3FA5CDB3" w14:textId="77777777" w:rsidR="00DE44FD" w:rsidRPr="006A5F53" w:rsidRDefault="00DE44FD" w:rsidP="006A5F53">
      <w:pPr>
        <w:pStyle w:val="FootnoteText"/>
        <w:jc w:val="both"/>
        <w:rPr>
          <w:rFonts w:ascii="Arial" w:hAnsi="Arial" w:cs="Arial"/>
          <w:lang w:val="en-GB"/>
        </w:rPr>
      </w:pPr>
      <w:r w:rsidRPr="006A5F53">
        <w:rPr>
          <w:rStyle w:val="FootnoteReference"/>
          <w:rFonts w:ascii="Arial" w:hAnsi="Arial" w:cs="Arial"/>
        </w:rPr>
        <w:footnoteRef/>
      </w:r>
      <w:r w:rsidRPr="006A5F53">
        <w:rPr>
          <w:rFonts w:ascii="Arial" w:hAnsi="Arial" w:cs="Arial"/>
        </w:rPr>
        <w:t xml:space="preserve"> </w:t>
      </w:r>
      <w:r w:rsidRPr="006A5F53">
        <w:rPr>
          <w:rFonts w:ascii="Arial" w:hAnsi="Arial" w:cs="Arial"/>
          <w:lang w:val="en-GB"/>
        </w:rPr>
        <w:t>Para 19</w:t>
      </w:r>
      <w:r w:rsidR="000009F0" w:rsidRPr="006A5F53">
        <w:rPr>
          <w:rFonts w:ascii="Arial" w:hAnsi="Arial" w:cs="Arial"/>
          <w:lang w:val="en-GB"/>
        </w:rPr>
        <w:t xml:space="preserve"> of </w:t>
      </w:r>
      <w:r w:rsidR="00AA5872" w:rsidRPr="006A5F53">
        <w:rPr>
          <w:rFonts w:ascii="Arial" w:hAnsi="Arial" w:cs="Arial"/>
        </w:rPr>
        <w:t xml:space="preserve">the court a quo’s </w:t>
      </w:r>
      <w:r w:rsidR="000009F0" w:rsidRPr="006A5F53">
        <w:rPr>
          <w:rFonts w:ascii="Arial" w:hAnsi="Arial" w:cs="Arial"/>
          <w:lang w:val="en-GB"/>
        </w:rPr>
        <w:t>judgment</w:t>
      </w:r>
      <w:r w:rsidRPr="006A5F53">
        <w:rPr>
          <w:rFonts w:ascii="Arial" w:hAnsi="Arial" w:cs="Arial"/>
          <w:lang w:val="en-GB"/>
        </w:rPr>
        <w:t>.</w:t>
      </w:r>
    </w:p>
  </w:footnote>
  <w:footnote w:id="29">
    <w:p w14:paraId="5F683F38" w14:textId="097A1C11" w:rsidR="0096728D" w:rsidRPr="0096728D" w:rsidRDefault="0096728D" w:rsidP="0096728D">
      <w:pPr>
        <w:pStyle w:val="FootnoteText"/>
        <w:rPr>
          <w:rFonts w:ascii="Arial" w:hAnsi="Arial" w:cs="Arial"/>
          <w:lang w:val="en-GB"/>
        </w:rPr>
      </w:pPr>
      <w:r w:rsidRPr="0096728D">
        <w:rPr>
          <w:rStyle w:val="FootnoteReference"/>
          <w:rFonts w:ascii="Arial" w:hAnsi="Arial" w:cs="Arial"/>
        </w:rPr>
        <w:footnoteRef/>
      </w:r>
      <w:r w:rsidRPr="0096728D">
        <w:rPr>
          <w:rFonts w:ascii="Arial" w:hAnsi="Arial" w:cs="Arial"/>
        </w:rPr>
        <w:t xml:space="preserve"> </w:t>
      </w:r>
      <w:r w:rsidRPr="0096728D">
        <w:rPr>
          <w:color w:val="000000" w:themeColor="text1"/>
        </w:rPr>
        <w:t xml:space="preserve">In my view, the appellants as liquidators of the company are duty bound to expose the offences of any of the directors or officers of </w:t>
      </w:r>
      <w:proofErr w:type="spellStart"/>
      <w:r w:rsidRPr="0096728D">
        <w:rPr>
          <w:color w:val="000000" w:themeColor="text1"/>
        </w:rPr>
        <w:t>Evowood</w:t>
      </w:r>
      <w:proofErr w:type="spellEnd"/>
      <w:r w:rsidRPr="0096728D">
        <w:rPr>
          <w:color w:val="000000" w:themeColor="text1"/>
        </w:rPr>
        <w:t xml:space="preserve"> and ought to report the alleged theft of money to the Master in terms of s 400 of the Companies Act 61 of 1973.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275285"/>
      <w:docPartObj>
        <w:docPartGallery w:val="Page Numbers (Top of Page)"/>
        <w:docPartUnique/>
      </w:docPartObj>
    </w:sdtPr>
    <w:sdtEndPr>
      <w:rPr>
        <w:noProof/>
      </w:rPr>
    </w:sdtEndPr>
    <w:sdtContent>
      <w:p w14:paraId="5BB5BF5C" w14:textId="7869827A" w:rsidR="00D32376" w:rsidRDefault="00D32376">
        <w:pPr>
          <w:pStyle w:val="Header"/>
          <w:jc w:val="right"/>
        </w:pPr>
        <w:r>
          <w:fldChar w:fldCharType="begin"/>
        </w:r>
        <w:r>
          <w:instrText xml:space="preserve"> PAGE   \* MERGEFORMAT </w:instrText>
        </w:r>
        <w:r>
          <w:fldChar w:fldCharType="separate"/>
        </w:r>
        <w:r w:rsidR="00292304">
          <w:rPr>
            <w:noProof/>
          </w:rPr>
          <w:t>12</w:t>
        </w:r>
        <w:r>
          <w:rPr>
            <w:noProof/>
          </w:rPr>
          <w:fldChar w:fldCharType="end"/>
        </w:r>
      </w:p>
    </w:sdtContent>
  </w:sdt>
  <w:p w14:paraId="667B268E" w14:textId="77777777" w:rsidR="00D32376" w:rsidRDefault="00D323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DF2"/>
    <w:multiLevelType w:val="hybridMultilevel"/>
    <w:tmpl w:val="941A4E06"/>
    <w:lvl w:ilvl="0" w:tplc="B404A58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3E2648"/>
    <w:multiLevelType w:val="hybridMultilevel"/>
    <w:tmpl w:val="96CC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4A8B"/>
    <w:multiLevelType w:val="hybridMultilevel"/>
    <w:tmpl w:val="B1F6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609E5"/>
    <w:multiLevelType w:val="hybridMultilevel"/>
    <w:tmpl w:val="D424E8C8"/>
    <w:lvl w:ilvl="0" w:tplc="568E1C1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277"/>
    <w:multiLevelType w:val="hybridMultilevel"/>
    <w:tmpl w:val="B1F6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82171"/>
    <w:multiLevelType w:val="hybridMultilevel"/>
    <w:tmpl w:val="2B32A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91314E9"/>
    <w:multiLevelType w:val="hybridMultilevel"/>
    <w:tmpl w:val="E19241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09"/>
    <w:rsid w:val="0000078C"/>
    <w:rsid w:val="000009F0"/>
    <w:rsid w:val="000020D2"/>
    <w:rsid w:val="00004143"/>
    <w:rsid w:val="00006230"/>
    <w:rsid w:val="00006658"/>
    <w:rsid w:val="0001189D"/>
    <w:rsid w:val="000140D0"/>
    <w:rsid w:val="0001447C"/>
    <w:rsid w:val="00016BBD"/>
    <w:rsid w:val="00016D7A"/>
    <w:rsid w:val="00020597"/>
    <w:rsid w:val="000205CF"/>
    <w:rsid w:val="0002194A"/>
    <w:rsid w:val="00022FB2"/>
    <w:rsid w:val="00024E8B"/>
    <w:rsid w:val="00025041"/>
    <w:rsid w:val="00025080"/>
    <w:rsid w:val="0003107D"/>
    <w:rsid w:val="000317A3"/>
    <w:rsid w:val="00031C22"/>
    <w:rsid w:val="00034989"/>
    <w:rsid w:val="000356BE"/>
    <w:rsid w:val="000420F6"/>
    <w:rsid w:val="00042179"/>
    <w:rsid w:val="00045068"/>
    <w:rsid w:val="00050D01"/>
    <w:rsid w:val="00051553"/>
    <w:rsid w:val="000519A4"/>
    <w:rsid w:val="00054709"/>
    <w:rsid w:val="00057479"/>
    <w:rsid w:val="00057A05"/>
    <w:rsid w:val="000620C8"/>
    <w:rsid w:val="00063FD7"/>
    <w:rsid w:val="0007015D"/>
    <w:rsid w:val="00071B7F"/>
    <w:rsid w:val="00071C2B"/>
    <w:rsid w:val="00073A30"/>
    <w:rsid w:val="00074325"/>
    <w:rsid w:val="00075812"/>
    <w:rsid w:val="00085159"/>
    <w:rsid w:val="000907D0"/>
    <w:rsid w:val="00091517"/>
    <w:rsid w:val="000936B7"/>
    <w:rsid w:val="000938D6"/>
    <w:rsid w:val="0009429D"/>
    <w:rsid w:val="00095BD6"/>
    <w:rsid w:val="0009789F"/>
    <w:rsid w:val="000A2FB6"/>
    <w:rsid w:val="000B2A45"/>
    <w:rsid w:val="000B2E72"/>
    <w:rsid w:val="000B3647"/>
    <w:rsid w:val="000B49F4"/>
    <w:rsid w:val="000B5135"/>
    <w:rsid w:val="000B577B"/>
    <w:rsid w:val="000C0A03"/>
    <w:rsid w:val="000C24DF"/>
    <w:rsid w:val="000C511C"/>
    <w:rsid w:val="000C6D60"/>
    <w:rsid w:val="000C723F"/>
    <w:rsid w:val="000C77AF"/>
    <w:rsid w:val="000C7CF5"/>
    <w:rsid w:val="000D50B6"/>
    <w:rsid w:val="000D6F8C"/>
    <w:rsid w:val="000E1C33"/>
    <w:rsid w:val="000E2B7E"/>
    <w:rsid w:val="000E334E"/>
    <w:rsid w:val="000E7418"/>
    <w:rsid w:val="000F2EFF"/>
    <w:rsid w:val="000F2F39"/>
    <w:rsid w:val="000F3A2F"/>
    <w:rsid w:val="000F4C0E"/>
    <w:rsid w:val="000F54AC"/>
    <w:rsid w:val="000F552B"/>
    <w:rsid w:val="000F5CBC"/>
    <w:rsid w:val="000F7ED8"/>
    <w:rsid w:val="00103143"/>
    <w:rsid w:val="0010370E"/>
    <w:rsid w:val="001050DC"/>
    <w:rsid w:val="00105DD1"/>
    <w:rsid w:val="0010615D"/>
    <w:rsid w:val="00106840"/>
    <w:rsid w:val="00107E2B"/>
    <w:rsid w:val="00107F04"/>
    <w:rsid w:val="00110129"/>
    <w:rsid w:val="00110FCD"/>
    <w:rsid w:val="00117043"/>
    <w:rsid w:val="001174A4"/>
    <w:rsid w:val="00121467"/>
    <w:rsid w:val="00124290"/>
    <w:rsid w:val="00124D0F"/>
    <w:rsid w:val="00124E4C"/>
    <w:rsid w:val="00130726"/>
    <w:rsid w:val="0013139E"/>
    <w:rsid w:val="00132C7A"/>
    <w:rsid w:val="00132EE4"/>
    <w:rsid w:val="001339F1"/>
    <w:rsid w:val="00134BC0"/>
    <w:rsid w:val="001372FC"/>
    <w:rsid w:val="0013761B"/>
    <w:rsid w:val="0014121F"/>
    <w:rsid w:val="00141FF3"/>
    <w:rsid w:val="00143AC1"/>
    <w:rsid w:val="00145ACA"/>
    <w:rsid w:val="00147B26"/>
    <w:rsid w:val="00147E6C"/>
    <w:rsid w:val="0015140C"/>
    <w:rsid w:val="0015196F"/>
    <w:rsid w:val="00151D2D"/>
    <w:rsid w:val="00152760"/>
    <w:rsid w:val="001538B9"/>
    <w:rsid w:val="0015618F"/>
    <w:rsid w:val="00157CBF"/>
    <w:rsid w:val="00161169"/>
    <w:rsid w:val="0016366B"/>
    <w:rsid w:val="00163AC2"/>
    <w:rsid w:val="001648F4"/>
    <w:rsid w:val="00164A16"/>
    <w:rsid w:val="00166709"/>
    <w:rsid w:val="00167FA3"/>
    <w:rsid w:val="00170A7A"/>
    <w:rsid w:val="00171E74"/>
    <w:rsid w:val="001731BC"/>
    <w:rsid w:val="0017447A"/>
    <w:rsid w:val="001747F9"/>
    <w:rsid w:val="00177117"/>
    <w:rsid w:val="00177480"/>
    <w:rsid w:val="00177C95"/>
    <w:rsid w:val="00181B3F"/>
    <w:rsid w:val="00181C97"/>
    <w:rsid w:val="00181D68"/>
    <w:rsid w:val="00183163"/>
    <w:rsid w:val="001912D5"/>
    <w:rsid w:val="001945C9"/>
    <w:rsid w:val="00195AE3"/>
    <w:rsid w:val="00195D25"/>
    <w:rsid w:val="001A1970"/>
    <w:rsid w:val="001A5223"/>
    <w:rsid w:val="001A5C34"/>
    <w:rsid w:val="001A5D11"/>
    <w:rsid w:val="001A69EE"/>
    <w:rsid w:val="001A6A46"/>
    <w:rsid w:val="001A6BFC"/>
    <w:rsid w:val="001A6D15"/>
    <w:rsid w:val="001A7577"/>
    <w:rsid w:val="001B05C8"/>
    <w:rsid w:val="001B1C70"/>
    <w:rsid w:val="001B613F"/>
    <w:rsid w:val="001B669D"/>
    <w:rsid w:val="001B6713"/>
    <w:rsid w:val="001C090A"/>
    <w:rsid w:val="001C0F7A"/>
    <w:rsid w:val="001C1C30"/>
    <w:rsid w:val="001C33DB"/>
    <w:rsid w:val="001C4D50"/>
    <w:rsid w:val="001C77A2"/>
    <w:rsid w:val="001D0AFD"/>
    <w:rsid w:val="001D291E"/>
    <w:rsid w:val="001D2A75"/>
    <w:rsid w:val="001D4063"/>
    <w:rsid w:val="001D6324"/>
    <w:rsid w:val="001D71B4"/>
    <w:rsid w:val="001D74EA"/>
    <w:rsid w:val="001D7907"/>
    <w:rsid w:val="001E1BBB"/>
    <w:rsid w:val="001E1FE1"/>
    <w:rsid w:val="001E44BD"/>
    <w:rsid w:val="001E570A"/>
    <w:rsid w:val="001E6878"/>
    <w:rsid w:val="001F2BD2"/>
    <w:rsid w:val="001F3DFF"/>
    <w:rsid w:val="001F7FC3"/>
    <w:rsid w:val="00200759"/>
    <w:rsid w:val="00200897"/>
    <w:rsid w:val="00201055"/>
    <w:rsid w:val="00202CF1"/>
    <w:rsid w:val="00203399"/>
    <w:rsid w:val="002036FF"/>
    <w:rsid w:val="00203F21"/>
    <w:rsid w:val="00204838"/>
    <w:rsid w:val="002105F1"/>
    <w:rsid w:val="00212499"/>
    <w:rsid w:val="00212656"/>
    <w:rsid w:val="0021539B"/>
    <w:rsid w:val="00215708"/>
    <w:rsid w:val="002159F2"/>
    <w:rsid w:val="00215C73"/>
    <w:rsid w:val="00215E52"/>
    <w:rsid w:val="002173E1"/>
    <w:rsid w:val="00221163"/>
    <w:rsid w:val="00225A3D"/>
    <w:rsid w:val="00227F16"/>
    <w:rsid w:val="00230350"/>
    <w:rsid w:val="0023119C"/>
    <w:rsid w:val="00233BC9"/>
    <w:rsid w:val="002342FE"/>
    <w:rsid w:val="00234FFA"/>
    <w:rsid w:val="00237410"/>
    <w:rsid w:val="002403CF"/>
    <w:rsid w:val="002428AF"/>
    <w:rsid w:val="00243AA7"/>
    <w:rsid w:val="00244173"/>
    <w:rsid w:val="00245E5B"/>
    <w:rsid w:val="00246286"/>
    <w:rsid w:val="00246B8E"/>
    <w:rsid w:val="00250FD3"/>
    <w:rsid w:val="002510CA"/>
    <w:rsid w:val="0025112F"/>
    <w:rsid w:val="00251FDF"/>
    <w:rsid w:val="0025266C"/>
    <w:rsid w:val="00253414"/>
    <w:rsid w:val="00260F3B"/>
    <w:rsid w:val="00265103"/>
    <w:rsid w:val="00266412"/>
    <w:rsid w:val="00266D82"/>
    <w:rsid w:val="002706FB"/>
    <w:rsid w:val="002724F3"/>
    <w:rsid w:val="00274ACF"/>
    <w:rsid w:val="00276AE8"/>
    <w:rsid w:val="00277CBD"/>
    <w:rsid w:val="002812BF"/>
    <w:rsid w:val="002814DC"/>
    <w:rsid w:val="00281E3F"/>
    <w:rsid w:val="00282A1A"/>
    <w:rsid w:val="002834FB"/>
    <w:rsid w:val="00283E34"/>
    <w:rsid w:val="00284487"/>
    <w:rsid w:val="00285A0A"/>
    <w:rsid w:val="00291262"/>
    <w:rsid w:val="00292304"/>
    <w:rsid w:val="00292D3F"/>
    <w:rsid w:val="00295072"/>
    <w:rsid w:val="002973EF"/>
    <w:rsid w:val="002976B3"/>
    <w:rsid w:val="002A02A1"/>
    <w:rsid w:val="002A0DC2"/>
    <w:rsid w:val="002A12E0"/>
    <w:rsid w:val="002A1C94"/>
    <w:rsid w:val="002A2855"/>
    <w:rsid w:val="002A3910"/>
    <w:rsid w:val="002A3D06"/>
    <w:rsid w:val="002A4F17"/>
    <w:rsid w:val="002A708F"/>
    <w:rsid w:val="002A72FF"/>
    <w:rsid w:val="002A77CC"/>
    <w:rsid w:val="002B1EBE"/>
    <w:rsid w:val="002B2F7D"/>
    <w:rsid w:val="002B35FA"/>
    <w:rsid w:val="002B3817"/>
    <w:rsid w:val="002B3CB1"/>
    <w:rsid w:val="002B512E"/>
    <w:rsid w:val="002B667A"/>
    <w:rsid w:val="002B6D29"/>
    <w:rsid w:val="002B7EE5"/>
    <w:rsid w:val="002C1025"/>
    <w:rsid w:val="002C28C3"/>
    <w:rsid w:val="002C29DC"/>
    <w:rsid w:val="002C4AD7"/>
    <w:rsid w:val="002C5D36"/>
    <w:rsid w:val="002C6B72"/>
    <w:rsid w:val="002C78AA"/>
    <w:rsid w:val="002D0B2C"/>
    <w:rsid w:val="002D1686"/>
    <w:rsid w:val="002D51D1"/>
    <w:rsid w:val="002D5AB3"/>
    <w:rsid w:val="002E068C"/>
    <w:rsid w:val="002E1173"/>
    <w:rsid w:val="002E2453"/>
    <w:rsid w:val="002E2534"/>
    <w:rsid w:val="002E2A3A"/>
    <w:rsid w:val="002E2DD2"/>
    <w:rsid w:val="002E6D52"/>
    <w:rsid w:val="002F162B"/>
    <w:rsid w:val="002F282C"/>
    <w:rsid w:val="002F386D"/>
    <w:rsid w:val="002F4731"/>
    <w:rsid w:val="002F5349"/>
    <w:rsid w:val="002F699B"/>
    <w:rsid w:val="002F6B74"/>
    <w:rsid w:val="002F6F2D"/>
    <w:rsid w:val="00303405"/>
    <w:rsid w:val="00304A24"/>
    <w:rsid w:val="00305B0C"/>
    <w:rsid w:val="00307787"/>
    <w:rsid w:val="00313247"/>
    <w:rsid w:val="0031369C"/>
    <w:rsid w:val="0031420E"/>
    <w:rsid w:val="00316A41"/>
    <w:rsid w:val="0032079B"/>
    <w:rsid w:val="003207AD"/>
    <w:rsid w:val="00321020"/>
    <w:rsid w:val="00323232"/>
    <w:rsid w:val="00326DF1"/>
    <w:rsid w:val="00327748"/>
    <w:rsid w:val="00327814"/>
    <w:rsid w:val="00332809"/>
    <w:rsid w:val="00334172"/>
    <w:rsid w:val="0033472A"/>
    <w:rsid w:val="00335AD6"/>
    <w:rsid w:val="0034040F"/>
    <w:rsid w:val="00340FDC"/>
    <w:rsid w:val="003441E5"/>
    <w:rsid w:val="0034438D"/>
    <w:rsid w:val="003444C4"/>
    <w:rsid w:val="00345623"/>
    <w:rsid w:val="003456F1"/>
    <w:rsid w:val="0034684F"/>
    <w:rsid w:val="00353155"/>
    <w:rsid w:val="003562EB"/>
    <w:rsid w:val="003579D2"/>
    <w:rsid w:val="00363AE6"/>
    <w:rsid w:val="0036497B"/>
    <w:rsid w:val="00367447"/>
    <w:rsid w:val="00367EAA"/>
    <w:rsid w:val="0037093C"/>
    <w:rsid w:val="00370CA4"/>
    <w:rsid w:val="00372240"/>
    <w:rsid w:val="003724A3"/>
    <w:rsid w:val="003774A6"/>
    <w:rsid w:val="00381AC3"/>
    <w:rsid w:val="00381E87"/>
    <w:rsid w:val="00383CC0"/>
    <w:rsid w:val="003841C2"/>
    <w:rsid w:val="00387189"/>
    <w:rsid w:val="00390187"/>
    <w:rsid w:val="00393026"/>
    <w:rsid w:val="00397923"/>
    <w:rsid w:val="003A3044"/>
    <w:rsid w:val="003A30E8"/>
    <w:rsid w:val="003A3E45"/>
    <w:rsid w:val="003A5AC3"/>
    <w:rsid w:val="003A5B0F"/>
    <w:rsid w:val="003A5DBE"/>
    <w:rsid w:val="003B07E1"/>
    <w:rsid w:val="003B25D5"/>
    <w:rsid w:val="003B56E3"/>
    <w:rsid w:val="003B589B"/>
    <w:rsid w:val="003B62BA"/>
    <w:rsid w:val="003B6D4F"/>
    <w:rsid w:val="003C13CA"/>
    <w:rsid w:val="003C19A8"/>
    <w:rsid w:val="003C21AD"/>
    <w:rsid w:val="003C3530"/>
    <w:rsid w:val="003C3C80"/>
    <w:rsid w:val="003C4C23"/>
    <w:rsid w:val="003C58DD"/>
    <w:rsid w:val="003C5D7D"/>
    <w:rsid w:val="003C6202"/>
    <w:rsid w:val="003C75D8"/>
    <w:rsid w:val="003C7839"/>
    <w:rsid w:val="003D090B"/>
    <w:rsid w:val="003D1690"/>
    <w:rsid w:val="003D664A"/>
    <w:rsid w:val="003E04B8"/>
    <w:rsid w:val="003E07F2"/>
    <w:rsid w:val="003E160B"/>
    <w:rsid w:val="003E28F7"/>
    <w:rsid w:val="003E30EB"/>
    <w:rsid w:val="003E3497"/>
    <w:rsid w:val="003E371D"/>
    <w:rsid w:val="003E50AD"/>
    <w:rsid w:val="003E7F77"/>
    <w:rsid w:val="003F0629"/>
    <w:rsid w:val="003F0A97"/>
    <w:rsid w:val="003F177B"/>
    <w:rsid w:val="003F1D14"/>
    <w:rsid w:val="003F29C8"/>
    <w:rsid w:val="003F3D08"/>
    <w:rsid w:val="003F4075"/>
    <w:rsid w:val="003F4515"/>
    <w:rsid w:val="003F615E"/>
    <w:rsid w:val="003F66E2"/>
    <w:rsid w:val="00401B4F"/>
    <w:rsid w:val="00402784"/>
    <w:rsid w:val="00402BB1"/>
    <w:rsid w:val="0040377B"/>
    <w:rsid w:val="00405458"/>
    <w:rsid w:val="00406942"/>
    <w:rsid w:val="00407469"/>
    <w:rsid w:val="00411940"/>
    <w:rsid w:val="00412AA6"/>
    <w:rsid w:val="00414A5C"/>
    <w:rsid w:val="00416FC1"/>
    <w:rsid w:val="00421B2E"/>
    <w:rsid w:val="00423391"/>
    <w:rsid w:val="004256D2"/>
    <w:rsid w:val="00427BD8"/>
    <w:rsid w:val="00431FEA"/>
    <w:rsid w:val="0043336B"/>
    <w:rsid w:val="00434CAB"/>
    <w:rsid w:val="0043598E"/>
    <w:rsid w:val="00436D41"/>
    <w:rsid w:val="0043770C"/>
    <w:rsid w:val="004415CF"/>
    <w:rsid w:val="00442A59"/>
    <w:rsid w:val="004450F1"/>
    <w:rsid w:val="004500E9"/>
    <w:rsid w:val="0045173C"/>
    <w:rsid w:val="00452624"/>
    <w:rsid w:val="00452DCE"/>
    <w:rsid w:val="00452F74"/>
    <w:rsid w:val="0045646E"/>
    <w:rsid w:val="004575A3"/>
    <w:rsid w:val="004576C8"/>
    <w:rsid w:val="00457FB1"/>
    <w:rsid w:val="00460532"/>
    <w:rsid w:val="0046372C"/>
    <w:rsid w:val="00464A99"/>
    <w:rsid w:val="004722BC"/>
    <w:rsid w:val="0047373A"/>
    <w:rsid w:val="0047522F"/>
    <w:rsid w:val="0047574A"/>
    <w:rsid w:val="004758EF"/>
    <w:rsid w:val="0047772B"/>
    <w:rsid w:val="00477E49"/>
    <w:rsid w:val="00480A51"/>
    <w:rsid w:val="004844A1"/>
    <w:rsid w:val="0048506C"/>
    <w:rsid w:val="00486817"/>
    <w:rsid w:val="00491632"/>
    <w:rsid w:val="004931A9"/>
    <w:rsid w:val="004935CB"/>
    <w:rsid w:val="004941E3"/>
    <w:rsid w:val="0049667E"/>
    <w:rsid w:val="00496C38"/>
    <w:rsid w:val="004A053D"/>
    <w:rsid w:val="004A1358"/>
    <w:rsid w:val="004A2BE3"/>
    <w:rsid w:val="004A37A3"/>
    <w:rsid w:val="004A4366"/>
    <w:rsid w:val="004A46DF"/>
    <w:rsid w:val="004A5B5A"/>
    <w:rsid w:val="004B0913"/>
    <w:rsid w:val="004B26D1"/>
    <w:rsid w:val="004C0084"/>
    <w:rsid w:val="004C1F0A"/>
    <w:rsid w:val="004C2DA1"/>
    <w:rsid w:val="004C321C"/>
    <w:rsid w:val="004C42F0"/>
    <w:rsid w:val="004C5A4A"/>
    <w:rsid w:val="004C5D82"/>
    <w:rsid w:val="004C7280"/>
    <w:rsid w:val="004D067A"/>
    <w:rsid w:val="004D4FE4"/>
    <w:rsid w:val="004F65FA"/>
    <w:rsid w:val="004F76E1"/>
    <w:rsid w:val="00500AC6"/>
    <w:rsid w:val="00501FB6"/>
    <w:rsid w:val="005020B1"/>
    <w:rsid w:val="0050290A"/>
    <w:rsid w:val="00503958"/>
    <w:rsid w:val="00505D63"/>
    <w:rsid w:val="00505E58"/>
    <w:rsid w:val="00507581"/>
    <w:rsid w:val="005135FC"/>
    <w:rsid w:val="005141EB"/>
    <w:rsid w:val="005160EE"/>
    <w:rsid w:val="0051713E"/>
    <w:rsid w:val="00517A5A"/>
    <w:rsid w:val="00520457"/>
    <w:rsid w:val="00522BAD"/>
    <w:rsid w:val="005238B4"/>
    <w:rsid w:val="00525F5E"/>
    <w:rsid w:val="00527368"/>
    <w:rsid w:val="00532CD6"/>
    <w:rsid w:val="00532D04"/>
    <w:rsid w:val="00535455"/>
    <w:rsid w:val="00543735"/>
    <w:rsid w:val="00544A4C"/>
    <w:rsid w:val="00544ADC"/>
    <w:rsid w:val="00551D61"/>
    <w:rsid w:val="005576B2"/>
    <w:rsid w:val="0056070C"/>
    <w:rsid w:val="005611B5"/>
    <w:rsid w:val="00561F65"/>
    <w:rsid w:val="0056665E"/>
    <w:rsid w:val="00567338"/>
    <w:rsid w:val="005711A5"/>
    <w:rsid w:val="0057261B"/>
    <w:rsid w:val="00573D7B"/>
    <w:rsid w:val="0057536F"/>
    <w:rsid w:val="0057674B"/>
    <w:rsid w:val="005767BD"/>
    <w:rsid w:val="005771C3"/>
    <w:rsid w:val="00581DA6"/>
    <w:rsid w:val="00582FC6"/>
    <w:rsid w:val="005839EC"/>
    <w:rsid w:val="00587396"/>
    <w:rsid w:val="0059014A"/>
    <w:rsid w:val="005905C5"/>
    <w:rsid w:val="00592506"/>
    <w:rsid w:val="00592F52"/>
    <w:rsid w:val="0059488C"/>
    <w:rsid w:val="00594925"/>
    <w:rsid w:val="005965BB"/>
    <w:rsid w:val="005979D0"/>
    <w:rsid w:val="005A1DE3"/>
    <w:rsid w:val="005A7195"/>
    <w:rsid w:val="005B03F9"/>
    <w:rsid w:val="005B05B7"/>
    <w:rsid w:val="005B0F53"/>
    <w:rsid w:val="005B234C"/>
    <w:rsid w:val="005B23C2"/>
    <w:rsid w:val="005C0151"/>
    <w:rsid w:val="005C05ED"/>
    <w:rsid w:val="005C22C4"/>
    <w:rsid w:val="005C2F3A"/>
    <w:rsid w:val="005C4BAF"/>
    <w:rsid w:val="005C5356"/>
    <w:rsid w:val="005C7FF5"/>
    <w:rsid w:val="005D1839"/>
    <w:rsid w:val="005D334D"/>
    <w:rsid w:val="005D3D88"/>
    <w:rsid w:val="005D57CA"/>
    <w:rsid w:val="005D5D80"/>
    <w:rsid w:val="005D7D5A"/>
    <w:rsid w:val="005E292B"/>
    <w:rsid w:val="005E46B0"/>
    <w:rsid w:val="005E4B3C"/>
    <w:rsid w:val="005E51F4"/>
    <w:rsid w:val="005E65F1"/>
    <w:rsid w:val="005E66E2"/>
    <w:rsid w:val="005F2CAC"/>
    <w:rsid w:val="005F536C"/>
    <w:rsid w:val="005F76AD"/>
    <w:rsid w:val="005F7CB7"/>
    <w:rsid w:val="00600A9E"/>
    <w:rsid w:val="00601B2C"/>
    <w:rsid w:val="00602382"/>
    <w:rsid w:val="00604E6E"/>
    <w:rsid w:val="00605445"/>
    <w:rsid w:val="00605B0C"/>
    <w:rsid w:val="0060723D"/>
    <w:rsid w:val="006107CF"/>
    <w:rsid w:val="00610A9B"/>
    <w:rsid w:val="00613E80"/>
    <w:rsid w:val="0061483D"/>
    <w:rsid w:val="00615089"/>
    <w:rsid w:val="006161F5"/>
    <w:rsid w:val="00620463"/>
    <w:rsid w:val="00622211"/>
    <w:rsid w:val="00623A8B"/>
    <w:rsid w:val="0062448C"/>
    <w:rsid w:val="0062530B"/>
    <w:rsid w:val="006302AC"/>
    <w:rsid w:val="006310B2"/>
    <w:rsid w:val="00634A61"/>
    <w:rsid w:val="00634E57"/>
    <w:rsid w:val="00635EC0"/>
    <w:rsid w:val="00641ADA"/>
    <w:rsid w:val="006430DE"/>
    <w:rsid w:val="00644D31"/>
    <w:rsid w:val="006450E3"/>
    <w:rsid w:val="00645237"/>
    <w:rsid w:val="00650FE8"/>
    <w:rsid w:val="006536C3"/>
    <w:rsid w:val="006541EC"/>
    <w:rsid w:val="00654436"/>
    <w:rsid w:val="006557D2"/>
    <w:rsid w:val="00657F01"/>
    <w:rsid w:val="00660018"/>
    <w:rsid w:val="00660CDF"/>
    <w:rsid w:val="00660DA9"/>
    <w:rsid w:val="0066534C"/>
    <w:rsid w:val="00667FD7"/>
    <w:rsid w:val="006703E0"/>
    <w:rsid w:val="00672DD1"/>
    <w:rsid w:val="006731A2"/>
    <w:rsid w:val="006731B4"/>
    <w:rsid w:val="006732BC"/>
    <w:rsid w:val="0067564F"/>
    <w:rsid w:val="006757AC"/>
    <w:rsid w:val="00675CAE"/>
    <w:rsid w:val="00676150"/>
    <w:rsid w:val="00677B68"/>
    <w:rsid w:val="00690366"/>
    <w:rsid w:val="0069100A"/>
    <w:rsid w:val="00692B8A"/>
    <w:rsid w:val="0069305A"/>
    <w:rsid w:val="0069349F"/>
    <w:rsid w:val="00693DFE"/>
    <w:rsid w:val="00696543"/>
    <w:rsid w:val="006A223D"/>
    <w:rsid w:val="006A3933"/>
    <w:rsid w:val="006A3D1D"/>
    <w:rsid w:val="006A3F51"/>
    <w:rsid w:val="006A4879"/>
    <w:rsid w:val="006A5F53"/>
    <w:rsid w:val="006B0096"/>
    <w:rsid w:val="006B0390"/>
    <w:rsid w:val="006B0A49"/>
    <w:rsid w:val="006B1606"/>
    <w:rsid w:val="006B18FF"/>
    <w:rsid w:val="006B24EA"/>
    <w:rsid w:val="006B3095"/>
    <w:rsid w:val="006B41E1"/>
    <w:rsid w:val="006B49B8"/>
    <w:rsid w:val="006B4DBE"/>
    <w:rsid w:val="006B5117"/>
    <w:rsid w:val="006B59FB"/>
    <w:rsid w:val="006B6C15"/>
    <w:rsid w:val="006B72BF"/>
    <w:rsid w:val="006C1EFF"/>
    <w:rsid w:val="006C2194"/>
    <w:rsid w:val="006C3911"/>
    <w:rsid w:val="006C4B3C"/>
    <w:rsid w:val="006C66CE"/>
    <w:rsid w:val="006C6D26"/>
    <w:rsid w:val="006C708E"/>
    <w:rsid w:val="006C71EE"/>
    <w:rsid w:val="006C7D06"/>
    <w:rsid w:val="006D0492"/>
    <w:rsid w:val="006D1751"/>
    <w:rsid w:val="006D4E15"/>
    <w:rsid w:val="006D5616"/>
    <w:rsid w:val="006D5B97"/>
    <w:rsid w:val="006D6C16"/>
    <w:rsid w:val="006D7229"/>
    <w:rsid w:val="006D7760"/>
    <w:rsid w:val="006E062F"/>
    <w:rsid w:val="006E2E03"/>
    <w:rsid w:val="006E3BB4"/>
    <w:rsid w:val="006E4331"/>
    <w:rsid w:val="006F07F8"/>
    <w:rsid w:val="006F2BE7"/>
    <w:rsid w:val="006F4935"/>
    <w:rsid w:val="006F55A8"/>
    <w:rsid w:val="006F5ADD"/>
    <w:rsid w:val="0070104C"/>
    <w:rsid w:val="007011AA"/>
    <w:rsid w:val="00703060"/>
    <w:rsid w:val="0070540C"/>
    <w:rsid w:val="007106FA"/>
    <w:rsid w:val="00711500"/>
    <w:rsid w:val="00711592"/>
    <w:rsid w:val="00711669"/>
    <w:rsid w:val="00711C0A"/>
    <w:rsid w:val="007134B9"/>
    <w:rsid w:val="00715342"/>
    <w:rsid w:val="00720707"/>
    <w:rsid w:val="007222D8"/>
    <w:rsid w:val="00724464"/>
    <w:rsid w:val="0072504B"/>
    <w:rsid w:val="00725E89"/>
    <w:rsid w:val="00726700"/>
    <w:rsid w:val="007270B4"/>
    <w:rsid w:val="007274E9"/>
    <w:rsid w:val="007279F5"/>
    <w:rsid w:val="00732986"/>
    <w:rsid w:val="00733AFB"/>
    <w:rsid w:val="007340CB"/>
    <w:rsid w:val="007367C1"/>
    <w:rsid w:val="00740E43"/>
    <w:rsid w:val="00741838"/>
    <w:rsid w:val="007424C3"/>
    <w:rsid w:val="00744B72"/>
    <w:rsid w:val="00745FD0"/>
    <w:rsid w:val="0074628A"/>
    <w:rsid w:val="00746A81"/>
    <w:rsid w:val="0075029A"/>
    <w:rsid w:val="00750BAB"/>
    <w:rsid w:val="0075102F"/>
    <w:rsid w:val="007515E9"/>
    <w:rsid w:val="00751860"/>
    <w:rsid w:val="00752F83"/>
    <w:rsid w:val="00760F4C"/>
    <w:rsid w:val="00761D13"/>
    <w:rsid w:val="007629A3"/>
    <w:rsid w:val="00762CED"/>
    <w:rsid w:val="007635CB"/>
    <w:rsid w:val="007644DD"/>
    <w:rsid w:val="007648FE"/>
    <w:rsid w:val="00780267"/>
    <w:rsid w:val="007808DC"/>
    <w:rsid w:val="00782AE4"/>
    <w:rsid w:val="00783D21"/>
    <w:rsid w:val="00787131"/>
    <w:rsid w:val="007875A0"/>
    <w:rsid w:val="0079232B"/>
    <w:rsid w:val="00794B4B"/>
    <w:rsid w:val="007961A1"/>
    <w:rsid w:val="00796B2B"/>
    <w:rsid w:val="007A1389"/>
    <w:rsid w:val="007A1D31"/>
    <w:rsid w:val="007A376B"/>
    <w:rsid w:val="007A3BA0"/>
    <w:rsid w:val="007A4CA2"/>
    <w:rsid w:val="007A5D62"/>
    <w:rsid w:val="007A6642"/>
    <w:rsid w:val="007B1189"/>
    <w:rsid w:val="007B120E"/>
    <w:rsid w:val="007B1C3B"/>
    <w:rsid w:val="007B1CC1"/>
    <w:rsid w:val="007B1CF3"/>
    <w:rsid w:val="007B3420"/>
    <w:rsid w:val="007B590A"/>
    <w:rsid w:val="007B5C37"/>
    <w:rsid w:val="007C0D0A"/>
    <w:rsid w:val="007C1828"/>
    <w:rsid w:val="007C26A0"/>
    <w:rsid w:val="007C2B41"/>
    <w:rsid w:val="007C4B72"/>
    <w:rsid w:val="007C6AE9"/>
    <w:rsid w:val="007D09DC"/>
    <w:rsid w:val="007D240A"/>
    <w:rsid w:val="007D24BA"/>
    <w:rsid w:val="007D4E94"/>
    <w:rsid w:val="007D6EBA"/>
    <w:rsid w:val="007E0B99"/>
    <w:rsid w:val="007E1075"/>
    <w:rsid w:val="007E1A5E"/>
    <w:rsid w:val="007E1DCB"/>
    <w:rsid w:val="007E276D"/>
    <w:rsid w:val="007E5039"/>
    <w:rsid w:val="007E68ED"/>
    <w:rsid w:val="007E7FB2"/>
    <w:rsid w:val="007F08E8"/>
    <w:rsid w:val="007F1592"/>
    <w:rsid w:val="007F23DE"/>
    <w:rsid w:val="007F2811"/>
    <w:rsid w:val="007F65CA"/>
    <w:rsid w:val="007F666F"/>
    <w:rsid w:val="007F6E57"/>
    <w:rsid w:val="008009FC"/>
    <w:rsid w:val="008022D2"/>
    <w:rsid w:val="00804E7F"/>
    <w:rsid w:val="008051C2"/>
    <w:rsid w:val="00807D14"/>
    <w:rsid w:val="00811528"/>
    <w:rsid w:val="0081169D"/>
    <w:rsid w:val="00814D9A"/>
    <w:rsid w:val="008201EC"/>
    <w:rsid w:val="008214F3"/>
    <w:rsid w:val="00821B5C"/>
    <w:rsid w:val="00821FA0"/>
    <w:rsid w:val="00824F62"/>
    <w:rsid w:val="008254C6"/>
    <w:rsid w:val="00826261"/>
    <w:rsid w:val="0082787A"/>
    <w:rsid w:val="00830208"/>
    <w:rsid w:val="00833871"/>
    <w:rsid w:val="00836DE1"/>
    <w:rsid w:val="008370EF"/>
    <w:rsid w:val="00841984"/>
    <w:rsid w:val="00842DFC"/>
    <w:rsid w:val="00845724"/>
    <w:rsid w:val="00846A6E"/>
    <w:rsid w:val="00850071"/>
    <w:rsid w:val="00850C96"/>
    <w:rsid w:val="008516AA"/>
    <w:rsid w:val="00852707"/>
    <w:rsid w:val="00855EBA"/>
    <w:rsid w:val="00855FA8"/>
    <w:rsid w:val="008560BA"/>
    <w:rsid w:val="00856172"/>
    <w:rsid w:val="0085644D"/>
    <w:rsid w:val="00856BE3"/>
    <w:rsid w:val="00856E75"/>
    <w:rsid w:val="008577A1"/>
    <w:rsid w:val="00862466"/>
    <w:rsid w:val="0086265C"/>
    <w:rsid w:val="008631AA"/>
    <w:rsid w:val="0086585C"/>
    <w:rsid w:val="00866CDE"/>
    <w:rsid w:val="008676E3"/>
    <w:rsid w:val="0087156A"/>
    <w:rsid w:val="00871A06"/>
    <w:rsid w:val="00871D26"/>
    <w:rsid w:val="008722D8"/>
    <w:rsid w:val="00872D82"/>
    <w:rsid w:val="00874C2D"/>
    <w:rsid w:val="00876242"/>
    <w:rsid w:val="008774D7"/>
    <w:rsid w:val="008827D0"/>
    <w:rsid w:val="00883181"/>
    <w:rsid w:val="0088434A"/>
    <w:rsid w:val="00884D00"/>
    <w:rsid w:val="00885DBF"/>
    <w:rsid w:val="00886B1C"/>
    <w:rsid w:val="008915E2"/>
    <w:rsid w:val="00892DA9"/>
    <w:rsid w:val="008950DB"/>
    <w:rsid w:val="00897A7B"/>
    <w:rsid w:val="008A00BE"/>
    <w:rsid w:val="008A01A5"/>
    <w:rsid w:val="008A3328"/>
    <w:rsid w:val="008A3A84"/>
    <w:rsid w:val="008A529F"/>
    <w:rsid w:val="008A5B20"/>
    <w:rsid w:val="008A609E"/>
    <w:rsid w:val="008B52D0"/>
    <w:rsid w:val="008B54D2"/>
    <w:rsid w:val="008B6F5D"/>
    <w:rsid w:val="008B7112"/>
    <w:rsid w:val="008C1508"/>
    <w:rsid w:val="008C21E0"/>
    <w:rsid w:val="008C2D2E"/>
    <w:rsid w:val="008C3521"/>
    <w:rsid w:val="008C619F"/>
    <w:rsid w:val="008C6A3F"/>
    <w:rsid w:val="008D0189"/>
    <w:rsid w:val="008D0879"/>
    <w:rsid w:val="008D255C"/>
    <w:rsid w:val="008D46A5"/>
    <w:rsid w:val="008E0565"/>
    <w:rsid w:val="008E310E"/>
    <w:rsid w:val="008E4DF3"/>
    <w:rsid w:val="008E6197"/>
    <w:rsid w:val="008E6AC9"/>
    <w:rsid w:val="008F1E96"/>
    <w:rsid w:val="008F6552"/>
    <w:rsid w:val="008F7B0F"/>
    <w:rsid w:val="00900003"/>
    <w:rsid w:val="009006E1"/>
    <w:rsid w:val="00902999"/>
    <w:rsid w:val="00904DED"/>
    <w:rsid w:val="00905E54"/>
    <w:rsid w:val="0090663F"/>
    <w:rsid w:val="00912480"/>
    <w:rsid w:val="00912CA7"/>
    <w:rsid w:val="009207B6"/>
    <w:rsid w:val="009216EA"/>
    <w:rsid w:val="009226A1"/>
    <w:rsid w:val="00922F4F"/>
    <w:rsid w:val="009239CA"/>
    <w:rsid w:val="00923F09"/>
    <w:rsid w:val="00926007"/>
    <w:rsid w:val="0092793E"/>
    <w:rsid w:val="0093026E"/>
    <w:rsid w:val="00931936"/>
    <w:rsid w:val="00936EE1"/>
    <w:rsid w:val="00937033"/>
    <w:rsid w:val="0093715C"/>
    <w:rsid w:val="0094145A"/>
    <w:rsid w:val="00943EF8"/>
    <w:rsid w:val="009455EA"/>
    <w:rsid w:val="00947C74"/>
    <w:rsid w:val="00947DC5"/>
    <w:rsid w:val="009501AA"/>
    <w:rsid w:val="0095278C"/>
    <w:rsid w:val="0095399C"/>
    <w:rsid w:val="00953A1B"/>
    <w:rsid w:val="00955720"/>
    <w:rsid w:val="009600E5"/>
    <w:rsid w:val="009608A1"/>
    <w:rsid w:val="00960E46"/>
    <w:rsid w:val="00961604"/>
    <w:rsid w:val="00965EBA"/>
    <w:rsid w:val="0096728D"/>
    <w:rsid w:val="0096748D"/>
    <w:rsid w:val="009708A5"/>
    <w:rsid w:val="009708C3"/>
    <w:rsid w:val="009727CF"/>
    <w:rsid w:val="0097408E"/>
    <w:rsid w:val="00975669"/>
    <w:rsid w:val="009809C7"/>
    <w:rsid w:val="00981BC8"/>
    <w:rsid w:val="00982587"/>
    <w:rsid w:val="009825EE"/>
    <w:rsid w:val="00983A75"/>
    <w:rsid w:val="00984366"/>
    <w:rsid w:val="00987168"/>
    <w:rsid w:val="00990BF1"/>
    <w:rsid w:val="00990EA7"/>
    <w:rsid w:val="009913ED"/>
    <w:rsid w:val="009918F5"/>
    <w:rsid w:val="009A2EB7"/>
    <w:rsid w:val="009A3CD0"/>
    <w:rsid w:val="009A5471"/>
    <w:rsid w:val="009B1904"/>
    <w:rsid w:val="009B2A18"/>
    <w:rsid w:val="009B72DD"/>
    <w:rsid w:val="009C12F6"/>
    <w:rsid w:val="009C20B1"/>
    <w:rsid w:val="009C5850"/>
    <w:rsid w:val="009C7E33"/>
    <w:rsid w:val="009D2E80"/>
    <w:rsid w:val="009D4B26"/>
    <w:rsid w:val="009D5F28"/>
    <w:rsid w:val="009D5FE7"/>
    <w:rsid w:val="009D73E1"/>
    <w:rsid w:val="009E009B"/>
    <w:rsid w:val="009E09DC"/>
    <w:rsid w:val="009E2032"/>
    <w:rsid w:val="009E255E"/>
    <w:rsid w:val="009E5BCC"/>
    <w:rsid w:val="009E63F3"/>
    <w:rsid w:val="009E6629"/>
    <w:rsid w:val="009F1B0C"/>
    <w:rsid w:val="009F4782"/>
    <w:rsid w:val="009F47F1"/>
    <w:rsid w:val="009F5951"/>
    <w:rsid w:val="009F6EAB"/>
    <w:rsid w:val="009F723E"/>
    <w:rsid w:val="009F75F8"/>
    <w:rsid w:val="00A000E1"/>
    <w:rsid w:val="00A0046C"/>
    <w:rsid w:val="00A0233F"/>
    <w:rsid w:val="00A02F21"/>
    <w:rsid w:val="00A07300"/>
    <w:rsid w:val="00A07A3E"/>
    <w:rsid w:val="00A100D2"/>
    <w:rsid w:val="00A1417F"/>
    <w:rsid w:val="00A16405"/>
    <w:rsid w:val="00A16F6A"/>
    <w:rsid w:val="00A204D8"/>
    <w:rsid w:val="00A20C1B"/>
    <w:rsid w:val="00A21199"/>
    <w:rsid w:val="00A215A3"/>
    <w:rsid w:val="00A229C1"/>
    <w:rsid w:val="00A24695"/>
    <w:rsid w:val="00A24ACA"/>
    <w:rsid w:val="00A24B01"/>
    <w:rsid w:val="00A255CE"/>
    <w:rsid w:val="00A27BA7"/>
    <w:rsid w:val="00A30EF3"/>
    <w:rsid w:val="00A30F20"/>
    <w:rsid w:val="00A35DA4"/>
    <w:rsid w:val="00A368E4"/>
    <w:rsid w:val="00A372F2"/>
    <w:rsid w:val="00A37A53"/>
    <w:rsid w:val="00A40DBD"/>
    <w:rsid w:val="00A40F4D"/>
    <w:rsid w:val="00A42B1F"/>
    <w:rsid w:val="00A43BF5"/>
    <w:rsid w:val="00A45122"/>
    <w:rsid w:val="00A45709"/>
    <w:rsid w:val="00A4602C"/>
    <w:rsid w:val="00A47635"/>
    <w:rsid w:val="00A50003"/>
    <w:rsid w:val="00A5023F"/>
    <w:rsid w:val="00A50D72"/>
    <w:rsid w:val="00A53379"/>
    <w:rsid w:val="00A53B58"/>
    <w:rsid w:val="00A547B5"/>
    <w:rsid w:val="00A55EFF"/>
    <w:rsid w:val="00A56EF0"/>
    <w:rsid w:val="00A606F2"/>
    <w:rsid w:val="00A60B36"/>
    <w:rsid w:val="00A64CD9"/>
    <w:rsid w:val="00A6622E"/>
    <w:rsid w:val="00A70219"/>
    <w:rsid w:val="00A707E6"/>
    <w:rsid w:val="00A74EF7"/>
    <w:rsid w:val="00A7541C"/>
    <w:rsid w:val="00A75BB5"/>
    <w:rsid w:val="00A80621"/>
    <w:rsid w:val="00A815A9"/>
    <w:rsid w:val="00A82EAE"/>
    <w:rsid w:val="00A830D6"/>
    <w:rsid w:val="00A833BB"/>
    <w:rsid w:val="00A83AAF"/>
    <w:rsid w:val="00A85F8F"/>
    <w:rsid w:val="00A931EC"/>
    <w:rsid w:val="00A95C15"/>
    <w:rsid w:val="00A96C0A"/>
    <w:rsid w:val="00AA065D"/>
    <w:rsid w:val="00AA1E31"/>
    <w:rsid w:val="00AA31CB"/>
    <w:rsid w:val="00AA5872"/>
    <w:rsid w:val="00AA5949"/>
    <w:rsid w:val="00AB0D98"/>
    <w:rsid w:val="00AB1566"/>
    <w:rsid w:val="00AB3A27"/>
    <w:rsid w:val="00AB4043"/>
    <w:rsid w:val="00AB4331"/>
    <w:rsid w:val="00AB46CA"/>
    <w:rsid w:val="00AB5E0C"/>
    <w:rsid w:val="00AB61D8"/>
    <w:rsid w:val="00AC2103"/>
    <w:rsid w:val="00AC5344"/>
    <w:rsid w:val="00AC5ADD"/>
    <w:rsid w:val="00AC6DAF"/>
    <w:rsid w:val="00AC6DB9"/>
    <w:rsid w:val="00AC7A0A"/>
    <w:rsid w:val="00AD09BA"/>
    <w:rsid w:val="00AD1C03"/>
    <w:rsid w:val="00AD4091"/>
    <w:rsid w:val="00AD4650"/>
    <w:rsid w:val="00AD6EA5"/>
    <w:rsid w:val="00AD72CB"/>
    <w:rsid w:val="00AD77A5"/>
    <w:rsid w:val="00AE039F"/>
    <w:rsid w:val="00AE12BC"/>
    <w:rsid w:val="00AE1DC6"/>
    <w:rsid w:val="00AE48C2"/>
    <w:rsid w:val="00AE54D0"/>
    <w:rsid w:val="00AE646E"/>
    <w:rsid w:val="00AE7ED9"/>
    <w:rsid w:val="00AF1D92"/>
    <w:rsid w:val="00AF3C02"/>
    <w:rsid w:val="00AF4D1B"/>
    <w:rsid w:val="00AF4D35"/>
    <w:rsid w:val="00AF54C5"/>
    <w:rsid w:val="00B01A3E"/>
    <w:rsid w:val="00B01D4C"/>
    <w:rsid w:val="00B02416"/>
    <w:rsid w:val="00B04F61"/>
    <w:rsid w:val="00B053A4"/>
    <w:rsid w:val="00B05C3C"/>
    <w:rsid w:val="00B1162F"/>
    <w:rsid w:val="00B13518"/>
    <w:rsid w:val="00B13E66"/>
    <w:rsid w:val="00B156F1"/>
    <w:rsid w:val="00B25293"/>
    <w:rsid w:val="00B266DC"/>
    <w:rsid w:val="00B269BB"/>
    <w:rsid w:val="00B276FE"/>
    <w:rsid w:val="00B30BC5"/>
    <w:rsid w:val="00B348C6"/>
    <w:rsid w:val="00B34EA4"/>
    <w:rsid w:val="00B36EC6"/>
    <w:rsid w:val="00B37B38"/>
    <w:rsid w:val="00B4241E"/>
    <w:rsid w:val="00B448C9"/>
    <w:rsid w:val="00B45806"/>
    <w:rsid w:val="00B47656"/>
    <w:rsid w:val="00B479C0"/>
    <w:rsid w:val="00B47EB8"/>
    <w:rsid w:val="00B5193D"/>
    <w:rsid w:val="00B5457E"/>
    <w:rsid w:val="00B564D1"/>
    <w:rsid w:val="00B609E4"/>
    <w:rsid w:val="00B6290E"/>
    <w:rsid w:val="00B6315D"/>
    <w:rsid w:val="00B633FF"/>
    <w:rsid w:val="00B63E89"/>
    <w:rsid w:val="00B6511B"/>
    <w:rsid w:val="00B652ED"/>
    <w:rsid w:val="00B661B7"/>
    <w:rsid w:val="00B66296"/>
    <w:rsid w:val="00B71B9F"/>
    <w:rsid w:val="00B75859"/>
    <w:rsid w:val="00B760F5"/>
    <w:rsid w:val="00B80CAD"/>
    <w:rsid w:val="00B82B88"/>
    <w:rsid w:val="00B848DF"/>
    <w:rsid w:val="00B85B58"/>
    <w:rsid w:val="00B92060"/>
    <w:rsid w:val="00B9417E"/>
    <w:rsid w:val="00B944BB"/>
    <w:rsid w:val="00B95FB6"/>
    <w:rsid w:val="00B9630F"/>
    <w:rsid w:val="00B96578"/>
    <w:rsid w:val="00BA1F66"/>
    <w:rsid w:val="00BA3060"/>
    <w:rsid w:val="00BB0C10"/>
    <w:rsid w:val="00BB0D11"/>
    <w:rsid w:val="00BB2ACC"/>
    <w:rsid w:val="00BC0EF7"/>
    <w:rsid w:val="00BC1002"/>
    <w:rsid w:val="00BC109B"/>
    <w:rsid w:val="00BC130D"/>
    <w:rsid w:val="00BC3367"/>
    <w:rsid w:val="00BC44C4"/>
    <w:rsid w:val="00BC62BF"/>
    <w:rsid w:val="00BC7326"/>
    <w:rsid w:val="00BD0D8D"/>
    <w:rsid w:val="00BD1393"/>
    <w:rsid w:val="00BD1761"/>
    <w:rsid w:val="00BD46D2"/>
    <w:rsid w:val="00BD6613"/>
    <w:rsid w:val="00BD6B18"/>
    <w:rsid w:val="00BE066B"/>
    <w:rsid w:val="00BE0E56"/>
    <w:rsid w:val="00BE1722"/>
    <w:rsid w:val="00BE1907"/>
    <w:rsid w:val="00BE30D9"/>
    <w:rsid w:val="00BE64E6"/>
    <w:rsid w:val="00BE7918"/>
    <w:rsid w:val="00BE7B2B"/>
    <w:rsid w:val="00BF1C4F"/>
    <w:rsid w:val="00BF2FA2"/>
    <w:rsid w:val="00BF3ECE"/>
    <w:rsid w:val="00BF4862"/>
    <w:rsid w:val="00BF4C17"/>
    <w:rsid w:val="00BF50F4"/>
    <w:rsid w:val="00BF581C"/>
    <w:rsid w:val="00C010B6"/>
    <w:rsid w:val="00C01CB0"/>
    <w:rsid w:val="00C021DA"/>
    <w:rsid w:val="00C02A4E"/>
    <w:rsid w:val="00C02BAF"/>
    <w:rsid w:val="00C030C5"/>
    <w:rsid w:val="00C03596"/>
    <w:rsid w:val="00C03E29"/>
    <w:rsid w:val="00C0432C"/>
    <w:rsid w:val="00C04773"/>
    <w:rsid w:val="00C06BFC"/>
    <w:rsid w:val="00C07D84"/>
    <w:rsid w:val="00C14CFB"/>
    <w:rsid w:val="00C16C15"/>
    <w:rsid w:val="00C16D09"/>
    <w:rsid w:val="00C16FCC"/>
    <w:rsid w:val="00C17DF3"/>
    <w:rsid w:val="00C20537"/>
    <w:rsid w:val="00C230D7"/>
    <w:rsid w:val="00C25DC0"/>
    <w:rsid w:val="00C2659D"/>
    <w:rsid w:val="00C26BB4"/>
    <w:rsid w:val="00C31490"/>
    <w:rsid w:val="00C32D5F"/>
    <w:rsid w:val="00C3326D"/>
    <w:rsid w:val="00C3331C"/>
    <w:rsid w:val="00C351E9"/>
    <w:rsid w:val="00C36671"/>
    <w:rsid w:val="00C37D25"/>
    <w:rsid w:val="00C4041C"/>
    <w:rsid w:val="00C40617"/>
    <w:rsid w:val="00C40EBF"/>
    <w:rsid w:val="00C419B5"/>
    <w:rsid w:val="00C42F41"/>
    <w:rsid w:val="00C44700"/>
    <w:rsid w:val="00C471ED"/>
    <w:rsid w:val="00C503C8"/>
    <w:rsid w:val="00C51591"/>
    <w:rsid w:val="00C52FF0"/>
    <w:rsid w:val="00C531DF"/>
    <w:rsid w:val="00C5506D"/>
    <w:rsid w:val="00C5532D"/>
    <w:rsid w:val="00C6330E"/>
    <w:rsid w:val="00C641C7"/>
    <w:rsid w:val="00C66118"/>
    <w:rsid w:val="00C711CC"/>
    <w:rsid w:val="00C71A20"/>
    <w:rsid w:val="00C73C6E"/>
    <w:rsid w:val="00C75C9A"/>
    <w:rsid w:val="00C7741F"/>
    <w:rsid w:val="00C77ADE"/>
    <w:rsid w:val="00C80D2D"/>
    <w:rsid w:val="00C833B7"/>
    <w:rsid w:val="00C834F9"/>
    <w:rsid w:val="00C83B19"/>
    <w:rsid w:val="00C83B1C"/>
    <w:rsid w:val="00C83E61"/>
    <w:rsid w:val="00C84B53"/>
    <w:rsid w:val="00C86E0D"/>
    <w:rsid w:val="00C87326"/>
    <w:rsid w:val="00C90E67"/>
    <w:rsid w:val="00C91451"/>
    <w:rsid w:val="00C914A9"/>
    <w:rsid w:val="00C95CD5"/>
    <w:rsid w:val="00CA11E9"/>
    <w:rsid w:val="00CA1783"/>
    <w:rsid w:val="00CA621B"/>
    <w:rsid w:val="00CA6BD5"/>
    <w:rsid w:val="00CA6DBE"/>
    <w:rsid w:val="00CA7348"/>
    <w:rsid w:val="00CA7604"/>
    <w:rsid w:val="00CB0F24"/>
    <w:rsid w:val="00CB1C4F"/>
    <w:rsid w:val="00CB24FD"/>
    <w:rsid w:val="00CB2A74"/>
    <w:rsid w:val="00CB53C1"/>
    <w:rsid w:val="00CB5C83"/>
    <w:rsid w:val="00CB6B44"/>
    <w:rsid w:val="00CB7051"/>
    <w:rsid w:val="00CC07AB"/>
    <w:rsid w:val="00CC13EB"/>
    <w:rsid w:val="00CC18DB"/>
    <w:rsid w:val="00CC4C0F"/>
    <w:rsid w:val="00CD0509"/>
    <w:rsid w:val="00CD05EE"/>
    <w:rsid w:val="00CD1A72"/>
    <w:rsid w:val="00CD1FF6"/>
    <w:rsid w:val="00CD31DB"/>
    <w:rsid w:val="00CD495E"/>
    <w:rsid w:val="00CD6324"/>
    <w:rsid w:val="00CD774C"/>
    <w:rsid w:val="00CD7C9C"/>
    <w:rsid w:val="00CE1032"/>
    <w:rsid w:val="00CE2D80"/>
    <w:rsid w:val="00CE447D"/>
    <w:rsid w:val="00CE4B3D"/>
    <w:rsid w:val="00CE4E84"/>
    <w:rsid w:val="00CE673F"/>
    <w:rsid w:val="00CE7690"/>
    <w:rsid w:val="00CF0F99"/>
    <w:rsid w:val="00CF1E77"/>
    <w:rsid w:val="00CF243C"/>
    <w:rsid w:val="00CF32A0"/>
    <w:rsid w:val="00CF6D8D"/>
    <w:rsid w:val="00CF77EF"/>
    <w:rsid w:val="00D008EE"/>
    <w:rsid w:val="00D013F0"/>
    <w:rsid w:val="00D02FA6"/>
    <w:rsid w:val="00D0457F"/>
    <w:rsid w:val="00D07C44"/>
    <w:rsid w:val="00D1072E"/>
    <w:rsid w:val="00D125FA"/>
    <w:rsid w:val="00D12C2D"/>
    <w:rsid w:val="00D12C6D"/>
    <w:rsid w:val="00D146F2"/>
    <w:rsid w:val="00D14C83"/>
    <w:rsid w:val="00D15380"/>
    <w:rsid w:val="00D1579E"/>
    <w:rsid w:val="00D16B7B"/>
    <w:rsid w:val="00D20622"/>
    <w:rsid w:val="00D24E61"/>
    <w:rsid w:val="00D253E2"/>
    <w:rsid w:val="00D25C98"/>
    <w:rsid w:val="00D26650"/>
    <w:rsid w:val="00D27111"/>
    <w:rsid w:val="00D30329"/>
    <w:rsid w:val="00D32376"/>
    <w:rsid w:val="00D32D3D"/>
    <w:rsid w:val="00D33CF2"/>
    <w:rsid w:val="00D3717A"/>
    <w:rsid w:val="00D408A9"/>
    <w:rsid w:val="00D41606"/>
    <w:rsid w:val="00D42228"/>
    <w:rsid w:val="00D42FF2"/>
    <w:rsid w:val="00D460EA"/>
    <w:rsid w:val="00D47763"/>
    <w:rsid w:val="00D47BBD"/>
    <w:rsid w:val="00D502DA"/>
    <w:rsid w:val="00D54889"/>
    <w:rsid w:val="00D54EF1"/>
    <w:rsid w:val="00D5567F"/>
    <w:rsid w:val="00D558C2"/>
    <w:rsid w:val="00D55909"/>
    <w:rsid w:val="00D57C16"/>
    <w:rsid w:val="00D616EE"/>
    <w:rsid w:val="00D63B3A"/>
    <w:rsid w:val="00D64299"/>
    <w:rsid w:val="00D653D2"/>
    <w:rsid w:val="00D65C80"/>
    <w:rsid w:val="00D6624F"/>
    <w:rsid w:val="00D66B54"/>
    <w:rsid w:val="00D74126"/>
    <w:rsid w:val="00D7460F"/>
    <w:rsid w:val="00D7470B"/>
    <w:rsid w:val="00D8289A"/>
    <w:rsid w:val="00D832CC"/>
    <w:rsid w:val="00D83353"/>
    <w:rsid w:val="00D83494"/>
    <w:rsid w:val="00D8428D"/>
    <w:rsid w:val="00D8548A"/>
    <w:rsid w:val="00D86232"/>
    <w:rsid w:val="00D87125"/>
    <w:rsid w:val="00D87F47"/>
    <w:rsid w:val="00D921D8"/>
    <w:rsid w:val="00D93DD1"/>
    <w:rsid w:val="00D93F19"/>
    <w:rsid w:val="00D9784F"/>
    <w:rsid w:val="00DA113B"/>
    <w:rsid w:val="00DA1DAF"/>
    <w:rsid w:val="00DA4E93"/>
    <w:rsid w:val="00DA6A8C"/>
    <w:rsid w:val="00DA76F2"/>
    <w:rsid w:val="00DB1025"/>
    <w:rsid w:val="00DB3376"/>
    <w:rsid w:val="00DB40C8"/>
    <w:rsid w:val="00DB70AB"/>
    <w:rsid w:val="00DC3770"/>
    <w:rsid w:val="00DC4037"/>
    <w:rsid w:val="00DC71C1"/>
    <w:rsid w:val="00DC71F4"/>
    <w:rsid w:val="00DD110F"/>
    <w:rsid w:val="00DD2B33"/>
    <w:rsid w:val="00DD5F55"/>
    <w:rsid w:val="00DD62BE"/>
    <w:rsid w:val="00DE1CE5"/>
    <w:rsid w:val="00DE1E36"/>
    <w:rsid w:val="00DE2AB9"/>
    <w:rsid w:val="00DE3A1D"/>
    <w:rsid w:val="00DE3EBD"/>
    <w:rsid w:val="00DE44FD"/>
    <w:rsid w:val="00DE4902"/>
    <w:rsid w:val="00DF00C0"/>
    <w:rsid w:val="00DF5D14"/>
    <w:rsid w:val="00DF69AE"/>
    <w:rsid w:val="00DF78C7"/>
    <w:rsid w:val="00E0087A"/>
    <w:rsid w:val="00E00C4E"/>
    <w:rsid w:val="00E01032"/>
    <w:rsid w:val="00E03FB8"/>
    <w:rsid w:val="00E052FA"/>
    <w:rsid w:val="00E10098"/>
    <w:rsid w:val="00E104C7"/>
    <w:rsid w:val="00E113FB"/>
    <w:rsid w:val="00E14DD7"/>
    <w:rsid w:val="00E15A1C"/>
    <w:rsid w:val="00E17AFB"/>
    <w:rsid w:val="00E2022C"/>
    <w:rsid w:val="00E2154D"/>
    <w:rsid w:val="00E25B7D"/>
    <w:rsid w:val="00E26475"/>
    <w:rsid w:val="00E27722"/>
    <w:rsid w:val="00E30CC9"/>
    <w:rsid w:val="00E32D92"/>
    <w:rsid w:val="00E35BF4"/>
    <w:rsid w:val="00E37830"/>
    <w:rsid w:val="00E3786F"/>
    <w:rsid w:val="00E421BD"/>
    <w:rsid w:val="00E45266"/>
    <w:rsid w:val="00E466F9"/>
    <w:rsid w:val="00E46B9F"/>
    <w:rsid w:val="00E47831"/>
    <w:rsid w:val="00E56B75"/>
    <w:rsid w:val="00E6077D"/>
    <w:rsid w:val="00E65B2A"/>
    <w:rsid w:val="00E66785"/>
    <w:rsid w:val="00E75236"/>
    <w:rsid w:val="00E75DB6"/>
    <w:rsid w:val="00E77CC0"/>
    <w:rsid w:val="00E805DE"/>
    <w:rsid w:val="00E813FF"/>
    <w:rsid w:val="00E81FE6"/>
    <w:rsid w:val="00E83356"/>
    <w:rsid w:val="00E8550C"/>
    <w:rsid w:val="00E872D1"/>
    <w:rsid w:val="00E8738C"/>
    <w:rsid w:val="00E9142E"/>
    <w:rsid w:val="00E92BB0"/>
    <w:rsid w:val="00E92DCD"/>
    <w:rsid w:val="00E93DDF"/>
    <w:rsid w:val="00E956F3"/>
    <w:rsid w:val="00E958A0"/>
    <w:rsid w:val="00E976C7"/>
    <w:rsid w:val="00EA0510"/>
    <w:rsid w:val="00EA095A"/>
    <w:rsid w:val="00EA1BA0"/>
    <w:rsid w:val="00EA4F79"/>
    <w:rsid w:val="00EA6776"/>
    <w:rsid w:val="00EA76C9"/>
    <w:rsid w:val="00EC311E"/>
    <w:rsid w:val="00EC3505"/>
    <w:rsid w:val="00EC3FBE"/>
    <w:rsid w:val="00EC6FDF"/>
    <w:rsid w:val="00ED0ECD"/>
    <w:rsid w:val="00ED1B58"/>
    <w:rsid w:val="00ED1D97"/>
    <w:rsid w:val="00ED1F7C"/>
    <w:rsid w:val="00ED2F81"/>
    <w:rsid w:val="00ED3A2B"/>
    <w:rsid w:val="00ED570C"/>
    <w:rsid w:val="00ED5C18"/>
    <w:rsid w:val="00ED7B4D"/>
    <w:rsid w:val="00EE0F58"/>
    <w:rsid w:val="00EE3AE2"/>
    <w:rsid w:val="00EE4B4F"/>
    <w:rsid w:val="00EE5945"/>
    <w:rsid w:val="00EE711E"/>
    <w:rsid w:val="00EF0117"/>
    <w:rsid w:val="00EF0C0E"/>
    <w:rsid w:val="00EF2FDB"/>
    <w:rsid w:val="00EF7C22"/>
    <w:rsid w:val="00F03D60"/>
    <w:rsid w:val="00F040D8"/>
    <w:rsid w:val="00F046A9"/>
    <w:rsid w:val="00F04FC0"/>
    <w:rsid w:val="00F05B77"/>
    <w:rsid w:val="00F05F0E"/>
    <w:rsid w:val="00F06A59"/>
    <w:rsid w:val="00F102AE"/>
    <w:rsid w:val="00F10344"/>
    <w:rsid w:val="00F1104F"/>
    <w:rsid w:val="00F1253D"/>
    <w:rsid w:val="00F12AB4"/>
    <w:rsid w:val="00F142AA"/>
    <w:rsid w:val="00F16E85"/>
    <w:rsid w:val="00F1786A"/>
    <w:rsid w:val="00F2201E"/>
    <w:rsid w:val="00F2547D"/>
    <w:rsid w:val="00F279EC"/>
    <w:rsid w:val="00F27A9B"/>
    <w:rsid w:val="00F31055"/>
    <w:rsid w:val="00F31E04"/>
    <w:rsid w:val="00F35EAE"/>
    <w:rsid w:val="00F36E49"/>
    <w:rsid w:val="00F372A7"/>
    <w:rsid w:val="00F376BF"/>
    <w:rsid w:val="00F40459"/>
    <w:rsid w:val="00F40CEC"/>
    <w:rsid w:val="00F40EA5"/>
    <w:rsid w:val="00F434D7"/>
    <w:rsid w:val="00F44863"/>
    <w:rsid w:val="00F450FB"/>
    <w:rsid w:val="00F4549F"/>
    <w:rsid w:val="00F45E90"/>
    <w:rsid w:val="00F474F0"/>
    <w:rsid w:val="00F5129B"/>
    <w:rsid w:val="00F53B64"/>
    <w:rsid w:val="00F5426D"/>
    <w:rsid w:val="00F54C68"/>
    <w:rsid w:val="00F551DB"/>
    <w:rsid w:val="00F6074D"/>
    <w:rsid w:val="00F615E8"/>
    <w:rsid w:val="00F61B21"/>
    <w:rsid w:val="00F61C7C"/>
    <w:rsid w:val="00F62719"/>
    <w:rsid w:val="00F62EF5"/>
    <w:rsid w:val="00F65A7A"/>
    <w:rsid w:val="00F6707D"/>
    <w:rsid w:val="00F6713A"/>
    <w:rsid w:val="00F703FD"/>
    <w:rsid w:val="00F707C5"/>
    <w:rsid w:val="00F727F2"/>
    <w:rsid w:val="00F73534"/>
    <w:rsid w:val="00F7399C"/>
    <w:rsid w:val="00F73BD1"/>
    <w:rsid w:val="00F744B7"/>
    <w:rsid w:val="00F74594"/>
    <w:rsid w:val="00F75F4F"/>
    <w:rsid w:val="00F76422"/>
    <w:rsid w:val="00F77523"/>
    <w:rsid w:val="00F77566"/>
    <w:rsid w:val="00F77E11"/>
    <w:rsid w:val="00F8300B"/>
    <w:rsid w:val="00F834DA"/>
    <w:rsid w:val="00F84018"/>
    <w:rsid w:val="00F844E7"/>
    <w:rsid w:val="00F870AE"/>
    <w:rsid w:val="00F91948"/>
    <w:rsid w:val="00F91F8A"/>
    <w:rsid w:val="00F95CE6"/>
    <w:rsid w:val="00F95D0A"/>
    <w:rsid w:val="00F969B5"/>
    <w:rsid w:val="00F96DD5"/>
    <w:rsid w:val="00F96F17"/>
    <w:rsid w:val="00FA1248"/>
    <w:rsid w:val="00FA2A84"/>
    <w:rsid w:val="00FA3470"/>
    <w:rsid w:val="00FA48E2"/>
    <w:rsid w:val="00FA7728"/>
    <w:rsid w:val="00FB1388"/>
    <w:rsid w:val="00FB51E0"/>
    <w:rsid w:val="00FC0F82"/>
    <w:rsid w:val="00FC1112"/>
    <w:rsid w:val="00FC3913"/>
    <w:rsid w:val="00FC5203"/>
    <w:rsid w:val="00FD1603"/>
    <w:rsid w:val="00FD45E9"/>
    <w:rsid w:val="00FD58B2"/>
    <w:rsid w:val="00FE436D"/>
    <w:rsid w:val="00FE4A34"/>
    <w:rsid w:val="00FE729F"/>
    <w:rsid w:val="00FF04EB"/>
    <w:rsid w:val="00FF16EE"/>
    <w:rsid w:val="00FF1F4F"/>
    <w:rsid w:val="00FF2135"/>
    <w:rsid w:val="00FF55FF"/>
    <w:rsid w:val="00FF61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B378"/>
  <w15:docId w15:val="{8243F544-2B0E-4F90-8398-BC10A33F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Z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09"/>
    <w:pPr>
      <w:spacing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09"/>
    <w:rPr>
      <w:rFonts w:ascii="Tahoma" w:hAnsi="Tahoma" w:cs="Tahoma"/>
      <w:sz w:val="16"/>
      <w:szCs w:val="16"/>
    </w:rPr>
  </w:style>
  <w:style w:type="paragraph" w:styleId="Header">
    <w:name w:val="header"/>
    <w:basedOn w:val="Normal"/>
    <w:link w:val="HeaderChar"/>
    <w:uiPriority w:val="99"/>
    <w:unhideWhenUsed/>
    <w:rsid w:val="00A4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709"/>
    <w:rPr>
      <w:szCs w:val="24"/>
    </w:rPr>
  </w:style>
  <w:style w:type="paragraph" w:styleId="Footer">
    <w:name w:val="footer"/>
    <w:basedOn w:val="Normal"/>
    <w:link w:val="FooterChar"/>
    <w:uiPriority w:val="99"/>
    <w:unhideWhenUsed/>
    <w:rsid w:val="00A4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709"/>
    <w:rPr>
      <w:szCs w:val="24"/>
    </w:rPr>
  </w:style>
  <w:style w:type="paragraph" w:styleId="FootnoteText">
    <w:name w:val="footnote text"/>
    <w:basedOn w:val="Normal"/>
    <w:link w:val="FootnoteTextChar"/>
    <w:uiPriority w:val="99"/>
    <w:semiHidden/>
    <w:rsid w:val="00AE646E"/>
    <w:pPr>
      <w:spacing w:after="0" w:line="240" w:lineRule="auto"/>
    </w:pPr>
    <w:rPr>
      <w:rFonts w:ascii="Times New Roman" w:eastAsia="Times New Roman" w:hAnsi="Times New Roman" w:cs="Times New Roman"/>
      <w:sz w:val="20"/>
      <w:szCs w:val="20"/>
      <w:lang w:eastAsia="en-ZA"/>
    </w:rPr>
  </w:style>
  <w:style w:type="character" w:customStyle="1" w:styleId="FootnoteTextChar">
    <w:name w:val="Footnote Text Char"/>
    <w:basedOn w:val="DefaultParagraphFont"/>
    <w:link w:val="FootnoteText"/>
    <w:uiPriority w:val="99"/>
    <w:semiHidden/>
    <w:rsid w:val="00AE646E"/>
    <w:rPr>
      <w:rFonts w:ascii="Times New Roman" w:eastAsia="Times New Roman" w:hAnsi="Times New Roman" w:cs="Times New Roman"/>
      <w:sz w:val="20"/>
      <w:lang w:eastAsia="en-ZA"/>
    </w:rPr>
  </w:style>
  <w:style w:type="character" w:styleId="FootnoteReference">
    <w:name w:val="footnote reference"/>
    <w:basedOn w:val="DefaultParagraphFont"/>
    <w:uiPriority w:val="99"/>
    <w:semiHidden/>
    <w:rsid w:val="00AE646E"/>
    <w:rPr>
      <w:rFonts w:cs="Times New Roman"/>
      <w:vertAlign w:val="superscript"/>
    </w:rPr>
  </w:style>
  <w:style w:type="character" w:styleId="Hyperlink">
    <w:name w:val="Hyperlink"/>
    <w:basedOn w:val="DefaultParagraphFont"/>
    <w:uiPriority w:val="99"/>
    <w:unhideWhenUsed/>
    <w:rsid w:val="00DC71F4"/>
    <w:rPr>
      <w:color w:val="0000FF" w:themeColor="hyperlink"/>
      <w:u w:val="single"/>
    </w:rPr>
  </w:style>
  <w:style w:type="paragraph" w:styleId="ListParagraph">
    <w:name w:val="List Paragraph"/>
    <w:basedOn w:val="Normal"/>
    <w:uiPriority w:val="34"/>
    <w:qFormat/>
    <w:rsid w:val="00DC71C1"/>
    <w:pPr>
      <w:ind w:left="720"/>
      <w:contextualSpacing/>
    </w:pPr>
  </w:style>
  <w:style w:type="character" w:styleId="CommentReference">
    <w:name w:val="annotation reference"/>
    <w:basedOn w:val="DefaultParagraphFont"/>
    <w:uiPriority w:val="99"/>
    <w:semiHidden/>
    <w:unhideWhenUsed/>
    <w:rsid w:val="00744B72"/>
    <w:rPr>
      <w:sz w:val="16"/>
      <w:szCs w:val="16"/>
    </w:rPr>
  </w:style>
  <w:style w:type="paragraph" w:styleId="CommentText">
    <w:name w:val="annotation text"/>
    <w:basedOn w:val="Normal"/>
    <w:link w:val="CommentTextChar"/>
    <w:uiPriority w:val="99"/>
    <w:semiHidden/>
    <w:unhideWhenUsed/>
    <w:rsid w:val="00744B72"/>
    <w:pPr>
      <w:spacing w:line="240" w:lineRule="auto"/>
    </w:pPr>
    <w:rPr>
      <w:sz w:val="20"/>
      <w:szCs w:val="20"/>
    </w:rPr>
  </w:style>
  <w:style w:type="character" w:customStyle="1" w:styleId="CommentTextChar">
    <w:name w:val="Comment Text Char"/>
    <w:basedOn w:val="DefaultParagraphFont"/>
    <w:link w:val="CommentText"/>
    <w:uiPriority w:val="99"/>
    <w:semiHidden/>
    <w:rsid w:val="00744B72"/>
    <w:rPr>
      <w:sz w:val="20"/>
    </w:rPr>
  </w:style>
  <w:style w:type="paragraph" w:styleId="CommentSubject">
    <w:name w:val="annotation subject"/>
    <w:basedOn w:val="CommentText"/>
    <w:next w:val="CommentText"/>
    <w:link w:val="CommentSubjectChar"/>
    <w:uiPriority w:val="99"/>
    <w:semiHidden/>
    <w:unhideWhenUsed/>
    <w:rsid w:val="00744B72"/>
    <w:rPr>
      <w:b/>
      <w:bCs/>
    </w:rPr>
  </w:style>
  <w:style w:type="character" w:customStyle="1" w:styleId="CommentSubjectChar">
    <w:name w:val="Comment Subject Char"/>
    <w:basedOn w:val="CommentTextChar"/>
    <w:link w:val="CommentSubject"/>
    <w:uiPriority w:val="99"/>
    <w:semiHidden/>
    <w:rsid w:val="00744B72"/>
    <w:rPr>
      <w:b/>
      <w:bCs/>
      <w:sz w:val="20"/>
    </w:rPr>
  </w:style>
  <w:style w:type="paragraph" w:customStyle="1" w:styleId="western">
    <w:name w:val="western"/>
    <w:basedOn w:val="Normal"/>
    <w:rsid w:val="002B1EBE"/>
    <w:pPr>
      <w:spacing w:before="100" w:beforeAutospacing="1" w:after="100" w:afterAutospacing="1" w:line="240" w:lineRule="auto"/>
    </w:pPr>
    <w:rPr>
      <w:rFonts w:ascii="Times New Roman" w:eastAsia="Times New Roman" w:hAnsi="Times New Roman" w:cs="Times New Roman"/>
      <w:lang w:eastAsia="en-ZA"/>
    </w:rPr>
  </w:style>
  <w:style w:type="paragraph" w:styleId="NormalWeb">
    <w:name w:val="Normal (Web)"/>
    <w:basedOn w:val="Normal"/>
    <w:uiPriority w:val="99"/>
    <w:semiHidden/>
    <w:unhideWhenUsed/>
    <w:rsid w:val="002B1EBE"/>
    <w:pPr>
      <w:spacing w:before="100" w:beforeAutospacing="1" w:after="100" w:afterAutospacing="1" w:line="240" w:lineRule="auto"/>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545">
      <w:bodyDiv w:val="1"/>
      <w:marLeft w:val="0"/>
      <w:marRight w:val="0"/>
      <w:marTop w:val="0"/>
      <w:marBottom w:val="0"/>
      <w:divBdr>
        <w:top w:val="none" w:sz="0" w:space="0" w:color="auto"/>
        <w:left w:val="none" w:sz="0" w:space="0" w:color="auto"/>
        <w:bottom w:val="none" w:sz="0" w:space="0" w:color="auto"/>
        <w:right w:val="none" w:sz="0" w:space="0" w:color="auto"/>
      </w:divBdr>
    </w:div>
    <w:div w:id="656691635">
      <w:bodyDiv w:val="1"/>
      <w:marLeft w:val="0"/>
      <w:marRight w:val="0"/>
      <w:marTop w:val="0"/>
      <w:marBottom w:val="0"/>
      <w:divBdr>
        <w:top w:val="none" w:sz="0" w:space="0" w:color="auto"/>
        <w:left w:val="none" w:sz="0" w:space="0" w:color="auto"/>
        <w:bottom w:val="none" w:sz="0" w:space="0" w:color="auto"/>
        <w:right w:val="none" w:sz="0" w:space="0" w:color="auto"/>
      </w:divBdr>
    </w:div>
    <w:div w:id="1381444031">
      <w:bodyDiv w:val="1"/>
      <w:marLeft w:val="0"/>
      <w:marRight w:val="0"/>
      <w:marTop w:val="0"/>
      <w:marBottom w:val="0"/>
      <w:divBdr>
        <w:top w:val="none" w:sz="0" w:space="0" w:color="auto"/>
        <w:left w:val="none" w:sz="0" w:space="0" w:color="auto"/>
        <w:bottom w:val="none" w:sz="0" w:space="0" w:color="auto"/>
        <w:right w:val="none" w:sz="0" w:space="0" w:color="auto"/>
      </w:divBdr>
    </w:div>
    <w:div w:id="1521700276">
      <w:bodyDiv w:val="1"/>
      <w:marLeft w:val="0"/>
      <w:marRight w:val="0"/>
      <w:marTop w:val="0"/>
      <w:marBottom w:val="0"/>
      <w:divBdr>
        <w:top w:val="none" w:sz="0" w:space="0" w:color="auto"/>
        <w:left w:val="none" w:sz="0" w:space="0" w:color="auto"/>
        <w:bottom w:val="none" w:sz="0" w:space="0" w:color="auto"/>
        <w:right w:val="none" w:sz="0" w:space="0" w:color="auto"/>
      </w:divBdr>
    </w:div>
    <w:div w:id="1739476283">
      <w:bodyDiv w:val="1"/>
      <w:marLeft w:val="0"/>
      <w:marRight w:val="0"/>
      <w:marTop w:val="0"/>
      <w:marBottom w:val="0"/>
      <w:divBdr>
        <w:top w:val="none" w:sz="0" w:space="0" w:color="auto"/>
        <w:left w:val="none" w:sz="0" w:space="0" w:color="auto"/>
        <w:bottom w:val="none" w:sz="0" w:space="0" w:color="auto"/>
        <w:right w:val="none" w:sz="0" w:space="0" w:color="auto"/>
      </w:divBdr>
    </w:div>
    <w:div w:id="1760905151">
      <w:bodyDiv w:val="1"/>
      <w:marLeft w:val="0"/>
      <w:marRight w:val="0"/>
      <w:marTop w:val="0"/>
      <w:marBottom w:val="0"/>
      <w:divBdr>
        <w:top w:val="none" w:sz="0" w:space="0" w:color="auto"/>
        <w:left w:val="none" w:sz="0" w:space="0" w:color="auto"/>
        <w:bottom w:val="none" w:sz="0" w:space="0" w:color="auto"/>
        <w:right w:val="none" w:sz="0" w:space="0" w:color="auto"/>
      </w:divBdr>
      <w:divsChild>
        <w:div w:id="1945921900">
          <w:marLeft w:val="2"/>
          <w:marRight w:val="0"/>
          <w:marTop w:val="0"/>
          <w:marBottom w:val="0"/>
          <w:divBdr>
            <w:top w:val="none" w:sz="0" w:space="0" w:color="auto"/>
            <w:left w:val="none" w:sz="0" w:space="0" w:color="auto"/>
            <w:bottom w:val="none" w:sz="0" w:space="0" w:color="auto"/>
            <w:right w:val="none" w:sz="0" w:space="0" w:color="auto"/>
          </w:divBdr>
          <w:divsChild>
            <w:div w:id="699553881">
              <w:marLeft w:val="0"/>
              <w:marRight w:val="0"/>
              <w:marTop w:val="0"/>
              <w:marBottom w:val="0"/>
              <w:divBdr>
                <w:top w:val="none" w:sz="0" w:space="0" w:color="auto"/>
                <w:left w:val="none" w:sz="0" w:space="0" w:color="auto"/>
                <w:bottom w:val="none" w:sz="0" w:space="0" w:color="auto"/>
                <w:right w:val="none" w:sz="0" w:space="0" w:color="auto"/>
              </w:divBdr>
              <w:divsChild>
                <w:div w:id="240025483">
                  <w:marLeft w:val="0"/>
                  <w:marRight w:val="0"/>
                  <w:marTop w:val="0"/>
                  <w:marBottom w:val="0"/>
                  <w:divBdr>
                    <w:top w:val="none" w:sz="0" w:space="0" w:color="auto"/>
                    <w:left w:val="none" w:sz="0" w:space="0" w:color="auto"/>
                    <w:bottom w:val="none" w:sz="0" w:space="0" w:color="auto"/>
                    <w:right w:val="none" w:sz="0" w:space="0" w:color="auto"/>
                  </w:divBdr>
                  <w:divsChild>
                    <w:div w:id="879979147">
                      <w:marLeft w:val="0"/>
                      <w:marRight w:val="0"/>
                      <w:marTop w:val="0"/>
                      <w:marBottom w:val="0"/>
                      <w:divBdr>
                        <w:top w:val="none" w:sz="0" w:space="0" w:color="auto"/>
                        <w:left w:val="none" w:sz="0" w:space="0" w:color="auto"/>
                        <w:bottom w:val="none" w:sz="0" w:space="0" w:color="auto"/>
                        <w:right w:val="none" w:sz="0" w:space="0" w:color="auto"/>
                      </w:divBdr>
                      <w:divsChild>
                        <w:div w:id="791826282">
                          <w:marLeft w:val="0"/>
                          <w:marRight w:val="0"/>
                          <w:marTop w:val="0"/>
                          <w:marBottom w:val="0"/>
                          <w:divBdr>
                            <w:top w:val="none" w:sz="0" w:space="0" w:color="auto"/>
                            <w:left w:val="none" w:sz="0" w:space="0" w:color="auto"/>
                            <w:bottom w:val="none" w:sz="0" w:space="0" w:color="auto"/>
                            <w:right w:val="none" w:sz="0" w:space="0" w:color="auto"/>
                          </w:divBdr>
                          <w:divsChild>
                            <w:div w:id="10281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21837">
      <w:bodyDiv w:val="1"/>
      <w:marLeft w:val="0"/>
      <w:marRight w:val="0"/>
      <w:marTop w:val="0"/>
      <w:marBottom w:val="0"/>
      <w:divBdr>
        <w:top w:val="none" w:sz="0" w:space="0" w:color="auto"/>
        <w:left w:val="none" w:sz="0" w:space="0" w:color="auto"/>
        <w:bottom w:val="none" w:sz="0" w:space="0" w:color="auto"/>
        <w:right w:val="none" w:sz="0" w:space="0" w:color="auto"/>
      </w:divBdr>
    </w:div>
    <w:div w:id="1904949792">
      <w:bodyDiv w:val="1"/>
      <w:marLeft w:val="0"/>
      <w:marRight w:val="0"/>
      <w:marTop w:val="0"/>
      <w:marBottom w:val="0"/>
      <w:divBdr>
        <w:top w:val="none" w:sz="0" w:space="0" w:color="auto"/>
        <w:left w:val="none" w:sz="0" w:space="0" w:color="auto"/>
        <w:bottom w:val="none" w:sz="0" w:space="0" w:color="auto"/>
        <w:right w:val="none" w:sz="0" w:space="0" w:color="auto"/>
      </w:divBdr>
      <w:divsChild>
        <w:div w:id="909535699">
          <w:marLeft w:val="0"/>
          <w:marRight w:val="0"/>
          <w:marTop w:val="0"/>
          <w:marBottom w:val="0"/>
          <w:divBdr>
            <w:top w:val="none" w:sz="0" w:space="0" w:color="auto"/>
            <w:left w:val="none" w:sz="0" w:space="0" w:color="auto"/>
            <w:bottom w:val="none" w:sz="0" w:space="0" w:color="auto"/>
            <w:right w:val="none" w:sz="0" w:space="0" w:color="auto"/>
          </w:divBdr>
          <w:divsChild>
            <w:div w:id="720790543">
              <w:marLeft w:val="0"/>
              <w:marRight w:val="0"/>
              <w:marTop w:val="0"/>
              <w:marBottom w:val="0"/>
              <w:divBdr>
                <w:top w:val="none" w:sz="0" w:space="0" w:color="auto"/>
                <w:left w:val="none" w:sz="0" w:space="0" w:color="auto"/>
                <w:bottom w:val="none" w:sz="0" w:space="0" w:color="auto"/>
                <w:right w:val="none" w:sz="0" w:space="0" w:color="auto"/>
              </w:divBdr>
              <w:divsChild>
                <w:div w:id="357003123">
                  <w:marLeft w:val="0"/>
                  <w:marRight w:val="0"/>
                  <w:marTop w:val="0"/>
                  <w:marBottom w:val="0"/>
                  <w:divBdr>
                    <w:top w:val="none" w:sz="0" w:space="0" w:color="auto"/>
                    <w:left w:val="none" w:sz="0" w:space="0" w:color="auto"/>
                    <w:bottom w:val="none" w:sz="0" w:space="0" w:color="auto"/>
                    <w:right w:val="none" w:sz="0" w:space="0" w:color="auto"/>
                  </w:divBdr>
                  <w:divsChild>
                    <w:div w:id="538592485">
                      <w:marLeft w:val="0"/>
                      <w:marRight w:val="0"/>
                      <w:marTop w:val="0"/>
                      <w:marBottom w:val="0"/>
                      <w:divBdr>
                        <w:top w:val="none" w:sz="0" w:space="0" w:color="auto"/>
                        <w:left w:val="none" w:sz="0" w:space="0" w:color="auto"/>
                        <w:bottom w:val="none" w:sz="0" w:space="0" w:color="auto"/>
                        <w:right w:val="none" w:sz="0" w:space="0" w:color="auto"/>
                      </w:divBdr>
                      <w:divsChild>
                        <w:div w:id="1145659736">
                          <w:marLeft w:val="0"/>
                          <w:marRight w:val="0"/>
                          <w:marTop w:val="0"/>
                          <w:marBottom w:val="0"/>
                          <w:divBdr>
                            <w:top w:val="none" w:sz="0" w:space="0" w:color="auto"/>
                            <w:left w:val="none" w:sz="0" w:space="0" w:color="auto"/>
                            <w:bottom w:val="none" w:sz="0" w:space="0" w:color="auto"/>
                            <w:right w:val="none" w:sz="0" w:space="0" w:color="auto"/>
                          </w:divBdr>
                          <w:divsChild>
                            <w:div w:id="1883592285">
                              <w:marLeft w:val="2070"/>
                              <w:marRight w:val="3960"/>
                              <w:marTop w:val="0"/>
                              <w:marBottom w:val="0"/>
                              <w:divBdr>
                                <w:top w:val="none" w:sz="0" w:space="0" w:color="auto"/>
                                <w:left w:val="none" w:sz="0" w:space="0" w:color="auto"/>
                                <w:bottom w:val="none" w:sz="0" w:space="0" w:color="auto"/>
                                <w:right w:val="none" w:sz="0" w:space="0" w:color="auto"/>
                              </w:divBdr>
                              <w:divsChild>
                                <w:div w:id="541669379">
                                  <w:marLeft w:val="0"/>
                                  <w:marRight w:val="0"/>
                                  <w:marTop w:val="0"/>
                                  <w:marBottom w:val="0"/>
                                  <w:divBdr>
                                    <w:top w:val="none" w:sz="0" w:space="0" w:color="auto"/>
                                    <w:left w:val="none" w:sz="0" w:space="0" w:color="auto"/>
                                    <w:bottom w:val="none" w:sz="0" w:space="0" w:color="auto"/>
                                    <w:right w:val="none" w:sz="0" w:space="0" w:color="auto"/>
                                  </w:divBdr>
                                  <w:divsChild>
                                    <w:div w:id="1440640979">
                                      <w:marLeft w:val="0"/>
                                      <w:marRight w:val="0"/>
                                      <w:marTop w:val="0"/>
                                      <w:marBottom w:val="0"/>
                                      <w:divBdr>
                                        <w:top w:val="none" w:sz="0" w:space="0" w:color="auto"/>
                                        <w:left w:val="none" w:sz="0" w:space="0" w:color="auto"/>
                                        <w:bottom w:val="none" w:sz="0" w:space="0" w:color="auto"/>
                                        <w:right w:val="none" w:sz="0" w:space="0" w:color="auto"/>
                                      </w:divBdr>
                                      <w:divsChild>
                                        <w:div w:id="1351294356">
                                          <w:marLeft w:val="0"/>
                                          <w:marRight w:val="0"/>
                                          <w:marTop w:val="0"/>
                                          <w:marBottom w:val="0"/>
                                          <w:divBdr>
                                            <w:top w:val="none" w:sz="0" w:space="0" w:color="auto"/>
                                            <w:left w:val="none" w:sz="0" w:space="0" w:color="auto"/>
                                            <w:bottom w:val="none" w:sz="0" w:space="0" w:color="auto"/>
                                            <w:right w:val="none" w:sz="0" w:space="0" w:color="auto"/>
                                          </w:divBdr>
                                          <w:divsChild>
                                            <w:div w:id="1433747779">
                                              <w:marLeft w:val="0"/>
                                              <w:marRight w:val="0"/>
                                              <w:marTop w:val="90"/>
                                              <w:marBottom w:val="0"/>
                                              <w:divBdr>
                                                <w:top w:val="none" w:sz="0" w:space="0" w:color="auto"/>
                                                <w:left w:val="none" w:sz="0" w:space="0" w:color="auto"/>
                                                <w:bottom w:val="none" w:sz="0" w:space="0" w:color="auto"/>
                                                <w:right w:val="none" w:sz="0" w:space="0" w:color="auto"/>
                                              </w:divBdr>
                                              <w:divsChild>
                                                <w:div w:id="560824104">
                                                  <w:marLeft w:val="0"/>
                                                  <w:marRight w:val="0"/>
                                                  <w:marTop w:val="0"/>
                                                  <w:marBottom w:val="0"/>
                                                  <w:divBdr>
                                                    <w:top w:val="none" w:sz="0" w:space="0" w:color="auto"/>
                                                    <w:left w:val="none" w:sz="0" w:space="0" w:color="auto"/>
                                                    <w:bottom w:val="none" w:sz="0" w:space="0" w:color="auto"/>
                                                    <w:right w:val="none" w:sz="0" w:space="0" w:color="auto"/>
                                                  </w:divBdr>
                                                  <w:divsChild>
                                                    <w:div w:id="188494135">
                                                      <w:marLeft w:val="0"/>
                                                      <w:marRight w:val="0"/>
                                                      <w:marTop w:val="0"/>
                                                      <w:marBottom w:val="0"/>
                                                      <w:divBdr>
                                                        <w:top w:val="none" w:sz="0" w:space="0" w:color="auto"/>
                                                        <w:left w:val="none" w:sz="0" w:space="0" w:color="auto"/>
                                                        <w:bottom w:val="none" w:sz="0" w:space="0" w:color="auto"/>
                                                        <w:right w:val="none" w:sz="0" w:space="0" w:color="auto"/>
                                                      </w:divBdr>
                                                      <w:divsChild>
                                                        <w:div w:id="958416174">
                                                          <w:marLeft w:val="0"/>
                                                          <w:marRight w:val="0"/>
                                                          <w:marTop w:val="0"/>
                                                          <w:marBottom w:val="390"/>
                                                          <w:divBdr>
                                                            <w:top w:val="none" w:sz="0" w:space="0" w:color="auto"/>
                                                            <w:left w:val="none" w:sz="0" w:space="0" w:color="auto"/>
                                                            <w:bottom w:val="none" w:sz="0" w:space="0" w:color="auto"/>
                                                            <w:right w:val="none" w:sz="0" w:space="0" w:color="auto"/>
                                                          </w:divBdr>
                                                          <w:divsChild>
                                                            <w:div w:id="1722905186">
                                                              <w:marLeft w:val="0"/>
                                                              <w:marRight w:val="0"/>
                                                              <w:marTop w:val="0"/>
                                                              <w:marBottom w:val="0"/>
                                                              <w:divBdr>
                                                                <w:top w:val="none" w:sz="0" w:space="0" w:color="auto"/>
                                                                <w:left w:val="none" w:sz="0" w:space="0" w:color="auto"/>
                                                                <w:bottom w:val="none" w:sz="0" w:space="0" w:color="auto"/>
                                                                <w:right w:val="none" w:sz="0" w:space="0" w:color="auto"/>
                                                              </w:divBdr>
                                                              <w:divsChild>
                                                                <w:div w:id="156728738">
                                                                  <w:marLeft w:val="0"/>
                                                                  <w:marRight w:val="0"/>
                                                                  <w:marTop w:val="0"/>
                                                                  <w:marBottom w:val="0"/>
                                                                  <w:divBdr>
                                                                    <w:top w:val="none" w:sz="0" w:space="0" w:color="auto"/>
                                                                    <w:left w:val="none" w:sz="0" w:space="0" w:color="auto"/>
                                                                    <w:bottom w:val="none" w:sz="0" w:space="0" w:color="auto"/>
                                                                    <w:right w:val="none" w:sz="0" w:space="0" w:color="auto"/>
                                                                  </w:divBdr>
                                                                  <w:divsChild>
                                                                    <w:div w:id="1093357574">
                                                                      <w:marLeft w:val="0"/>
                                                                      <w:marRight w:val="0"/>
                                                                      <w:marTop w:val="0"/>
                                                                      <w:marBottom w:val="0"/>
                                                                      <w:divBdr>
                                                                        <w:top w:val="none" w:sz="0" w:space="0" w:color="auto"/>
                                                                        <w:left w:val="none" w:sz="0" w:space="0" w:color="auto"/>
                                                                        <w:bottom w:val="none" w:sz="0" w:space="0" w:color="auto"/>
                                                                        <w:right w:val="none" w:sz="0" w:space="0" w:color="auto"/>
                                                                      </w:divBdr>
                                                                      <w:divsChild>
                                                                        <w:div w:id="1257323966">
                                                                          <w:marLeft w:val="0"/>
                                                                          <w:marRight w:val="0"/>
                                                                          <w:marTop w:val="0"/>
                                                                          <w:marBottom w:val="0"/>
                                                                          <w:divBdr>
                                                                            <w:top w:val="none" w:sz="0" w:space="0" w:color="auto"/>
                                                                            <w:left w:val="none" w:sz="0" w:space="0" w:color="auto"/>
                                                                            <w:bottom w:val="none" w:sz="0" w:space="0" w:color="auto"/>
                                                                            <w:right w:val="none" w:sz="0" w:space="0" w:color="auto"/>
                                                                          </w:divBdr>
                                                                          <w:divsChild>
                                                                            <w:div w:id="872229936">
                                                                              <w:marLeft w:val="0"/>
                                                                              <w:marRight w:val="0"/>
                                                                              <w:marTop w:val="0"/>
                                                                              <w:marBottom w:val="0"/>
                                                                              <w:divBdr>
                                                                                <w:top w:val="none" w:sz="0" w:space="0" w:color="auto"/>
                                                                                <w:left w:val="none" w:sz="0" w:space="0" w:color="auto"/>
                                                                                <w:bottom w:val="none" w:sz="0" w:space="0" w:color="auto"/>
                                                                                <w:right w:val="none" w:sz="0" w:space="0" w:color="auto"/>
                                                                              </w:divBdr>
                                                                              <w:divsChild>
                                                                                <w:div w:id="1168985301">
                                                                                  <w:marLeft w:val="0"/>
                                                                                  <w:marRight w:val="0"/>
                                                                                  <w:marTop w:val="0"/>
                                                                                  <w:marBottom w:val="0"/>
                                                                                  <w:divBdr>
                                                                                    <w:top w:val="none" w:sz="0" w:space="0" w:color="auto"/>
                                                                                    <w:left w:val="none" w:sz="0" w:space="0" w:color="auto"/>
                                                                                    <w:bottom w:val="none" w:sz="0" w:space="0" w:color="auto"/>
                                                                                    <w:right w:val="none" w:sz="0" w:space="0" w:color="auto"/>
                                                                                  </w:divBdr>
                                                                                  <w:divsChild>
                                                                                    <w:div w:id="2059548184">
                                                                                      <w:marLeft w:val="0"/>
                                                                                      <w:marRight w:val="0"/>
                                                                                      <w:marTop w:val="0"/>
                                                                                      <w:marBottom w:val="0"/>
                                                                                      <w:divBdr>
                                                                                        <w:top w:val="none" w:sz="0" w:space="0" w:color="auto"/>
                                                                                        <w:left w:val="none" w:sz="0" w:space="0" w:color="auto"/>
                                                                                        <w:bottom w:val="none" w:sz="0" w:space="0" w:color="auto"/>
                                                                                        <w:right w:val="none" w:sz="0" w:space="0" w:color="auto"/>
                                                                                      </w:divBdr>
                                                                                      <w:divsChild>
                                                                                        <w:div w:id="2083063661">
                                                                                          <w:marLeft w:val="0"/>
                                                                                          <w:marRight w:val="0"/>
                                                                                          <w:marTop w:val="0"/>
                                                                                          <w:marBottom w:val="0"/>
                                                                                          <w:divBdr>
                                                                                            <w:top w:val="none" w:sz="0" w:space="0" w:color="auto"/>
                                                                                            <w:left w:val="none" w:sz="0" w:space="0" w:color="auto"/>
                                                                                            <w:bottom w:val="none" w:sz="0" w:space="0" w:color="auto"/>
                                                                                            <w:right w:val="none" w:sz="0" w:space="0" w:color="auto"/>
                                                                                          </w:divBdr>
                                                                                          <w:divsChild>
                                                                                            <w:div w:id="469175970">
                                                                                              <w:marLeft w:val="0"/>
                                                                                              <w:marRight w:val="0"/>
                                                                                              <w:marTop w:val="0"/>
                                                                                              <w:marBottom w:val="0"/>
                                                                                              <w:divBdr>
                                                                                                <w:top w:val="none" w:sz="0" w:space="0" w:color="auto"/>
                                                                                                <w:left w:val="none" w:sz="0" w:space="0" w:color="auto"/>
                                                                                                <w:bottom w:val="none" w:sz="0" w:space="0" w:color="auto"/>
                                                                                                <w:right w:val="none" w:sz="0" w:space="0" w:color="auto"/>
                                                                                              </w:divBdr>
                                                                                              <w:divsChild>
                                                                                                <w:div w:id="529413771">
                                                                                                  <w:marLeft w:val="0"/>
                                                                                                  <w:marRight w:val="0"/>
                                                                                                  <w:marTop w:val="0"/>
                                                                                                  <w:marBottom w:val="0"/>
                                                                                                  <w:divBdr>
                                                                                                    <w:top w:val="none" w:sz="0" w:space="0" w:color="auto"/>
                                                                                                    <w:left w:val="none" w:sz="0" w:space="0" w:color="auto"/>
                                                                                                    <w:bottom w:val="none" w:sz="0" w:space="0" w:color="auto"/>
                                                                                                    <w:right w:val="none" w:sz="0" w:space="0" w:color="auto"/>
                                                                                                  </w:divBdr>
                                                                                                  <w:divsChild>
                                                                                                    <w:div w:id="9311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EC54-EFF6-48FF-9345-C2EBCC48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Snijders</dc:creator>
  <cp:lastModifiedBy>Thobeka Zungu</cp:lastModifiedBy>
  <cp:revision>14</cp:revision>
  <cp:lastPrinted>2022-04-19T08:42:00Z</cp:lastPrinted>
  <dcterms:created xsi:type="dcterms:W3CDTF">2022-04-11T06:51:00Z</dcterms:created>
  <dcterms:modified xsi:type="dcterms:W3CDTF">2022-04-19T08:42:00Z</dcterms:modified>
</cp:coreProperties>
</file>