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5E0B6" w14:textId="77777777" w:rsidR="00E30E8A" w:rsidRPr="00B76F09" w:rsidRDefault="00E30E8A" w:rsidP="00D07734">
      <w:pPr>
        <w:spacing w:line="360" w:lineRule="auto"/>
        <w:contextualSpacing/>
        <w:jc w:val="center"/>
        <w:rPr>
          <w:rFonts w:ascii="Arial" w:hAnsi="Arial" w:cs="Arial"/>
          <w:b/>
        </w:rPr>
      </w:pPr>
      <w:bookmarkStart w:id="0" w:name="_GoBack"/>
      <w:bookmarkEnd w:id="0"/>
      <w:r w:rsidRPr="00B76F09">
        <w:rPr>
          <w:rFonts w:ascii="Arial" w:eastAsia="Calibri" w:hAnsi="Arial" w:cs="Arial"/>
          <w:noProof/>
          <w:sz w:val="28"/>
          <w:szCs w:val="28"/>
          <w:lang w:eastAsia="en-ZA" w:bidi="ar-SA"/>
        </w:rPr>
        <w:drawing>
          <wp:inline distT="0" distB="0" distL="0" distR="0" wp14:anchorId="7E381369" wp14:editId="484D8D18">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363A6DC0" w14:textId="77777777" w:rsidR="00E30E8A" w:rsidRPr="00B76F09" w:rsidRDefault="00E30E8A" w:rsidP="00D07734">
      <w:pPr>
        <w:spacing w:line="360" w:lineRule="auto"/>
        <w:contextualSpacing/>
        <w:jc w:val="center"/>
        <w:rPr>
          <w:rFonts w:ascii="Arial" w:hAnsi="Arial" w:cs="Arial"/>
          <w:b/>
          <w:sz w:val="16"/>
          <w:szCs w:val="16"/>
        </w:rPr>
      </w:pPr>
    </w:p>
    <w:p w14:paraId="7A912B19" w14:textId="77777777" w:rsidR="00E30E8A" w:rsidRPr="00B76F09" w:rsidRDefault="00E30E8A" w:rsidP="00D07734">
      <w:pPr>
        <w:spacing w:line="360" w:lineRule="auto"/>
        <w:contextualSpacing/>
        <w:jc w:val="center"/>
        <w:rPr>
          <w:rFonts w:ascii="Arial" w:hAnsi="Arial" w:cs="Arial"/>
          <w:b/>
        </w:rPr>
      </w:pPr>
      <w:r w:rsidRPr="00B76F09">
        <w:rPr>
          <w:rFonts w:ascii="Arial" w:hAnsi="Arial" w:cs="Arial"/>
          <w:b/>
        </w:rPr>
        <w:t>IN THE HIGH COURT OF SOUTH AFRICA</w:t>
      </w:r>
    </w:p>
    <w:p w14:paraId="2E2F61CF" w14:textId="77777777" w:rsidR="00E30E8A" w:rsidRPr="00B76F09" w:rsidRDefault="00E30E8A" w:rsidP="00D07734">
      <w:pPr>
        <w:spacing w:line="360" w:lineRule="auto"/>
        <w:contextualSpacing/>
        <w:jc w:val="center"/>
        <w:rPr>
          <w:rFonts w:ascii="Arial" w:hAnsi="Arial" w:cs="Arial"/>
          <w:b/>
        </w:rPr>
      </w:pPr>
      <w:r w:rsidRPr="00B76F09">
        <w:rPr>
          <w:rFonts w:ascii="Arial" w:hAnsi="Arial" w:cs="Arial"/>
          <w:b/>
        </w:rPr>
        <w:t>KWAZULU-NATAL DIVISION, PIETERMARITZBURG</w:t>
      </w:r>
    </w:p>
    <w:p w14:paraId="6AC80243" w14:textId="77777777" w:rsidR="009F77EE" w:rsidRPr="00B76F09" w:rsidRDefault="009F77EE" w:rsidP="00D07734">
      <w:pPr>
        <w:spacing w:line="360" w:lineRule="auto"/>
        <w:contextualSpacing/>
        <w:jc w:val="right"/>
        <w:rPr>
          <w:rFonts w:ascii="Arial" w:hAnsi="Arial" w:cs="Arial"/>
        </w:rPr>
      </w:pPr>
    </w:p>
    <w:p w14:paraId="160BA9CC" w14:textId="77777777" w:rsidR="00E30E8A" w:rsidRPr="00B76F09" w:rsidRDefault="00E30E8A" w:rsidP="00D07734">
      <w:pPr>
        <w:spacing w:line="360" w:lineRule="auto"/>
        <w:contextualSpacing/>
        <w:jc w:val="right"/>
        <w:rPr>
          <w:rFonts w:ascii="Arial" w:hAnsi="Arial" w:cs="Arial"/>
        </w:rPr>
      </w:pPr>
      <w:r w:rsidRPr="00B76F09">
        <w:rPr>
          <w:rFonts w:ascii="Arial" w:hAnsi="Arial" w:cs="Arial"/>
        </w:rPr>
        <w:t xml:space="preserve">Case No: </w:t>
      </w:r>
      <w:r w:rsidR="00965280" w:rsidRPr="00B76F09">
        <w:rPr>
          <w:rFonts w:ascii="Arial" w:hAnsi="Arial" w:cs="Arial"/>
        </w:rPr>
        <w:t>9823</w:t>
      </w:r>
      <w:r w:rsidRPr="00B76F09">
        <w:rPr>
          <w:rFonts w:ascii="Arial" w:hAnsi="Arial" w:cs="Arial"/>
        </w:rPr>
        <w:t>/20</w:t>
      </w:r>
      <w:r w:rsidR="00965280" w:rsidRPr="00B76F09">
        <w:rPr>
          <w:rFonts w:ascii="Arial" w:hAnsi="Arial" w:cs="Arial"/>
        </w:rPr>
        <w:t>22</w:t>
      </w:r>
      <w:r w:rsidRPr="00B76F09">
        <w:rPr>
          <w:rFonts w:ascii="Arial" w:hAnsi="Arial" w:cs="Arial"/>
        </w:rPr>
        <w:t>P</w:t>
      </w:r>
    </w:p>
    <w:p w14:paraId="587DA87C" w14:textId="77777777" w:rsidR="00E30E8A" w:rsidRPr="00B76F09" w:rsidRDefault="00E30E8A" w:rsidP="00D07734">
      <w:pPr>
        <w:spacing w:line="360" w:lineRule="auto"/>
        <w:contextualSpacing/>
        <w:jc w:val="both"/>
        <w:rPr>
          <w:rFonts w:ascii="Arial" w:hAnsi="Arial" w:cs="Arial"/>
        </w:rPr>
      </w:pPr>
    </w:p>
    <w:p w14:paraId="67B591C8" w14:textId="77777777" w:rsidR="00E30E8A" w:rsidRPr="00B76F09" w:rsidRDefault="00E30E8A" w:rsidP="00D07734">
      <w:pPr>
        <w:spacing w:line="360" w:lineRule="auto"/>
        <w:contextualSpacing/>
        <w:jc w:val="both"/>
        <w:rPr>
          <w:rFonts w:ascii="Arial" w:hAnsi="Arial" w:cs="Arial"/>
        </w:rPr>
      </w:pPr>
      <w:r w:rsidRPr="00B76F09">
        <w:rPr>
          <w:rFonts w:ascii="Arial" w:hAnsi="Arial" w:cs="Arial"/>
        </w:rPr>
        <w:t>In the matter between:</w:t>
      </w:r>
    </w:p>
    <w:p w14:paraId="3BA6A5B6" w14:textId="77777777" w:rsidR="00DB0AC0" w:rsidRPr="00B76F09" w:rsidRDefault="00DB0AC0" w:rsidP="00D41793">
      <w:pPr>
        <w:tabs>
          <w:tab w:val="right" w:pos="9026"/>
        </w:tabs>
        <w:spacing w:line="360" w:lineRule="auto"/>
        <w:contextualSpacing/>
        <w:jc w:val="both"/>
        <w:rPr>
          <w:rFonts w:ascii="Arial" w:hAnsi="Arial" w:cs="Arial"/>
          <w:b/>
          <w:bCs/>
        </w:rPr>
      </w:pPr>
    </w:p>
    <w:p w14:paraId="032FFADB" w14:textId="4729D560" w:rsidR="00E30E8A" w:rsidRPr="00B76F09" w:rsidRDefault="00965280" w:rsidP="00D41793">
      <w:pPr>
        <w:tabs>
          <w:tab w:val="right" w:pos="9026"/>
        </w:tabs>
        <w:spacing w:line="360" w:lineRule="auto"/>
        <w:contextualSpacing/>
        <w:jc w:val="both"/>
        <w:rPr>
          <w:rFonts w:ascii="Arial" w:hAnsi="Arial" w:cs="Arial"/>
          <w:b/>
          <w:bCs/>
        </w:rPr>
      </w:pPr>
      <w:r w:rsidRPr="00B76F09">
        <w:rPr>
          <w:rFonts w:ascii="Arial" w:hAnsi="Arial" w:cs="Arial"/>
          <w:b/>
          <w:bCs/>
        </w:rPr>
        <w:t>HIRALAL RAMPUL</w:t>
      </w:r>
      <w:r w:rsidR="003E1994" w:rsidRPr="00B76F09">
        <w:rPr>
          <w:rFonts w:ascii="Arial" w:hAnsi="Arial" w:cs="Arial"/>
          <w:b/>
          <w:bCs/>
        </w:rPr>
        <w:tab/>
      </w:r>
      <w:r w:rsidR="009F77EE" w:rsidRPr="00B76F09">
        <w:rPr>
          <w:rFonts w:ascii="Arial" w:hAnsi="Arial" w:cs="Arial"/>
          <w:b/>
          <w:bCs/>
        </w:rPr>
        <w:t xml:space="preserve">     </w:t>
      </w:r>
      <w:r w:rsidR="00D41793" w:rsidRPr="00B76F09">
        <w:rPr>
          <w:rFonts w:ascii="Arial" w:hAnsi="Arial" w:cs="Arial"/>
          <w:b/>
          <w:bCs/>
        </w:rPr>
        <w:t xml:space="preserve">        </w:t>
      </w:r>
      <w:r w:rsidRPr="00B76F09">
        <w:rPr>
          <w:rFonts w:ascii="Arial" w:hAnsi="Arial" w:cs="Arial"/>
          <w:b/>
          <w:bCs/>
        </w:rPr>
        <w:t>APP</w:t>
      </w:r>
      <w:r w:rsidR="00A05256" w:rsidRPr="00B76F09">
        <w:rPr>
          <w:rFonts w:ascii="Arial" w:hAnsi="Arial" w:cs="Arial"/>
          <w:b/>
          <w:bCs/>
        </w:rPr>
        <w:t>ELLANT</w:t>
      </w:r>
    </w:p>
    <w:p w14:paraId="62B75ED3" w14:textId="77777777" w:rsidR="003E1994" w:rsidRPr="00B76F09" w:rsidRDefault="003E1994" w:rsidP="00D07734">
      <w:pPr>
        <w:tabs>
          <w:tab w:val="right" w:pos="8647"/>
        </w:tabs>
        <w:spacing w:line="360" w:lineRule="auto"/>
        <w:contextualSpacing/>
        <w:jc w:val="both"/>
        <w:rPr>
          <w:rFonts w:ascii="Arial" w:hAnsi="Arial" w:cs="Arial"/>
        </w:rPr>
      </w:pPr>
    </w:p>
    <w:p w14:paraId="2FBDB87F" w14:textId="77777777" w:rsidR="00E30E8A" w:rsidRPr="00B76F09" w:rsidRDefault="00E30E8A" w:rsidP="00D07734">
      <w:pPr>
        <w:tabs>
          <w:tab w:val="right" w:pos="8647"/>
        </w:tabs>
        <w:spacing w:line="360" w:lineRule="auto"/>
        <w:contextualSpacing/>
        <w:jc w:val="both"/>
        <w:rPr>
          <w:rFonts w:ascii="Arial" w:hAnsi="Arial" w:cs="Arial"/>
        </w:rPr>
      </w:pPr>
      <w:r w:rsidRPr="00B76F09">
        <w:rPr>
          <w:rFonts w:ascii="Arial" w:hAnsi="Arial" w:cs="Arial"/>
        </w:rPr>
        <w:t>and</w:t>
      </w:r>
    </w:p>
    <w:p w14:paraId="1C5BA393" w14:textId="77777777" w:rsidR="003E1994" w:rsidRPr="00B76F09" w:rsidRDefault="003E1994" w:rsidP="00D07734">
      <w:pPr>
        <w:tabs>
          <w:tab w:val="right" w:pos="8647"/>
        </w:tabs>
        <w:spacing w:line="360" w:lineRule="auto"/>
        <w:contextualSpacing/>
        <w:jc w:val="both"/>
        <w:rPr>
          <w:rFonts w:ascii="Arial" w:hAnsi="Arial" w:cs="Arial"/>
          <w:b/>
          <w:bCs/>
        </w:rPr>
      </w:pPr>
    </w:p>
    <w:p w14:paraId="029F042A" w14:textId="77777777" w:rsidR="00E30E8A" w:rsidRPr="00B76F09" w:rsidRDefault="00965280" w:rsidP="00D41793">
      <w:pPr>
        <w:tabs>
          <w:tab w:val="right" w:pos="9026"/>
        </w:tabs>
        <w:spacing w:line="360" w:lineRule="auto"/>
        <w:contextualSpacing/>
        <w:jc w:val="both"/>
        <w:rPr>
          <w:rFonts w:ascii="Arial" w:hAnsi="Arial" w:cs="Arial"/>
          <w:b/>
          <w:bCs/>
        </w:rPr>
      </w:pPr>
      <w:r w:rsidRPr="00B76F09">
        <w:rPr>
          <w:rFonts w:ascii="Arial" w:hAnsi="Arial" w:cs="Arial"/>
          <w:b/>
          <w:bCs/>
        </w:rPr>
        <w:t>TRUSTEES OF MANGROVE BEACH CENTRE:</w:t>
      </w:r>
      <w:r w:rsidR="003E1994" w:rsidRPr="00B76F09">
        <w:rPr>
          <w:rFonts w:ascii="Arial" w:hAnsi="Arial" w:cs="Arial"/>
          <w:b/>
          <w:bCs/>
        </w:rPr>
        <w:tab/>
      </w:r>
      <w:r w:rsidR="00B508C3" w:rsidRPr="00B76F09">
        <w:rPr>
          <w:rFonts w:ascii="Arial" w:hAnsi="Arial" w:cs="Arial"/>
          <w:b/>
          <w:bCs/>
        </w:rPr>
        <w:t>FIRST</w:t>
      </w:r>
      <w:r w:rsidR="00E30E8A" w:rsidRPr="00B76F09">
        <w:rPr>
          <w:rFonts w:ascii="Arial" w:hAnsi="Arial" w:cs="Arial"/>
          <w:b/>
          <w:bCs/>
        </w:rPr>
        <w:t xml:space="preserve"> RESPONDENT</w:t>
      </w:r>
    </w:p>
    <w:p w14:paraId="296F76DB" w14:textId="77777777" w:rsidR="009F77EE" w:rsidRPr="00B76F09" w:rsidRDefault="00965280" w:rsidP="00D07734">
      <w:pPr>
        <w:tabs>
          <w:tab w:val="right" w:pos="8647"/>
        </w:tabs>
        <w:spacing w:line="360" w:lineRule="auto"/>
        <w:contextualSpacing/>
        <w:jc w:val="both"/>
        <w:rPr>
          <w:rFonts w:ascii="Arial" w:hAnsi="Arial" w:cs="Arial"/>
          <w:b/>
          <w:bCs/>
        </w:rPr>
      </w:pPr>
      <w:r w:rsidRPr="00B76F09">
        <w:rPr>
          <w:rFonts w:ascii="Arial" w:hAnsi="Arial" w:cs="Arial"/>
          <w:b/>
          <w:bCs/>
        </w:rPr>
        <w:t>BODY CORPORATE</w:t>
      </w:r>
    </w:p>
    <w:p w14:paraId="342F80DC" w14:textId="77777777" w:rsidR="00E30E8A" w:rsidRPr="00B76F09" w:rsidRDefault="00965280" w:rsidP="00D41793">
      <w:pPr>
        <w:pBdr>
          <w:bottom w:val="single" w:sz="12" w:space="1" w:color="auto"/>
        </w:pBdr>
        <w:tabs>
          <w:tab w:val="right" w:pos="9026"/>
        </w:tabs>
        <w:spacing w:line="360" w:lineRule="auto"/>
        <w:contextualSpacing/>
        <w:jc w:val="both"/>
        <w:rPr>
          <w:rFonts w:ascii="Arial" w:hAnsi="Arial" w:cs="Arial"/>
          <w:b/>
          <w:bCs/>
        </w:rPr>
      </w:pPr>
      <w:r w:rsidRPr="00B76F09">
        <w:rPr>
          <w:rFonts w:ascii="Arial" w:hAnsi="Arial" w:cs="Arial"/>
          <w:b/>
          <w:bCs/>
        </w:rPr>
        <w:t>THE BODY CORPORATE: MANGROVE</w:t>
      </w:r>
      <w:r w:rsidR="00E30E8A" w:rsidRPr="00B76F09">
        <w:rPr>
          <w:rFonts w:ascii="Arial" w:hAnsi="Arial" w:cs="Arial"/>
          <w:b/>
          <w:bCs/>
        </w:rPr>
        <w:t xml:space="preserve"> </w:t>
      </w:r>
      <w:r w:rsidR="003E1994" w:rsidRPr="00B76F09">
        <w:rPr>
          <w:rFonts w:ascii="Arial" w:hAnsi="Arial" w:cs="Arial"/>
          <w:b/>
          <w:bCs/>
        </w:rPr>
        <w:tab/>
      </w:r>
      <w:r w:rsidR="009F77EE" w:rsidRPr="00B76F09">
        <w:rPr>
          <w:rFonts w:ascii="Arial" w:hAnsi="Arial" w:cs="Arial"/>
          <w:b/>
          <w:bCs/>
        </w:rPr>
        <w:t xml:space="preserve">       </w:t>
      </w:r>
      <w:r w:rsidR="00E30E8A" w:rsidRPr="00B76F09">
        <w:rPr>
          <w:rFonts w:ascii="Arial" w:hAnsi="Arial" w:cs="Arial"/>
          <w:b/>
          <w:bCs/>
        </w:rPr>
        <w:t>SECOND RESPONDENT</w:t>
      </w:r>
    </w:p>
    <w:p w14:paraId="1D6F457A" w14:textId="77777777" w:rsidR="00965280" w:rsidRPr="00B76F09" w:rsidRDefault="00965280" w:rsidP="00D41793">
      <w:pPr>
        <w:pBdr>
          <w:bottom w:val="single" w:sz="12" w:space="1" w:color="auto"/>
        </w:pBdr>
        <w:tabs>
          <w:tab w:val="right" w:pos="9026"/>
        </w:tabs>
        <w:spacing w:line="360" w:lineRule="auto"/>
        <w:contextualSpacing/>
        <w:jc w:val="both"/>
        <w:rPr>
          <w:rFonts w:ascii="Arial" w:hAnsi="Arial" w:cs="Arial"/>
          <w:b/>
          <w:bCs/>
        </w:rPr>
      </w:pPr>
      <w:r w:rsidRPr="00B76F09">
        <w:rPr>
          <w:rFonts w:ascii="Arial" w:hAnsi="Arial" w:cs="Arial"/>
          <w:b/>
          <w:bCs/>
        </w:rPr>
        <w:t>BEACH CENTRE</w:t>
      </w:r>
    </w:p>
    <w:p w14:paraId="50C90CB8" w14:textId="77777777" w:rsidR="00E30E8A" w:rsidRPr="00B76F09" w:rsidRDefault="00965280" w:rsidP="00D41793">
      <w:pPr>
        <w:pBdr>
          <w:bottom w:val="single" w:sz="12" w:space="1" w:color="auto"/>
        </w:pBdr>
        <w:tabs>
          <w:tab w:val="right" w:pos="9026"/>
        </w:tabs>
        <w:spacing w:line="360" w:lineRule="auto"/>
        <w:contextualSpacing/>
        <w:jc w:val="both"/>
        <w:rPr>
          <w:rFonts w:ascii="Arial" w:hAnsi="Arial" w:cs="Arial"/>
          <w:b/>
          <w:bCs/>
        </w:rPr>
      </w:pPr>
      <w:r w:rsidRPr="00B76F09">
        <w:rPr>
          <w:rFonts w:ascii="Arial" w:hAnsi="Arial" w:cs="Arial"/>
          <w:b/>
          <w:bCs/>
        </w:rPr>
        <w:t>THULANE KHAMBULE N.O.</w:t>
      </w:r>
      <w:r w:rsidR="003E1994" w:rsidRPr="00B76F09">
        <w:rPr>
          <w:rFonts w:ascii="Arial" w:hAnsi="Arial" w:cs="Arial"/>
          <w:b/>
          <w:bCs/>
        </w:rPr>
        <w:tab/>
      </w:r>
      <w:r w:rsidR="009F77EE" w:rsidRPr="00B76F09">
        <w:rPr>
          <w:rFonts w:ascii="Arial" w:hAnsi="Arial" w:cs="Arial"/>
          <w:b/>
          <w:bCs/>
        </w:rPr>
        <w:t xml:space="preserve"> THIRD RESPONDENT</w:t>
      </w:r>
    </w:p>
    <w:p w14:paraId="4BF9DFE9" w14:textId="3F1849B4" w:rsidR="00965280" w:rsidRDefault="00965280" w:rsidP="00D41793">
      <w:pPr>
        <w:pBdr>
          <w:bottom w:val="single" w:sz="12" w:space="1" w:color="auto"/>
        </w:pBdr>
        <w:tabs>
          <w:tab w:val="right" w:pos="9026"/>
        </w:tabs>
        <w:spacing w:line="360" w:lineRule="auto"/>
        <w:contextualSpacing/>
        <w:jc w:val="both"/>
        <w:rPr>
          <w:rFonts w:ascii="Arial" w:hAnsi="Arial" w:cs="Arial"/>
          <w:b/>
          <w:bCs/>
        </w:rPr>
      </w:pPr>
      <w:r w:rsidRPr="00B76F09">
        <w:rPr>
          <w:rFonts w:ascii="Arial" w:hAnsi="Arial" w:cs="Arial"/>
          <w:b/>
          <w:bCs/>
        </w:rPr>
        <w:t>COMMUNITY SCHEMES OMBUD SERVICE</w:t>
      </w:r>
      <w:r w:rsidRPr="00B76F09">
        <w:rPr>
          <w:rFonts w:ascii="Arial" w:hAnsi="Arial" w:cs="Arial"/>
          <w:b/>
          <w:bCs/>
        </w:rPr>
        <w:tab/>
        <w:t>FOURTH RESPONDENT</w:t>
      </w:r>
    </w:p>
    <w:p w14:paraId="21D04BCC" w14:textId="53F2E623" w:rsidR="007029A8" w:rsidRDefault="007029A8" w:rsidP="00D41793">
      <w:pPr>
        <w:pBdr>
          <w:bottom w:val="single" w:sz="12" w:space="1" w:color="auto"/>
        </w:pBdr>
        <w:tabs>
          <w:tab w:val="right" w:pos="9026"/>
        </w:tabs>
        <w:spacing w:line="360" w:lineRule="auto"/>
        <w:contextualSpacing/>
        <w:jc w:val="both"/>
        <w:rPr>
          <w:rFonts w:ascii="Arial" w:hAnsi="Arial" w:cs="Arial"/>
          <w:b/>
          <w:bCs/>
        </w:rPr>
      </w:pPr>
    </w:p>
    <w:p w14:paraId="28739C24" w14:textId="7961894A" w:rsidR="007029A8" w:rsidRPr="007029A8" w:rsidRDefault="007029A8" w:rsidP="00D41793">
      <w:pPr>
        <w:pBdr>
          <w:bottom w:val="single" w:sz="12" w:space="1" w:color="auto"/>
        </w:pBdr>
        <w:tabs>
          <w:tab w:val="right" w:pos="9026"/>
        </w:tabs>
        <w:spacing w:line="360" w:lineRule="auto"/>
        <w:contextualSpacing/>
        <w:jc w:val="both"/>
        <w:rPr>
          <w:rFonts w:ascii="Arial" w:hAnsi="Arial" w:cs="Arial"/>
          <w:bCs/>
        </w:rPr>
      </w:pPr>
      <w:r>
        <w:rPr>
          <w:rFonts w:ascii="Arial" w:hAnsi="Arial" w:cs="Arial"/>
          <w:bCs/>
        </w:rPr>
        <w:t>This judgment was handed down electronically by being transmitted to the parties’ legal representatives by email. The date and time upon which it was handed d</w:t>
      </w:r>
      <w:r w:rsidR="0055213F">
        <w:rPr>
          <w:rFonts w:ascii="Arial" w:hAnsi="Arial" w:cs="Arial"/>
          <w:bCs/>
        </w:rPr>
        <w:t>own is deemed to be 13</w:t>
      </w:r>
      <w:r>
        <w:rPr>
          <w:rFonts w:ascii="Arial" w:hAnsi="Arial" w:cs="Arial"/>
          <w:bCs/>
        </w:rPr>
        <w:t>h</w:t>
      </w:r>
      <w:r w:rsidR="0055213F">
        <w:rPr>
          <w:rFonts w:ascii="Arial" w:hAnsi="Arial" w:cs="Arial"/>
          <w:bCs/>
        </w:rPr>
        <w:t>0</w:t>
      </w:r>
      <w:r>
        <w:rPr>
          <w:rFonts w:ascii="Arial" w:hAnsi="Arial" w:cs="Arial"/>
          <w:bCs/>
        </w:rPr>
        <w:t>0 on 15 December 2022.</w:t>
      </w:r>
    </w:p>
    <w:p w14:paraId="4C0FCB28" w14:textId="77777777" w:rsidR="00E30E8A" w:rsidRPr="00B76F09" w:rsidRDefault="00E30E8A" w:rsidP="00E30E8A">
      <w:pPr>
        <w:pBdr>
          <w:bottom w:val="single" w:sz="12" w:space="1" w:color="auto"/>
        </w:pBdr>
        <w:jc w:val="both"/>
        <w:rPr>
          <w:rFonts w:ascii="Arial" w:hAnsi="Arial" w:cs="Arial"/>
          <w:b/>
          <w:bCs/>
        </w:rPr>
      </w:pPr>
    </w:p>
    <w:p w14:paraId="14F18B62" w14:textId="77777777" w:rsidR="00E30E8A" w:rsidRPr="00B76F09" w:rsidRDefault="00E30E8A" w:rsidP="00E30E8A">
      <w:pPr>
        <w:jc w:val="both"/>
        <w:rPr>
          <w:rFonts w:ascii="Arial" w:hAnsi="Arial" w:cs="Arial"/>
          <w:b/>
          <w:bCs/>
        </w:rPr>
      </w:pPr>
    </w:p>
    <w:p w14:paraId="117CFDE1" w14:textId="77777777" w:rsidR="00E30E8A" w:rsidRPr="00B76F09" w:rsidRDefault="00E30E8A" w:rsidP="00E30E8A">
      <w:pPr>
        <w:pBdr>
          <w:bottom w:val="single" w:sz="12" w:space="1" w:color="auto"/>
        </w:pBdr>
        <w:jc w:val="center"/>
        <w:rPr>
          <w:rFonts w:ascii="Arial" w:hAnsi="Arial" w:cs="Arial"/>
          <w:b/>
          <w:bCs/>
        </w:rPr>
      </w:pPr>
      <w:r w:rsidRPr="00B76F09">
        <w:rPr>
          <w:rFonts w:ascii="Arial" w:hAnsi="Arial" w:cs="Arial"/>
          <w:b/>
          <w:bCs/>
        </w:rPr>
        <w:t>ORDER</w:t>
      </w:r>
    </w:p>
    <w:p w14:paraId="03245AF6" w14:textId="77777777" w:rsidR="00E30E8A" w:rsidRPr="00B76F09" w:rsidRDefault="00E30E8A" w:rsidP="00E30E8A">
      <w:pPr>
        <w:pBdr>
          <w:bottom w:val="single" w:sz="12" w:space="1" w:color="auto"/>
        </w:pBdr>
        <w:jc w:val="center"/>
        <w:rPr>
          <w:rFonts w:ascii="Arial" w:hAnsi="Arial" w:cs="Arial"/>
          <w:b/>
          <w:bCs/>
        </w:rPr>
      </w:pPr>
    </w:p>
    <w:p w14:paraId="24C24804" w14:textId="77777777" w:rsidR="00E30E8A" w:rsidRPr="00B76F09" w:rsidRDefault="00E30E8A" w:rsidP="00E30E8A">
      <w:pPr>
        <w:jc w:val="both"/>
        <w:rPr>
          <w:rFonts w:ascii="Arial" w:hAnsi="Arial" w:cs="Arial"/>
          <w:b/>
          <w:bCs/>
        </w:rPr>
      </w:pPr>
    </w:p>
    <w:p w14:paraId="07EDBDF1" w14:textId="3C49EAA0" w:rsidR="00E30E8A" w:rsidRDefault="00E30E8A" w:rsidP="00E30E8A">
      <w:pPr>
        <w:jc w:val="both"/>
        <w:rPr>
          <w:rFonts w:ascii="Arial" w:hAnsi="Arial" w:cs="Arial"/>
          <w:b/>
          <w:bCs/>
        </w:rPr>
      </w:pPr>
    </w:p>
    <w:p w14:paraId="7ABAC361" w14:textId="0B8325B8" w:rsidR="007029A8" w:rsidRDefault="007029A8" w:rsidP="007029A8">
      <w:pPr>
        <w:spacing w:line="360" w:lineRule="auto"/>
        <w:jc w:val="both"/>
        <w:rPr>
          <w:rFonts w:ascii="Arial" w:hAnsi="Arial" w:cs="Arial"/>
          <w:bCs/>
        </w:rPr>
      </w:pPr>
      <w:r>
        <w:rPr>
          <w:rFonts w:ascii="Arial" w:hAnsi="Arial" w:cs="Arial"/>
          <w:bCs/>
        </w:rPr>
        <w:t>It is ordered that:</w:t>
      </w:r>
    </w:p>
    <w:p w14:paraId="414AB9B8" w14:textId="454BE893" w:rsidR="007029A8" w:rsidRDefault="007029A8" w:rsidP="007029A8">
      <w:pPr>
        <w:spacing w:line="360" w:lineRule="auto"/>
        <w:jc w:val="both"/>
        <w:rPr>
          <w:rFonts w:ascii="Arial" w:hAnsi="Arial" w:cs="Arial"/>
          <w:bCs/>
        </w:rPr>
      </w:pPr>
    </w:p>
    <w:p w14:paraId="0C262FB0" w14:textId="61578CCE" w:rsidR="007029A8" w:rsidRPr="00F32D8A" w:rsidRDefault="00F32D8A" w:rsidP="00F32D8A">
      <w:pPr>
        <w:tabs>
          <w:tab w:val="left" w:pos="709"/>
        </w:tabs>
        <w:spacing w:line="360" w:lineRule="auto"/>
        <w:jc w:val="both"/>
        <w:rPr>
          <w:rFonts w:ascii="Arial" w:hAnsi="Arial" w:cs="Arial"/>
          <w:bCs/>
        </w:rPr>
      </w:pPr>
      <w:r w:rsidRPr="007029A8">
        <w:rPr>
          <w:rFonts w:ascii="Arial" w:hAnsi="Arial" w:cs="Arial"/>
          <w:bCs/>
        </w:rPr>
        <w:t>1.</w:t>
      </w:r>
      <w:r w:rsidRPr="007029A8">
        <w:rPr>
          <w:rFonts w:ascii="Arial" w:hAnsi="Arial" w:cs="Arial"/>
          <w:bCs/>
        </w:rPr>
        <w:tab/>
      </w:r>
      <w:r w:rsidR="007029A8" w:rsidRPr="00F32D8A">
        <w:rPr>
          <w:rFonts w:ascii="Arial" w:hAnsi="Arial" w:cs="Arial"/>
          <w:bCs/>
        </w:rPr>
        <w:t>The appeal is dismissed with costs.</w:t>
      </w:r>
    </w:p>
    <w:p w14:paraId="6FDE9849" w14:textId="2276CD5C" w:rsidR="007029A8" w:rsidRPr="007029A8" w:rsidRDefault="007029A8" w:rsidP="007029A8">
      <w:pPr>
        <w:pStyle w:val="ListParagraph"/>
        <w:pBdr>
          <w:bottom w:val="single" w:sz="12" w:space="1" w:color="auto"/>
        </w:pBdr>
        <w:ind w:left="0"/>
        <w:rPr>
          <w:rFonts w:ascii="Arial" w:hAnsi="Arial" w:cs="Arial"/>
          <w:b/>
          <w:bCs/>
        </w:rPr>
      </w:pPr>
    </w:p>
    <w:p w14:paraId="49852D38" w14:textId="77777777" w:rsidR="007029A8" w:rsidRPr="007029A8" w:rsidRDefault="007029A8" w:rsidP="007029A8">
      <w:pPr>
        <w:pStyle w:val="ListParagraph"/>
        <w:ind w:left="0"/>
        <w:jc w:val="both"/>
        <w:rPr>
          <w:rFonts w:ascii="Arial" w:hAnsi="Arial" w:cs="Arial"/>
          <w:b/>
          <w:bCs/>
        </w:rPr>
      </w:pPr>
    </w:p>
    <w:p w14:paraId="469C8BB6" w14:textId="77777777" w:rsidR="00E30E8A" w:rsidRPr="00B76F09" w:rsidRDefault="00E30E8A" w:rsidP="00E30E8A">
      <w:pPr>
        <w:pBdr>
          <w:bottom w:val="single" w:sz="12" w:space="1" w:color="auto"/>
        </w:pBdr>
        <w:jc w:val="center"/>
        <w:rPr>
          <w:rFonts w:ascii="Arial" w:hAnsi="Arial" w:cs="Arial"/>
          <w:b/>
          <w:bCs/>
        </w:rPr>
      </w:pPr>
      <w:r w:rsidRPr="00B76F09">
        <w:rPr>
          <w:rFonts w:ascii="Arial" w:hAnsi="Arial" w:cs="Arial"/>
          <w:b/>
          <w:bCs/>
        </w:rPr>
        <w:t>JUDGMENT</w:t>
      </w:r>
    </w:p>
    <w:p w14:paraId="7EA891B1" w14:textId="77777777" w:rsidR="00E30E8A" w:rsidRPr="00B76F09" w:rsidRDefault="00E30E8A" w:rsidP="00E30E8A">
      <w:pPr>
        <w:pBdr>
          <w:bottom w:val="single" w:sz="12" w:space="1" w:color="auto"/>
        </w:pBdr>
        <w:jc w:val="center"/>
        <w:rPr>
          <w:rFonts w:ascii="Arial" w:hAnsi="Arial" w:cs="Arial"/>
          <w:b/>
          <w:bCs/>
        </w:rPr>
      </w:pPr>
    </w:p>
    <w:p w14:paraId="23EA2592" w14:textId="77777777" w:rsidR="00E30E8A" w:rsidRPr="00B76F09" w:rsidRDefault="00E30E8A" w:rsidP="00E30E8A">
      <w:pPr>
        <w:jc w:val="both"/>
        <w:rPr>
          <w:rFonts w:ascii="Arial" w:hAnsi="Arial" w:cs="Arial"/>
          <w:b/>
          <w:bCs/>
        </w:rPr>
      </w:pPr>
    </w:p>
    <w:p w14:paraId="68B005AA" w14:textId="77777777" w:rsidR="00E30E8A" w:rsidRPr="00B76F09" w:rsidRDefault="00E30E8A" w:rsidP="003E1994">
      <w:pPr>
        <w:spacing w:line="360" w:lineRule="auto"/>
        <w:jc w:val="both"/>
        <w:rPr>
          <w:rFonts w:ascii="Arial" w:hAnsi="Arial" w:cs="Arial"/>
        </w:rPr>
      </w:pPr>
    </w:p>
    <w:p w14:paraId="43D62A5E" w14:textId="77777777" w:rsidR="00E30E8A" w:rsidRPr="00B76F09" w:rsidRDefault="000D24DB" w:rsidP="003E1994">
      <w:pPr>
        <w:spacing w:line="360" w:lineRule="auto"/>
        <w:jc w:val="both"/>
        <w:rPr>
          <w:rFonts w:ascii="Arial" w:hAnsi="Arial" w:cs="Arial"/>
          <w:b/>
          <w:bCs/>
        </w:rPr>
      </w:pPr>
      <w:r w:rsidRPr="00B76F09">
        <w:rPr>
          <w:rFonts w:ascii="Arial" w:hAnsi="Arial" w:cs="Arial"/>
          <w:b/>
        </w:rPr>
        <w:t>M</w:t>
      </w:r>
      <w:r w:rsidR="00E721D2" w:rsidRPr="00B76F09">
        <w:rPr>
          <w:rFonts w:ascii="Arial" w:hAnsi="Arial" w:cs="Arial"/>
          <w:b/>
        </w:rPr>
        <w:t>OSSOP</w:t>
      </w:r>
      <w:r w:rsidRPr="00B76F09">
        <w:rPr>
          <w:rFonts w:ascii="Arial" w:hAnsi="Arial" w:cs="Arial"/>
          <w:b/>
        </w:rPr>
        <w:t xml:space="preserve"> </w:t>
      </w:r>
      <w:r w:rsidR="00A716F4" w:rsidRPr="00B76F09">
        <w:rPr>
          <w:rFonts w:ascii="Arial" w:hAnsi="Arial" w:cs="Arial"/>
          <w:b/>
        </w:rPr>
        <w:t>J</w:t>
      </w:r>
      <w:r w:rsidRPr="00B76F09">
        <w:rPr>
          <w:rFonts w:ascii="Arial" w:hAnsi="Arial" w:cs="Arial"/>
          <w:b/>
          <w:bCs/>
        </w:rPr>
        <w:t>:</w:t>
      </w:r>
    </w:p>
    <w:p w14:paraId="182E06D8" w14:textId="3B997152" w:rsidR="009D1C23" w:rsidRPr="00B76F09" w:rsidRDefault="009D1C23" w:rsidP="003E1994">
      <w:pPr>
        <w:spacing w:line="360" w:lineRule="auto"/>
        <w:jc w:val="both"/>
        <w:rPr>
          <w:rFonts w:ascii="Arial" w:hAnsi="Arial" w:cs="Arial"/>
          <w:b/>
          <w:bCs/>
        </w:rPr>
      </w:pPr>
    </w:p>
    <w:p w14:paraId="4A029A33" w14:textId="16F10F99" w:rsidR="00CA610A" w:rsidRPr="00F32D8A" w:rsidRDefault="00F32D8A" w:rsidP="00F32D8A">
      <w:pPr>
        <w:tabs>
          <w:tab w:val="left" w:pos="709"/>
        </w:tabs>
        <w:spacing w:line="360" w:lineRule="auto"/>
        <w:jc w:val="both"/>
        <w:rPr>
          <w:rFonts w:asciiTheme="minorBidi" w:hAnsiTheme="minorBidi" w:cstheme="minorBidi"/>
          <w:color w:val="000000" w:themeColor="text1"/>
        </w:rPr>
      </w:pPr>
      <w:r w:rsidRPr="00B76F09">
        <w:rPr>
          <w:rFonts w:ascii="Arial" w:hAnsi="Arial" w:cstheme="minorBidi"/>
          <w:color w:val="000000" w:themeColor="text1"/>
        </w:rPr>
        <w:t>[1]</w:t>
      </w:r>
      <w:r w:rsidRPr="00B76F09">
        <w:rPr>
          <w:rFonts w:ascii="Arial" w:hAnsi="Arial" w:cstheme="minorBidi"/>
          <w:color w:val="000000" w:themeColor="text1"/>
        </w:rPr>
        <w:tab/>
      </w:r>
      <w:r w:rsidR="00FD4B5B" w:rsidRPr="00F32D8A">
        <w:rPr>
          <w:rFonts w:ascii="Arial" w:hAnsi="Arial" w:cs="Arial"/>
        </w:rPr>
        <w:t xml:space="preserve"> </w:t>
      </w:r>
      <w:r w:rsidR="00CA610A" w:rsidRPr="00F32D8A">
        <w:rPr>
          <w:rFonts w:asciiTheme="minorBidi" w:hAnsiTheme="minorBidi" w:cstheme="minorBidi"/>
          <w:color w:val="000000" w:themeColor="text1"/>
        </w:rPr>
        <w:t>This is an appeal brought in</w:t>
      </w:r>
      <w:r w:rsidR="00DB6EAE" w:rsidRPr="00F32D8A">
        <w:rPr>
          <w:rFonts w:asciiTheme="minorBidi" w:hAnsiTheme="minorBidi" w:cstheme="minorBidi"/>
          <w:color w:val="000000" w:themeColor="text1"/>
        </w:rPr>
        <w:t xml:space="preserve"> terms of section 57 </w:t>
      </w:r>
      <w:r w:rsidR="00E40536" w:rsidRPr="00F32D8A">
        <w:rPr>
          <w:rFonts w:asciiTheme="minorBidi" w:hAnsiTheme="minorBidi" w:cstheme="minorBidi"/>
          <w:color w:val="000000" w:themeColor="text1"/>
        </w:rPr>
        <w:t>of the Community Schemes Ombud Service Act 9 of 2011</w:t>
      </w:r>
      <w:r w:rsidR="005D4D17" w:rsidRPr="00F32D8A">
        <w:rPr>
          <w:rStyle w:val="FootnoteReference"/>
          <w:rFonts w:asciiTheme="minorBidi" w:hAnsiTheme="minorBidi" w:cstheme="minorBidi"/>
          <w:color w:val="000000" w:themeColor="text1"/>
        </w:rPr>
        <w:t xml:space="preserve"> </w:t>
      </w:r>
      <w:r w:rsidR="00E40536" w:rsidRPr="00F32D8A">
        <w:rPr>
          <w:rFonts w:asciiTheme="minorBidi" w:hAnsiTheme="minorBidi" w:cstheme="minorBidi"/>
          <w:color w:val="000000" w:themeColor="text1"/>
        </w:rPr>
        <w:t>(the Act)</w:t>
      </w:r>
      <w:r w:rsidR="009A1F87" w:rsidRPr="00F32D8A">
        <w:rPr>
          <w:rStyle w:val="FootnoteReference"/>
          <w:rFonts w:asciiTheme="minorBidi" w:hAnsiTheme="minorBidi" w:cstheme="minorBidi"/>
          <w:color w:val="000000" w:themeColor="text1"/>
        </w:rPr>
        <w:t xml:space="preserve"> </w:t>
      </w:r>
      <w:r w:rsidR="009A1F87" w:rsidRPr="00F32D8A">
        <w:rPr>
          <w:rFonts w:asciiTheme="minorBidi" w:hAnsiTheme="minorBidi" w:cstheme="minorBidi"/>
          <w:color w:val="000000" w:themeColor="text1"/>
        </w:rPr>
        <w:t>against</w:t>
      </w:r>
      <w:r w:rsidR="00483652" w:rsidRPr="00F32D8A">
        <w:rPr>
          <w:rFonts w:asciiTheme="minorBidi" w:hAnsiTheme="minorBidi" w:cstheme="minorBidi"/>
          <w:color w:val="000000" w:themeColor="text1"/>
        </w:rPr>
        <w:t xml:space="preserve"> an adjudication </w:t>
      </w:r>
      <w:r w:rsidR="00BB0A03" w:rsidRPr="00F32D8A">
        <w:rPr>
          <w:rFonts w:asciiTheme="minorBidi" w:hAnsiTheme="minorBidi" w:cstheme="minorBidi"/>
          <w:color w:val="000000" w:themeColor="text1"/>
        </w:rPr>
        <w:t xml:space="preserve">order </w:t>
      </w:r>
      <w:r w:rsidR="00E84D71" w:rsidRPr="00F32D8A">
        <w:rPr>
          <w:rFonts w:asciiTheme="minorBidi" w:hAnsiTheme="minorBidi" w:cstheme="minorBidi"/>
          <w:color w:val="000000" w:themeColor="text1"/>
        </w:rPr>
        <w:t xml:space="preserve">(the order) </w:t>
      </w:r>
      <w:r w:rsidR="00483652" w:rsidRPr="00F32D8A">
        <w:rPr>
          <w:rFonts w:asciiTheme="minorBidi" w:hAnsiTheme="minorBidi" w:cstheme="minorBidi"/>
          <w:color w:val="000000" w:themeColor="text1"/>
        </w:rPr>
        <w:t>made by the third respondent</w:t>
      </w:r>
      <w:r w:rsidR="00E40536" w:rsidRPr="00F32D8A">
        <w:rPr>
          <w:rFonts w:asciiTheme="minorBidi" w:hAnsiTheme="minorBidi" w:cstheme="minorBidi"/>
          <w:color w:val="000000" w:themeColor="text1"/>
        </w:rPr>
        <w:t xml:space="preserve">. </w:t>
      </w:r>
      <w:r w:rsidR="009D1C23" w:rsidRPr="00F32D8A">
        <w:rPr>
          <w:rFonts w:asciiTheme="minorBidi" w:hAnsiTheme="minorBidi" w:cstheme="minorBidi"/>
          <w:color w:val="000000" w:themeColor="text1"/>
        </w:rPr>
        <w:t xml:space="preserve">In terms of section 57(1) of the Act, such an appeal lies only in respect of a question of law, and not </w:t>
      </w:r>
      <w:r w:rsidR="00090AC2" w:rsidRPr="00F32D8A">
        <w:rPr>
          <w:rFonts w:asciiTheme="minorBidi" w:hAnsiTheme="minorBidi" w:cstheme="minorBidi"/>
          <w:color w:val="000000" w:themeColor="text1"/>
        </w:rPr>
        <w:t xml:space="preserve">in respect of </w:t>
      </w:r>
      <w:r w:rsidR="009D1C23" w:rsidRPr="00F32D8A">
        <w:rPr>
          <w:rFonts w:asciiTheme="minorBidi" w:hAnsiTheme="minorBidi" w:cstheme="minorBidi"/>
          <w:color w:val="000000" w:themeColor="text1"/>
        </w:rPr>
        <w:t>a question of fact.</w:t>
      </w:r>
      <w:r w:rsidR="00A05256" w:rsidRPr="00F32D8A">
        <w:rPr>
          <w:rFonts w:asciiTheme="minorBidi" w:hAnsiTheme="minorBidi" w:cstheme="minorBidi"/>
          <w:color w:val="000000" w:themeColor="text1"/>
        </w:rPr>
        <w:t xml:space="preserve"> As a general proposition,</w:t>
      </w:r>
      <w:r w:rsidR="002702C1" w:rsidRPr="00F32D8A">
        <w:rPr>
          <w:rFonts w:asciiTheme="minorBidi" w:hAnsiTheme="minorBidi" w:cstheme="minorBidi"/>
          <w:color w:val="000000" w:themeColor="text1"/>
        </w:rPr>
        <w:t xml:space="preserve"> </w:t>
      </w:r>
      <w:r w:rsidR="00106CCD" w:rsidRPr="00F32D8A">
        <w:rPr>
          <w:rFonts w:asciiTheme="minorBidi" w:hAnsiTheme="minorBidi" w:cstheme="minorBidi"/>
          <w:color w:val="000000" w:themeColor="text1"/>
        </w:rPr>
        <w:t>‘[</w:t>
      </w:r>
      <w:r w:rsidR="008C367A" w:rsidRPr="00F32D8A">
        <w:rPr>
          <w:rFonts w:asciiTheme="minorBidi" w:hAnsiTheme="minorBidi" w:cstheme="minorBidi"/>
          <w:color w:val="000000" w:themeColor="text1"/>
        </w:rPr>
        <w:t>a</w:t>
      </w:r>
      <w:r w:rsidR="00106CCD" w:rsidRPr="00F32D8A">
        <w:rPr>
          <w:rFonts w:asciiTheme="minorBidi" w:hAnsiTheme="minorBidi" w:cstheme="minorBidi"/>
          <w:color w:val="000000" w:themeColor="text1"/>
        </w:rPr>
        <w:t>]</w:t>
      </w:r>
      <w:r w:rsidR="00EE4E91" w:rsidRPr="00F32D8A">
        <w:rPr>
          <w:rFonts w:asciiTheme="minorBidi" w:hAnsiTheme="minorBidi" w:cstheme="minorBidi"/>
          <w:color w:val="000000" w:themeColor="text1"/>
        </w:rPr>
        <w:t xml:space="preserve"> question of fact usually calls for proof</w:t>
      </w:r>
      <w:r w:rsidR="00106CCD" w:rsidRPr="00F32D8A">
        <w:rPr>
          <w:rFonts w:asciiTheme="minorBidi" w:hAnsiTheme="minorBidi" w:cstheme="minorBidi"/>
          <w:color w:val="000000" w:themeColor="text1"/>
        </w:rPr>
        <w:t>’</w:t>
      </w:r>
      <w:r w:rsidR="000F2111" w:rsidRPr="00F32D8A">
        <w:rPr>
          <w:rFonts w:asciiTheme="minorBidi" w:hAnsiTheme="minorBidi" w:cstheme="minorBidi"/>
          <w:color w:val="000000" w:themeColor="text1"/>
        </w:rPr>
        <w:t xml:space="preserve"> while </w:t>
      </w:r>
      <w:r w:rsidR="00106CCD" w:rsidRPr="00F32D8A">
        <w:rPr>
          <w:rFonts w:asciiTheme="minorBidi" w:hAnsiTheme="minorBidi" w:cstheme="minorBidi"/>
          <w:color w:val="000000" w:themeColor="text1"/>
        </w:rPr>
        <w:t>‘[</w:t>
      </w:r>
      <w:r w:rsidR="000F2111" w:rsidRPr="00F32D8A">
        <w:rPr>
          <w:rFonts w:asciiTheme="minorBidi" w:hAnsiTheme="minorBidi" w:cstheme="minorBidi"/>
          <w:color w:val="000000" w:themeColor="text1"/>
        </w:rPr>
        <w:t>a</w:t>
      </w:r>
      <w:r w:rsidR="00106CCD" w:rsidRPr="00F32D8A">
        <w:rPr>
          <w:rFonts w:asciiTheme="minorBidi" w:hAnsiTheme="minorBidi" w:cstheme="minorBidi"/>
          <w:color w:val="000000" w:themeColor="text1"/>
        </w:rPr>
        <w:t>]</w:t>
      </w:r>
      <w:r w:rsidR="00EE4E91" w:rsidRPr="00F32D8A">
        <w:rPr>
          <w:rFonts w:asciiTheme="minorBidi" w:hAnsiTheme="minorBidi" w:cstheme="minorBidi"/>
          <w:color w:val="000000" w:themeColor="text1"/>
        </w:rPr>
        <w:t xml:space="preserve"> question of law usually calls for argument</w:t>
      </w:r>
      <w:r w:rsidR="00106CCD" w:rsidRPr="00F32D8A">
        <w:rPr>
          <w:rFonts w:asciiTheme="minorBidi" w:hAnsiTheme="minorBidi" w:cstheme="minorBidi"/>
          <w:color w:val="000000" w:themeColor="text1"/>
        </w:rPr>
        <w:t>’</w:t>
      </w:r>
      <w:r w:rsidR="008C367A" w:rsidRPr="00F32D8A">
        <w:rPr>
          <w:rFonts w:asciiTheme="minorBidi" w:hAnsiTheme="minorBidi" w:cstheme="minorBidi"/>
          <w:color w:val="000000" w:themeColor="text1"/>
        </w:rPr>
        <w:t>.</w:t>
      </w:r>
      <w:r w:rsidR="008C367A" w:rsidRPr="00B76F09">
        <w:rPr>
          <w:rStyle w:val="FootnoteReference"/>
          <w:rFonts w:asciiTheme="minorBidi" w:hAnsiTheme="minorBidi" w:cstheme="minorBidi"/>
          <w:color w:val="000000" w:themeColor="text1"/>
        </w:rPr>
        <w:footnoteReference w:id="1"/>
      </w:r>
      <w:r w:rsidR="009F475A" w:rsidRPr="00F32D8A">
        <w:rPr>
          <w:rFonts w:asciiTheme="minorBidi" w:hAnsiTheme="minorBidi" w:cstheme="minorBidi"/>
          <w:color w:val="000000" w:themeColor="text1"/>
        </w:rPr>
        <w:t xml:space="preserve"> The </w:t>
      </w:r>
      <w:r w:rsidR="005102EC" w:rsidRPr="00F32D8A">
        <w:rPr>
          <w:rFonts w:asciiTheme="minorBidi" w:hAnsiTheme="minorBidi" w:cstheme="minorBidi"/>
          <w:color w:val="000000" w:themeColor="text1"/>
        </w:rPr>
        <w:t xml:space="preserve">confining of an </w:t>
      </w:r>
      <w:r w:rsidR="00FF7E7C" w:rsidRPr="00F32D8A">
        <w:rPr>
          <w:rFonts w:asciiTheme="minorBidi" w:hAnsiTheme="minorBidi" w:cstheme="minorBidi"/>
          <w:color w:val="000000" w:themeColor="text1"/>
        </w:rPr>
        <w:t>‘</w:t>
      </w:r>
      <w:r w:rsidR="005102EC" w:rsidRPr="00F32D8A">
        <w:rPr>
          <w:rFonts w:asciiTheme="minorBidi" w:hAnsiTheme="minorBidi" w:cstheme="minorBidi"/>
          <w:color w:val="000000" w:themeColor="text1"/>
        </w:rPr>
        <w:t>appeal to questions of law is intended to limit the scope of intervention by a court</w:t>
      </w:r>
      <w:r w:rsidR="00FF7E7C" w:rsidRPr="00F32D8A">
        <w:rPr>
          <w:rFonts w:asciiTheme="minorBidi" w:hAnsiTheme="minorBidi" w:cstheme="minorBidi"/>
          <w:color w:val="000000" w:themeColor="text1"/>
        </w:rPr>
        <w:t>’</w:t>
      </w:r>
      <w:r w:rsidR="005102EC" w:rsidRPr="00F32D8A">
        <w:rPr>
          <w:rFonts w:asciiTheme="minorBidi" w:hAnsiTheme="minorBidi" w:cstheme="minorBidi"/>
          <w:color w:val="000000" w:themeColor="text1"/>
        </w:rPr>
        <w:t>.</w:t>
      </w:r>
      <w:r w:rsidR="00BD04D4" w:rsidRPr="00B76F09">
        <w:rPr>
          <w:rStyle w:val="FootnoteReference"/>
          <w:rFonts w:asciiTheme="minorBidi" w:hAnsiTheme="minorBidi" w:cstheme="minorBidi"/>
          <w:color w:val="000000" w:themeColor="text1"/>
        </w:rPr>
        <w:footnoteReference w:id="2"/>
      </w:r>
    </w:p>
    <w:p w14:paraId="265A09CE" w14:textId="77777777" w:rsidR="000F2111" w:rsidRPr="00B76F09" w:rsidRDefault="000F2111" w:rsidP="000F2111">
      <w:pPr>
        <w:pStyle w:val="ListParagraph"/>
        <w:tabs>
          <w:tab w:val="left" w:pos="709"/>
        </w:tabs>
        <w:spacing w:line="360" w:lineRule="auto"/>
        <w:ind w:left="0"/>
        <w:jc w:val="both"/>
        <w:rPr>
          <w:rFonts w:ascii="Arial" w:hAnsi="Arial" w:cs="Arial"/>
        </w:rPr>
      </w:pPr>
    </w:p>
    <w:p w14:paraId="60E28605" w14:textId="383978CC" w:rsidR="00CA610A" w:rsidRPr="00F32D8A" w:rsidRDefault="00F32D8A" w:rsidP="00F32D8A">
      <w:pPr>
        <w:tabs>
          <w:tab w:val="left" w:pos="709"/>
        </w:tabs>
        <w:spacing w:line="360" w:lineRule="auto"/>
        <w:jc w:val="both"/>
        <w:rPr>
          <w:rFonts w:ascii="Arial" w:hAnsi="Arial" w:cs="Arial"/>
        </w:rPr>
      </w:pPr>
      <w:r w:rsidRPr="00B76F09">
        <w:rPr>
          <w:rFonts w:ascii="Arial" w:hAnsi="Arial" w:cs="Arial"/>
        </w:rPr>
        <w:t>[2]</w:t>
      </w:r>
      <w:r w:rsidRPr="00B76F09">
        <w:rPr>
          <w:rFonts w:ascii="Arial" w:hAnsi="Arial" w:cs="Arial"/>
        </w:rPr>
        <w:tab/>
      </w:r>
      <w:r w:rsidR="00CA610A" w:rsidRPr="00F32D8A">
        <w:rPr>
          <w:rFonts w:ascii="Arial" w:hAnsi="Arial" w:cs="Arial"/>
        </w:rPr>
        <w:t xml:space="preserve">The appellant is a businessman who owns a single </w:t>
      </w:r>
      <w:r w:rsidR="00885745" w:rsidRPr="00F32D8A">
        <w:rPr>
          <w:rFonts w:ascii="Arial" w:hAnsi="Arial" w:cs="Arial"/>
        </w:rPr>
        <w:t>section</w:t>
      </w:r>
      <w:r w:rsidR="00CA610A" w:rsidRPr="00F32D8A">
        <w:rPr>
          <w:rFonts w:ascii="Arial" w:hAnsi="Arial" w:cs="Arial"/>
        </w:rPr>
        <w:t xml:space="preserve"> in the second respondent,</w:t>
      </w:r>
      <w:r w:rsidR="00B6727B" w:rsidRPr="00B76F09">
        <w:rPr>
          <w:rStyle w:val="FootnoteReference"/>
          <w:rFonts w:ascii="Arial" w:hAnsi="Arial" w:cs="Arial"/>
        </w:rPr>
        <w:footnoteReference w:id="3"/>
      </w:r>
      <w:r w:rsidR="00CA610A" w:rsidRPr="00F32D8A">
        <w:rPr>
          <w:rFonts w:ascii="Arial" w:hAnsi="Arial" w:cs="Arial"/>
        </w:rPr>
        <w:t xml:space="preserve"> which is </w:t>
      </w:r>
      <w:r w:rsidR="009A1F87" w:rsidRPr="00F32D8A">
        <w:rPr>
          <w:rFonts w:ascii="Arial" w:hAnsi="Arial" w:cs="Arial"/>
        </w:rPr>
        <w:t xml:space="preserve">what is termed a </w:t>
      </w:r>
      <w:r w:rsidR="00EA6FCC" w:rsidRPr="00F32D8A">
        <w:rPr>
          <w:rFonts w:ascii="Arial" w:hAnsi="Arial" w:cs="Arial"/>
        </w:rPr>
        <w:t>‘</w:t>
      </w:r>
      <w:r w:rsidR="005D4D17" w:rsidRPr="00F32D8A">
        <w:rPr>
          <w:rFonts w:ascii="Arial" w:hAnsi="Arial" w:cs="Arial"/>
        </w:rPr>
        <w:t>mixed-</w:t>
      </w:r>
      <w:r w:rsidR="009A1F87" w:rsidRPr="00F32D8A">
        <w:rPr>
          <w:rFonts w:ascii="Arial" w:hAnsi="Arial" w:cs="Arial"/>
        </w:rPr>
        <w:t>use</w:t>
      </w:r>
      <w:r w:rsidR="00EA6FCC" w:rsidRPr="00F32D8A">
        <w:rPr>
          <w:rFonts w:ascii="Arial" w:hAnsi="Arial" w:cs="Arial"/>
        </w:rPr>
        <w:t>’</w:t>
      </w:r>
      <w:r w:rsidR="00CA610A" w:rsidRPr="00F32D8A">
        <w:rPr>
          <w:rFonts w:ascii="Arial" w:hAnsi="Arial" w:cs="Arial"/>
        </w:rPr>
        <w:t xml:space="preserve"> body corporate. </w:t>
      </w:r>
      <w:r w:rsidR="00FA04A2" w:rsidRPr="00F32D8A">
        <w:rPr>
          <w:rFonts w:ascii="Arial" w:hAnsi="Arial" w:cs="Arial"/>
        </w:rPr>
        <w:t xml:space="preserve">The </w:t>
      </w:r>
      <w:r w:rsidR="001E41DD" w:rsidRPr="00F32D8A">
        <w:rPr>
          <w:rFonts w:ascii="Arial" w:hAnsi="Arial" w:cs="Arial"/>
        </w:rPr>
        <w:t>mixed-use</w:t>
      </w:r>
      <w:r w:rsidR="009A1F87" w:rsidRPr="00F32D8A">
        <w:rPr>
          <w:rFonts w:ascii="Arial" w:hAnsi="Arial" w:cs="Arial"/>
        </w:rPr>
        <w:t xml:space="preserve"> </w:t>
      </w:r>
      <w:r w:rsidR="0009679E" w:rsidRPr="00F32D8A">
        <w:rPr>
          <w:rFonts w:ascii="Arial" w:hAnsi="Arial" w:cs="Arial"/>
        </w:rPr>
        <w:t xml:space="preserve">appellation </w:t>
      </w:r>
      <w:r w:rsidR="009A1F87" w:rsidRPr="00F32D8A">
        <w:rPr>
          <w:rFonts w:ascii="Arial" w:hAnsi="Arial" w:cs="Arial"/>
        </w:rPr>
        <w:t xml:space="preserve">arises from the fact that the </w:t>
      </w:r>
      <w:r w:rsidR="00FA04A2" w:rsidRPr="00F32D8A">
        <w:rPr>
          <w:rFonts w:ascii="Arial" w:hAnsi="Arial" w:cs="Arial"/>
        </w:rPr>
        <w:t xml:space="preserve">ground floor of the building is comprised of commercial </w:t>
      </w:r>
      <w:r w:rsidR="00885745" w:rsidRPr="00F32D8A">
        <w:rPr>
          <w:rFonts w:ascii="Arial" w:hAnsi="Arial" w:cs="Arial"/>
        </w:rPr>
        <w:t>section</w:t>
      </w:r>
      <w:r w:rsidR="00FA04A2" w:rsidRPr="00F32D8A">
        <w:rPr>
          <w:rFonts w:ascii="Arial" w:hAnsi="Arial" w:cs="Arial"/>
        </w:rPr>
        <w:t xml:space="preserve">s </w:t>
      </w:r>
      <w:r w:rsidR="00E477C9" w:rsidRPr="00F32D8A">
        <w:rPr>
          <w:rFonts w:ascii="Arial" w:hAnsi="Arial" w:cs="Arial"/>
        </w:rPr>
        <w:t>from</w:t>
      </w:r>
      <w:r w:rsidR="002F4497" w:rsidRPr="00F32D8A">
        <w:rPr>
          <w:rFonts w:ascii="Arial" w:hAnsi="Arial" w:cs="Arial"/>
        </w:rPr>
        <w:t xml:space="preserve"> which commercial enterprises operate </w:t>
      </w:r>
      <w:r w:rsidR="00FA04A2" w:rsidRPr="00F32D8A">
        <w:rPr>
          <w:rFonts w:ascii="Arial" w:hAnsi="Arial" w:cs="Arial"/>
        </w:rPr>
        <w:t xml:space="preserve">and the second and further floors of the building are comprised of residential </w:t>
      </w:r>
      <w:r w:rsidR="00885745" w:rsidRPr="00F32D8A">
        <w:rPr>
          <w:rFonts w:ascii="Arial" w:hAnsi="Arial" w:cs="Arial"/>
        </w:rPr>
        <w:t>section</w:t>
      </w:r>
      <w:r w:rsidR="00FA04A2" w:rsidRPr="00F32D8A">
        <w:rPr>
          <w:rFonts w:ascii="Arial" w:hAnsi="Arial" w:cs="Arial"/>
        </w:rPr>
        <w:t xml:space="preserve">s. </w:t>
      </w:r>
      <w:r w:rsidR="00155500" w:rsidRPr="00F32D8A">
        <w:rPr>
          <w:rFonts w:ascii="Arial" w:hAnsi="Arial" w:cs="Arial"/>
        </w:rPr>
        <w:t xml:space="preserve">There are, in total, </w:t>
      </w:r>
      <w:r w:rsidR="001E41DD" w:rsidRPr="00F32D8A">
        <w:rPr>
          <w:rFonts w:ascii="Arial" w:hAnsi="Arial" w:cs="Arial"/>
        </w:rPr>
        <w:t>257</w:t>
      </w:r>
      <w:r w:rsidR="00155500" w:rsidRPr="00F32D8A">
        <w:rPr>
          <w:rFonts w:ascii="Arial" w:hAnsi="Arial" w:cs="Arial"/>
        </w:rPr>
        <w:t xml:space="preserve"> sections</w:t>
      </w:r>
      <w:r w:rsidR="001E41DD" w:rsidRPr="00F32D8A">
        <w:rPr>
          <w:rFonts w:ascii="Arial" w:hAnsi="Arial" w:cs="Arial"/>
        </w:rPr>
        <w:t xml:space="preserve"> in the scheme</w:t>
      </w:r>
      <w:r w:rsidR="00BB3991" w:rsidRPr="00F32D8A">
        <w:rPr>
          <w:rFonts w:ascii="Arial" w:hAnsi="Arial" w:cs="Arial"/>
        </w:rPr>
        <w:t xml:space="preserve"> of which 235 are residential sections</w:t>
      </w:r>
      <w:r w:rsidR="00155500" w:rsidRPr="00F32D8A">
        <w:rPr>
          <w:rFonts w:ascii="Arial" w:hAnsi="Arial" w:cs="Arial"/>
        </w:rPr>
        <w:t>.</w:t>
      </w:r>
    </w:p>
    <w:p w14:paraId="6D3C5271" w14:textId="77777777" w:rsidR="00F54536" w:rsidRPr="00B76F09" w:rsidRDefault="00F54536" w:rsidP="00F54536">
      <w:pPr>
        <w:pStyle w:val="ListParagraph"/>
        <w:tabs>
          <w:tab w:val="left" w:pos="709"/>
        </w:tabs>
        <w:spacing w:line="360" w:lineRule="auto"/>
        <w:ind w:left="0"/>
        <w:jc w:val="both"/>
        <w:rPr>
          <w:rFonts w:ascii="Arial" w:hAnsi="Arial" w:cs="Arial"/>
        </w:rPr>
      </w:pPr>
    </w:p>
    <w:p w14:paraId="3E33B715" w14:textId="0D8B1382" w:rsidR="00CA610A" w:rsidRPr="00F32D8A" w:rsidRDefault="00F32D8A" w:rsidP="00F32D8A">
      <w:pPr>
        <w:tabs>
          <w:tab w:val="left" w:pos="709"/>
        </w:tabs>
        <w:spacing w:line="360" w:lineRule="auto"/>
        <w:jc w:val="both"/>
        <w:rPr>
          <w:rFonts w:ascii="Arial" w:hAnsi="Arial" w:cs="Arial"/>
        </w:rPr>
      </w:pPr>
      <w:r w:rsidRPr="00B76F09">
        <w:rPr>
          <w:rFonts w:ascii="Arial" w:hAnsi="Arial" w:cs="Arial"/>
        </w:rPr>
        <w:t>[3]</w:t>
      </w:r>
      <w:r w:rsidRPr="00B76F09">
        <w:rPr>
          <w:rFonts w:ascii="Arial" w:hAnsi="Arial" w:cs="Arial"/>
        </w:rPr>
        <w:tab/>
      </w:r>
      <w:r w:rsidR="00CA610A" w:rsidRPr="00F32D8A">
        <w:rPr>
          <w:rFonts w:ascii="Arial" w:hAnsi="Arial" w:cs="Arial"/>
        </w:rPr>
        <w:t>When the appeal</w:t>
      </w:r>
      <w:r w:rsidR="004D612D" w:rsidRPr="00F32D8A">
        <w:rPr>
          <w:rFonts w:ascii="Arial" w:hAnsi="Arial" w:cs="Arial"/>
        </w:rPr>
        <w:t xml:space="preserve"> was argued</w:t>
      </w:r>
      <w:r w:rsidR="00CA610A" w:rsidRPr="00F32D8A">
        <w:rPr>
          <w:rFonts w:ascii="Arial" w:hAnsi="Arial" w:cs="Arial"/>
        </w:rPr>
        <w:t xml:space="preserve">, the appellant was represented by Mr Omar and the first and second respondents were represented by Ms Nicholson. Both are thanked for their considered and helpful submissions. The third and fourth respondents elected to abide the decision of this court and consequently played no part in the appeal. </w:t>
      </w:r>
    </w:p>
    <w:p w14:paraId="6103682F" w14:textId="77777777" w:rsidR="004D612D" w:rsidRPr="00B76F09" w:rsidRDefault="004D612D" w:rsidP="004D612D">
      <w:pPr>
        <w:pStyle w:val="ListParagraph"/>
        <w:tabs>
          <w:tab w:val="left" w:pos="709"/>
        </w:tabs>
        <w:spacing w:line="360" w:lineRule="auto"/>
        <w:ind w:left="0"/>
        <w:jc w:val="both"/>
        <w:rPr>
          <w:rFonts w:ascii="Arial" w:hAnsi="Arial" w:cs="Arial"/>
        </w:rPr>
      </w:pPr>
    </w:p>
    <w:p w14:paraId="5AC0BED2" w14:textId="3F878BC5" w:rsidR="00CA610A" w:rsidRPr="00F32D8A" w:rsidRDefault="00F32D8A" w:rsidP="00F32D8A">
      <w:pPr>
        <w:tabs>
          <w:tab w:val="left" w:pos="709"/>
        </w:tabs>
        <w:spacing w:line="360" w:lineRule="auto"/>
        <w:jc w:val="both"/>
        <w:rPr>
          <w:rFonts w:ascii="Arial" w:hAnsi="Arial" w:cs="Arial"/>
        </w:rPr>
      </w:pPr>
      <w:r w:rsidRPr="00B76F09">
        <w:rPr>
          <w:rFonts w:ascii="Arial" w:hAnsi="Arial" w:cs="Arial"/>
        </w:rPr>
        <w:t>[4]</w:t>
      </w:r>
      <w:r w:rsidRPr="00B76F09">
        <w:rPr>
          <w:rFonts w:ascii="Arial" w:hAnsi="Arial" w:cs="Arial"/>
        </w:rPr>
        <w:tab/>
      </w:r>
      <w:r w:rsidR="00CA610A" w:rsidRPr="00F32D8A">
        <w:rPr>
          <w:rFonts w:ascii="Arial" w:hAnsi="Arial" w:cs="Arial"/>
        </w:rPr>
        <w:t xml:space="preserve">In the proceedings before the third respondent, </w:t>
      </w:r>
      <w:r w:rsidR="00EA6FCC" w:rsidRPr="00F32D8A">
        <w:rPr>
          <w:rFonts w:ascii="Arial" w:hAnsi="Arial" w:cs="Arial"/>
        </w:rPr>
        <w:t xml:space="preserve">which were conducted </w:t>
      </w:r>
      <w:r w:rsidR="00E477C9" w:rsidRPr="00F32D8A">
        <w:rPr>
          <w:rFonts w:ascii="Arial" w:hAnsi="Arial" w:cs="Arial"/>
        </w:rPr>
        <w:t xml:space="preserve">entirely </w:t>
      </w:r>
      <w:r w:rsidR="00EA6FCC" w:rsidRPr="00F32D8A">
        <w:rPr>
          <w:rFonts w:ascii="Arial" w:hAnsi="Arial" w:cs="Arial"/>
        </w:rPr>
        <w:t xml:space="preserve">on paper, </w:t>
      </w:r>
      <w:r w:rsidR="00CA610A" w:rsidRPr="00F32D8A">
        <w:rPr>
          <w:rFonts w:ascii="Arial" w:hAnsi="Arial" w:cs="Arial"/>
        </w:rPr>
        <w:t>the app</w:t>
      </w:r>
      <w:r w:rsidR="00FA0241" w:rsidRPr="00F32D8A">
        <w:rPr>
          <w:rFonts w:ascii="Arial" w:hAnsi="Arial" w:cs="Arial"/>
        </w:rPr>
        <w:t>ellant</w:t>
      </w:r>
      <w:r w:rsidR="00CA610A" w:rsidRPr="00F32D8A">
        <w:rPr>
          <w:rFonts w:ascii="Arial" w:hAnsi="Arial" w:cs="Arial"/>
        </w:rPr>
        <w:t xml:space="preserve"> had sought the following relief in a document </w:t>
      </w:r>
      <w:r w:rsidR="00E20FC3" w:rsidRPr="00F32D8A">
        <w:rPr>
          <w:rFonts w:ascii="Arial" w:hAnsi="Arial" w:cs="Arial"/>
        </w:rPr>
        <w:t>referred to as an</w:t>
      </w:r>
      <w:r w:rsidR="00CA610A" w:rsidRPr="00F32D8A">
        <w:rPr>
          <w:rFonts w:ascii="Arial" w:hAnsi="Arial" w:cs="Arial"/>
        </w:rPr>
        <w:t xml:space="preserve"> ‘Application for Dispute Resolution Form’</w:t>
      </w:r>
      <w:r w:rsidR="00A16C7A" w:rsidRPr="00F32D8A">
        <w:rPr>
          <w:rFonts w:ascii="Arial" w:hAnsi="Arial" w:cs="Arial"/>
        </w:rPr>
        <w:t xml:space="preserve"> (the form)</w:t>
      </w:r>
      <w:r w:rsidR="00CA610A" w:rsidRPr="00F32D8A">
        <w:rPr>
          <w:rFonts w:ascii="Arial" w:hAnsi="Arial" w:cs="Arial"/>
        </w:rPr>
        <w:t>:</w:t>
      </w:r>
    </w:p>
    <w:p w14:paraId="2F655FC6" w14:textId="77777777" w:rsidR="00CA610A" w:rsidRPr="00B76F09" w:rsidRDefault="00CA610A" w:rsidP="00CA610A">
      <w:pPr>
        <w:pStyle w:val="ListParagraph"/>
        <w:tabs>
          <w:tab w:val="left" w:pos="709"/>
        </w:tabs>
        <w:spacing w:line="360" w:lineRule="auto"/>
        <w:ind w:left="0"/>
        <w:jc w:val="both"/>
        <w:rPr>
          <w:rFonts w:ascii="Arial" w:hAnsi="Arial" w:cs="Arial"/>
          <w:sz w:val="22"/>
          <w:szCs w:val="22"/>
        </w:rPr>
      </w:pPr>
      <w:r w:rsidRPr="00B76F09">
        <w:rPr>
          <w:rFonts w:ascii="Arial" w:hAnsi="Arial" w:cs="Arial"/>
          <w:sz w:val="22"/>
          <w:szCs w:val="22"/>
        </w:rPr>
        <w:lastRenderedPageBreak/>
        <w:t>‘An order in terms of Section 39(3)(c) and (d) of the CSOS Act, in the following terms:</w:t>
      </w:r>
    </w:p>
    <w:p w14:paraId="5F17EE78" w14:textId="77777777" w:rsidR="00CA610A" w:rsidRPr="00B76F09" w:rsidRDefault="00CA610A" w:rsidP="00CA610A">
      <w:pPr>
        <w:pStyle w:val="ListParagraph"/>
        <w:tabs>
          <w:tab w:val="left" w:pos="709"/>
        </w:tabs>
        <w:spacing w:line="360" w:lineRule="auto"/>
        <w:ind w:left="0"/>
        <w:jc w:val="both"/>
        <w:rPr>
          <w:rFonts w:ascii="Arial" w:hAnsi="Arial" w:cs="Arial"/>
          <w:sz w:val="22"/>
          <w:szCs w:val="22"/>
        </w:rPr>
      </w:pPr>
      <w:r w:rsidRPr="00B76F09">
        <w:rPr>
          <w:rFonts w:ascii="Arial" w:hAnsi="Arial" w:cs="Arial"/>
          <w:sz w:val="22"/>
          <w:szCs w:val="22"/>
        </w:rPr>
        <w:t>An order declaring that Annexure “R”, or alternatively, Rules 4.4, 4.5. 18, 63, 31.1.2, 31.1.4.1, Annexure “A”, Annexure “B1”, Annexure “B2” and Annexure “C” of Annexure “R” are invalid and unreasonable, having regard to the interest of all owners of the Scheme, and requires the Scheme to approve and record new management rules:</w:t>
      </w:r>
    </w:p>
    <w:p w14:paraId="34244CA2" w14:textId="24A3F04E" w:rsidR="00CA610A" w:rsidRPr="00F32D8A" w:rsidRDefault="00F32D8A" w:rsidP="00F32D8A">
      <w:pPr>
        <w:tabs>
          <w:tab w:val="left" w:pos="709"/>
        </w:tabs>
        <w:spacing w:line="360" w:lineRule="auto"/>
        <w:jc w:val="both"/>
        <w:rPr>
          <w:rFonts w:ascii="Arial" w:hAnsi="Arial" w:cs="Arial"/>
          <w:sz w:val="22"/>
          <w:szCs w:val="22"/>
        </w:rPr>
      </w:pPr>
      <w:r w:rsidRPr="00B76F09">
        <w:rPr>
          <w:rFonts w:ascii="Arial" w:hAnsi="Arial" w:cs="Arial"/>
          <w:sz w:val="22"/>
          <w:szCs w:val="22"/>
        </w:rPr>
        <w:t>(i)</w:t>
      </w:r>
      <w:r w:rsidRPr="00B76F09">
        <w:rPr>
          <w:rFonts w:ascii="Arial" w:hAnsi="Arial" w:cs="Arial"/>
          <w:sz w:val="22"/>
          <w:szCs w:val="22"/>
        </w:rPr>
        <w:tab/>
      </w:r>
      <w:r w:rsidR="00CA610A" w:rsidRPr="00F32D8A">
        <w:rPr>
          <w:rFonts w:ascii="Arial" w:hAnsi="Arial" w:cs="Arial"/>
          <w:sz w:val="22"/>
          <w:szCs w:val="22"/>
        </w:rPr>
        <w:t>To remove the invalid provisions; and</w:t>
      </w:r>
    </w:p>
    <w:p w14:paraId="6F9CB0ED" w14:textId="72FCBAEA" w:rsidR="00CA610A" w:rsidRPr="00F32D8A" w:rsidRDefault="00F32D8A" w:rsidP="00F32D8A">
      <w:pPr>
        <w:tabs>
          <w:tab w:val="left" w:pos="709"/>
        </w:tabs>
        <w:spacing w:line="360" w:lineRule="auto"/>
        <w:jc w:val="both"/>
        <w:rPr>
          <w:rFonts w:ascii="Arial" w:hAnsi="Arial" w:cs="Arial"/>
          <w:sz w:val="22"/>
          <w:szCs w:val="22"/>
        </w:rPr>
      </w:pPr>
      <w:r w:rsidRPr="00B76F09">
        <w:rPr>
          <w:rFonts w:ascii="Arial" w:hAnsi="Arial" w:cs="Arial"/>
          <w:sz w:val="22"/>
          <w:szCs w:val="22"/>
        </w:rPr>
        <w:t>(ii)</w:t>
      </w:r>
      <w:r w:rsidRPr="00B76F09">
        <w:rPr>
          <w:rFonts w:ascii="Arial" w:hAnsi="Arial" w:cs="Arial"/>
          <w:sz w:val="22"/>
          <w:szCs w:val="22"/>
        </w:rPr>
        <w:tab/>
      </w:r>
      <w:r w:rsidR="00CA610A" w:rsidRPr="00F32D8A">
        <w:rPr>
          <w:rFonts w:ascii="Arial" w:hAnsi="Arial" w:cs="Arial"/>
          <w:sz w:val="22"/>
          <w:szCs w:val="22"/>
        </w:rPr>
        <w:t>To substitute the invalid provisions with the prescribed management rules</w:t>
      </w:r>
    </w:p>
    <w:p w14:paraId="693C5846" w14:textId="2B3B1EBF" w:rsidR="004D612D" w:rsidRPr="00B76F09" w:rsidRDefault="00CA610A" w:rsidP="004D612D">
      <w:pPr>
        <w:tabs>
          <w:tab w:val="left" w:pos="709"/>
        </w:tabs>
        <w:spacing w:line="360" w:lineRule="auto"/>
        <w:jc w:val="both"/>
        <w:rPr>
          <w:rFonts w:ascii="Arial" w:hAnsi="Arial" w:cs="Arial"/>
          <w:sz w:val="22"/>
          <w:szCs w:val="22"/>
        </w:rPr>
      </w:pPr>
      <w:r w:rsidRPr="00B76F09">
        <w:rPr>
          <w:rFonts w:ascii="Arial" w:hAnsi="Arial" w:cs="Arial"/>
          <w:sz w:val="22"/>
          <w:szCs w:val="22"/>
        </w:rPr>
        <w:t>(Annexure 1 of the STSM Regulations, dated 7 October 2016)</w:t>
      </w:r>
      <w:r w:rsidR="004D612D" w:rsidRPr="00B76F09">
        <w:rPr>
          <w:rFonts w:ascii="Arial" w:hAnsi="Arial" w:cs="Arial"/>
          <w:sz w:val="22"/>
          <w:szCs w:val="22"/>
        </w:rPr>
        <w:t>.</w:t>
      </w:r>
      <w:r w:rsidR="00214E99" w:rsidRPr="00B76F09">
        <w:rPr>
          <w:rFonts w:ascii="Arial" w:hAnsi="Arial" w:cs="Arial"/>
          <w:sz w:val="22"/>
          <w:szCs w:val="22"/>
        </w:rPr>
        <w:t>’</w:t>
      </w:r>
    </w:p>
    <w:p w14:paraId="0E56FCDF" w14:textId="558550EA" w:rsidR="003F65A1" w:rsidRPr="00B76F09" w:rsidRDefault="003F65A1" w:rsidP="004D612D">
      <w:pPr>
        <w:tabs>
          <w:tab w:val="left" w:pos="709"/>
        </w:tabs>
        <w:spacing w:line="360" w:lineRule="auto"/>
        <w:jc w:val="both"/>
        <w:rPr>
          <w:rFonts w:ascii="Arial" w:hAnsi="Arial" w:cs="Arial"/>
        </w:rPr>
      </w:pPr>
      <w:r w:rsidRPr="00B76F09">
        <w:rPr>
          <w:rFonts w:ascii="Arial" w:hAnsi="Arial" w:cs="Arial"/>
        </w:rPr>
        <w:t xml:space="preserve">The reference </w:t>
      </w:r>
      <w:r w:rsidR="002F4497" w:rsidRPr="00B76F09">
        <w:rPr>
          <w:rFonts w:ascii="Arial" w:hAnsi="Arial" w:cs="Arial"/>
        </w:rPr>
        <w:t xml:space="preserve">therein </w:t>
      </w:r>
      <w:r w:rsidRPr="00B76F09">
        <w:rPr>
          <w:rFonts w:ascii="Arial" w:hAnsi="Arial" w:cs="Arial"/>
        </w:rPr>
        <w:t xml:space="preserve">to ‘STSM Regulations’ is a reference to </w:t>
      </w:r>
      <w:r w:rsidR="007E7695" w:rsidRPr="00B76F09">
        <w:rPr>
          <w:rFonts w:ascii="Arial" w:hAnsi="Arial" w:cs="Arial"/>
        </w:rPr>
        <w:t>the Section Titles Schemes Management Regulations</w:t>
      </w:r>
      <w:r w:rsidR="00B06E6C">
        <w:rPr>
          <w:rFonts w:ascii="Arial" w:hAnsi="Arial" w:cs="Arial"/>
        </w:rPr>
        <w:t>,</w:t>
      </w:r>
      <w:r w:rsidR="00214E99" w:rsidRPr="00B76F09">
        <w:rPr>
          <w:rStyle w:val="FootnoteReference"/>
          <w:rFonts w:ascii="Arial" w:hAnsi="Arial" w:cs="Arial"/>
        </w:rPr>
        <w:footnoteReference w:id="4"/>
      </w:r>
      <w:r w:rsidR="007E7695" w:rsidRPr="00B76F09">
        <w:rPr>
          <w:rFonts w:ascii="Arial" w:hAnsi="Arial" w:cs="Arial"/>
        </w:rPr>
        <w:t xml:space="preserve"> which were introduced </w:t>
      </w:r>
      <w:r w:rsidR="009A056E" w:rsidRPr="00B76F09">
        <w:rPr>
          <w:rFonts w:ascii="Arial" w:hAnsi="Arial" w:cs="Arial"/>
        </w:rPr>
        <w:t>through</w:t>
      </w:r>
      <w:r w:rsidR="007E7695" w:rsidRPr="00B76F09">
        <w:rPr>
          <w:rFonts w:ascii="Arial" w:hAnsi="Arial" w:cs="Arial"/>
        </w:rPr>
        <w:t xml:space="preserve"> the Sectional Titles Schemes Management Act</w:t>
      </w:r>
      <w:r w:rsidR="00AF3BAC" w:rsidRPr="00B76F09">
        <w:rPr>
          <w:rFonts w:ascii="Arial" w:hAnsi="Arial" w:cs="Arial"/>
        </w:rPr>
        <w:t xml:space="preserve"> 8 of 2011</w:t>
      </w:r>
      <w:r w:rsidR="009A056E" w:rsidRPr="00B76F09">
        <w:rPr>
          <w:rFonts w:ascii="Arial" w:hAnsi="Arial" w:cs="Arial"/>
        </w:rPr>
        <w:t xml:space="preserve"> (the STSM</w:t>
      </w:r>
      <w:r w:rsidR="002C4D6D" w:rsidRPr="00B76F09">
        <w:rPr>
          <w:rFonts w:ascii="Arial" w:hAnsi="Arial" w:cs="Arial"/>
        </w:rPr>
        <w:t xml:space="preserve"> </w:t>
      </w:r>
      <w:r w:rsidR="009A056E" w:rsidRPr="00B76F09">
        <w:rPr>
          <w:rFonts w:ascii="Arial" w:hAnsi="Arial" w:cs="Arial"/>
        </w:rPr>
        <w:t>A</w:t>
      </w:r>
      <w:r w:rsidR="002C4D6D" w:rsidRPr="00B76F09">
        <w:rPr>
          <w:rFonts w:ascii="Arial" w:hAnsi="Arial" w:cs="Arial"/>
        </w:rPr>
        <w:t>ct</w:t>
      </w:r>
      <w:r w:rsidR="009A056E" w:rsidRPr="00B76F09">
        <w:rPr>
          <w:rFonts w:ascii="Arial" w:hAnsi="Arial" w:cs="Arial"/>
        </w:rPr>
        <w:t>).</w:t>
      </w:r>
    </w:p>
    <w:p w14:paraId="2E1C8E75" w14:textId="77777777" w:rsidR="009A056E" w:rsidRPr="00B76F09" w:rsidRDefault="009A056E" w:rsidP="004D612D">
      <w:pPr>
        <w:tabs>
          <w:tab w:val="left" w:pos="709"/>
        </w:tabs>
        <w:spacing w:line="360" w:lineRule="auto"/>
        <w:jc w:val="both"/>
        <w:rPr>
          <w:rFonts w:ascii="Arial" w:hAnsi="Arial" w:cs="Arial"/>
        </w:rPr>
      </w:pPr>
    </w:p>
    <w:p w14:paraId="3377E729" w14:textId="18B1283F" w:rsidR="001F17D7" w:rsidRPr="00F32D8A" w:rsidRDefault="00F32D8A" w:rsidP="00F32D8A">
      <w:pPr>
        <w:tabs>
          <w:tab w:val="left" w:pos="709"/>
        </w:tabs>
        <w:spacing w:line="360" w:lineRule="auto"/>
        <w:jc w:val="both"/>
        <w:rPr>
          <w:rFonts w:ascii="Arial" w:hAnsi="Arial" w:cs="Arial"/>
        </w:rPr>
      </w:pPr>
      <w:r w:rsidRPr="00B76F09">
        <w:rPr>
          <w:rFonts w:ascii="Arial" w:hAnsi="Arial" w:cs="Arial"/>
        </w:rPr>
        <w:t>[5]</w:t>
      </w:r>
      <w:r w:rsidRPr="00B76F09">
        <w:rPr>
          <w:rFonts w:ascii="Arial" w:hAnsi="Arial" w:cs="Arial"/>
        </w:rPr>
        <w:tab/>
      </w:r>
      <w:r w:rsidR="00846E97" w:rsidRPr="00F32D8A">
        <w:rPr>
          <w:rFonts w:ascii="Arial" w:hAnsi="Arial" w:cs="Arial"/>
        </w:rPr>
        <w:t xml:space="preserve">The relief sought </w:t>
      </w:r>
      <w:r w:rsidR="004D612D" w:rsidRPr="00F32D8A">
        <w:rPr>
          <w:rFonts w:ascii="Arial" w:hAnsi="Arial" w:cs="Arial"/>
        </w:rPr>
        <w:t xml:space="preserve">by the appellant </w:t>
      </w:r>
      <w:r w:rsidR="00846E97" w:rsidRPr="00F32D8A">
        <w:rPr>
          <w:rFonts w:ascii="Arial" w:hAnsi="Arial" w:cs="Arial"/>
        </w:rPr>
        <w:t>was refused by the third respondent</w:t>
      </w:r>
      <w:r w:rsidR="004D612D" w:rsidRPr="00F32D8A">
        <w:rPr>
          <w:rFonts w:ascii="Arial" w:hAnsi="Arial" w:cs="Arial"/>
        </w:rPr>
        <w:t>. In delivering his</w:t>
      </w:r>
      <w:r w:rsidR="00FA04A2" w:rsidRPr="00F32D8A">
        <w:rPr>
          <w:rFonts w:ascii="Arial" w:hAnsi="Arial" w:cs="Arial"/>
        </w:rPr>
        <w:t xml:space="preserve"> </w:t>
      </w:r>
      <w:r w:rsidR="00E84D71" w:rsidRPr="00F32D8A">
        <w:rPr>
          <w:rFonts w:ascii="Arial" w:hAnsi="Arial" w:cs="Arial"/>
        </w:rPr>
        <w:t>order</w:t>
      </w:r>
      <w:r w:rsidR="004D612D" w:rsidRPr="00F32D8A">
        <w:rPr>
          <w:rFonts w:ascii="Arial" w:hAnsi="Arial" w:cs="Arial"/>
        </w:rPr>
        <w:t xml:space="preserve">, </w:t>
      </w:r>
      <w:r w:rsidR="00F54BA8" w:rsidRPr="00F32D8A">
        <w:rPr>
          <w:rFonts w:ascii="Arial" w:hAnsi="Arial" w:cs="Arial"/>
        </w:rPr>
        <w:t xml:space="preserve">about which I shall </w:t>
      </w:r>
      <w:r w:rsidR="004E100A" w:rsidRPr="00F32D8A">
        <w:rPr>
          <w:rFonts w:ascii="Arial" w:hAnsi="Arial" w:cs="Arial"/>
        </w:rPr>
        <w:t xml:space="preserve">have </w:t>
      </w:r>
      <w:r w:rsidR="00F54BA8" w:rsidRPr="00F32D8A">
        <w:rPr>
          <w:rFonts w:ascii="Arial" w:hAnsi="Arial" w:cs="Arial"/>
        </w:rPr>
        <w:t>more to say shortly,</w:t>
      </w:r>
      <w:r w:rsidR="004E100A" w:rsidRPr="00F32D8A">
        <w:rPr>
          <w:rFonts w:ascii="Arial" w:hAnsi="Arial" w:cs="Arial"/>
        </w:rPr>
        <w:t xml:space="preserve"> </w:t>
      </w:r>
      <w:r w:rsidR="004D612D" w:rsidRPr="00F32D8A">
        <w:rPr>
          <w:rFonts w:ascii="Arial" w:hAnsi="Arial" w:cs="Arial"/>
        </w:rPr>
        <w:t>the third respondent</w:t>
      </w:r>
      <w:r w:rsidR="00846E97" w:rsidRPr="00F32D8A">
        <w:rPr>
          <w:rFonts w:ascii="Arial" w:hAnsi="Arial" w:cs="Arial"/>
        </w:rPr>
        <w:t xml:space="preserve"> also </w:t>
      </w:r>
      <w:r w:rsidR="004D612D" w:rsidRPr="00F32D8A">
        <w:rPr>
          <w:rFonts w:ascii="Arial" w:hAnsi="Arial" w:cs="Arial"/>
        </w:rPr>
        <w:t xml:space="preserve">purported to </w:t>
      </w:r>
      <w:r w:rsidR="00CC7E13" w:rsidRPr="00F32D8A">
        <w:rPr>
          <w:rFonts w:ascii="Arial" w:hAnsi="Arial" w:cs="Arial"/>
        </w:rPr>
        <w:t>dismiss</w:t>
      </w:r>
      <w:r w:rsidR="00846E97" w:rsidRPr="00F32D8A">
        <w:rPr>
          <w:rFonts w:ascii="Arial" w:hAnsi="Arial" w:cs="Arial"/>
        </w:rPr>
        <w:t xml:space="preserve"> </w:t>
      </w:r>
      <w:r w:rsidR="00520030" w:rsidRPr="00F32D8A">
        <w:rPr>
          <w:rFonts w:ascii="Arial" w:hAnsi="Arial" w:cs="Arial"/>
        </w:rPr>
        <w:t>an</w:t>
      </w:r>
      <w:r w:rsidR="00CC7E13" w:rsidRPr="00F32D8A">
        <w:rPr>
          <w:rFonts w:ascii="Arial" w:hAnsi="Arial" w:cs="Arial"/>
        </w:rPr>
        <w:t xml:space="preserve"> application </w:t>
      </w:r>
      <w:r w:rsidR="00E84D71" w:rsidRPr="00F32D8A">
        <w:rPr>
          <w:rFonts w:ascii="Arial" w:hAnsi="Arial" w:cs="Arial"/>
        </w:rPr>
        <w:t xml:space="preserve">by the appellant </w:t>
      </w:r>
      <w:r w:rsidR="00CC7E13" w:rsidRPr="00F32D8A">
        <w:rPr>
          <w:rFonts w:ascii="Arial" w:hAnsi="Arial" w:cs="Arial"/>
        </w:rPr>
        <w:t>in terms of section 9 of the Constitution of the Republic of South Africa</w:t>
      </w:r>
      <w:r w:rsidR="00214E99" w:rsidRPr="00F32D8A">
        <w:rPr>
          <w:rFonts w:ascii="Arial" w:hAnsi="Arial" w:cs="Arial"/>
        </w:rPr>
        <w:t>,</w:t>
      </w:r>
      <w:r w:rsidR="003F6BFA" w:rsidRPr="00F32D8A">
        <w:rPr>
          <w:rFonts w:ascii="Arial" w:hAnsi="Arial" w:cs="Arial"/>
        </w:rPr>
        <w:t>1996</w:t>
      </w:r>
      <w:r w:rsidR="00C96AAF" w:rsidRPr="00F32D8A">
        <w:rPr>
          <w:rFonts w:ascii="Arial" w:hAnsi="Arial" w:cs="Arial"/>
        </w:rPr>
        <w:t xml:space="preserve"> (the Constitution)</w:t>
      </w:r>
      <w:r w:rsidR="005B0DBD" w:rsidRPr="00F32D8A">
        <w:rPr>
          <w:rFonts w:ascii="Arial" w:hAnsi="Arial" w:cs="Arial"/>
        </w:rPr>
        <w:t>.</w:t>
      </w:r>
      <w:r w:rsidR="004D612D" w:rsidRPr="00F32D8A">
        <w:rPr>
          <w:rFonts w:ascii="Arial" w:hAnsi="Arial" w:cs="Arial"/>
        </w:rPr>
        <w:t xml:space="preserve"> </w:t>
      </w:r>
      <w:r w:rsidR="00520030" w:rsidRPr="00F32D8A">
        <w:rPr>
          <w:rFonts w:ascii="Arial" w:hAnsi="Arial" w:cs="Arial"/>
        </w:rPr>
        <w:t xml:space="preserve">It is not clear </w:t>
      </w:r>
      <w:r w:rsidR="004D612D" w:rsidRPr="00F32D8A">
        <w:rPr>
          <w:rFonts w:ascii="Arial" w:hAnsi="Arial" w:cs="Arial"/>
        </w:rPr>
        <w:t xml:space="preserve">what application that was, as it was not an order that the appellant </w:t>
      </w:r>
      <w:r w:rsidR="00885745" w:rsidRPr="00F32D8A">
        <w:rPr>
          <w:rFonts w:ascii="Arial" w:hAnsi="Arial" w:cs="Arial"/>
        </w:rPr>
        <w:t>had</w:t>
      </w:r>
      <w:r w:rsidR="00F54536" w:rsidRPr="00F32D8A">
        <w:rPr>
          <w:rFonts w:ascii="Arial" w:hAnsi="Arial" w:cs="Arial"/>
        </w:rPr>
        <w:t>,</w:t>
      </w:r>
      <w:r w:rsidR="00885745" w:rsidRPr="00F32D8A">
        <w:rPr>
          <w:rFonts w:ascii="Arial" w:hAnsi="Arial" w:cs="Arial"/>
        </w:rPr>
        <w:t xml:space="preserve"> in fact</w:t>
      </w:r>
      <w:r w:rsidR="00F54536" w:rsidRPr="00F32D8A">
        <w:rPr>
          <w:rFonts w:ascii="Arial" w:hAnsi="Arial" w:cs="Arial"/>
        </w:rPr>
        <w:t>,</w:t>
      </w:r>
      <w:r w:rsidR="00885745" w:rsidRPr="00F32D8A">
        <w:rPr>
          <w:rFonts w:ascii="Arial" w:hAnsi="Arial" w:cs="Arial"/>
        </w:rPr>
        <w:t xml:space="preserve"> </w:t>
      </w:r>
      <w:r w:rsidR="004D612D" w:rsidRPr="00F32D8A">
        <w:rPr>
          <w:rFonts w:ascii="Arial" w:hAnsi="Arial" w:cs="Arial"/>
        </w:rPr>
        <w:t>sought</w:t>
      </w:r>
      <w:r w:rsidR="00A16C7A" w:rsidRPr="00F32D8A">
        <w:rPr>
          <w:rFonts w:ascii="Arial" w:hAnsi="Arial" w:cs="Arial"/>
        </w:rPr>
        <w:t xml:space="preserve"> in the form</w:t>
      </w:r>
      <w:r w:rsidR="004D612D" w:rsidRPr="00F32D8A">
        <w:rPr>
          <w:rFonts w:ascii="Arial" w:hAnsi="Arial" w:cs="Arial"/>
        </w:rPr>
        <w:t>.</w:t>
      </w:r>
      <w:r w:rsidR="0009679E" w:rsidRPr="00F32D8A">
        <w:rPr>
          <w:rFonts w:ascii="Arial" w:hAnsi="Arial" w:cs="Arial"/>
        </w:rPr>
        <w:t xml:space="preserve"> </w:t>
      </w:r>
      <w:r w:rsidR="00C6640A" w:rsidRPr="00F32D8A">
        <w:rPr>
          <w:rFonts w:ascii="Arial" w:hAnsi="Arial" w:cs="Arial"/>
        </w:rPr>
        <w:t xml:space="preserve">The refusal of the relief claimed by the appellant by the third respondent </w:t>
      </w:r>
      <w:r w:rsidR="00C96AAF" w:rsidRPr="00F32D8A">
        <w:rPr>
          <w:rFonts w:ascii="Arial" w:hAnsi="Arial" w:cs="Arial"/>
        </w:rPr>
        <w:t>led to</w:t>
      </w:r>
      <w:r w:rsidR="00C6640A" w:rsidRPr="00F32D8A">
        <w:rPr>
          <w:rFonts w:ascii="Arial" w:hAnsi="Arial" w:cs="Arial"/>
        </w:rPr>
        <w:t xml:space="preserve"> this appeal.</w:t>
      </w:r>
    </w:p>
    <w:p w14:paraId="11CE1FAF" w14:textId="77777777" w:rsidR="00C6640A" w:rsidRPr="00B76F09" w:rsidRDefault="00C6640A" w:rsidP="00B921E5">
      <w:pPr>
        <w:pStyle w:val="ListParagraph"/>
        <w:tabs>
          <w:tab w:val="left" w:pos="709"/>
        </w:tabs>
        <w:spacing w:line="360" w:lineRule="auto"/>
        <w:ind w:left="0"/>
        <w:jc w:val="both"/>
        <w:rPr>
          <w:rFonts w:ascii="Arial" w:hAnsi="Arial" w:cs="Arial"/>
        </w:rPr>
      </w:pPr>
    </w:p>
    <w:p w14:paraId="39664946" w14:textId="5A3C8C2B" w:rsidR="006163C1" w:rsidRPr="00F32D8A" w:rsidRDefault="00F32D8A" w:rsidP="00F32D8A">
      <w:pPr>
        <w:tabs>
          <w:tab w:val="left" w:pos="709"/>
        </w:tabs>
        <w:spacing w:line="360" w:lineRule="auto"/>
        <w:jc w:val="both"/>
        <w:rPr>
          <w:rFonts w:ascii="Arial" w:hAnsi="Arial" w:cs="Arial"/>
        </w:rPr>
      </w:pPr>
      <w:r w:rsidRPr="00B76F09">
        <w:rPr>
          <w:rFonts w:ascii="Arial" w:hAnsi="Arial" w:cs="Arial"/>
        </w:rPr>
        <w:t>[6]</w:t>
      </w:r>
      <w:r w:rsidRPr="00B76F09">
        <w:rPr>
          <w:rFonts w:ascii="Arial" w:hAnsi="Arial" w:cs="Arial"/>
        </w:rPr>
        <w:tab/>
      </w:r>
      <w:r w:rsidR="006163C1" w:rsidRPr="00F32D8A">
        <w:rPr>
          <w:rFonts w:ascii="Arial" w:hAnsi="Arial" w:cs="Arial"/>
        </w:rPr>
        <w:t xml:space="preserve">Before the third respondent, </w:t>
      </w:r>
      <w:r w:rsidR="00384955" w:rsidRPr="00F32D8A">
        <w:rPr>
          <w:rFonts w:ascii="Arial" w:hAnsi="Arial" w:cs="Arial"/>
        </w:rPr>
        <w:t xml:space="preserve">in addition to generally denying the appellant’s entitlement to the relief claimed, </w:t>
      </w:r>
      <w:r w:rsidR="006163C1" w:rsidRPr="00F32D8A">
        <w:rPr>
          <w:rFonts w:ascii="Arial" w:hAnsi="Arial" w:cs="Arial"/>
        </w:rPr>
        <w:t>t</w:t>
      </w:r>
      <w:r w:rsidR="003B6DE9" w:rsidRPr="00F32D8A">
        <w:rPr>
          <w:rFonts w:ascii="Arial" w:hAnsi="Arial" w:cs="Arial"/>
        </w:rPr>
        <w:t>he first and second respondents raised the defence that the matter was res judic</w:t>
      </w:r>
      <w:r w:rsidR="00FC6A1D" w:rsidRPr="00F32D8A">
        <w:rPr>
          <w:rFonts w:ascii="Arial" w:hAnsi="Arial" w:cs="Arial"/>
        </w:rPr>
        <w:t xml:space="preserve">ata. </w:t>
      </w:r>
      <w:r w:rsidR="00945B82" w:rsidRPr="00F32D8A">
        <w:rPr>
          <w:rFonts w:ascii="Arial" w:hAnsi="Arial" w:cs="Arial"/>
        </w:rPr>
        <w:t>This was based upon a</w:t>
      </w:r>
      <w:r w:rsidR="005D0412" w:rsidRPr="00F32D8A">
        <w:rPr>
          <w:rFonts w:ascii="Arial" w:hAnsi="Arial" w:cs="Arial"/>
        </w:rPr>
        <w:t>n</w:t>
      </w:r>
      <w:r w:rsidR="00945B82" w:rsidRPr="00F32D8A">
        <w:rPr>
          <w:rFonts w:ascii="Arial" w:hAnsi="Arial" w:cs="Arial"/>
        </w:rPr>
        <w:t xml:space="preserve"> </w:t>
      </w:r>
      <w:r w:rsidR="005D0412" w:rsidRPr="00F32D8A">
        <w:rPr>
          <w:rFonts w:ascii="Arial" w:hAnsi="Arial" w:cs="Arial"/>
        </w:rPr>
        <w:t>earlier</w:t>
      </w:r>
      <w:r w:rsidR="00945B82" w:rsidRPr="00F32D8A">
        <w:rPr>
          <w:rFonts w:ascii="Arial" w:hAnsi="Arial" w:cs="Arial"/>
        </w:rPr>
        <w:t xml:space="preserve"> application </w:t>
      </w:r>
      <w:r w:rsidR="0062436C" w:rsidRPr="00F32D8A">
        <w:rPr>
          <w:rFonts w:ascii="Arial" w:hAnsi="Arial" w:cs="Arial"/>
        </w:rPr>
        <w:t xml:space="preserve">(the prior application) </w:t>
      </w:r>
      <w:r w:rsidR="00945B82" w:rsidRPr="00F32D8A">
        <w:rPr>
          <w:rFonts w:ascii="Arial" w:hAnsi="Arial" w:cs="Arial"/>
        </w:rPr>
        <w:t>that had been argued before Masipa J</w:t>
      </w:r>
      <w:r w:rsidR="00A52AAA" w:rsidRPr="00F32D8A">
        <w:rPr>
          <w:rFonts w:ascii="Arial" w:hAnsi="Arial" w:cs="Arial"/>
        </w:rPr>
        <w:t xml:space="preserve"> in the</w:t>
      </w:r>
      <w:r w:rsidR="00945B82" w:rsidRPr="00F32D8A">
        <w:rPr>
          <w:rFonts w:ascii="Arial" w:hAnsi="Arial" w:cs="Arial"/>
        </w:rPr>
        <w:t xml:space="preserve"> matter</w:t>
      </w:r>
      <w:r w:rsidR="00A52AAA" w:rsidRPr="00F32D8A">
        <w:rPr>
          <w:rFonts w:ascii="Arial" w:hAnsi="Arial" w:cs="Arial"/>
        </w:rPr>
        <w:t xml:space="preserve"> of</w:t>
      </w:r>
      <w:r w:rsidR="00945B82" w:rsidRPr="00F32D8A">
        <w:rPr>
          <w:rFonts w:ascii="Arial" w:hAnsi="Arial" w:cs="Arial"/>
        </w:rPr>
        <w:t xml:space="preserve"> </w:t>
      </w:r>
      <w:r w:rsidR="00945B82" w:rsidRPr="00F32D8A">
        <w:rPr>
          <w:rFonts w:ascii="Arial" w:hAnsi="Arial" w:cs="Arial"/>
          <w:i/>
          <w:iCs/>
        </w:rPr>
        <w:t>Central Plaza Investments 85 (Pty) Ltd v Body Corpo</w:t>
      </w:r>
      <w:r w:rsidR="00C32CF7" w:rsidRPr="00F32D8A">
        <w:rPr>
          <w:rFonts w:ascii="Arial" w:hAnsi="Arial" w:cs="Arial"/>
          <w:i/>
          <w:iCs/>
        </w:rPr>
        <w:t>r</w:t>
      </w:r>
      <w:r w:rsidR="00945B82" w:rsidRPr="00F32D8A">
        <w:rPr>
          <w:rFonts w:ascii="Arial" w:hAnsi="Arial" w:cs="Arial"/>
          <w:i/>
          <w:iCs/>
        </w:rPr>
        <w:t>ate Mangrove Beach Centre</w:t>
      </w:r>
      <w:r w:rsidR="0062436C" w:rsidRPr="00F32D8A">
        <w:rPr>
          <w:rFonts w:ascii="Arial" w:hAnsi="Arial" w:cs="Arial"/>
          <w:i/>
          <w:iCs/>
        </w:rPr>
        <w:t>.</w:t>
      </w:r>
      <w:r w:rsidR="00C32CF7" w:rsidRPr="00B76F09">
        <w:rPr>
          <w:rStyle w:val="FootnoteReference"/>
          <w:rFonts w:ascii="Arial" w:hAnsi="Arial" w:cs="Arial"/>
        </w:rPr>
        <w:footnoteReference w:id="5"/>
      </w:r>
      <w:r w:rsidR="00C32CF7" w:rsidRPr="00F32D8A">
        <w:rPr>
          <w:rFonts w:ascii="Arial" w:hAnsi="Arial" w:cs="Arial"/>
        </w:rPr>
        <w:t xml:space="preserve"> </w:t>
      </w:r>
      <w:r w:rsidR="003B6DE9" w:rsidRPr="00F32D8A">
        <w:rPr>
          <w:rFonts w:ascii="Arial" w:hAnsi="Arial" w:cs="Arial"/>
        </w:rPr>
        <w:t xml:space="preserve">The first and second respondents </w:t>
      </w:r>
      <w:r w:rsidR="00A52AAA" w:rsidRPr="00F32D8A">
        <w:rPr>
          <w:rFonts w:ascii="Arial" w:hAnsi="Arial" w:cs="Arial"/>
        </w:rPr>
        <w:t>submitted to the third respondent that Masipa J</w:t>
      </w:r>
      <w:r w:rsidR="00FC6A1D" w:rsidRPr="00F32D8A">
        <w:rPr>
          <w:rFonts w:ascii="Arial" w:hAnsi="Arial" w:cs="Arial"/>
        </w:rPr>
        <w:t xml:space="preserve"> had authoritatively </w:t>
      </w:r>
      <w:r w:rsidR="005D0412" w:rsidRPr="00F32D8A">
        <w:rPr>
          <w:rFonts w:ascii="Arial" w:hAnsi="Arial" w:cs="Arial"/>
        </w:rPr>
        <w:t xml:space="preserve">and finally </w:t>
      </w:r>
      <w:r w:rsidR="00FC6A1D" w:rsidRPr="00F32D8A">
        <w:rPr>
          <w:rFonts w:ascii="Arial" w:hAnsi="Arial" w:cs="Arial"/>
        </w:rPr>
        <w:t>determined th</w:t>
      </w:r>
      <w:r w:rsidR="004C5CC6" w:rsidRPr="00F32D8A">
        <w:rPr>
          <w:rFonts w:ascii="Arial" w:hAnsi="Arial" w:cs="Arial"/>
        </w:rPr>
        <w:t>e very</w:t>
      </w:r>
      <w:r w:rsidR="00FC6A1D" w:rsidRPr="00F32D8A">
        <w:rPr>
          <w:rFonts w:ascii="Arial" w:hAnsi="Arial" w:cs="Arial"/>
        </w:rPr>
        <w:t xml:space="preserve"> issue that the appellant requested the third respondent to </w:t>
      </w:r>
      <w:r w:rsidR="004C5CC6" w:rsidRPr="00F32D8A">
        <w:rPr>
          <w:rFonts w:ascii="Arial" w:hAnsi="Arial" w:cs="Arial"/>
        </w:rPr>
        <w:t>determine</w:t>
      </w:r>
      <w:r w:rsidR="00FC6A1D" w:rsidRPr="00F32D8A">
        <w:rPr>
          <w:rFonts w:ascii="Arial" w:hAnsi="Arial" w:cs="Arial"/>
        </w:rPr>
        <w:t xml:space="preserve">. </w:t>
      </w:r>
    </w:p>
    <w:p w14:paraId="2415D5AD" w14:textId="77777777" w:rsidR="006163C1" w:rsidRPr="00B76F09" w:rsidRDefault="006163C1" w:rsidP="00CB3C51">
      <w:pPr>
        <w:pStyle w:val="ListParagraph"/>
        <w:spacing w:line="360" w:lineRule="auto"/>
        <w:rPr>
          <w:rFonts w:ascii="Arial" w:hAnsi="Arial" w:cs="Arial"/>
        </w:rPr>
      </w:pPr>
    </w:p>
    <w:p w14:paraId="698EA377" w14:textId="716E37F4" w:rsidR="003B6DE9" w:rsidRPr="00F32D8A" w:rsidRDefault="00F32D8A" w:rsidP="00F32D8A">
      <w:pPr>
        <w:tabs>
          <w:tab w:val="left" w:pos="709"/>
        </w:tabs>
        <w:spacing w:line="360" w:lineRule="auto"/>
        <w:jc w:val="both"/>
        <w:rPr>
          <w:rFonts w:ascii="Arial" w:hAnsi="Arial" w:cs="Arial"/>
        </w:rPr>
      </w:pPr>
      <w:r w:rsidRPr="00B76F09">
        <w:rPr>
          <w:rFonts w:ascii="Arial" w:hAnsi="Arial" w:cs="Arial"/>
        </w:rPr>
        <w:t>[7]</w:t>
      </w:r>
      <w:r w:rsidRPr="00B76F09">
        <w:rPr>
          <w:rFonts w:ascii="Arial" w:hAnsi="Arial" w:cs="Arial"/>
        </w:rPr>
        <w:tab/>
      </w:r>
      <w:r w:rsidR="006163C1" w:rsidRPr="00F32D8A">
        <w:rPr>
          <w:rFonts w:ascii="Arial" w:hAnsi="Arial" w:cs="Arial"/>
        </w:rPr>
        <w:t xml:space="preserve">This argument found favour with the third respondent. </w:t>
      </w:r>
      <w:r w:rsidR="00FC6A1D" w:rsidRPr="00F32D8A">
        <w:rPr>
          <w:rFonts w:ascii="Arial" w:hAnsi="Arial" w:cs="Arial"/>
        </w:rPr>
        <w:t xml:space="preserve">In </w:t>
      </w:r>
      <w:r w:rsidR="00B921E5" w:rsidRPr="00F32D8A">
        <w:rPr>
          <w:rFonts w:ascii="Arial" w:hAnsi="Arial" w:cs="Arial"/>
        </w:rPr>
        <w:t>the</w:t>
      </w:r>
      <w:r w:rsidR="00FC6A1D" w:rsidRPr="00F32D8A">
        <w:rPr>
          <w:rFonts w:ascii="Arial" w:hAnsi="Arial" w:cs="Arial"/>
        </w:rPr>
        <w:t xml:space="preserve"> reasons</w:t>
      </w:r>
      <w:r w:rsidR="00B921E5" w:rsidRPr="00F32D8A">
        <w:rPr>
          <w:rFonts w:ascii="Arial" w:hAnsi="Arial" w:cs="Arial"/>
        </w:rPr>
        <w:t xml:space="preserve"> for his order</w:t>
      </w:r>
      <w:r w:rsidR="00FC6A1D" w:rsidRPr="00F32D8A">
        <w:rPr>
          <w:rFonts w:ascii="Arial" w:hAnsi="Arial" w:cs="Arial"/>
        </w:rPr>
        <w:t xml:space="preserve">, the third respondent </w:t>
      </w:r>
      <w:r w:rsidR="00B921E5" w:rsidRPr="00F32D8A">
        <w:rPr>
          <w:rFonts w:ascii="Arial" w:hAnsi="Arial" w:cs="Arial"/>
        </w:rPr>
        <w:t>stated</w:t>
      </w:r>
      <w:r w:rsidR="00FC6A1D" w:rsidRPr="00F32D8A">
        <w:rPr>
          <w:rFonts w:ascii="Arial" w:hAnsi="Arial" w:cs="Arial"/>
        </w:rPr>
        <w:t xml:space="preserve"> as follows:</w:t>
      </w:r>
      <w:r w:rsidR="003B6DE9" w:rsidRPr="00F32D8A">
        <w:rPr>
          <w:rFonts w:ascii="Arial" w:hAnsi="Arial" w:cs="Arial"/>
        </w:rPr>
        <w:t xml:space="preserve"> </w:t>
      </w:r>
    </w:p>
    <w:p w14:paraId="114131F2" w14:textId="4F6D37D6" w:rsidR="00381713" w:rsidRDefault="00381713" w:rsidP="00CB3C51">
      <w:pPr>
        <w:pStyle w:val="ListParagraph"/>
        <w:tabs>
          <w:tab w:val="left" w:pos="709"/>
        </w:tabs>
        <w:spacing w:line="360" w:lineRule="auto"/>
        <w:ind w:left="0"/>
        <w:jc w:val="both"/>
        <w:rPr>
          <w:rFonts w:ascii="Arial" w:hAnsi="Arial" w:cs="Arial"/>
          <w:sz w:val="22"/>
          <w:szCs w:val="22"/>
        </w:rPr>
      </w:pPr>
      <w:r w:rsidRPr="00B76F09">
        <w:rPr>
          <w:rFonts w:ascii="Arial" w:hAnsi="Arial" w:cs="Arial"/>
          <w:sz w:val="22"/>
          <w:szCs w:val="22"/>
        </w:rPr>
        <w:lastRenderedPageBreak/>
        <w:t xml:space="preserve">‘I am </w:t>
      </w:r>
      <w:r w:rsidR="00052594" w:rsidRPr="00B76F09">
        <w:rPr>
          <w:rFonts w:ascii="Arial" w:hAnsi="Arial" w:cs="Arial"/>
          <w:sz w:val="22"/>
          <w:szCs w:val="22"/>
        </w:rPr>
        <w:t xml:space="preserve">therefore of the view that the Applicant’s application in terms of sections 39(3)(c) and(d)(i) [sic] is hereby refused. In fact, the issues </w:t>
      </w:r>
      <w:r w:rsidR="002D0967" w:rsidRPr="00B76F09">
        <w:rPr>
          <w:rFonts w:ascii="Arial" w:hAnsi="Arial" w:cs="Arial"/>
          <w:sz w:val="22"/>
          <w:szCs w:val="22"/>
        </w:rPr>
        <w:t>concerning section 10(2) of the STSMA, and the validity of the Rules has been dealt [sic] at length in the court judgment. The matter in so far as is concern [sic] is Res judicata [sic].’</w:t>
      </w:r>
      <w:r w:rsidR="008F491D" w:rsidRPr="00B76F09">
        <w:rPr>
          <w:rFonts w:ascii="Arial" w:hAnsi="Arial" w:cs="Arial"/>
          <w:sz w:val="22"/>
          <w:szCs w:val="22"/>
        </w:rPr>
        <w:t xml:space="preserve"> </w:t>
      </w:r>
    </w:p>
    <w:p w14:paraId="2C03E1B6" w14:textId="77777777" w:rsidR="00B06E6C" w:rsidRPr="00B06E6C" w:rsidRDefault="00B06E6C" w:rsidP="00CB3C51">
      <w:pPr>
        <w:pStyle w:val="ListParagraph"/>
        <w:tabs>
          <w:tab w:val="left" w:pos="709"/>
        </w:tabs>
        <w:spacing w:line="360" w:lineRule="auto"/>
        <w:ind w:left="0"/>
        <w:jc w:val="both"/>
        <w:rPr>
          <w:rFonts w:ascii="Arial" w:hAnsi="Arial" w:cs="Arial"/>
        </w:rPr>
      </w:pPr>
    </w:p>
    <w:p w14:paraId="6FBD2639" w14:textId="05D4675A" w:rsidR="00D57A87" w:rsidRPr="00F32D8A" w:rsidRDefault="00F32D8A" w:rsidP="00F32D8A">
      <w:pPr>
        <w:tabs>
          <w:tab w:val="left" w:pos="709"/>
        </w:tabs>
        <w:spacing w:line="360" w:lineRule="auto"/>
        <w:jc w:val="both"/>
        <w:rPr>
          <w:rFonts w:ascii="Arial" w:hAnsi="Arial" w:cs="Arial"/>
        </w:rPr>
      </w:pPr>
      <w:r w:rsidRPr="00B76F09">
        <w:rPr>
          <w:rFonts w:ascii="Arial" w:hAnsi="Arial" w:cs="Arial"/>
        </w:rPr>
        <w:t>[8]</w:t>
      </w:r>
      <w:r w:rsidRPr="00B76F09">
        <w:rPr>
          <w:rFonts w:ascii="Arial" w:hAnsi="Arial" w:cs="Arial"/>
        </w:rPr>
        <w:tab/>
      </w:r>
      <w:r w:rsidR="00FC6A1D" w:rsidRPr="00F32D8A">
        <w:rPr>
          <w:rFonts w:ascii="Arial" w:hAnsi="Arial" w:cs="Arial"/>
        </w:rPr>
        <w:t xml:space="preserve">In my view, the </w:t>
      </w:r>
      <w:r w:rsidR="00B921E5" w:rsidRPr="00F32D8A">
        <w:rPr>
          <w:rFonts w:ascii="Arial" w:hAnsi="Arial" w:cs="Arial"/>
        </w:rPr>
        <w:t xml:space="preserve">finding by the third respondent on the issue of res judicata was </w:t>
      </w:r>
    </w:p>
    <w:p w14:paraId="2F501AE4" w14:textId="5958E873" w:rsidR="00485F73" w:rsidRPr="00B76F09" w:rsidRDefault="00B921E5" w:rsidP="00D57A87">
      <w:pPr>
        <w:pStyle w:val="ListParagraph"/>
        <w:tabs>
          <w:tab w:val="left" w:pos="709"/>
        </w:tabs>
        <w:spacing w:line="360" w:lineRule="auto"/>
        <w:ind w:left="0"/>
        <w:jc w:val="both"/>
        <w:rPr>
          <w:rFonts w:ascii="Arial" w:hAnsi="Arial" w:cs="Arial"/>
        </w:rPr>
      </w:pPr>
      <w:r w:rsidRPr="00B76F09">
        <w:rPr>
          <w:rFonts w:ascii="Arial" w:hAnsi="Arial" w:cs="Arial"/>
        </w:rPr>
        <w:t>plainly wrong</w:t>
      </w:r>
      <w:r w:rsidR="000048E4" w:rsidRPr="00B76F09">
        <w:rPr>
          <w:rFonts w:ascii="Arial" w:hAnsi="Arial" w:cs="Arial"/>
        </w:rPr>
        <w:t>. In determining the issue</w:t>
      </w:r>
      <w:r w:rsidR="00CB3C51" w:rsidRPr="00B76F09">
        <w:rPr>
          <w:rFonts w:ascii="Arial" w:hAnsi="Arial" w:cs="Arial"/>
        </w:rPr>
        <w:t xml:space="preserve"> as he did</w:t>
      </w:r>
      <w:r w:rsidR="000048E4" w:rsidRPr="00B76F09">
        <w:rPr>
          <w:rFonts w:ascii="Arial" w:hAnsi="Arial" w:cs="Arial"/>
        </w:rPr>
        <w:t>,</w:t>
      </w:r>
      <w:r w:rsidR="006C2B88" w:rsidRPr="00B76F09">
        <w:rPr>
          <w:rFonts w:ascii="Arial" w:hAnsi="Arial" w:cs="Arial"/>
        </w:rPr>
        <w:t xml:space="preserve"> the</w:t>
      </w:r>
      <w:r w:rsidR="000048E4" w:rsidRPr="00B76F09">
        <w:rPr>
          <w:rFonts w:ascii="Arial" w:hAnsi="Arial" w:cs="Arial"/>
        </w:rPr>
        <w:t xml:space="preserve"> </w:t>
      </w:r>
      <w:r w:rsidR="00FC6A1D" w:rsidRPr="00B76F09">
        <w:rPr>
          <w:rFonts w:ascii="Arial" w:hAnsi="Arial" w:cs="Arial"/>
        </w:rPr>
        <w:t xml:space="preserve">third respondent </w:t>
      </w:r>
      <w:r w:rsidR="00E3059D" w:rsidRPr="00B76F09">
        <w:rPr>
          <w:rFonts w:ascii="Arial" w:hAnsi="Arial" w:cs="Arial"/>
        </w:rPr>
        <w:t>erred</w:t>
      </w:r>
      <w:r w:rsidR="0062272A" w:rsidRPr="00B76F09">
        <w:rPr>
          <w:rFonts w:ascii="Arial" w:hAnsi="Arial" w:cs="Arial"/>
        </w:rPr>
        <w:t xml:space="preserve"> in the following respects</w:t>
      </w:r>
      <w:r w:rsidR="00485F73" w:rsidRPr="00B76F09">
        <w:rPr>
          <w:rFonts w:ascii="Arial" w:hAnsi="Arial" w:cs="Arial"/>
        </w:rPr>
        <w:t>:</w:t>
      </w:r>
      <w:r w:rsidR="00FC6A1D" w:rsidRPr="00B76F09">
        <w:rPr>
          <w:rFonts w:ascii="Arial" w:hAnsi="Arial" w:cs="Arial"/>
        </w:rPr>
        <w:t xml:space="preserve"> </w:t>
      </w:r>
    </w:p>
    <w:p w14:paraId="70233735" w14:textId="72227942" w:rsidR="00485F73" w:rsidRPr="00F32D8A" w:rsidRDefault="00F32D8A" w:rsidP="00F32D8A">
      <w:pPr>
        <w:tabs>
          <w:tab w:val="left" w:pos="709"/>
        </w:tabs>
        <w:spacing w:line="360" w:lineRule="auto"/>
        <w:jc w:val="both"/>
        <w:rPr>
          <w:rFonts w:ascii="Arial" w:hAnsi="Arial" w:cs="Arial"/>
        </w:rPr>
      </w:pPr>
      <w:r w:rsidRPr="00B76F09">
        <w:rPr>
          <w:rFonts w:ascii="Arial" w:hAnsi="Arial" w:cs="Arial"/>
          <w:i/>
        </w:rPr>
        <w:t>(a)</w:t>
      </w:r>
      <w:r w:rsidRPr="00B76F09">
        <w:rPr>
          <w:rFonts w:ascii="Arial" w:hAnsi="Arial" w:cs="Arial"/>
          <w:i/>
        </w:rPr>
        <w:tab/>
      </w:r>
      <w:r w:rsidR="00FC6A1D" w:rsidRPr="00F32D8A">
        <w:rPr>
          <w:rFonts w:ascii="Arial" w:hAnsi="Arial" w:cs="Arial"/>
        </w:rPr>
        <w:t xml:space="preserve">Firstly, he did not identify or consider </w:t>
      </w:r>
      <w:r w:rsidR="00485F73" w:rsidRPr="00F32D8A">
        <w:rPr>
          <w:rFonts w:ascii="Arial" w:hAnsi="Arial" w:cs="Arial"/>
        </w:rPr>
        <w:t xml:space="preserve">the </w:t>
      </w:r>
      <w:r w:rsidR="0062272A" w:rsidRPr="00F32D8A">
        <w:rPr>
          <w:rFonts w:ascii="Arial" w:hAnsi="Arial" w:cs="Arial"/>
        </w:rPr>
        <w:t>constituent</w:t>
      </w:r>
      <w:r w:rsidR="00FC6A1D" w:rsidRPr="00F32D8A">
        <w:rPr>
          <w:rFonts w:ascii="Arial" w:hAnsi="Arial" w:cs="Arial"/>
        </w:rPr>
        <w:t xml:space="preserve"> parts of such a defence.</w:t>
      </w:r>
      <w:r w:rsidR="00FC6A1D" w:rsidRPr="00B76F09">
        <w:rPr>
          <w:rStyle w:val="FootnoteReference"/>
          <w:rFonts w:ascii="Arial" w:hAnsi="Arial" w:cs="Arial"/>
        </w:rPr>
        <w:footnoteReference w:id="6"/>
      </w:r>
      <w:r w:rsidR="00FC6A1D" w:rsidRPr="00F32D8A">
        <w:rPr>
          <w:rFonts w:ascii="Arial" w:hAnsi="Arial" w:cs="Arial"/>
        </w:rPr>
        <w:t xml:space="preserve"> H</w:t>
      </w:r>
      <w:r w:rsidR="00485F73" w:rsidRPr="00F32D8A">
        <w:rPr>
          <w:rFonts w:ascii="Arial" w:hAnsi="Arial" w:cs="Arial"/>
        </w:rPr>
        <w:t>ad he done so</w:t>
      </w:r>
      <w:r w:rsidR="000F4746" w:rsidRPr="00F32D8A">
        <w:rPr>
          <w:rFonts w:ascii="Arial" w:hAnsi="Arial" w:cs="Arial"/>
        </w:rPr>
        <w:t xml:space="preserve"> with any thoroughness</w:t>
      </w:r>
      <w:r w:rsidR="00485F73" w:rsidRPr="00F32D8A">
        <w:rPr>
          <w:rFonts w:ascii="Arial" w:hAnsi="Arial" w:cs="Arial"/>
        </w:rPr>
        <w:t xml:space="preserve">, he would have realised </w:t>
      </w:r>
      <w:r w:rsidR="000F4746" w:rsidRPr="00F32D8A">
        <w:rPr>
          <w:rFonts w:ascii="Arial" w:hAnsi="Arial" w:cs="Arial"/>
        </w:rPr>
        <w:t>his error</w:t>
      </w:r>
      <w:r w:rsidR="00485F73" w:rsidRPr="00F32D8A">
        <w:rPr>
          <w:rFonts w:ascii="Arial" w:hAnsi="Arial" w:cs="Arial"/>
        </w:rPr>
        <w:t xml:space="preserve">. The </w:t>
      </w:r>
      <w:r w:rsidR="00094B82" w:rsidRPr="00F32D8A">
        <w:rPr>
          <w:rFonts w:ascii="Arial" w:hAnsi="Arial" w:cs="Arial"/>
        </w:rPr>
        <w:t>third respondent found that</w:t>
      </w:r>
      <w:r w:rsidR="00643524" w:rsidRPr="00F32D8A">
        <w:rPr>
          <w:rFonts w:ascii="Arial" w:hAnsi="Arial" w:cs="Arial"/>
        </w:rPr>
        <w:t xml:space="preserve"> the appellant </w:t>
      </w:r>
      <w:r w:rsidR="006E315C" w:rsidRPr="00F32D8A">
        <w:rPr>
          <w:rFonts w:ascii="Arial" w:hAnsi="Arial" w:cs="Arial"/>
        </w:rPr>
        <w:t>was the ‘owner’ of</w:t>
      </w:r>
      <w:r w:rsidR="00094B82" w:rsidRPr="00F32D8A">
        <w:rPr>
          <w:rFonts w:ascii="Arial" w:hAnsi="Arial" w:cs="Arial"/>
        </w:rPr>
        <w:t xml:space="preserve"> </w:t>
      </w:r>
      <w:r w:rsidR="006E315C" w:rsidRPr="00F32D8A">
        <w:rPr>
          <w:rFonts w:ascii="Arial" w:hAnsi="Arial" w:cs="Arial"/>
          <w:iCs/>
        </w:rPr>
        <w:t>Central Plaza Investments 85 (Pty) Ltd</w:t>
      </w:r>
      <w:r w:rsidR="006E315C" w:rsidRPr="00F32D8A">
        <w:rPr>
          <w:rFonts w:ascii="Arial" w:hAnsi="Arial" w:cs="Arial"/>
          <w:i/>
          <w:iCs/>
        </w:rPr>
        <w:t xml:space="preserve"> </w:t>
      </w:r>
      <w:r w:rsidR="006E315C" w:rsidRPr="00F32D8A">
        <w:rPr>
          <w:rFonts w:ascii="Arial" w:hAnsi="Arial" w:cs="Arial"/>
        </w:rPr>
        <w:t>(Central)</w:t>
      </w:r>
      <w:r w:rsidR="00D03CD0" w:rsidRPr="00F32D8A">
        <w:rPr>
          <w:rFonts w:ascii="Arial" w:hAnsi="Arial" w:cs="Arial"/>
        </w:rPr>
        <w:t>, the applicant in the prior application</w:t>
      </w:r>
      <w:r w:rsidR="006E315C" w:rsidRPr="00F32D8A">
        <w:rPr>
          <w:rFonts w:ascii="Arial" w:hAnsi="Arial" w:cs="Arial"/>
        </w:rPr>
        <w:t xml:space="preserve">. </w:t>
      </w:r>
      <w:r w:rsidR="009665FC" w:rsidRPr="00F32D8A">
        <w:rPr>
          <w:rFonts w:ascii="Arial" w:hAnsi="Arial" w:cs="Arial"/>
        </w:rPr>
        <w:t xml:space="preserve">He was entirely mistaken in this regard. Central’s guiding mind was </w:t>
      </w:r>
      <w:r w:rsidR="002C0757" w:rsidRPr="00F32D8A">
        <w:rPr>
          <w:rFonts w:ascii="Arial" w:hAnsi="Arial" w:cs="Arial"/>
        </w:rPr>
        <w:t>not the appellant</w:t>
      </w:r>
      <w:r w:rsidR="00DF0BA4" w:rsidRPr="00F32D8A">
        <w:rPr>
          <w:rFonts w:ascii="Arial" w:hAnsi="Arial" w:cs="Arial"/>
        </w:rPr>
        <w:t>. Its guiding mind was, and is,</w:t>
      </w:r>
      <w:r w:rsidR="002C0757" w:rsidRPr="00F32D8A">
        <w:rPr>
          <w:rFonts w:ascii="Arial" w:hAnsi="Arial" w:cs="Arial"/>
        </w:rPr>
        <w:t xml:space="preserve"> </w:t>
      </w:r>
      <w:r w:rsidR="007F7D8C" w:rsidRPr="00F32D8A">
        <w:rPr>
          <w:rFonts w:ascii="Arial" w:hAnsi="Arial" w:cs="Arial"/>
        </w:rPr>
        <w:t xml:space="preserve">a Mr </w:t>
      </w:r>
      <w:r w:rsidR="00142B30" w:rsidRPr="00F32D8A">
        <w:rPr>
          <w:rFonts w:ascii="Arial" w:hAnsi="Arial" w:cs="Arial"/>
        </w:rPr>
        <w:t>Christopher Pearson</w:t>
      </w:r>
      <w:r w:rsidR="00E5757A" w:rsidRPr="00F32D8A">
        <w:rPr>
          <w:rFonts w:ascii="Arial" w:hAnsi="Arial" w:cs="Arial"/>
        </w:rPr>
        <w:t xml:space="preserve"> (Mr Pearson)</w:t>
      </w:r>
      <w:r w:rsidR="00E41889" w:rsidRPr="00F32D8A">
        <w:rPr>
          <w:rFonts w:ascii="Arial" w:hAnsi="Arial" w:cs="Arial"/>
        </w:rPr>
        <w:t xml:space="preserve">, one of </w:t>
      </w:r>
      <w:r w:rsidR="0076585A" w:rsidRPr="00F32D8A">
        <w:rPr>
          <w:rFonts w:ascii="Arial" w:hAnsi="Arial" w:cs="Arial"/>
        </w:rPr>
        <w:t xml:space="preserve">the </w:t>
      </w:r>
      <w:r w:rsidR="00E41889" w:rsidRPr="00F32D8A">
        <w:rPr>
          <w:rFonts w:ascii="Arial" w:hAnsi="Arial" w:cs="Arial"/>
        </w:rPr>
        <w:t>three trustees of the second respondent</w:t>
      </w:r>
      <w:r w:rsidR="007F7D8C" w:rsidRPr="00F32D8A">
        <w:rPr>
          <w:rFonts w:ascii="Arial" w:hAnsi="Arial" w:cs="Arial"/>
        </w:rPr>
        <w:t xml:space="preserve"> and the person who deposed to the first and second resp</w:t>
      </w:r>
      <w:r w:rsidR="008A2A8F" w:rsidRPr="00F32D8A">
        <w:rPr>
          <w:rFonts w:ascii="Arial" w:hAnsi="Arial" w:cs="Arial"/>
        </w:rPr>
        <w:t>ondent</w:t>
      </w:r>
      <w:r w:rsidR="00AC2D54" w:rsidRPr="00F32D8A">
        <w:rPr>
          <w:rFonts w:ascii="Arial" w:hAnsi="Arial" w:cs="Arial"/>
        </w:rPr>
        <w:t>s</w:t>
      </w:r>
      <w:r w:rsidR="008A2A8F" w:rsidRPr="00F32D8A">
        <w:rPr>
          <w:rFonts w:ascii="Arial" w:hAnsi="Arial" w:cs="Arial"/>
        </w:rPr>
        <w:t>’ answering affidavit in this appeal.</w:t>
      </w:r>
      <w:r w:rsidR="00E41889" w:rsidRPr="00F32D8A">
        <w:rPr>
          <w:rFonts w:ascii="Arial" w:hAnsi="Arial" w:cs="Arial"/>
        </w:rPr>
        <w:t xml:space="preserve"> The appellant had no link whatsoever to Central. Central was not a party to the proceedings before the third respondent and it follows that </w:t>
      </w:r>
      <w:r w:rsidR="00DF39D6" w:rsidRPr="00F32D8A">
        <w:rPr>
          <w:rFonts w:ascii="Arial" w:hAnsi="Arial" w:cs="Arial"/>
        </w:rPr>
        <w:t>it is</w:t>
      </w:r>
      <w:r w:rsidR="00E41889" w:rsidRPr="00F32D8A">
        <w:rPr>
          <w:rFonts w:ascii="Arial" w:hAnsi="Arial" w:cs="Arial"/>
        </w:rPr>
        <w:t xml:space="preserve"> not a party to this appeal. </w:t>
      </w:r>
      <w:r w:rsidR="00DD64EB" w:rsidRPr="00F32D8A">
        <w:rPr>
          <w:rFonts w:ascii="Arial" w:hAnsi="Arial" w:cs="Arial"/>
        </w:rPr>
        <w:t>One of t</w:t>
      </w:r>
      <w:r w:rsidR="001150F4" w:rsidRPr="00F32D8A">
        <w:rPr>
          <w:rFonts w:ascii="Arial" w:hAnsi="Arial" w:cs="Arial"/>
        </w:rPr>
        <w:t>he requirement</w:t>
      </w:r>
      <w:r w:rsidR="00DD64EB" w:rsidRPr="00F32D8A">
        <w:rPr>
          <w:rFonts w:ascii="Arial" w:hAnsi="Arial" w:cs="Arial"/>
        </w:rPr>
        <w:t>s</w:t>
      </w:r>
      <w:r w:rsidR="001150F4" w:rsidRPr="00F32D8A">
        <w:rPr>
          <w:rFonts w:ascii="Arial" w:hAnsi="Arial" w:cs="Arial"/>
        </w:rPr>
        <w:t xml:space="preserve"> </w:t>
      </w:r>
      <w:r w:rsidR="00DF39D6" w:rsidRPr="00F32D8A">
        <w:rPr>
          <w:rFonts w:ascii="Arial" w:hAnsi="Arial" w:cs="Arial"/>
        </w:rPr>
        <w:t>for a successful defence of res judicata</w:t>
      </w:r>
      <w:r w:rsidR="00DD64EB" w:rsidRPr="00F32D8A">
        <w:rPr>
          <w:rFonts w:ascii="Arial" w:hAnsi="Arial" w:cs="Arial"/>
        </w:rPr>
        <w:t>, namely</w:t>
      </w:r>
      <w:r w:rsidR="00DF39D6" w:rsidRPr="00F32D8A">
        <w:rPr>
          <w:rFonts w:ascii="Arial" w:hAnsi="Arial" w:cs="Arial"/>
        </w:rPr>
        <w:t xml:space="preserve"> </w:t>
      </w:r>
      <w:r w:rsidR="001150F4" w:rsidRPr="00F32D8A">
        <w:rPr>
          <w:rFonts w:ascii="Arial" w:hAnsi="Arial" w:cs="Arial"/>
        </w:rPr>
        <w:t>that the litigation be between the same parties</w:t>
      </w:r>
      <w:r w:rsidR="00DD64EB" w:rsidRPr="00F32D8A">
        <w:rPr>
          <w:rFonts w:ascii="Arial" w:hAnsi="Arial" w:cs="Arial"/>
        </w:rPr>
        <w:t>,</w:t>
      </w:r>
      <w:r w:rsidR="001150F4" w:rsidRPr="00F32D8A">
        <w:rPr>
          <w:rFonts w:ascii="Arial" w:hAnsi="Arial" w:cs="Arial"/>
        </w:rPr>
        <w:t xml:space="preserve"> was consequently not met</w:t>
      </w:r>
      <w:r w:rsidR="002C0757" w:rsidRPr="00F32D8A">
        <w:rPr>
          <w:rFonts w:ascii="Arial" w:hAnsi="Arial" w:cs="Arial"/>
        </w:rPr>
        <w:t>;</w:t>
      </w:r>
    </w:p>
    <w:p w14:paraId="53CE0499" w14:textId="297EDBD5" w:rsidR="005F517E" w:rsidRPr="00F32D8A" w:rsidRDefault="00F32D8A" w:rsidP="00F32D8A">
      <w:pPr>
        <w:tabs>
          <w:tab w:val="left" w:pos="709"/>
        </w:tabs>
        <w:spacing w:line="360" w:lineRule="auto"/>
        <w:jc w:val="both"/>
        <w:rPr>
          <w:rFonts w:ascii="Arial" w:hAnsi="Arial" w:cs="Arial"/>
        </w:rPr>
      </w:pPr>
      <w:r w:rsidRPr="00B76F09">
        <w:rPr>
          <w:rFonts w:ascii="Arial" w:hAnsi="Arial" w:cs="Arial"/>
          <w:i/>
        </w:rPr>
        <w:t>(b)</w:t>
      </w:r>
      <w:r w:rsidRPr="00B76F09">
        <w:rPr>
          <w:rFonts w:ascii="Arial" w:hAnsi="Arial" w:cs="Arial"/>
          <w:i/>
        </w:rPr>
        <w:tab/>
      </w:r>
      <w:r w:rsidR="005C3D12" w:rsidRPr="00F32D8A">
        <w:rPr>
          <w:rFonts w:ascii="Arial" w:hAnsi="Arial" w:cs="Arial"/>
        </w:rPr>
        <w:t>Secondly, the question before Masipa J and the question that the third respondent was called upon to determine</w:t>
      </w:r>
      <w:r w:rsidR="0020510B" w:rsidRPr="00F32D8A">
        <w:rPr>
          <w:rFonts w:ascii="Arial" w:hAnsi="Arial" w:cs="Arial"/>
        </w:rPr>
        <w:t xml:space="preserve"> </w:t>
      </w:r>
      <w:r w:rsidR="005C3D12" w:rsidRPr="00F32D8A">
        <w:rPr>
          <w:rFonts w:ascii="Arial" w:hAnsi="Arial" w:cs="Arial"/>
        </w:rPr>
        <w:t xml:space="preserve">could not have been the same </w:t>
      </w:r>
      <w:r w:rsidR="00491FC4" w:rsidRPr="00F32D8A">
        <w:rPr>
          <w:rFonts w:ascii="Arial" w:hAnsi="Arial" w:cs="Arial"/>
        </w:rPr>
        <w:t xml:space="preserve">question </w:t>
      </w:r>
      <w:r w:rsidR="00BC7AA5" w:rsidRPr="00F32D8A">
        <w:rPr>
          <w:rFonts w:ascii="Arial" w:hAnsi="Arial" w:cs="Arial"/>
        </w:rPr>
        <w:t xml:space="preserve">for several reasons. </w:t>
      </w:r>
      <w:r w:rsidR="005F517E" w:rsidRPr="00F32D8A">
        <w:rPr>
          <w:rFonts w:ascii="Arial" w:hAnsi="Arial" w:cs="Arial"/>
        </w:rPr>
        <w:t xml:space="preserve">The issue between the parties before Masipa J </w:t>
      </w:r>
      <w:r w:rsidR="00491FC4" w:rsidRPr="00F32D8A">
        <w:rPr>
          <w:rFonts w:ascii="Arial" w:hAnsi="Arial" w:cs="Arial"/>
        </w:rPr>
        <w:t xml:space="preserve">in the prior application </w:t>
      </w:r>
      <w:r w:rsidR="005F517E" w:rsidRPr="00F32D8A">
        <w:rPr>
          <w:rFonts w:ascii="Arial" w:hAnsi="Arial" w:cs="Arial"/>
        </w:rPr>
        <w:t>was summed up by the applicant (the second respondent in this appeal) as follows:</w:t>
      </w:r>
    </w:p>
    <w:p w14:paraId="4C3AE62C" w14:textId="77777777" w:rsidR="005F517E" w:rsidRPr="00B76F09" w:rsidRDefault="005F517E" w:rsidP="005F517E">
      <w:pPr>
        <w:tabs>
          <w:tab w:val="left" w:pos="709"/>
        </w:tabs>
        <w:spacing w:line="360" w:lineRule="auto"/>
        <w:jc w:val="both"/>
        <w:rPr>
          <w:rFonts w:ascii="Arial" w:hAnsi="Arial" w:cs="Arial"/>
          <w:sz w:val="22"/>
          <w:szCs w:val="22"/>
        </w:rPr>
      </w:pPr>
      <w:r w:rsidRPr="00B76F09">
        <w:rPr>
          <w:rFonts w:ascii="Arial" w:hAnsi="Arial" w:cs="Arial"/>
          <w:sz w:val="22"/>
          <w:szCs w:val="22"/>
        </w:rPr>
        <w:t>‘None of the amendments which were effected by the original developer have any bearing on the present dispute which is solely the question of how to allocate a particular disbursement which has been incurred. As the rules do not cater for this particular expense, the applicant has brought an application to ask the above Honourable Court to make an order about the allocation.’</w:t>
      </w:r>
    </w:p>
    <w:p w14:paraId="1235A8BE" w14:textId="59155DCF" w:rsidR="005C3D12" w:rsidRPr="00B76F09" w:rsidRDefault="00A37BCC" w:rsidP="00A37BCC">
      <w:pPr>
        <w:pStyle w:val="ListParagraph"/>
        <w:tabs>
          <w:tab w:val="left" w:pos="709"/>
        </w:tabs>
        <w:spacing w:line="360" w:lineRule="auto"/>
        <w:ind w:left="0"/>
        <w:jc w:val="both"/>
        <w:rPr>
          <w:rFonts w:ascii="Arial" w:hAnsi="Arial" w:cs="Arial"/>
        </w:rPr>
      </w:pPr>
      <w:r w:rsidRPr="00B76F09">
        <w:rPr>
          <w:rFonts w:ascii="Arial" w:hAnsi="Arial" w:cs="Arial"/>
        </w:rPr>
        <w:t>Th</w:t>
      </w:r>
      <w:r w:rsidR="00485B75" w:rsidRPr="00B76F09">
        <w:rPr>
          <w:rFonts w:ascii="Arial" w:hAnsi="Arial" w:cs="Arial"/>
        </w:rPr>
        <w:t xml:space="preserve">e issue described above </w:t>
      </w:r>
      <w:r w:rsidRPr="00B76F09">
        <w:rPr>
          <w:rFonts w:ascii="Arial" w:hAnsi="Arial" w:cs="Arial"/>
        </w:rPr>
        <w:t>was not the issue before the third respondent</w:t>
      </w:r>
      <w:r w:rsidR="00491FC4" w:rsidRPr="00B76F09">
        <w:rPr>
          <w:rFonts w:ascii="Arial" w:hAnsi="Arial" w:cs="Arial"/>
        </w:rPr>
        <w:t>, as is evident from the content of the form</w:t>
      </w:r>
      <w:r w:rsidRPr="00B76F09">
        <w:rPr>
          <w:rFonts w:ascii="Arial" w:hAnsi="Arial" w:cs="Arial"/>
        </w:rPr>
        <w:t xml:space="preserve">. In addition, </w:t>
      </w:r>
      <w:r w:rsidR="005C3D12" w:rsidRPr="00B76F09">
        <w:rPr>
          <w:rFonts w:ascii="Arial" w:hAnsi="Arial" w:cs="Arial"/>
        </w:rPr>
        <w:t>the STSM</w:t>
      </w:r>
      <w:r w:rsidR="00642E6B" w:rsidRPr="00B76F09">
        <w:rPr>
          <w:rFonts w:ascii="Arial" w:hAnsi="Arial" w:cs="Arial"/>
        </w:rPr>
        <w:t xml:space="preserve"> </w:t>
      </w:r>
      <w:r w:rsidR="005C3D12" w:rsidRPr="00B76F09">
        <w:rPr>
          <w:rFonts w:ascii="Arial" w:hAnsi="Arial" w:cs="Arial"/>
        </w:rPr>
        <w:t>A</w:t>
      </w:r>
      <w:r w:rsidR="00642E6B" w:rsidRPr="00B76F09">
        <w:rPr>
          <w:rFonts w:ascii="Arial" w:hAnsi="Arial" w:cs="Arial"/>
        </w:rPr>
        <w:t>ct</w:t>
      </w:r>
      <w:r w:rsidR="005C3D12" w:rsidRPr="00B76F09">
        <w:rPr>
          <w:rFonts w:ascii="Arial" w:hAnsi="Arial" w:cs="Arial"/>
        </w:rPr>
        <w:t xml:space="preserve"> did not exist at the time that </w:t>
      </w:r>
      <w:r w:rsidR="005C3D12" w:rsidRPr="00B76F09">
        <w:rPr>
          <w:rFonts w:ascii="Arial" w:hAnsi="Arial" w:cs="Arial"/>
        </w:rPr>
        <w:lastRenderedPageBreak/>
        <w:t xml:space="preserve">Masipa J heard </w:t>
      </w:r>
      <w:r w:rsidR="00642E6B" w:rsidRPr="00B76F09">
        <w:rPr>
          <w:rFonts w:ascii="Arial" w:hAnsi="Arial" w:cs="Arial"/>
        </w:rPr>
        <w:t xml:space="preserve">argument in </w:t>
      </w:r>
      <w:r w:rsidR="005C3D12" w:rsidRPr="00B76F09">
        <w:rPr>
          <w:rFonts w:ascii="Arial" w:hAnsi="Arial" w:cs="Arial"/>
        </w:rPr>
        <w:t xml:space="preserve">the prior application. The judgment </w:t>
      </w:r>
      <w:r w:rsidR="0020510B" w:rsidRPr="00B76F09">
        <w:rPr>
          <w:rFonts w:ascii="Arial" w:hAnsi="Arial" w:cs="Arial"/>
        </w:rPr>
        <w:t xml:space="preserve">in the prior application </w:t>
      </w:r>
      <w:r w:rsidR="005C3D12" w:rsidRPr="00B76F09">
        <w:rPr>
          <w:rFonts w:ascii="Arial" w:hAnsi="Arial" w:cs="Arial"/>
        </w:rPr>
        <w:t xml:space="preserve">was delivered on </w:t>
      </w:r>
      <w:r w:rsidR="008915C8" w:rsidRPr="00B76F09">
        <w:rPr>
          <w:rFonts w:ascii="Arial" w:hAnsi="Arial" w:cs="Arial"/>
        </w:rPr>
        <w:t>2 May 2019. By</w:t>
      </w:r>
      <w:r w:rsidR="005C3D12" w:rsidRPr="00B76F09">
        <w:rPr>
          <w:rFonts w:ascii="Arial" w:hAnsi="Arial" w:cs="Arial"/>
        </w:rPr>
        <w:t xml:space="preserve"> that time the STSM</w:t>
      </w:r>
      <w:r w:rsidR="00642E6B" w:rsidRPr="00B76F09">
        <w:rPr>
          <w:rFonts w:ascii="Arial" w:hAnsi="Arial" w:cs="Arial"/>
        </w:rPr>
        <w:t xml:space="preserve"> </w:t>
      </w:r>
      <w:r w:rsidR="005C3D12" w:rsidRPr="00B76F09">
        <w:rPr>
          <w:rFonts w:ascii="Arial" w:hAnsi="Arial" w:cs="Arial"/>
        </w:rPr>
        <w:t>A</w:t>
      </w:r>
      <w:r w:rsidR="00642E6B" w:rsidRPr="00B76F09">
        <w:rPr>
          <w:rFonts w:ascii="Arial" w:hAnsi="Arial" w:cs="Arial"/>
        </w:rPr>
        <w:t>ct</w:t>
      </w:r>
      <w:r w:rsidR="005C3D12" w:rsidRPr="00B76F09">
        <w:rPr>
          <w:rFonts w:ascii="Arial" w:hAnsi="Arial" w:cs="Arial"/>
        </w:rPr>
        <w:t xml:space="preserve"> had</w:t>
      </w:r>
      <w:r w:rsidR="00B06E6C">
        <w:rPr>
          <w:rFonts w:ascii="Arial" w:hAnsi="Arial" w:cs="Arial"/>
        </w:rPr>
        <w:t>,</w:t>
      </w:r>
      <w:r w:rsidR="005C3D12" w:rsidRPr="00B76F09">
        <w:rPr>
          <w:rFonts w:ascii="Arial" w:hAnsi="Arial" w:cs="Arial"/>
        </w:rPr>
        <w:t xml:space="preserve"> </w:t>
      </w:r>
      <w:r w:rsidR="00B06E6C">
        <w:rPr>
          <w:rFonts w:ascii="Arial" w:hAnsi="Arial" w:cs="Arial"/>
        </w:rPr>
        <w:t xml:space="preserve">indeed, </w:t>
      </w:r>
      <w:r w:rsidR="005C3D12" w:rsidRPr="00B76F09">
        <w:rPr>
          <w:rFonts w:ascii="Arial" w:hAnsi="Arial" w:cs="Arial"/>
        </w:rPr>
        <w:t xml:space="preserve">come into effect, but it had not been in place at the time that the </w:t>
      </w:r>
      <w:r w:rsidR="0072384B" w:rsidRPr="00B76F09">
        <w:rPr>
          <w:rFonts w:ascii="Arial" w:hAnsi="Arial" w:cs="Arial"/>
        </w:rPr>
        <w:t xml:space="preserve">papers in the </w:t>
      </w:r>
      <w:r w:rsidR="005C3D12" w:rsidRPr="00B76F09">
        <w:rPr>
          <w:rFonts w:ascii="Arial" w:hAnsi="Arial" w:cs="Arial"/>
        </w:rPr>
        <w:t xml:space="preserve">prior application had been </w:t>
      </w:r>
      <w:r w:rsidR="0072384B" w:rsidRPr="00B76F09">
        <w:rPr>
          <w:rFonts w:ascii="Arial" w:hAnsi="Arial" w:cs="Arial"/>
        </w:rPr>
        <w:t xml:space="preserve">prepared or when the prior application was </w:t>
      </w:r>
      <w:r w:rsidR="005C3D12" w:rsidRPr="00B76F09">
        <w:rPr>
          <w:rFonts w:ascii="Arial" w:hAnsi="Arial" w:cs="Arial"/>
        </w:rPr>
        <w:t>argued;</w:t>
      </w:r>
      <w:r w:rsidR="005C3D12" w:rsidRPr="00B76F09">
        <w:rPr>
          <w:rStyle w:val="FootnoteReference"/>
          <w:rFonts w:ascii="Arial" w:hAnsi="Arial" w:cs="Arial"/>
        </w:rPr>
        <w:footnoteReference w:id="7"/>
      </w:r>
      <w:r w:rsidR="005C3D12" w:rsidRPr="00B76F09">
        <w:rPr>
          <w:rFonts w:ascii="Arial" w:hAnsi="Arial" w:cs="Arial"/>
        </w:rPr>
        <w:t xml:space="preserve"> and</w:t>
      </w:r>
    </w:p>
    <w:p w14:paraId="4D7D4F39" w14:textId="25F80D1E" w:rsidR="005C3D12" w:rsidRPr="00F32D8A" w:rsidRDefault="00F32D8A" w:rsidP="00F32D8A">
      <w:pPr>
        <w:tabs>
          <w:tab w:val="left" w:pos="709"/>
        </w:tabs>
        <w:spacing w:line="360" w:lineRule="auto"/>
        <w:jc w:val="both"/>
        <w:rPr>
          <w:rFonts w:ascii="Arial" w:hAnsi="Arial" w:cs="Arial"/>
        </w:rPr>
      </w:pPr>
      <w:r w:rsidRPr="00B76F09">
        <w:rPr>
          <w:rFonts w:ascii="Arial" w:hAnsi="Arial" w:cs="Arial"/>
          <w:i/>
        </w:rPr>
        <w:t>(c)</w:t>
      </w:r>
      <w:r w:rsidRPr="00B76F09">
        <w:rPr>
          <w:rFonts w:ascii="Arial" w:hAnsi="Arial" w:cs="Arial"/>
          <w:i/>
        </w:rPr>
        <w:tab/>
      </w:r>
      <w:r w:rsidR="008A2A8F" w:rsidRPr="00F32D8A">
        <w:rPr>
          <w:rFonts w:ascii="Arial" w:hAnsi="Arial" w:cs="Arial"/>
        </w:rPr>
        <w:t>Thirdly,</w:t>
      </w:r>
      <w:r w:rsidR="00E5757A" w:rsidRPr="00F32D8A">
        <w:rPr>
          <w:rFonts w:ascii="Arial" w:hAnsi="Arial" w:cs="Arial"/>
        </w:rPr>
        <w:t xml:space="preserve"> in</w:t>
      </w:r>
      <w:r w:rsidR="005C3D12" w:rsidRPr="00F32D8A">
        <w:rPr>
          <w:rFonts w:ascii="Arial" w:hAnsi="Arial" w:cs="Arial"/>
        </w:rPr>
        <w:t xml:space="preserve"> the application papers before Masipa J, the following extract appear</w:t>
      </w:r>
      <w:r w:rsidR="009D0B1C" w:rsidRPr="00F32D8A">
        <w:rPr>
          <w:rFonts w:ascii="Arial" w:hAnsi="Arial" w:cs="Arial"/>
        </w:rPr>
        <w:t>s</w:t>
      </w:r>
      <w:r w:rsidR="005C3D12" w:rsidRPr="00F32D8A">
        <w:rPr>
          <w:rFonts w:ascii="Arial" w:hAnsi="Arial" w:cs="Arial"/>
        </w:rPr>
        <w:t xml:space="preserve"> </w:t>
      </w:r>
      <w:r w:rsidR="009D0B1C" w:rsidRPr="00F32D8A">
        <w:rPr>
          <w:rFonts w:ascii="Arial" w:hAnsi="Arial" w:cs="Arial"/>
        </w:rPr>
        <w:t>in the</w:t>
      </w:r>
      <w:r w:rsidR="005C3D12" w:rsidRPr="00F32D8A">
        <w:rPr>
          <w:rFonts w:ascii="Arial" w:hAnsi="Arial" w:cs="Arial"/>
        </w:rPr>
        <w:t xml:space="preserve"> replying affidavit delivered on behalf of the </w:t>
      </w:r>
      <w:r w:rsidR="00424180" w:rsidRPr="00F32D8A">
        <w:rPr>
          <w:rFonts w:ascii="Arial" w:hAnsi="Arial" w:cs="Arial"/>
        </w:rPr>
        <w:t>applicant</w:t>
      </w:r>
      <w:r w:rsidR="00E5757A" w:rsidRPr="00F32D8A">
        <w:rPr>
          <w:rFonts w:ascii="Arial" w:hAnsi="Arial" w:cs="Arial"/>
        </w:rPr>
        <w:t xml:space="preserve"> by Mr Pearson</w:t>
      </w:r>
      <w:r w:rsidR="005C3D12" w:rsidRPr="00F32D8A">
        <w:rPr>
          <w:rFonts w:ascii="Arial" w:hAnsi="Arial" w:cs="Arial"/>
        </w:rPr>
        <w:t>:</w:t>
      </w:r>
      <w:r w:rsidR="005C3D12" w:rsidRPr="00B76F09">
        <w:rPr>
          <w:rStyle w:val="FootnoteReference"/>
          <w:rFonts w:ascii="Arial" w:hAnsi="Arial" w:cs="Arial"/>
        </w:rPr>
        <w:footnoteReference w:id="8"/>
      </w:r>
      <w:r w:rsidR="005C3D12" w:rsidRPr="00F32D8A">
        <w:rPr>
          <w:rFonts w:ascii="Arial" w:hAnsi="Arial" w:cs="Arial"/>
        </w:rPr>
        <w:t xml:space="preserve"> </w:t>
      </w:r>
    </w:p>
    <w:p w14:paraId="22355566" w14:textId="347EE255" w:rsidR="001D1545" w:rsidRPr="00B76F09" w:rsidRDefault="001D1545" w:rsidP="001D1545">
      <w:pPr>
        <w:pStyle w:val="ListParagraph"/>
        <w:tabs>
          <w:tab w:val="left" w:pos="709"/>
        </w:tabs>
        <w:spacing w:line="360" w:lineRule="auto"/>
        <w:ind w:left="0"/>
        <w:jc w:val="both"/>
        <w:rPr>
          <w:rFonts w:ascii="Arial" w:hAnsi="Arial" w:cs="Arial"/>
          <w:sz w:val="22"/>
          <w:szCs w:val="22"/>
        </w:rPr>
      </w:pPr>
      <w:r w:rsidRPr="00B76F09">
        <w:rPr>
          <w:rFonts w:ascii="Arial" w:hAnsi="Arial" w:cs="Arial"/>
          <w:sz w:val="22"/>
          <w:szCs w:val="22"/>
        </w:rPr>
        <w:t>‘As I have already stated,</w:t>
      </w:r>
      <w:r w:rsidR="00003E92" w:rsidRPr="00B76F09">
        <w:rPr>
          <w:rFonts w:ascii="Arial" w:hAnsi="Arial" w:cs="Arial"/>
          <w:sz w:val="22"/>
          <w:szCs w:val="22"/>
        </w:rPr>
        <w:t xml:space="preserve"> </w:t>
      </w:r>
      <w:r w:rsidRPr="00B76F09">
        <w:rPr>
          <w:rFonts w:ascii="Arial" w:hAnsi="Arial" w:cs="Arial"/>
          <w:sz w:val="22"/>
          <w:szCs w:val="22"/>
        </w:rPr>
        <w:t>if the respondent’s complaint is that the management rules as they pre</w:t>
      </w:r>
      <w:r w:rsidR="00003E92" w:rsidRPr="00B76F09">
        <w:rPr>
          <w:rFonts w:ascii="Arial" w:hAnsi="Arial" w:cs="Arial"/>
          <w:sz w:val="22"/>
          <w:szCs w:val="22"/>
        </w:rPr>
        <w:t>s</w:t>
      </w:r>
      <w:r w:rsidRPr="00B76F09">
        <w:rPr>
          <w:rFonts w:ascii="Arial" w:hAnsi="Arial" w:cs="Arial"/>
          <w:sz w:val="22"/>
          <w:szCs w:val="22"/>
        </w:rPr>
        <w:t xml:space="preserve">ently stand are unlawful or unreasonable or for any other reason should be set aside, then it is at </w:t>
      </w:r>
      <w:r w:rsidR="00003E92" w:rsidRPr="00B76F09">
        <w:rPr>
          <w:rFonts w:ascii="Arial" w:hAnsi="Arial" w:cs="Arial"/>
          <w:sz w:val="22"/>
          <w:szCs w:val="22"/>
        </w:rPr>
        <w:t>liberty to make an application to court for the appropriate relief. No such relief is sought herein and in the circumstances I am advise</w:t>
      </w:r>
      <w:r w:rsidR="00AB6AF0" w:rsidRPr="00B76F09">
        <w:rPr>
          <w:rFonts w:ascii="Arial" w:hAnsi="Arial" w:cs="Arial"/>
          <w:sz w:val="22"/>
          <w:szCs w:val="22"/>
        </w:rPr>
        <w:t>d</w:t>
      </w:r>
      <w:r w:rsidR="00003E92" w:rsidRPr="00B76F09">
        <w:rPr>
          <w:rFonts w:ascii="Arial" w:hAnsi="Arial" w:cs="Arial"/>
          <w:sz w:val="22"/>
          <w:szCs w:val="22"/>
        </w:rPr>
        <w:t xml:space="preserve"> that the above Honourable Court must hear and determine this application based on the management rules as they stand.’</w:t>
      </w:r>
      <w:r w:rsidRPr="00B76F09">
        <w:rPr>
          <w:rFonts w:ascii="Arial" w:hAnsi="Arial" w:cs="Arial"/>
          <w:sz w:val="22"/>
          <w:szCs w:val="22"/>
        </w:rPr>
        <w:t xml:space="preserve"> </w:t>
      </w:r>
    </w:p>
    <w:p w14:paraId="26E42264" w14:textId="3810F351" w:rsidR="004C38BE" w:rsidRPr="00B76F09" w:rsidRDefault="004C38BE" w:rsidP="00AB6AF0">
      <w:pPr>
        <w:pStyle w:val="ListParagraph"/>
        <w:tabs>
          <w:tab w:val="left" w:pos="709"/>
        </w:tabs>
        <w:spacing w:line="360" w:lineRule="auto"/>
        <w:ind w:left="0"/>
        <w:jc w:val="both"/>
        <w:rPr>
          <w:rFonts w:ascii="Arial" w:hAnsi="Arial" w:cs="Arial"/>
        </w:rPr>
      </w:pPr>
      <w:r w:rsidRPr="00B76F09">
        <w:rPr>
          <w:rFonts w:ascii="Arial" w:hAnsi="Arial" w:cs="Arial"/>
        </w:rPr>
        <w:t xml:space="preserve">This is precisely </w:t>
      </w:r>
      <w:r w:rsidR="0013617E" w:rsidRPr="00B76F09">
        <w:rPr>
          <w:rFonts w:ascii="Arial" w:hAnsi="Arial" w:cs="Arial"/>
        </w:rPr>
        <w:t>the appellant’s complaint and it has acted upon Mr Pearson’s invitation.</w:t>
      </w:r>
      <w:r w:rsidRPr="00B76F09">
        <w:rPr>
          <w:rFonts w:ascii="Arial" w:hAnsi="Arial" w:cs="Arial"/>
        </w:rPr>
        <w:t xml:space="preserve"> </w:t>
      </w:r>
      <w:r w:rsidR="00213B44" w:rsidRPr="00B76F09">
        <w:rPr>
          <w:rFonts w:ascii="Arial" w:hAnsi="Arial" w:cs="Arial"/>
        </w:rPr>
        <w:t xml:space="preserve">It </w:t>
      </w:r>
      <w:r w:rsidR="006044AA" w:rsidRPr="00B76F09">
        <w:rPr>
          <w:rFonts w:ascii="Arial" w:hAnsi="Arial" w:cs="Arial"/>
        </w:rPr>
        <w:t xml:space="preserve">is </w:t>
      </w:r>
      <w:r w:rsidR="00213B44" w:rsidRPr="00B76F09">
        <w:rPr>
          <w:rFonts w:ascii="Arial" w:hAnsi="Arial" w:cs="Arial"/>
        </w:rPr>
        <w:t xml:space="preserve">hardly </w:t>
      </w:r>
      <w:r w:rsidR="006044AA" w:rsidRPr="00B76F09">
        <w:rPr>
          <w:rFonts w:ascii="Arial" w:hAnsi="Arial" w:cs="Arial"/>
        </w:rPr>
        <w:t>open to</w:t>
      </w:r>
      <w:r w:rsidR="00213B44" w:rsidRPr="00B76F09">
        <w:rPr>
          <w:rFonts w:ascii="Arial" w:hAnsi="Arial" w:cs="Arial"/>
        </w:rPr>
        <w:t xml:space="preserve"> the first and second respondents to now claim that the issue was previously determined </w:t>
      </w:r>
      <w:r w:rsidR="00140C1C" w:rsidRPr="00B76F09">
        <w:rPr>
          <w:rFonts w:ascii="Arial" w:hAnsi="Arial" w:cs="Arial"/>
        </w:rPr>
        <w:t>in the light of the abovementioned extract. I</w:t>
      </w:r>
      <w:r w:rsidR="0006720A" w:rsidRPr="00B76F09">
        <w:rPr>
          <w:rFonts w:ascii="Arial" w:hAnsi="Arial" w:cs="Arial"/>
        </w:rPr>
        <w:t xml:space="preserve">n my view, </w:t>
      </w:r>
      <w:r w:rsidRPr="00B76F09">
        <w:rPr>
          <w:rFonts w:ascii="Arial" w:hAnsi="Arial" w:cs="Arial"/>
        </w:rPr>
        <w:t>the issues in the prior application and the application before the third respondent could not be</w:t>
      </w:r>
      <w:r w:rsidR="00AB6AF0" w:rsidRPr="00B76F09">
        <w:rPr>
          <w:rFonts w:ascii="Arial" w:hAnsi="Arial" w:cs="Arial"/>
        </w:rPr>
        <w:t>,</w:t>
      </w:r>
      <w:r w:rsidRPr="00B76F09">
        <w:rPr>
          <w:rFonts w:ascii="Arial" w:hAnsi="Arial" w:cs="Arial"/>
        </w:rPr>
        <w:t xml:space="preserve"> and were not</w:t>
      </w:r>
      <w:r w:rsidR="00AB6AF0" w:rsidRPr="00B76F09">
        <w:rPr>
          <w:rFonts w:ascii="Arial" w:hAnsi="Arial" w:cs="Arial"/>
        </w:rPr>
        <w:t>,</w:t>
      </w:r>
      <w:r w:rsidRPr="00B76F09">
        <w:rPr>
          <w:rFonts w:ascii="Arial" w:hAnsi="Arial" w:cs="Arial"/>
        </w:rPr>
        <w:t xml:space="preserve"> the same. </w:t>
      </w:r>
    </w:p>
    <w:p w14:paraId="183F3215" w14:textId="77777777" w:rsidR="004C38BE" w:rsidRPr="00B76F09" w:rsidRDefault="004C38BE" w:rsidP="004C38BE">
      <w:pPr>
        <w:pStyle w:val="ListParagraph"/>
        <w:tabs>
          <w:tab w:val="left" w:pos="709"/>
        </w:tabs>
        <w:spacing w:line="360" w:lineRule="auto"/>
        <w:ind w:left="0"/>
        <w:jc w:val="both"/>
        <w:rPr>
          <w:rFonts w:ascii="Arial" w:hAnsi="Arial" w:cs="Arial"/>
        </w:rPr>
      </w:pPr>
    </w:p>
    <w:p w14:paraId="6C3C6F03" w14:textId="3507FB4A" w:rsidR="002C05AA" w:rsidRPr="00F32D8A" w:rsidRDefault="00F32D8A" w:rsidP="00F32D8A">
      <w:pPr>
        <w:tabs>
          <w:tab w:val="left" w:pos="709"/>
        </w:tabs>
        <w:spacing w:line="360" w:lineRule="auto"/>
        <w:jc w:val="both"/>
        <w:rPr>
          <w:rFonts w:ascii="Arial" w:hAnsi="Arial" w:cs="Arial"/>
        </w:rPr>
      </w:pPr>
      <w:r w:rsidRPr="00B76F09">
        <w:rPr>
          <w:rFonts w:ascii="Arial" w:hAnsi="Arial" w:cs="Arial"/>
        </w:rPr>
        <w:t>[9]</w:t>
      </w:r>
      <w:r w:rsidRPr="00B76F09">
        <w:rPr>
          <w:rFonts w:ascii="Arial" w:hAnsi="Arial" w:cs="Arial"/>
        </w:rPr>
        <w:tab/>
      </w:r>
      <w:r w:rsidR="00706A4C" w:rsidRPr="00F32D8A">
        <w:rPr>
          <w:rFonts w:ascii="Arial" w:hAnsi="Arial" w:cs="Arial"/>
        </w:rPr>
        <w:t xml:space="preserve">The reasoning </w:t>
      </w:r>
      <w:r w:rsidR="002C05AA" w:rsidRPr="00F32D8A">
        <w:rPr>
          <w:rFonts w:ascii="Arial" w:hAnsi="Arial" w:cs="Arial"/>
        </w:rPr>
        <w:t xml:space="preserve">and finding </w:t>
      </w:r>
      <w:r w:rsidR="00706A4C" w:rsidRPr="00F32D8A">
        <w:rPr>
          <w:rFonts w:ascii="Arial" w:hAnsi="Arial" w:cs="Arial"/>
        </w:rPr>
        <w:t xml:space="preserve">of the third respondent on the issue of res judicata was incorrect. The matter had not previously been determined.  To the extent that this was the basis upon which the appellant’s application was refused, it must be set aside. </w:t>
      </w:r>
    </w:p>
    <w:p w14:paraId="55793F57" w14:textId="77777777" w:rsidR="002C05AA" w:rsidRPr="00B76F09" w:rsidRDefault="002C05AA" w:rsidP="002C05AA">
      <w:pPr>
        <w:pStyle w:val="ListParagraph"/>
        <w:tabs>
          <w:tab w:val="left" w:pos="709"/>
        </w:tabs>
        <w:spacing w:line="360" w:lineRule="auto"/>
        <w:ind w:left="0"/>
        <w:jc w:val="both"/>
        <w:rPr>
          <w:rFonts w:ascii="Arial" w:hAnsi="Arial" w:cs="Arial"/>
        </w:rPr>
      </w:pPr>
    </w:p>
    <w:p w14:paraId="518528C7" w14:textId="7AD03FE2" w:rsidR="00706A4C" w:rsidRPr="00F32D8A" w:rsidRDefault="00F32D8A" w:rsidP="00F32D8A">
      <w:pPr>
        <w:tabs>
          <w:tab w:val="left" w:pos="709"/>
        </w:tabs>
        <w:spacing w:line="360" w:lineRule="auto"/>
        <w:jc w:val="both"/>
        <w:rPr>
          <w:rFonts w:ascii="Arial" w:hAnsi="Arial" w:cs="Arial"/>
        </w:rPr>
      </w:pPr>
      <w:r w:rsidRPr="00B76F09">
        <w:rPr>
          <w:rFonts w:ascii="Arial" w:hAnsi="Arial" w:cs="Arial"/>
        </w:rPr>
        <w:t>[10]</w:t>
      </w:r>
      <w:r w:rsidRPr="00B76F09">
        <w:rPr>
          <w:rFonts w:ascii="Arial" w:hAnsi="Arial" w:cs="Arial"/>
        </w:rPr>
        <w:tab/>
      </w:r>
      <w:r w:rsidR="00BA1D47" w:rsidRPr="00F32D8A">
        <w:rPr>
          <w:rFonts w:ascii="Arial" w:hAnsi="Arial" w:cs="Arial"/>
        </w:rPr>
        <w:t>The order handed down by the third respondent</w:t>
      </w:r>
      <w:r w:rsidR="00F81230" w:rsidRPr="00F32D8A">
        <w:rPr>
          <w:rFonts w:ascii="Arial" w:hAnsi="Arial" w:cs="Arial"/>
        </w:rPr>
        <w:t xml:space="preserve"> is some 21 pages long. It diligently </w:t>
      </w:r>
      <w:r w:rsidR="007C36BB" w:rsidRPr="00F32D8A">
        <w:rPr>
          <w:rFonts w:ascii="Arial" w:hAnsi="Arial" w:cs="Arial"/>
        </w:rPr>
        <w:t>and laboriously refers to all the relevant sections of the Act</w:t>
      </w:r>
      <w:r w:rsidR="00724688" w:rsidRPr="00F32D8A">
        <w:rPr>
          <w:rFonts w:ascii="Arial" w:hAnsi="Arial" w:cs="Arial"/>
        </w:rPr>
        <w:t xml:space="preserve"> that </w:t>
      </w:r>
      <w:r w:rsidR="006044AA" w:rsidRPr="00F32D8A">
        <w:rPr>
          <w:rFonts w:ascii="Arial" w:hAnsi="Arial" w:cs="Arial"/>
        </w:rPr>
        <w:t>may possibly be</w:t>
      </w:r>
      <w:r w:rsidR="00724688" w:rsidRPr="00F32D8A">
        <w:rPr>
          <w:rFonts w:ascii="Arial" w:hAnsi="Arial" w:cs="Arial"/>
        </w:rPr>
        <w:t xml:space="preserve"> of application</w:t>
      </w:r>
      <w:r w:rsidR="007C36BB" w:rsidRPr="00F32D8A">
        <w:rPr>
          <w:rFonts w:ascii="Arial" w:hAnsi="Arial" w:cs="Arial"/>
        </w:rPr>
        <w:t xml:space="preserve">. </w:t>
      </w:r>
      <w:r w:rsidR="000B731C" w:rsidRPr="00F32D8A">
        <w:rPr>
          <w:rFonts w:ascii="Arial" w:hAnsi="Arial" w:cs="Arial"/>
        </w:rPr>
        <w:t xml:space="preserve">The case for the appellant is stated </w:t>
      </w:r>
      <w:r w:rsidR="00724688" w:rsidRPr="00F32D8A">
        <w:rPr>
          <w:rFonts w:ascii="Arial" w:hAnsi="Arial" w:cs="Arial"/>
        </w:rPr>
        <w:t xml:space="preserve">at some length </w:t>
      </w:r>
      <w:r w:rsidR="006E6FA1" w:rsidRPr="00F32D8A">
        <w:rPr>
          <w:rFonts w:ascii="Arial" w:hAnsi="Arial" w:cs="Arial"/>
        </w:rPr>
        <w:t>as is the first and second respondent</w:t>
      </w:r>
      <w:r w:rsidR="00AC2D54" w:rsidRPr="00F32D8A">
        <w:rPr>
          <w:rFonts w:ascii="Arial" w:hAnsi="Arial" w:cs="Arial"/>
        </w:rPr>
        <w:t>s</w:t>
      </w:r>
      <w:r w:rsidR="006E6FA1" w:rsidRPr="00F32D8A">
        <w:rPr>
          <w:rFonts w:ascii="Arial" w:hAnsi="Arial" w:cs="Arial"/>
        </w:rPr>
        <w:t xml:space="preserve">’ defence thereto. </w:t>
      </w:r>
      <w:r w:rsidR="00FB7890" w:rsidRPr="00F32D8A">
        <w:rPr>
          <w:rFonts w:ascii="Arial" w:hAnsi="Arial" w:cs="Arial"/>
        </w:rPr>
        <w:t>Whilst his summary of the issues demonstrated his awareness of the issues</w:t>
      </w:r>
      <w:r w:rsidR="00AE2A08" w:rsidRPr="00F32D8A">
        <w:rPr>
          <w:rFonts w:ascii="Arial" w:hAnsi="Arial" w:cs="Arial"/>
        </w:rPr>
        <w:t xml:space="preserve"> before him</w:t>
      </w:r>
      <w:r w:rsidR="00FB7890" w:rsidRPr="00F32D8A">
        <w:rPr>
          <w:rFonts w:ascii="Arial" w:hAnsi="Arial" w:cs="Arial"/>
        </w:rPr>
        <w:t xml:space="preserve">, the third respondent did not </w:t>
      </w:r>
      <w:r w:rsidR="00AE2A08" w:rsidRPr="00F32D8A">
        <w:rPr>
          <w:rFonts w:ascii="Arial" w:hAnsi="Arial" w:cs="Arial"/>
        </w:rPr>
        <w:t>directly address those issues, other than the issue of res judicata</w:t>
      </w:r>
      <w:r w:rsidR="007A493B" w:rsidRPr="00F32D8A">
        <w:rPr>
          <w:rFonts w:ascii="Arial" w:hAnsi="Arial" w:cs="Arial"/>
        </w:rPr>
        <w:t>,</w:t>
      </w:r>
      <w:r w:rsidR="00AE2A08" w:rsidRPr="00F32D8A">
        <w:rPr>
          <w:rFonts w:ascii="Arial" w:hAnsi="Arial" w:cs="Arial"/>
        </w:rPr>
        <w:t xml:space="preserve"> in any great detail in his order.</w:t>
      </w:r>
      <w:r w:rsidR="00266224" w:rsidRPr="00F32D8A">
        <w:rPr>
          <w:rFonts w:ascii="Arial" w:hAnsi="Arial" w:cs="Arial"/>
        </w:rPr>
        <w:t xml:space="preserve"> It appears that he took the view that </w:t>
      </w:r>
      <w:r w:rsidR="00222D5A" w:rsidRPr="00F32D8A">
        <w:rPr>
          <w:rFonts w:ascii="Arial" w:hAnsi="Arial" w:cs="Arial"/>
        </w:rPr>
        <w:t xml:space="preserve">the </w:t>
      </w:r>
      <w:r w:rsidR="00266224" w:rsidRPr="00F32D8A">
        <w:rPr>
          <w:rFonts w:ascii="Arial" w:hAnsi="Arial" w:cs="Arial"/>
        </w:rPr>
        <w:t>defence of res judicata was unanswerable and therefore there was no need to consider the other issues raised by the appellant.</w:t>
      </w:r>
      <w:r w:rsidR="00706A4C" w:rsidRPr="00F32D8A">
        <w:rPr>
          <w:rFonts w:ascii="Arial" w:hAnsi="Arial" w:cs="Arial"/>
        </w:rPr>
        <w:t xml:space="preserve"> </w:t>
      </w:r>
      <w:r w:rsidR="00706A4C" w:rsidRPr="00F32D8A">
        <w:rPr>
          <w:rFonts w:ascii="Arial" w:hAnsi="Arial" w:cs="Arial"/>
        </w:rPr>
        <w:lastRenderedPageBreak/>
        <w:t xml:space="preserve">Rather than refer the matter back, it is </w:t>
      </w:r>
      <w:r w:rsidR="00B33CF9" w:rsidRPr="00F32D8A">
        <w:rPr>
          <w:rFonts w:ascii="Arial" w:hAnsi="Arial" w:cs="Arial"/>
        </w:rPr>
        <w:t xml:space="preserve">perhaps prudent for this court to consider those issues, due regard being had to the fact that full argument was delivered </w:t>
      </w:r>
      <w:r w:rsidR="007A493B" w:rsidRPr="00F32D8A">
        <w:rPr>
          <w:rFonts w:ascii="Arial" w:hAnsi="Arial" w:cs="Arial"/>
        </w:rPr>
        <w:t xml:space="preserve">at some length </w:t>
      </w:r>
      <w:r w:rsidR="00B33CF9" w:rsidRPr="00F32D8A">
        <w:rPr>
          <w:rFonts w:ascii="Arial" w:hAnsi="Arial" w:cs="Arial"/>
        </w:rPr>
        <w:t>on the merits of the matter when the appeal was argued.</w:t>
      </w:r>
      <w:r w:rsidR="00EE4BD3" w:rsidRPr="00F32D8A">
        <w:rPr>
          <w:rFonts w:ascii="Arial" w:hAnsi="Arial" w:cs="Arial"/>
        </w:rPr>
        <w:t xml:space="preserve"> </w:t>
      </w:r>
    </w:p>
    <w:p w14:paraId="36312560" w14:textId="77777777" w:rsidR="00222D5A" w:rsidRPr="00B76F09" w:rsidRDefault="00222D5A" w:rsidP="00222D5A">
      <w:pPr>
        <w:pStyle w:val="ListParagraph"/>
        <w:tabs>
          <w:tab w:val="left" w:pos="709"/>
        </w:tabs>
        <w:spacing w:line="360" w:lineRule="auto"/>
        <w:ind w:left="0"/>
        <w:jc w:val="both"/>
        <w:rPr>
          <w:rFonts w:ascii="Arial" w:hAnsi="Arial" w:cs="Arial"/>
        </w:rPr>
      </w:pPr>
    </w:p>
    <w:p w14:paraId="02602AE4" w14:textId="34275919" w:rsidR="00FF38DC" w:rsidRPr="00F32D8A" w:rsidRDefault="00F32D8A" w:rsidP="00F32D8A">
      <w:pPr>
        <w:tabs>
          <w:tab w:val="left" w:pos="709"/>
        </w:tabs>
        <w:spacing w:line="360" w:lineRule="auto"/>
        <w:jc w:val="both"/>
        <w:rPr>
          <w:rFonts w:ascii="Arial" w:hAnsi="Arial" w:cs="Arial"/>
          <w:sz w:val="22"/>
          <w:szCs w:val="22"/>
        </w:rPr>
      </w:pPr>
      <w:r w:rsidRPr="00B76F09">
        <w:rPr>
          <w:rFonts w:ascii="Arial" w:hAnsi="Arial" w:cs="Arial"/>
        </w:rPr>
        <w:t>[11]</w:t>
      </w:r>
      <w:r w:rsidRPr="00B76F09">
        <w:rPr>
          <w:rFonts w:ascii="Arial" w:hAnsi="Arial" w:cs="Arial"/>
        </w:rPr>
        <w:tab/>
      </w:r>
      <w:r w:rsidR="003F507B" w:rsidRPr="00F32D8A">
        <w:rPr>
          <w:rFonts w:ascii="Arial" w:hAnsi="Arial" w:cs="Arial"/>
        </w:rPr>
        <w:t xml:space="preserve">In this </w:t>
      </w:r>
      <w:r w:rsidR="00C94571" w:rsidRPr="00F32D8A">
        <w:rPr>
          <w:rFonts w:ascii="Arial" w:hAnsi="Arial" w:cs="Arial"/>
        </w:rPr>
        <w:t>division</w:t>
      </w:r>
      <w:r w:rsidR="003F507B" w:rsidRPr="00F32D8A">
        <w:rPr>
          <w:rFonts w:ascii="Arial" w:hAnsi="Arial" w:cs="Arial"/>
        </w:rPr>
        <w:t xml:space="preserve">, appeals in terms of the Act are launched by </w:t>
      </w:r>
      <w:r w:rsidR="00C65801" w:rsidRPr="00F32D8A">
        <w:rPr>
          <w:rFonts w:ascii="Arial" w:hAnsi="Arial" w:cs="Arial"/>
        </w:rPr>
        <w:t xml:space="preserve">way of a </w:t>
      </w:r>
      <w:r w:rsidR="003F507B" w:rsidRPr="00F32D8A">
        <w:rPr>
          <w:rFonts w:ascii="Arial" w:hAnsi="Arial" w:cs="Arial"/>
        </w:rPr>
        <w:t>notice of motion and affidavit(s).</w:t>
      </w:r>
      <w:r w:rsidR="003F507B" w:rsidRPr="00B76F09">
        <w:rPr>
          <w:rStyle w:val="FootnoteReference"/>
          <w:rFonts w:ascii="Arial" w:hAnsi="Arial" w:cs="Arial"/>
        </w:rPr>
        <w:footnoteReference w:id="9"/>
      </w:r>
      <w:r w:rsidR="003F507B" w:rsidRPr="00F32D8A">
        <w:rPr>
          <w:rFonts w:ascii="Arial" w:hAnsi="Arial" w:cs="Arial"/>
        </w:rPr>
        <w:t xml:space="preserve"> </w:t>
      </w:r>
      <w:r w:rsidR="007F644A" w:rsidRPr="00F32D8A">
        <w:rPr>
          <w:rFonts w:ascii="Arial" w:hAnsi="Arial" w:cs="Arial"/>
        </w:rPr>
        <w:t xml:space="preserve">This, however, does not </w:t>
      </w:r>
      <w:r w:rsidR="00C65801" w:rsidRPr="00F32D8A">
        <w:rPr>
          <w:rFonts w:ascii="Arial" w:hAnsi="Arial" w:cs="Arial"/>
        </w:rPr>
        <w:t>render</w:t>
      </w:r>
      <w:r w:rsidR="007F644A" w:rsidRPr="00F32D8A">
        <w:rPr>
          <w:rFonts w:ascii="Arial" w:hAnsi="Arial" w:cs="Arial"/>
        </w:rPr>
        <w:t xml:space="preserve"> it an application: it still remains an appeal. </w:t>
      </w:r>
      <w:r w:rsidR="00FA2A22" w:rsidRPr="00F32D8A">
        <w:rPr>
          <w:rFonts w:ascii="Arial" w:hAnsi="Arial" w:cs="Arial"/>
        </w:rPr>
        <w:t xml:space="preserve">What must be addressed in the appeal are the findings made by the </w:t>
      </w:r>
      <w:r w:rsidR="000959E6" w:rsidRPr="00F32D8A">
        <w:rPr>
          <w:rFonts w:ascii="Arial" w:hAnsi="Arial" w:cs="Arial"/>
        </w:rPr>
        <w:t>a</w:t>
      </w:r>
      <w:r w:rsidR="00800671" w:rsidRPr="00F32D8A">
        <w:rPr>
          <w:rFonts w:ascii="Arial" w:hAnsi="Arial" w:cs="Arial"/>
        </w:rPr>
        <w:t>djudicator</w:t>
      </w:r>
      <w:r w:rsidR="00FA2A22" w:rsidRPr="00F32D8A">
        <w:rPr>
          <w:rFonts w:ascii="Arial" w:hAnsi="Arial" w:cs="Arial"/>
        </w:rPr>
        <w:t xml:space="preserve">. </w:t>
      </w:r>
      <w:r w:rsidR="00FF38DC" w:rsidRPr="00F32D8A">
        <w:rPr>
          <w:rFonts w:ascii="Arial" w:hAnsi="Arial" w:cs="Arial"/>
        </w:rPr>
        <w:t xml:space="preserve">Indeed, practice directive 39.2 of this </w:t>
      </w:r>
      <w:r w:rsidR="00C94571" w:rsidRPr="00F32D8A">
        <w:rPr>
          <w:rFonts w:ascii="Arial" w:hAnsi="Arial" w:cs="Arial"/>
        </w:rPr>
        <w:t xml:space="preserve">division </w:t>
      </w:r>
      <w:r w:rsidR="00FF38DC" w:rsidRPr="00F32D8A">
        <w:rPr>
          <w:rFonts w:ascii="Arial" w:hAnsi="Arial" w:cs="Arial"/>
        </w:rPr>
        <w:t>states that the founding affidavit in such an appeal:</w:t>
      </w:r>
    </w:p>
    <w:p w14:paraId="219EED22" w14:textId="73B10324" w:rsidR="00FF38DC" w:rsidRPr="00B76F09" w:rsidRDefault="00FF38DC" w:rsidP="00FF38DC">
      <w:pPr>
        <w:pStyle w:val="ListParagraph"/>
        <w:tabs>
          <w:tab w:val="left" w:pos="709"/>
        </w:tabs>
        <w:spacing w:line="360" w:lineRule="auto"/>
        <w:ind w:left="0"/>
        <w:jc w:val="both"/>
        <w:rPr>
          <w:rFonts w:ascii="Arial" w:hAnsi="Arial" w:cs="Arial"/>
          <w:sz w:val="22"/>
          <w:szCs w:val="22"/>
        </w:rPr>
      </w:pPr>
      <w:r w:rsidRPr="00B76F09">
        <w:rPr>
          <w:rFonts w:ascii="Arial" w:hAnsi="Arial" w:cs="Arial"/>
          <w:sz w:val="22"/>
          <w:szCs w:val="22"/>
        </w:rPr>
        <w:t>‘</w:t>
      </w:r>
      <w:r w:rsidR="0039135A" w:rsidRPr="00B76F09">
        <w:rPr>
          <w:rFonts w:ascii="Arial" w:hAnsi="Arial" w:cs="Arial"/>
          <w:sz w:val="22"/>
          <w:szCs w:val="22"/>
        </w:rPr>
        <w:t>… shall not exceed ten (10) pages, will succinctly set out the grounds upon which it is alleged that the Adjudicator erred on a point of law.’</w:t>
      </w:r>
    </w:p>
    <w:p w14:paraId="0BE7C0D5" w14:textId="37E931AA" w:rsidR="007F644A" w:rsidRPr="00B76F09" w:rsidRDefault="00222D5A" w:rsidP="00317CB1">
      <w:pPr>
        <w:pStyle w:val="ListParagraph"/>
        <w:tabs>
          <w:tab w:val="left" w:pos="709"/>
        </w:tabs>
        <w:spacing w:line="360" w:lineRule="auto"/>
        <w:ind w:left="0"/>
        <w:jc w:val="both"/>
        <w:rPr>
          <w:rFonts w:ascii="Arial" w:hAnsi="Arial" w:cs="Arial"/>
          <w:sz w:val="22"/>
          <w:szCs w:val="22"/>
        </w:rPr>
      </w:pPr>
      <w:r w:rsidRPr="00B76F09">
        <w:rPr>
          <w:rFonts w:ascii="Arial" w:hAnsi="Arial" w:cs="Arial"/>
        </w:rPr>
        <w:t xml:space="preserve">The fact that the form of motion proceedings is the preferred method of presentation of the appeal does not mean, in my view, that an appellant is at liberty to raise issues that did not serve before the adjudicator. </w:t>
      </w:r>
      <w:r w:rsidR="00800671" w:rsidRPr="00B76F09">
        <w:rPr>
          <w:rFonts w:ascii="Arial" w:hAnsi="Arial" w:cs="Arial"/>
        </w:rPr>
        <w:t xml:space="preserve">In this particular appeal, the appellant has taken </w:t>
      </w:r>
      <w:r w:rsidR="00824785" w:rsidRPr="00B76F09">
        <w:rPr>
          <w:rFonts w:ascii="Arial" w:hAnsi="Arial" w:cs="Arial"/>
        </w:rPr>
        <w:t xml:space="preserve">a </w:t>
      </w:r>
      <w:r w:rsidR="00800671" w:rsidRPr="00B76F09">
        <w:rPr>
          <w:rFonts w:ascii="Arial" w:hAnsi="Arial" w:cs="Arial"/>
        </w:rPr>
        <w:t xml:space="preserve">point in limine </w:t>
      </w:r>
      <w:r w:rsidR="00E301AD" w:rsidRPr="00B76F09">
        <w:rPr>
          <w:rFonts w:ascii="Arial" w:hAnsi="Arial" w:cs="Arial"/>
        </w:rPr>
        <w:t xml:space="preserve">in his replying affidavit </w:t>
      </w:r>
      <w:r w:rsidR="00800671" w:rsidRPr="00B76F09">
        <w:rPr>
          <w:rFonts w:ascii="Arial" w:hAnsi="Arial" w:cs="Arial"/>
        </w:rPr>
        <w:t>regarding the legal standing of Mr Pearson</w:t>
      </w:r>
      <w:r w:rsidR="008A1913" w:rsidRPr="00B76F09">
        <w:rPr>
          <w:rFonts w:ascii="Arial" w:hAnsi="Arial" w:cs="Arial"/>
        </w:rPr>
        <w:t>, who deposed to the answering affidavit delivered by the first and second respondents</w:t>
      </w:r>
      <w:r w:rsidR="00800671" w:rsidRPr="00B76F09">
        <w:rPr>
          <w:rFonts w:ascii="Arial" w:hAnsi="Arial" w:cs="Arial"/>
        </w:rPr>
        <w:t xml:space="preserve">. This is not an issue that was before the third respondent and I </w:t>
      </w:r>
      <w:r w:rsidR="0067053E" w:rsidRPr="00B76F09">
        <w:rPr>
          <w:rFonts w:ascii="Arial" w:hAnsi="Arial" w:cs="Arial"/>
        </w:rPr>
        <w:t xml:space="preserve">consequently </w:t>
      </w:r>
      <w:r w:rsidR="00800671" w:rsidRPr="00B76F09">
        <w:rPr>
          <w:rFonts w:ascii="Arial" w:hAnsi="Arial" w:cs="Arial"/>
        </w:rPr>
        <w:t>shall not consider it.</w:t>
      </w:r>
    </w:p>
    <w:p w14:paraId="54DD53C4" w14:textId="77777777" w:rsidR="007F644A" w:rsidRPr="00B76F09" w:rsidRDefault="007F644A" w:rsidP="00AD31D2">
      <w:pPr>
        <w:pStyle w:val="ListParagraph"/>
        <w:spacing w:line="360" w:lineRule="auto"/>
        <w:rPr>
          <w:rFonts w:ascii="Arial" w:hAnsi="Arial" w:cs="Arial"/>
        </w:rPr>
      </w:pPr>
    </w:p>
    <w:p w14:paraId="19EBE8C3" w14:textId="6E5246F8" w:rsidR="003F507B" w:rsidRPr="00F32D8A" w:rsidRDefault="00F32D8A" w:rsidP="00F32D8A">
      <w:pPr>
        <w:tabs>
          <w:tab w:val="left" w:pos="709"/>
        </w:tabs>
        <w:spacing w:line="360" w:lineRule="auto"/>
        <w:jc w:val="both"/>
        <w:rPr>
          <w:rFonts w:ascii="Arial" w:hAnsi="Arial" w:cs="Arial"/>
          <w:sz w:val="22"/>
          <w:szCs w:val="22"/>
        </w:rPr>
      </w:pPr>
      <w:r w:rsidRPr="00B76F09">
        <w:rPr>
          <w:rFonts w:ascii="Arial" w:hAnsi="Arial" w:cs="Arial"/>
        </w:rPr>
        <w:t>[12]</w:t>
      </w:r>
      <w:r w:rsidRPr="00B76F09">
        <w:rPr>
          <w:rFonts w:ascii="Arial" w:hAnsi="Arial" w:cs="Arial"/>
        </w:rPr>
        <w:tab/>
      </w:r>
      <w:r w:rsidR="003F507B" w:rsidRPr="00F32D8A">
        <w:rPr>
          <w:rFonts w:ascii="Arial" w:hAnsi="Arial" w:cs="Arial"/>
        </w:rPr>
        <w:t>In the appellant’s notice of motion</w:t>
      </w:r>
      <w:r w:rsidR="007A190F" w:rsidRPr="00F32D8A">
        <w:rPr>
          <w:rFonts w:ascii="Arial" w:hAnsi="Arial" w:cs="Arial"/>
        </w:rPr>
        <w:t xml:space="preserve"> in this appeal</w:t>
      </w:r>
      <w:r w:rsidR="003F507B" w:rsidRPr="00F32D8A">
        <w:rPr>
          <w:rFonts w:ascii="Arial" w:hAnsi="Arial" w:cs="Arial"/>
        </w:rPr>
        <w:t>, the following relief is claimed:</w:t>
      </w:r>
    </w:p>
    <w:p w14:paraId="27B487A5" w14:textId="77777777" w:rsidR="006C4242" w:rsidRPr="00B76F09" w:rsidRDefault="003F507B" w:rsidP="003F507B">
      <w:pPr>
        <w:pStyle w:val="ListParagraph"/>
        <w:tabs>
          <w:tab w:val="left" w:pos="709"/>
        </w:tabs>
        <w:spacing w:line="360" w:lineRule="auto"/>
        <w:ind w:left="0"/>
        <w:jc w:val="both"/>
        <w:rPr>
          <w:rFonts w:ascii="Arial" w:hAnsi="Arial" w:cs="Arial"/>
          <w:sz w:val="22"/>
          <w:szCs w:val="22"/>
        </w:rPr>
      </w:pPr>
      <w:r w:rsidRPr="00B76F09">
        <w:rPr>
          <w:rFonts w:ascii="Arial" w:hAnsi="Arial" w:cs="Arial"/>
          <w:sz w:val="22"/>
          <w:szCs w:val="22"/>
        </w:rPr>
        <w:t>‘</w:t>
      </w:r>
      <w:r w:rsidR="006C4242" w:rsidRPr="00B76F09">
        <w:rPr>
          <w:rFonts w:ascii="Arial" w:hAnsi="Arial" w:cs="Arial"/>
          <w:sz w:val="22"/>
          <w:szCs w:val="22"/>
        </w:rPr>
        <w:t>1.</w:t>
      </w:r>
      <w:r w:rsidR="006C4242" w:rsidRPr="00B76F09">
        <w:rPr>
          <w:rFonts w:ascii="Arial" w:hAnsi="Arial" w:cs="Arial"/>
          <w:sz w:val="22"/>
          <w:szCs w:val="22"/>
        </w:rPr>
        <w:tab/>
        <w:t>The Applicant’s appeal in terms of section 57 of the CSOS Act is upheld.</w:t>
      </w:r>
    </w:p>
    <w:p w14:paraId="16A60BEF" w14:textId="77777777" w:rsidR="006C4242" w:rsidRPr="00B76F09" w:rsidRDefault="006C4242" w:rsidP="003F507B">
      <w:pPr>
        <w:pStyle w:val="ListParagraph"/>
        <w:tabs>
          <w:tab w:val="left" w:pos="709"/>
        </w:tabs>
        <w:spacing w:line="360" w:lineRule="auto"/>
        <w:ind w:left="0"/>
        <w:jc w:val="both"/>
        <w:rPr>
          <w:rFonts w:ascii="Arial" w:hAnsi="Arial" w:cs="Arial"/>
          <w:sz w:val="22"/>
          <w:szCs w:val="22"/>
        </w:rPr>
      </w:pPr>
      <w:r w:rsidRPr="00B76F09">
        <w:rPr>
          <w:rFonts w:ascii="Arial" w:hAnsi="Arial" w:cs="Arial"/>
          <w:sz w:val="22"/>
          <w:szCs w:val="22"/>
        </w:rPr>
        <w:t>2.</w:t>
      </w:r>
      <w:r w:rsidRPr="00B76F09">
        <w:rPr>
          <w:rFonts w:ascii="Arial" w:hAnsi="Arial" w:cs="Arial"/>
          <w:sz w:val="22"/>
          <w:szCs w:val="22"/>
        </w:rPr>
        <w:tab/>
        <w:t>The Order of the Third Respondent dated 28 June 2022 is set aside.</w:t>
      </w:r>
    </w:p>
    <w:p w14:paraId="0A4D44A7" w14:textId="6FCC72D1" w:rsidR="003F507B" w:rsidRPr="00B76F09" w:rsidRDefault="003F507B" w:rsidP="003F507B">
      <w:pPr>
        <w:pStyle w:val="ListParagraph"/>
        <w:tabs>
          <w:tab w:val="left" w:pos="709"/>
        </w:tabs>
        <w:spacing w:line="360" w:lineRule="auto"/>
        <w:ind w:left="0"/>
        <w:jc w:val="both"/>
        <w:rPr>
          <w:rFonts w:ascii="Arial" w:hAnsi="Arial" w:cs="Arial"/>
          <w:sz w:val="22"/>
          <w:szCs w:val="22"/>
        </w:rPr>
      </w:pPr>
      <w:r w:rsidRPr="00B76F09">
        <w:rPr>
          <w:rFonts w:ascii="Arial" w:hAnsi="Arial" w:cs="Arial"/>
          <w:sz w:val="22"/>
          <w:szCs w:val="22"/>
        </w:rPr>
        <w:t>3.</w:t>
      </w:r>
      <w:r w:rsidRPr="00B76F09">
        <w:rPr>
          <w:rFonts w:ascii="Arial" w:hAnsi="Arial" w:cs="Arial"/>
          <w:sz w:val="22"/>
          <w:szCs w:val="22"/>
        </w:rPr>
        <w:tab/>
        <w:t>It is declared that the Special Rules described as Annexure “R”, (Annexure “R”) being Annexure “HR2” to the founding affidavit of H Rampul, are inconsistent with the Sectional Titles Schemes Management Act, 2011 and are invalid.</w:t>
      </w:r>
    </w:p>
    <w:p w14:paraId="514F7CE7" w14:textId="77777777" w:rsidR="003F507B" w:rsidRPr="00B76F09" w:rsidRDefault="003F507B" w:rsidP="003F507B">
      <w:pPr>
        <w:pStyle w:val="ListParagraph"/>
        <w:tabs>
          <w:tab w:val="left" w:pos="709"/>
        </w:tabs>
        <w:spacing w:line="360" w:lineRule="auto"/>
        <w:ind w:left="0"/>
        <w:jc w:val="both"/>
        <w:rPr>
          <w:rFonts w:ascii="Arial" w:hAnsi="Arial" w:cs="Arial"/>
          <w:sz w:val="22"/>
          <w:szCs w:val="22"/>
        </w:rPr>
      </w:pPr>
      <w:r w:rsidRPr="00B76F09">
        <w:rPr>
          <w:rFonts w:ascii="Arial" w:hAnsi="Arial" w:cs="Arial"/>
          <w:sz w:val="22"/>
          <w:szCs w:val="22"/>
        </w:rPr>
        <w:t>4.</w:t>
      </w:r>
      <w:r w:rsidRPr="00B76F09">
        <w:rPr>
          <w:rFonts w:ascii="Arial" w:hAnsi="Arial" w:cs="Arial"/>
          <w:sz w:val="22"/>
          <w:szCs w:val="22"/>
        </w:rPr>
        <w:tab/>
        <w:t>Alternatively to paragraph 3 above, Rules 4.4, 4.5, 18, 31.1.2, 31.1.4.1, 63, Annexure “A”, Annexure “B1”, Annexure “B2” and Annexure “C” of Annexure “R” are declared to be inconsistent with the Sectional Titles Schemes Management Act, 2011 and are invalid.</w:t>
      </w:r>
    </w:p>
    <w:p w14:paraId="717799A2" w14:textId="1BD443A6" w:rsidR="003F507B" w:rsidRPr="00B76F09" w:rsidRDefault="003F507B" w:rsidP="008A1913">
      <w:pPr>
        <w:pStyle w:val="ListParagraph"/>
        <w:tabs>
          <w:tab w:val="left" w:pos="709"/>
        </w:tabs>
        <w:spacing w:line="360" w:lineRule="auto"/>
        <w:ind w:left="0"/>
        <w:jc w:val="both"/>
        <w:rPr>
          <w:rFonts w:ascii="Arial" w:hAnsi="Arial" w:cs="Arial"/>
          <w:sz w:val="22"/>
          <w:szCs w:val="22"/>
        </w:rPr>
      </w:pPr>
      <w:r w:rsidRPr="00B76F09">
        <w:rPr>
          <w:rFonts w:ascii="Arial" w:hAnsi="Arial" w:cs="Arial"/>
          <w:sz w:val="22"/>
          <w:szCs w:val="22"/>
        </w:rPr>
        <w:t>5.</w:t>
      </w:r>
      <w:r w:rsidRPr="00B76F09">
        <w:rPr>
          <w:rFonts w:ascii="Arial" w:hAnsi="Arial" w:cs="Arial"/>
          <w:sz w:val="22"/>
          <w:szCs w:val="22"/>
        </w:rPr>
        <w:tab/>
        <w:t>It is declared that as from 7</w:t>
      </w:r>
      <w:r w:rsidRPr="00B76F09">
        <w:rPr>
          <w:rFonts w:ascii="Arial" w:hAnsi="Arial" w:cs="Arial"/>
          <w:sz w:val="22"/>
          <w:szCs w:val="22"/>
          <w:vertAlign w:val="superscript"/>
        </w:rPr>
        <w:t>th</w:t>
      </w:r>
      <w:r w:rsidRPr="00B76F09">
        <w:rPr>
          <w:rFonts w:ascii="Arial" w:hAnsi="Arial" w:cs="Arial"/>
          <w:sz w:val="22"/>
          <w:szCs w:val="22"/>
        </w:rPr>
        <w:t xml:space="preserve"> October 2016, the Prescribed Management Rules set forth in Annexure “1” to the Regulations of the Sectional Title Schemes Management Act, 2011 shall apply to the Second Respondent.’</w:t>
      </w:r>
    </w:p>
    <w:p w14:paraId="71927A8C" w14:textId="277FBF7A" w:rsidR="00B33CF9" w:rsidRPr="00B76F09" w:rsidRDefault="00B33CF9" w:rsidP="003F507B">
      <w:pPr>
        <w:pStyle w:val="ListParagraph"/>
        <w:tabs>
          <w:tab w:val="left" w:pos="709"/>
        </w:tabs>
        <w:spacing w:line="360" w:lineRule="auto"/>
        <w:ind w:left="0"/>
        <w:jc w:val="both"/>
        <w:rPr>
          <w:rFonts w:ascii="Arial" w:hAnsi="Arial" w:cs="Arial"/>
        </w:rPr>
      </w:pPr>
    </w:p>
    <w:p w14:paraId="0E1D35F2" w14:textId="4426EB85" w:rsidR="00B06E6C" w:rsidRPr="00F32D8A" w:rsidRDefault="00F32D8A" w:rsidP="00F32D8A">
      <w:pPr>
        <w:tabs>
          <w:tab w:val="left" w:pos="709"/>
        </w:tabs>
        <w:spacing w:line="360" w:lineRule="auto"/>
        <w:jc w:val="both"/>
        <w:rPr>
          <w:rFonts w:ascii="Arial" w:hAnsi="Arial" w:cs="Arial"/>
        </w:rPr>
      </w:pPr>
      <w:r>
        <w:rPr>
          <w:rFonts w:ascii="Arial" w:hAnsi="Arial" w:cs="Arial"/>
        </w:rPr>
        <w:t>[13]</w:t>
      </w:r>
      <w:r>
        <w:rPr>
          <w:rFonts w:ascii="Arial" w:hAnsi="Arial" w:cs="Arial"/>
        </w:rPr>
        <w:tab/>
      </w:r>
      <w:r w:rsidR="006A36A7" w:rsidRPr="00F32D8A">
        <w:rPr>
          <w:rFonts w:ascii="Arial" w:hAnsi="Arial" w:cs="Arial"/>
        </w:rPr>
        <w:t xml:space="preserve">Central to the proceedings before the third respondent, and in this appeal, is </w:t>
      </w:r>
    </w:p>
    <w:p w14:paraId="0900026C" w14:textId="2A515B02" w:rsidR="00796656" w:rsidRPr="00B76F09" w:rsidRDefault="006A36A7" w:rsidP="00B06E6C">
      <w:pPr>
        <w:pStyle w:val="ListParagraph"/>
        <w:tabs>
          <w:tab w:val="left" w:pos="709"/>
        </w:tabs>
        <w:spacing w:line="360" w:lineRule="auto"/>
        <w:ind w:left="0"/>
        <w:jc w:val="both"/>
        <w:rPr>
          <w:rFonts w:ascii="Arial" w:hAnsi="Arial" w:cs="Arial"/>
        </w:rPr>
      </w:pPr>
      <w:r w:rsidRPr="00B76F09">
        <w:rPr>
          <w:rFonts w:ascii="Arial" w:hAnsi="Arial" w:cs="Arial"/>
        </w:rPr>
        <w:lastRenderedPageBreak/>
        <w:t xml:space="preserve">the </w:t>
      </w:r>
      <w:r w:rsidR="001F17D7" w:rsidRPr="00B76F09">
        <w:rPr>
          <w:rFonts w:ascii="Arial" w:hAnsi="Arial" w:cs="Arial"/>
        </w:rPr>
        <w:t xml:space="preserve">appellant’s complaint </w:t>
      </w:r>
      <w:r w:rsidRPr="00B76F09">
        <w:rPr>
          <w:rFonts w:ascii="Arial" w:hAnsi="Arial" w:cs="Arial"/>
        </w:rPr>
        <w:t>concerning a</w:t>
      </w:r>
      <w:r w:rsidR="001F17D7" w:rsidRPr="00B76F09">
        <w:rPr>
          <w:rFonts w:ascii="Arial" w:hAnsi="Arial" w:cs="Arial"/>
        </w:rPr>
        <w:t xml:space="preserve"> document </w:t>
      </w:r>
      <w:r w:rsidRPr="00B76F09">
        <w:rPr>
          <w:rFonts w:ascii="Arial" w:hAnsi="Arial" w:cs="Arial"/>
        </w:rPr>
        <w:t xml:space="preserve">referred to </w:t>
      </w:r>
      <w:r w:rsidR="009A1F87" w:rsidRPr="00B76F09">
        <w:rPr>
          <w:rFonts w:ascii="Arial" w:hAnsi="Arial" w:cs="Arial"/>
        </w:rPr>
        <w:t xml:space="preserve">variously </w:t>
      </w:r>
      <w:r w:rsidRPr="00B76F09">
        <w:rPr>
          <w:rFonts w:ascii="Arial" w:hAnsi="Arial" w:cs="Arial"/>
        </w:rPr>
        <w:t>as</w:t>
      </w:r>
      <w:r w:rsidR="00EA6FCC" w:rsidRPr="00B76F09">
        <w:rPr>
          <w:rFonts w:ascii="Arial" w:hAnsi="Arial" w:cs="Arial"/>
        </w:rPr>
        <w:t xml:space="preserve"> </w:t>
      </w:r>
      <w:r w:rsidR="00106CCD">
        <w:rPr>
          <w:rFonts w:ascii="Arial" w:hAnsi="Arial" w:cs="Arial"/>
        </w:rPr>
        <w:t>‘</w:t>
      </w:r>
      <w:r w:rsidR="00EA6FCC" w:rsidRPr="00B76F09">
        <w:rPr>
          <w:rFonts w:ascii="Arial" w:hAnsi="Arial" w:cs="Arial"/>
        </w:rPr>
        <w:t>Annexure “R”</w:t>
      </w:r>
      <w:r w:rsidR="00106CCD">
        <w:rPr>
          <w:rFonts w:ascii="Arial" w:hAnsi="Arial" w:cs="Arial"/>
        </w:rPr>
        <w:t>’</w:t>
      </w:r>
      <w:r w:rsidR="001F17D7" w:rsidRPr="00B76F09">
        <w:rPr>
          <w:rFonts w:ascii="Arial" w:hAnsi="Arial" w:cs="Arial"/>
        </w:rPr>
        <w:t xml:space="preserve">, </w:t>
      </w:r>
      <w:r w:rsidR="009A1F87" w:rsidRPr="00B76F09">
        <w:rPr>
          <w:rFonts w:ascii="Arial" w:hAnsi="Arial" w:cs="Arial"/>
        </w:rPr>
        <w:t>or</w:t>
      </w:r>
      <w:r w:rsidR="001F17D7" w:rsidRPr="00B76F09">
        <w:rPr>
          <w:rFonts w:ascii="Arial" w:hAnsi="Arial" w:cs="Arial"/>
        </w:rPr>
        <w:t xml:space="preserve"> </w:t>
      </w:r>
      <w:r w:rsidR="00222D5A" w:rsidRPr="00B76F09">
        <w:rPr>
          <w:rFonts w:ascii="Arial" w:hAnsi="Arial" w:cs="Arial"/>
        </w:rPr>
        <w:t xml:space="preserve">as </w:t>
      </w:r>
      <w:r w:rsidR="001F17D7" w:rsidRPr="00B76F09">
        <w:rPr>
          <w:rFonts w:ascii="Arial" w:hAnsi="Arial" w:cs="Arial"/>
        </w:rPr>
        <w:t>the ‘</w:t>
      </w:r>
      <w:r w:rsidRPr="00B76F09">
        <w:rPr>
          <w:rFonts w:ascii="Arial" w:hAnsi="Arial" w:cs="Arial"/>
        </w:rPr>
        <w:t>s</w:t>
      </w:r>
      <w:r w:rsidR="001F17D7" w:rsidRPr="00B76F09">
        <w:rPr>
          <w:rFonts w:ascii="Arial" w:hAnsi="Arial" w:cs="Arial"/>
        </w:rPr>
        <w:t xml:space="preserve">pecial </w:t>
      </w:r>
      <w:r w:rsidRPr="00B76F09">
        <w:rPr>
          <w:rFonts w:ascii="Arial" w:hAnsi="Arial" w:cs="Arial"/>
        </w:rPr>
        <w:t>r</w:t>
      </w:r>
      <w:r w:rsidR="001F17D7" w:rsidRPr="00B76F09">
        <w:rPr>
          <w:rFonts w:ascii="Arial" w:hAnsi="Arial" w:cs="Arial"/>
        </w:rPr>
        <w:t xml:space="preserve">ules’. </w:t>
      </w:r>
      <w:r w:rsidR="00D7161A" w:rsidRPr="00B76F09">
        <w:rPr>
          <w:rFonts w:ascii="Arial" w:hAnsi="Arial" w:cs="Arial"/>
        </w:rPr>
        <w:t xml:space="preserve">I </w:t>
      </w:r>
      <w:r w:rsidR="0074026F" w:rsidRPr="00B76F09">
        <w:rPr>
          <w:rFonts w:ascii="Arial" w:hAnsi="Arial" w:cs="Arial"/>
        </w:rPr>
        <w:t>p</w:t>
      </w:r>
      <w:r w:rsidR="00FA04A2" w:rsidRPr="00B76F09">
        <w:rPr>
          <w:rFonts w:ascii="Arial" w:hAnsi="Arial" w:cs="Arial"/>
        </w:rPr>
        <w:t>refer to</w:t>
      </w:r>
      <w:r w:rsidR="0074026F" w:rsidRPr="00B76F09">
        <w:rPr>
          <w:rFonts w:ascii="Arial" w:hAnsi="Arial" w:cs="Arial"/>
        </w:rPr>
        <w:t xml:space="preserve"> refer to</w:t>
      </w:r>
      <w:r w:rsidR="00FA04A2" w:rsidRPr="00B76F09">
        <w:rPr>
          <w:rFonts w:ascii="Arial" w:hAnsi="Arial" w:cs="Arial"/>
        </w:rPr>
        <w:t xml:space="preserve"> it</w:t>
      </w:r>
      <w:r w:rsidR="001F17D7" w:rsidRPr="00B76F09">
        <w:rPr>
          <w:rFonts w:ascii="Arial" w:hAnsi="Arial" w:cs="Arial"/>
        </w:rPr>
        <w:t xml:space="preserve"> </w:t>
      </w:r>
      <w:r w:rsidRPr="00B76F09">
        <w:rPr>
          <w:rFonts w:ascii="Arial" w:hAnsi="Arial" w:cs="Arial"/>
        </w:rPr>
        <w:t>by the latter name.</w:t>
      </w:r>
      <w:r w:rsidR="001F17D7" w:rsidRPr="00B76F09">
        <w:rPr>
          <w:rFonts w:ascii="Arial" w:hAnsi="Arial" w:cs="Arial"/>
        </w:rPr>
        <w:t xml:space="preserve"> </w:t>
      </w:r>
      <w:r w:rsidR="00D7161A" w:rsidRPr="00B76F09">
        <w:rPr>
          <w:rFonts w:ascii="Arial" w:hAnsi="Arial" w:cs="Arial"/>
        </w:rPr>
        <w:t xml:space="preserve">It is the fulcrum around which this appeal </w:t>
      </w:r>
      <w:r w:rsidR="0074026F" w:rsidRPr="00B76F09">
        <w:rPr>
          <w:rFonts w:ascii="Arial" w:hAnsi="Arial" w:cs="Arial"/>
        </w:rPr>
        <w:t>moves</w:t>
      </w:r>
      <w:r w:rsidR="00D7161A" w:rsidRPr="00B76F09">
        <w:rPr>
          <w:rFonts w:ascii="Arial" w:hAnsi="Arial" w:cs="Arial"/>
        </w:rPr>
        <w:t xml:space="preserve">. </w:t>
      </w:r>
      <w:r w:rsidR="00F54536" w:rsidRPr="00B76F09">
        <w:rPr>
          <w:rFonts w:ascii="Arial" w:hAnsi="Arial" w:cs="Arial"/>
        </w:rPr>
        <w:t>The special rules came into being in 1994. When the building was first constructed in 1965, it was initially operated as a</w:t>
      </w:r>
      <w:r w:rsidR="00493C7F" w:rsidRPr="00B76F09">
        <w:rPr>
          <w:rFonts w:ascii="Arial" w:hAnsi="Arial" w:cs="Arial"/>
        </w:rPr>
        <w:t xml:space="preserve"> share block scheme. In 1994, the developer, Romwood Share Block Investments Limited (Romwood), converted it to a sectional title scheme. </w:t>
      </w:r>
      <w:r w:rsidR="00155500" w:rsidRPr="00B76F09">
        <w:rPr>
          <w:rFonts w:ascii="Arial" w:hAnsi="Arial" w:cs="Arial"/>
        </w:rPr>
        <w:t>Contemporaneously with the act of</w:t>
      </w:r>
      <w:r w:rsidR="00493C7F" w:rsidRPr="00B76F09">
        <w:rPr>
          <w:rFonts w:ascii="Arial" w:hAnsi="Arial" w:cs="Arial"/>
        </w:rPr>
        <w:t xml:space="preserve"> conversion, Romwood filed the</w:t>
      </w:r>
      <w:r w:rsidR="00F54536" w:rsidRPr="00B76F09">
        <w:rPr>
          <w:rFonts w:ascii="Arial" w:hAnsi="Arial" w:cs="Arial"/>
        </w:rPr>
        <w:t xml:space="preserve"> special rules with the </w:t>
      </w:r>
      <w:r w:rsidR="00493C7F" w:rsidRPr="00B76F09">
        <w:rPr>
          <w:rFonts w:ascii="Arial" w:hAnsi="Arial" w:cs="Arial"/>
        </w:rPr>
        <w:t>Registrar of Deeds. Th</w:t>
      </w:r>
      <w:r w:rsidR="00F54536" w:rsidRPr="00B76F09">
        <w:rPr>
          <w:rFonts w:ascii="Arial" w:hAnsi="Arial" w:cs="Arial"/>
        </w:rPr>
        <w:t xml:space="preserve">ey have remained in place since then. </w:t>
      </w:r>
    </w:p>
    <w:p w14:paraId="60699956" w14:textId="77777777" w:rsidR="00780961" w:rsidRPr="00B76F09" w:rsidRDefault="00780961" w:rsidP="00780961">
      <w:pPr>
        <w:pStyle w:val="ListParagraph"/>
        <w:tabs>
          <w:tab w:val="left" w:pos="709"/>
        </w:tabs>
        <w:spacing w:line="360" w:lineRule="auto"/>
        <w:ind w:left="0"/>
        <w:jc w:val="both"/>
        <w:rPr>
          <w:rFonts w:ascii="Arial" w:hAnsi="Arial" w:cs="Arial"/>
        </w:rPr>
      </w:pPr>
    </w:p>
    <w:p w14:paraId="6AE695E7" w14:textId="52131419" w:rsidR="006208A9" w:rsidRPr="00F32D8A" w:rsidRDefault="00F32D8A" w:rsidP="00F32D8A">
      <w:pPr>
        <w:tabs>
          <w:tab w:val="left" w:pos="709"/>
        </w:tabs>
        <w:spacing w:line="360" w:lineRule="auto"/>
        <w:jc w:val="both"/>
        <w:rPr>
          <w:rFonts w:ascii="Arial" w:hAnsi="Arial" w:cs="Arial"/>
        </w:rPr>
      </w:pPr>
      <w:r w:rsidRPr="00B76F09">
        <w:rPr>
          <w:rFonts w:ascii="Arial" w:hAnsi="Arial" w:cs="Arial"/>
        </w:rPr>
        <w:t>[14]</w:t>
      </w:r>
      <w:r w:rsidRPr="00B76F09">
        <w:rPr>
          <w:rFonts w:ascii="Arial" w:hAnsi="Arial" w:cs="Arial"/>
        </w:rPr>
        <w:tab/>
      </w:r>
      <w:r w:rsidR="00FA0241" w:rsidRPr="00F32D8A">
        <w:rPr>
          <w:rFonts w:ascii="Arial" w:hAnsi="Arial" w:cs="Arial"/>
        </w:rPr>
        <w:t>Before the third respondent, t</w:t>
      </w:r>
      <w:r w:rsidR="001F17D7" w:rsidRPr="00F32D8A">
        <w:rPr>
          <w:rFonts w:ascii="Arial" w:hAnsi="Arial" w:cs="Arial"/>
        </w:rPr>
        <w:t>he appellant</w:t>
      </w:r>
      <w:r w:rsidR="00A43521" w:rsidRPr="00F32D8A">
        <w:rPr>
          <w:rFonts w:ascii="Arial" w:hAnsi="Arial" w:cs="Arial"/>
        </w:rPr>
        <w:t xml:space="preserve">’s </w:t>
      </w:r>
      <w:r w:rsidR="00155500" w:rsidRPr="00F32D8A">
        <w:rPr>
          <w:rFonts w:ascii="Arial" w:hAnsi="Arial" w:cs="Arial"/>
        </w:rPr>
        <w:t xml:space="preserve">principal complaint </w:t>
      </w:r>
      <w:r w:rsidR="00A43521" w:rsidRPr="00F32D8A">
        <w:rPr>
          <w:rFonts w:ascii="Arial" w:hAnsi="Arial" w:cs="Arial"/>
        </w:rPr>
        <w:t>was</w:t>
      </w:r>
      <w:r w:rsidR="001F17D7" w:rsidRPr="00F32D8A">
        <w:rPr>
          <w:rFonts w:ascii="Arial" w:hAnsi="Arial" w:cs="Arial"/>
        </w:rPr>
        <w:t xml:space="preserve"> that the special rules unfairly discriminate against owners of residential </w:t>
      </w:r>
      <w:r w:rsidR="00885745" w:rsidRPr="00F32D8A">
        <w:rPr>
          <w:rFonts w:ascii="Arial" w:hAnsi="Arial" w:cs="Arial"/>
        </w:rPr>
        <w:t>section</w:t>
      </w:r>
      <w:r w:rsidR="001F17D7" w:rsidRPr="00F32D8A">
        <w:rPr>
          <w:rFonts w:ascii="Arial" w:hAnsi="Arial" w:cs="Arial"/>
        </w:rPr>
        <w:t xml:space="preserve">s </w:t>
      </w:r>
      <w:r w:rsidR="00885745" w:rsidRPr="00F32D8A">
        <w:rPr>
          <w:rFonts w:ascii="Arial" w:hAnsi="Arial" w:cs="Arial"/>
        </w:rPr>
        <w:t xml:space="preserve">in the second respondent </w:t>
      </w:r>
      <w:r w:rsidR="00F429ED" w:rsidRPr="00F32D8A">
        <w:rPr>
          <w:rFonts w:ascii="Arial" w:hAnsi="Arial" w:cs="Arial"/>
        </w:rPr>
        <w:t xml:space="preserve">by granting the owners of commercial </w:t>
      </w:r>
      <w:r w:rsidR="00885745" w:rsidRPr="00F32D8A">
        <w:rPr>
          <w:rFonts w:ascii="Arial" w:hAnsi="Arial" w:cs="Arial"/>
        </w:rPr>
        <w:t>section</w:t>
      </w:r>
      <w:r w:rsidR="00F429ED" w:rsidRPr="00F32D8A">
        <w:rPr>
          <w:rFonts w:ascii="Arial" w:hAnsi="Arial" w:cs="Arial"/>
        </w:rPr>
        <w:t>s 75 percent of the vote at general meetings when the</w:t>
      </w:r>
      <w:r w:rsidR="00F7161D" w:rsidRPr="00F32D8A">
        <w:rPr>
          <w:rFonts w:ascii="Arial" w:hAnsi="Arial" w:cs="Arial"/>
        </w:rPr>
        <w:t xml:space="preserve"> commercial </w:t>
      </w:r>
      <w:r w:rsidR="00885745" w:rsidRPr="00F32D8A">
        <w:rPr>
          <w:rFonts w:ascii="Arial" w:hAnsi="Arial" w:cs="Arial"/>
        </w:rPr>
        <w:t>section</w:t>
      </w:r>
      <w:r w:rsidR="00F7161D" w:rsidRPr="00F32D8A">
        <w:rPr>
          <w:rFonts w:ascii="Arial" w:hAnsi="Arial" w:cs="Arial"/>
        </w:rPr>
        <w:t>s</w:t>
      </w:r>
      <w:r w:rsidR="00F429ED" w:rsidRPr="00F32D8A">
        <w:rPr>
          <w:rFonts w:ascii="Arial" w:hAnsi="Arial" w:cs="Arial"/>
        </w:rPr>
        <w:t xml:space="preserve"> only comprise 2</w:t>
      </w:r>
      <w:r w:rsidR="00155500" w:rsidRPr="00F32D8A">
        <w:rPr>
          <w:rFonts w:ascii="Arial" w:hAnsi="Arial" w:cs="Arial"/>
        </w:rPr>
        <w:t>7</w:t>
      </w:r>
      <w:r w:rsidR="00F429ED" w:rsidRPr="00F32D8A">
        <w:rPr>
          <w:rFonts w:ascii="Arial" w:hAnsi="Arial" w:cs="Arial"/>
        </w:rPr>
        <w:t xml:space="preserve"> percent</w:t>
      </w:r>
      <w:r w:rsidR="006A36A7" w:rsidRPr="00B76F09">
        <w:rPr>
          <w:rStyle w:val="FootnoteReference"/>
          <w:rFonts w:ascii="Arial" w:hAnsi="Arial" w:cs="Arial"/>
        </w:rPr>
        <w:footnoteReference w:id="10"/>
      </w:r>
      <w:r w:rsidR="00F429ED" w:rsidRPr="00F32D8A">
        <w:rPr>
          <w:rFonts w:ascii="Arial" w:hAnsi="Arial" w:cs="Arial"/>
        </w:rPr>
        <w:t xml:space="preserve"> of the total area of </w:t>
      </w:r>
      <w:r w:rsidR="005A47C6" w:rsidRPr="00F32D8A">
        <w:rPr>
          <w:rFonts w:ascii="Arial" w:hAnsi="Arial" w:cs="Arial"/>
        </w:rPr>
        <w:t>all</w:t>
      </w:r>
      <w:r w:rsidR="00F429ED" w:rsidRPr="00F32D8A">
        <w:rPr>
          <w:rFonts w:ascii="Arial" w:hAnsi="Arial" w:cs="Arial"/>
        </w:rPr>
        <w:t xml:space="preserve"> the </w:t>
      </w:r>
      <w:r w:rsidR="00885745" w:rsidRPr="00F32D8A">
        <w:rPr>
          <w:rFonts w:ascii="Arial" w:hAnsi="Arial" w:cs="Arial"/>
        </w:rPr>
        <w:t>section</w:t>
      </w:r>
      <w:r w:rsidR="00F429ED" w:rsidRPr="00F32D8A">
        <w:rPr>
          <w:rFonts w:ascii="Arial" w:hAnsi="Arial" w:cs="Arial"/>
        </w:rPr>
        <w:t xml:space="preserve">s in the second respondent. </w:t>
      </w:r>
      <w:r w:rsidR="005A47C6" w:rsidRPr="00F32D8A">
        <w:rPr>
          <w:rFonts w:ascii="Arial" w:hAnsi="Arial" w:cs="Arial"/>
        </w:rPr>
        <w:t>Thus,</w:t>
      </w:r>
      <w:r w:rsidR="00F7161D" w:rsidRPr="00F32D8A">
        <w:rPr>
          <w:rFonts w:ascii="Arial" w:hAnsi="Arial" w:cs="Arial"/>
        </w:rPr>
        <w:t xml:space="preserve"> the owners of residential </w:t>
      </w:r>
      <w:r w:rsidR="00885745" w:rsidRPr="00F32D8A">
        <w:rPr>
          <w:rFonts w:ascii="Arial" w:hAnsi="Arial" w:cs="Arial"/>
        </w:rPr>
        <w:t>section</w:t>
      </w:r>
      <w:r w:rsidR="00F7161D" w:rsidRPr="00F32D8A">
        <w:rPr>
          <w:rFonts w:ascii="Arial" w:hAnsi="Arial" w:cs="Arial"/>
        </w:rPr>
        <w:t xml:space="preserve">s, which comprise </w:t>
      </w:r>
      <w:r w:rsidR="00155500" w:rsidRPr="00F32D8A">
        <w:rPr>
          <w:rFonts w:ascii="Arial" w:hAnsi="Arial" w:cs="Arial"/>
        </w:rPr>
        <w:t>68</w:t>
      </w:r>
      <w:r w:rsidR="00F7161D" w:rsidRPr="00F32D8A">
        <w:rPr>
          <w:rFonts w:ascii="Arial" w:hAnsi="Arial" w:cs="Arial"/>
        </w:rPr>
        <w:t xml:space="preserve"> percent of the scheme</w:t>
      </w:r>
      <w:r w:rsidR="00885745" w:rsidRPr="00F32D8A">
        <w:rPr>
          <w:rFonts w:ascii="Arial" w:hAnsi="Arial" w:cs="Arial"/>
        </w:rPr>
        <w:t>,</w:t>
      </w:r>
      <w:r w:rsidR="00A43521" w:rsidRPr="00B76F09">
        <w:rPr>
          <w:rStyle w:val="FootnoteReference"/>
          <w:rFonts w:ascii="Arial" w:hAnsi="Arial" w:cs="Arial"/>
        </w:rPr>
        <w:footnoteReference w:id="11"/>
      </w:r>
      <w:r w:rsidR="00F7161D" w:rsidRPr="00F32D8A">
        <w:rPr>
          <w:rFonts w:ascii="Arial" w:hAnsi="Arial" w:cs="Arial"/>
        </w:rPr>
        <w:t xml:space="preserve"> only have 25 percent of the vote at such meetings.</w:t>
      </w:r>
      <w:r w:rsidR="00F54536" w:rsidRPr="00F32D8A">
        <w:rPr>
          <w:rFonts w:ascii="Arial" w:hAnsi="Arial" w:cs="Arial"/>
        </w:rPr>
        <w:t xml:space="preserve"> </w:t>
      </w:r>
      <w:r w:rsidR="00B86325" w:rsidRPr="00F32D8A">
        <w:rPr>
          <w:rFonts w:ascii="Arial" w:hAnsi="Arial" w:cs="Arial"/>
        </w:rPr>
        <w:t>The appellant contends that</w:t>
      </w:r>
      <w:r w:rsidR="006208A9" w:rsidRPr="00F32D8A">
        <w:rPr>
          <w:rFonts w:ascii="Arial" w:hAnsi="Arial" w:cs="Arial"/>
        </w:rPr>
        <w:t>:</w:t>
      </w:r>
    </w:p>
    <w:p w14:paraId="03E6D12F" w14:textId="4B2DCC99" w:rsidR="006208A9" w:rsidRPr="00B76F09" w:rsidRDefault="006208A9" w:rsidP="006208A9">
      <w:pPr>
        <w:pStyle w:val="ListParagraph"/>
        <w:tabs>
          <w:tab w:val="left" w:pos="709"/>
        </w:tabs>
        <w:spacing w:line="360" w:lineRule="auto"/>
        <w:ind w:left="0"/>
        <w:jc w:val="both"/>
        <w:rPr>
          <w:rFonts w:ascii="Arial" w:hAnsi="Arial" w:cs="Arial"/>
          <w:sz w:val="22"/>
          <w:szCs w:val="22"/>
        </w:rPr>
      </w:pPr>
      <w:r w:rsidRPr="00B76F09">
        <w:rPr>
          <w:rFonts w:ascii="Arial" w:hAnsi="Arial" w:cs="Arial"/>
          <w:sz w:val="22"/>
          <w:szCs w:val="22"/>
        </w:rPr>
        <w:t>‘</w:t>
      </w:r>
      <w:r w:rsidR="000008FD" w:rsidRPr="00B76F09">
        <w:rPr>
          <w:rFonts w:ascii="Arial" w:hAnsi="Arial" w:cs="Arial"/>
          <w:sz w:val="22"/>
          <w:szCs w:val="22"/>
        </w:rPr>
        <w:t>[t]here is simply no commercial rationale or rational basis for conferring upon the commercial component 75% of the vote</w:t>
      </w:r>
      <w:r w:rsidR="006C7C9E" w:rsidRPr="00B76F09">
        <w:rPr>
          <w:rFonts w:ascii="Arial" w:hAnsi="Arial" w:cs="Arial"/>
          <w:sz w:val="22"/>
          <w:szCs w:val="22"/>
        </w:rPr>
        <w:t xml:space="preserve"> …’</w:t>
      </w:r>
    </w:p>
    <w:p w14:paraId="370EDF13" w14:textId="1F567315" w:rsidR="00222D5A" w:rsidRPr="00B76F09" w:rsidRDefault="00222D5A" w:rsidP="006208A9">
      <w:pPr>
        <w:pStyle w:val="ListParagraph"/>
        <w:tabs>
          <w:tab w:val="left" w:pos="709"/>
        </w:tabs>
        <w:spacing w:line="360" w:lineRule="auto"/>
        <w:ind w:left="0"/>
        <w:jc w:val="both"/>
        <w:rPr>
          <w:rFonts w:ascii="Arial" w:hAnsi="Arial" w:cs="Arial"/>
        </w:rPr>
      </w:pPr>
      <w:r w:rsidRPr="00B76F09">
        <w:rPr>
          <w:rFonts w:ascii="Arial" w:hAnsi="Arial" w:cs="Arial"/>
        </w:rPr>
        <w:t>According to the appellant:</w:t>
      </w:r>
    </w:p>
    <w:p w14:paraId="52899F94" w14:textId="1C6CE27D" w:rsidR="00222D5A" w:rsidRPr="00B76F09" w:rsidRDefault="00222D5A" w:rsidP="006208A9">
      <w:pPr>
        <w:pStyle w:val="ListParagraph"/>
        <w:tabs>
          <w:tab w:val="left" w:pos="709"/>
        </w:tabs>
        <w:spacing w:line="360" w:lineRule="auto"/>
        <w:ind w:left="0"/>
        <w:jc w:val="both"/>
        <w:rPr>
          <w:rFonts w:ascii="Arial" w:hAnsi="Arial" w:cs="Arial"/>
          <w:sz w:val="22"/>
          <w:szCs w:val="22"/>
        </w:rPr>
      </w:pPr>
      <w:r w:rsidRPr="00B76F09">
        <w:rPr>
          <w:rFonts w:ascii="Arial" w:hAnsi="Arial" w:cs="Arial"/>
          <w:sz w:val="22"/>
          <w:szCs w:val="22"/>
        </w:rPr>
        <w:t>‘The abovementioned rules are clearly unfair, unequal and prejudicial to the residential unit owners …’.</w:t>
      </w:r>
    </w:p>
    <w:p w14:paraId="1CB8B213" w14:textId="77777777" w:rsidR="006208A9" w:rsidRPr="00B76F09" w:rsidRDefault="006208A9" w:rsidP="006208A9">
      <w:pPr>
        <w:pStyle w:val="ListParagraph"/>
        <w:rPr>
          <w:rFonts w:ascii="Arial" w:hAnsi="Arial" w:cs="Arial"/>
        </w:rPr>
      </w:pPr>
    </w:p>
    <w:p w14:paraId="4E2C699C" w14:textId="3BA32097" w:rsidR="003F507B" w:rsidRPr="00F32D8A" w:rsidRDefault="00F32D8A" w:rsidP="00F32D8A">
      <w:pPr>
        <w:tabs>
          <w:tab w:val="left" w:pos="709"/>
        </w:tabs>
        <w:spacing w:line="360" w:lineRule="auto"/>
        <w:jc w:val="both"/>
        <w:rPr>
          <w:rFonts w:ascii="Arial" w:hAnsi="Arial" w:cs="Arial"/>
        </w:rPr>
      </w:pPr>
      <w:r w:rsidRPr="00B76F09">
        <w:rPr>
          <w:rFonts w:ascii="Arial" w:hAnsi="Arial" w:cs="Arial"/>
        </w:rPr>
        <w:t>[15]</w:t>
      </w:r>
      <w:r w:rsidRPr="00B76F09">
        <w:rPr>
          <w:rFonts w:ascii="Arial" w:hAnsi="Arial" w:cs="Arial"/>
        </w:rPr>
        <w:tab/>
      </w:r>
      <w:r w:rsidR="00FA04A2" w:rsidRPr="00F32D8A">
        <w:rPr>
          <w:rFonts w:ascii="Arial" w:hAnsi="Arial" w:cs="Arial"/>
        </w:rPr>
        <w:t>The result of this, so the app</w:t>
      </w:r>
      <w:r w:rsidR="00210FC6" w:rsidRPr="00F32D8A">
        <w:rPr>
          <w:rFonts w:ascii="Arial" w:hAnsi="Arial" w:cs="Arial"/>
        </w:rPr>
        <w:t>ellant</w:t>
      </w:r>
      <w:r w:rsidR="00FA04A2" w:rsidRPr="00F32D8A">
        <w:rPr>
          <w:rFonts w:ascii="Arial" w:hAnsi="Arial" w:cs="Arial"/>
        </w:rPr>
        <w:t xml:space="preserve"> contends, is that the</w:t>
      </w:r>
      <w:r w:rsidR="00D75ACB" w:rsidRPr="00F32D8A">
        <w:rPr>
          <w:rFonts w:ascii="Arial" w:hAnsi="Arial" w:cs="Arial"/>
        </w:rPr>
        <w:t xml:space="preserve"> owners of the</w:t>
      </w:r>
      <w:r w:rsidR="00FA04A2" w:rsidRPr="00F32D8A">
        <w:rPr>
          <w:rFonts w:ascii="Arial" w:hAnsi="Arial" w:cs="Arial"/>
        </w:rPr>
        <w:t xml:space="preserve"> majority </w:t>
      </w:r>
      <w:r w:rsidR="00D75ACB" w:rsidRPr="00F32D8A">
        <w:rPr>
          <w:rFonts w:ascii="Arial" w:hAnsi="Arial" w:cs="Arial"/>
        </w:rPr>
        <w:t>residential</w:t>
      </w:r>
      <w:r w:rsidR="00FA04A2" w:rsidRPr="00F32D8A">
        <w:rPr>
          <w:rFonts w:ascii="Arial" w:hAnsi="Arial" w:cs="Arial"/>
        </w:rPr>
        <w:t xml:space="preserve"> </w:t>
      </w:r>
      <w:r w:rsidR="00885745" w:rsidRPr="00F32D8A">
        <w:rPr>
          <w:rFonts w:ascii="Arial" w:hAnsi="Arial" w:cs="Arial"/>
        </w:rPr>
        <w:t>section</w:t>
      </w:r>
      <w:r w:rsidR="00FA04A2" w:rsidRPr="00F32D8A">
        <w:rPr>
          <w:rFonts w:ascii="Arial" w:hAnsi="Arial" w:cs="Arial"/>
        </w:rPr>
        <w:t>s in the second respondent:</w:t>
      </w:r>
    </w:p>
    <w:p w14:paraId="18DC58B2" w14:textId="77777777" w:rsidR="00885745" w:rsidRPr="00B76F09" w:rsidRDefault="00FA04A2" w:rsidP="00FA04A2">
      <w:pPr>
        <w:pStyle w:val="ListParagraph"/>
        <w:tabs>
          <w:tab w:val="left" w:pos="709"/>
        </w:tabs>
        <w:spacing w:line="360" w:lineRule="auto"/>
        <w:ind w:left="0"/>
        <w:jc w:val="both"/>
        <w:rPr>
          <w:rFonts w:ascii="Arial" w:hAnsi="Arial" w:cs="Arial"/>
          <w:sz w:val="22"/>
          <w:szCs w:val="22"/>
        </w:rPr>
      </w:pPr>
      <w:r w:rsidRPr="00B76F09">
        <w:rPr>
          <w:rFonts w:ascii="Arial" w:hAnsi="Arial" w:cs="Arial"/>
          <w:sz w:val="22"/>
          <w:szCs w:val="22"/>
        </w:rPr>
        <w:t>‘… have no effective voice in the management, control and administration of the body corporate.’</w:t>
      </w:r>
    </w:p>
    <w:p w14:paraId="58436207" w14:textId="55EB2DAA" w:rsidR="00F54536" w:rsidRPr="00B76F09" w:rsidRDefault="0000078E" w:rsidP="00FA04A2">
      <w:pPr>
        <w:pStyle w:val="ListParagraph"/>
        <w:tabs>
          <w:tab w:val="left" w:pos="709"/>
        </w:tabs>
        <w:spacing w:line="360" w:lineRule="auto"/>
        <w:ind w:left="0"/>
        <w:jc w:val="both"/>
        <w:rPr>
          <w:rFonts w:ascii="Arial" w:hAnsi="Arial" w:cs="Arial"/>
        </w:rPr>
      </w:pPr>
      <w:r w:rsidRPr="00B76F09">
        <w:rPr>
          <w:rFonts w:ascii="Arial" w:hAnsi="Arial" w:cs="Arial"/>
        </w:rPr>
        <w:t>On th</w:t>
      </w:r>
      <w:r w:rsidR="00082E9E" w:rsidRPr="00B76F09">
        <w:rPr>
          <w:rFonts w:ascii="Arial" w:hAnsi="Arial" w:cs="Arial"/>
        </w:rPr>
        <w:t>e strength of these argument</w:t>
      </w:r>
      <w:r w:rsidRPr="00B76F09">
        <w:rPr>
          <w:rFonts w:ascii="Arial" w:hAnsi="Arial" w:cs="Arial"/>
        </w:rPr>
        <w:t>s, t</w:t>
      </w:r>
      <w:r w:rsidR="00E55395" w:rsidRPr="00B76F09">
        <w:rPr>
          <w:rFonts w:ascii="Arial" w:hAnsi="Arial" w:cs="Arial"/>
        </w:rPr>
        <w:t>he setting aside of the special rules was sought</w:t>
      </w:r>
      <w:r w:rsidR="006C7C9E" w:rsidRPr="00B76F09">
        <w:rPr>
          <w:rFonts w:ascii="Arial" w:hAnsi="Arial" w:cs="Arial"/>
        </w:rPr>
        <w:t xml:space="preserve"> before the third respondent</w:t>
      </w:r>
      <w:r w:rsidR="00E55395" w:rsidRPr="00B76F09">
        <w:rPr>
          <w:rFonts w:ascii="Arial" w:hAnsi="Arial" w:cs="Arial"/>
        </w:rPr>
        <w:t>.</w:t>
      </w:r>
      <w:r w:rsidR="00C6640A" w:rsidRPr="00B76F09">
        <w:rPr>
          <w:rFonts w:ascii="Arial" w:hAnsi="Arial" w:cs="Arial"/>
        </w:rPr>
        <w:t xml:space="preserve"> </w:t>
      </w:r>
    </w:p>
    <w:p w14:paraId="6F37C28A" w14:textId="5AB5D2F6" w:rsidR="00856A9E" w:rsidRPr="00B76F09" w:rsidRDefault="00856A9E" w:rsidP="00856A9E">
      <w:pPr>
        <w:pStyle w:val="ListParagraph"/>
        <w:tabs>
          <w:tab w:val="left" w:pos="709"/>
        </w:tabs>
        <w:spacing w:line="360" w:lineRule="auto"/>
        <w:ind w:left="0"/>
        <w:jc w:val="both"/>
        <w:rPr>
          <w:rFonts w:ascii="Arial" w:hAnsi="Arial" w:cs="Arial"/>
        </w:rPr>
      </w:pPr>
    </w:p>
    <w:p w14:paraId="38524B08" w14:textId="27F6D91F" w:rsidR="00E57F68" w:rsidRPr="00F32D8A" w:rsidRDefault="00F32D8A" w:rsidP="00F32D8A">
      <w:pPr>
        <w:tabs>
          <w:tab w:val="left" w:pos="709"/>
        </w:tabs>
        <w:spacing w:line="360" w:lineRule="auto"/>
        <w:jc w:val="both"/>
        <w:rPr>
          <w:rFonts w:ascii="Arial" w:hAnsi="Arial" w:cs="Arial"/>
        </w:rPr>
      </w:pPr>
      <w:r w:rsidRPr="00B76F09">
        <w:rPr>
          <w:rFonts w:ascii="Arial" w:hAnsi="Arial" w:cs="Arial"/>
        </w:rPr>
        <w:t>[16]</w:t>
      </w:r>
      <w:r w:rsidRPr="00B76F09">
        <w:rPr>
          <w:rFonts w:ascii="Arial" w:hAnsi="Arial" w:cs="Arial"/>
        </w:rPr>
        <w:tab/>
      </w:r>
      <w:r w:rsidR="00E57F68" w:rsidRPr="00F32D8A">
        <w:rPr>
          <w:rFonts w:ascii="Arial" w:hAnsi="Arial" w:cs="Arial"/>
        </w:rPr>
        <w:t>In his founding affidavit in this appeal, the appellant claimed further that:</w:t>
      </w:r>
    </w:p>
    <w:p w14:paraId="764FF619" w14:textId="556967DD" w:rsidR="00E57F68" w:rsidRPr="00B76F09" w:rsidRDefault="00E57F68" w:rsidP="00E57F68">
      <w:pPr>
        <w:pStyle w:val="ListParagraph"/>
        <w:tabs>
          <w:tab w:val="left" w:pos="709"/>
        </w:tabs>
        <w:spacing w:line="360" w:lineRule="auto"/>
        <w:ind w:left="0"/>
        <w:jc w:val="both"/>
        <w:rPr>
          <w:rFonts w:ascii="Arial" w:hAnsi="Arial" w:cs="Arial"/>
          <w:sz w:val="22"/>
          <w:szCs w:val="22"/>
        </w:rPr>
      </w:pPr>
      <w:r w:rsidRPr="00B76F09">
        <w:rPr>
          <w:rFonts w:ascii="Arial" w:hAnsi="Arial" w:cs="Arial"/>
          <w:sz w:val="22"/>
          <w:szCs w:val="22"/>
        </w:rPr>
        <w:lastRenderedPageBreak/>
        <w:t xml:space="preserve">‘The owners </w:t>
      </w:r>
      <w:r w:rsidR="00617271" w:rsidRPr="00B76F09">
        <w:rPr>
          <w:rFonts w:ascii="Arial" w:hAnsi="Arial" w:cs="Arial"/>
          <w:sz w:val="22"/>
          <w:szCs w:val="22"/>
        </w:rPr>
        <w:t xml:space="preserve">of the commercial sections have accordingly unlawfully claimed 75% of the votes, thereby purporting to exercise absolute control at all times for their own benefit, despite their minority interest, which is severely prejudicial to the owners of the residential sections and inconsistent with the provisions </w:t>
      </w:r>
      <w:r w:rsidR="004C46DE" w:rsidRPr="00B76F09">
        <w:rPr>
          <w:rFonts w:ascii="Arial" w:hAnsi="Arial" w:cs="Arial"/>
          <w:sz w:val="22"/>
          <w:szCs w:val="22"/>
        </w:rPr>
        <w:t xml:space="preserve">of the STSMA </w:t>
      </w:r>
      <w:r w:rsidR="00617271" w:rsidRPr="00B76F09">
        <w:rPr>
          <w:rFonts w:ascii="Arial" w:hAnsi="Arial" w:cs="Arial"/>
          <w:sz w:val="22"/>
          <w:szCs w:val="22"/>
        </w:rPr>
        <w:t>which came into force on 7 October 2016.’</w:t>
      </w:r>
    </w:p>
    <w:p w14:paraId="47C2605A" w14:textId="77777777" w:rsidR="004C46DE" w:rsidRPr="00B76F09" w:rsidRDefault="004C46DE" w:rsidP="00E57F68">
      <w:pPr>
        <w:pStyle w:val="ListParagraph"/>
        <w:tabs>
          <w:tab w:val="left" w:pos="709"/>
        </w:tabs>
        <w:spacing w:line="360" w:lineRule="auto"/>
        <w:ind w:left="0"/>
        <w:jc w:val="both"/>
        <w:rPr>
          <w:rFonts w:ascii="Arial" w:hAnsi="Arial" w:cs="Arial"/>
          <w:sz w:val="22"/>
          <w:szCs w:val="22"/>
        </w:rPr>
      </w:pPr>
    </w:p>
    <w:p w14:paraId="5555B30B" w14:textId="48BD0666" w:rsidR="004C46DE" w:rsidRPr="00F32D8A" w:rsidRDefault="00F32D8A" w:rsidP="00F32D8A">
      <w:pPr>
        <w:tabs>
          <w:tab w:val="left" w:pos="709"/>
        </w:tabs>
        <w:spacing w:line="360" w:lineRule="auto"/>
        <w:jc w:val="both"/>
        <w:rPr>
          <w:rFonts w:ascii="Arial" w:hAnsi="Arial" w:cs="Arial"/>
        </w:rPr>
      </w:pPr>
      <w:r w:rsidRPr="00B76F09">
        <w:rPr>
          <w:rFonts w:ascii="Arial" w:hAnsi="Arial" w:cs="Arial"/>
        </w:rPr>
        <w:t>[17]</w:t>
      </w:r>
      <w:r w:rsidRPr="00B76F09">
        <w:rPr>
          <w:rFonts w:ascii="Arial" w:hAnsi="Arial" w:cs="Arial"/>
        </w:rPr>
        <w:tab/>
      </w:r>
      <w:r w:rsidR="004C46DE" w:rsidRPr="00F32D8A">
        <w:rPr>
          <w:rFonts w:ascii="Arial" w:hAnsi="Arial" w:cs="Arial"/>
        </w:rPr>
        <w:t xml:space="preserve">Finally, the appellant </w:t>
      </w:r>
      <w:r w:rsidR="004060C7" w:rsidRPr="00F32D8A">
        <w:rPr>
          <w:rFonts w:ascii="Arial" w:hAnsi="Arial" w:cs="Arial"/>
        </w:rPr>
        <w:t>states in his founding affidavit that:</w:t>
      </w:r>
    </w:p>
    <w:p w14:paraId="6A4FEF63" w14:textId="54ADB524" w:rsidR="004060C7" w:rsidRPr="00B76F09" w:rsidRDefault="004060C7" w:rsidP="004060C7">
      <w:pPr>
        <w:pStyle w:val="ListParagraph"/>
        <w:tabs>
          <w:tab w:val="left" w:pos="709"/>
        </w:tabs>
        <w:spacing w:line="360" w:lineRule="auto"/>
        <w:ind w:left="0"/>
        <w:jc w:val="both"/>
        <w:rPr>
          <w:rFonts w:ascii="Arial" w:hAnsi="Arial" w:cs="Arial"/>
          <w:sz w:val="22"/>
          <w:szCs w:val="22"/>
        </w:rPr>
      </w:pPr>
      <w:r w:rsidRPr="00B76F09">
        <w:rPr>
          <w:rFonts w:ascii="Arial" w:hAnsi="Arial" w:cs="Arial"/>
          <w:sz w:val="22"/>
          <w:szCs w:val="22"/>
        </w:rPr>
        <w:t>‘The voting requirements must otherwise be governed strictly by way of participation quot</w:t>
      </w:r>
      <w:r w:rsidR="004A504C" w:rsidRPr="00B76F09">
        <w:rPr>
          <w:rFonts w:ascii="Arial" w:hAnsi="Arial" w:cs="Arial"/>
          <w:sz w:val="22"/>
          <w:szCs w:val="22"/>
        </w:rPr>
        <w:t>a</w:t>
      </w:r>
      <w:r w:rsidRPr="00B76F09">
        <w:rPr>
          <w:rFonts w:ascii="Arial" w:hAnsi="Arial" w:cs="Arial"/>
          <w:sz w:val="22"/>
          <w:szCs w:val="22"/>
        </w:rPr>
        <w:t xml:space="preserve"> in accordance with section 20 of the </w:t>
      </w:r>
      <w:r w:rsidR="004A504C" w:rsidRPr="00B76F09">
        <w:rPr>
          <w:rFonts w:ascii="Arial" w:hAnsi="Arial" w:cs="Arial"/>
          <w:sz w:val="22"/>
          <w:szCs w:val="22"/>
        </w:rPr>
        <w:t>P</w:t>
      </w:r>
      <w:r w:rsidRPr="00B76F09">
        <w:rPr>
          <w:rFonts w:ascii="Arial" w:hAnsi="Arial" w:cs="Arial"/>
          <w:sz w:val="22"/>
          <w:szCs w:val="22"/>
        </w:rPr>
        <w:t xml:space="preserve">rescribed </w:t>
      </w:r>
      <w:r w:rsidR="004A504C" w:rsidRPr="00B76F09">
        <w:rPr>
          <w:rFonts w:ascii="Arial" w:hAnsi="Arial" w:cs="Arial"/>
          <w:sz w:val="22"/>
          <w:szCs w:val="22"/>
        </w:rPr>
        <w:t>M</w:t>
      </w:r>
      <w:r w:rsidRPr="00B76F09">
        <w:rPr>
          <w:rFonts w:ascii="Arial" w:hAnsi="Arial" w:cs="Arial"/>
          <w:sz w:val="22"/>
          <w:szCs w:val="22"/>
        </w:rPr>
        <w:t xml:space="preserve">anagement </w:t>
      </w:r>
      <w:r w:rsidR="004A504C" w:rsidRPr="00B76F09">
        <w:rPr>
          <w:rFonts w:ascii="Arial" w:hAnsi="Arial" w:cs="Arial"/>
          <w:sz w:val="22"/>
          <w:szCs w:val="22"/>
        </w:rPr>
        <w:t>R</w:t>
      </w:r>
      <w:r w:rsidRPr="00B76F09">
        <w:rPr>
          <w:rFonts w:ascii="Arial" w:hAnsi="Arial" w:cs="Arial"/>
          <w:sz w:val="22"/>
          <w:szCs w:val="22"/>
        </w:rPr>
        <w:t xml:space="preserve">ules </w:t>
      </w:r>
      <w:r w:rsidR="004A504C" w:rsidRPr="00B76F09">
        <w:rPr>
          <w:rFonts w:ascii="Arial" w:hAnsi="Arial" w:cs="Arial"/>
          <w:sz w:val="22"/>
          <w:szCs w:val="22"/>
        </w:rPr>
        <w:t>(P</w:t>
      </w:r>
      <w:r w:rsidRPr="00B76F09">
        <w:rPr>
          <w:rFonts w:ascii="Arial" w:hAnsi="Arial" w:cs="Arial"/>
          <w:sz w:val="22"/>
          <w:szCs w:val="22"/>
        </w:rPr>
        <w:t xml:space="preserve">rescribed </w:t>
      </w:r>
      <w:r w:rsidR="004A504C" w:rsidRPr="00B76F09">
        <w:rPr>
          <w:rFonts w:ascii="Arial" w:hAnsi="Arial" w:cs="Arial"/>
          <w:sz w:val="22"/>
          <w:szCs w:val="22"/>
        </w:rPr>
        <w:t>M</w:t>
      </w:r>
      <w:r w:rsidRPr="00B76F09">
        <w:rPr>
          <w:rFonts w:ascii="Arial" w:hAnsi="Arial" w:cs="Arial"/>
          <w:sz w:val="22"/>
          <w:szCs w:val="22"/>
        </w:rPr>
        <w:t xml:space="preserve">anagement </w:t>
      </w:r>
      <w:r w:rsidR="004A504C" w:rsidRPr="00B76F09">
        <w:rPr>
          <w:rFonts w:ascii="Arial" w:hAnsi="Arial" w:cs="Arial"/>
          <w:sz w:val="22"/>
          <w:szCs w:val="22"/>
        </w:rPr>
        <w:t>R</w:t>
      </w:r>
      <w:r w:rsidRPr="00B76F09">
        <w:rPr>
          <w:rFonts w:ascii="Arial" w:hAnsi="Arial" w:cs="Arial"/>
          <w:sz w:val="22"/>
          <w:szCs w:val="22"/>
        </w:rPr>
        <w:t>ules</w:t>
      </w:r>
      <w:r w:rsidR="004A504C" w:rsidRPr="00B76F09">
        <w:rPr>
          <w:rFonts w:ascii="Arial" w:hAnsi="Arial" w:cs="Arial"/>
          <w:sz w:val="22"/>
          <w:szCs w:val="22"/>
        </w:rPr>
        <w:t>)</w:t>
      </w:r>
      <w:r w:rsidRPr="00B76F09">
        <w:rPr>
          <w:rFonts w:ascii="Arial" w:hAnsi="Arial" w:cs="Arial"/>
          <w:sz w:val="22"/>
          <w:szCs w:val="22"/>
        </w:rPr>
        <w:t xml:space="preserve"> made under the regulations, being </w:t>
      </w:r>
      <w:r w:rsidR="009A7253" w:rsidRPr="00B76F09">
        <w:rPr>
          <w:rFonts w:ascii="Arial" w:hAnsi="Arial" w:cs="Arial"/>
          <w:sz w:val="22"/>
          <w:szCs w:val="22"/>
        </w:rPr>
        <w:t>Annexure 1,</w:t>
      </w:r>
      <w:r w:rsidRPr="00B76F09">
        <w:rPr>
          <w:rFonts w:ascii="Arial" w:hAnsi="Arial" w:cs="Arial"/>
          <w:sz w:val="22"/>
          <w:szCs w:val="22"/>
        </w:rPr>
        <w:t xml:space="preserve"> in terms of</w:t>
      </w:r>
      <w:r w:rsidR="009A7253" w:rsidRPr="00B76F09">
        <w:rPr>
          <w:rFonts w:ascii="Arial" w:hAnsi="Arial" w:cs="Arial"/>
          <w:sz w:val="22"/>
          <w:szCs w:val="22"/>
        </w:rPr>
        <w:t xml:space="preserve"> STSMA</w:t>
      </w:r>
      <w:r w:rsidRPr="00B76F09">
        <w:rPr>
          <w:rFonts w:ascii="Arial" w:hAnsi="Arial" w:cs="Arial"/>
          <w:sz w:val="22"/>
          <w:szCs w:val="22"/>
        </w:rPr>
        <w:t>.’</w:t>
      </w:r>
    </w:p>
    <w:p w14:paraId="270B10A1" w14:textId="77777777" w:rsidR="009A7253" w:rsidRPr="00B76F09" w:rsidRDefault="009A7253" w:rsidP="004060C7">
      <w:pPr>
        <w:pStyle w:val="ListParagraph"/>
        <w:tabs>
          <w:tab w:val="left" w:pos="709"/>
        </w:tabs>
        <w:spacing w:line="360" w:lineRule="auto"/>
        <w:ind w:left="0"/>
        <w:jc w:val="both"/>
        <w:rPr>
          <w:rFonts w:ascii="Arial" w:hAnsi="Arial" w:cs="Arial"/>
          <w:sz w:val="22"/>
          <w:szCs w:val="22"/>
        </w:rPr>
      </w:pPr>
    </w:p>
    <w:p w14:paraId="2C149DAE" w14:textId="7A20A1AF" w:rsidR="00A43521" w:rsidRPr="00F32D8A" w:rsidRDefault="00F32D8A" w:rsidP="00F32D8A">
      <w:pPr>
        <w:tabs>
          <w:tab w:val="left" w:pos="709"/>
        </w:tabs>
        <w:spacing w:line="360" w:lineRule="auto"/>
        <w:jc w:val="both"/>
        <w:rPr>
          <w:rFonts w:ascii="Arial" w:hAnsi="Arial" w:cs="Arial"/>
        </w:rPr>
      </w:pPr>
      <w:r w:rsidRPr="00B76F09">
        <w:rPr>
          <w:rFonts w:ascii="Arial" w:hAnsi="Arial" w:cs="Arial"/>
        </w:rPr>
        <w:t>[18]</w:t>
      </w:r>
      <w:r w:rsidRPr="00B76F09">
        <w:rPr>
          <w:rFonts w:ascii="Arial" w:hAnsi="Arial" w:cs="Arial"/>
        </w:rPr>
        <w:tab/>
      </w:r>
      <w:r w:rsidR="00222D5A" w:rsidRPr="00F32D8A">
        <w:rPr>
          <w:rFonts w:ascii="Arial" w:hAnsi="Arial" w:cs="Arial"/>
        </w:rPr>
        <w:t>I</w:t>
      </w:r>
      <w:r w:rsidR="00F54536" w:rsidRPr="00F32D8A">
        <w:rPr>
          <w:rFonts w:ascii="Arial" w:hAnsi="Arial" w:cs="Arial"/>
        </w:rPr>
        <w:t>n this appeal, the</w:t>
      </w:r>
      <w:r w:rsidR="00A43521" w:rsidRPr="00F32D8A">
        <w:rPr>
          <w:rFonts w:ascii="Arial" w:hAnsi="Arial" w:cs="Arial"/>
        </w:rPr>
        <w:t xml:space="preserve"> appellant made further submissions </w:t>
      </w:r>
      <w:r w:rsidR="00F54536" w:rsidRPr="00F32D8A">
        <w:rPr>
          <w:rFonts w:ascii="Arial" w:hAnsi="Arial" w:cs="Arial"/>
        </w:rPr>
        <w:t>associated with the special rules</w:t>
      </w:r>
      <w:r w:rsidR="00155500" w:rsidRPr="00F32D8A">
        <w:rPr>
          <w:rFonts w:ascii="Arial" w:hAnsi="Arial" w:cs="Arial"/>
        </w:rPr>
        <w:t>, it being submitted that</w:t>
      </w:r>
      <w:r w:rsidR="00F54536" w:rsidRPr="00F32D8A">
        <w:rPr>
          <w:rFonts w:ascii="Arial" w:hAnsi="Arial" w:cs="Arial"/>
        </w:rPr>
        <w:t>:</w:t>
      </w:r>
    </w:p>
    <w:p w14:paraId="2DF1EEB5" w14:textId="346B3CE0" w:rsidR="00FA0241" w:rsidRPr="00F32D8A" w:rsidRDefault="00F32D8A" w:rsidP="00F32D8A">
      <w:pPr>
        <w:tabs>
          <w:tab w:val="left" w:pos="709"/>
        </w:tabs>
        <w:spacing w:line="360" w:lineRule="auto"/>
        <w:jc w:val="both"/>
        <w:rPr>
          <w:rFonts w:ascii="Arial" w:hAnsi="Arial" w:cs="Arial"/>
        </w:rPr>
      </w:pPr>
      <w:r w:rsidRPr="00B76F09">
        <w:rPr>
          <w:rFonts w:ascii="Arial" w:hAnsi="Arial" w:cs="Arial"/>
          <w:i/>
        </w:rPr>
        <w:t>(a)</w:t>
      </w:r>
      <w:r w:rsidRPr="00B76F09">
        <w:rPr>
          <w:rFonts w:ascii="Arial" w:hAnsi="Arial" w:cs="Arial"/>
          <w:i/>
        </w:rPr>
        <w:tab/>
      </w:r>
      <w:r w:rsidR="00155500" w:rsidRPr="00F32D8A">
        <w:rPr>
          <w:rFonts w:ascii="Arial" w:hAnsi="Arial" w:cs="Arial"/>
        </w:rPr>
        <w:t>t</w:t>
      </w:r>
      <w:r w:rsidR="00FA0241" w:rsidRPr="00F32D8A">
        <w:rPr>
          <w:rFonts w:ascii="Arial" w:hAnsi="Arial" w:cs="Arial"/>
        </w:rPr>
        <w:t>he owners of the residential sections did not consent to the terms contained in the special rules</w:t>
      </w:r>
      <w:r w:rsidR="00A43521" w:rsidRPr="00F32D8A">
        <w:rPr>
          <w:rFonts w:ascii="Arial" w:hAnsi="Arial" w:cs="Arial"/>
        </w:rPr>
        <w:t>;</w:t>
      </w:r>
    </w:p>
    <w:p w14:paraId="60F2D499" w14:textId="590A9B39" w:rsidR="00B33CF9" w:rsidRPr="00F32D8A" w:rsidRDefault="00F32D8A" w:rsidP="00F32D8A">
      <w:pPr>
        <w:tabs>
          <w:tab w:val="left" w:pos="709"/>
        </w:tabs>
        <w:spacing w:line="360" w:lineRule="auto"/>
        <w:jc w:val="both"/>
        <w:rPr>
          <w:rFonts w:ascii="Arial" w:hAnsi="Arial" w:cs="Arial"/>
        </w:rPr>
      </w:pPr>
      <w:r w:rsidRPr="00B76F09">
        <w:rPr>
          <w:rFonts w:ascii="Arial" w:hAnsi="Arial" w:cs="Arial"/>
          <w:i/>
        </w:rPr>
        <w:t>(b)</w:t>
      </w:r>
      <w:r w:rsidRPr="00B76F09">
        <w:rPr>
          <w:rFonts w:ascii="Arial" w:hAnsi="Arial" w:cs="Arial"/>
          <w:i/>
        </w:rPr>
        <w:tab/>
      </w:r>
      <w:r w:rsidR="00155500" w:rsidRPr="00F32D8A">
        <w:rPr>
          <w:rFonts w:ascii="Arial" w:hAnsi="Arial" w:cs="Arial"/>
        </w:rPr>
        <w:t>w</w:t>
      </w:r>
      <w:r w:rsidR="00A43521" w:rsidRPr="00F32D8A">
        <w:rPr>
          <w:rFonts w:ascii="Arial" w:hAnsi="Arial" w:cs="Arial"/>
        </w:rPr>
        <w:t>hen the special rules were introduced,</w:t>
      </w:r>
      <w:r w:rsidR="00FA0241" w:rsidRPr="00F32D8A">
        <w:rPr>
          <w:rFonts w:ascii="Arial" w:hAnsi="Arial" w:cs="Arial"/>
        </w:rPr>
        <w:t xml:space="preserve"> there were</w:t>
      </w:r>
      <w:r w:rsidR="004E4324" w:rsidRPr="00F32D8A">
        <w:rPr>
          <w:rFonts w:ascii="Arial" w:hAnsi="Arial" w:cs="Arial"/>
        </w:rPr>
        <w:t xml:space="preserve"> </w:t>
      </w:r>
      <w:r w:rsidR="00FA0241" w:rsidRPr="00F32D8A">
        <w:rPr>
          <w:rFonts w:ascii="Arial" w:hAnsi="Arial" w:cs="Arial"/>
        </w:rPr>
        <w:t xml:space="preserve">substantially less than 30% </w:t>
      </w:r>
    </w:p>
    <w:p w14:paraId="2934CCCC" w14:textId="5C0FB07F" w:rsidR="00FA0241" w:rsidRPr="00B76F09" w:rsidRDefault="004E4324" w:rsidP="00B33CF9">
      <w:pPr>
        <w:pStyle w:val="ListParagraph"/>
        <w:tabs>
          <w:tab w:val="left" w:pos="709"/>
        </w:tabs>
        <w:spacing w:line="360" w:lineRule="auto"/>
        <w:ind w:left="0"/>
        <w:jc w:val="both"/>
        <w:rPr>
          <w:rFonts w:ascii="Arial" w:hAnsi="Arial" w:cs="Arial"/>
        </w:rPr>
      </w:pPr>
      <w:r w:rsidRPr="00B76F09">
        <w:rPr>
          <w:rFonts w:ascii="Arial" w:hAnsi="Arial" w:cs="Arial"/>
        </w:rPr>
        <w:t xml:space="preserve">of </w:t>
      </w:r>
      <w:r w:rsidR="00EA6FCC" w:rsidRPr="00B76F09">
        <w:rPr>
          <w:rFonts w:ascii="Arial" w:hAnsi="Arial" w:cs="Arial"/>
        </w:rPr>
        <w:t xml:space="preserve">owners of units in the </w:t>
      </w:r>
      <w:r w:rsidR="005D4D17" w:rsidRPr="00B76F09">
        <w:rPr>
          <w:rFonts w:ascii="Arial" w:hAnsi="Arial" w:cs="Arial"/>
        </w:rPr>
        <w:t>s</w:t>
      </w:r>
      <w:r w:rsidR="00EA6FCC" w:rsidRPr="00B76F09">
        <w:rPr>
          <w:rFonts w:ascii="Arial" w:hAnsi="Arial" w:cs="Arial"/>
        </w:rPr>
        <w:t>cheme;</w:t>
      </w:r>
    </w:p>
    <w:p w14:paraId="69A17DFB" w14:textId="023A8F89" w:rsidR="00A43521" w:rsidRPr="00F32D8A" w:rsidRDefault="00F32D8A" w:rsidP="00F32D8A">
      <w:pPr>
        <w:tabs>
          <w:tab w:val="left" w:pos="709"/>
        </w:tabs>
        <w:spacing w:line="360" w:lineRule="auto"/>
        <w:jc w:val="both"/>
        <w:rPr>
          <w:rFonts w:ascii="Arial" w:hAnsi="Arial" w:cs="Arial"/>
        </w:rPr>
      </w:pPr>
      <w:r w:rsidRPr="00B76F09">
        <w:rPr>
          <w:rFonts w:ascii="Arial" w:hAnsi="Arial" w:cs="Arial"/>
          <w:i/>
        </w:rPr>
        <w:t>(c)</w:t>
      </w:r>
      <w:r w:rsidRPr="00B76F09">
        <w:rPr>
          <w:rFonts w:ascii="Arial" w:hAnsi="Arial" w:cs="Arial"/>
          <w:i/>
        </w:rPr>
        <w:tab/>
      </w:r>
      <w:r w:rsidR="00155500" w:rsidRPr="00F32D8A">
        <w:rPr>
          <w:rFonts w:ascii="Arial" w:hAnsi="Arial" w:cs="Arial"/>
        </w:rPr>
        <w:t>t</w:t>
      </w:r>
      <w:r w:rsidR="00A43521" w:rsidRPr="00F32D8A">
        <w:rPr>
          <w:rFonts w:ascii="Arial" w:hAnsi="Arial" w:cs="Arial"/>
        </w:rPr>
        <w:t xml:space="preserve">he special rules are inconsistent with section 10(3) of the </w:t>
      </w:r>
      <w:r w:rsidR="005D4D17" w:rsidRPr="00F32D8A">
        <w:rPr>
          <w:rFonts w:ascii="Arial" w:hAnsi="Arial" w:cs="Arial"/>
        </w:rPr>
        <w:t>S</w:t>
      </w:r>
      <w:r w:rsidR="00A43521" w:rsidRPr="00F32D8A">
        <w:rPr>
          <w:rFonts w:ascii="Arial" w:hAnsi="Arial" w:cs="Arial"/>
        </w:rPr>
        <w:t>TSM</w:t>
      </w:r>
      <w:r w:rsidR="00222D5A" w:rsidRPr="00F32D8A">
        <w:rPr>
          <w:rFonts w:ascii="Arial" w:hAnsi="Arial" w:cs="Arial"/>
        </w:rPr>
        <w:t xml:space="preserve"> </w:t>
      </w:r>
      <w:r w:rsidR="00A43521" w:rsidRPr="00F32D8A">
        <w:rPr>
          <w:rFonts w:ascii="Arial" w:hAnsi="Arial" w:cs="Arial"/>
        </w:rPr>
        <w:t>A</w:t>
      </w:r>
      <w:r w:rsidR="00222D5A" w:rsidRPr="00F32D8A">
        <w:rPr>
          <w:rFonts w:ascii="Arial" w:hAnsi="Arial" w:cs="Arial"/>
        </w:rPr>
        <w:t>ct</w:t>
      </w:r>
      <w:r w:rsidR="00A43521" w:rsidRPr="00F32D8A">
        <w:rPr>
          <w:rFonts w:ascii="Arial" w:hAnsi="Arial" w:cs="Arial"/>
        </w:rPr>
        <w:t xml:space="preserve"> and are therefore invalid</w:t>
      </w:r>
      <w:r w:rsidR="004F570E" w:rsidRPr="00F32D8A">
        <w:rPr>
          <w:rFonts w:ascii="Arial" w:hAnsi="Arial" w:cs="Arial"/>
        </w:rPr>
        <w:t xml:space="preserve"> and because of that fact, they lapsed</w:t>
      </w:r>
      <w:r w:rsidR="00A43521" w:rsidRPr="00F32D8A">
        <w:rPr>
          <w:rFonts w:ascii="Arial" w:hAnsi="Arial" w:cs="Arial"/>
        </w:rPr>
        <w:t>;</w:t>
      </w:r>
      <w:r w:rsidR="00493C7F" w:rsidRPr="00F32D8A">
        <w:rPr>
          <w:rFonts w:ascii="Arial" w:hAnsi="Arial" w:cs="Arial"/>
        </w:rPr>
        <w:t xml:space="preserve"> and</w:t>
      </w:r>
    </w:p>
    <w:p w14:paraId="736AF826" w14:textId="4448F59A" w:rsidR="00A43521" w:rsidRPr="00F32D8A" w:rsidRDefault="00F32D8A" w:rsidP="00F32D8A">
      <w:pPr>
        <w:tabs>
          <w:tab w:val="left" w:pos="709"/>
        </w:tabs>
        <w:spacing w:line="360" w:lineRule="auto"/>
        <w:jc w:val="both"/>
        <w:rPr>
          <w:rFonts w:ascii="Arial" w:hAnsi="Arial" w:cs="Arial"/>
        </w:rPr>
      </w:pPr>
      <w:r w:rsidRPr="00B76F09">
        <w:rPr>
          <w:rFonts w:ascii="Arial" w:hAnsi="Arial" w:cs="Arial"/>
          <w:i/>
        </w:rPr>
        <w:t>(d)</w:t>
      </w:r>
      <w:r w:rsidRPr="00B76F09">
        <w:rPr>
          <w:rFonts w:ascii="Arial" w:hAnsi="Arial" w:cs="Arial"/>
          <w:i/>
        </w:rPr>
        <w:tab/>
      </w:r>
      <w:r w:rsidR="00155500" w:rsidRPr="00F32D8A">
        <w:rPr>
          <w:rFonts w:ascii="Arial" w:hAnsi="Arial" w:cs="Arial"/>
        </w:rPr>
        <w:t>t</w:t>
      </w:r>
      <w:r w:rsidR="004F570E" w:rsidRPr="00F32D8A">
        <w:rPr>
          <w:rFonts w:ascii="Arial" w:hAnsi="Arial" w:cs="Arial"/>
        </w:rPr>
        <w:t>he special rules are unconstitutional, as they do not apply equally to all owners of sections within the meaning of section 10(3) of the STSM</w:t>
      </w:r>
      <w:r w:rsidR="00222D5A" w:rsidRPr="00F32D8A">
        <w:rPr>
          <w:rFonts w:ascii="Arial" w:hAnsi="Arial" w:cs="Arial"/>
        </w:rPr>
        <w:t xml:space="preserve"> </w:t>
      </w:r>
      <w:r w:rsidR="004F570E" w:rsidRPr="00F32D8A">
        <w:rPr>
          <w:rFonts w:ascii="Arial" w:hAnsi="Arial" w:cs="Arial"/>
        </w:rPr>
        <w:t>A</w:t>
      </w:r>
      <w:r w:rsidR="00222D5A" w:rsidRPr="00F32D8A">
        <w:rPr>
          <w:rFonts w:ascii="Arial" w:hAnsi="Arial" w:cs="Arial"/>
        </w:rPr>
        <w:t>ct</w:t>
      </w:r>
      <w:r w:rsidR="004F570E" w:rsidRPr="00F32D8A">
        <w:rPr>
          <w:rFonts w:ascii="Arial" w:hAnsi="Arial" w:cs="Arial"/>
        </w:rPr>
        <w:t xml:space="preserve">, are inconsistent with section 6 of the Promotion of Equality and Prevention of Unfair Discrimination Act 4 of 2000 </w:t>
      </w:r>
      <w:r w:rsidR="00563594" w:rsidRPr="00F32D8A">
        <w:rPr>
          <w:rFonts w:ascii="Arial" w:hAnsi="Arial" w:cs="Arial"/>
        </w:rPr>
        <w:t xml:space="preserve">(the Equality Act) </w:t>
      </w:r>
      <w:r w:rsidR="004F570E" w:rsidRPr="00F32D8A">
        <w:rPr>
          <w:rFonts w:ascii="Arial" w:hAnsi="Arial" w:cs="Arial"/>
        </w:rPr>
        <w:t>and are inconsistent with the equality provisions of section 9(4) of the Constitution</w:t>
      </w:r>
      <w:r w:rsidR="00F54536" w:rsidRPr="00F32D8A">
        <w:rPr>
          <w:rFonts w:ascii="Arial" w:hAnsi="Arial" w:cs="Arial"/>
        </w:rPr>
        <w:t>.</w:t>
      </w:r>
    </w:p>
    <w:p w14:paraId="532E1061" w14:textId="77777777" w:rsidR="00F54536" w:rsidRPr="00B76F09" w:rsidRDefault="00F54536" w:rsidP="00F54536">
      <w:pPr>
        <w:tabs>
          <w:tab w:val="left" w:pos="709"/>
        </w:tabs>
        <w:spacing w:line="360" w:lineRule="auto"/>
        <w:jc w:val="both"/>
        <w:rPr>
          <w:rFonts w:ascii="Arial" w:hAnsi="Arial" w:cs="Arial"/>
        </w:rPr>
      </w:pPr>
    </w:p>
    <w:p w14:paraId="2A26BB43" w14:textId="084BAF6A" w:rsidR="008A0A64" w:rsidRPr="00F32D8A" w:rsidRDefault="00F32D8A" w:rsidP="00F32D8A">
      <w:pPr>
        <w:tabs>
          <w:tab w:val="left" w:pos="709"/>
        </w:tabs>
        <w:spacing w:line="360" w:lineRule="auto"/>
        <w:jc w:val="both"/>
        <w:rPr>
          <w:rFonts w:ascii="Arial" w:hAnsi="Arial" w:cs="Arial"/>
        </w:rPr>
      </w:pPr>
      <w:r w:rsidRPr="00B76F09">
        <w:rPr>
          <w:rFonts w:ascii="Arial" w:hAnsi="Arial" w:cs="Arial"/>
        </w:rPr>
        <w:t>[19]</w:t>
      </w:r>
      <w:r w:rsidRPr="00B76F09">
        <w:rPr>
          <w:rFonts w:ascii="Arial" w:hAnsi="Arial" w:cs="Arial"/>
        </w:rPr>
        <w:tab/>
      </w:r>
      <w:r w:rsidR="00796656" w:rsidRPr="00F32D8A">
        <w:rPr>
          <w:rFonts w:ascii="Arial" w:hAnsi="Arial" w:cs="Arial"/>
        </w:rPr>
        <w:t xml:space="preserve">At the time that the special rules were introduced, the applicable act </w:t>
      </w:r>
      <w:r w:rsidR="00E43ACB" w:rsidRPr="00F32D8A">
        <w:rPr>
          <w:rFonts w:ascii="Arial" w:hAnsi="Arial" w:cs="Arial"/>
        </w:rPr>
        <w:t xml:space="preserve">in place </w:t>
      </w:r>
      <w:r w:rsidR="00796656" w:rsidRPr="00F32D8A">
        <w:rPr>
          <w:rFonts w:ascii="Arial" w:hAnsi="Arial" w:cs="Arial"/>
        </w:rPr>
        <w:t xml:space="preserve">was the </w:t>
      </w:r>
      <w:r w:rsidR="00155500" w:rsidRPr="00F32D8A">
        <w:rPr>
          <w:rFonts w:ascii="Arial" w:hAnsi="Arial" w:cs="Arial"/>
        </w:rPr>
        <w:t>Sectional Titles Act 95 of 1986 (the ST</w:t>
      </w:r>
      <w:r w:rsidR="002E0889" w:rsidRPr="00F32D8A">
        <w:rPr>
          <w:rFonts w:ascii="Arial" w:hAnsi="Arial" w:cs="Arial"/>
        </w:rPr>
        <w:t xml:space="preserve"> </w:t>
      </w:r>
      <w:r w:rsidR="00155500" w:rsidRPr="00F32D8A">
        <w:rPr>
          <w:rFonts w:ascii="Arial" w:hAnsi="Arial" w:cs="Arial"/>
        </w:rPr>
        <w:t>A</w:t>
      </w:r>
      <w:r w:rsidR="002E0889" w:rsidRPr="00F32D8A">
        <w:rPr>
          <w:rFonts w:ascii="Arial" w:hAnsi="Arial" w:cs="Arial"/>
        </w:rPr>
        <w:t>ct</w:t>
      </w:r>
      <w:r w:rsidR="00155500" w:rsidRPr="00F32D8A">
        <w:rPr>
          <w:rFonts w:ascii="Arial" w:hAnsi="Arial" w:cs="Arial"/>
        </w:rPr>
        <w:t>)</w:t>
      </w:r>
      <w:r w:rsidR="00796656" w:rsidRPr="00F32D8A">
        <w:rPr>
          <w:rFonts w:ascii="Arial" w:hAnsi="Arial" w:cs="Arial"/>
        </w:rPr>
        <w:t xml:space="preserve">. </w:t>
      </w:r>
      <w:r w:rsidR="004A5ED8" w:rsidRPr="00F32D8A">
        <w:rPr>
          <w:rFonts w:ascii="Arial" w:hAnsi="Arial" w:cs="Arial"/>
        </w:rPr>
        <w:t>The ST</w:t>
      </w:r>
      <w:r w:rsidR="002E0889" w:rsidRPr="00F32D8A">
        <w:rPr>
          <w:rFonts w:ascii="Arial" w:hAnsi="Arial" w:cs="Arial"/>
        </w:rPr>
        <w:t xml:space="preserve"> </w:t>
      </w:r>
      <w:r w:rsidR="004A5ED8" w:rsidRPr="00F32D8A">
        <w:rPr>
          <w:rFonts w:ascii="Arial" w:hAnsi="Arial" w:cs="Arial"/>
        </w:rPr>
        <w:t>A</w:t>
      </w:r>
      <w:r w:rsidR="002E0889" w:rsidRPr="00F32D8A">
        <w:rPr>
          <w:rFonts w:ascii="Arial" w:hAnsi="Arial" w:cs="Arial"/>
        </w:rPr>
        <w:t>ct</w:t>
      </w:r>
      <w:r w:rsidR="004A5ED8" w:rsidRPr="00F32D8A">
        <w:rPr>
          <w:rFonts w:ascii="Arial" w:hAnsi="Arial" w:cs="Arial"/>
        </w:rPr>
        <w:t xml:space="preserve"> </w:t>
      </w:r>
      <w:r w:rsidR="004A21B0" w:rsidRPr="00F32D8A">
        <w:rPr>
          <w:rFonts w:ascii="Arial" w:hAnsi="Arial" w:cs="Arial"/>
        </w:rPr>
        <w:t xml:space="preserve">created a whole new form of </w:t>
      </w:r>
      <w:r w:rsidR="000A5155" w:rsidRPr="00F32D8A">
        <w:rPr>
          <w:rFonts w:ascii="Arial" w:hAnsi="Arial" w:cs="Arial"/>
        </w:rPr>
        <w:t xml:space="preserve">composite ownership: owners owned their respective sections </w:t>
      </w:r>
      <w:r w:rsidR="00217721" w:rsidRPr="00F32D8A">
        <w:rPr>
          <w:rFonts w:ascii="Arial" w:hAnsi="Arial" w:cs="Arial"/>
        </w:rPr>
        <w:t xml:space="preserve">separately from other </w:t>
      </w:r>
      <w:r w:rsidR="00C56DDF" w:rsidRPr="00F32D8A">
        <w:rPr>
          <w:rFonts w:ascii="Arial" w:hAnsi="Arial" w:cs="Arial"/>
        </w:rPr>
        <w:t xml:space="preserve">sectional </w:t>
      </w:r>
      <w:r w:rsidR="00217721" w:rsidRPr="00F32D8A">
        <w:rPr>
          <w:rFonts w:ascii="Arial" w:hAnsi="Arial" w:cs="Arial"/>
        </w:rPr>
        <w:t xml:space="preserve">owners </w:t>
      </w:r>
      <w:r w:rsidR="000F68F9" w:rsidRPr="00F32D8A">
        <w:rPr>
          <w:rFonts w:ascii="Arial" w:hAnsi="Arial" w:cs="Arial"/>
        </w:rPr>
        <w:t xml:space="preserve">in </w:t>
      </w:r>
      <w:r w:rsidR="001A4F69" w:rsidRPr="00F32D8A">
        <w:rPr>
          <w:rFonts w:ascii="Arial" w:hAnsi="Arial" w:cs="Arial"/>
        </w:rPr>
        <w:t>a</w:t>
      </w:r>
      <w:r w:rsidR="000F68F9" w:rsidRPr="00F32D8A">
        <w:rPr>
          <w:rFonts w:ascii="Arial" w:hAnsi="Arial" w:cs="Arial"/>
        </w:rPr>
        <w:t xml:space="preserve"> scheme </w:t>
      </w:r>
      <w:r w:rsidR="00217721" w:rsidRPr="00F32D8A">
        <w:rPr>
          <w:rFonts w:ascii="Arial" w:hAnsi="Arial" w:cs="Arial"/>
        </w:rPr>
        <w:t xml:space="preserve">but owned undivided shares in the common property collectively with </w:t>
      </w:r>
      <w:r w:rsidR="00F624AD" w:rsidRPr="00F32D8A">
        <w:rPr>
          <w:rFonts w:ascii="Arial" w:hAnsi="Arial" w:cs="Arial"/>
        </w:rPr>
        <w:t xml:space="preserve">those </w:t>
      </w:r>
      <w:r w:rsidR="00217721" w:rsidRPr="00F32D8A">
        <w:rPr>
          <w:rFonts w:ascii="Arial" w:hAnsi="Arial" w:cs="Arial"/>
        </w:rPr>
        <w:t xml:space="preserve">other </w:t>
      </w:r>
      <w:r w:rsidR="001B7E0D" w:rsidRPr="00F32D8A">
        <w:rPr>
          <w:rFonts w:ascii="Arial" w:hAnsi="Arial" w:cs="Arial"/>
        </w:rPr>
        <w:t xml:space="preserve">sectional </w:t>
      </w:r>
      <w:r w:rsidR="00217721" w:rsidRPr="00F32D8A">
        <w:rPr>
          <w:rFonts w:ascii="Arial" w:hAnsi="Arial" w:cs="Arial"/>
        </w:rPr>
        <w:t>owners.</w:t>
      </w:r>
      <w:r w:rsidR="005560DC" w:rsidRPr="00B76F09">
        <w:rPr>
          <w:rStyle w:val="FootnoteReference"/>
          <w:rFonts w:ascii="Arial" w:hAnsi="Arial" w:cs="Arial"/>
        </w:rPr>
        <w:footnoteReference w:id="12"/>
      </w:r>
      <w:r w:rsidR="00217721" w:rsidRPr="00F32D8A">
        <w:rPr>
          <w:rFonts w:ascii="Arial" w:hAnsi="Arial" w:cs="Arial"/>
        </w:rPr>
        <w:t xml:space="preserve"> </w:t>
      </w:r>
      <w:r w:rsidR="005560DC" w:rsidRPr="00F32D8A">
        <w:rPr>
          <w:rFonts w:ascii="Arial" w:hAnsi="Arial" w:cs="Arial"/>
        </w:rPr>
        <w:t>The ST</w:t>
      </w:r>
      <w:r w:rsidR="00C53489" w:rsidRPr="00F32D8A">
        <w:rPr>
          <w:rFonts w:ascii="Arial" w:hAnsi="Arial" w:cs="Arial"/>
        </w:rPr>
        <w:t xml:space="preserve"> </w:t>
      </w:r>
      <w:r w:rsidR="005560DC" w:rsidRPr="00F32D8A">
        <w:rPr>
          <w:rFonts w:ascii="Arial" w:hAnsi="Arial" w:cs="Arial"/>
        </w:rPr>
        <w:t>A</w:t>
      </w:r>
      <w:r w:rsidR="00C53489" w:rsidRPr="00F32D8A">
        <w:rPr>
          <w:rFonts w:ascii="Arial" w:hAnsi="Arial" w:cs="Arial"/>
        </w:rPr>
        <w:t>ct</w:t>
      </w:r>
      <w:r w:rsidR="005560DC" w:rsidRPr="00F32D8A">
        <w:rPr>
          <w:rFonts w:ascii="Arial" w:hAnsi="Arial" w:cs="Arial"/>
        </w:rPr>
        <w:t xml:space="preserve"> </w:t>
      </w:r>
      <w:r w:rsidR="004A5ED8" w:rsidRPr="00F32D8A">
        <w:rPr>
          <w:rFonts w:ascii="Arial" w:hAnsi="Arial" w:cs="Arial"/>
        </w:rPr>
        <w:t xml:space="preserve">was intended to create </w:t>
      </w:r>
      <w:r w:rsidR="004A21B0" w:rsidRPr="00F32D8A">
        <w:rPr>
          <w:rFonts w:ascii="Arial" w:hAnsi="Arial" w:cs="Arial"/>
        </w:rPr>
        <w:t xml:space="preserve">a </w:t>
      </w:r>
      <w:r w:rsidR="00BA37D6" w:rsidRPr="00F32D8A">
        <w:rPr>
          <w:rFonts w:ascii="Arial" w:hAnsi="Arial" w:cs="Arial"/>
        </w:rPr>
        <w:t xml:space="preserve">relatively flexible </w:t>
      </w:r>
      <w:r w:rsidR="004A21B0" w:rsidRPr="00F32D8A">
        <w:rPr>
          <w:rFonts w:ascii="Arial" w:hAnsi="Arial" w:cs="Arial"/>
        </w:rPr>
        <w:t xml:space="preserve">framework </w:t>
      </w:r>
      <w:r w:rsidR="005560DC" w:rsidRPr="00F32D8A">
        <w:rPr>
          <w:rFonts w:ascii="Arial" w:hAnsi="Arial" w:cs="Arial"/>
        </w:rPr>
        <w:t>for regulating</w:t>
      </w:r>
      <w:r w:rsidR="00E21A9C" w:rsidRPr="00F32D8A">
        <w:rPr>
          <w:rFonts w:ascii="Arial" w:hAnsi="Arial" w:cs="Arial"/>
        </w:rPr>
        <w:t xml:space="preserve"> </w:t>
      </w:r>
      <w:r w:rsidR="00B33CF9" w:rsidRPr="00F32D8A">
        <w:rPr>
          <w:rFonts w:ascii="Arial" w:hAnsi="Arial" w:cs="Arial"/>
        </w:rPr>
        <w:t xml:space="preserve">this new form of </w:t>
      </w:r>
      <w:r w:rsidR="004A21B0" w:rsidRPr="00F32D8A">
        <w:rPr>
          <w:rFonts w:ascii="Arial" w:hAnsi="Arial" w:cs="Arial"/>
        </w:rPr>
        <w:t xml:space="preserve">sectional ownership. </w:t>
      </w:r>
    </w:p>
    <w:p w14:paraId="68A8C0DE" w14:textId="77777777" w:rsidR="00222D5A" w:rsidRPr="00B76F09" w:rsidRDefault="00222D5A" w:rsidP="0062153A">
      <w:pPr>
        <w:pStyle w:val="ListParagraph"/>
        <w:spacing w:line="360" w:lineRule="auto"/>
        <w:rPr>
          <w:rFonts w:ascii="Arial" w:hAnsi="Arial" w:cs="Arial"/>
        </w:rPr>
      </w:pPr>
    </w:p>
    <w:p w14:paraId="7DF13B19" w14:textId="63731D5E" w:rsidR="00222D5A" w:rsidRPr="00F32D8A" w:rsidRDefault="00F32D8A" w:rsidP="00F32D8A">
      <w:pPr>
        <w:tabs>
          <w:tab w:val="left" w:pos="709"/>
        </w:tabs>
        <w:spacing w:line="360" w:lineRule="auto"/>
        <w:jc w:val="both"/>
        <w:rPr>
          <w:rFonts w:ascii="Arial" w:hAnsi="Arial" w:cs="Arial"/>
        </w:rPr>
      </w:pPr>
      <w:r w:rsidRPr="00B76F09">
        <w:rPr>
          <w:rFonts w:ascii="Arial" w:hAnsi="Arial" w:cs="Arial"/>
        </w:rPr>
        <w:lastRenderedPageBreak/>
        <w:t>[20]</w:t>
      </w:r>
      <w:r w:rsidRPr="00B76F09">
        <w:rPr>
          <w:rFonts w:ascii="Arial" w:hAnsi="Arial" w:cs="Arial"/>
        </w:rPr>
        <w:tab/>
      </w:r>
      <w:r w:rsidR="00222D5A" w:rsidRPr="00F32D8A">
        <w:rPr>
          <w:rFonts w:ascii="Arial" w:hAnsi="Arial" w:cs="Arial"/>
        </w:rPr>
        <w:t>Section 32(1) of the ST Act read</w:t>
      </w:r>
      <w:r w:rsidR="00FC5724" w:rsidRPr="00F32D8A">
        <w:rPr>
          <w:rFonts w:ascii="Arial" w:hAnsi="Arial" w:cs="Arial"/>
        </w:rPr>
        <w:t>s</w:t>
      </w:r>
      <w:r w:rsidR="00222D5A" w:rsidRPr="00F32D8A">
        <w:rPr>
          <w:rFonts w:ascii="Arial" w:hAnsi="Arial" w:cs="Arial"/>
        </w:rPr>
        <w:t xml:space="preserve"> as follows:</w:t>
      </w:r>
    </w:p>
    <w:p w14:paraId="28933DFF" w14:textId="34AA4CEC" w:rsidR="00222D5A" w:rsidRPr="00B76F09" w:rsidRDefault="00222D5A" w:rsidP="00C43A85">
      <w:pPr>
        <w:pStyle w:val="ListParagraph"/>
        <w:tabs>
          <w:tab w:val="left" w:pos="709"/>
        </w:tabs>
        <w:spacing w:line="360" w:lineRule="auto"/>
        <w:ind w:left="0"/>
        <w:jc w:val="both"/>
        <w:rPr>
          <w:rFonts w:ascii="Arial" w:hAnsi="Arial" w:cs="Arial"/>
        </w:rPr>
      </w:pPr>
      <w:r w:rsidRPr="00B76F09">
        <w:rPr>
          <w:rFonts w:asciiTheme="minorBidi" w:hAnsiTheme="minorBidi" w:cstheme="minorBidi"/>
          <w:sz w:val="22"/>
          <w:szCs w:val="22"/>
        </w:rPr>
        <w:t>‘</w:t>
      </w:r>
      <w:r w:rsidR="00FC5724" w:rsidRPr="00B76F09">
        <w:rPr>
          <w:rFonts w:asciiTheme="minorBidi" w:hAnsiTheme="minorBidi" w:cstheme="minorBidi"/>
          <w:sz w:val="22"/>
          <w:szCs w:val="22"/>
        </w:rPr>
        <w:t>Subject to the provisions of section 48, in the case of a scheme for residential purposes only as defined in any applicable operative town planning scheme, statutory plan or conditions subject to which a development was approved in terms of any law the participation quota of a section shall be a percentage expressed to four decimal places, and arrived at by dividing the floor area, correct to the nearest square metre, of the section by the floor area, correct to the nearest square metre, of all the sections in the building or buildings comprised in the scheme</w:t>
      </w:r>
      <w:r w:rsidRPr="00B76F09">
        <w:rPr>
          <w:rFonts w:asciiTheme="minorBidi" w:hAnsiTheme="minorBidi" w:cstheme="minorBidi"/>
          <w:sz w:val="22"/>
          <w:szCs w:val="22"/>
        </w:rPr>
        <w:t xml:space="preserve">.’ </w:t>
      </w:r>
    </w:p>
    <w:p w14:paraId="1934F58F" w14:textId="77777777" w:rsidR="000C29F1" w:rsidRPr="00B76F09" w:rsidRDefault="000C29F1" w:rsidP="00C43A85">
      <w:pPr>
        <w:pStyle w:val="ListParagraph"/>
        <w:spacing w:line="360" w:lineRule="auto"/>
        <w:rPr>
          <w:rFonts w:ascii="Arial" w:hAnsi="Arial" w:cs="Arial"/>
        </w:rPr>
      </w:pPr>
    </w:p>
    <w:p w14:paraId="576C360A" w14:textId="33AC0681" w:rsidR="006E39C3" w:rsidRPr="00F32D8A" w:rsidRDefault="00F32D8A" w:rsidP="00F32D8A">
      <w:pPr>
        <w:tabs>
          <w:tab w:val="left" w:pos="709"/>
        </w:tabs>
        <w:spacing w:line="360" w:lineRule="auto"/>
        <w:jc w:val="both"/>
        <w:rPr>
          <w:rFonts w:asciiTheme="minorBidi" w:hAnsiTheme="minorBidi" w:cstheme="minorBidi"/>
        </w:rPr>
      </w:pPr>
      <w:r w:rsidRPr="00B76F09">
        <w:rPr>
          <w:rFonts w:ascii="Arial" w:hAnsi="Arial" w:cstheme="minorBidi"/>
        </w:rPr>
        <w:t>[21]</w:t>
      </w:r>
      <w:r w:rsidRPr="00B76F09">
        <w:rPr>
          <w:rFonts w:ascii="Arial" w:hAnsi="Arial" w:cstheme="minorBidi"/>
        </w:rPr>
        <w:tab/>
      </w:r>
      <w:r w:rsidR="000C29F1" w:rsidRPr="00F32D8A">
        <w:rPr>
          <w:rFonts w:asciiTheme="minorBidi" w:hAnsiTheme="minorBidi" w:cstheme="minorBidi"/>
        </w:rPr>
        <w:t>Section 32(2)</w:t>
      </w:r>
      <w:r w:rsidR="006E39C3" w:rsidRPr="00F32D8A">
        <w:rPr>
          <w:rFonts w:asciiTheme="minorBidi" w:hAnsiTheme="minorBidi" w:cstheme="minorBidi"/>
          <w:i/>
        </w:rPr>
        <w:t>(a)</w:t>
      </w:r>
      <w:r w:rsidR="000C29F1" w:rsidRPr="00F32D8A">
        <w:rPr>
          <w:rFonts w:asciiTheme="minorBidi" w:hAnsiTheme="minorBidi" w:cstheme="minorBidi"/>
          <w:i/>
        </w:rPr>
        <w:t xml:space="preserve"> </w:t>
      </w:r>
      <w:r w:rsidR="000C29F1" w:rsidRPr="00F32D8A">
        <w:rPr>
          <w:rFonts w:asciiTheme="minorBidi" w:hAnsiTheme="minorBidi" w:cstheme="minorBidi"/>
        </w:rPr>
        <w:t>of the ST</w:t>
      </w:r>
      <w:r w:rsidR="00C53489" w:rsidRPr="00F32D8A">
        <w:rPr>
          <w:rFonts w:asciiTheme="minorBidi" w:hAnsiTheme="minorBidi" w:cstheme="minorBidi"/>
        </w:rPr>
        <w:t xml:space="preserve"> </w:t>
      </w:r>
      <w:r w:rsidR="000C29F1" w:rsidRPr="00F32D8A">
        <w:rPr>
          <w:rFonts w:asciiTheme="minorBidi" w:hAnsiTheme="minorBidi" w:cstheme="minorBidi"/>
        </w:rPr>
        <w:t>A</w:t>
      </w:r>
      <w:r w:rsidR="00C53489" w:rsidRPr="00F32D8A">
        <w:rPr>
          <w:rFonts w:asciiTheme="minorBidi" w:hAnsiTheme="minorBidi" w:cstheme="minorBidi"/>
        </w:rPr>
        <w:t>ct</w:t>
      </w:r>
      <w:r w:rsidR="000C29F1" w:rsidRPr="00F32D8A">
        <w:rPr>
          <w:rFonts w:asciiTheme="minorBidi" w:hAnsiTheme="minorBidi" w:cstheme="minorBidi"/>
        </w:rPr>
        <w:t xml:space="preserve"> </w:t>
      </w:r>
      <w:r w:rsidR="006E39C3" w:rsidRPr="00F32D8A">
        <w:rPr>
          <w:rFonts w:asciiTheme="minorBidi" w:hAnsiTheme="minorBidi" w:cstheme="minorBidi"/>
        </w:rPr>
        <w:t>provide</w:t>
      </w:r>
      <w:r w:rsidR="00222D5A" w:rsidRPr="00F32D8A">
        <w:rPr>
          <w:rFonts w:asciiTheme="minorBidi" w:hAnsiTheme="minorBidi" w:cstheme="minorBidi"/>
        </w:rPr>
        <w:t>s further</w:t>
      </w:r>
      <w:r w:rsidR="00163247" w:rsidRPr="00F32D8A">
        <w:rPr>
          <w:rFonts w:asciiTheme="minorBidi" w:hAnsiTheme="minorBidi" w:cstheme="minorBidi"/>
        </w:rPr>
        <w:t xml:space="preserve"> that</w:t>
      </w:r>
      <w:r w:rsidR="006E39C3" w:rsidRPr="00F32D8A">
        <w:rPr>
          <w:rFonts w:asciiTheme="minorBidi" w:hAnsiTheme="minorBidi" w:cstheme="minorBidi"/>
        </w:rPr>
        <w:t>:</w:t>
      </w:r>
    </w:p>
    <w:p w14:paraId="38B1B61D" w14:textId="3FB8B629" w:rsidR="00506BF2" w:rsidRPr="00B76F09" w:rsidRDefault="006E39C3" w:rsidP="0071291C">
      <w:pPr>
        <w:pStyle w:val="ListParagraph"/>
        <w:spacing w:line="360" w:lineRule="auto"/>
        <w:ind w:left="0"/>
        <w:jc w:val="both"/>
        <w:rPr>
          <w:rFonts w:asciiTheme="minorBidi" w:hAnsiTheme="minorBidi" w:cstheme="minorBidi"/>
          <w:sz w:val="22"/>
          <w:szCs w:val="22"/>
        </w:rPr>
      </w:pPr>
      <w:r w:rsidRPr="00B76F09">
        <w:rPr>
          <w:rFonts w:asciiTheme="minorBidi" w:hAnsiTheme="minorBidi" w:cstheme="minorBidi"/>
          <w:sz w:val="22"/>
          <w:szCs w:val="22"/>
        </w:rPr>
        <w:t>‘</w:t>
      </w:r>
      <w:r w:rsidR="00506BF2" w:rsidRPr="00B76F09">
        <w:rPr>
          <w:rFonts w:asciiTheme="minorBidi" w:hAnsiTheme="minorBidi" w:cstheme="minorBidi"/>
          <w:sz w:val="22"/>
          <w:szCs w:val="22"/>
        </w:rPr>
        <w:t>Subject to the provisions of section 48, in the case of a scheme other than a scheme referred to in subsection (1), the participation quota of a section shall be a percentage expressed to four decimal places, as determined by the developer: Provided that—</w:t>
      </w:r>
    </w:p>
    <w:p w14:paraId="088A668F" w14:textId="575C7AC8" w:rsidR="009C2E11" w:rsidRPr="00B76F09" w:rsidRDefault="00506BF2" w:rsidP="0071291C">
      <w:pPr>
        <w:pStyle w:val="ListParagraph"/>
        <w:spacing w:line="360" w:lineRule="auto"/>
        <w:ind w:hanging="720"/>
        <w:jc w:val="both"/>
        <w:rPr>
          <w:rFonts w:asciiTheme="minorBidi" w:hAnsiTheme="minorBidi" w:cstheme="minorBidi"/>
          <w:sz w:val="22"/>
          <w:szCs w:val="22"/>
        </w:rPr>
      </w:pPr>
      <w:r w:rsidRPr="00D17DE5">
        <w:rPr>
          <w:rFonts w:asciiTheme="minorBidi" w:hAnsiTheme="minorBidi" w:cstheme="minorBidi"/>
          <w:i/>
          <w:sz w:val="22"/>
          <w:szCs w:val="22"/>
        </w:rPr>
        <w:t>(</w:t>
      </w:r>
      <w:r w:rsidRPr="00D17DE5">
        <w:rPr>
          <w:rFonts w:asciiTheme="minorBidi" w:hAnsiTheme="minorBidi" w:cstheme="minorBidi"/>
          <w:i/>
          <w:iCs/>
          <w:sz w:val="22"/>
          <w:szCs w:val="22"/>
        </w:rPr>
        <w:t>a</w:t>
      </w:r>
      <w:r w:rsidRPr="00D17DE5">
        <w:rPr>
          <w:rFonts w:asciiTheme="minorBidi" w:hAnsiTheme="minorBidi" w:cstheme="minorBidi"/>
          <w:i/>
          <w:sz w:val="22"/>
          <w:szCs w:val="22"/>
        </w:rPr>
        <w:t>)</w:t>
      </w:r>
      <w:r w:rsidRPr="00B76F09">
        <w:rPr>
          <w:rFonts w:asciiTheme="minorBidi" w:hAnsiTheme="minorBidi" w:cstheme="minorBidi"/>
          <w:sz w:val="22"/>
          <w:szCs w:val="22"/>
        </w:rPr>
        <w:t xml:space="preserve"> </w:t>
      </w:r>
      <w:r w:rsidR="0071291C" w:rsidRPr="00B76F09">
        <w:rPr>
          <w:rFonts w:asciiTheme="minorBidi" w:hAnsiTheme="minorBidi" w:cstheme="minorBidi"/>
          <w:sz w:val="22"/>
          <w:szCs w:val="22"/>
        </w:rPr>
        <w:tab/>
      </w:r>
      <w:r w:rsidRPr="00B76F09">
        <w:rPr>
          <w:rFonts w:asciiTheme="minorBidi" w:hAnsiTheme="minorBidi" w:cstheme="minorBidi"/>
          <w:sz w:val="22"/>
          <w:szCs w:val="22"/>
        </w:rPr>
        <w:t>where a scheme is partly residential as defined in any applicable operative town planning scheme, statutory plan or conditions subject to which a development was approved in terms of any law, the total of the quotas allocated by the developer to the residential sections shall be divided among them in proportion to a calculation of their quotas made in terms of subsection (1);</w:t>
      </w:r>
      <w:r w:rsidR="006E39C3" w:rsidRPr="00B76F09">
        <w:rPr>
          <w:rFonts w:asciiTheme="minorBidi" w:hAnsiTheme="minorBidi" w:cstheme="minorBidi"/>
          <w:sz w:val="22"/>
          <w:szCs w:val="22"/>
        </w:rPr>
        <w:t>’</w:t>
      </w:r>
    </w:p>
    <w:p w14:paraId="4FF1C852" w14:textId="379C65BC" w:rsidR="000C29F1" w:rsidRPr="00B76F09" w:rsidRDefault="000C29F1" w:rsidP="009C2E11">
      <w:pPr>
        <w:tabs>
          <w:tab w:val="left" w:pos="709"/>
        </w:tabs>
        <w:spacing w:line="360" w:lineRule="auto"/>
        <w:jc w:val="both"/>
        <w:rPr>
          <w:rFonts w:asciiTheme="minorBidi" w:hAnsiTheme="minorBidi" w:cstheme="minorBidi"/>
        </w:rPr>
      </w:pPr>
    </w:p>
    <w:p w14:paraId="29372D03" w14:textId="66B71051" w:rsidR="00F54536" w:rsidRPr="00F32D8A" w:rsidRDefault="00F32D8A" w:rsidP="00F32D8A">
      <w:pPr>
        <w:tabs>
          <w:tab w:val="left" w:pos="709"/>
        </w:tabs>
        <w:spacing w:line="360" w:lineRule="auto"/>
        <w:jc w:val="both"/>
        <w:rPr>
          <w:rFonts w:ascii="Arial" w:hAnsi="Arial" w:cs="Arial"/>
        </w:rPr>
      </w:pPr>
      <w:r w:rsidRPr="00B76F09">
        <w:rPr>
          <w:rFonts w:ascii="Arial" w:hAnsi="Arial" w:cs="Arial"/>
        </w:rPr>
        <w:t>[22]</w:t>
      </w:r>
      <w:r w:rsidRPr="00B76F09">
        <w:rPr>
          <w:rFonts w:ascii="Arial" w:hAnsi="Arial" w:cs="Arial"/>
        </w:rPr>
        <w:tab/>
      </w:r>
      <w:r w:rsidR="00796656" w:rsidRPr="00F32D8A">
        <w:rPr>
          <w:rFonts w:ascii="Arial" w:hAnsi="Arial" w:cs="Arial"/>
        </w:rPr>
        <w:t>Section 32(4) of the ST</w:t>
      </w:r>
      <w:r w:rsidR="00C53489" w:rsidRPr="00F32D8A">
        <w:rPr>
          <w:rFonts w:ascii="Arial" w:hAnsi="Arial" w:cs="Arial"/>
        </w:rPr>
        <w:t xml:space="preserve"> </w:t>
      </w:r>
      <w:r w:rsidR="00796656" w:rsidRPr="00F32D8A">
        <w:rPr>
          <w:rFonts w:ascii="Arial" w:hAnsi="Arial" w:cs="Arial"/>
        </w:rPr>
        <w:t>A</w:t>
      </w:r>
      <w:r w:rsidR="00C53489" w:rsidRPr="00F32D8A">
        <w:rPr>
          <w:rFonts w:ascii="Arial" w:hAnsi="Arial" w:cs="Arial"/>
        </w:rPr>
        <w:t>ct</w:t>
      </w:r>
      <w:r w:rsidR="009C2E11" w:rsidRPr="00F32D8A">
        <w:rPr>
          <w:rFonts w:ascii="Arial" w:hAnsi="Arial" w:cs="Arial"/>
        </w:rPr>
        <w:t>, now repealed,</w:t>
      </w:r>
      <w:r w:rsidR="00796656" w:rsidRPr="00F32D8A">
        <w:rPr>
          <w:rFonts w:ascii="Arial" w:hAnsi="Arial" w:cs="Arial"/>
        </w:rPr>
        <w:t xml:space="preserve"> provided that:</w:t>
      </w:r>
    </w:p>
    <w:p w14:paraId="44C6826A" w14:textId="2D7B2AAA" w:rsidR="00F54536" w:rsidRPr="00B76F09" w:rsidRDefault="00796656" w:rsidP="0071291C">
      <w:pPr>
        <w:pStyle w:val="ListParagraph"/>
        <w:spacing w:line="360" w:lineRule="auto"/>
        <w:ind w:left="0"/>
        <w:jc w:val="both"/>
        <w:rPr>
          <w:rFonts w:asciiTheme="minorBidi" w:hAnsiTheme="minorBidi" w:cstheme="minorBidi"/>
          <w:sz w:val="22"/>
          <w:szCs w:val="22"/>
        </w:rPr>
      </w:pPr>
      <w:r w:rsidRPr="00B76F09">
        <w:rPr>
          <w:rFonts w:asciiTheme="minorBidi" w:hAnsiTheme="minorBidi" w:cstheme="minorBidi"/>
          <w:sz w:val="22"/>
          <w:szCs w:val="22"/>
        </w:rPr>
        <w:t>‘</w:t>
      </w:r>
      <w:r w:rsidR="0071291C" w:rsidRPr="00B76F09">
        <w:rPr>
          <w:rFonts w:asciiTheme="minorBidi" w:hAnsiTheme="minorBidi" w:cstheme="minorBidi"/>
          <w:sz w:val="22"/>
          <w:szCs w:val="22"/>
        </w:rPr>
        <w:t>Subject to the provisions of section 37(1)(</w:t>
      </w:r>
      <w:r w:rsidR="0071291C" w:rsidRPr="00B76F09">
        <w:rPr>
          <w:rFonts w:asciiTheme="minorBidi" w:hAnsiTheme="minorBidi" w:cstheme="minorBidi"/>
          <w:i/>
          <w:iCs/>
          <w:sz w:val="22"/>
          <w:szCs w:val="22"/>
        </w:rPr>
        <w:t>b</w:t>
      </w:r>
      <w:r w:rsidR="0071291C" w:rsidRPr="00B76F09">
        <w:rPr>
          <w:rFonts w:asciiTheme="minorBidi" w:hAnsiTheme="minorBidi" w:cstheme="minorBidi"/>
          <w:sz w:val="22"/>
          <w:szCs w:val="22"/>
        </w:rPr>
        <w:t>), the developer may, when submitting an application for the opening of a sectional title register, or the members of the body corporate may by special resolution, make rules under section 35 by which a different value is attached to the vote of the owner of any section, or the liability of the owner of any section to make contributions for the purposes of section 37(1)(</w:t>
      </w:r>
      <w:r w:rsidR="0071291C" w:rsidRPr="00B76F09">
        <w:rPr>
          <w:rFonts w:asciiTheme="minorBidi" w:hAnsiTheme="minorBidi" w:cstheme="minorBidi"/>
          <w:i/>
          <w:iCs/>
          <w:sz w:val="22"/>
          <w:szCs w:val="22"/>
        </w:rPr>
        <w:t>a</w:t>
      </w:r>
      <w:r w:rsidR="0071291C" w:rsidRPr="00B76F09">
        <w:rPr>
          <w:rFonts w:asciiTheme="minorBidi" w:hAnsiTheme="minorBidi" w:cstheme="minorBidi"/>
          <w:sz w:val="22"/>
          <w:szCs w:val="22"/>
        </w:rPr>
        <w:t>) or 47(1) is modified: Provided that where an owner is adversely affected by such a decision of the body corporate, his written consent must be obtained: Provided further that no such change may be made by a special resolution of the body corporate until such time as there are owners, other than the developer, of at least 30 per cent of the units in the scheme: Provided further that, in the case where the developer alienates a unit before submitting an application for the opening of a sectional title register, no exercise of power to make a change conferred on the developer by this subsection shall be valid unless the intended change is disclosed in the deed of alienation in question.</w:t>
      </w:r>
      <w:r w:rsidRPr="00B76F09">
        <w:rPr>
          <w:rFonts w:asciiTheme="minorBidi" w:hAnsiTheme="minorBidi" w:cstheme="minorBidi"/>
          <w:sz w:val="22"/>
          <w:szCs w:val="22"/>
        </w:rPr>
        <w:t>’</w:t>
      </w:r>
      <w:r w:rsidR="002F6285" w:rsidRPr="00B76F09">
        <w:rPr>
          <w:rStyle w:val="FootnoteReference"/>
          <w:rFonts w:asciiTheme="minorBidi" w:hAnsiTheme="minorBidi" w:cstheme="minorBidi"/>
          <w:sz w:val="22"/>
          <w:szCs w:val="22"/>
        </w:rPr>
        <w:footnoteReference w:id="13"/>
      </w:r>
    </w:p>
    <w:p w14:paraId="1B4F6597" w14:textId="77777777" w:rsidR="00F624AD" w:rsidRPr="00B76F09" w:rsidRDefault="00F624AD" w:rsidP="00796656">
      <w:pPr>
        <w:pStyle w:val="ListParagraph"/>
        <w:tabs>
          <w:tab w:val="left" w:pos="709"/>
        </w:tabs>
        <w:spacing w:line="360" w:lineRule="auto"/>
        <w:ind w:left="0"/>
        <w:jc w:val="both"/>
      </w:pPr>
    </w:p>
    <w:p w14:paraId="7ED87224" w14:textId="2A83F1E4" w:rsidR="00222D5A" w:rsidRPr="00F32D8A" w:rsidRDefault="00F32D8A" w:rsidP="00F32D8A">
      <w:pPr>
        <w:tabs>
          <w:tab w:val="left" w:pos="709"/>
        </w:tabs>
        <w:spacing w:line="360" w:lineRule="auto"/>
        <w:jc w:val="both"/>
        <w:rPr>
          <w:rFonts w:ascii="Arial" w:hAnsi="Arial" w:cs="Arial"/>
        </w:rPr>
      </w:pPr>
      <w:r w:rsidRPr="00B76F09">
        <w:rPr>
          <w:rFonts w:ascii="Arial" w:hAnsi="Arial" w:cs="Arial"/>
        </w:rPr>
        <w:t>[23]</w:t>
      </w:r>
      <w:r w:rsidRPr="00B76F09">
        <w:rPr>
          <w:rFonts w:ascii="Arial" w:hAnsi="Arial" w:cs="Arial"/>
        </w:rPr>
        <w:tab/>
      </w:r>
      <w:r w:rsidR="00A630FF" w:rsidRPr="00F32D8A">
        <w:rPr>
          <w:rFonts w:ascii="Arial" w:hAnsi="Arial" w:cs="Arial"/>
        </w:rPr>
        <w:t>The ST</w:t>
      </w:r>
      <w:r w:rsidR="00C53489" w:rsidRPr="00F32D8A">
        <w:rPr>
          <w:rFonts w:ascii="Arial" w:hAnsi="Arial" w:cs="Arial"/>
        </w:rPr>
        <w:t xml:space="preserve"> </w:t>
      </w:r>
      <w:r w:rsidR="00A630FF" w:rsidRPr="00F32D8A">
        <w:rPr>
          <w:rFonts w:ascii="Arial" w:hAnsi="Arial" w:cs="Arial"/>
        </w:rPr>
        <w:t>A</w:t>
      </w:r>
      <w:r w:rsidR="00C53489" w:rsidRPr="00F32D8A">
        <w:rPr>
          <w:rFonts w:ascii="Arial" w:hAnsi="Arial" w:cs="Arial"/>
        </w:rPr>
        <w:t>ct</w:t>
      </w:r>
      <w:r w:rsidR="00A630FF" w:rsidRPr="00F32D8A">
        <w:rPr>
          <w:rFonts w:ascii="Arial" w:hAnsi="Arial" w:cs="Arial"/>
        </w:rPr>
        <w:t xml:space="preserve"> thus </w:t>
      </w:r>
      <w:r w:rsidR="00C53489" w:rsidRPr="00F32D8A">
        <w:rPr>
          <w:rFonts w:ascii="Arial" w:hAnsi="Arial" w:cs="Arial"/>
        </w:rPr>
        <w:t>conceived of</w:t>
      </w:r>
      <w:r w:rsidR="00746E90" w:rsidRPr="00F32D8A">
        <w:rPr>
          <w:rFonts w:ascii="Arial" w:hAnsi="Arial" w:cs="Arial"/>
        </w:rPr>
        <w:t>,</w:t>
      </w:r>
      <w:r w:rsidR="00C53489" w:rsidRPr="00F32D8A">
        <w:rPr>
          <w:rFonts w:ascii="Arial" w:hAnsi="Arial" w:cs="Arial"/>
        </w:rPr>
        <w:t xml:space="preserve"> and </w:t>
      </w:r>
      <w:r w:rsidR="00A630FF" w:rsidRPr="00F32D8A">
        <w:rPr>
          <w:rFonts w:ascii="Arial" w:hAnsi="Arial" w:cs="Arial"/>
        </w:rPr>
        <w:t>allowed for</w:t>
      </w:r>
      <w:r w:rsidR="00746E90" w:rsidRPr="00F32D8A">
        <w:rPr>
          <w:rFonts w:ascii="Arial" w:hAnsi="Arial" w:cs="Arial"/>
        </w:rPr>
        <w:t>,</w:t>
      </w:r>
      <w:r w:rsidR="00A630FF" w:rsidRPr="00F32D8A">
        <w:rPr>
          <w:rFonts w:ascii="Arial" w:hAnsi="Arial" w:cs="Arial"/>
        </w:rPr>
        <w:t xml:space="preserve"> </w:t>
      </w:r>
      <w:r w:rsidR="00222D5A" w:rsidRPr="00F32D8A">
        <w:rPr>
          <w:rFonts w:ascii="Arial" w:hAnsi="Arial" w:cs="Arial"/>
        </w:rPr>
        <w:t xml:space="preserve">a distinction to exist between residential </w:t>
      </w:r>
      <w:r w:rsidR="00516080" w:rsidRPr="00F32D8A">
        <w:rPr>
          <w:rFonts w:ascii="Arial" w:hAnsi="Arial" w:cs="Arial"/>
        </w:rPr>
        <w:t xml:space="preserve">only </w:t>
      </w:r>
      <w:r w:rsidR="00222D5A" w:rsidRPr="00F32D8A">
        <w:rPr>
          <w:rFonts w:ascii="Arial" w:hAnsi="Arial" w:cs="Arial"/>
        </w:rPr>
        <w:t>and mixed</w:t>
      </w:r>
      <w:r w:rsidR="0071291C" w:rsidRPr="00F32D8A">
        <w:rPr>
          <w:rFonts w:ascii="Arial" w:hAnsi="Arial" w:cs="Arial"/>
        </w:rPr>
        <w:t>-</w:t>
      </w:r>
      <w:r w:rsidR="00222D5A" w:rsidRPr="00F32D8A">
        <w:rPr>
          <w:rFonts w:ascii="Arial" w:hAnsi="Arial" w:cs="Arial"/>
        </w:rPr>
        <w:t xml:space="preserve">use schemes when it comes to the calculation of the </w:t>
      </w:r>
      <w:r w:rsidR="00222D5A" w:rsidRPr="00F32D8A">
        <w:rPr>
          <w:rFonts w:ascii="Arial" w:hAnsi="Arial" w:cs="Arial"/>
        </w:rPr>
        <w:lastRenderedPageBreak/>
        <w:t xml:space="preserve">participation quota. For residential only schemes, the floor area of </w:t>
      </w:r>
      <w:r w:rsidR="00516080" w:rsidRPr="00F32D8A">
        <w:rPr>
          <w:rFonts w:ascii="Arial" w:hAnsi="Arial" w:cs="Arial"/>
        </w:rPr>
        <w:t xml:space="preserve">a </w:t>
      </w:r>
      <w:r w:rsidR="00222D5A" w:rsidRPr="00F32D8A">
        <w:rPr>
          <w:rFonts w:ascii="Arial" w:hAnsi="Arial" w:cs="Arial"/>
        </w:rPr>
        <w:t>section is the basis for calculating the participation quota</w:t>
      </w:r>
      <w:r w:rsidR="008E062A" w:rsidRPr="00F32D8A">
        <w:rPr>
          <w:rFonts w:ascii="Arial" w:hAnsi="Arial" w:cs="Arial"/>
        </w:rPr>
        <w:t>,</w:t>
      </w:r>
      <w:r w:rsidR="00222D5A" w:rsidRPr="00F32D8A">
        <w:rPr>
          <w:rFonts w:ascii="Arial" w:hAnsi="Arial" w:cs="Arial"/>
        </w:rPr>
        <w:t xml:space="preserve"> as indicated in section 32(1). With regards to mixed</w:t>
      </w:r>
      <w:r w:rsidR="0071291C" w:rsidRPr="00F32D8A">
        <w:rPr>
          <w:rFonts w:ascii="Arial" w:hAnsi="Arial" w:cs="Arial"/>
        </w:rPr>
        <w:t>-</w:t>
      </w:r>
      <w:r w:rsidR="00222D5A" w:rsidRPr="00F32D8A">
        <w:rPr>
          <w:rFonts w:ascii="Arial" w:hAnsi="Arial" w:cs="Arial"/>
        </w:rPr>
        <w:t xml:space="preserve">use schemes, the position was summed up by the Supreme Court of Appeal in </w:t>
      </w:r>
      <w:r w:rsidR="00222D5A" w:rsidRPr="00F32D8A">
        <w:rPr>
          <w:rFonts w:asciiTheme="minorBidi" w:hAnsiTheme="minorBidi" w:cstheme="minorBidi"/>
          <w:i/>
          <w:iCs/>
          <w:color w:val="000000" w:themeColor="text1"/>
        </w:rPr>
        <w:t>Body Corporate of Marine Sands v Extra Dimensions 121 (Pty) Ltd and another</w:t>
      </w:r>
      <w:r w:rsidR="00222D5A" w:rsidRPr="00F32D8A">
        <w:rPr>
          <w:rFonts w:asciiTheme="minorBidi" w:hAnsiTheme="minorBidi" w:cstheme="minorBidi"/>
          <w:color w:val="000000" w:themeColor="text1"/>
        </w:rPr>
        <w:t>,</w:t>
      </w:r>
      <w:r w:rsidR="00222D5A" w:rsidRPr="00B76F09">
        <w:rPr>
          <w:rStyle w:val="FootnoteReference"/>
          <w:rFonts w:asciiTheme="minorBidi" w:hAnsiTheme="minorBidi" w:cstheme="minorBidi"/>
          <w:color w:val="000000" w:themeColor="text1"/>
        </w:rPr>
        <w:footnoteReference w:id="14"/>
      </w:r>
      <w:r w:rsidR="00222D5A" w:rsidRPr="00F32D8A">
        <w:rPr>
          <w:rFonts w:asciiTheme="minorBidi" w:hAnsiTheme="minorBidi" w:cstheme="minorBidi"/>
          <w:color w:val="000000" w:themeColor="text1"/>
        </w:rPr>
        <w:t xml:space="preserve"> where Ponnan JA stated that:</w:t>
      </w:r>
    </w:p>
    <w:p w14:paraId="7AE4F5D0" w14:textId="224F2E1B" w:rsidR="00222D5A" w:rsidRPr="00B76F09" w:rsidRDefault="00222D5A" w:rsidP="00222D5A">
      <w:pPr>
        <w:pStyle w:val="ListParagraph"/>
        <w:tabs>
          <w:tab w:val="left" w:pos="709"/>
        </w:tabs>
        <w:spacing w:line="360" w:lineRule="auto"/>
        <w:ind w:left="0"/>
        <w:jc w:val="both"/>
        <w:rPr>
          <w:rFonts w:asciiTheme="minorBidi" w:hAnsiTheme="minorBidi" w:cstheme="minorBidi"/>
          <w:color w:val="000000" w:themeColor="text1"/>
        </w:rPr>
      </w:pPr>
      <w:r w:rsidRPr="00B76F09">
        <w:rPr>
          <w:rFonts w:asciiTheme="minorBidi" w:hAnsiTheme="minorBidi" w:cstheme="minorBidi"/>
          <w:color w:val="000000" w:themeColor="text1"/>
          <w:sz w:val="22"/>
          <w:szCs w:val="22"/>
        </w:rPr>
        <w:t>‘Since the formula of relative floor area was considered too rigid for calculating the participation quotas for sections in schemes not used solely for residential purposes, the STA provides that the determination of the participation quotas of non-residential sections should be left to the discretion of the developer</w:t>
      </w:r>
      <w:r w:rsidRPr="00E846D3">
        <w:rPr>
          <w:rFonts w:asciiTheme="minorBidi" w:hAnsiTheme="minorBidi" w:cstheme="minorBidi"/>
          <w:color w:val="000000" w:themeColor="text1"/>
          <w:sz w:val="22"/>
          <w:szCs w:val="22"/>
        </w:rPr>
        <w:t>.’</w:t>
      </w:r>
      <w:r w:rsidRPr="00E846D3">
        <w:rPr>
          <w:rStyle w:val="FootnoteReference"/>
          <w:rFonts w:asciiTheme="minorBidi" w:hAnsiTheme="minorBidi" w:cstheme="minorBidi"/>
          <w:color w:val="000000" w:themeColor="text1"/>
          <w:sz w:val="22"/>
          <w:szCs w:val="22"/>
        </w:rPr>
        <w:footnoteReference w:id="15"/>
      </w:r>
      <w:r w:rsidRPr="008D44F5">
        <w:rPr>
          <w:rFonts w:asciiTheme="minorBidi" w:hAnsiTheme="minorBidi" w:cstheme="minorBidi"/>
          <w:color w:val="000000" w:themeColor="text1"/>
          <w:sz w:val="22"/>
          <w:szCs w:val="22"/>
        </w:rPr>
        <w:t xml:space="preserve"> </w:t>
      </w:r>
      <w:r w:rsidR="0053061E" w:rsidRPr="008D44F5">
        <w:rPr>
          <w:rFonts w:asciiTheme="minorBidi" w:hAnsiTheme="minorBidi" w:cstheme="minorBidi"/>
          <w:color w:val="000000" w:themeColor="text1"/>
          <w:sz w:val="22"/>
          <w:szCs w:val="22"/>
        </w:rPr>
        <w:t xml:space="preserve">(Footnote </w:t>
      </w:r>
      <w:r w:rsidRPr="008D44F5">
        <w:rPr>
          <w:rFonts w:asciiTheme="minorBidi" w:hAnsiTheme="minorBidi" w:cstheme="minorBidi"/>
          <w:color w:val="000000" w:themeColor="text1"/>
          <w:sz w:val="22"/>
          <w:szCs w:val="22"/>
        </w:rPr>
        <w:t>omitted</w:t>
      </w:r>
      <w:r w:rsidR="0053061E" w:rsidRPr="008D44F5">
        <w:rPr>
          <w:rFonts w:asciiTheme="minorBidi" w:hAnsiTheme="minorBidi" w:cstheme="minorBidi"/>
          <w:color w:val="000000" w:themeColor="text1"/>
          <w:sz w:val="22"/>
          <w:szCs w:val="22"/>
        </w:rPr>
        <w:t>.)</w:t>
      </w:r>
    </w:p>
    <w:p w14:paraId="2CEFBEEE" w14:textId="77777777" w:rsidR="00222D5A" w:rsidRPr="00B76F09" w:rsidRDefault="00222D5A" w:rsidP="00222D5A">
      <w:pPr>
        <w:pStyle w:val="ListParagraph"/>
        <w:tabs>
          <w:tab w:val="left" w:pos="709"/>
        </w:tabs>
        <w:spacing w:line="360" w:lineRule="auto"/>
        <w:ind w:left="0"/>
        <w:jc w:val="both"/>
        <w:rPr>
          <w:rFonts w:ascii="Arial" w:hAnsi="Arial" w:cs="Arial"/>
        </w:rPr>
      </w:pPr>
    </w:p>
    <w:p w14:paraId="622F09BB" w14:textId="329E3CBF" w:rsidR="008A0A64" w:rsidRPr="00F32D8A" w:rsidRDefault="00F32D8A" w:rsidP="00F32D8A">
      <w:pPr>
        <w:tabs>
          <w:tab w:val="left" w:pos="709"/>
        </w:tabs>
        <w:spacing w:line="360" w:lineRule="auto"/>
        <w:jc w:val="both"/>
        <w:rPr>
          <w:rFonts w:ascii="Arial" w:hAnsi="Arial" w:cs="Arial"/>
        </w:rPr>
      </w:pPr>
      <w:r w:rsidRPr="00B76F09">
        <w:rPr>
          <w:rFonts w:ascii="Arial" w:hAnsi="Arial" w:cs="Arial"/>
        </w:rPr>
        <w:t>[24]</w:t>
      </w:r>
      <w:r w:rsidRPr="00B76F09">
        <w:rPr>
          <w:rFonts w:ascii="Arial" w:hAnsi="Arial" w:cs="Arial"/>
        </w:rPr>
        <w:tab/>
      </w:r>
      <w:r w:rsidR="005F192F" w:rsidRPr="00F32D8A">
        <w:rPr>
          <w:rFonts w:ascii="Arial" w:hAnsi="Arial" w:cs="Arial"/>
        </w:rPr>
        <w:t xml:space="preserve">The </w:t>
      </w:r>
      <w:r w:rsidR="002312C8" w:rsidRPr="00F32D8A">
        <w:rPr>
          <w:rFonts w:ascii="Arial" w:hAnsi="Arial" w:cs="Arial"/>
        </w:rPr>
        <w:t>developer was accordingly entitled</w:t>
      </w:r>
      <w:r w:rsidR="00780961" w:rsidRPr="00F32D8A">
        <w:rPr>
          <w:rFonts w:ascii="Arial" w:hAnsi="Arial" w:cs="Arial"/>
        </w:rPr>
        <w:t xml:space="preserve"> in 1994</w:t>
      </w:r>
      <w:r w:rsidR="005F192F" w:rsidRPr="00F32D8A">
        <w:rPr>
          <w:rFonts w:ascii="Arial" w:hAnsi="Arial" w:cs="Arial"/>
        </w:rPr>
        <w:t xml:space="preserve">, when it converted the building to </w:t>
      </w:r>
      <w:r w:rsidR="00077D4D" w:rsidRPr="00F32D8A">
        <w:rPr>
          <w:rFonts w:ascii="Arial" w:hAnsi="Arial" w:cs="Arial"/>
        </w:rPr>
        <w:t xml:space="preserve">a </w:t>
      </w:r>
      <w:r w:rsidR="005F192F" w:rsidRPr="00F32D8A">
        <w:rPr>
          <w:rFonts w:ascii="Arial" w:hAnsi="Arial" w:cs="Arial"/>
        </w:rPr>
        <w:t>sectional title</w:t>
      </w:r>
      <w:r w:rsidR="00077D4D" w:rsidRPr="00F32D8A">
        <w:rPr>
          <w:rFonts w:ascii="Arial" w:hAnsi="Arial" w:cs="Arial"/>
        </w:rPr>
        <w:t xml:space="preserve"> scheme</w:t>
      </w:r>
      <w:r w:rsidR="005F192F" w:rsidRPr="00F32D8A">
        <w:rPr>
          <w:rFonts w:ascii="Arial" w:hAnsi="Arial" w:cs="Arial"/>
        </w:rPr>
        <w:t>,</w:t>
      </w:r>
      <w:r w:rsidR="002312C8" w:rsidRPr="00F32D8A">
        <w:rPr>
          <w:rFonts w:ascii="Arial" w:hAnsi="Arial" w:cs="Arial"/>
        </w:rPr>
        <w:t xml:space="preserve"> to</w:t>
      </w:r>
      <w:r w:rsidR="005F192F" w:rsidRPr="00F32D8A">
        <w:rPr>
          <w:rFonts w:ascii="Arial" w:hAnsi="Arial" w:cs="Arial"/>
        </w:rPr>
        <w:t>, inter alia,</w:t>
      </w:r>
      <w:r w:rsidR="002312C8" w:rsidRPr="00F32D8A">
        <w:rPr>
          <w:rFonts w:ascii="Arial" w:hAnsi="Arial" w:cs="Arial"/>
        </w:rPr>
        <w:t xml:space="preserve"> change the value of </w:t>
      </w:r>
      <w:r w:rsidR="00780961" w:rsidRPr="00F32D8A">
        <w:rPr>
          <w:rFonts w:ascii="Arial" w:hAnsi="Arial" w:cs="Arial"/>
        </w:rPr>
        <w:t>a section owner’s vote</w:t>
      </w:r>
      <w:r w:rsidR="008A0A64" w:rsidRPr="00F32D8A">
        <w:rPr>
          <w:rFonts w:ascii="Arial" w:hAnsi="Arial" w:cs="Arial"/>
        </w:rPr>
        <w:t xml:space="preserve">, </w:t>
      </w:r>
      <w:r w:rsidR="00BB710C" w:rsidRPr="00F32D8A">
        <w:rPr>
          <w:rFonts w:ascii="Arial" w:hAnsi="Arial" w:cs="Arial"/>
        </w:rPr>
        <w:t>subject to the proviso’s contained in section</w:t>
      </w:r>
      <w:r w:rsidR="00CF4640" w:rsidRPr="00F32D8A">
        <w:rPr>
          <w:rFonts w:ascii="Arial" w:hAnsi="Arial" w:cs="Arial"/>
        </w:rPr>
        <w:t xml:space="preserve"> 32</w:t>
      </w:r>
      <w:r w:rsidR="00780961" w:rsidRPr="00F32D8A">
        <w:rPr>
          <w:rFonts w:ascii="Arial" w:hAnsi="Arial" w:cs="Arial"/>
        </w:rPr>
        <w:t xml:space="preserve">. </w:t>
      </w:r>
      <w:r w:rsidR="005262C5" w:rsidRPr="00F32D8A">
        <w:rPr>
          <w:rFonts w:ascii="Arial" w:hAnsi="Arial" w:cs="Arial"/>
        </w:rPr>
        <w:t>The argument by the appellant tha</w:t>
      </w:r>
      <w:r w:rsidR="00237EBA" w:rsidRPr="00F32D8A">
        <w:rPr>
          <w:rFonts w:ascii="Arial" w:hAnsi="Arial" w:cs="Arial"/>
        </w:rPr>
        <w:t>t</w:t>
      </w:r>
      <w:r w:rsidR="005262C5" w:rsidRPr="00F32D8A">
        <w:rPr>
          <w:rFonts w:ascii="Arial" w:hAnsi="Arial" w:cs="Arial"/>
        </w:rPr>
        <w:t xml:space="preserve"> that the value of a vote has to be determined</w:t>
      </w:r>
      <w:r w:rsidR="00237EBA" w:rsidRPr="00F32D8A">
        <w:rPr>
          <w:rFonts w:ascii="Arial" w:hAnsi="Arial" w:cs="Arial"/>
        </w:rPr>
        <w:t xml:space="preserve"> with reference to the participation quota of that section is incorrect. </w:t>
      </w:r>
      <w:r w:rsidR="00460E98" w:rsidRPr="00F32D8A">
        <w:rPr>
          <w:rFonts w:ascii="Arial" w:hAnsi="Arial" w:cs="Arial"/>
        </w:rPr>
        <w:t xml:space="preserve">The appellant’s </w:t>
      </w:r>
      <w:r w:rsidR="00B72F70" w:rsidRPr="00F32D8A">
        <w:rPr>
          <w:rFonts w:ascii="Arial" w:hAnsi="Arial" w:cs="Arial"/>
        </w:rPr>
        <w:t xml:space="preserve">further </w:t>
      </w:r>
      <w:r w:rsidR="00460E98" w:rsidRPr="00F32D8A">
        <w:rPr>
          <w:rFonts w:ascii="Arial" w:hAnsi="Arial" w:cs="Arial"/>
        </w:rPr>
        <w:t xml:space="preserve">assertion that </w:t>
      </w:r>
      <w:r w:rsidR="00BB0E57" w:rsidRPr="00F32D8A">
        <w:rPr>
          <w:rFonts w:ascii="Arial" w:hAnsi="Arial" w:cs="Arial"/>
        </w:rPr>
        <w:t xml:space="preserve">the commercial owners had unlawfully claimed the 75% voting rights is, in any event, incorrect. The developer, Romwood, </w:t>
      </w:r>
      <w:r w:rsidR="00527146" w:rsidRPr="00F32D8A">
        <w:rPr>
          <w:rFonts w:ascii="Arial" w:hAnsi="Arial" w:cs="Arial"/>
        </w:rPr>
        <w:t xml:space="preserve">introduced the special rules, not the owners of </w:t>
      </w:r>
      <w:r w:rsidR="005428A3" w:rsidRPr="00F32D8A">
        <w:rPr>
          <w:rFonts w:ascii="Arial" w:hAnsi="Arial" w:cs="Arial"/>
        </w:rPr>
        <w:t xml:space="preserve">the </w:t>
      </w:r>
      <w:r w:rsidR="00527146" w:rsidRPr="00F32D8A">
        <w:rPr>
          <w:rFonts w:ascii="Arial" w:hAnsi="Arial" w:cs="Arial"/>
        </w:rPr>
        <w:t>commercial section</w:t>
      </w:r>
      <w:r w:rsidR="005428A3" w:rsidRPr="00F32D8A">
        <w:rPr>
          <w:rFonts w:ascii="Arial" w:hAnsi="Arial" w:cs="Arial"/>
        </w:rPr>
        <w:t>s</w:t>
      </w:r>
      <w:r w:rsidR="00527146" w:rsidRPr="00F32D8A">
        <w:rPr>
          <w:rFonts w:ascii="Arial" w:hAnsi="Arial" w:cs="Arial"/>
        </w:rPr>
        <w:t>.</w:t>
      </w:r>
    </w:p>
    <w:p w14:paraId="3FAA0C38" w14:textId="77777777" w:rsidR="00527146" w:rsidRPr="00B76F09" w:rsidRDefault="00527146" w:rsidP="00527146">
      <w:pPr>
        <w:pStyle w:val="ListParagraph"/>
        <w:tabs>
          <w:tab w:val="left" w:pos="709"/>
        </w:tabs>
        <w:spacing w:line="360" w:lineRule="auto"/>
        <w:ind w:left="0"/>
        <w:jc w:val="both"/>
        <w:rPr>
          <w:rFonts w:ascii="Arial" w:hAnsi="Arial" w:cs="Arial"/>
        </w:rPr>
      </w:pPr>
    </w:p>
    <w:p w14:paraId="1C39A82F" w14:textId="606314DC" w:rsidR="000C1F38" w:rsidRPr="00F32D8A" w:rsidRDefault="00F32D8A" w:rsidP="00F32D8A">
      <w:pPr>
        <w:tabs>
          <w:tab w:val="left" w:pos="709"/>
        </w:tabs>
        <w:spacing w:line="360" w:lineRule="auto"/>
        <w:jc w:val="both"/>
        <w:rPr>
          <w:rFonts w:ascii="Arial" w:hAnsi="Arial" w:cs="Arial"/>
        </w:rPr>
      </w:pPr>
      <w:r w:rsidRPr="00B76F09">
        <w:rPr>
          <w:rFonts w:ascii="Arial" w:hAnsi="Arial" w:cs="Arial"/>
        </w:rPr>
        <w:t>[25]</w:t>
      </w:r>
      <w:r w:rsidRPr="00B76F09">
        <w:rPr>
          <w:rFonts w:ascii="Arial" w:hAnsi="Arial" w:cs="Arial"/>
        </w:rPr>
        <w:tab/>
      </w:r>
      <w:r w:rsidR="004D790C" w:rsidRPr="00F32D8A">
        <w:rPr>
          <w:rFonts w:ascii="Arial" w:hAnsi="Arial" w:cs="Arial"/>
        </w:rPr>
        <w:t>The ST</w:t>
      </w:r>
      <w:r w:rsidR="00D0368C" w:rsidRPr="00F32D8A">
        <w:rPr>
          <w:rFonts w:ascii="Arial" w:hAnsi="Arial" w:cs="Arial"/>
        </w:rPr>
        <w:t xml:space="preserve"> </w:t>
      </w:r>
      <w:r w:rsidR="004D790C" w:rsidRPr="00F32D8A">
        <w:rPr>
          <w:rFonts w:ascii="Arial" w:hAnsi="Arial" w:cs="Arial"/>
        </w:rPr>
        <w:t>A</w:t>
      </w:r>
      <w:r w:rsidR="00D0368C" w:rsidRPr="00F32D8A">
        <w:rPr>
          <w:rFonts w:ascii="Arial" w:hAnsi="Arial" w:cs="Arial"/>
        </w:rPr>
        <w:t>ct</w:t>
      </w:r>
      <w:r w:rsidR="004D790C" w:rsidRPr="00F32D8A">
        <w:rPr>
          <w:rFonts w:ascii="Arial" w:hAnsi="Arial" w:cs="Arial"/>
        </w:rPr>
        <w:t xml:space="preserve"> also adopted a similar </w:t>
      </w:r>
      <w:r w:rsidR="00194C6F" w:rsidRPr="00F32D8A">
        <w:rPr>
          <w:rFonts w:ascii="Arial" w:hAnsi="Arial" w:cs="Arial"/>
        </w:rPr>
        <w:t>approach to the charging of levies in mixed</w:t>
      </w:r>
      <w:r w:rsidR="0053061E" w:rsidRPr="00F32D8A">
        <w:rPr>
          <w:rFonts w:ascii="Arial" w:hAnsi="Arial" w:cs="Arial"/>
        </w:rPr>
        <w:t>-</w:t>
      </w:r>
      <w:r w:rsidR="00194C6F" w:rsidRPr="00F32D8A">
        <w:rPr>
          <w:rFonts w:ascii="Arial" w:hAnsi="Arial" w:cs="Arial"/>
        </w:rPr>
        <w:t>use body corpo</w:t>
      </w:r>
      <w:r w:rsidR="000C1F38" w:rsidRPr="00F32D8A">
        <w:rPr>
          <w:rFonts w:ascii="Arial" w:hAnsi="Arial" w:cs="Arial"/>
        </w:rPr>
        <w:t>r</w:t>
      </w:r>
      <w:r w:rsidR="00194C6F" w:rsidRPr="00F32D8A">
        <w:rPr>
          <w:rFonts w:ascii="Arial" w:hAnsi="Arial" w:cs="Arial"/>
        </w:rPr>
        <w:t>ates</w:t>
      </w:r>
      <w:r w:rsidR="00AB1343" w:rsidRPr="00F32D8A">
        <w:rPr>
          <w:rFonts w:ascii="Arial" w:hAnsi="Arial" w:cs="Arial"/>
        </w:rPr>
        <w:t xml:space="preserve">. In </w:t>
      </w:r>
      <w:r w:rsidR="00222D5A" w:rsidRPr="00F32D8A">
        <w:rPr>
          <w:rFonts w:ascii="Arial" w:hAnsi="Arial" w:cs="Arial"/>
        </w:rPr>
        <w:t>those</w:t>
      </w:r>
      <w:r w:rsidR="00AB1343" w:rsidRPr="00F32D8A">
        <w:rPr>
          <w:rFonts w:ascii="Arial" w:hAnsi="Arial" w:cs="Arial"/>
        </w:rPr>
        <w:t xml:space="preserve"> body corporates</w:t>
      </w:r>
      <w:r w:rsidR="00222D5A" w:rsidRPr="00F32D8A">
        <w:rPr>
          <w:rFonts w:ascii="Arial" w:hAnsi="Arial" w:cs="Arial"/>
        </w:rPr>
        <w:t>,</w:t>
      </w:r>
      <w:r w:rsidR="00880378" w:rsidRPr="00F32D8A">
        <w:rPr>
          <w:rFonts w:ascii="Arial" w:hAnsi="Arial" w:cs="Arial"/>
        </w:rPr>
        <w:t xml:space="preserve"> </w:t>
      </w:r>
      <w:r w:rsidR="00222D5A" w:rsidRPr="00F32D8A">
        <w:rPr>
          <w:rFonts w:ascii="Arial" w:hAnsi="Arial" w:cs="Arial"/>
        </w:rPr>
        <w:t xml:space="preserve">levies </w:t>
      </w:r>
      <w:r w:rsidR="00880378" w:rsidRPr="00F32D8A">
        <w:rPr>
          <w:rFonts w:ascii="Arial" w:hAnsi="Arial" w:cs="Arial"/>
        </w:rPr>
        <w:t>do</w:t>
      </w:r>
      <w:r w:rsidR="00194C6F" w:rsidRPr="00F32D8A">
        <w:rPr>
          <w:rFonts w:ascii="Arial" w:hAnsi="Arial" w:cs="Arial"/>
        </w:rPr>
        <w:t xml:space="preserve"> not </w:t>
      </w:r>
      <w:r w:rsidR="00D0368C" w:rsidRPr="00F32D8A">
        <w:rPr>
          <w:rFonts w:ascii="Arial" w:hAnsi="Arial" w:cs="Arial"/>
        </w:rPr>
        <w:t xml:space="preserve">necessarily </w:t>
      </w:r>
      <w:r w:rsidR="00194C6F" w:rsidRPr="00F32D8A">
        <w:rPr>
          <w:rFonts w:ascii="Arial" w:hAnsi="Arial" w:cs="Arial"/>
        </w:rPr>
        <w:t>have to be charged in proportion to the floor area ratio</w:t>
      </w:r>
      <w:r w:rsidR="000C1F38" w:rsidRPr="00F32D8A">
        <w:rPr>
          <w:rFonts w:ascii="Arial" w:hAnsi="Arial" w:cs="Arial"/>
        </w:rPr>
        <w:t xml:space="preserve">. Indeed, as was stated in </w:t>
      </w:r>
      <w:r w:rsidR="000C1F38" w:rsidRPr="00F32D8A">
        <w:rPr>
          <w:rFonts w:asciiTheme="minorBidi" w:hAnsiTheme="minorBidi" w:cstheme="minorBidi"/>
          <w:i/>
          <w:iCs/>
        </w:rPr>
        <w:t>Marine Sands</w:t>
      </w:r>
      <w:r w:rsidR="000C1F38" w:rsidRPr="00F32D8A">
        <w:rPr>
          <w:rFonts w:ascii="Arial" w:hAnsi="Arial" w:cs="Arial"/>
        </w:rPr>
        <w:t>, developer</w:t>
      </w:r>
      <w:r w:rsidR="00FB2CA7" w:rsidRPr="00F32D8A">
        <w:rPr>
          <w:rFonts w:ascii="Arial" w:hAnsi="Arial" w:cs="Arial"/>
        </w:rPr>
        <w:t>s were</w:t>
      </w:r>
      <w:r w:rsidR="000C1F38" w:rsidRPr="00F32D8A">
        <w:rPr>
          <w:rFonts w:ascii="Arial" w:hAnsi="Arial" w:cs="Arial"/>
        </w:rPr>
        <w:t xml:space="preserve"> given an </w:t>
      </w:r>
      <w:r w:rsidR="002850BC" w:rsidRPr="00F32D8A">
        <w:rPr>
          <w:rFonts w:ascii="Arial" w:hAnsi="Arial" w:cs="Arial"/>
        </w:rPr>
        <w:t>‘</w:t>
      </w:r>
      <w:r w:rsidR="000C1F38" w:rsidRPr="00F32D8A">
        <w:rPr>
          <w:rFonts w:ascii="Arial" w:hAnsi="Arial" w:cs="Arial"/>
        </w:rPr>
        <w:t>unfettered discretion</w:t>
      </w:r>
      <w:r w:rsidR="002850BC" w:rsidRPr="00F32D8A">
        <w:rPr>
          <w:rFonts w:ascii="Arial" w:hAnsi="Arial" w:cs="Arial"/>
        </w:rPr>
        <w:t>’</w:t>
      </w:r>
      <w:r w:rsidR="000C1F38" w:rsidRPr="00F32D8A">
        <w:rPr>
          <w:rFonts w:ascii="Arial" w:hAnsi="Arial" w:cs="Arial"/>
        </w:rPr>
        <w:t xml:space="preserve"> in this regard</w:t>
      </w:r>
      <w:r w:rsidR="00467103" w:rsidRPr="00F32D8A">
        <w:rPr>
          <w:rFonts w:ascii="Arial" w:hAnsi="Arial" w:cs="Arial"/>
        </w:rPr>
        <w:t xml:space="preserve"> in terms of section 32(2) of the ST</w:t>
      </w:r>
      <w:r w:rsidR="00D0368C" w:rsidRPr="00F32D8A">
        <w:rPr>
          <w:rFonts w:ascii="Arial" w:hAnsi="Arial" w:cs="Arial"/>
        </w:rPr>
        <w:t xml:space="preserve"> </w:t>
      </w:r>
      <w:r w:rsidR="00467103" w:rsidRPr="00F32D8A">
        <w:rPr>
          <w:rFonts w:ascii="Arial" w:hAnsi="Arial" w:cs="Arial"/>
        </w:rPr>
        <w:t>A</w:t>
      </w:r>
      <w:r w:rsidR="00D0368C" w:rsidRPr="00F32D8A">
        <w:rPr>
          <w:rFonts w:ascii="Arial" w:hAnsi="Arial" w:cs="Arial"/>
        </w:rPr>
        <w:t>ct</w:t>
      </w:r>
      <w:r w:rsidR="000C1F38" w:rsidRPr="00F32D8A">
        <w:rPr>
          <w:rFonts w:ascii="Arial" w:hAnsi="Arial" w:cs="Arial"/>
        </w:rPr>
        <w:t>.</w:t>
      </w:r>
      <w:r w:rsidR="000C1F38" w:rsidRPr="00B76F09">
        <w:rPr>
          <w:rStyle w:val="FootnoteReference"/>
          <w:rFonts w:ascii="Arial" w:hAnsi="Arial" w:cs="Arial"/>
        </w:rPr>
        <w:footnoteReference w:id="16"/>
      </w:r>
      <w:r w:rsidR="000C1F38" w:rsidRPr="00F32D8A">
        <w:rPr>
          <w:rFonts w:ascii="Arial" w:hAnsi="Arial" w:cs="Arial"/>
        </w:rPr>
        <w:t xml:space="preserve"> </w:t>
      </w:r>
    </w:p>
    <w:p w14:paraId="2BECBAC5" w14:textId="6AF5E006" w:rsidR="004D790C" w:rsidRPr="00B76F09" w:rsidRDefault="004D790C" w:rsidP="000C1F38">
      <w:pPr>
        <w:pStyle w:val="ListParagraph"/>
        <w:tabs>
          <w:tab w:val="left" w:pos="709"/>
        </w:tabs>
        <w:spacing w:line="360" w:lineRule="auto"/>
        <w:ind w:left="0"/>
        <w:jc w:val="both"/>
        <w:rPr>
          <w:rFonts w:ascii="Arial" w:hAnsi="Arial" w:cs="Arial"/>
        </w:rPr>
      </w:pPr>
    </w:p>
    <w:p w14:paraId="7235C319" w14:textId="1D650DF2" w:rsidR="00796656" w:rsidRPr="00F32D8A" w:rsidRDefault="00F32D8A" w:rsidP="00F32D8A">
      <w:pPr>
        <w:tabs>
          <w:tab w:val="left" w:pos="709"/>
        </w:tabs>
        <w:spacing w:line="360" w:lineRule="auto"/>
        <w:jc w:val="both"/>
        <w:rPr>
          <w:rFonts w:ascii="Arial" w:hAnsi="Arial" w:cs="Arial"/>
        </w:rPr>
      </w:pPr>
      <w:r w:rsidRPr="00B76F09">
        <w:rPr>
          <w:rFonts w:ascii="Arial" w:hAnsi="Arial" w:cs="Arial"/>
        </w:rPr>
        <w:t>[26]</w:t>
      </w:r>
      <w:r w:rsidRPr="00B76F09">
        <w:rPr>
          <w:rFonts w:ascii="Arial" w:hAnsi="Arial" w:cs="Arial"/>
        </w:rPr>
        <w:tab/>
      </w:r>
      <w:r w:rsidR="0066427B" w:rsidRPr="00F32D8A">
        <w:rPr>
          <w:rFonts w:ascii="Arial" w:hAnsi="Arial" w:cs="Arial"/>
        </w:rPr>
        <w:t xml:space="preserve">On 7 October 2016, </w:t>
      </w:r>
      <w:r w:rsidR="00780961" w:rsidRPr="00F32D8A">
        <w:rPr>
          <w:rFonts w:ascii="Arial" w:hAnsi="Arial" w:cs="Arial"/>
        </w:rPr>
        <w:t>the STSM</w:t>
      </w:r>
      <w:r w:rsidR="00D0368C" w:rsidRPr="00F32D8A">
        <w:rPr>
          <w:rFonts w:ascii="Arial" w:hAnsi="Arial" w:cs="Arial"/>
        </w:rPr>
        <w:t xml:space="preserve"> </w:t>
      </w:r>
      <w:r w:rsidR="00780961" w:rsidRPr="00F32D8A">
        <w:rPr>
          <w:rFonts w:ascii="Arial" w:hAnsi="Arial" w:cs="Arial"/>
        </w:rPr>
        <w:t>A</w:t>
      </w:r>
      <w:r w:rsidR="00D0368C" w:rsidRPr="00F32D8A">
        <w:rPr>
          <w:rFonts w:ascii="Arial" w:hAnsi="Arial" w:cs="Arial"/>
        </w:rPr>
        <w:t>ct</w:t>
      </w:r>
      <w:r w:rsidR="00780961" w:rsidRPr="00F32D8A">
        <w:rPr>
          <w:rFonts w:ascii="Arial" w:hAnsi="Arial" w:cs="Arial"/>
        </w:rPr>
        <w:t xml:space="preserve"> </w:t>
      </w:r>
      <w:r w:rsidR="0066427B" w:rsidRPr="00F32D8A">
        <w:rPr>
          <w:rFonts w:ascii="Arial" w:hAnsi="Arial" w:cs="Arial"/>
        </w:rPr>
        <w:t>came into effect.</w:t>
      </w:r>
      <w:r w:rsidR="00780961" w:rsidRPr="00F32D8A">
        <w:rPr>
          <w:rFonts w:ascii="Arial" w:hAnsi="Arial" w:cs="Arial"/>
        </w:rPr>
        <w:t xml:space="preserve"> A similar provision to </w:t>
      </w:r>
      <w:r w:rsidR="005428A3" w:rsidRPr="00F32D8A">
        <w:rPr>
          <w:rFonts w:ascii="Arial" w:hAnsi="Arial" w:cs="Arial"/>
        </w:rPr>
        <w:t xml:space="preserve">the repealed </w:t>
      </w:r>
      <w:r w:rsidR="00780961" w:rsidRPr="00F32D8A">
        <w:rPr>
          <w:rFonts w:ascii="Arial" w:hAnsi="Arial" w:cs="Arial"/>
        </w:rPr>
        <w:t xml:space="preserve">section 32(4) </w:t>
      </w:r>
      <w:r w:rsidR="00471EC8" w:rsidRPr="00F32D8A">
        <w:rPr>
          <w:rFonts w:ascii="Arial" w:hAnsi="Arial" w:cs="Arial"/>
        </w:rPr>
        <w:t>of the ST</w:t>
      </w:r>
      <w:r w:rsidR="00EE5D4B" w:rsidRPr="00F32D8A">
        <w:rPr>
          <w:rFonts w:ascii="Arial" w:hAnsi="Arial" w:cs="Arial"/>
        </w:rPr>
        <w:t xml:space="preserve"> </w:t>
      </w:r>
      <w:r w:rsidR="00471EC8" w:rsidRPr="00F32D8A">
        <w:rPr>
          <w:rFonts w:ascii="Arial" w:hAnsi="Arial" w:cs="Arial"/>
        </w:rPr>
        <w:t>A</w:t>
      </w:r>
      <w:r w:rsidR="00EE5D4B" w:rsidRPr="00F32D8A">
        <w:rPr>
          <w:rFonts w:ascii="Arial" w:hAnsi="Arial" w:cs="Arial"/>
        </w:rPr>
        <w:t>ct</w:t>
      </w:r>
      <w:r w:rsidR="00471EC8" w:rsidRPr="00F32D8A">
        <w:rPr>
          <w:rFonts w:ascii="Arial" w:hAnsi="Arial" w:cs="Arial"/>
        </w:rPr>
        <w:t xml:space="preserve"> </w:t>
      </w:r>
      <w:r w:rsidR="00780961" w:rsidRPr="00F32D8A">
        <w:rPr>
          <w:rFonts w:ascii="Arial" w:hAnsi="Arial" w:cs="Arial"/>
        </w:rPr>
        <w:t>was included in the STSM</w:t>
      </w:r>
      <w:r w:rsidR="00EE5D4B" w:rsidRPr="00F32D8A">
        <w:rPr>
          <w:rFonts w:ascii="Arial" w:hAnsi="Arial" w:cs="Arial"/>
        </w:rPr>
        <w:t xml:space="preserve"> </w:t>
      </w:r>
      <w:r w:rsidR="00780961" w:rsidRPr="00F32D8A">
        <w:rPr>
          <w:rFonts w:ascii="Arial" w:hAnsi="Arial" w:cs="Arial"/>
        </w:rPr>
        <w:t>A</w:t>
      </w:r>
      <w:r w:rsidR="00EE5D4B" w:rsidRPr="00F32D8A">
        <w:rPr>
          <w:rFonts w:ascii="Arial" w:hAnsi="Arial" w:cs="Arial"/>
        </w:rPr>
        <w:t>ct</w:t>
      </w:r>
      <w:r w:rsidR="00780961" w:rsidRPr="00F32D8A">
        <w:rPr>
          <w:rFonts w:ascii="Arial" w:hAnsi="Arial" w:cs="Arial"/>
        </w:rPr>
        <w:t>, namely section 11(2)</w:t>
      </w:r>
      <w:r w:rsidR="00780961" w:rsidRPr="00F32D8A">
        <w:rPr>
          <w:rFonts w:ascii="Arial" w:hAnsi="Arial" w:cs="Arial"/>
          <w:i/>
        </w:rPr>
        <w:t>(a)</w:t>
      </w:r>
      <w:r w:rsidR="00780961" w:rsidRPr="00F32D8A">
        <w:rPr>
          <w:rFonts w:ascii="Arial" w:hAnsi="Arial" w:cs="Arial"/>
        </w:rPr>
        <w:t>, which reads:</w:t>
      </w:r>
    </w:p>
    <w:p w14:paraId="138A78B1" w14:textId="33136392" w:rsidR="00796656" w:rsidRPr="00B76F09" w:rsidRDefault="00780961" w:rsidP="00796656">
      <w:pPr>
        <w:pStyle w:val="ListParagraph"/>
        <w:tabs>
          <w:tab w:val="left" w:pos="709"/>
        </w:tabs>
        <w:spacing w:line="360" w:lineRule="auto"/>
        <w:ind w:left="0"/>
        <w:jc w:val="both"/>
        <w:rPr>
          <w:rFonts w:ascii="Arial" w:hAnsi="Arial" w:cs="Arial"/>
          <w:sz w:val="22"/>
          <w:szCs w:val="22"/>
        </w:rPr>
      </w:pPr>
      <w:r w:rsidRPr="00B76F09">
        <w:rPr>
          <w:rFonts w:ascii="Arial" w:hAnsi="Arial" w:cs="Arial"/>
          <w:sz w:val="22"/>
          <w:szCs w:val="22"/>
        </w:rPr>
        <w:t>‘</w:t>
      </w:r>
      <w:r w:rsidR="007A4CB9" w:rsidRPr="00B76F09">
        <w:rPr>
          <w:rFonts w:ascii="Arial" w:hAnsi="Arial" w:cs="Arial"/>
          <w:sz w:val="22"/>
          <w:szCs w:val="22"/>
        </w:rPr>
        <w:t>Subject to section 3(1)(</w:t>
      </w:r>
      <w:r w:rsidR="007A4CB9" w:rsidRPr="00B76F09">
        <w:rPr>
          <w:rFonts w:ascii="Arial" w:hAnsi="Arial" w:cs="Arial"/>
          <w:i/>
          <w:iCs/>
          <w:sz w:val="22"/>
          <w:szCs w:val="22"/>
        </w:rPr>
        <w:t>b</w:t>
      </w:r>
      <w:r w:rsidR="007A4CB9" w:rsidRPr="00B76F09">
        <w:rPr>
          <w:rFonts w:ascii="Arial" w:hAnsi="Arial" w:cs="Arial"/>
          <w:sz w:val="22"/>
          <w:szCs w:val="22"/>
        </w:rPr>
        <w:t xml:space="preserve">), the developer may, when submitting an application for the opening of a sectional title register in terms of the Sectional Titles Act, or the members of the body corporate may by special resolution, make rules under section 10 by which a different value </w:t>
      </w:r>
      <w:r w:rsidR="007A4CB9" w:rsidRPr="00B76F09">
        <w:rPr>
          <w:rFonts w:ascii="Arial" w:hAnsi="Arial" w:cs="Arial"/>
          <w:sz w:val="22"/>
          <w:szCs w:val="22"/>
        </w:rPr>
        <w:lastRenderedPageBreak/>
        <w:t>is attached to the vote of the owner of any section, or the liability of the owner of any section to make contributions for the purposes of section 3(1)(</w:t>
      </w:r>
      <w:r w:rsidR="007A4CB9" w:rsidRPr="00B76F09">
        <w:rPr>
          <w:rFonts w:ascii="Arial" w:hAnsi="Arial" w:cs="Arial"/>
          <w:i/>
          <w:iCs/>
          <w:sz w:val="22"/>
          <w:szCs w:val="22"/>
        </w:rPr>
        <w:t>a</w:t>
      </w:r>
      <w:r w:rsidR="007A4CB9" w:rsidRPr="00B76F09">
        <w:rPr>
          <w:rFonts w:ascii="Arial" w:hAnsi="Arial" w:cs="Arial"/>
          <w:sz w:val="22"/>
          <w:szCs w:val="22"/>
        </w:rPr>
        <w:t>) or 14 (1) is modified</w:t>
      </w:r>
      <w:r w:rsidRPr="00B76F09">
        <w:rPr>
          <w:rFonts w:ascii="Arial" w:hAnsi="Arial" w:cs="Arial"/>
          <w:sz w:val="22"/>
          <w:szCs w:val="22"/>
        </w:rPr>
        <w:t>.’</w:t>
      </w:r>
    </w:p>
    <w:p w14:paraId="656A0E60" w14:textId="139D2373" w:rsidR="00EA6FCC" w:rsidRPr="00B76F09" w:rsidRDefault="00780961" w:rsidP="005262C5">
      <w:pPr>
        <w:pStyle w:val="ListParagraph"/>
        <w:tabs>
          <w:tab w:val="left" w:pos="709"/>
        </w:tabs>
        <w:spacing w:line="360" w:lineRule="auto"/>
        <w:ind w:left="0"/>
        <w:jc w:val="both"/>
        <w:rPr>
          <w:rFonts w:ascii="Arial" w:hAnsi="Arial" w:cs="Arial"/>
        </w:rPr>
      </w:pPr>
      <w:r w:rsidRPr="00B76F09">
        <w:rPr>
          <w:rFonts w:ascii="Arial" w:hAnsi="Arial" w:cs="Arial"/>
        </w:rPr>
        <w:t xml:space="preserve">The </w:t>
      </w:r>
      <w:r w:rsidR="00A511F1" w:rsidRPr="00B76F09">
        <w:rPr>
          <w:rFonts w:ascii="Arial" w:hAnsi="Arial" w:cs="Arial"/>
        </w:rPr>
        <w:t>possibility</w:t>
      </w:r>
      <w:r w:rsidRPr="00B76F09">
        <w:rPr>
          <w:rFonts w:ascii="Arial" w:hAnsi="Arial" w:cs="Arial"/>
        </w:rPr>
        <w:t xml:space="preserve"> that every section may not necessarily have the same value vote has </w:t>
      </w:r>
      <w:r w:rsidR="005F192F" w:rsidRPr="00B76F09">
        <w:rPr>
          <w:rFonts w:ascii="Arial" w:hAnsi="Arial" w:cs="Arial"/>
        </w:rPr>
        <w:t xml:space="preserve">accordingly </w:t>
      </w:r>
      <w:r w:rsidRPr="00B76F09">
        <w:rPr>
          <w:rFonts w:ascii="Arial" w:hAnsi="Arial" w:cs="Arial"/>
        </w:rPr>
        <w:t>been retained</w:t>
      </w:r>
      <w:r w:rsidR="00FB70DC" w:rsidRPr="00B76F09">
        <w:rPr>
          <w:rFonts w:ascii="Arial" w:hAnsi="Arial" w:cs="Arial"/>
        </w:rPr>
        <w:t xml:space="preserve"> in the STSM</w:t>
      </w:r>
      <w:r w:rsidR="00EE5D4B" w:rsidRPr="00B76F09">
        <w:rPr>
          <w:rFonts w:ascii="Arial" w:hAnsi="Arial" w:cs="Arial"/>
        </w:rPr>
        <w:t xml:space="preserve"> </w:t>
      </w:r>
      <w:r w:rsidR="00FB70DC" w:rsidRPr="00B76F09">
        <w:rPr>
          <w:rFonts w:ascii="Arial" w:hAnsi="Arial" w:cs="Arial"/>
        </w:rPr>
        <w:t>A</w:t>
      </w:r>
      <w:r w:rsidR="00EE5D4B" w:rsidRPr="00B76F09">
        <w:rPr>
          <w:rFonts w:ascii="Arial" w:hAnsi="Arial" w:cs="Arial"/>
        </w:rPr>
        <w:t>ct</w:t>
      </w:r>
      <w:r w:rsidR="0069058D" w:rsidRPr="00B76F09">
        <w:rPr>
          <w:rFonts w:ascii="Arial" w:hAnsi="Arial" w:cs="Arial"/>
        </w:rPr>
        <w:t>,</w:t>
      </w:r>
      <w:r w:rsidR="005F192F" w:rsidRPr="00B76F09">
        <w:rPr>
          <w:rFonts w:ascii="Arial" w:hAnsi="Arial" w:cs="Arial"/>
        </w:rPr>
        <w:t xml:space="preserve"> as has the ability to modify </w:t>
      </w:r>
      <w:r w:rsidR="008B42B9" w:rsidRPr="00B76F09">
        <w:rPr>
          <w:rFonts w:ascii="Arial" w:hAnsi="Arial" w:cs="Arial"/>
        </w:rPr>
        <w:t xml:space="preserve">the </w:t>
      </w:r>
      <w:r w:rsidR="005F192F" w:rsidRPr="00B76F09">
        <w:rPr>
          <w:rFonts w:ascii="Arial" w:hAnsi="Arial" w:cs="Arial"/>
        </w:rPr>
        <w:t xml:space="preserve">financial </w:t>
      </w:r>
      <w:r w:rsidR="008B42B9" w:rsidRPr="00B76F09">
        <w:rPr>
          <w:rFonts w:ascii="Arial" w:hAnsi="Arial" w:cs="Arial"/>
        </w:rPr>
        <w:t>contributions</w:t>
      </w:r>
      <w:r w:rsidR="006A1610" w:rsidRPr="00B76F09">
        <w:rPr>
          <w:rFonts w:ascii="Arial" w:hAnsi="Arial" w:cs="Arial"/>
        </w:rPr>
        <w:t xml:space="preserve"> of section owners</w:t>
      </w:r>
      <w:r w:rsidR="00471EC8" w:rsidRPr="00B76F09">
        <w:rPr>
          <w:rFonts w:ascii="Arial" w:hAnsi="Arial" w:cs="Arial"/>
        </w:rPr>
        <w:t xml:space="preserve"> to the body corporate</w:t>
      </w:r>
      <w:r w:rsidR="00520030" w:rsidRPr="00B76F09">
        <w:rPr>
          <w:rFonts w:ascii="Arial" w:hAnsi="Arial" w:cs="Arial"/>
        </w:rPr>
        <w:t xml:space="preserve">. </w:t>
      </w:r>
    </w:p>
    <w:p w14:paraId="74C3013C" w14:textId="77777777" w:rsidR="00C34D24" w:rsidRPr="00B76F09" w:rsidRDefault="00C34D24" w:rsidP="00C34D24">
      <w:pPr>
        <w:pStyle w:val="ListParagraph"/>
        <w:tabs>
          <w:tab w:val="left" w:pos="709"/>
        </w:tabs>
        <w:spacing w:line="360" w:lineRule="auto"/>
        <w:ind w:left="0"/>
        <w:jc w:val="both"/>
        <w:rPr>
          <w:rFonts w:ascii="Arial" w:hAnsi="Arial" w:cs="Arial"/>
        </w:rPr>
      </w:pPr>
    </w:p>
    <w:p w14:paraId="52A4ED6E" w14:textId="03A53488" w:rsidR="002E5EFE" w:rsidRPr="00F32D8A" w:rsidRDefault="00F32D8A" w:rsidP="00F32D8A">
      <w:pPr>
        <w:tabs>
          <w:tab w:val="left" w:pos="709"/>
        </w:tabs>
        <w:spacing w:line="360" w:lineRule="auto"/>
        <w:jc w:val="both"/>
        <w:rPr>
          <w:rFonts w:ascii="Arial" w:hAnsi="Arial" w:cs="Arial"/>
        </w:rPr>
      </w:pPr>
      <w:r w:rsidRPr="00B76F09">
        <w:rPr>
          <w:rFonts w:ascii="Arial" w:hAnsi="Arial" w:cs="Arial"/>
        </w:rPr>
        <w:t>[27]</w:t>
      </w:r>
      <w:r w:rsidRPr="00B76F09">
        <w:rPr>
          <w:rFonts w:ascii="Arial" w:hAnsi="Arial" w:cs="Arial"/>
        </w:rPr>
        <w:tab/>
      </w:r>
      <w:r w:rsidR="00354C54" w:rsidRPr="00F32D8A">
        <w:rPr>
          <w:rFonts w:ascii="Arial" w:hAnsi="Arial" w:cs="Arial"/>
        </w:rPr>
        <w:t xml:space="preserve">The appellant states that </w:t>
      </w:r>
      <w:r w:rsidR="00C34D24" w:rsidRPr="00F32D8A">
        <w:rPr>
          <w:rFonts w:ascii="Arial" w:hAnsi="Arial" w:cs="Arial"/>
        </w:rPr>
        <w:t>the owners of residential sections have no effective</w:t>
      </w:r>
      <w:r w:rsidR="007A4CB9" w:rsidRPr="00F32D8A">
        <w:rPr>
          <w:rFonts w:ascii="Arial" w:hAnsi="Arial" w:cs="Arial"/>
        </w:rPr>
        <w:t xml:space="preserve"> </w:t>
      </w:r>
      <w:r w:rsidR="00C34D24" w:rsidRPr="00F32D8A">
        <w:rPr>
          <w:rFonts w:ascii="Arial" w:hAnsi="Arial" w:cs="Arial"/>
        </w:rPr>
        <w:t xml:space="preserve">voice in the management, control and administration of the body corporate. I am not able to share that </w:t>
      </w:r>
      <w:r w:rsidR="00493D56" w:rsidRPr="00F32D8A">
        <w:rPr>
          <w:rFonts w:ascii="Arial" w:hAnsi="Arial" w:cs="Arial"/>
        </w:rPr>
        <w:t xml:space="preserve">point of </w:t>
      </w:r>
      <w:r w:rsidR="00C34D24" w:rsidRPr="00F32D8A">
        <w:rPr>
          <w:rFonts w:ascii="Arial" w:hAnsi="Arial" w:cs="Arial"/>
        </w:rPr>
        <w:t>view</w:t>
      </w:r>
      <w:r w:rsidR="002E5EFE" w:rsidRPr="00F32D8A">
        <w:rPr>
          <w:rFonts w:ascii="Arial" w:hAnsi="Arial" w:cs="Arial"/>
        </w:rPr>
        <w:t>:</w:t>
      </w:r>
    </w:p>
    <w:p w14:paraId="1422E28C" w14:textId="6E2121C9" w:rsidR="00231DD1" w:rsidRPr="00F32D8A" w:rsidRDefault="00F32D8A" w:rsidP="00F32D8A">
      <w:pPr>
        <w:tabs>
          <w:tab w:val="left" w:pos="709"/>
        </w:tabs>
        <w:spacing w:line="360" w:lineRule="auto"/>
        <w:jc w:val="both"/>
        <w:rPr>
          <w:rFonts w:ascii="Arial" w:hAnsi="Arial" w:cs="Arial"/>
        </w:rPr>
      </w:pPr>
      <w:r w:rsidRPr="00B76F09">
        <w:rPr>
          <w:rFonts w:ascii="Arial" w:hAnsi="Arial" w:cs="Arial"/>
          <w:i/>
          <w:iCs/>
        </w:rPr>
        <w:t>(a)</w:t>
      </w:r>
      <w:r w:rsidRPr="00B76F09">
        <w:rPr>
          <w:rFonts w:ascii="Arial" w:hAnsi="Arial" w:cs="Arial"/>
          <w:i/>
          <w:iCs/>
        </w:rPr>
        <w:tab/>
      </w:r>
      <w:r w:rsidR="00493D56" w:rsidRPr="00F32D8A">
        <w:rPr>
          <w:rFonts w:ascii="Arial" w:hAnsi="Arial" w:cs="Arial"/>
        </w:rPr>
        <w:t xml:space="preserve"> </w:t>
      </w:r>
      <w:r w:rsidR="00C34D24" w:rsidRPr="00F32D8A">
        <w:rPr>
          <w:rFonts w:ascii="Arial" w:hAnsi="Arial" w:cs="Arial"/>
        </w:rPr>
        <w:t xml:space="preserve">The special rules </w:t>
      </w:r>
      <w:r w:rsidR="00222D5A" w:rsidRPr="00F32D8A">
        <w:rPr>
          <w:rFonts w:ascii="Arial" w:hAnsi="Arial" w:cs="Arial"/>
        </w:rPr>
        <w:t>indicate that the body corporate</w:t>
      </w:r>
      <w:r w:rsidR="00362A62" w:rsidRPr="00F32D8A">
        <w:rPr>
          <w:rFonts w:ascii="Arial" w:hAnsi="Arial" w:cs="Arial"/>
        </w:rPr>
        <w:t>,</w:t>
      </w:r>
      <w:r w:rsidR="00222D5A" w:rsidRPr="00F32D8A">
        <w:rPr>
          <w:rFonts w:ascii="Arial" w:hAnsi="Arial" w:cs="Arial"/>
        </w:rPr>
        <w:t xml:space="preserve"> </w:t>
      </w:r>
      <w:r w:rsidR="00362A62" w:rsidRPr="00F32D8A">
        <w:rPr>
          <w:rFonts w:ascii="Arial" w:hAnsi="Arial" w:cs="Arial"/>
        </w:rPr>
        <w:t>conceptually, is comprised of two segments: the commercial segment and the residential segment.</w:t>
      </w:r>
      <w:r w:rsidR="001B3FC1" w:rsidRPr="00F32D8A">
        <w:rPr>
          <w:rFonts w:ascii="Arial" w:hAnsi="Arial" w:cs="Arial"/>
        </w:rPr>
        <w:t xml:space="preserve"> </w:t>
      </w:r>
      <w:r w:rsidR="00C945B0" w:rsidRPr="00F32D8A">
        <w:rPr>
          <w:rFonts w:ascii="Arial" w:hAnsi="Arial" w:cs="Arial"/>
        </w:rPr>
        <w:t>Special rule 4.5 provides that o</w:t>
      </w:r>
      <w:r w:rsidR="001B3FC1" w:rsidRPr="00F32D8A">
        <w:rPr>
          <w:rFonts w:ascii="Arial" w:hAnsi="Arial" w:cs="Arial"/>
        </w:rPr>
        <w:t>ne</w:t>
      </w:r>
      <w:r w:rsidR="007A4CB9" w:rsidRPr="00F32D8A">
        <w:rPr>
          <w:rFonts w:ascii="Arial" w:hAnsi="Arial" w:cs="Arial"/>
        </w:rPr>
        <w:t xml:space="preserve"> of</w:t>
      </w:r>
      <w:r w:rsidR="001B3FC1" w:rsidRPr="00F32D8A">
        <w:rPr>
          <w:rFonts w:ascii="Arial" w:hAnsi="Arial" w:cs="Arial"/>
        </w:rPr>
        <w:t xml:space="preserve"> </w:t>
      </w:r>
      <w:r w:rsidR="00E846D3" w:rsidRPr="00F32D8A">
        <w:rPr>
          <w:rFonts w:ascii="Arial" w:hAnsi="Arial" w:cs="Arial"/>
        </w:rPr>
        <w:t xml:space="preserve">the </w:t>
      </w:r>
      <w:r w:rsidR="001B3FC1" w:rsidRPr="00F32D8A">
        <w:rPr>
          <w:rFonts w:ascii="Arial" w:hAnsi="Arial" w:cs="Arial"/>
        </w:rPr>
        <w:t xml:space="preserve">three trustees that the </w:t>
      </w:r>
      <w:r w:rsidR="00C945B0" w:rsidRPr="00F32D8A">
        <w:rPr>
          <w:rFonts w:ascii="Arial" w:hAnsi="Arial" w:cs="Arial"/>
        </w:rPr>
        <w:t xml:space="preserve">second respondent </w:t>
      </w:r>
      <w:r w:rsidR="001B3FC1" w:rsidRPr="00F32D8A">
        <w:rPr>
          <w:rFonts w:ascii="Arial" w:hAnsi="Arial" w:cs="Arial"/>
        </w:rPr>
        <w:t>must have must represent the residential se</w:t>
      </w:r>
      <w:r w:rsidR="004667C9" w:rsidRPr="00F32D8A">
        <w:rPr>
          <w:rFonts w:ascii="Arial" w:hAnsi="Arial" w:cs="Arial"/>
        </w:rPr>
        <w:t xml:space="preserve">gment. </w:t>
      </w:r>
      <w:r w:rsidR="00231DD1" w:rsidRPr="00F32D8A">
        <w:rPr>
          <w:rFonts w:ascii="Arial" w:hAnsi="Arial" w:cs="Arial"/>
        </w:rPr>
        <w:t>There is thus representation for residential owners on the board of trustees;</w:t>
      </w:r>
    </w:p>
    <w:p w14:paraId="0D104714" w14:textId="7A51CF39" w:rsidR="00231DD1" w:rsidRPr="00F32D8A" w:rsidRDefault="00F32D8A" w:rsidP="00F32D8A">
      <w:pPr>
        <w:tabs>
          <w:tab w:val="left" w:pos="709"/>
        </w:tabs>
        <w:spacing w:line="360" w:lineRule="auto"/>
        <w:jc w:val="both"/>
        <w:rPr>
          <w:rFonts w:ascii="Arial" w:hAnsi="Arial" w:cs="Arial"/>
        </w:rPr>
      </w:pPr>
      <w:r w:rsidRPr="00B76F09">
        <w:rPr>
          <w:rFonts w:ascii="Arial" w:hAnsi="Arial" w:cs="Arial"/>
          <w:i/>
          <w:iCs/>
        </w:rPr>
        <w:t>(b)</w:t>
      </w:r>
      <w:r w:rsidRPr="00B76F09">
        <w:rPr>
          <w:rFonts w:ascii="Arial" w:hAnsi="Arial" w:cs="Arial"/>
          <w:i/>
          <w:iCs/>
        </w:rPr>
        <w:tab/>
      </w:r>
      <w:r w:rsidR="00205628" w:rsidRPr="00F32D8A">
        <w:rPr>
          <w:rFonts w:ascii="Arial" w:hAnsi="Arial" w:cs="Arial"/>
        </w:rPr>
        <w:t xml:space="preserve">In terms of special rule 4.6, </w:t>
      </w:r>
      <w:r w:rsidR="00E86BEA" w:rsidRPr="00F32D8A">
        <w:rPr>
          <w:rFonts w:ascii="Arial" w:hAnsi="Arial" w:cs="Arial"/>
        </w:rPr>
        <w:t xml:space="preserve">at every annual general meeting, the owners of residential sections </w:t>
      </w:r>
      <w:r w:rsidR="00425102" w:rsidRPr="00F32D8A">
        <w:rPr>
          <w:rFonts w:ascii="Arial" w:hAnsi="Arial" w:cs="Arial"/>
        </w:rPr>
        <w:t xml:space="preserve">elect a committee known as the ‘Residential </w:t>
      </w:r>
      <w:r w:rsidR="00231DD1" w:rsidRPr="00F32D8A">
        <w:rPr>
          <w:rFonts w:ascii="Arial" w:hAnsi="Arial" w:cs="Arial"/>
        </w:rPr>
        <w:t>M</w:t>
      </w:r>
      <w:r w:rsidR="00425102" w:rsidRPr="00F32D8A">
        <w:rPr>
          <w:rFonts w:ascii="Arial" w:hAnsi="Arial" w:cs="Arial"/>
        </w:rPr>
        <w:t>anagement Committee’ whose function is to manage the residential aspects of the second respondent’s property</w:t>
      </w:r>
      <w:r w:rsidR="00231DD1" w:rsidRPr="00F32D8A">
        <w:rPr>
          <w:rFonts w:ascii="Arial" w:hAnsi="Arial" w:cs="Arial"/>
        </w:rPr>
        <w:t>;</w:t>
      </w:r>
    </w:p>
    <w:p w14:paraId="27A11476" w14:textId="3906817F" w:rsidR="00354C54" w:rsidRPr="00F32D8A" w:rsidRDefault="00F32D8A" w:rsidP="00F32D8A">
      <w:pPr>
        <w:tabs>
          <w:tab w:val="left" w:pos="709"/>
        </w:tabs>
        <w:spacing w:line="360" w:lineRule="auto"/>
        <w:jc w:val="both"/>
        <w:rPr>
          <w:rFonts w:ascii="Arial" w:hAnsi="Arial" w:cs="Arial"/>
        </w:rPr>
      </w:pPr>
      <w:r w:rsidRPr="00B76F09">
        <w:rPr>
          <w:rFonts w:ascii="Arial" w:hAnsi="Arial" w:cs="Arial"/>
          <w:i/>
          <w:iCs/>
        </w:rPr>
        <w:t>(c)</w:t>
      </w:r>
      <w:r w:rsidRPr="00B76F09">
        <w:rPr>
          <w:rFonts w:ascii="Arial" w:hAnsi="Arial" w:cs="Arial"/>
          <w:i/>
          <w:iCs/>
        </w:rPr>
        <w:tab/>
      </w:r>
      <w:r w:rsidR="00487CB6" w:rsidRPr="00F32D8A">
        <w:rPr>
          <w:rFonts w:ascii="Arial" w:hAnsi="Arial" w:cs="Arial"/>
        </w:rPr>
        <w:t xml:space="preserve"> At meetings of trustees, </w:t>
      </w:r>
      <w:r w:rsidR="008C1E23" w:rsidRPr="00F32D8A">
        <w:rPr>
          <w:rFonts w:ascii="Arial" w:hAnsi="Arial" w:cs="Arial"/>
        </w:rPr>
        <w:t xml:space="preserve">special rule </w:t>
      </w:r>
      <w:r w:rsidR="008A1F8F" w:rsidRPr="00F32D8A">
        <w:rPr>
          <w:rFonts w:ascii="Arial" w:hAnsi="Arial" w:cs="Arial"/>
        </w:rPr>
        <w:t>25</w:t>
      </w:r>
      <w:r w:rsidR="00573CF0" w:rsidRPr="00F32D8A">
        <w:rPr>
          <w:rFonts w:ascii="Arial" w:hAnsi="Arial" w:cs="Arial"/>
        </w:rPr>
        <w:t xml:space="preserve"> and 25.1 provides that</w:t>
      </w:r>
      <w:r w:rsidR="008A1F8F" w:rsidRPr="00F32D8A">
        <w:rPr>
          <w:rFonts w:ascii="Arial" w:hAnsi="Arial" w:cs="Arial"/>
        </w:rPr>
        <w:t xml:space="preserve"> any trustee may propose that </w:t>
      </w:r>
      <w:r w:rsidR="002E5EFE" w:rsidRPr="00F32D8A">
        <w:rPr>
          <w:rFonts w:ascii="Arial" w:hAnsi="Arial" w:cs="Arial"/>
        </w:rPr>
        <w:t>an issue is solely a residential matter</w:t>
      </w:r>
      <w:r w:rsidR="008C1E23" w:rsidRPr="00F32D8A">
        <w:rPr>
          <w:rFonts w:ascii="Arial" w:hAnsi="Arial" w:cs="Arial"/>
        </w:rPr>
        <w:t xml:space="preserve">, </w:t>
      </w:r>
      <w:r w:rsidR="008A1F8F" w:rsidRPr="00F32D8A">
        <w:rPr>
          <w:rFonts w:ascii="Arial" w:hAnsi="Arial" w:cs="Arial"/>
        </w:rPr>
        <w:t>and if there is agreement on this,</w:t>
      </w:r>
      <w:r w:rsidR="008C1E23" w:rsidRPr="00F32D8A">
        <w:rPr>
          <w:rFonts w:ascii="Arial" w:hAnsi="Arial" w:cs="Arial"/>
        </w:rPr>
        <w:t xml:space="preserve"> </w:t>
      </w:r>
      <w:r w:rsidR="00573CF0" w:rsidRPr="00F32D8A">
        <w:rPr>
          <w:rFonts w:ascii="Arial" w:hAnsi="Arial" w:cs="Arial"/>
        </w:rPr>
        <w:t xml:space="preserve">then </w:t>
      </w:r>
      <w:r w:rsidR="008C1E23" w:rsidRPr="00F32D8A">
        <w:rPr>
          <w:rFonts w:ascii="Arial" w:hAnsi="Arial" w:cs="Arial"/>
        </w:rPr>
        <w:t>only the vote of the residential trustee shall count;</w:t>
      </w:r>
    </w:p>
    <w:p w14:paraId="0A830B1B" w14:textId="047C7598" w:rsidR="009A0231" w:rsidRPr="00F32D8A" w:rsidRDefault="00F32D8A" w:rsidP="00F32D8A">
      <w:pPr>
        <w:tabs>
          <w:tab w:val="left" w:pos="709"/>
        </w:tabs>
        <w:spacing w:line="360" w:lineRule="auto"/>
        <w:jc w:val="both"/>
        <w:rPr>
          <w:rFonts w:ascii="Arial" w:hAnsi="Arial" w:cs="Arial"/>
        </w:rPr>
      </w:pPr>
      <w:r w:rsidRPr="00B76F09">
        <w:rPr>
          <w:rFonts w:ascii="Arial" w:hAnsi="Arial" w:cs="Arial"/>
          <w:i/>
          <w:iCs/>
        </w:rPr>
        <w:t>(d)</w:t>
      </w:r>
      <w:r w:rsidRPr="00B76F09">
        <w:rPr>
          <w:rFonts w:ascii="Arial" w:hAnsi="Arial" w:cs="Arial"/>
          <w:i/>
          <w:iCs/>
        </w:rPr>
        <w:tab/>
      </w:r>
      <w:r w:rsidR="00573CF0" w:rsidRPr="00F32D8A">
        <w:rPr>
          <w:rFonts w:ascii="Arial" w:hAnsi="Arial" w:cs="Arial"/>
        </w:rPr>
        <w:t xml:space="preserve">If </w:t>
      </w:r>
      <w:r w:rsidR="00E846D3" w:rsidRPr="00F32D8A">
        <w:rPr>
          <w:rFonts w:ascii="Arial" w:hAnsi="Arial" w:cs="Arial"/>
        </w:rPr>
        <w:t xml:space="preserve">there </w:t>
      </w:r>
      <w:r w:rsidR="00573CF0" w:rsidRPr="00F32D8A">
        <w:rPr>
          <w:rFonts w:ascii="Arial" w:hAnsi="Arial" w:cs="Arial"/>
        </w:rPr>
        <w:t xml:space="preserve">is no agreement that the matter is a residential matter, then in terms of </w:t>
      </w:r>
      <w:r w:rsidR="00B00E8D" w:rsidRPr="00F32D8A">
        <w:rPr>
          <w:rFonts w:ascii="Arial" w:hAnsi="Arial" w:cs="Arial"/>
        </w:rPr>
        <w:t>special rule 25.2, the matter is put to the vote and all trustees are permitted to vote on it. After the chairman has recorded the votes,</w:t>
      </w:r>
      <w:r w:rsidR="00E05C1F" w:rsidRPr="00F32D8A">
        <w:rPr>
          <w:rFonts w:ascii="Arial" w:hAnsi="Arial" w:cs="Arial"/>
        </w:rPr>
        <w:t xml:space="preserve"> he </w:t>
      </w:r>
      <w:r w:rsidR="005428A3" w:rsidRPr="00F32D8A">
        <w:rPr>
          <w:rFonts w:ascii="Arial" w:hAnsi="Arial" w:cs="Arial"/>
        </w:rPr>
        <w:t xml:space="preserve">is required </w:t>
      </w:r>
      <w:r w:rsidR="00E05C1F" w:rsidRPr="00F32D8A">
        <w:rPr>
          <w:rFonts w:ascii="Arial" w:hAnsi="Arial" w:cs="Arial"/>
        </w:rPr>
        <w:t xml:space="preserve">immediately in terms of special rule 25.3 </w:t>
      </w:r>
      <w:r w:rsidR="005428A3" w:rsidRPr="00F32D8A">
        <w:rPr>
          <w:rFonts w:ascii="Arial" w:hAnsi="Arial" w:cs="Arial"/>
        </w:rPr>
        <w:t xml:space="preserve">to </w:t>
      </w:r>
      <w:r w:rsidR="00E05C1F" w:rsidRPr="00F32D8A">
        <w:rPr>
          <w:rFonts w:ascii="Arial" w:hAnsi="Arial" w:cs="Arial"/>
        </w:rPr>
        <w:t xml:space="preserve">request the trustees to </w:t>
      </w:r>
      <w:r w:rsidR="009F3E89" w:rsidRPr="00F32D8A">
        <w:rPr>
          <w:rFonts w:ascii="Arial" w:hAnsi="Arial" w:cs="Arial"/>
        </w:rPr>
        <w:t>determine the identity of a referee</w:t>
      </w:r>
      <w:r w:rsidR="007B17FA" w:rsidRPr="00F32D8A">
        <w:rPr>
          <w:rFonts w:ascii="Arial" w:hAnsi="Arial" w:cs="Arial"/>
        </w:rPr>
        <w:t>,</w:t>
      </w:r>
      <w:r w:rsidR="006B285F" w:rsidRPr="00B76F09">
        <w:rPr>
          <w:rStyle w:val="FootnoteReference"/>
          <w:rFonts w:ascii="Arial" w:hAnsi="Arial" w:cs="Arial"/>
        </w:rPr>
        <w:footnoteReference w:id="17"/>
      </w:r>
      <w:r w:rsidR="007B17FA" w:rsidRPr="00F32D8A">
        <w:rPr>
          <w:rFonts w:ascii="Arial" w:hAnsi="Arial" w:cs="Arial"/>
        </w:rPr>
        <w:t xml:space="preserve"> and once this is done, </w:t>
      </w:r>
      <w:r w:rsidR="00E54B01" w:rsidRPr="00F32D8A">
        <w:rPr>
          <w:rFonts w:ascii="Arial" w:hAnsi="Arial" w:cs="Arial"/>
        </w:rPr>
        <w:t>the matter will be remitted to the referee for his decision</w:t>
      </w:r>
      <w:r w:rsidR="009A0231" w:rsidRPr="00F32D8A">
        <w:rPr>
          <w:rFonts w:ascii="Arial" w:hAnsi="Arial" w:cs="Arial"/>
        </w:rPr>
        <w:t>.</w:t>
      </w:r>
    </w:p>
    <w:p w14:paraId="056D4386" w14:textId="77777777" w:rsidR="009E5CC0" w:rsidRPr="00B76F09" w:rsidRDefault="009E5CC0" w:rsidP="000350A5">
      <w:pPr>
        <w:pStyle w:val="ListParagraph"/>
        <w:tabs>
          <w:tab w:val="left" w:pos="709"/>
        </w:tabs>
        <w:spacing w:line="360" w:lineRule="auto"/>
        <w:ind w:left="0"/>
        <w:jc w:val="both"/>
        <w:rPr>
          <w:rFonts w:ascii="Arial" w:hAnsi="Arial" w:cs="Arial"/>
        </w:rPr>
      </w:pPr>
    </w:p>
    <w:p w14:paraId="06F6BF2A" w14:textId="274E6557" w:rsidR="009A0231" w:rsidRPr="00F32D8A" w:rsidRDefault="00F32D8A" w:rsidP="00F32D8A">
      <w:pPr>
        <w:tabs>
          <w:tab w:val="left" w:pos="709"/>
        </w:tabs>
        <w:spacing w:line="360" w:lineRule="auto"/>
        <w:jc w:val="both"/>
        <w:rPr>
          <w:rFonts w:ascii="Arial" w:hAnsi="Arial" w:cs="Arial"/>
        </w:rPr>
      </w:pPr>
      <w:r w:rsidRPr="00B76F09">
        <w:rPr>
          <w:rFonts w:ascii="Arial" w:hAnsi="Arial" w:cs="Arial"/>
        </w:rPr>
        <w:t>[28]</w:t>
      </w:r>
      <w:r w:rsidRPr="00B76F09">
        <w:rPr>
          <w:rFonts w:ascii="Arial" w:hAnsi="Arial" w:cs="Arial"/>
        </w:rPr>
        <w:tab/>
      </w:r>
      <w:r w:rsidR="009A0231" w:rsidRPr="00F32D8A">
        <w:rPr>
          <w:rFonts w:ascii="Arial" w:hAnsi="Arial" w:cs="Arial"/>
        </w:rPr>
        <w:t xml:space="preserve">To suggest, as the appellant does, that the </w:t>
      </w:r>
      <w:r w:rsidR="000350A5" w:rsidRPr="00F32D8A">
        <w:rPr>
          <w:rFonts w:ascii="Arial" w:hAnsi="Arial" w:cs="Arial"/>
        </w:rPr>
        <w:t>owners of residential sections have no say in the affairs of the second respondent accordingly appears to me to be unfounded.</w:t>
      </w:r>
    </w:p>
    <w:p w14:paraId="0829F651" w14:textId="619D1A6B" w:rsidR="00523903" w:rsidRPr="00F32D8A" w:rsidRDefault="00F32D8A" w:rsidP="00F32D8A">
      <w:pPr>
        <w:tabs>
          <w:tab w:val="left" w:pos="709"/>
        </w:tabs>
        <w:spacing w:line="360" w:lineRule="auto"/>
        <w:jc w:val="both"/>
        <w:rPr>
          <w:rFonts w:ascii="Arial" w:hAnsi="Arial" w:cs="Arial"/>
        </w:rPr>
      </w:pPr>
      <w:r w:rsidRPr="00B76F09">
        <w:rPr>
          <w:rFonts w:ascii="Arial" w:hAnsi="Arial" w:cs="Arial"/>
        </w:rPr>
        <w:lastRenderedPageBreak/>
        <w:t>[29]</w:t>
      </w:r>
      <w:r w:rsidRPr="00B76F09">
        <w:rPr>
          <w:rFonts w:ascii="Arial" w:hAnsi="Arial" w:cs="Arial"/>
        </w:rPr>
        <w:tab/>
      </w:r>
      <w:r w:rsidR="00FA4C01" w:rsidRPr="00F32D8A">
        <w:rPr>
          <w:rFonts w:ascii="Arial" w:hAnsi="Arial" w:cs="Arial"/>
        </w:rPr>
        <w:t xml:space="preserve">The first and second respondents submit that there is a sound reason </w:t>
      </w:r>
      <w:r w:rsidR="00523903" w:rsidRPr="00F32D8A">
        <w:rPr>
          <w:rFonts w:ascii="Arial" w:hAnsi="Arial" w:cs="Arial"/>
        </w:rPr>
        <w:t xml:space="preserve">for the differentiation in voting strengths between owners of commercial sections and owners of residential sections. </w:t>
      </w:r>
      <w:r w:rsidR="009070DA" w:rsidRPr="00F32D8A">
        <w:rPr>
          <w:rFonts w:ascii="Arial" w:hAnsi="Arial" w:cs="Arial"/>
        </w:rPr>
        <w:t xml:space="preserve">The introduction of the special rules </w:t>
      </w:r>
      <w:r w:rsidR="00D71D23" w:rsidRPr="00F32D8A">
        <w:rPr>
          <w:rFonts w:ascii="Arial" w:hAnsi="Arial" w:cs="Arial"/>
        </w:rPr>
        <w:t xml:space="preserve">initially </w:t>
      </w:r>
      <w:r w:rsidR="009070DA" w:rsidRPr="00F32D8A">
        <w:rPr>
          <w:rFonts w:ascii="Arial" w:hAnsi="Arial" w:cs="Arial"/>
        </w:rPr>
        <w:t xml:space="preserve">drew the commercial </w:t>
      </w:r>
      <w:r w:rsidR="008629B9" w:rsidRPr="00F32D8A">
        <w:rPr>
          <w:rFonts w:ascii="Arial" w:hAnsi="Arial" w:cs="Arial"/>
        </w:rPr>
        <w:t xml:space="preserve">tenants to the scheme. </w:t>
      </w:r>
      <w:r w:rsidR="00523903" w:rsidRPr="00F32D8A">
        <w:rPr>
          <w:rFonts w:ascii="Arial" w:hAnsi="Arial" w:cs="Arial"/>
        </w:rPr>
        <w:t xml:space="preserve">As was stated in </w:t>
      </w:r>
      <w:r w:rsidR="005529BC" w:rsidRPr="00F32D8A">
        <w:rPr>
          <w:rFonts w:ascii="Arial" w:hAnsi="Arial" w:cs="Arial"/>
        </w:rPr>
        <w:t xml:space="preserve">the </w:t>
      </w:r>
      <w:r w:rsidR="00523903" w:rsidRPr="00F32D8A">
        <w:rPr>
          <w:rFonts w:ascii="Arial" w:hAnsi="Arial" w:cs="Arial"/>
        </w:rPr>
        <w:t xml:space="preserve">second respondent’s replying affidavit in the prior application, the developer, Romwood, acknowledged the investment that the owners of commercial sections made in the property as compared to </w:t>
      </w:r>
      <w:r w:rsidR="00A171AB" w:rsidRPr="00F32D8A">
        <w:rPr>
          <w:rFonts w:ascii="Arial" w:hAnsi="Arial" w:cs="Arial"/>
        </w:rPr>
        <w:t>the investment</w:t>
      </w:r>
      <w:r w:rsidR="00523903" w:rsidRPr="00F32D8A">
        <w:rPr>
          <w:rFonts w:ascii="Arial" w:hAnsi="Arial" w:cs="Arial"/>
        </w:rPr>
        <w:t xml:space="preserve"> made by owners of residential sections.</w:t>
      </w:r>
      <w:r w:rsidR="00523903" w:rsidRPr="00B76F09">
        <w:rPr>
          <w:rStyle w:val="FootnoteReference"/>
          <w:rFonts w:ascii="Arial" w:hAnsi="Arial" w:cs="Arial"/>
        </w:rPr>
        <w:footnoteReference w:id="18"/>
      </w:r>
      <w:r w:rsidR="00523903" w:rsidRPr="00F32D8A">
        <w:rPr>
          <w:rFonts w:ascii="Arial" w:hAnsi="Arial" w:cs="Arial"/>
        </w:rPr>
        <w:t xml:space="preserve"> Th</w:t>
      </w:r>
      <w:r w:rsidR="006F5324" w:rsidRPr="00F32D8A">
        <w:rPr>
          <w:rFonts w:ascii="Arial" w:hAnsi="Arial" w:cs="Arial"/>
        </w:rPr>
        <w:t>at investment</w:t>
      </w:r>
      <w:r w:rsidR="00A171AB" w:rsidRPr="00F32D8A">
        <w:rPr>
          <w:rFonts w:ascii="Arial" w:hAnsi="Arial" w:cs="Arial"/>
        </w:rPr>
        <w:t xml:space="preserve"> </w:t>
      </w:r>
      <w:r w:rsidR="00523903" w:rsidRPr="00F32D8A">
        <w:rPr>
          <w:rFonts w:ascii="Arial" w:hAnsi="Arial" w:cs="Arial"/>
        </w:rPr>
        <w:t xml:space="preserve">would presumably have to protected in some way. </w:t>
      </w:r>
      <w:r w:rsidR="006F5324" w:rsidRPr="00F32D8A">
        <w:rPr>
          <w:rFonts w:ascii="Arial" w:hAnsi="Arial" w:cs="Arial"/>
        </w:rPr>
        <w:t xml:space="preserve">The introduction of the special rules was one way of achieving this. </w:t>
      </w:r>
      <w:r w:rsidR="00523903" w:rsidRPr="00F32D8A">
        <w:rPr>
          <w:rFonts w:ascii="Arial" w:hAnsi="Arial" w:cs="Arial"/>
        </w:rPr>
        <w:t>In addition, as stated in the answering affidavit in this appeal, the first and second respondents submit that the commercial sections pay far higher levies per section than residential owners</w:t>
      </w:r>
      <w:r w:rsidR="00487DD3" w:rsidRPr="00F32D8A">
        <w:rPr>
          <w:rFonts w:ascii="Arial" w:hAnsi="Arial" w:cs="Arial"/>
        </w:rPr>
        <w:t>, many of whom are pensioners,</w:t>
      </w:r>
      <w:r w:rsidR="00523903" w:rsidRPr="00F32D8A">
        <w:rPr>
          <w:rFonts w:ascii="Arial" w:hAnsi="Arial" w:cs="Arial"/>
        </w:rPr>
        <w:t xml:space="preserve"> pay in respect of their respective sections. The consequence of this, according to the first and second respondents, is that the levies that are required to be paid by the residential owners in the second respondent are less than half that allegedly paid by owners in neighbouring residential only schemes. </w:t>
      </w:r>
      <w:r w:rsidR="002970BB" w:rsidRPr="00F32D8A">
        <w:rPr>
          <w:rFonts w:ascii="Arial" w:hAnsi="Arial" w:cs="Arial"/>
        </w:rPr>
        <w:t>An example was provided: a scheme known as Grosvenor Court is a residential only scheme and the le</w:t>
      </w:r>
      <w:r w:rsidR="00EB7551" w:rsidRPr="00F32D8A">
        <w:rPr>
          <w:rFonts w:ascii="Arial" w:hAnsi="Arial" w:cs="Arial"/>
        </w:rPr>
        <w:t xml:space="preserve">vy paid in respect of a </w:t>
      </w:r>
      <w:r w:rsidR="0062153A" w:rsidRPr="00F32D8A">
        <w:rPr>
          <w:rFonts w:ascii="Arial" w:hAnsi="Arial" w:cs="Arial"/>
        </w:rPr>
        <w:t>1,5-bedroom</w:t>
      </w:r>
      <w:r w:rsidR="00EB7551" w:rsidRPr="00F32D8A">
        <w:rPr>
          <w:rFonts w:ascii="Arial" w:hAnsi="Arial" w:cs="Arial"/>
        </w:rPr>
        <w:t xml:space="preserve"> section is R4100 per month, whereas in the second respondent a similar section would attract a levy of </w:t>
      </w:r>
      <w:r w:rsidR="00973DBB" w:rsidRPr="00F32D8A">
        <w:rPr>
          <w:rFonts w:ascii="Arial" w:hAnsi="Arial" w:cs="Arial"/>
        </w:rPr>
        <w:t xml:space="preserve">R1600 to R1800 per month. </w:t>
      </w:r>
      <w:r w:rsidR="00523903" w:rsidRPr="00F32D8A">
        <w:rPr>
          <w:rFonts w:ascii="Arial" w:hAnsi="Arial" w:cs="Arial"/>
        </w:rPr>
        <w:t>Th</w:t>
      </w:r>
      <w:r w:rsidR="00CC0A3C" w:rsidRPr="00F32D8A">
        <w:rPr>
          <w:rFonts w:ascii="Arial" w:hAnsi="Arial" w:cs="Arial"/>
        </w:rPr>
        <w:t>e proposition</w:t>
      </w:r>
      <w:r w:rsidR="00FB7449" w:rsidRPr="00F32D8A">
        <w:rPr>
          <w:rFonts w:ascii="Arial" w:hAnsi="Arial" w:cs="Arial"/>
        </w:rPr>
        <w:t xml:space="preserve"> that the owners of commercial sections pay higher levies was</w:t>
      </w:r>
      <w:r w:rsidR="00523903" w:rsidRPr="00F32D8A">
        <w:rPr>
          <w:rFonts w:ascii="Arial" w:hAnsi="Arial" w:cs="Arial"/>
        </w:rPr>
        <w:t xml:space="preserve"> disputed </w:t>
      </w:r>
      <w:r w:rsidR="001C533D" w:rsidRPr="00F32D8A">
        <w:rPr>
          <w:rFonts w:ascii="Arial" w:hAnsi="Arial" w:cs="Arial"/>
        </w:rPr>
        <w:t xml:space="preserve">in reply </w:t>
      </w:r>
      <w:r w:rsidR="00CC0A3C" w:rsidRPr="00F32D8A">
        <w:rPr>
          <w:rFonts w:ascii="Arial" w:hAnsi="Arial" w:cs="Arial"/>
        </w:rPr>
        <w:t>by the appellant</w:t>
      </w:r>
      <w:r w:rsidR="001C533D" w:rsidRPr="00F32D8A">
        <w:rPr>
          <w:rFonts w:ascii="Arial" w:hAnsi="Arial" w:cs="Arial"/>
        </w:rPr>
        <w:t xml:space="preserve">. On the issue of whether </w:t>
      </w:r>
      <w:r w:rsidR="00FB7449" w:rsidRPr="00F32D8A">
        <w:rPr>
          <w:rFonts w:ascii="Arial" w:hAnsi="Arial" w:cs="Arial"/>
        </w:rPr>
        <w:t xml:space="preserve">levies paid by the owners of residential sections </w:t>
      </w:r>
      <w:r w:rsidR="007E1DEF" w:rsidRPr="00F32D8A">
        <w:rPr>
          <w:rFonts w:ascii="Arial" w:hAnsi="Arial" w:cs="Arial"/>
        </w:rPr>
        <w:t xml:space="preserve">in the second respondent </w:t>
      </w:r>
      <w:r w:rsidR="00FB7449" w:rsidRPr="00F32D8A">
        <w:rPr>
          <w:rFonts w:ascii="Arial" w:hAnsi="Arial" w:cs="Arial"/>
        </w:rPr>
        <w:t>were markedly lower than</w:t>
      </w:r>
      <w:r w:rsidR="008529D2" w:rsidRPr="00F32D8A">
        <w:rPr>
          <w:rFonts w:ascii="Arial" w:hAnsi="Arial" w:cs="Arial"/>
        </w:rPr>
        <w:t xml:space="preserve"> those paid in solely residential schemes</w:t>
      </w:r>
      <w:r w:rsidR="00464D91" w:rsidRPr="00F32D8A">
        <w:rPr>
          <w:rFonts w:ascii="Arial" w:hAnsi="Arial" w:cs="Arial"/>
        </w:rPr>
        <w:t>, this was met with a blanket denial and a terse</w:t>
      </w:r>
      <w:r w:rsidR="007E1DEF" w:rsidRPr="00F32D8A">
        <w:rPr>
          <w:rFonts w:ascii="Arial" w:hAnsi="Arial" w:cs="Arial"/>
        </w:rPr>
        <w:t>, and unsubstantiated,</w:t>
      </w:r>
      <w:r w:rsidR="00464D91" w:rsidRPr="00F32D8A">
        <w:rPr>
          <w:rFonts w:ascii="Arial" w:hAnsi="Arial" w:cs="Arial"/>
        </w:rPr>
        <w:t xml:space="preserve"> response that maintenance</w:t>
      </w:r>
      <w:r w:rsidR="007E1DEF" w:rsidRPr="00F32D8A">
        <w:rPr>
          <w:rFonts w:ascii="Arial" w:hAnsi="Arial" w:cs="Arial"/>
        </w:rPr>
        <w:t xml:space="preserve"> in other schemes is superior</w:t>
      </w:r>
      <w:r w:rsidR="008529D2" w:rsidRPr="00F32D8A">
        <w:rPr>
          <w:rFonts w:ascii="Arial" w:hAnsi="Arial" w:cs="Arial"/>
        </w:rPr>
        <w:t>.</w:t>
      </w:r>
    </w:p>
    <w:p w14:paraId="1EF7D4D1" w14:textId="77777777" w:rsidR="00523903" w:rsidRPr="00B76F09" w:rsidRDefault="00523903" w:rsidP="00F213C6">
      <w:pPr>
        <w:pStyle w:val="ListParagraph"/>
        <w:spacing w:line="360" w:lineRule="auto"/>
        <w:rPr>
          <w:rFonts w:ascii="Arial" w:hAnsi="Arial" w:cs="Arial"/>
        </w:rPr>
      </w:pPr>
    </w:p>
    <w:p w14:paraId="4FD5A992" w14:textId="1BE7D7BD" w:rsidR="00F213C6" w:rsidRPr="00F32D8A" w:rsidRDefault="00F32D8A" w:rsidP="00F32D8A">
      <w:pPr>
        <w:tabs>
          <w:tab w:val="left" w:pos="709"/>
        </w:tabs>
        <w:spacing w:line="360" w:lineRule="auto"/>
        <w:jc w:val="both"/>
        <w:rPr>
          <w:rFonts w:ascii="Arial" w:hAnsi="Arial" w:cs="Arial"/>
        </w:rPr>
      </w:pPr>
      <w:r w:rsidRPr="00B76F09">
        <w:rPr>
          <w:rFonts w:ascii="Arial" w:hAnsi="Arial" w:cs="Arial"/>
        </w:rPr>
        <w:t>[30]</w:t>
      </w:r>
      <w:r w:rsidRPr="00B76F09">
        <w:rPr>
          <w:rFonts w:ascii="Arial" w:hAnsi="Arial" w:cs="Arial"/>
        </w:rPr>
        <w:tab/>
      </w:r>
      <w:r w:rsidR="008529D2" w:rsidRPr="00F32D8A">
        <w:rPr>
          <w:rFonts w:ascii="Arial" w:hAnsi="Arial" w:cs="Arial"/>
        </w:rPr>
        <w:t xml:space="preserve">The appellant appears to </w:t>
      </w:r>
      <w:r w:rsidR="00DD5834" w:rsidRPr="00F32D8A">
        <w:rPr>
          <w:rFonts w:ascii="Arial" w:hAnsi="Arial" w:cs="Arial"/>
        </w:rPr>
        <w:t xml:space="preserve">me to </w:t>
      </w:r>
      <w:r w:rsidR="008529D2" w:rsidRPr="00F32D8A">
        <w:rPr>
          <w:rFonts w:ascii="Arial" w:hAnsi="Arial" w:cs="Arial"/>
        </w:rPr>
        <w:t>have approached the issue before the thir</w:t>
      </w:r>
      <w:r w:rsidR="00A06DC6" w:rsidRPr="00F32D8A">
        <w:rPr>
          <w:rFonts w:ascii="Arial" w:hAnsi="Arial" w:cs="Arial"/>
        </w:rPr>
        <w:t>d</w:t>
      </w:r>
      <w:r w:rsidR="008529D2" w:rsidRPr="00F32D8A">
        <w:rPr>
          <w:rFonts w:ascii="Arial" w:hAnsi="Arial" w:cs="Arial"/>
        </w:rPr>
        <w:t xml:space="preserve"> respondent</w:t>
      </w:r>
      <w:r w:rsidR="00A06DC6" w:rsidRPr="00F32D8A">
        <w:rPr>
          <w:rFonts w:ascii="Arial" w:hAnsi="Arial" w:cs="Arial"/>
        </w:rPr>
        <w:t xml:space="preserve"> without acknowledging that he did not buy into a purely residential scheme but bought into a mixed</w:t>
      </w:r>
      <w:r w:rsidR="00D80A93" w:rsidRPr="00F32D8A">
        <w:rPr>
          <w:rFonts w:ascii="Arial" w:hAnsi="Arial" w:cs="Arial"/>
        </w:rPr>
        <w:t>-</w:t>
      </w:r>
      <w:r w:rsidR="00A06DC6" w:rsidRPr="00F32D8A">
        <w:rPr>
          <w:rFonts w:ascii="Arial" w:hAnsi="Arial" w:cs="Arial"/>
        </w:rPr>
        <w:t xml:space="preserve">use scheme. </w:t>
      </w:r>
      <w:r w:rsidR="000E77CD" w:rsidRPr="00F32D8A">
        <w:rPr>
          <w:rFonts w:ascii="Arial" w:hAnsi="Arial" w:cs="Arial"/>
        </w:rPr>
        <w:t xml:space="preserve">There is no </w:t>
      </w:r>
      <w:r w:rsidR="00DD5834" w:rsidRPr="00F32D8A">
        <w:rPr>
          <w:rFonts w:ascii="Arial" w:hAnsi="Arial" w:cs="Arial"/>
        </w:rPr>
        <w:t>recognition</w:t>
      </w:r>
      <w:r w:rsidR="000E77CD" w:rsidRPr="00F32D8A">
        <w:rPr>
          <w:rFonts w:ascii="Arial" w:hAnsi="Arial" w:cs="Arial"/>
        </w:rPr>
        <w:t xml:space="preserve"> by him that there may be competing interests between the different </w:t>
      </w:r>
      <w:r w:rsidR="009A19FE" w:rsidRPr="00F32D8A">
        <w:rPr>
          <w:rFonts w:ascii="Arial" w:hAnsi="Arial" w:cs="Arial"/>
        </w:rPr>
        <w:t xml:space="preserve">classes of owners. Those competing interests </w:t>
      </w:r>
      <w:r w:rsidR="00B22ADC" w:rsidRPr="00F32D8A">
        <w:rPr>
          <w:rFonts w:ascii="Arial" w:hAnsi="Arial" w:cs="Arial"/>
        </w:rPr>
        <w:t xml:space="preserve">cannot be disregarded and </w:t>
      </w:r>
      <w:r w:rsidR="009A19FE" w:rsidRPr="00F32D8A">
        <w:rPr>
          <w:rFonts w:ascii="Arial" w:hAnsi="Arial" w:cs="Arial"/>
        </w:rPr>
        <w:t>need to be addressed in some for</w:t>
      </w:r>
      <w:r w:rsidR="00F213C6" w:rsidRPr="00F32D8A">
        <w:rPr>
          <w:rFonts w:ascii="Arial" w:hAnsi="Arial" w:cs="Arial"/>
        </w:rPr>
        <w:t>m or another</w:t>
      </w:r>
      <w:r w:rsidR="009A19FE" w:rsidRPr="00F32D8A">
        <w:rPr>
          <w:rFonts w:ascii="Arial" w:hAnsi="Arial" w:cs="Arial"/>
        </w:rPr>
        <w:t xml:space="preserve">. The developer chose the form by granting the owners of commercial sections </w:t>
      </w:r>
      <w:r w:rsidR="00F213C6" w:rsidRPr="00F32D8A">
        <w:rPr>
          <w:rFonts w:ascii="Arial" w:hAnsi="Arial" w:cs="Arial"/>
        </w:rPr>
        <w:t>a greater weighted vote.</w:t>
      </w:r>
      <w:r w:rsidR="009A19FE" w:rsidRPr="00F32D8A">
        <w:rPr>
          <w:rFonts w:ascii="Arial" w:hAnsi="Arial" w:cs="Arial"/>
        </w:rPr>
        <w:t xml:space="preserve"> </w:t>
      </w:r>
      <w:r w:rsidR="004F4442" w:rsidRPr="00F32D8A">
        <w:rPr>
          <w:rFonts w:ascii="Arial" w:hAnsi="Arial" w:cs="Arial"/>
        </w:rPr>
        <w:t>It was permitted to do so in terms of the ST</w:t>
      </w:r>
      <w:r w:rsidR="00DD5834" w:rsidRPr="00F32D8A">
        <w:rPr>
          <w:rFonts w:ascii="Arial" w:hAnsi="Arial" w:cs="Arial"/>
        </w:rPr>
        <w:t xml:space="preserve"> </w:t>
      </w:r>
      <w:r w:rsidR="004F4442" w:rsidRPr="00F32D8A">
        <w:rPr>
          <w:rFonts w:ascii="Arial" w:hAnsi="Arial" w:cs="Arial"/>
        </w:rPr>
        <w:t>A</w:t>
      </w:r>
      <w:r w:rsidR="00DD5834" w:rsidRPr="00F32D8A">
        <w:rPr>
          <w:rFonts w:ascii="Arial" w:hAnsi="Arial" w:cs="Arial"/>
        </w:rPr>
        <w:t>ct</w:t>
      </w:r>
      <w:r w:rsidR="004F4442" w:rsidRPr="00F32D8A">
        <w:rPr>
          <w:rFonts w:ascii="Arial" w:hAnsi="Arial" w:cs="Arial"/>
        </w:rPr>
        <w:t>.</w:t>
      </w:r>
    </w:p>
    <w:p w14:paraId="52D72712" w14:textId="77777777" w:rsidR="00F213C6" w:rsidRPr="00B76F09" w:rsidRDefault="00F213C6" w:rsidP="00F213C6">
      <w:pPr>
        <w:pStyle w:val="ListParagraph"/>
        <w:spacing w:line="360" w:lineRule="auto"/>
        <w:rPr>
          <w:rFonts w:ascii="Arial" w:hAnsi="Arial" w:cs="Arial"/>
        </w:rPr>
      </w:pPr>
    </w:p>
    <w:p w14:paraId="439ACB42" w14:textId="0D31DBC3" w:rsidR="00DA0A51" w:rsidRPr="00F32D8A" w:rsidRDefault="00F32D8A" w:rsidP="00F32D8A">
      <w:pPr>
        <w:tabs>
          <w:tab w:val="left" w:pos="709"/>
        </w:tabs>
        <w:spacing w:line="360" w:lineRule="auto"/>
        <w:jc w:val="both"/>
        <w:rPr>
          <w:rFonts w:ascii="Arial" w:hAnsi="Arial" w:cs="Arial"/>
        </w:rPr>
      </w:pPr>
      <w:r w:rsidRPr="00B76F09">
        <w:rPr>
          <w:rFonts w:ascii="Arial" w:hAnsi="Arial" w:cs="Arial"/>
        </w:rPr>
        <w:lastRenderedPageBreak/>
        <w:t>[31]</w:t>
      </w:r>
      <w:r w:rsidRPr="00B76F09">
        <w:rPr>
          <w:rFonts w:ascii="Arial" w:hAnsi="Arial" w:cs="Arial"/>
        </w:rPr>
        <w:tab/>
      </w:r>
      <w:r w:rsidR="00B22ADC" w:rsidRPr="00F32D8A">
        <w:rPr>
          <w:rFonts w:ascii="Arial" w:hAnsi="Arial" w:cs="Arial"/>
        </w:rPr>
        <w:t xml:space="preserve">I do not find the method adopted by the developer as being unreasonable or iniquitous. </w:t>
      </w:r>
      <w:r w:rsidR="0031675C" w:rsidRPr="00F32D8A">
        <w:rPr>
          <w:rFonts w:ascii="Arial" w:hAnsi="Arial" w:cs="Arial"/>
        </w:rPr>
        <w:t>The appellant plainly knew that he was buying into a mixed</w:t>
      </w:r>
      <w:r w:rsidR="00E846D3" w:rsidRPr="00F32D8A">
        <w:rPr>
          <w:rFonts w:ascii="Arial" w:hAnsi="Arial" w:cs="Arial"/>
        </w:rPr>
        <w:t>-</w:t>
      </w:r>
      <w:r w:rsidR="0031675C" w:rsidRPr="00F32D8A">
        <w:rPr>
          <w:rFonts w:ascii="Arial" w:hAnsi="Arial" w:cs="Arial"/>
        </w:rPr>
        <w:t xml:space="preserve">use scheme. </w:t>
      </w:r>
      <w:r w:rsidR="001A1250" w:rsidRPr="00F32D8A">
        <w:rPr>
          <w:rFonts w:ascii="Arial" w:hAnsi="Arial" w:cs="Arial"/>
        </w:rPr>
        <w:t xml:space="preserve">In my view, the applicant </w:t>
      </w:r>
      <w:r w:rsidR="0031675C" w:rsidRPr="00F32D8A">
        <w:rPr>
          <w:rFonts w:ascii="Arial" w:hAnsi="Arial" w:cs="Arial"/>
        </w:rPr>
        <w:t>as a prudent purchaser</w:t>
      </w:r>
      <w:r w:rsidR="00574AD9" w:rsidRPr="00F32D8A">
        <w:rPr>
          <w:rFonts w:ascii="Arial" w:hAnsi="Arial" w:cs="Arial"/>
        </w:rPr>
        <w:t>,</w:t>
      </w:r>
      <w:r w:rsidR="00574AD9" w:rsidRPr="00B76F09">
        <w:rPr>
          <w:rStyle w:val="FootnoteReference"/>
          <w:rFonts w:ascii="Arial" w:hAnsi="Arial" w:cs="Arial"/>
        </w:rPr>
        <w:footnoteReference w:id="19"/>
      </w:r>
      <w:r w:rsidR="0031675C" w:rsidRPr="00F32D8A">
        <w:rPr>
          <w:rFonts w:ascii="Arial" w:hAnsi="Arial" w:cs="Arial"/>
        </w:rPr>
        <w:t xml:space="preserve"> </w:t>
      </w:r>
      <w:r w:rsidR="001A1250" w:rsidRPr="00F32D8A">
        <w:rPr>
          <w:rFonts w:ascii="Arial" w:hAnsi="Arial" w:cs="Arial"/>
        </w:rPr>
        <w:t>knew</w:t>
      </w:r>
      <w:r w:rsidR="002850BC" w:rsidRPr="00F32D8A">
        <w:rPr>
          <w:rFonts w:ascii="Arial" w:hAnsi="Arial" w:cs="Arial"/>
        </w:rPr>
        <w:t>,</w:t>
      </w:r>
      <w:r w:rsidR="001A1250" w:rsidRPr="00F32D8A">
        <w:rPr>
          <w:rFonts w:ascii="Arial" w:hAnsi="Arial" w:cs="Arial"/>
        </w:rPr>
        <w:t xml:space="preserve"> or ought to have known</w:t>
      </w:r>
      <w:r w:rsidR="002850BC" w:rsidRPr="00F32D8A">
        <w:rPr>
          <w:rFonts w:ascii="Arial" w:hAnsi="Arial" w:cs="Arial"/>
        </w:rPr>
        <w:t>,</w:t>
      </w:r>
      <w:r w:rsidR="001A1250" w:rsidRPr="00F32D8A">
        <w:rPr>
          <w:rFonts w:ascii="Arial" w:hAnsi="Arial" w:cs="Arial"/>
        </w:rPr>
        <w:t xml:space="preserve"> of the provisions of the special rules when he considered acquiring a section in the second respondent. </w:t>
      </w:r>
      <w:r w:rsidR="002850BC" w:rsidRPr="00F32D8A">
        <w:rPr>
          <w:rFonts w:ascii="Arial" w:hAnsi="Arial" w:cs="Arial"/>
        </w:rPr>
        <w:t xml:space="preserve">He has not stated that he acquired ownership at the time of the conversion of the building from </w:t>
      </w:r>
      <w:r w:rsidR="00B33CF9" w:rsidRPr="00F32D8A">
        <w:rPr>
          <w:rFonts w:ascii="Arial" w:hAnsi="Arial" w:cs="Arial"/>
        </w:rPr>
        <w:t xml:space="preserve">a </w:t>
      </w:r>
      <w:r w:rsidR="002850BC" w:rsidRPr="00F32D8A">
        <w:rPr>
          <w:rFonts w:ascii="Arial" w:hAnsi="Arial" w:cs="Arial"/>
        </w:rPr>
        <w:t xml:space="preserve">share block to </w:t>
      </w:r>
      <w:r w:rsidR="00B33CF9" w:rsidRPr="00F32D8A">
        <w:rPr>
          <w:rFonts w:ascii="Arial" w:hAnsi="Arial" w:cs="Arial"/>
        </w:rPr>
        <w:t xml:space="preserve">a </w:t>
      </w:r>
      <w:r w:rsidR="002850BC" w:rsidRPr="00F32D8A">
        <w:rPr>
          <w:rFonts w:ascii="Arial" w:hAnsi="Arial" w:cs="Arial"/>
        </w:rPr>
        <w:t>sectional title scheme. The sectional title scheme would thus have been up and running when he acquired his section</w:t>
      </w:r>
      <w:r w:rsidR="00B33CF9" w:rsidRPr="00F32D8A">
        <w:rPr>
          <w:rFonts w:ascii="Arial" w:hAnsi="Arial" w:cs="Arial"/>
        </w:rPr>
        <w:t xml:space="preserve"> and he could, and should, have acquired knowledge of the special rules before investing</w:t>
      </w:r>
      <w:r w:rsidR="002850BC" w:rsidRPr="00F32D8A">
        <w:rPr>
          <w:rFonts w:ascii="Arial" w:hAnsi="Arial" w:cs="Arial"/>
        </w:rPr>
        <w:t xml:space="preserve">. </w:t>
      </w:r>
      <w:r w:rsidR="001A1250" w:rsidRPr="00F32D8A">
        <w:rPr>
          <w:rFonts w:ascii="Arial" w:hAnsi="Arial" w:cs="Arial"/>
        </w:rPr>
        <w:t xml:space="preserve">He was not compelled to buy into the scheme but chose to do so. </w:t>
      </w:r>
      <w:r w:rsidR="002850BC" w:rsidRPr="00F32D8A">
        <w:rPr>
          <w:rFonts w:ascii="Arial" w:hAnsi="Arial" w:cs="Arial"/>
        </w:rPr>
        <w:t xml:space="preserve">It appears that he </w:t>
      </w:r>
      <w:r w:rsidR="001A1250" w:rsidRPr="00F32D8A">
        <w:rPr>
          <w:rFonts w:ascii="Arial" w:hAnsi="Arial" w:cs="Arial"/>
        </w:rPr>
        <w:t xml:space="preserve">is now dissatisfied with the rules that he undoubtedly knew existed when he acquired his section. </w:t>
      </w:r>
      <w:r w:rsidR="00B56CBB" w:rsidRPr="00F32D8A">
        <w:rPr>
          <w:rFonts w:ascii="Arial" w:hAnsi="Arial" w:cs="Arial"/>
        </w:rPr>
        <w:t>In my view, h</w:t>
      </w:r>
      <w:r w:rsidR="001A1250" w:rsidRPr="00F32D8A">
        <w:rPr>
          <w:rFonts w:ascii="Arial" w:hAnsi="Arial" w:cs="Arial"/>
        </w:rPr>
        <w:t>e h</w:t>
      </w:r>
      <w:r w:rsidR="00B33CF9" w:rsidRPr="00F32D8A">
        <w:rPr>
          <w:rFonts w:ascii="Arial" w:hAnsi="Arial" w:cs="Arial"/>
        </w:rPr>
        <w:t>as no reason to be dissatisfied.</w:t>
      </w:r>
      <w:r w:rsidR="00B56CBB" w:rsidRPr="00F32D8A">
        <w:rPr>
          <w:rFonts w:ascii="Arial" w:hAnsi="Arial" w:cs="Arial"/>
        </w:rPr>
        <w:t xml:space="preserve"> </w:t>
      </w:r>
    </w:p>
    <w:p w14:paraId="49D191CD" w14:textId="77777777" w:rsidR="000D5416" w:rsidRPr="00B76F09" w:rsidRDefault="000D5416" w:rsidP="000D5416">
      <w:pPr>
        <w:pStyle w:val="ListParagraph"/>
        <w:tabs>
          <w:tab w:val="left" w:pos="709"/>
        </w:tabs>
        <w:spacing w:line="360" w:lineRule="auto"/>
        <w:ind w:left="0"/>
        <w:jc w:val="both"/>
        <w:rPr>
          <w:rFonts w:ascii="Arial" w:hAnsi="Arial" w:cs="Arial"/>
        </w:rPr>
      </w:pPr>
    </w:p>
    <w:p w14:paraId="241B78D1" w14:textId="429F5A67" w:rsidR="00DA0A51" w:rsidRPr="00F32D8A" w:rsidRDefault="00F32D8A" w:rsidP="00F32D8A">
      <w:pPr>
        <w:tabs>
          <w:tab w:val="left" w:pos="709"/>
        </w:tabs>
        <w:spacing w:line="360" w:lineRule="auto"/>
        <w:jc w:val="both"/>
        <w:rPr>
          <w:rFonts w:ascii="Arial" w:hAnsi="Arial" w:cs="Arial"/>
        </w:rPr>
      </w:pPr>
      <w:r w:rsidRPr="00B76F09">
        <w:rPr>
          <w:rFonts w:ascii="Arial" w:hAnsi="Arial" w:cs="Arial"/>
        </w:rPr>
        <w:t>[32]</w:t>
      </w:r>
      <w:r w:rsidRPr="00B76F09">
        <w:rPr>
          <w:rFonts w:ascii="Arial" w:hAnsi="Arial" w:cs="Arial"/>
        </w:rPr>
        <w:tab/>
      </w:r>
      <w:r w:rsidR="004B1EA8" w:rsidRPr="00F32D8A">
        <w:rPr>
          <w:rFonts w:ascii="Arial" w:hAnsi="Arial" w:cs="Arial"/>
        </w:rPr>
        <w:t>I do not find it unreasonable that a distinction in voting rights has been established between commercial and residential section owners</w:t>
      </w:r>
      <w:r w:rsidR="00476FC3" w:rsidRPr="00F32D8A">
        <w:rPr>
          <w:rFonts w:ascii="Arial" w:hAnsi="Arial" w:cs="Arial"/>
        </w:rPr>
        <w:t xml:space="preserve"> in the second respondent</w:t>
      </w:r>
      <w:r w:rsidR="004B1EA8" w:rsidRPr="00F32D8A">
        <w:rPr>
          <w:rFonts w:ascii="Arial" w:hAnsi="Arial" w:cs="Arial"/>
        </w:rPr>
        <w:t>. In a mixed-use scheme it appears to me to be an inevitability that such must occur. That it has occurred in this matter does not render its occurrence unfair: both the ST</w:t>
      </w:r>
      <w:r w:rsidR="00753C5E" w:rsidRPr="00F32D8A">
        <w:rPr>
          <w:rFonts w:ascii="Arial" w:hAnsi="Arial" w:cs="Arial"/>
        </w:rPr>
        <w:t xml:space="preserve"> </w:t>
      </w:r>
      <w:r w:rsidR="004B1EA8" w:rsidRPr="00F32D8A">
        <w:rPr>
          <w:rFonts w:ascii="Arial" w:hAnsi="Arial" w:cs="Arial"/>
        </w:rPr>
        <w:t>A</w:t>
      </w:r>
      <w:r w:rsidR="00753C5E" w:rsidRPr="00F32D8A">
        <w:rPr>
          <w:rFonts w:ascii="Arial" w:hAnsi="Arial" w:cs="Arial"/>
        </w:rPr>
        <w:t>ct</w:t>
      </w:r>
      <w:r w:rsidR="004B1EA8" w:rsidRPr="00F32D8A">
        <w:rPr>
          <w:rFonts w:ascii="Arial" w:hAnsi="Arial" w:cs="Arial"/>
        </w:rPr>
        <w:t xml:space="preserve"> and the STSM</w:t>
      </w:r>
      <w:r w:rsidR="00753C5E" w:rsidRPr="00F32D8A">
        <w:rPr>
          <w:rFonts w:ascii="Arial" w:hAnsi="Arial" w:cs="Arial"/>
        </w:rPr>
        <w:t xml:space="preserve"> </w:t>
      </w:r>
      <w:r w:rsidR="004B1EA8" w:rsidRPr="00F32D8A">
        <w:rPr>
          <w:rFonts w:ascii="Arial" w:hAnsi="Arial" w:cs="Arial"/>
        </w:rPr>
        <w:t>A</w:t>
      </w:r>
      <w:r w:rsidR="00753C5E" w:rsidRPr="00F32D8A">
        <w:rPr>
          <w:rFonts w:ascii="Arial" w:hAnsi="Arial" w:cs="Arial"/>
        </w:rPr>
        <w:t>ct</w:t>
      </w:r>
      <w:r w:rsidR="004B1EA8" w:rsidRPr="00F32D8A">
        <w:rPr>
          <w:rFonts w:ascii="Arial" w:hAnsi="Arial" w:cs="Arial"/>
        </w:rPr>
        <w:t xml:space="preserve"> provide for it. </w:t>
      </w:r>
      <w:r w:rsidR="00354C54" w:rsidRPr="00F32D8A">
        <w:rPr>
          <w:rFonts w:ascii="Arial" w:hAnsi="Arial" w:cs="Arial"/>
        </w:rPr>
        <w:t xml:space="preserve">In the circumstances, I </w:t>
      </w:r>
      <w:r w:rsidR="00476FC3" w:rsidRPr="00F32D8A">
        <w:rPr>
          <w:rFonts w:ascii="Arial" w:hAnsi="Arial" w:cs="Arial"/>
        </w:rPr>
        <w:t xml:space="preserve">can </w:t>
      </w:r>
      <w:r w:rsidR="00354C54" w:rsidRPr="00F32D8A">
        <w:rPr>
          <w:rFonts w:ascii="Arial" w:hAnsi="Arial" w:cs="Arial"/>
        </w:rPr>
        <w:t>find no basis for the setting aside of the special rules.</w:t>
      </w:r>
    </w:p>
    <w:p w14:paraId="4A23B4BF" w14:textId="77777777" w:rsidR="00354C54" w:rsidRPr="00B76F09" w:rsidRDefault="00354C54" w:rsidP="000D5416">
      <w:pPr>
        <w:pStyle w:val="ListParagraph"/>
        <w:tabs>
          <w:tab w:val="left" w:pos="709"/>
        </w:tabs>
        <w:spacing w:line="360" w:lineRule="auto"/>
        <w:ind w:left="0"/>
        <w:jc w:val="both"/>
        <w:rPr>
          <w:rFonts w:ascii="Arial" w:hAnsi="Arial" w:cs="Arial"/>
        </w:rPr>
      </w:pPr>
    </w:p>
    <w:p w14:paraId="5B3FE45A" w14:textId="5807EEF0" w:rsidR="001A1250" w:rsidRPr="00F32D8A" w:rsidRDefault="00F32D8A" w:rsidP="00F32D8A">
      <w:pPr>
        <w:tabs>
          <w:tab w:val="left" w:pos="709"/>
        </w:tabs>
        <w:spacing w:line="360" w:lineRule="auto"/>
        <w:jc w:val="both"/>
        <w:rPr>
          <w:rFonts w:ascii="Arial" w:hAnsi="Arial" w:cs="Arial"/>
        </w:rPr>
      </w:pPr>
      <w:r w:rsidRPr="00B76F09">
        <w:rPr>
          <w:rFonts w:ascii="Arial" w:hAnsi="Arial" w:cs="Arial"/>
        </w:rPr>
        <w:t>[33]</w:t>
      </w:r>
      <w:r w:rsidRPr="00B76F09">
        <w:rPr>
          <w:rFonts w:ascii="Arial" w:hAnsi="Arial" w:cs="Arial"/>
        </w:rPr>
        <w:tab/>
      </w:r>
      <w:r w:rsidR="001A1250" w:rsidRPr="00F32D8A">
        <w:rPr>
          <w:rFonts w:ascii="Arial" w:hAnsi="Arial" w:cs="Arial"/>
        </w:rPr>
        <w:t xml:space="preserve">The </w:t>
      </w:r>
      <w:r w:rsidR="007D3CBB" w:rsidRPr="00F32D8A">
        <w:rPr>
          <w:rFonts w:ascii="Arial" w:hAnsi="Arial" w:cs="Arial"/>
        </w:rPr>
        <w:t xml:space="preserve">appellant alleges </w:t>
      </w:r>
      <w:r w:rsidR="001A1250" w:rsidRPr="00F32D8A">
        <w:rPr>
          <w:rFonts w:ascii="Arial" w:hAnsi="Arial" w:cs="Arial"/>
        </w:rPr>
        <w:t xml:space="preserve">that the owners of residential sections did not consent to the terms contained in the special rules. </w:t>
      </w:r>
      <w:r w:rsidR="00476FC3" w:rsidRPr="00F32D8A">
        <w:rPr>
          <w:rFonts w:ascii="Arial" w:hAnsi="Arial" w:cs="Arial"/>
        </w:rPr>
        <w:t>It appears to me</w:t>
      </w:r>
      <w:r w:rsidR="007D3CBB" w:rsidRPr="00F32D8A">
        <w:rPr>
          <w:rFonts w:ascii="Arial" w:hAnsi="Arial" w:cs="Arial"/>
        </w:rPr>
        <w:t>, strictly speaking,</w:t>
      </w:r>
      <w:r w:rsidR="00476FC3" w:rsidRPr="00F32D8A">
        <w:rPr>
          <w:rFonts w:ascii="Arial" w:hAnsi="Arial" w:cs="Arial"/>
        </w:rPr>
        <w:t xml:space="preserve"> that </w:t>
      </w:r>
      <w:r w:rsidR="00E77FF8" w:rsidRPr="00F32D8A">
        <w:rPr>
          <w:rFonts w:ascii="Arial" w:hAnsi="Arial" w:cs="Arial"/>
        </w:rPr>
        <w:t xml:space="preserve">this is a ground of appeal based upon a question of fact and is </w:t>
      </w:r>
      <w:r w:rsidR="006C755E" w:rsidRPr="00F32D8A">
        <w:rPr>
          <w:rFonts w:ascii="Arial" w:hAnsi="Arial" w:cs="Arial"/>
        </w:rPr>
        <w:t xml:space="preserve">not an issue that I am </w:t>
      </w:r>
      <w:r w:rsidR="005428A3" w:rsidRPr="00F32D8A">
        <w:rPr>
          <w:rFonts w:ascii="Arial" w:hAnsi="Arial" w:cs="Arial"/>
        </w:rPr>
        <w:t xml:space="preserve">thus </w:t>
      </w:r>
      <w:r w:rsidR="006C755E" w:rsidRPr="00F32D8A">
        <w:rPr>
          <w:rFonts w:ascii="Arial" w:hAnsi="Arial" w:cs="Arial"/>
        </w:rPr>
        <w:t xml:space="preserve">required to consider. </w:t>
      </w:r>
      <w:r w:rsidR="00BC69DB" w:rsidRPr="00F32D8A">
        <w:rPr>
          <w:rFonts w:ascii="Arial" w:hAnsi="Arial" w:cs="Arial"/>
        </w:rPr>
        <w:t>For the point to be upheld, it would require proof and not merely argument. In the event that I may be wrong</w:t>
      </w:r>
      <w:r w:rsidR="005428A3" w:rsidRPr="00F32D8A">
        <w:rPr>
          <w:rFonts w:ascii="Arial" w:hAnsi="Arial" w:cs="Arial"/>
        </w:rPr>
        <w:t xml:space="preserve"> in the characterisation of the issue</w:t>
      </w:r>
      <w:r w:rsidR="003A069C" w:rsidRPr="00F32D8A">
        <w:rPr>
          <w:rFonts w:ascii="Arial" w:hAnsi="Arial" w:cs="Arial"/>
        </w:rPr>
        <w:t>,</w:t>
      </w:r>
      <w:r w:rsidR="005428A3" w:rsidRPr="00F32D8A">
        <w:rPr>
          <w:rFonts w:ascii="Arial" w:hAnsi="Arial" w:cs="Arial"/>
        </w:rPr>
        <w:t xml:space="preserve"> I shall deal with it.</w:t>
      </w:r>
      <w:r w:rsidR="003A069C" w:rsidRPr="00F32D8A">
        <w:rPr>
          <w:rFonts w:ascii="Arial" w:hAnsi="Arial" w:cs="Arial"/>
        </w:rPr>
        <w:t xml:space="preserve"> </w:t>
      </w:r>
      <w:r w:rsidR="005428A3" w:rsidRPr="00F32D8A">
        <w:rPr>
          <w:rFonts w:ascii="Arial" w:hAnsi="Arial" w:cs="Arial"/>
        </w:rPr>
        <w:t>I</w:t>
      </w:r>
      <w:r w:rsidR="003A069C" w:rsidRPr="00F32D8A">
        <w:rPr>
          <w:rFonts w:ascii="Arial" w:hAnsi="Arial" w:cs="Arial"/>
        </w:rPr>
        <w:t xml:space="preserve">t is not clear to me what the basis for this assertion by the appellant is. </w:t>
      </w:r>
      <w:r w:rsidR="002C6E24" w:rsidRPr="00F32D8A">
        <w:rPr>
          <w:rFonts w:ascii="Arial" w:hAnsi="Arial" w:cs="Arial"/>
        </w:rPr>
        <w:t xml:space="preserve">The special rules were introduced in 1994, some </w:t>
      </w:r>
      <w:r w:rsidR="00273235" w:rsidRPr="00F32D8A">
        <w:rPr>
          <w:rFonts w:ascii="Arial" w:hAnsi="Arial" w:cs="Arial"/>
        </w:rPr>
        <w:t>28 years ago. The appellant does not claim to have been an owner at that stage</w:t>
      </w:r>
      <w:r w:rsidR="00662953" w:rsidRPr="00F32D8A">
        <w:rPr>
          <w:rFonts w:ascii="Arial" w:hAnsi="Arial" w:cs="Arial"/>
        </w:rPr>
        <w:t xml:space="preserve"> and no</w:t>
      </w:r>
      <w:r w:rsidR="001A1250" w:rsidRPr="00F32D8A">
        <w:rPr>
          <w:rFonts w:ascii="Arial" w:hAnsi="Arial" w:cs="Arial"/>
        </w:rPr>
        <w:t xml:space="preserve"> affidavits have been put up of anyone who was an owner of a section at the time that the special rules were introduced. </w:t>
      </w:r>
      <w:r w:rsidR="00BC669F" w:rsidRPr="00F32D8A">
        <w:rPr>
          <w:rFonts w:ascii="Arial" w:hAnsi="Arial" w:cs="Arial"/>
        </w:rPr>
        <w:t xml:space="preserve">The </w:t>
      </w:r>
      <w:r w:rsidR="001A1250" w:rsidRPr="00F32D8A">
        <w:rPr>
          <w:rFonts w:ascii="Arial" w:hAnsi="Arial" w:cs="Arial"/>
        </w:rPr>
        <w:t xml:space="preserve">point </w:t>
      </w:r>
      <w:r w:rsidR="00BC669F" w:rsidRPr="00F32D8A">
        <w:rPr>
          <w:rFonts w:ascii="Arial" w:hAnsi="Arial" w:cs="Arial"/>
        </w:rPr>
        <w:t>has accordingly not been established</w:t>
      </w:r>
      <w:r w:rsidR="00B33CF9" w:rsidRPr="00F32D8A">
        <w:rPr>
          <w:rFonts w:ascii="Arial" w:hAnsi="Arial" w:cs="Arial"/>
        </w:rPr>
        <w:t xml:space="preserve"> and must </w:t>
      </w:r>
      <w:r w:rsidR="000D5416" w:rsidRPr="00F32D8A">
        <w:rPr>
          <w:rFonts w:ascii="Arial" w:hAnsi="Arial" w:cs="Arial"/>
        </w:rPr>
        <w:t>fail</w:t>
      </w:r>
      <w:r w:rsidR="00BC669F" w:rsidRPr="00F32D8A">
        <w:rPr>
          <w:rFonts w:ascii="Arial" w:hAnsi="Arial" w:cs="Arial"/>
        </w:rPr>
        <w:t>.</w:t>
      </w:r>
    </w:p>
    <w:p w14:paraId="5982B5F9" w14:textId="77777777" w:rsidR="00A32A4D" w:rsidRPr="00B76F09" w:rsidRDefault="00A32A4D" w:rsidP="00B33CF9">
      <w:pPr>
        <w:pStyle w:val="ListParagraph"/>
        <w:spacing w:line="360" w:lineRule="auto"/>
        <w:rPr>
          <w:rFonts w:ascii="Arial" w:hAnsi="Arial" w:cs="Arial"/>
        </w:rPr>
      </w:pPr>
    </w:p>
    <w:p w14:paraId="3FEDB592" w14:textId="287439B8" w:rsidR="007F1E28" w:rsidRPr="00F32D8A" w:rsidRDefault="00F32D8A" w:rsidP="00F32D8A">
      <w:pPr>
        <w:tabs>
          <w:tab w:val="left" w:pos="709"/>
        </w:tabs>
        <w:spacing w:line="360" w:lineRule="auto"/>
        <w:jc w:val="both"/>
        <w:rPr>
          <w:rFonts w:ascii="Arial" w:hAnsi="Arial" w:cs="Arial"/>
        </w:rPr>
      </w:pPr>
      <w:r>
        <w:rPr>
          <w:rFonts w:ascii="Arial" w:hAnsi="Arial" w:cs="Arial"/>
        </w:rPr>
        <w:t>[34]</w:t>
      </w:r>
      <w:r>
        <w:rPr>
          <w:rFonts w:ascii="Arial" w:hAnsi="Arial" w:cs="Arial"/>
        </w:rPr>
        <w:tab/>
      </w:r>
      <w:r w:rsidR="00A511F1" w:rsidRPr="00F32D8A">
        <w:rPr>
          <w:rFonts w:ascii="Arial" w:hAnsi="Arial" w:cs="Arial"/>
        </w:rPr>
        <w:t xml:space="preserve">The applicant </w:t>
      </w:r>
      <w:r w:rsidR="000D5416" w:rsidRPr="00F32D8A">
        <w:rPr>
          <w:rFonts w:ascii="Arial" w:hAnsi="Arial" w:cs="Arial"/>
        </w:rPr>
        <w:t xml:space="preserve">further asserts </w:t>
      </w:r>
      <w:r w:rsidR="00A511F1" w:rsidRPr="00F32D8A">
        <w:rPr>
          <w:rFonts w:ascii="Arial" w:hAnsi="Arial" w:cs="Arial"/>
        </w:rPr>
        <w:t xml:space="preserve">that when the special rules were introduced, there </w:t>
      </w:r>
    </w:p>
    <w:p w14:paraId="31D66E67" w14:textId="77777777" w:rsidR="007F1E28" w:rsidRPr="007F1E28" w:rsidRDefault="007F1E28" w:rsidP="007F1E28">
      <w:pPr>
        <w:pStyle w:val="ListParagraph"/>
        <w:rPr>
          <w:rFonts w:ascii="Arial" w:hAnsi="Arial" w:cs="Arial"/>
        </w:rPr>
      </w:pPr>
    </w:p>
    <w:p w14:paraId="5FF4A7EA" w14:textId="15A04116" w:rsidR="00A32A4D" w:rsidRPr="00B76F09" w:rsidRDefault="00A511F1" w:rsidP="007F1E28">
      <w:pPr>
        <w:pStyle w:val="ListParagraph"/>
        <w:tabs>
          <w:tab w:val="left" w:pos="709"/>
        </w:tabs>
        <w:spacing w:line="360" w:lineRule="auto"/>
        <w:ind w:left="0"/>
        <w:jc w:val="both"/>
        <w:rPr>
          <w:rFonts w:ascii="Arial" w:hAnsi="Arial" w:cs="Arial"/>
        </w:rPr>
      </w:pPr>
      <w:r w:rsidRPr="00B76F09">
        <w:rPr>
          <w:rFonts w:ascii="Arial" w:hAnsi="Arial" w:cs="Arial"/>
        </w:rPr>
        <w:lastRenderedPageBreak/>
        <w:t xml:space="preserve">were allegedly substantially less than 30 percent </w:t>
      </w:r>
      <w:r w:rsidR="00EA6FCC" w:rsidRPr="00B76F09">
        <w:rPr>
          <w:rFonts w:ascii="Arial" w:hAnsi="Arial" w:cs="Arial"/>
        </w:rPr>
        <w:t xml:space="preserve">of </w:t>
      </w:r>
      <w:r w:rsidRPr="00B76F09">
        <w:rPr>
          <w:rFonts w:ascii="Arial" w:hAnsi="Arial" w:cs="Arial"/>
        </w:rPr>
        <w:t xml:space="preserve">owners of units in the scheme. </w:t>
      </w:r>
      <w:r w:rsidR="006C755E" w:rsidRPr="00B76F09">
        <w:rPr>
          <w:rFonts w:ascii="Arial" w:hAnsi="Arial" w:cs="Arial"/>
        </w:rPr>
        <w:t>Again, this is an issue of fact that must be determined by evidence</w:t>
      </w:r>
      <w:r w:rsidR="005B4D37" w:rsidRPr="00B76F09">
        <w:rPr>
          <w:rFonts w:ascii="Arial" w:hAnsi="Arial" w:cs="Arial"/>
        </w:rPr>
        <w:t xml:space="preserve">. </w:t>
      </w:r>
      <w:r w:rsidR="005A07AF" w:rsidRPr="00B76F09">
        <w:rPr>
          <w:rFonts w:ascii="Arial" w:hAnsi="Arial" w:cs="Arial"/>
        </w:rPr>
        <w:t>Again, if I am incorrect in this regard</w:t>
      </w:r>
      <w:r w:rsidR="00E846D3">
        <w:rPr>
          <w:rFonts w:ascii="Arial" w:hAnsi="Arial" w:cs="Arial"/>
        </w:rPr>
        <w:t>,</w:t>
      </w:r>
      <w:r w:rsidR="005A07AF" w:rsidRPr="00B76F09">
        <w:rPr>
          <w:rFonts w:ascii="Arial" w:hAnsi="Arial" w:cs="Arial"/>
        </w:rPr>
        <w:t xml:space="preserve"> I consider the appellant’s argument. He submits that </w:t>
      </w:r>
      <w:r w:rsidR="00A32A4D" w:rsidRPr="00B76F09">
        <w:rPr>
          <w:rFonts w:ascii="Arial" w:hAnsi="Arial" w:cs="Arial"/>
        </w:rPr>
        <w:t>section 11</w:t>
      </w:r>
      <w:r w:rsidR="00D80A93" w:rsidRPr="00B76F09">
        <w:rPr>
          <w:rFonts w:ascii="Arial" w:hAnsi="Arial" w:cs="Arial"/>
        </w:rPr>
        <w:t>(2)</w:t>
      </w:r>
      <w:r w:rsidR="00A32A4D" w:rsidRPr="008D44F5">
        <w:rPr>
          <w:rFonts w:ascii="Arial" w:hAnsi="Arial" w:cs="Arial"/>
          <w:i/>
        </w:rPr>
        <w:t>(c)</w:t>
      </w:r>
      <w:r w:rsidR="00A32A4D" w:rsidRPr="00B76F09">
        <w:rPr>
          <w:rFonts w:ascii="Arial" w:hAnsi="Arial" w:cs="Arial"/>
        </w:rPr>
        <w:t xml:space="preserve"> of the </w:t>
      </w:r>
      <w:r w:rsidR="00B33CF9" w:rsidRPr="00B76F09">
        <w:rPr>
          <w:rFonts w:ascii="Arial" w:hAnsi="Arial" w:cs="Arial"/>
        </w:rPr>
        <w:t>STSM</w:t>
      </w:r>
      <w:r w:rsidR="005A07AF" w:rsidRPr="00B76F09">
        <w:rPr>
          <w:rFonts w:ascii="Arial" w:hAnsi="Arial" w:cs="Arial"/>
        </w:rPr>
        <w:t xml:space="preserve"> </w:t>
      </w:r>
      <w:r w:rsidR="00B33CF9" w:rsidRPr="00B76F09">
        <w:rPr>
          <w:rFonts w:ascii="Arial" w:hAnsi="Arial" w:cs="Arial"/>
        </w:rPr>
        <w:t>A</w:t>
      </w:r>
      <w:r w:rsidR="005A07AF" w:rsidRPr="00B76F09">
        <w:rPr>
          <w:rFonts w:ascii="Arial" w:hAnsi="Arial" w:cs="Arial"/>
        </w:rPr>
        <w:t>ct</w:t>
      </w:r>
      <w:r w:rsidR="00A32A4D" w:rsidRPr="00B76F09">
        <w:rPr>
          <w:rFonts w:ascii="Arial" w:hAnsi="Arial" w:cs="Arial"/>
        </w:rPr>
        <w:t xml:space="preserve"> is offended, which reads:</w:t>
      </w:r>
    </w:p>
    <w:p w14:paraId="2DECE042" w14:textId="5E8FF3DC" w:rsidR="005A07AF" w:rsidRPr="00B76F09" w:rsidRDefault="00A32A4D" w:rsidP="005A07AF">
      <w:pPr>
        <w:pStyle w:val="ListParagraph"/>
        <w:tabs>
          <w:tab w:val="left" w:pos="709"/>
        </w:tabs>
        <w:spacing w:line="360" w:lineRule="auto"/>
        <w:ind w:left="0"/>
        <w:jc w:val="both"/>
        <w:rPr>
          <w:rFonts w:ascii="Arial" w:hAnsi="Arial" w:cs="Arial"/>
          <w:sz w:val="22"/>
          <w:szCs w:val="22"/>
        </w:rPr>
      </w:pPr>
      <w:r w:rsidRPr="00B76F09">
        <w:rPr>
          <w:rFonts w:ascii="Arial" w:hAnsi="Arial" w:cs="Arial"/>
          <w:sz w:val="22"/>
          <w:szCs w:val="22"/>
        </w:rPr>
        <w:t>‘</w:t>
      </w:r>
      <w:r w:rsidR="00D80A93" w:rsidRPr="00B76F09">
        <w:rPr>
          <w:rFonts w:ascii="Arial" w:hAnsi="Arial" w:cs="Arial"/>
          <w:sz w:val="22"/>
          <w:szCs w:val="22"/>
        </w:rPr>
        <w:t>The members of the body corporate may not make rules by which a different value is attached to the vote or liability of the owner of any section as contemplated in paragraph (</w:t>
      </w:r>
      <w:r w:rsidR="00D80A93" w:rsidRPr="00B76F09">
        <w:rPr>
          <w:rFonts w:ascii="Arial" w:hAnsi="Arial" w:cs="Arial"/>
          <w:i/>
          <w:iCs/>
          <w:sz w:val="22"/>
          <w:szCs w:val="22"/>
        </w:rPr>
        <w:t>a</w:t>
      </w:r>
      <w:r w:rsidR="00D80A93" w:rsidRPr="00B76F09">
        <w:rPr>
          <w:rFonts w:ascii="Arial" w:hAnsi="Arial" w:cs="Arial"/>
          <w:sz w:val="22"/>
          <w:szCs w:val="22"/>
        </w:rPr>
        <w:t>) until such time as there are owners, other than the developer, of at least 30 per cent of the units in the scheme</w:t>
      </w:r>
      <w:r w:rsidRPr="00B76F09">
        <w:rPr>
          <w:rFonts w:ascii="Arial" w:hAnsi="Arial" w:cs="Arial"/>
          <w:sz w:val="22"/>
          <w:szCs w:val="22"/>
        </w:rPr>
        <w:t>.’</w:t>
      </w:r>
    </w:p>
    <w:p w14:paraId="5F26F725" w14:textId="77777777" w:rsidR="005A07AF" w:rsidRPr="00B76F09" w:rsidRDefault="009F6586" w:rsidP="005A07AF">
      <w:pPr>
        <w:pStyle w:val="ListParagraph"/>
        <w:tabs>
          <w:tab w:val="left" w:pos="709"/>
        </w:tabs>
        <w:spacing w:line="360" w:lineRule="auto"/>
        <w:ind w:left="0"/>
        <w:jc w:val="both"/>
        <w:rPr>
          <w:rFonts w:ascii="Arial" w:hAnsi="Arial" w:cs="Arial"/>
        </w:rPr>
      </w:pPr>
      <w:r w:rsidRPr="00B76F09">
        <w:rPr>
          <w:rFonts w:ascii="Arial" w:hAnsi="Arial" w:cs="Arial"/>
        </w:rPr>
        <w:t xml:space="preserve">The </w:t>
      </w:r>
      <w:r w:rsidR="0064261B" w:rsidRPr="00B76F09">
        <w:rPr>
          <w:rFonts w:ascii="Arial" w:hAnsi="Arial" w:cs="Arial"/>
        </w:rPr>
        <w:t>fragility</w:t>
      </w:r>
      <w:r w:rsidRPr="00B76F09">
        <w:rPr>
          <w:rFonts w:ascii="Arial" w:hAnsi="Arial" w:cs="Arial"/>
        </w:rPr>
        <w:t xml:space="preserve"> of the appellant’s argument is immediately obvious. The special rules were </w:t>
      </w:r>
    </w:p>
    <w:p w14:paraId="4A2A3B2D" w14:textId="24406C4E" w:rsidR="00CB1023" w:rsidRPr="00B76F09" w:rsidRDefault="009F6586" w:rsidP="005A07AF">
      <w:pPr>
        <w:pStyle w:val="ListParagraph"/>
        <w:tabs>
          <w:tab w:val="left" w:pos="709"/>
        </w:tabs>
        <w:spacing w:line="360" w:lineRule="auto"/>
        <w:ind w:left="0"/>
        <w:jc w:val="both"/>
        <w:rPr>
          <w:rFonts w:ascii="Arial" w:hAnsi="Arial" w:cs="Arial"/>
          <w:sz w:val="22"/>
          <w:szCs w:val="22"/>
        </w:rPr>
      </w:pPr>
      <w:r w:rsidRPr="00B76F09">
        <w:rPr>
          <w:rFonts w:ascii="Arial" w:hAnsi="Arial" w:cs="Arial"/>
        </w:rPr>
        <w:t>not introduced when the STSM</w:t>
      </w:r>
      <w:r w:rsidR="005A07AF" w:rsidRPr="00B76F09">
        <w:rPr>
          <w:rFonts w:ascii="Arial" w:hAnsi="Arial" w:cs="Arial"/>
        </w:rPr>
        <w:t xml:space="preserve"> </w:t>
      </w:r>
      <w:r w:rsidRPr="00B76F09">
        <w:rPr>
          <w:rFonts w:ascii="Arial" w:hAnsi="Arial" w:cs="Arial"/>
        </w:rPr>
        <w:t>A</w:t>
      </w:r>
      <w:r w:rsidR="005A07AF" w:rsidRPr="00B76F09">
        <w:rPr>
          <w:rFonts w:ascii="Arial" w:hAnsi="Arial" w:cs="Arial"/>
        </w:rPr>
        <w:t>ct</w:t>
      </w:r>
      <w:r w:rsidRPr="00B76F09">
        <w:rPr>
          <w:rFonts w:ascii="Arial" w:hAnsi="Arial" w:cs="Arial"/>
        </w:rPr>
        <w:t xml:space="preserve"> was in place, but rather when the ST</w:t>
      </w:r>
      <w:r w:rsidR="00446FAA" w:rsidRPr="00B76F09">
        <w:rPr>
          <w:rFonts w:ascii="Arial" w:hAnsi="Arial" w:cs="Arial"/>
        </w:rPr>
        <w:t xml:space="preserve"> </w:t>
      </w:r>
      <w:r w:rsidRPr="00B76F09">
        <w:rPr>
          <w:rFonts w:ascii="Arial" w:hAnsi="Arial" w:cs="Arial"/>
        </w:rPr>
        <w:t>A</w:t>
      </w:r>
      <w:r w:rsidR="00446FAA" w:rsidRPr="00B76F09">
        <w:rPr>
          <w:rFonts w:ascii="Arial" w:hAnsi="Arial" w:cs="Arial"/>
        </w:rPr>
        <w:t>ct</w:t>
      </w:r>
      <w:r w:rsidRPr="00B76F09">
        <w:rPr>
          <w:rFonts w:ascii="Arial" w:hAnsi="Arial" w:cs="Arial"/>
        </w:rPr>
        <w:t xml:space="preserve"> was</w:t>
      </w:r>
      <w:r w:rsidR="00A346FD" w:rsidRPr="00B76F09">
        <w:rPr>
          <w:rFonts w:ascii="Arial" w:hAnsi="Arial" w:cs="Arial"/>
        </w:rPr>
        <w:t xml:space="preserve"> the applicable legislation</w:t>
      </w:r>
      <w:r w:rsidRPr="00B76F09">
        <w:rPr>
          <w:rFonts w:ascii="Arial" w:hAnsi="Arial" w:cs="Arial"/>
        </w:rPr>
        <w:t xml:space="preserve">. </w:t>
      </w:r>
      <w:r w:rsidR="00F224E1" w:rsidRPr="00B76F09">
        <w:rPr>
          <w:rFonts w:ascii="Arial" w:hAnsi="Arial" w:cs="Arial"/>
        </w:rPr>
        <w:t xml:space="preserve">Further, </w:t>
      </w:r>
      <w:r w:rsidRPr="00B76F09">
        <w:rPr>
          <w:rFonts w:ascii="Arial" w:hAnsi="Arial" w:cs="Arial"/>
        </w:rPr>
        <w:t>t</w:t>
      </w:r>
      <w:r w:rsidR="006A4755" w:rsidRPr="00B76F09">
        <w:rPr>
          <w:rFonts w:ascii="Arial" w:hAnsi="Arial" w:cs="Arial"/>
        </w:rPr>
        <w:t>he restriction</w:t>
      </w:r>
      <w:r w:rsidR="0058541F" w:rsidRPr="00B76F09">
        <w:rPr>
          <w:rFonts w:ascii="Arial" w:hAnsi="Arial" w:cs="Arial"/>
        </w:rPr>
        <w:t xml:space="preserve"> of 30% applies only where a change is contemplated by a special resolution of the body corporate.</w:t>
      </w:r>
      <w:r w:rsidR="00BB3051" w:rsidRPr="00B76F09">
        <w:rPr>
          <w:rFonts w:ascii="Arial" w:hAnsi="Arial" w:cs="Arial"/>
        </w:rPr>
        <w:t xml:space="preserve"> </w:t>
      </w:r>
      <w:r w:rsidR="00A32A4D" w:rsidRPr="00B76F09">
        <w:rPr>
          <w:rFonts w:ascii="Arial" w:hAnsi="Arial" w:cs="Arial"/>
        </w:rPr>
        <w:t>The restriction does not apply where the developer introduces the change in the rules. In this case, t</w:t>
      </w:r>
      <w:r w:rsidR="0058541F" w:rsidRPr="00B76F09">
        <w:rPr>
          <w:rFonts w:ascii="Arial" w:hAnsi="Arial" w:cs="Arial"/>
        </w:rPr>
        <w:t xml:space="preserve">he special rules were not introduced </w:t>
      </w:r>
      <w:r w:rsidR="00A32A4D" w:rsidRPr="00B76F09">
        <w:rPr>
          <w:rFonts w:ascii="Arial" w:hAnsi="Arial" w:cs="Arial"/>
        </w:rPr>
        <w:t xml:space="preserve">by the body corporate but </w:t>
      </w:r>
      <w:r w:rsidR="00F224E1" w:rsidRPr="00B76F09">
        <w:rPr>
          <w:rFonts w:ascii="Arial" w:hAnsi="Arial" w:cs="Arial"/>
        </w:rPr>
        <w:t xml:space="preserve">their introduction </w:t>
      </w:r>
      <w:r w:rsidR="00A32A4D" w:rsidRPr="00B76F09">
        <w:rPr>
          <w:rFonts w:ascii="Arial" w:hAnsi="Arial" w:cs="Arial"/>
        </w:rPr>
        <w:t xml:space="preserve">was the </w:t>
      </w:r>
      <w:r w:rsidR="00BB3051" w:rsidRPr="00B76F09">
        <w:rPr>
          <w:rFonts w:ascii="Arial" w:hAnsi="Arial" w:cs="Arial"/>
        </w:rPr>
        <w:t xml:space="preserve">work of the developer. </w:t>
      </w:r>
      <w:r w:rsidR="0028248B" w:rsidRPr="00B76F09">
        <w:rPr>
          <w:rFonts w:ascii="Arial" w:hAnsi="Arial" w:cs="Arial"/>
        </w:rPr>
        <w:t xml:space="preserve">Whether the owners of residential sections agreed or did not agree to the special rules is accordingly irrelevant. </w:t>
      </w:r>
      <w:r w:rsidR="00BB3051" w:rsidRPr="00B76F09">
        <w:rPr>
          <w:rFonts w:ascii="Arial" w:hAnsi="Arial" w:cs="Arial"/>
        </w:rPr>
        <w:t>This point</w:t>
      </w:r>
      <w:r w:rsidR="0028248B" w:rsidRPr="00B76F09">
        <w:rPr>
          <w:rFonts w:ascii="Arial" w:hAnsi="Arial" w:cs="Arial"/>
        </w:rPr>
        <w:t xml:space="preserve"> hold</w:t>
      </w:r>
      <w:r w:rsidR="00E846D3">
        <w:rPr>
          <w:rFonts w:ascii="Arial" w:hAnsi="Arial" w:cs="Arial"/>
        </w:rPr>
        <w:t>s</w:t>
      </w:r>
      <w:r w:rsidR="0028248B" w:rsidRPr="00B76F09">
        <w:rPr>
          <w:rFonts w:ascii="Arial" w:hAnsi="Arial" w:cs="Arial"/>
        </w:rPr>
        <w:t xml:space="preserve"> no merit.</w:t>
      </w:r>
    </w:p>
    <w:p w14:paraId="03E4AF03" w14:textId="77777777" w:rsidR="00187026" w:rsidRPr="00B76F09" w:rsidRDefault="00187026" w:rsidP="00187026">
      <w:pPr>
        <w:pStyle w:val="ListParagraph"/>
        <w:tabs>
          <w:tab w:val="left" w:pos="709"/>
        </w:tabs>
        <w:spacing w:line="360" w:lineRule="auto"/>
        <w:ind w:left="0"/>
        <w:jc w:val="both"/>
        <w:rPr>
          <w:rFonts w:ascii="Arial" w:hAnsi="Arial" w:cs="Arial"/>
        </w:rPr>
      </w:pPr>
    </w:p>
    <w:p w14:paraId="60E0D558" w14:textId="2B1BD7F0" w:rsidR="00A32A4D" w:rsidRPr="00F32D8A" w:rsidRDefault="00F32D8A" w:rsidP="00F32D8A">
      <w:pPr>
        <w:tabs>
          <w:tab w:val="left" w:pos="709"/>
        </w:tabs>
        <w:spacing w:line="360" w:lineRule="auto"/>
        <w:jc w:val="both"/>
        <w:rPr>
          <w:rFonts w:asciiTheme="minorBidi" w:hAnsiTheme="minorBidi" w:cstheme="minorBidi"/>
          <w:color w:val="000000" w:themeColor="text1"/>
        </w:rPr>
      </w:pPr>
      <w:r w:rsidRPr="00B76F09">
        <w:rPr>
          <w:rFonts w:ascii="Arial" w:hAnsi="Arial" w:cstheme="minorBidi"/>
          <w:color w:val="000000" w:themeColor="text1"/>
        </w:rPr>
        <w:t>[35]</w:t>
      </w:r>
      <w:r w:rsidRPr="00B76F09">
        <w:rPr>
          <w:rFonts w:ascii="Arial" w:hAnsi="Arial" w:cstheme="minorBidi"/>
          <w:color w:val="000000" w:themeColor="text1"/>
        </w:rPr>
        <w:tab/>
      </w:r>
      <w:r w:rsidR="00A32A4D" w:rsidRPr="00F32D8A">
        <w:rPr>
          <w:rFonts w:asciiTheme="minorBidi" w:hAnsiTheme="minorBidi" w:cstheme="minorBidi"/>
          <w:color w:val="000000" w:themeColor="text1"/>
        </w:rPr>
        <w:t xml:space="preserve">The </w:t>
      </w:r>
      <w:r w:rsidR="00F224E1" w:rsidRPr="00F32D8A">
        <w:rPr>
          <w:rFonts w:asciiTheme="minorBidi" w:hAnsiTheme="minorBidi" w:cstheme="minorBidi"/>
          <w:color w:val="000000" w:themeColor="text1"/>
        </w:rPr>
        <w:t xml:space="preserve">appellant </w:t>
      </w:r>
      <w:r w:rsidR="00341521" w:rsidRPr="00F32D8A">
        <w:rPr>
          <w:rFonts w:asciiTheme="minorBidi" w:hAnsiTheme="minorBidi" w:cstheme="minorBidi"/>
          <w:color w:val="000000" w:themeColor="text1"/>
        </w:rPr>
        <w:t xml:space="preserve">claims </w:t>
      </w:r>
      <w:r w:rsidR="007F1E28" w:rsidRPr="00F32D8A">
        <w:rPr>
          <w:rFonts w:asciiTheme="minorBidi" w:hAnsiTheme="minorBidi" w:cstheme="minorBidi"/>
          <w:color w:val="000000" w:themeColor="text1"/>
        </w:rPr>
        <w:t xml:space="preserve">further </w:t>
      </w:r>
      <w:r w:rsidR="00341521" w:rsidRPr="00F32D8A">
        <w:rPr>
          <w:rFonts w:asciiTheme="minorBidi" w:hAnsiTheme="minorBidi" w:cstheme="minorBidi"/>
          <w:color w:val="000000" w:themeColor="text1"/>
        </w:rPr>
        <w:t xml:space="preserve">that </w:t>
      </w:r>
      <w:r w:rsidR="00A32A4D" w:rsidRPr="00F32D8A">
        <w:rPr>
          <w:rFonts w:asciiTheme="minorBidi" w:hAnsiTheme="minorBidi" w:cstheme="minorBidi"/>
          <w:color w:val="000000" w:themeColor="text1"/>
        </w:rPr>
        <w:t>the special rules are inconsistent with section 10(3) of the S</w:t>
      </w:r>
      <w:r w:rsidR="009D1C23" w:rsidRPr="00F32D8A">
        <w:rPr>
          <w:rFonts w:asciiTheme="minorBidi" w:hAnsiTheme="minorBidi" w:cstheme="minorBidi"/>
          <w:color w:val="000000" w:themeColor="text1"/>
        </w:rPr>
        <w:t>TSM</w:t>
      </w:r>
      <w:r w:rsidR="00446FAA" w:rsidRPr="00F32D8A">
        <w:rPr>
          <w:rFonts w:asciiTheme="minorBidi" w:hAnsiTheme="minorBidi" w:cstheme="minorBidi"/>
          <w:color w:val="000000" w:themeColor="text1"/>
        </w:rPr>
        <w:t xml:space="preserve"> </w:t>
      </w:r>
      <w:r w:rsidR="009D1C23" w:rsidRPr="00F32D8A">
        <w:rPr>
          <w:rFonts w:asciiTheme="minorBidi" w:hAnsiTheme="minorBidi" w:cstheme="minorBidi"/>
          <w:color w:val="000000" w:themeColor="text1"/>
        </w:rPr>
        <w:t>A</w:t>
      </w:r>
      <w:r w:rsidR="00446FAA" w:rsidRPr="00F32D8A">
        <w:rPr>
          <w:rFonts w:asciiTheme="minorBidi" w:hAnsiTheme="minorBidi" w:cstheme="minorBidi"/>
          <w:color w:val="000000" w:themeColor="text1"/>
        </w:rPr>
        <w:t>ct</w:t>
      </w:r>
      <w:r w:rsidR="009D1C23" w:rsidRPr="00F32D8A">
        <w:rPr>
          <w:rFonts w:asciiTheme="minorBidi" w:hAnsiTheme="minorBidi" w:cstheme="minorBidi"/>
          <w:color w:val="000000" w:themeColor="text1"/>
        </w:rPr>
        <w:t xml:space="preserve"> </w:t>
      </w:r>
      <w:r w:rsidR="00A32A4D" w:rsidRPr="00F32D8A">
        <w:rPr>
          <w:rFonts w:asciiTheme="minorBidi" w:hAnsiTheme="minorBidi" w:cstheme="minorBidi"/>
          <w:color w:val="000000" w:themeColor="text1"/>
        </w:rPr>
        <w:t>and are therefore invalid and because of that fact, they lapsed</w:t>
      </w:r>
      <w:r w:rsidR="009D1C23" w:rsidRPr="00F32D8A">
        <w:rPr>
          <w:rFonts w:asciiTheme="minorBidi" w:hAnsiTheme="minorBidi" w:cstheme="minorBidi"/>
          <w:color w:val="000000" w:themeColor="text1"/>
        </w:rPr>
        <w:t>.</w:t>
      </w:r>
      <w:r w:rsidR="009F6586" w:rsidRPr="00F32D8A">
        <w:rPr>
          <w:rFonts w:asciiTheme="minorBidi" w:hAnsiTheme="minorBidi" w:cstheme="minorBidi"/>
          <w:color w:val="000000" w:themeColor="text1"/>
        </w:rPr>
        <w:t xml:space="preserve"> Section 10(3) reads as follows:</w:t>
      </w:r>
    </w:p>
    <w:p w14:paraId="7C87718E" w14:textId="34952B73" w:rsidR="006F7BF2" w:rsidRPr="00B76F09" w:rsidRDefault="006F7BF2" w:rsidP="00237568">
      <w:pPr>
        <w:pStyle w:val="NormalWeb"/>
        <w:spacing w:before="0" w:beforeAutospacing="0" w:after="0" w:afterAutospacing="0" w:line="360" w:lineRule="auto"/>
        <w:jc w:val="both"/>
        <w:rPr>
          <w:rFonts w:asciiTheme="minorBidi" w:hAnsiTheme="minorBidi" w:cstheme="minorBidi"/>
          <w:color w:val="000000" w:themeColor="text1"/>
          <w:sz w:val="22"/>
          <w:szCs w:val="22"/>
        </w:rPr>
      </w:pPr>
      <w:r w:rsidRPr="00B76F09">
        <w:rPr>
          <w:rFonts w:asciiTheme="minorBidi" w:hAnsiTheme="minorBidi" w:cstheme="minorBidi"/>
          <w:color w:val="000000" w:themeColor="text1"/>
          <w:sz w:val="22"/>
          <w:szCs w:val="22"/>
        </w:rPr>
        <w:t>‘</w:t>
      </w:r>
      <w:r w:rsidR="00D80A93" w:rsidRPr="00B76F09">
        <w:rPr>
          <w:rFonts w:asciiTheme="minorBidi" w:hAnsiTheme="minorBidi" w:cstheme="minorBidi"/>
          <w:color w:val="000000" w:themeColor="text1"/>
          <w:sz w:val="22"/>
          <w:szCs w:val="22"/>
        </w:rPr>
        <w:t>The management or conduct rules contemplated in subsection (2) must be reasonable and apply equally to all owners of units</w:t>
      </w:r>
      <w:r w:rsidRPr="00B76F09">
        <w:rPr>
          <w:rFonts w:asciiTheme="minorBidi" w:hAnsiTheme="minorBidi" w:cstheme="minorBidi"/>
          <w:color w:val="000000" w:themeColor="text1"/>
          <w:sz w:val="22"/>
          <w:szCs w:val="22"/>
        </w:rPr>
        <w:t>.</w:t>
      </w:r>
      <w:r w:rsidR="00237568" w:rsidRPr="00B76F09">
        <w:rPr>
          <w:rFonts w:asciiTheme="minorBidi" w:hAnsiTheme="minorBidi" w:cstheme="minorBidi"/>
          <w:color w:val="000000" w:themeColor="text1"/>
          <w:sz w:val="22"/>
          <w:szCs w:val="22"/>
        </w:rPr>
        <w:t>’</w:t>
      </w:r>
      <w:r w:rsidRPr="00B76F09">
        <w:rPr>
          <w:rFonts w:asciiTheme="minorBidi" w:hAnsiTheme="minorBidi" w:cstheme="minorBidi"/>
          <w:color w:val="000000" w:themeColor="text1"/>
          <w:sz w:val="22"/>
          <w:szCs w:val="22"/>
        </w:rPr>
        <w:t xml:space="preserve"> </w:t>
      </w:r>
    </w:p>
    <w:p w14:paraId="429D401B" w14:textId="70CF9982" w:rsidR="00464D8E" w:rsidRPr="00B76F09" w:rsidRDefault="00CC4926" w:rsidP="00237568">
      <w:pPr>
        <w:spacing w:line="360" w:lineRule="auto"/>
        <w:jc w:val="both"/>
        <w:rPr>
          <w:rFonts w:asciiTheme="minorBidi" w:hAnsiTheme="minorBidi" w:cstheme="minorBidi"/>
          <w:color w:val="000000" w:themeColor="text1"/>
          <w:shd w:val="clear" w:color="auto" w:fill="FFFFFF"/>
        </w:rPr>
      </w:pPr>
      <w:r w:rsidRPr="00B76F09">
        <w:rPr>
          <w:rFonts w:asciiTheme="minorBidi" w:hAnsiTheme="minorBidi" w:cstheme="minorBidi"/>
          <w:color w:val="000000" w:themeColor="text1"/>
        </w:rPr>
        <w:t xml:space="preserve">Implicit in this point raised by the appellant is that </w:t>
      </w:r>
      <w:r w:rsidR="00FA7E9D" w:rsidRPr="00B76F09">
        <w:rPr>
          <w:rFonts w:asciiTheme="minorBidi" w:hAnsiTheme="minorBidi" w:cstheme="minorBidi"/>
          <w:color w:val="000000" w:themeColor="text1"/>
        </w:rPr>
        <w:t>the special rules are unreasonable and that they do not apply equally to all owners.</w:t>
      </w:r>
      <w:r w:rsidR="00196966" w:rsidRPr="00B76F09">
        <w:rPr>
          <w:rFonts w:asciiTheme="minorBidi" w:hAnsiTheme="minorBidi" w:cstheme="minorBidi"/>
          <w:color w:val="000000" w:themeColor="text1"/>
        </w:rPr>
        <w:t xml:space="preserve"> </w:t>
      </w:r>
      <w:r w:rsidR="00237568" w:rsidRPr="00B76F09">
        <w:rPr>
          <w:rFonts w:asciiTheme="minorBidi" w:hAnsiTheme="minorBidi" w:cstheme="minorBidi"/>
          <w:color w:val="000000" w:themeColor="text1"/>
        </w:rPr>
        <w:t>I</w:t>
      </w:r>
      <w:r w:rsidR="00E20D85" w:rsidRPr="00B76F09">
        <w:rPr>
          <w:rFonts w:asciiTheme="minorBidi" w:hAnsiTheme="minorBidi" w:cstheme="minorBidi"/>
          <w:color w:val="000000" w:themeColor="text1"/>
        </w:rPr>
        <w:t xml:space="preserve"> have already </w:t>
      </w:r>
      <w:r w:rsidR="00341521" w:rsidRPr="00B76F09">
        <w:rPr>
          <w:rFonts w:asciiTheme="minorBidi" w:hAnsiTheme="minorBidi" w:cstheme="minorBidi"/>
          <w:color w:val="000000" w:themeColor="text1"/>
        </w:rPr>
        <w:t>dealt with the alleged unreasonable</w:t>
      </w:r>
      <w:r w:rsidR="007475B7" w:rsidRPr="00B76F09">
        <w:rPr>
          <w:rFonts w:asciiTheme="minorBidi" w:hAnsiTheme="minorBidi" w:cstheme="minorBidi"/>
          <w:color w:val="000000" w:themeColor="text1"/>
        </w:rPr>
        <w:t>ness of the special rules.</w:t>
      </w:r>
      <w:r w:rsidR="000519B4" w:rsidRPr="00B76F09">
        <w:rPr>
          <w:rFonts w:asciiTheme="minorBidi" w:hAnsiTheme="minorBidi" w:cstheme="minorBidi"/>
          <w:color w:val="000000" w:themeColor="text1"/>
        </w:rPr>
        <w:t xml:space="preserve"> </w:t>
      </w:r>
      <w:r w:rsidR="008B1970" w:rsidRPr="00B76F09">
        <w:rPr>
          <w:rFonts w:asciiTheme="minorBidi" w:hAnsiTheme="minorBidi" w:cstheme="minorBidi"/>
          <w:color w:val="000000" w:themeColor="text1"/>
        </w:rPr>
        <w:t>I</w:t>
      </w:r>
      <w:r w:rsidR="00237568" w:rsidRPr="00B76F09">
        <w:rPr>
          <w:rFonts w:asciiTheme="minorBidi" w:hAnsiTheme="minorBidi" w:cstheme="minorBidi"/>
          <w:color w:val="000000" w:themeColor="text1"/>
        </w:rPr>
        <w:t xml:space="preserve">n my view, </w:t>
      </w:r>
      <w:r w:rsidR="00B5462D" w:rsidRPr="00B76F09">
        <w:rPr>
          <w:rFonts w:asciiTheme="minorBidi" w:hAnsiTheme="minorBidi" w:cstheme="minorBidi"/>
          <w:color w:val="000000" w:themeColor="text1"/>
        </w:rPr>
        <w:t>when considering whether a rule</w:t>
      </w:r>
      <w:r w:rsidR="008B1970" w:rsidRPr="00B76F09">
        <w:rPr>
          <w:rFonts w:asciiTheme="minorBidi" w:hAnsiTheme="minorBidi" w:cstheme="minorBidi"/>
          <w:color w:val="000000" w:themeColor="text1"/>
        </w:rPr>
        <w:t xml:space="preserve"> </w:t>
      </w:r>
      <w:r w:rsidR="00B5462D" w:rsidRPr="00B76F09">
        <w:rPr>
          <w:rFonts w:asciiTheme="minorBidi" w:hAnsiTheme="minorBidi" w:cstheme="minorBidi"/>
          <w:color w:val="000000" w:themeColor="text1"/>
        </w:rPr>
        <w:t xml:space="preserve">is reasonable, regard must be had to the </w:t>
      </w:r>
      <w:r w:rsidR="00464D8E" w:rsidRPr="00B76F09">
        <w:rPr>
          <w:rFonts w:asciiTheme="minorBidi" w:hAnsiTheme="minorBidi" w:cstheme="minorBidi"/>
          <w:color w:val="000000" w:themeColor="text1"/>
          <w:shd w:val="clear" w:color="auto" w:fill="FFFFFF"/>
        </w:rPr>
        <w:t>particular circumstances of the scheme and members of the body corporate.</w:t>
      </w:r>
      <w:r w:rsidR="007475B7" w:rsidRPr="00B76F09">
        <w:rPr>
          <w:rFonts w:asciiTheme="minorBidi" w:hAnsiTheme="minorBidi" w:cstheme="minorBidi"/>
          <w:color w:val="000000" w:themeColor="text1"/>
          <w:shd w:val="clear" w:color="auto" w:fill="FFFFFF"/>
        </w:rPr>
        <w:t xml:space="preserve"> This appears to be what the appellant has failed to take into account: the second respondent is a mixed</w:t>
      </w:r>
      <w:r w:rsidR="00D80A93" w:rsidRPr="00B76F09">
        <w:rPr>
          <w:rFonts w:asciiTheme="minorBidi" w:hAnsiTheme="minorBidi" w:cstheme="minorBidi"/>
          <w:color w:val="000000" w:themeColor="text1"/>
          <w:shd w:val="clear" w:color="auto" w:fill="FFFFFF"/>
        </w:rPr>
        <w:t>-</w:t>
      </w:r>
      <w:r w:rsidR="007475B7" w:rsidRPr="00B76F09">
        <w:rPr>
          <w:rFonts w:asciiTheme="minorBidi" w:hAnsiTheme="minorBidi" w:cstheme="minorBidi"/>
          <w:color w:val="000000" w:themeColor="text1"/>
          <w:shd w:val="clear" w:color="auto" w:fill="FFFFFF"/>
        </w:rPr>
        <w:t>use scheme and not a residential only scheme.</w:t>
      </w:r>
    </w:p>
    <w:p w14:paraId="36AF599F" w14:textId="000DEC6D" w:rsidR="00CB1023" w:rsidRPr="00B76F09" w:rsidRDefault="00CB1023" w:rsidP="00237568">
      <w:pPr>
        <w:spacing w:line="360" w:lineRule="auto"/>
        <w:jc w:val="both"/>
        <w:rPr>
          <w:rFonts w:asciiTheme="minorBidi" w:hAnsiTheme="minorBidi" w:cstheme="minorBidi"/>
          <w:color w:val="000000" w:themeColor="text1"/>
          <w:shd w:val="clear" w:color="auto" w:fill="FFFFFF"/>
        </w:rPr>
      </w:pPr>
    </w:p>
    <w:p w14:paraId="18B3A7D7" w14:textId="6F8E1708" w:rsidR="00187026" w:rsidRPr="00F32D8A" w:rsidRDefault="00F32D8A" w:rsidP="00F32D8A">
      <w:pPr>
        <w:tabs>
          <w:tab w:val="left" w:pos="709"/>
        </w:tabs>
        <w:spacing w:line="360" w:lineRule="auto"/>
        <w:jc w:val="both"/>
        <w:rPr>
          <w:rFonts w:ascii="Arial" w:hAnsi="Arial" w:cs="Arial"/>
        </w:rPr>
      </w:pPr>
      <w:r w:rsidRPr="00B76F09">
        <w:rPr>
          <w:rFonts w:ascii="Arial" w:hAnsi="Arial" w:cs="Arial"/>
        </w:rPr>
        <w:t>[36]</w:t>
      </w:r>
      <w:r w:rsidRPr="00B76F09">
        <w:rPr>
          <w:rFonts w:ascii="Arial" w:hAnsi="Arial" w:cs="Arial"/>
        </w:rPr>
        <w:tab/>
      </w:r>
      <w:r w:rsidR="00293B9C" w:rsidRPr="00F32D8A">
        <w:rPr>
          <w:rFonts w:asciiTheme="minorBidi" w:hAnsiTheme="minorBidi" w:cstheme="minorBidi"/>
          <w:color w:val="000000" w:themeColor="text1"/>
        </w:rPr>
        <w:t xml:space="preserve">In </w:t>
      </w:r>
      <w:r w:rsidR="00293B9C" w:rsidRPr="00F32D8A">
        <w:rPr>
          <w:rFonts w:asciiTheme="minorBidi" w:hAnsiTheme="minorBidi" w:cstheme="minorBidi"/>
          <w:i/>
          <w:iCs/>
          <w:color w:val="000000" w:themeColor="text1"/>
        </w:rPr>
        <w:t>Wilds Home</w:t>
      </w:r>
      <w:r w:rsidR="00E846D3" w:rsidRPr="00F32D8A">
        <w:rPr>
          <w:rFonts w:asciiTheme="minorBidi" w:hAnsiTheme="minorBidi" w:cstheme="minorBidi"/>
          <w:i/>
          <w:iCs/>
          <w:color w:val="000000" w:themeColor="text1"/>
        </w:rPr>
        <w:t xml:space="preserve"> Owners </w:t>
      </w:r>
      <w:r w:rsidR="00131417" w:rsidRPr="00F32D8A">
        <w:rPr>
          <w:rFonts w:asciiTheme="minorBidi" w:hAnsiTheme="minorBidi" w:cstheme="minorBidi"/>
          <w:i/>
          <w:iCs/>
          <w:color w:val="000000" w:themeColor="text1"/>
        </w:rPr>
        <w:t>A</w:t>
      </w:r>
      <w:r w:rsidR="00293B9C" w:rsidRPr="00F32D8A">
        <w:rPr>
          <w:rFonts w:asciiTheme="minorBidi" w:hAnsiTheme="minorBidi" w:cstheme="minorBidi"/>
          <w:i/>
          <w:iCs/>
          <w:color w:val="000000" w:themeColor="text1"/>
        </w:rPr>
        <w:t>ssociation and others v Van Eeden and others</w:t>
      </w:r>
      <w:r w:rsidR="00771434" w:rsidRPr="00F32D8A">
        <w:rPr>
          <w:rFonts w:asciiTheme="minorBidi" w:hAnsiTheme="minorBidi" w:cstheme="minorBidi"/>
          <w:color w:val="000000" w:themeColor="text1"/>
        </w:rPr>
        <w:t>,</w:t>
      </w:r>
      <w:r w:rsidR="003121D9" w:rsidRPr="00B76F09">
        <w:rPr>
          <w:rStyle w:val="FootnoteReference"/>
          <w:rFonts w:asciiTheme="minorBidi" w:hAnsiTheme="minorBidi" w:cstheme="minorBidi"/>
          <w:color w:val="000000" w:themeColor="text1"/>
        </w:rPr>
        <w:footnoteReference w:id="20"/>
      </w:r>
      <w:r w:rsidR="00293B9C" w:rsidRPr="00F32D8A">
        <w:rPr>
          <w:rFonts w:asciiTheme="minorBidi" w:hAnsiTheme="minorBidi" w:cstheme="minorBidi"/>
          <w:b/>
          <w:bCs/>
          <w:color w:val="000000" w:themeColor="text1"/>
        </w:rPr>
        <w:t xml:space="preserve"> </w:t>
      </w:r>
      <w:r w:rsidR="00293B9C" w:rsidRPr="00F32D8A">
        <w:rPr>
          <w:rFonts w:asciiTheme="minorBidi" w:hAnsiTheme="minorBidi" w:cstheme="minorBidi"/>
          <w:color w:val="000000" w:themeColor="text1"/>
        </w:rPr>
        <w:t xml:space="preserve">Murphy J </w:t>
      </w:r>
      <w:r w:rsidR="00771434" w:rsidRPr="00F32D8A">
        <w:rPr>
          <w:rFonts w:asciiTheme="minorBidi" w:hAnsiTheme="minorBidi" w:cstheme="minorBidi"/>
          <w:color w:val="000000" w:themeColor="text1"/>
        </w:rPr>
        <w:t>cautioned</w:t>
      </w:r>
      <w:r w:rsidR="00CB1023" w:rsidRPr="00F32D8A">
        <w:rPr>
          <w:rFonts w:asciiTheme="minorBidi" w:hAnsiTheme="minorBidi" w:cstheme="minorBidi"/>
          <w:color w:val="000000" w:themeColor="text1"/>
        </w:rPr>
        <w:t>, when dealing with demands made of a court to ame</w:t>
      </w:r>
      <w:r w:rsidR="00F04A92" w:rsidRPr="00F32D8A">
        <w:rPr>
          <w:rFonts w:asciiTheme="minorBidi" w:hAnsiTheme="minorBidi" w:cstheme="minorBidi"/>
          <w:color w:val="000000" w:themeColor="text1"/>
        </w:rPr>
        <w:t>n</w:t>
      </w:r>
      <w:r w:rsidR="00CB1023" w:rsidRPr="00F32D8A">
        <w:rPr>
          <w:rFonts w:asciiTheme="minorBidi" w:hAnsiTheme="minorBidi" w:cstheme="minorBidi"/>
          <w:color w:val="000000" w:themeColor="text1"/>
        </w:rPr>
        <w:t xml:space="preserve">d the articles </w:t>
      </w:r>
    </w:p>
    <w:p w14:paraId="39D1FEDE" w14:textId="62A2C02F" w:rsidR="00763CEB" w:rsidRPr="00B76F09" w:rsidRDefault="00CB1023" w:rsidP="00BE21CC">
      <w:pPr>
        <w:pStyle w:val="ListParagraph"/>
        <w:tabs>
          <w:tab w:val="left" w:pos="709"/>
        </w:tabs>
        <w:spacing w:line="360" w:lineRule="auto"/>
        <w:ind w:left="0"/>
        <w:jc w:val="both"/>
        <w:rPr>
          <w:rFonts w:ascii="Arial" w:hAnsi="Arial" w:cs="Arial"/>
        </w:rPr>
      </w:pPr>
      <w:r w:rsidRPr="00B76F09">
        <w:rPr>
          <w:rFonts w:asciiTheme="minorBidi" w:hAnsiTheme="minorBidi" w:cstheme="minorBidi"/>
          <w:color w:val="000000" w:themeColor="text1"/>
        </w:rPr>
        <w:lastRenderedPageBreak/>
        <w:t>of association of a company,</w:t>
      </w:r>
      <w:r w:rsidR="00771434" w:rsidRPr="00B76F09">
        <w:rPr>
          <w:rFonts w:asciiTheme="minorBidi" w:hAnsiTheme="minorBidi" w:cstheme="minorBidi"/>
          <w:color w:val="000000" w:themeColor="text1"/>
        </w:rPr>
        <w:t xml:space="preserve"> that </w:t>
      </w:r>
      <w:r w:rsidR="00F04A92" w:rsidRPr="00B76F09">
        <w:rPr>
          <w:rFonts w:asciiTheme="minorBidi" w:hAnsiTheme="minorBidi" w:cstheme="minorBidi"/>
          <w:color w:val="000000" w:themeColor="text1"/>
        </w:rPr>
        <w:t xml:space="preserve">this should only be </w:t>
      </w:r>
      <w:r w:rsidR="00763CEB" w:rsidRPr="00B76F09">
        <w:rPr>
          <w:rFonts w:asciiTheme="minorBidi" w:hAnsiTheme="minorBidi" w:cstheme="minorBidi"/>
          <w:color w:val="000000" w:themeColor="text1"/>
        </w:rPr>
        <w:t>acceded to:</w:t>
      </w:r>
    </w:p>
    <w:p w14:paraId="10C8C222" w14:textId="04882291" w:rsidR="00293B9C" w:rsidRPr="00B76F09" w:rsidRDefault="0062153A" w:rsidP="005E7A2F">
      <w:pPr>
        <w:pStyle w:val="ListParagraph"/>
        <w:tabs>
          <w:tab w:val="left" w:pos="709"/>
        </w:tabs>
        <w:spacing w:line="360" w:lineRule="auto"/>
        <w:ind w:left="0"/>
        <w:jc w:val="both"/>
        <w:rPr>
          <w:rFonts w:asciiTheme="minorBidi" w:hAnsiTheme="minorBidi" w:cstheme="minorBidi"/>
          <w:color w:val="000000" w:themeColor="text1"/>
        </w:rPr>
      </w:pPr>
      <w:r w:rsidRPr="00B76F09">
        <w:rPr>
          <w:rFonts w:ascii="Arial" w:hAnsi="Arial" w:cs="Arial"/>
          <w:color w:val="242121"/>
          <w:sz w:val="22"/>
          <w:szCs w:val="22"/>
          <w:shd w:val="clear" w:color="auto" w:fill="FFFFFF"/>
        </w:rPr>
        <w:t>‘…</w:t>
      </w:r>
      <w:r w:rsidR="00763CEB" w:rsidRPr="00B76F09">
        <w:rPr>
          <w:rFonts w:ascii="Arial" w:hAnsi="Arial" w:cs="Arial"/>
          <w:color w:val="242121"/>
          <w:sz w:val="22"/>
          <w:szCs w:val="22"/>
          <w:shd w:val="clear" w:color="auto" w:fill="FFFFFF"/>
        </w:rPr>
        <w:t xml:space="preserve"> </w:t>
      </w:r>
      <w:r w:rsidR="00E66CCD" w:rsidRPr="00B76F09">
        <w:rPr>
          <w:rFonts w:ascii="Arial" w:hAnsi="Arial" w:cs="Arial"/>
          <w:color w:val="242121"/>
          <w:sz w:val="22"/>
          <w:szCs w:val="22"/>
          <w:shd w:val="clear" w:color="auto" w:fill="FFFFFF"/>
        </w:rPr>
        <w:t>as a last resort. The articles are the contract bringing about the association and the basis for the members doing future business together. By becoming a shareholder in a company a person agrees to be bound by the decisions taken in accordance with the provisions and prescriptions of the articles. A court accordingly should hesitate to re-write the bargain struck by the members with each other, especially where the impetus to do so is at the instance of a minority of the members (albeit a substantial minority, in this case about 30%) who think the terms of the agreement are unfair or no longer serve their interests. The Act requires that the articles be changed by a special resolution, which means 75 percent of the votes at a general meeting with a quorum of 25 percent of total membership. A court ordinarily should pause before overriding those prescriptions, unless there are illegitimate or unfair impediments rendering the achievement of a special resolution impracticable; and even then it should intervene only to the extent necessary to remove the impediment</w:t>
      </w:r>
      <w:r w:rsidR="00CB1023" w:rsidRPr="00B76F09">
        <w:rPr>
          <w:rFonts w:ascii="Arial" w:hAnsi="Arial" w:cs="Arial"/>
          <w:color w:val="242121"/>
          <w:sz w:val="22"/>
          <w:szCs w:val="22"/>
          <w:shd w:val="clear" w:color="auto" w:fill="FFFFFF"/>
        </w:rPr>
        <w:t>.</w:t>
      </w:r>
      <w:r w:rsidR="00E66CCD" w:rsidRPr="00B76F09">
        <w:rPr>
          <w:rFonts w:ascii="Arial" w:hAnsi="Arial" w:cs="Arial"/>
          <w:color w:val="242121"/>
          <w:sz w:val="22"/>
          <w:szCs w:val="22"/>
          <w:shd w:val="clear" w:color="auto" w:fill="FFFFFF"/>
        </w:rPr>
        <w:t>’</w:t>
      </w:r>
      <w:r w:rsidR="00E1284D" w:rsidRPr="00B76F09">
        <w:rPr>
          <w:rStyle w:val="FootnoteReference"/>
          <w:rFonts w:asciiTheme="minorBidi" w:hAnsiTheme="minorBidi" w:cstheme="minorBidi"/>
          <w:color w:val="000000" w:themeColor="text1"/>
        </w:rPr>
        <w:footnoteReference w:id="21"/>
      </w:r>
    </w:p>
    <w:p w14:paraId="296207A9" w14:textId="39E6B461" w:rsidR="00FA7E9D" w:rsidRPr="00B76F09" w:rsidRDefault="005E7A2F" w:rsidP="00FA7E9D">
      <w:pPr>
        <w:pStyle w:val="ListParagraph"/>
        <w:tabs>
          <w:tab w:val="left" w:pos="709"/>
        </w:tabs>
        <w:spacing w:line="360" w:lineRule="auto"/>
        <w:ind w:left="0"/>
        <w:jc w:val="both"/>
        <w:rPr>
          <w:rFonts w:ascii="Arial" w:hAnsi="Arial" w:cs="Arial"/>
        </w:rPr>
      </w:pPr>
      <w:r w:rsidRPr="00B76F09">
        <w:rPr>
          <w:rFonts w:ascii="Arial" w:hAnsi="Arial" w:cs="Arial"/>
        </w:rPr>
        <w:t xml:space="preserve">I can see no reason why these words should not apply </w:t>
      </w:r>
      <w:r w:rsidR="00187026" w:rsidRPr="00B76F09">
        <w:rPr>
          <w:rFonts w:ascii="Arial" w:hAnsi="Arial" w:cs="Arial"/>
        </w:rPr>
        <w:t>to the amendment of rules within a body corporate.</w:t>
      </w:r>
    </w:p>
    <w:p w14:paraId="399F8B84" w14:textId="771AB5F7" w:rsidR="00196966" w:rsidRPr="00B76F09" w:rsidRDefault="00196966" w:rsidP="00FA7E9D">
      <w:pPr>
        <w:pStyle w:val="ListParagraph"/>
        <w:tabs>
          <w:tab w:val="left" w:pos="709"/>
        </w:tabs>
        <w:spacing w:line="360" w:lineRule="auto"/>
        <w:ind w:left="0"/>
        <w:jc w:val="both"/>
        <w:rPr>
          <w:rFonts w:ascii="Arial" w:hAnsi="Arial" w:cs="Arial"/>
        </w:rPr>
      </w:pPr>
    </w:p>
    <w:p w14:paraId="6EB48728" w14:textId="5490C1F0" w:rsidR="0089591B" w:rsidRPr="00F32D8A" w:rsidRDefault="00F32D8A" w:rsidP="00F32D8A">
      <w:pPr>
        <w:tabs>
          <w:tab w:val="left" w:pos="709"/>
        </w:tabs>
        <w:spacing w:line="360" w:lineRule="auto"/>
        <w:jc w:val="both"/>
        <w:rPr>
          <w:rFonts w:ascii="Arial" w:hAnsi="Arial" w:cs="Arial"/>
        </w:rPr>
      </w:pPr>
      <w:r w:rsidRPr="00B76F09">
        <w:rPr>
          <w:rFonts w:ascii="Arial" w:hAnsi="Arial" w:cs="Arial"/>
        </w:rPr>
        <w:t>[37]</w:t>
      </w:r>
      <w:r w:rsidRPr="00B76F09">
        <w:rPr>
          <w:rFonts w:ascii="Arial" w:hAnsi="Arial" w:cs="Arial"/>
        </w:rPr>
        <w:tab/>
      </w:r>
      <w:r w:rsidR="00942CF7" w:rsidRPr="00F32D8A">
        <w:rPr>
          <w:rFonts w:ascii="Arial" w:hAnsi="Arial" w:cs="Arial"/>
        </w:rPr>
        <w:t xml:space="preserve">Ms Nicholson submitted that </w:t>
      </w:r>
      <w:r w:rsidR="003E4FF6" w:rsidRPr="00F32D8A">
        <w:rPr>
          <w:rFonts w:ascii="Arial" w:hAnsi="Arial" w:cs="Arial"/>
        </w:rPr>
        <w:t>the special rules are not required to treat all members of the body corporate equally.</w:t>
      </w:r>
      <w:r w:rsidR="00295398" w:rsidRPr="00F32D8A">
        <w:rPr>
          <w:rFonts w:ascii="Arial" w:hAnsi="Arial" w:cs="Arial"/>
        </w:rPr>
        <w:t xml:space="preserve"> What was intended</w:t>
      </w:r>
      <w:r w:rsidR="00925671" w:rsidRPr="00F32D8A">
        <w:rPr>
          <w:rFonts w:ascii="Arial" w:hAnsi="Arial" w:cs="Arial"/>
        </w:rPr>
        <w:t>, so she argued,</w:t>
      </w:r>
      <w:r w:rsidR="00295398" w:rsidRPr="00F32D8A">
        <w:rPr>
          <w:rFonts w:ascii="Arial" w:hAnsi="Arial" w:cs="Arial"/>
        </w:rPr>
        <w:t xml:space="preserve"> was that the rules apply to eve</w:t>
      </w:r>
      <w:r w:rsidR="00166EF6" w:rsidRPr="00F32D8A">
        <w:rPr>
          <w:rFonts w:ascii="Arial" w:hAnsi="Arial" w:cs="Arial"/>
        </w:rPr>
        <w:t xml:space="preserve">ry </w:t>
      </w:r>
      <w:r w:rsidR="00295398" w:rsidRPr="00F32D8A">
        <w:rPr>
          <w:rFonts w:ascii="Arial" w:hAnsi="Arial" w:cs="Arial"/>
        </w:rPr>
        <w:t xml:space="preserve">member of the body corporate equally as opposed to them applying only to some members and not to </w:t>
      </w:r>
      <w:r w:rsidR="00166EF6" w:rsidRPr="00F32D8A">
        <w:rPr>
          <w:rFonts w:ascii="Arial" w:hAnsi="Arial" w:cs="Arial"/>
        </w:rPr>
        <w:t>others.</w:t>
      </w:r>
      <w:r w:rsidR="004C2DB8" w:rsidRPr="00F32D8A">
        <w:rPr>
          <w:rFonts w:ascii="Arial" w:hAnsi="Arial" w:cs="Arial"/>
        </w:rPr>
        <w:t xml:space="preserve"> I</w:t>
      </w:r>
      <w:r w:rsidR="00925671" w:rsidRPr="00F32D8A">
        <w:rPr>
          <w:rFonts w:ascii="Arial" w:hAnsi="Arial" w:cs="Arial"/>
        </w:rPr>
        <w:t xml:space="preserve"> agree with that but it appears to me that</w:t>
      </w:r>
      <w:r w:rsidR="004C2DB8" w:rsidRPr="00F32D8A">
        <w:rPr>
          <w:rFonts w:ascii="Arial" w:hAnsi="Arial" w:cs="Arial"/>
        </w:rPr>
        <w:t xml:space="preserve">, on a practical level, </w:t>
      </w:r>
      <w:r w:rsidR="006C3679" w:rsidRPr="00F32D8A">
        <w:rPr>
          <w:rFonts w:ascii="Arial" w:hAnsi="Arial" w:cs="Arial"/>
        </w:rPr>
        <w:t>n</w:t>
      </w:r>
      <w:r w:rsidR="00196966" w:rsidRPr="00F32D8A">
        <w:rPr>
          <w:rFonts w:ascii="Arial" w:hAnsi="Arial" w:cs="Arial"/>
        </w:rPr>
        <w:t xml:space="preserve">ot </w:t>
      </w:r>
      <w:r w:rsidR="004C2DB8" w:rsidRPr="00F32D8A">
        <w:rPr>
          <w:rFonts w:ascii="Arial" w:hAnsi="Arial" w:cs="Arial"/>
        </w:rPr>
        <w:t>every rule</w:t>
      </w:r>
      <w:r w:rsidR="008F347C" w:rsidRPr="00F32D8A">
        <w:rPr>
          <w:rFonts w:ascii="Arial" w:hAnsi="Arial" w:cs="Arial"/>
        </w:rPr>
        <w:t xml:space="preserve"> </w:t>
      </w:r>
      <w:r w:rsidR="00925671" w:rsidRPr="00F32D8A">
        <w:rPr>
          <w:rFonts w:ascii="Arial" w:hAnsi="Arial" w:cs="Arial"/>
        </w:rPr>
        <w:t xml:space="preserve">can </w:t>
      </w:r>
      <w:r w:rsidR="004C2DB8" w:rsidRPr="00F32D8A">
        <w:rPr>
          <w:rFonts w:ascii="Arial" w:hAnsi="Arial" w:cs="Arial"/>
        </w:rPr>
        <w:t>appl</w:t>
      </w:r>
      <w:r w:rsidR="00925671" w:rsidRPr="00F32D8A">
        <w:rPr>
          <w:rFonts w:ascii="Arial" w:hAnsi="Arial" w:cs="Arial"/>
        </w:rPr>
        <w:t>y</w:t>
      </w:r>
      <w:r w:rsidR="004C2DB8" w:rsidRPr="00F32D8A">
        <w:rPr>
          <w:rFonts w:ascii="Arial" w:hAnsi="Arial" w:cs="Arial"/>
        </w:rPr>
        <w:t xml:space="preserve"> to all members.</w:t>
      </w:r>
      <w:r w:rsidR="00925671" w:rsidRPr="00F32D8A">
        <w:rPr>
          <w:rFonts w:ascii="Arial" w:hAnsi="Arial" w:cs="Arial"/>
        </w:rPr>
        <w:t xml:space="preserve"> For example, t</w:t>
      </w:r>
      <w:r w:rsidR="00196966" w:rsidRPr="00F32D8A">
        <w:rPr>
          <w:rFonts w:ascii="Arial" w:hAnsi="Arial" w:cs="Arial"/>
        </w:rPr>
        <w:t xml:space="preserve">here may be a rule in place that deals with the management of gardens </w:t>
      </w:r>
      <w:r w:rsidR="00576226" w:rsidRPr="00F32D8A">
        <w:rPr>
          <w:rFonts w:ascii="Arial" w:hAnsi="Arial" w:cs="Arial"/>
        </w:rPr>
        <w:t>by those owners who have ground floor sections. Th</w:t>
      </w:r>
      <w:r w:rsidR="006C3679" w:rsidRPr="00F32D8A">
        <w:rPr>
          <w:rFonts w:ascii="Arial" w:hAnsi="Arial" w:cs="Arial"/>
        </w:rPr>
        <w:t>os</w:t>
      </w:r>
      <w:r w:rsidR="00576226" w:rsidRPr="00F32D8A">
        <w:rPr>
          <w:rFonts w:ascii="Arial" w:hAnsi="Arial" w:cs="Arial"/>
        </w:rPr>
        <w:t>e</w:t>
      </w:r>
      <w:r w:rsidR="006C3679" w:rsidRPr="00F32D8A">
        <w:rPr>
          <w:rFonts w:ascii="Arial" w:hAnsi="Arial" w:cs="Arial"/>
        </w:rPr>
        <w:t xml:space="preserve"> rules</w:t>
      </w:r>
      <w:r w:rsidR="00576226" w:rsidRPr="00F32D8A">
        <w:rPr>
          <w:rFonts w:ascii="Arial" w:hAnsi="Arial" w:cs="Arial"/>
        </w:rPr>
        <w:t xml:space="preserve"> cannot apply to owners who may reside on the second and higher floors. </w:t>
      </w:r>
      <w:r w:rsidR="00E813F7" w:rsidRPr="00F32D8A">
        <w:rPr>
          <w:rFonts w:ascii="Arial" w:hAnsi="Arial" w:cs="Arial"/>
        </w:rPr>
        <w:t xml:space="preserve">The rules may thus treat ground floor owners differently. </w:t>
      </w:r>
    </w:p>
    <w:p w14:paraId="072C4984" w14:textId="77777777" w:rsidR="004B1EA8" w:rsidRPr="00B76F09" w:rsidRDefault="004B1EA8" w:rsidP="004B1EA8">
      <w:pPr>
        <w:pStyle w:val="ListParagraph"/>
        <w:tabs>
          <w:tab w:val="left" w:pos="709"/>
        </w:tabs>
        <w:spacing w:line="360" w:lineRule="auto"/>
        <w:ind w:left="0"/>
        <w:jc w:val="both"/>
        <w:rPr>
          <w:rFonts w:ascii="Arial" w:hAnsi="Arial" w:cs="Arial"/>
        </w:rPr>
      </w:pPr>
    </w:p>
    <w:p w14:paraId="47DA85D6" w14:textId="195A45D5" w:rsidR="00CB478A" w:rsidRPr="00F32D8A" w:rsidRDefault="00F32D8A" w:rsidP="00F32D8A">
      <w:pPr>
        <w:tabs>
          <w:tab w:val="left" w:pos="709"/>
        </w:tabs>
        <w:spacing w:line="360" w:lineRule="auto"/>
        <w:jc w:val="both"/>
        <w:rPr>
          <w:rFonts w:ascii="Arial" w:hAnsi="Arial" w:cs="Arial"/>
        </w:rPr>
      </w:pPr>
      <w:r w:rsidRPr="00B76F09">
        <w:rPr>
          <w:rFonts w:ascii="Arial" w:hAnsi="Arial" w:cs="Arial"/>
        </w:rPr>
        <w:t>[38]</w:t>
      </w:r>
      <w:r w:rsidRPr="00B76F09">
        <w:rPr>
          <w:rFonts w:ascii="Arial" w:hAnsi="Arial" w:cs="Arial"/>
        </w:rPr>
        <w:tab/>
      </w:r>
      <w:r w:rsidR="00922E79" w:rsidRPr="00F32D8A">
        <w:rPr>
          <w:rFonts w:ascii="Arial" w:hAnsi="Arial" w:cs="Arial"/>
        </w:rPr>
        <w:t>I</w:t>
      </w:r>
      <w:r w:rsidR="0068297D" w:rsidRPr="00F32D8A">
        <w:rPr>
          <w:rFonts w:ascii="Arial" w:hAnsi="Arial" w:cs="Arial"/>
        </w:rPr>
        <w:t>n the circumstances, I</w:t>
      </w:r>
      <w:r w:rsidR="00922E79" w:rsidRPr="00F32D8A">
        <w:rPr>
          <w:rFonts w:ascii="Arial" w:hAnsi="Arial" w:cs="Arial"/>
        </w:rPr>
        <w:t xml:space="preserve"> do not find the provisions of the special rules to offend against the provisions of </w:t>
      </w:r>
      <w:r w:rsidR="00CB478A" w:rsidRPr="00F32D8A">
        <w:rPr>
          <w:rFonts w:ascii="Arial" w:hAnsi="Arial" w:cs="Arial"/>
        </w:rPr>
        <w:t>section 10(3) of the STSM</w:t>
      </w:r>
      <w:r w:rsidR="0068297D" w:rsidRPr="00F32D8A">
        <w:rPr>
          <w:rFonts w:ascii="Arial" w:hAnsi="Arial" w:cs="Arial"/>
        </w:rPr>
        <w:t xml:space="preserve"> </w:t>
      </w:r>
      <w:r w:rsidR="00CB478A" w:rsidRPr="00F32D8A">
        <w:rPr>
          <w:rFonts w:ascii="Arial" w:hAnsi="Arial" w:cs="Arial"/>
        </w:rPr>
        <w:t>A</w:t>
      </w:r>
      <w:r w:rsidR="0068297D" w:rsidRPr="00F32D8A">
        <w:rPr>
          <w:rFonts w:ascii="Arial" w:hAnsi="Arial" w:cs="Arial"/>
        </w:rPr>
        <w:t>ct</w:t>
      </w:r>
      <w:r w:rsidR="00CB478A" w:rsidRPr="00F32D8A">
        <w:rPr>
          <w:rFonts w:ascii="Arial" w:hAnsi="Arial" w:cs="Arial"/>
        </w:rPr>
        <w:t xml:space="preserve">. </w:t>
      </w:r>
    </w:p>
    <w:p w14:paraId="7552B953" w14:textId="77777777" w:rsidR="0068297D" w:rsidRPr="00B76F09" w:rsidRDefault="0068297D" w:rsidP="0068297D">
      <w:pPr>
        <w:pStyle w:val="ListParagraph"/>
        <w:tabs>
          <w:tab w:val="left" w:pos="709"/>
        </w:tabs>
        <w:spacing w:line="360" w:lineRule="auto"/>
        <w:ind w:left="0"/>
        <w:jc w:val="both"/>
        <w:rPr>
          <w:rFonts w:ascii="Arial" w:hAnsi="Arial" w:cs="Arial"/>
        </w:rPr>
      </w:pPr>
    </w:p>
    <w:p w14:paraId="0D1DBB86" w14:textId="70C5DB48" w:rsidR="00922E79" w:rsidRPr="00F32D8A" w:rsidRDefault="00F32D8A" w:rsidP="00F32D8A">
      <w:pPr>
        <w:tabs>
          <w:tab w:val="left" w:pos="709"/>
        </w:tabs>
        <w:spacing w:line="360" w:lineRule="auto"/>
        <w:jc w:val="both"/>
        <w:rPr>
          <w:rFonts w:ascii="Arial" w:hAnsi="Arial" w:cs="Arial"/>
        </w:rPr>
      </w:pPr>
      <w:r w:rsidRPr="00B76F09">
        <w:rPr>
          <w:rFonts w:ascii="Arial" w:hAnsi="Arial" w:cs="Arial"/>
        </w:rPr>
        <w:t>[39]</w:t>
      </w:r>
      <w:r w:rsidRPr="00B76F09">
        <w:rPr>
          <w:rFonts w:ascii="Arial" w:hAnsi="Arial" w:cs="Arial"/>
        </w:rPr>
        <w:tab/>
      </w:r>
      <w:r w:rsidR="00922E79" w:rsidRPr="00F32D8A">
        <w:rPr>
          <w:rFonts w:ascii="Arial" w:hAnsi="Arial" w:cs="Arial"/>
        </w:rPr>
        <w:t xml:space="preserve">The final point taken by the appellant is that the special rules are unconstitutional, as they are inconsistent with section 6 of the </w:t>
      </w:r>
      <w:r w:rsidR="00144DA9" w:rsidRPr="00F32D8A">
        <w:rPr>
          <w:rFonts w:ascii="Arial" w:hAnsi="Arial" w:cs="Arial"/>
        </w:rPr>
        <w:t>Equality Act</w:t>
      </w:r>
      <w:r w:rsidR="00FD77E7" w:rsidRPr="00F32D8A">
        <w:rPr>
          <w:rFonts w:ascii="Arial" w:hAnsi="Arial" w:cs="Arial"/>
        </w:rPr>
        <w:t xml:space="preserve"> </w:t>
      </w:r>
      <w:r w:rsidR="00922E79" w:rsidRPr="00F32D8A">
        <w:rPr>
          <w:rFonts w:ascii="Arial" w:hAnsi="Arial" w:cs="Arial"/>
        </w:rPr>
        <w:t>and are inconsistent with the equality provisions of section 9(4) of the Constitution.</w:t>
      </w:r>
    </w:p>
    <w:p w14:paraId="2B6E1136" w14:textId="77777777" w:rsidR="00766A20" w:rsidRPr="00B76F09" w:rsidRDefault="00766A20" w:rsidP="004A1380">
      <w:pPr>
        <w:pStyle w:val="ListParagraph"/>
        <w:tabs>
          <w:tab w:val="left" w:pos="709"/>
        </w:tabs>
        <w:spacing w:line="360" w:lineRule="auto"/>
        <w:ind w:left="0"/>
        <w:jc w:val="both"/>
        <w:rPr>
          <w:rFonts w:asciiTheme="minorBidi" w:hAnsiTheme="minorBidi" w:cstheme="minorBidi"/>
        </w:rPr>
      </w:pPr>
    </w:p>
    <w:p w14:paraId="249A959B" w14:textId="568A6959" w:rsidR="00A3058E" w:rsidRPr="00F32D8A" w:rsidRDefault="00F32D8A" w:rsidP="00F32D8A">
      <w:pPr>
        <w:spacing w:line="360" w:lineRule="auto"/>
        <w:jc w:val="both"/>
        <w:rPr>
          <w:rFonts w:asciiTheme="minorBidi" w:hAnsiTheme="minorBidi" w:cstheme="minorBidi"/>
          <w:shd w:val="clear" w:color="auto" w:fill="FFFFFF"/>
        </w:rPr>
      </w:pPr>
      <w:r w:rsidRPr="007F1E28">
        <w:rPr>
          <w:rFonts w:ascii="Arial" w:hAnsi="Arial" w:cstheme="minorBidi"/>
        </w:rPr>
        <w:lastRenderedPageBreak/>
        <w:t>[40]</w:t>
      </w:r>
      <w:r w:rsidRPr="007F1E28">
        <w:rPr>
          <w:rFonts w:ascii="Arial" w:hAnsi="Arial" w:cstheme="minorBidi"/>
        </w:rPr>
        <w:tab/>
      </w:r>
      <w:r w:rsidR="004A1380" w:rsidRPr="00F32D8A">
        <w:rPr>
          <w:rFonts w:asciiTheme="minorBidi" w:hAnsiTheme="minorBidi" w:cstheme="minorBidi"/>
          <w:shd w:val="clear" w:color="auto" w:fill="FFFFFF"/>
        </w:rPr>
        <w:t xml:space="preserve">The </w:t>
      </w:r>
      <w:r w:rsidR="00144DA9" w:rsidRPr="00F32D8A">
        <w:rPr>
          <w:rFonts w:ascii="Arial" w:hAnsi="Arial" w:cs="Arial"/>
        </w:rPr>
        <w:t>Equality Act</w:t>
      </w:r>
      <w:r w:rsidR="004A1380" w:rsidRPr="00F32D8A">
        <w:rPr>
          <w:rFonts w:asciiTheme="minorBidi" w:hAnsiTheme="minorBidi" w:cstheme="minorBidi"/>
          <w:shd w:val="clear" w:color="auto" w:fill="FFFFFF"/>
        </w:rPr>
        <w:t xml:space="preserve"> was</w:t>
      </w:r>
      <w:r w:rsidR="00FD77E7" w:rsidRPr="00F32D8A">
        <w:rPr>
          <w:rFonts w:asciiTheme="minorBidi" w:hAnsiTheme="minorBidi" w:cstheme="minorBidi"/>
          <w:shd w:val="clear" w:color="auto" w:fill="FFFFFF"/>
        </w:rPr>
        <w:t>,</w:t>
      </w:r>
      <w:r w:rsidR="004A1380" w:rsidRPr="00F32D8A">
        <w:rPr>
          <w:rStyle w:val="apple-converted-space"/>
          <w:rFonts w:asciiTheme="minorBidi" w:hAnsiTheme="minorBidi" w:cstheme="minorBidi"/>
          <w:shd w:val="clear" w:color="auto" w:fill="FFFFFF"/>
        </w:rPr>
        <w:t> </w:t>
      </w:r>
      <w:r w:rsidR="004A1380" w:rsidRPr="00F32D8A">
        <w:rPr>
          <w:rStyle w:val="Emphasis"/>
          <w:rFonts w:asciiTheme="minorBidi" w:hAnsiTheme="minorBidi" w:cstheme="minorBidi"/>
        </w:rPr>
        <w:t>inter alia</w:t>
      </w:r>
      <w:r w:rsidR="00FD77E7" w:rsidRPr="00F32D8A">
        <w:rPr>
          <w:rStyle w:val="Emphasis"/>
          <w:rFonts w:asciiTheme="minorBidi" w:hAnsiTheme="minorBidi" w:cstheme="minorBidi"/>
          <w:i w:val="0"/>
          <w:iCs w:val="0"/>
        </w:rPr>
        <w:t xml:space="preserve">, brought into existence in an attempt to </w:t>
      </w:r>
      <w:r w:rsidR="000735CB" w:rsidRPr="00F32D8A">
        <w:rPr>
          <w:rStyle w:val="Emphasis"/>
          <w:rFonts w:asciiTheme="minorBidi" w:hAnsiTheme="minorBidi" w:cstheme="minorBidi"/>
          <w:i w:val="0"/>
          <w:iCs w:val="0"/>
        </w:rPr>
        <w:t>construct</w:t>
      </w:r>
      <w:r w:rsidR="00FD77E7" w:rsidRPr="00F32D8A">
        <w:rPr>
          <w:rStyle w:val="Emphasis"/>
          <w:rFonts w:asciiTheme="minorBidi" w:hAnsiTheme="minorBidi" w:cstheme="minorBidi"/>
          <w:i w:val="0"/>
          <w:iCs w:val="0"/>
        </w:rPr>
        <w:t xml:space="preserve"> a </w:t>
      </w:r>
      <w:r w:rsidR="004A1380" w:rsidRPr="00F32D8A">
        <w:rPr>
          <w:rFonts w:asciiTheme="minorBidi" w:hAnsiTheme="minorBidi" w:cstheme="minorBidi"/>
          <w:shd w:val="clear" w:color="auto" w:fill="FFFFFF"/>
        </w:rPr>
        <w:t>society</w:t>
      </w:r>
      <w:r w:rsidR="008F0972" w:rsidRPr="00F32D8A">
        <w:rPr>
          <w:rFonts w:asciiTheme="minorBidi" w:hAnsiTheme="minorBidi" w:cstheme="minorBidi"/>
          <w:shd w:val="clear" w:color="auto" w:fill="FFFFFF"/>
        </w:rPr>
        <w:t xml:space="preserve"> that cared for the wellbeing and dignity of its members</w:t>
      </w:r>
      <w:r w:rsidR="0012512E" w:rsidRPr="00F32D8A">
        <w:rPr>
          <w:rFonts w:asciiTheme="minorBidi" w:hAnsiTheme="minorBidi" w:cstheme="minorBidi"/>
          <w:shd w:val="clear" w:color="auto" w:fill="FFFFFF"/>
        </w:rPr>
        <w:t xml:space="preserve">. </w:t>
      </w:r>
      <w:r w:rsidR="00750C82" w:rsidRPr="00F32D8A">
        <w:rPr>
          <w:rFonts w:asciiTheme="minorBidi" w:hAnsiTheme="minorBidi" w:cstheme="minorBidi"/>
          <w:shd w:val="clear" w:color="auto" w:fill="FFFFFF"/>
        </w:rPr>
        <w:t xml:space="preserve">Our </w:t>
      </w:r>
      <w:r w:rsidR="009428CB" w:rsidRPr="00F32D8A">
        <w:rPr>
          <w:rFonts w:asciiTheme="minorBidi" w:hAnsiTheme="minorBidi" w:cstheme="minorBidi"/>
          <w:shd w:val="clear" w:color="auto" w:fill="FFFFFF"/>
        </w:rPr>
        <w:t xml:space="preserve">country’s </w:t>
      </w:r>
      <w:r w:rsidR="00750C82" w:rsidRPr="00F32D8A">
        <w:rPr>
          <w:rFonts w:asciiTheme="minorBidi" w:hAnsiTheme="minorBidi" w:cstheme="minorBidi"/>
          <w:shd w:val="clear" w:color="auto" w:fill="FFFFFF"/>
        </w:rPr>
        <w:t xml:space="preserve">past had been characterised by a lack of care and compassion for our fellow citizens. </w:t>
      </w:r>
      <w:r w:rsidR="002D6354" w:rsidRPr="00F32D8A">
        <w:rPr>
          <w:rFonts w:asciiTheme="minorBidi" w:hAnsiTheme="minorBidi" w:cstheme="minorBidi"/>
          <w:shd w:val="clear" w:color="auto" w:fill="FFFFFF"/>
        </w:rPr>
        <w:t xml:space="preserve">In an attempt to </w:t>
      </w:r>
      <w:r w:rsidR="009428CB" w:rsidRPr="00F32D8A">
        <w:rPr>
          <w:rFonts w:asciiTheme="minorBidi" w:hAnsiTheme="minorBidi" w:cstheme="minorBidi"/>
          <w:shd w:val="clear" w:color="auto" w:fill="FFFFFF"/>
        </w:rPr>
        <w:t>right this wrong</w:t>
      </w:r>
      <w:r w:rsidR="00A3058E" w:rsidRPr="00F32D8A">
        <w:rPr>
          <w:rFonts w:asciiTheme="minorBidi" w:hAnsiTheme="minorBidi" w:cstheme="minorBidi"/>
          <w:shd w:val="clear" w:color="auto" w:fill="FFFFFF"/>
        </w:rPr>
        <w:t xml:space="preserve">, </w:t>
      </w:r>
      <w:r w:rsidR="00144DA9" w:rsidRPr="00F32D8A">
        <w:rPr>
          <w:rFonts w:ascii="Arial" w:hAnsi="Arial" w:cs="Arial"/>
        </w:rPr>
        <w:t>the Equality Act</w:t>
      </w:r>
      <w:r w:rsidR="004A1380" w:rsidRPr="00F32D8A">
        <w:rPr>
          <w:rFonts w:asciiTheme="minorBidi" w:hAnsiTheme="minorBidi" w:cstheme="minorBidi"/>
          <w:shd w:val="clear" w:color="auto" w:fill="FFFFFF"/>
        </w:rPr>
        <w:t xml:space="preserve"> prohibits unfair discrimination, hate speech and harassment on a number of prohibited grounds, including religion, conscience, belief and culture. </w:t>
      </w:r>
      <w:r w:rsidR="00AB3F55" w:rsidRPr="00F32D8A">
        <w:rPr>
          <w:rFonts w:asciiTheme="minorBidi" w:hAnsiTheme="minorBidi" w:cstheme="minorBidi"/>
          <w:color w:val="242121"/>
        </w:rPr>
        <w:t>Its</w:t>
      </w:r>
      <w:r w:rsidR="00EA7812" w:rsidRPr="00F32D8A">
        <w:rPr>
          <w:rFonts w:asciiTheme="minorBidi" w:hAnsiTheme="minorBidi" w:cstheme="minorBidi"/>
          <w:color w:val="242121"/>
        </w:rPr>
        <w:t xml:space="preserve"> objectives </w:t>
      </w:r>
      <w:r w:rsidR="00AB3F55" w:rsidRPr="00F32D8A">
        <w:rPr>
          <w:rFonts w:asciiTheme="minorBidi" w:hAnsiTheme="minorBidi" w:cstheme="minorBidi"/>
          <w:color w:val="242121"/>
        </w:rPr>
        <w:t>are thus to</w:t>
      </w:r>
      <w:r w:rsidR="00EA7812" w:rsidRPr="00F32D8A">
        <w:rPr>
          <w:rFonts w:asciiTheme="minorBidi" w:hAnsiTheme="minorBidi" w:cstheme="minorBidi"/>
          <w:color w:val="242121"/>
        </w:rPr>
        <w:t xml:space="preserve"> </w:t>
      </w:r>
      <w:r w:rsidR="009428CB" w:rsidRPr="00F32D8A">
        <w:rPr>
          <w:rFonts w:asciiTheme="minorBidi" w:hAnsiTheme="minorBidi" w:cstheme="minorBidi"/>
          <w:color w:val="242121"/>
        </w:rPr>
        <w:t>introduce</w:t>
      </w:r>
      <w:r w:rsidR="00EA7812" w:rsidRPr="00F32D8A">
        <w:rPr>
          <w:rFonts w:asciiTheme="minorBidi" w:hAnsiTheme="minorBidi" w:cstheme="minorBidi"/>
          <w:color w:val="242121"/>
        </w:rPr>
        <w:t xml:space="preserve"> measures to address the injustices that result from social inequalities by combating unfair discrimination. </w:t>
      </w:r>
    </w:p>
    <w:p w14:paraId="602A37F0" w14:textId="548B5D95" w:rsidR="007F1E28" w:rsidRPr="00B76F09" w:rsidRDefault="007F1E28" w:rsidP="007F1E28">
      <w:pPr>
        <w:pStyle w:val="ListParagraph"/>
        <w:spacing w:line="360" w:lineRule="auto"/>
        <w:ind w:left="0"/>
        <w:jc w:val="both"/>
        <w:rPr>
          <w:rFonts w:asciiTheme="minorBidi" w:hAnsiTheme="minorBidi" w:cstheme="minorBidi"/>
          <w:shd w:val="clear" w:color="auto" w:fill="FFFFFF"/>
        </w:rPr>
      </w:pPr>
    </w:p>
    <w:p w14:paraId="2300865D" w14:textId="65B59816" w:rsidR="0004418E" w:rsidRPr="00F32D8A" w:rsidRDefault="00F32D8A" w:rsidP="00F32D8A">
      <w:pPr>
        <w:spacing w:line="360" w:lineRule="auto"/>
        <w:jc w:val="both"/>
        <w:rPr>
          <w:rFonts w:asciiTheme="minorBidi" w:hAnsiTheme="minorBidi" w:cstheme="minorBidi"/>
        </w:rPr>
      </w:pPr>
      <w:r w:rsidRPr="00B76F09">
        <w:rPr>
          <w:rFonts w:ascii="Arial" w:hAnsi="Arial" w:cstheme="minorBidi"/>
        </w:rPr>
        <w:t>[41]</w:t>
      </w:r>
      <w:r w:rsidRPr="00B76F09">
        <w:rPr>
          <w:rFonts w:ascii="Arial" w:hAnsi="Arial" w:cstheme="minorBidi"/>
        </w:rPr>
        <w:tab/>
      </w:r>
      <w:r w:rsidR="004A1380" w:rsidRPr="00F32D8A">
        <w:rPr>
          <w:rFonts w:asciiTheme="minorBidi" w:hAnsiTheme="minorBidi" w:cstheme="minorBidi"/>
          <w:shd w:val="clear" w:color="auto" w:fill="FFFFFF"/>
        </w:rPr>
        <w:t>The Bill of Rights in the Constitution also prohibits unfair discrimination on the</w:t>
      </w:r>
      <w:r w:rsidR="00AB3F55" w:rsidRPr="00F32D8A">
        <w:rPr>
          <w:rFonts w:asciiTheme="minorBidi" w:hAnsiTheme="minorBidi" w:cstheme="minorBidi"/>
          <w:shd w:val="clear" w:color="auto" w:fill="FFFFFF"/>
        </w:rPr>
        <w:t xml:space="preserve"> abovementioned and</w:t>
      </w:r>
      <w:r w:rsidR="004A1380" w:rsidRPr="00F32D8A">
        <w:rPr>
          <w:rFonts w:asciiTheme="minorBidi" w:hAnsiTheme="minorBidi" w:cstheme="minorBidi"/>
          <w:shd w:val="clear" w:color="auto" w:fill="FFFFFF"/>
        </w:rPr>
        <w:t xml:space="preserve"> other grounds. In addition, the Bill of Rights also contains </w:t>
      </w:r>
      <w:r w:rsidR="0004418E" w:rsidRPr="00F32D8A">
        <w:rPr>
          <w:rFonts w:asciiTheme="minorBidi" w:hAnsiTheme="minorBidi" w:cstheme="minorBidi"/>
          <w:shd w:val="clear" w:color="auto" w:fill="FFFFFF"/>
        </w:rPr>
        <w:t xml:space="preserve">additional important </w:t>
      </w:r>
      <w:r w:rsidR="004A1380" w:rsidRPr="00F32D8A">
        <w:rPr>
          <w:rFonts w:asciiTheme="minorBidi" w:hAnsiTheme="minorBidi" w:cstheme="minorBidi"/>
          <w:shd w:val="clear" w:color="auto" w:fill="FFFFFF"/>
        </w:rPr>
        <w:t>rights</w:t>
      </w:r>
      <w:r w:rsidR="009B6F34" w:rsidRPr="00F32D8A">
        <w:rPr>
          <w:rFonts w:asciiTheme="minorBidi" w:hAnsiTheme="minorBidi" w:cstheme="minorBidi"/>
          <w:shd w:val="clear" w:color="auto" w:fill="FFFFFF"/>
        </w:rPr>
        <w:t>,</w:t>
      </w:r>
      <w:r w:rsidR="004A1380" w:rsidRPr="00F32D8A">
        <w:rPr>
          <w:rFonts w:asciiTheme="minorBidi" w:hAnsiTheme="minorBidi" w:cstheme="minorBidi"/>
          <w:shd w:val="clear" w:color="auto" w:fill="FFFFFF"/>
        </w:rPr>
        <w:t xml:space="preserve"> such as the right to freedom of association and the right to freedom of expression. </w:t>
      </w:r>
    </w:p>
    <w:p w14:paraId="662F566E" w14:textId="77777777" w:rsidR="0004418E" w:rsidRPr="00B76F09" w:rsidRDefault="0004418E" w:rsidP="0004418E">
      <w:pPr>
        <w:pStyle w:val="ListParagraph"/>
        <w:spacing w:line="360" w:lineRule="auto"/>
        <w:rPr>
          <w:rFonts w:asciiTheme="minorBidi" w:hAnsiTheme="minorBidi" w:cstheme="minorBidi"/>
          <w:shd w:val="clear" w:color="auto" w:fill="FFFFFF"/>
        </w:rPr>
      </w:pPr>
    </w:p>
    <w:p w14:paraId="6DC29157" w14:textId="66F9539B" w:rsidR="00433BC8" w:rsidRPr="00F32D8A" w:rsidRDefault="00F32D8A" w:rsidP="00F32D8A">
      <w:pPr>
        <w:spacing w:line="360" w:lineRule="auto"/>
        <w:jc w:val="both"/>
        <w:rPr>
          <w:rFonts w:asciiTheme="minorBidi" w:hAnsiTheme="minorBidi" w:cstheme="minorBidi"/>
        </w:rPr>
      </w:pPr>
      <w:r w:rsidRPr="00B76F09">
        <w:rPr>
          <w:rFonts w:ascii="Arial" w:hAnsi="Arial" w:cstheme="minorBidi"/>
        </w:rPr>
        <w:t>[42]</w:t>
      </w:r>
      <w:r w:rsidRPr="00B76F09">
        <w:rPr>
          <w:rFonts w:ascii="Arial" w:hAnsi="Arial" w:cstheme="minorBidi"/>
        </w:rPr>
        <w:tab/>
      </w:r>
      <w:r w:rsidR="004A1380" w:rsidRPr="00F32D8A">
        <w:rPr>
          <w:rFonts w:asciiTheme="minorBidi" w:hAnsiTheme="minorBidi" w:cstheme="minorBidi"/>
          <w:shd w:val="clear" w:color="auto" w:fill="FFFFFF"/>
        </w:rPr>
        <w:t xml:space="preserve">All laws, including </w:t>
      </w:r>
      <w:r w:rsidR="00144DA9" w:rsidRPr="00F32D8A">
        <w:rPr>
          <w:rFonts w:ascii="Arial" w:hAnsi="Arial" w:cs="Arial"/>
        </w:rPr>
        <w:t>the Equality Act</w:t>
      </w:r>
      <w:r w:rsidR="004A1380" w:rsidRPr="00F32D8A">
        <w:rPr>
          <w:rFonts w:asciiTheme="minorBidi" w:hAnsiTheme="minorBidi" w:cstheme="minorBidi"/>
          <w:shd w:val="clear" w:color="auto" w:fill="FFFFFF"/>
        </w:rPr>
        <w:t>, must be interpreted in accordance with the spirit, purport and objectives of the Bill of Rights.</w:t>
      </w:r>
      <w:r w:rsidR="003175C9" w:rsidRPr="00F32D8A">
        <w:rPr>
          <w:rFonts w:asciiTheme="minorBidi" w:hAnsiTheme="minorBidi" w:cstheme="minorBidi"/>
        </w:rPr>
        <w:t xml:space="preserve"> To an extent, the bringing to life of </w:t>
      </w:r>
      <w:r w:rsidR="00134C4B" w:rsidRPr="00F32D8A">
        <w:rPr>
          <w:rFonts w:ascii="Arial" w:hAnsi="Arial" w:cs="Arial"/>
        </w:rPr>
        <w:t>the Equality Act</w:t>
      </w:r>
      <w:r w:rsidR="003175C9" w:rsidRPr="00F32D8A">
        <w:rPr>
          <w:rFonts w:asciiTheme="minorBidi" w:hAnsiTheme="minorBidi" w:cstheme="minorBidi"/>
        </w:rPr>
        <w:t xml:space="preserve"> was aimed at infusing life itself </w:t>
      </w:r>
      <w:r w:rsidR="009B6F34" w:rsidRPr="00F32D8A">
        <w:rPr>
          <w:rFonts w:asciiTheme="minorBidi" w:hAnsiTheme="minorBidi" w:cstheme="minorBidi"/>
        </w:rPr>
        <w:t>in</w:t>
      </w:r>
      <w:r w:rsidR="003175C9" w:rsidRPr="00F32D8A">
        <w:rPr>
          <w:rFonts w:asciiTheme="minorBidi" w:hAnsiTheme="minorBidi" w:cstheme="minorBidi"/>
        </w:rPr>
        <w:t xml:space="preserve">to </w:t>
      </w:r>
      <w:r w:rsidR="00AB3F55" w:rsidRPr="00F32D8A">
        <w:rPr>
          <w:rFonts w:asciiTheme="minorBidi" w:hAnsiTheme="minorBidi" w:cstheme="minorBidi"/>
          <w:color w:val="242121"/>
        </w:rPr>
        <w:t>section 9 of the Constitution as required by section 9(4)</w:t>
      </w:r>
      <w:r w:rsidR="003175C9" w:rsidRPr="00F32D8A">
        <w:rPr>
          <w:rFonts w:asciiTheme="minorBidi" w:hAnsiTheme="minorBidi" w:cstheme="minorBidi"/>
          <w:color w:val="242121"/>
        </w:rPr>
        <w:t xml:space="preserve"> of the Constitution</w:t>
      </w:r>
      <w:r w:rsidR="00AB3F55" w:rsidRPr="00F32D8A">
        <w:rPr>
          <w:rFonts w:asciiTheme="minorBidi" w:hAnsiTheme="minorBidi" w:cstheme="minorBidi"/>
          <w:color w:val="242121"/>
        </w:rPr>
        <w:t xml:space="preserve">. </w:t>
      </w:r>
    </w:p>
    <w:p w14:paraId="5C4E9C0F" w14:textId="77777777" w:rsidR="00433BC8" w:rsidRPr="00B76F09" w:rsidRDefault="00433BC8" w:rsidP="00433BC8">
      <w:pPr>
        <w:pStyle w:val="ListParagraph"/>
        <w:spacing w:line="360" w:lineRule="auto"/>
        <w:rPr>
          <w:rFonts w:asciiTheme="minorBidi" w:hAnsiTheme="minorBidi" w:cstheme="minorBidi"/>
          <w:color w:val="242121"/>
        </w:rPr>
      </w:pPr>
    </w:p>
    <w:p w14:paraId="1BC085F2" w14:textId="33485CE1" w:rsidR="0069365E" w:rsidRPr="00F32D8A" w:rsidRDefault="00F32D8A" w:rsidP="00F32D8A">
      <w:pPr>
        <w:spacing w:line="360" w:lineRule="auto"/>
        <w:jc w:val="both"/>
        <w:rPr>
          <w:rFonts w:asciiTheme="minorBidi" w:hAnsiTheme="minorBidi" w:cstheme="minorBidi"/>
        </w:rPr>
      </w:pPr>
      <w:r w:rsidRPr="00B76F09">
        <w:rPr>
          <w:rFonts w:ascii="Arial" w:hAnsi="Arial" w:cstheme="minorBidi"/>
        </w:rPr>
        <w:t>[43]</w:t>
      </w:r>
      <w:r w:rsidRPr="00B76F09">
        <w:rPr>
          <w:rFonts w:ascii="Arial" w:hAnsi="Arial" w:cstheme="minorBidi"/>
        </w:rPr>
        <w:tab/>
      </w:r>
      <w:r w:rsidR="00BC4DB7" w:rsidRPr="00F32D8A">
        <w:rPr>
          <w:rFonts w:asciiTheme="minorBidi" w:hAnsiTheme="minorBidi" w:cstheme="minorBidi"/>
          <w:color w:val="242121"/>
        </w:rPr>
        <w:t>S</w:t>
      </w:r>
      <w:r w:rsidR="00AB3F55" w:rsidRPr="00F32D8A">
        <w:rPr>
          <w:rFonts w:asciiTheme="minorBidi" w:hAnsiTheme="minorBidi" w:cstheme="minorBidi"/>
          <w:color w:val="242121"/>
        </w:rPr>
        <w:t>ection</w:t>
      </w:r>
      <w:r w:rsidR="0069365E" w:rsidRPr="00F32D8A">
        <w:rPr>
          <w:rFonts w:asciiTheme="minorBidi" w:hAnsiTheme="minorBidi" w:cstheme="minorBidi"/>
          <w:color w:val="242121"/>
        </w:rPr>
        <w:t xml:space="preserve"> 6 </w:t>
      </w:r>
      <w:r w:rsidR="001F5A59" w:rsidRPr="00F32D8A">
        <w:rPr>
          <w:rFonts w:asciiTheme="minorBidi" w:hAnsiTheme="minorBidi" w:cstheme="minorBidi"/>
          <w:color w:val="242121"/>
        </w:rPr>
        <w:t xml:space="preserve">of the Equality Act </w:t>
      </w:r>
      <w:r w:rsidR="0069365E" w:rsidRPr="00F32D8A">
        <w:rPr>
          <w:rFonts w:asciiTheme="minorBidi" w:hAnsiTheme="minorBidi" w:cstheme="minorBidi"/>
          <w:color w:val="242121"/>
        </w:rPr>
        <w:t xml:space="preserve">has been identified </w:t>
      </w:r>
      <w:r w:rsidR="0002463D" w:rsidRPr="00F32D8A">
        <w:rPr>
          <w:rFonts w:asciiTheme="minorBidi" w:hAnsiTheme="minorBidi" w:cstheme="minorBidi"/>
          <w:color w:val="242121"/>
        </w:rPr>
        <w:t xml:space="preserve">by the appellant </w:t>
      </w:r>
      <w:r w:rsidR="0069365E" w:rsidRPr="00F32D8A">
        <w:rPr>
          <w:rFonts w:asciiTheme="minorBidi" w:hAnsiTheme="minorBidi" w:cstheme="minorBidi"/>
          <w:color w:val="242121"/>
        </w:rPr>
        <w:t xml:space="preserve">as the </w:t>
      </w:r>
      <w:r w:rsidR="0002463D" w:rsidRPr="00F32D8A">
        <w:rPr>
          <w:rFonts w:asciiTheme="minorBidi" w:hAnsiTheme="minorBidi" w:cstheme="minorBidi"/>
          <w:color w:val="242121"/>
        </w:rPr>
        <w:t xml:space="preserve">relevant </w:t>
      </w:r>
      <w:r w:rsidR="0069365E" w:rsidRPr="00F32D8A">
        <w:rPr>
          <w:rFonts w:asciiTheme="minorBidi" w:hAnsiTheme="minorBidi" w:cstheme="minorBidi"/>
          <w:color w:val="242121"/>
        </w:rPr>
        <w:t xml:space="preserve">section </w:t>
      </w:r>
      <w:r w:rsidR="0002463D" w:rsidRPr="00F32D8A">
        <w:rPr>
          <w:rFonts w:asciiTheme="minorBidi" w:hAnsiTheme="minorBidi" w:cstheme="minorBidi"/>
          <w:color w:val="242121"/>
        </w:rPr>
        <w:t>relied upon by him</w:t>
      </w:r>
      <w:r w:rsidR="0069365E" w:rsidRPr="00F32D8A">
        <w:rPr>
          <w:rFonts w:asciiTheme="minorBidi" w:hAnsiTheme="minorBidi" w:cstheme="minorBidi"/>
          <w:color w:val="242121"/>
        </w:rPr>
        <w:t xml:space="preserve">. </w:t>
      </w:r>
      <w:r w:rsidR="006264C2" w:rsidRPr="00F32D8A">
        <w:rPr>
          <w:rFonts w:asciiTheme="minorBidi" w:hAnsiTheme="minorBidi" w:cstheme="minorBidi"/>
          <w:color w:val="242121"/>
        </w:rPr>
        <w:t>It</w:t>
      </w:r>
      <w:r w:rsidR="0069365E" w:rsidRPr="00F32D8A">
        <w:rPr>
          <w:rFonts w:asciiTheme="minorBidi" w:hAnsiTheme="minorBidi" w:cstheme="minorBidi"/>
          <w:color w:val="242121"/>
        </w:rPr>
        <w:t xml:space="preserve"> reads a</w:t>
      </w:r>
      <w:r w:rsidR="00BC4DB7" w:rsidRPr="00F32D8A">
        <w:rPr>
          <w:rFonts w:asciiTheme="minorBidi" w:hAnsiTheme="minorBidi" w:cstheme="minorBidi"/>
          <w:color w:val="242121"/>
        </w:rPr>
        <w:t>s</w:t>
      </w:r>
      <w:r w:rsidR="0069365E" w:rsidRPr="00F32D8A">
        <w:rPr>
          <w:rFonts w:asciiTheme="minorBidi" w:hAnsiTheme="minorBidi" w:cstheme="minorBidi"/>
          <w:color w:val="242121"/>
        </w:rPr>
        <w:t xml:space="preserve"> follows:</w:t>
      </w:r>
    </w:p>
    <w:p w14:paraId="5F4A4C97" w14:textId="257629A3" w:rsidR="0069365E" w:rsidRPr="00B76F09" w:rsidRDefault="0069365E" w:rsidP="0069365E">
      <w:pPr>
        <w:pStyle w:val="ListParagraph"/>
        <w:spacing w:line="360" w:lineRule="auto"/>
        <w:ind w:left="0"/>
        <w:jc w:val="both"/>
        <w:rPr>
          <w:rFonts w:asciiTheme="minorBidi" w:hAnsiTheme="minorBidi" w:cstheme="minorBidi"/>
          <w:sz w:val="22"/>
          <w:szCs w:val="22"/>
        </w:rPr>
      </w:pPr>
      <w:r w:rsidRPr="00B76F09">
        <w:rPr>
          <w:rFonts w:asciiTheme="minorBidi" w:hAnsiTheme="minorBidi" w:cstheme="minorBidi"/>
          <w:sz w:val="22"/>
          <w:szCs w:val="22"/>
        </w:rPr>
        <w:t xml:space="preserve">‘Neither the State nor any person may unfairly discriminate against any person.’ </w:t>
      </w:r>
    </w:p>
    <w:p w14:paraId="503D322B" w14:textId="6B8C25ED" w:rsidR="0075701A" w:rsidRPr="00B76F09" w:rsidRDefault="0075701A" w:rsidP="006264C2">
      <w:pPr>
        <w:pStyle w:val="ListParagraph"/>
        <w:spacing w:line="360" w:lineRule="auto"/>
        <w:ind w:left="0"/>
        <w:jc w:val="both"/>
        <w:rPr>
          <w:rFonts w:asciiTheme="minorBidi" w:hAnsiTheme="minorBidi" w:cstheme="minorBidi"/>
        </w:rPr>
      </w:pPr>
    </w:p>
    <w:p w14:paraId="3E4E56B3" w14:textId="056AC93E" w:rsidR="00134C4B" w:rsidRPr="00F32D8A" w:rsidRDefault="00F32D8A" w:rsidP="00F32D8A">
      <w:pPr>
        <w:spacing w:line="360" w:lineRule="auto"/>
        <w:jc w:val="both"/>
        <w:rPr>
          <w:rFonts w:asciiTheme="minorBidi" w:hAnsiTheme="minorBidi" w:cstheme="minorBidi"/>
        </w:rPr>
      </w:pPr>
      <w:r w:rsidRPr="00B76F09">
        <w:rPr>
          <w:rFonts w:ascii="Arial" w:hAnsi="Arial" w:cstheme="minorBidi"/>
        </w:rPr>
        <w:t>[44]</w:t>
      </w:r>
      <w:r w:rsidRPr="00B76F09">
        <w:rPr>
          <w:rFonts w:ascii="Arial" w:hAnsi="Arial" w:cstheme="minorBidi"/>
        </w:rPr>
        <w:tab/>
      </w:r>
      <w:r w:rsidR="00134C4B" w:rsidRPr="00F32D8A">
        <w:rPr>
          <w:rFonts w:asciiTheme="minorBidi" w:hAnsiTheme="minorBidi" w:cstheme="minorBidi"/>
        </w:rPr>
        <w:t>T</w:t>
      </w:r>
      <w:r w:rsidR="00144DA9" w:rsidRPr="00F32D8A">
        <w:rPr>
          <w:rFonts w:asciiTheme="minorBidi" w:hAnsiTheme="minorBidi" w:cstheme="minorBidi"/>
        </w:rPr>
        <w:t>he Equality Act</w:t>
      </w:r>
      <w:r w:rsidR="0075701A" w:rsidRPr="00F32D8A">
        <w:rPr>
          <w:rFonts w:asciiTheme="minorBidi" w:hAnsiTheme="minorBidi" w:cstheme="minorBidi"/>
        </w:rPr>
        <w:t xml:space="preserve"> defines discrimination as being</w:t>
      </w:r>
      <w:r w:rsidR="00BE5B3C" w:rsidRPr="00F32D8A">
        <w:rPr>
          <w:rFonts w:asciiTheme="minorBidi" w:hAnsiTheme="minorBidi" w:cstheme="minorBidi"/>
          <w:b/>
          <w:bCs/>
        </w:rPr>
        <w:t>:</w:t>
      </w:r>
    </w:p>
    <w:p w14:paraId="2C396513" w14:textId="69E853A7" w:rsidR="0075701A" w:rsidRPr="007F1E28" w:rsidRDefault="00134C4B" w:rsidP="00BE5B3C">
      <w:pPr>
        <w:pStyle w:val="ListParagraph"/>
        <w:spacing w:line="360" w:lineRule="auto"/>
        <w:ind w:left="0"/>
        <w:jc w:val="both"/>
        <w:rPr>
          <w:rFonts w:ascii="Arial" w:hAnsi="Arial" w:cs="Arial"/>
          <w:sz w:val="22"/>
          <w:szCs w:val="22"/>
        </w:rPr>
      </w:pPr>
      <w:r w:rsidRPr="007F1E28">
        <w:rPr>
          <w:rFonts w:ascii="Arial" w:hAnsi="Arial" w:cs="Arial"/>
          <w:sz w:val="22"/>
          <w:szCs w:val="22"/>
        </w:rPr>
        <w:t>‘A</w:t>
      </w:r>
      <w:r w:rsidR="0075701A" w:rsidRPr="007F1E28">
        <w:rPr>
          <w:rFonts w:ascii="Arial" w:hAnsi="Arial" w:cs="Arial"/>
          <w:sz w:val="22"/>
          <w:szCs w:val="22"/>
        </w:rPr>
        <w:t xml:space="preserve">ny act or omission, including a policy, law, rule, practice, condition or situation which directly or indirectly- </w:t>
      </w:r>
    </w:p>
    <w:p w14:paraId="26100100" w14:textId="60579612" w:rsidR="00134C4B" w:rsidRPr="007F1E28" w:rsidRDefault="0075701A" w:rsidP="0002463D">
      <w:pPr>
        <w:shd w:val="clear" w:color="auto" w:fill="FFFFFF"/>
        <w:tabs>
          <w:tab w:val="left" w:pos="709"/>
        </w:tabs>
        <w:spacing w:line="360" w:lineRule="auto"/>
        <w:jc w:val="both"/>
        <w:rPr>
          <w:rFonts w:ascii="Arial" w:hAnsi="Arial" w:cs="Arial"/>
          <w:sz w:val="22"/>
          <w:szCs w:val="22"/>
        </w:rPr>
      </w:pPr>
      <w:r w:rsidRPr="007F1E28">
        <w:rPr>
          <w:rFonts w:ascii="Arial" w:hAnsi="Arial" w:cs="Arial"/>
          <w:i/>
          <w:iCs/>
          <w:sz w:val="22"/>
          <w:szCs w:val="22"/>
        </w:rPr>
        <w:t>(a)</w:t>
      </w:r>
      <w:r w:rsidR="0002463D" w:rsidRPr="007F1E28">
        <w:rPr>
          <w:rFonts w:ascii="Arial" w:hAnsi="Arial" w:cs="Arial"/>
          <w:i/>
          <w:iCs/>
          <w:sz w:val="22"/>
          <w:szCs w:val="22"/>
        </w:rPr>
        <w:tab/>
      </w:r>
      <w:r w:rsidRPr="007F1E28">
        <w:rPr>
          <w:rFonts w:ascii="Arial" w:hAnsi="Arial" w:cs="Arial"/>
          <w:i/>
          <w:iCs/>
          <w:sz w:val="22"/>
          <w:szCs w:val="22"/>
        </w:rPr>
        <w:t xml:space="preserve"> </w:t>
      </w:r>
      <w:r w:rsidRPr="007F1E28">
        <w:rPr>
          <w:rFonts w:ascii="Arial" w:hAnsi="Arial" w:cs="Arial"/>
          <w:sz w:val="22"/>
          <w:szCs w:val="22"/>
        </w:rPr>
        <w:t xml:space="preserve">imposes burdens, obligations or disadvantage on; or </w:t>
      </w:r>
    </w:p>
    <w:p w14:paraId="30E744F2" w14:textId="1B2529B3" w:rsidR="0075701A" w:rsidRPr="007F1E28" w:rsidRDefault="0075701A" w:rsidP="0002463D">
      <w:pPr>
        <w:shd w:val="clear" w:color="auto" w:fill="FFFFFF"/>
        <w:tabs>
          <w:tab w:val="left" w:pos="709"/>
        </w:tabs>
        <w:spacing w:line="360" w:lineRule="auto"/>
        <w:jc w:val="both"/>
        <w:rPr>
          <w:rFonts w:ascii="Arial" w:hAnsi="Arial" w:cs="Arial"/>
          <w:sz w:val="22"/>
          <w:szCs w:val="22"/>
        </w:rPr>
      </w:pPr>
      <w:r w:rsidRPr="007F1E28">
        <w:rPr>
          <w:rFonts w:ascii="Arial" w:hAnsi="Arial" w:cs="Arial"/>
          <w:i/>
          <w:iCs/>
          <w:sz w:val="22"/>
          <w:szCs w:val="22"/>
        </w:rPr>
        <w:t xml:space="preserve">(b) </w:t>
      </w:r>
      <w:r w:rsidR="0002463D" w:rsidRPr="007F1E28">
        <w:rPr>
          <w:rFonts w:ascii="Arial" w:hAnsi="Arial" w:cs="Arial"/>
          <w:i/>
          <w:iCs/>
          <w:sz w:val="22"/>
          <w:szCs w:val="22"/>
        </w:rPr>
        <w:tab/>
      </w:r>
      <w:r w:rsidRPr="007F1E28">
        <w:rPr>
          <w:rFonts w:ascii="Arial" w:hAnsi="Arial" w:cs="Arial"/>
          <w:sz w:val="22"/>
          <w:szCs w:val="22"/>
        </w:rPr>
        <w:t xml:space="preserve">withholds benefits, opportunities or advantages from, </w:t>
      </w:r>
    </w:p>
    <w:p w14:paraId="334CD6D9" w14:textId="773DD9C8" w:rsidR="0075701A" w:rsidRPr="007F1E28" w:rsidRDefault="0075701A" w:rsidP="00BE5B3C">
      <w:pPr>
        <w:shd w:val="clear" w:color="auto" w:fill="FFFFFF"/>
        <w:spacing w:line="360" w:lineRule="auto"/>
        <w:jc w:val="both"/>
        <w:rPr>
          <w:rFonts w:ascii="Arial" w:hAnsi="Arial" w:cs="Arial"/>
          <w:sz w:val="22"/>
          <w:szCs w:val="22"/>
        </w:rPr>
      </w:pPr>
      <w:r w:rsidRPr="007F1E28">
        <w:rPr>
          <w:rFonts w:ascii="Arial" w:hAnsi="Arial" w:cs="Arial"/>
          <w:sz w:val="22"/>
          <w:szCs w:val="22"/>
        </w:rPr>
        <w:t>any person on one or more of the prohibited grounds</w:t>
      </w:r>
      <w:r w:rsidR="00134C4B" w:rsidRPr="007F1E28">
        <w:rPr>
          <w:rFonts w:ascii="Arial" w:hAnsi="Arial" w:cs="Arial"/>
          <w:sz w:val="22"/>
          <w:szCs w:val="22"/>
        </w:rPr>
        <w:t>.’</w:t>
      </w:r>
    </w:p>
    <w:p w14:paraId="1AD8BEA7" w14:textId="77777777" w:rsidR="00134C4B" w:rsidRPr="007F1E28" w:rsidRDefault="00134C4B" w:rsidP="00BE5B3C">
      <w:pPr>
        <w:shd w:val="clear" w:color="auto" w:fill="FFFFFF"/>
        <w:spacing w:line="360" w:lineRule="auto"/>
        <w:jc w:val="both"/>
        <w:rPr>
          <w:rFonts w:ascii="Arial" w:hAnsi="Arial" w:cs="Arial"/>
          <w:sz w:val="22"/>
          <w:szCs w:val="22"/>
        </w:rPr>
      </w:pPr>
    </w:p>
    <w:p w14:paraId="3810C263" w14:textId="20C0B1F0" w:rsidR="00980FDF" w:rsidRPr="00F32D8A" w:rsidRDefault="00F32D8A" w:rsidP="00F32D8A">
      <w:pPr>
        <w:spacing w:line="360" w:lineRule="auto"/>
        <w:jc w:val="both"/>
        <w:rPr>
          <w:rFonts w:asciiTheme="minorBidi" w:hAnsiTheme="minorBidi" w:cstheme="minorBidi"/>
        </w:rPr>
      </w:pPr>
      <w:r w:rsidRPr="00B76F09">
        <w:rPr>
          <w:rFonts w:ascii="Arial" w:hAnsi="Arial" w:cstheme="minorBidi"/>
        </w:rPr>
        <w:t>[45]</w:t>
      </w:r>
      <w:r w:rsidRPr="00B76F09">
        <w:rPr>
          <w:rFonts w:ascii="Arial" w:hAnsi="Arial" w:cstheme="minorBidi"/>
        </w:rPr>
        <w:tab/>
      </w:r>
      <w:r w:rsidR="00134C4B" w:rsidRPr="00F32D8A">
        <w:rPr>
          <w:rFonts w:asciiTheme="minorBidi" w:hAnsiTheme="minorBidi" w:cstheme="minorBidi"/>
        </w:rPr>
        <w:t>The prohibited grounds are:</w:t>
      </w:r>
    </w:p>
    <w:p w14:paraId="0A2B4B7A" w14:textId="66DA19C0" w:rsidR="009924A0" w:rsidRPr="00B76F09" w:rsidRDefault="00980FDF" w:rsidP="00E66CCD">
      <w:pPr>
        <w:pStyle w:val="ListParagraph"/>
        <w:tabs>
          <w:tab w:val="left" w:pos="709"/>
        </w:tabs>
        <w:spacing w:line="360" w:lineRule="auto"/>
        <w:ind w:left="709" w:hanging="709"/>
        <w:jc w:val="both"/>
        <w:rPr>
          <w:rFonts w:asciiTheme="minorBidi" w:hAnsiTheme="minorBidi" w:cstheme="minorBidi"/>
          <w:sz w:val="22"/>
          <w:szCs w:val="22"/>
        </w:rPr>
      </w:pPr>
      <w:r w:rsidRPr="00B76F09">
        <w:rPr>
          <w:rFonts w:asciiTheme="minorBidi" w:hAnsiTheme="minorBidi" w:cstheme="minorBidi"/>
          <w:sz w:val="22"/>
          <w:szCs w:val="22"/>
        </w:rPr>
        <w:t>‘</w:t>
      </w:r>
      <w:r w:rsidRPr="00B76F09">
        <w:rPr>
          <w:rFonts w:asciiTheme="minorBidi" w:hAnsiTheme="minorBidi" w:cstheme="minorBidi"/>
          <w:i/>
          <w:iCs/>
          <w:sz w:val="22"/>
          <w:szCs w:val="22"/>
        </w:rPr>
        <w:t xml:space="preserve">(a) </w:t>
      </w:r>
      <w:r w:rsidRPr="00B76F09">
        <w:rPr>
          <w:rFonts w:asciiTheme="minorBidi" w:hAnsiTheme="minorBidi" w:cstheme="minorBidi"/>
          <w:i/>
          <w:iCs/>
          <w:sz w:val="22"/>
          <w:szCs w:val="22"/>
        </w:rPr>
        <w:tab/>
      </w:r>
      <w:r w:rsidR="00E66CCD" w:rsidRPr="00B76F09">
        <w:rPr>
          <w:rFonts w:asciiTheme="minorBidi" w:hAnsiTheme="minorBidi" w:cstheme="minorBidi"/>
          <w:sz w:val="22"/>
          <w:szCs w:val="22"/>
        </w:rPr>
        <w:t>race, gender, sex, pregnancy, marital status, ethnic or social origin, colour, sexual orientation, age, disability, religion, conscience, belief, culture, language, birth and HIV/AIDS status; or</w:t>
      </w:r>
      <w:r w:rsidRPr="00B76F09">
        <w:rPr>
          <w:rFonts w:asciiTheme="minorBidi" w:hAnsiTheme="minorBidi" w:cstheme="minorBidi"/>
          <w:sz w:val="22"/>
          <w:szCs w:val="22"/>
        </w:rPr>
        <w:t xml:space="preserve"> </w:t>
      </w:r>
    </w:p>
    <w:p w14:paraId="77B2139E" w14:textId="4D56153A" w:rsidR="00980FDF" w:rsidRPr="00B76F09" w:rsidRDefault="009924A0" w:rsidP="00E66CCD">
      <w:pPr>
        <w:pStyle w:val="ListParagraph"/>
        <w:tabs>
          <w:tab w:val="left" w:pos="709"/>
        </w:tabs>
        <w:spacing w:line="360" w:lineRule="auto"/>
        <w:ind w:left="0"/>
        <w:jc w:val="both"/>
        <w:rPr>
          <w:rFonts w:asciiTheme="minorBidi" w:hAnsiTheme="minorBidi" w:cstheme="minorBidi"/>
          <w:sz w:val="22"/>
          <w:szCs w:val="22"/>
        </w:rPr>
      </w:pPr>
      <w:r w:rsidRPr="00B76F09">
        <w:rPr>
          <w:rFonts w:asciiTheme="minorBidi" w:hAnsiTheme="minorBidi" w:cstheme="minorBidi"/>
          <w:i/>
          <w:iCs/>
          <w:sz w:val="22"/>
          <w:szCs w:val="22"/>
        </w:rPr>
        <w:lastRenderedPageBreak/>
        <w:t>(b)</w:t>
      </w:r>
      <w:r w:rsidRPr="00B76F09">
        <w:rPr>
          <w:rFonts w:asciiTheme="minorBidi" w:hAnsiTheme="minorBidi" w:cstheme="minorBidi"/>
          <w:sz w:val="22"/>
          <w:szCs w:val="22"/>
        </w:rPr>
        <w:tab/>
      </w:r>
      <w:r w:rsidR="00980FDF" w:rsidRPr="00B76F09">
        <w:rPr>
          <w:rFonts w:asciiTheme="minorBidi" w:hAnsiTheme="minorBidi" w:cstheme="minorBidi"/>
          <w:sz w:val="22"/>
          <w:szCs w:val="22"/>
        </w:rPr>
        <w:t xml:space="preserve">any other ground where discrimination based on that other ground- </w:t>
      </w:r>
    </w:p>
    <w:p w14:paraId="7C29DDA4" w14:textId="77777777" w:rsidR="00E02C20" w:rsidRPr="00B76F09" w:rsidRDefault="00E02C20" w:rsidP="00E66CCD">
      <w:pPr>
        <w:pStyle w:val="ListParagraph"/>
        <w:tabs>
          <w:tab w:val="left" w:pos="1418"/>
        </w:tabs>
        <w:spacing w:line="360" w:lineRule="auto"/>
        <w:ind w:left="709"/>
        <w:jc w:val="both"/>
        <w:rPr>
          <w:rFonts w:asciiTheme="minorBidi" w:hAnsiTheme="minorBidi" w:cstheme="minorBidi"/>
          <w:sz w:val="22"/>
          <w:szCs w:val="22"/>
        </w:rPr>
      </w:pPr>
      <w:r w:rsidRPr="00B76F09">
        <w:rPr>
          <w:rFonts w:asciiTheme="minorBidi" w:hAnsiTheme="minorBidi" w:cstheme="minorBidi"/>
          <w:sz w:val="22"/>
          <w:szCs w:val="22"/>
        </w:rPr>
        <w:t>(i)</w:t>
      </w:r>
      <w:r w:rsidRPr="00B76F09">
        <w:rPr>
          <w:rFonts w:asciiTheme="minorBidi" w:hAnsiTheme="minorBidi" w:cstheme="minorBidi"/>
          <w:sz w:val="22"/>
          <w:szCs w:val="22"/>
        </w:rPr>
        <w:tab/>
      </w:r>
      <w:r w:rsidR="00980FDF" w:rsidRPr="00B76F09">
        <w:rPr>
          <w:rFonts w:asciiTheme="minorBidi" w:hAnsiTheme="minorBidi" w:cstheme="minorBidi"/>
          <w:sz w:val="22"/>
          <w:szCs w:val="22"/>
        </w:rPr>
        <w:t xml:space="preserve">causes or perpetuates systemic disadvantage; </w:t>
      </w:r>
    </w:p>
    <w:p w14:paraId="0A7DD85E" w14:textId="366266EC" w:rsidR="00980FDF" w:rsidRPr="00B76F09" w:rsidRDefault="00E02C20" w:rsidP="00E66CCD">
      <w:pPr>
        <w:pStyle w:val="ListParagraph"/>
        <w:tabs>
          <w:tab w:val="left" w:pos="1418"/>
        </w:tabs>
        <w:spacing w:line="360" w:lineRule="auto"/>
        <w:ind w:left="709"/>
        <w:jc w:val="both"/>
        <w:rPr>
          <w:rFonts w:asciiTheme="minorBidi" w:hAnsiTheme="minorBidi" w:cstheme="minorBidi"/>
          <w:sz w:val="22"/>
          <w:szCs w:val="22"/>
        </w:rPr>
      </w:pPr>
      <w:r w:rsidRPr="00B76F09">
        <w:rPr>
          <w:rFonts w:asciiTheme="minorBidi" w:hAnsiTheme="minorBidi" w:cstheme="minorBidi"/>
          <w:sz w:val="22"/>
          <w:szCs w:val="22"/>
        </w:rPr>
        <w:t>(ii)</w:t>
      </w:r>
      <w:r w:rsidRPr="00B76F09">
        <w:rPr>
          <w:rFonts w:asciiTheme="minorBidi" w:hAnsiTheme="minorBidi" w:cstheme="minorBidi"/>
          <w:sz w:val="22"/>
          <w:szCs w:val="22"/>
        </w:rPr>
        <w:tab/>
      </w:r>
      <w:r w:rsidR="00980FDF" w:rsidRPr="00B76F09">
        <w:rPr>
          <w:rFonts w:asciiTheme="minorBidi" w:hAnsiTheme="minorBidi" w:cstheme="minorBidi"/>
          <w:sz w:val="22"/>
          <w:szCs w:val="22"/>
        </w:rPr>
        <w:t xml:space="preserve">undermines human dignity; or </w:t>
      </w:r>
    </w:p>
    <w:p w14:paraId="18E23903" w14:textId="5CBBF7BB" w:rsidR="00980FDF" w:rsidRPr="00F32D8A" w:rsidRDefault="00F32D8A" w:rsidP="00F32D8A">
      <w:pPr>
        <w:tabs>
          <w:tab w:val="left" w:pos="1418"/>
        </w:tabs>
        <w:spacing w:line="360" w:lineRule="auto"/>
        <w:ind w:left="709"/>
        <w:jc w:val="both"/>
        <w:rPr>
          <w:rFonts w:asciiTheme="minorBidi" w:hAnsiTheme="minorBidi" w:cstheme="minorBidi"/>
          <w:sz w:val="22"/>
          <w:szCs w:val="22"/>
        </w:rPr>
      </w:pPr>
      <w:r w:rsidRPr="00B76F09">
        <w:rPr>
          <w:rFonts w:asciiTheme="minorBidi" w:hAnsiTheme="minorBidi" w:cstheme="minorBidi"/>
          <w:sz w:val="22"/>
          <w:szCs w:val="22"/>
        </w:rPr>
        <w:t>(iii)</w:t>
      </w:r>
      <w:r w:rsidRPr="00B76F09">
        <w:rPr>
          <w:rFonts w:asciiTheme="minorBidi" w:hAnsiTheme="minorBidi" w:cstheme="minorBidi"/>
          <w:sz w:val="22"/>
          <w:szCs w:val="22"/>
        </w:rPr>
        <w:tab/>
      </w:r>
      <w:r w:rsidR="00980FDF" w:rsidRPr="00F32D8A">
        <w:rPr>
          <w:rFonts w:asciiTheme="minorBidi" w:hAnsiTheme="minorBidi" w:cstheme="minorBidi"/>
          <w:sz w:val="22"/>
          <w:szCs w:val="22"/>
        </w:rPr>
        <w:t xml:space="preserve">adversely affects the equal enjoyment of a person's rights and freedoms in a serious manner that is comparable to discrimination on a ground in paragraph </w:t>
      </w:r>
      <w:r w:rsidR="00980FDF" w:rsidRPr="00F32D8A">
        <w:rPr>
          <w:rFonts w:asciiTheme="minorBidi" w:hAnsiTheme="minorBidi" w:cstheme="minorBidi"/>
          <w:i/>
          <w:iCs/>
          <w:sz w:val="22"/>
          <w:szCs w:val="22"/>
        </w:rPr>
        <w:t>(a)</w:t>
      </w:r>
      <w:r w:rsidR="00E02C20" w:rsidRPr="00F32D8A">
        <w:rPr>
          <w:rFonts w:asciiTheme="minorBidi" w:hAnsiTheme="minorBidi" w:cstheme="minorBidi"/>
          <w:i/>
          <w:iCs/>
          <w:sz w:val="22"/>
          <w:szCs w:val="22"/>
        </w:rPr>
        <w:t>.</w:t>
      </w:r>
      <w:r w:rsidR="00E02C20" w:rsidRPr="00F32D8A">
        <w:rPr>
          <w:rFonts w:asciiTheme="minorBidi" w:hAnsiTheme="minorBidi" w:cstheme="minorBidi"/>
          <w:sz w:val="22"/>
          <w:szCs w:val="22"/>
        </w:rPr>
        <w:t>’</w:t>
      </w:r>
    </w:p>
    <w:p w14:paraId="1A68339B" w14:textId="77777777" w:rsidR="00134C4B" w:rsidRPr="00B76F09" w:rsidRDefault="00134C4B" w:rsidP="00134C4B">
      <w:pPr>
        <w:pStyle w:val="ListParagraph"/>
        <w:spacing w:line="360" w:lineRule="auto"/>
        <w:ind w:left="0"/>
        <w:jc w:val="both"/>
        <w:rPr>
          <w:rFonts w:asciiTheme="minorBidi" w:hAnsiTheme="minorBidi" w:cstheme="minorBidi"/>
          <w:sz w:val="22"/>
          <w:szCs w:val="22"/>
        </w:rPr>
      </w:pPr>
    </w:p>
    <w:p w14:paraId="0AC9957A" w14:textId="1D6EE3BC" w:rsidR="008213B2" w:rsidRPr="00F32D8A" w:rsidRDefault="00F32D8A" w:rsidP="00F32D8A">
      <w:pPr>
        <w:spacing w:line="360" w:lineRule="auto"/>
        <w:jc w:val="both"/>
        <w:rPr>
          <w:rFonts w:ascii="Arial" w:hAnsi="Arial" w:cs="Arial"/>
        </w:rPr>
      </w:pPr>
      <w:r w:rsidRPr="00B76F09">
        <w:rPr>
          <w:rFonts w:ascii="Arial" w:hAnsi="Arial" w:cs="Arial"/>
        </w:rPr>
        <w:t>[46]</w:t>
      </w:r>
      <w:r w:rsidRPr="00B76F09">
        <w:rPr>
          <w:rFonts w:ascii="Arial" w:hAnsi="Arial" w:cs="Arial"/>
        </w:rPr>
        <w:tab/>
      </w:r>
      <w:r w:rsidR="006264C2" w:rsidRPr="00F32D8A">
        <w:rPr>
          <w:rFonts w:asciiTheme="minorBidi" w:hAnsiTheme="minorBidi" w:cstheme="minorBidi"/>
          <w:color w:val="242121"/>
        </w:rPr>
        <w:t xml:space="preserve">I cannot </w:t>
      </w:r>
      <w:r w:rsidR="00F412B9" w:rsidRPr="00F32D8A">
        <w:rPr>
          <w:rFonts w:asciiTheme="minorBidi" w:hAnsiTheme="minorBidi" w:cstheme="minorBidi"/>
          <w:color w:val="242121"/>
        </w:rPr>
        <w:t xml:space="preserve">discern any act of discrimination in the </w:t>
      </w:r>
      <w:r w:rsidR="00963159" w:rsidRPr="00F32D8A">
        <w:rPr>
          <w:rFonts w:asciiTheme="minorBidi" w:hAnsiTheme="minorBidi" w:cstheme="minorBidi"/>
          <w:color w:val="242121"/>
        </w:rPr>
        <w:t xml:space="preserve">special rules </w:t>
      </w:r>
      <w:r w:rsidR="00F412B9" w:rsidRPr="00F32D8A">
        <w:rPr>
          <w:rFonts w:asciiTheme="minorBidi" w:hAnsiTheme="minorBidi" w:cstheme="minorBidi"/>
          <w:color w:val="242121"/>
        </w:rPr>
        <w:t xml:space="preserve">that would bring </w:t>
      </w:r>
      <w:r w:rsidR="00C33D2A" w:rsidRPr="00F32D8A">
        <w:rPr>
          <w:rFonts w:asciiTheme="minorBidi" w:hAnsiTheme="minorBidi" w:cstheme="minorBidi"/>
          <w:color w:val="242121"/>
        </w:rPr>
        <w:t>them</w:t>
      </w:r>
      <w:r w:rsidR="00F412B9" w:rsidRPr="00F32D8A">
        <w:rPr>
          <w:rFonts w:asciiTheme="minorBidi" w:hAnsiTheme="minorBidi" w:cstheme="minorBidi"/>
          <w:color w:val="242121"/>
        </w:rPr>
        <w:t xml:space="preserve"> </w:t>
      </w:r>
      <w:r w:rsidR="00CE7BFC" w:rsidRPr="00F32D8A">
        <w:rPr>
          <w:rFonts w:asciiTheme="minorBidi" w:hAnsiTheme="minorBidi" w:cstheme="minorBidi"/>
          <w:color w:val="242121"/>
        </w:rPr>
        <w:t xml:space="preserve">within the </w:t>
      </w:r>
      <w:r w:rsidR="00C33D2A" w:rsidRPr="00F32D8A">
        <w:rPr>
          <w:rFonts w:asciiTheme="minorBidi" w:hAnsiTheme="minorBidi" w:cstheme="minorBidi"/>
          <w:color w:val="242121"/>
        </w:rPr>
        <w:t>purview</w:t>
      </w:r>
      <w:r w:rsidR="00CE7BFC" w:rsidRPr="00F32D8A">
        <w:rPr>
          <w:rFonts w:asciiTheme="minorBidi" w:hAnsiTheme="minorBidi" w:cstheme="minorBidi"/>
          <w:color w:val="242121"/>
        </w:rPr>
        <w:t xml:space="preserve"> of the Equality Act. Nothing commends itself to me </w:t>
      </w:r>
      <w:r w:rsidR="001C3617" w:rsidRPr="00F32D8A">
        <w:rPr>
          <w:rFonts w:asciiTheme="minorBidi" w:hAnsiTheme="minorBidi" w:cstheme="minorBidi"/>
          <w:color w:val="242121"/>
        </w:rPr>
        <w:t xml:space="preserve">within the </w:t>
      </w:r>
      <w:r w:rsidR="001F5A59" w:rsidRPr="00F32D8A">
        <w:rPr>
          <w:rFonts w:asciiTheme="minorBidi" w:hAnsiTheme="minorBidi" w:cstheme="minorBidi"/>
          <w:color w:val="242121"/>
        </w:rPr>
        <w:t xml:space="preserve">prohibited </w:t>
      </w:r>
      <w:r w:rsidR="001C3617" w:rsidRPr="00F32D8A">
        <w:rPr>
          <w:rFonts w:asciiTheme="minorBidi" w:hAnsiTheme="minorBidi" w:cstheme="minorBidi"/>
          <w:color w:val="242121"/>
        </w:rPr>
        <w:t xml:space="preserve">grounds identified in sub-section </w:t>
      </w:r>
      <w:r w:rsidR="001C3617" w:rsidRPr="00F32D8A">
        <w:rPr>
          <w:rFonts w:asciiTheme="minorBidi" w:hAnsiTheme="minorBidi" w:cstheme="minorBidi"/>
          <w:i/>
          <w:iCs/>
          <w:color w:val="242121"/>
        </w:rPr>
        <w:t>(a)</w:t>
      </w:r>
      <w:r w:rsidR="001C3617" w:rsidRPr="00F32D8A">
        <w:rPr>
          <w:rFonts w:asciiTheme="minorBidi" w:hAnsiTheme="minorBidi" w:cstheme="minorBidi"/>
          <w:color w:val="242121"/>
        </w:rPr>
        <w:t xml:space="preserve"> quoted above</w:t>
      </w:r>
      <w:r w:rsidR="009D66FF" w:rsidRPr="00F32D8A">
        <w:rPr>
          <w:rFonts w:asciiTheme="minorBidi" w:hAnsiTheme="minorBidi" w:cstheme="minorBidi"/>
          <w:color w:val="242121"/>
        </w:rPr>
        <w:t xml:space="preserve"> as being of application</w:t>
      </w:r>
      <w:r w:rsidR="001C3617" w:rsidRPr="00F32D8A">
        <w:rPr>
          <w:rFonts w:asciiTheme="minorBidi" w:hAnsiTheme="minorBidi" w:cstheme="minorBidi"/>
          <w:color w:val="242121"/>
        </w:rPr>
        <w:t xml:space="preserve">. And while sub-section </w:t>
      </w:r>
      <w:r w:rsidR="001C3617" w:rsidRPr="00F32D8A">
        <w:rPr>
          <w:rFonts w:asciiTheme="minorBidi" w:hAnsiTheme="minorBidi" w:cstheme="minorBidi"/>
          <w:i/>
          <w:iCs/>
          <w:color w:val="242121"/>
        </w:rPr>
        <w:t>(b)</w:t>
      </w:r>
      <w:r w:rsidR="001C3617" w:rsidRPr="00F32D8A">
        <w:rPr>
          <w:rFonts w:asciiTheme="minorBidi" w:hAnsiTheme="minorBidi" w:cstheme="minorBidi"/>
          <w:color w:val="242121"/>
        </w:rPr>
        <w:t xml:space="preserve"> appears to be a catch-all sub-section</w:t>
      </w:r>
      <w:r w:rsidR="00737E67" w:rsidRPr="00F32D8A">
        <w:rPr>
          <w:rFonts w:asciiTheme="minorBidi" w:hAnsiTheme="minorBidi" w:cstheme="minorBidi"/>
          <w:color w:val="242121"/>
        </w:rPr>
        <w:t xml:space="preserve"> that would permit grounds not identified in sub-section </w:t>
      </w:r>
      <w:r w:rsidR="00737E67" w:rsidRPr="00F32D8A">
        <w:rPr>
          <w:rFonts w:asciiTheme="minorBidi" w:hAnsiTheme="minorBidi" w:cstheme="minorBidi"/>
          <w:i/>
          <w:iCs/>
          <w:color w:val="242121"/>
        </w:rPr>
        <w:t>(a)</w:t>
      </w:r>
      <w:r w:rsidR="00737E67" w:rsidRPr="00F32D8A">
        <w:rPr>
          <w:rFonts w:asciiTheme="minorBidi" w:hAnsiTheme="minorBidi" w:cstheme="minorBidi"/>
          <w:color w:val="242121"/>
        </w:rPr>
        <w:t xml:space="preserve"> to nonetheless still afford relief to a complainant</w:t>
      </w:r>
      <w:r w:rsidR="007F1E28" w:rsidRPr="00F32D8A">
        <w:rPr>
          <w:rFonts w:asciiTheme="minorBidi" w:hAnsiTheme="minorBidi" w:cstheme="minorBidi"/>
          <w:color w:val="242121"/>
        </w:rPr>
        <w:t xml:space="preserve"> if established</w:t>
      </w:r>
      <w:r w:rsidR="00737E67" w:rsidRPr="00F32D8A">
        <w:rPr>
          <w:rFonts w:asciiTheme="minorBidi" w:hAnsiTheme="minorBidi" w:cstheme="minorBidi"/>
          <w:color w:val="242121"/>
        </w:rPr>
        <w:t xml:space="preserve">, I </w:t>
      </w:r>
      <w:r w:rsidR="006A176F" w:rsidRPr="00F32D8A">
        <w:rPr>
          <w:rFonts w:asciiTheme="minorBidi" w:hAnsiTheme="minorBidi" w:cstheme="minorBidi"/>
          <w:color w:val="242121"/>
        </w:rPr>
        <w:t>cannot conceive of the appellant’s complaint falling within that sub-section</w:t>
      </w:r>
      <w:r w:rsidR="007F1E28" w:rsidRPr="00F32D8A">
        <w:rPr>
          <w:rFonts w:asciiTheme="minorBidi" w:hAnsiTheme="minorBidi" w:cstheme="minorBidi"/>
          <w:color w:val="242121"/>
        </w:rPr>
        <w:t xml:space="preserve"> either</w:t>
      </w:r>
      <w:r w:rsidR="006A176F" w:rsidRPr="00F32D8A">
        <w:rPr>
          <w:rFonts w:asciiTheme="minorBidi" w:hAnsiTheme="minorBidi" w:cstheme="minorBidi"/>
          <w:color w:val="242121"/>
        </w:rPr>
        <w:t xml:space="preserve">. Mixed-use schemes are permissible in law and </w:t>
      </w:r>
      <w:r w:rsidR="006A2795" w:rsidRPr="00F32D8A">
        <w:rPr>
          <w:rFonts w:asciiTheme="minorBidi" w:hAnsiTheme="minorBidi" w:cstheme="minorBidi"/>
          <w:color w:val="242121"/>
        </w:rPr>
        <w:t>it is not unlawful to adjust the voting strengths of owners within such a mixed</w:t>
      </w:r>
      <w:r w:rsidR="00CB5CEC" w:rsidRPr="00F32D8A">
        <w:rPr>
          <w:rFonts w:asciiTheme="minorBidi" w:hAnsiTheme="minorBidi" w:cstheme="minorBidi"/>
          <w:color w:val="242121"/>
        </w:rPr>
        <w:t>-</w:t>
      </w:r>
      <w:r w:rsidR="006A2795" w:rsidRPr="00F32D8A">
        <w:rPr>
          <w:rFonts w:asciiTheme="minorBidi" w:hAnsiTheme="minorBidi" w:cstheme="minorBidi"/>
          <w:color w:val="242121"/>
        </w:rPr>
        <w:t xml:space="preserve">use scheme. There is no unlawful conduct and there can therefore be no </w:t>
      </w:r>
      <w:r w:rsidR="008E454C" w:rsidRPr="00F32D8A">
        <w:rPr>
          <w:rFonts w:asciiTheme="minorBidi" w:hAnsiTheme="minorBidi" w:cstheme="minorBidi"/>
          <w:color w:val="242121"/>
        </w:rPr>
        <w:t>discrimination.</w:t>
      </w:r>
    </w:p>
    <w:p w14:paraId="006C0F1E" w14:textId="77777777" w:rsidR="00D936FA" w:rsidRPr="00B76F09" w:rsidRDefault="00D936FA" w:rsidP="00D936FA">
      <w:pPr>
        <w:pStyle w:val="ListParagraph"/>
        <w:spacing w:line="360" w:lineRule="auto"/>
        <w:ind w:left="0"/>
        <w:jc w:val="both"/>
        <w:rPr>
          <w:rFonts w:ascii="Arial" w:hAnsi="Arial" w:cs="Arial"/>
        </w:rPr>
      </w:pPr>
    </w:p>
    <w:p w14:paraId="1D9A8CFD" w14:textId="3B79BDF2" w:rsidR="00FC2BA9" w:rsidRPr="00F32D8A" w:rsidRDefault="00F32D8A" w:rsidP="00F32D8A">
      <w:pPr>
        <w:spacing w:line="360" w:lineRule="auto"/>
        <w:jc w:val="both"/>
        <w:rPr>
          <w:rFonts w:ascii="Arial" w:hAnsi="Arial" w:cs="Arial"/>
        </w:rPr>
      </w:pPr>
      <w:r w:rsidRPr="00B76F09">
        <w:rPr>
          <w:rFonts w:ascii="Arial" w:hAnsi="Arial" w:cs="Arial"/>
        </w:rPr>
        <w:t>[47]</w:t>
      </w:r>
      <w:r w:rsidRPr="00B76F09">
        <w:rPr>
          <w:rFonts w:ascii="Arial" w:hAnsi="Arial" w:cs="Arial"/>
        </w:rPr>
        <w:tab/>
      </w:r>
      <w:r w:rsidR="00FC2BA9" w:rsidRPr="00F32D8A">
        <w:rPr>
          <w:rFonts w:asciiTheme="minorBidi" w:hAnsiTheme="minorBidi" w:cstheme="minorBidi"/>
          <w:color w:val="242121"/>
        </w:rPr>
        <w:t>Section 9 of the Constitution reads as follows:</w:t>
      </w:r>
    </w:p>
    <w:p w14:paraId="76468CE4" w14:textId="42FD080D" w:rsidR="00E66CCD" w:rsidRPr="00B76F09" w:rsidRDefault="005727E8" w:rsidP="007F1E28">
      <w:pPr>
        <w:tabs>
          <w:tab w:val="left" w:pos="709"/>
        </w:tabs>
        <w:spacing w:line="360" w:lineRule="auto"/>
        <w:textAlignment w:val="baseline"/>
        <w:rPr>
          <w:rFonts w:asciiTheme="minorBidi" w:hAnsiTheme="minorBidi" w:cstheme="minorBidi"/>
          <w:color w:val="252525"/>
          <w:sz w:val="22"/>
          <w:szCs w:val="22"/>
        </w:rPr>
      </w:pPr>
      <w:r w:rsidRPr="00B76F09">
        <w:rPr>
          <w:rFonts w:asciiTheme="minorBidi" w:hAnsiTheme="minorBidi" w:cstheme="minorBidi"/>
          <w:color w:val="252525"/>
          <w:sz w:val="22"/>
          <w:szCs w:val="22"/>
        </w:rPr>
        <w:t>‘</w:t>
      </w:r>
      <w:r w:rsidR="00E66CCD" w:rsidRPr="00B76F09">
        <w:rPr>
          <w:rFonts w:asciiTheme="minorBidi" w:hAnsiTheme="minorBidi" w:cstheme="minorBidi"/>
          <w:color w:val="252525"/>
          <w:sz w:val="22"/>
          <w:szCs w:val="22"/>
        </w:rPr>
        <w:t>(1)  </w:t>
      </w:r>
      <w:r w:rsidR="007F1E28">
        <w:rPr>
          <w:rFonts w:asciiTheme="minorBidi" w:hAnsiTheme="minorBidi" w:cstheme="minorBidi"/>
          <w:color w:val="252525"/>
          <w:sz w:val="22"/>
          <w:szCs w:val="22"/>
        </w:rPr>
        <w:tab/>
      </w:r>
      <w:r w:rsidR="00E66CCD" w:rsidRPr="00B76F09">
        <w:rPr>
          <w:rFonts w:asciiTheme="minorBidi" w:hAnsiTheme="minorBidi" w:cstheme="minorBidi"/>
          <w:color w:val="252525"/>
          <w:sz w:val="22"/>
          <w:szCs w:val="22"/>
        </w:rPr>
        <w:t>Everyone is equal before the law and has the right to equal protection and benefit of the law.</w:t>
      </w:r>
    </w:p>
    <w:p w14:paraId="0B9800AA" w14:textId="4BADA6B8" w:rsidR="00E66CCD" w:rsidRPr="00B76F09" w:rsidRDefault="00E66CCD" w:rsidP="00E66CCD">
      <w:pPr>
        <w:tabs>
          <w:tab w:val="left" w:pos="709"/>
        </w:tabs>
        <w:spacing w:line="360" w:lineRule="auto"/>
        <w:jc w:val="both"/>
        <w:textAlignment w:val="baseline"/>
        <w:rPr>
          <w:rFonts w:asciiTheme="minorBidi" w:hAnsiTheme="minorBidi" w:cstheme="minorBidi"/>
          <w:color w:val="252525"/>
          <w:sz w:val="22"/>
          <w:szCs w:val="22"/>
        </w:rPr>
      </w:pPr>
      <w:r w:rsidRPr="00B76F09">
        <w:rPr>
          <w:rFonts w:asciiTheme="minorBidi" w:hAnsiTheme="minorBidi" w:cstheme="minorBidi"/>
          <w:color w:val="252525"/>
          <w:sz w:val="22"/>
          <w:szCs w:val="22"/>
        </w:rPr>
        <w:t>(2)  </w:t>
      </w:r>
      <w:r w:rsidR="007F1E28">
        <w:rPr>
          <w:rFonts w:asciiTheme="minorBidi" w:hAnsiTheme="minorBidi" w:cstheme="minorBidi"/>
          <w:color w:val="252525"/>
          <w:sz w:val="22"/>
          <w:szCs w:val="22"/>
        </w:rPr>
        <w:tab/>
      </w:r>
      <w:r w:rsidRPr="00B76F09">
        <w:rPr>
          <w:rFonts w:asciiTheme="minorBidi" w:hAnsiTheme="minorBidi" w:cstheme="minorBidi"/>
          <w:color w:val="252525"/>
          <w:sz w:val="22"/>
          <w:szCs w:val="22"/>
        </w:rPr>
        <w:t>Equality includes the full and equal enjoyment of all rights and freedoms. To promote the achievement of equality, legislative and other measures designed to protect or advance persons, or categories of persons, disadvantaged by unfair discrimination may be taken.</w:t>
      </w:r>
    </w:p>
    <w:p w14:paraId="615E3AB8" w14:textId="2E032384" w:rsidR="00E66CCD" w:rsidRPr="00B76F09" w:rsidRDefault="00E66CCD" w:rsidP="00E66CCD">
      <w:pPr>
        <w:tabs>
          <w:tab w:val="left" w:pos="709"/>
        </w:tabs>
        <w:spacing w:line="360" w:lineRule="auto"/>
        <w:jc w:val="both"/>
        <w:textAlignment w:val="baseline"/>
        <w:rPr>
          <w:rFonts w:asciiTheme="minorBidi" w:hAnsiTheme="minorBidi" w:cstheme="minorBidi"/>
          <w:color w:val="252525"/>
          <w:sz w:val="22"/>
          <w:szCs w:val="22"/>
        </w:rPr>
      </w:pPr>
      <w:r w:rsidRPr="00B76F09">
        <w:rPr>
          <w:rFonts w:asciiTheme="minorBidi" w:hAnsiTheme="minorBidi" w:cstheme="minorBidi"/>
          <w:color w:val="252525"/>
          <w:sz w:val="22"/>
          <w:szCs w:val="22"/>
        </w:rPr>
        <w:t>(3)  </w:t>
      </w:r>
      <w:r w:rsidR="007F1E28">
        <w:rPr>
          <w:rFonts w:asciiTheme="minorBidi" w:hAnsiTheme="minorBidi" w:cstheme="minorBidi"/>
          <w:color w:val="252525"/>
          <w:sz w:val="22"/>
          <w:szCs w:val="22"/>
        </w:rPr>
        <w:tab/>
      </w:r>
      <w:r w:rsidRPr="00B76F09">
        <w:rPr>
          <w:rFonts w:asciiTheme="minorBidi" w:hAnsiTheme="minorBidi" w:cstheme="minorBidi"/>
          <w:color w:val="252525"/>
          <w:sz w:val="22"/>
          <w:szCs w:val="22"/>
        </w:rPr>
        <w:t>The state may not unfairly discriminate directly or indirectly against anyone on one or more grounds, including race, gender, sex, pregnancy, marital status, ethnic or social origin, colour, sexual orientation, age, disability, religion, conscience, belief, culture, language and birth.</w:t>
      </w:r>
    </w:p>
    <w:p w14:paraId="76FF9130" w14:textId="4EAFCA27" w:rsidR="00E66CCD" w:rsidRPr="00B76F09" w:rsidRDefault="00E66CCD" w:rsidP="00E66CCD">
      <w:pPr>
        <w:tabs>
          <w:tab w:val="left" w:pos="709"/>
        </w:tabs>
        <w:spacing w:line="360" w:lineRule="auto"/>
        <w:jc w:val="both"/>
        <w:textAlignment w:val="baseline"/>
        <w:rPr>
          <w:rFonts w:asciiTheme="minorBidi" w:hAnsiTheme="minorBidi" w:cstheme="minorBidi"/>
          <w:color w:val="252525"/>
          <w:sz w:val="22"/>
          <w:szCs w:val="22"/>
        </w:rPr>
      </w:pPr>
      <w:r w:rsidRPr="00B76F09">
        <w:rPr>
          <w:rFonts w:asciiTheme="minorBidi" w:hAnsiTheme="minorBidi" w:cstheme="minorBidi"/>
          <w:color w:val="252525"/>
          <w:sz w:val="22"/>
          <w:szCs w:val="22"/>
        </w:rPr>
        <w:t>(4)  </w:t>
      </w:r>
      <w:r w:rsidR="007F1E28">
        <w:rPr>
          <w:rFonts w:asciiTheme="minorBidi" w:hAnsiTheme="minorBidi" w:cstheme="minorBidi"/>
          <w:color w:val="252525"/>
          <w:sz w:val="22"/>
          <w:szCs w:val="22"/>
        </w:rPr>
        <w:tab/>
      </w:r>
      <w:r w:rsidRPr="00B76F09">
        <w:rPr>
          <w:rFonts w:asciiTheme="minorBidi" w:hAnsiTheme="minorBidi" w:cstheme="minorBidi"/>
          <w:color w:val="252525"/>
          <w:sz w:val="22"/>
          <w:szCs w:val="22"/>
        </w:rPr>
        <w:t>No person may unfairly discriminate directly or indirectly against anyone on one or more grounds in terms of subsection (3). National legislation must be enacted to prevent or prohibit unfair discrimination.</w:t>
      </w:r>
    </w:p>
    <w:p w14:paraId="303C983F" w14:textId="72A473CE" w:rsidR="00FC2BA9" w:rsidRPr="00B76F09" w:rsidRDefault="00E66CCD" w:rsidP="00E66CCD">
      <w:pPr>
        <w:tabs>
          <w:tab w:val="left" w:pos="709"/>
        </w:tabs>
        <w:spacing w:line="360" w:lineRule="auto"/>
        <w:jc w:val="both"/>
        <w:textAlignment w:val="baseline"/>
        <w:rPr>
          <w:rFonts w:asciiTheme="minorBidi" w:hAnsiTheme="minorBidi" w:cstheme="minorBidi"/>
          <w:color w:val="252525"/>
          <w:sz w:val="22"/>
          <w:szCs w:val="22"/>
        </w:rPr>
      </w:pPr>
      <w:r w:rsidRPr="00B76F09">
        <w:rPr>
          <w:rFonts w:asciiTheme="minorBidi" w:hAnsiTheme="minorBidi" w:cstheme="minorBidi"/>
          <w:color w:val="252525"/>
          <w:sz w:val="22"/>
          <w:szCs w:val="22"/>
        </w:rPr>
        <w:t>(5)  </w:t>
      </w:r>
      <w:r w:rsidR="007F1E28">
        <w:rPr>
          <w:rFonts w:asciiTheme="minorBidi" w:hAnsiTheme="minorBidi" w:cstheme="minorBidi"/>
          <w:color w:val="252525"/>
          <w:sz w:val="22"/>
          <w:szCs w:val="22"/>
        </w:rPr>
        <w:tab/>
      </w:r>
      <w:r w:rsidRPr="00B76F09">
        <w:rPr>
          <w:rFonts w:asciiTheme="minorBidi" w:hAnsiTheme="minorBidi" w:cstheme="minorBidi"/>
          <w:color w:val="252525"/>
          <w:sz w:val="22"/>
          <w:szCs w:val="22"/>
        </w:rPr>
        <w:t>Discrimination on one or more of the grounds listed in subsection (3) is unfair unless it is established that the discrimination is fair.’</w:t>
      </w:r>
    </w:p>
    <w:p w14:paraId="03CE1B03" w14:textId="77777777" w:rsidR="005727E8" w:rsidRPr="00B76F09" w:rsidRDefault="005727E8" w:rsidP="002A28F6">
      <w:pPr>
        <w:spacing w:line="360" w:lineRule="auto"/>
        <w:jc w:val="both"/>
        <w:textAlignment w:val="baseline"/>
        <w:rPr>
          <w:rFonts w:asciiTheme="minorBidi" w:hAnsiTheme="minorBidi" w:cstheme="minorBidi"/>
          <w:color w:val="252525"/>
        </w:rPr>
      </w:pPr>
    </w:p>
    <w:p w14:paraId="59F359F0" w14:textId="337A112A" w:rsidR="00FC2BA9" w:rsidRPr="00F32D8A" w:rsidRDefault="00F32D8A" w:rsidP="00F32D8A">
      <w:pPr>
        <w:spacing w:line="360" w:lineRule="auto"/>
        <w:jc w:val="both"/>
        <w:rPr>
          <w:rFonts w:ascii="Arial" w:hAnsi="Arial" w:cs="Arial"/>
        </w:rPr>
      </w:pPr>
      <w:r w:rsidRPr="00B76F09">
        <w:rPr>
          <w:rFonts w:ascii="Arial" w:hAnsi="Arial" w:cs="Arial"/>
        </w:rPr>
        <w:t>[48]</w:t>
      </w:r>
      <w:r w:rsidRPr="00B76F09">
        <w:rPr>
          <w:rFonts w:ascii="Arial" w:hAnsi="Arial" w:cs="Arial"/>
        </w:rPr>
        <w:tab/>
      </w:r>
      <w:r w:rsidR="00CA67B9" w:rsidRPr="00F32D8A">
        <w:rPr>
          <w:rFonts w:ascii="Arial" w:hAnsi="Arial" w:cs="Arial"/>
        </w:rPr>
        <w:t>Given the fact that the second respondent is a mixed</w:t>
      </w:r>
      <w:r w:rsidR="00E66CCD" w:rsidRPr="00F32D8A">
        <w:rPr>
          <w:rFonts w:ascii="Arial" w:hAnsi="Arial" w:cs="Arial"/>
        </w:rPr>
        <w:t>-</w:t>
      </w:r>
      <w:r w:rsidR="00CA67B9" w:rsidRPr="00F32D8A">
        <w:rPr>
          <w:rFonts w:ascii="Arial" w:hAnsi="Arial" w:cs="Arial"/>
        </w:rPr>
        <w:t xml:space="preserve">use scheme, any differentiation in the rights of different classes of owners within the scheme is both to be expected and is not </w:t>
      </w:r>
      <w:r w:rsidR="00894D58" w:rsidRPr="00F32D8A">
        <w:rPr>
          <w:rFonts w:ascii="Arial" w:hAnsi="Arial" w:cs="Arial"/>
        </w:rPr>
        <w:t>unfair</w:t>
      </w:r>
      <w:r w:rsidR="00CA67B9" w:rsidRPr="00F32D8A">
        <w:rPr>
          <w:rFonts w:ascii="Arial" w:hAnsi="Arial" w:cs="Arial"/>
        </w:rPr>
        <w:t xml:space="preserve"> </w:t>
      </w:r>
      <w:r w:rsidR="00345CB9" w:rsidRPr="00F32D8A">
        <w:rPr>
          <w:rFonts w:ascii="Arial" w:hAnsi="Arial" w:cs="Arial"/>
        </w:rPr>
        <w:t>in terms of the Equality Act or the Constitution.</w:t>
      </w:r>
      <w:r w:rsidR="00D936FA" w:rsidRPr="00F32D8A">
        <w:rPr>
          <w:rFonts w:ascii="Arial" w:hAnsi="Arial" w:cs="Arial"/>
        </w:rPr>
        <w:t xml:space="preserve"> I can </w:t>
      </w:r>
      <w:r w:rsidR="007F1E28" w:rsidRPr="00F32D8A">
        <w:rPr>
          <w:rFonts w:ascii="Arial" w:hAnsi="Arial" w:cs="Arial"/>
        </w:rPr>
        <w:lastRenderedPageBreak/>
        <w:t xml:space="preserve">likewise </w:t>
      </w:r>
      <w:r w:rsidR="00D936FA" w:rsidRPr="00F32D8A">
        <w:rPr>
          <w:rFonts w:ascii="Arial" w:hAnsi="Arial" w:cs="Arial"/>
        </w:rPr>
        <w:t xml:space="preserve">find no basis for concluding that </w:t>
      </w:r>
      <w:r w:rsidR="00A576D0" w:rsidRPr="00F32D8A">
        <w:rPr>
          <w:rFonts w:ascii="Arial" w:hAnsi="Arial" w:cs="Arial"/>
        </w:rPr>
        <w:t xml:space="preserve">any infringement of the appellant’s </w:t>
      </w:r>
      <w:r w:rsidR="00F842D8" w:rsidRPr="00F32D8A">
        <w:rPr>
          <w:rFonts w:ascii="Arial" w:hAnsi="Arial" w:cs="Arial"/>
        </w:rPr>
        <w:t>personal rights h</w:t>
      </w:r>
      <w:r w:rsidR="003C2FD5" w:rsidRPr="00F32D8A">
        <w:rPr>
          <w:rFonts w:ascii="Arial" w:hAnsi="Arial" w:cs="Arial"/>
        </w:rPr>
        <w:t xml:space="preserve">as occurred nor that any of his </w:t>
      </w:r>
      <w:r w:rsidR="00A576D0" w:rsidRPr="00F32D8A">
        <w:rPr>
          <w:rFonts w:ascii="Arial" w:hAnsi="Arial" w:cs="Arial"/>
        </w:rPr>
        <w:t>property rights ha</w:t>
      </w:r>
      <w:r w:rsidR="003C2FD5" w:rsidRPr="00F32D8A">
        <w:rPr>
          <w:rFonts w:ascii="Arial" w:hAnsi="Arial" w:cs="Arial"/>
        </w:rPr>
        <w:t>ve been infringed</w:t>
      </w:r>
      <w:r w:rsidR="00A576D0" w:rsidRPr="00F32D8A">
        <w:rPr>
          <w:rFonts w:ascii="Arial" w:hAnsi="Arial" w:cs="Arial"/>
        </w:rPr>
        <w:t>.</w:t>
      </w:r>
      <w:r w:rsidR="00A576D0" w:rsidRPr="00B76F09">
        <w:rPr>
          <w:rStyle w:val="FootnoteReference"/>
          <w:rFonts w:ascii="Arial" w:hAnsi="Arial" w:cs="Arial"/>
        </w:rPr>
        <w:footnoteReference w:id="22"/>
      </w:r>
      <w:r w:rsidR="00D936FA" w:rsidRPr="00F32D8A">
        <w:rPr>
          <w:rFonts w:ascii="Arial" w:hAnsi="Arial" w:cs="Arial"/>
        </w:rPr>
        <w:t xml:space="preserve"> </w:t>
      </w:r>
    </w:p>
    <w:p w14:paraId="55B798B0" w14:textId="77777777" w:rsidR="00894D58" w:rsidRPr="00B76F09" w:rsidRDefault="00894D58" w:rsidP="002A28F6">
      <w:pPr>
        <w:pStyle w:val="ListParagraph"/>
        <w:spacing w:line="360" w:lineRule="auto"/>
        <w:ind w:left="0"/>
        <w:jc w:val="both"/>
        <w:rPr>
          <w:rFonts w:ascii="Arial" w:hAnsi="Arial" w:cs="Arial"/>
        </w:rPr>
      </w:pPr>
    </w:p>
    <w:p w14:paraId="13293F70" w14:textId="3DFFDAF0" w:rsidR="00894D58" w:rsidRPr="00F32D8A" w:rsidRDefault="00F32D8A" w:rsidP="00F32D8A">
      <w:pPr>
        <w:spacing w:line="360" w:lineRule="auto"/>
        <w:jc w:val="both"/>
        <w:rPr>
          <w:rFonts w:ascii="Arial" w:hAnsi="Arial" w:cs="Arial"/>
        </w:rPr>
      </w:pPr>
      <w:r>
        <w:rPr>
          <w:rFonts w:ascii="Arial" w:hAnsi="Arial" w:cs="Arial"/>
        </w:rPr>
        <w:t>[49]</w:t>
      </w:r>
      <w:r>
        <w:rPr>
          <w:rFonts w:ascii="Arial" w:hAnsi="Arial" w:cs="Arial"/>
        </w:rPr>
        <w:tab/>
      </w:r>
      <w:r w:rsidR="00894D58" w:rsidRPr="00F32D8A">
        <w:rPr>
          <w:rFonts w:ascii="Arial" w:hAnsi="Arial" w:cs="Arial"/>
        </w:rPr>
        <w:t>In the circumstances, I grant the following order:</w:t>
      </w:r>
    </w:p>
    <w:p w14:paraId="4D748E31" w14:textId="19C68B4F" w:rsidR="007F1E28" w:rsidRDefault="007F1E28" w:rsidP="007F1E28">
      <w:pPr>
        <w:pStyle w:val="ListParagraph"/>
        <w:spacing w:line="360" w:lineRule="auto"/>
        <w:ind w:left="0"/>
        <w:jc w:val="both"/>
        <w:rPr>
          <w:rFonts w:ascii="Arial" w:hAnsi="Arial" w:cs="Arial"/>
        </w:rPr>
      </w:pPr>
    </w:p>
    <w:p w14:paraId="729B341A" w14:textId="423CF975" w:rsidR="00894D58" w:rsidRPr="00B76F09" w:rsidRDefault="000F36F0" w:rsidP="002A28F6">
      <w:pPr>
        <w:pStyle w:val="ListParagraph"/>
        <w:spacing w:line="360" w:lineRule="auto"/>
        <w:ind w:left="0"/>
        <w:jc w:val="both"/>
        <w:rPr>
          <w:rFonts w:ascii="Arial" w:hAnsi="Arial" w:cs="Arial"/>
        </w:rPr>
      </w:pPr>
      <w:r>
        <w:rPr>
          <w:rFonts w:ascii="Arial" w:hAnsi="Arial" w:cs="Arial"/>
        </w:rPr>
        <w:t>1.</w:t>
      </w:r>
      <w:r>
        <w:rPr>
          <w:rFonts w:ascii="Arial" w:hAnsi="Arial" w:cs="Arial"/>
        </w:rPr>
        <w:tab/>
      </w:r>
      <w:r w:rsidR="002A28F6" w:rsidRPr="00B76F09">
        <w:rPr>
          <w:rFonts w:ascii="Arial" w:hAnsi="Arial" w:cs="Arial"/>
        </w:rPr>
        <w:t>The appeal is refused with costs.</w:t>
      </w:r>
    </w:p>
    <w:p w14:paraId="4E2A6B91" w14:textId="77777777" w:rsidR="00FE6A37" w:rsidRPr="00B76F09" w:rsidRDefault="00FE6A37" w:rsidP="002A28F6">
      <w:pPr>
        <w:pStyle w:val="ListParagraph"/>
        <w:tabs>
          <w:tab w:val="left" w:pos="709"/>
        </w:tabs>
        <w:spacing w:line="360" w:lineRule="auto"/>
        <w:ind w:left="0"/>
        <w:jc w:val="both"/>
        <w:rPr>
          <w:rFonts w:ascii="Arial" w:hAnsi="Arial" w:cs="Arial"/>
        </w:rPr>
      </w:pPr>
    </w:p>
    <w:p w14:paraId="75CD8ED1" w14:textId="77777777" w:rsidR="008213B2" w:rsidRPr="00B76F09" w:rsidRDefault="008213B2" w:rsidP="000007E9">
      <w:pPr>
        <w:tabs>
          <w:tab w:val="left" w:pos="1418"/>
        </w:tabs>
        <w:spacing w:line="360" w:lineRule="auto"/>
        <w:jc w:val="both"/>
        <w:rPr>
          <w:rFonts w:ascii="Arial" w:hAnsi="Arial" w:cs="Arial"/>
        </w:rPr>
      </w:pPr>
    </w:p>
    <w:p w14:paraId="590A38E3" w14:textId="1D7CE47B" w:rsidR="0034103F" w:rsidRDefault="0034103F" w:rsidP="000007E9">
      <w:pPr>
        <w:tabs>
          <w:tab w:val="left" w:pos="1418"/>
        </w:tabs>
        <w:spacing w:line="360" w:lineRule="auto"/>
        <w:jc w:val="both"/>
        <w:rPr>
          <w:rFonts w:ascii="Arial" w:hAnsi="Arial" w:cs="Arial"/>
          <w:noProof/>
          <w:lang w:val="en-GB" w:bidi="ar-SA"/>
        </w:rPr>
      </w:pPr>
    </w:p>
    <w:p w14:paraId="44E56EB3" w14:textId="07600E6B" w:rsidR="008E454C" w:rsidRPr="00B76F09" w:rsidRDefault="008E454C" w:rsidP="000007E9">
      <w:pPr>
        <w:tabs>
          <w:tab w:val="left" w:pos="1418"/>
        </w:tabs>
        <w:spacing w:line="360" w:lineRule="auto"/>
        <w:jc w:val="both"/>
        <w:rPr>
          <w:rFonts w:ascii="Arial" w:hAnsi="Arial" w:cs="Arial"/>
        </w:rPr>
      </w:pPr>
    </w:p>
    <w:p w14:paraId="3BF42F15" w14:textId="707583AA" w:rsidR="008213B2" w:rsidRPr="00B76F09" w:rsidRDefault="008213B2" w:rsidP="000007E9">
      <w:pPr>
        <w:tabs>
          <w:tab w:val="left" w:pos="1418"/>
        </w:tabs>
        <w:spacing w:line="360" w:lineRule="auto"/>
        <w:jc w:val="both"/>
        <w:rPr>
          <w:rFonts w:ascii="Arial" w:hAnsi="Arial" w:cs="Arial"/>
        </w:rPr>
      </w:pPr>
    </w:p>
    <w:p w14:paraId="21BF0522" w14:textId="77777777" w:rsidR="0003659C" w:rsidRPr="00B76F09" w:rsidRDefault="0003659C" w:rsidP="0003659C">
      <w:pPr>
        <w:tabs>
          <w:tab w:val="left" w:pos="1418"/>
        </w:tabs>
        <w:spacing w:line="360" w:lineRule="auto"/>
        <w:jc w:val="right"/>
        <w:rPr>
          <w:rFonts w:ascii="Arial" w:hAnsi="Arial" w:cs="Arial"/>
        </w:rPr>
      </w:pPr>
      <w:r w:rsidRPr="00B76F09">
        <w:rPr>
          <w:rFonts w:ascii="Arial" w:hAnsi="Arial" w:cs="Arial"/>
        </w:rPr>
        <w:t>__________________________</w:t>
      </w:r>
    </w:p>
    <w:p w14:paraId="3834AE49" w14:textId="77777777" w:rsidR="0003659C" w:rsidRPr="00B76F09" w:rsidRDefault="0003659C" w:rsidP="0003659C">
      <w:pPr>
        <w:tabs>
          <w:tab w:val="left" w:pos="1418"/>
        </w:tabs>
        <w:spacing w:line="360" w:lineRule="auto"/>
        <w:jc w:val="right"/>
        <w:rPr>
          <w:rFonts w:ascii="Arial" w:hAnsi="Arial" w:cs="Arial"/>
        </w:rPr>
      </w:pPr>
    </w:p>
    <w:p w14:paraId="580F048E" w14:textId="77777777" w:rsidR="0003659C" w:rsidRPr="00B76F09" w:rsidRDefault="0003659C" w:rsidP="0003659C">
      <w:pPr>
        <w:tabs>
          <w:tab w:val="left" w:pos="1418"/>
        </w:tabs>
        <w:spacing w:line="360" w:lineRule="auto"/>
        <w:jc w:val="right"/>
        <w:rPr>
          <w:rFonts w:ascii="Arial" w:hAnsi="Arial" w:cs="Arial"/>
          <w:b/>
          <w:bCs/>
        </w:rPr>
      </w:pPr>
      <w:r w:rsidRPr="00B76F09">
        <w:rPr>
          <w:rFonts w:ascii="Arial" w:hAnsi="Arial" w:cs="Arial"/>
          <w:b/>
          <w:bCs/>
        </w:rPr>
        <w:t>MOSSOP J</w:t>
      </w:r>
    </w:p>
    <w:p w14:paraId="532E93DA" w14:textId="77777777" w:rsidR="00D53F40" w:rsidRPr="00B76F09" w:rsidRDefault="00D53F40" w:rsidP="0003659C">
      <w:pPr>
        <w:tabs>
          <w:tab w:val="left" w:pos="1418"/>
        </w:tabs>
        <w:spacing w:line="360" w:lineRule="auto"/>
        <w:jc w:val="right"/>
        <w:rPr>
          <w:rFonts w:ascii="Arial" w:hAnsi="Arial" w:cs="Arial"/>
          <w:b/>
          <w:bCs/>
        </w:rPr>
      </w:pPr>
    </w:p>
    <w:p w14:paraId="4B17CD30" w14:textId="77777777" w:rsidR="00F842D8" w:rsidRPr="00B76F09" w:rsidRDefault="00F842D8" w:rsidP="00D53F40">
      <w:pPr>
        <w:spacing w:line="360" w:lineRule="auto"/>
        <w:jc w:val="center"/>
        <w:rPr>
          <w:rFonts w:ascii="Arial" w:eastAsia="Calibri" w:hAnsi="Arial" w:cs="Arial"/>
          <w:b/>
          <w:u w:val="single"/>
        </w:rPr>
      </w:pPr>
    </w:p>
    <w:p w14:paraId="63D9E2AE" w14:textId="77777777" w:rsidR="00F842D8" w:rsidRPr="00B76F09" w:rsidRDefault="00F842D8" w:rsidP="00D53F40">
      <w:pPr>
        <w:spacing w:line="360" w:lineRule="auto"/>
        <w:jc w:val="center"/>
        <w:rPr>
          <w:rFonts w:ascii="Arial" w:eastAsia="Calibri" w:hAnsi="Arial" w:cs="Arial"/>
          <w:b/>
          <w:u w:val="single"/>
        </w:rPr>
      </w:pPr>
    </w:p>
    <w:p w14:paraId="24B11152" w14:textId="77777777" w:rsidR="00F842D8" w:rsidRPr="00B76F09" w:rsidRDefault="00F842D8" w:rsidP="00D53F40">
      <w:pPr>
        <w:spacing w:line="360" w:lineRule="auto"/>
        <w:jc w:val="center"/>
        <w:rPr>
          <w:rFonts w:ascii="Arial" w:eastAsia="Calibri" w:hAnsi="Arial" w:cs="Arial"/>
          <w:b/>
          <w:u w:val="single"/>
        </w:rPr>
      </w:pPr>
    </w:p>
    <w:p w14:paraId="62BEE82E" w14:textId="77777777" w:rsidR="00F842D8" w:rsidRPr="00B76F09" w:rsidRDefault="00F842D8" w:rsidP="00D53F40">
      <w:pPr>
        <w:spacing w:line="360" w:lineRule="auto"/>
        <w:jc w:val="center"/>
        <w:rPr>
          <w:rFonts w:ascii="Arial" w:eastAsia="Calibri" w:hAnsi="Arial" w:cs="Arial"/>
          <w:b/>
          <w:u w:val="single"/>
        </w:rPr>
      </w:pPr>
    </w:p>
    <w:p w14:paraId="73F57B21" w14:textId="77777777" w:rsidR="00F842D8" w:rsidRPr="00B76F09" w:rsidRDefault="00F842D8" w:rsidP="00D53F40">
      <w:pPr>
        <w:spacing w:line="360" w:lineRule="auto"/>
        <w:jc w:val="center"/>
        <w:rPr>
          <w:rFonts w:ascii="Arial" w:eastAsia="Calibri" w:hAnsi="Arial" w:cs="Arial"/>
          <w:b/>
          <w:u w:val="single"/>
        </w:rPr>
      </w:pPr>
    </w:p>
    <w:p w14:paraId="24E3FFA4" w14:textId="77777777" w:rsidR="00F842D8" w:rsidRPr="00B76F09" w:rsidRDefault="00F842D8" w:rsidP="00D53F40">
      <w:pPr>
        <w:spacing w:line="360" w:lineRule="auto"/>
        <w:jc w:val="center"/>
        <w:rPr>
          <w:rFonts w:ascii="Arial" w:eastAsia="Calibri" w:hAnsi="Arial" w:cs="Arial"/>
          <w:b/>
          <w:u w:val="single"/>
        </w:rPr>
      </w:pPr>
    </w:p>
    <w:p w14:paraId="0B784C1D" w14:textId="77777777" w:rsidR="00F842D8" w:rsidRPr="00B76F09" w:rsidRDefault="00F842D8" w:rsidP="00D53F40">
      <w:pPr>
        <w:spacing w:line="360" w:lineRule="auto"/>
        <w:jc w:val="center"/>
        <w:rPr>
          <w:rFonts w:ascii="Arial" w:eastAsia="Calibri" w:hAnsi="Arial" w:cs="Arial"/>
          <w:b/>
          <w:u w:val="single"/>
        </w:rPr>
      </w:pPr>
    </w:p>
    <w:p w14:paraId="002E4EE4" w14:textId="77777777" w:rsidR="00F842D8" w:rsidRPr="00B76F09" w:rsidRDefault="00F842D8" w:rsidP="00D53F40">
      <w:pPr>
        <w:spacing w:line="360" w:lineRule="auto"/>
        <w:jc w:val="center"/>
        <w:rPr>
          <w:rFonts w:ascii="Arial" w:eastAsia="Calibri" w:hAnsi="Arial" w:cs="Arial"/>
          <w:b/>
          <w:u w:val="single"/>
        </w:rPr>
      </w:pPr>
    </w:p>
    <w:p w14:paraId="77043A7F" w14:textId="77777777" w:rsidR="00F842D8" w:rsidRPr="00B76F09" w:rsidRDefault="00F842D8" w:rsidP="00D53F40">
      <w:pPr>
        <w:spacing w:line="360" w:lineRule="auto"/>
        <w:jc w:val="center"/>
        <w:rPr>
          <w:rFonts w:ascii="Arial" w:eastAsia="Calibri" w:hAnsi="Arial" w:cs="Arial"/>
          <w:b/>
          <w:u w:val="single"/>
        </w:rPr>
      </w:pPr>
    </w:p>
    <w:p w14:paraId="0CED9E7B" w14:textId="77777777" w:rsidR="00F842D8" w:rsidRPr="00B76F09" w:rsidRDefault="00F842D8" w:rsidP="00D53F40">
      <w:pPr>
        <w:spacing w:line="360" w:lineRule="auto"/>
        <w:jc w:val="center"/>
        <w:rPr>
          <w:rFonts w:ascii="Arial" w:eastAsia="Calibri" w:hAnsi="Arial" w:cs="Arial"/>
          <w:b/>
          <w:u w:val="single"/>
        </w:rPr>
      </w:pPr>
    </w:p>
    <w:p w14:paraId="0B7FD4BE" w14:textId="77777777" w:rsidR="00F842D8" w:rsidRPr="00B76F09" w:rsidRDefault="00F842D8" w:rsidP="00D53F40">
      <w:pPr>
        <w:spacing w:line="360" w:lineRule="auto"/>
        <w:jc w:val="center"/>
        <w:rPr>
          <w:rFonts w:ascii="Arial" w:eastAsia="Calibri" w:hAnsi="Arial" w:cs="Arial"/>
          <w:b/>
          <w:u w:val="single"/>
        </w:rPr>
      </w:pPr>
    </w:p>
    <w:p w14:paraId="277BBBD0" w14:textId="77777777" w:rsidR="00F842D8" w:rsidRPr="00B76F09" w:rsidRDefault="00F842D8" w:rsidP="00D53F40">
      <w:pPr>
        <w:spacing w:line="360" w:lineRule="auto"/>
        <w:jc w:val="center"/>
        <w:rPr>
          <w:rFonts w:ascii="Arial" w:eastAsia="Calibri" w:hAnsi="Arial" w:cs="Arial"/>
          <w:b/>
          <w:u w:val="single"/>
        </w:rPr>
      </w:pPr>
    </w:p>
    <w:p w14:paraId="5F12FBD9" w14:textId="77777777" w:rsidR="00F842D8" w:rsidRPr="00B76F09" w:rsidRDefault="00F842D8" w:rsidP="00D53F40">
      <w:pPr>
        <w:spacing w:line="360" w:lineRule="auto"/>
        <w:jc w:val="center"/>
        <w:rPr>
          <w:rFonts w:ascii="Arial" w:eastAsia="Calibri" w:hAnsi="Arial" w:cs="Arial"/>
          <w:b/>
          <w:u w:val="single"/>
        </w:rPr>
      </w:pPr>
    </w:p>
    <w:p w14:paraId="29F055ED" w14:textId="18795935" w:rsidR="00F842D8" w:rsidRDefault="00F842D8" w:rsidP="00D53F40">
      <w:pPr>
        <w:spacing w:line="360" w:lineRule="auto"/>
        <w:jc w:val="center"/>
        <w:rPr>
          <w:rFonts w:ascii="Arial" w:eastAsia="Calibri" w:hAnsi="Arial" w:cs="Arial"/>
          <w:b/>
          <w:u w:val="single"/>
        </w:rPr>
      </w:pPr>
    </w:p>
    <w:p w14:paraId="0260093E" w14:textId="77777777" w:rsidR="0034103F" w:rsidRPr="00B76F09" w:rsidRDefault="0034103F" w:rsidP="00D53F40">
      <w:pPr>
        <w:spacing w:line="360" w:lineRule="auto"/>
        <w:jc w:val="center"/>
        <w:rPr>
          <w:rFonts w:ascii="Arial" w:eastAsia="Calibri" w:hAnsi="Arial" w:cs="Arial"/>
          <w:b/>
          <w:u w:val="single"/>
        </w:rPr>
      </w:pPr>
    </w:p>
    <w:p w14:paraId="6FCDDCD3" w14:textId="77777777" w:rsidR="00F842D8" w:rsidRPr="00B76F09" w:rsidRDefault="00F842D8" w:rsidP="00D53F40">
      <w:pPr>
        <w:spacing w:line="360" w:lineRule="auto"/>
        <w:jc w:val="center"/>
        <w:rPr>
          <w:rFonts w:ascii="Arial" w:eastAsia="Calibri" w:hAnsi="Arial" w:cs="Arial"/>
          <w:b/>
          <w:u w:val="single"/>
        </w:rPr>
      </w:pPr>
    </w:p>
    <w:p w14:paraId="2EC03701" w14:textId="2075DEA0" w:rsidR="00D53F40" w:rsidRPr="00B76F09" w:rsidRDefault="00D53F40" w:rsidP="00D53F40">
      <w:pPr>
        <w:spacing w:line="360" w:lineRule="auto"/>
        <w:jc w:val="center"/>
        <w:rPr>
          <w:rFonts w:ascii="Arial" w:eastAsia="Calibri" w:hAnsi="Arial" w:cs="Arial"/>
          <w:b/>
          <w:u w:val="single"/>
        </w:rPr>
      </w:pPr>
      <w:r w:rsidRPr="00B76F09">
        <w:rPr>
          <w:rFonts w:ascii="Arial" w:eastAsia="Calibri" w:hAnsi="Arial" w:cs="Arial"/>
          <w:b/>
          <w:u w:val="single"/>
        </w:rPr>
        <w:lastRenderedPageBreak/>
        <w:t>APPEARANCES</w:t>
      </w:r>
    </w:p>
    <w:p w14:paraId="1F0AF7E8" w14:textId="77777777" w:rsidR="00D53F40" w:rsidRPr="00B76F09" w:rsidRDefault="00D53F40" w:rsidP="00D53F40">
      <w:pPr>
        <w:spacing w:line="360" w:lineRule="auto"/>
        <w:jc w:val="center"/>
        <w:rPr>
          <w:rFonts w:ascii="Arial" w:eastAsia="Calibri" w:hAnsi="Arial" w:cs="Arial"/>
          <w:b/>
          <w:u w:val="single"/>
        </w:rPr>
      </w:pPr>
    </w:p>
    <w:p w14:paraId="02D55142" w14:textId="77777777" w:rsidR="00446D56" w:rsidRPr="00B76F09" w:rsidRDefault="00446D56" w:rsidP="00D53F40">
      <w:pPr>
        <w:spacing w:line="360" w:lineRule="auto"/>
        <w:jc w:val="center"/>
        <w:rPr>
          <w:rFonts w:ascii="Arial" w:eastAsia="Calibri" w:hAnsi="Arial" w:cs="Arial"/>
          <w:b/>
          <w:u w:val="single"/>
        </w:rPr>
      </w:pPr>
    </w:p>
    <w:p w14:paraId="4C9AF983" w14:textId="77777777" w:rsidR="00D53F40" w:rsidRPr="00B76F09" w:rsidRDefault="00D53F40" w:rsidP="00D53F40">
      <w:pPr>
        <w:spacing w:line="360" w:lineRule="auto"/>
        <w:ind w:right="-82"/>
        <w:jc w:val="both"/>
        <w:rPr>
          <w:rFonts w:ascii="Arial" w:hAnsi="Arial" w:cs="Arial"/>
        </w:rPr>
      </w:pPr>
      <w:r w:rsidRPr="00B76F09">
        <w:rPr>
          <w:rFonts w:ascii="Arial" w:hAnsi="Arial" w:cs="Arial"/>
        </w:rPr>
        <w:t>Counsel for the appellant</w:t>
      </w:r>
      <w:r w:rsidRPr="00B76F09">
        <w:rPr>
          <w:rFonts w:ascii="Arial" w:hAnsi="Arial" w:cs="Arial"/>
        </w:rPr>
        <w:tab/>
      </w:r>
      <w:r w:rsidRPr="00B76F09">
        <w:rPr>
          <w:rFonts w:ascii="Arial" w:hAnsi="Arial" w:cs="Arial"/>
        </w:rPr>
        <w:tab/>
        <w:t xml:space="preserve">:  </w:t>
      </w:r>
      <w:r w:rsidRPr="00B76F09">
        <w:rPr>
          <w:rFonts w:ascii="Arial" w:hAnsi="Arial" w:cs="Arial"/>
        </w:rPr>
        <w:tab/>
        <w:t>Mr</w:t>
      </w:r>
      <w:r w:rsidR="00965280" w:rsidRPr="00B76F09">
        <w:rPr>
          <w:rFonts w:ascii="Arial" w:hAnsi="Arial" w:cs="Arial"/>
        </w:rPr>
        <w:t>. M. S. Omar</w:t>
      </w:r>
      <w:r w:rsidRPr="00B76F09">
        <w:rPr>
          <w:rFonts w:ascii="Arial" w:hAnsi="Arial" w:cs="Arial"/>
        </w:rPr>
        <w:t xml:space="preserve"> </w:t>
      </w:r>
    </w:p>
    <w:p w14:paraId="7062FAB2" w14:textId="567A9CE3" w:rsidR="00D53F40" w:rsidRPr="00B76F09" w:rsidRDefault="00D53F40" w:rsidP="00F67EE5">
      <w:pPr>
        <w:spacing w:line="360" w:lineRule="auto"/>
        <w:ind w:right="-82"/>
        <w:jc w:val="both"/>
        <w:rPr>
          <w:rFonts w:ascii="Arial" w:hAnsi="Arial" w:cs="Arial"/>
        </w:rPr>
      </w:pPr>
      <w:r w:rsidRPr="00B76F09">
        <w:rPr>
          <w:rFonts w:ascii="Arial" w:hAnsi="Arial" w:cs="Arial"/>
        </w:rPr>
        <w:t>Instructed by:</w:t>
      </w:r>
      <w:r w:rsidRPr="00B76F09">
        <w:rPr>
          <w:rFonts w:ascii="Arial" w:hAnsi="Arial" w:cs="Arial"/>
        </w:rPr>
        <w:tab/>
      </w:r>
      <w:r w:rsidRPr="00B76F09">
        <w:rPr>
          <w:rFonts w:ascii="Arial" w:hAnsi="Arial" w:cs="Arial"/>
        </w:rPr>
        <w:tab/>
      </w:r>
      <w:r w:rsidRPr="00B76F09">
        <w:rPr>
          <w:rFonts w:ascii="Arial" w:hAnsi="Arial" w:cs="Arial"/>
        </w:rPr>
        <w:tab/>
        <w:t>:</w:t>
      </w:r>
      <w:r w:rsidRPr="00B76F09">
        <w:rPr>
          <w:rFonts w:ascii="Arial" w:hAnsi="Arial" w:cs="Arial"/>
        </w:rPr>
        <w:tab/>
      </w:r>
      <w:r w:rsidR="00965280" w:rsidRPr="00B76F09">
        <w:rPr>
          <w:rFonts w:ascii="Arial" w:hAnsi="Arial" w:cs="Arial"/>
        </w:rPr>
        <w:t>M. S. Omar and Associates</w:t>
      </w:r>
    </w:p>
    <w:p w14:paraId="203862EC" w14:textId="77777777" w:rsidR="00446D56" w:rsidRPr="00B76F09" w:rsidRDefault="00446D56" w:rsidP="00F67EE5">
      <w:pPr>
        <w:spacing w:line="360" w:lineRule="auto"/>
        <w:ind w:right="-82"/>
        <w:jc w:val="both"/>
        <w:rPr>
          <w:rFonts w:ascii="Arial" w:hAnsi="Arial" w:cs="Arial"/>
        </w:rPr>
      </w:pP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00965280" w:rsidRPr="00B76F09">
        <w:rPr>
          <w:rFonts w:ascii="Arial" w:hAnsi="Arial" w:cs="Arial"/>
        </w:rPr>
        <w:t>28 Rhodes Avenue</w:t>
      </w:r>
    </w:p>
    <w:p w14:paraId="2E37ACB6" w14:textId="77777777" w:rsidR="00965280" w:rsidRPr="00B76F09" w:rsidRDefault="00965280" w:rsidP="00F67EE5">
      <w:pPr>
        <w:spacing w:line="360" w:lineRule="auto"/>
        <w:ind w:right="-82"/>
        <w:jc w:val="both"/>
        <w:rPr>
          <w:rFonts w:ascii="Arial" w:hAnsi="Arial" w:cs="Arial"/>
        </w:rPr>
      </w:pP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t>Westville</w:t>
      </w:r>
    </w:p>
    <w:p w14:paraId="57FAA32A" w14:textId="2AB56DFF" w:rsidR="00D53F40" w:rsidRPr="00B76F09" w:rsidRDefault="00446D56" w:rsidP="00080EDC">
      <w:pPr>
        <w:spacing w:line="360" w:lineRule="auto"/>
        <w:ind w:right="-82"/>
        <w:jc w:val="both"/>
        <w:rPr>
          <w:rFonts w:ascii="Arial" w:hAnsi="Arial" w:cs="Arial"/>
        </w:rPr>
      </w:pP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00D53F40" w:rsidRPr="00B76F09">
        <w:rPr>
          <w:rFonts w:ascii="Arial" w:hAnsi="Arial" w:cs="Arial"/>
        </w:rPr>
        <w:tab/>
      </w:r>
      <w:r w:rsidR="00D53F40" w:rsidRPr="00B76F09">
        <w:rPr>
          <w:rFonts w:ascii="Arial" w:hAnsi="Arial" w:cs="Arial"/>
        </w:rPr>
        <w:tab/>
      </w:r>
      <w:r w:rsidR="00D53F40" w:rsidRPr="00B76F09">
        <w:rPr>
          <w:rFonts w:ascii="Arial" w:hAnsi="Arial" w:cs="Arial"/>
        </w:rPr>
        <w:tab/>
        <w:t xml:space="preserve"> </w:t>
      </w:r>
    </w:p>
    <w:p w14:paraId="45525820" w14:textId="77777777" w:rsidR="00F67EE5" w:rsidRPr="00B76F09" w:rsidRDefault="00D53F40" w:rsidP="00D53F40">
      <w:pPr>
        <w:spacing w:line="360" w:lineRule="auto"/>
        <w:jc w:val="both"/>
        <w:rPr>
          <w:rFonts w:ascii="Arial" w:hAnsi="Arial" w:cs="Arial"/>
        </w:rPr>
      </w:pPr>
      <w:r w:rsidRPr="00B76F09">
        <w:rPr>
          <w:rFonts w:ascii="Arial" w:hAnsi="Arial" w:cs="Arial"/>
        </w:rPr>
        <w:t xml:space="preserve">Counsel for the </w:t>
      </w:r>
      <w:r w:rsidR="00965280" w:rsidRPr="00B76F09">
        <w:rPr>
          <w:rFonts w:ascii="Arial" w:hAnsi="Arial" w:cs="Arial"/>
        </w:rPr>
        <w:t>first and second</w:t>
      </w:r>
      <w:r w:rsidR="00965280" w:rsidRPr="00B76F09">
        <w:rPr>
          <w:rFonts w:ascii="Arial" w:hAnsi="Arial" w:cs="Arial"/>
        </w:rPr>
        <w:tab/>
        <w:t>:</w:t>
      </w:r>
      <w:r w:rsidR="00965280" w:rsidRPr="00B76F09">
        <w:rPr>
          <w:rFonts w:ascii="Arial" w:hAnsi="Arial" w:cs="Arial"/>
        </w:rPr>
        <w:tab/>
        <w:t>Ms. J. Nicholson</w:t>
      </w:r>
    </w:p>
    <w:p w14:paraId="030BA39D" w14:textId="77777777" w:rsidR="00D53F40" w:rsidRPr="00B76F09" w:rsidRDefault="00F67EE5" w:rsidP="00F67EE5">
      <w:pPr>
        <w:spacing w:line="360" w:lineRule="auto"/>
        <w:jc w:val="both"/>
        <w:rPr>
          <w:rFonts w:ascii="Arial" w:hAnsi="Arial" w:cs="Arial"/>
        </w:rPr>
      </w:pPr>
      <w:r w:rsidRPr="00B76F09">
        <w:rPr>
          <w:rFonts w:ascii="Arial" w:hAnsi="Arial" w:cs="Arial"/>
        </w:rPr>
        <w:t>respondents</w:t>
      </w:r>
      <w:r w:rsidR="00D53F40" w:rsidRPr="00B76F09">
        <w:rPr>
          <w:rFonts w:ascii="Arial" w:hAnsi="Arial" w:cs="Arial"/>
        </w:rPr>
        <w:tab/>
      </w:r>
      <w:r w:rsidR="00D53F40" w:rsidRPr="00B76F09">
        <w:rPr>
          <w:rFonts w:ascii="Arial" w:hAnsi="Arial" w:cs="Arial"/>
        </w:rPr>
        <w:tab/>
      </w:r>
      <w:r w:rsidR="00D53F40" w:rsidRPr="00B76F09">
        <w:rPr>
          <w:rFonts w:ascii="Arial" w:hAnsi="Arial" w:cs="Arial"/>
        </w:rPr>
        <w:tab/>
      </w:r>
    </w:p>
    <w:p w14:paraId="7090654C" w14:textId="77777777" w:rsidR="00D53F40" w:rsidRPr="00B76F09" w:rsidRDefault="00D53F40" w:rsidP="00F67EE5">
      <w:pPr>
        <w:spacing w:line="360" w:lineRule="auto"/>
        <w:ind w:right="-82"/>
        <w:jc w:val="both"/>
        <w:rPr>
          <w:rFonts w:ascii="Arial" w:hAnsi="Arial" w:cs="Arial"/>
        </w:rPr>
      </w:pPr>
      <w:r w:rsidRPr="00B76F09">
        <w:rPr>
          <w:rFonts w:ascii="Arial" w:hAnsi="Arial" w:cs="Arial"/>
        </w:rPr>
        <w:t>Instructed by</w:t>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t>:</w:t>
      </w:r>
      <w:r w:rsidRPr="00B76F09">
        <w:rPr>
          <w:rFonts w:ascii="Arial" w:hAnsi="Arial" w:cs="Arial"/>
        </w:rPr>
        <w:tab/>
      </w:r>
      <w:r w:rsidR="00965280" w:rsidRPr="00B76F09">
        <w:rPr>
          <w:rFonts w:ascii="Arial" w:hAnsi="Arial" w:cs="Arial"/>
        </w:rPr>
        <w:t>Shepstone and Wylie</w:t>
      </w:r>
    </w:p>
    <w:p w14:paraId="6E8AF557" w14:textId="77777777" w:rsidR="00446D56" w:rsidRPr="00B76F09" w:rsidRDefault="00446D56" w:rsidP="00965280">
      <w:pPr>
        <w:spacing w:line="360" w:lineRule="auto"/>
        <w:ind w:right="-82"/>
        <w:jc w:val="both"/>
        <w:rPr>
          <w:rFonts w:ascii="Arial" w:hAnsi="Arial" w:cs="Arial"/>
        </w:rPr>
      </w:pP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00965280" w:rsidRPr="00B76F09">
        <w:rPr>
          <w:rFonts w:ascii="Arial" w:hAnsi="Arial" w:cs="Arial"/>
        </w:rPr>
        <w:t>24 Richefond Circle</w:t>
      </w:r>
    </w:p>
    <w:p w14:paraId="63F30E8D" w14:textId="77777777" w:rsidR="00965280" w:rsidRPr="00B76F09" w:rsidRDefault="00965280" w:rsidP="00965280">
      <w:pPr>
        <w:spacing w:line="360" w:lineRule="auto"/>
        <w:ind w:right="-82"/>
        <w:jc w:val="both"/>
        <w:rPr>
          <w:rFonts w:ascii="Arial" w:hAnsi="Arial" w:cs="Arial"/>
        </w:rPr>
      </w:pP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t>Ridgeside Office Park</w:t>
      </w:r>
    </w:p>
    <w:p w14:paraId="7E82327A" w14:textId="77777777" w:rsidR="00965280" w:rsidRPr="00B76F09" w:rsidRDefault="00965280" w:rsidP="00965280">
      <w:pPr>
        <w:spacing w:line="360" w:lineRule="auto"/>
        <w:ind w:right="-82"/>
        <w:jc w:val="both"/>
        <w:rPr>
          <w:rFonts w:ascii="Arial" w:hAnsi="Arial" w:cs="Arial"/>
        </w:rPr>
      </w:pP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t>Umhlanga Rocks</w:t>
      </w:r>
    </w:p>
    <w:p w14:paraId="63D76ACE" w14:textId="77777777" w:rsidR="00D53F40" w:rsidRPr="00B76F09" w:rsidRDefault="00D53F40" w:rsidP="00D53F40">
      <w:pPr>
        <w:spacing w:line="360" w:lineRule="auto"/>
        <w:ind w:left="3600" w:right="-82" w:firstLine="720"/>
        <w:jc w:val="both"/>
        <w:rPr>
          <w:rFonts w:ascii="Arial" w:hAnsi="Arial" w:cs="Arial"/>
        </w:rPr>
      </w:pPr>
    </w:p>
    <w:p w14:paraId="5A293DAC" w14:textId="77777777" w:rsidR="00D53F40" w:rsidRPr="00B76F09" w:rsidRDefault="00D53F40" w:rsidP="00D53F40">
      <w:pPr>
        <w:spacing w:line="360" w:lineRule="auto"/>
        <w:jc w:val="both"/>
        <w:rPr>
          <w:rFonts w:ascii="Arial" w:eastAsia="Calibri" w:hAnsi="Arial" w:cs="Arial"/>
        </w:rPr>
      </w:pPr>
      <w:r w:rsidRPr="00B76F09">
        <w:rPr>
          <w:rFonts w:ascii="Arial" w:eastAsia="Calibri" w:hAnsi="Arial" w:cs="Arial"/>
        </w:rPr>
        <w:t xml:space="preserve">Date of Hearing </w:t>
      </w:r>
      <w:r w:rsidRPr="00B76F09">
        <w:rPr>
          <w:rFonts w:ascii="Arial" w:eastAsia="Calibri" w:hAnsi="Arial" w:cs="Arial"/>
        </w:rPr>
        <w:tab/>
      </w:r>
      <w:r w:rsidRPr="00B76F09">
        <w:rPr>
          <w:rFonts w:ascii="Arial" w:eastAsia="Calibri" w:hAnsi="Arial" w:cs="Arial"/>
        </w:rPr>
        <w:tab/>
      </w:r>
      <w:r w:rsidRPr="00B76F09">
        <w:rPr>
          <w:rFonts w:ascii="Arial" w:eastAsia="Calibri" w:hAnsi="Arial" w:cs="Arial"/>
        </w:rPr>
        <w:tab/>
        <w:t>:</w:t>
      </w:r>
      <w:r w:rsidRPr="00B76F09">
        <w:rPr>
          <w:rFonts w:ascii="Arial" w:eastAsia="Calibri" w:hAnsi="Arial" w:cs="Arial"/>
        </w:rPr>
        <w:tab/>
      </w:r>
      <w:r w:rsidR="00965280" w:rsidRPr="00B76F09">
        <w:rPr>
          <w:rFonts w:ascii="Arial" w:eastAsia="Calibri" w:hAnsi="Arial" w:cs="Arial"/>
        </w:rPr>
        <w:t>31</w:t>
      </w:r>
      <w:r w:rsidRPr="00B76F09">
        <w:rPr>
          <w:rFonts w:ascii="Arial" w:eastAsia="Calibri" w:hAnsi="Arial" w:cs="Arial"/>
        </w:rPr>
        <w:t xml:space="preserve"> October 2022</w:t>
      </w:r>
    </w:p>
    <w:p w14:paraId="7B2FCB58" w14:textId="77777777" w:rsidR="00D53F40" w:rsidRPr="00B76F09" w:rsidRDefault="00D53F40" w:rsidP="00D53F40">
      <w:pPr>
        <w:spacing w:line="360" w:lineRule="auto"/>
        <w:jc w:val="both"/>
        <w:rPr>
          <w:rFonts w:ascii="Arial" w:eastAsia="Calibri" w:hAnsi="Arial" w:cs="Arial"/>
        </w:rPr>
      </w:pPr>
    </w:p>
    <w:p w14:paraId="7398E354" w14:textId="243BB982" w:rsidR="00D53F40" w:rsidRPr="00B76F09" w:rsidRDefault="00D53F40" w:rsidP="00D53F40">
      <w:pPr>
        <w:spacing w:line="360" w:lineRule="auto"/>
        <w:jc w:val="both"/>
        <w:rPr>
          <w:rFonts w:ascii="Arial" w:eastAsia="Calibri" w:hAnsi="Arial" w:cs="Arial"/>
        </w:rPr>
      </w:pPr>
      <w:r w:rsidRPr="00B76F09">
        <w:rPr>
          <w:rFonts w:ascii="Arial" w:eastAsia="Calibri" w:hAnsi="Arial" w:cs="Arial"/>
        </w:rPr>
        <w:t xml:space="preserve">Date of Judgment </w:t>
      </w:r>
      <w:r w:rsidRPr="00B76F09">
        <w:rPr>
          <w:rFonts w:ascii="Arial" w:eastAsia="Calibri" w:hAnsi="Arial" w:cs="Arial"/>
        </w:rPr>
        <w:tab/>
      </w:r>
      <w:r w:rsidRPr="00B76F09">
        <w:rPr>
          <w:rFonts w:ascii="Arial" w:eastAsia="Calibri" w:hAnsi="Arial" w:cs="Arial"/>
        </w:rPr>
        <w:tab/>
      </w:r>
      <w:r w:rsidRPr="00B76F09">
        <w:rPr>
          <w:rFonts w:ascii="Arial" w:eastAsia="Calibri" w:hAnsi="Arial" w:cs="Arial"/>
        </w:rPr>
        <w:tab/>
        <w:t>:</w:t>
      </w:r>
      <w:r w:rsidRPr="00B76F09">
        <w:rPr>
          <w:rFonts w:ascii="Arial" w:eastAsia="Calibri" w:hAnsi="Arial" w:cs="Arial"/>
        </w:rPr>
        <w:tab/>
      </w:r>
      <w:r w:rsidR="002A28F6" w:rsidRPr="00B76F09">
        <w:rPr>
          <w:rFonts w:ascii="Arial" w:eastAsia="Calibri" w:hAnsi="Arial" w:cs="Arial"/>
        </w:rPr>
        <w:t>1</w:t>
      </w:r>
      <w:r w:rsidR="0066427B">
        <w:rPr>
          <w:rFonts w:ascii="Arial" w:eastAsia="Calibri" w:hAnsi="Arial" w:cs="Arial"/>
        </w:rPr>
        <w:t>5</w:t>
      </w:r>
      <w:r w:rsidR="002A28F6" w:rsidRPr="00B76F09">
        <w:rPr>
          <w:rFonts w:ascii="Arial" w:eastAsia="Calibri" w:hAnsi="Arial" w:cs="Arial"/>
        </w:rPr>
        <w:t xml:space="preserve"> December</w:t>
      </w:r>
      <w:r w:rsidRPr="00B76F09">
        <w:rPr>
          <w:rFonts w:ascii="Arial" w:eastAsia="Calibri" w:hAnsi="Arial" w:cs="Arial"/>
        </w:rPr>
        <w:t xml:space="preserve"> 2022</w:t>
      </w:r>
    </w:p>
    <w:p w14:paraId="4B56112A" w14:textId="77777777" w:rsidR="00D53F40" w:rsidRPr="00B76F09" w:rsidRDefault="00D53F40" w:rsidP="00D53F40">
      <w:pPr>
        <w:spacing w:line="360" w:lineRule="auto"/>
        <w:jc w:val="both"/>
        <w:rPr>
          <w:rFonts w:ascii="Arial" w:hAnsi="Arial" w:cs="Arial"/>
          <w:b/>
          <w:bCs/>
        </w:rPr>
      </w:pPr>
    </w:p>
    <w:sectPr w:rsidR="00D53F40" w:rsidRPr="00B76F09" w:rsidSect="004E3E73">
      <w:headerReference w:type="default" r:id="rId9"/>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BF86E" w14:textId="77777777" w:rsidR="00D65DB7" w:rsidRDefault="00D65DB7" w:rsidP="007C243E">
      <w:r>
        <w:separator/>
      </w:r>
    </w:p>
  </w:endnote>
  <w:endnote w:type="continuationSeparator" w:id="0">
    <w:p w14:paraId="6D450A24" w14:textId="77777777" w:rsidR="00D65DB7" w:rsidRDefault="00D65DB7" w:rsidP="007C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A5B22" w14:textId="77777777" w:rsidR="00D65DB7" w:rsidRDefault="00D65DB7" w:rsidP="007C243E">
      <w:r>
        <w:separator/>
      </w:r>
    </w:p>
  </w:footnote>
  <w:footnote w:type="continuationSeparator" w:id="0">
    <w:p w14:paraId="650D0624" w14:textId="77777777" w:rsidR="00D65DB7" w:rsidRDefault="00D65DB7" w:rsidP="007C243E">
      <w:r>
        <w:continuationSeparator/>
      </w:r>
    </w:p>
  </w:footnote>
  <w:footnote w:id="1">
    <w:p w14:paraId="1EEB984A" w14:textId="5B66F7EE" w:rsidR="008C367A" w:rsidRPr="00715F8E" w:rsidRDefault="008C367A" w:rsidP="00715F8E">
      <w:pPr>
        <w:contextualSpacing/>
        <w:jc w:val="both"/>
        <w:rPr>
          <w:rFonts w:ascii="Arial" w:hAnsi="Arial" w:cs="Arial"/>
          <w:color w:val="000000" w:themeColor="text1"/>
          <w:sz w:val="20"/>
          <w:szCs w:val="20"/>
        </w:rPr>
      </w:pPr>
      <w:r w:rsidRPr="00715F8E">
        <w:rPr>
          <w:rStyle w:val="FootnoteReference"/>
          <w:rFonts w:ascii="Arial" w:hAnsi="Arial" w:cs="Arial"/>
          <w:color w:val="000000" w:themeColor="text1"/>
          <w:sz w:val="20"/>
          <w:szCs w:val="20"/>
        </w:rPr>
        <w:footnoteRef/>
      </w:r>
      <w:r w:rsidRPr="00715F8E">
        <w:rPr>
          <w:rFonts w:ascii="Arial" w:hAnsi="Arial" w:cs="Arial"/>
          <w:color w:val="000000" w:themeColor="text1"/>
          <w:sz w:val="20"/>
          <w:szCs w:val="20"/>
        </w:rPr>
        <w:t xml:space="preserve"> </w:t>
      </w:r>
      <w:r w:rsidR="00FF7E7C" w:rsidRPr="00715F8E">
        <w:rPr>
          <w:rFonts w:ascii="Arial" w:hAnsi="Arial" w:cs="Arial"/>
          <w:color w:val="000000" w:themeColor="text1"/>
          <w:sz w:val="20"/>
          <w:szCs w:val="20"/>
        </w:rPr>
        <w:t xml:space="preserve">C </w:t>
      </w:r>
      <w:r w:rsidRPr="00715F8E">
        <w:rPr>
          <w:rFonts w:ascii="Arial" w:hAnsi="Arial" w:cs="Arial"/>
          <w:color w:val="000000" w:themeColor="text1"/>
          <w:sz w:val="20"/>
          <w:szCs w:val="20"/>
          <w:shd w:val="clear" w:color="auto" w:fill="FFFFFF"/>
        </w:rPr>
        <w:t xml:space="preserve">Morris </w:t>
      </w:r>
      <w:r w:rsidR="000F2111" w:rsidRPr="00715F8E">
        <w:rPr>
          <w:rFonts w:ascii="Arial" w:hAnsi="Arial" w:cs="Arial"/>
          <w:color w:val="000000" w:themeColor="text1"/>
          <w:sz w:val="20"/>
          <w:szCs w:val="20"/>
          <w:shd w:val="clear" w:color="auto" w:fill="FFFFFF"/>
        </w:rPr>
        <w:t>‘</w:t>
      </w:r>
      <w:r w:rsidRPr="00715F8E">
        <w:rPr>
          <w:rFonts w:ascii="Arial" w:hAnsi="Arial" w:cs="Arial"/>
          <w:color w:val="000000" w:themeColor="text1"/>
          <w:sz w:val="20"/>
          <w:szCs w:val="20"/>
          <w:shd w:val="clear" w:color="auto" w:fill="FFFFFF"/>
        </w:rPr>
        <w:t>Law and Fact</w:t>
      </w:r>
      <w:r w:rsidR="000F2111" w:rsidRPr="00715F8E">
        <w:rPr>
          <w:rFonts w:ascii="Arial" w:hAnsi="Arial" w:cs="Arial"/>
          <w:color w:val="000000" w:themeColor="text1"/>
          <w:sz w:val="20"/>
          <w:szCs w:val="20"/>
          <w:shd w:val="clear" w:color="auto" w:fill="FFFFFF"/>
        </w:rPr>
        <w:t>’</w:t>
      </w:r>
      <w:r w:rsidRPr="00715F8E">
        <w:rPr>
          <w:rFonts w:ascii="Arial" w:hAnsi="Arial" w:cs="Arial"/>
          <w:color w:val="000000" w:themeColor="text1"/>
          <w:sz w:val="20"/>
          <w:szCs w:val="20"/>
          <w:shd w:val="clear" w:color="auto" w:fill="FFFFFF"/>
        </w:rPr>
        <w:t xml:space="preserve"> (1942) 5 </w:t>
      </w:r>
      <w:r w:rsidRPr="00715F8E">
        <w:rPr>
          <w:rFonts w:ascii="Arial" w:hAnsi="Arial" w:cs="Arial"/>
          <w:i/>
          <w:iCs/>
          <w:color w:val="000000" w:themeColor="text1"/>
          <w:sz w:val="20"/>
          <w:szCs w:val="20"/>
        </w:rPr>
        <w:t>Harvard Law Review</w:t>
      </w:r>
      <w:r w:rsidRPr="00715F8E">
        <w:rPr>
          <w:rFonts w:ascii="Arial" w:hAnsi="Arial" w:cs="Arial"/>
          <w:color w:val="000000" w:themeColor="text1"/>
          <w:sz w:val="20"/>
          <w:szCs w:val="20"/>
          <w:shd w:val="clear" w:color="auto" w:fill="FFFFFF"/>
        </w:rPr>
        <w:t> 1303 at 1304.</w:t>
      </w:r>
    </w:p>
  </w:footnote>
  <w:footnote w:id="2">
    <w:p w14:paraId="026C2FFC" w14:textId="6C0711BD" w:rsidR="00BD04D4" w:rsidRPr="00715F8E" w:rsidRDefault="00BD04D4" w:rsidP="00715F8E">
      <w:pPr>
        <w:pStyle w:val="Heading2"/>
        <w:spacing w:before="0"/>
        <w:contextualSpacing/>
        <w:jc w:val="both"/>
        <w:rPr>
          <w:rFonts w:ascii="Arial" w:hAnsi="Arial" w:cs="Arial"/>
          <w:color w:val="000000" w:themeColor="text1"/>
          <w:sz w:val="20"/>
          <w:szCs w:val="20"/>
        </w:rPr>
      </w:pPr>
      <w:r w:rsidRPr="00715F8E">
        <w:rPr>
          <w:rStyle w:val="FootnoteReference"/>
          <w:rFonts w:ascii="Arial" w:hAnsi="Arial" w:cs="Arial"/>
          <w:color w:val="000000" w:themeColor="text1"/>
          <w:sz w:val="20"/>
          <w:szCs w:val="20"/>
        </w:rPr>
        <w:footnoteRef/>
      </w:r>
      <w:r w:rsidRPr="00715F8E">
        <w:rPr>
          <w:rFonts w:ascii="Arial" w:hAnsi="Arial" w:cs="Arial"/>
          <w:color w:val="000000" w:themeColor="text1"/>
          <w:sz w:val="20"/>
          <w:szCs w:val="20"/>
        </w:rPr>
        <w:t xml:space="preserve"> </w:t>
      </w:r>
      <w:r w:rsidRPr="00715F8E">
        <w:rPr>
          <w:rFonts w:ascii="Arial" w:hAnsi="Arial" w:cs="Arial"/>
          <w:i/>
          <w:iCs/>
          <w:color w:val="000000" w:themeColor="text1"/>
          <w:sz w:val="20"/>
          <w:szCs w:val="20"/>
        </w:rPr>
        <w:t>Turley Manor Body Corpo</w:t>
      </w:r>
      <w:r w:rsidR="005327E9" w:rsidRPr="00715F8E">
        <w:rPr>
          <w:rFonts w:ascii="Arial" w:hAnsi="Arial" w:cs="Arial"/>
          <w:i/>
          <w:iCs/>
          <w:color w:val="000000" w:themeColor="text1"/>
          <w:sz w:val="20"/>
          <w:szCs w:val="20"/>
        </w:rPr>
        <w:t>r</w:t>
      </w:r>
      <w:r w:rsidRPr="00715F8E">
        <w:rPr>
          <w:rFonts w:ascii="Arial" w:hAnsi="Arial" w:cs="Arial"/>
          <w:i/>
          <w:iCs/>
          <w:color w:val="000000" w:themeColor="text1"/>
          <w:sz w:val="20"/>
          <w:szCs w:val="20"/>
        </w:rPr>
        <w:t>ate v Pillay and others</w:t>
      </w:r>
      <w:r w:rsidR="005327E9" w:rsidRPr="00715F8E">
        <w:rPr>
          <w:rFonts w:ascii="Arial" w:hAnsi="Arial" w:cs="Arial"/>
          <w:color w:val="000000" w:themeColor="text1"/>
          <w:sz w:val="20"/>
          <w:szCs w:val="20"/>
        </w:rPr>
        <w:t xml:space="preserve"> [2020] ZAGPJHC 190 para 17.</w:t>
      </w:r>
    </w:p>
  </w:footnote>
  <w:footnote w:id="3">
    <w:p w14:paraId="1F5442CC" w14:textId="551E8516" w:rsidR="00B6727B" w:rsidRPr="00715F8E" w:rsidRDefault="00B6727B" w:rsidP="00715F8E">
      <w:pPr>
        <w:pStyle w:val="FootnoteText"/>
        <w:contextualSpacing/>
        <w:jc w:val="both"/>
        <w:rPr>
          <w:rFonts w:ascii="Arial" w:hAnsi="Arial" w:cs="Arial"/>
          <w:color w:val="000000" w:themeColor="text1"/>
        </w:rPr>
      </w:pPr>
      <w:r w:rsidRPr="00715F8E">
        <w:rPr>
          <w:rStyle w:val="FootnoteReference"/>
          <w:rFonts w:ascii="Arial" w:hAnsi="Arial" w:cs="Arial"/>
          <w:color w:val="000000" w:themeColor="text1"/>
        </w:rPr>
        <w:footnoteRef/>
      </w:r>
      <w:r w:rsidRPr="00715F8E">
        <w:rPr>
          <w:rFonts w:ascii="Arial" w:hAnsi="Arial" w:cs="Arial"/>
          <w:color w:val="000000" w:themeColor="text1"/>
        </w:rPr>
        <w:t xml:space="preserve"> I shall assume this to be the case notwithstanding </w:t>
      </w:r>
      <w:r w:rsidR="002470B2" w:rsidRPr="00715F8E">
        <w:rPr>
          <w:rFonts w:ascii="Arial" w:hAnsi="Arial" w:cs="Arial"/>
          <w:color w:val="000000" w:themeColor="text1"/>
        </w:rPr>
        <w:t>t</w:t>
      </w:r>
      <w:r w:rsidR="006F7A9F" w:rsidRPr="00715F8E">
        <w:rPr>
          <w:rFonts w:ascii="Arial" w:hAnsi="Arial" w:cs="Arial"/>
          <w:color w:val="000000" w:themeColor="text1"/>
        </w:rPr>
        <w:t xml:space="preserve">he </w:t>
      </w:r>
      <w:r w:rsidR="008E42C8" w:rsidRPr="00715F8E">
        <w:rPr>
          <w:rFonts w:ascii="Arial" w:hAnsi="Arial" w:cs="Arial"/>
          <w:color w:val="000000" w:themeColor="text1"/>
        </w:rPr>
        <w:t>fact t</w:t>
      </w:r>
      <w:r w:rsidR="002470B2" w:rsidRPr="00715F8E">
        <w:rPr>
          <w:rFonts w:ascii="Arial" w:hAnsi="Arial" w:cs="Arial"/>
          <w:color w:val="000000" w:themeColor="text1"/>
        </w:rPr>
        <w:t xml:space="preserve">hat the appellant’s name does not appear on annexure </w:t>
      </w:r>
      <w:r w:rsidR="00F54BA8" w:rsidRPr="00715F8E">
        <w:rPr>
          <w:rFonts w:ascii="Arial" w:hAnsi="Arial" w:cs="Arial"/>
          <w:color w:val="000000" w:themeColor="text1"/>
        </w:rPr>
        <w:t>‘</w:t>
      </w:r>
      <w:r w:rsidR="002470B2" w:rsidRPr="00715F8E">
        <w:rPr>
          <w:rFonts w:ascii="Arial" w:hAnsi="Arial" w:cs="Arial"/>
          <w:color w:val="000000" w:themeColor="text1"/>
        </w:rPr>
        <w:t>HR4</w:t>
      </w:r>
      <w:r w:rsidR="00F54BA8" w:rsidRPr="00715F8E">
        <w:rPr>
          <w:rFonts w:ascii="Arial" w:hAnsi="Arial" w:cs="Arial"/>
          <w:color w:val="000000" w:themeColor="text1"/>
        </w:rPr>
        <w:t>’</w:t>
      </w:r>
      <w:r w:rsidR="008E42C8" w:rsidRPr="00715F8E">
        <w:rPr>
          <w:rFonts w:ascii="Arial" w:hAnsi="Arial" w:cs="Arial"/>
          <w:color w:val="000000" w:themeColor="text1"/>
        </w:rPr>
        <w:t xml:space="preserve"> to the founding affidavit</w:t>
      </w:r>
      <w:r w:rsidR="002470B2" w:rsidRPr="00715F8E">
        <w:rPr>
          <w:rFonts w:ascii="Arial" w:hAnsi="Arial" w:cs="Arial"/>
          <w:color w:val="000000" w:themeColor="text1"/>
        </w:rPr>
        <w:t xml:space="preserve">, being </w:t>
      </w:r>
      <w:r w:rsidR="00A16C7A" w:rsidRPr="00715F8E">
        <w:rPr>
          <w:rFonts w:ascii="Arial" w:hAnsi="Arial" w:cs="Arial"/>
          <w:color w:val="000000" w:themeColor="text1"/>
        </w:rPr>
        <w:t>a</w:t>
      </w:r>
      <w:r w:rsidR="002470B2" w:rsidRPr="00715F8E">
        <w:rPr>
          <w:rFonts w:ascii="Arial" w:hAnsi="Arial" w:cs="Arial"/>
          <w:color w:val="000000" w:themeColor="text1"/>
        </w:rPr>
        <w:t xml:space="preserve"> Deeds Office printout detailing the owners of the sections in the </w:t>
      </w:r>
      <w:r w:rsidR="008E42C8" w:rsidRPr="00715F8E">
        <w:rPr>
          <w:rFonts w:ascii="Arial" w:hAnsi="Arial" w:cs="Arial"/>
          <w:color w:val="000000" w:themeColor="text1"/>
        </w:rPr>
        <w:t>s</w:t>
      </w:r>
      <w:r w:rsidR="002470B2" w:rsidRPr="00715F8E">
        <w:rPr>
          <w:rFonts w:ascii="Arial" w:hAnsi="Arial" w:cs="Arial"/>
          <w:color w:val="000000" w:themeColor="text1"/>
        </w:rPr>
        <w:t>chem</w:t>
      </w:r>
      <w:r w:rsidR="008E42C8" w:rsidRPr="00715F8E">
        <w:rPr>
          <w:rFonts w:ascii="Arial" w:hAnsi="Arial" w:cs="Arial"/>
          <w:color w:val="000000" w:themeColor="text1"/>
        </w:rPr>
        <w:t>e</w:t>
      </w:r>
      <w:r w:rsidR="002470B2" w:rsidRPr="00715F8E">
        <w:rPr>
          <w:rFonts w:ascii="Arial" w:hAnsi="Arial" w:cs="Arial"/>
          <w:color w:val="000000" w:themeColor="text1"/>
        </w:rPr>
        <w:t xml:space="preserve">. The first and second respondents </w:t>
      </w:r>
      <w:r w:rsidR="008E42C8" w:rsidRPr="00715F8E">
        <w:rPr>
          <w:rFonts w:ascii="Arial" w:hAnsi="Arial" w:cs="Arial"/>
          <w:color w:val="000000" w:themeColor="text1"/>
        </w:rPr>
        <w:t xml:space="preserve">have not disputed </w:t>
      </w:r>
      <w:r w:rsidR="00A16C7A" w:rsidRPr="00715F8E">
        <w:rPr>
          <w:rFonts w:ascii="Arial" w:hAnsi="Arial" w:cs="Arial"/>
          <w:color w:val="000000" w:themeColor="text1"/>
        </w:rPr>
        <w:t>that he is, indeed, an owner</w:t>
      </w:r>
      <w:r w:rsidR="008E42C8" w:rsidRPr="00715F8E">
        <w:rPr>
          <w:rFonts w:ascii="Arial" w:hAnsi="Arial" w:cs="Arial"/>
          <w:color w:val="000000" w:themeColor="text1"/>
        </w:rPr>
        <w:t>.</w:t>
      </w:r>
    </w:p>
  </w:footnote>
  <w:footnote w:id="4">
    <w:p w14:paraId="04BD9685" w14:textId="204F7269" w:rsidR="00214E99" w:rsidRPr="00715F8E" w:rsidRDefault="00214E99" w:rsidP="00715F8E">
      <w:pPr>
        <w:pStyle w:val="FootnoteText"/>
        <w:contextualSpacing/>
        <w:jc w:val="both"/>
        <w:rPr>
          <w:rFonts w:ascii="Arial" w:hAnsi="Arial" w:cs="Arial"/>
        </w:rPr>
      </w:pPr>
      <w:r w:rsidRPr="00715F8E">
        <w:rPr>
          <w:rStyle w:val="FootnoteReference"/>
          <w:rFonts w:ascii="Arial" w:hAnsi="Arial" w:cs="Arial"/>
        </w:rPr>
        <w:footnoteRef/>
      </w:r>
      <w:r w:rsidRPr="00715F8E">
        <w:rPr>
          <w:rFonts w:ascii="Arial" w:hAnsi="Arial" w:cs="Arial"/>
        </w:rPr>
        <w:t xml:space="preserve"> </w:t>
      </w:r>
      <w:r w:rsidRPr="00715F8E">
        <w:rPr>
          <w:rFonts w:ascii="Arial" w:hAnsi="Arial" w:cs="Arial"/>
          <w:color w:val="000000"/>
          <w:shd w:val="clear" w:color="auto" w:fill="FFFFFF"/>
        </w:rPr>
        <w:t xml:space="preserve">Sectional Titles Schemes Management Regulations, 2016, GN R1231, </w:t>
      </w:r>
      <w:r w:rsidRPr="00715F8E">
        <w:rPr>
          <w:rFonts w:ascii="Arial" w:hAnsi="Arial" w:cs="Arial"/>
          <w:i/>
          <w:color w:val="000000"/>
          <w:shd w:val="clear" w:color="auto" w:fill="FFFFFF"/>
        </w:rPr>
        <w:t xml:space="preserve">GG </w:t>
      </w:r>
      <w:r w:rsidRPr="00715F8E">
        <w:rPr>
          <w:rFonts w:ascii="Arial" w:hAnsi="Arial" w:cs="Arial"/>
          <w:color w:val="000000"/>
          <w:shd w:val="clear" w:color="auto" w:fill="FFFFFF"/>
        </w:rPr>
        <w:t>40335, 7 October 2016.</w:t>
      </w:r>
    </w:p>
  </w:footnote>
  <w:footnote w:id="5">
    <w:p w14:paraId="242DFF67" w14:textId="2FE87E14" w:rsidR="00C32CF7" w:rsidRPr="00715F8E" w:rsidRDefault="00C32CF7" w:rsidP="00715F8E">
      <w:pPr>
        <w:pStyle w:val="FootnoteText"/>
        <w:contextualSpacing/>
        <w:jc w:val="both"/>
        <w:rPr>
          <w:rFonts w:ascii="Arial" w:hAnsi="Arial" w:cs="Arial"/>
        </w:rPr>
      </w:pPr>
      <w:r w:rsidRPr="00715F8E">
        <w:rPr>
          <w:rStyle w:val="FootnoteReference"/>
          <w:rFonts w:ascii="Arial" w:hAnsi="Arial" w:cs="Arial"/>
        </w:rPr>
        <w:footnoteRef/>
      </w:r>
      <w:r w:rsidRPr="00715F8E">
        <w:rPr>
          <w:rFonts w:ascii="Arial" w:hAnsi="Arial" w:cs="Arial"/>
        </w:rPr>
        <w:t xml:space="preserve"> </w:t>
      </w:r>
      <w:r w:rsidRPr="00715F8E">
        <w:rPr>
          <w:rFonts w:ascii="Arial" w:hAnsi="Arial" w:cs="Arial"/>
          <w:i/>
          <w:iCs/>
        </w:rPr>
        <w:t>Central Plaza Investments 85 (Pty) Ltd v Body Corporate Mangrove Beach Centre</w:t>
      </w:r>
      <w:r w:rsidR="00AD67D9" w:rsidRPr="00715F8E">
        <w:rPr>
          <w:rFonts w:ascii="Arial" w:hAnsi="Arial" w:cs="Arial"/>
          <w:i/>
          <w:iCs/>
        </w:rPr>
        <w:t>,</w:t>
      </w:r>
      <w:r w:rsidR="00094B82" w:rsidRPr="00715F8E">
        <w:rPr>
          <w:rFonts w:ascii="Arial" w:hAnsi="Arial" w:cs="Arial"/>
          <w:i/>
          <w:iCs/>
        </w:rPr>
        <w:t xml:space="preserve"> </w:t>
      </w:r>
      <w:r w:rsidR="00094B82" w:rsidRPr="00715F8E">
        <w:rPr>
          <w:rFonts w:ascii="Arial" w:hAnsi="Arial" w:cs="Arial"/>
        </w:rPr>
        <w:t>case number 11454/2015, KwaZulu-Natal Local Division, Durban.</w:t>
      </w:r>
    </w:p>
  </w:footnote>
  <w:footnote w:id="6">
    <w:p w14:paraId="6881FFC3" w14:textId="66406EDA" w:rsidR="00FC6A1D" w:rsidRPr="00715F8E" w:rsidRDefault="00FC6A1D" w:rsidP="00715F8E">
      <w:pPr>
        <w:pStyle w:val="FootnoteText"/>
        <w:contextualSpacing/>
        <w:jc w:val="both"/>
        <w:rPr>
          <w:rFonts w:ascii="Arial" w:hAnsi="Arial" w:cs="Arial"/>
        </w:rPr>
      </w:pPr>
      <w:r w:rsidRPr="00715F8E">
        <w:rPr>
          <w:rStyle w:val="FootnoteReference"/>
          <w:rFonts w:ascii="Arial" w:hAnsi="Arial" w:cs="Arial"/>
        </w:rPr>
        <w:footnoteRef/>
      </w:r>
      <w:r w:rsidRPr="00715F8E">
        <w:rPr>
          <w:rFonts w:ascii="Arial" w:hAnsi="Arial" w:cs="Arial"/>
        </w:rPr>
        <w:t xml:space="preserve"> They are a final judgment, involving the same parties, arising out of the same cause of action: </w:t>
      </w:r>
      <w:r w:rsidRPr="00715F8E">
        <w:rPr>
          <w:rFonts w:ascii="Arial" w:hAnsi="Arial" w:cs="Arial"/>
          <w:i/>
        </w:rPr>
        <w:t>African Wanderers Football Club (Pty) Ltd v Wanderers Football Club</w:t>
      </w:r>
      <w:r w:rsidRPr="00715F8E">
        <w:rPr>
          <w:rFonts w:ascii="Arial" w:hAnsi="Arial" w:cs="Arial"/>
        </w:rPr>
        <w:t xml:space="preserve"> 1977 (2) SA 38 (A); </w:t>
      </w:r>
      <w:r w:rsidRPr="00715F8E">
        <w:rPr>
          <w:rFonts w:ascii="Arial" w:hAnsi="Arial" w:cs="Arial"/>
          <w:i/>
        </w:rPr>
        <w:t>Le Roux</w:t>
      </w:r>
      <w:r w:rsidR="002E365C" w:rsidRPr="00715F8E">
        <w:rPr>
          <w:rFonts w:ascii="Arial" w:hAnsi="Arial" w:cs="Arial"/>
          <w:i/>
        </w:rPr>
        <w:t xml:space="preserve"> en ‘n ander</w:t>
      </w:r>
      <w:r w:rsidRPr="00715F8E">
        <w:rPr>
          <w:rFonts w:ascii="Arial" w:hAnsi="Arial" w:cs="Arial"/>
          <w:i/>
        </w:rPr>
        <w:t xml:space="preserve"> v Le Roux</w:t>
      </w:r>
      <w:r w:rsidRPr="00715F8E">
        <w:rPr>
          <w:rFonts w:ascii="Arial" w:hAnsi="Arial" w:cs="Arial"/>
        </w:rPr>
        <w:t xml:space="preserve"> 1967 (1) SA 44</w:t>
      </w:r>
      <w:r w:rsidR="002E365C" w:rsidRPr="00715F8E">
        <w:rPr>
          <w:rFonts w:ascii="Arial" w:hAnsi="Arial" w:cs="Arial"/>
        </w:rPr>
        <w:t>6</w:t>
      </w:r>
      <w:r w:rsidRPr="00715F8E">
        <w:rPr>
          <w:rFonts w:ascii="Arial" w:hAnsi="Arial" w:cs="Arial"/>
        </w:rPr>
        <w:t xml:space="preserve"> (A); </w:t>
      </w:r>
      <w:r w:rsidRPr="00715F8E">
        <w:rPr>
          <w:rFonts w:ascii="Arial" w:hAnsi="Arial" w:cs="Arial"/>
          <w:i/>
        </w:rPr>
        <w:t>Nationa</w:t>
      </w:r>
      <w:r w:rsidR="00485F73" w:rsidRPr="00715F8E">
        <w:rPr>
          <w:rFonts w:ascii="Arial" w:hAnsi="Arial" w:cs="Arial"/>
          <w:i/>
        </w:rPr>
        <w:t>l Sorghum Breweries Ltd t/a Vivo African Breweries v International Liquor Distributors (Pty) Ltd</w:t>
      </w:r>
      <w:r w:rsidR="00485F73" w:rsidRPr="00715F8E">
        <w:rPr>
          <w:rFonts w:ascii="Arial" w:hAnsi="Arial" w:cs="Arial"/>
        </w:rPr>
        <w:t xml:space="preserve"> 2001 (2) SA 232 (SCA).</w:t>
      </w:r>
    </w:p>
  </w:footnote>
  <w:footnote w:id="7">
    <w:p w14:paraId="74B6C435" w14:textId="2DE96FD3" w:rsidR="005C3D12" w:rsidRPr="00715F8E" w:rsidRDefault="005C3D12" w:rsidP="00715F8E">
      <w:pPr>
        <w:pStyle w:val="FootnoteText"/>
        <w:contextualSpacing/>
        <w:jc w:val="both"/>
        <w:rPr>
          <w:rFonts w:ascii="Arial" w:hAnsi="Arial" w:cs="Arial"/>
        </w:rPr>
      </w:pPr>
      <w:r w:rsidRPr="00715F8E">
        <w:rPr>
          <w:rStyle w:val="FootnoteReference"/>
          <w:rFonts w:ascii="Arial" w:hAnsi="Arial" w:cs="Arial"/>
        </w:rPr>
        <w:footnoteRef/>
      </w:r>
      <w:r w:rsidRPr="00715F8E">
        <w:rPr>
          <w:rFonts w:ascii="Arial" w:hAnsi="Arial" w:cs="Arial"/>
        </w:rPr>
        <w:t xml:space="preserve"> The judgment appears to have been reserved for some </w:t>
      </w:r>
      <w:r w:rsidR="000945EB" w:rsidRPr="00715F8E">
        <w:rPr>
          <w:rFonts w:ascii="Arial" w:hAnsi="Arial" w:cs="Arial"/>
        </w:rPr>
        <w:t>two years and eight month</w:t>
      </w:r>
      <w:r w:rsidRPr="00715F8E">
        <w:rPr>
          <w:rFonts w:ascii="Arial" w:hAnsi="Arial" w:cs="Arial"/>
        </w:rPr>
        <w:t>s. The judgment does make reference to the STSM</w:t>
      </w:r>
      <w:r w:rsidR="0072384B" w:rsidRPr="00715F8E">
        <w:rPr>
          <w:rFonts w:ascii="Arial" w:hAnsi="Arial" w:cs="Arial"/>
        </w:rPr>
        <w:t xml:space="preserve"> </w:t>
      </w:r>
      <w:r w:rsidRPr="00715F8E">
        <w:rPr>
          <w:rFonts w:ascii="Arial" w:hAnsi="Arial" w:cs="Arial"/>
        </w:rPr>
        <w:t>A</w:t>
      </w:r>
      <w:r w:rsidR="0072384B" w:rsidRPr="00715F8E">
        <w:rPr>
          <w:rFonts w:ascii="Arial" w:hAnsi="Arial" w:cs="Arial"/>
        </w:rPr>
        <w:t>ct</w:t>
      </w:r>
      <w:r w:rsidR="00E3059D" w:rsidRPr="00715F8E">
        <w:rPr>
          <w:rFonts w:ascii="Arial" w:hAnsi="Arial" w:cs="Arial"/>
        </w:rPr>
        <w:t>,</w:t>
      </w:r>
      <w:r w:rsidRPr="00715F8E">
        <w:rPr>
          <w:rFonts w:ascii="Arial" w:hAnsi="Arial" w:cs="Arial"/>
        </w:rPr>
        <w:t xml:space="preserve"> which came into effect while judgment was being considered.</w:t>
      </w:r>
    </w:p>
  </w:footnote>
  <w:footnote w:id="8">
    <w:p w14:paraId="56D3836E" w14:textId="50E99050" w:rsidR="005C3D12" w:rsidRPr="00715F8E" w:rsidRDefault="005C3D12" w:rsidP="00715F8E">
      <w:pPr>
        <w:pStyle w:val="ListParagraph"/>
        <w:tabs>
          <w:tab w:val="left" w:pos="709"/>
        </w:tabs>
        <w:ind w:left="0"/>
        <w:jc w:val="both"/>
        <w:rPr>
          <w:rFonts w:ascii="Arial" w:hAnsi="Arial" w:cs="Arial"/>
          <w:color w:val="000000" w:themeColor="text1"/>
          <w:sz w:val="20"/>
          <w:szCs w:val="20"/>
        </w:rPr>
      </w:pPr>
      <w:r w:rsidRPr="00715F8E">
        <w:rPr>
          <w:rStyle w:val="FootnoteReference"/>
          <w:rFonts w:ascii="Arial" w:hAnsi="Arial" w:cs="Arial"/>
          <w:sz w:val="20"/>
          <w:szCs w:val="20"/>
        </w:rPr>
        <w:footnoteRef/>
      </w:r>
      <w:r w:rsidRPr="00715F8E">
        <w:rPr>
          <w:rFonts w:ascii="Arial" w:hAnsi="Arial" w:cs="Arial"/>
          <w:sz w:val="20"/>
          <w:szCs w:val="20"/>
        </w:rPr>
        <w:t xml:space="preserve"> In the first and second respondent</w:t>
      </w:r>
      <w:r w:rsidR="006B3E3C">
        <w:rPr>
          <w:rFonts w:ascii="Arial" w:hAnsi="Arial" w:cs="Arial"/>
          <w:sz w:val="20"/>
          <w:szCs w:val="20"/>
        </w:rPr>
        <w:t>s</w:t>
      </w:r>
      <w:r w:rsidRPr="00715F8E">
        <w:rPr>
          <w:rFonts w:ascii="Arial" w:hAnsi="Arial" w:cs="Arial"/>
          <w:sz w:val="20"/>
          <w:szCs w:val="20"/>
        </w:rPr>
        <w:t>’ answering affidavit in this appeal, an offer was made to this court to have the application papers that served before Masipa J placed before this court. I took the first and second respondents up on this offer and a full set of the papers was made available to me about a week after the appeal was argued</w:t>
      </w:r>
      <w:r w:rsidR="00706A4C" w:rsidRPr="00715F8E">
        <w:rPr>
          <w:rFonts w:ascii="Arial" w:hAnsi="Arial" w:cs="Arial"/>
          <w:sz w:val="20"/>
          <w:szCs w:val="20"/>
        </w:rPr>
        <w:t>.</w:t>
      </w:r>
      <w:r w:rsidR="006B1B99" w:rsidRPr="00715F8E">
        <w:rPr>
          <w:rFonts w:ascii="Arial" w:hAnsi="Arial" w:cs="Arial"/>
          <w:sz w:val="20"/>
          <w:szCs w:val="20"/>
        </w:rPr>
        <w:t xml:space="preserve"> This occurred with the consent of the appellant’s legal representative.</w:t>
      </w:r>
      <w:r w:rsidR="008448ED" w:rsidRPr="00715F8E">
        <w:rPr>
          <w:rFonts w:ascii="Arial" w:hAnsi="Arial" w:cs="Arial"/>
          <w:sz w:val="20"/>
          <w:szCs w:val="20"/>
        </w:rPr>
        <w:t xml:space="preserve"> </w:t>
      </w:r>
      <w:r w:rsidR="008448ED" w:rsidRPr="00715F8E">
        <w:rPr>
          <w:rFonts w:ascii="Arial" w:hAnsi="Arial" w:cs="Arial"/>
          <w:color w:val="000000" w:themeColor="text1"/>
          <w:sz w:val="20"/>
          <w:szCs w:val="20"/>
        </w:rPr>
        <w:t xml:space="preserve">Indeed, in </w:t>
      </w:r>
      <w:r w:rsidR="00395FD2" w:rsidRPr="00715F8E">
        <w:rPr>
          <w:rFonts w:ascii="Arial" w:hAnsi="Arial" w:cs="Arial"/>
          <w:color w:val="000000" w:themeColor="text1"/>
          <w:sz w:val="20"/>
          <w:szCs w:val="20"/>
        </w:rPr>
        <w:t>the</w:t>
      </w:r>
      <w:r w:rsidR="008448ED" w:rsidRPr="00715F8E">
        <w:rPr>
          <w:rFonts w:ascii="Arial" w:hAnsi="Arial" w:cs="Arial"/>
          <w:color w:val="000000" w:themeColor="text1"/>
          <w:sz w:val="20"/>
          <w:szCs w:val="20"/>
        </w:rPr>
        <w:t xml:space="preserve"> comprehensive heads of argument </w:t>
      </w:r>
      <w:r w:rsidR="00395FD2" w:rsidRPr="00715F8E">
        <w:rPr>
          <w:rFonts w:ascii="Arial" w:hAnsi="Arial" w:cs="Arial"/>
          <w:color w:val="000000" w:themeColor="text1"/>
          <w:sz w:val="20"/>
          <w:szCs w:val="20"/>
        </w:rPr>
        <w:t xml:space="preserve">that he delivered, </w:t>
      </w:r>
      <w:r w:rsidR="008448ED" w:rsidRPr="00715F8E">
        <w:rPr>
          <w:rFonts w:ascii="Arial" w:hAnsi="Arial" w:cs="Arial"/>
          <w:color w:val="000000" w:themeColor="text1"/>
          <w:sz w:val="20"/>
          <w:szCs w:val="20"/>
        </w:rPr>
        <w:t xml:space="preserve">he attached extracts of </w:t>
      </w:r>
      <w:r w:rsidR="007F7D8C" w:rsidRPr="00715F8E">
        <w:rPr>
          <w:rFonts w:ascii="Arial" w:hAnsi="Arial" w:cs="Arial"/>
          <w:color w:val="000000" w:themeColor="text1"/>
          <w:sz w:val="20"/>
          <w:szCs w:val="20"/>
        </w:rPr>
        <w:t>certain of the pages</w:t>
      </w:r>
      <w:r w:rsidR="004D6714" w:rsidRPr="00715F8E">
        <w:rPr>
          <w:rFonts w:ascii="Arial" w:hAnsi="Arial" w:cs="Arial"/>
          <w:color w:val="000000" w:themeColor="text1"/>
          <w:sz w:val="20"/>
          <w:szCs w:val="20"/>
        </w:rPr>
        <w:t xml:space="preserve"> from the papers that served before Masipa J.</w:t>
      </w:r>
      <w:r w:rsidR="007F7D8C" w:rsidRPr="00715F8E">
        <w:rPr>
          <w:rFonts w:ascii="Arial" w:hAnsi="Arial" w:cs="Arial"/>
          <w:color w:val="000000" w:themeColor="text1"/>
          <w:sz w:val="20"/>
          <w:szCs w:val="20"/>
        </w:rPr>
        <w:t xml:space="preserve"> </w:t>
      </w:r>
    </w:p>
  </w:footnote>
  <w:footnote w:id="9">
    <w:p w14:paraId="39E6495E" w14:textId="0BD044E4" w:rsidR="00F54536" w:rsidRPr="00715F8E" w:rsidRDefault="00F54536" w:rsidP="00715F8E">
      <w:pPr>
        <w:pStyle w:val="Heading2"/>
        <w:shd w:val="clear" w:color="auto" w:fill="FFFFFF"/>
        <w:spacing w:before="0"/>
        <w:contextualSpacing/>
        <w:jc w:val="both"/>
        <w:rPr>
          <w:rFonts w:ascii="Arial" w:hAnsi="Arial" w:cs="Arial"/>
          <w:color w:val="000000" w:themeColor="text1"/>
          <w:sz w:val="20"/>
          <w:szCs w:val="20"/>
        </w:rPr>
      </w:pPr>
      <w:r w:rsidRPr="00715F8E">
        <w:rPr>
          <w:rStyle w:val="FootnoteReference"/>
          <w:rFonts w:ascii="Arial" w:hAnsi="Arial" w:cs="Arial"/>
          <w:color w:val="000000" w:themeColor="text1"/>
          <w:sz w:val="20"/>
          <w:szCs w:val="20"/>
        </w:rPr>
        <w:footnoteRef/>
      </w:r>
      <w:r w:rsidRPr="00715F8E">
        <w:rPr>
          <w:rFonts w:ascii="Arial" w:hAnsi="Arial" w:cs="Arial"/>
          <w:color w:val="000000" w:themeColor="text1"/>
          <w:sz w:val="20"/>
          <w:szCs w:val="20"/>
        </w:rPr>
        <w:t xml:space="preserve"> </w:t>
      </w:r>
      <w:r w:rsidRPr="00715F8E">
        <w:rPr>
          <w:rFonts w:ascii="Arial" w:eastAsia="Times New Roman" w:hAnsi="Arial" w:cs="Arial"/>
          <w:i/>
          <w:color w:val="000000" w:themeColor="text1"/>
          <w:sz w:val="20"/>
          <w:szCs w:val="20"/>
        </w:rPr>
        <w:t xml:space="preserve">Ellis v Trustees of Palm Grove Body Corporate and </w:t>
      </w:r>
      <w:r w:rsidR="00C94571" w:rsidRPr="00715F8E">
        <w:rPr>
          <w:rFonts w:ascii="Arial" w:eastAsia="Times New Roman" w:hAnsi="Arial" w:cs="Arial"/>
          <w:i/>
          <w:color w:val="000000" w:themeColor="text1"/>
          <w:sz w:val="20"/>
          <w:szCs w:val="20"/>
        </w:rPr>
        <w:t>others</w:t>
      </w:r>
      <w:r w:rsidR="00C94571" w:rsidRPr="00715F8E">
        <w:rPr>
          <w:rFonts w:ascii="Arial" w:eastAsia="Times New Roman" w:hAnsi="Arial" w:cs="Arial"/>
          <w:color w:val="000000" w:themeColor="text1"/>
          <w:sz w:val="20"/>
          <w:szCs w:val="20"/>
        </w:rPr>
        <w:t xml:space="preserve"> </w:t>
      </w:r>
      <w:r w:rsidRPr="00715F8E">
        <w:rPr>
          <w:rFonts w:ascii="Arial" w:eastAsia="Times New Roman" w:hAnsi="Arial" w:cs="Arial"/>
          <w:color w:val="000000" w:themeColor="text1"/>
          <w:sz w:val="20"/>
          <w:szCs w:val="20"/>
        </w:rPr>
        <w:t>[2021] ZAKZPHC 97 paras 9</w:t>
      </w:r>
      <w:r w:rsidR="00C94571" w:rsidRPr="00715F8E">
        <w:rPr>
          <w:rFonts w:ascii="Arial" w:eastAsia="Times New Roman" w:hAnsi="Arial" w:cs="Arial"/>
          <w:color w:val="000000" w:themeColor="text1"/>
          <w:sz w:val="20"/>
          <w:szCs w:val="20"/>
        </w:rPr>
        <w:t>-</w:t>
      </w:r>
      <w:r w:rsidRPr="00715F8E">
        <w:rPr>
          <w:rFonts w:ascii="Arial" w:eastAsia="Times New Roman" w:hAnsi="Arial" w:cs="Arial"/>
          <w:color w:val="000000" w:themeColor="text1"/>
          <w:sz w:val="20"/>
          <w:szCs w:val="20"/>
        </w:rPr>
        <w:t>10.</w:t>
      </w:r>
    </w:p>
  </w:footnote>
  <w:footnote w:id="10">
    <w:p w14:paraId="52997B7D" w14:textId="77777777" w:rsidR="00F54536" w:rsidRPr="00715F8E" w:rsidRDefault="00F54536" w:rsidP="00715F8E">
      <w:pPr>
        <w:pStyle w:val="FootnoteText"/>
        <w:contextualSpacing/>
        <w:jc w:val="both"/>
        <w:rPr>
          <w:rFonts w:ascii="Arial" w:hAnsi="Arial" w:cs="Arial"/>
        </w:rPr>
      </w:pPr>
      <w:r w:rsidRPr="00715F8E">
        <w:rPr>
          <w:rStyle w:val="FootnoteReference"/>
          <w:rFonts w:ascii="Arial" w:hAnsi="Arial" w:cs="Arial"/>
        </w:rPr>
        <w:footnoteRef/>
      </w:r>
      <w:r w:rsidRPr="00715F8E">
        <w:rPr>
          <w:rFonts w:ascii="Arial" w:hAnsi="Arial" w:cs="Arial"/>
        </w:rPr>
        <w:t xml:space="preserve"> I have rounded </w:t>
      </w:r>
      <w:r w:rsidR="00155500" w:rsidRPr="00715F8E">
        <w:rPr>
          <w:rFonts w:ascii="Arial" w:hAnsi="Arial" w:cs="Arial"/>
        </w:rPr>
        <w:t>up</w:t>
      </w:r>
      <w:r w:rsidRPr="00715F8E">
        <w:rPr>
          <w:rFonts w:ascii="Arial" w:hAnsi="Arial" w:cs="Arial"/>
        </w:rPr>
        <w:t xml:space="preserve"> the figure. The actual area occupied by the commercial sections in the scheme is 26,78 percent.</w:t>
      </w:r>
    </w:p>
  </w:footnote>
  <w:footnote w:id="11">
    <w:p w14:paraId="65233C61" w14:textId="77777777" w:rsidR="00F54536" w:rsidRPr="00715F8E" w:rsidRDefault="00F54536" w:rsidP="00715F8E">
      <w:pPr>
        <w:pStyle w:val="FootnoteText"/>
        <w:contextualSpacing/>
        <w:jc w:val="both"/>
        <w:rPr>
          <w:rFonts w:ascii="Arial" w:hAnsi="Arial" w:cs="Arial"/>
        </w:rPr>
      </w:pPr>
      <w:r w:rsidRPr="00715F8E">
        <w:rPr>
          <w:rStyle w:val="FootnoteReference"/>
          <w:rFonts w:ascii="Arial" w:hAnsi="Arial" w:cs="Arial"/>
        </w:rPr>
        <w:footnoteRef/>
      </w:r>
      <w:r w:rsidRPr="00715F8E">
        <w:rPr>
          <w:rFonts w:ascii="Arial" w:hAnsi="Arial" w:cs="Arial"/>
        </w:rPr>
        <w:t xml:space="preserve"> I have </w:t>
      </w:r>
      <w:r w:rsidR="00155500" w:rsidRPr="00715F8E">
        <w:rPr>
          <w:rFonts w:ascii="Arial" w:hAnsi="Arial" w:cs="Arial"/>
        </w:rPr>
        <w:t xml:space="preserve">also </w:t>
      </w:r>
      <w:r w:rsidRPr="00715F8E">
        <w:rPr>
          <w:rFonts w:ascii="Arial" w:hAnsi="Arial" w:cs="Arial"/>
        </w:rPr>
        <w:t>rounded up th</w:t>
      </w:r>
      <w:r w:rsidR="00155500" w:rsidRPr="00715F8E">
        <w:rPr>
          <w:rFonts w:ascii="Arial" w:hAnsi="Arial" w:cs="Arial"/>
        </w:rPr>
        <w:t>is</w:t>
      </w:r>
      <w:r w:rsidRPr="00715F8E">
        <w:rPr>
          <w:rFonts w:ascii="Arial" w:hAnsi="Arial" w:cs="Arial"/>
        </w:rPr>
        <w:t xml:space="preserve"> figure. The actual area occupied by the residential sections is 67,67 percent.</w:t>
      </w:r>
      <w:r w:rsidR="00E20FC3" w:rsidRPr="00715F8E">
        <w:rPr>
          <w:rFonts w:ascii="Arial" w:hAnsi="Arial" w:cs="Arial"/>
        </w:rPr>
        <w:t xml:space="preserve"> The missing 5 percent of the scheme is comprised of parking.</w:t>
      </w:r>
    </w:p>
  </w:footnote>
  <w:footnote w:id="12">
    <w:p w14:paraId="43B13033" w14:textId="439ECE22" w:rsidR="005560DC" w:rsidRPr="00715F8E" w:rsidRDefault="005560DC" w:rsidP="00715F8E">
      <w:pPr>
        <w:pStyle w:val="FootnoteText"/>
        <w:contextualSpacing/>
        <w:jc w:val="both"/>
        <w:rPr>
          <w:rFonts w:ascii="Arial" w:hAnsi="Arial" w:cs="Arial"/>
          <w:color w:val="000000" w:themeColor="text1"/>
        </w:rPr>
      </w:pPr>
      <w:r w:rsidRPr="00715F8E">
        <w:rPr>
          <w:rStyle w:val="FootnoteReference"/>
          <w:rFonts w:ascii="Arial" w:hAnsi="Arial" w:cs="Arial"/>
          <w:color w:val="000000" w:themeColor="text1"/>
        </w:rPr>
        <w:footnoteRef/>
      </w:r>
      <w:r w:rsidRPr="00715F8E">
        <w:rPr>
          <w:rFonts w:ascii="Arial" w:hAnsi="Arial" w:cs="Arial"/>
          <w:color w:val="000000" w:themeColor="text1"/>
        </w:rPr>
        <w:t xml:space="preserve"> </w:t>
      </w:r>
      <w:r w:rsidRPr="00715F8E">
        <w:rPr>
          <w:rFonts w:ascii="Arial" w:hAnsi="Arial" w:cs="Arial"/>
          <w:i/>
          <w:iCs/>
          <w:color w:val="000000" w:themeColor="text1"/>
        </w:rPr>
        <w:t xml:space="preserve">Mobile Telephone Networks (Pty) Ltd and another v Spilhaus </w:t>
      </w:r>
      <w:r w:rsidR="00E21A9C" w:rsidRPr="00715F8E">
        <w:rPr>
          <w:rFonts w:ascii="Arial" w:hAnsi="Arial" w:cs="Arial"/>
          <w:i/>
          <w:iCs/>
          <w:color w:val="000000" w:themeColor="text1"/>
        </w:rPr>
        <w:t>Property Holdings (Pty) Ltd</w:t>
      </w:r>
      <w:r w:rsidR="00302A77" w:rsidRPr="00715F8E">
        <w:rPr>
          <w:rFonts w:ascii="Arial" w:hAnsi="Arial" w:cs="Arial"/>
          <w:i/>
          <w:iCs/>
          <w:color w:val="000000" w:themeColor="text1"/>
        </w:rPr>
        <w:t xml:space="preserve"> and others</w:t>
      </w:r>
      <w:r w:rsidR="00E21A9C" w:rsidRPr="00715F8E">
        <w:rPr>
          <w:rFonts w:ascii="Arial" w:hAnsi="Arial" w:cs="Arial"/>
          <w:color w:val="000000" w:themeColor="text1"/>
        </w:rPr>
        <w:t xml:space="preserve"> </w:t>
      </w:r>
      <w:r w:rsidR="00302A77" w:rsidRPr="00715F8E">
        <w:rPr>
          <w:rFonts w:ascii="Arial" w:hAnsi="Arial" w:cs="Arial"/>
          <w:color w:val="000000" w:themeColor="text1"/>
        </w:rPr>
        <w:t xml:space="preserve">[2018] ZASCA 16; </w:t>
      </w:r>
      <w:r w:rsidR="00E21A9C" w:rsidRPr="00715F8E">
        <w:rPr>
          <w:rFonts w:ascii="Arial" w:hAnsi="Arial" w:cs="Arial"/>
          <w:color w:val="000000" w:themeColor="text1"/>
        </w:rPr>
        <w:t>2018 (3) SA 396 (SCA) para 1.</w:t>
      </w:r>
    </w:p>
  </w:footnote>
  <w:footnote w:id="13">
    <w:p w14:paraId="11F3E0FC" w14:textId="766DB1C3" w:rsidR="002F6285" w:rsidRPr="00715F8E" w:rsidRDefault="002F6285" w:rsidP="00715F8E">
      <w:pPr>
        <w:pStyle w:val="NormalWeb"/>
        <w:spacing w:before="0" w:beforeAutospacing="0" w:after="0" w:afterAutospacing="0"/>
        <w:contextualSpacing/>
        <w:jc w:val="both"/>
        <w:rPr>
          <w:rFonts w:ascii="Arial" w:hAnsi="Arial" w:cs="Arial"/>
          <w:color w:val="000000" w:themeColor="text1"/>
          <w:sz w:val="20"/>
          <w:szCs w:val="20"/>
        </w:rPr>
      </w:pPr>
      <w:r w:rsidRPr="00715F8E">
        <w:rPr>
          <w:rStyle w:val="FootnoteReference"/>
          <w:rFonts w:ascii="Arial" w:hAnsi="Arial" w:cs="Arial"/>
          <w:color w:val="000000" w:themeColor="text1"/>
          <w:sz w:val="20"/>
          <w:szCs w:val="20"/>
        </w:rPr>
        <w:footnoteRef/>
      </w:r>
      <w:r w:rsidRPr="00715F8E">
        <w:rPr>
          <w:rFonts w:ascii="Arial" w:hAnsi="Arial" w:cs="Arial"/>
          <w:color w:val="000000" w:themeColor="text1"/>
          <w:sz w:val="20"/>
          <w:szCs w:val="20"/>
        </w:rPr>
        <w:t xml:space="preserve"> This sub-section was repealed </w:t>
      </w:r>
      <w:r w:rsidR="004222F8" w:rsidRPr="00715F8E">
        <w:rPr>
          <w:rFonts w:ascii="Arial" w:hAnsi="Arial" w:cs="Arial"/>
          <w:color w:val="000000" w:themeColor="text1"/>
          <w:sz w:val="20"/>
          <w:szCs w:val="20"/>
        </w:rPr>
        <w:t xml:space="preserve">by </w:t>
      </w:r>
      <w:r w:rsidRPr="00715F8E">
        <w:rPr>
          <w:rFonts w:ascii="Arial" w:hAnsi="Arial" w:cs="Arial"/>
          <w:color w:val="000000" w:themeColor="text1"/>
          <w:sz w:val="20"/>
          <w:szCs w:val="20"/>
        </w:rPr>
        <w:t>s</w:t>
      </w:r>
      <w:r w:rsidR="00637C3C" w:rsidRPr="00715F8E">
        <w:rPr>
          <w:rFonts w:ascii="Arial" w:hAnsi="Arial" w:cs="Arial"/>
          <w:color w:val="000000" w:themeColor="text1"/>
          <w:sz w:val="20"/>
          <w:szCs w:val="20"/>
        </w:rPr>
        <w:t>ection</w:t>
      </w:r>
      <w:r w:rsidRPr="00715F8E">
        <w:rPr>
          <w:rFonts w:ascii="Arial" w:hAnsi="Arial" w:cs="Arial"/>
          <w:color w:val="000000" w:themeColor="text1"/>
          <w:sz w:val="20"/>
          <w:szCs w:val="20"/>
        </w:rPr>
        <w:t xml:space="preserve"> 20 of </w:t>
      </w:r>
      <w:r w:rsidR="0071291C" w:rsidRPr="00715F8E">
        <w:rPr>
          <w:rFonts w:ascii="Arial" w:hAnsi="Arial" w:cs="Arial"/>
          <w:color w:val="000000" w:themeColor="text1"/>
          <w:sz w:val="20"/>
          <w:szCs w:val="20"/>
        </w:rPr>
        <w:t xml:space="preserve">the </w:t>
      </w:r>
      <w:r w:rsidR="007F62EE">
        <w:rPr>
          <w:rFonts w:ascii="Arial" w:hAnsi="Arial" w:cs="Arial"/>
          <w:color w:val="000000" w:themeColor="text1"/>
          <w:sz w:val="20"/>
          <w:szCs w:val="20"/>
        </w:rPr>
        <w:t>STSM</w:t>
      </w:r>
      <w:r w:rsidR="0071291C" w:rsidRPr="00715F8E">
        <w:rPr>
          <w:rFonts w:ascii="Arial" w:hAnsi="Arial" w:cs="Arial"/>
          <w:color w:val="000000" w:themeColor="text1"/>
          <w:sz w:val="20"/>
          <w:szCs w:val="20"/>
        </w:rPr>
        <w:t xml:space="preserve"> </w:t>
      </w:r>
      <w:r w:rsidRPr="00715F8E">
        <w:rPr>
          <w:rFonts w:ascii="Arial" w:hAnsi="Arial" w:cs="Arial"/>
          <w:color w:val="000000" w:themeColor="text1"/>
          <w:sz w:val="20"/>
          <w:szCs w:val="20"/>
        </w:rPr>
        <w:t>Act.</w:t>
      </w:r>
    </w:p>
  </w:footnote>
  <w:footnote w:id="14">
    <w:p w14:paraId="165F72F6" w14:textId="2AB3D249" w:rsidR="00222D5A" w:rsidRPr="00715F8E" w:rsidRDefault="00222D5A" w:rsidP="00715F8E">
      <w:pPr>
        <w:pStyle w:val="FootnoteText"/>
        <w:contextualSpacing/>
        <w:jc w:val="both"/>
        <w:rPr>
          <w:rFonts w:ascii="Arial" w:hAnsi="Arial" w:cs="Arial"/>
        </w:rPr>
      </w:pPr>
      <w:r w:rsidRPr="00715F8E">
        <w:rPr>
          <w:rStyle w:val="FootnoteReference"/>
          <w:rFonts w:ascii="Arial" w:hAnsi="Arial" w:cs="Arial"/>
        </w:rPr>
        <w:footnoteRef/>
      </w:r>
      <w:r w:rsidRPr="00715F8E">
        <w:rPr>
          <w:rFonts w:ascii="Arial" w:hAnsi="Arial" w:cs="Arial"/>
        </w:rPr>
        <w:t xml:space="preserve"> </w:t>
      </w:r>
      <w:r w:rsidRPr="00715F8E">
        <w:rPr>
          <w:rFonts w:ascii="Arial" w:hAnsi="Arial" w:cs="Arial"/>
          <w:i/>
          <w:iCs/>
          <w:color w:val="000000" w:themeColor="text1"/>
        </w:rPr>
        <w:t>Body Corporate of Marine Sands v Extra Dimensions 121 (Pty) Ltd and another</w:t>
      </w:r>
      <w:r w:rsidRPr="00715F8E">
        <w:rPr>
          <w:rFonts w:ascii="Arial" w:hAnsi="Arial" w:cs="Arial"/>
          <w:color w:val="000000" w:themeColor="text1"/>
        </w:rPr>
        <w:t xml:space="preserve"> [2019] ZASCA 161</w:t>
      </w:r>
      <w:r w:rsidR="0071291C" w:rsidRPr="00715F8E">
        <w:rPr>
          <w:rFonts w:ascii="Arial" w:hAnsi="Arial" w:cs="Arial"/>
          <w:color w:val="000000" w:themeColor="text1"/>
        </w:rPr>
        <w:t>; 2020 (2) SA 61 (SCA)</w:t>
      </w:r>
      <w:r w:rsidRPr="00715F8E">
        <w:rPr>
          <w:rFonts w:ascii="Arial" w:hAnsi="Arial" w:cs="Arial"/>
          <w:color w:val="000000" w:themeColor="text1"/>
        </w:rPr>
        <w:t>.</w:t>
      </w:r>
    </w:p>
  </w:footnote>
  <w:footnote w:id="15">
    <w:p w14:paraId="04F16230" w14:textId="34E38B8A" w:rsidR="00222D5A" w:rsidRPr="00715F8E" w:rsidRDefault="00222D5A" w:rsidP="00715F8E">
      <w:pPr>
        <w:pStyle w:val="FootnoteText"/>
        <w:contextualSpacing/>
        <w:jc w:val="both"/>
        <w:rPr>
          <w:rFonts w:ascii="Arial" w:hAnsi="Arial" w:cs="Arial"/>
        </w:rPr>
      </w:pPr>
      <w:r w:rsidRPr="00715F8E">
        <w:rPr>
          <w:rStyle w:val="FootnoteReference"/>
          <w:rFonts w:ascii="Arial" w:hAnsi="Arial" w:cs="Arial"/>
        </w:rPr>
        <w:footnoteRef/>
      </w:r>
      <w:r w:rsidRPr="00715F8E">
        <w:rPr>
          <w:rFonts w:ascii="Arial" w:hAnsi="Arial" w:cs="Arial"/>
        </w:rPr>
        <w:t xml:space="preserve"> </w:t>
      </w:r>
      <w:r w:rsidR="0071291C" w:rsidRPr="008D44F5">
        <w:rPr>
          <w:rFonts w:ascii="Arial" w:hAnsi="Arial" w:cs="Arial"/>
          <w:iCs/>
          <w:color w:val="000000" w:themeColor="text1"/>
        </w:rPr>
        <w:t>Ibid</w:t>
      </w:r>
      <w:r w:rsidRPr="00715F8E">
        <w:rPr>
          <w:rFonts w:ascii="Arial" w:hAnsi="Arial" w:cs="Arial"/>
          <w:color w:val="000000" w:themeColor="text1"/>
        </w:rPr>
        <w:t xml:space="preserve"> para 17.</w:t>
      </w:r>
    </w:p>
  </w:footnote>
  <w:footnote w:id="16">
    <w:p w14:paraId="75A034EC" w14:textId="186D00FB" w:rsidR="000C1F38" w:rsidRPr="00715F8E" w:rsidRDefault="000C1F38" w:rsidP="00715F8E">
      <w:pPr>
        <w:pStyle w:val="FootnoteText"/>
        <w:contextualSpacing/>
        <w:jc w:val="both"/>
        <w:rPr>
          <w:rFonts w:ascii="Arial" w:hAnsi="Arial" w:cs="Arial"/>
          <w:color w:val="000000" w:themeColor="text1"/>
        </w:rPr>
      </w:pPr>
      <w:r w:rsidRPr="00715F8E">
        <w:rPr>
          <w:rStyle w:val="FootnoteReference"/>
          <w:rFonts w:ascii="Arial" w:hAnsi="Arial" w:cs="Arial"/>
          <w:color w:val="000000" w:themeColor="text1"/>
        </w:rPr>
        <w:footnoteRef/>
      </w:r>
      <w:r w:rsidRPr="00715F8E">
        <w:rPr>
          <w:rFonts w:ascii="Arial" w:hAnsi="Arial" w:cs="Arial"/>
          <w:color w:val="000000" w:themeColor="text1"/>
        </w:rPr>
        <w:t xml:space="preserve"> </w:t>
      </w:r>
      <w:r w:rsidR="002850BC" w:rsidRPr="008D44F5">
        <w:rPr>
          <w:rFonts w:ascii="Arial" w:hAnsi="Arial" w:cs="Arial"/>
          <w:iCs/>
          <w:color w:val="000000" w:themeColor="text1"/>
        </w:rPr>
        <w:t>Ibid</w:t>
      </w:r>
      <w:r w:rsidRPr="00715F8E">
        <w:rPr>
          <w:rFonts w:ascii="Arial" w:hAnsi="Arial" w:cs="Arial"/>
          <w:color w:val="000000" w:themeColor="text1"/>
        </w:rPr>
        <w:t xml:space="preserve"> para 2</w:t>
      </w:r>
      <w:r w:rsidR="006E0A96" w:rsidRPr="00715F8E">
        <w:rPr>
          <w:rFonts w:ascii="Arial" w:hAnsi="Arial" w:cs="Arial"/>
          <w:color w:val="000000" w:themeColor="text1"/>
        </w:rPr>
        <w:t>0</w:t>
      </w:r>
      <w:r w:rsidR="00B33CF9" w:rsidRPr="00715F8E">
        <w:rPr>
          <w:rFonts w:ascii="Arial" w:hAnsi="Arial" w:cs="Arial"/>
          <w:color w:val="000000" w:themeColor="text1"/>
        </w:rPr>
        <w:t>.</w:t>
      </w:r>
    </w:p>
  </w:footnote>
  <w:footnote w:id="17">
    <w:p w14:paraId="357ADA6B" w14:textId="28CB5A7A" w:rsidR="006B285F" w:rsidRPr="00715F8E" w:rsidRDefault="006B285F" w:rsidP="00715F8E">
      <w:pPr>
        <w:pStyle w:val="FootnoteText"/>
        <w:contextualSpacing/>
        <w:jc w:val="both"/>
        <w:rPr>
          <w:rFonts w:ascii="Arial" w:hAnsi="Arial" w:cs="Arial"/>
        </w:rPr>
      </w:pPr>
      <w:r w:rsidRPr="00715F8E">
        <w:rPr>
          <w:rStyle w:val="FootnoteReference"/>
          <w:rFonts w:ascii="Arial" w:hAnsi="Arial" w:cs="Arial"/>
        </w:rPr>
        <w:footnoteRef/>
      </w:r>
      <w:r w:rsidRPr="00715F8E">
        <w:rPr>
          <w:rFonts w:ascii="Arial" w:hAnsi="Arial" w:cs="Arial"/>
        </w:rPr>
        <w:t xml:space="preserve"> </w:t>
      </w:r>
      <w:r w:rsidR="008629B9" w:rsidRPr="00715F8E">
        <w:rPr>
          <w:rFonts w:ascii="Arial" w:hAnsi="Arial" w:cs="Arial"/>
        </w:rPr>
        <w:t>The</w:t>
      </w:r>
      <w:r w:rsidRPr="00715F8E">
        <w:rPr>
          <w:rFonts w:ascii="Arial" w:hAnsi="Arial" w:cs="Arial"/>
        </w:rPr>
        <w:t xml:space="preserve"> procedure for the determination of a referee is set out in the special rules </w:t>
      </w:r>
      <w:r w:rsidR="00E846D3">
        <w:rPr>
          <w:rFonts w:ascii="Arial" w:hAnsi="Arial" w:cs="Arial"/>
        </w:rPr>
        <w:t>which</w:t>
      </w:r>
      <w:r w:rsidR="00E846D3" w:rsidRPr="00715F8E">
        <w:rPr>
          <w:rFonts w:ascii="Arial" w:hAnsi="Arial" w:cs="Arial"/>
        </w:rPr>
        <w:t xml:space="preserve"> </w:t>
      </w:r>
      <w:r w:rsidRPr="00715F8E">
        <w:rPr>
          <w:rFonts w:ascii="Arial" w:hAnsi="Arial" w:cs="Arial"/>
        </w:rPr>
        <w:t xml:space="preserve">includes a provision </w:t>
      </w:r>
      <w:r w:rsidR="008B45D2" w:rsidRPr="00715F8E">
        <w:rPr>
          <w:rFonts w:ascii="Arial" w:hAnsi="Arial" w:cs="Arial"/>
        </w:rPr>
        <w:t>dealing with a situation where the trustees cannot agree who he should be: in such event, the referee is to be appointed by the chairman of the Natal Law Society from time to time.</w:t>
      </w:r>
      <w:r w:rsidR="007B17FA" w:rsidRPr="00715F8E">
        <w:rPr>
          <w:rFonts w:ascii="Arial" w:hAnsi="Arial" w:cs="Arial"/>
        </w:rPr>
        <w:t xml:space="preserve"> Clearly, that latter provision will have to be revised given that the Natal Law Society no longer exists.</w:t>
      </w:r>
    </w:p>
  </w:footnote>
  <w:footnote w:id="18">
    <w:p w14:paraId="10E26F95" w14:textId="1C5AC421" w:rsidR="00523903" w:rsidRPr="00715F8E" w:rsidRDefault="00523903" w:rsidP="00715F8E">
      <w:pPr>
        <w:pStyle w:val="FootnoteText"/>
        <w:contextualSpacing/>
        <w:jc w:val="both"/>
        <w:rPr>
          <w:rFonts w:ascii="Arial" w:hAnsi="Arial" w:cs="Arial"/>
          <w:color w:val="000000" w:themeColor="text1"/>
        </w:rPr>
      </w:pPr>
      <w:r w:rsidRPr="00715F8E">
        <w:rPr>
          <w:rStyle w:val="FootnoteReference"/>
          <w:rFonts w:ascii="Arial" w:hAnsi="Arial" w:cs="Arial"/>
          <w:color w:val="000000" w:themeColor="text1"/>
        </w:rPr>
        <w:footnoteRef/>
      </w:r>
      <w:r w:rsidRPr="00715F8E">
        <w:rPr>
          <w:rFonts w:ascii="Arial" w:hAnsi="Arial" w:cs="Arial"/>
          <w:color w:val="000000" w:themeColor="text1"/>
        </w:rPr>
        <w:t xml:space="preserve"> Indexed papers, </w:t>
      </w:r>
      <w:r w:rsidR="00D80A93" w:rsidRPr="00715F8E">
        <w:rPr>
          <w:rFonts w:ascii="Arial" w:hAnsi="Arial" w:cs="Arial"/>
          <w:color w:val="000000" w:themeColor="text1"/>
        </w:rPr>
        <w:t xml:space="preserve">at </w:t>
      </w:r>
      <w:r w:rsidRPr="00715F8E">
        <w:rPr>
          <w:rFonts w:ascii="Arial" w:hAnsi="Arial" w:cs="Arial"/>
          <w:color w:val="000000" w:themeColor="text1"/>
        </w:rPr>
        <w:t>313, para 28.</w:t>
      </w:r>
    </w:p>
  </w:footnote>
  <w:footnote w:id="19">
    <w:p w14:paraId="109205EC" w14:textId="2CD29B7E" w:rsidR="00574AD9" w:rsidRPr="00715F8E" w:rsidRDefault="00574AD9" w:rsidP="00715F8E">
      <w:pPr>
        <w:pStyle w:val="FootnoteText"/>
        <w:contextualSpacing/>
        <w:jc w:val="both"/>
        <w:rPr>
          <w:rFonts w:ascii="Arial" w:hAnsi="Arial" w:cs="Arial"/>
        </w:rPr>
      </w:pPr>
      <w:r w:rsidRPr="00715F8E">
        <w:rPr>
          <w:rStyle w:val="FootnoteReference"/>
          <w:rFonts w:ascii="Arial" w:hAnsi="Arial" w:cs="Arial"/>
        </w:rPr>
        <w:footnoteRef/>
      </w:r>
      <w:r w:rsidRPr="00715F8E">
        <w:rPr>
          <w:rFonts w:ascii="Arial" w:hAnsi="Arial" w:cs="Arial"/>
        </w:rPr>
        <w:t xml:space="preserve"> In the founding affidavit the appellant describes himself as </w:t>
      </w:r>
      <w:r w:rsidR="00E73036" w:rsidRPr="00715F8E">
        <w:rPr>
          <w:rFonts w:ascii="Arial" w:hAnsi="Arial" w:cs="Arial"/>
        </w:rPr>
        <w:t>‘an adult male insurance broker, estate agent, professional accountant and tax practitioner’.</w:t>
      </w:r>
    </w:p>
  </w:footnote>
  <w:footnote w:id="20">
    <w:p w14:paraId="5E21D0FC" w14:textId="61B35D02" w:rsidR="003121D9" w:rsidRPr="00715F8E" w:rsidRDefault="003121D9" w:rsidP="00715F8E">
      <w:pPr>
        <w:pStyle w:val="FootnoteText"/>
        <w:contextualSpacing/>
        <w:jc w:val="both"/>
        <w:rPr>
          <w:rFonts w:ascii="Arial" w:hAnsi="Arial" w:cs="Arial"/>
        </w:rPr>
      </w:pPr>
      <w:r w:rsidRPr="00715F8E">
        <w:rPr>
          <w:rStyle w:val="FootnoteReference"/>
          <w:rFonts w:ascii="Arial" w:hAnsi="Arial" w:cs="Arial"/>
        </w:rPr>
        <w:footnoteRef/>
      </w:r>
      <w:r w:rsidRPr="00715F8E">
        <w:rPr>
          <w:rFonts w:ascii="Arial" w:hAnsi="Arial" w:cs="Arial"/>
        </w:rPr>
        <w:t xml:space="preserve"> </w:t>
      </w:r>
      <w:r w:rsidRPr="00715F8E">
        <w:rPr>
          <w:rFonts w:ascii="Arial" w:hAnsi="Arial" w:cs="Arial"/>
          <w:i/>
          <w:iCs/>
          <w:color w:val="000000" w:themeColor="text1"/>
        </w:rPr>
        <w:t>Wilds Home</w:t>
      </w:r>
      <w:r w:rsidR="00E66CCD" w:rsidRPr="00715F8E">
        <w:rPr>
          <w:rFonts w:ascii="Arial" w:hAnsi="Arial" w:cs="Arial"/>
          <w:i/>
          <w:iCs/>
          <w:color w:val="000000" w:themeColor="text1"/>
        </w:rPr>
        <w:t xml:space="preserve"> Owners Association </w:t>
      </w:r>
      <w:r w:rsidRPr="00715F8E">
        <w:rPr>
          <w:rFonts w:ascii="Arial" w:hAnsi="Arial" w:cs="Arial"/>
          <w:i/>
          <w:iCs/>
          <w:color w:val="000000" w:themeColor="text1"/>
        </w:rPr>
        <w:t xml:space="preserve">and others v Van Eeden and </w:t>
      </w:r>
      <w:r w:rsidR="00E66CCD" w:rsidRPr="00715F8E">
        <w:rPr>
          <w:rFonts w:ascii="Arial" w:hAnsi="Arial" w:cs="Arial"/>
          <w:i/>
          <w:iCs/>
          <w:color w:val="000000" w:themeColor="text1"/>
        </w:rPr>
        <w:t>Others</w:t>
      </w:r>
      <w:r w:rsidR="00E66CCD" w:rsidRPr="00715F8E">
        <w:rPr>
          <w:rFonts w:ascii="Arial" w:hAnsi="Arial" w:cs="Arial"/>
          <w:color w:val="000000" w:themeColor="text1"/>
        </w:rPr>
        <w:t xml:space="preserve"> </w:t>
      </w:r>
      <w:r w:rsidR="00D80A93" w:rsidRPr="00715F8E">
        <w:rPr>
          <w:rFonts w:ascii="Arial" w:hAnsi="Arial" w:cs="Arial"/>
          <w:color w:val="000000" w:themeColor="text1"/>
        </w:rPr>
        <w:t>[</w:t>
      </w:r>
      <w:r w:rsidRPr="00715F8E">
        <w:rPr>
          <w:rFonts w:ascii="Arial" w:hAnsi="Arial" w:cs="Arial"/>
          <w:color w:val="000000" w:themeColor="text1"/>
        </w:rPr>
        <w:t>2011</w:t>
      </w:r>
      <w:r w:rsidR="00D80A93" w:rsidRPr="00715F8E">
        <w:rPr>
          <w:rFonts w:ascii="Arial" w:hAnsi="Arial" w:cs="Arial"/>
          <w:color w:val="000000" w:themeColor="text1"/>
        </w:rPr>
        <w:t>]</w:t>
      </w:r>
      <w:r w:rsidRPr="00715F8E">
        <w:rPr>
          <w:rFonts w:ascii="Arial" w:hAnsi="Arial" w:cs="Arial"/>
          <w:color w:val="000000" w:themeColor="text1"/>
        </w:rPr>
        <w:t xml:space="preserve"> ZAGPPHC 101</w:t>
      </w:r>
      <w:r w:rsidR="00E1284D" w:rsidRPr="00715F8E">
        <w:rPr>
          <w:rFonts w:ascii="Arial" w:hAnsi="Arial" w:cs="Arial"/>
          <w:color w:val="000000" w:themeColor="text1"/>
        </w:rPr>
        <w:t>.</w:t>
      </w:r>
      <w:r w:rsidRPr="00715F8E">
        <w:rPr>
          <w:rFonts w:ascii="Arial" w:hAnsi="Arial" w:cs="Arial"/>
          <w:color w:val="000000" w:themeColor="text1"/>
        </w:rPr>
        <w:t> </w:t>
      </w:r>
    </w:p>
  </w:footnote>
  <w:footnote w:id="21">
    <w:p w14:paraId="39D23D8C" w14:textId="3903FA35" w:rsidR="00E1284D" w:rsidRPr="00715F8E" w:rsidRDefault="00E1284D" w:rsidP="00715F8E">
      <w:pPr>
        <w:pStyle w:val="FootnoteText"/>
        <w:contextualSpacing/>
        <w:jc w:val="both"/>
        <w:rPr>
          <w:rFonts w:ascii="Arial" w:hAnsi="Arial" w:cs="Arial"/>
        </w:rPr>
      </w:pPr>
      <w:r w:rsidRPr="00715F8E">
        <w:rPr>
          <w:rStyle w:val="FootnoteReference"/>
          <w:rFonts w:ascii="Arial" w:hAnsi="Arial" w:cs="Arial"/>
        </w:rPr>
        <w:footnoteRef/>
      </w:r>
      <w:r w:rsidRPr="00715F8E">
        <w:rPr>
          <w:rFonts w:ascii="Arial" w:hAnsi="Arial" w:cs="Arial"/>
        </w:rPr>
        <w:t xml:space="preserve"> </w:t>
      </w:r>
      <w:r w:rsidR="004C7585" w:rsidRPr="00715F8E">
        <w:rPr>
          <w:rFonts w:ascii="Arial" w:hAnsi="Arial" w:cs="Arial"/>
          <w:color w:val="000000" w:themeColor="text1"/>
        </w:rPr>
        <w:t>Ibid</w:t>
      </w:r>
      <w:r w:rsidRPr="00715F8E">
        <w:rPr>
          <w:rFonts w:ascii="Arial" w:hAnsi="Arial" w:cs="Arial"/>
          <w:color w:val="000000" w:themeColor="text1"/>
        </w:rPr>
        <w:t xml:space="preserve"> para </w:t>
      </w:r>
      <w:r w:rsidR="005E7A2F" w:rsidRPr="00715F8E">
        <w:rPr>
          <w:rFonts w:ascii="Arial" w:hAnsi="Arial" w:cs="Arial"/>
          <w:color w:val="000000" w:themeColor="text1"/>
        </w:rPr>
        <w:t>205</w:t>
      </w:r>
      <w:r w:rsidRPr="00715F8E">
        <w:rPr>
          <w:rFonts w:ascii="Arial" w:hAnsi="Arial" w:cs="Arial"/>
          <w:color w:val="000000" w:themeColor="text1"/>
        </w:rPr>
        <w:t>.</w:t>
      </w:r>
    </w:p>
  </w:footnote>
  <w:footnote w:id="22">
    <w:p w14:paraId="627D9866" w14:textId="68A28CFB" w:rsidR="00A576D0" w:rsidRPr="00715F8E" w:rsidRDefault="00A576D0" w:rsidP="00715F8E">
      <w:pPr>
        <w:pStyle w:val="FootnoteText"/>
        <w:contextualSpacing/>
        <w:jc w:val="both"/>
        <w:rPr>
          <w:rFonts w:ascii="Arial" w:hAnsi="Arial" w:cs="Arial"/>
        </w:rPr>
      </w:pPr>
      <w:r w:rsidRPr="00715F8E">
        <w:rPr>
          <w:rStyle w:val="FootnoteReference"/>
          <w:rFonts w:ascii="Arial" w:hAnsi="Arial" w:cs="Arial"/>
        </w:rPr>
        <w:footnoteRef/>
      </w:r>
      <w:r w:rsidRPr="00715F8E">
        <w:rPr>
          <w:rFonts w:ascii="Arial" w:hAnsi="Arial" w:cs="Arial"/>
        </w:rPr>
        <w:t xml:space="preserve"> </w:t>
      </w:r>
      <w:r w:rsidRPr="00715F8E">
        <w:rPr>
          <w:rFonts w:ascii="Arial" w:hAnsi="Arial" w:cs="Arial"/>
          <w:i/>
          <w:iCs/>
        </w:rPr>
        <w:t xml:space="preserve">First National Bank of </w:t>
      </w:r>
      <w:r w:rsidR="00E66CCD" w:rsidRPr="00715F8E">
        <w:rPr>
          <w:rFonts w:ascii="Arial" w:hAnsi="Arial" w:cs="Arial"/>
          <w:i/>
          <w:iCs/>
        </w:rPr>
        <w:t>SA Ltd</w:t>
      </w:r>
      <w:r w:rsidRPr="00715F8E">
        <w:rPr>
          <w:rFonts w:ascii="Arial" w:hAnsi="Arial" w:cs="Arial"/>
          <w:i/>
          <w:iCs/>
        </w:rPr>
        <w:t xml:space="preserve"> t/a Wesbank v Commissioner, South African Revenue Service</w:t>
      </w:r>
      <w:r w:rsidR="00E66CCD" w:rsidRPr="00715F8E">
        <w:rPr>
          <w:rFonts w:ascii="Arial" w:hAnsi="Arial" w:cs="Arial"/>
          <w:i/>
          <w:iCs/>
        </w:rPr>
        <w:t xml:space="preserve"> and another; First National Bank of </w:t>
      </w:r>
      <w:r w:rsidR="00B073BB" w:rsidRPr="00715F8E">
        <w:rPr>
          <w:rFonts w:ascii="Arial" w:hAnsi="Arial" w:cs="Arial"/>
          <w:i/>
          <w:iCs/>
        </w:rPr>
        <w:t>SA Ltd</w:t>
      </w:r>
      <w:r w:rsidR="00E66CCD" w:rsidRPr="00715F8E">
        <w:rPr>
          <w:rFonts w:ascii="Arial" w:hAnsi="Arial" w:cs="Arial"/>
          <w:i/>
          <w:iCs/>
        </w:rPr>
        <w:t xml:space="preserve"> t/a Wesbank v Minister of Finance</w:t>
      </w:r>
      <w:r w:rsidRPr="00715F8E">
        <w:rPr>
          <w:rFonts w:ascii="Arial" w:hAnsi="Arial" w:cs="Arial"/>
          <w:i/>
          <w:iCs/>
        </w:rPr>
        <w:t xml:space="preserve"> </w:t>
      </w:r>
      <w:r w:rsidR="00B073BB" w:rsidRPr="00715F8E">
        <w:rPr>
          <w:rFonts w:ascii="Arial" w:hAnsi="Arial" w:cs="Arial"/>
          <w:iCs/>
        </w:rPr>
        <w:t xml:space="preserve">[2002] ZACC 5; </w:t>
      </w:r>
      <w:r w:rsidRPr="00715F8E">
        <w:rPr>
          <w:rFonts w:ascii="Arial" w:hAnsi="Arial" w:cs="Arial"/>
        </w:rPr>
        <w:t>2002 (4) SA 768 (CC)</w:t>
      </w:r>
      <w:r w:rsidR="000247FC" w:rsidRPr="00715F8E">
        <w:rPr>
          <w:rFonts w:ascii="Arial" w:hAnsi="Arial" w:cs="Arial"/>
        </w:rPr>
        <w:t xml:space="preserve"> para 46.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458782"/>
      <w:docPartObj>
        <w:docPartGallery w:val="Page Numbers (Top of Page)"/>
        <w:docPartUnique/>
      </w:docPartObj>
    </w:sdtPr>
    <w:sdtEndPr>
      <w:rPr>
        <w:rFonts w:ascii="Arial" w:hAnsi="Arial" w:cs="Arial"/>
        <w:noProof/>
      </w:rPr>
    </w:sdtEndPr>
    <w:sdtContent>
      <w:p w14:paraId="2AA4E5DC" w14:textId="7E48C1CC" w:rsidR="00F54536" w:rsidRPr="00747D92" w:rsidRDefault="00F54536">
        <w:pPr>
          <w:pStyle w:val="Header"/>
          <w:jc w:val="right"/>
          <w:rPr>
            <w:rFonts w:ascii="Arial" w:hAnsi="Arial" w:cs="Arial"/>
          </w:rPr>
        </w:pPr>
        <w:r w:rsidRPr="00747D92">
          <w:rPr>
            <w:rFonts w:ascii="Arial" w:hAnsi="Arial" w:cs="Arial"/>
          </w:rPr>
          <w:fldChar w:fldCharType="begin"/>
        </w:r>
        <w:r w:rsidRPr="00747D92">
          <w:rPr>
            <w:rFonts w:ascii="Arial" w:hAnsi="Arial" w:cs="Arial"/>
          </w:rPr>
          <w:instrText xml:space="preserve"> PAGE   \* MERGEFORMAT </w:instrText>
        </w:r>
        <w:r w:rsidRPr="00747D92">
          <w:rPr>
            <w:rFonts w:ascii="Arial" w:hAnsi="Arial" w:cs="Arial"/>
          </w:rPr>
          <w:fldChar w:fldCharType="separate"/>
        </w:r>
        <w:r w:rsidR="00F32D8A">
          <w:rPr>
            <w:rFonts w:ascii="Arial" w:hAnsi="Arial" w:cs="Arial"/>
            <w:noProof/>
          </w:rPr>
          <w:t>2</w:t>
        </w:r>
        <w:r w:rsidRPr="00747D92">
          <w:rPr>
            <w:rFonts w:ascii="Arial" w:hAnsi="Arial" w:cs="Arial"/>
            <w:noProof/>
          </w:rPr>
          <w:fldChar w:fldCharType="end"/>
        </w:r>
      </w:p>
    </w:sdtContent>
  </w:sdt>
  <w:p w14:paraId="1312F9EC" w14:textId="77777777" w:rsidR="00F54536" w:rsidRDefault="00F545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57F"/>
    <w:multiLevelType w:val="hybridMultilevel"/>
    <w:tmpl w:val="AE14AA2C"/>
    <w:lvl w:ilvl="0" w:tplc="F30A56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13C62"/>
    <w:multiLevelType w:val="hybridMultilevel"/>
    <w:tmpl w:val="3B0C97C4"/>
    <w:lvl w:ilvl="0" w:tplc="A238E284">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72651"/>
    <w:multiLevelType w:val="hybridMultilevel"/>
    <w:tmpl w:val="FD4847E8"/>
    <w:lvl w:ilvl="0" w:tplc="E74AC170">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C5CA8"/>
    <w:multiLevelType w:val="hybridMultilevel"/>
    <w:tmpl w:val="E98A01C6"/>
    <w:lvl w:ilvl="0" w:tplc="99ECA0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F0964"/>
    <w:multiLevelType w:val="hybridMultilevel"/>
    <w:tmpl w:val="4B12426E"/>
    <w:lvl w:ilvl="0" w:tplc="002A8D7A">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326084"/>
    <w:multiLevelType w:val="hybridMultilevel"/>
    <w:tmpl w:val="B072B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4938B0"/>
    <w:multiLevelType w:val="hybridMultilevel"/>
    <w:tmpl w:val="21C85D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60846"/>
    <w:multiLevelType w:val="hybridMultilevel"/>
    <w:tmpl w:val="AEEE93F8"/>
    <w:lvl w:ilvl="0" w:tplc="F4C860F6">
      <w:start w:val="1"/>
      <w:numFmt w:val="decimal"/>
      <w:lvlText w:val="[%1]"/>
      <w:lvlJc w:val="left"/>
      <w:pPr>
        <w:ind w:left="6598"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05462"/>
    <w:multiLevelType w:val="hybridMultilevel"/>
    <w:tmpl w:val="1E6EC3EA"/>
    <w:lvl w:ilvl="0" w:tplc="791241BE">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E6111F"/>
    <w:multiLevelType w:val="hybridMultilevel"/>
    <w:tmpl w:val="5D3EA864"/>
    <w:lvl w:ilvl="0" w:tplc="F4C860F6">
      <w:start w:val="1"/>
      <w:numFmt w:val="decimal"/>
      <w:lvlText w:val="[%1]"/>
      <w:lvlJc w:val="left"/>
      <w:pPr>
        <w:ind w:left="928"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F37CA5"/>
    <w:multiLevelType w:val="hybridMultilevel"/>
    <w:tmpl w:val="7C8EBF5E"/>
    <w:lvl w:ilvl="0" w:tplc="E9EA40D4">
      <w:start w:val="1"/>
      <w:numFmt w:val="lowerLetter"/>
      <w:lvlText w:val="(%1)"/>
      <w:lvlJc w:val="left"/>
      <w:pPr>
        <w:ind w:left="72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6962BE"/>
    <w:multiLevelType w:val="hybridMultilevel"/>
    <w:tmpl w:val="4AC25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F26EB1"/>
    <w:multiLevelType w:val="hybridMultilevel"/>
    <w:tmpl w:val="F5488232"/>
    <w:lvl w:ilvl="0" w:tplc="3A729CA0">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DAF5F2B"/>
    <w:multiLevelType w:val="hybridMultilevel"/>
    <w:tmpl w:val="00EC9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53535C"/>
    <w:multiLevelType w:val="hybridMultilevel"/>
    <w:tmpl w:val="75F0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FC6B32"/>
    <w:multiLevelType w:val="hybridMultilevel"/>
    <w:tmpl w:val="6A1E9F60"/>
    <w:lvl w:ilvl="0" w:tplc="A81E2E5A">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3E0CF0"/>
    <w:multiLevelType w:val="hybridMultilevel"/>
    <w:tmpl w:val="EAB49E10"/>
    <w:lvl w:ilvl="0" w:tplc="79CC0114">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ED47B96"/>
    <w:multiLevelType w:val="hybridMultilevel"/>
    <w:tmpl w:val="AEB00AE8"/>
    <w:lvl w:ilvl="0" w:tplc="BB84362C">
      <w:start w:val="1"/>
      <w:numFmt w:val="lowerLetter"/>
      <w:lvlText w:val="(%1)"/>
      <w:lvlJc w:val="left"/>
      <w:pPr>
        <w:ind w:left="720" w:hanging="360"/>
      </w:pPr>
      <w:rPr>
        <w:rFonts w:eastAsiaTheme="minorHAnsi"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AA3D61"/>
    <w:multiLevelType w:val="hybridMultilevel"/>
    <w:tmpl w:val="5DCA7912"/>
    <w:lvl w:ilvl="0" w:tplc="46023150">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12"/>
  </w:num>
  <w:num w:numId="4">
    <w:abstractNumId w:val="14"/>
  </w:num>
  <w:num w:numId="5">
    <w:abstractNumId w:val="6"/>
  </w:num>
  <w:num w:numId="6">
    <w:abstractNumId w:val="4"/>
  </w:num>
  <w:num w:numId="7">
    <w:abstractNumId w:val="17"/>
  </w:num>
  <w:num w:numId="8">
    <w:abstractNumId w:val="5"/>
  </w:num>
  <w:num w:numId="9">
    <w:abstractNumId w:val="16"/>
  </w:num>
  <w:num w:numId="10">
    <w:abstractNumId w:val="0"/>
  </w:num>
  <w:num w:numId="11">
    <w:abstractNumId w:val="18"/>
  </w:num>
  <w:num w:numId="12">
    <w:abstractNumId w:val="9"/>
  </w:num>
  <w:num w:numId="13">
    <w:abstractNumId w:val="10"/>
  </w:num>
  <w:num w:numId="14">
    <w:abstractNumId w:val="2"/>
  </w:num>
  <w:num w:numId="15">
    <w:abstractNumId w:val="15"/>
  </w:num>
  <w:num w:numId="16">
    <w:abstractNumId w:val="8"/>
  </w:num>
  <w:num w:numId="17">
    <w:abstractNumId w:val="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EC"/>
    <w:rsid w:val="0000078E"/>
    <w:rsid w:val="000007E9"/>
    <w:rsid w:val="000008FD"/>
    <w:rsid w:val="00001D5C"/>
    <w:rsid w:val="00003E92"/>
    <w:rsid w:val="000048E4"/>
    <w:rsid w:val="00012005"/>
    <w:rsid w:val="00017C3D"/>
    <w:rsid w:val="0002463D"/>
    <w:rsid w:val="000247FC"/>
    <w:rsid w:val="00030E21"/>
    <w:rsid w:val="00032C36"/>
    <w:rsid w:val="000350A5"/>
    <w:rsid w:val="0003659C"/>
    <w:rsid w:val="00043114"/>
    <w:rsid w:val="0004418E"/>
    <w:rsid w:val="000519B4"/>
    <w:rsid w:val="00052594"/>
    <w:rsid w:val="00055372"/>
    <w:rsid w:val="00055ADC"/>
    <w:rsid w:val="0005737C"/>
    <w:rsid w:val="00064780"/>
    <w:rsid w:val="0006720A"/>
    <w:rsid w:val="00072031"/>
    <w:rsid w:val="00073267"/>
    <w:rsid w:val="000735CB"/>
    <w:rsid w:val="00074EE9"/>
    <w:rsid w:val="0007651F"/>
    <w:rsid w:val="000767C6"/>
    <w:rsid w:val="00077D4D"/>
    <w:rsid w:val="00080EDC"/>
    <w:rsid w:val="00082E9E"/>
    <w:rsid w:val="00086455"/>
    <w:rsid w:val="00090AC2"/>
    <w:rsid w:val="000919DF"/>
    <w:rsid w:val="0009369C"/>
    <w:rsid w:val="000945EB"/>
    <w:rsid w:val="00094B82"/>
    <w:rsid w:val="00095066"/>
    <w:rsid w:val="0009580E"/>
    <w:rsid w:val="000959E6"/>
    <w:rsid w:val="0009679E"/>
    <w:rsid w:val="000A251C"/>
    <w:rsid w:val="000A5155"/>
    <w:rsid w:val="000A5554"/>
    <w:rsid w:val="000B38A3"/>
    <w:rsid w:val="000B617C"/>
    <w:rsid w:val="000B731C"/>
    <w:rsid w:val="000C0576"/>
    <w:rsid w:val="000C1F38"/>
    <w:rsid w:val="000C29F1"/>
    <w:rsid w:val="000C3C4D"/>
    <w:rsid w:val="000D021C"/>
    <w:rsid w:val="000D0FF5"/>
    <w:rsid w:val="000D2336"/>
    <w:rsid w:val="000D24DB"/>
    <w:rsid w:val="000D5416"/>
    <w:rsid w:val="000E0AF1"/>
    <w:rsid w:val="000E4F4E"/>
    <w:rsid w:val="000E77CD"/>
    <w:rsid w:val="000F1CDA"/>
    <w:rsid w:val="000F2111"/>
    <w:rsid w:val="000F25F4"/>
    <w:rsid w:val="000F36F0"/>
    <w:rsid w:val="000F4746"/>
    <w:rsid w:val="000F68F9"/>
    <w:rsid w:val="001004DC"/>
    <w:rsid w:val="00106CCD"/>
    <w:rsid w:val="00112D39"/>
    <w:rsid w:val="001150F4"/>
    <w:rsid w:val="0012013C"/>
    <w:rsid w:val="0012512E"/>
    <w:rsid w:val="00126190"/>
    <w:rsid w:val="001261A7"/>
    <w:rsid w:val="00131417"/>
    <w:rsid w:val="00134C4B"/>
    <w:rsid w:val="0013617E"/>
    <w:rsid w:val="001369E5"/>
    <w:rsid w:val="00140C1C"/>
    <w:rsid w:val="00141957"/>
    <w:rsid w:val="00142B30"/>
    <w:rsid w:val="001433D3"/>
    <w:rsid w:val="00144DA9"/>
    <w:rsid w:val="00153A16"/>
    <w:rsid w:val="001540BB"/>
    <w:rsid w:val="00154BEC"/>
    <w:rsid w:val="00155500"/>
    <w:rsid w:val="00161100"/>
    <w:rsid w:val="00163247"/>
    <w:rsid w:val="00166EF6"/>
    <w:rsid w:val="00171567"/>
    <w:rsid w:val="00172CA8"/>
    <w:rsid w:val="00173230"/>
    <w:rsid w:val="00187026"/>
    <w:rsid w:val="00192E44"/>
    <w:rsid w:val="001948AD"/>
    <w:rsid w:val="00194C6F"/>
    <w:rsid w:val="00196966"/>
    <w:rsid w:val="001A1250"/>
    <w:rsid w:val="001A2EFD"/>
    <w:rsid w:val="001A4348"/>
    <w:rsid w:val="001A4F69"/>
    <w:rsid w:val="001B1DA3"/>
    <w:rsid w:val="001B3FC1"/>
    <w:rsid w:val="001B7E0D"/>
    <w:rsid w:val="001C3617"/>
    <w:rsid w:val="001C4018"/>
    <w:rsid w:val="001C533D"/>
    <w:rsid w:val="001C5BF9"/>
    <w:rsid w:val="001D1545"/>
    <w:rsid w:val="001D2183"/>
    <w:rsid w:val="001D26CC"/>
    <w:rsid w:val="001D2982"/>
    <w:rsid w:val="001D3121"/>
    <w:rsid w:val="001E281C"/>
    <w:rsid w:val="001E41DD"/>
    <w:rsid w:val="001F0E3E"/>
    <w:rsid w:val="001F17D7"/>
    <w:rsid w:val="001F5A59"/>
    <w:rsid w:val="0020510B"/>
    <w:rsid w:val="00205628"/>
    <w:rsid w:val="00206091"/>
    <w:rsid w:val="00210FC6"/>
    <w:rsid w:val="00213B44"/>
    <w:rsid w:val="00214E99"/>
    <w:rsid w:val="00217721"/>
    <w:rsid w:val="00222D04"/>
    <w:rsid w:val="00222D5A"/>
    <w:rsid w:val="00223E6E"/>
    <w:rsid w:val="002261FA"/>
    <w:rsid w:val="002312C8"/>
    <w:rsid w:val="00231DD1"/>
    <w:rsid w:val="00233CD5"/>
    <w:rsid w:val="00234640"/>
    <w:rsid w:val="00237568"/>
    <w:rsid w:val="00237EBA"/>
    <w:rsid w:val="002470B2"/>
    <w:rsid w:val="00250CF5"/>
    <w:rsid w:val="00254C09"/>
    <w:rsid w:val="00255D13"/>
    <w:rsid w:val="00266224"/>
    <w:rsid w:val="0026719C"/>
    <w:rsid w:val="002702C1"/>
    <w:rsid w:val="00273235"/>
    <w:rsid w:val="002743FE"/>
    <w:rsid w:val="00275B7B"/>
    <w:rsid w:val="002822F8"/>
    <w:rsid w:val="0028248B"/>
    <w:rsid w:val="00284201"/>
    <w:rsid w:val="002850BC"/>
    <w:rsid w:val="00285773"/>
    <w:rsid w:val="00285F3D"/>
    <w:rsid w:val="00286F86"/>
    <w:rsid w:val="00293B9C"/>
    <w:rsid w:val="00295398"/>
    <w:rsid w:val="002970BB"/>
    <w:rsid w:val="002A28F6"/>
    <w:rsid w:val="002A2BDD"/>
    <w:rsid w:val="002A3ED1"/>
    <w:rsid w:val="002A7FC8"/>
    <w:rsid w:val="002B0AA8"/>
    <w:rsid w:val="002B5269"/>
    <w:rsid w:val="002B6A9E"/>
    <w:rsid w:val="002C05AA"/>
    <w:rsid w:val="002C0757"/>
    <w:rsid w:val="002C29CA"/>
    <w:rsid w:val="002C46B0"/>
    <w:rsid w:val="002C4D6D"/>
    <w:rsid w:val="002C6E24"/>
    <w:rsid w:val="002C7A90"/>
    <w:rsid w:val="002D0967"/>
    <w:rsid w:val="002D09F4"/>
    <w:rsid w:val="002D4CE4"/>
    <w:rsid w:val="002D553B"/>
    <w:rsid w:val="002D6354"/>
    <w:rsid w:val="002E0889"/>
    <w:rsid w:val="002E365C"/>
    <w:rsid w:val="002E5EFE"/>
    <w:rsid w:val="002F2D10"/>
    <w:rsid w:val="002F4497"/>
    <w:rsid w:val="002F6285"/>
    <w:rsid w:val="00302A77"/>
    <w:rsid w:val="003064D6"/>
    <w:rsid w:val="00306821"/>
    <w:rsid w:val="00306893"/>
    <w:rsid w:val="003121D9"/>
    <w:rsid w:val="00312835"/>
    <w:rsid w:val="0031675C"/>
    <w:rsid w:val="00316769"/>
    <w:rsid w:val="003175C9"/>
    <w:rsid w:val="00317C52"/>
    <w:rsid w:val="00317CB1"/>
    <w:rsid w:val="0034103F"/>
    <w:rsid w:val="00341521"/>
    <w:rsid w:val="00345588"/>
    <w:rsid w:val="00345CB9"/>
    <w:rsid w:val="00351B6F"/>
    <w:rsid w:val="0035491B"/>
    <w:rsid w:val="00354C54"/>
    <w:rsid w:val="0035555E"/>
    <w:rsid w:val="00357127"/>
    <w:rsid w:val="003579C4"/>
    <w:rsid w:val="00360716"/>
    <w:rsid w:val="0036205A"/>
    <w:rsid w:val="00362A62"/>
    <w:rsid w:val="00371D56"/>
    <w:rsid w:val="00372667"/>
    <w:rsid w:val="003729C1"/>
    <w:rsid w:val="00375A17"/>
    <w:rsid w:val="00381713"/>
    <w:rsid w:val="00384955"/>
    <w:rsid w:val="003872EC"/>
    <w:rsid w:val="0039020A"/>
    <w:rsid w:val="0039135A"/>
    <w:rsid w:val="00395585"/>
    <w:rsid w:val="00395FD2"/>
    <w:rsid w:val="003A0457"/>
    <w:rsid w:val="003A069C"/>
    <w:rsid w:val="003A46C4"/>
    <w:rsid w:val="003A5A00"/>
    <w:rsid w:val="003B0D9D"/>
    <w:rsid w:val="003B316B"/>
    <w:rsid w:val="003B36B2"/>
    <w:rsid w:val="003B3BA0"/>
    <w:rsid w:val="003B41CC"/>
    <w:rsid w:val="003B6DE9"/>
    <w:rsid w:val="003C2FD5"/>
    <w:rsid w:val="003C3792"/>
    <w:rsid w:val="003C398C"/>
    <w:rsid w:val="003C4C9D"/>
    <w:rsid w:val="003D5447"/>
    <w:rsid w:val="003E1994"/>
    <w:rsid w:val="003E4FF6"/>
    <w:rsid w:val="003E7046"/>
    <w:rsid w:val="003F507B"/>
    <w:rsid w:val="003F6575"/>
    <w:rsid w:val="003F65A1"/>
    <w:rsid w:val="003F6BFA"/>
    <w:rsid w:val="003F7062"/>
    <w:rsid w:val="00405E57"/>
    <w:rsid w:val="004060C7"/>
    <w:rsid w:val="0041039F"/>
    <w:rsid w:val="004153DB"/>
    <w:rsid w:val="00417113"/>
    <w:rsid w:val="00417E8F"/>
    <w:rsid w:val="004222F8"/>
    <w:rsid w:val="00424180"/>
    <w:rsid w:val="00425102"/>
    <w:rsid w:val="00427099"/>
    <w:rsid w:val="00432F86"/>
    <w:rsid w:val="00433BC8"/>
    <w:rsid w:val="00433ECB"/>
    <w:rsid w:val="0043445D"/>
    <w:rsid w:val="004433E8"/>
    <w:rsid w:val="00446D56"/>
    <w:rsid w:val="00446FAA"/>
    <w:rsid w:val="00447C22"/>
    <w:rsid w:val="00460E98"/>
    <w:rsid w:val="00464D8E"/>
    <w:rsid w:val="00464D91"/>
    <w:rsid w:val="004667C9"/>
    <w:rsid w:val="00467103"/>
    <w:rsid w:val="0047102C"/>
    <w:rsid w:val="00471EC8"/>
    <w:rsid w:val="00472567"/>
    <w:rsid w:val="0047551F"/>
    <w:rsid w:val="00475C8A"/>
    <w:rsid w:val="00476B2D"/>
    <w:rsid w:val="00476FC3"/>
    <w:rsid w:val="00477633"/>
    <w:rsid w:val="00483652"/>
    <w:rsid w:val="00485B75"/>
    <w:rsid w:val="00485F73"/>
    <w:rsid w:val="00487CB6"/>
    <w:rsid w:val="00487DD3"/>
    <w:rsid w:val="00491FC4"/>
    <w:rsid w:val="00493C7F"/>
    <w:rsid w:val="00493D56"/>
    <w:rsid w:val="0049587E"/>
    <w:rsid w:val="004971A5"/>
    <w:rsid w:val="004A1380"/>
    <w:rsid w:val="004A21B0"/>
    <w:rsid w:val="004A3FA7"/>
    <w:rsid w:val="004A504C"/>
    <w:rsid w:val="004A5ED8"/>
    <w:rsid w:val="004B0F2B"/>
    <w:rsid w:val="004B1EA8"/>
    <w:rsid w:val="004C093C"/>
    <w:rsid w:val="004C16D5"/>
    <w:rsid w:val="004C2DB8"/>
    <w:rsid w:val="004C38BE"/>
    <w:rsid w:val="004C46DE"/>
    <w:rsid w:val="004C5CC6"/>
    <w:rsid w:val="004C7585"/>
    <w:rsid w:val="004D0C08"/>
    <w:rsid w:val="004D612D"/>
    <w:rsid w:val="004D6714"/>
    <w:rsid w:val="004D790C"/>
    <w:rsid w:val="004E100A"/>
    <w:rsid w:val="004E221A"/>
    <w:rsid w:val="004E3E73"/>
    <w:rsid w:val="004E4324"/>
    <w:rsid w:val="004F4442"/>
    <w:rsid w:val="004F4BD5"/>
    <w:rsid w:val="004F50C2"/>
    <w:rsid w:val="004F570E"/>
    <w:rsid w:val="00506BF2"/>
    <w:rsid w:val="0051000C"/>
    <w:rsid w:val="005102EC"/>
    <w:rsid w:val="0051045F"/>
    <w:rsid w:val="00516080"/>
    <w:rsid w:val="00520030"/>
    <w:rsid w:val="00521C3C"/>
    <w:rsid w:val="00523903"/>
    <w:rsid w:val="005262C5"/>
    <w:rsid w:val="00527146"/>
    <w:rsid w:val="0053061E"/>
    <w:rsid w:val="005327E9"/>
    <w:rsid w:val="005370C4"/>
    <w:rsid w:val="005423C8"/>
    <w:rsid w:val="005428A3"/>
    <w:rsid w:val="00542DF1"/>
    <w:rsid w:val="00546CED"/>
    <w:rsid w:val="0055192F"/>
    <w:rsid w:val="0055213F"/>
    <w:rsid w:val="005529BC"/>
    <w:rsid w:val="005560DC"/>
    <w:rsid w:val="005566E8"/>
    <w:rsid w:val="005614D5"/>
    <w:rsid w:val="00563594"/>
    <w:rsid w:val="00566874"/>
    <w:rsid w:val="00571206"/>
    <w:rsid w:val="005727E8"/>
    <w:rsid w:val="00573CF0"/>
    <w:rsid w:val="00574AD9"/>
    <w:rsid w:val="00576226"/>
    <w:rsid w:val="00577881"/>
    <w:rsid w:val="0058541F"/>
    <w:rsid w:val="0059306E"/>
    <w:rsid w:val="005A07AF"/>
    <w:rsid w:val="005A47C6"/>
    <w:rsid w:val="005A64A2"/>
    <w:rsid w:val="005B0DBD"/>
    <w:rsid w:val="005B41C8"/>
    <w:rsid w:val="005B4D37"/>
    <w:rsid w:val="005B6140"/>
    <w:rsid w:val="005C06C3"/>
    <w:rsid w:val="005C0ED7"/>
    <w:rsid w:val="005C2906"/>
    <w:rsid w:val="005C2B5E"/>
    <w:rsid w:val="005C3D12"/>
    <w:rsid w:val="005C3EDD"/>
    <w:rsid w:val="005C6323"/>
    <w:rsid w:val="005D0412"/>
    <w:rsid w:val="005D1E2D"/>
    <w:rsid w:val="005D3465"/>
    <w:rsid w:val="005D4D17"/>
    <w:rsid w:val="005E00D0"/>
    <w:rsid w:val="005E36A6"/>
    <w:rsid w:val="005E7A2F"/>
    <w:rsid w:val="005F192F"/>
    <w:rsid w:val="005F517E"/>
    <w:rsid w:val="005F5A95"/>
    <w:rsid w:val="006007D3"/>
    <w:rsid w:val="006044AA"/>
    <w:rsid w:val="00605BD5"/>
    <w:rsid w:val="00607E4B"/>
    <w:rsid w:val="006119F1"/>
    <w:rsid w:val="0061268A"/>
    <w:rsid w:val="006163C1"/>
    <w:rsid w:val="00617271"/>
    <w:rsid w:val="00617605"/>
    <w:rsid w:val="006201E1"/>
    <w:rsid w:val="006208A9"/>
    <w:rsid w:val="0062153A"/>
    <w:rsid w:val="0062272A"/>
    <w:rsid w:val="00622D4E"/>
    <w:rsid w:val="0062436C"/>
    <w:rsid w:val="00624413"/>
    <w:rsid w:val="006264C2"/>
    <w:rsid w:val="00630F45"/>
    <w:rsid w:val="006321EA"/>
    <w:rsid w:val="00634FD3"/>
    <w:rsid w:val="006354B3"/>
    <w:rsid w:val="00637C3C"/>
    <w:rsid w:val="0064111D"/>
    <w:rsid w:val="0064261B"/>
    <w:rsid w:val="00642E6B"/>
    <w:rsid w:val="00643084"/>
    <w:rsid w:val="006433F2"/>
    <w:rsid w:val="00643524"/>
    <w:rsid w:val="00643D59"/>
    <w:rsid w:val="00644CBD"/>
    <w:rsid w:val="0065726F"/>
    <w:rsid w:val="00657656"/>
    <w:rsid w:val="0066089B"/>
    <w:rsid w:val="00662953"/>
    <w:rsid w:val="00662D46"/>
    <w:rsid w:val="0066427B"/>
    <w:rsid w:val="006666CB"/>
    <w:rsid w:val="0067053E"/>
    <w:rsid w:val="006725DD"/>
    <w:rsid w:val="00673DD7"/>
    <w:rsid w:val="00675FDD"/>
    <w:rsid w:val="006801FA"/>
    <w:rsid w:val="0068297D"/>
    <w:rsid w:val="0069016B"/>
    <w:rsid w:val="0069058D"/>
    <w:rsid w:val="0069281C"/>
    <w:rsid w:val="0069365E"/>
    <w:rsid w:val="006A1610"/>
    <w:rsid w:val="006A176F"/>
    <w:rsid w:val="006A2795"/>
    <w:rsid w:val="006A36A7"/>
    <w:rsid w:val="006A4755"/>
    <w:rsid w:val="006A5957"/>
    <w:rsid w:val="006A7708"/>
    <w:rsid w:val="006B1B99"/>
    <w:rsid w:val="006B1FB6"/>
    <w:rsid w:val="006B285F"/>
    <w:rsid w:val="006B3E3C"/>
    <w:rsid w:val="006B48B7"/>
    <w:rsid w:val="006B70A5"/>
    <w:rsid w:val="006C2B88"/>
    <w:rsid w:val="006C3679"/>
    <w:rsid w:val="006C4242"/>
    <w:rsid w:val="006C755E"/>
    <w:rsid w:val="006C7C9E"/>
    <w:rsid w:val="006D48B9"/>
    <w:rsid w:val="006D4B72"/>
    <w:rsid w:val="006D5EB3"/>
    <w:rsid w:val="006D669E"/>
    <w:rsid w:val="006E01FC"/>
    <w:rsid w:val="006E029B"/>
    <w:rsid w:val="006E0A96"/>
    <w:rsid w:val="006E315C"/>
    <w:rsid w:val="006E39C3"/>
    <w:rsid w:val="006E6FA1"/>
    <w:rsid w:val="006E73AD"/>
    <w:rsid w:val="006E7D76"/>
    <w:rsid w:val="006F1727"/>
    <w:rsid w:val="006F24AA"/>
    <w:rsid w:val="006F2B12"/>
    <w:rsid w:val="006F5324"/>
    <w:rsid w:val="006F54AF"/>
    <w:rsid w:val="006F7A9F"/>
    <w:rsid w:val="006F7BF2"/>
    <w:rsid w:val="007029A8"/>
    <w:rsid w:val="0070617B"/>
    <w:rsid w:val="00706A4C"/>
    <w:rsid w:val="00706D3A"/>
    <w:rsid w:val="007107DC"/>
    <w:rsid w:val="0071291C"/>
    <w:rsid w:val="00715F8E"/>
    <w:rsid w:val="0072028F"/>
    <w:rsid w:val="0072384B"/>
    <w:rsid w:val="00724688"/>
    <w:rsid w:val="00737E67"/>
    <w:rsid w:val="0074026F"/>
    <w:rsid w:val="00746E90"/>
    <w:rsid w:val="007475B7"/>
    <w:rsid w:val="00747D92"/>
    <w:rsid w:val="007507BF"/>
    <w:rsid w:val="00750C82"/>
    <w:rsid w:val="00751305"/>
    <w:rsid w:val="00752B8B"/>
    <w:rsid w:val="00753C5E"/>
    <w:rsid w:val="007563A6"/>
    <w:rsid w:val="00756B2B"/>
    <w:rsid w:val="0075701A"/>
    <w:rsid w:val="00762790"/>
    <w:rsid w:val="00763CEB"/>
    <w:rsid w:val="0076478D"/>
    <w:rsid w:val="007655B3"/>
    <w:rsid w:val="0076585A"/>
    <w:rsid w:val="00766A20"/>
    <w:rsid w:val="00771434"/>
    <w:rsid w:val="00774EFB"/>
    <w:rsid w:val="00780961"/>
    <w:rsid w:val="00787C4B"/>
    <w:rsid w:val="007903F4"/>
    <w:rsid w:val="00791FC4"/>
    <w:rsid w:val="00794622"/>
    <w:rsid w:val="00795885"/>
    <w:rsid w:val="00796656"/>
    <w:rsid w:val="007A0157"/>
    <w:rsid w:val="007A0D3C"/>
    <w:rsid w:val="007A0EE0"/>
    <w:rsid w:val="007A190F"/>
    <w:rsid w:val="007A3515"/>
    <w:rsid w:val="007A493B"/>
    <w:rsid w:val="007A4CB9"/>
    <w:rsid w:val="007B04D1"/>
    <w:rsid w:val="007B17FA"/>
    <w:rsid w:val="007B7327"/>
    <w:rsid w:val="007C243E"/>
    <w:rsid w:val="007C36BB"/>
    <w:rsid w:val="007D3C72"/>
    <w:rsid w:val="007D3CBB"/>
    <w:rsid w:val="007D470C"/>
    <w:rsid w:val="007D719D"/>
    <w:rsid w:val="007E0F9A"/>
    <w:rsid w:val="007E1DEF"/>
    <w:rsid w:val="007E5600"/>
    <w:rsid w:val="007E7695"/>
    <w:rsid w:val="007F1E28"/>
    <w:rsid w:val="007F62EE"/>
    <w:rsid w:val="007F644A"/>
    <w:rsid w:val="007F6B23"/>
    <w:rsid w:val="007F7D8C"/>
    <w:rsid w:val="008001F6"/>
    <w:rsid w:val="00800671"/>
    <w:rsid w:val="008013BF"/>
    <w:rsid w:val="00804936"/>
    <w:rsid w:val="00816D9D"/>
    <w:rsid w:val="008213B2"/>
    <w:rsid w:val="00824785"/>
    <w:rsid w:val="00837BCE"/>
    <w:rsid w:val="008442A4"/>
    <w:rsid w:val="008448ED"/>
    <w:rsid w:val="00846E97"/>
    <w:rsid w:val="008529D2"/>
    <w:rsid w:val="00855A77"/>
    <w:rsid w:val="00856A9E"/>
    <w:rsid w:val="008629B9"/>
    <w:rsid w:val="00867659"/>
    <w:rsid w:val="00880378"/>
    <w:rsid w:val="00880489"/>
    <w:rsid w:val="008816BD"/>
    <w:rsid w:val="008833B8"/>
    <w:rsid w:val="008836E1"/>
    <w:rsid w:val="0088388C"/>
    <w:rsid w:val="0088536D"/>
    <w:rsid w:val="00885745"/>
    <w:rsid w:val="008915C8"/>
    <w:rsid w:val="00894C17"/>
    <w:rsid w:val="00894D58"/>
    <w:rsid w:val="0089591B"/>
    <w:rsid w:val="008A0A64"/>
    <w:rsid w:val="008A1913"/>
    <w:rsid w:val="008A1F8F"/>
    <w:rsid w:val="008A2A8F"/>
    <w:rsid w:val="008A42C0"/>
    <w:rsid w:val="008A7C11"/>
    <w:rsid w:val="008B1970"/>
    <w:rsid w:val="008B42B9"/>
    <w:rsid w:val="008B45D2"/>
    <w:rsid w:val="008B4DAA"/>
    <w:rsid w:val="008C1E23"/>
    <w:rsid w:val="008C367A"/>
    <w:rsid w:val="008C563B"/>
    <w:rsid w:val="008D179F"/>
    <w:rsid w:val="008D2D1A"/>
    <w:rsid w:val="008D3EF4"/>
    <w:rsid w:val="008D44F5"/>
    <w:rsid w:val="008D4639"/>
    <w:rsid w:val="008E062A"/>
    <w:rsid w:val="008E06B6"/>
    <w:rsid w:val="008E42C8"/>
    <w:rsid w:val="008E454C"/>
    <w:rsid w:val="008F0972"/>
    <w:rsid w:val="008F347C"/>
    <w:rsid w:val="008F491D"/>
    <w:rsid w:val="0090509B"/>
    <w:rsid w:val="009070DA"/>
    <w:rsid w:val="00907C61"/>
    <w:rsid w:val="00912A50"/>
    <w:rsid w:val="00914050"/>
    <w:rsid w:val="00922E79"/>
    <w:rsid w:val="00924A1F"/>
    <w:rsid w:val="00925671"/>
    <w:rsid w:val="0094030D"/>
    <w:rsid w:val="009428CB"/>
    <w:rsid w:val="00942CF7"/>
    <w:rsid w:val="00944090"/>
    <w:rsid w:val="00945A12"/>
    <w:rsid w:val="00945B82"/>
    <w:rsid w:val="00946C87"/>
    <w:rsid w:val="00952BC1"/>
    <w:rsid w:val="009556D8"/>
    <w:rsid w:val="009614BF"/>
    <w:rsid w:val="00963159"/>
    <w:rsid w:val="00965280"/>
    <w:rsid w:val="009654A6"/>
    <w:rsid w:val="009665FC"/>
    <w:rsid w:val="00967ABA"/>
    <w:rsid w:val="009710C1"/>
    <w:rsid w:val="009718F6"/>
    <w:rsid w:val="00971F3D"/>
    <w:rsid w:val="00973DBB"/>
    <w:rsid w:val="009756A7"/>
    <w:rsid w:val="009807AD"/>
    <w:rsid w:val="00980E44"/>
    <w:rsid w:val="00980FDF"/>
    <w:rsid w:val="00981E96"/>
    <w:rsid w:val="0098779B"/>
    <w:rsid w:val="0099099F"/>
    <w:rsid w:val="00992412"/>
    <w:rsid w:val="009924A0"/>
    <w:rsid w:val="00993435"/>
    <w:rsid w:val="009A0231"/>
    <w:rsid w:val="009A056E"/>
    <w:rsid w:val="009A19FE"/>
    <w:rsid w:val="009A1F87"/>
    <w:rsid w:val="009A5CDC"/>
    <w:rsid w:val="009A70C3"/>
    <w:rsid w:val="009A7253"/>
    <w:rsid w:val="009B2628"/>
    <w:rsid w:val="009B36B8"/>
    <w:rsid w:val="009B3844"/>
    <w:rsid w:val="009B43AA"/>
    <w:rsid w:val="009B5D99"/>
    <w:rsid w:val="009B6F34"/>
    <w:rsid w:val="009C2E11"/>
    <w:rsid w:val="009C3046"/>
    <w:rsid w:val="009C3638"/>
    <w:rsid w:val="009D0B1C"/>
    <w:rsid w:val="009D1C23"/>
    <w:rsid w:val="009D395B"/>
    <w:rsid w:val="009D66FF"/>
    <w:rsid w:val="009E5CC0"/>
    <w:rsid w:val="009F01E2"/>
    <w:rsid w:val="009F398A"/>
    <w:rsid w:val="009F3E89"/>
    <w:rsid w:val="009F3EBA"/>
    <w:rsid w:val="009F475A"/>
    <w:rsid w:val="009F61B2"/>
    <w:rsid w:val="009F6586"/>
    <w:rsid w:val="009F77EE"/>
    <w:rsid w:val="00A02362"/>
    <w:rsid w:val="00A05256"/>
    <w:rsid w:val="00A05C59"/>
    <w:rsid w:val="00A06DC6"/>
    <w:rsid w:val="00A16C7A"/>
    <w:rsid w:val="00A171AB"/>
    <w:rsid w:val="00A25EF8"/>
    <w:rsid w:val="00A3058E"/>
    <w:rsid w:val="00A3202C"/>
    <w:rsid w:val="00A32A4D"/>
    <w:rsid w:val="00A346FD"/>
    <w:rsid w:val="00A37BCC"/>
    <w:rsid w:val="00A422C6"/>
    <w:rsid w:val="00A43521"/>
    <w:rsid w:val="00A44AA4"/>
    <w:rsid w:val="00A45AE8"/>
    <w:rsid w:val="00A46D37"/>
    <w:rsid w:val="00A511F1"/>
    <w:rsid w:val="00A52AAA"/>
    <w:rsid w:val="00A572D6"/>
    <w:rsid w:val="00A576D0"/>
    <w:rsid w:val="00A630FF"/>
    <w:rsid w:val="00A65E20"/>
    <w:rsid w:val="00A7044A"/>
    <w:rsid w:val="00A716F4"/>
    <w:rsid w:val="00A747C8"/>
    <w:rsid w:val="00A75816"/>
    <w:rsid w:val="00A8194B"/>
    <w:rsid w:val="00A821A3"/>
    <w:rsid w:val="00A8241B"/>
    <w:rsid w:val="00A82B09"/>
    <w:rsid w:val="00A86ED7"/>
    <w:rsid w:val="00A91E54"/>
    <w:rsid w:val="00A96278"/>
    <w:rsid w:val="00AB1343"/>
    <w:rsid w:val="00AB3F55"/>
    <w:rsid w:val="00AB4BC0"/>
    <w:rsid w:val="00AB6AF0"/>
    <w:rsid w:val="00AC2D54"/>
    <w:rsid w:val="00AC43C4"/>
    <w:rsid w:val="00AD31D2"/>
    <w:rsid w:val="00AD48D9"/>
    <w:rsid w:val="00AD67D9"/>
    <w:rsid w:val="00AE2A08"/>
    <w:rsid w:val="00AE50EE"/>
    <w:rsid w:val="00AF3833"/>
    <w:rsid w:val="00AF3BAC"/>
    <w:rsid w:val="00AF5EB6"/>
    <w:rsid w:val="00B00E8D"/>
    <w:rsid w:val="00B04153"/>
    <w:rsid w:val="00B06E6C"/>
    <w:rsid w:val="00B073BB"/>
    <w:rsid w:val="00B10E2E"/>
    <w:rsid w:val="00B11E64"/>
    <w:rsid w:val="00B201DE"/>
    <w:rsid w:val="00B220CB"/>
    <w:rsid w:val="00B22ADC"/>
    <w:rsid w:val="00B26261"/>
    <w:rsid w:val="00B266DC"/>
    <w:rsid w:val="00B33CF9"/>
    <w:rsid w:val="00B343CD"/>
    <w:rsid w:val="00B35028"/>
    <w:rsid w:val="00B43665"/>
    <w:rsid w:val="00B4396B"/>
    <w:rsid w:val="00B462F7"/>
    <w:rsid w:val="00B47FE3"/>
    <w:rsid w:val="00B508C3"/>
    <w:rsid w:val="00B52923"/>
    <w:rsid w:val="00B53E34"/>
    <w:rsid w:val="00B5462D"/>
    <w:rsid w:val="00B56CBB"/>
    <w:rsid w:val="00B56FFF"/>
    <w:rsid w:val="00B620CA"/>
    <w:rsid w:val="00B63A9A"/>
    <w:rsid w:val="00B65B45"/>
    <w:rsid w:val="00B6727B"/>
    <w:rsid w:val="00B70029"/>
    <w:rsid w:val="00B72F70"/>
    <w:rsid w:val="00B73C4B"/>
    <w:rsid w:val="00B76F09"/>
    <w:rsid w:val="00B86325"/>
    <w:rsid w:val="00B86D64"/>
    <w:rsid w:val="00B921E5"/>
    <w:rsid w:val="00B92DED"/>
    <w:rsid w:val="00B930AB"/>
    <w:rsid w:val="00B96F04"/>
    <w:rsid w:val="00BA1D47"/>
    <w:rsid w:val="00BA37D6"/>
    <w:rsid w:val="00BA5F10"/>
    <w:rsid w:val="00BB00EE"/>
    <w:rsid w:val="00BB0A03"/>
    <w:rsid w:val="00BB0E57"/>
    <w:rsid w:val="00BB3051"/>
    <w:rsid w:val="00BB3991"/>
    <w:rsid w:val="00BB5579"/>
    <w:rsid w:val="00BB710C"/>
    <w:rsid w:val="00BC0438"/>
    <w:rsid w:val="00BC09D2"/>
    <w:rsid w:val="00BC2E35"/>
    <w:rsid w:val="00BC4DB7"/>
    <w:rsid w:val="00BC6275"/>
    <w:rsid w:val="00BC669F"/>
    <w:rsid w:val="00BC69DB"/>
    <w:rsid w:val="00BC76A9"/>
    <w:rsid w:val="00BC7AA5"/>
    <w:rsid w:val="00BD04D4"/>
    <w:rsid w:val="00BD0695"/>
    <w:rsid w:val="00BD3948"/>
    <w:rsid w:val="00BD411C"/>
    <w:rsid w:val="00BD576E"/>
    <w:rsid w:val="00BE21CC"/>
    <w:rsid w:val="00BE2FDA"/>
    <w:rsid w:val="00BE4462"/>
    <w:rsid w:val="00BE5B3C"/>
    <w:rsid w:val="00BF11B6"/>
    <w:rsid w:val="00BF3A4E"/>
    <w:rsid w:val="00BF5745"/>
    <w:rsid w:val="00BF6AEB"/>
    <w:rsid w:val="00BF79F6"/>
    <w:rsid w:val="00C0027D"/>
    <w:rsid w:val="00C03A39"/>
    <w:rsid w:val="00C057BE"/>
    <w:rsid w:val="00C07B54"/>
    <w:rsid w:val="00C07DFC"/>
    <w:rsid w:val="00C1069A"/>
    <w:rsid w:val="00C1136F"/>
    <w:rsid w:val="00C13E42"/>
    <w:rsid w:val="00C14E1D"/>
    <w:rsid w:val="00C164B2"/>
    <w:rsid w:val="00C24A7F"/>
    <w:rsid w:val="00C25B3E"/>
    <w:rsid w:val="00C262E5"/>
    <w:rsid w:val="00C31E71"/>
    <w:rsid w:val="00C32C32"/>
    <w:rsid w:val="00C32CF7"/>
    <w:rsid w:val="00C3313E"/>
    <w:rsid w:val="00C33D2A"/>
    <w:rsid w:val="00C34D24"/>
    <w:rsid w:val="00C35592"/>
    <w:rsid w:val="00C40CA8"/>
    <w:rsid w:val="00C42C8A"/>
    <w:rsid w:val="00C42E26"/>
    <w:rsid w:val="00C43A85"/>
    <w:rsid w:val="00C47119"/>
    <w:rsid w:val="00C53489"/>
    <w:rsid w:val="00C53A1A"/>
    <w:rsid w:val="00C55E36"/>
    <w:rsid w:val="00C56DDF"/>
    <w:rsid w:val="00C65801"/>
    <w:rsid w:val="00C6640A"/>
    <w:rsid w:val="00C669ED"/>
    <w:rsid w:val="00C66DA3"/>
    <w:rsid w:val="00C67538"/>
    <w:rsid w:val="00C7210F"/>
    <w:rsid w:val="00C76FDA"/>
    <w:rsid w:val="00C838E4"/>
    <w:rsid w:val="00C84402"/>
    <w:rsid w:val="00C84B1D"/>
    <w:rsid w:val="00C85118"/>
    <w:rsid w:val="00C85E26"/>
    <w:rsid w:val="00C94571"/>
    <w:rsid w:val="00C945B0"/>
    <w:rsid w:val="00C96AAF"/>
    <w:rsid w:val="00CA0B52"/>
    <w:rsid w:val="00CA4525"/>
    <w:rsid w:val="00CA610A"/>
    <w:rsid w:val="00CA67B9"/>
    <w:rsid w:val="00CA76D5"/>
    <w:rsid w:val="00CB1023"/>
    <w:rsid w:val="00CB3C51"/>
    <w:rsid w:val="00CB478A"/>
    <w:rsid w:val="00CB5CEC"/>
    <w:rsid w:val="00CB7430"/>
    <w:rsid w:val="00CC0A3C"/>
    <w:rsid w:val="00CC25B9"/>
    <w:rsid w:val="00CC2C52"/>
    <w:rsid w:val="00CC4926"/>
    <w:rsid w:val="00CC6419"/>
    <w:rsid w:val="00CC714F"/>
    <w:rsid w:val="00CC7E13"/>
    <w:rsid w:val="00CD1DF7"/>
    <w:rsid w:val="00CD2724"/>
    <w:rsid w:val="00CE21DB"/>
    <w:rsid w:val="00CE7BFC"/>
    <w:rsid w:val="00CF11CA"/>
    <w:rsid w:val="00CF4640"/>
    <w:rsid w:val="00CF651B"/>
    <w:rsid w:val="00CF6F2E"/>
    <w:rsid w:val="00D0208D"/>
    <w:rsid w:val="00D0246D"/>
    <w:rsid w:val="00D0368C"/>
    <w:rsid w:val="00D03CD0"/>
    <w:rsid w:val="00D07734"/>
    <w:rsid w:val="00D17DE5"/>
    <w:rsid w:val="00D22447"/>
    <w:rsid w:val="00D22CC9"/>
    <w:rsid w:val="00D23DD2"/>
    <w:rsid w:val="00D2473E"/>
    <w:rsid w:val="00D30A8C"/>
    <w:rsid w:val="00D31D6F"/>
    <w:rsid w:val="00D36C5E"/>
    <w:rsid w:val="00D40F44"/>
    <w:rsid w:val="00D4157F"/>
    <w:rsid w:val="00D41793"/>
    <w:rsid w:val="00D45E55"/>
    <w:rsid w:val="00D4629B"/>
    <w:rsid w:val="00D4665B"/>
    <w:rsid w:val="00D503EA"/>
    <w:rsid w:val="00D53F40"/>
    <w:rsid w:val="00D546B6"/>
    <w:rsid w:val="00D5530B"/>
    <w:rsid w:val="00D577FB"/>
    <w:rsid w:val="00D57896"/>
    <w:rsid w:val="00D57A87"/>
    <w:rsid w:val="00D614C4"/>
    <w:rsid w:val="00D65DB7"/>
    <w:rsid w:val="00D7023D"/>
    <w:rsid w:val="00D7161A"/>
    <w:rsid w:val="00D71D23"/>
    <w:rsid w:val="00D71FC5"/>
    <w:rsid w:val="00D75ACB"/>
    <w:rsid w:val="00D8069E"/>
    <w:rsid w:val="00D80A93"/>
    <w:rsid w:val="00D90EDC"/>
    <w:rsid w:val="00D936FA"/>
    <w:rsid w:val="00DA0A51"/>
    <w:rsid w:val="00DB0AC0"/>
    <w:rsid w:val="00DB3C01"/>
    <w:rsid w:val="00DB5FF6"/>
    <w:rsid w:val="00DB6EAE"/>
    <w:rsid w:val="00DC01F3"/>
    <w:rsid w:val="00DC289C"/>
    <w:rsid w:val="00DC6B5D"/>
    <w:rsid w:val="00DD0046"/>
    <w:rsid w:val="00DD5834"/>
    <w:rsid w:val="00DD64EB"/>
    <w:rsid w:val="00DE1D7E"/>
    <w:rsid w:val="00DE2457"/>
    <w:rsid w:val="00DF0BA4"/>
    <w:rsid w:val="00DF39D6"/>
    <w:rsid w:val="00DF7D92"/>
    <w:rsid w:val="00E02C20"/>
    <w:rsid w:val="00E03B42"/>
    <w:rsid w:val="00E05C1F"/>
    <w:rsid w:val="00E1284D"/>
    <w:rsid w:val="00E17A35"/>
    <w:rsid w:val="00E20D85"/>
    <w:rsid w:val="00E20FC3"/>
    <w:rsid w:val="00E21A9C"/>
    <w:rsid w:val="00E23325"/>
    <w:rsid w:val="00E301AD"/>
    <w:rsid w:val="00E3059D"/>
    <w:rsid w:val="00E30E8A"/>
    <w:rsid w:val="00E40536"/>
    <w:rsid w:val="00E4086F"/>
    <w:rsid w:val="00E41889"/>
    <w:rsid w:val="00E43ACB"/>
    <w:rsid w:val="00E44060"/>
    <w:rsid w:val="00E45FE0"/>
    <w:rsid w:val="00E470F4"/>
    <w:rsid w:val="00E477C9"/>
    <w:rsid w:val="00E5068B"/>
    <w:rsid w:val="00E54B01"/>
    <w:rsid w:val="00E55395"/>
    <w:rsid w:val="00E5757A"/>
    <w:rsid w:val="00E57F68"/>
    <w:rsid w:val="00E624EF"/>
    <w:rsid w:val="00E66CCD"/>
    <w:rsid w:val="00E721D2"/>
    <w:rsid w:val="00E73036"/>
    <w:rsid w:val="00E73D74"/>
    <w:rsid w:val="00E74EDC"/>
    <w:rsid w:val="00E770B2"/>
    <w:rsid w:val="00E77FF8"/>
    <w:rsid w:val="00E813F7"/>
    <w:rsid w:val="00E846D3"/>
    <w:rsid w:val="00E84D71"/>
    <w:rsid w:val="00E86BEA"/>
    <w:rsid w:val="00E86FE3"/>
    <w:rsid w:val="00E877FA"/>
    <w:rsid w:val="00E9065F"/>
    <w:rsid w:val="00EA2261"/>
    <w:rsid w:val="00EA6FCC"/>
    <w:rsid w:val="00EA7812"/>
    <w:rsid w:val="00EB5EFD"/>
    <w:rsid w:val="00EB7357"/>
    <w:rsid w:val="00EB7551"/>
    <w:rsid w:val="00EB760A"/>
    <w:rsid w:val="00EC335D"/>
    <w:rsid w:val="00EC54E5"/>
    <w:rsid w:val="00EC7EB1"/>
    <w:rsid w:val="00EE4BD3"/>
    <w:rsid w:val="00EE4E91"/>
    <w:rsid w:val="00EE5D4B"/>
    <w:rsid w:val="00EE75C4"/>
    <w:rsid w:val="00EF07BE"/>
    <w:rsid w:val="00EF133C"/>
    <w:rsid w:val="00EF34D2"/>
    <w:rsid w:val="00F035C3"/>
    <w:rsid w:val="00F04A92"/>
    <w:rsid w:val="00F0600F"/>
    <w:rsid w:val="00F07851"/>
    <w:rsid w:val="00F10238"/>
    <w:rsid w:val="00F11872"/>
    <w:rsid w:val="00F213C6"/>
    <w:rsid w:val="00F224E1"/>
    <w:rsid w:val="00F22C18"/>
    <w:rsid w:val="00F2623E"/>
    <w:rsid w:val="00F32D8A"/>
    <w:rsid w:val="00F36247"/>
    <w:rsid w:val="00F412B9"/>
    <w:rsid w:val="00F412CC"/>
    <w:rsid w:val="00F429ED"/>
    <w:rsid w:val="00F50EF6"/>
    <w:rsid w:val="00F5375D"/>
    <w:rsid w:val="00F54536"/>
    <w:rsid w:val="00F54BA8"/>
    <w:rsid w:val="00F56F6A"/>
    <w:rsid w:val="00F624AD"/>
    <w:rsid w:val="00F62E8B"/>
    <w:rsid w:val="00F646BC"/>
    <w:rsid w:val="00F67EE5"/>
    <w:rsid w:val="00F7161D"/>
    <w:rsid w:val="00F71622"/>
    <w:rsid w:val="00F751A5"/>
    <w:rsid w:val="00F759B0"/>
    <w:rsid w:val="00F8003A"/>
    <w:rsid w:val="00F81230"/>
    <w:rsid w:val="00F842D8"/>
    <w:rsid w:val="00F965F1"/>
    <w:rsid w:val="00FA0241"/>
    <w:rsid w:val="00FA04A2"/>
    <w:rsid w:val="00FA0D3A"/>
    <w:rsid w:val="00FA279F"/>
    <w:rsid w:val="00FA2A22"/>
    <w:rsid w:val="00FA2FCC"/>
    <w:rsid w:val="00FA3AAF"/>
    <w:rsid w:val="00FA4C01"/>
    <w:rsid w:val="00FA7E9D"/>
    <w:rsid w:val="00FB0BD7"/>
    <w:rsid w:val="00FB247E"/>
    <w:rsid w:val="00FB2CA7"/>
    <w:rsid w:val="00FB52A6"/>
    <w:rsid w:val="00FB70DC"/>
    <w:rsid w:val="00FB7449"/>
    <w:rsid w:val="00FB75EE"/>
    <w:rsid w:val="00FB7890"/>
    <w:rsid w:val="00FC2BA9"/>
    <w:rsid w:val="00FC5007"/>
    <w:rsid w:val="00FC5724"/>
    <w:rsid w:val="00FC6A1D"/>
    <w:rsid w:val="00FD1861"/>
    <w:rsid w:val="00FD222C"/>
    <w:rsid w:val="00FD4B5B"/>
    <w:rsid w:val="00FD6C6C"/>
    <w:rsid w:val="00FD77E7"/>
    <w:rsid w:val="00FE5623"/>
    <w:rsid w:val="00FE6A37"/>
    <w:rsid w:val="00FE754F"/>
    <w:rsid w:val="00FF1820"/>
    <w:rsid w:val="00FF1BE7"/>
    <w:rsid w:val="00FF38DC"/>
    <w:rsid w:val="00FF6D6B"/>
    <w:rsid w:val="00FF775F"/>
    <w:rsid w:val="00FF7E7C"/>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C7134"/>
  <w15:docId w15:val="{86194978-48C2-D54A-94F3-F75889FE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76"/>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next w:val="Normal"/>
    <w:link w:val="Heading2Char"/>
    <w:uiPriority w:val="9"/>
    <w:unhideWhenUsed/>
    <w:qFormat/>
    <w:rsid w:val="001004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2EC"/>
    <w:pPr>
      <w:ind w:left="720"/>
      <w:contextualSpacing/>
    </w:pPr>
  </w:style>
  <w:style w:type="paragraph" w:styleId="BalloonText">
    <w:name w:val="Balloon Text"/>
    <w:basedOn w:val="Normal"/>
    <w:link w:val="BalloonTextChar"/>
    <w:uiPriority w:val="99"/>
    <w:semiHidden/>
    <w:unhideWhenUsed/>
    <w:rsid w:val="00F36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47"/>
    <w:rPr>
      <w:rFonts w:ascii="Segoe UI" w:hAnsi="Segoe UI" w:cs="Segoe UI"/>
      <w:sz w:val="18"/>
      <w:szCs w:val="18"/>
    </w:rPr>
  </w:style>
  <w:style w:type="paragraph" w:styleId="NormalWeb">
    <w:name w:val="Normal (Web)"/>
    <w:basedOn w:val="Normal"/>
    <w:uiPriority w:val="99"/>
    <w:unhideWhenUsed/>
    <w:rsid w:val="000007E9"/>
    <w:pPr>
      <w:spacing w:before="100" w:beforeAutospacing="1" w:after="100" w:afterAutospacing="1"/>
    </w:pPr>
  </w:style>
  <w:style w:type="character" w:styleId="Hyperlink">
    <w:name w:val="Hyperlink"/>
    <w:basedOn w:val="DefaultParagraphFont"/>
    <w:uiPriority w:val="99"/>
    <w:unhideWhenUsed/>
    <w:rsid w:val="000007E9"/>
    <w:rPr>
      <w:color w:val="0000FF"/>
      <w:u w:val="single"/>
    </w:rPr>
  </w:style>
  <w:style w:type="paragraph" w:styleId="FootnoteText">
    <w:name w:val="footnote text"/>
    <w:basedOn w:val="Normal"/>
    <w:link w:val="FootnoteTextChar"/>
    <w:uiPriority w:val="99"/>
    <w:semiHidden/>
    <w:unhideWhenUsed/>
    <w:rsid w:val="007C243E"/>
    <w:rPr>
      <w:sz w:val="20"/>
      <w:szCs w:val="20"/>
    </w:rPr>
  </w:style>
  <w:style w:type="character" w:customStyle="1" w:styleId="FootnoteTextChar">
    <w:name w:val="Footnote Text Char"/>
    <w:basedOn w:val="DefaultParagraphFont"/>
    <w:link w:val="FootnoteText"/>
    <w:uiPriority w:val="99"/>
    <w:semiHidden/>
    <w:rsid w:val="007C243E"/>
    <w:rPr>
      <w:sz w:val="20"/>
      <w:szCs w:val="20"/>
    </w:rPr>
  </w:style>
  <w:style w:type="character" w:styleId="FootnoteReference">
    <w:name w:val="footnote reference"/>
    <w:basedOn w:val="DefaultParagraphFont"/>
    <w:uiPriority w:val="99"/>
    <w:semiHidden/>
    <w:unhideWhenUsed/>
    <w:rsid w:val="007C243E"/>
    <w:rPr>
      <w:vertAlign w:val="superscript"/>
    </w:rPr>
  </w:style>
  <w:style w:type="paragraph" w:customStyle="1" w:styleId="western">
    <w:name w:val="western"/>
    <w:basedOn w:val="Normal"/>
    <w:rsid w:val="00CA76D5"/>
    <w:pPr>
      <w:spacing w:before="100" w:beforeAutospacing="1" w:after="100" w:afterAutospacing="1"/>
    </w:pPr>
  </w:style>
  <w:style w:type="paragraph" w:styleId="Header">
    <w:name w:val="header"/>
    <w:basedOn w:val="Normal"/>
    <w:link w:val="HeaderChar"/>
    <w:uiPriority w:val="99"/>
    <w:unhideWhenUsed/>
    <w:rsid w:val="00747D92"/>
    <w:pPr>
      <w:tabs>
        <w:tab w:val="center" w:pos="4513"/>
        <w:tab w:val="right" w:pos="9026"/>
      </w:tabs>
    </w:pPr>
  </w:style>
  <w:style w:type="character" w:customStyle="1" w:styleId="HeaderChar">
    <w:name w:val="Header Char"/>
    <w:basedOn w:val="DefaultParagraphFont"/>
    <w:link w:val="Header"/>
    <w:uiPriority w:val="99"/>
    <w:rsid w:val="00747D92"/>
  </w:style>
  <w:style w:type="paragraph" w:styleId="Footer">
    <w:name w:val="footer"/>
    <w:basedOn w:val="Normal"/>
    <w:link w:val="FooterChar"/>
    <w:uiPriority w:val="99"/>
    <w:unhideWhenUsed/>
    <w:rsid w:val="00747D92"/>
    <w:pPr>
      <w:tabs>
        <w:tab w:val="center" w:pos="4513"/>
        <w:tab w:val="right" w:pos="9026"/>
      </w:tabs>
    </w:pPr>
  </w:style>
  <w:style w:type="character" w:customStyle="1" w:styleId="FooterChar">
    <w:name w:val="Footer Char"/>
    <w:basedOn w:val="DefaultParagraphFont"/>
    <w:link w:val="Footer"/>
    <w:uiPriority w:val="99"/>
    <w:rsid w:val="00747D92"/>
  </w:style>
  <w:style w:type="character" w:customStyle="1" w:styleId="Heading2Char">
    <w:name w:val="Heading 2 Char"/>
    <w:basedOn w:val="DefaultParagraphFont"/>
    <w:link w:val="Heading2"/>
    <w:uiPriority w:val="9"/>
    <w:rsid w:val="001004D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75FDD"/>
    <w:rPr>
      <w:color w:val="954F72" w:themeColor="followedHyperlink"/>
      <w:u w:val="single"/>
    </w:rPr>
  </w:style>
  <w:style w:type="character" w:styleId="CommentReference">
    <w:name w:val="annotation reference"/>
    <w:basedOn w:val="DefaultParagraphFont"/>
    <w:uiPriority w:val="99"/>
    <w:semiHidden/>
    <w:unhideWhenUsed/>
    <w:rsid w:val="00B220CB"/>
    <w:rPr>
      <w:sz w:val="16"/>
      <w:szCs w:val="16"/>
    </w:rPr>
  </w:style>
  <w:style w:type="paragraph" w:styleId="CommentText">
    <w:name w:val="annotation text"/>
    <w:basedOn w:val="Normal"/>
    <w:link w:val="CommentTextChar"/>
    <w:uiPriority w:val="99"/>
    <w:semiHidden/>
    <w:unhideWhenUsed/>
    <w:rsid w:val="00B220CB"/>
    <w:rPr>
      <w:sz w:val="20"/>
      <w:szCs w:val="20"/>
    </w:rPr>
  </w:style>
  <w:style w:type="character" w:customStyle="1" w:styleId="CommentTextChar">
    <w:name w:val="Comment Text Char"/>
    <w:basedOn w:val="DefaultParagraphFont"/>
    <w:link w:val="CommentText"/>
    <w:uiPriority w:val="99"/>
    <w:semiHidden/>
    <w:rsid w:val="00B220CB"/>
    <w:rPr>
      <w:sz w:val="20"/>
      <w:szCs w:val="20"/>
    </w:rPr>
  </w:style>
  <w:style w:type="paragraph" w:styleId="CommentSubject">
    <w:name w:val="annotation subject"/>
    <w:basedOn w:val="CommentText"/>
    <w:next w:val="CommentText"/>
    <w:link w:val="CommentSubjectChar"/>
    <w:uiPriority w:val="99"/>
    <w:semiHidden/>
    <w:unhideWhenUsed/>
    <w:rsid w:val="00B220CB"/>
    <w:rPr>
      <w:b/>
      <w:bCs/>
    </w:rPr>
  </w:style>
  <w:style w:type="character" w:customStyle="1" w:styleId="CommentSubjectChar">
    <w:name w:val="Comment Subject Char"/>
    <w:basedOn w:val="CommentTextChar"/>
    <w:link w:val="CommentSubject"/>
    <w:uiPriority w:val="99"/>
    <w:semiHidden/>
    <w:rsid w:val="00B220CB"/>
    <w:rPr>
      <w:b/>
      <w:bCs/>
      <w:sz w:val="20"/>
      <w:szCs w:val="20"/>
    </w:rPr>
  </w:style>
  <w:style w:type="character" w:customStyle="1" w:styleId="apple-converted-space">
    <w:name w:val="apple-converted-space"/>
    <w:basedOn w:val="DefaultParagraphFont"/>
    <w:rsid w:val="006E7D76"/>
  </w:style>
  <w:style w:type="character" w:styleId="Emphasis">
    <w:name w:val="Emphasis"/>
    <w:basedOn w:val="DefaultParagraphFont"/>
    <w:uiPriority w:val="20"/>
    <w:qFormat/>
    <w:rsid w:val="006E7D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351">
      <w:bodyDiv w:val="1"/>
      <w:marLeft w:val="0"/>
      <w:marRight w:val="0"/>
      <w:marTop w:val="0"/>
      <w:marBottom w:val="0"/>
      <w:divBdr>
        <w:top w:val="none" w:sz="0" w:space="0" w:color="auto"/>
        <w:left w:val="none" w:sz="0" w:space="0" w:color="auto"/>
        <w:bottom w:val="none" w:sz="0" w:space="0" w:color="auto"/>
        <w:right w:val="none" w:sz="0" w:space="0" w:color="auto"/>
      </w:divBdr>
      <w:divsChild>
        <w:div w:id="489252297">
          <w:marLeft w:val="0"/>
          <w:marRight w:val="0"/>
          <w:marTop w:val="0"/>
          <w:marBottom w:val="0"/>
          <w:divBdr>
            <w:top w:val="none" w:sz="0" w:space="0" w:color="auto"/>
            <w:left w:val="none" w:sz="0" w:space="0" w:color="auto"/>
            <w:bottom w:val="none" w:sz="0" w:space="0" w:color="auto"/>
            <w:right w:val="none" w:sz="0" w:space="0" w:color="auto"/>
          </w:divBdr>
          <w:divsChild>
            <w:div w:id="1857501145">
              <w:marLeft w:val="0"/>
              <w:marRight w:val="0"/>
              <w:marTop w:val="0"/>
              <w:marBottom w:val="0"/>
              <w:divBdr>
                <w:top w:val="none" w:sz="0" w:space="0" w:color="auto"/>
                <w:left w:val="none" w:sz="0" w:space="0" w:color="auto"/>
                <w:bottom w:val="none" w:sz="0" w:space="0" w:color="auto"/>
                <w:right w:val="none" w:sz="0" w:space="0" w:color="auto"/>
              </w:divBdr>
              <w:divsChild>
                <w:div w:id="21027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1662">
      <w:bodyDiv w:val="1"/>
      <w:marLeft w:val="0"/>
      <w:marRight w:val="0"/>
      <w:marTop w:val="0"/>
      <w:marBottom w:val="0"/>
      <w:divBdr>
        <w:top w:val="none" w:sz="0" w:space="0" w:color="auto"/>
        <w:left w:val="none" w:sz="0" w:space="0" w:color="auto"/>
        <w:bottom w:val="none" w:sz="0" w:space="0" w:color="auto"/>
        <w:right w:val="none" w:sz="0" w:space="0" w:color="auto"/>
      </w:divBdr>
    </w:div>
    <w:div w:id="265384946">
      <w:bodyDiv w:val="1"/>
      <w:marLeft w:val="0"/>
      <w:marRight w:val="0"/>
      <w:marTop w:val="0"/>
      <w:marBottom w:val="0"/>
      <w:divBdr>
        <w:top w:val="none" w:sz="0" w:space="0" w:color="auto"/>
        <w:left w:val="none" w:sz="0" w:space="0" w:color="auto"/>
        <w:bottom w:val="none" w:sz="0" w:space="0" w:color="auto"/>
        <w:right w:val="none" w:sz="0" w:space="0" w:color="auto"/>
      </w:divBdr>
    </w:div>
    <w:div w:id="277302372">
      <w:bodyDiv w:val="1"/>
      <w:marLeft w:val="0"/>
      <w:marRight w:val="0"/>
      <w:marTop w:val="0"/>
      <w:marBottom w:val="0"/>
      <w:divBdr>
        <w:top w:val="none" w:sz="0" w:space="0" w:color="auto"/>
        <w:left w:val="none" w:sz="0" w:space="0" w:color="auto"/>
        <w:bottom w:val="none" w:sz="0" w:space="0" w:color="auto"/>
        <w:right w:val="none" w:sz="0" w:space="0" w:color="auto"/>
      </w:divBdr>
    </w:div>
    <w:div w:id="406463479">
      <w:bodyDiv w:val="1"/>
      <w:marLeft w:val="0"/>
      <w:marRight w:val="0"/>
      <w:marTop w:val="0"/>
      <w:marBottom w:val="0"/>
      <w:divBdr>
        <w:top w:val="none" w:sz="0" w:space="0" w:color="auto"/>
        <w:left w:val="none" w:sz="0" w:space="0" w:color="auto"/>
        <w:bottom w:val="none" w:sz="0" w:space="0" w:color="auto"/>
        <w:right w:val="none" w:sz="0" w:space="0" w:color="auto"/>
      </w:divBdr>
    </w:div>
    <w:div w:id="461385909">
      <w:bodyDiv w:val="1"/>
      <w:marLeft w:val="0"/>
      <w:marRight w:val="0"/>
      <w:marTop w:val="0"/>
      <w:marBottom w:val="0"/>
      <w:divBdr>
        <w:top w:val="none" w:sz="0" w:space="0" w:color="auto"/>
        <w:left w:val="none" w:sz="0" w:space="0" w:color="auto"/>
        <w:bottom w:val="none" w:sz="0" w:space="0" w:color="auto"/>
        <w:right w:val="none" w:sz="0" w:space="0" w:color="auto"/>
      </w:divBdr>
    </w:div>
    <w:div w:id="503477434">
      <w:bodyDiv w:val="1"/>
      <w:marLeft w:val="0"/>
      <w:marRight w:val="0"/>
      <w:marTop w:val="0"/>
      <w:marBottom w:val="0"/>
      <w:divBdr>
        <w:top w:val="none" w:sz="0" w:space="0" w:color="auto"/>
        <w:left w:val="none" w:sz="0" w:space="0" w:color="auto"/>
        <w:bottom w:val="none" w:sz="0" w:space="0" w:color="auto"/>
        <w:right w:val="none" w:sz="0" w:space="0" w:color="auto"/>
      </w:divBdr>
    </w:div>
    <w:div w:id="591277162">
      <w:bodyDiv w:val="1"/>
      <w:marLeft w:val="0"/>
      <w:marRight w:val="0"/>
      <w:marTop w:val="0"/>
      <w:marBottom w:val="0"/>
      <w:divBdr>
        <w:top w:val="none" w:sz="0" w:space="0" w:color="auto"/>
        <w:left w:val="none" w:sz="0" w:space="0" w:color="auto"/>
        <w:bottom w:val="none" w:sz="0" w:space="0" w:color="auto"/>
        <w:right w:val="none" w:sz="0" w:space="0" w:color="auto"/>
      </w:divBdr>
      <w:divsChild>
        <w:div w:id="1574047749">
          <w:marLeft w:val="0"/>
          <w:marRight w:val="0"/>
          <w:marTop w:val="0"/>
          <w:marBottom w:val="0"/>
          <w:divBdr>
            <w:top w:val="none" w:sz="0" w:space="0" w:color="auto"/>
            <w:left w:val="none" w:sz="0" w:space="0" w:color="auto"/>
            <w:bottom w:val="none" w:sz="0" w:space="0" w:color="auto"/>
            <w:right w:val="none" w:sz="0" w:space="0" w:color="auto"/>
          </w:divBdr>
          <w:divsChild>
            <w:div w:id="1423453503">
              <w:marLeft w:val="0"/>
              <w:marRight w:val="0"/>
              <w:marTop w:val="0"/>
              <w:marBottom w:val="0"/>
              <w:divBdr>
                <w:top w:val="none" w:sz="0" w:space="0" w:color="auto"/>
                <w:left w:val="none" w:sz="0" w:space="0" w:color="auto"/>
                <w:bottom w:val="none" w:sz="0" w:space="0" w:color="auto"/>
                <w:right w:val="none" w:sz="0" w:space="0" w:color="auto"/>
              </w:divBdr>
              <w:divsChild>
                <w:div w:id="19483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76428">
      <w:bodyDiv w:val="1"/>
      <w:marLeft w:val="0"/>
      <w:marRight w:val="0"/>
      <w:marTop w:val="0"/>
      <w:marBottom w:val="0"/>
      <w:divBdr>
        <w:top w:val="none" w:sz="0" w:space="0" w:color="auto"/>
        <w:left w:val="none" w:sz="0" w:space="0" w:color="auto"/>
        <w:bottom w:val="none" w:sz="0" w:space="0" w:color="auto"/>
        <w:right w:val="none" w:sz="0" w:space="0" w:color="auto"/>
      </w:divBdr>
    </w:div>
    <w:div w:id="663702523">
      <w:bodyDiv w:val="1"/>
      <w:marLeft w:val="0"/>
      <w:marRight w:val="0"/>
      <w:marTop w:val="0"/>
      <w:marBottom w:val="0"/>
      <w:divBdr>
        <w:top w:val="none" w:sz="0" w:space="0" w:color="auto"/>
        <w:left w:val="none" w:sz="0" w:space="0" w:color="auto"/>
        <w:bottom w:val="none" w:sz="0" w:space="0" w:color="auto"/>
        <w:right w:val="none" w:sz="0" w:space="0" w:color="auto"/>
      </w:divBdr>
    </w:div>
    <w:div w:id="669335983">
      <w:bodyDiv w:val="1"/>
      <w:marLeft w:val="0"/>
      <w:marRight w:val="0"/>
      <w:marTop w:val="0"/>
      <w:marBottom w:val="0"/>
      <w:divBdr>
        <w:top w:val="none" w:sz="0" w:space="0" w:color="auto"/>
        <w:left w:val="none" w:sz="0" w:space="0" w:color="auto"/>
        <w:bottom w:val="none" w:sz="0" w:space="0" w:color="auto"/>
        <w:right w:val="none" w:sz="0" w:space="0" w:color="auto"/>
      </w:divBdr>
      <w:divsChild>
        <w:div w:id="2069647824">
          <w:marLeft w:val="0"/>
          <w:marRight w:val="0"/>
          <w:marTop w:val="0"/>
          <w:marBottom w:val="0"/>
          <w:divBdr>
            <w:top w:val="none" w:sz="0" w:space="0" w:color="auto"/>
            <w:left w:val="none" w:sz="0" w:space="0" w:color="auto"/>
            <w:bottom w:val="none" w:sz="0" w:space="0" w:color="auto"/>
            <w:right w:val="none" w:sz="0" w:space="0" w:color="auto"/>
          </w:divBdr>
          <w:divsChild>
            <w:div w:id="591091154">
              <w:marLeft w:val="0"/>
              <w:marRight w:val="0"/>
              <w:marTop w:val="0"/>
              <w:marBottom w:val="0"/>
              <w:divBdr>
                <w:top w:val="none" w:sz="0" w:space="0" w:color="auto"/>
                <w:left w:val="none" w:sz="0" w:space="0" w:color="auto"/>
                <w:bottom w:val="none" w:sz="0" w:space="0" w:color="auto"/>
                <w:right w:val="none" w:sz="0" w:space="0" w:color="auto"/>
              </w:divBdr>
              <w:divsChild>
                <w:div w:id="987708027">
                  <w:marLeft w:val="0"/>
                  <w:marRight w:val="0"/>
                  <w:marTop w:val="0"/>
                  <w:marBottom w:val="0"/>
                  <w:divBdr>
                    <w:top w:val="none" w:sz="0" w:space="0" w:color="auto"/>
                    <w:left w:val="none" w:sz="0" w:space="0" w:color="auto"/>
                    <w:bottom w:val="none" w:sz="0" w:space="0" w:color="auto"/>
                    <w:right w:val="none" w:sz="0" w:space="0" w:color="auto"/>
                  </w:divBdr>
                  <w:divsChild>
                    <w:div w:id="188058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82942">
      <w:bodyDiv w:val="1"/>
      <w:marLeft w:val="0"/>
      <w:marRight w:val="0"/>
      <w:marTop w:val="0"/>
      <w:marBottom w:val="0"/>
      <w:divBdr>
        <w:top w:val="none" w:sz="0" w:space="0" w:color="auto"/>
        <w:left w:val="none" w:sz="0" w:space="0" w:color="auto"/>
        <w:bottom w:val="none" w:sz="0" w:space="0" w:color="auto"/>
        <w:right w:val="none" w:sz="0" w:space="0" w:color="auto"/>
      </w:divBdr>
    </w:div>
    <w:div w:id="689382579">
      <w:bodyDiv w:val="1"/>
      <w:marLeft w:val="0"/>
      <w:marRight w:val="0"/>
      <w:marTop w:val="0"/>
      <w:marBottom w:val="0"/>
      <w:divBdr>
        <w:top w:val="none" w:sz="0" w:space="0" w:color="auto"/>
        <w:left w:val="none" w:sz="0" w:space="0" w:color="auto"/>
        <w:bottom w:val="none" w:sz="0" w:space="0" w:color="auto"/>
        <w:right w:val="none" w:sz="0" w:space="0" w:color="auto"/>
      </w:divBdr>
      <w:divsChild>
        <w:div w:id="2071877833">
          <w:marLeft w:val="0"/>
          <w:marRight w:val="0"/>
          <w:marTop w:val="0"/>
          <w:marBottom w:val="0"/>
          <w:divBdr>
            <w:top w:val="none" w:sz="0" w:space="0" w:color="auto"/>
            <w:left w:val="none" w:sz="0" w:space="0" w:color="auto"/>
            <w:bottom w:val="none" w:sz="0" w:space="0" w:color="auto"/>
            <w:right w:val="none" w:sz="0" w:space="0" w:color="auto"/>
          </w:divBdr>
          <w:divsChild>
            <w:div w:id="1518159159">
              <w:marLeft w:val="0"/>
              <w:marRight w:val="0"/>
              <w:marTop w:val="0"/>
              <w:marBottom w:val="0"/>
              <w:divBdr>
                <w:top w:val="none" w:sz="0" w:space="0" w:color="auto"/>
                <w:left w:val="none" w:sz="0" w:space="0" w:color="auto"/>
                <w:bottom w:val="none" w:sz="0" w:space="0" w:color="auto"/>
                <w:right w:val="none" w:sz="0" w:space="0" w:color="auto"/>
              </w:divBdr>
              <w:divsChild>
                <w:div w:id="4912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97489">
      <w:bodyDiv w:val="1"/>
      <w:marLeft w:val="0"/>
      <w:marRight w:val="0"/>
      <w:marTop w:val="0"/>
      <w:marBottom w:val="0"/>
      <w:divBdr>
        <w:top w:val="none" w:sz="0" w:space="0" w:color="auto"/>
        <w:left w:val="none" w:sz="0" w:space="0" w:color="auto"/>
        <w:bottom w:val="none" w:sz="0" w:space="0" w:color="auto"/>
        <w:right w:val="none" w:sz="0" w:space="0" w:color="auto"/>
      </w:divBdr>
      <w:divsChild>
        <w:div w:id="1388259762">
          <w:marLeft w:val="0"/>
          <w:marRight w:val="0"/>
          <w:marTop w:val="0"/>
          <w:marBottom w:val="0"/>
          <w:divBdr>
            <w:top w:val="none" w:sz="0" w:space="0" w:color="auto"/>
            <w:left w:val="none" w:sz="0" w:space="0" w:color="auto"/>
            <w:bottom w:val="none" w:sz="0" w:space="0" w:color="auto"/>
            <w:right w:val="none" w:sz="0" w:space="0" w:color="auto"/>
          </w:divBdr>
          <w:divsChild>
            <w:div w:id="2076465877">
              <w:marLeft w:val="0"/>
              <w:marRight w:val="0"/>
              <w:marTop w:val="0"/>
              <w:marBottom w:val="0"/>
              <w:divBdr>
                <w:top w:val="none" w:sz="0" w:space="0" w:color="auto"/>
                <w:left w:val="none" w:sz="0" w:space="0" w:color="auto"/>
                <w:bottom w:val="none" w:sz="0" w:space="0" w:color="auto"/>
                <w:right w:val="none" w:sz="0" w:space="0" w:color="auto"/>
              </w:divBdr>
              <w:divsChild>
                <w:div w:id="342436179">
                  <w:marLeft w:val="0"/>
                  <w:marRight w:val="0"/>
                  <w:marTop w:val="0"/>
                  <w:marBottom w:val="0"/>
                  <w:divBdr>
                    <w:top w:val="none" w:sz="0" w:space="0" w:color="auto"/>
                    <w:left w:val="none" w:sz="0" w:space="0" w:color="auto"/>
                    <w:bottom w:val="none" w:sz="0" w:space="0" w:color="auto"/>
                    <w:right w:val="none" w:sz="0" w:space="0" w:color="auto"/>
                  </w:divBdr>
                  <w:divsChild>
                    <w:div w:id="1998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35135">
      <w:bodyDiv w:val="1"/>
      <w:marLeft w:val="0"/>
      <w:marRight w:val="0"/>
      <w:marTop w:val="0"/>
      <w:marBottom w:val="0"/>
      <w:divBdr>
        <w:top w:val="none" w:sz="0" w:space="0" w:color="auto"/>
        <w:left w:val="none" w:sz="0" w:space="0" w:color="auto"/>
        <w:bottom w:val="none" w:sz="0" w:space="0" w:color="auto"/>
        <w:right w:val="none" w:sz="0" w:space="0" w:color="auto"/>
      </w:divBdr>
    </w:div>
    <w:div w:id="700940097">
      <w:bodyDiv w:val="1"/>
      <w:marLeft w:val="0"/>
      <w:marRight w:val="0"/>
      <w:marTop w:val="0"/>
      <w:marBottom w:val="0"/>
      <w:divBdr>
        <w:top w:val="none" w:sz="0" w:space="0" w:color="auto"/>
        <w:left w:val="none" w:sz="0" w:space="0" w:color="auto"/>
        <w:bottom w:val="none" w:sz="0" w:space="0" w:color="auto"/>
        <w:right w:val="none" w:sz="0" w:space="0" w:color="auto"/>
      </w:divBdr>
    </w:div>
    <w:div w:id="746615419">
      <w:bodyDiv w:val="1"/>
      <w:marLeft w:val="0"/>
      <w:marRight w:val="0"/>
      <w:marTop w:val="0"/>
      <w:marBottom w:val="0"/>
      <w:divBdr>
        <w:top w:val="none" w:sz="0" w:space="0" w:color="auto"/>
        <w:left w:val="none" w:sz="0" w:space="0" w:color="auto"/>
        <w:bottom w:val="none" w:sz="0" w:space="0" w:color="auto"/>
        <w:right w:val="none" w:sz="0" w:space="0" w:color="auto"/>
      </w:divBdr>
    </w:div>
    <w:div w:id="811825789">
      <w:bodyDiv w:val="1"/>
      <w:marLeft w:val="0"/>
      <w:marRight w:val="0"/>
      <w:marTop w:val="0"/>
      <w:marBottom w:val="0"/>
      <w:divBdr>
        <w:top w:val="none" w:sz="0" w:space="0" w:color="auto"/>
        <w:left w:val="none" w:sz="0" w:space="0" w:color="auto"/>
        <w:bottom w:val="none" w:sz="0" w:space="0" w:color="auto"/>
        <w:right w:val="none" w:sz="0" w:space="0" w:color="auto"/>
      </w:divBdr>
    </w:div>
    <w:div w:id="831917134">
      <w:bodyDiv w:val="1"/>
      <w:marLeft w:val="0"/>
      <w:marRight w:val="0"/>
      <w:marTop w:val="0"/>
      <w:marBottom w:val="0"/>
      <w:divBdr>
        <w:top w:val="none" w:sz="0" w:space="0" w:color="auto"/>
        <w:left w:val="none" w:sz="0" w:space="0" w:color="auto"/>
        <w:bottom w:val="none" w:sz="0" w:space="0" w:color="auto"/>
        <w:right w:val="none" w:sz="0" w:space="0" w:color="auto"/>
      </w:divBdr>
      <w:divsChild>
        <w:div w:id="774208151">
          <w:marLeft w:val="0"/>
          <w:marRight w:val="0"/>
          <w:marTop w:val="0"/>
          <w:marBottom w:val="0"/>
          <w:divBdr>
            <w:top w:val="none" w:sz="0" w:space="0" w:color="auto"/>
            <w:left w:val="none" w:sz="0" w:space="0" w:color="auto"/>
            <w:bottom w:val="none" w:sz="0" w:space="0" w:color="auto"/>
            <w:right w:val="none" w:sz="0" w:space="0" w:color="auto"/>
          </w:divBdr>
          <w:divsChild>
            <w:div w:id="1434208739">
              <w:marLeft w:val="0"/>
              <w:marRight w:val="0"/>
              <w:marTop w:val="0"/>
              <w:marBottom w:val="0"/>
              <w:divBdr>
                <w:top w:val="none" w:sz="0" w:space="0" w:color="auto"/>
                <w:left w:val="none" w:sz="0" w:space="0" w:color="auto"/>
                <w:bottom w:val="none" w:sz="0" w:space="0" w:color="auto"/>
                <w:right w:val="none" w:sz="0" w:space="0" w:color="auto"/>
              </w:divBdr>
              <w:divsChild>
                <w:div w:id="615137383">
                  <w:marLeft w:val="0"/>
                  <w:marRight w:val="0"/>
                  <w:marTop w:val="0"/>
                  <w:marBottom w:val="0"/>
                  <w:divBdr>
                    <w:top w:val="none" w:sz="0" w:space="0" w:color="auto"/>
                    <w:left w:val="none" w:sz="0" w:space="0" w:color="auto"/>
                    <w:bottom w:val="none" w:sz="0" w:space="0" w:color="auto"/>
                    <w:right w:val="none" w:sz="0" w:space="0" w:color="auto"/>
                  </w:divBdr>
                  <w:divsChild>
                    <w:div w:id="17697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05061">
      <w:bodyDiv w:val="1"/>
      <w:marLeft w:val="0"/>
      <w:marRight w:val="0"/>
      <w:marTop w:val="0"/>
      <w:marBottom w:val="0"/>
      <w:divBdr>
        <w:top w:val="none" w:sz="0" w:space="0" w:color="auto"/>
        <w:left w:val="none" w:sz="0" w:space="0" w:color="auto"/>
        <w:bottom w:val="none" w:sz="0" w:space="0" w:color="auto"/>
        <w:right w:val="none" w:sz="0" w:space="0" w:color="auto"/>
      </w:divBdr>
      <w:divsChild>
        <w:div w:id="2024277421">
          <w:marLeft w:val="0"/>
          <w:marRight w:val="0"/>
          <w:marTop w:val="0"/>
          <w:marBottom w:val="0"/>
          <w:divBdr>
            <w:top w:val="none" w:sz="0" w:space="0" w:color="auto"/>
            <w:left w:val="none" w:sz="0" w:space="0" w:color="auto"/>
            <w:bottom w:val="none" w:sz="0" w:space="0" w:color="auto"/>
            <w:right w:val="none" w:sz="0" w:space="0" w:color="auto"/>
          </w:divBdr>
          <w:divsChild>
            <w:div w:id="1433817664">
              <w:marLeft w:val="0"/>
              <w:marRight w:val="0"/>
              <w:marTop w:val="0"/>
              <w:marBottom w:val="0"/>
              <w:divBdr>
                <w:top w:val="none" w:sz="0" w:space="0" w:color="auto"/>
                <w:left w:val="none" w:sz="0" w:space="0" w:color="auto"/>
                <w:bottom w:val="none" w:sz="0" w:space="0" w:color="auto"/>
                <w:right w:val="none" w:sz="0" w:space="0" w:color="auto"/>
              </w:divBdr>
              <w:divsChild>
                <w:div w:id="156532664">
                  <w:marLeft w:val="0"/>
                  <w:marRight w:val="0"/>
                  <w:marTop w:val="0"/>
                  <w:marBottom w:val="0"/>
                  <w:divBdr>
                    <w:top w:val="none" w:sz="0" w:space="0" w:color="auto"/>
                    <w:left w:val="none" w:sz="0" w:space="0" w:color="auto"/>
                    <w:bottom w:val="none" w:sz="0" w:space="0" w:color="auto"/>
                    <w:right w:val="none" w:sz="0" w:space="0" w:color="auto"/>
                  </w:divBdr>
                  <w:divsChild>
                    <w:div w:id="1322075387">
                      <w:marLeft w:val="0"/>
                      <w:marRight w:val="0"/>
                      <w:marTop w:val="0"/>
                      <w:marBottom w:val="0"/>
                      <w:divBdr>
                        <w:top w:val="none" w:sz="0" w:space="0" w:color="auto"/>
                        <w:left w:val="none" w:sz="0" w:space="0" w:color="auto"/>
                        <w:bottom w:val="none" w:sz="0" w:space="0" w:color="auto"/>
                        <w:right w:val="none" w:sz="0" w:space="0" w:color="auto"/>
                      </w:divBdr>
                    </w:div>
                    <w:div w:id="2019963534">
                      <w:marLeft w:val="0"/>
                      <w:marRight w:val="0"/>
                      <w:marTop w:val="0"/>
                      <w:marBottom w:val="0"/>
                      <w:divBdr>
                        <w:top w:val="none" w:sz="0" w:space="0" w:color="auto"/>
                        <w:left w:val="none" w:sz="0" w:space="0" w:color="auto"/>
                        <w:bottom w:val="none" w:sz="0" w:space="0" w:color="auto"/>
                        <w:right w:val="none" w:sz="0" w:space="0" w:color="auto"/>
                      </w:divBdr>
                    </w:div>
                  </w:divsChild>
                </w:div>
                <w:div w:id="517693757">
                  <w:marLeft w:val="0"/>
                  <w:marRight w:val="0"/>
                  <w:marTop w:val="0"/>
                  <w:marBottom w:val="0"/>
                  <w:divBdr>
                    <w:top w:val="none" w:sz="0" w:space="0" w:color="auto"/>
                    <w:left w:val="none" w:sz="0" w:space="0" w:color="auto"/>
                    <w:bottom w:val="none" w:sz="0" w:space="0" w:color="auto"/>
                    <w:right w:val="none" w:sz="0" w:space="0" w:color="auto"/>
                  </w:divBdr>
                  <w:divsChild>
                    <w:div w:id="836455895">
                      <w:marLeft w:val="0"/>
                      <w:marRight w:val="0"/>
                      <w:marTop w:val="0"/>
                      <w:marBottom w:val="0"/>
                      <w:divBdr>
                        <w:top w:val="none" w:sz="0" w:space="0" w:color="auto"/>
                        <w:left w:val="none" w:sz="0" w:space="0" w:color="auto"/>
                        <w:bottom w:val="none" w:sz="0" w:space="0" w:color="auto"/>
                        <w:right w:val="none" w:sz="0" w:space="0" w:color="auto"/>
                      </w:divBdr>
                    </w:div>
                    <w:div w:id="1497185842">
                      <w:marLeft w:val="0"/>
                      <w:marRight w:val="0"/>
                      <w:marTop w:val="0"/>
                      <w:marBottom w:val="0"/>
                      <w:divBdr>
                        <w:top w:val="none" w:sz="0" w:space="0" w:color="auto"/>
                        <w:left w:val="none" w:sz="0" w:space="0" w:color="auto"/>
                        <w:bottom w:val="none" w:sz="0" w:space="0" w:color="auto"/>
                        <w:right w:val="none" w:sz="0" w:space="0" w:color="auto"/>
                      </w:divBdr>
                    </w:div>
                  </w:divsChild>
                </w:div>
                <w:div w:id="655112248">
                  <w:marLeft w:val="0"/>
                  <w:marRight w:val="0"/>
                  <w:marTop w:val="0"/>
                  <w:marBottom w:val="0"/>
                  <w:divBdr>
                    <w:top w:val="none" w:sz="0" w:space="0" w:color="auto"/>
                    <w:left w:val="none" w:sz="0" w:space="0" w:color="auto"/>
                    <w:bottom w:val="none" w:sz="0" w:space="0" w:color="auto"/>
                    <w:right w:val="none" w:sz="0" w:space="0" w:color="auto"/>
                  </w:divBdr>
                  <w:divsChild>
                    <w:div w:id="14498636">
                      <w:marLeft w:val="0"/>
                      <w:marRight w:val="0"/>
                      <w:marTop w:val="0"/>
                      <w:marBottom w:val="0"/>
                      <w:divBdr>
                        <w:top w:val="none" w:sz="0" w:space="0" w:color="auto"/>
                        <w:left w:val="none" w:sz="0" w:space="0" w:color="auto"/>
                        <w:bottom w:val="none" w:sz="0" w:space="0" w:color="auto"/>
                        <w:right w:val="none" w:sz="0" w:space="0" w:color="auto"/>
                      </w:divBdr>
                    </w:div>
                    <w:div w:id="1832793473">
                      <w:marLeft w:val="0"/>
                      <w:marRight w:val="0"/>
                      <w:marTop w:val="0"/>
                      <w:marBottom w:val="0"/>
                      <w:divBdr>
                        <w:top w:val="none" w:sz="0" w:space="0" w:color="auto"/>
                        <w:left w:val="none" w:sz="0" w:space="0" w:color="auto"/>
                        <w:bottom w:val="none" w:sz="0" w:space="0" w:color="auto"/>
                        <w:right w:val="none" w:sz="0" w:space="0" w:color="auto"/>
                      </w:divBdr>
                    </w:div>
                  </w:divsChild>
                </w:div>
                <w:div w:id="1933079384">
                  <w:marLeft w:val="0"/>
                  <w:marRight w:val="0"/>
                  <w:marTop w:val="0"/>
                  <w:marBottom w:val="0"/>
                  <w:divBdr>
                    <w:top w:val="none" w:sz="0" w:space="0" w:color="auto"/>
                    <w:left w:val="none" w:sz="0" w:space="0" w:color="auto"/>
                    <w:bottom w:val="none" w:sz="0" w:space="0" w:color="auto"/>
                    <w:right w:val="none" w:sz="0" w:space="0" w:color="auto"/>
                  </w:divBdr>
                  <w:divsChild>
                    <w:div w:id="8888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17621">
      <w:bodyDiv w:val="1"/>
      <w:marLeft w:val="0"/>
      <w:marRight w:val="0"/>
      <w:marTop w:val="0"/>
      <w:marBottom w:val="0"/>
      <w:divBdr>
        <w:top w:val="none" w:sz="0" w:space="0" w:color="auto"/>
        <w:left w:val="none" w:sz="0" w:space="0" w:color="auto"/>
        <w:bottom w:val="none" w:sz="0" w:space="0" w:color="auto"/>
        <w:right w:val="none" w:sz="0" w:space="0" w:color="auto"/>
      </w:divBdr>
      <w:divsChild>
        <w:div w:id="839780491">
          <w:marLeft w:val="0"/>
          <w:marRight w:val="0"/>
          <w:marTop w:val="0"/>
          <w:marBottom w:val="0"/>
          <w:divBdr>
            <w:top w:val="none" w:sz="0" w:space="0" w:color="auto"/>
            <w:left w:val="none" w:sz="0" w:space="0" w:color="auto"/>
            <w:bottom w:val="none" w:sz="0" w:space="0" w:color="auto"/>
            <w:right w:val="none" w:sz="0" w:space="0" w:color="auto"/>
          </w:divBdr>
          <w:divsChild>
            <w:div w:id="179903444">
              <w:marLeft w:val="0"/>
              <w:marRight w:val="0"/>
              <w:marTop w:val="0"/>
              <w:marBottom w:val="0"/>
              <w:divBdr>
                <w:top w:val="none" w:sz="0" w:space="0" w:color="auto"/>
                <w:left w:val="none" w:sz="0" w:space="0" w:color="auto"/>
                <w:bottom w:val="none" w:sz="0" w:space="0" w:color="auto"/>
                <w:right w:val="none" w:sz="0" w:space="0" w:color="auto"/>
              </w:divBdr>
              <w:divsChild>
                <w:div w:id="138501197">
                  <w:marLeft w:val="0"/>
                  <w:marRight w:val="0"/>
                  <w:marTop w:val="0"/>
                  <w:marBottom w:val="0"/>
                  <w:divBdr>
                    <w:top w:val="none" w:sz="0" w:space="0" w:color="auto"/>
                    <w:left w:val="none" w:sz="0" w:space="0" w:color="auto"/>
                    <w:bottom w:val="none" w:sz="0" w:space="0" w:color="auto"/>
                    <w:right w:val="none" w:sz="0" w:space="0" w:color="auto"/>
                  </w:divBdr>
                  <w:divsChild>
                    <w:div w:id="8708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3770">
      <w:bodyDiv w:val="1"/>
      <w:marLeft w:val="0"/>
      <w:marRight w:val="0"/>
      <w:marTop w:val="0"/>
      <w:marBottom w:val="0"/>
      <w:divBdr>
        <w:top w:val="none" w:sz="0" w:space="0" w:color="auto"/>
        <w:left w:val="none" w:sz="0" w:space="0" w:color="auto"/>
        <w:bottom w:val="none" w:sz="0" w:space="0" w:color="auto"/>
        <w:right w:val="none" w:sz="0" w:space="0" w:color="auto"/>
      </w:divBdr>
    </w:div>
    <w:div w:id="1082801070">
      <w:bodyDiv w:val="1"/>
      <w:marLeft w:val="0"/>
      <w:marRight w:val="0"/>
      <w:marTop w:val="0"/>
      <w:marBottom w:val="0"/>
      <w:divBdr>
        <w:top w:val="none" w:sz="0" w:space="0" w:color="auto"/>
        <w:left w:val="none" w:sz="0" w:space="0" w:color="auto"/>
        <w:bottom w:val="none" w:sz="0" w:space="0" w:color="auto"/>
        <w:right w:val="none" w:sz="0" w:space="0" w:color="auto"/>
      </w:divBdr>
      <w:divsChild>
        <w:div w:id="844437033">
          <w:marLeft w:val="0"/>
          <w:marRight w:val="0"/>
          <w:marTop w:val="0"/>
          <w:marBottom w:val="0"/>
          <w:divBdr>
            <w:top w:val="none" w:sz="0" w:space="0" w:color="auto"/>
            <w:left w:val="none" w:sz="0" w:space="0" w:color="auto"/>
            <w:bottom w:val="none" w:sz="0" w:space="0" w:color="auto"/>
            <w:right w:val="none" w:sz="0" w:space="0" w:color="auto"/>
          </w:divBdr>
          <w:divsChild>
            <w:div w:id="44918516">
              <w:marLeft w:val="0"/>
              <w:marRight w:val="0"/>
              <w:marTop w:val="0"/>
              <w:marBottom w:val="0"/>
              <w:divBdr>
                <w:top w:val="none" w:sz="0" w:space="0" w:color="auto"/>
                <w:left w:val="none" w:sz="0" w:space="0" w:color="auto"/>
                <w:bottom w:val="none" w:sz="0" w:space="0" w:color="auto"/>
                <w:right w:val="none" w:sz="0" w:space="0" w:color="auto"/>
              </w:divBdr>
              <w:divsChild>
                <w:div w:id="185564108">
                  <w:marLeft w:val="0"/>
                  <w:marRight w:val="0"/>
                  <w:marTop w:val="0"/>
                  <w:marBottom w:val="0"/>
                  <w:divBdr>
                    <w:top w:val="none" w:sz="0" w:space="0" w:color="auto"/>
                    <w:left w:val="none" w:sz="0" w:space="0" w:color="auto"/>
                    <w:bottom w:val="none" w:sz="0" w:space="0" w:color="auto"/>
                    <w:right w:val="none" w:sz="0" w:space="0" w:color="auto"/>
                  </w:divBdr>
                  <w:divsChild>
                    <w:div w:id="151023844">
                      <w:marLeft w:val="0"/>
                      <w:marRight w:val="0"/>
                      <w:marTop w:val="0"/>
                      <w:marBottom w:val="0"/>
                      <w:divBdr>
                        <w:top w:val="none" w:sz="0" w:space="0" w:color="auto"/>
                        <w:left w:val="none" w:sz="0" w:space="0" w:color="auto"/>
                        <w:bottom w:val="none" w:sz="0" w:space="0" w:color="auto"/>
                        <w:right w:val="none" w:sz="0" w:space="0" w:color="auto"/>
                      </w:divBdr>
                    </w:div>
                    <w:div w:id="1182741658">
                      <w:marLeft w:val="0"/>
                      <w:marRight w:val="0"/>
                      <w:marTop w:val="0"/>
                      <w:marBottom w:val="0"/>
                      <w:divBdr>
                        <w:top w:val="none" w:sz="0" w:space="0" w:color="auto"/>
                        <w:left w:val="none" w:sz="0" w:space="0" w:color="auto"/>
                        <w:bottom w:val="none" w:sz="0" w:space="0" w:color="auto"/>
                        <w:right w:val="none" w:sz="0" w:space="0" w:color="auto"/>
                      </w:divBdr>
                    </w:div>
                  </w:divsChild>
                </w:div>
                <w:div w:id="784079619">
                  <w:marLeft w:val="0"/>
                  <w:marRight w:val="0"/>
                  <w:marTop w:val="0"/>
                  <w:marBottom w:val="0"/>
                  <w:divBdr>
                    <w:top w:val="none" w:sz="0" w:space="0" w:color="auto"/>
                    <w:left w:val="none" w:sz="0" w:space="0" w:color="auto"/>
                    <w:bottom w:val="none" w:sz="0" w:space="0" w:color="auto"/>
                    <w:right w:val="none" w:sz="0" w:space="0" w:color="auto"/>
                  </w:divBdr>
                  <w:divsChild>
                    <w:div w:id="1092121083">
                      <w:marLeft w:val="0"/>
                      <w:marRight w:val="0"/>
                      <w:marTop w:val="0"/>
                      <w:marBottom w:val="0"/>
                      <w:divBdr>
                        <w:top w:val="none" w:sz="0" w:space="0" w:color="auto"/>
                        <w:left w:val="none" w:sz="0" w:space="0" w:color="auto"/>
                        <w:bottom w:val="none" w:sz="0" w:space="0" w:color="auto"/>
                        <w:right w:val="none" w:sz="0" w:space="0" w:color="auto"/>
                      </w:divBdr>
                    </w:div>
                    <w:div w:id="1577742101">
                      <w:marLeft w:val="0"/>
                      <w:marRight w:val="0"/>
                      <w:marTop w:val="0"/>
                      <w:marBottom w:val="0"/>
                      <w:divBdr>
                        <w:top w:val="none" w:sz="0" w:space="0" w:color="auto"/>
                        <w:left w:val="none" w:sz="0" w:space="0" w:color="auto"/>
                        <w:bottom w:val="none" w:sz="0" w:space="0" w:color="auto"/>
                        <w:right w:val="none" w:sz="0" w:space="0" w:color="auto"/>
                      </w:divBdr>
                    </w:div>
                  </w:divsChild>
                </w:div>
                <w:div w:id="1474370492">
                  <w:marLeft w:val="0"/>
                  <w:marRight w:val="0"/>
                  <w:marTop w:val="0"/>
                  <w:marBottom w:val="0"/>
                  <w:divBdr>
                    <w:top w:val="none" w:sz="0" w:space="0" w:color="auto"/>
                    <w:left w:val="none" w:sz="0" w:space="0" w:color="auto"/>
                    <w:bottom w:val="none" w:sz="0" w:space="0" w:color="auto"/>
                    <w:right w:val="none" w:sz="0" w:space="0" w:color="auto"/>
                  </w:divBdr>
                  <w:divsChild>
                    <w:div w:id="1770616990">
                      <w:marLeft w:val="0"/>
                      <w:marRight w:val="0"/>
                      <w:marTop w:val="0"/>
                      <w:marBottom w:val="0"/>
                      <w:divBdr>
                        <w:top w:val="none" w:sz="0" w:space="0" w:color="auto"/>
                        <w:left w:val="none" w:sz="0" w:space="0" w:color="auto"/>
                        <w:bottom w:val="none" w:sz="0" w:space="0" w:color="auto"/>
                        <w:right w:val="none" w:sz="0" w:space="0" w:color="auto"/>
                      </w:divBdr>
                    </w:div>
                    <w:div w:id="20911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00591">
      <w:bodyDiv w:val="1"/>
      <w:marLeft w:val="0"/>
      <w:marRight w:val="0"/>
      <w:marTop w:val="0"/>
      <w:marBottom w:val="0"/>
      <w:divBdr>
        <w:top w:val="none" w:sz="0" w:space="0" w:color="auto"/>
        <w:left w:val="none" w:sz="0" w:space="0" w:color="auto"/>
        <w:bottom w:val="none" w:sz="0" w:space="0" w:color="auto"/>
        <w:right w:val="none" w:sz="0" w:space="0" w:color="auto"/>
      </w:divBdr>
    </w:div>
    <w:div w:id="1196847302">
      <w:bodyDiv w:val="1"/>
      <w:marLeft w:val="0"/>
      <w:marRight w:val="0"/>
      <w:marTop w:val="0"/>
      <w:marBottom w:val="0"/>
      <w:divBdr>
        <w:top w:val="none" w:sz="0" w:space="0" w:color="auto"/>
        <w:left w:val="none" w:sz="0" w:space="0" w:color="auto"/>
        <w:bottom w:val="none" w:sz="0" w:space="0" w:color="auto"/>
        <w:right w:val="none" w:sz="0" w:space="0" w:color="auto"/>
      </w:divBdr>
    </w:div>
    <w:div w:id="1215238989">
      <w:bodyDiv w:val="1"/>
      <w:marLeft w:val="0"/>
      <w:marRight w:val="0"/>
      <w:marTop w:val="0"/>
      <w:marBottom w:val="0"/>
      <w:divBdr>
        <w:top w:val="none" w:sz="0" w:space="0" w:color="auto"/>
        <w:left w:val="none" w:sz="0" w:space="0" w:color="auto"/>
        <w:bottom w:val="none" w:sz="0" w:space="0" w:color="auto"/>
        <w:right w:val="none" w:sz="0" w:space="0" w:color="auto"/>
      </w:divBdr>
    </w:div>
    <w:div w:id="1451702262">
      <w:bodyDiv w:val="1"/>
      <w:marLeft w:val="0"/>
      <w:marRight w:val="0"/>
      <w:marTop w:val="0"/>
      <w:marBottom w:val="0"/>
      <w:divBdr>
        <w:top w:val="none" w:sz="0" w:space="0" w:color="auto"/>
        <w:left w:val="none" w:sz="0" w:space="0" w:color="auto"/>
        <w:bottom w:val="none" w:sz="0" w:space="0" w:color="auto"/>
        <w:right w:val="none" w:sz="0" w:space="0" w:color="auto"/>
      </w:divBdr>
    </w:div>
    <w:div w:id="1490634911">
      <w:bodyDiv w:val="1"/>
      <w:marLeft w:val="0"/>
      <w:marRight w:val="0"/>
      <w:marTop w:val="0"/>
      <w:marBottom w:val="0"/>
      <w:divBdr>
        <w:top w:val="none" w:sz="0" w:space="0" w:color="auto"/>
        <w:left w:val="none" w:sz="0" w:space="0" w:color="auto"/>
        <w:bottom w:val="none" w:sz="0" w:space="0" w:color="auto"/>
        <w:right w:val="none" w:sz="0" w:space="0" w:color="auto"/>
      </w:divBdr>
    </w:div>
    <w:div w:id="1558780583">
      <w:bodyDiv w:val="1"/>
      <w:marLeft w:val="0"/>
      <w:marRight w:val="0"/>
      <w:marTop w:val="0"/>
      <w:marBottom w:val="0"/>
      <w:divBdr>
        <w:top w:val="none" w:sz="0" w:space="0" w:color="auto"/>
        <w:left w:val="none" w:sz="0" w:space="0" w:color="auto"/>
        <w:bottom w:val="none" w:sz="0" w:space="0" w:color="auto"/>
        <w:right w:val="none" w:sz="0" w:space="0" w:color="auto"/>
      </w:divBdr>
    </w:div>
    <w:div w:id="1572933882">
      <w:bodyDiv w:val="1"/>
      <w:marLeft w:val="0"/>
      <w:marRight w:val="0"/>
      <w:marTop w:val="0"/>
      <w:marBottom w:val="0"/>
      <w:divBdr>
        <w:top w:val="none" w:sz="0" w:space="0" w:color="auto"/>
        <w:left w:val="none" w:sz="0" w:space="0" w:color="auto"/>
        <w:bottom w:val="none" w:sz="0" w:space="0" w:color="auto"/>
        <w:right w:val="none" w:sz="0" w:space="0" w:color="auto"/>
      </w:divBdr>
    </w:div>
    <w:div w:id="1667786497">
      <w:bodyDiv w:val="1"/>
      <w:marLeft w:val="0"/>
      <w:marRight w:val="0"/>
      <w:marTop w:val="0"/>
      <w:marBottom w:val="0"/>
      <w:divBdr>
        <w:top w:val="none" w:sz="0" w:space="0" w:color="auto"/>
        <w:left w:val="none" w:sz="0" w:space="0" w:color="auto"/>
        <w:bottom w:val="none" w:sz="0" w:space="0" w:color="auto"/>
        <w:right w:val="none" w:sz="0" w:space="0" w:color="auto"/>
      </w:divBdr>
    </w:div>
    <w:div w:id="1898512853">
      <w:bodyDiv w:val="1"/>
      <w:marLeft w:val="0"/>
      <w:marRight w:val="0"/>
      <w:marTop w:val="0"/>
      <w:marBottom w:val="0"/>
      <w:divBdr>
        <w:top w:val="none" w:sz="0" w:space="0" w:color="auto"/>
        <w:left w:val="none" w:sz="0" w:space="0" w:color="auto"/>
        <w:bottom w:val="none" w:sz="0" w:space="0" w:color="auto"/>
        <w:right w:val="none" w:sz="0" w:space="0" w:color="auto"/>
      </w:divBdr>
    </w:div>
    <w:div w:id="1984195654">
      <w:bodyDiv w:val="1"/>
      <w:marLeft w:val="0"/>
      <w:marRight w:val="0"/>
      <w:marTop w:val="0"/>
      <w:marBottom w:val="0"/>
      <w:divBdr>
        <w:top w:val="none" w:sz="0" w:space="0" w:color="auto"/>
        <w:left w:val="none" w:sz="0" w:space="0" w:color="auto"/>
        <w:bottom w:val="none" w:sz="0" w:space="0" w:color="auto"/>
        <w:right w:val="none" w:sz="0" w:space="0" w:color="auto"/>
      </w:divBdr>
    </w:div>
    <w:div w:id="2022510486">
      <w:bodyDiv w:val="1"/>
      <w:marLeft w:val="0"/>
      <w:marRight w:val="0"/>
      <w:marTop w:val="0"/>
      <w:marBottom w:val="0"/>
      <w:divBdr>
        <w:top w:val="none" w:sz="0" w:space="0" w:color="auto"/>
        <w:left w:val="none" w:sz="0" w:space="0" w:color="auto"/>
        <w:bottom w:val="none" w:sz="0" w:space="0" w:color="auto"/>
        <w:right w:val="none" w:sz="0" w:space="0" w:color="auto"/>
      </w:divBdr>
    </w:div>
    <w:div w:id="2093239527">
      <w:bodyDiv w:val="1"/>
      <w:marLeft w:val="0"/>
      <w:marRight w:val="0"/>
      <w:marTop w:val="0"/>
      <w:marBottom w:val="0"/>
      <w:divBdr>
        <w:top w:val="none" w:sz="0" w:space="0" w:color="auto"/>
        <w:left w:val="none" w:sz="0" w:space="0" w:color="auto"/>
        <w:bottom w:val="none" w:sz="0" w:space="0" w:color="auto"/>
        <w:right w:val="none" w:sz="0" w:space="0" w:color="auto"/>
      </w:divBdr>
      <w:divsChild>
        <w:div w:id="1639994250">
          <w:marLeft w:val="0"/>
          <w:marRight w:val="0"/>
          <w:marTop w:val="0"/>
          <w:marBottom w:val="0"/>
          <w:divBdr>
            <w:top w:val="none" w:sz="0" w:space="0" w:color="auto"/>
            <w:left w:val="none" w:sz="0" w:space="0" w:color="auto"/>
            <w:bottom w:val="none" w:sz="0" w:space="0" w:color="auto"/>
            <w:right w:val="none" w:sz="0" w:space="0" w:color="auto"/>
          </w:divBdr>
          <w:divsChild>
            <w:div w:id="17439058">
              <w:marLeft w:val="0"/>
              <w:marRight w:val="0"/>
              <w:marTop w:val="0"/>
              <w:marBottom w:val="0"/>
              <w:divBdr>
                <w:top w:val="none" w:sz="0" w:space="0" w:color="auto"/>
                <w:left w:val="none" w:sz="0" w:space="0" w:color="auto"/>
                <w:bottom w:val="none" w:sz="0" w:space="0" w:color="auto"/>
                <w:right w:val="none" w:sz="0" w:space="0" w:color="auto"/>
              </w:divBdr>
              <w:divsChild>
                <w:div w:id="604656886">
                  <w:marLeft w:val="0"/>
                  <w:marRight w:val="0"/>
                  <w:marTop w:val="0"/>
                  <w:marBottom w:val="0"/>
                  <w:divBdr>
                    <w:top w:val="none" w:sz="0" w:space="0" w:color="auto"/>
                    <w:left w:val="none" w:sz="0" w:space="0" w:color="auto"/>
                    <w:bottom w:val="none" w:sz="0" w:space="0" w:color="auto"/>
                    <w:right w:val="none" w:sz="0" w:space="0" w:color="auto"/>
                  </w:divBdr>
                  <w:divsChild>
                    <w:div w:id="6511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12FAD-4BBB-403A-83D0-878B700B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5470</Words>
  <Characters>31180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Mary Bruce</cp:lastModifiedBy>
  <cp:revision>3</cp:revision>
  <cp:lastPrinted>2022-12-15T10:47:00Z</cp:lastPrinted>
  <dcterms:created xsi:type="dcterms:W3CDTF">2022-12-15T10:49:00Z</dcterms:created>
  <dcterms:modified xsi:type="dcterms:W3CDTF">2022-12-15T13:19:00Z</dcterms:modified>
</cp:coreProperties>
</file>