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F1B7" w14:textId="77777777" w:rsidR="00C65F78" w:rsidRPr="00A42455" w:rsidRDefault="00C47B49">
      <w:pPr>
        <w:spacing w:line="360" w:lineRule="auto"/>
        <w:jc w:val="center"/>
        <w:rPr>
          <w:rFonts w:ascii="Arial" w:eastAsia="Arial" w:hAnsi="Arial" w:cs="Arial"/>
          <w:lang w:val="en-ZA"/>
        </w:rPr>
      </w:pPr>
      <w:bookmarkStart w:id="0" w:name="_gjdgxs" w:colFirst="0" w:colLast="0"/>
      <w:bookmarkEnd w:id="0"/>
      <w:r w:rsidRPr="00A42455">
        <w:rPr>
          <w:rFonts w:ascii="Arial" w:eastAsia="Arial" w:hAnsi="Arial" w:cs="Arial"/>
          <w:noProof/>
          <w:lang w:eastAsia="en-US"/>
        </w:rPr>
        <w:drawing>
          <wp:inline distT="0" distB="0" distL="0" distR="0" wp14:anchorId="18B21DCC" wp14:editId="042DDC73">
            <wp:extent cx="994102" cy="9859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94102" cy="985953"/>
                    </a:xfrm>
                    <a:prstGeom prst="rect">
                      <a:avLst/>
                    </a:prstGeom>
                    <a:ln/>
                  </pic:spPr>
                </pic:pic>
              </a:graphicData>
            </a:graphic>
          </wp:inline>
        </w:drawing>
      </w:r>
    </w:p>
    <w:p w14:paraId="642CC648" w14:textId="77777777" w:rsidR="00C65F78" w:rsidRPr="00A42455" w:rsidRDefault="00C47B49">
      <w:pPr>
        <w:spacing w:line="360" w:lineRule="auto"/>
        <w:jc w:val="center"/>
        <w:rPr>
          <w:rFonts w:ascii="Arial" w:eastAsia="Arial" w:hAnsi="Arial" w:cs="Arial"/>
          <w:b/>
          <w:lang w:val="en-ZA"/>
        </w:rPr>
      </w:pPr>
      <w:r w:rsidRPr="00A42455">
        <w:rPr>
          <w:rFonts w:ascii="Arial" w:eastAsia="Arial" w:hAnsi="Arial" w:cs="Arial"/>
          <w:b/>
          <w:lang w:val="en-ZA"/>
        </w:rPr>
        <w:t>IN THE HIGH COURT OF SOUTH AFRICA</w:t>
      </w:r>
    </w:p>
    <w:p w14:paraId="24BF98F7" w14:textId="77777777" w:rsidR="00C65F78" w:rsidRPr="00A42455" w:rsidRDefault="00C47B49">
      <w:pPr>
        <w:spacing w:line="360" w:lineRule="auto"/>
        <w:jc w:val="center"/>
        <w:rPr>
          <w:rFonts w:ascii="Arial" w:eastAsia="Arial" w:hAnsi="Arial" w:cs="Arial"/>
          <w:b/>
          <w:lang w:val="en-ZA"/>
        </w:rPr>
      </w:pPr>
      <w:r w:rsidRPr="00A42455">
        <w:rPr>
          <w:rFonts w:ascii="Arial" w:eastAsia="Arial" w:hAnsi="Arial" w:cs="Arial"/>
          <w:b/>
          <w:lang w:val="en-ZA"/>
        </w:rPr>
        <w:t>KWAZULU-NATAL DIVISION, PIETERMARITZBURG</w:t>
      </w:r>
    </w:p>
    <w:p w14:paraId="655C0948" w14:textId="77777777" w:rsidR="00C65F78" w:rsidRPr="00A42455" w:rsidRDefault="00C65F78">
      <w:pPr>
        <w:spacing w:line="360" w:lineRule="auto"/>
        <w:jc w:val="both"/>
        <w:rPr>
          <w:rFonts w:ascii="Arial" w:eastAsia="Arial" w:hAnsi="Arial" w:cs="Arial"/>
          <w:b/>
          <w:lang w:val="en-ZA"/>
        </w:rPr>
      </w:pPr>
    </w:p>
    <w:p w14:paraId="16DCE8EC" w14:textId="4F1483B6" w:rsidR="00C65F78" w:rsidRPr="00A42455" w:rsidRDefault="00C47B49">
      <w:pPr>
        <w:spacing w:line="360" w:lineRule="auto"/>
        <w:jc w:val="right"/>
        <w:rPr>
          <w:rFonts w:ascii="Arial" w:eastAsia="Arial" w:hAnsi="Arial" w:cs="Arial"/>
          <w:b/>
          <w:lang w:val="en-ZA"/>
        </w:rPr>
      </w:pPr>
      <w:r w:rsidRPr="00A42455">
        <w:rPr>
          <w:rFonts w:ascii="Arial" w:eastAsia="Arial" w:hAnsi="Arial" w:cs="Arial"/>
          <w:b/>
          <w:lang w:val="en-ZA"/>
        </w:rPr>
        <w:t xml:space="preserve">CASE NUMBER: </w:t>
      </w:r>
      <w:r w:rsidR="00437235" w:rsidRPr="00A42455">
        <w:rPr>
          <w:rFonts w:ascii="Arial" w:eastAsia="Arial" w:hAnsi="Arial" w:cs="Arial"/>
          <w:b/>
          <w:lang w:val="en-ZA"/>
        </w:rPr>
        <w:t>6994/2022</w:t>
      </w:r>
      <w:r w:rsidRPr="00A42455">
        <w:rPr>
          <w:rFonts w:ascii="Arial" w:eastAsia="Arial" w:hAnsi="Arial" w:cs="Arial"/>
          <w:b/>
          <w:lang w:val="en-ZA"/>
        </w:rPr>
        <w:t>P</w:t>
      </w:r>
    </w:p>
    <w:p w14:paraId="33E07070" w14:textId="77777777" w:rsidR="00C65F78" w:rsidRPr="00A42455" w:rsidRDefault="00C65F78">
      <w:pPr>
        <w:spacing w:line="360" w:lineRule="auto"/>
        <w:jc w:val="both"/>
        <w:rPr>
          <w:rFonts w:ascii="Arial" w:eastAsia="Arial" w:hAnsi="Arial" w:cs="Arial"/>
          <w:lang w:val="en-ZA"/>
        </w:rPr>
      </w:pPr>
    </w:p>
    <w:p w14:paraId="44465633" w14:textId="77777777" w:rsidR="00C65F78" w:rsidRPr="00A42455" w:rsidRDefault="00C47B49">
      <w:pPr>
        <w:spacing w:line="360" w:lineRule="auto"/>
        <w:jc w:val="both"/>
        <w:rPr>
          <w:rFonts w:ascii="Arial" w:eastAsia="Arial" w:hAnsi="Arial" w:cs="Arial"/>
          <w:lang w:val="en-ZA"/>
        </w:rPr>
      </w:pPr>
      <w:r w:rsidRPr="00A42455">
        <w:rPr>
          <w:rFonts w:ascii="Arial" w:eastAsia="Arial" w:hAnsi="Arial" w:cs="Arial"/>
          <w:lang w:val="en-ZA"/>
        </w:rPr>
        <w:t>In the matter between:</w:t>
      </w:r>
    </w:p>
    <w:p w14:paraId="5965B060" w14:textId="77777777" w:rsidR="00C65F78" w:rsidRPr="00A42455" w:rsidRDefault="00C65F78">
      <w:pPr>
        <w:tabs>
          <w:tab w:val="right" w:pos="8789"/>
        </w:tabs>
        <w:spacing w:line="360" w:lineRule="auto"/>
        <w:jc w:val="both"/>
        <w:rPr>
          <w:rFonts w:ascii="Arial" w:eastAsia="Arial" w:hAnsi="Arial" w:cs="Arial"/>
          <w:b/>
          <w:lang w:val="en-ZA"/>
        </w:rPr>
      </w:pPr>
    </w:p>
    <w:p w14:paraId="2D2C4884" w14:textId="004C7AB2" w:rsidR="00C65F78" w:rsidRPr="00A42455" w:rsidRDefault="00437235">
      <w:pPr>
        <w:tabs>
          <w:tab w:val="right" w:pos="8789"/>
        </w:tabs>
        <w:spacing w:line="360" w:lineRule="auto"/>
        <w:jc w:val="both"/>
        <w:rPr>
          <w:rFonts w:ascii="Arial" w:eastAsia="Arial" w:hAnsi="Arial" w:cs="Arial"/>
          <w:b/>
          <w:lang w:val="en-ZA"/>
        </w:rPr>
      </w:pPr>
      <w:r w:rsidRPr="00A42455">
        <w:rPr>
          <w:rFonts w:ascii="Arial" w:eastAsia="Arial" w:hAnsi="Arial" w:cs="Arial"/>
          <w:b/>
          <w:lang w:val="en-ZA"/>
        </w:rPr>
        <w:t>AMY CLAIR KATE</w:t>
      </w:r>
      <w:r w:rsidR="00DB1C18">
        <w:rPr>
          <w:rFonts w:ascii="Arial" w:eastAsia="Arial" w:hAnsi="Arial" w:cs="Arial"/>
          <w:b/>
          <w:lang w:val="en-ZA"/>
        </w:rPr>
        <w:t xml:space="preserve"> FINDLATER</w:t>
      </w:r>
      <w:r w:rsidRPr="00A42455">
        <w:rPr>
          <w:rFonts w:ascii="Arial" w:eastAsia="Arial" w:hAnsi="Arial" w:cs="Arial"/>
          <w:b/>
          <w:lang w:val="en-ZA"/>
        </w:rPr>
        <w:t xml:space="preserve"> t/a FINDLATER ATTORNEYS</w:t>
      </w:r>
      <w:r w:rsidR="00C47B49" w:rsidRPr="00A42455">
        <w:rPr>
          <w:rFonts w:ascii="Arial" w:eastAsia="Arial" w:hAnsi="Arial" w:cs="Arial"/>
          <w:b/>
          <w:lang w:val="en-ZA"/>
        </w:rPr>
        <w:tab/>
        <w:t>APPLICANT</w:t>
      </w:r>
    </w:p>
    <w:p w14:paraId="16E6AA2D" w14:textId="77777777" w:rsidR="00C65F78" w:rsidRPr="00A42455" w:rsidRDefault="00C65F78">
      <w:pPr>
        <w:tabs>
          <w:tab w:val="right" w:pos="8789"/>
        </w:tabs>
        <w:spacing w:line="360" w:lineRule="auto"/>
        <w:jc w:val="both"/>
        <w:rPr>
          <w:rFonts w:ascii="Arial" w:eastAsia="Arial" w:hAnsi="Arial" w:cs="Arial"/>
          <w:b/>
          <w:lang w:val="en-ZA"/>
        </w:rPr>
      </w:pPr>
    </w:p>
    <w:p w14:paraId="2A1B38FF" w14:textId="77777777" w:rsidR="00C65F78" w:rsidRPr="00A42455" w:rsidRDefault="00C47B49">
      <w:pPr>
        <w:tabs>
          <w:tab w:val="right" w:pos="8789"/>
        </w:tabs>
        <w:spacing w:line="360" w:lineRule="auto"/>
        <w:jc w:val="both"/>
        <w:rPr>
          <w:rFonts w:ascii="Arial" w:eastAsia="Arial" w:hAnsi="Arial" w:cs="Arial"/>
          <w:lang w:val="en-ZA"/>
        </w:rPr>
      </w:pPr>
      <w:r w:rsidRPr="00A42455">
        <w:rPr>
          <w:rFonts w:ascii="Arial" w:eastAsia="Arial" w:hAnsi="Arial" w:cs="Arial"/>
          <w:lang w:val="en-ZA"/>
        </w:rPr>
        <w:t>and</w:t>
      </w:r>
    </w:p>
    <w:p w14:paraId="71664E66" w14:textId="77777777" w:rsidR="00C65F78" w:rsidRPr="00A42455" w:rsidRDefault="00C65F78">
      <w:pPr>
        <w:tabs>
          <w:tab w:val="right" w:pos="8789"/>
        </w:tabs>
        <w:spacing w:line="360" w:lineRule="auto"/>
        <w:jc w:val="both"/>
        <w:rPr>
          <w:rFonts w:ascii="Arial" w:eastAsia="Arial" w:hAnsi="Arial" w:cs="Arial"/>
          <w:b/>
          <w:lang w:val="en-ZA"/>
        </w:rPr>
      </w:pPr>
    </w:p>
    <w:p w14:paraId="7CDA8EFF" w14:textId="4E444780" w:rsidR="00C65F78" w:rsidRPr="00A42455" w:rsidRDefault="00437235">
      <w:pPr>
        <w:tabs>
          <w:tab w:val="right" w:pos="8789"/>
        </w:tabs>
        <w:spacing w:line="360" w:lineRule="auto"/>
        <w:jc w:val="both"/>
        <w:rPr>
          <w:rFonts w:ascii="Arial" w:eastAsia="Arial" w:hAnsi="Arial" w:cs="Arial"/>
          <w:b/>
          <w:lang w:val="en-ZA"/>
        </w:rPr>
      </w:pPr>
      <w:r w:rsidRPr="00A42455">
        <w:rPr>
          <w:rFonts w:ascii="Arial" w:eastAsia="Arial" w:hAnsi="Arial" w:cs="Arial"/>
          <w:b/>
          <w:lang w:val="en-ZA"/>
        </w:rPr>
        <w:t>M B MORTON ESTATES (PTY) LTD</w:t>
      </w:r>
      <w:r w:rsidR="00C47B49" w:rsidRPr="00A42455">
        <w:rPr>
          <w:rFonts w:ascii="Arial" w:eastAsia="Arial" w:hAnsi="Arial" w:cs="Arial"/>
          <w:b/>
          <w:lang w:val="en-ZA"/>
        </w:rPr>
        <w:tab/>
        <w:t>RESPONDENT</w:t>
      </w:r>
    </w:p>
    <w:p w14:paraId="2C77DBBC" w14:textId="6A9665A1" w:rsidR="00437235" w:rsidRPr="00A42455" w:rsidRDefault="00437235">
      <w:pPr>
        <w:tabs>
          <w:tab w:val="right" w:pos="8789"/>
        </w:tabs>
        <w:spacing w:line="360" w:lineRule="auto"/>
        <w:jc w:val="both"/>
        <w:rPr>
          <w:rFonts w:ascii="Arial" w:eastAsia="Arial" w:hAnsi="Arial" w:cs="Arial"/>
          <w:b/>
          <w:lang w:val="en-ZA"/>
        </w:rPr>
      </w:pPr>
      <w:r w:rsidRPr="00A42455">
        <w:rPr>
          <w:rFonts w:ascii="Arial" w:eastAsia="Arial" w:hAnsi="Arial" w:cs="Arial"/>
          <w:b/>
          <w:lang w:val="en-ZA"/>
        </w:rPr>
        <w:t>(Registration No: 1974/001038/07)</w:t>
      </w:r>
    </w:p>
    <w:p w14:paraId="6BF2C602" w14:textId="77777777" w:rsidR="00C65F78" w:rsidRPr="00A42455" w:rsidRDefault="00C65F78">
      <w:pPr>
        <w:pBdr>
          <w:bottom w:val="single" w:sz="12" w:space="1" w:color="000000"/>
        </w:pBdr>
        <w:tabs>
          <w:tab w:val="right" w:pos="8789"/>
        </w:tabs>
        <w:spacing w:line="360" w:lineRule="auto"/>
        <w:jc w:val="both"/>
        <w:rPr>
          <w:rFonts w:ascii="Arial" w:eastAsia="Arial" w:hAnsi="Arial" w:cs="Arial"/>
          <w:b/>
          <w:lang w:val="en-ZA"/>
        </w:rPr>
      </w:pPr>
    </w:p>
    <w:p w14:paraId="5BA33A54" w14:textId="77777777" w:rsidR="00C65F78" w:rsidRPr="00A42455" w:rsidRDefault="00C65F78">
      <w:pPr>
        <w:tabs>
          <w:tab w:val="right" w:pos="8789"/>
        </w:tabs>
        <w:jc w:val="both"/>
        <w:rPr>
          <w:rFonts w:ascii="Arial" w:eastAsia="Arial" w:hAnsi="Arial" w:cs="Arial"/>
          <w:b/>
          <w:lang w:val="en-ZA"/>
        </w:rPr>
      </w:pPr>
    </w:p>
    <w:p w14:paraId="20018F3F" w14:textId="77777777" w:rsidR="00C65F78" w:rsidRPr="00A42455" w:rsidRDefault="00C47B49">
      <w:pPr>
        <w:pBdr>
          <w:bottom w:val="single" w:sz="12" w:space="1" w:color="000000"/>
        </w:pBdr>
        <w:tabs>
          <w:tab w:val="right" w:pos="8789"/>
        </w:tabs>
        <w:jc w:val="center"/>
        <w:rPr>
          <w:rFonts w:ascii="Arial" w:eastAsia="Arial" w:hAnsi="Arial" w:cs="Arial"/>
          <w:b/>
          <w:lang w:val="en-ZA"/>
        </w:rPr>
      </w:pPr>
      <w:r w:rsidRPr="00A42455">
        <w:rPr>
          <w:rFonts w:ascii="Arial" w:eastAsia="Arial" w:hAnsi="Arial" w:cs="Arial"/>
          <w:b/>
          <w:lang w:val="en-ZA"/>
        </w:rPr>
        <w:t>ORDER</w:t>
      </w:r>
    </w:p>
    <w:p w14:paraId="76E1187C" w14:textId="216442EB" w:rsidR="00C65F78" w:rsidRPr="005C725E" w:rsidRDefault="005C725E">
      <w:pPr>
        <w:pBdr>
          <w:bottom w:val="single" w:sz="12" w:space="1" w:color="000000"/>
        </w:pBdr>
        <w:tabs>
          <w:tab w:val="right" w:pos="8789"/>
        </w:tabs>
        <w:jc w:val="center"/>
        <w:rPr>
          <w:rFonts w:ascii="Arial" w:eastAsia="Arial" w:hAnsi="Arial" w:cs="Arial"/>
          <w:b/>
          <w:sz w:val="16"/>
          <w:szCs w:val="16"/>
          <w:lang w:val="en-ZA"/>
        </w:rPr>
      </w:pPr>
      <w:r>
        <w:rPr>
          <w:rFonts w:ascii="Arial" w:eastAsia="Arial" w:hAnsi="Arial" w:cs="Arial"/>
          <w:b/>
          <w:lang w:val="en-ZA"/>
        </w:rPr>
        <w:t xml:space="preserve">                                                                               </w:t>
      </w:r>
      <w:r w:rsidRPr="005C725E">
        <w:rPr>
          <w:rFonts w:ascii="Arial" w:eastAsia="Arial" w:hAnsi="Arial" w:cs="Arial"/>
          <w:b/>
          <w:sz w:val="16"/>
          <w:szCs w:val="16"/>
          <w:lang w:val="en-ZA"/>
        </w:rPr>
        <w:t>Delivered on: 29 November 2022</w:t>
      </w:r>
    </w:p>
    <w:p w14:paraId="34753A85" w14:textId="77777777" w:rsidR="00C65F78" w:rsidRPr="00A42455" w:rsidRDefault="00C65F78">
      <w:pPr>
        <w:spacing w:line="360" w:lineRule="auto"/>
        <w:jc w:val="both"/>
        <w:rPr>
          <w:rFonts w:ascii="Arial" w:eastAsia="Arial" w:hAnsi="Arial" w:cs="Arial"/>
          <w:lang w:val="en-ZA"/>
        </w:rPr>
      </w:pPr>
    </w:p>
    <w:p w14:paraId="1052C255" w14:textId="77777777" w:rsidR="00C65F78" w:rsidRPr="00A42455" w:rsidRDefault="00C47B49">
      <w:pPr>
        <w:spacing w:line="360" w:lineRule="auto"/>
        <w:jc w:val="both"/>
        <w:rPr>
          <w:rFonts w:ascii="Arial" w:eastAsia="Arial" w:hAnsi="Arial" w:cs="Arial"/>
          <w:lang w:val="en-ZA"/>
        </w:rPr>
      </w:pPr>
      <w:r w:rsidRPr="00A42455">
        <w:rPr>
          <w:rFonts w:ascii="Arial" w:eastAsia="Arial" w:hAnsi="Arial" w:cs="Arial"/>
          <w:lang w:val="en-ZA"/>
        </w:rPr>
        <w:t>The following order shall issue:</w:t>
      </w:r>
    </w:p>
    <w:p w14:paraId="59D419F0" w14:textId="77777777" w:rsidR="00207E27" w:rsidRPr="00207E27" w:rsidRDefault="00207E27" w:rsidP="00207E27">
      <w:pPr>
        <w:spacing w:line="360" w:lineRule="auto"/>
        <w:jc w:val="both"/>
        <w:rPr>
          <w:rFonts w:ascii="Arial" w:eastAsia="Arial" w:hAnsi="Arial" w:cs="Arial"/>
          <w:lang w:val="en-ZA"/>
        </w:rPr>
      </w:pPr>
      <w:r w:rsidRPr="00207E27">
        <w:rPr>
          <w:rFonts w:ascii="Arial" w:eastAsia="Arial" w:hAnsi="Arial" w:cs="Arial"/>
          <w:color w:val="000000"/>
          <w:lang w:val="en-ZA"/>
        </w:rPr>
        <w:t>1.</w:t>
      </w:r>
      <w:r w:rsidRPr="00207E27">
        <w:rPr>
          <w:rFonts w:ascii="Arial" w:eastAsia="Arial" w:hAnsi="Arial" w:cs="Arial"/>
          <w:color w:val="000000"/>
          <w:lang w:val="en-ZA"/>
        </w:rPr>
        <w:tab/>
      </w:r>
      <w:r w:rsidRPr="00207E27">
        <w:rPr>
          <w:rFonts w:ascii="Arial" w:eastAsia="Arial" w:hAnsi="Arial" w:cs="Arial"/>
          <w:lang w:val="en-ZA"/>
        </w:rPr>
        <w:t>The review is upheld in respect of the following items:</w:t>
      </w:r>
    </w:p>
    <w:p w14:paraId="38F3DFCF" w14:textId="77777777" w:rsidR="00207E27" w:rsidRPr="00207E27" w:rsidRDefault="00207E27" w:rsidP="00207E27">
      <w:pPr>
        <w:spacing w:line="360" w:lineRule="auto"/>
        <w:ind w:left="720"/>
        <w:jc w:val="both"/>
        <w:rPr>
          <w:rFonts w:ascii="Arial" w:eastAsia="Arial" w:hAnsi="Arial" w:cs="Arial"/>
          <w:lang w:val="en-ZA"/>
        </w:rPr>
      </w:pPr>
      <w:r w:rsidRPr="00207E27">
        <w:rPr>
          <w:rFonts w:ascii="Arial" w:eastAsia="Arial" w:hAnsi="Arial" w:cs="Arial"/>
          <w:lang w:val="en-ZA"/>
        </w:rPr>
        <w:t>(a)</w:t>
      </w:r>
      <w:r w:rsidRPr="00207E27">
        <w:rPr>
          <w:rFonts w:ascii="Arial" w:eastAsia="Arial" w:hAnsi="Arial" w:cs="Arial"/>
          <w:lang w:val="en-ZA"/>
        </w:rPr>
        <w:tab/>
        <w:t>WhatsApp messages;</w:t>
      </w:r>
    </w:p>
    <w:p w14:paraId="7EDDD6F2" w14:textId="3ABCA928" w:rsidR="00207E27" w:rsidRPr="00207E27" w:rsidRDefault="00207E27" w:rsidP="00C77DA2">
      <w:pPr>
        <w:spacing w:line="360" w:lineRule="auto"/>
        <w:ind w:left="1440" w:hanging="720"/>
        <w:jc w:val="both"/>
        <w:rPr>
          <w:rFonts w:ascii="Arial" w:eastAsia="Arial" w:hAnsi="Arial" w:cs="Arial"/>
          <w:lang w:val="en-ZA"/>
        </w:rPr>
      </w:pPr>
      <w:r w:rsidRPr="00207E27">
        <w:rPr>
          <w:rFonts w:ascii="Arial" w:eastAsia="Arial" w:hAnsi="Arial" w:cs="Arial"/>
          <w:lang w:val="en-ZA"/>
        </w:rPr>
        <w:t>(b)</w:t>
      </w:r>
      <w:r w:rsidRPr="00207E27">
        <w:rPr>
          <w:rFonts w:ascii="Arial" w:eastAsia="Arial" w:hAnsi="Arial" w:cs="Arial"/>
          <w:lang w:val="en-ZA"/>
        </w:rPr>
        <w:tab/>
        <w:t>Travelling costs</w:t>
      </w:r>
      <w:r w:rsidR="00C77DA2">
        <w:rPr>
          <w:rFonts w:ascii="Arial" w:eastAsia="Arial" w:hAnsi="Arial" w:cs="Arial"/>
          <w:lang w:val="en-ZA"/>
        </w:rPr>
        <w:t xml:space="preserve"> </w:t>
      </w:r>
      <w:bookmarkStart w:id="1" w:name="_Hlk120535933"/>
      <w:r w:rsidR="00C77DA2">
        <w:rPr>
          <w:rFonts w:ascii="Arial" w:eastAsia="Arial" w:hAnsi="Arial" w:cs="Arial"/>
          <w:lang w:val="en-ZA"/>
        </w:rPr>
        <w:t>relating to item 67 in case number 7410/2019P and item 203 in case number 8527/2016P</w:t>
      </w:r>
      <w:r w:rsidR="009903D0">
        <w:rPr>
          <w:rFonts w:ascii="Arial" w:eastAsia="Arial" w:hAnsi="Arial" w:cs="Arial"/>
          <w:lang w:val="en-ZA"/>
        </w:rPr>
        <w:t>; and</w:t>
      </w:r>
      <w:bookmarkEnd w:id="1"/>
    </w:p>
    <w:p w14:paraId="1F8BFE72" w14:textId="77777777" w:rsidR="00207E27" w:rsidRPr="00207E27" w:rsidRDefault="00207E27" w:rsidP="00207E27">
      <w:pPr>
        <w:spacing w:line="360" w:lineRule="auto"/>
        <w:ind w:left="720"/>
        <w:jc w:val="both"/>
        <w:rPr>
          <w:rFonts w:ascii="Arial" w:eastAsia="Arial" w:hAnsi="Arial" w:cs="Arial"/>
          <w:lang w:val="en-ZA"/>
        </w:rPr>
      </w:pPr>
      <w:r w:rsidRPr="00207E27">
        <w:rPr>
          <w:rFonts w:ascii="Arial" w:eastAsia="Arial" w:hAnsi="Arial" w:cs="Arial"/>
          <w:lang w:val="en-ZA"/>
        </w:rPr>
        <w:t>(c)</w:t>
      </w:r>
      <w:r w:rsidRPr="00207E27">
        <w:rPr>
          <w:rFonts w:ascii="Arial" w:eastAsia="Arial" w:hAnsi="Arial" w:cs="Arial"/>
          <w:lang w:val="en-ZA"/>
        </w:rPr>
        <w:tab/>
        <w:t>Correspondent’s account.</w:t>
      </w:r>
    </w:p>
    <w:p w14:paraId="58AD310E" w14:textId="77777777" w:rsidR="00207E27" w:rsidRPr="00207E27" w:rsidRDefault="00207E27" w:rsidP="00207E27">
      <w:pPr>
        <w:spacing w:line="360" w:lineRule="auto"/>
        <w:jc w:val="both"/>
        <w:rPr>
          <w:rFonts w:ascii="Arial" w:eastAsia="Arial" w:hAnsi="Arial" w:cs="Arial"/>
          <w:lang w:val="en-ZA"/>
        </w:rPr>
      </w:pPr>
      <w:r w:rsidRPr="00207E27">
        <w:rPr>
          <w:rFonts w:ascii="Arial" w:eastAsia="Arial" w:hAnsi="Arial" w:cs="Arial"/>
          <w:lang w:val="en-ZA"/>
        </w:rPr>
        <w:t>2.</w:t>
      </w:r>
      <w:r w:rsidRPr="00207E27">
        <w:rPr>
          <w:rFonts w:ascii="Arial" w:eastAsia="Arial" w:hAnsi="Arial" w:cs="Arial"/>
          <w:lang w:val="en-ZA"/>
        </w:rPr>
        <w:tab/>
        <w:t>The taxing master (Pietermaritzburg) is directed to reconsider the above items in light of the findings and principles set out herein as well as any other information that the parties may wish to place before her.</w:t>
      </w:r>
    </w:p>
    <w:p w14:paraId="073FD788" w14:textId="77777777" w:rsidR="00207E27" w:rsidRPr="00207E27" w:rsidRDefault="00207E27" w:rsidP="00207E27">
      <w:pPr>
        <w:spacing w:line="360" w:lineRule="auto"/>
        <w:jc w:val="both"/>
        <w:rPr>
          <w:rFonts w:ascii="Arial" w:eastAsia="Arial" w:hAnsi="Arial" w:cs="Arial"/>
          <w:lang w:val="en-ZA"/>
        </w:rPr>
      </w:pPr>
      <w:r w:rsidRPr="00207E27">
        <w:rPr>
          <w:rFonts w:ascii="Arial" w:eastAsia="Arial" w:hAnsi="Arial" w:cs="Arial"/>
          <w:lang w:val="en-ZA"/>
        </w:rPr>
        <w:t>3.</w:t>
      </w:r>
      <w:r w:rsidRPr="00207E27">
        <w:rPr>
          <w:rFonts w:ascii="Arial" w:eastAsia="Arial" w:hAnsi="Arial" w:cs="Arial"/>
          <w:lang w:val="en-ZA"/>
        </w:rPr>
        <w:tab/>
        <w:t>The review fails in respect of the following items:</w:t>
      </w:r>
    </w:p>
    <w:p w14:paraId="373C3008" w14:textId="77777777" w:rsidR="00207E27" w:rsidRPr="00207E27" w:rsidRDefault="00207E27" w:rsidP="00207E27">
      <w:pPr>
        <w:spacing w:line="360" w:lineRule="auto"/>
        <w:ind w:left="720"/>
        <w:jc w:val="both"/>
        <w:rPr>
          <w:rFonts w:ascii="Arial" w:eastAsia="Arial" w:hAnsi="Arial" w:cs="Arial"/>
          <w:lang w:val="en-ZA"/>
        </w:rPr>
      </w:pPr>
      <w:r w:rsidRPr="00207E27">
        <w:rPr>
          <w:rFonts w:ascii="Arial" w:eastAsia="Arial" w:hAnsi="Arial" w:cs="Arial"/>
          <w:lang w:val="en-ZA"/>
        </w:rPr>
        <w:t>(a)</w:t>
      </w:r>
      <w:r w:rsidRPr="00207E27">
        <w:rPr>
          <w:rFonts w:ascii="Arial" w:eastAsia="Arial" w:hAnsi="Arial" w:cs="Arial"/>
          <w:lang w:val="en-ZA"/>
        </w:rPr>
        <w:tab/>
        <w:t>Value Added Tax (VAT);</w:t>
      </w:r>
    </w:p>
    <w:p w14:paraId="1B0B8284" w14:textId="77777777" w:rsidR="00207E27" w:rsidRPr="00207E27" w:rsidRDefault="00207E27" w:rsidP="00207E27">
      <w:pPr>
        <w:spacing w:line="360" w:lineRule="auto"/>
        <w:ind w:left="720"/>
        <w:jc w:val="both"/>
        <w:rPr>
          <w:rFonts w:ascii="Arial" w:eastAsia="Arial" w:hAnsi="Arial" w:cs="Arial"/>
          <w:lang w:val="en-ZA"/>
        </w:rPr>
      </w:pPr>
      <w:r w:rsidRPr="00207E27">
        <w:rPr>
          <w:rFonts w:ascii="Arial" w:eastAsia="Arial" w:hAnsi="Arial" w:cs="Arial"/>
          <w:lang w:val="en-ZA"/>
        </w:rPr>
        <w:t>(b)</w:t>
      </w:r>
      <w:r w:rsidRPr="00207E27">
        <w:rPr>
          <w:rFonts w:ascii="Arial" w:eastAsia="Arial" w:hAnsi="Arial" w:cs="Arial"/>
          <w:lang w:val="en-ZA"/>
        </w:rPr>
        <w:tab/>
        <w:t>Attendance at court;</w:t>
      </w:r>
    </w:p>
    <w:p w14:paraId="239AD31A" w14:textId="701207CF" w:rsidR="00207E27" w:rsidRPr="00207E27" w:rsidRDefault="00207E27" w:rsidP="00207E27">
      <w:pPr>
        <w:spacing w:line="360" w:lineRule="auto"/>
        <w:ind w:left="720"/>
        <w:jc w:val="both"/>
        <w:rPr>
          <w:rFonts w:ascii="Arial" w:eastAsia="Arial" w:hAnsi="Arial" w:cs="Arial"/>
          <w:lang w:val="en-ZA"/>
        </w:rPr>
      </w:pPr>
      <w:r w:rsidRPr="00207E27">
        <w:rPr>
          <w:rFonts w:ascii="Arial" w:eastAsia="Arial" w:hAnsi="Arial" w:cs="Arial"/>
          <w:lang w:val="en-ZA"/>
        </w:rPr>
        <w:t>(c)</w:t>
      </w:r>
      <w:r w:rsidRPr="00207E27">
        <w:rPr>
          <w:rFonts w:ascii="Arial" w:eastAsia="Arial" w:hAnsi="Arial" w:cs="Arial"/>
          <w:lang w:val="en-ZA"/>
        </w:rPr>
        <w:tab/>
        <w:t xml:space="preserve">Sheriff’s fees; </w:t>
      </w:r>
    </w:p>
    <w:p w14:paraId="05A15B6C" w14:textId="7EC2743A" w:rsidR="00207E27" w:rsidRDefault="00207E27" w:rsidP="00207E27">
      <w:pPr>
        <w:spacing w:line="360" w:lineRule="auto"/>
        <w:ind w:left="720"/>
        <w:jc w:val="both"/>
        <w:rPr>
          <w:rFonts w:ascii="Arial" w:eastAsia="Arial" w:hAnsi="Arial" w:cs="Arial"/>
          <w:lang w:val="en-ZA"/>
        </w:rPr>
      </w:pPr>
      <w:r w:rsidRPr="00207E27">
        <w:rPr>
          <w:rFonts w:ascii="Arial" w:eastAsia="Arial" w:hAnsi="Arial" w:cs="Arial"/>
          <w:lang w:val="en-ZA"/>
        </w:rPr>
        <w:t>(d)</w:t>
      </w:r>
      <w:r w:rsidRPr="00207E27">
        <w:rPr>
          <w:rFonts w:ascii="Arial" w:eastAsia="Arial" w:hAnsi="Arial" w:cs="Arial"/>
          <w:lang w:val="en-ZA"/>
        </w:rPr>
        <w:tab/>
        <w:t>Pound master’s fees</w:t>
      </w:r>
      <w:r w:rsidR="00BB68A3">
        <w:rPr>
          <w:rFonts w:ascii="Arial" w:eastAsia="Arial" w:hAnsi="Arial" w:cs="Arial"/>
          <w:lang w:val="en-ZA"/>
        </w:rPr>
        <w:t xml:space="preserve"> and</w:t>
      </w:r>
    </w:p>
    <w:p w14:paraId="35172F7A" w14:textId="023383BB" w:rsidR="0006737E" w:rsidRPr="00207E27" w:rsidRDefault="0006737E" w:rsidP="0006737E">
      <w:pPr>
        <w:spacing w:line="360" w:lineRule="auto"/>
        <w:ind w:left="1440" w:hanging="720"/>
        <w:jc w:val="both"/>
        <w:rPr>
          <w:rFonts w:ascii="Arial" w:eastAsia="Arial" w:hAnsi="Arial" w:cs="Arial"/>
          <w:lang w:val="en-ZA"/>
        </w:rPr>
      </w:pPr>
      <w:r>
        <w:rPr>
          <w:rFonts w:ascii="Arial" w:eastAsia="Arial" w:hAnsi="Arial" w:cs="Arial"/>
          <w:lang w:val="en-ZA"/>
        </w:rPr>
        <w:t>(e)</w:t>
      </w:r>
      <w:r>
        <w:rPr>
          <w:rFonts w:ascii="Arial" w:eastAsia="Arial" w:hAnsi="Arial" w:cs="Arial"/>
          <w:lang w:val="en-ZA"/>
        </w:rPr>
        <w:tab/>
        <w:t>The balance of the travelling costs under case numbers 7410/2019P and 8527/2016P.</w:t>
      </w:r>
    </w:p>
    <w:p w14:paraId="1A3D02F2" w14:textId="77777777" w:rsidR="00207E27" w:rsidRPr="00207E27" w:rsidRDefault="00207E27" w:rsidP="00207E27">
      <w:pPr>
        <w:pBdr>
          <w:top w:val="nil"/>
          <w:left w:val="nil"/>
          <w:bottom w:val="nil"/>
          <w:right w:val="nil"/>
          <w:between w:val="nil"/>
        </w:pBdr>
        <w:spacing w:line="360" w:lineRule="auto"/>
        <w:jc w:val="both"/>
        <w:rPr>
          <w:rFonts w:ascii="Arial" w:eastAsia="Arial" w:hAnsi="Arial" w:cs="Arial"/>
          <w:color w:val="000000"/>
          <w:lang w:val="en-ZA"/>
        </w:rPr>
      </w:pPr>
      <w:r w:rsidRPr="00207E27">
        <w:rPr>
          <w:rFonts w:ascii="Arial" w:eastAsia="Arial" w:hAnsi="Arial" w:cs="Arial"/>
          <w:lang w:val="en-ZA"/>
        </w:rPr>
        <w:t>4.</w:t>
      </w:r>
      <w:r w:rsidRPr="00207E27">
        <w:rPr>
          <w:rFonts w:ascii="Arial" w:eastAsia="Arial" w:hAnsi="Arial" w:cs="Arial"/>
          <w:lang w:val="en-ZA"/>
        </w:rPr>
        <w:tab/>
        <w:t>There shall be no order as to costs.</w:t>
      </w:r>
    </w:p>
    <w:p w14:paraId="6251D50C" w14:textId="77777777" w:rsidR="00C65F78" w:rsidRPr="00A42455" w:rsidRDefault="00C65F78">
      <w:pPr>
        <w:spacing w:line="360" w:lineRule="auto"/>
        <w:jc w:val="both"/>
        <w:rPr>
          <w:rFonts w:ascii="Arial" w:eastAsia="Arial" w:hAnsi="Arial" w:cs="Arial"/>
          <w:b/>
          <w:lang w:val="en-ZA"/>
        </w:rPr>
      </w:pPr>
    </w:p>
    <w:p w14:paraId="78671DE6" w14:textId="77777777" w:rsidR="00C65F78" w:rsidRPr="00A42455" w:rsidRDefault="00C65F78">
      <w:pPr>
        <w:pBdr>
          <w:top w:val="single" w:sz="12" w:space="1" w:color="000000"/>
          <w:bottom w:val="single" w:sz="12" w:space="1" w:color="000000"/>
        </w:pBdr>
        <w:jc w:val="center"/>
        <w:rPr>
          <w:rFonts w:ascii="Arial" w:eastAsia="Arial" w:hAnsi="Arial" w:cs="Arial"/>
          <w:b/>
          <w:lang w:val="en-ZA"/>
        </w:rPr>
      </w:pPr>
    </w:p>
    <w:p w14:paraId="26F2FA04" w14:textId="4F3225F4" w:rsidR="00C65F78" w:rsidRPr="00A42455" w:rsidRDefault="001373F9">
      <w:pPr>
        <w:pBdr>
          <w:top w:val="single" w:sz="12" w:space="1" w:color="000000"/>
          <w:bottom w:val="single" w:sz="12" w:space="1" w:color="000000"/>
        </w:pBdr>
        <w:jc w:val="center"/>
        <w:rPr>
          <w:rFonts w:ascii="Arial" w:eastAsia="Arial" w:hAnsi="Arial" w:cs="Arial"/>
          <w:b/>
          <w:lang w:val="en-ZA"/>
        </w:rPr>
      </w:pPr>
      <w:r w:rsidRPr="00A42455">
        <w:rPr>
          <w:rFonts w:ascii="Arial" w:eastAsia="Arial" w:hAnsi="Arial" w:cs="Arial"/>
          <w:b/>
          <w:lang w:val="en-ZA"/>
        </w:rPr>
        <w:t>REVIEW OF TAXATION</w:t>
      </w:r>
    </w:p>
    <w:p w14:paraId="526E2FDD" w14:textId="77777777" w:rsidR="00C65F78" w:rsidRPr="00A42455" w:rsidRDefault="00C65F78">
      <w:pPr>
        <w:pBdr>
          <w:top w:val="single" w:sz="12" w:space="1" w:color="000000"/>
          <w:bottom w:val="single" w:sz="12" w:space="1" w:color="000000"/>
        </w:pBdr>
        <w:spacing w:line="360" w:lineRule="auto"/>
        <w:jc w:val="center"/>
        <w:rPr>
          <w:rFonts w:ascii="Arial" w:eastAsia="Arial" w:hAnsi="Arial" w:cs="Arial"/>
          <w:b/>
          <w:lang w:val="en-ZA"/>
        </w:rPr>
      </w:pPr>
    </w:p>
    <w:p w14:paraId="682F04E7" w14:textId="77777777" w:rsidR="00C65F78" w:rsidRPr="00A42455" w:rsidRDefault="00C47B49">
      <w:pPr>
        <w:spacing w:line="360" w:lineRule="auto"/>
        <w:jc w:val="center"/>
        <w:rPr>
          <w:rFonts w:ascii="Arial" w:eastAsia="Arial" w:hAnsi="Arial" w:cs="Arial"/>
          <w:b/>
          <w:sz w:val="22"/>
          <w:szCs w:val="22"/>
          <w:lang w:val="en-ZA"/>
        </w:rPr>
      </w:pPr>
      <w:r w:rsidRPr="00A42455">
        <w:rPr>
          <w:rFonts w:ascii="Arial" w:eastAsia="Arial" w:hAnsi="Arial" w:cs="Arial"/>
          <w:b/>
          <w:sz w:val="22"/>
          <w:szCs w:val="22"/>
          <w:lang w:val="en-ZA"/>
        </w:rPr>
        <w:t xml:space="preserve"> </w:t>
      </w:r>
    </w:p>
    <w:p w14:paraId="6EDC0707" w14:textId="1D26E9B1" w:rsidR="00C65F78" w:rsidRPr="00A42455" w:rsidRDefault="00437235">
      <w:pPr>
        <w:spacing w:line="360" w:lineRule="auto"/>
        <w:jc w:val="both"/>
        <w:rPr>
          <w:rFonts w:ascii="Arial" w:eastAsia="Arial" w:hAnsi="Arial" w:cs="Arial"/>
          <w:b/>
          <w:lang w:val="en-ZA"/>
        </w:rPr>
      </w:pPr>
      <w:r w:rsidRPr="00A42455">
        <w:rPr>
          <w:rFonts w:ascii="Arial" w:eastAsia="Arial" w:hAnsi="Arial" w:cs="Arial"/>
          <w:b/>
          <w:lang w:val="en-ZA"/>
        </w:rPr>
        <w:t>Seegobin</w:t>
      </w:r>
      <w:r w:rsidR="00C47B49" w:rsidRPr="00A42455">
        <w:rPr>
          <w:rFonts w:ascii="Arial" w:eastAsia="Arial" w:hAnsi="Arial" w:cs="Arial"/>
          <w:b/>
          <w:lang w:val="en-ZA"/>
        </w:rPr>
        <w:t xml:space="preserve"> J:    </w:t>
      </w:r>
    </w:p>
    <w:p w14:paraId="0A069414" w14:textId="77777777" w:rsidR="00C65F78" w:rsidRPr="00A42455" w:rsidRDefault="00C65F78">
      <w:pPr>
        <w:spacing w:line="360" w:lineRule="auto"/>
        <w:jc w:val="both"/>
        <w:rPr>
          <w:rFonts w:ascii="Arial" w:eastAsia="Arial" w:hAnsi="Arial" w:cs="Arial"/>
          <w:lang w:val="en-ZA"/>
        </w:rPr>
      </w:pPr>
    </w:p>
    <w:p w14:paraId="396B728C" w14:textId="77777777" w:rsidR="00C65F78" w:rsidRPr="00A42455" w:rsidRDefault="00C47B49">
      <w:pPr>
        <w:spacing w:line="360" w:lineRule="auto"/>
        <w:jc w:val="both"/>
        <w:rPr>
          <w:rFonts w:ascii="Arial" w:eastAsia="Arial" w:hAnsi="Arial" w:cs="Arial"/>
          <w:b/>
          <w:bCs/>
          <w:lang w:val="en-ZA"/>
        </w:rPr>
      </w:pPr>
      <w:r w:rsidRPr="00A42455">
        <w:rPr>
          <w:rFonts w:ascii="Arial" w:eastAsia="Arial" w:hAnsi="Arial" w:cs="Arial"/>
          <w:b/>
          <w:bCs/>
          <w:lang w:val="en-ZA"/>
        </w:rPr>
        <w:t>Introduction</w:t>
      </w:r>
    </w:p>
    <w:p w14:paraId="084FE13E" w14:textId="5E063863" w:rsidR="00503308" w:rsidRPr="00A42455" w:rsidRDefault="00C47B49" w:rsidP="00437235">
      <w:pPr>
        <w:spacing w:line="360" w:lineRule="auto"/>
        <w:jc w:val="both"/>
        <w:rPr>
          <w:rFonts w:ascii="Arial" w:eastAsia="Arial" w:hAnsi="Arial" w:cs="Arial"/>
          <w:lang w:val="en-ZA"/>
        </w:rPr>
      </w:pPr>
      <w:r w:rsidRPr="00A42455">
        <w:rPr>
          <w:rFonts w:ascii="Arial" w:eastAsia="Arial" w:hAnsi="Arial" w:cs="Arial"/>
          <w:lang w:val="en-ZA"/>
        </w:rPr>
        <w:t>[1]</w:t>
      </w:r>
      <w:r w:rsidR="00437235" w:rsidRPr="00A42455">
        <w:rPr>
          <w:rFonts w:ascii="Arial" w:eastAsia="Arial" w:hAnsi="Arial" w:cs="Arial"/>
          <w:lang w:val="en-ZA"/>
        </w:rPr>
        <w:tab/>
      </w:r>
      <w:r w:rsidR="00503308" w:rsidRPr="00A42455">
        <w:rPr>
          <w:rFonts w:ascii="Arial" w:eastAsia="Arial" w:hAnsi="Arial" w:cs="Arial"/>
          <w:lang w:val="en-ZA"/>
        </w:rPr>
        <w:t xml:space="preserve">This is a review of two bills of cost that were taxed on the scale as between attorney and own client. The applicant is Amy Clair Kate </w:t>
      </w:r>
      <w:proofErr w:type="spellStart"/>
      <w:r w:rsidR="00503308" w:rsidRPr="00A42455">
        <w:rPr>
          <w:rFonts w:ascii="Arial" w:eastAsia="Arial" w:hAnsi="Arial" w:cs="Arial"/>
          <w:lang w:val="en-ZA"/>
        </w:rPr>
        <w:t>F</w:t>
      </w:r>
      <w:r w:rsidR="00906CBB" w:rsidRPr="00A42455">
        <w:rPr>
          <w:rFonts w:ascii="Arial" w:eastAsia="Arial" w:hAnsi="Arial" w:cs="Arial"/>
          <w:lang w:val="en-ZA"/>
        </w:rPr>
        <w:t>indlater</w:t>
      </w:r>
      <w:proofErr w:type="spellEnd"/>
      <w:r w:rsidR="00503308" w:rsidRPr="00A42455">
        <w:rPr>
          <w:rFonts w:ascii="Arial" w:eastAsia="Arial" w:hAnsi="Arial" w:cs="Arial"/>
          <w:lang w:val="en-ZA"/>
        </w:rPr>
        <w:t xml:space="preserve"> t/a </w:t>
      </w:r>
      <w:proofErr w:type="spellStart"/>
      <w:r w:rsidR="00503308" w:rsidRPr="00A42455">
        <w:rPr>
          <w:rFonts w:ascii="Arial" w:eastAsia="Arial" w:hAnsi="Arial" w:cs="Arial"/>
          <w:lang w:val="en-ZA"/>
        </w:rPr>
        <w:t>Findlater</w:t>
      </w:r>
      <w:proofErr w:type="spellEnd"/>
      <w:r w:rsidR="00503308" w:rsidRPr="00A42455">
        <w:rPr>
          <w:rFonts w:ascii="Arial" w:eastAsia="Arial" w:hAnsi="Arial" w:cs="Arial"/>
          <w:lang w:val="en-ZA"/>
        </w:rPr>
        <w:t xml:space="preserve"> Attorneys. The respondent is MB Morton Estate</w:t>
      </w:r>
      <w:r w:rsidR="00906CBB" w:rsidRPr="00A42455">
        <w:rPr>
          <w:rFonts w:ascii="Arial" w:eastAsia="Arial" w:hAnsi="Arial" w:cs="Arial"/>
          <w:lang w:val="en-ZA"/>
        </w:rPr>
        <w:t>s</w:t>
      </w:r>
      <w:r w:rsidR="00503308" w:rsidRPr="00A42455">
        <w:rPr>
          <w:rFonts w:ascii="Arial" w:eastAsia="Arial" w:hAnsi="Arial" w:cs="Arial"/>
          <w:lang w:val="en-ZA"/>
        </w:rPr>
        <w:t xml:space="preserve"> (Pty) Ltd which at all times material hereto was a client of the applicant.</w:t>
      </w:r>
    </w:p>
    <w:p w14:paraId="142B4555" w14:textId="77777777" w:rsidR="00503308" w:rsidRPr="00A42455" w:rsidRDefault="00503308" w:rsidP="00437235">
      <w:pPr>
        <w:spacing w:line="360" w:lineRule="auto"/>
        <w:jc w:val="both"/>
        <w:rPr>
          <w:rFonts w:ascii="Arial" w:eastAsia="Arial" w:hAnsi="Arial" w:cs="Arial"/>
          <w:lang w:val="en-ZA"/>
        </w:rPr>
      </w:pPr>
    </w:p>
    <w:p w14:paraId="518FF52F" w14:textId="5F02EF57" w:rsidR="00503308" w:rsidRPr="00A42455" w:rsidRDefault="00503308" w:rsidP="00437235">
      <w:pPr>
        <w:spacing w:line="360" w:lineRule="auto"/>
        <w:jc w:val="both"/>
        <w:rPr>
          <w:rFonts w:ascii="Arial" w:eastAsia="Arial" w:hAnsi="Arial" w:cs="Arial"/>
          <w:lang w:val="en-ZA"/>
        </w:rPr>
      </w:pPr>
      <w:r w:rsidRPr="00A42455">
        <w:rPr>
          <w:rFonts w:ascii="Arial" w:eastAsia="Arial" w:hAnsi="Arial" w:cs="Arial"/>
          <w:lang w:val="en-ZA"/>
        </w:rPr>
        <w:t>[2]</w:t>
      </w:r>
      <w:r w:rsidRPr="00A42455">
        <w:rPr>
          <w:rFonts w:ascii="Arial" w:eastAsia="Arial" w:hAnsi="Arial" w:cs="Arial"/>
          <w:lang w:val="en-ZA"/>
        </w:rPr>
        <w:tab/>
        <w:t xml:space="preserve">The bills of cost were taxed by the taxing master of the </w:t>
      </w:r>
      <w:r w:rsidR="007551F2" w:rsidRPr="00A42455">
        <w:rPr>
          <w:rFonts w:ascii="Arial" w:eastAsia="Arial" w:hAnsi="Arial" w:cs="Arial"/>
          <w:lang w:val="en-ZA"/>
        </w:rPr>
        <w:t xml:space="preserve">KwaZulu-Natal Division of the High Court, </w:t>
      </w:r>
      <w:r w:rsidRPr="00A42455">
        <w:rPr>
          <w:rFonts w:ascii="Arial" w:eastAsia="Arial" w:hAnsi="Arial" w:cs="Arial"/>
          <w:lang w:val="en-ZA"/>
        </w:rPr>
        <w:t>Pietermaritzburg on 23 May 2022. On 1 June 2022</w:t>
      </w:r>
      <w:r w:rsidR="001F1633" w:rsidRPr="00A42455">
        <w:rPr>
          <w:rFonts w:ascii="Arial" w:eastAsia="Arial" w:hAnsi="Arial" w:cs="Arial"/>
          <w:lang w:val="en-ZA"/>
        </w:rPr>
        <w:t>,</w:t>
      </w:r>
      <w:r w:rsidRPr="00A42455">
        <w:rPr>
          <w:rFonts w:ascii="Arial" w:eastAsia="Arial" w:hAnsi="Arial" w:cs="Arial"/>
          <w:lang w:val="en-ZA"/>
        </w:rPr>
        <w:t xml:space="preserve"> the applicant, aggrieved at the taxing master’s decision, invo</w:t>
      </w:r>
      <w:r w:rsidR="00906CBB" w:rsidRPr="00A42455">
        <w:rPr>
          <w:rFonts w:ascii="Arial" w:eastAsia="Arial" w:hAnsi="Arial" w:cs="Arial"/>
          <w:lang w:val="en-ZA"/>
        </w:rPr>
        <w:t>k</w:t>
      </w:r>
      <w:r w:rsidRPr="00A42455">
        <w:rPr>
          <w:rFonts w:ascii="Arial" w:eastAsia="Arial" w:hAnsi="Arial" w:cs="Arial"/>
          <w:lang w:val="en-ZA"/>
        </w:rPr>
        <w:t xml:space="preserve">ed the provisions of </w:t>
      </w:r>
      <w:r w:rsidR="00FB0695" w:rsidRPr="00A42455">
        <w:rPr>
          <w:rFonts w:ascii="Arial" w:eastAsia="Arial" w:hAnsi="Arial" w:cs="Arial"/>
          <w:lang w:val="en-ZA"/>
        </w:rPr>
        <w:t xml:space="preserve">Uniform rule </w:t>
      </w:r>
      <w:r w:rsidRPr="00A42455">
        <w:rPr>
          <w:rFonts w:ascii="Arial" w:eastAsia="Arial" w:hAnsi="Arial" w:cs="Arial"/>
          <w:lang w:val="en-ZA"/>
        </w:rPr>
        <w:t>48(1) by noting a review of the taxation. In response</w:t>
      </w:r>
      <w:r w:rsidR="00906CBB" w:rsidRPr="00A42455">
        <w:rPr>
          <w:rFonts w:ascii="Arial" w:eastAsia="Arial" w:hAnsi="Arial" w:cs="Arial"/>
          <w:lang w:val="en-ZA"/>
        </w:rPr>
        <w:t xml:space="preserve"> thereto</w:t>
      </w:r>
      <w:r w:rsidRPr="00A42455">
        <w:rPr>
          <w:rFonts w:ascii="Arial" w:eastAsia="Arial" w:hAnsi="Arial" w:cs="Arial"/>
          <w:lang w:val="en-ZA"/>
        </w:rPr>
        <w:t xml:space="preserve"> the taxing master filed her stated case on 20 July 2022.</w:t>
      </w:r>
    </w:p>
    <w:p w14:paraId="04045E58" w14:textId="77777777" w:rsidR="00503308" w:rsidRPr="00A42455" w:rsidRDefault="00503308" w:rsidP="00437235">
      <w:pPr>
        <w:spacing w:line="360" w:lineRule="auto"/>
        <w:jc w:val="both"/>
        <w:rPr>
          <w:rFonts w:ascii="Arial" w:eastAsia="Arial" w:hAnsi="Arial" w:cs="Arial"/>
          <w:lang w:val="en-ZA"/>
        </w:rPr>
      </w:pPr>
    </w:p>
    <w:p w14:paraId="015918AA" w14:textId="62C04FA6" w:rsidR="004D4896" w:rsidRPr="00A42455" w:rsidRDefault="00503308" w:rsidP="00437235">
      <w:pPr>
        <w:spacing w:line="360" w:lineRule="auto"/>
        <w:jc w:val="both"/>
        <w:rPr>
          <w:rFonts w:ascii="Arial" w:eastAsia="Arial" w:hAnsi="Arial" w:cs="Arial"/>
          <w:lang w:val="en-ZA"/>
        </w:rPr>
      </w:pPr>
      <w:r w:rsidRPr="00A42455">
        <w:rPr>
          <w:rFonts w:ascii="Arial" w:eastAsia="Arial" w:hAnsi="Arial" w:cs="Arial"/>
          <w:lang w:val="en-ZA"/>
        </w:rPr>
        <w:t>[3]</w:t>
      </w:r>
      <w:r w:rsidRPr="00A42455">
        <w:rPr>
          <w:rFonts w:ascii="Arial" w:eastAsia="Arial" w:hAnsi="Arial" w:cs="Arial"/>
          <w:lang w:val="en-ZA"/>
        </w:rPr>
        <w:tab/>
        <w:t xml:space="preserve">The taxed bills of cost concern two matters under case numbers 7410/2019P and 8527/2016P dealt with by the applicant on behalf </w:t>
      </w:r>
      <w:r w:rsidR="00DB1C18">
        <w:rPr>
          <w:rFonts w:ascii="Arial" w:eastAsia="Arial" w:hAnsi="Arial" w:cs="Arial"/>
          <w:lang w:val="en-ZA"/>
        </w:rPr>
        <w:t xml:space="preserve">of </w:t>
      </w:r>
      <w:r w:rsidRPr="00A42455">
        <w:rPr>
          <w:rFonts w:ascii="Arial" w:eastAsia="Arial" w:hAnsi="Arial" w:cs="Arial"/>
          <w:lang w:val="en-ZA"/>
        </w:rPr>
        <w:t xml:space="preserve">her client. The disputes surrounding the bill under case number 7410/2019 relate to (a) </w:t>
      </w:r>
      <w:r w:rsidR="004D4896" w:rsidRPr="00A42455">
        <w:rPr>
          <w:rFonts w:ascii="Arial" w:eastAsia="Arial" w:hAnsi="Arial" w:cs="Arial"/>
          <w:lang w:val="en-ZA"/>
        </w:rPr>
        <w:t>WhatsApp</w:t>
      </w:r>
      <w:r w:rsidRPr="00A42455">
        <w:rPr>
          <w:rFonts w:ascii="Arial" w:eastAsia="Arial" w:hAnsi="Arial" w:cs="Arial"/>
          <w:lang w:val="en-ZA"/>
        </w:rPr>
        <w:t xml:space="preserve"> messages, (b) applicant’s travel claim</w:t>
      </w:r>
      <w:r w:rsidR="00906CBB" w:rsidRPr="00A42455">
        <w:rPr>
          <w:rFonts w:ascii="Arial" w:eastAsia="Arial" w:hAnsi="Arial" w:cs="Arial"/>
          <w:lang w:val="en-ZA"/>
        </w:rPr>
        <w:t>,</w:t>
      </w:r>
      <w:r w:rsidRPr="00A42455">
        <w:rPr>
          <w:rFonts w:ascii="Arial" w:eastAsia="Arial" w:hAnsi="Arial" w:cs="Arial"/>
          <w:lang w:val="en-ZA"/>
        </w:rPr>
        <w:t xml:space="preserve"> and (c) value added tax (</w:t>
      </w:r>
      <w:r w:rsidR="00906CBB" w:rsidRPr="00A42455">
        <w:rPr>
          <w:rFonts w:ascii="Arial" w:eastAsia="Arial" w:hAnsi="Arial" w:cs="Arial"/>
          <w:lang w:val="en-ZA"/>
        </w:rPr>
        <w:t>VAT</w:t>
      </w:r>
      <w:r w:rsidRPr="00A42455">
        <w:rPr>
          <w:rFonts w:ascii="Arial" w:eastAsia="Arial" w:hAnsi="Arial" w:cs="Arial"/>
          <w:lang w:val="en-ZA"/>
        </w:rPr>
        <w:t xml:space="preserve">). Under case number 8527/2016P the disputes concern (a) </w:t>
      </w:r>
      <w:r w:rsidR="004D4896" w:rsidRPr="00A42455">
        <w:rPr>
          <w:rFonts w:ascii="Arial" w:eastAsia="Arial" w:hAnsi="Arial" w:cs="Arial"/>
          <w:lang w:val="en-ZA"/>
        </w:rPr>
        <w:t>WhatsApp</w:t>
      </w:r>
      <w:r w:rsidRPr="00A42455">
        <w:rPr>
          <w:rFonts w:ascii="Arial" w:eastAsia="Arial" w:hAnsi="Arial" w:cs="Arial"/>
          <w:lang w:val="en-ZA"/>
        </w:rPr>
        <w:t xml:space="preserve"> messages, (b) applicant’s travel claim, (c) </w:t>
      </w:r>
      <w:r w:rsidR="00A42455" w:rsidRPr="00A42455">
        <w:rPr>
          <w:rFonts w:ascii="Arial" w:eastAsia="Arial" w:hAnsi="Arial" w:cs="Arial"/>
          <w:lang w:val="en-ZA"/>
        </w:rPr>
        <w:t xml:space="preserve">sheriff’s </w:t>
      </w:r>
      <w:r w:rsidRPr="00A42455">
        <w:rPr>
          <w:rFonts w:ascii="Arial" w:eastAsia="Arial" w:hAnsi="Arial" w:cs="Arial"/>
          <w:lang w:val="en-ZA"/>
        </w:rPr>
        <w:t xml:space="preserve">fees, (d) applicant’s correspondent’s costs under item 138, (e) the </w:t>
      </w:r>
      <w:r w:rsidR="00A42455" w:rsidRPr="00A42455">
        <w:rPr>
          <w:rFonts w:ascii="Arial" w:eastAsia="Arial" w:hAnsi="Arial" w:cs="Arial"/>
          <w:lang w:val="en-ZA"/>
        </w:rPr>
        <w:t xml:space="preserve">pound master’s </w:t>
      </w:r>
      <w:r w:rsidRPr="00A42455">
        <w:rPr>
          <w:rFonts w:ascii="Arial" w:eastAsia="Arial" w:hAnsi="Arial" w:cs="Arial"/>
          <w:lang w:val="en-ZA"/>
        </w:rPr>
        <w:t>invoice under item 333</w:t>
      </w:r>
      <w:r w:rsidR="00A42455" w:rsidRPr="00A42455">
        <w:rPr>
          <w:rFonts w:ascii="Arial" w:eastAsia="Arial" w:hAnsi="Arial" w:cs="Arial"/>
          <w:lang w:val="en-ZA"/>
        </w:rPr>
        <w:t>,</w:t>
      </w:r>
      <w:r w:rsidRPr="00A42455">
        <w:rPr>
          <w:rFonts w:ascii="Arial" w:eastAsia="Arial" w:hAnsi="Arial" w:cs="Arial"/>
          <w:lang w:val="en-ZA"/>
        </w:rPr>
        <w:t xml:space="preserve"> and (f) </w:t>
      </w:r>
      <w:r w:rsidR="00906CBB" w:rsidRPr="00A42455">
        <w:rPr>
          <w:rFonts w:ascii="Arial" w:eastAsia="Arial" w:hAnsi="Arial" w:cs="Arial"/>
          <w:lang w:val="en-ZA"/>
        </w:rPr>
        <w:t>VAT</w:t>
      </w:r>
      <w:r w:rsidR="004D4896" w:rsidRPr="00A42455">
        <w:rPr>
          <w:rFonts w:ascii="Arial" w:eastAsia="Arial" w:hAnsi="Arial" w:cs="Arial"/>
          <w:lang w:val="en-ZA"/>
        </w:rPr>
        <w:t>.</w:t>
      </w:r>
    </w:p>
    <w:p w14:paraId="7DFAEBE0" w14:textId="77777777" w:rsidR="009A767F" w:rsidRPr="00A42455" w:rsidRDefault="009A767F" w:rsidP="009A767F">
      <w:pPr>
        <w:spacing w:line="360" w:lineRule="auto"/>
        <w:jc w:val="both"/>
        <w:rPr>
          <w:rFonts w:ascii="Arial" w:eastAsia="Arial" w:hAnsi="Arial" w:cs="Arial"/>
          <w:lang w:val="en-ZA"/>
        </w:rPr>
      </w:pPr>
    </w:p>
    <w:p w14:paraId="1E37F30D" w14:textId="77777777" w:rsidR="009A767F" w:rsidRPr="00A42455" w:rsidRDefault="009A767F" w:rsidP="009A767F">
      <w:pPr>
        <w:spacing w:line="360" w:lineRule="auto"/>
        <w:jc w:val="both"/>
        <w:rPr>
          <w:rFonts w:ascii="Arial" w:eastAsia="Arial" w:hAnsi="Arial" w:cs="Arial"/>
          <w:b/>
          <w:lang w:val="en-ZA"/>
        </w:rPr>
      </w:pPr>
      <w:r w:rsidRPr="00A42455">
        <w:rPr>
          <w:rFonts w:ascii="Arial" w:eastAsia="Arial" w:hAnsi="Arial" w:cs="Arial"/>
          <w:b/>
          <w:lang w:val="en-ZA"/>
        </w:rPr>
        <w:t>Legal principle governing the taxation of attorney and own client costs</w:t>
      </w:r>
    </w:p>
    <w:p w14:paraId="27A6AB39" w14:textId="06E0AA12" w:rsidR="004D4896" w:rsidRPr="00A42455" w:rsidRDefault="004D4896" w:rsidP="00437235">
      <w:pPr>
        <w:spacing w:line="360" w:lineRule="auto"/>
        <w:jc w:val="both"/>
        <w:rPr>
          <w:rFonts w:ascii="Arial" w:eastAsia="Arial" w:hAnsi="Arial" w:cs="Arial"/>
          <w:lang w:val="en-ZA"/>
        </w:rPr>
      </w:pPr>
      <w:r w:rsidRPr="00A42455">
        <w:rPr>
          <w:rFonts w:ascii="Arial" w:eastAsia="Arial" w:hAnsi="Arial" w:cs="Arial"/>
          <w:lang w:val="en-ZA"/>
        </w:rPr>
        <w:t>[4]</w:t>
      </w:r>
      <w:r w:rsidRPr="00A42455">
        <w:rPr>
          <w:rFonts w:ascii="Arial" w:eastAsia="Arial" w:hAnsi="Arial" w:cs="Arial"/>
          <w:lang w:val="en-ZA"/>
        </w:rPr>
        <w:tab/>
        <w:t xml:space="preserve">The applicant </w:t>
      </w:r>
      <w:r w:rsidR="00906CBB" w:rsidRPr="00A42455">
        <w:rPr>
          <w:rFonts w:ascii="Arial" w:eastAsia="Arial" w:hAnsi="Arial" w:cs="Arial"/>
          <w:lang w:val="en-ZA"/>
        </w:rPr>
        <w:t>contends</w:t>
      </w:r>
      <w:r w:rsidRPr="00A42455">
        <w:rPr>
          <w:rFonts w:ascii="Arial" w:eastAsia="Arial" w:hAnsi="Arial" w:cs="Arial"/>
          <w:lang w:val="en-ZA"/>
        </w:rPr>
        <w:t xml:space="preserve"> that the bills were drawn in accordance with </w:t>
      </w:r>
      <w:r w:rsidR="00207E27">
        <w:rPr>
          <w:rFonts w:ascii="Arial" w:eastAsia="Arial" w:hAnsi="Arial" w:cs="Arial"/>
          <w:lang w:val="en-ZA"/>
        </w:rPr>
        <w:t xml:space="preserve">a </w:t>
      </w:r>
      <w:r w:rsidRPr="00A42455">
        <w:rPr>
          <w:rFonts w:ascii="Arial" w:eastAsia="Arial" w:hAnsi="Arial" w:cs="Arial"/>
          <w:lang w:val="en-ZA"/>
        </w:rPr>
        <w:t xml:space="preserve">written mandate signed by her client. The taxing master on the other hand has averred that no such mandate was presented to her when the taxations were being finalized. The applicant </w:t>
      </w:r>
      <w:r w:rsidR="00906CBB" w:rsidRPr="00A42455">
        <w:rPr>
          <w:rFonts w:ascii="Arial" w:eastAsia="Arial" w:hAnsi="Arial" w:cs="Arial"/>
          <w:lang w:val="en-ZA"/>
        </w:rPr>
        <w:t>states</w:t>
      </w:r>
      <w:r w:rsidRPr="00A42455">
        <w:rPr>
          <w:rFonts w:ascii="Arial" w:eastAsia="Arial" w:hAnsi="Arial" w:cs="Arial"/>
          <w:lang w:val="en-ZA"/>
        </w:rPr>
        <w:t xml:space="preserve"> that she is unsure why the written mandate was not presented to the taxing master</w:t>
      </w:r>
      <w:r w:rsidR="00DB1C18">
        <w:rPr>
          <w:rFonts w:ascii="Arial" w:eastAsia="Arial" w:hAnsi="Arial" w:cs="Arial"/>
          <w:lang w:val="en-ZA"/>
        </w:rPr>
        <w:t>,</w:t>
      </w:r>
      <w:r w:rsidRPr="00A42455">
        <w:rPr>
          <w:rFonts w:ascii="Arial" w:eastAsia="Arial" w:hAnsi="Arial" w:cs="Arial"/>
          <w:lang w:val="en-ZA"/>
        </w:rPr>
        <w:t xml:space="preserve"> </w:t>
      </w:r>
      <w:r w:rsidR="00906CBB" w:rsidRPr="00A42455">
        <w:rPr>
          <w:rFonts w:ascii="Arial" w:eastAsia="Arial" w:hAnsi="Arial" w:cs="Arial"/>
          <w:lang w:val="en-ZA"/>
        </w:rPr>
        <w:t>despite her engaging</w:t>
      </w:r>
      <w:r w:rsidRPr="00A42455">
        <w:rPr>
          <w:rFonts w:ascii="Arial" w:eastAsia="Arial" w:hAnsi="Arial" w:cs="Arial"/>
          <w:lang w:val="en-ZA"/>
        </w:rPr>
        <w:t xml:space="preserve"> the services of a </w:t>
      </w:r>
      <w:r w:rsidR="00A42455">
        <w:rPr>
          <w:rFonts w:ascii="Arial" w:eastAsia="Arial" w:hAnsi="Arial" w:cs="Arial"/>
          <w:lang w:val="en-ZA"/>
        </w:rPr>
        <w:t>cost</w:t>
      </w:r>
      <w:r w:rsidR="00A42455" w:rsidRPr="00A42455">
        <w:rPr>
          <w:rFonts w:ascii="Arial" w:eastAsia="Arial" w:hAnsi="Arial" w:cs="Arial"/>
          <w:lang w:val="en-ZA"/>
        </w:rPr>
        <w:t xml:space="preserve"> </w:t>
      </w:r>
      <w:r w:rsidRPr="00A42455">
        <w:rPr>
          <w:rFonts w:ascii="Arial" w:eastAsia="Arial" w:hAnsi="Arial" w:cs="Arial"/>
          <w:lang w:val="en-ZA"/>
        </w:rPr>
        <w:t xml:space="preserve">consultant to assist in the taxation process. </w:t>
      </w:r>
    </w:p>
    <w:p w14:paraId="5DE6910D" w14:textId="77777777" w:rsidR="004D4896" w:rsidRPr="00A42455" w:rsidRDefault="004D4896" w:rsidP="00437235">
      <w:pPr>
        <w:spacing w:line="360" w:lineRule="auto"/>
        <w:jc w:val="both"/>
        <w:rPr>
          <w:rFonts w:ascii="Arial" w:eastAsia="Arial" w:hAnsi="Arial" w:cs="Arial"/>
          <w:lang w:val="en-ZA"/>
        </w:rPr>
      </w:pPr>
    </w:p>
    <w:p w14:paraId="7FE0E91B" w14:textId="67992D47" w:rsidR="000F4F29" w:rsidRPr="00A42455" w:rsidRDefault="004D4896" w:rsidP="00207E27">
      <w:pPr>
        <w:spacing w:line="360" w:lineRule="auto"/>
        <w:jc w:val="both"/>
        <w:rPr>
          <w:rFonts w:ascii="Arial" w:eastAsia="Arial" w:hAnsi="Arial" w:cs="Arial"/>
          <w:lang w:val="en-ZA"/>
        </w:rPr>
      </w:pPr>
      <w:r w:rsidRPr="00A42455">
        <w:rPr>
          <w:rFonts w:ascii="Arial" w:eastAsia="Arial" w:hAnsi="Arial" w:cs="Arial"/>
          <w:lang w:val="en-ZA"/>
        </w:rPr>
        <w:t>[5]</w:t>
      </w:r>
      <w:r w:rsidRPr="00A42455">
        <w:rPr>
          <w:rFonts w:ascii="Arial" w:eastAsia="Arial" w:hAnsi="Arial" w:cs="Arial"/>
          <w:lang w:val="en-ZA"/>
        </w:rPr>
        <w:tab/>
        <w:t>It is apposite at this juncture to set out the legal principles that govern the taxation of attorney and own client bills</w:t>
      </w:r>
      <w:r w:rsidR="00EA5058" w:rsidRPr="00A42455">
        <w:rPr>
          <w:rFonts w:ascii="Arial" w:eastAsia="Arial" w:hAnsi="Arial" w:cs="Arial"/>
          <w:lang w:val="en-ZA"/>
        </w:rPr>
        <w:t xml:space="preserve">. </w:t>
      </w:r>
      <w:r w:rsidR="000F4F29" w:rsidRPr="00A42455">
        <w:rPr>
          <w:rFonts w:ascii="Arial" w:eastAsia="Arial" w:hAnsi="Arial" w:cs="Arial"/>
          <w:i/>
          <w:iCs/>
          <w:lang w:val="en-ZA"/>
        </w:rPr>
        <w:t>Ben McDonald Inc and another v Rudolph</w:t>
      </w:r>
      <w:r w:rsidR="000F4F29" w:rsidRPr="00A42455">
        <w:rPr>
          <w:rFonts w:ascii="Arial" w:eastAsia="Arial" w:hAnsi="Arial" w:cs="Arial"/>
          <w:lang w:val="en-ZA"/>
        </w:rPr>
        <w:t xml:space="preserve"> </w:t>
      </w:r>
      <w:r w:rsidR="000F4F29" w:rsidRPr="00A42455">
        <w:rPr>
          <w:rFonts w:ascii="Arial" w:eastAsia="Arial" w:hAnsi="Arial" w:cs="Arial"/>
          <w:i/>
          <w:lang w:val="en-ZA"/>
        </w:rPr>
        <w:t>and another</w:t>
      </w:r>
      <w:r w:rsidR="002349A4" w:rsidRPr="00A42455">
        <w:rPr>
          <w:rFonts w:ascii="Arial" w:eastAsia="Arial" w:hAnsi="Arial" w:cs="Arial"/>
          <w:lang w:val="en-ZA"/>
        </w:rPr>
        <w:t xml:space="preserve"> </w:t>
      </w:r>
      <w:r w:rsidR="00207E27">
        <w:rPr>
          <w:rFonts w:ascii="Arial" w:eastAsia="Arial" w:hAnsi="Arial" w:cs="Arial"/>
          <w:lang w:val="en-ZA"/>
        </w:rPr>
        <w:t>set out the following principles</w:t>
      </w:r>
      <w:r w:rsidR="002349A4" w:rsidRPr="00A42455">
        <w:rPr>
          <w:rFonts w:ascii="Arial" w:eastAsia="Arial" w:hAnsi="Arial" w:cs="Arial"/>
          <w:lang w:val="en-ZA"/>
        </w:rPr>
        <w:t>:</w:t>
      </w:r>
    </w:p>
    <w:p w14:paraId="3998AB22" w14:textId="13348A35" w:rsidR="00C368AB" w:rsidRPr="00C368AB" w:rsidRDefault="00CF0F4F" w:rsidP="00C368AB">
      <w:pPr>
        <w:spacing w:line="360" w:lineRule="auto"/>
        <w:contextualSpacing/>
        <w:jc w:val="both"/>
        <w:rPr>
          <w:rFonts w:ascii="Arial" w:hAnsi="Arial" w:cs="Arial"/>
          <w:sz w:val="22"/>
          <w:szCs w:val="22"/>
        </w:rPr>
      </w:pPr>
      <w:r w:rsidRPr="00A42455">
        <w:rPr>
          <w:rFonts w:ascii="Arial" w:hAnsi="Arial" w:cs="Arial"/>
          <w:sz w:val="22"/>
          <w:szCs w:val="22"/>
          <w:lang w:val="en-ZA"/>
        </w:rPr>
        <w:t>‘</w:t>
      </w:r>
      <w:r w:rsidR="00C368AB" w:rsidRPr="00C368AB">
        <w:rPr>
          <w:rFonts w:ascii="Arial" w:hAnsi="Arial" w:cs="Arial"/>
          <w:sz w:val="22"/>
          <w:szCs w:val="22"/>
        </w:rPr>
        <w:t>Attorney and own client costs, whether in the sense of 2.1 above or where they are to be paid by the losing party to the successful party, means all costs incurred except where unreasonable. Agreed items or amounts are presumed to be reasonable. . . This presumption of reasonableness cannot be irrebuttable as this would open the door to clients agreeing to exorbitant fees with attorneys or counsel in the knowledge that the opponent will foot the bill</w:t>
      </w:r>
      <w:proofErr w:type="gramStart"/>
      <w:r w:rsidR="00C368AB" w:rsidRPr="00C368AB">
        <w:rPr>
          <w:rFonts w:ascii="Arial" w:hAnsi="Arial" w:cs="Arial"/>
          <w:sz w:val="22"/>
          <w:szCs w:val="22"/>
        </w:rPr>
        <w:t>. . . .</w:t>
      </w:r>
      <w:proofErr w:type="gramEnd"/>
      <w:r w:rsidR="00C368AB" w:rsidRPr="00C368AB">
        <w:rPr>
          <w:rFonts w:ascii="Arial" w:hAnsi="Arial" w:cs="Arial"/>
          <w:sz w:val="22"/>
          <w:szCs w:val="22"/>
        </w:rPr>
        <w:t xml:space="preserve"> It follows that even when faced with a written agreement between attorney and client as to the work to be done or the fees to be charged therefor the Taxing Master is still empowered to enquire into the reasonableness of such agreement.</w:t>
      </w:r>
    </w:p>
    <w:p w14:paraId="30EA09D9" w14:textId="77777777" w:rsidR="00C368AB" w:rsidRPr="00C368AB" w:rsidRDefault="00C368AB" w:rsidP="00C368AB">
      <w:pPr>
        <w:spacing w:line="360" w:lineRule="auto"/>
        <w:contextualSpacing/>
        <w:jc w:val="both"/>
        <w:rPr>
          <w:rFonts w:ascii="Arial" w:hAnsi="Arial" w:cs="Arial"/>
          <w:sz w:val="22"/>
          <w:szCs w:val="22"/>
        </w:rPr>
      </w:pPr>
      <w:r w:rsidRPr="00C368AB">
        <w:rPr>
          <w:rFonts w:ascii="Arial" w:hAnsi="Arial" w:cs="Arial"/>
          <w:sz w:val="22"/>
          <w:szCs w:val="22"/>
        </w:rPr>
        <w:t xml:space="preserve">The principles set out above have to be applied to the facts of this review. I </w:t>
      </w:r>
      <w:proofErr w:type="spellStart"/>
      <w:r w:rsidRPr="00C368AB">
        <w:rPr>
          <w:rFonts w:ascii="Arial" w:hAnsi="Arial" w:cs="Arial"/>
          <w:sz w:val="22"/>
          <w:szCs w:val="22"/>
        </w:rPr>
        <w:t>emphasise</w:t>
      </w:r>
      <w:proofErr w:type="spellEnd"/>
      <w:r w:rsidRPr="00C368AB">
        <w:rPr>
          <w:rFonts w:ascii="Arial" w:hAnsi="Arial" w:cs="Arial"/>
          <w:sz w:val="22"/>
          <w:szCs w:val="22"/>
        </w:rPr>
        <w:t xml:space="preserve"> that there is no evidence or suggestion of improper conduct on the part of the attorney concerned.</w:t>
      </w:r>
    </w:p>
    <w:p w14:paraId="06B603FF" w14:textId="1D88A326" w:rsidR="000F4F29" w:rsidRPr="00A42455" w:rsidRDefault="00C368AB" w:rsidP="00C368AB">
      <w:pPr>
        <w:spacing w:line="360" w:lineRule="auto"/>
        <w:contextualSpacing/>
        <w:jc w:val="both"/>
        <w:rPr>
          <w:rFonts w:ascii="Arial" w:hAnsi="Arial" w:cs="Arial"/>
          <w:lang w:val="en-ZA"/>
        </w:rPr>
      </w:pPr>
      <w:r w:rsidRPr="00C368AB">
        <w:rPr>
          <w:rFonts w:ascii="Arial" w:hAnsi="Arial" w:cs="Arial"/>
          <w:sz w:val="22"/>
          <w:szCs w:val="22"/>
        </w:rPr>
        <w:t>The Taxing Master was obliged to have regard to the terms of the mandate but was entitled to determine whether it exceeded the bounds of reasonableness. This she did. I cannot fault her conclusion</w:t>
      </w:r>
      <w:r w:rsidR="000F4F29" w:rsidRPr="00A42455">
        <w:rPr>
          <w:rFonts w:ascii="Arial" w:hAnsi="Arial" w:cs="Arial"/>
          <w:lang w:val="en-ZA"/>
        </w:rPr>
        <w:t>.’</w:t>
      </w:r>
      <w:r w:rsidR="000F4F29" w:rsidRPr="00A42455">
        <w:rPr>
          <w:rFonts w:ascii="Arial" w:hAnsi="Arial" w:cs="Arial"/>
          <w:vertAlign w:val="superscript"/>
          <w:lang w:val="en-ZA"/>
        </w:rPr>
        <w:footnoteReference w:id="1"/>
      </w:r>
    </w:p>
    <w:p w14:paraId="6597C2ED" w14:textId="77777777" w:rsidR="00EA5058" w:rsidRPr="00A42455" w:rsidRDefault="00EA5058" w:rsidP="000F4F29">
      <w:pPr>
        <w:spacing w:line="360" w:lineRule="auto"/>
        <w:ind w:left="720" w:hanging="720"/>
        <w:contextualSpacing/>
        <w:jc w:val="both"/>
        <w:rPr>
          <w:rFonts w:ascii="Arial" w:hAnsi="Arial" w:cs="Arial"/>
          <w:lang w:val="en-ZA"/>
        </w:rPr>
      </w:pPr>
    </w:p>
    <w:p w14:paraId="58496968" w14:textId="048DFF98" w:rsidR="000F4F29" w:rsidRPr="00A42455" w:rsidRDefault="00EA5058" w:rsidP="000F4F29">
      <w:pPr>
        <w:spacing w:line="360" w:lineRule="auto"/>
        <w:ind w:left="720" w:hanging="720"/>
        <w:contextualSpacing/>
        <w:jc w:val="both"/>
        <w:rPr>
          <w:rFonts w:ascii="Arial" w:hAnsi="Arial" w:cs="Arial"/>
          <w:lang w:val="en-ZA"/>
        </w:rPr>
      </w:pPr>
      <w:r w:rsidRPr="00A42455">
        <w:rPr>
          <w:rFonts w:ascii="Arial" w:hAnsi="Arial" w:cs="Arial"/>
          <w:lang w:val="en-ZA"/>
        </w:rPr>
        <w:t>[</w:t>
      </w:r>
      <w:r w:rsidR="00207E27">
        <w:rPr>
          <w:rFonts w:ascii="Arial" w:hAnsi="Arial" w:cs="Arial"/>
          <w:lang w:val="en-ZA"/>
        </w:rPr>
        <w:t>6</w:t>
      </w:r>
      <w:r w:rsidRPr="00A42455">
        <w:rPr>
          <w:rFonts w:ascii="Arial" w:hAnsi="Arial" w:cs="Arial"/>
          <w:lang w:val="en-ZA"/>
        </w:rPr>
        <w:t>]</w:t>
      </w:r>
      <w:r w:rsidR="000F4F29" w:rsidRPr="00A42455">
        <w:rPr>
          <w:rFonts w:ascii="Arial" w:hAnsi="Arial" w:cs="Arial"/>
          <w:lang w:val="en-ZA"/>
        </w:rPr>
        <w:tab/>
      </w:r>
      <w:r w:rsidR="002349A4" w:rsidRPr="00A42455">
        <w:rPr>
          <w:rFonts w:ascii="Arial" w:hAnsi="Arial" w:cs="Arial"/>
          <w:lang w:val="en-ZA"/>
        </w:rPr>
        <w:t xml:space="preserve">In </w:t>
      </w:r>
      <w:r w:rsidR="000F4F29" w:rsidRPr="00A42455">
        <w:rPr>
          <w:rFonts w:ascii="Arial" w:eastAsia="Calibri" w:hAnsi="Arial" w:cs="Arial"/>
          <w:bCs/>
          <w:i/>
          <w:lang w:val="en-ZA"/>
        </w:rPr>
        <w:t xml:space="preserve">Malcolm Lyons &amp; Munro v </w:t>
      </w:r>
      <w:proofErr w:type="spellStart"/>
      <w:r w:rsidR="000F4F29" w:rsidRPr="00A42455">
        <w:rPr>
          <w:rFonts w:ascii="Arial" w:eastAsia="Calibri" w:hAnsi="Arial" w:cs="Arial"/>
          <w:bCs/>
          <w:i/>
          <w:lang w:val="en-ZA"/>
        </w:rPr>
        <w:t>Abro</w:t>
      </w:r>
      <w:proofErr w:type="spellEnd"/>
      <w:r w:rsidR="000F4F29" w:rsidRPr="00A42455">
        <w:rPr>
          <w:rFonts w:ascii="Arial" w:eastAsia="Calibri" w:hAnsi="Arial" w:cs="Arial"/>
          <w:bCs/>
          <w:i/>
          <w:lang w:val="en-ZA"/>
        </w:rPr>
        <w:t xml:space="preserve"> and another</w:t>
      </w:r>
      <w:r w:rsidR="002349A4" w:rsidRPr="00A42455">
        <w:rPr>
          <w:rFonts w:ascii="Arial" w:eastAsia="Calibri" w:hAnsi="Arial" w:cs="Arial"/>
          <w:bCs/>
          <w:i/>
          <w:lang w:val="en-ZA"/>
        </w:rPr>
        <w:t xml:space="preserve"> </w:t>
      </w:r>
      <w:r w:rsidR="002349A4" w:rsidRPr="00207E27">
        <w:rPr>
          <w:rFonts w:ascii="Arial" w:eastAsia="Calibri" w:hAnsi="Arial" w:cs="Arial"/>
          <w:bCs/>
          <w:lang w:val="en-ZA"/>
        </w:rPr>
        <w:t>the following was stated</w:t>
      </w:r>
      <w:r w:rsidR="000F4F29" w:rsidRPr="00207E27">
        <w:rPr>
          <w:rFonts w:ascii="Arial" w:eastAsia="Calibri" w:hAnsi="Arial" w:cs="Arial"/>
          <w:lang w:val="en-ZA"/>
        </w:rPr>
        <w:t>:</w:t>
      </w:r>
    </w:p>
    <w:p w14:paraId="135DAF00" w14:textId="590D6BEB" w:rsidR="000F4F29" w:rsidRPr="00C368AB" w:rsidRDefault="000F4F29" w:rsidP="006740EF">
      <w:pPr>
        <w:spacing w:line="360" w:lineRule="auto"/>
        <w:contextualSpacing/>
        <w:jc w:val="both"/>
        <w:rPr>
          <w:rFonts w:ascii="Arial" w:eastAsia="Calibri" w:hAnsi="Arial" w:cs="Arial"/>
          <w:sz w:val="22"/>
          <w:szCs w:val="22"/>
          <w:lang w:val="en-ZA"/>
        </w:rPr>
      </w:pPr>
      <w:r w:rsidRPr="00C368AB">
        <w:rPr>
          <w:rFonts w:ascii="Arial" w:eastAsia="Calibri" w:hAnsi="Arial" w:cs="Arial"/>
          <w:sz w:val="22"/>
          <w:szCs w:val="22"/>
          <w:lang w:val="en-ZA"/>
        </w:rPr>
        <w:t>‘</w:t>
      </w:r>
      <w:r w:rsidR="00C368AB" w:rsidRPr="00C368AB">
        <w:rPr>
          <w:rFonts w:ascii="Arial" w:eastAsia="Calibri" w:hAnsi="Arial" w:cs="Arial"/>
          <w:sz w:val="22"/>
          <w:szCs w:val="22"/>
        </w:rPr>
        <w:t xml:space="preserve">All in all, therefore, the Taxing Master in my opinion rightly did not regard the client nor, of course, himself, to be bound by an agreement to the effect that the attorneys would be entitled to payment at the rate of R220 per hour for all the work they did in connection with the action, necessary or unnecessary, prudent or prodigal. Although it is true that a bill of costs as between an attorney and his own client is taxed on a basis different from that on which a party and party bill is taxed - or even different from that upon which an attorney and client bill is taxed when it is to be paid by the opposing litigant, the Taxing Master was empowered - and indeed in duty bound - to satisfy himself that the fees claimed related to work specifically </w:t>
      </w:r>
      <w:proofErr w:type="spellStart"/>
      <w:r w:rsidR="00C368AB" w:rsidRPr="00C368AB">
        <w:rPr>
          <w:rFonts w:ascii="Arial" w:eastAsia="Calibri" w:hAnsi="Arial" w:cs="Arial"/>
          <w:sz w:val="22"/>
          <w:szCs w:val="22"/>
        </w:rPr>
        <w:t>authorised</w:t>
      </w:r>
      <w:proofErr w:type="spellEnd"/>
      <w:r w:rsidR="00C368AB" w:rsidRPr="00C368AB">
        <w:rPr>
          <w:rFonts w:ascii="Arial" w:eastAsia="Calibri" w:hAnsi="Arial" w:cs="Arial"/>
          <w:sz w:val="22"/>
          <w:szCs w:val="22"/>
        </w:rPr>
        <w:t xml:space="preserve"> by the client and that the fees charged were reasonable</w:t>
      </w:r>
      <w:r w:rsidRPr="00C368AB">
        <w:rPr>
          <w:rFonts w:ascii="Arial" w:eastAsia="Calibri" w:hAnsi="Arial" w:cs="Arial"/>
          <w:sz w:val="22"/>
          <w:szCs w:val="22"/>
          <w:lang w:val="en-ZA"/>
        </w:rPr>
        <w:t>.’</w:t>
      </w:r>
      <w:r w:rsidRPr="00C368AB">
        <w:rPr>
          <w:rFonts w:ascii="Arial" w:eastAsia="Calibri" w:hAnsi="Arial" w:cs="Arial"/>
          <w:sz w:val="22"/>
          <w:szCs w:val="22"/>
          <w:vertAlign w:val="superscript"/>
          <w:lang w:val="en-ZA"/>
        </w:rPr>
        <w:footnoteReference w:id="2"/>
      </w:r>
    </w:p>
    <w:p w14:paraId="72F20915" w14:textId="77777777" w:rsidR="00C368AB" w:rsidRPr="00A42455" w:rsidRDefault="00C368AB" w:rsidP="006740EF">
      <w:pPr>
        <w:spacing w:line="360" w:lineRule="auto"/>
        <w:contextualSpacing/>
        <w:jc w:val="both"/>
        <w:rPr>
          <w:rFonts w:ascii="Arial" w:eastAsia="Calibri" w:hAnsi="Arial" w:cs="Arial"/>
          <w:sz w:val="22"/>
          <w:szCs w:val="22"/>
          <w:lang w:val="en-ZA"/>
        </w:rPr>
      </w:pPr>
    </w:p>
    <w:p w14:paraId="3F7A3A3A" w14:textId="5693244A" w:rsidR="000F4F29" w:rsidRPr="00A42455" w:rsidRDefault="00EA5058" w:rsidP="00207E27">
      <w:pPr>
        <w:spacing w:line="360" w:lineRule="auto"/>
        <w:contextualSpacing/>
        <w:jc w:val="both"/>
        <w:rPr>
          <w:rFonts w:ascii="Arial" w:eastAsia="Calibri" w:hAnsi="Arial" w:cs="Arial"/>
          <w:lang w:val="en-ZA"/>
        </w:rPr>
      </w:pPr>
      <w:r w:rsidRPr="00A42455">
        <w:rPr>
          <w:rFonts w:ascii="Arial" w:eastAsia="Calibri" w:hAnsi="Arial" w:cs="Arial"/>
          <w:lang w:val="en-ZA"/>
        </w:rPr>
        <w:t>[</w:t>
      </w:r>
      <w:r w:rsidR="00207E27">
        <w:rPr>
          <w:rFonts w:ascii="Arial" w:eastAsia="Calibri" w:hAnsi="Arial" w:cs="Arial"/>
          <w:lang w:val="en-ZA"/>
        </w:rPr>
        <w:t>7</w:t>
      </w:r>
      <w:r w:rsidRPr="00A42455">
        <w:rPr>
          <w:rFonts w:ascii="Arial" w:eastAsia="Calibri" w:hAnsi="Arial" w:cs="Arial"/>
          <w:lang w:val="en-ZA"/>
        </w:rPr>
        <w:t>]</w:t>
      </w:r>
      <w:r w:rsidRPr="00A42455">
        <w:rPr>
          <w:rFonts w:ascii="Arial" w:eastAsia="Calibri" w:hAnsi="Arial" w:cs="Arial"/>
          <w:lang w:val="en-ZA"/>
        </w:rPr>
        <w:tab/>
      </w:r>
      <w:r w:rsidR="002349A4" w:rsidRPr="00A42455">
        <w:rPr>
          <w:rFonts w:ascii="Arial" w:eastAsia="Calibri" w:hAnsi="Arial" w:cs="Arial"/>
          <w:lang w:val="en-ZA"/>
        </w:rPr>
        <w:t xml:space="preserve">The principles were also recently confirmed by the Supreme Court of Appeal in </w:t>
      </w:r>
      <w:r w:rsidR="000F4F29" w:rsidRPr="00A42455">
        <w:rPr>
          <w:rFonts w:ascii="Arial" w:eastAsia="Calibri" w:hAnsi="Arial" w:cs="Arial"/>
          <w:i/>
          <w:lang w:val="en-ZA"/>
        </w:rPr>
        <w:t>R H Christie Incorporated v Taxing Master – Supreme Court of Appeal</w:t>
      </w:r>
      <w:r w:rsidR="000F4F29" w:rsidRPr="00A42455">
        <w:rPr>
          <w:rFonts w:ascii="Arial" w:eastAsia="Calibri" w:hAnsi="Arial" w:cs="Arial"/>
          <w:lang w:val="en-ZA"/>
        </w:rPr>
        <w:t>:</w:t>
      </w:r>
    </w:p>
    <w:p w14:paraId="4F18A214" w14:textId="04B40C7A" w:rsidR="000F4F29" w:rsidRPr="00A42455" w:rsidRDefault="000F4F29" w:rsidP="006740EF">
      <w:pPr>
        <w:spacing w:line="360" w:lineRule="auto"/>
        <w:contextualSpacing/>
        <w:jc w:val="both"/>
        <w:rPr>
          <w:rFonts w:ascii="Arial" w:eastAsia="Calibri" w:hAnsi="Arial" w:cs="Arial"/>
          <w:sz w:val="22"/>
          <w:szCs w:val="22"/>
          <w:shd w:val="clear" w:color="auto" w:fill="FFFFFF"/>
          <w:lang w:val="en-ZA"/>
        </w:rPr>
      </w:pPr>
      <w:r w:rsidRPr="00A42455">
        <w:rPr>
          <w:rFonts w:ascii="Arial" w:eastAsia="Calibri" w:hAnsi="Arial" w:cs="Arial"/>
          <w:sz w:val="22"/>
          <w:szCs w:val="22"/>
          <w:shd w:val="clear" w:color="auto" w:fill="FFFFFF"/>
          <w:lang w:val="en-ZA"/>
        </w:rPr>
        <w:t>‘</w:t>
      </w:r>
      <w:r w:rsidR="00C368AB" w:rsidRPr="00C368AB">
        <w:rPr>
          <w:rFonts w:ascii="Arial" w:eastAsia="Calibri" w:hAnsi="Arial" w:cs="Arial"/>
          <w:sz w:val="22"/>
          <w:shd w:val="clear" w:color="auto" w:fill="FFFFFF"/>
          <w:lang w:eastAsia="en-US"/>
        </w:rPr>
        <w:t>In relation to an attorney and own client bill the law is settled. As far as expenses are concerned, that which has been specifically agreed, expressly and impliedly, may be recovered. That too, is qualified. A taxing master has a discretion to disallow certain expenses where an attorney has overreached his client or has been negligent or mala fide. Overreaching means, in the context of an attorney and client relationship, inter alia, the extraction of a fee that is unconscionable or excessive. As stated in </w:t>
      </w:r>
      <w:r w:rsidR="00C368AB" w:rsidRPr="00C368AB">
        <w:rPr>
          <w:rFonts w:ascii="Arial" w:eastAsia="Calibri" w:hAnsi="Arial" w:cs="Arial"/>
          <w:i/>
          <w:iCs/>
          <w:sz w:val="22"/>
          <w:shd w:val="clear" w:color="auto" w:fill="FFFFFF"/>
          <w:lang w:eastAsia="en-US"/>
        </w:rPr>
        <w:t>Aircraft Completions Centre (Pty) Ltd v Rossouw and Others</w:t>
      </w:r>
      <w:r w:rsidR="00C368AB" w:rsidRPr="00C368AB">
        <w:rPr>
          <w:rFonts w:ascii="Arial" w:eastAsia="Calibri" w:hAnsi="Arial" w:cs="Arial"/>
          <w:sz w:val="22"/>
          <w:shd w:val="clear" w:color="auto" w:fill="FFFFFF"/>
          <w:lang w:eastAsia="en-US"/>
        </w:rPr>
        <w:t>, our legal system does not allow a taxing master to draw, tax and allow a bill of costs that will impose an unjust liability on a costs debtor. It is against the principles referred to in this and the preceding paragraphs that the present review must be adjudicated.’</w:t>
      </w:r>
      <w:r w:rsidR="00C368AB" w:rsidRPr="00C368AB">
        <w:rPr>
          <w:rFonts w:ascii="Arial" w:eastAsia="Calibri" w:hAnsi="Arial" w:cs="Arial"/>
          <w:sz w:val="22"/>
          <w:shd w:val="clear" w:color="auto" w:fill="FFFFFF"/>
          <w:vertAlign w:val="superscript"/>
          <w:lang w:eastAsia="en-US"/>
        </w:rPr>
        <w:footnoteReference w:id="3"/>
      </w:r>
      <w:r w:rsidR="00C368AB" w:rsidRPr="00C368AB">
        <w:rPr>
          <w:rFonts w:ascii="Arial" w:eastAsia="Calibri" w:hAnsi="Arial" w:cs="Arial"/>
          <w:sz w:val="22"/>
          <w:shd w:val="clear" w:color="auto" w:fill="FFFFFF"/>
          <w:lang w:eastAsia="en-US"/>
        </w:rPr>
        <w:t xml:space="preserve"> (Footnotes omitted.)</w:t>
      </w:r>
    </w:p>
    <w:p w14:paraId="295AA076" w14:textId="77777777" w:rsidR="00EA5058" w:rsidRPr="00A42455" w:rsidRDefault="00EA5058" w:rsidP="006740EF">
      <w:pPr>
        <w:spacing w:line="360" w:lineRule="auto"/>
        <w:contextualSpacing/>
        <w:jc w:val="both"/>
        <w:rPr>
          <w:rFonts w:ascii="Arial" w:eastAsia="Calibri" w:hAnsi="Arial" w:cs="Arial"/>
          <w:sz w:val="22"/>
          <w:szCs w:val="22"/>
          <w:shd w:val="clear" w:color="auto" w:fill="FFFFFF"/>
          <w:lang w:val="en-ZA"/>
        </w:rPr>
      </w:pPr>
    </w:p>
    <w:p w14:paraId="73D14F45" w14:textId="65E3FBF4" w:rsidR="000F4F29" w:rsidRPr="00A42455" w:rsidRDefault="00EA5058" w:rsidP="00207E27">
      <w:pPr>
        <w:spacing w:line="360" w:lineRule="auto"/>
        <w:contextualSpacing/>
        <w:jc w:val="both"/>
        <w:rPr>
          <w:rFonts w:ascii="Arial" w:eastAsia="Calibri" w:hAnsi="Arial" w:cs="Arial"/>
          <w:shd w:val="clear" w:color="auto" w:fill="FFFFFF"/>
          <w:lang w:val="en-ZA"/>
        </w:rPr>
      </w:pPr>
      <w:r w:rsidRPr="00A42455">
        <w:rPr>
          <w:rFonts w:ascii="Arial" w:hAnsi="Arial" w:cs="Arial"/>
          <w:bCs/>
          <w:lang w:val="en-ZA"/>
        </w:rPr>
        <w:t>[</w:t>
      </w:r>
      <w:r w:rsidR="00207E27">
        <w:rPr>
          <w:rFonts w:ascii="Arial" w:hAnsi="Arial" w:cs="Arial"/>
          <w:bCs/>
          <w:lang w:val="en-ZA"/>
        </w:rPr>
        <w:t>8</w:t>
      </w:r>
      <w:r w:rsidRPr="00A42455">
        <w:rPr>
          <w:rFonts w:ascii="Arial" w:hAnsi="Arial" w:cs="Arial"/>
          <w:bCs/>
          <w:lang w:val="en-ZA"/>
        </w:rPr>
        <w:t>]</w:t>
      </w:r>
      <w:r w:rsidRPr="00A42455">
        <w:rPr>
          <w:rFonts w:ascii="Arial" w:hAnsi="Arial" w:cs="Arial"/>
          <w:bCs/>
          <w:lang w:val="en-ZA"/>
        </w:rPr>
        <w:tab/>
      </w:r>
      <w:r w:rsidR="000F4F29" w:rsidRPr="00A42455">
        <w:rPr>
          <w:rFonts w:ascii="Arial" w:hAnsi="Arial" w:cs="Arial"/>
          <w:bCs/>
          <w:lang w:val="en-ZA"/>
        </w:rPr>
        <w:t xml:space="preserve">In </w:t>
      </w:r>
      <w:r w:rsidR="000F4F29" w:rsidRPr="00A42455">
        <w:rPr>
          <w:rFonts w:ascii="Arial" w:hAnsi="Arial" w:cs="Arial"/>
          <w:bCs/>
          <w:i/>
          <w:lang w:val="en-ZA"/>
        </w:rPr>
        <w:t>Cambridge Plan AG v Cambridge Diet (Pty) Ltd and others</w:t>
      </w:r>
      <w:r w:rsidR="000F4F29" w:rsidRPr="00A42455">
        <w:rPr>
          <w:rFonts w:ascii="Arial" w:hAnsi="Arial" w:cs="Arial"/>
          <w:bCs/>
          <w:vertAlign w:val="superscript"/>
          <w:lang w:val="en-ZA"/>
        </w:rPr>
        <w:footnoteReference w:id="4"/>
      </w:r>
      <w:r w:rsidR="000F4F29" w:rsidRPr="00A42455">
        <w:rPr>
          <w:rFonts w:ascii="Arial" w:hAnsi="Arial" w:cs="Arial"/>
          <w:bCs/>
          <w:lang w:val="en-ZA"/>
        </w:rPr>
        <w:t> </w:t>
      </w:r>
      <w:r w:rsidR="002349A4" w:rsidRPr="00A42455">
        <w:rPr>
          <w:rFonts w:ascii="Arial" w:eastAsia="Calibri" w:hAnsi="Arial" w:cs="Arial"/>
          <w:shd w:val="clear" w:color="auto" w:fill="FFFFFF"/>
          <w:lang w:val="en-ZA"/>
        </w:rPr>
        <w:t xml:space="preserve">it was </w:t>
      </w:r>
      <w:r w:rsidR="00906CBB" w:rsidRPr="00A42455">
        <w:rPr>
          <w:rFonts w:ascii="Arial" w:eastAsia="Calibri" w:hAnsi="Arial" w:cs="Arial"/>
          <w:shd w:val="clear" w:color="auto" w:fill="FFFFFF"/>
          <w:lang w:val="en-ZA"/>
        </w:rPr>
        <w:t>held</w:t>
      </w:r>
      <w:r w:rsidR="002349A4" w:rsidRPr="00A42455">
        <w:rPr>
          <w:rFonts w:ascii="Arial" w:eastAsia="Calibri" w:hAnsi="Arial" w:cs="Arial"/>
          <w:shd w:val="clear" w:color="auto" w:fill="FFFFFF"/>
          <w:lang w:val="en-ZA"/>
        </w:rPr>
        <w:t xml:space="preserve"> that the mandate signed between the attorney and the client plays a primary role</w:t>
      </w:r>
      <w:r w:rsidR="000F4F29" w:rsidRPr="00A42455">
        <w:rPr>
          <w:rFonts w:ascii="Arial" w:eastAsia="Calibri" w:hAnsi="Arial" w:cs="Arial"/>
          <w:shd w:val="clear" w:color="auto" w:fill="FFFFFF"/>
          <w:lang w:val="en-ZA"/>
        </w:rPr>
        <w:t>:</w:t>
      </w:r>
    </w:p>
    <w:p w14:paraId="4D8DF432" w14:textId="2A8A0395" w:rsidR="000F4F29" w:rsidRPr="00C368AB" w:rsidRDefault="000F4F29" w:rsidP="006740EF">
      <w:pPr>
        <w:spacing w:line="360" w:lineRule="auto"/>
        <w:contextualSpacing/>
        <w:jc w:val="both"/>
        <w:rPr>
          <w:rFonts w:ascii="Arial" w:hAnsi="Arial" w:cs="Arial"/>
          <w:sz w:val="22"/>
          <w:szCs w:val="22"/>
          <w:lang w:val="en-ZA"/>
        </w:rPr>
      </w:pPr>
      <w:r w:rsidRPr="00C368AB">
        <w:rPr>
          <w:rFonts w:ascii="Arial" w:hAnsi="Arial" w:cs="Arial"/>
          <w:sz w:val="22"/>
          <w:szCs w:val="22"/>
          <w:lang w:val="en-ZA"/>
        </w:rPr>
        <w:t>‘</w:t>
      </w:r>
      <w:proofErr w:type="gramStart"/>
      <w:r w:rsidR="00C368AB" w:rsidRPr="00C368AB">
        <w:rPr>
          <w:rFonts w:ascii="Arial" w:hAnsi="Arial" w:cs="Arial"/>
          <w:sz w:val="22"/>
          <w:szCs w:val="22"/>
          <w:lang w:eastAsia="en-US"/>
        </w:rPr>
        <w:t>Thus</w:t>
      </w:r>
      <w:proofErr w:type="gramEnd"/>
      <w:r w:rsidR="00C368AB" w:rsidRPr="00C368AB">
        <w:rPr>
          <w:rFonts w:ascii="Arial" w:hAnsi="Arial" w:cs="Arial"/>
          <w:sz w:val="22"/>
          <w:szCs w:val="22"/>
          <w:lang w:eastAsia="en-US"/>
        </w:rPr>
        <w:t xml:space="preserve"> the Taxing Master, in the proper exercise of a discretion to establish what is reasonable, may feel that fees in certain cases should be allowed as structured in the tariff (say Rx per folio for drafting), or that the expert's time is not as valuable in perusing as it would be in consulting and taking witnesses' statements. All these would in my opinion be valid methods of ascertaining what is reasonable, without detracting from the avowed purpose of the costs order. Moreover, the Taxing Master would then not be merely a rubber stamp on the agreement between the attorney and the client and the principle of fairness and equity in taxation would not be cast overboard. The prime indicator must, however, be the agreement and not the tariff</w:t>
      </w:r>
      <w:r w:rsidRPr="00C368AB">
        <w:rPr>
          <w:rFonts w:ascii="Arial" w:hAnsi="Arial" w:cs="Arial"/>
          <w:sz w:val="22"/>
          <w:szCs w:val="22"/>
          <w:lang w:val="en-ZA"/>
        </w:rPr>
        <w:t>.’</w:t>
      </w:r>
    </w:p>
    <w:p w14:paraId="7CC9C794" w14:textId="77777777" w:rsidR="00EA5058" w:rsidRPr="00A42455" w:rsidRDefault="00EA5058" w:rsidP="006740EF">
      <w:pPr>
        <w:spacing w:line="360" w:lineRule="auto"/>
        <w:contextualSpacing/>
        <w:jc w:val="both"/>
        <w:rPr>
          <w:rFonts w:ascii="Arial" w:eastAsia="Calibri" w:hAnsi="Arial" w:cs="Arial"/>
          <w:shd w:val="clear" w:color="auto" w:fill="FFFFFF"/>
          <w:lang w:val="en-ZA"/>
        </w:rPr>
      </w:pPr>
    </w:p>
    <w:p w14:paraId="59DE10E8" w14:textId="6A3171EB" w:rsidR="000F4F29" w:rsidRPr="00A42455" w:rsidRDefault="00EA5058" w:rsidP="00207E27">
      <w:pPr>
        <w:spacing w:line="360" w:lineRule="auto"/>
        <w:contextualSpacing/>
        <w:jc w:val="both"/>
        <w:rPr>
          <w:rFonts w:ascii="Arial" w:hAnsi="Arial" w:cs="Arial"/>
          <w:bCs/>
          <w:lang w:val="en-ZA"/>
        </w:rPr>
      </w:pPr>
      <w:r w:rsidRPr="00A42455">
        <w:rPr>
          <w:rFonts w:ascii="Arial" w:hAnsi="Arial" w:cs="Arial"/>
          <w:bCs/>
          <w:lang w:val="en-ZA"/>
        </w:rPr>
        <w:t>[</w:t>
      </w:r>
      <w:r w:rsidR="00207E27">
        <w:rPr>
          <w:rFonts w:ascii="Arial" w:hAnsi="Arial" w:cs="Arial"/>
          <w:bCs/>
          <w:lang w:val="en-ZA"/>
        </w:rPr>
        <w:t>9</w:t>
      </w:r>
      <w:r w:rsidRPr="00A42455">
        <w:rPr>
          <w:rFonts w:ascii="Arial" w:hAnsi="Arial" w:cs="Arial"/>
          <w:bCs/>
          <w:lang w:val="en-ZA"/>
        </w:rPr>
        <w:t>]</w:t>
      </w:r>
      <w:r w:rsidRPr="00A42455">
        <w:rPr>
          <w:rFonts w:ascii="Arial" w:hAnsi="Arial" w:cs="Arial"/>
          <w:bCs/>
          <w:lang w:val="en-ZA"/>
        </w:rPr>
        <w:tab/>
      </w:r>
      <w:r w:rsidR="000F4F29" w:rsidRPr="00A42455">
        <w:rPr>
          <w:rFonts w:ascii="Arial" w:hAnsi="Arial" w:cs="Arial"/>
          <w:bCs/>
          <w:lang w:val="en-ZA"/>
        </w:rPr>
        <w:t xml:space="preserve">However, in </w:t>
      </w:r>
      <w:r w:rsidR="000F4F29" w:rsidRPr="00A42455">
        <w:rPr>
          <w:rFonts w:ascii="Arial" w:hAnsi="Arial" w:cs="Arial"/>
          <w:bCs/>
          <w:i/>
          <w:lang w:val="en-ZA"/>
        </w:rPr>
        <w:t>Coetzee v Taxing Master, South Gauteng High Court and another</w:t>
      </w:r>
      <w:r w:rsidR="000F4F29" w:rsidRPr="00A42455">
        <w:rPr>
          <w:rFonts w:ascii="Arial" w:hAnsi="Arial" w:cs="Arial"/>
          <w:bCs/>
          <w:vertAlign w:val="superscript"/>
          <w:lang w:val="en-ZA"/>
        </w:rPr>
        <w:footnoteReference w:id="5"/>
      </w:r>
      <w:r w:rsidR="000F4F29" w:rsidRPr="00A42455">
        <w:rPr>
          <w:rFonts w:ascii="Arial" w:hAnsi="Arial" w:cs="Arial"/>
          <w:bCs/>
          <w:lang w:val="en-ZA"/>
        </w:rPr>
        <w:t xml:space="preserve"> it was stated that the tariff is still to be used as a guide in the taxation of attorney and own client bills.</w:t>
      </w:r>
    </w:p>
    <w:p w14:paraId="18F22BE4" w14:textId="2C5C2E55" w:rsidR="009A767F" w:rsidRPr="00A42455" w:rsidRDefault="009A767F" w:rsidP="00CF0F4F">
      <w:pPr>
        <w:spacing w:line="360" w:lineRule="auto"/>
        <w:ind w:left="720" w:hanging="720"/>
        <w:contextualSpacing/>
        <w:jc w:val="both"/>
        <w:rPr>
          <w:rFonts w:ascii="Arial" w:hAnsi="Arial" w:cs="Arial"/>
          <w:bCs/>
          <w:lang w:val="en-ZA"/>
        </w:rPr>
      </w:pPr>
    </w:p>
    <w:p w14:paraId="676A3DCE" w14:textId="2A421A7F" w:rsidR="009A767F" w:rsidRPr="00A42455" w:rsidRDefault="009A767F" w:rsidP="00207E27">
      <w:pPr>
        <w:spacing w:line="360" w:lineRule="auto"/>
        <w:contextualSpacing/>
        <w:jc w:val="both"/>
        <w:rPr>
          <w:rFonts w:ascii="Arial" w:hAnsi="Arial" w:cs="Arial"/>
          <w:bCs/>
          <w:lang w:val="en-ZA"/>
        </w:rPr>
      </w:pPr>
      <w:r w:rsidRPr="00A42455">
        <w:rPr>
          <w:rFonts w:ascii="Arial" w:hAnsi="Arial" w:cs="Arial"/>
          <w:bCs/>
          <w:lang w:val="en-ZA"/>
        </w:rPr>
        <w:t>[</w:t>
      </w:r>
      <w:r w:rsidR="00207E27">
        <w:rPr>
          <w:rFonts w:ascii="Arial" w:hAnsi="Arial" w:cs="Arial"/>
          <w:bCs/>
          <w:lang w:val="en-ZA"/>
        </w:rPr>
        <w:t>10</w:t>
      </w:r>
      <w:r w:rsidRPr="00A42455">
        <w:rPr>
          <w:rFonts w:ascii="Arial" w:hAnsi="Arial" w:cs="Arial"/>
          <w:bCs/>
          <w:lang w:val="en-ZA"/>
        </w:rPr>
        <w:t>]</w:t>
      </w:r>
      <w:r w:rsidRPr="00A42455">
        <w:rPr>
          <w:rFonts w:ascii="Arial" w:hAnsi="Arial" w:cs="Arial"/>
          <w:bCs/>
          <w:lang w:val="en-ZA"/>
        </w:rPr>
        <w:tab/>
        <w:t>Accordingly, i</w:t>
      </w:r>
      <w:r w:rsidRPr="00A42455">
        <w:rPr>
          <w:rFonts w:ascii="Arial" w:eastAsia="Arial" w:hAnsi="Arial" w:cs="Arial"/>
          <w:lang w:val="en-ZA"/>
        </w:rPr>
        <w:t>n my view, irrespective of whether a written mandate was presented or not, the taxing master was empowered and indeed duty bound to satisfy herself that the fees claimed were reasonable in the circumstances.</w:t>
      </w:r>
    </w:p>
    <w:p w14:paraId="373B7FF4" w14:textId="77777777" w:rsidR="000F4F29" w:rsidRPr="00A42455" w:rsidRDefault="000F4F29" w:rsidP="000F4F29">
      <w:pPr>
        <w:spacing w:line="360" w:lineRule="auto"/>
        <w:contextualSpacing/>
        <w:jc w:val="both"/>
        <w:rPr>
          <w:rFonts w:ascii="Arial" w:hAnsi="Arial" w:cs="Arial"/>
          <w:bCs/>
          <w:lang w:val="en-ZA"/>
        </w:rPr>
      </w:pPr>
    </w:p>
    <w:p w14:paraId="739D8711" w14:textId="77777777" w:rsidR="00CF0F4F" w:rsidRPr="00A42455" w:rsidRDefault="000F4F29" w:rsidP="000F4F29">
      <w:pPr>
        <w:spacing w:line="360" w:lineRule="auto"/>
        <w:contextualSpacing/>
        <w:jc w:val="both"/>
        <w:rPr>
          <w:rFonts w:ascii="Arial" w:eastAsia="Calibri" w:hAnsi="Arial" w:cs="Arial"/>
          <w:b/>
          <w:bCs/>
          <w:shd w:val="clear" w:color="auto" w:fill="FFFFFF"/>
          <w:lang w:val="en-ZA"/>
        </w:rPr>
      </w:pPr>
      <w:r w:rsidRPr="00A42455">
        <w:rPr>
          <w:rFonts w:ascii="Arial" w:eastAsia="Calibri" w:hAnsi="Arial" w:cs="Arial"/>
          <w:b/>
          <w:bCs/>
          <w:shd w:val="clear" w:color="auto" w:fill="FFFFFF"/>
          <w:lang w:val="en-ZA"/>
        </w:rPr>
        <w:t>Principles applicable to the review of taxations</w:t>
      </w:r>
    </w:p>
    <w:p w14:paraId="759A8942" w14:textId="51802A8F" w:rsidR="000F4F29" w:rsidRPr="00A42455" w:rsidRDefault="00CF0F4F" w:rsidP="000F4F29">
      <w:pPr>
        <w:spacing w:line="360" w:lineRule="auto"/>
        <w:contextualSpacing/>
        <w:jc w:val="both"/>
        <w:rPr>
          <w:rFonts w:ascii="Arial" w:eastAsia="Calibri" w:hAnsi="Arial" w:cs="Arial"/>
          <w:bCs/>
          <w:u w:val="single"/>
          <w:shd w:val="clear" w:color="auto" w:fill="FFFFFF"/>
          <w:lang w:val="en-ZA"/>
        </w:rPr>
      </w:pPr>
      <w:r w:rsidRPr="00A42455">
        <w:rPr>
          <w:rFonts w:ascii="Arial" w:eastAsia="Calibri" w:hAnsi="Arial" w:cs="Arial"/>
          <w:bCs/>
          <w:shd w:val="clear" w:color="auto" w:fill="FFFFFF"/>
          <w:lang w:val="en-ZA"/>
        </w:rPr>
        <w:t>[</w:t>
      </w:r>
      <w:r w:rsidR="00207E27">
        <w:rPr>
          <w:rFonts w:ascii="Arial" w:eastAsia="Calibri" w:hAnsi="Arial" w:cs="Arial"/>
          <w:bCs/>
          <w:shd w:val="clear" w:color="auto" w:fill="FFFFFF"/>
          <w:lang w:val="en-ZA"/>
        </w:rPr>
        <w:t>11</w:t>
      </w:r>
      <w:r w:rsidRPr="00A42455">
        <w:rPr>
          <w:rFonts w:ascii="Arial" w:eastAsia="Calibri" w:hAnsi="Arial" w:cs="Arial"/>
          <w:bCs/>
          <w:shd w:val="clear" w:color="auto" w:fill="FFFFFF"/>
          <w:lang w:val="en-ZA"/>
        </w:rPr>
        <w:t>]</w:t>
      </w:r>
      <w:r w:rsidRPr="00A42455">
        <w:rPr>
          <w:rFonts w:ascii="Arial" w:eastAsia="Calibri" w:hAnsi="Arial" w:cs="Arial"/>
          <w:bCs/>
          <w:shd w:val="clear" w:color="auto" w:fill="FFFFFF"/>
          <w:lang w:val="en-ZA"/>
        </w:rPr>
        <w:tab/>
      </w:r>
      <w:r w:rsidR="002349A4" w:rsidRPr="00A42455">
        <w:rPr>
          <w:rFonts w:ascii="Arial" w:eastAsia="Calibri" w:hAnsi="Arial" w:cs="Arial"/>
          <w:bCs/>
          <w:shd w:val="clear" w:color="auto" w:fill="FFFFFF"/>
          <w:lang w:val="en-ZA"/>
        </w:rPr>
        <w:t xml:space="preserve">A taxing master is required to exercise his or her discretion when taxing a bill. The circumstances under which a court will interfere with the discretion of the taxing master </w:t>
      </w:r>
      <w:r w:rsidR="00C368AB">
        <w:rPr>
          <w:rFonts w:ascii="Arial" w:eastAsia="Calibri" w:hAnsi="Arial" w:cs="Arial"/>
          <w:bCs/>
          <w:shd w:val="clear" w:color="auto" w:fill="FFFFFF"/>
          <w:lang w:val="en-ZA"/>
        </w:rPr>
        <w:t>have</w:t>
      </w:r>
      <w:r w:rsidR="00C368AB" w:rsidRPr="00A42455">
        <w:rPr>
          <w:rFonts w:ascii="Arial" w:eastAsia="Calibri" w:hAnsi="Arial" w:cs="Arial"/>
          <w:bCs/>
          <w:shd w:val="clear" w:color="auto" w:fill="FFFFFF"/>
          <w:lang w:val="en-ZA"/>
        </w:rPr>
        <w:t xml:space="preserve"> </w:t>
      </w:r>
      <w:r w:rsidR="002349A4" w:rsidRPr="00A42455">
        <w:rPr>
          <w:rFonts w:ascii="Arial" w:eastAsia="Calibri" w:hAnsi="Arial" w:cs="Arial"/>
          <w:bCs/>
          <w:shd w:val="clear" w:color="auto" w:fill="FFFFFF"/>
          <w:lang w:val="en-ZA"/>
        </w:rPr>
        <w:t>been stated as follow</w:t>
      </w:r>
      <w:r w:rsidR="00906CBB" w:rsidRPr="00A42455">
        <w:rPr>
          <w:rFonts w:ascii="Arial" w:eastAsia="Calibri" w:hAnsi="Arial" w:cs="Arial"/>
          <w:bCs/>
          <w:shd w:val="clear" w:color="auto" w:fill="FFFFFF"/>
          <w:lang w:val="en-ZA"/>
        </w:rPr>
        <w:t>s</w:t>
      </w:r>
      <w:r w:rsidR="002349A4" w:rsidRPr="00A42455">
        <w:rPr>
          <w:rFonts w:ascii="Arial" w:eastAsia="Calibri" w:hAnsi="Arial" w:cs="Arial"/>
          <w:bCs/>
          <w:shd w:val="clear" w:color="auto" w:fill="FFFFFF"/>
          <w:lang w:val="en-ZA"/>
        </w:rPr>
        <w:t xml:space="preserve"> in </w:t>
      </w:r>
      <w:r w:rsidR="000F4F29" w:rsidRPr="00A42455">
        <w:rPr>
          <w:rFonts w:ascii="Arial" w:eastAsia="Calibri" w:hAnsi="Arial" w:cs="Arial"/>
          <w:bCs/>
          <w:i/>
          <w:shd w:val="clear" w:color="auto" w:fill="FFFFFF"/>
          <w:lang w:val="en-ZA"/>
        </w:rPr>
        <w:t>City of Cape Town v </w:t>
      </w:r>
      <w:bookmarkStart w:id="2" w:name="LPHit1"/>
      <w:bookmarkEnd w:id="2"/>
      <w:r w:rsidR="000F4F29" w:rsidRPr="00A42455">
        <w:rPr>
          <w:rFonts w:ascii="Arial" w:eastAsia="Calibri" w:hAnsi="Arial" w:cs="Arial"/>
          <w:i/>
          <w:shd w:val="clear" w:color="auto" w:fill="FFFFFF"/>
          <w:lang w:val="en-ZA"/>
        </w:rPr>
        <w:t>Arun</w:t>
      </w:r>
      <w:r w:rsidR="000F4F29" w:rsidRPr="00A42455">
        <w:rPr>
          <w:rFonts w:ascii="Arial" w:eastAsia="Calibri" w:hAnsi="Arial" w:cs="Arial"/>
          <w:bCs/>
          <w:i/>
          <w:shd w:val="clear" w:color="auto" w:fill="FFFFFF"/>
          <w:lang w:val="en-ZA"/>
        </w:rPr>
        <w:t> Property Development (Pty) Ltd and another</w:t>
      </w:r>
      <w:r w:rsidR="00906CBB" w:rsidRPr="00A42455">
        <w:rPr>
          <w:rFonts w:ascii="Arial" w:eastAsia="Calibri" w:hAnsi="Arial" w:cs="Arial"/>
          <w:shd w:val="clear" w:color="auto" w:fill="FFFFFF"/>
          <w:lang w:val="en-ZA"/>
        </w:rPr>
        <w:t>:</w:t>
      </w:r>
    </w:p>
    <w:p w14:paraId="449097A6" w14:textId="6BC76133" w:rsidR="000F4F29" w:rsidRPr="00A42455" w:rsidRDefault="000F4F29" w:rsidP="006740EF">
      <w:pPr>
        <w:spacing w:line="360" w:lineRule="auto"/>
        <w:contextualSpacing/>
        <w:jc w:val="both"/>
        <w:rPr>
          <w:rFonts w:ascii="Arial" w:eastAsia="Calibri" w:hAnsi="Arial" w:cs="Arial"/>
          <w:sz w:val="22"/>
          <w:szCs w:val="22"/>
          <w:lang w:val="en-ZA"/>
        </w:rPr>
      </w:pPr>
      <w:r w:rsidRPr="00A42455">
        <w:rPr>
          <w:rFonts w:ascii="Arial" w:eastAsia="Calibri" w:hAnsi="Arial" w:cs="Arial"/>
          <w:sz w:val="22"/>
          <w:szCs w:val="22"/>
          <w:lang w:val="en-ZA"/>
        </w:rPr>
        <w:t>‘</w:t>
      </w:r>
      <w:r w:rsidR="00C368AB" w:rsidRPr="00C368AB">
        <w:rPr>
          <w:rFonts w:ascii="Arial" w:eastAsia="Calibri" w:hAnsi="Arial" w:cs="Arial"/>
          <w:sz w:val="22"/>
          <w:lang w:eastAsia="en-US"/>
        </w:rPr>
        <w:t>The taxing master has discretion to allow, reduce or reject items in a bill of costs. She must exercise this discretion judicially in the sense that she must act reasonably, justly and on the basis of sound principles with due regard to all the circumstances of the case. Where the discretion is not so exercised, her decision will be subject to review. In addition, even where she has exercised her discretion properly, a court on review will be entitled to interfere where her decision is based on a misinterpretation of the law or on a misconception as to the facts and circumstances, or as to the practice of the court . </w:t>
      </w:r>
      <w:r w:rsidR="00C368AB" w:rsidRPr="00C368AB">
        <w:rPr>
          <w:rFonts w:ascii="Arial" w:eastAsia="Calibri" w:hAnsi="Arial" w:cs="Arial"/>
          <w:i/>
          <w:iCs/>
          <w:sz w:val="22"/>
          <w:lang w:eastAsia="en-US"/>
        </w:rPr>
        <w:t>. .</w:t>
      </w:r>
      <w:r w:rsidR="00C368AB" w:rsidRPr="00C368AB">
        <w:rPr>
          <w:rFonts w:ascii="Arial" w:eastAsia="Calibri" w:hAnsi="Arial" w:cs="Arial"/>
          <w:sz w:val="22"/>
          <w:lang w:eastAsia="en-US"/>
        </w:rPr>
        <w:t xml:space="preserve"> In the </w:t>
      </w:r>
      <w:r w:rsidR="00C368AB" w:rsidRPr="00C368AB">
        <w:rPr>
          <w:rFonts w:ascii="Arial" w:eastAsia="Calibri" w:hAnsi="Arial" w:cs="Arial"/>
          <w:i/>
          <w:iCs/>
          <w:sz w:val="22"/>
          <w:lang w:eastAsia="en-US"/>
        </w:rPr>
        <w:t>Price Waterhouse</w:t>
      </w:r>
      <w:r w:rsidR="00C368AB" w:rsidRPr="00C368AB">
        <w:rPr>
          <w:rFonts w:ascii="Arial" w:eastAsia="Calibri" w:hAnsi="Arial" w:cs="Arial"/>
          <w:sz w:val="22"/>
          <w:lang w:eastAsia="en-US"/>
        </w:rPr>
        <w:t> case (at para 25) the court considered the fact that the taxing master had used the fee charged by the defendant's leading senior counsel as the yardstick by which to determine the fee allowable in respect of the plaintiff's senior counsel as “</w:t>
      </w:r>
      <w:r w:rsidR="00C368AB">
        <w:rPr>
          <w:rFonts w:ascii="Arial" w:eastAsia="Calibri" w:hAnsi="Arial" w:cs="Arial"/>
          <w:sz w:val="22"/>
          <w:lang w:eastAsia="en-US"/>
        </w:rPr>
        <w:t>enough reason for interference”</w:t>
      </w:r>
      <w:r w:rsidRPr="00A42455">
        <w:rPr>
          <w:rFonts w:ascii="Arial" w:eastAsia="Calibri" w:hAnsi="Arial" w:cs="Arial"/>
          <w:sz w:val="22"/>
          <w:szCs w:val="22"/>
          <w:lang w:val="en-ZA"/>
        </w:rPr>
        <w:t>.’</w:t>
      </w:r>
      <w:r w:rsidRPr="00A42455">
        <w:rPr>
          <w:rFonts w:ascii="Arial" w:eastAsia="Calibri" w:hAnsi="Arial" w:cs="Arial"/>
          <w:sz w:val="22"/>
          <w:szCs w:val="22"/>
          <w:vertAlign w:val="superscript"/>
          <w:lang w:val="en-ZA"/>
        </w:rPr>
        <w:footnoteReference w:id="6"/>
      </w:r>
    </w:p>
    <w:p w14:paraId="7A168541" w14:textId="77777777" w:rsidR="000F4F29" w:rsidRPr="00A42455" w:rsidRDefault="000F4F29" w:rsidP="000F4F29">
      <w:pPr>
        <w:spacing w:line="360" w:lineRule="auto"/>
        <w:contextualSpacing/>
        <w:jc w:val="both"/>
        <w:rPr>
          <w:rFonts w:ascii="Arial" w:eastAsia="Calibri" w:hAnsi="Arial" w:cs="Arial"/>
          <w:lang w:val="en-ZA"/>
        </w:rPr>
      </w:pPr>
    </w:p>
    <w:p w14:paraId="4D031988" w14:textId="20A37A5D" w:rsidR="000F4F29" w:rsidRPr="00A42455" w:rsidRDefault="000F4F29" w:rsidP="000F4F29">
      <w:pPr>
        <w:spacing w:line="360" w:lineRule="auto"/>
        <w:contextualSpacing/>
        <w:jc w:val="both"/>
        <w:rPr>
          <w:rFonts w:ascii="Arial" w:eastAsia="Calibri" w:hAnsi="Arial" w:cs="Arial"/>
          <w:lang w:val="en-ZA"/>
        </w:rPr>
      </w:pPr>
      <w:r w:rsidRPr="00A42455">
        <w:rPr>
          <w:rFonts w:ascii="Arial" w:eastAsia="Calibri" w:hAnsi="Arial" w:cs="Arial"/>
          <w:lang w:val="en-ZA"/>
        </w:rPr>
        <w:t>[</w:t>
      </w:r>
      <w:r w:rsidR="00207E27">
        <w:rPr>
          <w:rFonts w:ascii="Arial" w:eastAsia="Calibri" w:hAnsi="Arial" w:cs="Arial"/>
          <w:lang w:val="en-ZA"/>
        </w:rPr>
        <w:t>12</w:t>
      </w:r>
      <w:r w:rsidRPr="00A42455">
        <w:rPr>
          <w:rFonts w:ascii="Arial" w:eastAsia="Calibri" w:hAnsi="Arial" w:cs="Arial"/>
          <w:lang w:val="en-ZA"/>
        </w:rPr>
        <w:t>]</w:t>
      </w:r>
      <w:r w:rsidRPr="00A42455">
        <w:rPr>
          <w:rFonts w:ascii="Arial" w:eastAsia="Calibri" w:hAnsi="Arial" w:cs="Arial"/>
          <w:lang w:val="en-ZA"/>
        </w:rPr>
        <w:tab/>
      </w:r>
      <w:r w:rsidR="002349A4" w:rsidRPr="00A42455">
        <w:rPr>
          <w:rFonts w:ascii="Arial" w:eastAsia="Calibri" w:hAnsi="Arial" w:cs="Arial"/>
          <w:lang w:val="en-ZA"/>
        </w:rPr>
        <w:t xml:space="preserve">In </w:t>
      </w:r>
      <w:r w:rsidRPr="00A42455">
        <w:rPr>
          <w:rFonts w:ascii="Arial" w:eastAsia="Calibri" w:hAnsi="Arial" w:cs="Arial"/>
          <w:i/>
          <w:lang w:val="en-ZA"/>
        </w:rPr>
        <w:t xml:space="preserve">Preller v </w:t>
      </w:r>
      <w:proofErr w:type="spellStart"/>
      <w:r w:rsidRPr="00A42455">
        <w:rPr>
          <w:rFonts w:ascii="Arial" w:eastAsia="Calibri" w:hAnsi="Arial" w:cs="Arial"/>
          <w:i/>
          <w:lang w:val="en-ZA"/>
        </w:rPr>
        <w:t>Jordaan</w:t>
      </w:r>
      <w:proofErr w:type="spellEnd"/>
      <w:r w:rsidRPr="00A42455">
        <w:rPr>
          <w:rFonts w:ascii="Arial" w:eastAsia="Calibri" w:hAnsi="Arial" w:cs="Arial"/>
          <w:i/>
          <w:lang w:val="en-ZA"/>
        </w:rPr>
        <w:t xml:space="preserve"> and another</w:t>
      </w:r>
      <w:r w:rsidRPr="00A42455">
        <w:rPr>
          <w:rFonts w:ascii="Arial" w:eastAsia="Calibri" w:hAnsi="Arial" w:cs="Arial"/>
          <w:vertAlign w:val="superscript"/>
          <w:lang w:val="en-ZA"/>
        </w:rPr>
        <w:footnoteReference w:id="7"/>
      </w:r>
      <w:r w:rsidR="00D956A9">
        <w:rPr>
          <w:rFonts w:ascii="Arial" w:eastAsia="Calibri" w:hAnsi="Arial" w:cs="Arial"/>
          <w:i/>
          <w:lang w:val="en-ZA"/>
        </w:rPr>
        <w:t xml:space="preserve"> </w:t>
      </w:r>
      <w:r w:rsidR="002349A4" w:rsidRPr="00A42455">
        <w:rPr>
          <w:rFonts w:ascii="Arial" w:eastAsia="Calibri" w:hAnsi="Arial" w:cs="Arial"/>
          <w:iCs/>
          <w:lang w:val="en-ZA"/>
        </w:rPr>
        <w:t>the court stated as follows</w:t>
      </w:r>
      <w:r w:rsidRPr="00A42455">
        <w:rPr>
          <w:rFonts w:ascii="Arial" w:eastAsia="Calibri" w:hAnsi="Arial" w:cs="Arial"/>
          <w:lang w:val="en-ZA"/>
        </w:rPr>
        <w:t>:</w:t>
      </w:r>
    </w:p>
    <w:p w14:paraId="0AF74742" w14:textId="6EA9902D" w:rsidR="000F4F29" w:rsidRPr="00A42455" w:rsidRDefault="000F4F29" w:rsidP="006740EF">
      <w:pPr>
        <w:spacing w:line="360" w:lineRule="auto"/>
        <w:contextualSpacing/>
        <w:jc w:val="both"/>
        <w:rPr>
          <w:rFonts w:ascii="Arial" w:eastAsia="Calibri" w:hAnsi="Arial" w:cs="Arial"/>
          <w:sz w:val="22"/>
          <w:szCs w:val="22"/>
          <w:lang w:val="en-ZA"/>
        </w:rPr>
      </w:pPr>
      <w:r w:rsidRPr="00A42455">
        <w:rPr>
          <w:rFonts w:ascii="Arial" w:eastAsia="Calibri" w:hAnsi="Arial" w:cs="Arial"/>
          <w:sz w:val="22"/>
          <w:szCs w:val="22"/>
          <w:lang w:val="en-ZA"/>
        </w:rPr>
        <w:t>‘</w:t>
      </w:r>
      <w:r w:rsidR="004C3634" w:rsidRPr="004C3634">
        <w:rPr>
          <w:rFonts w:ascii="Arial" w:eastAsia="Calibri" w:hAnsi="Arial" w:cs="Arial"/>
          <w:sz w:val="22"/>
          <w:lang w:eastAsia="en-US"/>
        </w:rPr>
        <w:t>It is clear that a discretion is given to the Taxing Master to award such costs etc., “. . . as appear to him to have been necessary and proper . . .” and that the discretion also applies to the limitations contained in the proviso to the effect that no costs shall be awarded “which appear to the Taxing Master” to have been incurred through overcaution, etc. Since the discretion is vested in the Taxing Master, the reviewing Court will not interfere with his decisions unless it is found that he has not exercised his discretion properly, as for example, when he has been actuated by some improper motive, or has not applied his mind to the matter, or has disregarded factors or principles which were proper for him to consider, or considered others which it was  improper for him to consider, or acted upon wrong principles or wrongly interpreted rules of law, or gave a ruling which no reasonable man would have given</w:t>
      </w:r>
      <w:r w:rsidRPr="00A42455">
        <w:rPr>
          <w:rFonts w:ascii="Arial" w:eastAsia="Calibri" w:hAnsi="Arial" w:cs="Arial"/>
          <w:sz w:val="22"/>
          <w:szCs w:val="22"/>
          <w:lang w:val="en-ZA"/>
        </w:rPr>
        <w:t>.’</w:t>
      </w:r>
    </w:p>
    <w:p w14:paraId="4B756214" w14:textId="77777777" w:rsidR="000F4F29" w:rsidRPr="00A42455" w:rsidRDefault="000F4F29" w:rsidP="000F4F29">
      <w:pPr>
        <w:spacing w:line="360" w:lineRule="auto"/>
        <w:ind w:left="720"/>
        <w:contextualSpacing/>
        <w:jc w:val="both"/>
        <w:rPr>
          <w:rFonts w:ascii="Arial" w:eastAsia="Calibri" w:hAnsi="Arial" w:cs="Arial"/>
          <w:lang w:val="en-ZA"/>
        </w:rPr>
      </w:pPr>
    </w:p>
    <w:p w14:paraId="71406E75" w14:textId="1D5F1ADF" w:rsidR="000F4F29" w:rsidRPr="00A42455" w:rsidRDefault="000F4F29" w:rsidP="000F4F29">
      <w:pPr>
        <w:spacing w:line="360" w:lineRule="auto"/>
        <w:contextualSpacing/>
        <w:jc w:val="both"/>
        <w:rPr>
          <w:rFonts w:ascii="Arial" w:hAnsi="Arial" w:cs="Arial"/>
          <w:shd w:val="clear" w:color="auto" w:fill="FFFFFF"/>
          <w:lang w:val="en-ZA"/>
        </w:rPr>
      </w:pPr>
      <w:r w:rsidRPr="00A42455">
        <w:rPr>
          <w:rFonts w:ascii="Arial" w:eastAsia="Calibri" w:hAnsi="Arial" w:cs="Arial"/>
          <w:lang w:val="en-ZA"/>
        </w:rPr>
        <w:t>[</w:t>
      </w:r>
      <w:r w:rsidR="00207E27">
        <w:rPr>
          <w:rFonts w:ascii="Arial" w:eastAsia="Calibri" w:hAnsi="Arial" w:cs="Arial"/>
          <w:lang w:val="en-ZA"/>
        </w:rPr>
        <w:t>13</w:t>
      </w:r>
      <w:r w:rsidRPr="00A42455">
        <w:rPr>
          <w:rFonts w:ascii="Arial" w:eastAsia="Calibri" w:hAnsi="Arial" w:cs="Arial"/>
          <w:lang w:val="en-ZA"/>
        </w:rPr>
        <w:t>]</w:t>
      </w:r>
      <w:r w:rsidRPr="00A42455">
        <w:rPr>
          <w:rFonts w:ascii="Arial" w:eastAsia="Calibri" w:hAnsi="Arial" w:cs="Arial"/>
          <w:lang w:val="en-ZA"/>
        </w:rPr>
        <w:tab/>
        <w:t>Accordingly, a court will only interfere with a taxing master’s decision if it was ‘</w:t>
      </w:r>
      <w:r w:rsidRPr="00A42455">
        <w:rPr>
          <w:rFonts w:ascii="Arial" w:hAnsi="Arial" w:cs="Arial"/>
          <w:shd w:val="clear" w:color="auto" w:fill="FFFFFF"/>
          <w:lang w:val="en-ZA"/>
        </w:rPr>
        <w:t>mala fide; or from ulterior purpose or improper motives; or has not applied his mind to the matter or exercised his discretion at all; or if he disregarded regulatory prescripts’.</w:t>
      </w:r>
      <w:r w:rsidRPr="00A42455">
        <w:rPr>
          <w:rStyle w:val="FootnoteReference"/>
          <w:rFonts w:ascii="Arial" w:hAnsi="Arial" w:cs="Arial"/>
          <w:shd w:val="clear" w:color="auto" w:fill="FFFFFF"/>
          <w:lang w:val="en-ZA"/>
        </w:rPr>
        <w:footnoteReference w:id="8"/>
      </w:r>
      <w:r w:rsidRPr="00A42455">
        <w:rPr>
          <w:rFonts w:ascii="Arial" w:hAnsi="Arial" w:cs="Arial"/>
          <w:shd w:val="clear" w:color="auto" w:fill="FFFFFF"/>
          <w:lang w:val="en-ZA"/>
        </w:rPr>
        <w:t xml:space="preserve"> A court must be satisfied that the taxing master’s decision was ‘clearly wrong’.</w:t>
      </w:r>
      <w:r w:rsidRPr="00A42455">
        <w:rPr>
          <w:rStyle w:val="FootnoteReference"/>
          <w:rFonts w:ascii="Arial" w:hAnsi="Arial" w:cs="Arial"/>
          <w:shd w:val="clear" w:color="auto" w:fill="FFFFFF"/>
          <w:lang w:val="en-ZA"/>
        </w:rPr>
        <w:footnoteReference w:id="9"/>
      </w:r>
    </w:p>
    <w:p w14:paraId="4616F880" w14:textId="77777777" w:rsidR="00854E82" w:rsidRPr="00A42455" w:rsidRDefault="00854E82" w:rsidP="000F4F29">
      <w:pPr>
        <w:spacing w:line="360" w:lineRule="auto"/>
        <w:contextualSpacing/>
        <w:jc w:val="both"/>
        <w:rPr>
          <w:rFonts w:ascii="Arial" w:eastAsia="Calibri" w:hAnsi="Arial" w:cs="Arial"/>
          <w:bCs/>
          <w:lang w:val="en-ZA"/>
        </w:rPr>
      </w:pPr>
    </w:p>
    <w:p w14:paraId="098136DB" w14:textId="3CED9C39" w:rsidR="000F4F29" w:rsidRPr="00A42455" w:rsidRDefault="000F4F29" w:rsidP="000F4F29">
      <w:pPr>
        <w:spacing w:line="360" w:lineRule="auto"/>
        <w:contextualSpacing/>
        <w:jc w:val="both"/>
        <w:rPr>
          <w:rFonts w:ascii="Arial" w:eastAsia="Calibri" w:hAnsi="Arial" w:cs="Arial"/>
          <w:b/>
          <w:bCs/>
          <w:lang w:val="en-ZA"/>
        </w:rPr>
      </w:pPr>
      <w:r w:rsidRPr="00A42455">
        <w:rPr>
          <w:rFonts w:ascii="Arial" w:eastAsia="Calibri" w:hAnsi="Arial" w:cs="Arial"/>
          <w:b/>
          <w:bCs/>
          <w:lang w:val="en-ZA"/>
        </w:rPr>
        <w:t xml:space="preserve">Further information provided by the </w:t>
      </w:r>
      <w:r w:rsidR="00D956A9" w:rsidRPr="00A42455">
        <w:rPr>
          <w:rFonts w:ascii="Arial" w:eastAsia="Calibri" w:hAnsi="Arial" w:cs="Arial"/>
          <w:b/>
          <w:bCs/>
          <w:lang w:val="en-ZA"/>
        </w:rPr>
        <w:t>applica</w:t>
      </w:r>
      <w:r w:rsidR="00D956A9">
        <w:rPr>
          <w:rFonts w:ascii="Arial" w:eastAsia="Calibri" w:hAnsi="Arial" w:cs="Arial"/>
          <w:b/>
          <w:bCs/>
          <w:lang w:val="en-ZA"/>
        </w:rPr>
        <w:t>nt</w:t>
      </w:r>
    </w:p>
    <w:p w14:paraId="3D22268E" w14:textId="7E36223F" w:rsidR="000F4F29" w:rsidRPr="00A42455" w:rsidRDefault="000F4F29" w:rsidP="000F4F29">
      <w:pPr>
        <w:spacing w:line="360" w:lineRule="auto"/>
        <w:contextualSpacing/>
        <w:jc w:val="both"/>
        <w:rPr>
          <w:rFonts w:ascii="Arial" w:eastAsia="Calibri" w:hAnsi="Arial" w:cs="Arial"/>
          <w:lang w:val="en-ZA"/>
        </w:rPr>
      </w:pPr>
      <w:r w:rsidRPr="00A42455">
        <w:rPr>
          <w:rFonts w:ascii="Arial" w:eastAsia="Calibri" w:hAnsi="Arial" w:cs="Arial"/>
          <w:lang w:val="en-ZA"/>
        </w:rPr>
        <w:t>[</w:t>
      </w:r>
      <w:r w:rsidR="00207E27">
        <w:rPr>
          <w:rFonts w:ascii="Arial" w:eastAsia="Calibri" w:hAnsi="Arial" w:cs="Arial"/>
          <w:lang w:val="en-ZA"/>
        </w:rPr>
        <w:t>14</w:t>
      </w:r>
      <w:r w:rsidRPr="00A42455">
        <w:rPr>
          <w:rFonts w:ascii="Arial" w:eastAsia="Calibri" w:hAnsi="Arial" w:cs="Arial"/>
          <w:lang w:val="en-ZA"/>
        </w:rPr>
        <w:t>]</w:t>
      </w:r>
      <w:r w:rsidRPr="00A42455">
        <w:rPr>
          <w:rFonts w:ascii="Arial" w:eastAsia="Calibri" w:hAnsi="Arial" w:cs="Arial"/>
          <w:lang w:val="en-ZA"/>
        </w:rPr>
        <w:tab/>
      </w:r>
      <w:r w:rsidR="00906CBB" w:rsidRPr="00A42455">
        <w:rPr>
          <w:rFonts w:ascii="Arial" w:eastAsia="Calibri" w:hAnsi="Arial" w:cs="Arial"/>
          <w:lang w:val="en-ZA"/>
        </w:rPr>
        <w:t>As mentioned already</w:t>
      </w:r>
      <w:r w:rsidR="004C3634">
        <w:rPr>
          <w:rFonts w:ascii="Arial" w:eastAsia="Calibri" w:hAnsi="Arial" w:cs="Arial"/>
          <w:lang w:val="en-ZA"/>
        </w:rPr>
        <w:t>,</w:t>
      </w:r>
      <w:r w:rsidR="00906CBB" w:rsidRPr="00A42455">
        <w:rPr>
          <w:rFonts w:ascii="Arial" w:eastAsia="Calibri" w:hAnsi="Arial" w:cs="Arial"/>
          <w:lang w:val="en-ZA"/>
        </w:rPr>
        <w:t xml:space="preserve"> the</w:t>
      </w:r>
      <w:r w:rsidRPr="00A42455">
        <w:rPr>
          <w:rFonts w:ascii="Arial" w:eastAsia="Calibri" w:hAnsi="Arial" w:cs="Arial"/>
          <w:lang w:val="en-ZA"/>
        </w:rPr>
        <w:t xml:space="preserve"> applicant was represented by a cost consultant at the taxation. The applicant’s submissions to the taxing master’s stated case in some instances contains information and/or submissions which appear not to have been presented at the taxation.</w:t>
      </w:r>
    </w:p>
    <w:p w14:paraId="622DFBDC" w14:textId="77777777" w:rsidR="000F4F29" w:rsidRPr="00A42455" w:rsidRDefault="000F4F29" w:rsidP="000F4F29">
      <w:pPr>
        <w:spacing w:line="360" w:lineRule="auto"/>
        <w:contextualSpacing/>
        <w:jc w:val="both"/>
        <w:rPr>
          <w:rFonts w:ascii="Arial" w:eastAsia="Calibri" w:hAnsi="Arial" w:cs="Arial"/>
          <w:lang w:val="en-ZA"/>
        </w:rPr>
      </w:pPr>
    </w:p>
    <w:p w14:paraId="192424CE" w14:textId="028EFC3F" w:rsidR="000F4F29" w:rsidRPr="00A42455" w:rsidRDefault="000F4F29" w:rsidP="000F4F29">
      <w:pPr>
        <w:spacing w:line="360" w:lineRule="auto"/>
        <w:contextualSpacing/>
        <w:jc w:val="both"/>
        <w:rPr>
          <w:rFonts w:ascii="Arial" w:hAnsi="Arial" w:cs="Arial"/>
          <w:lang w:val="en-ZA"/>
        </w:rPr>
      </w:pPr>
      <w:r w:rsidRPr="00A42455">
        <w:rPr>
          <w:rFonts w:ascii="Arial" w:eastAsia="Calibri" w:hAnsi="Arial" w:cs="Arial"/>
          <w:lang w:val="en-ZA"/>
        </w:rPr>
        <w:t>[</w:t>
      </w:r>
      <w:r w:rsidR="00207E27">
        <w:rPr>
          <w:rFonts w:ascii="Arial" w:eastAsia="Calibri" w:hAnsi="Arial" w:cs="Arial"/>
          <w:lang w:val="en-ZA"/>
        </w:rPr>
        <w:t>15</w:t>
      </w:r>
      <w:r w:rsidRPr="00A42455">
        <w:rPr>
          <w:rFonts w:ascii="Arial" w:eastAsia="Calibri" w:hAnsi="Arial" w:cs="Arial"/>
          <w:lang w:val="en-ZA"/>
        </w:rPr>
        <w:t>]</w:t>
      </w:r>
      <w:r w:rsidRPr="00A42455">
        <w:rPr>
          <w:rFonts w:ascii="Arial" w:eastAsia="Calibri" w:hAnsi="Arial" w:cs="Arial"/>
          <w:lang w:val="en-ZA"/>
        </w:rPr>
        <w:tab/>
      </w:r>
      <w:r w:rsidR="00906CBB" w:rsidRPr="00A42455">
        <w:rPr>
          <w:rFonts w:ascii="Arial" w:eastAsia="Calibri" w:hAnsi="Arial" w:cs="Arial"/>
          <w:bCs/>
          <w:lang w:val="en-ZA"/>
        </w:rPr>
        <w:t>In this regard it</w:t>
      </w:r>
      <w:r w:rsidRPr="00A42455">
        <w:rPr>
          <w:rFonts w:ascii="Arial" w:eastAsia="Calibri" w:hAnsi="Arial" w:cs="Arial"/>
          <w:bCs/>
          <w:lang w:val="en-ZA"/>
        </w:rPr>
        <w:t xml:space="preserve"> has been held that </w:t>
      </w:r>
      <w:r w:rsidRPr="00A42455">
        <w:rPr>
          <w:rFonts w:ascii="Arial" w:hAnsi="Arial" w:cs="Arial"/>
          <w:b/>
          <w:bCs/>
          <w:lang w:val="en-ZA"/>
        </w:rPr>
        <w:t>‘</w:t>
      </w:r>
      <w:r w:rsidR="00D956A9" w:rsidRPr="00207E27">
        <w:rPr>
          <w:rFonts w:ascii="Arial" w:hAnsi="Arial" w:cs="Arial"/>
          <w:bCs/>
          <w:lang w:val="en-ZA"/>
        </w:rPr>
        <w:t>[</w:t>
      </w:r>
      <w:proofErr w:type="spellStart"/>
      <w:r w:rsidR="00D956A9" w:rsidRPr="00A801EB">
        <w:rPr>
          <w:rFonts w:ascii="Arial" w:hAnsi="Arial" w:cs="Arial"/>
          <w:lang w:val="en-ZA"/>
        </w:rPr>
        <w:t>i</w:t>
      </w:r>
      <w:proofErr w:type="spellEnd"/>
      <w:r w:rsidR="00D956A9" w:rsidRPr="00207E27">
        <w:rPr>
          <w:rFonts w:ascii="Arial" w:hAnsi="Arial" w:cs="Arial"/>
          <w:lang w:val="en-ZA"/>
        </w:rPr>
        <w:t>]</w:t>
      </w:r>
      <w:r w:rsidRPr="00A42455">
        <w:rPr>
          <w:rFonts w:ascii="Arial" w:hAnsi="Arial" w:cs="Arial"/>
          <w:lang w:val="en-ZA"/>
        </w:rPr>
        <w:t>f no effort is made to do so or if when an item is challenged a party fails to make available the information at his disposal to support his contention, he cannot blame a taxing officer who disallows the item’.</w:t>
      </w:r>
      <w:r w:rsidRPr="00A42455">
        <w:rPr>
          <w:rFonts w:ascii="Arial" w:hAnsi="Arial" w:cs="Arial"/>
          <w:vertAlign w:val="superscript"/>
          <w:lang w:val="en-ZA"/>
        </w:rPr>
        <w:footnoteReference w:id="10"/>
      </w:r>
    </w:p>
    <w:p w14:paraId="1AA4AC4F" w14:textId="77777777" w:rsidR="000F4F29" w:rsidRPr="00A42455" w:rsidRDefault="000F4F29" w:rsidP="000F4F29">
      <w:pPr>
        <w:spacing w:line="360" w:lineRule="auto"/>
        <w:contextualSpacing/>
        <w:jc w:val="both"/>
        <w:rPr>
          <w:rFonts w:ascii="Arial" w:eastAsia="Calibri" w:hAnsi="Arial" w:cs="Arial"/>
          <w:bCs/>
          <w:lang w:val="en-ZA"/>
        </w:rPr>
      </w:pPr>
    </w:p>
    <w:p w14:paraId="3A731264" w14:textId="278F1778" w:rsidR="000F4F29" w:rsidRPr="00A42455" w:rsidRDefault="000F4F29" w:rsidP="000F4F29">
      <w:pPr>
        <w:spacing w:line="360" w:lineRule="auto"/>
        <w:contextualSpacing/>
        <w:jc w:val="both"/>
        <w:rPr>
          <w:rFonts w:ascii="Arial" w:hAnsi="Arial" w:cs="Arial"/>
          <w:lang w:val="en-ZA"/>
        </w:rPr>
      </w:pPr>
      <w:r w:rsidRPr="00A42455">
        <w:rPr>
          <w:rFonts w:ascii="Arial" w:eastAsia="Calibri" w:hAnsi="Arial" w:cs="Arial"/>
          <w:bCs/>
          <w:lang w:val="en-ZA"/>
        </w:rPr>
        <w:t>[</w:t>
      </w:r>
      <w:r w:rsidR="00207E27">
        <w:rPr>
          <w:rFonts w:ascii="Arial" w:eastAsia="Calibri" w:hAnsi="Arial" w:cs="Arial"/>
          <w:bCs/>
          <w:lang w:val="en-ZA"/>
        </w:rPr>
        <w:t>16</w:t>
      </w:r>
      <w:r w:rsidRPr="00A42455">
        <w:rPr>
          <w:rFonts w:ascii="Arial" w:eastAsia="Calibri" w:hAnsi="Arial" w:cs="Arial"/>
          <w:bCs/>
          <w:lang w:val="en-ZA"/>
        </w:rPr>
        <w:t>]</w:t>
      </w:r>
      <w:r w:rsidRPr="00A42455">
        <w:rPr>
          <w:rFonts w:ascii="Arial" w:eastAsia="Calibri" w:hAnsi="Arial" w:cs="Arial"/>
          <w:bCs/>
          <w:lang w:val="en-ZA"/>
        </w:rPr>
        <w:tab/>
        <w:t xml:space="preserve">Whether such information is then to be allowed at the review is up to the </w:t>
      </w:r>
      <w:r w:rsidR="00EA5058" w:rsidRPr="00A42455">
        <w:rPr>
          <w:rFonts w:ascii="Arial" w:eastAsia="Calibri" w:hAnsi="Arial" w:cs="Arial"/>
          <w:bCs/>
          <w:lang w:val="en-ZA"/>
        </w:rPr>
        <w:t>judge</w:t>
      </w:r>
      <w:r w:rsidRPr="00A42455">
        <w:rPr>
          <w:rFonts w:ascii="Arial" w:eastAsia="Calibri" w:hAnsi="Arial" w:cs="Arial"/>
          <w:bCs/>
          <w:lang w:val="en-ZA"/>
        </w:rPr>
        <w:t xml:space="preserve">. See in this regard </w:t>
      </w:r>
      <w:r w:rsidRPr="00A42455">
        <w:rPr>
          <w:rFonts w:ascii="Arial" w:eastAsia="Calibri" w:hAnsi="Arial" w:cs="Arial"/>
          <w:bCs/>
          <w:i/>
          <w:lang w:val="en-ZA"/>
        </w:rPr>
        <w:t>Van der Westhuizen v Gibbon and another</w:t>
      </w:r>
      <w:r w:rsidRPr="00A42455">
        <w:rPr>
          <w:rFonts w:ascii="Arial" w:eastAsia="Calibri" w:hAnsi="Arial" w:cs="Arial"/>
          <w:bCs/>
          <w:lang w:val="en-ZA"/>
        </w:rPr>
        <w:t>:</w:t>
      </w:r>
    </w:p>
    <w:p w14:paraId="27072E2E" w14:textId="77777777" w:rsidR="00EA5058" w:rsidRPr="00A42455" w:rsidRDefault="000F4F29" w:rsidP="00EA5058">
      <w:pPr>
        <w:spacing w:line="360" w:lineRule="auto"/>
        <w:contextualSpacing/>
        <w:jc w:val="both"/>
        <w:rPr>
          <w:rFonts w:ascii="Arial" w:hAnsi="Arial" w:cs="Arial"/>
          <w:sz w:val="22"/>
          <w:szCs w:val="22"/>
          <w:lang w:val="en-ZA"/>
        </w:rPr>
      </w:pPr>
      <w:r w:rsidRPr="00A42455">
        <w:rPr>
          <w:rFonts w:ascii="Arial" w:hAnsi="Arial" w:cs="Arial"/>
          <w:sz w:val="22"/>
          <w:szCs w:val="22"/>
          <w:lang w:val="en-ZA"/>
        </w:rPr>
        <w:t>‘For the purposes of this matter I will assume, without deciding the question, that it is permissible for the reviewing Judge or Court, acting by virtue of the powers conferred by Rule 48, to hear further evidence on the merits of an item in issue. No authority is to be found, however, for the view that a party who has failed to lay any evidence or facts before a Taxing Master to support an item to which objection has been taken can as of right lay further evidence before the reviewing Judge or Court. That the reviewing Judge or Court has a discretion as to whether further evidence will be allowed appears to have been the view of GALGUT J - as he then was - in </w:t>
      </w:r>
      <w:r w:rsidRPr="00A42455">
        <w:rPr>
          <w:rFonts w:ascii="Arial" w:hAnsi="Arial" w:cs="Arial"/>
          <w:i/>
          <w:iCs/>
          <w:sz w:val="22"/>
          <w:szCs w:val="22"/>
          <w:lang w:val="en-ZA"/>
        </w:rPr>
        <w:t>City Deep Ltd v Johannesburg City Council (supra</w:t>
      </w:r>
      <w:r w:rsidRPr="00A42455">
        <w:rPr>
          <w:rFonts w:ascii="Arial" w:hAnsi="Arial" w:cs="Arial"/>
          <w:sz w:val="22"/>
          <w:szCs w:val="22"/>
          <w:lang w:val="en-ZA"/>
        </w:rPr>
        <w:t> at 120) where the learned Judge states that</w:t>
      </w:r>
    </w:p>
    <w:p w14:paraId="591C0B62" w14:textId="0450B39D" w:rsidR="000F4F29" w:rsidRPr="00A42455" w:rsidRDefault="000F4F29" w:rsidP="00EA5058">
      <w:pPr>
        <w:spacing w:line="360" w:lineRule="auto"/>
        <w:ind w:left="720"/>
        <w:contextualSpacing/>
        <w:jc w:val="both"/>
        <w:rPr>
          <w:rFonts w:ascii="Arial" w:hAnsi="Arial" w:cs="Arial"/>
          <w:sz w:val="22"/>
          <w:szCs w:val="22"/>
          <w:lang w:val="en-ZA"/>
        </w:rPr>
      </w:pPr>
      <w:r w:rsidRPr="00A42455">
        <w:rPr>
          <w:rFonts w:ascii="Arial" w:hAnsi="Arial" w:cs="Arial"/>
          <w:sz w:val="22"/>
          <w:szCs w:val="22"/>
          <w:lang w:val="en-ZA"/>
        </w:rPr>
        <w:t>"... if the item is still disputed on review by the opponent or the taxing officer then the applicant cannot expect that the reviewing Court will, in the absence of any amendment or rectification, go out of its way to allow facts to be placed before it which could and should have been placed before the taxing officer. There must be an end to all litigation including taxation. I have not overlooked Rule 48 (2), which provides that a party can 'submit contentions in writing... including grounds of objection not advanced at the taxation'. This does not absolve a party from his duty to draw a bill of costs properly and correctly; nor does it absolve him from his duty to satisfy the Taxing Master that the work was done and was necessary. Hence, if he fails to do what is required of him, then, despite the above Rule, he must not expect the reviewing Court to be too solicitous on his behalf. Each case will depend on its own facts. The reviewing Court in the exercise of its discretion will have regard to all the factors. It will not lightly reverse a taxing officer's ruling on an objection raised for the first time on review."’</w:t>
      </w:r>
      <w:r w:rsidRPr="00A42455">
        <w:rPr>
          <w:rFonts w:ascii="Arial" w:hAnsi="Arial" w:cs="Arial"/>
          <w:vertAlign w:val="superscript"/>
          <w:lang w:val="en-ZA"/>
        </w:rPr>
        <w:footnoteReference w:id="11"/>
      </w:r>
    </w:p>
    <w:p w14:paraId="210B580D" w14:textId="77777777" w:rsidR="00906CBB" w:rsidRPr="00A42455" w:rsidRDefault="00906CBB" w:rsidP="000F4F29">
      <w:pPr>
        <w:spacing w:line="360" w:lineRule="auto"/>
        <w:contextualSpacing/>
        <w:jc w:val="both"/>
        <w:rPr>
          <w:rFonts w:ascii="Arial" w:hAnsi="Arial" w:cs="Arial"/>
          <w:lang w:val="en-ZA"/>
        </w:rPr>
      </w:pPr>
    </w:p>
    <w:p w14:paraId="45AA8BE4" w14:textId="426F9F94" w:rsidR="000F4F29" w:rsidRPr="00A42455" w:rsidRDefault="000F4F29" w:rsidP="000F4F29">
      <w:pPr>
        <w:spacing w:line="360" w:lineRule="auto"/>
        <w:contextualSpacing/>
        <w:jc w:val="both"/>
        <w:rPr>
          <w:rFonts w:ascii="Arial" w:eastAsia="Calibri" w:hAnsi="Arial" w:cs="Arial"/>
          <w:bCs/>
          <w:lang w:val="en-ZA"/>
        </w:rPr>
      </w:pPr>
      <w:r w:rsidRPr="00A42455">
        <w:rPr>
          <w:rFonts w:ascii="Arial" w:hAnsi="Arial" w:cs="Arial"/>
          <w:lang w:val="en-ZA"/>
        </w:rPr>
        <w:t>[</w:t>
      </w:r>
      <w:r w:rsidR="00207E27">
        <w:rPr>
          <w:rFonts w:ascii="Arial" w:hAnsi="Arial" w:cs="Arial"/>
          <w:lang w:val="en-ZA"/>
        </w:rPr>
        <w:t>17</w:t>
      </w:r>
      <w:r w:rsidRPr="00A42455">
        <w:rPr>
          <w:rFonts w:ascii="Arial" w:hAnsi="Arial" w:cs="Arial"/>
          <w:lang w:val="en-ZA"/>
        </w:rPr>
        <w:t>]</w:t>
      </w:r>
      <w:r w:rsidRPr="00A42455">
        <w:rPr>
          <w:rFonts w:ascii="Arial" w:hAnsi="Arial" w:cs="Arial"/>
          <w:lang w:val="en-ZA"/>
        </w:rPr>
        <w:tab/>
      </w:r>
      <w:r w:rsidRPr="00A42455">
        <w:rPr>
          <w:rFonts w:ascii="Arial" w:eastAsia="Calibri" w:hAnsi="Arial" w:cs="Arial"/>
          <w:bCs/>
          <w:lang w:val="en-ZA"/>
        </w:rPr>
        <w:t xml:space="preserve">The fairness in the introduction of </w:t>
      </w:r>
      <w:r w:rsidR="00207E27">
        <w:rPr>
          <w:rFonts w:ascii="Arial" w:eastAsia="Calibri" w:hAnsi="Arial" w:cs="Arial"/>
          <w:bCs/>
          <w:lang w:val="en-ZA"/>
        </w:rPr>
        <w:t xml:space="preserve">further </w:t>
      </w:r>
      <w:r w:rsidRPr="00A42455">
        <w:rPr>
          <w:rFonts w:ascii="Arial" w:eastAsia="Calibri" w:hAnsi="Arial" w:cs="Arial"/>
          <w:bCs/>
          <w:lang w:val="en-ZA"/>
        </w:rPr>
        <w:t xml:space="preserve">information which was not provided at taxation has also been raised by the respondent, who described it as a ‘proverbial second bite </w:t>
      </w:r>
      <w:r w:rsidR="00E43588" w:rsidRPr="00A42455">
        <w:rPr>
          <w:rFonts w:ascii="Arial" w:eastAsia="Calibri" w:hAnsi="Arial" w:cs="Arial"/>
          <w:bCs/>
          <w:lang w:val="en-ZA"/>
        </w:rPr>
        <w:t>at</w:t>
      </w:r>
      <w:r w:rsidRPr="00A42455">
        <w:rPr>
          <w:rFonts w:ascii="Arial" w:eastAsia="Calibri" w:hAnsi="Arial" w:cs="Arial"/>
          <w:bCs/>
          <w:lang w:val="en-ZA"/>
        </w:rPr>
        <w:t xml:space="preserve"> the cherry’. It will thus need to be determined in each instance whether or not such further evidence is to be allowed in the determination of the review.</w:t>
      </w:r>
    </w:p>
    <w:p w14:paraId="3AC58C6F" w14:textId="77777777" w:rsidR="000F4F29" w:rsidRPr="00A42455" w:rsidRDefault="000F4F29" w:rsidP="000F4F29">
      <w:pPr>
        <w:spacing w:line="360" w:lineRule="auto"/>
        <w:contextualSpacing/>
        <w:jc w:val="both"/>
        <w:rPr>
          <w:rFonts w:ascii="Arial" w:eastAsia="Calibri" w:hAnsi="Arial" w:cs="Arial"/>
          <w:lang w:val="en-ZA"/>
        </w:rPr>
      </w:pPr>
    </w:p>
    <w:p w14:paraId="6DF10879" w14:textId="20F93845" w:rsidR="000F4F29" w:rsidRPr="00A42455" w:rsidRDefault="000F4F29" w:rsidP="000F4F29">
      <w:pPr>
        <w:spacing w:line="360" w:lineRule="auto"/>
        <w:contextualSpacing/>
        <w:jc w:val="both"/>
        <w:rPr>
          <w:rFonts w:ascii="Arial" w:eastAsia="Calibri" w:hAnsi="Arial" w:cs="Arial"/>
          <w:b/>
          <w:bCs/>
          <w:iCs/>
          <w:lang w:val="en-ZA"/>
        </w:rPr>
      </w:pPr>
      <w:r w:rsidRPr="00A42455">
        <w:rPr>
          <w:rFonts w:ascii="Arial" w:eastAsia="Calibri" w:hAnsi="Arial" w:cs="Arial"/>
          <w:b/>
          <w:bCs/>
          <w:iCs/>
          <w:lang w:val="en-ZA"/>
        </w:rPr>
        <w:t>Disallowance of some Whats</w:t>
      </w:r>
      <w:r w:rsidR="005D0C1E" w:rsidRPr="00A42455">
        <w:rPr>
          <w:rFonts w:ascii="Arial" w:eastAsia="Calibri" w:hAnsi="Arial" w:cs="Arial"/>
          <w:b/>
          <w:bCs/>
          <w:iCs/>
          <w:lang w:val="en-ZA"/>
        </w:rPr>
        <w:t>A</w:t>
      </w:r>
      <w:r w:rsidRPr="00A42455">
        <w:rPr>
          <w:rFonts w:ascii="Arial" w:eastAsia="Calibri" w:hAnsi="Arial" w:cs="Arial"/>
          <w:b/>
          <w:bCs/>
          <w:iCs/>
          <w:lang w:val="en-ZA"/>
        </w:rPr>
        <w:t>pp messages</w:t>
      </w:r>
    </w:p>
    <w:p w14:paraId="52DF025E" w14:textId="7B862A4E" w:rsidR="000F4F29" w:rsidRPr="00A42455" w:rsidRDefault="000F4F29" w:rsidP="000F4F29">
      <w:pPr>
        <w:spacing w:line="360" w:lineRule="auto"/>
        <w:contextualSpacing/>
        <w:jc w:val="both"/>
        <w:rPr>
          <w:rFonts w:ascii="Arial" w:eastAsia="Calibri" w:hAnsi="Arial" w:cs="Arial"/>
          <w:lang w:val="en-ZA"/>
        </w:rPr>
      </w:pPr>
      <w:r w:rsidRPr="00A42455">
        <w:rPr>
          <w:rFonts w:ascii="Arial" w:eastAsia="Calibri" w:hAnsi="Arial" w:cs="Arial"/>
          <w:lang w:val="en-ZA"/>
        </w:rPr>
        <w:t>[</w:t>
      </w:r>
      <w:r w:rsidR="00207E27">
        <w:rPr>
          <w:rFonts w:ascii="Arial" w:eastAsia="Calibri" w:hAnsi="Arial" w:cs="Arial"/>
          <w:lang w:val="en-ZA"/>
        </w:rPr>
        <w:t>18</w:t>
      </w:r>
      <w:r w:rsidRPr="00A42455">
        <w:rPr>
          <w:rFonts w:ascii="Arial" w:eastAsia="Calibri" w:hAnsi="Arial" w:cs="Arial"/>
          <w:lang w:val="en-ZA"/>
        </w:rPr>
        <w:t>]</w:t>
      </w:r>
      <w:r w:rsidRPr="00A42455">
        <w:rPr>
          <w:rFonts w:ascii="Arial" w:eastAsia="Calibri" w:hAnsi="Arial" w:cs="Arial"/>
          <w:lang w:val="en-ZA"/>
        </w:rPr>
        <w:tab/>
      </w:r>
      <w:r w:rsidR="00704542">
        <w:rPr>
          <w:rFonts w:ascii="Arial" w:eastAsia="Calibri" w:hAnsi="Arial" w:cs="Arial"/>
          <w:lang w:val="en-ZA"/>
        </w:rPr>
        <w:t>The taxing master disallowed various Whats</w:t>
      </w:r>
      <w:r w:rsidR="005D0C1E">
        <w:rPr>
          <w:rFonts w:ascii="Arial" w:eastAsia="Calibri" w:hAnsi="Arial" w:cs="Arial"/>
          <w:lang w:val="en-ZA"/>
        </w:rPr>
        <w:t>A</w:t>
      </w:r>
      <w:r w:rsidR="00704542">
        <w:rPr>
          <w:rFonts w:ascii="Arial" w:eastAsia="Calibri" w:hAnsi="Arial" w:cs="Arial"/>
          <w:lang w:val="en-ZA"/>
        </w:rPr>
        <w:t>pp message</w:t>
      </w:r>
      <w:r w:rsidR="00D956A9">
        <w:rPr>
          <w:rFonts w:ascii="Arial" w:eastAsia="Calibri" w:hAnsi="Arial" w:cs="Arial"/>
          <w:lang w:val="en-ZA"/>
        </w:rPr>
        <w:t>s</w:t>
      </w:r>
      <w:r w:rsidR="00704542">
        <w:rPr>
          <w:rFonts w:ascii="Arial" w:eastAsia="Calibri" w:hAnsi="Arial" w:cs="Arial"/>
          <w:lang w:val="en-ZA"/>
        </w:rPr>
        <w:t>. T</w:t>
      </w:r>
      <w:r w:rsidR="00704542" w:rsidRPr="00A42455">
        <w:rPr>
          <w:rFonts w:ascii="Arial" w:hAnsi="Arial" w:cs="Arial"/>
          <w:lang w:val="en-ZA"/>
        </w:rPr>
        <w:t xml:space="preserve">he respondent </w:t>
      </w:r>
      <w:r w:rsidR="00704542">
        <w:rPr>
          <w:rFonts w:ascii="Arial" w:hAnsi="Arial" w:cs="Arial"/>
          <w:lang w:val="en-ZA"/>
        </w:rPr>
        <w:t>provided</w:t>
      </w:r>
      <w:r w:rsidR="00704542" w:rsidRPr="00A42455">
        <w:rPr>
          <w:rFonts w:ascii="Arial" w:hAnsi="Arial" w:cs="Arial"/>
          <w:lang w:val="en-ZA"/>
        </w:rPr>
        <w:t xml:space="preserve"> some further insight into what had happened at the taxation</w:t>
      </w:r>
      <w:r w:rsidR="00704542">
        <w:rPr>
          <w:rFonts w:ascii="Arial" w:hAnsi="Arial" w:cs="Arial"/>
          <w:lang w:val="en-ZA"/>
        </w:rPr>
        <w:t xml:space="preserve"> with regard to the Whats</w:t>
      </w:r>
      <w:r w:rsidR="005D0C1E">
        <w:rPr>
          <w:rFonts w:ascii="Arial" w:hAnsi="Arial" w:cs="Arial"/>
          <w:lang w:val="en-ZA"/>
        </w:rPr>
        <w:t>A</w:t>
      </w:r>
      <w:r w:rsidR="00704542">
        <w:rPr>
          <w:rFonts w:ascii="Arial" w:hAnsi="Arial" w:cs="Arial"/>
          <w:lang w:val="en-ZA"/>
        </w:rPr>
        <w:t>pp messages</w:t>
      </w:r>
      <w:r w:rsidR="00704542" w:rsidRPr="00A42455">
        <w:rPr>
          <w:rFonts w:ascii="Arial" w:hAnsi="Arial" w:cs="Arial"/>
          <w:lang w:val="en-ZA"/>
        </w:rPr>
        <w:t>, and it appears that the primary reason why the Whats</w:t>
      </w:r>
      <w:r w:rsidR="005D0C1E" w:rsidRPr="00A42455">
        <w:rPr>
          <w:rFonts w:ascii="Arial" w:hAnsi="Arial" w:cs="Arial"/>
          <w:lang w:val="en-ZA"/>
        </w:rPr>
        <w:t>A</w:t>
      </w:r>
      <w:r w:rsidR="00704542" w:rsidRPr="00A42455">
        <w:rPr>
          <w:rFonts w:ascii="Arial" w:hAnsi="Arial" w:cs="Arial"/>
          <w:lang w:val="en-ZA"/>
        </w:rPr>
        <w:t xml:space="preserve">pp messages were taxed off relate to the fact that they were less than 250 words. </w:t>
      </w:r>
    </w:p>
    <w:p w14:paraId="506AA617" w14:textId="77777777" w:rsidR="000F4F29" w:rsidRPr="00A42455" w:rsidRDefault="000F4F29" w:rsidP="000F4F29">
      <w:pPr>
        <w:spacing w:line="360" w:lineRule="auto"/>
        <w:contextualSpacing/>
        <w:jc w:val="both"/>
        <w:rPr>
          <w:rFonts w:ascii="Arial" w:eastAsia="Calibri" w:hAnsi="Arial" w:cs="Arial"/>
          <w:lang w:val="en-ZA"/>
        </w:rPr>
      </w:pPr>
    </w:p>
    <w:p w14:paraId="2672A74F" w14:textId="7FBF5C07" w:rsidR="000F4F29" w:rsidRPr="00A42455" w:rsidRDefault="000F4F29" w:rsidP="000F4F29">
      <w:pPr>
        <w:spacing w:line="360" w:lineRule="auto"/>
        <w:contextualSpacing/>
        <w:jc w:val="both"/>
        <w:rPr>
          <w:rFonts w:ascii="Arial" w:eastAsia="Calibri" w:hAnsi="Arial" w:cs="Arial"/>
          <w:lang w:val="en-ZA"/>
        </w:rPr>
      </w:pPr>
      <w:r w:rsidRPr="00A42455">
        <w:rPr>
          <w:rFonts w:ascii="Arial" w:eastAsia="Calibri" w:hAnsi="Arial" w:cs="Arial"/>
          <w:lang w:val="en-ZA"/>
        </w:rPr>
        <w:t>[</w:t>
      </w:r>
      <w:r w:rsidR="00207E27">
        <w:rPr>
          <w:rFonts w:ascii="Arial" w:eastAsia="Calibri" w:hAnsi="Arial" w:cs="Arial"/>
          <w:lang w:val="en-ZA"/>
        </w:rPr>
        <w:t>19</w:t>
      </w:r>
      <w:r w:rsidRPr="00A42455">
        <w:rPr>
          <w:rFonts w:ascii="Arial" w:eastAsia="Calibri" w:hAnsi="Arial" w:cs="Arial"/>
          <w:lang w:val="en-ZA"/>
        </w:rPr>
        <w:t>]</w:t>
      </w:r>
      <w:r w:rsidRPr="00A42455">
        <w:rPr>
          <w:rFonts w:ascii="Arial" w:eastAsia="Calibri" w:hAnsi="Arial" w:cs="Arial"/>
          <w:lang w:val="en-ZA"/>
        </w:rPr>
        <w:tab/>
        <w:t xml:space="preserve">The prescribed tariff set out in item B3 of </w:t>
      </w:r>
      <w:r w:rsidR="005D0C1E" w:rsidRPr="00A42455">
        <w:rPr>
          <w:rFonts w:ascii="Arial" w:eastAsia="Calibri" w:hAnsi="Arial" w:cs="Arial"/>
          <w:lang w:val="en-ZA"/>
        </w:rPr>
        <w:t xml:space="preserve">rule </w:t>
      </w:r>
      <w:r w:rsidRPr="00A42455">
        <w:rPr>
          <w:rFonts w:ascii="Arial" w:eastAsia="Calibri" w:hAnsi="Arial" w:cs="Arial"/>
          <w:lang w:val="en-ZA"/>
        </w:rPr>
        <w:t>70 only refers to ‘</w:t>
      </w:r>
      <w:r w:rsidRPr="00A42455">
        <w:rPr>
          <w:rFonts w:ascii="Arial" w:eastAsia="Calibri" w:hAnsi="Arial"/>
          <w:lang w:val="en-ZA"/>
        </w:rPr>
        <w:t>letters, facsimiles and electronic mail’</w:t>
      </w:r>
      <w:r w:rsidRPr="00A42455">
        <w:rPr>
          <w:rFonts w:ascii="Arial" w:eastAsia="Calibri" w:hAnsi="Arial" w:cs="Arial"/>
          <w:lang w:val="en-ZA"/>
        </w:rPr>
        <w:t>. Whats</w:t>
      </w:r>
      <w:r w:rsidR="005D0C1E" w:rsidRPr="00A42455">
        <w:rPr>
          <w:rFonts w:ascii="Arial" w:eastAsia="Calibri" w:hAnsi="Arial" w:cs="Arial"/>
          <w:lang w:val="en-ZA"/>
        </w:rPr>
        <w:t>A</w:t>
      </w:r>
      <w:r w:rsidRPr="00A42455">
        <w:rPr>
          <w:rFonts w:ascii="Arial" w:eastAsia="Calibri" w:hAnsi="Arial" w:cs="Arial"/>
          <w:lang w:val="en-ZA"/>
        </w:rPr>
        <w:t>pp messages have been stated to be a ‘form of communication by text message’.</w:t>
      </w:r>
      <w:r w:rsidRPr="00A42455">
        <w:rPr>
          <w:rFonts w:ascii="Arial" w:eastAsia="Calibri" w:hAnsi="Arial" w:cs="Arial"/>
          <w:vertAlign w:val="superscript"/>
          <w:lang w:val="en-ZA"/>
        </w:rPr>
        <w:footnoteReference w:id="12"/>
      </w:r>
      <w:r w:rsidRPr="00A42455">
        <w:rPr>
          <w:rFonts w:ascii="Arial" w:eastAsia="Calibri" w:hAnsi="Arial" w:cs="Arial"/>
          <w:lang w:val="en-ZA"/>
        </w:rPr>
        <w:t xml:space="preserve"> It has been suggested that ‘it would be appropriate to include correspondence sent by electronic media, such as electronic mail and SMS’ under the tariff for correspondence.</w:t>
      </w:r>
      <w:r w:rsidRPr="00A42455">
        <w:rPr>
          <w:rFonts w:ascii="Arial" w:eastAsia="Calibri" w:hAnsi="Arial" w:cs="Arial"/>
          <w:vertAlign w:val="superscript"/>
          <w:lang w:val="en-ZA"/>
        </w:rPr>
        <w:footnoteReference w:id="13"/>
      </w:r>
      <w:r w:rsidRPr="00A42455">
        <w:rPr>
          <w:rFonts w:ascii="Arial" w:eastAsia="Calibri" w:hAnsi="Arial" w:cs="Arial"/>
          <w:lang w:val="en-ZA"/>
        </w:rPr>
        <w:t xml:space="preserve"> There accordingly appears to be no reason why in principle a Whats</w:t>
      </w:r>
      <w:r w:rsidR="005D0C1E" w:rsidRPr="00A42455">
        <w:rPr>
          <w:rFonts w:ascii="Arial" w:eastAsia="Calibri" w:hAnsi="Arial" w:cs="Arial"/>
          <w:lang w:val="en-ZA"/>
        </w:rPr>
        <w:t>A</w:t>
      </w:r>
      <w:r w:rsidRPr="00A42455">
        <w:rPr>
          <w:rFonts w:ascii="Arial" w:eastAsia="Calibri" w:hAnsi="Arial" w:cs="Arial"/>
          <w:lang w:val="en-ZA"/>
        </w:rPr>
        <w:t>pp message should not be treated similarly to any other form of correspondence.</w:t>
      </w:r>
    </w:p>
    <w:p w14:paraId="17894B35" w14:textId="77777777" w:rsidR="000F4F29" w:rsidRPr="00A42455" w:rsidRDefault="000F4F29" w:rsidP="000F4F29">
      <w:pPr>
        <w:spacing w:line="360" w:lineRule="auto"/>
        <w:contextualSpacing/>
        <w:jc w:val="both"/>
        <w:rPr>
          <w:rFonts w:ascii="Arial" w:eastAsia="Calibri" w:hAnsi="Arial" w:cs="Arial"/>
          <w:lang w:val="en-ZA"/>
        </w:rPr>
      </w:pPr>
    </w:p>
    <w:p w14:paraId="0916EB00" w14:textId="156E3E02" w:rsidR="000F4F29" w:rsidRPr="00A42455" w:rsidRDefault="000F4F29" w:rsidP="000F4F29">
      <w:pPr>
        <w:spacing w:line="360" w:lineRule="auto"/>
        <w:contextualSpacing/>
        <w:jc w:val="both"/>
        <w:rPr>
          <w:rFonts w:ascii="Arial" w:eastAsia="Calibri" w:hAnsi="Arial" w:cs="Arial"/>
          <w:lang w:val="en-ZA"/>
        </w:rPr>
      </w:pPr>
      <w:r w:rsidRPr="00A42455">
        <w:rPr>
          <w:rFonts w:ascii="Arial" w:eastAsia="Calibri" w:hAnsi="Arial" w:cs="Arial"/>
          <w:lang w:val="en-ZA"/>
        </w:rPr>
        <w:t>[</w:t>
      </w:r>
      <w:r w:rsidR="00207E27">
        <w:rPr>
          <w:rFonts w:ascii="Arial" w:eastAsia="Calibri" w:hAnsi="Arial" w:cs="Arial"/>
          <w:lang w:val="en-ZA"/>
        </w:rPr>
        <w:t>20</w:t>
      </w:r>
      <w:r w:rsidRPr="00A42455">
        <w:rPr>
          <w:rFonts w:ascii="Arial" w:eastAsia="Calibri" w:hAnsi="Arial" w:cs="Arial"/>
          <w:lang w:val="en-ZA"/>
        </w:rPr>
        <w:t>]</w:t>
      </w:r>
      <w:r w:rsidRPr="00A42455">
        <w:rPr>
          <w:rFonts w:ascii="Arial" w:eastAsia="Calibri" w:hAnsi="Arial" w:cs="Arial"/>
          <w:lang w:val="en-ZA"/>
        </w:rPr>
        <w:tab/>
        <w:t>Correspondence is charged on a per page basis – this is in terms of the mandate and the prescribed tariff. The mandate does not define what a page means, but rule 70(9) defines a page as consisting of at least 250 words.</w:t>
      </w:r>
    </w:p>
    <w:p w14:paraId="4F42220F" w14:textId="77777777" w:rsidR="000F4F29" w:rsidRPr="00A42455" w:rsidRDefault="000F4F29" w:rsidP="000F4F29">
      <w:pPr>
        <w:spacing w:line="360" w:lineRule="auto"/>
        <w:contextualSpacing/>
        <w:jc w:val="both"/>
        <w:rPr>
          <w:rFonts w:ascii="Arial" w:eastAsia="Calibri" w:hAnsi="Arial" w:cs="Arial"/>
          <w:lang w:val="en-ZA"/>
        </w:rPr>
      </w:pPr>
    </w:p>
    <w:p w14:paraId="37218918" w14:textId="7CF14589" w:rsidR="000F4F29" w:rsidRPr="00A42455" w:rsidRDefault="000F4F29" w:rsidP="000F4F29">
      <w:pPr>
        <w:spacing w:line="360" w:lineRule="auto"/>
        <w:contextualSpacing/>
        <w:jc w:val="both"/>
        <w:rPr>
          <w:rFonts w:ascii="Arial" w:eastAsia="Calibri" w:hAnsi="Arial" w:cs="Arial"/>
          <w:bCs/>
          <w:lang w:val="en-ZA"/>
        </w:rPr>
      </w:pPr>
      <w:r w:rsidRPr="00A42455">
        <w:rPr>
          <w:rFonts w:ascii="Arial" w:eastAsia="Calibri" w:hAnsi="Arial" w:cs="Arial"/>
          <w:lang w:val="en-ZA"/>
        </w:rPr>
        <w:t>[</w:t>
      </w:r>
      <w:r w:rsidR="00207E27">
        <w:rPr>
          <w:rFonts w:ascii="Arial" w:eastAsia="Calibri" w:hAnsi="Arial" w:cs="Arial"/>
          <w:lang w:val="en-ZA"/>
        </w:rPr>
        <w:t>21</w:t>
      </w:r>
      <w:r w:rsidRPr="00A42455">
        <w:rPr>
          <w:rFonts w:ascii="Arial" w:eastAsia="Calibri" w:hAnsi="Arial" w:cs="Arial"/>
          <w:lang w:val="en-ZA"/>
        </w:rPr>
        <w:t>]</w:t>
      </w:r>
      <w:r w:rsidRPr="00A42455">
        <w:rPr>
          <w:rFonts w:ascii="Arial" w:eastAsia="Calibri" w:hAnsi="Arial" w:cs="Arial"/>
          <w:lang w:val="en-ZA"/>
        </w:rPr>
        <w:tab/>
        <w:t xml:space="preserve">The practical effect of </w:t>
      </w:r>
      <w:r w:rsidR="00EA5058" w:rsidRPr="00A42455">
        <w:rPr>
          <w:rFonts w:ascii="Arial" w:eastAsia="Calibri" w:hAnsi="Arial" w:cs="Arial"/>
          <w:lang w:val="en-ZA"/>
        </w:rPr>
        <w:t xml:space="preserve">the definition for </w:t>
      </w:r>
      <w:r w:rsidR="007664BD">
        <w:rPr>
          <w:rFonts w:ascii="Arial" w:eastAsia="Calibri" w:hAnsi="Arial" w:cs="Arial"/>
          <w:lang w:val="en-ZA"/>
        </w:rPr>
        <w:t xml:space="preserve">a </w:t>
      </w:r>
      <w:r w:rsidR="00EA5058" w:rsidRPr="00A42455">
        <w:rPr>
          <w:rFonts w:ascii="Arial" w:eastAsia="Calibri" w:hAnsi="Arial" w:cs="Arial"/>
          <w:lang w:val="en-ZA"/>
        </w:rPr>
        <w:t xml:space="preserve">page </w:t>
      </w:r>
      <w:r w:rsidRPr="00A42455">
        <w:rPr>
          <w:rFonts w:ascii="Arial" w:eastAsia="Calibri" w:hAnsi="Arial" w:cs="Arial"/>
          <w:lang w:val="en-ZA"/>
        </w:rPr>
        <w:t xml:space="preserve">was discussed in </w:t>
      </w:r>
      <w:proofErr w:type="spellStart"/>
      <w:r w:rsidRPr="00A42455">
        <w:rPr>
          <w:rFonts w:ascii="Arial" w:eastAsia="Calibri" w:hAnsi="Arial" w:cs="Arial"/>
          <w:i/>
          <w:lang w:val="en-ZA"/>
        </w:rPr>
        <w:t>Ndzamela</w:t>
      </w:r>
      <w:proofErr w:type="spellEnd"/>
      <w:r w:rsidRPr="00A42455">
        <w:rPr>
          <w:rFonts w:ascii="Arial" w:eastAsia="Calibri" w:hAnsi="Arial" w:cs="Arial"/>
          <w:bCs/>
          <w:i/>
          <w:lang w:val="en-ZA"/>
        </w:rPr>
        <w:t> v Eastern Cape Development Corporation Ltd and another</w:t>
      </w:r>
      <w:r w:rsidR="00906CBB" w:rsidRPr="00A42455">
        <w:rPr>
          <w:rFonts w:ascii="Arial" w:eastAsia="Calibri" w:hAnsi="Arial" w:cs="Arial"/>
          <w:bCs/>
          <w:i/>
          <w:lang w:val="en-ZA"/>
        </w:rPr>
        <w:t xml:space="preserve"> </w:t>
      </w:r>
      <w:r w:rsidR="00906CBB" w:rsidRPr="00207E27">
        <w:rPr>
          <w:rFonts w:ascii="Arial" w:eastAsia="Calibri" w:hAnsi="Arial" w:cs="Arial"/>
          <w:bCs/>
          <w:lang w:val="en-ZA"/>
        </w:rPr>
        <w:t>as follows</w:t>
      </w:r>
      <w:r w:rsidRPr="00207E27">
        <w:rPr>
          <w:rFonts w:ascii="Arial" w:eastAsia="Calibri" w:hAnsi="Arial" w:cs="Arial"/>
          <w:bCs/>
          <w:lang w:val="en-ZA"/>
        </w:rPr>
        <w:t>:</w:t>
      </w:r>
    </w:p>
    <w:p w14:paraId="1C9529EC" w14:textId="77777777" w:rsidR="000F4F29" w:rsidRPr="00A42455" w:rsidRDefault="000F4F29" w:rsidP="006740EF">
      <w:pPr>
        <w:spacing w:line="360" w:lineRule="auto"/>
        <w:contextualSpacing/>
        <w:jc w:val="both"/>
        <w:rPr>
          <w:rFonts w:ascii="Arial" w:hAnsi="Arial" w:cs="Arial"/>
          <w:sz w:val="22"/>
          <w:szCs w:val="22"/>
          <w:lang w:val="en-ZA"/>
        </w:rPr>
      </w:pPr>
      <w:r w:rsidRPr="00A42455">
        <w:rPr>
          <w:rFonts w:ascii="Arial" w:hAnsi="Arial" w:cs="Arial"/>
          <w:sz w:val="22"/>
          <w:szCs w:val="22"/>
          <w:lang w:val="en-ZA"/>
        </w:rPr>
        <w:t>‘[19] The contents of Rule 70(9) are clear and peremptory and are thus not merely a guide but have been worded in this manner to prevent abuse. </w:t>
      </w:r>
    </w:p>
    <w:p w14:paraId="21761229" w14:textId="77777777" w:rsidR="000F4F29" w:rsidRPr="00A42455" w:rsidRDefault="000F4F29" w:rsidP="006740EF">
      <w:pPr>
        <w:spacing w:line="360" w:lineRule="auto"/>
        <w:contextualSpacing/>
        <w:jc w:val="both"/>
        <w:rPr>
          <w:rFonts w:ascii="Arial" w:hAnsi="Arial" w:cs="Arial"/>
          <w:sz w:val="22"/>
          <w:szCs w:val="22"/>
          <w:lang w:val="en-ZA"/>
        </w:rPr>
      </w:pPr>
      <w:r w:rsidRPr="00A42455">
        <w:rPr>
          <w:rFonts w:ascii="Arial" w:hAnsi="Arial" w:cs="Arial"/>
          <w:sz w:val="22"/>
          <w:szCs w:val="22"/>
          <w:lang w:val="en-ZA"/>
        </w:rPr>
        <w:t>[20] The question then arises what is to be done by Taxing Masters under the circumstances where there are less than </w:t>
      </w:r>
      <w:bookmarkStart w:id="3" w:name="LPHit9"/>
      <w:bookmarkEnd w:id="3"/>
      <w:r w:rsidRPr="00A42455">
        <w:rPr>
          <w:rFonts w:ascii="Arial" w:hAnsi="Arial" w:cs="Arial"/>
          <w:sz w:val="22"/>
          <w:szCs w:val="22"/>
          <w:lang w:val="en-ZA"/>
        </w:rPr>
        <w:t>250 words on a page.</w:t>
      </w:r>
    </w:p>
    <w:p w14:paraId="49A3770D" w14:textId="77777777" w:rsidR="000F4F29" w:rsidRPr="00A42455" w:rsidRDefault="000F4F29" w:rsidP="006740EF">
      <w:pPr>
        <w:spacing w:line="360" w:lineRule="auto"/>
        <w:contextualSpacing/>
        <w:jc w:val="both"/>
        <w:rPr>
          <w:rFonts w:ascii="Arial" w:hAnsi="Arial" w:cs="Arial"/>
          <w:sz w:val="22"/>
          <w:szCs w:val="22"/>
          <w:lang w:val="en-ZA"/>
        </w:rPr>
      </w:pPr>
      <w:r w:rsidRPr="00A42455">
        <w:rPr>
          <w:rFonts w:ascii="Arial" w:hAnsi="Arial" w:cs="Arial"/>
          <w:sz w:val="22"/>
          <w:szCs w:val="22"/>
          <w:lang w:val="en-ZA"/>
        </w:rPr>
        <w:t>[21] According to the practice in the Transvaal Provincial Division a page is taken as </w:t>
      </w:r>
      <w:bookmarkStart w:id="4" w:name="LPHit10"/>
      <w:bookmarkEnd w:id="4"/>
      <w:r w:rsidRPr="00A42455">
        <w:rPr>
          <w:rFonts w:ascii="Arial" w:hAnsi="Arial" w:cs="Arial"/>
          <w:sz w:val="22"/>
          <w:szCs w:val="22"/>
          <w:lang w:val="en-ZA"/>
        </w:rPr>
        <w:t>250 words in compliance with Rule 70(9). In practice the Taxing Master counts the number of words on a few pages selected at random, say four pages, to determine how many words there are on average on a page and having arrived at an average then multiplies the average figure with the number of pages and then divides the sum total with 250 resulting in the number of 'pages' there are for taxing purposes. Practice has proven that the end result may be a percentage point or two out but nobody apparently is interested in or upset by the said few percentage points. Computer technology nowadays has in any case resolved the problem as the number of words in a particular document produced by the computer are automatically counted and the result can be printed at the foot of the document if so desired. It also seems to be the practice in the Transvaal Division that the Taxing Master requires the attorneys or costs consultants involved in a taxing matter before him to in advance determine amongst themselves the number of pages thus releasing the Taxing Master from the duty to count the words.</w:t>
      </w:r>
    </w:p>
    <w:p w14:paraId="1F1B047E" w14:textId="7D10E232" w:rsidR="000F4F29" w:rsidRPr="00A42455" w:rsidRDefault="000F4F29" w:rsidP="006740EF">
      <w:pPr>
        <w:spacing w:line="360" w:lineRule="auto"/>
        <w:contextualSpacing/>
        <w:jc w:val="both"/>
        <w:rPr>
          <w:rFonts w:ascii="Arial" w:hAnsi="Arial" w:cs="Arial"/>
          <w:lang w:val="en-ZA"/>
        </w:rPr>
      </w:pPr>
      <w:r w:rsidRPr="00A42455">
        <w:rPr>
          <w:rFonts w:ascii="Arial" w:hAnsi="Arial" w:cs="Arial"/>
          <w:sz w:val="22"/>
          <w:szCs w:val="22"/>
          <w:lang w:val="en-ZA"/>
        </w:rPr>
        <w:t>[22] The practical approach adopted by the Taxing Masters in the Transvaal Provincial Division adequately deals with the matter and results in a l</w:t>
      </w:r>
      <w:r w:rsidR="00E744A0">
        <w:rPr>
          <w:rFonts w:ascii="Arial" w:hAnsi="Arial" w:cs="Arial"/>
          <w:sz w:val="22"/>
          <w:szCs w:val="22"/>
          <w:lang w:val="en-ZA"/>
        </w:rPr>
        <w:t xml:space="preserve">ogical and pragmatic </w:t>
      </w:r>
      <w:proofErr w:type="gramStart"/>
      <w:r w:rsidR="00E744A0">
        <w:rPr>
          <w:rFonts w:ascii="Arial" w:hAnsi="Arial" w:cs="Arial"/>
          <w:sz w:val="22"/>
          <w:szCs w:val="22"/>
          <w:lang w:val="en-ZA"/>
        </w:rPr>
        <w:t>resolution .</w:t>
      </w:r>
      <w:proofErr w:type="gramEnd"/>
      <w:r w:rsidR="00E744A0">
        <w:rPr>
          <w:rFonts w:ascii="Arial" w:hAnsi="Arial" w:cs="Arial"/>
          <w:sz w:val="22"/>
          <w:szCs w:val="22"/>
          <w:lang w:val="en-ZA"/>
        </w:rPr>
        <w:t> .  </w:t>
      </w:r>
      <w:r w:rsidRPr="00A42455">
        <w:rPr>
          <w:rFonts w:ascii="Arial" w:hAnsi="Arial" w:cs="Arial"/>
          <w:lang w:val="en-ZA"/>
        </w:rPr>
        <w:t>.’</w:t>
      </w:r>
      <w:r w:rsidRPr="00A42455">
        <w:rPr>
          <w:rFonts w:ascii="Arial" w:hAnsi="Arial" w:cs="Arial"/>
          <w:vertAlign w:val="superscript"/>
          <w:lang w:val="en-ZA"/>
        </w:rPr>
        <w:footnoteReference w:id="14"/>
      </w:r>
    </w:p>
    <w:p w14:paraId="6A881649" w14:textId="77777777" w:rsidR="000F4F29" w:rsidRPr="00A42455" w:rsidRDefault="000F4F29" w:rsidP="000F4F29">
      <w:pPr>
        <w:spacing w:line="360" w:lineRule="auto"/>
        <w:contextualSpacing/>
        <w:jc w:val="both"/>
        <w:rPr>
          <w:rFonts w:ascii="Arial" w:eastAsia="Calibri" w:hAnsi="Arial" w:cs="Arial"/>
          <w:b/>
          <w:bCs/>
          <w:lang w:val="en-ZA"/>
        </w:rPr>
      </w:pPr>
    </w:p>
    <w:p w14:paraId="01CBD76C" w14:textId="75221192" w:rsidR="000F4F29" w:rsidRPr="00A42455" w:rsidRDefault="000F4F29" w:rsidP="000F4F29">
      <w:pPr>
        <w:spacing w:line="360" w:lineRule="auto"/>
        <w:contextualSpacing/>
        <w:jc w:val="both"/>
        <w:rPr>
          <w:rFonts w:ascii="Arial" w:eastAsia="Calibri" w:hAnsi="Arial" w:cs="Arial"/>
          <w:bCs/>
          <w:lang w:val="en-ZA"/>
        </w:rPr>
      </w:pPr>
      <w:r w:rsidRPr="00A42455">
        <w:rPr>
          <w:rFonts w:ascii="Arial" w:eastAsia="Calibri" w:hAnsi="Arial" w:cs="Arial"/>
          <w:bCs/>
          <w:lang w:val="en-ZA"/>
        </w:rPr>
        <w:t>[</w:t>
      </w:r>
      <w:r w:rsidR="00207E27">
        <w:rPr>
          <w:rFonts w:ascii="Arial" w:eastAsia="Calibri" w:hAnsi="Arial" w:cs="Arial"/>
          <w:bCs/>
          <w:lang w:val="en-ZA"/>
        </w:rPr>
        <w:t>22</w:t>
      </w:r>
      <w:r w:rsidRPr="00A42455">
        <w:rPr>
          <w:rFonts w:ascii="Arial" w:eastAsia="Calibri" w:hAnsi="Arial" w:cs="Arial"/>
          <w:bCs/>
          <w:lang w:val="en-ZA"/>
        </w:rPr>
        <w:t>]</w:t>
      </w:r>
      <w:r w:rsidRPr="00A42455">
        <w:rPr>
          <w:rFonts w:ascii="Arial" w:eastAsia="Calibri" w:hAnsi="Arial" w:cs="Arial"/>
          <w:bCs/>
          <w:lang w:val="en-ZA"/>
        </w:rPr>
        <w:tab/>
        <w:t xml:space="preserve">In </w:t>
      </w:r>
      <w:r w:rsidRPr="00A42455">
        <w:rPr>
          <w:rFonts w:ascii="Arial" w:eastAsia="Calibri" w:hAnsi="Arial" w:cs="Arial"/>
          <w:bCs/>
          <w:i/>
          <w:lang w:val="en-ZA"/>
        </w:rPr>
        <w:t>Cary v Cary Cape</w:t>
      </w:r>
      <w:r w:rsidRPr="00A42455">
        <w:rPr>
          <w:rFonts w:ascii="Arial" w:eastAsia="Calibri" w:hAnsi="Arial" w:cs="Arial"/>
          <w:bCs/>
          <w:vertAlign w:val="superscript"/>
          <w:lang w:val="en-ZA"/>
        </w:rPr>
        <w:footnoteReference w:id="15"/>
      </w:r>
      <w:r w:rsidRPr="00A42455">
        <w:rPr>
          <w:rFonts w:ascii="Arial" w:eastAsia="Calibri" w:hAnsi="Arial" w:cs="Arial"/>
          <w:bCs/>
          <w:lang w:val="en-ZA"/>
        </w:rPr>
        <w:t xml:space="preserve"> it was held that the taxing master was correct in allowing correspondence which contained less than 250 words:</w:t>
      </w:r>
    </w:p>
    <w:p w14:paraId="0414091A" w14:textId="68539C71" w:rsidR="000F4F29" w:rsidRPr="00A42455" w:rsidRDefault="000F4F29" w:rsidP="006740EF">
      <w:pPr>
        <w:spacing w:line="360" w:lineRule="auto"/>
        <w:contextualSpacing/>
        <w:jc w:val="both"/>
        <w:rPr>
          <w:rFonts w:ascii="Arial" w:hAnsi="Arial" w:cs="Arial"/>
          <w:sz w:val="22"/>
          <w:szCs w:val="22"/>
          <w:lang w:val="en-ZA"/>
        </w:rPr>
      </w:pPr>
      <w:r w:rsidRPr="00A42455">
        <w:rPr>
          <w:rFonts w:ascii="Arial" w:hAnsi="Arial" w:cs="Arial"/>
          <w:sz w:val="22"/>
          <w:szCs w:val="22"/>
          <w:lang w:val="en-ZA"/>
        </w:rPr>
        <w:t>‘</w:t>
      </w:r>
      <w:r w:rsidR="00F3427C" w:rsidRPr="00F3427C">
        <w:rPr>
          <w:rFonts w:ascii="Arial" w:hAnsi="Arial" w:cs="Arial"/>
          <w:sz w:val="22"/>
          <w:szCs w:val="22"/>
        </w:rPr>
        <w:t>The tariff does not provide for part of a page.  This leads to an anomaly.  What happens when a letter is sent or received which is less than 250 words?  Is the plaintiff denied the costs of either drafting or perusing such a letter?  Surely it could not have been the intention of the legislature.  The general rule is that a party who has been awarded costs, is afforded a full indemnity for all costs reasonably incurred in the pursuit of justice.  The taxing master has a discretion to depart from any provisions of the tariff in extraordinary or exceptional cases, where strict adherence to such provisions would result in an inequitable disposition.  This is a case in point.  In my opinion the taxing master correctly exercised her discretion in allowing an item which comprised less than 250 words, as a page</w:t>
      </w:r>
      <w:r w:rsidRPr="00A42455">
        <w:rPr>
          <w:rFonts w:ascii="Arial" w:hAnsi="Arial" w:cs="Arial"/>
          <w:sz w:val="22"/>
          <w:szCs w:val="22"/>
          <w:lang w:val="en-ZA"/>
        </w:rPr>
        <w:t>.’</w:t>
      </w:r>
    </w:p>
    <w:p w14:paraId="0FADED23" w14:textId="77777777" w:rsidR="000F4F29" w:rsidRPr="00A42455" w:rsidRDefault="000F4F29" w:rsidP="000F4F29">
      <w:pPr>
        <w:spacing w:line="360" w:lineRule="auto"/>
        <w:contextualSpacing/>
        <w:jc w:val="both"/>
        <w:rPr>
          <w:rFonts w:ascii="Arial" w:hAnsi="Arial" w:cs="Arial"/>
          <w:lang w:val="en-ZA"/>
        </w:rPr>
      </w:pPr>
    </w:p>
    <w:p w14:paraId="1E6F1526" w14:textId="116C4BEB" w:rsidR="000F4F29" w:rsidRPr="00A42455" w:rsidRDefault="000F4F29" w:rsidP="000F4F29">
      <w:pPr>
        <w:spacing w:line="360" w:lineRule="auto"/>
        <w:contextualSpacing/>
        <w:jc w:val="both"/>
        <w:rPr>
          <w:rFonts w:ascii="Arial" w:hAnsi="Arial" w:cs="Arial"/>
          <w:lang w:val="en-ZA"/>
        </w:rPr>
      </w:pPr>
      <w:r w:rsidRPr="00A42455">
        <w:rPr>
          <w:rFonts w:ascii="Arial" w:hAnsi="Arial" w:cs="Arial"/>
          <w:lang w:val="en-ZA"/>
        </w:rPr>
        <w:t>[</w:t>
      </w:r>
      <w:r w:rsidR="00207E27">
        <w:rPr>
          <w:rFonts w:ascii="Arial" w:hAnsi="Arial" w:cs="Arial"/>
          <w:lang w:val="en-ZA"/>
        </w:rPr>
        <w:t>23</w:t>
      </w:r>
      <w:r w:rsidRPr="00A42455">
        <w:rPr>
          <w:rFonts w:ascii="Arial" w:hAnsi="Arial" w:cs="Arial"/>
          <w:lang w:val="en-ZA"/>
        </w:rPr>
        <w:t>]</w:t>
      </w:r>
      <w:r w:rsidRPr="00A42455">
        <w:rPr>
          <w:rFonts w:ascii="Arial" w:hAnsi="Arial" w:cs="Arial"/>
          <w:lang w:val="en-ZA"/>
        </w:rPr>
        <w:tab/>
        <w:t>It needs to be determined whether or not the taxing master exercised her discretion incorrectly in disallowing the relevant Whats</w:t>
      </w:r>
      <w:r w:rsidR="005D0C1E" w:rsidRPr="00A42455">
        <w:rPr>
          <w:rFonts w:ascii="Arial" w:hAnsi="Arial" w:cs="Arial"/>
          <w:lang w:val="en-ZA"/>
        </w:rPr>
        <w:t>A</w:t>
      </w:r>
      <w:r w:rsidRPr="00A42455">
        <w:rPr>
          <w:rFonts w:ascii="Arial" w:hAnsi="Arial" w:cs="Arial"/>
          <w:lang w:val="en-ZA"/>
        </w:rPr>
        <w:t>pp messages, taking into account that attorney and own client costs ‘means all costs incurred except where unreasonable’.</w:t>
      </w:r>
      <w:r w:rsidRPr="00A42455">
        <w:rPr>
          <w:rFonts w:ascii="Arial" w:hAnsi="Arial" w:cs="Arial"/>
          <w:vertAlign w:val="superscript"/>
          <w:lang w:val="en-ZA"/>
        </w:rPr>
        <w:footnoteReference w:id="16"/>
      </w:r>
      <w:r w:rsidRPr="00A42455">
        <w:rPr>
          <w:rFonts w:ascii="Arial" w:hAnsi="Arial" w:cs="Arial"/>
          <w:lang w:val="en-ZA"/>
        </w:rPr>
        <w:t xml:space="preserve"> </w:t>
      </w:r>
    </w:p>
    <w:p w14:paraId="7576FEDB" w14:textId="77777777" w:rsidR="001373F9" w:rsidRPr="00A42455" w:rsidRDefault="001373F9" w:rsidP="000F4F29">
      <w:pPr>
        <w:spacing w:line="360" w:lineRule="auto"/>
        <w:contextualSpacing/>
        <w:jc w:val="both"/>
        <w:rPr>
          <w:rFonts w:ascii="Arial" w:hAnsi="Arial" w:cs="Arial"/>
          <w:lang w:val="en-ZA"/>
        </w:rPr>
      </w:pPr>
    </w:p>
    <w:p w14:paraId="41A3158D" w14:textId="51D223F8" w:rsidR="000F4F29" w:rsidRPr="00A42455" w:rsidRDefault="000F4F29" w:rsidP="000F4F29">
      <w:pPr>
        <w:spacing w:line="360" w:lineRule="auto"/>
        <w:contextualSpacing/>
        <w:jc w:val="both"/>
        <w:rPr>
          <w:rFonts w:ascii="Arial" w:hAnsi="Arial" w:cs="Arial"/>
          <w:lang w:val="en-ZA"/>
        </w:rPr>
      </w:pPr>
      <w:r w:rsidRPr="00A42455">
        <w:rPr>
          <w:rFonts w:ascii="Arial" w:hAnsi="Arial" w:cs="Arial"/>
          <w:lang w:val="en-ZA"/>
        </w:rPr>
        <w:t>[</w:t>
      </w:r>
      <w:r w:rsidR="00207E27">
        <w:rPr>
          <w:rFonts w:ascii="Arial" w:hAnsi="Arial" w:cs="Arial"/>
          <w:lang w:val="en-ZA"/>
        </w:rPr>
        <w:t>24</w:t>
      </w:r>
      <w:r w:rsidRPr="00A42455">
        <w:rPr>
          <w:rFonts w:ascii="Arial" w:hAnsi="Arial" w:cs="Arial"/>
          <w:lang w:val="en-ZA"/>
        </w:rPr>
        <w:t>]</w:t>
      </w:r>
      <w:r w:rsidRPr="00A42455">
        <w:rPr>
          <w:rFonts w:ascii="Arial" w:hAnsi="Arial" w:cs="Arial"/>
          <w:lang w:val="en-ZA"/>
        </w:rPr>
        <w:tab/>
        <w:t>It is difficult to determine whether the taxing master was correct, as the taxing master does not explain why these specific items were taxed off by her, save to state that she determined what was reasonable. The brevity of the stated case can</w:t>
      </w:r>
      <w:r w:rsidR="00906CBB" w:rsidRPr="00A42455">
        <w:rPr>
          <w:rFonts w:ascii="Arial" w:hAnsi="Arial" w:cs="Arial"/>
          <w:lang w:val="en-ZA"/>
        </w:rPr>
        <w:t xml:space="preserve"> often</w:t>
      </w:r>
      <w:r w:rsidRPr="00A42455">
        <w:rPr>
          <w:rFonts w:ascii="Arial" w:hAnsi="Arial" w:cs="Arial"/>
          <w:lang w:val="en-ZA"/>
        </w:rPr>
        <w:t xml:space="preserve"> cause problems</w:t>
      </w:r>
      <w:r w:rsidR="00906CBB" w:rsidRPr="00A42455">
        <w:rPr>
          <w:rFonts w:ascii="Arial" w:hAnsi="Arial" w:cs="Arial"/>
          <w:lang w:val="en-ZA"/>
        </w:rPr>
        <w:t xml:space="preserve"> on review</w:t>
      </w:r>
      <w:r w:rsidRPr="00A42455">
        <w:rPr>
          <w:rFonts w:ascii="Arial" w:hAnsi="Arial" w:cs="Arial"/>
          <w:lang w:val="en-ZA"/>
        </w:rPr>
        <w:t xml:space="preserve">. The functions of the stated case were set out in </w:t>
      </w:r>
      <w:proofErr w:type="spellStart"/>
      <w:r w:rsidRPr="00A42455">
        <w:rPr>
          <w:rFonts w:ascii="Arial" w:hAnsi="Arial" w:cs="Arial"/>
          <w:bCs/>
          <w:i/>
          <w:lang w:val="en-ZA"/>
        </w:rPr>
        <w:t>Brener</w:t>
      </w:r>
      <w:proofErr w:type="spellEnd"/>
      <w:r w:rsidRPr="00A42455">
        <w:rPr>
          <w:rFonts w:ascii="Arial" w:hAnsi="Arial" w:cs="Arial"/>
          <w:bCs/>
          <w:i/>
          <w:lang w:val="en-ZA"/>
        </w:rPr>
        <w:t xml:space="preserve"> NO v Sonnenberg, Murphy, Leo Burnett (Pty) Ltd (formerly D'Arcy </w:t>
      </w:r>
      <w:proofErr w:type="spellStart"/>
      <w:r w:rsidRPr="00A42455">
        <w:rPr>
          <w:rFonts w:ascii="Arial" w:hAnsi="Arial" w:cs="Arial"/>
          <w:bCs/>
          <w:i/>
          <w:lang w:val="en-ZA"/>
        </w:rPr>
        <w:t>Masins</w:t>
      </w:r>
      <w:proofErr w:type="spellEnd"/>
      <w:r w:rsidRPr="00A42455">
        <w:rPr>
          <w:rFonts w:ascii="Arial" w:hAnsi="Arial" w:cs="Arial"/>
          <w:bCs/>
          <w:i/>
          <w:lang w:val="en-ZA"/>
        </w:rPr>
        <w:t xml:space="preserve"> Benton &amp; Bowless SA (Pty) (Ltd)</w:t>
      </w:r>
      <w:r w:rsidRPr="00A42455">
        <w:rPr>
          <w:rFonts w:ascii="Arial" w:hAnsi="Arial" w:cs="Arial"/>
          <w:bCs/>
          <w:lang w:val="en-ZA"/>
        </w:rPr>
        <w:t>:</w:t>
      </w:r>
    </w:p>
    <w:p w14:paraId="140DEB9E" w14:textId="495D1C33" w:rsidR="00F3427C" w:rsidRPr="00F3427C" w:rsidRDefault="000F4F29" w:rsidP="00F3427C">
      <w:pPr>
        <w:spacing w:line="360" w:lineRule="auto"/>
        <w:contextualSpacing/>
        <w:jc w:val="both"/>
        <w:rPr>
          <w:rFonts w:ascii="Arial" w:eastAsia="Calibri" w:hAnsi="Arial" w:cs="Arial"/>
          <w:sz w:val="22"/>
          <w:lang w:eastAsia="en-US"/>
        </w:rPr>
      </w:pPr>
      <w:r w:rsidRPr="00A42455">
        <w:rPr>
          <w:rFonts w:ascii="Arial" w:eastAsia="Calibri" w:hAnsi="Arial" w:cs="Arial"/>
          <w:sz w:val="22"/>
          <w:szCs w:val="22"/>
          <w:lang w:val="en-ZA"/>
        </w:rPr>
        <w:t>‘</w:t>
      </w:r>
      <w:r w:rsidR="00F3427C" w:rsidRPr="00F3427C">
        <w:rPr>
          <w:rFonts w:ascii="Arial" w:eastAsia="Calibri" w:hAnsi="Arial" w:cs="Arial"/>
          <w:sz w:val="22"/>
          <w:lang w:eastAsia="en-US"/>
        </w:rPr>
        <w:t>As was pointed out by Schutz J in </w:t>
      </w:r>
      <w:proofErr w:type="spellStart"/>
      <w:r w:rsidR="00F3427C" w:rsidRPr="00F3427C">
        <w:rPr>
          <w:rFonts w:ascii="Arial" w:eastAsia="Calibri" w:hAnsi="Arial" w:cs="Arial"/>
          <w:i/>
          <w:iCs/>
          <w:sz w:val="22"/>
          <w:lang w:eastAsia="en-US"/>
        </w:rPr>
        <w:t>Nedperm</w:t>
      </w:r>
      <w:proofErr w:type="spellEnd"/>
      <w:r w:rsidR="00F3427C" w:rsidRPr="00F3427C">
        <w:rPr>
          <w:rFonts w:ascii="Arial" w:eastAsia="Calibri" w:hAnsi="Arial" w:cs="Arial"/>
          <w:i/>
          <w:iCs/>
          <w:sz w:val="22"/>
          <w:lang w:eastAsia="en-US"/>
        </w:rPr>
        <w:t xml:space="preserve"> Bank Ltd v </w:t>
      </w:r>
      <w:proofErr w:type="spellStart"/>
      <w:r w:rsidR="00F3427C" w:rsidRPr="00F3427C">
        <w:rPr>
          <w:rFonts w:ascii="Arial" w:eastAsia="Calibri" w:hAnsi="Arial" w:cs="Arial"/>
          <w:i/>
          <w:iCs/>
          <w:sz w:val="22"/>
          <w:lang w:eastAsia="en-US"/>
        </w:rPr>
        <w:t>Desbie</w:t>
      </w:r>
      <w:proofErr w:type="spellEnd"/>
      <w:r w:rsidR="00F3427C" w:rsidRPr="00F3427C">
        <w:rPr>
          <w:rFonts w:ascii="Arial" w:eastAsia="Calibri" w:hAnsi="Arial" w:cs="Arial"/>
          <w:i/>
          <w:iCs/>
          <w:sz w:val="22"/>
          <w:lang w:eastAsia="en-US"/>
        </w:rPr>
        <w:t xml:space="preserve"> (Pty) Ltd</w:t>
      </w:r>
      <w:r w:rsidR="00F3427C" w:rsidRPr="00F3427C">
        <w:rPr>
          <w:rFonts w:ascii="Arial" w:eastAsia="Calibri" w:hAnsi="Arial" w:cs="Arial"/>
          <w:sz w:val="22"/>
          <w:lang w:eastAsia="en-US"/>
        </w:rPr>
        <w:t xml:space="preserve"> 1995 (2) SA 711 (W) at 713A-C, when the Taxing Master initially states a case in terms of Rule 48, he is </w:t>
      </w:r>
      <w:r w:rsidR="00F3427C">
        <w:rPr>
          <w:rFonts w:ascii="Arial" w:eastAsia="Calibri" w:hAnsi="Arial" w:cs="Arial"/>
          <w:sz w:val="22"/>
          <w:lang w:eastAsia="en-US"/>
        </w:rPr>
        <w:t>not required to “write an essay”</w:t>
      </w:r>
      <w:r w:rsidR="00F3427C" w:rsidRPr="00F3427C">
        <w:rPr>
          <w:rFonts w:ascii="Arial" w:eastAsia="Calibri" w:hAnsi="Arial" w:cs="Arial"/>
          <w:sz w:val="22"/>
          <w:lang w:eastAsia="en-US"/>
        </w:rPr>
        <w:t>. All he must do is, as required</w:t>
      </w:r>
      <w:r w:rsidR="00F3427C">
        <w:rPr>
          <w:rFonts w:ascii="Arial" w:eastAsia="Calibri" w:hAnsi="Arial" w:cs="Arial"/>
          <w:sz w:val="22"/>
          <w:lang w:eastAsia="en-US"/>
        </w:rPr>
        <w:t xml:space="preserve"> by the Rule, to “</w:t>
      </w:r>
      <w:r w:rsidR="00F3427C" w:rsidRPr="00F3427C">
        <w:rPr>
          <w:rFonts w:ascii="Arial" w:eastAsia="Calibri" w:hAnsi="Arial" w:cs="Arial"/>
          <w:sz w:val="22"/>
          <w:lang w:eastAsia="en-US"/>
        </w:rPr>
        <w:t>set out each item or part of an item together with the grounds of objection advanced at the taxation and . . . any findin</w:t>
      </w:r>
      <w:r w:rsidR="00F3427C">
        <w:rPr>
          <w:rFonts w:ascii="Arial" w:eastAsia="Calibri" w:hAnsi="Arial" w:cs="Arial"/>
          <w:sz w:val="22"/>
          <w:lang w:eastAsia="en-US"/>
        </w:rPr>
        <w:t>g of facts by the Taxing Master”</w:t>
      </w:r>
      <w:r w:rsidR="00F3427C" w:rsidRPr="00F3427C">
        <w:rPr>
          <w:rFonts w:ascii="Arial" w:eastAsia="Calibri" w:hAnsi="Arial" w:cs="Arial"/>
          <w:sz w:val="22"/>
          <w:lang w:eastAsia="en-US"/>
        </w:rPr>
        <w:t>. After that the parties are to deliver to him their contentions in writing. It is only at that stage that the Taxing Master is called upon to prepar</w:t>
      </w:r>
      <w:r w:rsidR="00F3427C">
        <w:rPr>
          <w:rFonts w:ascii="Arial" w:eastAsia="Calibri" w:hAnsi="Arial" w:cs="Arial"/>
          <w:sz w:val="22"/>
          <w:lang w:eastAsia="en-US"/>
        </w:rPr>
        <w:t>e a “report”. It is his “report”</w:t>
      </w:r>
      <w:r w:rsidR="00F3427C" w:rsidRPr="00F3427C">
        <w:rPr>
          <w:rFonts w:ascii="Arial" w:eastAsia="Calibri" w:hAnsi="Arial" w:cs="Arial"/>
          <w:sz w:val="22"/>
          <w:lang w:eastAsia="en-US"/>
        </w:rPr>
        <w:t>, to be made in the light of the parties'</w:t>
      </w:r>
      <w:r w:rsidR="00F3427C">
        <w:rPr>
          <w:rFonts w:ascii="Arial" w:eastAsia="Calibri" w:hAnsi="Arial" w:cs="Arial"/>
          <w:sz w:val="22"/>
          <w:lang w:eastAsia="en-US"/>
        </w:rPr>
        <w:t xml:space="preserve"> written contentions, which is “</w:t>
      </w:r>
      <w:r w:rsidR="00F3427C" w:rsidRPr="00F3427C">
        <w:rPr>
          <w:rFonts w:ascii="Arial" w:eastAsia="Calibri" w:hAnsi="Arial" w:cs="Arial"/>
          <w:sz w:val="22"/>
          <w:lang w:eastAsia="en-US"/>
        </w:rPr>
        <w:t>the occas</w:t>
      </w:r>
      <w:r w:rsidR="00F3427C">
        <w:rPr>
          <w:rFonts w:ascii="Arial" w:eastAsia="Calibri" w:hAnsi="Arial" w:cs="Arial"/>
          <w:sz w:val="22"/>
          <w:lang w:eastAsia="en-US"/>
        </w:rPr>
        <w:t>ion to give his reasons in full”</w:t>
      </w:r>
      <w:r w:rsidR="00F3427C" w:rsidRPr="00F3427C">
        <w:rPr>
          <w:rFonts w:ascii="Arial" w:eastAsia="Calibri" w:hAnsi="Arial" w:cs="Arial"/>
          <w:sz w:val="22"/>
          <w:lang w:eastAsia="en-US"/>
        </w:rPr>
        <w:t>. After that the parties have the last word in further contentions dealing with the Taxing Master's report.</w:t>
      </w:r>
    </w:p>
    <w:p w14:paraId="1E427BD9" w14:textId="1F28C5DC" w:rsidR="000F4F29" w:rsidRPr="00A42455" w:rsidRDefault="00F3427C" w:rsidP="00F3427C">
      <w:pPr>
        <w:spacing w:line="360" w:lineRule="auto"/>
        <w:contextualSpacing/>
        <w:jc w:val="both"/>
        <w:rPr>
          <w:rFonts w:ascii="Arial" w:eastAsia="Calibri" w:hAnsi="Arial" w:cs="Arial"/>
          <w:sz w:val="22"/>
          <w:szCs w:val="22"/>
          <w:lang w:val="en-ZA"/>
        </w:rPr>
      </w:pPr>
      <w:r w:rsidRPr="00F3427C">
        <w:rPr>
          <w:rFonts w:ascii="Arial" w:eastAsia="Calibri" w:hAnsi="Arial" w:cs="Arial"/>
          <w:sz w:val="22"/>
          <w:lang w:eastAsia="en-US"/>
        </w:rPr>
        <w:t xml:space="preserve">Despite the fact that Rule 48 makes provision for these exchanges after the Taxing Master has stated a case, it is important to bear in mind that the stated case remains the foundation of the parties' initial contentions, of the Taxing Master's report and of the parties' further contentions that are to follow in terms of the Rule. The stated case, if not initially prepared with due care, is likely to create problems that complicate, or even frustrate, the steps in the review proceeding that have still to follow. The importance of proper compliance with the requirement </w:t>
      </w:r>
      <w:r>
        <w:rPr>
          <w:rFonts w:ascii="Arial" w:eastAsia="Calibri" w:hAnsi="Arial" w:cs="Arial"/>
          <w:sz w:val="22"/>
          <w:lang w:eastAsia="en-US"/>
        </w:rPr>
        <w:t>that the stated case “</w:t>
      </w:r>
      <w:r w:rsidRPr="00F3427C">
        <w:rPr>
          <w:rFonts w:ascii="Arial" w:eastAsia="Calibri" w:hAnsi="Arial" w:cs="Arial"/>
          <w:sz w:val="22"/>
          <w:lang w:eastAsia="en-US"/>
        </w:rPr>
        <w:t>shall embody any finding of facts by the Taxing Master</w:t>
      </w:r>
      <w:r>
        <w:rPr>
          <w:rFonts w:ascii="Arial" w:eastAsia="Calibri" w:hAnsi="Arial" w:cs="Arial"/>
          <w:sz w:val="22"/>
          <w:lang w:eastAsia="en-US"/>
        </w:rPr>
        <w:t>”</w:t>
      </w:r>
      <w:r w:rsidRPr="00F3427C">
        <w:rPr>
          <w:rFonts w:ascii="Arial" w:eastAsia="Calibri" w:hAnsi="Arial" w:cs="Arial"/>
          <w:sz w:val="22"/>
          <w:lang w:eastAsia="en-US"/>
        </w:rPr>
        <w:t xml:space="preserve"> was </w:t>
      </w:r>
      <w:proofErr w:type="spellStart"/>
      <w:r w:rsidRPr="00F3427C">
        <w:rPr>
          <w:rFonts w:ascii="Arial" w:eastAsia="Calibri" w:hAnsi="Arial" w:cs="Arial"/>
          <w:sz w:val="22"/>
          <w:lang w:eastAsia="en-US"/>
        </w:rPr>
        <w:t>emphasised</w:t>
      </w:r>
      <w:proofErr w:type="spellEnd"/>
      <w:r w:rsidRPr="00F3427C">
        <w:rPr>
          <w:rFonts w:ascii="Arial" w:eastAsia="Calibri" w:hAnsi="Arial" w:cs="Arial"/>
          <w:sz w:val="22"/>
          <w:lang w:eastAsia="en-US"/>
        </w:rPr>
        <w:t xml:space="preserve"> in </w:t>
      </w:r>
      <w:proofErr w:type="spellStart"/>
      <w:r w:rsidRPr="00F3427C">
        <w:rPr>
          <w:rFonts w:ascii="Arial" w:eastAsia="Calibri" w:hAnsi="Arial" w:cs="Arial"/>
          <w:i/>
          <w:iCs/>
          <w:sz w:val="22"/>
          <w:lang w:eastAsia="en-US"/>
        </w:rPr>
        <w:t>Cordingley</w:t>
      </w:r>
      <w:proofErr w:type="spellEnd"/>
      <w:r w:rsidRPr="00F3427C">
        <w:rPr>
          <w:rFonts w:ascii="Arial" w:eastAsia="Calibri" w:hAnsi="Arial" w:cs="Arial"/>
          <w:i/>
          <w:iCs/>
          <w:sz w:val="22"/>
          <w:lang w:eastAsia="en-US"/>
        </w:rPr>
        <w:t xml:space="preserve"> NO v BP Southern Africa (Pty) Ltd</w:t>
      </w:r>
      <w:r w:rsidRPr="00F3427C">
        <w:rPr>
          <w:rFonts w:ascii="Arial" w:eastAsia="Calibri" w:hAnsi="Arial" w:cs="Arial"/>
          <w:sz w:val="22"/>
          <w:lang w:eastAsia="en-US"/>
        </w:rPr>
        <w:t> 1971 (3) SA 118 (O) at 122B-C</w:t>
      </w:r>
      <w:r w:rsidR="000F4F29" w:rsidRPr="00A42455">
        <w:rPr>
          <w:rFonts w:ascii="Arial" w:eastAsia="Calibri" w:hAnsi="Arial" w:cs="Arial"/>
          <w:sz w:val="22"/>
          <w:szCs w:val="22"/>
          <w:lang w:val="en-ZA"/>
        </w:rPr>
        <w:t>.’</w:t>
      </w:r>
      <w:r w:rsidR="000F4F29" w:rsidRPr="00A42455">
        <w:rPr>
          <w:rFonts w:ascii="Arial" w:eastAsia="Calibri" w:hAnsi="Arial" w:cs="Arial"/>
          <w:sz w:val="22"/>
          <w:szCs w:val="22"/>
          <w:vertAlign w:val="superscript"/>
          <w:lang w:val="en-ZA"/>
        </w:rPr>
        <w:footnoteReference w:id="17"/>
      </w:r>
    </w:p>
    <w:p w14:paraId="7795F28B" w14:textId="77777777" w:rsidR="000F4F29" w:rsidRPr="00A42455" w:rsidRDefault="000F4F29" w:rsidP="000F4F29">
      <w:pPr>
        <w:spacing w:line="360" w:lineRule="auto"/>
        <w:contextualSpacing/>
        <w:jc w:val="both"/>
        <w:rPr>
          <w:rFonts w:ascii="Arial" w:hAnsi="Arial" w:cs="Arial"/>
          <w:lang w:val="en-ZA"/>
        </w:rPr>
      </w:pPr>
    </w:p>
    <w:p w14:paraId="4E86BFF9" w14:textId="52D36DED" w:rsidR="000F4F29" w:rsidRPr="00A42455" w:rsidRDefault="000F4F29" w:rsidP="000F4F29">
      <w:pPr>
        <w:spacing w:line="360" w:lineRule="auto"/>
        <w:contextualSpacing/>
        <w:jc w:val="both"/>
        <w:rPr>
          <w:rFonts w:ascii="Arial" w:hAnsi="Arial" w:cs="Arial"/>
          <w:lang w:val="en-ZA"/>
        </w:rPr>
      </w:pPr>
      <w:r w:rsidRPr="00A42455">
        <w:rPr>
          <w:rFonts w:ascii="Arial" w:hAnsi="Arial" w:cs="Arial"/>
          <w:lang w:val="en-ZA"/>
        </w:rPr>
        <w:t>[</w:t>
      </w:r>
      <w:r w:rsidR="00207E27">
        <w:rPr>
          <w:rFonts w:ascii="Arial" w:hAnsi="Arial" w:cs="Arial"/>
          <w:lang w:val="en-ZA"/>
        </w:rPr>
        <w:t>25</w:t>
      </w:r>
      <w:r w:rsidRPr="00A42455">
        <w:rPr>
          <w:rFonts w:ascii="Arial" w:hAnsi="Arial" w:cs="Arial"/>
          <w:lang w:val="en-ZA"/>
        </w:rPr>
        <w:t>]</w:t>
      </w:r>
      <w:r w:rsidRPr="00A42455">
        <w:rPr>
          <w:rFonts w:ascii="Arial" w:hAnsi="Arial" w:cs="Arial"/>
          <w:lang w:val="en-ZA"/>
        </w:rPr>
        <w:tab/>
      </w:r>
      <w:r w:rsidR="00704542">
        <w:rPr>
          <w:rFonts w:ascii="Arial" w:hAnsi="Arial" w:cs="Arial"/>
          <w:lang w:val="en-ZA"/>
        </w:rPr>
        <w:t>I</w:t>
      </w:r>
      <w:r w:rsidRPr="00A42455">
        <w:rPr>
          <w:rFonts w:ascii="Arial" w:hAnsi="Arial" w:cs="Arial"/>
          <w:lang w:val="en-ZA"/>
        </w:rPr>
        <w:t xml:space="preserve">n the absence of an explanation by the taxing master, and the fact that in </w:t>
      </w:r>
      <w:r w:rsidRPr="00A42455">
        <w:rPr>
          <w:rFonts w:ascii="Arial" w:hAnsi="Arial" w:cs="Arial"/>
          <w:i/>
          <w:lang w:val="en-ZA"/>
        </w:rPr>
        <w:t>Cary</w:t>
      </w:r>
      <w:r w:rsidRPr="00A42455">
        <w:rPr>
          <w:rFonts w:ascii="Arial" w:hAnsi="Arial" w:cs="Arial"/>
          <w:lang w:val="en-ZA"/>
        </w:rPr>
        <w:t xml:space="preserve"> correspondence which comprised less than 250 </w:t>
      </w:r>
      <w:r w:rsidR="00906CBB" w:rsidRPr="00A42455">
        <w:rPr>
          <w:rFonts w:ascii="Arial" w:hAnsi="Arial" w:cs="Arial"/>
          <w:lang w:val="en-ZA"/>
        </w:rPr>
        <w:t xml:space="preserve">words </w:t>
      </w:r>
      <w:r w:rsidRPr="00A42455">
        <w:rPr>
          <w:rFonts w:ascii="Arial" w:hAnsi="Arial" w:cs="Arial"/>
          <w:lang w:val="en-ZA"/>
        </w:rPr>
        <w:t xml:space="preserve">was allowed or that </w:t>
      </w:r>
      <w:proofErr w:type="spellStart"/>
      <w:r w:rsidRPr="00A42455">
        <w:rPr>
          <w:rFonts w:ascii="Arial" w:eastAsia="Calibri" w:hAnsi="Arial" w:cs="Arial"/>
          <w:i/>
          <w:lang w:val="en-ZA"/>
        </w:rPr>
        <w:t>Ndzamela</w:t>
      </w:r>
      <w:proofErr w:type="spellEnd"/>
      <w:r w:rsidRPr="00A42455">
        <w:rPr>
          <w:rFonts w:ascii="Arial" w:eastAsia="Calibri" w:hAnsi="Arial" w:cs="Arial"/>
          <w:lang w:val="en-ZA"/>
        </w:rPr>
        <w:t xml:space="preserve"> called for a few pages to be counted and then averaged</w:t>
      </w:r>
      <w:r w:rsidR="0014471D" w:rsidRPr="00A42455">
        <w:rPr>
          <w:rFonts w:ascii="Arial" w:eastAsia="Calibri" w:hAnsi="Arial" w:cs="Arial"/>
          <w:lang w:val="en-ZA"/>
        </w:rPr>
        <w:t xml:space="preserve">, </w:t>
      </w:r>
      <w:r w:rsidRPr="00A42455">
        <w:rPr>
          <w:rFonts w:ascii="Arial" w:hAnsi="Arial" w:cs="Arial"/>
          <w:lang w:val="en-ZA"/>
        </w:rPr>
        <w:t xml:space="preserve">it seems </w:t>
      </w:r>
      <w:r w:rsidR="0014471D" w:rsidRPr="00A42455">
        <w:rPr>
          <w:rFonts w:ascii="Arial" w:hAnsi="Arial" w:cs="Arial"/>
          <w:lang w:val="en-ZA"/>
        </w:rPr>
        <w:t>logical to conclude</w:t>
      </w:r>
      <w:r w:rsidRPr="00A42455">
        <w:rPr>
          <w:rFonts w:ascii="Arial" w:hAnsi="Arial" w:cs="Arial"/>
          <w:lang w:val="en-ZA"/>
        </w:rPr>
        <w:t xml:space="preserve"> that the taxing master </w:t>
      </w:r>
      <w:r w:rsidR="00207E27">
        <w:rPr>
          <w:rFonts w:ascii="Arial" w:hAnsi="Arial" w:cs="Arial"/>
          <w:lang w:val="en-ZA"/>
        </w:rPr>
        <w:t>was</w:t>
      </w:r>
      <w:r w:rsidRPr="00A42455">
        <w:rPr>
          <w:rFonts w:ascii="Arial" w:hAnsi="Arial" w:cs="Arial"/>
          <w:lang w:val="en-ZA"/>
        </w:rPr>
        <w:t xml:space="preserve"> incorrect</w:t>
      </w:r>
      <w:r w:rsidR="0014471D" w:rsidRPr="00A42455">
        <w:rPr>
          <w:rFonts w:ascii="Arial" w:hAnsi="Arial" w:cs="Arial"/>
          <w:lang w:val="en-ZA"/>
        </w:rPr>
        <w:t xml:space="preserve"> in her approach to the Whats</w:t>
      </w:r>
      <w:r w:rsidR="005D0C1E" w:rsidRPr="00A42455">
        <w:rPr>
          <w:rFonts w:ascii="Arial" w:hAnsi="Arial" w:cs="Arial"/>
          <w:lang w:val="en-ZA"/>
        </w:rPr>
        <w:t>A</w:t>
      </w:r>
      <w:r w:rsidR="0014471D" w:rsidRPr="00A42455">
        <w:rPr>
          <w:rFonts w:ascii="Arial" w:hAnsi="Arial" w:cs="Arial"/>
          <w:lang w:val="en-ZA"/>
        </w:rPr>
        <w:t xml:space="preserve">pp messages. In my view, </w:t>
      </w:r>
      <w:r w:rsidR="00EA5058" w:rsidRPr="00A42455">
        <w:rPr>
          <w:rFonts w:ascii="Arial" w:hAnsi="Arial" w:cs="Arial"/>
          <w:lang w:val="en-ZA"/>
        </w:rPr>
        <w:t>all of these items should not have been taxed off</w:t>
      </w:r>
      <w:r w:rsidRPr="00A42455">
        <w:rPr>
          <w:rFonts w:ascii="Arial" w:hAnsi="Arial" w:cs="Arial"/>
          <w:lang w:val="en-ZA"/>
        </w:rPr>
        <w:t>.</w:t>
      </w:r>
    </w:p>
    <w:p w14:paraId="227F8881" w14:textId="77777777" w:rsidR="000F4F29" w:rsidRPr="00A42455" w:rsidRDefault="000F4F29" w:rsidP="000F4F29">
      <w:pPr>
        <w:spacing w:line="360" w:lineRule="auto"/>
        <w:contextualSpacing/>
        <w:jc w:val="both"/>
        <w:rPr>
          <w:rFonts w:ascii="Arial" w:eastAsia="Calibri" w:hAnsi="Arial" w:cs="Arial"/>
          <w:b/>
          <w:bCs/>
          <w:lang w:val="en-ZA"/>
        </w:rPr>
      </w:pPr>
    </w:p>
    <w:p w14:paraId="11A47690" w14:textId="77777777" w:rsidR="000F4F29" w:rsidRPr="00A42455" w:rsidRDefault="000F4F29" w:rsidP="000F4F29">
      <w:pPr>
        <w:spacing w:line="360" w:lineRule="auto"/>
        <w:contextualSpacing/>
        <w:jc w:val="both"/>
        <w:rPr>
          <w:rFonts w:ascii="Arial" w:eastAsia="Calibri" w:hAnsi="Arial" w:cs="Arial"/>
          <w:b/>
          <w:iCs/>
          <w:lang w:val="en-ZA"/>
        </w:rPr>
      </w:pPr>
      <w:r w:rsidRPr="00A42455">
        <w:rPr>
          <w:rFonts w:ascii="Arial" w:eastAsia="Calibri" w:hAnsi="Arial" w:cs="Arial"/>
          <w:b/>
          <w:iCs/>
          <w:lang w:val="en-ZA"/>
        </w:rPr>
        <w:t>Travelling costs</w:t>
      </w:r>
    </w:p>
    <w:p w14:paraId="6D65208A" w14:textId="6AE8D3A2" w:rsidR="000F4F29" w:rsidRPr="00A42455" w:rsidRDefault="000F4F29" w:rsidP="000F4F29">
      <w:pPr>
        <w:spacing w:line="360" w:lineRule="auto"/>
        <w:contextualSpacing/>
        <w:jc w:val="both"/>
        <w:rPr>
          <w:rFonts w:ascii="Arial" w:eastAsia="Calibri" w:hAnsi="Arial" w:cs="Arial"/>
          <w:bCs/>
          <w:lang w:val="en-ZA"/>
        </w:rPr>
      </w:pPr>
      <w:r w:rsidRPr="00A42455">
        <w:rPr>
          <w:rFonts w:ascii="Arial" w:eastAsia="Calibri" w:hAnsi="Arial" w:cs="Arial"/>
          <w:bCs/>
          <w:lang w:val="en-ZA"/>
        </w:rPr>
        <w:t>[</w:t>
      </w:r>
      <w:r w:rsidR="00207E27">
        <w:rPr>
          <w:rFonts w:ascii="Arial" w:eastAsia="Calibri" w:hAnsi="Arial" w:cs="Arial"/>
          <w:bCs/>
          <w:lang w:val="en-ZA"/>
        </w:rPr>
        <w:t>26</w:t>
      </w:r>
      <w:r w:rsidRPr="00A42455">
        <w:rPr>
          <w:rFonts w:ascii="Arial" w:eastAsia="Calibri" w:hAnsi="Arial" w:cs="Arial"/>
          <w:bCs/>
          <w:lang w:val="en-ZA"/>
        </w:rPr>
        <w:t>]</w:t>
      </w:r>
      <w:r w:rsidRPr="00A42455">
        <w:rPr>
          <w:rFonts w:ascii="Arial" w:eastAsia="Calibri" w:hAnsi="Arial" w:cs="Arial"/>
          <w:bCs/>
          <w:lang w:val="en-ZA"/>
        </w:rPr>
        <w:tab/>
        <w:t>The taxing master disallowed some fees which were charged</w:t>
      </w:r>
      <w:r w:rsidR="0014471D" w:rsidRPr="00A42455">
        <w:rPr>
          <w:rFonts w:ascii="Arial" w:eastAsia="Calibri" w:hAnsi="Arial" w:cs="Arial"/>
          <w:bCs/>
          <w:lang w:val="en-ZA"/>
        </w:rPr>
        <w:t xml:space="preserve"> by the applicant</w:t>
      </w:r>
      <w:r w:rsidRPr="00A42455">
        <w:rPr>
          <w:rFonts w:ascii="Arial" w:eastAsia="Calibri" w:hAnsi="Arial" w:cs="Arial"/>
          <w:bCs/>
          <w:lang w:val="en-ZA"/>
        </w:rPr>
        <w:t xml:space="preserve"> for travelling to Pietermaritzburg from Howick</w:t>
      </w:r>
      <w:r w:rsidR="0014471D" w:rsidRPr="00A42455">
        <w:rPr>
          <w:rFonts w:ascii="Arial" w:eastAsia="Calibri" w:hAnsi="Arial" w:cs="Arial"/>
          <w:bCs/>
          <w:lang w:val="en-ZA"/>
        </w:rPr>
        <w:t xml:space="preserve"> (the applicant is based in Howick)</w:t>
      </w:r>
      <w:r w:rsidRPr="00A42455">
        <w:rPr>
          <w:rFonts w:ascii="Arial" w:eastAsia="Calibri" w:hAnsi="Arial" w:cs="Arial"/>
          <w:bCs/>
          <w:lang w:val="en-ZA"/>
        </w:rPr>
        <w:t>.</w:t>
      </w:r>
    </w:p>
    <w:p w14:paraId="5B9E511B" w14:textId="77777777" w:rsidR="000F4F29" w:rsidRPr="00A42455" w:rsidRDefault="000F4F29" w:rsidP="000F4F29">
      <w:pPr>
        <w:spacing w:line="360" w:lineRule="auto"/>
        <w:contextualSpacing/>
        <w:jc w:val="both"/>
        <w:rPr>
          <w:rFonts w:ascii="Arial" w:eastAsia="Calibri" w:hAnsi="Arial" w:cs="Arial"/>
          <w:bCs/>
          <w:lang w:val="en-ZA"/>
        </w:rPr>
      </w:pPr>
    </w:p>
    <w:p w14:paraId="639A6621" w14:textId="2DAF60B7" w:rsidR="000F4F29" w:rsidRPr="00A42455" w:rsidRDefault="000F4F29" w:rsidP="000F4F29">
      <w:pPr>
        <w:spacing w:line="360" w:lineRule="auto"/>
        <w:contextualSpacing/>
        <w:jc w:val="both"/>
        <w:rPr>
          <w:rFonts w:ascii="Arial" w:eastAsia="Calibri" w:hAnsi="Arial" w:cs="Arial"/>
          <w:bCs/>
          <w:lang w:val="en-ZA"/>
        </w:rPr>
      </w:pPr>
      <w:r w:rsidRPr="00A42455">
        <w:rPr>
          <w:rFonts w:ascii="Arial" w:eastAsia="Calibri" w:hAnsi="Arial" w:cs="Arial"/>
          <w:bCs/>
          <w:lang w:val="en-ZA"/>
        </w:rPr>
        <w:t>[</w:t>
      </w:r>
      <w:r w:rsidR="00207E27">
        <w:rPr>
          <w:rFonts w:ascii="Arial" w:eastAsia="Calibri" w:hAnsi="Arial" w:cs="Arial"/>
          <w:bCs/>
          <w:lang w:val="en-ZA"/>
        </w:rPr>
        <w:t>27</w:t>
      </w:r>
      <w:r w:rsidRPr="00A42455">
        <w:rPr>
          <w:rFonts w:ascii="Arial" w:eastAsia="Calibri" w:hAnsi="Arial" w:cs="Arial"/>
          <w:bCs/>
          <w:lang w:val="en-ZA"/>
        </w:rPr>
        <w:t>]</w:t>
      </w:r>
      <w:r w:rsidRPr="00A42455">
        <w:rPr>
          <w:rFonts w:ascii="Arial" w:eastAsia="Calibri" w:hAnsi="Arial" w:cs="Arial"/>
          <w:bCs/>
          <w:lang w:val="en-ZA"/>
        </w:rPr>
        <w:tab/>
        <w:t xml:space="preserve">Item A11 of rule 70 allows an attorney to claim for such amounts: </w:t>
      </w:r>
    </w:p>
    <w:p w14:paraId="354CDA5A" w14:textId="4194C554" w:rsidR="000F4F29" w:rsidRPr="00A42455" w:rsidRDefault="000F4F29" w:rsidP="006740EF">
      <w:pPr>
        <w:spacing w:line="360" w:lineRule="auto"/>
        <w:contextualSpacing/>
        <w:jc w:val="both"/>
        <w:rPr>
          <w:rFonts w:ascii="Arial" w:eastAsia="Calibri" w:hAnsi="Arial" w:cs="Arial"/>
          <w:sz w:val="22"/>
          <w:szCs w:val="22"/>
          <w:shd w:val="clear" w:color="auto" w:fill="FFFFFF"/>
          <w:lang w:val="en-ZA"/>
        </w:rPr>
      </w:pPr>
      <w:r w:rsidRPr="00A42455">
        <w:rPr>
          <w:rFonts w:ascii="Arial" w:eastAsia="Calibri" w:hAnsi="Arial" w:cs="Arial"/>
          <w:sz w:val="22"/>
          <w:szCs w:val="22"/>
          <w:shd w:val="clear" w:color="auto" w:fill="FFFFFF"/>
          <w:lang w:val="en-ZA"/>
        </w:rPr>
        <w:t>‘</w:t>
      </w:r>
      <w:r w:rsidR="00F3427C" w:rsidRPr="00F3427C">
        <w:rPr>
          <w:rFonts w:ascii="Arial" w:eastAsia="Calibri" w:hAnsi="Arial" w:cs="Arial"/>
          <w:sz w:val="22"/>
          <w:szCs w:val="22"/>
          <w:shd w:val="clear" w:color="auto" w:fill="FFFFFF"/>
        </w:rPr>
        <w:t>The rates of remuneration in items 1 to 9 do not include time spent travelling or waiting and the taxing officer may, in respect of time necessarily so spent, allow such additional remuneration as he or she in his or her discretion considers fair and reasonable, but not exceeding R357,00 per quarter of an hour or part thereof in the case of an attorney and R111,00 per quarter of an hour or part thereof in the case of a candidate attorney plus a reasonable amount for necessary conveyance</w:t>
      </w:r>
      <w:r w:rsidRPr="00A42455">
        <w:rPr>
          <w:rFonts w:ascii="Arial" w:eastAsia="Calibri" w:hAnsi="Arial" w:cs="Arial"/>
          <w:sz w:val="22"/>
          <w:szCs w:val="22"/>
          <w:shd w:val="clear" w:color="auto" w:fill="FFFFFF"/>
          <w:lang w:val="en-ZA"/>
        </w:rPr>
        <w:t>.’</w:t>
      </w:r>
    </w:p>
    <w:p w14:paraId="60618AC8" w14:textId="77777777" w:rsidR="000F4F29" w:rsidRPr="00A42455" w:rsidRDefault="000F4F29" w:rsidP="000F4F29">
      <w:pPr>
        <w:spacing w:line="360" w:lineRule="auto"/>
        <w:contextualSpacing/>
        <w:jc w:val="both"/>
        <w:rPr>
          <w:rFonts w:ascii="Arial" w:eastAsia="Calibri" w:hAnsi="Arial" w:cs="Arial"/>
          <w:shd w:val="clear" w:color="auto" w:fill="FFFFFF"/>
          <w:lang w:val="en-ZA"/>
        </w:rPr>
      </w:pPr>
    </w:p>
    <w:p w14:paraId="1915FD90" w14:textId="6131F546" w:rsidR="000F4F29" w:rsidRPr="00A42455" w:rsidRDefault="000F4F29" w:rsidP="000F4F29">
      <w:pPr>
        <w:spacing w:line="360" w:lineRule="auto"/>
        <w:contextualSpacing/>
        <w:jc w:val="both"/>
        <w:rPr>
          <w:rFonts w:ascii="Arial" w:eastAsia="Calibri" w:hAnsi="Arial" w:cs="Arial"/>
          <w:shd w:val="clear" w:color="auto" w:fill="FFFFFF"/>
          <w:lang w:val="en-ZA"/>
        </w:rPr>
      </w:pPr>
      <w:r w:rsidRPr="00A42455">
        <w:rPr>
          <w:rFonts w:ascii="Arial" w:eastAsia="Calibri" w:hAnsi="Arial" w:cs="Arial"/>
          <w:bCs/>
          <w:lang w:val="en-ZA"/>
        </w:rPr>
        <w:t>[</w:t>
      </w:r>
      <w:r w:rsidR="00207E27">
        <w:rPr>
          <w:rFonts w:ascii="Arial" w:eastAsia="Calibri" w:hAnsi="Arial" w:cs="Arial"/>
          <w:bCs/>
          <w:lang w:val="en-ZA"/>
        </w:rPr>
        <w:t>28</w:t>
      </w:r>
      <w:r w:rsidRPr="00A42455">
        <w:rPr>
          <w:rFonts w:ascii="Arial" w:eastAsia="Calibri" w:hAnsi="Arial" w:cs="Arial"/>
          <w:bCs/>
          <w:lang w:val="en-ZA"/>
        </w:rPr>
        <w:t>]</w:t>
      </w:r>
      <w:r w:rsidRPr="00A42455">
        <w:rPr>
          <w:rFonts w:ascii="Arial" w:eastAsia="Calibri" w:hAnsi="Arial" w:cs="Arial"/>
          <w:bCs/>
          <w:lang w:val="en-ZA"/>
        </w:rPr>
        <w:tab/>
        <w:t>The mandate also provided for travelling fees and expenses. The taxing master is however still required to determine whether or not the fees were reasonable.</w:t>
      </w:r>
    </w:p>
    <w:p w14:paraId="7BAD4E28" w14:textId="77777777" w:rsidR="000F4F29" w:rsidRPr="00A42455" w:rsidRDefault="000F4F29" w:rsidP="000F4F29">
      <w:pPr>
        <w:spacing w:line="360" w:lineRule="auto"/>
        <w:contextualSpacing/>
        <w:jc w:val="both"/>
        <w:rPr>
          <w:rFonts w:ascii="Arial" w:eastAsia="Calibri" w:hAnsi="Arial" w:cs="Arial"/>
          <w:b/>
          <w:bCs/>
          <w:lang w:val="en-ZA"/>
        </w:rPr>
      </w:pPr>
    </w:p>
    <w:p w14:paraId="429C545C" w14:textId="79C9BF67" w:rsidR="000F4F29" w:rsidRPr="00A42455" w:rsidRDefault="000F4F29" w:rsidP="000F4F29">
      <w:pPr>
        <w:spacing w:line="360" w:lineRule="auto"/>
        <w:contextualSpacing/>
        <w:jc w:val="both"/>
        <w:rPr>
          <w:rFonts w:ascii="Arial" w:eastAsia="Calibri" w:hAnsi="Arial" w:cs="Arial"/>
          <w:bCs/>
          <w:lang w:val="en-ZA"/>
        </w:rPr>
      </w:pPr>
      <w:r w:rsidRPr="00A42455">
        <w:rPr>
          <w:rFonts w:ascii="Arial" w:eastAsia="Calibri" w:hAnsi="Arial" w:cs="Arial"/>
          <w:bCs/>
          <w:lang w:val="en-ZA"/>
        </w:rPr>
        <w:t>[</w:t>
      </w:r>
      <w:r w:rsidR="00207E27">
        <w:rPr>
          <w:rFonts w:ascii="Arial" w:eastAsia="Calibri" w:hAnsi="Arial" w:cs="Arial"/>
          <w:bCs/>
          <w:lang w:val="en-ZA"/>
        </w:rPr>
        <w:t>29</w:t>
      </w:r>
      <w:r w:rsidRPr="00A42455">
        <w:rPr>
          <w:rFonts w:ascii="Arial" w:eastAsia="Calibri" w:hAnsi="Arial" w:cs="Arial"/>
          <w:bCs/>
          <w:lang w:val="en-ZA"/>
        </w:rPr>
        <w:t>]</w:t>
      </w:r>
      <w:r w:rsidRPr="00A42455">
        <w:rPr>
          <w:rFonts w:ascii="Arial" w:eastAsia="Calibri" w:hAnsi="Arial" w:cs="Arial"/>
          <w:bCs/>
          <w:lang w:val="en-ZA"/>
        </w:rPr>
        <w:tab/>
        <w:t xml:space="preserve">The taxing master was of the opinion that the fees and expenses were unnecessary as a local correspondent could have been used to reduce the expenses, and accordingly allowed half of the fees and expenses claimed. Items 54, 134, 153 and 193 (for case number 7410/2019P) and items 4, 38, 116, 183, 188, 283, and 324 (for case number 8527/2016P) all relate to travelling from Howick to Pietermaritzburg for purely administrative duties </w:t>
      </w:r>
      <w:r w:rsidR="00207E27">
        <w:rPr>
          <w:rFonts w:ascii="Arial" w:eastAsia="Calibri" w:hAnsi="Arial" w:cs="Arial"/>
          <w:bCs/>
          <w:lang w:val="en-ZA"/>
        </w:rPr>
        <w:t>such as</w:t>
      </w:r>
      <w:r w:rsidR="00207E27" w:rsidRPr="00A42455">
        <w:rPr>
          <w:rFonts w:ascii="Arial" w:eastAsia="Calibri" w:hAnsi="Arial" w:cs="Arial"/>
          <w:bCs/>
          <w:lang w:val="en-ZA"/>
        </w:rPr>
        <w:t xml:space="preserve"> </w:t>
      </w:r>
      <w:r w:rsidRPr="00A42455">
        <w:rPr>
          <w:rFonts w:ascii="Arial" w:eastAsia="Calibri" w:hAnsi="Arial" w:cs="Arial"/>
          <w:bCs/>
          <w:lang w:val="en-ZA"/>
        </w:rPr>
        <w:t xml:space="preserve">filing of documents at court and delivering documents to counsel. In this regard, the taxing master was correct as a correspondent attorney could have attended to these functions, and it seems unreasonable to charge a client for doing this. Item 67 (for case number 7410/2019P) and item 203 (for case number 8527/2016P) are for travelling fees to attend a consultation at counsel’s chambers with </w:t>
      </w:r>
      <w:r w:rsidR="00207E27">
        <w:rPr>
          <w:rFonts w:ascii="Arial" w:eastAsia="Calibri" w:hAnsi="Arial" w:cs="Arial"/>
          <w:bCs/>
          <w:lang w:val="en-ZA"/>
        </w:rPr>
        <w:t>her</w:t>
      </w:r>
      <w:r w:rsidR="00207E27" w:rsidRPr="00A42455">
        <w:rPr>
          <w:rFonts w:ascii="Arial" w:eastAsia="Calibri" w:hAnsi="Arial" w:cs="Arial"/>
          <w:bCs/>
          <w:lang w:val="en-ZA"/>
        </w:rPr>
        <w:t xml:space="preserve"> </w:t>
      </w:r>
      <w:r w:rsidRPr="00A42455">
        <w:rPr>
          <w:rFonts w:ascii="Arial" w:eastAsia="Calibri" w:hAnsi="Arial" w:cs="Arial"/>
          <w:bCs/>
          <w:lang w:val="en-ZA"/>
        </w:rPr>
        <w:t xml:space="preserve">client. It is not known why the taxing master halved the travelling fees, taking into account that such a consultation is reasonable. </w:t>
      </w:r>
      <w:r w:rsidR="0014471D" w:rsidRPr="00A42455">
        <w:rPr>
          <w:rFonts w:ascii="Arial" w:eastAsia="Calibri" w:hAnsi="Arial" w:cs="Arial"/>
          <w:bCs/>
          <w:lang w:val="en-ZA"/>
        </w:rPr>
        <w:t>In my view, item 67 in case number 7410/2019P and item 203 in case number 8527/2016P, ought to have been allowed.</w:t>
      </w:r>
    </w:p>
    <w:p w14:paraId="025D22C5" w14:textId="77777777" w:rsidR="000F4F29" w:rsidRPr="00A42455" w:rsidRDefault="000F4F29" w:rsidP="000F4F29">
      <w:pPr>
        <w:spacing w:line="360" w:lineRule="auto"/>
        <w:contextualSpacing/>
        <w:jc w:val="both"/>
        <w:rPr>
          <w:rFonts w:ascii="Arial" w:eastAsia="Calibri" w:hAnsi="Arial" w:cs="Arial"/>
          <w:b/>
          <w:bCs/>
          <w:lang w:val="en-ZA"/>
        </w:rPr>
      </w:pPr>
    </w:p>
    <w:p w14:paraId="4A0B8EC5" w14:textId="5CF5C860" w:rsidR="000F4F29" w:rsidRPr="00A42455" w:rsidRDefault="000F4F29" w:rsidP="000F4F29">
      <w:pPr>
        <w:spacing w:line="360" w:lineRule="auto"/>
        <w:contextualSpacing/>
        <w:jc w:val="both"/>
        <w:rPr>
          <w:rFonts w:ascii="Arial" w:eastAsia="Calibri" w:hAnsi="Arial" w:cs="Arial"/>
          <w:b/>
          <w:iCs/>
          <w:lang w:val="en-ZA"/>
        </w:rPr>
      </w:pPr>
      <w:r w:rsidRPr="00A42455">
        <w:rPr>
          <w:rFonts w:ascii="Arial" w:eastAsia="Calibri" w:hAnsi="Arial" w:cs="Arial"/>
          <w:b/>
          <w:iCs/>
          <w:lang w:val="en-ZA"/>
        </w:rPr>
        <w:t>VAT</w:t>
      </w:r>
    </w:p>
    <w:p w14:paraId="3871060B" w14:textId="1A02B608" w:rsidR="000F4F29" w:rsidRPr="00A42455" w:rsidRDefault="000F4F29" w:rsidP="000F4F29">
      <w:pPr>
        <w:spacing w:line="360" w:lineRule="auto"/>
        <w:contextualSpacing/>
        <w:jc w:val="both"/>
        <w:rPr>
          <w:rFonts w:ascii="Arial" w:eastAsia="Calibri" w:hAnsi="Arial" w:cs="Arial"/>
          <w:shd w:val="clear" w:color="auto" w:fill="FFFFFF"/>
          <w:lang w:val="en-ZA"/>
        </w:rPr>
      </w:pPr>
      <w:r w:rsidRPr="00A42455">
        <w:rPr>
          <w:rFonts w:ascii="Arial" w:eastAsia="Calibri" w:hAnsi="Arial" w:cs="Arial"/>
          <w:shd w:val="clear" w:color="auto" w:fill="FFFFFF"/>
          <w:lang w:val="en-ZA"/>
        </w:rPr>
        <w:t>[</w:t>
      </w:r>
      <w:r w:rsidR="00207E27">
        <w:rPr>
          <w:rFonts w:ascii="Arial" w:eastAsia="Calibri" w:hAnsi="Arial" w:cs="Arial"/>
          <w:shd w:val="clear" w:color="auto" w:fill="FFFFFF"/>
          <w:lang w:val="en-ZA"/>
        </w:rPr>
        <w:t>30</w:t>
      </w:r>
      <w:r w:rsidRPr="00A42455">
        <w:rPr>
          <w:rFonts w:ascii="Arial" w:eastAsia="Calibri" w:hAnsi="Arial" w:cs="Arial"/>
          <w:shd w:val="clear" w:color="auto" w:fill="FFFFFF"/>
          <w:lang w:val="en-ZA"/>
        </w:rPr>
        <w:t>]</w:t>
      </w:r>
      <w:r w:rsidRPr="00A42455">
        <w:rPr>
          <w:rFonts w:ascii="Arial" w:eastAsia="Calibri" w:hAnsi="Arial" w:cs="Arial"/>
          <w:shd w:val="clear" w:color="auto" w:fill="FFFFFF"/>
          <w:lang w:val="en-ZA"/>
        </w:rPr>
        <w:tab/>
        <w:t>Item 3A of rule 70 allows for VAT to be charged:</w:t>
      </w:r>
    </w:p>
    <w:p w14:paraId="6301A2BE" w14:textId="1B4C3865" w:rsidR="000F4F29" w:rsidRPr="00A42455" w:rsidRDefault="000F4F29" w:rsidP="006740EF">
      <w:pPr>
        <w:spacing w:line="360" w:lineRule="auto"/>
        <w:contextualSpacing/>
        <w:jc w:val="both"/>
        <w:rPr>
          <w:rFonts w:ascii="Arial" w:eastAsia="Calibri" w:hAnsi="Arial" w:cs="Arial"/>
          <w:shd w:val="clear" w:color="auto" w:fill="FFFFFF"/>
          <w:lang w:val="en-ZA"/>
        </w:rPr>
      </w:pPr>
      <w:r w:rsidRPr="00A42455">
        <w:rPr>
          <w:rFonts w:ascii="Arial" w:eastAsia="Calibri" w:hAnsi="Arial" w:cs="Arial"/>
          <w:sz w:val="22"/>
          <w:szCs w:val="22"/>
          <w:shd w:val="clear" w:color="auto" w:fill="FFFFFF"/>
          <w:lang w:val="en-ZA"/>
        </w:rPr>
        <w:t>‘(3A) </w:t>
      </w:r>
      <w:r w:rsidR="00F3427C" w:rsidRPr="00F3427C">
        <w:rPr>
          <w:rFonts w:ascii="Arial" w:eastAsia="Calibri" w:hAnsi="Arial" w:cs="Arial"/>
          <w:sz w:val="22"/>
          <w:szCs w:val="22"/>
          <w:shd w:val="clear" w:color="auto" w:fill="FFFFFF"/>
        </w:rPr>
        <w:t>Value added tax may be added to all costs, fees, disbursements and tariffs in respect of which value added tax is chargeable</w:t>
      </w:r>
      <w:r w:rsidRPr="00A42455">
        <w:rPr>
          <w:rFonts w:ascii="Arial" w:eastAsia="Calibri" w:hAnsi="Arial" w:cs="Arial"/>
          <w:shd w:val="clear" w:color="auto" w:fill="FFFFFF"/>
          <w:lang w:val="en-ZA"/>
        </w:rPr>
        <w:t>.’</w:t>
      </w:r>
    </w:p>
    <w:p w14:paraId="50CD4F8E" w14:textId="77777777" w:rsidR="000F4F29" w:rsidRPr="00A42455" w:rsidRDefault="000F4F29" w:rsidP="000F4F29">
      <w:pPr>
        <w:spacing w:line="360" w:lineRule="auto"/>
        <w:contextualSpacing/>
        <w:jc w:val="both"/>
        <w:rPr>
          <w:rFonts w:ascii="Arial" w:eastAsia="Calibri" w:hAnsi="Arial" w:cs="Arial"/>
          <w:shd w:val="clear" w:color="auto" w:fill="FFFFFF"/>
          <w:lang w:val="en-ZA"/>
        </w:rPr>
      </w:pPr>
    </w:p>
    <w:p w14:paraId="6F71D014" w14:textId="4BC0B925" w:rsidR="000F4F29" w:rsidRPr="00A42455" w:rsidRDefault="000F4F29" w:rsidP="000F4F29">
      <w:pPr>
        <w:spacing w:line="360" w:lineRule="auto"/>
        <w:contextualSpacing/>
        <w:jc w:val="both"/>
        <w:rPr>
          <w:rFonts w:ascii="Arial" w:eastAsia="Calibri" w:hAnsi="Arial" w:cs="Arial"/>
          <w:shd w:val="clear" w:color="auto" w:fill="FFFFFF"/>
          <w:lang w:val="en-ZA"/>
        </w:rPr>
      </w:pPr>
      <w:r w:rsidRPr="00A42455">
        <w:rPr>
          <w:rFonts w:ascii="Arial" w:eastAsia="Calibri" w:hAnsi="Arial" w:cs="Arial"/>
          <w:shd w:val="clear" w:color="auto" w:fill="FFFFFF"/>
          <w:lang w:val="en-ZA"/>
        </w:rPr>
        <w:t>[</w:t>
      </w:r>
      <w:r w:rsidR="00207E27">
        <w:rPr>
          <w:rFonts w:ascii="Arial" w:eastAsia="Calibri" w:hAnsi="Arial" w:cs="Arial"/>
          <w:shd w:val="clear" w:color="auto" w:fill="FFFFFF"/>
          <w:lang w:val="en-ZA"/>
        </w:rPr>
        <w:t>31</w:t>
      </w:r>
      <w:r w:rsidRPr="00A42455">
        <w:rPr>
          <w:rFonts w:ascii="Arial" w:eastAsia="Calibri" w:hAnsi="Arial" w:cs="Arial"/>
          <w:shd w:val="clear" w:color="auto" w:fill="FFFFFF"/>
          <w:lang w:val="en-ZA"/>
        </w:rPr>
        <w:t>]</w:t>
      </w:r>
      <w:r w:rsidRPr="00A42455">
        <w:rPr>
          <w:rFonts w:ascii="Arial" w:eastAsia="Calibri" w:hAnsi="Arial" w:cs="Arial"/>
          <w:shd w:val="clear" w:color="auto" w:fill="FFFFFF"/>
          <w:lang w:val="en-ZA"/>
        </w:rPr>
        <w:tab/>
        <w:t xml:space="preserve">The issue of whether or not VAT can be claimed was dealt with in </w:t>
      </w:r>
      <w:r w:rsidRPr="00A42455">
        <w:rPr>
          <w:rFonts w:ascii="Arial" w:eastAsia="Calibri" w:hAnsi="Arial" w:cs="Arial"/>
          <w:i/>
          <w:shd w:val="clear" w:color="auto" w:fill="FFFFFF"/>
          <w:lang w:val="en-ZA"/>
        </w:rPr>
        <w:t xml:space="preserve">Price Waterhouse </w:t>
      </w:r>
      <w:proofErr w:type="spellStart"/>
      <w:r w:rsidRPr="00A42455">
        <w:rPr>
          <w:rFonts w:ascii="Arial" w:eastAsia="Calibri" w:hAnsi="Arial" w:cs="Arial"/>
          <w:i/>
          <w:shd w:val="clear" w:color="auto" w:fill="FFFFFF"/>
          <w:lang w:val="en-ZA"/>
        </w:rPr>
        <w:t>Meyernel</w:t>
      </w:r>
      <w:proofErr w:type="spellEnd"/>
      <w:r w:rsidRPr="00A42455">
        <w:rPr>
          <w:rFonts w:ascii="Arial" w:eastAsia="Calibri" w:hAnsi="Arial" w:cs="Arial"/>
          <w:i/>
          <w:shd w:val="clear" w:color="auto" w:fill="FFFFFF"/>
          <w:lang w:val="en-ZA"/>
        </w:rPr>
        <w:t xml:space="preserve"> v Thoroughbred Breeders’ Association of South Africa</w:t>
      </w:r>
      <w:r w:rsidR="00D956A9">
        <w:rPr>
          <w:rFonts w:ascii="Arial" w:eastAsia="Calibri" w:hAnsi="Arial" w:cs="Arial"/>
          <w:i/>
          <w:shd w:val="clear" w:color="auto" w:fill="FFFFFF"/>
          <w:lang w:val="en-ZA"/>
        </w:rPr>
        <w:t>.</w:t>
      </w:r>
      <w:r w:rsidRPr="00A42455">
        <w:rPr>
          <w:rStyle w:val="FootnoteReference"/>
          <w:rFonts w:ascii="Arial" w:eastAsia="Calibri" w:hAnsi="Arial" w:cs="Arial"/>
          <w:shd w:val="clear" w:color="auto" w:fill="FFFFFF"/>
          <w:lang w:val="en-ZA"/>
        </w:rPr>
        <w:footnoteReference w:id="18"/>
      </w:r>
      <w:r w:rsidRPr="00A42455">
        <w:rPr>
          <w:rFonts w:ascii="Arial" w:eastAsia="Calibri" w:hAnsi="Arial" w:cs="Arial"/>
          <w:shd w:val="clear" w:color="auto" w:fill="FFFFFF"/>
          <w:lang w:val="en-ZA"/>
        </w:rPr>
        <w:t xml:space="preserve"> The court set out the procedure for determining whether VAT can be claimed as follows:</w:t>
      </w:r>
    </w:p>
    <w:p w14:paraId="7C4872C4" w14:textId="67242E79" w:rsidR="000F4F29" w:rsidRPr="00A42455" w:rsidRDefault="000F4F29" w:rsidP="006740EF">
      <w:pPr>
        <w:spacing w:line="360" w:lineRule="auto"/>
        <w:contextualSpacing/>
        <w:jc w:val="both"/>
        <w:rPr>
          <w:rFonts w:ascii="Arial" w:eastAsia="Calibri" w:hAnsi="Arial" w:cs="Arial"/>
          <w:sz w:val="22"/>
          <w:szCs w:val="22"/>
          <w:shd w:val="clear" w:color="auto" w:fill="FFFFFF"/>
          <w:lang w:val="en-ZA"/>
        </w:rPr>
      </w:pPr>
      <w:r w:rsidRPr="00A42455">
        <w:rPr>
          <w:rFonts w:ascii="Arial" w:eastAsia="Calibri" w:hAnsi="Arial" w:cs="Arial"/>
          <w:sz w:val="22"/>
          <w:szCs w:val="22"/>
          <w:shd w:val="clear" w:color="auto" w:fill="FFFFFF"/>
          <w:lang w:val="en-ZA"/>
        </w:rPr>
        <w:t>‘</w:t>
      </w:r>
      <w:r w:rsidR="00F3427C" w:rsidRPr="00F3427C">
        <w:rPr>
          <w:rFonts w:ascii="Arial" w:eastAsia="Calibri" w:hAnsi="Arial" w:cs="Arial"/>
          <w:sz w:val="22"/>
          <w:szCs w:val="22"/>
          <w:shd w:val="clear" w:color="auto" w:fill="FFFFFF"/>
        </w:rPr>
        <w:t xml:space="preserve">When the answer to that enquiry has been established it is then that the question arises whether such VAT may be included in the bill. </w:t>
      </w:r>
      <w:r w:rsidR="001977A0" w:rsidRPr="00F3427C">
        <w:rPr>
          <w:rFonts w:ascii="Arial" w:eastAsia="Calibri" w:hAnsi="Arial" w:cs="Arial"/>
          <w:sz w:val="22"/>
          <w:szCs w:val="22"/>
          <w:shd w:val="clear" w:color="auto" w:fill="FFFFFF"/>
        </w:rPr>
        <w:t>Certainly,</w:t>
      </w:r>
      <w:r w:rsidR="00F3427C" w:rsidRPr="00F3427C">
        <w:rPr>
          <w:rFonts w:ascii="Arial" w:eastAsia="Calibri" w:hAnsi="Arial" w:cs="Arial"/>
          <w:sz w:val="22"/>
          <w:szCs w:val="22"/>
          <w:shd w:val="clear" w:color="auto" w:fill="FFFFFF"/>
        </w:rPr>
        <w:t xml:space="preserve"> that offers a choice but only a choice for the party whose bill it is. Once that party decides to include the VAT, the Taxing Master has to decide whether such inclusion is proper. That is not a matter of discretion. A costs order - it is trite to say - is intended to indemnify the winner (subject to the limitations of the party and party costs scale) to the extent that it is out of pocket as a result of pursuing the litigation to a successful conclusion. It follows that what the winner has to show - and the Taxing Master has to be satisfied about - is that the items in the bill are costs in the true sense, that is to say, expenses which actually leave the winner out of pocket. The subrule is consequently an empowering provision. It enables the party concerned to claim reimbursement of the items referred to but obliges the Taxing Master to allow or disallow them depending on whether they are expenses of the nature I have described</w:t>
      </w:r>
      <w:r w:rsidRPr="00A42455">
        <w:rPr>
          <w:rFonts w:ascii="Arial" w:eastAsia="Calibri" w:hAnsi="Arial" w:cs="Arial"/>
          <w:sz w:val="22"/>
          <w:szCs w:val="22"/>
          <w:shd w:val="clear" w:color="auto" w:fill="FFFFFF"/>
          <w:lang w:val="en-ZA"/>
        </w:rPr>
        <w:t>.’</w:t>
      </w:r>
      <w:r w:rsidRPr="00A42455">
        <w:rPr>
          <w:rStyle w:val="FootnoteReference"/>
          <w:rFonts w:ascii="Arial" w:eastAsia="Calibri" w:hAnsi="Arial" w:cs="Arial"/>
          <w:sz w:val="22"/>
          <w:szCs w:val="22"/>
          <w:shd w:val="clear" w:color="auto" w:fill="FFFFFF"/>
          <w:lang w:val="en-ZA"/>
        </w:rPr>
        <w:footnoteReference w:id="19"/>
      </w:r>
    </w:p>
    <w:p w14:paraId="4FF9E571" w14:textId="77777777" w:rsidR="0014471D" w:rsidRPr="00A42455" w:rsidRDefault="0014471D" w:rsidP="000F4F29">
      <w:pPr>
        <w:spacing w:line="360" w:lineRule="auto"/>
        <w:contextualSpacing/>
        <w:jc w:val="both"/>
        <w:rPr>
          <w:rFonts w:ascii="Arial" w:eastAsia="Calibri" w:hAnsi="Arial" w:cs="Arial"/>
          <w:shd w:val="clear" w:color="auto" w:fill="FFFFFF"/>
          <w:lang w:val="en-ZA"/>
        </w:rPr>
      </w:pPr>
    </w:p>
    <w:p w14:paraId="63E85E0B" w14:textId="7391CF69" w:rsidR="000F4F29" w:rsidRPr="00A42455" w:rsidRDefault="000F4F29" w:rsidP="000F4F29">
      <w:pPr>
        <w:spacing w:line="360" w:lineRule="auto"/>
        <w:contextualSpacing/>
        <w:jc w:val="both"/>
        <w:rPr>
          <w:rFonts w:ascii="Arial" w:eastAsia="Calibri" w:hAnsi="Arial" w:cs="Arial"/>
          <w:shd w:val="clear" w:color="auto" w:fill="FFFFFF"/>
          <w:lang w:val="en-ZA"/>
        </w:rPr>
      </w:pPr>
      <w:r w:rsidRPr="00A42455">
        <w:rPr>
          <w:rFonts w:ascii="Arial" w:eastAsia="Calibri" w:hAnsi="Arial" w:cs="Arial"/>
          <w:shd w:val="clear" w:color="auto" w:fill="FFFFFF"/>
          <w:lang w:val="en-ZA"/>
        </w:rPr>
        <w:t>[</w:t>
      </w:r>
      <w:r w:rsidR="00207E27">
        <w:rPr>
          <w:rFonts w:ascii="Arial" w:eastAsia="Calibri" w:hAnsi="Arial" w:cs="Arial"/>
          <w:shd w:val="clear" w:color="auto" w:fill="FFFFFF"/>
          <w:lang w:val="en-ZA"/>
        </w:rPr>
        <w:t>32</w:t>
      </w:r>
      <w:r w:rsidRPr="00A42455">
        <w:rPr>
          <w:rFonts w:ascii="Arial" w:eastAsia="Calibri" w:hAnsi="Arial" w:cs="Arial"/>
          <w:shd w:val="clear" w:color="auto" w:fill="FFFFFF"/>
          <w:lang w:val="en-ZA"/>
        </w:rPr>
        <w:t>]</w:t>
      </w:r>
      <w:r w:rsidRPr="00A42455">
        <w:rPr>
          <w:rFonts w:ascii="Arial" w:eastAsia="Calibri" w:hAnsi="Arial" w:cs="Arial"/>
          <w:shd w:val="clear" w:color="auto" w:fill="FFFFFF"/>
          <w:lang w:val="en-ZA"/>
        </w:rPr>
        <w:tab/>
        <w:t>It then held that a plaintiff who is entitled to claim input VAT, will not necessarily be out</w:t>
      </w:r>
      <w:r w:rsidR="00665FDB" w:rsidRPr="00A42455">
        <w:rPr>
          <w:rFonts w:ascii="Arial" w:eastAsia="Calibri" w:hAnsi="Arial" w:cs="Arial"/>
          <w:shd w:val="clear" w:color="auto" w:fill="FFFFFF"/>
          <w:lang w:val="en-ZA"/>
        </w:rPr>
        <w:tab/>
      </w:r>
      <w:r w:rsidRPr="00A42455">
        <w:rPr>
          <w:rFonts w:ascii="Arial" w:eastAsia="Calibri" w:hAnsi="Arial" w:cs="Arial"/>
          <w:shd w:val="clear" w:color="auto" w:fill="FFFFFF"/>
          <w:lang w:val="en-ZA"/>
        </w:rPr>
        <w:t>of pocket:</w:t>
      </w:r>
    </w:p>
    <w:p w14:paraId="646CAB28" w14:textId="1A1E3184" w:rsidR="000F4F29" w:rsidRPr="00A42455" w:rsidRDefault="000F4F29" w:rsidP="006740EF">
      <w:pPr>
        <w:spacing w:line="360" w:lineRule="auto"/>
        <w:contextualSpacing/>
        <w:jc w:val="both"/>
        <w:rPr>
          <w:rFonts w:ascii="Arial" w:eastAsia="Calibri" w:hAnsi="Arial" w:cs="Arial"/>
          <w:sz w:val="22"/>
          <w:szCs w:val="22"/>
          <w:shd w:val="clear" w:color="auto" w:fill="FFFFFF"/>
          <w:lang w:val="en-ZA"/>
        </w:rPr>
      </w:pPr>
      <w:r w:rsidRPr="00A42455">
        <w:rPr>
          <w:rFonts w:ascii="Arial" w:eastAsia="Calibri" w:hAnsi="Arial" w:cs="Arial"/>
          <w:sz w:val="22"/>
          <w:szCs w:val="22"/>
          <w:shd w:val="clear" w:color="auto" w:fill="FFFFFF"/>
          <w:lang w:val="en-ZA"/>
        </w:rPr>
        <w:t>‘</w:t>
      </w:r>
      <w:r w:rsidR="00F3427C" w:rsidRPr="00F3427C">
        <w:rPr>
          <w:rFonts w:ascii="Arial" w:eastAsia="Calibri" w:hAnsi="Arial" w:cs="Arial"/>
          <w:sz w:val="22"/>
          <w:szCs w:val="22"/>
          <w:shd w:val="clear" w:color="auto" w:fill="FFFFFF"/>
        </w:rPr>
        <w:t xml:space="preserve">Consequently, if plaintiff is entitled to claim from the Revenue, as an input tax, the VAT which it is required to pay to its attorney, it does not, in respect of such input tax, incur an </w:t>
      </w:r>
      <w:proofErr w:type="gramStart"/>
      <w:r w:rsidR="00F3427C" w:rsidRPr="00F3427C">
        <w:rPr>
          <w:rFonts w:ascii="Arial" w:eastAsia="Calibri" w:hAnsi="Arial" w:cs="Arial"/>
          <w:sz w:val="22"/>
          <w:szCs w:val="22"/>
          <w:shd w:val="clear" w:color="auto" w:fill="FFFFFF"/>
        </w:rPr>
        <w:t>out of pocket</w:t>
      </w:r>
      <w:proofErr w:type="gramEnd"/>
      <w:r w:rsidR="00F3427C" w:rsidRPr="00F3427C">
        <w:rPr>
          <w:rFonts w:ascii="Arial" w:eastAsia="Calibri" w:hAnsi="Arial" w:cs="Arial"/>
          <w:sz w:val="22"/>
          <w:szCs w:val="22"/>
          <w:shd w:val="clear" w:color="auto" w:fill="FFFFFF"/>
        </w:rPr>
        <w:t xml:space="preserve"> expense</w:t>
      </w:r>
      <w:r w:rsidRPr="00A42455">
        <w:rPr>
          <w:rFonts w:ascii="Arial" w:eastAsia="Calibri" w:hAnsi="Arial" w:cs="Arial"/>
          <w:sz w:val="22"/>
          <w:szCs w:val="22"/>
          <w:shd w:val="clear" w:color="auto" w:fill="FFFFFF"/>
          <w:lang w:val="en-ZA"/>
        </w:rPr>
        <w:t>.’</w:t>
      </w:r>
      <w:r w:rsidRPr="00A42455">
        <w:rPr>
          <w:rStyle w:val="FootnoteReference"/>
          <w:rFonts w:ascii="Arial" w:eastAsia="Calibri" w:hAnsi="Arial" w:cs="Arial"/>
          <w:sz w:val="22"/>
          <w:szCs w:val="22"/>
          <w:shd w:val="clear" w:color="auto" w:fill="FFFFFF"/>
          <w:lang w:val="en-ZA"/>
        </w:rPr>
        <w:footnoteReference w:id="20"/>
      </w:r>
    </w:p>
    <w:p w14:paraId="37EF023C" w14:textId="77777777" w:rsidR="000F4F29" w:rsidRPr="00A42455" w:rsidRDefault="000F4F29" w:rsidP="000F4F29">
      <w:pPr>
        <w:spacing w:line="360" w:lineRule="auto"/>
        <w:contextualSpacing/>
        <w:jc w:val="both"/>
        <w:rPr>
          <w:rFonts w:ascii="Arial" w:eastAsia="Calibri" w:hAnsi="Arial" w:cs="Arial"/>
          <w:sz w:val="28"/>
          <w:shd w:val="clear" w:color="auto" w:fill="FFFFFF"/>
          <w:lang w:val="en-ZA"/>
        </w:rPr>
      </w:pPr>
    </w:p>
    <w:p w14:paraId="6735966E" w14:textId="3B8B9B7B" w:rsidR="000F4F29" w:rsidRPr="00A42455" w:rsidRDefault="000F4F29" w:rsidP="000F4F29">
      <w:pPr>
        <w:spacing w:line="360" w:lineRule="auto"/>
        <w:contextualSpacing/>
        <w:jc w:val="both"/>
        <w:rPr>
          <w:rFonts w:ascii="Arial" w:eastAsia="Calibri" w:hAnsi="Arial" w:cs="Arial"/>
          <w:shd w:val="clear" w:color="auto" w:fill="FFFFFF"/>
          <w:lang w:val="en-ZA"/>
        </w:rPr>
      </w:pPr>
      <w:r w:rsidRPr="00A42455">
        <w:rPr>
          <w:rFonts w:ascii="Arial" w:eastAsia="Calibri" w:hAnsi="Arial" w:cs="Arial"/>
          <w:shd w:val="clear" w:color="auto" w:fill="FFFFFF"/>
          <w:lang w:val="en-ZA"/>
        </w:rPr>
        <w:t>[</w:t>
      </w:r>
      <w:r w:rsidR="00207E27">
        <w:rPr>
          <w:rFonts w:ascii="Arial" w:eastAsia="Calibri" w:hAnsi="Arial" w:cs="Arial"/>
          <w:shd w:val="clear" w:color="auto" w:fill="FFFFFF"/>
          <w:lang w:val="en-ZA"/>
        </w:rPr>
        <w:t>33</w:t>
      </w:r>
      <w:r w:rsidRPr="00A42455">
        <w:rPr>
          <w:rFonts w:ascii="Arial" w:eastAsia="Calibri" w:hAnsi="Arial" w:cs="Arial"/>
          <w:shd w:val="clear" w:color="auto" w:fill="FFFFFF"/>
          <w:lang w:val="en-ZA"/>
        </w:rPr>
        <w:t>]</w:t>
      </w:r>
      <w:r w:rsidRPr="00A42455">
        <w:rPr>
          <w:rFonts w:ascii="Arial" w:eastAsia="Calibri" w:hAnsi="Arial" w:cs="Arial"/>
          <w:shd w:val="clear" w:color="auto" w:fill="FFFFFF"/>
          <w:lang w:val="en-ZA"/>
        </w:rPr>
        <w:tab/>
        <w:t>Thus, the taxing master is required to determine whether or not the VAT is in fact an expense. The taxing master state</w:t>
      </w:r>
      <w:r w:rsidR="0014471D" w:rsidRPr="00A42455">
        <w:rPr>
          <w:rFonts w:ascii="Arial" w:eastAsia="Calibri" w:hAnsi="Arial" w:cs="Arial"/>
          <w:shd w:val="clear" w:color="auto" w:fill="FFFFFF"/>
          <w:lang w:val="en-ZA"/>
        </w:rPr>
        <w:t>s</w:t>
      </w:r>
      <w:r w:rsidRPr="00A42455">
        <w:rPr>
          <w:rFonts w:ascii="Arial" w:eastAsia="Calibri" w:hAnsi="Arial" w:cs="Arial"/>
          <w:shd w:val="clear" w:color="auto" w:fill="FFFFFF"/>
          <w:lang w:val="en-ZA"/>
        </w:rPr>
        <w:t xml:space="preserve"> that the </w:t>
      </w:r>
      <w:r w:rsidR="00A42455">
        <w:rPr>
          <w:rFonts w:ascii="Arial" w:eastAsia="Calibri" w:hAnsi="Arial" w:cs="Arial"/>
          <w:shd w:val="clear" w:color="auto" w:fill="FFFFFF"/>
          <w:lang w:val="en-ZA"/>
        </w:rPr>
        <w:t>cost</w:t>
      </w:r>
      <w:r w:rsidR="00A42455" w:rsidRPr="00A42455">
        <w:rPr>
          <w:rFonts w:ascii="Arial" w:eastAsia="Calibri" w:hAnsi="Arial" w:cs="Arial"/>
          <w:shd w:val="clear" w:color="auto" w:fill="FFFFFF"/>
          <w:lang w:val="en-ZA"/>
        </w:rPr>
        <w:t xml:space="preserve"> </w:t>
      </w:r>
      <w:r w:rsidRPr="00A42455">
        <w:rPr>
          <w:rFonts w:ascii="Arial" w:eastAsia="Calibri" w:hAnsi="Arial" w:cs="Arial"/>
          <w:shd w:val="clear" w:color="auto" w:fill="FFFFFF"/>
          <w:lang w:val="en-ZA"/>
        </w:rPr>
        <w:t xml:space="preserve">consultant confirmed that the applicant was registered for VAT, and could not prove that the applicant would be out of pocket. </w:t>
      </w:r>
    </w:p>
    <w:p w14:paraId="0DD8E39D" w14:textId="77777777" w:rsidR="000F4F29" w:rsidRPr="00A42455" w:rsidRDefault="000F4F29" w:rsidP="000F4F29">
      <w:pPr>
        <w:spacing w:line="360" w:lineRule="auto"/>
        <w:contextualSpacing/>
        <w:jc w:val="both"/>
        <w:rPr>
          <w:rFonts w:ascii="Arial" w:eastAsia="Calibri" w:hAnsi="Arial" w:cs="Arial"/>
          <w:shd w:val="clear" w:color="auto" w:fill="FFFFFF"/>
          <w:lang w:val="en-ZA"/>
        </w:rPr>
      </w:pPr>
    </w:p>
    <w:p w14:paraId="54A0B5DB" w14:textId="171B53A3" w:rsidR="000F4F29" w:rsidRPr="00A42455" w:rsidRDefault="000F4F29" w:rsidP="000F4F29">
      <w:pPr>
        <w:spacing w:line="360" w:lineRule="auto"/>
        <w:contextualSpacing/>
        <w:jc w:val="both"/>
        <w:rPr>
          <w:rFonts w:ascii="Arial" w:eastAsia="Calibri" w:hAnsi="Arial" w:cs="Arial"/>
          <w:lang w:val="en-ZA"/>
        </w:rPr>
      </w:pPr>
      <w:r w:rsidRPr="00A42455">
        <w:rPr>
          <w:rFonts w:ascii="Arial" w:eastAsia="Calibri" w:hAnsi="Arial" w:cs="Arial"/>
          <w:shd w:val="clear" w:color="auto" w:fill="FFFFFF"/>
          <w:lang w:val="en-ZA"/>
        </w:rPr>
        <w:t>[</w:t>
      </w:r>
      <w:r w:rsidR="00207E27">
        <w:rPr>
          <w:rFonts w:ascii="Arial" w:eastAsia="Calibri" w:hAnsi="Arial" w:cs="Arial"/>
          <w:shd w:val="clear" w:color="auto" w:fill="FFFFFF"/>
          <w:lang w:val="en-ZA"/>
        </w:rPr>
        <w:t>34</w:t>
      </w:r>
      <w:r w:rsidRPr="00A42455">
        <w:rPr>
          <w:rFonts w:ascii="Arial" w:eastAsia="Calibri" w:hAnsi="Arial" w:cs="Arial"/>
          <w:shd w:val="clear" w:color="auto" w:fill="FFFFFF"/>
          <w:lang w:val="en-ZA"/>
        </w:rPr>
        <w:t>]</w:t>
      </w:r>
      <w:r w:rsidRPr="00A42455">
        <w:rPr>
          <w:rFonts w:ascii="Arial" w:eastAsia="Calibri" w:hAnsi="Arial" w:cs="Arial"/>
          <w:shd w:val="clear" w:color="auto" w:fill="FFFFFF"/>
          <w:lang w:val="en-ZA"/>
        </w:rPr>
        <w:tab/>
        <w:t xml:space="preserve">The taxing master conducted an enquiry into whether or not the applicant will be out of pocket, in line with what was required in </w:t>
      </w:r>
      <w:r w:rsidRPr="00A42455">
        <w:rPr>
          <w:rFonts w:ascii="Arial" w:eastAsia="Calibri" w:hAnsi="Arial" w:cs="Arial"/>
          <w:i/>
          <w:shd w:val="clear" w:color="auto" w:fill="FFFFFF"/>
          <w:lang w:val="en-ZA"/>
        </w:rPr>
        <w:t>Price Waterhouse.</w:t>
      </w:r>
      <w:r w:rsidRPr="00A42455">
        <w:rPr>
          <w:rFonts w:ascii="Arial" w:eastAsia="Calibri" w:hAnsi="Arial" w:cs="Arial"/>
          <w:shd w:val="clear" w:color="auto" w:fill="FFFFFF"/>
          <w:lang w:val="en-ZA"/>
        </w:rPr>
        <w:t xml:space="preserve"> </w:t>
      </w:r>
      <w:r w:rsidR="0014471D" w:rsidRPr="00A42455">
        <w:rPr>
          <w:rFonts w:ascii="Arial" w:eastAsia="Calibri" w:hAnsi="Arial" w:cs="Arial"/>
          <w:shd w:val="clear" w:color="auto" w:fill="FFFFFF"/>
          <w:lang w:val="en-ZA"/>
        </w:rPr>
        <w:t>In my view, the taxing master’s approach in this regard cannot be criticised and must prevail</w:t>
      </w:r>
      <w:r w:rsidRPr="00A42455">
        <w:rPr>
          <w:rFonts w:ascii="Arial" w:eastAsia="Calibri" w:hAnsi="Arial" w:cs="Arial"/>
          <w:shd w:val="clear" w:color="auto" w:fill="FFFFFF"/>
          <w:lang w:val="en-ZA"/>
        </w:rPr>
        <w:t xml:space="preserve">. </w:t>
      </w:r>
    </w:p>
    <w:p w14:paraId="0E312639" w14:textId="77777777" w:rsidR="006740EF" w:rsidRPr="00A42455" w:rsidRDefault="006740EF" w:rsidP="000F4F29">
      <w:pPr>
        <w:spacing w:line="360" w:lineRule="auto"/>
        <w:contextualSpacing/>
        <w:jc w:val="both"/>
        <w:rPr>
          <w:rFonts w:ascii="Arial" w:hAnsi="Arial" w:cs="Arial"/>
          <w:b/>
          <w:bCs/>
          <w:iCs/>
          <w:lang w:val="en-ZA"/>
        </w:rPr>
      </w:pPr>
    </w:p>
    <w:p w14:paraId="167CE02C" w14:textId="78952ECB" w:rsidR="00E43588" w:rsidRPr="00A42455" w:rsidRDefault="000F4F29" w:rsidP="000F4F29">
      <w:pPr>
        <w:spacing w:line="360" w:lineRule="auto"/>
        <w:contextualSpacing/>
        <w:jc w:val="both"/>
        <w:rPr>
          <w:rFonts w:ascii="Arial" w:hAnsi="Arial" w:cs="Arial"/>
          <w:b/>
          <w:bCs/>
          <w:iCs/>
          <w:lang w:val="en-ZA"/>
        </w:rPr>
      </w:pPr>
      <w:r w:rsidRPr="00A42455">
        <w:rPr>
          <w:rFonts w:ascii="Arial" w:hAnsi="Arial" w:cs="Arial"/>
          <w:b/>
          <w:bCs/>
          <w:iCs/>
          <w:lang w:val="en-ZA"/>
        </w:rPr>
        <w:t>Attendance at court</w:t>
      </w:r>
    </w:p>
    <w:p w14:paraId="3A4236EB" w14:textId="7FD93164" w:rsidR="000F4F29" w:rsidRPr="00A42455" w:rsidRDefault="000F4F29" w:rsidP="000F4F29">
      <w:pPr>
        <w:spacing w:line="360" w:lineRule="auto"/>
        <w:contextualSpacing/>
        <w:jc w:val="both"/>
        <w:rPr>
          <w:rFonts w:ascii="Arial" w:hAnsi="Arial" w:cs="Arial"/>
          <w:bCs/>
          <w:iCs/>
          <w:u w:val="single"/>
          <w:lang w:val="en-ZA"/>
        </w:rPr>
      </w:pPr>
      <w:r w:rsidRPr="00A42455">
        <w:rPr>
          <w:rFonts w:ascii="Arial" w:hAnsi="Arial" w:cs="Arial"/>
          <w:lang w:val="en-ZA"/>
        </w:rPr>
        <w:t>[</w:t>
      </w:r>
      <w:r w:rsidR="00207E27">
        <w:rPr>
          <w:rFonts w:ascii="Arial" w:hAnsi="Arial" w:cs="Arial"/>
          <w:lang w:val="en-ZA"/>
        </w:rPr>
        <w:t>35</w:t>
      </w:r>
      <w:r w:rsidRPr="00A42455">
        <w:rPr>
          <w:rFonts w:ascii="Arial" w:hAnsi="Arial" w:cs="Arial"/>
          <w:lang w:val="en-ZA"/>
        </w:rPr>
        <w:t>]</w:t>
      </w:r>
      <w:r w:rsidRPr="00A42455">
        <w:rPr>
          <w:rFonts w:ascii="Arial" w:hAnsi="Arial" w:cs="Arial"/>
          <w:lang w:val="en-ZA"/>
        </w:rPr>
        <w:tab/>
        <w:t xml:space="preserve">Although stated in respect of party and party costs, it has been held that </w:t>
      </w:r>
    </w:p>
    <w:p w14:paraId="1941BB0D" w14:textId="6240C399" w:rsidR="000F4F29" w:rsidRPr="00A42455" w:rsidRDefault="000F4F29" w:rsidP="006740EF">
      <w:pPr>
        <w:spacing w:line="360" w:lineRule="auto"/>
        <w:contextualSpacing/>
        <w:jc w:val="both"/>
        <w:rPr>
          <w:rFonts w:ascii="Arial" w:eastAsia="Calibri" w:hAnsi="Arial" w:cs="Arial"/>
          <w:sz w:val="22"/>
          <w:szCs w:val="22"/>
          <w:lang w:val="en-ZA"/>
        </w:rPr>
      </w:pPr>
      <w:r w:rsidRPr="00A42455">
        <w:rPr>
          <w:rFonts w:ascii="Arial" w:eastAsia="Calibri" w:hAnsi="Arial" w:cs="Arial"/>
          <w:sz w:val="22"/>
          <w:szCs w:val="22"/>
          <w:lang w:val="en-ZA"/>
        </w:rPr>
        <w:t>‘</w:t>
      </w:r>
      <w:r w:rsidR="00F3427C" w:rsidRPr="00F3427C">
        <w:rPr>
          <w:rFonts w:ascii="Arial" w:eastAsia="Calibri" w:hAnsi="Arial" w:cs="Arial"/>
          <w:sz w:val="22"/>
          <w:szCs w:val="22"/>
        </w:rPr>
        <w:t xml:space="preserve">Fees for attendance in court at a trial are usually allowed only for one set of attorneys acting for a party, that is either for the attorney at the place where the litigant resides (or carries on business) or for the attorney </w:t>
      </w:r>
      <w:proofErr w:type="spellStart"/>
      <w:r w:rsidR="00F3427C" w:rsidRPr="00F3427C">
        <w:rPr>
          <w:rFonts w:ascii="Arial" w:eastAsia="Calibri" w:hAnsi="Arial" w:cs="Arial"/>
          <w:sz w:val="22"/>
          <w:szCs w:val="22"/>
        </w:rPr>
        <w:t>practising</w:t>
      </w:r>
      <w:proofErr w:type="spellEnd"/>
      <w:r w:rsidR="00F3427C" w:rsidRPr="00F3427C">
        <w:rPr>
          <w:rFonts w:ascii="Arial" w:eastAsia="Calibri" w:hAnsi="Arial" w:cs="Arial"/>
          <w:sz w:val="22"/>
          <w:szCs w:val="22"/>
        </w:rPr>
        <w:t xml:space="preserve"> at the seat of the court</w:t>
      </w:r>
      <w:r w:rsidRPr="00A42455">
        <w:rPr>
          <w:rFonts w:ascii="Arial" w:eastAsia="Calibri" w:hAnsi="Arial" w:cs="Arial"/>
          <w:sz w:val="22"/>
          <w:szCs w:val="22"/>
          <w:lang w:val="en-ZA"/>
        </w:rPr>
        <w:t>.</w:t>
      </w:r>
      <w:bookmarkStart w:id="5" w:name="0-0-0-62585"/>
      <w:bookmarkEnd w:id="5"/>
      <w:r w:rsidRPr="00A42455">
        <w:rPr>
          <w:rFonts w:ascii="Arial" w:eastAsia="Calibri" w:hAnsi="Arial" w:cs="Arial"/>
          <w:sz w:val="22"/>
          <w:szCs w:val="22"/>
          <w:lang w:val="en-ZA"/>
        </w:rPr>
        <w:t>’</w:t>
      </w:r>
      <w:r w:rsidRPr="00A42455">
        <w:rPr>
          <w:rFonts w:ascii="Arial" w:eastAsia="Calibri" w:hAnsi="Arial" w:cs="Arial"/>
          <w:sz w:val="22"/>
          <w:szCs w:val="22"/>
          <w:vertAlign w:val="superscript"/>
          <w:lang w:val="en-ZA"/>
        </w:rPr>
        <w:footnoteReference w:id="21"/>
      </w:r>
    </w:p>
    <w:p w14:paraId="09B1A7DC" w14:textId="77777777" w:rsidR="000F4F29" w:rsidRPr="00A42455" w:rsidRDefault="000F4F29" w:rsidP="000F4F29">
      <w:pPr>
        <w:spacing w:line="360" w:lineRule="auto"/>
        <w:contextualSpacing/>
        <w:jc w:val="both"/>
        <w:rPr>
          <w:rFonts w:ascii="Arial" w:eastAsia="Calibri" w:hAnsi="Arial" w:cs="Arial"/>
          <w:lang w:val="en-ZA"/>
        </w:rPr>
      </w:pPr>
    </w:p>
    <w:p w14:paraId="7F8156FE" w14:textId="0F7675A9" w:rsidR="000F4F29" w:rsidRPr="00A42455" w:rsidRDefault="000F4F29" w:rsidP="000F4F29">
      <w:pPr>
        <w:spacing w:line="360" w:lineRule="auto"/>
        <w:contextualSpacing/>
        <w:jc w:val="both"/>
        <w:rPr>
          <w:rFonts w:ascii="Arial" w:eastAsia="Calibri" w:hAnsi="Arial" w:cs="Arial"/>
          <w:lang w:val="en-ZA"/>
        </w:rPr>
      </w:pPr>
      <w:r w:rsidRPr="00A42455">
        <w:rPr>
          <w:rFonts w:ascii="Arial" w:eastAsia="Calibri" w:hAnsi="Arial" w:cs="Arial"/>
          <w:lang w:val="en-ZA"/>
        </w:rPr>
        <w:t>[</w:t>
      </w:r>
      <w:r w:rsidR="00207E27">
        <w:rPr>
          <w:rFonts w:ascii="Arial" w:eastAsia="Calibri" w:hAnsi="Arial" w:cs="Arial"/>
          <w:lang w:val="en-ZA"/>
        </w:rPr>
        <w:t>36</w:t>
      </w:r>
      <w:r w:rsidRPr="00A42455">
        <w:rPr>
          <w:rFonts w:ascii="Arial" w:eastAsia="Calibri" w:hAnsi="Arial" w:cs="Arial"/>
          <w:lang w:val="en-ZA"/>
        </w:rPr>
        <w:t>]</w:t>
      </w:r>
      <w:r w:rsidRPr="00A42455">
        <w:rPr>
          <w:rFonts w:ascii="Arial" w:eastAsia="Calibri" w:hAnsi="Arial" w:cs="Arial"/>
          <w:lang w:val="en-ZA"/>
        </w:rPr>
        <w:tab/>
        <w:t xml:space="preserve">In determining </w:t>
      </w:r>
      <w:r w:rsidR="00F863A0">
        <w:rPr>
          <w:rFonts w:ascii="Arial" w:eastAsia="Calibri" w:hAnsi="Arial" w:cs="Arial"/>
          <w:lang w:val="en-ZA"/>
        </w:rPr>
        <w:t>whether the fees were reasonable</w:t>
      </w:r>
      <w:r w:rsidRPr="00A42455">
        <w:rPr>
          <w:rFonts w:ascii="Arial" w:eastAsia="Calibri" w:hAnsi="Arial" w:cs="Arial"/>
          <w:lang w:val="en-ZA"/>
        </w:rPr>
        <w:t>, the taxing master held that the local correspondent had already attended court, and it was not reasonable to allow the applicant to also charge an attendance fee. Based on the information before the taxing master, it cannot be said that the taxing master committed an error.</w:t>
      </w:r>
    </w:p>
    <w:p w14:paraId="1FF357B2" w14:textId="77777777" w:rsidR="000F4F29" w:rsidRPr="00A42455" w:rsidRDefault="000F4F29" w:rsidP="000F4F29">
      <w:pPr>
        <w:spacing w:line="360" w:lineRule="auto"/>
        <w:contextualSpacing/>
        <w:jc w:val="both"/>
        <w:rPr>
          <w:rFonts w:ascii="Arial" w:eastAsia="Calibri" w:hAnsi="Arial" w:cs="Arial"/>
          <w:lang w:val="en-ZA"/>
        </w:rPr>
      </w:pPr>
    </w:p>
    <w:p w14:paraId="5578003C" w14:textId="7F709140" w:rsidR="000F4F29" w:rsidRPr="00A42455" w:rsidRDefault="000F4F29" w:rsidP="000F4F29">
      <w:pPr>
        <w:spacing w:line="360" w:lineRule="auto"/>
        <w:contextualSpacing/>
        <w:jc w:val="both"/>
        <w:rPr>
          <w:rFonts w:ascii="Arial" w:eastAsia="Calibri" w:hAnsi="Arial" w:cs="Arial"/>
          <w:lang w:val="en-ZA"/>
        </w:rPr>
      </w:pPr>
      <w:r w:rsidRPr="00A42455">
        <w:rPr>
          <w:rFonts w:ascii="Arial" w:eastAsia="Calibri" w:hAnsi="Arial" w:cs="Arial"/>
          <w:lang w:val="en-ZA"/>
        </w:rPr>
        <w:t>[</w:t>
      </w:r>
      <w:r w:rsidR="00207E27">
        <w:rPr>
          <w:rFonts w:ascii="Arial" w:eastAsia="Calibri" w:hAnsi="Arial" w:cs="Arial"/>
          <w:lang w:val="en-ZA"/>
        </w:rPr>
        <w:t>37</w:t>
      </w:r>
      <w:r w:rsidRPr="00A42455">
        <w:rPr>
          <w:rFonts w:ascii="Arial" w:eastAsia="Calibri" w:hAnsi="Arial" w:cs="Arial"/>
          <w:lang w:val="en-ZA"/>
        </w:rPr>
        <w:t>]</w:t>
      </w:r>
      <w:r w:rsidRPr="00A42455">
        <w:rPr>
          <w:rFonts w:ascii="Arial" w:eastAsia="Calibri" w:hAnsi="Arial" w:cs="Arial"/>
          <w:lang w:val="en-ZA"/>
        </w:rPr>
        <w:tab/>
        <w:t>However, the applicant in its submission</w:t>
      </w:r>
      <w:r w:rsidR="00F863A0">
        <w:rPr>
          <w:rFonts w:ascii="Arial" w:eastAsia="Calibri" w:hAnsi="Arial" w:cs="Arial"/>
          <w:lang w:val="en-ZA"/>
        </w:rPr>
        <w:t>s</w:t>
      </w:r>
      <w:r w:rsidRPr="00A42455">
        <w:rPr>
          <w:rFonts w:ascii="Arial" w:eastAsia="Calibri" w:hAnsi="Arial" w:cs="Arial"/>
          <w:lang w:val="en-ZA"/>
        </w:rPr>
        <w:t xml:space="preserve"> provided further evidence on why it was necessary to incur these costs – evidence which was not provided at taxation. </w:t>
      </w:r>
      <w:r w:rsidR="0014471D" w:rsidRPr="00A42455">
        <w:rPr>
          <w:rFonts w:ascii="Arial" w:eastAsia="Calibri" w:hAnsi="Arial" w:cs="Arial"/>
          <w:lang w:val="en-ZA"/>
        </w:rPr>
        <w:t>In my view, this information should have served before the taxing master from the outset and as such should not be allowed now on review.</w:t>
      </w:r>
      <w:r w:rsidR="00F863A0" w:rsidRPr="00A42455">
        <w:rPr>
          <w:rStyle w:val="FootnoteReference"/>
          <w:rFonts w:ascii="Arial" w:eastAsia="Calibri" w:hAnsi="Arial" w:cs="Arial"/>
          <w:lang w:val="en-ZA"/>
        </w:rPr>
        <w:footnoteReference w:id="22"/>
      </w:r>
    </w:p>
    <w:p w14:paraId="77ADDCF4" w14:textId="77777777" w:rsidR="000F4F29" w:rsidRPr="00A42455" w:rsidRDefault="000F4F29" w:rsidP="000F4F29">
      <w:pPr>
        <w:spacing w:line="360" w:lineRule="auto"/>
        <w:contextualSpacing/>
        <w:jc w:val="both"/>
        <w:rPr>
          <w:rFonts w:ascii="Arial" w:eastAsia="Calibri" w:hAnsi="Arial" w:cs="Arial"/>
          <w:lang w:val="en-ZA"/>
        </w:rPr>
      </w:pPr>
    </w:p>
    <w:p w14:paraId="640270B4" w14:textId="77777777" w:rsidR="000F4F29" w:rsidRPr="00A42455" w:rsidRDefault="000F4F29" w:rsidP="000F4F29">
      <w:pPr>
        <w:spacing w:line="360" w:lineRule="auto"/>
        <w:contextualSpacing/>
        <w:jc w:val="both"/>
        <w:rPr>
          <w:rFonts w:ascii="Arial" w:eastAsia="Calibri" w:hAnsi="Arial" w:cs="Arial"/>
          <w:b/>
          <w:bCs/>
          <w:iCs/>
          <w:lang w:val="en-ZA"/>
        </w:rPr>
      </w:pPr>
      <w:r w:rsidRPr="00A42455">
        <w:rPr>
          <w:rFonts w:ascii="Arial" w:eastAsia="Calibri" w:hAnsi="Arial" w:cs="Arial"/>
          <w:b/>
          <w:bCs/>
          <w:iCs/>
          <w:lang w:val="en-ZA"/>
        </w:rPr>
        <w:t>Sheriff’s fees</w:t>
      </w:r>
    </w:p>
    <w:p w14:paraId="4CAA912A" w14:textId="1FED706B" w:rsidR="000F4F29" w:rsidRPr="00A42455" w:rsidRDefault="000F4F29" w:rsidP="000F4F29">
      <w:pPr>
        <w:spacing w:line="360" w:lineRule="auto"/>
        <w:contextualSpacing/>
        <w:jc w:val="both"/>
        <w:rPr>
          <w:rFonts w:ascii="Arial" w:eastAsia="Calibri" w:hAnsi="Arial" w:cs="Arial"/>
          <w:shd w:val="clear" w:color="auto" w:fill="FFFFFF"/>
          <w:lang w:val="en-ZA"/>
        </w:rPr>
      </w:pPr>
      <w:r w:rsidRPr="00A42455">
        <w:rPr>
          <w:rFonts w:ascii="Arial" w:eastAsia="Calibri" w:hAnsi="Arial" w:cs="Arial"/>
          <w:lang w:val="en-ZA"/>
        </w:rPr>
        <w:t>[</w:t>
      </w:r>
      <w:r w:rsidR="00207E27">
        <w:rPr>
          <w:rFonts w:ascii="Arial" w:eastAsia="Calibri" w:hAnsi="Arial" w:cs="Arial"/>
          <w:lang w:val="en-ZA"/>
        </w:rPr>
        <w:t>38</w:t>
      </w:r>
      <w:r w:rsidRPr="00A42455">
        <w:rPr>
          <w:rFonts w:ascii="Arial" w:eastAsia="Calibri" w:hAnsi="Arial" w:cs="Arial"/>
          <w:lang w:val="en-ZA"/>
        </w:rPr>
        <w:t>]</w:t>
      </w:r>
      <w:r w:rsidRPr="00A42455">
        <w:rPr>
          <w:rFonts w:ascii="Arial" w:eastAsia="Calibri" w:hAnsi="Arial" w:cs="Arial"/>
          <w:lang w:val="en-ZA"/>
        </w:rPr>
        <w:tab/>
        <w:t xml:space="preserve">As the sheriff’s fee is an expense, </w:t>
      </w:r>
      <w:r w:rsidRPr="00A42455">
        <w:rPr>
          <w:rFonts w:ascii="Arial" w:eastAsia="Calibri" w:hAnsi="Arial" w:cs="Arial"/>
          <w:shd w:val="clear" w:color="auto" w:fill="FFFFFF"/>
          <w:lang w:val="en-ZA"/>
        </w:rPr>
        <w:t>‘[a] taxing master has a discretion to disallow certain expenses where an attorney has overreached his client or has been negligent or mala fide’.</w:t>
      </w:r>
      <w:r w:rsidRPr="00A42455">
        <w:rPr>
          <w:rStyle w:val="FootnoteReference"/>
          <w:rFonts w:ascii="Arial" w:eastAsia="Calibri" w:hAnsi="Arial" w:cs="Arial"/>
          <w:shd w:val="clear" w:color="auto" w:fill="FFFFFF"/>
          <w:lang w:val="en-ZA"/>
        </w:rPr>
        <w:footnoteReference w:id="23"/>
      </w:r>
    </w:p>
    <w:p w14:paraId="468FE80D" w14:textId="77777777" w:rsidR="000F4F29" w:rsidRPr="00A42455" w:rsidRDefault="000F4F29" w:rsidP="000F4F29">
      <w:pPr>
        <w:spacing w:line="360" w:lineRule="auto"/>
        <w:contextualSpacing/>
        <w:jc w:val="both"/>
        <w:rPr>
          <w:rFonts w:ascii="Arial" w:eastAsia="Calibri" w:hAnsi="Arial" w:cs="Arial"/>
          <w:shd w:val="clear" w:color="auto" w:fill="FFFFFF"/>
          <w:lang w:val="en-ZA"/>
        </w:rPr>
      </w:pPr>
    </w:p>
    <w:p w14:paraId="19C614DD" w14:textId="42869545" w:rsidR="000F4F29" w:rsidRPr="00A42455" w:rsidRDefault="000F4F29" w:rsidP="000F4F29">
      <w:pPr>
        <w:spacing w:line="360" w:lineRule="auto"/>
        <w:contextualSpacing/>
        <w:jc w:val="both"/>
        <w:rPr>
          <w:rFonts w:ascii="Arial" w:eastAsia="Calibri" w:hAnsi="Arial" w:cs="Arial"/>
          <w:shd w:val="clear" w:color="auto" w:fill="FFFFFF"/>
          <w:lang w:val="en-ZA"/>
        </w:rPr>
      </w:pPr>
      <w:r w:rsidRPr="00A42455">
        <w:rPr>
          <w:rFonts w:ascii="Arial" w:eastAsia="Calibri" w:hAnsi="Arial" w:cs="Arial"/>
          <w:shd w:val="clear" w:color="auto" w:fill="FFFFFF"/>
          <w:lang w:val="en-ZA"/>
        </w:rPr>
        <w:t>[</w:t>
      </w:r>
      <w:r w:rsidR="00207E27">
        <w:rPr>
          <w:rFonts w:ascii="Arial" w:eastAsia="Calibri" w:hAnsi="Arial" w:cs="Arial"/>
          <w:shd w:val="clear" w:color="auto" w:fill="FFFFFF"/>
          <w:lang w:val="en-ZA"/>
        </w:rPr>
        <w:t>39</w:t>
      </w:r>
      <w:r w:rsidRPr="00A42455">
        <w:rPr>
          <w:rFonts w:ascii="Arial" w:eastAsia="Calibri" w:hAnsi="Arial" w:cs="Arial"/>
          <w:shd w:val="clear" w:color="auto" w:fill="FFFFFF"/>
          <w:lang w:val="en-ZA"/>
        </w:rPr>
        <w:t>]</w:t>
      </w:r>
      <w:r w:rsidRPr="00A42455">
        <w:rPr>
          <w:rFonts w:ascii="Arial" w:eastAsia="Calibri" w:hAnsi="Arial" w:cs="Arial"/>
          <w:shd w:val="clear" w:color="auto" w:fill="FFFFFF"/>
          <w:lang w:val="en-ZA"/>
        </w:rPr>
        <w:tab/>
        <w:t>I</w:t>
      </w:r>
      <w:r w:rsidR="00913A1C" w:rsidRPr="00A42455">
        <w:rPr>
          <w:rFonts w:ascii="Arial" w:eastAsia="Calibri" w:hAnsi="Arial" w:cs="Arial"/>
          <w:shd w:val="clear" w:color="auto" w:fill="FFFFFF"/>
          <w:lang w:val="en-ZA"/>
        </w:rPr>
        <w:t>f</w:t>
      </w:r>
      <w:r w:rsidRPr="00A42455">
        <w:rPr>
          <w:rFonts w:ascii="Arial" w:eastAsia="Calibri" w:hAnsi="Arial" w:cs="Arial"/>
          <w:shd w:val="clear" w:color="auto" w:fill="FFFFFF"/>
          <w:lang w:val="en-ZA"/>
        </w:rPr>
        <w:t xml:space="preserve"> the attorney was at fault for having to have the warrant of execution reissued, then the client cannot be expected to have to pay for such negligence. In terms of the taxing master’s stated case, no submissions were made by the </w:t>
      </w:r>
      <w:r w:rsidR="00A42455">
        <w:rPr>
          <w:rFonts w:ascii="Arial" w:eastAsia="Calibri" w:hAnsi="Arial" w:cs="Arial"/>
          <w:shd w:val="clear" w:color="auto" w:fill="FFFFFF"/>
          <w:lang w:val="en-ZA"/>
        </w:rPr>
        <w:t>cost</w:t>
      </w:r>
      <w:r w:rsidR="00A42455" w:rsidRPr="00A42455">
        <w:rPr>
          <w:rFonts w:ascii="Arial" w:eastAsia="Calibri" w:hAnsi="Arial" w:cs="Arial"/>
          <w:shd w:val="clear" w:color="auto" w:fill="FFFFFF"/>
          <w:lang w:val="en-ZA"/>
        </w:rPr>
        <w:t xml:space="preserve"> </w:t>
      </w:r>
      <w:r w:rsidRPr="00A42455">
        <w:rPr>
          <w:rFonts w:ascii="Arial" w:eastAsia="Calibri" w:hAnsi="Arial" w:cs="Arial"/>
          <w:shd w:val="clear" w:color="auto" w:fill="FFFFFF"/>
          <w:lang w:val="en-ZA"/>
        </w:rPr>
        <w:t>consultant who appeared on behalf of the applicant as to why the warrant was reissued. Accordingly, there appears to be no reason for interfering with the taxing master’s decision.</w:t>
      </w:r>
    </w:p>
    <w:p w14:paraId="5F1B2977" w14:textId="77777777" w:rsidR="000F4F29" w:rsidRPr="00A42455" w:rsidRDefault="000F4F29" w:rsidP="000F4F29">
      <w:pPr>
        <w:spacing w:line="360" w:lineRule="auto"/>
        <w:contextualSpacing/>
        <w:jc w:val="both"/>
        <w:rPr>
          <w:rFonts w:ascii="Arial" w:eastAsia="Calibri" w:hAnsi="Arial" w:cs="Arial"/>
          <w:shd w:val="clear" w:color="auto" w:fill="FFFFFF"/>
          <w:lang w:val="en-ZA"/>
        </w:rPr>
      </w:pPr>
    </w:p>
    <w:p w14:paraId="3012A980" w14:textId="401941CC" w:rsidR="000F4F29" w:rsidRPr="00A42455" w:rsidRDefault="000F4F29" w:rsidP="000F4F29">
      <w:pPr>
        <w:spacing w:line="360" w:lineRule="auto"/>
        <w:contextualSpacing/>
        <w:jc w:val="both"/>
        <w:rPr>
          <w:rFonts w:ascii="Arial" w:eastAsia="Calibri" w:hAnsi="Arial" w:cs="Arial"/>
          <w:lang w:val="en-ZA"/>
        </w:rPr>
      </w:pPr>
      <w:r w:rsidRPr="00A42455">
        <w:rPr>
          <w:rFonts w:ascii="Arial" w:eastAsia="Calibri" w:hAnsi="Arial" w:cs="Arial"/>
          <w:shd w:val="clear" w:color="auto" w:fill="FFFFFF"/>
          <w:lang w:val="en-ZA"/>
        </w:rPr>
        <w:t>[</w:t>
      </w:r>
      <w:r w:rsidR="00207E27">
        <w:rPr>
          <w:rFonts w:ascii="Arial" w:eastAsia="Calibri" w:hAnsi="Arial" w:cs="Arial"/>
          <w:shd w:val="clear" w:color="auto" w:fill="FFFFFF"/>
          <w:lang w:val="en-ZA"/>
        </w:rPr>
        <w:t>40</w:t>
      </w:r>
      <w:r w:rsidRPr="00A42455">
        <w:rPr>
          <w:rFonts w:ascii="Arial" w:eastAsia="Calibri" w:hAnsi="Arial" w:cs="Arial"/>
          <w:shd w:val="clear" w:color="auto" w:fill="FFFFFF"/>
          <w:lang w:val="en-ZA"/>
        </w:rPr>
        <w:t>]</w:t>
      </w:r>
      <w:r w:rsidRPr="00A42455">
        <w:rPr>
          <w:rFonts w:ascii="Arial" w:eastAsia="Calibri" w:hAnsi="Arial" w:cs="Arial"/>
          <w:shd w:val="clear" w:color="auto" w:fill="FFFFFF"/>
          <w:lang w:val="en-ZA"/>
        </w:rPr>
        <w:tab/>
        <w:t xml:space="preserve">However, the applicant </w:t>
      </w:r>
      <w:r w:rsidR="00913A1C" w:rsidRPr="00A42455">
        <w:rPr>
          <w:rFonts w:ascii="Arial" w:eastAsia="Calibri" w:hAnsi="Arial" w:cs="Arial"/>
          <w:shd w:val="clear" w:color="auto" w:fill="FFFFFF"/>
          <w:lang w:val="en-ZA"/>
        </w:rPr>
        <w:t xml:space="preserve">again </w:t>
      </w:r>
      <w:r w:rsidRPr="00A42455">
        <w:rPr>
          <w:rFonts w:ascii="Arial" w:eastAsia="Calibri" w:hAnsi="Arial" w:cs="Arial"/>
          <w:shd w:val="clear" w:color="auto" w:fill="FFFFFF"/>
          <w:lang w:val="en-ZA"/>
        </w:rPr>
        <w:t>in its submission</w:t>
      </w:r>
      <w:r w:rsidR="00913A1C" w:rsidRPr="00A42455">
        <w:rPr>
          <w:rFonts w:ascii="Arial" w:eastAsia="Calibri" w:hAnsi="Arial" w:cs="Arial"/>
          <w:shd w:val="clear" w:color="auto" w:fill="FFFFFF"/>
          <w:lang w:val="en-ZA"/>
        </w:rPr>
        <w:t>s</w:t>
      </w:r>
      <w:r w:rsidRPr="00A42455">
        <w:rPr>
          <w:rFonts w:ascii="Arial" w:eastAsia="Calibri" w:hAnsi="Arial" w:cs="Arial"/>
          <w:shd w:val="clear" w:color="auto" w:fill="FFFFFF"/>
          <w:lang w:val="en-ZA"/>
        </w:rPr>
        <w:t xml:space="preserve"> provided the</w:t>
      </w:r>
      <w:r w:rsidR="00F863A0">
        <w:rPr>
          <w:rFonts w:ascii="Arial" w:eastAsia="Calibri" w:hAnsi="Arial" w:cs="Arial"/>
          <w:shd w:val="clear" w:color="auto" w:fill="FFFFFF"/>
          <w:lang w:val="en-ZA"/>
        </w:rPr>
        <w:t xml:space="preserve"> necessary</w:t>
      </w:r>
      <w:r w:rsidRPr="00A42455">
        <w:rPr>
          <w:rFonts w:ascii="Arial" w:eastAsia="Calibri" w:hAnsi="Arial" w:cs="Arial"/>
          <w:shd w:val="clear" w:color="auto" w:fill="FFFFFF"/>
          <w:lang w:val="en-ZA"/>
        </w:rPr>
        <w:t xml:space="preserve"> information as to why the warrant was reissued – which should have been done at the taxation.</w:t>
      </w:r>
      <w:r w:rsidR="0014471D" w:rsidRPr="00A42455">
        <w:rPr>
          <w:rFonts w:ascii="Arial" w:eastAsia="Calibri" w:hAnsi="Arial" w:cs="Arial"/>
          <w:shd w:val="clear" w:color="auto" w:fill="FFFFFF"/>
          <w:lang w:val="en-ZA"/>
        </w:rPr>
        <w:t xml:space="preserve"> In my view, </w:t>
      </w:r>
      <w:r w:rsidR="00F863A0">
        <w:rPr>
          <w:rFonts w:ascii="Arial" w:eastAsia="Calibri" w:hAnsi="Arial" w:cs="Arial"/>
          <w:shd w:val="clear" w:color="auto" w:fill="FFFFFF"/>
          <w:lang w:val="en-ZA"/>
        </w:rPr>
        <w:t xml:space="preserve">such information </w:t>
      </w:r>
      <w:r w:rsidR="00F863A0" w:rsidRPr="00A42455">
        <w:rPr>
          <w:rFonts w:ascii="Arial" w:eastAsia="Calibri" w:hAnsi="Arial" w:cs="Arial"/>
          <w:lang w:val="en-ZA"/>
        </w:rPr>
        <w:t>should not be allowed now on review</w:t>
      </w:r>
      <w:r w:rsidR="00F863A0" w:rsidRPr="00A42455">
        <w:rPr>
          <w:rFonts w:ascii="Arial" w:eastAsia="Calibri" w:hAnsi="Arial" w:cs="Arial"/>
          <w:shd w:val="clear" w:color="auto" w:fill="FFFFFF"/>
          <w:lang w:val="en-ZA"/>
        </w:rPr>
        <w:t xml:space="preserve"> </w:t>
      </w:r>
      <w:r w:rsidR="00F863A0">
        <w:rPr>
          <w:rFonts w:ascii="Arial" w:eastAsia="Calibri" w:hAnsi="Arial" w:cs="Arial"/>
          <w:shd w:val="clear" w:color="auto" w:fill="FFFFFF"/>
          <w:lang w:val="en-ZA"/>
        </w:rPr>
        <w:t xml:space="preserve">and </w:t>
      </w:r>
      <w:r w:rsidR="0014471D" w:rsidRPr="00A42455">
        <w:rPr>
          <w:rFonts w:ascii="Arial" w:eastAsia="Calibri" w:hAnsi="Arial" w:cs="Arial"/>
          <w:shd w:val="clear" w:color="auto" w:fill="FFFFFF"/>
          <w:lang w:val="en-ZA"/>
        </w:rPr>
        <w:t>the taxing master’s decision in this regard stand</w:t>
      </w:r>
      <w:r w:rsidR="00207E27">
        <w:rPr>
          <w:rFonts w:ascii="Arial" w:eastAsia="Calibri" w:hAnsi="Arial" w:cs="Arial"/>
          <w:shd w:val="clear" w:color="auto" w:fill="FFFFFF"/>
          <w:lang w:val="en-ZA"/>
        </w:rPr>
        <w:t>s</w:t>
      </w:r>
      <w:r w:rsidR="0014471D" w:rsidRPr="00A42455">
        <w:rPr>
          <w:rFonts w:ascii="Arial" w:eastAsia="Calibri" w:hAnsi="Arial" w:cs="Arial"/>
          <w:shd w:val="clear" w:color="auto" w:fill="FFFFFF"/>
          <w:lang w:val="en-ZA"/>
        </w:rPr>
        <w:t>.</w:t>
      </w:r>
    </w:p>
    <w:p w14:paraId="56FD6339" w14:textId="77777777" w:rsidR="000F4F29" w:rsidRPr="00A42455" w:rsidRDefault="000F4F29" w:rsidP="000F4F29">
      <w:pPr>
        <w:spacing w:line="360" w:lineRule="auto"/>
        <w:contextualSpacing/>
        <w:jc w:val="both"/>
        <w:rPr>
          <w:rFonts w:ascii="Arial" w:eastAsia="Calibri" w:hAnsi="Arial" w:cs="Arial"/>
          <w:bCs/>
          <w:lang w:val="en-ZA"/>
        </w:rPr>
      </w:pPr>
    </w:p>
    <w:p w14:paraId="7C030AEC" w14:textId="3C70EB73" w:rsidR="000F4F29" w:rsidRPr="00A42455" w:rsidRDefault="000F4F29" w:rsidP="000F4F29">
      <w:pPr>
        <w:spacing w:line="360" w:lineRule="auto"/>
        <w:contextualSpacing/>
        <w:jc w:val="both"/>
        <w:rPr>
          <w:rFonts w:ascii="Arial" w:hAnsi="Arial" w:cs="Arial"/>
          <w:b/>
          <w:bCs/>
          <w:lang w:val="en-ZA"/>
        </w:rPr>
      </w:pPr>
      <w:r w:rsidRPr="00A42455">
        <w:rPr>
          <w:rFonts w:ascii="Arial" w:hAnsi="Arial" w:cs="Arial"/>
          <w:b/>
          <w:bCs/>
          <w:lang w:val="en-ZA"/>
        </w:rPr>
        <w:t>Applicant’s correspondent’s account</w:t>
      </w:r>
    </w:p>
    <w:p w14:paraId="1BC700EA" w14:textId="48C4E046" w:rsidR="000F4F29" w:rsidRPr="00A42455" w:rsidRDefault="000F4F29" w:rsidP="000F4F29">
      <w:pPr>
        <w:spacing w:line="360" w:lineRule="auto"/>
        <w:contextualSpacing/>
        <w:jc w:val="both"/>
        <w:rPr>
          <w:rFonts w:ascii="Arial" w:hAnsi="Arial" w:cs="Arial"/>
          <w:lang w:val="en-ZA"/>
        </w:rPr>
      </w:pPr>
      <w:r w:rsidRPr="00A42455">
        <w:rPr>
          <w:rFonts w:ascii="Arial" w:hAnsi="Arial" w:cs="Arial"/>
          <w:lang w:val="en-ZA"/>
        </w:rPr>
        <w:t>[</w:t>
      </w:r>
      <w:r w:rsidR="00207E27">
        <w:rPr>
          <w:rFonts w:ascii="Arial" w:hAnsi="Arial" w:cs="Arial"/>
          <w:lang w:val="en-ZA"/>
        </w:rPr>
        <w:t>41</w:t>
      </w:r>
      <w:r w:rsidRPr="00A42455">
        <w:rPr>
          <w:rFonts w:ascii="Arial" w:hAnsi="Arial" w:cs="Arial"/>
          <w:lang w:val="en-ZA"/>
        </w:rPr>
        <w:t>]</w:t>
      </w:r>
      <w:r w:rsidRPr="00A42455">
        <w:rPr>
          <w:rFonts w:ascii="Arial" w:hAnsi="Arial" w:cs="Arial"/>
          <w:lang w:val="en-ZA"/>
        </w:rPr>
        <w:tab/>
        <w:t>Rule 70(8) allows for the two sets of attorneys to be remunerated under certain circumstances:</w:t>
      </w:r>
    </w:p>
    <w:p w14:paraId="3EA40D96" w14:textId="4C147135" w:rsidR="00F863A0" w:rsidRDefault="000F4F29" w:rsidP="006740EF">
      <w:pPr>
        <w:spacing w:line="360" w:lineRule="auto"/>
        <w:contextualSpacing/>
        <w:jc w:val="both"/>
        <w:rPr>
          <w:rFonts w:ascii="Arial" w:eastAsia="Calibri" w:hAnsi="Arial" w:cs="Arial"/>
          <w:sz w:val="22"/>
          <w:szCs w:val="22"/>
          <w:shd w:val="clear" w:color="auto" w:fill="FFFFFF"/>
          <w:lang w:val="en-ZA"/>
        </w:rPr>
      </w:pPr>
      <w:r w:rsidRPr="00A42455">
        <w:rPr>
          <w:rFonts w:ascii="Arial" w:eastAsia="Calibri" w:hAnsi="Arial" w:cs="Arial"/>
          <w:sz w:val="22"/>
          <w:szCs w:val="22"/>
          <w:shd w:val="clear" w:color="auto" w:fill="FFFFFF"/>
          <w:lang w:val="en-ZA"/>
        </w:rPr>
        <w:t>‘</w:t>
      </w:r>
      <w:r w:rsidR="001405E7" w:rsidRPr="001405E7">
        <w:rPr>
          <w:rFonts w:ascii="Arial" w:eastAsia="Calibri" w:hAnsi="Arial" w:cs="Arial"/>
          <w:sz w:val="22"/>
          <w:szCs w:val="22"/>
          <w:shd w:val="clear" w:color="auto" w:fill="FFFFFF"/>
        </w:rPr>
        <w:t>Where, in the opinion of the taxing master, more than one attorney has necessarily been engaged in the performance of any of the services covered by the tariff, each such attorney shall be entitled to be remunerated on the basis set out in the tariff for the work necessarily done by him</w:t>
      </w:r>
      <w:r w:rsidRPr="00A42455">
        <w:rPr>
          <w:rFonts w:ascii="Arial" w:eastAsia="Calibri" w:hAnsi="Arial" w:cs="Arial"/>
          <w:sz w:val="22"/>
          <w:szCs w:val="22"/>
          <w:shd w:val="clear" w:color="auto" w:fill="FFFFFF"/>
          <w:lang w:val="en-ZA"/>
        </w:rPr>
        <w:t>.’</w:t>
      </w:r>
      <w:r w:rsidR="0014471D" w:rsidRPr="00A42455">
        <w:rPr>
          <w:rFonts w:ascii="Arial" w:eastAsia="Calibri" w:hAnsi="Arial" w:cs="Arial"/>
          <w:sz w:val="22"/>
          <w:szCs w:val="22"/>
          <w:shd w:val="clear" w:color="auto" w:fill="FFFFFF"/>
          <w:lang w:val="en-ZA"/>
        </w:rPr>
        <w:t xml:space="preserve"> </w:t>
      </w:r>
    </w:p>
    <w:p w14:paraId="36B3CDED" w14:textId="62233589" w:rsidR="000F4F29" w:rsidRPr="00F863A0" w:rsidRDefault="000F4F29" w:rsidP="006740EF">
      <w:pPr>
        <w:spacing w:line="360" w:lineRule="auto"/>
        <w:contextualSpacing/>
        <w:jc w:val="both"/>
        <w:rPr>
          <w:rFonts w:ascii="Arial" w:eastAsia="Calibri" w:hAnsi="Arial" w:cs="Arial"/>
          <w:shd w:val="clear" w:color="auto" w:fill="FFFFFF"/>
          <w:lang w:val="en-ZA"/>
        </w:rPr>
      </w:pPr>
      <w:r w:rsidRPr="00F863A0">
        <w:rPr>
          <w:rFonts w:ascii="Arial" w:eastAsia="Calibri" w:hAnsi="Arial" w:cs="Arial"/>
          <w:shd w:val="clear" w:color="auto" w:fill="FFFFFF"/>
          <w:lang w:val="en-ZA"/>
        </w:rPr>
        <w:t>As this is also a taxation on the scale of attorney and own client, such expenses</w:t>
      </w:r>
      <w:r w:rsidR="00A801EB">
        <w:rPr>
          <w:rFonts w:ascii="Arial" w:eastAsia="Calibri" w:hAnsi="Arial" w:cs="Arial"/>
          <w:shd w:val="clear" w:color="auto" w:fill="FFFFFF"/>
          <w:lang w:val="en-ZA"/>
        </w:rPr>
        <w:t xml:space="preserve"> as</w:t>
      </w:r>
      <w:r w:rsidRPr="00F863A0">
        <w:rPr>
          <w:rFonts w:ascii="Arial" w:eastAsia="Calibri" w:hAnsi="Arial" w:cs="Arial"/>
          <w:shd w:val="clear" w:color="auto" w:fill="FFFFFF"/>
          <w:lang w:val="en-ZA"/>
        </w:rPr>
        <w:t xml:space="preserve"> ‘which has been specifically agreed, expressly and impliedly, may be recovered’.</w:t>
      </w:r>
      <w:r w:rsidRPr="00F863A0">
        <w:rPr>
          <w:rFonts w:ascii="Arial" w:eastAsia="Calibri" w:hAnsi="Arial" w:cs="Arial"/>
          <w:shd w:val="clear" w:color="auto" w:fill="FFFFFF"/>
          <w:vertAlign w:val="superscript"/>
          <w:lang w:val="en-ZA"/>
        </w:rPr>
        <w:footnoteReference w:id="24"/>
      </w:r>
    </w:p>
    <w:p w14:paraId="2AEFC16F" w14:textId="77777777" w:rsidR="000F4F29" w:rsidRPr="00A42455" w:rsidRDefault="000F4F29" w:rsidP="000F4F29">
      <w:pPr>
        <w:spacing w:line="360" w:lineRule="auto"/>
        <w:contextualSpacing/>
        <w:jc w:val="both"/>
        <w:rPr>
          <w:rFonts w:ascii="Arial" w:hAnsi="Arial" w:cs="Arial"/>
          <w:lang w:val="en-ZA"/>
        </w:rPr>
      </w:pPr>
    </w:p>
    <w:p w14:paraId="4ADC8BFA" w14:textId="789C1019" w:rsidR="000F4F29" w:rsidRPr="00A42455" w:rsidRDefault="000F4F29" w:rsidP="000F4F29">
      <w:pPr>
        <w:spacing w:line="360" w:lineRule="auto"/>
        <w:contextualSpacing/>
        <w:jc w:val="both"/>
        <w:rPr>
          <w:rFonts w:ascii="Arial" w:hAnsi="Arial" w:cs="Arial"/>
          <w:lang w:val="en-ZA"/>
        </w:rPr>
      </w:pPr>
      <w:r w:rsidRPr="00A42455">
        <w:rPr>
          <w:rFonts w:ascii="Arial" w:hAnsi="Arial" w:cs="Arial"/>
          <w:lang w:val="en-ZA"/>
        </w:rPr>
        <w:t>[</w:t>
      </w:r>
      <w:r w:rsidR="00207E27">
        <w:rPr>
          <w:rFonts w:ascii="Arial" w:hAnsi="Arial" w:cs="Arial"/>
          <w:lang w:val="en-ZA"/>
        </w:rPr>
        <w:t>42</w:t>
      </w:r>
      <w:r w:rsidRPr="00A42455">
        <w:rPr>
          <w:rFonts w:ascii="Arial" w:hAnsi="Arial" w:cs="Arial"/>
          <w:lang w:val="en-ZA"/>
        </w:rPr>
        <w:t>]</w:t>
      </w:r>
      <w:r w:rsidRPr="00A42455">
        <w:rPr>
          <w:rFonts w:ascii="Arial" w:hAnsi="Arial" w:cs="Arial"/>
          <w:lang w:val="en-ZA"/>
        </w:rPr>
        <w:tab/>
        <w:t>The taxing master is required to ensure that there is no duplication of costs when there are two sets of attorneys:</w:t>
      </w:r>
    </w:p>
    <w:p w14:paraId="09F2C8B2" w14:textId="771A2CB0" w:rsidR="000F4F29" w:rsidRPr="00A42455" w:rsidRDefault="000F4F29" w:rsidP="006740EF">
      <w:pPr>
        <w:spacing w:line="360" w:lineRule="auto"/>
        <w:contextualSpacing/>
        <w:jc w:val="both"/>
        <w:rPr>
          <w:rFonts w:ascii="Arial" w:eastAsia="Calibri" w:hAnsi="Arial" w:cs="Arial"/>
          <w:sz w:val="22"/>
          <w:szCs w:val="22"/>
          <w:lang w:val="en-ZA"/>
        </w:rPr>
      </w:pPr>
      <w:r w:rsidRPr="00A42455">
        <w:rPr>
          <w:rFonts w:ascii="Arial" w:eastAsia="Calibri" w:hAnsi="Arial" w:cs="Arial"/>
          <w:sz w:val="22"/>
          <w:szCs w:val="22"/>
          <w:lang w:val="en-ZA"/>
        </w:rPr>
        <w:t>‘</w:t>
      </w:r>
      <w:r w:rsidR="001405E7" w:rsidRPr="001405E7">
        <w:rPr>
          <w:rFonts w:ascii="Arial" w:eastAsia="Calibri" w:hAnsi="Arial" w:cs="Arial"/>
          <w:sz w:val="22"/>
          <w:szCs w:val="22"/>
        </w:rPr>
        <w:t xml:space="preserve">As I read Rule 70 (8) it is the function of the Taxing Master, not the Court, to decide whether more than one attorney has been necessarily engaged in the performance of any particular service. That relates to services or work, and in deciding whether </w:t>
      </w:r>
      <w:proofErr w:type="spellStart"/>
      <w:r w:rsidR="001405E7" w:rsidRPr="001405E7">
        <w:rPr>
          <w:rFonts w:ascii="Arial" w:eastAsia="Calibri" w:hAnsi="Arial" w:cs="Arial"/>
          <w:sz w:val="22"/>
          <w:szCs w:val="22"/>
        </w:rPr>
        <w:t>Deneys</w:t>
      </w:r>
      <w:proofErr w:type="spellEnd"/>
      <w:r w:rsidR="001405E7" w:rsidRPr="001405E7">
        <w:rPr>
          <w:rFonts w:ascii="Arial" w:eastAsia="Calibri" w:hAnsi="Arial" w:cs="Arial"/>
          <w:sz w:val="22"/>
          <w:szCs w:val="22"/>
        </w:rPr>
        <w:t xml:space="preserve"> Reitz was necessarily engaged to perform any or all of the services reflected in the second bill of costs the Taxing Master may have regard to the practice for which Mr. </w:t>
      </w:r>
      <w:r w:rsidR="001405E7" w:rsidRPr="001405E7">
        <w:rPr>
          <w:rFonts w:ascii="Arial" w:eastAsia="Calibri" w:hAnsi="Arial" w:cs="Arial"/>
          <w:i/>
          <w:iCs/>
          <w:sz w:val="22"/>
          <w:szCs w:val="22"/>
        </w:rPr>
        <w:t>Schreiner</w:t>
      </w:r>
      <w:r w:rsidR="001405E7" w:rsidRPr="001405E7">
        <w:rPr>
          <w:rFonts w:ascii="Arial" w:eastAsia="Calibri" w:hAnsi="Arial" w:cs="Arial"/>
          <w:sz w:val="22"/>
          <w:szCs w:val="22"/>
        </w:rPr>
        <w:t xml:space="preserve"> contends. If he does so I think that he should also bear in mind that even if such practice is of general </w:t>
      </w:r>
      <w:proofErr w:type="gramStart"/>
      <w:r w:rsidR="001405E7" w:rsidRPr="001405E7">
        <w:rPr>
          <w:rFonts w:ascii="Arial" w:eastAsia="Calibri" w:hAnsi="Arial" w:cs="Arial"/>
          <w:sz w:val="22"/>
          <w:szCs w:val="22"/>
        </w:rPr>
        <w:t>application</w:t>
      </w:r>
      <w:proofErr w:type="gramEnd"/>
      <w:r w:rsidR="001405E7" w:rsidRPr="001405E7">
        <w:rPr>
          <w:rFonts w:ascii="Arial" w:eastAsia="Calibri" w:hAnsi="Arial" w:cs="Arial"/>
          <w:sz w:val="22"/>
          <w:szCs w:val="22"/>
        </w:rPr>
        <w:t xml:space="preserve"> it is not inflexible, and that the apparent reason for it is to avoid unnecessary duplication of costs. (See </w:t>
      </w:r>
      <w:r w:rsidR="001405E7" w:rsidRPr="001405E7">
        <w:rPr>
          <w:rFonts w:ascii="Arial" w:eastAsia="Calibri" w:hAnsi="Arial" w:cs="Arial"/>
          <w:i/>
          <w:iCs/>
          <w:sz w:val="22"/>
          <w:szCs w:val="22"/>
        </w:rPr>
        <w:t>Trethewey v Reinhold, supra</w:t>
      </w:r>
      <w:r w:rsidR="001405E7" w:rsidRPr="001405E7">
        <w:rPr>
          <w:rFonts w:ascii="Arial" w:eastAsia="Calibri" w:hAnsi="Arial" w:cs="Arial"/>
          <w:sz w:val="22"/>
          <w:szCs w:val="22"/>
        </w:rPr>
        <w:t> at p. 9; </w:t>
      </w:r>
      <w:r w:rsidR="001405E7" w:rsidRPr="001405E7">
        <w:rPr>
          <w:rFonts w:ascii="Arial" w:eastAsia="Calibri" w:hAnsi="Arial" w:cs="Arial"/>
          <w:i/>
          <w:iCs/>
          <w:sz w:val="22"/>
          <w:szCs w:val="22"/>
        </w:rPr>
        <w:t>Silber v Silber</w:t>
      </w:r>
      <w:r w:rsidR="001405E7" w:rsidRPr="001405E7">
        <w:rPr>
          <w:rFonts w:ascii="Arial" w:eastAsia="Calibri" w:hAnsi="Arial" w:cs="Arial"/>
          <w:sz w:val="22"/>
          <w:szCs w:val="22"/>
        </w:rPr>
        <w:t xml:space="preserve">, 1964 (3) SA 473 (T) at p. 476). In exercising his discretion on this </w:t>
      </w:r>
      <w:proofErr w:type="gramStart"/>
      <w:r w:rsidR="001405E7" w:rsidRPr="001405E7">
        <w:rPr>
          <w:rFonts w:ascii="Arial" w:eastAsia="Calibri" w:hAnsi="Arial" w:cs="Arial"/>
          <w:sz w:val="22"/>
          <w:szCs w:val="22"/>
        </w:rPr>
        <w:t>question</w:t>
      </w:r>
      <w:proofErr w:type="gramEnd"/>
      <w:r w:rsidR="001405E7" w:rsidRPr="001405E7">
        <w:rPr>
          <w:rFonts w:ascii="Arial" w:eastAsia="Calibri" w:hAnsi="Arial" w:cs="Arial"/>
          <w:sz w:val="22"/>
          <w:szCs w:val="22"/>
        </w:rPr>
        <w:t xml:space="preserve"> the Taxing Master should consider whether there has been any unnecessary duplication of costs and take into account all relevant facts and circumstances, including the facts that costs were awarded on the attorney and client scale and Johannesburg counsel and experts were employed</w:t>
      </w:r>
      <w:r w:rsidRPr="00A42455">
        <w:rPr>
          <w:rFonts w:ascii="Arial" w:eastAsia="Calibri" w:hAnsi="Arial" w:cs="Arial"/>
          <w:sz w:val="22"/>
          <w:szCs w:val="22"/>
          <w:lang w:val="en-ZA"/>
        </w:rPr>
        <w:t>.’</w:t>
      </w:r>
      <w:r w:rsidRPr="00A42455">
        <w:rPr>
          <w:rFonts w:ascii="Arial" w:eastAsia="Calibri" w:hAnsi="Arial" w:cs="Arial"/>
          <w:sz w:val="22"/>
          <w:szCs w:val="22"/>
          <w:vertAlign w:val="superscript"/>
          <w:lang w:val="en-ZA"/>
        </w:rPr>
        <w:footnoteReference w:id="25"/>
      </w:r>
    </w:p>
    <w:p w14:paraId="420A0418" w14:textId="77777777" w:rsidR="000F4F29" w:rsidRPr="00A42455" w:rsidRDefault="000F4F29" w:rsidP="000F4F29">
      <w:pPr>
        <w:spacing w:line="360" w:lineRule="auto"/>
        <w:contextualSpacing/>
        <w:jc w:val="both"/>
        <w:rPr>
          <w:rFonts w:ascii="Arial" w:hAnsi="Arial" w:cs="Arial"/>
          <w:lang w:val="en-ZA"/>
        </w:rPr>
      </w:pPr>
    </w:p>
    <w:p w14:paraId="154BE5BD" w14:textId="04DFA4C6" w:rsidR="000F4F29" w:rsidRPr="00A42455" w:rsidRDefault="000F4F29" w:rsidP="000F4F29">
      <w:pPr>
        <w:spacing w:line="360" w:lineRule="auto"/>
        <w:contextualSpacing/>
        <w:jc w:val="both"/>
        <w:rPr>
          <w:rFonts w:ascii="Arial" w:eastAsia="Calibri" w:hAnsi="Arial" w:cs="Arial"/>
          <w:shd w:val="clear" w:color="auto" w:fill="FFFFFF"/>
          <w:lang w:val="en-ZA"/>
        </w:rPr>
      </w:pPr>
      <w:r w:rsidRPr="00A42455">
        <w:rPr>
          <w:rFonts w:ascii="Arial" w:eastAsia="Calibri" w:hAnsi="Arial" w:cs="Arial"/>
          <w:shd w:val="clear" w:color="auto" w:fill="FFFFFF"/>
          <w:lang w:val="en-ZA"/>
        </w:rPr>
        <w:t>[</w:t>
      </w:r>
      <w:r w:rsidR="00207E27">
        <w:rPr>
          <w:rFonts w:ascii="Arial" w:eastAsia="Calibri" w:hAnsi="Arial" w:cs="Arial"/>
          <w:shd w:val="clear" w:color="auto" w:fill="FFFFFF"/>
          <w:lang w:val="en-ZA"/>
        </w:rPr>
        <w:t>43</w:t>
      </w:r>
      <w:r w:rsidRPr="00A42455">
        <w:rPr>
          <w:rFonts w:ascii="Arial" w:eastAsia="Calibri" w:hAnsi="Arial" w:cs="Arial"/>
          <w:shd w:val="clear" w:color="auto" w:fill="FFFFFF"/>
          <w:lang w:val="en-ZA"/>
        </w:rPr>
        <w:t>]</w:t>
      </w:r>
      <w:r w:rsidRPr="00A42455">
        <w:rPr>
          <w:rFonts w:ascii="Arial" w:eastAsia="Calibri" w:hAnsi="Arial" w:cs="Arial"/>
          <w:shd w:val="clear" w:color="auto" w:fill="FFFFFF"/>
          <w:lang w:val="en-ZA"/>
        </w:rPr>
        <w:tab/>
        <w:t>The taxing master’s reason for taxing off the correspondent’s account was that no bill of costs was presented in respect of the correspondent’s account.</w:t>
      </w:r>
    </w:p>
    <w:p w14:paraId="1BB92F0C" w14:textId="77777777" w:rsidR="000F4F29" w:rsidRPr="00A42455" w:rsidRDefault="000F4F29" w:rsidP="000F4F29">
      <w:pPr>
        <w:spacing w:line="360" w:lineRule="auto"/>
        <w:contextualSpacing/>
        <w:jc w:val="both"/>
        <w:rPr>
          <w:rFonts w:ascii="Arial" w:hAnsi="Arial" w:cs="Arial"/>
          <w:lang w:val="en-ZA"/>
        </w:rPr>
      </w:pPr>
    </w:p>
    <w:p w14:paraId="2A4E995B" w14:textId="1CC68B61" w:rsidR="000F4F29" w:rsidRPr="00A42455" w:rsidRDefault="000F4F29" w:rsidP="000F4F29">
      <w:pPr>
        <w:spacing w:line="360" w:lineRule="auto"/>
        <w:contextualSpacing/>
        <w:jc w:val="both"/>
        <w:rPr>
          <w:rFonts w:ascii="Arial" w:hAnsi="Arial" w:cs="Arial"/>
          <w:lang w:val="en-ZA"/>
        </w:rPr>
      </w:pPr>
      <w:r w:rsidRPr="00A42455">
        <w:rPr>
          <w:rFonts w:ascii="Arial" w:hAnsi="Arial" w:cs="Arial"/>
          <w:lang w:val="en-ZA"/>
        </w:rPr>
        <w:t>[</w:t>
      </w:r>
      <w:r w:rsidR="00207E27">
        <w:rPr>
          <w:rFonts w:ascii="Arial" w:hAnsi="Arial" w:cs="Arial"/>
          <w:lang w:val="en-ZA"/>
        </w:rPr>
        <w:t>44</w:t>
      </w:r>
      <w:r w:rsidRPr="00A42455">
        <w:rPr>
          <w:rFonts w:ascii="Arial" w:hAnsi="Arial" w:cs="Arial"/>
          <w:lang w:val="en-ZA"/>
        </w:rPr>
        <w:t>]</w:t>
      </w:r>
      <w:r w:rsidRPr="00A42455">
        <w:rPr>
          <w:rFonts w:ascii="Arial" w:hAnsi="Arial" w:cs="Arial"/>
          <w:lang w:val="en-ZA"/>
        </w:rPr>
        <w:tab/>
        <w:t xml:space="preserve">The author of </w:t>
      </w:r>
      <w:r w:rsidRPr="00A42455">
        <w:rPr>
          <w:rFonts w:ascii="Arial" w:hAnsi="Arial" w:cs="Arial"/>
          <w:i/>
          <w:lang w:val="en-ZA"/>
        </w:rPr>
        <w:t>Law of Costs</w:t>
      </w:r>
      <w:r w:rsidRPr="00A42455">
        <w:rPr>
          <w:rFonts w:ascii="Arial" w:hAnsi="Arial" w:cs="Arial"/>
          <w:lang w:val="en-ZA"/>
        </w:rPr>
        <w:t xml:space="preserve"> states that</w:t>
      </w:r>
    </w:p>
    <w:p w14:paraId="245E022A" w14:textId="5A291CBA" w:rsidR="000F4F29" w:rsidRPr="00F863A0" w:rsidRDefault="000F4F29" w:rsidP="006740EF">
      <w:pPr>
        <w:spacing w:line="360" w:lineRule="auto"/>
        <w:contextualSpacing/>
        <w:jc w:val="both"/>
        <w:rPr>
          <w:rFonts w:ascii="Arial" w:eastAsia="Calibri" w:hAnsi="Arial" w:cs="Arial"/>
          <w:sz w:val="22"/>
          <w:szCs w:val="22"/>
          <w:shd w:val="clear" w:color="auto" w:fill="FFFFFF"/>
          <w:lang w:val="en-ZA"/>
        </w:rPr>
      </w:pPr>
      <w:r w:rsidRPr="00F863A0">
        <w:rPr>
          <w:rFonts w:ascii="Arial" w:eastAsia="Calibri" w:hAnsi="Arial" w:cs="Arial"/>
          <w:sz w:val="22"/>
          <w:szCs w:val="22"/>
          <w:shd w:val="clear" w:color="auto" w:fill="FFFFFF"/>
          <w:lang w:val="en-ZA"/>
        </w:rPr>
        <w:t>‘</w:t>
      </w:r>
      <w:r w:rsidR="00B74CF9" w:rsidRPr="00F863A0">
        <w:rPr>
          <w:rFonts w:ascii="Arial" w:eastAsia="Calibri" w:hAnsi="Arial" w:cs="Arial"/>
          <w:sz w:val="22"/>
          <w:szCs w:val="22"/>
          <w:shd w:val="clear" w:color="auto" w:fill="FFFFFF"/>
          <w:lang w:val="en-ZA"/>
        </w:rPr>
        <w:t>It </w:t>
      </w:r>
      <w:r w:rsidRPr="00F863A0">
        <w:rPr>
          <w:rFonts w:ascii="Arial" w:eastAsia="Calibri" w:hAnsi="Arial" w:cs="Arial"/>
          <w:sz w:val="22"/>
          <w:szCs w:val="22"/>
          <w:shd w:val="clear" w:color="auto" w:fill="FFFFFF"/>
          <w:lang w:val="en-ZA"/>
        </w:rPr>
        <w:t>has been held that where more than one attorney is necessarily engaged, each such attorney may draw up and have taxed a bill of costs and may charge, in addition to the fees allowed or included in such bill, a fee for drawing up the bill and a fee for having it taxed, based on the percentages (or the minimum) referred to. It may well be that in many cases the town attorney will actually draw both bills and may also attend on the taxation of both but in each case, apparently, a separate fee will be allowable.’</w:t>
      </w:r>
      <w:r w:rsidRPr="00F863A0">
        <w:rPr>
          <w:rFonts w:ascii="Arial" w:eastAsia="Calibri" w:hAnsi="Arial" w:cs="Arial"/>
          <w:sz w:val="22"/>
          <w:szCs w:val="22"/>
          <w:shd w:val="clear" w:color="auto" w:fill="FFFFFF"/>
          <w:vertAlign w:val="superscript"/>
          <w:lang w:val="en-ZA"/>
        </w:rPr>
        <w:footnoteReference w:id="26"/>
      </w:r>
      <w:r w:rsidRPr="00F863A0">
        <w:rPr>
          <w:rFonts w:ascii="Arial" w:eastAsia="Calibri" w:hAnsi="Arial" w:cs="Arial"/>
          <w:sz w:val="22"/>
          <w:szCs w:val="22"/>
          <w:shd w:val="clear" w:color="auto" w:fill="FFFFFF"/>
          <w:lang w:val="en-ZA"/>
        </w:rPr>
        <w:t xml:space="preserve"> (Footnote omitted.)</w:t>
      </w:r>
    </w:p>
    <w:p w14:paraId="436292F0" w14:textId="77777777" w:rsidR="0014471D" w:rsidRPr="00A42455" w:rsidRDefault="0014471D" w:rsidP="000F4F29">
      <w:pPr>
        <w:spacing w:line="360" w:lineRule="auto"/>
        <w:contextualSpacing/>
        <w:jc w:val="both"/>
        <w:rPr>
          <w:rFonts w:ascii="Arial" w:hAnsi="Arial" w:cs="Arial"/>
          <w:lang w:val="en-ZA"/>
        </w:rPr>
      </w:pPr>
    </w:p>
    <w:p w14:paraId="39BE8B6C" w14:textId="6E93C04D" w:rsidR="000F4F29" w:rsidRPr="00A42455" w:rsidRDefault="000F4F29" w:rsidP="000F4F29">
      <w:pPr>
        <w:spacing w:line="360" w:lineRule="auto"/>
        <w:contextualSpacing/>
        <w:jc w:val="both"/>
        <w:rPr>
          <w:rFonts w:ascii="Arial" w:hAnsi="Arial" w:cs="Arial"/>
          <w:lang w:val="en-ZA"/>
        </w:rPr>
      </w:pPr>
      <w:r w:rsidRPr="00A42455">
        <w:rPr>
          <w:rFonts w:ascii="Arial" w:hAnsi="Arial" w:cs="Arial"/>
          <w:lang w:val="en-ZA"/>
        </w:rPr>
        <w:t>[</w:t>
      </w:r>
      <w:r w:rsidR="00207E27">
        <w:rPr>
          <w:rFonts w:ascii="Arial" w:hAnsi="Arial" w:cs="Arial"/>
          <w:lang w:val="en-ZA"/>
        </w:rPr>
        <w:t>45</w:t>
      </w:r>
      <w:r w:rsidRPr="00A42455">
        <w:rPr>
          <w:rFonts w:ascii="Arial" w:hAnsi="Arial" w:cs="Arial"/>
          <w:lang w:val="en-ZA"/>
        </w:rPr>
        <w:t>]</w:t>
      </w:r>
      <w:r w:rsidRPr="00A42455">
        <w:rPr>
          <w:rFonts w:ascii="Arial" w:hAnsi="Arial" w:cs="Arial"/>
          <w:lang w:val="en-ZA"/>
        </w:rPr>
        <w:tab/>
        <w:t xml:space="preserve">It was also stated in </w:t>
      </w:r>
      <w:r w:rsidRPr="00A42455">
        <w:rPr>
          <w:rFonts w:ascii="Arial" w:eastAsia="Calibri" w:hAnsi="Arial" w:cs="Arial"/>
          <w:bCs/>
          <w:i/>
          <w:lang w:val="en-ZA"/>
        </w:rPr>
        <w:t xml:space="preserve">Upfold v </w:t>
      </w:r>
      <w:proofErr w:type="spellStart"/>
      <w:r w:rsidRPr="00A42455">
        <w:rPr>
          <w:rFonts w:ascii="Arial" w:eastAsia="Calibri" w:hAnsi="Arial" w:cs="Arial"/>
          <w:bCs/>
          <w:i/>
          <w:lang w:val="en-ZA"/>
        </w:rPr>
        <w:t>Maingard</w:t>
      </w:r>
      <w:proofErr w:type="spellEnd"/>
      <w:r w:rsidRPr="00A42455">
        <w:rPr>
          <w:rFonts w:ascii="Arial" w:eastAsia="Calibri" w:hAnsi="Arial" w:cs="Arial"/>
          <w:bCs/>
          <w:i/>
          <w:lang w:val="en-ZA"/>
        </w:rPr>
        <w:t xml:space="preserve"> and another</w:t>
      </w:r>
      <w:r w:rsidRPr="00A42455">
        <w:rPr>
          <w:rFonts w:ascii="Arial" w:eastAsia="Calibri" w:hAnsi="Arial" w:cs="Arial"/>
          <w:bCs/>
          <w:vertAlign w:val="superscript"/>
          <w:lang w:val="en-ZA"/>
        </w:rPr>
        <w:footnoteReference w:id="27"/>
      </w:r>
      <w:r w:rsidRPr="00A42455">
        <w:rPr>
          <w:rFonts w:ascii="Arial" w:eastAsia="Calibri" w:hAnsi="Arial" w:cs="Arial"/>
          <w:bCs/>
          <w:lang w:val="en-ZA"/>
        </w:rPr>
        <w:t xml:space="preserve"> </w:t>
      </w:r>
      <w:r w:rsidRPr="00A42455">
        <w:rPr>
          <w:rFonts w:ascii="Arial" w:hAnsi="Arial" w:cs="Arial"/>
          <w:lang w:val="en-ZA"/>
        </w:rPr>
        <w:t>that both firms of attorneys are entitled to draw up a bill of costs.</w:t>
      </w:r>
    </w:p>
    <w:p w14:paraId="74A3010A" w14:textId="77777777" w:rsidR="002349A4" w:rsidRPr="00A42455" w:rsidRDefault="002349A4" w:rsidP="000F4F29">
      <w:pPr>
        <w:spacing w:line="360" w:lineRule="auto"/>
        <w:contextualSpacing/>
        <w:jc w:val="both"/>
        <w:rPr>
          <w:rFonts w:ascii="Arial" w:hAnsi="Arial" w:cs="Arial"/>
          <w:lang w:val="en-ZA"/>
        </w:rPr>
      </w:pPr>
    </w:p>
    <w:p w14:paraId="7A23C9FB" w14:textId="04857CE7" w:rsidR="000F4F29" w:rsidRPr="00A42455" w:rsidRDefault="000F4F29" w:rsidP="000F4F29">
      <w:pPr>
        <w:spacing w:line="360" w:lineRule="auto"/>
        <w:contextualSpacing/>
        <w:jc w:val="both"/>
        <w:rPr>
          <w:rFonts w:ascii="Arial" w:hAnsi="Arial" w:cs="Arial"/>
          <w:lang w:val="en-ZA"/>
        </w:rPr>
      </w:pPr>
      <w:r w:rsidRPr="00A42455">
        <w:rPr>
          <w:rFonts w:ascii="Arial" w:hAnsi="Arial" w:cs="Arial"/>
          <w:lang w:val="en-ZA"/>
        </w:rPr>
        <w:t>[</w:t>
      </w:r>
      <w:r w:rsidR="00207E27">
        <w:rPr>
          <w:rFonts w:ascii="Arial" w:hAnsi="Arial" w:cs="Arial"/>
          <w:lang w:val="en-ZA"/>
        </w:rPr>
        <w:t>46</w:t>
      </w:r>
      <w:r w:rsidRPr="00A42455">
        <w:rPr>
          <w:rFonts w:ascii="Arial" w:hAnsi="Arial" w:cs="Arial"/>
          <w:lang w:val="en-ZA"/>
        </w:rPr>
        <w:t>]</w:t>
      </w:r>
      <w:r w:rsidRPr="00A42455">
        <w:rPr>
          <w:rFonts w:ascii="Arial" w:hAnsi="Arial" w:cs="Arial"/>
          <w:lang w:val="en-ZA"/>
        </w:rPr>
        <w:tab/>
        <w:t xml:space="preserve">It has however been held that it is not always necessary for the correspondent attorney to draw up a bill of costs, and that it may be sufficient to merely attach the attorney’s account. See </w:t>
      </w:r>
      <w:r w:rsidRPr="00A42455">
        <w:rPr>
          <w:rFonts w:ascii="Arial" w:hAnsi="Arial" w:cs="Arial"/>
          <w:bCs/>
          <w:i/>
          <w:lang w:val="en-ZA"/>
        </w:rPr>
        <w:t xml:space="preserve">Groenewald v </w:t>
      </w:r>
      <w:proofErr w:type="spellStart"/>
      <w:r w:rsidRPr="00A42455">
        <w:rPr>
          <w:rFonts w:ascii="Arial" w:hAnsi="Arial" w:cs="Arial"/>
          <w:bCs/>
          <w:i/>
          <w:lang w:val="en-ZA"/>
        </w:rPr>
        <w:t>Selford</w:t>
      </w:r>
      <w:proofErr w:type="spellEnd"/>
      <w:r w:rsidRPr="00A42455">
        <w:rPr>
          <w:rFonts w:ascii="Arial" w:hAnsi="Arial" w:cs="Arial"/>
          <w:bCs/>
          <w:i/>
          <w:lang w:val="en-ZA"/>
        </w:rPr>
        <w:t xml:space="preserve"> Motors (</w:t>
      </w:r>
      <w:proofErr w:type="spellStart"/>
      <w:r w:rsidRPr="00A42455">
        <w:rPr>
          <w:rFonts w:ascii="Arial" w:hAnsi="Arial" w:cs="Arial"/>
          <w:bCs/>
          <w:i/>
          <w:lang w:val="en-ZA"/>
        </w:rPr>
        <w:t>Edms</w:t>
      </w:r>
      <w:proofErr w:type="spellEnd"/>
      <w:r w:rsidRPr="00A42455">
        <w:rPr>
          <w:rFonts w:ascii="Arial" w:hAnsi="Arial" w:cs="Arial"/>
          <w:bCs/>
          <w:i/>
          <w:lang w:val="en-ZA"/>
        </w:rPr>
        <w:t xml:space="preserve">) </w:t>
      </w:r>
      <w:proofErr w:type="spellStart"/>
      <w:r w:rsidRPr="00A42455">
        <w:rPr>
          <w:rFonts w:ascii="Arial" w:hAnsi="Arial" w:cs="Arial"/>
          <w:bCs/>
          <w:i/>
          <w:lang w:val="en-ZA"/>
        </w:rPr>
        <w:t>Bpk</w:t>
      </w:r>
      <w:proofErr w:type="spellEnd"/>
      <w:r w:rsidRPr="00A42455">
        <w:rPr>
          <w:rFonts w:ascii="Arial" w:hAnsi="Arial" w:cs="Arial"/>
          <w:lang w:val="en-ZA"/>
        </w:rPr>
        <w:t xml:space="preserve">: </w:t>
      </w:r>
    </w:p>
    <w:p w14:paraId="4A088C95" w14:textId="18C4A2B3" w:rsidR="000F4F29" w:rsidRPr="00A42455" w:rsidRDefault="000F4F29" w:rsidP="006740EF">
      <w:pPr>
        <w:spacing w:line="360" w:lineRule="auto"/>
        <w:contextualSpacing/>
        <w:jc w:val="both"/>
        <w:rPr>
          <w:rFonts w:ascii="Arial" w:hAnsi="Arial" w:cs="Arial"/>
          <w:lang w:val="en-ZA"/>
        </w:rPr>
      </w:pPr>
      <w:r w:rsidRPr="00A42455">
        <w:rPr>
          <w:rFonts w:ascii="Arial" w:hAnsi="Arial" w:cs="Arial"/>
          <w:sz w:val="22"/>
          <w:szCs w:val="22"/>
          <w:lang w:val="en-ZA"/>
        </w:rPr>
        <w:t>‘</w:t>
      </w:r>
      <w:r w:rsidR="001405E7" w:rsidRPr="001405E7">
        <w:rPr>
          <w:rFonts w:ascii="Arial" w:hAnsi="Arial" w:cs="Arial"/>
          <w:sz w:val="22"/>
          <w:szCs w:val="22"/>
        </w:rPr>
        <w:t>As to the first, while the Port Elizabeth attorney was entitled to submit his own bill of costs (see </w:t>
      </w:r>
      <w:proofErr w:type="spellStart"/>
      <w:r w:rsidR="001405E7" w:rsidRPr="001405E7">
        <w:rPr>
          <w:rFonts w:ascii="Arial" w:hAnsi="Arial" w:cs="Arial"/>
          <w:i/>
          <w:iCs/>
          <w:sz w:val="22"/>
          <w:szCs w:val="22"/>
        </w:rPr>
        <w:t>Upfold's</w:t>
      </w:r>
      <w:proofErr w:type="spellEnd"/>
      <w:r w:rsidR="001405E7" w:rsidRPr="001405E7">
        <w:rPr>
          <w:rFonts w:ascii="Arial" w:hAnsi="Arial" w:cs="Arial"/>
          <w:sz w:val="22"/>
          <w:szCs w:val="22"/>
        </w:rPr>
        <w:t> case, </w:t>
      </w:r>
      <w:r w:rsidR="001405E7" w:rsidRPr="001405E7">
        <w:rPr>
          <w:rFonts w:ascii="Arial" w:hAnsi="Arial" w:cs="Arial"/>
          <w:i/>
          <w:iCs/>
          <w:sz w:val="22"/>
          <w:szCs w:val="22"/>
        </w:rPr>
        <w:t>supra</w:t>
      </w:r>
      <w:r w:rsidR="001405E7" w:rsidRPr="001405E7">
        <w:rPr>
          <w:rFonts w:ascii="Arial" w:hAnsi="Arial" w:cs="Arial"/>
          <w:sz w:val="22"/>
          <w:szCs w:val="22"/>
        </w:rPr>
        <w:t>, p. 565A), it does not follow that he was bound to do so. He submitted a fully specified account to the Bloemfontein attorneys and it appears to be as detailed as any formal bill of costs might be</w:t>
      </w:r>
      <w:r w:rsidRPr="00A42455">
        <w:rPr>
          <w:rFonts w:ascii="Arial" w:hAnsi="Arial" w:cs="Arial"/>
          <w:lang w:val="en-ZA"/>
        </w:rPr>
        <w:t>.’</w:t>
      </w:r>
      <w:r w:rsidRPr="00A42455">
        <w:rPr>
          <w:rFonts w:ascii="Arial" w:hAnsi="Arial" w:cs="Arial"/>
          <w:vertAlign w:val="superscript"/>
          <w:lang w:val="en-ZA"/>
        </w:rPr>
        <w:footnoteReference w:id="28"/>
      </w:r>
    </w:p>
    <w:p w14:paraId="45060745" w14:textId="77777777" w:rsidR="000F4F29" w:rsidRPr="00A42455" w:rsidRDefault="000F4F29" w:rsidP="000F4F29">
      <w:pPr>
        <w:spacing w:line="360" w:lineRule="auto"/>
        <w:contextualSpacing/>
        <w:jc w:val="both"/>
        <w:rPr>
          <w:rFonts w:ascii="Arial" w:hAnsi="Arial" w:cs="Arial"/>
          <w:lang w:val="en-ZA"/>
        </w:rPr>
      </w:pPr>
    </w:p>
    <w:p w14:paraId="1351C56D" w14:textId="7E2042F7" w:rsidR="000F4F29" w:rsidRPr="00A42455" w:rsidRDefault="000F4F29" w:rsidP="000F4F29">
      <w:pPr>
        <w:spacing w:line="360" w:lineRule="auto"/>
        <w:contextualSpacing/>
        <w:jc w:val="both"/>
        <w:rPr>
          <w:rFonts w:ascii="Arial" w:hAnsi="Arial" w:cs="Arial"/>
          <w:lang w:val="en-ZA"/>
        </w:rPr>
      </w:pPr>
      <w:r w:rsidRPr="00A42455">
        <w:rPr>
          <w:rFonts w:ascii="Arial" w:hAnsi="Arial" w:cs="Arial"/>
          <w:lang w:val="en-ZA"/>
        </w:rPr>
        <w:t>[</w:t>
      </w:r>
      <w:r w:rsidR="00207E27">
        <w:rPr>
          <w:rFonts w:ascii="Arial" w:hAnsi="Arial" w:cs="Arial"/>
          <w:lang w:val="en-ZA"/>
        </w:rPr>
        <w:t>47</w:t>
      </w:r>
      <w:r w:rsidRPr="00A42455">
        <w:rPr>
          <w:rFonts w:ascii="Arial" w:hAnsi="Arial" w:cs="Arial"/>
          <w:lang w:val="en-ZA"/>
        </w:rPr>
        <w:t>]</w:t>
      </w:r>
      <w:r w:rsidRPr="00A42455">
        <w:rPr>
          <w:rFonts w:ascii="Arial" w:hAnsi="Arial" w:cs="Arial"/>
          <w:lang w:val="en-ZA"/>
        </w:rPr>
        <w:tab/>
        <w:t xml:space="preserve">What is required is that a detailed account be submitted. It is however not apparent from the documents or any of the parties’ submissions whether or not the account was detailed enough to fall within the ambit of what was stated in </w:t>
      </w:r>
      <w:r w:rsidRPr="00A42455">
        <w:rPr>
          <w:rFonts w:ascii="Arial" w:hAnsi="Arial" w:cs="Arial"/>
          <w:i/>
          <w:lang w:val="en-ZA"/>
        </w:rPr>
        <w:t>Groenewald</w:t>
      </w:r>
      <w:r w:rsidRPr="00A42455">
        <w:rPr>
          <w:rFonts w:ascii="Arial" w:hAnsi="Arial" w:cs="Arial"/>
          <w:lang w:val="en-ZA"/>
        </w:rPr>
        <w:t>.</w:t>
      </w:r>
      <w:r w:rsidR="0014471D" w:rsidRPr="00A42455">
        <w:rPr>
          <w:rFonts w:ascii="Arial" w:hAnsi="Arial" w:cs="Arial"/>
          <w:lang w:val="en-ZA"/>
        </w:rPr>
        <w:t xml:space="preserve"> In the circumstances</w:t>
      </w:r>
      <w:r w:rsidR="00F863A0">
        <w:rPr>
          <w:rFonts w:ascii="Arial" w:hAnsi="Arial" w:cs="Arial"/>
          <w:lang w:val="en-ZA"/>
        </w:rPr>
        <w:t>,</w:t>
      </w:r>
      <w:r w:rsidR="0014471D" w:rsidRPr="00A42455">
        <w:rPr>
          <w:rFonts w:ascii="Arial" w:hAnsi="Arial" w:cs="Arial"/>
          <w:lang w:val="en-ZA"/>
        </w:rPr>
        <w:t xml:space="preserve"> I </w:t>
      </w:r>
      <w:r w:rsidR="00F863A0">
        <w:rPr>
          <w:rFonts w:ascii="Arial" w:hAnsi="Arial" w:cs="Arial"/>
          <w:lang w:val="en-ZA"/>
        </w:rPr>
        <w:t>direct</w:t>
      </w:r>
      <w:r w:rsidR="00F863A0" w:rsidRPr="00A42455">
        <w:rPr>
          <w:rFonts w:ascii="Arial" w:hAnsi="Arial" w:cs="Arial"/>
          <w:lang w:val="en-ZA"/>
        </w:rPr>
        <w:t xml:space="preserve"> </w:t>
      </w:r>
      <w:r w:rsidR="0014471D" w:rsidRPr="00A42455">
        <w:rPr>
          <w:rFonts w:ascii="Arial" w:hAnsi="Arial" w:cs="Arial"/>
          <w:lang w:val="en-ZA"/>
        </w:rPr>
        <w:t xml:space="preserve">that </w:t>
      </w:r>
      <w:r w:rsidR="00F863A0">
        <w:rPr>
          <w:rFonts w:ascii="Arial" w:hAnsi="Arial" w:cs="Arial"/>
          <w:lang w:val="en-ZA"/>
        </w:rPr>
        <w:t>the</w:t>
      </w:r>
      <w:r w:rsidR="0014471D" w:rsidRPr="00A42455">
        <w:rPr>
          <w:rFonts w:ascii="Arial" w:hAnsi="Arial" w:cs="Arial"/>
          <w:lang w:val="en-ZA"/>
        </w:rPr>
        <w:t xml:space="preserve"> correspondent</w:t>
      </w:r>
      <w:r w:rsidR="00F65C22" w:rsidRPr="00A42455">
        <w:rPr>
          <w:rFonts w:ascii="Arial" w:hAnsi="Arial" w:cs="Arial"/>
          <w:lang w:val="en-ZA"/>
        </w:rPr>
        <w:t>’s bill be placed before the taxing master to allow her to consider whether the fees claimed were necessarily incurred and reasonable in the circumstances. This will also allow her to ensure that there are no duplications in both bills.</w:t>
      </w:r>
    </w:p>
    <w:p w14:paraId="74A6F0E1" w14:textId="77777777" w:rsidR="000F4F29" w:rsidRPr="00A42455" w:rsidRDefault="000F4F29" w:rsidP="000F4F29">
      <w:pPr>
        <w:spacing w:line="360" w:lineRule="auto"/>
        <w:contextualSpacing/>
        <w:jc w:val="both"/>
        <w:rPr>
          <w:rFonts w:ascii="Arial" w:hAnsi="Arial" w:cs="Arial"/>
          <w:lang w:val="en-ZA"/>
        </w:rPr>
      </w:pPr>
    </w:p>
    <w:p w14:paraId="4373E6F7" w14:textId="6739316A" w:rsidR="000F4F29" w:rsidRPr="00A42455" w:rsidRDefault="000F4F29" w:rsidP="000F4F29">
      <w:pPr>
        <w:spacing w:line="360" w:lineRule="auto"/>
        <w:contextualSpacing/>
        <w:jc w:val="both"/>
        <w:rPr>
          <w:rFonts w:ascii="Arial" w:hAnsi="Arial" w:cs="Arial"/>
          <w:b/>
          <w:bCs/>
          <w:lang w:val="en-ZA"/>
        </w:rPr>
      </w:pPr>
      <w:r w:rsidRPr="00A42455">
        <w:rPr>
          <w:rFonts w:ascii="Arial" w:hAnsi="Arial" w:cs="Arial"/>
          <w:b/>
          <w:bCs/>
          <w:lang w:val="en-ZA"/>
        </w:rPr>
        <w:t>Pound master’s fees</w:t>
      </w:r>
    </w:p>
    <w:p w14:paraId="50707C0E" w14:textId="7B0461FD" w:rsidR="000F4F29" w:rsidRPr="00A42455" w:rsidRDefault="000F4F29" w:rsidP="000F4F29">
      <w:pPr>
        <w:spacing w:line="360" w:lineRule="auto"/>
        <w:contextualSpacing/>
        <w:jc w:val="both"/>
        <w:rPr>
          <w:rFonts w:ascii="Arial" w:hAnsi="Arial" w:cs="Arial"/>
          <w:lang w:val="en-ZA"/>
        </w:rPr>
      </w:pPr>
      <w:r w:rsidRPr="00A42455">
        <w:rPr>
          <w:rFonts w:ascii="Arial" w:hAnsi="Arial" w:cs="Arial"/>
          <w:lang w:val="en-ZA"/>
        </w:rPr>
        <w:t>[</w:t>
      </w:r>
      <w:r w:rsidR="00665FDB" w:rsidRPr="00A42455">
        <w:rPr>
          <w:rFonts w:ascii="Arial" w:hAnsi="Arial" w:cs="Arial"/>
          <w:lang w:val="en-ZA"/>
        </w:rPr>
        <w:t>4</w:t>
      </w:r>
      <w:r w:rsidR="00207E27">
        <w:rPr>
          <w:rFonts w:ascii="Arial" w:hAnsi="Arial" w:cs="Arial"/>
          <w:lang w:val="en-ZA"/>
        </w:rPr>
        <w:t>8</w:t>
      </w:r>
      <w:r w:rsidRPr="00A42455">
        <w:rPr>
          <w:rFonts w:ascii="Arial" w:hAnsi="Arial" w:cs="Arial"/>
          <w:lang w:val="en-ZA"/>
        </w:rPr>
        <w:t>]</w:t>
      </w:r>
      <w:r w:rsidRPr="00A42455">
        <w:rPr>
          <w:rFonts w:ascii="Arial" w:hAnsi="Arial" w:cs="Arial"/>
          <w:lang w:val="en-ZA"/>
        </w:rPr>
        <w:tab/>
        <w:t xml:space="preserve">The inclusion of an expense in a bill of costs does not automatically mean that it is reasonable, and that it should be allowed at taxation. Some expenses are indeed taxed off by a taxing master when it was deemed not to be reasonable. See for instance in </w:t>
      </w:r>
      <w:r w:rsidRPr="00A42455">
        <w:rPr>
          <w:rFonts w:ascii="Arial" w:hAnsi="Arial" w:cs="Arial"/>
          <w:i/>
          <w:lang w:val="en-ZA"/>
        </w:rPr>
        <w:t>R H Christie Incorporated</w:t>
      </w:r>
      <w:r w:rsidRPr="00A42455">
        <w:rPr>
          <w:rFonts w:ascii="Arial" w:hAnsi="Arial" w:cs="Arial"/>
          <w:lang w:val="en-ZA"/>
        </w:rPr>
        <w:t xml:space="preserve"> where the costs of flying to Bloemfontein for the filing of documents was disallowed.</w:t>
      </w:r>
    </w:p>
    <w:p w14:paraId="0653F543" w14:textId="77777777" w:rsidR="000F4F29" w:rsidRPr="00A42455" w:rsidRDefault="000F4F29" w:rsidP="000F4F29">
      <w:pPr>
        <w:spacing w:line="360" w:lineRule="auto"/>
        <w:contextualSpacing/>
        <w:jc w:val="both"/>
        <w:rPr>
          <w:rFonts w:ascii="Arial" w:hAnsi="Arial" w:cs="Arial"/>
          <w:lang w:val="en-ZA"/>
        </w:rPr>
      </w:pPr>
    </w:p>
    <w:p w14:paraId="5DF4CC73" w14:textId="4AB63521" w:rsidR="000F4F29" w:rsidRPr="00A42455" w:rsidRDefault="000F4F29" w:rsidP="000F4F29">
      <w:pPr>
        <w:spacing w:line="360" w:lineRule="auto"/>
        <w:contextualSpacing/>
        <w:jc w:val="both"/>
        <w:rPr>
          <w:rFonts w:ascii="Arial" w:eastAsia="Calibri" w:hAnsi="Arial" w:cs="Arial"/>
          <w:shd w:val="clear" w:color="auto" w:fill="FFFFFF"/>
          <w:lang w:val="en-ZA"/>
        </w:rPr>
      </w:pPr>
      <w:r w:rsidRPr="00A42455">
        <w:rPr>
          <w:rFonts w:ascii="Arial" w:hAnsi="Arial" w:cs="Arial"/>
          <w:lang w:val="en-ZA"/>
        </w:rPr>
        <w:t>[</w:t>
      </w:r>
      <w:r w:rsidR="00665FDB" w:rsidRPr="00A42455">
        <w:rPr>
          <w:rFonts w:ascii="Arial" w:hAnsi="Arial" w:cs="Arial"/>
          <w:lang w:val="en-ZA"/>
        </w:rPr>
        <w:t>4</w:t>
      </w:r>
      <w:r w:rsidR="00207E27">
        <w:rPr>
          <w:rFonts w:ascii="Arial" w:hAnsi="Arial" w:cs="Arial"/>
          <w:lang w:val="en-ZA"/>
        </w:rPr>
        <w:t>9</w:t>
      </w:r>
      <w:r w:rsidRPr="00A42455">
        <w:rPr>
          <w:rFonts w:ascii="Arial" w:hAnsi="Arial" w:cs="Arial"/>
          <w:lang w:val="en-ZA"/>
        </w:rPr>
        <w:t>]</w:t>
      </w:r>
      <w:r w:rsidRPr="00A42455">
        <w:rPr>
          <w:rFonts w:ascii="Arial" w:hAnsi="Arial" w:cs="Arial"/>
          <w:lang w:val="en-ZA"/>
        </w:rPr>
        <w:tab/>
        <w:t>Expenses can be disallowed where ‘</w:t>
      </w:r>
      <w:r w:rsidRPr="00A42455">
        <w:rPr>
          <w:rFonts w:ascii="Arial" w:eastAsia="Calibri" w:hAnsi="Arial" w:cs="Arial"/>
          <w:shd w:val="clear" w:color="auto" w:fill="FFFFFF"/>
          <w:lang w:val="en-ZA"/>
        </w:rPr>
        <w:t>an attorney has overreached his client or has been negligent or mala fide’.</w:t>
      </w:r>
      <w:r w:rsidRPr="00A42455">
        <w:rPr>
          <w:rFonts w:ascii="Arial" w:eastAsia="Calibri" w:hAnsi="Arial" w:cs="Arial"/>
          <w:shd w:val="clear" w:color="auto" w:fill="FFFFFF"/>
          <w:vertAlign w:val="superscript"/>
          <w:lang w:val="en-ZA"/>
        </w:rPr>
        <w:footnoteReference w:id="29"/>
      </w:r>
    </w:p>
    <w:p w14:paraId="13545210" w14:textId="77777777" w:rsidR="000F4F29" w:rsidRPr="00A42455" w:rsidRDefault="000F4F29" w:rsidP="000F4F29">
      <w:pPr>
        <w:spacing w:line="360" w:lineRule="auto"/>
        <w:contextualSpacing/>
        <w:jc w:val="both"/>
        <w:rPr>
          <w:rFonts w:ascii="Arial" w:eastAsia="Calibri" w:hAnsi="Arial" w:cs="Arial"/>
          <w:shd w:val="clear" w:color="auto" w:fill="FFFFFF"/>
          <w:lang w:val="en-ZA"/>
        </w:rPr>
      </w:pPr>
    </w:p>
    <w:p w14:paraId="24DCF413" w14:textId="0EF681BD" w:rsidR="000F4F29" w:rsidRPr="00A42455" w:rsidRDefault="000F4F29" w:rsidP="000F4F29">
      <w:pPr>
        <w:spacing w:line="360" w:lineRule="auto"/>
        <w:contextualSpacing/>
        <w:jc w:val="both"/>
        <w:rPr>
          <w:rFonts w:ascii="Arial" w:eastAsia="Calibri" w:hAnsi="Arial" w:cs="Arial"/>
          <w:shd w:val="clear" w:color="auto" w:fill="FFFFFF"/>
          <w:lang w:val="en-ZA"/>
        </w:rPr>
      </w:pPr>
      <w:r w:rsidRPr="00A42455">
        <w:rPr>
          <w:rFonts w:ascii="Arial" w:eastAsia="Calibri" w:hAnsi="Arial" w:cs="Arial"/>
          <w:shd w:val="clear" w:color="auto" w:fill="FFFFFF"/>
          <w:lang w:val="en-ZA"/>
        </w:rPr>
        <w:t>[</w:t>
      </w:r>
      <w:r w:rsidR="00207E27">
        <w:rPr>
          <w:rFonts w:ascii="Arial" w:eastAsia="Calibri" w:hAnsi="Arial" w:cs="Arial"/>
          <w:shd w:val="clear" w:color="auto" w:fill="FFFFFF"/>
          <w:lang w:val="en-ZA"/>
        </w:rPr>
        <w:t>50</w:t>
      </w:r>
      <w:r w:rsidRPr="00A42455">
        <w:rPr>
          <w:rFonts w:ascii="Arial" w:eastAsia="Calibri" w:hAnsi="Arial" w:cs="Arial"/>
          <w:shd w:val="clear" w:color="auto" w:fill="FFFFFF"/>
          <w:lang w:val="en-ZA"/>
        </w:rPr>
        <w:t>]</w:t>
      </w:r>
      <w:r w:rsidRPr="00A42455">
        <w:rPr>
          <w:rFonts w:ascii="Arial" w:eastAsia="Calibri" w:hAnsi="Arial" w:cs="Arial"/>
          <w:shd w:val="clear" w:color="auto" w:fill="FFFFFF"/>
          <w:lang w:val="en-ZA"/>
        </w:rPr>
        <w:tab/>
        <w:t xml:space="preserve">A taxing master is entitled to demand proof that the services for which payment is being demanded have in fact been rendered. See </w:t>
      </w:r>
      <w:proofErr w:type="spellStart"/>
      <w:r w:rsidRPr="00A42455">
        <w:rPr>
          <w:rFonts w:ascii="Arial" w:eastAsia="Calibri" w:hAnsi="Arial" w:cs="Arial"/>
          <w:i/>
          <w:shd w:val="clear" w:color="auto" w:fill="FFFFFF"/>
          <w:lang w:val="en-ZA"/>
        </w:rPr>
        <w:t>Maasdorp</w:t>
      </w:r>
      <w:proofErr w:type="spellEnd"/>
      <w:r w:rsidRPr="00A42455">
        <w:rPr>
          <w:rFonts w:ascii="Arial" w:eastAsia="Calibri" w:hAnsi="Arial" w:cs="Arial"/>
          <w:i/>
          <w:shd w:val="clear" w:color="auto" w:fill="FFFFFF"/>
          <w:lang w:val="en-ZA"/>
        </w:rPr>
        <w:t xml:space="preserve"> and Smit v Sullivan</w:t>
      </w:r>
      <w:r w:rsidRPr="00A42455">
        <w:rPr>
          <w:rFonts w:ascii="Arial" w:eastAsia="Calibri" w:hAnsi="Arial" w:cs="Arial"/>
          <w:shd w:val="clear" w:color="auto" w:fill="FFFFFF"/>
          <w:lang w:val="en-ZA"/>
        </w:rPr>
        <w:t>:</w:t>
      </w:r>
    </w:p>
    <w:p w14:paraId="4B8C4296" w14:textId="65704B12" w:rsidR="000F4F29" w:rsidRPr="00A42455" w:rsidRDefault="000F4F29" w:rsidP="006740EF">
      <w:pPr>
        <w:spacing w:line="360" w:lineRule="auto"/>
        <w:contextualSpacing/>
        <w:jc w:val="both"/>
        <w:rPr>
          <w:rFonts w:ascii="Arial" w:hAnsi="Arial" w:cs="Arial"/>
          <w:sz w:val="22"/>
          <w:szCs w:val="22"/>
          <w:lang w:val="en-ZA"/>
        </w:rPr>
      </w:pPr>
      <w:r w:rsidRPr="00A42455">
        <w:rPr>
          <w:rFonts w:ascii="Arial" w:eastAsia="Calibri" w:hAnsi="Arial" w:cs="Arial"/>
          <w:sz w:val="22"/>
          <w:szCs w:val="22"/>
          <w:lang w:val="en-ZA"/>
        </w:rPr>
        <w:t>‘</w:t>
      </w:r>
      <w:r w:rsidR="001405E7" w:rsidRPr="001405E7">
        <w:rPr>
          <w:rFonts w:ascii="Arial" w:eastAsia="Calibri" w:hAnsi="Arial" w:cs="Arial"/>
          <w:sz w:val="22"/>
          <w:szCs w:val="22"/>
        </w:rPr>
        <w:t xml:space="preserve">In my opinion the Assistant Taxing Master has not taken a right view of the matter. While it is true that he is not concerned with the question of any possible </w:t>
      </w:r>
      <w:proofErr w:type="spellStart"/>
      <w:r w:rsidR="001405E7" w:rsidRPr="001405E7">
        <w:rPr>
          <w:rFonts w:ascii="Arial" w:eastAsia="Calibri" w:hAnsi="Arial" w:cs="Arial"/>
          <w:sz w:val="22"/>
          <w:szCs w:val="22"/>
        </w:rPr>
        <w:t>defences</w:t>
      </w:r>
      <w:proofErr w:type="spellEnd"/>
      <w:r w:rsidR="001405E7" w:rsidRPr="001405E7">
        <w:rPr>
          <w:rFonts w:ascii="Arial" w:eastAsia="Calibri" w:hAnsi="Arial" w:cs="Arial"/>
          <w:sz w:val="22"/>
          <w:szCs w:val="22"/>
        </w:rPr>
        <w:t xml:space="preserve"> that could be brought against a claim for payment of a bill of costs - see, for example, </w:t>
      </w:r>
      <w:r w:rsidR="001405E7" w:rsidRPr="001405E7">
        <w:rPr>
          <w:rFonts w:ascii="Arial" w:eastAsia="Calibri" w:hAnsi="Arial" w:cs="Arial"/>
          <w:i/>
          <w:iCs/>
          <w:sz w:val="22"/>
          <w:szCs w:val="22"/>
        </w:rPr>
        <w:t>Lubbe v Borman</w:t>
      </w:r>
      <w:r w:rsidR="001405E7" w:rsidRPr="001405E7">
        <w:rPr>
          <w:rFonts w:ascii="Arial" w:eastAsia="Calibri" w:hAnsi="Arial" w:cs="Arial"/>
          <w:sz w:val="22"/>
          <w:szCs w:val="22"/>
        </w:rPr>
        <w:t>, 1938 CPD 211 - his duty is 'to demand proof to his satisfaction that the services for which payment is demanded have actually been rendered' - see </w:t>
      </w:r>
      <w:proofErr w:type="spellStart"/>
      <w:r w:rsidR="001405E7" w:rsidRPr="001405E7">
        <w:rPr>
          <w:rFonts w:ascii="Arial" w:eastAsia="Calibri" w:hAnsi="Arial" w:cs="Arial"/>
          <w:i/>
          <w:iCs/>
          <w:sz w:val="22"/>
          <w:szCs w:val="22"/>
        </w:rPr>
        <w:t>Gluckman</w:t>
      </w:r>
      <w:proofErr w:type="spellEnd"/>
      <w:r w:rsidR="001405E7" w:rsidRPr="001405E7">
        <w:rPr>
          <w:rFonts w:ascii="Arial" w:eastAsia="Calibri" w:hAnsi="Arial" w:cs="Arial"/>
          <w:i/>
          <w:iCs/>
          <w:sz w:val="22"/>
          <w:szCs w:val="22"/>
        </w:rPr>
        <w:t xml:space="preserve"> v Winter and Another</w:t>
      </w:r>
      <w:r w:rsidR="001405E7" w:rsidRPr="001405E7">
        <w:rPr>
          <w:rFonts w:ascii="Arial" w:eastAsia="Calibri" w:hAnsi="Arial" w:cs="Arial"/>
          <w:sz w:val="22"/>
          <w:szCs w:val="22"/>
        </w:rPr>
        <w:t>, 1931 AD 449 at p. 450</w:t>
      </w:r>
      <w:r w:rsidRPr="00A42455">
        <w:rPr>
          <w:rFonts w:ascii="Arial" w:hAnsi="Arial" w:cs="Arial"/>
          <w:sz w:val="22"/>
          <w:szCs w:val="22"/>
          <w:lang w:val="en-ZA"/>
        </w:rPr>
        <w:t>.’</w:t>
      </w:r>
      <w:r w:rsidRPr="00A42455">
        <w:rPr>
          <w:rFonts w:ascii="Arial" w:hAnsi="Arial" w:cs="Arial"/>
          <w:sz w:val="22"/>
          <w:szCs w:val="22"/>
          <w:vertAlign w:val="superscript"/>
          <w:lang w:val="en-ZA"/>
        </w:rPr>
        <w:footnoteReference w:id="30"/>
      </w:r>
    </w:p>
    <w:p w14:paraId="5EE34B7B" w14:textId="77777777" w:rsidR="000F4F29" w:rsidRPr="00A42455" w:rsidRDefault="000F4F29" w:rsidP="000F4F29">
      <w:pPr>
        <w:spacing w:line="360" w:lineRule="auto"/>
        <w:contextualSpacing/>
        <w:jc w:val="both"/>
        <w:rPr>
          <w:rFonts w:ascii="Arial" w:hAnsi="Arial" w:cs="Arial"/>
          <w:lang w:val="en-ZA"/>
        </w:rPr>
      </w:pPr>
    </w:p>
    <w:p w14:paraId="50D3A977" w14:textId="2846AD18" w:rsidR="000F4F29" w:rsidRPr="00A42455" w:rsidRDefault="000F4F29" w:rsidP="000F4F29">
      <w:pPr>
        <w:spacing w:line="360" w:lineRule="auto"/>
        <w:contextualSpacing/>
        <w:jc w:val="both"/>
        <w:rPr>
          <w:rFonts w:ascii="Arial" w:hAnsi="Arial" w:cs="Arial"/>
          <w:lang w:val="en-ZA"/>
        </w:rPr>
      </w:pPr>
      <w:r w:rsidRPr="00A42455">
        <w:rPr>
          <w:rFonts w:ascii="Arial" w:hAnsi="Arial" w:cs="Arial"/>
          <w:lang w:val="en-ZA"/>
        </w:rPr>
        <w:t>[</w:t>
      </w:r>
      <w:r w:rsidR="00207E27">
        <w:rPr>
          <w:rFonts w:ascii="Arial" w:hAnsi="Arial" w:cs="Arial"/>
          <w:lang w:val="en-ZA"/>
        </w:rPr>
        <w:t>51</w:t>
      </w:r>
      <w:r w:rsidRPr="00A42455">
        <w:rPr>
          <w:rFonts w:ascii="Arial" w:hAnsi="Arial" w:cs="Arial"/>
          <w:lang w:val="en-ZA"/>
        </w:rPr>
        <w:t>]</w:t>
      </w:r>
      <w:r w:rsidRPr="00A42455">
        <w:rPr>
          <w:rFonts w:ascii="Arial" w:hAnsi="Arial" w:cs="Arial"/>
          <w:lang w:val="en-ZA"/>
        </w:rPr>
        <w:tab/>
        <w:t xml:space="preserve">With regard to the principles in allowing expenses, </w:t>
      </w:r>
      <w:r w:rsidRPr="00A42455">
        <w:rPr>
          <w:rFonts w:ascii="Arial" w:hAnsi="Arial" w:cs="Arial"/>
          <w:bCs/>
          <w:i/>
          <w:lang w:val="en-ZA"/>
        </w:rPr>
        <w:t>Cambridge Plan AG v Cambridge Diet (Pty) Ltd and others</w:t>
      </w:r>
      <w:r w:rsidRPr="00A42455">
        <w:rPr>
          <w:rFonts w:ascii="Arial" w:hAnsi="Arial" w:cs="Arial"/>
          <w:bCs/>
          <w:vertAlign w:val="superscript"/>
          <w:lang w:val="en-ZA"/>
        </w:rPr>
        <w:footnoteReference w:id="31"/>
      </w:r>
      <w:r w:rsidRPr="00A42455">
        <w:rPr>
          <w:rFonts w:ascii="Arial" w:hAnsi="Arial" w:cs="Arial"/>
          <w:bCs/>
          <w:lang w:val="en-ZA"/>
        </w:rPr>
        <w:t> </w:t>
      </w:r>
      <w:r w:rsidRPr="00A42455">
        <w:rPr>
          <w:rFonts w:ascii="Arial" w:hAnsi="Arial" w:cs="Arial"/>
          <w:lang w:val="en-ZA"/>
        </w:rPr>
        <w:t>stated as follows:</w:t>
      </w:r>
    </w:p>
    <w:p w14:paraId="631916C4" w14:textId="7A4DCB27" w:rsidR="000F4F29" w:rsidRPr="00A42455" w:rsidRDefault="000F4F29" w:rsidP="006740EF">
      <w:pPr>
        <w:spacing w:line="360" w:lineRule="auto"/>
        <w:contextualSpacing/>
        <w:jc w:val="both"/>
        <w:rPr>
          <w:rFonts w:ascii="Arial" w:hAnsi="Arial" w:cs="Arial"/>
          <w:sz w:val="22"/>
          <w:szCs w:val="22"/>
          <w:lang w:val="en-ZA"/>
        </w:rPr>
      </w:pPr>
      <w:r w:rsidRPr="00A42455">
        <w:rPr>
          <w:rFonts w:ascii="Arial" w:hAnsi="Arial" w:cs="Arial"/>
          <w:sz w:val="22"/>
          <w:szCs w:val="22"/>
          <w:lang w:val="en-ZA"/>
        </w:rPr>
        <w:t>‘</w:t>
      </w:r>
      <w:r w:rsidR="001405E7" w:rsidRPr="001405E7">
        <w:rPr>
          <w:rFonts w:ascii="Arial" w:hAnsi="Arial" w:cs="Arial"/>
          <w:sz w:val="22"/>
          <w:szCs w:val="22"/>
        </w:rPr>
        <w:t>As far as </w:t>
      </w:r>
      <w:r w:rsidR="001405E7" w:rsidRPr="001405E7">
        <w:rPr>
          <w:rFonts w:ascii="Arial" w:hAnsi="Arial" w:cs="Arial"/>
          <w:i/>
          <w:iCs/>
          <w:sz w:val="22"/>
          <w:szCs w:val="22"/>
        </w:rPr>
        <w:t>expenses</w:t>
      </w:r>
      <w:r w:rsidR="001405E7" w:rsidRPr="001405E7">
        <w:rPr>
          <w:rFonts w:ascii="Arial" w:hAnsi="Arial" w:cs="Arial"/>
          <w:sz w:val="22"/>
          <w:szCs w:val="22"/>
        </w:rPr>
        <w:t xml:space="preserve"> are concerned, that which has specifically been </w:t>
      </w:r>
      <w:proofErr w:type="spellStart"/>
      <w:r w:rsidR="001405E7" w:rsidRPr="001405E7">
        <w:rPr>
          <w:rFonts w:ascii="Arial" w:hAnsi="Arial" w:cs="Arial"/>
          <w:sz w:val="22"/>
          <w:szCs w:val="22"/>
        </w:rPr>
        <w:t>authorised</w:t>
      </w:r>
      <w:proofErr w:type="spellEnd"/>
      <w:r w:rsidR="001405E7" w:rsidRPr="001405E7">
        <w:rPr>
          <w:rFonts w:ascii="Arial" w:hAnsi="Arial" w:cs="Arial"/>
          <w:sz w:val="22"/>
          <w:szCs w:val="22"/>
        </w:rPr>
        <w:t xml:space="preserve"> (expressly or impliedly) may be recovered. This may have to be qualified in that the Court may exercise an inherent power to control the activities of officers of the Court and reverse an agreement or </w:t>
      </w:r>
      <w:proofErr w:type="spellStart"/>
      <w:r w:rsidR="001405E7" w:rsidRPr="001405E7">
        <w:rPr>
          <w:rFonts w:ascii="Arial" w:hAnsi="Arial" w:cs="Arial"/>
          <w:sz w:val="22"/>
          <w:szCs w:val="22"/>
        </w:rPr>
        <w:t>authorisation</w:t>
      </w:r>
      <w:proofErr w:type="spellEnd"/>
      <w:r w:rsidR="001405E7" w:rsidRPr="001405E7">
        <w:rPr>
          <w:rFonts w:ascii="Arial" w:hAnsi="Arial" w:cs="Arial"/>
          <w:sz w:val="22"/>
          <w:szCs w:val="22"/>
        </w:rPr>
        <w:t>, or the Taxing Master may exercise a discretion to disallow certain expenses, where the attorney has overreached his client or has been clearly negligent or </w:t>
      </w:r>
      <w:r w:rsidR="001405E7" w:rsidRPr="001405E7">
        <w:rPr>
          <w:rFonts w:ascii="Arial" w:hAnsi="Arial" w:cs="Arial"/>
          <w:i/>
          <w:iCs/>
          <w:sz w:val="22"/>
          <w:szCs w:val="22"/>
        </w:rPr>
        <w:t>mala fide</w:t>
      </w:r>
      <w:r w:rsidR="001405E7" w:rsidRPr="001405E7">
        <w:rPr>
          <w:rFonts w:ascii="Arial" w:hAnsi="Arial" w:cs="Arial"/>
          <w:sz w:val="22"/>
          <w:szCs w:val="22"/>
        </w:rPr>
        <w:t>. (See </w:t>
      </w:r>
      <w:r w:rsidR="001405E7" w:rsidRPr="001405E7">
        <w:rPr>
          <w:rFonts w:ascii="Arial" w:hAnsi="Arial" w:cs="Arial"/>
          <w:i/>
          <w:iCs/>
          <w:sz w:val="22"/>
          <w:szCs w:val="22"/>
        </w:rPr>
        <w:t xml:space="preserve">Jacobs and Ehlers (op </w:t>
      </w:r>
      <w:proofErr w:type="spellStart"/>
      <w:r w:rsidR="001405E7" w:rsidRPr="001405E7">
        <w:rPr>
          <w:rFonts w:ascii="Arial" w:hAnsi="Arial" w:cs="Arial"/>
          <w:i/>
          <w:iCs/>
          <w:sz w:val="22"/>
          <w:szCs w:val="22"/>
        </w:rPr>
        <w:t>cit</w:t>
      </w:r>
      <w:proofErr w:type="spellEnd"/>
      <w:r w:rsidR="001405E7" w:rsidRPr="001405E7">
        <w:rPr>
          <w:rFonts w:ascii="Arial" w:hAnsi="Arial" w:cs="Arial"/>
          <w:sz w:val="22"/>
          <w:szCs w:val="22"/>
        </w:rPr>
        <w:t> para 38(vi) at 52 - 3) and authorities cited there.) As far as other expenses are concerned, those which are </w:t>
      </w:r>
      <w:r w:rsidR="001405E7" w:rsidRPr="001405E7">
        <w:rPr>
          <w:rFonts w:ascii="Arial" w:hAnsi="Arial" w:cs="Arial"/>
          <w:i/>
          <w:iCs/>
          <w:sz w:val="22"/>
          <w:szCs w:val="22"/>
        </w:rPr>
        <w:t>necessary</w:t>
      </w:r>
      <w:r w:rsidR="001405E7" w:rsidRPr="001405E7">
        <w:rPr>
          <w:rFonts w:ascii="Arial" w:hAnsi="Arial" w:cs="Arial"/>
          <w:sz w:val="22"/>
          <w:szCs w:val="22"/>
        </w:rPr>
        <w:t> should be recoverable However, necessity in the strict sense of the word is not the only test. It often happens that an item is established to have been unnecessary only after a certain line of action has been concluded. Consequently, expenses should be allowed, where there is no limitation in the mandate, which the attorney </w:t>
      </w:r>
      <w:r w:rsidR="001405E7" w:rsidRPr="001405E7">
        <w:rPr>
          <w:rFonts w:ascii="Arial" w:hAnsi="Arial" w:cs="Arial"/>
          <w:i/>
          <w:iCs/>
          <w:sz w:val="22"/>
          <w:szCs w:val="22"/>
        </w:rPr>
        <w:t>bona fide</w:t>
      </w:r>
      <w:r w:rsidR="001405E7" w:rsidRPr="001405E7">
        <w:rPr>
          <w:rFonts w:ascii="Arial" w:hAnsi="Arial" w:cs="Arial"/>
          <w:sz w:val="22"/>
          <w:szCs w:val="22"/>
        </w:rPr>
        <w:t> and reasonably considered necessary in managing his client's affairs. An objective test for the same thing would be to inquire whether the work can be considered normal or usual in the case of an attorney of reasonable competence in the same position</w:t>
      </w:r>
      <w:r w:rsidRPr="00A42455">
        <w:rPr>
          <w:rFonts w:ascii="Arial" w:hAnsi="Arial" w:cs="Arial"/>
          <w:sz w:val="22"/>
          <w:szCs w:val="22"/>
          <w:lang w:val="en-ZA"/>
        </w:rPr>
        <w:t>.’</w:t>
      </w:r>
    </w:p>
    <w:p w14:paraId="498ADEFC" w14:textId="77777777" w:rsidR="001373F9" w:rsidRPr="00A42455" w:rsidRDefault="001373F9" w:rsidP="000F4F29">
      <w:pPr>
        <w:spacing w:line="360" w:lineRule="auto"/>
        <w:contextualSpacing/>
        <w:jc w:val="both"/>
        <w:rPr>
          <w:rFonts w:ascii="Arial" w:hAnsi="Arial" w:cs="Arial"/>
          <w:szCs w:val="20"/>
          <w:lang w:val="en-ZA"/>
        </w:rPr>
      </w:pPr>
    </w:p>
    <w:p w14:paraId="7DAB7D11" w14:textId="756940FC" w:rsidR="000F4F29" w:rsidRPr="00A42455" w:rsidRDefault="000F4F29" w:rsidP="000F4F29">
      <w:pPr>
        <w:spacing w:line="360" w:lineRule="auto"/>
        <w:contextualSpacing/>
        <w:jc w:val="both"/>
        <w:rPr>
          <w:rFonts w:ascii="Arial" w:hAnsi="Arial" w:cs="Arial"/>
          <w:szCs w:val="20"/>
          <w:lang w:val="en-ZA"/>
        </w:rPr>
      </w:pPr>
      <w:r w:rsidRPr="00A42455">
        <w:rPr>
          <w:rFonts w:ascii="Arial" w:hAnsi="Arial" w:cs="Arial"/>
          <w:szCs w:val="20"/>
          <w:lang w:val="en-ZA"/>
        </w:rPr>
        <w:t>[</w:t>
      </w:r>
      <w:r w:rsidR="00207E27">
        <w:rPr>
          <w:rFonts w:ascii="Arial" w:hAnsi="Arial" w:cs="Arial"/>
          <w:szCs w:val="20"/>
          <w:lang w:val="en-ZA"/>
        </w:rPr>
        <w:t>52</w:t>
      </w:r>
      <w:r w:rsidRPr="00A42455">
        <w:rPr>
          <w:rFonts w:ascii="Arial" w:hAnsi="Arial" w:cs="Arial"/>
          <w:szCs w:val="20"/>
          <w:lang w:val="en-ZA"/>
        </w:rPr>
        <w:t>]</w:t>
      </w:r>
      <w:r w:rsidRPr="00A42455">
        <w:rPr>
          <w:rFonts w:ascii="Arial" w:hAnsi="Arial" w:cs="Arial"/>
          <w:szCs w:val="20"/>
          <w:lang w:val="en-ZA"/>
        </w:rPr>
        <w:tab/>
        <w:t>The taxing master stated that no proof was provided that this amount was in fact paid by the applicant or that the applicant was out of pocket. Further issues were raised by the taxing master regarding the fact that the account was a pro forma account and not addressed to the applicant, but in fact to the sheriff which was also not included in a sheriff’s return of service. It does not appear as if there was any error committed by the taxing master which entitles the court to interfere in the decision.</w:t>
      </w:r>
      <w:r w:rsidR="00F65C22" w:rsidRPr="00A42455">
        <w:rPr>
          <w:rFonts w:ascii="Arial" w:hAnsi="Arial" w:cs="Arial"/>
          <w:szCs w:val="20"/>
          <w:lang w:val="en-ZA"/>
        </w:rPr>
        <w:t xml:space="preserve"> In the result, </w:t>
      </w:r>
      <w:r w:rsidR="00F863A0">
        <w:rPr>
          <w:rFonts w:ascii="Arial" w:hAnsi="Arial" w:cs="Arial"/>
          <w:szCs w:val="20"/>
          <w:lang w:val="en-ZA"/>
        </w:rPr>
        <w:t>the taxing master’s decision stands</w:t>
      </w:r>
      <w:r w:rsidR="00F65C22" w:rsidRPr="00A42455">
        <w:rPr>
          <w:rFonts w:ascii="Arial" w:hAnsi="Arial" w:cs="Arial"/>
          <w:szCs w:val="20"/>
          <w:lang w:val="en-ZA"/>
        </w:rPr>
        <w:t>.</w:t>
      </w:r>
    </w:p>
    <w:p w14:paraId="07439F9B" w14:textId="77777777" w:rsidR="00F65C22" w:rsidRPr="00A42455" w:rsidRDefault="00F65C22">
      <w:pPr>
        <w:pBdr>
          <w:top w:val="nil"/>
          <w:left w:val="nil"/>
          <w:bottom w:val="nil"/>
          <w:right w:val="nil"/>
          <w:between w:val="nil"/>
        </w:pBdr>
        <w:spacing w:line="360" w:lineRule="auto"/>
        <w:jc w:val="both"/>
        <w:rPr>
          <w:rFonts w:ascii="Arial" w:eastAsia="Arial" w:hAnsi="Arial" w:cs="Arial"/>
          <w:b/>
          <w:color w:val="000000"/>
          <w:lang w:val="en-ZA"/>
        </w:rPr>
      </w:pPr>
    </w:p>
    <w:p w14:paraId="001B181A" w14:textId="231211DA" w:rsidR="00C65F78" w:rsidRPr="00A42455" w:rsidRDefault="00C47B49">
      <w:pPr>
        <w:pBdr>
          <w:top w:val="nil"/>
          <w:left w:val="nil"/>
          <w:bottom w:val="nil"/>
          <w:right w:val="nil"/>
          <w:between w:val="nil"/>
        </w:pBdr>
        <w:spacing w:line="360" w:lineRule="auto"/>
        <w:jc w:val="both"/>
        <w:rPr>
          <w:rFonts w:ascii="Arial" w:eastAsia="Arial" w:hAnsi="Arial" w:cs="Arial"/>
          <w:b/>
          <w:color w:val="000000"/>
          <w:lang w:val="en-ZA"/>
        </w:rPr>
      </w:pPr>
      <w:r w:rsidRPr="00A42455">
        <w:rPr>
          <w:rFonts w:ascii="Arial" w:eastAsia="Arial" w:hAnsi="Arial" w:cs="Arial"/>
          <w:b/>
          <w:color w:val="000000"/>
          <w:lang w:val="en-ZA"/>
        </w:rPr>
        <w:t>Order</w:t>
      </w:r>
    </w:p>
    <w:p w14:paraId="2A783BF1" w14:textId="7CD01A7F" w:rsidR="00C65F78" w:rsidRPr="00207E27" w:rsidRDefault="00C47B49">
      <w:pPr>
        <w:spacing w:line="360" w:lineRule="auto"/>
        <w:jc w:val="both"/>
        <w:rPr>
          <w:rFonts w:ascii="Arial" w:eastAsia="Arial" w:hAnsi="Arial" w:cs="Arial"/>
          <w:lang w:val="en-ZA"/>
        </w:rPr>
      </w:pPr>
      <w:r w:rsidRPr="00207E27">
        <w:rPr>
          <w:rFonts w:ascii="Arial" w:eastAsia="Arial" w:hAnsi="Arial" w:cs="Arial"/>
          <w:lang w:val="en-ZA"/>
        </w:rPr>
        <w:t>[</w:t>
      </w:r>
      <w:r w:rsidR="00207E27" w:rsidRPr="00207E27">
        <w:rPr>
          <w:rFonts w:ascii="Arial" w:eastAsia="Arial" w:hAnsi="Arial" w:cs="Arial"/>
          <w:lang w:val="en-ZA"/>
        </w:rPr>
        <w:t>53</w:t>
      </w:r>
      <w:r w:rsidRPr="00207E27">
        <w:rPr>
          <w:rFonts w:ascii="Arial" w:eastAsia="Arial" w:hAnsi="Arial" w:cs="Arial"/>
          <w:lang w:val="en-ZA"/>
        </w:rPr>
        <w:t>]</w:t>
      </w:r>
      <w:r w:rsidRPr="00207E27">
        <w:rPr>
          <w:rFonts w:ascii="Arial" w:eastAsia="Arial" w:hAnsi="Arial" w:cs="Arial"/>
          <w:lang w:val="en-ZA"/>
        </w:rPr>
        <w:tab/>
        <w:t>In the result, the following order shall issue:</w:t>
      </w:r>
    </w:p>
    <w:p w14:paraId="533CCB1D" w14:textId="77777777" w:rsidR="00485BE5" w:rsidRPr="00207E27" w:rsidRDefault="00485BE5" w:rsidP="00920049">
      <w:pPr>
        <w:spacing w:line="360" w:lineRule="auto"/>
        <w:jc w:val="both"/>
        <w:rPr>
          <w:rFonts w:ascii="Arial" w:eastAsia="Arial" w:hAnsi="Arial" w:cs="Arial"/>
          <w:lang w:val="en-ZA"/>
        </w:rPr>
      </w:pPr>
      <w:r w:rsidRPr="00207E27">
        <w:rPr>
          <w:rFonts w:ascii="Arial" w:eastAsia="Arial" w:hAnsi="Arial" w:cs="Arial"/>
          <w:color w:val="000000"/>
          <w:lang w:val="en-ZA"/>
        </w:rPr>
        <w:t>1.</w:t>
      </w:r>
      <w:r w:rsidRPr="00207E27">
        <w:rPr>
          <w:rFonts w:ascii="Arial" w:eastAsia="Arial" w:hAnsi="Arial" w:cs="Arial"/>
          <w:color w:val="000000"/>
          <w:lang w:val="en-ZA"/>
        </w:rPr>
        <w:tab/>
      </w:r>
      <w:r w:rsidRPr="00207E27">
        <w:rPr>
          <w:rFonts w:ascii="Arial" w:eastAsia="Arial" w:hAnsi="Arial" w:cs="Arial"/>
          <w:lang w:val="en-ZA"/>
        </w:rPr>
        <w:t>The review is upheld in respect of the following items:</w:t>
      </w:r>
    </w:p>
    <w:p w14:paraId="5E48F592" w14:textId="40C63203" w:rsidR="00485BE5" w:rsidRPr="00207E27" w:rsidRDefault="00485BE5" w:rsidP="00207E27">
      <w:pPr>
        <w:spacing w:line="360" w:lineRule="auto"/>
        <w:ind w:left="720"/>
        <w:jc w:val="both"/>
        <w:rPr>
          <w:rFonts w:ascii="Arial" w:eastAsia="Arial" w:hAnsi="Arial" w:cs="Arial"/>
          <w:lang w:val="en-ZA"/>
        </w:rPr>
      </w:pPr>
      <w:r w:rsidRPr="00207E27">
        <w:rPr>
          <w:rFonts w:ascii="Arial" w:eastAsia="Arial" w:hAnsi="Arial" w:cs="Arial"/>
          <w:lang w:val="en-ZA"/>
        </w:rPr>
        <w:t>(a)</w:t>
      </w:r>
      <w:r w:rsidRPr="00207E27">
        <w:rPr>
          <w:rFonts w:ascii="Arial" w:eastAsia="Arial" w:hAnsi="Arial" w:cs="Arial"/>
          <w:lang w:val="en-ZA"/>
        </w:rPr>
        <w:tab/>
        <w:t>Whats</w:t>
      </w:r>
      <w:r w:rsidR="005D0C1E" w:rsidRPr="00207E27">
        <w:rPr>
          <w:rFonts w:ascii="Arial" w:eastAsia="Arial" w:hAnsi="Arial" w:cs="Arial"/>
          <w:lang w:val="en-ZA"/>
        </w:rPr>
        <w:t>A</w:t>
      </w:r>
      <w:r w:rsidRPr="00207E27">
        <w:rPr>
          <w:rFonts w:ascii="Arial" w:eastAsia="Arial" w:hAnsi="Arial" w:cs="Arial"/>
          <w:lang w:val="en-ZA"/>
        </w:rPr>
        <w:t>pp messages</w:t>
      </w:r>
      <w:r w:rsidR="00F863A0" w:rsidRPr="00207E27">
        <w:rPr>
          <w:rFonts w:ascii="Arial" w:eastAsia="Arial" w:hAnsi="Arial" w:cs="Arial"/>
          <w:lang w:val="en-ZA"/>
        </w:rPr>
        <w:t>;</w:t>
      </w:r>
    </w:p>
    <w:p w14:paraId="3001BA4E" w14:textId="6A9731B1" w:rsidR="00485BE5" w:rsidRPr="00207E27" w:rsidRDefault="00485BE5" w:rsidP="00C77DA2">
      <w:pPr>
        <w:spacing w:line="360" w:lineRule="auto"/>
        <w:ind w:left="1440" w:hanging="720"/>
        <w:jc w:val="both"/>
        <w:rPr>
          <w:rFonts w:ascii="Arial" w:eastAsia="Arial" w:hAnsi="Arial" w:cs="Arial"/>
          <w:lang w:val="en-ZA"/>
        </w:rPr>
      </w:pPr>
      <w:r w:rsidRPr="00207E27">
        <w:rPr>
          <w:rFonts w:ascii="Arial" w:eastAsia="Arial" w:hAnsi="Arial" w:cs="Arial"/>
          <w:lang w:val="en-ZA"/>
        </w:rPr>
        <w:t>(b)</w:t>
      </w:r>
      <w:r w:rsidRPr="00207E27">
        <w:rPr>
          <w:rFonts w:ascii="Arial" w:eastAsia="Arial" w:hAnsi="Arial" w:cs="Arial"/>
          <w:lang w:val="en-ZA"/>
        </w:rPr>
        <w:tab/>
        <w:t>Travelling costs</w:t>
      </w:r>
      <w:r w:rsidR="00C77DA2">
        <w:rPr>
          <w:rFonts w:ascii="Arial" w:eastAsia="Arial" w:hAnsi="Arial" w:cs="Arial"/>
          <w:lang w:val="en-ZA"/>
        </w:rPr>
        <w:t xml:space="preserve"> relating to item 67 in case number 7410/2019P and item 203 in case number 8527/2016P</w:t>
      </w:r>
      <w:r w:rsidR="00A4383B">
        <w:rPr>
          <w:rFonts w:ascii="Arial" w:eastAsia="Arial" w:hAnsi="Arial" w:cs="Arial"/>
          <w:lang w:val="en-ZA"/>
        </w:rPr>
        <w:t>; and</w:t>
      </w:r>
    </w:p>
    <w:p w14:paraId="4D551B20" w14:textId="77777777" w:rsidR="00485BE5" w:rsidRPr="00207E27" w:rsidRDefault="00485BE5" w:rsidP="00207E27">
      <w:pPr>
        <w:spacing w:line="360" w:lineRule="auto"/>
        <w:ind w:left="720"/>
        <w:jc w:val="both"/>
        <w:rPr>
          <w:rFonts w:ascii="Arial" w:eastAsia="Arial" w:hAnsi="Arial" w:cs="Arial"/>
          <w:lang w:val="en-ZA"/>
        </w:rPr>
      </w:pPr>
      <w:r w:rsidRPr="00207E27">
        <w:rPr>
          <w:rFonts w:ascii="Arial" w:eastAsia="Arial" w:hAnsi="Arial" w:cs="Arial"/>
          <w:lang w:val="en-ZA"/>
        </w:rPr>
        <w:t>(c)</w:t>
      </w:r>
      <w:r w:rsidRPr="00207E27">
        <w:rPr>
          <w:rFonts w:ascii="Arial" w:eastAsia="Arial" w:hAnsi="Arial" w:cs="Arial"/>
          <w:lang w:val="en-ZA"/>
        </w:rPr>
        <w:tab/>
        <w:t>Correspondent’s account.</w:t>
      </w:r>
    </w:p>
    <w:p w14:paraId="422E1ABD" w14:textId="0C30D787" w:rsidR="00485BE5" w:rsidRPr="00207E27" w:rsidRDefault="00485BE5" w:rsidP="00920049">
      <w:pPr>
        <w:spacing w:line="360" w:lineRule="auto"/>
        <w:jc w:val="both"/>
        <w:rPr>
          <w:rFonts w:ascii="Arial" w:eastAsia="Arial" w:hAnsi="Arial" w:cs="Arial"/>
          <w:lang w:val="en-ZA"/>
        </w:rPr>
      </w:pPr>
      <w:r w:rsidRPr="00207E27">
        <w:rPr>
          <w:rFonts w:ascii="Arial" w:eastAsia="Arial" w:hAnsi="Arial" w:cs="Arial"/>
          <w:lang w:val="en-ZA"/>
        </w:rPr>
        <w:t>2.</w:t>
      </w:r>
      <w:r w:rsidRPr="00207E27">
        <w:rPr>
          <w:rFonts w:ascii="Arial" w:eastAsia="Arial" w:hAnsi="Arial" w:cs="Arial"/>
          <w:lang w:val="en-ZA"/>
        </w:rPr>
        <w:tab/>
        <w:t xml:space="preserve">The </w:t>
      </w:r>
      <w:r w:rsidR="00F863A0" w:rsidRPr="00207E27">
        <w:rPr>
          <w:rFonts w:ascii="Arial" w:eastAsia="Arial" w:hAnsi="Arial" w:cs="Arial"/>
          <w:lang w:val="en-ZA"/>
        </w:rPr>
        <w:t xml:space="preserve">taxing master </w:t>
      </w:r>
      <w:r w:rsidRPr="00207E27">
        <w:rPr>
          <w:rFonts w:ascii="Arial" w:eastAsia="Arial" w:hAnsi="Arial" w:cs="Arial"/>
          <w:lang w:val="en-ZA"/>
        </w:rPr>
        <w:t>(Pietermaritzburg) is directed to reconsider the above items in light of the findings and principles set out herein as well as any other information that the parties may wish to place before her.</w:t>
      </w:r>
    </w:p>
    <w:p w14:paraId="787AA344" w14:textId="77777777" w:rsidR="00485BE5" w:rsidRPr="00207E27" w:rsidRDefault="00485BE5" w:rsidP="00920049">
      <w:pPr>
        <w:spacing w:line="360" w:lineRule="auto"/>
        <w:jc w:val="both"/>
        <w:rPr>
          <w:rFonts w:ascii="Arial" w:eastAsia="Arial" w:hAnsi="Arial" w:cs="Arial"/>
          <w:lang w:val="en-ZA"/>
        </w:rPr>
      </w:pPr>
      <w:r w:rsidRPr="00207E27">
        <w:rPr>
          <w:rFonts w:ascii="Arial" w:eastAsia="Arial" w:hAnsi="Arial" w:cs="Arial"/>
          <w:lang w:val="en-ZA"/>
        </w:rPr>
        <w:t>3.</w:t>
      </w:r>
      <w:r w:rsidRPr="00207E27">
        <w:rPr>
          <w:rFonts w:ascii="Arial" w:eastAsia="Arial" w:hAnsi="Arial" w:cs="Arial"/>
          <w:lang w:val="en-ZA"/>
        </w:rPr>
        <w:tab/>
        <w:t>The review fails in respect of the following items:</w:t>
      </w:r>
    </w:p>
    <w:p w14:paraId="13D66E0D" w14:textId="7F65D4B8" w:rsidR="00485BE5" w:rsidRPr="00207E27" w:rsidRDefault="00485BE5" w:rsidP="00207E27">
      <w:pPr>
        <w:spacing w:line="360" w:lineRule="auto"/>
        <w:ind w:left="720"/>
        <w:jc w:val="both"/>
        <w:rPr>
          <w:rFonts w:ascii="Arial" w:eastAsia="Arial" w:hAnsi="Arial" w:cs="Arial"/>
          <w:lang w:val="en-ZA"/>
        </w:rPr>
      </w:pPr>
      <w:r w:rsidRPr="00207E27">
        <w:rPr>
          <w:rFonts w:ascii="Arial" w:eastAsia="Arial" w:hAnsi="Arial" w:cs="Arial"/>
          <w:lang w:val="en-ZA"/>
        </w:rPr>
        <w:t>(a)</w:t>
      </w:r>
      <w:r w:rsidRPr="00207E27">
        <w:rPr>
          <w:rFonts w:ascii="Arial" w:eastAsia="Arial" w:hAnsi="Arial" w:cs="Arial"/>
          <w:lang w:val="en-ZA"/>
        </w:rPr>
        <w:tab/>
        <w:t>Value Added Tax (VAT)</w:t>
      </w:r>
      <w:r w:rsidR="00F863A0" w:rsidRPr="00207E27">
        <w:rPr>
          <w:rFonts w:ascii="Arial" w:eastAsia="Arial" w:hAnsi="Arial" w:cs="Arial"/>
          <w:lang w:val="en-ZA"/>
        </w:rPr>
        <w:t>;</w:t>
      </w:r>
    </w:p>
    <w:p w14:paraId="2448B66D" w14:textId="4720094B" w:rsidR="00485BE5" w:rsidRPr="00207E27" w:rsidRDefault="00485BE5" w:rsidP="00207E27">
      <w:pPr>
        <w:spacing w:line="360" w:lineRule="auto"/>
        <w:ind w:left="720"/>
        <w:jc w:val="both"/>
        <w:rPr>
          <w:rFonts w:ascii="Arial" w:eastAsia="Arial" w:hAnsi="Arial" w:cs="Arial"/>
          <w:lang w:val="en-ZA"/>
        </w:rPr>
      </w:pPr>
      <w:r w:rsidRPr="00207E27">
        <w:rPr>
          <w:rFonts w:ascii="Arial" w:eastAsia="Arial" w:hAnsi="Arial" w:cs="Arial"/>
          <w:lang w:val="en-ZA"/>
        </w:rPr>
        <w:t>(b)</w:t>
      </w:r>
      <w:r w:rsidRPr="00207E27">
        <w:rPr>
          <w:rFonts w:ascii="Arial" w:eastAsia="Arial" w:hAnsi="Arial" w:cs="Arial"/>
          <w:lang w:val="en-ZA"/>
        </w:rPr>
        <w:tab/>
        <w:t xml:space="preserve">Attendance at </w:t>
      </w:r>
      <w:r w:rsidR="00F863A0" w:rsidRPr="00207E27">
        <w:rPr>
          <w:rFonts w:ascii="Arial" w:eastAsia="Arial" w:hAnsi="Arial" w:cs="Arial"/>
          <w:lang w:val="en-ZA"/>
        </w:rPr>
        <w:t>court;</w:t>
      </w:r>
    </w:p>
    <w:p w14:paraId="148B34F0" w14:textId="6ABB0777" w:rsidR="00485BE5" w:rsidRPr="00207E27" w:rsidRDefault="00485BE5" w:rsidP="00207E27">
      <w:pPr>
        <w:spacing w:line="360" w:lineRule="auto"/>
        <w:ind w:left="720"/>
        <w:jc w:val="both"/>
        <w:rPr>
          <w:rFonts w:ascii="Arial" w:eastAsia="Arial" w:hAnsi="Arial" w:cs="Arial"/>
          <w:lang w:val="en-ZA"/>
        </w:rPr>
      </w:pPr>
      <w:r w:rsidRPr="00207E27">
        <w:rPr>
          <w:rFonts w:ascii="Arial" w:eastAsia="Arial" w:hAnsi="Arial" w:cs="Arial"/>
          <w:lang w:val="en-ZA"/>
        </w:rPr>
        <w:t>(c)</w:t>
      </w:r>
      <w:r w:rsidRPr="00207E27">
        <w:rPr>
          <w:rFonts w:ascii="Arial" w:eastAsia="Arial" w:hAnsi="Arial" w:cs="Arial"/>
          <w:lang w:val="en-ZA"/>
        </w:rPr>
        <w:tab/>
        <w:t>Sheriff’s fees</w:t>
      </w:r>
      <w:r w:rsidR="00A801EB" w:rsidRPr="00207E27">
        <w:rPr>
          <w:rFonts w:ascii="Arial" w:eastAsia="Arial" w:hAnsi="Arial" w:cs="Arial"/>
          <w:lang w:val="en-ZA"/>
        </w:rPr>
        <w:t>;</w:t>
      </w:r>
      <w:r w:rsidRPr="00207E27">
        <w:rPr>
          <w:rFonts w:ascii="Arial" w:eastAsia="Arial" w:hAnsi="Arial" w:cs="Arial"/>
          <w:lang w:val="en-ZA"/>
        </w:rPr>
        <w:t xml:space="preserve"> </w:t>
      </w:r>
    </w:p>
    <w:p w14:paraId="3B7A9DA6" w14:textId="241A3DBE" w:rsidR="00485BE5" w:rsidRDefault="00485BE5" w:rsidP="00207E27">
      <w:pPr>
        <w:spacing w:line="360" w:lineRule="auto"/>
        <w:ind w:left="720"/>
        <w:jc w:val="both"/>
        <w:rPr>
          <w:rFonts w:ascii="Arial" w:eastAsia="Arial" w:hAnsi="Arial" w:cs="Arial"/>
          <w:lang w:val="en-ZA"/>
        </w:rPr>
      </w:pPr>
      <w:r w:rsidRPr="00207E27">
        <w:rPr>
          <w:rFonts w:ascii="Arial" w:eastAsia="Arial" w:hAnsi="Arial" w:cs="Arial"/>
          <w:lang w:val="en-ZA"/>
        </w:rPr>
        <w:t>(d)</w:t>
      </w:r>
      <w:r w:rsidRPr="00207E27">
        <w:rPr>
          <w:rFonts w:ascii="Arial" w:eastAsia="Arial" w:hAnsi="Arial" w:cs="Arial"/>
          <w:lang w:val="en-ZA"/>
        </w:rPr>
        <w:tab/>
        <w:t xml:space="preserve">Pound </w:t>
      </w:r>
      <w:r w:rsidR="00A801EB" w:rsidRPr="00207E27">
        <w:rPr>
          <w:rFonts w:ascii="Arial" w:eastAsia="Arial" w:hAnsi="Arial" w:cs="Arial"/>
          <w:lang w:val="en-ZA"/>
        </w:rPr>
        <w:t xml:space="preserve">master’s </w:t>
      </w:r>
      <w:r w:rsidRPr="00207E27">
        <w:rPr>
          <w:rFonts w:ascii="Arial" w:eastAsia="Arial" w:hAnsi="Arial" w:cs="Arial"/>
          <w:lang w:val="en-ZA"/>
        </w:rPr>
        <w:t>fees</w:t>
      </w:r>
      <w:r w:rsidR="00BB68A3">
        <w:rPr>
          <w:rFonts w:ascii="Arial" w:eastAsia="Arial" w:hAnsi="Arial" w:cs="Arial"/>
          <w:lang w:val="en-ZA"/>
        </w:rPr>
        <w:t>; and</w:t>
      </w:r>
    </w:p>
    <w:p w14:paraId="022CA248" w14:textId="77777777" w:rsidR="0006737E" w:rsidRPr="00207E27" w:rsidRDefault="0006737E" w:rsidP="0006737E">
      <w:pPr>
        <w:spacing w:line="360" w:lineRule="auto"/>
        <w:ind w:left="1440" w:hanging="720"/>
        <w:jc w:val="both"/>
        <w:rPr>
          <w:rFonts w:ascii="Arial" w:eastAsia="Arial" w:hAnsi="Arial" w:cs="Arial"/>
          <w:lang w:val="en-ZA"/>
        </w:rPr>
      </w:pPr>
      <w:r>
        <w:rPr>
          <w:rFonts w:ascii="Arial" w:eastAsia="Arial" w:hAnsi="Arial" w:cs="Arial"/>
          <w:lang w:val="en-ZA"/>
        </w:rPr>
        <w:t>(e)</w:t>
      </w:r>
      <w:r>
        <w:rPr>
          <w:rFonts w:ascii="Arial" w:eastAsia="Arial" w:hAnsi="Arial" w:cs="Arial"/>
          <w:lang w:val="en-ZA"/>
        </w:rPr>
        <w:tab/>
        <w:t>The balance of the travelling costs under case numbers 7410/2019P and 8527/2016P.</w:t>
      </w:r>
    </w:p>
    <w:p w14:paraId="52F35E9B" w14:textId="233B34BF" w:rsidR="00C65F78" w:rsidRPr="00207E27" w:rsidRDefault="00485BE5" w:rsidP="00920049">
      <w:pPr>
        <w:pBdr>
          <w:top w:val="nil"/>
          <w:left w:val="nil"/>
          <w:bottom w:val="nil"/>
          <w:right w:val="nil"/>
          <w:between w:val="nil"/>
        </w:pBdr>
        <w:spacing w:line="360" w:lineRule="auto"/>
        <w:jc w:val="both"/>
        <w:rPr>
          <w:rFonts w:ascii="Arial" w:eastAsia="Arial" w:hAnsi="Arial" w:cs="Arial"/>
          <w:color w:val="000000"/>
          <w:lang w:val="en-ZA"/>
        </w:rPr>
      </w:pPr>
      <w:r w:rsidRPr="00207E27">
        <w:rPr>
          <w:rFonts w:ascii="Arial" w:eastAsia="Arial" w:hAnsi="Arial" w:cs="Arial"/>
          <w:lang w:val="en-ZA"/>
        </w:rPr>
        <w:t>4.</w:t>
      </w:r>
      <w:r w:rsidRPr="00207E27">
        <w:rPr>
          <w:rFonts w:ascii="Arial" w:eastAsia="Arial" w:hAnsi="Arial" w:cs="Arial"/>
          <w:lang w:val="en-ZA"/>
        </w:rPr>
        <w:tab/>
        <w:t>There shall be no order as to costs</w:t>
      </w:r>
      <w:r w:rsidR="00920049" w:rsidRPr="00207E27">
        <w:rPr>
          <w:rFonts w:ascii="Arial" w:eastAsia="Arial" w:hAnsi="Arial" w:cs="Arial"/>
          <w:lang w:val="en-ZA"/>
        </w:rPr>
        <w:t>.</w:t>
      </w:r>
    </w:p>
    <w:p w14:paraId="07FD8F1D" w14:textId="466B4633" w:rsidR="00C65F78" w:rsidRPr="00A42455" w:rsidRDefault="00437235" w:rsidP="00437235">
      <w:pPr>
        <w:pBdr>
          <w:top w:val="nil"/>
          <w:left w:val="nil"/>
          <w:bottom w:val="nil"/>
          <w:right w:val="nil"/>
          <w:between w:val="nil"/>
        </w:pBdr>
        <w:spacing w:line="360" w:lineRule="auto"/>
        <w:ind w:left="5040" w:firstLine="720"/>
        <w:jc w:val="right"/>
        <w:rPr>
          <w:rFonts w:ascii="Arial" w:eastAsia="Arial" w:hAnsi="Arial" w:cs="Arial"/>
          <w:b/>
          <w:color w:val="000000"/>
          <w:lang w:val="en-ZA"/>
        </w:rPr>
      </w:pPr>
      <w:r w:rsidRPr="00A42455">
        <w:rPr>
          <w:rFonts w:ascii="Arial" w:eastAsia="Arial" w:hAnsi="Arial" w:cs="Arial"/>
          <w:b/>
          <w:color w:val="000000"/>
          <w:lang w:val="en-ZA"/>
        </w:rPr>
        <w:t xml:space="preserve">    </w:t>
      </w:r>
      <w:r w:rsidR="00C47B49" w:rsidRPr="00A42455">
        <w:rPr>
          <w:rFonts w:ascii="Arial" w:eastAsia="Arial" w:hAnsi="Arial" w:cs="Arial"/>
          <w:b/>
          <w:color w:val="000000"/>
          <w:lang w:val="en-ZA"/>
        </w:rPr>
        <w:t>____________</w:t>
      </w:r>
    </w:p>
    <w:p w14:paraId="2568041C" w14:textId="3127BD02" w:rsidR="00C65F78" w:rsidRPr="00A42455" w:rsidRDefault="00437235">
      <w:pPr>
        <w:pBdr>
          <w:top w:val="nil"/>
          <w:left w:val="nil"/>
          <w:bottom w:val="nil"/>
          <w:right w:val="nil"/>
          <w:between w:val="nil"/>
        </w:pBdr>
        <w:spacing w:line="360" w:lineRule="auto"/>
        <w:jc w:val="right"/>
        <w:rPr>
          <w:rFonts w:ascii="Arial" w:eastAsia="Arial" w:hAnsi="Arial" w:cs="Arial"/>
          <w:b/>
          <w:color w:val="000000"/>
          <w:lang w:val="en-ZA"/>
        </w:rPr>
      </w:pPr>
      <w:r w:rsidRPr="00A42455">
        <w:rPr>
          <w:rFonts w:ascii="Arial" w:eastAsia="Arial" w:hAnsi="Arial" w:cs="Arial"/>
          <w:b/>
          <w:color w:val="000000"/>
          <w:lang w:val="en-ZA"/>
        </w:rPr>
        <w:t>Seegobin</w:t>
      </w:r>
      <w:r w:rsidR="00C47B49" w:rsidRPr="00A42455">
        <w:rPr>
          <w:rFonts w:ascii="Arial" w:eastAsia="Arial" w:hAnsi="Arial" w:cs="Arial"/>
          <w:b/>
          <w:color w:val="000000"/>
          <w:lang w:val="en-ZA"/>
        </w:rPr>
        <w:t xml:space="preserve"> J</w:t>
      </w:r>
    </w:p>
    <w:p w14:paraId="3DB04AEE" w14:textId="77777777" w:rsidR="00485BE5" w:rsidRPr="00A42455" w:rsidRDefault="00485BE5" w:rsidP="001373F9">
      <w:pPr>
        <w:jc w:val="both"/>
        <w:rPr>
          <w:rFonts w:ascii="Arial" w:hAnsi="Arial" w:cs="Arial"/>
          <w:lang w:val="en-ZA"/>
        </w:rPr>
      </w:pPr>
    </w:p>
    <w:p w14:paraId="7C33FFF1" w14:textId="77777777" w:rsidR="00485BE5" w:rsidRPr="00A42455" w:rsidRDefault="00485BE5" w:rsidP="001373F9">
      <w:pPr>
        <w:jc w:val="both"/>
        <w:rPr>
          <w:rFonts w:ascii="Arial" w:hAnsi="Arial" w:cs="Arial"/>
          <w:lang w:val="en-ZA"/>
        </w:rPr>
      </w:pPr>
    </w:p>
    <w:p w14:paraId="48A2501F" w14:textId="2F376BEC" w:rsidR="001373F9" w:rsidRPr="00A42455" w:rsidRDefault="001373F9" w:rsidP="001373F9">
      <w:pPr>
        <w:jc w:val="both"/>
        <w:rPr>
          <w:rFonts w:ascii="Arial" w:hAnsi="Arial" w:cs="Arial"/>
          <w:lang w:val="en-ZA"/>
        </w:rPr>
      </w:pPr>
      <w:r w:rsidRPr="00A42455">
        <w:rPr>
          <w:rFonts w:ascii="Arial" w:hAnsi="Arial" w:cs="Arial"/>
          <w:lang w:val="en-ZA"/>
        </w:rPr>
        <w:t>Applicant’s Attorneys:</w:t>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00F72927" w:rsidRPr="00A42455">
        <w:rPr>
          <w:rFonts w:ascii="Arial" w:hAnsi="Arial" w:cs="Arial"/>
          <w:lang w:val="en-ZA"/>
        </w:rPr>
        <w:t>FINDLATER ATTORNEY</w:t>
      </w:r>
    </w:p>
    <w:p w14:paraId="155C4EE8" w14:textId="1E365F35" w:rsidR="001373F9" w:rsidRPr="00A42455" w:rsidRDefault="001373F9" w:rsidP="001373F9">
      <w:pPr>
        <w:jc w:val="both"/>
        <w:rPr>
          <w:rFonts w:ascii="Arial" w:hAnsi="Arial" w:cs="Arial"/>
          <w:lang w:val="en-ZA"/>
        </w:rPr>
      </w:pP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00F72927" w:rsidRPr="00A42455">
        <w:rPr>
          <w:rFonts w:ascii="Arial" w:hAnsi="Arial" w:cs="Arial"/>
          <w:lang w:val="en-ZA"/>
        </w:rPr>
        <w:t>18 Park Road</w:t>
      </w:r>
    </w:p>
    <w:p w14:paraId="114BCC56" w14:textId="05D36CF9" w:rsidR="001373F9" w:rsidRPr="00A42455" w:rsidRDefault="001373F9" w:rsidP="001373F9">
      <w:pPr>
        <w:jc w:val="both"/>
        <w:rPr>
          <w:rFonts w:ascii="Arial" w:hAnsi="Arial" w:cs="Arial"/>
          <w:lang w:val="en-ZA"/>
        </w:rPr>
      </w:pP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00F72927" w:rsidRPr="00A42455">
        <w:rPr>
          <w:rFonts w:ascii="Arial" w:hAnsi="Arial" w:cs="Arial"/>
          <w:lang w:val="en-ZA"/>
        </w:rPr>
        <w:t>Howick</w:t>
      </w:r>
    </w:p>
    <w:p w14:paraId="47EBD241" w14:textId="02E3C05C" w:rsidR="001373F9" w:rsidRPr="00A42455" w:rsidRDefault="001373F9" w:rsidP="001373F9">
      <w:pPr>
        <w:jc w:val="both"/>
        <w:rPr>
          <w:rFonts w:ascii="Arial" w:hAnsi="Arial" w:cs="Arial"/>
          <w:lang w:val="en-ZA"/>
        </w:rPr>
      </w:pP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00207E27" w:rsidRPr="00A42455">
        <w:rPr>
          <w:rFonts w:ascii="Arial" w:hAnsi="Arial" w:cs="Arial"/>
          <w:lang w:val="en-ZA"/>
        </w:rPr>
        <w:t>Pietermaritzburg</w:t>
      </w:r>
    </w:p>
    <w:p w14:paraId="3CEDE726" w14:textId="77777777" w:rsidR="001373F9" w:rsidRPr="00A42455" w:rsidRDefault="001373F9" w:rsidP="001373F9">
      <w:pPr>
        <w:jc w:val="both"/>
        <w:rPr>
          <w:rFonts w:ascii="Arial" w:hAnsi="Arial" w:cs="Arial"/>
          <w:lang w:val="en-ZA"/>
        </w:rPr>
      </w:pPr>
    </w:p>
    <w:p w14:paraId="0DC966FD" w14:textId="43D5D0F2" w:rsidR="001373F9" w:rsidRPr="00A42455" w:rsidRDefault="001373F9" w:rsidP="001373F9">
      <w:pPr>
        <w:jc w:val="both"/>
        <w:rPr>
          <w:rFonts w:ascii="Arial" w:hAnsi="Arial" w:cs="Arial"/>
          <w:lang w:val="en-ZA"/>
        </w:rPr>
      </w:pPr>
      <w:r w:rsidRPr="00A42455">
        <w:rPr>
          <w:rFonts w:ascii="Arial" w:hAnsi="Arial" w:cs="Arial"/>
          <w:lang w:val="en-ZA"/>
        </w:rPr>
        <w:t>Respondent’s Attorneys:</w:t>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00F72927" w:rsidRPr="00A42455">
        <w:rPr>
          <w:rFonts w:ascii="Arial" w:hAnsi="Arial" w:cs="Arial"/>
          <w:lang w:val="en-ZA"/>
        </w:rPr>
        <w:t>WHA COMPTON ATTORNEYS</w:t>
      </w:r>
    </w:p>
    <w:p w14:paraId="0280A4A5" w14:textId="08193749" w:rsidR="001373F9" w:rsidRPr="00A42455" w:rsidRDefault="001373F9" w:rsidP="001373F9">
      <w:pPr>
        <w:jc w:val="both"/>
        <w:rPr>
          <w:rFonts w:ascii="Arial" w:hAnsi="Arial" w:cs="Arial"/>
          <w:lang w:val="en-ZA"/>
        </w:rPr>
      </w:pP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00F72927" w:rsidRPr="00A42455">
        <w:rPr>
          <w:rFonts w:ascii="Arial" w:hAnsi="Arial" w:cs="Arial"/>
          <w:lang w:val="en-ZA"/>
        </w:rPr>
        <w:t>527 Town Bush Road</w:t>
      </w:r>
    </w:p>
    <w:p w14:paraId="4A6A981A" w14:textId="0E32DA03" w:rsidR="00F72927" w:rsidRPr="00A42455" w:rsidRDefault="00F72927" w:rsidP="001373F9">
      <w:pPr>
        <w:jc w:val="both"/>
        <w:rPr>
          <w:rFonts w:ascii="Arial" w:hAnsi="Arial" w:cs="Arial"/>
          <w:lang w:val="en-ZA"/>
        </w:rPr>
      </w:pP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t xml:space="preserve">Montrose </w:t>
      </w:r>
    </w:p>
    <w:p w14:paraId="506CB3BD" w14:textId="1967DC27" w:rsidR="008C4806" w:rsidRPr="00A42455" w:rsidRDefault="001373F9" w:rsidP="00207E27">
      <w:pPr>
        <w:spacing w:line="360" w:lineRule="auto"/>
        <w:jc w:val="both"/>
        <w:rPr>
          <w:rFonts w:ascii="Arial" w:hAnsi="Arial" w:cs="Arial"/>
          <w:i/>
          <w:lang w:val="en-ZA"/>
        </w:rPr>
      </w:pP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Pr="00A42455">
        <w:rPr>
          <w:rFonts w:ascii="Arial" w:hAnsi="Arial" w:cs="Arial"/>
          <w:lang w:val="en-ZA"/>
        </w:rPr>
        <w:tab/>
      </w:r>
      <w:r w:rsidR="00207E27" w:rsidRPr="00A42455">
        <w:rPr>
          <w:rFonts w:ascii="Arial" w:hAnsi="Arial" w:cs="Arial"/>
          <w:lang w:val="en-ZA"/>
        </w:rPr>
        <w:t>Pietermaritzburg</w:t>
      </w:r>
    </w:p>
    <w:sectPr w:rsidR="008C4806" w:rsidRPr="00A42455">
      <w:headerReference w:type="default" r:id="rId8"/>
      <w:footerReference w:type="default" r:id="rId9"/>
      <w:headerReference w:type="firs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5803" w14:textId="77777777" w:rsidR="006454DE" w:rsidRDefault="006454DE">
      <w:r>
        <w:separator/>
      </w:r>
    </w:p>
  </w:endnote>
  <w:endnote w:type="continuationSeparator" w:id="0">
    <w:p w14:paraId="57E51A76" w14:textId="77777777" w:rsidR="006454DE" w:rsidRDefault="0064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9A92" w14:textId="77777777" w:rsidR="00C65F78" w:rsidRDefault="00C65F78">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DA94" w14:textId="77777777" w:rsidR="006454DE" w:rsidRDefault="006454DE">
      <w:r>
        <w:separator/>
      </w:r>
    </w:p>
  </w:footnote>
  <w:footnote w:type="continuationSeparator" w:id="0">
    <w:p w14:paraId="74164FDE" w14:textId="77777777" w:rsidR="006454DE" w:rsidRDefault="006454DE">
      <w:r>
        <w:continuationSeparator/>
      </w:r>
    </w:p>
  </w:footnote>
  <w:footnote w:id="1">
    <w:p w14:paraId="6DDE8208" w14:textId="63E35013"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000000"/>
        </w:rPr>
        <w:t>Ben McDonald Inc and another v Rudolph and another</w:t>
      </w:r>
      <w:r w:rsidRPr="00207E27">
        <w:rPr>
          <w:rFonts w:ascii="Arial" w:hAnsi="Arial" w:cs="Arial"/>
          <w:bCs/>
          <w:color w:val="000000"/>
        </w:rPr>
        <w:t xml:space="preserve"> 1997 (4) SA 252 (T) at 258</w:t>
      </w:r>
      <w:r w:rsidR="00C368AB" w:rsidRPr="00207E27">
        <w:rPr>
          <w:rFonts w:ascii="Arial" w:hAnsi="Arial" w:cs="Arial"/>
          <w:bCs/>
          <w:color w:val="000000"/>
        </w:rPr>
        <w:t>A-</w:t>
      </w:r>
      <w:r w:rsidRPr="00207E27">
        <w:rPr>
          <w:rFonts w:ascii="Arial" w:hAnsi="Arial" w:cs="Arial"/>
          <w:bCs/>
          <w:color w:val="000000"/>
        </w:rPr>
        <w:t>I.</w:t>
      </w:r>
    </w:p>
  </w:footnote>
  <w:footnote w:id="2">
    <w:p w14:paraId="6AEE2A4C"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000000"/>
        </w:rPr>
        <w:t xml:space="preserve">Malcolm Lyons &amp; Munro v </w:t>
      </w:r>
      <w:proofErr w:type="spellStart"/>
      <w:r w:rsidRPr="00207E27">
        <w:rPr>
          <w:rFonts w:ascii="Arial" w:hAnsi="Arial" w:cs="Arial"/>
          <w:bCs/>
          <w:i/>
          <w:color w:val="000000"/>
        </w:rPr>
        <w:t>Abro</w:t>
      </w:r>
      <w:proofErr w:type="spellEnd"/>
      <w:r w:rsidRPr="00207E27">
        <w:rPr>
          <w:rFonts w:ascii="Arial" w:hAnsi="Arial" w:cs="Arial"/>
          <w:bCs/>
          <w:i/>
          <w:color w:val="000000"/>
        </w:rPr>
        <w:t xml:space="preserve"> and another</w:t>
      </w:r>
      <w:r w:rsidRPr="00207E27">
        <w:rPr>
          <w:rFonts w:ascii="Arial" w:hAnsi="Arial" w:cs="Arial"/>
          <w:bCs/>
          <w:color w:val="000000"/>
        </w:rPr>
        <w:t xml:space="preserve"> 1991 (3) SA 464 (W) a</w:t>
      </w:r>
      <w:r w:rsidRPr="00207E27">
        <w:rPr>
          <w:rFonts w:ascii="Arial" w:hAnsi="Arial" w:cs="Arial"/>
          <w:lang w:val="en-GB"/>
        </w:rPr>
        <w:t>t 469C-E.</w:t>
      </w:r>
    </w:p>
  </w:footnote>
  <w:footnote w:id="3">
    <w:p w14:paraId="0A4F5A0C" w14:textId="77777777" w:rsidR="00C368AB" w:rsidRPr="00207E27" w:rsidRDefault="00C368AB"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i/>
        </w:rPr>
        <w:t xml:space="preserve">R H Christie Incorporated v Taxing Master – Supreme Court of </w:t>
      </w:r>
      <w:proofErr w:type="gramStart"/>
      <w:r w:rsidRPr="00207E27">
        <w:rPr>
          <w:rFonts w:ascii="Arial" w:hAnsi="Arial" w:cs="Arial"/>
          <w:i/>
        </w:rPr>
        <w:t>Appeal</w:t>
      </w:r>
      <w:r w:rsidRPr="00207E27">
        <w:rPr>
          <w:rFonts w:ascii="Arial" w:hAnsi="Arial" w:cs="Arial"/>
        </w:rPr>
        <w:t xml:space="preserve">  [</w:t>
      </w:r>
      <w:proofErr w:type="gramEnd"/>
      <w:r w:rsidRPr="00207E27">
        <w:rPr>
          <w:rFonts w:ascii="Arial" w:hAnsi="Arial" w:cs="Arial"/>
        </w:rPr>
        <w:t>2021] ZASCA 152 para 56.</w:t>
      </w:r>
    </w:p>
  </w:footnote>
  <w:footnote w:id="4">
    <w:p w14:paraId="3164B231" w14:textId="1AFF238E"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000000"/>
        </w:rPr>
        <w:t>Cambridge Plan AG v Cambridge Diet (Pty) Ltd and others</w:t>
      </w:r>
      <w:r w:rsidRPr="00207E27">
        <w:rPr>
          <w:rFonts w:ascii="Arial" w:hAnsi="Arial" w:cs="Arial"/>
          <w:bCs/>
          <w:color w:val="000000"/>
        </w:rPr>
        <w:t xml:space="preserve"> 1990 (2) SA 574 (T) at </w:t>
      </w:r>
      <w:r w:rsidRPr="00207E27">
        <w:rPr>
          <w:rFonts w:ascii="Arial" w:hAnsi="Arial" w:cs="Arial"/>
          <w:color w:val="242121"/>
          <w:shd w:val="clear" w:color="auto" w:fill="FFFFFF"/>
        </w:rPr>
        <w:t>602</w:t>
      </w:r>
      <w:r w:rsidR="00C368AB" w:rsidRPr="00207E27">
        <w:rPr>
          <w:rFonts w:ascii="Arial" w:hAnsi="Arial" w:cs="Arial"/>
          <w:color w:val="242121"/>
          <w:shd w:val="clear" w:color="auto" w:fill="FFFFFF"/>
        </w:rPr>
        <w:t>G-</w:t>
      </w:r>
      <w:r w:rsidRPr="00207E27">
        <w:rPr>
          <w:rFonts w:ascii="Arial" w:hAnsi="Arial" w:cs="Arial"/>
          <w:color w:val="242121"/>
          <w:shd w:val="clear" w:color="auto" w:fill="FFFFFF"/>
        </w:rPr>
        <w:t>I.</w:t>
      </w:r>
    </w:p>
  </w:footnote>
  <w:footnote w:id="5">
    <w:p w14:paraId="7F14C455"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000000"/>
        </w:rPr>
        <w:t>Coetzee v Taxing Master, South Gauteng High Court and another</w:t>
      </w:r>
      <w:r w:rsidRPr="00207E27">
        <w:rPr>
          <w:rFonts w:ascii="Arial" w:hAnsi="Arial" w:cs="Arial"/>
          <w:bCs/>
          <w:color w:val="000000"/>
        </w:rPr>
        <w:t xml:space="preserve"> 2013 (1) SA 74 (GSJ) para 25.3.</w:t>
      </w:r>
    </w:p>
  </w:footnote>
  <w:footnote w:id="6">
    <w:p w14:paraId="1F2E70B8"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242121"/>
          <w:shd w:val="clear" w:color="auto" w:fill="FFFFFF"/>
        </w:rPr>
        <w:t>City of Cape Town v </w:t>
      </w:r>
      <w:r w:rsidRPr="00207E27">
        <w:rPr>
          <w:rFonts w:ascii="Arial" w:hAnsi="Arial" w:cs="Arial"/>
          <w:i/>
          <w:color w:val="242121"/>
          <w:shd w:val="clear" w:color="auto" w:fill="FFFFFF"/>
        </w:rPr>
        <w:t>Arun</w:t>
      </w:r>
      <w:r w:rsidRPr="00207E27">
        <w:rPr>
          <w:rFonts w:ascii="Arial" w:hAnsi="Arial" w:cs="Arial"/>
          <w:bCs/>
          <w:i/>
          <w:color w:val="242121"/>
          <w:shd w:val="clear" w:color="auto" w:fill="FFFFFF"/>
        </w:rPr>
        <w:t> Property Development (Pty) Ltd and another</w:t>
      </w:r>
      <w:r w:rsidRPr="00207E27">
        <w:rPr>
          <w:rFonts w:ascii="Arial" w:hAnsi="Arial" w:cs="Arial"/>
          <w:bCs/>
          <w:color w:val="242121"/>
          <w:shd w:val="clear" w:color="auto" w:fill="FFFFFF"/>
        </w:rPr>
        <w:t xml:space="preserve"> 2009 (5) SA 227 (C)</w:t>
      </w:r>
      <w:r w:rsidRPr="00207E27">
        <w:rPr>
          <w:rFonts w:ascii="Arial" w:hAnsi="Arial" w:cs="Arial"/>
          <w:b/>
          <w:bCs/>
          <w:color w:val="242121"/>
          <w:shd w:val="clear" w:color="auto" w:fill="FFFFFF"/>
        </w:rPr>
        <w:t xml:space="preserve"> </w:t>
      </w:r>
      <w:r w:rsidRPr="00207E27">
        <w:rPr>
          <w:rFonts w:ascii="Arial" w:hAnsi="Arial" w:cs="Arial"/>
          <w:color w:val="242121"/>
          <w:shd w:val="clear" w:color="auto" w:fill="FFFFFF"/>
        </w:rPr>
        <w:t>para 17.</w:t>
      </w:r>
    </w:p>
  </w:footnote>
  <w:footnote w:id="7">
    <w:p w14:paraId="53A7169D"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i/>
          <w:lang w:val="en-GB"/>
        </w:rPr>
        <w:t xml:space="preserve">Preller v </w:t>
      </w:r>
      <w:proofErr w:type="spellStart"/>
      <w:r w:rsidRPr="00207E27">
        <w:rPr>
          <w:rFonts w:ascii="Arial" w:hAnsi="Arial" w:cs="Arial"/>
          <w:i/>
          <w:lang w:val="en-GB"/>
        </w:rPr>
        <w:t>Jordaan</w:t>
      </w:r>
      <w:proofErr w:type="spellEnd"/>
      <w:r w:rsidRPr="00207E27">
        <w:rPr>
          <w:rFonts w:ascii="Arial" w:hAnsi="Arial" w:cs="Arial"/>
          <w:i/>
          <w:lang w:val="en-GB"/>
        </w:rPr>
        <w:t xml:space="preserve"> and another</w:t>
      </w:r>
      <w:r w:rsidRPr="00207E27">
        <w:rPr>
          <w:rFonts w:ascii="Arial" w:hAnsi="Arial" w:cs="Arial"/>
          <w:lang w:val="en-GB"/>
        </w:rPr>
        <w:t xml:space="preserve"> 1957 (3) SA 201 (O) at 203B-D.</w:t>
      </w:r>
    </w:p>
  </w:footnote>
  <w:footnote w:id="8">
    <w:p w14:paraId="4C1B61B9" w14:textId="2CCE71F1"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i/>
        </w:rPr>
        <w:t>R H Christie Incorporated</w:t>
      </w:r>
      <w:r w:rsidRPr="00207E27">
        <w:rPr>
          <w:rFonts w:ascii="Arial" w:hAnsi="Arial" w:cs="Arial"/>
        </w:rPr>
        <w:t xml:space="preserve"> </w:t>
      </w:r>
      <w:r w:rsidR="004C3634" w:rsidRPr="00207E27">
        <w:rPr>
          <w:rFonts w:ascii="Arial" w:hAnsi="Arial" w:cs="Arial"/>
          <w:i/>
        </w:rPr>
        <w:t xml:space="preserve">v Taxing Master – Supreme Court of </w:t>
      </w:r>
      <w:proofErr w:type="gramStart"/>
      <w:r w:rsidR="004C3634" w:rsidRPr="00207E27">
        <w:rPr>
          <w:rFonts w:ascii="Arial" w:hAnsi="Arial" w:cs="Arial"/>
          <w:i/>
        </w:rPr>
        <w:t>Appeal</w:t>
      </w:r>
      <w:r w:rsidR="004C3634" w:rsidRPr="00207E27">
        <w:rPr>
          <w:rFonts w:ascii="Arial" w:hAnsi="Arial" w:cs="Arial"/>
        </w:rPr>
        <w:t xml:space="preserve">  [</w:t>
      </w:r>
      <w:proofErr w:type="gramEnd"/>
      <w:r w:rsidR="004C3634" w:rsidRPr="00207E27">
        <w:rPr>
          <w:rFonts w:ascii="Arial" w:hAnsi="Arial" w:cs="Arial"/>
        </w:rPr>
        <w:t xml:space="preserve">2021] ZASCA 152 </w:t>
      </w:r>
      <w:r w:rsidRPr="00207E27">
        <w:rPr>
          <w:rFonts w:ascii="Arial" w:hAnsi="Arial" w:cs="Arial"/>
        </w:rPr>
        <w:t>para 55.</w:t>
      </w:r>
    </w:p>
  </w:footnote>
  <w:footnote w:id="9">
    <w:p w14:paraId="5180C422"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lang w:val="en-GB"/>
        </w:rPr>
        <w:t>Ibid.</w:t>
      </w:r>
    </w:p>
  </w:footnote>
  <w:footnote w:id="10">
    <w:p w14:paraId="53F12298"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000000"/>
        </w:rPr>
        <w:t>City Deep Ltd v Johannesburg City Council</w:t>
      </w:r>
      <w:r w:rsidRPr="00207E27">
        <w:rPr>
          <w:rFonts w:ascii="Arial" w:hAnsi="Arial" w:cs="Arial"/>
          <w:bCs/>
          <w:color w:val="000000"/>
        </w:rPr>
        <w:t xml:space="preserve"> 1973 (2) SA 109 (W) at 119H.</w:t>
      </w:r>
    </w:p>
  </w:footnote>
  <w:footnote w:id="11">
    <w:p w14:paraId="64C8FDAE" w14:textId="2283DF5E"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000000"/>
        </w:rPr>
        <w:t>Van der Westhuizen v Gibbon and another</w:t>
      </w:r>
      <w:r w:rsidRPr="00207E27">
        <w:rPr>
          <w:rFonts w:ascii="Arial" w:hAnsi="Arial" w:cs="Arial"/>
          <w:bCs/>
          <w:color w:val="000000"/>
        </w:rPr>
        <w:t xml:space="preserve"> 1983 (1) SA 95 (O) at 99H-100</w:t>
      </w:r>
      <w:r w:rsidR="005D0C1E" w:rsidRPr="00207E27">
        <w:rPr>
          <w:rFonts w:ascii="Arial" w:hAnsi="Arial" w:cs="Arial"/>
          <w:bCs/>
          <w:color w:val="000000"/>
        </w:rPr>
        <w:t>C</w:t>
      </w:r>
      <w:r w:rsidRPr="00207E27">
        <w:rPr>
          <w:rFonts w:ascii="Arial" w:hAnsi="Arial" w:cs="Arial"/>
          <w:bCs/>
          <w:color w:val="000000"/>
        </w:rPr>
        <w:t>.</w:t>
      </w:r>
    </w:p>
  </w:footnote>
  <w:footnote w:id="12">
    <w:p w14:paraId="07CD38D4"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i/>
        </w:rPr>
        <w:t>Johnstone v Shebab</w:t>
      </w:r>
      <w:r w:rsidRPr="00207E27">
        <w:rPr>
          <w:rFonts w:ascii="Arial" w:hAnsi="Arial" w:cs="Arial"/>
        </w:rPr>
        <w:t xml:space="preserve"> 2022 (1) SACR 250 (GJ) </w:t>
      </w:r>
      <w:proofErr w:type="spellStart"/>
      <w:r w:rsidRPr="00207E27">
        <w:rPr>
          <w:rFonts w:ascii="Arial" w:hAnsi="Arial" w:cs="Arial"/>
        </w:rPr>
        <w:t>fn</w:t>
      </w:r>
      <w:proofErr w:type="spellEnd"/>
      <w:r w:rsidRPr="00207E27">
        <w:rPr>
          <w:rFonts w:ascii="Arial" w:hAnsi="Arial" w:cs="Arial"/>
        </w:rPr>
        <w:t xml:space="preserve"> 1.</w:t>
      </w:r>
    </w:p>
  </w:footnote>
  <w:footnote w:id="13">
    <w:p w14:paraId="6709D1FD"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R Francis-Subbiah </w:t>
      </w:r>
      <w:r w:rsidRPr="00207E27">
        <w:rPr>
          <w:rFonts w:ascii="Arial" w:hAnsi="Arial" w:cs="Arial"/>
          <w:i/>
        </w:rPr>
        <w:t>Taxation of Legal Costs in South Africa</w:t>
      </w:r>
      <w:r w:rsidRPr="00207E27">
        <w:rPr>
          <w:rFonts w:ascii="Arial" w:hAnsi="Arial" w:cs="Arial"/>
        </w:rPr>
        <w:t xml:space="preserve"> (2013) </w:t>
      </w:r>
      <w:r w:rsidRPr="00207E27">
        <w:rPr>
          <w:rFonts w:ascii="Arial" w:hAnsi="Arial" w:cs="Arial"/>
          <w:lang w:val="en-GB"/>
        </w:rPr>
        <w:t>at 291.</w:t>
      </w:r>
    </w:p>
  </w:footnote>
  <w:footnote w:id="14">
    <w:p w14:paraId="7EC9C0DB"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proofErr w:type="spellStart"/>
      <w:r w:rsidRPr="00207E27">
        <w:rPr>
          <w:rFonts w:ascii="Arial" w:hAnsi="Arial" w:cs="Arial"/>
          <w:i/>
        </w:rPr>
        <w:t>Ndzamela</w:t>
      </w:r>
      <w:proofErr w:type="spellEnd"/>
      <w:r w:rsidRPr="00207E27">
        <w:rPr>
          <w:rFonts w:ascii="Arial" w:hAnsi="Arial" w:cs="Arial"/>
          <w:bCs/>
          <w:i/>
        </w:rPr>
        <w:t> v Eastern Cape Development Corporation Ltd and another</w:t>
      </w:r>
      <w:r w:rsidRPr="00207E27">
        <w:rPr>
          <w:rFonts w:ascii="Arial" w:hAnsi="Arial" w:cs="Arial"/>
          <w:bCs/>
        </w:rPr>
        <w:t xml:space="preserve"> 2004 (6) SA 378 (</w:t>
      </w:r>
      <w:proofErr w:type="spellStart"/>
      <w:r w:rsidRPr="00207E27">
        <w:rPr>
          <w:rFonts w:ascii="Arial" w:hAnsi="Arial" w:cs="Arial"/>
          <w:bCs/>
        </w:rPr>
        <w:t>TkH</w:t>
      </w:r>
      <w:proofErr w:type="spellEnd"/>
      <w:r w:rsidRPr="00207E27">
        <w:rPr>
          <w:rFonts w:ascii="Arial" w:hAnsi="Arial" w:cs="Arial"/>
          <w:bCs/>
        </w:rPr>
        <w:t>) paras 19-22.</w:t>
      </w:r>
    </w:p>
  </w:footnote>
  <w:footnote w:id="15">
    <w:p w14:paraId="1CF88B9F"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rPr>
        <w:t>Cary v Cary Cape</w:t>
      </w:r>
      <w:r w:rsidRPr="00207E27">
        <w:rPr>
          <w:rFonts w:ascii="Arial" w:hAnsi="Arial" w:cs="Arial"/>
          <w:bCs/>
        </w:rPr>
        <w:t xml:space="preserve"> 2001 JDR 0864 (C) at 22.</w:t>
      </w:r>
    </w:p>
  </w:footnote>
  <w:footnote w:id="16">
    <w:p w14:paraId="06110232"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000000"/>
        </w:rPr>
        <w:t>Ben McDonald Inc and another v Rudolph and another</w:t>
      </w:r>
      <w:r w:rsidRPr="00207E27">
        <w:rPr>
          <w:rFonts w:ascii="Arial" w:hAnsi="Arial" w:cs="Arial"/>
          <w:bCs/>
          <w:color w:val="000000"/>
        </w:rPr>
        <w:t xml:space="preserve"> 1997 (4) SA 252 (T) at 258B</w:t>
      </w:r>
      <w:r w:rsidRPr="00207E27">
        <w:rPr>
          <w:rFonts w:ascii="Arial" w:hAnsi="Arial" w:cs="Arial"/>
          <w:lang w:val="en-GB"/>
        </w:rPr>
        <w:t>.</w:t>
      </w:r>
    </w:p>
  </w:footnote>
  <w:footnote w:id="17">
    <w:p w14:paraId="558DEAD1" w14:textId="768BE5C6"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proofErr w:type="spellStart"/>
      <w:r w:rsidRPr="00207E27">
        <w:rPr>
          <w:rFonts w:ascii="Arial" w:hAnsi="Arial" w:cs="Arial"/>
          <w:bCs/>
          <w:i/>
          <w:color w:val="000000"/>
        </w:rPr>
        <w:t>Brener</w:t>
      </w:r>
      <w:proofErr w:type="spellEnd"/>
      <w:r w:rsidRPr="00207E27">
        <w:rPr>
          <w:rFonts w:ascii="Arial" w:hAnsi="Arial" w:cs="Arial"/>
          <w:bCs/>
          <w:i/>
          <w:color w:val="000000"/>
        </w:rPr>
        <w:t xml:space="preserve"> NO v Sonnenberg, Murphy, Leo Burnett (Pty) Ltd (formerly D'Arcy </w:t>
      </w:r>
      <w:proofErr w:type="spellStart"/>
      <w:r w:rsidRPr="00207E27">
        <w:rPr>
          <w:rFonts w:ascii="Arial" w:hAnsi="Arial" w:cs="Arial"/>
          <w:bCs/>
          <w:i/>
          <w:color w:val="000000"/>
        </w:rPr>
        <w:t>Masins</w:t>
      </w:r>
      <w:proofErr w:type="spellEnd"/>
      <w:r w:rsidRPr="00207E27">
        <w:rPr>
          <w:rFonts w:ascii="Arial" w:hAnsi="Arial" w:cs="Arial"/>
          <w:bCs/>
          <w:i/>
          <w:color w:val="000000"/>
        </w:rPr>
        <w:t xml:space="preserve"> Benton &amp; Bowless SA (Pty) (Ltd)</w:t>
      </w:r>
      <w:r w:rsidRPr="00207E27">
        <w:rPr>
          <w:rFonts w:ascii="Arial" w:hAnsi="Arial" w:cs="Arial"/>
          <w:bCs/>
          <w:color w:val="000000"/>
        </w:rPr>
        <w:t xml:space="preserve"> 1999 (4) SA 503 (W) at 508B-F.</w:t>
      </w:r>
    </w:p>
  </w:footnote>
  <w:footnote w:id="18">
    <w:p w14:paraId="0F9017D8"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i/>
          <w:color w:val="000000"/>
          <w:shd w:val="clear" w:color="auto" w:fill="FFFFFF"/>
        </w:rPr>
        <w:t xml:space="preserve">Price Waterhouse </w:t>
      </w:r>
      <w:proofErr w:type="spellStart"/>
      <w:r w:rsidRPr="00207E27">
        <w:rPr>
          <w:rFonts w:ascii="Arial" w:hAnsi="Arial" w:cs="Arial"/>
          <w:i/>
          <w:color w:val="000000"/>
          <w:shd w:val="clear" w:color="auto" w:fill="FFFFFF"/>
        </w:rPr>
        <w:t>Meyernel</w:t>
      </w:r>
      <w:proofErr w:type="spellEnd"/>
      <w:r w:rsidRPr="00207E27">
        <w:rPr>
          <w:rFonts w:ascii="Arial" w:hAnsi="Arial" w:cs="Arial"/>
          <w:i/>
          <w:color w:val="000000"/>
          <w:shd w:val="clear" w:color="auto" w:fill="FFFFFF"/>
        </w:rPr>
        <w:t xml:space="preserve"> v Thoroughbred Breeders’ Association of South Africa</w:t>
      </w:r>
      <w:r w:rsidRPr="00207E27">
        <w:rPr>
          <w:rFonts w:ascii="Arial" w:hAnsi="Arial" w:cs="Arial"/>
          <w:color w:val="000000"/>
          <w:shd w:val="clear" w:color="auto" w:fill="FFFFFF"/>
        </w:rPr>
        <w:t xml:space="preserve"> 2003 (3) SA 54 (SCA).</w:t>
      </w:r>
    </w:p>
  </w:footnote>
  <w:footnote w:id="19">
    <w:p w14:paraId="25EF8393"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lang w:val="en-GB"/>
        </w:rPr>
        <w:t>Ibid para 18.</w:t>
      </w:r>
    </w:p>
  </w:footnote>
  <w:footnote w:id="20">
    <w:p w14:paraId="70976A87"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lang w:val="en-GB"/>
        </w:rPr>
        <w:t>Ibid para 21.</w:t>
      </w:r>
    </w:p>
  </w:footnote>
  <w:footnote w:id="21">
    <w:p w14:paraId="7BDEABDC"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DE van </w:t>
      </w:r>
      <w:proofErr w:type="spellStart"/>
      <w:r w:rsidRPr="00207E27">
        <w:rPr>
          <w:rFonts w:ascii="Arial" w:hAnsi="Arial" w:cs="Arial"/>
        </w:rPr>
        <w:t>Loggerenberg</w:t>
      </w:r>
      <w:proofErr w:type="spellEnd"/>
      <w:r w:rsidRPr="00207E27">
        <w:rPr>
          <w:rFonts w:ascii="Arial" w:hAnsi="Arial" w:cs="Arial"/>
        </w:rPr>
        <w:t xml:space="preserve"> and E Bertelsmann </w:t>
      </w:r>
      <w:r w:rsidRPr="00207E27">
        <w:rPr>
          <w:rFonts w:ascii="Arial" w:hAnsi="Arial" w:cs="Arial"/>
          <w:i/>
        </w:rPr>
        <w:t>Erasmus: Superior Court Practice</w:t>
      </w:r>
      <w:r w:rsidRPr="00207E27">
        <w:rPr>
          <w:rFonts w:ascii="Arial" w:hAnsi="Arial" w:cs="Arial"/>
        </w:rPr>
        <w:t xml:space="preserve"> (</w:t>
      </w:r>
      <w:r w:rsidRPr="00207E27">
        <w:rPr>
          <w:rFonts w:ascii="Arial" w:hAnsi="Arial" w:cs="Arial"/>
          <w:bCs/>
        </w:rPr>
        <w:t>RS 9, 2019) at D1-789.</w:t>
      </w:r>
    </w:p>
  </w:footnote>
  <w:footnote w:id="22">
    <w:p w14:paraId="421692FC" w14:textId="77777777" w:rsidR="00F863A0" w:rsidRPr="00207E27" w:rsidRDefault="00F863A0" w:rsidP="00207E27">
      <w:pPr>
        <w:contextualSpacing/>
        <w:jc w:val="both"/>
        <w:rPr>
          <w:rFonts w:ascii="Arial" w:hAnsi="Arial" w:cs="Arial"/>
          <w:sz w:val="20"/>
          <w:szCs w:val="20"/>
          <w:lang w:val="en-GB"/>
        </w:rPr>
      </w:pPr>
      <w:r w:rsidRPr="00207E27">
        <w:rPr>
          <w:rStyle w:val="FootnoteReference"/>
          <w:rFonts w:ascii="Arial" w:hAnsi="Arial" w:cs="Arial"/>
          <w:sz w:val="20"/>
          <w:szCs w:val="20"/>
        </w:rPr>
        <w:footnoteRef/>
      </w:r>
      <w:r w:rsidRPr="00207E27">
        <w:rPr>
          <w:rFonts w:ascii="Arial" w:hAnsi="Arial" w:cs="Arial"/>
          <w:sz w:val="20"/>
          <w:szCs w:val="20"/>
        </w:rPr>
        <w:t xml:space="preserve"> </w:t>
      </w:r>
      <w:r w:rsidRPr="00207E27">
        <w:rPr>
          <w:rFonts w:ascii="Arial" w:hAnsi="Arial" w:cs="Arial"/>
          <w:bCs/>
          <w:i/>
          <w:color w:val="000000"/>
          <w:sz w:val="20"/>
          <w:szCs w:val="20"/>
        </w:rPr>
        <w:t>City Deep Ltd v Johannesburg City Council</w:t>
      </w:r>
      <w:r w:rsidRPr="00207E27">
        <w:rPr>
          <w:rFonts w:ascii="Arial" w:hAnsi="Arial" w:cs="Arial"/>
          <w:bCs/>
          <w:color w:val="000000"/>
          <w:sz w:val="20"/>
          <w:szCs w:val="20"/>
        </w:rPr>
        <w:t xml:space="preserve"> 1973 (2) SA 109 (W) and </w:t>
      </w:r>
      <w:r w:rsidRPr="00207E27">
        <w:rPr>
          <w:rFonts w:ascii="Arial" w:eastAsia="Calibri" w:hAnsi="Arial" w:cs="Arial"/>
          <w:bCs/>
          <w:i/>
          <w:color w:val="000000"/>
          <w:sz w:val="20"/>
          <w:szCs w:val="20"/>
        </w:rPr>
        <w:t>Van der Westhuizen v Gibbon and another</w:t>
      </w:r>
      <w:r w:rsidRPr="00207E27">
        <w:rPr>
          <w:rFonts w:ascii="Arial" w:eastAsia="Calibri" w:hAnsi="Arial" w:cs="Arial"/>
          <w:bCs/>
          <w:color w:val="000000"/>
          <w:sz w:val="20"/>
          <w:szCs w:val="20"/>
        </w:rPr>
        <w:t xml:space="preserve"> 1983 (1) SA 95 (O).</w:t>
      </w:r>
    </w:p>
  </w:footnote>
  <w:footnote w:id="23">
    <w:p w14:paraId="06A28FA7" w14:textId="6B69077D"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i/>
        </w:rPr>
        <w:t>R H Christie Incorporated</w:t>
      </w:r>
      <w:r w:rsidRPr="00207E27">
        <w:rPr>
          <w:rFonts w:ascii="Arial" w:hAnsi="Arial" w:cs="Arial"/>
        </w:rPr>
        <w:t xml:space="preserve"> </w:t>
      </w:r>
      <w:r w:rsidR="004C6E42" w:rsidRPr="00207E27">
        <w:rPr>
          <w:rFonts w:ascii="Arial" w:hAnsi="Arial" w:cs="Arial"/>
          <w:i/>
        </w:rPr>
        <w:t xml:space="preserve">v Taxing Master – Supreme Court of </w:t>
      </w:r>
      <w:proofErr w:type="gramStart"/>
      <w:r w:rsidR="004C6E42" w:rsidRPr="00207E27">
        <w:rPr>
          <w:rFonts w:ascii="Arial" w:hAnsi="Arial" w:cs="Arial"/>
          <w:i/>
        </w:rPr>
        <w:t>Appeal</w:t>
      </w:r>
      <w:r w:rsidR="004C6E42" w:rsidRPr="00207E27">
        <w:rPr>
          <w:rFonts w:ascii="Arial" w:hAnsi="Arial" w:cs="Arial"/>
        </w:rPr>
        <w:t xml:space="preserve">  [</w:t>
      </w:r>
      <w:proofErr w:type="gramEnd"/>
      <w:r w:rsidR="004C6E42" w:rsidRPr="00207E27">
        <w:rPr>
          <w:rFonts w:ascii="Arial" w:hAnsi="Arial" w:cs="Arial"/>
        </w:rPr>
        <w:t xml:space="preserve">2021] ZASCA 152 </w:t>
      </w:r>
      <w:r w:rsidRPr="00207E27">
        <w:rPr>
          <w:rFonts w:ascii="Arial" w:eastAsia="Calibri" w:hAnsi="Arial" w:cs="Arial"/>
          <w:color w:val="000000"/>
        </w:rPr>
        <w:t>para 56.</w:t>
      </w:r>
    </w:p>
  </w:footnote>
  <w:footnote w:id="24">
    <w:p w14:paraId="256DC08D"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Ibid.</w:t>
      </w:r>
    </w:p>
  </w:footnote>
  <w:footnote w:id="25">
    <w:p w14:paraId="7E80B49D"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000000"/>
        </w:rPr>
        <w:t>Hills and others v Taxing Master and another</w:t>
      </w:r>
      <w:r w:rsidRPr="00207E27">
        <w:rPr>
          <w:rFonts w:ascii="Arial" w:hAnsi="Arial" w:cs="Arial"/>
          <w:bCs/>
          <w:color w:val="000000"/>
        </w:rPr>
        <w:t xml:space="preserve"> 1975 (1) SA 856 (D) at 865A-B.</w:t>
      </w:r>
    </w:p>
  </w:footnote>
  <w:footnote w:id="26">
    <w:p w14:paraId="2A9DF19C" w14:textId="44E2BC49"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AC </w:t>
      </w:r>
      <w:proofErr w:type="spellStart"/>
      <w:r w:rsidRPr="00207E27">
        <w:rPr>
          <w:rFonts w:ascii="Arial" w:hAnsi="Arial" w:cs="Arial"/>
        </w:rPr>
        <w:t>Cilliers</w:t>
      </w:r>
      <w:proofErr w:type="spellEnd"/>
      <w:r w:rsidRPr="00207E27">
        <w:rPr>
          <w:rFonts w:ascii="Arial" w:hAnsi="Arial" w:cs="Arial"/>
        </w:rPr>
        <w:t xml:space="preserve"> </w:t>
      </w:r>
      <w:r w:rsidRPr="00207E27">
        <w:rPr>
          <w:rFonts w:ascii="Arial" w:hAnsi="Arial" w:cs="Arial"/>
          <w:i/>
        </w:rPr>
        <w:t>Law of Costs</w:t>
      </w:r>
      <w:r w:rsidRPr="00207E27">
        <w:rPr>
          <w:rFonts w:ascii="Arial" w:hAnsi="Arial" w:cs="Arial"/>
        </w:rPr>
        <w:t xml:space="preserve"> (</w:t>
      </w:r>
      <w:r w:rsidR="00B74CF9" w:rsidRPr="00207E27">
        <w:rPr>
          <w:rFonts w:ascii="Arial" w:hAnsi="Arial" w:cs="Arial"/>
        </w:rPr>
        <w:t xml:space="preserve">October </w:t>
      </w:r>
      <w:r w:rsidRPr="00207E27">
        <w:rPr>
          <w:rFonts w:ascii="Arial" w:hAnsi="Arial" w:cs="Arial"/>
        </w:rPr>
        <w:t>2022 - SI 4</w:t>
      </w:r>
      <w:r w:rsidR="00B74CF9" w:rsidRPr="00207E27">
        <w:rPr>
          <w:rFonts w:ascii="Arial" w:hAnsi="Arial" w:cs="Arial"/>
        </w:rPr>
        <w:t>6</w:t>
      </w:r>
      <w:r w:rsidRPr="00207E27">
        <w:rPr>
          <w:rFonts w:ascii="Arial" w:hAnsi="Arial" w:cs="Arial"/>
        </w:rPr>
        <w:t>) para 13.17.</w:t>
      </w:r>
    </w:p>
  </w:footnote>
  <w:footnote w:id="27">
    <w:p w14:paraId="084AA9D8"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000000"/>
        </w:rPr>
        <w:t xml:space="preserve">Upfold v </w:t>
      </w:r>
      <w:proofErr w:type="spellStart"/>
      <w:r w:rsidRPr="00207E27">
        <w:rPr>
          <w:rFonts w:ascii="Arial" w:hAnsi="Arial" w:cs="Arial"/>
          <w:bCs/>
          <w:i/>
          <w:color w:val="000000"/>
        </w:rPr>
        <w:t>Maingard</w:t>
      </w:r>
      <w:proofErr w:type="spellEnd"/>
      <w:r w:rsidRPr="00207E27">
        <w:rPr>
          <w:rFonts w:ascii="Arial" w:hAnsi="Arial" w:cs="Arial"/>
          <w:bCs/>
          <w:i/>
          <w:color w:val="000000"/>
        </w:rPr>
        <w:t xml:space="preserve"> and another</w:t>
      </w:r>
      <w:r w:rsidRPr="00207E27">
        <w:rPr>
          <w:rFonts w:ascii="Arial" w:hAnsi="Arial" w:cs="Arial"/>
          <w:bCs/>
          <w:color w:val="000000"/>
        </w:rPr>
        <w:t xml:space="preserve"> 1960 (1) SA 561 (N).</w:t>
      </w:r>
    </w:p>
  </w:footnote>
  <w:footnote w:id="28">
    <w:p w14:paraId="3362717A"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000000"/>
        </w:rPr>
        <w:t xml:space="preserve">Groenewald v </w:t>
      </w:r>
      <w:proofErr w:type="spellStart"/>
      <w:r w:rsidRPr="00207E27">
        <w:rPr>
          <w:rFonts w:ascii="Arial" w:hAnsi="Arial" w:cs="Arial"/>
          <w:bCs/>
          <w:i/>
          <w:color w:val="000000"/>
        </w:rPr>
        <w:t>Selford</w:t>
      </w:r>
      <w:proofErr w:type="spellEnd"/>
      <w:r w:rsidRPr="00207E27">
        <w:rPr>
          <w:rFonts w:ascii="Arial" w:hAnsi="Arial" w:cs="Arial"/>
          <w:bCs/>
          <w:i/>
          <w:color w:val="000000"/>
        </w:rPr>
        <w:t xml:space="preserve"> Motors (</w:t>
      </w:r>
      <w:proofErr w:type="spellStart"/>
      <w:r w:rsidRPr="00207E27">
        <w:rPr>
          <w:rFonts w:ascii="Arial" w:hAnsi="Arial" w:cs="Arial"/>
          <w:bCs/>
          <w:i/>
          <w:color w:val="000000"/>
        </w:rPr>
        <w:t>Edms</w:t>
      </w:r>
      <w:proofErr w:type="spellEnd"/>
      <w:r w:rsidRPr="00207E27">
        <w:rPr>
          <w:rFonts w:ascii="Arial" w:hAnsi="Arial" w:cs="Arial"/>
          <w:bCs/>
          <w:i/>
          <w:color w:val="000000"/>
        </w:rPr>
        <w:t xml:space="preserve">) </w:t>
      </w:r>
      <w:proofErr w:type="spellStart"/>
      <w:r w:rsidRPr="00207E27">
        <w:rPr>
          <w:rFonts w:ascii="Arial" w:hAnsi="Arial" w:cs="Arial"/>
          <w:bCs/>
          <w:i/>
          <w:color w:val="000000"/>
        </w:rPr>
        <w:t>Bpk</w:t>
      </w:r>
      <w:proofErr w:type="spellEnd"/>
      <w:r w:rsidRPr="00207E27">
        <w:rPr>
          <w:rFonts w:ascii="Arial" w:hAnsi="Arial" w:cs="Arial"/>
          <w:bCs/>
          <w:color w:val="000000"/>
        </w:rPr>
        <w:t xml:space="preserve"> 1971 (3) SA 677 (C) </w:t>
      </w:r>
      <w:r w:rsidRPr="00207E27">
        <w:rPr>
          <w:rFonts w:ascii="Arial" w:hAnsi="Arial" w:cs="Arial"/>
          <w:color w:val="000000"/>
        </w:rPr>
        <w:t>at 682H-683A.</w:t>
      </w:r>
    </w:p>
  </w:footnote>
  <w:footnote w:id="29">
    <w:p w14:paraId="62A81D06" w14:textId="572AE34B"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i/>
          <w:lang w:val="en-GB"/>
        </w:rPr>
        <w:t>R</w:t>
      </w:r>
      <w:r w:rsidR="004C6E42" w:rsidRPr="00207E27">
        <w:rPr>
          <w:rFonts w:ascii="Arial" w:hAnsi="Arial" w:cs="Arial"/>
          <w:i/>
          <w:lang w:val="en-GB"/>
        </w:rPr>
        <w:t xml:space="preserve"> </w:t>
      </w:r>
      <w:r w:rsidRPr="00207E27">
        <w:rPr>
          <w:rFonts w:ascii="Arial" w:hAnsi="Arial" w:cs="Arial"/>
          <w:i/>
          <w:lang w:val="en-GB"/>
        </w:rPr>
        <w:t>H Christie Incorporated</w:t>
      </w:r>
      <w:r w:rsidRPr="00207E27">
        <w:rPr>
          <w:rFonts w:ascii="Arial" w:hAnsi="Arial" w:cs="Arial"/>
          <w:lang w:val="en-GB"/>
        </w:rPr>
        <w:t xml:space="preserve"> </w:t>
      </w:r>
      <w:r w:rsidR="004C6E42" w:rsidRPr="00207E27">
        <w:rPr>
          <w:rFonts w:ascii="Arial" w:hAnsi="Arial" w:cs="Arial"/>
          <w:i/>
        </w:rPr>
        <w:t xml:space="preserve">v Taxing Master – Supreme Court of </w:t>
      </w:r>
      <w:proofErr w:type="gramStart"/>
      <w:r w:rsidR="004C6E42" w:rsidRPr="00207E27">
        <w:rPr>
          <w:rFonts w:ascii="Arial" w:hAnsi="Arial" w:cs="Arial"/>
          <w:i/>
        </w:rPr>
        <w:t>Appeal</w:t>
      </w:r>
      <w:r w:rsidR="004C6E42" w:rsidRPr="00207E27">
        <w:rPr>
          <w:rFonts w:ascii="Arial" w:hAnsi="Arial" w:cs="Arial"/>
        </w:rPr>
        <w:t xml:space="preserve">  [</w:t>
      </w:r>
      <w:proofErr w:type="gramEnd"/>
      <w:r w:rsidR="004C6E42" w:rsidRPr="00207E27">
        <w:rPr>
          <w:rFonts w:ascii="Arial" w:hAnsi="Arial" w:cs="Arial"/>
        </w:rPr>
        <w:t xml:space="preserve">2021] ZASCA 152 </w:t>
      </w:r>
      <w:r w:rsidRPr="00207E27">
        <w:rPr>
          <w:rFonts w:ascii="Arial" w:hAnsi="Arial" w:cs="Arial"/>
          <w:lang w:val="en-GB"/>
        </w:rPr>
        <w:t>para 56.</w:t>
      </w:r>
    </w:p>
  </w:footnote>
  <w:footnote w:id="30">
    <w:p w14:paraId="666E68DC" w14:textId="77777777"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proofErr w:type="spellStart"/>
      <w:r w:rsidRPr="00207E27">
        <w:rPr>
          <w:rFonts w:ascii="Arial" w:hAnsi="Arial" w:cs="Arial"/>
          <w:i/>
          <w:color w:val="242121"/>
          <w:shd w:val="clear" w:color="auto" w:fill="FFFFFF"/>
        </w:rPr>
        <w:t>Maasdorp</w:t>
      </w:r>
      <w:proofErr w:type="spellEnd"/>
      <w:r w:rsidRPr="00207E27">
        <w:rPr>
          <w:rFonts w:ascii="Arial" w:hAnsi="Arial" w:cs="Arial"/>
          <w:i/>
          <w:color w:val="242121"/>
          <w:shd w:val="clear" w:color="auto" w:fill="FFFFFF"/>
        </w:rPr>
        <w:t xml:space="preserve"> and Smit v Sullivan</w:t>
      </w:r>
      <w:r w:rsidRPr="00207E27">
        <w:rPr>
          <w:rFonts w:ascii="Arial" w:hAnsi="Arial" w:cs="Arial"/>
          <w:color w:val="242121"/>
          <w:shd w:val="clear" w:color="auto" w:fill="FFFFFF"/>
        </w:rPr>
        <w:t xml:space="preserve"> 1964 (4) SA 2 (E) at 2H-3A.</w:t>
      </w:r>
    </w:p>
  </w:footnote>
  <w:footnote w:id="31">
    <w:p w14:paraId="34B9BF87" w14:textId="773AB78D" w:rsidR="000F4F29" w:rsidRPr="00207E27" w:rsidRDefault="000F4F29" w:rsidP="00207E27">
      <w:pPr>
        <w:pStyle w:val="FootnoteText"/>
        <w:jc w:val="both"/>
        <w:rPr>
          <w:rFonts w:ascii="Arial" w:hAnsi="Arial" w:cs="Arial"/>
          <w:lang w:val="en-GB"/>
        </w:rPr>
      </w:pPr>
      <w:r w:rsidRPr="00207E27">
        <w:rPr>
          <w:rStyle w:val="FootnoteReference"/>
          <w:rFonts w:ascii="Arial" w:hAnsi="Arial" w:cs="Arial"/>
        </w:rPr>
        <w:footnoteRef/>
      </w:r>
      <w:r w:rsidRPr="00207E27">
        <w:rPr>
          <w:rFonts w:ascii="Arial" w:hAnsi="Arial" w:cs="Arial"/>
        </w:rPr>
        <w:t xml:space="preserve"> </w:t>
      </w:r>
      <w:r w:rsidRPr="00207E27">
        <w:rPr>
          <w:rFonts w:ascii="Arial" w:hAnsi="Arial" w:cs="Arial"/>
          <w:bCs/>
          <w:i/>
          <w:color w:val="000000"/>
        </w:rPr>
        <w:t>Cambridge Plan AG v Cambridge Diet (Pty) Ltd and others</w:t>
      </w:r>
      <w:r w:rsidRPr="00207E27">
        <w:rPr>
          <w:rFonts w:ascii="Arial" w:hAnsi="Arial" w:cs="Arial"/>
          <w:bCs/>
          <w:color w:val="000000"/>
        </w:rPr>
        <w:t> 1990 (2) SA 574 (T)</w:t>
      </w:r>
      <w:r w:rsidRPr="00207E27">
        <w:rPr>
          <w:rFonts w:ascii="Arial" w:hAnsi="Arial" w:cs="Arial"/>
          <w:b/>
          <w:bCs/>
          <w:color w:val="000000"/>
        </w:rPr>
        <w:t> </w:t>
      </w:r>
      <w:r w:rsidRPr="00207E27">
        <w:rPr>
          <w:rFonts w:ascii="Arial" w:hAnsi="Arial" w:cs="Arial"/>
          <w:color w:val="000000"/>
        </w:rPr>
        <w:t>at 600A-E.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D52B" w14:textId="473A4862" w:rsidR="00C65F78" w:rsidRDefault="00C47B49">
    <w:pPr>
      <w:pBdr>
        <w:top w:val="nil"/>
        <w:left w:val="nil"/>
        <w:bottom w:val="nil"/>
        <w:right w:val="nil"/>
        <w:between w:val="nil"/>
      </w:pBdr>
      <w:tabs>
        <w:tab w:val="center" w:pos="4153"/>
        <w:tab w:val="right" w:pos="8306"/>
      </w:tabs>
      <w:jc w:val="right"/>
      <w:rPr>
        <w:color w:val="000000"/>
        <w:sz w:val="28"/>
        <w:szCs w:val="28"/>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B68A3">
      <w:rPr>
        <w:rFonts w:ascii="Arial" w:eastAsia="Arial" w:hAnsi="Arial" w:cs="Arial"/>
        <w:noProof/>
        <w:color w:val="000000"/>
      </w:rPr>
      <w:t>2</w:t>
    </w:r>
    <w:r>
      <w:rPr>
        <w:rFonts w:ascii="Arial" w:eastAsia="Arial" w:hAnsi="Arial" w:cs="Arial"/>
        <w:color w:val="000000"/>
      </w:rPr>
      <w:fldChar w:fldCharType="end"/>
    </w:r>
  </w:p>
  <w:p w14:paraId="4E73972E" w14:textId="77777777" w:rsidR="00C65F78" w:rsidRDefault="00C65F78">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A98E" w14:textId="501ECE1E" w:rsidR="0006737E" w:rsidRDefault="0006737E" w:rsidP="0006737E">
    <w:pPr>
      <w:pStyle w:val="Header"/>
      <w:tabs>
        <w:tab w:val="clear" w:pos="4680"/>
        <w:tab w:val="clear" w:pos="9360"/>
        <w:tab w:val="left" w:pos="8070"/>
      </w:tabs>
    </w:pPr>
    <w:r>
      <w:t xml:space="preserve">                                                                                                                            REPORTABLE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78"/>
    <w:rsid w:val="00043341"/>
    <w:rsid w:val="0006737E"/>
    <w:rsid w:val="000F4F29"/>
    <w:rsid w:val="000F682E"/>
    <w:rsid w:val="001050E0"/>
    <w:rsid w:val="001373F9"/>
    <w:rsid w:val="001405E7"/>
    <w:rsid w:val="00143E01"/>
    <w:rsid w:val="0014471D"/>
    <w:rsid w:val="001977A0"/>
    <w:rsid w:val="001F1633"/>
    <w:rsid w:val="00207E27"/>
    <w:rsid w:val="00225057"/>
    <w:rsid w:val="002349A4"/>
    <w:rsid w:val="002A2EC5"/>
    <w:rsid w:val="0037050A"/>
    <w:rsid w:val="00437235"/>
    <w:rsid w:val="00485BE5"/>
    <w:rsid w:val="004C3634"/>
    <w:rsid w:val="004C6E42"/>
    <w:rsid w:val="004D4896"/>
    <w:rsid w:val="004E7797"/>
    <w:rsid w:val="00503308"/>
    <w:rsid w:val="00531E74"/>
    <w:rsid w:val="005C725E"/>
    <w:rsid w:val="005D0C1E"/>
    <w:rsid w:val="005E5202"/>
    <w:rsid w:val="006454DE"/>
    <w:rsid w:val="00664E56"/>
    <w:rsid w:val="00665FDB"/>
    <w:rsid w:val="006740EF"/>
    <w:rsid w:val="006A3121"/>
    <w:rsid w:val="006F7B0E"/>
    <w:rsid w:val="00704542"/>
    <w:rsid w:val="0074183A"/>
    <w:rsid w:val="007551F2"/>
    <w:rsid w:val="007664BD"/>
    <w:rsid w:val="007B2DAE"/>
    <w:rsid w:val="007E0D37"/>
    <w:rsid w:val="00833AC2"/>
    <w:rsid w:val="00854E82"/>
    <w:rsid w:val="00862CEA"/>
    <w:rsid w:val="00864E30"/>
    <w:rsid w:val="008943BF"/>
    <w:rsid w:val="008A3178"/>
    <w:rsid w:val="008B5BC2"/>
    <w:rsid w:val="008C4806"/>
    <w:rsid w:val="008E4E04"/>
    <w:rsid w:val="00906CBB"/>
    <w:rsid w:val="00913A1C"/>
    <w:rsid w:val="00920049"/>
    <w:rsid w:val="009425B5"/>
    <w:rsid w:val="009903D0"/>
    <w:rsid w:val="009A767F"/>
    <w:rsid w:val="009F451D"/>
    <w:rsid w:val="00A0142E"/>
    <w:rsid w:val="00A12F51"/>
    <w:rsid w:val="00A232DC"/>
    <w:rsid w:val="00A42455"/>
    <w:rsid w:val="00A4383B"/>
    <w:rsid w:val="00A4695E"/>
    <w:rsid w:val="00A57578"/>
    <w:rsid w:val="00A801EB"/>
    <w:rsid w:val="00A87268"/>
    <w:rsid w:val="00AA4A30"/>
    <w:rsid w:val="00B33454"/>
    <w:rsid w:val="00B47ABC"/>
    <w:rsid w:val="00B74CF9"/>
    <w:rsid w:val="00BA0DA4"/>
    <w:rsid w:val="00BB68A3"/>
    <w:rsid w:val="00BD2D51"/>
    <w:rsid w:val="00BE4CAB"/>
    <w:rsid w:val="00C368AB"/>
    <w:rsid w:val="00C47B49"/>
    <w:rsid w:val="00C65F78"/>
    <w:rsid w:val="00C77DA2"/>
    <w:rsid w:val="00C86BFB"/>
    <w:rsid w:val="00CB1C5E"/>
    <w:rsid w:val="00CF05D3"/>
    <w:rsid w:val="00CF0F4F"/>
    <w:rsid w:val="00D24AE1"/>
    <w:rsid w:val="00D536B2"/>
    <w:rsid w:val="00D956A9"/>
    <w:rsid w:val="00DB1C18"/>
    <w:rsid w:val="00DF1B5B"/>
    <w:rsid w:val="00E43588"/>
    <w:rsid w:val="00E744A0"/>
    <w:rsid w:val="00E804A5"/>
    <w:rsid w:val="00EA5058"/>
    <w:rsid w:val="00EF2485"/>
    <w:rsid w:val="00F3427C"/>
    <w:rsid w:val="00F65C22"/>
    <w:rsid w:val="00F72927"/>
    <w:rsid w:val="00F863A0"/>
    <w:rsid w:val="00FB0695"/>
    <w:rsid w:val="00FC22FA"/>
    <w:rsid w:val="00FE69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237B"/>
  <w15:docId w15:val="{FB00187C-45C7-4D6D-97BC-DA06E1D5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5BE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6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DB"/>
    <w:rPr>
      <w:rFonts w:ascii="Segoe UI" w:hAnsi="Segoe UI" w:cs="Segoe UI"/>
      <w:sz w:val="18"/>
      <w:szCs w:val="18"/>
    </w:rPr>
  </w:style>
  <w:style w:type="paragraph" w:styleId="FootnoteText">
    <w:name w:val="footnote text"/>
    <w:basedOn w:val="Normal"/>
    <w:link w:val="FootnoteTextChar"/>
    <w:uiPriority w:val="99"/>
    <w:semiHidden/>
    <w:unhideWhenUsed/>
    <w:rsid w:val="002A2EC5"/>
    <w:rPr>
      <w:sz w:val="20"/>
      <w:szCs w:val="20"/>
    </w:rPr>
  </w:style>
  <w:style w:type="character" w:customStyle="1" w:styleId="FootnoteTextChar">
    <w:name w:val="Footnote Text Char"/>
    <w:basedOn w:val="DefaultParagraphFont"/>
    <w:link w:val="FootnoteText"/>
    <w:uiPriority w:val="99"/>
    <w:semiHidden/>
    <w:rsid w:val="002A2EC5"/>
    <w:rPr>
      <w:sz w:val="20"/>
      <w:szCs w:val="20"/>
    </w:rPr>
  </w:style>
  <w:style w:type="character" w:styleId="FootnoteReference">
    <w:name w:val="footnote reference"/>
    <w:basedOn w:val="DefaultParagraphFont"/>
    <w:uiPriority w:val="99"/>
    <w:semiHidden/>
    <w:unhideWhenUsed/>
    <w:rsid w:val="002A2EC5"/>
    <w:rPr>
      <w:vertAlign w:val="superscript"/>
    </w:rPr>
  </w:style>
  <w:style w:type="paragraph" w:styleId="CommentSubject">
    <w:name w:val="annotation subject"/>
    <w:basedOn w:val="CommentText"/>
    <w:next w:val="CommentText"/>
    <w:link w:val="CommentSubjectChar"/>
    <w:uiPriority w:val="99"/>
    <w:semiHidden/>
    <w:unhideWhenUsed/>
    <w:rsid w:val="00B33454"/>
    <w:rPr>
      <w:b/>
      <w:bCs/>
    </w:rPr>
  </w:style>
  <w:style w:type="character" w:customStyle="1" w:styleId="CommentSubjectChar">
    <w:name w:val="Comment Subject Char"/>
    <w:basedOn w:val="CommentTextChar"/>
    <w:link w:val="CommentSubject"/>
    <w:uiPriority w:val="99"/>
    <w:semiHidden/>
    <w:rsid w:val="00B33454"/>
    <w:rPr>
      <w:b/>
      <w:bCs/>
      <w:sz w:val="20"/>
      <w:szCs w:val="20"/>
    </w:rPr>
  </w:style>
  <w:style w:type="paragraph" w:styleId="Revision">
    <w:name w:val="Revision"/>
    <w:hidden/>
    <w:uiPriority w:val="99"/>
    <w:semiHidden/>
    <w:rsid w:val="006A3121"/>
  </w:style>
  <w:style w:type="paragraph" w:styleId="ListParagraph">
    <w:name w:val="List Paragraph"/>
    <w:basedOn w:val="Normal"/>
    <w:uiPriority w:val="34"/>
    <w:qFormat/>
    <w:rsid w:val="00485BE5"/>
    <w:pPr>
      <w:ind w:left="720"/>
      <w:contextualSpacing/>
    </w:pPr>
  </w:style>
  <w:style w:type="paragraph" w:styleId="Header">
    <w:name w:val="header"/>
    <w:basedOn w:val="Normal"/>
    <w:link w:val="HeaderChar"/>
    <w:uiPriority w:val="99"/>
    <w:unhideWhenUsed/>
    <w:rsid w:val="0006737E"/>
    <w:pPr>
      <w:tabs>
        <w:tab w:val="center" w:pos="4680"/>
        <w:tab w:val="right" w:pos="9360"/>
      </w:tabs>
    </w:pPr>
  </w:style>
  <w:style w:type="character" w:customStyle="1" w:styleId="HeaderChar">
    <w:name w:val="Header Char"/>
    <w:basedOn w:val="DefaultParagraphFont"/>
    <w:link w:val="Header"/>
    <w:uiPriority w:val="99"/>
    <w:rsid w:val="0006737E"/>
  </w:style>
  <w:style w:type="paragraph" w:styleId="Footer">
    <w:name w:val="footer"/>
    <w:basedOn w:val="Normal"/>
    <w:link w:val="FooterChar"/>
    <w:uiPriority w:val="99"/>
    <w:unhideWhenUsed/>
    <w:rsid w:val="0006737E"/>
    <w:pPr>
      <w:tabs>
        <w:tab w:val="center" w:pos="4680"/>
        <w:tab w:val="right" w:pos="9360"/>
      </w:tabs>
    </w:pPr>
  </w:style>
  <w:style w:type="character" w:customStyle="1" w:styleId="FooterChar">
    <w:name w:val="Footer Char"/>
    <w:basedOn w:val="DefaultParagraphFont"/>
    <w:link w:val="Footer"/>
    <w:uiPriority w:val="99"/>
    <w:rsid w:val="0006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77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0451C-02B3-4AD8-9892-4DFF629C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5033</Words>
  <Characters>28690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Govender</dc:creator>
  <cp:lastModifiedBy>Thandeka Lushaba</cp:lastModifiedBy>
  <cp:revision>3</cp:revision>
  <cp:lastPrinted>2022-11-29T10:35:00Z</cp:lastPrinted>
  <dcterms:created xsi:type="dcterms:W3CDTF">2022-11-29T10:36:00Z</dcterms:created>
  <dcterms:modified xsi:type="dcterms:W3CDTF">2022-11-30T09:48:00Z</dcterms:modified>
</cp:coreProperties>
</file>