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C1" w:rsidRDefault="009720C1" w:rsidP="008F0BBA">
      <w:pPr>
        <w:spacing w:after="0" w:line="360" w:lineRule="auto"/>
        <w:contextualSpacing/>
        <w:jc w:val="center"/>
        <w:rPr>
          <w:rFonts w:ascii="Arial" w:eastAsia="Calibri" w:hAnsi="Arial" w:cs="Arial"/>
          <w:b/>
          <w:sz w:val="24"/>
          <w:szCs w:val="24"/>
          <w:lang w:val="en-GB"/>
        </w:rPr>
      </w:pPr>
      <w:r w:rsidRPr="0087455A">
        <w:rPr>
          <w:rFonts w:ascii="Arial" w:eastAsia="Calibri" w:hAnsi="Arial" w:cs="Arial"/>
          <w:noProof/>
          <w:sz w:val="28"/>
          <w:szCs w:val="28"/>
        </w:rPr>
        <w:drawing>
          <wp:inline distT="0" distB="0" distL="0" distR="0" wp14:anchorId="3EA95A84" wp14:editId="02023F57">
            <wp:extent cx="1038225" cy="101929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4" cy="1021170"/>
                    </a:xfrm>
                    <a:prstGeom prst="rect">
                      <a:avLst/>
                    </a:prstGeom>
                    <a:noFill/>
                    <a:ln>
                      <a:noFill/>
                    </a:ln>
                  </pic:spPr>
                </pic:pic>
              </a:graphicData>
            </a:graphic>
          </wp:inline>
        </w:drawing>
      </w:r>
    </w:p>
    <w:p w:rsidR="00672062" w:rsidRPr="0087455A" w:rsidRDefault="00672062" w:rsidP="00672062">
      <w:pPr>
        <w:spacing w:after="0" w:line="360" w:lineRule="auto"/>
        <w:contextualSpacing/>
        <w:jc w:val="right"/>
        <w:rPr>
          <w:rFonts w:ascii="Arial" w:eastAsia="Calibri" w:hAnsi="Arial" w:cs="Arial"/>
          <w:b/>
          <w:sz w:val="24"/>
          <w:szCs w:val="24"/>
          <w:lang w:val="en-GB"/>
        </w:rPr>
      </w:pPr>
      <w:r>
        <w:rPr>
          <w:rFonts w:ascii="Arial" w:eastAsia="Calibri" w:hAnsi="Arial" w:cs="Arial"/>
          <w:b/>
          <w:sz w:val="24"/>
          <w:szCs w:val="24"/>
          <w:lang w:val="en-GB"/>
        </w:rPr>
        <w:t>REPORTABLE</w:t>
      </w:r>
    </w:p>
    <w:p w:rsidR="009720C1" w:rsidRPr="008F0DC5" w:rsidRDefault="009720C1" w:rsidP="008F0BBA">
      <w:pPr>
        <w:spacing w:after="0" w:line="360" w:lineRule="auto"/>
        <w:contextualSpacing/>
        <w:jc w:val="center"/>
        <w:rPr>
          <w:rFonts w:ascii="Arial" w:eastAsia="Calibri" w:hAnsi="Arial" w:cs="Arial"/>
          <w:b/>
          <w:sz w:val="24"/>
          <w:szCs w:val="24"/>
          <w:lang w:val="en-GB"/>
        </w:rPr>
      </w:pPr>
      <w:r w:rsidRPr="008F0DC5">
        <w:rPr>
          <w:rFonts w:ascii="Arial" w:eastAsia="Calibri" w:hAnsi="Arial" w:cs="Arial"/>
          <w:b/>
          <w:sz w:val="24"/>
          <w:szCs w:val="24"/>
          <w:lang w:val="en-GB"/>
        </w:rPr>
        <w:t>IN THE HIGH COURT OF SOUTH AFRICA</w:t>
      </w:r>
    </w:p>
    <w:p w:rsidR="009720C1" w:rsidRPr="008F0DC5" w:rsidRDefault="009720C1" w:rsidP="008F0BBA">
      <w:pPr>
        <w:spacing w:after="0" w:line="360" w:lineRule="auto"/>
        <w:contextualSpacing/>
        <w:jc w:val="center"/>
        <w:rPr>
          <w:rFonts w:ascii="Arial" w:eastAsia="Calibri" w:hAnsi="Arial" w:cs="Arial"/>
          <w:b/>
          <w:sz w:val="24"/>
          <w:szCs w:val="24"/>
          <w:lang w:val="en-GB"/>
        </w:rPr>
      </w:pPr>
      <w:r w:rsidRPr="008F0DC5">
        <w:rPr>
          <w:rFonts w:ascii="Arial" w:eastAsia="Calibri" w:hAnsi="Arial" w:cs="Arial"/>
          <w:b/>
          <w:sz w:val="24"/>
          <w:szCs w:val="24"/>
          <w:lang w:val="en-GB"/>
        </w:rPr>
        <w:t>KWAZULU-NATAL DIVISION, PIETERMARITZBURG</w:t>
      </w:r>
    </w:p>
    <w:p w:rsidR="009720C1" w:rsidRPr="008F0DC5" w:rsidRDefault="009720C1" w:rsidP="008F0BBA">
      <w:pPr>
        <w:spacing w:after="0" w:line="360" w:lineRule="auto"/>
        <w:contextualSpacing/>
        <w:jc w:val="both"/>
        <w:rPr>
          <w:rFonts w:ascii="Arial" w:hAnsi="Arial" w:cs="Arial"/>
          <w:sz w:val="24"/>
          <w:szCs w:val="24"/>
          <w:lang w:val="en-GB"/>
        </w:rPr>
      </w:pPr>
    </w:p>
    <w:p w:rsidR="009720C1" w:rsidRPr="008F0DC5" w:rsidRDefault="009720C1" w:rsidP="008F0BBA">
      <w:pPr>
        <w:spacing w:after="0" w:line="360" w:lineRule="auto"/>
        <w:contextualSpacing/>
        <w:jc w:val="right"/>
        <w:rPr>
          <w:rFonts w:ascii="Arial" w:hAnsi="Arial" w:cs="Arial"/>
          <w:b/>
          <w:sz w:val="24"/>
          <w:szCs w:val="24"/>
          <w:lang w:val="en-GB"/>
        </w:rPr>
      </w:pPr>
      <w:r w:rsidRPr="008F0DC5">
        <w:rPr>
          <w:rFonts w:ascii="Arial" w:hAnsi="Arial" w:cs="Arial"/>
          <w:b/>
          <w:sz w:val="24"/>
          <w:szCs w:val="24"/>
          <w:lang w:val="en-GB"/>
        </w:rPr>
        <w:t>Case No: 8721/2021</w:t>
      </w:r>
    </w:p>
    <w:p w:rsidR="009720C1" w:rsidRPr="008F0DC5" w:rsidRDefault="009720C1" w:rsidP="008F0BBA">
      <w:pPr>
        <w:tabs>
          <w:tab w:val="right" w:pos="9214"/>
        </w:tabs>
        <w:spacing w:after="0" w:line="360" w:lineRule="auto"/>
        <w:contextualSpacing/>
        <w:jc w:val="both"/>
        <w:rPr>
          <w:rFonts w:ascii="Arial" w:hAnsi="Arial" w:cs="Arial"/>
          <w:sz w:val="24"/>
          <w:szCs w:val="24"/>
          <w:lang w:val="en-GB"/>
        </w:rPr>
      </w:pPr>
      <w:r w:rsidRPr="008F0DC5">
        <w:rPr>
          <w:rFonts w:ascii="Arial" w:hAnsi="Arial" w:cs="Arial"/>
          <w:sz w:val="24"/>
          <w:szCs w:val="24"/>
          <w:lang w:val="en-GB"/>
        </w:rPr>
        <w:t>In the matter between:</w:t>
      </w:r>
    </w:p>
    <w:p w:rsidR="009720C1" w:rsidRPr="008F0BBA" w:rsidRDefault="009720C1" w:rsidP="008F0BBA">
      <w:pPr>
        <w:tabs>
          <w:tab w:val="right" w:pos="8789"/>
        </w:tabs>
        <w:spacing w:after="0" w:line="360" w:lineRule="auto"/>
        <w:contextualSpacing/>
        <w:jc w:val="both"/>
        <w:rPr>
          <w:rFonts w:ascii="Arial" w:hAnsi="Arial" w:cs="Arial"/>
          <w:b/>
          <w:sz w:val="24"/>
          <w:szCs w:val="24"/>
          <w:lang w:val="en-GB"/>
        </w:rPr>
      </w:pPr>
      <w:r w:rsidRPr="008F0BBA">
        <w:rPr>
          <w:rFonts w:ascii="Arial" w:hAnsi="Arial" w:cs="Arial"/>
          <w:b/>
          <w:sz w:val="24"/>
          <w:szCs w:val="24"/>
          <w:lang w:val="en-GB"/>
        </w:rPr>
        <w:t>BUHLE WASTE (PTY) LTD</w:t>
      </w:r>
      <w:r w:rsidR="008F0BBA" w:rsidRPr="008F0BBA">
        <w:rPr>
          <w:rFonts w:ascii="Arial" w:hAnsi="Arial" w:cs="Arial"/>
          <w:b/>
          <w:sz w:val="24"/>
          <w:szCs w:val="24"/>
          <w:lang w:val="en-GB"/>
        </w:rPr>
        <w:tab/>
        <w:t>INTERVENING PARTY</w:t>
      </w:r>
    </w:p>
    <w:p w:rsidR="00BE7769" w:rsidRPr="008F0BBA" w:rsidRDefault="00BE7769" w:rsidP="008F0BBA">
      <w:pPr>
        <w:tabs>
          <w:tab w:val="right" w:pos="8789"/>
        </w:tabs>
        <w:spacing w:after="0" w:line="360" w:lineRule="auto"/>
        <w:contextualSpacing/>
        <w:jc w:val="both"/>
        <w:rPr>
          <w:rFonts w:ascii="Arial" w:hAnsi="Arial" w:cs="Arial"/>
          <w:b/>
          <w:sz w:val="24"/>
          <w:szCs w:val="24"/>
          <w:lang w:val="en-GB"/>
        </w:rPr>
      </w:pPr>
    </w:p>
    <w:p w:rsidR="00BE7769" w:rsidRPr="008F0BBA" w:rsidRDefault="00BE7769" w:rsidP="008F0BBA">
      <w:pPr>
        <w:tabs>
          <w:tab w:val="right" w:pos="8789"/>
        </w:tabs>
        <w:spacing w:after="0" w:line="360" w:lineRule="auto"/>
        <w:contextualSpacing/>
        <w:jc w:val="both"/>
        <w:rPr>
          <w:rFonts w:ascii="Arial" w:hAnsi="Arial" w:cs="Arial"/>
          <w:sz w:val="24"/>
          <w:szCs w:val="24"/>
          <w:lang w:val="en-GB"/>
        </w:rPr>
      </w:pPr>
      <w:r w:rsidRPr="008F0BBA">
        <w:rPr>
          <w:rFonts w:ascii="Arial" w:hAnsi="Arial" w:cs="Arial"/>
          <w:sz w:val="24"/>
          <w:szCs w:val="24"/>
          <w:lang w:val="en-GB"/>
        </w:rPr>
        <w:t xml:space="preserve">In </w:t>
      </w:r>
      <w:r w:rsidR="008F0BBA" w:rsidRPr="008F0BBA">
        <w:rPr>
          <w:rFonts w:ascii="Arial" w:hAnsi="Arial" w:cs="Arial"/>
          <w:sz w:val="24"/>
          <w:szCs w:val="24"/>
          <w:lang w:val="en-GB"/>
        </w:rPr>
        <w:t>re</w:t>
      </w:r>
      <w:r w:rsidRPr="008F0BBA">
        <w:rPr>
          <w:rFonts w:ascii="Arial" w:hAnsi="Arial" w:cs="Arial"/>
          <w:sz w:val="24"/>
          <w:szCs w:val="24"/>
          <w:lang w:val="en-GB"/>
        </w:rPr>
        <w:t>:</w:t>
      </w:r>
    </w:p>
    <w:p w:rsidR="00BE7769" w:rsidRPr="008F0BBA" w:rsidRDefault="00BE7769" w:rsidP="008F0BBA">
      <w:pPr>
        <w:tabs>
          <w:tab w:val="right" w:pos="8789"/>
        </w:tabs>
        <w:spacing w:after="0" w:line="360" w:lineRule="auto"/>
        <w:contextualSpacing/>
        <w:jc w:val="both"/>
        <w:rPr>
          <w:rFonts w:ascii="Arial" w:hAnsi="Arial" w:cs="Arial"/>
          <w:b/>
          <w:sz w:val="24"/>
          <w:szCs w:val="24"/>
          <w:lang w:val="en-GB"/>
        </w:rPr>
      </w:pPr>
      <w:r w:rsidRPr="008F0BBA">
        <w:rPr>
          <w:rFonts w:ascii="Arial" w:hAnsi="Arial" w:cs="Arial"/>
          <w:b/>
          <w:sz w:val="24"/>
          <w:szCs w:val="24"/>
          <w:lang w:val="en-GB"/>
        </w:rPr>
        <w:t xml:space="preserve">MAKHATHINI MEDICAL WASTE (PTY) Ltd </w:t>
      </w:r>
      <w:r w:rsidR="008F0BBA" w:rsidRPr="008F0BBA">
        <w:rPr>
          <w:rFonts w:ascii="Arial" w:hAnsi="Arial" w:cs="Arial"/>
          <w:b/>
          <w:sz w:val="24"/>
          <w:szCs w:val="24"/>
          <w:lang w:val="en-GB"/>
        </w:rPr>
        <w:tab/>
        <w:t>APPLICANT</w:t>
      </w:r>
    </w:p>
    <w:p w:rsidR="00BE7769" w:rsidRPr="008F0DC5" w:rsidRDefault="00BE7769" w:rsidP="008F0BBA">
      <w:pPr>
        <w:tabs>
          <w:tab w:val="right" w:pos="8789"/>
        </w:tabs>
        <w:spacing w:after="0" w:line="360" w:lineRule="auto"/>
        <w:contextualSpacing/>
        <w:jc w:val="both"/>
        <w:rPr>
          <w:rFonts w:ascii="Arial" w:hAnsi="Arial" w:cs="Arial"/>
          <w:sz w:val="24"/>
          <w:szCs w:val="24"/>
          <w:lang w:val="en-GB"/>
        </w:rPr>
      </w:pPr>
    </w:p>
    <w:p w:rsidR="00BE7769" w:rsidRPr="008F0DC5" w:rsidRDefault="008F0BBA" w:rsidP="008F0BBA">
      <w:pPr>
        <w:tabs>
          <w:tab w:val="right" w:pos="8789"/>
        </w:tabs>
        <w:spacing w:after="0" w:line="360" w:lineRule="auto"/>
        <w:contextualSpacing/>
        <w:jc w:val="both"/>
        <w:rPr>
          <w:rFonts w:ascii="Arial" w:hAnsi="Arial" w:cs="Arial"/>
          <w:sz w:val="24"/>
          <w:szCs w:val="24"/>
          <w:lang w:val="en-GB"/>
        </w:rPr>
      </w:pPr>
      <w:proofErr w:type="gramStart"/>
      <w:r w:rsidRPr="008F0DC5">
        <w:rPr>
          <w:rFonts w:ascii="Arial" w:hAnsi="Arial" w:cs="Arial"/>
          <w:sz w:val="24"/>
          <w:szCs w:val="24"/>
          <w:lang w:val="en-GB"/>
        </w:rPr>
        <w:t>and</w:t>
      </w:r>
      <w:proofErr w:type="gramEnd"/>
      <w:r w:rsidRPr="008F0DC5">
        <w:rPr>
          <w:rFonts w:ascii="Arial" w:hAnsi="Arial" w:cs="Arial"/>
          <w:sz w:val="24"/>
          <w:szCs w:val="24"/>
          <w:lang w:val="en-GB"/>
        </w:rPr>
        <w:t xml:space="preserve"> </w:t>
      </w:r>
    </w:p>
    <w:p w:rsidR="00BE7769" w:rsidRPr="008F0DC5" w:rsidRDefault="00BE7769" w:rsidP="008F0BBA">
      <w:pPr>
        <w:tabs>
          <w:tab w:val="right" w:pos="8789"/>
        </w:tabs>
        <w:spacing w:after="0" w:line="360" w:lineRule="auto"/>
        <w:contextualSpacing/>
        <w:jc w:val="both"/>
        <w:rPr>
          <w:rFonts w:ascii="Arial" w:hAnsi="Arial" w:cs="Arial"/>
          <w:sz w:val="24"/>
          <w:szCs w:val="24"/>
          <w:lang w:val="en-GB"/>
        </w:rPr>
      </w:pPr>
    </w:p>
    <w:p w:rsidR="00BE7769" w:rsidRPr="008F0BBA" w:rsidRDefault="008F0BBA" w:rsidP="008F0BBA">
      <w:pPr>
        <w:tabs>
          <w:tab w:val="right" w:pos="8789"/>
        </w:tabs>
        <w:spacing w:after="0" w:line="360" w:lineRule="auto"/>
        <w:contextualSpacing/>
        <w:jc w:val="both"/>
        <w:rPr>
          <w:rFonts w:ascii="Arial" w:hAnsi="Arial" w:cs="Arial"/>
          <w:b/>
          <w:sz w:val="24"/>
          <w:szCs w:val="24"/>
          <w:lang w:val="en-GB"/>
        </w:rPr>
      </w:pPr>
      <w:r w:rsidRPr="008F0BBA">
        <w:rPr>
          <w:rFonts w:ascii="Arial" w:hAnsi="Arial" w:cs="Arial"/>
          <w:b/>
          <w:sz w:val="24"/>
          <w:szCs w:val="24"/>
          <w:lang w:val="en-GB"/>
        </w:rPr>
        <w:t>THE MEC FOR HEALTH, KWAZULU-NATAL</w:t>
      </w:r>
      <w:r w:rsidRPr="008F0BBA">
        <w:rPr>
          <w:rFonts w:ascii="Arial" w:hAnsi="Arial" w:cs="Arial"/>
          <w:b/>
          <w:sz w:val="24"/>
          <w:szCs w:val="24"/>
          <w:lang w:val="en-GB"/>
        </w:rPr>
        <w:tab/>
        <w:t>FIRST RESPONDENT</w:t>
      </w:r>
    </w:p>
    <w:p w:rsidR="00BE7769" w:rsidRPr="008F0BBA" w:rsidRDefault="008F0BBA" w:rsidP="008F0BBA">
      <w:pPr>
        <w:tabs>
          <w:tab w:val="right" w:pos="8789"/>
        </w:tabs>
        <w:spacing w:after="0" w:line="360" w:lineRule="auto"/>
        <w:contextualSpacing/>
        <w:jc w:val="both"/>
        <w:rPr>
          <w:rFonts w:ascii="Arial" w:hAnsi="Arial" w:cs="Arial"/>
          <w:b/>
          <w:sz w:val="24"/>
          <w:szCs w:val="24"/>
          <w:lang w:val="en-GB"/>
        </w:rPr>
      </w:pPr>
      <w:r w:rsidRPr="008F0BBA">
        <w:rPr>
          <w:rFonts w:ascii="Arial" w:hAnsi="Arial" w:cs="Arial"/>
          <w:b/>
          <w:sz w:val="24"/>
          <w:szCs w:val="24"/>
          <w:lang w:val="en-GB"/>
        </w:rPr>
        <w:t>COMPASS MEDICAL WASTE SERVICES (PTY) LTD</w:t>
      </w:r>
      <w:r w:rsidRPr="008F0BBA">
        <w:rPr>
          <w:rFonts w:ascii="Arial" w:hAnsi="Arial" w:cs="Arial"/>
          <w:b/>
          <w:sz w:val="24"/>
          <w:szCs w:val="24"/>
          <w:lang w:val="en-GB"/>
        </w:rPr>
        <w:tab/>
        <w:t>SECOND RESPONDENT</w:t>
      </w:r>
    </w:p>
    <w:p w:rsidR="00BE7769" w:rsidRPr="008F0BBA" w:rsidRDefault="008F0BBA" w:rsidP="008F0BBA">
      <w:pPr>
        <w:tabs>
          <w:tab w:val="right" w:pos="8789"/>
        </w:tabs>
        <w:spacing w:after="0" w:line="360" w:lineRule="auto"/>
        <w:contextualSpacing/>
        <w:jc w:val="both"/>
        <w:rPr>
          <w:rFonts w:ascii="Arial" w:hAnsi="Arial" w:cs="Arial"/>
          <w:b/>
          <w:sz w:val="24"/>
          <w:szCs w:val="24"/>
          <w:lang w:val="en-GB"/>
        </w:rPr>
      </w:pPr>
      <w:r w:rsidRPr="008F0BBA">
        <w:rPr>
          <w:rFonts w:ascii="Arial" w:hAnsi="Arial" w:cs="Arial"/>
          <w:b/>
          <w:sz w:val="24"/>
          <w:szCs w:val="24"/>
          <w:lang w:val="en-GB"/>
        </w:rPr>
        <w:t>THE CHAIRMAN, BID APPEALS TRIBUNAL</w:t>
      </w:r>
      <w:r w:rsidRPr="008F0BBA">
        <w:rPr>
          <w:rFonts w:ascii="Arial" w:hAnsi="Arial" w:cs="Arial"/>
          <w:b/>
          <w:sz w:val="24"/>
          <w:szCs w:val="24"/>
          <w:lang w:val="en-GB"/>
        </w:rPr>
        <w:tab/>
        <w:t>THIRD RESPONDENT</w:t>
      </w:r>
    </w:p>
    <w:p w:rsidR="00BE7769" w:rsidRPr="008F0BBA" w:rsidRDefault="008F0BBA" w:rsidP="008F0BBA">
      <w:pPr>
        <w:tabs>
          <w:tab w:val="right" w:pos="8789"/>
        </w:tabs>
        <w:spacing w:after="0" w:line="360" w:lineRule="auto"/>
        <w:contextualSpacing/>
        <w:jc w:val="both"/>
        <w:rPr>
          <w:rFonts w:ascii="Arial" w:hAnsi="Arial" w:cs="Arial"/>
          <w:b/>
          <w:sz w:val="24"/>
          <w:szCs w:val="24"/>
          <w:lang w:val="en-GB"/>
        </w:rPr>
      </w:pPr>
      <w:r w:rsidRPr="008F0BBA">
        <w:rPr>
          <w:rFonts w:ascii="Arial" w:hAnsi="Arial" w:cs="Arial"/>
          <w:b/>
          <w:sz w:val="24"/>
          <w:szCs w:val="24"/>
          <w:lang w:val="en-GB"/>
        </w:rPr>
        <w:t>KWAZULU- NATAL</w:t>
      </w:r>
    </w:p>
    <w:p w:rsidR="009B5391" w:rsidRPr="008F0BBA" w:rsidRDefault="008F0BBA" w:rsidP="008F0BBA">
      <w:pPr>
        <w:pBdr>
          <w:bottom w:val="single" w:sz="12" w:space="1" w:color="auto"/>
        </w:pBdr>
        <w:tabs>
          <w:tab w:val="right" w:pos="8789"/>
        </w:tabs>
        <w:spacing w:after="0" w:line="360" w:lineRule="auto"/>
        <w:contextualSpacing/>
        <w:jc w:val="both"/>
        <w:rPr>
          <w:rFonts w:ascii="Arial" w:hAnsi="Arial" w:cs="Arial"/>
          <w:b/>
          <w:sz w:val="24"/>
          <w:szCs w:val="24"/>
          <w:lang w:val="en-GB"/>
        </w:rPr>
      </w:pPr>
      <w:r w:rsidRPr="008F0BBA">
        <w:rPr>
          <w:rFonts w:ascii="Arial" w:hAnsi="Arial" w:cs="Arial"/>
          <w:b/>
          <w:sz w:val="24"/>
          <w:szCs w:val="24"/>
          <w:lang w:val="en-GB"/>
        </w:rPr>
        <w:t>MEC FOR FINANCE, KWAZULU-NATAL</w:t>
      </w:r>
      <w:r w:rsidRPr="008F0BBA">
        <w:rPr>
          <w:rFonts w:ascii="Arial" w:hAnsi="Arial" w:cs="Arial"/>
          <w:b/>
          <w:sz w:val="24"/>
          <w:szCs w:val="24"/>
          <w:lang w:val="en-GB"/>
        </w:rPr>
        <w:tab/>
        <w:t>FOURTH RESPONDENT</w:t>
      </w:r>
    </w:p>
    <w:p w:rsidR="008F0BBA" w:rsidRPr="008F0BBA" w:rsidRDefault="008F0BBA" w:rsidP="008F0BBA">
      <w:pPr>
        <w:pBdr>
          <w:bottom w:val="single" w:sz="12" w:space="1" w:color="auto"/>
        </w:pBdr>
        <w:tabs>
          <w:tab w:val="right" w:pos="8789"/>
        </w:tabs>
        <w:spacing w:after="0" w:line="360" w:lineRule="auto"/>
        <w:contextualSpacing/>
        <w:jc w:val="both"/>
        <w:rPr>
          <w:rFonts w:ascii="Arial" w:hAnsi="Arial" w:cs="Arial"/>
          <w:b/>
          <w:sz w:val="24"/>
          <w:szCs w:val="24"/>
          <w:lang w:val="en-GB"/>
        </w:rPr>
      </w:pPr>
    </w:p>
    <w:p w:rsidR="008F0BBA" w:rsidRPr="008F0BBA" w:rsidRDefault="008F0BBA" w:rsidP="008F0BBA">
      <w:pPr>
        <w:rPr>
          <w:rFonts w:ascii="Arial" w:hAnsi="Arial" w:cs="Arial"/>
          <w:sz w:val="24"/>
          <w:szCs w:val="24"/>
        </w:rPr>
      </w:pPr>
    </w:p>
    <w:p w:rsidR="008F0BBA" w:rsidRPr="008F0BBA" w:rsidRDefault="008F0BBA" w:rsidP="008F0BBA">
      <w:pPr>
        <w:pBdr>
          <w:bottom w:val="single" w:sz="12" w:space="1" w:color="auto"/>
        </w:pBdr>
        <w:jc w:val="center"/>
        <w:rPr>
          <w:rFonts w:ascii="Arial" w:hAnsi="Arial" w:cs="Arial"/>
          <w:b/>
          <w:sz w:val="24"/>
          <w:szCs w:val="24"/>
        </w:rPr>
      </w:pPr>
      <w:r w:rsidRPr="008F0BBA">
        <w:rPr>
          <w:rFonts w:ascii="Arial" w:hAnsi="Arial" w:cs="Arial"/>
          <w:b/>
          <w:sz w:val="24"/>
          <w:szCs w:val="24"/>
        </w:rPr>
        <w:t>ORDER</w:t>
      </w:r>
    </w:p>
    <w:p w:rsidR="008F0BBA" w:rsidRPr="008F0BBA" w:rsidRDefault="008F0BBA" w:rsidP="008F0BBA">
      <w:pPr>
        <w:pBdr>
          <w:bottom w:val="single" w:sz="12" w:space="1" w:color="auto"/>
        </w:pBdr>
        <w:jc w:val="center"/>
        <w:rPr>
          <w:rFonts w:ascii="Arial" w:hAnsi="Arial" w:cs="Arial"/>
          <w:b/>
          <w:sz w:val="24"/>
          <w:szCs w:val="24"/>
        </w:rPr>
      </w:pPr>
    </w:p>
    <w:p w:rsidR="008F0BBA" w:rsidRPr="008F0BBA" w:rsidRDefault="00A379C8" w:rsidP="008F0BBA">
      <w:pPr>
        <w:spacing w:after="0" w:line="360" w:lineRule="auto"/>
        <w:contextualSpacing/>
        <w:jc w:val="both"/>
        <w:rPr>
          <w:rFonts w:ascii="Arial" w:hAnsi="Arial" w:cs="Arial"/>
          <w:sz w:val="24"/>
          <w:szCs w:val="24"/>
        </w:rPr>
      </w:pPr>
      <w:r>
        <w:rPr>
          <w:rFonts w:ascii="Arial" w:hAnsi="Arial" w:cs="Arial"/>
          <w:sz w:val="24"/>
          <w:szCs w:val="24"/>
        </w:rPr>
        <w:t>The following order is granted:</w:t>
      </w:r>
    </w:p>
    <w:p w:rsidR="00A379C8" w:rsidRPr="00D5652A" w:rsidRDefault="00A379C8" w:rsidP="00A379C8">
      <w:pPr>
        <w:pStyle w:val="ListParagraph"/>
        <w:numPr>
          <w:ilvl w:val="4"/>
          <w:numId w:val="1"/>
        </w:numPr>
        <w:spacing w:after="0" w:line="360" w:lineRule="auto"/>
        <w:ind w:left="0" w:firstLine="0"/>
        <w:jc w:val="both"/>
        <w:rPr>
          <w:rFonts w:ascii="Arial" w:hAnsi="Arial" w:cs="Arial"/>
          <w:sz w:val="24"/>
          <w:szCs w:val="24"/>
        </w:rPr>
      </w:pPr>
      <w:proofErr w:type="gramStart"/>
      <w:r w:rsidRPr="00D5652A">
        <w:rPr>
          <w:rFonts w:ascii="Arial" w:hAnsi="Arial" w:cs="Arial"/>
          <w:sz w:val="24"/>
          <w:szCs w:val="24"/>
        </w:rPr>
        <w:t>The intervening party, Buhle Waste (Pty) Ltd, is granted leave to intervene and is joined as second applicant in the review application under case number 8721/21P in respect of the decision to award</w:t>
      </w:r>
      <w:r w:rsidR="006449C8">
        <w:rPr>
          <w:rFonts w:ascii="Arial" w:hAnsi="Arial" w:cs="Arial"/>
          <w:sz w:val="24"/>
          <w:szCs w:val="24"/>
        </w:rPr>
        <w:t xml:space="preserve"> the contract for Area 2: </w:t>
      </w:r>
      <w:proofErr w:type="spellStart"/>
      <w:r w:rsidR="006449C8">
        <w:rPr>
          <w:rFonts w:ascii="Arial" w:hAnsi="Arial" w:cs="Arial"/>
          <w:sz w:val="24"/>
          <w:szCs w:val="24"/>
        </w:rPr>
        <w:t>Umgun</w:t>
      </w:r>
      <w:r w:rsidRPr="00D5652A">
        <w:rPr>
          <w:rFonts w:ascii="Arial" w:hAnsi="Arial" w:cs="Arial"/>
          <w:sz w:val="24"/>
          <w:szCs w:val="24"/>
        </w:rPr>
        <w:t>gundlovu</w:t>
      </w:r>
      <w:proofErr w:type="spellEnd"/>
      <w:r w:rsidRPr="00D5652A">
        <w:rPr>
          <w:rFonts w:ascii="Arial" w:hAnsi="Arial" w:cs="Arial"/>
          <w:sz w:val="24"/>
          <w:szCs w:val="24"/>
        </w:rPr>
        <w:t xml:space="preserve">, Harry </w:t>
      </w:r>
      <w:proofErr w:type="spellStart"/>
      <w:r w:rsidRPr="00D5652A">
        <w:rPr>
          <w:rFonts w:ascii="Arial" w:hAnsi="Arial" w:cs="Arial"/>
          <w:sz w:val="24"/>
          <w:szCs w:val="24"/>
        </w:rPr>
        <w:t>Gwala</w:t>
      </w:r>
      <w:proofErr w:type="spellEnd"/>
      <w:r w:rsidRPr="00D5652A">
        <w:rPr>
          <w:rFonts w:ascii="Arial" w:hAnsi="Arial" w:cs="Arial"/>
          <w:sz w:val="24"/>
          <w:szCs w:val="24"/>
        </w:rPr>
        <w:t xml:space="preserve"> and </w:t>
      </w:r>
      <w:proofErr w:type="spellStart"/>
      <w:r w:rsidRPr="00D5652A">
        <w:rPr>
          <w:rFonts w:ascii="Arial" w:hAnsi="Arial" w:cs="Arial"/>
          <w:sz w:val="24"/>
          <w:szCs w:val="24"/>
        </w:rPr>
        <w:t>Ugu</w:t>
      </w:r>
      <w:proofErr w:type="spellEnd"/>
      <w:r w:rsidRPr="00D5652A">
        <w:rPr>
          <w:rFonts w:ascii="Arial" w:hAnsi="Arial" w:cs="Arial"/>
          <w:sz w:val="24"/>
          <w:szCs w:val="24"/>
        </w:rPr>
        <w:t xml:space="preserve"> Districts (Region 2) in terms of Tender number ZNB5296/2020-H to the second respondent, Compass Medical Waste Services (Pty) Ltd.</w:t>
      </w:r>
      <w:proofErr w:type="gramEnd"/>
    </w:p>
    <w:p w:rsidR="00A379C8" w:rsidRPr="00D5652A" w:rsidRDefault="00A379C8" w:rsidP="00A379C8">
      <w:pPr>
        <w:spacing w:after="0" w:line="360" w:lineRule="auto"/>
        <w:contextualSpacing/>
        <w:jc w:val="both"/>
        <w:rPr>
          <w:rFonts w:ascii="Arial" w:hAnsi="Arial" w:cs="Arial"/>
          <w:sz w:val="24"/>
          <w:szCs w:val="24"/>
        </w:rPr>
      </w:pPr>
      <w:r w:rsidRPr="00D5652A">
        <w:rPr>
          <w:rFonts w:ascii="Arial" w:hAnsi="Arial" w:cs="Arial"/>
          <w:sz w:val="24"/>
          <w:szCs w:val="24"/>
        </w:rPr>
        <w:t>2.</w:t>
      </w:r>
      <w:r>
        <w:rPr>
          <w:rFonts w:ascii="Arial" w:hAnsi="Arial" w:cs="Arial"/>
          <w:sz w:val="24"/>
          <w:szCs w:val="24"/>
        </w:rPr>
        <w:tab/>
      </w:r>
      <w:r w:rsidRPr="00D5652A">
        <w:rPr>
          <w:rFonts w:ascii="Arial" w:hAnsi="Arial" w:cs="Arial"/>
          <w:sz w:val="24"/>
          <w:szCs w:val="24"/>
        </w:rPr>
        <w:t>The intervening party, Buhle Waste (Pty) Ltd</w:t>
      </w:r>
      <w:r>
        <w:rPr>
          <w:rFonts w:ascii="Arial" w:hAnsi="Arial" w:cs="Arial"/>
          <w:sz w:val="24"/>
          <w:szCs w:val="24"/>
        </w:rPr>
        <w:t xml:space="preserve"> </w:t>
      </w:r>
      <w:r w:rsidRPr="00D5652A">
        <w:rPr>
          <w:rFonts w:ascii="Arial" w:hAnsi="Arial" w:cs="Arial"/>
          <w:sz w:val="24"/>
          <w:szCs w:val="24"/>
        </w:rPr>
        <w:t>is directed to file its founding affidavit on or before 14 December 2022.</w:t>
      </w:r>
    </w:p>
    <w:p w:rsidR="00A379C8" w:rsidRPr="00D5652A" w:rsidRDefault="00A379C8" w:rsidP="00A379C8">
      <w:pPr>
        <w:spacing w:after="0" w:line="360" w:lineRule="auto"/>
        <w:contextualSpacing/>
        <w:jc w:val="both"/>
        <w:rPr>
          <w:rFonts w:ascii="Arial" w:hAnsi="Arial" w:cs="Arial"/>
          <w:sz w:val="24"/>
          <w:szCs w:val="24"/>
        </w:rPr>
      </w:pPr>
      <w:r w:rsidRPr="00D5652A">
        <w:rPr>
          <w:rFonts w:ascii="Arial" w:hAnsi="Arial" w:cs="Arial"/>
          <w:sz w:val="24"/>
          <w:szCs w:val="24"/>
        </w:rPr>
        <w:t>3.</w:t>
      </w:r>
      <w:r>
        <w:rPr>
          <w:rFonts w:ascii="Arial" w:hAnsi="Arial" w:cs="Arial"/>
          <w:sz w:val="24"/>
          <w:szCs w:val="24"/>
        </w:rPr>
        <w:tab/>
      </w:r>
      <w:r w:rsidRPr="00D5652A">
        <w:rPr>
          <w:rFonts w:ascii="Arial" w:hAnsi="Arial" w:cs="Arial"/>
          <w:sz w:val="24"/>
          <w:szCs w:val="24"/>
        </w:rPr>
        <w:t>The first respondent, the MEC for Health</w:t>
      </w:r>
      <w:r>
        <w:rPr>
          <w:rFonts w:ascii="Arial" w:hAnsi="Arial" w:cs="Arial"/>
          <w:sz w:val="24"/>
          <w:szCs w:val="24"/>
        </w:rPr>
        <w:t>,</w:t>
      </w:r>
      <w:r w:rsidRPr="00D5652A">
        <w:rPr>
          <w:rFonts w:ascii="Arial" w:hAnsi="Arial" w:cs="Arial"/>
          <w:sz w:val="24"/>
          <w:szCs w:val="24"/>
        </w:rPr>
        <w:t xml:space="preserve"> and the second respondent, Compass Medical Waste Services (Pty)</w:t>
      </w:r>
      <w:r>
        <w:rPr>
          <w:rFonts w:ascii="Arial" w:hAnsi="Arial" w:cs="Arial"/>
          <w:sz w:val="24"/>
          <w:szCs w:val="24"/>
        </w:rPr>
        <w:t xml:space="preserve"> </w:t>
      </w:r>
      <w:r w:rsidRPr="00D5652A">
        <w:rPr>
          <w:rFonts w:ascii="Arial" w:hAnsi="Arial" w:cs="Arial"/>
          <w:sz w:val="24"/>
          <w:szCs w:val="24"/>
        </w:rPr>
        <w:t>Ltd are directed to file their answering affidavits on or before 22 December 2022.</w:t>
      </w:r>
    </w:p>
    <w:p w:rsidR="00A379C8" w:rsidRPr="00D5652A" w:rsidRDefault="00A379C8" w:rsidP="00A379C8">
      <w:pPr>
        <w:spacing w:after="0" w:line="360" w:lineRule="auto"/>
        <w:contextualSpacing/>
        <w:jc w:val="both"/>
        <w:rPr>
          <w:rFonts w:ascii="Arial" w:hAnsi="Arial" w:cs="Arial"/>
          <w:sz w:val="24"/>
          <w:szCs w:val="24"/>
        </w:rPr>
      </w:pPr>
      <w:r w:rsidRPr="00D5652A">
        <w:rPr>
          <w:rFonts w:ascii="Arial" w:hAnsi="Arial" w:cs="Arial"/>
          <w:sz w:val="24"/>
          <w:szCs w:val="24"/>
        </w:rPr>
        <w:t>4.</w:t>
      </w:r>
      <w:r>
        <w:rPr>
          <w:rFonts w:ascii="Arial" w:hAnsi="Arial" w:cs="Arial"/>
          <w:sz w:val="24"/>
          <w:szCs w:val="24"/>
        </w:rPr>
        <w:tab/>
      </w:r>
      <w:r w:rsidRPr="00D5652A">
        <w:rPr>
          <w:rFonts w:ascii="Arial" w:hAnsi="Arial" w:cs="Arial"/>
          <w:sz w:val="24"/>
          <w:szCs w:val="24"/>
        </w:rPr>
        <w:t>The intervening party is directed to file its replying affidavit on or before 4 January 2023.</w:t>
      </w:r>
    </w:p>
    <w:p w:rsidR="00A379C8" w:rsidRPr="00D5652A" w:rsidRDefault="00A379C8" w:rsidP="00A379C8">
      <w:pPr>
        <w:spacing w:after="0" w:line="360" w:lineRule="auto"/>
        <w:contextualSpacing/>
        <w:jc w:val="both"/>
        <w:rPr>
          <w:rFonts w:ascii="Arial" w:hAnsi="Arial" w:cs="Arial"/>
          <w:sz w:val="24"/>
          <w:szCs w:val="24"/>
        </w:rPr>
      </w:pPr>
      <w:r w:rsidRPr="00D5652A">
        <w:rPr>
          <w:rFonts w:ascii="Arial" w:hAnsi="Arial" w:cs="Arial"/>
          <w:sz w:val="24"/>
          <w:szCs w:val="24"/>
        </w:rPr>
        <w:t>5.</w:t>
      </w:r>
      <w:r>
        <w:rPr>
          <w:rFonts w:ascii="Arial" w:hAnsi="Arial" w:cs="Arial"/>
          <w:sz w:val="24"/>
          <w:szCs w:val="24"/>
        </w:rPr>
        <w:tab/>
      </w:r>
      <w:r w:rsidRPr="00D5652A">
        <w:rPr>
          <w:rFonts w:ascii="Arial" w:hAnsi="Arial" w:cs="Arial"/>
          <w:sz w:val="24"/>
          <w:szCs w:val="24"/>
        </w:rPr>
        <w:t>The applicant, Makhathini Medical Waste (Pty) Ltd is directed to file any further affidavits it may wish to file on or before 6 January 2023.</w:t>
      </w:r>
    </w:p>
    <w:p w:rsidR="00A379C8" w:rsidRPr="00D5652A" w:rsidRDefault="00A379C8" w:rsidP="00A379C8">
      <w:pPr>
        <w:spacing w:after="0" w:line="360" w:lineRule="auto"/>
        <w:contextualSpacing/>
        <w:jc w:val="both"/>
        <w:rPr>
          <w:rFonts w:ascii="Arial" w:hAnsi="Arial" w:cs="Arial"/>
          <w:sz w:val="24"/>
          <w:szCs w:val="24"/>
        </w:rPr>
      </w:pPr>
      <w:r w:rsidRPr="00D5652A">
        <w:rPr>
          <w:rFonts w:ascii="Arial" w:hAnsi="Arial" w:cs="Arial"/>
          <w:sz w:val="24"/>
          <w:szCs w:val="24"/>
        </w:rPr>
        <w:t>6.</w:t>
      </w:r>
      <w:r>
        <w:rPr>
          <w:rFonts w:ascii="Arial" w:hAnsi="Arial" w:cs="Arial"/>
          <w:sz w:val="24"/>
          <w:szCs w:val="24"/>
        </w:rPr>
        <w:tab/>
      </w:r>
      <w:r w:rsidRPr="00D5652A">
        <w:rPr>
          <w:rFonts w:ascii="Arial" w:hAnsi="Arial" w:cs="Arial"/>
          <w:sz w:val="24"/>
          <w:szCs w:val="24"/>
        </w:rPr>
        <w:t xml:space="preserve">The costs of the intervention application </w:t>
      </w:r>
      <w:r>
        <w:rPr>
          <w:rFonts w:ascii="Arial" w:hAnsi="Arial" w:cs="Arial"/>
          <w:sz w:val="24"/>
          <w:szCs w:val="24"/>
        </w:rPr>
        <w:t>are</w:t>
      </w:r>
      <w:r w:rsidRPr="00D5652A">
        <w:rPr>
          <w:rFonts w:ascii="Arial" w:hAnsi="Arial" w:cs="Arial"/>
          <w:sz w:val="24"/>
          <w:szCs w:val="24"/>
        </w:rPr>
        <w:t xml:space="preserve"> reserved for decision by the court hearing the review.</w:t>
      </w:r>
    </w:p>
    <w:p w:rsidR="008F0BBA" w:rsidRDefault="008F0BBA" w:rsidP="008F0BBA">
      <w:pPr>
        <w:spacing w:after="0" w:line="360" w:lineRule="auto"/>
        <w:contextualSpacing/>
        <w:jc w:val="both"/>
        <w:rPr>
          <w:rFonts w:ascii="Arial" w:hAnsi="Arial" w:cs="Arial"/>
          <w:sz w:val="24"/>
          <w:szCs w:val="24"/>
        </w:rPr>
      </w:pPr>
    </w:p>
    <w:p w:rsidR="008F0BBA" w:rsidRDefault="008F0BBA" w:rsidP="008F0BBA">
      <w:pPr>
        <w:pBdr>
          <w:top w:val="single" w:sz="12" w:space="1" w:color="auto"/>
          <w:bottom w:val="single" w:sz="12" w:space="1" w:color="auto"/>
        </w:pBdr>
        <w:spacing w:after="0" w:line="360" w:lineRule="auto"/>
        <w:contextualSpacing/>
        <w:jc w:val="center"/>
        <w:rPr>
          <w:rFonts w:ascii="Arial" w:hAnsi="Arial" w:cs="Arial"/>
          <w:b/>
          <w:sz w:val="24"/>
          <w:szCs w:val="24"/>
        </w:rPr>
      </w:pPr>
    </w:p>
    <w:p w:rsidR="008F0BBA" w:rsidRDefault="008F0BBA" w:rsidP="008F0BBA">
      <w:pPr>
        <w:pBdr>
          <w:top w:val="single" w:sz="12" w:space="1" w:color="auto"/>
          <w:bottom w:val="single" w:sz="12" w:space="1" w:color="auto"/>
        </w:pBdr>
        <w:spacing w:after="0" w:line="360" w:lineRule="auto"/>
        <w:contextualSpacing/>
        <w:jc w:val="center"/>
        <w:rPr>
          <w:rFonts w:ascii="Arial" w:hAnsi="Arial" w:cs="Arial"/>
          <w:b/>
          <w:sz w:val="24"/>
          <w:szCs w:val="24"/>
        </w:rPr>
      </w:pPr>
      <w:r w:rsidRPr="008F0BBA">
        <w:rPr>
          <w:rFonts w:ascii="Arial" w:hAnsi="Arial" w:cs="Arial"/>
          <w:b/>
          <w:sz w:val="24"/>
          <w:szCs w:val="24"/>
        </w:rPr>
        <w:t>JUDGMENT</w:t>
      </w:r>
    </w:p>
    <w:p w:rsidR="008F0BBA" w:rsidRDefault="008F0BBA" w:rsidP="008F0BBA">
      <w:pPr>
        <w:pBdr>
          <w:top w:val="single" w:sz="12" w:space="1" w:color="auto"/>
          <w:bottom w:val="single" w:sz="12" w:space="1" w:color="auto"/>
        </w:pBdr>
        <w:spacing w:after="0" w:line="360" w:lineRule="auto"/>
        <w:contextualSpacing/>
        <w:jc w:val="center"/>
        <w:rPr>
          <w:rFonts w:ascii="Arial" w:hAnsi="Arial" w:cs="Arial"/>
          <w:b/>
          <w:sz w:val="24"/>
          <w:szCs w:val="24"/>
        </w:rPr>
      </w:pPr>
    </w:p>
    <w:p w:rsidR="008F0BBA" w:rsidRPr="00D5652A" w:rsidRDefault="008F0BBA" w:rsidP="00D5652A">
      <w:pPr>
        <w:spacing w:after="0" w:line="360" w:lineRule="auto"/>
        <w:contextualSpacing/>
        <w:jc w:val="both"/>
        <w:rPr>
          <w:rFonts w:ascii="Arial" w:hAnsi="Arial" w:cs="Arial"/>
          <w:b/>
          <w:sz w:val="24"/>
          <w:szCs w:val="24"/>
        </w:rPr>
      </w:pPr>
    </w:p>
    <w:p w:rsidR="008F0DC5" w:rsidRPr="00D5652A" w:rsidRDefault="008F0DC5" w:rsidP="00D5652A">
      <w:pPr>
        <w:spacing w:after="0" w:line="360" w:lineRule="auto"/>
        <w:contextualSpacing/>
        <w:jc w:val="both"/>
        <w:rPr>
          <w:rFonts w:ascii="Arial" w:hAnsi="Arial" w:cs="Arial"/>
          <w:b/>
          <w:sz w:val="24"/>
          <w:szCs w:val="24"/>
        </w:rPr>
      </w:pPr>
      <w:r w:rsidRPr="00D5652A">
        <w:rPr>
          <w:rFonts w:ascii="Arial" w:hAnsi="Arial" w:cs="Arial"/>
          <w:b/>
          <w:sz w:val="24"/>
          <w:szCs w:val="24"/>
        </w:rPr>
        <w:softHyphen/>
      </w:r>
      <w:r w:rsidRPr="00D5652A">
        <w:rPr>
          <w:rFonts w:ascii="Arial" w:hAnsi="Arial" w:cs="Arial"/>
          <w:b/>
          <w:sz w:val="24"/>
          <w:szCs w:val="24"/>
        </w:rPr>
        <w:softHyphen/>
      </w:r>
      <w:r w:rsidRPr="00D5652A">
        <w:rPr>
          <w:rFonts w:ascii="Arial" w:hAnsi="Arial" w:cs="Arial"/>
          <w:b/>
          <w:sz w:val="24"/>
          <w:szCs w:val="24"/>
        </w:rPr>
        <w:softHyphen/>
      </w:r>
      <w:r w:rsidRPr="00D5652A">
        <w:rPr>
          <w:rFonts w:ascii="Arial" w:hAnsi="Arial" w:cs="Arial"/>
          <w:b/>
          <w:sz w:val="24"/>
          <w:szCs w:val="24"/>
        </w:rPr>
        <w:softHyphen/>
      </w:r>
      <w:r w:rsidRPr="00D5652A">
        <w:rPr>
          <w:rFonts w:ascii="Arial" w:hAnsi="Arial" w:cs="Arial"/>
          <w:b/>
          <w:sz w:val="24"/>
          <w:szCs w:val="24"/>
        </w:rPr>
        <w:softHyphen/>
      </w:r>
      <w:r w:rsidRPr="00D5652A">
        <w:rPr>
          <w:rFonts w:ascii="Arial" w:hAnsi="Arial" w:cs="Arial"/>
          <w:b/>
          <w:sz w:val="24"/>
          <w:szCs w:val="24"/>
        </w:rPr>
        <w:softHyphen/>
      </w:r>
      <w:r w:rsidRPr="00D5652A">
        <w:rPr>
          <w:rFonts w:ascii="Arial" w:hAnsi="Arial" w:cs="Arial"/>
          <w:b/>
          <w:sz w:val="24"/>
          <w:szCs w:val="24"/>
        </w:rPr>
        <w:softHyphen/>
      </w:r>
      <w:r w:rsidRPr="00D5652A">
        <w:rPr>
          <w:rFonts w:ascii="Arial" w:hAnsi="Arial" w:cs="Arial"/>
          <w:b/>
          <w:sz w:val="24"/>
          <w:szCs w:val="24"/>
        </w:rPr>
        <w:softHyphen/>
        <w:t>BEZUIDENHOUT AJ</w:t>
      </w:r>
    </w:p>
    <w:p w:rsidR="00D5652A" w:rsidRDefault="00D5652A" w:rsidP="00D5652A">
      <w:pPr>
        <w:spacing w:after="0" w:line="360" w:lineRule="auto"/>
        <w:contextualSpacing/>
        <w:jc w:val="both"/>
        <w:rPr>
          <w:rFonts w:ascii="Arial" w:hAnsi="Arial" w:cs="Arial"/>
          <w:sz w:val="24"/>
          <w:szCs w:val="24"/>
          <w:u w:val="single"/>
        </w:rPr>
      </w:pPr>
    </w:p>
    <w:p w:rsidR="00A809C6" w:rsidRPr="00D5652A" w:rsidRDefault="00A809C6" w:rsidP="00D5652A">
      <w:pPr>
        <w:spacing w:after="0" w:line="360" w:lineRule="auto"/>
        <w:contextualSpacing/>
        <w:jc w:val="both"/>
        <w:rPr>
          <w:rFonts w:ascii="Arial" w:hAnsi="Arial" w:cs="Arial"/>
          <w:b/>
          <w:sz w:val="24"/>
          <w:szCs w:val="24"/>
        </w:rPr>
      </w:pPr>
      <w:r w:rsidRPr="00D5652A">
        <w:rPr>
          <w:rFonts w:ascii="Arial" w:hAnsi="Arial" w:cs="Arial"/>
          <w:b/>
          <w:sz w:val="24"/>
          <w:szCs w:val="24"/>
        </w:rPr>
        <w:t>Introduction</w:t>
      </w:r>
    </w:p>
    <w:p w:rsidR="00A809C6" w:rsidRPr="00D5652A" w:rsidRDefault="00A809C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Buhle Waste (Pty) Ltd (Buhle) seeks leave to intervene and </w:t>
      </w:r>
      <w:r w:rsidR="00EF76FA">
        <w:rPr>
          <w:rFonts w:ascii="Arial" w:hAnsi="Arial" w:cs="Arial"/>
          <w:sz w:val="24"/>
          <w:szCs w:val="24"/>
        </w:rPr>
        <w:t xml:space="preserve">to </w:t>
      </w:r>
      <w:r w:rsidRPr="00D5652A">
        <w:rPr>
          <w:rFonts w:ascii="Arial" w:hAnsi="Arial" w:cs="Arial"/>
          <w:sz w:val="24"/>
          <w:szCs w:val="24"/>
        </w:rPr>
        <w:t xml:space="preserve">be joined as a second applicant in an application brought by Makhathini Medical Waste (Pty) Ltd (Makhathini) under case no 8721/21 </w:t>
      </w:r>
      <w:r w:rsidR="00EF76FA">
        <w:rPr>
          <w:rFonts w:ascii="Arial" w:hAnsi="Arial" w:cs="Arial"/>
          <w:sz w:val="24"/>
          <w:szCs w:val="24"/>
        </w:rPr>
        <w:t xml:space="preserve">which was launched </w:t>
      </w:r>
      <w:r w:rsidRPr="00D5652A">
        <w:rPr>
          <w:rFonts w:ascii="Arial" w:hAnsi="Arial" w:cs="Arial"/>
          <w:sz w:val="24"/>
          <w:szCs w:val="24"/>
        </w:rPr>
        <w:t>on 4 October 2021</w:t>
      </w:r>
      <w:r w:rsidR="00427EA2">
        <w:rPr>
          <w:rFonts w:ascii="Arial" w:hAnsi="Arial" w:cs="Arial"/>
          <w:sz w:val="24"/>
          <w:szCs w:val="24"/>
        </w:rPr>
        <w:t>.</w:t>
      </w:r>
      <w:r w:rsidRPr="00D5652A">
        <w:rPr>
          <w:rFonts w:ascii="Arial" w:hAnsi="Arial" w:cs="Arial"/>
          <w:sz w:val="24"/>
          <w:szCs w:val="24"/>
        </w:rPr>
        <w:t xml:space="preserve"> </w:t>
      </w:r>
      <w:r w:rsidR="00427EA2" w:rsidRPr="00D5652A">
        <w:rPr>
          <w:rFonts w:ascii="Arial" w:hAnsi="Arial" w:cs="Arial"/>
          <w:sz w:val="24"/>
          <w:szCs w:val="24"/>
        </w:rPr>
        <w:t xml:space="preserve">In </w:t>
      </w:r>
      <w:r w:rsidRPr="00D5652A">
        <w:rPr>
          <w:rFonts w:ascii="Arial" w:hAnsi="Arial" w:cs="Arial"/>
          <w:sz w:val="24"/>
          <w:szCs w:val="24"/>
        </w:rPr>
        <w:t xml:space="preserve">terms of </w:t>
      </w:r>
      <w:r w:rsidR="00427EA2">
        <w:rPr>
          <w:rFonts w:ascii="Arial" w:hAnsi="Arial" w:cs="Arial"/>
          <w:sz w:val="24"/>
          <w:szCs w:val="24"/>
        </w:rPr>
        <w:t>that application,</w:t>
      </w:r>
      <w:r w:rsidRPr="00D5652A">
        <w:rPr>
          <w:rFonts w:ascii="Arial" w:hAnsi="Arial" w:cs="Arial"/>
          <w:sz w:val="24"/>
          <w:szCs w:val="24"/>
        </w:rPr>
        <w:t xml:space="preserve"> Makhathini inter alia seeks to review and set aside the decisions of the Bid Evaluation Committee and the Bid Adjudication Committee of the KwaZulu-Natal Department of Health</w:t>
      </w:r>
      <w:r w:rsidR="006443B9">
        <w:rPr>
          <w:rFonts w:ascii="Arial" w:hAnsi="Arial" w:cs="Arial"/>
          <w:sz w:val="24"/>
          <w:szCs w:val="24"/>
        </w:rPr>
        <w:t>,</w:t>
      </w:r>
      <w:r w:rsidRPr="00D5652A">
        <w:rPr>
          <w:rFonts w:ascii="Arial" w:hAnsi="Arial" w:cs="Arial"/>
          <w:sz w:val="24"/>
          <w:szCs w:val="24"/>
        </w:rPr>
        <w:t xml:space="preserve"> as well as the decisions of the Bid Appeals Tribunal and the MEC for Finance, KwaZulu-Natal. It relates to an award made in respect of tender number ZNB</w:t>
      </w:r>
      <w:r w:rsidR="00CA3EB8" w:rsidRPr="00D5652A">
        <w:rPr>
          <w:rFonts w:ascii="Arial" w:hAnsi="Arial" w:cs="Arial"/>
          <w:sz w:val="24"/>
          <w:szCs w:val="24"/>
        </w:rPr>
        <w:t>5296/2020-</w:t>
      </w:r>
      <w:r w:rsidRPr="00D5652A">
        <w:rPr>
          <w:rFonts w:ascii="Arial" w:hAnsi="Arial" w:cs="Arial"/>
          <w:sz w:val="24"/>
          <w:szCs w:val="24"/>
        </w:rPr>
        <w:t xml:space="preserve">H (the tender), which was published on 7 May 2021. </w:t>
      </w:r>
    </w:p>
    <w:p w:rsidR="008F0BBA" w:rsidRPr="00D5652A" w:rsidRDefault="008F0BBA" w:rsidP="00D5652A">
      <w:pPr>
        <w:spacing w:after="0" w:line="360" w:lineRule="auto"/>
        <w:contextualSpacing/>
        <w:jc w:val="both"/>
        <w:rPr>
          <w:rFonts w:ascii="Arial" w:hAnsi="Arial" w:cs="Arial"/>
          <w:sz w:val="24"/>
          <w:szCs w:val="24"/>
          <w:u w:val="single"/>
        </w:rPr>
      </w:pPr>
    </w:p>
    <w:p w:rsidR="00A809C6" w:rsidRPr="00D5652A" w:rsidRDefault="00A809C6" w:rsidP="00D5652A">
      <w:pPr>
        <w:pStyle w:val="ListParagraph"/>
        <w:spacing w:after="0" w:line="360" w:lineRule="auto"/>
        <w:ind w:left="0"/>
        <w:jc w:val="both"/>
        <w:rPr>
          <w:rFonts w:ascii="Arial" w:hAnsi="Arial" w:cs="Arial"/>
          <w:b/>
          <w:sz w:val="24"/>
          <w:szCs w:val="24"/>
        </w:rPr>
      </w:pPr>
      <w:r w:rsidRPr="00D5652A">
        <w:rPr>
          <w:rFonts w:ascii="Arial" w:hAnsi="Arial" w:cs="Arial"/>
          <w:b/>
          <w:sz w:val="24"/>
          <w:szCs w:val="24"/>
        </w:rPr>
        <w:t>Background</w:t>
      </w:r>
    </w:p>
    <w:p w:rsidR="00A809C6" w:rsidRPr="00D5652A" w:rsidRDefault="00A809C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This matter is the third application</w:t>
      </w:r>
      <w:r w:rsidR="00EE57F0">
        <w:rPr>
          <w:rFonts w:ascii="Arial" w:hAnsi="Arial" w:cs="Arial"/>
          <w:sz w:val="24"/>
          <w:szCs w:val="24"/>
        </w:rPr>
        <w:t xml:space="preserve"> out of four</w:t>
      </w:r>
      <w:r w:rsidRPr="00D5652A">
        <w:rPr>
          <w:rFonts w:ascii="Arial" w:hAnsi="Arial" w:cs="Arial"/>
          <w:sz w:val="24"/>
          <w:szCs w:val="24"/>
        </w:rPr>
        <w:t xml:space="preserve"> </w:t>
      </w:r>
      <w:r w:rsidR="00427EA2">
        <w:rPr>
          <w:rFonts w:ascii="Arial" w:hAnsi="Arial" w:cs="Arial"/>
          <w:sz w:val="24"/>
          <w:szCs w:val="24"/>
        </w:rPr>
        <w:t xml:space="preserve">which </w:t>
      </w:r>
      <w:r w:rsidRPr="00D5652A">
        <w:rPr>
          <w:rFonts w:ascii="Arial" w:hAnsi="Arial" w:cs="Arial"/>
          <w:sz w:val="24"/>
          <w:szCs w:val="24"/>
        </w:rPr>
        <w:t>I have heard in recent weeks, pending the finalization of the review application, which has been set down for hearing on the opposed roll on 20 January 2023. Both Makhathini and the KwaZulu-Natal Department of Health oppose the application.</w:t>
      </w:r>
    </w:p>
    <w:p w:rsidR="00A809C6" w:rsidRPr="00D5652A" w:rsidRDefault="00A809C6" w:rsidP="00D5652A">
      <w:pPr>
        <w:spacing w:after="0" w:line="360" w:lineRule="auto"/>
        <w:contextualSpacing/>
        <w:jc w:val="both"/>
        <w:rPr>
          <w:rFonts w:ascii="Arial" w:hAnsi="Arial" w:cs="Arial"/>
          <w:sz w:val="24"/>
          <w:szCs w:val="24"/>
        </w:rPr>
      </w:pPr>
    </w:p>
    <w:p w:rsidR="00A809C6" w:rsidRPr="00D5652A" w:rsidRDefault="00A809C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Both Buhl</w:t>
      </w:r>
      <w:r w:rsidR="00CA3EB8" w:rsidRPr="00D5652A">
        <w:rPr>
          <w:rFonts w:ascii="Arial" w:hAnsi="Arial" w:cs="Arial"/>
          <w:sz w:val="24"/>
          <w:szCs w:val="24"/>
        </w:rPr>
        <w:t>e and Makhathini applied in separ</w:t>
      </w:r>
      <w:r w:rsidRPr="00D5652A">
        <w:rPr>
          <w:rFonts w:ascii="Arial" w:hAnsi="Arial" w:cs="Arial"/>
          <w:sz w:val="24"/>
          <w:szCs w:val="24"/>
        </w:rPr>
        <w:t xml:space="preserve">ate applications for orders interdicting the KwaZulu-Natal Department of Health from implementing the decision to award the tenders to the successful bidders or to conclude any contracts pursuant to the award of the tender. I heard both </w:t>
      </w:r>
      <w:r w:rsidR="00EF76FA">
        <w:rPr>
          <w:rFonts w:ascii="Arial" w:hAnsi="Arial" w:cs="Arial"/>
          <w:sz w:val="24"/>
          <w:szCs w:val="24"/>
        </w:rPr>
        <w:t xml:space="preserve">these </w:t>
      </w:r>
      <w:r w:rsidRPr="00D5652A">
        <w:rPr>
          <w:rFonts w:ascii="Arial" w:hAnsi="Arial" w:cs="Arial"/>
          <w:sz w:val="24"/>
          <w:szCs w:val="24"/>
        </w:rPr>
        <w:t>applications on 14 October 2022 and subsequently issued orders on 20 October 2022, dismissing both Makhathini</w:t>
      </w:r>
      <w:r w:rsidR="00EF76FA">
        <w:rPr>
          <w:rFonts w:ascii="Arial" w:hAnsi="Arial" w:cs="Arial"/>
          <w:sz w:val="24"/>
          <w:szCs w:val="24"/>
        </w:rPr>
        <w:t>’s</w:t>
      </w:r>
      <w:r w:rsidRPr="00D5652A">
        <w:rPr>
          <w:rFonts w:ascii="Arial" w:hAnsi="Arial" w:cs="Arial"/>
          <w:sz w:val="24"/>
          <w:szCs w:val="24"/>
        </w:rPr>
        <w:t xml:space="preserve"> and Buhle’s appli</w:t>
      </w:r>
      <w:r w:rsidR="00CA3EB8" w:rsidRPr="00D5652A">
        <w:rPr>
          <w:rFonts w:ascii="Arial" w:hAnsi="Arial" w:cs="Arial"/>
          <w:sz w:val="24"/>
          <w:szCs w:val="24"/>
        </w:rPr>
        <w:t>cations for interdictory relief, with the reasons to follow.</w:t>
      </w:r>
      <w:r w:rsidRPr="00D5652A">
        <w:rPr>
          <w:rFonts w:ascii="Arial" w:hAnsi="Arial" w:cs="Arial"/>
          <w:sz w:val="24"/>
          <w:szCs w:val="24"/>
        </w:rPr>
        <w:t xml:space="preserve"> </w:t>
      </w:r>
    </w:p>
    <w:p w:rsidR="00A809C6" w:rsidRPr="00D5652A" w:rsidRDefault="00A809C6" w:rsidP="00D5652A">
      <w:pPr>
        <w:spacing w:after="0" w:line="360" w:lineRule="auto"/>
        <w:contextualSpacing/>
        <w:jc w:val="both"/>
        <w:rPr>
          <w:rFonts w:ascii="Arial" w:hAnsi="Arial" w:cs="Arial"/>
          <w:sz w:val="24"/>
          <w:szCs w:val="24"/>
        </w:rPr>
      </w:pPr>
    </w:p>
    <w:p w:rsidR="00A809C6" w:rsidRPr="00D5652A" w:rsidRDefault="00A809C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It is common cause that the KwaZulu-Natal Department of Health (the Department) on 17 July 2020 published a tender under Bid Document number ZNB5296/2020-H, inviting tenders for the provision of health care risk waste management services</w:t>
      </w:r>
      <w:r w:rsidR="00CA3EB8" w:rsidRPr="00D5652A">
        <w:rPr>
          <w:rFonts w:ascii="Arial" w:hAnsi="Arial" w:cs="Arial"/>
          <w:sz w:val="24"/>
          <w:szCs w:val="24"/>
        </w:rPr>
        <w:t xml:space="preserve"> (</w:t>
      </w:r>
      <w:r w:rsidRPr="00D5652A">
        <w:rPr>
          <w:rFonts w:ascii="Arial" w:hAnsi="Arial" w:cs="Arial"/>
          <w:sz w:val="24"/>
          <w:szCs w:val="24"/>
        </w:rPr>
        <w:t>the services) for a period of three years in three different regions or areas.</w:t>
      </w:r>
    </w:p>
    <w:p w:rsidR="00A809C6" w:rsidRPr="00D5652A" w:rsidRDefault="00A809C6" w:rsidP="00D5652A">
      <w:pPr>
        <w:spacing w:after="0" w:line="360" w:lineRule="auto"/>
        <w:contextualSpacing/>
        <w:jc w:val="both"/>
        <w:rPr>
          <w:rFonts w:ascii="Arial" w:hAnsi="Arial" w:cs="Arial"/>
          <w:sz w:val="24"/>
          <w:szCs w:val="24"/>
        </w:rPr>
      </w:pPr>
    </w:p>
    <w:p w:rsidR="00A809C6" w:rsidRPr="00D5652A" w:rsidRDefault="00A809C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Makhathini was awarded the tender for Area 1. Compass Medical Waste Services (Pty) Ltd</w:t>
      </w:r>
      <w:r w:rsidR="00CA3EB8" w:rsidRPr="00D5652A">
        <w:rPr>
          <w:rFonts w:ascii="Arial" w:hAnsi="Arial" w:cs="Arial"/>
          <w:sz w:val="24"/>
          <w:szCs w:val="24"/>
        </w:rPr>
        <w:t xml:space="preserve"> (</w:t>
      </w:r>
      <w:r w:rsidRPr="00D5652A">
        <w:rPr>
          <w:rFonts w:ascii="Arial" w:hAnsi="Arial" w:cs="Arial"/>
          <w:sz w:val="24"/>
          <w:szCs w:val="24"/>
        </w:rPr>
        <w:t>Compass</w:t>
      </w:r>
      <w:r w:rsidR="00CA3EB8" w:rsidRPr="00D5652A">
        <w:rPr>
          <w:rFonts w:ascii="Arial" w:hAnsi="Arial" w:cs="Arial"/>
          <w:sz w:val="24"/>
          <w:szCs w:val="24"/>
        </w:rPr>
        <w:t>)</w:t>
      </w:r>
      <w:r w:rsidRPr="00D5652A">
        <w:rPr>
          <w:rFonts w:ascii="Arial" w:hAnsi="Arial" w:cs="Arial"/>
          <w:sz w:val="24"/>
          <w:szCs w:val="24"/>
        </w:rPr>
        <w:t xml:space="preserve">, the second respondent in the review application, was awarded the tender for Area 2. Ecocycle Waste Solutions (Pty) Ltd (Ecocycle) and Vikela Africa Waste Care CC (Vikela) as a joint </w:t>
      </w:r>
      <w:proofErr w:type="gramStart"/>
      <w:r w:rsidRPr="00D5652A">
        <w:rPr>
          <w:rFonts w:ascii="Arial" w:hAnsi="Arial" w:cs="Arial"/>
          <w:sz w:val="24"/>
          <w:szCs w:val="24"/>
        </w:rPr>
        <w:t>venture,</w:t>
      </w:r>
      <w:proofErr w:type="gramEnd"/>
      <w:r w:rsidRPr="00D5652A">
        <w:rPr>
          <w:rFonts w:ascii="Arial" w:hAnsi="Arial" w:cs="Arial"/>
          <w:sz w:val="24"/>
          <w:szCs w:val="24"/>
        </w:rPr>
        <w:t xml:space="preserve"> were awarded the tender for Area 3.</w:t>
      </w:r>
    </w:p>
    <w:p w:rsidR="00A809C6" w:rsidRPr="00D5652A" w:rsidRDefault="00A809C6" w:rsidP="00D5652A">
      <w:pPr>
        <w:spacing w:after="0" w:line="360" w:lineRule="auto"/>
        <w:contextualSpacing/>
        <w:jc w:val="both"/>
        <w:rPr>
          <w:rFonts w:ascii="Arial" w:hAnsi="Arial" w:cs="Arial"/>
          <w:sz w:val="24"/>
          <w:szCs w:val="24"/>
        </w:rPr>
      </w:pPr>
    </w:p>
    <w:p w:rsidR="00A809C6" w:rsidRPr="00D5652A" w:rsidRDefault="00A809C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Makhathini seeks to review only the decision to award the tender to Compass in respect of Area 2 in its review application. Ecocycle and Vikela are accordingly not cited in the review application as they have no interest in the matter. </w:t>
      </w:r>
    </w:p>
    <w:p w:rsidR="00A809C6" w:rsidRPr="00D5652A" w:rsidRDefault="00A809C6" w:rsidP="00D5652A">
      <w:pPr>
        <w:spacing w:after="0" w:line="360" w:lineRule="auto"/>
        <w:contextualSpacing/>
        <w:jc w:val="both"/>
        <w:rPr>
          <w:rFonts w:ascii="Arial" w:hAnsi="Arial" w:cs="Arial"/>
          <w:sz w:val="24"/>
          <w:szCs w:val="24"/>
        </w:rPr>
      </w:pPr>
    </w:p>
    <w:p w:rsidR="00A809C6" w:rsidRPr="00D5652A" w:rsidRDefault="00A809C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Buhle submitted bids in respect of all 3 areas but was unsuccessful. It </w:t>
      </w:r>
      <w:r w:rsidR="00FE2109">
        <w:rPr>
          <w:rFonts w:ascii="Arial" w:hAnsi="Arial" w:cs="Arial"/>
          <w:sz w:val="24"/>
          <w:szCs w:val="24"/>
        </w:rPr>
        <w:t xml:space="preserve">now </w:t>
      </w:r>
      <w:r w:rsidRPr="00D5652A">
        <w:rPr>
          <w:rFonts w:ascii="Arial" w:hAnsi="Arial" w:cs="Arial"/>
          <w:sz w:val="24"/>
          <w:szCs w:val="24"/>
        </w:rPr>
        <w:t xml:space="preserve">seeks to review the award in respect of all three </w:t>
      </w:r>
      <w:r w:rsidR="004F2069">
        <w:rPr>
          <w:rFonts w:ascii="Arial" w:hAnsi="Arial" w:cs="Arial"/>
          <w:sz w:val="24"/>
          <w:szCs w:val="24"/>
        </w:rPr>
        <w:t>areas</w:t>
      </w:r>
      <w:r w:rsidRPr="00D5652A">
        <w:rPr>
          <w:rFonts w:ascii="Arial" w:hAnsi="Arial" w:cs="Arial"/>
          <w:sz w:val="24"/>
          <w:szCs w:val="24"/>
        </w:rPr>
        <w:t>, in other words</w:t>
      </w:r>
      <w:r w:rsidR="00EF76FA">
        <w:rPr>
          <w:rFonts w:ascii="Arial" w:hAnsi="Arial" w:cs="Arial"/>
          <w:sz w:val="24"/>
          <w:szCs w:val="24"/>
        </w:rPr>
        <w:t>,</w:t>
      </w:r>
      <w:r w:rsidRPr="00D5652A">
        <w:rPr>
          <w:rFonts w:ascii="Arial" w:hAnsi="Arial" w:cs="Arial"/>
          <w:sz w:val="24"/>
          <w:szCs w:val="24"/>
        </w:rPr>
        <w:t xml:space="preserve"> in addition to the award to Compass, also the award to Makhathini in respect of Area 1 and the award to the Ecocycle Vikela Joint Venture in respect of Area 3.</w:t>
      </w:r>
    </w:p>
    <w:p w:rsidR="00A809C6" w:rsidRPr="00D5652A" w:rsidRDefault="00A809C6" w:rsidP="00D5652A">
      <w:pPr>
        <w:spacing w:after="0" w:line="360" w:lineRule="auto"/>
        <w:contextualSpacing/>
        <w:jc w:val="both"/>
        <w:rPr>
          <w:rFonts w:ascii="Arial" w:hAnsi="Arial" w:cs="Arial"/>
          <w:sz w:val="24"/>
          <w:szCs w:val="24"/>
        </w:rPr>
      </w:pPr>
    </w:p>
    <w:p w:rsidR="00A809C6" w:rsidRPr="00D5652A" w:rsidRDefault="00A809C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Buhle is the current service provider to the Department and has been doing so in terms of a so-called piggyback arrangement through </w:t>
      </w:r>
      <w:proofErr w:type="gramStart"/>
      <w:r w:rsidRPr="00D5652A">
        <w:rPr>
          <w:rFonts w:ascii="Arial" w:hAnsi="Arial" w:cs="Arial"/>
          <w:sz w:val="24"/>
          <w:szCs w:val="24"/>
        </w:rPr>
        <w:t>a</w:t>
      </w:r>
      <w:proofErr w:type="gramEnd"/>
      <w:r w:rsidRPr="00D5652A">
        <w:rPr>
          <w:rFonts w:ascii="Arial" w:hAnsi="Arial" w:cs="Arial"/>
          <w:sz w:val="24"/>
          <w:szCs w:val="24"/>
        </w:rPr>
        <w:t xml:space="preserve"> Mpumalanga Health Department </w:t>
      </w:r>
      <w:r w:rsidR="00EF76FA" w:rsidRPr="00D5652A">
        <w:rPr>
          <w:rFonts w:ascii="Arial" w:hAnsi="Arial" w:cs="Arial"/>
          <w:sz w:val="24"/>
          <w:szCs w:val="24"/>
        </w:rPr>
        <w:t xml:space="preserve">contract </w:t>
      </w:r>
      <w:r w:rsidRPr="00D5652A">
        <w:rPr>
          <w:rFonts w:ascii="Arial" w:hAnsi="Arial" w:cs="Arial"/>
          <w:sz w:val="24"/>
          <w:szCs w:val="24"/>
        </w:rPr>
        <w:t>approved in terms of Treasury Regulation 16A6.6</w:t>
      </w:r>
      <w:r w:rsidR="00A878B4">
        <w:rPr>
          <w:rStyle w:val="FootnoteReference"/>
          <w:rFonts w:ascii="Arial" w:hAnsi="Arial" w:cs="Arial"/>
          <w:sz w:val="24"/>
          <w:szCs w:val="24"/>
        </w:rPr>
        <w:footnoteReference w:id="1"/>
      </w:r>
      <w:r w:rsidRPr="00D5652A">
        <w:rPr>
          <w:rFonts w:ascii="Arial" w:hAnsi="Arial" w:cs="Arial"/>
          <w:sz w:val="24"/>
          <w:szCs w:val="24"/>
        </w:rPr>
        <w:t xml:space="preserve"> around April 2019. Buhle was initially appointed for 6 months</w:t>
      </w:r>
      <w:r w:rsidR="004F2069">
        <w:rPr>
          <w:rFonts w:ascii="Arial" w:hAnsi="Arial" w:cs="Arial"/>
          <w:sz w:val="24"/>
          <w:szCs w:val="24"/>
        </w:rPr>
        <w:t>,</w:t>
      </w:r>
      <w:r w:rsidRPr="00D5652A">
        <w:rPr>
          <w:rFonts w:ascii="Arial" w:hAnsi="Arial" w:cs="Arial"/>
          <w:sz w:val="24"/>
          <w:szCs w:val="24"/>
        </w:rPr>
        <w:t xml:space="preserve"> which appointment was subsequently extended on a month-to-month basis to 30 June 2021 and then to 31 December 2021 and thereafter. The Mpumalanga contract expired on 30 November 2022 and Buhle’s provision of services</w:t>
      </w:r>
      <w:r w:rsidR="00CA3EB8" w:rsidRPr="00D5652A">
        <w:rPr>
          <w:rFonts w:ascii="Arial" w:hAnsi="Arial" w:cs="Arial"/>
          <w:sz w:val="24"/>
          <w:szCs w:val="24"/>
        </w:rPr>
        <w:t xml:space="preserve"> in terms of that contract </w:t>
      </w:r>
      <w:r w:rsidRPr="00D5652A">
        <w:rPr>
          <w:rFonts w:ascii="Arial" w:hAnsi="Arial" w:cs="Arial"/>
          <w:sz w:val="24"/>
          <w:szCs w:val="24"/>
        </w:rPr>
        <w:t>terminated on that date.</w:t>
      </w:r>
    </w:p>
    <w:p w:rsidR="00A809C6" w:rsidRPr="00D5652A" w:rsidRDefault="00A809C6" w:rsidP="00D5652A">
      <w:pPr>
        <w:spacing w:after="0" w:line="360" w:lineRule="auto"/>
        <w:contextualSpacing/>
        <w:jc w:val="both"/>
        <w:rPr>
          <w:rFonts w:ascii="Arial" w:hAnsi="Arial" w:cs="Arial"/>
          <w:sz w:val="24"/>
          <w:szCs w:val="24"/>
        </w:rPr>
      </w:pPr>
    </w:p>
    <w:p w:rsidR="00A809C6" w:rsidRPr="00D5652A" w:rsidRDefault="00A809C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It is perhaps worth mentioning that Buhle was also providing similar services to the Free State Department of Health, where it chose to participate in a piggyback contract concluded between the Department of Health of Limpopo and Buhle. The contract between Buhle and the Free State Department of Health was declared unlawful and set aside by </w:t>
      </w:r>
      <w:r w:rsidR="00A878B4">
        <w:rPr>
          <w:rFonts w:ascii="Arial" w:hAnsi="Arial" w:cs="Arial"/>
          <w:sz w:val="24"/>
          <w:szCs w:val="24"/>
        </w:rPr>
        <w:t xml:space="preserve">the Free State Division of the High Court </w:t>
      </w:r>
      <w:r w:rsidRPr="00D5652A">
        <w:rPr>
          <w:rFonts w:ascii="Arial" w:hAnsi="Arial" w:cs="Arial"/>
          <w:sz w:val="24"/>
          <w:szCs w:val="24"/>
        </w:rPr>
        <w:t>in</w:t>
      </w:r>
      <w:r w:rsidR="00A878B4">
        <w:rPr>
          <w:rFonts w:ascii="Arial" w:hAnsi="Arial" w:cs="Arial"/>
          <w:sz w:val="24"/>
          <w:szCs w:val="24"/>
        </w:rPr>
        <w:t xml:space="preserve"> </w:t>
      </w:r>
      <w:r w:rsidR="00A878B4" w:rsidRPr="00A878B4">
        <w:rPr>
          <w:rFonts w:ascii="Arial" w:hAnsi="Arial" w:cs="Arial"/>
          <w:i/>
          <w:sz w:val="24"/>
          <w:szCs w:val="24"/>
        </w:rPr>
        <w:t>Compass Medical Waste Services (Pty) Ltd v MEC Department of Health, Free State and others</w:t>
      </w:r>
      <w:r w:rsidRPr="00D5652A">
        <w:rPr>
          <w:rFonts w:ascii="Arial" w:hAnsi="Arial" w:cs="Arial"/>
          <w:sz w:val="24"/>
          <w:szCs w:val="24"/>
        </w:rPr>
        <w:t>.</w:t>
      </w:r>
      <w:r w:rsidR="00501462">
        <w:rPr>
          <w:rStyle w:val="FootnoteReference"/>
          <w:rFonts w:ascii="Arial" w:hAnsi="Arial" w:cs="Arial"/>
          <w:sz w:val="24"/>
          <w:szCs w:val="24"/>
        </w:rPr>
        <w:footnoteReference w:id="2"/>
      </w:r>
      <w:r w:rsidRPr="00D5652A">
        <w:rPr>
          <w:rFonts w:ascii="Arial" w:hAnsi="Arial" w:cs="Arial"/>
          <w:sz w:val="24"/>
          <w:szCs w:val="24"/>
        </w:rPr>
        <w:t xml:space="preserve"> </w:t>
      </w:r>
    </w:p>
    <w:p w:rsidR="00A809C6" w:rsidRPr="00D5652A" w:rsidRDefault="00A809C6" w:rsidP="00D5652A">
      <w:pPr>
        <w:spacing w:after="0" w:line="360" w:lineRule="auto"/>
        <w:contextualSpacing/>
        <w:jc w:val="both"/>
        <w:rPr>
          <w:rFonts w:ascii="Arial" w:hAnsi="Arial" w:cs="Arial"/>
          <w:sz w:val="24"/>
          <w:szCs w:val="24"/>
        </w:rPr>
      </w:pPr>
    </w:p>
    <w:p w:rsidR="00A809C6" w:rsidRPr="00D5652A" w:rsidRDefault="00CA3EB8" w:rsidP="00D5652A">
      <w:pPr>
        <w:pStyle w:val="ListParagraph"/>
        <w:spacing w:after="0" w:line="360" w:lineRule="auto"/>
        <w:ind w:left="0"/>
        <w:jc w:val="both"/>
        <w:rPr>
          <w:rFonts w:ascii="Arial" w:hAnsi="Arial" w:cs="Arial"/>
          <w:b/>
          <w:sz w:val="24"/>
          <w:szCs w:val="24"/>
        </w:rPr>
      </w:pPr>
      <w:r w:rsidRPr="00D5652A">
        <w:rPr>
          <w:rFonts w:ascii="Arial" w:hAnsi="Arial" w:cs="Arial"/>
          <w:b/>
          <w:sz w:val="24"/>
          <w:szCs w:val="24"/>
        </w:rPr>
        <w:t xml:space="preserve">Buhle’s </w:t>
      </w:r>
      <w:r w:rsidR="004F2069">
        <w:rPr>
          <w:rFonts w:ascii="Arial" w:hAnsi="Arial" w:cs="Arial"/>
          <w:b/>
          <w:sz w:val="24"/>
          <w:szCs w:val="24"/>
        </w:rPr>
        <w:t>case</w:t>
      </w:r>
    </w:p>
    <w:p w:rsidR="00A809C6" w:rsidRPr="00D5652A" w:rsidRDefault="00A809C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It is Buhle’s case that it instructed its attorneys on 7 May 2021 to deliver a notice of appeal to the Department, on the day </w:t>
      </w:r>
      <w:r w:rsidR="004F2069">
        <w:rPr>
          <w:rFonts w:ascii="Arial" w:hAnsi="Arial" w:cs="Arial"/>
          <w:sz w:val="24"/>
          <w:szCs w:val="24"/>
        </w:rPr>
        <w:t xml:space="preserve">that </w:t>
      </w:r>
      <w:r w:rsidRPr="00D5652A">
        <w:rPr>
          <w:rFonts w:ascii="Arial" w:hAnsi="Arial" w:cs="Arial"/>
          <w:sz w:val="24"/>
          <w:szCs w:val="24"/>
        </w:rPr>
        <w:t>the tender was awarded to Makhathini, Compass and the Ecocycle Vikela Joint Venture. A notice of appeal which also incorporated a request for reasons was subsequently sent to the Department on 17 May 2021, in accordance with Item 19(2) of the KwaZulu-Natal Supply Chain Management Policy Framework (the Supply Chain Policy).</w:t>
      </w:r>
    </w:p>
    <w:p w:rsidR="00A809C6" w:rsidRPr="00D5652A" w:rsidRDefault="00A809C6" w:rsidP="00D5652A">
      <w:pPr>
        <w:spacing w:after="0" w:line="360" w:lineRule="auto"/>
        <w:contextualSpacing/>
        <w:jc w:val="both"/>
        <w:rPr>
          <w:rFonts w:ascii="Arial" w:hAnsi="Arial" w:cs="Arial"/>
          <w:sz w:val="24"/>
          <w:szCs w:val="24"/>
        </w:rPr>
      </w:pPr>
    </w:p>
    <w:p w:rsidR="00A809C6" w:rsidRPr="00D5652A" w:rsidRDefault="00A809C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Item 18 of the Supply Chain Policy deals with the establishment of the Bid Appeals Tribunal by the MEC for Finance and Economic Development.</w:t>
      </w:r>
    </w:p>
    <w:p w:rsidR="00A809C6" w:rsidRPr="00D5652A" w:rsidRDefault="00A809C6" w:rsidP="00D5652A">
      <w:pPr>
        <w:spacing w:after="0" w:line="360" w:lineRule="auto"/>
        <w:contextualSpacing/>
        <w:jc w:val="both"/>
        <w:rPr>
          <w:rFonts w:ascii="Arial" w:hAnsi="Arial" w:cs="Arial"/>
          <w:sz w:val="24"/>
          <w:szCs w:val="24"/>
        </w:rPr>
      </w:pPr>
    </w:p>
    <w:p w:rsidR="00A809C6" w:rsidRPr="00D5652A" w:rsidRDefault="00A809C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Item 19 sets out the appeal procedure. The relevant portions read as follows:</w:t>
      </w:r>
    </w:p>
    <w:p w:rsidR="00A809C6" w:rsidRPr="00427EA2" w:rsidRDefault="00A809C6" w:rsidP="00D5652A">
      <w:pPr>
        <w:pStyle w:val="ListParagraph"/>
        <w:spacing w:after="0" w:line="360" w:lineRule="auto"/>
        <w:ind w:left="0"/>
        <w:jc w:val="both"/>
        <w:rPr>
          <w:rFonts w:ascii="Arial" w:hAnsi="Arial" w:cs="Arial"/>
          <w:szCs w:val="24"/>
        </w:rPr>
      </w:pPr>
      <w:r w:rsidRPr="00427EA2">
        <w:rPr>
          <w:rFonts w:ascii="Arial" w:hAnsi="Arial" w:cs="Arial"/>
          <w:szCs w:val="24"/>
        </w:rPr>
        <w:t xml:space="preserve">‘(1) The following entities aggrieved by a decision of a departmental Bid Adjudication Committee or a delegate of an accounting officer, may appeal to the Bid Appeals Tribunal in the prescribed manner – </w:t>
      </w:r>
    </w:p>
    <w:p w:rsidR="00A809C6" w:rsidRPr="00427EA2" w:rsidRDefault="00296FCC" w:rsidP="00296FCC">
      <w:pPr>
        <w:pStyle w:val="ListParagraph"/>
        <w:spacing w:after="0" w:line="360" w:lineRule="auto"/>
        <w:jc w:val="both"/>
        <w:rPr>
          <w:rFonts w:ascii="Arial" w:hAnsi="Arial" w:cs="Arial"/>
          <w:szCs w:val="24"/>
        </w:rPr>
      </w:pPr>
      <w:r>
        <w:rPr>
          <w:rFonts w:ascii="Arial" w:hAnsi="Arial" w:cs="Arial"/>
          <w:szCs w:val="24"/>
        </w:rPr>
        <w:t>(a)</w:t>
      </w:r>
      <w:r>
        <w:rPr>
          <w:rFonts w:ascii="Arial" w:hAnsi="Arial" w:cs="Arial"/>
          <w:szCs w:val="24"/>
        </w:rPr>
        <w:tab/>
      </w:r>
      <w:proofErr w:type="gramStart"/>
      <w:r w:rsidR="00A809C6" w:rsidRPr="00427EA2">
        <w:rPr>
          <w:rFonts w:ascii="Arial" w:hAnsi="Arial" w:cs="Arial"/>
          <w:szCs w:val="24"/>
        </w:rPr>
        <w:t>a</w:t>
      </w:r>
      <w:proofErr w:type="gramEnd"/>
      <w:r w:rsidR="00A809C6" w:rsidRPr="00427EA2">
        <w:rPr>
          <w:rFonts w:ascii="Arial" w:hAnsi="Arial" w:cs="Arial"/>
          <w:szCs w:val="24"/>
        </w:rPr>
        <w:t xml:space="preserve"> department;</w:t>
      </w:r>
    </w:p>
    <w:p w:rsidR="00A809C6" w:rsidRPr="00427EA2" w:rsidRDefault="00296FCC" w:rsidP="00296FCC">
      <w:pPr>
        <w:pStyle w:val="ListParagraph"/>
        <w:spacing w:after="0" w:line="360" w:lineRule="auto"/>
        <w:jc w:val="both"/>
        <w:rPr>
          <w:rFonts w:ascii="Arial" w:hAnsi="Arial" w:cs="Arial"/>
          <w:szCs w:val="24"/>
        </w:rPr>
      </w:pPr>
      <w:r>
        <w:rPr>
          <w:rFonts w:ascii="Arial" w:hAnsi="Arial" w:cs="Arial"/>
          <w:szCs w:val="24"/>
        </w:rPr>
        <w:t>(b)</w:t>
      </w:r>
      <w:r>
        <w:rPr>
          <w:rFonts w:ascii="Arial" w:hAnsi="Arial" w:cs="Arial"/>
          <w:szCs w:val="24"/>
        </w:rPr>
        <w:tab/>
      </w:r>
      <w:proofErr w:type="gramStart"/>
      <w:r w:rsidR="00A809C6" w:rsidRPr="00427EA2">
        <w:rPr>
          <w:rFonts w:ascii="Arial" w:hAnsi="Arial" w:cs="Arial"/>
          <w:szCs w:val="24"/>
        </w:rPr>
        <w:t>a</w:t>
      </w:r>
      <w:proofErr w:type="gramEnd"/>
      <w:r w:rsidR="00A809C6" w:rsidRPr="00427EA2">
        <w:rPr>
          <w:rFonts w:ascii="Arial" w:hAnsi="Arial" w:cs="Arial"/>
          <w:szCs w:val="24"/>
        </w:rPr>
        <w:t xml:space="preserve"> bidder</w:t>
      </w:r>
      <w:r>
        <w:rPr>
          <w:rFonts w:ascii="Arial" w:hAnsi="Arial" w:cs="Arial"/>
          <w:szCs w:val="24"/>
        </w:rPr>
        <w:t>.</w:t>
      </w:r>
      <w:r w:rsidR="00A809C6" w:rsidRPr="00427EA2">
        <w:rPr>
          <w:rFonts w:ascii="Arial" w:hAnsi="Arial" w:cs="Arial"/>
          <w:szCs w:val="24"/>
        </w:rPr>
        <w:t xml:space="preserve"> </w:t>
      </w:r>
    </w:p>
    <w:p w:rsidR="00A809C6" w:rsidRPr="00427EA2" w:rsidRDefault="00A809C6" w:rsidP="00D5652A">
      <w:pPr>
        <w:pStyle w:val="ListParagraph"/>
        <w:spacing w:after="0" w:line="360" w:lineRule="auto"/>
        <w:ind w:left="0"/>
        <w:jc w:val="both"/>
        <w:rPr>
          <w:rFonts w:ascii="Arial" w:hAnsi="Arial" w:cs="Arial"/>
          <w:szCs w:val="24"/>
        </w:rPr>
      </w:pPr>
      <w:r w:rsidRPr="00427EA2">
        <w:rPr>
          <w:rFonts w:ascii="Arial" w:hAnsi="Arial" w:cs="Arial"/>
          <w:szCs w:val="24"/>
        </w:rPr>
        <w:t>(2)</w:t>
      </w:r>
      <w:r w:rsidRPr="00427EA2">
        <w:rPr>
          <w:rFonts w:ascii="Arial" w:hAnsi="Arial" w:cs="Arial"/>
          <w:szCs w:val="24"/>
        </w:rPr>
        <w:tab/>
        <w:t>The department or bidder must, within five working days of receipt of the notification of an award, deliver written notification of an intention to appeal.</w:t>
      </w:r>
    </w:p>
    <w:p w:rsidR="00A809C6" w:rsidRPr="00427EA2" w:rsidRDefault="00A809C6" w:rsidP="00D5652A">
      <w:pPr>
        <w:pStyle w:val="ListParagraph"/>
        <w:spacing w:after="0" w:line="360" w:lineRule="auto"/>
        <w:ind w:left="0"/>
        <w:jc w:val="both"/>
        <w:rPr>
          <w:rFonts w:ascii="Arial" w:hAnsi="Arial" w:cs="Arial"/>
          <w:szCs w:val="24"/>
        </w:rPr>
      </w:pPr>
      <w:r w:rsidRPr="00427EA2">
        <w:rPr>
          <w:rFonts w:ascii="Arial" w:hAnsi="Arial" w:cs="Arial"/>
          <w:szCs w:val="24"/>
        </w:rPr>
        <w:t>(3)</w:t>
      </w:r>
      <w:r w:rsidRPr="00427EA2">
        <w:rPr>
          <w:rFonts w:ascii="Arial" w:hAnsi="Arial" w:cs="Arial"/>
          <w:szCs w:val="24"/>
        </w:rPr>
        <w:tab/>
        <w:t>The department or bidder may, together with the notification of intention to appeal under paragraph (2), deliver a request for written reasons for the award of the said bid.</w:t>
      </w:r>
    </w:p>
    <w:p w:rsidR="00A809C6" w:rsidRPr="00427EA2" w:rsidRDefault="00A809C6" w:rsidP="00D5652A">
      <w:pPr>
        <w:pStyle w:val="ListParagraph"/>
        <w:spacing w:after="0" w:line="360" w:lineRule="auto"/>
        <w:ind w:left="0"/>
        <w:jc w:val="both"/>
        <w:rPr>
          <w:rFonts w:ascii="Arial" w:hAnsi="Arial" w:cs="Arial"/>
          <w:szCs w:val="24"/>
        </w:rPr>
      </w:pPr>
      <w:r w:rsidRPr="00427EA2">
        <w:rPr>
          <w:rFonts w:ascii="Arial" w:hAnsi="Arial" w:cs="Arial"/>
          <w:szCs w:val="24"/>
        </w:rPr>
        <w:t>(4)</w:t>
      </w:r>
      <w:r w:rsidRPr="00427EA2">
        <w:rPr>
          <w:rFonts w:ascii="Arial" w:hAnsi="Arial" w:cs="Arial"/>
          <w:szCs w:val="24"/>
        </w:rPr>
        <w:tab/>
        <w:t>The Bid Adjudication Committee or a delegate of an accounting officer must deliver to the appellant the written reasons requested under paragraph (3) within ten working days.</w:t>
      </w:r>
    </w:p>
    <w:p w:rsidR="00A809C6" w:rsidRPr="00427EA2" w:rsidRDefault="00A809C6" w:rsidP="00D5652A">
      <w:pPr>
        <w:pStyle w:val="ListParagraph"/>
        <w:spacing w:after="0" w:line="360" w:lineRule="auto"/>
        <w:ind w:left="0"/>
        <w:jc w:val="both"/>
        <w:rPr>
          <w:rFonts w:ascii="Arial" w:hAnsi="Arial" w:cs="Arial"/>
          <w:szCs w:val="24"/>
        </w:rPr>
      </w:pPr>
      <w:r w:rsidRPr="00427EA2">
        <w:rPr>
          <w:rFonts w:ascii="Arial" w:hAnsi="Arial" w:cs="Arial"/>
          <w:szCs w:val="24"/>
        </w:rPr>
        <w:t>(5)</w:t>
      </w:r>
      <w:r w:rsidRPr="00427EA2">
        <w:rPr>
          <w:rFonts w:ascii="Arial" w:hAnsi="Arial" w:cs="Arial"/>
          <w:szCs w:val="24"/>
        </w:rPr>
        <w:tab/>
        <w:t xml:space="preserve">The appellant must, within ten working days of receipt of the written reasons delivered under paragraph (4), or, failing a request for written reasons under paragraph (3), within ten working days of giving notice under paragraph (2), submit written representations to the Bid Appeals Tribunal, indicating sufficiently and without unnecessary elaboration the grounds and basis of the appeal and the nature of the complaint. </w:t>
      </w:r>
    </w:p>
    <w:p w:rsidR="00A809C6" w:rsidRPr="00427EA2" w:rsidRDefault="00A809C6" w:rsidP="00D5652A">
      <w:pPr>
        <w:pStyle w:val="ListParagraph"/>
        <w:spacing w:after="0" w:line="360" w:lineRule="auto"/>
        <w:ind w:left="0"/>
        <w:jc w:val="both"/>
        <w:rPr>
          <w:rFonts w:ascii="Arial" w:hAnsi="Arial" w:cs="Arial"/>
          <w:szCs w:val="24"/>
        </w:rPr>
      </w:pPr>
      <w:r w:rsidRPr="00427EA2">
        <w:rPr>
          <w:rFonts w:ascii="Arial" w:hAnsi="Arial" w:cs="Arial"/>
          <w:szCs w:val="24"/>
        </w:rPr>
        <w:t>(6)</w:t>
      </w:r>
      <w:r w:rsidRPr="00427EA2">
        <w:rPr>
          <w:rFonts w:ascii="Arial" w:hAnsi="Arial" w:cs="Arial"/>
          <w:szCs w:val="24"/>
        </w:rPr>
        <w:tab/>
        <w:t xml:space="preserve">Upon receipt of </w:t>
      </w:r>
      <w:r w:rsidR="00296FCC">
        <w:rPr>
          <w:rFonts w:ascii="Arial" w:hAnsi="Arial" w:cs="Arial"/>
          <w:szCs w:val="24"/>
        </w:rPr>
        <w:t>a</w:t>
      </w:r>
      <w:r w:rsidRPr="00427EA2">
        <w:rPr>
          <w:rFonts w:ascii="Arial" w:hAnsi="Arial" w:cs="Arial"/>
          <w:szCs w:val="24"/>
        </w:rPr>
        <w:t xml:space="preserve"> notice of intention to appeal, the Bid Appeals Tribunal must notify other bidders who  may be adversely affected by the appeal, in writing of the appeal and invite them to respond within five working days.’</w:t>
      </w:r>
    </w:p>
    <w:p w:rsidR="00A809C6" w:rsidRPr="00D5652A" w:rsidRDefault="00A809C6" w:rsidP="00D5652A">
      <w:pPr>
        <w:spacing w:after="0" w:line="360" w:lineRule="auto"/>
        <w:contextualSpacing/>
        <w:jc w:val="both"/>
        <w:rPr>
          <w:rFonts w:ascii="Arial" w:hAnsi="Arial" w:cs="Arial"/>
          <w:sz w:val="24"/>
          <w:szCs w:val="24"/>
        </w:rPr>
      </w:pPr>
    </w:p>
    <w:p w:rsidR="00A809C6" w:rsidRPr="00D5652A" w:rsidRDefault="00A809C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Buhle alleges that the Depar</w:t>
      </w:r>
      <w:r w:rsidR="00CA3EB8" w:rsidRPr="00D5652A">
        <w:rPr>
          <w:rFonts w:ascii="Arial" w:hAnsi="Arial" w:cs="Arial"/>
          <w:sz w:val="24"/>
          <w:szCs w:val="24"/>
        </w:rPr>
        <w:t xml:space="preserve">tment has </w:t>
      </w:r>
      <w:r w:rsidR="004F2069">
        <w:rPr>
          <w:rFonts w:ascii="Arial" w:hAnsi="Arial" w:cs="Arial"/>
          <w:sz w:val="24"/>
          <w:szCs w:val="24"/>
        </w:rPr>
        <w:t xml:space="preserve">to date </w:t>
      </w:r>
      <w:r w:rsidR="00CA3EB8" w:rsidRPr="00D5652A">
        <w:rPr>
          <w:rFonts w:ascii="Arial" w:hAnsi="Arial" w:cs="Arial"/>
          <w:sz w:val="24"/>
          <w:szCs w:val="24"/>
        </w:rPr>
        <w:t>not responded</w:t>
      </w:r>
      <w:r w:rsidRPr="00D5652A">
        <w:rPr>
          <w:rFonts w:ascii="Arial" w:hAnsi="Arial" w:cs="Arial"/>
          <w:sz w:val="24"/>
          <w:szCs w:val="24"/>
        </w:rPr>
        <w:t xml:space="preserve"> to its request for reasons. It is perhaps important to note that the so called notice of appeal sent on Buhle’s behalf on 17 May 2021 (outside the 5 day period) was not addressed or sent to the Department but to the Bid Appeals Tribunal. One would have expected Buhle to also address and deliver its notice of appeal and its request </w:t>
      </w:r>
      <w:r w:rsidR="00FE2109">
        <w:rPr>
          <w:rFonts w:ascii="Arial" w:hAnsi="Arial" w:cs="Arial"/>
          <w:sz w:val="24"/>
          <w:szCs w:val="24"/>
        </w:rPr>
        <w:t xml:space="preserve">for reasons to the </w:t>
      </w:r>
      <w:r w:rsidR="006449C8">
        <w:rPr>
          <w:rFonts w:ascii="Arial" w:hAnsi="Arial" w:cs="Arial"/>
          <w:sz w:val="24"/>
          <w:szCs w:val="24"/>
        </w:rPr>
        <w:t xml:space="preserve">Department </w:t>
      </w:r>
      <w:r w:rsidR="006449C8" w:rsidRPr="00D5652A">
        <w:rPr>
          <w:rFonts w:ascii="Arial" w:hAnsi="Arial" w:cs="Arial"/>
          <w:sz w:val="24"/>
          <w:szCs w:val="24"/>
        </w:rPr>
        <w:t>but</w:t>
      </w:r>
      <w:r w:rsidRPr="00D5652A">
        <w:rPr>
          <w:rFonts w:ascii="Arial" w:hAnsi="Arial" w:cs="Arial"/>
          <w:sz w:val="24"/>
          <w:szCs w:val="24"/>
        </w:rPr>
        <w:t xml:space="preserve"> as the Department has not</w:t>
      </w:r>
      <w:r w:rsidR="00CA3EB8" w:rsidRPr="00D5652A">
        <w:rPr>
          <w:rFonts w:ascii="Arial" w:hAnsi="Arial" w:cs="Arial"/>
          <w:sz w:val="24"/>
          <w:szCs w:val="24"/>
        </w:rPr>
        <w:t xml:space="preserve"> yet</w:t>
      </w:r>
      <w:r w:rsidRPr="00D5652A">
        <w:rPr>
          <w:rFonts w:ascii="Arial" w:hAnsi="Arial" w:cs="Arial"/>
          <w:sz w:val="24"/>
          <w:szCs w:val="24"/>
        </w:rPr>
        <w:t xml:space="preserve"> raised </w:t>
      </w:r>
      <w:proofErr w:type="gramStart"/>
      <w:r w:rsidRPr="00D5652A">
        <w:rPr>
          <w:rFonts w:ascii="Arial" w:hAnsi="Arial" w:cs="Arial"/>
          <w:sz w:val="24"/>
          <w:szCs w:val="24"/>
        </w:rPr>
        <w:t>this</w:t>
      </w:r>
      <w:proofErr w:type="gramEnd"/>
      <w:r w:rsidRPr="00D5652A">
        <w:rPr>
          <w:rFonts w:ascii="Arial" w:hAnsi="Arial" w:cs="Arial"/>
          <w:sz w:val="24"/>
          <w:szCs w:val="24"/>
        </w:rPr>
        <w:t xml:space="preserve"> issue I will lea</w:t>
      </w:r>
      <w:r w:rsidR="00CA3EB8" w:rsidRPr="00D5652A">
        <w:rPr>
          <w:rFonts w:ascii="Arial" w:hAnsi="Arial" w:cs="Arial"/>
          <w:sz w:val="24"/>
          <w:szCs w:val="24"/>
        </w:rPr>
        <w:t>ve it at that</w:t>
      </w:r>
      <w:r w:rsidRPr="00D5652A">
        <w:rPr>
          <w:rFonts w:ascii="Arial" w:hAnsi="Arial" w:cs="Arial"/>
          <w:sz w:val="24"/>
          <w:szCs w:val="24"/>
        </w:rPr>
        <w:t xml:space="preserve">. Buhle also stated that the BAC (a reference to the Bid Adjudication Committee) failed to notify it of the appeal by Makhathini, as it was obliged to do, which is not correct, as no such obligation exists. </w:t>
      </w:r>
      <w:proofErr w:type="gramStart"/>
      <w:r w:rsidRPr="00D5652A">
        <w:rPr>
          <w:rFonts w:ascii="Arial" w:hAnsi="Arial" w:cs="Arial"/>
          <w:sz w:val="24"/>
          <w:szCs w:val="24"/>
        </w:rPr>
        <w:t>It is in fact the Bid Appeals Tribunal</w:t>
      </w:r>
      <w:r w:rsidR="00CA3EB8" w:rsidRPr="00D5652A">
        <w:rPr>
          <w:rFonts w:ascii="Arial" w:hAnsi="Arial" w:cs="Arial"/>
          <w:sz w:val="24"/>
          <w:szCs w:val="24"/>
        </w:rPr>
        <w:t xml:space="preserve"> on </w:t>
      </w:r>
      <w:r w:rsidR="00FE2109">
        <w:rPr>
          <w:rFonts w:ascii="Arial" w:hAnsi="Arial" w:cs="Arial"/>
          <w:sz w:val="24"/>
          <w:szCs w:val="24"/>
        </w:rPr>
        <w:t xml:space="preserve">whom the obligations </w:t>
      </w:r>
      <w:r w:rsidRPr="00D5652A">
        <w:rPr>
          <w:rFonts w:ascii="Arial" w:hAnsi="Arial" w:cs="Arial"/>
          <w:sz w:val="24"/>
          <w:szCs w:val="24"/>
        </w:rPr>
        <w:t xml:space="preserve">rests, as set out in </w:t>
      </w:r>
      <w:r w:rsidR="004F2069" w:rsidRPr="00D5652A">
        <w:rPr>
          <w:rFonts w:ascii="Arial" w:hAnsi="Arial" w:cs="Arial"/>
          <w:sz w:val="24"/>
          <w:szCs w:val="24"/>
        </w:rPr>
        <w:t xml:space="preserve">Item </w:t>
      </w:r>
      <w:r w:rsidRPr="00D5652A">
        <w:rPr>
          <w:rFonts w:ascii="Arial" w:hAnsi="Arial" w:cs="Arial"/>
          <w:sz w:val="24"/>
          <w:szCs w:val="24"/>
        </w:rPr>
        <w:t>19(6).</w:t>
      </w:r>
      <w:proofErr w:type="gramEnd"/>
      <w:r w:rsidRPr="00D5652A">
        <w:rPr>
          <w:rFonts w:ascii="Arial" w:hAnsi="Arial" w:cs="Arial"/>
          <w:sz w:val="24"/>
          <w:szCs w:val="24"/>
        </w:rPr>
        <w:t xml:space="preserve"> </w:t>
      </w:r>
    </w:p>
    <w:p w:rsidR="00A809C6" w:rsidRPr="00D5652A" w:rsidRDefault="00A809C6" w:rsidP="00D5652A">
      <w:pPr>
        <w:spacing w:after="0" w:line="360" w:lineRule="auto"/>
        <w:contextualSpacing/>
        <w:jc w:val="both"/>
        <w:rPr>
          <w:rFonts w:ascii="Arial" w:hAnsi="Arial" w:cs="Arial"/>
          <w:sz w:val="24"/>
          <w:szCs w:val="24"/>
        </w:rPr>
      </w:pPr>
    </w:p>
    <w:p w:rsidR="00A809C6" w:rsidRPr="00D5652A" w:rsidRDefault="00A809C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As mentioned above</w:t>
      </w:r>
      <w:r w:rsidR="00EF76FA">
        <w:rPr>
          <w:rFonts w:ascii="Arial" w:hAnsi="Arial" w:cs="Arial"/>
          <w:sz w:val="24"/>
          <w:szCs w:val="24"/>
        </w:rPr>
        <w:t>,</w:t>
      </w:r>
      <w:r w:rsidRPr="00D5652A">
        <w:rPr>
          <w:rFonts w:ascii="Arial" w:hAnsi="Arial" w:cs="Arial"/>
          <w:sz w:val="24"/>
          <w:szCs w:val="24"/>
        </w:rPr>
        <w:t xml:space="preserve"> Makhathini launched its review application on 4 October 2021. Its review application followed upon its unsuccessful appeal before the Bid Appeals Tribunal. It is common cause that the Department initially failed to file the record, as it was obliged to do in terms of the provisions of Uniform </w:t>
      </w:r>
      <w:r w:rsidR="00296FCC" w:rsidRPr="00D5652A">
        <w:rPr>
          <w:rFonts w:ascii="Arial" w:hAnsi="Arial" w:cs="Arial"/>
          <w:sz w:val="24"/>
          <w:szCs w:val="24"/>
        </w:rPr>
        <w:t xml:space="preserve">rule </w:t>
      </w:r>
      <w:r w:rsidRPr="00D5652A">
        <w:rPr>
          <w:rFonts w:ascii="Arial" w:hAnsi="Arial" w:cs="Arial"/>
          <w:sz w:val="24"/>
          <w:szCs w:val="24"/>
        </w:rPr>
        <w:t>53(1</w:t>
      </w:r>
      <w:proofErr w:type="gramStart"/>
      <w:r w:rsidRPr="00D5652A">
        <w:rPr>
          <w:rFonts w:ascii="Arial" w:hAnsi="Arial" w:cs="Arial"/>
          <w:sz w:val="24"/>
          <w:szCs w:val="24"/>
        </w:rPr>
        <w:t>)</w:t>
      </w:r>
      <w:r w:rsidRPr="00974937">
        <w:rPr>
          <w:rFonts w:ascii="Arial" w:hAnsi="Arial" w:cs="Arial"/>
          <w:i/>
          <w:sz w:val="24"/>
          <w:szCs w:val="24"/>
        </w:rPr>
        <w:t>(</w:t>
      </w:r>
      <w:proofErr w:type="gramEnd"/>
      <w:r w:rsidRPr="00974937">
        <w:rPr>
          <w:rFonts w:ascii="Arial" w:hAnsi="Arial" w:cs="Arial"/>
          <w:i/>
          <w:sz w:val="24"/>
          <w:szCs w:val="24"/>
        </w:rPr>
        <w:t>b)</w:t>
      </w:r>
      <w:r w:rsidRPr="00D5652A">
        <w:rPr>
          <w:rFonts w:ascii="Arial" w:hAnsi="Arial" w:cs="Arial"/>
          <w:sz w:val="24"/>
          <w:szCs w:val="24"/>
        </w:rPr>
        <w:t>. Its failure necessitated Makhathini to bring an application to compel the Department to deliver the record, which it ignored and, facing an application for contempt of court, eventually filed the record on 3 October 2022. It is only since then that both Makhathini and Compass could consider the record and file the relevant affidavits to complete the papers in the review application, which is to be heard on 20 January 2023.</w:t>
      </w:r>
    </w:p>
    <w:p w:rsidR="00A809C6" w:rsidRPr="00D5652A" w:rsidRDefault="00A809C6" w:rsidP="00D5652A">
      <w:pPr>
        <w:spacing w:after="0" w:line="360" w:lineRule="auto"/>
        <w:contextualSpacing/>
        <w:jc w:val="both"/>
        <w:rPr>
          <w:rFonts w:ascii="Arial" w:hAnsi="Arial" w:cs="Arial"/>
          <w:sz w:val="24"/>
          <w:szCs w:val="24"/>
        </w:rPr>
      </w:pPr>
    </w:p>
    <w:p w:rsidR="008F0DC5" w:rsidRPr="00D5652A" w:rsidRDefault="00A809C6" w:rsidP="00D5652A">
      <w:pPr>
        <w:pStyle w:val="ListParagraph"/>
        <w:numPr>
          <w:ilvl w:val="0"/>
          <w:numId w:val="1"/>
        </w:numPr>
        <w:spacing w:after="0" w:line="360" w:lineRule="auto"/>
        <w:ind w:left="0" w:firstLine="0"/>
        <w:jc w:val="both"/>
        <w:rPr>
          <w:rFonts w:ascii="Arial" w:hAnsi="Arial" w:cs="Arial"/>
          <w:b/>
          <w:sz w:val="24"/>
          <w:szCs w:val="24"/>
        </w:rPr>
      </w:pPr>
      <w:r w:rsidRPr="00D5652A">
        <w:rPr>
          <w:rFonts w:ascii="Arial" w:hAnsi="Arial" w:cs="Arial"/>
          <w:sz w:val="24"/>
          <w:szCs w:val="24"/>
        </w:rPr>
        <w:t>Buhle contends that it has a direct and substantial interest in the subject matter of the dispute in the review application and that the relief it is seeking is dependent upon the determination of the same question of law or fact as in the review a</w:t>
      </w:r>
      <w:r w:rsidR="00CA3EB8" w:rsidRPr="00D5652A">
        <w:rPr>
          <w:rFonts w:ascii="Arial" w:hAnsi="Arial" w:cs="Arial"/>
          <w:sz w:val="24"/>
          <w:szCs w:val="24"/>
        </w:rPr>
        <w:t xml:space="preserve">pplication albeit </w:t>
      </w:r>
      <w:r w:rsidR="005C2720">
        <w:rPr>
          <w:rFonts w:ascii="Arial" w:hAnsi="Arial" w:cs="Arial"/>
          <w:sz w:val="24"/>
          <w:szCs w:val="24"/>
        </w:rPr>
        <w:t>that</w:t>
      </w:r>
      <w:r w:rsidR="005C2720" w:rsidRPr="00D5652A">
        <w:rPr>
          <w:rFonts w:ascii="Arial" w:hAnsi="Arial" w:cs="Arial"/>
          <w:sz w:val="24"/>
          <w:szCs w:val="24"/>
        </w:rPr>
        <w:t xml:space="preserve"> </w:t>
      </w:r>
      <w:r w:rsidR="00CA3EB8" w:rsidRPr="00D5652A">
        <w:rPr>
          <w:rFonts w:ascii="Arial" w:hAnsi="Arial" w:cs="Arial"/>
          <w:sz w:val="24"/>
          <w:szCs w:val="24"/>
        </w:rPr>
        <w:t xml:space="preserve">two additional </w:t>
      </w:r>
      <w:r w:rsidRPr="00D5652A">
        <w:rPr>
          <w:rFonts w:ascii="Arial" w:hAnsi="Arial" w:cs="Arial"/>
          <w:sz w:val="24"/>
          <w:szCs w:val="24"/>
        </w:rPr>
        <w:t>awards</w:t>
      </w:r>
      <w:r w:rsidR="00FE2109">
        <w:rPr>
          <w:rFonts w:ascii="Arial" w:hAnsi="Arial" w:cs="Arial"/>
          <w:sz w:val="24"/>
          <w:szCs w:val="24"/>
        </w:rPr>
        <w:t xml:space="preserve"> in respect of two additional </w:t>
      </w:r>
      <w:r w:rsidR="006449C8">
        <w:rPr>
          <w:rFonts w:ascii="Arial" w:hAnsi="Arial" w:cs="Arial"/>
          <w:sz w:val="24"/>
          <w:szCs w:val="24"/>
        </w:rPr>
        <w:t xml:space="preserve">areas </w:t>
      </w:r>
      <w:proofErr w:type="gramStart"/>
      <w:r w:rsidR="006449C8">
        <w:rPr>
          <w:rFonts w:ascii="Arial" w:hAnsi="Arial" w:cs="Arial"/>
          <w:sz w:val="24"/>
          <w:szCs w:val="24"/>
        </w:rPr>
        <w:t>are</w:t>
      </w:r>
      <w:r w:rsidR="005C2720">
        <w:rPr>
          <w:rFonts w:ascii="Arial" w:hAnsi="Arial" w:cs="Arial"/>
          <w:sz w:val="24"/>
          <w:szCs w:val="24"/>
        </w:rPr>
        <w:t xml:space="preserve"> also disputed</w:t>
      </w:r>
      <w:proofErr w:type="gramEnd"/>
      <w:r w:rsidRPr="00D5652A">
        <w:rPr>
          <w:rFonts w:ascii="Arial" w:hAnsi="Arial" w:cs="Arial"/>
          <w:sz w:val="24"/>
          <w:szCs w:val="24"/>
        </w:rPr>
        <w:t>. Its grounds for review are the following:</w:t>
      </w:r>
    </w:p>
    <w:p w:rsidR="00B339E6" w:rsidRPr="00D5652A" w:rsidRDefault="00B339E6"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The tender validity period had expired before the tender was awarded. Buhle received correspondence extending the tender validity period to 10 April 2021. The tender was awarded on 7 May 2021 and was accordingly invalid and stood to be set aside. </w:t>
      </w:r>
    </w:p>
    <w:p w:rsidR="00B339E6" w:rsidRPr="00D5652A" w:rsidRDefault="00CA3EB8"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The D</w:t>
      </w:r>
      <w:r w:rsidR="00B339E6" w:rsidRPr="00D5652A">
        <w:rPr>
          <w:rFonts w:ascii="Arial" w:hAnsi="Arial" w:cs="Arial"/>
          <w:sz w:val="24"/>
          <w:szCs w:val="24"/>
        </w:rPr>
        <w:t>epartment failed to provide Buhle with the reasons for the award of the tender, as requested</w:t>
      </w:r>
      <w:r w:rsidRPr="00D5652A">
        <w:rPr>
          <w:rFonts w:ascii="Arial" w:hAnsi="Arial" w:cs="Arial"/>
          <w:sz w:val="24"/>
          <w:szCs w:val="24"/>
        </w:rPr>
        <w:t xml:space="preserve"> by Buhle during May 2021. The D</w:t>
      </w:r>
      <w:r w:rsidR="00B339E6" w:rsidRPr="00D5652A">
        <w:rPr>
          <w:rFonts w:ascii="Arial" w:hAnsi="Arial" w:cs="Arial"/>
          <w:sz w:val="24"/>
          <w:szCs w:val="24"/>
        </w:rPr>
        <w:t xml:space="preserve">epartment has also failed to dispatch the record of all the documents and electronic records </w:t>
      </w:r>
      <w:r w:rsidR="005C2720">
        <w:rPr>
          <w:rFonts w:ascii="Arial" w:hAnsi="Arial" w:cs="Arial"/>
          <w:sz w:val="24"/>
          <w:szCs w:val="24"/>
        </w:rPr>
        <w:t>relating</w:t>
      </w:r>
      <w:r w:rsidR="005C2720" w:rsidRPr="00D5652A">
        <w:rPr>
          <w:rFonts w:ascii="Arial" w:hAnsi="Arial" w:cs="Arial"/>
          <w:sz w:val="24"/>
          <w:szCs w:val="24"/>
        </w:rPr>
        <w:t xml:space="preserve"> </w:t>
      </w:r>
      <w:r w:rsidR="00B339E6" w:rsidRPr="00D5652A">
        <w:rPr>
          <w:rFonts w:ascii="Arial" w:hAnsi="Arial" w:cs="Arial"/>
          <w:sz w:val="24"/>
          <w:szCs w:val="24"/>
        </w:rPr>
        <w:t xml:space="preserve">to the making of the decision to award the tender. The </w:t>
      </w:r>
      <w:r w:rsidR="005C2720" w:rsidRPr="00D5652A">
        <w:rPr>
          <w:rFonts w:ascii="Arial" w:hAnsi="Arial" w:cs="Arial"/>
          <w:sz w:val="24"/>
          <w:szCs w:val="24"/>
        </w:rPr>
        <w:t xml:space="preserve">Department’s </w:t>
      </w:r>
      <w:r w:rsidR="00B339E6" w:rsidRPr="00D5652A">
        <w:rPr>
          <w:rFonts w:ascii="Arial" w:hAnsi="Arial" w:cs="Arial"/>
          <w:sz w:val="24"/>
          <w:szCs w:val="24"/>
        </w:rPr>
        <w:t xml:space="preserve">failure to provide reasons and its non-compliance with </w:t>
      </w:r>
      <w:r w:rsidRPr="00D5652A">
        <w:rPr>
          <w:rFonts w:ascii="Arial" w:hAnsi="Arial" w:cs="Arial"/>
          <w:sz w:val="24"/>
          <w:szCs w:val="24"/>
        </w:rPr>
        <w:t xml:space="preserve">Uniform </w:t>
      </w:r>
      <w:r w:rsidR="00296FCC" w:rsidRPr="00D5652A">
        <w:rPr>
          <w:rFonts w:ascii="Arial" w:hAnsi="Arial" w:cs="Arial"/>
          <w:sz w:val="24"/>
          <w:szCs w:val="24"/>
        </w:rPr>
        <w:t xml:space="preserve">rule </w:t>
      </w:r>
      <w:r w:rsidR="00B339E6" w:rsidRPr="00D5652A">
        <w:rPr>
          <w:rFonts w:ascii="Arial" w:hAnsi="Arial" w:cs="Arial"/>
          <w:sz w:val="24"/>
          <w:szCs w:val="24"/>
        </w:rPr>
        <w:t>53</w:t>
      </w:r>
      <w:r w:rsidR="005C2720">
        <w:rPr>
          <w:rFonts w:ascii="Arial" w:hAnsi="Arial" w:cs="Arial"/>
          <w:sz w:val="24"/>
          <w:szCs w:val="24"/>
        </w:rPr>
        <w:t>,</w:t>
      </w:r>
      <w:r w:rsidR="00B339E6" w:rsidRPr="00D5652A">
        <w:rPr>
          <w:rFonts w:ascii="Arial" w:hAnsi="Arial" w:cs="Arial"/>
          <w:sz w:val="24"/>
          <w:szCs w:val="24"/>
        </w:rPr>
        <w:t xml:space="preserve"> as read with section 5(3) of the Promotion of Administrative Justice Act 3 of 2000 (PAJA)</w:t>
      </w:r>
      <w:r w:rsidR="005C2720">
        <w:rPr>
          <w:rFonts w:ascii="Arial" w:hAnsi="Arial" w:cs="Arial"/>
          <w:sz w:val="24"/>
          <w:szCs w:val="24"/>
        </w:rPr>
        <w:t>,</w:t>
      </w:r>
      <w:r w:rsidR="00B339E6" w:rsidRPr="00D5652A">
        <w:rPr>
          <w:rFonts w:ascii="Arial" w:hAnsi="Arial" w:cs="Arial"/>
          <w:sz w:val="24"/>
          <w:szCs w:val="24"/>
        </w:rPr>
        <w:t xml:space="preserve"> lead to the presumption that the decision to award the tender was taken without good reason and therefore stood to be reviewed and set aside. </w:t>
      </w:r>
    </w:p>
    <w:p w:rsidR="00B339E6" w:rsidRPr="00D5652A" w:rsidRDefault="00B339E6"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Lastly, Buhle aligned itself with the grounds relied upon by Makhathini in its review</w:t>
      </w:r>
      <w:r w:rsidR="005C2720">
        <w:rPr>
          <w:rFonts w:ascii="Arial" w:hAnsi="Arial" w:cs="Arial"/>
          <w:sz w:val="24"/>
          <w:szCs w:val="24"/>
        </w:rPr>
        <w:t>,</w:t>
      </w:r>
      <w:r w:rsidRPr="00D5652A">
        <w:rPr>
          <w:rFonts w:ascii="Arial" w:hAnsi="Arial" w:cs="Arial"/>
          <w:sz w:val="24"/>
          <w:szCs w:val="24"/>
        </w:rPr>
        <w:t xml:space="preserve"> in that the </w:t>
      </w:r>
      <w:r w:rsidR="005C2720" w:rsidRPr="00D5652A">
        <w:rPr>
          <w:rFonts w:ascii="Arial" w:hAnsi="Arial" w:cs="Arial"/>
          <w:sz w:val="24"/>
          <w:szCs w:val="24"/>
        </w:rPr>
        <w:t xml:space="preserve">Department </w:t>
      </w:r>
      <w:r w:rsidRPr="00D5652A">
        <w:rPr>
          <w:rFonts w:ascii="Arial" w:hAnsi="Arial" w:cs="Arial"/>
          <w:sz w:val="24"/>
          <w:szCs w:val="24"/>
        </w:rPr>
        <w:t>failed to comply with the Preferential Procurement Policy Framework Act 5 of 2000 in a number of respects. Firstly, the reason</w:t>
      </w:r>
      <w:r w:rsidR="00CA3EB8" w:rsidRPr="00D5652A">
        <w:rPr>
          <w:rFonts w:ascii="Arial" w:hAnsi="Arial" w:cs="Arial"/>
          <w:sz w:val="24"/>
          <w:szCs w:val="24"/>
        </w:rPr>
        <w:t>s</w:t>
      </w:r>
      <w:r w:rsidRPr="00D5652A">
        <w:rPr>
          <w:rFonts w:ascii="Arial" w:hAnsi="Arial" w:cs="Arial"/>
          <w:sz w:val="24"/>
          <w:szCs w:val="24"/>
        </w:rPr>
        <w:t xml:space="preserve"> for awarding the tender did not provide for objective criteria to award the tender to a lower scoring bidder. Secondly, the same criteria were taken into account twice</w:t>
      </w:r>
      <w:r w:rsidR="00CA3EB8" w:rsidRPr="00D5652A">
        <w:rPr>
          <w:rFonts w:ascii="Arial" w:hAnsi="Arial" w:cs="Arial"/>
          <w:sz w:val="24"/>
          <w:szCs w:val="24"/>
        </w:rPr>
        <w:t xml:space="preserve"> by the D</w:t>
      </w:r>
      <w:r w:rsidRPr="00D5652A">
        <w:rPr>
          <w:rFonts w:ascii="Arial" w:hAnsi="Arial" w:cs="Arial"/>
          <w:sz w:val="24"/>
          <w:szCs w:val="24"/>
        </w:rPr>
        <w:t xml:space="preserve">epartment in the decision to </w:t>
      </w:r>
      <w:r w:rsidR="00CA3EB8" w:rsidRPr="00D5652A">
        <w:rPr>
          <w:rFonts w:ascii="Arial" w:hAnsi="Arial" w:cs="Arial"/>
          <w:sz w:val="24"/>
          <w:szCs w:val="24"/>
        </w:rPr>
        <w:t>award the tender. Thirdly, the D</w:t>
      </w:r>
      <w:r w:rsidRPr="00D5652A">
        <w:rPr>
          <w:rFonts w:ascii="Arial" w:hAnsi="Arial" w:cs="Arial"/>
          <w:sz w:val="24"/>
          <w:szCs w:val="24"/>
        </w:rPr>
        <w:t>epartment awa</w:t>
      </w:r>
      <w:r w:rsidR="00866641" w:rsidRPr="00D5652A">
        <w:rPr>
          <w:rFonts w:ascii="Arial" w:hAnsi="Arial" w:cs="Arial"/>
          <w:sz w:val="24"/>
          <w:szCs w:val="24"/>
        </w:rPr>
        <w:t>rded the tender to Compass at a</w:t>
      </w:r>
      <w:r w:rsidRPr="00D5652A">
        <w:rPr>
          <w:rFonts w:ascii="Arial" w:hAnsi="Arial" w:cs="Arial"/>
          <w:sz w:val="24"/>
          <w:szCs w:val="24"/>
        </w:rPr>
        <w:t xml:space="preserve"> higher price than that of Makhathini without establishing whether Compass was willing to match Makhathini’s price. </w:t>
      </w:r>
    </w:p>
    <w:p w:rsidR="00FE2109" w:rsidRDefault="00B339E6"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In its interdict application, Buhle also made much of the fact that the </w:t>
      </w:r>
      <w:r w:rsidR="00EF76FA" w:rsidRPr="00D5652A">
        <w:rPr>
          <w:rFonts w:ascii="Arial" w:hAnsi="Arial" w:cs="Arial"/>
          <w:sz w:val="24"/>
          <w:szCs w:val="24"/>
        </w:rPr>
        <w:t xml:space="preserve">Department </w:t>
      </w:r>
      <w:r w:rsidRPr="00D5652A">
        <w:rPr>
          <w:rFonts w:ascii="Arial" w:hAnsi="Arial" w:cs="Arial"/>
          <w:sz w:val="24"/>
          <w:szCs w:val="24"/>
        </w:rPr>
        <w:t>apparently awarded the tenders on a ‘comp</w:t>
      </w:r>
      <w:r w:rsidR="00866641" w:rsidRPr="00D5652A">
        <w:rPr>
          <w:rFonts w:ascii="Arial" w:hAnsi="Arial" w:cs="Arial"/>
          <w:sz w:val="24"/>
          <w:szCs w:val="24"/>
        </w:rPr>
        <w:t>arative price’ basis and not on</w:t>
      </w:r>
      <w:r w:rsidRPr="00D5652A">
        <w:rPr>
          <w:rFonts w:ascii="Arial" w:hAnsi="Arial" w:cs="Arial"/>
          <w:sz w:val="24"/>
          <w:szCs w:val="24"/>
        </w:rPr>
        <w:t xml:space="preserve"> the basis of the tenderers</w:t>
      </w:r>
      <w:r w:rsidR="00866641" w:rsidRPr="00D5652A">
        <w:rPr>
          <w:rFonts w:ascii="Arial" w:hAnsi="Arial" w:cs="Arial"/>
          <w:sz w:val="24"/>
          <w:szCs w:val="24"/>
        </w:rPr>
        <w:t>’</w:t>
      </w:r>
      <w:r w:rsidRPr="00D5652A">
        <w:rPr>
          <w:rFonts w:ascii="Arial" w:hAnsi="Arial" w:cs="Arial"/>
          <w:sz w:val="24"/>
          <w:szCs w:val="24"/>
        </w:rPr>
        <w:t xml:space="preserve"> tendered rates for the three years of the contract.</w:t>
      </w:r>
    </w:p>
    <w:p w:rsidR="00B339E6" w:rsidRPr="00D5652A" w:rsidRDefault="00FE2109" w:rsidP="00FE2109">
      <w:pPr>
        <w:pStyle w:val="ListParagraph"/>
        <w:spacing w:after="0" w:line="360" w:lineRule="auto"/>
        <w:ind w:left="0"/>
        <w:jc w:val="both"/>
        <w:rPr>
          <w:rFonts w:ascii="Arial" w:hAnsi="Arial" w:cs="Arial"/>
          <w:sz w:val="24"/>
          <w:szCs w:val="24"/>
        </w:rPr>
      </w:pPr>
      <w:r>
        <w:rPr>
          <w:rFonts w:ascii="Arial" w:hAnsi="Arial" w:cs="Arial"/>
          <w:sz w:val="24"/>
          <w:szCs w:val="24"/>
        </w:rPr>
        <w:t xml:space="preserve"> I deal with these</w:t>
      </w:r>
      <w:r w:rsidR="00B339E6" w:rsidRPr="00D5652A">
        <w:rPr>
          <w:rFonts w:ascii="Arial" w:hAnsi="Arial" w:cs="Arial"/>
          <w:sz w:val="24"/>
          <w:szCs w:val="24"/>
        </w:rPr>
        <w:t xml:space="preserve"> particular ground</w:t>
      </w:r>
      <w:r>
        <w:rPr>
          <w:rFonts w:ascii="Arial" w:hAnsi="Arial" w:cs="Arial"/>
          <w:sz w:val="24"/>
          <w:szCs w:val="24"/>
        </w:rPr>
        <w:t>s</w:t>
      </w:r>
      <w:r w:rsidR="00B339E6" w:rsidRPr="00D5652A">
        <w:rPr>
          <w:rFonts w:ascii="Arial" w:hAnsi="Arial" w:cs="Arial"/>
          <w:sz w:val="24"/>
          <w:szCs w:val="24"/>
        </w:rPr>
        <w:t xml:space="preserve"> in the judgment of the two inter</w:t>
      </w:r>
      <w:r>
        <w:rPr>
          <w:rFonts w:ascii="Arial" w:hAnsi="Arial" w:cs="Arial"/>
          <w:sz w:val="24"/>
          <w:szCs w:val="24"/>
        </w:rPr>
        <w:t xml:space="preserve">dict applications. </w:t>
      </w:r>
      <w:r w:rsidR="00B339E6" w:rsidRPr="00D5652A">
        <w:rPr>
          <w:rFonts w:ascii="Arial" w:hAnsi="Arial" w:cs="Arial"/>
          <w:sz w:val="24"/>
          <w:szCs w:val="24"/>
        </w:rPr>
        <w:t xml:space="preserve"> </w:t>
      </w:r>
    </w:p>
    <w:p w:rsidR="00B339E6" w:rsidRPr="00D5652A" w:rsidRDefault="00B339E6" w:rsidP="00D5652A">
      <w:pPr>
        <w:spacing w:after="0" w:line="360" w:lineRule="auto"/>
        <w:contextualSpacing/>
        <w:jc w:val="both"/>
        <w:rPr>
          <w:rFonts w:ascii="Arial" w:hAnsi="Arial" w:cs="Arial"/>
          <w:sz w:val="24"/>
          <w:szCs w:val="24"/>
        </w:rPr>
      </w:pPr>
    </w:p>
    <w:p w:rsidR="00B339E6" w:rsidRPr="00D5652A" w:rsidRDefault="00B339E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Buhle also set out further </w:t>
      </w:r>
      <w:r w:rsidR="00DC37D6" w:rsidRPr="00D5652A">
        <w:rPr>
          <w:rFonts w:ascii="Arial" w:hAnsi="Arial" w:cs="Arial"/>
          <w:sz w:val="24"/>
          <w:szCs w:val="24"/>
        </w:rPr>
        <w:t>issues,</w:t>
      </w:r>
      <w:r w:rsidR="00FE2109">
        <w:rPr>
          <w:rFonts w:ascii="Arial" w:hAnsi="Arial" w:cs="Arial"/>
          <w:sz w:val="24"/>
          <w:szCs w:val="24"/>
        </w:rPr>
        <w:t xml:space="preserve"> not raised by Makhathini,</w:t>
      </w:r>
      <w:r w:rsidR="00DC37D6" w:rsidRPr="00D5652A">
        <w:rPr>
          <w:rFonts w:ascii="Arial" w:hAnsi="Arial" w:cs="Arial"/>
          <w:sz w:val="24"/>
          <w:szCs w:val="24"/>
        </w:rPr>
        <w:t xml:space="preserve"> which</w:t>
      </w:r>
      <w:r w:rsidRPr="00D5652A">
        <w:rPr>
          <w:rFonts w:ascii="Arial" w:hAnsi="Arial" w:cs="Arial"/>
          <w:sz w:val="24"/>
          <w:szCs w:val="24"/>
        </w:rPr>
        <w:t xml:space="preserve"> it alleges are the basis for its intervention:</w:t>
      </w:r>
    </w:p>
    <w:p w:rsidR="00B339E6" w:rsidRPr="00D5652A" w:rsidRDefault="00B339E6"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At the tender briefing session held on 2 December 2019</w:t>
      </w:r>
      <w:r w:rsidR="005C2720">
        <w:rPr>
          <w:rFonts w:ascii="Arial" w:hAnsi="Arial" w:cs="Arial"/>
          <w:sz w:val="24"/>
          <w:szCs w:val="24"/>
        </w:rPr>
        <w:t>,</w:t>
      </w:r>
      <w:r w:rsidRPr="00D5652A">
        <w:rPr>
          <w:rFonts w:ascii="Arial" w:hAnsi="Arial" w:cs="Arial"/>
          <w:sz w:val="24"/>
          <w:szCs w:val="24"/>
        </w:rPr>
        <w:t xml:space="preserve"> it raised various issues pertaining to the contents of the tender document and its implications. These included inter alia issues relating to containers and liners, performance security, audited financial statements, liquid chemical waste, functionality and the regional award of the tender. </w:t>
      </w:r>
    </w:p>
    <w:p w:rsidR="00B339E6" w:rsidRPr="00D5652A" w:rsidRDefault="00B339E6"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The </w:t>
      </w:r>
      <w:r w:rsidR="00EF76FA" w:rsidRPr="00D5652A">
        <w:rPr>
          <w:rFonts w:ascii="Arial" w:hAnsi="Arial" w:cs="Arial"/>
          <w:sz w:val="24"/>
          <w:szCs w:val="24"/>
        </w:rPr>
        <w:t xml:space="preserve">Department </w:t>
      </w:r>
      <w:r w:rsidRPr="00D5652A">
        <w:rPr>
          <w:rFonts w:ascii="Arial" w:hAnsi="Arial" w:cs="Arial"/>
          <w:sz w:val="24"/>
          <w:szCs w:val="24"/>
        </w:rPr>
        <w:t>failed to correct these issues.</w:t>
      </w:r>
    </w:p>
    <w:p w:rsidR="009A19DF" w:rsidRPr="00D5652A" w:rsidRDefault="009A19DF"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With reference to the regional award in that a bidder may not be awarded more than one region, despite it having the lowest price, it was stated that the invitation to bid on this basis was contrary to the Supply Chain Policy Framework as only the </w:t>
      </w:r>
      <w:r w:rsidR="00296FCC" w:rsidRPr="00D5652A">
        <w:rPr>
          <w:rFonts w:ascii="Arial" w:hAnsi="Arial" w:cs="Arial"/>
          <w:sz w:val="24"/>
          <w:szCs w:val="24"/>
        </w:rPr>
        <w:t xml:space="preserve">bids </w:t>
      </w:r>
      <w:r w:rsidRPr="00D5652A">
        <w:rPr>
          <w:rFonts w:ascii="Arial" w:hAnsi="Arial" w:cs="Arial"/>
          <w:sz w:val="24"/>
          <w:szCs w:val="24"/>
        </w:rPr>
        <w:t>with the highest points may b</w:t>
      </w:r>
      <w:r w:rsidR="00866641" w:rsidRPr="00D5652A">
        <w:rPr>
          <w:rFonts w:ascii="Arial" w:hAnsi="Arial" w:cs="Arial"/>
          <w:sz w:val="24"/>
          <w:szCs w:val="24"/>
        </w:rPr>
        <w:t>e selected. Buhle has perhaps lo</w:t>
      </w:r>
      <w:r w:rsidRPr="00D5652A">
        <w:rPr>
          <w:rFonts w:ascii="Arial" w:hAnsi="Arial" w:cs="Arial"/>
          <w:sz w:val="24"/>
          <w:szCs w:val="24"/>
        </w:rPr>
        <w:t xml:space="preserve">st </w:t>
      </w:r>
      <w:r w:rsidR="00866641" w:rsidRPr="00D5652A">
        <w:rPr>
          <w:rFonts w:ascii="Arial" w:hAnsi="Arial" w:cs="Arial"/>
          <w:sz w:val="24"/>
          <w:szCs w:val="24"/>
        </w:rPr>
        <w:t xml:space="preserve">sight of </w:t>
      </w:r>
      <w:r w:rsidR="00E272EC" w:rsidRPr="00D5652A">
        <w:rPr>
          <w:rFonts w:ascii="Arial" w:hAnsi="Arial" w:cs="Arial"/>
          <w:sz w:val="24"/>
          <w:szCs w:val="24"/>
        </w:rPr>
        <w:t xml:space="preserve">Item </w:t>
      </w:r>
      <w:r w:rsidR="00866641" w:rsidRPr="00D5652A">
        <w:rPr>
          <w:rFonts w:ascii="Arial" w:hAnsi="Arial" w:cs="Arial"/>
          <w:sz w:val="24"/>
          <w:szCs w:val="24"/>
        </w:rPr>
        <w:t>12 of the Supply C</w:t>
      </w:r>
      <w:r w:rsidRPr="00D5652A">
        <w:rPr>
          <w:rFonts w:ascii="Arial" w:hAnsi="Arial" w:cs="Arial"/>
          <w:sz w:val="24"/>
          <w:szCs w:val="24"/>
        </w:rPr>
        <w:t>hain Policy Framework which reads:</w:t>
      </w:r>
    </w:p>
    <w:p w:rsidR="009A19DF" w:rsidRPr="00A94741" w:rsidRDefault="00296FCC" w:rsidP="00D5652A">
      <w:pPr>
        <w:pStyle w:val="ListParagraph"/>
        <w:spacing w:after="0" w:line="360" w:lineRule="auto"/>
        <w:ind w:left="0"/>
        <w:jc w:val="both"/>
        <w:rPr>
          <w:rFonts w:ascii="Arial" w:hAnsi="Arial" w:cs="Arial"/>
          <w:szCs w:val="24"/>
        </w:rPr>
      </w:pPr>
      <w:r w:rsidRPr="00A94741">
        <w:rPr>
          <w:rFonts w:ascii="Arial" w:hAnsi="Arial" w:cs="Arial"/>
          <w:szCs w:val="24"/>
        </w:rPr>
        <w:t>‘Despite paragraphs . . .</w:t>
      </w:r>
      <w:r w:rsidR="009A33E3">
        <w:rPr>
          <w:rFonts w:ascii="Arial" w:hAnsi="Arial" w:cs="Arial"/>
          <w:szCs w:val="24"/>
        </w:rPr>
        <w:t xml:space="preserve"> </w:t>
      </w:r>
      <w:r w:rsidR="009A19DF" w:rsidRPr="00A94741">
        <w:rPr>
          <w:rFonts w:ascii="Arial" w:hAnsi="Arial" w:cs="Arial"/>
          <w:szCs w:val="24"/>
        </w:rPr>
        <w:t>a contract may, on reasonable and justifiable grounds, be awarded in respect of a bid that did not score the highest number of points. The reasons for such an award should be clearly documented for auditing purposes.’</w:t>
      </w:r>
    </w:p>
    <w:p w:rsidR="009A19DF" w:rsidRPr="00D5652A" w:rsidRDefault="009A19DF" w:rsidP="00D5652A">
      <w:pPr>
        <w:spacing w:after="0" w:line="360" w:lineRule="auto"/>
        <w:contextualSpacing/>
        <w:jc w:val="both"/>
        <w:rPr>
          <w:rFonts w:ascii="Arial" w:hAnsi="Arial" w:cs="Arial"/>
          <w:sz w:val="24"/>
          <w:szCs w:val="24"/>
        </w:rPr>
      </w:pPr>
    </w:p>
    <w:p w:rsidR="009A19DF" w:rsidRPr="00D5652A" w:rsidRDefault="009A19DF"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Buhle contends that it has a direct and substantial interest in ensuring that the procurement process leading to the award of the tender is lawful, reasonable and procedurally fair and should the tender stand, Buhle and the ot</w:t>
      </w:r>
      <w:r w:rsidR="00866641" w:rsidRPr="00D5652A">
        <w:rPr>
          <w:rFonts w:ascii="Arial" w:hAnsi="Arial" w:cs="Arial"/>
          <w:sz w:val="24"/>
          <w:szCs w:val="24"/>
        </w:rPr>
        <w:t>her bidders would be prejudiced</w:t>
      </w:r>
      <w:r w:rsidRPr="00D5652A">
        <w:rPr>
          <w:rFonts w:ascii="Arial" w:hAnsi="Arial" w:cs="Arial"/>
          <w:sz w:val="24"/>
          <w:szCs w:val="24"/>
        </w:rPr>
        <w:t xml:space="preserve"> as they were not subjected to a process that is lawful, reasonable and procedurally fair. Buhle also makes it clear that it seeks to have the entire tender set aside as opposed to Makhathini, who only seeks to review the award to Compass in respect of Area 2. Buhle contends that the tender should be re-advertised. It alleges that the relief sought by Makhathini, namely that Area 2 </w:t>
      </w:r>
      <w:proofErr w:type="gramStart"/>
      <w:r w:rsidRPr="00D5652A">
        <w:rPr>
          <w:rFonts w:ascii="Arial" w:hAnsi="Arial" w:cs="Arial"/>
          <w:sz w:val="24"/>
          <w:szCs w:val="24"/>
        </w:rPr>
        <w:t>should be awarded</w:t>
      </w:r>
      <w:proofErr w:type="gramEnd"/>
      <w:r w:rsidR="00866641" w:rsidRPr="00D5652A">
        <w:rPr>
          <w:rFonts w:ascii="Arial" w:hAnsi="Arial" w:cs="Arial"/>
          <w:sz w:val="24"/>
          <w:szCs w:val="24"/>
        </w:rPr>
        <w:t xml:space="preserve"> to it or remitted back to the D</w:t>
      </w:r>
      <w:r w:rsidRPr="00D5652A">
        <w:rPr>
          <w:rFonts w:ascii="Arial" w:hAnsi="Arial" w:cs="Arial"/>
          <w:sz w:val="24"/>
          <w:szCs w:val="24"/>
        </w:rPr>
        <w:t xml:space="preserve">epartment for a reconsideration is not plausible and will be unlawful in light of the irregularities in the process. </w:t>
      </w:r>
    </w:p>
    <w:p w:rsidR="009A19DF" w:rsidRPr="00D5652A" w:rsidRDefault="009A19DF" w:rsidP="00D5652A">
      <w:pPr>
        <w:spacing w:after="0" w:line="360" w:lineRule="auto"/>
        <w:contextualSpacing/>
        <w:jc w:val="both"/>
        <w:rPr>
          <w:rFonts w:ascii="Arial" w:hAnsi="Arial" w:cs="Arial"/>
          <w:sz w:val="24"/>
          <w:szCs w:val="24"/>
        </w:rPr>
      </w:pPr>
    </w:p>
    <w:p w:rsidR="009A19DF" w:rsidRPr="00D5652A" w:rsidRDefault="009A19DF" w:rsidP="00D5652A">
      <w:pPr>
        <w:pStyle w:val="ListParagraph"/>
        <w:spacing w:after="0" w:line="360" w:lineRule="auto"/>
        <w:ind w:left="0"/>
        <w:jc w:val="both"/>
        <w:rPr>
          <w:rFonts w:ascii="Arial" w:hAnsi="Arial" w:cs="Arial"/>
          <w:b/>
          <w:sz w:val="24"/>
          <w:szCs w:val="24"/>
        </w:rPr>
      </w:pPr>
      <w:r w:rsidRPr="00D5652A">
        <w:rPr>
          <w:rFonts w:ascii="Arial" w:hAnsi="Arial" w:cs="Arial"/>
          <w:b/>
          <w:sz w:val="24"/>
          <w:szCs w:val="24"/>
        </w:rPr>
        <w:t>Makha</w:t>
      </w:r>
      <w:r w:rsidR="00866641" w:rsidRPr="00D5652A">
        <w:rPr>
          <w:rFonts w:ascii="Arial" w:hAnsi="Arial" w:cs="Arial"/>
          <w:b/>
          <w:sz w:val="24"/>
          <w:szCs w:val="24"/>
        </w:rPr>
        <w:t>thini</w:t>
      </w:r>
      <w:r w:rsidR="00F67A74">
        <w:rPr>
          <w:rFonts w:ascii="Arial" w:hAnsi="Arial" w:cs="Arial"/>
          <w:b/>
          <w:sz w:val="24"/>
          <w:szCs w:val="24"/>
        </w:rPr>
        <w:t>’s</w:t>
      </w:r>
      <w:r w:rsidR="00866641" w:rsidRPr="00D5652A">
        <w:rPr>
          <w:rFonts w:ascii="Arial" w:hAnsi="Arial" w:cs="Arial"/>
          <w:b/>
          <w:sz w:val="24"/>
          <w:szCs w:val="24"/>
        </w:rPr>
        <w:t xml:space="preserve"> and the Department’s case</w:t>
      </w:r>
    </w:p>
    <w:p w:rsidR="009A19DF" w:rsidRPr="00D5652A" w:rsidRDefault="00866641"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As mentioned above, both the D</w:t>
      </w:r>
      <w:r w:rsidR="009A19DF" w:rsidRPr="00D5652A">
        <w:rPr>
          <w:rFonts w:ascii="Arial" w:hAnsi="Arial" w:cs="Arial"/>
          <w:sz w:val="24"/>
          <w:szCs w:val="24"/>
        </w:rPr>
        <w:t xml:space="preserve">epartment </w:t>
      </w:r>
      <w:r w:rsidR="00F67A74">
        <w:rPr>
          <w:rFonts w:ascii="Arial" w:hAnsi="Arial" w:cs="Arial"/>
          <w:sz w:val="24"/>
          <w:szCs w:val="24"/>
        </w:rPr>
        <w:t>and</w:t>
      </w:r>
      <w:r w:rsidR="009A19DF" w:rsidRPr="00D5652A">
        <w:rPr>
          <w:rFonts w:ascii="Arial" w:hAnsi="Arial" w:cs="Arial"/>
          <w:sz w:val="24"/>
          <w:szCs w:val="24"/>
        </w:rPr>
        <w:t xml:space="preserve"> Makhathini oppose the application. Makhathini filed its answering affidavit around 14 March 2022. The </w:t>
      </w:r>
      <w:r w:rsidR="00F67A74" w:rsidRPr="00D5652A">
        <w:rPr>
          <w:rFonts w:ascii="Arial" w:hAnsi="Arial" w:cs="Arial"/>
          <w:sz w:val="24"/>
          <w:szCs w:val="24"/>
        </w:rPr>
        <w:t xml:space="preserve">Department </w:t>
      </w:r>
      <w:r w:rsidR="009A19DF" w:rsidRPr="00D5652A">
        <w:rPr>
          <w:rFonts w:ascii="Arial" w:hAnsi="Arial" w:cs="Arial"/>
          <w:sz w:val="24"/>
          <w:szCs w:val="24"/>
        </w:rPr>
        <w:t xml:space="preserve">only filed its answering affidavit on 25 October 2022, a few days before the hearing of this </w:t>
      </w:r>
      <w:r w:rsidRPr="00D5652A">
        <w:rPr>
          <w:rFonts w:ascii="Arial" w:hAnsi="Arial" w:cs="Arial"/>
          <w:sz w:val="24"/>
          <w:szCs w:val="24"/>
        </w:rPr>
        <w:t>matter on 28 October 2022. The D</w:t>
      </w:r>
      <w:r w:rsidR="009A19DF" w:rsidRPr="00D5652A">
        <w:rPr>
          <w:rFonts w:ascii="Arial" w:hAnsi="Arial" w:cs="Arial"/>
          <w:sz w:val="24"/>
          <w:szCs w:val="24"/>
        </w:rPr>
        <w:t xml:space="preserve">epartment in essence aligned itself with the grounds of opposition raised by Makhathini and raised a few additional issues, alleging inter alia that Buhle’s attempt at intervention is flawed because it seeks to challenge the entire tender process, wanting to set aside the awards in all three </w:t>
      </w:r>
      <w:r w:rsidR="00EF76FA">
        <w:rPr>
          <w:rFonts w:ascii="Arial" w:hAnsi="Arial" w:cs="Arial"/>
          <w:sz w:val="24"/>
          <w:szCs w:val="24"/>
        </w:rPr>
        <w:t>areas</w:t>
      </w:r>
      <w:r w:rsidR="009A19DF" w:rsidRPr="00D5652A">
        <w:rPr>
          <w:rFonts w:ascii="Arial" w:hAnsi="Arial" w:cs="Arial"/>
          <w:sz w:val="24"/>
          <w:szCs w:val="24"/>
        </w:rPr>
        <w:t>. It also pointed out that Buhle has failed to join Ecocycle (as well as Vikela, for that matter), the successful tenderer in Area 3</w:t>
      </w:r>
      <w:r w:rsidR="00A151EB">
        <w:rPr>
          <w:rFonts w:ascii="Arial" w:hAnsi="Arial" w:cs="Arial"/>
          <w:sz w:val="24"/>
          <w:szCs w:val="24"/>
        </w:rPr>
        <w:t>,</w:t>
      </w:r>
      <w:r w:rsidR="009A19DF" w:rsidRPr="00D5652A">
        <w:rPr>
          <w:rFonts w:ascii="Arial" w:hAnsi="Arial" w:cs="Arial"/>
          <w:sz w:val="24"/>
          <w:szCs w:val="24"/>
        </w:rPr>
        <w:t xml:space="preserve"> and that the application for intervention should fail on the basis of a material non-joined. I will return to the </w:t>
      </w:r>
      <w:r w:rsidR="00F67A74" w:rsidRPr="00D5652A">
        <w:rPr>
          <w:rFonts w:ascii="Arial" w:hAnsi="Arial" w:cs="Arial"/>
          <w:sz w:val="24"/>
          <w:szCs w:val="24"/>
        </w:rPr>
        <w:t xml:space="preserve">Department’s </w:t>
      </w:r>
      <w:r w:rsidR="009A19DF" w:rsidRPr="00D5652A">
        <w:rPr>
          <w:rFonts w:ascii="Arial" w:hAnsi="Arial" w:cs="Arial"/>
          <w:sz w:val="24"/>
          <w:szCs w:val="24"/>
        </w:rPr>
        <w:t>other grounds of opposition if the need arises.</w:t>
      </w:r>
    </w:p>
    <w:p w:rsidR="008E4B1A" w:rsidRPr="00D5652A" w:rsidRDefault="008E4B1A" w:rsidP="00D5652A">
      <w:pPr>
        <w:spacing w:after="0" w:line="360" w:lineRule="auto"/>
        <w:contextualSpacing/>
        <w:jc w:val="both"/>
        <w:rPr>
          <w:rFonts w:ascii="Arial" w:hAnsi="Arial" w:cs="Arial"/>
          <w:sz w:val="24"/>
          <w:szCs w:val="24"/>
        </w:rPr>
      </w:pPr>
    </w:p>
    <w:p w:rsidR="008E4B1A" w:rsidRPr="00D5652A" w:rsidRDefault="008E4B1A"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Makhathini’s opposition to Buhle</w:t>
      </w:r>
      <w:r w:rsidR="00F67A74">
        <w:rPr>
          <w:rFonts w:ascii="Arial" w:hAnsi="Arial" w:cs="Arial"/>
          <w:sz w:val="24"/>
          <w:szCs w:val="24"/>
        </w:rPr>
        <w:t>’</w:t>
      </w:r>
      <w:r w:rsidRPr="00D5652A">
        <w:rPr>
          <w:rFonts w:ascii="Arial" w:hAnsi="Arial" w:cs="Arial"/>
          <w:sz w:val="24"/>
          <w:szCs w:val="24"/>
        </w:rPr>
        <w:t>s intervention application can be summari</w:t>
      </w:r>
      <w:r w:rsidR="006612EE" w:rsidRPr="00D5652A">
        <w:rPr>
          <w:rFonts w:ascii="Arial" w:hAnsi="Arial" w:cs="Arial"/>
          <w:sz w:val="24"/>
          <w:szCs w:val="24"/>
        </w:rPr>
        <w:t>z</w:t>
      </w:r>
      <w:r w:rsidRPr="00D5652A">
        <w:rPr>
          <w:rFonts w:ascii="Arial" w:hAnsi="Arial" w:cs="Arial"/>
          <w:sz w:val="24"/>
          <w:szCs w:val="24"/>
        </w:rPr>
        <w:t>ed as follows:</w:t>
      </w:r>
    </w:p>
    <w:p w:rsidR="006612EE" w:rsidRPr="00D5652A" w:rsidRDefault="006612EE"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Buhle has not proved that it has </w:t>
      </w:r>
      <w:r w:rsidRPr="00D5652A">
        <w:rPr>
          <w:rFonts w:ascii="Arial" w:hAnsi="Arial" w:cs="Arial"/>
          <w:i/>
          <w:sz w:val="24"/>
          <w:szCs w:val="24"/>
        </w:rPr>
        <w:t>locus standi</w:t>
      </w:r>
      <w:r w:rsidRPr="00D5652A">
        <w:rPr>
          <w:rFonts w:ascii="Arial" w:hAnsi="Arial" w:cs="Arial"/>
          <w:sz w:val="24"/>
          <w:szCs w:val="24"/>
        </w:rPr>
        <w:t xml:space="preserve"> to review the decision, as it has not annexed a copy of its tender to show it submitted a compliant tender. Buhle has not indicated what its ranking was – such that it would be the next highest ranking tender and entitled to any of the tenders.</w:t>
      </w:r>
    </w:p>
    <w:p w:rsidR="006612EE" w:rsidRPr="00D5652A" w:rsidRDefault="006612EE"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Buhle’s application did not satisfy the requirements of </w:t>
      </w:r>
      <w:r w:rsidR="00866641" w:rsidRPr="00D5652A">
        <w:rPr>
          <w:rFonts w:ascii="Arial" w:hAnsi="Arial" w:cs="Arial"/>
          <w:sz w:val="24"/>
          <w:szCs w:val="24"/>
        </w:rPr>
        <w:t xml:space="preserve">Uniform </w:t>
      </w:r>
      <w:r w:rsidR="00F67A74" w:rsidRPr="00D5652A">
        <w:rPr>
          <w:rFonts w:ascii="Arial" w:hAnsi="Arial" w:cs="Arial"/>
          <w:sz w:val="24"/>
          <w:szCs w:val="24"/>
        </w:rPr>
        <w:t xml:space="preserve">rule </w:t>
      </w:r>
      <w:r w:rsidR="00866641" w:rsidRPr="00D5652A">
        <w:rPr>
          <w:rFonts w:ascii="Arial" w:hAnsi="Arial" w:cs="Arial"/>
          <w:sz w:val="24"/>
          <w:szCs w:val="24"/>
        </w:rPr>
        <w:t>10</w:t>
      </w:r>
      <w:r w:rsidRPr="00D5652A">
        <w:rPr>
          <w:rFonts w:ascii="Arial" w:hAnsi="Arial" w:cs="Arial"/>
          <w:sz w:val="24"/>
          <w:szCs w:val="24"/>
        </w:rPr>
        <w:t xml:space="preserve">. </w:t>
      </w:r>
      <w:r w:rsidR="00866641" w:rsidRPr="00D5652A">
        <w:rPr>
          <w:rFonts w:ascii="Arial" w:hAnsi="Arial" w:cs="Arial"/>
          <w:sz w:val="24"/>
          <w:szCs w:val="24"/>
        </w:rPr>
        <w:t>(</w:t>
      </w:r>
      <w:r w:rsidRPr="00D5652A">
        <w:rPr>
          <w:rFonts w:ascii="Arial" w:hAnsi="Arial" w:cs="Arial"/>
          <w:sz w:val="24"/>
          <w:szCs w:val="24"/>
        </w:rPr>
        <w:t xml:space="preserve">Buhle in its reply stressed that its application to intervene was brought in terms of Uniform </w:t>
      </w:r>
      <w:r w:rsidR="00F67A74" w:rsidRPr="00D5652A">
        <w:rPr>
          <w:rFonts w:ascii="Arial" w:hAnsi="Arial" w:cs="Arial"/>
          <w:sz w:val="24"/>
          <w:szCs w:val="24"/>
        </w:rPr>
        <w:t xml:space="preserve">rule </w:t>
      </w:r>
      <w:r w:rsidRPr="00D5652A">
        <w:rPr>
          <w:rFonts w:ascii="Arial" w:hAnsi="Arial" w:cs="Arial"/>
          <w:sz w:val="24"/>
          <w:szCs w:val="24"/>
        </w:rPr>
        <w:t>12</w:t>
      </w:r>
      <w:r w:rsidR="00866641" w:rsidRPr="00D5652A">
        <w:rPr>
          <w:rFonts w:ascii="Arial" w:hAnsi="Arial" w:cs="Arial"/>
          <w:sz w:val="24"/>
          <w:szCs w:val="24"/>
        </w:rPr>
        <w:t xml:space="preserve"> </w:t>
      </w:r>
      <w:r w:rsidRPr="00D5652A">
        <w:rPr>
          <w:rFonts w:ascii="Arial" w:hAnsi="Arial" w:cs="Arial"/>
          <w:sz w:val="24"/>
          <w:szCs w:val="24"/>
        </w:rPr>
        <w:t xml:space="preserve">and not Uniform </w:t>
      </w:r>
      <w:r w:rsidR="00F67A74" w:rsidRPr="00D5652A">
        <w:rPr>
          <w:rFonts w:ascii="Arial" w:hAnsi="Arial" w:cs="Arial"/>
          <w:sz w:val="24"/>
          <w:szCs w:val="24"/>
        </w:rPr>
        <w:t xml:space="preserve">rule </w:t>
      </w:r>
      <w:r w:rsidRPr="00D5652A">
        <w:rPr>
          <w:rFonts w:ascii="Arial" w:hAnsi="Arial" w:cs="Arial"/>
          <w:sz w:val="24"/>
          <w:szCs w:val="24"/>
        </w:rPr>
        <w:t>10.</w:t>
      </w:r>
      <w:r w:rsidR="00866641" w:rsidRPr="00D5652A">
        <w:rPr>
          <w:rFonts w:ascii="Arial" w:hAnsi="Arial" w:cs="Arial"/>
          <w:sz w:val="24"/>
          <w:szCs w:val="24"/>
        </w:rPr>
        <w:t>)</w:t>
      </w:r>
    </w:p>
    <w:p w:rsidR="006612EE" w:rsidRPr="00D5652A" w:rsidRDefault="006612EE"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It is not convenient for Buhle to pursue the causes of action it proposes to advance by consolidating its proposed review application with Makhathini’s review. Neither Ecocycle nor Vikela are parties to the review application and the non-joinder of them is fatal to Buhle’s application. If Buhle does join Ecocycle and Vikela, it will give rise to additional disputes with these parties, who are not part of Makhathini’s review application.</w:t>
      </w:r>
    </w:p>
    <w:p w:rsidR="006612EE" w:rsidRPr="00D5652A" w:rsidRDefault="006612EE"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If the intervention is allowed and Ecocy</w:t>
      </w:r>
      <w:r w:rsidR="00866641" w:rsidRPr="00D5652A">
        <w:rPr>
          <w:rFonts w:ascii="Arial" w:hAnsi="Arial" w:cs="Arial"/>
          <w:sz w:val="24"/>
          <w:szCs w:val="24"/>
        </w:rPr>
        <w:t>cle and Vikela are joined, the D</w:t>
      </w:r>
      <w:r w:rsidRPr="00D5652A">
        <w:rPr>
          <w:rFonts w:ascii="Arial" w:hAnsi="Arial" w:cs="Arial"/>
          <w:sz w:val="24"/>
          <w:szCs w:val="24"/>
        </w:rPr>
        <w:t xml:space="preserve">epartment will be required to provide the record for the decision to award the tender for Area 3, which is at present irrelevant to the review application. </w:t>
      </w:r>
    </w:p>
    <w:p w:rsidR="006612EE" w:rsidRPr="00D5652A" w:rsidRDefault="006612EE"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These disputes and procedural issues will only serve to delay the finalization of Makhathini’s review application. Buhle has no entitlement to join its review application as it would involve broader issues, thereby complicating the matter</w:t>
      </w:r>
      <w:r w:rsidR="00866641" w:rsidRPr="00D5652A">
        <w:rPr>
          <w:rFonts w:ascii="Arial" w:hAnsi="Arial" w:cs="Arial"/>
          <w:sz w:val="24"/>
          <w:szCs w:val="24"/>
        </w:rPr>
        <w:t xml:space="preserve"> and delaying </w:t>
      </w:r>
      <w:proofErr w:type="gramStart"/>
      <w:r w:rsidR="00866641" w:rsidRPr="00D5652A">
        <w:rPr>
          <w:rFonts w:ascii="Arial" w:hAnsi="Arial" w:cs="Arial"/>
          <w:sz w:val="24"/>
          <w:szCs w:val="24"/>
        </w:rPr>
        <w:t>it’s</w:t>
      </w:r>
      <w:proofErr w:type="gramEnd"/>
      <w:r w:rsidRPr="00D5652A">
        <w:rPr>
          <w:rFonts w:ascii="Arial" w:hAnsi="Arial" w:cs="Arial"/>
          <w:sz w:val="24"/>
          <w:szCs w:val="24"/>
        </w:rPr>
        <w:t xml:space="preserve"> finalization. Buhle’s remedy is to institute its own separate review application. </w:t>
      </w:r>
    </w:p>
    <w:p w:rsidR="006612EE" w:rsidRPr="00D5652A" w:rsidRDefault="006612EE"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Makhathini has not sou</w:t>
      </w:r>
      <w:r w:rsidR="00866641" w:rsidRPr="00D5652A">
        <w:rPr>
          <w:rFonts w:ascii="Arial" w:hAnsi="Arial" w:cs="Arial"/>
          <w:sz w:val="24"/>
          <w:szCs w:val="24"/>
        </w:rPr>
        <w:t>ght to review or set aside the D</w:t>
      </w:r>
      <w:r w:rsidRPr="00D5652A">
        <w:rPr>
          <w:rFonts w:ascii="Arial" w:hAnsi="Arial" w:cs="Arial"/>
          <w:sz w:val="24"/>
          <w:szCs w:val="24"/>
        </w:rPr>
        <w:t>epartment’s award to Ecocycle and Vikela in respect of Area 3 and accordingly</w:t>
      </w:r>
      <w:r w:rsidR="003016F3">
        <w:rPr>
          <w:rFonts w:ascii="Arial" w:hAnsi="Arial" w:cs="Arial"/>
          <w:sz w:val="24"/>
          <w:szCs w:val="24"/>
        </w:rPr>
        <w:t>,</w:t>
      </w:r>
      <w:r w:rsidRPr="00D5652A">
        <w:rPr>
          <w:rFonts w:ascii="Arial" w:hAnsi="Arial" w:cs="Arial"/>
          <w:sz w:val="24"/>
          <w:szCs w:val="24"/>
        </w:rPr>
        <w:t xml:space="preserve"> Buhle’s application will not depend upon the determination of substantially the same question of law or fact as in the review application. Buhle is furthermore also seeking to set aside the award to Makhathini in respect of Area 1, which adds an additional cause of action which will</w:t>
      </w:r>
      <w:r w:rsidR="00866641" w:rsidRPr="00D5652A">
        <w:rPr>
          <w:rFonts w:ascii="Arial" w:hAnsi="Arial" w:cs="Arial"/>
          <w:sz w:val="24"/>
          <w:szCs w:val="24"/>
        </w:rPr>
        <w:t xml:space="preserve"> raise additional issues which d</w:t>
      </w:r>
      <w:r w:rsidRPr="00D5652A">
        <w:rPr>
          <w:rFonts w:ascii="Arial" w:hAnsi="Arial" w:cs="Arial"/>
          <w:sz w:val="24"/>
          <w:szCs w:val="24"/>
        </w:rPr>
        <w:t xml:space="preserve">o not involve the </w:t>
      </w:r>
      <w:r w:rsidR="00852BEB" w:rsidRPr="00D5652A">
        <w:rPr>
          <w:rFonts w:ascii="Arial" w:hAnsi="Arial" w:cs="Arial"/>
          <w:sz w:val="24"/>
          <w:szCs w:val="24"/>
        </w:rPr>
        <w:t>d</w:t>
      </w:r>
      <w:r w:rsidRPr="00D5652A">
        <w:rPr>
          <w:rFonts w:ascii="Arial" w:hAnsi="Arial" w:cs="Arial"/>
          <w:sz w:val="24"/>
          <w:szCs w:val="24"/>
        </w:rPr>
        <w:t>etermi</w:t>
      </w:r>
      <w:r w:rsidR="00852BEB" w:rsidRPr="00D5652A">
        <w:rPr>
          <w:rFonts w:ascii="Arial" w:hAnsi="Arial" w:cs="Arial"/>
          <w:sz w:val="24"/>
          <w:szCs w:val="24"/>
        </w:rPr>
        <w:t>n</w:t>
      </w:r>
      <w:r w:rsidRPr="00D5652A">
        <w:rPr>
          <w:rFonts w:ascii="Arial" w:hAnsi="Arial" w:cs="Arial"/>
          <w:sz w:val="24"/>
          <w:szCs w:val="24"/>
        </w:rPr>
        <w:t>atio</w:t>
      </w:r>
      <w:r w:rsidR="00852BEB" w:rsidRPr="00D5652A">
        <w:rPr>
          <w:rFonts w:ascii="Arial" w:hAnsi="Arial" w:cs="Arial"/>
          <w:sz w:val="24"/>
          <w:szCs w:val="24"/>
        </w:rPr>
        <w:t>n</w:t>
      </w:r>
      <w:r w:rsidRPr="00D5652A">
        <w:rPr>
          <w:rFonts w:ascii="Arial" w:hAnsi="Arial" w:cs="Arial"/>
          <w:sz w:val="24"/>
          <w:szCs w:val="24"/>
        </w:rPr>
        <w:t xml:space="preserve"> of substantially the same question of law or fact. Makhathini is not a respondent in the review application and Buhle has not cited it as a respondent in the intervention application. Buhle is seeking leave to intervene as a co-applicant with Makhathini. There is no provision in the Uniform </w:t>
      </w:r>
      <w:r w:rsidR="00F67A74" w:rsidRPr="00D5652A">
        <w:rPr>
          <w:rFonts w:ascii="Arial" w:hAnsi="Arial" w:cs="Arial"/>
          <w:sz w:val="24"/>
          <w:szCs w:val="24"/>
        </w:rPr>
        <w:t xml:space="preserve">rules </w:t>
      </w:r>
      <w:r w:rsidRPr="00D5652A">
        <w:rPr>
          <w:rFonts w:ascii="Arial" w:hAnsi="Arial" w:cs="Arial"/>
          <w:sz w:val="24"/>
          <w:szCs w:val="24"/>
        </w:rPr>
        <w:t xml:space="preserve">for one applicant </w:t>
      </w:r>
      <w:r w:rsidR="00852BEB" w:rsidRPr="00D5652A">
        <w:rPr>
          <w:rFonts w:ascii="Arial" w:hAnsi="Arial" w:cs="Arial"/>
          <w:sz w:val="24"/>
          <w:szCs w:val="24"/>
        </w:rPr>
        <w:t>to</w:t>
      </w:r>
      <w:r w:rsidRPr="00D5652A">
        <w:rPr>
          <w:rFonts w:ascii="Arial" w:hAnsi="Arial" w:cs="Arial"/>
          <w:sz w:val="24"/>
          <w:szCs w:val="24"/>
        </w:rPr>
        <w:t xml:space="preserve"> seek relief against another applicant. </w:t>
      </w:r>
    </w:p>
    <w:p w:rsidR="00852BEB" w:rsidRPr="00D5652A" w:rsidRDefault="00852BEB"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Buhle’s review application seeks to render Makhathini’s review moot by seeking to impugn the whole tender. It does not involve the joinder of a cause of action that can suitably be decided with the issues in the review application and therefore does not meet the requirements of Uniform </w:t>
      </w:r>
      <w:r w:rsidR="00F67A74" w:rsidRPr="00D5652A">
        <w:rPr>
          <w:rFonts w:ascii="Arial" w:hAnsi="Arial" w:cs="Arial"/>
          <w:sz w:val="24"/>
          <w:szCs w:val="24"/>
        </w:rPr>
        <w:t xml:space="preserve">rule </w:t>
      </w:r>
      <w:r w:rsidRPr="00D5652A">
        <w:rPr>
          <w:rFonts w:ascii="Arial" w:hAnsi="Arial" w:cs="Arial"/>
          <w:sz w:val="24"/>
          <w:szCs w:val="24"/>
        </w:rPr>
        <w:t>10.</w:t>
      </w:r>
    </w:p>
    <w:p w:rsidR="00852BEB" w:rsidRPr="00D5652A" w:rsidRDefault="00852BEB"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Further delays will arise in order</w:t>
      </w:r>
      <w:r w:rsidR="00866641" w:rsidRPr="00D5652A">
        <w:rPr>
          <w:rFonts w:ascii="Arial" w:hAnsi="Arial" w:cs="Arial"/>
          <w:sz w:val="24"/>
          <w:szCs w:val="24"/>
        </w:rPr>
        <w:t xml:space="preserve"> to obtain the record from the D</w:t>
      </w:r>
      <w:r w:rsidRPr="00D5652A">
        <w:rPr>
          <w:rFonts w:ascii="Arial" w:hAnsi="Arial" w:cs="Arial"/>
          <w:sz w:val="24"/>
          <w:szCs w:val="24"/>
        </w:rPr>
        <w:t xml:space="preserve">epartment </w:t>
      </w:r>
      <w:r w:rsidR="00DD11BC" w:rsidRPr="00D5652A">
        <w:rPr>
          <w:rFonts w:ascii="Arial" w:hAnsi="Arial" w:cs="Arial"/>
          <w:sz w:val="24"/>
          <w:szCs w:val="24"/>
        </w:rPr>
        <w:t>in respect of</w:t>
      </w:r>
      <w:r w:rsidR="009A33E3">
        <w:rPr>
          <w:rFonts w:ascii="Arial" w:hAnsi="Arial" w:cs="Arial"/>
          <w:sz w:val="24"/>
          <w:szCs w:val="24"/>
        </w:rPr>
        <w:t xml:space="preserve"> </w:t>
      </w:r>
      <w:r w:rsidR="00866641" w:rsidRPr="00D5652A">
        <w:rPr>
          <w:rFonts w:ascii="Arial" w:hAnsi="Arial" w:cs="Arial"/>
          <w:sz w:val="24"/>
          <w:szCs w:val="24"/>
        </w:rPr>
        <w:t>the</w:t>
      </w:r>
      <w:r w:rsidRPr="00D5652A">
        <w:rPr>
          <w:rFonts w:ascii="Arial" w:hAnsi="Arial" w:cs="Arial"/>
          <w:sz w:val="24"/>
          <w:szCs w:val="24"/>
        </w:rPr>
        <w:t xml:space="preserve"> award</w:t>
      </w:r>
      <w:r w:rsidR="00866641" w:rsidRPr="00D5652A">
        <w:rPr>
          <w:rFonts w:ascii="Arial" w:hAnsi="Arial" w:cs="Arial"/>
          <w:sz w:val="24"/>
          <w:szCs w:val="24"/>
        </w:rPr>
        <w:t xml:space="preserve"> of</w:t>
      </w:r>
      <w:r w:rsidR="009A33E3">
        <w:rPr>
          <w:rFonts w:ascii="Arial" w:hAnsi="Arial" w:cs="Arial"/>
          <w:sz w:val="24"/>
          <w:szCs w:val="24"/>
        </w:rPr>
        <w:t xml:space="preserve"> </w:t>
      </w:r>
      <w:r w:rsidRPr="00D5652A">
        <w:rPr>
          <w:rFonts w:ascii="Arial" w:hAnsi="Arial" w:cs="Arial"/>
          <w:sz w:val="24"/>
          <w:szCs w:val="24"/>
        </w:rPr>
        <w:t xml:space="preserve">the tender for Area 1 to Makhathini, which record will be irrelevant to Makhathini’s review. </w:t>
      </w:r>
    </w:p>
    <w:p w:rsidR="009B5391" w:rsidRPr="00D5652A" w:rsidRDefault="009B5391" w:rsidP="00D5652A">
      <w:pPr>
        <w:spacing w:after="0" w:line="360" w:lineRule="auto"/>
        <w:contextualSpacing/>
        <w:jc w:val="both"/>
        <w:rPr>
          <w:rFonts w:ascii="Arial" w:hAnsi="Arial" w:cs="Arial"/>
          <w:sz w:val="24"/>
          <w:szCs w:val="24"/>
        </w:rPr>
      </w:pPr>
    </w:p>
    <w:p w:rsidR="00852BEB" w:rsidRPr="00D5652A" w:rsidRDefault="00852BEB"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Makhathini also alleged that Buhle’s application was premature or not ripe for hearing as it has not shown that it has exhausted its internal remedies provided for in the Supply Chain Policy Framework and as required by </w:t>
      </w:r>
      <w:r w:rsidR="00DD11BC" w:rsidRPr="00D5652A">
        <w:rPr>
          <w:rFonts w:ascii="Arial" w:hAnsi="Arial" w:cs="Arial"/>
          <w:sz w:val="24"/>
          <w:szCs w:val="24"/>
        </w:rPr>
        <w:t>section 7(1) and (2)</w:t>
      </w:r>
      <w:r w:rsidR="00DD11BC" w:rsidRPr="00974937">
        <w:rPr>
          <w:rFonts w:ascii="Arial" w:hAnsi="Arial" w:cs="Arial"/>
          <w:i/>
          <w:sz w:val="24"/>
          <w:szCs w:val="24"/>
        </w:rPr>
        <w:t xml:space="preserve">(a) </w:t>
      </w:r>
      <w:r w:rsidR="00DD11BC" w:rsidRPr="00D5652A">
        <w:rPr>
          <w:rFonts w:ascii="Arial" w:hAnsi="Arial" w:cs="Arial"/>
          <w:sz w:val="24"/>
          <w:szCs w:val="24"/>
        </w:rPr>
        <w:t>of PAJA.</w:t>
      </w:r>
      <w:r w:rsidRPr="00D5652A">
        <w:rPr>
          <w:rFonts w:ascii="Arial" w:hAnsi="Arial" w:cs="Arial"/>
          <w:sz w:val="24"/>
          <w:szCs w:val="24"/>
        </w:rPr>
        <w:t xml:space="preserve"> </w:t>
      </w:r>
      <w:r w:rsidR="00F67A74">
        <w:rPr>
          <w:rFonts w:ascii="Arial" w:hAnsi="Arial" w:cs="Arial"/>
          <w:sz w:val="24"/>
          <w:szCs w:val="24"/>
        </w:rPr>
        <w:t>The relevant provisions of PAJA</w:t>
      </w:r>
      <w:r w:rsidR="00F67A74" w:rsidRPr="00D5652A">
        <w:rPr>
          <w:rFonts w:ascii="Arial" w:hAnsi="Arial" w:cs="Arial"/>
          <w:sz w:val="24"/>
          <w:szCs w:val="24"/>
        </w:rPr>
        <w:t xml:space="preserve"> </w:t>
      </w:r>
      <w:r w:rsidRPr="00D5652A">
        <w:rPr>
          <w:rFonts w:ascii="Arial" w:hAnsi="Arial" w:cs="Arial"/>
          <w:sz w:val="24"/>
          <w:szCs w:val="24"/>
        </w:rPr>
        <w:t>read as follows:</w:t>
      </w:r>
    </w:p>
    <w:p w:rsidR="00F65F6E" w:rsidRPr="00F65F6E" w:rsidRDefault="00852BEB" w:rsidP="00F65F6E">
      <w:pPr>
        <w:pStyle w:val="ListParagraph"/>
        <w:spacing w:line="360" w:lineRule="auto"/>
        <w:ind w:left="0"/>
        <w:jc w:val="both"/>
        <w:rPr>
          <w:rFonts w:ascii="Arial" w:hAnsi="Arial" w:cs="Arial"/>
          <w:szCs w:val="24"/>
        </w:rPr>
      </w:pPr>
      <w:r w:rsidRPr="00F65F6E">
        <w:rPr>
          <w:rFonts w:ascii="Arial" w:hAnsi="Arial" w:cs="Arial"/>
          <w:szCs w:val="24"/>
        </w:rPr>
        <w:t>‘</w:t>
      </w:r>
      <w:r w:rsidR="00F65F6E" w:rsidRPr="00F65F6E">
        <w:rPr>
          <w:rFonts w:ascii="Arial" w:hAnsi="Arial" w:cs="Arial"/>
          <w:szCs w:val="24"/>
        </w:rPr>
        <w:t>(1)  </w:t>
      </w:r>
      <w:r w:rsidR="00F65F6E" w:rsidRPr="00F65F6E">
        <w:rPr>
          <w:rFonts w:ascii="Arial" w:hAnsi="Arial" w:cs="Arial"/>
          <w:szCs w:val="24"/>
        </w:rPr>
        <w:tab/>
      </w:r>
      <w:proofErr w:type="gramStart"/>
      <w:r w:rsidR="00F65F6E" w:rsidRPr="00F65F6E">
        <w:rPr>
          <w:rFonts w:ascii="Arial" w:hAnsi="Arial" w:cs="Arial"/>
          <w:szCs w:val="24"/>
        </w:rPr>
        <w:t>Any</w:t>
      </w:r>
      <w:proofErr w:type="gramEnd"/>
      <w:r w:rsidR="00F65F6E" w:rsidRPr="00F65F6E">
        <w:rPr>
          <w:rFonts w:ascii="Arial" w:hAnsi="Arial" w:cs="Arial"/>
          <w:szCs w:val="24"/>
        </w:rPr>
        <w:t xml:space="preserve"> proceedings for judicial review in terms of section 6 (1) must be instituted without unreasonable delay and not later than 180 days after the date—</w:t>
      </w:r>
    </w:p>
    <w:p w:rsidR="00F65F6E" w:rsidRPr="00F65F6E" w:rsidRDefault="00F65F6E" w:rsidP="00F65F6E">
      <w:pPr>
        <w:pStyle w:val="ListParagraph"/>
        <w:spacing w:line="360" w:lineRule="auto"/>
        <w:jc w:val="both"/>
        <w:rPr>
          <w:rFonts w:ascii="Arial" w:hAnsi="Arial" w:cs="Arial"/>
          <w:szCs w:val="24"/>
        </w:rPr>
      </w:pPr>
      <w:r w:rsidRPr="00F65F6E">
        <w:rPr>
          <w:rFonts w:ascii="Arial" w:hAnsi="Arial" w:cs="Arial"/>
          <w:szCs w:val="24"/>
        </w:rPr>
        <w:t>(</w:t>
      </w:r>
      <w:r w:rsidRPr="00F65F6E">
        <w:rPr>
          <w:rFonts w:ascii="Arial" w:hAnsi="Arial" w:cs="Arial"/>
          <w:i/>
          <w:iCs/>
          <w:szCs w:val="24"/>
        </w:rPr>
        <w:t>a</w:t>
      </w:r>
      <w:r w:rsidRPr="00F65F6E">
        <w:rPr>
          <w:rFonts w:ascii="Arial" w:hAnsi="Arial" w:cs="Arial"/>
          <w:szCs w:val="24"/>
        </w:rPr>
        <w:t xml:space="preserve">) </w:t>
      </w:r>
      <w:r>
        <w:rPr>
          <w:rFonts w:ascii="Arial" w:hAnsi="Arial" w:cs="Arial"/>
          <w:szCs w:val="24"/>
        </w:rPr>
        <w:tab/>
      </w:r>
      <w:r w:rsidRPr="00F65F6E">
        <w:rPr>
          <w:rFonts w:ascii="Arial" w:hAnsi="Arial" w:cs="Arial"/>
          <w:szCs w:val="24"/>
        </w:rPr>
        <w:t>subject to subsection (2) (</w:t>
      </w:r>
      <w:r w:rsidRPr="00F65F6E">
        <w:rPr>
          <w:rFonts w:ascii="Arial" w:hAnsi="Arial" w:cs="Arial"/>
          <w:i/>
          <w:iCs/>
          <w:szCs w:val="24"/>
        </w:rPr>
        <w:t>c</w:t>
      </w:r>
      <w:r w:rsidRPr="00F65F6E">
        <w:rPr>
          <w:rFonts w:ascii="Arial" w:hAnsi="Arial" w:cs="Arial"/>
          <w:szCs w:val="24"/>
        </w:rPr>
        <w:t>), on which any proceedings instituted in terms of internal remedies as contemplated in subsection (2) (</w:t>
      </w:r>
      <w:r w:rsidRPr="00F65F6E">
        <w:rPr>
          <w:rFonts w:ascii="Arial" w:hAnsi="Arial" w:cs="Arial"/>
          <w:i/>
          <w:iCs/>
          <w:szCs w:val="24"/>
        </w:rPr>
        <w:t>a</w:t>
      </w:r>
      <w:r w:rsidRPr="00F65F6E">
        <w:rPr>
          <w:rFonts w:ascii="Arial" w:hAnsi="Arial" w:cs="Arial"/>
          <w:szCs w:val="24"/>
        </w:rPr>
        <w:t>) have been concluded; or</w:t>
      </w:r>
    </w:p>
    <w:p w:rsidR="00F65F6E" w:rsidRPr="00F65F6E" w:rsidRDefault="00F65F6E" w:rsidP="00F65F6E">
      <w:pPr>
        <w:pStyle w:val="ListParagraph"/>
        <w:spacing w:line="360" w:lineRule="auto"/>
        <w:jc w:val="both"/>
        <w:rPr>
          <w:rFonts w:ascii="Arial" w:hAnsi="Arial" w:cs="Arial"/>
          <w:szCs w:val="24"/>
        </w:rPr>
      </w:pPr>
      <w:r w:rsidRPr="00F65F6E">
        <w:rPr>
          <w:rFonts w:ascii="Arial" w:hAnsi="Arial" w:cs="Arial"/>
          <w:szCs w:val="24"/>
        </w:rPr>
        <w:t>(</w:t>
      </w:r>
      <w:r w:rsidRPr="00F65F6E">
        <w:rPr>
          <w:rFonts w:ascii="Arial" w:hAnsi="Arial" w:cs="Arial"/>
          <w:i/>
          <w:iCs/>
          <w:szCs w:val="24"/>
        </w:rPr>
        <w:t>b</w:t>
      </w:r>
      <w:r w:rsidRPr="00F65F6E">
        <w:rPr>
          <w:rFonts w:ascii="Arial" w:hAnsi="Arial" w:cs="Arial"/>
          <w:szCs w:val="24"/>
        </w:rPr>
        <w:t xml:space="preserve">) </w:t>
      </w:r>
      <w:r>
        <w:rPr>
          <w:rFonts w:ascii="Arial" w:hAnsi="Arial" w:cs="Arial"/>
          <w:szCs w:val="24"/>
        </w:rPr>
        <w:tab/>
      </w:r>
      <w:proofErr w:type="gramStart"/>
      <w:r w:rsidRPr="00F65F6E">
        <w:rPr>
          <w:rFonts w:ascii="Arial" w:hAnsi="Arial" w:cs="Arial"/>
          <w:szCs w:val="24"/>
        </w:rPr>
        <w:t>where</w:t>
      </w:r>
      <w:proofErr w:type="gramEnd"/>
      <w:r w:rsidRPr="00F65F6E">
        <w:rPr>
          <w:rFonts w:ascii="Arial" w:hAnsi="Arial" w:cs="Arial"/>
          <w:szCs w:val="24"/>
        </w:rPr>
        <w:t xml:space="preserve"> no such remedies exist, on which the person concerned was informed of the administrative action, became aware of the action and the reasons for it or might reasonably have been expected to have become aware of the action and the reasons.</w:t>
      </w:r>
    </w:p>
    <w:p w:rsidR="00852BEB" w:rsidRPr="00F65F6E" w:rsidRDefault="00F65F6E" w:rsidP="00F65F6E">
      <w:pPr>
        <w:pStyle w:val="ListParagraph"/>
        <w:spacing w:line="360" w:lineRule="auto"/>
        <w:ind w:left="0"/>
        <w:jc w:val="both"/>
        <w:rPr>
          <w:rFonts w:ascii="Arial" w:hAnsi="Arial" w:cs="Arial"/>
          <w:szCs w:val="24"/>
        </w:rPr>
      </w:pPr>
      <w:r w:rsidRPr="00F65F6E">
        <w:rPr>
          <w:rFonts w:ascii="Arial" w:hAnsi="Arial" w:cs="Arial"/>
          <w:szCs w:val="24"/>
        </w:rPr>
        <w:t>(2)  (</w:t>
      </w:r>
      <w:r w:rsidRPr="00F65F6E">
        <w:rPr>
          <w:rFonts w:ascii="Arial" w:hAnsi="Arial" w:cs="Arial"/>
          <w:i/>
          <w:iCs/>
          <w:szCs w:val="24"/>
        </w:rPr>
        <w:t>a</w:t>
      </w:r>
      <w:r w:rsidRPr="00F65F6E">
        <w:rPr>
          <w:rFonts w:ascii="Arial" w:hAnsi="Arial" w:cs="Arial"/>
          <w:szCs w:val="24"/>
        </w:rPr>
        <w:t>)  Subject to paragraph (</w:t>
      </w:r>
      <w:r w:rsidRPr="00F65F6E">
        <w:rPr>
          <w:rFonts w:ascii="Arial" w:hAnsi="Arial" w:cs="Arial"/>
          <w:i/>
          <w:iCs/>
          <w:szCs w:val="24"/>
        </w:rPr>
        <w:t>c</w:t>
      </w:r>
      <w:r w:rsidRPr="00F65F6E">
        <w:rPr>
          <w:rFonts w:ascii="Arial" w:hAnsi="Arial" w:cs="Arial"/>
          <w:szCs w:val="24"/>
        </w:rPr>
        <w:t>), no court or tribunal shall review an administrative action in terms of this Act unless any internal remedy provided for in any other law has first been exhausted.’</w:t>
      </w:r>
    </w:p>
    <w:p w:rsidR="00852BEB" w:rsidRPr="00D5652A" w:rsidRDefault="00852BEB" w:rsidP="00D5652A">
      <w:pPr>
        <w:spacing w:after="0" w:line="360" w:lineRule="auto"/>
        <w:contextualSpacing/>
        <w:jc w:val="both"/>
        <w:rPr>
          <w:rFonts w:ascii="Arial" w:hAnsi="Arial" w:cs="Arial"/>
          <w:sz w:val="24"/>
          <w:szCs w:val="24"/>
        </w:rPr>
      </w:pPr>
    </w:p>
    <w:p w:rsidR="00852BEB" w:rsidRPr="00D5652A" w:rsidRDefault="00852BEB"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Section 7(2</w:t>
      </w:r>
      <w:proofErr w:type="gramStart"/>
      <w:r w:rsidRPr="00D5652A">
        <w:rPr>
          <w:rFonts w:ascii="Arial" w:hAnsi="Arial" w:cs="Arial"/>
          <w:sz w:val="24"/>
          <w:szCs w:val="24"/>
        </w:rPr>
        <w:t>)</w:t>
      </w:r>
      <w:r w:rsidRPr="00974937">
        <w:rPr>
          <w:rFonts w:ascii="Arial" w:hAnsi="Arial" w:cs="Arial"/>
          <w:i/>
          <w:sz w:val="24"/>
          <w:szCs w:val="24"/>
        </w:rPr>
        <w:t>(</w:t>
      </w:r>
      <w:proofErr w:type="gramEnd"/>
      <w:r w:rsidRPr="00974937">
        <w:rPr>
          <w:rFonts w:ascii="Arial" w:hAnsi="Arial" w:cs="Arial"/>
          <w:i/>
          <w:sz w:val="24"/>
          <w:szCs w:val="24"/>
        </w:rPr>
        <w:t>c)</w:t>
      </w:r>
      <w:r w:rsidRPr="00D5652A">
        <w:rPr>
          <w:rFonts w:ascii="Arial" w:hAnsi="Arial" w:cs="Arial"/>
          <w:sz w:val="24"/>
          <w:szCs w:val="24"/>
        </w:rPr>
        <w:t xml:space="preserve"> of PAJA is also relevant. It reads as follows:</w:t>
      </w:r>
    </w:p>
    <w:p w:rsidR="008E4B1A" w:rsidRPr="00F65F6E" w:rsidRDefault="00852BEB" w:rsidP="00F65F6E">
      <w:pPr>
        <w:pStyle w:val="ListParagraph"/>
        <w:spacing w:after="0" w:line="360" w:lineRule="auto"/>
        <w:ind w:left="0"/>
        <w:jc w:val="both"/>
        <w:rPr>
          <w:rFonts w:ascii="Arial" w:hAnsi="Arial" w:cs="Arial"/>
          <w:szCs w:val="24"/>
        </w:rPr>
      </w:pPr>
      <w:r w:rsidRPr="00F65F6E">
        <w:rPr>
          <w:rFonts w:ascii="Arial" w:hAnsi="Arial" w:cs="Arial"/>
          <w:szCs w:val="24"/>
        </w:rPr>
        <w:t>‘</w:t>
      </w:r>
      <w:r w:rsidR="00F65F6E" w:rsidRPr="00F65F6E">
        <w:rPr>
          <w:rFonts w:ascii="Arial" w:hAnsi="Arial" w:cs="Arial"/>
          <w:szCs w:val="24"/>
        </w:rPr>
        <w:t>A court or tribunal may, in exceptional circumstances and on application by the person concerned, exempt such person from the obligation to exhaust any internal remedy if the court or tribunal deems it in the interest of justice.</w:t>
      </w:r>
      <w:r w:rsidRPr="00F65F6E">
        <w:rPr>
          <w:rFonts w:ascii="Arial" w:hAnsi="Arial" w:cs="Arial"/>
          <w:szCs w:val="24"/>
        </w:rPr>
        <w:t>'</w:t>
      </w:r>
    </w:p>
    <w:p w:rsidR="00092D02" w:rsidRPr="00D5652A" w:rsidRDefault="005D3840" w:rsidP="00D5652A">
      <w:pPr>
        <w:pStyle w:val="ListParagraph"/>
        <w:spacing w:after="0" w:line="360" w:lineRule="auto"/>
        <w:ind w:left="0"/>
        <w:jc w:val="both"/>
        <w:rPr>
          <w:rFonts w:ascii="Arial" w:hAnsi="Arial" w:cs="Arial"/>
          <w:sz w:val="24"/>
          <w:szCs w:val="24"/>
        </w:rPr>
      </w:pPr>
      <w:r w:rsidRPr="00D5652A">
        <w:rPr>
          <w:rFonts w:ascii="Arial" w:hAnsi="Arial" w:cs="Arial"/>
          <w:sz w:val="24"/>
          <w:szCs w:val="24"/>
        </w:rPr>
        <w:t>Buhle has not made such an application.</w:t>
      </w:r>
    </w:p>
    <w:p w:rsidR="00092D02" w:rsidRPr="00D5652A" w:rsidRDefault="00092D02" w:rsidP="00D5652A">
      <w:pPr>
        <w:spacing w:after="0" w:line="360" w:lineRule="auto"/>
        <w:contextualSpacing/>
        <w:jc w:val="both"/>
        <w:rPr>
          <w:rFonts w:ascii="Arial" w:hAnsi="Arial" w:cs="Arial"/>
          <w:sz w:val="24"/>
          <w:szCs w:val="24"/>
        </w:rPr>
      </w:pPr>
    </w:p>
    <w:p w:rsidR="00092D02" w:rsidRPr="00B258AE" w:rsidRDefault="00DD11BC" w:rsidP="00FE2109">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The D</w:t>
      </w:r>
      <w:r w:rsidR="00092D02" w:rsidRPr="00D5652A">
        <w:rPr>
          <w:rFonts w:ascii="Arial" w:hAnsi="Arial" w:cs="Arial"/>
          <w:sz w:val="24"/>
          <w:szCs w:val="24"/>
        </w:rPr>
        <w:t>epartment also raised the issue of Buhle’s failure to exhaust its internal remedies, adding that there has been an unreasonable delay in the bringing of Buhle’s review application, alleging that the 180 day period had expired by 13 December 2021. Buhle’s response to these i</w:t>
      </w:r>
      <w:r w:rsidRPr="00D5652A">
        <w:rPr>
          <w:rFonts w:ascii="Arial" w:hAnsi="Arial" w:cs="Arial"/>
          <w:sz w:val="24"/>
          <w:szCs w:val="24"/>
        </w:rPr>
        <w:t xml:space="preserve">ssues has simply </w:t>
      </w:r>
      <w:r w:rsidR="00E0274E">
        <w:rPr>
          <w:rFonts w:ascii="Arial" w:hAnsi="Arial" w:cs="Arial"/>
          <w:sz w:val="24"/>
          <w:szCs w:val="24"/>
        </w:rPr>
        <w:t xml:space="preserve">been </w:t>
      </w:r>
      <w:r w:rsidRPr="00D5652A">
        <w:rPr>
          <w:rFonts w:ascii="Arial" w:hAnsi="Arial" w:cs="Arial"/>
          <w:sz w:val="24"/>
          <w:szCs w:val="24"/>
        </w:rPr>
        <w:t>that the D</w:t>
      </w:r>
      <w:r w:rsidR="00092D02" w:rsidRPr="00D5652A">
        <w:rPr>
          <w:rFonts w:ascii="Arial" w:hAnsi="Arial" w:cs="Arial"/>
          <w:sz w:val="24"/>
          <w:szCs w:val="24"/>
        </w:rPr>
        <w:t>epartment has failed to provide the reasons it has requested</w:t>
      </w:r>
      <w:r w:rsidR="00E0274E">
        <w:rPr>
          <w:rFonts w:ascii="Arial" w:hAnsi="Arial" w:cs="Arial"/>
          <w:sz w:val="24"/>
          <w:szCs w:val="24"/>
        </w:rPr>
        <w:t>,</w:t>
      </w:r>
      <w:r w:rsidR="00092D02" w:rsidRPr="00D5652A">
        <w:rPr>
          <w:rFonts w:ascii="Arial" w:hAnsi="Arial" w:cs="Arial"/>
          <w:sz w:val="24"/>
          <w:szCs w:val="24"/>
        </w:rPr>
        <w:t xml:space="preserve"> and that the 180 day period starts running when not only the decision but also the reasons have been provided. Buhle did however indicate that it had the option avail</w:t>
      </w:r>
      <w:r w:rsidRPr="00D5652A">
        <w:rPr>
          <w:rFonts w:ascii="Arial" w:hAnsi="Arial" w:cs="Arial"/>
          <w:sz w:val="24"/>
          <w:szCs w:val="24"/>
        </w:rPr>
        <w:t>able to apply for condonation, ou</w:t>
      </w:r>
      <w:r w:rsidR="00092D02" w:rsidRPr="00D5652A">
        <w:rPr>
          <w:rFonts w:ascii="Arial" w:hAnsi="Arial" w:cs="Arial"/>
          <w:sz w:val="24"/>
          <w:szCs w:val="24"/>
        </w:rPr>
        <w:t>t of abundance of caution, once allowed to intervene in the review application.</w:t>
      </w:r>
    </w:p>
    <w:p w:rsidR="00092D02" w:rsidRPr="00D5652A" w:rsidRDefault="00092D02" w:rsidP="00D5652A">
      <w:pPr>
        <w:spacing w:after="0" w:line="360" w:lineRule="auto"/>
        <w:contextualSpacing/>
        <w:jc w:val="both"/>
        <w:rPr>
          <w:rFonts w:ascii="Arial" w:hAnsi="Arial" w:cs="Arial"/>
          <w:sz w:val="24"/>
          <w:szCs w:val="24"/>
        </w:rPr>
      </w:pPr>
    </w:p>
    <w:p w:rsidR="00092D02" w:rsidRPr="00D5652A" w:rsidRDefault="00092D02"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Buhle requested reasons </w:t>
      </w:r>
      <w:r w:rsidR="00EF76FA">
        <w:rPr>
          <w:rFonts w:ascii="Arial" w:hAnsi="Arial" w:cs="Arial"/>
          <w:sz w:val="24"/>
          <w:szCs w:val="24"/>
        </w:rPr>
        <w:t>simultaneously</w:t>
      </w:r>
      <w:r w:rsidR="00EF76FA" w:rsidRPr="00D5652A">
        <w:rPr>
          <w:rFonts w:ascii="Arial" w:hAnsi="Arial" w:cs="Arial"/>
          <w:sz w:val="24"/>
          <w:szCs w:val="24"/>
        </w:rPr>
        <w:t xml:space="preserve"> </w:t>
      </w:r>
      <w:r w:rsidRPr="00D5652A">
        <w:rPr>
          <w:rFonts w:ascii="Arial" w:hAnsi="Arial" w:cs="Arial"/>
          <w:sz w:val="24"/>
          <w:szCs w:val="24"/>
        </w:rPr>
        <w:t xml:space="preserve">with its notice of appeal on 17 May 2021. Once the ten day period had expired and the BAC had failed to deliver the reasons (accepting that it actually received the request </w:t>
      </w:r>
      <w:r w:rsidR="00B258AE">
        <w:rPr>
          <w:rFonts w:ascii="Arial" w:hAnsi="Arial" w:cs="Arial"/>
          <w:sz w:val="24"/>
          <w:szCs w:val="24"/>
        </w:rPr>
        <w:t xml:space="preserve">for reasons), nothing </w:t>
      </w:r>
      <w:r w:rsidRPr="00D5652A">
        <w:rPr>
          <w:rFonts w:ascii="Arial" w:hAnsi="Arial" w:cs="Arial"/>
          <w:sz w:val="24"/>
          <w:szCs w:val="24"/>
        </w:rPr>
        <w:t xml:space="preserve"> prevented Buhle from proceeding with the appeal by making written submissions to the Bid Appeals T</w:t>
      </w:r>
      <w:r w:rsidR="00DD11BC" w:rsidRPr="00D5652A">
        <w:rPr>
          <w:rFonts w:ascii="Arial" w:hAnsi="Arial" w:cs="Arial"/>
          <w:sz w:val="24"/>
          <w:szCs w:val="24"/>
        </w:rPr>
        <w:t>ribunal and relying on the presumption that the BAC</w:t>
      </w:r>
      <w:r w:rsidRPr="00D5652A">
        <w:rPr>
          <w:rFonts w:ascii="Arial" w:hAnsi="Arial" w:cs="Arial"/>
          <w:sz w:val="24"/>
          <w:szCs w:val="24"/>
        </w:rPr>
        <w:t xml:space="preserve"> </w:t>
      </w:r>
      <w:r w:rsidR="009A33E3">
        <w:rPr>
          <w:rFonts w:ascii="Arial" w:hAnsi="Arial" w:cs="Arial"/>
          <w:sz w:val="24"/>
          <w:szCs w:val="24"/>
        </w:rPr>
        <w:t>had</w:t>
      </w:r>
      <w:r w:rsidR="009A33E3" w:rsidRPr="00D5652A">
        <w:rPr>
          <w:rFonts w:ascii="Arial" w:hAnsi="Arial" w:cs="Arial"/>
          <w:sz w:val="24"/>
          <w:szCs w:val="24"/>
        </w:rPr>
        <w:t xml:space="preserve"> </w:t>
      </w:r>
      <w:r w:rsidRPr="00D5652A">
        <w:rPr>
          <w:rFonts w:ascii="Arial" w:hAnsi="Arial" w:cs="Arial"/>
          <w:sz w:val="24"/>
          <w:szCs w:val="24"/>
        </w:rPr>
        <w:t xml:space="preserve">taken a decision without good reason. </w:t>
      </w:r>
    </w:p>
    <w:p w:rsidR="00E2503B" w:rsidRPr="00D5652A" w:rsidRDefault="00E2503B" w:rsidP="00D5652A">
      <w:pPr>
        <w:spacing w:after="0" w:line="360" w:lineRule="auto"/>
        <w:contextualSpacing/>
        <w:jc w:val="both"/>
        <w:rPr>
          <w:rFonts w:ascii="Arial" w:hAnsi="Arial" w:cs="Arial"/>
          <w:sz w:val="24"/>
          <w:szCs w:val="24"/>
        </w:rPr>
      </w:pPr>
    </w:p>
    <w:p w:rsidR="00E2503B" w:rsidRPr="00D5652A" w:rsidRDefault="005A616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It is common cause that Buhle has failed to proceed with its appeal, which la</w:t>
      </w:r>
      <w:r w:rsidR="00DD11BC" w:rsidRPr="00D5652A">
        <w:rPr>
          <w:rFonts w:ascii="Arial" w:hAnsi="Arial" w:cs="Arial"/>
          <w:sz w:val="24"/>
          <w:szCs w:val="24"/>
        </w:rPr>
        <w:t>p</w:t>
      </w:r>
      <w:r w:rsidRPr="00D5652A">
        <w:rPr>
          <w:rFonts w:ascii="Arial" w:hAnsi="Arial" w:cs="Arial"/>
          <w:sz w:val="24"/>
          <w:szCs w:val="24"/>
        </w:rPr>
        <w:t>se</w:t>
      </w:r>
      <w:r w:rsidR="00B258AE">
        <w:rPr>
          <w:rFonts w:ascii="Arial" w:hAnsi="Arial" w:cs="Arial"/>
          <w:sz w:val="24"/>
          <w:szCs w:val="24"/>
        </w:rPr>
        <w:t>d by 15 June 2021. It appears not to have</w:t>
      </w:r>
      <w:r w:rsidRPr="00D5652A">
        <w:rPr>
          <w:rFonts w:ascii="Arial" w:hAnsi="Arial" w:cs="Arial"/>
          <w:sz w:val="24"/>
          <w:szCs w:val="24"/>
        </w:rPr>
        <w:t xml:space="preserve"> exhausted its internal remedies. It is however open to Buhle to apply to court for relief in terms of section 7(2)</w:t>
      </w:r>
      <w:r w:rsidRPr="00974937">
        <w:rPr>
          <w:rFonts w:ascii="Arial" w:hAnsi="Arial" w:cs="Arial"/>
          <w:i/>
          <w:sz w:val="24"/>
          <w:szCs w:val="24"/>
        </w:rPr>
        <w:t xml:space="preserve">(c) </w:t>
      </w:r>
      <w:r w:rsidRPr="00D5652A">
        <w:rPr>
          <w:rFonts w:ascii="Arial" w:hAnsi="Arial" w:cs="Arial"/>
          <w:sz w:val="24"/>
          <w:szCs w:val="24"/>
        </w:rPr>
        <w:t xml:space="preserve">of PAJA to </w:t>
      </w:r>
      <w:r w:rsidR="005756BB" w:rsidRPr="00D5652A">
        <w:rPr>
          <w:rFonts w:ascii="Arial" w:hAnsi="Arial" w:cs="Arial"/>
          <w:sz w:val="24"/>
          <w:szCs w:val="24"/>
        </w:rPr>
        <w:t>resolve this issue</w:t>
      </w:r>
      <w:r w:rsidRPr="00D5652A">
        <w:rPr>
          <w:rFonts w:ascii="Arial" w:hAnsi="Arial" w:cs="Arial"/>
          <w:sz w:val="24"/>
          <w:szCs w:val="24"/>
        </w:rPr>
        <w:t>, in addition to th</w:t>
      </w:r>
      <w:r w:rsidR="00C03A88" w:rsidRPr="00D5652A">
        <w:rPr>
          <w:rFonts w:ascii="Arial" w:hAnsi="Arial" w:cs="Arial"/>
          <w:sz w:val="24"/>
          <w:szCs w:val="24"/>
        </w:rPr>
        <w:t>e problem it has</w:t>
      </w:r>
      <w:r w:rsidR="009A33E3">
        <w:rPr>
          <w:rFonts w:ascii="Arial" w:hAnsi="Arial" w:cs="Arial"/>
          <w:sz w:val="24"/>
          <w:szCs w:val="24"/>
        </w:rPr>
        <w:t>,</w:t>
      </w:r>
      <w:r w:rsidR="00C03A88" w:rsidRPr="00D5652A">
        <w:rPr>
          <w:rFonts w:ascii="Arial" w:hAnsi="Arial" w:cs="Arial"/>
          <w:sz w:val="24"/>
          <w:szCs w:val="24"/>
        </w:rPr>
        <w:t xml:space="preserve"> bearing in mind</w:t>
      </w:r>
      <w:r w:rsidRPr="00D5652A">
        <w:rPr>
          <w:rFonts w:ascii="Arial" w:hAnsi="Arial" w:cs="Arial"/>
          <w:sz w:val="24"/>
          <w:szCs w:val="24"/>
        </w:rPr>
        <w:t xml:space="preserve"> that the 180 days to bring its review would have expired on 13 December 2021, counting from 15 June 2021. Buhle only applied to intervene in the review application on 8 February 2022.</w:t>
      </w:r>
    </w:p>
    <w:p w:rsidR="005A6166" w:rsidRPr="00D5652A" w:rsidRDefault="005A6166" w:rsidP="00D5652A">
      <w:pPr>
        <w:spacing w:after="0" w:line="360" w:lineRule="auto"/>
        <w:contextualSpacing/>
        <w:jc w:val="both"/>
        <w:rPr>
          <w:rFonts w:ascii="Arial" w:hAnsi="Arial" w:cs="Arial"/>
          <w:sz w:val="24"/>
          <w:szCs w:val="24"/>
        </w:rPr>
      </w:pPr>
    </w:p>
    <w:p w:rsidR="005A6166" w:rsidRPr="00D5652A" w:rsidRDefault="005756BB"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As mentioned above, the D</w:t>
      </w:r>
      <w:r w:rsidR="005A6166" w:rsidRPr="00D5652A">
        <w:rPr>
          <w:rFonts w:ascii="Arial" w:hAnsi="Arial" w:cs="Arial"/>
          <w:sz w:val="24"/>
          <w:szCs w:val="24"/>
        </w:rPr>
        <w:t xml:space="preserve">epartment aligned itself with the grounds of opposition raised by Makhathini but also raised a few additional issues. It stated inter alia that Buhle was found to be a responsive bidder but that it came in at a price that </w:t>
      </w:r>
      <w:r w:rsidR="00877BEA" w:rsidRPr="00D5652A">
        <w:rPr>
          <w:rFonts w:ascii="Arial" w:hAnsi="Arial" w:cs="Arial"/>
          <w:sz w:val="24"/>
          <w:szCs w:val="24"/>
        </w:rPr>
        <w:t>was al</w:t>
      </w:r>
      <w:r w:rsidR="005A6166" w:rsidRPr="00D5652A">
        <w:rPr>
          <w:rFonts w:ascii="Arial" w:hAnsi="Arial" w:cs="Arial"/>
          <w:sz w:val="24"/>
          <w:szCs w:val="24"/>
        </w:rPr>
        <w:t>most double the tender price of other bidder</w:t>
      </w:r>
      <w:r w:rsidR="00C03A88" w:rsidRPr="00D5652A">
        <w:rPr>
          <w:rFonts w:ascii="Arial" w:hAnsi="Arial" w:cs="Arial"/>
          <w:sz w:val="24"/>
          <w:szCs w:val="24"/>
        </w:rPr>
        <w:t>s. It was ranked 7</w:t>
      </w:r>
      <w:r w:rsidR="00C03A88" w:rsidRPr="00D5652A">
        <w:rPr>
          <w:rFonts w:ascii="Arial" w:hAnsi="Arial" w:cs="Arial"/>
          <w:sz w:val="24"/>
          <w:szCs w:val="24"/>
          <w:vertAlign w:val="superscript"/>
        </w:rPr>
        <w:t>th</w:t>
      </w:r>
      <w:r w:rsidR="00C03A88" w:rsidRPr="00D5652A">
        <w:rPr>
          <w:rFonts w:ascii="Arial" w:hAnsi="Arial" w:cs="Arial"/>
          <w:sz w:val="24"/>
          <w:szCs w:val="24"/>
        </w:rPr>
        <w:t xml:space="preserve"> in Area 1, 7</w:t>
      </w:r>
      <w:r w:rsidR="00C03A88" w:rsidRPr="00D5652A">
        <w:rPr>
          <w:rFonts w:ascii="Arial" w:hAnsi="Arial" w:cs="Arial"/>
          <w:sz w:val="24"/>
          <w:szCs w:val="24"/>
          <w:vertAlign w:val="superscript"/>
        </w:rPr>
        <w:t>th</w:t>
      </w:r>
      <w:r w:rsidR="00C03A88" w:rsidRPr="00D5652A">
        <w:rPr>
          <w:rFonts w:ascii="Arial" w:hAnsi="Arial" w:cs="Arial"/>
          <w:sz w:val="24"/>
          <w:szCs w:val="24"/>
        </w:rPr>
        <w:t xml:space="preserve"> in Area 2 and 8</w:t>
      </w:r>
      <w:r w:rsidR="00C03A88" w:rsidRPr="00D5652A">
        <w:rPr>
          <w:rFonts w:ascii="Arial" w:hAnsi="Arial" w:cs="Arial"/>
          <w:sz w:val="24"/>
          <w:szCs w:val="24"/>
          <w:vertAlign w:val="superscript"/>
        </w:rPr>
        <w:t>th</w:t>
      </w:r>
      <w:r w:rsidRPr="00D5652A">
        <w:rPr>
          <w:rFonts w:ascii="Arial" w:hAnsi="Arial" w:cs="Arial"/>
          <w:sz w:val="24"/>
          <w:szCs w:val="24"/>
        </w:rPr>
        <w:t xml:space="preserve"> in A</w:t>
      </w:r>
      <w:r w:rsidR="00C03A88" w:rsidRPr="00D5652A">
        <w:rPr>
          <w:rFonts w:ascii="Arial" w:hAnsi="Arial" w:cs="Arial"/>
          <w:sz w:val="24"/>
          <w:szCs w:val="24"/>
        </w:rPr>
        <w:t>rea 3. It is clear from the so called DBEC submission</w:t>
      </w:r>
      <w:r w:rsidRPr="00D5652A">
        <w:rPr>
          <w:rFonts w:ascii="Arial" w:hAnsi="Arial" w:cs="Arial"/>
          <w:sz w:val="24"/>
          <w:szCs w:val="24"/>
        </w:rPr>
        <w:t>,</w:t>
      </w:r>
      <w:r w:rsidR="009A33E3">
        <w:rPr>
          <w:rFonts w:ascii="Arial" w:hAnsi="Arial" w:cs="Arial"/>
          <w:sz w:val="24"/>
          <w:szCs w:val="24"/>
        </w:rPr>
        <w:t xml:space="preserve"> </w:t>
      </w:r>
      <w:r w:rsidR="00C03A88" w:rsidRPr="00D5652A">
        <w:rPr>
          <w:rFonts w:ascii="Arial" w:hAnsi="Arial" w:cs="Arial"/>
          <w:sz w:val="24"/>
          <w:szCs w:val="24"/>
        </w:rPr>
        <w:t xml:space="preserve">attached to the </w:t>
      </w:r>
      <w:r w:rsidRPr="00D5652A">
        <w:rPr>
          <w:rFonts w:ascii="Arial" w:hAnsi="Arial" w:cs="Arial"/>
          <w:sz w:val="24"/>
          <w:szCs w:val="24"/>
        </w:rPr>
        <w:t>D</w:t>
      </w:r>
      <w:r w:rsidR="00DC37D6" w:rsidRPr="00D5652A">
        <w:rPr>
          <w:rFonts w:ascii="Arial" w:hAnsi="Arial" w:cs="Arial"/>
          <w:sz w:val="24"/>
          <w:szCs w:val="24"/>
        </w:rPr>
        <w:t>epartment</w:t>
      </w:r>
      <w:r w:rsidR="00EF76FA">
        <w:rPr>
          <w:rFonts w:ascii="Arial" w:hAnsi="Arial" w:cs="Arial"/>
          <w:sz w:val="24"/>
          <w:szCs w:val="24"/>
        </w:rPr>
        <w:t>’</w:t>
      </w:r>
      <w:r w:rsidR="00DC37D6" w:rsidRPr="00D5652A">
        <w:rPr>
          <w:rFonts w:ascii="Arial" w:hAnsi="Arial" w:cs="Arial"/>
          <w:sz w:val="24"/>
          <w:szCs w:val="24"/>
        </w:rPr>
        <w:t>s</w:t>
      </w:r>
      <w:r w:rsidR="00C03A88" w:rsidRPr="00D5652A">
        <w:rPr>
          <w:rFonts w:ascii="Arial" w:hAnsi="Arial" w:cs="Arial"/>
          <w:sz w:val="24"/>
          <w:szCs w:val="24"/>
        </w:rPr>
        <w:t xml:space="preserve"> answering affidavit</w:t>
      </w:r>
      <w:r w:rsidRPr="00D5652A">
        <w:rPr>
          <w:rFonts w:ascii="Arial" w:hAnsi="Arial" w:cs="Arial"/>
          <w:sz w:val="24"/>
          <w:szCs w:val="24"/>
        </w:rPr>
        <w:t>,</w:t>
      </w:r>
      <w:r w:rsidR="00C03A88" w:rsidRPr="00D5652A">
        <w:rPr>
          <w:rFonts w:ascii="Arial" w:hAnsi="Arial" w:cs="Arial"/>
          <w:sz w:val="24"/>
          <w:szCs w:val="24"/>
        </w:rPr>
        <w:t xml:space="preserve"> that 8 bidders were considered in the final evaluation stages. Buhle in essence came second last </w:t>
      </w:r>
      <w:r w:rsidR="009A33E3">
        <w:rPr>
          <w:rFonts w:ascii="Arial" w:hAnsi="Arial" w:cs="Arial"/>
          <w:sz w:val="24"/>
          <w:szCs w:val="24"/>
        </w:rPr>
        <w:t>and</w:t>
      </w:r>
      <w:r w:rsidR="009A33E3" w:rsidRPr="00D5652A">
        <w:rPr>
          <w:rFonts w:ascii="Arial" w:hAnsi="Arial" w:cs="Arial"/>
          <w:sz w:val="24"/>
          <w:szCs w:val="24"/>
        </w:rPr>
        <w:t xml:space="preserve"> </w:t>
      </w:r>
      <w:r w:rsidR="00C03A88" w:rsidRPr="00D5652A">
        <w:rPr>
          <w:rFonts w:ascii="Arial" w:hAnsi="Arial" w:cs="Arial"/>
          <w:sz w:val="24"/>
          <w:szCs w:val="24"/>
        </w:rPr>
        <w:t xml:space="preserve">last </w:t>
      </w:r>
      <w:r w:rsidRPr="00D5652A">
        <w:rPr>
          <w:rFonts w:ascii="Arial" w:hAnsi="Arial" w:cs="Arial"/>
          <w:sz w:val="24"/>
          <w:szCs w:val="24"/>
        </w:rPr>
        <w:t xml:space="preserve">in the 3 respective </w:t>
      </w:r>
      <w:r w:rsidR="009A33E3">
        <w:rPr>
          <w:rFonts w:ascii="Arial" w:hAnsi="Arial" w:cs="Arial"/>
          <w:sz w:val="24"/>
          <w:szCs w:val="24"/>
        </w:rPr>
        <w:t>Areas</w:t>
      </w:r>
      <w:r w:rsidRPr="00D5652A">
        <w:rPr>
          <w:rFonts w:ascii="Arial" w:hAnsi="Arial" w:cs="Arial"/>
          <w:sz w:val="24"/>
          <w:szCs w:val="24"/>
        </w:rPr>
        <w:t>. The D</w:t>
      </w:r>
      <w:r w:rsidR="00C03A88" w:rsidRPr="00D5652A">
        <w:rPr>
          <w:rFonts w:ascii="Arial" w:hAnsi="Arial" w:cs="Arial"/>
          <w:sz w:val="24"/>
          <w:szCs w:val="24"/>
        </w:rPr>
        <w:t>epartment alleged that Buhle’s prospects of success on review were rather l</w:t>
      </w:r>
      <w:r w:rsidRPr="00D5652A">
        <w:rPr>
          <w:rFonts w:ascii="Arial" w:hAnsi="Arial" w:cs="Arial"/>
          <w:sz w:val="24"/>
          <w:szCs w:val="24"/>
        </w:rPr>
        <w:t>imited due to its pricing. The D</w:t>
      </w:r>
      <w:r w:rsidR="00C03A88" w:rsidRPr="00D5652A">
        <w:rPr>
          <w:rFonts w:ascii="Arial" w:hAnsi="Arial" w:cs="Arial"/>
          <w:sz w:val="24"/>
          <w:szCs w:val="24"/>
        </w:rPr>
        <w:t>epartment also expressed concerns regarding the inordinate d</w:t>
      </w:r>
      <w:r w:rsidRPr="00D5652A">
        <w:rPr>
          <w:rFonts w:ascii="Arial" w:hAnsi="Arial" w:cs="Arial"/>
          <w:sz w:val="24"/>
          <w:szCs w:val="24"/>
        </w:rPr>
        <w:t>elay all the court processes have</w:t>
      </w:r>
      <w:r w:rsidR="00C03A88" w:rsidRPr="00D5652A">
        <w:rPr>
          <w:rFonts w:ascii="Arial" w:hAnsi="Arial" w:cs="Arial"/>
          <w:sz w:val="24"/>
          <w:szCs w:val="24"/>
        </w:rPr>
        <w:t xml:space="preserve"> caused. The services that are to be provided are essential services and there cannot be a </w:t>
      </w:r>
      <w:r w:rsidRPr="00D5652A">
        <w:rPr>
          <w:rFonts w:ascii="Arial" w:hAnsi="Arial" w:cs="Arial"/>
          <w:sz w:val="24"/>
          <w:szCs w:val="24"/>
        </w:rPr>
        <w:t>delay or an interruption of these services. The D</w:t>
      </w:r>
      <w:r w:rsidR="00C03A88" w:rsidRPr="00D5652A">
        <w:rPr>
          <w:rFonts w:ascii="Arial" w:hAnsi="Arial" w:cs="Arial"/>
          <w:sz w:val="24"/>
          <w:szCs w:val="24"/>
        </w:rPr>
        <w:t xml:space="preserve">epartment seems to forget that it is </w:t>
      </w:r>
      <w:r w:rsidR="00E0274E">
        <w:rPr>
          <w:rFonts w:ascii="Arial" w:hAnsi="Arial" w:cs="Arial"/>
          <w:sz w:val="24"/>
          <w:szCs w:val="24"/>
        </w:rPr>
        <w:t xml:space="preserve">almost entirely </w:t>
      </w:r>
      <w:r w:rsidR="00C03A88" w:rsidRPr="00D5652A">
        <w:rPr>
          <w:rFonts w:ascii="Arial" w:hAnsi="Arial" w:cs="Arial"/>
          <w:sz w:val="24"/>
          <w:szCs w:val="24"/>
        </w:rPr>
        <w:t>to bl</w:t>
      </w:r>
      <w:r w:rsidRPr="00D5652A">
        <w:rPr>
          <w:rFonts w:ascii="Arial" w:hAnsi="Arial" w:cs="Arial"/>
          <w:sz w:val="24"/>
          <w:szCs w:val="24"/>
        </w:rPr>
        <w:t xml:space="preserve">ame for </w:t>
      </w:r>
      <w:r w:rsidR="00C03A88" w:rsidRPr="00D5652A">
        <w:rPr>
          <w:rFonts w:ascii="Arial" w:hAnsi="Arial" w:cs="Arial"/>
          <w:sz w:val="24"/>
          <w:szCs w:val="24"/>
        </w:rPr>
        <w:t xml:space="preserve">the delay in this matter coming to court. </w:t>
      </w:r>
    </w:p>
    <w:p w:rsidR="00C03A88" w:rsidRPr="00D5652A" w:rsidRDefault="00C03A88" w:rsidP="00D5652A">
      <w:pPr>
        <w:spacing w:after="0" w:line="360" w:lineRule="auto"/>
        <w:contextualSpacing/>
        <w:jc w:val="both"/>
        <w:rPr>
          <w:rFonts w:ascii="Arial" w:hAnsi="Arial" w:cs="Arial"/>
          <w:sz w:val="24"/>
          <w:szCs w:val="24"/>
        </w:rPr>
      </w:pPr>
    </w:p>
    <w:p w:rsidR="00C03A88" w:rsidRPr="00D5652A" w:rsidRDefault="00C03A88"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The</w:t>
      </w:r>
      <w:r w:rsidR="005756BB" w:rsidRPr="00D5652A">
        <w:rPr>
          <w:rFonts w:ascii="Arial" w:hAnsi="Arial" w:cs="Arial"/>
          <w:sz w:val="24"/>
          <w:szCs w:val="24"/>
        </w:rPr>
        <w:t xml:space="preserve"> Department also stated that Bu</w:t>
      </w:r>
      <w:r w:rsidRPr="00D5652A">
        <w:rPr>
          <w:rFonts w:ascii="Arial" w:hAnsi="Arial" w:cs="Arial"/>
          <w:sz w:val="24"/>
          <w:szCs w:val="24"/>
        </w:rPr>
        <w:t>hle has enjoyed ‘the benefit of the tender’ for a considerable period of time and has been allowed to extend its contr</w:t>
      </w:r>
      <w:r w:rsidR="005756BB" w:rsidRPr="00D5652A">
        <w:rPr>
          <w:rFonts w:ascii="Arial" w:hAnsi="Arial" w:cs="Arial"/>
          <w:sz w:val="24"/>
          <w:szCs w:val="24"/>
        </w:rPr>
        <w:t>act on a month</w:t>
      </w:r>
      <w:r w:rsidR="004B393F">
        <w:rPr>
          <w:rFonts w:ascii="Arial" w:hAnsi="Arial" w:cs="Arial"/>
          <w:sz w:val="24"/>
          <w:szCs w:val="24"/>
        </w:rPr>
        <w:t>-</w:t>
      </w:r>
      <w:r w:rsidR="005756BB" w:rsidRPr="00D5652A">
        <w:rPr>
          <w:rFonts w:ascii="Arial" w:hAnsi="Arial" w:cs="Arial"/>
          <w:sz w:val="24"/>
          <w:szCs w:val="24"/>
        </w:rPr>
        <w:t>to</w:t>
      </w:r>
      <w:r w:rsidR="004B393F">
        <w:rPr>
          <w:rFonts w:ascii="Arial" w:hAnsi="Arial" w:cs="Arial"/>
          <w:sz w:val="24"/>
          <w:szCs w:val="24"/>
        </w:rPr>
        <w:t>-</w:t>
      </w:r>
      <w:r w:rsidR="005756BB" w:rsidRPr="00D5652A">
        <w:rPr>
          <w:rFonts w:ascii="Arial" w:hAnsi="Arial" w:cs="Arial"/>
          <w:sz w:val="24"/>
          <w:szCs w:val="24"/>
        </w:rPr>
        <w:t>month basis du</w:t>
      </w:r>
      <w:r w:rsidRPr="00D5652A">
        <w:rPr>
          <w:rFonts w:ascii="Arial" w:hAnsi="Arial" w:cs="Arial"/>
          <w:sz w:val="24"/>
          <w:szCs w:val="24"/>
        </w:rPr>
        <w:t>e to the difficulties in finally awarding the tender. Its tender was also du</w:t>
      </w:r>
      <w:r w:rsidR="005E30B6" w:rsidRPr="00D5652A">
        <w:rPr>
          <w:rFonts w:ascii="Arial" w:hAnsi="Arial" w:cs="Arial"/>
          <w:sz w:val="24"/>
          <w:szCs w:val="24"/>
        </w:rPr>
        <w:t>ly</w:t>
      </w:r>
      <w:r w:rsidRPr="00D5652A">
        <w:rPr>
          <w:rFonts w:ascii="Arial" w:hAnsi="Arial" w:cs="Arial"/>
          <w:sz w:val="24"/>
          <w:szCs w:val="24"/>
        </w:rPr>
        <w:t xml:space="preserve"> considered but rejected. </w:t>
      </w:r>
    </w:p>
    <w:p w:rsidR="00C03A88" w:rsidRPr="00D5652A" w:rsidRDefault="00C03A88" w:rsidP="00D5652A">
      <w:pPr>
        <w:spacing w:after="0" w:line="360" w:lineRule="auto"/>
        <w:contextualSpacing/>
        <w:jc w:val="both"/>
        <w:rPr>
          <w:rFonts w:ascii="Arial" w:hAnsi="Arial" w:cs="Arial"/>
          <w:sz w:val="24"/>
          <w:szCs w:val="24"/>
        </w:rPr>
      </w:pPr>
    </w:p>
    <w:p w:rsidR="00C03A88" w:rsidRPr="00D5652A" w:rsidRDefault="00C03A88" w:rsidP="00D5652A">
      <w:pPr>
        <w:pStyle w:val="ListParagraph"/>
        <w:spacing w:after="0" w:line="360" w:lineRule="auto"/>
        <w:ind w:left="0"/>
        <w:jc w:val="both"/>
        <w:rPr>
          <w:rFonts w:ascii="Arial" w:hAnsi="Arial" w:cs="Arial"/>
          <w:b/>
          <w:sz w:val="24"/>
          <w:szCs w:val="24"/>
        </w:rPr>
      </w:pPr>
      <w:r w:rsidRPr="00D5652A">
        <w:rPr>
          <w:rFonts w:ascii="Arial" w:hAnsi="Arial" w:cs="Arial"/>
          <w:b/>
          <w:sz w:val="24"/>
          <w:szCs w:val="24"/>
        </w:rPr>
        <w:t xml:space="preserve">Intervention in terms of Uniform </w:t>
      </w:r>
      <w:r w:rsidR="004B393F" w:rsidRPr="00D5652A">
        <w:rPr>
          <w:rFonts w:ascii="Arial" w:hAnsi="Arial" w:cs="Arial"/>
          <w:b/>
          <w:sz w:val="24"/>
          <w:szCs w:val="24"/>
        </w:rPr>
        <w:t xml:space="preserve">rule </w:t>
      </w:r>
      <w:r w:rsidRPr="00D5652A">
        <w:rPr>
          <w:rFonts w:ascii="Arial" w:hAnsi="Arial" w:cs="Arial"/>
          <w:b/>
          <w:sz w:val="24"/>
          <w:szCs w:val="24"/>
        </w:rPr>
        <w:t>12</w:t>
      </w:r>
    </w:p>
    <w:p w:rsidR="00C03A88" w:rsidRPr="00D5652A" w:rsidRDefault="00C03A88"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Uniform </w:t>
      </w:r>
      <w:r w:rsidR="004B393F" w:rsidRPr="00D5652A">
        <w:rPr>
          <w:rFonts w:ascii="Arial" w:hAnsi="Arial" w:cs="Arial"/>
          <w:sz w:val="24"/>
          <w:szCs w:val="24"/>
        </w:rPr>
        <w:t xml:space="preserve">rule </w:t>
      </w:r>
      <w:r w:rsidRPr="00D5652A">
        <w:rPr>
          <w:rFonts w:ascii="Arial" w:hAnsi="Arial" w:cs="Arial"/>
          <w:sz w:val="24"/>
          <w:szCs w:val="24"/>
        </w:rPr>
        <w:t>12 reads as follows:</w:t>
      </w:r>
    </w:p>
    <w:p w:rsidR="00C03A88" w:rsidRPr="00B15BF8" w:rsidRDefault="00B15BF8" w:rsidP="00B15BF8">
      <w:pPr>
        <w:pStyle w:val="ListParagraph"/>
        <w:spacing w:after="0" w:line="360" w:lineRule="auto"/>
        <w:ind w:left="0"/>
        <w:jc w:val="both"/>
        <w:rPr>
          <w:rFonts w:ascii="Arial" w:hAnsi="Arial" w:cs="Arial"/>
          <w:szCs w:val="24"/>
        </w:rPr>
      </w:pPr>
      <w:r w:rsidRPr="00B15BF8">
        <w:rPr>
          <w:rFonts w:ascii="Arial" w:hAnsi="Arial" w:cs="Arial"/>
          <w:szCs w:val="24"/>
        </w:rPr>
        <w:t>‘Any person entitled to join as a plaintiff or liable to be joined as a defendant in any action may, on notice to all parties, at any stage of the proceedings apply for leave to intervene as a plaintiff or a defendant. The court may upon such application make such order, including any order as to costs, and give such directions as to the further procedure in the action as to it may seem meet.</w:t>
      </w:r>
      <w:r w:rsidR="00C03A88" w:rsidRPr="00B15BF8">
        <w:rPr>
          <w:rFonts w:ascii="Arial" w:hAnsi="Arial" w:cs="Arial"/>
          <w:szCs w:val="24"/>
        </w:rPr>
        <w:t>’</w:t>
      </w:r>
    </w:p>
    <w:p w:rsidR="005E30B6" w:rsidRPr="00D5652A" w:rsidRDefault="005E30B6" w:rsidP="00D5652A">
      <w:pPr>
        <w:spacing w:after="0" w:line="360" w:lineRule="auto"/>
        <w:contextualSpacing/>
        <w:jc w:val="both"/>
        <w:rPr>
          <w:rFonts w:ascii="Arial" w:hAnsi="Arial" w:cs="Arial"/>
          <w:sz w:val="24"/>
          <w:szCs w:val="24"/>
        </w:rPr>
      </w:pPr>
    </w:p>
    <w:p w:rsidR="005E30B6" w:rsidRPr="00D5652A" w:rsidRDefault="005E30B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In </w:t>
      </w:r>
      <w:r w:rsidRPr="00633767">
        <w:rPr>
          <w:rFonts w:ascii="Arial" w:hAnsi="Arial" w:cs="Arial"/>
          <w:i/>
          <w:sz w:val="24"/>
          <w:szCs w:val="24"/>
        </w:rPr>
        <w:t>SA Riding for the Disabled Association v Regional Land Claims Commissioner</w:t>
      </w:r>
      <w:r w:rsidRPr="00D5652A">
        <w:rPr>
          <w:rFonts w:ascii="Arial" w:hAnsi="Arial" w:cs="Arial"/>
          <w:sz w:val="24"/>
          <w:szCs w:val="24"/>
        </w:rPr>
        <w:t xml:space="preserve"> the Constitutional Court stated the position regarding intervention as follows:</w:t>
      </w:r>
    </w:p>
    <w:p w:rsidR="00633767" w:rsidRPr="00633767" w:rsidRDefault="00BA66CE" w:rsidP="00633767">
      <w:pPr>
        <w:pStyle w:val="ListParagraph"/>
        <w:spacing w:after="0" w:line="360" w:lineRule="auto"/>
        <w:ind w:left="0"/>
        <w:jc w:val="both"/>
        <w:rPr>
          <w:rFonts w:ascii="Arial" w:hAnsi="Arial" w:cs="Arial"/>
          <w:szCs w:val="24"/>
        </w:rPr>
      </w:pPr>
      <w:r>
        <w:rPr>
          <w:rFonts w:ascii="Arial" w:hAnsi="Arial" w:cs="Arial"/>
          <w:szCs w:val="24"/>
        </w:rPr>
        <w:t>‘</w:t>
      </w:r>
      <w:r w:rsidR="00633767" w:rsidRPr="00633767">
        <w:rPr>
          <w:rFonts w:ascii="Arial" w:hAnsi="Arial" w:cs="Arial"/>
          <w:szCs w:val="24"/>
        </w:rPr>
        <w:t xml:space="preserve">[10] </w:t>
      </w:r>
      <w:r w:rsidR="00633767">
        <w:rPr>
          <w:rFonts w:ascii="Arial" w:hAnsi="Arial" w:cs="Arial"/>
          <w:szCs w:val="24"/>
        </w:rPr>
        <w:tab/>
      </w:r>
      <w:r w:rsidR="00633767" w:rsidRPr="00633767">
        <w:rPr>
          <w:rFonts w:ascii="Arial" w:hAnsi="Arial" w:cs="Arial"/>
          <w:szCs w:val="24"/>
        </w:rPr>
        <w:t xml:space="preserve">If the applicant shows that it has some right which is affected by the order issued, permission to intervene must be granted. For it is a basic principle of our law that no order should be granted against a party without affording such party a </w:t>
      </w:r>
      <w:proofErr w:type="spellStart"/>
      <w:r w:rsidR="00633767" w:rsidRPr="00633767">
        <w:rPr>
          <w:rFonts w:ascii="Arial" w:hAnsi="Arial" w:cs="Arial"/>
          <w:szCs w:val="24"/>
        </w:rPr>
        <w:t>predecision</w:t>
      </w:r>
      <w:proofErr w:type="spellEnd"/>
      <w:r w:rsidR="00633767" w:rsidRPr="00633767">
        <w:rPr>
          <w:rFonts w:ascii="Arial" w:hAnsi="Arial" w:cs="Arial"/>
          <w:szCs w:val="24"/>
        </w:rPr>
        <w:t xml:space="preserve"> hearing. This is so fundamental that an order is generally taken to be binding only on parties to the litigation.</w:t>
      </w:r>
    </w:p>
    <w:p w:rsidR="00633767" w:rsidRPr="00633767" w:rsidRDefault="00633767" w:rsidP="00633767">
      <w:pPr>
        <w:pStyle w:val="ListParagraph"/>
        <w:spacing w:after="0" w:line="360" w:lineRule="auto"/>
        <w:ind w:left="0"/>
        <w:jc w:val="both"/>
        <w:rPr>
          <w:rFonts w:ascii="Arial" w:hAnsi="Arial" w:cs="Arial"/>
          <w:szCs w:val="24"/>
        </w:rPr>
      </w:pPr>
      <w:r w:rsidRPr="00633767">
        <w:rPr>
          <w:rFonts w:ascii="Arial" w:hAnsi="Arial" w:cs="Arial"/>
          <w:szCs w:val="24"/>
        </w:rPr>
        <w:t xml:space="preserve">[11] </w:t>
      </w:r>
      <w:r>
        <w:rPr>
          <w:rFonts w:ascii="Arial" w:hAnsi="Arial" w:cs="Arial"/>
          <w:szCs w:val="24"/>
        </w:rPr>
        <w:tab/>
      </w:r>
      <w:r w:rsidRPr="00633767">
        <w:rPr>
          <w:rFonts w:ascii="Arial" w:hAnsi="Arial" w:cs="Arial"/>
          <w:szCs w:val="24"/>
        </w:rPr>
        <w:t xml:space="preserve">Once the applicant for intervention shows a direct and substantial interest in the subject-matter of the case, the court ought to grant leave to intervene. In </w:t>
      </w:r>
      <w:proofErr w:type="spellStart"/>
      <w:r w:rsidRPr="00633767">
        <w:rPr>
          <w:rFonts w:ascii="Arial" w:hAnsi="Arial" w:cs="Arial"/>
          <w:i/>
          <w:szCs w:val="24"/>
        </w:rPr>
        <w:t>Greyvenouw</w:t>
      </w:r>
      <w:proofErr w:type="spellEnd"/>
      <w:r w:rsidRPr="00633767">
        <w:rPr>
          <w:rFonts w:ascii="Arial" w:hAnsi="Arial" w:cs="Arial"/>
          <w:i/>
          <w:szCs w:val="24"/>
        </w:rPr>
        <w:t xml:space="preserve"> CC </w:t>
      </w:r>
      <w:r w:rsidRPr="00633767">
        <w:rPr>
          <w:rFonts w:ascii="Arial" w:hAnsi="Arial" w:cs="Arial"/>
          <w:szCs w:val="24"/>
        </w:rPr>
        <w:t>this principle was formulated in these terms:</w:t>
      </w:r>
    </w:p>
    <w:p w:rsidR="004C289F" w:rsidRPr="00D5652A" w:rsidRDefault="00633767" w:rsidP="00633767">
      <w:pPr>
        <w:pStyle w:val="ListParagraph"/>
        <w:spacing w:after="0" w:line="360" w:lineRule="auto"/>
        <w:jc w:val="both"/>
        <w:rPr>
          <w:rFonts w:ascii="Arial" w:hAnsi="Arial" w:cs="Arial"/>
          <w:sz w:val="24"/>
          <w:szCs w:val="24"/>
        </w:rPr>
      </w:pPr>
      <w:r>
        <w:rPr>
          <w:rFonts w:ascii="Arial" w:hAnsi="Arial" w:cs="Arial"/>
          <w:szCs w:val="24"/>
        </w:rPr>
        <w:t>“</w:t>
      </w:r>
      <w:r w:rsidRPr="00633767">
        <w:rPr>
          <w:rFonts w:ascii="Arial" w:hAnsi="Arial" w:cs="Arial"/>
          <w:szCs w:val="24"/>
        </w:rPr>
        <w:t>In addition, when, as in this matter, the applicants base their claim to intervene on a direct and substantial interest in the subject-matter of the dispute, the Court has no discretion: it must allow them to intervene because it should not proceed in the absence of parties having suc</w:t>
      </w:r>
      <w:r>
        <w:rPr>
          <w:rFonts w:ascii="Arial" w:hAnsi="Arial" w:cs="Arial"/>
          <w:szCs w:val="24"/>
        </w:rPr>
        <w:t>h legally recognised interests</w:t>
      </w:r>
      <w:r w:rsidRPr="00633767">
        <w:rPr>
          <w:rFonts w:ascii="Arial" w:hAnsi="Arial" w:cs="Arial"/>
        </w:rPr>
        <w:t>.”</w:t>
      </w:r>
      <w:r w:rsidR="007F1E7C" w:rsidRPr="00633767">
        <w:rPr>
          <w:rStyle w:val="FootnoteReference"/>
          <w:rFonts w:ascii="Arial" w:hAnsi="Arial" w:cs="Arial"/>
        </w:rPr>
        <w:footnoteReference w:id="3"/>
      </w:r>
      <w:r w:rsidR="004C289F" w:rsidRPr="00633767">
        <w:rPr>
          <w:rFonts w:ascii="Arial" w:hAnsi="Arial" w:cs="Arial"/>
        </w:rPr>
        <w:t xml:space="preserve"> (</w:t>
      </w:r>
      <w:r w:rsidR="004B393F" w:rsidRPr="00633767">
        <w:rPr>
          <w:rFonts w:ascii="Arial" w:hAnsi="Arial" w:cs="Arial"/>
        </w:rPr>
        <w:t xml:space="preserve">Footnote </w:t>
      </w:r>
      <w:r w:rsidR="004C289F" w:rsidRPr="00633767">
        <w:rPr>
          <w:rFonts w:ascii="Arial" w:hAnsi="Arial" w:cs="Arial"/>
        </w:rPr>
        <w:t>omitted</w:t>
      </w:r>
      <w:r w:rsidR="004B393F">
        <w:rPr>
          <w:rFonts w:ascii="Arial" w:hAnsi="Arial" w:cs="Arial"/>
        </w:rPr>
        <w:t>.</w:t>
      </w:r>
      <w:r w:rsidR="004C289F" w:rsidRPr="00633767">
        <w:rPr>
          <w:rFonts w:ascii="Arial" w:hAnsi="Arial" w:cs="Arial"/>
        </w:rPr>
        <w:t>)</w:t>
      </w:r>
    </w:p>
    <w:p w:rsidR="00160464" w:rsidRPr="00D5652A" w:rsidRDefault="00160464" w:rsidP="00D5652A">
      <w:pPr>
        <w:spacing w:after="0" w:line="360" w:lineRule="auto"/>
        <w:contextualSpacing/>
        <w:jc w:val="both"/>
        <w:rPr>
          <w:rFonts w:ascii="Arial" w:hAnsi="Arial" w:cs="Arial"/>
          <w:sz w:val="24"/>
          <w:szCs w:val="24"/>
        </w:rPr>
      </w:pPr>
    </w:p>
    <w:p w:rsidR="00160464" w:rsidRPr="00D5652A" w:rsidRDefault="00160464" w:rsidP="00D5652A">
      <w:pPr>
        <w:pStyle w:val="ListParagraph"/>
        <w:numPr>
          <w:ilvl w:val="0"/>
          <w:numId w:val="1"/>
        </w:numPr>
        <w:spacing w:after="0" w:line="360" w:lineRule="auto"/>
        <w:ind w:left="0" w:firstLine="0"/>
        <w:jc w:val="both"/>
        <w:rPr>
          <w:rFonts w:ascii="Arial" w:hAnsi="Arial" w:cs="Arial"/>
          <w:sz w:val="24"/>
          <w:szCs w:val="24"/>
        </w:rPr>
      </w:pPr>
      <w:r w:rsidRPr="00BA66CE">
        <w:rPr>
          <w:rFonts w:ascii="Arial" w:hAnsi="Arial" w:cs="Arial"/>
          <w:i/>
          <w:sz w:val="24"/>
          <w:szCs w:val="24"/>
        </w:rPr>
        <w:t>Erasmus</w:t>
      </w:r>
      <w:r w:rsidR="00E0274E">
        <w:rPr>
          <w:rFonts w:ascii="Arial" w:hAnsi="Arial" w:cs="Arial"/>
          <w:i/>
          <w:sz w:val="24"/>
          <w:szCs w:val="24"/>
        </w:rPr>
        <w:t>:</w:t>
      </w:r>
      <w:r w:rsidRPr="00BA66CE">
        <w:rPr>
          <w:rFonts w:ascii="Arial" w:hAnsi="Arial" w:cs="Arial"/>
          <w:i/>
          <w:sz w:val="24"/>
          <w:szCs w:val="24"/>
        </w:rPr>
        <w:t xml:space="preserve"> Superior Court Practice</w:t>
      </w:r>
      <w:r w:rsidR="004B393F">
        <w:rPr>
          <w:rFonts w:ascii="Arial" w:hAnsi="Arial" w:cs="Arial"/>
          <w:i/>
          <w:sz w:val="24"/>
          <w:szCs w:val="24"/>
        </w:rPr>
        <w:t>,</w:t>
      </w:r>
      <w:r w:rsidRPr="00D5652A">
        <w:rPr>
          <w:rFonts w:ascii="Arial" w:hAnsi="Arial" w:cs="Arial"/>
          <w:sz w:val="24"/>
          <w:szCs w:val="24"/>
        </w:rPr>
        <w:t xml:space="preserve"> in </w:t>
      </w:r>
      <w:r w:rsidR="00EF76FA">
        <w:rPr>
          <w:rFonts w:ascii="Arial" w:hAnsi="Arial" w:cs="Arial"/>
          <w:sz w:val="24"/>
          <w:szCs w:val="24"/>
        </w:rPr>
        <w:t>the</w:t>
      </w:r>
      <w:r w:rsidR="00EF76FA" w:rsidRPr="00D5652A">
        <w:rPr>
          <w:rFonts w:ascii="Arial" w:hAnsi="Arial" w:cs="Arial"/>
          <w:sz w:val="24"/>
          <w:szCs w:val="24"/>
        </w:rPr>
        <w:t xml:space="preserve"> </w:t>
      </w:r>
      <w:r w:rsidRPr="00D5652A">
        <w:rPr>
          <w:rFonts w:ascii="Arial" w:hAnsi="Arial" w:cs="Arial"/>
          <w:sz w:val="24"/>
          <w:szCs w:val="24"/>
        </w:rPr>
        <w:t>comment</w:t>
      </w:r>
      <w:r w:rsidR="005756BB" w:rsidRPr="00D5652A">
        <w:rPr>
          <w:rFonts w:ascii="Arial" w:hAnsi="Arial" w:cs="Arial"/>
          <w:sz w:val="24"/>
          <w:szCs w:val="24"/>
        </w:rPr>
        <w:t xml:space="preserve">ary on Uniform </w:t>
      </w:r>
      <w:r w:rsidR="004B393F" w:rsidRPr="00D5652A">
        <w:rPr>
          <w:rFonts w:ascii="Arial" w:hAnsi="Arial" w:cs="Arial"/>
          <w:sz w:val="24"/>
          <w:szCs w:val="24"/>
        </w:rPr>
        <w:t xml:space="preserve">rule </w:t>
      </w:r>
      <w:r w:rsidR="005756BB" w:rsidRPr="00D5652A">
        <w:rPr>
          <w:rFonts w:ascii="Arial" w:hAnsi="Arial" w:cs="Arial"/>
          <w:sz w:val="24"/>
          <w:szCs w:val="24"/>
        </w:rPr>
        <w:t>12</w:t>
      </w:r>
      <w:r w:rsidR="004B393F">
        <w:rPr>
          <w:rFonts w:ascii="Arial" w:hAnsi="Arial" w:cs="Arial"/>
          <w:sz w:val="24"/>
          <w:szCs w:val="24"/>
        </w:rPr>
        <w:t>,</w:t>
      </w:r>
      <w:r w:rsidR="005756BB" w:rsidRPr="00D5652A">
        <w:rPr>
          <w:rFonts w:ascii="Arial" w:hAnsi="Arial" w:cs="Arial"/>
          <w:sz w:val="24"/>
          <w:szCs w:val="24"/>
        </w:rPr>
        <w:t xml:space="preserve"> discuss</w:t>
      </w:r>
      <w:r w:rsidR="00EF76FA">
        <w:rPr>
          <w:rFonts w:ascii="Arial" w:hAnsi="Arial" w:cs="Arial"/>
          <w:sz w:val="24"/>
          <w:szCs w:val="24"/>
        </w:rPr>
        <w:t>es</w:t>
      </w:r>
      <w:r w:rsidRPr="00D5652A">
        <w:rPr>
          <w:rFonts w:ascii="Arial" w:hAnsi="Arial" w:cs="Arial"/>
          <w:sz w:val="24"/>
          <w:szCs w:val="24"/>
        </w:rPr>
        <w:t xml:space="preserve"> the meaning of ‘entitled to join as a plaintiff or liable, to be </w:t>
      </w:r>
      <w:r w:rsidR="005756BB" w:rsidRPr="00D5652A">
        <w:rPr>
          <w:rFonts w:ascii="Arial" w:hAnsi="Arial" w:cs="Arial"/>
          <w:sz w:val="24"/>
          <w:szCs w:val="24"/>
        </w:rPr>
        <w:t xml:space="preserve">joined as a defendant’ and </w:t>
      </w:r>
      <w:r w:rsidR="004B393F">
        <w:rPr>
          <w:rFonts w:ascii="Arial" w:hAnsi="Arial" w:cs="Arial"/>
          <w:sz w:val="24"/>
          <w:szCs w:val="24"/>
        </w:rPr>
        <w:t>states</w:t>
      </w:r>
      <w:r w:rsidR="004B393F" w:rsidRPr="00D5652A">
        <w:rPr>
          <w:rFonts w:ascii="Arial" w:hAnsi="Arial" w:cs="Arial"/>
          <w:sz w:val="24"/>
          <w:szCs w:val="24"/>
        </w:rPr>
        <w:t xml:space="preserve"> </w:t>
      </w:r>
      <w:r w:rsidRPr="00D5652A">
        <w:rPr>
          <w:rFonts w:ascii="Arial" w:hAnsi="Arial" w:cs="Arial"/>
          <w:sz w:val="24"/>
          <w:szCs w:val="24"/>
        </w:rPr>
        <w:t>the following:</w:t>
      </w:r>
    </w:p>
    <w:p w:rsidR="00160464" w:rsidRPr="00BA66CE" w:rsidRDefault="00160464" w:rsidP="00BA66CE">
      <w:pPr>
        <w:pStyle w:val="ListParagraph"/>
        <w:spacing w:after="0" w:line="360" w:lineRule="auto"/>
        <w:ind w:left="0"/>
        <w:jc w:val="both"/>
        <w:rPr>
          <w:rFonts w:ascii="Arial" w:hAnsi="Arial" w:cs="Arial"/>
          <w:szCs w:val="24"/>
        </w:rPr>
      </w:pPr>
      <w:r w:rsidRPr="00BA66CE">
        <w:rPr>
          <w:rFonts w:ascii="Arial" w:hAnsi="Arial" w:cs="Arial"/>
          <w:szCs w:val="24"/>
        </w:rPr>
        <w:t>‘</w:t>
      </w:r>
      <w:r w:rsidR="00BA66CE" w:rsidRPr="00BA66CE">
        <w:rPr>
          <w:rFonts w:ascii="Arial" w:hAnsi="Arial" w:cs="Arial"/>
          <w:szCs w:val="24"/>
        </w:rPr>
        <w:t>As in the case of joinder as of right, the applicant for leave to intervene must show that he has a “direct and substantial interest” in the subject matter of the action. </w:t>
      </w:r>
      <w:bookmarkStart w:id="0" w:name="0-0-0-32841"/>
      <w:bookmarkEnd w:id="0"/>
      <w:r w:rsidR="00BA66CE" w:rsidRPr="00BA66CE">
        <w:rPr>
          <w:rFonts w:ascii="Arial" w:hAnsi="Arial" w:cs="Arial"/>
          <w:szCs w:val="24"/>
        </w:rPr>
        <w:t>Such an interest is more than merely a financial interest which is only an indirect interest in the litigation; it is a legal interest in the subject matter of the litigation that may be prejudicially affected by the judgment of the court. </w:t>
      </w:r>
      <w:bookmarkStart w:id="1" w:name="0-0-0-32845"/>
      <w:bookmarkEnd w:id="1"/>
      <w:r w:rsidR="00BA66CE" w:rsidRPr="00BA66CE">
        <w:rPr>
          <w:rFonts w:ascii="Arial" w:hAnsi="Arial" w:cs="Arial"/>
          <w:szCs w:val="24"/>
        </w:rPr>
        <w:t>This means that the applicant must show that he has a right adversely affected or likely to be adversely affected by the order sought</w:t>
      </w:r>
      <w:r w:rsidRPr="00BA66CE">
        <w:rPr>
          <w:rFonts w:ascii="Arial" w:hAnsi="Arial" w:cs="Arial"/>
          <w:szCs w:val="24"/>
        </w:rPr>
        <w:t>.’</w:t>
      </w:r>
      <w:r w:rsidR="00BA66CE" w:rsidRPr="00BA66CE">
        <w:rPr>
          <w:rStyle w:val="FootnoteReference"/>
          <w:rFonts w:ascii="Arial" w:hAnsi="Arial" w:cs="Arial"/>
          <w:szCs w:val="24"/>
        </w:rPr>
        <w:footnoteReference w:id="4"/>
      </w:r>
      <w:r w:rsidRPr="00BA66CE">
        <w:rPr>
          <w:rFonts w:ascii="Arial" w:hAnsi="Arial" w:cs="Arial"/>
          <w:szCs w:val="24"/>
        </w:rPr>
        <w:t xml:space="preserve"> (</w:t>
      </w:r>
      <w:r w:rsidR="004B393F" w:rsidRPr="00BA66CE">
        <w:rPr>
          <w:rFonts w:ascii="Arial" w:hAnsi="Arial" w:cs="Arial"/>
          <w:szCs w:val="24"/>
        </w:rPr>
        <w:t xml:space="preserve">Footnotes </w:t>
      </w:r>
      <w:r w:rsidRPr="00BA66CE">
        <w:rPr>
          <w:rFonts w:ascii="Arial" w:hAnsi="Arial" w:cs="Arial"/>
          <w:szCs w:val="24"/>
        </w:rPr>
        <w:t>omitted</w:t>
      </w:r>
      <w:r w:rsidR="004B393F">
        <w:rPr>
          <w:rFonts w:ascii="Arial" w:hAnsi="Arial" w:cs="Arial"/>
          <w:szCs w:val="24"/>
        </w:rPr>
        <w:t>.</w:t>
      </w:r>
      <w:r w:rsidRPr="00BA66CE">
        <w:rPr>
          <w:rFonts w:ascii="Arial" w:hAnsi="Arial" w:cs="Arial"/>
          <w:szCs w:val="24"/>
        </w:rPr>
        <w:t>)</w:t>
      </w:r>
    </w:p>
    <w:p w:rsidR="004C289F" w:rsidRPr="00D5652A" w:rsidRDefault="004C289F" w:rsidP="00D5652A">
      <w:pPr>
        <w:spacing w:after="0" w:line="360" w:lineRule="auto"/>
        <w:contextualSpacing/>
        <w:jc w:val="both"/>
        <w:rPr>
          <w:rFonts w:ascii="Arial" w:hAnsi="Arial" w:cs="Arial"/>
          <w:sz w:val="24"/>
          <w:szCs w:val="24"/>
        </w:rPr>
      </w:pPr>
    </w:p>
    <w:p w:rsidR="004C289F" w:rsidRPr="00D5652A" w:rsidRDefault="005756BB"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In </w:t>
      </w:r>
      <w:proofErr w:type="spellStart"/>
      <w:r w:rsidRPr="00086CF7">
        <w:rPr>
          <w:rFonts w:ascii="Arial" w:hAnsi="Arial" w:cs="Arial"/>
          <w:i/>
          <w:sz w:val="24"/>
          <w:szCs w:val="24"/>
        </w:rPr>
        <w:t>Herbstein</w:t>
      </w:r>
      <w:proofErr w:type="spellEnd"/>
      <w:r w:rsidRPr="00086CF7">
        <w:rPr>
          <w:rFonts w:ascii="Arial" w:hAnsi="Arial" w:cs="Arial"/>
          <w:i/>
          <w:sz w:val="24"/>
          <w:szCs w:val="24"/>
        </w:rPr>
        <w:t xml:space="preserve"> </w:t>
      </w:r>
      <w:r w:rsidR="004B393F">
        <w:rPr>
          <w:rFonts w:ascii="Arial" w:hAnsi="Arial" w:cs="Arial"/>
          <w:i/>
          <w:sz w:val="24"/>
          <w:szCs w:val="24"/>
        </w:rPr>
        <w:t xml:space="preserve">and </w:t>
      </w:r>
      <w:r w:rsidRPr="00086CF7">
        <w:rPr>
          <w:rFonts w:ascii="Arial" w:hAnsi="Arial" w:cs="Arial"/>
          <w:i/>
          <w:sz w:val="24"/>
          <w:szCs w:val="24"/>
        </w:rPr>
        <w:t xml:space="preserve">Van </w:t>
      </w:r>
      <w:proofErr w:type="spellStart"/>
      <w:r w:rsidRPr="00086CF7">
        <w:rPr>
          <w:rFonts w:ascii="Arial" w:hAnsi="Arial" w:cs="Arial"/>
          <w:i/>
          <w:sz w:val="24"/>
          <w:szCs w:val="24"/>
        </w:rPr>
        <w:t>Winsen</w:t>
      </w:r>
      <w:proofErr w:type="spellEnd"/>
      <w:r w:rsidRPr="00D5652A">
        <w:rPr>
          <w:rFonts w:ascii="Arial" w:hAnsi="Arial" w:cs="Arial"/>
          <w:sz w:val="24"/>
          <w:szCs w:val="24"/>
        </w:rPr>
        <w:t xml:space="preserve"> </w:t>
      </w:r>
      <w:r w:rsidR="00160464" w:rsidRPr="00D5652A">
        <w:rPr>
          <w:rFonts w:ascii="Arial" w:hAnsi="Arial" w:cs="Arial"/>
          <w:sz w:val="24"/>
          <w:szCs w:val="24"/>
        </w:rPr>
        <w:t xml:space="preserve">the following was said: </w:t>
      </w:r>
    </w:p>
    <w:p w:rsidR="00CE6539" w:rsidRPr="00CE6539" w:rsidRDefault="00160464" w:rsidP="00CE6539">
      <w:pPr>
        <w:pStyle w:val="ListParagraph"/>
        <w:spacing w:after="0" w:line="360" w:lineRule="auto"/>
        <w:ind w:left="0"/>
        <w:jc w:val="both"/>
        <w:rPr>
          <w:rFonts w:ascii="Arial" w:hAnsi="Arial" w:cs="Arial"/>
          <w:szCs w:val="24"/>
        </w:rPr>
      </w:pPr>
      <w:r w:rsidRPr="00CE6539">
        <w:rPr>
          <w:rFonts w:ascii="Arial" w:hAnsi="Arial" w:cs="Arial"/>
          <w:szCs w:val="24"/>
        </w:rPr>
        <w:t>‘</w:t>
      </w:r>
      <w:r w:rsidR="00CE6539" w:rsidRPr="00CE6539">
        <w:rPr>
          <w:rFonts w:ascii="Arial" w:hAnsi="Arial" w:cs="Arial"/>
          <w:szCs w:val="24"/>
        </w:rPr>
        <w:t>On the wording of the rule, the applicant for leave to intervene must be a person “entitled to join as a plaintiff or liable to be joined as a defendant”. In other words the test to be applied in order to decide whether a person can seek to intervene is to ask whether that person could have been joined as a party. As has been explained above, joinder is competent either on the basis of convenience or on the basis that the party whose joinder is in question has a direct and substantial interest in the subject-matter of the proceedings. A person is accordingly entitled to intervene in three sets of circumstances:</w:t>
      </w:r>
    </w:p>
    <w:p w:rsidR="00CE6539" w:rsidRPr="00CE6539" w:rsidRDefault="00CE6539" w:rsidP="00CE6539">
      <w:pPr>
        <w:pStyle w:val="ListParagraph"/>
        <w:spacing w:line="360" w:lineRule="auto"/>
        <w:ind w:left="0"/>
        <w:jc w:val="both"/>
        <w:rPr>
          <w:rFonts w:ascii="Arial" w:hAnsi="Arial" w:cs="Arial"/>
          <w:szCs w:val="24"/>
        </w:rPr>
      </w:pPr>
      <w:r w:rsidRPr="00CE6539">
        <w:rPr>
          <w:rFonts w:ascii="Arial" w:hAnsi="Arial" w:cs="Arial"/>
          <w:i/>
          <w:iCs/>
          <w:szCs w:val="24"/>
        </w:rPr>
        <w:t>(a)</w:t>
      </w:r>
      <w:r w:rsidRPr="00CE6539">
        <w:rPr>
          <w:rFonts w:ascii="Arial" w:hAnsi="Arial" w:cs="Arial"/>
          <w:szCs w:val="24"/>
        </w:rPr>
        <w:t>   Where the requirements of uniform rules 10(1) and 10(3) are satisfied, in that the determination of the intervening party's matter or dispute depends upon substantially the same question of law or fact as arises in the proceedings in which leave is sought to intervene. </w:t>
      </w:r>
      <w:bookmarkStart w:id="2" w:name="0-0-0-8133"/>
      <w:bookmarkEnd w:id="2"/>
    </w:p>
    <w:p w:rsidR="00CE6539" w:rsidRPr="00CE6539" w:rsidRDefault="00CE6539" w:rsidP="00CE6539">
      <w:pPr>
        <w:pStyle w:val="ListParagraph"/>
        <w:spacing w:line="360" w:lineRule="auto"/>
        <w:ind w:left="0"/>
        <w:jc w:val="both"/>
        <w:rPr>
          <w:rFonts w:ascii="Arial" w:hAnsi="Arial" w:cs="Arial"/>
          <w:szCs w:val="24"/>
        </w:rPr>
      </w:pPr>
      <w:r w:rsidRPr="00CE6539">
        <w:rPr>
          <w:rFonts w:ascii="Arial" w:hAnsi="Arial" w:cs="Arial"/>
          <w:i/>
          <w:iCs/>
          <w:szCs w:val="24"/>
        </w:rPr>
        <w:t>(b)</w:t>
      </w:r>
      <w:r w:rsidRPr="00CE6539">
        <w:rPr>
          <w:rFonts w:ascii="Arial" w:hAnsi="Arial" w:cs="Arial"/>
          <w:szCs w:val="24"/>
        </w:rPr>
        <w:t xml:space="preserve">   Where wider considerations of convenience </w:t>
      </w:r>
      <w:proofErr w:type="spellStart"/>
      <w:r w:rsidRPr="00CE6539">
        <w:rPr>
          <w:rFonts w:ascii="Arial" w:hAnsi="Arial" w:cs="Arial"/>
          <w:szCs w:val="24"/>
        </w:rPr>
        <w:t>favour</w:t>
      </w:r>
      <w:proofErr w:type="spellEnd"/>
      <w:r w:rsidRPr="00CE6539">
        <w:rPr>
          <w:rFonts w:ascii="Arial" w:hAnsi="Arial" w:cs="Arial"/>
          <w:szCs w:val="24"/>
        </w:rPr>
        <w:t xml:space="preserve"> intervention.</w:t>
      </w:r>
      <w:bookmarkStart w:id="3" w:name="0-0-0-8137"/>
      <w:bookmarkEnd w:id="3"/>
    </w:p>
    <w:p w:rsidR="00284FF5" w:rsidRPr="00CE6539" w:rsidRDefault="00CE6539" w:rsidP="00CE6539">
      <w:pPr>
        <w:pStyle w:val="ListParagraph"/>
        <w:spacing w:line="360" w:lineRule="auto"/>
        <w:ind w:left="0"/>
        <w:jc w:val="both"/>
        <w:rPr>
          <w:rFonts w:ascii="Arial" w:hAnsi="Arial" w:cs="Arial"/>
          <w:szCs w:val="24"/>
        </w:rPr>
      </w:pPr>
      <w:r w:rsidRPr="00CE6539">
        <w:rPr>
          <w:rFonts w:ascii="Arial" w:hAnsi="Arial" w:cs="Arial"/>
          <w:i/>
          <w:iCs/>
          <w:szCs w:val="24"/>
        </w:rPr>
        <w:t>(c)</w:t>
      </w:r>
      <w:r w:rsidRPr="00CE6539">
        <w:rPr>
          <w:rFonts w:ascii="Arial" w:hAnsi="Arial" w:cs="Arial"/>
          <w:szCs w:val="24"/>
        </w:rPr>
        <w:t>   Where the intervening party has a direct and substantial interest (legal interest)</w:t>
      </w:r>
      <w:bookmarkStart w:id="4" w:name="0-0-0-8141"/>
      <w:bookmarkEnd w:id="4"/>
      <w:r w:rsidRPr="00CE6539">
        <w:rPr>
          <w:rFonts w:ascii="Arial" w:hAnsi="Arial" w:cs="Arial"/>
          <w:szCs w:val="24"/>
        </w:rPr>
        <w:t> in the proceedings.</w:t>
      </w:r>
      <w:r w:rsidR="00284FF5" w:rsidRPr="00CE6539">
        <w:rPr>
          <w:rFonts w:ascii="Arial" w:hAnsi="Arial" w:cs="Arial"/>
          <w:szCs w:val="24"/>
        </w:rPr>
        <w:t>’</w:t>
      </w:r>
      <w:r w:rsidRPr="00CE6539">
        <w:rPr>
          <w:rStyle w:val="FootnoteReference"/>
          <w:rFonts w:ascii="Arial" w:hAnsi="Arial" w:cs="Arial"/>
          <w:szCs w:val="24"/>
        </w:rPr>
        <w:footnoteReference w:id="5"/>
      </w:r>
      <w:r>
        <w:rPr>
          <w:rFonts w:ascii="Arial" w:hAnsi="Arial" w:cs="Arial"/>
          <w:szCs w:val="24"/>
        </w:rPr>
        <w:t xml:space="preserve"> (Footnotes omitted.)</w:t>
      </w:r>
    </w:p>
    <w:p w:rsidR="00284FF5" w:rsidRPr="00D5652A" w:rsidRDefault="00284FF5" w:rsidP="00D5652A">
      <w:pPr>
        <w:spacing w:after="0" w:line="360" w:lineRule="auto"/>
        <w:contextualSpacing/>
        <w:jc w:val="both"/>
        <w:rPr>
          <w:rFonts w:ascii="Arial" w:hAnsi="Arial" w:cs="Arial"/>
          <w:sz w:val="24"/>
          <w:szCs w:val="24"/>
        </w:rPr>
      </w:pPr>
    </w:p>
    <w:p w:rsidR="00284FF5" w:rsidRPr="00D5652A" w:rsidRDefault="00284FF5"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The authors</w:t>
      </w:r>
      <w:r w:rsidR="004B393F">
        <w:rPr>
          <w:rFonts w:ascii="Arial" w:hAnsi="Arial" w:cs="Arial"/>
          <w:sz w:val="24"/>
          <w:szCs w:val="24"/>
        </w:rPr>
        <w:t xml:space="preserve"> in </w:t>
      </w:r>
      <w:proofErr w:type="spellStart"/>
      <w:r w:rsidR="004B393F" w:rsidRPr="00086CF7">
        <w:rPr>
          <w:rFonts w:ascii="Arial" w:hAnsi="Arial" w:cs="Arial"/>
          <w:i/>
          <w:sz w:val="24"/>
          <w:szCs w:val="24"/>
        </w:rPr>
        <w:t>Herbstein</w:t>
      </w:r>
      <w:proofErr w:type="spellEnd"/>
      <w:r w:rsidR="004B393F" w:rsidRPr="00086CF7">
        <w:rPr>
          <w:rFonts w:ascii="Arial" w:hAnsi="Arial" w:cs="Arial"/>
          <w:i/>
          <w:sz w:val="24"/>
          <w:szCs w:val="24"/>
        </w:rPr>
        <w:t xml:space="preserve"> </w:t>
      </w:r>
      <w:r w:rsidR="004B393F">
        <w:rPr>
          <w:rFonts w:ascii="Arial" w:hAnsi="Arial" w:cs="Arial"/>
          <w:i/>
          <w:sz w:val="24"/>
          <w:szCs w:val="24"/>
        </w:rPr>
        <w:t xml:space="preserve">and </w:t>
      </w:r>
      <w:r w:rsidR="004B393F" w:rsidRPr="00086CF7">
        <w:rPr>
          <w:rFonts w:ascii="Arial" w:hAnsi="Arial" w:cs="Arial"/>
          <w:i/>
          <w:sz w:val="24"/>
          <w:szCs w:val="24"/>
        </w:rPr>
        <w:t xml:space="preserve">Van </w:t>
      </w:r>
      <w:proofErr w:type="spellStart"/>
      <w:r w:rsidR="004B393F" w:rsidRPr="00086CF7">
        <w:rPr>
          <w:rFonts w:ascii="Arial" w:hAnsi="Arial" w:cs="Arial"/>
          <w:i/>
          <w:sz w:val="24"/>
          <w:szCs w:val="24"/>
        </w:rPr>
        <w:t>Winsen</w:t>
      </w:r>
      <w:proofErr w:type="spellEnd"/>
      <w:r w:rsidR="00EF76FA" w:rsidRPr="001A265E">
        <w:rPr>
          <w:rStyle w:val="FootnoteReference"/>
          <w:rFonts w:ascii="Arial" w:hAnsi="Arial" w:cs="Arial"/>
          <w:sz w:val="24"/>
          <w:szCs w:val="24"/>
        </w:rPr>
        <w:footnoteReference w:id="6"/>
      </w:r>
      <w:r w:rsidRPr="00D5652A">
        <w:rPr>
          <w:rFonts w:ascii="Arial" w:hAnsi="Arial" w:cs="Arial"/>
          <w:sz w:val="24"/>
          <w:szCs w:val="24"/>
        </w:rPr>
        <w:t xml:space="preserve"> also referred to </w:t>
      </w:r>
      <w:r w:rsidRPr="004B28C9">
        <w:rPr>
          <w:rFonts w:ascii="Arial" w:hAnsi="Arial" w:cs="Arial"/>
          <w:i/>
          <w:sz w:val="24"/>
          <w:szCs w:val="24"/>
        </w:rPr>
        <w:t>Nelson Mandela Metropolitan</w:t>
      </w:r>
      <w:r w:rsidR="00D72AD9" w:rsidRPr="004B28C9">
        <w:rPr>
          <w:rFonts w:ascii="Arial" w:hAnsi="Arial" w:cs="Arial"/>
          <w:i/>
          <w:sz w:val="24"/>
          <w:szCs w:val="24"/>
        </w:rPr>
        <w:t xml:space="preserve"> Municipality v </w:t>
      </w:r>
      <w:proofErr w:type="spellStart"/>
      <w:r w:rsidR="00D72AD9" w:rsidRPr="004B28C9">
        <w:rPr>
          <w:rFonts w:ascii="Arial" w:hAnsi="Arial" w:cs="Arial"/>
          <w:i/>
          <w:sz w:val="24"/>
          <w:szCs w:val="24"/>
        </w:rPr>
        <w:t>Greyvenouw</w:t>
      </w:r>
      <w:proofErr w:type="spellEnd"/>
      <w:r w:rsidR="00D72AD9" w:rsidRPr="004B28C9">
        <w:rPr>
          <w:rFonts w:ascii="Arial" w:hAnsi="Arial" w:cs="Arial"/>
          <w:i/>
          <w:sz w:val="24"/>
          <w:szCs w:val="24"/>
        </w:rPr>
        <w:t xml:space="preserve"> CC</w:t>
      </w:r>
      <w:r w:rsidR="003F16CC">
        <w:rPr>
          <w:rStyle w:val="FootnoteReference"/>
          <w:rFonts w:ascii="Arial" w:hAnsi="Arial" w:cs="Arial"/>
          <w:sz w:val="24"/>
          <w:szCs w:val="24"/>
        </w:rPr>
        <w:footnoteReference w:id="7"/>
      </w:r>
      <w:r w:rsidR="00D72AD9" w:rsidRPr="00D5652A">
        <w:rPr>
          <w:rFonts w:ascii="Arial" w:hAnsi="Arial" w:cs="Arial"/>
          <w:sz w:val="24"/>
          <w:szCs w:val="24"/>
        </w:rPr>
        <w:t xml:space="preserve"> </w:t>
      </w:r>
      <w:r w:rsidRPr="00D5652A">
        <w:rPr>
          <w:rFonts w:ascii="Arial" w:hAnsi="Arial" w:cs="Arial"/>
          <w:sz w:val="24"/>
          <w:szCs w:val="24"/>
        </w:rPr>
        <w:t xml:space="preserve">(relied upon in </w:t>
      </w:r>
      <w:r w:rsidRPr="004B28C9">
        <w:rPr>
          <w:rFonts w:ascii="Arial" w:hAnsi="Arial" w:cs="Arial"/>
          <w:i/>
          <w:sz w:val="24"/>
          <w:szCs w:val="24"/>
        </w:rPr>
        <w:t xml:space="preserve">SA </w:t>
      </w:r>
      <w:r w:rsidR="00D72AD9" w:rsidRPr="004B28C9">
        <w:rPr>
          <w:rFonts w:ascii="Arial" w:hAnsi="Arial" w:cs="Arial"/>
          <w:i/>
          <w:sz w:val="24"/>
          <w:szCs w:val="24"/>
        </w:rPr>
        <w:t>Riding</w:t>
      </w:r>
      <w:r w:rsidR="004B393F" w:rsidRPr="004B393F">
        <w:rPr>
          <w:rFonts w:ascii="Arial" w:hAnsi="Arial" w:cs="Arial"/>
          <w:i/>
          <w:sz w:val="20"/>
          <w:szCs w:val="20"/>
        </w:rPr>
        <w:t xml:space="preserve"> </w:t>
      </w:r>
      <w:r w:rsidR="004B393F" w:rsidRPr="004B393F">
        <w:rPr>
          <w:rFonts w:ascii="Arial" w:hAnsi="Arial" w:cs="Arial"/>
          <w:i/>
          <w:sz w:val="24"/>
          <w:szCs w:val="24"/>
        </w:rPr>
        <w:t>for the Disabled Association</w:t>
      </w:r>
      <w:r w:rsidR="00D72AD9" w:rsidRPr="00D5652A">
        <w:rPr>
          <w:rFonts w:ascii="Arial" w:hAnsi="Arial" w:cs="Arial"/>
          <w:sz w:val="24"/>
          <w:szCs w:val="24"/>
        </w:rPr>
        <w:t>) as authority for the pro</w:t>
      </w:r>
      <w:r w:rsidRPr="00D5652A">
        <w:rPr>
          <w:rFonts w:ascii="Arial" w:hAnsi="Arial" w:cs="Arial"/>
          <w:sz w:val="24"/>
          <w:szCs w:val="24"/>
        </w:rPr>
        <w:t xml:space="preserve">position that once a party </w:t>
      </w:r>
      <w:r w:rsidR="00DC37D6" w:rsidRPr="00D5652A">
        <w:rPr>
          <w:rFonts w:ascii="Arial" w:hAnsi="Arial" w:cs="Arial"/>
          <w:sz w:val="24"/>
          <w:szCs w:val="24"/>
        </w:rPr>
        <w:t>has</w:t>
      </w:r>
      <w:r w:rsidRPr="00D5652A">
        <w:rPr>
          <w:rFonts w:ascii="Arial" w:hAnsi="Arial" w:cs="Arial"/>
          <w:sz w:val="24"/>
          <w:szCs w:val="24"/>
        </w:rPr>
        <w:t xml:space="preserve"> established a direct and substantial </w:t>
      </w:r>
      <w:proofErr w:type="gramStart"/>
      <w:r w:rsidRPr="00D5652A">
        <w:rPr>
          <w:rFonts w:ascii="Arial" w:hAnsi="Arial" w:cs="Arial"/>
          <w:sz w:val="24"/>
          <w:szCs w:val="24"/>
        </w:rPr>
        <w:t>interest,</w:t>
      </w:r>
      <w:proofErr w:type="gramEnd"/>
      <w:r w:rsidRPr="00D5652A">
        <w:rPr>
          <w:rFonts w:ascii="Arial" w:hAnsi="Arial" w:cs="Arial"/>
          <w:sz w:val="24"/>
          <w:szCs w:val="24"/>
        </w:rPr>
        <w:t xml:space="preserve"> the court should not proceed in the absence of</w:t>
      </w:r>
      <w:r w:rsidR="00D72AD9" w:rsidRPr="00D5652A">
        <w:rPr>
          <w:rFonts w:ascii="Arial" w:hAnsi="Arial" w:cs="Arial"/>
          <w:sz w:val="24"/>
          <w:szCs w:val="24"/>
        </w:rPr>
        <w:t xml:space="preserve"> such a party.</w:t>
      </w:r>
      <w:r w:rsidRPr="00D5652A">
        <w:rPr>
          <w:rFonts w:ascii="Arial" w:hAnsi="Arial" w:cs="Arial"/>
          <w:sz w:val="24"/>
          <w:szCs w:val="24"/>
        </w:rPr>
        <w:t xml:space="preserve"> </w:t>
      </w:r>
    </w:p>
    <w:p w:rsidR="009B5391" w:rsidRPr="00D5652A" w:rsidRDefault="009B5391" w:rsidP="00D5652A">
      <w:pPr>
        <w:spacing w:after="0" w:line="360" w:lineRule="auto"/>
        <w:contextualSpacing/>
        <w:jc w:val="both"/>
        <w:rPr>
          <w:rFonts w:ascii="Arial" w:hAnsi="Arial" w:cs="Arial"/>
          <w:sz w:val="24"/>
          <w:szCs w:val="24"/>
        </w:rPr>
      </w:pPr>
    </w:p>
    <w:p w:rsidR="009B5391" w:rsidRPr="00D5652A" w:rsidRDefault="009B5391"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It is furthermore not sufficient for a third party seeking to intervene to merely allege an interest in the action. Such party must give prima facie proof of the interest and the right to intervene.</w:t>
      </w:r>
      <w:r w:rsidR="00CD7F6B">
        <w:rPr>
          <w:rStyle w:val="FootnoteReference"/>
          <w:rFonts w:ascii="Arial" w:hAnsi="Arial" w:cs="Arial"/>
          <w:sz w:val="24"/>
          <w:szCs w:val="24"/>
        </w:rPr>
        <w:footnoteReference w:id="8"/>
      </w:r>
      <w:r w:rsidRPr="00D5652A">
        <w:rPr>
          <w:rFonts w:ascii="Arial" w:hAnsi="Arial" w:cs="Arial"/>
          <w:sz w:val="24"/>
          <w:szCs w:val="24"/>
        </w:rPr>
        <w:t xml:space="preserve"> </w:t>
      </w:r>
    </w:p>
    <w:p w:rsidR="009B5391" w:rsidRPr="00D5652A" w:rsidRDefault="009B5391" w:rsidP="00D5652A">
      <w:pPr>
        <w:spacing w:after="0" w:line="360" w:lineRule="auto"/>
        <w:contextualSpacing/>
        <w:jc w:val="both"/>
        <w:rPr>
          <w:rFonts w:ascii="Arial" w:hAnsi="Arial" w:cs="Arial"/>
          <w:sz w:val="24"/>
          <w:szCs w:val="24"/>
        </w:rPr>
      </w:pPr>
    </w:p>
    <w:p w:rsidR="009B5391" w:rsidRPr="00D5652A" w:rsidRDefault="009B5391"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In </w:t>
      </w:r>
      <w:r w:rsidRPr="00CD7F6B">
        <w:rPr>
          <w:rFonts w:ascii="Arial" w:hAnsi="Arial" w:cs="Arial"/>
          <w:i/>
          <w:sz w:val="24"/>
          <w:szCs w:val="24"/>
        </w:rPr>
        <w:t xml:space="preserve">United Watch </w:t>
      </w:r>
      <w:r w:rsidR="00CD7F6B">
        <w:rPr>
          <w:rFonts w:ascii="Arial" w:hAnsi="Arial" w:cs="Arial"/>
          <w:i/>
          <w:sz w:val="24"/>
          <w:szCs w:val="24"/>
        </w:rPr>
        <w:t>&amp;</w:t>
      </w:r>
      <w:r w:rsidRPr="00CD7F6B">
        <w:rPr>
          <w:rFonts w:ascii="Arial" w:hAnsi="Arial" w:cs="Arial"/>
          <w:i/>
          <w:sz w:val="24"/>
          <w:szCs w:val="24"/>
        </w:rPr>
        <w:t xml:space="preserve"> Diamond Co (Pty) Ltd and others v </w:t>
      </w:r>
      <w:proofErr w:type="spellStart"/>
      <w:r w:rsidRPr="00CD7F6B">
        <w:rPr>
          <w:rFonts w:ascii="Arial" w:hAnsi="Arial" w:cs="Arial"/>
          <w:i/>
          <w:sz w:val="24"/>
          <w:szCs w:val="24"/>
        </w:rPr>
        <w:t>Disa</w:t>
      </w:r>
      <w:proofErr w:type="spellEnd"/>
      <w:r w:rsidRPr="00CD7F6B">
        <w:rPr>
          <w:rFonts w:ascii="Arial" w:hAnsi="Arial" w:cs="Arial"/>
          <w:i/>
          <w:sz w:val="24"/>
          <w:szCs w:val="24"/>
        </w:rPr>
        <w:t xml:space="preserve"> Hotels Ltd and another</w:t>
      </w:r>
      <w:r w:rsidR="00CD7F6B">
        <w:rPr>
          <w:rStyle w:val="FootnoteReference"/>
          <w:rFonts w:ascii="Arial" w:hAnsi="Arial" w:cs="Arial"/>
          <w:sz w:val="24"/>
          <w:szCs w:val="24"/>
        </w:rPr>
        <w:footnoteReference w:id="9"/>
      </w:r>
      <w:r w:rsidRPr="00D5652A">
        <w:rPr>
          <w:rFonts w:ascii="Arial" w:hAnsi="Arial" w:cs="Arial"/>
          <w:sz w:val="24"/>
          <w:szCs w:val="24"/>
        </w:rPr>
        <w:t xml:space="preserve"> Corbett J examined the right of a party to intervene in legal proceedings, remarking that intervention is closely linked to joinder, and is </w:t>
      </w:r>
      <w:r w:rsidR="00EF76FA">
        <w:rPr>
          <w:rFonts w:ascii="Arial" w:hAnsi="Arial" w:cs="Arial"/>
          <w:sz w:val="24"/>
          <w:szCs w:val="24"/>
        </w:rPr>
        <w:t>‘</w:t>
      </w:r>
      <w:r w:rsidRPr="00D5652A">
        <w:rPr>
          <w:rFonts w:ascii="Arial" w:hAnsi="Arial" w:cs="Arial"/>
          <w:sz w:val="24"/>
          <w:szCs w:val="24"/>
        </w:rPr>
        <w:t>often treated as a particular facet of joinder</w:t>
      </w:r>
      <w:r w:rsidR="00EF76FA">
        <w:rPr>
          <w:rFonts w:ascii="Arial" w:hAnsi="Arial" w:cs="Arial"/>
          <w:sz w:val="24"/>
          <w:szCs w:val="24"/>
        </w:rPr>
        <w:t>’</w:t>
      </w:r>
      <w:r w:rsidRPr="00D5652A">
        <w:rPr>
          <w:rFonts w:ascii="Arial" w:hAnsi="Arial" w:cs="Arial"/>
          <w:sz w:val="24"/>
          <w:szCs w:val="24"/>
        </w:rPr>
        <w:t>. The court</w:t>
      </w:r>
      <w:r w:rsidR="004B393F">
        <w:rPr>
          <w:rFonts w:ascii="Arial" w:hAnsi="Arial" w:cs="Arial"/>
          <w:sz w:val="24"/>
          <w:szCs w:val="24"/>
        </w:rPr>
        <w:t>, with reference</w:t>
      </w:r>
      <w:r w:rsidRPr="00D5652A">
        <w:rPr>
          <w:rFonts w:ascii="Arial" w:hAnsi="Arial" w:cs="Arial"/>
          <w:sz w:val="24"/>
          <w:szCs w:val="24"/>
        </w:rPr>
        <w:t xml:space="preserve"> to </w:t>
      </w:r>
      <w:proofErr w:type="spellStart"/>
      <w:r w:rsidRPr="006E6734">
        <w:rPr>
          <w:rFonts w:ascii="Arial" w:hAnsi="Arial" w:cs="Arial"/>
          <w:i/>
          <w:sz w:val="24"/>
          <w:szCs w:val="24"/>
        </w:rPr>
        <w:t>Brauer</w:t>
      </w:r>
      <w:proofErr w:type="spellEnd"/>
      <w:r w:rsidRPr="006E6734">
        <w:rPr>
          <w:rFonts w:ascii="Arial" w:hAnsi="Arial" w:cs="Arial"/>
          <w:i/>
          <w:sz w:val="24"/>
          <w:szCs w:val="24"/>
        </w:rPr>
        <w:t xml:space="preserve"> v Cape Liquor Licen</w:t>
      </w:r>
      <w:r w:rsidR="00D72AD9" w:rsidRPr="006E6734">
        <w:rPr>
          <w:rFonts w:ascii="Arial" w:hAnsi="Arial" w:cs="Arial"/>
          <w:i/>
          <w:sz w:val="24"/>
          <w:szCs w:val="24"/>
        </w:rPr>
        <w:t>sing Board</w:t>
      </w:r>
      <w:r w:rsidR="00EF76FA" w:rsidRPr="001A265E">
        <w:rPr>
          <w:rFonts w:ascii="Arial" w:hAnsi="Arial" w:cs="Arial"/>
          <w:sz w:val="24"/>
          <w:szCs w:val="24"/>
        </w:rPr>
        <w:t>,</w:t>
      </w:r>
      <w:r w:rsidR="006E6734">
        <w:rPr>
          <w:rStyle w:val="FootnoteReference"/>
          <w:rFonts w:ascii="Arial" w:hAnsi="Arial" w:cs="Arial"/>
          <w:sz w:val="24"/>
          <w:szCs w:val="24"/>
        </w:rPr>
        <w:footnoteReference w:id="10"/>
      </w:r>
      <w:r w:rsidR="004B393F">
        <w:rPr>
          <w:rFonts w:ascii="Arial" w:hAnsi="Arial" w:cs="Arial"/>
          <w:sz w:val="24"/>
          <w:szCs w:val="24"/>
        </w:rPr>
        <w:t xml:space="preserve"> stated that</w:t>
      </w:r>
      <w:r w:rsidR="00D72AD9" w:rsidRPr="00D5652A">
        <w:rPr>
          <w:rFonts w:ascii="Arial" w:hAnsi="Arial" w:cs="Arial"/>
          <w:sz w:val="24"/>
          <w:szCs w:val="24"/>
        </w:rPr>
        <w:t>:</w:t>
      </w:r>
    </w:p>
    <w:p w:rsidR="006E6734" w:rsidRPr="006E6734" w:rsidRDefault="00D72AD9" w:rsidP="006E6734">
      <w:pPr>
        <w:pStyle w:val="ListParagraph"/>
        <w:spacing w:after="0" w:line="360" w:lineRule="auto"/>
        <w:ind w:left="0"/>
        <w:jc w:val="both"/>
        <w:rPr>
          <w:rFonts w:ascii="Arial" w:hAnsi="Arial" w:cs="Arial"/>
          <w:szCs w:val="24"/>
        </w:rPr>
      </w:pPr>
      <w:r w:rsidRPr="006E6734">
        <w:rPr>
          <w:rFonts w:ascii="Arial" w:hAnsi="Arial" w:cs="Arial"/>
          <w:szCs w:val="24"/>
        </w:rPr>
        <w:t>‘</w:t>
      </w:r>
      <w:r w:rsidR="006E6734" w:rsidRPr="006E6734">
        <w:rPr>
          <w:rFonts w:ascii="Arial" w:hAnsi="Arial" w:cs="Arial"/>
          <w:szCs w:val="24"/>
        </w:rPr>
        <w:t>In </w:t>
      </w:r>
      <w:proofErr w:type="spellStart"/>
      <w:r w:rsidR="006E6734" w:rsidRPr="006E6734">
        <w:rPr>
          <w:rFonts w:ascii="Arial" w:hAnsi="Arial" w:cs="Arial"/>
          <w:i/>
          <w:iCs/>
          <w:szCs w:val="24"/>
        </w:rPr>
        <w:t>Brauer's</w:t>
      </w:r>
      <w:proofErr w:type="spellEnd"/>
      <w:r w:rsidR="006E6734" w:rsidRPr="006E6734">
        <w:rPr>
          <w:rFonts w:ascii="Arial" w:hAnsi="Arial" w:cs="Arial"/>
          <w:szCs w:val="24"/>
        </w:rPr>
        <w:t xml:space="preserve"> case application was made for the setting aside of the proceedings of a liquor licensing board on the ground that it had failed, in contravention of sec. 28 (1) of the Liquor Act, to keep a record of the proceedings in public of a meeting of the board at which the applicant's application for the removal of his bottle liquor </w:t>
      </w:r>
      <w:proofErr w:type="spellStart"/>
      <w:r w:rsidR="006E6734" w:rsidRPr="006E6734">
        <w:rPr>
          <w:rFonts w:ascii="Arial" w:hAnsi="Arial" w:cs="Arial"/>
          <w:szCs w:val="24"/>
        </w:rPr>
        <w:t>licence</w:t>
      </w:r>
      <w:proofErr w:type="spellEnd"/>
      <w:r w:rsidR="006E6734" w:rsidRPr="006E6734">
        <w:rPr>
          <w:rFonts w:ascii="Arial" w:hAnsi="Arial" w:cs="Arial"/>
          <w:szCs w:val="24"/>
        </w:rPr>
        <w:t xml:space="preserve"> to other premises was considered and refused. At the hearing of the application one Garb applied for leave to intervene as an additional respondent in opposition to the application. Garb, the licensee of certain hotel premises situated in the area to which removal was sought, had objected to the removal application before the board and contended that he was entitled to intervene on the ground that he had a substantial financial interest in the proceedings in that, if the application was granted and the board had to reconsider the application for removal, he would be left in a state of uncertainty and would have to incur expense in the protection of his interests by having to engage counsel to oppose the removal; and that if the board, upon reconsideration, granted the application, he, Garb, would be faced with business competition. The Court refused the application to intervene, stating (at p. 761):</w:t>
      </w:r>
    </w:p>
    <w:p w:rsidR="006E6734" w:rsidRPr="006E6734" w:rsidRDefault="006E6734" w:rsidP="006E6734">
      <w:pPr>
        <w:pStyle w:val="ListParagraph"/>
        <w:spacing w:line="360" w:lineRule="auto"/>
        <w:jc w:val="both"/>
        <w:rPr>
          <w:rFonts w:ascii="Arial" w:hAnsi="Arial" w:cs="Arial"/>
          <w:szCs w:val="24"/>
        </w:rPr>
      </w:pPr>
      <w:r w:rsidRPr="006E6734">
        <w:rPr>
          <w:rFonts w:ascii="Arial" w:hAnsi="Arial" w:cs="Arial"/>
          <w:szCs w:val="24"/>
        </w:rPr>
        <w:t xml:space="preserve">“In the present case, Garb has no real interest in the enquiry as to whether the Board kept a proper record; whether it did or not is no legal concern of his. What he is interested in doing is to prevent the possibility of competition if the Board should, in the event of its being ordered to reconsider the removal application, grant it. The interest he alleges (and of which he has given no proof) is, at most, in the words of HORWITZ, A.J.P., “merely a financial interest which is only an indirect interest in the litigation”. That this Court might make an order in </w:t>
      </w:r>
      <w:proofErr w:type="spellStart"/>
      <w:r w:rsidRPr="006E6734">
        <w:rPr>
          <w:rFonts w:ascii="Arial" w:hAnsi="Arial" w:cs="Arial"/>
          <w:szCs w:val="24"/>
        </w:rPr>
        <w:t>favour</w:t>
      </w:r>
      <w:proofErr w:type="spellEnd"/>
      <w:r w:rsidRPr="006E6734">
        <w:rPr>
          <w:rFonts w:ascii="Arial" w:hAnsi="Arial" w:cs="Arial"/>
          <w:szCs w:val="24"/>
        </w:rPr>
        <w:t xml:space="preserve"> of the applicant in the review proceedings might be “an unwelcome result”, but in my view, is not a ground entitling him to intervene.”</w:t>
      </w:r>
      <w:r>
        <w:rPr>
          <w:rFonts w:ascii="Arial" w:hAnsi="Arial" w:cs="Arial"/>
          <w:szCs w:val="24"/>
        </w:rPr>
        <w:t>’</w:t>
      </w:r>
      <w:r w:rsidRPr="006E6734">
        <w:rPr>
          <w:rStyle w:val="FootnoteReference"/>
          <w:rFonts w:ascii="Arial" w:hAnsi="Arial" w:cs="Arial"/>
          <w:sz w:val="24"/>
          <w:szCs w:val="24"/>
        </w:rPr>
        <w:t xml:space="preserve"> </w:t>
      </w:r>
      <w:r>
        <w:rPr>
          <w:rStyle w:val="FootnoteReference"/>
          <w:rFonts w:ascii="Arial" w:hAnsi="Arial" w:cs="Arial"/>
          <w:sz w:val="24"/>
          <w:szCs w:val="24"/>
        </w:rPr>
        <w:footnoteReference w:id="11"/>
      </w:r>
    </w:p>
    <w:p w:rsidR="009B5391" w:rsidRPr="00D5652A" w:rsidRDefault="009B5391" w:rsidP="006E6734">
      <w:pPr>
        <w:pStyle w:val="ListParagraph"/>
        <w:spacing w:after="0" w:line="360" w:lineRule="auto"/>
        <w:ind w:left="0"/>
        <w:jc w:val="both"/>
        <w:rPr>
          <w:rFonts w:ascii="Arial" w:hAnsi="Arial" w:cs="Arial"/>
          <w:sz w:val="24"/>
          <w:szCs w:val="24"/>
        </w:rPr>
      </w:pPr>
    </w:p>
    <w:p w:rsidR="009B5391" w:rsidRPr="00D5652A" w:rsidRDefault="0071504B" w:rsidP="00D5652A">
      <w:pPr>
        <w:pStyle w:val="ListParagraph"/>
        <w:spacing w:after="0" w:line="360" w:lineRule="auto"/>
        <w:ind w:left="0"/>
        <w:jc w:val="both"/>
        <w:rPr>
          <w:rFonts w:ascii="Arial" w:hAnsi="Arial" w:cs="Arial"/>
          <w:b/>
          <w:sz w:val="24"/>
          <w:szCs w:val="24"/>
        </w:rPr>
      </w:pPr>
      <w:r w:rsidRPr="00D5652A">
        <w:rPr>
          <w:rFonts w:ascii="Arial" w:hAnsi="Arial" w:cs="Arial"/>
          <w:b/>
          <w:sz w:val="24"/>
          <w:szCs w:val="24"/>
        </w:rPr>
        <w:t>Non</w:t>
      </w:r>
      <w:r w:rsidR="004B393F">
        <w:rPr>
          <w:rFonts w:ascii="Arial" w:hAnsi="Arial" w:cs="Arial"/>
          <w:b/>
          <w:sz w:val="24"/>
          <w:szCs w:val="24"/>
        </w:rPr>
        <w:t>-</w:t>
      </w:r>
      <w:r w:rsidRPr="00D5652A">
        <w:rPr>
          <w:rFonts w:ascii="Arial" w:hAnsi="Arial" w:cs="Arial"/>
          <w:b/>
          <w:sz w:val="24"/>
          <w:szCs w:val="24"/>
        </w:rPr>
        <w:t>joinder</w:t>
      </w:r>
      <w:r w:rsidR="003B780D" w:rsidRPr="00D5652A">
        <w:rPr>
          <w:rFonts w:ascii="Arial" w:hAnsi="Arial" w:cs="Arial"/>
          <w:b/>
          <w:sz w:val="24"/>
          <w:szCs w:val="24"/>
        </w:rPr>
        <w:t xml:space="preserve"> of Ecocycle and </w:t>
      </w:r>
      <w:r w:rsidR="009B5391" w:rsidRPr="00D5652A">
        <w:rPr>
          <w:rFonts w:ascii="Arial" w:hAnsi="Arial" w:cs="Arial"/>
          <w:b/>
          <w:sz w:val="24"/>
          <w:szCs w:val="24"/>
        </w:rPr>
        <w:t>Vikela</w:t>
      </w:r>
    </w:p>
    <w:p w:rsidR="009B5391" w:rsidRPr="00D5652A" w:rsidRDefault="009B5391"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Both Makhathini and the Department referred to the fact that neither Ecocycle nor Vikela had been joined to the present applica</w:t>
      </w:r>
      <w:r w:rsidR="003B780D" w:rsidRPr="00D5652A">
        <w:rPr>
          <w:rFonts w:ascii="Arial" w:hAnsi="Arial" w:cs="Arial"/>
          <w:sz w:val="24"/>
          <w:szCs w:val="24"/>
        </w:rPr>
        <w:t xml:space="preserve">tion to intervene. In </w:t>
      </w:r>
      <w:r w:rsidR="003B780D" w:rsidRPr="00917EE5">
        <w:rPr>
          <w:rFonts w:ascii="Arial" w:hAnsi="Arial" w:cs="Arial"/>
          <w:i/>
          <w:sz w:val="24"/>
          <w:szCs w:val="24"/>
        </w:rPr>
        <w:t>Erasmus</w:t>
      </w:r>
      <w:r w:rsidR="003B780D" w:rsidRPr="00D5652A">
        <w:rPr>
          <w:rFonts w:ascii="Arial" w:hAnsi="Arial" w:cs="Arial"/>
          <w:sz w:val="24"/>
          <w:szCs w:val="24"/>
        </w:rPr>
        <w:t xml:space="preserve">, </w:t>
      </w:r>
      <w:r w:rsidRPr="00D5652A">
        <w:rPr>
          <w:rFonts w:ascii="Arial" w:hAnsi="Arial" w:cs="Arial"/>
          <w:sz w:val="24"/>
          <w:szCs w:val="24"/>
        </w:rPr>
        <w:t xml:space="preserve">in </w:t>
      </w:r>
      <w:r w:rsidR="00EF76FA">
        <w:rPr>
          <w:rFonts w:ascii="Arial" w:hAnsi="Arial" w:cs="Arial"/>
          <w:sz w:val="24"/>
          <w:szCs w:val="24"/>
        </w:rPr>
        <w:t>the</w:t>
      </w:r>
      <w:r w:rsidR="00EF76FA" w:rsidRPr="00D5652A">
        <w:rPr>
          <w:rFonts w:ascii="Arial" w:hAnsi="Arial" w:cs="Arial"/>
          <w:sz w:val="24"/>
          <w:szCs w:val="24"/>
        </w:rPr>
        <w:t xml:space="preserve"> </w:t>
      </w:r>
      <w:r w:rsidRPr="00D5652A">
        <w:rPr>
          <w:rFonts w:ascii="Arial" w:hAnsi="Arial" w:cs="Arial"/>
          <w:sz w:val="24"/>
          <w:szCs w:val="24"/>
        </w:rPr>
        <w:t>commentary on Uniform Rule 10, the issue of non-joinder is discussed. The following is stated:</w:t>
      </w:r>
    </w:p>
    <w:p w:rsidR="009B5391" w:rsidRPr="00917EE5" w:rsidRDefault="009B5391" w:rsidP="00D5652A">
      <w:pPr>
        <w:pStyle w:val="ListParagraph"/>
        <w:spacing w:after="0" w:line="360" w:lineRule="auto"/>
        <w:ind w:left="0"/>
        <w:jc w:val="both"/>
        <w:rPr>
          <w:rFonts w:ascii="Arial" w:hAnsi="Arial" w:cs="Arial"/>
          <w:szCs w:val="24"/>
        </w:rPr>
      </w:pPr>
      <w:r w:rsidRPr="00917EE5">
        <w:rPr>
          <w:rFonts w:ascii="Arial" w:hAnsi="Arial" w:cs="Arial"/>
          <w:szCs w:val="24"/>
        </w:rPr>
        <w:t xml:space="preserve">‘. . . </w:t>
      </w:r>
      <w:r w:rsidR="00917EE5" w:rsidRPr="00917EE5">
        <w:rPr>
          <w:rFonts w:ascii="Arial" w:hAnsi="Arial" w:cs="Arial"/>
          <w:szCs w:val="24"/>
        </w:rPr>
        <w:t>the question as to whether all necessary parties had been joined does not depend upon the nature of the subject matter of the suit, but upon the manner in which, and the extent to which, the court’s order may affect the interests of third parties. </w:t>
      </w:r>
      <w:bookmarkStart w:id="5" w:name="0-0-0-32099"/>
      <w:bookmarkEnd w:id="5"/>
      <w:r w:rsidR="00917EE5" w:rsidRPr="00917EE5">
        <w:rPr>
          <w:rFonts w:ascii="Arial" w:hAnsi="Arial" w:cs="Arial"/>
          <w:szCs w:val="24"/>
        </w:rPr>
        <w:t>The test is whether or not a party has a “direct and substantial interest” in the subject matter of the action, that is, a legal interest in the subject matter of the litigation which may be affected prejudicially by the judgment of the court.</w:t>
      </w:r>
      <w:bookmarkStart w:id="6" w:name="0-0-0-32103"/>
      <w:bookmarkEnd w:id="6"/>
      <w:r w:rsidR="00917EE5" w:rsidRPr="00917EE5">
        <w:rPr>
          <w:rFonts w:ascii="Arial" w:hAnsi="Arial" w:cs="Arial"/>
          <w:szCs w:val="24"/>
        </w:rPr>
        <w:t xml:space="preserve"> A mere financial interest is an indirect interest and may not require joinder of a person having such interest</w:t>
      </w:r>
      <w:bookmarkStart w:id="7" w:name="0-0-0-32109"/>
      <w:bookmarkEnd w:id="7"/>
      <w:r w:rsidR="00917EE5" w:rsidRPr="00917EE5">
        <w:rPr>
          <w:rFonts w:ascii="Arial" w:hAnsi="Arial" w:cs="Arial"/>
          <w:szCs w:val="24"/>
        </w:rPr>
        <w:t xml:space="preserve"> . . . </w:t>
      </w:r>
      <w:bookmarkStart w:id="8" w:name="0-0-0-32113"/>
      <w:bookmarkEnd w:id="8"/>
      <w:r w:rsidR="00917EE5" w:rsidRPr="00917EE5">
        <w:rPr>
          <w:rFonts w:ascii="Arial" w:hAnsi="Arial" w:cs="Arial"/>
          <w:szCs w:val="24"/>
        </w:rPr>
        <w:t>The rule is that any person is a necessary party and should be joined if such person has a direct and substantial interest in any order the court might make, or if such an order cannot be sustained or carried into effect without prejudicing that party, </w:t>
      </w:r>
      <w:bookmarkStart w:id="9" w:name="0-0-0-32117"/>
      <w:bookmarkEnd w:id="9"/>
      <w:r w:rsidR="00917EE5" w:rsidRPr="00917EE5">
        <w:rPr>
          <w:rFonts w:ascii="Arial" w:hAnsi="Arial" w:cs="Arial"/>
          <w:szCs w:val="24"/>
        </w:rPr>
        <w:t>unless the court is satisfied that he has waived his right to be joined</w:t>
      </w:r>
      <w:r w:rsidRPr="00917EE5">
        <w:rPr>
          <w:rFonts w:ascii="Arial" w:hAnsi="Arial" w:cs="Arial"/>
          <w:szCs w:val="24"/>
        </w:rPr>
        <w:t>.’</w:t>
      </w:r>
      <w:r w:rsidR="002752D7" w:rsidRPr="00917EE5">
        <w:rPr>
          <w:rStyle w:val="FootnoteReference"/>
          <w:rFonts w:ascii="Arial" w:hAnsi="Arial" w:cs="Arial"/>
          <w:szCs w:val="24"/>
        </w:rPr>
        <w:footnoteReference w:id="12"/>
      </w:r>
      <w:r w:rsidRPr="00917EE5">
        <w:rPr>
          <w:rFonts w:ascii="Arial" w:hAnsi="Arial" w:cs="Arial"/>
          <w:szCs w:val="24"/>
        </w:rPr>
        <w:t xml:space="preserve"> (</w:t>
      </w:r>
      <w:r w:rsidR="004B393F" w:rsidRPr="00917EE5">
        <w:rPr>
          <w:rFonts w:ascii="Arial" w:hAnsi="Arial" w:cs="Arial"/>
          <w:szCs w:val="24"/>
        </w:rPr>
        <w:t xml:space="preserve">Footnotes </w:t>
      </w:r>
      <w:r w:rsidRPr="00917EE5">
        <w:rPr>
          <w:rFonts w:ascii="Arial" w:hAnsi="Arial" w:cs="Arial"/>
          <w:szCs w:val="24"/>
        </w:rPr>
        <w:t>omitted</w:t>
      </w:r>
      <w:r w:rsidR="004B393F">
        <w:rPr>
          <w:rFonts w:ascii="Arial" w:hAnsi="Arial" w:cs="Arial"/>
          <w:szCs w:val="24"/>
        </w:rPr>
        <w:t>.</w:t>
      </w:r>
      <w:r w:rsidRPr="00917EE5">
        <w:rPr>
          <w:rFonts w:ascii="Arial" w:hAnsi="Arial" w:cs="Arial"/>
          <w:szCs w:val="24"/>
        </w:rPr>
        <w:t>)</w:t>
      </w:r>
    </w:p>
    <w:p w:rsidR="00B01BC4" w:rsidRPr="00D5652A" w:rsidRDefault="00B01BC4" w:rsidP="00D5652A">
      <w:pPr>
        <w:spacing w:after="0" w:line="360" w:lineRule="auto"/>
        <w:contextualSpacing/>
        <w:jc w:val="both"/>
        <w:rPr>
          <w:rFonts w:ascii="Arial" w:hAnsi="Arial" w:cs="Arial"/>
          <w:sz w:val="24"/>
          <w:szCs w:val="24"/>
        </w:rPr>
      </w:pPr>
    </w:p>
    <w:p w:rsidR="00B01BC4" w:rsidRPr="00D5652A" w:rsidRDefault="00B01BC4" w:rsidP="007A37B1">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In </w:t>
      </w:r>
      <w:r w:rsidRPr="00FB04A9">
        <w:rPr>
          <w:rFonts w:ascii="Arial" w:hAnsi="Arial" w:cs="Arial"/>
          <w:i/>
          <w:sz w:val="24"/>
          <w:szCs w:val="24"/>
        </w:rPr>
        <w:t>Gordon v Department of Health</w:t>
      </w:r>
      <w:r w:rsidR="00FB04A9">
        <w:rPr>
          <w:rFonts w:ascii="Arial" w:hAnsi="Arial" w:cs="Arial"/>
          <w:i/>
          <w:sz w:val="24"/>
          <w:szCs w:val="24"/>
        </w:rPr>
        <w:t>, KwaZulu-Natal</w:t>
      </w:r>
      <w:r w:rsidR="00FB04A9">
        <w:rPr>
          <w:rStyle w:val="FootnoteReference"/>
          <w:rFonts w:ascii="Arial" w:hAnsi="Arial" w:cs="Arial"/>
          <w:sz w:val="24"/>
          <w:szCs w:val="24"/>
        </w:rPr>
        <w:footnoteReference w:id="13"/>
      </w:r>
      <w:r w:rsidRPr="00D5652A">
        <w:rPr>
          <w:rFonts w:ascii="Arial" w:hAnsi="Arial" w:cs="Arial"/>
          <w:sz w:val="24"/>
          <w:szCs w:val="24"/>
        </w:rPr>
        <w:t xml:space="preserve"> the court dealt with the </w:t>
      </w:r>
      <w:r w:rsidR="00B93AFA" w:rsidRPr="00D5652A">
        <w:rPr>
          <w:rFonts w:ascii="Arial" w:hAnsi="Arial" w:cs="Arial"/>
          <w:sz w:val="24"/>
          <w:szCs w:val="24"/>
        </w:rPr>
        <w:t>non-joinder</w:t>
      </w:r>
      <w:r w:rsidRPr="00D5652A">
        <w:rPr>
          <w:rFonts w:ascii="Arial" w:hAnsi="Arial" w:cs="Arial"/>
          <w:sz w:val="24"/>
          <w:szCs w:val="24"/>
        </w:rPr>
        <w:t xml:space="preserve"> of a party and held inter alia that the relief sought was relevant to determine whether a party has a direct and substantial interest in the subject matter of the proceedings. The facts were briefly</w:t>
      </w:r>
      <w:r w:rsidR="003B780D" w:rsidRPr="00D5652A">
        <w:rPr>
          <w:rFonts w:ascii="Arial" w:hAnsi="Arial" w:cs="Arial"/>
          <w:sz w:val="24"/>
          <w:szCs w:val="24"/>
        </w:rPr>
        <w:t xml:space="preserve"> that the appellant, a white mal</w:t>
      </w:r>
      <w:r w:rsidRPr="00D5652A">
        <w:rPr>
          <w:rFonts w:ascii="Arial" w:hAnsi="Arial" w:cs="Arial"/>
          <w:sz w:val="24"/>
          <w:szCs w:val="24"/>
        </w:rPr>
        <w:t>e, was turned down when he applied for a post at the D</w:t>
      </w:r>
      <w:r w:rsidR="003B780D" w:rsidRPr="00D5652A">
        <w:rPr>
          <w:rFonts w:ascii="Arial" w:hAnsi="Arial" w:cs="Arial"/>
          <w:sz w:val="24"/>
          <w:szCs w:val="24"/>
        </w:rPr>
        <w:t>epartment of Health. A black mal</w:t>
      </w:r>
      <w:r w:rsidRPr="00D5652A">
        <w:rPr>
          <w:rFonts w:ascii="Arial" w:hAnsi="Arial" w:cs="Arial"/>
          <w:sz w:val="24"/>
          <w:szCs w:val="24"/>
        </w:rPr>
        <w:t xml:space="preserve">e (M) was appointed </w:t>
      </w:r>
      <w:proofErr w:type="gramStart"/>
      <w:r w:rsidRPr="00D5652A">
        <w:rPr>
          <w:rFonts w:ascii="Arial" w:hAnsi="Arial" w:cs="Arial"/>
          <w:sz w:val="24"/>
          <w:szCs w:val="24"/>
        </w:rPr>
        <w:t>instead</w:t>
      </w:r>
      <w:r w:rsidR="004B393F">
        <w:rPr>
          <w:rFonts w:ascii="Arial" w:hAnsi="Arial" w:cs="Arial"/>
          <w:sz w:val="24"/>
          <w:szCs w:val="24"/>
        </w:rPr>
        <w:t>,</w:t>
      </w:r>
      <w:proofErr w:type="gramEnd"/>
      <w:r w:rsidRPr="00D5652A">
        <w:rPr>
          <w:rFonts w:ascii="Arial" w:hAnsi="Arial" w:cs="Arial"/>
          <w:sz w:val="24"/>
          <w:szCs w:val="24"/>
        </w:rPr>
        <w:t xml:space="preserve"> notwithstanding the selection panel</w:t>
      </w:r>
      <w:r w:rsidR="003B780D" w:rsidRPr="00D5652A">
        <w:rPr>
          <w:rFonts w:ascii="Arial" w:hAnsi="Arial" w:cs="Arial"/>
          <w:sz w:val="24"/>
          <w:szCs w:val="24"/>
        </w:rPr>
        <w:t>’s</w:t>
      </w:r>
      <w:r w:rsidRPr="00D5652A">
        <w:rPr>
          <w:rFonts w:ascii="Arial" w:hAnsi="Arial" w:cs="Arial"/>
          <w:sz w:val="24"/>
          <w:szCs w:val="24"/>
        </w:rPr>
        <w:t xml:space="preserve"> finding that the appellant was the most suitable candidate. The appellant approached the </w:t>
      </w:r>
      <w:proofErr w:type="spellStart"/>
      <w:r w:rsidRPr="00D5652A">
        <w:rPr>
          <w:rFonts w:ascii="Arial" w:hAnsi="Arial" w:cs="Arial"/>
          <w:sz w:val="24"/>
          <w:szCs w:val="24"/>
        </w:rPr>
        <w:t>Labour</w:t>
      </w:r>
      <w:proofErr w:type="spellEnd"/>
      <w:r w:rsidRPr="00D5652A">
        <w:rPr>
          <w:rFonts w:ascii="Arial" w:hAnsi="Arial" w:cs="Arial"/>
          <w:sz w:val="24"/>
          <w:szCs w:val="24"/>
        </w:rPr>
        <w:t xml:space="preserve"> Court for </w:t>
      </w:r>
      <w:r w:rsidR="003B780D" w:rsidRPr="00D5652A">
        <w:rPr>
          <w:rFonts w:ascii="Arial" w:hAnsi="Arial" w:cs="Arial"/>
          <w:sz w:val="24"/>
          <w:szCs w:val="24"/>
        </w:rPr>
        <w:t>relief</w:t>
      </w:r>
      <w:r w:rsidR="00B93AFA" w:rsidRPr="00D5652A">
        <w:rPr>
          <w:rFonts w:ascii="Arial" w:hAnsi="Arial" w:cs="Arial"/>
          <w:sz w:val="24"/>
          <w:szCs w:val="24"/>
        </w:rPr>
        <w:t xml:space="preserve"> which</w:t>
      </w:r>
      <w:r w:rsidRPr="00D5652A">
        <w:rPr>
          <w:rFonts w:ascii="Arial" w:hAnsi="Arial" w:cs="Arial"/>
          <w:sz w:val="24"/>
          <w:szCs w:val="24"/>
        </w:rPr>
        <w:t xml:space="preserve"> would amount to him receiving all the benefits he would have received had he been appointed to the post, without actually being appointed. The </w:t>
      </w:r>
      <w:proofErr w:type="spellStart"/>
      <w:r w:rsidRPr="00D5652A">
        <w:rPr>
          <w:rFonts w:ascii="Arial" w:hAnsi="Arial" w:cs="Arial"/>
          <w:sz w:val="24"/>
          <w:szCs w:val="24"/>
        </w:rPr>
        <w:t>Labour</w:t>
      </w:r>
      <w:proofErr w:type="spellEnd"/>
      <w:r w:rsidRPr="00D5652A">
        <w:rPr>
          <w:rFonts w:ascii="Arial" w:hAnsi="Arial" w:cs="Arial"/>
          <w:sz w:val="24"/>
          <w:szCs w:val="24"/>
        </w:rPr>
        <w:t xml:space="preserve"> Appeal Court dismissed the appellant’s appeal on the basis that M</w:t>
      </w:r>
      <w:r w:rsidR="00EF76FA">
        <w:rPr>
          <w:rFonts w:ascii="Arial" w:hAnsi="Arial" w:cs="Arial"/>
          <w:sz w:val="24"/>
          <w:szCs w:val="24"/>
        </w:rPr>
        <w:t>,</w:t>
      </w:r>
      <w:r w:rsidRPr="00D5652A">
        <w:rPr>
          <w:rFonts w:ascii="Arial" w:hAnsi="Arial" w:cs="Arial"/>
          <w:sz w:val="24"/>
          <w:szCs w:val="24"/>
        </w:rPr>
        <w:t xml:space="preserve"> as the successful candidate</w:t>
      </w:r>
      <w:r w:rsidR="00EF76FA">
        <w:rPr>
          <w:rFonts w:ascii="Arial" w:hAnsi="Arial" w:cs="Arial"/>
          <w:sz w:val="24"/>
          <w:szCs w:val="24"/>
        </w:rPr>
        <w:t>,</w:t>
      </w:r>
      <w:r w:rsidRPr="00D5652A">
        <w:rPr>
          <w:rFonts w:ascii="Arial" w:hAnsi="Arial" w:cs="Arial"/>
          <w:sz w:val="24"/>
          <w:szCs w:val="24"/>
        </w:rPr>
        <w:t xml:space="preserve"> had not been joined in the application, which finding was revised on further appeal to the Supreme Court of Appeal. </w:t>
      </w:r>
      <w:proofErr w:type="spellStart"/>
      <w:r w:rsidRPr="00D5652A">
        <w:rPr>
          <w:rFonts w:ascii="Arial" w:hAnsi="Arial" w:cs="Arial"/>
          <w:sz w:val="24"/>
          <w:szCs w:val="24"/>
        </w:rPr>
        <w:t>Mlambo</w:t>
      </w:r>
      <w:proofErr w:type="spellEnd"/>
      <w:r w:rsidRPr="00D5652A">
        <w:rPr>
          <w:rFonts w:ascii="Arial" w:hAnsi="Arial" w:cs="Arial"/>
          <w:sz w:val="24"/>
          <w:szCs w:val="24"/>
        </w:rPr>
        <w:t xml:space="preserve"> JA held</w:t>
      </w:r>
      <w:r w:rsidR="007A37B1">
        <w:rPr>
          <w:rFonts w:ascii="Arial" w:hAnsi="Arial" w:cs="Arial"/>
          <w:sz w:val="24"/>
          <w:szCs w:val="24"/>
        </w:rPr>
        <w:t xml:space="preserve"> that</w:t>
      </w:r>
      <w:r w:rsidRPr="00D5652A">
        <w:rPr>
          <w:rFonts w:ascii="Arial" w:hAnsi="Arial" w:cs="Arial"/>
          <w:sz w:val="24"/>
          <w:szCs w:val="24"/>
        </w:rPr>
        <w:t>:</w:t>
      </w:r>
    </w:p>
    <w:p w:rsidR="00B01BC4" w:rsidRPr="007A37B1" w:rsidRDefault="005C4AA9" w:rsidP="00D5652A">
      <w:pPr>
        <w:pStyle w:val="ListParagraph"/>
        <w:spacing w:after="0" w:line="360" w:lineRule="auto"/>
        <w:ind w:left="0"/>
        <w:jc w:val="both"/>
        <w:rPr>
          <w:rFonts w:ascii="Arial" w:hAnsi="Arial" w:cs="Arial"/>
          <w:szCs w:val="24"/>
        </w:rPr>
      </w:pPr>
      <w:r w:rsidRPr="007A37B1">
        <w:rPr>
          <w:rFonts w:ascii="Arial" w:hAnsi="Arial" w:cs="Arial"/>
          <w:szCs w:val="24"/>
        </w:rPr>
        <w:t>‘</w:t>
      </w:r>
      <w:r w:rsidR="007A37B1" w:rsidRPr="007A37B1">
        <w:rPr>
          <w:rFonts w:ascii="Arial" w:hAnsi="Arial" w:cs="Arial"/>
          <w:szCs w:val="24"/>
        </w:rPr>
        <w:t xml:space="preserve">The issue in our matter, as it is in any non-joinder dispute, is whether the party sought to be joined has a direct and substantial interest in the matter. The test is whether a party that is alleged to be a necessary </w:t>
      </w:r>
      <w:proofErr w:type="gramStart"/>
      <w:r w:rsidR="007A37B1" w:rsidRPr="007A37B1">
        <w:rPr>
          <w:rFonts w:ascii="Arial" w:hAnsi="Arial" w:cs="Arial"/>
          <w:szCs w:val="24"/>
        </w:rPr>
        <w:t>party,</w:t>
      </w:r>
      <w:proofErr w:type="gramEnd"/>
      <w:r w:rsidR="007A37B1" w:rsidRPr="007A37B1">
        <w:rPr>
          <w:rFonts w:ascii="Arial" w:hAnsi="Arial" w:cs="Arial"/>
          <w:szCs w:val="24"/>
        </w:rPr>
        <w:t xml:space="preserve"> has a legal interest in the subject-matter, which may be affected prejudicially by the judgment of the court in the proceedings concerned.</w:t>
      </w:r>
      <w:bookmarkStart w:id="10" w:name="0-0-0-91013"/>
      <w:bookmarkEnd w:id="10"/>
      <w:r w:rsidR="007A37B1" w:rsidRPr="007A37B1">
        <w:rPr>
          <w:rFonts w:ascii="Arial" w:hAnsi="Arial" w:cs="Arial"/>
          <w:szCs w:val="24"/>
        </w:rPr>
        <w:t xml:space="preserve"> In the </w:t>
      </w:r>
      <w:r w:rsidR="007A37B1" w:rsidRPr="007A37B1">
        <w:rPr>
          <w:rFonts w:ascii="Arial" w:hAnsi="Arial" w:cs="Arial"/>
          <w:i/>
          <w:iCs/>
          <w:szCs w:val="24"/>
        </w:rPr>
        <w:t>Amalgamated Engineering Union</w:t>
      </w:r>
      <w:r w:rsidR="007A37B1" w:rsidRPr="007A37B1">
        <w:rPr>
          <w:rFonts w:ascii="Arial" w:hAnsi="Arial" w:cs="Arial"/>
          <w:szCs w:val="24"/>
        </w:rPr>
        <w:t> case (supra) it was found that “the question of joinder should . . . not depend on the nature of the subject-matter . . . but . . . on the manner in which, and the extent to which, the court's order may affect the interests of third parties”.</w:t>
      </w:r>
      <w:bookmarkStart w:id="11" w:name="0-0-0-91017"/>
      <w:bookmarkEnd w:id="11"/>
      <w:r w:rsidR="007A37B1" w:rsidRPr="007A37B1">
        <w:rPr>
          <w:rFonts w:ascii="Arial" w:hAnsi="Arial" w:cs="Arial"/>
          <w:szCs w:val="24"/>
        </w:rPr>
        <w:t xml:space="preserve"> The court formulated the approach as, first, to consider whether the third party would have locus standi to claim relief concerning the same subject-matter, and then to examine .</w:t>
      </w:r>
      <w:bookmarkStart w:id="12" w:name="0-0-0-91021"/>
      <w:bookmarkEnd w:id="12"/>
      <w:r w:rsidR="007A37B1" w:rsidRPr="007A37B1">
        <w:rPr>
          <w:rFonts w:ascii="Arial" w:hAnsi="Arial" w:cs="Arial"/>
          <w:szCs w:val="24"/>
        </w:rPr>
        <w:t xml:space="preserve"> . . This has been found to mean that if the order or “judgment sought cannot be sustained and carried into effect without necessarily prejudicing the interests” of a party or parties not joined in the proceedings, then that party or parties have a legal interest in the matter and must be joined</w:t>
      </w:r>
      <w:r w:rsidR="00B01BC4" w:rsidRPr="007A37B1">
        <w:rPr>
          <w:rFonts w:ascii="Arial" w:hAnsi="Arial" w:cs="Arial"/>
          <w:szCs w:val="24"/>
        </w:rPr>
        <w:t>.’</w:t>
      </w:r>
      <w:r w:rsidR="007A37B1" w:rsidRPr="007A37B1">
        <w:rPr>
          <w:rStyle w:val="FootnoteReference"/>
          <w:rFonts w:ascii="Arial" w:hAnsi="Arial" w:cs="Arial"/>
          <w:szCs w:val="24"/>
        </w:rPr>
        <w:footnoteReference w:id="14"/>
      </w:r>
    </w:p>
    <w:p w:rsidR="00B01BC4" w:rsidRPr="00D5652A" w:rsidRDefault="00B01BC4" w:rsidP="00D5652A">
      <w:pPr>
        <w:spacing w:after="0" w:line="360" w:lineRule="auto"/>
        <w:contextualSpacing/>
        <w:jc w:val="both"/>
        <w:rPr>
          <w:rFonts w:ascii="Arial" w:hAnsi="Arial" w:cs="Arial"/>
          <w:sz w:val="24"/>
          <w:szCs w:val="24"/>
        </w:rPr>
      </w:pPr>
    </w:p>
    <w:p w:rsidR="00B01BC4" w:rsidRPr="00D5652A" w:rsidRDefault="00B01BC4" w:rsidP="00D5652A">
      <w:pPr>
        <w:pStyle w:val="ListParagraph"/>
        <w:numPr>
          <w:ilvl w:val="0"/>
          <w:numId w:val="1"/>
        </w:numPr>
        <w:spacing w:after="0" w:line="360" w:lineRule="auto"/>
        <w:ind w:left="0" w:firstLine="0"/>
        <w:jc w:val="both"/>
        <w:rPr>
          <w:rFonts w:ascii="Arial" w:hAnsi="Arial" w:cs="Arial"/>
          <w:sz w:val="24"/>
          <w:szCs w:val="24"/>
        </w:rPr>
      </w:pPr>
      <w:proofErr w:type="spellStart"/>
      <w:r w:rsidRPr="00D5652A">
        <w:rPr>
          <w:rFonts w:ascii="Arial" w:hAnsi="Arial" w:cs="Arial"/>
          <w:sz w:val="24"/>
          <w:szCs w:val="24"/>
        </w:rPr>
        <w:t>Mlambo</w:t>
      </w:r>
      <w:proofErr w:type="spellEnd"/>
      <w:r w:rsidRPr="00D5652A">
        <w:rPr>
          <w:rFonts w:ascii="Arial" w:hAnsi="Arial" w:cs="Arial"/>
          <w:sz w:val="24"/>
          <w:szCs w:val="24"/>
        </w:rPr>
        <w:t xml:space="preserve"> JA fur</w:t>
      </w:r>
      <w:r w:rsidR="00B93AFA" w:rsidRPr="00D5652A">
        <w:rPr>
          <w:rFonts w:ascii="Arial" w:hAnsi="Arial" w:cs="Arial"/>
          <w:sz w:val="24"/>
          <w:szCs w:val="24"/>
        </w:rPr>
        <w:t>t</w:t>
      </w:r>
      <w:r w:rsidRPr="00D5652A">
        <w:rPr>
          <w:rFonts w:ascii="Arial" w:hAnsi="Arial" w:cs="Arial"/>
          <w:sz w:val="24"/>
          <w:szCs w:val="24"/>
        </w:rPr>
        <w:t>her held</w:t>
      </w:r>
      <w:r w:rsidR="004B393F">
        <w:rPr>
          <w:rFonts w:ascii="Arial" w:hAnsi="Arial" w:cs="Arial"/>
          <w:sz w:val="24"/>
          <w:szCs w:val="24"/>
        </w:rPr>
        <w:t xml:space="preserve"> that</w:t>
      </w:r>
      <w:r w:rsidRPr="00D5652A">
        <w:rPr>
          <w:rFonts w:ascii="Arial" w:hAnsi="Arial" w:cs="Arial"/>
          <w:sz w:val="24"/>
          <w:szCs w:val="24"/>
        </w:rPr>
        <w:t>:</w:t>
      </w:r>
    </w:p>
    <w:p w:rsidR="00B01BC4" w:rsidRPr="00E029F0" w:rsidRDefault="00E029F0" w:rsidP="00E029F0">
      <w:pPr>
        <w:pStyle w:val="ListParagraph"/>
        <w:spacing w:after="0" w:line="360" w:lineRule="auto"/>
        <w:ind w:left="0"/>
        <w:jc w:val="both"/>
        <w:rPr>
          <w:rFonts w:ascii="Arial" w:hAnsi="Arial" w:cs="Arial"/>
          <w:szCs w:val="24"/>
        </w:rPr>
      </w:pPr>
      <w:r>
        <w:rPr>
          <w:rFonts w:ascii="Arial" w:hAnsi="Arial" w:cs="Arial"/>
          <w:szCs w:val="24"/>
        </w:rPr>
        <w:t>‘</w:t>
      </w:r>
      <w:r w:rsidRPr="00E029F0">
        <w:rPr>
          <w:rFonts w:ascii="Arial" w:hAnsi="Arial" w:cs="Arial"/>
          <w:szCs w:val="24"/>
        </w:rPr>
        <w:t>The successful appointee can only have a legal interest in the proceedings where the decision to appoint him is sought to be set aside which can lead to his removal from the post. He becomes a necessary party to the proceedings because the order cannot be carried into effect without profoundly and substantially affecting his/her interests</w:t>
      </w:r>
      <w:r>
        <w:rPr>
          <w:rFonts w:ascii="Arial" w:hAnsi="Arial" w:cs="Arial"/>
          <w:szCs w:val="24"/>
        </w:rPr>
        <w:t>.</w:t>
      </w:r>
      <w:r w:rsidR="00B93AFA" w:rsidRPr="00E029F0">
        <w:rPr>
          <w:rFonts w:ascii="Arial" w:hAnsi="Arial" w:cs="Arial"/>
          <w:szCs w:val="24"/>
        </w:rPr>
        <w:t>’</w:t>
      </w:r>
      <w:r w:rsidR="00256FDB" w:rsidRPr="00E029F0">
        <w:rPr>
          <w:rStyle w:val="FootnoteReference"/>
          <w:rFonts w:ascii="Arial" w:hAnsi="Arial" w:cs="Arial"/>
          <w:szCs w:val="24"/>
        </w:rPr>
        <w:footnoteReference w:id="15"/>
      </w:r>
    </w:p>
    <w:p w:rsidR="00B93AFA" w:rsidRPr="00D5652A" w:rsidRDefault="00B93AFA" w:rsidP="00D5652A">
      <w:pPr>
        <w:spacing w:after="0" w:line="360" w:lineRule="auto"/>
        <w:contextualSpacing/>
        <w:jc w:val="both"/>
        <w:rPr>
          <w:rFonts w:ascii="Arial" w:hAnsi="Arial" w:cs="Arial"/>
          <w:sz w:val="24"/>
          <w:szCs w:val="24"/>
        </w:rPr>
      </w:pPr>
    </w:p>
    <w:p w:rsidR="00B93AFA" w:rsidRPr="00D5652A" w:rsidRDefault="00FB45F5" w:rsidP="00D5652A">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In </w:t>
      </w:r>
      <w:r w:rsidRPr="00FB45F5">
        <w:rPr>
          <w:rFonts w:ascii="Arial" w:hAnsi="Arial" w:cs="Arial"/>
          <w:i/>
          <w:sz w:val="24"/>
          <w:szCs w:val="24"/>
        </w:rPr>
        <w:t>Bo</w:t>
      </w:r>
      <w:r w:rsidR="005C4AA9" w:rsidRPr="00FB45F5">
        <w:rPr>
          <w:rFonts w:ascii="Arial" w:hAnsi="Arial" w:cs="Arial"/>
          <w:i/>
          <w:sz w:val="24"/>
          <w:szCs w:val="24"/>
        </w:rPr>
        <w:t xml:space="preserve">wring NO v </w:t>
      </w:r>
      <w:proofErr w:type="spellStart"/>
      <w:r w:rsidR="005C4AA9" w:rsidRPr="00FB45F5">
        <w:rPr>
          <w:rFonts w:ascii="Arial" w:hAnsi="Arial" w:cs="Arial"/>
          <w:i/>
          <w:sz w:val="24"/>
          <w:szCs w:val="24"/>
        </w:rPr>
        <w:t>V</w:t>
      </w:r>
      <w:r w:rsidRPr="00FB45F5">
        <w:rPr>
          <w:rFonts w:ascii="Arial" w:hAnsi="Arial" w:cs="Arial"/>
          <w:i/>
          <w:sz w:val="24"/>
          <w:szCs w:val="24"/>
        </w:rPr>
        <w:t>rede</w:t>
      </w:r>
      <w:r w:rsidR="00B93AFA" w:rsidRPr="00FB45F5">
        <w:rPr>
          <w:rFonts w:ascii="Arial" w:hAnsi="Arial" w:cs="Arial"/>
          <w:i/>
          <w:sz w:val="24"/>
          <w:szCs w:val="24"/>
        </w:rPr>
        <w:t>dorp</w:t>
      </w:r>
      <w:proofErr w:type="spellEnd"/>
      <w:r w:rsidR="00B93AFA" w:rsidRPr="00FB45F5">
        <w:rPr>
          <w:rFonts w:ascii="Arial" w:hAnsi="Arial" w:cs="Arial"/>
          <w:i/>
          <w:sz w:val="24"/>
          <w:szCs w:val="24"/>
        </w:rPr>
        <w:t xml:space="preserve"> Properties CC and another</w:t>
      </w:r>
      <w:r w:rsidR="00E029F0">
        <w:rPr>
          <w:rStyle w:val="FootnoteReference"/>
          <w:rFonts w:ascii="Arial" w:hAnsi="Arial" w:cs="Arial"/>
          <w:sz w:val="24"/>
          <w:szCs w:val="24"/>
        </w:rPr>
        <w:footnoteReference w:id="16"/>
      </w:r>
      <w:r w:rsidR="00B93AFA" w:rsidRPr="00D5652A">
        <w:rPr>
          <w:rFonts w:ascii="Arial" w:hAnsi="Arial" w:cs="Arial"/>
          <w:sz w:val="24"/>
          <w:szCs w:val="24"/>
        </w:rPr>
        <w:t xml:space="preserve"> Brand JA held that the enquiry relating to non-joinder remains one of substance rather than the form of the claim. The substantial test is whether the party, which is alleged to be a necessary party to the litigation, may be affected prejudicially by the judgment of the court in the proceedings. </w:t>
      </w:r>
    </w:p>
    <w:p w:rsidR="00390494" w:rsidRPr="00D5652A" w:rsidRDefault="00390494" w:rsidP="00D5652A">
      <w:pPr>
        <w:spacing w:after="0" w:line="360" w:lineRule="auto"/>
        <w:contextualSpacing/>
        <w:jc w:val="both"/>
        <w:rPr>
          <w:rFonts w:ascii="Arial" w:hAnsi="Arial" w:cs="Arial"/>
          <w:sz w:val="24"/>
          <w:szCs w:val="24"/>
        </w:rPr>
      </w:pPr>
    </w:p>
    <w:p w:rsidR="00390494" w:rsidRPr="00D5652A" w:rsidRDefault="00390494" w:rsidP="00D5652A">
      <w:pPr>
        <w:pStyle w:val="ListParagraph"/>
        <w:numPr>
          <w:ilvl w:val="0"/>
          <w:numId w:val="1"/>
        </w:numPr>
        <w:spacing w:after="0" w:line="360" w:lineRule="auto"/>
        <w:ind w:left="0" w:firstLine="0"/>
        <w:jc w:val="both"/>
        <w:rPr>
          <w:rFonts w:ascii="Arial" w:hAnsi="Arial" w:cs="Arial"/>
          <w:sz w:val="24"/>
          <w:szCs w:val="24"/>
        </w:rPr>
      </w:pPr>
      <w:r w:rsidRPr="00FA67F4">
        <w:rPr>
          <w:rFonts w:ascii="Arial" w:hAnsi="Arial" w:cs="Arial"/>
          <w:i/>
          <w:sz w:val="24"/>
          <w:szCs w:val="24"/>
        </w:rPr>
        <w:t>Erasmus</w:t>
      </w:r>
      <w:r w:rsidRPr="00D5652A">
        <w:rPr>
          <w:rFonts w:ascii="Arial" w:hAnsi="Arial" w:cs="Arial"/>
          <w:sz w:val="24"/>
          <w:szCs w:val="24"/>
        </w:rPr>
        <w:t>,</w:t>
      </w:r>
      <w:r w:rsidR="00FA67F4">
        <w:rPr>
          <w:rStyle w:val="FootnoteReference"/>
          <w:rFonts w:ascii="Arial" w:hAnsi="Arial" w:cs="Arial"/>
          <w:sz w:val="24"/>
          <w:szCs w:val="24"/>
        </w:rPr>
        <w:footnoteReference w:id="17"/>
      </w:r>
      <w:r w:rsidRPr="00D5652A">
        <w:rPr>
          <w:rFonts w:ascii="Arial" w:hAnsi="Arial" w:cs="Arial"/>
          <w:sz w:val="24"/>
          <w:szCs w:val="24"/>
        </w:rPr>
        <w:t xml:space="preserve"> with reference to joinder of necessity and non-joinder of a party, stated that a court could, even on appeal, </w:t>
      </w:r>
      <w:proofErr w:type="spellStart"/>
      <w:r w:rsidR="00FA67F4" w:rsidRPr="00FA67F4">
        <w:rPr>
          <w:rFonts w:ascii="Arial" w:hAnsi="Arial" w:cs="Arial"/>
          <w:i/>
          <w:iCs/>
          <w:sz w:val="24"/>
          <w:szCs w:val="24"/>
        </w:rPr>
        <w:t>mero</w:t>
      </w:r>
      <w:proofErr w:type="spellEnd"/>
      <w:r w:rsidR="00FA67F4" w:rsidRPr="00FA67F4">
        <w:rPr>
          <w:rFonts w:ascii="Arial" w:hAnsi="Arial" w:cs="Arial"/>
          <w:i/>
          <w:iCs/>
          <w:sz w:val="24"/>
          <w:szCs w:val="24"/>
        </w:rPr>
        <w:t xml:space="preserve"> </w:t>
      </w:r>
      <w:proofErr w:type="spellStart"/>
      <w:r w:rsidR="00FA67F4" w:rsidRPr="00FA67F4">
        <w:rPr>
          <w:rFonts w:ascii="Arial" w:hAnsi="Arial" w:cs="Arial"/>
          <w:i/>
          <w:iCs/>
          <w:sz w:val="24"/>
          <w:szCs w:val="24"/>
        </w:rPr>
        <w:t>motu</w:t>
      </w:r>
      <w:proofErr w:type="spellEnd"/>
      <w:r w:rsidR="00FA67F4" w:rsidRPr="00FA67F4">
        <w:rPr>
          <w:rFonts w:ascii="Arial" w:hAnsi="Arial" w:cs="Arial"/>
          <w:sz w:val="24"/>
          <w:szCs w:val="24"/>
        </w:rPr>
        <w:t> </w:t>
      </w:r>
      <w:r w:rsidR="00E0274E">
        <w:rPr>
          <w:rFonts w:ascii="Arial" w:hAnsi="Arial" w:cs="Arial"/>
          <w:sz w:val="24"/>
          <w:szCs w:val="24"/>
        </w:rPr>
        <w:t>‘</w:t>
      </w:r>
      <w:r w:rsidR="00FA67F4" w:rsidRPr="00FA67F4">
        <w:rPr>
          <w:rFonts w:ascii="Arial" w:hAnsi="Arial" w:cs="Arial"/>
          <w:sz w:val="24"/>
          <w:szCs w:val="24"/>
        </w:rPr>
        <w:t>raise the question of non-joinder to safeguard the interests of third parties’</w:t>
      </w:r>
      <w:r w:rsidRPr="00FA67F4">
        <w:rPr>
          <w:rFonts w:ascii="Arial" w:hAnsi="Arial" w:cs="Arial"/>
          <w:sz w:val="24"/>
          <w:szCs w:val="24"/>
        </w:rPr>
        <w:t>.</w:t>
      </w:r>
      <w:r w:rsidRPr="00D5652A">
        <w:rPr>
          <w:rFonts w:ascii="Arial" w:hAnsi="Arial" w:cs="Arial"/>
          <w:sz w:val="24"/>
          <w:szCs w:val="24"/>
        </w:rPr>
        <w:t xml:space="preserve"> It further stated that ‘</w:t>
      </w:r>
      <w:r w:rsidR="00FA67F4">
        <w:rPr>
          <w:rFonts w:ascii="Arial" w:hAnsi="Arial" w:cs="Arial"/>
          <w:sz w:val="24"/>
          <w:szCs w:val="24"/>
        </w:rPr>
        <w:t>[t]</w:t>
      </w:r>
      <w:r w:rsidR="00FA67F4" w:rsidRPr="00FA67F4">
        <w:rPr>
          <w:rFonts w:ascii="Arial" w:hAnsi="Arial" w:cs="Arial"/>
          <w:sz w:val="24"/>
          <w:szCs w:val="24"/>
        </w:rPr>
        <w:t>he fact that the two parties before court desire the case to proceed in the absence of a third party cannot relieve the court from inquiring into the question whether the order it is asked to make may affect the third party</w:t>
      </w:r>
      <w:r w:rsidR="00FA67F4">
        <w:rPr>
          <w:rFonts w:ascii="Arial" w:hAnsi="Arial" w:cs="Arial"/>
          <w:sz w:val="24"/>
          <w:szCs w:val="24"/>
        </w:rPr>
        <w:t>’</w:t>
      </w:r>
      <w:r w:rsidRPr="00D5652A">
        <w:rPr>
          <w:rFonts w:ascii="Arial" w:hAnsi="Arial" w:cs="Arial"/>
          <w:sz w:val="24"/>
          <w:szCs w:val="24"/>
        </w:rPr>
        <w:t>.</w:t>
      </w:r>
      <w:r w:rsidR="00FA67F4">
        <w:rPr>
          <w:rStyle w:val="FootnoteReference"/>
          <w:rFonts w:ascii="Arial" w:hAnsi="Arial" w:cs="Arial"/>
          <w:sz w:val="24"/>
          <w:szCs w:val="24"/>
        </w:rPr>
        <w:footnoteReference w:id="18"/>
      </w:r>
    </w:p>
    <w:p w:rsidR="00390494" w:rsidRPr="00D5652A" w:rsidRDefault="00390494" w:rsidP="00D5652A">
      <w:pPr>
        <w:spacing w:after="0" w:line="360" w:lineRule="auto"/>
        <w:contextualSpacing/>
        <w:jc w:val="both"/>
        <w:rPr>
          <w:rFonts w:ascii="Arial" w:hAnsi="Arial" w:cs="Arial"/>
          <w:sz w:val="24"/>
          <w:szCs w:val="24"/>
        </w:rPr>
      </w:pPr>
    </w:p>
    <w:p w:rsidR="00390494" w:rsidRPr="00D5652A" w:rsidRDefault="00390494"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Buhle’s answer in reply to the issue of non-joinder has simply been that it cannot apply for the joinder of </w:t>
      </w:r>
      <w:r w:rsidR="005C4AA9" w:rsidRPr="00D5652A">
        <w:rPr>
          <w:rFonts w:ascii="Arial" w:hAnsi="Arial" w:cs="Arial"/>
          <w:sz w:val="24"/>
          <w:szCs w:val="24"/>
        </w:rPr>
        <w:t>Ecocycle and Vikela prior to</w:t>
      </w:r>
      <w:r w:rsidR="009A33E3">
        <w:rPr>
          <w:rFonts w:ascii="Arial" w:hAnsi="Arial" w:cs="Arial"/>
          <w:sz w:val="24"/>
          <w:szCs w:val="24"/>
        </w:rPr>
        <w:t xml:space="preserve"> </w:t>
      </w:r>
      <w:r w:rsidRPr="00D5652A">
        <w:rPr>
          <w:rFonts w:ascii="Arial" w:hAnsi="Arial" w:cs="Arial"/>
          <w:sz w:val="24"/>
          <w:szCs w:val="24"/>
        </w:rPr>
        <w:t xml:space="preserve">being granted leave to </w:t>
      </w:r>
      <w:proofErr w:type="gramStart"/>
      <w:r w:rsidRPr="00D5652A">
        <w:rPr>
          <w:rFonts w:ascii="Arial" w:hAnsi="Arial" w:cs="Arial"/>
          <w:sz w:val="24"/>
          <w:szCs w:val="24"/>
        </w:rPr>
        <w:t>intervene</w:t>
      </w:r>
      <w:r w:rsidR="004B393F">
        <w:rPr>
          <w:rFonts w:ascii="Arial" w:hAnsi="Arial" w:cs="Arial"/>
          <w:sz w:val="24"/>
          <w:szCs w:val="24"/>
        </w:rPr>
        <w:t>,</w:t>
      </w:r>
      <w:proofErr w:type="gramEnd"/>
      <w:r w:rsidRPr="00D5652A">
        <w:rPr>
          <w:rFonts w:ascii="Arial" w:hAnsi="Arial" w:cs="Arial"/>
          <w:sz w:val="24"/>
          <w:szCs w:val="24"/>
        </w:rPr>
        <w:t xml:space="preserve"> and that in terms of Uniform </w:t>
      </w:r>
      <w:r w:rsidR="004B393F" w:rsidRPr="00D5652A">
        <w:rPr>
          <w:rFonts w:ascii="Arial" w:hAnsi="Arial" w:cs="Arial"/>
          <w:sz w:val="24"/>
          <w:szCs w:val="24"/>
        </w:rPr>
        <w:t xml:space="preserve">rule </w:t>
      </w:r>
      <w:r w:rsidRPr="00D5652A">
        <w:rPr>
          <w:rFonts w:ascii="Arial" w:hAnsi="Arial" w:cs="Arial"/>
          <w:sz w:val="24"/>
          <w:szCs w:val="24"/>
        </w:rPr>
        <w:t>12 it is only required to give notice to the parties to the review application, which it h</w:t>
      </w:r>
      <w:r w:rsidR="00B258AE">
        <w:rPr>
          <w:rFonts w:ascii="Arial" w:hAnsi="Arial" w:cs="Arial"/>
          <w:sz w:val="24"/>
          <w:szCs w:val="24"/>
        </w:rPr>
        <w:t>as done. It is</w:t>
      </w:r>
      <w:r w:rsidRPr="00D5652A">
        <w:rPr>
          <w:rFonts w:ascii="Arial" w:hAnsi="Arial" w:cs="Arial"/>
          <w:sz w:val="24"/>
          <w:szCs w:val="24"/>
        </w:rPr>
        <w:t xml:space="preserve"> clear that Buhle gave no notice</w:t>
      </w:r>
      <w:r w:rsidR="005C4AA9" w:rsidRPr="00D5652A">
        <w:rPr>
          <w:rFonts w:ascii="Arial" w:hAnsi="Arial" w:cs="Arial"/>
          <w:sz w:val="24"/>
          <w:szCs w:val="24"/>
        </w:rPr>
        <w:t xml:space="preserve"> of the intervention</w:t>
      </w:r>
      <w:r w:rsidR="009A33E3">
        <w:rPr>
          <w:rFonts w:ascii="Arial" w:hAnsi="Arial" w:cs="Arial"/>
          <w:sz w:val="24"/>
          <w:szCs w:val="24"/>
        </w:rPr>
        <w:t xml:space="preserve"> </w:t>
      </w:r>
      <w:r w:rsidR="005C4AA9" w:rsidRPr="00D5652A">
        <w:rPr>
          <w:rFonts w:ascii="Arial" w:hAnsi="Arial" w:cs="Arial"/>
          <w:sz w:val="24"/>
          <w:szCs w:val="24"/>
        </w:rPr>
        <w:t>application</w:t>
      </w:r>
      <w:r w:rsidR="009A33E3">
        <w:rPr>
          <w:rFonts w:ascii="Arial" w:hAnsi="Arial" w:cs="Arial"/>
          <w:sz w:val="24"/>
          <w:szCs w:val="24"/>
        </w:rPr>
        <w:t xml:space="preserve"> </w:t>
      </w:r>
      <w:r w:rsidRPr="00D5652A">
        <w:rPr>
          <w:rFonts w:ascii="Arial" w:hAnsi="Arial" w:cs="Arial"/>
          <w:sz w:val="24"/>
          <w:szCs w:val="24"/>
        </w:rPr>
        <w:t>to Ecocycle and Vikela. It is also clear from the papers that despite the issue of non-joinder being raised by Makhathini, Buhle did not see it fit to at least give</w:t>
      </w:r>
      <w:r w:rsidR="005C4AA9" w:rsidRPr="00D5652A">
        <w:rPr>
          <w:rFonts w:ascii="Arial" w:hAnsi="Arial" w:cs="Arial"/>
          <w:sz w:val="24"/>
          <w:szCs w:val="24"/>
        </w:rPr>
        <w:t xml:space="preserve"> some</w:t>
      </w:r>
      <w:r w:rsidRPr="00D5652A">
        <w:rPr>
          <w:rFonts w:ascii="Arial" w:hAnsi="Arial" w:cs="Arial"/>
          <w:sz w:val="24"/>
          <w:szCs w:val="24"/>
        </w:rPr>
        <w:t xml:space="preserve"> notice of the application to Ecocy</w:t>
      </w:r>
      <w:r w:rsidR="005C4AA9" w:rsidRPr="00D5652A">
        <w:rPr>
          <w:rFonts w:ascii="Arial" w:hAnsi="Arial" w:cs="Arial"/>
          <w:sz w:val="24"/>
          <w:szCs w:val="24"/>
        </w:rPr>
        <w:t>cle and Vikela, even on an informal basis.</w:t>
      </w:r>
      <w:r w:rsidRPr="00D5652A">
        <w:rPr>
          <w:rFonts w:ascii="Arial" w:hAnsi="Arial" w:cs="Arial"/>
          <w:sz w:val="24"/>
          <w:szCs w:val="24"/>
        </w:rPr>
        <w:t xml:space="preserve"> </w:t>
      </w:r>
    </w:p>
    <w:p w:rsidR="00390494" w:rsidRPr="00D5652A" w:rsidRDefault="00390494" w:rsidP="00D5652A">
      <w:pPr>
        <w:spacing w:after="0" w:line="360" w:lineRule="auto"/>
        <w:contextualSpacing/>
        <w:jc w:val="both"/>
        <w:rPr>
          <w:rFonts w:ascii="Arial" w:hAnsi="Arial" w:cs="Arial"/>
          <w:sz w:val="24"/>
          <w:szCs w:val="24"/>
        </w:rPr>
      </w:pPr>
    </w:p>
    <w:p w:rsidR="00390494" w:rsidRPr="00D5652A" w:rsidRDefault="00390494"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There can be no doubt that the order granting Buhle leave to intervene and the accompanying relief it intends seeking in the review application, will have the effect of prejudicing </w:t>
      </w:r>
      <w:proofErr w:type="spellStart"/>
      <w:r w:rsidRPr="00D5652A">
        <w:rPr>
          <w:rFonts w:ascii="Arial" w:hAnsi="Arial" w:cs="Arial"/>
          <w:sz w:val="24"/>
          <w:szCs w:val="24"/>
        </w:rPr>
        <w:t>Ecocycle</w:t>
      </w:r>
      <w:r w:rsidR="00E0274E">
        <w:rPr>
          <w:rFonts w:ascii="Arial" w:hAnsi="Arial" w:cs="Arial"/>
          <w:sz w:val="24"/>
          <w:szCs w:val="24"/>
        </w:rPr>
        <w:t>’s</w:t>
      </w:r>
      <w:proofErr w:type="spellEnd"/>
      <w:r w:rsidRPr="00D5652A">
        <w:rPr>
          <w:rFonts w:ascii="Arial" w:hAnsi="Arial" w:cs="Arial"/>
          <w:sz w:val="24"/>
          <w:szCs w:val="24"/>
        </w:rPr>
        <w:t xml:space="preserve"> and Vikela’s</w:t>
      </w:r>
      <w:r w:rsidR="009A33E3">
        <w:rPr>
          <w:rFonts w:ascii="Arial" w:hAnsi="Arial" w:cs="Arial"/>
          <w:sz w:val="24"/>
          <w:szCs w:val="24"/>
        </w:rPr>
        <w:t xml:space="preserve"> </w:t>
      </w:r>
      <w:r w:rsidRPr="00D5652A">
        <w:rPr>
          <w:rFonts w:ascii="Arial" w:hAnsi="Arial" w:cs="Arial"/>
          <w:sz w:val="24"/>
          <w:szCs w:val="24"/>
        </w:rPr>
        <w:t>interests. They clearly would have a direct and substantial interest in the subject matter of the litigation. If Buhle is granted leave to intervene they are drawn into a review application of significant proportions. They have not been afforded an opportunity to make submissions on the merits of the intervention application, the outcome of which could have a significant impact on them. I will return to this issue should it be necessary.</w:t>
      </w:r>
    </w:p>
    <w:p w:rsidR="00390494" w:rsidRPr="00D5652A" w:rsidRDefault="00390494" w:rsidP="00D5652A">
      <w:pPr>
        <w:spacing w:after="0" w:line="360" w:lineRule="auto"/>
        <w:contextualSpacing/>
        <w:jc w:val="both"/>
        <w:rPr>
          <w:rFonts w:ascii="Arial" w:hAnsi="Arial" w:cs="Arial"/>
          <w:sz w:val="24"/>
          <w:szCs w:val="24"/>
        </w:rPr>
      </w:pPr>
    </w:p>
    <w:p w:rsidR="00390494" w:rsidRPr="00D5652A" w:rsidRDefault="00390494" w:rsidP="00D5652A">
      <w:pPr>
        <w:pStyle w:val="ListParagraph"/>
        <w:spacing w:after="0" w:line="360" w:lineRule="auto"/>
        <w:ind w:left="0"/>
        <w:jc w:val="both"/>
        <w:rPr>
          <w:rFonts w:ascii="Arial" w:hAnsi="Arial" w:cs="Arial"/>
          <w:b/>
          <w:sz w:val="24"/>
          <w:szCs w:val="24"/>
        </w:rPr>
      </w:pPr>
      <w:r w:rsidRPr="00D5652A">
        <w:rPr>
          <w:rFonts w:ascii="Arial" w:hAnsi="Arial" w:cs="Arial"/>
          <w:b/>
          <w:sz w:val="24"/>
          <w:szCs w:val="24"/>
        </w:rPr>
        <w:t>Buhle</w:t>
      </w:r>
      <w:r w:rsidR="004B393F">
        <w:rPr>
          <w:rFonts w:ascii="Arial" w:hAnsi="Arial" w:cs="Arial"/>
          <w:b/>
          <w:sz w:val="24"/>
          <w:szCs w:val="24"/>
        </w:rPr>
        <w:t>’</w:t>
      </w:r>
      <w:r w:rsidRPr="00D5652A">
        <w:rPr>
          <w:rFonts w:ascii="Arial" w:hAnsi="Arial" w:cs="Arial"/>
          <w:b/>
          <w:sz w:val="24"/>
          <w:szCs w:val="24"/>
        </w:rPr>
        <w:t xml:space="preserve">s </w:t>
      </w:r>
      <w:r w:rsidR="004B393F" w:rsidRPr="00D5652A">
        <w:rPr>
          <w:rFonts w:ascii="Arial" w:hAnsi="Arial" w:cs="Arial"/>
          <w:b/>
          <w:sz w:val="24"/>
          <w:szCs w:val="24"/>
        </w:rPr>
        <w:t>submissions</w:t>
      </w:r>
    </w:p>
    <w:p w:rsidR="00390494" w:rsidRPr="00D5652A" w:rsidRDefault="00390494"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All counsel involved are thanked for their comprehensive heads of argument and helpful submissions during the hearing. </w:t>
      </w:r>
    </w:p>
    <w:p w:rsidR="00390494" w:rsidRPr="00D5652A" w:rsidRDefault="00390494" w:rsidP="00D5652A">
      <w:pPr>
        <w:spacing w:after="0" w:line="360" w:lineRule="auto"/>
        <w:contextualSpacing/>
        <w:jc w:val="both"/>
        <w:rPr>
          <w:rFonts w:ascii="Arial" w:hAnsi="Arial" w:cs="Arial"/>
          <w:sz w:val="24"/>
          <w:szCs w:val="24"/>
        </w:rPr>
      </w:pPr>
    </w:p>
    <w:p w:rsidR="009E4770" w:rsidRPr="00D5652A" w:rsidRDefault="00390494"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It was submitted on behalf of Buhle that it has a direct and substantial interest in the relief being sought in</w:t>
      </w:r>
      <w:r w:rsidR="00300705" w:rsidRPr="00D5652A">
        <w:rPr>
          <w:rFonts w:ascii="Arial" w:hAnsi="Arial" w:cs="Arial"/>
          <w:sz w:val="24"/>
          <w:szCs w:val="24"/>
        </w:rPr>
        <w:t xml:space="preserve"> the review application</w:t>
      </w:r>
      <w:r w:rsidR="006D6776">
        <w:rPr>
          <w:rFonts w:ascii="Arial" w:hAnsi="Arial" w:cs="Arial"/>
          <w:sz w:val="24"/>
          <w:szCs w:val="24"/>
        </w:rPr>
        <w:t>,</w:t>
      </w:r>
      <w:r w:rsidR="00300705" w:rsidRPr="00D5652A">
        <w:rPr>
          <w:rFonts w:ascii="Arial" w:hAnsi="Arial" w:cs="Arial"/>
          <w:sz w:val="24"/>
          <w:szCs w:val="24"/>
        </w:rPr>
        <w:t xml:space="preserve"> and as a</w:t>
      </w:r>
      <w:r w:rsidRPr="00D5652A">
        <w:rPr>
          <w:rFonts w:ascii="Arial" w:hAnsi="Arial" w:cs="Arial"/>
          <w:sz w:val="24"/>
          <w:szCs w:val="24"/>
        </w:rPr>
        <w:t>n unsuccessful tenderer it has a right to p</w:t>
      </w:r>
      <w:r w:rsidR="009E4770" w:rsidRPr="00D5652A">
        <w:rPr>
          <w:rFonts w:ascii="Arial" w:hAnsi="Arial" w:cs="Arial"/>
          <w:sz w:val="24"/>
          <w:szCs w:val="24"/>
        </w:rPr>
        <w:t xml:space="preserve">articipate in the review application. Reliance was placed on </w:t>
      </w:r>
      <w:r w:rsidR="009E4770" w:rsidRPr="00FF356A">
        <w:rPr>
          <w:rFonts w:ascii="Arial" w:hAnsi="Arial" w:cs="Arial"/>
          <w:i/>
          <w:sz w:val="24"/>
          <w:szCs w:val="24"/>
        </w:rPr>
        <w:t xml:space="preserve">WDR Earthmoving Enterprises and another v Joe </w:t>
      </w:r>
      <w:proofErr w:type="spellStart"/>
      <w:r w:rsidR="009E4770" w:rsidRPr="00FF356A">
        <w:rPr>
          <w:rFonts w:ascii="Arial" w:hAnsi="Arial" w:cs="Arial"/>
          <w:i/>
          <w:sz w:val="24"/>
          <w:szCs w:val="24"/>
        </w:rPr>
        <w:t>Gqabi</w:t>
      </w:r>
      <w:proofErr w:type="spellEnd"/>
      <w:r w:rsidR="009E4770" w:rsidRPr="00FF356A">
        <w:rPr>
          <w:rFonts w:ascii="Arial" w:hAnsi="Arial" w:cs="Arial"/>
          <w:i/>
          <w:sz w:val="24"/>
          <w:szCs w:val="24"/>
        </w:rPr>
        <w:t xml:space="preserve"> District</w:t>
      </w:r>
      <w:r w:rsidR="005C4AA9" w:rsidRPr="00FF356A">
        <w:rPr>
          <w:rFonts w:ascii="Arial" w:hAnsi="Arial" w:cs="Arial"/>
          <w:i/>
          <w:sz w:val="24"/>
          <w:szCs w:val="24"/>
        </w:rPr>
        <w:t xml:space="preserve"> Municipality and others</w:t>
      </w:r>
      <w:r w:rsidR="00930A59">
        <w:rPr>
          <w:rStyle w:val="FootnoteReference"/>
          <w:rFonts w:ascii="Arial" w:hAnsi="Arial" w:cs="Arial"/>
          <w:sz w:val="24"/>
          <w:szCs w:val="24"/>
        </w:rPr>
        <w:footnoteReference w:id="19"/>
      </w:r>
      <w:r w:rsidR="005C4AA9" w:rsidRPr="00D5652A">
        <w:rPr>
          <w:rFonts w:ascii="Arial" w:hAnsi="Arial" w:cs="Arial"/>
          <w:sz w:val="24"/>
          <w:szCs w:val="24"/>
        </w:rPr>
        <w:t xml:space="preserve"> and </w:t>
      </w:r>
      <w:r w:rsidR="005C4AA9" w:rsidRPr="00270E4A">
        <w:rPr>
          <w:rFonts w:ascii="Arial" w:hAnsi="Arial" w:cs="Arial"/>
          <w:i/>
          <w:sz w:val="24"/>
          <w:szCs w:val="24"/>
        </w:rPr>
        <w:t>Giant C</w:t>
      </w:r>
      <w:r w:rsidR="009E4770" w:rsidRPr="00270E4A">
        <w:rPr>
          <w:rFonts w:ascii="Arial" w:hAnsi="Arial" w:cs="Arial"/>
          <w:i/>
          <w:sz w:val="24"/>
          <w:szCs w:val="24"/>
        </w:rPr>
        <w:t xml:space="preserve">oncerts CC v </w:t>
      </w:r>
      <w:proofErr w:type="spellStart"/>
      <w:r w:rsidR="009E4770" w:rsidRPr="00270E4A">
        <w:rPr>
          <w:rFonts w:ascii="Arial" w:hAnsi="Arial" w:cs="Arial"/>
          <w:i/>
          <w:sz w:val="24"/>
          <w:szCs w:val="24"/>
        </w:rPr>
        <w:t>Rinaldo</w:t>
      </w:r>
      <w:proofErr w:type="spellEnd"/>
      <w:r w:rsidR="009E4770" w:rsidRPr="00270E4A">
        <w:rPr>
          <w:rFonts w:ascii="Arial" w:hAnsi="Arial" w:cs="Arial"/>
          <w:i/>
          <w:sz w:val="24"/>
          <w:szCs w:val="24"/>
        </w:rPr>
        <w:t xml:space="preserve"> Investments</w:t>
      </w:r>
      <w:r w:rsidR="000C3662" w:rsidRPr="00270E4A">
        <w:rPr>
          <w:rFonts w:ascii="Arial" w:hAnsi="Arial" w:cs="Arial"/>
          <w:i/>
          <w:sz w:val="24"/>
          <w:szCs w:val="24"/>
        </w:rPr>
        <w:t xml:space="preserve"> (Pty) Ltd and others</w:t>
      </w:r>
      <w:r w:rsidR="00930A59">
        <w:rPr>
          <w:rStyle w:val="FootnoteReference"/>
          <w:rFonts w:ascii="Arial" w:hAnsi="Arial" w:cs="Arial"/>
          <w:sz w:val="24"/>
          <w:szCs w:val="24"/>
        </w:rPr>
        <w:footnoteReference w:id="20"/>
      </w:r>
      <w:r w:rsidR="009E4770" w:rsidRPr="00D5652A">
        <w:rPr>
          <w:rFonts w:ascii="Arial" w:hAnsi="Arial" w:cs="Arial"/>
          <w:sz w:val="24"/>
          <w:szCs w:val="24"/>
        </w:rPr>
        <w:t xml:space="preserve"> for its submission that it had standing and therefore a right to participate in the review.</w:t>
      </w:r>
    </w:p>
    <w:p w:rsidR="009E4770" w:rsidRPr="00D5652A" w:rsidRDefault="009E4770" w:rsidP="00D5652A">
      <w:pPr>
        <w:spacing w:after="0" w:line="360" w:lineRule="auto"/>
        <w:contextualSpacing/>
        <w:jc w:val="both"/>
        <w:rPr>
          <w:rFonts w:ascii="Arial" w:hAnsi="Arial" w:cs="Arial"/>
          <w:sz w:val="24"/>
          <w:szCs w:val="24"/>
        </w:rPr>
      </w:pPr>
    </w:p>
    <w:p w:rsidR="009E4770" w:rsidRPr="00D5652A" w:rsidRDefault="009E4770"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In </w:t>
      </w:r>
      <w:r w:rsidRPr="00270E4A">
        <w:rPr>
          <w:rFonts w:ascii="Arial" w:hAnsi="Arial" w:cs="Arial"/>
          <w:i/>
          <w:sz w:val="24"/>
          <w:szCs w:val="24"/>
        </w:rPr>
        <w:t>WDR Earthmoving</w:t>
      </w:r>
      <w:r w:rsidRPr="00D5652A">
        <w:rPr>
          <w:rFonts w:ascii="Arial" w:hAnsi="Arial" w:cs="Arial"/>
          <w:sz w:val="24"/>
          <w:szCs w:val="24"/>
        </w:rPr>
        <w:t xml:space="preserve"> the court had to determine inter alia whether the appellants had standing to seek the review and the setting aside of a declaration that a party’s tender offer was responsive. The full court had previously held that the appellants lacked standing. With reference to </w:t>
      </w:r>
      <w:r w:rsidRPr="004A32B9">
        <w:rPr>
          <w:rFonts w:ascii="Arial" w:hAnsi="Arial" w:cs="Arial"/>
          <w:i/>
          <w:sz w:val="24"/>
          <w:szCs w:val="24"/>
        </w:rPr>
        <w:t>Giant Concerts</w:t>
      </w:r>
      <w:r w:rsidRPr="00D5652A">
        <w:rPr>
          <w:rFonts w:ascii="Arial" w:hAnsi="Arial" w:cs="Arial"/>
          <w:sz w:val="24"/>
          <w:szCs w:val="24"/>
        </w:rPr>
        <w:t>, Swain JA</w:t>
      </w:r>
      <w:r w:rsidR="00F24C90">
        <w:rPr>
          <w:rFonts w:ascii="Arial" w:hAnsi="Arial" w:cs="Arial"/>
          <w:sz w:val="24"/>
          <w:szCs w:val="24"/>
        </w:rPr>
        <w:t xml:space="preserve"> in </w:t>
      </w:r>
      <w:r w:rsidR="00F24C90" w:rsidRPr="00270E4A">
        <w:rPr>
          <w:rFonts w:ascii="Arial" w:hAnsi="Arial" w:cs="Arial"/>
          <w:i/>
          <w:sz w:val="24"/>
          <w:szCs w:val="24"/>
        </w:rPr>
        <w:t>WDR Earthmoving</w:t>
      </w:r>
      <w:r w:rsidRPr="00D5652A">
        <w:rPr>
          <w:rFonts w:ascii="Arial" w:hAnsi="Arial" w:cs="Arial"/>
          <w:sz w:val="24"/>
          <w:szCs w:val="24"/>
        </w:rPr>
        <w:t xml:space="preserve"> held as follows:</w:t>
      </w:r>
    </w:p>
    <w:p w:rsidR="004A32B9" w:rsidRPr="004A32B9" w:rsidRDefault="004A32B9" w:rsidP="004A32B9">
      <w:pPr>
        <w:pStyle w:val="NormalWeb"/>
        <w:shd w:val="clear" w:color="auto" w:fill="FFFFFF"/>
        <w:spacing w:after="0" w:line="360" w:lineRule="auto"/>
        <w:contextualSpacing/>
        <w:jc w:val="both"/>
        <w:rPr>
          <w:rFonts w:ascii="Arial" w:eastAsia="Times New Roman" w:hAnsi="Arial" w:cs="Arial"/>
          <w:color w:val="242121"/>
          <w:sz w:val="22"/>
          <w:szCs w:val="22"/>
        </w:rPr>
      </w:pPr>
      <w:r w:rsidRPr="004A32B9">
        <w:rPr>
          <w:rFonts w:ascii="Arial" w:hAnsi="Arial" w:cs="Arial"/>
          <w:sz w:val="22"/>
          <w:szCs w:val="22"/>
        </w:rPr>
        <w:t>‘</w:t>
      </w:r>
      <w:r w:rsidRPr="004A32B9">
        <w:rPr>
          <w:rFonts w:ascii="Arial" w:eastAsia="Times New Roman" w:hAnsi="Arial" w:cs="Arial"/>
          <w:color w:val="242121"/>
          <w:sz w:val="22"/>
          <w:szCs w:val="22"/>
        </w:rPr>
        <w:t>[14] The Constitutional Court added, at para 32, that in determining a litigant's standing:</w:t>
      </w:r>
    </w:p>
    <w:p w:rsidR="004A32B9" w:rsidRPr="004A32B9" w:rsidRDefault="004A32B9" w:rsidP="004A32B9">
      <w:pPr>
        <w:shd w:val="clear" w:color="auto" w:fill="FFFFFF"/>
        <w:spacing w:after="0" w:line="360" w:lineRule="auto"/>
        <w:ind w:left="720"/>
        <w:contextualSpacing/>
        <w:jc w:val="both"/>
        <w:rPr>
          <w:rFonts w:ascii="Arial" w:eastAsia="Times New Roman" w:hAnsi="Arial" w:cs="Arial"/>
          <w:color w:val="242121"/>
        </w:rPr>
      </w:pPr>
      <w:r w:rsidRPr="004A32B9">
        <w:rPr>
          <w:rFonts w:ascii="Arial" w:eastAsia="Times New Roman" w:hAnsi="Arial" w:cs="Arial"/>
          <w:color w:val="242121"/>
        </w:rPr>
        <w:t xml:space="preserve">“. . . </w:t>
      </w:r>
      <w:proofErr w:type="gramStart"/>
      <w:r w:rsidRPr="004A32B9">
        <w:rPr>
          <w:rFonts w:ascii="Arial" w:eastAsia="Times New Roman" w:hAnsi="Arial" w:cs="Arial"/>
          <w:color w:val="242121"/>
        </w:rPr>
        <w:t>we</w:t>
      </w:r>
      <w:proofErr w:type="gramEnd"/>
      <w:r w:rsidRPr="004A32B9">
        <w:rPr>
          <w:rFonts w:ascii="Arial" w:eastAsia="Times New Roman" w:hAnsi="Arial" w:cs="Arial"/>
          <w:color w:val="242121"/>
        </w:rPr>
        <w:t xml:space="preserve"> must assume that its complaints about the lawfulness of the transaction are correct. This is because in determining a litigant’s standing, a court must, as a matter of logic, assume that the challenge the litigant seeks to bring is justified.”</w:t>
      </w:r>
    </w:p>
    <w:p w:rsidR="004A32B9" w:rsidRPr="004A32B9" w:rsidRDefault="004A32B9" w:rsidP="004A32B9">
      <w:pPr>
        <w:shd w:val="clear" w:color="auto" w:fill="FFFFFF"/>
        <w:spacing w:after="0" w:line="360" w:lineRule="auto"/>
        <w:contextualSpacing/>
        <w:jc w:val="both"/>
        <w:rPr>
          <w:rFonts w:ascii="Arial" w:eastAsia="Times New Roman" w:hAnsi="Arial" w:cs="Arial"/>
          <w:color w:val="242121"/>
        </w:rPr>
      </w:pPr>
      <w:r w:rsidRPr="004A32B9">
        <w:rPr>
          <w:rFonts w:ascii="Arial" w:eastAsia="Times New Roman" w:hAnsi="Arial" w:cs="Arial"/>
          <w:color w:val="242121"/>
        </w:rPr>
        <w:t>It summarised the position at para 43, in the following terms:</w:t>
      </w:r>
    </w:p>
    <w:p w:rsidR="004A32B9" w:rsidRPr="004A32B9" w:rsidRDefault="004A32B9" w:rsidP="004A32B9">
      <w:pPr>
        <w:shd w:val="clear" w:color="auto" w:fill="FFFFFF"/>
        <w:spacing w:after="0" w:line="360" w:lineRule="auto"/>
        <w:ind w:left="720"/>
        <w:contextualSpacing/>
        <w:jc w:val="both"/>
        <w:rPr>
          <w:rFonts w:ascii="Arial" w:eastAsia="Times New Roman" w:hAnsi="Arial" w:cs="Arial"/>
          <w:color w:val="242121"/>
        </w:rPr>
      </w:pPr>
      <w:r w:rsidRPr="004A32B9">
        <w:rPr>
          <w:rFonts w:ascii="Arial" w:eastAsia="Times New Roman" w:hAnsi="Arial" w:cs="Arial"/>
          <w:color w:val="242121"/>
        </w:rPr>
        <w:t>“The own-interest litigant must, therefore, demonstrate that his or her interests or potential interests are directly affected by the unlawfulness sought to be impugned.”</w:t>
      </w:r>
    </w:p>
    <w:p w:rsidR="004A32B9" w:rsidRPr="004A32B9" w:rsidRDefault="004A32B9" w:rsidP="004A32B9">
      <w:pPr>
        <w:shd w:val="clear" w:color="auto" w:fill="FFFFFF"/>
        <w:spacing w:after="0" w:line="360" w:lineRule="auto"/>
        <w:contextualSpacing/>
        <w:jc w:val="both"/>
        <w:rPr>
          <w:rFonts w:ascii="Arial" w:eastAsia="Times New Roman" w:hAnsi="Arial" w:cs="Arial"/>
          <w:color w:val="242121"/>
        </w:rPr>
      </w:pPr>
      <w:r w:rsidRPr="004A32B9">
        <w:rPr>
          <w:rFonts w:ascii="Arial" w:eastAsia="Times New Roman" w:hAnsi="Arial" w:cs="Arial"/>
          <w:color w:val="242121"/>
        </w:rPr>
        <w:t>[15] The standing of the appellants has to be determined by considering whether the award of the tender to the fourth respondent would have a direct effect upon the interests, or potential interests of the appellants, without regard to whether the decision was valid or not. It has to be assumed that the challenge the appellants wish to bring is justified.</w:t>
      </w:r>
    </w:p>
    <w:p w:rsidR="004A32B9" w:rsidRPr="004A32B9" w:rsidRDefault="004A32B9" w:rsidP="004A32B9">
      <w:pPr>
        <w:shd w:val="clear" w:color="auto" w:fill="FFFFFF"/>
        <w:spacing w:after="0" w:line="360" w:lineRule="auto"/>
        <w:contextualSpacing/>
        <w:jc w:val="both"/>
        <w:rPr>
          <w:rFonts w:ascii="Arial" w:hAnsi="Arial" w:cs="Arial"/>
        </w:rPr>
      </w:pPr>
      <w:r w:rsidRPr="004A32B9">
        <w:rPr>
          <w:rFonts w:ascii="Arial" w:eastAsia="Times New Roman" w:hAnsi="Arial" w:cs="Arial"/>
          <w:color w:val="242121"/>
        </w:rPr>
        <w:t xml:space="preserve">[16] I agree with the submission by the appellants that a declaration that a decision on whether the fourth respondent's tender offer was non-responsive, would directly affect their rights. In the event of a decision against the fourth respondent, the tender process would have to be re-commenced as the only responsive tender offers were those of the appellants and the fourth respondent. The appellants and the fourth respondent together with any other interested </w:t>
      </w:r>
      <w:proofErr w:type="gramStart"/>
      <w:r w:rsidRPr="004A32B9">
        <w:rPr>
          <w:rFonts w:ascii="Arial" w:eastAsia="Times New Roman" w:hAnsi="Arial" w:cs="Arial"/>
          <w:color w:val="242121"/>
        </w:rPr>
        <w:t>parties,</w:t>
      </w:r>
      <w:proofErr w:type="gramEnd"/>
      <w:r w:rsidRPr="004A32B9">
        <w:rPr>
          <w:rFonts w:ascii="Arial" w:eastAsia="Times New Roman" w:hAnsi="Arial" w:cs="Arial"/>
          <w:color w:val="242121"/>
        </w:rPr>
        <w:t xml:space="preserve"> would then be entitled to compete for the tender. The appellants therefore have standing to seek the review and setting aside of the declaration of the fourth respondent's tender offer as responsive, as also the award of the tender to the fourth respondent.’</w:t>
      </w:r>
    </w:p>
    <w:p w:rsidR="00596181" w:rsidRPr="00D5652A" w:rsidRDefault="00596181" w:rsidP="00D5652A">
      <w:pPr>
        <w:spacing w:after="0" w:line="360" w:lineRule="auto"/>
        <w:contextualSpacing/>
        <w:jc w:val="both"/>
        <w:rPr>
          <w:rFonts w:ascii="Arial" w:hAnsi="Arial" w:cs="Arial"/>
          <w:sz w:val="24"/>
          <w:szCs w:val="24"/>
        </w:rPr>
      </w:pPr>
    </w:p>
    <w:p w:rsidR="00596181" w:rsidRPr="00D5652A" w:rsidRDefault="006D3139"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The court ultimately held that the full court had erred in concluding that </w:t>
      </w:r>
      <w:r w:rsidR="0051247F" w:rsidRPr="00D5652A">
        <w:rPr>
          <w:rFonts w:ascii="Arial" w:hAnsi="Arial" w:cs="Arial"/>
          <w:sz w:val="24"/>
          <w:szCs w:val="24"/>
        </w:rPr>
        <w:t xml:space="preserve">the standing of the appellants to challenge the award was determined by the finding that the appellant’s bid was non-responsive. </w:t>
      </w:r>
    </w:p>
    <w:p w:rsidR="0051247F" w:rsidRPr="00D5652A" w:rsidRDefault="0051247F" w:rsidP="00D5652A">
      <w:pPr>
        <w:spacing w:after="0" w:line="360" w:lineRule="auto"/>
        <w:contextualSpacing/>
        <w:jc w:val="both"/>
        <w:rPr>
          <w:rFonts w:ascii="Arial" w:hAnsi="Arial" w:cs="Arial"/>
          <w:sz w:val="24"/>
          <w:szCs w:val="24"/>
        </w:rPr>
      </w:pPr>
    </w:p>
    <w:p w:rsidR="00D819C7" w:rsidRPr="00D5652A" w:rsidRDefault="00D819C7" w:rsidP="00E546B1">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In </w:t>
      </w:r>
      <w:r w:rsidRPr="00974937">
        <w:rPr>
          <w:rFonts w:ascii="Arial" w:hAnsi="Arial" w:cs="Arial"/>
          <w:i/>
          <w:sz w:val="24"/>
          <w:szCs w:val="24"/>
        </w:rPr>
        <w:t>Gian</w:t>
      </w:r>
      <w:r w:rsidR="0051247F" w:rsidRPr="00974937">
        <w:rPr>
          <w:rFonts w:ascii="Arial" w:hAnsi="Arial" w:cs="Arial"/>
          <w:i/>
          <w:sz w:val="24"/>
          <w:szCs w:val="24"/>
        </w:rPr>
        <w:t>t Concerts</w:t>
      </w:r>
      <w:r w:rsidR="0051247F" w:rsidRPr="00D5652A">
        <w:rPr>
          <w:rFonts w:ascii="Arial" w:hAnsi="Arial" w:cs="Arial"/>
          <w:sz w:val="24"/>
          <w:szCs w:val="24"/>
        </w:rPr>
        <w:t xml:space="preserve"> Cameron J held </w:t>
      </w:r>
      <w:r w:rsidR="00E546B1">
        <w:rPr>
          <w:rFonts w:ascii="Arial" w:hAnsi="Arial" w:cs="Arial"/>
          <w:sz w:val="24"/>
          <w:szCs w:val="24"/>
        </w:rPr>
        <w:t>that</w:t>
      </w:r>
      <w:r w:rsidRPr="00D5652A">
        <w:rPr>
          <w:rFonts w:ascii="Arial" w:hAnsi="Arial" w:cs="Arial"/>
          <w:sz w:val="24"/>
          <w:szCs w:val="24"/>
        </w:rPr>
        <w:t>:</w:t>
      </w:r>
    </w:p>
    <w:p w:rsidR="004A32B9" w:rsidRPr="004A32B9" w:rsidRDefault="00D819C7" w:rsidP="004A32B9">
      <w:pPr>
        <w:pStyle w:val="ListParagraph"/>
        <w:spacing w:after="0" w:line="360" w:lineRule="auto"/>
        <w:ind w:left="0"/>
        <w:jc w:val="both"/>
        <w:rPr>
          <w:rFonts w:ascii="Arial" w:hAnsi="Arial" w:cs="Arial"/>
          <w:szCs w:val="24"/>
        </w:rPr>
      </w:pPr>
      <w:r w:rsidRPr="004A32B9">
        <w:rPr>
          <w:rFonts w:ascii="Arial" w:hAnsi="Arial" w:cs="Arial"/>
          <w:szCs w:val="24"/>
        </w:rPr>
        <w:t>‘</w:t>
      </w:r>
      <w:r w:rsidR="004A32B9" w:rsidRPr="004A32B9">
        <w:rPr>
          <w:rFonts w:ascii="Arial" w:hAnsi="Arial" w:cs="Arial"/>
          <w:szCs w:val="24"/>
        </w:rPr>
        <w:t>[33] The separation of the merits from the question of standing has two implications for the own-interest litigant. First, it signals that the nature of the interest that confers standing on the own-interest litigant is insulated from the merits of the challenge he or she seeks to bring. An own-interest litigant does not acquire standing from the invalidity of the challenged decision or law, but from the effect it will have on his or her interests or potential interests. He or she has standing to bring the challenge even if the decision or law is in fact valid. But the interests that confer standing to bring the challenge, and the impact the decision or law has on them, must be demonstrated.</w:t>
      </w:r>
    </w:p>
    <w:p w:rsidR="004A32B9" w:rsidRPr="004A32B9" w:rsidRDefault="004A32B9" w:rsidP="004A32B9">
      <w:pPr>
        <w:pStyle w:val="ListParagraph"/>
        <w:spacing w:after="0" w:line="360" w:lineRule="auto"/>
        <w:ind w:left="0"/>
        <w:jc w:val="both"/>
        <w:rPr>
          <w:rFonts w:ascii="Arial" w:hAnsi="Arial" w:cs="Arial"/>
          <w:szCs w:val="24"/>
        </w:rPr>
      </w:pPr>
      <w:r w:rsidRPr="004A32B9">
        <w:rPr>
          <w:rFonts w:ascii="Arial" w:hAnsi="Arial" w:cs="Arial"/>
          <w:szCs w:val="24"/>
        </w:rPr>
        <w:t>[34] Second, it means that an own-interest litigant may be denied standing even though the result could be that an unlawful decision stands. This is not illogical. As the Supreme Court of Appeal pointed out, standing determines solely whether </w:t>
      </w:r>
      <w:r w:rsidRPr="004A32B9">
        <w:rPr>
          <w:rFonts w:ascii="Arial" w:hAnsi="Arial" w:cs="Arial"/>
          <w:i/>
          <w:iCs/>
          <w:szCs w:val="24"/>
        </w:rPr>
        <w:t>this </w:t>
      </w:r>
      <w:r w:rsidRPr="004A32B9">
        <w:rPr>
          <w:rFonts w:ascii="Arial" w:hAnsi="Arial" w:cs="Arial"/>
          <w:szCs w:val="24"/>
        </w:rPr>
        <w:t xml:space="preserve">particular litigant is entitled to mount the challenge: a successful challenge to a public decision can be brought only if “the right remedy is sought by the right person in the right proceedings”. To this observation one must add that the interests of justice under the Constitution may require courts to be hesitant to dispose of cases on standing alone where broader concerns of accountability and responsiveness may require investigation and determination of the merits. By corollary, there may be cases where the interests of justice or the public interest might compel a court to </w:t>
      </w:r>
      <w:proofErr w:type="spellStart"/>
      <w:r w:rsidRPr="004A32B9">
        <w:rPr>
          <w:rFonts w:ascii="Arial" w:hAnsi="Arial" w:cs="Arial"/>
          <w:szCs w:val="24"/>
        </w:rPr>
        <w:t>scrutinise</w:t>
      </w:r>
      <w:proofErr w:type="spellEnd"/>
      <w:r w:rsidRPr="004A32B9">
        <w:rPr>
          <w:rFonts w:ascii="Arial" w:hAnsi="Arial" w:cs="Arial"/>
          <w:szCs w:val="24"/>
        </w:rPr>
        <w:t xml:space="preserve"> action even if the applicant’s standing is questionable. When the public interest cries out for relief, an applicant should not fail merely for acting in his or her own interest.</w:t>
      </w:r>
    </w:p>
    <w:p w:rsidR="00142295" w:rsidRPr="00D5652A" w:rsidRDefault="004A32B9" w:rsidP="004A32B9">
      <w:pPr>
        <w:pStyle w:val="ListParagraph"/>
        <w:spacing w:after="0" w:line="360" w:lineRule="auto"/>
        <w:ind w:left="0"/>
        <w:jc w:val="both"/>
        <w:rPr>
          <w:rFonts w:ascii="Arial" w:hAnsi="Arial" w:cs="Arial"/>
          <w:sz w:val="24"/>
          <w:szCs w:val="24"/>
        </w:rPr>
      </w:pPr>
      <w:r w:rsidRPr="004A32B9">
        <w:rPr>
          <w:rFonts w:ascii="Arial" w:hAnsi="Arial" w:cs="Arial"/>
          <w:szCs w:val="24"/>
        </w:rPr>
        <w:t xml:space="preserve">[35] Hence, where a litigant acts solely in his or her own interest, there is no broad or </w:t>
      </w:r>
      <w:r w:rsidRPr="004A32B9">
        <w:rPr>
          <w:rFonts w:ascii="Arial" w:hAnsi="Arial" w:cs="Arial"/>
        </w:rPr>
        <w:t>unqualified capacity to litigate against illegalities. Something more must be shown.</w:t>
      </w:r>
      <w:r w:rsidR="00142295" w:rsidRPr="004A32B9">
        <w:rPr>
          <w:rFonts w:ascii="Arial" w:hAnsi="Arial" w:cs="Arial"/>
        </w:rPr>
        <w:t xml:space="preserve">’ </w:t>
      </w:r>
      <w:r w:rsidR="000156DB" w:rsidRPr="004A32B9">
        <w:rPr>
          <w:rFonts w:ascii="Arial" w:hAnsi="Arial" w:cs="Arial"/>
        </w:rPr>
        <w:t>(</w:t>
      </w:r>
      <w:r w:rsidR="00E546B1" w:rsidRPr="004A32B9">
        <w:rPr>
          <w:rFonts w:ascii="Arial" w:hAnsi="Arial" w:cs="Arial"/>
        </w:rPr>
        <w:t xml:space="preserve">Footnote </w:t>
      </w:r>
      <w:r w:rsidR="000156DB" w:rsidRPr="004A32B9">
        <w:rPr>
          <w:rFonts w:ascii="Arial" w:hAnsi="Arial" w:cs="Arial"/>
        </w:rPr>
        <w:t>omitted</w:t>
      </w:r>
      <w:r w:rsidR="00E546B1">
        <w:rPr>
          <w:rFonts w:ascii="Arial" w:hAnsi="Arial" w:cs="Arial"/>
        </w:rPr>
        <w:t>.</w:t>
      </w:r>
      <w:r w:rsidR="000156DB" w:rsidRPr="004A32B9">
        <w:rPr>
          <w:rFonts w:ascii="Arial" w:hAnsi="Arial" w:cs="Arial"/>
        </w:rPr>
        <w:t>)</w:t>
      </w:r>
    </w:p>
    <w:p w:rsidR="000156DB" w:rsidRPr="00D5652A" w:rsidRDefault="000156DB" w:rsidP="00D5652A">
      <w:pPr>
        <w:spacing w:after="0" w:line="360" w:lineRule="auto"/>
        <w:contextualSpacing/>
        <w:jc w:val="both"/>
        <w:rPr>
          <w:rFonts w:ascii="Arial" w:hAnsi="Arial" w:cs="Arial"/>
          <w:sz w:val="24"/>
          <w:szCs w:val="24"/>
        </w:rPr>
      </w:pPr>
    </w:p>
    <w:p w:rsidR="000156DB" w:rsidRPr="00D5652A" w:rsidRDefault="000156DB"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Buhle submitted that it was clearly ‘entitled to join’ in the review proceedings, in light of the aforementioned</w:t>
      </w:r>
      <w:r w:rsidR="00DE598B" w:rsidRPr="00D5652A">
        <w:rPr>
          <w:rFonts w:ascii="Arial" w:hAnsi="Arial" w:cs="Arial"/>
          <w:sz w:val="24"/>
          <w:szCs w:val="24"/>
        </w:rPr>
        <w:t xml:space="preserve"> decisions. The question</w:t>
      </w:r>
      <w:r w:rsidR="00300705" w:rsidRPr="00D5652A">
        <w:rPr>
          <w:rFonts w:ascii="Arial" w:hAnsi="Arial" w:cs="Arial"/>
          <w:sz w:val="24"/>
          <w:szCs w:val="24"/>
        </w:rPr>
        <w:t xml:space="preserve"> is</w:t>
      </w:r>
      <w:r w:rsidR="009A33E3">
        <w:rPr>
          <w:rFonts w:ascii="Arial" w:hAnsi="Arial" w:cs="Arial"/>
          <w:sz w:val="24"/>
          <w:szCs w:val="24"/>
        </w:rPr>
        <w:t xml:space="preserve"> </w:t>
      </w:r>
      <w:r w:rsidR="00300705" w:rsidRPr="00D5652A">
        <w:rPr>
          <w:rFonts w:ascii="Arial" w:hAnsi="Arial" w:cs="Arial"/>
          <w:sz w:val="24"/>
          <w:szCs w:val="24"/>
        </w:rPr>
        <w:t>not</w:t>
      </w:r>
      <w:r w:rsidR="00B258AE">
        <w:rPr>
          <w:rFonts w:ascii="Arial" w:hAnsi="Arial" w:cs="Arial"/>
          <w:sz w:val="24"/>
          <w:szCs w:val="24"/>
        </w:rPr>
        <w:t xml:space="preserve"> only</w:t>
      </w:r>
      <w:r w:rsidR="00300705" w:rsidRPr="00D5652A">
        <w:rPr>
          <w:rFonts w:ascii="Arial" w:hAnsi="Arial" w:cs="Arial"/>
          <w:sz w:val="24"/>
          <w:szCs w:val="24"/>
        </w:rPr>
        <w:t xml:space="preserve"> whether</w:t>
      </w:r>
      <w:r w:rsidR="009A33E3">
        <w:rPr>
          <w:rFonts w:ascii="Arial" w:hAnsi="Arial" w:cs="Arial"/>
          <w:sz w:val="24"/>
          <w:szCs w:val="24"/>
        </w:rPr>
        <w:t xml:space="preserve"> </w:t>
      </w:r>
      <w:r w:rsidRPr="00D5652A">
        <w:rPr>
          <w:rFonts w:ascii="Arial" w:hAnsi="Arial" w:cs="Arial"/>
          <w:sz w:val="24"/>
          <w:szCs w:val="24"/>
        </w:rPr>
        <w:t>Buhle has standing but whether it has made out a case</w:t>
      </w:r>
      <w:r w:rsidR="00300705" w:rsidRPr="00D5652A">
        <w:rPr>
          <w:rFonts w:ascii="Arial" w:hAnsi="Arial" w:cs="Arial"/>
          <w:sz w:val="24"/>
          <w:szCs w:val="24"/>
        </w:rPr>
        <w:t xml:space="preserve"> that its interests will be </w:t>
      </w:r>
      <w:r w:rsidR="00EF76FA">
        <w:rPr>
          <w:rFonts w:ascii="Arial" w:hAnsi="Arial" w:cs="Arial"/>
          <w:sz w:val="24"/>
          <w:szCs w:val="24"/>
        </w:rPr>
        <w:t>a</w:t>
      </w:r>
      <w:r w:rsidR="00EF76FA" w:rsidRPr="00D5652A">
        <w:rPr>
          <w:rFonts w:ascii="Arial" w:hAnsi="Arial" w:cs="Arial"/>
          <w:sz w:val="24"/>
          <w:szCs w:val="24"/>
        </w:rPr>
        <w:t>ffected</w:t>
      </w:r>
      <w:r w:rsidR="00300705" w:rsidRPr="00D5652A">
        <w:rPr>
          <w:rFonts w:ascii="Arial" w:hAnsi="Arial" w:cs="Arial"/>
          <w:sz w:val="24"/>
          <w:szCs w:val="24"/>
        </w:rPr>
        <w:t>,</w:t>
      </w:r>
      <w:r w:rsidR="00E546B1">
        <w:rPr>
          <w:rFonts w:ascii="Arial" w:hAnsi="Arial" w:cs="Arial"/>
          <w:sz w:val="24"/>
          <w:szCs w:val="24"/>
        </w:rPr>
        <w:t xml:space="preserve"> </w:t>
      </w:r>
      <w:r w:rsidR="00300705" w:rsidRPr="00D5652A">
        <w:rPr>
          <w:rFonts w:ascii="Arial" w:hAnsi="Arial" w:cs="Arial"/>
          <w:sz w:val="24"/>
          <w:szCs w:val="24"/>
        </w:rPr>
        <w:t xml:space="preserve">which would entitle it </w:t>
      </w:r>
      <w:r w:rsidRPr="00D5652A">
        <w:rPr>
          <w:rFonts w:ascii="Arial" w:hAnsi="Arial" w:cs="Arial"/>
          <w:sz w:val="24"/>
          <w:szCs w:val="24"/>
        </w:rPr>
        <w:t>to intervene in the r</w:t>
      </w:r>
      <w:r w:rsidR="00DE598B" w:rsidRPr="00D5652A">
        <w:rPr>
          <w:rFonts w:ascii="Arial" w:hAnsi="Arial" w:cs="Arial"/>
          <w:sz w:val="24"/>
          <w:szCs w:val="24"/>
        </w:rPr>
        <w:t xml:space="preserve">eview application. </w:t>
      </w:r>
      <w:r w:rsidRPr="00D5652A">
        <w:rPr>
          <w:rFonts w:ascii="Arial" w:hAnsi="Arial" w:cs="Arial"/>
          <w:sz w:val="24"/>
          <w:szCs w:val="24"/>
        </w:rPr>
        <w:t>Buhle has</w:t>
      </w:r>
      <w:r w:rsidR="00DE598B" w:rsidRPr="00D5652A">
        <w:rPr>
          <w:rFonts w:ascii="Arial" w:hAnsi="Arial" w:cs="Arial"/>
          <w:sz w:val="24"/>
          <w:szCs w:val="24"/>
        </w:rPr>
        <w:t xml:space="preserve"> fu</w:t>
      </w:r>
      <w:r w:rsidR="008C26CC">
        <w:rPr>
          <w:rFonts w:ascii="Arial" w:hAnsi="Arial" w:cs="Arial"/>
          <w:sz w:val="24"/>
          <w:szCs w:val="24"/>
        </w:rPr>
        <w:t>r</w:t>
      </w:r>
      <w:r w:rsidR="00DE598B" w:rsidRPr="00D5652A">
        <w:rPr>
          <w:rFonts w:ascii="Arial" w:hAnsi="Arial" w:cs="Arial"/>
          <w:sz w:val="24"/>
          <w:szCs w:val="24"/>
        </w:rPr>
        <w:t>thermore chosen not to apply to join</w:t>
      </w:r>
      <w:r w:rsidRPr="00D5652A">
        <w:rPr>
          <w:rFonts w:ascii="Arial" w:hAnsi="Arial" w:cs="Arial"/>
          <w:sz w:val="24"/>
          <w:szCs w:val="24"/>
        </w:rPr>
        <w:t xml:space="preserve"> the review application in terms of </w:t>
      </w:r>
      <w:r w:rsidR="00DE598B" w:rsidRPr="00D5652A">
        <w:rPr>
          <w:rFonts w:ascii="Arial" w:hAnsi="Arial" w:cs="Arial"/>
          <w:sz w:val="24"/>
          <w:szCs w:val="24"/>
        </w:rPr>
        <w:t xml:space="preserve">Uniform </w:t>
      </w:r>
      <w:r w:rsidR="00E546B1" w:rsidRPr="00D5652A">
        <w:rPr>
          <w:rFonts w:ascii="Arial" w:hAnsi="Arial" w:cs="Arial"/>
          <w:sz w:val="24"/>
          <w:szCs w:val="24"/>
        </w:rPr>
        <w:t xml:space="preserve">rule </w:t>
      </w:r>
      <w:r w:rsidR="00DE598B" w:rsidRPr="00D5652A">
        <w:rPr>
          <w:rFonts w:ascii="Arial" w:hAnsi="Arial" w:cs="Arial"/>
          <w:sz w:val="24"/>
          <w:szCs w:val="24"/>
        </w:rPr>
        <w:t xml:space="preserve">10. Buhle ultimately </w:t>
      </w:r>
      <w:r w:rsidRPr="00D5652A">
        <w:rPr>
          <w:rFonts w:ascii="Arial" w:hAnsi="Arial" w:cs="Arial"/>
          <w:sz w:val="24"/>
          <w:szCs w:val="24"/>
        </w:rPr>
        <w:t>has to show a right which is affected by the order sought by Makhathini.</w:t>
      </w:r>
    </w:p>
    <w:p w:rsidR="000156DB" w:rsidRPr="00D5652A" w:rsidRDefault="000156DB" w:rsidP="00D5652A">
      <w:pPr>
        <w:spacing w:after="0" w:line="360" w:lineRule="auto"/>
        <w:contextualSpacing/>
        <w:jc w:val="both"/>
        <w:rPr>
          <w:rFonts w:ascii="Arial" w:hAnsi="Arial" w:cs="Arial"/>
          <w:sz w:val="24"/>
          <w:szCs w:val="24"/>
        </w:rPr>
      </w:pPr>
    </w:p>
    <w:p w:rsidR="000156DB" w:rsidRPr="00D5652A" w:rsidRDefault="00DE598B"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Buhle’s</w:t>
      </w:r>
      <w:r w:rsidR="000156DB" w:rsidRPr="00D5652A">
        <w:rPr>
          <w:rFonts w:ascii="Arial" w:hAnsi="Arial" w:cs="Arial"/>
          <w:sz w:val="24"/>
          <w:szCs w:val="24"/>
        </w:rPr>
        <w:t xml:space="preserve"> counsel,</w:t>
      </w:r>
      <w:r w:rsidRPr="00D5652A">
        <w:rPr>
          <w:rFonts w:ascii="Arial" w:hAnsi="Arial" w:cs="Arial"/>
          <w:sz w:val="24"/>
          <w:szCs w:val="24"/>
        </w:rPr>
        <w:t xml:space="preserve"> </w:t>
      </w:r>
      <w:proofErr w:type="spellStart"/>
      <w:r w:rsidRPr="00D5652A">
        <w:rPr>
          <w:rFonts w:ascii="Arial" w:hAnsi="Arial" w:cs="Arial"/>
          <w:sz w:val="24"/>
          <w:szCs w:val="24"/>
        </w:rPr>
        <w:t>Mr</w:t>
      </w:r>
      <w:proofErr w:type="spellEnd"/>
      <w:r w:rsidRPr="00D5652A">
        <w:rPr>
          <w:rFonts w:ascii="Arial" w:hAnsi="Arial" w:cs="Arial"/>
          <w:sz w:val="24"/>
          <w:szCs w:val="24"/>
        </w:rPr>
        <w:t xml:space="preserve"> J G Wasserman SC</w:t>
      </w:r>
      <w:r w:rsidR="008C26CC">
        <w:rPr>
          <w:rFonts w:ascii="Arial" w:hAnsi="Arial" w:cs="Arial"/>
          <w:sz w:val="24"/>
          <w:szCs w:val="24"/>
        </w:rPr>
        <w:t>,</w:t>
      </w:r>
      <w:r w:rsidR="009A33E3">
        <w:rPr>
          <w:rFonts w:ascii="Arial" w:hAnsi="Arial" w:cs="Arial"/>
          <w:sz w:val="24"/>
          <w:szCs w:val="24"/>
        </w:rPr>
        <w:t xml:space="preserve"> </w:t>
      </w:r>
      <w:r w:rsidRPr="00D5652A">
        <w:rPr>
          <w:rFonts w:ascii="Arial" w:hAnsi="Arial" w:cs="Arial"/>
          <w:sz w:val="24"/>
          <w:szCs w:val="24"/>
        </w:rPr>
        <w:t>submitted before me in</w:t>
      </w:r>
      <w:r w:rsidR="000156DB" w:rsidRPr="00D5652A">
        <w:rPr>
          <w:rFonts w:ascii="Arial" w:hAnsi="Arial" w:cs="Arial"/>
          <w:sz w:val="24"/>
          <w:szCs w:val="24"/>
        </w:rPr>
        <w:t xml:space="preserve"> argument that before consideration is given to Buhle’s right to intervene, serious consideration should be given to the possible practical implications of refusing leave to in</w:t>
      </w:r>
      <w:r w:rsidRPr="00D5652A">
        <w:rPr>
          <w:rFonts w:ascii="Arial" w:hAnsi="Arial" w:cs="Arial"/>
          <w:sz w:val="24"/>
          <w:szCs w:val="24"/>
        </w:rPr>
        <w:t>tervene. There would be an over</w:t>
      </w:r>
      <w:r w:rsidR="000156DB" w:rsidRPr="00D5652A">
        <w:rPr>
          <w:rFonts w:ascii="Arial" w:hAnsi="Arial" w:cs="Arial"/>
          <w:sz w:val="24"/>
          <w:szCs w:val="24"/>
        </w:rPr>
        <w:t>lap of review applications if Buhle was compelled to institut</w:t>
      </w:r>
      <w:r w:rsidRPr="00D5652A">
        <w:rPr>
          <w:rFonts w:ascii="Arial" w:hAnsi="Arial" w:cs="Arial"/>
          <w:sz w:val="24"/>
          <w:szCs w:val="24"/>
        </w:rPr>
        <w:t>e its own review application. I</w:t>
      </w:r>
      <w:r w:rsidR="000156DB" w:rsidRPr="00D5652A">
        <w:rPr>
          <w:rFonts w:ascii="Arial" w:hAnsi="Arial" w:cs="Arial"/>
          <w:sz w:val="24"/>
          <w:szCs w:val="24"/>
        </w:rPr>
        <w:t>t was submitted that a situation could arise where one court could find that the d</w:t>
      </w:r>
      <w:r w:rsidRPr="00D5652A">
        <w:rPr>
          <w:rFonts w:ascii="Arial" w:hAnsi="Arial" w:cs="Arial"/>
          <w:sz w:val="24"/>
          <w:szCs w:val="24"/>
        </w:rPr>
        <w:t>ecision to award the tender to C</w:t>
      </w:r>
      <w:r w:rsidR="000156DB" w:rsidRPr="00D5652A">
        <w:rPr>
          <w:rFonts w:ascii="Arial" w:hAnsi="Arial" w:cs="Arial"/>
          <w:sz w:val="24"/>
          <w:szCs w:val="24"/>
        </w:rPr>
        <w:t>ompass was lawful</w:t>
      </w:r>
      <w:r w:rsidRPr="00D5652A">
        <w:rPr>
          <w:rFonts w:ascii="Arial" w:hAnsi="Arial" w:cs="Arial"/>
          <w:sz w:val="24"/>
          <w:szCs w:val="24"/>
        </w:rPr>
        <w:t>. Another court migh</w:t>
      </w:r>
      <w:r w:rsidR="000156DB" w:rsidRPr="00D5652A">
        <w:rPr>
          <w:rFonts w:ascii="Arial" w:hAnsi="Arial" w:cs="Arial"/>
          <w:sz w:val="24"/>
          <w:szCs w:val="24"/>
        </w:rPr>
        <w:t xml:space="preserve">t however find in favor of Buhle in its own review application. Buhle’s counsel submitted that such a situation should not be tolerated and would be untenable. Reliance was also placed on what was held in </w:t>
      </w:r>
      <w:r w:rsidR="000156DB" w:rsidRPr="00217258">
        <w:rPr>
          <w:rFonts w:ascii="Arial" w:hAnsi="Arial" w:cs="Arial"/>
          <w:i/>
          <w:sz w:val="24"/>
          <w:szCs w:val="24"/>
        </w:rPr>
        <w:t>Gordon</w:t>
      </w:r>
      <w:r w:rsidR="000156DB" w:rsidRPr="00D5652A">
        <w:rPr>
          <w:rFonts w:ascii="Arial" w:hAnsi="Arial" w:cs="Arial"/>
          <w:sz w:val="24"/>
          <w:szCs w:val="24"/>
        </w:rPr>
        <w:t>.</w:t>
      </w:r>
      <w:r w:rsidR="004A32B9">
        <w:rPr>
          <w:rStyle w:val="FootnoteReference"/>
          <w:rFonts w:ascii="Arial" w:hAnsi="Arial" w:cs="Arial"/>
          <w:sz w:val="24"/>
          <w:szCs w:val="24"/>
        </w:rPr>
        <w:footnoteReference w:id="21"/>
      </w:r>
    </w:p>
    <w:p w:rsidR="009E4770" w:rsidRPr="00D5652A" w:rsidRDefault="009E4770" w:rsidP="00D5652A">
      <w:pPr>
        <w:spacing w:after="0" w:line="360" w:lineRule="auto"/>
        <w:contextualSpacing/>
        <w:jc w:val="both"/>
        <w:rPr>
          <w:rFonts w:ascii="Arial" w:hAnsi="Arial" w:cs="Arial"/>
          <w:sz w:val="24"/>
          <w:szCs w:val="24"/>
        </w:rPr>
      </w:pPr>
    </w:p>
    <w:p w:rsidR="000156DB" w:rsidRPr="00D5652A" w:rsidRDefault="000156DB"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Buhle also addressed the issues raised by both the Department and Makhathini regarding its failure to exhaust its internal remedies. I have dealt with these issues above. It was submitted by Buhle in its </w:t>
      </w:r>
      <w:r w:rsidR="00E546B1" w:rsidRPr="00D5652A">
        <w:rPr>
          <w:rFonts w:ascii="Arial" w:hAnsi="Arial" w:cs="Arial"/>
          <w:sz w:val="24"/>
          <w:szCs w:val="24"/>
        </w:rPr>
        <w:t>argument</w:t>
      </w:r>
      <w:r w:rsidR="00E546B1">
        <w:rPr>
          <w:rFonts w:ascii="Arial" w:hAnsi="Arial" w:cs="Arial"/>
          <w:sz w:val="24"/>
          <w:szCs w:val="24"/>
        </w:rPr>
        <w:t>,</w:t>
      </w:r>
      <w:r w:rsidR="00E546B1" w:rsidRPr="00D5652A">
        <w:rPr>
          <w:rFonts w:ascii="Arial" w:hAnsi="Arial" w:cs="Arial"/>
          <w:sz w:val="24"/>
          <w:szCs w:val="24"/>
        </w:rPr>
        <w:t xml:space="preserve"> </w:t>
      </w:r>
      <w:r w:rsidRPr="00D5652A">
        <w:rPr>
          <w:rFonts w:ascii="Arial" w:hAnsi="Arial" w:cs="Arial"/>
          <w:sz w:val="24"/>
          <w:szCs w:val="24"/>
        </w:rPr>
        <w:t xml:space="preserve">with reference to </w:t>
      </w:r>
      <w:proofErr w:type="spellStart"/>
      <w:r w:rsidRPr="001E2391">
        <w:rPr>
          <w:rFonts w:ascii="Arial" w:hAnsi="Arial" w:cs="Arial"/>
          <w:i/>
          <w:sz w:val="24"/>
          <w:szCs w:val="24"/>
        </w:rPr>
        <w:t>Koyabe</w:t>
      </w:r>
      <w:proofErr w:type="spellEnd"/>
      <w:r w:rsidRPr="001E2391">
        <w:rPr>
          <w:rFonts w:ascii="Arial" w:hAnsi="Arial" w:cs="Arial"/>
          <w:i/>
          <w:sz w:val="24"/>
          <w:szCs w:val="24"/>
        </w:rPr>
        <w:t xml:space="preserve"> and others v Minister </w:t>
      </w:r>
      <w:r w:rsidR="001E2391" w:rsidRPr="001E2391">
        <w:rPr>
          <w:rFonts w:ascii="Arial" w:hAnsi="Arial" w:cs="Arial"/>
          <w:i/>
          <w:sz w:val="24"/>
          <w:szCs w:val="24"/>
        </w:rPr>
        <w:t>for</w:t>
      </w:r>
      <w:r w:rsidRPr="001E2391">
        <w:rPr>
          <w:rFonts w:ascii="Arial" w:hAnsi="Arial" w:cs="Arial"/>
          <w:i/>
          <w:sz w:val="24"/>
          <w:szCs w:val="24"/>
        </w:rPr>
        <w:t xml:space="preserve"> Home Affairs and othe</w:t>
      </w:r>
      <w:r w:rsidR="00DE598B" w:rsidRPr="001E2391">
        <w:rPr>
          <w:rFonts w:ascii="Arial" w:hAnsi="Arial" w:cs="Arial"/>
          <w:i/>
          <w:sz w:val="24"/>
          <w:szCs w:val="24"/>
        </w:rPr>
        <w:t>rs (Lawyers for Human Rights as</w:t>
      </w:r>
      <w:r w:rsidRPr="001E2391">
        <w:rPr>
          <w:rFonts w:ascii="Arial" w:hAnsi="Arial" w:cs="Arial"/>
          <w:i/>
          <w:sz w:val="24"/>
          <w:szCs w:val="24"/>
        </w:rPr>
        <w:t xml:space="preserve"> Amicus Curiae)</w:t>
      </w:r>
      <w:r w:rsidRPr="00D5652A">
        <w:rPr>
          <w:rFonts w:ascii="Arial" w:hAnsi="Arial" w:cs="Arial"/>
          <w:sz w:val="24"/>
          <w:szCs w:val="24"/>
        </w:rPr>
        <w:t>,</w:t>
      </w:r>
      <w:r w:rsidR="001E2391">
        <w:rPr>
          <w:rStyle w:val="FootnoteReference"/>
          <w:rFonts w:ascii="Arial" w:hAnsi="Arial" w:cs="Arial"/>
          <w:sz w:val="24"/>
          <w:szCs w:val="24"/>
        </w:rPr>
        <w:footnoteReference w:id="22"/>
      </w:r>
      <w:r w:rsidRPr="00D5652A">
        <w:rPr>
          <w:rFonts w:ascii="Arial" w:hAnsi="Arial" w:cs="Arial"/>
          <w:sz w:val="24"/>
          <w:szCs w:val="24"/>
        </w:rPr>
        <w:t xml:space="preserve"> that Makhathini’s suggestion that it should have pro</w:t>
      </w:r>
      <w:r w:rsidR="003337D9" w:rsidRPr="00D5652A">
        <w:rPr>
          <w:rFonts w:ascii="Arial" w:hAnsi="Arial" w:cs="Arial"/>
          <w:sz w:val="24"/>
          <w:szCs w:val="24"/>
        </w:rPr>
        <w:t>secuted its appeal wit</w:t>
      </w:r>
      <w:r w:rsidR="00DE598B" w:rsidRPr="00D5652A">
        <w:rPr>
          <w:rFonts w:ascii="Arial" w:hAnsi="Arial" w:cs="Arial"/>
          <w:sz w:val="24"/>
          <w:szCs w:val="24"/>
        </w:rPr>
        <w:t>hout such reasons is a ‘strange</w:t>
      </w:r>
      <w:r w:rsidR="003337D9" w:rsidRPr="00D5652A">
        <w:rPr>
          <w:rFonts w:ascii="Arial" w:hAnsi="Arial" w:cs="Arial"/>
          <w:sz w:val="24"/>
          <w:szCs w:val="24"/>
        </w:rPr>
        <w:t xml:space="preserve"> proposition</w:t>
      </w:r>
      <w:r w:rsidR="00E546B1">
        <w:rPr>
          <w:rFonts w:ascii="Arial" w:hAnsi="Arial" w:cs="Arial"/>
          <w:sz w:val="24"/>
          <w:szCs w:val="24"/>
        </w:rPr>
        <w:t>’</w:t>
      </w:r>
      <w:r w:rsidR="003337D9" w:rsidRPr="00D5652A">
        <w:rPr>
          <w:rFonts w:ascii="Arial" w:hAnsi="Arial" w:cs="Arial"/>
          <w:sz w:val="24"/>
          <w:szCs w:val="24"/>
        </w:rPr>
        <w:t xml:space="preserve">. Buhle relied on what was held in </w:t>
      </w:r>
      <w:proofErr w:type="spellStart"/>
      <w:r w:rsidR="003337D9" w:rsidRPr="00B63B9F">
        <w:rPr>
          <w:rFonts w:ascii="Arial" w:hAnsi="Arial" w:cs="Arial"/>
          <w:i/>
          <w:sz w:val="24"/>
          <w:szCs w:val="24"/>
        </w:rPr>
        <w:t>Koyabe</w:t>
      </w:r>
      <w:proofErr w:type="spellEnd"/>
      <w:r w:rsidR="003337D9" w:rsidRPr="00D5652A">
        <w:rPr>
          <w:rFonts w:ascii="Arial" w:hAnsi="Arial" w:cs="Arial"/>
          <w:sz w:val="24"/>
          <w:szCs w:val="24"/>
        </w:rPr>
        <w:t>, namely that ‘</w:t>
      </w:r>
      <w:r w:rsidR="00E546B1">
        <w:rPr>
          <w:rFonts w:ascii="Arial" w:hAnsi="Arial" w:cs="Arial"/>
          <w:sz w:val="24"/>
          <w:szCs w:val="24"/>
        </w:rPr>
        <w:t>[r]</w:t>
      </w:r>
      <w:proofErr w:type="spellStart"/>
      <w:r w:rsidR="003337D9" w:rsidRPr="00D5652A">
        <w:rPr>
          <w:rFonts w:ascii="Arial" w:hAnsi="Arial" w:cs="Arial"/>
          <w:sz w:val="24"/>
          <w:szCs w:val="24"/>
        </w:rPr>
        <w:t>easons</w:t>
      </w:r>
      <w:proofErr w:type="spellEnd"/>
      <w:r w:rsidR="003337D9" w:rsidRPr="00D5652A">
        <w:rPr>
          <w:rFonts w:ascii="Arial" w:hAnsi="Arial" w:cs="Arial"/>
          <w:sz w:val="24"/>
          <w:szCs w:val="24"/>
        </w:rPr>
        <w:t xml:space="preserve"> for the finding, as in this case, are therefore important in seeking a meaningf</w:t>
      </w:r>
      <w:r w:rsidR="00DE598B" w:rsidRPr="00D5652A">
        <w:rPr>
          <w:rFonts w:ascii="Arial" w:hAnsi="Arial" w:cs="Arial"/>
          <w:sz w:val="24"/>
          <w:szCs w:val="24"/>
        </w:rPr>
        <w:t>ul review</w:t>
      </w:r>
      <w:r w:rsidR="00E546B1">
        <w:rPr>
          <w:rFonts w:ascii="Arial" w:hAnsi="Arial" w:cs="Arial"/>
          <w:sz w:val="24"/>
          <w:szCs w:val="24"/>
        </w:rPr>
        <w:t>’</w:t>
      </w:r>
      <w:r w:rsidR="00DE598B" w:rsidRPr="00D5652A">
        <w:rPr>
          <w:rFonts w:ascii="Arial" w:hAnsi="Arial" w:cs="Arial"/>
          <w:sz w:val="24"/>
          <w:szCs w:val="24"/>
        </w:rPr>
        <w:t>.</w:t>
      </w:r>
      <w:r w:rsidR="00B63B9F">
        <w:rPr>
          <w:rStyle w:val="FootnoteReference"/>
          <w:rFonts w:ascii="Arial" w:hAnsi="Arial" w:cs="Arial"/>
          <w:sz w:val="24"/>
          <w:szCs w:val="24"/>
        </w:rPr>
        <w:footnoteReference w:id="23"/>
      </w:r>
      <w:r w:rsidR="00DE598B" w:rsidRPr="00D5652A">
        <w:rPr>
          <w:rFonts w:ascii="Arial" w:hAnsi="Arial" w:cs="Arial"/>
          <w:sz w:val="24"/>
          <w:szCs w:val="24"/>
        </w:rPr>
        <w:t xml:space="preserve"> As mentioned before, </w:t>
      </w:r>
      <w:r w:rsidR="003337D9" w:rsidRPr="00D5652A">
        <w:rPr>
          <w:rFonts w:ascii="Arial" w:hAnsi="Arial" w:cs="Arial"/>
          <w:sz w:val="24"/>
          <w:szCs w:val="24"/>
        </w:rPr>
        <w:t>Buhle has a right to apply for exemption from having to exhaust internal remedies.</w:t>
      </w:r>
    </w:p>
    <w:p w:rsidR="003337D9" w:rsidRPr="00D5652A" w:rsidRDefault="003337D9" w:rsidP="00D5652A">
      <w:pPr>
        <w:spacing w:after="0" w:line="360" w:lineRule="auto"/>
        <w:contextualSpacing/>
        <w:jc w:val="both"/>
        <w:rPr>
          <w:rFonts w:ascii="Arial" w:hAnsi="Arial" w:cs="Arial"/>
          <w:sz w:val="24"/>
          <w:szCs w:val="24"/>
        </w:rPr>
      </w:pPr>
    </w:p>
    <w:p w:rsidR="003337D9" w:rsidRPr="00D5652A" w:rsidRDefault="003337D9"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Buhle referred in its argument to Makhathini’s contentions regarding the non-joinder of Ecocycle and Vikela – calling it ‘bizarre’, submitting that it could not seek to join other parties when it seeks itself to be joined to the review application. Buhle in my view misses the point, as it is clear that Ecocycle and Vikela would have a direct and substantial interest in the relief it is seeking, especially when Buhle seeks to ultimately involve Ecocycle and Vikela in its relief on review.</w:t>
      </w:r>
      <w:r w:rsidR="00DE598B" w:rsidRPr="00D5652A">
        <w:rPr>
          <w:rFonts w:ascii="Arial" w:hAnsi="Arial" w:cs="Arial"/>
          <w:sz w:val="24"/>
          <w:szCs w:val="24"/>
        </w:rPr>
        <w:t xml:space="preserve"> It is difficult to understand why Buhle could not simply serve a copy of its papers on Ecocycle and Vikela.</w:t>
      </w:r>
      <w:r w:rsidRPr="00D5652A">
        <w:rPr>
          <w:rFonts w:ascii="Arial" w:hAnsi="Arial" w:cs="Arial"/>
          <w:sz w:val="24"/>
          <w:szCs w:val="24"/>
        </w:rPr>
        <w:t xml:space="preserve"> </w:t>
      </w:r>
    </w:p>
    <w:p w:rsidR="003337D9" w:rsidRPr="00D5652A" w:rsidRDefault="003337D9" w:rsidP="00D5652A">
      <w:pPr>
        <w:spacing w:after="0" w:line="360" w:lineRule="auto"/>
        <w:contextualSpacing/>
        <w:jc w:val="both"/>
        <w:rPr>
          <w:rFonts w:ascii="Arial" w:hAnsi="Arial" w:cs="Arial"/>
          <w:sz w:val="24"/>
          <w:szCs w:val="24"/>
        </w:rPr>
      </w:pPr>
    </w:p>
    <w:p w:rsidR="003337D9" w:rsidRPr="00D5652A" w:rsidRDefault="003337D9"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Buhle’s counsel also made submissions at the hearing regarding the so called extension of the tender validity period, placing reliance on </w:t>
      </w:r>
      <w:r w:rsidRPr="00F656E6">
        <w:rPr>
          <w:rFonts w:ascii="Arial" w:hAnsi="Arial" w:cs="Arial"/>
          <w:i/>
          <w:sz w:val="24"/>
          <w:szCs w:val="24"/>
        </w:rPr>
        <w:t xml:space="preserve">City of Ekurhuleni Metropolitan Municipality v </w:t>
      </w:r>
      <w:proofErr w:type="spellStart"/>
      <w:r w:rsidRPr="00F656E6">
        <w:rPr>
          <w:rFonts w:ascii="Arial" w:hAnsi="Arial" w:cs="Arial"/>
          <w:i/>
          <w:sz w:val="24"/>
          <w:szCs w:val="24"/>
        </w:rPr>
        <w:t>Takubiza</w:t>
      </w:r>
      <w:proofErr w:type="spellEnd"/>
      <w:r w:rsidRPr="00F656E6">
        <w:rPr>
          <w:rFonts w:ascii="Arial" w:hAnsi="Arial" w:cs="Arial"/>
          <w:i/>
          <w:sz w:val="24"/>
          <w:szCs w:val="24"/>
        </w:rPr>
        <w:t xml:space="preserve"> Trading </w:t>
      </w:r>
      <w:r w:rsidR="00F656E6" w:rsidRPr="00F656E6">
        <w:rPr>
          <w:rFonts w:ascii="Arial" w:hAnsi="Arial" w:cs="Arial"/>
          <w:i/>
          <w:sz w:val="24"/>
          <w:szCs w:val="24"/>
        </w:rPr>
        <w:t>&amp;</w:t>
      </w:r>
      <w:r w:rsidRPr="00F656E6">
        <w:rPr>
          <w:rFonts w:ascii="Arial" w:hAnsi="Arial" w:cs="Arial"/>
          <w:i/>
          <w:sz w:val="24"/>
          <w:szCs w:val="24"/>
        </w:rPr>
        <w:t xml:space="preserve"> Projects CC and others</w:t>
      </w:r>
      <w:r w:rsidRPr="00D5652A">
        <w:rPr>
          <w:rFonts w:ascii="Arial" w:hAnsi="Arial" w:cs="Arial"/>
          <w:sz w:val="24"/>
          <w:szCs w:val="24"/>
        </w:rPr>
        <w:t>.</w:t>
      </w:r>
      <w:r w:rsidR="00F656E6">
        <w:rPr>
          <w:rStyle w:val="FootnoteReference"/>
          <w:rFonts w:ascii="Arial" w:hAnsi="Arial" w:cs="Arial"/>
          <w:sz w:val="24"/>
          <w:szCs w:val="24"/>
        </w:rPr>
        <w:footnoteReference w:id="24"/>
      </w:r>
      <w:r w:rsidRPr="00D5652A">
        <w:rPr>
          <w:rFonts w:ascii="Arial" w:hAnsi="Arial" w:cs="Arial"/>
          <w:sz w:val="24"/>
          <w:szCs w:val="24"/>
        </w:rPr>
        <w:t xml:space="preserve"> It was submitted that according to the record provided by the Department, Compass was requested to consent to an extension, but did not respond. It was also submitted that neither Buhle nor </w:t>
      </w:r>
      <w:r w:rsidR="00BF2977" w:rsidRPr="00D5652A">
        <w:rPr>
          <w:rFonts w:ascii="Arial" w:hAnsi="Arial" w:cs="Arial"/>
          <w:sz w:val="24"/>
          <w:szCs w:val="24"/>
        </w:rPr>
        <w:t>Makhathini</w:t>
      </w:r>
      <w:r w:rsidRPr="00D5652A">
        <w:rPr>
          <w:rFonts w:ascii="Arial" w:hAnsi="Arial" w:cs="Arial"/>
          <w:sz w:val="24"/>
          <w:szCs w:val="24"/>
        </w:rPr>
        <w:t xml:space="preserve"> had agreed to the extension. It is however apparent from </w:t>
      </w:r>
      <w:r w:rsidR="00CB4CF0">
        <w:rPr>
          <w:rFonts w:ascii="Arial" w:hAnsi="Arial" w:cs="Arial"/>
          <w:sz w:val="24"/>
          <w:szCs w:val="24"/>
        </w:rPr>
        <w:t xml:space="preserve">the </w:t>
      </w:r>
      <w:r w:rsidRPr="00D5652A">
        <w:rPr>
          <w:rFonts w:ascii="Arial" w:hAnsi="Arial" w:cs="Arial"/>
          <w:sz w:val="24"/>
          <w:szCs w:val="24"/>
        </w:rPr>
        <w:t xml:space="preserve">submissions and documents </w:t>
      </w:r>
      <w:r w:rsidR="00BF2977" w:rsidRPr="00D5652A">
        <w:rPr>
          <w:rFonts w:ascii="Arial" w:hAnsi="Arial" w:cs="Arial"/>
          <w:sz w:val="24"/>
          <w:szCs w:val="24"/>
        </w:rPr>
        <w:t xml:space="preserve">which form part of the papers in some </w:t>
      </w:r>
      <w:r w:rsidR="00DE598B" w:rsidRPr="00D5652A">
        <w:rPr>
          <w:rFonts w:ascii="Arial" w:hAnsi="Arial" w:cs="Arial"/>
          <w:sz w:val="24"/>
          <w:szCs w:val="24"/>
        </w:rPr>
        <w:t>of the other matters that both C</w:t>
      </w:r>
      <w:r w:rsidR="00BF2977" w:rsidRPr="00D5652A">
        <w:rPr>
          <w:rFonts w:ascii="Arial" w:hAnsi="Arial" w:cs="Arial"/>
          <w:sz w:val="24"/>
          <w:szCs w:val="24"/>
        </w:rPr>
        <w:t xml:space="preserve">ompass and Makhathini apparently agreed to an extension. </w:t>
      </w:r>
      <w:r w:rsidR="00CB4CF0">
        <w:rPr>
          <w:rFonts w:ascii="Arial" w:hAnsi="Arial" w:cs="Arial"/>
          <w:sz w:val="24"/>
          <w:szCs w:val="24"/>
        </w:rPr>
        <w:t>This issue is</w:t>
      </w:r>
      <w:r w:rsidR="00BF2977" w:rsidRPr="00D5652A">
        <w:rPr>
          <w:rFonts w:ascii="Arial" w:hAnsi="Arial" w:cs="Arial"/>
          <w:sz w:val="24"/>
          <w:szCs w:val="24"/>
        </w:rPr>
        <w:t xml:space="preserve"> address</w:t>
      </w:r>
      <w:r w:rsidR="00CB4CF0">
        <w:rPr>
          <w:rFonts w:ascii="Arial" w:hAnsi="Arial" w:cs="Arial"/>
          <w:sz w:val="24"/>
          <w:szCs w:val="24"/>
        </w:rPr>
        <w:t>ed</w:t>
      </w:r>
      <w:r w:rsidR="00BF2977" w:rsidRPr="00D5652A">
        <w:rPr>
          <w:rFonts w:ascii="Arial" w:hAnsi="Arial" w:cs="Arial"/>
          <w:sz w:val="24"/>
          <w:szCs w:val="24"/>
        </w:rPr>
        <w:t xml:space="preserve"> in the judgment of the impleme</w:t>
      </w:r>
      <w:r w:rsidR="00AA5DEB" w:rsidRPr="00D5652A">
        <w:rPr>
          <w:rFonts w:ascii="Arial" w:hAnsi="Arial" w:cs="Arial"/>
          <w:sz w:val="24"/>
          <w:szCs w:val="24"/>
        </w:rPr>
        <w:t>ntation application brought by C</w:t>
      </w:r>
      <w:r w:rsidR="00EE57F0">
        <w:rPr>
          <w:rFonts w:ascii="Arial" w:hAnsi="Arial" w:cs="Arial"/>
          <w:sz w:val="24"/>
          <w:szCs w:val="24"/>
        </w:rPr>
        <w:t>ompass, which was the fourth application heard by me</w:t>
      </w:r>
      <w:r w:rsidR="001A12DB">
        <w:rPr>
          <w:rFonts w:ascii="Arial" w:hAnsi="Arial" w:cs="Arial"/>
          <w:sz w:val="24"/>
          <w:szCs w:val="24"/>
        </w:rPr>
        <w:t>.</w:t>
      </w:r>
      <w:r w:rsidR="00BF2977" w:rsidRPr="00D5652A">
        <w:rPr>
          <w:rFonts w:ascii="Arial" w:hAnsi="Arial" w:cs="Arial"/>
          <w:sz w:val="24"/>
          <w:szCs w:val="24"/>
        </w:rPr>
        <w:t xml:space="preserve"> </w:t>
      </w:r>
    </w:p>
    <w:p w:rsidR="00BF2977" w:rsidRPr="00D5652A" w:rsidRDefault="00BF2977" w:rsidP="00D5652A">
      <w:pPr>
        <w:spacing w:after="0" w:line="360" w:lineRule="auto"/>
        <w:contextualSpacing/>
        <w:jc w:val="both"/>
        <w:rPr>
          <w:rFonts w:ascii="Arial" w:hAnsi="Arial" w:cs="Arial"/>
          <w:sz w:val="24"/>
          <w:szCs w:val="24"/>
        </w:rPr>
      </w:pPr>
    </w:p>
    <w:p w:rsidR="00BF2977" w:rsidRPr="00D5652A" w:rsidRDefault="00BF2977" w:rsidP="00D5652A">
      <w:pPr>
        <w:pStyle w:val="ListParagraph"/>
        <w:spacing w:after="0" w:line="360" w:lineRule="auto"/>
        <w:ind w:left="0"/>
        <w:jc w:val="both"/>
        <w:rPr>
          <w:rFonts w:ascii="Arial" w:hAnsi="Arial" w:cs="Arial"/>
          <w:b/>
          <w:sz w:val="24"/>
          <w:szCs w:val="24"/>
        </w:rPr>
      </w:pPr>
      <w:r w:rsidRPr="00D5652A">
        <w:rPr>
          <w:rFonts w:ascii="Arial" w:hAnsi="Arial" w:cs="Arial"/>
          <w:b/>
          <w:sz w:val="24"/>
          <w:szCs w:val="24"/>
        </w:rPr>
        <w:t>Submissions by Makhathini</w:t>
      </w:r>
    </w:p>
    <w:p w:rsidR="00BF2977" w:rsidRPr="00D5652A" w:rsidRDefault="00BF2977"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Counsel for Makhathini, </w:t>
      </w:r>
      <w:proofErr w:type="spellStart"/>
      <w:r w:rsidRPr="00D5652A">
        <w:rPr>
          <w:rFonts w:ascii="Arial" w:hAnsi="Arial" w:cs="Arial"/>
          <w:sz w:val="24"/>
          <w:szCs w:val="24"/>
        </w:rPr>
        <w:t>Mr</w:t>
      </w:r>
      <w:proofErr w:type="spellEnd"/>
      <w:r w:rsidRPr="00D5652A">
        <w:rPr>
          <w:rFonts w:ascii="Arial" w:hAnsi="Arial" w:cs="Arial"/>
          <w:sz w:val="24"/>
          <w:szCs w:val="24"/>
        </w:rPr>
        <w:t xml:space="preserve"> N Singh SC</w:t>
      </w:r>
      <w:r w:rsidR="00EF76FA">
        <w:rPr>
          <w:rFonts w:ascii="Arial" w:hAnsi="Arial" w:cs="Arial"/>
          <w:sz w:val="24"/>
          <w:szCs w:val="24"/>
        </w:rPr>
        <w:t>,</w:t>
      </w:r>
      <w:r w:rsidRPr="00D5652A">
        <w:rPr>
          <w:rFonts w:ascii="Arial" w:hAnsi="Arial" w:cs="Arial"/>
          <w:sz w:val="24"/>
          <w:szCs w:val="24"/>
        </w:rPr>
        <w:t xml:space="preserve"> submitted that Buhle is seeking to join Makhathini’s review as an applicant, seeking to review different decisions, on different grounds, against different respondents, than Makhathini. It was submitted</w:t>
      </w:r>
      <w:r w:rsidR="00EF76FA">
        <w:rPr>
          <w:rFonts w:ascii="Arial" w:hAnsi="Arial" w:cs="Arial"/>
          <w:sz w:val="24"/>
          <w:szCs w:val="24"/>
        </w:rPr>
        <w:t xml:space="preserve"> that</w:t>
      </w:r>
      <w:r w:rsidRPr="00D5652A">
        <w:rPr>
          <w:rFonts w:ascii="Arial" w:hAnsi="Arial" w:cs="Arial"/>
          <w:sz w:val="24"/>
          <w:szCs w:val="24"/>
        </w:rPr>
        <w:t xml:space="preserve"> there would have been no difficulty if Buhle was only interested in challenging the decision </w:t>
      </w:r>
      <w:r w:rsidR="00AA5DEB" w:rsidRPr="00D5652A">
        <w:rPr>
          <w:rFonts w:ascii="Arial" w:hAnsi="Arial" w:cs="Arial"/>
          <w:sz w:val="24"/>
          <w:szCs w:val="24"/>
        </w:rPr>
        <w:t>to award the contract for Area 2 to C</w:t>
      </w:r>
      <w:r w:rsidRPr="00D5652A">
        <w:rPr>
          <w:rFonts w:ascii="Arial" w:hAnsi="Arial" w:cs="Arial"/>
          <w:sz w:val="24"/>
          <w:szCs w:val="24"/>
        </w:rPr>
        <w:t>ompass. Instead Buhle wants to join a separate cause of action to be heard with the current cause of action in the review application. It was s</w:t>
      </w:r>
      <w:r w:rsidR="00AA5DEB" w:rsidRPr="00D5652A">
        <w:rPr>
          <w:rFonts w:ascii="Arial" w:hAnsi="Arial" w:cs="Arial"/>
          <w:sz w:val="24"/>
          <w:szCs w:val="24"/>
        </w:rPr>
        <w:t>ubmitted that this does not ‘fit’</w:t>
      </w:r>
      <w:r w:rsidRPr="00D5652A">
        <w:rPr>
          <w:rFonts w:ascii="Arial" w:hAnsi="Arial" w:cs="Arial"/>
          <w:sz w:val="24"/>
          <w:szCs w:val="24"/>
        </w:rPr>
        <w:t xml:space="preserve"> into what Uniform </w:t>
      </w:r>
      <w:r w:rsidR="00E546B1" w:rsidRPr="00D5652A">
        <w:rPr>
          <w:rFonts w:ascii="Arial" w:hAnsi="Arial" w:cs="Arial"/>
          <w:sz w:val="24"/>
          <w:szCs w:val="24"/>
        </w:rPr>
        <w:t xml:space="preserve">rule </w:t>
      </w:r>
      <w:r w:rsidRPr="00D5652A">
        <w:rPr>
          <w:rFonts w:ascii="Arial" w:hAnsi="Arial" w:cs="Arial"/>
          <w:sz w:val="24"/>
          <w:szCs w:val="24"/>
        </w:rPr>
        <w:t>12 was intended for.</w:t>
      </w:r>
    </w:p>
    <w:p w:rsidR="00BF2977" w:rsidRPr="00D5652A" w:rsidRDefault="00BF2977" w:rsidP="00D5652A">
      <w:pPr>
        <w:spacing w:after="0" w:line="360" w:lineRule="auto"/>
        <w:contextualSpacing/>
        <w:jc w:val="both"/>
        <w:rPr>
          <w:rFonts w:ascii="Arial" w:hAnsi="Arial" w:cs="Arial"/>
          <w:sz w:val="24"/>
          <w:szCs w:val="24"/>
        </w:rPr>
      </w:pPr>
    </w:p>
    <w:p w:rsidR="00BF2977" w:rsidRPr="00D5652A" w:rsidRDefault="00E546B1"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It </w:t>
      </w:r>
      <w:r w:rsidR="00BF2977" w:rsidRPr="00D5652A">
        <w:rPr>
          <w:rFonts w:ascii="Arial" w:hAnsi="Arial" w:cs="Arial"/>
          <w:sz w:val="24"/>
          <w:szCs w:val="24"/>
        </w:rPr>
        <w:t xml:space="preserve">was submitted by </w:t>
      </w:r>
      <w:r w:rsidR="00AB38F6" w:rsidRPr="00D5652A">
        <w:rPr>
          <w:rFonts w:ascii="Arial" w:hAnsi="Arial" w:cs="Arial"/>
          <w:sz w:val="24"/>
          <w:szCs w:val="24"/>
        </w:rPr>
        <w:t xml:space="preserve">Makhathini that Uniform </w:t>
      </w:r>
      <w:r w:rsidRPr="00D5652A">
        <w:rPr>
          <w:rFonts w:ascii="Arial" w:hAnsi="Arial" w:cs="Arial"/>
          <w:sz w:val="24"/>
          <w:szCs w:val="24"/>
        </w:rPr>
        <w:t xml:space="preserve">rule </w:t>
      </w:r>
      <w:r w:rsidR="00AB38F6" w:rsidRPr="00D5652A">
        <w:rPr>
          <w:rFonts w:ascii="Arial" w:hAnsi="Arial" w:cs="Arial"/>
          <w:sz w:val="24"/>
          <w:szCs w:val="24"/>
        </w:rPr>
        <w:t xml:space="preserve">12 has not overridden or replaced the common law approach to intervention and that under the common </w:t>
      </w:r>
      <w:proofErr w:type="gramStart"/>
      <w:r w:rsidR="00AB38F6" w:rsidRPr="00D5652A">
        <w:rPr>
          <w:rFonts w:ascii="Arial" w:hAnsi="Arial" w:cs="Arial"/>
          <w:sz w:val="24"/>
          <w:szCs w:val="24"/>
        </w:rPr>
        <w:t>law,</w:t>
      </w:r>
      <w:proofErr w:type="gramEnd"/>
      <w:r w:rsidR="00AB38F6" w:rsidRPr="00D5652A">
        <w:rPr>
          <w:rFonts w:ascii="Arial" w:hAnsi="Arial" w:cs="Arial"/>
          <w:sz w:val="24"/>
          <w:szCs w:val="24"/>
        </w:rPr>
        <w:t xml:space="preserve"> joinder can be sought as of right, where a party has a direct and substantial interest in the matter or if it is convenient that it be joined. </w:t>
      </w:r>
    </w:p>
    <w:p w:rsidR="00AB38F6" w:rsidRPr="00D5652A" w:rsidRDefault="00AB38F6" w:rsidP="00D5652A">
      <w:pPr>
        <w:spacing w:after="0" w:line="360" w:lineRule="auto"/>
        <w:contextualSpacing/>
        <w:jc w:val="both"/>
        <w:rPr>
          <w:rFonts w:ascii="Arial" w:hAnsi="Arial" w:cs="Arial"/>
          <w:sz w:val="24"/>
          <w:szCs w:val="24"/>
        </w:rPr>
      </w:pPr>
    </w:p>
    <w:p w:rsidR="00AB38F6" w:rsidRPr="00D5652A" w:rsidRDefault="00AB38F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As far as joinder as of right is concerned, it was submitted that since Makhathini is not seeking any relief in respect of the awards relating to Areas 1 a</w:t>
      </w:r>
      <w:r w:rsidR="00AA5DEB" w:rsidRPr="00D5652A">
        <w:rPr>
          <w:rFonts w:ascii="Arial" w:hAnsi="Arial" w:cs="Arial"/>
          <w:sz w:val="24"/>
          <w:szCs w:val="24"/>
        </w:rPr>
        <w:t>nd 3, Buhle cannot say that its</w:t>
      </w:r>
      <w:r w:rsidRPr="00D5652A">
        <w:rPr>
          <w:rFonts w:ascii="Arial" w:hAnsi="Arial" w:cs="Arial"/>
          <w:sz w:val="24"/>
          <w:szCs w:val="24"/>
        </w:rPr>
        <w:t xml:space="preserve"> rights have been affected in this regard, and it would accordingly not have a basis for an intervention in the review application.</w:t>
      </w:r>
    </w:p>
    <w:p w:rsidR="00AB38F6" w:rsidRPr="00D5652A" w:rsidRDefault="00AB38F6" w:rsidP="00D5652A">
      <w:pPr>
        <w:spacing w:after="0" w:line="360" w:lineRule="auto"/>
        <w:contextualSpacing/>
        <w:jc w:val="both"/>
        <w:rPr>
          <w:rFonts w:ascii="Arial" w:hAnsi="Arial" w:cs="Arial"/>
          <w:sz w:val="24"/>
          <w:szCs w:val="24"/>
        </w:rPr>
      </w:pPr>
    </w:p>
    <w:p w:rsidR="00AB38F6" w:rsidRPr="00D5652A" w:rsidRDefault="00AB38F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It was also submitted that as far as the award in respect of Area 2 is concerned, Buhle has not shown that its rights </w:t>
      </w:r>
      <w:r w:rsidR="00E546B1">
        <w:rPr>
          <w:rFonts w:ascii="Arial" w:hAnsi="Arial" w:cs="Arial"/>
          <w:sz w:val="24"/>
          <w:szCs w:val="24"/>
        </w:rPr>
        <w:t>have</w:t>
      </w:r>
      <w:r w:rsidR="00E546B1" w:rsidRPr="00D5652A">
        <w:rPr>
          <w:rFonts w:ascii="Arial" w:hAnsi="Arial" w:cs="Arial"/>
          <w:sz w:val="24"/>
          <w:szCs w:val="24"/>
        </w:rPr>
        <w:t xml:space="preserve"> </w:t>
      </w:r>
      <w:r w:rsidRPr="00D5652A">
        <w:rPr>
          <w:rFonts w:ascii="Arial" w:hAnsi="Arial" w:cs="Arial"/>
          <w:sz w:val="24"/>
          <w:szCs w:val="24"/>
        </w:rPr>
        <w:t>been affected. Buhle cannot assert a right to be awarded the tender because it was not the second highest bidder and none of its grounds of review are aimed at making out a case that due to some administrative irregularity</w:t>
      </w:r>
      <w:r w:rsidR="001007FF">
        <w:rPr>
          <w:rFonts w:ascii="Arial" w:hAnsi="Arial" w:cs="Arial"/>
          <w:sz w:val="24"/>
          <w:szCs w:val="24"/>
        </w:rPr>
        <w:t>,</w:t>
      </w:r>
      <w:r w:rsidRPr="00D5652A">
        <w:rPr>
          <w:rFonts w:ascii="Arial" w:hAnsi="Arial" w:cs="Arial"/>
          <w:sz w:val="24"/>
          <w:szCs w:val="24"/>
        </w:rPr>
        <w:t xml:space="preserve"> it was not awarded the tender for Area 2.</w:t>
      </w:r>
    </w:p>
    <w:p w:rsidR="00AB38F6" w:rsidRPr="00D5652A" w:rsidRDefault="00AB38F6" w:rsidP="00D5652A">
      <w:pPr>
        <w:spacing w:after="0" w:line="360" w:lineRule="auto"/>
        <w:contextualSpacing/>
        <w:jc w:val="both"/>
        <w:rPr>
          <w:rFonts w:ascii="Arial" w:hAnsi="Arial" w:cs="Arial"/>
          <w:sz w:val="24"/>
          <w:szCs w:val="24"/>
        </w:rPr>
      </w:pPr>
    </w:p>
    <w:p w:rsidR="009373EF" w:rsidRPr="00B258AE" w:rsidRDefault="00AB38F6" w:rsidP="00B258AE">
      <w:pPr>
        <w:pStyle w:val="ListParagraph"/>
        <w:numPr>
          <w:ilvl w:val="0"/>
          <w:numId w:val="1"/>
        </w:numPr>
        <w:spacing w:after="0" w:line="360" w:lineRule="auto"/>
        <w:ind w:left="0" w:firstLine="0"/>
        <w:jc w:val="both"/>
        <w:rPr>
          <w:rFonts w:ascii="Arial" w:hAnsi="Arial" w:cs="Arial"/>
          <w:sz w:val="24"/>
          <w:szCs w:val="24"/>
        </w:rPr>
      </w:pPr>
      <w:proofErr w:type="gramStart"/>
      <w:r w:rsidRPr="00D5652A">
        <w:rPr>
          <w:rFonts w:ascii="Arial" w:hAnsi="Arial" w:cs="Arial"/>
          <w:sz w:val="24"/>
          <w:szCs w:val="24"/>
        </w:rPr>
        <w:t>With reference to Buhle’s right to just administrative action</w:t>
      </w:r>
      <w:r w:rsidR="00E546B1">
        <w:rPr>
          <w:rFonts w:ascii="Arial" w:hAnsi="Arial" w:cs="Arial"/>
          <w:sz w:val="24"/>
          <w:szCs w:val="24"/>
        </w:rPr>
        <w:t>,</w:t>
      </w:r>
      <w:r w:rsidRPr="00D5652A">
        <w:rPr>
          <w:rFonts w:ascii="Arial" w:hAnsi="Arial" w:cs="Arial"/>
          <w:sz w:val="24"/>
          <w:szCs w:val="24"/>
        </w:rPr>
        <w:t xml:space="preserve"> it was submitted that Buhle was required to exhaust its internal remedies in terms of section 7(2)</w:t>
      </w:r>
      <w:r w:rsidRPr="00E546B1">
        <w:rPr>
          <w:rFonts w:ascii="Arial" w:hAnsi="Arial" w:cs="Arial"/>
          <w:i/>
          <w:sz w:val="24"/>
          <w:szCs w:val="24"/>
        </w:rPr>
        <w:t>(a)</w:t>
      </w:r>
      <w:r w:rsidRPr="00D5652A">
        <w:rPr>
          <w:rFonts w:ascii="Arial" w:hAnsi="Arial" w:cs="Arial"/>
          <w:sz w:val="24"/>
          <w:szCs w:val="24"/>
        </w:rPr>
        <w:t xml:space="preserve"> of PAJA,</w:t>
      </w:r>
      <w:r w:rsidR="009A33E3">
        <w:rPr>
          <w:rFonts w:ascii="Arial" w:hAnsi="Arial" w:cs="Arial"/>
          <w:sz w:val="24"/>
          <w:szCs w:val="24"/>
        </w:rPr>
        <w:t xml:space="preserve"> </w:t>
      </w:r>
      <w:r w:rsidRPr="00D5652A">
        <w:rPr>
          <w:rFonts w:ascii="Arial" w:hAnsi="Arial" w:cs="Arial"/>
          <w:sz w:val="24"/>
          <w:szCs w:val="24"/>
        </w:rPr>
        <w:t xml:space="preserve">and it was </w:t>
      </w:r>
      <w:r w:rsidR="009373EF" w:rsidRPr="00D5652A">
        <w:rPr>
          <w:rFonts w:ascii="Arial" w:hAnsi="Arial" w:cs="Arial"/>
          <w:sz w:val="24"/>
          <w:szCs w:val="24"/>
        </w:rPr>
        <w:t>obliged</w:t>
      </w:r>
      <w:r w:rsidRPr="00D5652A">
        <w:rPr>
          <w:rFonts w:ascii="Arial" w:hAnsi="Arial" w:cs="Arial"/>
          <w:sz w:val="24"/>
          <w:szCs w:val="24"/>
        </w:rPr>
        <w:t xml:space="preserve"> in terms of section 7(1) of </w:t>
      </w:r>
      <w:r w:rsidR="009373EF" w:rsidRPr="00D5652A">
        <w:rPr>
          <w:rFonts w:ascii="Arial" w:hAnsi="Arial" w:cs="Arial"/>
          <w:sz w:val="24"/>
          <w:szCs w:val="24"/>
        </w:rPr>
        <w:t>PAJA</w:t>
      </w:r>
      <w:r w:rsidRPr="00D5652A">
        <w:rPr>
          <w:rFonts w:ascii="Arial" w:hAnsi="Arial" w:cs="Arial"/>
          <w:sz w:val="24"/>
          <w:szCs w:val="24"/>
        </w:rPr>
        <w:t xml:space="preserve"> to bring its review within 180 days after its appeal lapsed on 15 June 2021, which period expired on 13 December 202</w:t>
      </w:r>
      <w:r w:rsidR="00AA5DEB" w:rsidRPr="00D5652A">
        <w:rPr>
          <w:rFonts w:ascii="Arial" w:hAnsi="Arial" w:cs="Arial"/>
          <w:sz w:val="24"/>
          <w:szCs w:val="24"/>
        </w:rPr>
        <w:t>1.</w:t>
      </w:r>
      <w:proofErr w:type="gramEnd"/>
      <w:r w:rsidR="00AA5DEB" w:rsidRPr="00D5652A">
        <w:rPr>
          <w:rFonts w:ascii="Arial" w:hAnsi="Arial" w:cs="Arial"/>
          <w:sz w:val="24"/>
          <w:szCs w:val="24"/>
        </w:rPr>
        <w:t xml:space="preserve"> It was submitted that Buhle</w:t>
      </w:r>
      <w:r w:rsidR="009A33E3">
        <w:rPr>
          <w:rFonts w:ascii="Arial" w:hAnsi="Arial" w:cs="Arial"/>
          <w:sz w:val="24"/>
          <w:szCs w:val="24"/>
        </w:rPr>
        <w:t xml:space="preserve"> </w:t>
      </w:r>
      <w:r w:rsidR="009373EF" w:rsidRPr="00D5652A">
        <w:rPr>
          <w:rFonts w:ascii="Arial" w:hAnsi="Arial" w:cs="Arial"/>
          <w:sz w:val="24"/>
          <w:szCs w:val="24"/>
        </w:rPr>
        <w:t>must</w:t>
      </w:r>
      <w:r w:rsidRPr="00D5652A">
        <w:rPr>
          <w:rFonts w:ascii="Arial" w:hAnsi="Arial" w:cs="Arial"/>
          <w:sz w:val="24"/>
          <w:szCs w:val="24"/>
        </w:rPr>
        <w:t xml:space="preserve"> b</w:t>
      </w:r>
      <w:r w:rsidR="009373EF" w:rsidRPr="00D5652A">
        <w:rPr>
          <w:rFonts w:ascii="Arial" w:hAnsi="Arial" w:cs="Arial"/>
          <w:sz w:val="24"/>
          <w:szCs w:val="24"/>
        </w:rPr>
        <w:t>r</w:t>
      </w:r>
      <w:r w:rsidRPr="00D5652A">
        <w:rPr>
          <w:rFonts w:ascii="Arial" w:hAnsi="Arial" w:cs="Arial"/>
          <w:sz w:val="24"/>
          <w:szCs w:val="24"/>
        </w:rPr>
        <w:t xml:space="preserve">ing its </w:t>
      </w:r>
      <w:r w:rsidR="009373EF" w:rsidRPr="00D5652A">
        <w:rPr>
          <w:rFonts w:ascii="Arial" w:hAnsi="Arial" w:cs="Arial"/>
          <w:sz w:val="24"/>
          <w:szCs w:val="24"/>
        </w:rPr>
        <w:t>review</w:t>
      </w:r>
      <w:r w:rsidRPr="00D5652A">
        <w:rPr>
          <w:rFonts w:ascii="Arial" w:hAnsi="Arial" w:cs="Arial"/>
          <w:sz w:val="24"/>
          <w:szCs w:val="24"/>
        </w:rPr>
        <w:t xml:space="preserve"> in the right forum at the </w:t>
      </w:r>
      <w:r w:rsidR="009373EF" w:rsidRPr="00D5652A">
        <w:rPr>
          <w:rFonts w:ascii="Arial" w:hAnsi="Arial" w:cs="Arial"/>
          <w:sz w:val="24"/>
          <w:szCs w:val="24"/>
        </w:rPr>
        <w:t>right</w:t>
      </w:r>
      <w:r w:rsidRPr="00D5652A">
        <w:rPr>
          <w:rFonts w:ascii="Arial" w:hAnsi="Arial" w:cs="Arial"/>
          <w:sz w:val="24"/>
          <w:szCs w:val="24"/>
        </w:rPr>
        <w:t xml:space="preserve"> </w:t>
      </w:r>
      <w:proofErr w:type="gramStart"/>
      <w:r w:rsidRPr="00D5652A">
        <w:rPr>
          <w:rFonts w:ascii="Arial" w:hAnsi="Arial" w:cs="Arial"/>
          <w:sz w:val="24"/>
          <w:szCs w:val="24"/>
        </w:rPr>
        <w:t>time,</w:t>
      </w:r>
      <w:proofErr w:type="gramEnd"/>
      <w:r w:rsidRPr="00D5652A">
        <w:rPr>
          <w:rFonts w:ascii="Arial" w:hAnsi="Arial" w:cs="Arial"/>
          <w:sz w:val="24"/>
          <w:szCs w:val="24"/>
        </w:rPr>
        <w:t xml:space="preserve"> with reliance being </w:t>
      </w:r>
      <w:r w:rsidR="00AA5DEB" w:rsidRPr="00D5652A">
        <w:rPr>
          <w:rFonts w:ascii="Arial" w:hAnsi="Arial" w:cs="Arial"/>
          <w:sz w:val="24"/>
          <w:szCs w:val="24"/>
        </w:rPr>
        <w:t xml:space="preserve">placed on </w:t>
      </w:r>
      <w:proofErr w:type="spellStart"/>
      <w:r w:rsidR="00AA5DEB" w:rsidRPr="00743E33">
        <w:rPr>
          <w:rFonts w:ascii="Arial" w:hAnsi="Arial" w:cs="Arial"/>
          <w:i/>
          <w:sz w:val="24"/>
          <w:szCs w:val="24"/>
        </w:rPr>
        <w:t>Merafo</w:t>
      </w:r>
      <w:r w:rsidR="009373EF" w:rsidRPr="00743E33">
        <w:rPr>
          <w:rFonts w:ascii="Arial" w:hAnsi="Arial" w:cs="Arial"/>
          <w:i/>
          <w:sz w:val="24"/>
          <w:szCs w:val="24"/>
        </w:rPr>
        <w:t>ng</w:t>
      </w:r>
      <w:proofErr w:type="spellEnd"/>
      <w:r w:rsidR="009373EF" w:rsidRPr="00743E33">
        <w:rPr>
          <w:rFonts w:ascii="Arial" w:hAnsi="Arial" w:cs="Arial"/>
          <w:i/>
          <w:sz w:val="24"/>
          <w:szCs w:val="24"/>
        </w:rPr>
        <w:t xml:space="preserve"> City v </w:t>
      </w:r>
      <w:proofErr w:type="spellStart"/>
      <w:r w:rsidR="009373EF" w:rsidRPr="00743E33">
        <w:rPr>
          <w:rFonts w:ascii="Arial" w:hAnsi="Arial" w:cs="Arial"/>
          <w:i/>
          <w:sz w:val="24"/>
          <w:szCs w:val="24"/>
        </w:rPr>
        <w:t>Anglogold</w:t>
      </w:r>
      <w:proofErr w:type="spellEnd"/>
      <w:r w:rsidR="009373EF" w:rsidRPr="00743E33">
        <w:rPr>
          <w:rFonts w:ascii="Arial" w:hAnsi="Arial" w:cs="Arial"/>
          <w:i/>
          <w:sz w:val="24"/>
          <w:szCs w:val="24"/>
        </w:rPr>
        <w:t xml:space="preserve"> Ashanti Ltd</w:t>
      </w:r>
      <w:r w:rsidR="009373EF" w:rsidRPr="00D5652A">
        <w:rPr>
          <w:rFonts w:ascii="Arial" w:hAnsi="Arial" w:cs="Arial"/>
          <w:sz w:val="24"/>
          <w:szCs w:val="24"/>
        </w:rPr>
        <w:t>.</w:t>
      </w:r>
      <w:r w:rsidR="00B42BAA">
        <w:rPr>
          <w:rStyle w:val="FootnoteReference"/>
          <w:rFonts w:ascii="Arial" w:hAnsi="Arial" w:cs="Arial"/>
          <w:sz w:val="24"/>
          <w:szCs w:val="24"/>
        </w:rPr>
        <w:footnoteReference w:id="25"/>
      </w:r>
      <w:r w:rsidR="009373EF" w:rsidRPr="00D5652A">
        <w:rPr>
          <w:rFonts w:ascii="Arial" w:hAnsi="Arial" w:cs="Arial"/>
          <w:sz w:val="24"/>
          <w:szCs w:val="24"/>
        </w:rPr>
        <w:t xml:space="preserve"> Buhle’s review is</w:t>
      </w:r>
      <w:r w:rsidR="00AA5DEB" w:rsidRPr="00D5652A">
        <w:rPr>
          <w:rFonts w:ascii="Arial" w:hAnsi="Arial" w:cs="Arial"/>
          <w:sz w:val="24"/>
          <w:szCs w:val="24"/>
        </w:rPr>
        <w:t xml:space="preserve"> furthermore</w:t>
      </w:r>
      <w:r w:rsidR="009A33E3">
        <w:rPr>
          <w:rFonts w:ascii="Arial" w:hAnsi="Arial" w:cs="Arial"/>
          <w:sz w:val="24"/>
          <w:szCs w:val="24"/>
        </w:rPr>
        <w:t xml:space="preserve"> </w:t>
      </w:r>
      <w:r w:rsidR="009373EF" w:rsidRPr="00D5652A">
        <w:rPr>
          <w:rFonts w:ascii="Arial" w:hAnsi="Arial" w:cs="Arial"/>
          <w:sz w:val="24"/>
          <w:szCs w:val="24"/>
        </w:rPr>
        <w:t>prema</w:t>
      </w:r>
      <w:r w:rsidR="00AA5DEB" w:rsidRPr="00D5652A">
        <w:rPr>
          <w:rFonts w:ascii="Arial" w:hAnsi="Arial" w:cs="Arial"/>
          <w:sz w:val="24"/>
          <w:szCs w:val="24"/>
        </w:rPr>
        <w:t xml:space="preserve">ture as its appeal is still </w:t>
      </w:r>
      <w:r w:rsidR="00BE3C79" w:rsidRPr="00D5652A">
        <w:rPr>
          <w:rFonts w:ascii="Arial" w:hAnsi="Arial" w:cs="Arial"/>
          <w:sz w:val="24"/>
          <w:szCs w:val="24"/>
        </w:rPr>
        <w:t>extan</w:t>
      </w:r>
      <w:r w:rsidR="00BE3C79">
        <w:rPr>
          <w:rFonts w:ascii="Arial" w:hAnsi="Arial" w:cs="Arial"/>
          <w:sz w:val="24"/>
          <w:szCs w:val="24"/>
        </w:rPr>
        <w:t>t</w:t>
      </w:r>
      <w:r w:rsidR="00BE3C79" w:rsidRPr="00D5652A">
        <w:rPr>
          <w:rFonts w:ascii="Arial" w:hAnsi="Arial" w:cs="Arial"/>
          <w:sz w:val="24"/>
          <w:szCs w:val="24"/>
        </w:rPr>
        <w:t xml:space="preserve"> </w:t>
      </w:r>
      <w:r w:rsidR="009373EF" w:rsidRPr="00D5652A">
        <w:rPr>
          <w:rFonts w:ascii="Arial" w:hAnsi="Arial" w:cs="Arial"/>
          <w:sz w:val="24"/>
          <w:szCs w:val="24"/>
        </w:rPr>
        <w:t>and has not been dealt with by the Bid Appeal’s Tribunal. It was submitted that Buhle has taken no action to prosecute its appeal</w:t>
      </w:r>
      <w:r w:rsidR="00AA5DEB" w:rsidRPr="00D5652A">
        <w:rPr>
          <w:rFonts w:ascii="Arial" w:hAnsi="Arial" w:cs="Arial"/>
          <w:sz w:val="24"/>
          <w:szCs w:val="24"/>
        </w:rPr>
        <w:t>. F</w:t>
      </w:r>
      <w:r w:rsidR="009373EF" w:rsidRPr="00D5652A">
        <w:rPr>
          <w:rFonts w:ascii="Arial" w:hAnsi="Arial" w:cs="Arial"/>
          <w:sz w:val="24"/>
          <w:szCs w:val="24"/>
        </w:rPr>
        <w:t>or these reas</w:t>
      </w:r>
      <w:r w:rsidR="00AA5DEB" w:rsidRPr="00D5652A">
        <w:rPr>
          <w:rFonts w:ascii="Arial" w:hAnsi="Arial" w:cs="Arial"/>
          <w:sz w:val="24"/>
          <w:szCs w:val="24"/>
        </w:rPr>
        <w:t>ons it was submitted that Buhle has not established that it has</w:t>
      </w:r>
      <w:r w:rsidR="009373EF" w:rsidRPr="00D5652A">
        <w:rPr>
          <w:rFonts w:ascii="Arial" w:hAnsi="Arial" w:cs="Arial"/>
          <w:sz w:val="24"/>
          <w:szCs w:val="24"/>
        </w:rPr>
        <w:t xml:space="preserve"> a basis to be joined as of right. </w:t>
      </w:r>
    </w:p>
    <w:p w:rsidR="001A49F9" w:rsidRPr="00D5652A" w:rsidRDefault="001A49F9" w:rsidP="00D5652A">
      <w:pPr>
        <w:spacing w:after="0" w:line="360" w:lineRule="auto"/>
        <w:contextualSpacing/>
        <w:jc w:val="both"/>
        <w:rPr>
          <w:rFonts w:ascii="Arial" w:hAnsi="Arial" w:cs="Arial"/>
          <w:sz w:val="24"/>
          <w:szCs w:val="24"/>
        </w:rPr>
      </w:pPr>
    </w:p>
    <w:p w:rsidR="001A49F9" w:rsidRPr="00D5652A" w:rsidRDefault="001A49F9"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As far as joinder as a matter of convenience is concerned it was inter alia submitted that:</w:t>
      </w:r>
    </w:p>
    <w:p w:rsidR="001A49F9" w:rsidRPr="00D5652A" w:rsidRDefault="009C6663"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T</w:t>
      </w:r>
      <w:r w:rsidR="001A49F9" w:rsidRPr="00D5652A">
        <w:rPr>
          <w:rFonts w:ascii="Arial" w:hAnsi="Arial" w:cs="Arial"/>
          <w:sz w:val="24"/>
          <w:szCs w:val="24"/>
        </w:rPr>
        <w:t>o allow Buhle to intervene to ventilate</w:t>
      </w:r>
      <w:r w:rsidRPr="00D5652A">
        <w:rPr>
          <w:rFonts w:ascii="Arial" w:hAnsi="Arial" w:cs="Arial"/>
          <w:sz w:val="24"/>
          <w:szCs w:val="24"/>
        </w:rPr>
        <w:t xml:space="preserve"> its objections in relation to A</w:t>
      </w:r>
      <w:r w:rsidR="001A49F9" w:rsidRPr="00D5652A">
        <w:rPr>
          <w:rFonts w:ascii="Arial" w:hAnsi="Arial" w:cs="Arial"/>
          <w:sz w:val="24"/>
          <w:szCs w:val="24"/>
        </w:rPr>
        <w:t xml:space="preserve">reas 1 and 3 would </w:t>
      </w:r>
      <w:r w:rsidRPr="00D5652A">
        <w:rPr>
          <w:rFonts w:ascii="Arial" w:hAnsi="Arial" w:cs="Arial"/>
          <w:sz w:val="24"/>
          <w:szCs w:val="24"/>
        </w:rPr>
        <w:t>result in grave prejudice and inconvenience to Makhathini.</w:t>
      </w:r>
    </w:p>
    <w:p w:rsidR="009C6663" w:rsidRPr="00D5652A" w:rsidRDefault="009C6663"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Makhathini’s review application will be delayed until Buhle has joined Ecocycle and Vikela and once they have been joined, further delays will ensue in order to obtain the record for the decisions relating to Areas 1 and 3.</w:t>
      </w:r>
    </w:p>
    <w:p w:rsidR="009C6663" w:rsidRPr="00D5652A" w:rsidRDefault="00AA5DEB"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I</w:t>
      </w:r>
      <w:r w:rsidR="009C6663" w:rsidRPr="00D5652A">
        <w:rPr>
          <w:rFonts w:ascii="Arial" w:hAnsi="Arial" w:cs="Arial"/>
          <w:sz w:val="24"/>
          <w:szCs w:val="24"/>
        </w:rPr>
        <w:t xml:space="preserve">t was not convenient for Buhle to consolidate its review application and the causes of action it proposes </w:t>
      </w:r>
      <w:r w:rsidR="001F2E2A" w:rsidRPr="00D5652A">
        <w:rPr>
          <w:rFonts w:ascii="Arial" w:hAnsi="Arial" w:cs="Arial"/>
          <w:sz w:val="24"/>
          <w:szCs w:val="24"/>
        </w:rPr>
        <w:t>with Makhathini’s review application, especially bearing in mind that Ecocycle and Vikela are not parties in Makhathini’s review application and have not been joined in the intervention application.</w:t>
      </w:r>
    </w:p>
    <w:p w:rsidR="001F2E2A" w:rsidRPr="00D5652A" w:rsidRDefault="001F2E2A"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The records relating to Areas 1 and 3 will be irrelevant to Makhathini’s review application.</w:t>
      </w:r>
    </w:p>
    <w:p w:rsidR="001F2E2A" w:rsidRPr="00D5652A" w:rsidRDefault="001F2E2A"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Buhle seeks to </w:t>
      </w:r>
      <w:r w:rsidR="00AA5DEB" w:rsidRPr="00D5652A">
        <w:rPr>
          <w:rFonts w:ascii="Arial" w:hAnsi="Arial" w:cs="Arial"/>
          <w:sz w:val="24"/>
          <w:szCs w:val="24"/>
        </w:rPr>
        <w:t xml:space="preserve">intervene as a co-applicant in </w:t>
      </w:r>
      <w:r w:rsidRPr="00D5652A">
        <w:rPr>
          <w:rFonts w:ascii="Arial" w:hAnsi="Arial" w:cs="Arial"/>
          <w:sz w:val="24"/>
          <w:szCs w:val="24"/>
        </w:rPr>
        <w:t>Makhathini’s review application but also seeks relief against Makhathini as it intends adding a cause of action, reviewing the tender award to Makhathini in respect of Area 1. Makhathini has not been joined as an interested party who would be entitled to oppose the application. The rules further</w:t>
      </w:r>
      <w:r w:rsidR="00AA5DEB" w:rsidRPr="00D5652A">
        <w:rPr>
          <w:rFonts w:ascii="Arial" w:hAnsi="Arial" w:cs="Arial"/>
          <w:sz w:val="24"/>
          <w:szCs w:val="24"/>
        </w:rPr>
        <w:t>more</w:t>
      </w:r>
      <w:r w:rsidR="004A0ABC" w:rsidRPr="00D5652A">
        <w:rPr>
          <w:rFonts w:ascii="Arial" w:hAnsi="Arial" w:cs="Arial"/>
          <w:sz w:val="24"/>
          <w:szCs w:val="24"/>
        </w:rPr>
        <w:t xml:space="preserve"> make</w:t>
      </w:r>
      <w:r w:rsidRPr="00D5652A">
        <w:rPr>
          <w:rFonts w:ascii="Arial" w:hAnsi="Arial" w:cs="Arial"/>
          <w:sz w:val="24"/>
          <w:szCs w:val="24"/>
        </w:rPr>
        <w:t xml:space="preserve"> no provision for one applicant to seek relief against another applicant.</w:t>
      </w:r>
    </w:p>
    <w:p w:rsidR="001F2E2A" w:rsidRPr="00D5652A" w:rsidRDefault="001F2E2A" w:rsidP="00D5652A">
      <w:pPr>
        <w:pStyle w:val="ListParagraph"/>
        <w:numPr>
          <w:ilvl w:val="1"/>
          <w:numId w:val="1"/>
        </w:numPr>
        <w:spacing w:after="0" w:line="360" w:lineRule="auto"/>
        <w:ind w:left="0" w:firstLine="0"/>
        <w:jc w:val="both"/>
        <w:rPr>
          <w:rFonts w:ascii="Arial" w:hAnsi="Arial" w:cs="Arial"/>
          <w:sz w:val="24"/>
          <w:szCs w:val="24"/>
        </w:rPr>
      </w:pPr>
      <w:r w:rsidRPr="00D5652A">
        <w:rPr>
          <w:rFonts w:ascii="Arial" w:hAnsi="Arial" w:cs="Arial"/>
          <w:sz w:val="24"/>
          <w:szCs w:val="24"/>
        </w:rPr>
        <w:t>It was submitted that Buhle’s remedy is to institute a separate review application which can be dealt with on its own terms and disposed of without interfering with the procedures and timelines of Makhathini’s review application. Reference was</w:t>
      </w:r>
      <w:r w:rsidR="00842603" w:rsidRPr="00D5652A">
        <w:rPr>
          <w:rFonts w:ascii="Arial" w:hAnsi="Arial" w:cs="Arial"/>
          <w:sz w:val="24"/>
          <w:szCs w:val="24"/>
        </w:rPr>
        <w:t xml:space="preserve"> </w:t>
      </w:r>
      <w:r w:rsidRPr="00D5652A">
        <w:rPr>
          <w:rFonts w:ascii="Arial" w:hAnsi="Arial" w:cs="Arial"/>
          <w:sz w:val="24"/>
          <w:szCs w:val="24"/>
        </w:rPr>
        <w:t xml:space="preserve">made to </w:t>
      </w:r>
      <w:r w:rsidRPr="002D5D1E">
        <w:rPr>
          <w:rFonts w:ascii="Arial" w:hAnsi="Arial" w:cs="Arial"/>
          <w:i/>
          <w:sz w:val="24"/>
          <w:szCs w:val="24"/>
        </w:rPr>
        <w:t>Premier of KwaZulu</w:t>
      </w:r>
      <w:r w:rsidR="00842603" w:rsidRPr="002D5D1E">
        <w:rPr>
          <w:rFonts w:ascii="Arial" w:hAnsi="Arial" w:cs="Arial"/>
          <w:i/>
          <w:sz w:val="24"/>
          <w:szCs w:val="24"/>
        </w:rPr>
        <w:t>-</w:t>
      </w:r>
      <w:r w:rsidRPr="002D5D1E">
        <w:rPr>
          <w:rFonts w:ascii="Arial" w:hAnsi="Arial" w:cs="Arial"/>
          <w:i/>
          <w:sz w:val="24"/>
          <w:szCs w:val="24"/>
        </w:rPr>
        <w:t>N</w:t>
      </w:r>
      <w:r w:rsidR="00294472" w:rsidRPr="002D5D1E">
        <w:rPr>
          <w:rFonts w:ascii="Arial" w:hAnsi="Arial" w:cs="Arial"/>
          <w:i/>
          <w:sz w:val="24"/>
          <w:szCs w:val="24"/>
        </w:rPr>
        <w:t>atal others v KwaZulu-Natal Gaming and Betting Board and others and a related matter</w:t>
      </w:r>
      <w:r w:rsidR="00294472" w:rsidRPr="00D5652A">
        <w:rPr>
          <w:rFonts w:ascii="Arial" w:hAnsi="Arial" w:cs="Arial"/>
          <w:sz w:val="24"/>
          <w:szCs w:val="24"/>
        </w:rPr>
        <w:t>.</w:t>
      </w:r>
      <w:r w:rsidR="002D5D1E">
        <w:rPr>
          <w:rStyle w:val="FootnoteReference"/>
          <w:rFonts w:ascii="Arial" w:hAnsi="Arial" w:cs="Arial"/>
          <w:sz w:val="24"/>
          <w:szCs w:val="24"/>
        </w:rPr>
        <w:footnoteReference w:id="26"/>
      </w:r>
      <w:r w:rsidR="00294472" w:rsidRPr="00D5652A">
        <w:rPr>
          <w:rFonts w:ascii="Arial" w:hAnsi="Arial" w:cs="Arial"/>
          <w:sz w:val="24"/>
          <w:szCs w:val="24"/>
        </w:rPr>
        <w:t xml:space="preserve"> Olsen J held that applications to join certain suppliers had to fail as it sought to bring three new sets of decisions under review in the original review application</w:t>
      </w:r>
      <w:r w:rsidR="009A33E3">
        <w:rPr>
          <w:rFonts w:ascii="Arial" w:hAnsi="Arial" w:cs="Arial"/>
          <w:sz w:val="24"/>
          <w:szCs w:val="24"/>
        </w:rPr>
        <w:t xml:space="preserve"> </w:t>
      </w:r>
      <w:r w:rsidR="00294472" w:rsidRPr="00D5652A">
        <w:rPr>
          <w:rFonts w:ascii="Arial" w:hAnsi="Arial" w:cs="Arial"/>
          <w:sz w:val="24"/>
          <w:szCs w:val="24"/>
        </w:rPr>
        <w:t>which would also have entailed the joinder of the suppliers, who were not parties to the review application.</w:t>
      </w:r>
      <w:r w:rsidR="002D5D1E">
        <w:rPr>
          <w:rStyle w:val="FootnoteReference"/>
          <w:rFonts w:ascii="Arial" w:hAnsi="Arial" w:cs="Arial"/>
          <w:sz w:val="24"/>
          <w:szCs w:val="24"/>
        </w:rPr>
        <w:footnoteReference w:id="27"/>
      </w:r>
      <w:r w:rsidR="00294472" w:rsidRPr="00D5652A">
        <w:rPr>
          <w:rFonts w:ascii="Arial" w:hAnsi="Arial" w:cs="Arial"/>
          <w:sz w:val="24"/>
          <w:szCs w:val="24"/>
        </w:rPr>
        <w:t xml:space="preserve"> It would lead to an extension of the duration of the proceeding and the costs would increase significantly. It would also raise technical issues to which the original parties would have nothing to contribute.</w:t>
      </w:r>
      <w:r w:rsidR="009A33E3">
        <w:rPr>
          <w:rFonts w:ascii="Arial" w:hAnsi="Arial" w:cs="Arial"/>
          <w:sz w:val="24"/>
          <w:szCs w:val="24"/>
        </w:rPr>
        <w:t xml:space="preserve"> </w:t>
      </w:r>
    </w:p>
    <w:p w:rsidR="00294472" w:rsidRPr="00D5652A" w:rsidRDefault="00294472" w:rsidP="00D5652A">
      <w:pPr>
        <w:spacing w:after="0" w:line="360" w:lineRule="auto"/>
        <w:contextualSpacing/>
        <w:jc w:val="both"/>
        <w:rPr>
          <w:rFonts w:ascii="Arial" w:hAnsi="Arial" w:cs="Arial"/>
          <w:sz w:val="24"/>
          <w:szCs w:val="24"/>
        </w:rPr>
      </w:pPr>
    </w:p>
    <w:p w:rsidR="00294472" w:rsidRPr="00D5652A" w:rsidRDefault="004A0ABC" w:rsidP="00D5652A">
      <w:pPr>
        <w:pStyle w:val="ListParagraph"/>
        <w:numPr>
          <w:ilvl w:val="0"/>
          <w:numId w:val="1"/>
        </w:numPr>
        <w:spacing w:after="0" w:line="360" w:lineRule="auto"/>
        <w:ind w:left="0" w:firstLine="0"/>
        <w:jc w:val="both"/>
        <w:rPr>
          <w:rFonts w:ascii="Arial" w:hAnsi="Arial" w:cs="Arial"/>
          <w:sz w:val="24"/>
          <w:szCs w:val="24"/>
        </w:rPr>
      </w:pPr>
      <w:proofErr w:type="spellStart"/>
      <w:r w:rsidRPr="00D5652A">
        <w:rPr>
          <w:rFonts w:ascii="Arial" w:hAnsi="Arial" w:cs="Arial"/>
          <w:sz w:val="24"/>
          <w:szCs w:val="24"/>
        </w:rPr>
        <w:t>Mr</w:t>
      </w:r>
      <w:proofErr w:type="spellEnd"/>
      <w:r w:rsidRPr="00D5652A">
        <w:rPr>
          <w:rFonts w:ascii="Arial" w:hAnsi="Arial" w:cs="Arial"/>
          <w:sz w:val="24"/>
          <w:szCs w:val="24"/>
        </w:rPr>
        <w:t xml:space="preserve"> Singh submitted </w:t>
      </w:r>
      <w:r w:rsidR="00294472" w:rsidRPr="00D5652A">
        <w:rPr>
          <w:rFonts w:ascii="Arial" w:hAnsi="Arial" w:cs="Arial"/>
          <w:sz w:val="24"/>
          <w:szCs w:val="24"/>
        </w:rPr>
        <w:t>tha</w:t>
      </w:r>
      <w:r w:rsidRPr="00D5652A">
        <w:rPr>
          <w:rFonts w:ascii="Arial" w:hAnsi="Arial" w:cs="Arial"/>
          <w:sz w:val="24"/>
          <w:szCs w:val="24"/>
        </w:rPr>
        <w:t xml:space="preserve">t </w:t>
      </w:r>
      <w:r w:rsidR="00020C4C" w:rsidRPr="002D5D1E">
        <w:rPr>
          <w:rFonts w:ascii="Arial" w:hAnsi="Arial" w:cs="Arial"/>
          <w:i/>
          <w:sz w:val="24"/>
          <w:szCs w:val="24"/>
        </w:rPr>
        <w:t>KwaZulu-Natal Gaming and Betting Board</w:t>
      </w:r>
      <w:r w:rsidR="00020C4C" w:rsidRPr="00D5652A" w:rsidDel="00020C4C">
        <w:rPr>
          <w:rFonts w:ascii="Arial" w:hAnsi="Arial" w:cs="Arial"/>
          <w:sz w:val="24"/>
          <w:szCs w:val="24"/>
        </w:rPr>
        <w:t xml:space="preserve"> </w:t>
      </w:r>
      <w:r w:rsidRPr="00D5652A">
        <w:rPr>
          <w:rFonts w:ascii="Arial" w:hAnsi="Arial" w:cs="Arial"/>
          <w:sz w:val="24"/>
          <w:szCs w:val="24"/>
        </w:rPr>
        <w:t>was on all fou</w:t>
      </w:r>
      <w:r w:rsidR="00294472" w:rsidRPr="00D5652A">
        <w:rPr>
          <w:rFonts w:ascii="Arial" w:hAnsi="Arial" w:cs="Arial"/>
          <w:sz w:val="24"/>
          <w:szCs w:val="24"/>
        </w:rPr>
        <w:t xml:space="preserve">rs with the present matter and that Buhle is seeking to join different causes of action involving different decisions and different parties. It was also submitted that Buhle has failed to make out a case in terms of the common law to intervene in terms of Uniform </w:t>
      </w:r>
      <w:r w:rsidR="00020C4C" w:rsidRPr="00D5652A">
        <w:rPr>
          <w:rFonts w:ascii="Arial" w:hAnsi="Arial" w:cs="Arial"/>
          <w:sz w:val="24"/>
          <w:szCs w:val="24"/>
        </w:rPr>
        <w:t xml:space="preserve">rule </w:t>
      </w:r>
      <w:r w:rsidR="00294472" w:rsidRPr="00D5652A">
        <w:rPr>
          <w:rFonts w:ascii="Arial" w:hAnsi="Arial" w:cs="Arial"/>
          <w:sz w:val="24"/>
          <w:szCs w:val="24"/>
        </w:rPr>
        <w:t>12.</w:t>
      </w:r>
    </w:p>
    <w:p w:rsidR="00294472" w:rsidRPr="00D5652A" w:rsidRDefault="00294472" w:rsidP="00D5652A">
      <w:pPr>
        <w:spacing w:after="0" w:line="360" w:lineRule="auto"/>
        <w:contextualSpacing/>
        <w:jc w:val="both"/>
        <w:rPr>
          <w:rFonts w:ascii="Arial" w:hAnsi="Arial" w:cs="Arial"/>
          <w:sz w:val="24"/>
          <w:szCs w:val="24"/>
        </w:rPr>
      </w:pPr>
    </w:p>
    <w:p w:rsidR="00294472" w:rsidRPr="00D5652A" w:rsidRDefault="004A0ABC" w:rsidP="00D5652A">
      <w:pPr>
        <w:pStyle w:val="ListParagraph"/>
        <w:numPr>
          <w:ilvl w:val="0"/>
          <w:numId w:val="1"/>
        </w:numPr>
        <w:spacing w:after="0" w:line="360" w:lineRule="auto"/>
        <w:ind w:left="0" w:firstLine="0"/>
        <w:jc w:val="both"/>
        <w:rPr>
          <w:rFonts w:ascii="Arial" w:hAnsi="Arial" w:cs="Arial"/>
          <w:sz w:val="24"/>
          <w:szCs w:val="24"/>
        </w:rPr>
      </w:pPr>
      <w:proofErr w:type="spellStart"/>
      <w:r w:rsidRPr="00D5652A">
        <w:rPr>
          <w:rFonts w:ascii="Arial" w:hAnsi="Arial" w:cs="Arial"/>
          <w:sz w:val="24"/>
          <w:szCs w:val="24"/>
        </w:rPr>
        <w:t>Mr</w:t>
      </w:r>
      <w:proofErr w:type="spellEnd"/>
      <w:r w:rsidRPr="00D5652A">
        <w:rPr>
          <w:rFonts w:ascii="Arial" w:hAnsi="Arial" w:cs="Arial"/>
          <w:sz w:val="24"/>
          <w:szCs w:val="24"/>
        </w:rPr>
        <w:t xml:space="preserve"> Singh</w:t>
      </w:r>
      <w:r w:rsidR="009A33E3">
        <w:rPr>
          <w:rFonts w:ascii="Arial" w:hAnsi="Arial" w:cs="Arial"/>
          <w:sz w:val="24"/>
          <w:szCs w:val="24"/>
        </w:rPr>
        <w:t xml:space="preserve"> </w:t>
      </w:r>
      <w:r w:rsidR="00294472" w:rsidRPr="00D5652A">
        <w:rPr>
          <w:rFonts w:ascii="Arial" w:hAnsi="Arial" w:cs="Arial"/>
          <w:sz w:val="24"/>
          <w:szCs w:val="24"/>
        </w:rPr>
        <w:t>in closing urged me to dismiss the application unless Buhle confined</w:t>
      </w:r>
      <w:r w:rsidR="009A33E3">
        <w:rPr>
          <w:rFonts w:ascii="Arial" w:hAnsi="Arial" w:cs="Arial"/>
          <w:sz w:val="24"/>
          <w:szCs w:val="24"/>
        </w:rPr>
        <w:t xml:space="preserve"> </w:t>
      </w:r>
      <w:r w:rsidR="00294472" w:rsidRPr="00D5652A">
        <w:rPr>
          <w:rFonts w:ascii="Arial" w:hAnsi="Arial" w:cs="Arial"/>
          <w:sz w:val="24"/>
          <w:szCs w:val="24"/>
        </w:rPr>
        <w:t xml:space="preserve">itself to a challenge in respect of Area 2 only and aligned itself with Makhathini’s challenge. </w:t>
      </w:r>
    </w:p>
    <w:p w:rsidR="00294472" w:rsidRPr="00D5652A" w:rsidRDefault="00294472" w:rsidP="00D5652A">
      <w:pPr>
        <w:spacing w:after="0" w:line="360" w:lineRule="auto"/>
        <w:contextualSpacing/>
        <w:jc w:val="both"/>
        <w:rPr>
          <w:rFonts w:ascii="Arial" w:hAnsi="Arial" w:cs="Arial"/>
          <w:sz w:val="24"/>
          <w:szCs w:val="24"/>
        </w:rPr>
      </w:pPr>
    </w:p>
    <w:p w:rsidR="00294472" w:rsidRPr="00D5652A" w:rsidRDefault="00294472" w:rsidP="00D5652A">
      <w:pPr>
        <w:pStyle w:val="ListParagraph"/>
        <w:spacing w:after="0" w:line="360" w:lineRule="auto"/>
        <w:ind w:left="0"/>
        <w:jc w:val="both"/>
        <w:rPr>
          <w:rFonts w:ascii="Arial" w:hAnsi="Arial" w:cs="Arial"/>
          <w:b/>
          <w:sz w:val="24"/>
          <w:szCs w:val="24"/>
        </w:rPr>
      </w:pPr>
      <w:r w:rsidRPr="00D5652A">
        <w:rPr>
          <w:rFonts w:ascii="Arial" w:hAnsi="Arial" w:cs="Arial"/>
          <w:b/>
          <w:sz w:val="24"/>
          <w:szCs w:val="24"/>
        </w:rPr>
        <w:t xml:space="preserve">The Department’s </w:t>
      </w:r>
      <w:r w:rsidR="00020C4C" w:rsidRPr="00D5652A">
        <w:rPr>
          <w:rFonts w:ascii="Arial" w:hAnsi="Arial" w:cs="Arial"/>
          <w:b/>
          <w:sz w:val="24"/>
          <w:szCs w:val="24"/>
        </w:rPr>
        <w:t>submissions</w:t>
      </w:r>
    </w:p>
    <w:p w:rsidR="00294472" w:rsidRPr="00D5652A" w:rsidRDefault="00294472" w:rsidP="00020C4C">
      <w:pPr>
        <w:pStyle w:val="ListParagraph"/>
        <w:numPr>
          <w:ilvl w:val="0"/>
          <w:numId w:val="1"/>
        </w:numPr>
        <w:spacing w:after="0" w:line="360" w:lineRule="auto"/>
        <w:ind w:left="0" w:firstLine="0"/>
        <w:jc w:val="both"/>
        <w:rPr>
          <w:rFonts w:ascii="Arial" w:hAnsi="Arial" w:cs="Arial"/>
          <w:sz w:val="24"/>
          <w:szCs w:val="24"/>
        </w:rPr>
      </w:pPr>
      <w:proofErr w:type="spellStart"/>
      <w:r w:rsidRPr="00D5652A">
        <w:rPr>
          <w:rFonts w:ascii="Arial" w:hAnsi="Arial" w:cs="Arial"/>
          <w:sz w:val="24"/>
          <w:szCs w:val="24"/>
        </w:rPr>
        <w:t>Mr</w:t>
      </w:r>
      <w:proofErr w:type="spellEnd"/>
      <w:r w:rsidRPr="00D5652A">
        <w:rPr>
          <w:rFonts w:ascii="Arial" w:hAnsi="Arial" w:cs="Arial"/>
          <w:sz w:val="24"/>
          <w:szCs w:val="24"/>
        </w:rPr>
        <w:t xml:space="preserve"> V Naidoo SC, appeari</w:t>
      </w:r>
      <w:r w:rsidR="004A0ABC" w:rsidRPr="00D5652A">
        <w:rPr>
          <w:rFonts w:ascii="Arial" w:hAnsi="Arial" w:cs="Arial"/>
          <w:sz w:val="24"/>
          <w:szCs w:val="24"/>
        </w:rPr>
        <w:t xml:space="preserve">ng for the </w:t>
      </w:r>
      <w:r w:rsidR="00020C4C" w:rsidRPr="00D5652A">
        <w:rPr>
          <w:rFonts w:ascii="Arial" w:hAnsi="Arial" w:cs="Arial"/>
          <w:sz w:val="24"/>
          <w:szCs w:val="24"/>
        </w:rPr>
        <w:t xml:space="preserve">Department </w:t>
      </w:r>
      <w:r w:rsidR="004A0ABC" w:rsidRPr="00D5652A">
        <w:rPr>
          <w:rFonts w:ascii="Arial" w:hAnsi="Arial" w:cs="Arial"/>
          <w:sz w:val="24"/>
          <w:szCs w:val="24"/>
        </w:rPr>
        <w:t>indicated that he supported the</w:t>
      </w:r>
      <w:r w:rsidR="009A33E3">
        <w:rPr>
          <w:rFonts w:ascii="Arial" w:hAnsi="Arial" w:cs="Arial"/>
          <w:sz w:val="24"/>
          <w:szCs w:val="24"/>
        </w:rPr>
        <w:t xml:space="preserve"> </w:t>
      </w:r>
      <w:r w:rsidRPr="00D5652A">
        <w:rPr>
          <w:rFonts w:ascii="Arial" w:hAnsi="Arial" w:cs="Arial"/>
          <w:sz w:val="24"/>
          <w:szCs w:val="24"/>
        </w:rPr>
        <w:t xml:space="preserve">submissions made by </w:t>
      </w:r>
      <w:proofErr w:type="spellStart"/>
      <w:r w:rsidRPr="00D5652A">
        <w:rPr>
          <w:rFonts w:ascii="Arial" w:hAnsi="Arial" w:cs="Arial"/>
          <w:sz w:val="24"/>
          <w:szCs w:val="24"/>
        </w:rPr>
        <w:t>Mr</w:t>
      </w:r>
      <w:proofErr w:type="spellEnd"/>
      <w:r w:rsidRPr="00D5652A">
        <w:rPr>
          <w:rFonts w:ascii="Arial" w:hAnsi="Arial" w:cs="Arial"/>
          <w:sz w:val="24"/>
          <w:szCs w:val="24"/>
        </w:rPr>
        <w:t xml:space="preserve"> Singh SC</w:t>
      </w:r>
      <w:r w:rsidR="004A0ABC" w:rsidRPr="00D5652A">
        <w:rPr>
          <w:rFonts w:ascii="Arial" w:hAnsi="Arial" w:cs="Arial"/>
          <w:sz w:val="24"/>
          <w:szCs w:val="24"/>
        </w:rPr>
        <w:t xml:space="preserve"> on behalf of Makha</w:t>
      </w:r>
      <w:r w:rsidR="00035167" w:rsidRPr="00D5652A">
        <w:rPr>
          <w:rFonts w:ascii="Arial" w:hAnsi="Arial" w:cs="Arial"/>
          <w:sz w:val="24"/>
          <w:szCs w:val="24"/>
        </w:rPr>
        <w:t>thini</w:t>
      </w:r>
      <w:r w:rsidRPr="00D5652A">
        <w:rPr>
          <w:rFonts w:ascii="Arial" w:hAnsi="Arial" w:cs="Arial"/>
          <w:sz w:val="24"/>
          <w:szCs w:val="24"/>
        </w:rPr>
        <w:t>.</w:t>
      </w:r>
      <w:r w:rsidR="004B393F">
        <w:rPr>
          <w:rFonts w:ascii="Arial" w:hAnsi="Arial" w:cs="Arial"/>
          <w:sz w:val="24"/>
          <w:szCs w:val="24"/>
        </w:rPr>
        <w:t xml:space="preserve"> </w:t>
      </w:r>
      <w:r w:rsidRPr="00D5652A">
        <w:rPr>
          <w:rFonts w:ascii="Arial" w:hAnsi="Arial" w:cs="Arial"/>
          <w:sz w:val="24"/>
          <w:szCs w:val="24"/>
        </w:rPr>
        <w:t xml:space="preserve">He handed further argument over to his junior, </w:t>
      </w:r>
      <w:proofErr w:type="spellStart"/>
      <w:r w:rsidRPr="00D5652A">
        <w:rPr>
          <w:rFonts w:ascii="Arial" w:hAnsi="Arial" w:cs="Arial"/>
          <w:sz w:val="24"/>
          <w:szCs w:val="24"/>
        </w:rPr>
        <w:t>Mr</w:t>
      </w:r>
      <w:proofErr w:type="spellEnd"/>
      <w:r w:rsidRPr="00D5652A">
        <w:rPr>
          <w:rFonts w:ascii="Arial" w:hAnsi="Arial" w:cs="Arial"/>
          <w:sz w:val="24"/>
          <w:szCs w:val="24"/>
        </w:rPr>
        <w:t xml:space="preserve"> C Reddy who proceeded to address me inter alia on the issue of Buhle’s alleged non-compliance with PAJA. It was submitted that Buhle’s tender was the lowest ranked tender and that it was accordingly ‘not even a horse in the race</w:t>
      </w:r>
      <w:r w:rsidR="00020C4C">
        <w:rPr>
          <w:rFonts w:ascii="Arial" w:hAnsi="Arial" w:cs="Arial"/>
          <w:sz w:val="24"/>
          <w:szCs w:val="24"/>
        </w:rPr>
        <w:t>’</w:t>
      </w:r>
      <w:r w:rsidRPr="00D5652A">
        <w:rPr>
          <w:rFonts w:ascii="Arial" w:hAnsi="Arial" w:cs="Arial"/>
          <w:sz w:val="24"/>
          <w:szCs w:val="24"/>
        </w:rPr>
        <w:t xml:space="preserve">. It was also submitted that Buhle has not shown that it has an interest in the outcome of the tender. </w:t>
      </w:r>
    </w:p>
    <w:p w:rsidR="00294472" w:rsidRPr="00D5652A" w:rsidRDefault="00294472" w:rsidP="00D5652A">
      <w:pPr>
        <w:spacing w:after="0" w:line="360" w:lineRule="auto"/>
        <w:contextualSpacing/>
        <w:jc w:val="both"/>
        <w:rPr>
          <w:rFonts w:ascii="Arial" w:hAnsi="Arial" w:cs="Arial"/>
          <w:sz w:val="24"/>
          <w:szCs w:val="24"/>
        </w:rPr>
      </w:pPr>
    </w:p>
    <w:p w:rsidR="00294472" w:rsidRPr="00D5652A" w:rsidRDefault="004A0ABC"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The D</w:t>
      </w:r>
      <w:r w:rsidR="00294472" w:rsidRPr="00D5652A">
        <w:rPr>
          <w:rFonts w:ascii="Arial" w:hAnsi="Arial" w:cs="Arial"/>
          <w:sz w:val="24"/>
          <w:szCs w:val="24"/>
        </w:rPr>
        <w:t>epartment’s counsel also made submission</w:t>
      </w:r>
      <w:r w:rsidRPr="00D5652A">
        <w:rPr>
          <w:rFonts w:ascii="Arial" w:hAnsi="Arial" w:cs="Arial"/>
          <w:sz w:val="24"/>
          <w:szCs w:val="24"/>
        </w:rPr>
        <w:t>s</w:t>
      </w:r>
      <w:r w:rsidR="00294472" w:rsidRPr="00D5652A">
        <w:rPr>
          <w:rFonts w:ascii="Arial" w:hAnsi="Arial" w:cs="Arial"/>
          <w:sz w:val="24"/>
          <w:szCs w:val="24"/>
        </w:rPr>
        <w:t xml:space="preserve"> regarding t</w:t>
      </w:r>
      <w:r w:rsidR="00C51D01" w:rsidRPr="00D5652A">
        <w:rPr>
          <w:rFonts w:ascii="Arial" w:hAnsi="Arial" w:cs="Arial"/>
          <w:sz w:val="24"/>
          <w:szCs w:val="24"/>
        </w:rPr>
        <w:t xml:space="preserve">he non-joinder of Ecocycle and </w:t>
      </w:r>
      <w:r w:rsidR="00294472" w:rsidRPr="00D5652A">
        <w:rPr>
          <w:rFonts w:ascii="Arial" w:hAnsi="Arial" w:cs="Arial"/>
          <w:sz w:val="24"/>
          <w:szCs w:val="24"/>
        </w:rPr>
        <w:t>Vikela as well as Buhle’s failure to exhaust its inte</w:t>
      </w:r>
      <w:r w:rsidR="00035167" w:rsidRPr="00D5652A">
        <w:rPr>
          <w:rFonts w:ascii="Arial" w:hAnsi="Arial" w:cs="Arial"/>
          <w:sz w:val="24"/>
          <w:szCs w:val="24"/>
        </w:rPr>
        <w:t>rnal remedies. Submissions were</w:t>
      </w:r>
      <w:r w:rsidR="00294472" w:rsidRPr="00D5652A">
        <w:rPr>
          <w:rFonts w:ascii="Arial" w:hAnsi="Arial" w:cs="Arial"/>
          <w:sz w:val="24"/>
          <w:szCs w:val="24"/>
        </w:rPr>
        <w:t xml:space="preserve"> further made regarding Buhle’s alleged failure to take action within the requisite period of 180 days as required by </w:t>
      </w:r>
      <w:r w:rsidR="00035167" w:rsidRPr="00D5652A">
        <w:rPr>
          <w:rFonts w:ascii="Arial" w:hAnsi="Arial" w:cs="Arial"/>
          <w:sz w:val="24"/>
          <w:szCs w:val="24"/>
        </w:rPr>
        <w:t>PAJA. I have dealt with Buhle’s apparent delay above as well as the remedies at its disposal.</w:t>
      </w:r>
    </w:p>
    <w:p w:rsidR="00C51D01" w:rsidRPr="00D5652A" w:rsidRDefault="00C51D01" w:rsidP="00D5652A">
      <w:pPr>
        <w:spacing w:after="0" w:line="360" w:lineRule="auto"/>
        <w:contextualSpacing/>
        <w:jc w:val="both"/>
        <w:rPr>
          <w:rFonts w:ascii="Arial" w:hAnsi="Arial" w:cs="Arial"/>
          <w:sz w:val="24"/>
          <w:szCs w:val="24"/>
        </w:rPr>
      </w:pPr>
    </w:p>
    <w:p w:rsidR="00C51D01" w:rsidRPr="00D5652A" w:rsidRDefault="00C51D01"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As far as Buhle’s allegations and submissions regarding the extension of the tender validity period is concerned, it was submitted that the case relied upon by Buhle is distinguishable from the facts in the present matter. I was referred to two further judgments. As indicated above, I deal with this particular issue in the judgment in the implementation application brought by Compass. It </w:t>
      </w:r>
      <w:proofErr w:type="gramStart"/>
      <w:r w:rsidRPr="00D5652A">
        <w:rPr>
          <w:rFonts w:ascii="Arial" w:hAnsi="Arial" w:cs="Arial"/>
          <w:sz w:val="24"/>
          <w:szCs w:val="24"/>
        </w:rPr>
        <w:t>was however submitted</w:t>
      </w:r>
      <w:proofErr w:type="gramEnd"/>
      <w:r w:rsidRPr="00D5652A">
        <w:rPr>
          <w:rFonts w:ascii="Arial" w:hAnsi="Arial" w:cs="Arial"/>
          <w:sz w:val="24"/>
          <w:szCs w:val="24"/>
        </w:rPr>
        <w:t xml:space="preserve"> that should the tender process have to start </w:t>
      </w:r>
      <w:r w:rsidR="00035167" w:rsidRPr="00D5652A">
        <w:rPr>
          <w:rFonts w:ascii="Arial" w:hAnsi="Arial" w:cs="Arial"/>
          <w:i/>
          <w:sz w:val="24"/>
          <w:szCs w:val="24"/>
        </w:rPr>
        <w:t>de nov</w:t>
      </w:r>
      <w:r w:rsidR="00B2294D">
        <w:rPr>
          <w:rFonts w:ascii="Arial" w:hAnsi="Arial" w:cs="Arial"/>
          <w:i/>
          <w:sz w:val="24"/>
          <w:szCs w:val="24"/>
        </w:rPr>
        <w:t>o</w:t>
      </w:r>
      <w:r w:rsidRPr="00D5652A">
        <w:rPr>
          <w:rFonts w:ascii="Arial" w:hAnsi="Arial" w:cs="Arial"/>
          <w:sz w:val="24"/>
          <w:szCs w:val="24"/>
        </w:rPr>
        <w:t xml:space="preserve">, Buhle would have a foot in the door despite it being ranked amongst the lowest in the evaluation of the bids. </w:t>
      </w:r>
    </w:p>
    <w:p w:rsidR="00C51D01" w:rsidRPr="00D5652A" w:rsidRDefault="00C51D01" w:rsidP="00D5652A">
      <w:pPr>
        <w:spacing w:after="0" w:line="360" w:lineRule="auto"/>
        <w:contextualSpacing/>
        <w:jc w:val="both"/>
        <w:rPr>
          <w:rFonts w:ascii="Arial" w:hAnsi="Arial" w:cs="Arial"/>
          <w:sz w:val="24"/>
          <w:szCs w:val="24"/>
        </w:rPr>
      </w:pPr>
    </w:p>
    <w:p w:rsidR="00C51D01" w:rsidRPr="00D5652A" w:rsidRDefault="00035167"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The D</w:t>
      </w:r>
      <w:r w:rsidR="00C51D01" w:rsidRPr="00D5652A">
        <w:rPr>
          <w:rFonts w:ascii="Arial" w:hAnsi="Arial" w:cs="Arial"/>
          <w:sz w:val="24"/>
          <w:szCs w:val="24"/>
        </w:rPr>
        <w:t>epartment submitted that it had followed a fair and compliant tender process which was in accordance with section 217 of the Constitution. It was submitted that Buhle’s proposed intervention will result in the review being ultimately delayed which will</w:t>
      </w:r>
      <w:r w:rsidRPr="00D5652A">
        <w:rPr>
          <w:rFonts w:ascii="Arial" w:hAnsi="Arial" w:cs="Arial"/>
          <w:sz w:val="24"/>
          <w:szCs w:val="24"/>
        </w:rPr>
        <w:t xml:space="preserve"> cause irreparable harm to the D</w:t>
      </w:r>
      <w:r w:rsidR="00C51D01" w:rsidRPr="00D5652A">
        <w:rPr>
          <w:rFonts w:ascii="Arial" w:hAnsi="Arial" w:cs="Arial"/>
          <w:sz w:val="24"/>
          <w:szCs w:val="24"/>
        </w:rPr>
        <w:t>epartment and to the bidders who were successful in the tender process. It was also submitted that the process in terms of which Buhle</w:t>
      </w:r>
      <w:r w:rsidRPr="00D5652A">
        <w:rPr>
          <w:rFonts w:ascii="Arial" w:hAnsi="Arial" w:cs="Arial"/>
          <w:sz w:val="24"/>
          <w:szCs w:val="24"/>
        </w:rPr>
        <w:t xml:space="preserve"> was providing services to the D</w:t>
      </w:r>
      <w:r w:rsidR="00C51D01" w:rsidRPr="00D5652A">
        <w:rPr>
          <w:rFonts w:ascii="Arial" w:hAnsi="Arial" w:cs="Arial"/>
          <w:sz w:val="24"/>
          <w:szCs w:val="24"/>
        </w:rPr>
        <w:t>epartment on a month</w:t>
      </w:r>
      <w:r w:rsidR="004B393F">
        <w:rPr>
          <w:rFonts w:ascii="Arial" w:hAnsi="Arial" w:cs="Arial"/>
          <w:sz w:val="24"/>
          <w:szCs w:val="24"/>
        </w:rPr>
        <w:t>-</w:t>
      </w:r>
      <w:r w:rsidR="00C51D01" w:rsidRPr="00D5652A">
        <w:rPr>
          <w:rFonts w:ascii="Arial" w:hAnsi="Arial" w:cs="Arial"/>
          <w:sz w:val="24"/>
          <w:szCs w:val="24"/>
        </w:rPr>
        <w:t>to</w:t>
      </w:r>
      <w:r w:rsidR="004B393F">
        <w:rPr>
          <w:rFonts w:ascii="Arial" w:hAnsi="Arial" w:cs="Arial"/>
          <w:sz w:val="24"/>
          <w:szCs w:val="24"/>
        </w:rPr>
        <w:t>-</w:t>
      </w:r>
      <w:r w:rsidR="00C51D01" w:rsidRPr="00D5652A">
        <w:rPr>
          <w:rFonts w:ascii="Arial" w:hAnsi="Arial" w:cs="Arial"/>
          <w:sz w:val="24"/>
          <w:szCs w:val="24"/>
        </w:rPr>
        <w:t xml:space="preserve">month basis was not in accordance with section 217 of the Constitution. </w:t>
      </w:r>
    </w:p>
    <w:p w:rsidR="008F0BBA" w:rsidRPr="00D5652A" w:rsidRDefault="008F0BBA" w:rsidP="00D5652A">
      <w:pPr>
        <w:spacing w:after="0" w:line="360" w:lineRule="auto"/>
        <w:contextualSpacing/>
        <w:jc w:val="both"/>
        <w:rPr>
          <w:rFonts w:ascii="Arial" w:hAnsi="Arial" w:cs="Arial"/>
          <w:sz w:val="24"/>
          <w:szCs w:val="24"/>
          <w:u w:val="single"/>
        </w:rPr>
      </w:pPr>
    </w:p>
    <w:p w:rsidR="00C51D01" w:rsidRPr="00D5652A" w:rsidRDefault="00C51D01" w:rsidP="00D5652A">
      <w:pPr>
        <w:pStyle w:val="ListParagraph"/>
        <w:spacing w:after="0" w:line="360" w:lineRule="auto"/>
        <w:ind w:left="0"/>
        <w:jc w:val="both"/>
        <w:rPr>
          <w:rFonts w:ascii="Arial" w:hAnsi="Arial" w:cs="Arial"/>
          <w:b/>
          <w:sz w:val="24"/>
          <w:szCs w:val="24"/>
        </w:rPr>
      </w:pPr>
      <w:r w:rsidRPr="00D5652A">
        <w:rPr>
          <w:rFonts w:ascii="Arial" w:hAnsi="Arial" w:cs="Arial"/>
          <w:b/>
          <w:sz w:val="24"/>
          <w:szCs w:val="24"/>
        </w:rPr>
        <w:t>Buhle’s submission</w:t>
      </w:r>
      <w:r w:rsidR="00B2294D">
        <w:rPr>
          <w:rFonts w:ascii="Arial" w:hAnsi="Arial" w:cs="Arial"/>
          <w:b/>
          <w:sz w:val="24"/>
          <w:szCs w:val="24"/>
        </w:rPr>
        <w:t>’</w:t>
      </w:r>
      <w:r w:rsidRPr="00D5652A">
        <w:rPr>
          <w:rFonts w:ascii="Arial" w:hAnsi="Arial" w:cs="Arial"/>
          <w:b/>
          <w:sz w:val="24"/>
          <w:szCs w:val="24"/>
        </w:rPr>
        <w:t>s</w:t>
      </w:r>
      <w:r w:rsidR="00B2294D">
        <w:rPr>
          <w:rFonts w:ascii="Arial" w:hAnsi="Arial" w:cs="Arial"/>
          <w:b/>
          <w:sz w:val="24"/>
          <w:szCs w:val="24"/>
        </w:rPr>
        <w:t xml:space="preserve"> </w:t>
      </w:r>
      <w:r w:rsidRPr="00D5652A">
        <w:rPr>
          <w:rFonts w:ascii="Arial" w:hAnsi="Arial" w:cs="Arial"/>
          <w:b/>
          <w:sz w:val="24"/>
          <w:szCs w:val="24"/>
        </w:rPr>
        <w:t>in reply</w:t>
      </w:r>
    </w:p>
    <w:p w:rsidR="00C51D01" w:rsidRPr="00D5652A" w:rsidRDefault="00C51D01"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A number of submissions were made in reply but I will</w:t>
      </w:r>
      <w:r w:rsidR="00D01A2F" w:rsidRPr="00D5652A">
        <w:rPr>
          <w:rFonts w:ascii="Arial" w:hAnsi="Arial" w:cs="Arial"/>
          <w:sz w:val="24"/>
          <w:szCs w:val="24"/>
        </w:rPr>
        <w:t xml:space="preserve"> o</w:t>
      </w:r>
      <w:r w:rsidRPr="00D5652A">
        <w:rPr>
          <w:rFonts w:ascii="Arial" w:hAnsi="Arial" w:cs="Arial"/>
          <w:sz w:val="24"/>
          <w:szCs w:val="24"/>
        </w:rPr>
        <w:t xml:space="preserve">nly highlight the most relevant. The </w:t>
      </w:r>
      <w:r w:rsidR="00B2294D" w:rsidRPr="00D5652A">
        <w:rPr>
          <w:rFonts w:ascii="Arial" w:hAnsi="Arial" w:cs="Arial"/>
          <w:sz w:val="24"/>
          <w:szCs w:val="24"/>
        </w:rPr>
        <w:t xml:space="preserve">Department </w:t>
      </w:r>
      <w:r w:rsidR="00D01A2F" w:rsidRPr="00D5652A">
        <w:rPr>
          <w:rFonts w:ascii="Arial" w:hAnsi="Arial" w:cs="Arial"/>
          <w:sz w:val="24"/>
          <w:szCs w:val="24"/>
        </w:rPr>
        <w:t>was criticized</w:t>
      </w:r>
      <w:r w:rsidRPr="00D5652A">
        <w:rPr>
          <w:rFonts w:ascii="Arial" w:hAnsi="Arial" w:cs="Arial"/>
          <w:sz w:val="24"/>
          <w:szCs w:val="24"/>
        </w:rPr>
        <w:t xml:space="preserve"> for its continued </w:t>
      </w:r>
      <w:r w:rsidR="00D01A2F" w:rsidRPr="00D5652A">
        <w:rPr>
          <w:rFonts w:ascii="Arial" w:hAnsi="Arial" w:cs="Arial"/>
          <w:sz w:val="24"/>
          <w:szCs w:val="24"/>
        </w:rPr>
        <w:t>focus</w:t>
      </w:r>
      <w:r w:rsidRPr="00D5652A">
        <w:rPr>
          <w:rFonts w:ascii="Arial" w:hAnsi="Arial" w:cs="Arial"/>
          <w:sz w:val="24"/>
          <w:szCs w:val="24"/>
        </w:rPr>
        <w:t xml:space="preserve"> on the period of 180 days within </w:t>
      </w:r>
      <w:r w:rsidR="002547E4" w:rsidRPr="00D5652A">
        <w:rPr>
          <w:rFonts w:ascii="Arial" w:hAnsi="Arial" w:cs="Arial"/>
          <w:sz w:val="24"/>
          <w:szCs w:val="24"/>
        </w:rPr>
        <w:t>which Buhle ought to have brought its review. Buhle submitted that the 180 days started running from the date of receipt of re</w:t>
      </w:r>
      <w:r w:rsidR="00B53B11" w:rsidRPr="00D5652A">
        <w:rPr>
          <w:rFonts w:ascii="Arial" w:hAnsi="Arial" w:cs="Arial"/>
          <w:sz w:val="24"/>
          <w:szCs w:val="24"/>
        </w:rPr>
        <w:t>a</w:t>
      </w:r>
      <w:r w:rsidR="002547E4" w:rsidRPr="00D5652A">
        <w:rPr>
          <w:rFonts w:ascii="Arial" w:hAnsi="Arial" w:cs="Arial"/>
          <w:sz w:val="24"/>
          <w:szCs w:val="24"/>
        </w:rPr>
        <w:t>sons. I have dealt with this issue above</w:t>
      </w:r>
      <w:r w:rsidR="00B53B11" w:rsidRPr="00D5652A">
        <w:rPr>
          <w:rFonts w:ascii="Arial" w:hAnsi="Arial" w:cs="Arial"/>
          <w:sz w:val="24"/>
          <w:szCs w:val="24"/>
        </w:rPr>
        <w:t>, Buhle perhaps lost sight of the fact that section 7(2)</w:t>
      </w:r>
      <w:r w:rsidR="00B53B11" w:rsidRPr="00177490">
        <w:rPr>
          <w:rFonts w:ascii="Arial" w:hAnsi="Arial" w:cs="Arial"/>
          <w:i/>
          <w:sz w:val="24"/>
          <w:szCs w:val="24"/>
        </w:rPr>
        <w:t>(a)</w:t>
      </w:r>
      <w:r w:rsidR="00B53B11" w:rsidRPr="00D5652A">
        <w:rPr>
          <w:rFonts w:ascii="Arial" w:hAnsi="Arial" w:cs="Arial"/>
          <w:sz w:val="24"/>
          <w:szCs w:val="24"/>
        </w:rPr>
        <w:t xml:space="preserve"> of PAJA, which deals with the period of 180 days after a person became aware of the action and the reasons for it, applies to those instances where no </w:t>
      </w:r>
      <w:r w:rsidR="00BD519E" w:rsidRPr="00D5652A">
        <w:rPr>
          <w:rFonts w:ascii="Arial" w:hAnsi="Arial" w:cs="Arial"/>
          <w:sz w:val="24"/>
          <w:szCs w:val="24"/>
        </w:rPr>
        <w:t>internal remedies exist</w:t>
      </w:r>
      <w:r w:rsidR="00B53B11" w:rsidRPr="00D5652A">
        <w:rPr>
          <w:rFonts w:ascii="Arial" w:hAnsi="Arial" w:cs="Arial"/>
          <w:sz w:val="24"/>
          <w:szCs w:val="24"/>
        </w:rPr>
        <w:t>. This is clearly not the case in the present matter.</w:t>
      </w:r>
    </w:p>
    <w:p w:rsidR="00B53B11" w:rsidRPr="00D5652A" w:rsidRDefault="00B53B11" w:rsidP="00D5652A">
      <w:pPr>
        <w:spacing w:after="0" w:line="360" w:lineRule="auto"/>
        <w:contextualSpacing/>
        <w:jc w:val="both"/>
        <w:rPr>
          <w:rFonts w:ascii="Arial" w:hAnsi="Arial" w:cs="Arial"/>
          <w:sz w:val="24"/>
          <w:szCs w:val="24"/>
        </w:rPr>
      </w:pPr>
    </w:p>
    <w:p w:rsidR="00B53B11" w:rsidRPr="00D5652A" w:rsidRDefault="00B53B11"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With reference to </w:t>
      </w:r>
      <w:r w:rsidRPr="002D5D1E">
        <w:rPr>
          <w:rFonts w:ascii="Arial" w:hAnsi="Arial" w:cs="Arial"/>
          <w:i/>
          <w:sz w:val="24"/>
          <w:szCs w:val="24"/>
        </w:rPr>
        <w:t>WDR Earthmoving</w:t>
      </w:r>
      <w:r w:rsidRPr="00D5652A">
        <w:rPr>
          <w:rFonts w:ascii="Arial" w:hAnsi="Arial" w:cs="Arial"/>
          <w:sz w:val="24"/>
          <w:szCs w:val="24"/>
        </w:rPr>
        <w:t xml:space="preserve">, it was submitted that even the lowest ranked bidder would be entitled to compete and is not out of the race, </w:t>
      </w:r>
      <w:r w:rsidR="001E65AC">
        <w:rPr>
          <w:rFonts w:ascii="Arial" w:hAnsi="Arial" w:cs="Arial"/>
          <w:sz w:val="24"/>
          <w:szCs w:val="24"/>
        </w:rPr>
        <w:t xml:space="preserve">and </w:t>
      </w:r>
      <w:r w:rsidRPr="00D5652A">
        <w:rPr>
          <w:rFonts w:ascii="Arial" w:hAnsi="Arial" w:cs="Arial"/>
          <w:sz w:val="24"/>
          <w:szCs w:val="24"/>
        </w:rPr>
        <w:t xml:space="preserve">therefore Buhle had an interest in the review. </w:t>
      </w:r>
    </w:p>
    <w:p w:rsidR="00B53B11" w:rsidRPr="00D5652A" w:rsidRDefault="00B53B11" w:rsidP="00D5652A">
      <w:pPr>
        <w:spacing w:after="0" w:line="360" w:lineRule="auto"/>
        <w:contextualSpacing/>
        <w:jc w:val="both"/>
        <w:rPr>
          <w:rFonts w:ascii="Arial" w:hAnsi="Arial" w:cs="Arial"/>
          <w:sz w:val="24"/>
          <w:szCs w:val="24"/>
        </w:rPr>
      </w:pPr>
    </w:p>
    <w:p w:rsidR="00B53B11" w:rsidRPr="00D5652A" w:rsidRDefault="00B53B11"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In response to Makhathini’s submissions, it was submitted that its concession that it would be different if Buhle had only sought to intervene in the review in respect of Area 2, was fatal to any further opposition by Makhathini. It was </w:t>
      </w:r>
      <w:r w:rsidR="00BD519E" w:rsidRPr="00D5652A">
        <w:rPr>
          <w:rFonts w:ascii="Arial" w:hAnsi="Arial" w:cs="Arial"/>
          <w:sz w:val="24"/>
          <w:szCs w:val="24"/>
        </w:rPr>
        <w:t xml:space="preserve">however </w:t>
      </w:r>
      <w:r w:rsidRPr="00D5652A">
        <w:rPr>
          <w:rFonts w:ascii="Arial" w:hAnsi="Arial" w:cs="Arial"/>
          <w:sz w:val="24"/>
          <w:szCs w:val="24"/>
        </w:rPr>
        <w:t>submitted that to split the review in</w:t>
      </w:r>
      <w:r w:rsidR="00BD519E" w:rsidRPr="00D5652A">
        <w:rPr>
          <w:rFonts w:ascii="Arial" w:hAnsi="Arial" w:cs="Arial"/>
          <w:sz w:val="24"/>
          <w:szCs w:val="24"/>
        </w:rPr>
        <w:t>to</w:t>
      </w:r>
      <w:r w:rsidRPr="00D5652A">
        <w:rPr>
          <w:rFonts w:ascii="Arial" w:hAnsi="Arial" w:cs="Arial"/>
          <w:sz w:val="24"/>
          <w:szCs w:val="24"/>
        </w:rPr>
        <w:t xml:space="preserve"> two would be ‘absurd’ and would deprive Buhle of its right to access to court.</w:t>
      </w:r>
    </w:p>
    <w:p w:rsidR="00B53B11" w:rsidRPr="00D5652A" w:rsidRDefault="00B53B11" w:rsidP="00D5652A">
      <w:pPr>
        <w:spacing w:after="0" w:line="360" w:lineRule="auto"/>
        <w:contextualSpacing/>
        <w:jc w:val="both"/>
        <w:rPr>
          <w:rFonts w:ascii="Arial" w:hAnsi="Arial" w:cs="Arial"/>
          <w:sz w:val="24"/>
          <w:szCs w:val="24"/>
        </w:rPr>
      </w:pPr>
    </w:p>
    <w:p w:rsidR="00B53B11" w:rsidRPr="00D5652A" w:rsidRDefault="00B53B11"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It was also submitted that Makhathini’s reliance</w:t>
      </w:r>
      <w:r w:rsidR="00BD519E" w:rsidRPr="00D5652A">
        <w:rPr>
          <w:rFonts w:ascii="Arial" w:hAnsi="Arial" w:cs="Arial"/>
          <w:sz w:val="24"/>
          <w:szCs w:val="24"/>
        </w:rPr>
        <w:t xml:space="preserve"> on </w:t>
      </w:r>
      <w:r w:rsidR="00B2294D" w:rsidRPr="002D5D1E">
        <w:rPr>
          <w:rFonts w:ascii="Arial" w:hAnsi="Arial" w:cs="Arial"/>
          <w:i/>
          <w:sz w:val="24"/>
          <w:szCs w:val="24"/>
        </w:rPr>
        <w:t>KwaZulu-Natal Gaming and Betting Board</w:t>
      </w:r>
      <w:r w:rsidR="00B2294D" w:rsidRPr="002D5D1E" w:rsidDel="00B2294D">
        <w:rPr>
          <w:rFonts w:ascii="Arial" w:hAnsi="Arial" w:cs="Arial"/>
          <w:i/>
          <w:sz w:val="24"/>
          <w:szCs w:val="24"/>
        </w:rPr>
        <w:t xml:space="preserve"> </w:t>
      </w:r>
      <w:r w:rsidR="00BD519E" w:rsidRPr="00D5652A">
        <w:rPr>
          <w:rFonts w:ascii="Arial" w:hAnsi="Arial" w:cs="Arial"/>
          <w:sz w:val="24"/>
          <w:szCs w:val="24"/>
        </w:rPr>
        <w:t>was</w:t>
      </w:r>
      <w:r w:rsidRPr="00D5652A">
        <w:rPr>
          <w:rFonts w:ascii="Arial" w:hAnsi="Arial" w:cs="Arial"/>
          <w:sz w:val="24"/>
          <w:szCs w:val="24"/>
        </w:rPr>
        <w:t xml:space="preserve"> </w:t>
      </w:r>
      <w:r w:rsidR="00BD519E" w:rsidRPr="00D5652A">
        <w:rPr>
          <w:rFonts w:ascii="Arial" w:hAnsi="Arial" w:cs="Arial"/>
          <w:sz w:val="24"/>
          <w:szCs w:val="24"/>
        </w:rPr>
        <w:t>in</w:t>
      </w:r>
      <w:r w:rsidRPr="00D5652A">
        <w:rPr>
          <w:rFonts w:ascii="Arial" w:hAnsi="Arial" w:cs="Arial"/>
          <w:sz w:val="24"/>
          <w:szCs w:val="24"/>
        </w:rPr>
        <w:t>appropriate as it has no application to the present matter, which deals</w:t>
      </w:r>
      <w:r w:rsidR="000C3662" w:rsidRPr="00D5652A">
        <w:rPr>
          <w:rFonts w:ascii="Arial" w:hAnsi="Arial" w:cs="Arial"/>
          <w:sz w:val="24"/>
          <w:szCs w:val="24"/>
        </w:rPr>
        <w:t xml:space="preserve"> only</w:t>
      </w:r>
      <w:r w:rsidRPr="00D5652A">
        <w:rPr>
          <w:rFonts w:ascii="Arial" w:hAnsi="Arial" w:cs="Arial"/>
          <w:sz w:val="24"/>
          <w:szCs w:val="24"/>
        </w:rPr>
        <w:t xml:space="preserve"> with one tender process. Reliance was place on </w:t>
      </w:r>
      <w:r w:rsidRPr="002D5D1E">
        <w:rPr>
          <w:rFonts w:ascii="Arial" w:hAnsi="Arial" w:cs="Arial"/>
          <w:i/>
          <w:sz w:val="24"/>
          <w:szCs w:val="24"/>
        </w:rPr>
        <w:t>Gordon</w:t>
      </w:r>
      <w:r w:rsidRPr="00D5652A">
        <w:rPr>
          <w:rFonts w:ascii="Arial" w:hAnsi="Arial" w:cs="Arial"/>
          <w:sz w:val="24"/>
          <w:szCs w:val="24"/>
        </w:rPr>
        <w:t>, as authority that it would be proper to grant the relief sought by Buhle.</w:t>
      </w:r>
    </w:p>
    <w:p w:rsidR="00B53B11" w:rsidRPr="00D5652A" w:rsidRDefault="00B53B11" w:rsidP="00D5652A">
      <w:pPr>
        <w:spacing w:after="0" w:line="360" w:lineRule="auto"/>
        <w:contextualSpacing/>
        <w:jc w:val="both"/>
        <w:rPr>
          <w:rFonts w:ascii="Arial" w:hAnsi="Arial" w:cs="Arial"/>
          <w:sz w:val="24"/>
          <w:szCs w:val="24"/>
        </w:rPr>
      </w:pPr>
    </w:p>
    <w:p w:rsidR="00B53B11" w:rsidRPr="00D5652A" w:rsidRDefault="00B53B11" w:rsidP="00D5652A">
      <w:pPr>
        <w:pStyle w:val="ListParagraph"/>
        <w:spacing w:after="0" w:line="360" w:lineRule="auto"/>
        <w:ind w:left="0"/>
        <w:jc w:val="both"/>
        <w:rPr>
          <w:rFonts w:ascii="Arial" w:hAnsi="Arial" w:cs="Arial"/>
          <w:b/>
          <w:sz w:val="24"/>
          <w:szCs w:val="24"/>
        </w:rPr>
      </w:pPr>
      <w:r w:rsidRPr="00D5652A">
        <w:rPr>
          <w:rFonts w:ascii="Arial" w:hAnsi="Arial" w:cs="Arial"/>
          <w:b/>
          <w:sz w:val="24"/>
          <w:szCs w:val="24"/>
        </w:rPr>
        <w:t>Discussion</w:t>
      </w:r>
    </w:p>
    <w:p w:rsidR="00B53B11" w:rsidRPr="00D5652A" w:rsidRDefault="000C3662"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Whilst considering</w:t>
      </w:r>
      <w:r w:rsidR="004B393F">
        <w:rPr>
          <w:rFonts w:ascii="Arial" w:hAnsi="Arial" w:cs="Arial"/>
          <w:sz w:val="24"/>
          <w:szCs w:val="24"/>
        </w:rPr>
        <w:t xml:space="preserve"> </w:t>
      </w:r>
      <w:r w:rsidR="00B53B11" w:rsidRPr="00D5652A">
        <w:rPr>
          <w:rFonts w:ascii="Arial" w:hAnsi="Arial" w:cs="Arial"/>
          <w:sz w:val="24"/>
          <w:szCs w:val="24"/>
        </w:rPr>
        <w:t xml:space="preserve">not only this application, but also the </w:t>
      </w:r>
      <w:r w:rsidR="00B2294D">
        <w:rPr>
          <w:rFonts w:ascii="Arial" w:hAnsi="Arial" w:cs="Arial"/>
          <w:sz w:val="24"/>
          <w:szCs w:val="24"/>
        </w:rPr>
        <w:t>three</w:t>
      </w:r>
      <w:r w:rsidR="00B2294D" w:rsidRPr="00D5652A">
        <w:rPr>
          <w:rFonts w:ascii="Arial" w:hAnsi="Arial" w:cs="Arial"/>
          <w:sz w:val="24"/>
          <w:szCs w:val="24"/>
        </w:rPr>
        <w:t xml:space="preserve"> </w:t>
      </w:r>
      <w:r w:rsidR="00B53B11" w:rsidRPr="00D5652A">
        <w:rPr>
          <w:rFonts w:ascii="Arial" w:hAnsi="Arial" w:cs="Arial"/>
          <w:sz w:val="24"/>
          <w:szCs w:val="24"/>
        </w:rPr>
        <w:t xml:space="preserve">other applications, my primary focus has been on the one hand to ensure that the review, which has already been </w:t>
      </w:r>
      <w:r w:rsidR="00B2294D">
        <w:rPr>
          <w:rFonts w:ascii="Arial" w:hAnsi="Arial" w:cs="Arial"/>
          <w:sz w:val="24"/>
          <w:szCs w:val="24"/>
        </w:rPr>
        <w:t xml:space="preserve">inordinately </w:t>
      </w:r>
      <w:r w:rsidR="00B53B11" w:rsidRPr="00D5652A">
        <w:rPr>
          <w:rFonts w:ascii="Arial" w:hAnsi="Arial" w:cs="Arial"/>
          <w:sz w:val="24"/>
          <w:szCs w:val="24"/>
        </w:rPr>
        <w:t>delayed, be dealt with as expeditiously as possible, and on the other hand, to be sure that there is no interruption in the service delivery of what is clearl</w:t>
      </w:r>
      <w:r w:rsidR="00A81338" w:rsidRPr="00D5652A">
        <w:rPr>
          <w:rFonts w:ascii="Arial" w:hAnsi="Arial" w:cs="Arial"/>
          <w:sz w:val="24"/>
          <w:szCs w:val="24"/>
        </w:rPr>
        <w:t>y an essential service to the D</w:t>
      </w:r>
      <w:r w:rsidR="00B53B11" w:rsidRPr="00D5652A">
        <w:rPr>
          <w:rFonts w:ascii="Arial" w:hAnsi="Arial" w:cs="Arial"/>
          <w:sz w:val="24"/>
          <w:szCs w:val="24"/>
        </w:rPr>
        <w:t xml:space="preserve">epartment. </w:t>
      </w:r>
    </w:p>
    <w:p w:rsidR="00B53B11" w:rsidRPr="00D5652A" w:rsidRDefault="00B53B11" w:rsidP="00D5652A">
      <w:pPr>
        <w:spacing w:after="0" w:line="360" w:lineRule="auto"/>
        <w:contextualSpacing/>
        <w:jc w:val="both"/>
        <w:rPr>
          <w:rFonts w:ascii="Arial" w:hAnsi="Arial" w:cs="Arial"/>
          <w:sz w:val="24"/>
          <w:szCs w:val="24"/>
        </w:rPr>
      </w:pPr>
    </w:p>
    <w:p w:rsidR="00B53B11" w:rsidRPr="00D5652A" w:rsidRDefault="00B53B11"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Buhle’s application to intervene, and th</w:t>
      </w:r>
      <w:r w:rsidR="000C3662" w:rsidRPr="00D5652A">
        <w:rPr>
          <w:rFonts w:ascii="Arial" w:hAnsi="Arial" w:cs="Arial"/>
          <w:sz w:val="24"/>
          <w:szCs w:val="24"/>
        </w:rPr>
        <w:t>e far</w:t>
      </w:r>
      <w:r w:rsidR="00EF76FA">
        <w:rPr>
          <w:rFonts w:ascii="Arial" w:hAnsi="Arial" w:cs="Arial"/>
          <w:sz w:val="24"/>
          <w:szCs w:val="24"/>
        </w:rPr>
        <w:t>-</w:t>
      </w:r>
      <w:r w:rsidR="000C3662" w:rsidRPr="00D5652A">
        <w:rPr>
          <w:rFonts w:ascii="Arial" w:hAnsi="Arial" w:cs="Arial"/>
          <w:sz w:val="24"/>
          <w:szCs w:val="24"/>
        </w:rPr>
        <w:t>reaching relief it is</w:t>
      </w:r>
      <w:r w:rsidR="004B393F">
        <w:rPr>
          <w:rFonts w:ascii="Arial" w:hAnsi="Arial" w:cs="Arial"/>
          <w:sz w:val="24"/>
          <w:szCs w:val="24"/>
        </w:rPr>
        <w:t xml:space="preserve"> </w:t>
      </w:r>
      <w:r w:rsidRPr="00D5652A">
        <w:rPr>
          <w:rFonts w:ascii="Arial" w:hAnsi="Arial" w:cs="Arial"/>
          <w:sz w:val="24"/>
          <w:szCs w:val="24"/>
        </w:rPr>
        <w:t>seeking</w:t>
      </w:r>
      <w:r w:rsidR="002452CD">
        <w:rPr>
          <w:rFonts w:ascii="Arial" w:hAnsi="Arial" w:cs="Arial"/>
          <w:sz w:val="24"/>
          <w:szCs w:val="24"/>
        </w:rPr>
        <w:t>,</w:t>
      </w:r>
      <w:r w:rsidRPr="00D5652A">
        <w:rPr>
          <w:rFonts w:ascii="Arial" w:hAnsi="Arial" w:cs="Arial"/>
          <w:sz w:val="24"/>
          <w:szCs w:val="24"/>
        </w:rPr>
        <w:t xml:space="preserve"> is aimed at reviewing the tenders</w:t>
      </w:r>
      <w:r w:rsidR="00A81338" w:rsidRPr="00D5652A">
        <w:rPr>
          <w:rFonts w:ascii="Arial" w:hAnsi="Arial" w:cs="Arial"/>
          <w:sz w:val="24"/>
          <w:szCs w:val="24"/>
        </w:rPr>
        <w:t xml:space="preserve"> awarded in respect of all three A</w:t>
      </w:r>
      <w:r w:rsidRPr="00D5652A">
        <w:rPr>
          <w:rFonts w:ascii="Arial" w:hAnsi="Arial" w:cs="Arial"/>
          <w:sz w:val="24"/>
          <w:szCs w:val="24"/>
        </w:rPr>
        <w:t>reas, which would bring Ecocycle and Vikela into the fray as successful bidders in respect of Area 3 and Makhathini as the successful bidder in Area 1.</w:t>
      </w:r>
    </w:p>
    <w:p w:rsidR="00B53B11" w:rsidRPr="00D5652A" w:rsidRDefault="00B53B11" w:rsidP="00D5652A">
      <w:pPr>
        <w:spacing w:after="0" w:line="360" w:lineRule="auto"/>
        <w:contextualSpacing/>
        <w:jc w:val="both"/>
        <w:rPr>
          <w:rFonts w:ascii="Arial" w:hAnsi="Arial" w:cs="Arial"/>
          <w:sz w:val="24"/>
          <w:szCs w:val="24"/>
        </w:rPr>
      </w:pPr>
    </w:p>
    <w:p w:rsidR="000C3662" w:rsidRPr="00D5652A" w:rsidRDefault="00B53B11"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Buhle’s motivation is of course clear for all to see. It has been benefitting from being the sole supplier of the services for the entire province of KwaZulu-Natal for a number of years. The delay in the awarding of the tender and therea</w:t>
      </w:r>
      <w:r w:rsidR="00A81338" w:rsidRPr="00D5652A">
        <w:rPr>
          <w:rFonts w:ascii="Arial" w:hAnsi="Arial" w:cs="Arial"/>
          <w:sz w:val="24"/>
          <w:szCs w:val="24"/>
        </w:rPr>
        <w:t>fter the delay in the prosecution</w:t>
      </w:r>
      <w:r w:rsidRPr="00D5652A">
        <w:rPr>
          <w:rFonts w:ascii="Arial" w:hAnsi="Arial" w:cs="Arial"/>
          <w:sz w:val="24"/>
          <w:szCs w:val="24"/>
        </w:rPr>
        <w:t xml:space="preserve"> of Makhathini’s review has allowed Buhle to continue benefitting up until the expiration of the original contract on 30 November 2022.</w:t>
      </w:r>
      <w:r w:rsidR="000C3662" w:rsidRPr="00D5652A">
        <w:rPr>
          <w:rFonts w:ascii="Arial" w:hAnsi="Arial" w:cs="Arial"/>
          <w:sz w:val="24"/>
          <w:szCs w:val="24"/>
        </w:rPr>
        <w:t xml:space="preserve"> Buhle applied for the tenders but was found wanting in</w:t>
      </w:r>
      <w:r w:rsidR="001A12DB">
        <w:rPr>
          <w:rFonts w:ascii="Arial" w:hAnsi="Arial" w:cs="Arial"/>
          <w:sz w:val="24"/>
          <w:szCs w:val="24"/>
        </w:rPr>
        <w:t xml:space="preserve"> respect of</w:t>
      </w:r>
      <w:r w:rsidR="000C3662" w:rsidRPr="00D5652A">
        <w:rPr>
          <w:rFonts w:ascii="Arial" w:hAnsi="Arial" w:cs="Arial"/>
          <w:sz w:val="24"/>
          <w:szCs w:val="24"/>
        </w:rPr>
        <w:t xml:space="preserve"> all three Areas. It now claims to have a direct and substantial interest in the relief Makhathini is seeking in its review, which is only in respect of the award to Compass in respect of Area 2.</w:t>
      </w:r>
    </w:p>
    <w:p w:rsidR="008F0BBA" w:rsidRPr="00D5652A" w:rsidRDefault="008F0BBA" w:rsidP="00D5652A">
      <w:pPr>
        <w:spacing w:after="0" w:line="360" w:lineRule="auto"/>
        <w:contextualSpacing/>
        <w:jc w:val="both"/>
        <w:rPr>
          <w:rFonts w:ascii="Arial" w:hAnsi="Arial" w:cs="Arial"/>
          <w:sz w:val="24"/>
          <w:szCs w:val="24"/>
        </w:rPr>
      </w:pPr>
    </w:p>
    <w:p w:rsidR="00C025C6" w:rsidRPr="00D5652A" w:rsidRDefault="00B258AE" w:rsidP="00D5652A">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Despite all the different issues </w:t>
      </w:r>
      <w:r w:rsidR="00785BEB">
        <w:rPr>
          <w:rFonts w:ascii="Arial" w:hAnsi="Arial" w:cs="Arial"/>
          <w:sz w:val="24"/>
          <w:szCs w:val="24"/>
        </w:rPr>
        <w:t>raised,</w:t>
      </w:r>
      <w:r>
        <w:rPr>
          <w:rFonts w:ascii="Arial" w:hAnsi="Arial" w:cs="Arial"/>
          <w:sz w:val="24"/>
          <w:szCs w:val="24"/>
        </w:rPr>
        <w:t xml:space="preserve"> in my view the only relevant question is whether Buhle has a direct and substantial interest in the review. </w:t>
      </w:r>
      <w:r w:rsidR="000C3662" w:rsidRPr="00D5652A">
        <w:rPr>
          <w:rFonts w:ascii="Arial" w:hAnsi="Arial" w:cs="Arial"/>
          <w:sz w:val="24"/>
          <w:szCs w:val="24"/>
        </w:rPr>
        <w:t>Counsel for the Department is correct when he submits that Buhle wa</w:t>
      </w:r>
      <w:r w:rsidR="00847EF0" w:rsidRPr="00D5652A">
        <w:rPr>
          <w:rFonts w:ascii="Arial" w:hAnsi="Arial" w:cs="Arial"/>
          <w:sz w:val="24"/>
          <w:szCs w:val="24"/>
        </w:rPr>
        <w:t>s not even a horse in the race, due to its low ranked tender. I am however of the view that Buhle, even as the lowest ranked tenderer,</w:t>
      </w:r>
      <w:r w:rsidR="002452CD">
        <w:rPr>
          <w:rFonts w:ascii="Arial" w:hAnsi="Arial" w:cs="Arial"/>
          <w:sz w:val="24"/>
          <w:szCs w:val="24"/>
        </w:rPr>
        <w:t xml:space="preserve"> </w:t>
      </w:r>
      <w:r w:rsidR="00847EF0" w:rsidRPr="00D5652A">
        <w:rPr>
          <w:rFonts w:ascii="Arial" w:hAnsi="Arial" w:cs="Arial"/>
          <w:sz w:val="24"/>
          <w:szCs w:val="24"/>
        </w:rPr>
        <w:t xml:space="preserve">would have an interest in the relief being sought by Makhathini, even if it is on the marginal level of being allowed to compete for the tender should it be set aside and re-advertised, as held in </w:t>
      </w:r>
      <w:r w:rsidR="004329A2" w:rsidRPr="004329A2">
        <w:rPr>
          <w:rFonts w:ascii="Arial" w:hAnsi="Arial" w:cs="Arial"/>
          <w:i/>
          <w:sz w:val="24"/>
          <w:szCs w:val="24"/>
        </w:rPr>
        <w:t>WDR Earthmoving</w:t>
      </w:r>
      <w:r w:rsidR="00847EF0" w:rsidRPr="00D5652A">
        <w:rPr>
          <w:rFonts w:ascii="Arial" w:hAnsi="Arial" w:cs="Arial"/>
          <w:sz w:val="24"/>
          <w:szCs w:val="24"/>
        </w:rPr>
        <w:t xml:space="preserve">. As it is only this one award that is being challenged in the review, it is only in respect of this award that Buhle </w:t>
      </w:r>
      <w:r w:rsidR="00C025C6" w:rsidRPr="00D5652A">
        <w:rPr>
          <w:rFonts w:ascii="Arial" w:hAnsi="Arial" w:cs="Arial"/>
          <w:sz w:val="24"/>
          <w:szCs w:val="24"/>
        </w:rPr>
        <w:t xml:space="preserve">can have an interest and it is the only order that can </w:t>
      </w:r>
      <w:r w:rsidR="00EF76FA">
        <w:rPr>
          <w:rFonts w:ascii="Arial" w:hAnsi="Arial" w:cs="Arial"/>
          <w:sz w:val="24"/>
          <w:szCs w:val="24"/>
        </w:rPr>
        <w:t>a</w:t>
      </w:r>
      <w:r w:rsidR="00EF76FA" w:rsidRPr="00D5652A">
        <w:rPr>
          <w:rFonts w:ascii="Arial" w:hAnsi="Arial" w:cs="Arial"/>
          <w:sz w:val="24"/>
          <w:szCs w:val="24"/>
        </w:rPr>
        <w:t xml:space="preserve">ffect </w:t>
      </w:r>
      <w:r w:rsidR="00C025C6" w:rsidRPr="00D5652A">
        <w:rPr>
          <w:rFonts w:ascii="Arial" w:hAnsi="Arial" w:cs="Arial"/>
          <w:sz w:val="24"/>
          <w:szCs w:val="24"/>
        </w:rPr>
        <w:t>Buhle.</w:t>
      </w:r>
    </w:p>
    <w:p w:rsidR="008F0BBA" w:rsidRPr="00D5652A" w:rsidRDefault="008F0BBA" w:rsidP="00D5652A">
      <w:pPr>
        <w:spacing w:after="0" w:line="360" w:lineRule="auto"/>
        <w:contextualSpacing/>
        <w:jc w:val="both"/>
        <w:rPr>
          <w:rFonts w:ascii="Arial" w:hAnsi="Arial" w:cs="Arial"/>
          <w:sz w:val="24"/>
          <w:szCs w:val="24"/>
        </w:rPr>
      </w:pPr>
    </w:p>
    <w:p w:rsidR="00B53B11" w:rsidRPr="00D5652A" w:rsidRDefault="00C025C6"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Counsel for Makhathini made valuable</w:t>
      </w:r>
      <w:r w:rsidR="00B258AE">
        <w:rPr>
          <w:rFonts w:ascii="Arial" w:hAnsi="Arial" w:cs="Arial"/>
          <w:sz w:val="24"/>
          <w:szCs w:val="24"/>
        </w:rPr>
        <w:t xml:space="preserve"> and convincing</w:t>
      </w:r>
      <w:r w:rsidRPr="00D5652A">
        <w:rPr>
          <w:rFonts w:ascii="Arial" w:hAnsi="Arial" w:cs="Arial"/>
          <w:sz w:val="24"/>
          <w:szCs w:val="24"/>
        </w:rPr>
        <w:t xml:space="preserve"> submissions regarding the practical difficulties that would ensue </w:t>
      </w:r>
      <w:proofErr w:type="gramStart"/>
      <w:r w:rsidRPr="00D5652A">
        <w:rPr>
          <w:rFonts w:ascii="Arial" w:hAnsi="Arial" w:cs="Arial"/>
          <w:sz w:val="24"/>
          <w:szCs w:val="24"/>
        </w:rPr>
        <w:t xml:space="preserve">should the </w:t>
      </w:r>
      <w:r w:rsidR="006449C8" w:rsidRPr="00D5652A">
        <w:rPr>
          <w:rFonts w:ascii="Arial" w:hAnsi="Arial" w:cs="Arial"/>
          <w:sz w:val="24"/>
          <w:szCs w:val="24"/>
        </w:rPr>
        <w:t>relief, which</w:t>
      </w:r>
      <w:r w:rsidR="001E65AC">
        <w:rPr>
          <w:rFonts w:ascii="Arial" w:hAnsi="Arial" w:cs="Arial"/>
          <w:sz w:val="24"/>
          <w:szCs w:val="24"/>
        </w:rPr>
        <w:t xml:space="preserve"> </w:t>
      </w:r>
      <w:r w:rsidRPr="00D5652A">
        <w:rPr>
          <w:rFonts w:ascii="Arial" w:hAnsi="Arial" w:cs="Arial"/>
          <w:sz w:val="24"/>
          <w:szCs w:val="24"/>
        </w:rPr>
        <w:t>Buhle claims, be granted</w:t>
      </w:r>
      <w:proofErr w:type="gramEnd"/>
      <w:r w:rsidRPr="00D5652A">
        <w:rPr>
          <w:rFonts w:ascii="Arial" w:hAnsi="Arial" w:cs="Arial"/>
          <w:sz w:val="24"/>
          <w:szCs w:val="24"/>
        </w:rPr>
        <w:t>.</w:t>
      </w:r>
      <w:r w:rsidR="004329A2">
        <w:rPr>
          <w:rFonts w:ascii="Arial" w:hAnsi="Arial" w:cs="Arial"/>
          <w:sz w:val="24"/>
          <w:szCs w:val="24"/>
        </w:rPr>
        <w:t xml:space="preserve"> I agree with the </w:t>
      </w:r>
      <w:proofErr w:type="gramStart"/>
      <w:r w:rsidR="004329A2">
        <w:rPr>
          <w:rFonts w:ascii="Arial" w:hAnsi="Arial" w:cs="Arial"/>
          <w:sz w:val="24"/>
          <w:szCs w:val="24"/>
        </w:rPr>
        <w:t>submissions</w:t>
      </w:r>
      <w:proofErr w:type="gramEnd"/>
      <w:r w:rsidR="004329A2">
        <w:rPr>
          <w:rFonts w:ascii="Arial" w:hAnsi="Arial" w:cs="Arial"/>
          <w:sz w:val="24"/>
          <w:szCs w:val="24"/>
        </w:rPr>
        <w:t xml:space="preserve"> as the challenges that will arise are clear to see. </w:t>
      </w:r>
      <w:r w:rsidR="000C3662" w:rsidRPr="00D5652A">
        <w:rPr>
          <w:rFonts w:ascii="Arial" w:hAnsi="Arial" w:cs="Arial"/>
          <w:sz w:val="24"/>
          <w:szCs w:val="24"/>
        </w:rPr>
        <w:t xml:space="preserve"> </w:t>
      </w:r>
      <w:r w:rsidRPr="00D5652A">
        <w:rPr>
          <w:rFonts w:ascii="Arial" w:hAnsi="Arial" w:cs="Arial"/>
          <w:sz w:val="24"/>
          <w:szCs w:val="24"/>
        </w:rPr>
        <w:t xml:space="preserve">It </w:t>
      </w:r>
      <w:proofErr w:type="gramStart"/>
      <w:r w:rsidRPr="00D5652A">
        <w:rPr>
          <w:rFonts w:ascii="Arial" w:hAnsi="Arial" w:cs="Arial"/>
          <w:sz w:val="24"/>
          <w:szCs w:val="24"/>
        </w:rPr>
        <w:t>was also submitted</w:t>
      </w:r>
      <w:proofErr w:type="gramEnd"/>
      <w:r w:rsidRPr="00D5652A">
        <w:rPr>
          <w:rFonts w:ascii="Arial" w:hAnsi="Arial" w:cs="Arial"/>
          <w:sz w:val="24"/>
          <w:szCs w:val="24"/>
        </w:rPr>
        <w:t xml:space="preserve"> that there would be no issue if Buhle simply aligned itself with the review as it stands.</w:t>
      </w:r>
      <w:r w:rsidR="002452CD">
        <w:rPr>
          <w:rFonts w:ascii="Arial" w:hAnsi="Arial" w:cs="Arial"/>
          <w:sz w:val="24"/>
          <w:szCs w:val="24"/>
        </w:rPr>
        <w:t xml:space="preserve"> </w:t>
      </w:r>
      <w:r w:rsidRPr="00D5652A">
        <w:rPr>
          <w:rFonts w:ascii="Arial" w:hAnsi="Arial" w:cs="Arial"/>
          <w:sz w:val="24"/>
          <w:szCs w:val="24"/>
        </w:rPr>
        <w:t xml:space="preserve">Bearing in mind </w:t>
      </w:r>
      <w:r w:rsidR="004D5E83" w:rsidRPr="00D5652A">
        <w:rPr>
          <w:rFonts w:ascii="Arial" w:hAnsi="Arial" w:cs="Arial"/>
          <w:sz w:val="24"/>
          <w:szCs w:val="24"/>
        </w:rPr>
        <w:t xml:space="preserve">the </w:t>
      </w:r>
      <w:r w:rsidRPr="00D5652A">
        <w:rPr>
          <w:rFonts w:ascii="Arial" w:hAnsi="Arial" w:cs="Arial"/>
          <w:sz w:val="24"/>
          <w:szCs w:val="24"/>
        </w:rPr>
        <w:t>facts of the matter</w:t>
      </w:r>
      <w:r w:rsidR="009B4414">
        <w:rPr>
          <w:rFonts w:ascii="Arial" w:hAnsi="Arial" w:cs="Arial"/>
          <w:sz w:val="24"/>
          <w:szCs w:val="24"/>
        </w:rPr>
        <w:t xml:space="preserve"> and the principles set out above</w:t>
      </w:r>
      <w:r w:rsidRPr="00D5652A">
        <w:rPr>
          <w:rFonts w:ascii="Arial" w:hAnsi="Arial" w:cs="Arial"/>
          <w:sz w:val="24"/>
          <w:szCs w:val="24"/>
        </w:rPr>
        <w:t>,</w:t>
      </w:r>
      <w:r w:rsidR="004D5E83" w:rsidRPr="00D5652A">
        <w:rPr>
          <w:rFonts w:ascii="Arial" w:hAnsi="Arial" w:cs="Arial"/>
          <w:sz w:val="24"/>
          <w:szCs w:val="24"/>
        </w:rPr>
        <w:t xml:space="preserve"> </w:t>
      </w:r>
      <w:r w:rsidR="00B258AE">
        <w:rPr>
          <w:rFonts w:ascii="Arial" w:hAnsi="Arial" w:cs="Arial"/>
          <w:sz w:val="24"/>
          <w:szCs w:val="24"/>
        </w:rPr>
        <w:t xml:space="preserve">I am of the view that </w:t>
      </w:r>
      <w:r w:rsidRPr="00D5652A">
        <w:rPr>
          <w:rFonts w:ascii="Arial" w:hAnsi="Arial" w:cs="Arial"/>
          <w:sz w:val="24"/>
          <w:szCs w:val="24"/>
        </w:rPr>
        <w:t>the only relief that is appropriate</w:t>
      </w:r>
      <w:r w:rsidR="009B4414">
        <w:rPr>
          <w:rFonts w:ascii="Arial" w:hAnsi="Arial" w:cs="Arial"/>
          <w:sz w:val="24"/>
          <w:szCs w:val="24"/>
        </w:rPr>
        <w:t xml:space="preserve"> is that </w:t>
      </w:r>
      <w:r w:rsidR="004329A2">
        <w:rPr>
          <w:rFonts w:ascii="Arial" w:hAnsi="Arial" w:cs="Arial"/>
          <w:sz w:val="24"/>
          <w:szCs w:val="24"/>
        </w:rPr>
        <w:t>Buhle</w:t>
      </w:r>
      <w:r w:rsidR="009B4414">
        <w:rPr>
          <w:rFonts w:ascii="Arial" w:hAnsi="Arial" w:cs="Arial"/>
          <w:sz w:val="24"/>
          <w:szCs w:val="24"/>
        </w:rPr>
        <w:t xml:space="preserve"> </w:t>
      </w:r>
      <w:proofErr w:type="gramStart"/>
      <w:r w:rsidR="009B4414">
        <w:rPr>
          <w:rFonts w:ascii="Arial" w:hAnsi="Arial" w:cs="Arial"/>
          <w:sz w:val="24"/>
          <w:szCs w:val="24"/>
        </w:rPr>
        <w:t>be granted</w:t>
      </w:r>
      <w:proofErr w:type="gramEnd"/>
      <w:r w:rsidR="009B4414">
        <w:rPr>
          <w:rFonts w:ascii="Arial" w:hAnsi="Arial" w:cs="Arial"/>
          <w:sz w:val="24"/>
          <w:szCs w:val="24"/>
        </w:rPr>
        <w:t xml:space="preserve"> leave to intervene in respect of the award in respect of Area 2</w:t>
      </w:r>
      <w:r w:rsidR="004D5E83" w:rsidRPr="00D5652A">
        <w:rPr>
          <w:rFonts w:ascii="Arial" w:hAnsi="Arial" w:cs="Arial"/>
          <w:sz w:val="24"/>
          <w:szCs w:val="24"/>
        </w:rPr>
        <w:t>,</w:t>
      </w:r>
      <w:r w:rsidR="002452CD">
        <w:rPr>
          <w:rFonts w:ascii="Arial" w:hAnsi="Arial" w:cs="Arial"/>
          <w:sz w:val="24"/>
          <w:szCs w:val="24"/>
        </w:rPr>
        <w:t xml:space="preserve"> </w:t>
      </w:r>
      <w:r w:rsidR="009B4414">
        <w:rPr>
          <w:rFonts w:ascii="Arial" w:hAnsi="Arial" w:cs="Arial"/>
          <w:sz w:val="24"/>
          <w:szCs w:val="24"/>
        </w:rPr>
        <w:t>especially since this is the</w:t>
      </w:r>
      <w:r w:rsidR="004D5E83" w:rsidRPr="00D5652A">
        <w:rPr>
          <w:rFonts w:ascii="Arial" w:hAnsi="Arial" w:cs="Arial"/>
          <w:sz w:val="24"/>
          <w:szCs w:val="24"/>
        </w:rPr>
        <w:t xml:space="preserve"> only review before me</w:t>
      </w:r>
      <w:r w:rsidR="009B4414">
        <w:rPr>
          <w:rFonts w:ascii="Arial" w:hAnsi="Arial" w:cs="Arial"/>
          <w:sz w:val="24"/>
          <w:szCs w:val="24"/>
        </w:rPr>
        <w:t xml:space="preserve">. </w:t>
      </w:r>
      <w:r w:rsidR="002265F8">
        <w:rPr>
          <w:rFonts w:ascii="Arial" w:hAnsi="Arial" w:cs="Arial"/>
          <w:sz w:val="24"/>
          <w:szCs w:val="24"/>
        </w:rPr>
        <w:t xml:space="preserve"> </w:t>
      </w:r>
      <w:r w:rsidR="004D5E83" w:rsidRPr="00D5652A">
        <w:rPr>
          <w:rFonts w:ascii="Arial" w:hAnsi="Arial" w:cs="Arial"/>
          <w:sz w:val="24"/>
          <w:szCs w:val="24"/>
        </w:rPr>
        <w:t xml:space="preserve"> It will not close the door to Buhle’s reviews in respect of Areas 1 and 3</w:t>
      </w:r>
      <w:r w:rsidR="002452CD">
        <w:rPr>
          <w:rFonts w:ascii="Arial" w:hAnsi="Arial" w:cs="Arial"/>
          <w:sz w:val="24"/>
          <w:szCs w:val="24"/>
        </w:rPr>
        <w:t xml:space="preserve"> </w:t>
      </w:r>
      <w:r w:rsidR="004D5E83" w:rsidRPr="00D5652A">
        <w:rPr>
          <w:rFonts w:ascii="Arial" w:hAnsi="Arial" w:cs="Arial"/>
          <w:sz w:val="24"/>
          <w:szCs w:val="24"/>
        </w:rPr>
        <w:t>-</w:t>
      </w:r>
      <w:r w:rsidR="002452CD">
        <w:rPr>
          <w:rFonts w:ascii="Arial" w:hAnsi="Arial" w:cs="Arial"/>
          <w:sz w:val="24"/>
          <w:szCs w:val="24"/>
        </w:rPr>
        <w:t xml:space="preserve"> </w:t>
      </w:r>
      <w:r w:rsidR="004D5E83" w:rsidRPr="00D5652A">
        <w:rPr>
          <w:rFonts w:ascii="Arial" w:hAnsi="Arial" w:cs="Arial"/>
          <w:sz w:val="24"/>
          <w:szCs w:val="24"/>
        </w:rPr>
        <w:t xml:space="preserve">it would be free to pursue them in due course without disrupting the current review. Buhle’s right to access to court </w:t>
      </w:r>
      <w:proofErr w:type="gramStart"/>
      <w:r w:rsidR="004D5E83" w:rsidRPr="00D5652A">
        <w:rPr>
          <w:rFonts w:ascii="Arial" w:hAnsi="Arial" w:cs="Arial"/>
          <w:sz w:val="24"/>
          <w:szCs w:val="24"/>
        </w:rPr>
        <w:t>would certainly not be infringed</w:t>
      </w:r>
      <w:proofErr w:type="gramEnd"/>
      <w:r w:rsidR="000F565D" w:rsidRPr="00D5652A">
        <w:rPr>
          <w:rFonts w:ascii="Arial" w:hAnsi="Arial" w:cs="Arial"/>
          <w:sz w:val="24"/>
          <w:szCs w:val="24"/>
        </w:rPr>
        <w:t xml:space="preserve"> if it is allowed to intervene in Makhathini’s review in respe</w:t>
      </w:r>
      <w:r w:rsidR="009B4414">
        <w:rPr>
          <w:rFonts w:ascii="Arial" w:hAnsi="Arial" w:cs="Arial"/>
          <w:sz w:val="24"/>
          <w:szCs w:val="24"/>
        </w:rPr>
        <w:t>ct of Area 2 and it will still be able</w:t>
      </w:r>
      <w:r w:rsidR="000F565D" w:rsidRPr="00D5652A">
        <w:rPr>
          <w:rFonts w:ascii="Arial" w:hAnsi="Arial" w:cs="Arial"/>
          <w:sz w:val="24"/>
          <w:szCs w:val="24"/>
        </w:rPr>
        <w:t xml:space="preserve"> to pursue its other reviews. I see nothing absurd in such a situation. It would not create a situation where another court could potentially make a finding on the same </w:t>
      </w:r>
      <w:proofErr w:type="gramStart"/>
      <w:r w:rsidR="000F565D" w:rsidRPr="00D5652A">
        <w:rPr>
          <w:rFonts w:ascii="Arial" w:hAnsi="Arial" w:cs="Arial"/>
          <w:sz w:val="24"/>
          <w:szCs w:val="24"/>
        </w:rPr>
        <w:t>issues</w:t>
      </w:r>
      <w:proofErr w:type="gramEnd"/>
      <w:r w:rsidR="000F565D" w:rsidRPr="00D5652A">
        <w:rPr>
          <w:rFonts w:ascii="Arial" w:hAnsi="Arial" w:cs="Arial"/>
          <w:sz w:val="24"/>
          <w:szCs w:val="24"/>
        </w:rPr>
        <w:t xml:space="preserve"> as only one court will deal with the award in respect of Area </w:t>
      </w:r>
      <w:r w:rsidR="00785BEB" w:rsidRPr="00D5652A">
        <w:rPr>
          <w:rFonts w:ascii="Arial" w:hAnsi="Arial" w:cs="Arial"/>
          <w:sz w:val="24"/>
          <w:szCs w:val="24"/>
        </w:rPr>
        <w:t xml:space="preserve">2. </w:t>
      </w:r>
      <w:r w:rsidR="00305DEC" w:rsidRPr="00D5652A">
        <w:rPr>
          <w:rFonts w:ascii="Arial" w:hAnsi="Arial" w:cs="Arial"/>
          <w:sz w:val="24"/>
          <w:szCs w:val="24"/>
        </w:rPr>
        <w:t xml:space="preserve">It will also give effect to what Cameron JA referred to in </w:t>
      </w:r>
      <w:r w:rsidR="00305DEC" w:rsidRPr="002D5D1E">
        <w:rPr>
          <w:rFonts w:ascii="Arial" w:hAnsi="Arial" w:cs="Arial"/>
          <w:i/>
          <w:sz w:val="24"/>
          <w:szCs w:val="24"/>
        </w:rPr>
        <w:t>Giant Concerts</w:t>
      </w:r>
      <w:r w:rsidR="00305DEC" w:rsidRPr="00D5652A">
        <w:rPr>
          <w:rFonts w:ascii="Arial" w:hAnsi="Arial" w:cs="Arial"/>
          <w:sz w:val="24"/>
          <w:szCs w:val="24"/>
        </w:rPr>
        <w:t xml:space="preserve">, namely that a successful challenge </w:t>
      </w:r>
      <w:r w:rsidR="008F34DD">
        <w:rPr>
          <w:rFonts w:ascii="Arial" w:hAnsi="Arial" w:cs="Arial"/>
          <w:sz w:val="24"/>
          <w:szCs w:val="24"/>
        </w:rPr>
        <w:t>‘</w:t>
      </w:r>
      <w:r w:rsidR="00305DEC" w:rsidRPr="00D5652A">
        <w:rPr>
          <w:rFonts w:ascii="Arial" w:hAnsi="Arial" w:cs="Arial"/>
          <w:sz w:val="24"/>
          <w:szCs w:val="24"/>
        </w:rPr>
        <w:t xml:space="preserve">can </w:t>
      </w:r>
      <w:r w:rsidR="008F34DD" w:rsidRPr="008F34DD">
        <w:rPr>
          <w:rFonts w:ascii="Arial" w:hAnsi="Arial" w:cs="Arial"/>
          <w:sz w:val="24"/>
          <w:szCs w:val="24"/>
        </w:rPr>
        <w:t>be brought only if “the right remedy is sought by the right person in the right proceedings”</w:t>
      </w:r>
      <w:r w:rsidR="008F34DD">
        <w:rPr>
          <w:rFonts w:ascii="Arial" w:hAnsi="Arial" w:cs="Arial"/>
          <w:sz w:val="24"/>
          <w:szCs w:val="24"/>
        </w:rPr>
        <w:t>’</w:t>
      </w:r>
      <w:r w:rsidR="00305DEC" w:rsidRPr="00D5652A">
        <w:rPr>
          <w:rFonts w:ascii="Arial" w:hAnsi="Arial" w:cs="Arial"/>
          <w:sz w:val="24"/>
          <w:szCs w:val="24"/>
        </w:rPr>
        <w:t>.</w:t>
      </w:r>
      <w:r w:rsidR="008F34DD">
        <w:rPr>
          <w:rStyle w:val="FootnoteReference"/>
          <w:rFonts w:ascii="Arial" w:hAnsi="Arial" w:cs="Arial"/>
          <w:sz w:val="24"/>
          <w:szCs w:val="24"/>
        </w:rPr>
        <w:footnoteReference w:id="28"/>
      </w:r>
      <w:r w:rsidR="004329A2">
        <w:rPr>
          <w:rFonts w:ascii="Arial" w:hAnsi="Arial" w:cs="Arial"/>
          <w:sz w:val="24"/>
          <w:szCs w:val="24"/>
        </w:rPr>
        <w:t xml:space="preserve"> It might have been a different situation if Buhle has applied to join in terms of Uniform rule 10 but I am not required to deal with this issue.</w:t>
      </w:r>
    </w:p>
    <w:p w:rsidR="008F0BBA" w:rsidRPr="00D5652A" w:rsidRDefault="008F0BBA" w:rsidP="00D5652A">
      <w:pPr>
        <w:spacing w:after="0" w:line="360" w:lineRule="auto"/>
        <w:contextualSpacing/>
        <w:jc w:val="both"/>
        <w:rPr>
          <w:rFonts w:ascii="Arial" w:hAnsi="Arial" w:cs="Arial"/>
          <w:sz w:val="24"/>
          <w:szCs w:val="24"/>
        </w:rPr>
      </w:pPr>
    </w:p>
    <w:p w:rsidR="00305DEC" w:rsidRPr="00D5652A" w:rsidRDefault="00305DEC"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In </w:t>
      </w:r>
      <w:proofErr w:type="spellStart"/>
      <w:r w:rsidR="004069C0" w:rsidRPr="004069C0">
        <w:rPr>
          <w:rFonts w:ascii="Arial" w:hAnsi="Arial" w:cs="Arial"/>
          <w:i/>
          <w:sz w:val="24"/>
          <w:szCs w:val="24"/>
        </w:rPr>
        <w:t>Caesarstone</w:t>
      </w:r>
      <w:proofErr w:type="spellEnd"/>
      <w:r w:rsidR="004069C0" w:rsidRPr="004069C0">
        <w:rPr>
          <w:rFonts w:ascii="Arial" w:hAnsi="Arial" w:cs="Arial"/>
          <w:i/>
          <w:sz w:val="24"/>
          <w:szCs w:val="24"/>
        </w:rPr>
        <w:t xml:space="preserve"> </w:t>
      </w:r>
      <w:proofErr w:type="spellStart"/>
      <w:r w:rsidR="004069C0" w:rsidRPr="004069C0">
        <w:rPr>
          <w:rFonts w:ascii="Arial" w:hAnsi="Arial" w:cs="Arial"/>
          <w:i/>
          <w:sz w:val="24"/>
          <w:szCs w:val="24"/>
        </w:rPr>
        <w:t>Sdo</w:t>
      </w:r>
      <w:r w:rsidRPr="004069C0">
        <w:rPr>
          <w:rFonts w:ascii="Arial" w:hAnsi="Arial" w:cs="Arial"/>
          <w:i/>
          <w:sz w:val="24"/>
          <w:szCs w:val="24"/>
        </w:rPr>
        <w:t>t</w:t>
      </w:r>
      <w:proofErr w:type="spellEnd"/>
      <w:r w:rsidRPr="004069C0">
        <w:rPr>
          <w:rFonts w:ascii="Arial" w:hAnsi="Arial" w:cs="Arial"/>
          <w:i/>
          <w:sz w:val="24"/>
          <w:szCs w:val="24"/>
        </w:rPr>
        <w:t>-Yam Ltd v World of Marble and Granite</w:t>
      </w:r>
      <w:r w:rsidR="00B8396C">
        <w:rPr>
          <w:rStyle w:val="FootnoteReference"/>
          <w:rFonts w:ascii="Arial" w:hAnsi="Arial" w:cs="Arial"/>
          <w:sz w:val="24"/>
          <w:szCs w:val="24"/>
        </w:rPr>
        <w:footnoteReference w:id="29"/>
      </w:r>
      <w:r w:rsidRPr="00D5652A">
        <w:rPr>
          <w:rFonts w:ascii="Arial" w:hAnsi="Arial" w:cs="Arial"/>
          <w:sz w:val="24"/>
          <w:szCs w:val="24"/>
        </w:rPr>
        <w:t xml:space="preserve"> the court dealt with concerns where different courts may pronounce on the same issue with the risk that they may reach different conclusions.</w:t>
      </w:r>
      <w:r w:rsidR="0000268B" w:rsidRPr="00D5652A">
        <w:rPr>
          <w:rFonts w:ascii="Arial" w:hAnsi="Arial" w:cs="Arial"/>
          <w:sz w:val="24"/>
          <w:szCs w:val="24"/>
        </w:rPr>
        <w:t xml:space="preserve"> The court was dealing with a plea of </w:t>
      </w:r>
      <w:proofErr w:type="spellStart"/>
      <w:r w:rsidR="0000268B" w:rsidRPr="00840C39">
        <w:rPr>
          <w:rFonts w:ascii="Arial" w:hAnsi="Arial" w:cs="Arial"/>
          <w:i/>
          <w:sz w:val="24"/>
          <w:szCs w:val="24"/>
        </w:rPr>
        <w:t>lis</w:t>
      </w:r>
      <w:proofErr w:type="spellEnd"/>
      <w:r w:rsidR="0000268B" w:rsidRPr="00840C39">
        <w:rPr>
          <w:rFonts w:ascii="Arial" w:hAnsi="Arial" w:cs="Arial"/>
          <w:i/>
          <w:sz w:val="24"/>
          <w:szCs w:val="24"/>
        </w:rPr>
        <w:t xml:space="preserve"> </w:t>
      </w:r>
      <w:proofErr w:type="spellStart"/>
      <w:r w:rsidR="0000268B" w:rsidRPr="00840C39">
        <w:rPr>
          <w:rFonts w:ascii="Arial" w:hAnsi="Arial" w:cs="Arial"/>
          <w:i/>
          <w:sz w:val="24"/>
          <w:szCs w:val="24"/>
        </w:rPr>
        <w:t>pendens</w:t>
      </w:r>
      <w:proofErr w:type="spellEnd"/>
      <w:r w:rsidR="0000268B" w:rsidRPr="00D5652A">
        <w:rPr>
          <w:rFonts w:ascii="Arial" w:hAnsi="Arial" w:cs="Arial"/>
          <w:sz w:val="24"/>
          <w:szCs w:val="24"/>
        </w:rPr>
        <w:t>. It was held that the situation would only arise</w:t>
      </w:r>
      <w:r w:rsidR="004B393F">
        <w:rPr>
          <w:rFonts w:ascii="Arial" w:hAnsi="Arial" w:cs="Arial"/>
          <w:sz w:val="24"/>
          <w:szCs w:val="24"/>
        </w:rPr>
        <w:t xml:space="preserve"> </w:t>
      </w:r>
      <w:r w:rsidR="0000268B" w:rsidRPr="00D5652A">
        <w:rPr>
          <w:rFonts w:ascii="Arial" w:hAnsi="Arial" w:cs="Arial"/>
          <w:sz w:val="24"/>
          <w:szCs w:val="24"/>
        </w:rPr>
        <w:t>where the same dispute between the same parties is sought to be placed before the same tribunal. In the absence of these elements, there was no potential for a duplication of actions. In my view, Buhle’s concerns that there might be an ‘overlap’ will not arise if it pursues it review with Makhathini respect of Area 2</w:t>
      </w:r>
      <w:r w:rsidR="004B393F">
        <w:rPr>
          <w:rFonts w:ascii="Arial" w:hAnsi="Arial" w:cs="Arial"/>
          <w:sz w:val="24"/>
          <w:szCs w:val="24"/>
        </w:rPr>
        <w:t xml:space="preserve"> </w:t>
      </w:r>
      <w:r w:rsidR="0000268B" w:rsidRPr="00D5652A">
        <w:rPr>
          <w:rFonts w:ascii="Arial" w:hAnsi="Arial" w:cs="Arial"/>
          <w:sz w:val="24"/>
          <w:szCs w:val="24"/>
        </w:rPr>
        <w:t>and the remainder of its review in a separate review application.</w:t>
      </w:r>
    </w:p>
    <w:p w:rsidR="008F0BBA" w:rsidRPr="00D5652A" w:rsidRDefault="008F0BBA" w:rsidP="00D5652A">
      <w:pPr>
        <w:spacing w:after="0" w:line="360" w:lineRule="auto"/>
        <w:contextualSpacing/>
        <w:jc w:val="both"/>
        <w:rPr>
          <w:rFonts w:ascii="Arial" w:hAnsi="Arial" w:cs="Arial"/>
          <w:sz w:val="24"/>
          <w:szCs w:val="24"/>
        </w:rPr>
      </w:pPr>
    </w:p>
    <w:p w:rsidR="00DC5E7B" w:rsidRPr="00D5652A" w:rsidRDefault="00DC5E7B"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In </w:t>
      </w:r>
      <w:proofErr w:type="spellStart"/>
      <w:r w:rsidRPr="00840C39">
        <w:rPr>
          <w:rFonts w:ascii="Arial" w:hAnsi="Arial" w:cs="Arial"/>
          <w:i/>
          <w:sz w:val="24"/>
          <w:szCs w:val="24"/>
        </w:rPr>
        <w:t>Socratous</w:t>
      </w:r>
      <w:proofErr w:type="spellEnd"/>
      <w:r w:rsidRPr="00840C39">
        <w:rPr>
          <w:rFonts w:ascii="Arial" w:hAnsi="Arial" w:cs="Arial"/>
          <w:i/>
          <w:sz w:val="24"/>
          <w:szCs w:val="24"/>
        </w:rPr>
        <w:t xml:space="preserve"> v Grindstone Investments</w:t>
      </w:r>
      <w:r w:rsidR="00840C39">
        <w:rPr>
          <w:rStyle w:val="FootnoteReference"/>
          <w:rFonts w:ascii="Arial" w:hAnsi="Arial" w:cs="Arial"/>
          <w:sz w:val="24"/>
          <w:szCs w:val="24"/>
        </w:rPr>
        <w:footnoteReference w:id="30"/>
      </w:r>
      <w:r w:rsidRPr="00D5652A">
        <w:rPr>
          <w:rFonts w:ascii="Arial" w:hAnsi="Arial" w:cs="Arial"/>
          <w:sz w:val="24"/>
          <w:szCs w:val="24"/>
        </w:rPr>
        <w:t xml:space="preserve"> it was held that ‘</w:t>
      </w:r>
      <w:r w:rsidR="00F92551">
        <w:rPr>
          <w:rFonts w:ascii="Arial" w:hAnsi="Arial" w:cs="Arial"/>
          <w:sz w:val="24"/>
          <w:szCs w:val="24"/>
        </w:rPr>
        <w:t>[c]</w:t>
      </w:r>
      <w:proofErr w:type="spellStart"/>
      <w:r w:rsidRPr="00D5652A">
        <w:rPr>
          <w:rFonts w:ascii="Arial" w:hAnsi="Arial" w:cs="Arial"/>
          <w:sz w:val="24"/>
          <w:szCs w:val="24"/>
        </w:rPr>
        <w:t>ourts</w:t>
      </w:r>
      <w:proofErr w:type="spellEnd"/>
      <w:r w:rsidRPr="00D5652A">
        <w:rPr>
          <w:rFonts w:ascii="Arial" w:hAnsi="Arial" w:cs="Arial"/>
          <w:sz w:val="24"/>
          <w:szCs w:val="24"/>
        </w:rPr>
        <w:t xml:space="preserve"> are public institutions under severe pressure. The last thing that already congested court rolls require is further congestion by an unwarranted proliferation of litigation’. I am mindful of the practical implications of yet another review but in this matter the proverbial horse has already bolted</w:t>
      </w:r>
      <w:r w:rsidR="002452CD">
        <w:rPr>
          <w:rFonts w:ascii="Arial" w:hAnsi="Arial" w:cs="Arial"/>
          <w:sz w:val="24"/>
          <w:szCs w:val="24"/>
        </w:rPr>
        <w:t xml:space="preserve"> </w:t>
      </w:r>
      <w:r w:rsidRPr="00D5652A">
        <w:rPr>
          <w:rFonts w:ascii="Arial" w:hAnsi="Arial" w:cs="Arial"/>
          <w:sz w:val="24"/>
          <w:szCs w:val="24"/>
        </w:rPr>
        <w:t>-</w:t>
      </w:r>
      <w:r w:rsidR="002452CD">
        <w:rPr>
          <w:rFonts w:ascii="Arial" w:hAnsi="Arial" w:cs="Arial"/>
          <w:sz w:val="24"/>
          <w:szCs w:val="24"/>
        </w:rPr>
        <w:t xml:space="preserve"> </w:t>
      </w:r>
      <w:r w:rsidRPr="00D5652A">
        <w:rPr>
          <w:rFonts w:ascii="Arial" w:hAnsi="Arial" w:cs="Arial"/>
          <w:sz w:val="24"/>
          <w:szCs w:val="24"/>
        </w:rPr>
        <w:t>with no less than four applications being heard by myself. The alternative is simply not appropriate in the circumstances.</w:t>
      </w:r>
    </w:p>
    <w:p w:rsidR="00FA5DFB" w:rsidRPr="00D5652A" w:rsidRDefault="00FA5DFB" w:rsidP="00D5652A">
      <w:pPr>
        <w:spacing w:after="0" w:line="360" w:lineRule="auto"/>
        <w:contextualSpacing/>
        <w:jc w:val="both"/>
        <w:rPr>
          <w:rFonts w:ascii="Arial" w:hAnsi="Arial" w:cs="Arial"/>
          <w:sz w:val="24"/>
          <w:szCs w:val="24"/>
        </w:rPr>
      </w:pPr>
    </w:p>
    <w:p w:rsidR="00DC5E7B" w:rsidRPr="00D5652A" w:rsidRDefault="00DC5E7B"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In light of what I have found above,</w:t>
      </w:r>
      <w:r w:rsidR="00F92551">
        <w:rPr>
          <w:rFonts w:ascii="Arial" w:hAnsi="Arial" w:cs="Arial"/>
          <w:sz w:val="24"/>
          <w:szCs w:val="24"/>
        </w:rPr>
        <w:t xml:space="preserve"> </w:t>
      </w:r>
      <w:r w:rsidRPr="00D5652A">
        <w:rPr>
          <w:rFonts w:ascii="Arial" w:hAnsi="Arial" w:cs="Arial"/>
          <w:sz w:val="24"/>
          <w:szCs w:val="24"/>
        </w:rPr>
        <w:t>I</w:t>
      </w:r>
      <w:r w:rsidR="004B393F">
        <w:rPr>
          <w:rFonts w:ascii="Arial" w:hAnsi="Arial" w:cs="Arial"/>
          <w:sz w:val="24"/>
          <w:szCs w:val="24"/>
        </w:rPr>
        <w:t xml:space="preserve"> </w:t>
      </w:r>
      <w:r w:rsidRPr="00D5652A">
        <w:rPr>
          <w:rFonts w:ascii="Arial" w:hAnsi="Arial" w:cs="Arial"/>
          <w:sz w:val="24"/>
          <w:szCs w:val="24"/>
        </w:rPr>
        <w:t xml:space="preserve">do not believe that it is necessary to deal with any of </w:t>
      </w:r>
      <w:r w:rsidR="0021512F" w:rsidRPr="00D5652A">
        <w:rPr>
          <w:rFonts w:ascii="Arial" w:hAnsi="Arial" w:cs="Arial"/>
          <w:sz w:val="24"/>
          <w:szCs w:val="24"/>
        </w:rPr>
        <w:t>the other issues. I am</w:t>
      </w:r>
      <w:r w:rsidR="009B4414">
        <w:rPr>
          <w:rFonts w:ascii="Arial" w:hAnsi="Arial" w:cs="Arial"/>
          <w:sz w:val="24"/>
          <w:szCs w:val="24"/>
        </w:rPr>
        <w:t xml:space="preserve"> also mindful of not </w:t>
      </w:r>
      <w:r w:rsidR="00014250" w:rsidRPr="00D5652A">
        <w:rPr>
          <w:rFonts w:ascii="Arial" w:hAnsi="Arial" w:cs="Arial"/>
          <w:sz w:val="24"/>
          <w:szCs w:val="24"/>
        </w:rPr>
        <w:t xml:space="preserve">making </w:t>
      </w:r>
      <w:r w:rsidR="00FE082E">
        <w:rPr>
          <w:rFonts w:ascii="Arial" w:hAnsi="Arial" w:cs="Arial"/>
          <w:sz w:val="24"/>
          <w:szCs w:val="24"/>
        </w:rPr>
        <w:t xml:space="preserve">any </w:t>
      </w:r>
      <w:r w:rsidR="00014250" w:rsidRPr="00D5652A">
        <w:rPr>
          <w:rFonts w:ascii="Arial" w:hAnsi="Arial" w:cs="Arial"/>
          <w:sz w:val="24"/>
          <w:szCs w:val="24"/>
        </w:rPr>
        <w:t>fi</w:t>
      </w:r>
      <w:r w:rsidR="002265F8">
        <w:rPr>
          <w:rFonts w:ascii="Arial" w:hAnsi="Arial" w:cs="Arial"/>
          <w:sz w:val="24"/>
          <w:szCs w:val="24"/>
        </w:rPr>
        <w:t>ndings on certain issues as it</w:t>
      </w:r>
      <w:r w:rsidR="00014250" w:rsidRPr="00D5652A">
        <w:rPr>
          <w:rFonts w:ascii="Arial" w:hAnsi="Arial" w:cs="Arial"/>
          <w:sz w:val="24"/>
          <w:szCs w:val="24"/>
        </w:rPr>
        <w:t xml:space="preserve"> would be for the court hearing the review to do</w:t>
      </w:r>
      <w:r w:rsidR="002265F8">
        <w:rPr>
          <w:rFonts w:ascii="Arial" w:hAnsi="Arial" w:cs="Arial"/>
          <w:sz w:val="24"/>
          <w:szCs w:val="24"/>
        </w:rPr>
        <w:t xml:space="preserve"> so</w:t>
      </w:r>
      <w:r w:rsidR="00014250" w:rsidRPr="00D5652A">
        <w:rPr>
          <w:rFonts w:ascii="Arial" w:hAnsi="Arial" w:cs="Arial"/>
          <w:sz w:val="24"/>
          <w:szCs w:val="24"/>
        </w:rPr>
        <w:t>.</w:t>
      </w:r>
    </w:p>
    <w:p w:rsidR="00FA5DFB" w:rsidRPr="00D5652A" w:rsidRDefault="00FA5DFB" w:rsidP="00D5652A">
      <w:pPr>
        <w:spacing w:after="0" w:line="360" w:lineRule="auto"/>
        <w:contextualSpacing/>
        <w:jc w:val="both"/>
        <w:rPr>
          <w:rFonts w:ascii="Arial" w:hAnsi="Arial" w:cs="Arial"/>
          <w:sz w:val="24"/>
          <w:szCs w:val="24"/>
        </w:rPr>
      </w:pPr>
    </w:p>
    <w:p w:rsidR="0021512F" w:rsidRPr="00D5652A" w:rsidRDefault="0021512F"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 xml:space="preserve">As far as the costs of the application </w:t>
      </w:r>
      <w:r w:rsidR="00FE082E">
        <w:rPr>
          <w:rFonts w:ascii="Arial" w:hAnsi="Arial" w:cs="Arial"/>
          <w:sz w:val="24"/>
          <w:szCs w:val="24"/>
        </w:rPr>
        <w:t>are</w:t>
      </w:r>
      <w:r w:rsidR="00FE082E" w:rsidRPr="00D5652A">
        <w:rPr>
          <w:rFonts w:ascii="Arial" w:hAnsi="Arial" w:cs="Arial"/>
          <w:sz w:val="24"/>
          <w:szCs w:val="24"/>
        </w:rPr>
        <w:t xml:space="preserve"> </w:t>
      </w:r>
      <w:r w:rsidRPr="00D5652A">
        <w:rPr>
          <w:rFonts w:ascii="Arial" w:hAnsi="Arial" w:cs="Arial"/>
          <w:sz w:val="24"/>
          <w:szCs w:val="24"/>
        </w:rPr>
        <w:t xml:space="preserve">concerned, I am of the view that it would be appropriate to leave the issue of costs for the court hearing the review to decide. Buhle has been successful in obtaining leave to intervene but only to a very limited extend. It might have certain hurdles to overcome before its review will be considered and therefore that court will be best placed to decide the issue. </w:t>
      </w:r>
    </w:p>
    <w:p w:rsidR="00FA5DFB" w:rsidRDefault="00FA5DFB" w:rsidP="00D5652A">
      <w:pPr>
        <w:spacing w:after="0" w:line="360" w:lineRule="auto"/>
        <w:contextualSpacing/>
        <w:jc w:val="both"/>
        <w:rPr>
          <w:rFonts w:ascii="Arial" w:hAnsi="Arial" w:cs="Arial"/>
          <w:sz w:val="24"/>
          <w:szCs w:val="24"/>
        </w:rPr>
      </w:pPr>
    </w:p>
    <w:p w:rsidR="00D5652A" w:rsidRPr="00D5652A" w:rsidRDefault="00D5652A" w:rsidP="00D5652A">
      <w:pPr>
        <w:spacing w:after="0" w:line="360" w:lineRule="auto"/>
        <w:contextualSpacing/>
        <w:jc w:val="both"/>
        <w:rPr>
          <w:rFonts w:ascii="Arial" w:hAnsi="Arial" w:cs="Arial"/>
          <w:b/>
          <w:sz w:val="24"/>
          <w:szCs w:val="24"/>
        </w:rPr>
      </w:pPr>
      <w:r>
        <w:rPr>
          <w:rFonts w:ascii="Arial" w:hAnsi="Arial" w:cs="Arial"/>
          <w:b/>
          <w:sz w:val="24"/>
          <w:szCs w:val="24"/>
        </w:rPr>
        <w:t>Order</w:t>
      </w:r>
    </w:p>
    <w:p w:rsidR="00014250" w:rsidRPr="00D5652A" w:rsidRDefault="00014250" w:rsidP="00D5652A">
      <w:pPr>
        <w:pStyle w:val="ListParagraph"/>
        <w:numPr>
          <w:ilvl w:val="0"/>
          <w:numId w:val="1"/>
        </w:numPr>
        <w:spacing w:after="0" w:line="360" w:lineRule="auto"/>
        <w:ind w:left="0" w:firstLine="0"/>
        <w:jc w:val="both"/>
        <w:rPr>
          <w:rFonts w:ascii="Arial" w:hAnsi="Arial" w:cs="Arial"/>
          <w:sz w:val="24"/>
          <w:szCs w:val="24"/>
        </w:rPr>
      </w:pPr>
      <w:r w:rsidRPr="00D5652A">
        <w:rPr>
          <w:rFonts w:ascii="Arial" w:hAnsi="Arial" w:cs="Arial"/>
          <w:sz w:val="24"/>
          <w:szCs w:val="24"/>
        </w:rPr>
        <w:t>I accordingly make the following order;</w:t>
      </w:r>
    </w:p>
    <w:p w:rsidR="00014250" w:rsidRPr="00D5652A" w:rsidRDefault="00014250" w:rsidP="00D5652A">
      <w:pPr>
        <w:pStyle w:val="ListParagraph"/>
        <w:numPr>
          <w:ilvl w:val="4"/>
          <w:numId w:val="1"/>
        </w:numPr>
        <w:spacing w:after="0" w:line="360" w:lineRule="auto"/>
        <w:ind w:left="0" w:firstLine="0"/>
        <w:jc w:val="both"/>
        <w:rPr>
          <w:rFonts w:ascii="Arial" w:hAnsi="Arial" w:cs="Arial"/>
          <w:sz w:val="24"/>
          <w:szCs w:val="24"/>
        </w:rPr>
      </w:pPr>
      <w:proofErr w:type="gramStart"/>
      <w:r w:rsidRPr="00D5652A">
        <w:rPr>
          <w:rFonts w:ascii="Arial" w:hAnsi="Arial" w:cs="Arial"/>
          <w:sz w:val="24"/>
          <w:szCs w:val="24"/>
        </w:rPr>
        <w:t>The intervening party, Buhle Waste (Pty) Ltd, is granted leave to intervene and is joined as second applicant in the review application under case number 8721/21P in respect of the decision to award</w:t>
      </w:r>
      <w:r w:rsidR="006449C8">
        <w:rPr>
          <w:rFonts w:ascii="Arial" w:hAnsi="Arial" w:cs="Arial"/>
          <w:sz w:val="24"/>
          <w:szCs w:val="24"/>
        </w:rPr>
        <w:t xml:space="preserve"> the contract for Area 2: </w:t>
      </w:r>
      <w:proofErr w:type="spellStart"/>
      <w:r w:rsidR="006449C8">
        <w:rPr>
          <w:rFonts w:ascii="Arial" w:hAnsi="Arial" w:cs="Arial"/>
          <w:sz w:val="24"/>
          <w:szCs w:val="24"/>
        </w:rPr>
        <w:t>Umgun</w:t>
      </w:r>
      <w:r w:rsidRPr="00D5652A">
        <w:rPr>
          <w:rFonts w:ascii="Arial" w:hAnsi="Arial" w:cs="Arial"/>
          <w:sz w:val="24"/>
          <w:szCs w:val="24"/>
        </w:rPr>
        <w:t>gundlovu</w:t>
      </w:r>
      <w:proofErr w:type="spellEnd"/>
      <w:r w:rsidRPr="00D5652A">
        <w:rPr>
          <w:rFonts w:ascii="Arial" w:hAnsi="Arial" w:cs="Arial"/>
          <w:sz w:val="24"/>
          <w:szCs w:val="24"/>
        </w:rPr>
        <w:t xml:space="preserve">, Harry </w:t>
      </w:r>
      <w:proofErr w:type="spellStart"/>
      <w:r w:rsidRPr="00D5652A">
        <w:rPr>
          <w:rFonts w:ascii="Arial" w:hAnsi="Arial" w:cs="Arial"/>
          <w:sz w:val="24"/>
          <w:szCs w:val="24"/>
        </w:rPr>
        <w:t>Gwala</w:t>
      </w:r>
      <w:proofErr w:type="spellEnd"/>
      <w:r w:rsidRPr="00D5652A">
        <w:rPr>
          <w:rFonts w:ascii="Arial" w:hAnsi="Arial" w:cs="Arial"/>
          <w:sz w:val="24"/>
          <w:szCs w:val="24"/>
        </w:rPr>
        <w:t xml:space="preserve"> and </w:t>
      </w:r>
      <w:proofErr w:type="spellStart"/>
      <w:r w:rsidRPr="00D5652A">
        <w:rPr>
          <w:rFonts w:ascii="Arial" w:hAnsi="Arial" w:cs="Arial"/>
          <w:sz w:val="24"/>
          <w:szCs w:val="24"/>
        </w:rPr>
        <w:t>Ugu</w:t>
      </w:r>
      <w:proofErr w:type="spellEnd"/>
      <w:r w:rsidRPr="00D5652A">
        <w:rPr>
          <w:rFonts w:ascii="Arial" w:hAnsi="Arial" w:cs="Arial"/>
          <w:sz w:val="24"/>
          <w:szCs w:val="24"/>
        </w:rPr>
        <w:t xml:space="preserve"> Districts (Region 2) in terms of Tender number ZNB5296/2020-H to the second respondent, Compass Medical Waste Services (Pty) Ltd.</w:t>
      </w:r>
      <w:proofErr w:type="gramEnd"/>
    </w:p>
    <w:p w:rsidR="00014250" w:rsidRPr="00D5652A" w:rsidRDefault="00014250" w:rsidP="00D5652A">
      <w:pPr>
        <w:spacing w:after="0" w:line="360" w:lineRule="auto"/>
        <w:contextualSpacing/>
        <w:jc w:val="both"/>
        <w:rPr>
          <w:rFonts w:ascii="Arial" w:hAnsi="Arial" w:cs="Arial"/>
          <w:sz w:val="24"/>
          <w:szCs w:val="24"/>
        </w:rPr>
      </w:pPr>
      <w:r w:rsidRPr="00D5652A">
        <w:rPr>
          <w:rFonts w:ascii="Arial" w:hAnsi="Arial" w:cs="Arial"/>
          <w:sz w:val="24"/>
          <w:szCs w:val="24"/>
        </w:rPr>
        <w:t>2.</w:t>
      </w:r>
      <w:r w:rsidR="002452CD">
        <w:rPr>
          <w:rFonts w:ascii="Arial" w:hAnsi="Arial" w:cs="Arial"/>
          <w:sz w:val="24"/>
          <w:szCs w:val="24"/>
        </w:rPr>
        <w:tab/>
      </w:r>
      <w:r w:rsidRPr="00D5652A">
        <w:rPr>
          <w:rFonts w:ascii="Arial" w:hAnsi="Arial" w:cs="Arial"/>
          <w:sz w:val="24"/>
          <w:szCs w:val="24"/>
        </w:rPr>
        <w:t>The intervening party, Buhle Waste (Pty) Ltd</w:t>
      </w:r>
      <w:r w:rsidR="004B393F">
        <w:rPr>
          <w:rFonts w:ascii="Arial" w:hAnsi="Arial" w:cs="Arial"/>
          <w:sz w:val="24"/>
          <w:szCs w:val="24"/>
        </w:rPr>
        <w:t xml:space="preserve"> </w:t>
      </w:r>
      <w:r w:rsidRPr="00D5652A">
        <w:rPr>
          <w:rFonts w:ascii="Arial" w:hAnsi="Arial" w:cs="Arial"/>
          <w:sz w:val="24"/>
          <w:szCs w:val="24"/>
        </w:rPr>
        <w:t>is directed to file its founding affidavit on or before 14 Dec</w:t>
      </w:r>
      <w:r w:rsidR="00032BA9" w:rsidRPr="00D5652A">
        <w:rPr>
          <w:rFonts w:ascii="Arial" w:hAnsi="Arial" w:cs="Arial"/>
          <w:sz w:val="24"/>
          <w:szCs w:val="24"/>
        </w:rPr>
        <w:t>e</w:t>
      </w:r>
      <w:r w:rsidRPr="00D5652A">
        <w:rPr>
          <w:rFonts w:ascii="Arial" w:hAnsi="Arial" w:cs="Arial"/>
          <w:sz w:val="24"/>
          <w:szCs w:val="24"/>
        </w:rPr>
        <w:t>mber 2022.</w:t>
      </w:r>
    </w:p>
    <w:p w:rsidR="00032BA9" w:rsidRPr="00D5652A" w:rsidRDefault="00032BA9" w:rsidP="00D5652A">
      <w:pPr>
        <w:spacing w:after="0" w:line="360" w:lineRule="auto"/>
        <w:contextualSpacing/>
        <w:jc w:val="both"/>
        <w:rPr>
          <w:rFonts w:ascii="Arial" w:hAnsi="Arial" w:cs="Arial"/>
          <w:sz w:val="24"/>
          <w:szCs w:val="24"/>
        </w:rPr>
      </w:pPr>
      <w:r w:rsidRPr="00D5652A">
        <w:rPr>
          <w:rFonts w:ascii="Arial" w:hAnsi="Arial" w:cs="Arial"/>
          <w:sz w:val="24"/>
          <w:szCs w:val="24"/>
        </w:rPr>
        <w:t>3.</w:t>
      </w:r>
      <w:r w:rsidR="002452CD">
        <w:rPr>
          <w:rFonts w:ascii="Arial" w:hAnsi="Arial" w:cs="Arial"/>
          <w:sz w:val="24"/>
          <w:szCs w:val="24"/>
        </w:rPr>
        <w:tab/>
      </w:r>
      <w:r w:rsidRPr="00D5652A">
        <w:rPr>
          <w:rFonts w:ascii="Arial" w:hAnsi="Arial" w:cs="Arial"/>
          <w:sz w:val="24"/>
          <w:szCs w:val="24"/>
        </w:rPr>
        <w:t>The first respondent, the MEC for Health</w:t>
      </w:r>
      <w:r w:rsidR="00EF76FA">
        <w:rPr>
          <w:rFonts w:ascii="Arial" w:hAnsi="Arial" w:cs="Arial"/>
          <w:sz w:val="24"/>
          <w:szCs w:val="24"/>
        </w:rPr>
        <w:t>,</w:t>
      </w:r>
      <w:r w:rsidRPr="00D5652A">
        <w:rPr>
          <w:rFonts w:ascii="Arial" w:hAnsi="Arial" w:cs="Arial"/>
          <w:sz w:val="24"/>
          <w:szCs w:val="24"/>
        </w:rPr>
        <w:t xml:space="preserve"> and the second respondent, Compass Medical Waste Services (Pty)</w:t>
      </w:r>
      <w:r w:rsidR="00EF76FA">
        <w:rPr>
          <w:rFonts w:ascii="Arial" w:hAnsi="Arial" w:cs="Arial"/>
          <w:sz w:val="24"/>
          <w:szCs w:val="24"/>
        </w:rPr>
        <w:t xml:space="preserve"> </w:t>
      </w:r>
      <w:r w:rsidRPr="00D5652A">
        <w:rPr>
          <w:rFonts w:ascii="Arial" w:hAnsi="Arial" w:cs="Arial"/>
          <w:sz w:val="24"/>
          <w:szCs w:val="24"/>
        </w:rPr>
        <w:t>Ltd are directed to file their answering affidavits on or before 22 December 2022.</w:t>
      </w:r>
    </w:p>
    <w:p w:rsidR="00032BA9" w:rsidRPr="00D5652A" w:rsidRDefault="00032BA9" w:rsidP="00D5652A">
      <w:pPr>
        <w:spacing w:after="0" w:line="360" w:lineRule="auto"/>
        <w:contextualSpacing/>
        <w:jc w:val="both"/>
        <w:rPr>
          <w:rFonts w:ascii="Arial" w:hAnsi="Arial" w:cs="Arial"/>
          <w:sz w:val="24"/>
          <w:szCs w:val="24"/>
        </w:rPr>
      </w:pPr>
      <w:r w:rsidRPr="00D5652A">
        <w:rPr>
          <w:rFonts w:ascii="Arial" w:hAnsi="Arial" w:cs="Arial"/>
          <w:sz w:val="24"/>
          <w:szCs w:val="24"/>
        </w:rPr>
        <w:t>4.</w:t>
      </w:r>
      <w:r w:rsidR="002452CD">
        <w:rPr>
          <w:rFonts w:ascii="Arial" w:hAnsi="Arial" w:cs="Arial"/>
          <w:sz w:val="24"/>
          <w:szCs w:val="24"/>
        </w:rPr>
        <w:tab/>
      </w:r>
      <w:r w:rsidRPr="00D5652A">
        <w:rPr>
          <w:rFonts w:ascii="Arial" w:hAnsi="Arial" w:cs="Arial"/>
          <w:sz w:val="24"/>
          <w:szCs w:val="24"/>
        </w:rPr>
        <w:t>The intervening party is directed to file its replying affidavit on or before 4 January 2023.</w:t>
      </w:r>
    </w:p>
    <w:p w:rsidR="00032BA9" w:rsidRPr="00D5652A" w:rsidRDefault="00032BA9" w:rsidP="00D5652A">
      <w:pPr>
        <w:spacing w:after="0" w:line="360" w:lineRule="auto"/>
        <w:contextualSpacing/>
        <w:jc w:val="both"/>
        <w:rPr>
          <w:rFonts w:ascii="Arial" w:hAnsi="Arial" w:cs="Arial"/>
          <w:sz w:val="24"/>
          <w:szCs w:val="24"/>
        </w:rPr>
      </w:pPr>
      <w:r w:rsidRPr="00D5652A">
        <w:rPr>
          <w:rFonts w:ascii="Arial" w:hAnsi="Arial" w:cs="Arial"/>
          <w:sz w:val="24"/>
          <w:szCs w:val="24"/>
        </w:rPr>
        <w:t>5.</w:t>
      </w:r>
      <w:r w:rsidR="002452CD">
        <w:rPr>
          <w:rFonts w:ascii="Arial" w:hAnsi="Arial" w:cs="Arial"/>
          <w:sz w:val="24"/>
          <w:szCs w:val="24"/>
        </w:rPr>
        <w:tab/>
      </w:r>
      <w:r w:rsidRPr="00D5652A">
        <w:rPr>
          <w:rFonts w:ascii="Arial" w:hAnsi="Arial" w:cs="Arial"/>
          <w:sz w:val="24"/>
          <w:szCs w:val="24"/>
        </w:rPr>
        <w:t>The applicant, Makhathini Medical Waste (Pty) Ltd is directed to file any further affidavits it may wish to file on or before 6 January 2023.</w:t>
      </w:r>
    </w:p>
    <w:p w:rsidR="00032BA9" w:rsidRPr="00D5652A" w:rsidRDefault="00032BA9" w:rsidP="00D5652A">
      <w:pPr>
        <w:spacing w:after="0" w:line="360" w:lineRule="auto"/>
        <w:contextualSpacing/>
        <w:jc w:val="both"/>
        <w:rPr>
          <w:rFonts w:ascii="Arial" w:hAnsi="Arial" w:cs="Arial"/>
          <w:sz w:val="24"/>
          <w:szCs w:val="24"/>
        </w:rPr>
      </w:pPr>
      <w:r w:rsidRPr="00D5652A">
        <w:rPr>
          <w:rFonts w:ascii="Arial" w:hAnsi="Arial" w:cs="Arial"/>
          <w:sz w:val="24"/>
          <w:szCs w:val="24"/>
        </w:rPr>
        <w:t>6.</w:t>
      </w:r>
      <w:r w:rsidR="002452CD">
        <w:rPr>
          <w:rFonts w:ascii="Arial" w:hAnsi="Arial" w:cs="Arial"/>
          <w:sz w:val="24"/>
          <w:szCs w:val="24"/>
        </w:rPr>
        <w:tab/>
      </w:r>
      <w:r w:rsidRPr="00D5652A">
        <w:rPr>
          <w:rFonts w:ascii="Arial" w:hAnsi="Arial" w:cs="Arial"/>
          <w:sz w:val="24"/>
          <w:szCs w:val="24"/>
        </w:rPr>
        <w:t xml:space="preserve">The costs of the intervention application </w:t>
      </w:r>
      <w:r w:rsidR="00FE082E">
        <w:rPr>
          <w:rFonts w:ascii="Arial" w:hAnsi="Arial" w:cs="Arial"/>
          <w:sz w:val="24"/>
          <w:szCs w:val="24"/>
        </w:rPr>
        <w:t>are</w:t>
      </w:r>
      <w:r w:rsidR="00FE082E" w:rsidRPr="00D5652A">
        <w:rPr>
          <w:rFonts w:ascii="Arial" w:hAnsi="Arial" w:cs="Arial"/>
          <w:sz w:val="24"/>
          <w:szCs w:val="24"/>
        </w:rPr>
        <w:t xml:space="preserve"> </w:t>
      </w:r>
      <w:r w:rsidRPr="00D5652A">
        <w:rPr>
          <w:rFonts w:ascii="Arial" w:hAnsi="Arial" w:cs="Arial"/>
          <w:sz w:val="24"/>
          <w:szCs w:val="24"/>
        </w:rPr>
        <w:t>reserved for decision by the court hearing the review.</w:t>
      </w:r>
    </w:p>
    <w:p w:rsidR="00B53B11" w:rsidRPr="00D5652A" w:rsidRDefault="00B53B11" w:rsidP="00D5652A">
      <w:pPr>
        <w:spacing w:after="0" w:line="360" w:lineRule="auto"/>
        <w:contextualSpacing/>
        <w:jc w:val="both"/>
        <w:rPr>
          <w:rFonts w:ascii="Arial" w:hAnsi="Arial" w:cs="Arial"/>
          <w:sz w:val="24"/>
          <w:szCs w:val="24"/>
        </w:rPr>
      </w:pPr>
    </w:p>
    <w:p w:rsidR="00B53B11" w:rsidRPr="00D5652A" w:rsidRDefault="00B53B11" w:rsidP="00D5652A">
      <w:pPr>
        <w:spacing w:after="0" w:line="360" w:lineRule="auto"/>
        <w:contextualSpacing/>
        <w:jc w:val="both"/>
        <w:rPr>
          <w:rFonts w:ascii="Arial" w:hAnsi="Arial" w:cs="Arial"/>
          <w:sz w:val="24"/>
          <w:szCs w:val="24"/>
        </w:rPr>
      </w:pPr>
    </w:p>
    <w:p w:rsidR="00B53B11" w:rsidRPr="00D5652A" w:rsidRDefault="00B53B11" w:rsidP="00D5652A">
      <w:pPr>
        <w:spacing w:after="0" w:line="360" w:lineRule="auto"/>
        <w:contextualSpacing/>
        <w:jc w:val="both"/>
        <w:rPr>
          <w:rFonts w:ascii="Arial" w:hAnsi="Arial" w:cs="Arial"/>
          <w:sz w:val="24"/>
          <w:szCs w:val="24"/>
        </w:rPr>
      </w:pPr>
    </w:p>
    <w:p w:rsidR="00B53B11" w:rsidRPr="00D5652A" w:rsidRDefault="00B53B11" w:rsidP="00D5652A">
      <w:pPr>
        <w:spacing w:after="0" w:line="360" w:lineRule="auto"/>
        <w:contextualSpacing/>
        <w:jc w:val="both"/>
        <w:rPr>
          <w:rFonts w:ascii="Arial" w:hAnsi="Arial" w:cs="Arial"/>
          <w:sz w:val="24"/>
          <w:szCs w:val="24"/>
        </w:rPr>
      </w:pPr>
    </w:p>
    <w:p w:rsidR="00B53B11" w:rsidRPr="00D5652A" w:rsidRDefault="008F0BBA" w:rsidP="00D5652A">
      <w:pPr>
        <w:spacing w:after="0" w:line="360" w:lineRule="auto"/>
        <w:contextualSpacing/>
        <w:jc w:val="right"/>
        <w:rPr>
          <w:rFonts w:ascii="Arial" w:hAnsi="Arial" w:cs="Arial"/>
          <w:sz w:val="24"/>
          <w:szCs w:val="24"/>
        </w:rPr>
      </w:pPr>
      <w:r w:rsidRPr="00D5652A">
        <w:rPr>
          <w:rFonts w:ascii="Arial" w:hAnsi="Arial" w:cs="Arial"/>
          <w:sz w:val="24"/>
          <w:szCs w:val="24"/>
        </w:rPr>
        <w:t>_____________________</w:t>
      </w:r>
    </w:p>
    <w:p w:rsidR="00B53B11" w:rsidRPr="00D5652A" w:rsidRDefault="00A7289C" w:rsidP="004B393F">
      <w:pPr>
        <w:spacing w:after="0" w:line="360" w:lineRule="auto"/>
        <w:contextualSpacing/>
        <w:jc w:val="right"/>
        <w:rPr>
          <w:rFonts w:ascii="Arial" w:hAnsi="Arial" w:cs="Arial"/>
          <w:b/>
          <w:sz w:val="24"/>
          <w:szCs w:val="24"/>
        </w:rPr>
      </w:pPr>
      <w:r w:rsidRPr="00D5652A">
        <w:rPr>
          <w:rFonts w:ascii="Arial" w:hAnsi="Arial" w:cs="Arial"/>
          <w:b/>
          <w:sz w:val="24"/>
          <w:szCs w:val="24"/>
        </w:rPr>
        <w:t xml:space="preserve">E </w:t>
      </w:r>
      <w:r w:rsidR="008F0BBA" w:rsidRPr="00D5652A">
        <w:rPr>
          <w:rFonts w:ascii="Arial" w:hAnsi="Arial" w:cs="Arial"/>
          <w:b/>
          <w:sz w:val="24"/>
          <w:szCs w:val="24"/>
        </w:rPr>
        <w:t xml:space="preserve">BEZUIDENHOUT </w:t>
      </w:r>
      <w:r w:rsidRPr="00D5652A">
        <w:rPr>
          <w:rFonts w:ascii="Arial" w:hAnsi="Arial" w:cs="Arial"/>
          <w:b/>
          <w:sz w:val="24"/>
          <w:szCs w:val="24"/>
        </w:rPr>
        <w:t>AJ</w:t>
      </w:r>
    </w:p>
    <w:p w:rsidR="00B53B11" w:rsidRPr="00D5652A" w:rsidRDefault="00B53B11" w:rsidP="00D5652A">
      <w:pPr>
        <w:spacing w:after="0" w:line="360" w:lineRule="auto"/>
        <w:contextualSpacing/>
        <w:jc w:val="both"/>
        <w:rPr>
          <w:rFonts w:ascii="Arial" w:hAnsi="Arial" w:cs="Arial"/>
          <w:sz w:val="24"/>
          <w:szCs w:val="24"/>
        </w:rPr>
      </w:pPr>
    </w:p>
    <w:p w:rsidR="00B53B11" w:rsidRPr="00D5652A" w:rsidRDefault="00B53B11" w:rsidP="00D5652A">
      <w:pPr>
        <w:spacing w:after="0" w:line="360" w:lineRule="auto"/>
        <w:contextualSpacing/>
        <w:jc w:val="both"/>
        <w:rPr>
          <w:rFonts w:ascii="Arial" w:hAnsi="Arial" w:cs="Arial"/>
          <w:sz w:val="24"/>
          <w:szCs w:val="24"/>
        </w:rPr>
      </w:pPr>
    </w:p>
    <w:p w:rsidR="00B53B11" w:rsidRPr="00D5652A" w:rsidRDefault="009B4414" w:rsidP="00D5652A">
      <w:pPr>
        <w:spacing w:after="0" w:line="360" w:lineRule="auto"/>
        <w:contextualSpacing/>
        <w:jc w:val="both"/>
        <w:rPr>
          <w:rFonts w:ascii="Arial" w:hAnsi="Arial" w:cs="Arial"/>
          <w:sz w:val="24"/>
          <w:szCs w:val="24"/>
        </w:rPr>
      </w:pPr>
      <w:r>
        <w:rPr>
          <w:rFonts w:ascii="Arial" w:hAnsi="Arial" w:cs="Arial"/>
          <w:sz w:val="24"/>
          <w:szCs w:val="24"/>
        </w:rPr>
        <w:t>This judgment was handed down electronically by circulation to the parties’ representatives by email. The date of hand down is deemed to be 7 December 2022.</w:t>
      </w:r>
    </w:p>
    <w:p w:rsidR="00B53B11" w:rsidRPr="00FA5DFB" w:rsidRDefault="00B53B11" w:rsidP="00FA5DFB">
      <w:pPr>
        <w:spacing w:after="0" w:line="360" w:lineRule="auto"/>
        <w:contextualSpacing/>
        <w:jc w:val="both"/>
        <w:rPr>
          <w:rFonts w:ascii="Arial" w:hAnsi="Arial" w:cs="Arial"/>
          <w:sz w:val="24"/>
          <w:szCs w:val="24"/>
        </w:rPr>
      </w:pPr>
    </w:p>
    <w:p w:rsidR="00B53B11" w:rsidRPr="00FA5DFB" w:rsidRDefault="00B53B11" w:rsidP="00FA5DFB">
      <w:pPr>
        <w:spacing w:after="0" w:line="360" w:lineRule="auto"/>
        <w:contextualSpacing/>
        <w:jc w:val="both"/>
        <w:rPr>
          <w:rFonts w:ascii="Arial" w:hAnsi="Arial" w:cs="Arial"/>
          <w:sz w:val="24"/>
          <w:szCs w:val="24"/>
        </w:rPr>
      </w:pPr>
    </w:p>
    <w:p w:rsidR="00B53B11" w:rsidRPr="008C2716" w:rsidRDefault="00B53B11" w:rsidP="00FA5DFB">
      <w:pPr>
        <w:spacing w:after="0" w:line="360" w:lineRule="auto"/>
        <w:contextualSpacing/>
        <w:jc w:val="both"/>
        <w:rPr>
          <w:rFonts w:ascii="Arial" w:hAnsi="Arial" w:cs="Arial"/>
          <w:sz w:val="24"/>
          <w:szCs w:val="24"/>
        </w:rPr>
      </w:pPr>
      <w:r w:rsidRPr="008C2716">
        <w:rPr>
          <w:rFonts w:ascii="Arial" w:hAnsi="Arial" w:cs="Arial"/>
          <w:sz w:val="24"/>
          <w:szCs w:val="24"/>
        </w:rPr>
        <w:t xml:space="preserve">Date reserved: </w:t>
      </w:r>
      <w:r w:rsidRPr="008C2716">
        <w:rPr>
          <w:rFonts w:ascii="Arial" w:hAnsi="Arial" w:cs="Arial"/>
          <w:sz w:val="24"/>
          <w:szCs w:val="24"/>
        </w:rPr>
        <w:tab/>
        <w:t>28 October 2022</w:t>
      </w:r>
    </w:p>
    <w:p w:rsidR="00B53B11" w:rsidRPr="008C2716" w:rsidRDefault="00B53B11" w:rsidP="00FA5DFB">
      <w:pPr>
        <w:spacing w:after="0" w:line="360" w:lineRule="auto"/>
        <w:contextualSpacing/>
        <w:jc w:val="both"/>
        <w:rPr>
          <w:rFonts w:ascii="Arial" w:hAnsi="Arial" w:cs="Arial"/>
          <w:sz w:val="24"/>
          <w:szCs w:val="24"/>
        </w:rPr>
      </w:pPr>
    </w:p>
    <w:p w:rsidR="00B53B11" w:rsidRPr="008C2716" w:rsidRDefault="00B53B11" w:rsidP="00FA5DFB">
      <w:pPr>
        <w:spacing w:after="0" w:line="360" w:lineRule="auto"/>
        <w:contextualSpacing/>
        <w:jc w:val="both"/>
        <w:rPr>
          <w:rFonts w:ascii="Arial" w:hAnsi="Arial" w:cs="Arial"/>
          <w:sz w:val="24"/>
          <w:szCs w:val="24"/>
        </w:rPr>
      </w:pPr>
      <w:r w:rsidRPr="008C2716">
        <w:rPr>
          <w:rFonts w:ascii="Arial" w:hAnsi="Arial" w:cs="Arial"/>
          <w:sz w:val="24"/>
          <w:szCs w:val="24"/>
        </w:rPr>
        <w:t xml:space="preserve">Date delivered: </w:t>
      </w:r>
      <w:r w:rsidRPr="008C2716">
        <w:rPr>
          <w:rFonts w:ascii="Arial" w:hAnsi="Arial" w:cs="Arial"/>
          <w:sz w:val="24"/>
          <w:szCs w:val="24"/>
        </w:rPr>
        <w:tab/>
      </w:r>
      <w:r w:rsidR="009B4414">
        <w:rPr>
          <w:rFonts w:ascii="Arial" w:hAnsi="Arial" w:cs="Arial"/>
          <w:sz w:val="24"/>
          <w:szCs w:val="24"/>
        </w:rPr>
        <w:t xml:space="preserve">7 </w:t>
      </w:r>
      <w:r w:rsidRPr="008C2716">
        <w:rPr>
          <w:rFonts w:ascii="Arial" w:hAnsi="Arial" w:cs="Arial"/>
          <w:sz w:val="24"/>
          <w:szCs w:val="24"/>
        </w:rPr>
        <w:t>D</w:t>
      </w:r>
      <w:r w:rsidR="00887B98" w:rsidRPr="008C2716">
        <w:rPr>
          <w:rFonts w:ascii="Arial" w:hAnsi="Arial" w:cs="Arial"/>
          <w:sz w:val="24"/>
          <w:szCs w:val="24"/>
        </w:rPr>
        <w:t>ecem</w:t>
      </w:r>
      <w:r w:rsidRPr="008C2716">
        <w:rPr>
          <w:rFonts w:ascii="Arial" w:hAnsi="Arial" w:cs="Arial"/>
          <w:sz w:val="24"/>
          <w:szCs w:val="24"/>
        </w:rPr>
        <w:t>b</w:t>
      </w:r>
      <w:r w:rsidR="00887B98" w:rsidRPr="008C2716">
        <w:rPr>
          <w:rFonts w:ascii="Arial" w:hAnsi="Arial" w:cs="Arial"/>
          <w:sz w:val="24"/>
          <w:szCs w:val="24"/>
        </w:rPr>
        <w:t>e</w:t>
      </w:r>
      <w:r w:rsidRPr="008C2716">
        <w:rPr>
          <w:rFonts w:ascii="Arial" w:hAnsi="Arial" w:cs="Arial"/>
          <w:sz w:val="24"/>
          <w:szCs w:val="24"/>
        </w:rPr>
        <w:t>r 2022</w:t>
      </w:r>
    </w:p>
    <w:p w:rsidR="00B53B11" w:rsidRPr="008C2716" w:rsidRDefault="00B53B11" w:rsidP="00FA5DFB">
      <w:pPr>
        <w:spacing w:after="0" w:line="360" w:lineRule="auto"/>
        <w:contextualSpacing/>
        <w:jc w:val="both"/>
        <w:rPr>
          <w:rFonts w:ascii="Arial" w:hAnsi="Arial" w:cs="Arial"/>
          <w:sz w:val="24"/>
          <w:szCs w:val="24"/>
        </w:rPr>
      </w:pPr>
    </w:p>
    <w:p w:rsidR="00B53B11" w:rsidRPr="008C2716" w:rsidRDefault="00B53B11"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Appearances:</w:t>
      </w:r>
    </w:p>
    <w:p w:rsidR="00B53B11" w:rsidRPr="008C2716" w:rsidRDefault="00B53B11"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For the Intervening party:</w:t>
      </w:r>
      <w:r w:rsidR="008C2716" w:rsidRPr="008C2716">
        <w:rPr>
          <w:rFonts w:ascii="Arial" w:hAnsi="Arial" w:cs="Arial"/>
          <w:sz w:val="24"/>
          <w:szCs w:val="24"/>
        </w:rPr>
        <w:tab/>
      </w:r>
      <w:r w:rsidRPr="008C2716">
        <w:rPr>
          <w:rFonts w:ascii="Arial" w:hAnsi="Arial" w:cs="Arial"/>
          <w:sz w:val="24"/>
          <w:szCs w:val="24"/>
        </w:rPr>
        <w:t>J G Wasserman SC</w:t>
      </w:r>
    </w:p>
    <w:p w:rsidR="00B53B11"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B53B11" w:rsidRPr="008C2716">
        <w:rPr>
          <w:rFonts w:ascii="Arial" w:hAnsi="Arial" w:cs="Arial"/>
          <w:sz w:val="24"/>
          <w:szCs w:val="24"/>
        </w:rPr>
        <w:t xml:space="preserve">S </w:t>
      </w:r>
      <w:proofErr w:type="spellStart"/>
      <w:r w:rsidR="00B53B11" w:rsidRPr="008C2716">
        <w:rPr>
          <w:rFonts w:ascii="Arial" w:hAnsi="Arial" w:cs="Arial"/>
          <w:sz w:val="24"/>
          <w:szCs w:val="24"/>
        </w:rPr>
        <w:t>Tsikila</w:t>
      </w:r>
      <w:proofErr w:type="spellEnd"/>
    </w:p>
    <w:p w:rsidR="00B53B11" w:rsidRPr="008C2716" w:rsidRDefault="00B53B11" w:rsidP="008C2716">
      <w:pPr>
        <w:tabs>
          <w:tab w:val="left" w:pos="3402"/>
        </w:tabs>
        <w:spacing w:after="0" w:line="360" w:lineRule="auto"/>
        <w:contextualSpacing/>
        <w:jc w:val="both"/>
        <w:rPr>
          <w:rFonts w:ascii="Arial" w:hAnsi="Arial" w:cs="Arial"/>
          <w:sz w:val="24"/>
          <w:szCs w:val="24"/>
        </w:rPr>
      </w:pPr>
    </w:p>
    <w:p w:rsidR="00A2716A" w:rsidRPr="008C2716" w:rsidRDefault="00B53B11"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Instructed by:</w:t>
      </w:r>
      <w:r w:rsidR="008C2716" w:rsidRPr="008C2716">
        <w:rPr>
          <w:rFonts w:ascii="Arial" w:hAnsi="Arial" w:cs="Arial"/>
          <w:sz w:val="24"/>
          <w:szCs w:val="24"/>
        </w:rPr>
        <w:tab/>
      </w:r>
      <w:proofErr w:type="spellStart"/>
      <w:r w:rsidRPr="008C2716">
        <w:rPr>
          <w:rFonts w:ascii="Arial" w:hAnsi="Arial" w:cs="Arial"/>
          <w:sz w:val="24"/>
          <w:szCs w:val="24"/>
        </w:rPr>
        <w:t>Fairbridges</w:t>
      </w:r>
      <w:proofErr w:type="spellEnd"/>
      <w:r w:rsidRPr="008C2716">
        <w:rPr>
          <w:rFonts w:ascii="Arial" w:hAnsi="Arial" w:cs="Arial"/>
          <w:sz w:val="24"/>
          <w:szCs w:val="24"/>
        </w:rPr>
        <w:t xml:space="preserve"> W</w:t>
      </w:r>
      <w:r w:rsidR="00A7289C" w:rsidRPr="008C2716">
        <w:rPr>
          <w:rFonts w:ascii="Arial" w:hAnsi="Arial" w:cs="Arial"/>
          <w:sz w:val="24"/>
          <w:szCs w:val="24"/>
        </w:rPr>
        <w:t>er</w:t>
      </w:r>
      <w:r w:rsidR="00A2716A" w:rsidRPr="008C2716">
        <w:rPr>
          <w:rFonts w:ascii="Arial" w:hAnsi="Arial" w:cs="Arial"/>
          <w:sz w:val="24"/>
          <w:szCs w:val="24"/>
        </w:rPr>
        <w:t>t</w:t>
      </w:r>
      <w:r w:rsidR="00A7289C" w:rsidRPr="008C2716">
        <w:rPr>
          <w:rFonts w:ascii="Arial" w:hAnsi="Arial" w:cs="Arial"/>
          <w:sz w:val="24"/>
          <w:szCs w:val="24"/>
        </w:rPr>
        <w:t>h</w:t>
      </w:r>
      <w:r w:rsidR="00A2716A" w:rsidRPr="008C2716">
        <w:rPr>
          <w:rFonts w:ascii="Arial" w:hAnsi="Arial" w:cs="Arial"/>
          <w:sz w:val="24"/>
          <w:szCs w:val="24"/>
        </w:rPr>
        <w:t>eim Becker</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 xml:space="preserve">2 </w:t>
      </w:r>
      <w:proofErr w:type="spellStart"/>
      <w:r w:rsidR="00A2716A" w:rsidRPr="008C2716">
        <w:rPr>
          <w:rFonts w:ascii="Arial" w:hAnsi="Arial" w:cs="Arial"/>
          <w:sz w:val="24"/>
          <w:szCs w:val="24"/>
        </w:rPr>
        <w:t>Pybus</w:t>
      </w:r>
      <w:proofErr w:type="spellEnd"/>
      <w:r w:rsidR="00A2716A" w:rsidRPr="008C2716">
        <w:rPr>
          <w:rFonts w:ascii="Arial" w:hAnsi="Arial" w:cs="Arial"/>
          <w:sz w:val="24"/>
          <w:szCs w:val="24"/>
        </w:rPr>
        <w:t xml:space="preserve"> </w:t>
      </w:r>
      <w:proofErr w:type="spellStart"/>
      <w:r w:rsidR="00A2716A" w:rsidRPr="008C2716">
        <w:rPr>
          <w:rFonts w:ascii="Arial" w:hAnsi="Arial" w:cs="Arial"/>
          <w:sz w:val="24"/>
          <w:szCs w:val="24"/>
        </w:rPr>
        <w:t>Raod</w:t>
      </w:r>
      <w:proofErr w:type="spellEnd"/>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proofErr w:type="spellStart"/>
      <w:r w:rsidR="00A2716A" w:rsidRPr="008C2716">
        <w:rPr>
          <w:rFonts w:ascii="Arial" w:hAnsi="Arial" w:cs="Arial"/>
          <w:sz w:val="24"/>
          <w:szCs w:val="24"/>
        </w:rPr>
        <w:t>Wierda</w:t>
      </w:r>
      <w:proofErr w:type="spellEnd"/>
      <w:r w:rsidR="00A2716A" w:rsidRPr="008C2716">
        <w:rPr>
          <w:rFonts w:ascii="Arial" w:hAnsi="Arial" w:cs="Arial"/>
          <w:sz w:val="24"/>
          <w:szCs w:val="24"/>
        </w:rPr>
        <w:t xml:space="preserve"> Vally</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proofErr w:type="spellStart"/>
      <w:r w:rsidR="00A2716A" w:rsidRPr="008C2716">
        <w:rPr>
          <w:rFonts w:ascii="Arial" w:hAnsi="Arial" w:cs="Arial"/>
          <w:sz w:val="24"/>
          <w:szCs w:val="24"/>
        </w:rPr>
        <w:t>Sandton</w:t>
      </w:r>
      <w:proofErr w:type="spellEnd"/>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 xml:space="preserve">REF:  </w:t>
      </w:r>
      <w:proofErr w:type="spellStart"/>
      <w:r w:rsidR="00A2716A" w:rsidRPr="008C2716">
        <w:rPr>
          <w:rFonts w:ascii="Arial" w:hAnsi="Arial" w:cs="Arial"/>
          <w:sz w:val="24"/>
          <w:szCs w:val="24"/>
        </w:rPr>
        <w:t>Mr</w:t>
      </w:r>
      <w:proofErr w:type="spellEnd"/>
      <w:r w:rsidR="00A2716A" w:rsidRPr="008C2716">
        <w:rPr>
          <w:rFonts w:ascii="Arial" w:hAnsi="Arial" w:cs="Arial"/>
          <w:sz w:val="24"/>
          <w:szCs w:val="24"/>
        </w:rPr>
        <w:t xml:space="preserve"> Amish </w:t>
      </w:r>
      <w:proofErr w:type="spellStart"/>
      <w:r w:rsidR="00A2716A" w:rsidRPr="008C2716">
        <w:rPr>
          <w:rFonts w:ascii="Arial" w:hAnsi="Arial" w:cs="Arial"/>
          <w:sz w:val="24"/>
          <w:szCs w:val="24"/>
        </w:rPr>
        <w:t>Kika</w:t>
      </w:r>
      <w:proofErr w:type="spellEnd"/>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Tel: 011 2680250</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 xml:space="preserve">Email: </w:t>
      </w:r>
      <w:hyperlink r:id="rId9" w:history="1">
        <w:r w:rsidR="00A2716A" w:rsidRPr="008C2716">
          <w:rPr>
            <w:rStyle w:val="Hyperlink"/>
            <w:rFonts w:ascii="Arial" w:hAnsi="Arial" w:cs="Arial"/>
            <w:sz w:val="24"/>
            <w:szCs w:val="24"/>
          </w:rPr>
          <w:t>amish.k@fwblaw.co.za</w:t>
        </w:r>
      </w:hyperlink>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proofErr w:type="gramStart"/>
      <w:r w:rsidR="00A2716A" w:rsidRPr="008C2716">
        <w:rPr>
          <w:rFonts w:ascii="Arial" w:hAnsi="Arial" w:cs="Arial"/>
          <w:sz w:val="24"/>
          <w:szCs w:val="24"/>
        </w:rPr>
        <w:t>c/o</w:t>
      </w:r>
      <w:proofErr w:type="gramEnd"/>
      <w:r w:rsidR="00A2716A" w:rsidRPr="008C2716">
        <w:rPr>
          <w:rFonts w:ascii="Arial" w:hAnsi="Arial" w:cs="Arial"/>
          <w:sz w:val="24"/>
          <w:szCs w:val="24"/>
        </w:rPr>
        <w:tab/>
      </w:r>
      <w:proofErr w:type="spellStart"/>
      <w:r w:rsidR="00A2716A" w:rsidRPr="008C2716">
        <w:rPr>
          <w:rFonts w:ascii="Arial" w:hAnsi="Arial" w:cs="Arial"/>
          <w:sz w:val="24"/>
          <w:szCs w:val="24"/>
        </w:rPr>
        <w:t>Stowell</w:t>
      </w:r>
      <w:proofErr w:type="spellEnd"/>
      <w:r w:rsidR="00A2716A" w:rsidRPr="008C2716">
        <w:rPr>
          <w:rFonts w:ascii="Arial" w:hAnsi="Arial" w:cs="Arial"/>
          <w:sz w:val="24"/>
          <w:szCs w:val="24"/>
        </w:rPr>
        <w:t xml:space="preserve"> and Co</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 xml:space="preserve">295 </w:t>
      </w:r>
      <w:proofErr w:type="spellStart"/>
      <w:r w:rsidR="00A2716A" w:rsidRPr="008C2716">
        <w:rPr>
          <w:rFonts w:ascii="Arial" w:hAnsi="Arial" w:cs="Arial"/>
          <w:sz w:val="24"/>
          <w:szCs w:val="24"/>
        </w:rPr>
        <w:t>Pietermaritz</w:t>
      </w:r>
      <w:proofErr w:type="spellEnd"/>
      <w:r w:rsidR="00A2716A" w:rsidRPr="008C2716">
        <w:rPr>
          <w:rFonts w:ascii="Arial" w:hAnsi="Arial" w:cs="Arial"/>
          <w:sz w:val="24"/>
          <w:szCs w:val="24"/>
        </w:rPr>
        <w:t xml:space="preserve"> Street</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Pietermaritzburg</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Tell: 033 845 0500</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 xml:space="preserve">Ref: P </w:t>
      </w:r>
      <w:proofErr w:type="spellStart"/>
      <w:r w:rsidR="00A2716A" w:rsidRPr="008C2716">
        <w:rPr>
          <w:rFonts w:ascii="Arial" w:hAnsi="Arial" w:cs="Arial"/>
          <w:sz w:val="24"/>
          <w:szCs w:val="24"/>
        </w:rPr>
        <w:t>Firman</w:t>
      </w:r>
      <w:proofErr w:type="spellEnd"/>
    </w:p>
    <w:p w:rsidR="008C2716" w:rsidRPr="008C2716" w:rsidRDefault="008C2716" w:rsidP="008C2716">
      <w:pPr>
        <w:tabs>
          <w:tab w:val="left" w:pos="3402"/>
        </w:tabs>
        <w:spacing w:after="0" w:line="360" w:lineRule="auto"/>
        <w:contextualSpacing/>
        <w:jc w:val="both"/>
        <w:rPr>
          <w:rStyle w:val="Hyperlink"/>
          <w:rFonts w:ascii="Arial" w:hAnsi="Arial" w:cs="Arial"/>
          <w:sz w:val="24"/>
          <w:szCs w:val="24"/>
        </w:rPr>
      </w:pPr>
      <w:r w:rsidRPr="008C2716">
        <w:rPr>
          <w:rFonts w:ascii="Arial" w:hAnsi="Arial" w:cs="Arial"/>
          <w:sz w:val="24"/>
          <w:szCs w:val="24"/>
        </w:rPr>
        <w:tab/>
        <w:t xml:space="preserve">Email: </w:t>
      </w:r>
      <w:hyperlink r:id="rId10" w:history="1">
        <w:r w:rsidR="00A2716A" w:rsidRPr="008C2716">
          <w:rPr>
            <w:rStyle w:val="Hyperlink"/>
            <w:rFonts w:ascii="Arial" w:hAnsi="Arial" w:cs="Arial"/>
            <w:sz w:val="24"/>
            <w:szCs w:val="24"/>
          </w:rPr>
          <w:t>sumayak@stowell.co.za</w:t>
        </w:r>
      </w:hyperlink>
      <w:r w:rsidR="00A7289C" w:rsidRPr="008C2716">
        <w:rPr>
          <w:rStyle w:val="Hyperlink"/>
          <w:rFonts w:ascii="Arial" w:hAnsi="Arial" w:cs="Arial"/>
          <w:sz w:val="24"/>
          <w:szCs w:val="24"/>
        </w:rPr>
        <w:t>;</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Style w:val="Hyperlink"/>
          <w:rFonts w:ascii="Arial" w:hAnsi="Arial" w:cs="Arial"/>
          <w:sz w:val="24"/>
          <w:szCs w:val="24"/>
          <w:u w:val="none"/>
        </w:rPr>
        <w:tab/>
      </w:r>
      <w:r w:rsidR="00A7289C" w:rsidRPr="008C2716">
        <w:rPr>
          <w:rStyle w:val="Hyperlink"/>
          <w:rFonts w:ascii="Arial" w:hAnsi="Arial" w:cs="Arial"/>
          <w:sz w:val="24"/>
          <w:szCs w:val="24"/>
        </w:rPr>
        <w:t>zeldas@stowell.co.za</w:t>
      </w:r>
    </w:p>
    <w:p w:rsidR="00A2716A" w:rsidRPr="008C2716" w:rsidRDefault="00A2716A" w:rsidP="008C2716">
      <w:pPr>
        <w:tabs>
          <w:tab w:val="left" w:pos="3402"/>
        </w:tabs>
        <w:spacing w:after="0" w:line="360" w:lineRule="auto"/>
        <w:contextualSpacing/>
        <w:jc w:val="both"/>
        <w:rPr>
          <w:rFonts w:ascii="Arial" w:hAnsi="Arial" w:cs="Arial"/>
          <w:sz w:val="24"/>
          <w:szCs w:val="24"/>
        </w:rPr>
      </w:pPr>
    </w:p>
    <w:p w:rsidR="00A2716A" w:rsidRPr="008C2716" w:rsidRDefault="00A2716A"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For the applicant:</w:t>
      </w:r>
      <w:r w:rsidR="008C2716" w:rsidRPr="008C2716">
        <w:rPr>
          <w:rFonts w:ascii="Arial" w:hAnsi="Arial" w:cs="Arial"/>
          <w:sz w:val="24"/>
          <w:szCs w:val="24"/>
        </w:rPr>
        <w:tab/>
      </w:r>
      <w:r w:rsidRPr="008C2716">
        <w:rPr>
          <w:rFonts w:ascii="Arial" w:hAnsi="Arial" w:cs="Arial"/>
          <w:sz w:val="24"/>
          <w:szCs w:val="24"/>
        </w:rPr>
        <w:t>N Singh SC</w:t>
      </w:r>
    </w:p>
    <w:p w:rsidR="00A2716A" w:rsidRPr="008C2716" w:rsidRDefault="00A2716A" w:rsidP="008C2716">
      <w:pPr>
        <w:tabs>
          <w:tab w:val="left" w:pos="3402"/>
        </w:tabs>
        <w:spacing w:after="0" w:line="360" w:lineRule="auto"/>
        <w:contextualSpacing/>
        <w:jc w:val="both"/>
        <w:rPr>
          <w:rFonts w:ascii="Arial" w:hAnsi="Arial" w:cs="Arial"/>
          <w:sz w:val="24"/>
          <w:szCs w:val="24"/>
        </w:rPr>
      </w:pPr>
    </w:p>
    <w:p w:rsidR="00A2716A" w:rsidRPr="008C2716" w:rsidRDefault="00A2716A"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Instructed by:</w:t>
      </w:r>
      <w:r w:rsidR="008C2716" w:rsidRPr="008C2716">
        <w:rPr>
          <w:rFonts w:ascii="Arial" w:hAnsi="Arial" w:cs="Arial"/>
          <w:sz w:val="24"/>
          <w:szCs w:val="24"/>
        </w:rPr>
        <w:tab/>
      </w:r>
      <w:r w:rsidRPr="008C2716">
        <w:rPr>
          <w:rFonts w:ascii="Arial" w:hAnsi="Arial" w:cs="Arial"/>
          <w:sz w:val="24"/>
          <w:szCs w:val="24"/>
        </w:rPr>
        <w:t>PR Maharaj and Company</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2</w:t>
      </w:r>
      <w:r w:rsidR="00A2716A" w:rsidRPr="008C2716">
        <w:rPr>
          <w:rFonts w:ascii="Arial" w:hAnsi="Arial" w:cs="Arial"/>
          <w:sz w:val="24"/>
          <w:szCs w:val="24"/>
          <w:vertAlign w:val="superscript"/>
        </w:rPr>
        <w:t>nd</w:t>
      </w:r>
      <w:r w:rsidR="00A2716A" w:rsidRPr="008C2716">
        <w:rPr>
          <w:rFonts w:ascii="Arial" w:hAnsi="Arial" w:cs="Arial"/>
          <w:sz w:val="24"/>
          <w:szCs w:val="24"/>
        </w:rPr>
        <w:t xml:space="preserve"> Floor Ridge 63 </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 xml:space="preserve">8 </w:t>
      </w:r>
      <w:proofErr w:type="spellStart"/>
      <w:r w:rsidR="00A2716A" w:rsidRPr="008C2716">
        <w:rPr>
          <w:rFonts w:ascii="Arial" w:hAnsi="Arial" w:cs="Arial"/>
          <w:sz w:val="24"/>
          <w:szCs w:val="24"/>
        </w:rPr>
        <w:t>Sinemebe</w:t>
      </w:r>
      <w:proofErr w:type="spellEnd"/>
      <w:r w:rsidR="00A2716A" w:rsidRPr="008C2716">
        <w:rPr>
          <w:rFonts w:ascii="Arial" w:hAnsi="Arial" w:cs="Arial"/>
          <w:sz w:val="24"/>
          <w:szCs w:val="24"/>
        </w:rPr>
        <w:t xml:space="preserve"> Park</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Douglas Saunders Drive</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La Lucia Ridge Office Estate</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Umhlanga</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REF: JJN/M1041</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Tell: 031 5661696</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 xml:space="preserve">Email: </w:t>
      </w:r>
      <w:hyperlink r:id="rId11" w:history="1">
        <w:r w:rsidR="00A2716A" w:rsidRPr="008C2716">
          <w:rPr>
            <w:rStyle w:val="Hyperlink"/>
            <w:rFonts w:ascii="Arial" w:hAnsi="Arial" w:cs="Arial"/>
            <w:sz w:val="24"/>
            <w:szCs w:val="24"/>
          </w:rPr>
          <w:t>prm@worldonline.co.za</w:t>
        </w:r>
      </w:hyperlink>
    </w:p>
    <w:p w:rsidR="00A2716A" w:rsidRPr="008C2716" w:rsidRDefault="00A2716A"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hyperlink r:id="rId12" w:history="1">
        <w:r w:rsidR="00A7289C" w:rsidRPr="008C2716">
          <w:rPr>
            <w:rStyle w:val="Hyperlink"/>
            <w:rFonts w:ascii="Arial" w:hAnsi="Arial" w:cs="Arial"/>
            <w:sz w:val="24"/>
            <w:szCs w:val="24"/>
          </w:rPr>
          <w:t>j</w:t>
        </w:r>
        <w:r w:rsidRPr="008C2716">
          <w:rPr>
            <w:rStyle w:val="Hyperlink"/>
            <w:rFonts w:ascii="Arial" w:hAnsi="Arial" w:cs="Arial"/>
            <w:sz w:val="24"/>
            <w:szCs w:val="24"/>
          </w:rPr>
          <w:t>oanne.prm@worldonline.co.za</w:t>
        </w:r>
      </w:hyperlink>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proofErr w:type="gramStart"/>
      <w:r w:rsidRPr="008C2716">
        <w:rPr>
          <w:rFonts w:ascii="Arial" w:hAnsi="Arial" w:cs="Arial"/>
          <w:sz w:val="24"/>
          <w:szCs w:val="24"/>
        </w:rPr>
        <w:t>c/o</w:t>
      </w:r>
      <w:proofErr w:type="gramEnd"/>
      <w:r w:rsidRPr="008C2716">
        <w:rPr>
          <w:rFonts w:ascii="Arial" w:hAnsi="Arial" w:cs="Arial"/>
          <w:sz w:val="24"/>
          <w:szCs w:val="24"/>
        </w:rPr>
        <w:t xml:space="preserve"> </w:t>
      </w:r>
      <w:r w:rsidR="00A2716A" w:rsidRPr="008C2716">
        <w:rPr>
          <w:rFonts w:ascii="Arial" w:hAnsi="Arial" w:cs="Arial"/>
          <w:sz w:val="24"/>
          <w:szCs w:val="24"/>
        </w:rPr>
        <w:t xml:space="preserve">AK </w:t>
      </w:r>
      <w:proofErr w:type="spellStart"/>
      <w:r w:rsidR="00A2716A" w:rsidRPr="008C2716">
        <w:rPr>
          <w:rFonts w:ascii="Arial" w:hAnsi="Arial" w:cs="Arial"/>
          <w:sz w:val="24"/>
          <w:szCs w:val="24"/>
        </w:rPr>
        <w:t>Essack</w:t>
      </w:r>
      <w:proofErr w:type="spellEnd"/>
      <w:r w:rsidR="00A2716A" w:rsidRPr="008C2716">
        <w:rPr>
          <w:rFonts w:ascii="Arial" w:hAnsi="Arial" w:cs="Arial"/>
          <w:sz w:val="24"/>
          <w:szCs w:val="24"/>
        </w:rPr>
        <w:t xml:space="preserve"> Morgan Naidoo and Co</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 xml:space="preserve">311 </w:t>
      </w:r>
      <w:proofErr w:type="spellStart"/>
      <w:r w:rsidR="00A2716A" w:rsidRPr="008C2716">
        <w:rPr>
          <w:rFonts w:ascii="Arial" w:hAnsi="Arial" w:cs="Arial"/>
          <w:sz w:val="24"/>
          <w:szCs w:val="24"/>
        </w:rPr>
        <w:t>Pietermaritz</w:t>
      </w:r>
      <w:proofErr w:type="spellEnd"/>
      <w:r w:rsidR="00A2716A" w:rsidRPr="008C2716">
        <w:rPr>
          <w:rFonts w:ascii="Arial" w:hAnsi="Arial" w:cs="Arial"/>
          <w:sz w:val="24"/>
          <w:szCs w:val="24"/>
        </w:rPr>
        <w:t xml:space="preserve"> Street</w:t>
      </w:r>
    </w:p>
    <w:p w:rsidR="00A2716A"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A2716A" w:rsidRPr="008C2716">
        <w:rPr>
          <w:rFonts w:ascii="Arial" w:hAnsi="Arial" w:cs="Arial"/>
          <w:sz w:val="24"/>
          <w:szCs w:val="24"/>
        </w:rPr>
        <w:t>Pietermaritzburg</w:t>
      </w:r>
    </w:p>
    <w:p w:rsidR="00870E25" w:rsidRPr="008C2716" w:rsidRDefault="00870E25" w:rsidP="008C2716">
      <w:pPr>
        <w:tabs>
          <w:tab w:val="left" w:pos="3402"/>
        </w:tabs>
        <w:spacing w:after="0" w:line="360" w:lineRule="auto"/>
        <w:contextualSpacing/>
        <w:jc w:val="both"/>
        <w:rPr>
          <w:rFonts w:ascii="Arial" w:hAnsi="Arial" w:cs="Arial"/>
          <w:sz w:val="24"/>
          <w:szCs w:val="24"/>
        </w:rPr>
      </w:pPr>
    </w:p>
    <w:p w:rsidR="00870E25" w:rsidRPr="008C2716" w:rsidRDefault="00870E25"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For the first respondent:</w:t>
      </w:r>
      <w:r w:rsidR="008C2716" w:rsidRPr="008C2716">
        <w:rPr>
          <w:rFonts w:ascii="Arial" w:hAnsi="Arial" w:cs="Arial"/>
          <w:sz w:val="24"/>
          <w:szCs w:val="24"/>
        </w:rPr>
        <w:tab/>
      </w:r>
      <w:r w:rsidRPr="008C2716">
        <w:rPr>
          <w:rFonts w:ascii="Arial" w:hAnsi="Arial" w:cs="Arial"/>
          <w:sz w:val="24"/>
          <w:szCs w:val="24"/>
        </w:rPr>
        <w:t>V Naidoo SC</w:t>
      </w:r>
    </w:p>
    <w:p w:rsidR="00870E25" w:rsidRPr="008C2716" w:rsidRDefault="008C2716"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ab/>
      </w:r>
      <w:r w:rsidR="00870E25" w:rsidRPr="008C2716">
        <w:rPr>
          <w:rFonts w:ascii="Arial" w:hAnsi="Arial" w:cs="Arial"/>
          <w:sz w:val="24"/>
          <w:szCs w:val="24"/>
        </w:rPr>
        <w:t>C Reddy</w:t>
      </w:r>
    </w:p>
    <w:p w:rsidR="00870E25" w:rsidRPr="008C2716" w:rsidRDefault="00870E25" w:rsidP="008C2716">
      <w:pPr>
        <w:tabs>
          <w:tab w:val="left" w:pos="3402"/>
        </w:tabs>
        <w:spacing w:after="0" w:line="360" w:lineRule="auto"/>
        <w:contextualSpacing/>
        <w:jc w:val="both"/>
        <w:rPr>
          <w:rFonts w:ascii="Arial" w:hAnsi="Arial" w:cs="Arial"/>
          <w:sz w:val="24"/>
          <w:szCs w:val="24"/>
        </w:rPr>
      </w:pPr>
    </w:p>
    <w:p w:rsidR="00870E25" w:rsidRPr="008C2716" w:rsidRDefault="00870E25" w:rsidP="008C2716">
      <w:pPr>
        <w:tabs>
          <w:tab w:val="left" w:pos="3402"/>
        </w:tabs>
        <w:spacing w:after="0" w:line="360" w:lineRule="auto"/>
        <w:contextualSpacing/>
        <w:jc w:val="both"/>
        <w:rPr>
          <w:rFonts w:ascii="Arial" w:hAnsi="Arial" w:cs="Arial"/>
          <w:sz w:val="24"/>
          <w:szCs w:val="24"/>
        </w:rPr>
      </w:pPr>
      <w:r w:rsidRPr="008C2716">
        <w:rPr>
          <w:rFonts w:ascii="Arial" w:hAnsi="Arial" w:cs="Arial"/>
          <w:sz w:val="24"/>
          <w:szCs w:val="24"/>
        </w:rPr>
        <w:t>Instructed by:</w:t>
      </w:r>
      <w:r w:rsidR="008C2716" w:rsidRPr="008C2716">
        <w:rPr>
          <w:rFonts w:ascii="Arial" w:hAnsi="Arial" w:cs="Arial"/>
          <w:sz w:val="24"/>
          <w:szCs w:val="24"/>
        </w:rPr>
        <w:tab/>
      </w:r>
      <w:r w:rsidRPr="008C2716">
        <w:rPr>
          <w:rFonts w:ascii="Arial" w:hAnsi="Arial" w:cs="Arial"/>
          <w:sz w:val="24"/>
          <w:szCs w:val="24"/>
        </w:rPr>
        <w:t>The State Attorney</w:t>
      </w:r>
    </w:p>
    <w:p w:rsidR="00BA5D16" w:rsidRPr="00FA5DFB" w:rsidRDefault="008C2716" w:rsidP="008C2716">
      <w:pPr>
        <w:tabs>
          <w:tab w:val="left" w:pos="3402"/>
        </w:tabs>
        <w:spacing w:after="0" w:line="360" w:lineRule="auto"/>
        <w:contextualSpacing/>
        <w:jc w:val="both"/>
        <w:rPr>
          <w:rFonts w:ascii="Arial" w:hAnsi="Arial" w:cs="Arial"/>
          <w:vanish/>
          <w:sz w:val="24"/>
          <w:szCs w:val="24"/>
        </w:rPr>
      </w:pPr>
      <w:r w:rsidRPr="008C2716">
        <w:rPr>
          <w:rFonts w:ascii="Arial" w:hAnsi="Arial" w:cs="Arial"/>
          <w:sz w:val="24"/>
          <w:szCs w:val="24"/>
        </w:rPr>
        <w:tab/>
      </w:r>
      <w:r w:rsidR="00870E25" w:rsidRPr="008C2716">
        <w:rPr>
          <w:rFonts w:ascii="Arial" w:hAnsi="Arial" w:cs="Arial"/>
          <w:sz w:val="24"/>
          <w:szCs w:val="24"/>
        </w:rPr>
        <w:t xml:space="preserve">Email: </w:t>
      </w:r>
      <w:hyperlink r:id="rId13" w:history="1">
        <w:r w:rsidRPr="008C2716">
          <w:rPr>
            <w:rStyle w:val="Hyperlink"/>
            <w:rFonts w:ascii="Arial" w:hAnsi="Arial" w:cs="Arial"/>
            <w:sz w:val="24"/>
            <w:szCs w:val="24"/>
          </w:rPr>
          <w:t>TheNtsele@justice.gov.za</w:t>
        </w:r>
      </w:hyperlink>
      <w:r w:rsidRPr="008C2716">
        <w:rPr>
          <w:rFonts w:ascii="Arial" w:hAnsi="Arial" w:cs="Arial"/>
          <w:sz w:val="24"/>
          <w:szCs w:val="24"/>
        </w:rPr>
        <w:t xml:space="preserve"> </w:t>
      </w:r>
      <w:r w:rsidR="00BA5D16" w:rsidRPr="00FA5DFB">
        <w:rPr>
          <w:rFonts w:ascii="Arial" w:hAnsi="Arial" w:cs="Arial"/>
          <w:vanish/>
          <w:sz w:val="24"/>
          <w:szCs w:val="24"/>
        </w:rPr>
        <w:t>Health, when it choose to participate in or Piggyback ;askdfjoiksjdfjiolcvm,asdfjkl;</w:t>
      </w:r>
    </w:p>
    <w:p w:rsidR="008F0DC5" w:rsidRPr="00FA5DFB" w:rsidRDefault="008F0DC5" w:rsidP="00FA5DFB">
      <w:pPr>
        <w:spacing w:after="0" w:line="360" w:lineRule="auto"/>
        <w:contextualSpacing/>
        <w:jc w:val="both"/>
        <w:rPr>
          <w:rFonts w:ascii="Arial" w:hAnsi="Arial" w:cs="Arial"/>
          <w:b/>
          <w:sz w:val="24"/>
          <w:szCs w:val="24"/>
        </w:rPr>
      </w:pPr>
    </w:p>
    <w:p w:rsidR="008F0DC5" w:rsidRPr="00FA5DFB" w:rsidRDefault="008F0DC5" w:rsidP="00FA5DFB">
      <w:pPr>
        <w:spacing w:after="0" w:line="360" w:lineRule="auto"/>
        <w:contextualSpacing/>
        <w:jc w:val="both"/>
        <w:rPr>
          <w:rFonts w:ascii="Arial" w:hAnsi="Arial" w:cs="Arial"/>
          <w:b/>
          <w:sz w:val="24"/>
          <w:szCs w:val="24"/>
        </w:rPr>
      </w:pPr>
    </w:p>
    <w:p w:rsidR="008F0DC5" w:rsidRPr="008F0DC5" w:rsidRDefault="008F0DC5" w:rsidP="00D03847">
      <w:pPr>
        <w:spacing w:after="0" w:line="480" w:lineRule="auto"/>
        <w:rPr>
          <w:rFonts w:ascii="Arial" w:hAnsi="Arial" w:cs="Arial"/>
          <w:sz w:val="24"/>
          <w:szCs w:val="24"/>
        </w:rPr>
      </w:pPr>
    </w:p>
    <w:sectPr w:rsidR="008F0DC5" w:rsidRPr="008F0DC5" w:rsidSect="008C2716">
      <w:headerReference w:type="default" r:id="rId1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384" w:rsidRDefault="00B44384" w:rsidP="00412095">
      <w:pPr>
        <w:spacing w:after="0" w:line="240" w:lineRule="auto"/>
      </w:pPr>
      <w:r>
        <w:separator/>
      </w:r>
    </w:p>
  </w:endnote>
  <w:endnote w:type="continuationSeparator" w:id="0">
    <w:p w:rsidR="00B44384" w:rsidRDefault="00B44384" w:rsidP="0041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384" w:rsidRDefault="00B44384" w:rsidP="00412095">
      <w:pPr>
        <w:spacing w:after="0" w:line="240" w:lineRule="auto"/>
      </w:pPr>
      <w:r>
        <w:separator/>
      </w:r>
    </w:p>
  </w:footnote>
  <w:footnote w:type="continuationSeparator" w:id="0">
    <w:p w:rsidR="00B44384" w:rsidRDefault="00B44384" w:rsidP="00412095">
      <w:pPr>
        <w:spacing w:after="0" w:line="240" w:lineRule="auto"/>
      </w:pPr>
      <w:r>
        <w:continuationSeparator/>
      </w:r>
    </w:p>
  </w:footnote>
  <w:footnote w:id="1">
    <w:p w:rsidR="00A878B4" w:rsidRPr="00557AE2" w:rsidRDefault="00A878B4" w:rsidP="00A878B4">
      <w:pPr>
        <w:pStyle w:val="FootnoteText"/>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lang w:val="en-GB"/>
        </w:rPr>
        <w:t xml:space="preserve">Treasury Regulations, GN R225, </w:t>
      </w:r>
      <w:r w:rsidRPr="00557AE2">
        <w:rPr>
          <w:rFonts w:ascii="Arial" w:hAnsi="Arial" w:cs="Arial"/>
          <w:i/>
          <w:lang w:val="en-GB"/>
        </w:rPr>
        <w:t>GG</w:t>
      </w:r>
      <w:r w:rsidRPr="00557AE2">
        <w:rPr>
          <w:rFonts w:ascii="Arial" w:hAnsi="Arial" w:cs="Arial"/>
          <w:lang w:val="en-GB"/>
        </w:rPr>
        <w:t xml:space="preserve"> 27388, 15 March 2005.</w:t>
      </w:r>
    </w:p>
  </w:footnote>
  <w:footnote w:id="2">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i/>
        </w:rPr>
        <w:t>Compass Medical Waste Services (Pty) Ltd v MEC Department of Health, Free State and others</w:t>
      </w:r>
      <w:r w:rsidRPr="00557AE2">
        <w:rPr>
          <w:rFonts w:ascii="Arial" w:hAnsi="Arial" w:cs="Arial"/>
        </w:rPr>
        <w:t xml:space="preserve"> [2021] ZAFSHC 185. </w:t>
      </w:r>
    </w:p>
  </w:footnote>
  <w:footnote w:id="3">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i/>
        </w:rPr>
        <w:t>SA Riding for the Disabled Association v Regional Land Claims Commissioner and others</w:t>
      </w:r>
      <w:r w:rsidRPr="00557AE2">
        <w:rPr>
          <w:rFonts w:ascii="Arial" w:hAnsi="Arial" w:cs="Arial"/>
        </w:rPr>
        <w:t xml:space="preserve"> [2017] ZACC 4</w:t>
      </w:r>
      <w:proofErr w:type="gramStart"/>
      <w:r w:rsidRPr="00557AE2">
        <w:rPr>
          <w:rFonts w:ascii="Arial" w:hAnsi="Arial" w:cs="Arial"/>
        </w:rPr>
        <w:t>;</w:t>
      </w:r>
      <w:proofErr w:type="gramEnd"/>
      <w:r w:rsidRPr="00557AE2">
        <w:rPr>
          <w:rFonts w:ascii="Arial" w:hAnsi="Arial" w:cs="Arial"/>
        </w:rPr>
        <w:t xml:space="preserve"> 2017 (5) SA 1 (CC) paras 10 -11.</w:t>
      </w:r>
    </w:p>
  </w:footnote>
  <w:footnote w:id="4">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lang w:val="en-GB"/>
        </w:rPr>
        <w:t xml:space="preserve">DE van </w:t>
      </w:r>
      <w:proofErr w:type="spellStart"/>
      <w:r w:rsidRPr="00557AE2">
        <w:rPr>
          <w:rFonts w:ascii="Arial" w:hAnsi="Arial" w:cs="Arial"/>
          <w:lang w:val="en-GB"/>
        </w:rPr>
        <w:t>Loggerenberg</w:t>
      </w:r>
      <w:proofErr w:type="spellEnd"/>
      <w:r w:rsidRPr="00557AE2">
        <w:rPr>
          <w:rFonts w:ascii="Arial" w:hAnsi="Arial" w:cs="Arial"/>
          <w:lang w:val="en-GB"/>
        </w:rPr>
        <w:t xml:space="preserve"> and E Bertelsmann </w:t>
      </w:r>
      <w:r w:rsidRPr="00557AE2">
        <w:rPr>
          <w:rFonts w:ascii="Arial" w:hAnsi="Arial" w:cs="Arial"/>
          <w:i/>
          <w:lang w:val="en-GB"/>
        </w:rPr>
        <w:t xml:space="preserve">Erasmus: Superior Court Practice </w:t>
      </w:r>
      <w:r w:rsidR="00EF76FA" w:rsidRPr="00557AE2">
        <w:rPr>
          <w:rFonts w:ascii="Arial" w:hAnsi="Arial" w:cs="Arial"/>
          <w:lang w:val="en-GB"/>
        </w:rPr>
        <w:t>(RS 1</w:t>
      </w:r>
      <w:r w:rsidR="00F24C90">
        <w:rPr>
          <w:rFonts w:ascii="Arial" w:hAnsi="Arial" w:cs="Arial"/>
          <w:lang w:val="en-GB"/>
        </w:rPr>
        <w:t>9</w:t>
      </w:r>
      <w:r w:rsidR="00EF76FA" w:rsidRPr="00557AE2">
        <w:rPr>
          <w:rFonts w:ascii="Arial" w:hAnsi="Arial" w:cs="Arial"/>
          <w:lang w:val="en-GB"/>
        </w:rPr>
        <w:t>, 2022) at D1</w:t>
      </w:r>
      <w:r w:rsidR="00EF76FA" w:rsidRPr="00557AE2">
        <w:rPr>
          <w:rFonts w:ascii="Arial" w:hAnsi="Arial" w:cs="Arial"/>
          <w:lang w:val="en-GB"/>
        </w:rPr>
        <w:noBreakHyphen/>
      </w:r>
      <w:r w:rsidRPr="00557AE2">
        <w:rPr>
          <w:rFonts w:ascii="Arial" w:hAnsi="Arial" w:cs="Arial"/>
          <w:lang w:val="en-GB"/>
        </w:rPr>
        <w:t>139.</w:t>
      </w:r>
    </w:p>
  </w:footnote>
  <w:footnote w:id="5">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AC </w:t>
      </w:r>
      <w:proofErr w:type="spellStart"/>
      <w:r w:rsidRPr="00557AE2">
        <w:rPr>
          <w:rFonts w:ascii="Arial" w:hAnsi="Arial" w:cs="Arial"/>
        </w:rPr>
        <w:t>Cilliers</w:t>
      </w:r>
      <w:proofErr w:type="spellEnd"/>
      <w:r w:rsidRPr="00557AE2">
        <w:rPr>
          <w:rFonts w:ascii="Arial" w:hAnsi="Arial" w:cs="Arial"/>
        </w:rPr>
        <w:t xml:space="preserve"> et al </w:t>
      </w:r>
      <w:proofErr w:type="spellStart"/>
      <w:r w:rsidRPr="00557AE2">
        <w:rPr>
          <w:rFonts w:ascii="Arial" w:hAnsi="Arial" w:cs="Arial"/>
          <w:i/>
          <w:lang w:val="en-GB"/>
        </w:rPr>
        <w:t>Herbstein</w:t>
      </w:r>
      <w:proofErr w:type="spellEnd"/>
      <w:r w:rsidRPr="00557AE2">
        <w:rPr>
          <w:rFonts w:ascii="Arial" w:hAnsi="Arial" w:cs="Arial"/>
          <w:i/>
          <w:lang w:val="en-GB"/>
        </w:rPr>
        <w:t xml:space="preserve"> and Van </w:t>
      </w:r>
      <w:proofErr w:type="spellStart"/>
      <w:r w:rsidRPr="00557AE2">
        <w:rPr>
          <w:rFonts w:ascii="Arial" w:hAnsi="Arial" w:cs="Arial"/>
          <w:i/>
          <w:lang w:val="en-GB"/>
        </w:rPr>
        <w:t>Winsen</w:t>
      </w:r>
      <w:proofErr w:type="spellEnd"/>
      <w:r w:rsidRPr="00557AE2">
        <w:rPr>
          <w:rFonts w:ascii="Arial" w:hAnsi="Arial" w:cs="Arial"/>
          <w:i/>
          <w:lang w:val="en-GB"/>
        </w:rPr>
        <w:t xml:space="preserve">: Civil Practice of the High Courts and the Supreme Court of Appeal of South Africa </w:t>
      </w:r>
      <w:r w:rsidRPr="00557AE2">
        <w:rPr>
          <w:rFonts w:ascii="Arial" w:hAnsi="Arial" w:cs="Arial"/>
          <w:lang w:val="en-GB"/>
        </w:rPr>
        <w:t xml:space="preserve">5 </w:t>
      </w:r>
      <w:proofErr w:type="spellStart"/>
      <w:r w:rsidRPr="00557AE2">
        <w:rPr>
          <w:rFonts w:ascii="Arial" w:hAnsi="Arial" w:cs="Arial"/>
          <w:lang w:val="en-GB"/>
        </w:rPr>
        <w:t>ed</w:t>
      </w:r>
      <w:proofErr w:type="spellEnd"/>
      <w:r w:rsidRPr="00557AE2">
        <w:rPr>
          <w:rFonts w:ascii="Arial" w:hAnsi="Arial" w:cs="Arial"/>
          <w:lang w:val="en-GB"/>
        </w:rPr>
        <w:t xml:space="preserve"> (2009) at 225-226.</w:t>
      </w:r>
    </w:p>
  </w:footnote>
  <w:footnote w:id="6">
    <w:p w:rsidR="00EF76FA" w:rsidRPr="001A265E" w:rsidRDefault="00EF76FA">
      <w:pPr>
        <w:pStyle w:val="FootnoteText"/>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lang w:val="en-GB"/>
        </w:rPr>
        <w:t>Ibid at 226.</w:t>
      </w:r>
    </w:p>
  </w:footnote>
  <w:footnote w:id="7">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i/>
        </w:rPr>
        <w:t xml:space="preserve">Nelson Mandela Metropolitan Municipality and others v </w:t>
      </w:r>
      <w:proofErr w:type="spellStart"/>
      <w:r w:rsidRPr="00557AE2">
        <w:rPr>
          <w:rFonts w:ascii="Arial" w:hAnsi="Arial" w:cs="Arial"/>
          <w:i/>
        </w:rPr>
        <w:t>Greyvenouw</w:t>
      </w:r>
      <w:proofErr w:type="spellEnd"/>
      <w:r w:rsidRPr="00557AE2">
        <w:rPr>
          <w:rFonts w:ascii="Arial" w:hAnsi="Arial" w:cs="Arial"/>
          <w:i/>
        </w:rPr>
        <w:t xml:space="preserve"> CC and others</w:t>
      </w:r>
      <w:r w:rsidRPr="00557AE2">
        <w:rPr>
          <w:rFonts w:ascii="Arial" w:hAnsi="Arial" w:cs="Arial"/>
        </w:rPr>
        <w:t xml:space="preserve"> 2004 (2) SA 81 (SE).</w:t>
      </w:r>
    </w:p>
  </w:footnote>
  <w:footnote w:id="8">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AC </w:t>
      </w:r>
      <w:proofErr w:type="spellStart"/>
      <w:r w:rsidRPr="00557AE2">
        <w:rPr>
          <w:rFonts w:ascii="Arial" w:hAnsi="Arial" w:cs="Arial"/>
        </w:rPr>
        <w:t>Cilliers</w:t>
      </w:r>
      <w:proofErr w:type="spellEnd"/>
      <w:r w:rsidRPr="00557AE2">
        <w:rPr>
          <w:rFonts w:ascii="Arial" w:hAnsi="Arial" w:cs="Arial"/>
        </w:rPr>
        <w:t xml:space="preserve"> et al </w:t>
      </w:r>
      <w:proofErr w:type="spellStart"/>
      <w:r w:rsidRPr="00557AE2">
        <w:rPr>
          <w:rFonts w:ascii="Arial" w:hAnsi="Arial" w:cs="Arial"/>
          <w:i/>
          <w:lang w:val="en-GB"/>
        </w:rPr>
        <w:t>Herbstein</w:t>
      </w:r>
      <w:proofErr w:type="spellEnd"/>
      <w:r w:rsidRPr="00557AE2">
        <w:rPr>
          <w:rFonts w:ascii="Arial" w:hAnsi="Arial" w:cs="Arial"/>
          <w:i/>
          <w:lang w:val="en-GB"/>
        </w:rPr>
        <w:t xml:space="preserve"> and Van </w:t>
      </w:r>
      <w:proofErr w:type="spellStart"/>
      <w:r w:rsidRPr="00557AE2">
        <w:rPr>
          <w:rFonts w:ascii="Arial" w:hAnsi="Arial" w:cs="Arial"/>
          <w:i/>
          <w:lang w:val="en-GB"/>
        </w:rPr>
        <w:t>Winsen</w:t>
      </w:r>
      <w:proofErr w:type="spellEnd"/>
      <w:r w:rsidRPr="00557AE2">
        <w:rPr>
          <w:rFonts w:ascii="Arial" w:hAnsi="Arial" w:cs="Arial"/>
          <w:i/>
          <w:lang w:val="en-GB"/>
        </w:rPr>
        <w:t xml:space="preserve">: Civil Practice of the High Courts and the Supreme Court of Appeal of South Africa </w:t>
      </w:r>
      <w:r w:rsidRPr="00557AE2">
        <w:rPr>
          <w:rFonts w:ascii="Arial" w:hAnsi="Arial" w:cs="Arial"/>
          <w:lang w:val="en-GB"/>
        </w:rPr>
        <w:t xml:space="preserve">5 </w:t>
      </w:r>
      <w:proofErr w:type="spellStart"/>
      <w:r w:rsidRPr="00557AE2">
        <w:rPr>
          <w:rFonts w:ascii="Arial" w:hAnsi="Arial" w:cs="Arial"/>
          <w:lang w:val="en-GB"/>
        </w:rPr>
        <w:t>ed</w:t>
      </w:r>
      <w:proofErr w:type="spellEnd"/>
      <w:r w:rsidRPr="00557AE2">
        <w:rPr>
          <w:rFonts w:ascii="Arial" w:hAnsi="Arial" w:cs="Arial"/>
          <w:lang w:val="en-GB"/>
        </w:rPr>
        <w:t xml:space="preserve"> (2009) at 227.</w:t>
      </w:r>
    </w:p>
  </w:footnote>
  <w:footnote w:id="9">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i/>
        </w:rPr>
        <w:t xml:space="preserve">United Watch &amp; Diamond Co (Pty) Ltd and others v </w:t>
      </w:r>
      <w:proofErr w:type="spellStart"/>
      <w:r w:rsidRPr="00557AE2">
        <w:rPr>
          <w:rFonts w:ascii="Arial" w:hAnsi="Arial" w:cs="Arial"/>
          <w:i/>
        </w:rPr>
        <w:t>Disa</w:t>
      </w:r>
      <w:proofErr w:type="spellEnd"/>
      <w:r w:rsidRPr="00557AE2">
        <w:rPr>
          <w:rFonts w:ascii="Arial" w:hAnsi="Arial" w:cs="Arial"/>
          <w:i/>
        </w:rPr>
        <w:t xml:space="preserve"> Hotels Ltd and another</w:t>
      </w:r>
      <w:r w:rsidRPr="00557AE2">
        <w:rPr>
          <w:rFonts w:ascii="Arial" w:hAnsi="Arial" w:cs="Arial"/>
        </w:rPr>
        <w:t xml:space="preserve"> 1972 (4) SA 409 (C)</w:t>
      </w:r>
      <w:r w:rsidR="00EF76FA" w:rsidRPr="00557AE2">
        <w:rPr>
          <w:rFonts w:ascii="Arial" w:hAnsi="Arial" w:cs="Arial"/>
        </w:rPr>
        <w:t xml:space="preserve"> at 415C</w:t>
      </w:r>
      <w:r w:rsidRPr="00557AE2">
        <w:rPr>
          <w:rFonts w:ascii="Arial" w:hAnsi="Arial" w:cs="Arial"/>
        </w:rPr>
        <w:t>.</w:t>
      </w:r>
    </w:p>
  </w:footnote>
  <w:footnote w:id="10">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proofErr w:type="spellStart"/>
      <w:r w:rsidRPr="00557AE2">
        <w:rPr>
          <w:rFonts w:ascii="Arial" w:hAnsi="Arial" w:cs="Arial"/>
          <w:i/>
        </w:rPr>
        <w:t>Brauer</w:t>
      </w:r>
      <w:proofErr w:type="spellEnd"/>
      <w:r w:rsidRPr="00557AE2">
        <w:rPr>
          <w:rFonts w:ascii="Arial" w:hAnsi="Arial" w:cs="Arial"/>
          <w:i/>
        </w:rPr>
        <w:t xml:space="preserve"> v Cape Liquor Licensing Board</w:t>
      </w:r>
      <w:r w:rsidRPr="00557AE2">
        <w:rPr>
          <w:rFonts w:ascii="Arial" w:hAnsi="Arial" w:cs="Arial"/>
        </w:rPr>
        <w:t xml:space="preserve"> 1953 (3) SA 752 (C).</w:t>
      </w:r>
    </w:p>
  </w:footnote>
  <w:footnote w:id="11">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i/>
        </w:rPr>
        <w:t xml:space="preserve">United Watch &amp; Diamond Co (Pty) Ltd and others v </w:t>
      </w:r>
      <w:proofErr w:type="spellStart"/>
      <w:r w:rsidRPr="00557AE2">
        <w:rPr>
          <w:rFonts w:ascii="Arial" w:hAnsi="Arial" w:cs="Arial"/>
          <w:i/>
        </w:rPr>
        <w:t>Disa</w:t>
      </w:r>
      <w:proofErr w:type="spellEnd"/>
      <w:r w:rsidRPr="00557AE2">
        <w:rPr>
          <w:rFonts w:ascii="Arial" w:hAnsi="Arial" w:cs="Arial"/>
          <w:i/>
        </w:rPr>
        <w:t xml:space="preserve"> Hotels Ltd and another</w:t>
      </w:r>
      <w:r w:rsidRPr="00557AE2">
        <w:rPr>
          <w:rFonts w:ascii="Arial" w:hAnsi="Arial" w:cs="Arial"/>
        </w:rPr>
        <w:t xml:space="preserve"> 1972 (4) SA 409 (C) at 416D-H.</w:t>
      </w:r>
    </w:p>
  </w:footnote>
  <w:footnote w:id="12">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lang w:val="en-GB"/>
        </w:rPr>
        <w:t xml:space="preserve">DE van </w:t>
      </w:r>
      <w:proofErr w:type="spellStart"/>
      <w:r w:rsidRPr="00557AE2">
        <w:rPr>
          <w:rFonts w:ascii="Arial" w:hAnsi="Arial" w:cs="Arial"/>
          <w:lang w:val="en-GB"/>
        </w:rPr>
        <w:t>Loggerenberg</w:t>
      </w:r>
      <w:proofErr w:type="spellEnd"/>
      <w:r w:rsidRPr="00557AE2">
        <w:rPr>
          <w:rFonts w:ascii="Arial" w:hAnsi="Arial" w:cs="Arial"/>
          <w:lang w:val="en-GB"/>
        </w:rPr>
        <w:t xml:space="preserve"> and E Bertelsmann </w:t>
      </w:r>
      <w:r w:rsidRPr="00557AE2">
        <w:rPr>
          <w:rFonts w:ascii="Arial" w:hAnsi="Arial" w:cs="Arial"/>
          <w:i/>
          <w:lang w:val="en-GB"/>
        </w:rPr>
        <w:t xml:space="preserve">Erasmus: Superior Court Practice </w:t>
      </w:r>
      <w:r w:rsidRPr="00557AE2">
        <w:rPr>
          <w:rFonts w:ascii="Arial" w:hAnsi="Arial" w:cs="Arial"/>
          <w:lang w:val="en-GB"/>
        </w:rPr>
        <w:t>(RS 1</w:t>
      </w:r>
      <w:r w:rsidR="00F24C90">
        <w:rPr>
          <w:rFonts w:ascii="Arial" w:hAnsi="Arial" w:cs="Arial"/>
          <w:lang w:val="en-GB"/>
        </w:rPr>
        <w:t>9</w:t>
      </w:r>
      <w:r w:rsidRPr="00557AE2">
        <w:rPr>
          <w:rFonts w:ascii="Arial" w:hAnsi="Arial" w:cs="Arial"/>
          <w:lang w:val="en-GB"/>
        </w:rPr>
        <w:t>, 2022) at D1-124-D1-126.</w:t>
      </w:r>
    </w:p>
  </w:footnote>
  <w:footnote w:id="13">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i/>
        </w:rPr>
        <w:t>Gordon v Department of Health, KwaZulu-Natal</w:t>
      </w:r>
      <w:r w:rsidRPr="00557AE2">
        <w:rPr>
          <w:rFonts w:ascii="Arial" w:hAnsi="Arial" w:cs="Arial"/>
        </w:rPr>
        <w:t xml:space="preserve"> [2008] ZASCA 99</w:t>
      </w:r>
      <w:proofErr w:type="gramStart"/>
      <w:r w:rsidRPr="00557AE2">
        <w:rPr>
          <w:rFonts w:ascii="Arial" w:hAnsi="Arial" w:cs="Arial"/>
        </w:rPr>
        <w:t>;</w:t>
      </w:r>
      <w:proofErr w:type="gramEnd"/>
      <w:r w:rsidRPr="00557AE2">
        <w:rPr>
          <w:rFonts w:ascii="Arial" w:hAnsi="Arial" w:cs="Arial"/>
        </w:rPr>
        <w:t xml:space="preserve"> 2008 (6) SA 522 (SCA).</w:t>
      </w:r>
    </w:p>
  </w:footnote>
  <w:footnote w:id="14">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lang w:val="en-GB"/>
        </w:rPr>
        <w:t xml:space="preserve">Ibid para </w:t>
      </w:r>
      <w:proofErr w:type="gramStart"/>
      <w:r w:rsidRPr="00557AE2">
        <w:rPr>
          <w:rFonts w:ascii="Arial" w:hAnsi="Arial" w:cs="Arial"/>
          <w:lang w:val="en-GB"/>
        </w:rPr>
        <w:t>9</w:t>
      </w:r>
      <w:proofErr w:type="gramEnd"/>
      <w:r w:rsidRPr="00557AE2">
        <w:rPr>
          <w:rFonts w:ascii="Arial" w:hAnsi="Arial" w:cs="Arial"/>
          <w:lang w:val="en-GB"/>
        </w:rPr>
        <w:t>.</w:t>
      </w:r>
    </w:p>
  </w:footnote>
  <w:footnote w:id="15">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lang w:val="en-GB"/>
        </w:rPr>
        <w:t>Ibid para 10.</w:t>
      </w:r>
    </w:p>
  </w:footnote>
  <w:footnote w:id="16">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i/>
        </w:rPr>
        <w:t xml:space="preserve">Bowring NO v </w:t>
      </w:r>
      <w:proofErr w:type="spellStart"/>
      <w:r w:rsidRPr="00557AE2">
        <w:rPr>
          <w:rFonts w:ascii="Arial" w:hAnsi="Arial" w:cs="Arial"/>
          <w:i/>
        </w:rPr>
        <w:t>Vrededorp</w:t>
      </w:r>
      <w:proofErr w:type="spellEnd"/>
      <w:r w:rsidRPr="00557AE2">
        <w:rPr>
          <w:rFonts w:ascii="Arial" w:hAnsi="Arial" w:cs="Arial"/>
          <w:i/>
        </w:rPr>
        <w:t xml:space="preserve"> Properties CC and another</w:t>
      </w:r>
      <w:r w:rsidRPr="00557AE2">
        <w:rPr>
          <w:rFonts w:ascii="Arial" w:hAnsi="Arial" w:cs="Arial"/>
        </w:rPr>
        <w:t xml:space="preserve"> [2007] ZASCA 80</w:t>
      </w:r>
      <w:proofErr w:type="gramStart"/>
      <w:r w:rsidRPr="00557AE2">
        <w:rPr>
          <w:rFonts w:ascii="Arial" w:hAnsi="Arial" w:cs="Arial"/>
        </w:rPr>
        <w:t>;</w:t>
      </w:r>
      <w:proofErr w:type="gramEnd"/>
      <w:r w:rsidRPr="00557AE2">
        <w:rPr>
          <w:rFonts w:ascii="Arial" w:hAnsi="Arial" w:cs="Arial"/>
        </w:rPr>
        <w:t xml:space="preserve"> 2007 (5) SA 391 (SCA) para 21.</w:t>
      </w:r>
    </w:p>
  </w:footnote>
  <w:footnote w:id="17">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lang w:val="en-GB"/>
        </w:rPr>
        <w:t xml:space="preserve">DE van </w:t>
      </w:r>
      <w:proofErr w:type="spellStart"/>
      <w:r w:rsidRPr="00557AE2">
        <w:rPr>
          <w:rFonts w:ascii="Arial" w:hAnsi="Arial" w:cs="Arial"/>
          <w:lang w:val="en-GB"/>
        </w:rPr>
        <w:t>Loggerenberg</w:t>
      </w:r>
      <w:proofErr w:type="spellEnd"/>
      <w:r w:rsidRPr="00557AE2">
        <w:rPr>
          <w:rFonts w:ascii="Arial" w:hAnsi="Arial" w:cs="Arial"/>
          <w:lang w:val="en-GB"/>
        </w:rPr>
        <w:t xml:space="preserve"> and E Bertelsmann </w:t>
      </w:r>
      <w:r w:rsidRPr="00557AE2">
        <w:rPr>
          <w:rFonts w:ascii="Arial" w:hAnsi="Arial" w:cs="Arial"/>
          <w:i/>
          <w:lang w:val="en-GB"/>
        </w:rPr>
        <w:t xml:space="preserve">Erasmus: Superior Court Practice </w:t>
      </w:r>
      <w:r w:rsidRPr="00557AE2">
        <w:rPr>
          <w:rFonts w:ascii="Arial" w:hAnsi="Arial" w:cs="Arial"/>
          <w:lang w:val="en-GB"/>
        </w:rPr>
        <w:t>(RS 1</w:t>
      </w:r>
      <w:r w:rsidR="00F24C90">
        <w:rPr>
          <w:rFonts w:ascii="Arial" w:hAnsi="Arial" w:cs="Arial"/>
          <w:lang w:val="en-GB"/>
        </w:rPr>
        <w:t>9</w:t>
      </w:r>
      <w:r w:rsidRPr="00557AE2">
        <w:rPr>
          <w:rFonts w:ascii="Arial" w:hAnsi="Arial" w:cs="Arial"/>
          <w:lang w:val="en-GB"/>
        </w:rPr>
        <w:t>, 2022) at D1-126B.</w:t>
      </w:r>
    </w:p>
  </w:footnote>
  <w:footnote w:id="18">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lang w:val="en-GB"/>
        </w:rPr>
        <w:t>Ibid at D1-127.</w:t>
      </w:r>
    </w:p>
  </w:footnote>
  <w:footnote w:id="19">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i/>
        </w:rPr>
        <w:t xml:space="preserve">WDR Earthmoving Enterprises and another v Joe </w:t>
      </w:r>
      <w:proofErr w:type="spellStart"/>
      <w:r w:rsidRPr="00557AE2">
        <w:rPr>
          <w:rFonts w:ascii="Arial" w:hAnsi="Arial" w:cs="Arial"/>
          <w:i/>
        </w:rPr>
        <w:t>Gqabi</w:t>
      </w:r>
      <w:proofErr w:type="spellEnd"/>
      <w:r w:rsidRPr="00557AE2">
        <w:rPr>
          <w:rFonts w:ascii="Arial" w:hAnsi="Arial" w:cs="Arial"/>
          <w:i/>
        </w:rPr>
        <w:t xml:space="preserve"> District Municipality and others</w:t>
      </w:r>
      <w:r w:rsidRPr="00557AE2">
        <w:rPr>
          <w:rFonts w:ascii="Arial" w:hAnsi="Arial" w:cs="Arial"/>
        </w:rPr>
        <w:t xml:space="preserve"> [2018] ZASCA 72.</w:t>
      </w:r>
    </w:p>
  </w:footnote>
  <w:footnote w:id="20">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i/>
        </w:rPr>
        <w:t xml:space="preserve">Giant Concerts CC v </w:t>
      </w:r>
      <w:proofErr w:type="spellStart"/>
      <w:r w:rsidRPr="00557AE2">
        <w:rPr>
          <w:rFonts w:ascii="Arial" w:hAnsi="Arial" w:cs="Arial"/>
          <w:i/>
        </w:rPr>
        <w:t>Rinaldo</w:t>
      </w:r>
      <w:proofErr w:type="spellEnd"/>
      <w:r w:rsidRPr="00557AE2">
        <w:rPr>
          <w:rFonts w:ascii="Arial" w:hAnsi="Arial" w:cs="Arial"/>
          <w:i/>
        </w:rPr>
        <w:t xml:space="preserve"> Investments (Pty) Ltd and others</w:t>
      </w:r>
      <w:r w:rsidRPr="00557AE2">
        <w:rPr>
          <w:rFonts w:ascii="Arial" w:hAnsi="Arial" w:cs="Arial"/>
        </w:rPr>
        <w:t xml:space="preserve"> [2012] ZACC 28</w:t>
      </w:r>
      <w:proofErr w:type="gramStart"/>
      <w:r w:rsidRPr="00557AE2">
        <w:rPr>
          <w:rFonts w:ascii="Arial" w:hAnsi="Arial" w:cs="Arial"/>
        </w:rPr>
        <w:t>;</w:t>
      </w:r>
      <w:proofErr w:type="gramEnd"/>
      <w:r w:rsidRPr="00557AE2">
        <w:rPr>
          <w:rFonts w:ascii="Arial" w:hAnsi="Arial" w:cs="Arial"/>
        </w:rPr>
        <w:t xml:space="preserve"> 2013 (3) BCLR 251 (CC).</w:t>
      </w:r>
    </w:p>
  </w:footnote>
  <w:footnote w:id="21">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i/>
        </w:rPr>
        <w:t>Gordon v Department of Health, KwaZulu-Natal</w:t>
      </w:r>
      <w:r w:rsidRPr="00557AE2">
        <w:rPr>
          <w:rFonts w:ascii="Arial" w:hAnsi="Arial" w:cs="Arial"/>
        </w:rPr>
        <w:t xml:space="preserve"> [2008] ZASCA 99; 2008 (6) SA 522 (SCA) para </w:t>
      </w:r>
      <w:proofErr w:type="gramStart"/>
      <w:r w:rsidRPr="00557AE2">
        <w:rPr>
          <w:rFonts w:ascii="Arial" w:hAnsi="Arial" w:cs="Arial"/>
        </w:rPr>
        <w:t>9</w:t>
      </w:r>
      <w:proofErr w:type="gramEnd"/>
      <w:r w:rsidRPr="00557AE2">
        <w:rPr>
          <w:rFonts w:ascii="Arial" w:hAnsi="Arial" w:cs="Arial"/>
        </w:rPr>
        <w:t>.</w:t>
      </w:r>
    </w:p>
  </w:footnote>
  <w:footnote w:id="22">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proofErr w:type="spellStart"/>
      <w:r w:rsidRPr="00557AE2">
        <w:rPr>
          <w:rFonts w:ascii="Arial" w:hAnsi="Arial" w:cs="Arial"/>
          <w:i/>
        </w:rPr>
        <w:t>Koyabe</w:t>
      </w:r>
      <w:proofErr w:type="spellEnd"/>
      <w:r w:rsidRPr="00557AE2">
        <w:rPr>
          <w:rFonts w:ascii="Arial" w:hAnsi="Arial" w:cs="Arial"/>
          <w:i/>
        </w:rPr>
        <w:t xml:space="preserve"> and others v Minister for Home Affairs and others (Lawyers for Human Rights as Amicus Curiae)</w:t>
      </w:r>
      <w:r w:rsidRPr="00557AE2">
        <w:rPr>
          <w:rFonts w:ascii="Arial" w:hAnsi="Arial" w:cs="Arial"/>
        </w:rPr>
        <w:t xml:space="preserve"> [2009] ZACC 23; 2010 (4) SA 327 (CC).</w:t>
      </w:r>
    </w:p>
  </w:footnote>
  <w:footnote w:id="23">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lang w:val="en-GB"/>
        </w:rPr>
        <w:t>Ibid para 61.</w:t>
      </w:r>
    </w:p>
  </w:footnote>
  <w:footnote w:id="24">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i/>
        </w:rPr>
        <w:t xml:space="preserve">City of Ekurhuleni Metropolitan Municipality v </w:t>
      </w:r>
      <w:proofErr w:type="spellStart"/>
      <w:r w:rsidRPr="00557AE2">
        <w:rPr>
          <w:rFonts w:ascii="Arial" w:hAnsi="Arial" w:cs="Arial"/>
          <w:i/>
        </w:rPr>
        <w:t>Takubiza</w:t>
      </w:r>
      <w:proofErr w:type="spellEnd"/>
      <w:r w:rsidRPr="00557AE2">
        <w:rPr>
          <w:rFonts w:ascii="Arial" w:hAnsi="Arial" w:cs="Arial"/>
          <w:i/>
        </w:rPr>
        <w:t xml:space="preserve"> Trading &amp; Projects CC and others</w:t>
      </w:r>
      <w:r w:rsidRPr="00557AE2">
        <w:rPr>
          <w:rFonts w:ascii="Arial" w:hAnsi="Arial" w:cs="Arial"/>
        </w:rPr>
        <w:t xml:space="preserve"> [2022] ZASCA 82.</w:t>
      </w:r>
    </w:p>
  </w:footnote>
  <w:footnote w:id="25">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proofErr w:type="spellStart"/>
      <w:r w:rsidRPr="00557AE2">
        <w:rPr>
          <w:rFonts w:ascii="Arial" w:hAnsi="Arial" w:cs="Arial"/>
          <w:i/>
        </w:rPr>
        <w:t>Merafong</w:t>
      </w:r>
      <w:proofErr w:type="spellEnd"/>
      <w:r w:rsidRPr="00557AE2">
        <w:rPr>
          <w:rFonts w:ascii="Arial" w:hAnsi="Arial" w:cs="Arial"/>
          <w:i/>
        </w:rPr>
        <w:t xml:space="preserve"> City v </w:t>
      </w:r>
      <w:proofErr w:type="spellStart"/>
      <w:r w:rsidRPr="00557AE2">
        <w:rPr>
          <w:rFonts w:ascii="Arial" w:hAnsi="Arial" w:cs="Arial"/>
          <w:i/>
        </w:rPr>
        <w:t>Anglogold</w:t>
      </w:r>
      <w:proofErr w:type="spellEnd"/>
      <w:r w:rsidRPr="00557AE2">
        <w:rPr>
          <w:rFonts w:ascii="Arial" w:hAnsi="Arial" w:cs="Arial"/>
          <w:i/>
        </w:rPr>
        <w:t xml:space="preserve"> Ashanti Ltd</w:t>
      </w:r>
      <w:r w:rsidRPr="00557AE2">
        <w:rPr>
          <w:rFonts w:ascii="Arial" w:hAnsi="Arial" w:cs="Arial"/>
        </w:rPr>
        <w:t xml:space="preserve"> [2016] ZACC 35; 2017 (2) SA 211 (CC) </w:t>
      </w:r>
      <w:proofErr w:type="spellStart"/>
      <w:proofErr w:type="gramStart"/>
      <w:r w:rsidRPr="00557AE2">
        <w:rPr>
          <w:rFonts w:ascii="Arial" w:hAnsi="Arial" w:cs="Arial"/>
        </w:rPr>
        <w:t>fn</w:t>
      </w:r>
      <w:proofErr w:type="spellEnd"/>
      <w:proofErr w:type="gramEnd"/>
      <w:r w:rsidRPr="00557AE2">
        <w:rPr>
          <w:rFonts w:ascii="Arial" w:hAnsi="Arial" w:cs="Arial"/>
        </w:rPr>
        <w:t xml:space="preserve"> 63.</w:t>
      </w:r>
    </w:p>
  </w:footnote>
  <w:footnote w:id="26">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i/>
        </w:rPr>
        <w:t>Premier of KwaZulu-Natal and others v KwaZulu-Natal Gaming and Betting Board and others and a related matter</w:t>
      </w:r>
      <w:r w:rsidRPr="00557AE2">
        <w:rPr>
          <w:rFonts w:ascii="Arial" w:hAnsi="Arial" w:cs="Arial"/>
        </w:rPr>
        <w:t xml:space="preserve"> [2019] ZAKZPHC 44; [2019] </w:t>
      </w:r>
      <w:proofErr w:type="gramStart"/>
      <w:r w:rsidRPr="00557AE2">
        <w:rPr>
          <w:rFonts w:ascii="Arial" w:hAnsi="Arial" w:cs="Arial"/>
        </w:rPr>
        <w:t>3</w:t>
      </w:r>
      <w:proofErr w:type="gramEnd"/>
      <w:r w:rsidRPr="00557AE2">
        <w:rPr>
          <w:rFonts w:ascii="Arial" w:hAnsi="Arial" w:cs="Arial"/>
        </w:rPr>
        <w:t xml:space="preserve"> All SA 916 (KZP).</w:t>
      </w:r>
    </w:p>
  </w:footnote>
  <w:footnote w:id="27">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r w:rsidRPr="00557AE2">
        <w:rPr>
          <w:rFonts w:ascii="Arial" w:hAnsi="Arial" w:cs="Arial"/>
          <w:lang w:val="en-GB"/>
        </w:rPr>
        <w:t>Ibid paras 37-42.</w:t>
      </w:r>
    </w:p>
  </w:footnote>
  <w:footnote w:id="28">
    <w:p w:rsidR="008F34DD" w:rsidRPr="008F34DD" w:rsidRDefault="008F34DD">
      <w:pPr>
        <w:pStyle w:val="FootnoteText"/>
        <w:rPr>
          <w:lang w:val="en-GB"/>
        </w:rPr>
      </w:pPr>
      <w:r>
        <w:rPr>
          <w:rStyle w:val="FootnoteReference"/>
        </w:rPr>
        <w:footnoteRef/>
      </w:r>
      <w:r>
        <w:t xml:space="preserve"> </w:t>
      </w:r>
      <w:r w:rsidRPr="00557AE2">
        <w:rPr>
          <w:rFonts w:ascii="Arial" w:hAnsi="Arial" w:cs="Arial"/>
          <w:i/>
        </w:rPr>
        <w:t xml:space="preserve">Giant Concerts CC v </w:t>
      </w:r>
      <w:proofErr w:type="spellStart"/>
      <w:r w:rsidRPr="00557AE2">
        <w:rPr>
          <w:rFonts w:ascii="Arial" w:hAnsi="Arial" w:cs="Arial"/>
          <w:i/>
        </w:rPr>
        <w:t>Rinaldo</w:t>
      </w:r>
      <w:proofErr w:type="spellEnd"/>
      <w:r w:rsidRPr="00557AE2">
        <w:rPr>
          <w:rFonts w:ascii="Arial" w:hAnsi="Arial" w:cs="Arial"/>
          <w:i/>
        </w:rPr>
        <w:t xml:space="preserve"> Investments (Pty) Ltd and others</w:t>
      </w:r>
      <w:r w:rsidRPr="00557AE2">
        <w:rPr>
          <w:rFonts w:ascii="Arial" w:hAnsi="Arial" w:cs="Arial"/>
        </w:rPr>
        <w:t xml:space="preserve"> [2012] ZACC 28</w:t>
      </w:r>
      <w:proofErr w:type="gramStart"/>
      <w:r w:rsidRPr="00557AE2">
        <w:rPr>
          <w:rFonts w:ascii="Arial" w:hAnsi="Arial" w:cs="Arial"/>
        </w:rPr>
        <w:t>;</w:t>
      </w:r>
      <w:proofErr w:type="gramEnd"/>
      <w:r w:rsidRPr="00557AE2">
        <w:rPr>
          <w:rFonts w:ascii="Arial" w:hAnsi="Arial" w:cs="Arial"/>
        </w:rPr>
        <w:t xml:space="preserve"> 2013 (3) BCLR 251 (CC)</w:t>
      </w:r>
      <w:r>
        <w:rPr>
          <w:rFonts w:ascii="Arial" w:hAnsi="Arial" w:cs="Arial"/>
        </w:rPr>
        <w:t xml:space="preserve"> para 34.</w:t>
      </w:r>
    </w:p>
  </w:footnote>
  <w:footnote w:id="29">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proofErr w:type="spellStart"/>
      <w:r w:rsidRPr="00557AE2">
        <w:rPr>
          <w:rFonts w:ascii="Arial" w:hAnsi="Arial" w:cs="Arial"/>
          <w:i/>
        </w:rPr>
        <w:t>Caesarstone</w:t>
      </w:r>
      <w:proofErr w:type="spellEnd"/>
      <w:r w:rsidRPr="00557AE2">
        <w:rPr>
          <w:rFonts w:ascii="Arial" w:hAnsi="Arial" w:cs="Arial"/>
          <w:i/>
        </w:rPr>
        <w:t xml:space="preserve"> </w:t>
      </w:r>
      <w:proofErr w:type="spellStart"/>
      <w:r w:rsidRPr="00557AE2">
        <w:rPr>
          <w:rFonts w:ascii="Arial" w:hAnsi="Arial" w:cs="Arial"/>
          <w:i/>
        </w:rPr>
        <w:t>Sdot</w:t>
      </w:r>
      <w:proofErr w:type="spellEnd"/>
      <w:r w:rsidRPr="00557AE2">
        <w:rPr>
          <w:rFonts w:ascii="Arial" w:hAnsi="Arial" w:cs="Arial"/>
          <w:i/>
        </w:rPr>
        <w:t>-Yam Ltd v World of Marble and Granite</w:t>
      </w:r>
      <w:r w:rsidRPr="00557AE2">
        <w:rPr>
          <w:rFonts w:ascii="Arial" w:hAnsi="Arial" w:cs="Arial"/>
        </w:rPr>
        <w:t xml:space="preserve"> [2013] ZASCA 129</w:t>
      </w:r>
      <w:proofErr w:type="gramStart"/>
      <w:r w:rsidRPr="00557AE2">
        <w:rPr>
          <w:rFonts w:ascii="Arial" w:hAnsi="Arial" w:cs="Arial"/>
        </w:rPr>
        <w:t>;</w:t>
      </w:r>
      <w:proofErr w:type="gramEnd"/>
      <w:r w:rsidRPr="00557AE2">
        <w:rPr>
          <w:rFonts w:ascii="Arial" w:hAnsi="Arial" w:cs="Arial"/>
        </w:rPr>
        <w:t xml:space="preserve"> 2013 (6) SA 499 (SCA) paras 2-4.</w:t>
      </w:r>
    </w:p>
  </w:footnote>
  <w:footnote w:id="30">
    <w:p w:rsidR="004B393F" w:rsidRPr="00557AE2" w:rsidRDefault="004B393F" w:rsidP="00A878B4">
      <w:pPr>
        <w:pStyle w:val="FootnoteText"/>
        <w:contextualSpacing/>
        <w:jc w:val="both"/>
        <w:rPr>
          <w:rFonts w:ascii="Arial" w:hAnsi="Arial" w:cs="Arial"/>
          <w:lang w:val="en-GB"/>
        </w:rPr>
      </w:pPr>
      <w:r w:rsidRPr="00557AE2">
        <w:rPr>
          <w:rStyle w:val="FootnoteReference"/>
          <w:rFonts w:ascii="Arial" w:hAnsi="Arial" w:cs="Arial"/>
        </w:rPr>
        <w:footnoteRef/>
      </w:r>
      <w:r w:rsidRPr="00557AE2">
        <w:rPr>
          <w:rFonts w:ascii="Arial" w:hAnsi="Arial" w:cs="Arial"/>
        </w:rPr>
        <w:t xml:space="preserve"> </w:t>
      </w:r>
      <w:proofErr w:type="spellStart"/>
      <w:r w:rsidRPr="00557AE2">
        <w:rPr>
          <w:rFonts w:ascii="Arial" w:hAnsi="Arial" w:cs="Arial"/>
          <w:i/>
        </w:rPr>
        <w:t>Socratous</w:t>
      </w:r>
      <w:proofErr w:type="spellEnd"/>
      <w:r w:rsidRPr="00557AE2">
        <w:rPr>
          <w:rFonts w:ascii="Arial" w:hAnsi="Arial" w:cs="Arial"/>
          <w:i/>
        </w:rPr>
        <w:t xml:space="preserve"> v Grindstone Investments </w:t>
      </w:r>
      <w:r w:rsidRPr="00557AE2">
        <w:rPr>
          <w:rFonts w:ascii="Arial" w:hAnsi="Arial" w:cs="Arial"/>
        </w:rPr>
        <w:t>[2011] ZASCA 8</w:t>
      </w:r>
      <w:proofErr w:type="gramStart"/>
      <w:r w:rsidRPr="00557AE2">
        <w:rPr>
          <w:rFonts w:ascii="Arial" w:hAnsi="Arial" w:cs="Arial"/>
          <w:i/>
        </w:rPr>
        <w:t>;</w:t>
      </w:r>
      <w:proofErr w:type="gramEnd"/>
      <w:r w:rsidRPr="00557AE2">
        <w:rPr>
          <w:rFonts w:ascii="Arial" w:hAnsi="Arial" w:cs="Arial"/>
          <w:i/>
        </w:rPr>
        <w:t xml:space="preserve"> </w:t>
      </w:r>
      <w:r w:rsidRPr="00557AE2">
        <w:rPr>
          <w:rFonts w:ascii="Arial" w:hAnsi="Arial" w:cs="Arial"/>
        </w:rPr>
        <w:t>2011 (6) SA 325 (SCA) para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975462"/>
      <w:docPartObj>
        <w:docPartGallery w:val="Page Numbers (Top of Page)"/>
        <w:docPartUnique/>
      </w:docPartObj>
    </w:sdtPr>
    <w:sdtEndPr>
      <w:rPr>
        <w:rFonts w:ascii="Arial" w:hAnsi="Arial" w:cs="Arial"/>
        <w:noProof/>
        <w:sz w:val="24"/>
      </w:rPr>
    </w:sdtEndPr>
    <w:sdtContent>
      <w:p w:rsidR="004B393F" w:rsidRPr="00682411" w:rsidRDefault="004B393F">
        <w:pPr>
          <w:pStyle w:val="Header"/>
          <w:jc w:val="right"/>
          <w:rPr>
            <w:rFonts w:ascii="Arial" w:hAnsi="Arial" w:cs="Arial"/>
            <w:sz w:val="24"/>
          </w:rPr>
        </w:pPr>
        <w:r w:rsidRPr="00682411">
          <w:rPr>
            <w:rFonts w:ascii="Arial" w:hAnsi="Arial" w:cs="Arial"/>
            <w:sz w:val="24"/>
          </w:rPr>
          <w:fldChar w:fldCharType="begin"/>
        </w:r>
        <w:r w:rsidRPr="00682411">
          <w:rPr>
            <w:rFonts w:ascii="Arial" w:hAnsi="Arial" w:cs="Arial"/>
            <w:sz w:val="24"/>
          </w:rPr>
          <w:instrText xml:space="preserve"> PAGE   \* MERGEFORMAT </w:instrText>
        </w:r>
        <w:r w:rsidRPr="00682411">
          <w:rPr>
            <w:rFonts w:ascii="Arial" w:hAnsi="Arial" w:cs="Arial"/>
            <w:sz w:val="24"/>
          </w:rPr>
          <w:fldChar w:fldCharType="separate"/>
        </w:r>
        <w:r w:rsidR="00672062">
          <w:rPr>
            <w:rFonts w:ascii="Arial" w:hAnsi="Arial" w:cs="Arial"/>
            <w:noProof/>
            <w:sz w:val="24"/>
          </w:rPr>
          <w:t>21</w:t>
        </w:r>
        <w:r w:rsidRPr="00682411">
          <w:rPr>
            <w:rFonts w:ascii="Arial" w:hAnsi="Arial" w:cs="Arial"/>
            <w:noProof/>
            <w:sz w:val="24"/>
          </w:rPr>
          <w:fldChar w:fldCharType="end"/>
        </w:r>
      </w:p>
    </w:sdtContent>
  </w:sdt>
  <w:p w:rsidR="004B393F" w:rsidRDefault="004B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EEF"/>
    <w:multiLevelType w:val="hybridMultilevel"/>
    <w:tmpl w:val="71E28E5A"/>
    <w:lvl w:ilvl="0" w:tplc="8ECC9AE4">
      <w:start w:val="1"/>
      <w:numFmt w:val="decimal"/>
      <w:lvlText w:val="[%1]"/>
      <w:lvlJc w:val="left"/>
      <w:pPr>
        <w:ind w:left="720" w:hanging="360"/>
      </w:pPr>
      <w:rPr>
        <w:rFonts w:hint="default"/>
        <w:b w:val="0"/>
      </w:rPr>
    </w:lvl>
    <w:lvl w:ilvl="1" w:tplc="A238E994">
      <w:start w:val="1"/>
      <w:numFmt w:val="lowerLetter"/>
      <w:lvlText w:val="(%2)"/>
      <w:lvlJc w:val="left"/>
      <w:pPr>
        <w:ind w:left="1440" w:hanging="360"/>
      </w:pPr>
      <w:rPr>
        <w:rFonts w:hint="default"/>
      </w:rPr>
    </w:lvl>
    <w:lvl w:ilvl="2" w:tplc="161E016C">
      <w:start w:val="1"/>
      <w:numFmt w:val="lowerLetter"/>
      <w:lvlText w:val="(%3)"/>
      <w:lvlJc w:val="left"/>
      <w:pPr>
        <w:ind w:left="2700" w:hanging="720"/>
      </w:pPr>
      <w:rPr>
        <w:rFonts w:hint="default"/>
      </w:rPr>
    </w:lvl>
    <w:lvl w:ilvl="3" w:tplc="DCA41282">
      <w:start w:val="1"/>
      <w:numFmt w:val="lowerLetter"/>
      <w:lvlText w:val="%4)"/>
      <w:lvlJc w:val="left"/>
      <w:pPr>
        <w:ind w:left="3240" w:hanging="720"/>
      </w:pPr>
      <w:rPr>
        <w:rFonts w:hint="default"/>
      </w:rPr>
    </w:lvl>
    <w:lvl w:ilvl="4" w:tplc="4D225E9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C1"/>
    <w:rsid w:val="0000268B"/>
    <w:rsid w:val="00014250"/>
    <w:rsid w:val="000156DB"/>
    <w:rsid w:val="00020C4C"/>
    <w:rsid w:val="0002189A"/>
    <w:rsid w:val="00032BA9"/>
    <w:rsid w:val="00035167"/>
    <w:rsid w:val="00084B6E"/>
    <w:rsid w:val="00086CF7"/>
    <w:rsid w:val="00092D02"/>
    <w:rsid w:val="000C3662"/>
    <w:rsid w:val="000F565D"/>
    <w:rsid w:val="001007FF"/>
    <w:rsid w:val="00136619"/>
    <w:rsid w:val="00142295"/>
    <w:rsid w:val="0014491C"/>
    <w:rsid w:val="0015389E"/>
    <w:rsid w:val="00160464"/>
    <w:rsid w:val="00177490"/>
    <w:rsid w:val="001872B8"/>
    <w:rsid w:val="001A12DB"/>
    <w:rsid w:val="001A265E"/>
    <w:rsid w:val="001A49F9"/>
    <w:rsid w:val="001E2391"/>
    <w:rsid w:val="001E65AC"/>
    <w:rsid w:val="001F2E2A"/>
    <w:rsid w:val="00212E8B"/>
    <w:rsid w:val="0021512F"/>
    <w:rsid w:val="00217258"/>
    <w:rsid w:val="002265F8"/>
    <w:rsid w:val="00227A23"/>
    <w:rsid w:val="002452CD"/>
    <w:rsid w:val="00253822"/>
    <w:rsid w:val="002547E4"/>
    <w:rsid w:val="00256FDB"/>
    <w:rsid w:val="00270E4A"/>
    <w:rsid w:val="002752D7"/>
    <w:rsid w:val="00284FF5"/>
    <w:rsid w:val="00294472"/>
    <w:rsid w:val="00296FCC"/>
    <w:rsid w:val="002C4E2F"/>
    <w:rsid w:val="002D5D1E"/>
    <w:rsid w:val="00300705"/>
    <w:rsid w:val="003016F3"/>
    <w:rsid w:val="00305DEC"/>
    <w:rsid w:val="003337D9"/>
    <w:rsid w:val="00390494"/>
    <w:rsid w:val="003B780D"/>
    <w:rsid w:val="003D520D"/>
    <w:rsid w:val="003E618B"/>
    <w:rsid w:val="003F16CC"/>
    <w:rsid w:val="004069C0"/>
    <w:rsid w:val="00412095"/>
    <w:rsid w:val="00426CD5"/>
    <w:rsid w:val="00427EA2"/>
    <w:rsid w:val="004329A2"/>
    <w:rsid w:val="00465742"/>
    <w:rsid w:val="004A0ABC"/>
    <w:rsid w:val="004A32B9"/>
    <w:rsid w:val="004B28C9"/>
    <w:rsid w:val="004B393F"/>
    <w:rsid w:val="004C289F"/>
    <w:rsid w:val="004D5E83"/>
    <w:rsid w:val="004F2069"/>
    <w:rsid w:val="00501462"/>
    <w:rsid w:val="0051247F"/>
    <w:rsid w:val="00557AE2"/>
    <w:rsid w:val="005756BB"/>
    <w:rsid w:val="00576720"/>
    <w:rsid w:val="00596181"/>
    <w:rsid w:val="005A6166"/>
    <w:rsid w:val="005C2720"/>
    <w:rsid w:val="005C4AA9"/>
    <w:rsid w:val="005D3840"/>
    <w:rsid w:val="005E30B6"/>
    <w:rsid w:val="005F6003"/>
    <w:rsid w:val="00633767"/>
    <w:rsid w:val="006443B9"/>
    <w:rsid w:val="006449C8"/>
    <w:rsid w:val="006612EE"/>
    <w:rsid w:val="00672062"/>
    <w:rsid w:val="00682411"/>
    <w:rsid w:val="00682524"/>
    <w:rsid w:val="006D3139"/>
    <w:rsid w:val="006D6776"/>
    <w:rsid w:val="006E6734"/>
    <w:rsid w:val="00703BE9"/>
    <w:rsid w:val="0071504B"/>
    <w:rsid w:val="00743E33"/>
    <w:rsid w:val="00772DBD"/>
    <w:rsid w:val="00785BEB"/>
    <w:rsid w:val="0079405D"/>
    <w:rsid w:val="007A37B1"/>
    <w:rsid w:val="007B5AE9"/>
    <w:rsid w:val="007C2AEA"/>
    <w:rsid w:val="007F1E7C"/>
    <w:rsid w:val="00840C39"/>
    <w:rsid w:val="00842603"/>
    <w:rsid w:val="00847EF0"/>
    <w:rsid w:val="00852BEB"/>
    <w:rsid w:val="00866641"/>
    <w:rsid w:val="00870E25"/>
    <w:rsid w:val="00876F58"/>
    <w:rsid w:val="00877BEA"/>
    <w:rsid w:val="008855FB"/>
    <w:rsid w:val="00887B98"/>
    <w:rsid w:val="008938E9"/>
    <w:rsid w:val="00897236"/>
    <w:rsid w:val="008C26CC"/>
    <w:rsid w:val="008C2716"/>
    <w:rsid w:val="008C2C11"/>
    <w:rsid w:val="008E4B1A"/>
    <w:rsid w:val="008F0BBA"/>
    <w:rsid w:val="008F0DC5"/>
    <w:rsid w:val="008F34DD"/>
    <w:rsid w:val="00917EE5"/>
    <w:rsid w:val="00930A59"/>
    <w:rsid w:val="009373EF"/>
    <w:rsid w:val="009720C1"/>
    <w:rsid w:val="00974937"/>
    <w:rsid w:val="009A19DF"/>
    <w:rsid w:val="009A33E3"/>
    <w:rsid w:val="009B4414"/>
    <w:rsid w:val="009B5391"/>
    <w:rsid w:val="009C6663"/>
    <w:rsid w:val="009E4770"/>
    <w:rsid w:val="00A151EB"/>
    <w:rsid w:val="00A2716A"/>
    <w:rsid w:val="00A379C8"/>
    <w:rsid w:val="00A640F0"/>
    <w:rsid w:val="00A7289C"/>
    <w:rsid w:val="00A809C6"/>
    <w:rsid w:val="00A81338"/>
    <w:rsid w:val="00A878B4"/>
    <w:rsid w:val="00A94741"/>
    <w:rsid w:val="00AA5DEB"/>
    <w:rsid w:val="00AB38F6"/>
    <w:rsid w:val="00AC7F8B"/>
    <w:rsid w:val="00B01BC4"/>
    <w:rsid w:val="00B04272"/>
    <w:rsid w:val="00B15BF8"/>
    <w:rsid w:val="00B2294D"/>
    <w:rsid w:val="00B258AE"/>
    <w:rsid w:val="00B339E6"/>
    <w:rsid w:val="00B34517"/>
    <w:rsid w:val="00B42BAA"/>
    <w:rsid w:val="00B44384"/>
    <w:rsid w:val="00B53B11"/>
    <w:rsid w:val="00B63B9F"/>
    <w:rsid w:val="00B7625C"/>
    <w:rsid w:val="00B804C0"/>
    <w:rsid w:val="00B8396C"/>
    <w:rsid w:val="00B93AFA"/>
    <w:rsid w:val="00BA5D16"/>
    <w:rsid w:val="00BA66CE"/>
    <w:rsid w:val="00BD519E"/>
    <w:rsid w:val="00BE3C79"/>
    <w:rsid w:val="00BE7769"/>
    <w:rsid w:val="00BF2977"/>
    <w:rsid w:val="00C025C6"/>
    <w:rsid w:val="00C03A88"/>
    <w:rsid w:val="00C306F7"/>
    <w:rsid w:val="00C474BC"/>
    <w:rsid w:val="00C51D01"/>
    <w:rsid w:val="00C74066"/>
    <w:rsid w:val="00CA3EB8"/>
    <w:rsid w:val="00CB4CF0"/>
    <w:rsid w:val="00CD04C8"/>
    <w:rsid w:val="00CD7F6B"/>
    <w:rsid w:val="00CE6539"/>
    <w:rsid w:val="00CF1769"/>
    <w:rsid w:val="00CF27FE"/>
    <w:rsid w:val="00D01A2F"/>
    <w:rsid w:val="00D03847"/>
    <w:rsid w:val="00D03B04"/>
    <w:rsid w:val="00D5652A"/>
    <w:rsid w:val="00D72AD9"/>
    <w:rsid w:val="00D819C7"/>
    <w:rsid w:val="00DC37D6"/>
    <w:rsid w:val="00DC5E7B"/>
    <w:rsid w:val="00DD11BC"/>
    <w:rsid w:val="00DE598B"/>
    <w:rsid w:val="00DF392E"/>
    <w:rsid w:val="00E0274E"/>
    <w:rsid w:val="00E029F0"/>
    <w:rsid w:val="00E2503B"/>
    <w:rsid w:val="00E272EC"/>
    <w:rsid w:val="00E42191"/>
    <w:rsid w:val="00E433AA"/>
    <w:rsid w:val="00E53382"/>
    <w:rsid w:val="00E546B1"/>
    <w:rsid w:val="00E76667"/>
    <w:rsid w:val="00E91569"/>
    <w:rsid w:val="00EA33EC"/>
    <w:rsid w:val="00EE57F0"/>
    <w:rsid w:val="00EF76FA"/>
    <w:rsid w:val="00EF7D3A"/>
    <w:rsid w:val="00F24C90"/>
    <w:rsid w:val="00F656E6"/>
    <w:rsid w:val="00F65D8A"/>
    <w:rsid w:val="00F65F6E"/>
    <w:rsid w:val="00F67A74"/>
    <w:rsid w:val="00F8152A"/>
    <w:rsid w:val="00F84D7A"/>
    <w:rsid w:val="00F92551"/>
    <w:rsid w:val="00FA5DFB"/>
    <w:rsid w:val="00FA67F4"/>
    <w:rsid w:val="00FB04A9"/>
    <w:rsid w:val="00FB45F5"/>
    <w:rsid w:val="00FC3C82"/>
    <w:rsid w:val="00FD4CD4"/>
    <w:rsid w:val="00FE082E"/>
    <w:rsid w:val="00FE20C2"/>
    <w:rsid w:val="00FE2109"/>
    <w:rsid w:val="00FF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9D61"/>
  <w15:docId w15:val="{1B4CF174-2CF7-4CB5-8BEE-4B4F7309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095"/>
  </w:style>
  <w:style w:type="paragraph" w:styleId="Footer">
    <w:name w:val="footer"/>
    <w:basedOn w:val="Normal"/>
    <w:link w:val="FooterChar"/>
    <w:uiPriority w:val="99"/>
    <w:unhideWhenUsed/>
    <w:rsid w:val="0041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095"/>
  </w:style>
  <w:style w:type="paragraph" w:styleId="BalloonText">
    <w:name w:val="Balloon Text"/>
    <w:basedOn w:val="Normal"/>
    <w:link w:val="BalloonTextChar"/>
    <w:uiPriority w:val="99"/>
    <w:semiHidden/>
    <w:unhideWhenUsed/>
    <w:rsid w:val="00703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E9"/>
    <w:rPr>
      <w:rFonts w:ascii="Segoe UI" w:hAnsi="Segoe UI" w:cs="Segoe UI"/>
      <w:sz w:val="18"/>
      <w:szCs w:val="18"/>
    </w:rPr>
  </w:style>
  <w:style w:type="character" w:styleId="Hyperlink">
    <w:name w:val="Hyperlink"/>
    <w:basedOn w:val="DefaultParagraphFont"/>
    <w:uiPriority w:val="99"/>
    <w:unhideWhenUsed/>
    <w:rsid w:val="00A2716A"/>
    <w:rPr>
      <w:color w:val="0563C1" w:themeColor="hyperlink"/>
      <w:u w:val="single"/>
    </w:rPr>
  </w:style>
  <w:style w:type="paragraph" w:styleId="ListParagraph">
    <w:name w:val="List Paragraph"/>
    <w:basedOn w:val="Normal"/>
    <w:uiPriority w:val="34"/>
    <w:qFormat/>
    <w:rsid w:val="008F0BBA"/>
    <w:pPr>
      <w:ind w:left="720"/>
      <w:contextualSpacing/>
    </w:pPr>
  </w:style>
  <w:style w:type="paragraph" w:styleId="FootnoteText">
    <w:name w:val="footnote text"/>
    <w:basedOn w:val="Normal"/>
    <w:link w:val="FootnoteTextChar"/>
    <w:uiPriority w:val="99"/>
    <w:semiHidden/>
    <w:unhideWhenUsed/>
    <w:rsid w:val="00501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462"/>
    <w:rPr>
      <w:sz w:val="20"/>
      <w:szCs w:val="20"/>
    </w:rPr>
  </w:style>
  <w:style w:type="character" w:styleId="FootnoteReference">
    <w:name w:val="footnote reference"/>
    <w:basedOn w:val="DefaultParagraphFont"/>
    <w:uiPriority w:val="99"/>
    <w:semiHidden/>
    <w:unhideWhenUsed/>
    <w:rsid w:val="00501462"/>
    <w:rPr>
      <w:vertAlign w:val="superscript"/>
    </w:rPr>
  </w:style>
  <w:style w:type="paragraph" w:styleId="NormalWeb">
    <w:name w:val="Normal (Web)"/>
    <w:basedOn w:val="Normal"/>
    <w:uiPriority w:val="99"/>
    <w:semiHidden/>
    <w:unhideWhenUsed/>
    <w:rsid w:val="004A32B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0274E"/>
    <w:rPr>
      <w:sz w:val="16"/>
      <w:szCs w:val="16"/>
    </w:rPr>
  </w:style>
  <w:style w:type="paragraph" w:styleId="CommentText">
    <w:name w:val="annotation text"/>
    <w:basedOn w:val="Normal"/>
    <w:link w:val="CommentTextChar"/>
    <w:uiPriority w:val="99"/>
    <w:semiHidden/>
    <w:unhideWhenUsed/>
    <w:rsid w:val="00E0274E"/>
    <w:pPr>
      <w:spacing w:line="240" w:lineRule="auto"/>
    </w:pPr>
    <w:rPr>
      <w:sz w:val="20"/>
      <w:szCs w:val="20"/>
    </w:rPr>
  </w:style>
  <w:style w:type="character" w:customStyle="1" w:styleId="CommentTextChar">
    <w:name w:val="Comment Text Char"/>
    <w:basedOn w:val="DefaultParagraphFont"/>
    <w:link w:val="CommentText"/>
    <w:uiPriority w:val="99"/>
    <w:semiHidden/>
    <w:rsid w:val="00E0274E"/>
    <w:rPr>
      <w:sz w:val="20"/>
      <w:szCs w:val="20"/>
    </w:rPr>
  </w:style>
  <w:style w:type="paragraph" w:styleId="CommentSubject">
    <w:name w:val="annotation subject"/>
    <w:basedOn w:val="CommentText"/>
    <w:next w:val="CommentText"/>
    <w:link w:val="CommentSubjectChar"/>
    <w:uiPriority w:val="99"/>
    <w:semiHidden/>
    <w:unhideWhenUsed/>
    <w:rsid w:val="00E0274E"/>
    <w:rPr>
      <w:b/>
      <w:bCs/>
    </w:rPr>
  </w:style>
  <w:style w:type="character" w:customStyle="1" w:styleId="CommentSubjectChar">
    <w:name w:val="Comment Subject Char"/>
    <w:basedOn w:val="CommentTextChar"/>
    <w:link w:val="CommentSubject"/>
    <w:uiPriority w:val="99"/>
    <w:semiHidden/>
    <w:rsid w:val="00E027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heNtsele@justice.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anne.prm@worldonlin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m@worldonline.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mayak@stowell.co.za" TargetMode="External"/><Relationship Id="rId4" Type="http://schemas.openxmlformats.org/officeDocument/2006/relationships/settings" Target="settings.xml"/><Relationship Id="rId9" Type="http://schemas.openxmlformats.org/officeDocument/2006/relationships/hyperlink" Target="mailto:amish.k@fwblaw.co.z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311D-4C95-4108-8B2E-22FE9E12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8707</Words>
  <Characters>49635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Rautenbach</dc:creator>
  <cp:lastModifiedBy>L Rautenbach</cp:lastModifiedBy>
  <cp:revision>4</cp:revision>
  <cp:lastPrinted>2022-12-07T07:50:00Z</cp:lastPrinted>
  <dcterms:created xsi:type="dcterms:W3CDTF">2022-12-07T07:50:00Z</dcterms:created>
  <dcterms:modified xsi:type="dcterms:W3CDTF">2022-12-15T11:29:00Z</dcterms:modified>
</cp:coreProperties>
</file>