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1F" w:rsidRPr="00720F24" w:rsidRDefault="0043001F" w:rsidP="0043001F">
      <w:pPr>
        <w:pBdr>
          <w:top w:val="single" w:sz="6" w:space="0" w:color="FFFFFF"/>
          <w:left w:val="single" w:sz="6" w:space="0" w:color="FFFFFF"/>
          <w:bottom w:val="single" w:sz="6" w:space="0" w:color="FFFFFF"/>
          <w:right w:val="single" w:sz="6" w:space="0" w:color="FFFFFF"/>
        </w:pBdr>
        <w:jc w:val="center"/>
        <w:rPr>
          <w:b/>
        </w:rPr>
      </w:pPr>
      <w:r w:rsidRPr="00720F24">
        <w:rPr>
          <w:noProof/>
        </w:rPr>
        <w:drawing>
          <wp:inline distT="0" distB="0" distL="0" distR="0" wp14:anchorId="2828CB66" wp14:editId="400FD2C2">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3001F" w:rsidRPr="00720F24" w:rsidRDefault="0043001F" w:rsidP="0043001F">
      <w:pPr>
        <w:tabs>
          <w:tab w:val="center" w:pos="1396"/>
        </w:tabs>
        <w:spacing w:after="58"/>
        <w:jc w:val="center"/>
        <w:rPr>
          <w:rFonts w:ascii="Arial" w:hAnsi="Arial" w:cs="Arial"/>
          <w:b/>
        </w:rPr>
      </w:pPr>
      <w:r w:rsidRPr="00720F24">
        <w:rPr>
          <w:rFonts w:ascii="Arial" w:hAnsi="Arial" w:cs="Arial"/>
          <w:b/>
        </w:rPr>
        <w:t>REPUBLIC OF SOUTH AFRICA</w:t>
      </w:r>
    </w:p>
    <w:p w:rsidR="0043001F" w:rsidRPr="00720F24" w:rsidRDefault="0043001F" w:rsidP="0043001F">
      <w:pPr>
        <w:pBdr>
          <w:top w:val="single" w:sz="6" w:space="0" w:color="FFFFFF"/>
          <w:left w:val="single" w:sz="6" w:space="0" w:color="FFFFFF"/>
          <w:bottom w:val="single" w:sz="6" w:space="0" w:color="FFFFFF"/>
          <w:right w:val="single" w:sz="6" w:space="0" w:color="FFFFFF"/>
        </w:pBdr>
        <w:jc w:val="center"/>
      </w:pPr>
      <w:r w:rsidRPr="00720F24">
        <w:rPr>
          <w:rFonts w:ascii="Arial" w:hAnsi="Arial" w:cs="Arial"/>
          <w:b/>
        </w:rPr>
        <w:t>KWAZULU-NATAL HIGH COURTS</w:t>
      </w:r>
    </w:p>
    <w:p w:rsidR="0043001F" w:rsidRDefault="0043001F" w:rsidP="00387B3D">
      <w:pPr>
        <w:spacing w:line="480" w:lineRule="auto"/>
        <w:jc w:val="both"/>
        <w:rPr>
          <w:rFonts w:ascii="Arial" w:hAnsi="Arial" w:cs="Arial"/>
          <w:b/>
          <w:sz w:val="24"/>
          <w:szCs w:val="24"/>
          <w:lang w:val="en-GB"/>
        </w:rPr>
      </w:pPr>
    </w:p>
    <w:p w:rsidR="00832852" w:rsidRDefault="00387B3D" w:rsidP="00387B3D">
      <w:pPr>
        <w:spacing w:line="480" w:lineRule="auto"/>
        <w:jc w:val="both"/>
        <w:rPr>
          <w:rFonts w:ascii="Arial" w:hAnsi="Arial" w:cs="Arial"/>
          <w:b/>
          <w:sz w:val="24"/>
          <w:szCs w:val="24"/>
          <w:lang w:val="en-GB"/>
        </w:rPr>
      </w:pPr>
      <w:r>
        <w:rPr>
          <w:rFonts w:ascii="Arial" w:hAnsi="Arial" w:cs="Arial"/>
          <w:b/>
          <w:sz w:val="24"/>
          <w:szCs w:val="24"/>
          <w:lang w:val="en-GB"/>
        </w:rPr>
        <w:t>IN THE HIGH COURT OF SOUTH AFRICA</w:t>
      </w:r>
    </w:p>
    <w:p w:rsidR="00387B3D" w:rsidRDefault="00387B3D" w:rsidP="00387B3D">
      <w:pPr>
        <w:spacing w:line="480" w:lineRule="auto"/>
        <w:jc w:val="both"/>
        <w:rPr>
          <w:rFonts w:ascii="Arial" w:hAnsi="Arial" w:cs="Arial"/>
          <w:b/>
          <w:sz w:val="24"/>
          <w:szCs w:val="24"/>
          <w:lang w:val="en-GB"/>
        </w:rPr>
      </w:pPr>
      <w:r>
        <w:rPr>
          <w:rFonts w:ascii="Arial" w:hAnsi="Arial" w:cs="Arial"/>
          <w:b/>
          <w:sz w:val="24"/>
          <w:szCs w:val="24"/>
          <w:lang w:val="en-GB"/>
        </w:rPr>
        <w:t xml:space="preserve">KWAZULU-NATAL DIVISION, PIETERMARITZBURG </w:t>
      </w:r>
    </w:p>
    <w:p w:rsidR="00387B3D" w:rsidRDefault="00387B3D" w:rsidP="00926E84">
      <w:pPr>
        <w:spacing w:line="48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926E84">
        <w:rPr>
          <w:rFonts w:ascii="Arial" w:hAnsi="Arial" w:cs="Arial"/>
          <w:b/>
          <w:sz w:val="24"/>
          <w:szCs w:val="24"/>
          <w:lang w:val="en-GB"/>
        </w:rPr>
        <w:t xml:space="preserve">   </w:t>
      </w:r>
      <w:r w:rsidR="00596EFB">
        <w:rPr>
          <w:rFonts w:ascii="Arial" w:hAnsi="Arial" w:cs="Arial"/>
          <w:b/>
          <w:sz w:val="24"/>
          <w:szCs w:val="24"/>
          <w:lang w:val="en-GB"/>
        </w:rPr>
        <w:t xml:space="preserve">  </w:t>
      </w:r>
      <w:r>
        <w:rPr>
          <w:rFonts w:ascii="Arial" w:hAnsi="Arial" w:cs="Arial"/>
          <w:b/>
          <w:sz w:val="24"/>
          <w:szCs w:val="24"/>
          <w:lang w:val="en-GB"/>
        </w:rPr>
        <w:t>CASE NUMBER:  12504/2022P</w:t>
      </w:r>
    </w:p>
    <w:p w:rsidR="00387B3D" w:rsidRDefault="00387B3D" w:rsidP="00387B3D">
      <w:pPr>
        <w:spacing w:line="480" w:lineRule="auto"/>
        <w:jc w:val="both"/>
        <w:rPr>
          <w:rFonts w:ascii="Arial" w:hAnsi="Arial" w:cs="Arial"/>
          <w:b/>
          <w:sz w:val="24"/>
          <w:szCs w:val="24"/>
          <w:lang w:val="en-GB"/>
        </w:rPr>
      </w:pPr>
      <w:r>
        <w:rPr>
          <w:rFonts w:ascii="Arial" w:hAnsi="Arial" w:cs="Arial"/>
          <w:b/>
          <w:sz w:val="24"/>
          <w:szCs w:val="24"/>
          <w:lang w:val="en-GB"/>
        </w:rPr>
        <w:t>R</w:t>
      </w:r>
      <w:r w:rsidR="0059054A">
        <w:rPr>
          <w:rFonts w:ascii="Arial" w:hAnsi="Arial" w:cs="Arial"/>
          <w:b/>
          <w:sz w:val="24"/>
          <w:szCs w:val="24"/>
          <w:lang w:val="en-GB"/>
        </w:rPr>
        <w:t>OBERT</w:t>
      </w:r>
      <w:r>
        <w:rPr>
          <w:rFonts w:ascii="Arial" w:hAnsi="Arial" w:cs="Arial"/>
          <w:b/>
          <w:sz w:val="24"/>
          <w:szCs w:val="24"/>
          <w:lang w:val="en-GB"/>
        </w:rPr>
        <w:t xml:space="preserve"> A</w:t>
      </w:r>
      <w:r w:rsidR="0059054A">
        <w:rPr>
          <w:rFonts w:ascii="Arial" w:hAnsi="Arial" w:cs="Arial"/>
          <w:b/>
          <w:sz w:val="24"/>
          <w:szCs w:val="24"/>
          <w:lang w:val="en-GB"/>
        </w:rPr>
        <w:t>NTHONY</w:t>
      </w:r>
      <w:r>
        <w:rPr>
          <w:rFonts w:ascii="Arial" w:hAnsi="Arial" w:cs="Arial"/>
          <w:b/>
          <w:sz w:val="24"/>
          <w:szCs w:val="24"/>
          <w:lang w:val="en-GB"/>
        </w:rPr>
        <w:t xml:space="preserve"> LE SUEUR</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596EFB">
        <w:rPr>
          <w:rFonts w:ascii="Arial" w:hAnsi="Arial" w:cs="Arial"/>
          <w:b/>
          <w:sz w:val="24"/>
          <w:szCs w:val="24"/>
          <w:lang w:val="en-GB"/>
        </w:rPr>
        <w:t xml:space="preserve">   </w:t>
      </w:r>
      <w:r>
        <w:rPr>
          <w:rFonts w:ascii="Arial" w:hAnsi="Arial" w:cs="Arial"/>
          <w:b/>
          <w:sz w:val="24"/>
          <w:szCs w:val="24"/>
          <w:lang w:val="en-GB"/>
        </w:rPr>
        <w:t>APPLICANT</w:t>
      </w:r>
    </w:p>
    <w:p w:rsidR="00387B3D" w:rsidRDefault="00387B3D" w:rsidP="00387B3D">
      <w:pPr>
        <w:spacing w:line="480" w:lineRule="auto"/>
        <w:jc w:val="both"/>
        <w:rPr>
          <w:rFonts w:ascii="Arial" w:hAnsi="Arial" w:cs="Arial"/>
          <w:b/>
          <w:sz w:val="24"/>
          <w:szCs w:val="24"/>
          <w:lang w:val="en-GB"/>
        </w:rPr>
      </w:pPr>
    </w:p>
    <w:p w:rsidR="00387B3D" w:rsidRDefault="0059054A" w:rsidP="00387B3D">
      <w:pPr>
        <w:spacing w:line="480" w:lineRule="auto"/>
        <w:jc w:val="both"/>
        <w:rPr>
          <w:rFonts w:ascii="Arial" w:hAnsi="Arial" w:cs="Arial"/>
          <w:b/>
          <w:sz w:val="24"/>
          <w:szCs w:val="24"/>
          <w:lang w:val="en-GB"/>
        </w:rPr>
      </w:pPr>
      <w:r>
        <w:rPr>
          <w:rFonts w:ascii="Arial" w:hAnsi="Arial" w:cs="Arial"/>
          <w:b/>
          <w:sz w:val="24"/>
          <w:szCs w:val="24"/>
          <w:lang w:val="en-GB"/>
        </w:rPr>
        <w:t>and</w:t>
      </w:r>
    </w:p>
    <w:p w:rsidR="00387B3D" w:rsidRDefault="00387B3D" w:rsidP="00387B3D">
      <w:pPr>
        <w:spacing w:line="480" w:lineRule="auto"/>
        <w:jc w:val="both"/>
        <w:rPr>
          <w:rFonts w:ascii="Arial" w:hAnsi="Arial" w:cs="Arial"/>
          <w:b/>
          <w:sz w:val="24"/>
          <w:szCs w:val="24"/>
          <w:lang w:val="en-GB"/>
        </w:rPr>
      </w:pPr>
    </w:p>
    <w:p w:rsidR="0059054A" w:rsidRDefault="00387B3D" w:rsidP="0059054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R</w:t>
      </w:r>
      <w:r w:rsidR="0059054A">
        <w:rPr>
          <w:rFonts w:ascii="Arial" w:hAnsi="Arial" w:cs="Arial"/>
          <w:b/>
          <w:sz w:val="24"/>
          <w:szCs w:val="24"/>
          <w:lang w:val="en-GB"/>
        </w:rPr>
        <w:t>ODERICK</w:t>
      </w:r>
      <w:r>
        <w:rPr>
          <w:rFonts w:ascii="Arial" w:hAnsi="Arial" w:cs="Arial"/>
          <w:b/>
          <w:sz w:val="24"/>
          <w:szCs w:val="24"/>
          <w:lang w:val="en-GB"/>
        </w:rPr>
        <w:t xml:space="preserve"> </w:t>
      </w:r>
      <w:r w:rsidRPr="00FD5C68">
        <w:rPr>
          <w:rFonts w:ascii="Arial" w:hAnsi="Arial" w:cs="Arial"/>
          <w:b/>
          <w:sz w:val="24"/>
          <w:szCs w:val="24"/>
          <w:lang w:val="en-GB"/>
        </w:rPr>
        <w:t>R</w:t>
      </w:r>
      <w:r w:rsidR="0059054A" w:rsidRPr="00FD5C68">
        <w:rPr>
          <w:rFonts w:ascii="Arial" w:hAnsi="Arial" w:cs="Arial"/>
          <w:b/>
          <w:sz w:val="24"/>
          <w:szCs w:val="24"/>
          <w:lang w:val="en-GB"/>
        </w:rPr>
        <w:t>OBERT</w:t>
      </w:r>
      <w:r w:rsidRPr="00FD5C68">
        <w:rPr>
          <w:rFonts w:ascii="Arial" w:hAnsi="Arial" w:cs="Arial"/>
          <w:b/>
          <w:sz w:val="24"/>
          <w:szCs w:val="24"/>
          <w:lang w:val="en-GB"/>
        </w:rPr>
        <w:t xml:space="preserve"> STAINTON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59054A" w:rsidRDefault="0059054A" w:rsidP="0059054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IDENTITY NO. 690907 5030 086</w:t>
      </w:r>
    </w:p>
    <w:p w:rsidR="0059054A" w:rsidRDefault="0059054A" w:rsidP="0059054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DATE OF BIRTH: 7 SEPTEMBER 1969</w:t>
      </w:r>
    </w:p>
    <w:p w:rsidR="0059054A" w:rsidRDefault="0059054A" w:rsidP="0059054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MARRIED OUT OF COMMUNITY OF PROPERTY TO</w:t>
      </w:r>
    </w:p>
    <w:p w:rsidR="0059054A" w:rsidRDefault="0059054A" w:rsidP="0059054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LINDA-JANE STA</w:t>
      </w:r>
      <w:r w:rsidR="00596EFB">
        <w:rPr>
          <w:rFonts w:ascii="Arial" w:hAnsi="Arial" w:cs="Arial"/>
          <w:b/>
          <w:sz w:val="24"/>
          <w:szCs w:val="24"/>
          <w:lang w:val="en-GB"/>
        </w:rPr>
        <w:t>I</w:t>
      </w:r>
      <w:r>
        <w:rPr>
          <w:rFonts w:ascii="Arial" w:hAnsi="Arial" w:cs="Arial"/>
          <w:b/>
          <w:sz w:val="24"/>
          <w:szCs w:val="24"/>
          <w:lang w:val="en-GB"/>
        </w:rPr>
        <w:t>NTON</w:t>
      </w:r>
    </w:p>
    <w:p w:rsidR="0059054A" w:rsidRDefault="0059054A" w:rsidP="0059054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IDENTITY NO: 691204 0191 082</w:t>
      </w:r>
    </w:p>
    <w:p w:rsidR="0059054A" w:rsidRPr="0059054A" w:rsidRDefault="0059054A" w:rsidP="0059054A">
      <w:pPr>
        <w:pBdr>
          <w:bottom w:val="single" w:sz="12" w:space="1" w:color="auto"/>
        </w:pBdr>
        <w:spacing w:line="240" w:lineRule="auto"/>
        <w:jc w:val="right"/>
        <w:rPr>
          <w:rFonts w:ascii="Arial" w:hAnsi="Arial" w:cs="Arial"/>
          <w:bCs/>
          <w:sz w:val="24"/>
          <w:szCs w:val="24"/>
          <w:lang w:val="en-GB"/>
        </w:rPr>
      </w:pPr>
    </w:p>
    <w:p w:rsidR="00387B3D" w:rsidRDefault="00387B3D" w:rsidP="00387B3D">
      <w:pPr>
        <w:spacing w:line="480" w:lineRule="auto"/>
        <w:jc w:val="both"/>
        <w:rPr>
          <w:rFonts w:ascii="Arial" w:hAnsi="Arial" w:cs="Arial"/>
          <w:b/>
          <w:sz w:val="24"/>
          <w:szCs w:val="24"/>
          <w:lang w:val="en-GB"/>
        </w:rPr>
      </w:pPr>
    </w:p>
    <w:p w:rsidR="0043001F" w:rsidRDefault="00387B3D" w:rsidP="0043001F">
      <w:pPr>
        <w:pBdr>
          <w:bottom w:val="single" w:sz="12" w:space="1" w:color="auto"/>
        </w:pBdr>
        <w:spacing w:line="480" w:lineRule="auto"/>
        <w:jc w:val="center"/>
        <w:rPr>
          <w:rFonts w:ascii="Arial" w:hAnsi="Arial" w:cs="Arial"/>
          <w:b/>
          <w:sz w:val="24"/>
          <w:szCs w:val="24"/>
          <w:lang w:val="en-GB"/>
        </w:rPr>
      </w:pPr>
      <w:r>
        <w:rPr>
          <w:rFonts w:ascii="Arial" w:hAnsi="Arial" w:cs="Arial"/>
          <w:b/>
          <w:sz w:val="24"/>
          <w:szCs w:val="24"/>
          <w:lang w:val="en-GB"/>
        </w:rPr>
        <w:t>JUDGMENT</w:t>
      </w:r>
    </w:p>
    <w:p w:rsidR="00964551" w:rsidRPr="00571D82" w:rsidRDefault="00387B3D" w:rsidP="00571D82">
      <w:pPr>
        <w:spacing w:line="480" w:lineRule="auto"/>
        <w:jc w:val="both"/>
        <w:rPr>
          <w:rFonts w:ascii="Arial" w:hAnsi="Arial" w:cs="Arial"/>
          <w:b/>
          <w:sz w:val="24"/>
          <w:szCs w:val="24"/>
          <w:u w:val="single"/>
          <w:lang w:val="en-GB"/>
        </w:rPr>
      </w:pPr>
      <w:r>
        <w:rPr>
          <w:rFonts w:ascii="Arial" w:hAnsi="Arial" w:cs="Arial"/>
          <w:b/>
          <w:sz w:val="24"/>
          <w:szCs w:val="24"/>
          <w:u w:val="single"/>
          <w:lang w:val="en-GB"/>
        </w:rPr>
        <w:t>ANNANDALE AJ</w:t>
      </w:r>
      <w:r w:rsidR="006A33E2">
        <w:rPr>
          <w:rFonts w:ascii="Arial" w:hAnsi="Arial" w:cs="Arial"/>
          <w:b/>
          <w:sz w:val="24"/>
          <w:szCs w:val="24"/>
          <w:u w:val="single"/>
          <w:lang w:val="en-GB"/>
        </w:rPr>
        <w:t>:</w:t>
      </w:r>
    </w:p>
    <w:p w:rsidR="00964551" w:rsidRPr="00453770" w:rsidRDefault="00964551" w:rsidP="00964551">
      <w:pPr>
        <w:pStyle w:val="ListParagraph"/>
        <w:numPr>
          <w:ilvl w:val="0"/>
          <w:numId w:val="2"/>
        </w:numPr>
        <w:spacing w:after="0" w:line="360" w:lineRule="auto"/>
        <w:jc w:val="both"/>
        <w:rPr>
          <w:rFonts w:ascii="Arial" w:hAnsi="Arial" w:cs="Arial"/>
          <w:sz w:val="24"/>
          <w:szCs w:val="24"/>
          <w:lang w:val="en-GB"/>
        </w:rPr>
      </w:pPr>
      <w:r w:rsidRPr="00453770">
        <w:rPr>
          <w:rFonts w:ascii="Arial" w:hAnsi="Arial" w:cs="Arial"/>
          <w:sz w:val="24"/>
          <w:szCs w:val="24"/>
          <w:lang w:val="en-GB"/>
        </w:rPr>
        <w:t xml:space="preserve">This application served before me as an opposed motion on the extended return date of an order provisionally sequestrating the respondent’s estate. Having heard argument, I reserved judgment and extended the rule until judgment was handed down. </w:t>
      </w:r>
    </w:p>
    <w:p w:rsidR="00964551" w:rsidRPr="00964551" w:rsidRDefault="00964551" w:rsidP="00964551">
      <w:pPr>
        <w:pStyle w:val="ListParagraph"/>
        <w:spacing w:after="0" w:line="360" w:lineRule="auto"/>
        <w:ind w:left="0"/>
        <w:jc w:val="both"/>
        <w:rPr>
          <w:rFonts w:ascii="Arial" w:hAnsi="Arial" w:cs="Arial"/>
          <w:sz w:val="24"/>
          <w:szCs w:val="24"/>
          <w:lang w:val="en-GB"/>
        </w:rPr>
      </w:pPr>
      <w:bookmarkStart w:id="0" w:name="_Hlk146640708"/>
    </w:p>
    <w:bookmarkEnd w:id="0"/>
    <w:p w:rsidR="00E51D4B" w:rsidRPr="00571D82" w:rsidRDefault="00964551" w:rsidP="00571D82">
      <w:pPr>
        <w:numPr>
          <w:ilvl w:val="0"/>
          <w:numId w:val="2"/>
        </w:numPr>
        <w:spacing w:after="0" w:line="360" w:lineRule="auto"/>
        <w:jc w:val="both"/>
        <w:rPr>
          <w:rFonts w:ascii="Arial" w:hAnsi="Arial" w:cs="Arial"/>
          <w:sz w:val="24"/>
          <w:szCs w:val="24"/>
          <w:lang w:val="en-GB"/>
        </w:rPr>
      </w:pPr>
      <w:r w:rsidRPr="00453770">
        <w:rPr>
          <w:sz w:val="28"/>
          <w:szCs w:val="28"/>
        </w:rPr>
        <w:t xml:space="preserve"> </w:t>
      </w:r>
      <w:r w:rsidRPr="00453770">
        <w:rPr>
          <w:rFonts w:ascii="Arial" w:hAnsi="Arial" w:cs="Arial"/>
          <w:sz w:val="24"/>
          <w:szCs w:val="24"/>
          <w:lang w:val="en-GB"/>
        </w:rPr>
        <w:t xml:space="preserve">When this case was allocated to me for hearing, I advised the parties by email via my registrar that as counsel I am involved in litigation which includes allegations that transactions to which the respondent was a party were improper or simulated, and that on 2 August 2023 whilst presiding in motion court I had granted default judgment against various parties including the respondent in case 9788/2023P. </w:t>
      </w:r>
      <w:r w:rsidR="00514C74" w:rsidRPr="00571D82">
        <w:rPr>
          <w:rFonts w:ascii="Arial" w:hAnsi="Arial" w:cs="Arial"/>
          <w:sz w:val="24"/>
          <w:szCs w:val="24"/>
          <w:lang w:val="en-GB"/>
        </w:rPr>
        <w:t>I requested the parties to indicate via email</w:t>
      </w:r>
      <w:r w:rsidR="00075C26" w:rsidRPr="00571D82">
        <w:rPr>
          <w:rFonts w:ascii="Arial" w:hAnsi="Arial" w:cs="Arial"/>
          <w:sz w:val="24"/>
          <w:szCs w:val="24"/>
          <w:lang w:val="en-GB"/>
        </w:rPr>
        <w:t xml:space="preserve"> by 10 am on </w:t>
      </w:r>
      <w:r w:rsidR="00514C74" w:rsidRPr="00571D82">
        <w:rPr>
          <w:rFonts w:ascii="Arial" w:hAnsi="Arial" w:cs="Arial"/>
          <w:sz w:val="24"/>
          <w:szCs w:val="24"/>
          <w:lang w:val="en-GB"/>
        </w:rPr>
        <w:t xml:space="preserve">the day before </w:t>
      </w:r>
      <w:r w:rsidR="00075C26" w:rsidRPr="00571D82">
        <w:rPr>
          <w:rFonts w:ascii="Arial" w:hAnsi="Arial" w:cs="Arial"/>
          <w:sz w:val="24"/>
          <w:szCs w:val="24"/>
          <w:lang w:val="en-GB"/>
        </w:rPr>
        <w:t xml:space="preserve">I was due to the hear the matter, </w:t>
      </w:r>
      <w:r w:rsidR="00514C74" w:rsidRPr="00571D82">
        <w:rPr>
          <w:rFonts w:ascii="Arial" w:hAnsi="Arial" w:cs="Arial"/>
          <w:sz w:val="24"/>
          <w:szCs w:val="24"/>
          <w:lang w:val="en-GB"/>
        </w:rPr>
        <w:t>whether they were of the view that either of the matters canvassed created in the</w:t>
      </w:r>
      <w:r w:rsidR="00075C26" w:rsidRPr="00571D82">
        <w:rPr>
          <w:rFonts w:ascii="Arial" w:hAnsi="Arial" w:cs="Arial"/>
          <w:sz w:val="24"/>
          <w:szCs w:val="24"/>
          <w:lang w:val="en-GB"/>
        </w:rPr>
        <w:t>ir</w:t>
      </w:r>
      <w:r w:rsidR="00514C74" w:rsidRPr="00571D82">
        <w:rPr>
          <w:rFonts w:ascii="Arial" w:hAnsi="Arial" w:cs="Arial"/>
          <w:sz w:val="24"/>
          <w:szCs w:val="24"/>
          <w:lang w:val="en-GB"/>
        </w:rPr>
        <w:t xml:space="preserve"> clients</w:t>
      </w:r>
      <w:r w:rsidR="00075C26" w:rsidRPr="00571D82">
        <w:rPr>
          <w:rFonts w:ascii="Arial" w:hAnsi="Arial" w:cs="Arial"/>
          <w:sz w:val="24"/>
          <w:szCs w:val="24"/>
          <w:lang w:val="en-GB"/>
        </w:rPr>
        <w:t>’</w:t>
      </w:r>
      <w:r w:rsidR="00514C74" w:rsidRPr="00571D82">
        <w:rPr>
          <w:rFonts w:ascii="Arial" w:hAnsi="Arial" w:cs="Arial"/>
          <w:sz w:val="24"/>
          <w:szCs w:val="24"/>
          <w:lang w:val="en-GB"/>
        </w:rPr>
        <w:t xml:space="preserve"> minds an apprehension of bias such that the application should be heard by a different judge</w:t>
      </w:r>
      <w:r w:rsidR="00075C26" w:rsidRPr="00571D82">
        <w:rPr>
          <w:rFonts w:ascii="Arial" w:hAnsi="Arial" w:cs="Arial"/>
          <w:sz w:val="24"/>
          <w:szCs w:val="24"/>
          <w:lang w:val="en-GB"/>
        </w:rPr>
        <w:t xml:space="preserve">, </w:t>
      </w:r>
      <w:r w:rsidR="00514C74" w:rsidRPr="00571D82">
        <w:rPr>
          <w:rFonts w:ascii="Arial" w:hAnsi="Arial" w:cs="Arial"/>
          <w:sz w:val="24"/>
          <w:szCs w:val="24"/>
          <w:lang w:val="en-GB"/>
        </w:rPr>
        <w:t xml:space="preserve">or </w:t>
      </w:r>
      <w:r w:rsidR="00075C26" w:rsidRPr="00571D82">
        <w:rPr>
          <w:rFonts w:ascii="Arial" w:hAnsi="Arial" w:cs="Arial"/>
          <w:sz w:val="24"/>
          <w:szCs w:val="24"/>
          <w:lang w:val="en-GB"/>
        </w:rPr>
        <w:t>whether</w:t>
      </w:r>
      <w:r w:rsidR="00514C74" w:rsidRPr="00571D82">
        <w:rPr>
          <w:rFonts w:ascii="Arial" w:hAnsi="Arial" w:cs="Arial"/>
          <w:sz w:val="24"/>
          <w:szCs w:val="24"/>
          <w:lang w:val="en-GB"/>
        </w:rPr>
        <w:t xml:space="preserve"> the default judgment which I had granted needed to be addressed either by way of supplementary affidavits or supplementary heads of argument and</w:t>
      </w:r>
      <w:r w:rsidR="00075C26" w:rsidRPr="00571D82">
        <w:rPr>
          <w:rFonts w:ascii="Arial" w:hAnsi="Arial" w:cs="Arial"/>
          <w:sz w:val="24"/>
          <w:szCs w:val="24"/>
          <w:lang w:val="en-GB"/>
        </w:rPr>
        <w:t>,</w:t>
      </w:r>
      <w:r w:rsidR="00514C74" w:rsidRPr="00571D82">
        <w:rPr>
          <w:rFonts w:ascii="Arial" w:hAnsi="Arial" w:cs="Arial"/>
          <w:sz w:val="24"/>
          <w:szCs w:val="24"/>
          <w:lang w:val="en-GB"/>
        </w:rPr>
        <w:t xml:space="preserve"> if so</w:t>
      </w:r>
      <w:r w:rsidR="00075C26" w:rsidRPr="00571D82">
        <w:rPr>
          <w:rFonts w:ascii="Arial" w:hAnsi="Arial" w:cs="Arial"/>
          <w:sz w:val="24"/>
          <w:szCs w:val="24"/>
          <w:lang w:val="en-GB"/>
        </w:rPr>
        <w:t>,</w:t>
      </w:r>
      <w:r w:rsidR="00514C74" w:rsidRPr="00571D82">
        <w:rPr>
          <w:rFonts w:ascii="Arial" w:hAnsi="Arial" w:cs="Arial"/>
          <w:sz w:val="24"/>
          <w:szCs w:val="24"/>
          <w:lang w:val="en-GB"/>
        </w:rPr>
        <w:t xml:space="preserve"> when these would be filed.  </w:t>
      </w:r>
    </w:p>
    <w:p w:rsidR="00E51D4B" w:rsidRPr="00262788" w:rsidRDefault="00E51D4B" w:rsidP="00047795">
      <w:pPr>
        <w:spacing w:after="0" w:line="480" w:lineRule="auto"/>
        <w:jc w:val="both"/>
        <w:rPr>
          <w:rFonts w:ascii="Arial" w:hAnsi="Arial" w:cs="Arial"/>
          <w:lang w:val="en-GB"/>
        </w:rPr>
      </w:pPr>
    </w:p>
    <w:p w:rsidR="00E51D4B" w:rsidRDefault="00514C74" w:rsidP="00964551">
      <w:pPr>
        <w:numPr>
          <w:ilvl w:val="0"/>
          <w:numId w:val="2"/>
        </w:numPr>
        <w:spacing w:after="0" w:line="360" w:lineRule="auto"/>
        <w:jc w:val="both"/>
        <w:rPr>
          <w:rFonts w:ascii="Arial" w:hAnsi="Arial" w:cs="Arial"/>
          <w:sz w:val="24"/>
          <w:szCs w:val="24"/>
          <w:lang w:val="en-GB"/>
        </w:rPr>
      </w:pPr>
      <w:r w:rsidRPr="00453770">
        <w:rPr>
          <w:rFonts w:ascii="Arial" w:hAnsi="Arial" w:cs="Arial"/>
          <w:sz w:val="24"/>
          <w:szCs w:val="24"/>
          <w:lang w:val="en-GB"/>
        </w:rPr>
        <w:t xml:space="preserve">Both parties responded that the disclosures did not create any perception of bias on the part of their clients and that the default judgment did not need to be addressed either by way of supplementary affidavits or heads of argument. In addition, the respondent’s attorneys placed on record that the respondent had consulted with me as counsel in late 2020 for advice on matters relating to one of the developments in which his company, </w:t>
      </w:r>
      <w:r w:rsidR="00BB6EB4" w:rsidRPr="00453770">
        <w:rPr>
          <w:rFonts w:ascii="Arial" w:hAnsi="Arial" w:cs="Arial"/>
          <w:sz w:val="24"/>
          <w:szCs w:val="24"/>
          <w:lang w:val="en-GB"/>
        </w:rPr>
        <w:t>Rokwil Civils (Pty) Ltd (</w:t>
      </w:r>
      <w:r w:rsidRPr="00453770">
        <w:rPr>
          <w:rFonts w:ascii="Arial" w:hAnsi="Arial" w:cs="Arial"/>
          <w:sz w:val="24"/>
          <w:szCs w:val="24"/>
          <w:lang w:val="en-GB"/>
        </w:rPr>
        <w:t>R</w:t>
      </w:r>
      <w:r w:rsidR="00FE578E" w:rsidRPr="00453770">
        <w:rPr>
          <w:rFonts w:ascii="Arial" w:hAnsi="Arial" w:cs="Arial"/>
          <w:sz w:val="24"/>
          <w:szCs w:val="24"/>
          <w:lang w:val="en-GB"/>
        </w:rPr>
        <w:t>okwil</w:t>
      </w:r>
      <w:r w:rsidR="00BB6EB4" w:rsidRPr="00453770">
        <w:rPr>
          <w:rFonts w:ascii="Arial" w:hAnsi="Arial" w:cs="Arial"/>
          <w:sz w:val="24"/>
          <w:szCs w:val="24"/>
          <w:lang w:val="en-GB"/>
        </w:rPr>
        <w:t>)</w:t>
      </w:r>
      <w:r w:rsidR="009E7C7A" w:rsidRPr="00453770">
        <w:rPr>
          <w:rFonts w:ascii="Arial" w:hAnsi="Arial" w:cs="Arial"/>
          <w:sz w:val="24"/>
          <w:szCs w:val="24"/>
          <w:lang w:val="en-GB"/>
        </w:rPr>
        <w:t xml:space="preserve"> </w:t>
      </w:r>
      <w:r w:rsidR="00FE578E" w:rsidRPr="00453770">
        <w:rPr>
          <w:rFonts w:ascii="Arial" w:hAnsi="Arial" w:cs="Arial"/>
          <w:sz w:val="24"/>
          <w:szCs w:val="24"/>
          <w:lang w:val="en-GB"/>
        </w:rPr>
        <w:t xml:space="preserve">had been involved.  </w:t>
      </w:r>
    </w:p>
    <w:p w:rsidR="00047795" w:rsidRDefault="00047795" w:rsidP="00047795">
      <w:pPr>
        <w:pStyle w:val="ListParagraph"/>
        <w:rPr>
          <w:rFonts w:ascii="Arial" w:hAnsi="Arial" w:cs="Arial"/>
          <w:sz w:val="24"/>
          <w:szCs w:val="24"/>
          <w:lang w:val="en-GB"/>
        </w:rPr>
      </w:pPr>
    </w:p>
    <w:p w:rsidR="00387B3D" w:rsidRDefault="00E51D4B" w:rsidP="00964551">
      <w:pPr>
        <w:numPr>
          <w:ilvl w:val="0"/>
          <w:numId w:val="2"/>
        </w:numPr>
        <w:spacing w:after="0" w:line="360" w:lineRule="auto"/>
        <w:jc w:val="both"/>
        <w:rPr>
          <w:rFonts w:ascii="Arial" w:hAnsi="Arial" w:cs="Arial"/>
          <w:sz w:val="24"/>
          <w:szCs w:val="24"/>
          <w:lang w:val="en-GB"/>
        </w:rPr>
      </w:pPr>
      <w:r w:rsidRPr="00453770">
        <w:rPr>
          <w:rFonts w:ascii="Arial" w:hAnsi="Arial" w:cs="Arial"/>
          <w:sz w:val="24"/>
          <w:szCs w:val="24"/>
          <w:lang w:val="en-GB"/>
        </w:rPr>
        <w:t xml:space="preserve">At the start of the hearing I requested both </w:t>
      </w:r>
      <w:r w:rsidR="00BB6EB4" w:rsidRPr="00453770">
        <w:rPr>
          <w:rFonts w:ascii="Arial" w:hAnsi="Arial" w:cs="Arial"/>
          <w:sz w:val="24"/>
          <w:szCs w:val="24"/>
          <w:lang w:val="en-GB"/>
        </w:rPr>
        <w:t xml:space="preserve">legal representatives </w:t>
      </w:r>
      <w:r w:rsidRPr="00453770">
        <w:rPr>
          <w:rFonts w:ascii="Arial" w:hAnsi="Arial" w:cs="Arial"/>
          <w:sz w:val="24"/>
          <w:szCs w:val="24"/>
          <w:lang w:val="en-GB"/>
        </w:rPr>
        <w:t xml:space="preserve">to confirm the positions conveyed on email </w:t>
      </w:r>
      <w:r w:rsidR="00BB6EB4" w:rsidRPr="00453770">
        <w:rPr>
          <w:rFonts w:ascii="Arial" w:hAnsi="Arial" w:cs="Arial"/>
          <w:sz w:val="24"/>
          <w:szCs w:val="24"/>
          <w:lang w:val="en-GB"/>
        </w:rPr>
        <w:t xml:space="preserve">which they did. </w:t>
      </w:r>
      <w:r w:rsidR="00FE578E" w:rsidRPr="00453770">
        <w:rPr>
          <w:rFonts w:ascii="Arial" w:hAnsi="Arial" w:cs="Arial"/>
          <w:sz w:val="24"/>
          <w:szCs w:val="24"/>
          <w:lang w:val="en-GB"/>
        </w:rPr>
        <w:t xml:space="preserve">I </w:t>
      </w:r>
      <w:r w:rsidR="00BB6EB4" w:rsidRPr="00453770">
        <w:rPr>
          <w:rFonts w:ascii="Arial" w:hAnsi="Arial" w:cs="Arial"/>
          <w:sz w:val="24"/>
          <w:szCs w:val="24"/>
          <w:lang w:val="en-GB"/>
        </w:rPr>
        <w:t xml:space="preserve">also </w:t>
      </w:r>
      <w:r w:rsidR="00FE578E" w:rsidRPr="00453770">
        <w:rPr>
          <w:rFonts w:ascii="Arial" w:hAnsi="Arial" w:cs="Arial"/>
          <w:sz w:val="24"/>
          <w:szCs w:val="24"/>
          <w:lang w:val="en-GB"/>
        </w:rPr>
        <w:t xml:space="preserve">raised with counsel for the applicant whether </w:t>
      </w:r>
      <w:r w:rsidR="006A33E2">
        <w:rPr>
          <w:rFonts w:ascii="Arial" w:hAnsi="Arial" w:cs="Arial"/>
          <w:sz w:val="24"/>
          <w:szCs w:val="24"/>
          <w:lang w:val="en-GB"/>
        </w:rPr>
        <w:t>the fact that</w:t>
      </w:r>
      <w:r w:rsidR="00075C26" w:rsidRPr="00453770">
        <w:rPr>
          <w:rFonts w:ascii="Arial" w:hAnsi="Arial" w:cs="Arial"/>
          <w:sz w:val="24"/>
          <w:szCs w:val="24"/>
          <w:lang w:val="en-GB"/>
        </w:rPr>
        <w:t xml:space="preserve"> I had consulted with the</w:t>
      </w:r>
      <w:r w:rsidR="00905633" w:rsidRPr="00453770">
        <w:rPr>
          <w:rFonts w:ascii="Arial" w:hAnsi="Arial" w:cs="Arial"/>
          <w:sz w:val="24"/>
          <w:szCs w:val="24"/>
          <w:lang w:val="en-GB"/>
        </w:rPr>
        <w:t xml:space="preserve"> </w:t>
      </w:r>
      <w:r w:rsidR="00FE578E" w:rsidRPr="00453770">
        <w:rPr>
          <w:rFonts w:ascii="Arial" w:hAnsi="Arial" w:cs="Arial"/>
          <w:sz w:val="24"/>
          <w:szCs w:val="24"/>
          <w:lang w:val="en-GB"/>
        </w:rPr>
        <w:t xml:space="preserve">respondent changed his client’s position </w:t>
      </w:r>
      <w:r w:rsidR="006A33E2" w:rsidRPr="00453770">
        <w:rPr>
          <w:rFonts w:ascii="Arial" w:hAnsi="Arial" w:cs="Arial"/>
          <w:sz w:val="24"/>
          <w:szCs w:val="24"/>
          <w:lang w:val="en-GB"/>
        </w:rPr>
        <w:t>regarding</w:t>
      </w:r>
      <w:r w:rsidR="00FE578E" w:rsidRPr="00453770">
        <w:rPr>
          <w:rFonts w:ascii="Arial" w:hAnsi="Arial" w:cs="Arial"/>
          <w:sz w:val="24"/>
          <w:szCs w:val="24"/>
          <w:lang w:val="en-GB"/>
        </w:rPr>
        <w:t xml:space="preserve"> the appropriateness or otherwise of my hearing the application</w:t>
      </w:r>
      <w:r w:rsidR="00905633" w:rsidRPr="00453770">
        <w:rPr>
          <w:rFonts w:ascii="Arial" w:hAnsi="Arial" w:cs="Arial"/>
          <w:sz w:val="24"/>
          <w:szCs w:val="24"/>
          <w:lang w:val="en-GB"/>
        </w:rPr>
        <w:t xml:space="preserve">. He advised that it did not. </w:t>
      </w:r>
    </w:p>
    <w:p w:rsidR="00EE262D" w:rsidRDefault="00EE262D" w:rsidP="00EE262D">
      <w:pPr>
        <w:pStyle w:val="ListParagraph"/>
        <w:rPr>
          <w:rFonts w:ascii="Arial" w:hAnsi="Arial" w:cs="Arial"/>
          <w:sz w:val="24"/>
          <w:szCs w:val="24"/>
          <w:lang w:val="en-GB"/>
        </w:rPr>
      </w:pPr>
    </w:p>
    <w:p w:rsidR="00262788" w:rsidRDefault="00FE578E" w:rsidP="00571D82">
      <w:pPr>
        <w:numPr>
          <w:ilvl w:val="0"/>
          <w:numId w:val="2"/>
        </w:numPr>
        <w:spacing w:after="0" w:line="360" w:lineRule="auto"/>
        <w:jc w:val="both"/>
        <w:rPr>
          <w:rFonts w:ascii="Arial" w:hAnsi="Arial" w:cs="Arial"/>
          <w:sz w:val="24"/>
          <w:szCs w:val="24"/>
          <w:lang w:val="en-GB"/>
        </w:rPr>
      </w:pPr>
      <w:r w:rsidRPr="00453770">
        <w:rPr>
          <w:rFonts w:ascii="Arial" w:hAnsi="Arial" w:cs="Arial"/>
          <w:sz w:val="24"/>
          <w:szCs w:val="24"/>
          <w:lang w:val="en-GB"/>
        </w:rPr>
        <w:t>I consequently deal</w:t>
      </w:r>
      <w:r w:rsidR="00423638" w:rsidRPr="00453770">
        <w:rPr>
          <w:rFonts w:ascii="Arial" w:hAnsi="Arial" w:cs="Arial"/>
          <w:sz w:val="24"/>
          <w:szCs w:val="24"/>
          <w:lang w:val="en-GB"/>
        </w:rPr>
        <w:t>t</w:t>
      </w:r>
      <w:r w:rsidRPr="00453770">
        <w:rPr>
          <w:rFonts w:ascii="Arial" w:hAnsi="Arial" w:cs="Arial"/>
          <w:sz w:val="24"/>
          <w:szCs w:val="24"/>
          <w:lang w:val="en-GB"/>
        </w:rPr>
        <w:t xml:space="preserve"> with the application.</w:t>
      </w:r>
      <w:r w:rsidR="00423638" w:rsidRPr="00453770">
        <w:rPr>
          <w:rFonts w:ascii="Arial" w:hAnsi="Arial" w:cs="Arial"/>
          <w:sz w:val="24"/>
          <w:szCs w:val="24"/>
          <w:lang w:val="en-GB"/>
        </w:rPr>
        <w:t xml:space="preserve"> During argument, Mr Pedersen, who appeared for the respondent made oral applications </w:t>
      </w:r>
      <w:r w:rsidR="006A33E2">
        <w:rPr>
          <w:rFonts w:ascii="Arial" w:hAnsi="Arial" w:cs="Arial"/>
          <w:sz w:val="24"/>
          <w:szCs w:val="24"/>
          <w:lang w:val="en-GB"/>
        </w:rPr>
        <w:t xml:space="preserve">for </w:t>
      </w:r>
      <w:r w:rsidR="00423638" w:rsidRPr="00453770">
        <w:rPr>
          <w:rFonts w:ascii="Arial" w:hAnsi="Arial" w:cs="Arial"/>
          <w:sz w:val="24"/>
          <w:szCs w:val="24"/>
          <w:lang w:val="en-GB"/>
        </w:rPr>
        <w:t>leave to file a further affidavit and for the postponement of the hearing.</w:t>
      </w:r>
      <w:r w:rsidR="00905633" w:rsidRPr="00453770">
        <w:rPr>
          <w:rFonts w:ascii="Arial" w:hAnsi="Arial" w:cs="Arial"/>
          <w:sz w:val="24"/>
          <w:szCs w:val="24"/>
          <w:lang w:val="en-GB"/>
        </w:rPr>
        <w:t xml:space="preserve"> </w:t>
      </w:r>
      <w:r w:rsidR="00423638" w:rsidRPr="00453770">
        <w:rPr>
          <w:rFonts w:ascii="Arial" w:hAnsi="Arial" w:cs="Arial"/>
          <w:sz w:val="24"/>
          <w:szCs w:val="24"/>
          <w:lang w:val="en-GB"/>
        </w:rPr>
        <w:t>I heard submissions on both interlocutory applications but directed Mr Pedersen also to address me on the merits as I was not disposed to deal with the matter piecemeal and w</w:t>
      </w:r>
      <w:r w:rsidR="006A33E2">
        <w:rPr>
          <w:rFonts w:ascii="Arial" w:hAnsi="Arial" w:cs="Arial"/>
          <w:sz w:val="24"/>
          <w:szCs w:val="24"/>
          <w:lang w:val="en-GB"/>
        </w:rPr>
        <w:t>anted</w:t>
      </w:r>
      <w:r w:rsidR="00423638" w:rsidRPr="00453770">
        <w:rPr>
          <w:rFonts w:ascii="Arial" w:hAnsi="Arial" w:cs="Arial"/>
          <w:sz w:val="24"/>
          <w:szCs w:val="24"/>
          <w:lang w:val="en-GB"/>
        </w:rPr>
        <w:t xml:space="preserve"> to be able to give judgment on the merits without delay if I refused the interlocutory applications. </w:t>
      </w:r>
      <w:r w:rsidR="00905633" w:rsidRPr="00453770">
        <w:rPr>
          <w:rFonts w:ascii="Arial" w:hAnsi="Arial" w:cs="Arial"/>
          <w:sz w:val="24"/>
          <w:szCs w:val="24"/>
          <w:lang w:val="en-GB"/>
        </w:rPr>
        <w:t>I deal with both of these during the course of this judgment rather than at the outset</w:t>
      </w:r>
      <w:r w:rsidR="006A33E2">
        <w:rPr>
          <w:rFonts w:ascii="Arial" w:hAnsi="Arial" w:cs="Arial"/>
          <w:sz w:val="24"/>
          <w:szCs w:val="24"/>
          <w:lang w:val="en-GB"/>
        </w:rPr>
        <w:t>,</w:t>
      </w:r>
      <w:r w:rsidR="00905633" w:rsidRPr="00453770">
        <w:rPr>
          <w:rFonts w:ascii="Arial" w:hAnsi="Arial" w:cs="Arial"/>
          <w:sz w:val="24"/>
          <w:szCs w:val="24"/>
          <w:lang w:val="en-GB"/>
        </w:rPr>
        <w:t xml:space="preserve"> as the applications and my decisions on them need to be understood in context. </w:t>
      </w:r>
    </w:p>
    <w:p w:rsidR="00571D82" w:rsidRPr="00571D82" w:rsidRDefault="00571D82" w:rsidP="00571D82">
      <w:pPr>
        <w:spacing w:after="0" w:line="360" w:lineRule="auto"/>
        <w:jc w:val="both"/>
        <w:rPr>
          <w:rFonts w:ascii="Arial" w:hAnsi="Arial" w:cs="Arial"/>
          <w:sz w:val="24"/>
          <w:szCs w:val="24"/>
          <w:lang w:val="en-GB"/>
        </w:rPr>
      </w:pPr>
    </w:p>
    <w:p w:rsidR="00387B3D" w:rsidRPr="00F87157" w:rsidRDefault="00905633" w:rsidP="006A33E2">
      <w:pPr>
        <w:spacing w:line="480" w:lineRule="auto"/>
        <w:jc w:val="both"/>
        <w:rPr>
          <w:rFonts w:ascii="Arial" w:hAnsi="Arial" w:cs="Arial"/>
          <w:b/>
          <w:bCs/>
          <w:sz w:val="24"/>
          <w:szCs w:val="24"/>
          <w:lang w:val="en-GB"/>
        </w:rPr>
      </w:pPr>
      <w:r>
        <w:rPr>
          <w:rFonts w:ascii="Arial" w:hAnsi="Arial" w:cs="Arial"/>
          <w:b/>
          <w:bCs/>
          <w:sz w:val="24"/>
          <w:szCs w:val="24"/>
          <w:lang w:val="en-GB"/>
        </w:rPr>
        <w:t>R</w:t>
      </w:r>
      <w:r w:rsidR="00F87157" w:rsidRPr="00F87157">
        <w:rPr>
          <w:rFonts w:ascii="Arial" w:hAnsi="Arial" w:cs="Arial"/>
          <w:b/>
          <w:bCs/>
          <w:sz w:val="24"/>
          <w:szCs w:val="24"/>
          <w:lang w:val="en-GB"/>
        </w:rPr>
        <w:t>equirements for a final sequestration order</w:t>
      </w:r>
    </w:p>
    <w:p w:rsidR="009C03D8" w:rsidRDefault="009C03D8" w:rsidP="00964551">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prerequisite for a final order of sequestration are prescribed in section 12</w:t>
      </w:r>
      <w:r w:rsidR="00F14DEB">
        <w:rPr>
          <w:rFonts w:ascii="Arial" w:hAnsi="Arial" w:cs="Arial"/>
          <w:sz w:val="24"/>
          <w:szCs w:val="24"/>
          <w:lang w:val="en-GB"/>
        </w:rPr>
        <w:t xml:space="preserve">(1) </w:t>
      </w:r>
      <w:r>
        <w:rPr>
          <w:rFonts w:ascii="Arial" w:hAnsi="Arial" w:cs="Arial"/>
          <w:sz w:val="24"/>
          <w:szCs w:val="24"/>
          <w:lang w:val="en-GB"/>
        </w:rPr>
        <w:t xml:space="preserve"> of the Insolvency Act 24 of 1936, as follows: –</w:t>
      </w:r>
    </w:p>
    <w:p w:rsidR="00571D82" w:rsidRDefault="009C03D8" w:rsidP="00AD23F7">
      <w:pPr>
        <w:pStyle w:val="lg-section"/>
        <w:spacing w:before="300" w:beforeAutospacing="0" w:after="0" w:afterAutospacing="0"/>
        <w:ind w:left="1418" w:right="970"/>
        <w:jc w:val="both"/>
        <w:rPr>
          <w:rFonts w:ascii="Arial" w:hAnsi="Arial" w:cs="Arial"/>
          <w:color w:val="000000"/>
          <w:sz w:val="22"/>
          <w:szCs w:val="22"/>
        </w:rPr>
      </w:pPr>
      <w:r w:rsidRPr="005302CB">
        <w:rPr>
          <w:rFonts w:ascii="Arial" w:hAnsi="Arial" w:cs="Arial"/>
          <w:b/>
          <w:bCs/>
          <w:color w:val="000000"/>
          <w:sz w:val="22"/>
          <w:szCs w:val="22"/>
        </w:rPr>
        <w:t>‘12.</w:t>
      </w:r>
      <w:r w:rsidR="00EE262D" w:rsidRPr="005302CB">
        <w:rPr>
          <w:rFonts w:ascii="Arial" w:hAnsi="Arial" w:cs="Arial"/>
          <w:b/>
          <w:bCs/>
          <w:color w:val="000000"/>
          <w:sz w:val="22"/>
          <w:szCs w:val="22"/>
        </w:rPr>
        <w:tab/>
      </w:r>
      <w:r w:rsidRPr="005302CB">
        <w:rPr>
          <w:rFonts w:ascii="Arial" w:hAnsi="Arial" w:cs="Arial"/>
          <w:b/>
          <w:bCs/>
          <w:color w:val="000000"/>
          <w:sz w:val="22"/>
          <w:szCs w:val="22"/>
        </w:rPr>
        <w:t>Final sequestration or dismissal of petition for sequestration.</w:t>
      </w:r>
      <w:r w:rsidRPr="005302CB">
        <w:rPr>
          <w:rFonts w:ascii="Arial" w:hAnsi="Arial" w:cs="Arial"/>
          <w:color w:val="000000"/>
          <w:sz w:val="22"/>
          <w:szCs w:val="22"/>
        </w:rPr>
        <w:t>—</w:t>
      </w:r>
    </w:p>
    <w:p w:rsidR="009C03D8" w:rsidRPr="005302CB" w:rsidRDefault="009C03D8" w:rsidP="00AD23F7">
      <w:pPr>
        <w:pStyle w:val="lg-section"/>
        <w:spacing w:before="300" w:beforeAutospacing="0" w:after="0" w:afterAutospacing="0"/>
        <w:ind w:left="1418" w:right="970"/>
        <w:jc w:val="both"/>
        <w:rPr>
          <w:rFonts w:ascii="Arial" w:hAnsi="Arial" w:cs="Arial"/>
          <w:color w:val="000000"/>
          <w:sz w:val="22"/>
          <w:szCs w:val="22"/>
        </w:rPr>
      </w:pPr>
      <w:r w:rsidRPr="005302CB">
        <w:rPr>
          <w:rFonts w:ascii="Arial" w:hAnsi="Arial" w:cs="Arial"/>
          <w:color w:val="000000"/>
          <w:sz w:val="22"/>
          <w:szCs w:val="22"/>
        </w:rPr>
        <w:t>(1)  If at the hearing pursuant to the aforesaid rule</w:t>
      </w:r>
      <w:r w:rsidRPr="005302CB">
        <w:rPr>
          <w:rStyle w:val="apple-converted-space"/>
          <w:rFonts w:ascii="Arial" w:hAnsi="Arial" w:cs="Arial"/>
          <w:color w:val="000000"/>
          <w:sz w:val="22"/>
          <w:szCs w:val="22"/>
        </w:rPr>
        <w:t> </w:t>
      </w:r>
      <w:r w:rsidRPr="005302CB">
        <w:rPr>
          <w:rFonts w:ascii="Arial" w:hAnsi="Arial" w:cs="Arial"/>
          <w:i/>
          <w:iCs/>
          <w:color w:val="000000"/>
          <w:sz w:val="22"/>
          <w:szCs w:val="22"/>
        </w:rPr>
        <w:t>nisi</w:t>
      </w:r>
      <w:r w:rsidRPr="005302CB">
        <w:rPr>
          <w:rStyle w:val="apple-converted-space"/>
          <w:rFonts w:ascii="Arial" w:hAnsi="Arial" w:cs="Arial"/>
          <w:i/>
          <w:iCs/>
          <w:color w:val="000000"/>
          <w:sz w:val="22"/>
          <w:szCs w:val="22"/>
        </w:rPr>
        <w:t> </w:t>
      </w:r>
      <w:r w:rsidRPr="005302CB">
        <w:rPr>
          <w:rFonts w:ascii="Arial" w:hAnsi="Arial" w:cs="Arial"/>
          <w:color w:val="000000"/>
          <w:sz w:val="22"/>
          <w:szCs w:val="22"/>
        </w:rPr>
        <w:t>the court is satisfied that—</w:t>
      </w:r>
    </w:p>
    <w:p w:rsidR="009C03D8" w:rsidRPr="005302CB" w:rsidRDefault="009C03D8" w:rsidP="00AD23F7">
      <w:pPr>
        <w:pStyle w:val="lg-a-1"/>
        <w:spacing w:before="180" w:beforeAutospacing="0" w:after="0" w:afterAutospacing="0"/>
        <w:ind w:left="1418" w:right="970"/>
        <w:jc w:val="both"/>
        <w:rPr>
          <w:rFonts w:ascii="Arial" w:hAnsi="Arial" w:cs="Arial"/>
          <w:color w:val="000000"/>
          <w:sz w:val="22"/>
          <w:szCs w:val="22"/>
        </w:rPr>
      </w:pPr>
      <w:r w:rsidRPr="005302CB">
        <w:rPr>
          <w:rFonts w:ascii="Arial" w:hAnsi="Arial" w:cs="Arial"/>
          <w:color w:val="000000"/>
          <w:sz w:val="22"/>
          <w:szCs w:val="22"/>
        </w:rPr>
        <w:t>(</w:t>
      </w:r>
      <w:r w:rsidRPr="005302CB">
        <w:rPr>
          <w:rFonts w:ascii="Arial" w:hAnsi="Arial" w:cs="Arial"/>
          <w:i/>
          <w:iCs/>
          <w:color w:val="000000"/>
          <w:sz w:val="22"/>
          <w:szCs w:val="22"/>
        </w:rPr>
        <w:t>a</w:t>
      </w:r>
      <w:r w:rsidRPr="005302CB">
        <w:rPr>
          <w:rFonts w:ascii="Arial" w:hAnsi="Arial" w:cs="Arial"/>
          <w:color w:val="000000"/>
          <w:sz w:val="22"/>
          <w:szCs w:val="22"/>
        </w:rPr>
        <w:t>)</w:t>
      </w:r>
      <w:r w:rsidRPr="005302CB">
        <w:rPr>
          <w:rFonts w:ascii="Arial" w:hAnsi="Arial" w:cs="Arial"/>
          <w:color w:val="000000"/>
          <w:sz w:val="22"/>
          <w:szCs w:val="22"/>
        </w:rPr>
        <w:tab/>
        <w:t>the petitioning creditor has established against the debtor a claim such as is mentioned in</w:t>
      </w:r>
      <w:r w:rsidRPr="005302CB">
        <w:rPr>
          <w:rStyle w:val="apple-converted-space"/>
          <w:rFonts w:ascii="Arial" w:hAnsi="Arial" w:cs="Arial"/>
          <w:color w:val="000000"/>
          <w:sz w:val="22"/>
          <w:szCs w:val="22"/>
        </w:rPr>
        <w:t> </w:t>
      </w:r>
      <w:r w:rsidRPr="005302CB">
        <w:rPr>
          <w:rFonts w:ascii="Arial" w:hAnsi="Arial" w:cs="Arial"/>
          <w:color w:val="000000"/>
          <w:sz w:val="22"/>
          <w:szCs w:val="22"/>
        </w:rPr>
        <w:t>subsection (1)</w:t>
      </w:r>
      <w:r w:rsidRPr="005302CB">
        <w:rPr>
          <w:rStyle w:val="apple-converted-space"/>
          <w:rFonts w:ascii="Arial" w:hAnsi="Arial" w:cs="Arial"/>
          <w:color w:val="000000"/>
          <w:sz w:val="22"/>
          <w:szCs w:val="22"/>
        </w:rPr>
        <w:t> </w:t>
      </w:r>
      <w:r w:rsidRPr="005302CB">
        <w:rPr>
          <w:rFonts w:ascii="Arial" w:hAnsi="Arial" w:cs="Arial"/>
          <w:color w:val="000000"/>
          <w:sz w:val="22"/>
          <w:szCs w:val="22"/>
        </w:rPr>
        <w:t>of</w:t>
      </w:r>
      <w:r w:rsidRPr="005302CB">
        <w:rPr>
          <w:rStyle w:val="apple-converted-space"/>
          <w:rFonts w:ascii="Arial" w:hAnsi="Arial" w:cs="Arial"/>
          <w:color w:val="000000"/>
          <w:sz w:val="22"/>
          <w:szCs w:val="22"/>
        </w:rPr>
        <w:t> </w:t>
      </w:r>
      <w:r w:rsidRPr="005302CB">
        <w:rPr>
          <w:rFonts w:ascii="Arial" w:hAnsi="Arial" w:cs="Arial"/>
          <w:color w:val="000000"/>
          <w:sz w:val="22"/>
          <w:szCs w:val="22"/>
        </w:rPr>
        <w:t>section</w:t>
      </w:r>
      <w:r w:rsidRPr="005302CB">
        <w:rPr>
          <w:rStyle w:val="apple-converted-space"/>
          <w:rFonts w:ascii="Arial" w:hAnsi="Arial" w:cs="Arial"/>
          <w:color w:val="000000"/>
          <w:sz w:val="22"/>
          <w:szCs w:val="22"/>
        </w:rPr>
        <w:t> </w:t>
      </w:r>
      <w:r w:rsidRPr="00571D82">
        <w:rPr>
          <w:rFonts w:ascii="Arial" w:hAnsi="Arial" w:cs="Arial"/>
          <w:color w:val="000000"/>
          <w:sz w:val="22"/>
          <w:szCs w:val="22"/>
        </w:rPr>
        <w:t>nine</w:t>
      </w:r>
      <w:r w:rsidRPr="00571D82">
        <w:rPr>
          <w:rStyle w:val="FootnoteReference"/>
          <w:rFonts w:ascii="Arial" w:hAnsi="Arial" w:cs="Arial"/>
          <w:color w:val="000000"/>
          <w:sz w:val="22"/>
          <w:szCs w:val="22"/>
        </w:rPr>
        <w:footnoteReference w:id="1"/>
      </w:r>
      <w:r w:rsidRPr="00571D82">
        <w:rPr>
          <w:rFonts w:ascii="Arial" w:hAnsi="Arial" w:cs="Arial"/>
          <w:color w:val="000000"/>
          <w:sz w:val="22"/>
          <w:szCs w:val="22"/>
        </w:rPr>
        <w:t>;</w:t>
      </w:r>
      <w:r w:rsidRPr="005302CB">
        <w:rPr>
          <w:rFonts w:ascii="Arial" w:hAnsi="Arial" w:cs="Arial"/>
          <w:color w:val="000000"/>
          <w:sz w:val="22"/>
          <w:szCs w:val="22"/>
        </w:rPr>
        <w:t xml:space="preserve"> and</w:t>
      </w:r>
    </w:p>
    <w:p w:rsidR="009C03D8" w:rsidRPr="005302CB" w:rsidRDefault="009C03D8" w:rsidP="00AD23F7">
      <w:pPr>
        <w:pStyle w:val="lg-a-1"/>
        <w:spacing w:before="180" w:beforeAutospacing="0" w:after="0" w:afterAutospacing="0"/>
        <w:ind w:left="1418" w:right="970"/>
        <w:jc w:val="both"/>
        <w:rPr>
          <w:rFonts w:ascii="Arial" w:hAnsi="Arial" w:cs="Arial"/>
          <w:color w:val="000000"/>
          <w:sz w:val="22"/>
          <w:szCs w:val="22"/>
        </w:rPr>
      </w:pPr>
      <w:r w:rsidRPr="005302CB">
        <w:rPr>
          <w:rFonts w:ascii="Arial" w:hAnsi="Arial" w:cs="Arial"/>
          <w:color w:val="000000"/>
          <w:sz w:val="22"/>
          <w:szCs w:val="22"/>
        </w:rPr>
        <w:t>(</w:t>
      </w:r>
      <w:r w:rsidRPr="005302CB">
        <w:rPr>
          <w:rFonts w:ascii="Arial" w:hAnsi="Arial" w:cs="Arial"/>
          <w:i/>
          <w:iCs/>
          <w:color w:val="000000"/>
          <w:sz w:val="22"/>
          <w:szCs w:val="22"/>
        </w:rPr>
        <w:t>b</w:t>
      </w:r>
      <w:r w:rsidRPr="005302CB">
        <w:rPr>
          <w:rFonts w:ascii="Arial" w:hAnsi="Arial" w:cs="Arial"/>
          <w:color w:val="000000"/>
          <w:sz w:val="22"/>
          <w:szCs w:val="22"/>
        </w:rPr>
        <w:t>)</w:t>
      </w:r>
      <w:r w:rsidRPr="005302CB">
        <w:rPr>
          <w:rFonts w:ascii="Arial" w:hAnsi="Arial" w:cs="Arial"/>
          <w:color w:val="000000"/>
          <w:sz w:val="22"/>
          <w:szCs w:val="22"/>
        </w:rPr>
        <w:tab/>
        <w:t>the debtor has committed an act of insolvency or is insolvent; and</w:t>
      </w:r>
    </w:p>
    <w:p w:rsidR="009C03D8" w:rsidRPr="005302CB" w:rsidRDefault="009C03D8" w:rsidP="00AD23F7">
      <w:pPr>
        <w:pStyle w:val="lg-a-1"/>
        <w:spacing w:before="180" w:beforeAutospacing="0" w:after="0" w:afterAutospacing="0"/>
        <w:ind w:left="1418" w:right="970"/>
        <w:jc w:val="both"/>
        <w:rPr>
          <w:rFonts w:ascii="Arial" w:hAnsi="Arial" w:cs="Arial"/>
          <w:color w:val="000000"/>
          <w:sz w:val="22"/>
          <w:szCs w:val="22"/>
        </w:rPr>
      </w:pPr>
      <w:r w:rsidRPr="005302CB">
        <w:rPr>
          <w:rFonts w:ascii="Arial" w:hAnsi="Arial" w:cs="Arial"/>
          <w:color w:val="000000"/>
          <w:sz w:val="22"/>
          <w:szCs w:val="22"/>
        </w:rPr>
        <w:t>(</w:t>
      </w:r>
      <w:r w:rsidRPr="005302CB">
        <w:rPr>
          <w:rFonts w:ascii="Arial" w:hAnsi="Arial" w:cs="Arial"/>
          <w:i/>
          <w:iCs/>
          <w:color w:val="000000"/>
          <w:sz w:val="22"/>
          <w:szCs w:val="22"/>
        </w:rPr>
        <w:t>c</w:t>
      </w:r>
      <w:r w:rsidRPr="005302CB">
        <w:rPr>
          <w:rFonts w:ascii="Arial" w:hAnsi="Arial" w:cs="Arial"/>
          <w:color w:val="000000"/>
          <w:sz w:val="22"/>
          <w:szCs w:val="22"/>
        </w:rPr>
        <w:t>)</w:t>
      </w:r>
      <w:r w:rsidRPr="005302CB">
        <w:rPr>
          <w:rFonts w:ascii="Arial" w:hAnsi="Arial" w:cs="Arial"/>
          <w:color w:val="000000"/>
          <w:sz w:val="22"/>
          <w:szCs w:val="22"/>
        </w:rPr>
        <w:tab/>
        <w:t>there is reason to believe that it will be to the advantage of creditors of the debtor if his estate is sequestrated,</w:t>
      </w:r>
    </w:p>
    <w:p w:rsidR="009C03D8" w:rsidRPr="005302CB" w:rsidRDefault="009C03D8" w:rsidP="00AD23F7">
      <w:pPr>
        <w:pStyle w:val="normal-text"/>
        <w:spacing w:before="180" w:beforeAutospacing="0" w:after="0" w:afterAutospacing="0"/>
        <w:ind w:left="698" w:firstLine="720"/>
        <w:jc w:val="both"/>
        <w:rPr>
          <w:rFonts w:ascii="Arial" w:hAnsi="Arial" w:cs="Arial"/>
          <w:color w:val="000000"/>
          <w:sz w:val="22"/>
          <w:szCs w:val="22"/>
        </w:rPr>
      </w:pPr>
      <w:r w:rsidRPr="005302CB">
        <w:rPr>
          <w:rFonts w:ascii="Arial" w:hAnsi="Arial" w:cs="Arial"/>
          <w:color w:val="000000"/>
          <w:sz w:val="22"/>
          <w:szCs w:val="22"/>
        </w:rPr>
        <w:t>it may sequestrate the estate of the debtor.</w:t>
      </w:r>
      <w:r w:rsidR="005302CB">
        <w:rPr>
          <w:rFonts w:ascii="Arial" w:hAnsi="Arial" w:cs="Arial"/>
          <w:color w:val="000000"/>
          <w:sz w:val="22"/>
          <w:szCs w:val="22"/>
        </w:rPr>
        <w:t>’</w:t>
      </w:r>
    </w:p>
    <w:p w:rsidR="009C03D8" w:rsidRDefault="009C03D8" w:rsidP="009C03D8">
      <w:pPr>
        <w:spacing w:line="480" w:lineRule="auto"/>
        <w:ind w:left="720"/>
        <w:jc w:val="both"/>
        <w:rPr>
          <w:rFonts w:ascii="Arial" w:hAnsi="Arial" w:cs="Arial"/>
          <w:sz w:val="24"/>
          <w:szCs w:val="24"/>
          <w:lang w:val="en-GB"/>
        </w:rPr>
      </w:pPr>
    </w:p>
    <w:p w:rsidR="005F6C50" w:rsidRPr="000161E0" w:rsidRDefault="005302CB" w:rsidP="000161E0">
      <w:pPr>
        <w:numPr>
          <w:ilvl w:val="0"/>
          <w:numId w:val="2"/>
        </w:numPr>
        <w:spacing w:after="0" w:line="480" w:lineRule="auto"/>
        <w:jc w:val="both"/>
        <w:rPr>
          <w:rFonts w:ascii="Arial" w:hAnsi="Arial" w:cs="Arial"/>
          <w:sz w:val="24"/>
          <w:szCs w:val="24"/>
          <w:lang w:val="en-GB"/>
        </w:rPr>
      </w:pPr>
      <w:r>
        <w:rPr>
          <w:rFonts w:ascii="Arial" w:hAnsi="Arial" w:cs="Arial"/>
          <w:sz w:val="24"/>
          <w:szCs w:val="24"/>
          <w:lang w:val="en-GB"/>
        </w:rPr>
        <w:t>T</w:t>
      </w:r>
      <w:r w:rsidR="002F3D64" w:rsidRPr="00047795">
        <w:rPr>
          <w:rFonts w:ascii="Arial" w:hAnsi="Arial" w:cs="Arial"/>
          <w:sz w:val="24"/>
          <w:szCs w:val="24"/>
          <w:lang w:val="en-GB"/>
        </w:rPr>
        <w:t xml:space="preserve">he </w:t>
      </w:r>
      <w:r w:rsidR="009C03D8" w:rsidRPr="00047795">
        <w:rPr>
          <w:rFonts w:ascii="Arial" w:hAnsi="Arial" w:cs="Arial"/>
          <w:sz w:val="24"/>
          <w:szCs w:val="24"/>
          <w:lang w:val="en-GB"/>
        </w:rPr>
        <w:t>first two of these three conjunctive requirements are not in dispute.</w:t>
      </w:r>
      <w:r>
        <w:rPr>
          <w:rFonts w:ascii="Arial" w:hAnsi="Arial" w:cs="Arial"/>
          <w:sz w:val="24"/>
          <w:szCs w:val="24"/>
          <w:lang w:val="en-GB"/>
        </w:rPr>
        <w:t xml:space="preserve"> </w:t>
      </w:r>
      <w:r w:rsidR="009C03D8" w:rsidRPr="005302CB">
        <w:rPr>
          <w:rFonts w:ascii="Arial" w:hAnsi="Arial" w:cs="Arial"/>
          <w:sz w:val="24"/>
          <w:szCs w:val="24"/>
          <w:lang w:val="en-GB"/>
        </w:rPr>
        <w:t>T</w:t>
      </w:r>
      <w:r w:rsidR="00387B3D" w:rsidRPr="005302CB">
        <w:rPr>
          <w:rFonts w:ascii="Arial" w:hAnsi="Arial" w:cs="Arial"/>
          <w:sz w:val="24"/>
          <w:szCs w:val="24"/>
          <w:lang w:val="en-GB"/>
        </w:rPr>
        <w:t xml:space="preserve">he applicant has a </w:t>
      </w:r>
      <w:r w:rsidR="009C03D8" w:rsidRPr="005302CB">
        <w:rPr>
          <w:rFonts w:ascii="Arial" w:hAnsi="Arial" w:cs="Arial"/>
          <w:sz w:val="24"/>
          <w:szCs w:val="24"/>
          <w:lang w:val="en-GB"/>
        </w:rPr>
        <w:t xml:space="preserve">high court </w:t>
      </w:r>
      <w:r w:rsidR="00387B3D" w:rsidRPr="005302CB">
        <w:rPr>
          <w:rFonts w:ascii="Arial" w:hAnsi="Arial" w:cs="Arial"/>
          <w:sz w:val="24"/>
          <w:szCs w:val="24"/>
          <w:lang w:val="en-GB"/>
        </w:rPr>
        <w:t xml:space="preserve">judgment against the respondent in an amount exceeding R103 million for which </w:t>
      </w:r>
      <w:r w:rsidR="009C03D8" w:rsidRPr="005302CB">
        <w:rPr>
          <w:rFonts w:ascii="Arial" w:hAnsi="Arial" w:cs="Arial"/>
          <w:sz w:val="24"/>
          <w:szCs w:val="24"/>
          <w:lang w:val="en-GB"/>
        </w:rPr>
        <w:t>he</w:t>
      </w:r>
      <w:r w:rsidR="00387B3D" w:rsidRPr="005302CB">
        <w:rPr>
          <w:rFonts w:ascii="Arial" w:hAnsi="Arial" w:cs="Arial"/>
          <w:sz w:val="24"/>
          <w:szCs w:val="24"/>
          <w:lang w:val="en-GB"/>
        </w:rPr>
        <w:t xml:space="preserve"> holds n</w:t>
      </w:r>
      <w:r>
        <w:rPr>
          <w:rFonts w:ascii="Arial" w:hAnsi="Arial" w:cs="Arial"/>
          <w:sz w:val="24"/>
          <w:szCs w:val="24"/>
          <w:lang w:val="en-GB"/>
        </w:rPr>
        <w:t>o</w:t>
      </w:r>
      <w:r w:rsidR="00387B3D" w:rsidRPr="005302CB">
        <w:rPr>
          <w:rFonts w:ascii="Arial" w:hAnsi="Arial" w:cs="Arial"/>
          <w:sz w:val="24"/>
          <w:szCs w:val="24"/>
          <w:lang w:val="en-GB"/>
        </w:rPr>
        <w:t xml:space="preserve"> security</w:t>
      </w:r>
      <w:r w:rsidR="009C03D8" w:rsidRPr="005302CB">
        <w:rPr>
          <w:rFonts w:ascii="Arial" w:hAnsi="Arial" w:cs="Arial"/>
          <w:sz w:val="24"/>
          <w:szCs w:val="24"/>
          <w:lang w:val="en-GB"/>
        </w:rPr>
        <w:t>.</w:t>
      </w:r>
      <w:r w:rsidR="00ED6C45" w:rsidRPr="005302CB">
        <w:rPr>
          <w:rFonts w:ascii="Arial" w:hAnsi="Arial" w:cs="Arial"/>
          <w:sz w:val="24"/>
          <w:szCs w:val="24"/>
          <w:lang w:val="en-GB"/>
        </w:rPr>
        <w:t xml:space="preserve"> </w:t>
      </w:r>
      <w:r w:rsidR="009C03D8" w:rsidRPr="005302CB">
        <w:rPr>
          <w:rFonts w:ascii="Arial" w:hAnsi="Arial" w:cs="Arial"/>
          <w:sz w:val="24"/>
          <w:szCs w:val="24"/>
          <w:lang w:val="en-GB"/>
        </w:rPr>
        <w:t>The respondent disputed and resisted the applicant’s claim all the way to the Constitutional Court, but his attempts were in vain. The</w:t>
      </w:r>
      <w:r w:rsidR="00387B3D" w:rsidRPr="005302CB">
        <w:rPr>
          <w:rFonts w:ascii="Arial" w:hAnsi="Arial" w:cs="Arial"/>
          <w:sz w:val="24"/>
          <w:szCs w:val="24"/>
          <w:lang w:val="en-GB"/>
        </w:rPr>
        <w:t xml:space="preserve"> Sherriff rendered a </w:t>
      </w:r>
      <w:r w:rsidR="00387B3D" w:rsidRPr="005302CB">
        <w:rPr>
          <w:rFonts w:ascii="Arial" w:hAnsi="Arial" w:cs="Arial"/>
          <w:i/>
          <w:sz w:val="24"/>
          <w:szCs w:val="24"/>
          <w:lang w:val="en-GB"/>
        </w:rPr>
        <w:t xml:space="preserve">nulla bona </w:t>
      </w:r>
      <w:r w:rsidR="00387B3D" w:rsidRPr="005302CB">
        <w:rPr>
          <w:rFonts w:ascii="Arial" w:hAnsi="Arial" w:cs="Arial"/>
          <w:sz w:val="24"/>
          <w:szCs w:val="24"/>
          <w:lang w:val="en-GB"/>
        </w:rPr>
        <w:t>return</w:t>
      </w:r>
      <w:r w:rsidR="009C03D8" w:rsidRPr="005302CB">
        <w:rPr>
          <w:rFonts w:ascii="Arial" w:hAnsi="Arial" w:cs="Arial"/>
          <w:sz w:val="24"/>
          <w:szCs w:val="24"/>
          <w:lang w:val="en-GB"/>
        </w:rPr>
        <w:t xml:space="preserve"> in respect of that judgment </w:t>
      </w:r>
      <w:r w:rsidR="00387B3D" w:rsidRPr="005302CB">
        <w:rPr>
          <w:rFonts w:ascii="Arial" w:hAnsi="Arial" w:cs="Arial"/>
          <w:sz w:val="24"/>
          <w:szCs w:val="24"/>
          <w:lang w:val="en-GB"/>
        </w:rPr>
        <w:t>which constitutes an act of insolvency</w:t>
      </w:r>
      <w:r w:rsidR="009C03D8" w:rsidRPr="005302CB">
        <w:rPr>
          <w:rFonts w:ascii="Arial" w:hAnsi="Arial" w:cs="Arial"/>
          <w:sz w:val="24"/>
          <w:szCs w:val="24"/>
          <w:lang w:val="en-GB"/>
        </w:rPr>
        <w:t xml:space="preserve"> </w:t>
      </w:r>
      <w:r w:rsidR="00ED6C45" w:rsidRPr="005302CB">
        <w:rPr>
          <w:rFonts w:ascii="Arial" w:hAnsi="Arial" w:cs="Arial"/>
          <w:sz w:val="24"/>
          <w:szCs w:val="24"/>
          <w:lang w:val="en-GB"/>
        </w:rPr>
        <w:t>contemplated by section 8(b) of the Insolvency Act</w:t>
      </w:r>
      <w:r w:rsidR="009C03D8" w:rsidRPr="005302CB">
        <w:rPr>
          <w:rFonts w:ascii="Arial" w:hAnsi="Arial" w:cs="Arial"/>
          <w:sz w:val="24"/>
          <w:szCs w:val="24"/>
          <w:lang w:val="en-GB"/>
        </w:rPr>
        <w:t>.</w:t>
      </w:r>
      <w:r>
        <w:rPr>
          <w:rFonts w:ascii="Arial" w:hAnsi="Arial" w:cs="Arial"/>
          <w:sz w:val="24"/>
          <w:szCs w:val="24"/>
          <w:lang w:val="en-GB"/>
        </w:rPr>
        <w:t xml:space="preserve"> </w:t>
      </w:r>
      <w:r w:rsidR="00ED6C45" w:rsidRPr="005302CB">
        <w:rPr>
          <w:rFonts w:ascii="Arial" w:hAnsi="Arial" w:cs="Arial"/>
          <w:sz w:val="24"/>
          <w:szCs w:val="24"/>
          <w:lang w:val="en-GB"/>
        </w:rPr>
        <w:t>T</w:t>
      </w:r>
      <w:r w:rsidR="00387B3D" w:rsidRPr="005302CB">
        <w:rPr>
          <w:rFonts w:ascii="Arial" w:hAnsi="Arial" w:cs="Arial"/>
          <w:sz w:val="24"/>
          <w:szCs w:val="24"/>
          <w:lang w:val="en-GB"/>
        </w:rPr>
        <w:t xml:space="preserve">he respondent is </w:t>
      </w:r>
      <w:r w:rsidR="00ED6C45" w:rsidRPr="005302CB">
        <w:rPr>
          <w:rFonts w:ascii="Arial" w:hAnsi="Arial" w:cs="Arial"/>
          <w:sz w:val="24"/>
          <w:szCs w:val="24"/>
          <w:lang w:val="en-GB"/>
        </w:rPr>
        <w:t xml:space="preserve">also </w:t>
      </w:r>
      <w:r w:rsidR="00387B3D" w:rsidRPr="005302CB">
        <w:rPr>
          <w:rFonts w:ascii="Arial" w:hAnsi="Arial" w:cs="Arial"/>
          <w:sz w:val="24"/>
          <w:szCs w:val="24"/>
          <w:lang w:val="en-GB"/>
        </w:rPr>
        <w:t>factually insolvent</w:t>
      </w:r>
      <w:r w:rsidR="00ED6C45" w:rsidRPr="005302CB">
        <w:rPr>
          <w:rFonts w:ascii="Arial" w:hAnsi="Arial" w:cs="Arial"/>
          <w:sz w:val="24"/>
          <w:szCs w:val="24"/>
          <w:lang w:val="en-GB"/>
        </w:rPr>
        <w:t xml:space="preserve">. </w:t>
      </w:r>
      <w:r w:rsidR="000161E0">
        <w:rPr>
          <w:rFonts w:ascii="Arial" w:hAnsi="Arial" w:cs="Arial"/>
          <w:sz w:val="24"/>
          <w:szCs w:val="24"/>
          <w:lang w:val="en-GB"/>
        </w:rPr>
        <w:t>He states he has no assets, although h</w:t>
      </w:r>
      <w:r w:rsidR="000161E0" w:rsidRPr="00FD5C68">
        <w:rPr>
          <w:rFonts w:ascii="Arial" w:hAnsi="Arial" w:cs="Arial"/>
          <w:sz w:val="24"/>
          <w:szCs w:val="24"/>
          <w:lang w:val="en-GB"/>
        </w:rPr>
        <w:t>e has not put up any bank statements or tax returns in support of that statement.</w:t>
      </w:r>
      <w:r w:rsidR="000161E0">
        <w:rPr>
          <w:rFonts w:ascii="Arial" w:hAnsi="Arial" w:cs="Arial"/>
          <w:sz w:val="24"/>
          <w:szCs w:val="24"/>
          <w:lang w:val="en-GB"/>
        </w:rPr>
        <w:t xml:space="preserve"> I</w:t>
      </w:r>
      <w:r w:rsidR="002361F5" w:rsidRPr="005302CB">
        <w:rPr>
          <w:rFonts w:ascii="Arial" w:hAnsi="Arial" w:cs="Arial"/>
          <w:sz w:val="24"/>
          <w:szCs w:val="24"/>
          <w:lang w:val="en-GB"/>
        </w:rPr>
        <w:t xml:space="preserve">n addition to the judgment in favour of the applicant, there are three other judgments against the respondent, which exceed in aggregate R36 million, excluding the judgment granted at the instance of Investec Bank referred to at the outset of this judgment. </w:t>
      </w:r>
      <w:r w:rsidR="000161E0" w:rsidRPr="000161E0">
        <w:rPr>
          <w:rFonts w:ascii="Arial" w:hAnsi="Arial" w:cs="Arial"/>
          <w:sz w:val="24"/>
          <w:szCs w:val="24"/>
          <w:lang w:val="en-GB"/>
        </w:rPr>
        <w:t>A</w:t>
      </w:r>
      <w:r w:rsidR="009E7C7A" w:rsidRPr="000161E0">
        <w:rPr>
          <w:rFonts w:ascii="Arial" w:hAnsi="Arial" w:cs="Arial"/>
          <w:sz w:val="24"/>
          <w:szCs w:val="24"/>
          <w:lang w:val="en-GB"/>
        </w:rPr>
        <w:t>ll</w:t>
      </w:r>
      <w:r w:rsidR="00BB6EB4" w:rsidRPr="000161E0">
        <w:rPr>
          <w:rFonts w:ascii="Arial" w:hAnsi="Arial" w:cs="Arial"/>
          <w:sz w:val="24"/>
          <w:szCs w:val="24"/>
          <w:lang w:val="en-GB"/>
        </w:rPr>
        <w:t xml:space="preserve"> these d</w:t>
      </w:r>
      <w:r w:rsidR="009E7C7A" w:rsidRPr="000161E0">
        <w:rPr>
          <w:rFonts w:ascii="Arial" w:hAnsi="Arial" w:cs="Arial"/>
          <w:sz w:val="24"/>
          <w:szCs w:val="24"/>
          <w:lang w:val="en-GB"/>
        </w:rPr>
        <w:t xml:space="preserve">ebts </w:t>
      </w:r>
      <w:r w:rsidR="00BB6EB4" w:rsidRPr="000161E0">
        <w:rPr>
          <w:rFonts w:ascii="Arial" w:hAnsi="Arial" w:cs="Arial"/>
          <w:sz w:val="24"/>
          <w:szCs w:val="24"/>
          <w:lang w:val="en-GB"/>
        </w:rPr>
        <w:t>arose b</w:t>
      </w:r>
      <w:r w:rsidR="000161E0" w:rsidRPr="000161E0">
        <w:rPr>
          <w:rFonts w:ascii="Arial" w:hAnsi="Arial" w:cs="Arial"/>
          <w:sz w:val="24"/>
          <w:szCs w:val="24"/>
          <w:lang w:val="en-GB"/>
        </w:rPr>
        <w:t xml:space="preserve">ecause the respondent </w:t>
      </w:r>
      <w:r w:rsidR="00BB6EB4" w:rsidRPr="000161E0">
        <w:rPr>
          <w:rFonts w:ascii="Arial" w:hAnsi="Arial" w:cs="Arial"/>
          <w:sz w:val="24"/>
          <w:szCs w:val="24"/>
          <w:lang w:val="en-GB"/>
        </w:rPr>
        <w:t>stood surety for Rokwil,</w:t>
      </w:r>
      <w:r w:rsidR="002361F5" w:rsidRPr="000161E0">
        <w:rPr>
          <w:rFonts w:ascii="Arial" w:hAnsi="Arial" w:cs="Arial"/>
          <w:sz w:val="24"/>
          <w:szCs w:val="24"/>
          <w:lang w:val="en-GB"/>
        </w:rPr>
        <w:t xml:space="preserve"> </w:t>
      </w:r>
      <w:r w:rsidR="00BB6EB4" w:rsidRPr="000161E0">
        <w:rPr>
          <w:rFonts w:ascii="Arial" w:hAnsi="Arial" w:cs="Arial"/>
          <w:sz w:val="24"/>
          <w:szCs w:val="24"/>
          <w:lang w:val="en-GB"/>
        </w:rPr>
        <w:t>which</w:t>
      </w:r>
      <w:r w:rsidR="009E7C7A" w:rsidRPr="000161E0">
        <w:rPr>
          <w:rFonts w:ascii="Arial" w:hAnsi="Arial" w:cs="Arial"/>
          <w:sz w:val="24"/>
          <w:szCs w:val="24"/>
          <w:lang w:val="en-GB"/>
        </w:rPr>
        <w:t xml:space="preserve"> </w:t>
      </w:r>
      <w:r w:rsidRPr="000161E0">
        <w:rPr>
          <w:rFonts w:ascii="Arial" w:hAnsi="Arial" w:cs="Arial"/>
          <w:sz w:val="24"/>
          <w:szCs w:val="24"/>
          <w:lang w:val="en-GB"/>
        </w:rPr>
        <w:t>has gone into</w:t>
      </w:r>
      <w:r w:rsidR="009E7C7A" w:rsidRPr="000161E0">
        <w:rPr>
          <w:rFonts w:ascii="Arial" w:hAnsi="Arial" w:cs="Arial"/>
          <w:sz w:val="24"/>
          <w:szCs w:val="24"/>
          <w:lang w:val="en-GB"/>
        </w:rPr>
        <w:t xml:space="preserve"> liquidation.</w:t>
      </w:r>
      <w:r w:rsidR="006B34D2" w:rsidRPr="000161E0">
        <w:rPr>
          <w:rFonts w:ascii="Arial" w:hAnsi="Arial" w:cs="Arial"/>
          <w:sz w:val="24"/>
          <w:szCs w:val="24"/>
          <w:lang w:val="en-GB"/>
        </w:rPr>
        <w:t xml:space="preserve"> </w:t>
      </w:r>
      <w:r w:rsidR="009E7C7A" w:rsidRPr="000161E0">
        <w:rPr>
          <w:rFonts w:ascii="Arial" w:hAnsi="Arial" w:cs="Arial"/>
          <w:sz w:val="24"/>
          <w:szCs w:val="24"/>
          <w:lang w:val="en-GB"/>
        </w:rPr>
        <w:t xml:space="preserve">The respondent has additional contingent liabilities of between R 242 and R 342 million arising </w:t>
      </w:r>
      <w:r w:rsidR="00596EFB" w:rsidRPr="000161E0">
        <w:rPr>
          <w:rFonts w:ascii="Arial" w:hAnsi="Arial" w:cs="Arial"/>
          <w:sz w:val="24"/>
          <w:szCs w:val="24"/>
          <w:lang w:val="en-GB"/>
        </w:rPr>
        <w:t>out of</w:t>
      </w:r>
      <w:r w:rsidR="009E7C7A" w:rsidRPr="000161E0">
        <w:rPr>
          <w:rFonts w:ascii="Arial" w:hAnsi="Arial" w:cs="Arial"/>
          <w:sz w:val="24"/>
          <w:szCs w:val="24"/>
          <w:lang w:val="en-GB"/>
        </w:rPr>
        <w:t xml:space="preserve"> other suretyships which have not yet been called up. </w:t>
      </w:r>
    </w:p>
    <w:p w:rsidR="00453770" w:rsidRPr="00EE262D" w:rsidRDefault="00453770" w:rsidP="00EE262D">
      <w:pPr>
        <w:rPr>
          <w:rFonts w:ascii="Arial" w:hAnsi="Arial" w:cs="Arial"/>
          <w:sz w:val="24"/>
          <w:szCs w:val="24"/>
          <w:lang w:val="en-GB"/>
        </w:rPr>
      </w:pPr>
    </w:p>
    <w:p w:rsidR="002F3D64" w:rsidRDefault="00ED6C45" w:rsidP="00B061EF">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respondent </w:t>
      </w:r>
      <w:r w:rsidR="005302CB">
        <w:rPr>
          <w:rFonts w:ascii="Arial" w:hAnsi="Arial" w:cs="Arial"/>
          <w:sz w:val="24"/>
          <w:szCs w:val="24"/>
          <w:lang w:val="en-GB"/>
        </w:rPr>
        <w:t xml:space="preserve">asserts that </w:t>
      </w:r>
      <w:r w:rsidR="005F6C50">
        <w:rPr>
          <w:rFonts w:ascii="Arial" w:hAnsi="Arial" w:cs="Arial"/>
          <w:sz w:val="24"/>
          <w:szCs w:val="24"/>
          <w:lang w:val="en-GB"/>
        </w:rPr>
        <w:t>the sequestration of his estate will not be to the advantage of creditors</w:t>
      </w:r>
      <w:r w:rsidR="000161E0">
        <w:rPr>
          <w:rFonts w:ascii="Arial" w:hAnsi="Arial" w:cs="Arial"/>
          <w:sz w:val="24"/>
          <w:szCs w:val="24"/>
          <w:lang w:val="en-GB"/>
        </w:rPr>
        <w:t xml:space="preserve"> because he has no assets with which to satisfy any of the judgments</w:t>
      </w:r>
      <w:r w:rsidRPr="00FD5C68">
        <w:rPr>
          <w:rFonts w:ascii="Arial" w:hAnsi="Arial" w:cs="Arial"/>
          <w:sz w:val="24"/>
          <w:szCs w:val="24"/>
          <w:lang w:val="en-GB"/>
        </w:rPr>
        <w:t>.</w:t>
      </w:r>
      <w:r w:rsidR="00D11D1C" w:rsidRPr="00FD5C68">
        <w:rPr>
          <w:rFonts w:ascii="Arial" w:hAnsi="Arial" w:cs="Arial"/>
          <w:sz w:val="24"/>
          <w:szCs w:val="24"/>
          <w:lang w:val="en-GB"/>
        </w:rPr>
        <w:t xml:space="preserve"> </w:t>
      </w:r>
    </w:p>
    <w:p w:rsidR="00B061EF" w:rsidRPr="00EE262D" w:rsidRDefault="00B061EF" w:rsidP="00EE262D">
      <w:pPr>
        <w:rPr>
          <w:rFonts w:ascii="Arial" w:hAnsi="Arial" w:cs="Arial"/>
          <w:sz w:val="24"/>
          <w:szCs w:val="24"/>
          <w:lang w:val="en-GB"/>
        </w:rPr>
      </w:pPr>
    </w:p>
    <w:p w:rsidR="00453770" w:rsidRDefault="00387B3D" w:rsidP="007751AB">
      <w:pPr>
        <w:numPr>
          <w:ilvl w:val="0"/>
          <w:numId w:val="2"/>
        </w:numPr>
        <w:spacing w:after="0" w:line="360" w:lineRule="auto"/>
        <w:jc w:val="both"/>
        <w:rPr>
          <w:rFonts w:ascii="Arial" w:hAnsi="Arial" w:cs="Arial"/>
          <w:sz w:val="24"/>
          <w:szCs w:val="24"/>
          <w:lang w:val="en-GB"/>
        </w:rPr>
      </w:pPr>
      <w:r w:rsidRPr="005302CB">
        <w:rPr>
          <w:rFonts w:ascii="Arial" w:hAnsi="Arial" w:cs="Arial"/>
          <w:sz w:val="24"/>
          <w:szCs w:val="24"/>
          <w:lang w:val="en-GB"/>
        </w:rPr>
        <w:t xml:space="preserve">The only issue is </w:t>
      </w:r>
      <w:r w:rsidR="005F6C50" w:rsidRPr="005302CB">
        <w:rPr>
          <w:rFonts w:ascii="Arial" w:hAnsi="Arial" w:cs="Arial"/>
          <w:sz w:val="24"/>
          <w:szCs w:val="24"/>
          <w:lang w:val="en-GB"/>
        </w:rPr>
        <w:t xml:space="preserve">therefore </w:t>
      </w:r>
      <w:r w:rsidRPr="005302CB">
        <w:rPr>
          <w:rFonts w:ascii="Arial" w:hAnsi="Arial" w:cs="Arial"/>
          <w:sz w:val="24"/>
          <w:szCs w:val="24"/>
          <w:lang w:val="en-GB"/>
        </w:rPr>
        <w:t>whether the</w:t>
      </w:r>
      <w:r w:rsidR="005302CB" w:rsidRPr="005302CB">
        <w:rPr>
          <w:rFonts w:ascii="Arial" w:hAnsi="Arial" w:cs="Arial"/>
          <w:sz w:val="24"/>
          <w:szCs w:val="24"/>
          <w:lang w:val="en-GB"/>
        </w:rPr>
        <w:t>re</w:t>
      </w:r>
      <w:r w:rsidRPr="005302CB">
        <w:rPr>
          <w:rFonts w:ascii="Arial" w:hAnsi="Arial" w:cs="Arial"/>
          <w:sz w:val="24"/>
          <w:szCs w:val="24"/>
          <w:lang w:val="en-GB"/>
        </w:rPr>
        <w:t xml:space="preserve"> </w:t>
      </w:r>
      <w:r w:rsidR="00C16CCD" w:rsidRPr="005302CB">
        <w:rPr>
          <w:rFonts w:ascii="Arial" w:hAnsi="Arial" w:cs="Arial"/>
          <w:sz w:val="24"/>
          <w:szCs w:val="24"/>
          <w:lang w:val="en-GB"/>
        </w:rPr>
        <w:t xml:space="preserve">is reason to believe </w:t>
      </w:r>
      <w:r w:rsidRPr="005302CB">
        <w:rPr>
          <w:rFonts w:ascii="Arial" w:hAnsi="Arial" w:cs="Arial"/>
          <w:sz w:val="24"/>
          <w:szCs w:val="24"/>
          <w:lang w:val="en-GB"/>
        </w:rPr>
        <w:t>that the sequestration of the respondent’s estate will be to the advantage of creditors</w:t>
      </w:r>
      <w:r w:rsidR="005302CB" w:rsidRPr="005302CB">
        <w:rPr>
          <w:rFonts w:ascii="Arial" w:hAnsi="Arial" w:cs="Arial"/>
          <w:sz w:val="24"/>
          <w:szCs w:val="24"/>
          <w:lang w:val="en-GB"/>
        </w:rPr>
        <w:t>.</w:t>
      </w:r>
      <w:r w:rsidR="005F6C50" w:rsidRPr="005302CB">
        <w:rPr>
          <w:rFonts w:ascii="Arial" w:hAnsi="Arial" w:cs="Arial"/>
          <w:sz w:val="24"/>
          <w:szCs w:val="24"/>
          <w:lang w:val="en-GB"/>
        </w:rPr>
        <w:t xml:space="preserve"> </w:t>
      </w:r>
    </w:p>
    <w:p w:rsidR="005302CB" w:rsidRPr="005302CB" w:rsidRDefault="005302CB" w:rsidP="005302CB">
      <w:pPr>
        <w:spacing w:after="0" w:line="360" w:lineRule="auto"/>
        <w:jc w:val="both"/>
        <w:rPr>
          <w:rFonts w:ascii="Arial" w:hAnsi="Arial" w:cs="Arial"/>
          <w:sz w:val="24"/>
          <w:szCs w:val="24"/>
          <w:lang w:val="en-GB"/>
        </w:rPr>
      </w:pPr>
    </w:p>
    <w:p w:rsidR="00F14DEB" w:rsidRDefault="000849EC" w:rsidP="00964551">
      <w:pPr>
        <w:numPr>
          <w:ilvl w:val="0"/>
          <w:numId w:val="2"/>
        </w:numPr>
        <w:spacing w:after="0" w:line="360" w:lineRule="auto"/>
        <w:jc w:val="both"/>
        <w:rPr>
          <w:rFonts w:ascii="Arial" w:hAnsi="Arial" w:cs="Arial"/>
          <w:sz w:val="24"/>
          <w:szCs w:val="24"/>
          <w:lang w:val="en-GB"/>
        </w:rPr>
      </w:pPr>
      <w:r w:rsidRPr="00964551">
        <w:rPr>
          <w:sz w:val="28"/>
          <w:szCs w:val="28"/>
        </w:rPr>
        <w:t>The</w:t>
      </w:r>
      <w:r>
        <w:rPr>
          <w:rFonts w:ascii="Arial" w:hAnsi="Arial" w:cs="Arial"/>
          <w:sz w:val="24"/>
          <w:szCs w:val="24"/>
          <w:lang w:val="en-GB"/>
        </w:rPr>
        <w:t xml:space="preserve"> </w:t>
      </w:r>
      <w:r w:rsidR="00F43528">
        <w:rPr>
          <w:rFonts w:ascii="Arial" w:hAnsi="Arial" w:cs="Arial"/>
          <w:sz w:val="24"/>
          <w:szCs w:val="24"/>
          <w:lang w:val="en-GB"/>
        </w:rPr>
        <w:t xml:space="preserve">applicant bears the </w:t>
      </w:r>
      <w:r>
        <w:rPr>
          <w:rFonts w:ascii="Arial" w:hAnsi="Arial" w:cs="Arial"/>
          <w:sz w:val="24"/>
          <w:szCs w:val="24"/>
          <w:lang w:val="en-GB"/>
        </w:rPr>
        <w:t xml:space="preserve">onus </w:t>
      </w:r>
      <w:r w:rsidR="00F43528">
        <w:rPr>
          <w:rFonts w:ascii="Arial" w:hAnsi="Arial" w:cs="Arial"/>
          <w:sz w:val="24"/>
          <w:szCs w:val="24"/>
          <w:lang w:val="en-GB"/>
        </w:rPr>
        <w:t>in this regard</w:t>
      </w:r>
      <w:r>
        <w:rPr>
          <w:rFonts w:ascii="Arial" w:hAnsi="Arial" w:cs="Arial"/>
          <w:sz w:val="24"/>
          <w:szCs w:val="24"/>
          <w:lang w:val="en-GB"/>
        </w:rPr>
        <w:t>.</w:t>
      </w:r>
      <w:r>
        <w:rPr>
          <w:rStyle w:val="FootnoteReference"/>
          <w:rFonts w:ascii="Arial" w:hAnsi="Arial" w:cs="Arial"/>
          <w:sz w:val="24"/>
          <w:szCs w:val="24"/>
          <w:lang w:val="en-GB"/>
        </w:rPr>
        <w:footnoteReference w:id="2"/>
      </w:r>
      <w:r>
        <w:rPr>
          <w:rFonts w:ascii="Arial" w:hAnsi="Arial" w:cs="Arial"/>
          <w:sz w:val="24"/>
          <w:szCs w:val="24"/>
          <w:lang w:val="en-GB"/>
        </w:rPr>
        <w:t xml:space="preserve"> </w:t>
      </w:r>
      <w:r w:rsidR="00F43528">
        <w:rPr>
          <w:rFonts w:ascii="Arial" w:hAnsi="Arial" w:cs="Arial"/>
          <w:sz w:val="24"/>
          <w:szCs w:val="24"/>
          <w:lang w:val="en-GB"/>
        </w:rPr>
        <w:t>Discharging th</w:t>
      </w:r>
      <w:r w:rsidR="005302CB">
        <w:rPr>
          <w:rFonts w:ascii="Arial" w:hAnsi="Arial" w:cs="Arial"/>
          <w:sz w:val="24"/>
          <w:szCs w:val="24"/>
          <w:lang w:val="en-GB"/>
        </w:rPr>
        <w:t>at</w:t>
      </w:r>
      <w:r w:rsidR="00F43528">
        <w:rPr>
          <w:rFonts w:ascii="Arial" w:hAnsi="Arial" w:cs="Arial"/>
          <w:sz w:val="24"/>
          <w:szCs w:val="24"/>
          <w:lang w:val="en-GB"/>
        </w:rPr>
        <w:t xml:space="preserve"> onus </w:t>
      </w:r>
      <w:r w:rsidR="00C16CCD">
        <w:rPr>
          <w:rFonts w:ascii="Arial" w:hAnsi="Arial" w:cs="Arial"/>
          <w:sz w:val="24"/>
          <w:szCs w:val="24"/>
          <w:lang w:val="en-GB"/>
        </w:rPr>
        <w:t>does not require proof on a balance of probabilities</w:t>
      </w:r>
      <w:r w:rsidR="002F3D64">
        <w:rPr>
          <w:rFonts w:ascii="Arial" w:hAnsi="Arial" w:cs="Arial"/>
          <w:sz w:val="24"/>
          <w:szCs w:val="24"/>
          <w:lang w:val="en-GB"/>
        </w:rPr>
        <w:t xml:space="preserve"> </w:t>
      </w:r>
      <w:r w:rsidR="00C16CCD">
        <w:rPr>
          <w:rFonts w:ascii="Arial" w:hAnsi="Arial" w:cs="Arial"/>
          <w:sz w:val="24"/>
          <w:szCs w:val="24"/>
          <w:lang w:val="en-GB"/>
        </w:rPr>
        <w:t>that advantage will accrue, simply th</w:t>
      </w:r>
      <w:r w:rsidR="00FD5C68">
        <w:rPr>
          <w:rFonts w:ascii="Arial" w:hAnsi="Arial" w:cs="Arial"/>
          <w:sz w:val="24"/>
          <w:szCs w:val="24"/>
          <w:lang w:val="en-GB"/>
        </w:rPr>
        <w:t>at</w:t>
      </w:r>
      <w:r w:rsidR="00C16CCD">
        <w:rPr>
          <w:rFonts w:ascii="Arial" w:hAnsi="Arial" w:cs="Arial"/>
          <w:sz w:val="24"/>
          <w:szCs w:val="24"/>
          <w:lang w:val="en-GB"/>
        </w:rPr>
        <w:t xml:space="preserve"> there is reason to believe that an advantage will accrue, which is a considerably lower threshold.</w:t>
      </w:r>
      <w:r w:rsidR="00C16CCD">
        <w:rPr>
          <w:rStyle w:val="FootnoteReference"/>
          <w:rFonts w:ascii="Arial" w:hAnsi="Arial" w:cs="Arial"/>
          <w:sz w:val="24"/>
          <w:szCs w:val="24"/>
          <w:lang w:val="en-GB"/>
        </w:rPr>
        <w:footnoteReference w:id="3"/>
      </w:r>
      <w:r>
        <w:rPr>
          <w:rFonts w:ascii="Arial" w:hAnsi="Arial" w:cs="Arial"/>
          <w:sz w:val="24"/>
          <w:szCs w:val="24"/>
          <w:lang w:val="en-GB"/>
        </w:rPr>
        <w:t xml:space="preserve"> </w:t>
      </w:r>
    </w:p>
    <w:p w:rsidR="00047795" w:rsidRDefault="00047795" w:rsidP="00047795">
      <w:pPr>
        <w:spacing w:after="0" w:line="360" w:lineRule="auto"/>
        <w:jc w:val="both"/>
        <w:rPr>
          <w:rFonts w:ascii="Arial" w:hAnsi="Arial" w:cs="Arial"/>
          <w:sz w:val="24"/>
          <w:szCs w:val="24"/>
          <w:lang w:val="en-GB"/>
        </w:rPr>
      </w:pPr>
    </w:p>
    <w:p w:rsidR="002F3D64" w:rsidRDefault="002F3D64"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In </w:t>
      </w:r>
      <w:r>
        <w:rPr>
          <w:rFonts w:ascii="Arial" w:hAnsi="Arial" w:cs="Arial"/>
          <w:i/>
          <w:sz w:val="24"/>
          <w:szCs w:val="24"/>
          <w:lang w:val="en-GB"/>
        </w:rPr>
        <w:t xml:space="preserve">Stratford and others v Investec Bank Ltd and </w:t>
      </w:r>
      <w:r w:rsidR="00FE1E63">
        <w:rPr>
          <w:rFonts w:ascii="Arial" w:hAnsi="Arial" w:cs="Arial"/>
          <w:i/>
          <w:sz w:val="24"/>
          <w:szCs w:val="24"/>
          <w:lang w:val="en-GB"/>
        </w:rPr>
        <w:t>o</w:t>
      </w:r>
      <w:r>
        <w:rPr>
          <w:rFonts w:ascii="Arial" w:hAnsi="Arial" w:cs="Arial"/>
          <w:i/>
          <w:sz w:val="24"/>
          <w:szCs w:val="24"/>
          <w:lang w:val="en-GB"/>
        </w:rPr>
        <w:t xml:space="preserve">thers </w:t>
      </w:r>
      <w:r w:rsidRPr="00E51D4B">
        <w:rPr>
          <w:rFonts w:ascii="Arial" w:hAnsi="Arial" w:cs="Arial"/>
          <w:iCs/>
          <w:sz w:val="24"/>
          <w:szCs w:val="24"/>
          <w:lang w:val="en-GB"/>
        </w:rPr>
        <w:t>2015 (3) SA 1 (CC</w:t>
      </w:r>
      <w:r>
        <w:rPr>
          <w:rFonts w:ascii="Arial" w:hAnsi="Arial" w:cs="Arial"/>
          <w:i/>
          <w:sz w:val="24"/>
          <w:szCs w:val="24"/>
          <w:lang w:val="en-GB"/>
        </w:rPr>
        <w:t>)</w:t>
      </w:r>
      <w:r>
        <w:rPr>
          <w:rFonts w:ascii="Arial" w:hAnsi="Arial" w:cs="Arial"/>
          <w:sz w:val="24"/>
          <w:szCs w:val="24"/>
          <w:lang w:val="en-GB"/>
        </w:rPr>
        <w:t xml:space="preserve"> para 43</w:t>
      </w:r>
      <w:r w:rsidR="005302CB">
        <w:rPr>
          <w:rFonts w:ascii="Arial" w:hAnsi="Arial" w:cs="Arial"/>
          <w:sz w:val="24"/>
          <w:szCs w:val="24"/>
          <w:lang w:val="en-GB"/>
        </w:rPr>
        <w:t>,</w:t>
      </w:r>
      <w:r>
        <w:rPr>
          <w:rFonts w:ascii="Arial" w:hAnsi="Arial" w:cs="Arial"/>
          <w:sz w:val="24"/>
          <w:szCs w:val="24"/>
          <w:lang w:val="en-GB"/>
        </w:rPr>
        <w:t xml:space="preserve"> the Constitutional Court reaffirmed the principle of long standing originally articulated in </w:t>
      </w:r>
      <w:r>
        <w:rPr>
          <w:rFonts w:ascii="Arial" w:hAnsi="Arial" w:cs="Arial"/>
          <w:i/>
          <w:sz w:val="24"/>
          <w:szCs w:val="24"/>
          <w:lang w:val="en-GB"/>
        </w:rPr>
        <w:t xml:space="preserve">Meskin &amp; Co v Friedman </w:t>
      </w:r>
      <w:r w:rsidRPr="00E51D4B">
        <w:rPr>
          <w:rFonts w:ascii="Arial" w:hAnsi="Arial" w:cs="Arial"/>
          <w:iCs/>
          <w:sz w:val="24"/>
          <w:szCs w:val="24"/>
          <w:lang w:val="en-GB"/>
        </w:rPr>
        <w:t>194</w:t>
      </w:r>
      <w:r w:rsidR="00FE1E63">
        <w:rPr>
          <w:rFonts w:ascii="Arial" w:hAnsi="Arial" w:cs="Arial"/>
          <w:iCs/>
          <w:sz w:val="24"/>
          <w:szCs w:val="24"/>
          <w:lang w:val="en-GB"/>
        </w:rPr>
        <w:t>8</w:t>
      </w:r>
      <w:r w:rsidRPr="00E51D4B">
        <w:rPr>
          <w:rFonts w:ascii="Arial" w:hAnsi="Arial" w:cs="Arial"/>
          <w:iCs/>
          <w:sz w:val="24"/>
          <w:szCs w:val="24"/>
          <w:lang w:val="en-GB"/>
        </w:rPr>
        <w:t xml:space="preserve"> (2) SA 555 (W) </w:t>
      </w:r>
      <w:r w:rsidRPr="00FE1E63">
        <w:rPr>
          <w:rFonts w:ascii="Arial" w:hAnsi="Arial" w:cs="Arial"/>
          <w:iCs/>
          <w:sz w:val="24"/>
          <w:szCs w:val="24"/>
          <w:lang w:val="en-GB"/>
        </w:rPr>
        <w:t>at 559</w:t>
      </w:r>
      <w:r w:rsidRPr="00FE1E63">
        <w:rPr>
          <w:rFonts w:ascii="Arial" w:hAnsi="Arial" w:cs="Arial"/>
          <w:sz w:val="24"/>
          <w:szCs w:val="24"/>
          <w:lang w:val="en-GB"/>
        </w:rPr>
        <w:t xml:space="preserve"> that</w:t>
      </w:r>
      <w:r>
        <w:rPr>
          <w:rFonts w:ascii="Arial" w:hAnsi="Arial" w:cs="Arial"/>
          <w:sz w:val="24"/>
          <w:szCs w:val="24"/>
          <w:lang w:val="en-GB"/>
        </w:rPr>
        <w:t>:</w:t>
      </w:r>
    </w:p>
    <w:p w:rsidR="001F005F" w:rsidRPr="00787B64" w:rsidRDefault="002F3D64" w:rsidP="001F005F">
      <w:pPr>
        <w:spacing w:line="360" w:lineRule="auto"/>
        <w:ind w:left="1418" w:right="970"/>
        <w:jc w:val="both"/>
        <w:rPr>
          <w:rFonts w:ascii="Arial" w:hAnsi="Arial" w:cs="Arial"/>
          <w:lang w:val="en-GB"/>
        </w:rPr>
      </w:pPr>
      <w:r w:rsidRPr="00D77511">
        <w:rPr>
          <w:rFonts w:ascii="Arial" w:hAnsi="Arial" w:cs="Arial"/>
          <w:lang w:val="en-GB"/>
        </w:rPr>
        <w:t>‘</w:t>
      </w:r>
      <w:r w:rsidR="00FE1E63">
        <w:rPr>
          <w:rFonts w:ascii="Arial" w:hAnsi="Arial" w:cs="Arial"/>
          <w:lang w:val="en-GB"/>
        </w:rPr>
        <w:t>..t</w:t>
      </w:r>
      <w:r w:rsidRPr="00D77511">
        <w:rPr>
          <w:rFonts w:ascii="Arial" w:hAnsi="Arial" w:cs="Arial"/>
          <w:lang w:val="en-GB"/>
        </w:rPr>
        <w:t xml:space="preserve">he facts put before the Court must satisfy it that there is a reasonable prospect – not necessarily a likelihood, but a prospect which is not too remote – that some pecuniary benefit will result to creditors. It is not necessary to prove that </w:t>
      </w:r>
      <w:r>
        <w:rPr>
          <w:rFonts w:ascii="Arial" w:hAnsi="Arial" w:cs="Arial"/>
          <w:lang w:val="en-GB"/>
        </w:rPr>
        <w:t xml:space="preserve">the </w:t>
      </w:r>
      <w:r w:rsidRPr="00D77511">
        <w:rPr>
          <w:rFonts w:ascii="Arial" w:hAnsi="Arial" w:cs="Arial"/>
          <w:lang w:val="en-GB"/>
        </w:rPr>
        <w:t xml:space="preserve">insolvent has any </w:t>
      </w:r>
      <w:r w:rsidRPr="001F005F">
        <w:rPr>
          <w:rFonts w:ascii="Arial" w:hAnsi="Arial" w:cs="Arial"/>
          <w:lang w:val="en-GB"/>
        </w:rPr>
        <w:t>assets. Even if there are none at all, but there are reasons for thinking</w:t>
      </w:r>
      <w:r w:rsidRPr="00D77511">
        <w:rPr>
          <w:rFonts w:ascii="Arial" w:hAnsi="Arial" w:cs="Arial"/>
          <w:lang w:val="en-GB"/>
        </w:rPr>
        <w:t xml:space="preserve"> that as a result of enquiry under the [Insolvency Act] some may be </w:t>
      </w:r>
      <w:r w:rsidRPr="00787B64">
        <w:rPr>
          <w:rFonts w:ascii="Arial" w:hAnsi="Arial" w:cs="Arial"/>
          <w:lang w:val="en-GB"/>
        </w:rPr>
        <w:t>revealed or recovered for the benefits of creditors, that is sufficient.’</w:t>
      </w:r>
    </w:p>
    <w:p w:rsidR="001F005F" w:rsidRPr="00787B64" w:rsidRDefault="001F005F" w:rsidP="001F005F">
      <w:pPr>
        <w:spacing w:line="360" w:lineRule="auto"/>
        <w:ind w:left="1418" w:right="970"/>
        <w:jc w:val="both"/>
        <w:rPr>
          <w:rFonts w:ascii="Arial" w:hAnsi="Arial" w:cs="Arial"/>
          <w:lang w:val="en-GB"/>
        </w:rPr>
      </w:pPr>
    </w:p>
    <w:p w:rsidR="002F3D64" w:rsidRPr="00787B64" w:rsidRDefault="005F6C50" w:rsidP="00964551">
      <w:pPr>
        <w:numPr>
          <w:ilvl w:val="0"/>
          <w:numId w:val="2"/>
        </w:numPr>
        <w:spacing w:after="0" w:line="360" w:lineRule="auto"/>
        <w:jc w:val="both"/>
        <w:rPr>
          <w:rFonts w:ascii="Arial" w:hAnsi="Arial" w:cs="Arial"/>
          <w:iCs/>
          <w:sz w:val="24"/>
          <w:szCs w:val="24"/>
          <w:lang w:val="en-GB"/>
        </w:rPr>
      </w:pPr>
      <w:r w:rsidRPr="00787B64">
        <w:rPr>
          <w:rFonts w:ascii="Arial" w:hAnsi="Arial" w:cs="Arial"/>
          <w:sz w:val="24"/>
          <w:szCs w:val="24"/>
          <w:lang w:val="en-GB"/>
        </w:rPr>
        <w:t>In addition, a</w:t>
      </w:r>
      <w:r w:rsidR="002F3D64" w:rsidRPr="00787B64">
        <w:rPr>
          <w:rFonts w:ascii="Arial" w:hAnsi="Arial" w:cs="Arial"/>
          <w:sz w:val="24"/>
          <w:szCs w:val="24"/>
          <w:lang w:val="en-GB"/>
        </w:rPr>
        <w:t xml:space="preserve">s was stated in the oft endorsed </w:t>
      </w:r>
      <w:r w:rsidR="002F3D64" w:rsidRPr="00787B64">
        <w:rPr>
          <w:rFonts w:ascii="Arial" w:hAnsi="Arial" w:cs="Arial"/>
          <w:i/>
          <w:iCs/>
          <w:sz w:val="24"/>
          <w:szCs w:val="24"/>
          <w:lang w:val="en-GB"/>
        </w:rPr>
        <w:t>dictum</w:t>
      </w:r>
      <w:r w:rsidR="002F3D64" w:rsidRPr="00787B64">
        <w:rPr>
          <w:rFonts w:ascii="Arial" w:hAnsi="Arial" w:cs="Arial"/>
          <w:sz w:val="24"/>
          <w:szCs w:val="24"/>
          <w:lang w:val="en-GB"/>
        </w:rPr>
        <w:t xml:space="preserve"> in </w:t>
      </w:r>
      <w:r w:rsidR="002F3D64" w:rsidRPr="00787B64">
        <w:rPr>
          <w:rFonts w:ascii="Arial" w:hAnsi="Arial" w:cs="Arial"/>
          <w:i/>
          <w:sz w:val="24"/>
          <w:szCs w:val="24"/>
          <w:lang w:val="en-GB"/>
        </w:rPr>
        <w:t xml:space="preserve">Chenille Industries v Vorster </w:t>
      </w:r>
      <w:r w:rsidR="002F3D64" w:rsidRPr="00787B64">
        <w:rPr>
          <w:rFonts w:ascii="Arial" w:hAnsi="Arial" w:cs="Arial"/>
          <w:iCs/>
          <w:sz w:val="24"/>
          <w:szCs w:val="24"/>
          <w:lang w:val="en-GB"/>
        </w:rPr>
        <w:t>1953</w:t>
      </w:r>
      <w:r w:rsidR="00FE1E63" w:rsidRPr="00787B64">
        <w:rPr>
          <w:rFonts w:ascii="Arial" w:hAnsi="Arial" w:cs="Arial"/>
          <w:iCs/>
          <w:sz w:val="24"/>
          <w:szCs w:val="24"/>
          <w:lang w:val="en-GB"/>
        </w:rPr>
        <w:t xml:space="preserve"> (</w:t>
      </w:r>
      <w:r w:rsidR="002F3D64" w:rsidRPr="00787B64">
        <w:rPr>
          <w:rFonts w:ascii="Arial" w:hAnsi="Arial" w:cs="Arial"/>
          <w:iCs/>
          <w:sz w:val="24"/>
          <w:szCs w:val="24"/>
          <w:lang w:val="en-GB"/>
        </w:rPr>
        <w:t>2</w:t>
      </w:r>
      <w:r w:rsidR="00FE1E63" w:rsidRPr="00787B64">
        <w:rPr>
          <w:rFonts w:ascii="Arial" w:hAnsi="Arial" w:cs="Arial"/>
          <w:iCs/>
          <w:sz w:val="24"/>
          <w:szCs w:val="24"/>
          <w:lang w:val="en-GB"/>
        </w:rPr>
        <w:t xml:space="preserve">) SA 691 </w:t>
      </w:r>
      <w:r w:rsidR="002F3D64" w:rsidRPr="00787B64">
        <w:rPr>
          <w:rFonts w:ascii="Arial" w:hAnsi="Arial" w:cs="Arial"/>
          <w:iCs/>
          <w:sz w:val="24"/>
          <w:szCs w:val="24"/>
          <w:lang w:val="en-GB"/>
        </w:rPr>
        <w:t xml:space="preserve">(O) at p </w:t>
      </w:r>
      <w:r w:rsidR="00FE1E63" w:rsidRPr="00787B64">
        <w:rPr>
          <w:rFonts w:ascii="Arial" w:hAnsi="Arial" w:cs="Arial"/>
          <w:iCs/>
          <w:sz w:val="24"/>
          <w:szCs w:val="24"/>
          <w:lang w:val="en-GB"/>
        </w:rPr>
        <w:t xml:space="preserve">699 F – G </w:t>
      </w:r>
      <w:r w:rsidR="002F3D64" w:rsidRPr="00787B64">
        <w:rPr>
          <w:rFonts w:ascii="Arial" w:hAnsi="Arial" w:cs="Arial"/>
          <w:iCs/>
          <w:sz w:val="24"/>
          <w:szCs w:val="24"/>
          <w:lang w:val="en-GB"/>
        </w:rPr>
        <w:t>:-</w:t>
      </w:r>
    </w:p>
    <w:p w:rsidR="002F3D64" w:rsidRDefault="002F3D64" w:rsidP="00EE262D">
      <w:pPr>
        <w:spacing w:line="360" w:lineRule="auto"/>
        <w:ind w:left="1440" w:right="996"/>
        <w:jc w:val="both"/>
        <w:rPr>
          <w:rFonts w:ascii="Arial" w:hAnsi="Arial" w:cs="Arial"/>
          <w:lang w:val="en-GB"/>
        </w:rPr>
      </w:pPr>
      <w:r w:rsidRPr="00787B64">
        <w:rPr>
          <w:rFonts w:ascii="Arial" w:hAnsi="Arial" w:cs="Arial"/>
          <w:lang w:val="en-GB"/>
        </w:rPr>
        <w:t>‘Apart from the direct financial</w:t>
      </w:r>
      <w:r w:rsidR="00A12926" w:rsidRPr="00787B64">
        <w:rPr>
          <w:rFonts w:ascii="Arial" w:hAnsi="Arial" w:cs="Arial"/>
          <w:lang w:val="en-GB"/>
        </w:rPr>
        <w:t xml:space="preserve"> </w:t>
      </w:r>
      <w:r w:rsidRPr="00787B64">
        <w:rPr>
          <w:rFonts w:ascii="Arial" w:hAnsi="Arial" w:cs="Arial"/>
          <w:lang w:val="en-GB"/>
        </w:rPr>
        <w:t xml:space="preserve">advantage resulting from sequestration, the Court must have regard, </w:t>
      </w:r>
      <w:r w:rsidRPr="00787B64">
        <w:rPr>
          <w:rFonts w:ascii="Arial" w:hAnsi="Arial" w:cs="Arial"/>
          <w:i/>
          <w:iCs/>
          <w:lang w:val="en-GB"/>
        </w:rPr>
        <w:t>inter alia,</w:t>
      </w:r>
      <w:r w:rsidRPr="00787B64">
        <w:rPr>
          <w:rFonts w:ascii="Arial" w:hAnsi="Arial" w:cs="Arial"/>
          <w:lang w:val="en-GB"/>
        </w:rPr>
        <w:t xml:space="preserve"> to the superior legal machinery which creditors acquire by sequestration, the right to control the collection, custody, and disposal of all the assets through their nominee, the trustee, the right to control similarly the sale of the assets, the certainty that the insolvent cannot contract further debts and administer the estate, and the assurance that all creditors will be accorded the treatment prescribed by law in the division of the proceeds.’</w:t>
      </w:r>
    </w:p>
    <w:p w:rsidR="001F005F" w:rsidRDefault="001F005F" w:rsidP="00EE262D">
      <w:pPr>
        <w:spacing w:line="360" w:lineRule="auto"/>
        <w:ind w:left="1440" w:right="996"/>
        <w:jc w:val="both"/>
        <w:rPr>
          <w:rFonts w:ascii="Arial" w:hAnsi="Arial" w:cs="Arial"/>
          <w:lang w:val="en-GB"/>
        </w:rPr>
      </w:pPr>
    </w:p>
    <w:p w:rsidR="00B061EF" w:rsidRPr="0043001F" w:rsidRDefault="005F6C50" w:rsidP="00B061EF">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It is convenient whilst considering matters of principle to deal with the submissions made by t</w:t>
      </w:r>
      <w:r w:rsidR="001E641E">
        <w:rPr>
          <w:rFonts w:ascii="Arial" w:hAnsi="Arial" w:cs="Arial"/>
          <w:sz w:val="24"/>
          <w:szCs w:val="24"/>
          <w:lang w:val="en-GB"/>
        </w:rPr>
        <w:t xml:space="preserve">he respondent </w:t>
      </w:r>
      <w:r>
        <w:rPr>
          <w:rFonts w:ascii="Arial" w:hAnsi="Arial" w:cs="Arial"/>
          <w:sz w:val="24"/>
          <w:szCs w:val="24"/>
          <w:lang w:val="en-GB"/>
        </w:rPr>
        <w:t xml:space="preserve">on the basis of the well-established requirement </w:t>
      </w:r>
      <w:r w:rsidR="001E641E">
        <w:rPr>
          <w:rFonts w:ascii="Arial" w:hAnsi="Arial" w:cs="Arial"/>
          <w:sz w:val="24"/>
          <w:szCs w:val="24"/>
          <w:lang w:val="en-GB"/>
        </w:rPr>
        <w:t>that sequestration must be to the advantage of all creditors</w:t>
      </w:r>
      <w:r w:rsidR="00E44901">
        <w:rPr>
          <w:rFonts w:ascii="Arial" w:hAnsi="Arial" w:cs="Arial"/>
          <w:sz w:val="24"/>
          <w:szCs w:val="24"/>
          <w:lang w:val="en-GB"/>
        </w:rPr>
        <w:t>,</w:t>
      </w:r>
      <w:r w:rsidR="001E641E">
        <w:rPr>
          <w:rFonts w:ascii="Arial" w:hAnsi="Arial" w:cs="Arial"/>
          <w:sz w:val="24"/>
          <w:szCs w:val="24"/>
          <w:lang w:val="en-GB"/>
        </w:rPr>
        <w:t xml:space="preserve"> or at least the general body of creditors</w:t>
      </w:r>
      <w:r>
        <w:rPr>
          <w:rFonts w:ascii="Arial" w:hAnsi="Arial" w:cs="Arial"/>
          <w:sz w:val="24"/>
          <w:szCs w:val="24"/>
          <w:lang w:val="en-GB"/>
        </w:rPr>
        <w:t>.</w:t>
      </w:r>
      <w:r w:rsidR="001E641E">
        <w:rPr>
          <w:rStyle w:val="FootnoteReference"/>
          <w:rFonts w:ascii="Arial" w:hAnsi="Arial" w:cs="Arial"/>
          <w:sz w:val="24"/>
          <w:szCs w:val="24"/>
          <w:lang w:val="en-GB"/>
        </w:rPr>
        <w:footnoteReference w:id="4"/>
      </w:r>
      <w:r>
        <w:rPr>
          <w:rFonts w:ascii="Arial" w:hAnsi="Arial" w:cs="Arial"/>
          <w:sz w:val="24"/>
          <w:szCs w:val="24"/>
          <w:lang w:val="en-GB"/>
        </w:rPr>
        <w:t xml:space="preserve"> The respondent argues that the fact</w:t>
      </w:r>
      <w:r w:rsidR="001E641E">
        <w:rPr>
          <w:rFonts w:ascii="Arial" w:hAnsi="Arial" w:cs="Arial"/>
          <w:sz w:val="24"/>
          <w:szCs w:val="24"/>
          <w:lang w:val="en-GB"/>
        </w:rPr>
        <w:t xml:space="preserve"> </w:t>
      </w:r>
      <w:r w:rsidR="00596EFB">
        <w:rPr>
          <w:rFonts w:ascii="Arial" w:hAnsi="Arial" w:cs="Arial"/>
          <w:sz w:val="24"/>
          <w:szCs w:val="24"/>
          <w:lang w:val="en-GB"/>
        </w:rPr>
        <w:t xml:space="preserve">that </w:t>
      </w:r>
      <w:r w:rsidR="001E641E">
        <w:rPr>
          <w:rFonts w:ascii="Arial" w:hAnsi="Arial" w:cs="Arial"/>
          <w:sz w:val="24"/>
          <w:szCs w:val="24"/>
          <w:lang w:val="en-GB"/>
        </w:rPr>
        <w:t>only the applicant has applied to sequestrate his estate</w:t>
      </w:r>
      <w:r>
        <w:rPr>
          <w:rFonts w:ascii="Arial" w:hAnsi="Arial" w:cs="Arial"/>
          <w:sz w:val="24"/>
          <w:szCs w:val="24"/>
          <w:lang w:val="en-GB"/>
        </w:rPr>
        <w:t xml:space="preserve"> whilst other</w:t>
      </w:r>
      <w:r w:rsidR="00E44901">
        <w:rPr>
          <w:rFonts w:ascii="Arial" w:hAnsi="Arial" w:cs="Arial"/>
          <w:sz w:val="24"/>
          <w:szCs w:val="24"/>
          <w:lang w:val="en-GB"/>
        </w:rPr>
        <w:t xml:space="preserve"> creditors</w:t>
      </w:r>
      <w:r>
        <w:rPr>
          <w:rFonts w:ascii="Arial" w:hAnsi="Arial" w:cs="Arial"/>
          <w:sz w:val="24"/>
          <w:szCs w:val="24"/>
          <w:lang w:val="en-GB"/>
        </w:rPr>
        <w:t xml:space="preserve"> have </w:t>
      </w:r>
      <w:r w:rsidR="00E44901">
        <w:rPr>
          <w:rFonts w:ascii="Arial" w:hAnsi="Arial" w:cs="Arial"/>
          <w:sz w:val="24"/>
          <w:szCs w:val="24"/>
          <w:lang w:val="en-GB"/>
        </w:rPr>
        <w:t>only</w:t>
      </w:r>
      <w:r>
        <w:rPr>
          <w:rFonts w:ascii="Arial" w:hAnsi="Arial" w:cs="Arial"/>
          <w:sz w:val="24"/>
          <w:szCs w:val="24"/>
          <w:lang w:val="en-GB"/>
        </w:rPr>
        <w:t xml:space="preserve"> sought money judgments requires </w:t>
      </w:r>
      <w:r w:rsidR="00C8458F">
        <w:rPr>
          <w:rFonts w:ascii="Arial" w:hAnsi="Arial" w:cs="Arial"/>
          <w:sz w:val="24"/>
          <w:szCs w:val="24"/>
          <w:lang w:val="en-GB"/>
        </w:rPr>
        <w:t xml:space="preserve">me </w:t>
      </w:r>
      <w:r>
        <w:rPr>
          <w:rFonts w:ascii="Arial" w:hAnsi="Arial" w:cs="Arial"/>
          <w:sz w:val="24"/>
          <w:szCs w:val="24"/>
          <w:lang w:val="en-GB"/>
        </w:rPr>
        <w:t xml:space="preserve">to </w:t>
      </w:r>
      <w:r w:rsidR="00C8458F">
        <w:rPr>
          <w:rFonts w:ascii="Arial" w:hAnsi="Arial" w:cs="Arial"/>
          <w:sz w:val="24"/>
          <w:szCs w:val="24"/>
          <w:lang w:val="en-GB"/>
        </w:rPr>
        <w:t xml:space="preserve">draw the inference that the other creditors do not believe that the respondent’s sequestration will be to their advantage. </w:t>
      </w:r>
    </w:p>
    <w:p w:rsidR="00845EE8" w:rsidRDefault="00C8458F" w:rsidP="00EE262D">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Inferences can only properly </w:t>
      </w:r>
      <w:r w:rsidR="00A12926">
        <w:rPr>
          <w:rFonts w:ascii="Arial" w:hAnsi="Arial" w:cs="Arial"/>
          <w:sz w:val="24"/>
          <w:szCs w:val="24"/>
          <w:lang w:val="en-GB"/>
        </w:rPr>
        <w:t xml:space="preserve">be </w:t>
      </w:r>
      <w:r>
        <w:rPr>
          <w:rFonts w:ascii="Arial" w:hAnsi="Arial" w:cs="Arial"/>
          <w:sz w:val="24"/>
          <w:szCs w:val="24"/>
          <w:lang w:val="en-GB"/>
        </w:rPr>
        <w:t xml:space="preserve">drawn </w:t>
      </w:r>
      <w:r w:rsidR="007642F6">
        <w:rPr>
          <w:rFonts w:ascii="Arial" w:hAnsi="Arial" w:cs="Arial"/>
          <w:sz w:val="24"/>
          <w:szCs w:val="24"/>
          <w:lang w:val="en-GB"/>
        </w:rPr>
        <w:t xml:space="preserve">in civil proceedings </w:t>
      </w:r>
      <w:r>
        <w:rPr>
          <w:rFonts w:ascii="Arial" w:hAnsi="Arial" w:cs="Arial"/>
          <w:sz w:val="24"/>
          <w:szCs w:val="24"/>
          <w:lang w:val="en-GB"/>
        </w:rPr>
        <w:t xml:space="preserve">when they are </w:t>
      </w:r>
      <w:r w:rsidR="00A12926">
        <w:rPr>
          <w:rFonts w:ascii="Arial" w:hAnsi="Arial" w:cs="Arial"/>
          <w:sz w:val="24"/>
          <w:szCs w:val="24"/>
          <w:lang w:val="en-GB"/>
        </w:rPr>
        <w:t>both</w:t>
      </w:r>
      <w:r>
        <w:rPr>
          <w:rFonts w:ascii="Arial" w:hAnsi="Arial" w:cs="Arial"/>
          <w:sz w:val="24"/>
          <w:szCs w:val="24"/>
          <w:lang w:val="en-GB"/>
        </w:rPr>
        <w:t xml:space="preserve"> consistent with all the facts</w:t>
      </w:r>
      <w:r w:rsidR="00A12926">
        <w:rPr>
          <w:rFonts w:ascii="Arial" w:hAnsi="Arial" w:cs="Arial"/>
          <w:sz w:val="24"/>
          <w:szCs w:val="24"/>
          <w:lang w:val="en-GB"/>
        </w:rPr>
        <w:t xml:space="preserve"> and </w:t>
      </w:r>
      <w:r w:rsidR="007642F6">
        <w:rPr>
          <w:rFonts w:ascii="Arial" w:hAnsi="Arial" w:cs="Arial"/>
          <w:sz w:val="24"/>
          <w:szCs w:val="24"/>
          <w:lang w:val="en-GB"/>
        </w:rPr>
        <w:t>where the inference sought to be drawn is the more natural or plausible conclusion than others that could be drawn from the same facts.</w:t>
      </w:r>
      <w:r w:rsidR="007642F6">
        <w:rPr>
          <w:rStyle w:val="FootnoteReference"/>
          <w:rFonts w:ascii="Arial" w:hAnsi="Arial" w:cs="Arial"/>
          <w:sz w:val="24"/>
          <w:szCs w:val="24"/>
          <w:lang w:val="en-GB"/>
        </w:rPr>
        <w:footnoteReference w:id="5"/>
      </w:r>
      <w:r w:rsidR="007642F6">
        <w:rPr>
          <w:rFonts w:ascii="Arial" w:hAnsi="Arial" w:cs="Arial"/>
          <w:sz w:val="24"/>
          <w:szCs w:val="24"/>
          <w:lang w:val="en-GB"/>
        </w:rPr>
        <w:t xml:space="preserve"> Here</w:t>
      </w:r>
      <w:r w:rsidR="00F43528">
        <w:rPr>
          <w:rFonts w:ascii="Arial" w:hAnsi="Arial" w:cs="Arial"/>
          <w:sz w:val="24"/>
          <w:szCs w:val="24"/>
          <w:lang w:val="en-GB"/>
        </w:rPr>
        <w:t>,</w:t>
      </w:r>
      <w:r w:rsidR="007642F6">
        <w:rPr>
          <w:rFonts w:ascii="Arial" w:hAnsi="Arial" w:cs="Arial"/>
          <w:sz w:val="24"/>
          <w:szCs w:val="24"/>
          <w:lang w:val="en-GB"/>
        </w:rPr>
        <w:t xml:space="preserve"> t</w:t>
      </w:r>
      <w:r>
        <w:rPr>
          <w:rFonts w:ascii="Arial" w:hAnsi="Arial" w:cs="Arial"/>
          <w:sz w:val="24"/>
          <w:szCs w:val="24"/>
          <w:lang w:val="en-GB"/>
        </w:rPr>
        <w:t>here could be any number of reasons why the respondent’s other creditors have not applied for his sequestration, including the fact that the present application is pending.</w:t>
      </w:r>
      <w:r w:rsidR="00596EFB">
        <w:rPr>
          <w:rFonts w:ascii="Arial" w:hAnsi="Arial" w:cs="Arial"/>
          <w:sz w:val="24"/>
          <w:szCs w:val="24"/>
          <w:lang w:val="en-GB"/>
        </w:rPr>
        <w:t xml:space="preserve"> </w:t>
      </w:r>
      <w:r w:rsidR="00B56A89">
        <w:rPr>
          <w:rFonts w:ascii="Arial" w:hAnsi="Arial" w:cs="Arial"/>
          <w:sz w:val="24"/>
          <w:szCs w:val="24"/>
          <w:lang w:val="en-GB"/>
        </w:rPr>
        <w:t xml:space="preserve">Reaching the conclusion contended for by the respondent would therefore be engaging in speculation, not inferential reasoning. </w:t>
      </w:r>
    </w:p>
    <w:p w:rsidR="00596EFB" w:rsidRPr="00596EFB" w:rsidRDefault="00596EFB" w:rsidP="00596EFB">
      <w:pPr>
        <w:spacing w:after="0" w:line="360" w:lineRule="auto"/>
        <w:jc w:val="both"/>
        <w:rPr>
          <w:rFonts w:ascii="Arial" w:hAnsi="Arial" w:cs="Arial"/>
          <w:sz w:val="24"/>
          <w:szCs w:val="24"/>
          <w:lang w:val="en-GB"/>
        </w:rPr>
      </w:pPr>
    </w:p>
    <w:p w:rsidR="00845EE8" w:rsidRPr="00845EE8" w:rsidRDefault="005A4BBA" w:rsidP="00E44901">
      <w:pPr>
        <w:spacing w:line="360" w:lineRule="auto"/>
        <w:jc w:val="both"/>
        <w:rPr>
          <w:rFonts w:ascii="Arial" w:hAnsi="Arial" w:cs="Arial"/>
          <w:b/>
          <w:bCs/>
          <w:sz w:val="24"/>
          <w:szCs w:val="24"/>
          <w:lang w:val="en-GB"/>
        </w:rPr>
      </w:pPr>
      <w:r>
        <w:rPr>
          <w:rFonts w:ascii="Arial" w:hAnsi="Arial" w:cs="Arial"/>
          <w:b/>
          <w:bCs/>
          <w:sz w:val="24"/>
          <w:szCs w:val="24"/>
          <w:lang w:val="en-GB"/>
        </w:rPr>
        <w:t xml:space="preserve">Applicant’s </w:t>
      </w:r>
      <w:r w:rsidR="00905633">
        <w:rPr>
          <w:rFonts w:ascii="Arial" w:hAnsi="Arial" w:cs="Arial"/>
          <w:b/>
          <w:bCs/>
          <w:sz w:val="24"/>
          <w:szCs w:val="24"/>
          <w:lang w:val="en-GB"/>
        </w:rPr>
        <w:t>claimed g</w:t>
      </w:r>
      <w:r w:rsidR="00845EE8" w:rsidRPr="00845EE8">
        <w:rPr>
          <w:rFonts w:ascii="Arial" w:hAnsi="Arial" w:cs="Arial"/>
          <w:b/>
          <w:bCs/>
          <w:sz w:val="24"/>
          <w:szCs w:val="24"/>
          <w:lang w:val="en-GB"/>
        </w:rPr>
        <w:t xml:space="preserve">rounds of advantage to creditors </w:t>
      </w:r>
      <w:r>
        <w:rPr>
          <w:rFonts w:ascii="Arial" w:hAnsi="Arial" w:cs="Arial"/>
          <w:b/>
          <w:bCs/>
          <w:sz w:val="24"/>
          <w:szCs w:val="24"/>
          <w:lang w:val="en-GB"/>
        </w:rPr>
        <w:t>and respondent’s stance</w:t>
      </w:r>
    </w:p>
    <w:p w:rsidR="005267E7" w:rsidRDefault="00527D0A"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applicant seeks to demonstrate that the sequestration of the </w:t>
      </w:r>
      <w:r w:rsidR="00FE578E">
        <w:rPr>
          <w:rFonts w:ascii="Arial" w:hAnsi="Arial" w:cs="Arial"/>
          <w:sz w:val="24"/>
          <w:szCs w:val="24"/>
          <w:lang w:val="en-GB"/>
        </w:rPr>
        <w:t>respondent’s</w:t>
      </w:r>
      <w:r>
        <w:rPr>
          <w:rFonts w:ascii="Arial" w:hAnsi="Arial" w:cs="Arial"/>
          <w:sz w:val="24"/>
          <w:szCs w:val="24"/>
          <w:lang w:val="en-GB"/>
        </w:rPr>
        <w:t xml:space="preserve"> estate will be to the advantage of creditors as contemplated in t</w:t>
      </w:r>
      <w:r w:rsidR="004954A4">
        <w:rPr>
          <w:rFonts w:ascii="Arial" w:hAnsi="Arial" w:cs="Arial"/>
          <w:sz w:val="24"/>
          <w:szCs w:val="24"/>
          <w:lang w:val="en-GB"/>
        </w:rPr>
        <w:t>hree</w:t>
      </w:r>
      <w:r>
        <w:rPr>
          <w:rFonts w:ascii="Arial" w:hAnsi="Arial" w:cs="Arial"/>
          <w:sz w:val="24"/>
          <w:szCs w:val="24"/>
          <w:lang w:val="en-GB"/>
        </w:rPr>
        <w:t xml:space="preserve"> respects.  </w:t>
      </w:r>
    </w:p>
    <w:p w:rsidR="00B061EF" w:rsidRDefault="00B061EF" w:rsidP="00B061EF">
      <w:pPr>
        <w:spacing w:after="0" w:line="360" w:lineRule="auto"/>
        <w:jc w:val="both"/>
        <w:rPr>
          <w:rFonts w:ascii="Arial" w:hAnsi="Arial" w:cs="Arial"/>
          <w:sz w:val="24"/>
          <w:szCs w:val="24"/>
          <w:lang w:val="en-GB"/>
        </w:rPr>
      </w:pPr>
    </w:p>
    <w:p w:rsidR="004954A4" w:rsidRDefault="00A341FB"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First</w:t>
      </w:r>
      <w:r w:rsidR="009E7C7A">
        <w:rPr>
          <w:rFonts w:ascii="Arial" w:hAnsi="Arial" w:cs="Arial"/>
          <w:sz w:val="24"/>
          <w:szCs w:val="24"/>
          <w:lang w:val="en-GB"/>
        </w:rPr>
        <w:t xml:space="preserve">, </w:t>
      </w:r>
      <w:r w:rsidR="00E44901">
        <w:rPr>
          <w:rFonts w:ascii="Arial" w:hAnsi="Arial" w:cs="Arial"/>
          <w:sz w:val="24"/>
          <w:szCs w:val="24"/>
          <w:lang w:val="en-GB"/>
        </w:rPr>
        <w:t xml:space="preserve">relying on </w:t>
      </w:r>
      <w:r w:rsidR="00E44901" w:rsidRPr="00E44901">
        <w:rPr>
          <w:rFonts w:ascii="Arial" w:hAnsi="Arial" w:cs="Arial"/>
          <w:i/>
          <w:iCs/>
          <w:sz w:val="24"/>
          <w:szCs w:val="24"/>
          <w:lang w:val="en-GB"/>
        </w:rPr>
        <w:t>Chenille Industries</w:t>
      </w:r>
      <w:r w:rsidR="00E44901">
        <w:rPr>
          <w:rFonts w:ascii="Arial" w:hAnsi="Arial" w:cs="Arial"/>
          <w:sz w:val="24"/>
          <w:szCs w:val="24"/>
          <w:lang w:val="en-GB"/>
        </w:rPr>
        <w:t xml:space="preserve">, the applicant submits that </w:t>
      </w:r>
      <w:r w:rsidR="009E7C7A">
        <w:rPr>
          <w:rFonts w:ascii="Arial" w:hAnsi="Arial" w:cs="Arial"/>
          <w:sz w:val="24"/>
          <w:szCs w:val="24"/>
          <w:lang w:val="en-GB"/>
        </w:rPr>
        <w:t>the machinery of sequestration is to the benefit of the general body of creditors</w:t>
      </w:r>
      <w:r w:rsidR="00E44901">
        <w:rPr>
          <w:rFonts w:ascii="Arial" w:hAnsi="Arial" w:cs="Arial"/>
          <w:sz w:val="24"/>
          <w:szCs w:val="24"/>
          <w:lang w:val="en-GB"/>
        </w:rPr>
        <w:t xml:space="preserve">. It </w:t>
      </w:r>
      <w:r w:rsidR="009E7C7A">
        <w:rPr>
          <w:rFonts w:ascii="Arial" w:hAnsi="Arial" w:cs="Arial"/>
          <w:sz w:val="24"/>
          <w:szCs w:val="24"/>
          <w:lang w:val="en-GB"/>
        </w:rPr>
        <w:t>ensure</w:t>
      </w:r>
      <w:r w:rsidR="00E44901">
        <w:rPr>
          <w:rFonts w:ascii="Arial" w:hAnsi="Arial" w:cs="Arial"/>
          <w:sz w:val="24"/>
          <w:szCs w:val="24"/>
          <w:lang w:val="en-GB"/>
        </w:rPr>
        <w:t>s</w:t>
      </w:r>
      <w:r w:rsidR="009E7C7A">
        <w:rPr>
          <w:rFonts w:ascii="Arial" w:hAnsi="Arial" w:cs="Arial"/>
          <w:sz w:val="24"/>
          <w:szCs w:val="24"/>
          <w:lang w:val="en-GB"/>
        </w:rPr>
        <w:t xml:space="preserve"> a fair distribution between them and avoids piecemeal execution </w:t>
      </w:r>
      <w:r w:rsidR="00596EFB">
        <w:rPr>
          <w:rFonts w:ascii="Arial" w:hAnsi="Arial" w:cs="Arial"/>
          <w:sz w:val="24"/>
          <w:szCs w:val="24"/>
          <w:lang w:val="en-GB"/>
        </w:rPr>
        <w:t xml:space="preserve">which could </w:t>
      </w:r>
      <w:r w:rsidR="009E7C7A">
        <w:rPr>
          <w:rFonts w:ascii="Arial" w:hAnsi="Arial" w:cs="Arial"/>
          <w:sz w:val="24"/>
          <w:szCs w:val="24"/>
          <w:lang w:val="en-GB"/>
        </w:rPr>
        <w:t>result in a preference of one creditor over another.</w:t>
      </w:r>
      <w:r w:rsidR="00845EE8">
        <w:rPr>
          <w:rFonts w:ascii="Arial" w:hAnsi="Arial" w:cs="Arial"/>
          <w:sz w:val="24"/>
          <w:szCs w:val="24"/>
          <w:lang w:val="en-GB"/>
        </w:rPr>
        <w:t xml:space="preserve"> </w:t>
      </w:r>
      <w:r w:rsidR="005267E7">
        <w:rPr>
          <w:rFonts w:ascii="Arial" w:hAnsi="Arial" w:cs="Arial"/>
          <w:sz w:val="24"/>
          <w:szCs w:val="24"/>
          <w:lang w:val="en-GB"/>
        </w:rPr>
        <w:t xml:space="preserve">That machinery is however </w:t>
      </w:r>
      <w:r w:rsidR="0015515F">
        <w:rPr>
          <w:rFonts w:ascii="Arial" w:hAnsi="Arial" w:cs="Arial"/>
          <w:sz w:val="24"/>
          <w:szCs w:val="24"/>
          <w:lang w:val="en-GB"/>
        </w:rPr>
        <w:t xml:space="preserve">of no use without </w:t>
      </w:r>
      <w:r w:rsidR="005267E7">
        <w:rPr>
          <w:rFonts w:ascii="Arial" w:hAnsi="Arial" w:cs="Arial"/>
          <w:sz w:val="24"/>
          <w:szCs w:val="24"/>
          <w:lang w:val="en-GB"/>
        </w:rPr>
        <w:t xml:space="preserve"> the prospect of a </w:t>
      </w:r>
      <w:r w:rsidR="004954A4">
        <w:rPr>
          <w:rFonts w:ascii="Arial" w:hAnsi="Arial" w:cs="Arial"/>
          <w:sz w:val="24"/>
          <w:szCs w:val="24"/>
          <w:lang w:val="en-GB"/>
        </w:rPr>
        <w:t>pecuniary benefit to the creditors</w:t>
      </w:r>
      <w:r w:rsidR="0015515F">
        <w:rPr>
          <w:rFonts w:ascii="Arial" w:hAnsi="Arial" w:cs="Arial"/>
          <w:sz w:val="24"/>
          <w:szCs w:val="24"/>
          <w:lang w:val="en-GB"/>
        </w:rPr>
        <w:t xml:space="preserve"> and its mere existence does not create </w:t>
      </w:r>
      <w:r w:rsidR="004954A4">
        <w:rPr>
          <w:rFonts w:ascii="Arial" w:hAnsi="Arial" w:cs="Arial"/>
          <w:sz w:val="24"/>
          <w:szCs w:val="24"/>
          <w:lang w:val="en-GB"/>
        </w:rPr>
        <w:t xml:space="preserve">advantage </w:t>
      </w:r>
      <w:r w:rsidR="00FD5C68">
        <w:rPr>
          <w:rFonts w:ascii="Arial" w:hAnsi="Arial" w:cs="Arial"/>
          <w:sz w:val="24"/>
          <w:szCs w:val="24"/>
          <w:lang w:val="en-GB"/>
        </w:rPr>
        <w:t>to</w:t>
      </w:r>
      <w:r w:rsidR="004954A4">
        <w:rPr>
          <w:rFonts w:ascii="Arial" w:hAnsi="Arial" w:cs="Arial"/>
          <w:sz w:val="24"/>
          <w:szCs w:val="24"/>
          <w:lang w:val="en-GB"/>
        </w:rPr>
        <w:t xml:space="preserve"> creditors.</w:t>
      </w:r>
    </w:p>
    <w:p w:rsidR="00B061EF" w:rsidRPr="00EE262D" w:rsidRDefault="00B061EF" w:rsidP="00EE262D">
      <w:pPr>
        <w:rPr>
          <w:rFonts w:ascii="Arial" w:hAnsi="Arial" w:cs="Arial"/>
          <w:sz w:val="24"/>
          <w:szCs w:val="24"/>
          <w:lang w:val="en-GB"/>
        </w:rPr>
      </w:pPr>
    </w:p>
    <w:p w:rsidR="00B061EF" w:rsidRPr="0043001F" w:rsidRDefault="004954A4" w:rsidP="0043001F">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Second,</w:t>
      </w:r>
      <w:r w:rsidR="00596EFB">
        <w:rPr>
          <w:rFonts w:ascii="Arial" w:hAnsi="Arial" w:cs="Arial"/>
          <w:sz w:val="24"/>
          <w:szCs w:val="24"/>
          <w:lang w:val="en-GB"/>
        </w:rPr>
        <w:t xml:space="preserve"> </w:t>
      </w:r>
      <w:r>
        <w:rPr>
          <w:rFonts w:ascii="Arial" w:hAnsi="Arial" w:cs="Arial"/>
          <w:sz w:val="24"/>
          <w:szCs w:val="24"/>
          <w:lang w:val="en-GB"/>
        </w:rPr>
        <w:t>the sequestration of the respondent’s estate would protect the commercial public, as it would prohibit the respondent from continuing to act as a director of any company which would be to the advantage of creditors generally</w:t>
      </w:r>
      <w:r w:rsidR="00140803">
        <w:rPr>
          <w:rFonts w:ascii="Arial" w:hAnsi="Arial" w:cs="Arial"/>
          <w:sz w:val="24"/>
          <w:szCs w:val="24"/>
          <w:lang w:val="en-GB"/>
        </w:rPr>
        <w:t xml:space="preserve"> given the respondent’s past conduct. This was not a basis upon which the applicant sought to demonstrate advantage to creditors in its founding affidavit. The argument was instead advanced </w:t>
      </w:r>
      <w:r>
        <w:rPr>
          <w:rFonts w:ascii="Arial" w:hAnsi="Arial" w:cs="Arial"/>
          <w:sz w:val="24"/>
          <w:szCs w:val="24"/>
          <w:lang w:val="en-GB"/>
        </w:rPr>
        <w:t xml:space="preserve">in response to submission in the heads of argument filed on </w:t>
      </w:r>
      <w:r w:rsidR="0041518F">
        <w:rPr>
          <w:rFonts w:ascii="Arial" w:hAnsi="Arial" w:cs="Arial"/>
          <w:sz w:val="24"/>
          <w:szCs w:val="24"/>
          <w:lang w:val="en-GB"/>
        </w:rPr>
        <w:t>the respondent’s</w:t>
      </w:r>
      <w:r>
        <w:rPr>
          <w:rFonts w:ascii="Arial" w:hAnsi="Arial" w:cs="Arial"/>
          <w:sz w:val="24"/>
          <w:szCs w:val="24"/>
          <w:lang w:val="en-GB"/>
        </w:rPr>
        <w:t xml:space="preserve"> behalf, that sequestration would be personally prejudicial as it would prevent him from </w:t>
      </w:r>
      <w:r w:rsidR="00140803">
        <w:rPr>
          <w:rFonts w:ascii="Arial" w:hAnsi="Arial" w:cs="Arial"/>
          <w:sz w:val="24"/>
          <w:szCs w:val="24"/>
          <w:lang w:val="en-GB"/>
        </w:rPr>
        <w:t xml:space="preserve">practicing as a chartered accountant and preclude him from his ‘line of business as director of companies in large-scale property, development, construction, industry, and project management.’ </w:t>
      </w:r>
    </w:p>
    <w:p w:rsidR="0041518F" w:rsidRPr="00596EFB" w:rsidRDefault="0041518F"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There are two reasons why it would not be appropriate to regard this as a ground upon which advantage to creditors could be demonstrated. First, the applicant did not rely </w:t>
      </w:r>
      <w:r w:rsidRPr="00905633">
        <w:rPr>
          <w:rFonts w:ascii="Arial" w:hAnsi="Arial" w:cs="Arial"/>
          <w:sz w:val="24"/>
          <w:szCs w:val="24"/>
          <w:lang w:val="en-GB"/>
        </w:rPr>
        <w:t>on this ground originally</w:t>
      </w:r>
      <w:r w:rsidR="0015515F">
        <w:rPr>
          <w:rFonts w:ascii="Arial" w:hAnsi="Arial" w:cs="Arial"/>
          <w:sz w:val="24"/>
          <w:szCs w:val="24"/>
          <w:lang w:val="en-GB"/>
        </w:rPr>
        <w:t xml:space="preserve"> and so the respondent was not given an opportunity to deal with it in answer</w:t>
      </w:r>
      <w:r>
        <w:rPr>
          <w:rFonts w:ascii="Arial" w:hAnsi="Arial" w:cs="Arial"/>
          <w:sz w:val="24"/>
          <w:szCs w:val="24"/>
          <w:lang w:val="en-GB"/>
        </w:rPr>
        <w:t>. Second</w:t>
      </w:r>
      <w:r w:rsidRPr="00596EFB">
        <w:rPr>
          <w:rFonts w:ascii="Arial" w:hAnsi="Arial" w:cs="Arial"/>
          <w:sz w:val="24"/>
          <w:szCs w:val="24"/>
          <w:lang w:val="en-GB"/>
        </w:rPr>
        <w:t xml:space="preserve">, the respondent’s complaints regarding this </w:t>
      </w:r>
      <w:r w:rsidR="0015515F" w:rsidRPr="00596EFB">
        <w:rPr>
          <w:rFonts w:ascii="Arial" w:hAnsi="Arial" w:cs="Arial"/>
          <w:sz w:val="24"/>
          <w:szCs w:val="24"/>
          <w:lang w:val="en-GB"/>
        </w:rPr>
        <w:t>kind</w:t>
      </w:r>
      <w:r w:rsidRPr="00596EFB">
        <w:rPr>
          <w:rFonts w:ascii="Arial" w:hAnsi="Arial" w:cs="Arial"/>
          <w:sz w:val="24"/>
          <w:szCs w:val="24"/>
          <w:lang w:val="en-GB"/>
        </w:rPr>
        <w:t xml:space="preserve"> of prejudice which would result from his sequestration </w:t>
      </w:r>
      <w:r w:rsidR="0015515F" w:rsidRPr="00596EFB">
        <w:rPr>
          <w:rFonts w:ascii="Arial" w:hAnsi="Arial" w:cs="Arial"/>
          <w:sz w:val="24"/>
          <w:szCs w:val="24"/>
          <w:lang w:val="en-GB"/>
        </w:rPr>
        <w:t>would be</w:t>
      </w:r>
      <w:r w:rsidRPr="00596EFB">
        <w:rPr>
          <w:rFonts w:ascii="Arial" w:hAnsi="Arial" w:cs="Arial"/>
          <w:sz w:val="24"/>
          <w:szCs w:val="24"/>
          <w:lang w:val="en-GB"/>
        </w:rPr>
        <w:t xml:space="preserve"> irrelevant if I were to be satisfied that there was reason to believe that his sequestration w</w:t>
      </w:r>
      <w:r w:rsidR="00596EFB" w:rsidRPr="00596EFB">
        <w:rPr>
          <w:rFonts w:ascii="Arial" w:hAnsi="Arial" w:cs="Arial"/>
          <w:sz w:val="24"/>
          <w:szCs w:val="24"/>
          <w:lang w:val="en-GB"/>
        </w:rPr>
        <w:t>ould</w:t>
      </w:r>
      <w:r w:rsidRPr="00596EFB">
        <w:rPr>
          <w:rFonts w:ascii="Arial" w:hAnsi="Arial" w:cs="Arial"/>
          <w:sz w:val="24"/>
          <w:szCs w:val="24"/>
          <w:lang w:val="en-GB"/>
        </w:rPr>
        <w:t xml:space="preserve"> be to the advantage of creditors.</w:t>
      </w:r>
      <w:r w:rsidR="005F6C50" w:rsidRPr="00596EFB">
        <w:rPr>
          <w:rFonts w:ascii="Arial" w:hAnsi="Arial" w:cs="Arial"/>
          <w:sz w:val="24"/>
          <w:szCs w:val="24"/>
          <w:lang w:val="en-GB"/>
        </w:rPr>
        <w:t xml:space="preserve"> </w:t>
      </w:r>
      <w:r w:rsidRPr="00596EFB">
        <w:rPr>
          <w:rFonts w:ascii="Arial" w:hAnsi="Arial" w:cs="Arial"/>
          <w:sz w:val="24"/>
          <w:szCs w:val="24"/>
          <w:lang w:val="en-GB"/>
        </w:rPr>
        <w:t>The</w:t>
      </w:r>
      <w:r w:rsidR="00596EFB" w:rsidRPr="00596EFB">
        <w:rPr>
          <w:rFonts w:ascii="Arial" w:hAnsi="Arial" w:cs="Arial"/>
          <w:sz w:val="24"/>
          <w:szCs w:val="24"/>
          <w:lang w:val="en-GB"/>
        </w:rPr>
        <w:t xml:space="preserve"> compl</w:t>
      </w:r>
      <w:r w:rsidR="00596EFB">
        <w:rPr>
          <w:rFonts w:ascii="Arial" w:hAnsi="Arial" w:cs="Arial"/>
          <w:sz w:val="24"/>
          <w:szCs w:val="24"/>
          <w:lang w:val="en-GB"/>
        </w:rPr>
        <w:t>a</w:t>
      </w:r>
      <w:r w:rsidR="00596EFB" w:rsidRPr="00596EFB">
        <w:rPr>
          <w:rFonts w:ascii="Arial" w:hAnsi="Arial" w:cs="Arial"/>
          <w:sz w:val="24"/>
          <w:szCs w:val="24"/>
          <w:lang w:val="en-GB"/>
        </w:rPr>
        <w:t>ints</w:t>
      </w:r>
      <w:r w:rsidRPr="00596EFB">
        <w:rPr>
          <w:rFonts w:ascii="Arial" w:hAnsi="Arial" w:cs="Arial"/>
          <w:sz w:val="24"/>
          <w:szCs w:val="24"/>
          <w:lang w:val="en-GB"/>
        </w:rPr>
        <w:t xml:space="preserve"> are akin to a defendant arguing that judgment should not be granted against them as they did not have sufficient assets to satisfy the judgment even though the plaintiff had proved their claim. </w:t>
      </w:r>
    </w:p>
    <w:p w:rsidR="00B061EF" w:rsidRDefault="00B061EF" w:rsidP="00B061EF">
      <w:pPr>
        <w:spacing w:after="0" w:line="360" w:lineRule="auto"/>
        <w:jc w:val="both"/>
        <w:rPr>
          <w:rFonts w:ascii="Arial" w:hAnsi="Arial" w:cs="Arial"/>
          <w:sz w:val="24"/>
          <w:szCs w:val="24"/>
          <w:lang w:val="en-GB"/>
        </w:rPr>
      </w:pPr>
    </w:p>
    <w:p w:rsidR="009E7C7A" w:rsidRPr="0015515F" w:rsidRDefault="00140803" w:rsidP="0015515F">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third and main ground relied on by the applicant is</w:t>
      </w:r>
      <w:r w:rsidR="0015515F">
        <w:rPr>
          <w:rFonts w:ascii="Arial" w:hAnsi="Arial" w:cs="Arial"/>
          <w:sz w:val="24"/>
          <w:szCs w:val="24"/>
          <w:lang w:val="en-GB"/>
        </w:rPr>
        <w:t xml:space="preserve"> that</w:t>
      </w:r>
      <w:r>
        <w:rPr>
          <w:rFonts w:ascii="Arial" w:hAnsi="Arial" w:cs="Arial"/>
          <w:sz w:val="24"/>
          <w:szCs w:val="24"/>
          <w:lang w:val="en-GB"/>
        </w:rPr>
        <w:t xml:space="preserve"> </w:t>
      </w:r>
      <w:r w:rsidR="00A341FB">
        <w:rPr>
          <w:rFonts w:ascii="Arial" w:hAnsi="Arial" w:cs="Arial"/>
          <w:sz w:val="24"/>
          <w:szCs w:val="24"/>
          <w:lang w:val="en-GB"/>
        </w:rPr>
        <w:t xml:space="preserve">there are reasons to believe that an enquiry under the Insolvency Act may </w:t>
      </w:r>
      <w:r>
        <w:rPr>
          <w:rFonts w:ascii="Arial" w:hAnsi="Arial" w:cs="Arial"/>
          <w:sz w:val="24"/>
          <w:szCs w:val="24"/>
          <w:lang w:val="en-GB"/>
        </w:rPr>
        <w:t>uncover</w:t>
      </w:r>
      <w:r w:rsidR="00A341FB">
        <w:rPr>
          <w:rFonts w:ascii="Arial" w:hAnsi="Arial" w:cs="Arial"/>
          <w:sz w:val="24"/>
          <w:szCs w:val="24"/>
          <w:lang w:val="en-GB"/>
        </w:rPr>
        <w:t xml:space="preserve"> assets that can be realised for the benefit of creditors</w:t>
      </w:r>
      <w:r w:rsidR="00845EE8">
        <w:rPr>
          <w:rFonts w:ascii="Arial" w:hAnsi="Arial" w:cs="Arial"/>
          <w:sz w:val="24"/>
          <w:szCs w:val="24"/>
          <w:lang w:val="en-GB"/>
        </w:rPr>
        <w:t xml:space="preserve">. </w:t>
      </w:r>
      <w:r w:rsidR="00005A45" w:rsidRPr="0015515F">
        <w:rPr>
          <w:rFonts w:ascii="Arial" w:hAnsi="Arial" w:cs="Arial"/>
          <w:sz w:val="24"/>
          <w:szCs w:val="24"/>
          <w:lang w:val="en-GB"/>
        </w:rPr>
        <w:t xml:space="preserve">These reasons are based </w:t>
      </w:r>
      <w:r w:rsidR="003A0E97" w:rsidRPr="0015515F">
        <w:rPr>
          <w:rFonts w:ascii="Arial" w:hAnsi="Arial" w:cs="Arial"/>
          <w:sz w:val="24"/>
          <w:szCs w:val="24"/>
          <w:lang w:val="en-GB"/>
        </w:rPr>
        <w:t xml:space="preserve">primarily </w:t>
      </w:r>
      <w:r w:rsidR="00005A45" w:rsidRPr="0015515F">
        <w:rPr>
          <w:rFonts w:ascii="Arial" w:hAnsi="Arial" w:cs="Arial"/>
          <w:sz w:val="24"/>
          <w:szCs w:val="24"/>
          <w:lang w:val="en-GB"/>
        </w:rPr>
        <w:t xml:space="preserve">on what </w:t>
      </w:r>
      <w:r w:rsidR="003A0E97" w:rsidRPr="0015515F">
        <w:rPr>
          <w:rFonts w:ascii="Arial" w:hAnsi="Arial" w:cs="Arial"/>
          <w:sz w:val="24"/>
          <w:szCs w:val="24"/>
          <w:lang w:val="en-GB"/>
        </w:rPr>
        <w:t>was</w:t>
      </w:r>
      <w:r w:rsidR="00005A45" w:rsidRPr="0015515F">
        <w:rPr>
          <w:rFonts w:ascii="Arial" w:hAnsi="Arial" w:cs="Arial"/>
          <w:sz w:val="24"/>
          <w:szCs w:val="24"/>
          <w:lang w:val="en-GB"/>
        </w:rPr>
        <w:t xml:space="preserve"> revealed by a</w:t>
      </w:r>
      <w:r w:rsidR="00F87157" w:rsidRPr="0015515F">
        <w:rPr>
          <w:rFonts w:ascii="Arial" w:hAnsi="Arial" w:cs="Arial"/>
          <w:sz w:val="24"/>
          <w:szCs w:val="24"/>
          <w:lang w:val="en-GB"/>
        </w:rPr>
        <w:t>n</w:t>
      </w:r>
      <w:r w:rsidR="00005A45" w:rsidRPr="0015515F">
        <w:rPr>
          <w:rFonts w:ascii="Arial" w:hAnsi="Arial" w:cs="Arial"/>
          <w:sz w:val="24"/>
          <w:szCs w:val="24"/>
          <w:lang w:val="en-GB"/>
        </w:rPr>
        <w:t xml:space="preserve"> audit and review conducted in 2018 at the behest of the applicant on the books of account and bank statements of Rokwil</w:t>
      </w:r>
      <w:r w:rsidR="00845EE8" w:rsidRPr="0015515F">
        <w:rPr>
          <w:rFonts w:ascii="Arial" w:hAnsi="Arial" w:cs="Arial"/>
          <w:sz w:val="24"/>
          <w:szCs w:val="24"/>
          <w:lang w:val="en-GB"/>
        </w:rPr>
        <w:t xml:space="preserve"> (the 2018 investigation)</w:t>
      </w:r>
      <w:r w:rsidR="00706AEC">
        <w:rPr>
          <w:rFonts w:ascii="Arial" w:hAnsi="Arial" w:cs="Arial"/>
          <w:sz w:val="24"/>
          <w:szCs w:val="24"/>
          <w:lang w:val="en-GB"/>
        </w:rPr>
        <w:t xml:space="preserve"> and the respondent’s explanations regarding its findings</w:t>
      </w:r>
      <w:r w:rsidR="00845EE8" w:rsidRPr="0015515F">
        <w:rPr>
          <w:rFonts w:ascii="Arial" w:hAnsi="Arial" w:cs="Arial"/>
          <w:sz w:val="24"/>
          <w:szCs w:val="24"/>
          <w:lang w:val="en-GB"/>
        </w:rPr>
        <w:t xml:space="preserve">. </w:t>
      </w:r>
      <w:r w:rsidR="003A0E97" w:rsidRPr="0015515F">
        <w:rPr>
          <w:rFonts w:ascii="Arial" w:hAnsi="Arial" w:cs="Arial"/>
          <w:sz w:val="24"/>
          <w:szCs w:val="24"/>
          <w:lang w:val="en-GB"/>
        </w:rPr>
        <w:t xml:space="preserve">In addition, but to a </w:t>
      </w:r>
      <w:r w:rsidR="00596EFB">
        <w:rPr>
          <w:rFonts w:ascii="Arial" w:hAnsi="Arial" w:cs="Arial"/>
          <w:sz w:val="24"/>
          <w:szCs w:val="24"/>
          <w:lang w:val="en-GB"/>
        </w:rPr>
        <w:t xml:space="preserve">much </w:t>
      </w:r>
      <w:r w:rsidR="003A0E97" w:rsidRPr="0015515F">
        <w:rPr>
          <w:rFonts w:ascii="Arial" w:hAnsi="Arial" w:cs="Arial"/>
          <w:sz w:val="24"/>
          <w:szCs w:val="24"/>
          <w:lang w:val="en-GB"/>
        </w:rPr>
        <w:t>lesser extent, the applicant relies on matter in a report filed by the respondent’s provisional trustees.</w:t>
      </w:r>
    </w:p>
    <w:p w:rsidR="00B061EF" w:rsidRDefault="00B061EF" w:rsidP="00B061EF">
      <w:pPr>
        <w:pStyle w:val="ListParagraph"/>
        <w:rPr>
          <w:rFonts w:ascii="Arial" w:hAnsi="Arial" w:cs="Arial"/>
          <w:sz w:val="24"/>
          <w:szCs w:val="24"/>
          <w:lang w:val="en-GB"/>
        </w:rPr>
      </w:pPr>
    </w:p>
    <w:p w:rsidR="009E7C7A" w:rsidRPr="0015515F" w:rsidRDefault="009E7C7A" w:rsidP="0015515F">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respondent</w:t>
      </w:r>
      <w:r w:rsidR="0041518F">
        <w:rPr>
          <w:rFonts w:ascii="Arial" w:hAnsi="Arial" w:cs="Arial"/>
          <w:sz w:val="24"/>
          <w:szCs w:val="24"/>
          <w:lang w:val="en-GB"/>
        </w:rPr>
        <w:t xml:space="preserve"> disputes that the sequestration of his estate will be to the advantage of creditors</w:t>
      </w:r>
      <w:r w:rsidR="00706AEC">
        <w:rPr>
          <w:rFonts w:ascii="Arial" w:hAnsi="Arial" w:cs="Arial"/>
          <w:sz w:val="24"/>
          <w:szCs w:val="24"/>
          <w:lang w:val="en-GB"/>
        </w:rPr>
        <w:t>. H</w:t>
      </w:r>
      <w:r w:rsidR="0015515F">
        <w:rPr>
          <w:rFonts w:ascii="Arial" w:hAnsi="Arial" w:cs="Arial"/>
          <w:sz w:val="24"/>
          <w:szCs w:val="24"/>
          <w:lang w:val="en-GB"/>
        </w:rPr>
        <w:t>e asserts</w:t>
      </w:r>
      <w:r w:rsidR="00FD5C68">
        <w:rPr>
          <w:rFonts w:ascii="Arial" w:hAnsi="Arial" w:cs="Arial"/>
          <w:sz w:val="24"/>
          <w:szCs w:val="24"/>
          <w:lang w:val="en-GB"/>
        </w:rPr>
        <w:t xml:space="preserve"> that</w:t>
      </w:r>
      <w:r w:rsidR="0041518F">
        <w:rPr>
          <w:rFonts w:ascii="Arial" w:hAnsi="Arial" w:cs="Arial"/>
          <w:sz w:val="24"/>
          <w:szCs w:val="24"/>
          <w:lang w:val="en-GB"/>
        </w:rPr>
        <w:t xml:space="preserve"> </w:t>
      </w:r>
      <w:r>
        <w:rPr>
          <w:rFonts w:ascii="Arial" w:hAnsi="Arial" w:cs="Arial"/>
          <w:sz w:val="24"/>
          <w:szCs w:val="24"/>
          <w:lang w:val="en-GB"/>
        </w:rPr>
        <w:t>an enquiry will not reveal anything more than the applicant already knows</w:t>
      </w:r>
      <w:r w:rsidR="00005A45">
        <w:rPr>
          <w:rFonts w:ascii="Arial" w:hAnsi="Arial" w:cs="Arial"/>
          <w:sz w:val="24"/>
          <w:szCs w:val="24"/>
          <w:lang w:val="en-GB"/>
        </w:rPr>
        <w:t xml:space="preserve"> by virtue of the 2018 investigation</w:t>
      </w:r>
      <w:r w:rsidR="00905633">
        <w:rPr>
          <w:rFonts w:ascii="Arial" w:hAnsi="Arial" w:cs="Arial"/>
          <w:sz w:val="24"/>
          <w:szCs w:val="24"/>
          <w:lang w:val="en-GB"/>
        </w:rPr>
        <w:t xml:space="preserve">. </w:t>
      </w:r>
      <w:r w:rsidR="00A341FB">
        <w:rPr>
          <w:rFonts w:ascii="Arial" w:hAnsi="Arial" w:cs="Arial"/>
          <w:sz w:val="24"/>
          <w:szCs w:val="24"/>
          <w:lang w:val="en-GB"/>
        </w:rPr>
        <w:t xml:space="preserve">If that investigation didn’t uncover any assets, argues the respondent, </w:t>
      </w:r>
      <w:r w:rsidR="0015515F">
        <w:rPr>
          <w:rFonts w:ascii="Arial" w:hAnsi="Arial" w:cs="Arial"/>
          <w:sz w:val="24"/>
          <w:szCs w:val="24"/>
          <w:lang w:val="en-GB"/>
        </w:rPr>
        <w:t xml:space="preserve">it is because </w:t>
      </w:r>
      <w:r w:rsidR="00A341FB">
        <w:rPr>
          <w:rFonts w:ascii="Arial" w:hAnsi="Arial" w:cs="Arial"/>
          <w:sz w:val="24"/>
          <w:szCs w:val="24"/>
          <w:lang w:val="en-GB"/>
        </w:rPr>
        <w:t>they simply don’t exist.</w:t>
      </w:r>
      <w:r w:rsidR="0015515F">
        <w:rPr>
          <w:rFonts w:ascii="Arial" w:hAnsi="Arial" w:cs="Arial"/>
          <w:sz w:val="24"/>
          <w:szCs w:val="24"/>
          <w:lang w:val="en-GB"/>
        </w:rPr>
        <w:t xml:space="preserve"> </w:t>
      </w:r>
      <w:r w:rsidR="00706AEC">
        <w:rPr>
          <w:rFonts w:ascii="Arial" w:hAnsi="Arial" w:cs="Arial"/>
          <w:sz w:val="24"/>
          <w:szCs w:val="24"/>
          <w:lang w:val="en-GB"/>
        </w:rPr>
        <w:t>T</w:t>
      </w:r>
      <w:r w:rsidR="00706AEC" w:rsidRPr="0015515F">
        <w:rPr>
          <w:rFonts w:ascii="Arial" w:hAnsi="Arial" w:cs="Arial"/>
          <w:sz w:val="24"/>
          <w:szCs w:val="24"/>
          <w:lang w:val="en-GB"/>
        </w:rPr>
        <w:t xml:space="preserve">he respondent contends that </w:t>
      </w:r>
      <w:r w:rsidR="00706AEC">
        <w:rPr>
          <w:rFonts w:ascii="Arial" w:hAnsi="Arial" w:cs="Arial"/>
          <w:sz w:val="24"/>
          <w:szCs w:val="24"/>
          <w:lang w:val="en-GB"/>
        </w:rPr>
        <w:t>t</w:t>
      </w:r>
      <w:r w:rsidR="00A341FB" w:rsidRPr="0015515F">
        <w:rPr>
          <w:rFonts w:ascii="Arial" w:hAnsi="Arial" w:cs="Arial"/>
          <w:sz w:val="24"/>
          <w:szCs w:val="24"/>
          <w:lang w:val="en-GB"/>
        </w:rPr>
        <w:t xml:space="preserve">o the extent an enquiry is warranted, this </w:t>
      </w:r>
      <w:r w:rsidR="0015515F">
        <w:rPr>
          <w:rFonts w:ascii="Arial" w:hAnsi="Arial" w:cs="Arial"/>
          <w:sz w:val="24"/>
          <w:szCs w:val="24"/>
          <w:lang w:val="en-GB"/>
        </w:rPr>
        <w:t xml:space="preserve">can be </w:t>
      </w:r>
      <w:r w:rsidR="00A341FB" w:rsidRPr="0015515F">
        <w:rPr>
          <w:rFonts w:ascii="Arial" w:hAnsi="Arial" w:cs="Arial"/>
          <w:sz w:val="24"/>
          <w:szCs w:val="24"/>
          <w:lang w:val="en-GB"/>
        </w:rPr>
        <w:t>achieved by means short of sequestrating him, namely</w:t>
      </w:r>
      <w:r w:rsidR="00706AEC">
        <w:rPr>
          <w:rFonts w:ascii="Arial" w:hAnsi="Arial" w:cs="Arial"/>
          <w:sz w:val="24"/>
          <w:szCs w:val="24"/>
          <w:lang w:val="en-GB"/>
        </w:rPr>
        <w:t>:</w:t>
      </w:r>
      <w:r w:rsidR="00A341FB" w:rsidRPr="0015515F">
        <w:rPr>
          <w:rFonts w:ascii="Arial" w:hAnsi="Arial" w:cs="Arial"/>
          <w:sz w:val="24"/>
          <w:szCs w:val="24"/>
          <w:lang w:val="en-GB"/>
        </w:rPr>
        <w:t xml:space="preserve"> </w:t>
      </w:r>
      <w:r w:rsidR="005267E7" w:rsidRPr="0015515F">
        <w:rPr>
          <w:rFonts w:ascii="Arial" w:hAnsi="Arial" w:cs="Arial"/>
          <w:sz w:val="24"/>
          <w:szCs w:val="24"/>
          <w:lang w:val="en-GB"/>
        </w:rPr>
        <w:t xml:space="preserve">an </w:t>
      </w:r>
      <w:r w:rsidR="00A341FB" w:rsidRPr="0015515F">
        <w:rPr>
          <w:rFonts w:ascii="Arial" w:hAnsi="Arial" w:cs="Arial"/>
          <w:sz w:val="24"/>
          <w:szCs w:val="24"/>
          <w:lang w:val="en-GB"/>
        </w:rPr>
        <w:t xml:space="preserve">enquiry in </w:t>
      </w:r>
      <w:r w:rsidR="00706AEC">
        <w:rPr>
          <w:rFonts w:ascii="Arial" w:hAnsi="Arial" w:cs="Arial"/>
          <w:sz w:val="24"/>
          <w:szCs w:val="24"/>
          <w:lang w:val="en-GB"/>
        </w:rPr>
        <w:t xml:space="preserve">the </w:t>
      </w:r>
      <w:r w:rsidR="00A341FB" w:rsidRPr="0015515F">
        <w:rPr>
          <w:rFonts w:ascii="Arial" w:hAnsi="Arial" w:cs="Arial"/>
          <w:sz w:val="24"/>
          <w:szCs w:val="24"/>
          <w:lang w:val="en-GB"/>
        </w:rPr>
        <w:t xml:space="preserve">Rokwil </w:t>
      </w:r>
      <w:r w:rsidR="00706AEC">
        <w:rPr>
          <w:rFonts w:ascii="Arial" w:hAnsi="Arial" w:cs="Arial"/>
          <w:sz w:val="24"/>
          <w:szCs w:val="24"/>
          <w:lang w:val="en-GB"/>
        </w:rPr>
        <w:t>liquidation or</w:t>
      </w:r>
      <w:r w:rsidR="00A341FB" w:rsidRPr="0015515F">
        <w:rPr>
          <w:rFonts w:ascii="Arial" w:hAnsi="Arial" w:cs="Arial"/>
          <w:sz w:val="24"/>
          <w:szCs w:val="24"/>
          <w:lang w:val="en-GB"/>
        </w:rPr>
        <w:t xml:space="preserve"> referring this application for the hearing of oral evidence</w:t>
      </w:r>
      <w:r w:rsidR="00290BFE" w:rsidRPr="0015515F">
        <w:rPr>
          <w:rFonts w:ascii="Arial" w:hAnsi="Arial" w:cs="Arial"/>
          <w:sz w:val="24"/>
          <w:szCs w:val="24"/>
          <w:lang w:val="en-GB"/>
        </w:rPr>
        <w:t xml:space="preserve"> or by </w:t>
      </w:r>
      <w:r w:rsidR="00D11D1C" w:rsidRPr="0015515F">
        <w:rPr>
          <w:rFonts w:ascii="Arial" w:hAnsi="Arial" w:cs="Arial"/>
          <w:sz w:val="24"/>
          <w:szCs w:val="24"/>
          <w:lang w:val="en-GB"/>
        </w:rPr>
        <w:t xml:space="preserve">adjourning the sequestration application and </w:t>
      </w:r>
      <w:r w:rsidR="00290BFE" w:rsidRPr="0015515F">
        <w:rPr>
          <w:rFonts w:ascii="Arial" w:hAnsi="Arial" w:cs="Arial"/>
          <w:sz w:val="24"/>
          <w:szCs w:val="24"/>
          <w:lang w:val="en-GB"/>
        </w:rPr>
        <w:t xml:space="preserve">requiring the respondent’s provisional trustees to conduct an enquiry and deliver a report to court on advantage to creditors. </w:t>
      </w:r>
    </w:p>
    <w:p w:rsidR="00B061EF" w:rsidRDefault="00B061EF" w:rsidP="00B061EF">
      <w:pPr>
        <w:pStyle w:val="ListParagraph"/>
        <w:rPr>
          <w:rFonts w:ascii="Arial" w:hAnsi="Arial" w:cs="Arial"/>
          <w:sz w:val="24"/>
          <w:szCs w:val="24"/>
          <w:lang w:val="en-GB"/>
        </w:rPr>
      </w:pPr>
    </w:p>
    <w:p w:rsidR="00E41876" w:rsidRDefault="00005A45" w:rsidP="00453770">
      <w:pPr>
        <w:numPr>
          <w:ilvl w:val="0"/>
          <w:numId w:val="2"/>
        </w:numPr>
        <w:spacing w:after="0" w:line="360" w:lineRule="auto"/>
        <w:jc w:val="both"/>
        <w:rPr>
          <w:rFonts w:ascii="Arial" w:hAnsi="Arial" w:cs="Arial"/>
          <w:sz w:val="24"/>
          <w:szCs w:val="24"/>
          <w:lang w:val="en-GB"/>
        </w:rPr>
      </w:pPr>
      <w:r w:rsidRPr="00D11D1C">
        <w:rPr>
          <w:rFonts w:ascii="Arial" w:hAnsi="Arial" w:cs="Arial"/>
          <w:sz w:val="24"/>
          <w:szCs w:val="24"/>
          <w:lang w:val="en-GB"/>
        </w:rPr>
        <w:t xml:space="preserve">To assess these competing </w:t>
      </w:r>
      <w:r w:rsidR="00D11D1C" w:rsidRPr="00D11D1C">
        <w:rPr>
          <w:rFonts w:ascii="Arial" w:hAnsi="Arial" w:cs="Arial"/>
          <w:sz w:val="24"/>
          <w:szCs w:val="24"/>
          <w:lang w:val="en-GB"/>
        </w:rPr>
        <w:t>contentions,</w:t>
      </w:r>
      <w:r w:rsidRPr="00D11D1C">
        <w:rPr>
          <w:rFonts w:ascii="Arial" w:hAnsi="Arial" w:cs="Arial"/>
          <w:sz w:val="24"/>
          <w:szCs w:val="24"/>
          <w:lang w:val="en-GB"/>
        </w:rPr>
        <w:t xml:space="preserve"> it</w:t>
      </w:r>
      <w:r w:rsidR="00A341FB" w:rsidRPr="00D11D1C">
        <w:rPr>
          <w:rFonts w:ascii="Arial" w:hAnsi="Arial" w:cs="Arial"/>
          <w:sz w:val="24"/>
          <w:szCs w:val="24"/>
          <w:lang w:val="en-GB"/>
        </w:rPr>
        <w:t xml:space="preserve"> is necessary </w:t>
      </w:r>
      <w:r w:rsidR="0015515F">
        <w:rPr>
          <w:rFonts w:ascii="Arial" w:hAnsi="Arial" w:cs="Arial"/>
          <w:sz w:val="24"/>
          <w:szCs w:val="24"/>
          <w:lang w:val="en-GB"/>
        </w:rPr>
        <w:t xml:space="preserve">first </w:t>
      </w:r>
      <w:r w:rsidR="00A341FB" w:rsidRPr="00D11D1C">
        <w:rPr>
          <w:rFonts w:ascii="Arial" w:hAnsi="Arial" w:cs="Arial"/>
          <w:sz w:val="24"/>
          <w:szCs w:val="24"/>
          <w:lang w:val="en-GB"/>
        </w:rPr>
        <w:t>to consider</w:t>
      </w:r>
      <w:r w:rsidR="00A341FB">
        <w:rPr>
          <w:rFonts w:ascii="Arial" w:hAnsi="Arial" w:cs="Arial"/>
          <w:sz w:val="24"/>
          <w:szCs w:val="24"/>
          <w:lang w:val="en-GB"/>
        </w:rPr>
        <w:t xml:space="preserve"> what </w:t>
      </w:r>
      <w:r>
        <w:rPr>
          <w:rFonts w:ascii="Arial" w:hAnsi="Arial" w:cs="Arial"/>
          <w:sz w:val="24"/>
          <w:szCs w:val="24"/>
          <w:lang w:val="en-GB"/>
        </w:rPr>
        <w:t xml:space="preserve">emerged from </w:t>
      </w:r>
      <w:r w:rsidR="00A341FB">
        <w:rPr>
          <w:rFonts w:ascii="Arial" w:hAnsi="Arial" w:cs="Arial"/>
          <w:sz w:val="24"/>
          <w:szCs w:val="24"/>
          <w:lang w:val="en-GB"/>
        </w:rPr>
        <w:t xml:space="preserve">the </w:t>
      </w:r>
      <w:r>
        <w:rPr>
          <w:rFonts w:ascii="Arial" w:hAnsi="Arial" w:cs="Arial"/>
          <w:sz w:val="24"/>
          <w:szCs w:val="24"/>
          <w:lang w:val="en-GB"/>
        </w:rPr>
        <w:t>2018</w:t>
      </w:r>
      <w:r w:rsidR="00A341FB">
        <w:rPr>
          <w:rFonts w:ascii="Arial" w:hAnsi="Arial" w:cs="Arial"/>
          <w:sz w:val="24"/>
          <w:szCs w:val="24"/>
          <w:lang w:val="en-GB"/>
        </w:rPr>
        <w:t xml:space="preserve"> </w:t>
      </w:r>
      <w:r>
        <w:rPr>
          <w:rFonts w:ascii="Arial" w:hAnsi="Arial" w:cs="Arial"/>
          <w:sz w:val="24"/>
          <w:szCs w:val="24"/>
          <w:lang w:val="en-GB"/>
        </w:rPr>
        <w:t>investigation</w:t>
      </w:r>
      <w:r w:rsidR="00D11D1C">
        <w:rPr>
          <w:rFonts w:ascii="Arial" w:hAnsi="Arial" w:cs="Arial"/>
          <w:sz w:val="24"/>
          <w:szCs w:val="24"/>
          <w:lang w:val="en-GB"/>
        </w:rPr>
        <w:t xml:space="preserve"> and the respondent’s explanations </w:t>
      </w:r>
      <w:r w:rsidR="00F14DEB">
        <w:rPr>
          <w:rFonts w:ascii="Arial" w:hAnsi="Arial" w:cs="Arial"/>
          <w:sz w:val="24"/>
          <w:szCs w:val="24"/>
          <w:lang w:val="en-GB"/>
        </w:rPr>
        <w:t>for its findings</w:t>
      </w:r>
      <w:r w:rsidR="003A0E97">
        <w:rPr>
          <w:rFonts w:ascii="Arial" w:hAnsi="Arial" w:cs="Arial"/>
          <w:sz w:val="24"/>
          <w:szCs w:val="24"/>
          <w:lang w:val="en-GB"/>
        </w:rPr>
        <w:t xml:space="preserve"> and then the aspects of the provisional trustees’ report upon </w:t>
      </w:r>
      <w:r w:rsidR="0015515F">
        <w:rPr>
          <w:rFonts w:ascii="Arial" w:hAnsi="Arial" w:cs="Arial"/>
          <w:sz w:val="24"/>
          <w:szCs w:val="24"/>
          <w:lang w:val="en-GB"/>
        </w:rPr>
        <w:t>which</w:t>
      </w:r>
      <w:r w:rsidR="003A0E97">
        <w:rPr>
          <w:rFonts w:ascii="Arial" w:hAnsi="Arial" w:cs="Arial"/>
          <w:sz w:val="24"/>
          <w:szCs w:val="24"/>
          <w:lang w:val="en-GB"/>
        </w:rPr>
        <w:t xml:space="preserve"> the applicant</w:t>
      </w:r>
      <w:r w:rsidR="0015515F">
        <w:rPr>
          <w:rFonts w:ascii="Arial" w:hAnsi="Arial" w:cs="Arial"/>
          <w:sz w:val="24"/>
          <w:szCs w:val="24"/>
          <w:lang w:val="en-GB"/>
        </w:rPr>
        <w:t xml:space="preserve"> relies</w:t>
      </w:r>
      <w:r w:rsidR="003A0E97">
        <w:rPr>
          <w:rFonts w:ascii="Arial" w:hAnsi="Arial" w:cs="Arial"/>
          <w:sz w:val="24"/>
          <w:szCs w:val="24"/>
          <w:lang w:val="en-GB"/>
        </w:rPr>
        <w:t xml:space="preserve">. </w:t>
      </w:r>
    </w:p>
    <w:p w:rsidR="005267E7" w:rsidRPr="005267E7" w:rsidRDefault="00B061EF" w:rsidP="00E41876">
      <w:pPr>
        <w:spacing w:line="480" w:lineRule="auto"/>
        <w:jc w:val="both"/>
        <w:rPr>
          <w:rFonts w:ascii="Arial" w:hAnsi="Arial" w:cs="Arial"/>
          <w:b/>
          <w:bCs/>
          <w:sz w:val="24"/>
          <w:szCs w:val="24"/>
          <w:lang w:val="en-GB"/>
        </w:rPr>
      </w:pPr>
      <w:r>
        <w:rPr>
          <w:rFonts w:ascii="Arial" w:hAnsi="Arial" w:cs="Arial"/>
          <w:b/>
          <w:bCs/>
          <w:sz w:val="24"/>
          <w:szCs w:val="24"/>
          <w:lang w:val="en-GB"/>
        </w:rPr>
        <w:br/>
      </w:r>
      <w:r w:rsidR="003A0E97">
        <w:rPr>
          <w:rFonts w:ascii="Arial" w:hAnsi="Arial" w:cs="Arial"/>
          <w:b/>
          <w:bCs/>
          <w:sz w:val="24"/>
          <w:szCs w:val="24"/>
          <w:lang w:val="en-GB"/>
        </w:rPr>
        <w:t>Flows of funds revealed in the</w:t>
      </w:r>
      <w:r w:rsidR="005267E7" w:rsidRPr="005267E7">
        <w:rPr>
          <w:rFonts w:ascii="Arial" w:hAnsi="Arial" w:cs="Arial"/>
          <w:b/>
          <w:bCs/>
          <w:sz w:val="24"/>
          <w:szCs w:val="24"/>
          <w:lang w:val="en-GB"/>
        </w:rPr>
        <w:t xml:space="preserve"> 2018 investigation</w:t>
      </w:r>
    </w:p>
    <w:p w:rsidR="00B061EF" w:rsidRDefault="003A0E97" w:rsidP="00C674CF">
      <w:pPr>
        <w:numPr>
          <w:ilvl w:val="0"/>
          <w:numId w:val="2"/>
        </w:numPr>
        <w:spacing w:after="0" w:line="360" w:lineRule="auto"/>
        <w:jc w:val="both"/>
        <w:rPr>
          <w:rFonts w:ascii="Arial" w:hAnsi="Arial" w:cs="Arial"/>
          <w:sz w:val="24"/>
          <w:szCs w:val="24"/>
          <w:lang w:val="en-GB"/>
        </w:rPr>
      </w:pPr>
      <w:r w:rsidRPr="00B061EF">
        <w:rPr>
          <w:rFonts w:ascii="Arial" w:hAnsi="Arial" w:cs="Arial"/>
          <w:sz w:val="24"/>
          <w:szCs w:val="24"/>
          <w:lang w:val="en-GB"/>
        </w:rPr>
        <w:t>The 2018 investigation was conducted for the purpose of establishing the value created in R</w:t>
      </w:r>
      <w:r w:rsidR="0041518F" w:rsidRPr="00B061EF">
        <w:rPr>
          <w:rFonts w:ascii="Arial" w:hAnsi="Arial" w:cs="Arial"/>
          <w:sz w:val="24"/>
          <w:szCs w:val="24"/>
          <w:lang w:val="en-GB"/>
        </w:rPr>
        <w:t>o</w:t>
      </w:r>
      <w:r w:rsidRPr="00B061EF">
        <w:rPr>
          <w:rFonts w:ascii="Arial" w:hAnsi="Arial" w:cs="Arial"/>
          <w:sz w:val="24"/>
          <w:szCs w:val="24"/>
          <w:lang w:val="en-GB"/>
        </w:rPr>
        <w:t>kwil and the financial benefits obtained by the respondent from that company. It  occurred with the consent and co</w:t>
      </w:r>
      <w:r w:rsidR="0015515F">
        <w:rPr>
          <w:rFonts w:ascii="Arial" w:hAnsi="Arial" w:cs="Arial"/>
          <w:sz w:val="24"/>
          <w:szCs w:val="24"/>
          <w:lang w:val="en-GB"/>
        </w:rPr>
        <w:t>-</w:t>
      </w:r>
      <w:r w:rsidRPr="00B061EF">
        <w:rPr>
          <w:rFonts w:ascii="Arial" w:hAnsi="Arial" w:cs="Arial"/>
          <w:sz w:val="24"/>
          <w:szCs w:val="24"/>
          <w:lang w:val="en-GB"/>
        </w:rPr>
        <w:t xml:space="preserve">operation of the respondent and Rokwil and was performed </w:t>
      </w:r>
      <w:r w:rsidR="00905633" w:rsidRPr="00B061EF">
        <w:rPr>
          <w:rFonts w:ascii="Arial" w:hAnsi="Arial" w:cs="Arial"/>
          <w:sz w:val="24"/>
          <w:szCs w:val="24"/>
          <w:lang w:val="en-GB"/>
        </w:rPr>
        <w:t xml:space="preserve">over a period of eight months </w:t>
      </w:r>
      <w:r w:rsidRPr="00B061EF">
        <w:rPr>
          <w:rFonts w:ascii="Arial" w:hAnsi="Arial" w:cs="Arial"/>
          <w:sz w:val="24"/>
          <w:szCs w:val="24"/>
          <w:lang w:val="en-GB"/>
        </w:rPr>
        <w:t>by three accountants who were given access to the bank account statements of the respondent and his wife.</w:t>
      </w:r>
    </w:p>
    <w:p w:rsidR="00B061EF" w:rsidRDefault="00B061EF" w:rsidP="00B061EF">
      <w:pPr>
        <w:spacing w:after="0" w:line="360" w:lineRule="auto"/>
        <w:jc w:val="both"/>
        <w:rPr>
          <w:rFonts w:ascii="Arial" w:hAnsi="Arial" w:cs="Arial"/>
          <w:sz w:val="24"/>
          <w:szCs w:val="24"/>
          <w:lang w:val="en-GB"/>
        </w:rPr>
      </w:pPr>
    </w:p>
    <w:p w:rsidR="00B061EF" w:rsidRDefault="00290BFE" w:rsidP="00ED17AE">
      <w:pPr>
        <w:numPr>
          <w:ilvl w:val="0"/>
          <w:numId w:val="2"/>
        </w:numPr>
        <w:spacing w:after="0" w:line="360" w:lineRule="auto"/>
        <w:jc w:val="both"/>
        <w:rPr>
          <w:rFonts w:ascii="Arial" w:hAnsi="Arial" w:cs="Arial"/>
          <w:sz w:val="24"/>
          <w:szCs w:val="24"/>
          <w:lang w:val="en-GB"/>
        </w:rPr>
      </w:pPr>
      <w:r w:rsidRPr="00B061EF">
        <w:rPr>
          <w:rFonts w:ascii="Arial" w:hAnsi="Arial" w:cs="Arial"/>
          <w:sz w:val="24"/>
          <w:szCs w:val="24"/>
          <w:lang w:val="en-GB"/>
        </w:rPr>
        <w:t>T</w:t>
      </w:r>
      <w:r w:rsidR="00A341FB" w:rsidRPr="00B061EF">
        <w:rPr>
          <w:rFonts w:ascii="Arial" w:hAnsi="Arial" w:cs="Arial"/>
          <w:sz w:val="24"/>
          <w:szCs w:val="24"/>
          <w:lang w:val="en-GB"/>
        </w:rPr>
        <w:t>he</w:t>
      </w:r>
      <w:r w:rsidR="00527D0A" w:rsidRPr="00B061EF">
        <w:rPr>
          <w:rFonts w:ascii="Arial" w:hAnsi="Arial" w:cs="Arial"/>
          <w:sz w:val="24"/>
          <w:szCs w:val="24"/>
          <w:lang w:val="en-GB"/>
        </w:rPr>
        <w:t xml:space="preserve"> 2018 </w:t>
      </w:r>
      <w:r w:rsidR="00E41876" w:rsidRPr="00B061EF">
        <w:rPr>
          <w:rFonts w:ascii="Arial" w:hAnsi="Arial" w:cs="Arial"/>
          <w:sz w:val="24"/>
          <w:szCs w:val="24"/>
          <w:lang w:val="en-GB"/>
        </w:rPr>
        <w:t xml:space="preserve">investigation </w:t>
      </w:r>
      <w:r w:rsidR="00527D0A" w:rsidRPr="00B061EF">
        <w:rPr>
          <w:rFonts w:ascii="Arial" w:hAnsi="Arial" w:cs="Arial"/>
          <w:sz w:val="24"/>
          <w:szCs w:val="24"/>
          <w:lang w:val="en-GB"/>
        </w:rPr>
        <w:t xml:space="preserve">revealed </w:t>
      </w:r>
      <w:r w:rsidR="00E41876" w:rsidRPr="00B061EF">
        <w:rPr>
          <w:rFonts w:ascii="Arial" w:hAnsi="Arial" w:cs="Arial"/>
          <w:sz w:val="24"/>
          <w:szCs w:val="24"/>
          <w:lang w:val="en-GB"/>
        </w:rPr>
        <w:t xml:space="preserve">significant </w:t>
      </w:r>
      <w:r w:rsidR="00527D0A" w:rsidRPr="00B061EF">
        <w:rPr>
          <w:rFonts w:ascii="Arial" w:hAnsi="Arial" w:cs="Arial"/>
          <w:sz w:val="24"/>
          <w:szCs w:val="24"/>
          <w:lang w:val="en-GB"/>
        </w:rPr>
        <w:t xml:space="preserve">flows of funds between the bank accounts of </w:t>
      </w:r>
      <w:r w:rsidR="00DA389E">
        <w:rPr>
          <w:rFonts w:ascii="Arial" w:hAnsi="Arial" w:cs="Arial"/>
          <w:sz w:val="24"/>
          <w:szCs w:val="24"/>
          <w:lang w:val="en-GB"/>
        </w:rPr>
        <w:t xml:space="preserve">Rokwil and </w:t>
      </w:r>
      <w:r w:rsidR="00527D0A" w:rsidRPr="00B061EF">
        <w:rPr>
          <w:rFonts w:ascii="Arial" w:hAnsi="Arial" w:cs="Arial"/>
          <w:sz w:val="24"/>
          <w:szCs w:val="24"/>
          <w:lang w:val="en-GB"/>
        </w:rPr>
        <w:t>the respondent</w:t>
      </w:r>
      <w:r w:rsidR="00DA389E">
        <w:rPr>
          <w:rFonts w:ascii="Arial" w:hAnsi="Arial" w:cs="Arial"/>
          <w:sz w:val="24"/>
          <w:szCs w:val="24"/>
          <w:lang w:val="en-GB"/>
        </w:rPr>
        <w:t xml:space="preserve"> </w:t>
      </w:r>
      <w:r w:rsidR="009F10E2" w:rsidRPr="00B061EF">
        <w:rPr>
          <w:rFonts w:ascii="Arial" w:hAnsi="Arial" w:cs="Arial"/>
          <w:sz w:val="24"/>
          <w:szCs w:val="24"/>
          <w:lang w:val="en-GB"/>
        </w:rPr>
        <w:t xml:space="preserve">and </w:t>
      </w:r>
      <w:r w:rsidR="00DA389E">
        <w:rPr>
          <w:rFonts w:ascii="Arial" w:hAnsi="Arial" w:cs="Arial"/>
          <w:sz w:val="24"/>
          <w:szCs w:val="24"/>
          <w:lang w:val="en-GB"/>
        </w:rPr>
        <w:t xml:space="preserve">his </w:t>
      </w:r>
      <w:r w:rsidR="00FE578E" w:rsidRPr="00B061EF">
        <w:rPr>
          <w:rFonts w:ascii="Arial" w:hAnsi="Arial" w:cs="Arial"/>
          <w:sz w:val="24"/>
          <w:szCs w:val="24"/>
          <w:lang w:val="en-GB"/>
        </w:rPr>
        <w:t>spouse</w:t>
      </w:r>
      <w:r w:rsidR="009F10E2" w:rsidRPr="00B061EF">
        <w:rPr>
          <w:rFonts w:ascii="Arial" w:hAnsi="Arial" w:cs="Arial"/>
          <w:sz w:val="24"/>
          <w:szCs w:val="24"/>
          <w:lang w:val="en-GB"/>
        </w:rPr>
        <w:t xml:space="preserve">. </w:t>
      </w:r>
      <w:r w:rsidR="00C9693A" w:rsidRPr="00B061EF">
        <w:rPr>
          <w:rFonts w:ascii="Arial" w:hAnsi="Arial" w:cs="Arial"/>
          <w:sz w:val="24"/>
          <w:szCs w:val="24"/>
          <w:lang w:val="en-GB"/>
        </w:rPr>
        <w:t xml:space="preserve">The flows of funds are not disputed, what is in issue is whether they have been satisfactorily </w:t>
      </w:r>
      <w:r w:rsidRPr="00B061EF">
        <w:rPr>
          <w:rFonts w:ascii="Arial" w:hAnsi="Arial" w:cs="Arial"/>
          <w:sz w:val="24"/>
          <w:szCs w:val="24"/>
          <w:lang w:val="en-GB"/>
        </w:rPr>
        <w:t xml:space="preserve">explained or constitute a basis upon which there is reason to believe that the respondent’s sequestration would be to the advantage of creditors. </w:t>
      </w:r>
    </w:p>
    <w:p w:rsidR="00B061EF" w:rsidRDefault="00B061EF" w:rsidP="00B061EF">
      <w:pPr>
        <w:pStyle w:val="ListParagraph"/>
        <w:rPr>
          <w:rFonts w:ascii="Arial" w:hAnsi="Arial" w:cs="Arial"/>
          <w:sz w:val="24"/>
          <w:szCs w:val="24"/>
          <w:lang w:val="en-GB"/>
        </w:rPr>
      </w:pPr>
    </w:p>
    <w:p w:rsidR="00DA389E" w:rsidRDefault="00E41876" w:rsidP="00EB1F46">
      <w:pPr>
        <w:numPr>
          <w:ilvl w:val="0"/>
          <w:numId w:val="2"/>
        </w:numPr>
        <w:spacing w:after="0" w:line="360" w:lineRule="auto"/>
        <w:jc w:val="both"/>
        <w:rPr>
          <w:rFonts w:ascii="Arial" w:hAnsi="Arial" w:cs="Arial"/>
          <w:sz w:val="24"/>
          <w:szCs w:val="24"/>
          <w:lang w:val="en-GB"/>
        </w:rPr>
      </w:pPr>
      <w:r w:rsidRPr="00DA389E">
        <w:rPr>
          <w:rFonts w:ascii="Arial" w:hAnsi="Arial" w:cs="Arial"/>
          <w:sz w:val="24"/>
          <w:szCs w:val="24"/>
          <w:lang w:val="en-GB"/>
        </w:rPr>
        <w:t xml:space="preserve">The respondent drew </w:t>
      </w:r>
      <w:r w:rsidR="00C9693A" w:rsidRPr="00DA389E">
        <w:rPr>
          <w:rFonts w:ascii="Arial" w:hAnsi="Arial" w:cs="Arial"/>
          <w:sz w:val="24"/>
          <w:szCs w:val="24"/>
          <w:lang w:val="en-GB"/>
        </w:rPr>
        <w:t>more than</w:t>
      </w:r>
      <w:r w:rsidRPr="00DA389E">
        <w:rPr>
          <w:rFonts w:ascii="Arial" w:hAnsi="Arial" w:cs="Arial"/>
          <w:sz w:val="24"/>
          <w:szCs w:val="24"/>
          <w:lang w:val="en-GB"/>
        </w:rPr>
        <w:t xml:space="preserve"> R182 million from Rokwil during the period February 2013 to October 2017</w:t>
      </w:r>
      <w:r w:rsidR="00C9693A" w:rsidRPr="00DA389E">
        <w:rPr>
          <w:rFonts w:ascii="Arial" w:hAnsi="Arial" w:cs="Arial"/>
          <w:sz w:val="24"/>
          <w:szCs w:val="24"/>
          <w:lang w:val="en-GB"/>
        </w:rPr>
        <w:t>.</w:t>
      </w:r>
      <w:r w:rsidR="00290BFE" w:rsidRPr="00DA389E">
        <w:rPr>
          <w:rFonts w:ascii="Arial" w:hAnsi="Arial" w:cs="Arial"/>
          <w:sz w:val="24"/>
          <w:szCs w:val="24"/>
          <w:lang w:val="en-GB"/>
        </w:rPr>
        <w:t xml:space="preserve"> </w:t>
      </w:r>
      <w:r w:rsidR="00DA389E" w:rsidRPr="00DA389E">
        <w:rPr>
          <w:rFonts w:ascii="Arial" w:hAnsi="Arial" w:cs="Arial"/>
          <w:sz w:val="24"/>
          <w:szCs w:val="24"/>
          <w:lang w:val="en-GB"/>
        </w:rPr>
        <w:t>Based on the 2018 investigation</w:t>
      </w:r>
      <w:r w:rsidR="00DA389E">
        <w:rPr>
          <w:rFonts w:ascii="Arial" w:hAnsi="Arial" w:cs="Arial"/>
          <w:sz w:val="24"/>
          <w:szCs w:val="24"/>
          <w:lang w:val="en-GB"/>
        </w:rPr>
        <w:t>,</w:t>
      </w:r>
      <w:r w:rsidR="00DA389E" w:rsidRPr="00DA389E">
        <w:rPr>
          <w:rFonts w:ascii="Arial" w:hAnsi="Arial" w:cs="Arial"/>
          <w:sz w:val="24"/>
          <w:szCs w:val="24"/>
          <w:lang w:val="en-GB"/>
        </w:rPr>
        <w:t xml:space="preserve"> t</w:t>
      </w:r>
      <w:r w:rsidR="00290BFE" w:rsidRPr="00DA389E">
        <w:rPr>
          <w:rFonts w:ascii="Arial" w:hAnsi="Arial" w:cs="Arial"/>
          <w:sz w:val="24"/>
          <w:szCs w:val="24"/>
          <w:lang w:val="en-GB"/>
        </w:rPr>
        <w:t xml:space="preserve">he applicant submits that </w:t>
      </w:r>
      <w:r w:rsidRPr="00DA389E">
        <w:rPr>
          <w:rFonts w:ascii="Arial" w:hAnsi="Arial" w:cs="Arial"/>
          <w:sz w:val="24"/>
          <w:szCs w:val="24"/>
          <w:lang w:val="en-GB"/>
        </w:rPr>
        <w:t>R 63</w:t>
      </w:r>
      <w:r w:rsidR="00AB48F9" w:rsidRPr="00DA389E">
        <w:rPr>
          <w:rFonts w:ascii="Arial" w:hAnsi="Arial" w:cs="Arial"/>
          <w:sz w:val="24"/>
          <w:szCs w:val="24"/>
          <w:lang w:val="en-GB"/>
        </w:rPr>
        <w:t>.8</w:t>
      </w:r>
      <w:r w:rsidRPr="00DA389E">
        <w:rPr>
          <w:rFonts w:ascii="Arial" w:hAnsi="Arial" w:cs="Arial"/>
          <w:sz w:val="24"/>
          <w:szCs w:val="24"/>
          <w:lang w:val="en-GB"/>
        </w:rPr>
        <w:t xml:space="preserve"> million of </w:t>
      </w:r>
      <w:r w:rsidR="00290BFE" w:rsidRPr="00DA389E">
        <w:rPr>
          <w:rFonts w:ascii="Arial" w:hAnsi="Arial" w:cs="Arial"/>
          <w:sz w:val="24"/>
          <w:szCs w:val="24"/>
          <w:lang w:val="en-GB"/>
        </w:rPr>
        <w:t>this</w:t>
      </w:r>
      <w:r w:rsidR="00AB48F9" w:rsidRPr="00DA389E">
        <w:rPr>
          <w:rFonts w:ascii="Arial" w:hAnsi="Arial" w:cs="Arial"/>
          <w:sz w:val="24"/>
          <w:szCs w:val="24"/>
          <w:lang w:val="en-GB"/>
        </w:rPr>
        <w:t xml:space="preserve"> </w:t>
      </w:r>
      <w:r w:rsidR="00290BFE" w:rsidRPr="00DA389E">
        <w:rPr>
          <w:rFonts w:ascii="Arial" w:hAnsi="Arial" w:cs="Arial"/>
          <w:sz w:val="24"/>
          <w:szCs w:val="24"/>
          <w:lang w:val="en-GB"/>
        </w:rPr>
        <w:t xml:space="preserve">was used to </w:t>
      </w:r>
      <w:r w:rsidR="00AB48F9" w:rsidRPr="00DA389E">
        <w:rPr>
          <w:rFonts w:ascii="Arial" w:hAnsi="Arial" w:cs="Arial"/>
          <w:sz w:val="24"/>
          <w:szCs w:val="24"/>
          <w:lang w:val="en-GB"/>
        </w:rPr>
        <w:t xml:space="preserve">fund </w:t>
      </w:r>
      <w:r w:rsidR="00290BFE" w:rsidRPr="00DA389E">
        <w:rPr>
          <w:rFonts w:ascii="Arial" w:hAnsi="Arial" w:cs="Arial"/>
          <w:sz w:val="24"/>
          <w:szCs w:val="24"/>
          <w:lang w:val="en-GB"/>
        </w:rPr>
        <w:t xml:space="preserve">the respondent’s </w:t>
      </w:r>
      <w:r w:rsidR="00AB48F9" w:rsidRPr="00DA389E">
        <w:rPr>
          <w:rFonts w:ascii="Arial" w:hAnsi="Arial" w:cs="Arial"/>
          <w:sz w:val="24"/>
          <w:szCs w:val="24"/>
          <w:lang w:val="en-GB"/>
        </w:rPr>
        <w:t>lifestyle</w:t>
      </w:r>
      <w:r w:rsidRPr="00DA389E">
        <w:rPr>
          <w:rFonts w:ascii="Arial" w:hAnsi="Arial" w:cs="Arial"/>
          <w:sz w:val="24"/>
          <w:szCs w:val="24"/>
          <w:lang w:val="en-GB"/>
        </w:rPr>
        <w:t xml:space="preserve">. </w:t>
      </w:r>
      <w:r w:rsidR="00290BFE" w:rsidRPr="00DA389E">
        <w:rPr>
          <w:rFonts w:ascii="Arial" w:hAnsi="Arial" w:cs="Arial"/>
          <w:sz w:val="24"/>
          <w:szCs w:val="24"/>
          <w:lang w:val="en-GB"/>
        </w:rPr>
        <w:t xml:space="preserve">The respondent denies that he received in excess of R63 million to fund his </w:t>
      </w:r>
      <w:r w:rsidR="00FE1E63" w:rsidRPr="00DA389E">
        <w:rPr>
          <w:rFonts w:ascii="Arial" w:hAnsi="Arial" w:cs="Arial"/>
          <w:sz w:val="24"/>
          <w:szCs w:val="24"/>
          <w:lang w:val="en-GB"/>
        </w:rPr>
        <w:t>lifestyle but</w:t>
      </w:r>
      <w:r w:rsidR="00290BFE" w:rsidRPr="00DA389E">
        <w:rPr>
          <w:rFonts w:ascii="Arial" w:hAnsi="Arial" w:cs="Arial"/>
          <w:sz w:val="24"/>
          <w:szCs w:val="24"/>
          <w:lang w:val="en-GB"/>
        </w:rPr>
        <w:t xml:space="preserve"> gives no details </w:t>
      </w:r>
      <w:r w:rsidR="00DA389E" w:rsidRPr="00DA389E">
        <w:rPr>
          <w:rFonts w:ascii="Arial" w:hAnsi="Arial" w:cs="Arial"/>
          <w:sz w:val="24"/>
          <w:szCs w:val="24"/>
          <w:lang w:val="en-GB"/>
        </w:rPr>
        <w:t xml:space="preserve">of </w:t>
      </w:r>
      <w:r w:rsidR="00290BFE" w:rsidRPr="00DA389E">
        <w:rPr>
          <w:rFonts w:ascii="Arial" w:hAnsi="Arial" w:cs="Arial"/>
          <w:sz w:val="24"/>
          <w:szCs w:val="24"/>
          <w:lang w:val="en-GB"/>
        </w:rPr>
        <w:t xml:space="preserve">what became of </w:t>
      </w:r>
      <w:r w:rsidR="00F43528" w:rsidRPr="00DA389E">
        <w:rPr>
          <w:rFonts w:ascii="Arial" w:hAnsi="Arial" w:cs="Arial"/>
          <w:sz w:val="24"/>
          <w:szCs w:val="24"/>
          <w:lang w:val="en-GB"/>
        </w:rPr>
        <w:t xml:space="preserve">the </w:t>
      </w:r>
      <w:r w:rsidR="00290BFE" w:rsidRPr="00DA389E">
        <w:rPr>
          <w:rFonts w:ascii="Arial" w:hAnsi="Arial" w:cs="Arial"/>
          <w:sz w:val="24"/>
          <w:szCs w:val="24"/>
          <w:lang w:val="en-GB"/>
        </w:rPr>
        <w:t>R63</w:t>
      </w:r>
      <w:r w:rsidR="00F43528" w:rsidRPr="00DA389E">
        <w:rPr>
          <w:rFonts w:ascii="Arial" w:hAnsi="Arial" w:cs="Arial"/>
          <w:sz w:val="24"/>
          <w:szCs w:val="24"/>
          <w:lang w:val="en-GB"/>
        </w:rPr>
        <w:t>.8</w:t>
      </w:r>
      <w:r w:rsidR="00290BFE" w:rsidRPr="00DA389E">
        <w:rPr>
          <w:rFonts w:ascii="Arial" w:hAnsi="Arial" w:cs="Arial"/>
          <w:sz w:val="24"/>
          <w:szCs w:val="24"/>
          <w:lang w:val="en-GB"/>
        </w:rPr>
        <w:t xml:space="preserve"> million</w:t>
      </w:r>
      <w:r w:rsidR="00DA389E" w:rsidRPr="00DA389E">
        <w:rPr>
          <w:rFonts w:ascii="Arial" w:hAnsi="Arial" w:cs="Arial"/>
          <w:sz w:val="24"/>
          <w:szCs w:val="24"/>
          <w:lang w:val="en-GB"/>
        </w:rPr>
        <w:t xml:space="preserve">. </w:t>
      </w:r>
    </w:p>
    <w:p w:rsidR="00DA389E" w:rsidRPr="00DA389E" w:rsidRDefault="00DA389E" w:rsidP="00DA389E">
      <w:pPr>
        <w:spacing w:after="0" w:line="360" w:lineRule="auto"/>
        <w:jc w:val="both"/>
        <w:rPr>
          <w:rFonts w:ascii="Arial" w:hAnsi="Arial" w:cs="Arial"/>
          <w:sz w:val="24"/>
          <w:szCs w:val="24"/>
          <w:lang w:val="en-GB"/>
        </w:rPr>
      </w:pPr>
    </w:p>
    <w:p w:rsidR="00F43528" w:rsidRDefault="00F43528"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During part of the period  referred to in the immediately preceding paragraph, namely between February 2016 to October 2017, R 108 million was transferred from Rokwil to the respondent’s personal bank account, and a little over R74 million was transferred back to Rokwil. I refer to the difference between the two sums as the R 34 million differential. The applicant </w:t>
      </w:r>
      <w:r w:rsidR="00DA389E">
        <w:rPr>
          <w:rFonts w:ascii="Arial" w:hAnsi="Arial" w:cs="Arial"/>
          <w:sz w:val="24"/>
          <w:szCs w:val="24"/>
          <w:lang w:val="en-GB"/>
        </w:rPr>
        <w:t>submits that as t</w:t>
      </w:r>
      <w:r>
        <w:rPr>
          <w:rFonts w:ascii="Arial" w:hAnsi="Arial" w:cs="Arial"/>
          <w:sz w:val="24"/>
          <w:szCs w:val="24"/>
          <w:lang w:val="en-GB"/>
        </w:rPr>
        <w:t>he respondent obtained the benefit of the R</w:t>
      </w:r>
      <w:r w:rsidR="0041518F">
        <w:rPr>
          <w:rFonts w:ascii="Arial" w:hAnsi="Arial" w:cs="Arial"/>
          <w:sz w:val="24"/>
          <w:szCs w:val="24"/>
          <w:lang w:val="en-GB"/>
        </w:rPr>
        <w:t xml:space="preserve"> </w:t>
      </w:r>
      <w:r>
        <w:rPr>
          <w:rFonts w:ascii="Arial" w:hAnsi="Arial" w:cs="Arial"/>
          <w:sz w:val="24"/>
          <w:szCs w:val="24"/>
          <w:lang w:val="en-GB"/>
        </w:rPr>
        <w:t>34 million differential over those 21 months</w:t>
      </w:r>
      <w:r w:rsidR="003A0E97">
        <w:rPr>
          <w:rFonts w:ascii="Arial" w:hAnsi="Arial" w:cs="Arial"/>
          <w:sz w:val="24"/>
          <w:szCs w:val="24"/>
          <w:lang w:val="en-GB"/>
        </w:rPr>
        <w:t xml:space="preserve"> it is therefore unlikely that he has no assets</w:t>
      </w:r>
      <w:r>
        <w:rPr>
          <w:rFonts w:ascii="Arial" w:hAnsi="Arial" w:cs="Arial"/>
          <w:sz w:val="24"/>
          <w:szCs w:val="24"/>
          <w:lang w:val="en-GB"/>
        </w:rPr>
        <w:t xml:space="preserve">. The respondent denies this but has not explained what became of the R 34 million differential. </w:t>
      </w:r>
    </w:p>
    <w:p w:rsidR="00B061EF" w:rsidRDefault="00B061EF" w:rsidP="00B061EF">
      <w:pPr>
        <w:pStyle w:val="ListParagraph"/>
        <w:rPr>
          <w:rFonts w:ascii="Arial" w:hAnsi="Arial" w:cs="Arial"/>
          <w:sz w:val="24"/>
          <w:szCs w:val="24"/>
          <w:lang w:val="en-GB"/>
        </w:rPr>
      </w:pPr>
    </w:p>
    <w:p w:rsidR="00E41876" w:rsidRDefault="00E41876"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Over R194 million was transferred from Rokwil to the personal bank accounts of the respondent’s spouse between February 2016 and October 2017</w:t>
      </w:r>
      <w:r w:rsidR="00290BFE">
        <w:rPr>
          <w:rFonts w:ascii="Arial" w:hAnsi="Arial" w:cs="Arial"/>
          <w:sz w:val="24"/>
          <w:szCs w:val="24"/>
          <w:lang w:val="en-GB"/>
        </w:rPr>
        <w:t>. D</w:t>
      </w:r>
      <w:r>
        <w:rPr>
          <w:rFonts w:ascii="Arial" w:hAnsi="Arial" w:cs="Arial"/>
          <w:sz w:val="24"/>
          <w:szCs w:val="24"/>
          <w:lang w:val="en-GB"/>
        </w:rPr>
        <w:t>uring the same period</w:t>
      </w:r>
      <w:r w:rsidR="00290BFE">
        <w:rPr>
          <w:rFonts w:ascii="Arial" w:hAnsi="Arial" w:cs="Arial"/>
          <w:sz w:val="24"/>
          <w:szCs w:val="24"/>
          <w:lang w:val="en-GB"/>
        </w:rPr>
        <w:t>,</w:t>
      </w:r>
      <w:r>
        <w:rPr>
          <w:rFonts w:ascii="Arial" w:hAnsi="Arial" w:cs="Arial"/>
          <w:sz w:val="24"/>
          <w:szCs w:val="24"/>
          <w:lang w:val="en-GB"/>
        </w:rPr>
        <w:t xml:space="preserve"> a little over R192 million was transferred from the personal bank accounts of the respondent’s spouse to Rokwil. </w:t>
      </w:r>
      <w:r w:rsidR="00290BFE">
        <w:rPr>
          <w:rFonts w:ascii="Arial" w:hAnsi="Arial" w:cs="Arial"/>
          <w:sz w:val="24"/>
          <w:szCs w:val="24"/>
          <w:lang w:val="en-GB"/>
        </w:rPr>
        <w:t>The use to which th</w:t>
      </w:r>
      <w:r w:rsidR="00F43528">
        <w:rPr>
          <w:rFonts w:ascii="Arial" w:hAnsi="Arial" w:cs="Arial"/>
          <w:sz w:val="24"/>
          <w:szCs w:val="24"/>
          <w:lang w:val="en-GB"/>
        </w:rPr>
        <w:t>e R 2 million</w:t>
      </w:r>
      <w:r w:rsidR="00290BFE">
        <w:rPr>
          <w:rFonts w:ascii="Arial" w:hAnsi="Arial" w:cs="Arial"/>
          <w:sz w:val="24"/>
          <w:szCs w:val="24"/>
          <w:lang w:val="en-GB"/>
        </w:rPr>
        <w:t xml:space="preserve"> differential was put is not explained by the respondent. </w:t>
      </w:r>
    </w:p>
    <w:p w:rsidR="00B061EF" w:rsidRDefault="00B061EF" w:rsidP="00B061EF">
      <w:pPr>
        <w:pStyle w:val="ListParagraph"/>
        <w:rPr>
          <w:rFonts w:ascii="Arial" w:hAnsi="Arial" w:cs="Arial"/>
          <w:sz w:val="24"/>
          <w:szCs w:val="24"/>
          <w:lang w:val="en-GB"/>
        </w:rPr>
      </w:pPr>
    </w:p>
    <w:p w:rsidR="00047795" w:rsidRPr="00413BD3" w:rsidRDefault="00E41876" w:rsidP="00413BD3">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9F10E2">
        <w:rPr>
          <w:rFonts w:ascii="Arial" w:hAnsi="Arial" w:cs="Arial"/>
          <w:sz w:val="24"/>
          <w:szCs w:val="24"/>
          <w:lang w:val="en-GB"/>
        </w:rPr>
        <w:t xml:space="preserve">applicant submits that </w:t>
      </w:r>
      <w:r w:rsidR="00290BFE">
        <w:rPr>
          <w:rFonts w:ascii="Arial" w:hAnsi="Arial" w:cs="Arial"/>
          <w:sz w:val="24"/>
          <w:szCs w:val="24"/>
          <w:lang w:val="en-GB"/>
        </w:rPr>
        <w:t>in the light of the above</w:t>
      </w:r>
      <w:r w:rsidR="00DA389E">
        <w:rPr>
          <w:rFonts w:ascii="Arial" w:hAnsi="Arial" w:cs="Arial"/>
          <w:sz w:val="24"/>
          <w:szCs w:val="24"/>
          <w:lang w:val="en-GB"/>
        </w:rPr>
        <w:t>,</w:t>
      </w:r>
      <w:r w:rsidR="00290BFE">
        <w:rPr>
          <w:rFonts w:ascii="Arial" w:hAnsi="Arial" w:cs="Arial"/>
          <w:sz w:val="24"/>
          <w:szCs w:val="24"/>
          <w:lang w:val="en-GB"/>
        </w:rPr>
        <w:t xml:space="preserve"> </w:t>
      </w:r>
      <w:r w:rsidR="009F10E2">
        <w:rPr>
          <w:rFonts w:ascii="Arial" w:hAnsi="Arial" w:cs="Arial"/>
          <w:sz w:val="24"/>
          <w:szCs w:val="24"/>
          <w:lang w:val="en-GB"/>
        </w:rPr>
        <w:t xml:space="preserve">it is unlikely that the respondent has no </w:t>
      </w:r>
      <w:r w:rsidR="00290BFE">
        <w:rPr>
          <w:rFonts w:ascii="Arial" w:hAnsi="Arial" w:cs="Arial"/>
          <w:sz w:val="24"/>
          <w:szCs w:val="24"/>
          <w:lang w:val="en-GB"/>
        </w:rPr>
        <w:t xml:space="preserve">assets, and </w:t>
      </w:r>
      <w:r w:rsidR="009F10E2">
        <w:rPr>
          <w:rFonts w:ascii="Arial" w:hAnsi="Arial" w:cs="Arial"/>
          <w:sz w:val="24"/>
          <w:szCs w:val="24"/>
          <w:lang w:val="en-GB"/>
        </w:rPr>
        <w:t xml:space="preserve"> </w:t>
      </w:r>
      <w:r w:rsidR="00290BFE">
        <w:rPr>
          <w:rFonts w:ascii="Arial" w:hAnsi="Arial" w:cs="Arial"/>
          <w:sz w:val="24"/>
          <w:szCs w:val="24"/>
          <w:lang w:val="en-GB"/>
        </w:rPr>
        <w:t>the flow of funds cries out for investigation</w:t>
      </w:r>
      <w:r w:rsidR="003A0E97">
        <w:rPr>
          <w:rFonts w:ascii="Arial" w:hAnsi="Arial" w:cs="Arial"/>
          <w:sz w:val="24"/>
          <w:szCs w:val="24"/>
          <w:lang w:val="en-GB"/>
        </w:rPr>
        <w:t xml:space="preserve">, particularly what became of the </w:t>
      </w:r>
      <w:r w:rsidR="00F43528">
        <w:rPr>
          <w:rFonts w:ascii="Arial" w:hAnsi="Arial" w:cs="Arial"/>
          <w:sz w:val="24"/>
          <w:szCs w:val="24"/>
          <w:lang w:val="en-GB"/>
        </w:rPr>
        <w:t xml:space="preserve">R 63.8 million </w:t>
      </w:r>
      <w:r w:rsidR="005C6E14">
        <w:rPr>
          <w:rFonts w:ascii="Arial" w:hAnsi="Arial" w:cs="Arial"/>
          <w:sz w:val="24"/>
          <w:szCs w:val="24"/>
          <w:lang w:val="en-GB"/>
        </w:rPr>
        <w:t xml:space="preserve">and </w:t>
      </w:r>
      <w:r w:rsidR="00F43528">
        <w:rPr>
          <w:rFonts w:ascii="Arial" w:hAnsi="Arial" w:cs="Arial"/>
          <w:sz w:val="24"/>
          <w:szCs w:val="24"/>
          <w:lang w:val="en-GB"/>
        </w:rPr>
        <w:t xml:space="preserve">the R 34 million differential. </w:t>
      </w:r>
      <w:r w:rsidR="00423638" w:rsidRPr="00413BD3">
        <w:rPr>
          <w:rFonts w:ascii="Arial" w:hAnsi="Arial" w:cs="Arial"/>
          <w:sz w:val="24"/>
          <w:szCs w:val="24"/>
          <w:lang w:val="en-GB"/>
        </w:rPr>
        <w:t>According to the applicant t</w:t>
      </w:r>
      <w:r w:rsidR="009F10E2" w:rsidRPr="00413BD3">
        <w:rPr>
          <w:rFonts w:ascii="Arial" w:hAnsi="Arial" w:cs="Arial"/>
          <w:sz w:val="24"/>
          <w:szCs w:val="24"/>
          <w:lang w:val="en-GB"/>
        </w:rPr>
        <w:t xml:space="preserve">hat clamour increased in volume with the respondent’s </w:t>
      </w:r>
      <w:r w:rsidR="00184316" w:rsidRPr="00413BD3">
        <w:rPr>
          <w:rFonts w:ascii="Arial" w:hAnsi="Arial" w:cs="Arial"/>
          <w:sz w:val="24"/>
          <w:szCs w:val="24"/>
          <w:lang w:val="en-GB"/>
        </w:rPr>
        <w:t>explanations</w:t>
      </w:r>
      <w:r w:rsidR="009F10E2" w:rsidRPr="00413BD3">
        <w:rPr>
          <w:rFonts w:ascii="Arial" w:hAnsi="Arial" w:cs="Arial"/>
          <w:sz w:val="24"/>
          <w:szCs w:val="24"/>
          <w:lang w:val="en-GB"/>
        </w:rPr>
        <w:t xml:space="preserve"> </w:t>
      </w:r>
      <w:r w:rsidR="00184316" w:rsidRPr="00413BD3">
        <w:rPr>
          <w:rFonts w:ascii="Arial" w:hAnsi="Arial" w:cs="Arial"/>
          <w:sz w:val="24"/>
          <w:szCs w:val="24"/>
          <w:lang w:val="en-GB"/>
        </w:rPr>
        <w:t xml:space="preserve">in his answering affidavit, which are labelled as questionable and themselves warranting investigation.  </w:t>
      </w:r>
    </w:p>
    <w:p w:rsidR="006B34D2" w:rsidRPr="006B34D2" w:rsidRDefault="006B34D2" w:rsidP="006B34D2">
      <w:pPr>
        <w:spacing w:after="0" w:line="360" w:lineRule="auto"/>
        <w:jc w:val="both"/>
        <w:rPr>
          <w:rFonts w:ascii="Arial" w:hAnsi="Arial" w:cs="Arial"/>
          <w:sz w:val="24"/>
          <w:szCs w:val="24"/>
          <w:lang w:val="en-GB"/>
        </w:rPr>
      </w:pPr>
    </w:p>
    <w:p w:rsidR="00F43528" w:rsidRPr="00423638" w:rsidRDefault="00F43528" w:rsidP="00FE578E">
      <w:pPr>
        <w:spacing w:line="480" w:lineRule="auto"/>
        <w:jc w:val="both"/>
        <w:rPr>
          <w:rFonts w:ascii="Arial" w:hAnsi="Arial" w:cs="Arial"/>
          <w:b/>
          <w:bCs/>
          <w:sz w:val="24"/>
          <w:szCs w:val="24"/>
          <w:lang w:val="en-GB"/>
        </w:rPr>
      </w:pPr>
      <w:r w:rsidRPr="00423638">
        <w:rPr>
          <w:rFonts w:ascii="Arial" w:hAnsi="Arial" w:cs="Arial"/>
          <w:b/>
          <w:bCs/>
          <w:sz w:val="24"/>
          <w:szCs w:val="24"/>
          <w:lang w:val="en-GB"/>
        </w:rPr>
        <w:t xml:space="preserve">The respondent’s </w:t>
      </w:r>
      <w:r w:rsidR="00423638" w:rsidRPr="00423638">
        <w:rPr>
          <w:rFonts w:ascii="Arial" w:hAnsi="Arial" w:cs="Arial"/>
          <w:b/>
          <w:bCs/>
          <w:sz w:val="24"/>
          <w:szCs w:val="24"/>
          <w:lang w:val="en-GB"/>
        </w:rPr>
        <w:t xml:space="preserve">explanations </w:t>
      </w:r>
      <w:r w:rsidR="006B34D2">
        <w:rPr>
          <w:rFonts w:ascii="Arial" w:hAnsi="Arial" w:cs="Arial"/>
          <w:b/>
          <w:bCs/>
          <w:sz w:val="24"/>
          <w:szCs w:val="24"/>
          <w:lang w:val="en-GB"/>
        </w:rPr>
        <w:t>of</w:t>
      </w:r>
      <w:r w:rsidR="00423638" w:rsidRPr="00423638">
        <w:rPr>
          <w:rFonts w:ascii="Arial" w:hAnsi="Arial" w:cs="Arial"/>
          <w:b/>
          <w:bCs/>
          <w:sz w:val="24"/>
          <w:szCs w:val="24"/>
          <w:lang w:val="en-GB"/>
        </w:rPr>
        <w:t xml:space="preserve"> the flow of funds</w:t>
      </w:r>
    </w:p>
    <w:p w:rsidR="00184316" w:rsidRPr="00854E4F" w:rsidRDefault="00184316"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 The respondent stated that there was nothing untoward about the flow of funds, which </w:t>
      </w:r>
      <w:r w:rsidRPr="00854E4F">
        <w:rPr>
          <w:rFonts w:ascii="Arial" w:hAnsi="Arial" w:cs="Arial"/>
          <w:sz w:val="24"/>
          <w:szCs w:val="24"/>
          <w:lang w:val="en-GB"/>
        </w:rPr>
        <w:t>were simply movement of monies between f</w:t>
      </w:r>
      <w:r w:rsidR="00FD5C68" w:rsidRPr="00854E4F">
        <w:rPr>
          <w:rFonts w:ascii="Arial" w:hAnsi="Arial" w:cs="Arial"/>
          <w:sz w:val="24"/>
          <w:szCs w:val="24"/>
          <w:lang w:val="en-GB"/>
        </w:rPr>
        <w:t>our</w:t>
      </w:r>
      <w:r w:rsidRPr="00854E4F">
        <w:rPr>
          <w:rFonts w:ascii="Arial" w:hAnsi="Arial" w:cs="Arial"/>
          <w:sz w:val="24"/>
          <w:szCs w:val="24"/>
          <w:lang w:val="en-GB"/>
        </w:rPr>
        <w:t xml:space="preserve"> accounts: Rokwil, Keystone Trust and two Investec market link accounts</w:t>
      </w:r>
      <w:r w:rsidR="002D7AB8" w:rsidRPr="00854E4F">
        <w:rPr>
          <w:rFonts w:ascii="Arial" w:hAnsi="Arial" w:cs="Arial"/>
          <w:sz w:val="24"/>
          <w:szCs w:val="24"/>
          <w:lang w:val="en-GB"/>
        </w:rPr>
        <w:t xml:space="preserve"> in his name</w:t>
      </w:r>
      <w:r w:rsidRPr="00854E4F">
        <w:rPr>
          <w:rFonts w:ascii="Arial" w:hAnsi="Arial" w:cs="Arial"/>
          <w:sz w:val="24"/>
          <w:szCs w:val="24"/>
          <w:lang w:val="en-GB"/>
        </w:rPr>
        <w:t xml:space="preserve">. </w:t>
      </w:r>
      <w:r w:rsidR="00FD5C68" w:rsidRPr="00854E4F">
        <w:rPr>
          <w:rFonts w:ascii="Arial" w:hAnsi="Arial" w:cs="Arial"/>
          <w:sz w:val="24"/>
          <w:szCs w:val="24"/>
          <w:lang w:val="en-GB"/>
        </w:rPr>
        <w:t>As will become apparent, the respondent’s wife’s account was also involved.</w:t>
      </w:r>
    </w:p>
    <w:p w:rsidR="00B061EF" w:rsidRPr="00854E4F" w:rsidRDefault="00B061EF" w:rsidP="00B061EF">
      <w:pPr>
        <w:spacing w:after="0" w:line="360" w:lineRule="auto"/>
        <w:jc w:val="both"/>
        <w:rPr>
          <w:rFonts w:ascii="Arial" w:hAnsi="Arial" w:cs="Arial"/>
          <w:sz w:val="24"/>
          <w:szCs w:val="24"/>
          <w:lang w:val="en-GB"/>
        </w:rPr>
      </w:pPr>
    </w:p>
    <w:p w:rsidR="00B061EF" w:rsidRPr="0043001F" w:rsidRDefault="00DB085C" w:rsidP="0043001F">
      <w:pPr>
        <w:numPr>
          <w:ilvl w:val="0"/>
          <w:numId w:val="2"/>
        </w:numPr>
        <w:spacing w:after="0" w:line="360" w:lineRule="auto"/>
        <w:jc w:val="both"/>
        <w:rPr>
          <w:rFonts w:ascii="Arial" w:hAnsi="Arial" w:cs="Arial"/>
          <w:sz w:val="24"/>
          <w:szCs w:val="24"/>
          <w:lang w:val="en-GB"/>
        </w:rPr>
      </w:pPr>
      <w:r w:rsidRPr="00854E4F">
        <w:rPr>
          <w:rFonts w:ascii="Arial" w:hAnsi="Arial" w:cs="Arial"/>
          <w:sz w:val="24"/>
          <w:szCs w:val="24"/>
          <w:lang w:val="en-GB"/>
        </w:rPr>
        <w:t xml:space="preserve">In relation to flows to the Investec </w:t>
      </w:r>
      <w:r w:rsidR="005C6E14">
        <w:rPr>
          <w:rFonts w:ascii="Arial" w:hAnsi="Arial" w:cs="Arial"/>
          <w:sz w:val="24"/>
          <w:szCs w:val="24"/>
          <w:lang w:val="en-GB"/>
        </w:rPr>
        <w:t xml:space="preserve">market link </w:t>
      </w:r>
      <w:r w:rsidRPr="00854E4F">
        <w:rPr>
          <w:rFonts w:ascii="Arial" w:hAnsi="Arial" w:cs="Arial"/>
          <w:sz w:val="24"/>
          <w:szCs w:val="24"/>
          <w:lang w:val="en-GB"/>
        </w:rPr>
        <w:t xml:space="preserve">accounts, the respondent stated that </w:t>
      </w:r>
      <w:r w:rsidR="00854E4F">
        <w:rPr>
          <w:rFonts w:ascii="Arial" w:hAnsi="Arial" w:cs="Arial"/>
          <w:sz w:val="24"/>
          <w:szCs w:val="24"/>
          <w:lang w:val="en-GB"/>
        </w:rPr>
        <w:t xml:space="preserve">sometimes </w:t>
      </w:r>
      <w:r>
        <w:rPr>
          <w:rFonts w:ascii="Arial" w:hAnsi="Arial" w:cs="Arial"/>
          <w:sz w:val="24"/>
          <w:szCs w:val="24"/>
          <w:lang w:val="en-GB"/>
        </w:rPr>
        <w:t>when Rokwil received funds the</w:t>
      </w:r>
      <w:r w:rsidR="00854E4F">
        <w:rPr>
          <w:rFonts w:ascii="Arial" w:hAnsi="Arial" w:cs="Arial"/>
          <w:sz w:val="24"/>
          <w:szCs w:val="24"/>
          <w:lang w:val="en-GB"/>
        </w:rPr>
        <w:t xml:space="preserve">y </w:t>
      </w:r>
      <w:r>
        <w:rPr>
          <w:rFonts w:ascii="Arial" w:hAnsi="Arial" w:cs="Arial"/>
          <w:sz w:val="24"/>
          <w:szCs w:val="24"/>
          <w:lang w:val="en-GB"/>
        </w:rPr>
        <w:t xml:space="preserve">would be paid into the market link accounts because the respondent was extremely concerned when dealing with large sums of monies that the day-to-day bank account of Rokwil could be hacked if he left all his </w:t>
      </w:r>
      <w:r w:rsidR="00FD5C68">
        <w:rPr>
          <w:rFonts w:ascii="Arial" w:hAnsi="Arial" w:cs="Arial"/>
          <w:sz w:val="24"/>
          <w:szCs w:val="24"/>
          <w:lang w:val="en-GB"/>
        </w:rPr>
        <w:t>‘</w:t>
      </w:r>
      <w:r>
        <w:rPr>
          <w:rFonts w:ascii="Arial" w:hAnsi="Arial" w:cs="Arial"/>
          <w:sz w:val="24"/>
          <w:szCs w:val="24"/>
          <w:lang w:val="en-GB"/>
        </w:rPr>
        <w:t>proverbial eggs in one basket</w:t>
      </w:r>
      <w:r w:rsidR="00FD5C68">
        <w:rPr>
          <w:rFonts w:ascii="Arial" w:hAnsi="Arial" w:cs="Arial"/>
          <w:sz w:val="24"/>
          <w:szCs w:val="24"/>
          <w:lang w:val="en-GB"/>
        </w:rPr>
        <w:t>’</w:t>
      </w:r>
      <w:r>
        <w:rPr>
          <w:rFonts w:ascii="Arial" w:hAnsi="Arial" w:cs="Arial"/>
          <w:sz w:val="24"/>
          <w:szCs w:val="24"/>
          <w:lang w:val="en-GB"/>
        </w:rPr>
        <w:t xml:space="preserve">. To avert this, surplus funds not immediately required by Rokwil would be left in </w:t>
      </w:r>
      <w:r w:rsidR="005C6E14">
        <w:rPr>
          <w:rFonts w:ascii="Arial" w:hAnsi="Arial" w:cs="Arial"/>
          <w:sz w:val="24"/>
          <w:szCs w:val="24"/>
          <w:lang w:val="en-GB"/>
        </w:rPr>
        <w:t xml:space="preserve">the </w:t>
      </w:r>
      <w:r>
        <w:rPr>
          <w:rFonts w:ascii="Arial" w:hAnsi="Arial" w:cs="Arial"/>
          <w:sz w:val="24"/>
          <w:szCs w:val="24"/>
          <w:lang w:val="en-GB"/>
        </w:rPr>
        <w:t>Investec accounts rather than paid into Rokwil’s day to day bank accounts.</w:t>
      </w:r>
      <w:r w:rsidR="002D7AB8">
        <w:rPr>
          <w:rFonts w:ascii="Arial" w:hAnsi="Arial" w:cs="Arial"/>
          <w:sz w:val="24"/>
          <w:szCs w:val="24"/>
          <w:lang w:val="en-GB"/>
        </w:rPr>
        <w:t xml:space="preserve"> </w:t>
      </w:r>
      <w:r w:rsidRPr="002D7AB8">
        <w:rPr>
          <w:rFonts w:ascii="Arial" w:hAnsi="Arial" w:cs="Arial"/>
          <w:sz w:val="24"/>
          <w:szCs w:val="24"/>
          <w:lang w:val="en-GB"/>
        </w:rPr>
        <w:t xml:space="preserve">Quite why the </w:t>
      </w:r>
      <w:r w:rsidR="002D7AB8" w:rsidRPr="002D7AB8">
        <w:rPr>
          <w:rFonts w:ascii="Arial" w:hAnsi="Arial" w:cs="Arial"/>
          <w:sz w:val="24"/>
          <w:szCs w:val="24"/>
          <w:lang w:val="en-GB"/>
        </w:rPr>
        <w:t xml:space="preserve">respondent’s </w:t>
      </w:r>
      <w:r w:rsidRPr="002D7AB8">
        <w:rPr>
          <w:rFonts w:ascii="Arial" w:hAnsi="Arial" w:cs="Arial"/>
          <w:sz w:val="24"/>
          <w:szCs w:val="24"/>
          <w:lang w:val="en-GB"/>
        </w:rPr>
        <w:t xml:space="preserve">Investec accounts would be any less susceptible to hacking than those of Rokwil is not explained. </w:t>
      </w:r>
    </w:p>
    <w:p w:rsidR="00D11D1C" w:rsidRDefault="00DB085C"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respondent has not adduced the trust deed </w:t>
      </w:r>
      <w:r w:rsidR="00A4392F">
        <w:rPr>
          <w:rFonts w:ascii="Arial" w:hAnsi="Arial" w:cs="Arial"/>
          <w:sz w:val="24"/>
          <w:szCs w:val="24"/>
          <w:lang w:val="en-GB"/>
        </w:rPr>
        <w:t xml:space="preserve">of </w:t>
      </w:r>
      <w:r w:rsidRPr="003A42DA">
        <w:rPr>
          <w:rFonts w:ascii="Arial" w:hAnsi="Arial" w:cs="Arial"/>
          <w:sz w:val="24"/>
          <w:szCs w:val="24"/>
          <w:lang w:val="en-GB"/>
        </w:rPr>
        <w:t xml:space="preserve">the Keystone Trust. </w:t>
      </w:r>
      <w:r w:rsidR="003A42DA" w:rsidRPr="003A42DA">
        <w:rPr>
          <w:rFonts w:ascii="Arial" w:hAnsi="Arial" w:cs="Arial"/>
          <w:sz w:val="24"/>
          <w:szCs w:val="24"/>
          <w:lang w:val="en-GB"/>
        </w:rPr>
        <w:t xml:space="preserve">He does however </w:t>
      </w:r>
      <w:r w:rsidR="003A42DA">
        <w:rPr>
          <w:rFonts w:ascii="Arial" w:hAnsi="Arial" w:cs="Arial"/>
          <w:sz w:val="24"/>
          <w:szCs w:val="24"/>
          <w:lang w:val="en-GB"/>
        </w:rPr>
        <w:t>disclose</w:t>
      </w:r>
      <w:r w:rsidR="003A42DA" w:rsidRPr="003A42DA">
        <w:rPr>
          <w:rFonts w:ascii="Arial" w:hAnsi="Arial" w:cs="Arial"/>
          <w:sz w:val="24"/>
          <w:szCs w:val="24"/>
          <w:lang w:val="en-GB"/>
        </w:rPr>
        <w:t xml:space="preserve"> that he </w:t>
      </w:r>
      <w:r w:rsidR="00D11D1C" w:rsidRPr="003A42DA">
        <w:rPr>
          <w:rFonts w:ascii="Arial" w:hAnsi="Arial" w:cs="Arial"/>
          <w:sz w:val="24"/>
          <w:szCs w:val="24"/>
          <w:lang w:val="en-GB"/>
        </w:rPr>
        <w:t>and his family are the beneficiaries</w:t>
      </w:r>
      <w:r w:rsidR="00D11D1C">
        <w:rPr>
          <w:rFonts w:ascii="Arial" w:hAnsi="Arial" w:cs="Arial"/>
          <w:sz w:val="24"/>
          <w:szCs w:val="24"/>
          <w:lang w:val="en-GB"/>
        </w:rPr>
        <w:t xml:space="preserve"> and that it was established </w:t>
      </w:r>
      <w:r w:rsidR="003A42DA">
        <w:rPr>
          <w:rFonts w:ascii="Arial" w:hAnsi="Arial" w:cs="Arial"/>
          <w:sz w:val="24"/>
          <w:szCs w:val="24"/>
          <w:lang w:val="en-GB"/>
        </w:rPr>
        <w:t>‘</w:t>
      </w:r>
      <w:r w:rsidR="00D11D1C">
        <w:rPr>
          <w:rFonts w:ascii="Arial" w:hAnsi="Arial" w:cs="Arial"/>
          <w:sz w:val="24"/>
          <w:szCs w:val="24"/>
          <w:lang w:val="en-GB"/>
        </w:rPr>
        <w:t>for both asset protection and estate planning</w:t>
      </w:r>
      <w:r w:rsidR="003A42DA">
        <w:rPr>
          <w:rFonts w:ascii="Arial" w:hAnsi="Arial" w:cs="Arial"/>
          <w:sz w:val="24"/>
          <w:szCs w:val="24"/>
          <w:lang w:val="en-GB"/>
        </w:rPr>
        <w:t>’</w:t>
      </w:r>
      <w:r w:rsidR="00D11D1C">
        <w:rPr>
          <w:rFonts w:ascii="Arial" w:hAnsi="Arial" w:cs="Arial"/>
          <w:sz w:val="24"/>
          <w:szCs w:val="24"/>
          <w:lang w:val="en-GB"/>
        </w:rPr>
        <w:t xml:space="preserve">. It is not without significance that </w:t>
      </w:r>
      <w:r w:rsidR="003A42DA">
        <w:rPr>
          <w:rFonts w:ascii="Arial" w:hAnsi="Arial" w:cs="Arial"/>
          <w:sz w:val="24"/>
          <w:szCs w:val="24"/>
          <w:lang w:val="en-GB"/>
        </w:rPr>
        <w:t xml:space="preserve">the reason for the establishment of the trust </w:t>
      </w:r>
      <w:r w:rsidR="00D11D1C">
        <w:rPr>
          <w:rFonts w:ascii="Arial" w:hAnsi="Arial" w:cs="Arial"/>
          <w:sz w:val="24"/>
          <w:szCs w:val="24"/>
          <w:lang w:val="en-GB"/>
        </w:rPr>
        <w:t xml:space="preserve">is </w:t>
      </w:r>
      <w:r w:rsidR="002D7AB8">
        <w:rPr>
          <w:rFonts w:ascii="Arial" w:hAnsi="Arial" w:cs="Arial"/>
          <w:sz w:val="24"/>
          <w:szCs w:val="24"/>
          <w:lang w:val="en-GB"/>
        </w:rPr>
        <w:t>provided</w:t>
      </w:r>
      <w:r w:rsidR="00D11D1C">
        <w:rPr>
          <w:rFonts w:ascii="Arial" w:hAnsi="Arial" w:cs="Arial"/>
          <w:sz w:val="24"/>
          <w:szCs w:val="24"/>
          <w:lang w:val="en-GB"/>
        </w:rPr>
        <w:t xml:space="preserve"> </w:t>
      </w:r>
      <w:r w:rsidR="003A42DA">
        <w:rPr>
          <w:rFonts w:ascii="Arial" w:hAnsi="Arial" w:cs="Arial"/>
          <w:sz w:val="24"/>
          <w:szCs w:val="24"/>
          <w:lang w:val="en-GB"/>
        </w:rPr>
        <w:t xml:space="preserve">in the context of </w:t>
      </w:r>
      <w:r w:rsidR="00D11D1C">
        <w:rPr>
          <w:rFonts w:ascii="Arial" w:hAnsi="Arial" w:cs="Arial"/>
          <w:sz w:val="24"/>
          <w:szCs w:val="24"/>
          <w:lang w:val="en-GB"/>
        </w:rPr>
        <w:t>the respondent explaining that he d</w:t>
      </w:r>
      <w:r w:rsidR="002D7AB8">
        <w:rPr>
          <w:rFonts w:ascii="Arial" w:hAnsi="Arial" w:cs="Arial"/>
          <w:sz w:val="24"/>
          <w:szCs w:val="24"/>
          <w:lang w:val="en-GB"/>
        </w:rPr>
        <w:t>oes</w:t>
      </w:r>
      <w:r w:rsidR="00D11D1C">
        <w:rPr>
          <w:rFonts w:ascii="Arial" w:hAnsi="Arial" w:cs="Arial"/>
          <w:sz w:val="24"/>
          <w:szCs w:val="24"/>
          <w:lang w:val="en-GB"/>
        </w:rPr>
        <w:t xml:space="preserve"> not have any movable property registered in his name</w:t>
      </w:r>
      <w:r w:rsidR="002D7AB8">
        <w:rPr>
          <w:rFonts w:ascii="Arial" w:hAnsi="Arial" w:cs="Arial"/>
          <w:sz w:val="24"/>
          <w:szCs w:val="24"/>
          <w:lang w:val="en-GB"/>
        </w:rPr>
        <w:t>,</w:t>
      </w:r>
      <w:r w:rsidR="00D11D1C">
        <w:rPr>
          <w:rFonts w:ascii="Arial" w:hAnsi="Arial" w:cs="Arial"/>
          <w:sz w:val="24"/>
          <w:szCs w:val="24"/>
          <w:lang w:val="en-GB"/>
        </w:rPr>
        <w:t xml:space="preserve"> and that when he started out in business, having previously qualified as a chartered accountant</w:t>
      </w:r>
      <w:r w:rsidR="002D7AB8">
        <w:rPr>
          <w:rFonts w:ascii="Arial" w:hAnsi="Arial" w:cs="Arial"/>
          <w:sz w:val="24"/>
          <w:szCs w:val="24"/>
          <w:lang w:val="en-GB"/>
        </w:rPr>
        <w:t>,</w:t>
      </w:r>
      <w:r w:rsidR="00D11D1C">
        <w:rPr>
          <w:rFonts w:ascii="Arial" w:hAnsi="Arial" w:cs="Arial"/>
          <w:sz w:val="24"/>
          <w:szCs w:val="24"/>
          <w:lang w:val="en-GB"/>
        </w:rPr>
        <w:t xml:space="preserve"> he was aware from his education and based on legal advice from his attorneys that there were no certainties in business.  </w:t>
      </w:r>
    </w:p>
    <w:p w:rsidR="00B061EF" w:rsidRDefault="00B061EF" w:rsidP="00B061EF">
      <w:pPr>
        <w:pStyle w:val="ListParagraph"/>
        <w:rPr>
          <w:rFonts w:ascii="Arial" w:hAnsi="Arial" w:cs="Arial"/>
          <w:sz w:val="24"/>
          <w:szCs w:val="24"/>
          <w:lang w:val="en-GB"/>
        </w:rPr>
      </w:pPr>
    </w:p>
    <w:p w:rsidR="00DB085C" w:rsidRDefault="003A42DA"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respondent</w:t>
      </w:r>
      <w:r w:rsidR="00DB085C">
        <w:rPr>
          <w:rFonts w:ascii="Arial" w:hAnsi="Arial" w:cs="Arial"/>
          <w:sz w:val="24"/>
          <w:szCs w:val="24"/>
          <w:lang w:val="en-GB"/>
        </w:rPr>
        <w:t xml:space="preserve"> states that the trust sold ‘part of</w:t>
      </w:r>
      <w:r w:rsidR="00413BD3">
        <w:rPr>
          <w:rFonts w:ascii="Arial" w:hAnsi="Arial" w:cs="Arial"/>
          <w:sz w:val="24"/>
          <w:szCs w:val="24"/>
          <w:lang w:val="en-GB"/>
        </w:rPr>
        <w:t>’</w:t>
      </w:r>
      <w:r w:rsidR="00DB085C">
        <w:rPr>
          <w:rFonts w:ascii="Arial" w:hAnsi="Arial" w:cs="Arial"/>
          <w:sz w:val="24"/>
          <w:szCs w:val="24"/>
          <w:lang w:val="en-GB"/>
        </w:rPr>
        <w:t xml:space="preserve"> its shares in Keystone Park CC for R 15 million. What other assets the trust has or how it acquired them is not disclosed</w:t>
      </w:r>
      <w:r w:rsidR="00A4392F">
        <w:rPr>
          <w:rFonts w:ascii="Arial" w:hAnsi="Arial" w:cs="Arial"/>
          <w:sz w:val="24"/>
          <w:szCs w:val="24"/>
          <w:lang w:val="en-GB"/>
        </w:rPr>
        <w:t xml:space="preserve"> and the respondent has not put up any financial statements of the trust.</w:t>
      </w:r>
    </w:p>
    <w:p w:rsidR="00B061EF" w:rsidRDefault="00B061EF" w:rsidP="00B061EF">
      <w:pPr>
        <w:pStyle w:val="ListParagraph"/>
        <w:rPr>
          <w:rFonts w:ascii="Arial" w:hAnsi="Arial" w:cs="Arial"/>
          <w:sz w:val="24"/>
          <w:szCs w:val="24"/>
          <w:lang w:val="en-GB"/>
        </w:rPr>
      </w:pPr>
    </w:p>
    <w:p w:rsidR="00D11D1C" w:rsidRDefault="00512FFB"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Whilst stressing that the purchase price of the shares was paid into the trust’s account because it was the true owner of the shares, </w:t>
      </w:r>
      <w:r w:rsidR="00A4392F">
        <w:rPr>
          <w:rFonts w:ascii="Arial" w:hAnsi="Arial" w:cs="Arial"/>
          <w:sz w:val="24"/>
          <w:szCs w:val="24"/>
          <w:lang w:val="en-GB"/>
        </w:rPr>
        <w:t>the respondent</w:t>
      </w:r>
      <w:r>
        <w:rPr>
          <w:rFonts w:ascii="Arial" w:hAnsi="Arial" w:cs="Arial"/>
          <w:sz w:val="24"/>
          <w:szCs w:val="24"/>
          <w:lang w:val="en-GB"/>
        </w:rPr>
        <w:t xml:space="preserve"> states</w:t>
      </w:r>
      <w:r w:rsidR="00A4392F">
        <w:rPr>
          <w:rFonts w:ascii="Arial" w:hAnsi="Arial" w:cs="Arial"/>
          <w:sz w:val="24"/>
          <w:szCs w:val="24"/>
          <w:lang w:val="en-GB"/>
        </w:rPr>
        <w:t>:</w:t>
      </w:r>
      <w:r w:rsidR="00B061EF">
        <w:rPr>
          <w:rFonts w:ascii="Arial" w:hAnsi="Arial" w:cs="Arial"/>
          <w:sz w:val="24"/>
          <w:szCs w:val="24"/>
          <w:lang w:val="en-GB"/>
        </w:rPr>
        <w:t xml:space="preserve"> </w:t>
      </w:r>
      <w:r>
        <w:rPr>
          <w:rFonts w:ascii="Arial" w:hAnsi="Arial" w:cs="Arial"/>
          <w:sz w:val="24"/>
          <w:szCs w:val="24"/>
          <w:lang w:val="en-GB"/>
        </w:rPr>
        <w:t xml:space="preserve">‘I chose to keep the money to assist in the liquidity of (Rokwil)’. That suggests a measure of unilateral control of the trust as the respondent’s alter ego. </w:t>
      </w:r>
    </w:p>
    <w:p w:rsidR="00B061EF" w:rsidRDefault="00B061EF" w:rsidP="00B061EF">
      <w:pPr>
        <w:spacing w:after="0" w:line="360" w:lineRule="auto"/>
        <w:jc w:val="both"/>
        <w:rPr>
          <w:rFonts w:ascii="Arial" w:hAnsi="Arial" w:cs="Arial"/>
          <w:sz w:val="24"/>
          <w:szCs w:val="24"/>
          <w:lang w:val="en-GB"/>
        </w:rPr>
      </w:pPr>
    </w:p>
    <w:p w:rsidR="00512FFB" w:rsidRDefault="00512FFB"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D11D1C">
        <w:rPr>
          <w:rFonts w:ascii="Arial" w:hAnsi="Arial" w:cs="Arial"/>
          <w:sz w:val="24"/>
          <w:szCs w:val="24"/>
          <w:lang w:val="en-GB"/>
        </w:rPr>
        <w:t xml:space="preserve">respondent’s explanation </w:t>
      </w:r>
      <w:r w:rsidR="003A0E97">
        <w:rPr>
          <w:rFonts w:ascii="Arial" w:hAnsi="Arial" w:cs="Arial"/>
          <w:sz w:val="24"/>
          <w:szCs w:val="24"/>
          <w:lang w:val="en-GB"/>
        </w:rPr>
        <w:t xml:space="preserve">of the way </w:t>
      </w:r>
      <w:r>
        <w:rPr>
          <w:rFonts w:ascii="Arial" w:hAnsi="Arial" w:cs="Arial"/>
          <w:sz w:val="24"/>
          <w:szCs w:val="24"/>
          <w:lang w:val="en-GB"/>
        </w:rPr>
        <w:t xml:space="preserve">in which </w:t>
      </w:r>
      <w:r w:rsidR="003A0E97">
        <w:rPr>
          <w:rFonts w:ascii="Arial" w:hAnsi="Arial" w:cs="Arial"/>
          <w:sz w:val="24"/>
          <w:szCs w:val="24"/>
          <w:lang w:val="en-GB"/>
        </w:rPr>
        <w:t xml:space="preserve">he </w:t>
      </w:r>
      <w:r>
        <w:rPr>
          <w:rFonts w:ascii="Arial" w:hAnsi="Arial" w:cs="Arial"/>
          <w:sz w:val="24"/>
          <w:szCs w:val="24"/>
          <w:lang w:val="en-GB"/>
        </w:rPr>
        <w:t xml:space="preserve">gave effect to his choice </w:t>
      </w:r>
      <w:r w:rsidR="003A0E97">
        <w:rPr>
          <w:rFonts w:ascii="Arial" w:hAnsi="Arial" w:cs="Arial"/>
          <w:sz w:val="24"/>
          <w:szCs w:val="24"/>
          <w:lang w:val="en-GB"/>
        </w:rPr>
        <w:t>of</w:t>
      </w:r>
      <w:r>
        <w:rPr>
          <w:rFonts w:ascii="Arial" w:hAnsi="Arial" w:cs="Arial"/>
          <w:sz w:val="24"/>
          <w:szCs w:val="24"/>
          <w:lang w:val="en-GB"/>
        </w:rPr>
        <w:t xml:space="preserve"> how the funds should be utilised </w:t>
      </w:r>
      <w:r w:rsidR="00D11D1C">
        <w:rPr>
          <w:rFonts w:ascii="Arial" w:hAnsi="Arial" w:cs="Arial"/>
          <w:sz w:val="24"/>
          <w:szCs w:val="24"/>
          <w:lang w:val="en-GB"/>
        </w:rPr>
        <w:t xml:space="preserve">is </w:t>
      </w:r>
      <w:r>
        <w:rPr>
          <w:rFonts w:ascii="Arial" w:hAnsi="Arial" w:cs="Arial"/>
          <w:sz w:val="24"/>
          <w:szCs w:val="24"/>
          <w:lang w:val="en-GB"/>
        </w:rPr>
        <w:t>curious</w:t>
      </w:r>
      <w:r w:rsidR="00D11D1C">
        <w:rPr>
          <w:rFonts w:ascii="Arial" w:hAnsi="Arial" w:cs="Arial"/>
          <w:sz w:val="24"/>
          <w:szCs w:val="24"/>
          <w:lang w:val="en-GB"/>
        </w:rPr>
        <w:t>:</w:t>
      </w:r>
      <w:r>
        <w:rPr>
          <w:rFonts w:ascii="Arial" w:hAnsi="Arial" w:cs="Arial"/>
          <w:sz w:val="24"/>
          <w:szCs w:val="24"/>
          <w:lang w:val="en-GB"/>
        </w:rPr>
        <w:t>-</w:t>
      </w:r>
    </w:p>
    <w:p w:rsidR="00854E4F" w:rsidRDefault="00512FFB" w:rsidP="00854E4F">
      <w:pPr>
        <w:spacing w:line="360" w:lineRule="auto"/>
        <w:ind w:left="1418" w:right="970"/>
        <w:jc w:val="both"/>
        <w:rPr>
          <w:rFonts w:ascii="Arial" w:hAnsi="Arial" w:cs="Arial"/>
          <w:lang w:val="en-GB"/>
        </w:rPr>
      </w:pPr>
      <w:r w:rsidRPr="00854E4F">
        <w:rPr>
          <w:rFonts w:ascii="Arial" w:hAnsi="Arial" w:cs="Arial"/>
          <w:lang w:val="en-GB"/>
        </w:rPr>
        <w:t>‘</w:t>
      </w:r>
      <w:r w:rsidR="00FE1E63" w:rsidRPr="00854E4F">
        <w:rPr>
          <w:rFonts w:ascii="Arial" w:hAnsi="Arial" w:cs="Arial"/>
          <w:lang w:val="en-GB"/>
        </w:rPr>
        <w:t>..w</w:t>
      </w:r>
      <w:r w:rsidR="00D11D1C" w:rsidRPr="00854E4F">
        <w:rPr>
          <w:rFonts w:ascii="Arial" w:hAnsi="Arial" w:cs="Arial"/>
          <w:lang w:val="en-GB"/>
        </w:rPr>
        <w:t>hen</w:t>
      </w:r>
      <w:r w:rsidRPr="00854E4F">
        <w:rPr>
          <w:rFonts w:ascii="Arial" w:hAnsi="Arial" w:cs="Arial"/>
          <w:lang w:val="en-GB"/>
        </w:rPr>
        <w:t xml:space="preserve"> money was needed by Ro</w:t>
      </w:r>
      <w:r w:rsidR="00D11D1C" w:rsidRPr="00854E4F">
        <w:rPr>
          <w:rFonts w:ascii="Arial" w:hAnsi="Arial" w:cs="Arial"/>
          <w:lang w:val="en-GB"/>
        </w:rPr>
        <w:t>kwil</w:t>
      </w:r>
      <w:r w:rsidRPr="00854E4F">
        <w:rPr>
          <w:rFonts w:ascii="Arial" w:hAnsi="Arial" w:cs="Arial"/>
          <w:lang w:val="en-GB"/>
        </w:rPr>
        <w:t xml:space="preserve">, it would be loaned into my wife </w:t>
      </w:r>
      <w:r w:rsidR="00D11D1C" w:rsidRPr="00854E4F">
        <w:rPr>
          <w:rFonts w:ascii="Arial" w:hAnsi="Arial" w:cs="Arial"/>
          <w:lang w:val="en-GB"/>
        </w:rPr>
        <w:t xml:space="preserve">Linda’s </w:t>
      </w:r>
      <w:r w:rsidRPr="00854E4F">
        <w:rPr>
          <w:rFonts w:ascii="Arial" w:hAnsi="Arial" w:cs="Arial"/>
          <w:lang w:val="en-GB"/>
        </w:rPr>
        <w:t>account, to the</w:t>
      </w:r>
      <w:r w:rsidR="005C6E14">
        <w:rPr>
          <w:rFonts w:ascii="Arial" w:hAnsi="Arial" w:cs="Arial"/>
          <w:lang w:val="en-GB"/>
        </w:rPr>
        <w:t>n</w:t>
      </w:r>
      <w:r w:rsidRPr="00854E4F">
        <w:rPr>
          <w:rFonts w:ascii="Arial" w:hAnsi="Arial" w:cs="Arial"/>
          <w:lang w:val="en-GB"/>
        </w:rPr>
        <w:t xml:space="preserve"> </w:t>
      </w:r>
      <w:r w:rsidR="00D11D1C" w:rsidRPr="00854E4F">
        <w:rPr>
          <w:rFonts w:ascii="Arial" w:hAnsi="Arial" w:cs="Arial"/>
          <w:lang w:val="en-GB"/>
        </w:rPr>
        <w:t>“</w:t>
      </w:r>
      <w:r w:rsidRPr="00854E4F">
        <w:rPr>
          <w:rFonts w:ascii="Arial" w:hAnsi="Arial" w:cs="Arial"/>
          <w:lang w:val="en-GB"/>
        </w:rPr>
        <w:t>loan</w:t>
      </w:r>
      <w:r w:rsidR="00D11D1C" w:rsidRPr="00854E4F">
        <w:rPr>
          <w:rFonts w:ascii="Arial" w:hAnsi="Arial" w:cs="Arial"/>
          <w:lang w:val="en-GB"/>
        </w:rPr>
        <w:t>”</w:t>
      </w:r>
      <w:r w:rsidRPr="00854E4F">
        <w:rPr>
          <w:rFonts w:ascii="Arial" w:hAnsi="Arial" w:cs="Arial"/>
          <w:lang w:val="en-GB"/>
        </w:rPr>
        <w:t xml:space="preserve"> same to Ro</w:t>
      </w:r>
      <w:r w:rsidR="00D11D1C" w:rsidRPr="00854E4F">
        <w:rPr>
          <w:rFonts w:ascii="Arial" w:hAnsi="Arial" w:cs="Arial"/>
          <w:lang w:val="en-GB"/>
        </w:rPr>
        <w:t>kwil</w:t>
      </w:r>
      <w:r w:rsidRPr="00854E4F">
        <w:rPr>
          <w:rFonts w:ascii="Arial" w:hAnsi="Arial" w:cs="Arial"/>
          <w:lang w:val="en-GB"/>
        </w:rPr>
        <w:t xml:space="preserve">. This money would </w:t>
      </w:r>
      <w:r w:rsidR="00FE1E63" w:rsidRPr="00854E4F">
        <w:rPr>
          <w:rFonts w:ascii="Arial" w:hAnsi="Arial" w:cs="Arial"/>
          <w:lang w:val="en-GB"/>
        </w:rPr>
        <w:t>then</w:t>
      </w:r>
      <w:r w:rsidRPr="00854E4F">
        <w:rPr>
          <w:rFonts w:ascii="Arial" w:hAnsi="Arial" w:cs="Arial"/>
          <w:lang w:val="en-GB"/>
        </w:rPr>
        <w:t xml:space="preserve"> be utilised for company expenses. As soon as money was received back into Ro</w:t>
      </w:r>
      <w:r w:rsidR="00D11D1C" w:rsidRPr="00854E4F">
        <w:rPr>
          <w:rFonts w:ascii="Arial" w:hAnsi="Arial" w:cs="Arial"/>
          <w:lang w:val="en-GB"/>
        </w:rPr>
        <w:t>kwil’</w:t>
      </w:r>
      <w:r w:rsidRPr="00854E4F">
        <w:rPr>
          <w:rFonts w:ascii="Arial" w:hAnsi="Arial" w:cs="Arial"/>
          <w:lang w:val="en-GB"/>
        </w:rPr>
        <w:t>s account, such would again be reversed</w:t>
      </w:r>
      <w:r w:rsidR="00D11D1C" w:rsidRPr="00854E4F">
        <w:rPr>
          <w:rFonts w:ascii="Arial" w:hAnsi="Arial" w:cs="Arial"/>
          <w:lang w:val="en-GB"/>
        </w:rPr>
        <w:t xml:space="preserve"> </w:t>
      </w:r>
      <w:r w:rsidRPr="00854E4F">
        <w:rPr>
          <w:rFonts w:ascii="Arial" w:hAnsi="Arial" w:cs="Arial"/>
          <w:lang w:val="en-GB"/>
        </w:rPr>
        <w:t>paid back</w:t>
      </w:r>
      <w:r w:rsidRPr="00D77511">
        <w:rPr>
          <w:rFonts w:ascii="Arial" w:hAnsi="Arial" w:cs="Arial"/>
          <w:lang w:val="en-GB"/>
        </w:rPr>
        <w:t xml:space="preserve"> to Lind</w:t>
      </w:r>
      <w:r w:rsidR="00D11D1C" w:rsidRPr="00D77511">
        <w:rPr>
          <w:rFonts w:ascii="Arial" w:hAnsi="Arial" w:cs="Arial"/>
          <w:lang w:val="en-GB"/>
        </w:rPr>
        <w:t>a’s</w:t>
      </w:r>
      <w:r w:rsidRPr="00D77511">
        <w:rPr>
          <w:rFonts w:ascii="Arial" w:hAnsi="Arial" w:cs="Arial"/>
          <w:lang w:val="en-GB"/>
        </w:rPr>
        <w:t xml:space="preserve"> account, which would be given back to the </w:t>
      </w:r>
      <w:r w:rsidR="00D11D1C" w:rsidRPr="00D77511">
        <w:rPr>
          <w:rFonts w:ascii="Arial" w:hAnsi="Arial" w:cs="Arial"/>
          <w:lang w:val="en-GB"/>
        </w:rPr>
        <w:t>K</w:t>
      </w:r>
      <w:r w:rsidRPr="00D77511">
        <w:rPr>
          <w:rFonts w:ascii="Arial" w:hAnsi="Arial" w:cs="Arial"/>
          <w:lang w:val="en-GB"/>
        </w:rPr>
        <w:t xml:space="preserve">eystone </w:t>
      </w:r>
      <w:r w:rsidR="00D11D1C" w:rsidRPr="00D77511">
        <w:rPr>
          <w:rFonts w:ascii="Arial" w:hAnsi="Arial" w:cs="Arial"/>
          <w:lang w:val="en-GB"/>
        </w:rPr>
        <w:t>T</w:t>
      </w:r>
      <w:r w:rsidRPr="00D77511">
        <w:rPr>
          <w:rFonts w:ascii="Arial" w:hAnsi="Arial" w:cs="Arial"/>
          <w:lang w:val="en-GB"/>
        </w:rPr>
        <w:t>rust</w:t>
      </w:r>
      <w:r w:rsidR="00D11D1C" w:rsidRPr="00D77511">
        <w:rPr>
          <w:rFonts w:ascii="Arial" w:hAnsi="Arial" w:cs="Arial"/>
          <w:lang w:val="en-GB"/>
        </w:rPr>
        <w:t>.’</w:t>
      </w:r>
    </w:p>
    <w:p w:rsidR="00854E4F" w:rsidRPr="00423638" w:rsidRDefault="00854E4F" w:rsidP="00854E4F">
      <w:pPr>
        <w:spacing w:line="360" w:lineRule="auto"/>
        <w:ind w:right="970"/>
        <w:jc w:val="both"/>
        <w:rPr>
          <w:rFonts w:ascii="Arial" w:hAnsi="Arial" w:cs="Arial"/>
          <w:lang w:val="en-GB"/>
        </w:rPr>
      </w:pPr>
    </w:p>
    <w:p w:rsidR="005A4BBA" w:rsidRPr="007B0B38" w:rsidRDefault="003A42DA" w:rsidP="007B0B38">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respondent does not explain why his wife’s account was interposed in these flows of funds if they were loans between Rokwil and the trust</w:t>
      </w:r>
      <w:r w:rsidR="005C6E14">
        <w:rPr>
          <w:rFonts w:ascii="Arial" w:hAnsi="Arial" w:cs="Arial"/>
          <w:sz w:val="24"/>
          <w:szCs w:val="24"/>
          <w:lang w:val="en-GB"/>
        </w:rPr>
        <w:t>.</w:t>
      </w:r>
      <w:r w:rsidR="002D7AB8">
        <w:rPr>
          <w:rFonts w:ascii="Arial" w:hAnsi="Arial" w:cs="Arial"/>
          <w:sz w:val="24"/>
          <w:szCs w:val="24"/>
          <w:lang w:val="en-GB"/>
        </w:rPr>
        <w:t xml:space="preserve"> </w:t>
      </w:r>
      <w:r w:rsidR="005C6E14">
        <w:rPr>
          <w:rFonts w:ascii="Arial" w:hAnsi="Arial" w:cs="Arial"/>
          <w:sz w:val="24"/>
          <w:szCs w:val="24"/>
          <w:lang w:val="en-GB"/>
        </w:rPr>
        <w:t>T</w:t>
      </w:r>
      <w:r>
        <w:rPr>
          <w:rFonts w:ascii="Arial" w:hAnsi="Arial" w:cs="Arial"/>
          <w:sz w:val="24"/>
          <w:szCs w:val="24"/>
          <w:lang w:val="en-GB"/>
        </w:rPr>
        <w:t xml:space="preserve">here is no indication </w:t>
      </w:r>
      <w:r w:rsidR="005A4BBA">
        <w:rPr>
          <w:rFonts w:ascii="Arial" w:hAnsi="Arial" w:cs="Arial"/>
          <w:sz w:val="24"/>
          <w:szCs w:val="24"/>
          <w:lang w:val="en-GB"/>
        </w:rPr>
        <w:t xml:space="preserve">on the papers </w:t>
      </w:r>
      <w:r>
        <w:rPr>
          <w:rFonts w:ascii="Arial" w:hAnsi="Arial" w:cs="Arial"/>
          <w:sz w:val="24"/>
          <w:szCs w:val="24"/>
          <w:lang w:val="en-GB"/>
        </w:rPr>
        <w:t xml:space="preserve">that the respondent’s wife had anything to do with the business of Rokwil. </w:t>
      </w:r>
      <w:r w:rsidR="007B0B38">
        <w:rPr>
          <w:rFonts w:ascii="Arial" w:hAnsi="Arial" w:cs="Arial"/>
          <w:sz w:val="24"/>
          <w:szCs w:val="24"/>
          <w:lang w:val="en-GB"/>
        </w:rPr>
        <w:t xml:space="preserve">In addition, </w:t>
      </w:r>
      <w:r w:rsidR="007B0B38" w:rsidRPr="007B0B38">
        <w:rPr>
          <w:rFonts w:ascii="Arial" w:hAnsi="Arial" w:cs="Arial"/>
          <w:sz w:val="24"/>
          <w:szCs w:val="24"/>
          <w:lang w:val="en-GB"/>
        </w:rPr>
        <w:t>t</w:t>
      </w:r>
      <w:r w:rsidR="00A4392F" w:rsidRPr="007B0B38">
        <w:rPr>
          <w:rFonts w:ascii="Arial" w:hAnsi="Arial" w:cs="Arial"/>
          <w:sz w:val="24"/>
          <w:szCs w:val="24"/>
          <w:lang w:val="en-GB"/>
        </w:rPr>
        <w:t xml:space="preserve">he respondent has not put up any of the bank statements of the trust which show the flow of funds as he alleges. </w:t>
      </w:r>
    </w:p>
    <w:p w:rsidR="00724C3A" w:rsidRDefault="00724C3A" w:rsidP="000E3734">
      <w:pPr>
        <w:spacing w:line="480" w:lineRule="auto"/>
        <w:jc w:val="both"/>
        <w:rPr>
          <w:rFonts w:ascii="Arial" w:hAnsi="Arial" w:cs="Arial"/>
          <w:sz w:val="24"/>
          <w:szCs w:val="24"/>
          <w:lang w:val="en-GB"/>
        </w:rPr>
      </w:pPr>
    </w:p>
    <w:p w:rsidR="000E3734" w:rsidRPr="005267E7" w:rsidRDefault="000E3734" w:rsidP="000E3734">
      <w:pPr>
        <w:spacing w:line="480" w:lineRule="auto"/>
        <w:jc w:val="both"/>
        <w:rPr>
          <w:rFonts w:ascii="Arial" w:hAnsi="Arial" w:cs="Arial"/>
          <w:b/>
          <w:bCs/>
          <w:sz w:val="24"/>
          <w:szCs w:val="24"/>
          <w:lang w:val="en-GB"/>
        </w:rPr>
      </w:pPr>
      <w:r w:rsidRPr="005267E7">
        <w:rPr>
          <w:rFonts w:ascii="Arial" w:hAnsi="Arial" w:cs="Arial"/>
          <w:b/>
          <w:bCs/>
          <w:sz w:val="24"/>
          <w:szCs w:val="24"/>
          <w:lang w:val="en-GB"/>
        </w:rPr>
        <w:t xml:space="preserve">The provisional trustees’ report </w:t>
      </w:r>
    </w:p>
    <w:p w:rsidR="00E06998" w:rsidRDefault="000E3734"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provisional trustees filed a report on 13 April 2023</w:t>
      </w:r>
      <w:r w:rsidR="003A0E97">
        <w:rPr>
          <w:rFonts w:ascii="Arial" w:hAnsi="Arial" w:cs="Arial"/>
          <w:sz w:val="24"/>
          <w:szCs w:val="24"/>
          <w:lang w:val="en-GB"/>
        </w:rPr>
        <w:t xml:space="preserve"> pursuant to paragraph 3.1 of the provisional </w:t>
      </w:r>
      <w:r w:rsidR="00E06998">
        <w:rPr>
          <w:rFonts w:ascii="Arial" w:hAnsi="Arial" w:cs="Arial"/>
          <w:sz w:val="24"/>
          <w:szCs w:val="24"/>
          <w:lang w:val="en-GB"/>
        </w:rPr>
        <w:t xml:space="preserve">sequestration order which directed them to report to the court prior to the return date. I deal with the implications of that portion of the order later in this judgment. </w:t>
      </w:r>
    </w:p>
    <w:p w:rsidR="00B061EF" w:rsidRDefault="00B061EF" w:rsidP="00B061EF">
      <w:pPr>
        <w:spacing w:after="0" w:line="360" w:lineRule="auto"/>
        <w:jc w:val="both"/>
        <w:rPr>
          <w:rFonts w:ascii="Arial" w:hAnsi="Arial" w:cs="Arial"/>
          <w:sz w:val="24"/>
          <w:szCs w:val="24"/>
          <w:lang w:val="en-GB"/>
        </w:rPr>
      </w:pPr>
    </w:p>
    <w:p w:rsidR="00B061EF" w:rsidRPr="002D7AB8" w:rsidRDefault="000E3734" w:rsidP="002D7AB8">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provisional trustees’ report stressed that their powers were very limited and obtaining information from the respondent had been impossible because he had been totally uncooperative.</w:t>
      </w:r>
      <w:r w:rsidR="002D7AB8">
        <w:rPr>
          <w:rFonts w:ascii="Arial" w:hAnsi="Arial" w:cs="Arial"/>
          <w:sz w:val="24"/>
          <w:szCs w:val="24"/>
          <w:lang w:val="en-GB"/>
        </w:rPr>
        <w:t xml:space="preserve"> </w:t>
      </w:r>
      <w:r w:rsidRPr="002D7AB8">
        <w:rPr>
          <w:rFonts w:ascii="Arial" w:hAnsi="Arial" w:cs="Arial"/>
          <w:sz w:val="24"/>
          <w:szCs w:val="24"/>
          <w:lang w:val="en-GB"/>
        </w:rPr>
        <w:t xml:space="preserve">Annexed to the report are a series of emails and WhatsApp messages evidencing attempts to </w:t>
      </w:r>
      <w:r w:rsidR="002931E6" w:rsidRPr="002D7AB8">
        <w:rPr>
          <w:rFonts w:ascii="Arial" w:hAnsi="Arial" w:cs="Arial"/>
          <w:sz w:val="24"/>
          <w:szCs w:val="24"/>
          <w:lang w:val="en-GB"/>
        </w:rPr>
        <w:t>contact</w:t>
      </w:r>
      <w:r w:rsidRPr="002D7AB8">
        <w:rPr>
          <w:rFonts w:ascii="Arial" w:hAnsi="Arial" w:cs="Arial"/>
          <w:sz w:val="24"/>
          <w:szCs w:val="24"/>
          <w:lang w:val="en-GB"/>
        </w:rPr>
        <w:t xml:space="preserve"> the respondent and his wife and obtain information from them, including the mandatory statement of affairs and personal particulars. According to the </w:t>
      </w:r>
      <w:r w:rsidR="002D7AB8">
        <w:rPr>
          <w:rFonts w:ascii="Arial" w:hAnsi="Arial" w:cs="Arial"/>
          <w:sz w:val="24"/>
          <w:szCs w:val="24"/>
          <w:lang w:val="en-GB"/>
        </w:rPr>
        <w:t xml:space="preserve">provisional </w:t>
      </w:r>
      <w:r w:rsidRPr="002D7AB8">
        <w:rPr>
          <w:rFonts w:ascii="Arial" w:hAnsi="Arial" w:cs="Arial"/>
          <w:sz w:val="24"/>
          <w:szCs w:val="24"/>
          <w:lang w:val="en-GB"/>
        </w:rPr>
        <w:t xml:space="preserve">trustees, these efforts were met with silence. </w:t>
      </w:r>
    </w:p>
    <w:p w:rsidR="00B061EF" w:rsidRDefault="002D7AB8" w:rsidP="002D7AB8">
      <w:pPr>
        <w:spacing w:after="0" w:line="360" w:lineRule="auto"/>
        <w:jc w:val="both"/>
        <w:rPr>
          <w:rFonts w:ascii="Arial" w:hAnsi="Arial" w:cs="Arial"/>
          <w:sz w:val="24"/>
          <w:szCs w:val="24"/>
          <w:lang w:val="en-GB"/>
        </w:rPr>
      </w:pPr>
      <w:r>
        <w:rPr>
          <w:rFonts w:ascii="Arial" w:hAnsi="Arial" w:cs="Arial"/>
          <w:sz w:val="24"/>
          <w:szCs w:val="24"/>
          <w:lang w:val="en-GB"/>
        </w:rPr>
        <w:t>T</w:t>
      </w:r>
      <w:r w:rsidR="000E3734" w:rsidRPr="00B061EF">
        <w:rPr>
          <w:rFonts w:ascii="Arial" w:hAnsi="Arial" w:cs="Arial"/>
          <w:sz w:val="24"/>
          <w:szCs w:val="24"/>
          <w:lang w:val="en-GB"/>
        </w:rPr>
        <w:t xml:space="preserve">he </w:t>
      </w:r>
      <w:r>
        <w:rPr>
          <w:rFonts w:ascii="Arial" w:hAnsi="Arial" w:cs="Arial"/>
          <w:sz w:val="24"/>
          <w:szCs w:val="24"/>
          <w:lang w:val="en-GB"/>
        </w:rPr>
        <w:t xml:space="preserve">provisional trustees </w:t>
      </w:r>
      <w:r w:rsidR="000E3734" w:rsidRPr="00B061EF">
        <w:rPr>
          <w:rFonts w:ascii="Arial" w:hAnsi="Arial" w:cs="Arial"/>
          <w:sz w:val="24"/>
          <w:szCs w:val="24"/>
          <w:lang w:val="en-GB"/>
        </w:rPr>
        <w:t xml:space="preserve">were in no position to express </w:t>
      </w:r>
      <w:r w:rsidR="002931E6" w:rsidRPr="00B061EF">
        <w:rPr>
          <w:rFonts w:ascii="Arial" w:hAnsi="Arial" w:cs="Arial"/>
          <w:sz w:val="24"/>
          <w:szCs w:val="24"/>
          <w:lang w:val="en-GB"/>
        </w:rPr>
        <w:t xml:space="preserve">a </w:t>
      </w:r>
      <w:r w:rsidR="000E3734" w:rsidRPr="00B061EF">
        <w:rPr>
          <w:rFonts w:ascii="Arial" w:hAnsi="Arial" w:cs="Arial"/>
          <w:sz w:val="24"/>
          <w:szCs w:val="24"/>
          <w:lang w:val="en-GB"/>
        </w:rPr>
        <w:t>view on advantage to creditors. The report does however detail such additional information as the</w:t>
      </w:r>
      <w:r w:rsidR="002931E6" w:rsidRPr="00B061EF">
        <w:rPr>
          <w:rFonts w:ascii="Arial" w:hAnsi="Arial" w:cs="Arial"/>
          <w:sz w:val="24"/>
          <w:szCs w:val="24"/>
          <w:lang w:val="en-GB"/>
        </w:rPr>
        <w:t xml:space="preserve"> provisional </w:t>
      </w:r>
      <w:r w:rsidR="000E3734" w:rsidRPr="00B061EF">
        <w:rPr>
          <w:rFonts w:ascii="Arial" w:hAnsi="Arial" w:cs="Arial"/>
          <w:sz w:val="24"/>
          <w:szCs w:val="24"/>
          <w:lang w:val="en-GB"/>
        </w:rPr>
        <w:t xml:space="preserve"> trustees were able to obtain through searches</w:t>
      </w:r>
      <w:r w:rsidR="002931E6" w:rsidRPr="00B061EF">
        <w:rPr>
          <w:rFonts w:ascii="Arial" w:hAnsi="Arial" w:cs="Arial"/>
          <w:sz w:val="24"/>
          <w:szCs w:val="24"/>
          <w:lang w:val="en-GB"/>
        </w:rPr>
        <w:t xml:space="preserve"> </w:t>
      </w:r>
      <w:r w:rsidR="000E3734" w:rsidRPr="00B061EF">
        <w:rPr>
          <w:rFonts w:ascii="Arial" w:hAnsi="Arial" w:cs="Arial"/>
          <w:sz w:val="24"/>
          <w:szCs w:val="24"/>
          <w:lang w:val="en-GB"/>
        </w:rPr>
        <w:t>of the companies and deeds offices.</w:t>
      </w:r>
    </w:p>
    <w:p w:rsidR="00B061EF" w:rsidRDefault="00B061EF" w:rsidP="00B061EF">
      <w:pPr>
        <w:pStyle w:val="ListParagraph"/>
        <w:rPr>
          <w:rFonts w:ascii="Arial" w:hAnsi="Arial" w:cs="Arial"/>
          <w:sz w:val="24"/>
          <w:szCs w:val="24"/>
          <w:lang w:val="en-GB"/>
        </w:rPr>
      </w:pPr>
    </w:p>
    <w:p w:rsidR="00B061EF" w:rsidRDefault="000E3734" w:rsidP="00E310D2">
      <w:pPr>
        <w:numPr>
          <w:ilvl w:val="0"/>
          <w:numId w:val="2"/>
        </w:numPr>
        <w:spacing w:after="0" w:line="360" w:lineRule="auto"/>
        <w:jc w:val="both"/>
        <w:rPr>
          <w:rFonts w:ascii="Arial" w:hAnsi="Arial" w:cs="Arial"/>
          <w:sz w:val="24"/>
          <w:szCs w:val="24"/>
          <w:lang w:val="en-GB"/>
        </w:rPr>
      </w:pPr>
      <w:r w:rsidRPr="00B061EF">
        <w:rPr>
          <w:rFonts w:ascii="Arial" w:hAnsi="Arial" w:cs="Arial"/>
          <w:sz w:val="24"/>
          <w:szCs w:val="24"/>
          <w:lang w:val="en-GB"/>
        </w:rPr>
        <w:t xml:space="preserve">This information included the fact that the respondent is a director or member of </w:t>
      </w:r>
      <w:r w:rsidR="006B34D2">
        <w:rPr>
          <w:rFonts w:ascii="Arial" w:hAnsi="Arial" w:cs="Arial"/>
          <w:sz w:val="24"/>
          <w:szCs w:val="24"/>
          <w:lang w:val="en-GB"/>
        </w:rPr>
        <w:t>fourteen</w:t>
      </w:r>
      <w:r w:rsidRPr="00B061EF">
        <w:rPr>
          <w:rFonts w:ascii="Arial" w:hAnsi="Arial" w:cs="Arial"/>
          <w:sz w:val="24"/>
          <w:szCs w:val="24"/>
          <w:lang w:val="en-GB"/>
        </w:rPr>
        <w:t xml:space="preserve"> different corporate entities in which he may have some financial interest as a shareholder or as a creditor with claims on loan accounts. </w:t>
      </w:r>
      <w:r w:rsidR="002931E6" w:rsidRPr="00B061EF">
        <w:rPr>
          <w:rFonts w:ascii="Arial" w:hAnsi="Arial" w:cs="Arial"/>
          <w:sz w:val="24"/>
          <w:szCs w:val="24"/>
          <w:lang w:val="en-GB"/>
        </w:rPr>
        <w:t>The respondent did not mention these in his opposing affidavit, but the applicant does not seek to make anything of that</w:t>
      </w:r>
      <w:r w:rsidR="002D7AB8">
        <w:rPr>
          <w:rFonts w:ascii="Arial" w:hAnsi="Arial" w:cs="Arial"/>
          <w:sz w:val="24"/>
          <w:szCs w:val="24"/>
          <w:lang w:val="en-GB"/>
        </w:rPr>
        <w:t>,</w:t>
      </w:r>
      <w:r w:rsidR="002931E6" w:rsidRPr="00B061EF">
        <w:rPr>
          <w:rFonts w:ascii="Arial" w:hAnsi="Arial" w:cs="Arial"/>
          <w:sz w:val="24"/>
          <w:szCs w:val="24"/>
          <w:lang w:val="en-GB"/>
        </w:rPr>
        <w:t xml:space="preserve"> or </w:t>
      </w:r>
      <w:r w:rsidR="002D7AB8">
        <w:rPr>
          <w:rFonts w:ascii="Arial" w:hAnsi="Arial" w:cs="Arial"/>
          <w:sz w:val="24"/>
          <w:szCs w:val="24"/>
          <w:lang w:val="en-GB"/>
        </w:rPr>
        <w:t xml:space="preserve">of </w:t>
      </w:r>
      <w:r w:rsidR="002931E6" w:rsidRPr="00B061EF">
        <w:rPr>
          <w:rFonts w:ascii="Arial" w:hAnsi="Arial" w:cs="Arial"/>
          <w:sz w:val="24"/>
          <w:szCs w:val="24"/>
          <w:lang w:val="en-GB"/>
        </w:rPr>
        <w:t xml:space="preserve">the existence of these interests as he regards them as worthless given the collapse of Rokwil and other companies associated with it. </w:t>
      </w:r>
    </w:p>
    <w:p w:rsidR="00B061EF" w:rsidRDefault="00B061EF" w:rsidP="00B061EF">
      <w:pPr>
        <w:pStyle w:val="ListParagraph"/>
        <w:rPr>
          <w:rFonts w:ascii="Arial" w:hAnsi="Arial" w:cs="Arial"/>
          <w:sz w:val="24"/>
          <w:szCs w:val="24"/>
          <w:lang w:val="en-GB"/>
        </w:rPr>
      </w:pPr>
    </w:p>
    <w:p w:rsidR="00B061EF" w:rsidRPr="00370D21" w:rsidRDefault="000E3734" w:rsidP="00370D21">
      <w:pPr>
        <w:numPr>
          <w:ilvl w:val="0"/>
          <w:numId w:val="2"/>
        </w:numPr>
        <w:spacing w:after="0" w:line="360" w:lineRule="auto"/>
        <w:jc w:val="both"/>
        <w:rPr>
          <w:rFonts w:ascii="Arial" w:hAnsi="Arial" w:cs="Arial"/>
          <w:sz w:val="24"/>
          <w:szCs w:val="24"/>
          <w:lang w:val="en-GB"/>
        </w:rPr>
      </w:pPr>
      <w:r w:rsidRPr="00B061EF">
        <w:rPr>
          <w:rFonts w:ascii="Arial" w:hAnsi="Arial" w:cs="Arial"/>
          <w:sz w:val="24"/>
          <w:szCs w:val="24"/>
          <w:lang w:val="en-GB"/>
        </w:rPr>
        <w:t xml:space="preserve">The report details </w:t>
      </w:r>
      <w:r w:rsidR="002931E6" w:rsidRPr="00B061EF">
        <w:rPr>
          <w:rFonts w:ascii="Arial" w:hAnsi="Arial" w:cs="Arial"/>
          <w:sz w:val="24"/>
          <w:szCs w:val="24"/>
          <w:lang w:val="en-GB"/>
        </w:rPr>
        <w:t xml:space="preserve"> that the respondent and his wife were married in 1996 and both declared the nett value of their </w:t>
      </w:r>
      <w:r w:rsidR="00843718" w:rsidRPr="00B061EF">
        <w:rPr>
          <w:rFonts w:ascii="Arial" w:hAnsi="Arial" w:cs="Arial"/>
          <w:sz w:val="24"/>
          <w:szCs w:val="24"/>
          <w:lang w:val="en-GB"/>
        </w:rPr>
        <w:t>e</w:t>
      </w:r>
      <w:r w:rsidR="002931E6" w:rsidRPr="00B061EF">
        <w:rPr>
          <w:rFonts w:ascii="Arial" w:hAnsi="Arial" w:cs="Arial"/>
          <w:sz w:val="24"/>
          <w:szCs w:val="24"/>
          <w:lang w:val="en-GB"/>
        </w:rPr>
        <w:t xml:space="preserve">states </w:t>
      </w:r>
      <w:r w:rsidR="00843718" w:rsidRPr="00B061EF">
        <w:rPr>
          <w:rFonts w:ascii="Arial" w:hAnsi="Arial" w:cs="Arial"/>
          <w:sz w:val="24"/>
          <w:szCs w:val="24"/>
          <w:lang w:val="en-GB"/>
        </w:rPr>
        <w:t>a</w:t>
      </w:r>
      <w:r w:rsidR="002931E6" w:rsidRPr="00B061EF">
        <w:rPr>
          <w:rFonts w:ascii="Arial" w:hAnsi="Arial" w:cs="Arial"/>
          <w:sz w:val="24"/>
          <w:szCs w:val="24"/>
          <w:lang w:val="en-GB"/>
        </w:rPr>
        <w:t xml:space="preserve">s zero in their antenuptial contract. The respondent’s wife has not been an active director of any company since 2018. </w:t>
      </w:r>
      <w:r w:rsidR="00724E98" w:rsidRPr="00B061EF">
        <w:rPr>
          <w:rFonts w:ascii="Arial" w:hAnsi="Arial" w:cs="Arial"/>
          <w:sz w:val="24"/>
          <w:szCs w:val="24"/>
          <w:lang w:val="en-GB"/>
        </w:rPr>
        <w:t xml:space="preserve">Whilst the respondent has no immovable properties registered in his name, his wife owns three: one in Kloof, another in Everton and a third in Assegai. </w:t>
      </w:r>
      <w:r w:rsidR="00843718" w:rsidRPr="00B061EF">
        <w:rPr>
          <w:rFonts w:ascii="Arial" w:hAnsi="Arial" w:cs="Arial"/>
          <w:sz w:val="24"/>
          <w:szCs w:val="24"/>
          <w:lang w:val="en-GB"/>
        </w:rPr>
        <w:t>Only one of</w:t>
      </w:r>
      <w:r w:rsidR="00724E98" w:rsidRPr="00B061EF">
        <w:rPr>
          <w:rFonts w:ascii="Arial" w:hAnsi="Arial" w:cs="Arial"/>
          <w:sz w:val="24"/>
          <w:szCs w:val="24"/>
          <w:lang w:val="en-GB"/>
        </w:rPr>
        <w:t xml:space="preserve"> the properties</w:t>
      </w:r>
      <w:r w:rsidR="00843718" w:rsidRPr="00B061EF">
        <w:rPr>
          <w:rFonts w:ascii="Arial" w:hAnsi="Arial" w:cs="Arial"/>
          <w:sz w:val="24"/>
          <w:szCs w:val="24"/>
          <w:lang w:val="en-GB"/>
        </w:rPr>
        <w:t xml:space="preserve"> is subject to a mortgage bond</w:t>
      </w:r>
      <w:r w:rsidR="005C6E14">
        <w:rPr>
          <w:rFonts w:ascii="Arial" w:hAnsi="Arial" w:cs="Arial"/>
          <w:sz w:val="24"/>
          <w:szCs w:val="24"/>
          <w:lang w:val="en-GB"/>
        </w:rPr>
        <w:t xml:space="preserve">, which is </w:t>
      </w:r>
      <w:r w:rsidR="00370D21">
        <w:rPr>
          <w:rFonts w:ascii="Arial" w:hAnsi="Arial" w:cs="Arial"/>
          <w:sz w:val="24"/>
          <w:szCs w:val="24"/>
          <w:lang w:val="en-GB"/>
        </w:rPr>
        <w:t xml:space="preserve"> </w:t>
      </w:r>
      <w:r w:rsidR="00843718" w:rsidRPr="00B061EF">
        <w:rPr>
          <w:rFonts w:ascii="Arial" w:hAnsi="Arial" w:cs="Arial"/>
          <w:sz w:val="24"/>
          <w:szCs w:val="24"/>
          <w:lang w:val="en-GB"/>
        </w:rPr>
        <w:t>in the sum of R 3.9 million</w:t>
      </w:r>
      <w:r w:rsidR="00724E98" w:rsidRPr="00B061EF">
        <w:rPr>
          <w:rFonts w:ascii="Arial" w:hAnsi="Arial" w:cs="Arial"/>
          <w:sz w:val="24"/>
          <w:szCs w:val="24"/>
          <w:lang w:val="en-GB"/>
        </w:rPr>
        <w:t xml:space="preserve"> </w:t>
      </w:r>
      <w:r w:rsidR="005C6E14">
        <w:rPr>
          <w:rFonts w:ascii="Arial" w:hAnsi="Arial" w:cs="Arial"/>
          <w:sz w:val="24"/>
          <w:szCs w:val="24"/>
          <w:lang w:val="en-GB"/>
        </w:rPr>
        <w:t xml:space="preserve">and </w:t>
      </w:r>
      <w:r w:rsidR="00843718" w:rsidRPr="00B061EF">
        <w:rPr>
          <w:rFonts w:ascii="Arial" w:hAnsi="Arial" w:cs="Arial"/>
          <w:sz w:val="24"/>
          <w:szCs w:val="24"/>
          <w:lang w:val="en-GB"/>
        </w:rPr>
        <w:t xml:space="preserve">in favour of Investec. </w:t>
      </w:r>
      <w:r w:rsidR="00370D21" w:rsidRPr="00A528C6">
        <w:rPr>
          <w:rFonts w:ascii="Arial" w:hAnsi="Arial" w:cs="Arial"/>
          <w:sz w:val="24"/>
          <w:szCs w:val="24"/>
          <w:lang w:val="en-GB"/>
        </w:rPr>
        <w:t>The respondent and his wife reside in the unencumbered propert</w:t>
      </w:r>
      <w:r w:rsidR="00370D21">
        <w:rPr>
          <w:rFonts w:ascii="Arial" w:hAnsi="Arial" w:cs="Arial"/>
          <w:sz w:val="24"/>
          <w:szCs w:val="24"/>
          <w:lang w:val="en-GB"/>
        </w:rPr>
        <w:t xml:space="preserve">y </w:t>
      </w:r>
      <w:r w:rsidR="00370D21" w:rsidRPr="00A528C6">
        <w:rPr>
          <w:rFonts w:ascii="Arial" w:hAnsi="Arial" w:cs="Arial"/>
          <w:sz w:val="24"/>
          <w:szCs w:val="24"/>
          <w:lang w:val="en-GB"/>
        </w:rPr>
        <w:t>in Kloof,</w:t>
      </w:r>
      <w:r w:rsidR="00370D21">
        <w:rPr>
          <w:rFonts w:ascii="Arial" w:hAnsi="Arial" w:cs="Arial"/>
          <w:sz w:val="24"/>
          <w:szCs w:val="24"/>
          <w:lang w:val="en-GB"/>
        </w:rPr>
        <w:t xml:space="preserve"> which is </w:t>
      </w:r>
      <w:r w:rsidR="00370D21" w:rsidRPr="00A528C6">
        <w:rPr>
          <w:rFonts w:ascii="Arial" w:hAnsi="Arial" w:cs="Arial"/>
          <w:sz w:val="24"/>
          <w:szCs w:val="24"/>
          <w:lang w:val="en-GB"/>
        </w:rPr>
        <w:t xml:space="preserve">described in the report as ‘a palatial home in an upmarket area.’ The provisional trustees conducted a Google search which confirmed that the improvements to this property are substantial and the grounds large. </w:t>
      </w:r>
      <w:r w:rsidR="00724E98" w:rsidRPr="00370D21">
        <w:rPr>
          <w:rFonts w:ascii="Arial" w:hAnsi="Arial" w:cs="Arial"/>
          <w:sz w:val="24"/>
          <w:szCs w:val="24"/>
          <w:lang w:val="en-GB"/>
        </w:rPr>
        <w:t xml:space="preserve">The respondent’s wife has not applied for the release </w:t>
      </w:r>
      <w:r w:rsidR="00413BD3">
        <w:rPr>
          <w:rFonts w:ascii="Arial" w:hAnsi="Arial" w:cs="Arial"/>
          <w:sz w:val="24"/>
          <w:szCs w:val="24"/>
          <w:lang w:val="en-GB"/>
        </w:rPr>
        <w:t xml:space="preserve">of </w:t>
      </w:r>
      <w:r w:rsidR="00724E98" w:rsidRPr="00370D21">
        <w:rPr>
          <w:rFonts w:ascii="Arial" w:hAnsi="Arial" w:cs="Arial"/>
          <w:sz w:val="24"/>
          <w:szCs w:val="24"/>
          <w:lang w:val="en-GB"/>
        </w:rPr>
        <w:t xml:space="preserve">any asset to which she may lay claim, even though the immovable properties vest in the insolvent estate until released by the trustees in terms of section 21 of the Insolvency Act.  </w:t>
      </w:r>
    </w:p>
    <w:p w:rsidR="00A528C6" w:rsidRDefault="00A528C6" w:rsidP="00A528C6">
      <w:pPr>
        <w:pStyle w:val="ListParagraph"/>
        <w:rPr>
          <w:rFonts w:ascii="Arial" w:hAnsi="Arial" w:cs="Arial"/>
          <w:sz w:val="24"/>
          <w:szCs w:val="24"/>
          <w:lang w:val="en-GB"/>
        </w:rPr>
      </w:pPr>
    </w:p>
    <w:p w:rsidR="000E3734" w:rsidRDefault="00A528C6" w:rsidP="00FD6416">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w:t>
      </w:r>
      <w:r w:rsidR="00843718" w:rsidRPr="00A528C6">
        <w:rPr>
          <w:rFonts w:ascii="Arial" w:hAnsi="Arial" w:cs="Arial"/>
          <w:sz w:val="24"/>
          <w:szCs w:val="24"/>
          <w:lang w:val="en-GB"/>
        </w:rPr>
        <w:t xml:space="preserve">he applicant submitted that it might be that some of the funds received by the respondent </w:t>
      </w:r>
      <w:r w:rsidR="00B55600">
        <w:rPr>
          <w:rFonts w:ascii="Arial" w:hAnsi="Arial" w:cs="Arial"/>
          <w:sz w:val="24"/>
          <w:szCs w:val="24"/>
          <w:lang w:val="en-GB"/>
        </w:rPr>
        <w:t xml:space="preserve">and his wife </w:t>
      </w:r>
      <w:r w:rsidR="00843718" w:rsidRPr="00A528C6">
        <w:rPr>
          <w:rFonts w:ascii="Arial" w:hAnsi="Arial" w:cs="Arial"/>
          <w:sz w:val="24"/>
          <w:szCs w:val="24"/>
          <w:lang w:val="en-GB"/>
        </w:rPr>
        <w:t xml:space="preserve">from Rokwil were used to acquire the immovable properties registered in his wife’s name. </w:t>
      </w:r>
    </w:p>
    <w:p w:rsidR="00A528C6" w:rsidRDefault="00A528C6" w:rsidP="00A528C6">
      <w:pPr>
        <w:pStyle w:val="ListParagraph"/>
        <w:rPr>
          <w:rFonts w:ascii="Arial" w:hAnsi="Arial" w:cs="Arial"/>
          <w:sz w:val="24"/>
          <w:szCs w:val="24"/>
          <w:lang w:val="en-GB"/>
        </w:rPr>
      </w:pPr>
    </w:p>
    <w:p w:rsidR="00A528C6" w:rsidRDefault="000E3734" w:rsidP="00B92E29">
      <w:pPr>
        <w:numPr>
          <w:ilvl w:val="0"/>
          <w:numId w:val="2"/>
        </w:numPr>
        <w:spacing w:after="0" w:line="360" w:lineRule="auto"/>
        <w:jc w:val="both"/>
        <w:rPr>
          <w:rFonts w:ascii="Arial" w:hAnsi="Arial" w:cs="Arial"/>
          <w:sz w:val="24"/>
          <w:szCs w:val="24"/>
          <w:lang w:val="en-GB"/>
        </w:rPr>
      </w:pPr>
      <w:r w:rsidRPr="00370D21">
        <w:rPr>
          <w:rFonts w:ascii="Arial" w:hAnsi="Arial" w:cs="Arial"/>
          <w:sz w:val="24"/>
          <w:szCs w:val="24"/>
          <w:lang w:val="en-GB"/>
        </w:rPr>
        <w:t xml:space="preserve">In heads of argument filed on his behalf, the respondent takes issue with the report </w:t>
      </w:r>
      <w:r w:rsidR="00843718" w:rsidRPr="00370D21">
        <w:rPr>
          <w:rFonts w:ascii="Arial" w:hAnsi="Arial" w:cs="Arial"/>
          <w:sz w:val="24"/>
          <w:szCs w:val="24"/>
          <w:lang w:val="en-GB"/>
        </w:rPr>
        <w:t xml:space="preserve">insofar as it records that </w:t>
      </w:r>
      <w:r w:rsidRPr="00370D21">
        <w:rPr>
          <w:rFonts w:ascii="Arial" w:hAnsi="Arial" w:cs="Arial"/>
          <w:sz w:val="24"/>
          <w:szCs w:val="24"/>
          <w:lang w:val="en-GB"/>
        </w:rPr>
        <w:t>he and his wife had been uncooperative</w:t>
      </w:r>
      <w:r w:rsidR="00DC692E" w:rsidRPr="00370D21">
        <w:rPr>
          <w:rFonts w:ascii="Arial" w:hAnsi="Arial" w:cs="Arial"/>
          <w:sz w:val="24"/>
          <w:szCs w:val="24"/>
          <w:lang w:val="en-GB"/>
        </w:rPr>
        <w:t>. The heads of argument ‘record his dispute with the contents’ of the report, without any further particularity</w:t>
      </w:r>
      <w:r w:rsidRPr="00370D21">
        <w:rPr>
          <w:rFonts w:ascii="Arial" w:hAnsi="Arial" w:cs="Arial"/>
          <w:sz w:val="24"/>
          <w:szCs w:val="24"/>
          <w:lang w:val="en-GB"/>
        </w:rPr>
        <w:t>. The respondent did not file an affidavit dealing with th</w:t>
      </w:r>
      <w:r w:rsidR="00843718" w:rsidRPr="00370D21">
        <w:rPr>
          <w:rFonts w:ascii="Arial" w:hAnsi="Arial" w:cs="Arial"/>
          <w:sz w:val="24"/>
          <w:szCs w:val="24"/>
          <w:lang w:val="en-GB"/>
        </w:rPr>
        <w:t>e</w:t>
      </w:r>
      <w:r w:rsidR="00DC692E" w:rsidRPr="00370D21">
        <w:rPr>
          <w:rFonts w:ascii="Arial" w:hAnsi="Arial" w:cs="Arial"/>
          <w:sz w:val="24"/>
          <w:szCs w:val="24"/>
          <w:lang w:val="en-GB"/>
        </w:rPr>
        <w:t xml:space="preserve"> aspects of the</w:t>
      </w:r>
      <w:r w:rsidRPr="00370D21">
        <w:rPr>
          <w:rFonts w:ascii="Arial" w:hAnsi="Arial" w:cs="Arial"/>
          <w:sz w:val="24"/>
          <w:szCs w:val="24"/>
          <w:lang w:val="en-GB"/>
        </w:rPr>
        <w:t xml:space="preserve"> report </w:t>
      </w:r>
      <w:r w:rsidR="00DC692E" w:rsidRPr="00370D21">
        <w:rPr>
          <w:rFonts w:ascii="Arial" w:hAnsi="Arial" w:cs="Arial"/>
          <w:sz w:val="24"/>
          <w:szCs w:val="24"/>
          <w:lang w:val="en-GB"/>
        </w:rPr>
        <w:t xml:space="preserve">which he regards as incorrect. </w:t>
      </w:r>
    </w:p>
    <w:p w:rsidR="00370D21" w:rsidRPr="00370D21" w:rsidRDefault="00370D21" w:rsidP="00370D21">
      <w:pPr>
        <w:spacing w:after="0" w:line="360" w:lineRule="auto"/>
        <w:jc w:val="both"/>
        <w:rPr>
          <w:rFonts w:ascii="Arial" w:hAnsi="Arial" w:cs="Arial"/>
          <w:sz w:val="24"/>
          <w:szCs w:val="24"/>
          <w:lang w:val="en-GB"/>
        </w:rPr>
      </w:pPr>
    </w:p>
    <w:p w:rsidR="00A528C6" w:rsidRPr="0043001F" w:rsidRDefault="000E3734" w:rsidP="0043001F">
      <w:pPr>
        <w:numPr>
          <w:ilvl w:val="0"/>
          <w:numId w:val="2"/>
        </w:numPr>
        <w:spacing w:after="0" w:line="360" w:lineRule="auto"/>
        <w:jc w:val="both"/>
        <w:rPr>
          <w:rFonts w:ascii="Arial" w:hAnsi="Arial" w:cs="Arial"/>
          <w:sz w:val="24"/>
          <w:szCs w:val="24"/>
          <w:lang w:val="en-GB"/>
        </w:rPr>
      </w:pPr>
      <w:r w:rsidRPr="00A528C6">
        <w:rPr>
          <w:rFonts w:ascii="Arial" w:hAnsi="Arial" w:cs="Arial"/>
          <w:sz w:val="24"/>
          <w:szCs w:val="24"/>
          <w:lang w:val="en-GB"/>
        </w:rPr>
        <w:t>During the hearing</w:t>
      </w:r>
      <w:r w:rsidR="00B55600">
        <w:rPr>
          <w:rFonts w:ascii="Arial" w:hAnsi="Arial" w:cs="Arial"/>
          <w:sz w:val="24"/>
          <w:szCs w:val="24"/>
          <w:lang w:val="en-GB"/>
        </w:rPr>
        <w:t>,</w:t>
      </w:r>
      <w:r w:rsidRPr="00A528C6">
        <w:rPr>
          <w:rFonts w:ascii="Arial" w:hAnsi="Arial" w:cs="Arial"/>
          <w:sz w:val="24"/>
          <w:szCs w:val="24"/>
          <w:lang w:val="en-GB"/>
        </w:rPr>
        <w:t xml:space="preserve"> Mr Pedersen</w:t>
      </w:r>
      <w:r w:rsidR="00370D21">
        <w:rPr>
          <w:rFonts w:ascii="Arial" w:hAnsi="Arial" w:cs="Arial"/>
          <w:sz w:val="24"/>
          <w:szCs w:val="24"/>
          <w:lang w:val="en-GB"/>
        </w:rPr>
        <w:t xml:space="preserve"> </w:t>
      </w:r>
      <w:r w:rsidRPr="00A528C6">
        <w:rPr>
          <w:rFonts w:ascii="Arial" w:hAnsi="Arial" w:cs="Arial"/>
          <w:sz w:val="24"/>
          <w:szCs w:val="24"/>
          <w:lang w:val="en-GB"/>
        </w:rPr>
        <w:t xml:space="preserve">attempted to make </w:t>
      </w:r>
      <w:r w:rsidR="00370D21" w:rsidRPr="00A528C6">
        <w:rPr>
          <w:rFonts w:ascii="Arial" w:hAnsi="Arial" w:cs="Arial"/>
          <w:sz w:val="24"/>
          <w:szCs w:val="24"/>
          <w:lang w:val="en-GB"/>
        </w:rPr>
        <w:t>several</w:t>
      </w:r>
      <w:r w:rsidRPr="00A528C6">
        <w:rPr>
          <w:rFonts w:ascii="Arial" w:hAnsi="Arial" w:cs="Arial"/>
          <w:sz w:val="24"/>
          <w:szCs w:val="24"/>
          <w:lang w:val="en-GB"/>
        </w:rPr>
        <w:t xml:space="preserve"> submissions regarding why the report was incorrect when it stated that his client and his wife had been uncooperative</w:t>
      </w:r>
      <w:r w:rsidR="00DC692E" w:rsidRPr="00A528C6">
        <w:rPr>
          <w:rFonts w:ascii="Arial" w:hAnsi="Arial" w:cs="Arial"/>
          <w:sz w:val="24"/>
          <w:szCs w:val="24"/>
          <w:lang w:val="en-GB"/>
        </w:rPr>
        <w:t xml:space="preserve"> and</w:t>
      </w:r>
      <w:r w:rsidRPr="00A528C6">
        <w:rPr>
          <w:rFonts w:ascii="Arial" w:hAnsi="Arial" w:cs="Arial"/>
          <w:sz w:val="24"/>
          <w:szCs w:val="24"/>
          <w:lang w:val="en-GB"/>
        </w:rPr>
        <w:t xml:space="preserve"> sought to hand to the court the respondent’s statement of affairs which he submitted had been filed </w:t>
      </w:r>
      <w:r w:rsidR="00B55600">
        <w:rPr>
          <w:rFonts w:ascii="Arial" w:hAnsi="Arial" w:cs="Arial"/>
          <w:sz w:val="24"/>
          <w:szCs w:val="24"/>
          <w:lang w:val="en-GB"/>
        </w:rPr>
        <w:t xml:space="preserve">after </w:t>
      </w:r>
      <w:r w:rsidRPr="00A528C6">
        <w:rPr>
          <w:rFonts w:ascii="Arial" w:hAnsi="Arial" w:cs="Arial"/>
          <w:sz w:val="24"/>
          <w:szCs w:val="24"/>
          <w:lang w:val="en-GB"/>
        </w:rPr>
        <w:t>the report was furnished</w:t>
      </w:r>
      <w:r w:rsidR="00DC692E" w:rsidRPr="00A528C6">
        <w:rPr>
          <w:rFonts w:ascii="Arial" w:hAnsi="Arial" w:cs="Arial"/>
          <w:sz w:val="24"/>
          <w:szCs w:val="24"/>
          <w:lang w:val="en-GB"/>
        </w:rPr>
        <w:t xml:space="preserve">. He also sought to advance arguments regarding </w:t>
      </w:r>
      <w:r w:rsidRPr="00A528C6">
        <w:rPr>
          <w:rFonts w:ascii="Arial" w:hAnsi="Arial" w:cs="Arial"/>
          <w:sz w:val="24"/>
          <w:szCs w:val="24"/>
          <w:lang w:val="en-GB"/>
        </w:rPr>
        <w:t>the knowledge he suggests one of the provisional trustees must have regarding the respondent’s affairs and why his sequestration would not be to the advantage of creditors</w:t>
      </w:r>
      <w:r w:rsidR="00413BD3">
        <w:rPr>
          <w:rFonts w:ascii="Arial" w:hAnsi="Arial" w:cs="Arial"/>
          <w:sz w:val="24"/>
          <w:szCs w:val="24"/>
          <w:lang w:val="en-GB"/>
        </w:rPr>
        <w:t>,</w:t>
      </w:r>
      <w:r w:rsidRPr="00A528C6">
        <w:rPr>
          <w:rFonts w:ascii="Arial" w:hAnsi="Arial" w:cs="Arial"/>
          <w:sz w:val="24"/>
          <w:szCs w:val="24"/>
          <w:lang w:val="en-GB"/>
        </w:rPr>
        <w:t xml:space="preserve"> by virtue of </w:t>
      </w:r>
      <w:r w:rsidR="00724E98" w:rsidRPr="00A528C6">
        <w:rPr>
          <w:rFonts w:ascii="Arial" w:hAnsi="Arial" w:cs="Arial"/>
          <w:sz w:val="24"/>
          <w:szCs w:val="24"/>
          <w:lang w:val="en-GB"/>
        </w:rPr>
        <w:t xml:space="preserve">that provisional trustee’s </w:t>
      </w:r>
      <w:r w:rsidRPr="00A528C6">
        <w:rPr>
          <w:rFonts w:ascii="Arial" w:hAnsi="Arial" w:cs="Arial"/>
          <w:sz w:val="24"/>
          <w:szCs w:val="24"/>
          <w:lang w:val="en-GB"/>
        </w:rPr>
        <w:t xml:space="preserve">employment with the </w:t>
      </w:r>
      <w:r w:rsidRPr="00854E4F">
        <w:rPr>
          <w:rFonts w:ascii="Arial" w:hAnsi="Arial" w:cs="Arial"/>
          <w:sz w:val="24"/>
          <w:szCs w:val="24"/>
          <w:lang w:val="en-GB"/>
        </w:rPr>
        <w:t xml:space="preserve">firm ‘handling a number of </w:t>
      </w:r>
      <w:r w:rsidR="00413BD3" w:rsidRPr="00854E4F">
        <w:rPr>
          <w:rFonts w:ascii="Arial" w:hAnsi="Arial" w:cs="Arial"/>
          <w:sz w:val="24"/>
          <w:szCs w:val="24"/>
          <w:lang w:val="en-GB"/>
        </w:rPr>
        <w:t>ma</w:t>
      </w:r>
      <w:r w:rsidRPr="00854E4F">
        <w:rPr>
          <w:rFonts w:ascii="Arial" w:hAnsi="Arial" w:cs="Arial"/>
          <w:sz w:val="24"/>
          <w:szCs w:val="24"/>
          <w:lang w:val="en-GB"/>
        </w:rPr>
        <w:t xml:space="preserve">tters </w:t>
      </w:r>
      <w:r w:rsidR="00854E4F" w:rsidRPr="00854E4F">
        <w:rPr>
          <w:rFonts w:ascii="Arial" w:hAnsi="Arial" w:cs="Arial"/>
          <w:sz w:val="24"/>
          <w:szCs w:val="24"/>
          <w:lang w:val="en-GB"/>
        </w:rPr>
        <w:t>inter</w:t>
      </w:r>
      <w:r w:rsidRPr="00854E4F">
        <w:rPr>
          <w:rFonts w:ascii="Arial" w:hAnsi="Arial" w:cs="Arial"/>
          <w:sz w:val="24"/>
          <w:szCs w:val="24"/>
          <w:lang w:val="en-GB"/>
        </w:rPr>
        <w:t xml:space="preserve">related with the respondent’. The difficulty with </w:t>
      </w:r>
      <w:r w:rsidR="00724E98" w:rsidRPr="00854E4F">
        <w:rPr>
          <w:rFonts w:ascii="Arial" w:hAnsi="Arial" w:cs="Arial"/>
          <w:sz w:val="24"/>
          <w:szCs w:val="24"/>
          <w:lang w:val="en-GB"/>
        </w:rPr>
        <w:t>all of this</w:t>
      </w:r>
      <w:r w:rsidR="00724E98" w:rsidRPr="00A528C6">
        <w:rPr>
          <w:rFonts w:ascii="Arial" w:hAnsi="Arial" w:cs="Arial"/>
          <w:sz w:val="24"/>
          <w:szCs w:val="24"/>
          <w:lang w:val="en-GB"/>
        </w:rPr>
        <w:t xml:space="preserve"> </w:t>
      </w:r>
      <w:r w:rsidRPr="00A528C6">
        <w:rPr>
          <w:rFonts w:ascii="Arial" w:hAnsi="Arial" w:cs="Arial"/>
          <w:sz w:val="24"/>
          <w:szCs w:val="24"/>
          <w:lang w:val="en-GB"/>
        </w:rPr>
        <w:t xml:space="preserve">is that there was nothing on the papers to support these submissions, which </w:t>
      </w:r>
      <w:r w:rsidR="00370D21">
        <w:rPr>
          <w:rFonts w:ascii="Arial" w:hAnsi="Arial" w:cs="Arial"/>
          <w:sz w:val="24"/>
          <w:szCs w:val="24"/>
          <w:lang w:val="en-GB"/>
        </w:rPr>
        <w:t xml:space="preserve">therefore </w:t>
      </w:r>
      <w:r w:rsidRPr="00A528C6">
        <w:rPr>
          <w:rFonts w:ascii="Arial" w:hAnsi="Arial" w:cs="Arial"/>
          <w:sz w:val="24"/>
          <w:szCs w:val="24"/>
          <w:lang w:val="en-GB"/>
        </w:rPr>
        <w:t>amounted to attempt</w:t>
      </w:r>
      <w:r w:rsidR="00724E98" w:rsidRPr="00A528C6">
        <w:rPr>
          <w:rFonts w:ascii="Arial" w:hAnsi="Arial" w:cs="Arial"/>
          <w:sz w:val="24"/>
          <w:szCs w:val="24"/>
          <w:lang w:val="en-GB"/>
        </w:rPr>
        <w:t>s</w:t>
      </w:r>
      <w:r w:rsidRPr="00A528C6">
        <w:rPr>
          <w:rFonts w:ascii="Arial" w:hAnsi="Arial" w:cs="Arial"/>
          <w:sz w:val="24"/>
          <w:szCs w:val="24"/>
          <w:lang w:val="en-GB"/>
        </w:rPr>
        <w:t xml:space="preserve"> to give evidence from the bar. </w:t>
      </w:r>
    </w:p>
    <w:p w:rsidR="000E3734" w:rsidRPr="009A59AA" w:rsidRDefault="000E3734" w:rsidP="009A59AA">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When confronted with this obstacle, Mr Pedersen submitted that that the rules make no provision for filing further affidavits or other means of responding to the trustees’ report, so it was sufficient for the respondent merely to record his disagreement</w:t>
      </w:r>
      <w:r w:rsidR="00724E98">
        <w:rPr>
          <w:rFonts w:ascii="Arial" w:hAnsi="Arial" w:cs="Arial"/>
          <w:sz w:val="24"/>
          <w:szCs w:val="24"/>
          <w:lang w:val="en-GB"/>
        </w:rPr>
        <w:t xml:space="preserve"> and argue these matters</w:t>
      </w:r>
      <w:r>
        <w:rPr>
          <w:rFonts w:ascii="Arial" w:hAnsi="Arial" w:cs="Arial"/>
          <w:sz w:val="24"/>
          <w:szCs w:val="24"/>
          <w:lang w:val="en-GB"/>
        </w:rPr>
        <w:t xml:space="preserve">. That submission is </w:t>
      </w:r>
      <w:r w:rsidR="009A59AA">
        <w:rPr>
          <w:rFonts w:ascii="Arial" w:hAnsi="Arial" w:cs="Arial"/>
          <w:sz w:val="24"/>
          <w:szCs w:val="24"/>
          <w:lang w:val="en-GB"/>
        </w:rPr>
        <w:t>not sound in law</w:t>
      </w:r>
      <w:r w:rsidR="00724E98">
        <w:rPr>
          <w:rFonts w:ascii="Arial" w:hAnsi="Arial" w:cs="Arial"/>
          <w:sz w:val="24"/>
          <w:szCs w:val="24"/>
          <w:lang w:val="en-GB"/>
        </w:rPr>
        <w:t>.</w:t>
      </w:r>
      <w:r w:rsidR="009A59AA">
        <w:rPr>
          <w:rFonts w:ascii="Arial" w:hAnsi="Arial" w:cs="Arial"/>
          <w:sz w:val="24"/>
          <w:szCs w:val="24"/>
          <w:lang w:val="en-GB"/>
        </w:rPr>
        <w:t xml:space="preserve"> I</w:t>
      </w:r>
      <w:r w:rsidRPr="009A59AA">
        <w:rPr>
          <w:rFonts w:ascii="Arial" w:hAnsi="Arial" w:cs="Arial"/>
          <w:sz w:val="24"/>
          <w:szCs w:val="24"/>
          <w:lang w:val="en-GB"/>
        </w:rPr>
        <w:t xml:space="preserve"> engaged Mr Pedersen on the principle that the court has a discretion to allow the filing of further affidavits</w:t>
      </w:r>
      <w:r>
        <w:rPr>
          <w:rStyle w:val="FootnoteReference"/>
          <w:rFonts w:ascii="Arial" w:hAnsi="Arial" w:cs="Arial"/>
          <w:sz w:val="24"/>
          <w:szCs w:val="24"/>
          <w:lang w:val="en-GB"/>
        </w:rPr>
        <w:footnoteReference w:id="6"/>
      </w:r>
      <w:r w:rsidRPr="009A59AA">
        <w:rPr>
          <w:rFonts w:ascii="Arial" w:hAnsi="Arial" w:cs="Arial"/>
          <w:sz w:val="24"/>
          <w:szCs w:val="24"/>
          <w:lang w:val="en-GB"/>
        </w:rPr>
        <w:t xml:space="preserve"> and would tend to allow a further affidavit by </w:t>
      </w:r>
      <w:r w:rsidR="00370D21" w:rsidRPr="009A59AA">
        <w:rPr>
          <w:rFonts w:ascii="Arial" w:hAnsi="Arial" w:cs="Arial"/>
          <w:sz w:val="24"/>
          <w:szCs w:val="24"/>
          <w:lang w:val="en-GB"/>
        </w:rPr>
        <w:t>a</w:t>
      </w:r>
      <w:r w:rsidRPr="009A59AA">
        <w:rPr>
          <w:rFonts w:ascii="Arial" w:hAnsi="Arial" w:cs="Arial"/>
          <w:sz w:val="24"/>
          <w:szCs w:val="24"/>
          <w:lang w:val="en-GB"/>
        </w:rPr>
        <w:t xml:space="preserve"> respondent if they wanted to deal with new matter arising in the replying affidavit.</w:t>
      </w:r>
      <w:r>
        <w:rPr>
          <w:rStyle w:val="FootnoteReference"/>
          <w:rFonts w:ascii="Arial" w:hAnsi="Arial" w:cs="Arial"/>
          <w:sz w:val="24"/>
          <w:szCs w:val="24"/>
          <w:lang w:val="en-GB"/>
        </w:rPr>
        <w:footnoteReference w:id="7"/>
      </w:r>
      <w:r w:rsidRPr="009A59AA">
        <w:rPr>
          <w:rFonts w:ascii="Arial" w:hAnsi="Arial" w:cs="Arial"/>
          <w:sz w:val="24"/>
          <w:szCs w:val="24"/>
          <w:lang w:val="en-GB"/>
        </w:rPr>
        <w:t xml:space="preserve"> Here, the new matter arises not from the replying affidavit but from the </w:t>
      </w:r>
      <w:r w:rsidR="00724E98" w:rsidRPr="009A59AA">
        <w:rPr>
          <w:rFonts w:ascii="Arial" w:hAnsi="Arial" w:cs="Arial"/>
          <w:sz w:val="24"/>
          <w:szCs w:val="24"/>
          <w:lang w:val="en-GB"/>
        </w:rPr>
        <w:t xml:space="preserve">appointment of a provisional trustee with particular knowledge and the </w:t>
      </w:r>
      <w:r w:rsidRPr="009A59AA">
        <w:rPr>
          <w:rFonts w:ascii="Arial" w:hAnsi="Arial" w:cs="Arial"/>
          <w:sz w:val="24"/>
          <w:szCs w:val="24"/>
          <w:lang w:val="en-GB"/>
        </w:rPr>
        <w:t xml:space="preserve">provisional trustees’ report, but by parity of reasoning, the respondent could have applied to </w:t>
      </w:r>
      <w:r w:rsidR="00724E98" w:rsidRPr="009A59AA">
        <w:rPr>
          <w:rFonts w:ascii="Arial" w:hAnsi="Arial" w:cs="Arial"/>
          <w:sz w:val="24"/>
          <w:szCs w:val="24"/>
          <w:lang w:val="en-GB"/>
        </w:rPr>
        <w:t xml:space="preserve">file </w:t>
      </w:r>
      <w:r w:rsidRPr="009A59AA">
        <w:rPr>
          <w:rFonts w:ascii="Arial" w:hAnsi="Arial" w:cs="Arial"/>
          <w:sz w:val="24"/>
          <w:szCs w:val="24"/>
          <w:lang w:val="en-GB"/>
        </w:rPr>
        <w:t>a further affidavit deal</w:t>
      </w:r>
      <w:r w:rsidR="00724E98" w:rsidRPr="009A59AA">
        <w:rPr>
          <w:rFonts w:ascii="Arial" w:hAnsi="Arial" w:cs="Arial"/>
          <w:sz w:val="24"/>
          <w:szCs w:val="24"/>
          <w:lang w:val="en-GB"/>
        </w:rPr>
        <w:t>ing</w:t>
      </w:r>
      <w:r w:rsidRPr="009A59AA">
        <w:rPr>
          <w:rFonts w:ascii="Arial" w:hAnsi="Arial" w:cs="Arial"/>
          <w:sz w:val="24"/>
          <w:szCs w:val="24"/>
          <w:lang w:val="en-GB"/>
        </w:rPr>
        <w:t xml:space="preserve"> with th</w:t>
      </w:r>
      <w:r w:rsidR="00413BD3">
        <w:rPr>
          <w:rFonts w:ascii="Arial" w:hAnsi="Arial" w:cs="Arial"/>
          <w:sz w:val="24"/>
          <w:szCs w:val="24"/>
          <w:lang w:val="en-GB"/>
        </w:rPr>
        <w:t>at</w:t>
      </w:r>
      <w:r w:rsidRPr="009A59AA">
        <w:rPr>
          <w:rFonts w:ascii="Arial" w:hAnsi="Arial" w:cs="Arial"/>
          <w:sz w:val="24"/>
          <w:szCs w:val="24"/>
          <w:lang w:val="en-GB"/>
        </w:rPr>
        <w:t xml:space="preserve"> report</w:t>
      </w:r>
      <w:r w:rsidR="00724E98" w:rsidRPr="009A59AA">
        <w:rPr>
          <w:rFonts w:ascii="Arial" w:hAnsi="Arial" w:cs="Arial"/>
          <w:sz w:val="24"/>
          <w:szCs w:val="24"/>
          <w:lang w:val="en-GB"/>
        </w:rPr>
        <w:t>. T</w:t>
      </w:r>
      <w:r w:rsidRPr="009A59AA">
        <w:rPr>
          <w:rFonts w:ascii="Arial" w:hAnsi="Arial" w:cs="Arial"/>
          <w:sz w:val="24"/>
          <w:szCs w:val="24"/>
          <w:lang w:val="en-GB"/>
        </w:rPr>
        <w:t>he court would have been inclined to allow such an affidavit to be filed, had application been made timeously</w:t>
      </w:r>
      <w:r w:rsidR="004F3583">
        <w:rPr>
          <w:rFonts w:ascii="Arial" w:hAnsi="Arial" w:cs="Arial"/>
          <w:sz w:val="24"/>
          <w:szCs w:val="24"/>
          <w:lang w:val="en-GB"/>
        </w:rPr>
        <w:t xml:space="preserve">, </w:t>
      </w:r>
      <w:r w:rsidRPr="009A59AA">
        <w:rPr>
          <w:rFonts w:ascii="Arial" w:hAnsi="Arial" w:cs="Arial"/>
          <w:sz w:val="24"/>
          <w:szCs w:val="24"/>
          <w:lang w:val="en-GB"/>
        </w:rPr>
        <w:t>the purpose of the affidavit explained</w:t>
      </w:r>
      <w:r w:rsidR="004F3583">
        <w:rPr>
          <w:rFonts w:ascii="Arial" w:hAnsi="Arial" w:cs="Arial"/>
          <w:sz w:val="24"/>
          <w:szCs w:val="24"/>
          <w:lang w:val="en-GB"/>
        </w:rPr>
        <w:t>, and its content relevant to a determination of the issues</w:t>
      </w:r>
      <w:r w:rsidRPr="009A59AA">
        <w:rPr>
          <w:rFonts w:ascii="Arial" w:hAnsi="Arial" w:cs="Arial"/>
          <w:sz w:val="24"/>
          <w:szCs w:val="24"/>
          <w:lang w:val="en-GB"/>
        </w:rPr>
        <w:t>.</w:t>
      </w:r>
    </w:p>
    <w:p w:rsidR="00A528C6" w:rsidRDefault="00A528C6" w:rsidP="00A528C6">
      <w:pPr>
        <w:pStyle w:val="ListParagraph"/>
        <w:rPr>
          <w:rFonts w:ascii="Arial" w:hAnsi="Arial" w:cs="Arial"/>
          <w:sz w:val="24"/>
          <w:szCs w:val="24"/>
          <w:lang w:val="en-GB"/>
        </w:rPr>
      </w:pPr>
    </w:p>
    <w:p w:rsidR="000E3734" w:rsidRDefault="000E3734"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Mr Pedersen thereupon applied for an adjournment of the hearing and for leave to file a further affidavit. He stated that the purpose of the further affidavit would be to explain why the respondent disputed </w:t>
      </w:r>
      <w:r w:rsidR="009A59AA">
        <w:rPr>
          <w:rFonts w:ascii="Arial" w:hAnsi="Arial" w:cs="Arial"/>
          <w:sz w:val="24"/>
          <w:szCs w:val="24"/>
          <w:lang w:val="en-GB"/>
        </w:rPr>
        <w:t>the provisional trustees</w:t>
      </w:r>
      <w:r w:rsidR="00854E4F">
        <w:rPr>
          <w:rFonts w:ascii="Arial" w:hAnsi="Arial" w:cs="Arial"/>
          <w:sz w:val="24"/>
          <w:szCs w:val="24"/>
          <w:lang w:val="en-GB"/>
        </w:rPr>
        <w:t>’</w:t>
      </w:r>
      <w:r w:rsidR="009A59AA">
        <w:rPr>
          <w:rFonts w:ascii="Arial" w:hAnsi="Arial" w:cs="Arial"/>
          <w:sz w:val="24"/>
          <w:szCs w:val="24"/>
          <w:lang w:val="en-GB"/>
        </w:rPr>
        <w:t xml:space="preserve"> </w:t>
      </w:r>
      <w:r w:rsidR="00724E98">
        <w:rPr>
          <w:rFonts w:ascii="Arial" w:hAnsi="Arial" w:cs="Arial"/>
          <w:sz w:val="24"/>
          <w:szCs w:val="24"/>
          <w:lang w:val="en-GB"/>
        </w:rPr>
        <w:t xml:space="preserve">assertions that </w:t>
      </w:r>
      <w:r w:rsidR="004F3583">
        <w:rPr>
          <w:rFonts w:ascii="Arial" w:hAnsi="Arial" w:cs="Arial"/>
          <w:sz w:val="24"/>
          <w:szCs w:val="24"/>
          <w:lang w:val="en-GB"/>
        </w:rPr>
        <w:t xml:space="preserve">he </w:t>
      </w:r>
      <w:r>
        <w:rPr>
          <w:rFonts w:ascii="Arial" w:hAnsi="Arial" w:cs="Arial"/>
          <w:sz w:val="24"/>
          <w:szCs w:val="24"/>
          <w:lang w:val="en-GB"/>
        </w:rPr>
        <w:t>and his wife ha</w:t>
      </w:r>
      <w:r w:rsidR="00724E98">
        <w:rPr>
          <w:rFonts w:ascii="Arial" w:hAnsi="Arial" w:cs="Arial"/>
          <w:sz w:val="24"/>
          <w:szCs w:val="24"/>
          <w:lang w:val="en-GB"/>
        </w:rPr>
        <w:t>d</w:t>
      </w:r>
      <w:r>
        <w:rPr>
          <w:rFonts w:ascii="Arial" w:hAnsi="Arial" w:cs="Arial"/>
          <w:sz w:val="24"/>
          <w:szCs w:val="24"/>
          <w:lang w:val="en-GB"/>
        </w:rPr>
        <w:t xml:space="preserve"> been uncooperative</w:t>
      </w:r>
      <w:r w:rsidR="009A59AA">
        <w:rPr>
          <w:rFonts w:ascii="Arial" w:hAnsi="Arial" w:cs="Arial"/>
          <w:sz w:val="24"/>
          <w:szCs w:val="24"/>
          <w:lang w:val="en-GB"/>
        </w:rPr>
        <w:t>,</w:t>
      </w:r>
      <w:r>
        <w:rPr>
          <w:rFonts w:ascii="Arial" w:hAnsi="Arial" w:cs="Arial"/>
          <w:sz w:val="24"/>
          <w:szCs w:val="24"/>
          <w:lang w:val="en-GB"/>
        </w:rPr>
        <w:t xml:space="preserve"> and to put up the statement of affairs that had been </w:t>
      </w:r>
      <w:r w:rsidR="004F3583">
        <w:rPr>
          <w:rFonts w:ascii="Arial" w:hAnsi="Arial" w:cs="Arial"/>
          <w:sz w:val="24"/>
          <w:szCs w:val="24"/>
          <w:lang w:val="en-GB"/>
        </w:rPr>
        <w:t>submitted</w:t>
      </w:r>
      <w:r>
        <w:rPr>
          <w:rFonts w:ascii="Arial" w:hAnsi="Arial" w:cs="Arial"/>
          <w:sz w:val="24"/>
          <w:szCs w:val="24"/>
          <w:lang w:val="en-GB"/>
        </w:rPr>
        <w:t xml:space="preserve"> </w:t>
      </w:r>
      <w:r w:rsidR="00E14E13">
        <w:rPr>
          <w:rFonts w:ascii="Arial" w:hAnsi="Arial" w:cs="Arial"/>
          <w:sz w:val="24"/>
          <w:szCs w:val="24"/>
          <w:lang w:val="en-GB"/>
        </w:rPr>
        <w:t xml:space="preserve">to </w:t>
      </w:r>
      <w:r>
        <w:rPr>
          <w:rFonts w:ascii="Arial" w:hAnsi="Arial" w:cs="Arial"/>
          <w:sz w:val="24"/>
          <w:szCs w:val="24"/>
          <w:lang w:val="en-GB"/>
        </w:rPr>
        <w:t xml:space="preserve">the provisional trustees after their report was filed. </w:t>
      </w:r>
    </w:p>
    <w:p w:rsidR="00A528C6" w:rsidRDefault="00A528C6" w:rsidP="00A528C6">
      <w:pPr>
        <w:pStyle w:val="ListParagraph"/>
        <w:rPr>
          <w:rFonts w:ascii="Arial" w:hAnsi="Arial" w:cs="Arial"/>
          <w:sz w:val="24"/>
          <w:szCs w:val="24"/>
          <w:lang w:val="en-GB"/>
        </w:rPr>
      </w:pPr>
    </w:p>
    <w:p w:rsidR="000E3734" w:rsidRPr="009A59AA" w:rsidRDefault="000E3734" w:rsidP="009A59AA">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The respondent’s case has been unwavering that he has no assets registered in his name. The statement of affairs is therefore unlikely to be helpful in determining this application. I do not intend to attach any weight to the provisional trustees’ assertions regarding the respondent’s lack of cooperation in determining whether the</w:t>
      </w:r>
      <w:r w:rsidR="009A59AA">
        <w:rPr>
          <w:rFonts w:ascii="Arial" w:hAnsi="Arial" w:cs="Arial"/>
          <w:sz w:val="24"/>
          <w:szCs w:val="24"/>
          <w:lang w:val="en-GB"/>
        </w:rPr>
        <w:t xml:space="preserve">re is reason to believe that the </w:t>
      </w:r>
      <w:r>
        <w:rPr>
          <w:rFonts w:ascii="Arial" w:hAnsi="Arial" w:cs="Arial"/>
          <w:sz w:val="24"/>
          <w:szCs w:val="24"/>
          <w:lang w:val="en-GB"/>
        </w:rPr>
        <w:t>sequestration of his estate would be to the advantage of creditors.</w:t>
      </w:r>
      <w:r w:rsidR="006B34D2">
        <w:rPr>
          <w:rFonts w:ascii="Arial" w:hAnsi="Arial" w:cs="Arial"/>
          <w:sz w:val="24"/>
          <w:szCs w:val="24"/>
          <w:lang w:val="en-GB"/>
        </w:rPr>
        <w:t xml:space="preserve"> </w:t>
      </w:r>
      <w:r>
        <w:rPr>
          <w:rFonts w:ascii="Arial" w:hAnsi="Arial" w:cs="Arial"/>
          <w:sz w:val="24"/>
          <w:szCs w:val="24"/>
          <w:lang w:val="en-GB"/>
        </w:rPr>
        <w:t xml:space="preserve">The affidavit the respondent envisages filing would therefore take the matter no further. </w:t>
      </w:r>
      <w:r w:rsidRPr="009A59AA">
        <w:rPr>
          <w:rFonts w:ascii="Arial" w:hAnsi="Arial" w:cs="Arial"/>
          <w:sz w:val="24"/>
          <w:szCs w:val="24"/>
          <w:lang w:val="en-GB"/>
        </w:rPr>
        <w:t>In any event, the respondent ha</w:t>
      </w:r>
      <w:r w:rsidR="009C1D22">
        <w:rPr>
          <w:rFonts w:ascii="Arial" w:hAnsi="Arial" w:cs="Arial"/>
          <w:sz w:val="24"/>
          <w:szCs w:val="24"/>
          <w:lang w:val="en-GB"/>
        </w:rPr>
        <w:t>s</w:t>
      </w:r>
      <w:r w:rsidRPr="009A59AA">
        <w:rPr>
          <w:rFonts w:ascii="Arial" w:hAnsi="Arial" w:cs="Arial"/>
          <w:sz w:val="24"/>
          <w:szCs w:val="24"/>
          <w:lang w:val="en-GB"/>
        </w:rPr>
        <w:t xml:space="preserve"> been in pos</w:t>
      </w:r>
      <w:r w:rsidR="009A59AA">
        <w:rPr>
          <w:rFonts w:ascii="Arial" w:hAnsi="Arial" w:cs="Arial"/>
          <w:sz w:val="24"/>
          <w:szCs w:val="24"/>
          <w:lang w:val="en-GB"/>
        </w:rPr>
        <w:t>session</w:t>
      </w:r>
      <w:r w:rsidRPr="009A59AA">
        <w:rPr>
          <w:rFonts w:ascii="Arial" w:hAnsi="Arial" w:cs="Arial"/>
          <w:sz w:val="24"/>
          <w:szCs w:val="24"/>
          <w:lang w:val="en-GB"/>
        </w:rPr>
        <w:t xml:space="preserve"> of the report since 13 </w:t>
      </w:r>
      <w:r w:rsidRPr="00724C3A">
        <w:rPr>
          <w:rFonts w:ascii="Arial" w:hAnsi="Arial" w:cs="Arial"/>
          <w:sz w:val="24"/>
          <w:szCs w:val="24"/>
          <w:lang w:val="en-GB"/>
        </w:rPr>
        <w:t xml:space="preserve">April 2023, and should have made application to file any further affidavits long before the date </w:t>
      </w:r>
      <w:r w:rsidR="00724C3A" w:rsidRPr="00724C3A">
        <w:rPr>
          <w:rFonts w:ascii="Arial" w:hAnsi="Arial" w:cs="Arial"/>
          <w:sz w:val="24"/>
          <w:szCs w:val="24"/>
          <w:lang w:val="en-GB"/>
        </w:rPr>
        <w:t>on which the matter was set down. That</w:t>
      </w:r>
      <w:r w:rsidRPr="00724C3A">
        <w:rPr>
          <w:rFonts w:ascii="Arial" w:hAnsi="Arial" w:cs="Arial"/>
          <w:sz w:val="24"/>
          <w:szCs w:val="24"/>
          <w:lang w:val="en-GB"/>
        </w:rPr>
        <w:t xml:space="preserve"> </w:t>
      </w:r>
      <w:r w:rsidR="009C1D22" w:rsidRPr="00724C3A">
        <w:rPr>
          <w:rFonts w:ascii="Arial" w:hAnsi="Arial" w:cs="Arial"/>
          <w:sz w:val="24"/>
          <w:szCs w:val="24"/>
          <w:lang w:val="en-GB"/>
        </w:rPr>
        <w:t xml:space="preserve">would have avoided </w:t>
      </w:r>
      <w:r w:rsidR="00724C3A" w:rsidRPr="00724C3A">
        <w:rPr>
          <w:rFonts w:ascii="Arial" w:hAnsi="Arial" w:cs="Arial"/>
          <w:sz w:val="24"/>
          <w:szCs w:val="24"/>
          <w:lang w:val="en-GB"/>
        </w:rPr>
        <w:t>the</w:t>
      </w:r>
      <w:r w:rsidR="00E14E13" w:rsidRPr="00724C3A">
        <w:rPr>
          <w:rFonts w:ascii="Arial" w:hAnsi="Arial" w:cs="Arial"/>
          <w:sz w:val="24"/>
          <w:szCs w:val="24"/>
          <w:lang w:val="en-GB"/>
        </w:rPr>
        <w:t xml:space="preserve"> </w:t>
      </w:r>
      <w:r w:rsidRPr="00724C3A">
        <w:rPr>
          <w:rFonts w:ascii="Arial" w:hAnsi="Arial" w:cs="Arial"/>
          <w:sz w:val="24"/>
          <w:szCs w:val="24"/>
          <w:lang w:val="en-GB"/>
        </w:rPr>
        <w:t xml:space="preserve">prejudice </w:t>
      </w:r>
      <w:r w:rsidR="00724C3A" w:rsidRPr="00724C3A">
        <w:rPr>
          <w:rFonts w:ascii="Arial" w:hAnsi="Arial" w:cs="Arial"/>
          <w:sz w:val="24"/>
          <w:szCs w:val="24"/>
          <w:lang w:val="en-GB"/>
        </w:rPr>
        <w:t xml:space="preserve">necessarily </w:t>
      </w:r>
      <w:r w:rsidRPr="00724C3A">
        <w:rPr>
          <w:rFonts w:ascii="Arial" w:hAnsi="Arial" w:cs="Arial"/>
          <w:sz w:val="24"/>
          <w:szCs w:val="24"/>
          <w:lang w:val="en-GB"/>
        </w:rPr>
        <w:t xml:space="preserve">occasioned by </w:t>
      </w:r>
      <w:r w:rsidR="00724C3A" w:rsidRPr="00724C3A">
        <w:rPr>
          <w:rFonts w:ascii="Arial" w:hAnsi="Arial" w:cs="Arial"/>
          <w:sz w:val="24"/>
          <w:szCs w:val="24"/>
          <w:lang w:val="en-GB"/>
        </w:rPr>
        <w:t xml:space="preserve">adjourning the matter on the scheduled date of an opposed hearing. </w:t>
      </w:r>
      <w:r w:rsidRPr="00724C3A">
        <w:rPr>
          <w:rFonts w:ascii="Arial" w:hAnsi="Arial" w:cs="Arial"/>
          <w:sz w:val="24"/>
          <w:szCs w:val="24"/>
          <w:lang w:val="en-GB"/>
        </w:rPr>
        <w:t>I therefore</w:t>
      </w:r>
      <w:r w:rsidRPr="009A59AA">
        <w:rPr>
          <w:rFonts w:ascii="Arial" w:hAnsi="Arial" w:cs="Arial"/>
          <w:sz w:val="24"/>
          <w:szCs w:val="24"/>
          <w:lang w:val="en-GB"/>
        </w:rPr>
        <w:t xml:space="preserve"> refuse the application to file a further affidavit</w:t>
      </w:r>
      <w:r w:rsidR="00A4392F" w:rsidRPr="009A59AA">
        <w:rPr>
          <w:rFonts w:ascii="Arial" w:hAnsi="Arial" w:cs="Arial"/>
          <w:sz w:val="24"/>
          <w:szCs w:val="24"/>
          <w:lang w:val="en-GB"/>
        </w:rPr>
        <w:t xml:space="preserve"> and </w:t>
      </w:r>
      <w:r w:rsidR="00E14E13">
        <w:rPr>
          <w:rFonts w:ascii="Arial" w:hAnsi="Arial" w:cs="Arial"/>
          <w:sz w:val="24"/>
          <w:szCs w:val="24"/>
          <w:lang w:val="en-GB"/>
        </w:rPr>
        <w:t xml:space="preserve">will </w:t>
      </w:r>
      <w:r w:rsidR="00A4392F" w:rsidRPr="009A59AA">
        <w:rPr>
          <w:rFonts w:ascii="Arial" w:hAnsi="Arial" w:cs="Arial"/>
          <w:sz w:val="24"/>
          <w:szCs w:val="24"/>
          <w:lang w:val="en-GB"/>
        </w:rPr>
        <w:t>determine whether there is reason to believe that sequestration of the respondent’s estate will be to the advantage of creditors on the papers as they stand.</w:t>
      </w:r>
      <w:r w:rsidR="004F3583">
        <w:rPr>
          <w:rFonts w:ascii="Arial" w:hAnsi="Arial" w:cs="Arial"/>
          <w:sz w:val="24"/>
          <w:szCs w:val="24"/>
          <w:lang w:val="en-GB"/>
        </w:rPr>
        <w:t xml:space="preserve"> </w:t>
      </w:r>
    </w:p>
    <w:p w:rsidR="009823C9" w:rsidRDefault="009823C9" w:rsidP="001F005F">
      <w:pPr>
        <w:spacing w:line="480" w:lineRule="auto"/>
        <w:jc w:val="both"/>
        <w:rPr>
          <w:rFonts w:ascii="Arial" w:hAnsi="Arial" w:cs="Arial"/>
          <w:b/>
          <w:bCs/>
          <w:sz w:val="24"/>
          <w:szCs w:val="24"/>
          <w:lang w:val="en-GB"/>
        </w:rPr>
      </w:pPr>
    </w:p>
    <w:p w:rsidR="00FE578E" w:rsidRPr="004F6C22" w:rsidRDefault="004F6C22" w:rsidP="009A59AA">
      <w:pPr>
        <w:spacing w:line="480" w:lineRule="auto"/>
        <w:jc w:val="both"/>
        <w:rPr>
          <w:rFonts w:ascii="Arial" w:hAnsi="Arial" w:cs="Arial"/>
          <w:b/>
          <w:bCs/>
          <w:sz w:val="24"/>
          <w:szCs w:val="24"/>
          <w:lang w:val="en-GB"/>
        </w:rPr>
      </w:pPr>
      <w:r w:rsidRPr="004F6C22">
        <w:rPr>
          <w:rFonts w:ascii="Arial" w:hAnsi="Arial" w:cs="Arial"/>
          <w:b/>
          <w:bCs/>
          <w:sz w:val="24"/>
          <w:szCs w:val="24"/>
          <w:lang w:val="en-GB"/>
        </w:rPr>
        <w:t xml:space="preserve">Analysis </w:t>
      </w:r>
    </w:p>
    <w:p w:rsidR="00A32C07" w:rsidRDefault="00A32C07"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There are a number of matters which could be usefully investigated.  </w:t>
      </w:r>
    </w:p>
    <w:p w:rsidR="00A528C6" w:rsidRDefault="00A528C6" w:rsidP="00A528C6">
      <w:pPr>
        <w:spacing w:after="0" w:line="360" w:lineRule="auto"/>
        <w:jc w:val="both"/>
        <w:rPr>
          <w:rFonts w:ascii="Arial" w:hAnsi="Arial" w:cs="Arial"/>
          <w:sz w:val="24"/>
          <w:szCs w:val="24"/>
          <w:lang w:val="en-GB"/>
        </w:rPr>
      </w:pPr>
    </w:p>
    <w:p w:rsidR="00A4392F" w:rsidRDefault="003345A8"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respondent has failed to explain what became of the </w:t>
      </w:r>
      <w:r w:rsidR="004F6C22">
        <w:rPr>
          <w:rFonts w:ascii="Arial" w:hAnsi="Arial" w:cs="Arial"/>
          <w:sz w:val="24"/>
          <w:szCs w:val="24"/>
          <w:lang w:val="en-GB"/>
        </w:rPr>
        <w:t xml:space="preserve">admitted </w:t>
      </w:r>
      <w:r>
        <w:rPr>
          <w:rFonts w:ascii="Arial" w:hAnsi="Arial" w:cs="Arial"/>
          <w:sz w:val="24"/>
          <w:szCs w:val="24"/>
          <w:lang w:val="en-GB"/>
        </w:rPr>
        <w:t xml:space="preserve">R 34 million differential or the R 2 million that flowed from Rokwil to </w:t>
      </w:r>
      <w:r w:rsidR="00A4392F">
        <w:rPr>
          <w:rFonts w:ascii="Arial" w:hAnsi="Arial" w:cs="Arial"/>
          <w:sz w:val="24"/>
          <w:szCs w:val="24"/>
          <w:lang w:val="en-GB"/>
        </w:rPr>
        <w:t>his</w:t>
      </w:r>
      <w:r>
        <w:rPr>
          <w:rFonts w:ascii="Arial" w:hAnsi="Arial" w:cs="Arial"/>
          <w:sz w:val="24"/>
          <w:szCs w:val="24"/>
          <w:lang w:val="en-GB"/>
        </w:rPr>
        <w:t xml:space="preserve"> wife. </w:t>
      </w:r>
      <w:r w:rsidR="002A4FB8">
        <w:rPr>
          <w:rFonts w:ascii="Arial" w:hAnsi="Arial" w:cs="Arial"/>
          <w:sz w:val="24"/>
          <w:szCs w:val="24"/>
          <w:lang w:val="en-GB"/>
        </w:rPr>
        <w:t xml:space="preserve">The respondent does not engage with the assertion based on the 2018 investigation that he received R 63.8 million to fund his lifestyle between February 2013 and October 2017 beyond proffering a bare denial. </w:t>
      </w:r>
      <w:r w:rsidR="00A32C07">
        <w:rPr>
          <w:rFonts w:ascii="Arial" w:hAnsi="Arial" w:cs="Arial"/>
          <w:sz w:val="24"/>
          <w:szCs w:val="24"/>
          <w:lang w:val="en-GB"/>
        </w:rPr>
        <w:t>The</w:t>
      </w:r>
      <w:r w:rsidR="009A59AA">
        <w:rPr>
          <w:rFonts w:ascii="Arial" w:hAnsi="Arial" w:cs="Arial"/>
          <w:sz w:val="24"/>
          <w:szCs w:val="24"/>
          <w:lang w:val="en-GB"/>
        </w:rPr>
        <w:t>se</w:t>
      </w:r>
      <w:r w:rsidR="00A32C07">
        <w:rPr>
          <w:rFonts w:ascii="Arial" w:hAnsi="Arial" w:cs="Arial"/>
          <w:sz w:val="24"/>
          <w:szCs w:val="24"/>
          <w:lang w:val="en-GB"/>
        </w:rPr>
        <w:t xml:space="preserve"> sums are substantial and </w:t>
      </w:r>
      <w:r w:rsidR="004F6C22">
        <w:rPr>
          <w:rFonts w:ascii="Arial" w:hAnsi="Arial" w:cs="Arial"/>
          <w:sz w:val="24"/>
          <w:szCs w:val="24"/>
          <w:lang w:val="en-GB"/>
        </w:rPr>
        <w:t xml:space="preserve"> </w:t>
      </w:r>
      <w:r w:rsidR="00A32C07">
        <w:rPr>
          <w:rFonts w:ascii="Arial" w:hAnsi="Arial" w:cs="Arial"/>
          <w:sz w:val="24"/>
          <w:szCs w:val="24"/>
          <w:lang w:val="en-GB"/>
        </w:rPr>
        <w:t xml:space="preserve">the use to which the funds  were put is not explained. It is in my view a prospect </w:t>
      </w:r>
      <w:r w:rsidR="009A59AA">
        <w:rPr>
          <w:rFonts w:ascii="Arial" w:hAnsi="Arial" w:cs="Arial"/>
          <w:sz w:val="24"/>
          <w:szCs w:val="24"/>
          <w:lang w:val="en-GB"/>
        </w:rPr>
        <w:t xml:space="preserve">not </w:t>
      </w:r>
      <w:r w:rsidR="00A32C07">
        <w:rPr>
          <w:rFonts w:ascii="Arial" w:hAnsi="Arial" w:cs="Arial"/>
          <w:sz w:val="24"/>
          <w:szCs w:val="24"/>
          <w:lang w:val="en-GB"/>
        </w:rPr>
        <w:t xml:space="preserve">too remote that investigation into what became of these monies may reveal assets which can be recovered for the benefit of creditors. </w:t>
      </w:r>
    </w:p>
    <w:p w:rsidR="00A528C6" w:rsidRDefault="00A528C6" w:rsidP="00A528C6">
      <w:pPr>
        <w:pStyle w:val="ListParagraph"/>
        <w:rPr>
          <w:rFonts w:ascii="Arial" w:hAnsi="Arial" w:cs="Arial"/>
          <w:sz w:val="24"/>
          <w:szCs w:val="24"/>
          <w:lang w:val="en-GB"/>
        </w:rPr>
      </w:pPr>
    </w:p>
    <w:p w:rsidR="004F6C22" w:rsidRDefault="00A4392F"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 </w:t>
      </w:r>
      <w:r w:rsidR="00A32C07">
        <w:rPr>
          <w:rFonts w:ascii="Arial" w:hAnsi="Arial" w:cs="Arial"/>
          <w:sz w:val="24"/>
          <w:szCs w:val="24"/>
          <w:lang w:val="en-GB"/>
        </w:rPr>
        <w:t>The</w:t>
      </w:r>
      <w:r w:rsidR="009A59AA">
        <w:rPr>
          <w:rFonts w:ascii="Arial" w:hAnsi="Arial" w:cs="Arial"/>
          <w:sz w:val="24"/>
          <w:szCs w:val="24"/>
          <w:lang w:val="en-GB"/>
        </w:rPr>
        <w:t xml:space="preserve"> </w:t>
      </w:r>
      <w:r w:rsidR="00A32C07">
        <w:rPr>
          <w:rFonts w:ascii="Arial" w:hAnsi="Arial" w:cs="Arial"/>
          <w:sz w:val="24"/>
          <w:szCs w:val="24"/>
          <w:lang w:val="en-GB"/>
        </w:rPr>
        <w:t>respondent’s</w:t>
      </w:r>
      <w:r>
        <w:rPr>
          <w:rFonts w:ascii="Arial" w:hAnsi="Arial" w:cs="Arial"/>
          <w:sz w:val="24"/>
          <w:szCs w:val="24"/>
          <w:lang w:val="en-GB"/>
        </w:rPr>
        <w:t xml:space="preserve"> explanation </w:t>
      </w:r>
      <w:r w:rsidR="009A59AA">
        <w:rPr>
          <w:rFonts w:ascii="Arial" w:hAnsi="Arial" w:cs="Arial"/>
          <w:sz w:val="24"/>
          <w:szCs w:val="24"/>
          <w:lang w:val="en-GB"/>
        </w:rPr>
        <w:t xml:space="preserve">regarding the </w:t>
      </w:r>
      <w:r>
        <w:rPr>
          <w:rFonts w:ascii="Arial" w:hAnsi="Arial" w:cs="Arial"/>
          <w:sz w:val="24"/>
          <w:szCs w:val="24"/>
          <w:lang w:val="en-GB"/>
        </w:rPr>
        <w:t xml:space="preserve">transfers to </w:t>
      </w:r>
      <w:r w:rsidR="00A32C07">
        <w:rPr>
          <w:rFonts w:ascii="Arial" w:hAnsi="Arial" w:cs="Arial"/>
          <w:sz w:val="24"/>
          <w:szCs w:val="24"/>
          <w:lang w:val="en-GB"/>
        </w:rPr>
        <w:t xml:space="preserve">and from </w:t>
      </w:r>
      <w:r w:rsidR="009A59AA">
        <w:rPr>
          <w:rFonts w:ascii="Arial" w:hAnsi="Arial" w:cs="Arial"/>
          <w:sz w:val="24"/>
          <w:szCs w:val="24"/>
          <w:lang w:val="en-GB"/>
        </w:rPr>
        <w:t>his</w:t>
      </w:r>
      <w:r>
        <w:rPr>
          <w:rFonts w:ascii="Arial" w:hAnsi="Arial" w:cs="Arial"/>
          <w:sz w:val="24"/>
          <w:szCs w:val="24"/>
          <w:lang w:val="en-GB"/>
        </w:rPr>
        <w:t xml:space="preserve"> Investec accounts due to fear of hacking is unconvincing</w:t>
      </w:r>
      <w:r w:rsidR="009A59AA">
        <w:rPr>
          <w:rFonts w:ascii="Arial" w:hAnsi="Arial" w:cs="Arial"/>
          <w:sz w:val="24"/>
          <w:szCs w:val="24"/>
          <w:lang w:val="en-GB"/>
        </w:rPr>
        <w:t>.</w:t>
      </w:r>
      <w:r w:rsidR="00E734D7">
        <w:rPr>
          <w:rFonts w:ascii="Arial" w:hAnsi="Arial" w:cs="Arial"/>
          <w:sz w:val="24"/>
          <w:szCs w:val="24"/>
          <w:lang w:val="en-GB"/>
        </w:rPr>
        <w:t xml:space="preserve"> </w:t>
      </w:r>
      <w:r w:rsidR="009A59AA">
        <w:rPr>
          <w:rFonts w:ascii="Arial" w:hAnsi="Arial" w:cs="Arial"/>
          <w:sz w:val="24"/>
          <w:szCs w:val="24"/>
          <w:lang w:val="en-GB"/>
        </w:rPr>
        <w:t>N</w:t>
      </w:r>
      <w:r>
        <w:rPr>
          <w:rFonts w:ascii="Arial" w:hAnsi="Arial" w:cs="Arial"/>
          <w:sz w:val="24"/>
          <w:szCs w:val="24"/>
          <w:lang w:val="en-GB"/>
        </w:rPr>
        <w:t xml:space="preserve">o reason is suggested why </w:t>
      </w:r>
      <w:r w:rsidR="009A59AA">
        <w:rPr>
          <w:rFonts w:ascii="Arial" w:hAnsi="Arial" w:cs="Arial"/>
          <w:sz w:val="24"/>
          <w:szCs w:val="24"/>
          <w:lang w:val="en-GB"/>
        </w:rPr>
        <w:t>the</w:t>
      </w:r>
      <w:r>
        <w:rPr>
          <w:rFonts w:ascii="Arial" w:hAnsi="Arial" w:cs="Arial"/>
          <w:sz w:val="24"/>
          <w:szCs w:val="24"/>
          <w:lang w:val="en-GB"/>
        </w:rPr>
        <w:t xml:space="preserve"> Investec accounts were any less susceptible to being hacked than those of Rokwil. </w:t>
      </w:r>
      <w:r w:rsidR="00E734D7">
        <w:rPr>
          <w:rFonts w:ascii="Arial" w:hAnsi="Arial" w:cs="Arial"/>
          <w:sz w:val="24"/>
          <w:szCs w:val="24"/>
          <w:lang w:val="en-GB"/>
        </w:rPr>
        <w:t xml:space="preserve">The reasons for the transfers and what became of the funds also appear worthy of investigation. </w:t>
      </w:r>
    </w:p>
    <w:p w:rsidR="009A59AA" w:rsidRDefault="009A59AA" w:rsidP="009A59AA">
      <w:pPr>
        <w:spacing w:after="0" w:line="360" w:lineRule="auto"/>
        <w:jc w:val="both"/>
        <w:rPr>
          <w:rFonts w:ascii="Arial" w:hAnsi="Arial" w:cs="Arial"/>
          <w:sz w:val="24"/>
          <w:szCs w:val="24"/>
          <w:lang w:val="en-GB"/>
        </w:rPr>
      </w:pPr>
    </w:p>
    <w:p w:rsidR="00A4392F" w:rsidRPr="009A59AA" w:rsidRDefault="004F6C22" w:rsidP="009A59AA">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9A59AA">
        <w:rPr>
          <w:rFonts w:ascii="Arial" w:hAnsi="Arial" w:cs="Arial"/>
          <w:sz w:val="24"/>
          <w:szCs w:val="24"/>
          <w:lang w:val="en-GB"/>
        </w:rPr>
        <w:t xml:space="preserve">involvement of the </w:t>
      </w:r>
      <w:r>
        <w:rPr>
          <w:rFonts w:ascii="Arial" w:hAnsi="Arial" w:cs="Arial"/>
          <w:sz w:val="24"/>
          <w:szCs w:val="24"/>
          <w:lang w:val="en-GB"/>
        </w:rPr>
        <w:t xml:space="preserve">respondent’s </w:t>
      </w:r>
      <w:r w:rsidR="003345A8">
        <w:rPr>
          <w:rFonts w:ascii="Arial" w:hAnsi="Arial" w:cs="Arial"/>
          <w:sz w:val="24"/>
          <w:szCs w:val="24"/>
          <w:lang w:val="en-GB"/>
        </w:rPr>
        <w:t xml:space="preserve">wife in </w:t>
      </w:r>
      <w:r w:rsidR="00E734D7">
        <w:rPr>
          <w:rFonts w:ascii="Arial" w:hAnsi="Arial" w:cs="Arial"/>
          <w:sz w:val="24"/>
          <w:szCs w:val="24"/>
          <w:lang w:val="en-GB"/>
        </w:rPr>
        <w:t xml:space="preserve">what are </w:t>
      </w:r>
      <w:r w:rsidR="003345A8">
        <w:rPr>
          <w:rFonts w:ascii="Arial" w:hAnsi="Arial" w:cs="Arial"/>
          <w:sz w:val="24"/>
          <w:szCs w:val="24"/>
          <w:lang w:val="en-GB"/>
        </w:rPr>
        <w:t xml:space="preserve">said to be loans by the </w:t>
      </w:r>
      <w:r w:rsidR="00A4392F">
        <w:rPr>
          <w:rFonts w:ascii="Arial" w:hAnsi="Arial" w:cs="Arial"/>
          <w:sz w:val="24"/>
          <w:szCs w:val="24"/>
          <w:lang w:val="en-GB"/>
        </w:rPr>
        <w:t>Keystone T</w:t>
      </w:r>
      <w:r w:rsidR="003345A8">
        <w:rPr>
          <w:rFonts w:ascii="Arial" w:hAnsi="Arial" w:cs="Arial"/>
          <w:sz w:val="24"/>
          <w:szCs w:val="24"/>
          <w:lang w:val="en-GB"/>
        </w:rPr>
        <w:t>rust to Rokwil is unexplained and does not make sense on the respondent’s version</w:t>
      </w:r>
      <w:r w:rsidR="00A4392F">
        <w:rPr>
          <w:rFonts w:ascii="Arial" w:hAnsi="Arial" w:cs="Arial"/>
          <w:sz w:val="24"/>
          <w:szCs w:val="24"/>
          <w:lang w:val="en-GB"/>
        </w:rPr>
        <w:t xml:space="preserve"> regarding</w:t>
      </w:r>
      <w:r w:rsidR="003345A8">
        <w:rPr>
          <w:rFonts w:ascii="Arial" w:hAnsi="Arial" w:cs="Arial"/>
          <w:sz w:val="24"/>
          <w:szCs w:val="24"/>
          <w:lang w:val="en-GB"/>
        </w:rPr>
        <w:t xml:space="preserve"> the nature of the transactions. </w:t>
      </w:r>
      <w:r w:rsidR="00A4392F" w:rsidRPr="009A59AA">
        <w:rPr>
          <w:rFonts w:ascii="Arial" w:hAnsi="Arial" w:cs="Arial"/>
          <w:sz w:val="24"/>
          <w:szCs w:val="24"/>
          <w:lang w:val="en-GB"/>
        </w:rPr>
        <w:t xml:space="preserve">The role of the Keystone Trust and its financial position also raise questions, including whether it has been used as the respondent’s alter ego </w:t>
      </w:r>
      <w:r w:rsidR="009A59AA">
        <w:rPr>
          <w:rFonts w:ascii="Arial" w:hAnsi="Arial" w:cs="Arial"/>
          <w:sz w:val="24"/>
          <w:szCs w:val="24"/>
          <w:lang w:val="en-GB"/>
        </w:rPr>
        <w:t xml:space="preserve">or </w:t>
      </w:r>
      <w:r w:rsidR="004F3583">
        <w:rPr>
          <w:rFonts w:ascii="Arial" w:hAnsi="Arial" w:cs="Arial"/>
          <w:sz w:val="24"/>
          <w:szCs w:val="24"/>
          <w:lang w:val="en-GB"/>
        </w:rPr>
        <w:t xml:space="preserve">as </w:t>
      </w:r>
      <w:r w:rsidR="009A59AA">
        <w:rPr>
          <w:rFonts w:ascii="Arial" w:hAnsi="Arial" w:cs="Arial"/>
          <w:sz w:val="24"/>
          <w:szCs w:val="24"/>
          <w:lang w:val="en-GB"/>
        </w:rPr>
        <w:t xml:space="preserve">an illegitimate </w:t>
      </w:r>
      <w:r w:rsidR="00A4392F" w:rsidRPr="009A59AA">
        <w:rPr>
          <w:rFonts w:ascii="Arial" w:hAnsi="Arial" w:cs="Arial"/>
          <w:sz w:val="24"/>
          <w:szCs w:val="24"/>
          <w:lang w:val="en-GB"/>
        </w:rPr>
        <w:t xml:space="preserve">means of </w:t>
      </w:r>
      <w:r w:rsidR="00A32C07" w:rsidRPr="009A59AA">
        <w:rPr>
          <w:rFonts w:ascii="Arial" w:hAnsi="Arial" w:cs="Arial"/>
          <w:sz w:val="24"/>
          <w:szCs w:val="24"/>
          <w:lang w:val="en-GB"/>
        </w:rPr>
        <w:t>placing assets which are actually his own</w:t>
      </w:r>
      <w:r w:rsidR="009A59AA">
        <w:rPr>
          <w:rFonts w:ascii="Arial" w:hAnsi="Arial" w:cs="Arial"/>
          <w:sz w:val="24"/>
          <w:szCs w:val="24"/>
          <w:lang w:val="en-GB"/>
        </w:rPr>
        <w:t xml:space="preserve"> </w:t>
      </w:r>
      <w:r w:rsidR="00A32C07" w:rsidRPr="009A59AA">
        <w:rPr>
          <w:rFonts w:ascii="Arial" w:hAnsi="Arial" w:cs="Arial"/>
          <w:sz w:val="24"/>
          <w:szCs w:val="24"/>
          <w:lang w:val="en-GB"/>
        </w:rPr>
        <w:t xml:space="preserve">beyond the reach of creditors. </w:t>
      </w:r>
      <w:r w:rsidR="00E734D7" w:rsidRPr="0070451D">
        <w:rPr>
          <w:rFonts w:ascii="Arial" w:hAnsi="Arial" w:cs="Arial"/>
          <w:sz w:val="24"/>
          <w:szCs w:val="24"/>
          <w:lang w:val="en-GB"/>
        </w:rPr>
        <w:t>The respondent’s</w:t>
      </w:r>
      <w:r w:rsidR="00E734D7" w:rsidRPr="009A59AA">
        <w:rPr>
          <w:rFonts w:ascii="Arial" w:hAnsi="Arial" w:cs="Arial"/>
          <w:sz w:val="24"/>
          <w:szCs w:val="24"/>
          <w:lang w:val="en-GB"/>
        </w:rPr>
        <w:t xml:space="preserve"> failure to produce any documentation regarding the Keystone Trust or the transactions in which it was involved</w:t>
      </w:r>
      <w:r w:rsidR="0070451D">
        <w:rPr>
          <w:rFonts w:ascii="Arial" w:hAnsi="Arial" w:cs="Arial"/>
          <w:sz w:val="24"/>
          <w:szCs w:val="24"/>
          <w:lang w:val="en-GB"/>
        </w:rPr>
        <w:t xml:space="preserve"> underlines the need for an investigation</w:t>
      </w:r>
      <w:r w:rsidR="004659B0" w:rsidRPr="009A59AA">
        <w:rPr>
          <w:rFonts w:ascii="Arial" w:hAnsi="Arial" w:cs="Arial"/>
          <w:sz w:val="24"/>
          <w:szCs w:val="24"/>
          <w:lang w:val="en-GB"/>
        </w:rPr>
        <w:t xml:space="preserve">. </w:t>
      </w:r>
    </w:p>
    <w:p w:rsidR="002A169D" w:rsidRDefault="002A169D" w:rsidP="002A169D">
      <w:pPr>
        <w:pStyle w:val="ListParagraph"/>
        <w:rPr>
          <w:rFonts w:ascii="Arial" w:hAnsi="Arial" w:cs="Arial"/>
          <w:sz w:val="24"/>
          <w:szCs w:val="24"/>
          <w:lang w:val="en-GB"/>
        </w:rPr>
      </w:pPr>
    </w:p>
    <w:p w:rsidR="004F6C22" w:rsidRDefault="002A4FB8"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means by which the respondent’s wife </w:t>
      </w:r>
      <w:r w:rsidR="00E734D7">
        <w:rPr>
          <w:rFonts w:ascii="Arial" w:hAnsi="Arial" w:cs="Arial"/>
          <w:sz w:val="24"/>
          <w:szCs w:val="24"/>
          <w:lang w:val="en-GB"/>
        </w:rPr>
        <w:t xml:space="preserve">was able to </w:t>
      </w:r>
      <w:r>
        <w:rPr>
          <w:rFonts w:ascii="Arial" w:hAnsi="Arial" w:cs="Arial"/>
          <w:sz w:val="24"/>
          <w:szCs w:val="24"/>
          <w:lang w:val="en-GB"/>
        </w:rPr>
        <w:t>acquire significant immovable properties is not</w:t>
      </w:r>
      <w:r w:rsidR="00E734D7">
        <w:rPr>
          <w:rFonts w:ascii="Arial" w:hAnsi="Arial" w:cs="Arial"/>
          <w:sz w:val="24"/>
          <w:szCs w:val="24"/>
          <w:lang w:val="en-GB"/>
        </w:rPr>
        <w:t xml:space="preserve"> disclosed and she has not sought the</w:t>
      </w:r>
      <w:r w:rsidR="004F3583">
        <w:rPr>
          <w:rFonts w:ascii="Arial" w:hAnsi="Arial" w:cs="Arial"/>
          <w:sz w:val="24"/>
          <w:szCs w:val="24"/>
          <w:lang w:val="en-GB"/>
        </w:rPr>
        <w:t>ir</w:t>
      </w:r>
      <w:r w:rsidR="00E734D7">
        <w:rPr>
          <w:rFonts w:ascii="Arial" w:hAnsi="Arial" w:cs="Arial"/>
          <w:sz w:val="24"/>
          <w:szCs w:val="24"/>
          <w:lang w:val="en-GB"/>
        </w:rPr>
        <w:t xml:space="preserve"> release</w:t>
      </w:r>
      <w:r w:rsidR="009A59AA">
        <w:rPr>
          <w:rFonts w:ascii="Arial" w:hAnsi="Arial" w:cs="Arial"/>
          <w:sz w:val="24"/>
          <w:szCs w:val="24"/>
          <w:lang w:val="en-GB"/>
        </w:rPr>
        <w:t xml:space="preserve">. Were she to do so she would be </w:t>
      </w:r>
      <w:r w:rsidR="00E734D7">
        <w:rPr>
          <w:rFonts w:ascii="Arial" w:hAnsi="Arial" w:cs="Arial"/>
          <w:sz w:val="24"/>
          <w:szCs w:val="24"/>
          <w:lang w:val="en-GB"/>
        </w:rPr>
        <w:t>require</w:t>
      </w:r>
      <w:r w:rsidR="009A59AA">
        <w:rPr>
          <w:rFonts w:ascii="Arial" w:hAnsi="Arial" w:cs="Arial"/>
          <w:sz w:val="24"/>
          <w:szCs w:val="24"/>
          <w:lang w:val="en-GB"/>
        </w:rPr>
        <w:t>d</w:t>
      </w:r>
      <w:r w:rsidR="00E734D7">
        <w:rPr>
          <w:rFonts w:ascii="Arial" w:hAnsi="Arial" w:cs="Arial"/>
          <w:sz w:val="24"/>
          <w:szCs w:val="24"/>
          <w:lang w:val="en-GB"/>
        </w:rPr>
        <w:t xml:space="preserve"> to prove that they were in fact her separate property</w:t>
      </w:r>
      <w:r w:rsidR="005461B7">
        <w:rPr>
          <w:rFonts w:ascii="Arial" w:hAnsi="Arial" w:cs="Arial"/>
          <w:sz w:val="24"/>
          <w:szCs w:val="24"/>
          <w:lang w:val="en-GB"/>
        </w:rPr>
        <w:t xml:space="preserve"> and </w:t>
      </w:r>
      <w:r w:rsidR="009A59AA">
        <w:rPr>
          <w:rFonts w:ascii="Arial" w:hAnsi="Arial" w:cs="Arial"/>
          <w:sz w:val="24"/>
          <w:szCs w:val="24"/>
          <w:lang w:val="en-GB"/>
        </w:rPr>
        <w:t xml:space="preserve">that the </w:t>
      </w:r>
      <w:r w:rsidR="005461B7">
        <w:rPr>
          <w:rFonts w:ascii="Arial" w:hAnsi="Arial" w:cs="Arial"/>
          <w:sz w:val="24"/>
          <w:szCs w:val="24"/>
          <w:lang w:val="en-GB"/>
        </w:rPr>
        <w:t>transactions in</w:t>
      </w:r>
      <w:r w:rsidR="009A59AA">
        <w:rPr>
          <w:rFonts w:ascii="Arial" w:hAnsi="Arial" w:cs="Arial"/>
          <w:sz w:val="24"/>
          <w:szCs w:val="24"/>
          <w:lang w:val="en-GB"/>
        </w:rPr>
        <w:t xml:space="preserve"> terms of</w:t>
      </w:r>
      <w:r w:rsidR="005461B7">
        <w:rPr>
          <w:rFonts w:ascii="Arial" w:hAnsi="Arial" w:cs="Arial"/>
          <w:sz w:val="24"/>
          <w:szCs w:val="24"/>
          <w:lang w:val="en-GB"/>
        </w:rPr>
        <w:t xml:space="preserve"> which she acquired the</w:t>
      </w:r>
      <w:r w:rsidR="00E14E13">
        <w:rPr>
          <w:rFonts w:ascii="Arial" w:hAnsi="Arial" w:cs="Arial"/>
          <w:sz w:val="24"/>
          <w:szCs w:val="24"/>
          <w:lang w:val="en-GB"/>
        </w:rPr>
        <w:t>m</w:t>
      </w:r>
      <w:r w:rsidR="005461B7">
        <w:rPr>
          <w:rFonts w:ascii="Arial" w:hAnsi="Arial" w:cs="Arial"/>
          <w:sz w:val="24"/>
          <w:szCs w:val="24"/>
          <w:lang w:val="en-GB"/>
        </w:rPr>
        <w:t xml:space="preserve"> were not simulated or designed to defeat the rights of creditors in the event of her husband’s insolvency</w:t>
      </w:r>
      <w:r>
        <w:rPr>
          <w:rFonts w:ascii="Arial" w:hAnsi="Arial" w:cs="Arial"/>
          <w:sz w:val="24"/>
          <w:szCs w:val="24"/>
          <w:lang w:val="en-GB"/>
        </w:rPr>
        <w:t>.</w:t>
      </w:r>
      <w:r w:rsidR="00E734D7">
        <w:rPr>
          <w:rStyle w:val="FootnoteReference"/>
          <w:rFonts w:ascii="Arial" w:hAnsi="Arial" w:cs="Arial"/>
          <w:sz w:val="24"/>
          <w:szCs w:val="24"/>
          <w:lang w:val="en-GB"/>
        </w:rPr>
        <w:footnoteReference w:id="8"/>
      </w:r>
      <w:r>
        <w:rPr>
          <w:rFonts w:ascii="Arial" w:hAnsi="Arial" w:cs="Arial"/>
          <w:sz w:val="24"/>
          <w:szCs w:val="24"/>
          <w:lang w:val="en-GB"/>
        </w:rPr>
        <w:t xml:space="preserve"> </w:t>
      </w:r>
      <w:r w:rsidR="005461B7">
        <w:rPr>
          <w:rFonts w:ascii="Arial" w:hAnsi="Arial" w:cs="Arial"/>
          <w:sz w:val="24"/>
          <w:szCs w:val="24"/>
          <w:lang w:val="en-GB"/>
        </w:rPr>
        <w:t>In these circumstances, t</w:t>
      </w:r>
      <w:r w:rsidR="00E734D7">
        <w:rPr>
          <w:rFonts w:ascii="Arial" w:hAnsi="Arial" w:cs="Arial"/>
          <w:sz w:val="24"/>
          <w:szCs w:val="24"/>
          <w:lang w:val="en-GB"/>
        </w:rPr>
        <w:t xml:space="preserve">he submission by counsel for the applicant that investigation into the source of the funds to </w:t>
      </w:r>
      <w:r w:rsidR="009A59AA">
        <w:rPr>
          <w:rFonts w:ascii="Arial" w:hAnsi="Arial" w:cs="Arial"/>
          <w:sz w:val="24"/>
          <w:szCs w:val="24"/>
          <w:lang w:val="en-GB"/>
        </w:rPr>
        <w:t xml:space="preserve">purchase </w:t>
      </w:r>
      <w:r w:rsidR="00E734D7">
        <w:rPr>
          <w:rFonts w:ascii="Arial" w:hAnsi="Arial" w:cs="Arial"/>
          <w:sz w:val="24"/>
          <w:szCs w:val="24"/>
          <w:lang w:val="en-GB"/>
        </w:rPr>
        <w:t xml:space="preserve">these properties </w:t>
      </w:r>
      <w:r w:rsidR="004F6C22">
        <w:rPr>
          <w:rFonts w:ascii="Arial" w:hAnsi="Arial" w:cs="Arial"/>
          <w:sz w:val="24"/>
          <w:szCs w:val="24"/>
          <w:lang w:val="en-GB"/>
        </w:rPr>
        <w:t xml:space="preserve">may </w:t>
      </w:r>
      <w:r w:rsidR="00E734D7">
        <w:rPr>
          <w:rFonts w:ascii="Arial" w:hAnsi="Arial" w:cs="Arial"/>
          <w:sz w:val="24"/>
          <w:szCs w:val="24"/>
          <w:lang w:val="en-GB"/>
        </w:rPr>
        <w:t>reveal</w:t>
      </w:r>
      <w:r w:rsidR="004F6C22">
        <w:rPr>
          <w:rFonts w:ascii="Arial" w:hAnsi="Arial" w:cs="Arial"/>
          <w:sz w:val="24"/>
          <w:szCs w:val="24"/>
          <w:lang w:val="en-GB"/>
        </w:rPr>
        <w:t xml:space="preserve"> that the</w:t>
      </w:r>
      <w:r w:rsidR="00E734D7">
        <w:rPr>
          <w:rFonts w:ascii="Arial" w:hAnsi="Arial" w:cs="Arial"/>
          <w:sz w:val="24"/>
          <w:szCs w:val="24"/>
          <w:lang w:val="en-GB"/>
        </w:rPr>
        <w:t xml:space="preserve">y </w:t>
      </w:r>
      <w:r w:rsidR="004F6C22">
        <w:rPr>
          <w:rFonts w:ascii="Arial" w:hAnsi="Arial" w:cs="Arial"/>
          <w:sz w:val="24"/>
          <w:szCs w:val="24"/>
          <w:lang w:val="en-GB"/>
        </w:rPr>
        <w:t xml:space="preserve">were acquired with some of the funds received </w:t>
      </w:r>
      <w:r w:rsidR="00E734D7">
        <w:rPr>
          <w:rFonts w:ascii="Arial" w:hAnsi="Arial" w:cs="Arial"/>
          <w:sz w:val="24"/>
          <w:szCs w:val="24"/>
          <w:lang w:val="en-GB"/>
        </w:rPr>
        <w:t xml:space="preserve">by the respondent </w:t>
      </w:r>
      <w:r w:rsidR="004F6C22">
        <w:rPr>
          <w:rFonts w:ascii="Arial" w:hAnsi="Arial" w:cs="Arial"/>
          <w:sz w:val="24"/>
          <w:szCs w:val="24"/>
          <w:lang w:val="en-GB"/>
        </w:rPr>
        <w:t>from Rokwil</w:t>
      </w:r>
      <w:r w:rsidR="00E734D7">
        <w:rPr>
          <w:rFonts w:ascii="Arial" w:hAnsi="Arial" w:cs="Arial"/>
          <w:sz w:val="24"/>
          <w:szCs w:val="24"/>
          <w:lang w:val="en-GB"/>
        </w:rPr>
        <w:t xml:space="preserve"> is not </w:t>
      </w:r>
      <w:r w:rsidR="009A59AA">
        <w:rPr>
          <w:rFonts w:ascii="Arial" w:hAnsi="Arial" w:cs="Arial"/>
          <w:sz w:val="24"/>
          <w:szCs w:val="24"/>
          <w:lang w:val="en-GB"/>
        </w:rPr>
        <w:t xml:space="preserve">at all </w:t>
      </w:r>
      <w:r w:rsidR="00E734D7">
        <w:rPr>
          <w:rFonts w:ascii="Arial" w:hAnsi="Arial" w:cs="Arial"/>
          <w:sz w:val="24"/>
          <w:szCs w:val="24"/>
          <w:lang w:val="en-GB"/>
        </w:rPr>
        <w:t xml:space="preserve">far-fetched. </w:t>
      </w:r>
    </w:p>
    <w:p w:rsidR="002A169D" w:rsidRDefault="002A169D" w:rsidP="002A169D">
      <w:pPr>
        <w:pStyle w:val="ListParagraph"/>
        <w:rPr>
          <w:rFonts w:ascii="Arial" w:hAnsi="Arial" w:cs="Arial"/>
          <w:sz w:val="24"/>
          <w:szCs w:val="24"/>
          <w:lang w:val="en-GB"/>
        </w:rPr>
      </w:pPr>
    </w:p>
    <w:p w:rsidR="004F3583" w:rsidRDefault="00E734D7" w:rsidP="00162245">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All these</w:t>
      </w:r>
      <w:r w:rsidR="00685706">
        <w:rPr>
          <w:rFonts w:ascii="Arial" w:hAnsi="Arial" w:cs="Arial"/>
          <w:sz w:val="24"/>
          <w:szCs w:val="24"/>
          <w:lang w:val="en-GB"/>
        </w:rPr>
        <w:t xml:space="preserve"> matters</w:t>
      </w:r>
      <w:r w:rsidR="003345A8">
        <w:rPr>
          <w:rFonts w:ascii="Arial" w:hAnsi="Arial" w:cs="Arial"/>
          <w:sz w:val="24"/>
          <w:szCs w:val="24"/>
          <w:lang w:val="en-GB"/>
        </w:rPr>
        <w:t>, together with t</w:t>
      </w:r>
      <w:r w:rsidR="004D738F">
        <w:rPr>
          <w:rFonts w:ascii="Arial" w:hAnsi="Arial" w:cs="Arial"/>
          <w:sz w:val="24"/>
          <w:szCs w:val="24"/>
          <w:lang w:val="en-GB"/>
        </w:rPr>
        <w:t xml:space="preserve">he nature of the flows of funds, their significant </w:t>
      </w:r>
      <w:r w:rsidR="004D738F" w:rsidRPr="00E14E13">
        <w:rPr>
          <w:rFonts w:ascii="Arial" w:hAnsi="Arial" w:cs="Arial"/>
          <w:sz w:val="24"/>
          <w:szCs w:val="24"/>
          <w:lang w:val="en-GB"/>
        </w:rPr>
        <w:t xml:space="preserve">magnitude and </w:t>
      </w:r>
      <w:r w:rsidR="009823C9">
        <w:rPr>
          <w:rFonts w:ascii="Arial" w:hAnsi="Arial" w:cs="Arial"/>
          <w:sz w:val="24"/>
          <w:szCs w:val="24"/>
          <w:lang w:val="en-GB"/>
        </w:rPr>
        <w:t>the scant</w:t>
      </w:r>
      <w:r w:rsidR="00E14E13" w:rsidRPr="00E14E13">
        <w:rPr>
          <w:rFonts w:ascii="Arial" w:hAnsi="Arial" w:cs="Arial"/>
          <w:sz w:val="24"/>
          <w:szCs w:val="24"/>
          <w:lang w:val="en-GB"/>
        </w:rPr>
        <w:t xml:space="preserve"> or total</w:t>
      </w:r>
      <w:r w:rsidR="004D738F" w:rsidRPr="00E14E13">
        <w:rPr>
          <w:rFonts w:ascii="Arial" w:hAnsi="Arial" w:cs="Arial"/>
          <w:sz w:val="24"/>
          <w:szCs w:val="24"/>
          <w:lang w:val="en-GB"/>
        </w:rPr>
        <w:t xml:space="preserve"> </w:t>
      </w:r>
      <w:r w:rsidR="003345A8" w:rsidRPr="00E14E13">
        <w:rPr>
          <w:rFonts w:ascii="Arial" w:hAnsi="Arial" w:cs="Arial"/>
          <w:sz w:val="24"/>
          <w:szCs w:val="24"/>
          <w:lang w:val="en-GB"/>
        </w:rPr>
        <w:t xml:space="preserve">lack </w:t>
      </w:r>
      <w:r w:rsidR="004D738F" w:rsidRPr="00E14E13">
        <w:rPr>
          <w:rFonts w:ascii="Arial" w:hAnsi="Arial" w:cs="Arial"/>
          <w:sz w:val="24"/>
          <w:szCs w:val="24"/>
          <w:lang w:val="en-GB"/>
        </w:rPr>
        <w:t>of information provided</w:t>
      </w:r>
      <w:r w:rsidR="004D738F">
        <w:rPr>
          <w:rFonts w:ascii="Arial" w:hAnsi="Arial" w:cs="Arial"/>
          <w:sz w:val="24"/>
          <w:szCs w:val="24"/>
          <w:lang w:val="en-GB"/>
        </w:rPr>
        <w:t xml:space="preserve"> by the </w:t>
      </w:r>
      <w:r w:rsidR="004D738F" w:rsidRPr="004F6C22">
        <w:rPr>
          <w:rFonts w:ascii="Arial" w:hAnsi="Arial" w:cs="Arial"/>
          <w:sz w:val="24"/>
          <w:szCs w:val="24"/>
          <w:lang w:val="en-GB"/>
        </w:rPr>
        <w:t xml:space="preserve">respondent </w:t>
      </w:r>
      <w:r w:rsidR="000855A0" w:rsidRPr="004F6C22">
        <w:rPr>
          <w:rFonts w:ascii="Arial" w:hAnsi="Arial" w:cs="Arial"/>
          <w:sz w:val="24"/>
          <w:szCs w:val="24"/>
          <w:lang w:val="en-GB"/>
        </w:rPr>
        <w:t>warrant</w:t>
      </w:r>
      <w:r w:rsidR="004F6C22" w:rsidRPr="004F6C22">
        <w:rPr>
          <w:rFonts w:ascii="Arial" w:hAnsi="Arial" w:cs="Arial"/>
          <w:sz w:val="24"/>
          <w:szCs w:val="24"/>
          <w:lang w:val="en-GB"/>
        </w:rPr>
        <w:t xml:space="preserve"> </w:t>
      </w:r>
      <w:r w:rsidR="000855A0" w:rsidRPr="004F6C22">
        <w:rPr>
          <w:rFonts w:ascii="Arial" w:hAnsi="Arial" w:cs="Arial"/>
          <w:sz w:val="24"/>
          <w:szCs w:val="24"/>
          <w:lang w:val="en-GB"/>
        </w:rPr>
        <w:t>investigation</w:t>
      </w:r>
      <w:r w:rsidR="00EB2375">
        <w:rPr>
          <w:rFonts w:ascii="Arial" w:hAnsi="Arial" w:cs="Arial"/>
          <w:sz w:val="24"/>
          <w:szCs w:val="24"/>
          <w:lang w:val="en-GB"/>
        </w:rPr>
        <w:t xml:space="preserve"> a</w:t>
      </w:r>
      <w:r w:rsidR="004F6C22">
        <w:rPr>
          <w:rFonts w:ascii="Arial" w:hAnsi="Arial" w:cs="Arial"/>
          <w:sz w:val="24"/>
          <w:szCs w:val="24"/>
          <w:lang w:val="en-GB"/>
        </w:rPr>
        <w:t>nd s</w:t>
      </w:r>
      <w:r w:rsidR="00EB2375">
        <w:rPr>
          <w:rFonts w:ascii="Arial" w:hAnsi="Arial" w:cs="Arial"/>
          <w:sz w:val="24"/>
          <w:szCs w:val="24"/>
          <w:lang w:val="en-GB"/>
        </w:rPr>
        <w:t>atisfy me</w:t>
      </w:r>
      <w:r w:rsidR="004F6C22">
        <w:rPr>
          <w:rFonts w:ascii="Arial" w:hAnsi="Arial" w:cs="Arial"/>
          <w:sz w:val="24"/>
          <w:szCs w:val="24"/>
          <w:lang w:val="en-GB"/>
        </w:rPr>
        <w:t xml:space="preserve"> that there is </w:t>
      </w:r>
      <w:r w:rsidR="00EB2375">
        <w:rPr>
          <w:rFonts w:ascii="Arial" w:hAnsi="Arial" w:cs="Arial"/>
          <w:sz w:val="24"/>
          <w:szCs w:val="24"/>
          <w:lang w:val="en-GB"/>
        </w:rPr>
        <w:t xml:space="preserve">a </w:t>
      </w:r>
      <w:r w:rsidR="004F6C22">
        <w:rPr>
          <w:rFonts w:ascii="Arial" w:hAnsi="Arial" w:cs="Arial"/>
          <w:sz w:val="24"/>
          <w:szCs w:val="24"/>
          <w:lang w:val="en-GB"/>
        </w:rPr>
        <w:t>not too remote a prospect of the recovery of assets through a process of an enquiry</w:t>
      </w:r>
      <w:r w:rsidR="00EB2375">
        <w:rPr>
          <w:rFonts w:ascii="Arial" w:hAnsi="Arial" w:cs="Arial"/>
          <w:sz w:val="24"/>
          <w:szCs w:val="24"/>
          <w:lang w:val="en-GB"/>
        </w:rPr>
        <w:t>.</w:t>
      </w:r>
      <w:r w:rsidR="004F6C22">
        <w:rPr>
          <w:rStyle w:val="FootnoteReference"/>
          <w:rFonts w:ascii="Arial" w:hAnsi="Arial" w:cs="Arial"/>
          <w:sz w:val="24"/>
          <w:szCs w:val="24"/>
          <w:lang w:val="en-GB"/>
        </w:rPr>
        <w:footnoteReference w:id="9"/>
      </w:r>
      <w:r w:rsidR="00EB2375">
        <w:rPr>
          <w:rFonts w:ascii="Arial" w:hAnsi="Arial" w:cs="Arial"/>
          <w:sz w:val="24"/>
          <w:szCs w:val="24"/>
          <w:lang w:val="en-GB"/>
        </w:rPr>
        <w:t xml:space="preserve"> </w:t>
      </w:r>
    </w:p>
    <w:p w:rsidR="004F3583" w:rsidRDefault="004F3583" w:rsidP="004F3583">
      <w:pPr>
        <w:pStyle w:val="ListParagraph"/>
        <w:rPr>
          <w:rFonts w:ascii="Arial" w:hAnsi="Arial" w:cs="Arial"/>
          <w:sz w:val="24"/>
          <w:szCs w:val="24"/>
          <w:lang w:val="en-GB"/>
        </w:rPr>
      </w:pPr>
    </w:p>
    <w:p w:rsidR="002A169D" w:rsidRDefault="00162245" w:rsidP="00162245">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It is of course difficult to assess in circumstances like the present what dividend would result if assets were recovered</w:t>
      </w:r>
      <w:r w:rsidR="004F3583">
        <w:rPr>
          <w:rFonts w:ascii="Arial" w:hAnsi="Arial" w:cs="Arial"/>
          <w:sz w:val="24"/>
          <w:szCs w:val="24"/>
          <w:lang w:val="en-GB"/>
        </w:rPr>
        <w:t>. T</w:t>
      </w:r>
      <w:r>
        <w:rPr>
          <w:rFonts w:ascii="Arial" w:hAnsi="Arial" w:cs="Arial"/>
          <w:sz w:val="24"/>
          <w:szCs w:val="24"/>
          <w:lang w:val="en-GB"/>
        </w:rPr>
        <w:t xml:space="preserve">here is no absolute rule that sequestration will not be to the advantage of creditors if the likely dividend is below a certain number of cents in the rand. The claims against the respondent are significant, but so are the funds he and his wife received. </w:t>
      </w:r>
      <w:r w:rsidR="001E07B0" w:rsidRPr="00162245">
        <w:rPr>
          <w:rFonts w:ascii="Arial" w:hAnsi="Arial" w:cs="Arial"/>
          <w:sz w:val="24"/>
          <w:szCs w:val="24"/>
          <w:lang w:val="en-GB"/>
        </w:rPr>
        <w:t xml:space="preserve">If recovery were to encompass the R 63 million received by the respondent and the R 2 million retained by his wife, that would yield a dividend of between 13.5 and 17 cents in the rand depending on whether the respondent’s contingent liabilities are at the top or bottom of the range he </w:t>
      </w:r>
      <w:r w:rsidRPr="00162245">
        <w:rPr>
          <w:rFonts w:ascii="Arial" w:hAnsi="Arial" w:cs="Arial"/>
          <w:sz w:val="24"/>
          <w:szCs w:val="24"/>
          <w:lang w:val="en-GB"/>
        </w:rPr>
        <w:t xml:space="preserve">states. </w:t>
      </w:r>
    </w:p>
    <w:p w:rsidR="00AD23F7" w:rsidRPr="00162245" w:rsidRDefault="00AD23F7" w:rsidP="00AD23F7">
      <w:pPr>
        <w:spacing w:after="0" w:line="360" w:lineRule="auto"/>
        <w:jc w:val="both"/>
        <w:rPr>
          <w:rFonts w:ascii="Arial" w:hAnsi="Arial" w:cs="Arial"/>
          <w:sz w:val="24"/>
          <w:szCs w:val="24"/>
          <w:lang w:val="en-GB"/>
        </w:rPr>
      </w:pPr>
    </w:p>
    <w:p w:rsidR="000C6613" w:rsidRPr="00854E4F" w:rsidRDefault="00EB2375" w:rsidP="000C6613">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It follows that there is reason to believe that the sequestration of the respondent’s estate will be to the advantage of creditors as envisaged in section 12(1)(c)of the Insolvency Act, and that I should grant a final order</w:t>
      </w:r>
      <w:r w:rsidRPr="00EB2375">
        <w:rPr>
          <w:rFonts w:ascii="Arial" w:hAnsi="Arial" w:cs="Arial"/>
          <w:sz w:val="24"/>
          <w:szCs w:val="24"/>
          <w:lang w:val="en-GB"/>
        </w:rPr>
        <w:t xml:space="preserve">, unless the respondent’s contentions that there are other </w:t>
      </w:r>
      <w:r>
        <w:rPr>
          <w:rFonts w:ascii="Arial" w:hAnsi="Arial" w:cs="Arial"/>
          <w:sz w:val="24"/>
          <w:szCs w:val="24"/>
          <w:lang w:val="en-GB"/>
        </w:rPr>
        <w:t xml:space="preserve">satisfactory </w:t>
      </w:r>
      <w:r w:rsidRPr="00EB2375">
        <w:rPr>
          <w:rFonts w:ascii="Arial" w:hAnsi="Arial" w:cs="Arial"/>
          <w:sz w:val="24"/>
          <w:szCs w:val="24"/>
          <w:lang w:val="en-GB"/>
        </w:rPr>
        <w:t>means of having an enquiry which are preferable to sequestration have merit.</w:t>
      </w:r>
      <w:r w:rsidR="00162245">
        <w:rPr>
          <w:rFonts w:ascii="Arial" w:hAnsi="Arial" w:cs="Arial"/>
          <w:sz w:val="24"/>
          <w:szCs w:val="24"/>
          <w:lang w:val="en-GB"/>
        </w:rPr>
        <w:t xml:space="preserve"> I therefore deal which each of the three alternatives he proposes</w:t>
      </w:r>
    </w:p>
    <w:p w:rsidR="002A169D" w:rsidRPr="006B34D2" w:rsidRDefault="00F87157" w:rsidP="006B34D2">
      <w:pPr>
        <w:spacing w:after="0" w:line="360" w:lineRule="auto"/>
        <w:jc w:val="both"/>
        <w:rPr>
          <w:rFonts w:ascii="Arial" w:hAnsi="Arial" w:cs="Arial"/>
          <w:sz w:val="24"/>
          <w:szCs w:val="24"/>
          <w:lang w:val="en-GB"/>
        </w:rPr>
      </w:pPr>
      <w:r w:rsidRPr="006B34D2">
        <w:rPr>
          <w:rFonts w:ascii="Arial" w:hAnsi="Arial" w:cs="Arial"/>
          <w:sz w:val="24"/>
          <w:szCs w:val="24"/>
          <w:lang w:val="en-GB"/>
        </w:rPr>
        <w:tab/>
      </w:r>
    </w:p>
    <w:p w:rsidR="00F87157" w:rsidRPr="00F02FD6" w:rsidRDefault="00F87157" w:rsidP="00F247EC">
      <w:pPr>
        <w:spacing w:line="480" w:lineRule="auto"/>
        <w:jc w:val="both"/>
        <w:rPr>
          <w:rFonts w:ascii="Arial" w:hAnsi="Arial" w:cs="Arial"/>
          <w:b/>
          <w:bCs/>
          <w:sz w:val="24"/>
          <w:szCs w:val="24"/>
          <w:lang w:val="en-GB"/>
        </w:rPr>
      </w:pPr>
      <w:r w:rsidRPr="00F02FD6">
        <w:rPr>
          <w:rFonts w:ascii="Arial" w:hAnsi="Arial" w:cs="Arial"/>
          <w:b/>
          <w:bCs/>
          <w:sz w:val="24"/>
          <w:szCs w:val="24"/>
          <w:lang w:val="en-GB"/>
        </w:rPr>
        <w:t>A</w:t>
      </w:r>
      <w:r w:rsidR="00683D20" w:rsidRPr="00F02FD6">
        <w:rPr>
          <w:rFonts w:ascii="Arial" w:hAnsi="Arial" w:cs="Arial"/>
          <w:b/>
          <w:bCs/>
          <w:sz w:val="24"/>
          <w:szCs w:val="24"/>
          <w:lang w:val="en-GB"/>
        </w:rPr>
        <w:t>n</w:t>
      </w:r>
      <w:r w:rsidR="00F14DEB" w:rsidRPr="00F02FD6">
        <w:rPr>
          <w:rFonts w:ascii="Arial" w:hAnsi="Arial" w:cs="Arial"/>
          <w:b/>
          <w:bCs/>
          <w:sz w:val="24"/>
          <w:szCs w:val="24"/>
          <w:lang w:val="en-GB"/>
        </w:rPr>
        <w:t xml:space="preserve"> </w:t>
      </w:r>
      <w:r w:rsidRPr="00F02FD6">
        <w:rPr>
          <w:rFonts w:ascii="Arial" w:hAnsi="Arial" w:cs="Arial"/>
          <w:b/>
          <w:bCs/>
          <w:sz w:val="24"/>
          <w:szCs w:val="24"/>
          <w:lang w:val="en-GB"/>
        </w:rPr>
        <w:t xml:space="preserve">enquiry in </w:t>
      </w:r>
      <w:r w:rsidR="00683D20" w:rsidRPr="00F02FD6">
        <w:rPr>
          <w:rFonts w:ascii="Arial" w:hAnsi="Arial" w:cs="Arial"/>
          <w:b/>
          <w:bCs/>
          <w:sz w:val="24"/>
          <w:szCs w:val="24"/>
          <w:lang w:val="en-GB"/>
        </w:rPr>
        <w:t xml:space="preserve">the </w:t>
      </w:r>
      <w:r w:rsidRPr="00F02FD6">
        <w:rPr>
          <w:rFonts w:ascii="Arial" w:hAnsi="Arial" w:cs="Arial"/>
          <w:b/>
          <w:bCs/>
          <w:sz w:val="24"/>
          <w:szCs w:val="24"/>
          <w:lang w:val="en-GB"/>
        </w:rPr>
        <w:t>Rokwil</w:t>
      </w:r>
      <w:r w:rsidR="00683D20" w:rsidRPr="00F02FD6">
        <w:rPr>
          <w:rFonts w:ascii="Arial" w:hAnsi="Arial" w:cs="Arial"/>
          <w:b/>
          <w:bCs/>
          <w:sz w:val="24"/>
          <w:szCs w:val="24"/>
          <w:lang w:val="en-GB"/>
        </w:rPr>
        <w:t xml:space="preserve"> liquidation</w:t>
      </w:r>
    </w:p>
    <w:p w:rsidR="00FE1C5A" w:rsidRDefault="00F247EC"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162245">
        <w:rPr>
          <w:rFonts w:ascii="Arial" w:hAnsi="Arial" w:cs="Arial"/>
          <w:sz w:val="24"/>
          <w:szCs w:val="24"/>
          <w:lang w:val="en-GB"/>
        </w:rPr>
        <w:t xml:space="preserve">respondent’s </w:t>
      </w:r>
      <w:r>
        <w:rPr>
          <w:rFonts w:ascii="Arial" w:hAnsi="Arial" w:cs="Arial"/>
          <w:sz w:val="24"/>
          <w:szCs w:val="24"/>
          <w:lang w:val="en-GB"/>
        </w:rPr>
        <w:t xml:space="preserve">first </w:t>
      </w:r>
      <w:r w:rsidR="00162245">
        <w:rPr>
          <w:rFonts w:ascii="Arial" w:hAnsi="Arial" w:cs="Arial"/>
          <w:sz w:val="24"/>
          <w:szCs w:val="24"/>
          <w:lang w:val="en-GB"/>
        </w:rPr>
        <w:t xml:space="preserve">proposal </w:t>
      </w:r>
      <w:r>
        <w:rPr>
          <w:rFonts w:ascii="Arial" w:hAnsi="Arial" w:cs="Arial"/>
          <w:sz w:val="24"/>
          <w:szCs w:val="24"/>
          <w:lang w:val="en-GB"/>
        </w:rPr>
        <w:t xml:space="preserve">is that </w:t>
      </w:r>
      <w:r w:rsidR="00DE3EC7">
        <w:rPr>
          <w:rFonts w:ascii="Arial" w:hAnsi="Arial" w:cs="Arial"/>
          <w:sz w:val="24"/>
          <w:szCs w:val="24"/>
          <w:lang w:val="en-GB"/>
        </w:rPr>
        <w:t>there could be interrogation proceedings in the winding up of Rokwil</w:t>
      </w:r>
      <w:r>
        <w:rPr>
          <w:rFonts w:ascii="Arial" w:hAnsi="Arial" w:cs="Arial"/>
          <w:sz w:val="24"/>
          <w:szCs w:val="24"/>
          <w:lang w:val="en-GB"/>
        </w:rPr>
        <w:t>.</w:t>
      </w:r>
      <w:r w:rsidR="00FE1C5A">
        <w:rPr>
          <w:rFonts w:ascii="Arial" w:hAnsi="Arial" w:cs="Arial"/>
          <w:sz w:val="24"/>
          <w:szCs w:val="24"/>
          <w:lang w:val="en-GB"/>
        </w:rPr>
        <w:t xml:space="preserve"> </w:t>
      </w:r>
      <w:r w:rsidR="00683D20">
        <w:rPr>
          <w:rFonts w:ascii="Arial" w:hAnsi="Arial" w:cs="Arial"/>
          <w:sz w:val="24"/>
          <w:szCs w:val="24"/>
          <w:lang w:val="en-GB"/>
        </w:rPr>
        <w:t>Section 415(1) of the</w:t>
      </w:r>
      <w:r w:rsidR="00113364">
        <w:rPr>
          <w:rFonts w:ascii="Arial" w:hAnsi="Arial" w:cs="Arial"/>
          <w:sz w:val="24"/>
          <w:szCs w:val="24"/>
          <w:lang w:val="en-GB"/>
        </w:rPr>
        <w:t xml:space="preserve"> </w:t>
      </w:r>
      <w:r w:rsidR="00683D20">
        <w:rPr>
          <w:rFonts w:ascii="Arial" w:hAnsi="Arial" w:cs="Arial"/>
          <w:sz w:val="24"/>
          <w:szCs w:val="24"/>
          <w:lang w:val="en-GB"/>
        </w:rPr>
        <w:t xml:space="preserve">Companies Act </w:t>
      </w:r>
      <w:r w:rsidR="00113364">
        <w:rPr>
          <w:rFonts w:ascii="Arial" w:hAnsi="Arial" w:cs="Arial"/>
          <w:sz w:val="24"/>
          <w:szCs w:val="24"/>
          <w:lang w:val="en-GB"/>
        </w:rPr>
        <w:t xml:space="preserve">61 of 1973 </w:t>
      </w:r>
      <w:r w:rsidR="00683D20">
        <w:rPr>
          <w:rFonts w:ascii="Arial" w:hAnsi="Arial" w:cs="Arial"/>
          <w:sz w:val="24"/>
          <w:szCs w:val="24"/>
          <w:lang w:val="en-GB"/>
        </w:rPr>
        <w:t>permits interrogations ‘concerning all matters relating to the company, or its business or affairs… and concerning any property belonging to the company</w:t>
      </w:r>
      <w:r w:rsidR="00820DC3">
        <w:rPr>
          <w:rFonts w:ascii="Arial" w:hAnsi="Arial" w:cs="Arial"/>
          <w:sz w:val="24"/>
          <w:szCs w:val="24"/>
          <w:lang w:val="en-GB"/>
        </w:rPr>
        <w:t>.</w:t>
      </w:r>
      <w:r w:rsidR="00683D20">
        <w:rPr>
          <w:rFonts w:ascii="Arial" w:hAnsi="Arial" w:cs="Arial"/>
          <w:sz w:val="24"/>
          <w:szCs w:val="24"/>
          <w:lang w:val="en-GB"/>
        </w:rPr>
        <w:t xml:space="preserve">’ </w:t>
      </w:r>
      <w:r w:rsidR="00010EFF">
        <w:rPr>
          <w:rFonts w:ascii="Arial" w:hAnsi="Arial" w:cs="Arial"/>
          <w:sz w:val="24"/>
          <w:szCs w:val="24"/>
          <w:lang w:val="en-GB"/>
        </w:rPr>
        <w:t xml:space="preserve">Section 417 </w:t>
      </w:r>
      <w:r w:rsidR="0070723A">
        <w:rPr>
          <w:rFonts w:ascii="Arial" w:hAnsi="Arial" w:cs="Arial"/>
          <w:sz w:val="24"/>
          <w:szCs w:val="24"/>
          <w:lang w:val="en-GB"/>
        </w:rPr>
        <w:t xml:space="preserve">of the 1973 Companies Act is to similar effect insofar as the ambit of an enquiry is concerned, permitting interrogation ‘concerning the trade, dealings affairs and property of the company’. </w:t>
      </w:r>
      <w:r>
        <w:rPr>
          <w:rFonts w:ascii="Arial" w:hAnsi="Arial" w:cs="Arial"/>
          <w:sz w:val="24"/>
          <w:szCs w:val="24"/>
          <w:lang w:val="en-GB"/>
        </w:rPr>
        <w:t>Such proceedings could not investigate the matters highlighted in this judgment</w:t>
      </w:r>
      <w:r w:rsidR="00FE1C5A">
        <w:rPr>
          <w:rFonts w:ascii="Arial" w:hAnsi="Arial" w:cs="Arial"/>
          <w:sz w:val="24"/>
          <w:szCs w:val="24"/>
          <w:lang w:val="en-GB"/>
        </w:rPr>
        <w:t xml:space="preserve"> as </w:t>
      </w:r>
      <w:r>
        <w:rPr>
          <w:rFonts w:ascii="Arial" w:hAnsi="Arial" w:cs="Arial"/>
          <w:sz w:val="24"/>
          <w:szCs w:val="24"/>
          <w:lang w:val="en-GB"/>
        </w:rPr>
        <w:t>any interrogation in the Rokwil liquidation would perforce focus on Rokwil</w:t>
      </w:r>
      <w:r w:rsidR="00683D20">
        <w:rPr>
          <w:rFonts w:ascii="Arial" w:hAnsi="Arial" w:cs="Arial"/>
          <w:sz w:val="24"/>
          <w:szCs w:val="24"/>
          <w:lang w:val="en-GB"/>
        </w:rPr>
        <w:t xml:space="preserve">. It would be an abuse </w:t>
      </w:r>
      <w:r>
        <w:rPr>
          <w:rFonts w:ascii="Arial" w:hAnsi="Arial" w:cs="Arial"/>
          <w:sz w:val="24"/>
          <w:szCs w:val="24"/>
          <w:lang w:val="en-GB"/>
        </w:rPr>
        <w:t>for the focus to be di</w:t>
      </w:r>
      <w:r w:rsidR="00683D20">
        <w:rPr>
          <w:rFonts w:ascii="Arial" w:hAnsi="Arial" w:cs="Arial"/>
          <w:sz w:val="24"/>
          <w:szCs w:val="24"/>
          <w:lang w:val="en-GB"/>
        </w:rPr>
        <w:t>ver</w:t>
      </w:r>
      <w:r>
        <w:rPr>
          <w:rFonts w:ascii="Arial" w:hAnsi="Arial" w:cs="Arial"/>
          <w:sz w:val="24"/>
          <w:szCs w:val="24"/>
          <w:lang w:val="en-GB"/>
        </w:rPr>
        <w:t>ted to the respondent</w:t>
      </w:r>
      <w:r w:rsidR="00FE1C5A">
        <w:rPr>
          <w:rFonts w:ascii="Arial" w:hAnsi="Arial" w:cs="Arial"/>
          <w:sz w:val="24"/>
          <w:szCs w:val="24"/>
          <w:lang w:val="en-GB"/>
        </w:rPr>
        <w:t xml:space="preserve">. </w:t>
      </w:r>
      <w:r w:rsidR="00F02FD6">
        <w:rPr>
          <w:rFonts w:ascii="Arial" w:hAnsi="Arial" w:cs="Arial"/>
          <w:sz w:val="24"/>
          <w:szCs w:val="24"/>
          <w:lang w:val="en-GB"/>
        </w:rPr>
        <w:t>In any event, any information obtained during such an enquiry is not evidence, and if obtained from third parties would not be admissible against the respondent.</w:t>
      </w:r>
      <w:r w:rsidR="00F02FD6">
        <w:rPr>
          <w:rStyle w:val="FootnoteReference"/>
          <w:rFonts w:ascii="Arial" w:hAnsi="Arial" w:cs="Arial"/>
          <w:sz w:val="24"/>
          <w:szCs w:val="24"/>
          <w:lang w:val="en-GB"/>
        </w:rPr>
        <w:footnoteReference w:id="10"/>
      </w:r>
    </w:p>
    <w:p w:rsidR="002A169D" w:rsidRDefault="002A169D" w:rsidP="002A169D">
      <w:pPr>
        <w:spacing w:after="0" w:line="360" w:lineRule="auto"/>
        <w:jc w:val="both"/>
        <w:rPr>
          <w:rFonts w:ascii="Arial" w:hAnsi="Arial" w:cs="Arial"/>
          <w:sz w:val="24"/>
          <w:szCs w:val="24"/>
          <w:lang w:val="en-GB"/>
        </w:rPr>
      </w:pPr>
    </w:p>
    <w:p w:rsidR="00FE1C5A" w:rsidRPr="007A547F" w:rsidRDefault="00FE1C5A" w:rsidP="00B26884">
      <w:pPr>
        <w:numPr>
          <w:ilvl w:val="0"/>
          <w:numId w:val="2"/>
        </w:numPr>
        <w:spacing w:after="0" w:line="360" w:lineRule="auto"/>
        <w:jc w:val="both"/>
        <w:rPr>
          <w:rFonts w:ascii="Arial" w:hAnsi="Arial" w:cs="Arial"/>
          <w:color w:val="242121"/>
          <w:shd w:val="clear" w:color="auto" w:fill="FFFFFF"/>
        </w:rPr>
      </w:pPr>
      <w:r>
        <w:rPr>
          <w:rFonts w:ascii="Arial" w:hAnsi="Arial" w:cs="Arial"/>
          <w:sz w:val="24"/>
          <w:szCs w:val="24"/>
          <w:lang w:val="en-GB"/>
        </w:rPr>
        <w:t xml:space="preserve"> </w:t>
      </w:r>
      <w:r w:rsidR="00D77511">
        <w:rPr>
          <w:rFonts w:ascii="Arial" w:hAnsi="Arial" w:cs="Arial"/>
          <w:sz w:val="24"/>
          <w:szCs w:val="24"/>
          <w:lang w:val="en-GB"/>
        </w:rPr>
        <w:t>Th</w:t>
      </w:r>
      <w:r w:rsidR="000B35D9">
        <w:rPr>
          <w:rFonts w:ascii="Arial" w:hAnsi="Arial" w:cs="Arial"/>
          <w:sz w:val="24"/>
          <w:szCs w:val="24"/>
          <w:lang w:val="en-GB"/>
        </w:rPr>
        <w:t>e</w:t>
      </w:r>
      <w:r w:rsidR="00D77511">
        <w:rPr>
          <w:rFonts w:ascii="Arial" w:hAnsi="Arial" w:cs="Arial"/>
          <w:sz w:val="24"/>
          <w:szCs w:val="24"/>
          <w:lang w:val="en-GB"/>
        </w:rPr>
        <w:t xml:space="preserve"> possibility </w:t>
      </w:r>
      <w:r w:rsidR="000B35D9">
        <w:rPr>
          <w:rFonts w:ascii="Arial" w:hAnsi="Arial" w:cs="Arial"/>
          <w:sz w:val="24"/>
          <w:szCs w:val="24"/>
          <w:lang w:val="en-GB"/>
        </w:rPr>
        <w:t>that an enquiry could be held in the Rokwil liquidation is</w:t>
      </w:r>
      <w:r w:rsidR="00D77511">
        <w:rPr>
          <w:rFonts w:ascii="Arial" w:hAnsi="Arial" w:cs="Arial"/>
          <w:sz w:val="24"/>
          <w:szCs w:val="24"/>
          <w:lang w:val="en-GB"/>
        </w:rPr>
        <w:t xml:space="preserve"> therefore no reason to refuse a final order of sequestration for all the reasons articulated by Rogers J as </w:t>
      </w:r>
      <w:r w:rsidR="00D77511" w:rsidRPr="000B35D9">
        <w:rPr>
          <w:rFonts w:ascii="Arial" w:hAnsi="Arial" w:cs="Arial"/>
          <w:sz w:val="24"/>
          <w:szCs w:val="24"/>
          <w:lang w:val="en-GB"/>
        </w:rPr>
        <w:t xml:space="preserve">follows in </w:t>
      </w:r>
      <w:r w:rsidR="000B35D9" w:rsidRPr="000B35D9">
        <w:rPr>
          <w:rFonts w:ascii="Arial" w:hAnsi="Arial" w:cs="Arial"/>
          <w:i/>
          <w:iCs/>
          <w:color w:val="000000" w:themeColor="text1"/>
          <w:sz w:val="24"/>
          <w:szCs w:val="24"/>
          <w:lang w:val="en-GB"/>
        </w:rPr>
        <w:t>In</w:t>
      </w:r>
      <w:r w:rsidR="000B35D9" w:rsidRPr="000B35D9">
        <w:rPr>
          <w:rFonts w:ascii="Arial" w:hAnsi="Arial" w:cs="Arial"/>
          <w:i/>
          <w:iCs/>
          <w:color w:val="000000" w:themeColor="text1"/>
          <w:sz w:val="24"/>
          <w:szCs w:val="24"/>
        </w:rPr>
        <w:t xml:space="preserve">dustrial Development Corporation of South </w:t>
      </w:r>
      <w:r w:rsidR="000B35D9" w:rsidRPr="00B26884">
        <w:rPr>
          <w:rFonts w:ascii="Arial" w:hAnsi="Arial" w:cs="Arial"/>
          <w:sz w:val="24"/>
          <w:szCs w:val="24"/>
          <w:lang w:val="en-GB"/>
        </w:rPr>
        <w:t>Africa Ltd v Burger and Another (10679/13 &amp; 10680/13) [2014] ZAWCHC 23 (4 March 2014):-</w:t>
      </w:r>
    </w:p>
    <w:p w:rsidR="00F247EC" w:rsidRPr="007A547F" w:rsidRDefault="00D77511" w:rsidP="007A547F">
      <w:pPr>
        <w:spacing w:after="0" w:line="360" w:lineRule="auto"/>
        <w:ind w:left="1418" w:right="970"/>
        <w:jc w:val="both"/>
        <w:rPr>
          <w:rFonts w:ascii="Arial" w:hAnsi="Arial" w:cs="Arial"/>
          <w:color w:val="242121"/>
          <w:shd w:val="clear" w:color="auto" w:fill="FFFFFF"/>
        </w:rPr>
      </w:pPr>
      <w:r w:rsidRPr="007A547F">
        <w:rPr>
          <w:rFonts w:ascii="Arial" w:hAnsi="Arial" w:cs="Arial"/>
          <w:color w:val="242121"/>
          <w:shd w:val="clear" w:color="auto" w:fill="FFFFFF"/>
        </w:rPr>
        <w:t>‘[</w:t>
      </w:r>
      <w:r w:rsidR="00FE1C5A" w:rsidRPr="007A547F">
        <w:rPr>
          <w:rFonts w:ascii="Arial" w:hAnsi="Arial" w:cs="Arial"/>
          <w:color w:val="242121"/>
          <w:shd w:val="clear" w:color="auto" w:fill="FFFFFF"/>
        </w:rPr>
        <w:t>13]</w:t>
      </w:r>
      <w:r w:rsidR="00EE262D" w:rsidRPr="007A547F">
        <w:rPr>
          <w:rFonts w:ascii="Arial" w:hAnsi="Arial" w:cs="Arial"/>
          <w:color w:val="242121"/>
          <w:shd w:val="clear" w:color="auto" w:fill="FFFFFF"/>
        </w:rPr>
        <w:tab/>
        <w:t>I</w:t>
      </w:r>
      <w:r w:rsidR="00FE1C5A" w:rsidRPr="007A547F">
        <w:rPr>
          <w:rFonts w:ascii="Arial" w:hAnsi="Arial" w:cs="Arial"/>
          <w:color w:val="242121"/>
          <w:shd w:val="clear" w:color="auto" w:fill="FFFFFF"/>
        </w:rPr>
        <w:t xml:space="preserve"> do not think that the possibility of investigation in other liquidations and sequestrations is a reason not to make available to creditors the investigative advantages which would flow from a sequestration of the personal estates of the Burgers. The investigation which can permissibly be conducted in relation to any particular liquidation or sequestration is circumscribed. It cannot be taken for granted that all the dealings of the Burgers in their individual capacities, including transactions between themselves and their spouses and between themselves and family trusts, could permissibly be investigated in (for example) the liquidation of SBT. Moreover, and even if the investigations legitimately conducted in other liquidations and sequestrations could uncover irregular dealings of the Burgers in their personal capacities, only a trustee in the insolvent estates of the Burgers could exercise certain resultant remedies such as those pertaining to impeachable transactions.</w:t>
      </w:r>
      <w:r w:rsidRPr="007A547F">
        <w:rPr>
          <w:rFonts w:ascii="Arial" w:hAnsi="Arial" w:cs="Arial"/>
          <w:color w:val="242121"/>
          <w:shd w:val="clear" w:color="auto" w:fill="FFFFFF"/>
        </w:rPr>
        <w:t>’</w:t>
      </w:r>
    </w:p>
    <w:p w:rsidR="00EE262D" w:rsidRDefault="00EE262D" w:rsidP="007A547F">
      <w:pPr>
        <w:spacing w:after="0" w:line="480" w:lineRule="auto"/>
        <w:ind w:right="970" w:firstLine="720"/>
        <w:jc w:val="both"/>
        <w:rPr>
          <w:rFonts w:ascii="Arial" w:hAnsi="Arial" w:cs="Arial"/>
          <w:b/>
          <w:bCs/>
          <w:i/>
          <w:iCs/>
          <w:sz w:val="24"/>
          <w:szCs w:val="24"/>
          <w:lang w:val="en-GB"/>
        </w:rPr>
      </w:pPr>
    </w:p>
    <w:p w:rsidR="00F247EC" w:rsidRPr="000B35D9" w:rsidRDefault="000140CE" w:rsidP="000B35D9">
      <w:pPr>
        <w:spacing w:after="0" w:line="480" w:lineRule="auto"/>
        <w:jc w:val="both"/>
        <w:rPr>
          <w:rFonts w:ascii="Arial" w:hAnsi="Arial" w:cs="Arial"/>
          <w:b/>
          <w:bCs/>
          <w:sz w:val="24"/>
          <w:szCs w:val="24"/>
          <w:lang w:val="en-GB"/>
        </w:rPr>
      </w:pPr>
      <w:r w:rsidRPr="000B35D9">
        <w:rPr>
          <w:rFonts w:ascii="Arial" w:hAnsi="Arial" w:cs="Arial"/>
          <w:b/>
          <w:bCs/>
          <w:sz w:val="24"/>
          <w:szCs w:val="24"/>
          <w:lang w:val="en-GB"/>
        </w:rPr>
        <w:t>Refer</w:t>
      </w:r>
      <w:r w:rsidR="00854E4F">
        <w:rPr>
          <w:rFonts w:ascii="Arial" w:hAnsi="Arial" w:cs="Arial"/>
          <w:b/>
          <w:bCs/>
          <w:sz w:val="24"/>
          <w:szCs w:val="24"/>
          <w:lang w:val="en-GB"/>
        </w:rPr>
        <w:t xml:space="preserve">ence </w:t>
      </w:r>
      <w:r w:rsidR="005267E7" w:rsidRPr="000B35D9">
        <w:rPr>
          <w:rFonts w:ascii="Arial" w:hAnsi="Arial" w:cs="Arial"/>
          <w:b/>
          <w:bCs/>
          <w:sz w:val="24"/>
          <w:szCs w:val="24"/>
          <w:lang w:val="en-GB"/>
        </w:rPr>
        <w:t xml:space="preserve"> to oral evidence </w:t>
      </w:r>
    </w:p>
    <w:p w:rsidR="00D279C7" w:rsidRDefault="00D279C7" w:rsidP="000B35D9">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 </w:t>
      </w:r>
      <w:r w:rsidR="00D77511">
        <w:rPr>
          <w:rFonts w:ascii="Arial" w:hAnsi="Arial" w:cs="Arial"/>
          <w:sz w:val="24"/>
          <w:szCs w:val="24"/>
          <w:lang w:val="en-GB"/>
        </w:rPr>
        <w:t xml:space="preserve">The second alternative proposed by the respondent </w:t>
      </w:r>
      <w:r>
        <w:rPr>
          <w:rFonts w:ascii="Arial" w:hAnsi="Arial" w:cs="Arial"/>
          <w:sz w:val="24"/>
          <w:szCs w:val="24"/>
          <w:lang w:val="en-GB"/>
        </w:rPr>
        <w:t xml:space="preserve">is </w:t>
      </w:r>
      <w:r w:rsidR="00D77511">
        <w:rPr>
          <w:rFonts w:ascii="Arial" w:hAnsi="Arial" w:cs="Arial"/>
          <w:sz w:val="24"/>
          <w:szCs w:val="24"/>
          <w:lang w:val="en-GB"/>
        </w:rPr>
        <w:t xml:space="preserve">that I </w:t>
      </w:r>
      <w:r w:rsidR="00DE3EC7">
        <w:rPr>
          <w:rFonts w:ascii="Arial" w:hAnsi="Arial" w:cs="Arial"/>
          <w:sz w:val="24"/>
          <w:szCs w:val="24"/>
          <w:lang w:val="en-GB"/>
        </w:rPr>
        <w:t xml:space="preserve">refer this application </w:t>
      </w:r>
      <w:r w:rsidR="000C6613">
        <w:rPr>
          <w:rFonts w:ascii="Arial" w:hAnsi="Arial" w:cs="Arial"/>
          <w:sz w:val="24"/>
          <w:szCs w:val="24"/>
          <w:lang w:val="en-GB"/>
        </w:rPr>
        <w:t>to</w:t>
      </w:r>
      <w:r w:rsidR="00DE3EC7">
        <w:rPr>
          <w:rFonts w:ascii="Arial" w:hAnsi="Arial" w:cs="Arial"/>
          <w:sz w:val="24"/>
          <w:szCs w:val="24"/>
          <w:lang w:val="en-GB"/>
        </w:rPr>
        <w:t xml:space="preserve"> oral evidence </w:t>
      </w:r>
      <w:r w:rsidR="00113364">
        <w:rPr>
          <w:rFonts w:ascii="Arial" w:hAnsi="Arial" w:cs="Arial"/>
          <w:sz w:val="24"/>
          <w:szCs w:val="24"/>
          <w:lang w:val="en-GB"/>
        </w:rPr>
        <w:t>to</w:t>
      </w:r>
      <w:r w:rsidR="00DE3EC7">
        <w:rPr>
          <w:rFonts w:ascii="Arial" w:hAnsi="Arial" w:cs="Arial"/>
          <w:sz w:val="24"/>
          <w:szCs w:val="24"/>
          <w:lang w:val="en-GB"/>
        </w:rPr>
        <w:t xml:space="preserve"> enable cross-examination of witnesses and production of documents</w:t>
      </w:r>
      <w:r w:rsidR="000B35D9">
        <w:rPr>
          <w:rFonts w:ascii="Arial" w:hAnsi="Arial" w:cs="Arial"/>
          <w:sz w:val="24"/>
          <w:szCs w:val="24"/>
          <w:lang w:val="en-GB"/>
        </w:rPr>
        <w:t xml:space="preserve">. </w:t>
      </w:r>
      <w:r w:rsidR="00DD049A">
        <w:rPr>
          <w:rFonts w:ascii="Arial" w:hAnsi="Arial" w:cs="Arial"/>
          <w:sz w:val="24"/>
          <w:szCs w:val="24"/>
          <w:lang w:val="en-GB"/>
        </w:rPr>
        <w:t xml:space="preserve">In my view such </w:t>
      </w:r>
      <w:r>
        <w:rPr>
          <w:rFonts w:ascii="Arial" w:hAnsi="Arial" w:cs="Arial"/>
          <w:sz w:val="24"/>
          <w:szCs w:val="24"/>
          <w:lang w:val="en-GB"/>
        </w:rPr>
        <w:t xml:space="preserve">an order would </w:t>
      </w:r>
      <w:r w:rsidR="00DD049A" w:rsidRPr="00DD049A">
        <w:rPr>
          <w:rFonts w:ascii="Arial" w:hAnsi="Arial" w:cs="Arial"/>
          <w:sz w:val="24"/>
          <w:szCs w:val="24"/>
          <w:lang w:val="en-GB"/>
        </w:rPr>
        <w:t xml:space="preserve">not </w:t>
      </w:r>
      <w:r w:rsidRPr="00DD049A">
        <w:rPr>
          <w:rFonts w:ascii="Arial" w:hAnsi="Arial" w:cs="Arial"/>
          <w:sz w:val="24"/>
          <w:szCs w:val="24"/>
          <w:lang w:val="en-GB"/>
        </w:rPr>
        <w:t>be appropriate</w:t>
      </w:r>
      <w:r>
        <w:rPr>
          <w:rFonts w:ascii="Arial" w:hAnsi="Arial" w:cs="Arial"/>
          <w:sz w:val="24"/>
          <w:szCs w:val="24"/>
          <w:lang w:val="en-GB"/>
        </w:rPr>
        <w:t>.</w:t>
      </w:r>
      <w:r w:rsidR="000B35D9">
        <w:rPr>
          <w:rFonts w:ascii="Arial" w:hAnsi="Arial" w:cs="Arial"/>
          <w:sz w:val="24"/>
          <w:szCs w:val="24"/>
          <w:lang w:val="en-GB"/>
        </w:rPr>
        <w:t xml:space="preserve"> </w:t>
      </w:r>
      <w:r w:rsidR="00D77511" w:rsidRPr="000B35D9">
        <w:rPr>
          <w:rFonts w:ascii="Arial" w:hAnsi="Arial" w:cs="Arial"/>
          <w:sz w:val="24"/>
          <w:szCs w:val="24"/>
          <w:lang w:val="en-GB"/>
        </w:rPr>
        <w:t xml:space="preserve">A reference to oral evidence is competent where there is a genuine dispute of fact in motion proceedings. An enquiry into whether there is </w:t>
      </w:r>
      <w:r w:rsidRPr="000B35D9">
        <w:rPr>
          <w:rFonts w:ascii="Arial" w:hAnsi="Arial" w:cs="Arial"/>
          <w:sz w:val="24"/>
          <w:szCs w:val="24"/>
          <w:lang w:val="en-GB"/>
        </w:rPr>
        <w:t>reason to believe that sequestration will be to the advantage of creditors calls for a value judgement. It  is not an inquiry into objective facts, such as the whether the debtor has committed an act of insolvency. Consequently:-</w:t>
      </w:r>
    </w:p>
    <w:p w:rsidR="0043001F" w:rsidRPr="000B35D9" w:rsidRDefault="0043001F" w:rsidP="0043001F">
      <w:pPr>
        <w:spacing w:after="0" w:line="360" w:lineRule="auto"/>
        <w:jc w:val="both"/>
        <w:rPr>
          <w:rFonts w:ascii="Arial" w:hAnsi="Arial" w:cs="Arial"/>
          <w:sz w:val="24"/>
          <w:szCs w:val="24"/>
          <w:lang w:val="en-GB"/>
        </w:rPr>
      </w:pPr>
    </w:p>
    <w:p w:rsidR="00802327" w:rsidRDefault="00D279C7" w:rsidP="00802327">
      <w:pPr>
        <w:spacing w:line="360" w:lineRule="auto"/>
        <w:ind w:left="1418" w:right="970"/>
        <w:jc w:val="both"/>
        <w:rPr>
          <w:rFonts w:ascii="Arial" w:hAnsi="Arial" w:cs="Arial"/>
          <w:color w:val="242121"/>
          <w:shd w:val="clear" w:color="auto" w:fill="FFFFFF"/>
        </w:rPr>
      </w:pPr>
      <w:r>
        <w:rPr>
          <w:rFonts w:ascii="Arial" w:hAnsi="Arial" w:cs="Arial"/>
          <w:color w:val="242121"/>
          <w:shd w:val="clear" w:color="auto" w:fill="FFFFFF"/>
        </w:rPr>
        <w:t>‘</w:t>
      </w:r>
      <w:r w:rsidRPr="00D279C7">
        <w:rPr>
          <w:rFonts w:ascii="Arial" w:hAnsi="Arial" w:cs="Arial"/>
          <w:color w:val="242121"/>
          <w:shd w:val="clear" w:color="auto" w:fill="FFFFFF"/>
        </w:rPr>
        <w:t>Where the advantage to creditors is said to lie in the pecuniary benefit which may be yielded by investigation, the court, in making its value judgement, does not necessarily need to resolve disputed allegations of impropriety on the part of the debtor. The very fact that there are allegations of impropriety is a relevant consideration, even though they may be disputed. The court cannot be expected, in order to determine whether there is reason to believe that it will be to the advantage of creditors to grant a final sequestration order, to investigate and determine the very matters which the petitioning creditor says should be investigated by way of the machinery provided by the</w:t>
      </w:r>
      <w:r w:rsidRPr="00D279C7">
        <w:rPr>
          <w:rStyle w:val="apple-converted-space"/>
          <w:rFonts w:ascii="Arial" w:hAnsi="Arial" w:cs="Arial"/>
          <w:color w:val="242121"/>
          <w:shd w:val="clear" w:color="auto" w:fill="FFFFFF"/>
        </w:rPr>
        <w:t> </w:t>
      </w:r>
      <w:hyperlink r:id="rId9" w:history="1">
        <w:r w:rsidRPr="00D279C7">
          <w:rPr>
            <w:rStyle w:val="Hyperlink"/>
            <w:rFonts w:ascii="Arial" w:hAnsi="Arial" w:cs="Arial"/>
            <w:color w:val="0B4B0B"/>
            <w:u w:val="none"/>
          </w:rPr>
          <w:t>Insolvency Act. Where</w:t>
        </w:r>
      </w:hyperlink>
      <w:r w:rsidR="000C6613">
        <w:rPr>
          <w:rStyle w:val="apple-converted-space"/>
          <w:rFonts w:ascii="Arial" w:hAnsi="Arial" w:cs="Arial"/>
          <w:color w:val="242121"/>
          <w:shd w:val="clear" w:color="auto" w:fill="FFFFFF"/>
        </w:rPr>
        <w:t xml:space="preserve"> </w:t>
      </w:r>
      <w:r w:rsidRPr="00D279C7">
        <w:rPr>
          <w:rFonts w:ascii="Arial" w:hAnsi="Arial" w:cs="Arial"/>
          <w:color w:val="242121"/>
          <w:shd w:val="clear" w:color="auto" w:fill="FFFFFF"/>
        </w:rPr>
        <w:t>a court grants a final sequestration order because of the benefits which might flow from future investigation, the possibility always exists that in the event the investigation will not bear fruit. That does not mean that the court, when it granted the final order, erred in being satisfied that there was reason to believe that sequestration would be to the advantage of creditors.</w:t>
      </w:r>
      <w:r>
        <w:rPr>
          <w:rFonts w:ascii="Arial" w:hAnsi="Arial" w:cs="Arial"/>
          <w:color w:val="242121"/>
          <w:shd w:val="clear" w:color="auto" w:fill="FFFFFF"/>
        </w:rPr>
        <w:t>’</w:t>
      </w:r>
      <w:r>
        <w:rPr>
          <w:rStyle w:val="FootnoteReference"/>
          <w:rFonts w:ascii="Arial" w:hAnsi="Arial" w:cs="Arial"/>
          <w:color w:val="242121"/>
          <w:shd w:val="clear" w:color="auto" w:fill="FFFFFF"/>
        </w:rPr>
        <w:footnoteReference w:id="11"/>
      </w:r>
    </w:p>
    <w:p w:rsidR="0043001F" w:rsidRDefault="0043001F" w:rsidP="00802327">
      <w:pPr>
        <w:spacing w:line="360" w:lineRule="auto"/>
        <w:ind w:left="1418" w:right="970"/>
        <w:jc w:val="both"/>
        <w:rPr>
          <w:rFonts w:ascii="Arial" w:hAnsi="Arial" w:cs="Arial"/>
          <w:color w:val="242121"/>
          <w:shd w:val="clear" w:color="auto" w:fill="FFFFFF"/>
        </w:rPr>
      </w:pPr>
    </w:p>
    <w:p w:rsidR="00DE4887" w:rsidRDefault="00DE4887" w:rsidP="009823C9">
      <w:pPr>
        <w:spacing w:line="360" w:lineRule="auto"/>
        <w:ind w:right="970"/>
        <w:jc w:val="both"/>
        <w:rPr>
          <w:rFonts w:ascii="Arial" w:hAnsi="Arial" w:cs="Arial"/>
          <w:b/>
          <w:bCs/>
          <w:sz w:val="24"/>
          <w:szCs w:val="24"/>
          <w:lang w:val="en-GB"/>
        </w:rPr>
      </w:pPr>
      <w:r w:rsidRPr="00B51BB7">
        <w:rPr>
          <w:rFonts w:ascii="Arial" w:hAnsi="Arial" w:cs="Arial"/>
          <w:b/>
          <w:bCs/>
          <w:sz w:val="24"/>
          <w:szCs w:val="24"/>
          <w:lang w:val="en-GB"/>
        </w:rPr>
        <w:t>Enquiry by the provisional trustees</w:t>
      </w:r>
    </w:p>
    <w:p w:rsidR="0043001F" w:rsidRPr="00802327" w:rsidRDefault="0043001F" w:rsidP="009823C9">
      <w:pPr>
        <w:spacing w:line="360" w:lineRule="auto"/>
        <w:ind w:right="970"/>
        <w:jc w:val="both"/>
        <w:rPr>
          <w:rFonts w:ascii="Arial" w:hAnsi="Arial" w:cs="Arial"/>
          <w:color w:val="242121"/>
          <w:shd w:val="clear" w:color="auto" w:fill="FFFFFF"/>
        </w:rPr>
      </w:pPr>
    </w:p>
    <w:p w:rsidR="00A20B69" w:rsidRPr="00B51BB7" w:rsidRDefault="00D279C7" w:rsidP="00B51BB7">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respondent’s third proposal is that these proceedings be adjourned to allow his provisional trustees to conduct an enquiry and report to the court on advantage to creditors before </w:t>
      </w:r>
      <w:r w:rsidR="00700C72">
        <w:rPr>
          <w:rFonts w:ascii="Arial" w:hAnsi="Arial" w:cs="Arial"/>
          <w:sz w:val="24"/>
          <w:szCs w:val="24"/>
          <w:lang w:val="en-GB"/>
        </w:rPr>
        <w:t xml:space="preserve">a decision is made on the grant of a final order. </w:t>
      </w:r>
      <w:r w:rsidR="00700C72" w:rsidRPr="00B51BB7">
        <w:rPr>
          <w:rFonts w:ascii="Arial" w:hAnsi="Arial" w:cs="Arial"/>
          <w:sz w:val="24"/>
          <w:szCs w:val="24"/>
          <w:lang w:val="en-GB"/>
        </w:rPr>
        <w:t xml:space="preserve">This rather unusual suggestion has its origins in the </w:t>
      </w:r>
      <w:r w:rsidR="00DE4887" w:rsidRPr="00B51BB7">
        <w:rPr>
          <w:rFonts w:ascii="Arial" w:hAnsi="Arial" w:cs="Arial"/>
          <w:sz w:val="24"/>
          <w:szCs w:val="24"/>
          <w:lang w:val="en-GB"/>
        </w:rPr>
        <w:t xml:space="preserve">inclusion of </w:t>
      </w:r>
      <w:r w:rsidR="00DC692E" w:rsidRPr="00B51BB7">
        <w:rPr>
          <w:rFonts w:ascii="Arial" w:hAnsi="Arial" w:cs="Arial"/>
          <w:sz w:val="24"/>
          <w:szCs w:val="24"/>
          <w:lang w:val="en-GB"/>
        </w:rPr>
        <w:t xml:space="preserve">paragraph 3.1 of </w:t>
      </w:r>
      <w:r w:rsidR="00DE4887" w:rsidRPr="00B51BB7">
        <w:rPr>
          <w:rFonts w:ascii="Arial" w:hAnsi="Arial" w:cs="Arial"/>
          <w:sz w:val="24"/>
          <w:szCs w:val="24"/>
          <w:lang w:val="en-GB"/>
        </w:rPr>
        <w:t xml:space="preserve">the </w:t>
      </w:r>
      <w:r w:rsidR="00700C72" w:rsidRPr="00B51BB7">
        <w:rPr>
          <w:rFonts w:ascii="Arial" w:hAnsi="Arial" w:cs="Arial"/>
          <w:sz w:val="24"/>
          <w:szCs w:val="24"/>
          <w:lang w:val="en-GB"/>
        </w:rPr>
        <w:t xml:space="preserve">provisional sequestration </w:t>
      </w:r>
      <w:r w:rsidR="00DC692E" w:rsidRPr="00B51BB7">
        <w:rPr>
          <w:rFonts w:ascii="Arial" w:hAnsi="Arial" w:cs="Arial"/>
          <w:sz w:val="24"/>
          <w:szCs w:val="24"/>
          <w:lang w:val="en-GB"/>
        </w:rPr>
        <w:t>order which reads</w:t>
      </w:r>
      <w:r w:rsidR="00700C72" w:rsidRPr="00B51BB7">
        <w:rPr>
          <w:rFonts w:ascii="Arial" w:hAnsi="Arial" w:cs="Arial"/>
          <w:sz w:val="24"/>
          <w:szCs w:val="24"/>
          <w:lang w:val="en-GB"/>
        </w:rPr>
        <w:t>:</w:t>
      </w:r>
      <w:r w:rsidR="00A20B69" w:rsidRPr="00B51BB7">
        <w:rPr>
          <w:rFonts w:ascii="Arial" w:hAnsi="Arial" w:cs="Arial"/>
          <w:sz w:val="24"/>
          <w:szCs w:val="24"/>
          <w:lang w:val="en-GB"/>
        </w:rPr>
        <w:t>-</w:t>
      </w:r>
    </w:p>
    <w:p w:rsidR="00700C72" w:rsidRDefault="00700C72" w:rsidP="00113364">
      <w:pPr>
        <w:spacing w:after="0" w:line="360" w:lineRule="auto"/>
        <w:ind w:left="1418" w:right="970"/>
        <w:jc w:val="both"/>
        <w:rPr>
          <w:rFonts w:ascii="Arial" w:hAnsi="Arial" w:cs="Arial"/>
          <w:lang w:val="en-GB"/>
        </w:rPr>
      </w:pPr>
      <w:r w:rsidRPr="000140CE">
        <w:rPr>
          <w:rFonts w:ascii="Arial" w:hAnsi="Arial" w:cs="Arial"/>
          <w:lang w:val="en-GB"/>
        </w:rPr>
        <w:t xml:space="preserve">‘3.1 </w:t>
      </w:r>
      <w:r w:rsidR="00EE262D">
        <w:rPr>
          <w:rFonts w:ascii="Arial" w:hAnsi="Arial" w:cs="Arial"/>
          <w:lang w:val="en-GB"/>
        </w:rPr>
        <w:tab/>
      </w:r>
      <w:r w:rsidRPr="000140CE">
        <w:rPr>
          <w:rFonts w:ascii="Arial" w:hAnsi="Arial" w:cs="Arial"/>
          <w:lang w:val="en-GB"/>
        </w:rPr>
        <w:t xml:space="preserve">The trustee is directed to report to Court prior to the return </w:t>
      </w:r>
      <w:r w:rsidR="00B26884">
        <w:rPr>
          <w:rFonts w:ascii="Arial" w:hAnsi="Arial" w:cs="Arial"/>
          <w:lang w:val="en-GB"/>
        </w:rPr>
        <w:tab/>
      </w:r>
      <w:r w:rsidR="00B26884">
        <w:rPr>
          <w:rFonts w:ascii="Arial" w:hAnsi="Arial" w:cs="Arial"/>
          <w:lang w:val="en-GB"/>
        </w:rPr>
        <w:tab/>
      </w:r>
      <w:r w:rsidR="00B26884">
        <w:rPr>
          <w:rFonts w:ascii="Arial" w:hAnsi="Arial" w:cs="Arial"/>
          <w:lang w:val="en-GB"/>
        </w:rPr>
        <w:tab/>
      </w:r>
      <w:r w:rsidRPr="000140CE">
        <w:rPr>
          <w:rFonts w:ascii="Arial" w:hAnsi="Arial" w:cs="Arial"/>
          <w:lang w:val="en-GB"/>
        </w:rPr>
        <w:t>date</w:t>
      </w:r>
      <w:r w:rsidR="00B26884">
        <w:rPr>
          <w:rFonts w:ascii="Arial" w:hAnsi="Arial" w:cs="Arial"/>
          <w:lang w:val="en-GB"/>
        </w:rPr>
        <w:t xml:space="preserve"> </w:t>
      </w:r>
      <w:r w:rsidRPr="000140CE">
        <w:rPr>
          <w:rFonts w:ascii="Arial" w:hAnsi="Arial" w:cs="Arial"/>
          <w:lang w:val="en-GB"/>
        </w:rPr>
        <w:t>on whether there is an advantage to creditors.’</w:t>
      </w:r>
    </w:p>
    <w:p w:rsidR="00607231" w:rsidRPr="000140CE" w:rsidRDefault="00607231" w:rsidP="00607231">
      <w:pPr>
        <w:spacing w:after="0" w:line="360" w:lineRule="auto"/>
        <w:ind w:firstLine="720"/>
        <w:jc w:val="both"/>
        <w:rPr>
          <w:rFonts w:ascii="Arial" w:hAnsi="Arial" w:cs="Arial"/>
          <w:lang w:val="en-GB"/>
        </w:rPr>
      </w:pPr>
    </w:p>
    <w:p w:rsidR="00B77EDD" w:rsidRDefault="00914262" w:rsidP="00453770">
      <w:pPr>
        <w:numPr>
          <w:ilvl w:val="0"/>
          <w:numId w:val="2"/>
        </w:numPr>
        <w:spacing w:after="0" w:line="360" w:lineRule="auto"/>
        <w:jc w:val="both"/>
        <w:rPr>
          <w:rFonts w:ascii="Arial" w:hAnsi="Arial" w:cs="Arial"/>
          <w:sz w:val="24"/>
          <w:szCs w:val="24"/>
          <w:lang w:val="en-GB"/>
        </w:rPr>
      </w:pPr>
      <w:r w:rsidRPr="00914262">
        <w:rPr>
          <w:rFonts w:ascii="Arial" w:hAnsi="Arial" w:cs="Arial"/>
          <w:sz w:val="24"/>
          <w:szCs w:val="24"/>
          <w:lang w:val="en-GB"/>
        </w:rPr>
        <w:t>Mr Pedersen</w:t>
      </w:r>
      <w:r w:rsidR="00B51BB7">
        <w:rPr>
          <w:rFonts w:ascii="Arial" w:hAnsi="Arial" w:cs="Arial"/>
          <w:sz w:val="24"/>
          <w:szCs w:val="24"/>
          <w:lang w:val="en-GB"/>
        </w:rPr>
        <w:t xml:space="preserve"> </w:t>
      </w:r>
      <w:r w:rsidRPr="00914262">
        <w:rPr>
          <w:rFonts w:ascii="Arial" w:hAnsi="Arial" w:cs="Arial"/>
          <w:sz w:val="24"/>
          <w:szCs w:val="24"/>
          <w:lang w:val="en-GB"/>
        </w:rPr>
        <w:t xml:space="preserve">submitted that paragraph 3.1 of the provisional </w:t>
      </w:r>
      <w:r w:rsidR="00B77EDD">
        <w:rPr>
          <w:rFonts w:ascii="Arial" w:hAnsi="Arial" w:cs="Arial"/>
          <w:sz w:val="24"/>
          <w:szCs w:val="24"/>
          <w:lang w:val="en-GB"/>
        </w:rPr>
        <w:t xml:space="preserve">sequestration </w:t>
      </w:r>
      <w:r w:rsidRPr="00914262">
        <w:rPr>
          <w:rFonts w:ascii="Arial" w:hAnsi="Arial" w:cs="Arial"/>
          <w:sz w:val="24"/>
          <w:szCs w:val="24"/>
          <w:lang w:val="en-GB"/>
        </w:rPr>
        <w:t xml:space="preserve">order </w:t>
      </w:r>
      <w:r w:rsidR="00B77EDD">
        <w:rPr>
          <w:rFonts w:ascii="Arial" w:hAnsi="Arial" w:cs="Arial"/>
          <w:sz w:val="24"/>
          <w:szCs w:val="24"/>
          <w:lang w:val="en-GB"/>
        </w:rPr>
        <w:t xml:space="preserve">both </w:t>
      </w:r>
      <w:r w:rsidR="00EB2375">
        <w:rPr>
          <w:rFonts w:ascii="Arial" w:hAnsi="Arial" w:cs="Arial"/>
          <w:sz w:val="24"/>
          <w:szCs w:val="24"/>
          <w:lang w:val="en-GB"/>
        </w:rPr>
        <w:t>require</w:t>
      </w:r>
      <w:r w:rsidR="0075739A">
        <w:rPr>
          <w:rFonts w:ascii="Arial" w:hAnsi="Arial" w:cs="Arial"/>
          <w:sz w:val="24"/>
          <w:szCs w:val="24"/>
          <w:lang w:val="en-GB"/>
        </w:rPr>
        <w:t>s</w:t>
      </w:r>
      <w:r w:rsidR="00EB2375">
        <w:rPr>
          <w:rFonts w:ascii="Arial" w:hAnsi="Arial" w:cs="Arial"/>
          <w:sz w:val="24"/>
          <w:szCs w:val="24"/>
          <w:lang w:val="en-GB"/>
        </w:rPr>
        <w:t xml:space="preserve"> </w:t>
      </w:r>
      <w:r w:rsidR="00B77EDD">
        <w:rPr>
          <w:rFonts w:ascii="Arial" w:hAnsi="Arial" w:cs="Arial"/>
          <w:sz w:val="24"/>
          <w:szCs w:val="24"/>
          <w:lang w:val="en-GB"/>
        </w:rPr>
        <w:t xml:space="preserve">and empowers </w:t>
      </w:r>
      <w:r w:rsidRPr="00914262">
        <w:rPr>
          <w:rFonts w:ascii="Arial" w:hAnsi="Arial" w:cs="Arial"/>
          <w:sz w:val="24"/>
          <w:szCs w:val="24"/>
          <w:lang w:val="en-GB"/>
        </w:rPr>
        <w:t>the provisional trustees to conduct an enquiry</w:t>
      </w:r>
      <w:r w:rsidR="00B77EDD">
        <w:rPr>
          <w:rFonts w:ascii="Arial" w:hAnsi="Arial" w:cs="Arial"/>
          <w:sz w:val="24"/>
          <w:szCs w:val="24"/>
          <w:lang w:val="en-GB"/>
        </w:rPr>
        <w:t xml:space="preserve">, including </w:t>
      </w:r>
      <w:r w:rsidR="00B77EDD" w:rsidRPr="00914262">
        <w:rPr>
          <w:rFonts w:ascii="Arial" w:hAnsi="Arial" w:cs="Arial"/>
          <w:sz w:val="24"/>
          <w:szCs w:val="24"/>
          <w:lang w:val="en-GB"/>
        </w:rPr>
        <w:t>subpoena</w:t>
      </w:r>
      <w:r w:rsidR="00B77EDD">
        <w:rPr>
          <w:rFonts w:ascii="Arial" w:hAnsi="Arial" w:cs="Arial"/>
          <w:sz w:val="24"/>
          <w:szCs w:val="24"/>
          <w:lang w:val="en-GB"/>
        </w:rPr>
        <w:t>ing</w:t>
      </w:r>
      <w:r w:rsidRPr="00914262">
        <w:rPr>
          <w:rFonts w:ascii="Arial" w:hAnsi="Arial" w:cs="Arial"/>
          <w:sz w:val="24"/>
          <w:szCs w:val="24"/>
          <w:lang w:val="en-GB"/>
        </w:rPr>
        <w:t xml:space="preserve"> documents and witnesses</w:t>
      </w:r>
      <w:r w:rsidR="00B77EDD">
        <w:rPr>
          <w:rFonts w:ascii="Arial" w:hAnsi="Arial" w:cs="Arial"/>
          <w:sz w:val="24"/>
          <w:szCs w:val="24"/>
          <w:lang w:val="en-GB"/>
        </w:rPr>
        <w:t xml:space="preserve"> if necessary</w:t>
      </w:r>
      <w:r w:rsidR="00DC692E">
        <w:rPr>
          <w:rFonts w:ascii="Arial" w:hAnsi="Arial" w:cs="Arial"/>
          <w:sz w:val="24"/>
          <w:szCs w:val="24"/>
          <w:lang w:val="en-GB"/>
        </w:rPr>
        <w:t xml:space="preserve"> and then to report on advantage to creditors</w:t>
      </w:r>
      <w:r w:rsidRPr="00914262">
        <w:rPr>
          <w:rFonts w:ascii="Arial" w:hAnsi="Arial" w:cs="Arial"/>
          <w:sz w:val="24"/>
          <w:szCs w:val="24"/>
          <w:lang w:val="en-GB"/>
        </w:rPr>
        <w:t xml:space="preserve">, </w:t>
      </w:r>
      <w:r w:rsidR="0075739A">
        <w:rPr>
          <w:rFonts w:ascii="Arial" w:hAnsi="Arial" w:cs="Arial"/>
          <w:sz w:val="24"/>
          <w:szCs w:val="24"/>
          <w:lang w:val="en-GB"/>
        </w:rPr>
        <w:t xml:space="preserve">which they have failed to do. </w:t>
      </w:r>
      <w:r w:rsidR="00DC692E">
        <w:rPr>
          <w:rFonts w:ascii="Arial" w:hAnsi="Arial" w:cs="Arial"/>
          <w:sz w:val="24"/>
          <w:szCs w:val="24"/>
          <w:lang w:val="en-GB"/>
        </w:rPr>
        <w:t>Their report</w:t>
      </w:r>
      <w:r w:rsidR="00113364">
        <w:rPr>
          <w:rFonts w:ascii="Arial" w:hAnsi="Arial" w:cs="Arial"/>
          <w:sz w:val="24"/>
          <w:szCs w:val="24"/>
          <w:lang w:val="en-GB"/>
        </w:rPr>
        <w:t xml:space="preserve"> </w:t>
      </w:r>
      <w:r w:rsidR="00DC692E">
        <w:rPr>
          <w:rFonts w:ascii="Arial" w:hAnsi="Arial" w:cs="Arial"/>
          <w:sz w:val="24"/>
          <w:szCs w:val="24"/>
          <w:lang w:val="en-GB"/>
        </w:rPr>
        <w:t xml:space="preserve">was not preceded by an enquiry and expressed no view on advantage to creditors. Mr Pedersen </w:t>
      </w:r>
      <w:r w:rsidR="0075739A">
        <w:rPr>
          <w:rFonts w:ascii="Arial" w:hAnsi="Arial" w:cs="Arial"/>
          <w:sz w:val="24"/>
          <w:szCs w:val="24"/>
          <w:lang w:val="en-GB"/>
        </w:rPr>
        <w:t>argued that the order had to be complied with before a final decision on the application could be taken</w:t>
      </w:r>
      <w:r w:rsidR="00BB0C8E">
        <w:rPr>
          <w:rFonts w:ascii="Arial" w:hAnsi="Arial" w:cs="Arial"/>
          <w:sz w:val="24"/>
          <w:szCs w:val="24"/>
          <w:lang w:val="en-GB"/>
        </w:rPr>
        <w:t xml:space="preserve"> and this meant that the application had to be adjourned</w:t>
      </w:r>
      <w:r w:rsidR="00DC692E">
        <w:rPr>
          <w:rFonts w:ascii="Arial" w:hAnsi="Arial" w:cs="Arial"/>
          <w:sz w:val="24"/>
          <w:szCs w:val="24"/>
          <w:lang w:val="en-GB"/>
        </w:rPr>
        <w:t xml:space="preserve"> for the provisional trustees to conduct an enquiry and file a report</w:t>
      </w:r>
      <w:r w:rsidR="0075739A">
        <w:rPr>
          <w:rFonts w:ascii="Arial" w:hAnsi="Arial" w:cs="Arial"/>
          <w:sz w:val="24"/>
          <w:szCs w:val="24"/>
          <w:lang w:val="en-GB"/>
        </w:rPr>
        <w:t xml:space="preserve">. </w:t>
      </w:r>
      <w:r w:rsidR="00B77EDD">
        <w:rPr>
          <w:rFonts w:ascii="Arial" w:hAnsi="Arial" w:cs="Arial"/>
          <w:sz w:val="24"/>
          <w:szCs w:val="24"/>
          <w:lang w:val="en-GB"/>
        </w:rPr>
        <w:t xml:space="preserve">Evaluation of these submissions requires me to interpret paragraph 3.1 of the </w:t>
      </w:r>
      <w:r w:rsidR="00B77EDD" w:rsidRPr="00914262">
        <w:rPr>
          <w:rFonts w:ascii="Arial" w:hAnsi="Arial" w:cs="Arial"/>
          <w:sz w:val="24"/>
          <w:szCs w:val="24"/>
          <w:lang w:val="en-GB"/>
        </w:rPr>
        <w:t xml:space="preserve">provisional </w:t>
      </w:r>
      <w:r w:rsidR="00B77EDD">
        <w:rPr>
          <w:rFonts w:ascii="Arial" w:hAnsi="Arial" w:cs="Arial"/>
          <w:sz w:val="24"/>
          <w:szCs w:val="24"/>
          <w:lang w:val="en-GB"/>
        </w:rPr>
        <w:t xml:space="preserve">sequestration </w:t>
      </w:r>
      <w:r w:rsidR="00B77EDD" w:rsidRPr="00914262">
        <w:rPr>
          <w:rFonts w:ascii="Arial" w:hAnsi="Arial" w:cs="Arial"/>
          <w:sz w:val="24"/>
          <w:szCs w:val="24"/>
          <w:lang w:val="en-GB"/>
        </w:rPr>
        <w:t>order</w:t>
      </w:r>
      <w:r w:rsidR="00B77EDD">
        <w:rPr>
          <w:rFonts w:ascii="Arial" w:hAnsi="Arial" w:cs="Arial"/>
          <w:sz w:val="24"/>
          <w:szCs w:val="24"/>
          <w:lang w:val="en-GB"/>
        </w:rPr>
        <w:t>.</w:t>
      </w:r>
    </w:p>
    <w:p w:rsidR="002A169D" w:rsidRDefault="002A169D" w:rsidP="002A169D">
      <w:pPr>
        <w:spacing w:after="0" w:line="360" w:lineRule="auto"/>
        <w:jc w:val="both"/>
        <w:rPr>
          <w:rFonts w:ascii="Arial" w:hAnsi="Arial" w:cs="Arial"/>
          <w:sz w:val="24"/>
          <w:szCs w:val="24"/>
          <w:lang w:val="en-GB"/>
        </w:rPr>
      </w:pPr>
    </w:p>
    <w:p w:rsidR="00B77EDD" w:rsidRDefault="00B77EDD"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Mr Pedersen also informed me </w:t>
      </w:r>
      <w:r w:rsidR="0075739A">
        <w:rPr>
          <w:rFonts w:ascii="Arial" w:hAnsi="Arial" w:cs="Arial"/>
          <w:sz w:val="24"/>
          <w:szCs w:val="24"/>
          <w:lang w:val="en-GB"/>
        </w:rPr>
        <w:t xml:space="preserve">from the bar </w:t>
      </w:r>
      <w:r w:rsidR="00914262">
        <w:rPr>
          <w:rFonts w:ascii="Arial" w:hAnsi="Arial" w:cs="Arial"/>
          <w:sz w:val="24"/>
          <w:szCs w:val="24"/>
          <w:lang w:val="en-GB"/>
        </w:rPr>
        <w:t>that there was to be ‘an enquiry’ by the provisional trustees on 24 August 202</w:t>
      </w:r>
      <w:r w:rsidR="00BB0C8E">
        <w:rPr>
          <w:rFonts w:ascii="Arial" w:hAnsi="Arial" w:cs="Arial"/>
          <w:sz w:val="24"/>
          <w:szCs w:val="24"/>
          <w:lang w:val="en-GB"/>
        </w:rPr>
        <w:t>3, although h</w:t>
      </w:r>
      <w:r>
        <w:rPr>
          <w:rFonts w:ascii="Arial" w:hAnsi="Arial" w:cs="Arial"/>
          <w:sz w:val="24"/>
          <w:szCs w:val="24"/>
          <w:lang w:val="en-GB"/>
        </w:rPr>
        <w:t>e was not sure what form the ‘enquiry’ would take and accepted it might only be a meeting. Mr Pedersen</w:t>
      </w:r>
      <w:r w:rsidR="0075739A">
        <w:rPr>
          <w:rFonts w:ascii="Arial" w:hAnsi="Arial" w:cs="Arial"/>
          <w:sz w:val="24"/>
          <w:szCs w:val="24"/>
          <w:lang w:val="en-GB"/>
        </w:rPr>
        <w:t xml:space="preserve"> </w:t>
      </w:r>
      <w:r>
        <w:rPr>
          <w:rFonts w:ascii="Arial" w:hAnsi="Arial" w:cs="Arial"/>
          <w:sz w:val="24"/>
          <w:szCs w:val="24"/>
          <w:lang w:val="en-GB"/>
        </w:rPr>
        <w:t xml:space="preserve">moved for the adjournment of </w:t>
      </w:r>
      <w:r w:rsidR="00B51BB7">
        <w:rPr>
          <w:rFonts w:ascii="Arial" w:hAnsi="Arial" w:cs="Arial"/>
          <w:sz w:val="24"/>
          <w:szCs w:val="24"/>
          <w:lang w:val="en-GB"/>
        </w:rPr>
        <w:t>t</w:t>
      </w:r>
      <w:r w:rsidR="0075739A">
        <w:rPr>
          <w:rFonts w:ascii="Arial" w:hAnsi="Arial" w:cs="Arial"/>
          <w:sz w:val="24"/>
          <w:szCs w:val="24"/>
          <w:lang w:val="en-GB"/>
        </w:rPr>
        <w:t>he application pending the finalisation of that enquiry</w:t>
      </w:r>
      <w:r w:rsidR="00B51BB7">
        <w:rPr>
          <w:rFonts w:ascii="Arial" w:hAnsi="Arial" w:cs="Arial"/>
          <w:sz w:val="24"/>
          <w:szCs w:val="24"/>
          <w:lang w:val="en-GB"/>
        </w:rPr>
        <w:t xml:space="preserve">, </w:t>
      </w:r>
      <w:r>
        <w:rPr>
          <w:rFonts w:ascii="Arial" w:hAnsi="Arial" w:cs="Arial"/>
          <w:sz w:val="24"/>
          <w:szCs w:val="24"/>
          <w:lang w:val="en-GB"/>
        </w:rPr>
        <w:t>submitt</w:t>
      </w:r>
      <w:r w:rsidR="00B51BB7">
        <w:rPr>
          <w:rFonts w:ascii="Arial" w:hAnsi="Arial" w:cs="Arial"/>
          <w:sz w:val="24"/>
          <w:szCs w:val="24"/>
          <w:lang w:val="en-GB"/>
        </w:rPr>
        <w:t>ing</w:t>
      </w:r>
      <w:r>
        <w:rPr>
          <w:rFonts w:ascii="Arial" w:hAnsi="Arial" w:cs="Arial"/>
          <w:sz w:val="24"/>
          <w:szCs w:val="24"/>
          <w:lang w:val="en-GB"/>
        </w:rPr>
        <w:t xml:space="preserve"> </w:t>
      </w:r>
      <w:r w:rsidR="00B51BB7">
        <w:rPr>
          <w:rFonts w:ascii="Arial" w:hAnsi="Arial" w:cs="Arial"/>
          <w:sz w:val="24"/>
          <w:szCs w:val="24"/>
          <w:lang w:val="en-GB"/>
        </w:rPr>
        <w:t xml:space="preserve">that </w:t>
      </w:r>
      <w:r>
        <w:rPr>
          <w:rFonts w:ascii="Arial" w:hAnsi="Arial" w:cs="Arial"/>
          <w:sz w:val="24"/>
          <w:szCs w:val="24"/>
          <w:lang w:val="en-GB"/>
        </w:rPr>
        <w:t>th</w:t>
      </w:r>
      <w:r w:rsidR="00B51BB7">
        <w:rPr>
          <w:rFonts w:ascii="Arial" w:hAnsi="Arial" w:cs="Arial"/>
          <w:sz w:val="24"/>
          <w:szCs w:val="24"/>
          <w:lang w:val="en-GB"/>
        </w:rPr>
        <w:t>e</w:t>
      </w:r>
      <w:r>
        <w:rPr>
          <w:rFonts w:ascii="Arial" w:hAnsi="Arial" w:cs="Arial"/>
          <w:sz w:val="24"/>
          <w:szCs w:val="24"/>
          <w:lang w:val="en-GB"/>
        </w:rPr>
        <w:t xml:space="preserve"> application should be</w:t>
      </w:r>
      <w:r w:rsidR="0075739A">
        <w:rPr>
          <w:rFonts w:ascii="Arial" w:hAnsi="Arial" w:cs="Arial"/>
          <w:sz w:val="24"/>
          <w:szCs w:val="24"/>
          <w:lang w:val="en-GB"/>
        </w:rPr>
        <w:t xml:space="preserve"> re-enrolled </w:t>
      </w:r>
      <w:r>
        <w:rPr>
          <w:rFonts w:ascii="Arial" w:hAnsi="Arial" w:cs="Arial"/>
          <w:sz w:val="24"/>
          <w:szCs w:val="24"/>
          <w:lang w:val="en-GB"/>
        </w:rPr>
        <w:t xml:space="preserve">for further argument and final decision </w:t>
      </w:r>
      <w:r w:rsidR="00BB0C8E">
        <w:rPr>
          <w:rFonts w:ascii="Arial" w:hAnsi="Arial" w:cs="Arial"/>
          <w:sz w:val="24"/>
          <w:szCs w:val="24"/>
          <w:lang w:val="en-GB"/>
        </w:rPr>
        <w:t xml:space="preserve">only </w:t>
      </w:r>
      <w:r w:rsidR="0075739A">
        <w:rPr>
          <w:rFonts w:ascii="Arial" w:hAnsi="Arial" w:cs="Arial"/>
          <w:sz w:val="24"/>
          <w:szCs w:val="24"/>
          <w:lang w:val="en-GB"/>
        </w:rPr>
        <w:t>once the provisional trustees had filed a report</w:t>
      </w:r>
      <w:r w:rsidR="00BB0C8E">
        <w:rPr>
          <w:rFonts w:ascii="Arial" w:hAnsi="Arial" w:cs="Arial"/>
          <w:sz w:val="24"/>
          <w:szCs w:val="24"/>
          <w:lang w:val="en-GB"/>
        </w:rPr>
        <w:t xml:space="preserve"> following the enquiry or meeting</w:t>
      </w:r>
      <w:r w:rsidR="0075739A">
        <w:rPr>
          <w:rFonts w:ascii="Arial" w:hAnsi="Arial" w:cs="Arial"/>
          <w:sz w:val="24"/>
          <w:szCs w:val="24"/>
          <w:lang w:val="en-GB"/>
        </w:rPr>
        <w:t>.</w:t>
      </w:r>
    </w:p>
    <w:p w:rsidR="00EE262D" w:rsidRDefault="00EE262D" w:rsidP="00EE262D">
      <w:pPr>
        <w:pStyle w:val="ListParagraph"/>
        <w:rPr>
          <w:rFonts w:ascii="Arial" w:hAnsi="Arial" w:cs="Arial"/>
          <w:sz w:val="24"/>
          <w:szCs w:val="24"/>
          <w:lang w:val="en-GB"/>
        </w:rPr>
      </w:pPr>
    </w:p>
    <w:p w:rsidR="00047795" w:rsidRPr="006B34D2" w:rsidRDefault="00B77EDD" w:rsidP="006B34D2">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As I understood his argument, the adjournment was sought regardless of my decision on the interpretation of paragraph 3.1 of the provisional sequestration order. I accordingly deal with the application for a postponement on </w:t>
      </w:r>
      <w:r w:rsidR="00CA75ED">
        <w:rPr>
          <w:rFonts w:ascii="Arial" w:hAnsi="Arial" w:cs="Arial"/>
          <w:sz w:val="24"/>
          <w:szCs w:val="24"/>
          <w:lang w:val="en-GB"/>
        </w:rPr>
        <w:t xml:space="preserve">both </w:t>
      </w:r>
      <w:r>
        <w:rPr>
          <w:rFonts w:ascii="Arial" w:hAnsi="Arial" w:cs="Arial"/>
          <w:sz w:val="24"/>
          <w:szCs w:val="24"/>
          <w:lang w:val="en-GB"/>
        </w:rPr>
        <w:t>bas</w:t>
      </w:r>
      <w:r w:rsidR="00CA75ED">
        <w:rPr>
          <w:rFonts w:ascii="Arial" w:hAnsi="Arial" w:cs="Arial"/>
          <w:sz w:val="24"/>
          <w:szCs w:val="24"/>
          <w:lang w:val="en-GB"/>
        </w:rPr>
        <w:t>e</w:t>
      </w:r>
      <w:r>
        <w:rPr>
          <w:rFonts w:ascii="Arial" w:hAnsi="Arial" w:cs="Arial"/>
          <w:sz w:val="24"/>
          <w:szCs w:val="24"/>
          <w:lang w:val="en-GB"/>
        </w:rPr>
        <w:t>s.</w:t>
      </w:r>
    </w:p>
    <w:p w:rsidR="00047795" w:rsidRDefault="00047795" w:rsidP="002A169D">
      <w:pPr>
        <w:pStyle w:val="ListParagraph"/>
        <w:rPr>
          <w:rFonts w:ascii="Arial" w:hAnsi="Arial" w:cs="Arial"/>
          <w:sz w:val="24"/>
          <w:szCs w:val="24"/>
          <w:lang w:val="en-GB"/>
        </w:rPr>
      </w:pPr>
    </w:p>
    <w:p w:rsidR="00914262" w:rsidRPr="00B77EDD" w:rsidRDefault="00B77EDD" w:rsidP="00FE578E">
      <w:pPr>
        <w:spacing w:line="480" w:lineRule="auto"/>
        <w:jc w:val="both"/>
        <w:rPr>
          <w:rFonts w:ascii="Arial" w:hAnsi="Arial" w:cs="Arial"/>
          <w:b/>
          <w:bCs/>
          <w:i/>
          <w:iCs/>
          <w:sz w:val="24"/>
          <w:szCs w:val="24"/>
          <w:lang w:val="en-GB"/>
        </w:rPr>
      </w:pPr>
      <w:r>
        <w:rPr>
          <w:rFonts w:ascii="Arial" w:hAnsi="Arial" w:cs="Arial"/>
          <w:b/>
          <w:bCs/>
          <w:i/>
          <w:iCs/>
          <w:sz w:val="24"/>
          <w:szCs w:val="24"/>
          <w:lang w:val="en-GB"/>
        </w:rPr>
        <w:t>Interpretation of paragraph 3.1 of the provisional sequestration order</w:t>
      </w:r>
    </w:p>
    <w:p w:rsidR="00A20B69" w:rsidRDefault="00A20B69"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The language of paragraph 3.1 of the provisional sequestration order must be interpreted purposively and in </w:t>
      </w:r>
      <w:r w:rsidR="004E6E84">
        <w:rPr>
          <w:rFonts w:ascii="Arial" w:hAnsi="Arial" w:cs="Arial"/>
          <w:sz w:val="24"/>
          <w:szCs w:val="24"/>
          <w:lang w:val="en-GB"/>
        </w:rPr>
        <w:t xml:space="preserve">the </w:t>
      </w:r>
      <w:r>
        <w:rPr>
          <w:rFonts w:ascii="Arial" w:hAnsi="Arial" w:cs="Arial"/>
          <w:sz w:val="24"/>
          <w:szCs w:val="24"/>
          <w:lang w:val="en-GB"/>
        </w:rPr>
        <w:t>context</w:t>
      </w:r>
      <w:r w:rsidR="004E6E84">
        <w:rPr>
          <w:rFonts w:ascii="Arial" w:hAnsi="Arial" w:cs="Arial"/>
          <w:sz w:val="24"/>
          <w:szCs w:val="24"/>
          <w:lang w:val="en-GB"/>
        </w:rPr>
        <w:t xml:space="preserve"> of the contentions in the litigation and the scheme of the Insolvency Act.</w:t>
      </w:r>
    </w:p>
    <w:p w:rsidR="002A169D" w:rsidRPr="00E644FA" w:rsidRDefault="002A169D" w:rsidP="00E644FA">
      <w:pPr>
        <w:rPr>
          <w:rFonts w:ascii="Arial" w:hAnsi="Arial" w:cs="Arial"/>
          <w:sz w:val="24"/>
          <w:szCs w:val="24"/>
          <w:lang w:val="en-GB"/>
        </w:rPr>
      </w:pPr>
    </w:p>
    <w:p w:rsidR="00947F12" w:rsidRDefault="002A169D"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T</w:t>
      </w:r>
      <w:r w:rsidR="00700C72">
        <w:rPr>
          <w:rFonts w:ascii="Arial" w:hAnsi="Arial" w:cs="Arial"/>
          <w:sz w:val="24"/>
          <w:szCs w:val="24"/>
          <w:lang w:val="en-GB"/>
        </w:rPr>
        <w:t xml:space="preserve">he provisional </w:t>
      </w:r>
      <w:r w:rsidR="00CA75ED">
        <w:rPr>
          <w:rFonts w:ascii="Arial" w:hAnsi="Arial" w:cs="Arial"/>
          <w:sz w:val="24"/>
          <w:szCs w:val="24"/>
          <w:lang w:val="en-GB"/>
        </w:rPr>
        <w:t xml:space="preserve">sequestration </w:t>
      </w:r>
      <w:r w:rsidR="00700C72">
        <w:rPr>
          <w:rFonts w:ascii="Arial" w:hAnsi="Arial" w:cs="Arial"/>
          <w:sz w:val="24"/>
          <w:szCs w:val="24"/>
          <w:lang w:val="en-GB"/>
        </w:rPr>
        <w:t>order was handed down immediately after argument had been heard on an opposed basis</w:t>
      </w:r>
      <w:r w:rsidR="00CA75ED">
        <w:rPr>
          <w:rFonts w:ascii="Arial" w:hAnsi="Arial" w:cs="Arial"/>
          <w:sz w:val="24"/>
          <w:szCs w:val="24"/>
          <w:lang w:val="en-GB"/>
        </w:rPr>
        <w:t>.</w:t>
      </w:r>
      <w:r w:rsidR="00700C72">
        <w:rPr>
          <w:rFonts w:ascii="Arial" w:hAnsi="Arial" w:cs="Arial"/>
          <w:sz w:val="24"/>
          <w:szCs w:val="24"/>
          <w:lang w:val="en-GB"/>
        </w:rPr>
        <w:t xml:space="preserve"> </w:t>
      </w:r>
      <w:r w:rsidR="00CA75ED">
        <w:rPr>
          <w:rFonts w:ascii="Arial" w:hAnsi="Arial" w:cs="Arial"/>
          <w:sz w:val="24"/>
          <w:szCs w:val="24"/>
          <w:lang w:val="en-GB"/>
        </w:rPr>
        <w:t>N</w:t>
      </w:r>
      <w:r w:rsidR="00700C72">
        <w:rPr>
          <w:rFonts w:ascii="Arial" w:hAnsi="Arial" w:cs="Arial"/>
          <w:sz w:val="24"/>
          <w:szCs w:val="24"/>
          <w:lang w:val="en-GB"/>
        </w:rPr>
        <w:t>o judgment was delivered</w:t>
      </w:r>
      <w:r w:rsidR="00A20B69">
        <w:rPr>
          <w:rFonts w:ascii="Arial" w:hAnsi="Arial" w:cs="Arial"/>
          <w:sz w:val="24"/>
          <w:szCs w:val="24"/>
          <w:lang w:val="en-GB"/>
        </w:rPr>
        <w:t xml:space="preserve"> which can provide further context</w:t>
      </w:r>
      <w:r w:rsidR="004E6E84">
        <w:rPr>
          <w:rFonts w:ascii="Arial" w:hAnsi="Arial" w:cs="Arial"/>
          <w:sz w:val="24"/>
          <w:szCs w:val="24"/>
          <w:lang w:val="en-GB"/>
        </w:rPr>
        <w:t xml:space="preserve">. However, </w:t>
      </w:r>
      <w:r w:rsidR="00A20B69">
        <w:rPr>
          <w:rFonts w:ascii="Arial" w:hAnsi="Arial" w:cs="Arial"/>
          <w:sz w:val="24"/>
          <w:szCs w:val="24"/>
          <w:lang w:val="en-GB"/>
        </w:rPr>
        <w:t>given the respondent’s contentions in his opposing affidavit, the</w:t>
      </w:r>
      <w:r w:rsidR="00CA75ED">
        <w:rPr>
          <w:rFonts w:ascii="Arial" w:hAnsi="Arial" w:cs="Arial"/>
          <w:sz w:val="24"/>
          <w:szCs w:val="24"/>
          <w:lang w:val="en-GB"/>
        </w:rPr>
        <w:t xml:space="preserve"> </w:t>
      </w:r>
      <w:r w:rsidR="00700C72">
        <w:rPr>
          <w:rFonts w:ascii="Arial" w:hAnsi="Arial" w:cs="Arial"/>
          <w:sz w:val="24"/>
          <w:szCs w:val="24"/>
          <w:lang w:val="en-GB"/>
        </w:rPr>
        <w:t xml:space="preserve">report was </w:t>
      </w:r>
      <w:r w:rsidR="00B7617A">
        <w:rPr>
          <w:rFonts w:ascii="Arial" w:hAnsi="Arial" w:cs="Arial"/>
          <w:sz w:val="24"/>
          <w:szCs w:val="24"/>
          <w:lang w:val="en-GB"/>
        </w:rPr>
        <w:t xml:space="preserve">presumably </w:t>
      </w:r>
      <w:r w:rsidR="00700C72">
        <w:rPr>
          <w:rFonts w:ascii="Arial" w:hAnsi="Arial" w:cs="Arial"/>
          <w:sz w:val="24"/>
          <w:szCs w:val="24"/>
          <w:lang w:val="en-GB"/>
        </w:rPr>
        <w:t>intended to assist the court seized with the matter on the return date in dealing with the question of advantage to creditors.</w:t>
      </w:r>
      <w:r w:rsidR="004E6E84">
        <w:rPr>
          <w:rFonts w:ascii="Arial" w:hAnsi="Arial" w:cs="Arial"/>
          <w:sz w:val="24"/>
          <w:szCs w:val="24"/>
          <w:lang w:val="en-GB"/>
        </w:rPr>
        <w:t xml:space="preserve"> </w:t>
      </w:r>
    </w:p>
    <w:p w:rsidR="002A169D" w:rsidRDefault="002A169D" w:rsidP="002A169D">
      <w:pPr>
        <w:pStyle w:val="ListParagraph"/>
        <w:rPr>
          <w:rFonts w:ascii="Arial" w:hAnsi="Arial" w:cs="Arial"/>
          <w:sz w:val="24"/>
          <w:szCs w:val="24"/>
          <w:lang w:val="en-GB"/>
        </w:rPr>
      </w:pPr>
    </w:p>
    <w:p w:rsidR="00B51BB7" w:rsidRPr="0043001F" w:rsidRDefault="000140CE" w:rsidP="00B51BB7">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Although there is no statutory duty on a provisional trustee to carry out an investigation and report, such reports are unobjectionable</w:t>
      </w:r>
      <w:r>
        <w:rPr>
          <w:rFonts w:ascii="Verdana" w:hAnsi="Verdana"/>
          <w:color w:val="000000"/>
          <w:sz w:val="18"/>
          <w:szCs w:val="18"/>
          <w:shd w:val="clear" w:color="auto" w:fill="FFFFFF"/>
        </w:rPr>
        <w:t xml:space="preserve"> </w:t>
      </w:r>
      <w:r w:rsidRPr="000140CE">
        <w:rPr>
          <w:rFonts w:ascii="Arial" w:hAnsi="Arial" w:cs="Arial"/>
          <w:color w:val="000000"/>
          <w:sz w:val="24"/>
          <w:szCs w:val="24"/>
          <w:shd w:val="clear" w:color="auto" w:fill="FFFFFF"/>
        </w:rPr>
        <w:t>if a provisional trustee obtains information which has a bearing upon the various matters arising for determination on the return day</w:t>
      </w:r>
      <w:r>
        <w:rPr>
          <w:rFonts w:ascii="Arial" w:hAnsi="Arial" w:cs="Arial"/>
          <w:color w:val="000000"/>
          <w:sz w:val="24"/>
          <w:szCs w:val="24"/>
          <w:shd w:val="clear" w:color="auto" w:fill="FFFFFF"/>
        </w:rPr>
        <w:t>.</w:t>
      </w:r>
      <w:r w:rsidR="00B7617A" w:rsidRPr="000140CE">
        <w:rPr>
          <w:rStyle w:val="FootnoteReference"/>
          <w:rFonts w:ascii="Arial" w:hAnsi="Arial" w:cs="Arial"/>
          <w:sz w:val="24"/>
          <w:szCs w:val="24"/>
          <w:lang w:val="en-GB"/>
        </w:rPr>
        <w:footnoteReference w:id="12"/>
      </w:r>
      <w:r w:rsidR="00947F12" w:rsidRPr="000140CE">
        <w:rPr>
          <w:rFonts w:ascii="Arial" w:hAnsi="Arial" w:cs="Arial"/>
          <w:sz w:val="24"/>
          <w:szCs w:val="24"/>
          <w:lang w:val="en-GB"/>
        </w:rPr>
        <w:t xml:space="preserve"> </w:t>
      </w:r>
      <w:r w:rsidR="00947F12">
        <w:rPr>
          <w:rFonts w:ascii="Arial" w:hAnsi="Arial" w:cs="Arial"/>
          <w:sz w:val="24"/>
          <w:szCs w:val="24"/>
          <w:lang w:val="en-GB"/>
        </w:rPr>
        <w:t xml:space="preserve">The extent to which </w:t>
      </w:r>
      <w:r>
        <w:rPr>
          <w:rFonts w:ascii="Arial" w:hAnsi="Arial" w:cs="Arial"/>
          <w:sz w:val="24"/>
          <w:szCs w:val="24"/>
          <w:lang w:val="en-GB"/>
        </w:rPr>
        <w:t xml:space="preserve">they can </w:t>
      </w:r>
      <w:r w:rsidR="00947F12">
        <w:rPr>
          <w:rFonts w:ascii="Arial" w:hAnsi="Arial" w:cs="Arial"/>
          <w:sz w:val="24"/>
          <w:szCs w:val="24"/>
          <w:lang w:val="en-GB"/>
        </w:rPr>
        <w:t>be of assistance is however constrained by the limited powers of provisional trustees to obtain information in the light of various provisions of the Insolvency Act</w:t>
      </w:r>
      <w:r>
        <w:rPr>
          <w:rFonts w:ascii="Arial" w:hAnsi="Arial" w:cs="Arial"/>
          <w:sz w:val="24"/>
          <w:szCs w:val="24"/>
          <w:lang w:val="en-GB"/>
        </w:rPr>
        <w:t>,</w:t>
      </w:r>
      <w:r w:rsidR="00947F12">
        <w:rPr>
          <w:rFonts w:ascii="Arial" w:hAnsi="Arial" w:cs="Arial"/>
          <w:sz w:val="24"/>
          <w:szCs w:val="24"/>
          <w:lang w:val="en-GB"/>
        </w:rPr>
        <w:t xml:space="preserve"> and the fact that the duty to investigate and report in accordance with section 80 of the Insolvency Act rests on final and not provisional trustees.</w:t>
      </w:r>
      <w:r>
        <w:rPr>
          <w:rFonts w:ascii="Arial" w:hAnsi="Arial" w:cs="Arial"/>
          <w:sz w:val="24"/>
          <w:szCs w:val="24"/>
          <w:lang w:val="en-GB"/>
        </w:rPr>
        <w:t xml:space="preserve"> The court which granted the order would have been alive to these limitations. </w:t>
      </w:r>
    </w:p>
    <w:p w:rsidR="00E644FA" w:rsidRPr="00E644FA" w:rsidRDefault="00E644FA" w:rsidP="00E644FA">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Turning to the language, the order does not direct the trustees to conduct an enquiry, simply to report. That is in my view significant, as provisional trustees have no independent power to conduct enquiries. </w:t>
      </w:r>
    </w:p>
    <w:p w:rsidR="00E644FA" w:rsidRDefault="00E644FA" w:rsidP="00E644FA">
      <w:pPr>
        <w:pStyle w:val="ListParagraph"/>
        <w:rPr>
          <w:rFonts w:ascii="Arial" w:hAnsi="Arial" w:cs="Arial"/>
          <w:sz w:val="24"/>
          <w:szCs w:val="24"/>
          <w:lang w:val="en-GB"/>
        </w:rPr>
      </w:pPr>
    </w:p>
    <w:p w:rsidR="00B51BB7" w:rsidRDefault="00F37234" w:rsidP="00B51BB7">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Sections 64 to 66 of the Insolvency Act provide for enquiries at meetings of creditors and create the means whereby </w:t>
      </w:r>
      <w:r w:rsidR="00B51BB7">
        <w:rPr>
          <w:rFonts w:ascii="Arial" w:hAnsi="Arial" w:cs="Arial"/>
          <w:sz w:val="24"/>
          <w:szCs w:val="24"/>
          <w:lang w:val="en-GB"/>
        </w:rPr>
        <w:t xml:space="preserve">the </w:t>
      </w:r>
      <w:r>
        <w:rPr>
          <w:rFonts w:ascii="Arial" w:hAnsi="Arial" w:cs="Arial"/>
          <w:sz w:val="24"/>
          <w:szCs w:val="24"/>
          <w:lang w:val="en-GB"/>
        </w:rPr>
        <w:t xml:space="preserve">attendance </w:t>
      </w:r>
      <w:r w:rsidR="00B51BB7">
        <w:rPr>
          <w:rFonts w:ascii="Arial" w:hAnsi="Arial" w:cs="Arial"/>
          <w:sz w:val="24"/>
          <w:szCs w:val="24"/>
          <w:lang w:val="en-GB"/>
        </w:rPr>
        <w:t xml:space="preserve">of persons to be interrogated </w:t>
      </w:r>
      <w:r>
        <w:rPr>
          <w:rFonts w:ascii="Arial" w:hAnsi="Arial" w:cs="Arial"/>
          <w:sz w:val="24"/>
          <w:szCs w:val="24"/>
          <w:lang w:val="en-GB"/>
        </w:rPr>
        <w:t>can be secured and enforced. Such meetings are only convened after the grant of  final</w:t>
      </w:r>
      <w:r w:rsidR="009823C9">
        <w:rPr>
          <w:rFonts w:ascii="Arial" w:hAnsi="Arial" w:cs="Arial"/>
          <w:sz w:val="24"/>
          <w:szCs w:val="24"/>
          <w:lang w:val="en-GB"/>
        </w:rPr>
        <w:t xml:space="preserve"> </w:t>
      </w:r>
      <w:r>
        <w:rPr>
          <w:rFonts w:ascii="Arial" w:hAnsi="Arial" w:cs="Arial"/>
          <w:sz w:val="24"/>
          <w:szCs w:val="24"/>
          <w:lang w:val="en-GB"/>
        </w:rPr>
        <w:t>orders of sequestration</w:t>
      </w:r>
      <w:r w:rsidR="00683D20">
        <w:rPr>
          <w:rFonts w:ascii="Arial" w:hAnsi="Arial" w:cs="Arial"/>
          <w:sz w:val="24"/>
          <w:szCs w:val="24"/>
          <w:lang w:val="en-GB"/>
        </w:rPr>
        <w:t>.</w:t>
      </w:r>
      <w:r w:rsidR="00683D20">
        <w:rPr>
          <w:rStyle w:val="FootnoteReference"/>
          <w:rFonts w:ascii="Arial" w:hAnsi="Arial" w:cs="Arial"/>
          <w:sz w:val="24"/>
          <w:szCs w:val="24"/>
          <w:lang w:val="en-GB"/>
        </w:rPr>
        <w:footnoteReference w:id="13"/>
      </w:r>
      <w:r w:rsidR="00683D20">
        <w:rPr>
          <w:rFonts w:ascii="Arial" w:hAnsi="Arial" w:cs="Arial"/>
          <w:sz w:val="24"/>
          <w:szCs w:val="24"/>
          <w:lang w:val="en-GB"/>
        </w:rPr>
        <w:t xml:space="preserve"> </w:t>
      </w:r>
      <w:r>
        <w:rPr>
          <w:rFonts w:ascii="Arial" w:hAnsi="Arial" w:cs="Arial"/>
          <w:sz w:val="24"/>
          <w:szCs w:val="24"/>
          <w:lang w:val="en-GB"/>
        </w:rPr>
        <w:t xml:space="preserve">Those sections </w:t>
      </w:r>
      <w:r w:rsidR="00113364">
        <w:rPr>
          <w:rFonts w:ascii="Arial" w:hAnsi="Arial" w:cs="Arial"/>
          <w:sz w:val="24"/>
          <w:szCs w:val="24"/>
          <w:lang w:val="en-GB"/>
        </w:rPr>
        <w:t>could not therefore empower the provisional trustees to conduct the enquiry the respondent contends was envisaged by paragraph 3.1 of the</w:t>
      </w:r>
      <w:r w:rsidR="00B51BB7">
        <w:rPr>
          <w:rFonts w:ascii="Arial" w:hAnsi="Arial" w:cs="Arial"/>
          <w:sz w:val="24"/>
          <w:szCs w:val="24"/>
          <w:lang w:val="en-GB"/>
        </w:rPr>
        <w:t>.</w:t>
      </w:r>
      <w:r w:rsidR="00113364">
        <w:rPr>
          <w:rFonts w:ascii="Arial" w:hAnsi="Arial" w:cs="Arial"/>
          <w:sz w:val="24"/>
          <w:szCs w:val="24"/>
          <w:lang w:val="en-GB"/>
        </w:rPr>
        <w:t xml:space="preserve"> order</w:t>
      </w:r>
      <w:r w:rsidR="00B51BB7">
        <w:rPr>
          <w:rFonts w:ascii="Arial" w:hAnsi="Arial" w:cs="Arial"/>
          <w:sz w:val="24"/>
          <w:szCs w:val="24"/>
          <w:lang w:val="en-GB"/>
        </w:rPr>
        <w:t xml:space="preserve"> </w:t>
      </w:r>
    </w:p>
    <w:p w:rsidR="00B51BB7" w:rsidRDefault="00B51BB7" w:rsidP="00B51BB7">
      <w:pPr>
        <w:pStyle w:val="ListParagraph"/>
        <w:rPr>
          <w:rFonts w:ascii="Arial" w:hAnsi="Arial" w:cs="Arial"/>
          <w:sz w:val="24"/>
          <w:szCs w:val="24"/>
          <w:lang w:val="en-GB"/>
        </w:rPr>
      </w:pPr>
    </w:p>
    <w:p w:rsidR="002A169D" w:rsidRPr="00B51BB7" w:rsidRDefault="00F37234" w:rsidP="00B51BB7">
      <w:pPr>
        <w:numPr>
          <w:ilvl w:val="0"/>
          <w:numId w:val="2"/>
        </w:numPr>
        <w:spacing w:after="0" w:line="360" w:lineRule="auto"/>
        <w:jc w:val="both"/>
        <w:rPr>
          <w:rFonts w:ascii="Arial" w:hAnsi="Arial" w:cs="Arial"/>
          <w:sz w:val="24"/>
          <w:szCs w:val="24"/>
          <w:lang w:val="en-GB"/>
        </w:rPr>
      </w:pPr>
      <w:r w:rsidRPr="00B51BB7">
        <w:rPr>
          <w:rFonts w:ascii="Arial" w:hAnsi="Arial" w:cs="Arial"/>
          <w:sz w:val="24"/>
          <w:szCs w:val="24"/>
          <w:lang w:val="en-GB"/>
        </w:rPr>
        <w:t>Provisional trustees can apply to the Master for permission to invoke section 152 of the Insolvency Act for the purpose of examining persons before the Master or a member of the public service designated by the Master</w:t>
      </w:r>
      <w:r w:rsidR="004E6E84" w:rsidRPr="00B51BB7">
        <w:rPr>
          <w:rFonts w:ascii="Arial" w:hAnsi="Arial" w:cs="Arial"/>
          <w:sz w:val="24"/>
          <w:szCs w:val="24"/>
          <w:lang w:val="en-GB"/>
        </w:rPr>
        <w:t>.</w:t>
      </w:r>
      <w:r>
        <w:rPr>
          <w:rStyle w:val="FootnoteReference"/>
          <w:rFonts w:ascii="Arial" w:hAnsi="Arial" w:cs="Arial"/>
          <w:sz w:val="24"/>
          <w:szCs w:val="24"/>
          <w:lang w:val="en-GB"/>
        </w:rPr>
        <w:footnoteReference w:id="14"/>
      </w:r>
      <w:r w:rsidR="004E6E84" w:rsidRPr="00B51BB7">
        <w:rPr>
          <w:rFonts w:ascii="Arial" w:hAnsi="Arial" w:cs="Arial"/>
          <w:sz w:val="24"/>
          <w:szCs w:val="24"/>
          <w:lang w:val="en-GB"/>
        </w:rPr>
        <w:t xml:space="preserve"> </w:t>
      </w:r>
      <w:r w:rsidR="00075C26" w:rsidRPr="00B51BB7">
        <w:rPr>
          <w:rFonts w:ascii="Arial" w:hAnsi="Arial" w:cs="Arial"/>
          <w:sz w:val="24"/>
          <w:szCs w:val="24"/>
          <w:lang w:val="en-GB"/>
        </w:rPr>
        <w:t>This process would need to be funded by someone, something for which paragraph 1.3 of the order makes no provision</w:t>
      </w:r>
      <w:r w:rsidR="00E644FA">
        <w:rPr>
          <w:rFonts w:ascii="Arial" w:hAnsi="Arial" w:cs="Arial"/>
          <w:sz w:val="24"/>
          <w:szCs w:val="24"/>
          <w:lang w:val="en-GB"/>
        </w:rPr>
        <w:t xml:space="preserve"> and it would take time both to seek and obtain approval and to hold the enquiry</w:t>
      </w:r>
      <w:r w:rsidR="00075C26" w:rsidRPr="00B51BB7">
        <w:rPr>
          <w:rFonts w:ascii="Arial" w:hAnsi="Arial" w:cs="Arial"/>
          <w:sz w:val="24"/>
          <w:szCs w:val="24"/>
          <w:lang w:val="en-GB"/>
        </w:rPr>
        <w:t xml:space="preserve">. </w:t>
      </w:r>
      <w:r w:rsidR="00E644FA">
        <w:rPr>
          <w:rFonts w:ascii="Arial" w:hAnsi="Arial" w:cs="Arial"/>
          <w:sz w:val="24"/>
          <w:szCs w:val="24"/>
          <w:lang w:val="en-GB"/>
        </w:rPr>
        <w:t xml:space="preserve">The return date of the rule issued on 26 January 2023 was 13 April 2023, it is highly unlikely that an enquiry under section 152 could have been approved and conducted before the return date. </w:t>
      </w:r>
      <w:r w:rsidR="004E6E84" w:rsidRPr="00B51BB7">
        <w:rPr>
          <w:rFonts w:ascii="Arial" w:hAnsi="Arial" w:cs="Arial"/>
          <w:sz w:val="24"/>
          <w:szCs w:val="24"/>
          <w:lang w:val="en-GB"/>
        </w:rPr>
        <w:t xml:space="preserve">An examination under section 152 of the Insolvency Act is </w:t>
      </w:r>
      <w:r w:rsidR="00947F12" w:rsidRPr="00B51BB7">
        <w:rPr>
          <w:rFonts w:ascii="Arial" w:hAnsi="Arial" w:cs="Arial"/>
          <w:sz w:val="24"/>
          <w:szCs w:val="24"/>
          <w:lang w:val="en-GB"/>
        </w:rPr>
        <w:t xml:space="preserve">by the Master or his designate, not by the provisional trustee and if the Master were to refuse permission, the examination could be not held. </w:t>
      </w:r>
      <w:r w:rsidR="00B51BB7">
        <w:rPr>
          <w:rFonts w:ascii="Arial" w:hAnsi="Arial" w:cs="Arial"/>
          <w:sz w:val="24"/>
          <w:szCs w:val="24"/>
          <w:lang w:val="en-GB"/>
        </w:rPr>
        <w:t>I</w:t>
      </w:r>
      <w:r w:rsidR="00F02FD6" w:rsidRPr="00B51BB7">
        <w:rPr>
          <w:rFonts w:ascii="Arial" w:hAnsi="Arial" w:cs="Arial"/>
          <w:sz w:val="24"/>
          <w:szCs w:val="24"/>
          <w:lang w:val="en-GB"/>
        </w:rPr>
        <w:t xml:space="preserve">n addition, section 152 examinations are </w:t>
      </w:r>
      <w:r w:rsidR="00075C26" w:rsidRPr="00B51BB7">
        <w:rPr>
          <w:rFonts w:ascii="Arial" w:hAnsi="Arial" w:cs="Arial"/>
          <w:sz w:val="24"/>
          <w:szCs w:val="24"/>
          <w:lang w:val="en-GB"/>
        </w:rPr>
        <w:t>private,</w:t>
      </w:r>
      <w:r w:rsidR="00F02FD6" w:rsidRPr="00B51BB7">
        <w:rPr>
          <w:rFonts w:ascii="Arial" w:hAnsi="Arial" w:cs="Arial"/>
          <w:sz w:val="24"/>
          <w:szCs w:val="24"/>
          <w:lang w:val="en-GB"/>
        </w:rPr>
        <w:t xml:space="preserve"> and the information obtained cannot </w:t>
      </w:r>
      <w:r w:rsidR="00520E23">
        <w:rPr>
          <w:rFonts w:ascii="Arial" w:hAnsi="Arial" w:cs="Arial"/>
          <w:sz w:val="24"/>
          <w:szCs w:val="24"/>
          <w:lang w:val="en-GB"/>
        </w:rPr>
        <w:t xml:space="preserve">ordinarily </w:t>
      </w:r>
      <w:r w:rsidR="00F02FD6" w:rsidRPr="00B51BB7">
        <w:rPr>
          <w:rFonts w:ascii="Arial" w:hAnsi="Arial" w:cs="Arial"/>
          <w:sz w:val="24"/>
          <w:szCs w:val="24"/>
          <w:lang w:val="en-GB"/>
        </w:rPr>
        <w:t>be shared with the public,</w:t>
      </w:r>
      <w:r w:rsidR="00F02FD6">
        <w:rPr>
          <w:rStyle w:val="FootnoteReference"/>
          <w:rFonts w:ascii="Arial" w:hAnsi="Arial" w:cs="Arial"/>
          <w:sz w:val="24"/>
          <w:szCs w:val="24"/>
          <w:lang w:val="en-GB"/>
        </w:rPr>
        <w:footnoteReference w:id="15"/>
      </w:r>
      <w:r w:rsidR="00F02FD6" w:rsidRPr="00B51BB7">
        <w:rPr>
          <w:rFonts w:ascii="Arial" w:hAnsi="Arial" w:cs="Arial"/>
          <w:sz w:val="24"/>
          <w:szCs w:val="24"/>
          <w:lang w:val="en-GB"/>
        </w:rPr>
        <w:t xml:space="preserve"> and could not therefore properly be put before the court in a report</w:t>
      </w:r>
      <w:r w:rsidR="00520E23">
        <w:rPr>
          <w:rFonts w:ascii="Arial" w:hAnsi="Arial" w:cs="Arial"/>
          <w:sz w:val="24"/>
          <w:szCs w:val="24"/>
          <w:lang w:val="en-GB"/>
        </w:rPr>
        <w:t xml:space="preserve"> unless additional permission to disclose the information had been obtained</w:t>
      </w:r>
      <w:r w:rsidR="00E644FA">
        <w:rPr>
          <w:rFonts w:ascii="Arial" w:hAnsi="Arial" w:cs="Arial"/>
          <w:sz w:val="24"/>
          <w:szCs w:val="24"/>
          <w:lang w:val="en-GB"/>
        </w:rPr>
        <w:t xml:space="preserve">. </w:t>
      </w:r>
      <w:r w:rsidR="00F02FD6" w:rsidRPr="00B51BB7">
        <w:rPr>
          <w:rFonts w:ascii="Arial" w:hAnsi="Arial" w:cs="Arial"/>
          <w:sz w:val="24"/>
          <w:szCs w:val="24"/>
          <w:lang w:val="en-GB"/>
        </w:rPr>
        <w:t xml:space="preserve"> </w:t>
      </w:r>
      <w:r w:rsidR="00947F12" w:rsidRPr="00B51BB7">
        <w:rPr>
          <w:rFonts w:ascii="Arial" w:hAnsi="Arial" w:cs="Arial"/>
          <w:sz w:val="24"/>
          <w:szCs w:val="24"/>
          <w:lang w:val="en-GB"/>
        </w:rPr>
        <w:t xml:space="preserve">So section 152 of the Insolvency Act also accords the provisional trustees no power to do what the respondent submits </w:t>
      </w:r>
      <w:r w:rsidR="00E644FA">
        <w:rPr>
          <w:rFonts w:ascii="Arial" w:hAnsi="Arial" w:cs="Arial"/>
          <w:sz w:val="24"/>
          <w:szCs w:val="24"/>
          <w:lang w:val="en-GB"/>
        </w:rPr>
        <w:t xml:space="preserve">was </w:t>
      </w:r>
      <w:r w:rsidR="00947F12" w:rsidRPr="00B51BB7">
        <w:rPr>
          <w:rFonts w:ascii="Arial" w:hAnsi="Arial" w:cs="Arial"/>
          <w:sz w:val="24"/>
          <w:szCs w:val="24"/>
          <w:lang w:val="en-GB"/>
        </w:rPr>
        <w:t xml:space="preserve">required by paragraph 3.1 of the order. </w:t>
      </w:r>
    </w:p>
    <w:p w:rsidR="002A169D" w:rsidRDefault="002A169D" w:rsidP="002A169D">
      <w:pPr>
        <w:pStyle w:val="ListParagraph"/>
        <w:rPr>
          <w:rFonts w:ascii="Arial" w:hAnsi="Arial" w:cs="Arial"/>
          <w:sz w:val="24"/>
          <w:szCs w:val="24"/>
          <w:lang w:val="en-GB"/>
        </w:rPr>
      </w:pPr>
    </w:p>
    <w:p w:rsidR="00B51BB7" w:rsidRDefault="007605AE" w:rsidP="00B51BB7">
      <w:pPr>
        <w:numPr>
          <w:ilvl w:val="0"/>
          <w:numId w:val="2"/>
        </w:numPr>
        <w:spacing w:after="0" w:line="360" w:lineRule="auto"/>
        <w:jc w:val="both"/>
        <w:rPr>
          <w:rFonts w:ascii="Arial" w:hAnsi="Arial" w:cs="Arial"/>
          <w:sz w:val="24"/>
          <w:szCs w:val="24"/>
          <w:lang w:val="en-GB"/>
        </w:rPr>
      </w:pPr>
      <w:r w:rsidRPr="002A169D">
        <w:rPr>
          <w:rFonts w:ascii="Arial" w:hAnsi="Arial" w:cs="Arial"/>
          <w:sz w:val="24"/>
          <w:szCs w:val="24"/>
          <w:lang w:val="en-GB"/>
        </w:rPr>
        <w:t xml:space="preserve">Mr Pedersen submitted that despite these provisions of the Insolvency Act paragraph 3.1 of the order must be interpreted as conferring the power to conduct enquiries on the provisional trustees by implication. </w:t>
      </w:r>
      <w:r w:rsidRPr="00B51BB7">
        <w:rPr>
          <w:rFonts w:ascii="Arial" w:hAnsi="Arial" w:cs="Arial"/>
          <w:sz w:val="24"/>
          <w:szCs w:val="24"/>
          <w:lang w:val="en-GB"/>
        </w:rPr>
        <w:t xml:space="preserve">That would be a very far-reaching implication indeed. It would run counter to the whole scheme of the Insolvency </w:t>
      </w:r>
      <w:r w:rsidR="00B7617A" w:rsidRPr="00B51BB7">
        <w:rPr>
          <w:rFonts w:ascii="Arial" w:hAnsi="Arial" w:cs="Arial"/>
          <w:sz w:val="24"/>
          <w:szCs w:val="24"/>
          <w:lang w:val="en-GB"/>
        </w:rPr>
        <w:t>Act,</w:t>
      </w:r>
      <w:r w:rsidRPr="00B51BB7">
        <w:rPr>
          <w:rFonts w:ascii="Arial" w:hAnsi="Arial" w:cs="Arial"/>
          <w:sz w:val="24"/>
          <w:szCs w:val="24"/>
          <w:lang w:val="en-GB"/>
        </w:rPr>
        <w:t xml:space="preserve"> and it is not apparent where a court would source </w:t>
      </w:r>
      <w:r w:rsidR="000C6613">
        <w:rPr>
          <w:rFonts w:ascii="Arial" w:hAnsi="Arial" w:cs="Arial"/>
          <w:sz w:val="24"/>
          <w:szCs w:val="24"/>
          <w:lang w:val="en-GB"/>
        </w:rPr>
        <w:t>the</w:t>
      </w:r>
      <w:r w:rsidRPr="00B51BB7">
        <w:rPr>
          <w:rFonts w:ascii="Arial" w:hAnsi="Arial" w:cs="Arial"/>
          <w:sz w:val="24"/>
          <w:szCs w:val="24"/>
          <w:lang w:val="en-GB"/>
        </w:rPr>
        <w:t xml:space="preserve"> power to make such an order even if </w:t>
      </w:r>
      <w:r w:rsidR="000C6613">
        <w:rPr>
          <w:rFonts w:ascii="Arial" w:hAnsi="Arial" w:cs="Arial"/>
          <w:sz w:val="24"/>
          <w:szCs w:val="24"/>
          <w:lang w:val="en-GB"/>
        </w:rPr>
        <w:t xml:space="preserve">it </w:t>
      </w:r>
      <w:r w:rsidRPr="00B51BB7">
        <w:rPr>
          <w:rFonts w:ascii="Arial" w:hAnsi="Arial" w:cs="Arial"/>
          <w:sz w:val="24"/>
          <w:szCs w:val="24"/>
          <w:lang w:val="en-GB"/>
        </w:rPr>
        <w:t xml:space="preserve">were so minded. Neither of the representatives appearing for the parties could identify a suitable empowering provision. </w:t>
      </w:r>
    </w:p>
    <w:p w:rsidR="00B51BB7" w:rsidRDefault="00B51BB7" w:rsidP="00B51BB7">
      <w:pPr>
        <w:pStyle w:val="ListParagraph"/>
        <w:rPr>
          <w:rFonts w:ascii="Arial" w:hAnsi="Arial" w:cs="Arial"/>
          <w:sz w:val="24"/>
          <w:szCs w:val="24"/>
          <w:lang w:val="en-GB"/>
        </w:rPr>
      </w:pPr>
    </w:p>
    <w:p w:rsidR="000140CE" w:rsidRPr="00B51BB7" w:rsidRDefault="007605AE" w:rsidP="00B51BB7">
      <w:pPr>
        <w:numPr>
          <w:ilvl w:val="0"/>
          <w:numId w:val="2"/>
        </w:numPr>
        <w:spacing w:after="0" w:line="360" w:lineRule="auto"/>
        <w:jc w:val="both"/>
        <w:rPr>
          <w:rFonts w:ascii="Arial" w:hAnsi="Arial" w:cs="Arial"/>
          <w:sz w:val="24"/>
          <w:szCs w:val="24"/>
          <w:lang w:val="en-GB"/>
        </w:rPr>
      </w:pPr>
      <w:r w:rsidRPr="00B51BB7">
        <w:rPr>
          <w:rFonts w:ascii="Arial" w:hAnsi="Arial" w:cs="Arial"/>
          <w:sz w:val="24"/>
          <w:szCs w:val="24"/>
          <w:lang w:val="en-GB"/>
        </w:rPr>
        <w:t>I consequently find that paragraph 3.1 of the provisional sequestration order cannot be interpreted as the respondent contends</w:t>
      </w:r>
      <w:r w:rsidR="00CA75ED" w:rsidRPr="00B51BB7">
        <w:rPr>
          <w:rFonts w:ascii="Arial" w:hAnsi="Arial" w:cs="Arial"/>
          <w:sz w:val="24"/>
          <w:szCs w:val="24"/>
          <w:lang w:val="en-GB"/>
        </w:rPr>
        <w:t>.</w:t>
      </w:r>
      <w:r w:rsidR="00B51BB7">
        <w:rPr>
          <w:rFonts w:ascii="Arial" w:hAnsi="Arial" w:cs="Arial"/>
          <w:sz w:val="24"/>
          <w:szCs w:val="24"/>
          <w:lang w:val="en-GB"/>
        </w:rPr>
        <w:t xml:space="preserve"> </w:t>
      </w:r>
      <w:r w:rsidR="00CA75ED" w:rsidRPr="00B51BB7">
        <w:rPr>
          <w:rFonts w:ascii="Arial" w:hAnsi="Arial" w:cs="Arial"/>
          <w:sz w:val="24"/>
          <w:szCs w:val="24"/>
          <w:lang w:val="en-GB"/>
        </w:rPr>
        <w:t>The effect of this finding is that the respondent’s submission that an enquiry could be held by the trustees as an alternative to the final sequestration of his estate cannot be upheld, and the application for an adjournment on the basis of alleged non-compliance with paragraph 3.1 must be dismissed.</w:t>
      </w:r>
    </w:p>
    <w:p w:rsidR="006B34D2" w:rsidRPr="00E644FA" w:rsidRDefault="006B34D2" w:rsidP="006B34D2">
      <w:pPr>
        <w:spacing w:after="0" w:line="360" w:lineRule="auto"/>
        <w:jc w:val="both"/>
        <w:rPr>
          <w:rFonts w:ascii="Arial" w:hAnsi="Arial" w:cs="Arial"/>
          <w:sz w:val="24"/>
          <w:szCs w:val="24"/>
          <w:lang w:val="en-GB"/>
        </w:rPr>
      </w:pPr>
    </w:p>
    <w:p w:rsidR="004C2FA4" w:rsidRPr="00E644FA" w:rsidRDefault="00CA75ED" w:rsidP="00FE578E">
      <w:pPr>
        <w:spacing w:line="480" w:lineRule="auto"/>
        <w:jc w:val="both"/>
        <w:rPr>
          <w:rFonts w:ascii="Arial" w:hAnsi="Arial" w:cs="Arial"/>
          <w:b/>
          <w:bCs/>
          <w:sz w:val="24"/>
          <w:szCs w:val="24"/>
          <w:lang w:val="en-GB"/>
        </w:rPr>
      </w:pPr>
      <w:r w:rsidRPr="00E644FA">
        <w:rPr>
          <w:rFonts w:ascii="Arial" w:hAnsi="Arial" w:cs="Arial"/>
          <w:b/>
          <w:bCs/>
          <w:sz w:val="24"/>
          <w:szCs w:val="24"/>
          <w:lang w:val="en-GB"/>
        </w:rPr>
        <w:t>Adjournment due to meeting scheduled with provisional trustees</w:t>
      </w:r>
    </w:p>
    <w:p w:rsidR="00075C26" w:rsidRDefault="00CA75ED" w:rsidP="00453770">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 xml:space="preserve">I turn then to the </w:t>
      </w:r>
      <w:r w:rsidR="00E644FA">
        <w:rPr>
          <w:rFonts w:ascii="Arial" w:hAnsi="Arial" w:cs="Arial"/>
          <w:sz w:val="24"/>
          <w:szCs w:val="24"/>
          <w:lang w:val="en-GB"/>
        </w:rPr>
        <w:t xml:space="preserve">respondent’s </w:t>
      </w:r>
      <w:r>
        <w:rPr>
          <w:rFonts w:ascii="Arial" w:hAnsi="Arial" w:cs="Arial"/>
          <w:sz w:val="24"/>
          <w:szCs w:val="24"/>
          <w:lang w:val="en-GB"/>
        </w:rPr>
        <w:t xml:space="preserve">application </w:t>
      </w:r>
      <w:r w:rsidR="00E644FA">
        <w:rPr>
          <w:rFonts w:ascii="Arial" w:hAnsi="Arial" w:cs="Arial"/>
          <w:sz w:val="24"/>
          <w:szCs w:val="24"/>
          <w:lang w:val="en-GB"/>
        </w:rPr>
        <w:t xml:space="preserve">for an adjournment due to </w:t>
      </w:r>
      <w:r>
        <w:rPr>
          <w:rFonts w:ascii="Arial" w:hAnsi="Arial" w:cs="Arial"/>
          <w:sz w:val="24"/>
          <w:szCs w:val="24"/>
          <w:lang w:val="en-GB"/>
        </w:rPr>
        <w:t xml:space="preserve">the meeting with the provisional trustees scheduled for </w:t>
      </w:r>
      <w:r w:rsidR="009B728E">
        <w:rPr>
          <w:rFonts w:ascii="Arial" w:hAnsi="Arial" w:cs="Arial"/>
          <w:sz w:val="24"/>
          <w:szCs w:val="24"/>
          <w:lang w:val="en-GB"/>
        </w:rPr>
        <w:t>24 August 2023</w:t>
      </w:r>
      <w:r w:rsidR="00BB0C8E">
        <w:rPr>
          <w:rFonts w:ascii="Arial" w:hAnsi="Arial" w:cs="Arial"/>
          <w:sz w:val="24"/>
          <w:szCs w:val="24"/>
          <w:lang w:val="en-GB"/>
        </w:rPr>
        <w:t>.</w:t>
      </w:r>
      <w:r w:rsidR="009B728E">
        <w:rPr>
          <w:rFonts w:ascii="Arial" w:hAnsi="Arial" w:cs="Arial"/>
          <w:sz w:val="24"/>
          <w:szCs w:val="24"/>
          <w:lang w:val="en-GB"/>
        </w:rPr>
        <w:t xml:space="preserve"> </w:t>
      </w:r>
      <w:r w:rsidR="00075C26">
        <w:rPr>
          <w:rFonts w:ascii="Arial" w:hAnsi="Arial" w:cs="Arial"/>
          <w:sz w:val="24"/>
          <w:szCs w:val="24"/>
          <w:lang w:val="en-GB"/>
        </w:rPr>
        <w:t>It is clear from the scheme of the Insolvency Act outlined abo</w:t>
      </w:r>
      <w:r w:rsidR="000C6613">
        <w:rPr>
          <w:rFonts w:ascii="Arial" w:hAnsi="Arial" w:cs="Arial"/>
          <w:sz w:val="24"/>
          <w:szCs w:val="24"/>
          <w:lang w:val="en-GB"/>
        </w:rPr>
        <w:t>ve</w:t>
      </w:r>
      <w:r w:rsidR="00075C26">
        <w:rPr>
          <w:rFonts w:ascii="Arial" w:hAnsi="Arial" w:cs="Arial"/>
          <w:sz w:val="24"/>
          <w:szCs w:val="24"/>
          <w:lang w:val="en-GB"/>
        </w:rPr>
        <w:t xml:space="preserve"> that what is scheduled is not an enquiry</w:t>
      </w:r>
      <w:r w:rsidR="00E644FA">
        <w:rPr>
          <w:rFonts w:ascii="Arial" w:hAnsi="Arial" w:cs="Arial"/>
          <w:sz w:val="24"/>
          <w:szCs w:val="24"/>
          <w:lang w:val="en-GB"/>
        </w:rPr>
        <w:t xml:space="preserve"> but a meeting. </w:t>
      </w:r>
    </w:p>
    <w:p w:rsidR="002A169D" w:rsidRDefault="002A169D" w:rsidP="002A169D">
      <w:pPr>
        <w:spacing w:after="0" w:line="360" w:lineRule="auto"/>
        <w:jc w:val="both"/>
        <w:rPr>
          <w:rFonts w:ascii="Arial" w:hAnsi="Arial" w:cs="Arial"/>
          <w:sz w:val="24"/>
          <w:szCs w:val="24"/>
          <w:lang w:val="en-GB"/>
        </w:rPr>
      </w:pPr>
    </w:p>
    <w:p w:rsidR="002A169D" w:rsidRDefault="009B728E" w:rsidP="007A5AAA">
      <w:pPr>
        <w:numPr>
          <w:ilvl w:val="0"/>
          <w:numId w:val="2"/>
        </w:numPr>
        <w:spacing w:after="0" w:line="360" w:lineRule="auto"/>
        <w:jc w:val="both"/>
        <w:rPr>
          <w:rFonts w:ascii="Arial" w:hAnsi="Arial" w:cs="Arial"/>
          <w:sz w:val="24"/>
          <w:szCs w:val="24"/>
          <w:lang w:val="en-GB"/>
        </w:rPr>
      </w:pPr>
      <w:r w:rsidRPr="002A169D">
        <w:rPr>
          <w:rFonts w:ascii="Arial" w:hAnsi="Arial" w:cs="Arial"/>
          <w:sz w:val="24"/>
          <w:szCs w:val="24"/>
          <w:lang w:val="en-GB"/>
        </w:rPr>
        <w:t xml:space="preserve">I enquired of Mr Pedersen what would be disclosed at such a meeting which would likely affect the outcome of the application. He submitted that the respondent would answer whatever questions the provisional trustees wished to ask him at the meeting, and also wanted to give details to the provisional trustees of what he called ‘avoidable debts’ in the region of R600 million, in respect of his potential suretyship exposure, which could be avoided if he were not sequestrated. </w:t>
      </w:r>
    </w:p>
    <w:p w:rsidR="002A169D" w:rsidRDefault="002A169D" w:rsidP="002A169D">
      <w:pPr>
        <w:pStyle w:val="ListParagraph"/>
        <w:rPr>
          <w:rFonts w:ascii="Arial" w:hAnsi="Arial" w:cs="Arial"/>
          <w:sz w:val="24"/>
          <w:szCs w:val="24"/>
          <w:lang w:val="en-GB"/>
        </w:rPr>
      </w:pPr>
    </w:p>
    <w:p w:rsidR="001C7408" w:rsidRDefault="009F5C85" w:rsidP="007A5AAA">
      <w:pPr>
        <w:numPr>
          <w:ilvl w:val="0"/>
          <w:numId w:val="2"/>
        </w:numPr>
        <w:spacing w:after="0" w:line="360" w:lineRule="auto"/>
        <w:jc w:val="both"/>
        <w:rPr>
          <w:rFonts w:ascii="Arial" w:hAnsi="Arial" w:cs="Arial"/>
          <w:sz w:val="24"/>
          <w:szCs w:val="24"/>
          <w:lang w:val="en-GB"/>
        </w:rPr>
      </w:pPr>
      <w:r w:rsidRPr="002A169D">
        <w:rPr>
          <w:rFonts w:ascii="Arial" w:hAnsi="Arial" w:cs="Arial"/>
          <w:sz w:val="24"/>
          <w:szCs w:val="24"/>
          <w:lang w:val="en-GB"/>
        </w:rPr>
        <w:t xml:space="preserve">There are questions regarding the R 34 million </w:t>
      </w:r>
      <w:r w:rsidR="0075739A" w:rsidRPr="002A169D">
        <w:rPr>
          <w:rFonts w:ascii="Arial" w:hAnsi="Arial" w:cs="Arial"/>
          <w:sz w:val="24"/>
          <w:szCs w:val="24"/>
          <w:lang w:val="en-GB"/>
        </w:rPr>
        <w:t xml:space="preserve">differential and the R 63 million alleged </w:t>
      </w:r>
      <w:r w:rsidRPr="002A169D">
        <w:rPr>
          <w:rFonts w:ascii="Arial" w:hAnsi="Arial" w:cs="Arial"/>
          <w:sz w:val="24"/>
          <w:szCs w:val="24"/>
          <w:lang w:val="en-GB"/>
        </w:rPr>
        <w:t>benefit the respondent derived from Rokwil a</w:t>
      </w:r>
      <w:r w:rsidR="0075739A" w:rsidRPr="002A169D">
        <w:rPr>
          <w:rFonts w:ascii="Arial" w:hAnsi="Arial" w:cs="Arial"/>
          <w:sz w:val="24"/>
          <w:szCs w:val="24"/>
          <w:lang w:val="en-GB"/>
        </w:rPr>
        <w:t xml:space="preserve">s well as </w:t>
      </w:r>
      <w:r w:rsidRPr="002A169D">
        <w:rPr>
          <w:rFonts w:ascii="Arial" w:hAnsi="Arial" w:cs="Arial"/>
          <w:sz w:val="24"/>
          <w:szCs w:val="24"/>
          <w:lang w:val="en-GB"/>
        </w:rPr>
        <w:t>the R 2 million which his wife retained</w:t>
      </w:r>
      <w:r w:rsidR="000C6613">
        <w:rPr>
          <w:rFonts w:ascii="Arial" w:hAnsi="Arial" w:cs="Arial"/>
          <w:sz w:val="24"/>
          <w:szCs w:val="24"/>
          <w:lang w:val="en-GB"/>
        </w:rPr>
        <w:t xml:space="preserve">, </w:t>
      </w:r>
      <w:r w:rsidRPr="002A169D">
        <w:rPr>
          <w:rFonts w:ascii="Arial" w:hAnsi="Arial" w:cs="Arial"/>
          <w:sz w:val="24"/>
          <w:szCs w:val="24"/>
          <w:lang w:val="en-GB"/>
        </w:rPr>
        <w:t xml:space="preserve">which were raised pertinently on the founding papers and which the respondent chose not to answer when he should have done. </w:t>
      </w:r>
      <w:r w:rsidR="001C7408" w:rsidRPr="002A169D">
        <w:rPr>
          <w:rFonts w:ascii="Arial" w:hAnsi="Arial" w:cs="Arial"/>
          <w:sz w:val="24"/>
          <w:szCs w:val="24"/>
          <w:lang w:val="en-GB"/>
        </w:rPr>
        <w:t xml:space="preserve">The consequences of that election cannot be undone </w:t>
      </w:r>
      <w:r w:rsidR="00E644FA">
        <w:rPr>
          <w:rFonts w:ascii="Arial" w:hAnsi="Arial" w:cs="Arial"/>
          <w:sz w:val="24"/>
          <w:szCs w:val="24"/>
          <w:lang w:val="en-GB"/>
        </w:rPr>
        <w:t xml:space="preserve">at the eleventh hour </w:t>
      </w:r>
      <w:r w:rsidR="001C7408" w:rsidRPr="002A169D">
        <w:rPr>
          <w:rFonts w:ascii="Arial" w:hAnsi="Arial" w:cs="Arial"/>
          <w:sz w:val="24"/>
          <w:szCs w:val="24"/>
          <w:lang w:val="en-GB"/>
        </w:rPr>
        <w:t xml:space="preserve">by the notional possibility of what might happen at the meeting. If anything, proffering an explanation to the provisional trustees which was not proffered on oath to the court could reflect adversely on the respondent’s credibility. </w:t>
      </w:r>
    </w:p>
    <w:p w:rsidR="00EE262D" w:rsidRDefault="00EE262D" w:rsidP="00EE262D">
      <w:pPr>
        <w:pStyle w:val="ListParagraph"/>
        <w:rPr>
          <w:rFonts w:ascii="Arial" w:hAnsi="Arial" w:cs="Arial"/>
          <w:sz w:val="24"/>
          <w:szCs w:val="24"/>
          <w:lang w:val="en-GB"/>
        </w:rPr>
      </w:pPr>
    </w:p>
    <w:p w:rsidR="002A169D" w:rsidRDefault="009B728E" w:rsidP="009F2109">
      <w:pPr>
        <w:numPr>
          <w:ilvl w:val="0"/>
          <w:numId w:val="2"/>
        </w:numPr>
        <w:spacing w:after="0" w:line="360" w:lineRule="auto"/>
        <w:jc w:val="both"/>
        <w:rPr>
          <w:rFonts w:ascii="Arial" w:hAnsi="Arial" w:cs="Arial"/>
          <w:sz w:val="24"/>
          <w:szCs w:val="24"/>
          <w:lang w:val="en-GB"/>
        </w:rPr>
      </w:pPr>
      <w:r w:rsidRPr="002A169D">
        <w:rPr>
          <w:rFonts w:ascii="Arial" w:hAnsi="Arial" w:cs="Arial"/>
          <w:sz w:val="24"/>
          <w:szCs w:val="24"/>
          <w:lang w:val="en-GB"/>
        </w:rPr>
        <w:t xml:space="preserve">The </w:t>
      </w:r>
      <w:r w:rsidR="009F5C85" w:rsidRPr="002A169D">
        <w:rPr>
          <w:rFonts w:ascii="Arial" w:hAnsi="Arial" w:cs="Arial"/>
          <w:sz w:val="24"/>
          <w:szCs w:val="24"/>
          <w:lang w:val="en-GB"/>
        </w:rPr>
        <w:t xml:space="preserve">extent of the </w:t>
      </w:r>
      <w:r w:rsidRPr="002A169D">
        <w:rPr>
          <w:rFonts w:ascii="Arial" w:hAnsi="Arial" w:cs="Arial"/>
          <w:sz w:val="24"/>
          <w:szCs w:val="24"/>
          <w:lang w:val="en-GB"/>
        </w:rPr>
        <w:t>respondent</w:t>
      </w:r>
      <w:r w:rsidR="009F5C85" w:rsidRPr="002A169D">
        <w:rPr>
          <w:rFonts w:ascii="Arial" w:hAnsi="Arial" w:cs="Arial"/>
          <w:sz w:val="24"/>
          <w:szCs w:val="24"/>
          <w:lang w:val="en-GB"/>
        </w:rPr>
        <w:t xml:space="preserve">’s suretyship exposure is already apparent from the papers. There is nothing to indicate that the creditors in whose favour those suretyships have been given will not act on them if the respondent is not sequestrated. In any event, if assets  or impeachable transactions are discovered, any execution or recovery will benefit the holders of the suretyships. </w:t>
      </w:r>
      <w:r w:rsidR="002A169D" w:rsidRPr="002A169D">
        <w:rPr>
          <w:rFonts w:ascii="Arial" w:hAnsi="Arial" w:cs="Arial"/>
          <w:sz w:val="24"/>
          <w:szCs w:val="24"/>
          <w:lang w:val="en-GB"/>
        </w:rPr>
        <w:t xml:space="preserve"> </w:t>
      </w:r>
    </w:p>
    <w:p w:rsidR="002A169D" w:rsidRDefault="002A169D" w:rsidP="002A169D">
      <w:pPr>
        <w:pStyle w:val="ListParagraph"/>
        <w:rPr>
          <w:rFonts w:ascii="Arial" w:hAnsi="Arial" w:cs="Arial"/>
          <w:sz w:val="24"/>
          <w:szCs w:val="24"/>
          <w:lang w:val="en-GB"/>
        </w:rPr>
      </w:pPr>
    </w:p>
    <w:p w:rsidR="002A169D" w:rsidRDefault="001C7408" w:rsidP="00852CCB">
      <w:pPr>
        <w:numPr>
          <w:ilvl w:val="0"/>
          <w:numId w:val="2"/>
        </w:numPr>
        <w:spacing w:after="0" w:line="360" w:lineRule="auto"/>
        <w:jc w:val="both"/>
        <w:rPr>
          <w:rFonts w:ascii="Arial" w:hAnsi="Arial" w:cs="Arial"/>
          <w:sz w:val="24"/>
          <w:szCs w:val="24"/>
          <w:lang w:val="en-GB"/>
        </w:rPr>
      </w:pPr>
      <w:r w:rsidRPr="002A169D">
        <w:rPr>
          <w:rFonts w:ascii="Arial" w:hAnsi="Arial" w:cs="Arial"/>
          <w:sz w:val="24"/>
          <w:szCs w:val="24"/>
          <w:lang w:val="en-GB"/>
        </w:rPr>
        <w:t xml:space="preserve">I therefore find that neither of the reasons advanced for the postponement warrant deferring making a final decision on this application on the papers and the application for a postponement is refused. </w:t>
      </w:r>
    </w:p>
    <w:p w:rsidR="002A169D" w:rsidRDefault="002A169D" w:rsidP="002A169D">
      <w:pPr>
        <w:pStyle w:val="ListParagraph"/>
        <w:rPr>
          <w:rFonts w:ascii="Arial" w:hAnsi="Arial" w:cs="Arial"/>
          <w:sz w:val="24"/>
          <w:szCs w:val="24"/>
          <w:lang w:val="en-GB"/>
        </w:rPr>
      </w:pPr>
    </w:p>
    <w:p w:rsidR="00CA13CA" w:rsidRDefault="00685706" w:rsidP="006B34D2">
      <w:pPr>
        <w:numPr>
          <w:ilvl w:val="0"/>
          <w:numId w:val="2"/>
        </w:numPr>
        <w:spacing w:after="0" w:line="360" w:lineRule="auto"/>
        <w:jc w:val="both"/>
        <w:rPr>
          <w:rFonts w:ascii="Arial" w:hAnsi="Arial" w:cs="Arial"/>
          <w:sz w:val="24"/>
          <w:szCs w:val="24"/>
          <w:lang w:val="en-GB"/>
        </w:rPr>
      </w:pPr>
      <w:r w:rsidRPr="002A169D">
        <w:rPr>
          <w:rFonts w:ascii="Arial" w:hAnsi="Arial" w:cs="Arial"/>
          <w:sz w:val="24"/>
          <w:szCs w:val="24"/>
          <w:lang w:val="en-GB"/>
        </w:rPr>
        <w:t xml:space="preserve">On the papers, for the reasons set out above, I am satisfied that there is reason to believe that the sequestration of the respondent’s state will be to the advantage of creditors. </w:t>
      </w:r>
      <w:r w:rsidR="005267E7" w:rsidRPr="002A169D">
        <w:rPr>
          <w:rFonts w:ascii="Arial" w:hAnsi="Arial" w:cs="Arial"/>
          <w:sz w:val="24"/>
          <w:szCs w:val="24"/>
          <w:lang w:val="en-GB"/>
        </w:rPr>
        <w:t xml:space="preserve">It is </w:t>
      </w:r>
      <w:r w:rsidRPr="002A169D">
        <w:rPr>
          <w:rFonts w:ascii="Arial" w:hAnsi="Arial" w:cs="Arial"/>
          <w:sz w:val="24"/>
          <w:szCs w:val="24"/>
          <w:lang w:val="en-GB"/>
        </w:rPr>
        <w:t>not in dispute that</w:t>
      </w:r>
      <w:r w:rsidR="005267E7" w:rsidRPr="002A169D">
        <w:rPr>
          <w:rFonts w:ascii="Arial" w:hAnsi="Arial" w:cs="Arial"/>
          <w:sz w:val="24"/>
          <w:szCs w:val="24"/>
          <w:lang w:val="en-GB"/>
        </w:rPr>
        <w:t xml:space="preserve"> the relevant statutory formalities have all been complied with both in respect of the application and service of the provisional order.  </w:t>
      </w:r>
    </w:p>
    <w:p w:rsidR="006B34D2" w:rsidRPr="006B34D2" w:rsidRDefault="006B34D2" w:rsidP="006B34D2">
      <w:pPr>
        <w:spacing w:after="0" w:line="360" w:lineRule="auto"/>
        <w:jc w:val="both"/>
        <w:rPr>
          <w:rFonts w:ascii="Arial" w:hAnsi="Arial" w:cs="Arial"/>
          <w:sz w:val="24"/>
          <w:szCs w:val="24"/>
          <w:lang w:val="en-GB"/>
        </w:rPr>
      </w:pPr>
    </w:p>
    <w:p w:rsidR="00F962A9" w:rsidRPr="00685706" w:rsidRDefault="00685706" w:rsidP="00B26884">
      <w:pPr>
        <w:spacing w:line="360" w:lineRule="auto"/>
        <w:jc w:val="both"/>
        <w:rPr>
          <w:rFonts w:ascii="Arial" w:hAnsi="Arial" w:cs="Arial"/>
          <w:b/>
          <w:bCs/>
          <w:sz w:val="24"/>
          <w:szCs w:val="24"/>
          <w:lang w:val="en-GB"/>
        </w:rPr>
      </w:pPr>
      <w:r w:rsidRPr="00685706">
        <w:rPr>
          <w:rFonts w:ascii="Arial" w:hAnsi="Arial" w:cs="Arial"/>
          <w:b/>
          <w:bCs/>
          <w:sz w:val="24"/>
          <w:szCs w:val="24"/>
          <w:lang w:val="en-GB"/>
        </w:rPr>
        <w:t>Order</w:t>
      </w:r>
    </w:p>
    <w:p w:rsidR="007326CB" w:rsidRPr="0043001F" w:rsidRDefault="00F962A9" w:rsidP="007326CB">
      <w:pPr>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I consequently grant the following order :-</w:t>
      </w:r>
    </w:p>
    <w:p w:rsidR="00685706" w:rsidRDefault="00F962A9" w:rsidP="00B26884">
      <w:pPr>
        <w:pStyle w:val="ListParagraph"/>
        <w:numPr>
          <w:ilvl w:val="0"/>
          <w:numId w:val="1"/>
        </w:numPr>
        <w:spacing w:line="360" w:lineRule="auto"/>
        <w:ind w:hanging="361"/>
        <w:jc w:val="both"/>
        <w:rPr>
          <w:rFonts w:ascii="Arial" w:hAnsi="Arial" w:cs="Arial"/>
          <w:sz w:val="24"/>
          <w:szCs w:val="24"/>
          <w:lang w:val="en-GB"/>
        </w:rPr>
      </w:pPr>
      <w:r>
        <w:rPr>
          <w:rFonts w:ascii="Arial" w:hAnsi="Arial" w:cs="Arial"/>
          <w:sz w:val="24"/>
          <w:szCs w:val="24"/>
          <w:lang w:val="en-GB"/>
        </w:rPr>
        <w:t>The respondent’s application</w:t>
      </w:r>
      <w:r w:rsidR="00685706">
        <w:rPr>
          <w:rFonts w:ascii="Arial" w:hAnsi="Arial" w:cs="Arial"/>
          <w:sz w:val="24"/>
          <w:szCs w:val="24"/>
          <w:lang w:val="en-GB"/>
        </w:rPr>
        <w:t xml:space="preserve"> to file a further affidavit is refused.</w:t>
      </w:r>
    </w:p>
    <w:p w:rsidR="00685706" w:rsidRDefault="00685706" w:rsidP="00B26884">
      <w:pPr>
        <w:pStyle w:val="ListParagraph"/>
        <w:numPr>
          <w:ilvl w:val="0"/>
          <w:numId w:val="1"/>
        </w:numPr>
        <w:spacing w:line="360" w:lineRule="auto"/>
        <w:ind w:hanging="361"/>
        <w:jc w:val="both"/>
        <w:rPr>
          <w:rFonts w:ascii="Arial" w:hAnsi="Arial" w:cs="Arial"/>
          <w:sz w:val="24"/>
          <w:szCs w:val="24"/>
          <w:lang w:val="en-GB"/>
        </w:rPr>
      </w:pPr>
      <w:r>
        <w:rPr>
          <w:rFonts w:ascii="Arial" w:hAnsi="Arial" w:cs="Arial"/>
          <w:sz w:val="24"/>
          <w:szCs w:val="24"/>
          <w:lang w:val="en-GB"/>
        </w:rPr>
        <w:t>The respondent’s application for a postponement is refused.</w:t>
      </w:r>
    </w:p>
    <w:p w:rsidR="00854E4F" w:rsidRDefault="00F962A9" w:rsidP="0043001F">
      <w:pPr>
        <w:pStyle w:val="ListParagraph"/>
        <w:numPr>
          <w:ilvl w:val="0"/>
          <w:numId w:val="1"/>
        </w:numPr>
        <w:spacing w:line="360" w:lineRule="auto"/>
        <w:ind w:hanging="361"/>
        <w:jc w:val="both"/>
        <w:rPr>
          <w:rFonts w:ascii="Arial" w:hAnsi="Arial" w:cs="Arial"/>
          <w:sz w:val="24"/>
          <w:szCs w:val="24"/>
          <w:lang w:val="en-GB"/>
        </w:rPr>
      </w:pPr>
      <w:r w:rsidRPr="00685706">
        <w:rPr>
          <w:rFonts w:ascii="Arial" w:hAnsi="Arial" w:cs="Arial"/>
          <w:sz w:val="24"/>
          <w:szCs w:val="24"/>
          <w:lang w:val="en-GB"/>
        </w:rPr>
        <w:t xml:space="preserve">The rule nisi granted on 26 January 2023 is confirmed. </w:t>
      </w:r>
    </w:p>
    <w:p w:rsidR="0043001F" w:rsidRPr="0043001F" w:rsidRDefault="0043001F" w:rsidP="0043001F">
      <w:pPr>
        <w:pStyle w:val="ListParagraph"/>
        <w:spacing w:line="360" w:lineRule="auto"/>
        <w:ind w:left="1070"/>
        <w:jc w:val="both"/>
        <w:rPr>
          <w:rFonts w:ascii="Arial" w:hAnsi="Arial" w:cs="Arial"/>
          <w:sz w:val="24"/>
          <w:szCs w:val="24"/>
          <w:lang w:val="en-GB"/>
        </w:rPr>
      </w:pPr>
    </w:p>
    <w:p w:rsidR="001F005F" w:rsidRDefault="001F005F" w:rsidP="00B26884">
      <w:pPr>
        <w:pStyle w:val="ListParagraph"/>
        <w:spacing w:line="360" w:lineRule="auto"/>
        <w:jc w:val="both"/>
        <w:rPr>
          <w:rFonts w:ascii="Arial" w:hAnsi="Arial" w:cs="Arial"/>
          <w:sz w:val="24"/>
          <w:szCs w:val="24"/>
          <w:lang w:val="en-GB"/>
        </w:rPr>
      </w:pPr>
    </w:p>
    <w:p w:rsidR="00854E4F" w:rsidRPr="001F005F" w:rsidRDefault="00724C3A" w:rsidP="001F005F">
      <w:pPr>
        <w:pStyle w:val="ListParagraph"/>
        <w:ind w:left="2160" w:firstLine="720"/>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811D12" w:rsidRPr="00343F9E">
        <w:rPr>
          <w:rFonts w:ascii="Arial" w:hAnsi="Arial" w:cs="Arial"/>
          <w:b/>
        </w:rPr>
        <w:t>______________________</w:t>
      </w:r>
    </w:p>
    <w:p w:rsidR="00811D12" w:rsidRDefault="00724C3A" w:rsidP="00724C3A">
      <w:pPr>
        <w:pStyle w:val="ListParagraph"/>
        <w:ind w:left="5040"/>
        <w:jc w:val="center"/>
        <w:rPr>
          <w:rFonts w:ascii="Arial" w:hAnsi="Arial" w:cs="Arial"/>
          <w:b/>
        </w:rPr>
      </w:pPr>
      <w:r>
        <w:rPr>
          <w:rFonts w:ascii="Arial" w:hAnsi="Arial" w:cs="Arial"/>
          <w:b/>
        </w:rPr>
        <w:t xml:space="preserve">      </w:t>
      </w:r>
      <w:r w:rsidR="00811D12" w:rsidRPr="00343F9E">
        <w:rPr>
          <w:rFonts w:ascii="Arial" w:hAnsi="Arial" w:cs="Arial"/>
          <w:b/>
        </w:rPr>
        <w:t>A.M. ANNANDALE, AJ</w:t>
      </w:r>
    </w:p>
    <w:p w:rsidR="00811D12" w:rsidRPr="00343F9E" w:rsidRDefault="00811D12" w:rsidP="00811D12">
      <w:pPr>
        <w:pStyle w:val="ListParagraph"/>
        <w:ind w:left="2160" w:firstLine="720"/>
        <w:jc w:val="center"/>
        <w:rPr>
          <w:rFonts w:ascii="Arial" w:hAnsi="Arial" w:cs="Arial"/>
          <w:b/>
        </w:rPr>
      </w:pPr>
    </w:p>
    <w:p w:rsidR="00811D12" w:rsidRDefault="00811D12" w:rsidP="00811D12">
      <w:pPr>
        <w:pStyle w:val="ListParagraph"/>
        <w:rPr>
          <w:rFonts w:ascii="Arial" w:hAnsi="Arial" w:cs="Arial"/>
        </w:rPr>
      </w:pPr>
    </w:p>
    <w:p w:rsidR="00811D12" w:rsidRDefault="00811D12" w:rsidP="00811D12">
      <w:pPr>
        <w:pStyle w:val="ListParagraph"/>
        <w:spacing w:line="480" w:lineRule="auto"/>
        <w:rPr>
          <w:rFonts w:ascii="Arial" w:hAnsi="Arial" w:cs="Arial"/>
          <w:b/>
        </w:rPr>
      </w:pPr>
      <w:r>
        <w:rPr>
          <w:rFonts w:ascii="Arial" w:hAnsi="Arial" w:cs="Arial"/>
          <w:b/>
        </w:rPr>
        <w:t>JUDGMENT RESERVED</w:t>
      </w:r>
      <w:r w:rsidR="00724C3A">
        <w:rPr>
          <w:rFonts w:ascii="Arial" w:hAnsi="Arial" w:cs="Arial"/>
          <w:b/>
        </w:rPr>
        <w:t>:</w:t>
      </w:r>
      <w:r w:rsidR="00724C3A">
        <w:rPr>
          <w:rFonts w:ascii="Arial" w:hAnsi="Arial" w:cs="Arial"/>
          <w:b/>
        </w:rPr>
        <w:tab/>
        <w:t xml:space="preserve">     </w:t>
      </w:r>
      <w:r>
        <w:rPr>
          <w:rFonts w:ascii="Arial" w:hAnsi="Arial" w:cs="Arial"/>
          <w:b/>
        </w:rPr>
        <w:t>15 AUGUST 2023</w:t>
      </w:r>
    </w:p>
    <w:p w:rsidR="00811D12" w:rsidRDefault="00811D12" w:rsidP="00811D12">
      <w:pPr>
        <w:pStyle w:val="ListParagraph"/>
        <w:spacing w:line="480" w:lineRule="auto"/>
        <w:rPr>
          <w:rFonts w:ascii="Arial" w:hAnsi="Arial" w:cs="Arial"/>
          <w:b/>
        </w:rPr>
      </w:pPr>
    </w:p>
    <w:p w:rsidR="00811D12" w:rsidRDefault="00811D12" w:rsidP="00811D12">
      <w:pPr>
        <w:pStyle w:val="ListParagraph"/>
        <w:spacing w:line="480" w:lineRule="auto"/>
        <w:rPr>
          <w:rFonts w:ascii="Arial" w:hAnsi="Arial" w:cs="Arial"/>
          <w:b/>
        </w:rPr>
      </w:pPr>
      <w:r>
        <w:rPr>
          <w:rFonts w:ascii="Arial" w:hAnsi="Arial" w:cs="Arial"/>
          <w:b/>
        </w:rPr>
        <w:t>JUDGMENT HANDED DOWN:</w:t>
      </w:r>
      <w:r>
        <w:rPr>
          <w:rFonts w:ascii="Arial" w:hAnsi="Arial" w:cs="Arial"/>
          <w:b/>
        </w:rPr>
        <w:tab/>
      </w:r>
      <w:r w:rsidR="00637CF9">
        <w:rPr>
          <w:rFonts w:ascii="Arial" w:hAnsi="Arial" w:cs="Arial"/>
          <w:b/>
        </w:rPr>
        <w:t>6 OCTOBER 2023</w:t>
      </w:r>
    </w:p>
    <w:p w:rsidR="00811D12" w:rsidRPr="00811D12" w:rsidRDefault="00811D12" w:rsidP="00811D12">
      <w:pPr>
        <w:pStyle w:val="ListParagraph"/>
        <w:spacing w:line="480" w:lineRule="auto"/>
        <w:rPr>
          <w:rFonts w:ascii="Arial" w:hAnsi="Arial" w:cs="Arial"/>
          <w:b/>
        </w:rPr>
      </w:pPr>
    </w:p>
    <w:p w:rsidR="00811D12" w:rsidRDefault="00811D12" w:rsidP="00B26884">
      <w:pPr>
        <w:pStyle w:val="ListParagraph"/>
        <w:spacing w:line="360" w:lineRule="auto"/>
        <w:rPr>
          <w:rFonts w:ascii="Arial" w:hAnsi="Arial" w:cs="Arial"/>
          <w:b/>
        </w:rPr>
      </w:pPr>
      <w:r>
        <w:rPr>
          <w:rFonts w:ascii="Arial" w:hAnsi="Arial" w:cs="Arial"/>
          <w:b/>
        </w:rPr>
        <w:t xml:space="preserve">COUNSEL FOR APPLICANT: </w:t>
      </w:r>
      <w:r w:rsidR="00395189" w:rsidRPr="00B45A6A">
        <w:rPr>
          <w:rFonts w:ascii="Arial" w:hAnsi="Arial" w:cs="Arial"/>
          <w:b/>
        </w:rPr>
        <w:t xml:space="preserve">GME </w:t>
      </w:r>
      <w:r w:rsidRPr="00B45A6A">
        <w:rPr>
          <w:rFonts w:ascii="Arial" w:hAnsi="Arial" w:cs="Arial"/>
          <w:b/>
        </w:rPr>
        <w:t>Lots SC</w:t>
      </w:r>
      <w:r>
        <w:rPr>
          <w:rFonts w:ascii="Arial" w:hAnsi="Arial" w:cs="Arial"/>
          <w:b/>
        </w:rPr>
        <w:t xml:space="preserve"> </w:t>
      </w:r>
    </w:p>
    <w:p w:rsidR="00811D12" w:rsidRDefault="00811D12" w:rsidP="00B26884">
      <w:pPr>
        <w:pStyle w:val="ListParagraph"/>
        <w:spacing w:line="360" w:lineRule="auto"/>
        <w:rPr>
          <w:rFonts w:ascii="Arial" w:hAnsi="Arial" w:cs="Arial"/>
          <w:b/>
        </w:rPr>
      </w:pPr>
      <w:r>
        <w:rPr>
          <w:rFonts w:ascii="Arial" w:hAnsi="Arial" w:cs="Arial"/>
          <w:b/>
        </w:rPr>
        <w:t>Instructed by:</w:t>
      </w:r>
      <w:r w:rsidR="00820DC3">
        <w:rPr>
          <w:rFonts w:ascii="Arial" w:hAnsi="Arial" w:cs="Arial"/>
          <w:b/>
        </w:rPr>
        <w:t xml:space="preserve"> </w:t>
      </w:r>
      <w:r w:rsidR="00724C3A">
        <w:rPr>
          <w:rFonts w:ascii="Arial" w:hAnsi="Arial" w:cs="Arial"/>
          <w:b/>
        </w:rPr>
        <w:tab/>
      </w:r>
      <w:r w:rsidR="00724C3A">
        <w:rPr>
          <w:rFonts w:ascii="Arial" w:hAnsi="Arial" w:cs="Arial"/>
          <w:b/>
        </w:rPr>
        <w:tab/>
        <w:t xml:space="preserve">   </w:t>
      </w:r>
      <w:r w:rsidR="00B45A6A">
        <w:rPr>
          <w:rFonts w:ascii="Arial" w:hAnsi="Arial" w:cs="Arial"/>
          <w:b/>
        </w:rPr>
        <w:t>Hay &amp; Scott Attorneys</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sidR="00724C3A">
        <w:rPr>
          <w:rFonts w:ascii="Arial" w:hAnsi="Arial" w:cs="Arial"/>
          <w:b/>
        </w:rPr>
        <w:t xml:space="preserve"> </w:t>
      </w:r>
      <w:r w:rsidR="00724C3A">
        <w:rPr>
          <w:rFonts w:ascii="Arial" w:hAnsi="Arial" w:cs="Arial"/>
          <w:b/>
        </w:rPr>
        <w:tab/>
      </w:r>
      <w:r w:rsidR="00724C3A">
        <w:rPr>
          <w:rFonts w:ascii="Arial" w:hAnsi="Arial" w:cs="Arial"/>
          <w:b/>
        </w:rPr>
        <w:tab/>
        <w:t xml:space="preserve">   </w:t>
      </w:r>
      <w:r>
        <w:rPr>
          <w:rFonts w:ascii="Arial" w:hAnsi="Arial" w:cs="Arial"/>
          <w:b/>
        </w:rPr>
        <w:t>Pietermaritzburg</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sidR="00724C3A">
        <w:rPr>
          <w:rFonts w:ascii="Arial" w:hAnsi="Arial" w:cs="Arial"/>
          <w:b/>
        </w:rPr>
        <w:t xml:space="preserve">                      </w:t>
      </w:r>
      <w:r w:rsidR="009823C9">
        <w:rPr>
          <w:rFonts w:ascii="Arial" w:hAnsi="Arial" w:cs="Arial"/>
          <w:b/>
        </w:rPr>
        <w:t xml:space="preserve">   </w:t>
      </w:r>
      <w:r>
        <w:rPr>
          <w:rFonts w:ascii="Arial" w:hAnsi="Arial" w:cs="Arial"/>
          <w:b/>
        </w:rPr>
        <w:t xml:space="preserve">Tel: 033 </w:t>
      </w:r>
      <w:r w:rsidR="00B45A6A">
        <w:rPr>
          <w:rFonts w:ascii="Arial" w:hAnsi="Arial" w:cs="Arial"/>
          <w:b/>
        </w:rPr>
        <w:t>342 4</w:t>
      </w:r>
      <w:r>
        <w:rPr>
          <w:rFonts w:ascii="Arial" w:hAnsi="Arial" w:cs="Arial"/>
          <w:b/>
        </w:rPr>
        <w:t>00</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sidR="00724C3A">
        <w:rPr>
          <w:rFonts w:ascii="Arial" w:hAnsi="Arial" w:cs="Arial"/>
          <w:b/>
        </w:rPr>
        <w:t xml:space="preserve">                     </w:t>
      </w:r>
      <w:r w:rsidR="009823C9">
        <w:rPr>
          <w:rFonts w:ascii="Arial" w:hAnsi="Arial" w:cs="Arial"/>
          <w:b/>
        </w:rPr>
        <w:t xml:space="preserve">   </w:t>
      </w:r>
      <w:r w:rsidR="00724C3A">
        <w:rPr>
          <w:rFonts w:ascii="Arial" w:hAnsi="Arial" w:cs="Arial"/>
          <w:b/>
        </w:rPr>
        <w:t xml:space="preserve"> </w:t>
      </w:r>
      <w:r>
        <w:rPr>
          <w:rFonts w:ascii="Arial" w:hAnsi="Arial" w:cs="Arial"/>
          <w:b/>
        </w:rPr>
        <w:t xml:space="preserve">Ref: </w:t>
      </w:r>
      <w:r w:rsidR="00B45A6A">
        <w:rPr>
          <w:rFonts w:ascii="Arial" w:hAnsi="Arial" w:cs="Arial"/>
          <w:b/>
        </w:rPr>
        <w:t>MR P S HAY00</w:t>
      </w:r>
    </w:p>
    <w:p w:rsidR="00811D12" w:rsidRDefault="00811D12" w:rsidP="00B26884">
      <w:pPr>
        <w:pStyle w:val="ListParagraph"/>
        <w:spacing w:line="360" w:lineRule="auto"/>
      </w:pPr>
      <w:r>
        <w:rPr>
          <w:rFonts w:ascii="Arial" w:hAnsi="Arial" w:cs="Arial"/>
          <w:b/>
        </w:rPr>
        <w:tab/>
      </w:r>
      <w:r>
        <w:rPr>
          <w:rFonts w:ascii="Arial" w:hAnsi="Arial" w:cs="Arial"/>
          <w:b/>
        </w:rPr>
        <w:tab/>
      </w:r>
      <w:r w:rsidR="00724C3A">
        <w:rPr>
          <w:rFonts w:ascii="Arial" w:hAnsi="Arial" w:cs="Arial"/>
          <w:b/>
        </w:rPr>
        <w:t xml:space="preserve">                      </w:t>
      </w:r>
      <w:r w:rsidR="009823C9">
        <w:rPr>
          <w:rFonts w:ascii="Arial" w:hAnsi="Arial" w:cs="Arial"/>
          <w:b/>
        </w:rPr>
        <w:t xml:space="preserve">   </w:t>
      </w:r>
      <w:r>
        <w:rPr>
          <w:rFonts w:ascii="Arial" w:hAnsi="Arial" w:cs="Arial"/>
          <w:b/>
        </w:rPr>
        <w:t xml:space="preserve">E-mail:  </w:t>
      </w:r>
      <w:hyperlink r:id="rId10" w:history="1">
        <w:r w:rsidR="00B45A6A" w:rsidRPr="00DC4CC3">
          <w:rPr>
            <w:rStyle w:val="Hyperlink"/>
          </w:rPr>
          <w:t>paul@hayandscott.co.za</w:t>
        </w:r>
      </w:hyperlink>
    </w:p>
    <w:p w:rsidR="00811D12" w:rsidRPr="00811D12" w:rsidRDefault="00811D12" w:rsidP="00B26884">
      <w:pPr>
        <w:pStyle w:val="ListParagraph"/>
        <w:spacing w:line="360" w:lineRule="auto"/>
        <w:rPr>
          <w:rFonts w:ascii="Arial" w:hAnsi="Arial" w:cs="Arial"/>
          <w:b/>
        </w:rPr>
      </w:pPr>
    </w:p>
    <w:p w:rsidR="00811D12" w:rsidRDefault="00811D12" w:rsidP="00B26884">
      <w:pPr>
        <w:pStyle w:val="ListParagraph"/>
        <w:spacing w:line="360" w:lineRule="auto"/>
        <w:rPr>
          <w:rFonts w:ascii="Arial" w:hAnsi="Arial" w:cs="Arial"/>
          <w:b/>
        </w:rPr>
      </w:pPr>
      <w:r>
        <w:rPr>
          <w:rFonts w:ascii="Arial" w:hAnsi="Arial" w:cs="Arial"/>
          <w:b/>
        </w:rPr>
        <w:t xml:space="preserve"> FOR THE RESPONDENT:</w:t>
      </w:r>
      <w:r>
        <w:rPr>
          <w:rFonts w:ascii="Arial" w:hAnsi="Arial" w:cs="Arial"/>
          <w:b/>
        </w:rPr>
        <w:tab/>
        <w:t>Mr M B Peder</w:t>
      </w:r>
      <w:r w:rsidR="00453770">
        <w:rPr>
          <w:rFonts w:ascii="Arial" w:hAnsi="Arial" w:cs="Arial"/>
          <w:b/>
        </w:rPr>
        <w:t>s</w:t>
      </w:r>
      <w:r>
        <w:rPr>
          <w:rFonts w:ascii="Arial" w:hAnsi="Arial" w:cs="Arial"/>
          <w:b/>
        </w:rPr>
        <w:t xml:space="preserve">en (attorney) </w:t>
      </w:r>
      <w:r>
        <w:rPr>
          <w:rFonts w:ascii="Arial" w:hAnsi="Arial" w:cs="Arial"/>
          <w:b/>
        </w:rPr>
        <w:tab/>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sidR="00724C3A">
        <w:rPr>
          <w:rFonts w:ascii="Arial" w:hAnsi="Arial" w:cs="Arial"/>
          <w:b/>
        </w:rPr>
        <w:tab/>
      </w:r>
      <w:r w:rsidR="00724C3A">
        <w:rPr>
          <w:rFonts w:ascii="Arial" w:hAnsi="Arial" w:cs="Arial"/>
          <w:b/>
        </w:rPr>
        <w:tab/>
      </w:r>
      <w:r w:rsidR="00B26884">
        <w:rPr>
          <w:rFonts w:ascii="Arial" w:hAnsi="Arial" w:cs="Arial"/>
          <w:b/>
        </w:rPr>
        <w:t>M B Pedersen &amp; Associates</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Hillcrest</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Tel:  </w:t>
      </w:r>
      <w:r w:rsidR="00B45A6A">
        <w:rPr>
          <w:rFonts w:ascii="Arial" w:hAnsi="Arial" w:cs="Arial"/>
          <w:b/>
        </w:rPr>
        <w:t>031 072 0324</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Ref: </w:t>
      </w:r>
      <w:r w:rsidR="00B45A6A">
        <w:rPr>
          <w:rFonts w:ascii="Arial" w:hAnsi="Arial" w:cs="Arial"/>
          <w:b/>
        </w:rPr>
        <w:t>M B Pedersen</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B45A6A">
        <w:rPr>
          <w:rFonts w:ascii="Arial" w:hAnsi="Arial" w:cs="Arial"/>
          <w:b/>
        </w:rPr>
        <w:t>admin@durban-law.co.za</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811D12" w:rsidRDefault="00811D12" w:rsidP="00B26884">
      <w:pPr>
        <w:pStyle w:val="ListParagraph"/>
        <w:spacing w:line="360" w:lineRule="auto"/>
        <w:rPr>
          <w:rFonts w:ascii="Arial" w:hAnsi="Arial" w:cs="Arial"/>
          <w:b/>
        </w:rPr>
      </w:pPr>
      <w:r>
        <w:rPr>
          <w:rFonts w:ascii="Arial" w:hAnsi="Arial" w:cs="Arial"/>
          <w:b/>
        </w:rPr>
        <w:t>c/o</w:t>
      </w:r>
      <w:r>
        <w:rPr>
          <w:rFonts w:ascii="Arial" w:hAnsi="Arial" w:cs="Arial"/>
          <w:b/>
        </w:rPr>
        <w:tab/>
      </w:r>
      <w:r>
        <w:rPr>
          <w:rFonts w:ascii="Arial" w:hAnsi="Arial" w:cs="Arial"/>
          <w:b/>
        </w:rPr>
        <w:tab/>
      </w:r>
      <w:r>
        <w:rPr>
          <w:rFonts w:ascii="Arial" w:hAnsi="Arial" w:cs="Arial"/>
          <w:b/>
        </w:rPr>
        <w:tab/>
      </w:r>
      <w:r>
        <w:rPr>
          <w:rFonts w:ascii="Arial" w:hAnsi="Arial" w:cs="Arial"/>
          <w:b/>
        </w:rPr>
        <w:tab/>
      </w:r>
      <w:r w:rsidR="00B45A6A">
        <w:rPr>
          <w:rFonts w:ascii="Arial" w:hAnsi="Arial" w:cs="Arial"/>
          <w:b/>
        </w:rPr>
        <w:t>Bertus Appel Attorney</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Pietermaritzburg</w:t>
      </w:r>
    </w:p>
    <w:p w:rsidR="00811D12" w:rsidRDefault="00811D12" w:rsidP="00B26884">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Tel:  033</w:t>
      </w:r>
      <w:r w:rsidR="00B45A6A">
        <w:rPr>
          <w:rFonts w:ascii="Arial" w:hAnsi="Arial" w:cs="Arial"/>
          <w:b/>
        </w:rPr>
        <w:t xml:space="preserve"> 342 3551</w:t>
      </w:r>
    </w:p>
    <w:p w:rsidR="00811D12" w:rsidRPr="00811D12" w:rsidRDefault="00811D12" w:rsidP="00B26884">
      <w:pPr>
        <w:pStyle w:val="ListParagraph"/>
        <w:spacing w:line="360" w:lineRule="auto"/>
        <w:rPr>
          <w:rFonts w:ascii="Arial" w:hAnsi="Arial" w:cs="Arial"/>
          <w:sz w:val="24"/>
          <w:szCs w:val="24"/>
          <w:lang w:val="en-G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hyperlink r:id="rId11" w:history="1">
        <w:r w:rsidR="00B26884" w:rsidRPr="00DC4CC3">
          <w:rPr>
            <w:rStyle w:val="Hyperlink"/>
            <w:rFonts w:ascii="Arial" w:hAnsi="Arial" w:cs="Arial"/>
            <w:b/>
          </w:rPr>
          <w:t>bertusappelattorneys@gmail.com</w:t>
        </w:r>
      </w:hyperlink>
    </w:p>
    <w:sectPr w:rsidR="00811D12" w:rsidRPr="00811D12" w:rsidSect="00EE262D">
      <w:headerReference w:type="default" r:id="rId12"/>
      <w:pgSz w:w="12240" w:h="15840"/>
      <w:pgMar w:top="1440" w:right="17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65" w:rsidRDefault="00C00665" w:rsidP="005335E8">
      <w:pPr>
        <w:spacing w:after="0" w:line="240" w:lineRule="auto"/>
      </w:pPr>
      <w:r>
        <w:separator/>
      </w:r>
    </w:p>
  </w:endnote>
  <w:endnote w:type="continuationSeparator" w:id="0">
    <w:p w:rsidR="00C00665" w:rsidRDefault="00C00665" w:rsidP="0053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65" w:rsidRDefault="00C00665" w:rsidP="005335E8">
      <w:pPr>
        <w:spacing w:after="0" w:line="240" w:lineRule="auto"/>
      </w:pPr>
      <w:r>
        <w:separator/>
      </w:r>
    </w:p>
  </w:footnote>
  <w:footnote w:type="continuationSeparator" w:id="0">
    <w:p w:rsidR="00C00665" w:rsidRDefault="00C00665" w:rsidP="005335E8">
      <w:pPr>
        <w:spacing w:after="0" w:line="240" w:lineRule="auto"/>
      </w:pPr>
      <w:r>
        <w:continuationSeparator/>
      </w:r>
    </w:p>
  </w:footnote>
  <w:footnote w:id="1">
    <w:p w:rsidR="009C03D8" w:rsidRPr="00EE262D" w:rsidRDefault="009C03D8" w:rsidP="00EE262D">
      <w:pPr>
        <w:pStyle w:val="FootnoteText"/>
        <w:ind w:left="284" w:hanging="284"/>
        <w:rPr>
          <w:rFonts w:ascii="Arial" w:hAnsi="Arial" w:cs="Arial"/>
          <w:lang w:val="en-GB"/>
        </w:rPr>
      </w:pPr>
      <w:r w:rsidRPr="000161E0">
        <w:rPr>
          <w:rStyle w:val="FootnoteReference"/>
          <w:rFonts w:ascii="Arial" w:hAnsi="Arial" w:cs="Arial"/>
        </w:rPr>
        <w:footnoteRef/>
      </w:r>
      <w:r w:rsidRPr="000161E0">
        <w:rPr>
          <w:rFonts w:ascii="Arial" w:hAnsi="Arial" w:cs="Arial"/>
        </w:rPr>
        <w:t xml:space="preserve"> </w:t>
      </w:r>
      <w:r w:rsidR="00EE262D">
        <w:tab/>
      </w:r>
      <w:r w:rsidRPr="00EE262D">
        <w:rPr>
          <w:rFonts w:ascii="Arial" w:hAnsi="Arial" w:cs="Arial"/>
          <w:lang w:val="en-GB"/>
        </w:rPr>
        <w:t>A liquidated claim of not less than R 100</w:t>
      </w:r>
      <w:r w:rsidR="00EE262D">
        <w:rPr>
          <w:rFonts w:ascii="Arial" w:hAnsi="Arial" w:cs="Arial"/>
          <w:lang w:val="en-GB"/>
        </w:rPr>
        <w:t>.</w:t>
      </w:r>
    </w:p>
  </w:footnote>
  <w:footnote w:id="2">
    <w:p w:rsidR="000849EC" w:rsidRPr="00EE262D" w:rsidRDefault="000849EC" w:rsidP="00EE262D">
      <w:pPr>
        <w:pStyle w:val="FootnoteText"/>
        <w:keepNext/>
        <w:keepLines/>
        <w:ind w:left="284" w:hanging="284"/>
        <w:rPr>
          <w:rFonts w:ascii="Arial" w:hAnsi="Arial" w:cs="Arial"/>
          <w:lang w:val="en-GB"/>
        </w:rPr>
      </w:pPr>
      <w:r w:rsidRPr="000849EC">
        <w:rPr>
          <w:rStyle w:val="FootnoteReference"/>
          <w:rFonts w:ascii="Arial" w:hAnsi="Arial" w:cs="Arial"/>
        </w:rPr>
        <w:footnoteRef/>
      </w:r>
      <w:r w:rsidRPr="000849EC">
        <w:rPr>
          <w:rFonts w:ascii="Arial" w:hAnsi="Arial" w:cs="Arial"/>
        </w:rPr>
        <w:t xml:space="preserve"> </w:t>
      </w:r>
      <w:r w:rsidR="00EE262D">
        <w:rPr>
          <w:rFonts w:ascii="Arial" w:hAnsi="Arial" w:cs="Arial"/>
        </w:rPr>
        <w:tab/>
      </w:r>
      <w:r w:rsidRPr="00EE262D">
        <w:rPr>
          <w:rFonts w:ascii="Arial" w:hAnsi="Arial" w:cs="Arial"/>
          <w:i/>
          <w:iCs/>
          <w:color w:val="242121"/>
        </w:rPr>
        <w:t>Trust Wholesalers and Woollens (Pty) Ltd v Mackan</w:t>
      </w:r>
      <w:r w:rsidRPr="00EE262D">
        <w:rPr>
          <w:rStyle w:val="apple-converted-space"/>
          <w:rFonts w:ascii="Arial" w:hAnsi="Arial" w:cs="Arial"/>
          <w:color w:val="242121"/>
        </w:rPr>
        <w:t> </w:t>
      </w:r>
      <w:hyperlink r:id="rId1" w:tooltip="View LawCiteRecord" w:history="1">
        <w:r w:rsidRPr="00EE262D">
          <w:rPr>
            <w:rStyle w:val="Hyperlink"/>
            <w:rFonts w:ascii="Arial" w:hAnsi="Arial" w:cs="Arial"/>
            <w:color w:val="000000" w:themeColor="text1"/>
            <w:u w:val="none"/>
          </w:rPr>
          <w:t>1954 (2) SA 109</w:t>
        </w:r>
      </w:hyperlink>
      <w:r w:rsidRPr="00EE262D">
        <w:rPr>
          <w:rStyle w:val="apple-converted-space"/>
          <w:rFonts w:ascii="Arial" w:hAnsi="Arial" w:cs="Arial"/>
          <w:color w:val="242121"/>
        </w:rPr>
        <w:t> </w:t>
      </w:r>
      <w:r w:rsidRPr="00EE262D">
        <w:rPr>
          <w:rFonts w:ascii="Arial" w:hAnsi="Arial" w:cs="Arial"/>
          <w:color w:val="242121"/>
        </w:rPr>
        <w:t>(N) at 112C-D.</w:t>
      </w:r>
    </w:p>
  </w:footnote>
  <w:footnote w:id="3">
    <w:p w:rsidR="00C16CCD" w:rsidRPr="00F43528" w:rsidRDefault="00C16CCD" w:rsidP="00EE262D">
      <w:pPr>
        <w:pStyle w:val="Heading2"/>
        <w:keepNext/>
        <w:keepLines/>
        <w:spacing w:before="0" w:beforeAutospacing="0" w:after="180" w:afterAutospacing="0" w:line="288" w:lineRule="atLeast"/>
        <w:ind w:left="284" w:hanging="284"/>
        <w:rPr>
          <w:rFonts w:ascii="Arial" w:hAnsi="Arial" w:cs="Arial"/>
          <w:b w:val="0"/>
          <w:bCs w:val="0"/>
          <w:color w:val="000000" w:themeColor="text1"/>
        </w:rPr>
      </w:pPr>
      <w:r w:rsidRPr="00EE262D">
        <w:rPr>
          <w:rStyle w:val="FootnoteReference"/>
          <w:rFonts w:ascii="Arial" w:hAnsi="Arial" w:cs="Arial"/>
          <w:b w:val="0"/>
          <w:bCs w:val="0"/>
          <w:color w:val="000000" w:themeColor="text1"/>
          <w:sz w:val="20"/>
          <w:szCs w:val="20"/>
        </w:rPr>
        <w:footnoteRef/>
      </w:r>
      <w:r w:rsidR="00EE262D" w:rsidRPr="00EE262D">
        <w:rPr>
          <w:rFonts w:ascii="Arial" w:hAnsi="Arial" w:cs="Arial"/>
          <w:b w:val="0"/>
          <w:bCs w:val="0"/>
          <w:i/>
          <w:iCs/>
          <w:color w:val="000000" w:themeColor="text1"/>
          <w:sz w:val="20"/>
          <w:szCs w:val="20"/>
          <w:lang w:val="en-GB"/>
        </w:rPr>
        <w:tab/>
      </w:r>
      <w:r w:rsidR="000B35D9">
        <w:rPr>
          <w:rFonts w:ascii="Arial" w:hAnsi="Arial" w:cs="Arial"/>
          <w:b w:val="0"/>
          <w:bCs w:val="0"/>
          <w:i/>
          <w:iCs/>
          <w:color w:val="000000" w:themeColor="text1"/>
          <w:sz w:val="20"/>
          <w:szCs w:val="20"/>
          <w:lang w:val="en-GB"/>
        </w:rPr>
        <w:t xml:space="preserve">Amod v Khan </w:t>
      </w:r>
      <w:r w:rsidR="000B35D9" w:rsidRPr="000B35D9">
        <w:rPr>
          <w:rFonts w:ascii="Arial" w:hAnsi="Arial" w:cs="Arial"/>
          <w:b w:val="0"/>
          <w:bCs w:val="0"/>
          <w:color w:val="000000" w:themeColor="text1"/>
          <w:sz w:val="20"/>
          <w:szCs w:val="20"/>
          <w:lang w:val="en-GB"/>
        </w:rPr>
        <w:t>1947(2) SA 432 (N) at 437 – 438</w:t>
      </w:r>
      <w:r w:rsidR="000B35D9">
        <w:rPr>
          <w:rFonts w:ascii="Arial" w:hAnsi="Arial" w:cs="Arial"/>
          <w:b w:val="0"/>
          <w:bCs w:val="0"/>
          <w:i/>
          <w:iCs/>
          <w:color w:val="000000" w:themeColor="text1"/>
          <w:sz w:val="20"/>
          <w:szCs w:val="20"/>
          <w:lang w:val="en-GB"/>
        </w:rPr>
        <w:t xml:space="preserve"> </w:t>
      </w:r>
      <w:r w:rsidRPr="00EE262D">
        <w:rPr>
          <w:rFonts w:ascii="Arial" w:hAnsi="Arial" w:cs="Arial"/>
          <w:b w:val="0"/>
          <w:bCs w:val="0"/>
          <w:i/>
          <w:iCs/>
          <w:color w:val="000000" w:themeColor="text1"/>
          <w:sz w:val="20"/>
          <w:szCs w:val="20"/>
          <w:lang w:val="en-GB"/>
        </w:rPr>
        <w:t>In</w:t>
      </w:r>
      <w:r w:rsidRPr="00EE262D">
        <w:rPr>
          <w:rFonts w:ascii="Arial" w:hAnsi="Arial" w:cs="Arial"/>
          <w:b w:val="0"/>
          <w:bCs w:val="0"/>
          <w:i/>
          <w:iCs/>
          <w:color w:val="000000" w:themeColor="text1"/>
          <w:sz w:val="20"/>
          <w:szCs w:val="20"/>
        </w:rPr>
        <w:t>dustrial Development Corporation of South Africa Ltd v Burger and Another, InRe; Industrial Development Corporation of South Africa Ltd v Burger</w:t>
      </w:r>
      <w:r w:rsidRPr="00EE262D">
        <w:rPr>
          <w:rFonts w:ascii="Arial" w:hAnsi="Arial" w:cs="Arial"/>
          <w:b w:val="0"/>
          <w:bCs w:val="0"/>
          <w:i/>
          <w:iCs/>
          <w:color w:val="000000" w:themeColor="text1"/>
        </w:rPr>
        <w:t xml:space="preserve"> </w:t>
      </w:r>
      <w:r w:rsidRPr="00EE262D">
        <w:rPr>
          <w:rFonts w:ascii="Arial" w:hAnsi="Arial" w:cs="Arial"/>
          <w:b w:val="0"/>
          <w:bCs w:val="0"/>
          <w:i/>
          <w:iCs/>
          <w:color w:val="000000" w:themeColor="text1"/>
          <w:sz w:val="20"/>
          <w:szCs w:val="20"/>
        </w:rPr>
        <w:t>and Another</w:t>
      </w:r>
      <w:r w:rsidRPr="00EE262D">
        <w:rPr>
          <w:rFonts w:ascii="Arial" w:hAnsi="Arial" w:cs="Arial"/>
          <w:b w:val="0"/>
          <w:bCs w:val="0"/>
          <w:color w:val="000000" w:themeColor="text1"/>
          <w:sz w:val="20"/>
          <w:szCs w:val="20"/>
        </w:rPr>
        <w:t xml:space="preserve"> (10679/13 &amp; 10680/13) [2014] ZAWCHC 23 (4 March 2014) para 19</w:t>
      </w:r>
    </w:p>
  </w:footnote>
  <w:footnote w:id="4">
    <w:p w:rsidR="001E641E" w:rsidRPr="001E641E" w:rsidRDefault="001E641E" w:rsidP="00EE262D">
      <w:pPr>
        <w:pStyle w:val="FootnoteText"/>
        <w:ind w:left="284" w:hanging="284"/>
        <w:rPr>
          <w:rFonts w:ascii="Arial" w:hAnsi="Arial" w:cs="Arial"/>
          <w:lang w:val="en-GB"/>
        </w:rPr>
      </w:pPr>
      <w:r>
        <w:rPr>
          <w:rStyle w:val="FootnoteReference"/>
        </w:rPr>
        <w:footnoteRef/>
      </w:r>
      <w:r>
        <w:t xml:space="preserve"> </w:t>
      </w:r>
      <w:r w:rsidR="00E44901">
        <w:t xml:space="preserve">  </w:t>
      </w:r>
      <w:r w:rsidRPr="00C8458F">
        <w:rPr>
          <w:rFonts w:ascii="Arial" w:hAnsi="Arial" w:cs="Arial"/>
          <w:i/>
          <w:iCs/>
          <w:lang w:val="en-GB"/>
        </w:rPr>
        <w:t>Lawclaims (Pty) Ltd</w:t>
      </w:r>
      <w:r w:rsidR="00C8458F" w:rsidRPr="00C8458F">
        <w:rPr>
          <w:rFonts w:ascii="Arial" w:hAnsi="Arial" w:cs="Arial"/>
          <w:i/>
          <w:iCs/>
          <w:lang w:val="en-GB"/>
        </w:rPr>
        <w:t xml:space="preserve"> v Rea Shipping Co SA </w:t>
      </w:r>
      <w:r w:rsidR="00C8458F">
        <w:rPr>
          <w:rFonts w:ascii="Arial" w:hAnsi="Arial" w:cs="Arial"/>
          <w:lang w:val="en-GB"/>
        </w:rPr>
        <w:t>1979 (4) SA 745 (N) at 755H</w:t>
      </w:r>
      <w:r w:rsidR="00EE262D">
        <w:rPr>
          <w:rFonts w:ascii="Arial" w:hAnsi="Arial" w:cs="Arial"/>
          <w:lang w:val="en-GB"/>
        </w:rPr>
        <w:t>.</w:t>
      </w:r>
    </w:p>
  </w:footnote>
  <w:footnote w:id="5">
    <w:p w:rsidR="007642F6" w:rsidRPr="007642F6" w:rsidRDefault="007642F6" w:rsidP="00EE262D">
      <w:pPr>
        <w:pStyle w:val="FootnoteText"/>
        <w:ind w:left="284" w:hanging="284"/>
        <w:rPr>
          <w:rFonts w:ascii="Arial" w:hAnsi="Arial" w:cs="Arial"/>
          <w:lang w:val="en-GB"/>
        </w:rPr>
      </w:pPr>
      <w:r w:rsidRPr="007642F6">
        <w:rPr>
          <w:rStyle w:val="FootnoteReference"/>
          <w:rFonts w:ascii="Arial" w:hAnsi="Arial" w:cs="Arial"/>
        </w:rPr>
        <w:footnoteRef/>
      </w:r>
      <w:r w:rsidRPr="007642F6">
        <w:rPr>
          <w:rFonts w:ascii="Arial" w:hAnsi="Arial" w:cs="Arial"/>
        </w:rPr>
        <w:t xml:space="preserve"> </w:t>
      </w:r>
      <w:r w:rsidR="00EE262D">
        <w:rPr>
          <w:rFonts w:ascii="Arial" w:hAnsi="Arial" w:cs="Arial"/>
        </w:rPr>
        <w:tab/>
      </w:r>
      <w:r w:rsidRPr="007642F6">
        <w:rPr>
          <w:rFonts w:ascii="Arial" w:hAnsi="Arial" w:cs="Arial"/>
          <w:i/>
          <w:iCs/>
          <w:lang w:val="en-GB"/>
        </w:rPr>
        <w:t>Govan v Skidmore</w:t>
      </w:r>
      <w:r w:rsidRPr="007642F6">
        <w:rPr>
          <w:rFonts w:ascii="Arial" w:hAnsi="Arial" w:cs="Arial"/>
          <w:lang w:val="en-GB"/>
        </w:rPr>
        <w:t xml:space="preserve"> 1952 (1) SA 732 (N) at 734 C</w:t>
      </w:r>
      <w:r>
        <w:rPr>
          <w:rFonts w:ascii="Arial" w:hAnsi="Arial" w:cs="Arial"/>
          <w:lang w:val="en-GB"/>
        </w:rPr>
        <w:t xml:space="preserve">- </w:t>
      </w:r>
      <w:r w:rsidRPr="007642F6">
        <w:rPr>
          <w:rFonts w:ascii="Arial" w:hAnsi="Arial" w:cs="Arial"/>
          <w:lang w:val="en-GB"/>
        </w:rPr>
        <w:t xml:space="preserve">D, approved </w:t>
      </w:r>
      <w:r>
        <w:rPr>
          <w:rFonts w:ascii="Arial" w:hAnsi="Arial" w:cs="Arial"/>
          <w:lang w:val="en-GB"/>
        </w:rPr>
        <w:t xml:space="preserve">in </w:t>
      </w:r>
      <w:r w:rsidRPr="007642F6">
        <w:rPr>
          <w:rFonts w:ascii="Arial" w:hAnsi="Arial" w:cs="Arial"/>
          <w:i/>
          <w:iCs/>
          <w:lang w:val="en-GB"/>
        </w:rPr>
        <w:t>AA Onderlinge Assuransie-Assosiasie</w:t>
      </w:r>
      <w:r>
        <w:rPr>
          <w:rFonts w:ascii="Arial" w:hAnsi="Arial" w:cs="Arial"/>
          <w:lang w:val="en-GB"/>
        </w:rPr>
        <w:t xml:space="preserve"> </w:t>
      </w:r>
      <w:r w:rsidRPr="007642F6">
        <w:rPr>
          <w:rFonts w:ascii="Arial" w:hAnsi="Arial" w:cs="Arial"/>
          <w:i/>
          <w:iCs/>
          <w:lang w:val="en-GB"/>
        </w:rPr>
        <w:t xml:space="preserve">Bpk v De Beer </w:t>
      </w:r>
      <w:r>
        <w:rPr>
          <w:rFonts w:ascii="Arial" w:hAnsi="Arial" w:cs="Arial"/>
          <w:lang w:val="en-GB"/>
        </w:rPr>
        <w:t>1982 (2) S</w:t>
      </w:r>
      <w:r w:rsidRPr="00FE1E63">
        <w:rPr>
          <w:rFonts w:ascii="Arial" w:hAnsi="Arial" w:cs="Arial"/>
          <w:lang w:val="en-GB"/>
        </w:rPr>
        <w:t>A 603 (A) at 614 H</w:t>
      </w:r>
      <w:r w:rsidR="00FE1E63" w:rsidRPr="00FE1E63">
        <w:rPr>
          <w:rFonts w:ascii="Arial" w:hAnsi="Arial" w:cs="Arial"/>
          <w:lang w:val="en-GB"/>
        </w:rPr>
        <w:t xml:space="preserve"> – 615 C</w:t>
      </w:r>
      <w:r w:rsidR="00EE262D" w:rsidRPr="00FE1E63">
        <w:rPr>
          <w:rFonts w:ascii="Arial" w:hAnsi="Arial" w:cs="Arial"/>
          <w:lang w:val="en-GB"/>
        </w:rPr>
        <w:t>.</w:t>
      </w:r>
    </w:p>
  </w:footnote>
  <w:footnote w:id="6">
    <w:p w:rsidR="000E3734" w:rsidRPr="00F236D7" w:rsidRDefault="000E3734" w:rsidP="00EE262D">
      <w:pPr>
        <w:pStyle w:val="FootnoteText"/>
        <w:ind w:left="284" w:hanging="284"/>
        <w:rPr>
          <w:rFonts w:ascii="Arial" w:hAnsi="Arial" w:cs="Arial"/>
          <w:lang w:val="en-GB"/>
        </w:rPr>
      </w:pPr>
      <w:r w:rsidRPr="00F236D7">
        <w:rPr>
          <w:rStyle w:val="FootnoteReference"/>
          <w:rFonts w:ascii="Arial" w:hAnsi="Arial" w:cs="Arial"/>
        </w:rPr>
        <w:footnoteRef/>
      </w:r>
      <w:r w:rsidRPr="00F236D7">
        <w:rPr>
          <w:rFonts w:ascii="Arial" w:hAnsi="Arial" w:cs="Arial"/>
        </w:rPr>
        <w:t xml:space="preserve">  </w:t>
      </w:r>
      <w:r w:rsidR="00EE262D">
        <w:rPr>
          <w:rFonts w:ascii="Arial" w:hAnsi="Arial" w:cs="Arial"/>
        </w:rPr>
        <w:tab/>
      </w:r>
      <w:r w:rsidRPr="00F236D7">
        <w:rPr>
          <w:rFonts w:ascii="Arial" w:hAnsi="Arial" w:cs="Arial"/>
          <w:i/>
          <w:iCs/>
          <w:color w:val="000000"/>
        </w:rPr>
        <w:t>Hano Trading CC v JR 209 Investments (Pty) Ltd and Another</w:t>
      </w:r>
      <w:r w:rsidRPr="00F236D7">
        <w:rPr>
          <w:rStyle w:val="apple-converted-space"/>
          <w:rFonts w:ascii="Arial" w:hAnsi="Arial" w:cs="Arial"/>
          <w:i/>
          <w:iCs/>
          <w:color w:val="000000"/>
        </w:rPr>
        <w:t> </w:t>
      </w:r>
      <w:r w:rsidRPr="00F236D7">
        <w:rPr>
          <w:rFonts w:ascii="Arial" w:hAnsi="Arial" w:cs="Arial"/>
        </w:rPr>
        <w:t>2013 (1) SA 161</w:t>
      </w:r>
      <w:r w:rsidRPr="00F236D7">
        <w:rPr>
          <w:rStyle w:val="apple-converted-space"/>
          <w:rFonts w:ascii="Arial" w:hAnsi="Arial" w:cs="Arial"/>
          <w:color w:val="000000"/>
          <w:shd w:val="clear" w:color="auto" w:fill="FFFFFF"/>
        </w:rPr>
        <w:t> </w:t>
      </w:r>
      <w:r w:rsidRPr="00F236D7">
        <w:rPr>
          <w:rFonts w:ascii="Arial" w:hAnsi="Arial" w:cs="Arial"/>
          <w:color w:val="000000"/>
          <w:shd w:val="clear" w:color="auto" w:fill="FFFFFF"/>
        </w:rPr>
        <w:t>(SCA) paras 10 – 13.</w:t>
      </w:r>
    </w:p>
  </w:footnote>
  <w:footnote w:id="7">
    <w:p w:rsidR="000E3734" w:rsidRPr="00BC2A9E" w:rsidRDefault="000E3734" w:rsidP="00EE262D">
      <w:pPr>
        <w:pStyle w:val="FootnoteText"/>
        <w:ind w:left="284" w:hanging="284"/>
        <w:rPr>
          <w:lang w:val="en-GB"/>
        </w:rPr>
      </w:pPr>
      <w:r w:rsidRPr="00F236D7">
        <w:rPr>
          <w:rStyle w:val="FootnoteReference"/>
          <w:rFonts w:ascii="Arial" w:hAnsi="Arial" w:cs="Arial"/>
        </w:rPr>
        <w:footnoteRef/>
      </w:r>
      <w:r w:rsidRPr="00F236D7">
        <w:rPr>
          <w:rFonts w:ascii="Arial" w:hAnsi="Arial" w:cs="Arial"/>
        </w:rPr>
        <w:t xml:space="preserve"> </w:t>
      </w:r>
      <w:r w:rsidRPr="00F236D7">
        <w:rPr>
          <w:rFonts w:ascii="Arial" w:hAnsi="Arial" w:cs="Arial"/>
          <w:color w:val="000000"/>
          <w:shd w:val="clear" w:color="auto" w:fill="FFFFFF"/>
        </w:rPr>
        <w:t xml:space="preserve"> </w:t>
      </w:r>
      <w:r w:rsidR="00EE262D">
        <w:rPr>
          <w:rFonts w:ascii="Arial" w:hAnsi="Arial" w:cs="Arial"/>
          <w:color w:val="000000"/>
          <w:shd w:val="clear" w:color="auto" w:fill="FFFFFF"/>
        </w:rPr>
        <w:tab/>
      </w:r>
      <w:r w:rsidRPr="00F236D7">
        <w:rPr>
          <w:rFonts w:ascii="Arial" w:hAnsi="Arial" w:cs="Arial"/>
          <w:i/>
          <w:iCs/>
          <w:color w:val="000000"/>
        </w:rPr>
        <w:t>Rens v Gutman NO</w:t>
      </w:r>
      <w:r w:rsidRPr="00F236D7">
        <w:rPr>
          <w:rStyle w:val="apple-converted-space"/>
          <w:rFonts w:ascii="Arial" w:hAnsi="Arial" w:cs="Arial"/>
          <w:i/>
          <w:iCs/>
          <w:color w:val="000000"/>
        </w:rPr>
        <w:t> </w:t>
      </w:r>
      <w:r w:rsidRPr="00F236D7">
        <w:rPr>
          <w:rFonts w:ascii="Arial" w:hAnsi="Arial" w:cs="Arial"/>
        </w:rPr>
        <w:t>[2002] 4 All SA 30</w:t>
      </w:r>
      <w:r w:rsidRPr="00F236D7">
        <w:rPr>
          <w:rStyle w:val="apple-converted-space"/>
          <w:rFonts w:ascii="Arial" w:hAnsi="Arial" w:cs="Arial"/>
          <w:color w:val="000000"/>
          <w:shd w:val="clear" w:color="auto" w:fill="FFFFFF"/>
        </w:rPr>
        <w:t> </w:t>
      </w:r>
      <w:r w:rsidRPr="00F236D7">
        <w:rPr>
          <w:rFonts w:ascii="Arial" w:hAnsi="Arial" w:cs="Arial"/>
          <w:color w:val="000000"/>
          <w:shd w:val="clear" w:color="auto" w:fill="FFFFFF"/>
        </w:rPr>
        <w:t>(C) 36.</w:t>
      </w:r>
    </w:p>
  </w:footnote>
  <w:footnote w:id="8">
    <w:p w:rsidR="00E734D7" w:rsidRPr="005461B7" w:rsidRDefault="00E734D7" w:rsidP="00EE262D">
      <w:pPr>
        <w:pStyle w:val="FootnoteText"/>
        <w:ind w:left="284" w:hanging="284"/>
        <w:rPr>
          <w:rFonts w:ascii="Arial" w:hAnsi="Arial" w:cs="Arial"/>
          <w:lang w:val="en-GB"/>
        </w:rPr>
      </w:pPr>
      <w:r w:rsidRPr="005461B7">
        <w:rPr>
          <w:rStyle w:val="FootnoteReference"/>
          <w:rFonts w:ascii="Arial" w:hAnsi="Arial" w:cs="Arial"/>
        </w:rPr>
        <w:footnoteRef/>
      </w:r>
      <w:r w:rsidRPr="005461B7">
        <w:rPr>
          <w:rFonts w:ascii="Arial" w:hAnsi="Arial" w:cs="Arial"/>
        </w:rPr>
        <w:t xml:space="preserve"> </w:t>
      </w:r>
      <w:r w:rsidR="006B34D2">
        <w:rPr>
          <w:rFonts w:ascii="Arial" w:hAnsi="Arial" w:cs="Arial"/>
        </w:rPr>
        <w:t xml:space="preserve">  </w:t>
      </w:r>
      <w:r w:rsidR="00EE262D">
        <w:rPr>
          <w:rFonts w:ascii="Arial" w:hAnsi="Arial" w:cs="Arial"/>
        </w:rPr>
        <w:tab/>
      </w:r>
      <w:r w:rsidR="005461B7" w:rsidRPr="005461B7">
        <w:rPr>
          <w:rFonts w:ascii="Arial" w:hAnsi="Arial" w:cs="Arial"/>
          <w:i/>
          <w:iCs/>
        </w:rPr>
        <w:t>Kilburn v Estate Kilburn</w:t>
      </w:r>
      <w:r w:rsidR="005461B7" w:rsidRPr="005461B7">
        <w:rPr>
          <w:rFonts w:ascii="Arial" w:hAnsi="Arial" w:cs="Arial"/>
        </w:rPr>
        <w:t xml:space="preserve"> 1931 AD 501 at 507</w:t>
      </w:r>
      <w:r w:rsidR="009A59AA">
        <w:rPr>
          <w:rFonts w:ascii="Arial" w:hAnsi="Arial" w:cs="Arial"/>
        </w:rPr>
        <w:t>- 508</w:t>
      </w:r>
      <w:r w:rsidR="00B26884">
        <w:rPr>
          <w:rFonts w:ascii="Arial" w:hAnsi="Arial" w:cs="Arial"/>
        </w:rPr>
        <w:t>.</w:t>
      </w:r>
    </w:p>
  </w:footnote>
  <w:footnote w:id="9">
    <w:p w:rsidR="004F6C22" w:rsidRPr="004F6C22" w:rsidRDefault="004F6C22" w:rsidP="00EE262D">
      <w:pPr>
        <w:pStyle w:val="FootnoteText"/>
        <w:ind w:left="284" w:hanging="284"/>
        <w:rPr>
          <w:lang w:val="en-GB"/>
        </w:rPr>
      </w:pPr>
      <w:r w:rsidRPr="00EB2375">
        <w:rPr>
          <w:rStyle w:val="FootnoteReference"/>
          <w:rFonts w:ascii="Arial" w:hAnsi="Arial" w:cs="Arial"/>
        </w:rPr>
        <w:footnoteRef/>
      </w:r>
      <w:r w:rsidRPr="00EB2375">
        <w:rPr>
          <w:rFonts w:ascii="Arial" w:hAnsi="Arial" w:cs="Arial"/>
        </w:rPr>
        <w:t xml:space="preserve"> </w:t>
      </w:r>
      <w:r w:rsidR="00EE262D">
        <w:rPr>
          <w:rFonts w:ascii="Arial" w:hAnsi="Arial" w:cs="Arial"/>
        </w:rPr>
        <w:tab/>
      </w:r>
      <w:r w:rsidRPr="00EB2375">
        <w:rPr>
          <w:rFonts w:ascii="Arial" w:hAnsi="Arial" w:cs="Arial"/>
          <w:i/>
          <w:iCs/>
          <w:lang w:val="en-GB"/>
        </w:rPr>
        <w:t>Commissioner SARS v Hawker Air Services (Pty) Ltd</w:t>
      </w:r>
      <w:r>
        <w:rPr>
          <w:lang w:val="en-GB"/>
        </w:rPr>
        <w:t xml:space="preserve"> </w:t>
      </w:r>
      <w:r w:rsidR="00EB2375">
        <w:rPr>
          <w:lang w:val="en-GB"/>
        </w:rPr>
        <w:t xml:space="preserve"> and others </w:t>
      </w:r>
      <w:r w:rsidRPr="00EB2375">
        <w:rPr>
          <w:rFonts w:ascii="Arial" w:hAnsi="Arial" w:cs="Arial"/>
          <w:lang w:val="en-GB"/>
        </w:rPr>
        <w:t xml:space="preserve">2006 (4) SA 292 </w:t>
      </w:r>
      <w:r w:rsidR="00EB2375" w:rsidRPr="00EB2375">
        <w:rPr>
          <w:rFonts w:ascii="Arial" w:hAnsi="Arial" w:cs="Arial"/>
          <w:lang w:val="en-GB"/>
        </w:rPr>
        <w:t>(</w:t>
      </w:r>
      <w:r w:rsidR="00EB2375">
        <w:rPr>
          <w:rFonts w:ascii="Arial" w:hAnsi="Arial" w:cs="Arial"/>
          <w:lang w:val="en-GB"/>
        </w:rPr>
        <w:t>SC</w:t>
      </w:r>
      <w:r w:rsidR="00EB2375" w:rsidRPr="00EB2375">
        <w:rPr>
          <w:rFonts w:ascii="Arial" w:hAnsi="Arial" w:cs="Arial"/>
          <w:lang w:val="en-GB"/>
        </w:rPr>
        <w:t>A) para 29</w:t>
      </w:r>
      <w:r w:rsidR="00B26884">
        <w:rPr>
          <w:rFonts w:ascii="Arial" w:hAnsi="Arial" w:cs="Arial"/>
          <w:lang w:val="en-GB"/>
        </w:rPr>
        <w:t>.</w:t>
      </w:r>
      <w:r w:rsidR="00EB2375">
        <w:rPr>
          <w:lang w:val="en-GB"/>
        </w:rPr>
        <w:t xml:space="preserve"> </w:t>
      </w:r>
    </w:p>
  </w:footnote>
  <w:footnote w:id="10">
    <w:p w:rsidR="00F02FD6" w:rsidRPr="00F02FD6" w:rsidRDefault="00F02FD6">
      <w:pPr>
        <w:pStyle w:val="FootnoteText"/>
        <w:rPr>
          <w:rFonts w:ascii="Arial" w:hAnsi="Arial" w:cs="Arial"/>
          <w:lang w:val="en-GB"/>
        </w:rPr>
      </w:pPr>
      <w:r>
        <w:rPr>
          <w:rStyle w:val="FootnoteReference"/>
        </w:rPr>
        <w:footnoteRef/>
      </w:r>
      <w:r>
        <w:t xml:space="preserve"> </w:t>
      </w:r>
      <w:r>
        <w:rPr>
          <w:rFonts w:ascii="Arial" w:hAnsi="Arial" w:cs="Arial"/>
          <w:lang w:val="en-GB"/>
        </w:rPr>
        <w:t xml:space="preserve"> </w:t>
      </w:r>
      <w:r>
        <w:rPr>
          <w:rFonts w:ascii="Arial" w:hAnsi="Arial" w:cs="Arial"/>
          <w:i/>
          <w:iCs/>
          <w:lang w:val="en-GB"/>
        </w:rPr>
        <w:t xml:space="preserve">Cordiant Trading CC v Daimler Chrysler Financial Services </w:t>
      </w:r>
      <w:r>
        <w:rPr>
          <w:rFonts w:ascii="Arial" w:hAnsi="Arial" w:cs="Arial"/>
          <w:lang w:val="en-GB"/>
        </w:rPr>
        <w:t xml:space="preserve"> 2005 (4) SA 389 (DCLD) at 397 D -F.</w:t>
      </w:r>
    </w:p>
  </w:footnote>
  <w:footnote w:id="11">
    <w:p w:rsidR="00D279C7" w:rsidRPr="00D279C7" w:rsidRDefault="00D279C7">
      <w:pPr>
        <w:pStyle w:val="FootnoteText"/>
        <w:rPr>
          <w:rFonts w:ascii="Arial" w:hAnsi="Arial" w:cs="Arial"/>
          <w:lang w:val="en-GB"/>
        </w:rPr>
      </w:pPr>
      <w:r w:rsidRPr="00D279C7">
        <w:rPr>
          <w:rStyle w:val="FootnoteReference"/>
          <w:rFonts w:ascii="Arial" w:hAnsi="Arial" w:cs="Arial"/>
        </w:rPr>
        <w:footnoteRef/>
      </w:r>
      <w:r w:rsidRPr="00D279C7">
        <w:rPr>
          <w:rFonts w:ascii="Arial" w:hAnsi="Arial" w:cs="Arial"/>
        </w:rPr>
        <w:t xml:space="preserve"> </w:t>
      </w:r>
      <w:r w:rsidRPr="00D279C7">
        <w:rPr>
          <w:rFonts w:ascii="Arial" w:hAnsi="Arial" w:cs="Arial"/>
          <w:i/>
          <w:iCs/>
          <w:lang w:val="en-GB"/>
        </w:rPr>
        <w:t>I</w:t>
      </w:r>
      <w:r w:rsidR="000B35D9">
        <w:rPr>
          <w:rFonts w:ascii="Arial" w:hAnsi="Arial" w:cs="Arial"/>
          <w:i/>
          <w:iCs/>
          <w:lang w:val="en-GB"/>
        </w:rPr>
        <w:t xml:space="preserve">ndustrial </w:t>
      </w:r>
      <w:r w:rsidRPr="00D279C7">
        <w:rPr>
          <w:rFonts w:ascii="Arial" w:hAnsi="Arial" w:cs="Arial"/>
          <w:i/>
          <w:iCs/>
          <w:lang w:val="en-GB"/>
        </w:rPr>
        <w:t>D</w:t>
      </w:r>
      <w:r w:rsidR="000B35D9">
        <w:rPr>
          <w:rFonts w:ascii="Arial" w:hAnsi="Arial" w:cs="Arial"/>
          <w:i/>
          <w:iCs/>
          <w:lang w:val="en-GB"/>
        </w:rPr>
        <w:t xml:space="preserve">evelopment </w:t>
      </w:r>
      <w:r w:rsidR="00B51BB7" w:rsidRPr="00D279C7">
        <w:rPr>
          <w:rFonts w:ascii="Arial" w:hAnsi="Arial" w:cs="Arial"/>
          <w:i/>
          <w:iCs/>
          <w:lang w:val="en-GB"/>
        </w:rPr>
        <w:t>C</w:t>
      </w:r>
      <w:r w:rsidR="00B51BB7">
        <w:rPr>
          <w:rFonts w:ascii="Arial" w:hAnsi="Arial" w:cs="Arial"/>
          <w:i/>
          <w:iCs/>
          <w:lang w:val="en-GB"/>
        </w:rPr>
        <w:t>orporation</w:t>
      </w:r>
      <w:r w:rsidR="000B35D9">
        <w:rPr>
          <w:rFonts w:ascii="Arial" w:hAnsi="Arial" w:cs="Arial"/>
          <w:i/>
          <w:iCs/>
          <w:lang w:val="en-GB"/>
        </w:rPr>
        <w:t xml:space="preserve"> </w:t>
      </w:r>
      <w:r w:rsidR="00B51BB7">
        <w:rPr>
          <w:rFonts w:ascii="Arial" w:hAnsi="Arial" w:cs="Arial"/>
          <w:i/>
          <w:iCs/>
          <w:lang w:val="en-GB"/>
        </w:rPr>
        <w:t xml:space="preserve">op cit </w:t>
      </w:r>
      <w:r w:rsidR="00B51BB7">
        <w:rPr>
          <w:rFonts w:ascii="Arial" w:hAnsi="Arial" w:cs="Arial"/>
          <w:lang w:val="en-GB"/>
        </w:rPr>
        <w:t>paragraph 58</w:t>
      </w:r>
      <w:r w:rsidR="000B35D9">
        <w:rPr>
          <w:rFonts w:ascii="Arial" w:hAnsi="Arial" w:cs="Arial"/>
          <w:i/>
          <w:iCs/>
          <w:lang w:val="en-GB"/>
        </w:rPr>
        <w:t xml:space="preserve">, </w:t>
      </w:r>
      <w:r w:rsidRPr="00D279C7">
        <w:rPr>
          <w:rFonts w:ascii="Arial" w:hAnsi="Arial" w:cs="Arial"/>
          <w:lang w:val="en-GB"/>
        </w:rPr>
        <w:t>para 22</w:t>
      </w:r>
      <w:r w:rsidR="00EE262D">
        <w:rPr>
          <w:rFonts w:ascii="Arial" w:hAnsi="Arial" w:cs="Arial"/>
          <w:lang w:val="en-GB"/>
        </w:rPr>
        <w:t>.</w:t>
      </w:r>
    </w:p>
  </w:footnote>
  <w:footnote w:id="12">
    <w:p w:rsidR="00B7617A" w:rsidRPr="00B7617A" w:rsidRDefault="00B7617A">
      <w:pPr>
        <w:pStyle w:val="FootnoteText"/>
        <w:rPr>
          <w:rFonts w:ascii="Arial" w:hAnsi="Arial" w:cs="Arial"/>
          <w:lang w:val="en-GB"/>
        </w:rPr>
      </w:pPr>
      <w:r w:rsidRPr="00B7617A">
        <w:rPr>
          <w:rStyle w:val="FootnoteReference"/>
          <w:rFonts w:ascii="Arial" w:hAnsi="Arial" w:cs="Arial"/>
        </w:rPr>
        <w:footnoteRef/>
      </w:r>
      <w:r w:rsidRPr="00B7617A">
        <w:rPr>
          <w:rFonts w:ascii="Arial" w:hAnsi="Arial" w:cs="Arial"/>
        </w:rPr>
        <w:t xml:space="preserve"> </w:t>
      </w:r>
      <w:r w:rsidRPr="009823C9">
        <w:rPr>
          <w:rFonts w:ascii="Arial" w:hAnsi="Arial" w:cs="Arial"/>
          <w:i/>
          <w:iCs/>
          <w:lang w:val="en-GB"/>
        </w:rPr>
        <w:t>Cf</w:t>
      </w:r>
      <w:r w:rsidRPr="00B7617A">
        <w:rPr>
          <w:rFonts w:ascii="Arial" w:hAnsi="Arial" w:cs="Arial"/>
          <w:lang w:val="en-GB"/>
        </w:rPr>
        <w:t xml:space="preserve"> </w:t>
      </w:r>
      <w:r w:rsidRPr="00B7617A">
        <w:rPr>
          <w:rFonts w:ascii="Arial" w:hAnsi="Arial" w:cs="Arial"/>
          <w:i/>
          <w:iCs/>
          <w:color w:val="333333"/>
          <w:bdr w:val="none" w:sz="0" w:space="0" w:color="auto" w:frame="1"/>
        </w:rPr>
        <w:t>Smith and Walton (SA) (Pty) Ltd v Holt</w:t>
      </w:r>
      <w:r w:rsidRPr="00B7617A">
        <w:rPr>
          <w:rStyle w:val="apple-converted-space"/>
          <w:rFonts w:ascii="Arial" w:hAnsi="Arial" w:cs="Arial"/>
          <w:color w:val="333333"/>
          <w:shd w:val="clear" w:color="auto" w:fill="FFFFFF"/>
        </w:rPr>
        <w:t> </w:t>
      </w:r>
      <w:r w:rsidRPr="00B7617A">
        <w:rPr>
          <w:rFonts w:ascii="Arial" w:hAnsi="Arial" w:cs="Arial"/>
          <w:color w:val="333333"/>
          <w:shd w:val="clear" w:color="auto" w:fill="FFFFFF"/>
        </w:rPr>
        <w:t>1961 (4) SA 157 (D)</w:t>
      </w:r>
      <w:r>
        <w:rPr>
          <w:rFonts w:ascii="Arial" w:hAnsi="Arial" w:cs="Arial"/>
          <w:color w:val="333333"/>
          <w:shd w:val="clear" w:color="auto" w:fill="FFFFFF"/>
        </w:rPr>
        <w:t xml:space="preserve"> at 162</w:t>
      </w:r>
      <w:r w:rsidR="00802327">
        <w:rPr>
          <w:rFonts w:ascii="Arial" w:hAnsi="Arial" w:cs="Arial"/>
          <w:color w:val="333333"/>
          <w:shd w:val="clear" w:color="auto" w:fill="FFFFFF"/>
        </w:rPr>
        <w:t>.</w:t>
      </w:r>
    </w:p>
  </w:footnote>
  <w:footnote w:id="13">
    <w:p w:rsidR="00683D20" w:rsidRPr="00683D20" w:rsidRDefault="00683D20">
      <w:pPr>
        <w:pStyle w:val="FootnoteText"/>
        <w:rPr>
          <w:rFonts w:ascii="Arial" w:hAnsi="Arial" w:cs="Arial"/>
          <w:lang w:val="en-GB"/>
        </w:rPr>
      </w:pPr>
      <w:r w:rsidRPr="00683D20">
        <w:rPr>
          <w:rStyle w:val="FootnoteReference"/>
          <w:rFonts w:ascii="Arial" w:hAnsi="Arial" w:cs="Arial"/>
        </w:rPr>
        <w:footnoteRef/>
      </w:r>
      <w:r w:rsidRPr="00683D20">
        <w:rPr>
          <w:rFonts w:ascii="Arial" w:hAnsi="Arial" w:cs="Arial"/>
        </w:rPr>
        <w:t xml:space="preserve"> </w:t>
      </w:r>
      <w:r w:rsidRPr="00683D20">
        <w:rPr>
          <w:rFonts w:ascii="Arial" w:hAnsi="Arial" w:cs="Arial"/>
          <w:lang w:val="en-GB"/>
        </w:rPr>
        <w:t>Section 40(1) of the Insolvency Act</w:t>
      </w:r>
      <w:r w:rsidR="00EE262D">
        <w:rPr>
          <w:rFonts w:ascii="Arial" w:hAnsi="Arial" w:cs="Arial"/>
          <w:lang w:val="en-GB"/>
        </w:rPr>
        <w:t>.</w:t>
      </w:r>
    </w:p>
  </w:footnote>
  <w:footnote w:id="14">
    <w:p w:rsidR="00F37234" w:rsidRPr="00F37234" w:rsidRDefault="00F37234">
      <w:pPr>
        <w:pStyle w:val="FootnoteText"/>
        <w:rPr>
          <w:rFonts w:ascii="Arial" w:hAnsi="Arial" w:cs="Arial"/>
          <w:lang w:val="en-GB"/>
        </w:rPr>
      </w:pPr>
      <w:r>
        <w:rPr>
          <w:rStyle w:val="FootnoteReference"/>
        </w:rPr>
        <w:footnoteRef/>
      </w:r>
      <w:r>
        <w:t xml:space="preserve"> </w:t>
      </w:r>
      <w:r w:rsidR="004E6E84" w:rsidRPr="004E6E84">
        <w:rPr>
          <w:rFonts w:ascii="Arial" w:hAnsi="Arial" w:cs="Arial"/>
          <w:i/>
          <w:iCs/>
          <w:lang w:val="en-GB"/>
        </w:rPr>
        <w:t>Appleson v The Master</w:t>
      </w:r>
      <w:r w:rsidR="004E6E84">
        <w:rPr>
          <w:rFonts w:ascii="Arial" w:hAnsi="Arial" w:cs="Arial"/>
          <w:lang w:val="en-GB"/>
        </w:rPr>
        <w:t xml:space="preserve"> 1951 (3) SA 141 (T)</w:t>
      </w:r>
      <w:r w:rsidR="00EE262D">
        <w:rPr>
          <w:rFonts w:ascii="Arial" w:hAnsi="Arial" w:cs="Arial"/>
          <w:lang w:val="en-GB"/>
        </w:rPr>
        <w:t>.</w:t>
      </w:r>
    </w:p>
  </w:footnote>
  <w:footnote w:id="15">
    <w:p w:rsidR="00F02FD6" w:rsidRPr="00F02FD6" w:rsidRDefault="00F02FD6">
      <w:pPr>
        <w:pStyle w:val="FootnoteText"/>
        <w:rPr>
          <w:rFonts w:ascii="Arial" w:hAnsi="Arial" w:cs="Arial"/>
          <w:lang w:val="en-GB"/>
        </w:rPr>
      </w:pPr>
      <w:r w:rsidRPr="00F02FD6">
        <w:rPr>
          <w:rStyle w:val="FootnoteReference"/>
          <w:rFonts w:ascii="Arial" w:hAnsi="Arial" w:cs="Arial"/>
        </w:rPr>
        <w:footnoteRef/>
      </w:r>
      <w:r w:rsidRPr="00F02FD6">
        <w:rPr>
          <w:rFonts w:ascii="Arial" w:hAnsi="Arial" w:cs="Arial"/>
        </w:rPr>
        <w:t xml:space="preserve"> </w:t>
      </w:r>
      <w:r w:rsidRPr="00F02FD6">
        <w:rPr>
          <w:rFonts w:ascii="Arial" w:hAnsi="Arial" w:cs="Arial"/>
          <w:i/>
          <w:iCs/>
          <w:lang w:val="en-GB"/>
        </w:rPr>
        <w:t xml:space="preserve">Simmons, NO v Gilbert Hamer &amp; Co Ltd </w:t>
      </w:r>
      <w:r w:rsidRPr="00F02FD6">
        <w:rPr>
          <w:rFonts w:ascii="Arial" w:hAnsi="Arial" w:cs="Arial"/>
          <w:lang w:val="en-GB"/>
        </w:rPr>
        <w:t xml:space="preserve">1962 </w:t>
      </w:r>
      <w:r w:rsidR="00854E4F">
        <w:rPr>
          <w:rFonts w:ascii="Arial" w:hAnsi="Arial" w:cs="Arial"/>
          <w:lang w:val="en-GB"/>
        </w:rPr>
        <w:t>(</w:t>
      </w:r>
      <w:r w:rsidRPr="00F02FD6">
        <w:rPr>
          <w:rFonts w:ascii="Arial" w:hAnsi="Arial" w:cs="Arial"/>
          <w:lang w:val="en-GB"/>
        </w:rPr>
        <w:t>2</w:t>
      </w:r>
      <w:r w:rsidR="00854E4F">
        <w:rPr>
          <w:rFonts w:ascii="Arial" w:hAnsi="Arial" w:cs="Arial"/>
          <w:lang w:val="en-GB"/>
        </w:rPr>
        <w:t xml:space="preserve">) </w:t>
      </w:r>
      <w:r w:rsidRPr="00F02FD6">
        <w:rPr>
          <w:rFonts w:ascii="Arial" w:hAnsi="Arial" w:cs="Arial"/>
          <w:lang w:val="en-GB"/>
        </w:rPr>
        <w:t xml:space="preserve">SA 487 (D) at </w:t>
      </w:r>
      <w:r w:rsidR="00854E4F">
        <w:rPr>
          <w:rFonts w:ascii="Arial" w:hAnsi="Arial" w:cs="Arial"/>
          <w:lang w:val="en-GB"/>
        </w:rPr>
        <w:t>496 E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887"/>
      <w:docPartObj>
        <w:docPartGallery w:val="Page Numbers (Top of Page)"/>
        <w:docPartUnique/>
      </w:docPartObj>
    </w:sdtPr>
    <w:sdtEndPr>
      <w:rPr>
        <w:noProof/>
      </w:rPr>
    </w:sdtEndPr>
    <w:sdtContent>
      <w:p w:rsidR="005335E8" w:rsidRDefault="005335E8">
        <w:pPr>
          <w:pStyle w:val="Header"/>
          <w:jc w:val="right"/>
        </w:pPr>
        <w:r>
          <w:fldChar w:fldCharType="begin"/>
        </w:r>
        <w:r>
          <w:instrText xml:space="preserve"> PAGE   \* MERGEFORMAT </w:instrText>
        </w:r>
        <w:r>
          <w:fldChar w:fldCharType="separate"/>
        </w:r>
        <w:r w:rsidR="00DD0F2D">
          <w:rPr>
            <w:noProof/>
          </w:rPr>
          <w:t>23</w:t>
        </w:r>
        <w:r>
          <w:rPr>
            <w:noProof/>
          </w:rPr>
          <w:fldChar w:fldCharType="end"/>
        </w:r>
      </w:p>
    </w:sdtContent>
  </w:sdt>
  <w:p w:rsidR="005335E8" w:rsidRDefault="00533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7B48169A"/>
    <w:lvl w:ilvl="0" w:tplc="5D0032EA">
      <w:start w:val="1"/>
      <w:numFmt w:val="decimal"/>
      <w:lvlText w:val="[%1]"/>
      <w:lvlJc w:val="left"/>
      <w:pPr>
        <w:ind w:left="0" w:firstLine="0"/>
      </w:pPr>
      <w:rPr>
        <w:rFonts w:ascii="Arial" w:hAnsi="Arial" w:cs="Arial" w:hint="default"/>
        <w:b w:val="0"/>
        <w:bCs w:val="0"/>
        <w:i w:val="0"/>
        <w:i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20AF5"/>
    <w:multiLevelType w:val="hybridMultilevel"/>
    <w:tmpl w:val="376A261A"/>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3D"/>
    <w:rsid w:val="00005A45"/>
    <w:rsid w:val="00010EFF"/>
    <w:rsid w:val="000140CE"/>
    <w:rsid w:val="000161E0"/>
    <w:rsid w:val="00047795"/>
    <w:rsid w:val="00050C3B"/>
    <w:rsid w:val="00075C26"/>
    <w:rsid w:val="000849EC"/>
    <w:rsid w:val="000855A0"/>
    <w:rsid w:val="000B35D9"/>
    <w:rsid w:val="000C6613"/>
    <w:rsid w:val="000E3734"/>
    <w:rsid w:val="00113364"/>
    <w:rsid w:val="00140803"/>
    <w:rsid w:val="0014538C"/>
    <w:rsid w:val="0015515F"/>
    <w:rsid w:val="00162245"/>
    <w:rsid w:val="00184316"/>
    <w:rsid w:val="00193DBA"/>
    <w:rsid w:val="001B0758"/>
    <w:rsid w:val="001C7408"/>
    <w:rsid w:val="001D0D00"/>
    <w:rsid w:val="001E07B0"/>
    <w:rsid w:val="001E641E"/>
    <w:rsid w:val="001F005F"/>
    <w:rsid w:val="002361F5"/>
    <w:rsid w:val="00262788"/>
    <w:rsid w:val="00290BFE"/>
    <w:rsid w:val="002931E6"/>
    <w:rsid w:val="002A169D"/>
    <w:rsid w:val="002A4FB8"/>
    <w:rsid w:val="002D7AB8"/>
    <w:rsid w:val="002E3703"/>
    <w:rsid w:val="002F3D64"/>
    <w:rsid w:val="003345A8"/>
    <w:rsid w:val="00356DEB"/>
    <w:rsid w:val="00370D21"/>
    <w:rsid w:val="00387B3D"/>
    <w:rsid w:val="00387E6F"/>
    <w:rsid w:val="00395189"/>
    <w:rsid w:val="003A0E97"/>
    <w:rsid w:val="003A42DA"/>
    <w:rsid w:val="003E6754"/>
    <w:rsid w:val="00410322"/>
    <w:rsid w:val="00413BD3"/>
    <w:rsid w:val="0041518F"/>
    <w:rsid w:val="004235B3"/>
    <w:rsid w:val="00423638"/>
    <w:rsid w:val="0043001F"/>
    <w:rsid w:val="00453770"/>
    <w:rsid w:val="004659B0"/>
    <w:rsid w:val="004879F0"/>
    <w:rsid w:val="0049154F"/>
    <w:rsid w:val="004954A4"/>
    <w:rsid w:val="004A124A"/>
    <w:rsid w:val="004C1C4B"/>
    <w:rsid w:val="004C2FA4"/>
    <w:rsid w:val="004D738F"/>
    <w:rsid w:val="004E51C3"/>
    <w:rsid w:val="004E6E84"/>
    <w:rsid w:val="004F3583"/>
    <w:rsid w:val="004F6C22"/>
    <w:rsid w:val="00512FFB"/>
    <w:rsid w:val="00514C74"/>
    <w:rsid w:val="00520E23"/>
    <w:rsid w:val="005267E7"/>
    <w:rsid w:val="00527D0A"/>
    <w:rsid w:val="005302CB"/>
    <w:rsid w:val="005335E8"/>
    <w:rsid w:val="005461B7"/>
    <w:rsid w:val="00571D82"/>
    <w:rsid w:val="0059054A"/>
    <w:rsid w:val="00596EFB"/>
    <w:rsid w:val="005A4BBA"/>
    <w:rsid w:val="005C6E14"/>
    <w:rsid w:val="005F124A"/>
    <w:rsid w:val="005F6C50"/>
    <w:rsid w:val="00607231"/>
    <w:rsid w:val="00637CF9"/>
    <w:rsid w:val="00683D20"/>
    <w:rsid w:val="00685706"/>
    <w:rsid w:val="006A33E2"/>
    <w:rsid w:val="006B34D2"/>
    <w:rsid w:val="00700C72"/>
    <w:rsid w:val="0070451D"/>
    <w:rsid w:val="00706AEC"/>
    <w:rsid w:val="0070723A"/>
    <w:rsid w:val="00722F77"/>
    <w:rsid w:val="00724C3A"/>
    <w:rsid w:val="00724E98"/>
    <w:rsid w:val="007326CB"/>
    <w:rsid w:val="00732C62"/>
    <w:rsid w:val="00753B69"/>
    <w:rsid w:val="0075739A"/>
    <w:rsid w:val="007605AE"/>
    <w:rsid w:val="007642F6"/>
    <w:rsid w:val="00770772"/>
    <w:rsid w:val="00787B64"/>
    <w:rsid w:val="007A547F"/>
    <w:rsid w:val="007B0B38"/>
    <w:rsid w:val="00802327"/>
    <w:rsid w:val="00811D12"/>
    <w:rsid w:val="00820DC3"/>
    <w:rsid w:val="00825A8F"/>
    <w:rsid w:val="00832852"/>
    <w:rsid w:val="00843718"/>
    <w:rsid w:val="00845EE8"/>
    <w:rsid w:val="00854E4F"/>
    <w:rsid w:val="008A65ED"/>
    <w:rsid w:val="008C39F8"/>
    <w:rsid w:val="00905633"/>
    <w:rsid w:val="00914262"/>
    <w:rsid w:val="00926E84"/>
    <w:rsid w:val="00947F12"/>
    <w:rsid w:val="00964551"/>
    <w:rsid w:val="009823C9"/>
    <w:rsid w:val="009A59AA"/>
    <w:rsid w:val="009B728E"/>
    <w:rsid w:val="009C03D8"/>
    <w:rsid w:val="009C1D22"/>
    <w:rsid w:val="009D1168"/>
    <w:rsid w:val="009E7C7A"/>
    <w:rsid w:val="009F10E2"/>
    <w:rsid w:val="009F5C85"/>
    <w:rsid w:val="00A12926"/>
    <w:rsid w:val="00A20B69"/>
    <w:rsid w:val="00A26196"/>
    <w:rsid w:val="00A32C07"/>
    <w:rsid w:val="00A341FB"/>
    <w:rsid w:val="00A4392F"/>
    <w:rsid w:val="00A528C6"/>
    <w:rsid w:val="00A81A58"/>
    <w:rsid w:val="00AB48F9"/>
    <w:rsid w:val="00AD23F7"/>
    <w:rsid w:val="00AF580C"/>
    <w:rsid w:val="00B03311"/>
    <w:rsid w:val="00B05DBF"/>
    <w:rsid w:val="00B061EF"/>
    <w:rsid w:val="00B26884"/>
    <w:rsid w:val="00B331B5"/>
    <w:rsid w:val="00B45A6A"/>
    <w:rsid w:val="00B51BB7"/>
    <w:rsid w:val="00B55600"/>
    <w:rsid w:val="00B56A89"/>
    <w:rsid w:val="00B57C68"/>
    <w:rsid w:val="00B7617A"/>
    <w:rsid w:val="00B77EDD"/>
    <w:rsid w:val="00BB0C8E"/>
    <w:rsid w:val="00BB6EB4"/>
    <w:rsid w:val="00BC2A9E"/>
    <w:rsid w:val="00BD5CF1"/>
    <w:rsid w:val="00C00665"/>
    <w:rsid w:val="00C16CCD"/>
    <w:rsid w:val="00C44179"/>
    <w:rsid w:val="00C8458F"/>
    <w:rsid w:val="00C9693A"/>
    <w:rsid w:val="00CA13CA"/>
    <w:rsid w:val="00CA75ED"/>
    <w:rsid w:val="00CB3094"/>
    <w:rsid w:val="00CB7A06"/>
    <w:rsid w:val="00CC0414"/>
    <w:rsid w:val="00D0337C"/>
    <w:rsid w:val="00D11D1C"/>
    <w:rsid w:val="00D169E7"/>
    <w:rsid w:val="00D279C7"/>
    <w:rsid w:val="00D417CF"/>
    <w:rsid w:val="00D60A1C"/>
    <w:rsid w:val="00D60A1E"/>
    <w:rsid w:val="00D77511"/>
    <w:rsid w:val="00DA389E"/>
    <w:rsid w:val="00DB085C"/>
    <w:rsid w:val="00DC692E"/>
    <w:rsid w:val="00DD049A"/>
    <w:rsid w:val="00DD0F2D"/>
    <w:rsid w:val="00DE1626"/>
    <w:rsid w:val="00DE3EC7"/>
    <w:rsid w:val="00DE4887"/>
    <w:rsid w:val="00E06998"/>
    <w:rsid w:val="00E14E13"/>
    <w:rsid w:val="00E41876"/>
    <w:rsid w:val="00E44901"/>
    <w:rsid w:val="00E51D4B"/>
    <w:rsid w:val="00E644FA"/>
    <w:rsid w:val="00E734D7"/>
    <w:rsid w:val="00EB2375"/>
    <w:rsid w:val="00EC107F"/>
    <w:rsid w:val="00ED6C45"/>
    <w:rsid w:val="00EE262D"/>
    <w:rsid w:val="00F02FD6"/>
    <w:rsid w:val="00F12EA8"/>
    <w:rsid w:val="00F14DEB"/>
    <w:rsid w:val="00F236D7"/>
    <w:rsid w:val="00F247EC"/>
    <w:rsid w:val="00F37234"/>
    <w:rsid w:val="00F43528"/>
    <w:rsid w:val="00F87157"/>
    <w:rsid w:val="00F962A9"/>
    <w:rsid w:val="00FD5C68"/>
    <w:rsid w:val="00FE1C5A"/>
    <w:rsid w:val="00FE1E63"/>
    <w:rsid w:val="00FE43AB"/>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AFA7"/>
  <w15:chartTrackingRefBased/>
  <w15:docId w15:val="{192A0C07-E4F8-4CF2-802F-D4573B00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6CCD"/>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E8"/>
  </w:style>
  <w:style w:type="paragraph" w:styleId="Footer">
    <w:name w:val="footer"/>
    <w:basedOn w:val="Normal"/>
    <w:link w:val="FooterChar"/>
    <w:uiPriority w:val="99"/>
    <w:unhideWhenUsed/>
    <w:rsid w:val="0053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E8"/>
  </w:style>
  <w:style w:type="paragraph" w:styleId="BalloonText">
    <w:name w:val="Balloon Text"/>
    <w:basedOn w:val="Normal"/>
    <w:link w:val="BalloonTextChar"/>
    <w:uiPriority w:val="99"/>
    <w:semiHidden/>
    <w:unhideWhenUsed/>
    <w:rsid w:val="00BD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F1"/>
    <w:rPr>
      <w:rFonts w:ascii="Segoe UI" w:hAnsi="Segoe UI" w:cs="Segoe UI"/>
      <w:sz w:val="18"/>
      <w:szCs w:val="18"/>
    </w:rPr>
  </w:style>
  <w:style w:type="paragraph" w:styleId="FootnoteText">
    <w:name w:val="footnote text"/>
    <w:basedOn w:val="Normal"/>
    <w:link w:val="FootnoteTextChar"/>
    <w:uiPriority w:val="99"/>
    <w:semiHidden/>
    <w:unhideWhenUsed/>
    <w:rsid w:val="00D60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A1C"/>
    <w:rPr>
      <w:sz w:val="20"/>
      <w:szCs w:val="20"/>
    </w:rPr>
  </w:style>
  <w:style w:type="character" w:styleId="FootnoteReference">
    <w:name w:val="footnote reference"/>
    <w:basedOn w:val="DefaultParagraphFont"/>
    <w:uiPriority w:val="99"/>
    <w:semiHidden/>
    <w:unhideWhenUsed/>
    <w:rsid w:val="00D60A1C"/>
    <w:rPr>
      <w:vertAlign w:val="superscript"/>
    </w:rPr>
  </w:style>
  <w:style w:type="paragraph" w:customStyle="1" w:styleId="lg-section">
    <w:name w:val="lg-section"/>
    <w:basedOn w:val="Normal"/>
    <w:rsid w:val="009C03D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apple-converted-space">
    <w:name w:val="apple-converted-space"/>
    <w:basedOn w:val="DefaultParagraphFont"/>
    <w:rsid w:val="009C03D8"/>
  </w:style>
  <w:style w:type="paragraph" w:customStyle="1" w:styleId="lg-a-1">
    <w:name w:val="lg-a-1"/>
    <w:basedOn w:val="Normal"/>
    <w:rsid w:val="009C03D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normal-text">
    <w:name w:val="normal-text"/>
    <w:basedOn w:val="Normal"/>
    <w:rsid w:val="009C03D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lg-para3">
    <w:name w:val="lg-para3"/>
    <w:basedOn w:val="Normal"/>
    <w:rsid w:val="009C03D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styleId="CommentReference">
    <w:name w:val="annotation reference"/>
    <w:basedOn w:val="DefaultParagraphFont"/>
    <w:uiPriority w:val="99"/>
    <w:semiHidden/>
    <w:unhideWhenUsed/>
    <w:rsid w:val="00ED6C45"/>
    <w:rPr>
      <w:sz w:val="16"/>
      <w:szCs w:val="16"/>
    </w:rPr>
  </w:style>
  <w:style w:type="paragraph" w:styleId="CommentText">
    <w:name w:val="annotation text"/>
    <w:basedOn w:val="Normal"/>
    <w:link w:val="CommentTextChar"/>
    <w:uiPriority w:val="99"/>
    <w:semiHidden/>
    <w:unhideWhenUsed/>
    <w:rsid w:val="00ED6C45"/>
    <w:pPr>
      <w:spacing w:line="240" w:lineRule="auto"/>
    </w:pPr>
    <w:rPr>
      <w:sz w:val="20"/>
      <w:szCs w:val="20"/>
    </w:rPr>
  </w:style>
  <w:style w:type="character" w:customStyle="1" w:styleId="CommentTextChar">
    <w:name w:val="Comment Text Char"/>
    <w:basedOn w:val="DefaultParagraphFont"/>
    <w:link w:val="CommentText"/>
    <w:uiPriority w:val="99"/>
    <w:semiHidden/>
    <w:rsid w:val="00ED6C45"/>
    <w:rPr>
      <w:sz w:val="20"/>
      <w:szCs w:val="20"/>
    </w:rPr>
  </w:style>
  <w:style w:type="paragraph" w:styleId="CommentSubject">
    <w:name w:val="annotation subject"/>
    <w:basedOn w:val="CommentText"/>
    <w:next w:val="CommentText"/>
    <w:link w:val="CommentSubjectChar"/>
    <w:uiPriority w:val="99"/>
    <w:semiHidden/>
    <w:unhideWhenUsed/>
    <w:rsid w:val="00ED6C45"/>
    <w:rPr>
      <w:b/>
      <w:bCs/>
    </w:rPr>
  </w:style>
  <w:style w:type="character" w:customStyle="1" w:styleId="CommentSubjectChar">
    <w:name w:val="Comment Subject Char"/>
    <w:basedOn w:val="CommentTextChar"/>
    <w:link w:val="CommentSubject"/>
    <w:uiPriority w:val="99"/>
    <w:semiHidden/>
    <w:rsid w:val="00ED6C45"/>
    <w:rPr>
      <w:b/>
      <w:bCs/>
      <w:sz w:val="20"/>
      <w:szCs w:val="20"/>
    </w:rPr>
  </w:style>
  <w:style w:type="character" w:customStyle="1" w:styleId="Heading2Char">
    <w:name w:val="Heading 2 Char"/>
    <w:basedOn w:val="DefaultParagraphFont"/>
    <w:link w:val="Heading2"/>
    <w:uiPriority w:val="9"/>
    <w:rsid w:val="00C16CCD"/>
    <w:rPr>
      <w:rFonts w:ascii="Times New Roman" w:eastAsia="Times New Roman" w:hAnsi="Times New Roman" w:cs="Times New Roman"/>
      <w:b/>
      <w:bCs/>
      <w:sz w:val="36"/>
      <w:szCs w:val="36"/>
      <w:lang w:val="en-ZA" w:eastAsia="en-GB"/>
    </w:rPr>
  </w:style>
  <w:style w:type="character" w:styleId="Hyperlink">
    <w:name w:val="Hyperlink"/>
    <w:basedOn w:val="DefaultParagraphFont"/>
    <w:uiPriority w:val="99"/>
    <w:unhideWhenUsed/>
    <w:rsid w:val="000849EC"/>
    <w:rPr>
      <w:color w:val="0000FF"/>
      <w:u w:val="single"/>
    </w:rPr>
  </w:style>
  <w:style w:type="character" w:styleId="FollowedHyperlink">
    <w:name w:val="FollowedHyperlink"/>
    <w:basedOn w:val="DefaultParagraphFont"/>
    <w:uiPriority w:val="99"/>
    <w:semiHidden/>
    <w:unhideWhenUsed/>
    <w:rsid w:val="000849EC"/>
    <w:rPr>
      <w:color w:val="954F72" w:themeColor="followedHyperlink"/>
      <w:u w:val="single"/>
    </w:rPr>
  </w:style>
  <w:style w:type="paragraph" w:styleId="ListParagraph">
    <w:name w:val="List Paragraph"/>
    <w:basedOn w:val="Normal"/>
    <w:uiPriority w:val="34"/>
    <w:qFormat/>
    <w:rsid w:val="00F962A9"/>
    <w:pPr>
      <w:ind w:left="720"/>
      <w:contextualSpacing/>
    </w:pPr>
  </w:style>
  <w:style w:type="character" w:customStyle="1" w:styleId="UnresolvedMention">
    <w:name w:val="Unresolved Mention"/>
    <w:basedOn w:val="DefaultParagraphFont"/>
    <w:uiPriority w:val="99"/>
    <w:semiHidden/>
    <w:unhideWhenUsed/>
    <w:rsid w:val="00B4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3985">
      <w:bodyDiv w:val="1"/>
      <w:marLeft w:val="0"/>
      <w:marRight w:val="0"/>
      <w:marTop w:val="0"/>
      <w:marBottom w:val="0"/>
      <w:divBdr>
        <w:top w:val="none" w:sz="0" w:space="0" w:color="auto"/>
        <w:left w:val="none" w:sz="0" w:space="0" w:color="auto"/>
        <w:bottom w:val="none" w:sz="0" w:space="0" w:color="auto"/>
        <w:right w:val="none" w:sz="0" w:space="0" w:color="auto"/>
      </w:divBdr>
    </w:div>
    <w:div w:id="20544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tusappelattorneys@gmail.com" TargetMode="External"/><Relationship Id="rId5" Type="http://schemas.openxmlformats.org/officeDocument/2006/relationships/webSettings" Target="webSettings.xml"/><Relationship Id="rId10" Type="http://schemas.openxmlformats.org/officeDocument/2006/relationships/hyperlink" Target="mailto:paul@hayandscott.co.za" TargetMode="External"/><Relationship Id="rId4" Type="http://schemas.openxmlformats.org/officeDocument/2006/relationships/settings" Target="settings.xml"/><Relationship Id="rId9" Type="http://schemas.openxmlformats.org/officeDocument/2006/relationships/hyperlink" Target="http://www.saflii.org/za/legis/consol_act/ia193614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54%20%282%29%20SA%2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0E79-4827-4268-8CE6-889F6128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2</cp:revision>
  <cp:lastPrinted>2023-10-03T14:19:00Z</cp:lastPrinted>
  <dcterms:created xsi:type="dcterms:W3CDTF">2023-10-06T08:56:00Z</dcterms:created>
  <dcterms:modified xsi:type="dcterms:W3CDTF">2023-10-06T08:56:00Z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2023-09-27T08:18:45Z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7530c07f-eac1-4274-91f1-cb6ccfd2656c</vt:lpwstr>
  </property>
  <property fmtid="{D5CDD505-2E9C-101B-9397-08002B2CF9AE}" pid="8" name="MSIP_Label_defa4170-0d19-0005-0004-bc88714345d2_ContentBits">
    <vt:lpwstr>0</vt:lpwstr>
  </property>
</Properties>
</file>