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1C" w:rsidRDefault="00FB7C1C" w:rsidP="00FB7C1C">
      <w:pPr>
        <w:shd w:val="clear" w:color="auto" w:fill="FFFFFF"/>
        <w:spacing w:before="144" w:after="0" w:line="360" w:lineRule="atLeast"/>
        <w:rPr>
          <w:rFonts w:ascii="Arial" w:hAnsi="Arial" w:cs="Arial"/>
          <w:color w:val="242121"/>
          <w:sz w:val="27"/>
          <w:szCs w:val="27"/>
          <w:shd w:val="clear" w:color="auto" w:fill="FFFFFF"/>
          <w:lang w:val="en-GB"/>
        </w:rPr>
      </w:pPr>
      <w:bookmarkStart w:id="0" w:name="_GoBack"/>
      <w:bookmarkEnd w:id="0"/>
    </w:p>
    <w:p w:rsidR="00FB7C1C" w:rsidRPr="00C70647" w:rsidRDefault="00FB7C1C" w:rsidP="00FB7C1C">
      <w:pPr>
        <w:spacing w:line="360" w:lineRule="auto"/>
        <w:jc w:val="center"/>
      </w:pPr>
      <w:r>
        <w:rPr>
          <w:noProof/>
          <w:lang w:eastAsia="en-ZA"/>
        </w:rPr>
        <w:drawing>
          <wp:inline distT="0" distB="0" distL="0" distR="0" wp14:anchorId="3E12DF4D" wp14:editId="750D6995">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rsidR="00FB7C1C" w:rsidRPr="00E03A64" w:rsidRDefault="00FB7C1C" w:rsidP="0070507F">
      <w:pPr>
        <w:spacing w:after="0" w:line="360" w:lineRule="auto"/>
        <w:jc w:val="center"/>
        <w:rPr>
          <w:rFonts w:ascii="Arial" w:hAnsi="Arial" w:cs="Arial"/>
          <w:b/>
          <w:bCs/>
          <w:sz w:val="24"/>
          <w:szCs w:val="24"/>
        </w:rPr>
      </w:pPr>
      <w:r w:rsidRPr="00E03A64">
        <w:rPr>
          <w:rFonts w:ascii="Arial" w:hAnsi="Arial" w:cs="Arial"/>
          <w:b/>
          <w:bCs/>
          <w:sz w:val="24"/>
          <w:szCs w:val="24"/>
        </w:rPr>
        <w:t>IN THE HIGH COURT OF SOUTH AFRICA</w:t>
      </w:r>
    </w:p>
    <w:p w:rsidR="00FB7C1C" w:rsidRPr="00E03A64" w:rsidRDefault="00FB7C1C" w:rsidP="0070507F">
      <w:pPr>
        <w:spacing w:after="0" w:line="360" w:lineRule="auto"/>
        <w:jc w:val="center"/>
        <w:rPr>
          <w:rFonts w:ascii="Arial" w:hAnsi="Arial" w:cs="Arial"/>
          <w:b/>
          <w:bCs/>
          <w:sz w:val="24"/>
          <w:szCs w:val="24"/>
        </w:rPr>
      </w:pPr>
      <w:r w:rsidRPr="00E03A64">
        <w:rPr>
          <w:rFonts w:ascii="Arial" w:hAnsi="Arial" w:cs="Arial"/>
          <w:b/>
          <w:bCs/>
          <w:sz w:val="24"/>
          <w:szCs w:val="24"/>
        </w:rPr>
        <w:t>KWAZULU-NATAL DIVISION, PIETERMARITZBURG</w:t>
      </w:r>
    </w:p>
    <w:p w:rsidR="00FB7C1C" w:rsidRPr="00E03A64" w:rsidRDefault="00FB7C1C" w:rsidP="00FB7C1C">
      <w:pPr>
        <w:spacing w:line="360" w:lineRule="auto"/>
        <w:jc w:val="both"/>
        <w:rPr>
          <w:rFonts w:ascii="Arial" w:hAnsi="Arial" w:cs="Arial"/>
          <w:b/>
          <w:bCs/>
          <w:sz w:val="24"/>
          <w:szCs w:val="24"/>
        </w:rPr>
      </w:pPr>
      <w:r w:rsidRPr="00E03A64">
        <w:rPr>
          <w:rFonts w:ascii="Arial" w:hAnsi="Arial" w:cs="Arial"/>
          <w:sz w:val="24"/>
          <w:szCs w:val="24"/>
        </w:rPr>
        <w:tab/>
      </w:r>
    </w:p>
    <w:p w:rsidR="00FB7C1C" w:rsidRDefault="00FB7C1C" w:rsidP="00FB7C1C">
      <w:pPr>
        <w:spacing w:line="360" w:lineRule="auto"/>
        <w:jc w:val="right"/>
        <w:rPr>
          <w:rFonts w:ascii="Arial" w:hAnsi="Arial" w:cs="Arial"/>
          <w:sz w:val="24"/>
          <w:szCs w:val="24"/>
        </w:rPr>
      </w:pPr>
      <w:r w:rsidRPr="00E03A64">
        <w:rPr>
          <w:rFonts w:ascii="Arial" w:hAnsi="Arial" w:cs="Arial"/>
          <w:sz w:val="24"/>
          <w:szCs w:val="24"/>
        </w:rPr>
        <w:t xml:space="preserve">  Case No: AR</w:t>
      </w:r>
      <w:r w:rsidR="00B037FA">
        <w:rPr>
          <w:rFonts w:ascii="Arial" w:hAnsi="Arial" w:cs="Arial"/>
          <w:sz w:val="24"/>
          <w:szCs w:val="24"/>
        </w:rPr>
        <w:t>365/21</w:t>
      </w:r>
      <w:r>
        <w:rPr>
          <w:rFonts w:ascii="Arial" w:hAnsi="Arial" w:cs="Arial"/>
          <w:sz w:val="24"/>
          <w:szCs w:val="24"/>
        </w:rPr>
        <w:t xml:space="preserve"> </w:t>
      </w:r>
    </w:p>
    <w:p w:rsidR="00FB7C1C" w:rsidRPr="00E03A64" w:rsidRDefault="00FB7C1C" w:rsidP="00FB7C1C">
      <w:pPr>
        <w:spacing w:line="360" w:lineRule="auto"/>
        <w:rPr>
          <w:rFonts w:ascii="Arial" w:hAnsi="Arial" w:cs="Arial"/>
          <w:sz w:val="24"/>
          <w:szCs w:val="24"/>
        </w:rPr>
      </w:pPr>
      <w:r w:rsidRPr="00E03A64">
        <w:rPr>
          <w:rFonts w:ascii="Arial" w:hAnsi="Arial" w:cs="Arial"/>
          <w:sz w:val="24"/>
          <w:szCs w:val="24"/>
        </w:rPr>
        <w:t>In the matter between:</w:t>
      </w:r>
    </w:p>
    <w:p w:rsidR="00FB7C1C" w:rsidRPr="00E03A64" w:rsidRDefault="00B037FA" w:rsidP="00FB7C1C">
      <w:pPr>
        <w:spacing w:line="360" w:lineRule="auto"/>
        <w:jc w:val="both"/>
        <w:rPr>
          <w:rFonts w:ascii="Arial" w:hAnsi="Arial" w:cs="Arial"/>
          <w:b/>
          <w:sz w:val="24"/>
          <w:szCs w:val="24"/>
        </w:rPr>
      </w:pPr>
      <w:r>
        <w:rPr>
          <w:rFonts w:ascii="Arial" w:hAnsi="Arial" w:cs="Arial"/>
          <w:b/>
          <w:bCs/>
          <w:sz w:val="24"/>
          <w:szCs w:val="24"/>
        </w:rPr>
        <w:t xml:space="preserve">SIBUSISO BLESSING MKHIZE </w:t>
      </w:r>
      <w:r w:rsidR="00FB7C1C">
        <w:rPr>
          <w:rFonts w:ascii="Arial" w:hAnsi="Arial" w:cs="Arial"/>
          <w:b/>
          <w:bCs/>
          <w:sz w:val="24"/>
          <w:szCs w:val="24"/>
        </w:rPr>
        <w:t xml:space="preserve"> </w:t>
      </w:r>
      <w:r w:rsidR="00FB7C1C">
        <w:rPr>
          <w:rFonts w:ascii="Arial" w:hAnsi="Arial" w:cs="Arial"/>
          <w:b/>
          <w:bCs/>
          <w:sz w:val="24"/>
          <w:szCs w:val="24"/>
        </w:rPr>
        <w:tab/>
      </w:r>
      <w:r w:rsidR="00FB7C1C">
        <w:rPr>
          <w:rFonts w:ascii="Arial" w:hAnsi="Arial" w:cs="Arial"/>
          <w:b/>
          <w:bCs/>
          <w:sz w:val="24"/>
          <w:szCs w:val="24"/>
        </w:rPr>
        <w:tab/>
      </w:r>
      <w:r w:rsidR="00FB7C1C">
        <w:rPr>
          <w:rFonts w:ascii="Arial" w:hAnsi="Arial" w:cs="Arial"/>
          <w:b/>
          <w:bCs/>
          <w:sz w:val="24"/>
          <w:szCs w:val="24"/>
        </w:rPr>
        <w:tab/>
      </w:r>
      <w:r w:rsidR="00FB7C1C" w:rsidRPr="00E03A64">
        <w:rPr>
          <w:rFonts w:ascii="Arial" w:hAnsi="Arial" w:cs="Arial"/>
          <w:b/>
          <w:bCs/>
          <w:sz w:val="24"/>
          <w:szCs w:val="24"/>
        </w:rPr>
        <w:tab/>
      </w:r>
      <w:r w:rsidR="00FB7C1C" w:rsidRPr="00E03A64">
        <w:rPr>
          <w:rFonts w:ascii="Arial" w:hAnsi="Arial" w:cs="Arial"/>
          <w:b/>
          <w:bCs/>
          <w:sz w:val="24"/>
          <w:szCs w:val="24"/>
        </w:rPr>
        <w:tab/>
        <w:t xml:space="preserve">     </w:t>
      </w:r>
      <w:r w:rsidR="0022390F">
        <w:rPr>
          <w:rFonts w:ascii="Arial" w:hAnsi="Arial" w:cs="Arial"/>
          <w:b/>
          <w:bCs/>
          <w:sz w:val="24"/>
          <w:szCs w:val="24"/>
        </w:rPr>
        <w:t xml:space="preserve">        </w:t>
      </w:r>
      <w:r w:rsidR="00812DA2">
        <w:rPr>
          <w:rFonts w:ascii="Arial" w:hAnsi="Arial" w:cs="Arial"/>
          <w:b/>
          <w:bCs/>
          <w:sz w:val="24"/>
          <w:szCs w:val="24"/>
        </w:rPr>
        <w:t xml:space="preserve">   </w:t>
      </w:r>
      <w:r w:rsidR="00FB7C1C" w:rsidRPr="00E03A64">
        <w:rPr>
          <w:rFonts w:ascii="Arial" w:hAnsi="Arial" w:cs="Arial"/>
          <w:b/>
          <w:sz w:val="24"/>
          <w:szCs w:val="24"/>
        </w:rPr>
        <w:t>APPELLANT</w:t>
      </w:r>
    </w:p>
    <w:p w:rsidR="00FB7C1C" w:rsidRPr="00E03A64" w:rsidRDefault="00FB7C1C" w:rsidP="00FB7C1C">
      <w:pPr>
        <w:spacing w:line="360" w:lineRule="auto"/>
        <w:jc w:val="both"/>
        <w:rPr>
          <w:rFonts w:ascii="Arial" w:hAnsi="Arial" w:cs="Arial"/>
          <w:sz w:val="24"/>
          <w:szCs w:val="24"/>
        </w:rPr>
      </w:pPr>
      <w:r w:rsidRPr="00E03A64">
        <w:rPr>
          <w:rFonts w:ascii="Arial" w:hAnsi="Arial" w:cs="Arial"/>
          <w:sz w:val="24"/>
          <w:szCs w:val="24"/>
        </w:rPr>
        <w:t>and</w:t>
      </w:r>
    </w:p>
    <w:p w:rsidR="00FB7C1C" w:rsidRPr="00B719F7" w:rsidRDefault="00FB7C1C" w:rsidP="00FB7C1C">
      <w:pPr>
        <w:spacing w:line="360" w:lineRule="auto"/>
        <w:jc w:val="both"/>
        <w:rPr>
          <w:rFonts w:ascii="Arial" w:hAnsi="Arial" w:cs="Arial"/>
          <w:b/>
          <w:sz w:val="24"/>
          <w:szCs w:val="24"/>
        </w:rPr>
      </w:pPr>
      <w:r w:rsidRPr="00B719F7">
        <w:rPr>
          <w:rFonts w:ascii="Arial" w:hAnsi="Arial" w:cs="Arial"/>
          <w:b/>
          <w:bCs/>
          <w:sz w:val="24"/>
          <w:szCs w:val="24"/>
        </w:rPr>
        <w:t>THE STATE</w:t>
      </w:r>
      <w:r w:rsidRPr="00B719F7">
        <w:rPr>
          <w:rFonts w:ascii="Arial" w:hAnsi="Arial" w:cs="Arial"/>
          <w:b/>
          <w:bCs/>
          <w:sz w:val="24"/>
          <w:szCs w:val="24"/>
        </w:rPr>
        <w:tab/>
      </w:r>
      <w:r w:rsidRPr="00B719F7">
        <w:rPr>
          <w:rFonts w:ascii="Arial" w:hAnsi="Arial" w:cs="Arial"/>
          <w:b/>
          <w:bCs/>
          <w:sz w:val="24"/>
          <w:szCs w:val="24"/>
        </w:rPr>
        <w:tab/>
      </w:r>
      <w:r w:rsidRPr="00B719F7">
        <w:rPr>
          <w:rFonts w:ascii="Arial" w:hAnsi="Arial" w:cs="Arial"/>
          <w:b/>
          <w:bCs/>
          <w:sz w:val="24"/>
          <w:szCs w:val="24"/>
        </w:rPr>
        <w:tab/>
      </w:r>
      <w:r w:rsidRPr="00B719F7">
        <w:rPr>
          <w:rFonts w:ascii="Arial" w:hAnsi="Arial" w:cs="Arial"/>
          <w:b/>
          <w:bCs/>
          <w:sz w:val="24"/>
          <w:szCs w:val="24"/>
        </w:rPr>
        <w:tab/>
      </w:r>
      <w:r w:rsidRPr="00B719F7">
        <w:rPr>
          <w:rFonts w:ascii="Arial" w:hAnsi="Arial" w:cs="Arial"/>
          <w:b/>
          <w:bCs/>
          <w:sz w:val="24"/>
          <w:szCs w:val="24"/>
        </w:rPr>
        <w:tab/>
      </w:r>
      <w:r w:rsidRPr="00B719F7">
        <w:rPr>
          <w:rFonts w:ascii="Arial" w:hAnsi="Arial" w:cs="Arial"/>
          <w:b/>
          <w:bCs/>
          <w:sz w:val="24"/>
          <w:szCs w:val="24"/>
        </w:rPr>
        <w:tab/>
        <w:t xml:space="preserve"> </w:t>
      </w:r>
      <w:r w:rsidRPr="00B719F7">
        <w:rPr>
          <w:rFonts w:ascii="Arial" w:hAnsi="Arial" w:cs="Arial"/>
          <w:b/>
          <w:bCs/>
          <w:sz w:val="24"/>
          <w:szCs w:val="24"/>
        </w:rPr>
        <w:tab/>
      </w:r>
      <w:r w:rsidRPr="00B719F7">
        <w:rPr>
          <w:rFonts w:ascii="Arial" w:hAnsi="Arial" w:cs="Arial"/>
          <w:b/>
          <w:bCs/>
          <w:sz w:val="24"/>
          <w:szCs w:val="24"/>
        </w:rPr>
        <w:tab/>
        <w:t xml:space="preserve">             </w:t>
      </w:r>
      <w:r w:rsidRPr="00B719F7">
        <w:rPr>
          <w:rFonts w:ascii="Arial" w:hAnsi="Arial" w:cs="Arial"/>
          <w:b/>
          <w:sz w:val="24"/>
          <w:szCs w:val="24"/>
        </w:rPr>
        <w:t>RESPONDENT</w:t>
      </w:r>
    </w:p>
    <w:p w:rsidR="00FB7C1C" w:rsidRPr="00412D58" w:rsidRDefault="00412D58" w:rsidP="00412D58">
      <w:pPr>
        <w:spacing w:line="360" w:lineRule="auto"/>
        <w:jc w:val="both"/>
        <w:rPr>
          <w:sz w:val="20"/>
          <w:szCs w:val="20"/>
        </w:rPr>
      </w:pPr>
      <w:r w:rsidRPr="00CD12D9">
        <w:rPr>
          <w:sz w:val="20"/>
          <w:szCs w:val="20"/>
        </w:rPr>
        <w:t xml:space="preserve">This judgment was handed down electronically by circulation to the parties’ representatives by email, and released to SAFLII. The date for hand down is deemed to be </w:t>
      </w:r>
      <w:r>
        <w:rPr>
          <w:sz w:val="20"/>
          <w:szCs w:val="20"/>
        </w:rPr>
        <w:t>03 February 2023 at 09:00</w:t>
      </w:r>
    </w:p>
    <w:p w:rsidR="00FB7C1C" w:rsidRPr="00991B83" w:rsidRDefault="00FB7C1C" w:rsidP="00FB7C1C">
      <w:pPr>
        <w:spacing w:line="360" w:lineRule="auto"/>
        <w:jc w:val="both"/>
        <w:rPr>
          <w:rFonts w:ascii="Arial" w:hAnsi="Arial" w:cs="Arial"/>
          <w:b/>
        </w:rPr>
      </w:pPr>
      <w:r w:rsidRPr="00991B83">
        <w:rPr>
          <w:rFonts w:ascii="Arial" w:hAnsi="Arial" w:cs="Arial"/>
          <w:b/>
        </w:rPr>
        <w:t>_________________________________________________________________________</w:t>
      </w:r>
    </w:p>
    <w:p w:rsidR="00FB7C1C" w:rsidRPr="00991B83" w:rsidRDefault="00FB7C1C" w:rsidP="00FB7C1C">
      <w:pPr>
        <w:jc w:val="center"/>
        <w:rPr>
          <w:rFonts w:ascii="Arial" w:hAnsi="Arial" w:cs="Arial"/>
          <w:sz w:val="20"/>
          <w:szCs w:val="20"/>
        </w:rPr>
      </w:pPr>
      <w:r w:rsidRPr="00991B83">
        <w:rPr>
          <w:rFonts w:ascii="Arial" w:hAnsi="Arial" w:cs="Arial"/>
          <w:b/>
        </w:rPr>
        <w:t>ORDER</w:t>
      </w:r>
    </w:p>
    <w:p w:rsidR="00FB7C1C" w:rsidRPr="00991B83" w:rsidRDefault="00FB7C1C" w:rsidP="00FB7C1C">
      <w:pPr>
        <w:jc w:val="both"/>
        <w:rPr>
          <w:rFonts w:ascii="Arial" w:hAnsi="Arial" w:cs="Arial"/>
          <w:b/>
        </w:rPr>
      </w:pPr>
      <w:r w:rsidRPr="00991B83">
        <w:rPr>
          <w:rFonts w:ascii="Arial" w:hAnsi="Arial" w:cs="Arial"/>
          <w:b/>
        </w:rPr>
        <w:t>_________________________________________________________________________</w:t>
      </w:r>
    </w:p>
    <w:p w:rsidR="00FB7C1C" w:rsidRPr="00B719F7" w:rsidRDefault="00FB7C1C" w:rsidP="00FB7C1C">
      <w:pPr>
        <w:spacing w:line="360" w:lineRule="auto"/>
        <w:jc w:val="both"/>
        <w:rPr>
          <w:rFonts w:ascii="Arial" w:hAnsi="Arial" w:cs="Arial"/>
          <w:bCs/>
          <w:sz w:val="24"/>
          <w:szCs w:val="24"/>
        </w:rPr>
      </w:pPr>
      <w:r w:rsidRPr="00812DA2">
        <w:rPr>
          <w:rFonts w:ascii="Arial" w:hAnsi="Arial" w:cs="Arial"/>
          <w:b/>
          <w:bCs/>
          <w:sz w:val="24"/>
          <w:szCs w:val="24"/>
        </w:rPr>
        <w:t>On appeal from</w:t>
      </w:r>
      <w:r w:rsidR="000F5080">
        <w:rPr>
          <w:rFonts w:ascii="Arial" w:hAnsi="Arial" w:cs="Arial"/>
          <w:b/>
          <w:bCs/>
          <w:sz w:val="24"/>
          <w:szCs w:val="24"/>
        </w:rPr>
        <w:t>:</w:t>
      </w:r>
      <w:r w:rsidRPr="00812DA2">
        <w:rPr>
          <w:rFonts w:ascii="Arial" w:hAnsi="Arial" w:cs="Arial"/>
          <w:b/>
          <w:bCs/>
          <w:sz w:val="24"/>
          <w:szCs w:val="24"/>
        </w:rPr>
        <w:t xml:space="preserve"> the Regional Court, </w:t>
      </w:r>
      <w:r w:rsidR="00B037FA" w:rsidRPr="00812DA2">
        <w:rPr>
          <w:rFonts w:ascii="Arial" w:hAnsi="Arial" w:cs="Arial"/>
          <w:b/>
          <w:bCs/>
          <w:sz w:val="24"/>
          <w:szCs w:val="24"/>
        </w:rPr>
        <w:t>I</w:t>
      </w:r>
      <w:r w:rsidR="00CA09B4">
        <w:rPr>
          <w:rFonts w:ascii="Arial" w:hAnsi="Arial" w:cs="Arial"/>
          <w:b/>
          <w:bCs/>
          <w:sz w:val="24"/>
          <w:szCs w:val="24"/>
        </w:rPr>
        <w:t>z</w:t>
      </w:r>
      <w:r w:rsidR="00B037FA" w:rsidRPr="00812DA2">
        <w:rPr>
          <w:rFonts w:ascii="Arial" w:hAnsi="Arial" w:cs="Arial"/>
          <w:b/>
          <w:bCs/>
          <w:sz w:val="24"/>
          <w:szCs w:val="24"/>
        </w:rPr>
        <w:t>ingolweni</w:t>
      </w:r>
      <w:r>
        <w:rPr>
          <w:rFonts w:ascii="Arial" w:hAnsi="Arial" w:cs="Arial"/>
          <w:bCs/>
          <w:sz w:val="24"/>
          <w:szCs w:val="24"/>
        </w:rPr>
        <w:t>:</w:t>
      </w:r>
    </w:p>
    <w:p w:rsidR="00BB1427" w:rsidRPr="008C2A96" w:rsidRDefault="008C2A96" w:rsidP="008C2A96">
      <w:pPr>
        <w:tabs>
          <w:tab w:val="left" w:pos="0"/>
          <w:tab w:val="left" w:pos="567"/>
        </w:tabs>
        <w:spacing w:line="360" w:lineRule="auto"/>
        <w:ind w:left="927" w:hanging="360"/>
        <w:rPr>
          <w:rFonts w:eastAsia="Times New Roman"/>
          <w:color w:val="000000"/>
          <w:lang w:eastAsia="en-ZA"/>
        </w:rPr>
      </w:pPr>
      <w:r>
        <w:rPr>
          <w:rFonts w:ascii="Arial" w:eastAsia="Times New Roman" w:hAnsi="Arial" w:cs="Arial"/>
          <w:color w:val="000000"/>
          <w:sz w:val="24"/>
          <w:lang w:eastAsia="en-ZA"/>
        </w:rPr>
        <w:t>1.</w:t>
      </w:r>
      <w:r>
        <w:rPr>
          <w:rFonts w:ascii="Arial" w:eastAsia="Times New Roman" w:hAnsi="Arial" w:cs="Arial"/>
          <w:color w:val="000000"/>
          <w:sz w:val="24"/>
          <w:lang w:eastAsia="en-ZA"/>
        </w:rPr>
        <w:tab/>
      </w:r>
      <w:r w:rsidR="00BB1427" w:rsidRPr="008C2A96">
        <w:rPr>
          <w:rFonts w:eastAsia="Times New Roman"/>
          <w:color w:val="000000"/>
          <w:lang w:eastAsia="en-ZA"/>
        </w:rPr>
        <w:t>The appeal is upheld.</w:t>
      </w:r>
    </w:p>
    <w:p w:rsidR="00BB1427" w:rsidRPr="008C2A96" w:rsidRDefault="008C2A96" w:rsidP="008C2A96">
      <w:pPr>
        <w:tabs>
          <w:tab w:val="left" w:pos="0"/>
          <w:tab w:val="left" w:pos="567"/>
        </w:tabs>
        <w:spacing w:line="360" w:lineRule="auto"/>
        <w:ind w:left="927" w:hanging="360"/>
        <w:rPr>
          <w:rFonts w:eastAsia="Times New Roman"/>
          <w:color w:val="000000"/>
          <w:lang w:eastAsia="en-ZA"/>
        </w:rPr>
      </w:pPr>
      <w:r>
        <w:rPr>
          <w:rFonts w:ascii="Arial" w:eastAsia="Times New Roman" w:hAnsi="Arial" w:cs="Arial"/>
          <w:color w:val="000000"/>
          <w:sz w:val="24"/>
          <w:lang w:eastAsia="en-ZA"/>
        </w:rPr>
        <w:t>2.</w:t>
      </w:r>
      <w:r>
        <w:rPr>
          <w:rFonts w:ascii="Arial" w:eastAsia="Times New Roman" w:hAnsi="Arial" w:cs="Arial"/>
          <w:color w:val="000000"/>
          <w:sz w:val="24"/>
          <w:lang w:eastAsia="en-ZA"/>
        </w:rPr>
        <w:tab/>
      </w:r>
      <w:r w:rsidR="00BB1427" w:rsidRPr="008C2A96">
        <w:rPr>
          <w:rFonts w:eastAsia="Times New Roman"/>
          <w:color w:val="000000"/>
          <w:lang w:eastAsia="en-ZA"/>
        </w:rPr>
        <w:t>The conviction and sentence dated 31 July 2020 is set aside.</w:t>
      </w:r>
    </w:p>
    <w:p w:rsidR="00BB1427" w:rsidRPr="008C2A96" w:rsidRDefault="008C2A96" w:rsidP="008C2A96">
      <w:pPr>
        <w:tabs>
          <w:tab w:val="left" w:pos="0"/>
          <w:tab w:val="left" w:pos="567"/>
        </w:tabs>
        <w:spacing w:line="360" w:lineRule="auto"/>
        <w:ind w:left="927" w:hanging="360"/>
        <w:rPr>
          <w:rFonts w:eastAsia="Times New Roman"/>
          <w:color w:val="000000"/>
          <w:lang w:eastAsia="en-ZA"/>
        </w:rPr>
      </w:pPr>
      <w:r w:rsidRPr="00BB1427">
        <w:rPr>
          <w:rFonts w:ascii="Arial" w:eastAsia="Times New Roman" w:hAnsi="Arial" w:cs="Arial"/>
          <w:color w:val="000000"/>
          <w:sz w:val="24"/>
          <w:lang w:eastAsia="en-ZA"/>
        </w:rPr>
        <w:t>3.</w:t>
      </w:r>
      <w:r w:rsidRPr="00BB1427">
        <w:rPr>
          <w:rFonts w:ascii="Arial" w:eastAsia="Times New Roman" w:hAnsi="Arial" w:cs="Arial"/>
          <w:color w:val="000000"/>
          <w:sz w:val="24"/>
          <w:lang w:eastAsia="en-ZA"/>
        </w:rPr>
        <w:tab/>
      </w:r>
      <w:r w:rsidR="00BB1427" w:rsidRPr="008C2A96">
        <w:rPr>
          <w:rFonts w:eastAsia="Times New Roman"/>
          <w:color w:val="000000"/>
          <w:lang w:eastAsia="en-ZA"/>
        </w:rPr>
        <w:t xml:space="preserve">The case is remitted to the court a quo </w:t>
      </w:r>
      <w:r w:rsidR="00032933">
        <w:t>for it to deal with the matter in terms of s112(2), and, if necessary, s113, of the Criminal Procedure Act 51 of 1977.</w:t>
      </w:r>
      <w:r w:rsidR="00BB1427" w:rsidRPr="008C2A96">
        <w:rPr>
          <w:rFonts w:eastAsia="Times New Roman"/>
          <w:color w:val="000000"/>
          <w:lang w:eastAsia="en-ZA"/>
        </w:rPr>
        <w:t xml:space="preserve"> </w:t>
      </w:r>
    </w:p>
    <w:p w:rsidR="00FB7C1C" w:rsidRDefault="00FB7C1C" w:rsidP="00FB7C1C">
      <w:pPr>
        <w:spacing w:line="360" w:lineRule="auto"/>
        <w:jc w:val="both"/>
        <w:rPr>
          <w:b/>
        </w:rPr>
      </w:pPr>
      <w:r>
        <w:rPr>
          <w:b/>
        </w:rPr>
        <w:t>__________________________________________________________________________________</w:t>
      </w:r>
    </w:p>
    <w:p w:rsidR="00FB7C1C" w:rsidRPr="00E81E07" w:rsidRDefault="00FB7C1C" w:rsidP="00FB7C1C">
      <w:pPr>
        <w:jc w:val="center"/>
        <w:rPr>
          <w:rFonts w:ascii="Arial" w:hAnsi="Arial" w:cs="Arial"/>
          <w:sz w:val="24"/>
          <w:szCs w:val="24"/>
        </w:rPr>
      </w:pPr>
      <w:r w:rsidRPr="00E81E07">
        <w:rPr>
          <w:rFonts w:ascii="Arial" w:hAnsi="Arial" w:cs="Arial"/>
          <w:b/>
          <w:sz w:val="24"/>
          <w:szCs w:val="24"/>
        </w:rPr>
        <w:t>JUDGMENT</w:t>
      </w:r>
    </w:p>
    <w:p w:rsidR="00FB7C1C" w:rsidRDefault="00FB7C1C" w:rsidP="00FB7C1C">
      <w:pPr>
        <w:jc w:val="both"/>
        <w:rPr>
          <w:b/>
        </w:rPr>
      </w:pPr>
      <w:r>
        <w:rPr>
          <w:b/>
        </w:rPr>
        <w:t>__________________________________________________________________________________</w:t>
      </w:r>
    </w:p>
    <w:p w:rsidR="00FB7C1C" w:rsidRPr="00E81E07" w:rsidRDefault="00FB7C1C" w:rsidP="00FB7C1C">
      <w:pPr>
        <w:spacing w:line="360" w:lineRule="auto"/>
        <w:jc w:val="both"/>
        <w:rPr>
          <w:rFonts w:ascii="Arial" w:hAnsi="Arial" w:cs="Arial"/>
          <w:b/>
          <w:sz w:val="24"/>
          <w:szCs w:val="24"/>
        </w:rPr>
      </w:pPr>
      <w:r w:rsidRPr="00E81E07">
        <w:rPr>
          <w:rFonts w:ascii="Arial" w:hAnsi="Arial" w:cs="Arial"/>
          <w:b/>
          <w:sz w:val="24"/>
          <w:szCs w:val="24"/>
        </w:rPr>
        <w:lastRenderedPageBreak/>
        <w:t>Chetty J (</w:t>
      </w:r>
      <w:r>
        <w:rPr>
          <w:rFonts w:ascii="Arial" w:hAnsi="Arial" w:cs="Arial"/>
          <w:b/>
          <w:sz w:val="24"/>
          <w:szCs w:val="24"/>
        </w:rPr>
        <w:t xml:space="preserve">Ploos van Amstel </w:t>
      </w:r>
      <w:r w:rsidRPr="00E81E07">
        <w:rPr>
          <w:rFonts w:ascii="Arial" w:hAnsi="Arial" w:cs="Arial"/>
          <w:b/>
          <w:sz w:val="24"/>
          <w:szCs w:val="24"/>
        </w:rPr>
        <w:t>J concurring)</w:t>
      </w:r>
      <w:r w:rsidR="00C75519">
        <w:rPr>
          <w:rFonts w:ascii="Arial" w:hAnsi="Arial" w:cs="Arial"/>
          <w:b/>
          <w:sz w:val="24"/>
          <w:szCs w:val="24"/>
        </w:rPr>
        <w:t>:</w:t>
      </w:r>
    </w:p>
    <w:p w:rsidR="001729A8" w:rsidRPr="008C2A96" w:rsidRDefault="008C2A96" w:rsidP="008C2A96">
      <w:pPr>
        <w:spacing w:line="360" w:lineRule="auto"/>
        <w:jc w:val="both"/>
        <w:rPr>
          <w:color w:val="242121"/>
          <w:szCs w:val="24"/>
        </w:rPr>
      </w:pPr>
      <w:r w:rsidRPr="00DF5FAB">
        <w:rPr>
          <w:rFonts w:ascii="Arial" w:hAnsi="Arial" w:cs="Arial"/>
          <w:color w:val="242121"/>
          <w:sz w:val="24"/>
          <w:szCs w:val="24"/>
        </w:rPr>
        <w:t>[1]</w:t>
      </w:r>
      <w:r w:rsidRPr="00DF5FAB">
        <w:rPr>
          <w:rFonts w:ascii="Arial" w:hAnsi="Arial" w:cs="Arial"/>
          <w:color w:val="242121"/>
          <w:sz w:val="24"/>
          <w:szCs w:val="24"/>
        </w:rPr>
        <w:tab/>
      </w:r>
      <w:r w:rsidR="00FB7C1C" w:rsidRPr="008C2A96">
        <w:rPr>
          <w:shd w:val="clear" w:color="auto" w:fill="FFFFFF"/>
          <w:lang w:val="en-GB"/>
        </w:rPr>
        <w:t xml:space="preserve">The appellant was charged in the Regional Court, </w:t>
      </w:r>
      <w:r w:rsidR="001729A8" w:rsidRPr="008C2A96">
        <w:rPr>
          <w:shd w:val="clear" w:color="auto" w:fill="FFFFFF"/>
          <w:lang w:val="en-GB"/>
        </w:rPr>
        <w:t>Izingolweni</w:t>
      </w:r>
      <w:r w:rsidR="00C11F2F" w:rsidRPr="008C2A96">
        <w:rPr>
          <w:shd w:val="clear" w:color="auto" w:fill="FFFFFF"/>
          <w:lang w:val="en-GB"/>
        </w:rPr>
        <w:t>,</w:t>
      </w:r>
      <w:r w:rsidR="001729A8" w:rsidRPr="008C2A96">
        <w:rPr>
          <w:shd w:val="clear" w:color="auto" w:fill="FFFFFF"/>
          <w:lang w:val="en-GB"/>
        </w:rPr>
        <w:t xml:space="preserve"> </w:t>
      </w:r>
      <w:r w:rsidR="00FB7C1C" w:rsidRPr="008C2A96">
        <w:rPr>
          <w:shd w:val="clear" w:color="auto" w:fill="FFFFFF"/>
          <w:lang w:val="en-GB"/>
        </w:rPr>
        <w:t xml:space="preserve">with one count of </w:t>
      </w:r>
      <w:r w:rsidR="001729A8" w:rsidRPr="008C2A96">
        <w:rPr>
          <w:shd w:val="clear" w:color="auto" w:fill="FFFFFF"/>
          <w:lang w:val="en-GB"/>
        </w:rPr>
        <w:t xml:space="preserve">murder </w:t>
      </w:r>
      <w:r w:rsidR="00FB7C1C" w:rsidRPr="008C2A96">
        <w:rPr>
          <w:shd w:val="clear" w:color="auto" w:fill="FFFFFF"/>
          <w:lang w:val="en-GB"/>
        </w:rPr>
        <w:t xml:space="preserve">in which it was alleged that on </w:t>
      </w:r>
      <w:r w:rsidR="001729A8" w:rsidRPr="008C2A96">
        <w:rPr>
          <w:shd w:val="clear" w:color="auto" w:fill="FFFFFF"/>
          <w:lang w:val="en-GB"/>
        </w:rPr>
        <w:t xml:space="preserve">5 August 2019 </w:t>
      </w:r>
      <w:r w:rsidR="00FB7C1C" w:rsidRPr="008C2A96">
        <w:rPr>
          <w:shd w:val="clear" w:color="auto" w:fill="FFFFFF"/>
          <w:lang w:val="en-GB"/>
        </w:rPr>
        <w:t xml:space="preserve">in </w:t>
      </w:r>
      <w:r w:rsidR="001729A8" w:rsidRPr="008C2A96">
        <w:rPr>
          <w:shd w:val="clear" w:color="auto" w:fill="FFFFFF"/>
          <w:lang w:val="en-GB"/>
        </w:rPr>
        <w:t>Nyandezulu Location, KwaZulu-Natal</w:t>
      </w:r>
      <w:r w:rsidR="00DF5FAB" w:rsidRPr="008C2A96">
        <w:rPr>
          <w:shd w:val="clear" w:color="auto" w:fill="FFFFFF"/>
          <w:lang w:val="en-GB"/>
        </w:rPr>
        <w:t>,</w:t>
      </w:r>
      <w:r w:rsidR="001729A8" w:rsidRPr="008C2A96">
        <w:rPr>
          <w:shd w:val="clear" w:color="auto" w:fill="FFFFFF"/>
          <w:lang w:val="en-GB"/>
        </w:rPr>
        <w:t xml:space="preserve"> he </w:t>
      </w:r>
      <w:r w:rsidR="00FB7C1C" w:rsidRPr="008C2A96">
        <w:rPr>
          <w:shd w:val="clear" w:color="auto" w:fill="FFFFFF"/>
          <w:lang w:val="en-GB"/>
        </w:rPr>
        <w:t xml:space="preserve">unlawfully </w:t>
      </w:r>
      <w:r w:rsidR="001729A8" w:rsidRPr="008C2A96">
        <w:rPr>
          <w:shd w:val="clear" w:color="auto" w:fill="FFFFFF"/>
          <w:lang w:val="en-GB"/>
        </w:rPr>
        <w:t>and intentionally killed a female, Ms Babongile Sharon Nzama</w:t>
      </w:r>
      <w:r w:rsidR="003A4324" w:rsidRPr="008C2A96">
        <w:rPr>
          <w:shd w:val="clear" w:color="auto" w:fill="FFFFFF"/>
          <w:lang w:val="en-GB"/>
        </w:rPr>
        <w:t xml:space="preserve"> (‘the deceased’)</w:t>
      </w:r>
      <w:r w:rsidR="001729A8" w:rsidRPr="008C2A96">
        <w:rPr>
          <w:shd w:val="clear" w:color="auto" w:fill="FFFFFF"/>
          <w:lang w:val="en-GB"/>
        </w:rPr>
        <w:t xml:space="preserve">. The State alleged that the murder was premeditated and the charge against the appellant was framed in terms of s </w:t>
      </w:r>
      <w:r w:rsidR="00FB7C1C" w:rsidRPr="008C2A96">
        <w:rPr>
          <w:shd w:val="clear" w:color="auto" w:fill="FFFFFF"/>
          <w:lang w:val="en-GB"/>
        </w:rPr>
        <w:t>51</w:t>
      </w:r>
      <w:r w:rsidR="00D71823" w:rsidRPr="008C2A96">
        <w:rPr>
          <w:shd w:val="clear" w:color="auto" w:fill="FFFFFF"/>
          <w:lang w:val="en-GB"/>
        </w:rPr>
        <w:t>(1)</w:t>
      </w:r>
      <w:r w:rsidR="00FB7C1C" w:rsidRPr="008C2A96">
        <w:rPr>
          <w:shd w:val="clear" w:color="auto" w:fill="FFFFFF"/>
          <w:lang w:val="en-GB"/>
        </w:rPr>
        <w:t xml:space="preserve">, Schedule 2, Part </w:t>
      </w:r>
      <w:r w:rsidR="00DF5FAB" w:rsidRPr="008C2A96">
        <w:rPr>
          <w:shd w:val="clear" w:color="auto" w:fill="FFFFFF"/>
          <w:lang w:val="en-GB"/>
        </w:rPr>
        <w:t>I</w:t>
      </w:r>
      <w:r w:rsidR="00FB7C1C" w:rsidRPr="008C2A96">
        <w:rPr>
          <w:shd w:val="clear" w:color="auto" w:fill="FFFFFF"/>
          <w:lang w:val="en-GB"/>
        </w:rPr>
        <w:t xml:space="preserve"> of the Criminal Law Amendment Act 105 of 1997</w:t>
      </w:r>
      <w:r w:rsidR="0022390F" w:rsidRPr="008C2A96">
        <w:rPr>
          <w:shd w:val="clear" w:color="auto" w:fill="FFFFFF"/>
          <w:lang w:val="en-GB"/>
        </w:rPr>
        <w:t xml:space="preserve"> (‘the Amendment Act’)</w:t>
      </w:r>
      <w:r w:rsidR="00FB7C1C" w:rsidRPr="008C2A96">
        <w:rPr>
          <w:shd w:val="clear" w:color="auto" w:fill="FFFFFF"/>
          <w:lang w:val="en-GB"/>
        </w:rPr>
        <w:t xml:space="preserve"> </w:t>
      </w:r>
      <w:r w:rsidR="001729A8" w:rsidRPr="008C2A96">
        <w:rPr>
          <w:shd w:val="clear" w:color="auto" w:fill="FFFFFF"/>
          <w:lang w:val="en-GB"/>
        </w:rPr>
        <w:t xml:space="preserve">in respect of which </w:t>
      </w:r>
      <w:r w:rsidR="00FB7C1C" w:rsidRPr="008C2A96">
        <w:rPr>
          <w:shd w:val="clear" w:color="auto" w:fill="FFFFFF"/>
          <w:lang w:val="en-GB"/>
        </w:rPr>
        <w:t xml:space="preserve">life imprisonment </w:t>
      </w:r>
      <w:r w:rsidR="001729A8" w:rsidRPr="008C2A96">
        <w:rPr>
          <w:shd w:val="clear" w:color="auto" w:fill="FFFFFF"/>
          <w:lang w:val="en-GB"/>
        </w:rPr>
        <w:t xml:space="preserve">would be applicable </w:t>
      </w:r>
      <w:r w:rsidR="00FB7C1C" w:rsidRPr="008C2A96">
        <w:rPr>
          <w:shd w:val="clear" w:color="auto" w:fill="FFFFFF"/>
          <w:lang w:val="en-GB"/>
        </w:rPr>
        <w:t xml:space="preserve">in the event of </w:t>
      </w:r>
      <w:r w:rsidR="001729A8" w:rsidRPr="008C2A96">
        <w:rPr>
          <w:shd w:val="clear" w:color="auto" w:fill="FFFFFF"/>
          <w:lang w:val="en-GB"/>
        </w:rPr>
        <w:t xml:space="preserve">a </w:t>
      </w:r>
      <w:r w:rsidR="00FB7C1C" w:rsidRPr="008C2A96">
        <w:rPr>
          <w:shd w:val="clear" w:color="auto" w:fill="FFFFFF"/>
          <w:lang w:val="en-GB"/>
        </w:rPr>
        <w:t>conviction</w:t>
      </w:r>
      <w:r w:rsidR="001729A8" w:rsidRPr="008C2A96">
        <w:rPr>
          <w:shd w:val="clear" w:color="auto" w:fill="FFFFFF"/>
          <w:lang w:val="en-GB"/>
        </w:rPr>
        <w:t>,</w:t>
      </w:r>
      <w:r w:rsidR="00FB7C1C" w:rsidRPr="008C2A96">
        <w:rPr>
          <w:shd w:val="clear" w:color="auto" w:fill="FFFFFF"/>
          <w:lang w:val="en-GB"/>
        </w:rPr>
        <w:t xml:space="preserve"> and the absence of substantial and compelling circumstances.  </w:t>
      </w:r>
    </w:p>
    <w:p w:rsidR="001729A8" w:rsidRPr="003A4324" w:rsidRDefault="001729A8" w:rsidP="001729A8">
      <w:pPr>
        <w:pStyle w:val="ListParagraph"/>
        <w:spacing w:line="360" w:lineRule="auto"/>
        <w:ind w:left="0"/>
        <w:jc w:val="both"/>
        <w:rPr>
          <w:color w:val="242121"/>
          <w:szCs w:val="24"/>
        </w:rPr>
      </w:pPr>
    </w:p>
    <w:p w:rsidR="003F78FA" w:rsidRPr="008C2A96" w:rsidRDefault="008C2A96" w:rsidP="008C2A96">
      <w:pPr>
        <w:spacing w:line="360" w:lineRule="auto"/>
        <w:jc w:val="both"/>
        <w:rPr>
          <w:color w:val="242121"/>
          <w:szCs w:val="24"/>
        </w:rPr>
      </w:pPr>
      <w:r w:rsidRPr="005E30DC">
        <w:rPr>
          <w:rFonts w:ascii="Arial" w:hAnsi="Arial" w:cs="Arial"/>
          <w:color w:val="242121"/>
          <w:sz w:val="24"/>
          <w:szCs w:val="24"/>
        </w:rPr>
        <w:t>[2]</w:t>
      </w:r>
      <w:r w:rsidRPr="005E30DC">
        <w:rPr>
          <w:rFonts w:ascii="Arial" w:hAnsi="Arial" w:cs="Arial"/>
          <w:color w:val="242121"/>
          <w:sz w:val="24"/>
          <w:szCs w:val="24"/>
        </w:rPr>
        <w:tab/>
      </w:r>
      <w:r w:rsidR="00FB7C1C" w:rsidRPr="008C2A96">
        <w:rPr>
          <w:shd w:val="clear" w:color="auto" w:fill="FFFFFF"/>
          <w:lang w:val="en-GB"/>
        </w:rPr>
        <w:t>The appellant was legally represented at his trial</w:t>
      </w:r>
      <w:r w:rsidR="001729A8" w:rsidRPr="008C2A96">
        <w:rPr>
          <w:shd w:val="clear" w:color="auto" w:fill="FFFFFF"/>
          <w:lang w:val="en-GB"/>
        </w:rPr>
        <w:t xml:space="preserve"> and pleaded guilty to the charge against him. </w:t>
      </w:r>
      <w:r w:rsidR="00FB7C1C" w:rsidRPr="008C2A96">
        <w:rPr>
          <w:shd w:val="clear" w:color="auto" w:fill="FFFFFF"/>
          <w:lang w:val="en-GB"/>
        </w:rPr>
        <w:t xml:space="preserve">After considering the </w:t>
      </w:r>
      <w:r w:rsidR="001729A8" w:rsidRPr="008C2A96">
        <w:rPr>
          <w:shd w:val="clear" w:color="auto" w:fill="FFFFFF"/>
          <w:lang w:val="en-GB"/>
        </w:rPr>
        <w:t>admissions contained in the appellant’s statement in terms of s</w:t>
      </w:r>
      <w:r w:rsidR="00DF5FAB" w:rsidRPr="008C2A96">
        <w:rPr>
          <w:shd w:val="clear" w:color="auto" w:fill="FFFFFF"/>
          <w:lang w:val="en-GB"/>
        </w:rPr>
        <w:t xml:space="preserve"> </w:t>
      </w:r>
      <w:r w:rsidR="001729A8" w:rsidRPr="008C2A96">
        <w:rPr>
          <w:shd w:val="clear" w:color="auto" w:fill="FFFFFF"/>
          <w:lang w:val="en-GB"/>
        </w:rPr>
        <w:t>112(2) of the Criminal Procedure Act 51 of 1977</w:t>
      </w:r>
      <w:r w:rsidR="003A4324" w:rsidRPr="008C2A96">
        <w:rPr>
          <w:shd w:val="clear" w:color="auto" w:fill="FFFFFF"/>
          <w:lang w:val="en-GB"/>
        </w:rPr>
        <w:t xml:space="preserve"> </w:t>
      </w:r>
      <w:r w:rsidR="00DA1766" w:rsidRPr="005E30DC">
        <w:t>(‘the Act’)</w:t>
      </w:r>
      <w:r w:rsidR="001729A8" w:rsidRPr="008C2A96">
        <w:rPr>
          <w:shd w:val="clear" w:color="auto" w:fill="FFFFFF"/>
          <w:lang w:val="en-GB"/>
        </w:rPr>
        <w:t>, the presiding magistrate found the appellant guilty of premeditated murder as charged, and sentenced him to life imprisonment</w:t>
      </w:r>
      <w:r w:rsidR="00DA1766" w:rsidRPr="008C2A96">
        <w:rPr>
          <w:shd w:val="clear" w:color="auto" w:fill="FFFFFF"/>
          <w:lang w:val="en-GB"/>
        </w:rPr>
        <w:t xml:space="preserve"> in the absence of any substantial and compelling circumstances.</w:t>
      </w:r>
      <w:r w:rsidR="001729A8" w:rsidRPr="008C2A96">
        <w:rPr>
          <w:shd w:val="clear" w:color="auto" w:fill="FFFFFF"/>
          <w:lang w:val="en-GB"/>
        </w:rPr>
        <w:t xml:space="preserve"> </w:t>
      </w:r>
      <w:r w:rsidR="008523DC" w:rsidRPr="005E30DC">
        <w:t xml:space="preserve">The matter comes before this court as an appeal in terms of s 309 of the </w:t>
      </w:r>
      <w:r w:rsidR="00DA1766" w:rsidRPr="005E30DC">
        <w:t>Act.</w:t>
      </w:r>
    </w:p>
    <w:p w:rsidR="008523DC" w:rsidRPr="005E30DC" w:rsidRDefault="008523DC" w:rsidP="008523DC">
      <w:pPr>
        <w:pStyle w:val="ListParagraph"/>
        <w:rPr>
          <w:color w:val="242121"/>
          <w:szCs w:val="24"/>
        </w:rPr>
      </w:pPr>
    </w:p>
    <w:p w:rsidR="003902DC" w:rsidRPr="008C2A96" w:rsidRDefault="008C2A96" w:rsidP="008C2A96">
      <w:pPr>
        <w:spacing w:line="360" w:lineRule="auto"/>
        <w:jc w:val="both"/>
        <w:rPr>
          <w:color w:val="242121"/>
          <w:szCs w:val="24"/>
        </w:rPr>
      </w:pPr>
      <w:r w:rsidRPr="005E30DC">
        <w:rPr>
          <w:rFonts w:ascii="Arial" w:hAnsi="Arial" w:cs="Arial"/>
          <w:color w:val="242121"/>
          <w:sz w:val="24"/>
          <w:szCs w:val="24"/>
        </w:rPr>
        <w:t>[3]</w:t>
      </w:r>
      <w:r w:rsidRPr="005E30DC">
        <w:rPr>
          <w:rFonts w:ascii="Arial" w:hAnsi="Arial" w:cs="Arial"/>
          <w:color w:val="242121"/>
          <w:sz w:val="24"/>
          <w:szCs w:val="24"/>
        </w:rPr>
        <w:tab/>
      </w:r>
      <w:r w:rsidR="00425017" w:rsidRPr="008C2A96">
        <w:rPr>
          <w:color w:val="242121"/>
          <w:szCs w:val="24"/>
        </w:rPr>
        <w:t>The fact</w:t>
      </w:r>
      <w:r w:rsidR="008F0A10" w:rsidRPr="008C2A96">
        <w:rPr>
          <w:color w:val="242121"/>
          <w:szCs w:val="24"/>
        </w:rPr>
        <w:t xml:space="preserve">ual background </w:t>
      </w:r>
      <w:r w:rsidR="00425017" w:rsidRPr="008C2A96">
        <w:rPr>
          <w:color w:val="242121"/>
          <w:szCs w:val="24"/>
        </w:rPr>
        <w:t>of the matter</w:t>
      </w:r>
      <w:r w:rsidR="00426F8A" w:rsidRPr="008C2A96">
        <w:rPr>
          <w:color w:val="242121"/>
          <w:szCs w:val="24"/>
        </w:rPr>
        <w:t xml:space="preserve"> </w:t>
      </w:r>
      <w:r w:rsidR="008A747F" w:rsidRPr="008C2A96">
        <w:rPr>
          <w:color w:val="242121"/>
          <w:szCs w:val="24"/>
        </w:rPr>
        <w:t>emerge</w:t>
      </w:r>
      <w:r w:rsidR="00426F8A" w:rsidRPr="008C2A96">
        <w:rPr>
          <w:color w:val="242121"/>
          <w:szCs w:val="24"/>
        </w:rPr>
        <w:t>s</w:t>
      </w:r>
      <w:r w:rsidR="008A747F" w:rsidRPr="008C2A96">
        <w:rPr>
          <w:color w:val="242121"/>
          <w:szCs w:val="24"/>
        </w:rPr>
        <w:t xml:space="preserve"> solely from the contents of the appellant’s s</w:t>
      </w:r>
      <w:r w:rsidR="00DF5FAB" w:rsidRPr="008C2A96">
        <w:rPr>
          <w:color w:val="242121"/>
          <w:szCs w:val="24"/>
        </w:rPr>
        <w:t xml:space="preserve"> </w:t>
      </w:r>
      <w:r w:rsidR="008A747F" w:rsidRPr="008C2A96">
        <w:rPr>
          <w:color w:val="242121"/>
          <w:szCs w:val="24"/>
        </w:rPr>
        <w:t>112(2) statement</w:t>
      </w:r>
      <w:r w:rsidR="00001F4F" w:rsidRPr="008C2A96">
        <w:rPr>
          <w:color w:val="242121"/>
          <w:szCs w:val="24"/>
        </w:rPr>
        <w:t>,</w:t>
      </w:r>
      <w:r w:rsidR="008A747F" w:rsidRPr="008C2A96">
        <w:rPr>
          <w:color w:val="242121"/>
          <w:szCs w:val="24"/>
        </w:rPr>
        <w:t xml:space="preserve"> the post mortem </w:t>
      </w:r>
      <w:r w:rsidR="00001F4F" w:rsidRPr="008C2A96">
        <w:rPr>
          <w:color w:val="242121"/>
          <w:szCs w:val="24"/>
        </w:rPr>
        <w:t xml:space="preserve">report </w:t>
      </w:r>
      <w:r w:rsidR="008A747F" w:rsidRPr="008C2A96">
        <w:rPr>
          <w:color w:val="242121"/>
          <w:szCs w:val="24"/>
        </w:rPr>
        <w:t>and the photographic album</w:t>
      </w:r>
      <w:r w:rsidR="00001F4F" w:rsidRPr="008C2A96">
        <w:rPr>
          <w:color w:val="242121"/>
          <w:szCs w:val="24"/>
        </w:rPr>
        <w:t>,</w:t>
      </w:r>
      <w:r w:rsidR="008A747F" w:rsidRPr="008C2A96">
        <w:rPr>
          <w:color w:val="242121"/>
          <w:szCs w:val="24"/>
        </w:rPr>
        <w:t xml:space="preserve"> which exhibits were admitted </w:t>
      </w:r>
      <w:r w:rsidR="00001F4F" w:rsidRPr="008C2A96">
        <w:rPr>
          <w:color w:val="242121"/>
          <w:szCs w:val="24"/>
        </w:rPr>
        <w:t xml:space="preserve">into evidence </w:t>
      </w:r>
      <w:r w:rsidR="008A747F" w:rsidRPr="008C2A96">
        <w:rPr>
          <w:color w:val="242121"/>
          <w:szCs w:val="24"/>
        </w:rPr>
        <w:t xml:space="preserve">by the appellant at the commencement of the proceedings in the </w:t>
      </w:r>
      <w:r w:rsidR="00001F4F" w:rsidRPr="008C2A96">
        <w:rPr>
          <w:color w:val="242121"/>
          <w:szCs w:val="24"/>
        </w:rPr>
        <w:t>court a quo</w:t>
      </w:r>
      <w:r w:rsidR="00426F8A" w:rsidRPr="008C2A96">
        <w:rPr>
          <w:color w:val="242121"/>
          <w:szCs w:val="24"/>
        </w:rPr>
        <w:t xml:space="preserve">. </w:t>
      </w:r>
      <w:r w:rsidR="00001F4F" w:rsidRPr="008C2A96">
        <w:rPr>
          <w:color w:val="242121"/>
          <w:szCs w:val="24"/>
        </w:rPr>
        <w:t xml:space="preserve">The appellant was in a romantic relationship with </w:t>
      </w:r>
      <w:r w:rsidR="00001F4F" w:rsidRPr="008C2A96">
        <w:rPr>
          <w:shd w:val="clear" w:color="auto" w:fill="FFFFFF"/>
          <w:lang w:val="en-GB"/>
        </w:rPr>
        <w:t>the deceased.</w:t>
      </w:r>
      <w:r w:rsidR="00C11F2F" w:rsidRPr="008C2A96">
        <w:rPr>
          <w:shd w:val="clear" w:color="auto" w:fill="FFFFFF"/>
          <w:lang w:val="en-GB"/>
        </w:rPr>
        <w:t xml:space="preserve"> </w:t>
      </w:r>
      <w:r w:rsidR="00001F4F" w:rsidRPr="008C2A96">
        <w:rPr>
          <w:shd w:val="clear" w:color="auto" w:fill="FFFFFF"/>
          <w:lang w:val="en-GB"/>
        </w:rPr>
        <w:t xml:space="preserve">They had lived together for approximately two years prior to her death. </w:t>
      </w:r>
      <w:r w:rsidR="00B2679B" w:rsidRPr="008C2A96">
        <w:rPr>
          <w:shd w:val="clear" w:color="auto" w:fill="FFFFFF"/>
          <w:lang w:val="en-GB"/>
        </w:rPr>
        <w:t>On 4 August 2019</w:t>
      </w:r>
      <w:r w:rsidR="003A4324" w:rsidRPr="008C2A96">
        <w:rPr>
          <w:shd w:val="clear" w:color="auto" w:fill="FFFFFF"/>
          <w:lang w:val="en-GB"/>
        </w:rPr>
        <w:t>,</w:t>
      </w:r>
      <w:r w:rsidR="00B2679B" w:rsidRPr="008C2A96">
        <w:rPr>
          <w:shd w:val="clear" w:color="auto" w:fill="FFFFFF"/>
          <w:lang w:val="en-GB"/>
        </w:rPr>
        <w:t xml:space="preserve"> </w:t>
      </w:r>
      <w:r w:rsidR="00426F8A" w:rsidRPr="008C2A96">
        <w:rPr>
          <w:shd w:val="clear" w:color="auto" w:fill="FFFFFF"/>
          <w:lang w:val="en-GB"/>
        </w:rPr>
        <w:t xml:space="preserve">the appellant </w:t>
      </w:r>
      <w:r w:rsidR="00B2679B" w:rsidRPr="008C2A96">
        <w:rPr>
          <w:shd w:val="clear" w:color="auto" w:fill="FFFFFF"/>
          <w:lang w:val="en-GB"/>
        </w:rPr>
        <w:t xml:space="preserve">called the deceased </w:t>
      </w:r>
      <w:r w:rsidR="00B31754" w:rsidRPr="008C2A96">
        <w:rPr>
          <w:shd w:val="clear" w:color="auto" w:fill="FFFFFF"/>
          <w:lang w:val="en-GB"/>
        </w:rPr>
        <w:t>and</w:t>
      </w:r>
      <w:r w:rsidR="00B2679B" w:rsidRPr="008C2A96">
        <w:rPr>
          <w:shd w:val="clear" w:color="auto" w:fill="FFFFFF"/>
          <w:lang w:val="en-GB"/>
        </w:rPr>
        <w:t xml:space="preserve"> informed him that she was visiting her mother</w:t>
      </w:r>
      <w:r w:rsidR="003A4324" w:rsidRPr="008C2A96">
        <w:rPr>
          <w:shd w:val="clear" w:color="auto" w:fill="FFFFFF"/>
          <w:lang w:val="en-GB"/>
        </w:rPr>
        <w:t>,</w:t>
      </w:r>
      <w:r w:rsidR="00B2679B" w:rsidRPr="008C2A96">
        <w:rPr>
          <w:shd w:val="clear" w:color="auto" w:fill="FFFFFF"/>
          <w:lang w:val="en-GB"/>
        </w:rPr>
        <w:t xml:space="preserve"> who lived in Port Shepstone</w:t>
      </w:r>
      <w:r w:rsidR="003A4324" w:rsidRPr="008C2A96">
        <w:rPr>
          <w:shd w:val="clear" w:color="auto" w:fill="FFFFFF"/>
          <w:lang w:val="en-GB"/>
        </w:rPr>
        <w:t>,</w:t>
      </w:r>
      <w:r w:rsidR="00B2679B" w:rsidRPr="008C2A96">
        <w:rPr>
          <w:shd w:val="clear" w:color="auto" w:fill="FFFFFF"/>
          <w:lang w:val="en-GB"/>
        </w:rPr>
        <w:t xml:space="preserve"> and that she would be spending the weekend at her mother’s home as she normally did. Later that evening the appellant tried to call the deceased but was unable to get through. He decided to drive to the deceased’s mother’s home</w:t>
      </w:r>
      <w:r w:rsidR="00E01E57" w:rsidRPr="008C2A96">
        <w:rPr>
          <w:shd w:val="clear" w:color="auto" w:fill="FFFFFF"/>
          <w:lang w:val="en-GB"/>
        </w:rPr>
        <w:t>. On his arrival</w:t>
      </w:r>
      <w:r w:rsidR="00426F8A" w:rsidRPr="008C2A96">
        <w:rPr>
          <w:shd w:val="clear" w:color="auto" w:fill="FFFFFF"/>
          <w:lang w:val="en-GB"/>
        </w:rPr>
        <w:t>,</w:t>
      </w:r>
      <w:r w:rsidR="00E01E57" w:rsidRPr="008C2A96">
        <w:rPr>
          <w:shd w:val="clear" w:color="auto" w:fill="FFFFFF"/>
          <w:lang w:val="en-GB"/>
        </w:rPr>
        <w:t xml:space="preserve"> he was informed </w:t>
      </w:r>
      <w:r w:rsidR="00426F8A" w:rsidRPr="008C2A96">
        <w:rPr>
          <w:shd w:val="clear" w:color="auto" w:fill="FFFFFF"/>
          <w:lang w:val="en-GB"/>
        </w:rPr>
        <w:t xml:space="preserve">by </w:t>
      </w:r>
      <w:r w:rsidR="00E01E57" w:rsidRPr="008C2A96">
        <w:rPr>
          <w:shd w:val="clear" w:color="auto" w:fill="FFFFFF"/>
          <w:lang w:val="en-GB"/>
        </w:rPr>
        <w:t xml:space="preserve">the deceased’s mother that the deceased was not </w:t>
      </w:r>
      <w:r w:rsidR="00426F8A" w:rsidRPr="008C2A96">
        <w:rPr>
          <w:shd w:val="clear" w:color="auto" w:fill="FFFFFF"/>
          <w:lang w:val="en-GB"/>
        </w:rPr>
        <w:t xml:space="preserve">present </w:t>
      </w:r>
      <w:r w:rsidR="00E01E57" w:rsidRPr="008C2A96">
        <w:rPr>
          <w:shd w:val="clear" w:color="auto" w:fill="FFFFFF"/>
          <w:lang w:val="en-GB"/>
        </w:rPr>
        <w:t>and that she had not seen her daughter since February of that year. This was contrary to what the appellant had been led to believe by the deceased.</w:t>
      </w:r>
    </w:p>
    <w:p w:rsidR="00E01E57" w:rsidRPr="00A50260" w:rsidRDefault="00E01E57" w:rsidP="00E01E57">
      <w:pPr>
        <w:pStyle w:val="ListParagraph"/>
        <w:rPr>
          <w:color w:val="242121"/>
          <w:szCs w:val="24"/>
          <w:highlight w:val="yellow"/>
        </w:rPr>
      </w:pPr>
    </w:p>
    <w:p w:rsidR="00E01E57" w:rsidRPr="008C2A96" w:rsidRDefault="008C2A96" w:rsidP="008C2A96">
      <w:pPr>
        <w:spacing w:line="360" w:lineRule="auto"/>
        <w:jc w:val="both"/>
        <w:rPr>
          <w:szCs w:val="24"/>
        </w:rPr>
      </w:pPr>
      <w:r w:rsidRPr="0056276A">
        <w:rPr>
          <w:rFonts w:ascii="Arial" w:hAnsi="Arial" w:cs="Arial"/>
          <w:sz w:val="24"/>
          <w:szCs w:val="24"/>
        </w:rPr>
        <w:t>[4]</w:t>
      </w:r>
      <w:r w:rsidRPr="0056276A">
        <w:rPr>
          <w:rFonts w:ascii="Arial" w:hAnsi="Arial" w:cs="Arial"/>
          <w:sz w:val="24"/>
          <w:szCs w:val="24"/>
        </w:rPr>
        <w:tab/>
      </w:r>
      <w:r w:rsidR="00E01E57" w:rsidRPr="008C2A96">
        <w:rPr>
          <w:szCs w:val="24"/>
        </w:rPr>
        <w:t>The appellant returned home</w:t>
      </w:r>
      <w:r w:rsidR="00032933" w:rsidRPr="008C2A96">
        <w:rPr>
          <w:szCs w:val="24"/>
        </w:rPr>
        <w:t xml:space="preserve"> </w:t>
      </w:r>
      <w:r w:rsidR="00EC2133" w:rsidRPr="008C2A96">
        <w:rPr>
          <w:szCs w:val="24"/>
        </w:rPr>
        <w:t xml:space="preserve">alone </w:t>
      </w:r>
      <w:r w:rsidR="00032933" w:rsidRPr="008C2A96">
        <w:rPr>
          <w:szCs w:val="24"/>
        </w:rPr>
        <w:t>that evening</w:t>
      </w:r>
      <w:r w:rsidR="00426F8A" w:rsidRPr="008C2A96">
        <w:rPr>
          <w:szCs w:val="24"/>
        </w:rPr>
        <w:t xml:space="preserve">. </w:t>
      </w:r>
      <w:r w:rsidR="00032933" w:rsidRPr="008C2A96">
        <w:rPr>
          <w:szCs w:val="24"/>
        </w:rPr>
        <w:t xml:space="preserve">The deceased returned home the following morning at which stage the appellant </w:t>
      </w:r>
      <w:r w:rsidR="00E01E57" w:rsidRPr="008C2A96">
        <w:rPr>
          <w:szCs w:val="24"/>
        </w:rPr>
        <w:t>enquired from her where she had been over the weekend. She responded that she had been to visit her mother</w:t>
      </w:r>
      <w:r w:rsidR="00426F8A" w:rsidRPr="008C2A96">
        <w:rPr>
          <w:szCs w:val="24"/>
        </w:rPr>
        <w:t>,</w:t>
      </w:r>
      <w:r w:rsidR="00E01E57" w:rsidRPr="008C2A96">
        <w:rPr>
          <w:szCs w:val="24"/>
        </w:rPr>
        <w:t xml:space="preserve"> whereupon the appellant </w:t>
      </w:r>
      <w:r w:rsidR="00426F8A" w:rsidRPr="008C2A96">
        <w:rPr>
          <w:szCs w:val="24"/>
        </w:rPr>
        <w:t xml:space="preserve">telephoned </w:t>
      </w:r>
      <w:r w:rsidR="00E01E57" w:rsidRPr="008C2A96">
        <w:rPr>
          <w:szCs w:val="24"/>
        </w:rPr>
        <w:t xml:space="preserve">her mother in her presence. An argument then ensued over the allegation that the deceased had been lying as to </w:t>
      </w:r>
      <w:r w:rsidR="00E01E57" w:rsidRPr="008C2A96">
        <w:rPr>
          <w:szCs w:val="24"/>
        </w:rPr>
        <w:lastRenderedPageBreak/>
        <w:t xml:space="preserve">her whereabouts, resulting in her eventually admitting that </w:t>
      </w:r>
      <w:r w:rsidR="0088558E" w:rsidRPr="008C2A96">
        <w:rPr>
          <w:szCs w:val="24"/>
        </w:rPr>
        <w:t>s</w:t>
      </w:r>
      <w:r w:rsidR="00E01E57" w:rsidRPr="008C2A96">
        <w:rPr>
          <w:szCs w:val="24"/>
        </w:rPr>
        <w:t>he had been visiting another man in Port Shepstone.</w:t>
      </w:r>
    </w:p>
    <w:p w:rsidR="00E01E57" w:rsidRPr="0056276A" w:rsidRDefault="00E01E57" w:rsidP="00E01E57">
      <w:pPr>
        <w:pStyle w:val="ListParagraph"/>
        <w:rPr>
          <w:szCs w:val="24"/>
          <w:highlight w:val="yellow"/>
        </w:rPr>
      </w:pPr>
    </w:p>
    <w:p w:rsidR="00E01E57" w:rsidRPr="008C2A96" w:rsidRDefault="008C2A96" w:rsidP="008C2A96">
      <w:pPr>
        <w:spacing w:line="360" w:lineRule="auto"/>
        <w:jc w:val="both"/>
        <w:rPr>
          <w:szCs w:val="24"/>
        </w:rPr>
      </w:pPr>
      <w:r w:rsidRPr="0056276A">
        <w:rPr>
          <w:rFonts w:ascii="Arial" w:hAnsi="Arial" w:cs="Arial"/>
          <w:sz w:val="24"/>
          <w:szCs w:val="24"/>
        </w:rPr>
        <w:t>[5]</w:t>
      </w:r>
      <w:r w:rsidRPr="0056276A">
        <w:rPr>
          <w:rFonts w:ascii="Arial" w:hAnsi="Arial" w:cs="Arial"/>
          <w:sz w:val="24"/>
          <w:szCs w:val="24"/>
        </w:rPr>
        <w:tab/>
      </w:r>
      <w:r w:rsidR="00E01E57" w:rsidRPr="008C2A96">
        <w:rPr>
          <w:szCs w:val="24"/>
        </w:rPr>
        <w:t>The appellant became enraged at the deceased’s admission that she was seeing another man under the pretext of visitin</w:t>
      </w:r>
      <w:r w:rsidR="003D37E4" w:rsidRPr="008C2A96">
        <w:rPr>
          <w:szCs w:val="24"/>
        </w:rPr>
        <w:t>g</w:t>
      </w:r>
      <w:r w:rsidR="00E01E57" w:rsidRPr="008C2A96">
        <w:rPr>
          <w:szCs w:val="24"/>
        </w:rPr>
        <w:t xml:space="preserve"> her mother. He </w:t>
      </w:r>
      <w:r w:rsidR="005B602C" w:rsidRPr="008C2A96">
        <w:rPr>
          <w:szCs w:val="24"/>
        </w:rPr>
        <w:t xml:space="preserve">grabbed hold of a knife </w:t>
      </w:r>
      <w:r w:rsidR="00032933" w:rsidRPr="008C2A96">
        <w:rPr>
          <w:szCs w:val="24"/>
        </w:rPr>
        <w:t xml:space="preserve">in the house </w:t>
      </w:r>
      <w:r w:rsidR="005B602C" w:rsidRPr="008C2A96">
        <w:rPr>
          <w:szCs w:val="24"/>
        </w:rPr>
        <w:t xml:space="preserve">and stabbed the deceased repeatedly. She attempted to flee without success. Realising what he had done, the appellant </w:t>
      </w:r>
      <w:r w:rsidR="003D37E4" w:rsidRPr="008C2A96">
        <w:rPr>
          <w:szCs w:val="24"/>
        </w:rPr>
        <w:t xml:space="preserve">telephoned </w:t>
      </w:r>
      <w:r w:rsidR="005B602C" w:rsidRPr="008C2A96">
        <w:rPr>
          <w:szCs w:val="24"/>
        </w:rPr>
        <w:t>the deceased’s sister, who arrived at his house and summoned the police. The appellant admitted that the injuries reflected in the post mortem report and the Form J88 were correct, and that these injuries caused the death of the deceased.</w:t>
      </w:r>
    </w:p>
    <w:p w:rsidR="005B602C" w:rsidRPr="0056276A" w:rsidRDefault="005B602C" w:rsidP="005B602C">
      <w:pPr>
        <w:pStyle w:val="ListParagraph"/>
        <w:rPr>
          <w:szCs w:val="24"/>
        </w:rPr>
      </w:pPr>
    </w:p>
    <w:p w:rsidR="00370EAE" w:rsidRPr="008C2A96" w:rsidRDefault="008C2A96" w:rsidP="008C2A96">
      <w:pPr>
        <w:shd w:val="clear" w:color="auto" w:fill="FFFFFF"/>
        <w:spacing w:before="240" w:after="180" w:line="360" w:lineRule="auto"/>
        <w:jc w:val="both"/>
        <w:rPr>
          <w:szCs w:val="24"/>
        </w:rPr>
      </w:pPr>
      <w:r w:rsidRPr="0056276A">
        <w:rPr>
          <w:rFonts w:ascii="Arial" w:hAnsi="Arial" w:cs="Arial"/>
          <w:sz w:val="24"/>
          <w:szCs w:val="24"/>
        </w:rPr>
        <w:t>[6]</w:t>
      </w:r>
      <w:r w:rsidRPr="0056276A">
        <w:rPr>
          <w:rFonts w:ascii="Arial" w:hAnsi="Arial" w:cs="Arial"/>
          <w:sz w:val="24"/>
          <w:szCs w:val="24"/>
        </w:rPr>
        <w:tab/>
      </w:r>
      <w:r w:rsidR="005B602C" w:rsidRPr="008C2A96">
        <w:rPr>
          <w:szCs w:val="24"/>
        </w:rPr>
        <w:t>On the basis of the admissions contained in the s</w:t>
      </w:r>
      <w:r w:rsidR="0056276A" w:rsidRPr="008C2A96">
        <w:rPr>
          <w:szCs w:val="24"/>
        </w:rPr>
        <w:t xml:space="preserve"> </w:t>
      </w:r>
      <w:r w:rsidR="005B602C" w:rsidRPr="008C2A96">
        <w:rPr>
          <w:szCs w:val="24"/>
        </w:rPr>
        <w:t>112(2) statement, the presiding magistrate was satisfied that the appellant had admitted to all of the elements of the crime of murder and found the appellant guilty as charged.</w:t>
      </w:r>
      <w:r w:rsidR="00FE649B" w:rsidRPr="008C2A96">
        <w:rPr>
          <w:szCs w:val="24"/>
        </w:rPr>
        <w:t xml:space="preserve"> It is in regard to this precise finding that this appeal turns.</w:t>
      </w:r>
      <w:r w:rsidR="00370EAE" w:rsidRPr="008C2A96">
        <w:rPr>
          <w:szCs w:val="24"/>
        </w:rPr>
        <w:t xml:space="preserve"> </w:t>
      </w:r>
      <w:r w:rsidR="00B51625" w:rsidRPr="008C2A96">
        <w:rPr>
          <w:szCs w:val="24"/>
        </w:rPr>
        <w:t xml:space="preserve">It was submitted on behalf of the appellant that the conviction was not in order as nowhere in the s 112(2) statement does the appellant admit the necessary intention to kill the deceased or the element of unlawfulness. Counsel for the respondent was unable to mount any argument in rebuttal. The requirement in s 112(2) </w:t>
      </w:r>
      <w:r w:rsidR="00DF5D5A" w:rsidRPr="008C2A96">
        <w:rPr>
          <w:szCs w:val="24"/>
        </w:rPr>
        <w:t xml:space="preserve">of the Act </w:t>
      </w:r>
      <w:r w:rsidR="006A5C76" w:rsidRPr="008C2A96">
        <w:rPr>
          <w:szCs w:val="24"/>
        </w:rPr>
        <w:t xml:space="preserve">is for an accused to ‘set out the facts which he admits’ in a statement, on the strength of which he or she may be convicted. </w:t>
      </w:r>
      <w:r w:rsidR="00680909" w:rsidRPr="008C2A96">
        <w:rPr>
          <w:szCs w:val="24"/>
        </w:rPr>
        <w:t>(</w:t>
      </w:r>
      <w:r w:rsidR="00BB1427" w:rsidRPr="008C2A96">
        <w:rPr>
          <w:i/>
          <w:szCs w:val="24"/>
        </w:rPr>
        <w:t>S v Chetty</w:t>
      </w:r>
      <w:r w:rsidR="00BB1427" w:rsidRPr="008C2A96">
        <w:rPr>
          <w:szCs w:val="24"/>
        </w:rPr>
        <w:t xml:space="preserve"> 2008 </w:t>
      </w:r>
      <w:r w:rsidR="00EB04BD" w:rsidRPr="008C2A96">
        <w:rPr>
          <w:szCs w:val="24"/>
        </w:rPr>
        <w:t>(</w:t>
      </w:r>
      <w:r w:rsidR="00BB1427" w:rsidRPr="008C2A96">
        <w:rPr>
          <w:szCs w:val="24"/>
        </w:rPr>
        <w:t>2</w:t>
      </w:r>
      <w:r w:rsidR="00EB04BD" w:rsidRPr="008C2A96">
        <w:rPr>
          <w:szCs w:val="24"/>
        </w:rPr>
        <w:t>)</w:t>
      </w:r>
      <w:r w:rsidR="00BB1427" w:rsidRPr="008C2A96">
        <w:rPr>
          <w:szCs w:val="24"/>
        </w:rPr>
        <w:t xml:space="preserve"> SACR 157</w:t>
      </w:r>
      <w:r w:rsidR="00EB04BD" w:rsidRPr="008C2A96">
        <w:rPr>
          <w:szCs w:val="24"/>
        </w:rPr>
        <w:t xml:space="preserve"> (W)</w:t>
      </w:r>
      <w:r w:rsidR="00680909" w:rsidRPr="008C2A96">
        <w:rPr>
          <w:szCs w:val="24"/>
        </w:rPr>
        <w:t>)</w:t>
      </w:r>
      <w:r w:rsidR="00BB1427" w:rsidRPr="008C2A96">
        <w:rPr>
          <w:szCs w:val="24"/>
        </w:rPr>
        <w:t>.</w:t>
      </w:r>
      <w:r w:rsidR="006A5C76" w:rsidRPr="008C2A96">
        <w:rPr>
          <w:szCs w:val="24"/>
        </w:rPr>
        <w:t xml:space="preserve"> Although the appellant admitted to having stabbed the deceased repeatedly and that she died as a result of the wounds inflicted, these do not constitute facts from which the court a quo could have justifiably drawn the conclusion that the appellant had the necessary intention to kill the deceased.  </w:t>
      </w:r>
    </w:p>
    <w:p w:rsidR="00370EAE" w:rsidRPr="0056276A" w:rsidRDefault="00370EAE" w:rsidP="00370EAE">
      <w:pPr>
        <w:pStyle w:val="ListParagraph"/>
        <w:rPr>
          <w:szCs w:val="24"/>
          <w:highlight w:val="yellow"/>
        </w:rPr>
      </w:pPr>
    </w:p>
    <w:p w:rsidR="00A50260" w:rsidRPr="008C2A96" w:rsidRDefault="008C2A96" w:rsidP="008C2A96">
      <w:pPr>
        <w:shd w:val="clear" w:color="auto" w:fill="FFFFFF"/>
        <w:spacing w:line="360" w:lineRule="auto"/>
        <w:jc w:val="both"/>
        <w:rPr>
          <w:i/>
          <w:iCs/>
          <w:szCs w:val="24"/>
        </w:rPr>
      </w:pPr>
      <w:r w:rsidRPr="0056276A">
        <w:rPr>
          <w:rFonts w:ascii="Arial" w:hAnsi="Arial" w:cs="Arial"/>
          <w:sz w:val="24"/>
          <w:szCs w:val="24"/>
        </w:rPr>
        <w:t>[7]</w:t>
      </w:r>
      <w:r w:rsidRPr="0056276A">
        <w:rPr>
          <w:rFonts w:ascii="Arial" w:hAnsi="Arial" w:cs="Arial"/>
          <w:sz w:val="24"/>
          <w:szCs w:val="24"/>
        </w:rPr>
        <w:tab/>
      </w:r>
      <w:r w:rsidR="006A5C76" w:rsidRPr="008C2A96">
        <w:rPr>
          <w:szCs w:val="24"/>
        </w:rPr>
        <w:t xml:space="preserve">The facts contained in the s 112(2) statement constitute admissions on the part of the appellant. </w:t>
      </w:r>
      <w:r w:rsidR="00370EAE" w:rsidRPr="008C2A96">
        <w:rPr>
          <w:szCs w:val="24"/>
        </w:rPr>
        <w:t xml:space="preserve">In </w:t>
      </w:r>
      <w:r w:rsidR="00370EAE" w:rsidRPr="008C2A96">
        <w:rPr>
          <w:i/>
          <w:szCs w:val="24"/>
        </w:rPr>
        <w:t>Negondeni v The State</w:t>
      </w:r>
      <w:r w:rsidR="00370EAE" w:rsidRPr="008C2A96">
        <w:rPr>
          <w:szCs w:val="24"/>
        </w:rPr>
        <w:t xml:space="preserve"> </w:t>
      </w:r>
      <w:r w:rsidR="00A50260" w:rsidRPr="008C2A96">
        <w:rPr>
          <w:szCs w:val="24"/>
        </w:rPr>
        <w:t xml:space="preserve">(00093/15) </w:t>
      </w:r>
      <w:r w:rsidR="00370EAE" w:rsidRPr="008C2A96">
        <w:rPr>
          <w:szCs w:val="24"/>
        </w:rPr>
        <w:t xml:space="preserve">[2015] ZASCA 132 (29 September 2015) </w:t>
      </w:r>
      <w:r w:rsidR="00A50260" w:rsidRPr="008C2A96">
        <w:rPr>
          <w:szCs w:val="24"/>
        </w:rPr>
        <w:t xml:space="preserve">para 10 </w:t>
      </w:r>
      <w:r w:rsidR="00370EAE" w:rsidRPr="008C2A96">
        <w:rPr>
          <w:szCs w:val="24"/>
        </w:rPr>
        <w:t xml:space="preserve">the court said the following in relation to </w:t>
      </w:r>
      <w:r w:rsidR="00BB1427" w:rsidRPr="008C2A96">
        <w:rPr>
          <w:szCs w:val="24"/>
        </w:rPr>
        <w:t xml:space="preserve">a statement made in terms of </w:t>
      </w:r>
      <w:r w:rsidR="00370EAE" w:rsidRPr="008C2A96">
        <w:rPr>
          <w:szCs w:val="24"/>
        </w:rPr>
        <w:t>s</w:t>
      </w:r>
      <w:r w:rsidR="00DF5FAB" w:rsidRPr="008C2A96">
        <w:rPr>
          <w:szCs w:val="24"/>
        </w:rPr>
        <w:t xml:space="preserve"> </w:t>
      </w:r>
      <w:r w:rsidR="00370EAE" w:rsidRPr="008C2A96">
        <w:rPr>
          <w:szCs w:val="24"/>
        </w:rPr>
        <w:t>112(2):</w:t>
      </w:r>
      <w:r w:rsidR="00BB1427" w:rsidRPr="008C2A96">
        <w:rPr>
          <w:szCs w:val="24"/>
        </w:rPr>
        <w:t xml:space="preserve"> </w:t>
      </w:r>
    </w:p>
    <w:p w:rsidR="0066444B" w:rsidRPr="0056276A" w:rsidRDefault="00A50260" w:rsidP="00DF5FAB">
      <w:pPr>
        <w:pStyle w:val="ListParagraph"/>
        <w:shd w:val="clear" w:color="auto" w:fill="FFFFFF"/>
        <w:spacing w:line="360" w:lineRule="auto"/>
        <w:ind w:left="0"/>
        <w:jc w:val="both"/>
        <w:rPr>
          <w:i/>
          <w:iCs/>
          <w:sz w:val="22"/>
          <w:szCs w:val="22"/>
        </w:rPr>
      </w:pPr>
      <w:r w:rsidRPr="0056276A">
        <w:rPr>
          <w:sz w:val="22"/>
          <w:szCs w:val="22"/>
        </w:rPr>
        <w:t>‘</w:t>
      </w:r>
      <w:r w:rsidR="00370EAE" w:rsidRPr="0056276A">
        <w:rPr>
          <w:sz w:val="22"/>
          <w:szCs w:val="22"/>
        </w:rPr>
        <w:t>It has been made clear in </w:t>
      </w:r>
      <w:r w:rsidR="00370EAE" w:rsidRPr="0056276A">
        <w:rPr>
          <w:i/>
          <w:iCs/>
          <w:sz w:val="22"/>
          <w:szCs w:val="22"/>
        </w:rPr>
        <w:t xml:space="preserve">S v Mbuyisa </w:t>
      </w:r>
      <w:r w:rsidR="00370EAE" w:rsidRPr="0056276A">
        <w:rPr>
          <w:sz w:val="22"/>
          <w:szCs w:val="22"/>
        </w:rPr>
        <w:t>that </w:t>
      </w:r>
      <w:hyperlink r:id="rId9" w:anchor="s112" w:history="1">
        <w:r w:rsidR="00370EAE" w:rsidRPr="0056276A">
          <w:rPr>
            <w:rStyle w:val="Hyperlink"/>
            <w:bCs/>
            <w:color w:val="auto"/>
            <w:sz w:val="22"/>
            <w:szCs w:val="22"/>
            <w:u w:val="none"/>
          </w:rPr>
          <w:t>s 112</w:t>
        </w:r>
      </w:hyperlink>
      <w:r w:rsidR="00370EAE" w:rsidRPr="0056276A">
        <w:rPr>
          <w:i/>
          <w:iCs/>
          <w:sz w:val="22"/>
          <w:szCs w:val="22"/>
        </w:rPr>
        <w:t>(b) </w:t>
      </w:r>
      <w:r w:rsidR="00370EAE" w:rsidRPr="0056276A">
        <w:rPr>
          <w:sz w:val="22"/>
          <w:szCs w:val="22"/>
        </w:rPr>
        <w:t>contemplates admissions of facts and not admissions of law or legal conclusions. In </w:t>
      </w:r>
      <w:r w:rsidR="00370EAE" w:rsidRPr="0056276A">
        <w:rPr>
          <w:i/>
          <w:iCs/>
          <w:sz w:val="22"/>
          <w:szCs w:val="22"/>
        </w:rPr>
        <w:t>S v Lebokeng en ‘n ander</w:t>
      </w:r>
      <w:r w:rsidR="00370EAE" w:rsidRPr="0056276A">
        <w:rPr>
          <w:sz w:val="22"/>
          <w:szCs w:val="22"/>
        </w:rPr>
        <w:t> it was stressed that the court should be satisfied not only that the accused committed the act in question but that he committed it unlawfully and with the necessary </w:t>
      </w:r>
      <w:r w:rsidR="00370EAE" w:rsidRPr="0056276A">
        <w:rPr>
          <w:i/>
          <w:iCs/>
          <w:sz w:val="22"/>
          <w:szCs w:val="22"/>
        </w:rPr>
        <w:t>mens rea. </w:t>
      </w:r>
      <w:r w:rsidR="00370EAE" w:rsidRPr="0056276A">
        <w:rPr>
          <w:sz w:val="22"/>
          <w:szCs w:val="22"/>
        </w:rPr>
        <w:t>As was stated in </w:t>
      </w:r>
      <w:r w:rsidR="00370EAE" w:rsidRPr="0056276A">
        <w:rPr>
          <w:i/>
          <w:iCs/>
          <w:sz w:val="22"/>
          <w:szCs w:val="22"/>
        </w:rPr>
        <w:t>S v Nyanga</w:t>
      </w:r>
      <w:r w:rsidR="0066444B" w:rsidRPr="0056276A">
        <w:rPr>
          <w:i/>
          <w:iCs/>
          <w:sz w:val="22"/>
          <w:szCs w:val="22"/>
        </w:rPr>
        <w:t xml:space="preserve"> </w:t>
      </w:r>
    </w:p>
    <w:p w:rsidR="00370EAE" w:rsidRPr="0056276A" w:rsidRDefault="00A50260" w:rsidP="00DF5FAB">
      <w:pPr>
        <w:pStyle w:val="NormalWeb"/>
        <w:shd w:val="clear" w:color="auto" w:fill="FFFFFF"/>
        <w:spacing w:before="144" w:beforeAutospacing="0" w:after="288" w:afterAutospacing="0" w:line="360" w:lineRule="auto"/>
        <w:jc w:val="both"/>
        <w:rPr>
          <w:rFonts w:ascii="Arial" w:hAnsi="Arial" w:cs="Arial"/>
        </w:rPr>
      </w:pPr>
      <w:r w:rsidRPr="0056276A">
        <w:rPr>
          <w:rFonts w:ascii="Arial" w:hAnsi="Arial" w:cs="Arial"/>
          <w:sz w:val="22"/>
          <w:szCs w:val="22"/>
        </w:rPr>
        <w:lastRenderedPageBreak/>
        <w:t>“</w:t>
      </w:r>
      <w:hyperlink r:id="rId10" w:anchor="s112" w:history="1">
        <w:r w:rsidR="00370EAE" w:rsidRPr="0056276A">
          <w:rPr>
            <w:rStyle w:val="Hyperlink"/>
            <w:rFonts w:ascii="Arial" w:hAnsi="Arial" w:cs="Arial"/>
            <w:bCs/>
            <w:color w:val="auto"/>
            <w:sz w:val="22"/>
            <w:szCs w:val="22"/>
            <w:u w:val="none"/>
          </w:rPr>
          <w:t>Section 112(1)</w:t>
        </w:r>
      </w:hyperlink>
      <w:r w:rsidR="00370EAE" w:rsidRPr="0056276A">
        <w:rPr>
          <w:rFonts w:ascii="Arial" w:hAnsi="Arial" w:cs="Arial"/>
          <w:i/>
          <w:iCs/>
          <w:sz w:val="22"/>
          <w:szCs w:val="22"/>
        </w:rPr>
        <w:t>(b)</w:t>
      </w:r>
      <w:r w:rsidR="00370EAE" w:rsidRPr="0056276A">
        <w:rPr>
          <w:rFonts w:ascii="Arial" w:hAnsi="Arial" w:cs="Arial"/>
          <w:sz w:val="22"/>
          <w:szCs w:val="22"/>
        </w:rPr>
        <w:t> questioning has a twofold purpose. Firstly, to establish the factual basis for the plea of guilty and secondly to establish the legal basis for such plea. In the first phase of the enquiry, the admissions made may not be added to by other means such as a process of inferential reasoning. (</w:t>
      </w:r>
      <w:r w:rsidR="00370EAE" w:rsidRPr="0056276A">
        <w:rPr>
          <w:rFonts w:ascii="Arial" w:hAnsi="Arial" w:cs="Arial"/>
          <w:i/>
          <w:iCs/>
          <w:sz w:val="22"/>
          <w:szCs w:val="22"/>
        </w:rPr>
        <w:t>S v Nkosi</w:t>
      </w:r>
      <w:r w:rsidR="00370EAE" w:rsidRPr="0056276A">
        <w:rPr>
          <w:rFonts w:ascii="Arial" w:hAnsi="Arial" w:cs="Arial"/>
          <w:sz w:val="22"/>
          <w:szCs w:val="22"/>
        </w:rPr>
        <w:t> </w:t>
      </w:r>
      <w:hyperlink r:id="rId11" w:tooltip="View LawCiteRecord" w:history="1">
        <w:r w:rsidR="00370EAE" w:rsidRPr="0056276A">
          <w:rPr>
            <w:rStyle w:val="Hyperlink"/>
            <w:rFonts w:ascii="Arial" w:hAnsi="Arial" w:cs="Arial"/>
            <w:bCs/>
            <w:color w:val="auto"/>
            <w:sz w:val="22"/>
            <w:szCs w:val="22"/>
            <w:u w:val="none"/>
          </w:rPr>
          <w:t>1986 (2) SA 261</w:t>
        </w:r>
      </w:hyperlink>
      <w:r w:rsidR="00370EAE" w:rsidRPr="0056276A">
        <w:rPr>
          <w:rFonts w:ascii="Arial" w:hAnsi="Arial" w:cs="Arial"/>
          <w:sz w:val="22"/>
          <w:szCs w:val="22"/>
        </w:rPr>
        <w:t> (T) at 263H-I; </w:t>
      </w:r>
      <w:r w:rsidR="00370EAE" w:rsidRPr="0056276A">
        <w:rPr>
          <w:rFonts w:ascii="Arial" w:hAnsi="Arial" w:cs="Arial"/>
          <w:i/>
          <w:iCs/>
          <w:sz w:val="22"/>
          <w:szCs w:val="22"/>
        </w:rPr>
        <w:t>S v Mathe</w:t>
      </w:r>
      <w:r w:rsidR="00370EAE" w:rsidRPr="0056276A">
        <w:rPr>
          <w:rFonts w:ascii="Arial" w:hAnsi="Arial" w:cs="Arial"/>
          <w:sz w:val="22"/>
          <w:szCs w:val="22"/>
        </w:rPr>
        <w:t> </w:t>
      </w:r>
      <w:hyperlink r:id="rId12" w:tooltip="View LawCiteRecord" w:history="1">
        <w:r w:rsidR="00370EAE" w:rsidRPr="0056276A">
          <w:rPr>
            <w:rStyle w:val="Hyperlink"/>
            <w:rFonts w:ascii="Arial" w:hAnsi="Arial" w:cs="Arial"/>
            <w:bCs/>
            <w:color w:val="auto"/>
            <w:sz w:val="22"/>
            <w:szCs w:val="22"/>
            <w:u w:val="none"/>
          </w:rPr>
          <w:t>1981 (3) SA 664</w:t>
        </w:r>
      </w:hyperlink>
      <w:r w:rsidR="00370EAE" w:rsidRPr="0056276A">
        <w:rPr>
          <w:rFonts w:ascii="Arial" w:hAnsi="Arial" w:cs="Arial"/>
          <w:sz w:val="22"/>
          <w:szCs w:val="22"/>
        </w:rPr>
        <w:t> (NC) at 669E-G; </w:t>
      </w:r>
      <w:r w:rsidR="00370EAE" w:rsidRPr="0056276A">
        <w:rPr>
          <w:rFonts w:ascii="Arial" w:hAnsi="Arial" w:cs="Arial"/>
          <w:i/>
          <w:iCs/>
          <w:sz w:val="22"/>
          <w:szCs w:val="22"/>
        </w:rPr>
        <w:t>S v</w:t>
      </w:r>
      <w:r w:rsidR="00DF5FAB" w:rsidRPr="0056276A">
        <w:rPr>
          <w:rFonts w:ascii="Arial" w:hAnsi="Arial" w:cs="Arial"/>
          <w:i/>
          <w:iCs/>
          <w:sz w:val="22"/>
          <w:szCs w:val="22"/>
        </w:rPr>
        <w:t xml:space="preserve"> </w:t>
      </w:r>
      <w:r w:rsidR="00370EAE" w:rsidRPr="0056276A">
        <w:rPr>
          <w:rFonts w:ascii="Arial" w:hAnsi="Arial" w:cs="Arial"/>
          <w:i/>
          <w:iCs/>
          <w:sz w:val="22"/>
          <w:szCs w:val="22"/>
        </w:rPr>
        <w:t>Jacobs</w:t>
      </w:r>
      <w:r w:rsidR="00370EAE" w:rsidRPr="0056276A">
        <w:rPr>
          <w:rFonts w:ascii="Arial" w:hAnsi="Arial" w:cs="Arial"/>
          <w:sz w:val="22"/>
          <w:szCs w:val="22"/>
        </w:rPr>
        <w:t> (supra at 1177B) </w:t>
      </w:r>
      <w:hyperlink r:id="rId13" w:tooltip="View LawCiteRecord" w:history="1">
        <w:r w:rsidR="00370EAE" w:rsidRPr="0056276A">
          <w:rPr>
            <w:rStyle w:val="Hyperlink"/>
            <w:rFonts w:ascii="Arial" w:hAnsi="Arial" w:cs="Arial"/>
            <w:bCs/>
            <w:color w:val="auto"/>
            <w:sz w:val="22"/>
            <w:szCs w:val="22"/>
            <w:u w:val="none"/>
          </w:rPr>
          <w:t>(1978 (1) SA 1176</w:t>
        </w:r>
      </w:hyperlink>
      <w:r w:rsidR="00370EAE" w:rsidRPr="0056276A">
        <w:rPr>
          <w:rFonts w:ascii="Arial" w:hAnsi="Arial" w:cs="Arial"/>
          <w:sz w:val="22"/>
          <w:szCs w:val="22"/>
        </w:rPr>
        <w:t> (C) at 1177B). The second phase of the enquiry amounts essentially to a conclusion of law based on the admissions. From the admissions the court must conclude whether the legal requirements for the commission of the offence have been met. They are the questions of unlawfulness, </w:t>
      </w:r>
      <w:r w:rsidR="00370EAE" w:rsidRPr="0056276A">
        <w:rPr>
          <w:rFonts w:ascii="Arial" w:hAnsi="Arial" w:cs="Arial"/>
          <w:i/>
          <w:iCs/>
          <w:sz w:val="22"/>
          <w:szCs w:val="22"/>
        </w:rPr>
        <w:t>actus reus</w:t>
      </w:r>
      <w:r w:rsidR="00370EAE" w:rsidRPr="0056276A">
        <w:rPr>
          <w:rFonts w:ascii="Arial" w:hAnsi="Arial" w:cs="Arial"/>
          <w:sz w:val="22"/>
          <w:szCs w:val="22"/>
        </w:rPr>
        <w:t> and </w:t>
      </w:r>
      <w:r w:rsidR="00370EAE" w:rsidRPr="0056276A">
        <w:rPr>
          <w:rFonts w:ascii="Arial" w:hAnsi="Arial" w:cs="Arial"/>
          <w:i/>
          <w:iCs/>
          <w:sz w:val="22"/>
          <w:szCs w:val="22"/>
        </w:rPr>
        <w:t>mens rea</w:t>
      </w:r>
      <w:r w:rsidR="00370EAE" w:rsidRPr="0056276A">
        <w:rPr>
          <w:rFonts w:ascii="Arial" w:hAnsi="Arial" w:cs="Arial"/>
          <w:sz w:val="22"/>
          <w:szCs w:val="22"/>
        </w:rPr>
        <w:t>. These are conclusions of law. If the court is satisfied that the admissions adequately cover all these elements of the offence, the court is entitled to convict the accused on the charge to which he pleaded guilty.</w:t>
      </w:r>
      <w:r w:rsidRPr="0056276A">
        <w:rPr>
          <w:rFonts w:ascii="Arial" w:hAnsi="Arial" w:cs="Arial"/>
          <w:sz w:val="22"/>
          <w:szCs w:val="22"/>
        </w:rPr>
        <w:t>”</w:t>
      </w:r>
      <w:r w:rsidRPr="0056276A">
        <w:rPr>
          <w:rFonts w:ascii="Arial" w:hAnsi="Arial" w:cs="Arial"/>
        </w:rPr>
        <w:t>’</w:t>
      </w:r>
      <w:r w:rsidR="00370EAE" w:rsidRPr="0056276A">
        <w:rPr>
          <w:rFonts w:ascii="Arial" w:hAnsi="Arial" w:cs="Arial"/>
        </w:rPr>
        <w:t xml:space="preserve"> </w:t>
      </w:r>
      <w:r w:rsidR="00370EAE" w:rsidRPr="0056276A">
        <w:rPr>
          <w:rFonts w:ascii="Arial" w:hAnsi="Arial" w:cs="Arial"/>
          <w:sz w:val="22"/>
          <w:szCs w:val="22"/>
        </w:rPr>
        <w:t>(Footnotes omitted)</w:t>
      </w:r>
    </w:p>
    <w:p w:rsidR="00FE649B" w:rsidRPr="008C2A96" w:rsidRDefault="008C2A96" w:rsidP="008C2A96">
      <w:pPr>
        <w:spacing w:line="360" w:lineRule="auto"/>
        <w:jc w:val="both"/>
        <w:rPr>
          <w:szCs w:val="24"/>
        </w:rPr>
      </w:pPr>
      <w:r w:rsidRPr="0056276A">
        <w:rPr>
          <w:rFonts w:ascii="Arial" w:hAnsi="Arial" w:cs="Arial"/>
          <w:sz w:val="24"/>
          <w:szCs w:val="24"/>
        </w:rPr>
        <w:t>[8]</w:t>
      </w:r>
      <w:r w:rsidRPr="0056276A">
        <w:rPr>
          <w:rFonts w:ascii="Arial" w:hAnsi="Arial" w:cs="Arial"/>
          <w:sz w:val="24"/>
          <w:szCs w:val="24"/>
        </w:rPr>
        <w:tab/>
      </w:r>
      <w:r w:rsidR="00370EAE" w:rsidRPr="008C2A96">
        <w:rPr>
          <w:szCs w:val="24"/>
        </w:rPr>
        <w:t>In light of the above authority</w:t>
      </w:r>
      <w:r w:rsidR="00407501" w:rsidRPr="008C2A96">
        <w:rPr>
          <w:szCs w:val="24"/>
        </w:rPr>
        <w:t xml:space="preserve"> n</w:t>
      </w:r>
      <w:r w:rsidR="006A5C76" w:rsidRPr="008C2A96">
        <w:rPr>
          <w:szCs w:val="24"/>
        </w:rPr>
        <w:t>o basis in law exists for inferences to be drawn</w:t>
      </w:r>
      <w:r w:rsidR="00CD272A" w:rsidRPr="008C2A96">
        <w:rPr>
          <w:szCs w:val="24"/>
        </w:rPr>
        <w:t xml:space="preserve"> from the </w:t>
      </w:r>
      <w:r w:rsidR="00407501" w:rsidRPr="008C2A96">
        <w:rPr>
          <w:szCs w:val="24"/>
        </w:rPr>
        <w:t>admitted f</w:t>
      </w:r>
      <w:r w:rsidR="00CD272A" w:rsidRPr="008C2A96">
        <w:rPr>
          <w:szCs w:val="24"/>
        </w:rPr>
        <w:t xml:space="preserve">acts. </w:t>
      </w:r>
      <w:r w:rsidR="00900970" w:rsidRPr="008C2A96">
        <w:rPr>
          <w:szCs w:val="24"/>
        </w:rPr>
        <w:t>Instead, the presiding magistrate ought to have questioned the appellant in terms of s 112(</w:t>
      </w:r>
      <w:r w:rsidR="003B766C" w:rsidRPr="008C2A96">
        <w:rPr>
          <w:szCs w:val="24"/>
        </w:rPr>
        <w:t>2)</w:t>
      </w:r>
      <w:r w:rsidR="00900970" w:rsidRPr="008C2A96">
        <w:rPr>
          <w:szCs w:val="24"/>
        </w:rPr>
        <w:t xml:space="preserve"> </w:t>
      </w:r>
      <w:r w:rsidR="00215AD9" w:rsidRPr="008C2A96">
        <w:rPr>
          <w:szCs w:val="24"/>
        </w:rPr>
        <w:t xml:space="preserve">of the Act </w:t>
      </w:r>
      <w:r w:rsidR="00900970" w:rsidRPr="008C2A96">
        <w:rPr>
          <w:szCs w:val="24"/>
        </w:rPr>
        <w:t>to establish whether the appellant admit</w:t>
      </w:r>
      <w:r w:rsidR="00215AD9" w:rsidRPr="008C2A96">
        <w:rPr>
          <w:szCs w:val="24"/>
        </w:rPr>
        <w:t>ted</w:t>
      </w:r>
      <w:r w:rsidR="00900970" w:rsidRPr="008C2A96">
        <w:rPr>
          <w:szCs w:val="24"/>
        </w:rPr>
        <w:t xml:space="preserve"> to </w:t>
      </w:r>
      <w:r w:rsidR="00407501" w:rsidRPr="008C2A96">
        <w:rPr>
          <w:szCs w:val="24"/>
        </w:rPr>
        <w:t xml:space="preserve">the </w:t>
      </w:r>
      <w:r w:rsidR="00874F15" w:rsidRPr="008C2A96">
        <w:rPr>
          <w:szCs w:val="24"/>
        </w:rPr>
        <w:t xml:space="preserve">essential </w:t>
      </w:r>
      <w:r w:rsidR="00900970" w:rsidRPr="008C2A96">
        <w:rPr>
          <w:szCs w:val="24"/>
        </w:rPr>
        <w:t>elements of the offence</w:t>
      </w:r>
      <w:r w:rsidR="00407501" w:rsidRPr="008C2A96">
        <w:rPr>
          <w:szCs w:val="24"/>
        </w:rPr>
        <w:t xml:space="preserve">. </w:t>
      </w:r>
      <w:r w:rsidR="00874F15" w:rsidRPr="008C2A96">
        <w:rPr>
          <w:szCs w:val="24"/>
        </w:rPr>
        <w:t>Differently put, the questions and answers must cover all the essential elements of the offence which the State</w:t>
      </w:r>
      <w:r w:rsidR="000804BC" w:rsidRPr="008C2A96">
        <w:rPr>
          <w:szCs w:val="24"/>
        </w:rPr>
        <w:t>,</w:t>
      </w:r>
      <w:r w:rsidR="00874F15" w:rsidRPr="008C2A96">
        <w:rPr>
          <w:szCs w:val="24"/>
        </w:rPr>
        <w:t xml:space="preserve"> in the absence of a plea of guilty</w:t>
      </w:r>
      <w:r w:rsidR="000804BC" w:rsidRPr="008C2A96">
        <w:rPr>
          <w:szCs w:val="24"/>
        </w:rPr>
        <w:t>,</w:t>
      </w:r>
      <w:r w:rsidR="00874F15" w:rsidRPr="008C2A96">
        <w:rPr>
          <w:szCs w:val="24"/>
        </w:rPr>
        <w:t xml:space="preserve"> would have been required to prove. Section 112(1)</w:t>
      </w:r>
      <w:r w:rsidR="00874F15" w:rsidRPr="008C2A96">
        <w:rPr>
          <w:i/>
          <w:szCs w:val="24"/>
        </w:rPr>
        <w:t>(b)</w:t>
      </w:r>
      <w:r w:rsidR="00874F15" w:rsidRPr="008C2A96">
        <w:rPr>
          <w:szCs w:val="24"/>
        </w:rPr>
        <w:t xml:space="preserve"> </w:t>
      </w:r>
      <w:r w:rsidR="00032933" w:rsidRPr="008C2A96">
        <w:rPr>
          <w:szCs w:val="24"/>
        </w:rPr>
        <w:t xml:space="preserve">and s112(2) are </w:t>
      </w:r>
      <w:r w:rsidR="00874F15" w:rsidRPr="008C2A96">
        <w:rPr>
          <w:szCs w:val="24"/>
        </w:rPr>
        <w:t xml:space="preserve">designed to avoid the necessity for calling evidence in cases where it is clear that the accused understands all the elements of the charge and admits them all. </w:t>
      </w:r>
      <w:r w:rsidR="00DD2E0C" w:rsidRPr="008C2A96">
        <w:rPr>
          <w:szCs w:val="24"/>
        </w:rPr>
        <w:t>(</w:t>
      </w:r>
      <w:r w:rsidR="00874F15" w:rsidRPr="008C2A96">
        <w:rPr>
          <w:i/>
          <w:szCs w:val="24"/>
        </w:rPr>
        <w:t>S v Shiburi</w:t>
      </w:r>
      <w:r w:rsidR="00874F15" w:rsidRPr="008C2A96">
        <w:rPr>
          <w:szCs w:val="24"/>
        </w:rPr>
        <w:t xml:space="preserve"> 2018 (2) SACR 485 (SCA) </w:t>
      </w:r>
      <w:r w:rsidR="005E30DC" w:rsidRPr="008C2A96">
        <w:rPr>
          <w:szCs w:val="24"/>
        </w:rPr>
        <w:t>para 18</w:t>
      </w:r>
      <w:r w:rsidR="00DD2E0C" w:rsidRPr="008C2A96">
        <w:rPr>
          <w:szCs w:val="24"/>
        </w:rPr>
        <w:t>)</w:t>
      </w:r>
      <w:r w:rsidR="00874F15" w:rsidRPr="008C2A96">
        <w:rPr>
          <w:szCs w:val="24"/>
        </w:rPr>
        <w:t xml:space="preserve">. </w:t>
      </w:r>
      <w:r w:rsidR="00407501" w:rsidRPr="008C2A96">
        <w:rPr>
          <w:szCs w:val="24"/>
        </w:rPr>
        <w:t>From the admitted facts in the statement</w:t>
      </w:r>
      <w:r w:rsidR="000804BC" w:rsidRPr="008C2A96">
        <w:rPr>
          <w:szCs w:val="24"/>
        </w:rPr>
        <w:t xml:space="preserve"> by the appellant</w:t>
      </w:r>
      <w:r w:rsidR="00EC2133" w:rsidRPr="008C2A96">
        <w:rPr>
          <w:szCs w:val="24"/>
        </w:rPr>
        <w:t>,</w:t>
      </w:r>
      <w:r w:rsidR="00407501" w:rsidRPr="008C2A96">
        <w:rPr>
          <w:szCs w:val="24"/>
        </w:rPr>
        <w:t xml:space="preserve"> </w:t>
      </w:r>
      <w:r w:rsidR="003B766C" w:rsidRPr="008C2A96">
        <w:rPr>
          <w:szCs w:val="24"/>
        </w:rPr>
        <w:t>i</w:t>
      </w:r>
      <w:r w:rsidR="00EC2133" w:rsidRPr="008C2A96">
        <w:rPr>
          <w:szCs w:val="24"/>
        </w:rPr>
        <w:t>t</w:t>
      </w:r>
      <w:r w:rsidR="003B766C" w:rsidRPr="008C2A96">
        <w:rPr>
          <w:szCs w:val="24"/>
        </w:rPr>
        <w:t xml:space="preserve"> was not possible for the magistrate to be satisfied that </w:t>
      </w:r>
      <w:r w:rsidR="00407501" w:rsidRPr="008C2A96">
        <w:rPr>
          <w:szCs w:val="24"/>
        </w:rPr>
        <w:t xml:space="preserve">the appellant acted with the requisite intent – either in the form of dolus directus or dolus eventualis – to kill the deceased. Intent cannot be inferred from the admitted facts.  </w:t>
      </w:r>
    </w:p>
    <w:p w:rsidR="00407501" w:rsidRPr="0056276A" w:rsidRDefault="00407501" w:rsidP="00407501">
      <w:pPr>
        <w:pStyle w:val="ListParagraph"/>
        <w:spacing w:line="360" w:lineRule="auto"/>
        <w:ind w:left="0"/>
        <w:jc w:val="both"/>
        <w:rPr>
          <w:szCs w:val="24"/>
          <w:highlight w:val="yellow"/>
        </w:rPr>
      </w:pPr>
    </w:p>
    <w:p w:rsidR="001F586A" w:rsidRPr="008C2A96" w:rsidRDefault="008C2A96" w:rsidP="008C2A96">
      <w:pPr>
        <w:spacing w:line="360" w:lineRule="auto"/>
        <w:jc w:val="both"/>
        <w:rPr>
          <w:szCs w:val="24"/>
        </w:rPr>
      </w:pPr>
      <w:r w:rsidRPr="0056276A">
        <w:rPr>
          <w:rFonts w:ascii="Arial" w:hAnsi="Arial" w:cs="Arial"/>
          <w:sz w:val="24"/>
          <w:szCs w:val="24"/>
        </w:rPr>
        <w:t>[9]</w:t>
      </w:r>
      <w:r w:rsidRPr="0056276A">
        <w:rPr>
          <w:rFonts w:ascii="Arial" w:hAnsi="Arial" w:cs="Arial"/>
          <w:sz w:val="24"/>
          <w:szCs w:val="24"/>
        </w:rPr>
        <w:tab/>
      </w:r>
      <w:r w:rsidR="00407501" w:rsidRPr="008C2A96">
        <w:rPr>
          <w:szCs w:val="24"/>
        </w:rPr>
        <w:t xml:space="preserve">It follows that the conviction and life sentence imposed on the appellant cannot stand. In remitting the matter, the court seized with the matter </w:t>
      </w:r>
      <w:r w:rsidR="001F586A" w:rsidRPr="008C2A96">
        <w:rPr>
          <w:szCs w:val="24"/>
        </w:rPr>
        <w:t>must proceed in terms of s</w:t>
      </w:r>
      <w:r w:rsidR="001A51FB" w:rsidRPr="008C2A96">
        <w:rPr>
          <w:szCs w:val="24"/>
        </w:rPr>
        <w:t xml:space="preserve"> </w:t>
      </w:r>
      <w:r w:rsidR="001F586A" w:rsidRPr="008C2A96">
        <w:rPr>
          <w:szCs w:val="24"/>
        </w:rPr>
        <w:t>112(2) of the Act in which the written statement and admissions by the appellant stand.  The magistrate may then proceed to question the appellant in terms of s</w:t>
      </w:r>
      <w:r w:rsidR="001A51FB" w:rsidRPr="008C2A96">
        <w:rPr>
          <w:szCs w:val="24"/>
        </w:rPr>
        <w:t xml:space="preserve"> </w:t>
      </w:r>
      <w:r w:rsidR="001F586A" w:rsidRPr="008C2A96">
        <w:rPr>
          <w:szCs w:val="24"/>
        </w:rPr>
        <w:t>112(2) to establish whether he admits he had the intention to kill the deceased and appreciated the unlawfulness of his actions. If the appellant does not admit this, the magistrate must change the plea to one of not guilty in terms of s</w:t>
      </w:r>
      <w:r w:rsidR="001A51FB" w:rsidRPr="008C2A96">
        <w:rPr>
          <w:szCs w:val="24"/>
        </w:rPr>
        <w:t xml:space="preserve"> </w:t>
      </w:r>
      <w:r w:rsidR="001F586A" w:rsidRPr="008C2A96">
        <w:rPr>
          <w:szCs w:val="24"/>
        </w:rPr>
        <w:t xml:space="preserve">113. Section 113(1) provides that all allegations which the appellant admitted under </w:t>
      </w:r>
      <w:r w:rsidR="001A51FB" w:rsidRPr="008C2A96">
        <w:rPr>
          <w:szCs w:val="24"/>
        </w:rPr>
        <w:t xml:space="preserve">s </w:t>
      </w:r>
      <w:r w:rsidR="001F586A" w:rsidRPr="008C2A96">
        <w:rPr>
          <w:szCs w:val="24"/>
        </w:rPr>
        <w:t>112(2) shall stand as proof. The accused should be asked further whether he admits premeditation. If not, the state can choose to accept the plea on murder without premeditation.</w:t>
      </w:r>
    </w:p>
    <w:p w:rsidR="00ED7C1E" w:rsidRPr="00A50260" w:rsidRDefault="00ED7C1E" w:rsidP="00192B7D">
      <w:pPr>
        <w:pStyle w:val="ListParagraph"/>
        <w:tabs>
          <w:tab w:val="left" w:pos="0"/>
        </w:tabs>
        <w:spacing w:line="360" w:lineRule="auto"/>
        <w:ind w:left="0"/>
        <w:jc w:val="both"/>
        <w:rPr>
          <w:rFonts w:eastAsia="Times New Roman"/>
          <w:color w:val="000000"/>
          <w:szCs w:val="24"/>
          <w:highlight w:val="yellow"/>
          <w:lang w:eastAsia="en-ZA"/>
        </w:rPr>
      </w:pPr>
      <w:bookmarkStart w:id="1" w:name="0-0-0-168725"/>
      <w:bookmarkEnd w:id="1"/>
    </w:p>
    <w:p w:rsidR="00A50260" w:rsidRPr="005E30DC" w:rsidRDefault="00A50260" w:rsidP="00192B7D">
      <w:pPr>
        <w:pStyle w:val="ListParagraph"/>
        <w:tabs>
          <w:tab w:val="left" w:pos="0"/>
        </w:tabs>
        <w:spacing w:line="360" w:lineRule="auto"/>
        <w:ind w:left="0"/>
        <w:jc w:val="both"/>
        <w:rPr>
          <w:rFonts w:eastAsia="Times New Roman"/>
          <w:b/>
          <w:color w:val="000000"/>
          <w:szCs w:val="24"/>
          <w:lang w:eastAsia="en-ZA"/>
        </w:rPr>
      </w:pPr>
      <w:r w:rsidRPr="005E30DC">
        <w:rPr>
          <w:rFonts w:eastAsia="Times New Roman"/>
          <w:b/>
          <w:color w:val="000000"/>
          <w:szCs w:val="24"/>
          <w:lang w:eastAsia="en-ZA"/>
        </w:rPr>
        <w:t>Order</w:t>
      </w:r>
    </w:p>
    <w:p w:rsidR="00B34463" w:rsidRPr="005E30DC" w:rsidRDefault="00961DA7" w:rsidP="00961DA7">
      <w:pPr>
        <w:pStyle w:val="ListParagraph"/>
        <w:tabs>
          <w:tab w:val="left" w:pos="0"/>
          <w:tab w:val="left" w:pos="284"/>
          <w:tab w:val="left" w:pos="567"/>
        </w:tabs>
        <w:spacing w:line="360" w:lineRule="auto"/>
        <w:ind w:left="0"/>
        <w:jc w:val="both"/>
        <w:rPr>
          <w:rFonts w:eastAsia="Times New Roman"/>
          <w:color w:val="000000"/>
          <w:szCs w:val="24"/>
          <w:lang w:eastAsia="en-ZA"/>
        </w:rPr>
      </w:pPr>
      <w:r w:rsidRPr="005E30DC">
        <w:rPr>
          <w:rFonts w:eastAsia="Times New Roman"/>
          <w:color w:val="000000"/>
          <w:szCs w:val="24"/>
          <w:lang w:eastAsia="en-ZA"/>
        </w:rPr>
        <w:t>[11]</w:t>
      </w:r>
      <w:r w:rsidRPr="005E30DC">
        <w:rPr>
          <w:rFonts w:eastAsia="Times New Roman"/>
          <w:color w:val="000000"/>
          <w:szCs w:val="24"/>
          <w:lang w:eastAsia="en-ZA"/>
        </w:rPr>
        <w:tab/>
      </w:r>
      <w:r w:rsidR="00B34463" w:rsidRPr="005E30DC">
        <w:rPr>
          <w:rFonts w:eastAsia="Times New Roman"/>
          <w:color w:val="000000"/>
          <w:szCs w:val="24"/>
          <w:lang w:eastAsia="en-ZA"/>
        </w:rPr>
        <w:t>In the circumstances, the following order</w:t>
      </w:r>
      <w:r w:rsidR="00D71823">
        <w:rPr>
          <w:rFonts w:eastAsia="Times New Roman"/>
          <w:color w:val="000000"/>
          <w:szCs w:val="24"/>
          <w:lang w:eastAsia="en-ZA"/>
        </w:rPr>
        <w:t xml:space="preserve"> is made</w:t>
      </w:r>
      <w:r w:rsidR="00B34463" w:rsidRPr="005E30DC">
        <w:rPr>
          <w:rFonts w:eastAsia="Times New Roman"/>
          <w:color w:val="000000"/>
          <w:szCs w:val="24"/>
          <w:lang w:eastAsia="en-ZA"/>
        </w:rPr>
        <w:t>:</w:t>
      </w:r>
    </w:p>
    <w:p w:rsidR="00961DA7" w:rsidRPr="005E30DC" w:rsidRDefault="00961DA7" w:rsidP="00961DA7">
      <w:pPr>
        <w:pStyle w:val="ListParagraph"/>
        <w:tabs>
          <w:tab w:val="left" w:pos="0"/>
          <w:tab w:val="left" w:pos="567"/>
        </w:tabs>
        <w:spacing w:line="360" w:lineRule="auto"/>
        <w:ind w:left="0"/>
        <w:rPr>
          <w:rFonts w:eastAsia="Times New Roman"/>
          <w:color w:val="000000"/>
          <w:szCs w:val="22"/>
          <w:lang w:eastAsia="en-ZA"/>
        </w:rPr>
      </w:pPr>
      <w:r w:rsidRPr="005E30DC">
        <w:rPr>
          <w:rFonts w:eastAsia="Times New Roman"/>
          <w:color w:val="000000"/>
          <w:szCs w:val="22"/>
          <w:lang w:eastAsia="en-ZA"/>
        </w:rPr>
        <w:tab/>
        <w:t xml:space="preserve">1. </w:t>
      </w:r>
      <w:r w:rsidRPr="005E30DC">
        <w:rPr>
          <w:rFonts w:eastAsia="Times New Roman"/>
          <w:color w:val="000000"/>
          <w:szCs w:val="22"/>
          <w:lang w:eastAsia="en-ZA"/>
        </w:rPr>
        <w:tab/>
        <w:t>The appeal is upheld.</w:t>
      </w:r>
    </w:p>
    <w:p w:rsidR="00961DA7" w:rsidRPr="00065636" w:rsidRDefault="00961DA7" w:rsidP="00961DA7">
      <w:pPr>
        <w:pStyle w:val="ListParagraph"/>
        <w:tabs>
          <w:tab w:val="left" w:pos="0"/>
          <w:tab w:val="left" w:pos="567"/>
        </w:tabs>
        <w:spacing w:line="360" w:lineRule="auto"/>
        <w:ind w:left="0"/>
        <w:rPr>
          <w:rFonts w:eastAsia="Times New Roman"/>
          <w:color w:val="000000"/>
          <w:szCs w:val="24"/>
          <w:lang w:eastAsia="en-ZA"/>
        </w:rPr>
      </w:pPr>
      <w:r w:rsidRPr="005E30DC">
        <w:rPr>
          <w:rFonts w:eastAsia="Times New Roman"/>
          <w:color w:val="000000"/>
          <w:szCs w:val="22"/>
          <w:lang w:eastAsia="en-ZA"/>
        </w:rPr>
        <w:tab/>
        <w:t>2.</w:t>
      </w:r>
      <w:r w:rsidRPr="005E30DC">
        <w:rPr>
          <w:rFonts w:eastAsia="Times New Roman"/>
          <w:color w:val="000000"/>
          <w:szCs w:val="22"/>
          <w:lang w:eastAsia="en-ZA"/>
        </w:rPr>
        <w:tab/>
      </w:r>
      <w:r w:rsidRPr="00065636">
        <w:rPr>
          <w:rFonts w:eastAsia="Times New Roman"/>
          <w:color w:val="000000"/>
          <w:szCs w:val="24"/>
          <w:lang w:eastAsia="en-ZA"/>
        </w:rPr>
        <w:t>The conviction and sentence dated 31 July 2020 is set aside.</w:t>
      </w:r>
    </w:p>
    <w:p w:rsidR="00EC2133" w:rsidRPr="00065636" w:rsidRDefault="00961DA7" w:rsidP="00065636">
      <w:pPr>
        <w:tabs>
          <w:tab w:val="left" w:pos="1418"/>
        </w:tabs>
        <w:spacing w:line="360" w:lineRule="auto"/>
        <w:ind w:left="1418" w:hanging="851"/>
        <w:rPr>
          <w:rFonts w:ascii="Arial" w:eastAsia="Times New Roman" w:hAnsi="Arial" w:cs="Arial"/>
          <w:color w:val="000000"/>
          <w:sz w:val="24"/>
          <w:szCs w:val="24"/>
          <w:lang w:eastAsia="en-ZA"/>
        </w:rPr>
      </w:pPr>
      <w:r w:rsidRPr="00065636">
        <w:rPr>
          <w:rFonts w:ascii="Arial" w:eastAsia="Times New Roman" w:hAnsi="Arial" w:cs="Arial"/>
          <w:color w:val="000000"/>
          <w:sz w:val="24"/>
          <w:szCs w:val="24"/>
          <w:lang w:eastAsia="en-ZA"/>
        </w:rPr>
        <w:t>3.</w:t>
      </w:r>
      <w:r w:rsidRPr="00065636">
        <w:rPr>
          <w:rFonts w:ascii="Arial" w:eastAsia="Times New Roman" w:hAnsi="Arial" w:cs="Arial"/>
          <w:color w:val="000000"/>
          <w:sz w:val="24"/>
          <w:szCs w:val="24"/>
          <w:lang w:eastAsia="en-ZA"/>
        </w:rPr>
        <w:tab/>
        <w:t xml:space="preserve">The case is remitted to the court a quo </w:t>
      </w:r>
      <w:r w:rsidR="00EC2133" w:rsidRPr="00065636">
        <w:rPr>
          <w:rFonts w:ascii="Arial" w:hAnsi="Arial" w:cs="Arial"/>
          <w:sz w:val="24"/>
          <w:szCs w:val="24"/>
        </w:rPr>
        <w:t>for it to deal with the matter in terms of s112(2), and, if necessary, s113, of the Criminal Procedure Act 51 of 1977.</w:t>
      </w:r>
      <w:r w:rsidR="00EC2133" w:rsidRPr="00065636">
        <w:rPr>
          <w:rFonts w:ascii="Arial" w:eastAsia="Times New Roman" w:hAnsi="Arial" w:cs="Arial"/>
          <w:color w:val="000000"/>
          <w:sz w:val="24"/>
          <w:szCs w:val="24"/>
          <w:lang w:eastAsia="en-ZA"/>
        </w:rPr>
        <w:t xml:space="preserve"> </w:t>
      </w:r>
    </w:p>
    <w:p w:rsidR="00961DA7" w:rsidRPr="005E30DC" w:rsidRDefault="00961DA7" w:rsidP="00E36A82">
      <w:pPr>
        <w:pStyle w:val="ListParagraph"/>
        <w:tabs>
          <w:tab w:val="left" w:pos="0"/>
          <w:tab w:val="left" w:pos="567"/>
        </w:tabs>
        <w:spacing w:line="360" w:lineRule="auto"/>
        <w:ind w:left="1440" w:hanging="1440"/>
        <w:rPr>
          <w:rFonts w:eastAsia="Times New Roman"/>
          <w:color w:val="000000"/>
          <w:szCs w:val="22"/>
          <w:lang w:eastAsia="en-ZA"/>
        </w:rPr>
      </w:pPr>
    </w:p>
    <w:p w:rsidR="00523163" w:rsidRPr="00DA4903" w:rsidRDefault="00523163" w:rsidP="00A81FF9">
      <w:pPr>
        <w:spacing w:after="0" w:line="360" w:lineRule="auto"/>
        <w:ind w:left="7201" w:hanging="720"/>
        <w:jc w:val="both"/>
      </w:pPr>
    </w:p>
    <w:p w:rsidR="00523163" w:rsidRPr="005E30DC" w:rsidRDefault="00523163" w:rsidP="00523163">
      <w:pPr>
        <w:spacing w:line="360" w:lineRule="auto"/>
        <w:ind w:left="720" w:hanging="720"/>
        <w:jc w:val="right"/>
        <w:rPr>
          <w:rFonts w:ascii="Arial" w:hAnsi="Arial" w:cs="Arial"/>
          <w:b/>
        </w:rPr>
      </w:pPr>
      <w:r w:rsidRPr="005E30DC">
        <w:rPr>
          <w:rFonts w:ascii="Arial" w:hAnsi="Arial" w:cs="Arial"/>
          <w:b/>
        </w:rPr>
        <w:t>_________________</w:t>
      </w:r>
    </w:p>
    <w:p w:rsidR="009E5B17" w:rsidRDefault="009E5B17" w:rsidP="00DA4903">
      <w:pPr>
        <w:spacing w:line="360" w:lineRule="auto"/>
        <w:ind w:left="720" w:hanging="720"/>
        <w:jc w:val="right"/>
        <w:rPr>
          <w:rFonts w:ascii="Arial" w:hAnsi="Arial" w:cs="Arial"/>
          <w:b/>
        </w:rPr>
      </w:pPr>
      <w:r w:rsidRPr="005E30DC">
        <w:rPr>
          <w:rFonts w:ascii="Arial" w:hAnsi="Arial" w:cs="Arial"/>
          <w:b/>
        </w:rPr>
        <w:t>C</w:t>
      </w:r>
      <w:r w:rsidR="005E30DC">
        <w:rPr>
          <w:rFonts w:ascii="Arial" w:hAnsi="Arial" w:cs="Arial"/>
          <w:b/>
        </w:rPr>
        <w:t>hetty</w:t>
      </w:r>
      <w:r w:rsidRPr="005E30DC">
        <w:rPr>
          <w:rFonts w:ascii="Arial" w:hAnsi="Arial" w:cs="Arial"/>
          <w:b/>
        </w:rPr>
        <w:t xml:space="preserve"> J</w:t>
      </w:r>
    </w:p>
    <w:p w:rsidR="00DA4903" w:rsidRDefault="00DA4903" w:rsidP="00DA4903">
      <w:pPr>
        <w:spacing w:line="360" w:lineRule="auto"/>
        <w:ind w:left="720" w:hanging="720"/>
        <w:jc w:val="right"/>
        <w:rPr>
          <w:rFonts w:ascii="Arial" w:hAnsi="Arial" w:cs="Arial"/>
        </w:rPr>
      </w:pPr>
    </w:p>
    <w:p w:rsidR="00BC0A54" w:rsidRDefault="00BC0A54" w:rsidP="00DA4903">
      <w:pPr>
        <w:spacing w:line="360" w:lineRule="auto"/>
        <w:ind w:left="720" w:hanging="720"/>
        <w:jc w:val="right"/>
        <w:rPr>
          <w:rFonts w:ascii="Arial" w:hAnsi="Arial" w:cs="Arial"/>
        </w:rPr>
      </w:pPr>
    </w:p>
    <w:p w:rsidR="00DA4903" w:rsidRDefault="00DA4903" w:rsidP="00DA4903">
      <w:pPr>
        <w:spacing w:line="360" w:lineRule="auto"/>
        <w:ind w:left="720" w:hanging="720"/>
        <w:jc w:val="right"/>
        <w:rPr>
          <w:rFonts w:ascii="Arial" w:hAnsi="Arial" w:cs="Arial"/>
        </w:rPr>
      </w:pPr>
      <w:r>
        <w:rPr>
          <w:rFonts w:ascii="Arial" w:hAnsi="Arial" w:cs="Arial"/>
        </w:rPr>
        <w:t>I agree</w:t>
      </w:r>
    </w:p>
    <w:p w:rsidR="00DA4903" w:rsidRDefault="00DA4903" w:rsidP="00DA4903">
      <w:pPr>
        <w:spacing w:line="360" w:lineRule="auto"/>
        <w:ind w:left="720" w:hanging="720"/>
        <w:jc w:val="right"/>
        <w:rPr>
          <w:rFonts w:ascii="Arial" w:hAnsi="Arial" w:cs="Arial"/>
        </w:rPr>
      </w:pPr>
    </w:p>
    <w:p w:rsidR="00DA4903" w:rsidRDefault="00DA4903" w:rsidP="00DA4903">
      <w:pPr>
        <w:spacing w:line="360" w:lineRule="auto"/>
        <w:ind w:left="720" w:hanging="720"/>
        <w:jc w:val="right"/>
        <w:rPr>
          <w:rFonts w:ascii="Arial" w:hAnsi="Arial" w:cs="Arial"/>
        </w:rPr>
      </w:pPr>
      <w:r>
        <w:rPr>
          <w:rFonts w:ascii="Arial" w:hAnsi="Arial" w:cs="Arial"/>
        </w:rPr>
        <w:t>_________________</w:t>
      </w:r>
    </w:p>
    <w:p w:rsidR="00DA4903" w:rsidRPr="00BC0A54" w:rsidRDefault="00DA4903" w:rsidP="00DA4903">
      <w:pPr>
        <w:spacing w:line="360" w:lineRule="auto"/>
        <w:ind w:left="720" w:hanging="720"/>
        <w:jc w:val="right"/>
        <w:rPr>
          <w:rFonts w:ascii="Arial" w:hAnsi="Arial" w:cs="Arial"/>
          <w:sz w:val="24"/>
          <w:szCs w:val="24"/>
        </w:rPr>
      </w:pPr>
      <w:r w:rsidRPr="00BC0A54">
        <w:rPr>
          <w:rFonts w:ascii="Arial" w:hAnsi="Arial" w:cs="Arial"/>
          <w:b/>
          <w:bCs/>
          <w:color w:val="242121"/>
          <w:sz w:val="24"/>
          <w:szCs w:val="24"/>
          <w:shd w:val="clear" w:color="auto" w:fill="FFFFFF"/>
        </w:rPr>
        <w:t>Ploos van Amstel J</w:t>
      </w:r>
    </w:p>
    <w:p w:rsidR="009E5B17" w:rsidRDefault="009E5B17" w:rsidP="00523163">
      <w:pPr>
        <w:jc w:val="both"/>
        <w:rPr>
          <w:rFonts w:ascii="Arial" w:hAnsi="Arial" w:cs="Arial"/>
          <w:sz w:val="24"/>
          <w:szCs w:val="24"/>
          <w:u w:val="single"/>
        </w:rPr>
      </w:pPr>
    </w:p>
    <w:p w:rsidR="00D71823" w:rsidRDefault="00D71823" w:rsidP="00523163">
      <w:pPr>
        <w:jc w:val="both"/>
        <w:rPr>
          <w:rFonts w:ascii="Arial" w:hAnsi="Arial" w:cs="Arial"/>
          <w:sz w:val="24"/>
          <w:szCs w:val="24"/>
          <w:u w:val="single"/>
        </w:rPr>
      </w:pPr>
    </w:p>
    <w:p w:rsidR="00BC0A54" w:rsidRDefault="00BC0A54" w:rsidP="00523163">
      <w:pPr>
        <w:jc w:val="both"/>
        <w:rPr>
          <w:rFonts w:ascii="Arial" w:hAnsi="Arial" w:cs="Arial"/>
          <w:b/>
          <w:sz w:val="24"/>
          <w:szCs w:val="24"/>
          <w:u w:val="single"/>
        </w:rPr>
      </w:pPr>
    </w:p>
    <w:p w:rsidR="00BC0A54" w:rsidRDefault="00BC0A54" w:rsidP="00523163">
      <w:pPr>
        <w:jc w:val="both"/>
        <w:rPr>
          <w:rFonts w:ascii="Arial" w:hAnsi="Arial" w:cs="Arial"/>
          <w:b/>
          <w:sz w:val="24"/>
          <w:szCs w:val="24"/>
          <w:u w:val="single"/>
        </w:rPr>
      </w:pPr>
    </w:p>
    <w:p w:rsidR="00BC0A54" w:rsidRDefault="00BC0A54" w:rsidP="00523163">
      <w:pPr>
        <w:jc w:val="both"/>
        <w:rPr>
          <w:rFonts w:ascii="Arial" w:hAnsi="Arial" w:cs="Arial"/>
          <w:b/>
          <w:sz w:val="24"/>
          <w:szCs w:val="24"/>
          <w:u w:val="single"/>
        </w:rPr>
      </w:pPr>
    </w:p>
    <w:p w:rsidR="00BC0A54" w:rsidRDefault="00BC0A54" w:rsidP="00523163">
      <w:pPr>
        <w:jc w:val="both"/>
        <w:rPr>
          <w:rFonts w:ascii="Arial" w:hAnsi="Arial" w:cs="Arial"/>
          <w:b/>
          <w:sz w:val="24"/>
          <w:szCs w:val="24"/>
          <w:u w:val="single"/>
        </w:rPr>
      </w:pPr>
    </w:p>
    <w:p w:rsidR="00523163" w:rsidRPr="00C000A9" w:rsidRDefault="002D3379" w:rsidP="00523163">
      <w:pPr>
        <w:jc w:val="both"/>
        <w:rPr>
          <w:rFonts w:ascii="Arial" w:hAnsi="Arial" w:cs="Arial"/>
          <w:b/>
          <w:sz w:val="24"/>
          <w:szCs w:val="24"/>
          <w:u w:val="single"/>
        </w:rPr>
      </w:pPr>
      <w:r w:rsidRPr="00C000A9">
        <w:rPr>
          <w:rFonts w:ascii="Arial" w:hAnsi="Arial" w:cs="Arial"/>
          <w:b/>
          <w:sz w:val="24"/>
          <w:szCs w:val="24"/>
          <w:u w:val="single"/>
        </w:rPr>
        <w:t>Appearances:</w:t>
      </w:r>
      <w:r w:rsidR="00523163" w:rsidRPr="00C000A9">
        <w:rPr>
          <w:rFonts w:ascii="Arial" w:hAnsi="Arial" w:cs="Arial"/>
          <w:b/>
          <w:sz w:val="24"/>
          <w:szCs w:val="24"/>
          <w:u w:val="single"/>
        </w:rPr>
        <w:t xml:space="preserve"> </w:t>
      </w:r>
    </w:p>
    <w:p w:rsidR="00523163" w:rsidRPr="001A0219" w:rsidRDefault="002D3379" w:rsidP="00523163">
      <w:pPr>
        <w:jc w:val="both"/>
        <w:rPr>
          <w:rFonts w:ascii="Arial" w:hAnsi="Arial" w:cs="Arial"/>
          <w:sz w:val="24"/>
          <w:szCs w:val="24"/>
        </w:rPr>
      </w:pPr>
      <w:r>
        <w:rPr>
          <w:rFonts w:ascii="Arial" w:hAnsi="Arial" w:cs="Arial"/>
          <w:sz w:val="24"/>
          <w:szCs w:val="24"/>
        </w:rPr>
        <w:t>For appellant:</w:t>
      </w:r>
      <w:r>
        <w:rPr>
          <w:rFonts w:ascii="Arial" w:hAnsi="Arial" w:cs="Arial"/>
          <w:sz w:val="24"/>
          <w:szCs w:val="24"/>
        </w:rPr>
        <w:tab/>
      </w:r>
      <w:r w:rsidR="00A50260">
        <w:rPr>
          <w:rFonts w:ascii="Arial" w:hAnsi="Arial" w:cs="Arial"/>
          <w:sz w:val="24"/>
          <w:szCs w:val="24"/>
        </w:rPr>
        <w:tab/>
      </w:r>
      <w:r>
        <w:rPr>
          <w:rFonts w:ascii="Arial" w:hAnsi="Arial" w:cs="Arial"/>
          <w:sz w:val="24"/>
          <w:szCs w:val="24"/>
        </w:rPr>
        <w:t>Mr P Marimuthu</w:t>
      </w:r>
    </w:p>
    <w:p w:rsidR="00523163" w:rsidRPr="001A0219" w:rsidRDefault="00523163" w:rsidP="00523163">
      <w:pPr>
        <w:jc w:val="both"/>
        <w:rPr>
          <w:rFonts w:ascii="Arial" w:hAnsi="Arial" w:cs="Arial"/>
          <w:bCs/>
          <w:sz w:val="24"/>
          <w:szCs w:val="24"/>
        </w:rPr>
      </w:pPr>
      <w:r w:rsidRPr="001A0219">
        <w:rPr>
          <w:rFonts w:ascii="Arial" w:hAnsi="Arial" w:cs="Arial"/>
          <w:bCs/>
          <w:sz w:val="24"/>
          <w:szCs w:val="24"/>
        </w:rPr>
        <w:t xml:space="preserve">Instructed by: </w:t>
      </w:r>
      <w:r w:rsidRPr="001A0219">
        <w:rPr>
          <w:rFonts w:ascii="Arial" w:hAnsi="Arial" w:cs="Arial"/>
          <w:bCs/>
          <w:sz w:val="24"/>
          <w:szCs w:val="24"/>
        </w:rPr>
        <w:tab/>
      </w:r>
      <w:r w:rsidR="00A50260">
        <w:rPr>
          <w:rFonts w:ascii="Arial" w:hAnsi="Arial" w:cs="Arial"/>
          <w:bCs/>
          <w:sz w:val="24"/>
          <w:szCs w:val="24"/>
        </w:rPr>
        <w:tab/>
      </w:r>
      <w:r w:rsidRPr="001A0219">
        <w:rPr>
          <w:rFonts w:ascii="Arial" w:hAnsi="Arial" w:cs="Arial"/>
          <w:bCs/>
          <w:sz w:val="24"/>
          <w:szCs w:val="24"/>
        </w:rPr>
        <w:t xml:space="preserve">Legal Aid South Africa Durban </w:t>
      </w:r>
    </w:p>
    <w:p w:rsidR="00523163" w:rsidRPr="001A0219" w:rsidRDefault="00523163" w:rsidP="00A81FF9">
      <w:pPr>
        <w:spacing w:after="120"/>
        <w:jc w:val="both"/>
        <w:rPr>
          <w:rFonts w:ascii="Arial" w:hAnsi="Arial" w:cs="Arial"/>
          <w:bCs/>
          <w:sz w:val="24"/>
          <w:szCs w:val="24"/>
        </w:rPr>
      </w:pPr>
      <w:r w:rsidRPr="001A0219">
        <w:rPr>
          <w:rFonts w:ascii="Arial" w:hAnsi="Arial" w:cs="Arial"/>
          <w:bCs/>
          <w:sz w:val="24"/>
          <w:szCs w:val="24"/>
        </w:rPr>
        <w:tab/>
      </w:r>
      <w:r w:rsidRPr="001A0219">
        <w:rPr>
          <w:rFonts w:ascii="Arial" w:hAnsi="Arial" w:cs="Arial"/>
          <w:bCs/>
          <w:sz w:val="24"/>
          <w:szCs w:val="24"/>
        </w:rPr>
        <w:tab/>
      </w:r>
    </w:p>
    <w:p w:rsidR="00523163" w:rsidRPr="001A0219" w:rsidRDefault="00523163" w:rsidP="00523163">
      <w:pPr>
        <w:jc w:val="both"/>
        <w:rPr>
          <w:rFonts w:ascii="Arial" w:hAnsi="Arial" w:cs="Arial"/>
          <w:sz w:val="24"/>
          <w:szCs w:val="24"/>
        </w:rPr>
      </w:pPr>
      <w:r w:rsidRPr="001A0219">
        <w:rPr>
          <w:rFonts w:ascii="Arial" w:hAnsi="Arial" w:cs="Arial"/>
          <w:sz w:val="24"/>
          <w:szCs w:val="24"/>
        </w:rPr>
        <w:lastRenderedPageBreak/>
        <w:t>For respondent</w:t>
      </w:r>
      <w:r w:rsidR="00A50260">
        <w:rPr>
          <w:rFonts w:ascii="Arial" w:hAnsi="Arial" w:cs="Arial"/>
          <w:sz w:val="24"/>
          <w:szCs w:val="24"/>
        </w:rPr>
        <w:t>:</w:t>
      </w:r>
      <w:r w:rsidRPr="001A0219">
        <w:rPr>
          <w:rFonts w:ascii="Arial" w:hAnsi="Arial" w:cs="Arial"/>
          <w:sz w:val="24"/>
          <w:szCs w:val="24"/>
        </w:rPr>
        <w:tab/>
      </w:r>
      <w:r w:rsidR="00A50260">
        <w:rPr>
          <w:rFonts w:ascii="Arial" w:hAnsi="Arial" w:cs="Arial"/>
          <w:sz w:val="24"/>
          <w:szCs w:val="24"/>
        </w:rPr>
        <w:tab/>
      </w:r>
      <w:r w:rsidR="002D3379">
        <w:rPr>
          <w:rFonts w:ascii="Arial" w:hAnsi="Arial" w:cs="Arial"/>
          <w:sz w:val="24"/>
          <w:szCs w:val="24"/>
        </w:rPr>
        <w:t xml:space="preserve">Mr </w:t>
      </w:r>
      <w:r w:rsidR="00D71823">
        <w:rPr>
          <w:rFonts w:ascii="Arial" w:hAnsi="Arial" w:cs="Arial"/>
          <w:sz w:val="24"/>
          <w:szCs w:val="24"/>
        </w:rPr>
        <w:t xml:space="preserve">A </w:t>
      </w:r>
      <w:r w:rsidR="00961DA7">
        <w:rPr>
          <w:rFonts w:ascii="Arial" w:hAnsi="Arial" w:cs="Arial"/>
          <w:sz w:val="24"/>
          <w:szCs w:val="24"/>
        </w:rPr>
        <w:t xml:space="preserve">Meiring </w:t>
      </w:r>
    </w:p>
    <w:p w:rsidR="00523163" w:rsidRPr="001A0219" w:rsidRDefault="00523163" w:rsidP="00523163">
      <w:pPr>
        <w:jc w:val="both"/>
        <w:rPr>
          <w:rFonts w:ascii="Arial" w:hAnsi="Arial" w:cs="Arial"/>
          <w:bCs/>
          <w:sz w:val="24"/>
          <w:szCs w:val="24"/>
        </w:rPr>
      </w:pPr>
      <w:r w:rsidRPr="001A0219">
        <w:rPr>
          <w:rFonts w:ascii="Arial" w:hAnsi="Arial" w:cs="Arial"/>
          <w:bCs/>
          <w:sz w:val="24"/>
          <w:szCs w:val="24"/>
        </w:rPr>
        <w:t>Instructed by:</w:t>
      </w:r>
      <w:r w:rsidRPr="001A0219">
        <w:rPr>
          <w:rFonts w:ascii="Arial" w:hAnsi="Arial" w:cs="Arial"/>
          <w:bCs/>
          <w:sz w:val="24"/>
          <w:szCs w:val="24"/>
        </w:rPr>
        <w:tab/>
      </w:r>
      <w:r w:rsidR="00A50260">
        <w:rPr>
          <w:rFonts w:ascii="Arial" w:hAnsi="Arial" w:cs="Arial"/>
          <w:bCs/>
          <w:sz w:val="24"/>
          <w:szCs w:val="24"/>
        </w:rPr>
        <w:tab/>
      </w:r>
      <w:r w:rsidRPr="001A0219">
        <w:rPr>
          <w:rFonts w:ascii="Arial" w:hAnsi="Arial" w:cs="Arial"/>
          <w:bCs/>
          <w:sz w:val="24"/>
          <w:szCs w:val="24"/>
        </w:rPr>
        <w:t xml:space="preserve">Director of Public Prosecutions Durban </w:t>
      </w:r>
    </w:p>
    <w:p w:rsidR="00A81FF9" w:rsidRDefault="00A81FF9">
      <w:pPr>
        <w:rPr>
          <w:rFonts w:ascii="Arial" w:hAnsi="Arial" w:cs="Arial"/>
          <w:sz w:val="24"/>
          <w:szCs w:val="24"/>
        </w:rPr>
      </w:pPr>
    </w:p>
    <w:p w:rsidR="00D71823" w:rsidRDefault="00A81FF9">
      <w:pPr>
        <w:rPr>
          <w:rFonts w:ascii="Arial" w:hAnsi="Arial" w:cs="Arial"/>
          <w:sz w:val="24"/>
          <w:szCs w:val="24"/>
        </w:rPr>
      </w:pPr>
      <w:r w:rsidRPr="00A81FF9">
        <w:rPr>
          <w:rFonts w:ascii="Arial" w:hAnsi="Arial" w:cs="Arial"/>
          <w:sz w:val="24"/>
          <w:szCs w:val="24"/>
        </w:rPr>
        <w:t>Heard on</w:t>
      </w:r>
      <w:r w:rsidR="00A50260">
        <w:rPr>
          <w:rFonts w:ascii="Arial" w:hAnsi="Arial" w:cs="Arial"/>
          <w:sz w:val="24"/>
          <w:szCs w:val="24"/>
        </w:rPr>
        <w:t>:</w:t>
      </w:r>
      <w:r w:rsidRPr="00A81FF9">
        <w:rPr>
          <w:rFonts w:ascii="Arial" w:hAnsi="Arial" w:cs="Arial"/>
          <w:sz w:val="24"/>
          <w:szCs w:val="24"/>
        </w:rPr>
        <w:t xml:space="preserve"> </w:t>
      </w:r>
      <w:r w:rsidRPr="00A81FF9">
        <w:rPr>
          <w:rFonts w:ascii="Arial" w:hAnsi="Arial" w:cs="Arial"/>
          <w:sz w:val="24"/>
          <w:szCs w:val="24"/>
        </w:rPr>
        <w:tab/>
      </w:r>
      <w:r w:rsidRPr="00A81FF9">
        <w:rPr>
          <w:rFonts w:ascii="Arial" w:hAnsi="Arial" w:cs="Arial"/>
          <w:sz w:val="24"/>
          <w:szCs w:val="24"/>
        </w:rPr>
        <w:tab/>
      </w:r>
      <w:r w:rsidR="00477D82">
        <w:rPr>
          <w:rFonts w:ascii="Arial" w:hAnsi="Arial" w:cs="Arial"/>
          <w:sz w:val="24"/>
          <w:szCs w:val="24"/>
        </w:rPr>
        <w:tab/>
      </w:r>
      <w:r w:rsidR="00D71823">
        <w:rPr>
          <w:rFonts w:ascii="Arial" w:hAnsi="Arial" w:cs="Arial"/>
          <w:sz w:val="24"/>
          <w:szCs w:val="24"/>
        </w:rPr>
        <w:t>16 January 2023</w:t>
      </w:r>
    </w:p>
    <w:p w:rsidR="00A81FF9" w:rsidRPr="00A81FF9" w:rsidRDefault="00A81FF9">
      <w:pPr>
        <w:rPr>
          <w:rFonts w:ascii="Arial" w:hAnsi="Arial" w:cs="Arial"/>
          <w:sz w:val="24"/>
          <w:szCs w:val="24"/>
        </w:rPr>
      </w:pPr>
      <w:r w:rsidRPr="00A81FF9">
        <w:rPr>
          <w:rFonts w:ascii="Arial" w:hAnsi="Arial" w:cs="Arial"/>
          <w:sz w:val="24"/>
          <w:szCs w:val="24"/>
        </w:rPr>
        <w:t>Judgement delivered</w:t>
      </w:r>
      <w:r w:rsidR="00A50260">
        <w:rPr>
          <w:rFonts w:ascii="Arial" w:hAnsi="Arial" w:cs="Arial"/>
          <w:sz w:val="24"/>
          <w:szCs w:val="24"/>
        </w:rPr>
        <w:t>:</w:t>
      </w:r>
      <w:r w:rsidRPr="00A81FF9">
        <w:rPr>
          <w:rFonts w:ascii="Arial" w:hAnsi="Arial" w:cs="Arial"/>
          <w:sz w:val="24"/>
          <w:szCs w:val="24"/>
        </w:rPr>
        <w:t xml:space="preserve"> </w:t>
      </w:r>
      <w:r w:rsidR="00477D82">
        <w:rPr>
          <w:rFonts w:ascii="Arial" w:hAnsi="Arial" w:cs="Arial"/>
          <w:sz w:val="24"/>
          <w:szCs w:val="24"/>
        </w:rPr>
        <w:tab/>
      </w:r>
      <w:r w:rsidR="00065636">
        <w:rPr>
          <w:rFonts w:ascii="Arial" w:hAnsi="Arial" w:cs="Arial"/>
          <w:sz w:val="24"/>
          <w:szCs w:val="24"/>
        </w:rPr>
        <w:t xml:space="preserve">3 February </w:t>
      </w:r>
      <w:r w:rsidR="00D71823">
        <w:rPr>
          <w:rFonts w:ascii="Arial" w:hAnsi="Arial" w:cs="Arial"/>
          <w:sz w:val="24"/>
          <w:szCs w:val="24"/>
        </w:rPr>
        <w:t>2023</w:t>
      </w:r>
    </w:p>
    <w:sectPr w:rsidR="00A81FF9" w:rsidRPr="00A81FF9" w:rsidSect="004E3D95">
      <w:headerReference w:type="default" r:id="rId14"/>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8378BF" w16cid:durableId="277CB435"/>
  <w16cid:commentId w16cid:paraId="3B740DD7" w16cid:durableId="277CB4C4"/>
  <w16cid:commentId w16cid:paraId="252F69CC" w16cid:durableId="277CBECF"/>
  <w16cid:commentId w16cid:paraId="34C720AA" w16cid:durableId="277CBDE4"/>
  <w16cid:commentId w16cid:paraId="03EDAC25" w16cid:durableId="277CB02B"/>
  <w16cid:commentId w16cid:paraId="7060BED6" w16cid:durableId="277CB0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D9" w:rsidRDefault="00CC60D9" w:rsidP="00DA4F67">
      <w:pPr>
        <w:spacing w:after="0" w:line="240" w:lineRule="auto"/>
      </w:pPr>
      <w:r>
        <w:separator/>
      </w:r>
    </w:p>
  </w:endnote>
  <w:endnote w:type="continuationSeparator" w:id="0">
    <w:p w:rsidR="00CC60D9" w:rsidRDefault="00CC60D9" w:rsidP="00DA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D9" w:rsidRDefault="00CC60D9" w:rsidP="00DA4F67">
      <w:pPr>
        <w:spacing w:after="0" w:line="240" w:lineRule="auto"/>
      </w:pPr>
      <w:r>
        <w:separator/>
      </w:r>
    </w:p>
  </w:footnote>
  <w:footnote w:type="continuationSeparator" w:id="0">
    <w:p w:rsidR="00CC60D9" w:rsidRDefault="00CC60D9" w:rsidP="00DA4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72467990"/>
      <w:docPartObj>
        <w:docPartGallery w:val="Page Numbers (Top of Page)"/>
        <w:docPartUnique/>
      </w:docPartObj>
    </w:sdtPr>
    <w:sdtEndPr>
      <w:rPr>
        <w:noProof/>
      </w:rPr>
    </w:sdtEndPr>
    <w:sdtContent>
      <w:p w:rsidR="00143E19" w:rsidRPr="00812DA2" w:rsidRDefault="00143E19">
        <w:pPr>
          <w:pStyle w:val="Header"/>
          <w:jc w:val="right"/>
          <w:rPr>
            <w:rFonts w:ascii="Arial" w:hAnsi="Arial" w:cs="Arial"/>
          </w:rPr>
        </w:pPr>
        <w:r w:rsidRPr="00812DA2">
          <w:rPr>
            <w:rFonts w:ascii="Arial" w:hAnsi="Arial" w:cs="Arial"/>
          </w:rPr>
          <w:fldChar w:fldCharType="begin"/>
        </w:r>
        <w:r w:rsidRPr="00812DA2">
          <w:rPr>
            <w:rFonts w:ascii="Arial" w:hAnsi="Arial" w:cs="Arial"/>
          </w:rPr>
          <w:instrText xml:space="preserve"> PAGE   \* MERGEFORMAT </w:instrText>
        </w:r>
        <w:r w:rsidRPr="00812DA2">
          <w:rPr>
            <w:rFonts w:ascii="Arial" w:hAnsi="Arial" w:cs="Arial"/>
          </w:rPr>
          <w:fldChar w:fldCharType="separate"/>
        </w:r>
        <w:r w:rsidR="008C2A96">
          <w:rPr>
            <w:rFonts w:ascii="Arial" w:hAnsi="Arial" w:cs="Arial"/>
            <w:noProof/>
          </w:rPr>
          <w:t>2</w:t>
        </w:r>
        <w:r w:rsidRPr="00812DA2">
          <w:rPr>
            <w:rFonts w:ascii="Arial" w:hAnsi="Arial" w:cs="Arial"/>
            <w:noProof/>
          </w:rPr>
          <w:fldChar w:fldCharType="end"/>
        </w:r>
      </w:p>
    </w:sdtContent>
  </w:sdt>
  <w:p w:rsidR="00143E19" w:rsidRPr="00812DA2" w:rsidRDefault="00143E1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531EFB8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894570"/>
    <w:multiLevelType w:val="hybridMultilevel"/>
    <w:tmpl w:val="E5A8EE76"/>
    <w:lvl w:ilvl="0" w:tplc="84AC52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16B489A"/>
    <w:multiLevelType w:val="hybridMultilevel"/>
    <w:tmpl w:val="3A3C6980"/>
    <w:lvl w:ilvl="0" w:tplc="1C09000F">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6D536529"/>
    <w:multiLevelType w:val="hybridMultilevel"/>
    <w:tmpl w:val="EC620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7AE2A4E"/>
    <w:multiLevelType w:val="hybridMultilevel"/>
    <w:tmpl w:val="3A3C6980"/>
    <w:lvl w:ilvl="0" w:tplc="1C09000F">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79A6160D"/>
    <w:multiLevelType w:val="hybridMultilevel"/>
    <w:tmpl w:val="FEB4D34A"/>
    <w:lvl w:ilvl="0" w:tplc="53FC5BC4">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FAD792-9E47-458A-BBEE-7FA30599E60C}"/>
    <w:docVar w:name="dgnword-eventsink" w:val="169539240"/>
  </w:docVars>
  <w:rsids>
    <w:rsidRoot w:val="00FB7C1C"/>
    <w:rsid w:val="00001F4F"/>
    <w:rsid w:val="00020B2B"/>
    <w:rsid w:val="00031128"/>
    <w:rsid w:val="00032933"/>
    <w:rsid w:val="000637CE"/>
    <w:rsid w:val="00065636"/>
    <w:rsid w:val="0007048B"/>
    <w:rsid w:val="000804BC"/>
    <w:rsid w:val="0009312A"/>
    <w:rsid w:val="00093AF4"/>
    <w:rsid w:val="000A64CE"/>
    <w:rsid w:val="000A6FDF"/>
    <w:rsid w:val="000C2DBF"/>
    <w:rsid w:val="000C60E9"/>
    <w:rsid w:val="000C7A5A"/>
    <w:rsid w:val="000F5080"/>
    <w:rsid w:val="001024E8"/>
    <w:rsid w:val="00143E19"/>
    <w:rsid w:val="001729A8"/>
    <w:rsid w:val="00192B7D"/>
    <w:rsid w:val="001A3886"/>
    <w:rsid w:val="001A4703"/>
    <w:rsid w:val="001A51FB"/>
    <w:rsid w:val="001F0FE9"/>
    <w:rsid w:val="001F2186"/>
    <w:rsid w:val="001F586A"/>
    <w:rsid w:val="00212ED0"/>
    <w:rsid w:val="00215AD9"/>
    <w:rsid w:val="0022390F"/>
    <w:rsid w:val="00235D3B"/>
    <w:rsid w:val="00245695"/>
    <w:rsid w:val="00263F16"/>
    <w:rsid w:val="0029173B"/>
    <w:rsid w:val="002D3379"/>
    <w:rsid w:val="0031007F"/>
    <w:rsid w:val="00322297"/>
    <w:rsid w:val="00366501"/>
    <w:rsid w:val="00370EAE"/>
    <w:rsid w:val="00373202"/>
    <w:rsid w:val="003902DC"/>
    <w:rsid w:val="00391CBB"/>
    <w:rsid w:val="003A4324"/>
    <w:rsid w:val="003B766C"/>
    <w:rsid w:val="003D37E4"/>
    <w:rsid w:val="003F78FA"/>
    <w:rsid w:val="004070A0"/>
    <w:rsid w:val="00407501"/>
    <w:rsid w:val="00412D58"/>
    <w:rsid w:val="00425017"/>
    <w:rsid w:val="00426F8A"/>
    <w:rsid w:val="00477D82"/>
    <w:rsid w:val="004B0FF3"/>
    <w:rsid w:val="004C242D"/>
    <w:rsid w:val="004D622B"/>
    <w:rsid w:val="004E3D95"/>
    <w:rsid w:val="005049E1"/>
    <w:rsid w:val="00523163"/>
    <w:rsid w:val="00524286"/>
    <w:rsid w:val="00552838"/>
    <w:rsid w:val="00560AA9"/>
    <w:rsid w:val="00561E4B"/>
    <w:rsid w:val="0056276A"/>
    <w:rsid w:val="005A7827"/>
    <w:rsid w:val="005B602C"/>
    <w:rsid w:val="005E30DC"/>
    <w:rsid w:val="005F2E5B"/>
    <w:rsid w:val="005F7E67"/>
    <w:rsid w:val="00611882"/>
    <w:rsid w:val="00613A75"/>
    <w:rsid w:val="006610F7"/>
    <w:rsid w:val="0066444B"/>
    <w:rsid w:val="00680909"/>
    <w:rsid w:val="00681515"/>
    <w:rsid w:val="006A2067"/>
    <w:rsid w:val="006A5C76"/>
    <w:rsid w:val="00701E63"/>
    <w:rsid w:val="0070507F"/>
    <w:rsid w:val="00710D8D"/>
    <w:rsid w:val="00733F34"/>
    <w:rsid w:val="007940A2"/>
    <w:rsid w:val="007A383E"/>
    <w:rsid w:val="007D24D3"/>
    <w:rsid w:val="0080773E"/>
    <w:rsid w:val="00812DA2"/>
    <w:rsid w:val="008523DC"/>
    <w:rsid w:val="008537FD"/>
    <w:rsid w:val="00874F15"/>
    <w:rsid w:val="0088558E"/>
    <w:rsid w:val="008A747F"/>
    <w:rsid w:val="008C27F7"/>
    <w:rsid w:val="008C2A96"/>
    <w:rsid w:val="008D76C9"/>
    <w:rsid w:val="008F0A10"/>
    <w:rsid w:val="008F0D42"/>
    <w:rsid w:val="00900970"/>
    <w:rsid w:val="009235B9"/>
    <w:rsid w:val="00926F27"/>
    <w:rsid w:val="00961DA7"/>
    <w:rsid w:val="009E2A70"/>
    <w:rsid w:val="009E5B17"/>
    <w:rsid w:val="00A00E98"/>
    <w:rsid w:val="00A50260"/>
    <w:rsid w:val="00A51F86"/>
    <w:rsid w:val="00A81FF9"/>
    <w:rsid w:val="00AC1474"/>
    <w:rsid w:val="00B037FA"/>
    <w:rsid w:val="00B215D3"/>
    <w:rsid w:val="00B2679B"/>
    <w:rsid w:val="00B31754"/>
    <w:rsid w:val="00B34463"/>
    <w:rsid w:val="00B51625"/>
    <w:rsid w:val="00B92F83"/>
    <w:rsid w:val="00B97587"/>
    <w:rsid w:val="00BA62DC"/>
    <w:rsid w:val="00BB1427"/>
    <w:rsid w:val="00BC0A54"/>
    <w:rsid w:val="00C000A9"/>
    <w:rsid w:val="00C11897"/>
    <w:rsid w:val="00C11F2F"/>
    <w:rsid w:val="00C1715A"/>
    <w:rsid w:val="00C2510E"/>
    <w:rsid w:val="00C75519"/>
    <w:rsid w:val="00CA09B4"/>
    <w:rsid w:val="00CC4239"/>
    <w:rsid w:val="00CC60D9"/>
    <w:rsid w:val="00CD272A"/>
    <w:rsid w:val="00D073C1"/>
    <w:rsid w:val="00D21653"/>
    <w:rsid w:val="00D544DB"/>
    <w:rsid w:val="00D62C0E"/>
    <w:rsid w:val="00D66C9C"/>
    <w:rsid w:val="00D71647"/>
    <w:rsid w:val="00D71823"/>
    <w:rsid w:val="00DA1766"/>
    <w:rsid w:val="00DA4903"/>
    <w:rsid w:val="00DA4F67"/>
    <w:rsid w:val="00DD2E0C"/>
    <w:rsid w:val="00DF5D5A"/>
    <w:rsid w:val="00DF5FAB"/>
    <w:rsid w:val="00E01E57"/>
    <w:rsid w:val="00E36A82"/>
    <w:rsid w:val="00E66BA1"/>
    <w:rsid w:val="00E72290"/>
    <w:rsid w:val="00E76338"/>
    <w:rsid w:val="00E92DF3"/>
    <w:rsid w:val="00E93F93"/>
    <w:rsid w:val="00EB04BD"/>
    <w:rsid w:val="00EC2133"/>
    <w:rsid w:val="00ED1835"/>
    <w:rsid w:val="00ED7C1E"/>
    <w:rsid w:val="00F0214F"/>
    <w:rsid w:val="00F52CF0"/>
    <w:rsid w:val="00FB7C1C"/>
    <w:rsid w:val="00FD7E5C"/>
    <w:rsid w:val="00FE64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23BE0-63B4-49E3-9207-47FBC9E8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1C"/>
  </w:style>
  <w:style w:type="paragraph" w:styleId="Heading2">
    <w:name w:val="heading 2"/>
    <w:basedOn w:val="Normal"/>
    <w:link w:val="Heading2Char"/>
    <w:uiPriority w:val="9"/>
    <w:qFormat/>
    <w:rsid w:val="00477D8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C1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FB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C1C"/>
    <w:rPr>
      <w:rFonts w:ascii="Tahoma" w:hAnsi="Tahoma" w:cs="Tahoma"/>
      <w:sz w:val="16"/>
      <w:szCs w:val="16"/>
    </w:rPr>
  </w:style>
  <w:style w:type="paragraph" w:styleId="ListParagraph">
    <w:name w:val="List Paragraph"/>
    <w:basedOn w:val="Normal"/>
    <w:uiPriority w:val="34"/>
    <w:qFormat/>
    <w:rsid w:val="00523163"/>
    <w:pPr>
      <w:spacing w:after="0" w:line="240" w:lineRule="auto"/>
      <w:ind w:left="720"/>
      <w:contextualSpacing/>
    </w:pPr>
    <w:rPr>
      <w:rFonts w:ascii="Arial" w:hAnsi="Arial" w:cs="Arial"/>
      <w:sz w:val="24"/>
      <w:szCs w:val="28"/>
    </w:rPr>
  </w:style>
  <w:style w:type="paragraph" w:customStyle="1" w:styleId="Default">
    <w:name w:val="Default"/>
    <w:rsid w:val="0052316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DA4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F67"/>
    <w:rPr>
      <w:sz w:val="20"/>
      <w:szCs w:val="20"/>
    </w:rPr>
  </w:style>
  <w:style w:type="character" w:styleId="FootnoteReference">
    <w:name w:val="footnote reference"/>
    <w:basedOn w:val="DefaultParagraphFont"/>
    <w:uiPriority w:val="99"/>
    <w:semiHidden/>
    <w:unhideWhenUsed/>
    <w:rsid w:val="00DA4F67"/>
    <w:rPr>
      <w:vertAlign w:val="superscript"/>
    </w:rPr>
  </w:style>
  <w:style w:type="character" w:styleId="Hyperlink">
    <w:name w:val="Hyperlink"/>
    <w:basedOn w:val="DefaultParagraphFont"/>
    <w:uiPriority w:val="99"/>
    <w:semiHidden/>
    <w:unhideWhenUsed/>
    <w:rsid w:val="00DA4F67"/>
    <w:rPr>
      <w:color w:val="0000FF" w:themeColor="hyperlink"/>
      <w:u w:val="single"/>
    </w:rPr>
  </w:style>
  <w:style w:type="character" w:styleId="CommentReference">
    <w:name w:val="annotation reference"/>
    <w:basedOn w:val="DefaultParagraphFont"/>
    <w:uiPriority w:val="99"/>
    <w:semiHidden/>
    <w:unhideWhenUsed/>
    <w:rsid w:val="00FD7E5C"/>
    <w:rPr>
      <w:sz w:val="16"/>
      <w:szCs w:val="16"/>
    </w:rPr>
  </w:style>
  <w:style w:type="paragraph" w:styleId="CommentText">
    <w:name w:val="annotation text"/>
    <w:basedOn w:val="Normal"/>
    <w:link w:val="CommentTextChar"/>
    <w:uiPriority w:val="99"/>
    <w:semiHidden/>
    <w:unhideWhenUsed/>
    <w:rsid w:val="00FD7E5C"/>
    <w:pPr>
      <w:spacing w:line="240" w:lineRule="auto"/>
    </w:pPr>
    <w:rPr>
      <w:sz w:val="20"/>
      <w:szCs w:val="20"/>
    </w:rPr>
  </w:style>
  <w:style w:type="character" w:customStyle="1" w:styleId="CommentTextChar">
    <w:name w:val="Comment Text Char"/>
    <w:basedOn w:val="DefaultParagraphFont"/>
    <w:link w:val="CommentText"/>
    <w:uiPriority w:val="99"/>
    <w:semiHidden/>
    <w:rsid w:val="00FD7E5C"/>
    <w:rPr>
      <w:sz w:val="20"/>
      <w:szCs w:val="20"/>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b/>
      <w:bCs/>
      <w:sz w:val="20"/>
      <w:szCs w:val="20"/>
    </w:rPr>
  </w:style>
  <w:style w:type="paragraph" w:styleId="Header">
    <w:name w:val="header"/>
    <w:basedOn w:val="Normal"/>
    <w:link w:val="HeaderChar"/>
    <w:uiPriority w:val="99"/>
    <w:unhideWhenUsed/>
    <w:rsid w:val="00926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F27"/>
  </w:style>
  <w:style w:type="paragraph" w:styleId="Footer">
    <w:name w:val="footer"/>
    <w:basedOn w:val="Normal"/>
    <w:link w:val="FooterChar"/>
    <w:uiPriority w:val="99"/>
    <w:unhideWhenUsed/>
    <w:rsid w:val="00926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F27"/>
  </w:style>
  <w:style w:type="character" w:customStyle="1" w:styleId="Heading2Char">
    <w:name w:val="Heading 2 Char"/>
    <w:basedOn w:val="DefaultParagraphFont"/>
    <w:link w:val="Heading2"/>
    <w:uiPriority w:val="9"/>
    <w:rsid w:val="00477D82"/>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4173">
      <w:bodyDiv w:val="1"/>
      <w:marLeft w:val="0"/>
      <w:marRight w:val="0"/>
      <w:marTop w:val="0"/>
      <w:marBottom w:val="0"/>
      <w:divBdr>
        <w:top w:val="none" w:sz="0" w:space="0" w:color="auto"/>
        <w:left w:val="none" w:sz="0" w:space="0" w:color="auto"/>
        <w:bottom w:val="none" w:sz="0" w:space="0" w:color="auto"/>
        <w:right w:val="none" w:sz="0" w:space="0" w:color="auto"/>
      </w:divBdr>
    </w:div>
    <w:div w:id="691689012">
      <w:bodyDiv w:val="1"/>
      <w:marLeft w:val="0"/>
      <w:marRight w:val="0"/>
      <w:marTop w:val="0"/>
      <w:marBottom w:val="0"/>
      <w:divBdr>
        <w:top w:val="none" w:sz="0" w:space="0" w:color="auto"/>
        <w:left w:val="none" w:sz="0" w:space="0" w:color="auto"/>
        <w:bottom w:val="none" w:sz="0" w:space="0" w:color="auto"/>
        <w:right w:val="none" w:sz="0" w:space="0" w:color="auto"/>
      </w:divBdr>
    </w:div>
    <w:div w:id="1191652416">
      <w:bodyDiv w:val="1"/>
      <w:marLeft w:val="0"/>
      <w:marRight w:val="0"/>
      <w:marTop w:val="0"/>
      <w:marBottom w:val="0"/>
      <w:divBdr>
        <w:top w:val="none" w:sz="0" w:space="0" w:color="auto"/>
        <w:left w:val="none" w:sz="0" w:space="0" w:color="auto"/>
        <w:bottom w:val="none" w:sz="0" w:space="0" w:color="auto"/>
        <w:right w:val="none" w:sz="0" w:space="0" w:color="auto"/>
      </w:divBdr>
    </w:div>
    <w:div w:id="1271163397">
      <w:bodyDiv w:val="1"/>
      <w:marLeft w:val="0"/>
      <w:marRight w:val="0"/>
      <w:marTop w:val="0"/>
      <w:marBottom w:val="0"/>
      <w:divBdr>
        <w:top w:val="none" w:sz="0" w:space="0" w:color="auto"/>
        <w:left w:val="none" w:sz="0" w:space="0" w:color="auto"/>
        <w:bottom w:val="none" w:sz="0" w:space="0" w:color="auto"/>
        <w:right w:val="none" w:sz="0" w:space="0" w:color="auto"/>
      </w:divBdr>
    </w:div>
    <w:div w:id="20672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1978%20%281%29%20SA%201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1981%20%283%29%20SA%20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1986%20%282%29%20SA%20261" TargetMode="Externa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saflii.org/za/legis/consol_act/cpa1977188/index.html" TargetMode="External"/><Relationship Id="rId4" Type="http://schemas.openxmlformats.org/officeDocument/2006/relationships/settings" Target="settings.xml"/><Relationship Id="rId9" Type="http://schemas.openxmlformats.org/officeDocument/2006/relationships/hyperlink" Target="http://www.saflii.org/za/legis/consol_act/cpa1977188/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0159B-90BF-4BFF-A6F8-E98AE352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 Chetty</dc:creator>
  <cp:lastModifiedBy>Mary Bruce</cp:lastModifiedBy>
  <cp:revision>3</cp:revision>
  <cp:lastPrinted>2023-02-03T07:00:00Z</cp:lastPrinted>
  <dcterms:created xsi:type="dcterms:W3CDTF">2023-02-03T07:21:00Z</dcterms:created>
  <dcterms:modified xsi:type="dcterms:W3CDTF">2023-02-06T11:22:00Z</dcterms:modified>
</cp:coreProperties>
</file>