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5F1" w:rsidRPr="00F03A5E" w:rsidRDefault="006365F1" w:rsidP="00F03A5E">
      <w:pPr>
        <w:pBdr>
          <w:top w:val="single" w:sz="6" w:space="0" w:color="FFFFFF"/>
          <w:left w:val="single" w:sz="6" w:space="0" w:color="FFFFFF"/>
          <w:bottom w:val="single" w:sz="6" w:space="0" w:color="FFFFFF"/>
          <w:right w:val="single" w:sz="6" w:space="0" w:color="FFFFFF"/>
        </w:pBdr>
        <w:jc w:val="center"/>
        <w:rPr>
          <w:b/>
        </w:rPr>
      </w:pPr>
      <w:r w:rsidRPr="00720F24">
        <w:rPr>
          <w:noProof/>
        </w:rPr>
        <w:drawing>
          <wp:inline distT="0" distB="0" distL="0" distR="0" wp14:anchorId="202629F0" wp14:editId="7323B221">
            <wp:extent cx="71437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6365F1" w:rsidRDefault="006365F1" w:rsidP="00CB487F">
      <w:pPr>
        <w:spacing w:line="240" w:lineRule="auto"/>
        <w:jc w:val="center"/>
        <w:rPr>
          <w:rFonts w:ascii="Arial" w:hAnsi="Arial" w:cs="Arial"/>
          <w:b/>
          <w:sz w:val="24"/>
          <w:szCs w:val="24"/>
          <w:lang w:val="en-GB"/>
        </w:rPr>
      </w:pPr>
    </w:p>
    <w:p w:rsidR="0010205E" w:rsidRPr="00ED29C2" w:rsidRDefault="007538C6" w:rsidP="00CB487F">
      <w:pPr>
        <w:spacing w:line="240" w:lineRule="auto"/>
        <w:jc w:val="center"/>
        <w:rPr>
          <w:rFonts w:ascii="Arial" w:hAnsi="Arial" w:cs="Arial"/>
          <w:b/>
          <w:sz w:val="24"/>
          <w:szCs w:val="24"/>
          <w:lang w:val="en-GB"/>
        </w:rPr>
      </w:pPr>
      <w:r w:rsidRPr="00ED29C2">
        <w:rPr>
          <w:rFonts w:ascii="Arial" w:hAnsi="Arial" w:cs="Arial"/>
          <w:b/>
          <w:sz w:val="24"/>
          <w:szCs w:val="24"/>
          <w:lang w:val="en-GB"/>
        </w:rPr>
        <w:t>IN THE HIGH COURT OF SOUTH AFRICA</w:t>
      </w:r>
    </w:p>
    <w:p w:rsidR="007538C6" w:rsidRPr="00ED29C2" w:rsidRDefault="007538C6" w:rsidP="00CB487F">
      <w:pPr>
        <w:spacing w:line="240" w:lineRule="auto"/>
        <w:jc w:val="center"/>
        <w:rPr>
          <w:rFonts w:ascii="Arial" w:hAnsi="Arial" w:cs="Arial"/>
          <w:b/>
          <w:sz w:val="24"/>
          <w:szCs w:val="24"/>
          <w:lang w:val="en-GB"/>
        </w:rPr>
      </w:pPr>
      <w:r w:rsidRPr="00ED29C2">
        <w:rPr>
          <w:rFonts w:ascii="Arial" w:hAnsi="Arial" w:cs="Arial"/>
          <w:b/>
          <w:sz w:val="24"/>
          <w:szCs w:val="24"/>
          <w:lang w:val="en-GB"/>
        </w:rPr>
        <w:t>KWAZULU-NATAL, PIETERMARITZBURG</w:t>
      </w:r>
    </w:p>
    <w:p w:rsidR="00CB487F" w:rsidRDefault="007538C6" w:rsidP="00ED29C2">
      <w:pPr>
        <w:spacing w:line="480" w:lineRule="auto"/>
        <w:jc w:val="both"/>
        <w:rPr>
          <w:rFonts w:ascii="Arial" w:hAnsi="Arial" w:cs="Arial"/>
          <w:b/>
          <w:sz w:val="24"/>
          <w:szCs w:val="24"/>
          <w:lang w:val="en-GB"/>
        </w:rPr>
      </w:pPr>
      <w:r w:rsidRPr="00ED29C2">
        <w:rPr>
          <w:rFonts w:ascii="Arial" w:hAnsi="Arial" w:cs="Arial"/>
          <w:b/>
          <w:sz w:val="24"/>
          <w:szCs w:val="24"/>
          <w:lang w:val="en-GB"/>
        </w:rPr>
        <w:tab/>
      </w:r>
      <w:r w:rsidRPr="00ED29C2">
        <w:rPr>
          <w:rFonts w:ascii="Arial" w:hAnsi="Arial" w:cs="Arial"/>
          <w:b/>
          <w:sz w:val="24"/>
          <w:szCs w:val="24"/>
          <w:lang w:val="en-GB"/>
        </w:rPr>
        <w:tab/>
      </w:r>
      <w:r w:rsidRPr="00ED29C2">
        <w:rPr>
          <w:rFonts w:ascii="Arial" w:hAnsi="Arial" w:cs="Arial"/>
          <w:b/>
          <w:sz w:val="24"/>
          <w:szCs w:val="24"/>
          <w:lang w:val="en-GB"/>
        </w:rPr>
        <w:tab/>
      </w:r>
      <w:r w:rsidRPr="00ED29C2">
        <w:rPr>
          <w:rFonts w:ascii="Arial" w:hAnsi="Arial" w:cs="Arial"/>
          <w:b/>
          <w:sz w:val="24"/>
          <w:szCs w:val="24"/>
          <w:lang w:val="en-GB"/>
        </w:rPr>
        <w:tab/>
      </w:r>
      <w:r w:rsidRPr="00ED29C2">
        <w:rPr>
          <w:rFonts w:ascii="Arial" w:hAnsi="Arial" w:cs="Arial"/>
          <w:b/>
          <w:sz w:val="24"/>
          <w:szCs w:val="24"/>
          <w:lang w:val="en-GB"/>
        </w:rPr>
        <w:tab/>
      </w:r>
      <w:r w:rsidRPr="00ED29C2">
        <w:rPr>
          <w:rFonts w:ascii="Arial" w:hAnsi="Arial" w:cs="Arial"/>
          <w:b/>
          <w:sz w:val="24"/>
          <w:szCs w:val="24"/>
          <w:lang w:val="en-GB"/>
        </w:rPr>
        <w:tab/>
      </w:r>
      <w:r w:rsidRPr="00ED29C2">
        <w:rPr>
          <w:rFonts w:ascii="Arial" w:hAnsi="Arial" w:cs="Arial"/>
          <w:b/>
          <w:sz w:val="24"/>
          <w:szCs w:val="24"/>
          <w:lang w:val="en-GB"/>
        </w:rPr>
        <w:tab/>
      </w:r>
    </w:p>
    <w:p w:rsidR="007538C6" w:rsidRDefault="00F03A5E" w:rsidP="00807426">
      <w:pPr>
        <w:spacing w:line="480" w:lineRule="auto"/>
        <w:jc w:val="right"/>
        <w:rPr>
          <w:rFonts w:ascii="Arial" w:hAnsi="Arial" w:cs="Arial"/>
          <w:b/>
          <w:sz w:val="24"/>
          <w:szCs w:val="24"/>
          <w:lang w:val="en-GB"/>
        </w:rPr>
      </w:pPr>
      <w:r>
        <w:rPr>
          <w:rFonts w:ascii="Arial" w:hAnsi="Arial" w:cs="Arial"/>
          <w:b/>
          <w:sz w:val="24"/>
          <w:szCs w:val="24"/>
          <w:lang w:val="en-GB"/>
        </w:rPr>
        <w:t xml:space="preserve">    </w:t>
      </w:r>
      <w:r w:rsidR="00807426">
        <w:rPr>
          <w:rFonts w:ascii="Arial" w:hAnsi="Arial" w:cs="Arial"/>
          <w:b/>
          <w:sz w:val="24"/>
          <w:szCs w:val="24"/>
          <w:lang w:val="en-GB"/>
        </w:rPr>
        <w:t xml:space="preserve">  </w:t>
      </w:r>
      <w:r>
        <w:rPr>
          <w:rFonts w:ascii="Arial" w:hAnsi="Arial" w:cs="Arial"/>
          <w:b/>
          <w:sz w:val="24"/>
          <w:szCs w:val="24"/>
          <w:lang w:val="en-GB"/>
        </w:rPr>
        <w:t xml:space="preserve"> </w:t>
      </w:r>
      <w:r w:rsidR="00807426">
        <w:rPr>
          <w:rFonts w:ascii="Arial" w:hAnsi="Arial" w:cs="Arial"/>
          <w:b/>
          <w:sz w:val="24"/>
          <w:szCs w:val="24"/>
          <w:lang w:val="en-GB"/>
        </w:rPr>
        <w:t xml:space="preserve">        </w:t>
      </w:r>
      <w:r w:rsidR="007538C6" w:rsidRPr="00ED29C2">
        <w:rPr>
          <w:rFonts w:ascii="Arial" w:hAnsi="Arial" w:cs="Arial"/>
          <w:b/>
          <w:sz w:val="24"/>
          <w:szCs w:val="24"/>
          <w:lang w:val="en-GB"/>
        </w:rPr>
        <w:t>CASE NUMBER:</w:t>
      </w:r>
      <w:r w:rsidR="00CB487F">
        <w:rPr>
          <w:rFonts w:ascii="Arial" w:hAnsi="Arial" w:cs="Arial"/>
          <w:b/>
          <w:sz w:val="24"/>
          <w:szCs w:val="24"/>
          <w:lang w:val="en-GB"/>
        </w:rPr>
        <w:t xml:space="preserve"> 13682/2</w:t>
      </w:r>
      <w:r>
        <w:rPr>
          <w:rFonts w:ascii="Arial" w:hAnsi="Arial" w:cs="Arial"/>
          <w:b/>
          <w:sz w:val="24"/>
          <w:szCs w:val="24"/>
          <w:lang w:val="en-GB"/>
        </w:rPr>
        <w:t>2</w:t>
      </w:r>
    </w:p>
    <w:p w:rsidR="007538C6" w:rsidRPr="00ED29C2" w:rsidRDefault="00CB487F" w:rsidP="00F03A5E">
      <w:pPr>
        <w:spacing w:line="480" w:lineRule="auto"/>
        <w:rPr>
          <w:rFonts w:ascii="Arial" w:hAnsi="Arial" w:cs="Arial"/>
          <w:b/>
          <w:sz w:val="24"/>
          <w:szCs w:val="24"/>
          <w:lang w:val="en-GB"/>
        </w:rPr>
      </w:pPr>
      <w:r>
        <w:rPr>
          <w:rFonts w:ascii="Arial" w:hAnsi="Arial" w:cs="Arial"/>
          <w:b/>
          <w:sz w:val="24"/>
          <w:szCs w:val="24"/>
          <w:lang w:val="en-GB"/>
        </w:rPr>
        <w:t>RML LIGHTING (PTY) LTD</w:t>
      </w:r>
      <w:r w:rsidR="00C05487" w:rsidRPr="00ED29C2">
        <w:rPr>
          <w:rFonts w:ascii="Arial" w:hAnsi="Arial" w:cs="Arial"/>
          <w:b/>
          <w:sz w:val="24"/>
          <w:szCs w:val="24"/>
          <w:lang w:val="en-GB"/>
        </w:rPr>
        <w:tab/>
      </w:r>
      <w:r w:rsidR="00C05487" w:rsidRPr="00ED29C2">
        <w:rPr>
          <w:rFonts w:ascii="Arial" w:hAnsi="Arial" w:cs="Arial"/>
          <w:b/>
          <w:sz w:val="24"/>
          <w:szCs w:val="24"/>
          <w:lang w:val="en-GB"/>
        </w:rPr>
        <w:tab/>
      </w:r>
      <w:r w:rsidR="00C05487" w:rsidRPr="00ED29C2">
        <w:rPr>
          <w:rFonts w:ascii="Arial" w:hAnsi="Arial" w:cs="Arial"/>
          <w:b/>
          <w:sz w:val="24"/>
          <w:szCs w:val="24"/>
          <w:lang w:val="en-GB"/>
        </w:rPr>
        <w:tab/>
      </w:r>
      <w:r w:rsidR="00C05487" w:rsidRPr="00ED29C2">
        <w:rPr>
          <w:rFonts w:ascii="Arial" w:hAnsi="Arial" w:cs="Arial"/>
          <w:b/>
          <w:sz w:val="24"/>
          <w:szCs w:val="24"/>
          <w:lang w:val="en-GB"/>
        </w:rPr>
        <w:tab/>
      </w:r>
      <w:r w:rsidR="007538C6" w:rsidRPr="00ED29C2">
        <w:rPr>
          <w:rFonts w:ascii="Arial" w:hAnsi="Arial" w:cs="Arial"/>
          <w:b/>
          <w:sz w:val="24"/>
          <w:szCs w:val="24"/>
          <w:lang w:val="en-GB"/>
        </w:rPr>
        <w:tab/>
      </w:r>
      <w:r w:rsidR="007538C6" w:rsidRPr="00ED29C2">
        <w:rPr>
          <w:rFonts w:ascii="Arial" w:hAnsi="Arial" w:cs="Arial"/>
          <w:b/>
          <w:sz w:val="24"/>
          <w:szCs w:val="24"/>
          <w:lang w:val="en-GB"/>
        </w:rPr>
        <w:tab/>
      </w:r>
      <w:r w:rsidR="00234C5D">
        <w:rPr>
          <w:rFonts w:ascii="Arial" w:hAnsi="Arial" w:cs="Arial"/>
          <w:b/>
          <w:sz w:val="24"/>
          <w:szCs w:val="24"/>
          <w:lang w:val="en-GB"/>
        </w:rPr>
        <w:t xml:space="preserve">        </w:t>
      </w:r>
      <w:r w:rsidR="00807426">
        <w:rPr>
          <w:rFonts w:ascii="Arial" w:hAnsi="Arial" w:cs="Arial"/>
          <w:b/>
          <w:sz w:val="24"/>
          <w:szCs w:val="24"/>
          <w:lang w:val="en-GB"/>
        </w:rPr>
        <w:t xml:space="preserve"> </w:t>
      </w:r>
      <w:r w:rsidR="00C05487" w:rsidRPr="00ED29C2">
        <w:rPr>
          <w:rFonts w:ascii="Arial" w:hAnsi="Arial" w:cs="Arial"/>
          <w:b/>
          <w:sz w:val="24"/>
          <w:szCs w:val="24"/>
          <w:lang w:val="en-GB"/>
        </w:rPr>
        <w:t xml:space="preserve">APPLICANT </w:t>
      </w:r>
    </w:p>
    <w:p w:rsidR="00234C5D" w:rsidRDefault="007D78BB" w:rsidP="00234C5D">
      <w:pPr>
        <w:pBdr>
          <w:bottom w:val="single" w:sz="12" w:space="1" w:color="auto"/>
        </w:pBdr>
        <w:spacing w:line="480" w:lineRule="auto"/>
        <w:jc w:val="both"/>
        <w:rPr>
          <w:rFonts w:ascii="Arial" w:hAnsi="Arial" w:cs="Arial"/>
          <w:b/>
          <w:sz w:val="24"/>
          <w:szCs w:val="24"/>
          <w:lang w:val="en-GB"/>
        </w:rPr>
      </w:pPr>
      <w:r>
        <w:rPr>
          <w:rFonts w:ascii="Arial" w:hAnsi="Arial" w:cs="Arial"/>
          <w:b/>
          <w:sz w:val="24"/>
          <w:szCs w:val="24"/>
          <w:lang w:val="en-GB"/>
        </w:rPr>
        <w:t>a</w:t>
      </w:r>
      <w:r w:rsidR="00CB487F">
        <w:rPr>
          <w:rFonts w:ascii="Arial" w:hAnsi="Arial" w:cs="Arial"/>
          <w:b/>
          <w:sz w:val="24"/>
          <w:szCs w:val="24"/>
          <w:lang w:val="en-GB"/>
        </w:rPr>
        <w:t>nd</w:t>
      </w:r>
    </w:p>
    <w:p w:rsidR="00F03A5E" w:rsidRPr="00E87BB3" w:rsidRDefault="00CB487F" w:rsidP="00E87BB3">
      <w:pPr>
        <w:pBdr>
          <w:bottom w:val="single" w:sz="12" w:space="1" w:color="auto"/>
        </w:pBdr>
        <w:spacing w:line="240" w:lineRule="auto"/>
        <w:jc w:val="both"/>
        <w:rPr>
          <w:rFonts w:ascii="Arial" w:hAnsi="Arial" w:cs="Arial"/>
          <w:b/>
          <w:sz w:val="24"/>
          <w:szCs w:val="24"/>
          <w:lang w:val="en-GB"/>
        </w:rPr>
      </w:pPr>
      <w:r>
        <w:rPr>
          <w:rFonts w:ascii="Arial" w:hAnsi="Arial" w:cs="Arial"/>
          <w:b/>
          <w:sz w:val="24"/>
          <w:szCs w:val="24"/>
          <w:lang w:val="en-GB"/>
        </w:rPr>
        <w:t xml:space="preserve">VANGIFLASH (PTY) LTD </w:t>
      </w:r>
      <w:r w:rsidR="00C05487" w:rsidRPr="00ED29C2">
        <w:rPr>
          <w:rFonts w:ascii="Arial" w:hAnsi="Arial" w:cs="Arial"/>
          <w:b/>
          <w:sz w:val="24"/>
          <w:szCs w:val="24"/>
          <w:lang w:val="en-GB"/>
        </w:rPr>
        <w:tab/>
      </w:r>
      <w:r w:rsidR="00C05487" w:rsidRPr="00ED29C2">
        <w:rPr>
          <w:rFonts w:ascii="Arial" w:hAnsi="Arial" w:cs="Arial"/>
          <w:b/>
          <w:sz w:val="24"/>
          <w:szCs w:val="24"/>
          <w:lang w:val="en-GB"/>
        </w:rPr>
        <w:tab/>
      </w:r>
      <w:r w:rsidR="00C05487" w:rsidRPr="00ED29C2">
        <w:rPr>
          <w:rFonts w:ascii="Arial" w:hAnsi="Arial" w:cs="Arial"/>
          <w:b/>
          <w:sz w:val="24"/>
          <w:szCs w:val="24"/>
          <w:lang w:val="en-GB"/>
        </w:rPr>
        <w:tab/>
      </w:r>
      <w:r w:rsidR="00C05487" w:rsidRPr="00ED29C2">
        <w:rPr>
          <w:rFonts w:ascii="Arial" w:hAnsi="Arial" w:cs="Arial"/>
          <w:b/>
          <w:sz w:val="24"/>
          <w:szCs w:val="24"/>
          <w:lang w:val="en-GB"/>
        </w:rPr>
        <w:tab/>
      </w:r>
      <w:r w:rsidR="007538C6" w:rsidRPr="00ED29C2">
        <w:rPr>
          <w:rFonts w:ascii="Arial" w:hAnsi="Arial" w:cs="Arial"/>
          <w:b/>
          <w:sz w:val="24"/>
          <w:szCs w:val="24"/>
          <w:lang w:val="en-GB"/>
        </w:rPr>
        <w:tab/>
      </w:r>
      <w:r w:rsidR="007538C6" w:rsidRPr="00ED29C2">
        <w:rPr>
          <w:rFonts w:ascii="Arial" w:hAnsi="Arial" w:cs="Arial"/>
          <w:b/>
          <w:sz w:val="24"/>
          <w:szCs w:val="24"/>
          <w:lang w:val="en-GB"/>
        </w:rPr>
        <w:tab/>
      </w:r>
      <w:r w:rsidR="007538C6" w:rsidRPr="00ED29C2">
        <w:rPr>
          <w:rFonts w:ascii="Arial" w:hAnsi="Arial" w:cs="Arial"/>
          <w:b/>
          <w:sz w:val="24"/>
          <w:szCs w:val="24"/>
          <w:lang w:val="en-GB"/>
        </w:rPr>
        <w:tab/>
      </w:r>
      <w:r w:rsidR="00234C5D">
        <w:rPr>
          <w:rFonts w:ascii="Arial" w:hAnsi="Arial" w:cs="Arial"/>
          <w:b/>
          <w:sz w:val="24"/>
          <w:szCs w:val="24"/>
          <w:lang w:val="en-GB"/>
        </w:rPr>
        <w:t xml:space="preserve">    </w:t>
      </w:r>
      <w:r w:rsidR="00807426">
        <w:rPr>
          <w:rFonts w:ascii="Arial" w:hAnsi="Arial" w:cs="Arial"/>
          <w:b/>
          <w:sz w:val="24"/>
          <w:szCs w:val="24"/>
          <w:lang w:val="en-GB"/>
        </w:rPr>
        <w:t xml:space="preserve"> </w:t>
      </w:r>
      <w:r w:rsidR="00C05487" w:rsidRPr="00ED29C2">
        <w:rPr>
          <w:rFonts w:ascii="Arial" w:hAnsi="Arial" w:cs="Arial"/>
          <w:b/>
          <w:sz w:val="24"/>
          <w:szCs w:val="24"/>
          <w:lang w:val="en-GB"/>
        </w:rPr>
        <w:t>RESPON</w:t>
      </w:r>
      <w:r>
        <w:rPr>
          <w:rFonts w:ascii="Arial" w:hAnsi="Arial" w:cs="Arial"/>
          <w:b/>
          <w:sz w:val="24"/>
          <w:szCs w:val="24"/>
          <w:lang w:val="en-GB"/>
        </w:rPr>
        <w:t>D</w:t>
      </w:r>
      <w:r w:rsidR="00C05487" w:rsidRPr="00ED29C2">
        <w:rPr>
          <w:rFonts w:ascii="Arial" w:hAnsi="Arial" w:cs="Arial"/>
          <w:b/>
          <w:sz w:val="24"/>
          <w:szCs w:val="24"/>
          <w:lang w:val="en-GB"/>
        </w:rPr>
        <w:t xml:space="preserve">ENT </w:t>
      </w:r>
    </w:p>
    <w:p w:rsidR="00E87BB3" w:rsidRPr="00E87BB3" w:rsidRDefault="00E87BB3" w:rsidP="00807426">
      <w:pPr>
        <w:pBdr>
          <w:bottom w:val="single" w:sz="12" w:space="1" w:color="auto"/>
        </w:pBdr>
        <w:spacing w:after="0" w:line="240" w:lineRule="auto"/>
        <w:jc w:val="both"/>
        <w:rPr>
          <w:rFonts w:ascii="Arial" w:hAnsi="Arial" w:cs="Arial"/>
          <w:b/>
          <w:sz w:val="24"/>
          <w:szCs w:val="24"/>
          <w:lang w:val="en-GB"/>
        </w:rPr>
      </w:pPr>
    </w:p>
    <w:p w:rsidR="007538C6" w:rsidRPr="00E87BB3" w:rsidRDefault="00807426" w:rsidP="00807426">
      <w:pPr>
        <w:spacing w:after="0" w:line="240" w:lineRule="auto"/>
        <w:jc w:val="center"/>
        <w:rPr>
          <w:rFonts w:ascii="Arial" w:hAnsi="Arial" w:cs="Arial"/>
          <w:b/>
          <w:sz w:val="24"/>
          <w:szCs w:val="24"/>
          <w:lang w:val="en-GB"/>
        </w:rPr>
      </w:pPr>
      <w:r>
        <w:rPr>
          <w:rFonts w:ascii="Arial" w:hAnsi="Arial" w:cs="Arial"/>
          <w:b/>
          <w:sz w:val="24"/>
          <w:szCs w:val="24"/>
          <w:lang w:val="en-GB"/>
        </w:rPr>
        <w:br/>
      </w:r>
      <w:r w:rsidR="007538C6" w:rsidRPr="00E87BB3">
        <w:rPr>
          <w:rFonts w:ascii="Arial" w:hAnsi="Arial" w:cs="Arial"/>
          <w:b/>
          <w:sz w:val="24"/>
          <w:szCs w:val="24"/>
          <w:lang w:val="en-GB"/>
        </w:rPr>
        <w:t>JUDGMENT</w:t>
      </w:r>
    </w:p>
    <w:p w:rsidR="007538C6" w:rsidRPr="00E87BB3" w:rsidRDefault="007538C6" w:rsidP="00807426">
      <w:pPr>
        <w:pBdr>
          <w:bottom w:val="single" w:sz="12" w:space="1" w:color="auto"/>
        </w:pBdr>
        <w:spacing w:after="0" w:line="240" w:lineRule="auto"/>
        <w:jc w:val="both"/>
        <w:rPr>
          <w:rFonts w:ascii="Arial" w:hAnsi="Arial" w:cs="Arial"/>
          <w:b/>
          <w:sz w:val="24"/>
          <w:szCs w:val="24"/>
          <w:lang w:val="en-GB"/>
        </w:rPr>
      </w:pPr>
    </w:p>
    <w:p w:rsidR="007538C6" w:rsidRPr="00E87BB3" w:rsidRDefault="007538C6" w:rsidP="00624DB8">
      <w:pPr>
        <w:spacing w:before="240" w:line="480" w:lineRule="auto"/>
        <w:jc w:val="both"/>
        <w:rPr>
          <w:rFonts w:ascii="Arial" w:hAnsi="Arial" w:cs="Arial"/>
          <w:b/>
          <w:sz w:val="24"/>
          <w:szCs w:val="24"/>
          <w:u w:val="single"/>
          <w:lang w:val="en-GB"/>
        </w:rPr>
      </w:pPr>
      <w:r w:rsidRPr="00E87BB3">
        <w:rPr>
          <w:rFonts w:ascii="Arial" w:hAnsi="Arial" w:cs="Arial"/>
          <w:b/>
          <w:sz w:val="24"/>
          <w:szCs w:val="24"/>
          <w:u w:val="single"/>
          <w:lang w:val="en-GB"/>
        </w:rPr>
        <w:t>ANNANDALE A.J:</w:t>
      </w:r>
    </w:p>
    <w:p w:rsidR="00EC5D1A" w:rsidRDefault="00630603" w:rsidP="00630603">
      <w:pPr>
        <w:spacing w:after="0" w:line="360" w:lineRule="auto"/>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r>
      <w:r w:rsidR="00EB4950" w:rsidRPr="002B0635">
        <w:rPr>
          <w:sz w:val="28"/>
          <w:szCs w:val="28"/>
        </w:rPr>
        <w:t>The</w:t>
      </w:r>
      <w:r w:rsidR="00EB4950" w:rsidRPr="002B0635">
        <w:rPr>
          <w:rFonts w:ascii="Arial" w:hAnsi="Arial" w:cs="Arial"/>
          <w:sz w:val="24"/>
          <w:szCs w:val="24"/>
          <w:lang w:val="en-GB"/>
        </w:rPr>
        <w:t xml:space="preserve"> applicant</w:t>
      </w:r>
      <w:r w:rsidR="00495FEA" w:rsidRPr="002B0635">
        <w:rPr>
          <w:rFonts w:ascii="Arial" w:hAnsi="Arial" w:cs="Arial"/>
          <w:sz w:val="24"/>
          <w:szCs w:val="24"/>
          <w:lang w:val="en-GB"/>
        </w:rPr>
        <w:t xml:space="preserve"> seeks to eject the respondent from commercial premises</w:t>
      </w:r>
      <w:r w:rsidR="00D50898" w:rsidRPr="002B0635">
        <w:rPr>
          <w:rFonts w:ascii="Arial" w:hAnsi="Arial" w:cs="Arial"/>
          <w:sz w:val="24"/>
          <w:szCs w:val="24"/>
          <w:lang w:val="en-GB"/>
        </w:rPr>
        <w:t xml:space="preserve"> </w:t>
      </w:r>
      <w:r w:rsidR="006365F1">
        <w:rPr>
          <w:rFonts w:ascii="Arial" w:hAnsi="Arial" w:cs="Arial"/>
          <w:sz w:val="24"/>
          <w:szCs w:val="24"/>
          <w:lang w:val="en-GB"/>
        </w:rPr>
        <w:t xml:space="preserve">at </w:t>
      </w:r>
      <w:r w:rsidR="006365F1" w:rsidRPr="00FB28FE">
        <w:rPr>
          <w:rFonts w:ascii="Arial" w:hAnsi="Arial" w:cs="Arial"/>
          <w:sz w:val="24"/>
          <w:szCs w:val="24"/>
          <w:lang w:val="en-GB"/>
        </w:rPr>
        <w:t>24 Ashfield Avenue, Springfield Park</w:t>
      </w:r>
      <w:r w:rsidR="006365F1">
        <w:rPr>
          <w:rFonts w:ascii="Arial" w:hAnsi="Arial" w:cs="Arial"/>
          <w:sz w:val="24"/>
          <w:szCs w:val="24"/>
          <w:lang w:val="en-GB"/>
        </w:rPr>
        <w:t xml:space="preserve">. The applicant owns the premises </w:t>
      </w:r>
      <w:r w:rsidR="007B1BEC" w:rsidRPr="002B0635">
        <w:rPr>
          <w:rFonts w:ascii="Arial" w:hAnsi="Arial" w:cs="Arial"/>
          <w:sz w:val="24"/>
          <w:szCs w:val="24"/>
          <w:lang w:val="en-GB"/>
        </w:rPr>
        <w:t>from which the respondent run</w:t>
      </w:r>
      <w:r w:rsidR="00D70224" w:rsidRPr="002B0635">
        <w:rPr>
          <w:rFonts w:ascii="Arial" w:hAnsi="Arial" w:cs="Arial"/>
          <w:sz w:val="24"/>
          <w:szCs w:val="24"/>
          <w:lang w:val="en-GB"/>
        </w:rPr>
        <w:t>s</w:t>
      </w:r>
      <w:r w:rsidR="007B1BEC" w:rsidRPr="002B0635">
        <w:rPr>
          <w:rFonts w:ascii="Arial" w:hAnsi="Arial" w:cs="Arial"/>
          <w:sz w:val="24"/>
          <w:szCs w:val="24"/>
          <w:lang w:val="en-GB"/>
        </w:rPr>
        <w:t xml:space="preserve"> </w:t>
      </w:r>
      <w:r w:rsidR="00D70224" w:rsidRPr="002B0635">
        <w:rPr>
          <w:rFonts w:ascii="Arial" w:hAnsi="Arial" w:cs="Arial"/>
          <w:sz w:val="24"/>
          <w:szCs w:val="24"/>
          <w:lang w:val="en-GB"/>
        </w:rPr>
        <w:t>the</w:t>
      </w:r>
      <w:r w:rsidR="007B1BEC" w:rsidRPr="002B0635">
        <w:rPr>
          <w:rFonts w:ascii="Arial" w:hAnsi="Arial" w:cs="Arial"/>
          <w:sz w:val="24"/>
          <w:szCs w:val="24"/>
          <w:lang w:val="en-GB"/>
        </w:rPr>
        <w:t xml:space="preserve"> business</w:t>
      </w:r>
      <w:r w:rsidR="00D70224" w:rsidRPr="002B0635">
        <w:rPr>
          <w:rFonts w:ascii="Arial" w:hAnsi="Arial" w:cs="Arial"/>
          <w:sz w:val="24"/>
          <w:szCs w:val="24"/>
          <w:lang w:val="en-GB"/>
        </w:rPr>
        <w:t xml:space="preserve"> it bought from the applicant</w:t>
      </w:r>
      <w:r w:rsidR="006365F1">
        <w:rPr>
          <w:rFonts w:ascii="Arial" w:hAnsi="Arial" w:cs="Arial"/>
          <w:sz w:val="24"/>
          <w:szCs w:val="24"/>
          <w:lang w:val="en-GB"/>
        </w:rPr>
        <w:t xml:space="preserve"> some years ago</w:t>
      </w:r>
      <w:r w:rsidR="007B1BEC" w:rsidRPr="002B0635">
        <w:rPr>
          <w:rFonts w:ascii="Arial" w:hAnsi="Arial" w:cs="Arial"/>
          <w:sz w:val="24"/>
          <w:szCs w:val="24"/>
          <w:lang w:val="en-GB"/>
        </w:rPr>
        <w:t xml:space="preserve">. </w:t>
      </w:r>
      <w:r w:rsidR="00495FEA" w:rsidRPr="002B0635">
        <w:rPr>
          <w:rFonts w:ascii="Arial" w:hAnsi="Arial" w:cs="Arial"/>
          <w:sz w:val="24"/>
          <w:szCs w:val="24"/>
          <w:lang w:val="en-GB"/>
        </w:rPr>
        <w:t>The</w:t>
      </w:r>
      <w:r w:rsidR="007B1BEC" w:rsidRPr="002B0635">
        <w:rPr>
          <w:rFonts w:ascii="Arial" w:hAnsi="Arial" w:cs="Arial"/>
          <w:sz w:val="24"/>
          <w:szCs w:val="24"/>
          <w:lang w:val="en-GB"/>
        </w:rPr>
        <w:t xml:space="preserve"> parties concluded a </w:t>
      </w:r>
      <w:r w:rsidR="00D70224" w:rsidRPr="002B0635">
        <w:rPr>
          <w:rFonts w:ascii="Arial" w:hAnsi="Arial" w:cs="Arial"/>
          <w:sz w:val="24"/>
          <w:szCs w:val="24"/>
          <w:lang w:val="en-GB"/>
        </w:rPr>
        <w:t xml:space="preserve">written </w:t>
      </w:r>
      <w:r w:rsidR="007B1BEC" w:rsidRPr="002B0635">
        <w:rPr>
          <w:rFonts w:ascii="Arial" w:hAnsi="Arial" w:cs="Arial"/>
          <w:sz w:val="24"/>
          <w:szCs w:val="24"/>
          <w:lang w:val="en-GB"/>
        </w:rPr>
        <w:t>lease which the applicant ca</w:t>
      </w:r>
      <w:r w:rsidR="00495FEA" w:rsidRPr="002B0635">
        <w:rPr>
          <w:rFonts w:ascii="Arial" w:hAnsi="Arial" w:cs="Arial"/>
          <w:sz w:val="24"/>
          <w:szCs w:val="24"/>
          <w:lang w:val="en-GB"/>
        </w:rPr>
        <w:t>n</w:t>
      </w:r>
      <w:r w:rsidR="007B1BEC" w:rsidRPr="002B0635">
        <w:rPr>
          <w:rFonts w:ascii="Arial" w:hAnsi="Arial" w:cs="Arial"/>
          <w:sz w:val="24"/>
          <w:szCs w:val="24"/>
          <w:lang w:val="en-GB"/>
        </w:rPr>
        <w:t xml:space="preserve">celled after the respondent </w:t>
      </w:r>
      <w:r w:rsidR="00EC5D1A">
        <w:rPr>
          <w:rFonts w:ascii="Arial" w:hAnsi="Arial" w:cs="Arial"/>
          <w:sz w:val="24"/>
          <w:szCs w:val="24"/>
          <w:lang w:val="en-GB"/>
        </w:rPr>
        <w:t>fell into arrears with its rental obligations in</w:t>
      </w:r>
      <w:r w:rsidR="00D94B24">
        <w:rPr>
          <w:rFonts w:ascii="Arial" w:hAnsi="Arial" w:cs="Arial"/>
          <w:sz w:val="24"/>
          <w:szCs w:val="24"/>
          <w:lang w:val="en-GB"/>
        </w:rPr>
        <w:t xml:space="preserve"> April 2021 </w:t>
      </w:r>
      <w:r w:rsidR="00EC5D1A">
        <w:rPr>
          <w:rFonts w:ascii="Arial" w:hAnsi="Arial" w:cs="Arial"/>
          <w:sz w:val="24"/>
          <w:szCs w:val="24"/>
          <w:lang w:val="en-GB"/>
        </w:rPr>
        <w:t xml:space="preserve">and </w:t>
      </w:r>
      <w:r w:rsidR="007B1BEC" w:rsidRPr="002B0635">
        <w:rPr>
          <w:rFonts w:ascii="Arial" w:hAnsi="Arial" w:cs="Arial"/>
          <w:sz w:val="24"/>
          <w:szCs w:val="24"/>
          <w:lang w:val="en-GB"/>
        </w:rPr>
        <w:t>failed to remedy its breach</w:t>
      </w:r>
      <w:r w:rsidR="00EC5D1A">
        <w:rPr>
          <w:rFonts w:ascii="Arial" w:hAnsi="Arial" w:cs="Arial"/>
          <w:sz w:val="24"/>
          <w:szCs w:val="24"/>
          <w:lang w:val="en-GB"/>
        </w:rPr>
        <w:t xml:space="preserve">. </w:t>
      </w:r>
      <w:r w:rsidR="00D50898" w:rsidRPr="00EC5D1A">
        <w:rPr>
          <w:rFonts w:ascii="Arial" w:hAnsi="Arial" w:cs="Arial"/>
          <w:sz w:val="24"/>
          <w:szCs w:val="24"/>
          <w:lang w:val="en-GB"/>
        </w:rPr>
        <w:t>As the premises are commercial</w:t>
      </w:r>
      <w:r w:rsidR="00EC5D1A">
        <w:rPr>
          <w:rFonts w:ascii="Arial" w:hAnsi="Arial" w:cs="Arial"/>
          <w:sz w:val="24"/>
          <w:szCs w:val="24"/>
          <w:lang w:val="en-GB"/>
        </w:rPr>
        <w:t xml:space="preserve"> property</w:t>
      </w:r>
      <w:r w:rsidR="00EC5D1A" w:rsidRPr="00EC5D1A">
        <w:rPr>
          <w:rFonts w:ascii="Arial" w:hAnsi="Arial" w:cs="Arial"/>
          <w:sz w:val="24"/>
          <w:szCs w:val="24"/>
          <w:lang w:val="en-GB"/>
        </w:rPr>
        <w:t>,</w:t>
      </w:r>
      <w:r w:rsidR="00D50898" w:rsidRPr="00EC5D1A">
        <w:rPr>
          <w:rFonts w:ascii="Arial" w:hAnsi="Arial" w:cs="Arial"/>
          <w:sz w:val="24"/>
          <w:szCs w:val="24"/>
          <w:lang w:val="en-GB"/>
        </w:rPr>
        <w:t xml:space="preserve"> the Prevention</w:t>
      </w:r>
      <w:r w:rsidR="00D94B24">
        <w:rPr>
          <w:rFonts w:ascii="Arial" w:hAnsi="Arial" w:cs="Arial"/>
          <w:sz w:val="24"/>
          <w:szCs w:val="24"/>
          <w:lang w:val="en-GB"/>
        </w:rPr>
        <w:t xml:space="preserve"> </w:t>
      </w:r>
      <w:r w:rsidR="00D50898" w:rsidRPr="00EC5D1A">
        <w:rPr>
          <w:rFonts w:ascii="Arial" w:hAnsi="Arial" w:cs="Arial"/>
          <w:sz w:val="24"/>
          <w:szCs w:val="24"/>
          <w:lang w:val="en-GB"/>
        </w:rPr>
        <w:t>of Illegal Eviction and Unlawful Occupation of Land Act 19 of 1998 does not apply.</w:t>
      </w:r>
      <w:r w:rsidR="003E62B2">
        <w:rPr>
          <w:rStyle w:val="FootnoteReference"/>
          <w:rFonts w:ascii="Arial" w:hAnsi="Arial" w:cs="Arial"/>
          <w:sz w:val="24"/>
          <w:szCs w:val="24"/>
          <w:lang w:val="en-GB"/>
        </w:rPr>
        <w:footnoteReference w:id="1"/>
      </w:r>
      <w:r w:rsidR="00D50898" w:rsidRPr="00EC5D1A">
        <w:rPr>
          <w:rFonts w:ascii="Arial" w:hAnsi="Arial" w:cs="Arial"/>
          <w:sz w:val="24"/>
          <w:szCs w:val="24"/>
          <w:lang w:val="en-GB"/>
        </w:rPr>
        <w:t xml:space="preserve"> </w:t>
      </w:r>
    </w:p>
    <w:p w:rsidR="00807426" w:rsidRDefault="00807426" w:rsidP="00807426">
      <w:pPr>
        <w:spacing w:after="0" w:line="360" w:lineRule="auto"/>
        <w:jc w:val="both"/>
        <w:rPr>
          <w:rFonts w:ascii="Arial" w:hAnsi="Arial" w:cs="Arial"/>
          <w:sz w:val="24"/>
          <w:szCs w:val="24"/>
          <w:lang w:val="en-GB"/>
        </w:rPr>
      </w:pPr>
    </w:p>
    <w:p w:rsidR="002B0635" w:rsidRDefault="00630603" w:rsidP="00630603">
      <w:pPr>
        <w:spacing w:after="0" w:line="360" w:lineRule="auto"/>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r>
      <w:r w:rsidR="002C0ECF">
        <w:rPr>
          <w:rFonts w:ascii="Arial" w:hAnsi="Arial" w:cs="Arial"/>
          <w:sz w:val="24"/>
          <w:szCs w:val="24"/>
          <w:lang w:val="en-GB"/>
        </w:rPr>
        <w:t>Beyond bald de</w:t>
      </w:r>
      <w:bookmarkStart w:id="0" w:name="_GoBack"/>
      <w:bookmarkEnd w:id="0"/>
      <w:r w:rsidR="002C0ECF">
        <w:rPr>
          <w:rFonts w:ascii="Arial" w:hAnsi="Arial" w:cs="Arial"/>
          <w:sz w:val="24"/>
          <w:szCs w:val="24"/>
          <w:lang w:val="en-GB"/>
        </w:rPr>
        <w:t xml:space="preserve">nials of non-payment of rental and receipt of the notice of cancellation, </w:t>
      </w:r>
      <w:r w:rsidR="00A101A7" w:rsidRPr="002B0635">
        <w:rPr>
          <w:rFonts w:ascii="Arial" w:hAnsi="Arial" w:cs="Arial"/>
          <w:sz w:val="24"/>
          <w:szCs w:val="24"/>
          <w:lang w:val="en-GB"/>
        </w:rPr>
        <w:t xml:space="preserve">the respondent </w:t>
      </w:r>
      <w:r w:rsidR="00B13AF1" w:rsidRPr="002B0635">
        <w:rPr>
          <w:rFonts w:ascii="Arial" w:hAnsi="Arial" w:cs="Arial"/>
          <w:sz w:val="24"/>
          <w:szCs w:val="24"/>
          <w:lang w:val="en-GB"/>
        </w:rPr>
        <w:t>raise</w:t>
      </w:r>
      <w:r w:rsidR="002C0ECF">
        <w:rPr>
          <w:rFonts w:ascii="Arial" w:hAnsi="Arial" w:cs="Arial"/>
          <w:sz w:val="24"/>
          <w:szCs w:val="24"/>
          <w:lang w:val="en-GB"/>
        </w:rPr>
        <w:t>s</w:t>
      </w:r>
      <w:r w:rsidR="00B13AF1" w:rsidRPr="002B0635">
        <w:rPr>
          <w:rFonts w:ascii="Arial" w:hAnsi="Arial" w:cs="Arial"/>
          <w:sz w:val="24"/>
          <w:szCs w:val="24"/>
          <w:lang w:val="en-GB"/>
        </w:rPr>
        <w:t xml:space="preserve"> </w:t>
      </w:r>
      <w:r w:rsidR="00A101A7" w:rsidRPr="002B0635">
        <w:rPr>
          <w:rFonts w:ascii="Arial" w:hAnsi="Arial" w:cs="Arial"/>
          <w:sz w:val="24"/>
          <w:szCs w:val="24"/>
          <w:lang w:val="en-GB"/>
        </w:rPr>
        <w:t xml:space="preserve">no challenge to the substantive merits of the eviction </w:t>
      </w:r>
      <w:r w:rsidR="00A101A7" w:rsidRPr="002B0635">
        <w:rPr>
          <w:rFonts w:ascii="Arial" w:hAnsi="Arial" w:cs="Arial"/>
          <w:sz w:val="24"/>
          <w:szCs w:val="24"/>
          <w:lang w:val="en-GB"/>
        </w:rPr>
        <w:lastRenderedPageBreak/>
        <w:t xml:space="preserve">application, and </w:t>
      </w:r>
      <w:r w:rsidR="002C0ECF">
        <w:rPr>
          <w:rFonts w:ascii="Arial" w:hAnsi="Arial" w:cs="Arial"/>
          <w:sz w:val="24"/>
          <w:szCs w:val="24"/>
          <w:lang w:val="en-GB"/>
        </w:rPr>
        <w:t xml:space="preserve">at the hearing </w:t>
      </w:r>
      <w:r w:rsidR="00A101A7" w:rsidRPr="002B0635">
        <w:rPr>
          <w:rFonts w:ascii="Arial" w:hAnsi="Arial" w:cs="Arial"/>
          <w:sz w:val="24"/>
          <w:szCs w:val="24"/>
          <w:lang w:val="en-GB"/>
        </w:rPr>
        <w:t>expressly abandoned other technical grounds of opposition raised in its answering affidavit.</w:t>
      </w:r>
      <w:r w:rsidR="002B0635" w:rsidRPr="002B0635">
        <w:rPr>
          <w:rFonts w:ascii="Arial" w:hAnsi="Arial" w:cs="Arial"/>
          <w:sz w:val="24"/>
          <w:szCs w:val="24"/>
          <w:lang w:val="en-GB"/>
        </w:rPr>
        <w:t xml:space="preserve"> </w:t>
      </w:r>
    </w:p>
    <w:p w:rsidR="002B0635" w:rsidRDefault="002B0635" w:rsidP="002B0635">
      <w:pPr>
        <w:spacing w:after="0" w:line="360" w:lineRule="auto"/>
        <w:jc w:val="both"/>
        <w:rPr>
          <w:rFonts w:ascii="Arial" w:hAnsi="Arial" w:cs="Arial"/>
          <w:sz w:val="24"/>
          <w:szCs w:val="24"/>
          <w:lang w:val="en-GB"/>
        </w:rPr>
      </w:pPr>
    </w:p>
    <w:p w:rsidR="00A23869" w:rsidRDefault="00630603" w:rsidP="00630603">
      <w:pPr>
        <w:spacing w:after="0" w:line="360" w:lineRule="auto"/>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r>
      <w:r w:rsidR="00495FEA" w:rsidRPr="002B0635">
        <w:rPr>
          <w:rFonts w:ascii="Arial" w:hAnsi="Arial" w:cs="Arial"/>
          <w:sz w:val="24"/>
          <w:szCs w:val="24"/>
          <w:lang w:val="en-GB"/>
        </w:rPr>
        <w:t>That, one might think, would be the end of the matter. But it is not.</w:t>
      </w:r>
      <w:r w:rsidR="001E592D" w:rsidRPr="002B0635">
        <w:rPr>
          <w:rFonts w:ascii="Arial" w:hAnsi="Arial" w:cs="Arial"/>
          <w:sz w:val="24"/>
          <w:szCs w:val="24"/>
          <w:lang w:val="en-GB"/>
        </w:rPr>
        <w:t xml:space="preserve"> T</w:t>
      </w:r>
      <w:r w:rsidR="00495FEA" w:rsidRPr="002B0635">
        <w:rPr>
          <w:rFonts w:ascii="Arial" w:hAnsi="Arial" w:cs="Arial"/>
          <w:sz w:val="24"/>
          <w:szCs w:val="24"/>
          <w:lang w:val="en-GB"/>
        </w:rPr>
        <w:t>he respondent</w:t>
      </w:r>
      <w:r w:rsidR="00A9321F" w:rsidRPr="002B0635">
        <w:rPr>
          <w:rFonts w:ascii="Arial" w:hAnsi="Arial" w:cs="Arial"/>
          <w:sz w:val="24"/>
          <w:szCs w:val="24"/>
          <w:lang w:val="en-GB"/>
        </w:rPr>
        <w:t xml:space="preserve"> </w:t>
      </w:r>
      <w:r w:rsidR="00A23869">
        <w:rPr>
          <w:rFonts w:ascii="Arial" w:hAnsi="Arial" w:cs="Arial"/>
          <w:sz w:val="24"/>
          <w:szCs w:val="24"/>
          <w:lang w:val="en-GB"/>
        </w:rPr>
        <w:t>challenges the applicant’s authority to</w:t>
      </w:r>
      <w:r w:rsidR="00E2503D" w:rsidRPr="002B0635">
        <w:rPr>
          <w:rFonts w:ascii="Arial" w:hAnsi="Arial" w:cs="Arial"/>
          <w:sz w:val="24"/>
          <w:szCs w:val="24"/>
          <w:lang w:val="en-GB"/>
        </w:rPr>
        <w:t xml:space="preserve"> </w:t>
      </w:r>
      <w:r w:rsidR="00A23869">
        <w:rPr>
          <w:rFonts w:ascii="Arial" w:hAnsi="Arial" w:cs="Arial"/>
          <w:sz w:val="24"/>
          <w:szCs w:val="24"/>
          <w:lang w:val="en-GB"/>
        </w:rPr>
        <w:t xml:space="preserve">institute the present proceedings and instruct its attorneys to act (the authority challenge). It asserts that the resolution </w:t>
      </w:r>
      <w:r w:rsidR="00A23869" w:rsidRPr="002B0635">
        <w:rPr>
          <w:rFonts w:ascii="Arial" w:hAnsi="Arial" w:cs="Arial"/>
          <w:sz w:val="24"/>
          <w:szCs w:val="24"/>
          <w:lang w:val="en-GB"/>
        </w:rPr>
        <w:t xml:space="preserve">authorising the institution of proceedings and mandating the applicant’s attorneys </w:t>
      </w:r>
      <w:r w:rsidR="00A23869">
        <w:rPr>
          <w:rFonts w:ascii="Arial" w:hAnsi="Arial" w:cs="Arial"/>
          <w:sz w:val="24"/>
          <w:szCs w:val="24"/>
          <w:lang w:val="en-GB"/>
        </w:rPr>
        <w:t xml:space="preserve">is invalid </w:t>
      </w:r>
      <w:r w:rsidR="00A23869" w:rsidRPr="002B0635">
        <w:rPr>
          <w:rFonts w:ascii="Arial" w:hAnsi="Arial" w:cs="Arial"/>
          <w:sz w:val="24"/>
          <w:szCs w:val="24"/>
          <w:lang w:val="en-GB"/>
        </w:rPr>
        <w:t>because one of the applicant’s two directors was improperly excluded from the directors’ meeting at which th</w:t>
      </w:r>
      <w:r w:rsidR="002C0ECF">
        <w:rPr>
          <w:rFonts w:ascii="Arial" w:hAnsi="Arial" w:cs="Arial"/>
          <w:sz w:val="24"/>
          <w:szCs w:val="24"/>
          <w:lang w:val="en-GB"/>
        </w:rPr>
        <w:t>e</w:t>
      </w:r>
      <w:r w:rsidR="00A23869" w:rsidRPr="002B0635">
        <w:rPr>
          <w:rFonts w:ascii="Arial" w:hAnsi="Arial" w:cs="Arial"/>
          <w:sz w:val="24"/>
          <w:szCs w:val="24"/>
          <w:lang w:val="en-GB"/>
        </w:rPr>
        <w:t xml:space="preserve"> resolution</w:t>
      </w:r>
      <w:r w:rsidR="00A23869">
        <w:rPr>
          <w:rFonts w:ascii="Arial" w:hAnsi="Arial" w:cs="Arial"/>
          <w:sz w:val="24"/>
          <w:szCs w:val="24"/>
          <w:lang w:val="en-GB"/>
        </w:rPr>
        <w:t xml:space="preserve"> was passed. </w:t>
      </w:r>
    </w:p>
    <w:p w:rsidR="00E2503D" w:rsidRDefault="00E2503D" w:rsidP="00572C7C">
      <w:pPr>
        <w:spacing w:after="0" w:line="360" w:lineRule="auto"/>
        <w:jc w:val="both"/>
        <w:rPr>
          <w:rFonts w:ascii="Arial" w:hAnsi="Arial" w:cs="Arial"/>
          <w:sz w:val="24"/>
          <w:szCs w:val="24"/>
          <w:lang w:val="en-GB"/>
        </w:rPr>
      </w:pPr>
    </w:p>
    <w:p w:rsidR="00572C7C" w:rsidRPr="00A23869" w:rsidRDefault="00630603" w:rsidP="00630603">
      <w:pPr>
        <w:spacing w:after="0" w:line="240" w:lineRule="auto"/>
        <w:jc w:val="both"/>
        <w:rPr>
          <w:rFonts w:ascii="Arial" w:hAnsi="Arial" w:cs="Arial"/>
        </w:rPr>
      </w:pPr>
      <w:r w:rsidRPr="00A23869">
        <w:rPr>
          <w:rFonts w:ascii="Arial" w:hAnsi="Arial" w:cs="Arial"/>
          <w:sz w:val="24"/>
          <w:szCs w:val="24"/>
        </w:rPr>
        <w:t>[4]</w:t>
      </w:r>
      <w:r w:rsidRPr="00A23869">
        <w:rPr>
          <w:rFonts w:ascii="Arial" w:hAnsi="Arial" w:cs="Arial"/>
          <w:sz w:val="24"/>
          <w:szCs w:val="24"/>
        </w:rPr>
        <w:tab/>
      </w:r>
      <w:r w:rsidR="00D85407" w:rsidRPr="00572C7C">
        <w:rPr>
          <w:rFonts w:ascii="Arial" w:hAnsi="Arial" w:cs="Arial"/>
          <w:sz w:val="24"/>
          <w:szCs w:val="24"/>
          <w:lang w:val="en-GB"/>
        </w:rPr>
        <w:t>The respondent rel</w:t>
      </w:r>
      <w:r w:rsidR="005A43F7" w:rsidRPr="00572C7C">
        <w:rPr>
          <w:rFonts w:ascii="Arial" w:hAnsi="Arial" w:cs="Arial"/>
          <w:sz w:val="24"/>
          <w:szCs w:val="24"/>
          <w:lang w:val="en-GB"/>
        </w:rPr>
        <w:t>ies</w:t>
      </w:r>
      <w:r w:rsidR="00D85407" w:rsidRPr="00572C7C">
        <w:rPr>
          <w:rFonts w:ascii="Arial" w:hAnsi="Arial" w:cs="Arial"/>
          <w:sz w:val="24"/>
          <w:szCs w:val="24"/>
          <w:lang w:val="en-GB"/>
        </w:rPr>
        <w:t xml:space="preserve"> on Uniform </w:t>
      </w:r>
      <w:r w:rsidR="003A13DB">
        <w:rPr>
          <w:rFonts w:ascii="Arial" w:hAnsi="Arial" w:cs="Arial"/>
          <w:sz w:val="24"/>
          <w:szCs w:val="24"/>
          <w:lang w:val="en-GB"/>
        </w:rPr>
        <w:t>r</w:t>
      </w:r>
      <w:r w:rsidR="00F52C5A" w:rsidRPr="00572C7C">
        <w:rPr>
          <w:rFonts w:ascii="Arial" w:hAnsi="Arial" w:cs="Arial"/>
          <w:sz w:val="24"/>
          <w:szCs w:val="24"/>
          <w:lang w:val="en-GB"/>
        </w:rPr>
        <w:t>ule 7(1)</w:t>
      </w:r>
      <w:r w:rsidR="00D85407" w:rsidRPr="00572C7C">
        <w:rPr>
          <w:rFonts w:ascii="Arial" w:hAnsi="Arial" w:cs="Arial"/>
          <w:sz w:val="24"/>
          <w:szCs w:val="24"/>
          <w:lang w:val="en-GB"/>
        </w:rPr>
        <w:t xml:space="preserve"> which </w:t>
      </w:r>
      <w:r w:rsidR="005A43F7" w:rsidRPr="00572C7C">
        <w:rPr>
          <w:rFonts w:ascii="Arial" w:hAnsi="Arial" w:cs="Arial"/>
          <w:sz w:val="24"/>
          <w:szCs w:val="24"/>
          <w:lang w:val="en-GB"/>
        </w:rPr>
        <w:t xml:space="preserve">currently </w:t>
      </w:r>
      <w:r w:rsidR="00F52C5A" w:rsidRPr="00572C7C">
        <w:rPr>
          <w:rFonts w:ascii="Arial" w:hAnsi="Arial" w:cs="Arial"/>
          <w:sz w:val="24"/>
          <w:szCs w:val="24"/>
          <w:lang w:val="en-GB"/>
        </w:rPr>
        <w:t>reads as follows:-</w:t>
      </w:r>
    </w:p>
    <w:p w:rsidR="00A23869" w:rsidRPr="00572C7C" w:rsidRDefault="00A23869" w:rsidP="00A23869">
      <w:pPr>
        <w:spacing w:after="0" w:line="240" w:lineRule="auto"/>
        <w:jc w:val="both"/>
        <w:rPr>
          <w:rFonts w:ascii="Arial" w:hAnsi="Arial" w:cs="Arial"/>
        </w:rPr>
      </w:pPr>
    </w:p>
    <w:p w:rsidR="00F52C5A" w:rsidRDefault="00572C7C" w:rsidP="00572C7C">
      <w:pPr>
        <w:spacing w:after="0" w:line="360" w:lineRule="auto"/>
        <w:ind w:left="1418" w:right="992"/>
        <w:jc w:val="both"/>
        <w:rPr>
          <w:rFonts w:ascii="Arial" w:hAnsi="Arial" w:cs="Arial"/>
        </w:rPr>
      </w:pPr>
      <w:r>
        <w:rPr>
          <w:rFonts w:ascii="Arial" w:hAnsi="Arial" w:cs="Arial"/>
          <w:b/>
          <w:bCs/>
        </w:rPr>
        <w:tab/>
      </w:r>
      <w:r w:rsidR="00EC5D1A">
        <w:rPr>
          <w:rFonts w:ascii="Arial" w:hAnsi="Arial" w:cs="Arial"/>
          <w:b/>
          <w:bCs/>
        </w:rPr>
        <w:t>‘</w:t>
      </w:r>
      <w:r w:rsidR="00F52C5A" w:rsidRPr="00572C7C">
        <w:rPr>
          <w:rFonts w:ascii="Arial" w:hAnsi="Arial" w:cs="Arial"/>
          <w:b/>
          <w:bCs/>
        </w:rPr>
        <w:t xml:space="preserve">Power of attorney </w:t>
      </w:r>
      <w:r w:rsidR="00F52C5A" w:rsidRPr="00572C7C">
        <w:rPr>
          <w:rFonts w:ascii="Arial" w:hAnsi="Arial" w:cs="Arial"/>
        </w:rPr>
        <w:t>Subject to the provisions of subrules (2) and (3) a power of attorney to act need not be filed, but the authority of anyone acting on behalf of a party may, within 10 days after it has come to the notice of a party that such person is so acting, or with the leave of the court on good cause shown at any time before judgment, be disputed, whereafter such person may no longer act unless he satisfie</w:t>
      </w:r>
      <w:r w:rsidR="002C0ECF">
        <w:rPr>
          <w:rFonts w:ascii="Arial" w:hAnsi="Arial" w:cs="Arial"/>
        </w:rPr>
        <w:t>s</w:t>
      </w:r>
      <w:r w:rsidR="00F52C5A" w:rsidRPr="00572C7C">
        <w:rPr>
          <w:rFonts w:ascii="Arial" w:hAnsi="Arial" w:cs="Arial"/>
        </w:rPr>
        <w:t xml:space="preserve"> the court that he is authorised so to act, and to enable him to do so the court may postpone the hearing of the action or application.</w:t>
      </w:r>
      <w:r w:rsidR="00EC5D1A">
        <w:rPr>
          <w:rFonts w:ascii="Arial" w:hAnsi="Arial" w:cs="Arial"/>
        </w:rPr>
        <w:t>’</w:t>
      </w:r>
    </w:p>
    <w:p w:rsidR="00572C7C" w:rsidRPr="00572C7C" w:rsidRDefault="00572C7C" w:rsidP="00572C7C">
      <w:pPr>
        <w:spacing w:after="0" w:line="240" w:lineRule="auto"/>
        <w:ind w:left="1418"/>
        <w:jc w:val="both"/>
        <w:rPr>
          <w:rFonts w:ascii="Arial" w:hAnsi="Arial" w:cs="Arial"/>
        </w:rPr>
      </w:pPr>
    </w:p>
    <w:p w:rsidR="00E0131B" w:rsidRDefault="00630603" w:rsidP="00630603">
      <w:pPr>
        <w:spacing w:after="0" w:line="360" w:lineRule="auto"/>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r>
      <w:r w:rsidR="00707D66" w:rsidRPr="003A13DB">
        <w:rPr>
          <w:rFonts w:ascii="Arial" w:hAnsi="Arial" w:cs="Arial"/>
          <w:sz w:val="24"/>
          <w:szCs w:val="24"/>
          <w:lang w:val="en-GB"/>
        </w:rPr>
        <w:t xml:space="preserve">The </w:t>
      </w:r>
      <w:r w:rsidR="00B13AF1" w:rsidRPr="003A13DB">
        <w:rPr>
          <w:rFonts w:ascii="Arial" w:hAnsi="Arial" w:cs="Arial"/>
          <w:sz w:val="24"/>
          <w:szCs w:val="24"/>
          <w:lang w:val="en-GB"/>
        </w:rPr>
        <w:t xml:space="preserve">respondent did not issue a notice in terms of rule 7(1). It raised the </w:t>
      </w:r>
      <w:r w:rsidR="00F64915" w:rsidRPr="003A13DB">
        <w:rPr>
          <w:rFonts w:ascii="Arial" w:hAnsi="Arial" w:cs="Arial"/>
          <w:sz w:val="24"/>
          <w:szCs w:val="24"/>
          <w:lang w:val="en-GB"/>
        </w:rPr>
        <w:t>authority challenge</w:t>
      </w:r>
      <w:r w:rsidR="003A13DB" w:rsidRPr="003A13DB">
        <w:rPr>
          <w:rFonts w:ascii="Arial" w:hAnsi="Arial" w:cs="Arial"/>
          <w:sz w:val="24"/>
          <w:szCs w:val="24"/>
          <w:lang w:val="en-GB"/>
        </w:rPr>
        <w:t xml:space="preserve"> </w:t>
      </w:r>
      <w:r w:rsidR="00B13AF1" w:rsidRPr="003A13DB">
        <w:rPr>
          <w:rFonts w:ascii="Arial" w:hAnsi="Arial" w:cs="Arial"/>
          <w:sz w:val="24"/>
          <w:szCs w:val="24"/>
          <w:lang w:val="en-GB"/>
        </w:rPr>
        <w:t xml:space="preserve">in its answering </w:t>
      </w:r>
      <w:r w:rsidR="00CA719F" w:rsidRPr="003A13DB">
        <w:rPr>
          <w:rFonts w:ascii="Arial" w:hAnsi="Arial" w:cs="Arial"/>
          <w:sz w:val="24"/>
          <w:szCs w:val="24"/>
          <w:lang w:val="en-GB"/>
        </w:rPr>
        <w:t>affidavit and</w:t>
      </w:r>
      <w:r w:rsidR="00B13AF1" w:rsidRPr="003A13DB">
        <w:rPr>
          <w:rFonts w:ascii="Arial" w:hAnsi="Arial" w:cs="Arial"/>
          <w:sz w:val="24"/>
          <w:szCs w:val="24"/>
          <w:lang w:val="en-GB"/>
        </w:rPr>
        <w:t xml:space="preserve"> did so well outside the </w:t>
      </w:r>
      <w:r w:rsidR="00A7375C" w:rsidRPr="003A13DB">
        <w:rPr>
          <w:rFonts w:ascii="Arial" w:hAnsi="Arial" w:cs="Arial"/>
          <w:sz w:val="24"/>
          <w:szCs w:val="24"/>
          <w:lang w:val="en-GB"/>
        </w:rPr>
        <w:t>ten-day</w:t>
      </w:r>
      <w:r w:rsidR="00B13AF1" w:rsidRPr="003A13DB">
        <w:rPr>
          <w:rFonts w:ascii="Arial" w:hAnsi="Arial" w:cs="Arial"/>
          <w:sz w:val="24"/>
          <w:szCs w:val="24"/>
          <w:lang w:val="en-GB"/>
        </w:rPr>
        <w:t xml:space="preserve"> period envisaged </w:t>
      </w:r>
      <w:r w:rsidR="003A13DB" w:rsidRPr="003A13DB">
        <w:rPr>
          <w:rFonts w:ascii="Arial" w:hAnsi="Arial" w:cs="Arial"/>
          <w:sz w:val="24"/>
          <w:szCs w:val="24"/>
          <w:lang w:val="en-GB"/>
        </w:rPr>
        <w:t>by</w:t>
      </w:r>
      <w:r w:rsidR="00B13AF1" w:rsidRPr="003A13DB">
        <w:rPr>
          <w:rFonts w:ascii="Arial" w:hAnsi="Arial" w:cs="Arial"/>
          <w:sz w:val="24"/>
          <w:szCs w:val="24"/>
          <w:lang w:val="en-GB"/>
        </w:rPr>
        <w:t xml:space="preserve"> the rule. </w:t>
      </w:r>
      <w:r w:rsidR="00F64915" w:rsidRPr="003A13DB">
        <w:rPr>
          <w:rFonts w:ascii="Arial" w:hAnsi="Arial" w:cs="Arial"/>
          <w:sz w:val="24"/>
          <w:szCs w:val="24"/>
          <w:lang w:val="en-GB"/>
        </w:rPr>
        <w:t xml:space="preserve">The applicant </w:t>
      </w:r>
      <w:r w:rsidR="00D94B24">
        <w:rPr>
          <w:rFonts w:ascii="Arial" w:hAnsi="Arial" w:cs="Arial"/>
          <w:sz w:val="24"/>
          <w:szCs w:val="24"/>
          <w:lang w:val="en-GB"/>
        </w:rPr>
        <w:t>submits</w:t>
      </w:r>
      <w:r w:rsidR="00F64915" w:rsidRPr="003A13DB">
        <w:rPr>
          <w:rFonts w:ascii="Arial" w:hAnsi="Arial" w:cs="Arial"/>
          <w:sz w:val="24"/>
          <w:szCs w:val="24"/>
          <w:lang w:val="en-GB"/>
        </w:rPr>
        <w:t xml:space="preserve"> that this is fatal as challenges to authority must be pursued in terms of the rule and cannot be ventilated in the application. </w:t>
      </w:r>
      <w:r w:rsidR="00EB624B" w:rsidRPr="003A13DB">
        <w:rPr>
          <w:rFonts w:ascii="Arial" w:hAnsi="Arial" w:cs="Arial"/>
          <w:sz w:val="24"/>
          <w:szCs w:val="24"/>
          <w:lang w:val="en-GB"/>
        </w:rPr>
        <w:t>The respondent</w:t>
      </w:r>
      <w:r w:rsidR="00D94B24">
        <w:rPr>
          <w:rFonts w:ascii="Arial" w:hAnsi="Arial" w:cs="Arial"/>
          <w:sz w:val="24"/>
          <w:szCs w:val="24"/>
          <w:lang w:val="en-GB"/>
        </w:rPr>
        <w:t xml:space="preserve">, on the other hand, </w:t>
      </w:r>
      <w:r w:rsidR="00EB624B" w:rsidRPr="003A13DB">
        <w:rPr>
          <w:rFonts w:ascii="Arial" w:hAnsi="Arial" w:cs="Arial"/>
          <w:sz w:val="24"/>
          <w:szCs w:val="24"/>
          <w:lang w:val="en-GB"/>
        </w:rPr>
        <w:t xml:space="preserve"> contends that a notice under rule 7(1) is merely one of </w:t>
      </w:r>
      <w:r w:rsidR="00A7375C" w:rsidRPr="003A13DB">
        <w:rPr>
          <w:rFonts w:ascii="Arial" w:hAnsi="Arial" w:cs="Arial"/>
          <w:sz w:val="24"/>
          <w:szCs w:val="24"/>
          <w:lang w:val="en-GB"/>
        </w:rPr>
        <w:t xml:space="preserve">the ways </w:t>
      </w:r>
      <w:r w:rsidR="00EB624B" w:rsidRPr="003A13DB">
        <w:rPr>
          <w:rFonts w:ascii="Arial" w:hAnsi="Arial" w:cs="Arial"/>
          <w:sz w:val="24"/>
          <w:szCs w:val="24"/>
          <w:lang w:val="en-GB"/>
        </w:rPr>
        <w:t>an authority challenge can be mounted</w:t>
      </w:r>
      <w:r w:rsidR="00D94B24">
        <w:rPr>
          <w:rFonts w:ascii="Arial" w:hAnsi="Arial" w:cs="Arial"/>
          <w:sz w:val="24"/>
          <w:szCs w:val="24"/>
          <w:lang w:val="en-GB"/>
        </w:rPr>
        <w:t>,</w:t>
      </w:r>
      <w:r w:rsidR="003A13DB" w:rsidRPr="003A13DB">
        <w:rPr>
          <w:rFonts w:ascii="Arial" w:hAnsi="Arial" w:cs="Arial"/>
          <w:sz w:val="24"/>
          <w:szCs w:val="24"/>
          <w:lang w:val="en-GB"/>
        </w:rPr>
        <w:t xml:space="preserve"> and as </w:t>
      </w:r>
      <w:r w:rsidR="003A13DB" w:rsidRPr="00E0131B">
        <w:rPr>
          <w:rFonts w:ascii="Arial" w:hAnsi="Arial" w:cs="Arial"/>
          <w:sz w:val="24"/>
          <w:szCs w:val="24"/>
          <w:lang w:val="en-GB"/>
        </w:rPr>
        <w:t>the rule itself does not prescribe a procedure</w:t>
      </w:r>
      <w:r w:rsidR="003A13DB">
        <w:rPr>
          <w:rFonts w:ascii="Arial" w:hAnsi="Arial" w:cs="Arial"/>
          <w:sz w:val="24"/>
          <w:szCs w:val="24"/>
          <w:lang w:val="en-GB"/>
        </w:rPr>
        <w:t xml:space="preserve">, </w:t>
      </w:r>
      <w:r w:rsidR="00EB624B" w:rsidRPr="003A13DB">
        <w:rPr>
          <w:rFonts w:ascii="Arial" w:hAnsi="Arial" w:cs="Arial"/>
          <w:sz w:val="24"/>
          <w:szCs w:val="24"/>
          <w:lang w:val="en-GB"/>
        </w:rPr>
        <w:t>nothing preclud</w:t>
      </w:r>
      <w:r w:rsidR="00A7375C" w:rsidRPr="003A13DB">
        <w:rPr>
          <w:rFonts w:ascii="Arial" w:hAnsi="Arial" w:cs="Arial"/>
          <w:sz w:val="24"/>
          <w:szCs w:val="24"/>
          <w:lang w:val="en-GB"/>
        </w:rPr>
        <w:t>es</w:t>
      </w:r>
      <w:r w:rsidR="00EB624B" w:rsidRPr="003A13DB">
        <w:rPr>
          <w:rFonts w:ascii="Arial" w:hAnsi="Arial" w:cs="Arial"/>
          <w:sz w:val="24"/>
          <w:szCs w:val="24"/>
          <w:lang w:val="en-GB"/>
        </w:rPr>
        <w:t xml:space="preserve"> </w:t>
      </w:r>
      <w:r w:rsidR="00A7375C" w:rsidRPr="003A13DB">
        <w:rPr>
          <w:rFonts w:ascii="Arial" w:hAnsi="Arial" w:cs="Arial"/>
          <w:sz w:val="24"/>
          <w:szCs w:val="24"/>
          <w:lang w:val="en-GB"/>
        </w:rPr>
        <w:t xml:space="preserve">the issue of authority being raised squarely in an answering affidavit with reference to </w:t>
      </w:r>
      <w:r w:rsidR="00A23869">
        <w:rPr>
          <w:rFonts w:ascii="Arial" w:hAnsi="Arial" w:cs="Arial"/>
          <w:sz w:val="24"/>
          <w:szCs w:val="24"/>
          <w:lang w:val="en-GB"/>
        </w:rPr>
        <w:t xml:space="preserve">the </w:t>
      </w:r>
      <w:r w:rsidR="00A7375C" w:rsidRPr="003A13DB">
        <w:rPr>
          <w:rFonts w:ascii="Arial" w:hAnsi="Arial" w:cs="Arial"/>
          <w:sz w:val="24"/>
          <w:szCs w:val="24"/>
          <w:lang w:val="en-GB"/>
        </w:rPr>
        <w:t>rule</w:t>
      </w:r>
      <w:r w:rsidR="00D94B24">
        <w:rPr>
          <w:rFonts w:ascii="Arial" w:hAnsi="Arial" w:cs="Arial"/>
          <w:sz w:val="24"/>
          <w:szCs w:val="24"/>
          <w:lang w:val="en-GB"/>
        </w:rPr>
        <w:t>.</w:t>
      </w:r>
    </w:p>
    <w:p w:rsidR="00A23869" w:rsidRPr="003A13DB" w:rsidRDefault="00A23869" w:rsidP="00A23869">
      <w:pPr>
        <w:spacing w:after="0" w:line="360" w:lineRule="auto"/>
        <w:jc w:val="both"/>
        <w:rPr>
          <w:rFonts w:ascii="Arial" w:hAnsi="Arial" w:cs="Arial"/>
          <w:sz w:val="24"/>
          <w:szCs w:val="24"/>
          <w:lang w:val="en-GB"/>
        </w:rPr>
      </w:pPr>
    </w:p>
    <w:p w:rsidR="00674C43" w:rsidRPr="00332644" w:rsidRDefault="00630603" w:rsidP="00630603">
      <w:pPr>
        <w:spacing w:after="0" w:line="360" w:lineRule="auto"/>
        <w:jc w:val="both"/>
        <w:rPr>
          <w:rFonts w:ascii="Arial" w:hAnsi="Arial" w:cs="Arial"/>
          <w:sz w:val="24"/>
          <w:szCs w:val="24"/>
          <w:lang w:val="en-GB"/>
        </w:rPr>
      </w:pPr>
      <w:r w:rsidRPr="00332644">
        <w:rPr>
          <w:rFonts w:ascii="Arial" w:hAnsi="Arial" w:cs="Arial"/>
          <w:sz w:val="24"/>
          <w:szCs w:val="24"/>
          <w:lang w:val="en-GB"/>
        </w:rPr>
        <w:t>[6]</w:t>
      </w:r>
      <w:r w:rsidRPr="00332644">
        <w:rPr>
          <w:rFonts w:ascii="Arial" w:hAnsi="Arial" w:cs="Arial"/>
          <w:sz w:val="24"/>
          <w:szCs w:val="24"/>
          <w:lang w:val="en-GB"/>
        </w:rPr>
        <w:tab/>
      </w:r>
      <w:r w:rsidR="00B13AF1" w:rsidRPr="00E0131B">
        <w:rPr>
          <w:rFonts w:ascii="Arial" w:hAnsi="Arial" w:cs="Arial"/>
          <w:sz w:val="24"/>
          <w:szCs w:val="24"/>
          <w:lang w:val="en-GB"/>
        </w:rPr>
        <w:t xml:space="preserve">The issue in this application is </w:t>
      </w:r>
      <w:r w:rsidR="00F64915" w:rsidRPr="00E0131B">
        <w:rPr>
          <w:rFonts w:ascii="Arial" w:hAnsi="Arial" w:cs="Arial"/>
          <w:sz w:val="24"/>
          <w:szCs w:val="24"/>
          <w:lang w:val="en-GB"/>
        </w:rPr>
        <w:t>th</w:t>
      </w:r>
      <w:r w:rsidR="001A38F1" w:rsidRPr="00E0131B">
        <w:rPr>
          <w:rFonts w:ascii="Arial" w:hAnsi="Arial" w:cs="Arial"/>
          <w:sz w:val="24"/>
          <w:szCs w:val="24"/>
          <w:lang w:val="en-GB"/>
        </w:rPr>
        <w:t>u</w:t>
      </w:r>
      <w:r w:rsidR="00F64915" w:rsidRPr="00E0131B">
        <w:rPr>
          <w:rFonts w:ascii="Arial" w:hAnsi="Arial" w:cs="Arial"/>
          <w:sz w:val="24"/>
          <w:szCs w:val="24"/>
          <w:lang w:val="en-GB"/>
        </w:rPr>
        <w:t xml:space="preserve">s </w:t>
      </w:r>
      <w:r w:rsidR="00B13AF1" w:rsidRPr="00E0131B">
        <w:rPr>
          <w:rFonts w:ascii="Arial" w:hAnsi="Arial" w:cs="Arial"/>
          <w:sz w:val="24"/>
          <w:szCs w:val="24"/>
          <w:lang w:val="en-GB"/>
        </w:rPr>
        <w:t xml:space="preserve">whether the </w:t>
      </w:r>
      <w:r w:rsidR="00F64915" w:rsidRPr="00E0131B">
        <w:rPr>
          <w:rFonts w:ascii="Arial" w:hAnsi="Arial" w:cs="Arial"/>
          <w:sz w:val="24"/>
          <w:szCs w:val="24"/>
          <w:lang w:val="en-GB"/>
        </w:rPr>
        <w:t xml:space="preserve">authority challenge </w:t>
      </w:r>
      <w:r w:rsidR="003A13DB">
        <w:rPr>
          <w:rFonts w:ascii="Arial" w:hAnsi="Arial" w:cs="Arial"/>
          <w:sz w:val="24"/>
          <w:szCs w:val="24"/>
          <w:lang w:val="en-GB"/>
        </w:rPr>
        <w:t>f</w:t>
      </w:r>
      <w:r w:rsidR="00F64915" w:rsidRPr="00E0131B">
        <w:rPr>
          <w:rFonts w:ascii="Arial" w:hAnsi="Arial" w:cs="Arial"/>
          <w:sz w:val="24"/>
          <w:szCs w:val="24"/>
          <w:lang w:val="en-GB"/>
        </w:rPr>
        <w:t xml:space="preserve">alls to be disregarded because of the manner in which </w:t>
      </w:r>
      <w:r w:rsidR="00D94B24">
        <w:rPr>
          <w:rFonts w:ascii="Arial" w:hAnsi="Arial" w:cs="Arial"/>
          <w:sz w:val="24"/>
          <w:szCs w:val="24"/>
          <w:lang w:val="en-GB"/>
        </w:rPr>
        <w:t xml:space="preserve">it </w:t>
      </w:r>
      <w:r w:rsidR="00F64915" w:rsidRPr="00E0131B">
        <w:rPr>
          <w:rFonts w:ascii="Arial" w:hAnsi="Arial" w:cs="Arial"/>
          <w:sz w:val="24"/>
          <w:szCs w:val="24"/>
          <w:lang w:val="en-GB"/>
        </w:rPr>
        <w:t xml:space="preserve">was raised. </w:t>
      </w:r>
      <w:r w:rsidR="00CB487F" w:rsidRPr="00332644">
        <w:rPr>
          <w:rFonts w:ascii="Arial" w:hAnsi="Arial" w:cs="Arial"/>
          <w:sz w:val="24"/>
          <w:szCs w:val="24"/>
          <w:lang w:val="en-GB"/>
        </w:rPr>
        <w:t>T</w:t>
      </w:r>
      <w:r w:rsidR="00D85407" w:rsidRPr="00332644">
        <w:rPr>
          <w:rFonts w:ascii="Arial" w:hAnsi="Arial" w:cs="Arial"/>
          <w:sz w:val="24"/>
          <w:szCs w:val="24"/>
          <w:lang w:val="en-GB"/>
        </w:rPr>
        <w:t>hat</w:t>
      </w:r>
      <w:r w:rsidR="00F64915" w:rsidRPr="00332644">
        <w:rPr>
          <w:rFonts w:ascii="Arial" w:hAnsi="Arial" w:cs="Arial"/>
          <w:sz w:val="24"/>
          <w:szCs w:val="24"/>
          <w:lang w:val="en-GB"/>
        </w:rPr>
        <w:t xml:space="preserve"> issue arises in the following context. </w:t>
      </w:r>
    </w:p>
    <w:p w:rsidR="00B564AA" w:rsidRPr="00ED29C2" w:rsidRDefault="00D85407" w:rsidP="00ED29C2">
      <w:pPr>
        <w:spacing w:line="480" w:lineRule="auto"/>
        <w:jc w:val="both"/>
        <w:rPr>
          <w:rFonts w:ascii="Arial" w:hAnsi="Arial" w:cs="Arial"/>
          <w:b/>
          <w:bCs/>
          <w:sz w:val="24"/>
          <w:szCs w:val="24"/>
          <w:lang w:val="en-GB"/>
        </w:rPr>
      </w:pPr>
      <w:r w:rsidRPr="00ED29C2">
        <w:rPr>
          <w:rFonts w:ascii="Arial" w:hAnsi="Arial" w:cs="Arial"/>
          <w:b/>
          <w:bCs/>
          <w:sz w:val="24"/>
          <w:szCs w:val="24"/>
          <w:lang w:val="en-GB"/>
        </w:rPr>
        <w:lastRenderedPageBreak/>
        <w:t>The fact</w:t>
      </w:r>
      <w:r w:rsidR="00287BDC" w:rsidRPr="00ED29C2">
        <w:rPr>
          <w:rFonts w:ascii="Arial" w:hAnsi="Arial" w:cs="Arial"/>
          <w:b/>
          <w:bCs/>
          <w:sz w:val="24"/>
          <w:szCs w:val="24"/>
          <w:lang w:val="en-GB"/>
        </w:rPr>
        <w:t xml:space="preserve">ual and legal context of the authority challenge </w:t>
      </w:r>
      <w:r w:rsidRPr="00ED29C2">
        <w:rPr>
          <w:rFonts w:ascii="Arial" w:hAnsi="Arial" w:cs="Arial"/>
          <w:b/>
          <w:bCs/>
          <w:sz w:val="24"/>
          <w:szCs w:val="24"/>
          <w:lang w:val="en-GB"/>
        </w:rPr>
        <w:t xml:space="preserve"> </w:t>
      </w:r>
    </w:p>
    <w:p w:rsidR="00D94B24" w:rsidRDefault="00630603" w:rsidP="00630603">
      <w:pPr>
        <w:spacing w:after="0" w:line="360" w:lineRule="auto"/>
        <w:jc w:val="both"/>
        <w:rPr>
          <w:rFonts w:ascii="Arial" w:hAnsi="Arial" w:cs="Arial"/>
          <w:sz w:val="24"/>
          <w:szCs w:val="24"/>
          <w:lang w:val="en-GB"/>
        </w:rPr>
      </w:pPr>
      <w:r>
        <w:rPr>
          <w:rFonts w:ascii="Arial" w:hAnsi="Arial" w:cs="Arial"/>
          <w:sz w:val="24"/>
          <w:szCs w:val="24"/>
          <w:lang w:val="en-GB"/>
        </w:rPr>
        <w:t>[7]</w:t>
      </w:r>
      <w:r>
        <w:rPr>
          <w:rFonts w:ascii="Arial" w:hAnsi="Arial" w:cs="Arial"/>
          <w:sz w:val="24"/>
          <w:szCs w:val="24"/>
          <w:lang w:val="en-GB"/>
        </w:rPr>
        <w:tab/>
      </w:r>
      <w:r w:rsidR="00B564AA" w:rsidRPr="002B0635">
        <w:rPr>
          <w:rFonts w:ascii="Arial" w:hAnsi="Arial" w:cs="Arial"/>
          <w:sz w:val="24"/>
          <w:szCs w:val="24"/>
          <w:lang w:val="en-GB"/>
        </w:rPr>
        <w:t>The applicant has only two directors and shareholders, Mr R</w:t>
      </w:r>
      <w:r w:rsidR="007B06B5" w:rsidRPr="002B0635">
        <w:rPr>
          <w:rFonts w:ascii="Arial" w:hAnsi="Arial" w:cs="Arial"/>
          <w:sz w:val="24"/>
          <w:szCs w:val="24"/>
          <w:lang w:val="en-GB"/>
        </w:rPr>
        <w:t>ichard</w:t>
      </w:r>
      <w:r w:rsidR="00B564AA" w:rsidRPr="002B0635">
        <w:rPr>
          <w:rFonts w:ascii="Arial" w:hAnsi="Arial" w:cs="Arial"/>
          <w:sz w:val="24"/>
          <w:szCs w:val="24"/>
          <w:lang w:val="en-GB"/>
        </w:rPr>
        <w:t xml:space="preserve"> Longford and Ms Tracy Robinson. </w:t>
      </w:r>
      <w:r w:rsidR="007B06B5" w:rsidRPr="002B0635">
        <w:rPr>
          <w:rFonts w:ascii="Arial" w:hAnsi="Arial" w:cs="Arial"/>
          <w:sz w:val="24"/>
          <w:szCs w:val="24"/>
          <w:lang w:val="en-GB"/>
        </w:rPr>
        <w:t>It is common cause that u</w:t>
      </w:r>
      <w:r w:rsidR="00B564AA" w:rsidRPr="002B0635">
        <w:rPr>
          <w:rFonts w:ascii="Arial" w:hAnsi="Arial" w:cs="Arial"/>
          <w:sz w:val="24"/>
          <w:szCs w:val="24"/>
          <w:lang w:val="en-GB"/>
        </w:rPr>
        <w:t xml:space="preserve">ntil at least </w:t>
      </w:r>
      <w:r w:rsidR="007B06B5" w:rsidRPr="002B0635">
        <w:rPr>
          <w:rFonts w:ascii="Arial" w:hAnsi="Arial" w:cs="Arial"/>
          <w:sz w:val="24"/>
          <w:szCs w:val="24"/>
          <w:lang w:val="en-GB"/>
        </w:rPr>
        <w:t>17</w:t>
      </w:r>
      <w:r w:rsidR="00B564AA" w:rsidRPr="002B0635">
        <w:rPr>
          <w:rFonts w:ascii="Arial" w:hAnsi="Arial" w:cs="Arial"/>
          <w:sz w:val="24"/>
          <w:szCs w:val="24"/>
          <w:lang w:val="en-GB"/>
        </w:rPr>
        <w:t xml:space="preserve"> July 2022</w:t>
      </w:r>
      <w:r w:rsidR="007B06B5" w:rsidRPr="002B0635">
        <w:rPr>
          <w:rFonts w:ascii="Arial" w:hAnsi="Arial" w:cs="Arial"/>
          <w:sz w:val="24"/>
          <w:szCs w:val="24"/>
          <w:lang w:val="en-GB"/>
        </w:rPr>
        <w:t xml:space="preserve"> Ms Robinson</w:t>
      </w:r>
      <w:r w:rsidR="00B564AA" w:rsidRPr="002B0635">
        <w:rPr>
          <w:rFonts w:ascii="Arial" w:hAnsi="Arial" w:cs="Arial"/>
          <w:sz w:val="24"/>
          <w:szCs w:val="24"/>
          <w:lang w:val="en-GB"/>
        </w:rPr>
        <w:t xml:space="preserve"> was </w:t>
      </w:r>
      <w:r w:rsidR="00F64915" w:rsidRPr="002B0635">
        <w:rPr>
          <w:rFonts w:ascii="Arial" w:hAnsi="Arial" w:cs="Arial"/>
          <w:sz w:val="24"/>
          <w:szCs w:val="24"/>
          <w:lang w:val="en-GB"/>
        </w:rPr>
        <w:t xml:space="preserve">also </w:t>
      </w:r>
      <w:r w:rsidR="00B564AA" w:rsidRPr="002B0635">
        <w:rPr>
          <w:rFonts w:ascii="Arial" w:hAnsi="Arial" w:cs="Arial"/>
          <w:sz w:val="24"/>
          <w:szCs w:val="24"/>
          <w:lang w:val="en-GB"/>
        </w:rPr>
        <w:t>the sole shareholder and director of the respondent</w:t>
      </w:r>
      <w:r w:rsidR="00F64915" w:rsidRPr="002B0635">
        <w:rPr>
          <w:rFonts w:ascii="Arial" w:hAnsi="Arial" w:cs="Arial"/>
          <w:sz w:val="24"/>
          <w:szCs w:val="24"/>
          <w:lang w:val="en-GB"/>
        </w:rPr>
        <w:t xml:space="preserve">. </w:t>
      </w:r>
      <w:r w:rsidR="00B564AA" w:rsidRPr="002B0635">
        <w:rPr>
          <w:rFonts w:ascii="Arial" w:hAnsi="Arial" w:cs="Arial"/>
          <w:sz w:val="24"/>
          <w:szCs w:val="24"/>
          <w:lang w:val="en-GB"/>
        </w:rPr>
        <w:t xml:space="preserve">On that date she resigned as director and appointed </w:t>
      </w:r>
      <w:r w:rsidR="00057FFA" w:rsidRPr="002B0635">
        <w:rPr>
          <w:rFonts w:ascii="Arial" w:hAnsi="Arial" w:cs="Arial"/>
          <w:sz w:val="24"/>
          <w:szCs w:val="24"/>
          <w:lang w:val="en-GB"/>
        </w:rPr>
        <w:t>Mr Ahmed</w:t>
      </w:r>
      <w:r w:rsidR="00B564AA" w:rsidRPr="002B0635">
        <w:rPr>
          <w:rFonts w:ascii="Arial" w:hAnsi="Arial" w:cs="Arial"/>
          <w:sz w:val="24"/>
          <w:szCs w:val="24"/>
          <w:lang w:val="en-GB"/>
        </w:rPr>
        <w:t xml:space="preserve">, </w:t>
      </w:r>
      <w:r w:rsidR="003A13DB">
        <w:rPr>
          <w:rFonts w:ascii="Arial" w:hAnsi="Arial" w:cs="Arial"/>
          <w:sz w:val="24"/>
          <w:szCs w:val="24"/>
          <w:lang w:val="en-GB"/>
        </w:rPr>
        <w:t xml:space="preserve">until then </w:t>
      </w:r>
      <w:r w:rsidR="00B564AA" w:rsidRPr="002B0635">
        <w:rPr>
          <w:rFonts w:ascii="Arial" w:hAnsi="Arial" w:cs="Arial"/>
          <w:sz w:val="24"/>
          <w:szCs w:val="24"/>
          <w:lang w:val="en-GB"/>
        </w:rPr>
        <w:t xml:space="preserve">the respondent’s </w:t>
      </w:r>
      <w:r w:rsidR="000A3C54" w:rsidRPr="002B0635">
        <w:rPr>
          <w:rFonts w:ascii="Arial" w:hAnsi="Arial" w:cs="Arial"/>
          <w:sz w:val="24"/>
          <w:szCs w:val="24"/>
          <w:lang w:val="en-GB"/>
        </w:rPr>
        <w:t>accountant</w:t>
      </w:r>
      <w:r w:rsidR="00F64915" w:rsidRPr="002B0635">
        <w:rPr>
          <w:rFonts w:ascii="Arial" w:hAnsi="Arial" w:cs="Arial"/>
          <w:sz w:val="24"/>
          <w:szCs w:val="24"/>
          <w:lang w:val="en-GB"/>
        </w:rPr>
        <w:t>,</w:t>
      </w:r>
      <w:r w:rsidR="000A3C54" w:rsidRPr="002B0635">
        <w:rPr>
          <w:rFonts w:ascii="Arial" w:hAnsi="Arial" w:cs="Arial"/>
          <w:sz w:val="24"/>
          <w:szCs w:val="24"/>
          <w:lang w:val="en-GB"/>
        </w:rPr>
        <w:t xml:space="preserve"> a</w:t>
      </w:r>
      <w:r w:rsidR="00B564AA" w:rsidRPr="002B0635">
        <w:rPr>
          <w:rFonts w:ascii="Arial" w:hAnsi="Arial" w:cs="Arial"/>
          <w:sz w:val="24"/>
          <w:szCs w:val="24"/>
          <w:lang w:val="en-GB"/>
        </w:rPr>
        <w:t xml:space="preserve">s </w:t>
      </w:r>
      <w:r w:rsidR="000A3C54" w:rsidRPr="002B0635">
        <w:rPr>
          <w:rFonts w:ascii="Arial" w:hAnsi="Arial" w:cs="Arial"/>
          <w:sz w:val="24"/>
          <w:szCs w:val="24"/>
          <w:lang w:val="en-GB"/>
        </w:rPr>
        <w:t xml:space="preserve">its </w:t>
      </w:r>
      <w:r w:rsidR="00B564AA" w:rsidRPr="002B0635">
        <w:rPr>
          <w:rFonts w:ascii="Arial" w:hAnsi="Arial" w:cs="Arial"/>
          <w:sz w:val="24"/>
          <w:szCs w:val="24"/>
          <w:lang w:val="en-GB"/>
        </w:rPr>
        <w:t>sole director</w:t>
      </w:r>
      <w:r w:rsidR="003A13DB">
        <w:rPr>
          <w:rFonts w:ascii="Arial" w:hAnsi="Arial" w:cs="Arial"/>
          <w:sz w:val="24"/>
          <w:szCs w:val="24"/>
          <w:lang w:val="en-GB"/>
        </w:rPr>
        <w:t>,</w:t>
      </w:r>
      <w:r w:rsidR="00F64915" w:rsidRPr="002B0635">
        <w:rPr>
          <w:rFonts w:ascii="Arial" w:hAnsi="Arial" w:cs="Arial"/>
          <w:sz w:val="24"/>
          <w:szCs w:val="24"/>
          <w:lang w:val="en-GB"/>
        </w:rPr>
        <w:t xml:space="preserve"> and </w:t>
      </w:r>
      <w:r w:rsidR="00B564AA" w:rsidRPr="002B0635">
        <w:rPr>
          <w:rFonts w:ascii="Arial" w:hAnsi="Arial" w:cs="Arial"/>
          <w:sz w:val="24"/>
          <w:szCs w:val="24"/>
          <w:lang w:val="en-GB"/>
        </w:rPr>
        <w:t>sold h</w:t>
      </w:r>
      <w:r w:rsidR="00230451" w:rsidRPr="002B0635">
        <w:rPr>
          <w:rFonts w:ascii="Arial" w:hAnsi="Arial" w:cs="Arial"/>
          <w:sz w:val="24"/>
          <w:szCs w:val="24"/>
          <w:lang w:val="en-GB"/>
        </w:rPr>
        <w:t>er</w:t>
      </w:r>
      <w:r w:rsidR="00B564AA" w:rsidRPr="002B0635">
        <w:rPr>
          <w:rFonts w:ascii="Arial" w:hAnsi="Arial" w:cs="Arial"/>
          <w:sz w:val="24"/>
          <w:szCs w:val="24"/>
          <w:lang w:val="en-GB"/>
        </w:rPr>
        <w:t xml:space="preserve"> shares to him.</w:t>
      </w:r>
      <w:r w:rsidR="00230451" w:rsidRPr="002B0635">
        <w:rPr>
          <w:rFonts w:ascii="Arial" w:hAnsi="Arial" w:cs="Arial"/>
          <w:sz w:val="24"/>
          <w:szCs w:val="24"/>
          <w:lang w:val="en-GB"/>
        </w:rPr>
        <w:t xml:space="preserve"> </w:t>
      </w:r>
    </w:p>
    <w:p w:rsidR="00D94B24" w:rsidRDefault="00D94B24" w:rsidP="00D94B24">
      <w:pPr>
        <w:spacing w:after="0" w:line="360" w:lineRule="auto"/>
        <w:jc w:val="both"/>
        <w:rPr>
          <w:rFonts w:ascii="Arial" w:hAnsi="Arial" w:cs="Arial"/>
          <w:sz w:val="24"/>
          <w:szCs w:val="24"/>
          <w:lang w:val="en-GB"/>
        </w:rPr>
      </w:pPr>
    </w:p>
    <w:p w:rsidR="001D2353" w:rsidRDefault="00630603" w:rsidP="00630603">
      <w:pPr>
        <w:spacing w:after="0" w:line="360" w:lineRule="auto"/>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r>
      <w:r w:rsidR="001D2353">
        <w:rPr>
          <w:rFonts w:ascii="Arial" w:hAnsi="Arial" w:cs="Arial"/>
          <w:sz w:val="24"/>
          <w:szCs w:val="24"/>
          <w:lang w:val="en-GB"/>
        </w:rPr>
        <w:t>T</w:t>
      </w:r>
      <w:r w:rsidR="00A90420" w:rsidRPr="002B0635">
        <w:rPr>
          <w:rFonts w:ascii="Arial" w:hAnsi="Arial" w:cs="Arial"/>
          <w:sz w:val="24"/>
          <w:szCs w:val="24"/>
          <w:lang w:val="en-GB"/>
        </w:rPr>
        <w:t>he respondent’s deponent</w:t>
      </w:r>
      <w:r w:rsidR="001D2353">
        <w:rPr>
          <w:rFonts w:ascii="Arial" w:hAnsi="Arial" w:cs="Arial"/>
          <w:sz w:val="24"/>
          <w:szCs w:val="24"/>
          <w:lang w:val="en-GB"/>
        </w:rPr>
        <w:t>s,</w:t>
      </w:r>
      <w:r w:rsidR="00A90420" w:rsidRPr="002B0635">
        <w:rPr>
          <w:rFonts w:ascii="Arial" w:hAnsi="Arial" w:cs="Arial"/>
          <w:sz w:val="24"/>
          <w:szCs w:val="24"/>
          <w:lang w:val="en-GB"/>
        </w:rPr>
        <w:t xml:space="preserve"> Mr Ahmed </w:t>
      </w:r>
      <w:r w:rsidR="001D2353">
        <w:rPr>
          <w:rFonts w:ascii="Arial" w:hAnsi="Arial" w:cs="Arial"/>
          <w:sz w:val="24"/>
          <w:szCs w:val="24"/>
          <w:lang w:val="en-GB"/>
        </w:rPr>
        <w:t>and</w:t>
      </w:r>
      <w:r w:rsidR="00A90420" w:rsidRPr="002B0635">
        <w:rPr>
          <w:rFonts w:ascii="Arial" w:hAnsi="Arial" w:cs="Arial"/>
          <w:sz w:val="24"/>
          <w:szCs w:val="24"/>
          <w:lang w:val="en-GB"/>
        </w:rPr>
        <w:t xml:space="preserve"> Ms Robinson</w:t>
      </w:r>
      <w:r w:rsidR="001D2353">
        <w:rPr>
          <w:rFonts w:ascii="Arial" w:hAnsi="Arial" w:cs="Arial"/>
          <w:sz w:val="24"/>
          <w:szCs w:val="24"/>
          <w:lang w:val="en-GB"/>
        </w:rPr>
        <w:t>, did not explain</w:t>
      </w:r>
      <w:r w:rsidR="001D2353" w:rsidRPr="002B0635">
        <w:rPr>
          <w:rFonts w:ascii="Arial" w:hAnsi="Arial" w:cs="Arial"/>
          <w:sz w:val="24"/>
          <w:szCs w:val="24"/>
          <w:lang w:val="en-GB"/>
        </w:rPr>
        <w:t xml:space="preserve"> the reason for the sale and change in directorship</w:t>
      </w:r>
      <w:r w:rsidR="001D2353">
        <w:rPr>
          <w:rFonts w:ascii="Arial" w:hAnsi="Arial" w:cs="Arial"/>
          <w:sz w:val="24"/>
          <w:szCs w:val="24"/>
          <w:lang w:val="en-GB"/>
        </w:rPr>
        <w:t xml:space="preserve">, </w:t>
      </w:r>
      <w:r w:rsidR="00A90420" w:rsidRPr="002B0635">
        <w:rPr>
          <w:rFonts w:ascii="Arial" w:hAnsi="Arial" w:cs="Arial"/>
          <w:sz w:val="24"/>
          <w:szCs w:val="24"/>
          <w:lang w:val="en-GB"/>
        </w:rPr>
        <w:t xml:space="preserve">adduce the agreements </w:t>
      </w:r>
      <w:r w:rsidR="003A13DB">
        <w:rPr>
          <w:rFonts w:ascii="Arial" w:hAnsi="Arial" w:cs="Arial"/>
          <w:sz w:val="24"/>
          <w:szCs w:val="24"/>
          <w:lang w:val="en-GB"/>
        </w:rPr>
        <w:t xml:space="preserve">they </w:t>
      </w:r>
      <w:r w:rsidR="00A90420" w:rsidRPr="002B0635">
        <w:rPr>
          <w:rFonts w:ascii="Arial" w:hAnsi="Arial" w:cs="Arial"/>
          <w:sz w:val="24"/>
          <w:szCs w:val="24"/>
          <w:lang w:val="en-GB"/>
        </w:rPr>
        <w:t>conclud</w:t>
      </w:r>
      <w:r w:rsidR="003A13DB">
        <w:rPr>
          <w:rFonts w:ascii="Arial" w:hAnsi="Arial" w:cs="Arial"/>
          <w:sz w:val="24"/>
          <w:szCs w:val="24"/>
          <w:lang w:val="en-GB"/>
        </w:rPr>
        <w:t>ed</w:t>
      </w:r>
      <w:r w:rsidR="00D94B24">
        <w:rPr>
          <w:rFonts w:ascii="Arial" w:hAnsi="Arial" w:cs="Arial"/>
          <w:sz w:val="24"/>
          <w:szCs w:val="24"/>
          <w:lang w:val="en-GB"/>
        </w:rPr>
        <w:t>.</w:t>
      </w:r>
      <w:r w:rsidR="00A90420" w:rsidRPr="002B0635">
        <w:rPr>
          <w:rFonts w:ascii="Arial" w:hAnsi="Arial" w:cs="Arial"/>
          <w:sz w:val="24"/>
          <w:szCs w:val="24"/>
          <w:lang w:val="en-GB"/>
        </w:rPr>
        <w:t>,</w:t>
      </w:r>
      <w:r w:rsidR="003A13DB">
        <w:rPr>
          <w:rFonts w:ascii="Arial" w:hAnsi="Arial" w:cs="Arial"/>
          <w:sz w:val="24"/>
          <w:szCs w:val="24"/>
          <w:lang w:val="en-GB"/>
        </w:rPr>
        <w:t xml:space="preserve"> or</w:t>
      </w:r>
      <w:r w:rsidR="001D2353">
        <w:rPr>
          <w:rFonts w:ascii="Arial" w:hAnsi="Arial" w:cs="Arial"/>
          <w:sz w:val="24"/>
          <w:szCs w:val="24"/>
          <w:lang w:val="en-GB"/>
        </w:rPr>
        <w:t xml:space="preserve"> disclose</w:t>
      </w:r>
      <w:r w:rsidR="00A90420" w:rsidRPr="002B0635">
        <w:rPr>
          <w:rFonts w:ascii="Arial" w:hAnsi="Arial" w:cs="Arial"/>
          <w:sz w:val="24"/>
          <w:szCs w:val="24"/>
          <w:lang w:val="en-GB"/>
        </w:rPr>
        <w:t xml:space="preserve"> the consideration, if any, paid by Mr Ahmed for the shares. </w:t>
      </w:r>
    </w:p>
    <w:p w:rsidR="001D2353" w:rsidRDefault="001D2353" w:rsidP="001D2353">
      <w:pPr>
        <w:pStyle w:val="ListParagraph"/>
        <w:rPr>
          <w:rFonts w:ascii="Arial" w:hAnsi="Arial" w:cs="Arial"/>
          <w:sz w:val="24"/>
          <w:szCs w:val="24"/>
          <w:lang w:val="en-GB"/>
        </w:rPr>
      </w:pPr>
    </w:p>
    <w:p w:rsidR="00EC4EC7" w:rsidRPr="00EC4EC7" w:rsidRDefault="00630603" w:rsidP="00630603">
      <w:pPr>
        <w:spacing w:after="0" w:line="360" w:lineRule="auto"/>
        <w:jc w:val="both"/>
        <w:rPr>
          <w:rFonts w:ascii="Arial" w:hAnsi="Arial" w:cs="Arial"/>
          <w:lang w:val="en-GB"/>
        </w:rPr>
      </w:pPr>
      <w:r w:rsidRPr="00EC4EC7">
        <w:rPr>
          <w:rFonts w:ascii="Arial" w:hAnsi="Arial" w:cs="Arial"/>
          <w:sz w:val="24"/>
          <w:szCs w:val="24"/>
          <w:lang w:val="en-GB"/>
        </w:rPr>
        <w:t>[9]</w:t>
      </w:r>
      <w:r w:rsidRPr="00EC4EC7">
        <w:rPr>
          <w:rFonts w:ascii="Arial" w:hAnsi="Arial" w:cs="Arial"/>
          <w:sz w:val="24"/>
          <w:szCs w:val="24"/>
          <w:lang w:val="en-GB"/>
        </w:rPr>
        <w:tab/>
      </w:r>
      <w:r w:rsidR="00D94B24" w:rsidRPr="00EC4EC7">
        <w:rPr>
          <w:rFonts w:ascii="Arial" w:hAnsi="Arial" w:cs="Arial"/>
          <w:sz w:val="24"/>
          <w:szCs w:val="24"/>
          <w:lang w:val="en-GB"/>
        </w:rPr>
        <w:t>A</w:t>
      </w:r>
      <w:r w:rsidR="00B564AA" w:rsidRPr="00EC4EC7">
        <w:rPr>
          <w:rFonts w:ascii="Arial" w:hAnsi="Arial" w:cs="Arial"/>
          <w:sz w:val="24"/>
          <w:szCs w:val="24"/>
          <w:lang w:val="en-GB"/>
        </w:rPr>
        <w:t xml:space="preserve"> printout from the Companies and Intellectual Property </w:t>
      </w:r>
      <w:r w:rsidR="00057FFA" w:rsidRPr="00EC4EC7">
        <w:rPr>
          <w:rFonts w:ascii="Arial" w:hAnsi="Arial" w:cs="Arial"/>
          <w:sz w:val="24"/>
          <w:szCs w:val="24"/>
          <w:lang w:val="en-GB"/>
        </w:rPr>
        <w:t xml:space="preserve">Commission </w:t>
      </w:r>
      <w:r w:rsidR="000A3C54" w:rsidRPr="00EC4EC7">
        <w:rPr>
          <w:rFonts w:ascii="Arial" w:hAnsi="Arial" w:cs="Arial"/>
          <w:sz w:val="24"/>
          <w:szCs w:val="24"/>
          <w:lang w:val="en-GB"/>
        </w:rPr>
        <w:t xml:space="preserve">(CIPC) </w:t>
      </w:r>
      <w:r w:rsidR="00B564AA" w:rsidRPr="00EC4EC7">
        <w:rPr>
          <w:rFonts w:ascii="Arial" w:hAnsi="Arial" w:cs="Arial"/>
          <w:sz w:val="24"/>
          <w:szCs w:val="24"/>
          <w:lang w:val="en-GB"/>
        </w:rPr>
        <w:t>reveals that there are 1</w:t>
      </w:r>
      <w:r w:rsidR="00057FFA" w:rsidRPr="00EC4EC7">
        <w:rPr>
          <w:rFonts w:ascii="Arial" w:hAnsi="Arial" w:cs="Arial"/>
          <w:sz w:val="24"/>
          <w:szCs w:val="24"/>
          <w:lang w:val="en-GB"/>
        </w:rPr>
        <w:t xml:space="preserve"> </w:t>
      </w:r>
      <w:r w:rsidR="00B564AA" w:rsidRPr="00EC4EC7">
        <w:rPr>
          <w:rFonts w:ascii="Arial" w:hAnsi="Arial" w:cs="Arial"/>
          <w:sz w:val="24"/>
          <w:szCs w:val="24"/>
          <w:lang w:val="en-GB"/>
        </w:rPr>
        <w:t xml:space="preserve">000 </w:t>
      </w:r>
      <w:r w:rsidR="00F64915" w:rsidRPr="00EC4EC7">
        <w:rPr>
          <w:rFonts w:ascii="Arial" w:hAnsi="Arial" w:cs="Arial"/>
          <w:sz w:val="24"/>
          <w:szCs w:val="24"/>
          <w:lang w:val="en-GB"/>
        </w:rPr>
        <w:t xml:space="preserve">issued </w:t>
      </w:r>
      <w:r w:rsidR="00B564AA" w:rsidRPr="00EC4EC7">
        <w:rPr>
          <w:rFonts w:ascii="Arial" w:hAnsi="Arial" w:cs="Arial"/>
          <w:sz w:val="24"/>
          <w:szCs w:val="24"/>
          <w:lang w:val="en-GB"/>
        </w:rPr>
        <w:t>shares in the respondent</w:t>
      </w:r>
      <w:r w:rsidR="00230451" w:rsidRPr="00EC4EC7">
        <w:rPr>
          <w:rFonts w:ascii="Arial" w:hAnsi="Arial" w:cs="Arial"/>
          <w:sz w:val="24"/>
          <w:szCs w:val="24"/>
          <w:lang w:val="en-GB"/>
        </w:rPr>
        <w:t xml:space="preserve">. </w:t>
      </w:r>
      <w:r w:rsidR="001D2353" w:rsidRPr="00EC4EC7">
        <w:rPr>
          <w:rFonts w:ascii="Arial" w:hAnsi="Arial" w:cs="Arial"/>
          <w:sz w:val="24"/>
          <w:szCs w:val="24"/>
          <w:lang w:val="en-GB"/>
        </w:rPr>
        <w:t>Under cover</w:t>
      </w:r>
      <w:r w:rsidR="00230451" w:rsidRPr="00EC4EC7">
        <w:rPr>
          <w:rFonts w:ascii="Arial" w:hAnsi="Arial" w:cs="Arial"/>
          <w:sz w:val="24"/>
          <w:szCs w:val="24"/>
          <w:lang w:val="en-GB"/>
        </w:rPr>
        <w:t xml:space="preserve"> of </w:t>
      </w:r>
      <w:r w:rsidR="001D2353" w:rsidRPr="00EC4EC7">
        <w:rPr>
          <w:rFonts w:ascii="Arial" w:hAnsi="Arial" w:cs="Arial"/>
          <w:sz w:val="24"/>
          <w:szCs w:val="24"/>
          <w:lang w:val="en-GB"/>
        </w:rPr>
        <w:t xml:space="preserve">an </w:t>
      </w:r>
      <w:r w:rsidR="00230451" w:rsidRPr="00EC4EC7">
        <w:rPr>
          <w:rFonts w:ascii="Arial" w:hAnsi="Arial" w:cs="Arial"/>
          <w:sz w:val="24"/>
          <w:szCs w:val="24"/>
          <w:lang w:val="en-GB"/>
        </w:rPr>
        <w:t xml:space="preserve">email dated 25 July 2022, </w:t>
      </w:r>
      <w:r w:rsidR="00B564AA" w:rsidRPr="00EC4EC7">
        <w:rPr>
          <w:rFonts w:ascii="Arial" w:hAnsi="Arial" w:cs="Arial"/>
          <w:sz w:val="24"/>
          <w:szCs w:val="24"/>
          <w:lang w:val="en-GB"/>
        </w:rPr>
        <w:t xml:space="preserve">Ms Robinson </w:t>
      </w:r>
      <w:r w:rsidR="00230451" w:rsidRPr="00EC4EC7">
        <w:rPr>
          <w:rFonts w:ascii="Arial" w:hAnsi="Arial" w:cs="Arial"/>
          <w:sz w:val="24"/>
          <w:szCs w:val="24"/>
          <w:lang w:val="en-GB"/>
        </w:rPr>
        <w:t xml:space="preserve">transmitted to Mr </w:t>
      </w:r>
      <w:r w:rsidR="00A710B3" w:rsidRPr="00EC4EC7">
        <w:rPr>
          <w:rFonts w:ascii="Arial" w:hAnsi="Arial" w:cs="Arial"/>
          <w:sz w:val="24"/>
          <w:szCs w:val="24"/>
          <w:lang w:val="en-GB"/>
        </w:rPr>
        <w:t>L</w:t>
      </w:r>
      <w:r w:rsidR="00A710B3">
        <w:rPr>
          <w:rFonts w:ascii="Arial" w:hAnsi="Arial" w:cs="Arial"/>
          <w:sz w:val="24"/>
          <w:szCs w:val="24"/>
          <w:lang w:val="en-GB"/>
        </w:rPr>
        <w:t>o</w:t>
      </w:r>
      <w:r w:rsidR="00A710B3" w:rsidRPr="00EC4EC7">
        <w:rPr>
          <w:rFonts w:ascii="Arial" w:hAnsi="Arial" w:cs="Arial"/>
          <w:sz w:val="24"/>
          <w:szCs w:val="24"/>
          <w:lang w:val="en-GB"/>
        </w:rPr>
        <w:t xml:space="preserve">ngford </w:t>
      </w:r>
      <w:r w:rsidR="00230451" w:rsidRPr="00EC4EC7">
        <w:rPr>
          <w:rFonts w:ascii="Arial" w:hAnsi="Arial" w:cs="Arial"/>
          <w:sz w:val="24"/>
          <w:szCs w:val="24"/>
          <w:lang w:val="en-GB"/>
        </w:rPr>
        <w:t xml:space="preserve">a share certificate which reflects Mr Ahmed as the holder of </w:t>
      </w:r>
      <w:r w:rsidR="00057FFA" w:rsidRPr="00EC4EC7">
        <w:rPr>
          <w:rFonts w:ascii="Arial" w:hAnsi="Arial" w:cs="Arial"/>
          <w:sz w:val="24"/>
          <w:szCs w:val="24"/>
          <w:lang w:val="en-GB"/>
        </w:rPr>
        <w:t>120 of th</w:t>
      </w:r>
      <w:r w:rsidR="00D94B24" w:rsidRPr="00EC4EC7">
        <w:rPr>
          <w:rFonts w:ascii="Arial" w:hAnsi="Arial" w:cs="Arial"/>
          <w:sz w:val="24"/>
          <w:szCs w:val="24"/>
          <w:lang w:val="en-GB"/>
        </w:rPr>
        <w:t>ose</w:t>
      </w:r>
      <w:r w:rsidR="00230451" w:rsidRPr="00EC4EC7">
        <w:rPr>
          <w:rFonts w:ascii="Arial" w:hAnsi="Arial" w:cs="Arial"/>
          <w:sz w:val="24"/>
          <w:szCs w:val="24"/>
          <w:lang w:val="en-GB"/>
        </w:rPr>
        <w:t xml:space="preserve"> shares</w:t>
      </w:r>
      <w:r w:rsidR="00D94B24" w:rsidRPr="00EC4EC7">
        <w:rPr>
          <w:rFonts w:ascii="Arial" w:hAnsi="Arial" w:cs="Arial"/>
          <w:sz w:val="24"/>
          <w:szCs w:val="24"/>
          <w:lang w:val="en-GB"/>
        </w:rPr>
        <w:t xml:space="preserve">. </w:t>
      </w:r>
    </w:p>
    <w:p w:rsidR="00EC4EC7" w:rsidRDefault="00EC4EC7" w:rsidP="00EC4EC7">
      <w:pPr>
        <w:pStyle w:val="ListParagraph"/>
        <w:rPr>
          <w:rFonts w:ascii="Arial" w:hAnsi="Arial" w:cs="Arial"/>
          <w:sz w:val="24"/>
          <w:szCs w:val="24"/>
          <w:lang w:val="en-GB"/>
        </w:rPr>
      </w:pPr>
    </w:p>
    <w:p w:rsidR="00D57A8A" w:rsidRPr="002C0ECF" w:rsidRDefault="00630603" w:rsidP="00630603">
      <w:pPr>
        <w:spacing w:after="0" w:line="360" w:lineRule="auto"/>
        <w:jc w:val="both"/>
        <w:rPr>
          <w:rFonts w:ascii="Arial" w:hAnsi="Arial" w:cs="Arial"/>
          <w:lang w:val="en-GB"/>
        </w:rPr>
      </w:pPr>
      <w:r w:rsidRPr="002C0ECF">
        <w:rPr>
          <w:rFonts w:ascii="Arial" w:hAnsi="Arial" w:cs="Arial"/>
          <w:sz w:val="24"/>
          <w:szCs w:val="24"/>
          <w:lang w:val="en-GB"/>
        </w:rPr>
        <w:t>[10]</w:t>
      </w:r>
      <w:r w:rsidRPr="002C0ECF">
        <w:rPr>
          <w:rFonts w:ascii="Arial" w:hAnsi="Arial" w:cs="Arial"/>
          <w:sz w:val="24"/>
          <w:szCs w:val="24"/>
          <w:lang w:val="en-GB"/>
        </w:rPr>
        <w:tab/>
      </w:r>
      <w:r w:rsidR="00B564AA" w:rsidRPr="00EC4EC7">
        <w:rPr>
          <w:rFonts w:ascii="Arial" w:hAnsi="Arial" w:cs="Arial"/>
          <w:sz w:val="24"/>
          <w:szCs w:val="24"/>
          <w:lang w:val="en-GB"/>
        </w:rPr>
        <w:t xml:space="preserve">The date of Ms Robinson’s resignation and </w:t>
      </w:r>
      <w:r w:rsidR="00057FFA" w:rsidRPr="00EC4EC7">
        <w:rPr>
          <w:rFonts w:ascii="Arial" w:hAnsi="Arial" w:cs="Arial"/>
          <w:sz w:val="24"/>
          <w:szCs w:val="24"/>
          <w:lang w:val="en-GB"/>
        </w:rPr>
        <w:t xml:space="preserve">the </w:t>
      </w:r>
      <w:r w:rsidR="00A90420" w:rsidRPr="00EC4EC7">
        <w:rPr>
          <w:rFonts w:ascii="Arial" w:hAnsi="Arial" w:cs="Arial"/>
          <w:sz w:val="24"/>
          <w:szCs w:val="24"/>
          <w:lang w:val="en-GB"/>
        </w:rPr>
        <w:t xml:space="preserve">share </w:t>
      </w:r>
      <w:r w:rsidR="00B564AA" w:rsidRPr="00EC4EC7">
        <w:rPr>
          <w:rFonts w:ascii="Arial" w:hAnsi="Arial" w:cs="Arial"/>
          <w:sz w:val="24"/>
          <w:szCs w:val="24"/>
          <w:lang w:val="en-GB"/>
        </w:rPr>
        <w:t xml:space="preserve">sale is significant because it </w:t>
      </w:r>
      <w:r w:rsidR="00F64915" w:rsidRPr="00EC4EC7">
        <w:rPr>
          <w:rFonts w:ascii="Arial" w:hAnsi="Arial" w:cs="Arial"/>
          <w:sz w:val="24"/>
          <w:szCs w:val="24"/>
          <w:lang w:val="en-GB"/>
        </w:rPr>
        <w:t xml:space="preserve">occurred less than a week after she received </w:t>
      </w:r>
      <w:r w:rsidR="00B564AA" w:rsidRPr="00EC4EC7">
        <w:rPr>
          <w:rFonts w:ascii="Arial" w:hAnsi="Arial" w:cs="Arial"/>
          <w:sz w:val="24"/>
          <w:szCs w:val="24"/>
          <w:lang w:val="en-GB"/>
        </w:rPr>
        <w:t xml:space="preserve">notice </w:t>
      </w:r>
      <w:r w:rsidR="00001FB1" w:rsidRPr="00EC4EC7">
        <w:rPr>
          <w:rFonts w:ascii="Arial" w:hAnsi="Arial" w:cs="Arial"/>
          <w:sz w:val="24"/>
          <w:szCs w:val="24"/>
          <w:lang w:val="en-GB"/>
        </w:rPr>
        <w:t>of a directors’ meeting to be held on 26 July 2022</w:t>
      </w:r>
      <w:r w:rsidR="002C0ECF">
        <w:rPr>
          <w:rFonts w:ascii="Arial" w:hAnsi="Arial" w:cs="Arial"/>
          <w:sz w:val="24"/>
          <w:szCs w:val="24"/>
          <w:lang w:val="en-GB"/>
        </w:rPr>
        <w:t xml:space="preserve"> to consider, and if deemed </w:t>
      </w:r>
      <w:r w:rsidR="00057FFA" w:rsidRPr="002C0ECF">
        <w:rPr>
          <w:rFonts w:ascii="Arial" w:hAnsi="Arial" w:cs="Arial"/>
          <w:sz w:val="24"/>
          <w:szCs w:val="24"/>
          <w:lang w:val="en-GB"/>
        </w:rPr>
        <w:t>fit</w:t>
      </w:r>
      <w:r w:rsidR="00A710B3" w:rsidRPr="002C0ECF">
        <w:rPr>
          <w:rFonts w:ascii="Arial" w:hAnsi="Arial" w:cs="Arial"/>
          <w:sz w:val="24"/>
          <w:szCs w:val="24"/>
          <w:lang w:val="en-GB"/>
        </w:rPr>
        <w:t>,</w:t>
      </w:r>
      <w:r w:rsidR="000A3C54" w:rsidRPr="002C0ECF">
        <w:rPr>
          <w:rFonts w:ascii="Arial" w:hAnsi="Arial" w:cs="Arial"/>
          <w:sz w:val="24"/>
          <w:szCs w:val="24"/>
          <w:lang w:val="en-GB"/>
        </w:rPr>
        <w:t xml:space="preserve"> pass </w:t>
      </w:r>
      <w:r w:rsidR="0052692D" w:rsidRPr="002C0ECF">
        <w:rPr>
          <w:rFonts w:ascii="Arial" w:hAnsi="Arial" w:cs="Arial"/>
          <w:sz w:val="24"/>
          <w:szCs w:val="24"/>
          <w:lang w:val="en-GB"/>
        </w:rPr>
        <w:t>an</w:t>
      </w:r>
      <w:r w:rsidR="000A3C54" w:rsidRPr="002C0ECF">
        <w:rPr>
          <w:rFonts w:ascii="Arial" w:hAnsi="Arial" w:cs="Arial"/>
          <w:sz w:val="24"/>
          <w:szCs w:val="24"/>
          <w:lang w:val="en-GB"/>
        </w:rPr>
        <w:t xml:space="preserve"> </w:t>
      </w:r>
      <w:r w:rsidR="00001FB1" w:rsidRPr="002C0ECF">
        <w:rPr>
          <w:rFonts w:ascii="Arial" w:hAnsi="Arial" w:cs="Arial"/>
          <w:sz w:val="24"/>
          <w:szCs w:val="24"/>
          <w:lang w:val="en-GB"/>
        </w:rPr>
        <w:t xml:space="preserve">ordinary </w:t>
      </w:r>
      <w:r w:rsidR="000A3C54" w:rsidRPr="002C0ECF">
        <w:rPr>
          <w:rFonts w:ascii="Arial" w:hAnsi="Arial" w:cs="Arial"/>
          <w:sz w:val="24"/>
          <w:szCs w:val="24"/>
          <w:lang w:val="en-GB"/>
        </w:rPr>
        <w:t>resolution</w:t>
      </w:r>
      <w:r w:rsidR="0052692D" w:rsidRPr="002C0ECF">
        <w:rPr>
          <w:rFonts w:ascii="Arial" w:hAnsi="Arial" w:cs="Arial"/>
          <w:sz w:val="24"/>
          <w:szCs w:val="24"/>
          <w:lang w:val="en-GB"/>
        </w:rPr>
        <w:t xml:space="preserve"> </w:t>
      </w:r>
      <w:r w:rsidR="000A4D37" w:rsidRPr="002C0ECF">
        <w:rPr>
          <w:rFonts w:ascii="Arial" w:hAnsi="Arial" w:cs="Arial"/>
          <w:sz w:val="24"/>
          <w:szCs w:val="24"/>
          <w:lang w:val="en-GB"/>
        </w:rPr>
        <w:t>(the proposed resolution) in the following terms:-</w:t>
      </w:r>
    </w:p>
    <w:p w:rsidR="006715DD" w:rsidRDefault="00DF697F" w:rsidP="006715DD">
      <w:pPr>
        <w:tabs>
          <w:tab w:val="left" w:pos="1985"/>
        </w:tabs>
        <w:spacing w:line="360" w:lineRule="auto"/>
        <w:ind w:left="1985" w:right="992" w:hanging="567"/>
        <w:jc w:val="both"/>
        <w:rPr>
          <w:rFonts w:ascii="Arial" w:hAnsi="Arial" w:cs="Arial"/>
          <w:lang w:val="en-GB"/>
        </w:rPr>
      </w:pPr>
      <w:r>
        <w:rPr>
          <w:rFonts w:ascii="Arial" w:hAnsi="Arial" w:cs="Arial"/>
          <w:lang w:val="en-GB"/>
        </w:rPr>
        <w:t>‘</w:t>
      </w:r>
      <w:r w:rsidR="006715DD">
        <w:rPr>
          <w:rFonts w:ascii="Arial" w:hAnsi="Arial" w:cs="Arial"/>
          <w:lang w:val="en-GB"/>
        </w:rPr>
        <w:t xml:space="preserve">1.     </w:t>
      </w:r>
      <w:r w:rsidR="00ED29C2" w:rsidRPr="006715DD">
        <w:rPr>
          <w:rFonts w:ascii="Arial" w:hAnsi="Arial" w:cs="Arial"/>
          <w:lang w:val="en-GB"/>
        </w:rPr>
        <w:t>Hadar Inc. and its Attorneys are authorised to do or cause to</w:t>
      </w:r>
      <w:r w:rsidR="002B0635" w:rsidRPr="006715DD">
        <w:rPr>
          <w:rFonts w:ascii="Arial" w:hAnsi="Arial" w:cs="Arial"/>
          <w:lang w:val="en-GB"/>
        </w:rPr>
        <w:t xml:space="preserve"> </w:t>
      </w:r>
      <w:r w:rsidR="00ED29C2" w:rsidRPr="006715DD">
        <w:rPr>
          <w:rFonts w:ascii="Arial" w:hAnsi="Arial" w:cs="Arial"/>
          <w:lang w:val="en-GB"/>
        </w:rPr>
        <w:t xml:space="preserve">be </w:t>
      </w:r>
      <w:r w:rsidR="006715DD">
        <w:rPr>
          <w:rFonts w:ascii="Arial" w:hAnsi="Arial" w:cs="Arial"/>
          <w:lang w:val="en-GB"/>
        </w:rPr>
        <w:t xml:space="preserve">   </w:t>
      </w:r>
      <w:r w:rsidR="00ED29C2" w:rsidRPr="006715DD">
        <w:rPr>
          <w:rFonts w:ascii="Arial" w:hAnsi="Arial" w:cs="Arial"/>
          <w:lang w:val="en-GB"/>
        </w:rPr>
        <w:t>done whatsoever shall be requisite as fully and effectively, for all intents and purposes, to recover all debts owed by</w:t>
      </w:r>
      <w:r w:rsidR="00A710B3" w:rsidRPr="006715DD">
        <w:rPr>
          <w:rFonts w:ascii="Arial" w:hAnsi="Arial" w:cs="Arial"/>
          <w:lang w:val="en-GB"/>
        </w:rPr>
        <w:t xml:space="preserve"> </w:t>
      </w:r>
      <w:r w:rsidR="00ED29C2" w:rsidRPr="006715DD">
        <w:rPr>
          <w:rFonts w:ascii="Arial" w:hAnsi="Arial" w:cs="Arial"/>
          <w:lang w:val="en-GB"/>
        </w:rPr>
        <w:t>Vangiflash to the Company; and to eject Vangiflash from the premises; and</w:t>
      </w:r>
    </w:p>
    <w:p w:rsidR="00234C5D" w:rsidRPr="006715DD" w:rsidRDefault="006715DD" w:rsidP="006715DD">
      <w:pPr>
        <w:spacing w:line="360" w:lineRule="auto"/>
        <w:ind w:left="1985" w:right="992" w:hanging="567"/>
        <w:jc w:val="both"/>
        <w:rPr>
          <w:rFonts w:ascii="Arial" w:hAnsi="Arial" w:cs="Arial"/>
          <w:lang w:val="en-GB"/>
        </w:rPr>
      </w:pPr>
      <w:r>
        <w:rPr>
          <w:rFonts w:ascii="Arial" w:hAnsi="Arial" w:cs="Arial"/>
          <w:lang w:val="en-GB"/>
        </w:rPr>
        <w:t xml:space="preserve">  2.  R</w:t>
      </w:r>
      <w:r w:rsidR="00ED29C2" w:rsidRPr="006715DD">
        <w:rPr>
          <w:rFonts w:ascii="Arial" w:hAnsi="Arial" w:cs="Arial"/>
          <w:lang w:val="en-GB"/>
        </w:rPr>
        <w:t>atify all steps/actions already taken by Hadar Inc.</w:t>
      </w:r>
      <w:r>
        <w:rPr>
          <w:rFonts w:ascii="Arial" w:hAnsi="Arial" w:cs="Arial"/>
          <w:lang w:val="en-GB"/>
        </w:rPr>
        <w:t xml:space="preserve"> </w:t>
      </w:r>
      <w:r w:rsidR="00ED29C2" w:rsidRPr="006715DD">
        <w:rPr>
          <w:rFonts w:ascii="Arial" w:hAnsi="Arial" w:cs="Arial"/>
          <w:lang w:val="en-GB"/>
        </w:rPr>
        <w:t xml:space="preserve">and its </w:t>
      </w:r>
      <w:r>
        <w:rPr>
          <w:rFonts w:ascii="Arial" w:hAnsi="Arial" w:cs="Arial"/>
          <w:lang w:val="en-GB"/>
        </w:rPr>
        <w:t xml:space="preserve"> </w:t>
      </w:r>
      <w:r w:rsidR="00ED29C2" w:rsidRPr="006715DD">
        <w:rPr>
          <w:rFonts w:ascii="Arial" w:hAnsi="Arial" w:cs="Arial"/>
          <w:lang w:val="en-GB"/>
        </w:rPr>
        <w:t>Attorneys to recover all amounts owed by Vangiflash, which includes but is not limited to, the action instituted out of the Durban High Court under case number D5381/2022</w:t>
      </w:r>
      <w:r w:rsidR="00EC4EC7" w:rsidRPr="006715DD">
        <w:rPr>
          <w:rFonts w:ascii="Arial" w:hAnsi="Arial" w:cs="Arial"/>
          <w:lang w:val="en-GB"/>
        </w:rPr>
        <w:t>.</w:t>
      </w:r>
      <w:r w:rsidR="00001FB1" w:rsidRPr="006715DD">
        <w:rPr>
          <w:rFonts w:ascii="Arial" w:hAnsi="Arial" w:cs="Arial"/>
          <w:lang w:val="en-GB"/>
        </w:rPr>
        <w:t>’</w:t>
      </w:r>
    </w:p>
    <w:p w:rsidR="00332644" w:rsidRPr="00332644" w:rsidRDefault="00332644" w:rsidP="00332644">
      <w:pPr>
        <w:spacing w:line="360" w:lineRule="auto"/>
        <w:ind w:right="992"/>
        <w:jc w:val="both"/>
        <w:rPr>
          <w:rFonts w:ascii="Arial" w:hAnsi="Arial" w:cs="Arial"/>
          <w:lang w:val="en-GB"/>
        </w:rPr>
      </w:pPr>
    </w:p>
    <w:p w:rsidR="00572C7C" w:rsidRDefault="00630603" w:rsidP="00630603">
      <w:pPr>
        <w:spacing w:after="0" w:line="360" w:lineRule="auto"/>
        <w:jc w:val="both"/>
        <w:rPr>
          <w:rFonts w:ascii="Arial" w:hAnsi="Arial" w:cs="Arial"/>
          <w:sz w:val="24"/>
          <w:szCs w:val="24"/>
          <w:lang w:val="en-GB"/>
        </w:rPr>
      </w:pPr>
      <w:r>
        <w:rPr>
          <w:rFonts w:ascii="Arial" w:hAnsi="Arial" w:cs="Arial"/>
          <w:sz w:val="24"/>
          <w:szCs w:val="24"/>
          <w:lang w:val="en-GB"/>
        </w:rPr>
        <w:lastRenderedPageBreak/>
        <w:t>[11]</w:t>
      </w:r>
      <w:r>
        <w:rPr>
          <w:rFonts w:ascii="Arial" w:hAnsi="Arial" w:cs="Arial"/>
          <w:sz w:val="24"/>
          <w:szCs w:val="24"/>
          <w:lang w:val="en-GB"/>
        </w:rPr>
        <w:tab/>
      </w:r>
      <w:r w:rsidR="00B564AA" w:rsidRPr="00572C7C">
        <w:rPr>
          <w:rFonts w:ascii="Arial" w:hAnsi="Arial" w:cs="Arial"/>
          <w:sz w:val="24"/>
          <w:szCs w:val="24"/>
          <w:lang w:val="en-GB"/>
        </w:rPr>
        <w:t>The notice of the meeting raised Ms Robinson’s conflict in respect of the subject matter to be discussed</w:t>
      </w:r>
      <w:r w:rsidR="00380264" w:rsidRPr="00572C7C">
        <w:rPr>
          <w:rFonts w:ascii="Arial" w:hAnsi="Arial" w:cs="Arial"/>
          <w:sz w:val="24"/>
          <w:szCs w:val="24"/>
          <w:lang w:val="en-GB"/>
        </w:rPr>
        <w:t xml:space="preserve">. It </w:t>
      </w:r>
      <w:r w:rsidR="000A3C54" w:rsidRPr="00572C7C">
        <w:rPr>
          <w:rFonts w:ascii="Arial" w:hAnsi="Arial" w:cs="Arial"/>
          <w:sz w:val="24"/>
          <w:szCs w:val="24"/>
          <w:lang w:val="en-GB"/>
        </w:rPr>
        <w:t>recorded</w:t>
      </w:r>
      <w:r w:rsidR="00380264" w:rsidRPr="00572C7C">
        <w:rPr>
          <w:rFonts w:ascii="Arial" w:hAnsi="Arial" w:cs="Arial"/>
          <w:sz w:val="24"/>
          <w:szCs w:val="24"/>
          <w:lang w:val="en-GB"/>
        </w:rPr>
        <w:t xml:space="preserve"> that as the sole director of the respondent she had unduly enriched that company at the applicant’s expense</w:t>
      </w:r>
      <w:r w:rsidR="00B564AA" w:rsidRPr="00572C7C">
        <w:rPr>
          <w:rFonts w:ascii="Arial" w:hAnsi="Arial" w:cs="Arial"/>
          <w:sz w:val="24"/>
          <w:szCs w:val="24"/>
          <w:lang w:val="en-GB"/>
        </w:rPr>
        <w:t xml:space="preserve"> </w:t>
      </w:r>
      <w:r w:rsidR="00380264" w:rsidRPr="00572C7C">
        <w:rPr>
          <w:rFonts w:ascii="Arial" w:hAnsi="Arial" w:cs="Arial"/>
          <w:sz w:val="24"/>
          <w:szCs w:val="24"/>
          <w:lang w:val="en-GB"/>
        </w:rPr>
        <w:t>by failing to take action against the respondent or assist</w:t>
      </w:r>
      <w:r w:rsidR="00001FB1" w:rsidRPr="00572C7C">
        <w:rPr>
          <w:rFonts w:ascii="Arial" w:hAnsi="Arial" w:cs="Arial"/>
          <w:sz w:val="24"/>
          <w:szCs w:val="24"/>
          <w:lang w:val="en-GB"/>
        </w:rPr>
        <w:t>ing</w:t>
      </w:r>
      <w:r w:rsidR="00380264" w:rsidRPr="00572C7C">
        <w:rPr>
          <w:rFonts w:ascii="Arial" w:hAnsi="Arial" w:cs="Arial"/>
          <w:sz w:val="24"/>
          <w:szCs w:val="24"/>
          <w:lang w:val="en-GB"/>
        </w:rPr>
        <w:t xml:space="preserve"> her co-director to take any action against the respondent for its failure to pay amounts owing to the applicant in respect not only of </w:t>
      </w:r>
      <w:r w:rsidR="00001FB1" w:rsidRPr="00572C7C">
        <w:rPr>
          <w:rFonts w:ascii="Arial" w:hAnsi="Arial" w:cs="Arial"/>
          <w:sz w:val="24"/>
          <w:szCs w:val="24"/>
          <w:lang w:val="en-GB"/>
        </w:rPr>
        <w:t xml:space="preserve"> arrear </w:t>
      </w:r>
      <w:r w:rsidR="00380264" w:rsidRPr="00572C7C">
        <w:rPr>
          <w:rFonts w:ascii="Arial" w:hAnsi="Arial" w:cs="Arial"/>
          <w:sz w:val="24"/>
          <w:szCs w:val="24"/>
          <w:lang w:val="en-GB"/>
        </w:rPr>
        <w:t>rental, but also the payment of the purchase price of the applicant</w:t>
      </w:r>
      <w:r w:rsidR="00230451" w:rsidRPr="00572C7C">
        <w:rPr>
          <w:rFonts w:ascii="Arial" w:hAnsi="Arial" w:cs="Arial"/>
          <w:sz w:val="24"/>
          <w:szCs w:val="24"/>
          <w:lang w:val="en-GB"/>
        </w:rPr>
        <w:t>’</w:t>
      </w:r>
      <w:r w:rsidR="00380264" w:rsidRPr="00572C7C">
        <w:rPr>
          <w:rFonts w:ascii="Arial" w:hAnsi="Arial" w:cs="Arial"/>
          <w:sz w:val="24"/>
          <w:szCs w:val="24"/>
          <w:lang w:val="en-GB"/>
        </w:rPr>
        <w:t xml:space="preserve">s business, which </w:t>
      </w:r>
      <w:r w:rsidR="00001FB1" w:rsidRPr="00572C7C">
        <w:rPr>
          <w:rFonts w:ascii="Arial" w:hAnsi="Arial" w:cs="Arial"/>
          <w:sz w:val="24"/>
          <w:szCs w:val="24"/>
          <w:lang w:val="en-GB"/>
        </w:rPr>
        <w:t>had been</w:t>
      </w:r>
      <w:r w:rsidR="00380264" w:rsidRPr="00572C7C">
        <w:rPr>
          <w:rFonts w:ascii="Arial" w:hAnsi="Arial" w:cs="Arial"/>
          <w:sz w:val="24"/>
          <w:szCs w:val="24"/>
          <w:lang w:val="en-GB"/>
        </w:rPr>
        <w:t xml:space="preserve"> sold to the respondent as a going concern in 2013. </w:t>
      </w:r>
    </w:p>
    <w:p w:rsidR="00572C7C" w:rsidRDefault="00572C7C" w:rsidP="002B0635">
      <w:pPr>
        <w:spacing w:after="0" w:line="360" w:lineRule="auto"/>
        <w:jc w:val="both"/>
        <w:rPr>
          <w:rFonts w:ascii="Arial" w:hAnsi="Arial" w:cs="Arial"/>
          <w:sz w:val="24"/>
          <w:szCs w:val="24"/>
          <w:lang w:val="en-GB"/>
        </w:rPr>
      </w:pPr>
    </w:p>
    <w:p w:rsidR="002B0635" w:rsidRDefault="00630603" w:rsidP="00630603">
      <w:pPr>
        <w:tabs>
          <w:tab w:val="left" w:pos="284"/>
        </w:tabs>
        <w:spacing w:after="0" w:line="360" w:lineRule="auto"/>
        <w:jc w:val="both"/>
        <w:rPr>
          <w:rFonts w:ascii="Arial" w:hAnsi="Arial" w:cs="Arial"/>
          <w:sz w:val="24"/>
          <w:szCs w:val="24"/>
          <w:lang w:val="en-GB"/>
        </w:rPr>
      </w:pPr>
      <w:r>
        <w:rPr>
          <w:rFonts w:ascii="Arial" w:hAnsi="Arial" w:cs="Arial"/>
          <w:sz w:val="24"/>
          <w:szCs w:val="24"/>
          <w:lang w:val="en-GB"/>
        </w:rPr>
        <w:t>[12]</w:t>
      </w:r>
      <w:r>
        <w:rPr>
          <w:rFonts w:ascii="Arial" w:hAnsi="Arial" w:cs="Arial"/>
          <w:sz w:val="24"/>
          <w:szCs w:val="24"/>
          <w:lang w:val="en-GB"/>
        </w:rPr>
        <w:tab/>
      </w:r>
      <w:r w:rsidR="00380264" w:rsidRPr="002B0635">
        <w:rPr>
          <w:rFonts w:ascii="Arial" w:hAnsi="Arial" w:cs="Arial"/>
          <w:sz w:val="24"/>
          <w:szCs w:val="24"/>
          <w:lang w:val="en-GB"/>
        </w:rPr>
        <w:t xml:space="preserve">The </w:t>
      </w:r>
      <w:r w:rsidR="001D2353">
        <w:rPr>
          <w:rFonts w:ascii="Arial" w:hAnsi="Arial" w:cs="Arial"/>
          <w:sz w:val="24"/>
          <w:szCs w:val="24"/>
          <w:lang w:val="en-GB"/>
        </w:rPr>
        <w:t xml:space="preserve">notice of the meeting was sent under cover of a </w:t>
      </w:r>
      <w:r w:rsidR="00380264" w:rsidRPr="002B0635">
        <w:rPr>
          <w:rFonts w:ascii="Arial" w:hAnsi="Arial" w:cs="Arial"/>
          <w:sz w:val="24"/>
          <w:szCs w:val="24"/>
          <w:lang w:val="en-GB"/>
        </w:rPr>
        <w:t xml:space="preserve">letter </w:t>
      </w:r>
      <w:r w:rsidR="001D2353">
        <w:rPr>
          <w:rFonts w:ascii="Arial" w:hAnsi="Arial" w:cs="Arial"/>
          <w:sz w:val="24"/>
          <w:szCs w:val="24"/>
          <w:lang w:val="en-GB"/>
        </w:rPr>
        <w:t xml:space="preserve">which </w:t>
      </w:r>
      <w:r w:rsidR="00380264" w:rsidRPr="002B0635">
        <w:rPr>
          <w:rFonts w:ascii="Arial" w:hAnsi="Arial" w:cs="Arial"/>
          <w:sz w:val="24"/>
          <w:szCs w:val="24"/>
          <w:lang w:val="en-GB"/>
        </w:rPr>
        <w:t>drew Ms Robinson’s attenti</w:t>
      </w:r>
      <w:r w:rsidR="00ED29C2" w:rsidRPr="002B0635">
        <w:rPr>
          <w:rFonts w:ascii="Arial" w:hAnsi="Arial" w:cs="Arial"/>
          <w:sz w:val="24"/>
          <w:szCs w:val="24"/>
          <w:lang w:val="en-GB"/>
        </w:rPr>
        <w:t xml:space="preserve">on to section </w:t>
      </w:r>
      <w:r w:rsidR="00001FB1" w:rsidRPr="002B0635">
        <w:rPr>
          <w:rFonts w:ascii="Arial" w:hAnsi="Arial" w:cs="Arial"/>
          <w:sz w:val="24"/>
          <w:szCs w:val="24"/>
          <w:lang w:val="en-GB"/>
        </w:rPr>
        <w:t xml:space="preserve">75 of the Companies Act, </w:t>
      </w:r>
      <w:r w:rsidR="002A42E9" w:rsidRPr="002B0635">
        <w:rPr>
          <w:rFonts w:ascii="Arial" w:hAnsi="Arial" w:cs="Arial"/>
          <w:sz w:val="24"/>
          <w:szCs w:val="24"/>
          <w:lang w:val="en-GB"/>
        </w:rPr>
        <w:t xml:space="preserve">71 of </w:t>
      </w:r>
      <w:r w:rsidR="00001FB1" w:rsidRPr="002B0635">
        <w:rPr>
          <w:rFonts w:ascii="Arial" w:hAnsi="Arial" w:cs="Arial"/>
          <w:sz w:val="24"/>
          <w:szCs w:val="24"/>
          <w:lang w:val="en-GB"/>
        </w:rPr>
        <w:t>2008 (the Act)</w:t>
      </w:r>
      <w:r w:rsidR="0034298A">
        <w:rPr>
          <w:rFonts w:ascii="Arial" w:hAnsi="Arial" w:cs="Arial"/>
          <w:sz w:val="24"/>
          <w:szCs w:val="24"/>
          <w:lang w:val="en-GB"/>
        </w:rPr>
        <w:t xml:space="preserve"> which </w:t>
      </w:r>
      <w:r w:rsidR="001D2353">
        <w:rPr>
          <w:rFonts w:ascii="Arial" w:hAnsi="Arial" w:cs="Arial"/>
          <w:sz w:val="24"/>
          <w:szCs w:val="24"/>
          <w:lang w:val="en-GB"/>
        </w:rPr>
        <w:t xml:space="preserve"> </w:t>
      </w:r>
      <w:r w:rsidR="00380264" w:rsidRPr="002B0635">
        <w:rPr>
          <w:rFonts w:ascii="Arial" w:hAnsi="Arial" w:cs="Arial"/>
          <w:sz w:val="24"/>
          <w:szCs w:val="24"/>
          <w:lang w:val="en-GB"/>
        </w:rPr>
        <w:t>requires directors to disclose any personal financial interest in any matter to be discussed at a directors’ meeting before the m</w:t>
      </w:r>
      <w:r w:rsidR="006343E7">
        <w:rPr>
          <w:rFonts w:ascii="Arial" w:hAnsi="Arial" w:cs="Arial"/>
          <w:sz w:val="24"/>
          <w:szCs w:val="24"/>
          <w:lang w:val="en-GB"/>
        </w:rPr>
        <w:t>atter</w:t>
      </w:r>
      <w:r w:rsidR="00380264" w:rsidRPr="002B0635">
        <w:rPr>
          <w:rFonts w:ascii="Arial" w:hAnsi="Arial" w:cs="Arial"/>
          <w:sz w:val="24"/>
          <w:szCs w:val="24"/>
          <w:lang w:val="en-GB"/>
        </w:rPr>
        <w:t xml:space="preserve"> is considered and the</w:t>
      </w:r>
      <w:r w:rsidR="006343E7">
        <w:rPr>
          <w:rFonts w:ascii="Arial" w:hAnsi="Arial" w:cs="Arial"/>
          <w:sz w:val="24"/>
          <w:szCs w:val="24"/>
          <w:lang w:val="en-GB"/>
        </w:rPr>
        <w:t>n</w:t>
      </w:r>
      <w:r w:rsidR="00380264" w:rsidRPr="002B0635">
        <w:rPr>
          <w:rFonts w:ascii="Arial" w:hAnsi="Arial" w:cs="Arial"/>
          <w:sz w:val="24"/>
          <w:szCs w:val="24"/>
          <w:lang w:val="en-GB"/>
        </w:rPr>
        <w:t xml:space="preserve"> recuse themselves from the meeting.</w:t>
      </w:r>
      <w:r w:rsidR="002B0635" w:rsidRPr="002B0635">
        <w:rPr>
          <w:rFonts w:ascii="Arial" w:hAnsi="Arial" w:cs="Arial"/>
          <w:sz w:val="24"/>
          <w:szCs w:val="24"/>
          <w:lang w:val="en-GB"/>
        </w:rPr>
        <w:t xml:space="preserve"> </w:t>
      </w:r>
    </w:p>
    <w:p w:rsidR="002B0635" w:rsidRDefault="002B0635" w:rsidP="002B0635">
      <w:pPr>
        <w:pStyle w:val="ListParagraph"/>
        <w:rPr>
          <w:rFonts w:ascii="Arial" w:hAnsi="Arial" w:cs="Arial"/>
          <w:sz w:val="24"/>
          <w:szCs w:val="24"/>
          <w:lang w:val="en-GB"/>
        </w:rPr>
      </w:pPr>
    </w:p>
    <w:p w:rsidR="00B564AA" w:rsidRPr="002B0635" w:rsidRDefault="00630603" w:rsidP="00630603">
      <w:pPr>
        <w:spacing w:after="0" w:line="360" w:lineRule="auto"/>
        <w:jc w:val="both"/>
        <w:rPr>
          <w:rFonts w:ascii="Arial" w:hAnsi="Arial" w:cs="Arial"/>
          <w:sz w:val="24"/>
          <w:szCs w:val="24"/>
          <w:lang w:val="en-GB"/>
        </w:rPr>
      </w:pPr>
      <w:r w:rsidRPr="002B0635">
        <w:rPr>
          <w:rFonts w:ascii="Arial" w:hAnsi="Arial" w:cs="Arial"/>
          <w:sz w:val="24"/>
          <w:szCs w:val="24"/>
          <w:lang w:val="en-GB"/>
        </w:rPr>
        <w:t>[13]</w:t>
      </w:r>
      <w:r w:rsidRPr="002B0635">
        <w:rPr>
          <w:rFonts w:ascii="Arial" w:hAnsi="Arial" w:cs="Arial"/>
          <w:sz w:val="24"/>
          <w:szCs w:val="24"/>
          <w:lang w:val="en-GB"/>
        </w:rPr>
        <w:tab/>
      </w:r>
      <w:r w:rsidR="00B564AA" w:rsidRPr="002B0635">
        <w:rPr>
          <w:rFonts w:ascii="Arial" w:hAnsi="Arial" w:cs="Arial"/>
          <w:sz w:val="24"/>
          <w:szCs w:val="24"/>
          <w:lang w:val="en-GB"/>
        </w:rPr>
        <w:t xml:space="preserve">Section 75(5) of the Act </w:t>
      </w:r>
      <w:r w:rsidR="00380264" w:rsidRPr="002B0635">
        <w:rPr>
          <w:rFonts w:ascii="Arial" w:hAnsi="Arial" w:cs="Arial"/>
          <w:sz w:val="24"/>
          <w:szCs w:val="24"/>
          <w:lang w:val="en-GB"/>
        </w:rPr>
        <w:t xml:space="preserve">is central to the authority </w:t>
      </w:r>
      <w:r w:rsidR="00377A54" w:rsidRPr="002B0635">
        <w:rPr>
          <w:rFonts w:ascii="Arial" w:hAnsi="Arial" w:cs="Arial"/>
          <w:sz w:val="24"/>
          <w:szCs w:val="24"/>
          <w:lang w:val="en-GB"/>
        </w:rPr>
        <w:t xml:space="preserve">challenge. It </w:t>
      </w:r>
      <w:r w:rsidR="00B564AA" w:rsidRPr="002B0635">
        <w:rPr>
          <w:rFonts w:ascii="Arial" w:hAnsi="Arial" w:cs="Arial"/>
          <w:sz w:val="24"/>
          <w:szCs w:val="24"/>
          <w:lang w:val="en-GB"/>
        </w:rPr>
        <w:t>reads in relevant part as follows:-</w:t>
      </w:r>
      <w:r w:rsidR="002B0635" w:rsidRPr="002B0635">
        <w:rPr>
          <w:rFonts w:ascii="Arial" w:hAnsi="Arial" w:cs="Arial"/>
          <w:sz w:val="24"/>
          <w:szCs w:val="24"/>
          <w:lang w:val="en-GB"/>
        </w:rPr>
        <w:t xml:space="preserve"> </w:t>
      </w:r>
    </w:p>
    <w:p w:rsidR="00B564AA" w:rsidRPr="00234C5D" w:rsidRDefault="002A42E9" w:rsidP="00234C5D">
      <w:pPr>
        <w:spacing w:after="0" w:line="360" w:lineRule="auto"/>
        <w:ind w:left="1418" w:right="992"/>
        <w:jc w:val="both"/>
        <w:rPr>
          <w:rFonts w:ascii="Arial" w:eastAsia="Times New Roman" w:hAnsi="Arial" w:cs="Arial"/>
          <w:lang w:val="en-ZA" w:eastAsia="en-GB"/>
        </w:rPr>
      </w:pPr>
      <w:r w:rsidRPr="00234C5D">
        <w:rPr>
          <w:rFonts w:ascii="Arial" w:hAnsi="Arial" w:cs="Arial"/>
          <w:lang w:val="en-GB"/>
        </w:rPr>
        <w:t>‘</w:t>
      </w:r>
      <w:r w:rsidR="00B564AA" w:rsidRPr="00234C5D">
        <w:rPr>
          <w:rFonts w:ascii="Arial" w:hAnsi="Arial" w:cs="Arial"/>
          <w:lang w:val="en-GB"/>
        </w:rPr>
        <w:t>If a director of a company</w:t>
      </w:r>
      <w:r w:rsidR="001D2353">
        <w:rPr>
          <w:rFonts w:ascii="Arial" w:hAnsi="Arial" w:cs="Arial"/>
          <w:lang w:val="en-GB"/>
        </w:rPr>
        <w:t xml:space="preserve"> …..</w:t>
      </w:r>
      <w:r w:rsidR="00B564AA" w:rsidRPr="00234C5D">
        <w:rPr>
          <w:rFonts w:ascii="Arial" w:hAnsi="Arial" w:cs="Arial"/>
          <w:lang w:val="en-GB"/>
        </w:rPr>
        <w:t>has a personal financial interes</w:t>
      </w:r>
      <w:r w:rsidR="00D040AD">
        <w:rPr>
          <w:rFonts w:ascii="Arial" w:hAnsi="Arial" w:cs="Arial"/>
          <w:lang w:val="en-GB"/>
        </w:rPr>
        <w:t>t</w:t>
      </w:r>
      <w:r w:rsidR="00B564AA" w:rsidRPr="00234C5D">
        <w:rPr>
          <w:rFonts w:ascii="Arial" w:hAnsi="Arial" w:cs="Arial"/>
          <w:lang w:val="en-GB"/>
        </w:rPr>
        <w:t xml:space="preserve"> in respect of a</w:t>
      </w:r>
      <w:r w:rsidR="00B564AA" w:rsidRPr="00234C5D">
        <w:rPr>
          <w:rFonts w:ascii="Arial" w:eastAsia="Times New Roman" w:hAnsi="Arial" w:cs="Arial"/>
          <w:lang w:val="en-ZA" w:eastAsia="en-GB"/>
        </w:rPr>
        <w:t xml:space="preserve"> matter to be considered at a meeting of the board, or knows that a related person</w:t>
      </w:r>
      <w:r w:rsidR="00377A54" w:rsidRPr="00234C5D">
        <w:rPr>
          <w:rStyle w:val="FootnoteReference"/>
          <w:rFonts w:ascii="Arial" w:eastAsia="Times New Roman" w:hAnsi="Arial" w:cs="Arial"/>
          <w:lang w:val="en-ZA" w:eastAsia="en-GB"/>
        </w:rPr>
        <w:footnoteReference w:id="2"/>
      </w:r>
      <w:r w:rsidR="00EC4EC7">
        <w:rPr>
          <w:rFonts w:ascii="Arial" w:eastAsia="Times New Roman" w:hAnsi="Arial" w:cs="Arial"/>
          <w:lang w:val="en-ZA" w:eastAsia="en-GB"/>
        </w:rPr>
        <w:t xml:space="preserve"> </w:t>
      </w:r>
      <w:r w:rsidR="00B564AA" w:rsidRPr="00234C5D">
        <w:rPr>
          <w:rFonts w:ascii="Arial" w:eastAsia="Times New Roman" w:hAnsi="Arial" w:cs="Arial"/>
          <w:lang w:val="en-ZA" w:eastAsia="en-GB"/>
        </w:rPr>
        <w:t xml:space="preserve">has a personal financial interest in the matter, the director- </w:t>
      </w:r>
    </w:p>
    <w:p w:rsidR="00B564AA" w:rsidRPr="00234C5D" w:rsidRDefault="00B564AA" w:rsidP="00234C5D">
      <w:pPr>
        <w:spacing w:before="100" w:beforeAutospacing="1" w:after="100" w:afterAutospacing="1" w:line="360" w:lineRule="auto"/>
        <w:ind w:left="1418" w:right="992"/>
        <w:jc w:val="both"/>
        <w:rPr>
          <w:rFonts w:ascii="Arial" w:eastAsia="Times New Roman" w:hAnsi="Arial" w:cs="Arial"/>
          <w:lang w:val="en-ZA" w:eastAsia="en-GB"/>
        </w:rPr>
      </w:pPr>
      <w:r w:rsidRPr="00234C5D">
        <w:rPr>
          <w:rFonts w:ascii="Arial" w:eastAsia="Times New Roman" w:hAnsi="Arial" w:cs="Arial"/>
          <w:lang w:val="en-ZA" w:eastAsia="en-GB"/>
        </w:rPr>
        <w:t xml:space="preserve">(a)  must disclose the interest and its general nature before the matter is considered at the </w:t>
      </w:r>
      <w:r w:rsidR="00C913CD" w:rsidRPr="00234C5D">
        <w:rPr>
          <w:rFonts w:ascii="Arial" w:eastAsia="Times New Roman" w:hAnsi="Arial" w:cs="Arial"/>
          <w:lang w:val="en-ZA" w:eastAsia="en-GB"/>
        </w:rPr>
        <w:t>meeting</w:t>
      </w:r>
      <w:r w:rsidRPr="00234C5D">
        <w:rPr>
          <w:rFonts w:ascii="Arial" w:eastAsia="Times New Roman" w:hAnsi="Arial" w:cs="Arial"/>
          <w:lang w:val="en-ZA" w:eastAsia="en-GB"/>
        </w:rPr>
        <w:t xml:space="preserve">; </w:t>
      </w:r>
    </w:p>
    <w:p w:rsidR="00B564AA" w:rsidRPr="00234C5D" w:rsidRDefault="00B564AA" w:rsidP="00234C5D">
      <w:pPr>
        <w:spacing w:before="100" w:beforeAutospacing="1" w:after="100" w:afterAutospacing="1" w:line="360" w:lineRule="auto"/>
        <w:ind w:left="1418" w:right="992"/>
        <w:jc w:val="both"/>
        <w:rPr>
          <w:rFonts w:ascii="Arial" w:eastAsia="Times New Roman" w:hAnsi="Arial" w:cs="Arial"/>
          <w:lang w:val="en-ZA" w:eastAsia="en-GB"/>
        </w:rPr>
      </w:pPr>
      <w:r w:rsidRPr="00234C5D">
        <w:rPr>
          <w:rFonts w:ascii="Arial" w:eastAsia="Times New Roman" w:hAnsi="Arial" w:cs="Arial"/>
          <w:lang w:val="en-ZA" w:eastAsia="en-GB"/>
        </w:rPr>
        <w:t xml:space="preserve">(b)  must disclose to the meeting any material information relating to the matter, and known to the director; </w:t>
      </w:r>
    </w:p>
    <w:p w:rsidR="00B564AA" w:rsidRPr="00234C5D" w:rsidRDefault="00B564AA" w:rsidP="00234C5D">
      <w:pPr>
        <w:spacing w:before="100" w:beforeAutospacing="1" w:after="100" w:afterAutospacing="1" w:line="360" w:lineRule="auto"/>
        <w:ind w:left="1418" w:right="992"/>
        <w:jc w:val="both"/>
        <w:rPr>
          <w:rFonts w:ascii="Arial" w:eastAsia="Times New Roman" w:hAnsi="Arial" w:cs="Arial"/>
          <w:lang w:val="en-ZA" w:eastAsia="en-GB"/>
        </w:rPr>
      </w:pPr>
      <w:r w:rsidRPr="00234C5D">
        <w:rPr>
          <w:rFonts w:ascii="Arial" w:eastAsia="Times New Roman" w:hAnsi="Arial" w:cs="Arial"/>
          <w:lang w:val="en-ZA" w:eastAsia="en-GB"/>
        </w:rPr>
        <w:t xml:space="preserve">(c)  may disclose any observations or pertinent insights relating to the matter if requested to do so by the other directors; </w:t>
      </w:r>
    </w:p>
    <w:p w:rsidR="00B564AA" w:rsidRPr="00234C5D" w:rsidRDefault="00B564AA" w:rsidP="00234C5D">
      <w:pPr>
        <w:spacing w:before="100" w:beforeAutospacing="1" w:after="100" w:afterAutospacing="1" w:line="360" w:lineRule="auto"/>
        <w:ind w:left="1418" w:right="992"/>
        <w:jc w:val="both"/>
        <w:rPr>
          <w:rFonts w:ascii="Arial" w:eastAsia="Times New Roman" w:hAnsi="Arial" w:cs="Arial"/>
          <w:lang w:val="en-ZA" w:eastAsia="en-GB"/>
        </w:rPr>
      </w:pPr>
      <w:r w:rsidRPr="00234C5D">
        <w:rPr>
          <w:rFonts w:ascii="Arial" w:eastAsia="Times New Roman" w:hAnsi="Arial" w:cs="Arial"/>
          <w:lang w:val="en-ZA" w:eastAsia="en-GB"/>
        </w:rPr>
        <w:lastRenderedPageBreak/>
        <w:t xml:space="preserve">(d)  if present at the meeting, must leave the meeting immediately after making any disclosure contemplated in paragraph (b) or (c); </w:t>
      </w:r>
    </w:p>
    <w:p w:rsidR="00B564AA" w:rsidRPr="00234C5D" w:rsidRDefault="00B564AA" w:rsidP="00234C5D">
      <w:pPr>
        <w:spacing w:before="100" w:beforeAutospacing="1" w:after="100" w:afterAutospacing="1" w:line="360" w:lineRule="auto"/>
        <w:ind w:left="1418" w:right="992"/>
        <w:jc w:val="both"/>
        <w:rPr>
          <w:rFonts w:ascii="Arial" w:eastAsia="Times New Roman" w:hAnsi="Arial" w:cs="Arial"/>
          <w:lang w:val="en-ZA" w:eastAsia="en-GB"/>
        </w:rPr>
      </w:pPr>
      <w:r w:rsidRPr="00234C5D">
        <w:rPr>
          <w:rFonts w:ascii="Arial" w:eastAsia="Times New Roman" w:hAnsi="Arial" w:cs="Arial"/>
          <w:lang w:val="en-ZA" w:eastAsia="en-GB"/>
        </w:rPr>
        <w:t xml:space="preserve">(e)  must not take part in the consideration of the matter, except to the extent contemplated in paragraphs (b) and (c); </w:t>
      </w:r>
    </w:p>
    <w:p w:rsidR="00B564AA" w:rsidRPr="00234C5D" w:rsidRDefault="00B564AA" w:rsidP="00234C5D">
      <w:pPr>
        <w:spacing w:before="100" w:beforeAutospacing="1" w:after="100" w:afterAutospacing="1" w:line="360" w:lineRule="auto"/>
        <w:ind w:left="1418" w:right="992"/>
        <w:jc w:val="both"/>
        <w:rPr>
          <w:rFonts w:ascii="Arial" w:eastAsia="Times New Roman" w:hAnsi="Arial" w:cs="Arial"/>
          <w:lang w:val="en-ZA" w:eastAsia="en-GB"/>
        </w:rPr>
      </w:pPr>
      <w:r w:rsidRPr="00234C5D">
        <w:rPr>
          <w:rFonts w:ascii="Arial" w:eastAsia="Times New Roman" w:hAnsi="Arial" w:cs="Arial"/>
          <w:lang w:val="en-ZA" w:eastAsia="en-GB"/>
        </w:rPr>
        <w:t xml:space="preserve">(f)  while absent from the meeting in terms of this subsection- </w:t>
      </w:r>
    </w:p>
    <w:p w:rsidR="00B564AA" w:rsidRPr="00234C5D" w:rsidRDefault="00B564AA" w:rsidP="006343E7">
      <w:pPr>
        <w:spacing w:before="100" w:beforeAutospacing="1" w:after="100" w:afterAutospacing="1" w:line="360" w:lineRule="auto"/>
        <w:ind w:left="1740" w:right="992"/>
        <w:jc w:val="both"/>
        <w:rPr>
          <w:rFonts w:ascii="Arial" w:eastAsia="Times New Roman" w:hAnsi="Arial" w:cs="Arial"/>
          <w:lang w:val="en-ZA" w:eastAsia="en-GB"/>
        </w:rPr>
      </w:pPr>
      <w:r w:rsidRPr="00234C5D">
        <w:rPr>
          <w:rFonts w:ascii="Arial" w:eastAsia="Times New Roman" w:hAnsi="Arial" w:cs="Arial"/>
          <w:lang w:val="en-ZA" w:eastAsia="en-GB"/>
        </w:rPr>
        <w:t>(i)  is to be regarded as being present at the meeting for the purpose of determining whether sufficient directors are present to constitute the meeting; and</w:t>
      </w:r>
    </w:p>
    <w:p w:rsidR="002A42E9" w:rsidRPr="00234C5D" w:rsidRDefault="00B564AA" w:rsidP="006343E7">
      <w:pPr>
        <w:spacing w:before="100" w:beforeAutospacing="1" w:after="100" w:afterAutospacing="1" w:line="360" w:lineRule="auto"/>
        <w:ind w:left="1718" w:right="992"/>
        <w:jc w:val="both"/>
        <w:rPr>
          <w:rFonts w:ascii="Arial" w:eastAsia="Times New Roman" w:hAnsi="Arial" w:cs="Arial"/>
          <w:lang w:val="en-ZA" w:eastAsia="en-GB"/>
        </w:rPr>
      </w:pPr>
      <w:r w:rsidRPr="00234C5D">
        <w:rPr>
          <w:rFonts w:ascii="Arial" w:eastAsia="Times New Roman" w:hAnsi="Arial" w:cs="Arial"/>
          <w:lang w:val="en-ZA" w:eastAsia="en-GB"/>
        </w:rPr>
        <w:t>(ii</w:t>
      </w:r>
      <w:r w:rsidR="00B41BA0" w:rsidRPr="00234C5D">
        <w:rPr>
          <w:rFonts w:ascii="Arial" w:eastAsia="Times New Roman" w:hAnsi="Arial" w:cs="Arial"/>
          <w:lang w:val="en-ZA" w:eastAsia="en-GB"/>
        </w:rPr>
        <w:t>) is</w:t>
      </w:r>
      <w:r w:rsidRPr="00234C5D">
        <w:rPr>
          <w:rFonts w:ascii="Arial" w:eastAsia="Times New Roman" w:hAnsi="Arial" w:cs="Arial"/>
          <w:lang w:val="en-ZA" w:eastAsia="en-GB"/>
        </w:rPr>
        <w:t xml:space="preserve"> not to be regarded as being present at the meeting for the purpose of determining whether a resolution has sufficient support to be adopted</w:t>
      </w:r>
      <w:r w:rsidR="000A3C54" w:rsidRPr="00234C5D">
        <w:rPr>
          <w:rFonts w:ascii="Arial" w:eastAsia="Times New Roman" w:hAnsi="Arial" w:cs="Arial"/>
          <w:lang w:val="en-ZA" w:eastAsia="en-GB"/>
        </w:rPr>
        <w:t>.</w:t>
      </w:r>
      <w:r w:rsidR="002A42E9" w:rsidRPr="00234C5D">
        <w:rPr>
          <w:rFonts w:ascii="Arial" w:eastAsia="Times New Roman" w:hAnsi="Arial" w:cs="Arial"/>
          <w:lang w:val="en-ZA" w:eastAsia="en-GB"/>
        </w:rPr>
        <w:t>’</w:t>
      </w:r>
    </w:p>
    <w:p w:rsidR="00B564AA" w:rsidRPr="002C0ECF" w:rsidRDefault="002A42E9" w:rsidP="00D040AD">
      <w:pPr>
        <w:spacing w:before="100" w:beforeAutospacing="1" w:after="100" w:afterAutospacing="1" w:line="360" w:lineRule="auto"/>
        <w:ind w:left="1134" w:right="992" w:firstLine="284"/>
        <w:jc w:val="both"/>
        <w:rPr>
          <w:rFonts w:ascii="Arial" w:eastAsia="Times New Roman" w:hAnsi="Arial" w:cs="Arial"/>
          <w:sz w:val="24"/>
          <w:szCs w:val="24"/>
          <w:lang w:val="en-ZA" w:eastAsia="en-GB"/>
        </w:rPr>
      </w:pPr>
      <w:r w:rsidRPr="002C0ECF">
        <w:rPr>
          <w:rFonts w:ascii="Arial" w:eastAsia="Times New Roman" w:hAnsi="Arial" w:cs="Arial"/>
          <w:sz w:val="24"/>
          <w:szCs w:val="24"/>
          <w:lang w:val="en-ZA" w:eastAsia="en-GB"/>
        </w:rPr>
        <w:t>(</w:t>
      </w:r>
      <w:r w:rsidR="006343E7" w:rsidRPr="002C0ECF">
        <w:rPr>
          <w:rFonts w:ascii="Arial" w:eastAsia="Times New Roman" w:hAnsi="Arial" w:cs="Arial"/>
          <w:sz w:val="24"/>
          <w:szCs w:val="24"/>
          <w:lang w:val="en-ZA" w:eastAsia="en-GB"/>
        </w:rPr>
        <w:t>foot</w:t>
      </w:r>
      <w:r w:rsidRPr="002C0ECF">
        <w:rPr>
          <w:rFonts w:ascii="Arial" w:eastAsia="Times New Roman" w:hAnsi="Arial" w:cs="Arial"/>
          <w:sz w:val="24"/>
          <w:szCs w:val="24"/>
          <w:lang w:val="en-ZA" w:eastAsia="en-GB"/>
        </w:rPr>
        <w:t>note added)</w:t>
      </w:r>
      <w:r w:rsidR="000A3C54" w:rsidRPr="002C0ECF">
        <w:rPr>
          <w:rFonts w:ascii="Arial" w:eastAsia="Times New Roman" w:hAnsi="Arial" w:cs="Arial"/>
          <w:sz w:val="24"/>
          <w:szCs w:val="24"/>
          <w:lang w:val="en-ZA" w:eastAsia="en-GB"/>
        </w:rPr>
        <w:t xml:space="preserve"> </w:t>
      </w:r>
    </w:p>
    <w:p w:rsidR="0034298A" w:rsidRDefault="00630603" w:rsidP="00630603">
      <w:pPr>
        <w:spacing w:after="0" w:line="360" w:lineRule="auto"/>
        <w:jc w:val="both"/>
        <w:rPr>
          <w:rFonts w:ascii="Arial" w:hAnsi="Arial" w:cs="Arial"/>
          <w:sz w:val="24"/>
          <w:szCs w:val="24"/>
          <w:lang w:val="en-GB"/>
        </w:rPr>
      </w:pPr>
      <w:r>
        <w:rPr>
          <w:rFonts w:ascii="Arial" w:hAnsi="Arial" w:cs="Arial"/>
          <w:sz w:val="24"/>
          <w:szCs w:val="24"/>
          <w:lang w:val="en-GB"/>
        </w:rPr>
        <w:t>[14]</w:t>
      </w:r>
      <w:r>
        <w:rPr>
          <w:rFonts w:ascii="Arial" w:hAnsi="Arial" w:cs="Arial"/>
          <w:sz w:val="24"/>
          <w:szCs w:val="24"/>
          <w:lang w:val="en-GB"/>
        </w:rPr>
        <w:tab/>
      </w:r>
      <w:r w:rsidR="00B564AA" w:rsidRPr="002B0635">
        <w:rPr>
          <w:rFonts w:ascii="Arial" w:hAnsi="Arial" w:cs="Arial"/>
          <w:sz w:val="24"/>
          <w:szCs w:val="24"/>
          <w:lang w:val="en-GB"/>
        </w:rPr>
        <w:t>Ms Robinson attended the meeting</w:t>
      </w:r>
      <w:r w:rsidR="0034298A">
        <w:rPr>
          <w:rFonts w:ascii="Arial" w:hAnsi="Arial" w:cs="Arial"/>
          <w:sz w:val="24"/>
          <w:szCs w:val="24"/>
          <w:lang w:val="en-GB"/>
        </w:rPr>
        <w:t xml:space="preserve"> which was held on a virtual platform</w:t>
      </w:r>
      <w:r w:rsidR="00B564AA" w:rsidRPr="002B0635">
        <w:rPr>
          <w:rFonts w:ascii="Arial" w:hAnsi="Arial" w:cs="Arial"/>
          <w:sz w:val="24"/>
          <w:szCs w:val="24"/>
          <w:lang w:val="en-GB"/>
        </w:rPr>
        <w:t xml:space="preserve"> </w:t>
      </w:r>
      <w:r w:rsidR="000A3C54" w:rsidRPr="002B0635">
        <w:rPr>
          <w:rFonts w:ascii="Arial" w:hAnsi="Arial" w:cs="Arial"/>
          <w:sz w:val="24"/>
          <w:szCs w:val="24"/>
          <w:lang w:val="en-GB"/>
        </w:rPr>
        <w:t xml:space="preserve">on 26 July 2022. The minutes record that she refused to </w:t>
      </w:r>
      <w:r w:rsidR="00E12262" w:rsidRPr="002B0635">
        <w:rPr>
          <w:rFonts w:ascii="Arial" w:hAnsi="Arial" w:cs="Arial"/>
          <w:sz w:val="24"/>
          <w:szCs w:val="24"/>
          <w:lang w:val="en-GB"/>
        </w:rPr>
        <w:t xml:space="preserve">recuse herself. She </w:t>
      </w:r>
      <w:r w:rsidR="00B564AA" w:rsidRPr="002B0635">
        <w:rPr>
          <w:rFonts w:ascii="Arial" w:hAnsi="Arial" w:cs="Arial"/>
          <w:sz w:val="24"/>
          <w:szCs w:val="24"/>
          <w:lang w:val="en-GB"/>
        </w:rPr>
        <w:t xml:space="preserve">contended that her resignation and the sale of her shares </w:t>
      </w:r>
      <w:r w:rsidR="00CA719F" w:rsidRPr="002B0635">
        <w:rPr>
          <w:rFonts w:ascii="Arial" w:hAnsi="Arial" w:cs="Arial"/>
          <w:sz w:val="24"/>
          <w:szCs w:val="24"/>
          <w:lang w:val="en-GB"/>
        </w:rPr>
        <w:t xml:space="preserve">in the respondent </w:t>
      </w:r>
      <w:r w:rsidR="00B564AA" w:rsidRPr="002B0635">
        <w:rPr>
          <w:rFonts w:ascii="Arial" w:hAnsi="Arial" w:cs="Arial"/>
          <w:sz w:val="24"/>
          <w:szCs w:val="24"/>
          <w:lang w:val="en-GB"/>
        </w:rPr>
        <w:t>removed the conflict</w:t>
      </w:r>
      <w:r w:rsidR="0034298A">
        <w:rPr>
          <w:rFonts w:ascii="Arial" w:hAnsi="Arial" w:cs="Arial"/>
          <w:sz w:val="24"/>
          <w:szCs w:val="24"/>
          <w:lang w:val="en-GB"/>
        </w:rPr>
        <w:t xml:space="preserve"> so she was </w:t>
      </w:r>
      <w:r w:rsidR="00215062">
        <w:rPr>
          <w:rFonts w:ascii="Arial" w:hAnsi="Arial" w:cs="Arial"/>
          <w:sz w:val="24"/>
          <w:szCs w:val="24"/>
          <w:lang w:val="en-GB"/>
        </w:rPr>
        <w:t>entitl</w:t>
      </w:r>
      <w:r w:rsidR="0034298A">
        <w:rPr>
          <w:rFonts w:ascii="Arial" w:hAnsi="Arial" w:cs="Arial"/>
          <w:sz w:val="24"/>
          <w:szCs w:val="24"/>
          <w:lang w:val="en-GB"/>
        </w:rPr>
        <w:t>ed</w:t>
      </w:r>
      <w:r w:rsidR="00215062">
        <w:rPr>
          <w:rFonts w:ascii="Arial" w:hAnsi="Arial" w:cs="Arial"/>
          <w:sz w:val="24"/>
          <w:szCs w:val="24"/>
          <w:lang w:val="en-GB"/>
        </w:rPr>
        <w:t xml:space="preserve"> </w:t>
      </w:r>
      <w:r w:rsidR="00B564AA" w:rsidRPr="002B0635">
        <w:rPr>
          <w:rFonts w:ascii="Arial" w:hAnsi="Arial" w:cs="Arial"/>
          <w:sz w:val="24"/>
          <w:szCs w:val="24"/>
          <w:lang w:val="en-GB"/>
        </w:rPr>
        <w:t xml:space="preserve">to be present throughout the meeting and to vote on the </w:t>
      </w:r>
      <w:r w:rsidR="006343E7">
        <w:rPr>
          <w:rFonts w:ascii="Arial" w:hAnsi="Arial" w:cs="Arial"/>
          <w:sz w:val="24"/>
          <w:szCs w:val="24"/>
          <w:lang w:val="en-GB"/>
        </w:rPr>
        <w:t xml:space="preserve">proposed </w:t>
      </w:r>
      <w:r w:rsidR="00B564AA" w:rsidRPr="002B0635">
        <w:rPr>
          <w:rFonts w:ascii="Arial" w:hAnsi="Arial" w:cs="Arial"/>
          <w:sz w:val="24"/>
          <w:szCs w:val="24"/>
          <w:lang w:val="en-GB"/>
        </w:rPr>
        <w:t xml:space="preserve">resolution. </w:t>
      </w:r>
    </w:p>
    <w:p w:rsidR="0034298A" w:rsidRDefault="0034298A" w:rsidP="0034298A">
      <w:pPr>
        <w:spacing w:after="0" w:line="360" w:lineRule="auto"/>
        <w:jc w:val="both"/>
        <w:rPr>
          <w:rFonts w:ascii="Arial" w:hAnsi="Arial" w:cs="Arial"/>
          <w:sz w:val="24"/>
          <w:szCs w:val="24"/>
          <w:lang w:val="en-GB"/>
        </w:rPr>
      </w:pPr>
    </w:p>
    <w:p w:rsidR="006343E7" w:rsidRDefault="00630603" w:rsidP="00630603">
      <w:pPr>
        <w:spacing w:after="0" w:line="360" w:lineRule="auto"/>
        <w:jc w:val="both"/>
        <w:rPr>
          <w:rFonts w:ascii="Arial" w:hAnsi="Arial" w:cs="Arial"/>
          <w:sz w:val="24"/>
          <w:szCs w:val="24"/>
          <w:lang w:val="en-GB"/>
        </w:rPr>
      </w:pPr>
      <w:r>
        <w:rPr>
          <w:rFonts w:ascii="Arial" w:hAnsi="Arial" w:cs="Arial"/>
          <w:sz w:val="24"/>
          <w:szCs w:val="24"/>
          <w:lang w:val="en-GB"/>
        </w:rPr>
        <w:t>[15]</w:t>
      </w:r>
      <w:r>
        <w:rPr>
          <w:rFonts w:ascii="Arial" w:hAnsi="Arial" w:cs="Arial"/>
          <w:sz w:val="24"/>
          <w:szCs w:val="24"/>
          <w:lang w:val="en-GB"/>
        </w:rPr>
        <w:tab/>
      </w:r>
      <w:r w:rsidR="00CA719F" w:rsidRPr="002B0635">
        <w:rPr>
          <w:rFonts w:ascii="Arial" w:hAnsi="Arial" w:cs="Arial"/>
          <w:sz w:val="24"/>
          <w:szCs w:val="24"/>
          <w:lang w:val="en-GB"/>
        </w:rPr>
        <w:t xml:space="preserve">Mr Longford </w:t>
      </w:r>
      <w:r w:rsidR="00B564AA" w:rsidRPr="002B0635">
        <w:rPr>
          <w:rFonts w:ascii="Arial" w:hAnsi="Arial" w:cs="Arial"/>
          <w:sz w:val="24"/>
          <w:szCs w:val="24"/>
          <w:lang w:val="en-GB"/>
        </w:rPr>
        <w:t xml:space="preserve">and </w:t>
      </w:r>
      <w:r w:rsidR="00E12262" w:rsidRPr="002B0635">
        <w:rPr>
          <w:rFonts w:ascii="Arial" w:hAnsi="Arial" w:cs="Arial"/>
          <w:sz w:val="24"/>
          <w:szCs w:val="24"/>
          <w:lang w:val="en-GB"/>
        </w:rPr>
        <w:t>two</w:t>
      </w:r>
      <w:r w:rsidR="00B564AA" w:rsidRPr="002B0635">
        <w:rPr>
          <w:rFonts w:ascii="Arial" w:hAnsi="Arial" w:cs="Arial"/>
          <w:sz w:val="24"/>
          <w:szCs w:val="24"/>
          <w:lang w:val="en-GB"/>
        </w:rPr>
        <w:t xml:space="preserve"> attorney</w:t>
      </w:r>
      <w:r w:rsidR="00E12262" w:rsidRPr="002B0635">
        <w:rPr>
          <w:rFonts w:ascii="Arial" w:hAnsi="Arial" w:cs="Arial"/>
          <w:sz w:val="24"/>
          <w:szCs w:val="24"/>
          <w:lang w:val="en-GB"/>
        </w:rPr>
        <w:t>s</w:t>
      </w:r>
      <w:r w:rsidR="00B564AA" w:rsidRPr="002B0635">
        <w:rPr>
          <w:rFonts w:ascii="Arial" w:hAnsi="Arial" w:cs="Arial"/>
          <w:sz w:val="24"/>
          <w:szCs w:val="24"/>
          <w:lang w:val="en-GB"/>
        </w:rPr>
        <w:t xml:space="preserve"> </w:t>
      </w:r>
      <w:r w:rsidR="00CA719F" w:rsidRPr="002B0635">
        <w:rPr>
          <w:rFonts w:ascii="Arial" w:hAnsi="Arial" w:cs="Arial"/>
          <w:sz w:val="24"/>
          <w:szCs w:val="24"/>
          <w:lang w:val="en-GB"/>
        </w:rPr>
        <w:t xml:space="preserve">from Hadar Inc </w:t>
      </w:r>
      <w:r w:rsidR="007068F6">
        <w:rPr>
          <w:rFonts w:ascii="Arial" w:hAnsi="Arial" w:cs="Arial"/>
          <w:sz w:val="24"/>
          <w:szCs w:val="24"/>
          <w:lang w:val="en-GB"/>
        </w:rPr>
        <w:t>(</w:t>
      </w:r>
      <w:r w:rsidR="00B564AA" w:rsidRPr="002B0635">
        <w:rPr>
          <w:rFonts w:ascii="Arial" w:hAnsi="Arial" w:cs="Arial"/>
          <w:sz w:val="24"/>
          <w:szCs w:val="24"/>
          <w:lang w:val="en-GB"/>
        </w:rPr>
        <w:t>who</w:t>
      </w:r>
      <w:r w:rsidR="0034298A" w:rsidRPr="0034298A">
        <w:rPr>
          <w:rFonts w:ascii="Arial" w:hAnsi="Arial" w:cs="Arial"/>
          <w:sz w:val="24"/>
          <w:szCs w:val="24"/>
          <w:lang w:val="en-GB"/>
        </w:rPr>
        <w:t xml:space="preserve"> </w:t>
      </w:r>
      <w:r w:rsidR="0034298A" w:rsidRPr="002B0635">
        <w:rPr>
          <w:rFonts w:ascii="Arial" w:hAnsi="Arial" w:cs="Arial"/>
          <w:sz w:val="24"/>
          <w:szCs w:val="24"/>
          <w:lang w:val="en-GB"/>
        </w:rPr>
        <w:t>had performed work for the applicant in the past</w:t>
      </w:r>
      <w:r w:rsidR="0034298A">
        <w:rPr>
          <w:rFonts w:ascii="Arial" w:hAnsi="Arial" w:cs="Arial"/>
          <w:sz w:val="24"/>
          <w:szCs w:val="24"/>
          <w:lang w:val="en-GB"/>
        </w:rPr>
        <w:t xml:space="preserve"> and</w:t>
      </w:r>
      <w:r w:rsidR="00B564AA" w:rsidRPr="002B0635">
        <w:rPr>
          <w:rFonts w:ascii="Arial" w:hAnsi="Arial" w:cs="Arial"/>
          <w:sz w:val="24"/>
          <w:szCs w:val="24"/>
          <w:lang w:val="en-GB"/>
        </w:rPr>
        <w:t xml:space="preserve"> w</w:t>
      </w:r>
      <w:r w:rsidR="00E12262" w:rsidRPr="002B0635">
        <w:rPr>
          <w:rFonts w:ascii="Arial" w:hAnsi="Arial" w:cs="Arial"/>
          <w:sz w:val="24"/>
          <w:szCs w:val="24"/>
          <w:lang w:val="en-GB"/>
        </w:rPr>
        <w:t>ere</w:t>
      </w:r>
      <w:r w:rsidR="00B564AA" w:rsidRPr="002B0635">
        <w:rPr>
          <w:rFonts w:ascii="Arial" w:hAnsi="Arial" w:cs="Arial"/>
          <w:sz w:val="24"/>
          <w:szCs w:val="24"/>
          <w:lang w:val="en-GB"/>
        </w:rPr>
        <w:t xml:space="preserve"> present at the meeting</w:t>
      </w:r>
      <w:r w:rsidR="007068F6">
        <w:rPr>
          <w:rFonts w:ascii="Arial" w:hAnsi="Arial" w:cs="Arial"/>
          <w:sz w:val="24"/>
          <w:szCs w:val="24"/>
          <w:lang w:val="en-GB"/>
        </w:rPr>
        <w:t>)</w:t>
      </w:r>
      <w:r w:rsidR="00B564AA" w:rsidRPr="002B0635">
        <w:rPr>
          <w:rFonts w:ascii="Arial" w:hAnsi="Arial" w:cs="Arial"/>
          <w:sz w:val="24"/>
          <w:szCs w:val="24"/>
          <w:lang w:val="en-GB"/>
        </w:rPr>
        <w:t xml:space="preserve"> </w:t>
      </w:r>
      <w:r w:rsidR="00B41BA0" w:rsidRPr="002B0635">
        <w:rPr>
          <w:rFonts w:ascii="Arial" w:hAnsi="Arial" w:cs="Arial"/>
          <w:sz w:val="24"/>
          <w:szCs w:val="24"/>
          <w:lang w:val="en-GB"/>
        </w:rPr>
        <w:t>took</w:t>
      </w:r>
      <w:r w:rsidR="00B564AA" w:rsidRPr="002B0635">
        <w:rPr>
          <w:rFonts w:ascii="Arial" w:hAnsi="Arial" w:cs="Arial"/>
          <w:sz w:val="24"/>
          <w:szCs w:val="24"/>
          <w:lang w:val="en-GB"/>
        </w:rPr>
        <w:t xml:space="preserve"> issue with </w:t>
      </w:r>
      <w:r w:rsidR="00E12262" w:rsidRPr="002B0635">
        <w:rPr>
          <w:rFonts w:ascii="Arial" w:hAnsi="Arial" w:cs="Arial"/>
          <w:sz w:val="24"/>
          <w:szCs w:val="24"/>
          <w:lang w:val="en-GB"/>
        </w:rPr>
        <w:t>Ms Robinson’s</w:t>
      </w:r>
      <w:r w:rsidR="00B564AA" w:rsidRPr="002B0635">
        <w:rPr>
          <w:rFonts w:ascii="Arial" w:hAnsi="Arial" w:cs="Arial"/>
          <w:sz w:val="24"/>
          <w:szCs w:val="24"/>
          <w:lang w:val="en-GB"/>
        </w:rPr>
        <w:t xml:space="preserve"> stance</w:t>
      </w:r>
      <w:r w:rsidR="0034298A">
        <w:rPr>
          <w:rFonts w:ascii="Arial" w:hAnsi="Arial" w:cs="Arial"/>
          <w:sz w:val="24"/>
          <w:szCs w:val="24"/>
          <w:lang w:val="en-GB"/>
        </w:rPr>
        <w:t xml:space="preserve"> both because the share certificate she had provided read with the CIPC records revealed that she had not disposed of all her shares, and because a CIPC printout  procured on the day of the meeting still reflected Ms Robinson as the sole director of the respondent. </w:t>
      </w:r>
      <w:r w:rsidR="00CA719F" w:rsidRPr="002B0635">
        <w:rPr>
          <w:rFonts w:ascii="Arial" w:hAnsi="Arial" w:cs="Arial"/>
          <w:sz w:val="24"/>
          <w:szCs w:val="24"/>
          <w:lang w:val="en-GB"/>
        </w:rPr>
        <w:t>S</w:t>
      </w:r>
      <w:r w:rsidR="00B564AA" w:rsidRPr="002B0635">
        <w:rPr>
          <w:rFonts w:ascii="Arial" w:hAnsi="Arial" w:cs="Arial"/>
          <w:sz w:val="24"/>
          <w:szCs w:val="24"/>
          <w:lang w:val="en-GB"/>
        </w:rPr>
        <w:t xml:space="preserve">he was </w:t>
      </w:r>
      <w:r w:rsidR="0034298A">
        <w:rPr>
          <w:rFonts w:ascii="Arial" w:hAnsi="Arial" w:cs="Arial"/>
          <w:sz w:val="24"/>
          <w:szCs w:val="24"/>
          <w:lang w:val="en-GB"/>
        </w:rPr>
        <w:t xml:space="preserve">therefore </w:t>
      </w:r>
      <w:r w:rsidR="00B564AA" w:rsidRPr="002B0635">
        <w:rPr>
          <w:rFonts w:ascii="Arial" w:hAnsi="Arial" w:cs="Arial"/>
          <w:sz w:val="24"/>
          <w:szCs w:val="24"/>
          <w:lang w:val="en-GB"/>
        </w:rPr>
        <w:t xml:space="preserve">required to leave the meeting and precluded from voting on the </w:t>
      </w:r>
      <w:r w:rsidR="00CA719F" w:rsidRPr="002B0635">
        <w:rPr>
          <w:rFonts w:ascii="Arial" w:hAnsi="Arial" w:cs="Arial"/>
          <w:sz w:val="24"/>
          <w:szCs w:val="24"/>
          <w:lang w:val="en-GB"/>
        </w:rPr>
        <w:t xml:space="preserve">proposed </w:t>
      </w:r>
      <w:r w:rsidR="00B564AA" w:rsidRPr="002B0635">
        <w:rPr>
          <w:rFonts w:ascii="Arial" w:hAnsi="Arial" w:cs="Arial"/>
          <w:sz w:val="24"/>
          <w:szCs w:val="24"/>
          <w:lang w:val="en-GB"/>
        </w:rPr>
        <w:t xml:space="preserve">resolutions. </w:t>
      </w:r>
    </w:p>
    <w:p w:rsidR="0003728E" w:rsidRPr="00332644" w:rsidRDefault="0003728E" w:rsidP="0003728E">
      <w:pPr>
        <w:spacing w:after="0" w:line="360" w:lineRule="auto"/>
        <w:jc w:val="both"/>
        <w:rPr>
          <w:rFonts w:ascii="Arial" w:hAnsi="Arial" w:cs="Arial"/>
          <w:sz w:val="24"/>
          <w:szCs w:val="24"/>
          <w:lang w:val="en-GB"/>
        </w:rPr>
      </w:pPr>
    </w:p>
    <w:p w:rsidR="002B0635" w:rsidRDefault="00630603" w:rsidP="00630603">
      <w:pPr>
        <w:spacing w:after="0" w:line="360" w:lineRule="auto"/>
        <w:jc w:val="both"/>
        <w:rPr>
          <w:rFonts w:ascii="Arial" w:hAnsi="Arial" w:cs="Arial"/>
          <w:sz w:val="24"/>
          <w:szCs w:val="24"/>
          <w:lang w:val="en-GB"/>
        </w:rPr>
      </w:pPr>
      <w:r>
        <w:rPr>
          <w:rFonts w:ascii="Arial" w:hAnsi="Arial" w:cs="Arial"/>
          <w:sz w:val="24"/>
          <w:szCs w:val="24"/>
          <w:lang w:val="en-GB"/>
        </w:rPr>
        <w:t>[16]</w:t>
      </w:r>
      <w:r>
        <w:rPr>
          <w:rFonts w:ascii="Arial" w:hAnsi="Arial" w:cs="Arial"/>
          <w:sz w:val="24"/>
          <w:szCs w:val="24"/>
          <w:lang w:val="en-GB"/>
        </w:rPr>
        <w:tab/>
      </w:r>
      <w:r w:rsidR="00B564AA" w:rsidRPr="002B0635">
        <w:rPr>
          <w:rFonts w:ascii="Arial" w:hAnsi="Arial" w:cs="Arial"/>
          <w:sz w:val="24"/>
          <w:szCs w:val="24"/>
          <w:lang w:val="en-GB"/>
        </w:rPr>
        <w:t xml:space="preserve">Before she </w:t>
      </w:r>
      <w:r w:rsidR="00CA719F" w:rsidRPr="002B0635">
        <w:rPr>
          <w:rFonts w:ascii="Arial" w:hAnsi="Arial" w:cs="Arial"/>
          <w:sz w:val="24"/>
          <w:szCs w:val="24"/>
          <w:lang w:val="en-GB"/>
        </w:rPr>
        <w:t xml:space="preserve">left </w:t>
      </w:r>
      <w:r w:rsidR="00B564AA" w:rsidRPr="002B0635">
        <w:rPr>
          <w:rFonts w:ascii="Arial" w:hAnsi="Arial" w:cs="Arial"/>
          <w:sz w:val="24"/>
          <w:szCs w:val="24"/>
          <w:lang w:val="en-GB"/>
        </w:rPr>
        <w:t>however, she was asked to state how she w</w:t>
      </w:r>
      <w:r w:rsidR="00ED29C2" w:rsidRPr="002B0635">
        <w:rPr>
          <w:rFonts w:ascii="Arial" w:hAnsi="Arial" w:cs="Arial"/>
          <w:sz w:val="24"/>
          <w:szCs w:val="24"/>
          <w:lang w:val="en-GB"/>
        </w:rPr>
        <w:t>ould have voted if she had been</w:t>
      </w:r>
      <w:r w:rsidR="00B564AA" w:rsidRPr="002B0635">
        <w:rPr>
          <w:rFonts w:ascii="Arial" w:hAnsi="Arial" w:cs="Arial"/>
          <w:sz w:val="24"/>
          <w:szCs w:val="24"/>
          <w:lang w:val="en-GB"/>
        </w:rPr>
        <w:t xml:space="preserve"> allowed to do so. </w:t>
      </w:r>
      <w:r w:rsidR="00E12262" w:rsidRPr="002B0635">
        <w:rPr>
          <w:rFonts w:ascii="Arial" w:hAnsi="Arial" w:cs="Arial"/>
          <w:sz w:val="24"/>
          <w:szCs w:val="24"/>
          <w:lang w:val="en-GB"/>
        </w:rPr>
        <w:t xml:space="preserve">She indicated that she would </w:t>
      </w:r>
      <w:r w:rsidR="0034298A">
        <w:rPr>
          <w:rFonts w:ascii="Arial" w:hAnsi="Arial" w:cs="Arial"/>
          <w:sz w:val="24"/>
          <w:szCs w:val="24"/>
          <w:lang w:val="en-GB"/>
        </w:rPr>
        <w:t xml:space="preserve">have </w:t>
      </w:r>
      <w:r w:rsidR="00E12262" w:rsidRPr="002B0635">
        <w:rPr>
          <w:rFonts w:ascii="Arial" w:hAnsi="Arial" w:cs="Arial"/>
          <w:sz w:val="24"/>
          <w:szCs w:val="24"/>
          <w:lang w:val="en-GB"/>
        </w:rPr>
        <w:t>vote</w:t>
      </w:r>
      <w:r w:rsidR="0034298A">
        <w:rPr>
          <w:rFonts w:ascii="Arial" w:hAnsi="Arial" w:cs="Arial"/>
          <w:sz w:val="24"/>
          <w:szCs w:val="24"/>
          <w:lang w:val="en-GB"/>
        </w:rPr>
        <w:t>d</w:t>
      </w:r>
      <w:r w:rsidR="00E12262" w:rsidRPr="002B0635">
        <w:rPr>
          <w:rFonts w:ascii="Arial" w:hAnsi="Arial" w:cs="Arial"/>
          <w:sz w:val="24"/>
          <w:szCs w:val="24"/>
          <w:lang w:val="en-GB"/>
        </w:rPr>
        <w:t xml:space="preserve"> against the </w:t>
      </w:r>
      <w:r w:rsidR="007068F6">
        <w:rPr>
          <w:rFonts w:ascii="Arial" w:hAnsi="Arial" w:cs="Arial"/>
          <w:sz w:val="24"/>
          <w:szCs w:val="24"/>
          <w:lang w:val="en-GB"/>
        </w:rPr>
        <w:lastRenderedPageBreak/>
        <w:t xml:space="preserve">proposed </w:t>
      </w:r>
      <w:r w:rsidR="00E12262" w:rsidRPr="002B0635">
        <w:rPr>
          <w:rFonts w:ascii="Arial" w:hAnsi="Arial" w:cs="Arial"/>
          <w:sz w:val="24"/>
          <w:szCs w:val="24"/>
          <w:lang w:val="en-GB"/>
        </w:rPr>
        <w:t>resolution. When asked the reasons for her stance</w:t>
      </w:r>
      <w:r w:rsidR="007068F6">
        <w:rPr>
          <w:rFonts w:ascii="Arial" w:hAnsi="Arial" w:cs="Arial"/>
          <w:sz w:val="24"/>
          <w:szCs w:val="24"/>
          <w:lang w:val="en-GB"/>
        </w:rPr>
        <w:t>,</w:t>
      </w:r>
      <w:r w:rsidR="00E12262" w:rsidRPr="002B0635">
        <w:rPr>
          <w:rFonts w:ascii="Arial" w:hAnsi="Arial" w:cs="Arial"/>
          <w:sz w:val="24"/>
          <w:szCs w:val="24"/>
          <w:lang w:val="en-GB"/>
        </w:rPr>
        <w:t xml:space="preserve"> Ms Robinson’s </w:t>
      </w:r>
      <w:r w:rsidR="00B564AA" w:rsidRPr="002B0635">
        <w:rPr>
          <w:rFonts w:ascii="Arial" w:hAnsi="Arial" w:cs="Arial"/>
          <w:sz w:val="24"/>
          <w:szCs w:val="24"/>
          <w:lang w:val="en-GB"/>
        </w:rPr>
        <w:t xml:space="preserve">response </w:t>
      </w:r>
      <w:r w:rsidR="00E12262" w:rsidRPr="002B0635">
        <w:rPr>
          <w:rFonts w:ascii="Arial" w:hAnsi="Arial" w:cs="Arial"/>
          <w:sz w:val="24"/>
          <w:szCs w:val="24"/>
          <w:lang w:val="en-GB"/>
        </w:rPr>
        <w:t xml:space="preserve">was that Mr Longford essentially wanted to close the respondent down, and if he did so he would have no prospect of recovering any money. Her verbatim response </w:t>
      </w:r>
      <w:r w:rsidR="006343E7">
        <w:rPr>
          <w:rFonts w:ascii="Arial" w:hAnsi="Arial" w:cs="Arial"/>
          <w:sz w:val="24"/>
          <w:szCs w:val="24"/>
          <w:lang w:val="en-GB"/>
        </w:rPr>
        <w:t>as</w:t>
      </w:r>
      <w:r w:rsidR="00E12262" w:rsidRPr="002B0635">
        <w:rPr>
          <w:rFonts w:ascii="Arial" w:hAnsi="Arial" w:cs="Arial"/>
          <w:sz w:val="24"/>
          <w:szCs w:val="24"/>
          <w:lang w:val="en-GB"/>
        </w:rPr>
        <w:t xml:space="preserve"> recorded in the minutes is: </w:t>
      </w:r>
      <w:r w:rsidR="00CA719F" w:rsidRPr="002B0635">
        <w:rPr>
          <w:rFonts w:ascii="Arial" w:hAnsi="Arial" w:cs="Arial"/>
          <w:sz w:val="24"/>
          <w:szCs w:val="24"/>
          <w:lang w:val="en-GB"/>
        </w:rPr>
        <w:t>‘</w:t>
      </w:r>
      <w:r w:rsidR="00E12262" w:rsidRPr="002B0635">
        <w:rPr>
          <w:rFonts w:ascii="Arial" w:hAnsi="Arial" w:cs="Arial"/>
          <w:sz w:val="24"/>
          <w:szCs w:val="24"/>
          <w:lang w:val="en-GB"/>
        </w:rPr>
        <w:t xml:space="preserve">so then you are going to close </w:t>
      </w:r>
      <w:r w:rsidR="00E12262" w:rsidRPr="0034298A">
        <w:rPr>
          <w:rFonts w:ascii="Arial" w:hAnsi="Arial" w:cs="Arial"/>
          <w:sz w:val="24"/>
          <w:szCs w:val="24"/>
          <w:u w:val="single"/>
          <w:lang w:val="en-GB"/>
        </w:rPr>
        <w:t>us</w:t>
      </w:r>
      <w:r w:rsidR="00CA719F" w:rsidRPr="002B0635">
        <w:rPr>
          <w:rFonts w:ascii="Arial" w:hAnsi="Arial" w:cs="Arial"/>
          <w:sz w:val="24"/>
          <w:szCs w:val="24"/>
          <w:lang w:val="en-GB"/>
        </w:rPr>
        <w:t xml:space="preserve"> </w:t>
      </w:r>
      <w:r w:rsidR="00E12262" w:rsidRPr="002B0635">
        <w:rPr>
          <w:rFonts w:ascii="Arial" w:hAnsi="Arial" w:cs="Arial"/>
          <w:sz w:val="24"/>
          <w:szCs w:val="24"/>
          <w:lang w:val="en-GB"/>
        </w:rPr>
        <w:t>down</w:t>
      </w:r>
      <w:r w:rsidR="00CA719F" w:rsidRPr="002B0635">
        <w:rPr>
          <w:rFonts w:ascii="Arial" w:hAnsi="Arial" w:cs="Arial"/>
          <w:sz w:val="24"/>
          <w:szCs w:val="24"/>
          <w:lang w:val="en-GB"/>
        </w:rPr>
        <w:t xml:space="preserve">’ (emphasis </w:t>
      </w:r>
      <w:r w:rsidR="0034298A">
        <w:rPr>
          <w:rFonts w:ascii="Arial" w:hAnsi="Arial" w:cs="Arial"/>
          <w:sz w:val="24"/>
          <w:szCs w:val="24"/>
          <w:lang w:val="en-GB"/>
        </w:rPr>
        <w:t>in the original</w:t>
      </w:r>
      <w:r w:rsidR="00CA719F" w:rsidRPr="002B0635">
        <w:rPr>
          <w:rFonts w:ascii="Arial" w:hAnsi="Arial" w:cs="Arial"/>
          <w:sz w:val="24"/>
          <w:szCs w:val="24"/>
          <w:lang w:val="en-GB"/>
        </w:rPr>
        <w:t>).</w:t>
      </w:r>
      <w:r w:rsidR="00A90420" w:rsidRPr="002B0635">
        <w:rPr>
          <w:rFonts w:ascii="Arial" w:hAnsi="Arial" w:cs="Arial"/>
          <w:sz w:val="24"/>
          <w:szCs w:val="24"/>
          <w:lang w:val="en-GB"/>
        </w:rPr>
        <w:t xml:space="preserve"> </w:t>
      </w:r>
      <w:r w:rsidR="002B0635" w:rsidRPr="002B0635">
        <w:rPr>
          <w:rFonts w:ascii="Arial" w:hAnsi="Arial" w:cs="Arial"/>
          <w:sz w:val="24"/>
          <w:szCs w:val="24"/>
          <w:lang w:val="en-GB"/>
        </w:rPr>
        <w:t xml:space="preserve"> </w:t>
      </w:r>
    </w:p>
    <w:p w:rsidR="002B0635" w:rsidRDefault="002B0635" w:rsidP="002B0635">
      <w:pPr>
        <w:spacing w:after="0" w:line="360" w:lineRule="auto"/>
        <w:jc w:val="both"/>
        <w:rPr>
          <w:rFonts w:ascii="Arial" w:hAnsi="Arial" w:cs="Arial"/>
          <w:sz w:val="24"/>
          <w:szCs w:val="24"/>
          <w:lang w:val="en-GB"/>
        </w:rPr>
      </w:pPr>
    </w:p>
    <w:p w:rsidR="002B0635" w:rsidRPr="006343E7" w:rsidRDefault="00630603" w:rsidP="00630603">
      <w:pPr>
        <w:spacing w:after="0" w:line="360" w:lineRule="auto"/>
        <w:jc w:val="both"/>
        <w:rPr>
          <w:rFonts w:ascii="Arial" w:hAnsi="Arial" w:cs="Arial"/>
          <w:sz w:val="24"/>
          <w:szCs w:val="24"/>
          <w:lang w:val="en-GB"/>
        </w:rPr>
      </w:pPr>
      <w:r w:rsidRPr="006343E7">
        <w:rPr>
          <w:rFonts w:ascii="Arial" w:hAnsi="Arial" w:cs="Arial"/>
          <w:sz w:val="24"/>
          <w:szCs w:val="24"/>
          <w:lang w:val="en-GB"/>
        </w:rPr>
        <w:t>[17]</w:t>
      </w:r>
      <w:r w:rsidRPr="006343E7">
        <w:rPr>
          <w:rFonts w:ascii="Arial" w:hAnsi="Arial" w:cs="Arial"/>
          <w:sz w:val="24"/>
          <w:szCs w:val="24"/>
          <w:lang w:val="en-GB"/>
        </w:rPr>
        <w:tab/>
      </w:r>
      <w:r w:rsidR="0034298A" w:rsidRPr="002B0635">
        <w:rPr>
          <w:rFonts w:ascii="Arial" w:hAnsi="Arial" w:cs="Arial"/>
          <w:sz w:val="24"/>
          <w:szCs w:val="24"/>
          <w:lang w:val="en-GB"/>
        </w:rPr>
        <w:t xml:space="preserve">Mr Longford states </w:t>
      </w:r>
      <w:r w:rsidR="0034298A">
        <w:rPr>
          <w:rFonts w:ascii="Arial" w:hAnsi="Arial" w:cs="Arial"/>
          <w:sz w:val="24"/>
          <w:szCs w:val="24"/>
          <w:lang w:val="en-GB"/>
        </w:rPr>
        <w:t>that a</w:t>
      </w:r>
      <w:r w:rsidR="00B564AA" w:rsidRPr="002B0635">
        <w:rPr>
          <w:rFonts w:ascii="Arial" w:hAnsi="Arial" w:cs="Arial"/>
          <w:sz w:val="24"/>
          <w:szCs w:val="24"/>
          <w:lang w:val="en-GB"/>
        </w:rPr>
        <w:t>fter Ms Robinson</w:t>
      </w:r>
      <w:r w:rsidR="000A4D37" w:rsidRPr="002B0635">
        <w:rPr>
          <w:rFonts w:ascii="Arial" w:hAnsi="Arial" w:cs="Arial"/>
          <w:sz w:val="24"/>
          <w:szCs w:val="24"/>
          <w:lang w:val="en-GB"/>
        </w:rPr>
        <w:t xml:space="preserve"> exited </w:t>
      </w:r>
      <w:r w:rsidR="00B564AA" w:rsidRPr="002B0635">
        <w:rPr>
          <w:rFonts w:ascii="Arial" w:hAnsi="Arial" w:cs="Arial"/>
          <w:sz w:val="24"/>
          <w:szCs w:val="24"/>
          <w:lang w:val="en-GB"/>
        </w:rPr>
        <w:t>the meeting</w:t>
      </w:r>
      <w:r w:rsidR="0052692D" w:rsidRPr="002B0635">
        <w:rPr>
          <w:rFonts w:ascii="Arial" w:hAnsi="Arial" w:cs="Arial"/>
          <w:sz w:val="24"/>
          <w:szCs w:val="24"/>
          <w:lang w:val="en-GB"/>
        </w:rPr>
        <w:t xml:space="preserve"> </w:t>
      </w:r>
      <w:r w:rsidR="000A4D37" w:rsidRPr="002B0635">
        <w:rPr>
          <w:rFonts w:ascii="Arial" w:hAnsi="Arial" w:cs="Arial"/>
          <w:sz w:val="24"/>
          <w:szCs w:val="24"/>
          <w:lang w:val="en-GB"/>
        </w:rPr>
        <w:t>he voted in favour of the proposed resolution</w:t>
      </w:r>
      <w:r w:rsidR="00D84BC8">
        <w:rPr>
          <w:rFonts w:ascii="Arial" w:hAnsi="Arial" w:cs="Arial"/>
          <w:sz w:val="24"/>
          <w:szCs w:val="24"/>
          <w:lang w:val="en-GB"/>
        </w:rPr>
        <w:t xml:space="preserve"> and signed it</w:t>
      </w:r>
      <w:r w:rsidR="00B92148" w:rsidRPr="002B0635">
        <w:rPr>
          <w:rFonts w:ascii="Arial" w:hAnsi="Arial" w:cs="Arial"/>
          <w:sz w:val="24"/>
          <w:szCs w:val="24"/>
          <w:lang w:val="en-GB"/>
        </w:rPr>
        <w:t xml:space="preserve">. </w:t>
      </w:r>
      <w:r w:rsidR="005C55A8" w:rsidRPr="006343E7">
        <w:rPr>
          <w:rFonts w:ascii="Arial" w:hAnsi="Arial" w:cs="Arial"/>
          <w:sz w:val="24"/>
          <w:szCs w:val="24"/>
          <w:lang w:val="en-GB"/>
        </w:rPr>
        <w:t xml:space="preserve">The effect of section 75(5)(f) </w:t>
      </w:r>
      <w:r w:rsidR="006343E7" w:rsidRPr="006343E7">
        <w:rPr>
          <w:rFonts w:ascii="Arial" w:hAnsi="Arial" w:cs="Arial"/>
          <w:sz w:val="24"/>
          <w:szCs w:val="24"/>
          <w:lang w:val="en-GB"/>
        </w:rPr>
        <w:t xml:space="preserve">of the Act </w:t>
      </w:r>
      <w:r w:rsidR="00D84BC8">
        <w:rPr>
          <w:rFonts w:ascii="Arial" w:hAnsi="Arial" w:cs="Arial"/>
          <w:sz w:val="24"/>
          <w:szCs w:val="24"/>
          <w:lang w:val="en-GB"/>
        </w:rPr>
        <w:t xml:space="preserve">is that </w:t>
      </w:r>
      <w:r w:rsidR="005C55A8" w:rsidRPr="006343E7">
        <w:rPr>
          <w:rFonts w:ascii="Arial" w:hAnsi="Arial" w:cs="Arial"/>
          <w:sz w:val="24"/>
          <w:szCs w:val="24"/>
          <w:lang w:val="en-GB"/>
        </w:rPr>
        <w:t>a simple majority of those eligible to vote is sufficient to pass an ordinary resolution. As the applicant has only two directors and Ms Robinson was</w:t>
      </w:r>
      <w:r w:rsidR="005C55A8" w:rsidRPr="006343E7">
        <w:rPr>
          <w:rFonts w:ascii="Arial" w:eastAsia="Times New Roman" w:hAnsi="Arial" w:cs="Arial"/>
          <w:sz w:val="24"/>
          <w:szCs w:val="24"/>
          <w:lang w:val="en-ZA" w:eastAsia="en-GB"/>
        </w:rPr>
        <w:t xml:space="preserve"> not to be regarded as being present at the meeting for the purpose of determining whether a resolution had sufficient support to be adopted, the requisite simple majority required for the passage of a valid resolution would have been achieved </w:t>
      </w:r>
      <w:r w:rsidR="006343E7" w:rsidRPr="006343E7">
        <w:rPr>
          <w:rFonts w:ascii="Arial" w:eastAsia="Times New Roman" w:hAnsi="Arial" w:cs="Arial"/>
          <w:sz w:val="24"/>
          <w:szCs w:val="24"/>
          <w:lang w:val="en-ZA" w:eastAsia="en-GB"/>
        </w:rPr>
        <w:t>by Mr Longford’s vote alone</w:t>
      </w:r>
      <w:r w:rsidR="00D84BC8">
        <w:rPr>
          <w:rFonts w:ascii="Arial" w:eastAsia="Times New Roman" w:hAnsi="Arial" w:cs="Arial"/>
          <w:sz w:val="24"/>
          <w:szCs w:val="24"/>
          <w:lang w:val="en-ZA" w:eastAsia="en-GB"/>
        </w:rPr>
        <w:t>,</w:t>
      </w:r>
      <w:r w:rsidR="0034298A">
        <w:rPr>
          <w:rFonts w:ascii="Arial" w:eastAsia="Times New Roman" w:hAnsi="Arial" w:cs="Arial"/>
          <w:sz w:val="24"/>
          <w:szCs w:val="24"/>
          <w:lang w:val="en-ZA" w:eastAsia="en-GB"/>
        </w:rPr>
        <w:t xml:space="preserve"> if </w:t>
      </w:r>
      <w:r w:rsidR="005C55A8" w:rsidRPr="006343E7">
        <w:rPr>
          <w:rFonts w:ascii="Arial" w:eastAsia="Times New Roman" w:hAnsi="Arial" w:cs="Arial"/>
          <w:sz w:val="24"/>
          <w:szCs w:val="24"/>
          <w:lang w:val="en-ZA" w:eastAsia="en-GB"/>
        </w:rPr>
        <w:t xml:space="preserve">Ms Robinson </w:t>
      </w:r>
      <w:r w:rsidR="000A4D37" w:rsidRPr="006343E7">
        <w:rPr>
          <w:rFonts w:ascii="Arial" w:eastAsia="Times New Roman" w:hAnsi="Arial" w:cs="Arial"/>
          <w:sz w:val="24"/>
          <w:szCs w:val="24"/>
          <w:lang w:val="en-ZA" w:eastAsia="en-GB"/>
        </w:rPr>
        <w:t>had been</w:t>
      </w:r>
      <w:r w:rsidR="005C55A8" w:rsidRPr="006343E7">
        <w:rPr>
          <w:rFonts w:ascii="Arial" w:eastAsia="Times New Roman" w:hAnsi="Arial" w:cs="Arial"/>
          <w:sz w:val="24"/>
          <w:szCs w:val="24"/>
          <w:lang w:val="en-ZA" w:eastAsia="en-GB"/>
        </w:rPr>
        <w:t xml:space="preserve"> correctly excluded. </w:t>
      </w:r>
    </w:p>
    <w:p w:rsidR="002B0635" w:rsidRDefault="002B0635" w:rsidP="002B0635">
      <w:pPr>
        <w:pStyle w:val="ListParagraph"/>
        <w:rPr>
          <w:rFonts w:ascii="Arial" w:hAnsi="Arial" w:cs="Arial"/>
          <w:sz w:val="24"/>
          <w:szCs w:val="24"/>
          <w:lang w:val="en-GB"/>
        </w:rPr>
      </w:pPr>
    </w:p>
    <w:p w:rsidR="00674C43" w:rsidRPr="002B0635" w:rsidRDefault="00630603" w:rsidP="00630603">
      <w:pPr>
        <w:spacing w:after="0" w:line="360" w:lineRule="auto"/>
        <w:jc w:val="both"/>
        <w:rPr>
          <w:rFonts w:ascii="Arial" w:hAnsi="Arial" w:cs="Arial"/>
          <w:sz w:val="24"/>
          <w:szCs w:val="24"/>
          <w:lang w:val="en-GB"/>
        </w:rPr>
      </w:pPr>
      <w:r w:rsidRPr="002B0635">
        <w:rPr>
          <w:rFonts w:ascii="Arial" w:hAnsi="Arial" w:cs="Arial"/>
          <w:sz w:val="24"/>
          <w:szCs w:val="24"/>
          <w:lang w:val="en-GB"/>
        </w:rPr>
        <w:t>[18]</w:t>
      </w:r>
      <w:r w:rsidRPr="002B0635">
        <w:rPr>
          <w:rFonts w:ascii="Arial" w:hAnsi="Arial" w:cs="Arial"/>
          <w:sz w:val="24"/>
          <w:szCs w:val="24"/>
          <w:lang w:val="en-GB"/>
        </w:rPr>
        <w:tab/>
      </w:r>
      <w:r w:rsidR="00ED0AFD" w:rsidRPr="002B0635">
        <w:rPr>
          <w:rFonts w:ascii="Arial" w:hAnsi="Arial" w:cs="Arial"/>
          <w:sz w:val="24"/>
          <w:szCs w:val="24"/>
          <w:lang w:val="en-GB"/>
        </w:rPr>
        <w:t xml:space="preserve">There is </w:t>
      </w:r>
      <w:r w:rsidR="005C55A8" w:rsidRPr="002B0635">
        <w:rPr>
          <w:rFonts w:ascii="Arial" w:hAnsi="Arial" w:cs="Arial"/>
          <w:sz w:val="24"/>
          <w:szCs w:val="24"/>
          <w:lang w:val="en-GB"/>
        </w:rPr>
        <w:t xml:space="preserve">something of </w:t>
      </w:r>
      <w:r w:rsidR="00ED0AFD" w:rsidRPr="002B0635">
        <w:rPr>
          <w:rFonts w:ascii="Arial" w:hAnsi="Arial" w:cs="Arial"/>
          <w:sz w:val="24"/>
          <w:szCs w:val="24"/>
          <w:lang w:val="en-GB"/>
        </w:rPr>
        <w:t>a disjunct between the minutes and the signed resolution</w:t>
      </w:r>
      <w:r w:rsidR="000A4D37" w:rsidRPr="002B0635">
        <w:rPr>
          <w:rFonts w:ascii="Arial" w:hAnsi="Arial" w:cs="Arial"/>
          <w:sz w:val="24"/>
          <w:szCs w:val="24"/>
          <w:lang w:val="en-GB"/>
        </w:rPr>
        <w:t>.</w:t>
      </w:r>
      <w:r w:rsidR="00DD15F5" w:rsidRPr="002B0635">
        <w:rPr>
          <w:rFonts w:ascii="Arial" w:hAnsi="Arial" w:cs="Arial"/>
          <w:sz w:val="24"/>
          <w:szCs w:val="24"/>
          <w:lang w:val="en-GB"/>
        </w:rPr>
        <w:t xml:space="preserve"> </w:t>
      </w:r>
      <w:r w:rsidR="00ED0AFD" w:rsidRPr="002B0635">
        <w:rPr>
          <w:rFonts w:ascii="Arial" w:hAnsi="Arial" w:cs="Arial"/>
          <w:sz w:val="24"/>
          <w:szCs w:val="24"/>
          <w:lang w:val="en-GB"/>
        </w:rPr>
        <w:t xml:space="preserve">The minutes record that </w:t>
      </w:r>
      <w:r w:rsidR="005C55A8" w:rsidRPr="002B0635">
        <w:rPr>
          <w:rFonts w:ascii="Arial" w:hAnsi="Arial" w:cs="Arial"/>
          <w:sz w:val="24"/>
          <w:szCs w:val="24"/>
          <w:lang w:val="en-GB"/>
        </w:rPr>
        <w:t>‘</w:t>
      </w:r>
      <w:r w:rsidR="00ED0AFD" w:rsidRPr="002B0635">
        <w:rPr>
          <w:rFonts w:ascii="Arial" w:hAnsi="Arial" w:cs="Arial"/>
          <w:sz w:val="24"/>
          <w:szCs w:val="24"/>
          <w:lang w:val="en-GB"/>
        </w:rPr>
        <w:t>Mr Longford voted in favour of passing the resolution to try and recover the money on behalf of the Company.</w:t>
      </w:r>
      <w:r w:rsidR="005C55A8" w:rsidRPr="002B0635">
        <w:rPr>
          <w:rFonts w:ascii="Arial" w:hAnsi="Arial" w:cs="Arial"/>
          <w:sz w:val="24"/>
          <w:szCs w:val="24"/>
          <w:lang w:val="en-GB"/>
        </w:rPr>
        <w:t>’</w:t>
      </w:r>
      <w:r w:rsidR="00ED0AFD" w:rsidRPr="002B0635">
        <w:rPr>
          <w:rFonts w:ascii="Arial" w:hAnsi="Arial" w:cs="Arial"/>
          <w:sz w:val="24"/>
          <w:szCs w:val="24"/>
          <w:lang w:val="en-GB"/>
        </w:rPr>
        <w:t xml:space="preserve"> </w:t>
      </w:r>
      <w:r w:rsidR="007068F6">
        <w:rPr>
          <w:rFonts w:ascii="Arial" w:hAnsi="Arial" w:cs="Arial"/>
          <w:sz w:val="24"/>
          <w:szCs w:val="24"/>
          <w:lang w:val="en-GB"/>
        </w:rPr>
        <w:t>T</w:t>
      </w:r>
      <w:r w:rsidR="0052692D" w:rsidRPr="002B0635">
        <w:rPr>
          <w:rFonts w:ascii="Arial" w:hAnsi="Arial" w:cs="Arial"/>
          <w:sz w:val="24"/>
          <w:szCs w:val="24"/>
          <w:lang w:val="en-GB"/>
        </w:rPr>
        <w:t>he respondent</w:t>
      </w:r>
      <w:r w:rsidR="007068F6">
        <w:rPr>
          <w:rFonts w:ascii="Arial" w:hAnsi="Arial" w:cs="Arial"/>
          <w:sz w:val="24"/>
          <w:szCs w:val="24"/>
          <w:lang w:val="en-GB"/>
        </w:rPr>
        <w:t xml:space="preserve"> submits that</w:t>
      </w:r>
      <w:r w:rsidR="0052692D" w:rsidRPr="002B0635">
        <w:rPr>
          <w:rFonts w:ascii="Arial" w:hAnsi="Arial" w:cs="Arial"/>
          <w:sz w:val="24"/>
          <w:szCs w:val="24"/>
          <w:lang w:val="en-GB"/>
        </w:rPr>
        <w:t xml:space="preserve"> </w:t>
      </w:r>
      <w:r w:rsidR="00215062">
        <w:rPr>
          <w:rFonts w:ascii="Arial" w:hAnsi="Arial" w:cs="Arial"/>
          <w:sz w:val="24"/>
          <w:szCs w:val="24"/>
          <w:lang w:val="en-GB"/>
        </w:rPr>
        <w:t xml:space="preserve">this means that </w:t>
      </w:r>
      <w:r w:rsidR="00DD15F5" w:rsidRPr="002B0635">
        <w:rPr>
          <w:rFonts w:ascii="Arial" w:hAnsi="Arial" w:cs="Arial"/>
          <w:sz w:val="24"/>
          <w:szCs w:val="24"/>
          <w:lang w:val="en-GB"/>
        </w:rPr>
        <w:t xml:space="preserve">only the resolution relating to </w:t>
      </w:r>
      <w:r w:rsidR="00ED0AFD" w:rsidRPr="002B0635">
        <w:rPr>
          <w:rFonts w:ascii="Arial" w:hAnsi="Arial" w:cs="Arial"/>
          <w:sz w:val="24"/>
          <w:szCs w:val="24"/>
          <w:lang w:val="en-GB"/>
        </w:rPr>
        <w:t xml:space="preserve">the </w:t>
      </w:r>
      <w:r w:rsidR="002551B8" w:rsidRPr="002B0635">
        <w:rPr>
          <w:rFonts w:ascii="Arial" w:hAnsi="Arial" w:cs="Arial"/>
          <w:sz w:val="24"/>
          <w:szCs w:val="24"/>
          <w:lang w:val="en-GB"/>
        </w:rPr>
        <w:t>pending debt recovery</w:t>
      </w:r>
      <w:r w:rsidR="00DD15F5" w:rsidRPr="002B0635">
        <w:rPr>
          <w:rFonts w:ascii="Arial" w:hAnsi="Arial" w:cs="Arial"/>
          <w:sz w:val="24"/>
          <w:szCs w:val="24"/>
          <w:lang w:val="en-GB"/>
        </w:rPr>
        <w:t xml:space="preserve"> was passed,</w:t>
      </w:r>
      <w:r w:rsidR="002551B8" w:rsidRPr="002B0635">
        <w:rPr>
          <w:rFonts w:ascii="Arial" w:hAnsi="Arial" w:cs="Arial"/>
          <w:sz w:val="24"/>
          <w:szCs w:val="24"/>
          <w:lang w:val="en-GB"/>
        </w:rPr>
        <w:t xml:space="preserve"> not the </w:t>
      </w:r>
      <w:r w:rsidR="00215062">
        <w:rPr>
          <w:rFonts w:ascii="Arial" w:hAnsi="Arial" w:cs="Arial"/>
          <w:sz w:val="24"/>
          <w:szCs w:val="24"/>
          <w:lang w:val="en-GB"/>
        </w:rPr>
        <w:t xml:space="preserve">resolution relating to the respondent’s </w:t>
      </w:r>
      <w:r w:rsidR="002551B8" w:rsidRPr="002B0635">
        <w:rPr>
          <w:rFonts w:ascii="Arial" w:hAnsi="Arial" w:cs="Arial"/>
          <w:sz w:val="24"/>
          <w:szCs w:val="24"/>
          <w:lang w:val="en-GB"/>
        </w:rPr>
        <w:t xml:space="preserve">eviction. </w:t>
      </w:r>
    </w:p>
    <w:p w:rsidR="00674C43" w:rsidRDefault="00674C43" w:rsidP="00674C43">
      <w:pPr>
        <w:pStyle w:val="ListParagraph"/>
        <w:rPr>
          <w:rFonts w:ascii="Arial" w:hAnsi="Arial" w:cs="Arial"/>
          <w:sz w:val="24"/>
          <w:szCs w:val="24"/>
          <w:lang w:val="en-GB"/>
        </w:rPr>
      </w:pPr>
    </w:p>
    <w:p w:rsidR="00234C5D" w:rsidRDefault="00630603" w:rsidP="00630603">
      <w:pPr>
        <w:spacing w:after="0" w:line="360" w:lineRule="auto"/>
        <w:jc w:val="both"/>
        <w:rPr>
          <w:rFonts w:ascii="Arial" w:hAnsi="Arial" w:cs="Arial"/>
          <w:sz w:val="24"/>
          <w:szCs w:val="24"/>
          <w:lang w:val="en-GB"/>
        </w:rPr>
      </w:pPr>
      <w:r>
        <w:rPr>
          <w:rFonts w:ascii="Arial" w:hAnsi="Arial" w:cs="Arial"/>
          <w:sz w:val="24"/>
          <w:szCs w:val="24"/>
          <w:lang w:val="en-GB"/>
        </w:rPr>
        <w:t>[19]</w:t>
      </w:r>
      <w:r>
        <w:rPr>
          <w:rFonts w:ascii="Arial" w:hAnsi="Arial" w:cs="Arial"/>
          <w:sz w:val="24"/>
          <w:szCs w:val="24"/>
          <w:lang w:val="en-GB"/>
        </w:rPr>
        <w:tab/>
      </w:r>
      <w:r w:rsidR="005C55A8" w:rsidRPr="00215062">
        <w:rPr>
          <w:rFonts w:ascii="Arial" w:hAnsi="Arial" w:cs="Arial"/>
          <w:sz w:val="24"/>
          <w:szCs w:val="24"/>
          <w:lang w:val="en-GB"/>
        </w:rPr>
        <w:t>In my view, nothing turns</w:t>
      </w:r>
      <w:r w:rsidR="00DD15F5" w:rsidRPr="00215062">
        <w:rPr>
          <w:rFonts w:ascii="Arial" w:hAnsi="Arial" w:cs="Arial"/>
          <w:sz w:val="24"/>
          <w:szCs w:val="24"/>
          <w:lang w:val="en-GB"/>
        </w:rPr>
        <w:t xml:space="preserve"> on these differences</w:t>
      </w:r>
      <w:r w:rsidR="005C55A8" w:rsidRPr="00215062">
        <w:rPr>
          <w:rFonts w:ascii="Arial" w:hAnsi="Arial" w:cs="Arial"/>
          <w:sz w:val="24"/>
          <w:szCs w:val="24"/>
          <w:lang w:val="en-GB"/>
        </w:rPr>
        <w:t xml:space="preserve">. </w:t>
      </w:r>
      <w:r w:rsidR="00DD15F5" w:rsidRPr="00215062">
        <w:rPr>
          <w:rFonts w:ascii="Arial" w:hAnsi="Arial" w:cs="Arial"/>
          <w:sz w:val="24"/>
          <w:szCs w:val="24"/>
          <w:lang w:val="en-GB"/>
        </w:rPr>
        <w:t xml:space="preserve">The minutes must be read in context. </w:t>
      </w:r>
      <w:r w:rsidR="005C55A8" w:rsidRPr="00215062">
        <w:rPr>
          <w:rFonts w:ascii="Arial" w:hAnsi="Arial" w:cs="Arial"/>
          <w:sz w:val="24"/>
          <w:szCs w:val="24"/>
          <w:lang w:val="en-GB"/>
        </w:rPr>
        <w:t xml:space="preserve">The notice of the meeting referred </w:t>
      </w:r>
      <w:r w:rsidR="00215062" w:rsidRPr="00215062">
        <w:rPr>
          <w:rFonts w:ascii="Arial" w:hAnsi="Arial" w:cs="Arial"/>
          <w:sz w:val="24"/>
          <w:szCs w:val="24"/>
          <w:lang w:val="en-GB"/>
        </w:rPr>
        <w:t xml:space="preserve">to </w:t>
      </w:r>
      <w:r w:rsidR="0052692D" w:rsidRPr="00215062">
        <w:rPr>
          <w:rFonts w:ascii="Arial" w:hAnsi="Arial" w:cs="Arial"/>
          <w:sz w:val="24"/>
          <w:szCs w:val="24"/>
          <w:lang w:val="en-GB"/>
        </w:rPr>
        <w:t xml:space="preserve">a </w:t>
      </w:r>
      <w:r w:rsidR="005C55A8" w:rsidRPr="00215062">
        <w:rPr>
          <w:rFonts w:ascii="Arial" w:hAnsi="Arial" w:cs="Arial"/>
          <w:sz w:val="24"/>
          <w:szCs w:val="24"/>
          <w:lang w:val="en-GB"/>
        </w:rPr>
        <w:t xml:space="preserve">proposed </w:t>
      </w:r>
      <w:r w:rsidR="0052692D" w:rsidRPr="00215062">
        <w:rPr>
          <w:rFonts w:ascii="Arial" w:hAnsi="Arial" w:cs="Arial"/>
          <w:sz w:val="24"/>
          <w:szCs w:val="24"/>
          <w:lang w:val="en-GB"/>
        </w:rPr>
        <w:t>resolution in the singular, although it had two parts</w:t>
      </w:r>
      <w:r w:rsidR="00DD15F5" w:rsidRPr="00215062">
        <w:rPr>
          <w:rFonts w:ascii="Arial" w:hAnsi="Arial" w:cs="Arial"/>
          <w:sz w:val="24"/>
          <w:szCs w:val="24"/>
          <w:lang w:val="en-GB"/>
        </w:rPr>
        <w:t>.</w:t>
      </w:r>
      <w:r w:rsidR="0052692D" w:rsidRPr="00215062">
        <w:rPr>
          <w:rFonts w:ascii="Arial" w:hAnsi="Arial" w:cs="Arial"/>
          <w:sz w:val="24"/>
          <w:szCs w:val="24"/>
          <w:lang w:val="en-GB"/>
        </w:rPr>
        <w:t xml:space="preserve"> </w:t>
      </w:r>
      <w:r w:rsidR="00DD15F5" w:rsidRPr="00215062">
        <w:rPr>
          <w:rFonts w:ascii="Arial" w:hAnsi="Arial" w:cs="Arial"/>
          <w:sz w:val="24"/>
          <w:szCs w:val="24"/>
          <w:lang w:val="en-GB"/>
        </w:rPr>
        <w:t>T</w:t>
      </w:r>
      <w:r w:rsidR="0052692D" w:rsidRPr="00215062">
        <w:rPr>
          <w:rFonts w:ascii="Arial" w:hAnsi="Arial" w:cs="Arial"/>
          <w:sz w:val="24"/>
          <w:szCs w:val="24"/>
          <w:lang w:val="en-GB"/>
        </w:rPr>
        <w:t xml:space="preserve">he minutes reveal that the proposed resolution was read out in </w:t>
      </w:r>
      <w:r w:rsidR="000A4D37" w:rsidRPr="00215062">
        <w:rPr>
          <w:rFonts w:ascii="Arial" w:hAnsi="Arial" w:cs="Arial"/>
          <w:sz w:val="24"/>
          <w:szCs w:val="24"/>
          <w:lang w:val="en-GB"/>
        </w:rPr>
        <w:t>full</w:t>
      </w:r>
      <w:r w:rsidR="00215062" w:rsidRPr="00215062">
        <w:rPr>
          <w:rFonts w:ascii="Arial" w:hAnsi="Arial" w:cs="Arial"/>
          <w:sz w:val="24"/>
          <w:szCs w:val="24"/>
          <w:lang w:val="en-GB"/>
        </w:rPr>
        <w:t xml:space="preserve"> before it was a discussed and put to the vote. </w:t>
      </w:r>
      <w:r w:rsidR="00215062" w:rsidRPr="00674C43">
        <w:rPr>
          <w:rFonts w:ascii="Arial" w:hAnsi="Arial" w:cs="Arial"/>
          <w:sz w:val="24"/>
          <w:szCs w:val="24"/>
          <w:lang w:val="en-GB"/>
        </w:rPr>
        <w:t>The resolution which was signed by Mr Longford on the same day as the meeting is identical to the proposed resolution and deals with both the existing recovery and the proposed ejectment proceedings.</w:t>
      </w:r>
      <w:r w:rsidR="00215062">
        <w:rPr>
          <w:rFonts w:ascii="Arial" w:hAnsi="Arial" w:cs="Arial"/>
          <w:sz w:val="24"/>
          <w:szCs w:val="24"/>
          <w:lang w:val="en-GB"/>
        </w:rPr>
        <w:t xml:space="preserve"> </w:t>
      </w:r>
      <w:r w:rsidR="00215062" w:rsidRPr="00215062">
        <w:rPr>
          <w:rFonts w:ascii="Arial" w:hAnsi="Arial" w:cs="Arial"/>
          <w:sz w:val="24"/>
          <w:szCs w:val="24"/>
          <w:lang w:val="en-GB"/>
        </w:rPr>
        <w:t>In addition,</w:t>
      </w:r>
      <w:r w:rsidR="000A4D37" w:rsidRPr="00215062">
        <w:rPr>
          <w:rFonts w:ascii="Arial" w:hAnsi="Arial" w:cs="Arial"/>
          <w:sz w:val="24"/>
          <w:szCs w:val="24"/>
          <w:lang w:val="en-GB"/>
        </w:rPr>
        <w:t xml:space="preserve"> </w:t>
      </w:r>
      <w:r w:rsidR="00DD15F5" w:rsidRPr="00215062">
        <w:rPr>
          <w:rFonts w:ascii="Arial" w:hAnsi="Arial" w:cs="Arial"/>
          <w:sz w:val="24"/>
          <w:szCs w:val="24"/>
          <w:lang w:val="en-GB"/>
        </w:rPr>
        <w:t xml:space="preserve">loss of occupation of the premises from which the respondent’s business is run is consistent with </w:t>
      </w:r>
      <w:r w:rsidR="000A4D37" w:rsidRPr="00215062">
        <w:rPr>
          <w:rFonts w:ascii="Arial" w:hAnsi="Arial" w:cs="Arial"/>
          <w:sz w:val="24"/>
          <w:szCs w:val="24"/>
          <w:lang w:val="en-GB"/>
        </w:rPr>
        <w:t>Ms Robinson’s fears that the resolutions would close the respondent down</w:t>
      </w:r>
      <w:r w:rsidR="00DD15F5" w:rsidRPr="00215062">
        <w:rPr>
          <w:rFonts w:ascii="Arial" w:hAnsi="Arial" w:cs="Arial"/>
          <w:sz w:val="24"/>
          <w:szCs w:val="24"/>
          <w:lang w:val="en-GB"/>
        </w:rPr>
        <w:t xml:space="preserve">. </w:t>
      </w:r>
    </w:p>
    <w:p w:rsidR="00CF165B" w:rsidRPr="00215062" w:rsidRDefault="00CF165B" w:rsidP="00CF165B">
      <w:pPr>
        <w:spacing w:after="0" w:line="360" w:lineRule="auto"/>
        <w:jc w:val="both"/>
        <w:rPr>
          <w:rFonts w:ascii="Arial" w:hAnsi="Arial" w:cs="Arial"/>
          <w:sz w:val="24"/>
          <w:szCs w:val="24"/>
          <w:lang w:val="en-GB"/>
        </w:rPr>
      </w:pPr>
    </w:p>
    <w:p w:rsidR="005134BC" w:rsidRPr="00CF165B" w:rsidRDefault="00630603" w:rsidP="00630603">
      <w:pPr>
        <w:spacing w:after="0" w:line="360" w:lineRule="auto"/>
        <w:jc w:val="both"/>
        <w:rPr>
          <w:rFonts w:ascii="Arial" w:hAnsi="Arial" w:cs="Arial"/>
          <w:sz w:val="24"/>
          <w:szCs w:val="24"/>
          <w:lang w:val="en-GB"/>
        </w:rPr>
      </w:pPr>
      <w:r w:rsidRPr="00CF165B">
        <w:rPr>
          <w:rFonts w:ascii="Arial" w:hAnsi="Arial" w:cs="Arial"/>
          <w:sz w:val="24"/>
          <w:szCs w:val="24"/>
          <w:lang w:val="en-GB"/>
        </w:rPr>
        <w:lastRenderedPageBreak/>
        <w:t>[20]</w:t>
      </w:r>
      <w:r w:rsidRPr="00CF165B">
        <w:rPr>
          <w:rFonts w:ascii="Arial" w:hAnsi="Arial" w:cs="Arial"/>
          <w:sz w:val="24"/>
          <w:szCs w:val="24"/>
          <w:lang w:val="en-GB"/>
        </w:rPr>
        <w:tab/>
      </w:r>
      <w:r w:rsidR="006343E7" w:rsidRPr="002B0635">
        <w:rPr>
          <w:rFonts w:ascii="Arial" w:hAnsi="Arial" w:cs="Arial"/>
          <w:sz w:val="24"/>
          <w:szCs w:val="24"/>
          <w:lang w:val="en-GB"/>
        </w:rPr>
        <w:t>A signed copy of the resolution</w:t>
      </w:r>
      <w:r w:rsidR="006343E7">
        <w:rPr>
          <w:rFonts w:ascii="Arial" w:hAnsi="Arial" w:cs="Arial"/>
          <w:sz w:val="24"/>
          <w:szCs w:val="24"/>
          <w:lang w:val="en-GB"/>
        </w:rPr>
        <w:t xml:space="preserve"> so passed</w:t>
      </w:r>
      <w:r w:rsidR="006343E7" w:rsidRPr="002B0635">
        <w:rPr>
          <w:rFonts w:ascii="Arial" w:hAnsi="Arial" w:cs="Arial"/>
          <w:sz w:val="24"/>
          <w:szCs w:val="24"/>
          <w:lang w:val="en-GB"/>
        </w:rPr>
        <w:t xml:space="preserve"> </w:t>
      </w:r>
      <w:r w:rsidR="007068F6">
        <w:rPr>
          <w:rFonts w:ascii="Arial" w:hAnsi="Arial" w:cs="Arial"/>
          <w:sz w:val="24"/>
          <w:szCs w:val="24"/>
          <w:lang w:val="en-GB"/>
        </w:rPr>
        <w:t xml:space="preserve">was </w:t>
      </w:r>
      <w:r w:rsidR="006343E7" w:rsidRPr="002B0635">
        <w:rPr>
          <w:rFonts w:ascii="Arial" w:hAnsi="Arial" w:cs="Arial"/>
          <w:sz w:val="24"/>
          <w:szCs w:val="24"/>
          <w:lang w:val="en-GB"/>
        </w:rPr>
        <w:t>sent to the respondent’s attorneys in August 202</w:t>
      </w:r>
      <w:r w:rsidR="006343E7">
        <w:rPr>
          <w:rFonts w:ascii="Arial" w:hAnsi="Arial" w:cs="Arial"/>
          <w:sz w:val="24"/>
          <w:szCs w:val="24"/>
          <w:lang w:val="en-GB"/>
        </w:rPr>
        <w:t xml:space="preserve">2, a month before a letter of demand and a subsequent notice cancelling the lease were sent to the respondent. </w:t>
      </w:r>
      <w:r w:rsidR="00CF165B">
        <w:rPr>
          <w:rFonts w:ascii="Arial" w:hAnsi="Arial" w:cs="Arial"/>
          <w:sz w:val="24"/>
          <w:szCs w:val="24"/>
          <w:lang w:val="en-GB"/>
        </w:rPr>
        <w:t>T</w:t>
      </w:r>
      <w:r w:rsidR="006343E7">
        <w:rPr>
          <w:rFonts w:ascii="Arial" w:hAnsi="Arial" w:cs="Arial"/>
          <w:sz w:val="24"/>
          <w:szCs w:val="24"/>
          <w:lang w:val="en-GB"/>
        </w:rPr>
        <w:t>he present proceedings were instituted</w:t>
      </w:r>
      <w:r w:rsidR="00CF165B">
        <w:rPr>
          <w:rFonts w:ascii="Arial" w:hAnsi="Arial" w:cs="Arial"/>
          <w:sz w:val="24"/>
          <w:szCs w:val="24"/>
          <w:lang w:val="en-GB"/>
        </w:rPr>
        <w:t xml:space="preserve"> in October 2022</w:t>
      </w:r>
      <w:r w:rsidR="00B92148" w:rsidRPr="00CF165B">
        <w:rPr>
          <w:rFonts w:ascii="Arial" w:hAnsi="Arial" w:cs="Arial"/>
          <w:sz w:val="24"/>
          <w:szCs w:val="24"/>
          <w:lang w:val="en-GB"/>
        </w:rPr>
        <w:t xml:space="preserve">. </w:t>
      </w:r>
      <w:r w:rsidR="00CF165B">
        <w:rPr>
          <w:rFonts w:ascii="Arial" w:hAnsi="Arial" w:cs="Arial"/>
          <w:sz w:val="24"/>
          <w:szCs w:val="24"/>
          <w:lang w:val="en-GB"/>
        </w:rPr>
        <w:t>I</w:t>
      </w:r>
      <w:r w:rsidR="000562F1" w:rsidRPr="00CF165B">
        <w:rPr>
          <w:rFonts w:ascii="Arial" w:hAnsi="Arial" w:cs="Arial"/>
          <w:sz w:val="24"/>
          <w:szCs w:val="24"/>
          <w:lang w:val="en-GB"/>
        </w:rPr>
        <w:t xml:space="preserve">n its answering affidavit </w:t>
      </w:r>
      <w:r w:rsidR="00CF165B">
        <w:rPr>
          <w:rFonts w:ascii="Arial" w:hAnsi="Arial" w:cs="Arial"/>
          <w:sz w:val="24"/>
          <w:szCs w:val="24"/>
          <w:lang w:val="en-GB"/>
        </w:rPr>
        <w:t xml:space="preserve">deposed to on </w:t>
      </w:r>
      <w:r w:rsidR="00CF165B" w:rsidRPr="00CF165B">
        <w:rPr>
          <w:rFonts w:ascii="Arial" w:hAnsi="Arial" w:cs="Arial"/>
          <w:sz w:val="24"/>
          <w:szCs w:val="24"/>
          <w:lang w:val="en-GB"/>
        </w:rPr>
        <w:t xml:space="preserve">13 January 2023, </w:t>
      </w:r>
      <w:r w:rsidR="00CF165B">
        <w:rPr>
          <w:rFonts w:ascii="Arial" w:hAnsi="Arial" w:cs="Arial"/>
          <w:sz w:val="24"/>
          <w:szCs w:val="24"/>
          <w:lang w:val="en-GB"/>
        </w:rPr>
        <w:t>t</w:t>
      </w:r>
      <w:r w:rsidR="00CF165B" w:rsidRPr="00CF165B">
        <w:rPr>
          <w:rFonts w:ascii="Arial" w:hAnsi="Arial" w:cs="Arial"/>
          <w:sz w:val="24"/>
          <w:szCs w:val="24"/>
          <w:lang w:val="en-GB"/>
        </w:rPr>
        <w:t>he respondent indicated</w:t>
      </w:r>
      <w:r w:rsidR="00CF165B">
        <w:rPr>
          <w:rFonts w:ascii="Arial" w:hAnsi="Arial" w:cs="Arial"/>
          <w:sz w:val="24"/>
          <w:szCs w:val="24"/>
          <w:lang w:val="en-GB"/>
        </w:rPr>
        <w:t xml:space="preserve"> </w:t>
      </w:r>
      <w:r w:rsidR="000562F1" w:rsidRPr="00CF165B">
        <w:rPr>
          <w:rFonts w:ascii="Arial" w:hAnsi="Arial" w:cs="Arial"/>
          <w:sz w:val="24"/>
          <w:szCs w:val="24"/>
          <w:lang w:val="en-GB"/>
        </w:rPr>
        <w:t>that Ms Robinson intended instituting proceedings to s</w:t>
      </w:r>
      <w:r w:rsidR="00405715" w:rsidRPr="00CF165B">
        <w:rPr>
          <w:rFonts w:ascii="Arial" w:hAnsi="Arial" w:cs="Arial"/>
          <w:sz w:val="24"/>
          <w:szCs w:val="24"/>
          <w:lang w:val="en-GB"/>
        </w:rPr>
        <w:t>et</w:t>
      </w:r>
      <w:r w:rsidR="000562F1" w:rsidRPr="00CF165B">
        <w:rPr>
          <w:rFonts w:ascii="Arial" w:hAnsi="Arial" w:cs="Arial"/>
          <w:sz w:val="24"/>
          <w:szCs w:val="24"/>
          <w:lang w:val="en-GB"/>
        </w:rPr>
        <w:t xml:space="preserve"> the resolution </w:t>
      </w:r>
      <w:r w:rsidR="00405715" w:rsidRPr="00CF165B">
        <w:rPr>
          <w:rFonts w:ascii="Arial" w:hAnsi="Arial" w:cs="Arial"/>
          <w:sz w:val="24"/>
          <w:szCs w:val="24"/>
          <w:lang w:val="en-GB"/>
        </w:rPr>
        <w:t xml:space="preserve">aside </w:t>
      </w:r>
      <w:r w:rsidR="000562F1" w:rsidRPr="00CF165B">
        <w:rPr>
          <w:rFonts w:ascii="Arial" w:hAnsi="Arial" w:cs="Arial"/>
          <w:sz w:val="24"/>
          <w:szCs w:val="24"/>
          <w:lang w:val="en-GB"/>
        </w:rPr>
        <w:t>and that the court would be finished with a copy of th</w:t>
      </w:r>
      <w:r w:rsidR="007068F6">
        <w:rPr>
          <w:rFonts w:ascii="Arial" w:hAnsi="Arial" w:cs="Arial"/>
          <w:sz w:val="24"/>
          <w:szCs w:val="24"/>
          <w:lang w:val="en-GB"/>
        </w:rPr>
        <w:t>o</w:t>
      </w:r>
      <w:r w:rsidR="000562F1" w:rsidRPr="00CF165B">
        <w:rPr>
          <w:rFonts w:ascii="Arial" w:hAnsi="Arial" w:cs="Arial"/>
          <w:sz w:val="24"/>
          <w:szCs w:val="24"/>
          <w:lang w:val="en-GB"/>
        </w:rPr>
        <w:t>se application papers when they became available.</w:t>
      </w:r>
      <w:r w:rsidR="00DD15F5" w:rsidRPr="00CF165B">
        <w:rPr>
          <w:rFonts w:ascii="Arial" w:hAnsi="Arial" w:cs="Arial"/>
          <w:sz w:val="24"/>
          <w:szCs w:val="24"/>
          <w:lang w:val="en-GB"/>
        </w:rPr>
        <w:t xml:space="preserve"> </w:t>
      </w:r>
      <w:r w:rsidR="00B92148" w:rsidRPr="00CF165B">
        <w:rPr>
          <w:rFonts w:ascii="Arial" w:hAnsi="Arial" w:cs="Arial"/>
          <w:sz w:val="24"/>
          <w:szCs w:val="24"/>
          <w:lang w:val="en-GB"/>
        </w:rPr>
        <w:t>No explanation was proffered for why th</w:t>
      </w:r>
      <w:r w:rsidR="00CF165B">
        <w:rPr>
          <w:rFonts w:ascii="Arial" w:hAnsi="Arial" w:cs="Arial"/>
          <w:sz w:val="24"/>
          <w:szCs w:val="24"/>
          <w:lang w:val="en-GB"/>
        </w:rPr>
        <w:t>ose proceedings had not yet been brought</w:t>
      </w:r>
      <w:r w:rsidR="00DD15F5" w:rsidRPr="00CF165B">
        <w:rPr>
          <w:rFonts w:ascii="Arial" w:hAnsi="Arial" w:cs="Arial"/>
          <w:sz w:val="24"/>
          <w:szCs w:val="24"/>
          <w:lang w:val="en-GB"/>
        </w:rPr>
        <w:t xml:space="preserve">. </w:t>
      </w:r>
      <w:r w:rsidR="000562F1" w:rsidRPr="00CF165B">
        <w:rPr>
          <w:rFonts w:ascii="Arial" w:hAnsi="Arial" w:cs="Arial"/>
          <w:sz w:val="24"/>
          <w:szCs w:val="24"/>
          <w:lang w:val="en-GB"/>
        </w:rPr>
        <w:t xml:space="preserve">I was informed by both counsel that </w:t>
      </w:r>
      <w:r w:rsidR="00DD15F5" w:rsidRPr="00CF165B">
        <w:rPr>
          <w:rFonts w:ascii="Arial" w:hAnsi="Arial" w:cs="Arial"/>
          <w:sz w:val="24"/>
          <w:szCs w:val="24"/>
          <w:lang w:val="en-GB"/>
        </w:rPr>
        <w:t xml:space="preserve">Ms Robinson instituted proceedings to </w:t>
      </w:r>
      <w:r w:rsidR="00D84BC8">
        <w:rPr>
          <w:rFonts w:ascii="Arial" w:hAnsi="Arial" w:cs="Arial"/>
          <w:sz w:val="24"/>
          <w:szCs w:val="24"/>
          <w:lang w:val="en-GB"/>
        </w:rPr>
        <w:t>set aside</w:t>
      </w:r>
      <w:r w:rsidR="00DD15F5" w:rsidRPr="00CF165B">
        <w:rPr>
          <w:rFonts w:ascii="Arial" w:hAnsi="Arial" w:cs="Arial"/>
          <w:sz w:val="24"/>
          <w:szCs w:val="24"/>
          <w:lang w:val="en-GB"/>
        </w:rPr>
        <w:t xml:space="preserve"> the resolution </w:t>
      </w:r>
      <w:r w:rsidR="00CF165B">
        <w:rPr>
          <w:rFonts w:ascii="Arial" w:hAnsi="Arial" w:cs="Arial"/>
          <w:sz w:val="24"/>
          <w:szCs w:val="24"/>
          <w:lang w:val="en-GB"/>
        </w:rPr>
        <w:t xml:space="preserve">out of the Durban High Court </w:t>
      </w:r>
      <w:r w:rsidR="00DD15F5" w:rsidRPr="00CF165B">
        <w:rPr>
          <w:rFonts w:ascii="Arial" w:hAnsi="Arial" w:cs="Arial"/>
          <w:sz w:val="24"/>
          <w:szCs w:val="24"/>
          <w:lang w:val="en-GB"/>
        </w:rPr>
        <w:t>in the first half of July 2023</w:t>
      </w:r>
      <w:r w:rsidR="00CF165B">
        <w:rPr>
          <w:rFonts w:ascii="Arial" w:hAnsi="Arial" w:cs="Arial"/>
          <w:sz w:val="24"/>
          <w:szCs w:val="24"/>
          <w:lang w:val="en-GB"/>
        </w:rPr>
        <w:t>, some two weeks prior to this matter being heard as an opposed motion</w:t>
      </w:r>
      <w:r w:rsidR="005134BC" w:rsidRPr="00CF165B">
        <w:rPr>
          <w:rFonts w:ascii="Arial" w:hAnsi="Arial" w:cs="Arial"/>
          <w:sz w:val="24"/>
          <w:szCs w:val="24"/>
          <w:lang w:val="en-GB"/>
        </w:rPr>
        <w:t>.</w:t>
      </w:r>
    </w:p>
    <w:p w:rsidR="00674C43" w:rsidRDefault="00674C43" w:rsidP="00EC4EC7">
      <w:pPr>
        <w:spacing w:after="0" w:line="360" w:lineRule="auto"/>
        <w:jc w:val="both"/>
        <w:rPr>
          <w:rFonts w:ascii="Arial" w:hAnsi="Arial" w:cs="Arial"/>
          <w:sz w:val="24"/>
          <w:szCs w:val="24"/>
          <w:lang w:val="en-GB"/>
        </w:rPr>
      </w:pPr>
    </w:p>
    <w:p w:rsidR="005134BC" w:rsidRDefault="00630603" w:rsidP="00630603">
      <w:pPr>
        <w:spacing w:after="0" w:line="360" w:lineRule="auto"/>
        <w:jc w:val="both"/>
        <w:rPr>
          <w:rFonts w:ascii="Arial" w:hAnsi="Arial" w:cs="Arial"/>
          <w:sz w:val="24"/>
          <w:szCs w:val="24"/>
          <w:lang w:val="en-GB"/>
        </w:rPr>
      </w:pPr>
      <w:r>
        <w:rPr>
          <w:rFonts w:ascii="Arial" w:hAnsi="Arial" w:cs="Arial"/>
          <w:sz w:val="24"/>
          <w:szCs w:val="24"/>
          <w:lang w:val="en-GB"/>
        </w:rPr>
        <w:t>[21]</w:t>
      </w:r>
      <w:r>
        <w:rPr>
          <w:rFonts w:ascii="Arial" w:hAnsi="Arial" w:cs="Arial"/>
          <w:sz w:val="24"/>
          <w:szCs w:val="24"/>
          <w:lang w:val="en-GB"/>
        </w:rPr>
        <w:tab/>
      </w:r>
      <w:r w:rsidR="005134BC" w:rsidRPr="00ED29C2">
        <w:rPr>
          <w:rFonts w:ascii="Arial" w:hAnsi="Arial" w:cs="Arial"/>
          <w:sz w:val="24"/>
          <w:szCs w:val="24"/>
          <w:lang w:val="en-GB"/>
        </w:rPr>
        <w:t>At the</w:t>
      </w:r>
      <w:r w:rsidR="00CF165B">
        <w:rPr>
          <w:rFonts w:ascii="Arial" w:hAnsi="Arial" w:cs="Arial"/>
          <w:sz w:val="24"/>
          <w:szCs w:val="24"/>
          <w:lang w:val="en-GB"/>
        </w:rPr>
        <w:t xml:space="preserve"> </w:t>
      </w:r>
      <w:r w:rsidR="005134BC" w:rsidRPr="00ED29C2">
        <w:rPr>
          <w:rFonts w:ascii="Arial" w:hAnsi="Arial" w:cs="Arial"/>
          <w:sz w:val="24"/>
          <w:szCs w:val="24"/>
          <w:lang w:val="en-GB"/>
        </w:rPr>
        <w:t>commencement of</w:t>
      </w:r>
      <w:r w:rsidR="00CF165B">
        <w:rPr>
          <w:rFonts w:ascii="Arial" w:hAnsi="Arial" w:cs="Arial"/>
          <w:sz w:val="24"/>
          <w:szCs w:val="24"/>
          <w:lang w:val="en-GB"/>
        </w:rPr>
        <w:t xml:space="preserve"> the hearing</w:t>
      </w:r>
      <w:r w:rsidR="005134BC" w:rsidRPr="00ED29C2">
        <w:rPr>
          <w:rFonts w:ascii="Arial" w:hAnsi="Arial" w:cs="Arial"/>
          <w:sz w:val="24"/>
          <w:szCs w:val="24"/>
          <w:lang w:val="en-GB"/>
        </w:rPr>
        <w:t>, Mr</w:t>
      </w:r>
      <w:r w:rsidR="00E87BB3">
        <w:rPr>
          <w:rFonts w:ascii="Arial" w:hAnsi="Arial" w:cs="Arial"/>
          <w:sz w:val="24"/>
          <w:szCs w:val="24"/>
          <w:lang w:val="en-GB"/>
        </w:rPr>
        <w:t xml:space="preserve"> </w:t>
      </w:r>
      <w:r w:rsidR="005134BC" w:rsidRPr="00ED29C2">
        <w:rPr>
          <w:rFonts w:ascii="Arial" w:hAnsi="Arial" w:cs="Arial"/>
          <w:sz w:val="24"/>
          <w:szCs w:val="24"/>
          <w:lang w:val="en-GB"/>
        </w:rPr>
        <w:t>Temlett, who appeared for the respondent, applied from the bar for a postponement</w:t>
      </w:r>
      <w:r w:rsidR="007068F6">
        <w:rPr>
          <w:rFonts w:ascii="Arial" w:hAnsi="Arial" w:cs="Arial"/>
          <w:sz w:val="24"/>
          <w:szCs w:val="24"/>
          <w:lang w:val="en-GB"/>
        </w:rPr>
        <w:t xml:space="preserve"> of this application</w:t>
      </w:r>
      <w:r w:rsidR="005134BC" w:rsidRPr="00ED29C2">
        <w:rPr>
          <w:rFonts w:ascii="Arial" w:hAnsi="Arial" w:cs="Arial"/>
          <w:sz w:val="24"/>
          <w:szCs w:val="24"/>
          <w:lang w:val="en-GB"/>
        </w:rPr>
        <w:t xml:space="preserve"> pending the finalisation of the proceedings </w:t>
      </w:r>
      <w:r w:rsidR="00D84BC8">
        <w:rPr>
          <w:rFonts w:ascii="Arial" w:hAnsi="Arial" w:cs="Arial"/>
          <w:sz w:val="24"/>
          <w:szCs w:val="24"/>
          <w:lang w:val="en-GB"/>
        </w:rPr>
        <w:t xml:space="preserve">relating to </w:t>
      </w:r>
      <w:r w:rsidR="005134BC" w:rsidRPr="00ED29C2">
        <w:rPr>
          <w:rFonts w:ascii="Arial" w:hAnsi="Arial" w:cs="Arial"/>
          <w:sz w:val="24"/>
          <w:szCs w:val="24"/>
          <w:lang w:val="en-GB"/>
        </w:rPr>
        <w:t xml:space="preserve">the resolution. Mr Temlett was commendably frank about the difficulties </w:t>
      </w:r>
      <w:r w:rsidR="005134BC">
        <w:rPr>
          <w:rFonts w:ascii="Arial" w:hAnsi="Arial" w:cs="Arial"/>
          <w:sz w:val="24"/>
          <w:szCs w:val="24"/>
          <w:lang w:val="en-GB"/>
        </w:rPr>
        <w:t xml:space="preserve">posed by moving the application in this fashion. </w:t>
      </w:r>
      <w:r w:rsidR="005134BC" w:rsidRPr="00ED29C2">
        <w:rPr>
          <w:rFonts w:ascii="Arial" w:hAnsi="Arial" w:cs="Arial"/>
          <w:sz w:val="24"/>
          <w:szCs w:val="24"/>
          <w:lang w:val="en-GB"/>
        </w:rPr>
        <w:t xml:space="preserve">Without a substantive application counsel was unable to </w:t>
      </w:r>
      <w:r w:rsidR="00D84BC8">
        <w:rPr>
          <w:rFonts w:ascii="Arial" w:hAnsi="Arial" w:cs="Arial"/>
          <w:sz w:val="24"/>
          <w:szCs w:val="24"/>
          <w:lang w:val="en-GB"/>
        </w:rPr>
        <w:t>deal with</w:t>
      </w:r>
      <w:r w:rsidR="005134BC">
        <w:rPr>
          <w:rFonts w:ascii="Arial" w:hAnsi="Arial" w:cs="Arial"/>
          <w:sz w:val="24"/>
          <w:szCs w:val="24"/>
          <w:lang w:val="en-GB"/>
        </w:rPr>
        <w:t xml:space="preserve"> matters such as</w:t>
      </w:r>
      <w:r w:rsidR="005134BC" w:rsidRPr="00ED29C2">
        <w:rPr>
          <w:rFonts w:ascii="Arial" w:hAnsi="Arial" w:cs="Arial"/>
          <w:sz w:val="24"/>
          <w:szCs w:val="24"/>
          <w:lang w:val="en-GB"/>
        </w:rPr>
        <w:t>: wh</w:t>
      </w:r>
      <w:r w:rsidR="00CF165B">
        <w:rPr>
          <w:rFonts w:ascii="Arial" w:hAnsi="Arial" w:cs="Arial"/>
          <w:sz w:val="24"/>
          <w:szCs w:val="24"/>
          <w:lang w:val="en-GB"/>
        </w:rPr>
        <w:t>y</w:t>
      </w:r>
      <w:r w:rsidR="005134BC" w:rsidRPr="00ED29C2">
        <w:rPr>
          <w:rFonts w:ascii="Arial" w:hAnsi="Arial" w:cs="Arial"/>
          <w:sz w:val="24"/>
          <w:szCs w:val="24"/>
          <w:lang w:val="en-GB"/>
        </w:rPr>
        <w:t xml:space="preserve"> the application was not launched </w:t>
      </w:r>
      <w:r w:rsidR="005134BC">
        <w:rPr>
          <w:rFonts w:ascii="Arial" w:hAnsi="Arial" w:cs="Arial"/>
          <w:sz w:val="24"/>
          <w:szCs w:val="24"/>
          <w:lang w:val="en-GB"/>
        </w:rPr>
        <w:t xml:space="preserve">immediately </w:t>
      </w:r>
      <w:r w:rsidR="005134BC" w:rsidRPr="00ED29C2">
        <w:rPr>
          <w:rFonts w:ascii="Arial" w:hAnsi="Arial" w:cs="Arial"/>
          <w:sz w:val="24"/>
          <w:szCs w:val="24"/>
          <w:lang w:val="en-GB"/>
        </w:rPr>
        <w:t xml:space="preserve">the resolution came to Ms Robinson’s attention, or at the very least </w:t>
      </w:r>
      <w:r w:rsidR="005134BC">
        <w:rPr>
          <w:rFonts w:ascii="Arial" w:hAnsi="Arial" w:cs="Arial"/>
          <w:sz w:val="24"/>
          <w:szCs w:val="24"/>
          <w:lang w:val="en-GB"/>
        </w:rPr>
        <w:t xml:space="preserve">at the same time </w:t>
      </w:r>
      <w:r w:rsidR="005134BC" w:rsidRPr="00ED29C2">
        <w:rPr>
          <w:rFonts w:ascii="Arial" w:hAnsi="Arial" w:cs="Arial"/>
          <w:sz w:val="24"/>
          <w:szCs w:val="24"/>
          <w:lang w:val="en-GB"/>
        </w:rPr>
        <w:t xml:space="preserve">the answering affidavit was filed, why it was launched in a different seat of the High Court than that in which the eviction proceedings were pending, on what basis it was brought, its prospects of success and the timeframes within it which it was likely to be finalised. Quite correctly, Mr Temlett did not attempt to address these </w:t>
      </w:r>
      <w:r w:rsidR="00D84BC8">
        <w:rPr>
          <w:rFonts w:ascii="Arial" w:hAnsi="Arial" w:cs="Arial"/>
          <w:sz w:val="24"/>
          <w:szCs w:val="24"/>
          <w:lang w:val="en-GB"/>
        </w:rPr>
        <w:t>matters</w:t>
      </w:r>
      <w:r w:rsidR="005134BC" w:rsidRPr="00ED29C2">
        <w:rPr>
          <w:rFonts w:ascii="Arial" w:hAnsi="Arial" w:cs="Arial"/>
          <w:sz w:val="24"/>
          <w:szCs w:val="24"/>
          <w:lang w:val="en-GB"/>
        </w:rPr>
        <w:t xml:space="preserve"> by testifying from the bar. </w:t>
      </w:r>
      <w:r w:rsidR="005134BC">
        <w:rPr>
          <w:rFonts w:ascii="Arial" w:hAnsi="Arial" w:cs="Arial"/>
          <w:sz w:val="24"/>
          <w:szCs w:val="24"/>
          <w:lang w:val="en-GB"/>
        </w:rPr>
        <w:t>I</w:t>
      </w:r>
      <w:r w:rsidR="005134BC" w:rsidRPr="00ED29C2">
        <w:rPr>
          <w:rFonts w:ascii="Arial" w:hAnsi="Arial" w:cs="Arial"/>
          <w:sz w:val="24"/>
          <w:szCs w:val="24"/>
          <w:lang w:val="en-GB"/>
        </w:rPr>
        <w:t xml:space="preserve"> refused the application, as it was not properly motivated, </w:t>
      </w:r>
      <w:r w:rsidR="00D84BC8">
        <w:rPr>
          <w:rFonts w:ascii="Arial" w:hAnsi="Arial" w:cs="Arial"/>
          <w:sz w:val="24"/>
          <w:szCs w:val="24"/>
          <w:lang w:val="en-GB"/>
        </w:rPr>
        <w:t xml:space="preserve">and </w:t>
      </w:r>
      <w:r w:rsidR="005134BC" w:rsidRPr="00ED29C2">
        <w:rPr>
          <w:rFonts w:ascii="Arial" w:hAnsi="Arial" w:cs="Arial"/>
          <w:sz w:val="24"/>
          <w:szCs w:val="24"/>
          <w:lang w:val="en-GB"/>
        </w:rPr>
        <w:t xml:space="preserve">could </w:t>
      </w:r>
      <w:r w:rsidR="00D84BC8">
        <w:rPr>
          <w:rFonts w:ascii="Arial" w:hAnsi="Arial" w:cs="Arial"/>
          <w:sz w:val="24"/>
          <w:szCs w:val="24"/>
          <w:lang w:val="en-GB"/>
        </w:rPr>
        <w:t>not</w:t>
      </w:r>
      <w:r w:rsidR="005134BC" w:rsidRPr="00ED29C2">
        <w:rPr>
          <w:rFonts w:ascii="Arial" w:hAnsi="Arial" w:cs="Arial"/>
          <w:sz w:val="24"/>
          <w:szCs w:val="24"/>
          <w:lang w:val="en-GB"/>
        </w:rPr>
        <w:t xml:space="preserve"> be</w:t>
      </w:r>
      <w:r w:rsidR="00D84BC8">
        <w:rPr>
          <w:rFonts w:ascii="Arial" w:hAnsi="Arial" w:cs="Arial"/>
          <w:sz w:val="24"/>
          <w:szCs w:val="24"/>
          <w:lang w:val="en-GB"/>
        </w:rPr>
        <w:t>,</w:t>
      </w:r>
      <w:r w:rsidR="005134BC" w:rsidRPr="00ED29C2">
        <w:rPr>
          <w:rFonts w:ascii="Arial" w:hAnsi="Arial" w:cs="Arial"/>
          <w:sz w:val="24"/>
          <w:szCs w:val="24"/>
          <w:lang w:val="en-GB"/>
        </w:rPr>
        <w:t xml:space="preserve"> given the form in which it was brought.</w:t>
      </w:r>
    </w:p>
    <w:p w:rsidR="00E87BB3" w:rsidRDefault="00E87BB3" w:rsidP="00EC4EC7">
      <w:pPr>
        <w:spacing w:after="0" w:line="360" w:lineRule="auto"/>
        <w:jc w:val="both"/>
        <w:rPr>
          <w:rFonts w:ascii="Arial" w:hAnsi="Arial" w:cs="Arial"/>
          <w:b/>
          <w:bCs/>
          <w:sz w:val="24"/>
          <w:szCs w:val="24"/>
          <w:u w:val="single"/>
          <w:lang w:val="en-GB"/>
        </w:rPr>
      </w:pPr>
    </w:p>
    <w:p w:rsidR="00692CE2" w:rsidRPr="001A063F" w:rsidRDefault="005134BC" w:rsidP="00EC4EC7">
      <w:pPr>
        <w:spacing w:after="0" w:line="360" w:lineRule="auto"/>
        <w:jc w:val="both"/>
        <w:rPr>
          <w:rFonts w:ascii="Arial" w:hAnsi="Arial" w:cs="Arial"/>
          <w:b/>
          <w:bCs/>
          <w:sz w:val="24"/>
          <w:szCs w:val="24"/>
          <w:lang w:val="en-GB"/>
        </w:rPr>
      </w:pPr>
      <w:r w:rsidRPr="001A063F">
        <w:rPr>
          <w:rFonts w:ascii="Arial" w:hAnsi="Arial" w:cs="Arial"/>
          <w:b/>
          <w:bCs/>
          <w:sz w:val="24"/>
          <w:szCs w:val="24"/>
          <w:lang w:val="en-GB"/>
        </w:rPr>
        <w:t xml:space="preserve">The authority challenge </w:t>
      </w:r>
    </w:p>
    <w:p w:rsidR="00EC4EC7" w:rsidRDefault="00EC4EC7" w:rsidP="00EC4EC7">
      <w:pPr>
        <w:spacing w:after="0" w:line="360" w:lineRule="auto"/>
        <w:jc w:val="both"/>
        <w:rPr>
          <w:rFonts w:ascii="Arial" w:hAnsi="Arial" w:cs="Arial"/>
          <w:b/>
          <w:bCs/>
          <w:sz w:val="24"/>
          <w:szCs w:val="24"/>
          <w:u w:val="single"/>
          <w:lang w:val="en-GB"/>
        </w:rPr>
      </w:pPr>
    </w:p>
    <w:p w:rsidR="00674C43" w:rsidRDefault="00630603" w:rsidP="00630603">
      <w:pPr>
        <w:spacing w:after="0" w:line="360" w:lineRule="auto"/>
        <w:jc w:val="both"/>
        <w:rPr>
          <w:rFonts w:ascii="Arial" w:hAnsi="Arial" w:cs="Arial"/>
          <w:sz w:val="24"/>
          <w:szCs w:val="24"/>
          <w:lang w:val="en-GB"/>
        </w:rPr>
      </w:pPr>
      <w:r>
        <w:rPr>
          <w:rFonts w:ascii="Arial" w:hAnsi="Arial" w:cs="Arial"/>
          <w:sz w:val="24"/>
          <w:szCs w:val="24"/>
          <w:lang w:val="en-GB"/>
        </w:rPr>
        <w:t>[22]</w:t>
      </w:r>
      <w:r>
        <w:rPr>
          <w:rFonts w:ascii="Arial" w:hAnsi="Arial" w:cs="Arial"/>
          <w:sz w:val="24"/>
          <w:szCs w:val="24"/>
          <w:lang w:val="en-GB"/>
        </w:rPr>
        <w:tab/>
      </w:r>
      <w:r w:rsidR="00230451" w:rsidRPr="00674C43">
        <w:rPr>
          <w:rFonts w:ascii="Arial" w:hAnsi="Arial" w:cs="Arial"/>
          <w:sz w:val="24"/>
          <w:szCs w:val="24"/>
          <w:lang w:val="en-GB"/>
        </w:rPr>
        <w:t>T</w:t>
      </w:r>
      <w:r w:rsidR="00D00CEC" w:rsidRPr="00674C43">
        <w:rPr>
          <w:rFonts w:ascii="Arial" w:hAnsi="Arial" w:cs="Arial"/>
          <w:sz w:val="24"/>
          <w:szCs w:val="24"/>
          <w:lang w:val="en-GB"/>
        </w:rPr>
        <w:t>he founding affidavit in the eviction application dealt only with the conclusion of the lease, the respondent</w:t>
      </w:r>
      <w:r w:rsidR="00230451" w:rsidRPr="00674C43">
        <w:rPr>
          <w:rFonts w:ascii="Arial" w:hAnsi="Arial" w:cs="Arial"/>
          <w:sz w:val="24"/>
          <w:szCs w:val="24"/>
          <w:lang w:val="en-GB"/>
        </w:rPr>
        <w:t>’</w:t>
      </w:r>
      <w:r w:rsidR="00D00CEC" w:rsidRPr="00674C43">
        <w:rPr>
          <w:rFonts w:ascii="Arial" w:hAnsi="Arial" w:cs="Arial"/>
          <w:sz w:val="24"/>
          <w:szCs w:val="24"/>
          <w:lang w:val="en-GB"/>
        </w:rPr>
        <w:t>s breach</w:t>
      </w:r>
      <w:r w:rsidR="00CF165B">
        <w:rPr>
          <w:rFonts w:ascii="Arial" w:hAnsi="Arial" w:cs="Arial"/>
          <w:sz w:val="24"/>
          <w:szCs w:val="24"/>
          <w:lang w:val="en-GB"/>
        </w:rPr>
        <w:t>es,</w:t>
      </w:r>
      <w:r w:rsidR="00D00CEC" w:rsidRPr="00674C43">
        <w:rPr>
          <w:rFonts w:ascii="Arial" w:hAnsi="Arial" w:cs="Arial"/>
          <w:sz w:val="24"/>
          <w:szCs w:val="24"/>
          <w:lang w:val="en-GB"/>
        </w:rPr>
        <w:t xml:space="preserve"> and </w:t>
      </w:r>
      <w:r w:rsidR="00CF165B">
        <w:rPr>
          <w:rFonts w:ascii="Arial" w:hAnsi="Arial" w:cs="Arial"/>
          <w:sz w:val="24"/>
          <w:szCs w:val="24"/>
          <w:lang w:val="en-GB"/>
        </w:rPr>
        <w:t xml:space="preserve">the applicant’s </w:t>
      </w:r>
      <w:r w:rsidR="00D00CEC" w:rsidRPr="00674C43">
        <w:rPr>
          <w:rFonts w:ascii="Arial" w:hAnsi="Arial" w:cs="Arial"/>
          <w:sz w:val="24"/>
          <w:szCs w:val="24"/>
          <w:lang w:val="en-GB"/>
        </w:rPr>
        <w:t xml:space="preserve">compliance with </w:t>
      </w:r>
      <w:r w:rsidR="00CF165B">
        <w:rPr>
          <w:rFonts w:ascii="Arial" w:hAnsi="Arial" w:cs="Arial"/>
          <w:sz w:val="24"/>
          <w:szCs w:val="24"/>
          <w:lang w:val="en-GB"/>
        </w:rPr>
        <w:t xml:space="preserve">the </w:t>
      </w:r>
      <w:r w:rsidR="00D00CEC" w:rsidRPr="00674C43">
        <w:rPr>
          <w:rFonts w:ascii="Arial" w:hAnsi="Arial" w:cs="Arial"/>
          <w:sz w:val="24"/>
          <w:szCs w:val="24"/>
          <w:lang w:val="en-GB"/>
        </w:rPr>
        <w:t xml:space="preserve">contractual notice provisions. The authority challenge was mounted in answer and therefore dealt with by the applicant only in the reply. </w:t>
      </w:r>
      <w:r w:rsidR="00230451" w:rsidRPr="00674C43">
        <w:rPr>
          <w:rFonts w:ascii="Arial" w:hAnsi="Arial" w:cs="Arial"/>
          <w:sz w:val="24"/>
          <w:szCs w:val="24"/>
          <w:lang w:val="en-GB"/>
        </w:rPr>
        <w:t xml:space="preserve">The respondent did not deliver an </w:t>
      </w:r>
      <w:r w:rsidR="00230451" w:rsidRPr="00674C43">
        <w:rPr>
          <w:rFonts w:ascii="Arial" w:hAnsi="Arial" w:cs="Arial"/>
          <w:sz w:val="24"/>
          <w:szCs w:val="24"/>
          <w:lang w:val="en-GB"/>
        </w:rPr>
        <w:lastRenderedPageBreak/>
        <w:t>additional affidavit to deal with the matter raised in reply, although it could have sought leave to do so.</w:t>
      </w:r>
      <w:r w:rsidR="00230451">
        <w:rPr>
          <w:rStyle w:val="FootnoteReference"/>
          <w:rFonts w:ascii="Arial" w:hAnsi="Arial" w:cs="Arial"/>
          <w:sz w:val="24"/>
          <w:szCs w:val="24"/>
          <w:lang w:val="en-GB"/>
        </w:rPr>
        <w:footnoteReference w:id="3"/>
      </w:r>
      <w:r w:rsidR="00674C43" w:rsidRPr="00674C43">
        <w:rPr>
          <w:rFonts w:ascii="Arial" w:hAnsi="Arial" w:cs="Arial"/>
          <w:sz w:val="24"/>
          <w:szCs w:val="24"/>
          <w:lang w:val="en-GB"/>
        </w:rPr>
        <w:t xml:space="preserve">   </w:t>
      </w:r>
    </w:p>
    <w:p w:rsidR="00674C43" w:rsidRDefault="00674C43" w:rsidP="002B0635">
      <w:pPr>
        <w:spacing w:after="0" w:line="360" w:lineRule="auto"/>
        <w:jc w:val="both"/>
        <w:rPr>
          <w:rFonts w:ascii="Arial" w:hAnsi="Arial" w:cs="Arial"/>
          <w:sz w:val="24"/>
          <w:szCs w:val="24"/>
          <w:lang w:val="en-GB"/>
        </w:rPr>
      </w:pPr>
    </w:p>
    <w:p w:rsidR="0021435B" w:rsidRDefault="00630603" w:rsidP="00630603">
      <w:pPr>
        <w:spacing w:after="0" w:line="360" w:lineRule="auto"/>
        <w:jc w:val="both"/>
        <w:rPr>
          <w:rFonts w:ascii="Arial" w:hAnsi="Arial" w:cs="Arial"/>
          <w:sz w:val="24"/>
          <w:szCs w:val="24"/>
          <w:lang w:val="en-GB"/>
        </w:rPr>
      </w:pPr>
      <w:r>
        <w:rPr>
          <w:rFonts w:ascii="Arial" w:hAnsi="Arial" w:cs="Arial"/>
          <w:sz w:val="24"/>
          <w:szCs w:val="24"/>
          <w:lang w:val="en-GB"/>
        </w:rPr>
        <w:t>[23]</w:t>
      </w:r>
      <w:r>
        <w:rPr>
          <w:rFonts w:ascii="Arial" w:hAnsi="Arial" w:cs="Arial"/>
          <w:sz w:val="24"/>
          <w:szCs w:val="24"/>
          <w:lang w:val="en-GB"/>
        </w:rPr>
        <w:tab/>
      </w:r>
      <w:r w:rsidR="00230451" w:rsidRPr="00BC516C">
        <w:rPr>
          <w:rFonts w:ascii="Arial" w:hAnsi="Arial" w:cs="Arial"/>
          <w:sz w:val="24"/>
          <w:szCs w:val="24"/>
          <w:lang w:val="en-GB"/>
        </w:rPr>
        <w:t xml:space="preserve">There is there is </w:t>
      </w:r>
      <w:r w:rsidR="00D84BC8">
        <w:rPr>
          <w:rFonts w:ascii="Arial" w:hAnsi="Arial" w:cs="Arial"/>
          <w:sz w:val="24"/>
          <w:szCs w:val="24"/>
          <w:lang w:val="en-GB"/>
        </w:rPr>
        <w:t xml:space="preserve">thus </w:t>
      </w:r>
      <w:r w:rsidR="00230451" w:rsidRPr="00BC516C">
        <w:rPr>
          <w:rFonts w:ascii="Arial" w:hAnsi="Arial" w:cs="Arial"/>
          <w:sz w:val="24"/>
          <w:szCs w:val="24"/>
          <w:lang w:val="en-GB"/>
        </w:rPr>
        <w:t>no evidence to controvert the printout from CIPC that there are 1 000 issued shares in the respondent. Ms Robinson’s version is that she sold 120 of those shares to Mr Ahmed. On the face of it therefore, accepting her resignation and share sale as alleged, Ms Robinson still has an interest in the respondent and was correctly excluded from the meeting</w:t>
      </w:r>
      <w:r w:rsidR="0021435B">
        <w:rPr>
          <w:rFonts w:ascii="Arial" w:hAnsi="Arial" w:cs="Arial"/>
          <w:sz w:val="24"/>
          <w:szCs w:val="24"/>
          <w:lang w:val="en-GB"/>
        </w:rPr>
        <w:t xml:space="preserve">, </w:t>
      </w:r>
      <w:r w:rsidR="007B5A63">
        <w:rPr>
          <w:rFonts w:ascii="Arial" w:hAnsi="Arial" w:cs="Arial"/>
          <w:sz w:val="24"/>
          <w:szCs w:val="24"/>
          <w:lang w:val="en-GB"/>
        </w:rPr>
        <w:t>and</w:t>
      </w:r>
      <w:r w:rsidR="0021435B">
        <w:rPr>
          <w:rFonts w:ascii="Arial" w:hAnsi="Arial" w:cs="Arial"/>
          <w:sz w:val="24"/>
          <w:szCs w:val="24"/>
          <w:lang w:val="en-GB"/>
        </w:rPr>
        <w:t xml:space="preserve"> the authority challenge is </w:t>
      </w:r>
      <w:r w:rsidR="007B5A63">
        <w:rPr>
          <w:rFonts w:ascii="Arial" w:hAnsi="Arial" w:cs="Arial"/>
          <w:sz w:val="24"/>
          <w:szCs w:val="24"/>
          <w:lang w:val="en-GB"/>
        </w:rPr>
        <w:t xml:space="preserve">therefore </w:t>
      </w:r>
      <w:r w:rsidR="0021435B">
        <w:rPr>
          <w:rFonts w:ascii="Arial" w:hAnsi="Arial" w:cs="Arial"/>
          <w:sz w:val="24"/>
          <w:szCs w:val="24"/>
          <w:lang w:val="en-GB"/>
        </w:rPr>
        <w:t xml:space="preserve">without merit. </w:t>
      </w:r>
    </w:p>
    <w:p w:rsidR="0021435B" w:rsidRDefault="0021435B" w:rsidP="0021435B">
      <w:pPr>
        <w:pStyle w:val="ListParagraph"/>
        <w:rPr>
          <w:rFonts w:ascii="Arial" w:hAnsi="Arial" w:cs="Arial"/>
          <w:sz w:val="24"/>
          <w:szCs w:val="24"/>
          <w:lang w:val="en-GB"/>
        </w:rPr>
      </w:pPr>
    </w:p>
    <w:p w:rsidR="00EC4EC7" w:rsidRPr="00EC4EC7" w:rsidRDefault="00630603" w:rsidP="00630603">
      <w:pPr>
        <w:spacing w:before="180" w:after="0" w:line="360" w:lineRule="auto"/>
        <w:jc w:val="both"/>
        <w:rPr>
          <w:rFonts w:ascii="Verdana" w:eastAsia="Times New Roman" w:hAnsi="Verdana" w:cs="Times New Roman"/>
          <w:color w:val="2C3E50"/>
          <w:sz w:val="21"/>
          <w:szCs w:val="21"/>
          <w:lang w:val="en-ZA" w:eastAsia="en-GB"/>
        </w:rPr>
      </w:pPr>
      <w:r w:rsidRPr="00EC4EC7">
        <w:rPr>
          <w:rFonts w:ascii="Arial" w:eastAsia="Times New Roman" w:hAnsi="Arial" w:cs="Arial"/>
          <w:color w:val="2C3E50"/>
          <w:sz w:val="24"/>
          <w:szCs w:val="24"/>
          <w:lang w:val="en-ZA" w:eastAsia="en-GB"/>
        </w:rPr>
        <w:t>[24]</w:t>
      </w:r>
      <w:r w:rsidRPr="00EC4EC7">
        <w:rPr>
          <w:rFonts w:ascii="Arial" w:eastAsia="Times New Roman" w:hAnsi="Arial" w:cs="Arial"/>
          <w:color w:val="2C3E50"/>
          <w:sz w:val="24"/>
          <w:szCs w:val="24"/>
          <w:lang w:val="en-ZA" w:eastAsia="en-GB"/>
        </w:rPr>
        <w:tab/>
      </w:r>
      <w:r w:rsidR="00F309AE" w:rsidRPr="00EC4EC7">
        <w:rPr>
          <w:rFonts w:ascii="Arial" w:hAnsi="Arial" w:cs="Arial"/>
          <w:sz w:val="24"/>
          <w:szCs w:val="24"/>
          <w:lang w:val="en-GB"/>
        </w:rPr>
        <w:t>I</w:t>
      </w:r>
      <w:r w:rsidR="007068F6">
        <w:rPr>
          <w:rFonts w:ascii="Arial" w:hAnsi="Arial" w:cs="Arial"/>
          <w:sz w:val="24"/>
          <w:szCs w:val="24"/>
          <w:lang w:val="en-GB"/>
        </w:rPr>
        <w:t xml:space="preserve"> do not however </w:t>
      </w:r>
      <w:r w:rsidR="00F309AE" w:rsidRPr="00EC4EC7">
        <w:rPr>
          <w:rFonts w:ascii="Arial" w:hAnsi="Arial" w:cs="Arial"/>
          <w:sz w:val="24"/>
          <w:szCs w:val="24"/>
          <w:lang w:val="en-GB"/>
        </w:rPr>
        <w:t xml:space="preserve">make a finding in this regard, as </w:t>
      </w:r>
      <w:r w:rsidR="007068F6">
        <w:rPr>
          <w:rFonts w:ascii="Arial" w:hAnsi="Arial" w:cs="Arial"/>
          <w:sz w:val="24"/>
          <w:szCs w:val="24"/>
          <w:lang w:val="en-GB"/>
        </w:rPr>
        <w:t xml:space="preserve">binding </w:t>
      </w:r>
      <w:r w:rsidR="00F309AE" w:rsidRPr="00EC4EC7">
        <w:rPr>
          <w:rFonts w:ascii="Arial" w:hAnsi="Arial" w:cs="Arial"/>
          <w:sz w:val="24"/>
          <w:szCs w:val="24"/>
          <w:lang w:val="en-GB"/>
        </w:rPr>
        <w:t xml:space="preserve">authority in this division precludes me from considering the authority challenge in the form in which it has been brought. In </w:t>
      </w:r>
      <w:r w:rsidR="0021435B" w:rsidRPr="00EC4EC7">
        <w:rPr>
          <w:rFonts w:ascii="Arial" w:hAnsi="Arial" w:cs="Arial"/>
          <w:i/>
          <w:iCs/>
          <w:sz w:val="24"/>
          <w:szCs w:val="24"/>
        </w:rPr>
        <w:t>ANC Umvoti Council Caucus and others v Umvoti Municipality</w:t>
      </w:r>
      <w:r w:rsidR="0021435B" w:rsidRPr="00EC4EC7">
        <w:rPr>
          <w:rFonts w:ascii="Arial" w:hAnsi="Arial" w:cs="Arial"/>
          <w:sz w:val="24"/>
          <w:szCs w:val="24"/>
        </w:rPr>
        <w:t xml:space="preserve"> 2010 (3) SA 31</w:t>
      </w:r>
      <w:r w:rsidR="0021435B" w:rsidRPr="00EC4EC7">
        <w:rPr>
          <w:rFonts w:ascii="Arial" w:hAnsi="Arial" w:cs="Arial"/>
        </w:rPr>
        <w:t xml:space="preserve"> (KZP) </w:t>
      </w:r>
      <w:r w:rsidR="0021435B" w:rsidRPr="00EC4EC7">
        <w:rPr>
          <w:rFonts w:ascii="Arial" w:hAnsi="Arial" w:cs="Arial"/>
          <w:i/>
          <w:iCs/>
          <w:sz w:val="24"/>
          <w:szCs w:val="24"/>
        </w:rPr>
        <w:t>(ANC U</w:t>
      </w:r>
      <w:r w:rsidR="00A05370" w:rsidRPr="00EC4EC7">
        <w:rPr>
          <w:rFonts w:ascii="Arial" w:hAnsi="Arial" w:cs="Arial"/>
          <w:i/>
          <w:iCs/>
          <w:sz w:val="24"/>
          <w:szCs w:val="24"/>
        </w:rPr>
        <w:t>m</w:t>
      </w:r>
      <w:r w:rsidR="0021435B" w:rsidRPr="00EC4EC7">
        <w:rPr>
          <w:rFonts w:ascii="Arial" w:hAnsi="Arial" w:cs="Arial"/>
          <w:i/>
          <w:iCs/>
          <w:sz w:val="24"/>
          <w:szCs w:val="24"/>
        </w:rPr>
        <w:t>voti),</w:t>
      </w:r>
      <w:r w:rsidR="00F309AE" w:rsidRPr="00EC4EC7">
        <w:rPr>
          <w:rFonts w:ascii="Arial" w:hAnsi="Arial" w:cs="Arial"/>
          <w:sz w:val="24"/>
          <w:szCs w:val="24"/>
          <w:lang w:val="en-GB"/>
        </w:rPr>
        <w:t xml:space="preserve"> a full court of this </w:t>
      </w:r>
      <w:r w:rsidR="007068F6">
        <w:rPr>
          <w:rFonts w:ascii="Arial" w:hAnsi="Arial" w:cs="Arial"/>
          <w:sz w:val="24"/>
          <w:szCs w:val="24"/>
          <w:lang w:val="en-GB"/>
        </w:rPr>
        <w:t>d</w:t>
      </w:r>
      <w:r w:rsidR="00F309AE" w:rsidRPr="00EC4EC7">
        <w:rPr>
          <w:rFonts w:ascii="Arial" w:hAnsi="Arial" w:cs="Arial"/>
          <w:sz w:val="24"/>
          <w:szCs w:val="24"/>
          <w:lang w:val="en-GB"/>
        </w:rPr>
        <w:t xml:space="preserve">ivision held that </w:t>
      </w:r>
      <w:r w:rsidR="00854403" w:rsidRPr="00EC4EC7">
        <w:rPr>
          <w:rFonts w:ascii="Arial" w:hAnsi="Arial" w:cs="Arial"/>
          <w:sz w:val="24"/>
          <w:szCs w:val="24"/>
          <w:lang w:val="en-GB"/>
        </w:rPr>
        <w:t xml:space="preserve">challenges to authority had to be raised </w:t>
      </w:r>
      <w:r w:rsidR="00410C57" w:rsidRPr="00EC4EC7">
        <w:rPr>
          <w:rFonts w:ascii="Arial" w:hAnsi="Arial" w:cs="Arial"/>
          <w:sz w:val="24"/>
          <w:szCs w:val="24"/>
          <w:lang w:val="en-GB"/>
        </w:rPr>
        <w:t>and dealt with under the rule and not by way of the application papers.</w:t>
      </w:r>
      <w:r w:rsidR="00410C57">
        <w:rPr>
          <w:rStyle w:val="FootnoteReference"/>
          <w:rFonts w:ascii="Arial" w:hAnsi="Arial" w:cs="Arial"/>
          <w:sz w:val="24"/>
          <w:szCs w:val="24"/>
          <w:lang w:val="en-GB"/>
        </w:rPr>
        <w:footnoteReference w:id="4"/>
      </w:r>
      <w:r w:rsidR="00674C43" w:rsidRPr="00EC4EC7">
        <w:rPr>
          <w:rFonts w:ascii="Arial" w:hAnsi="Arial" w:cs="Arial"/>
          <w:sz w:val="24"/>
          <w:szCs w:val="24"/>
          <w:lang w:val="en-GB"/>
        </w:rPr>
        <w:t xml:space="preserve">  </w:t>
      </w:r>
      <w:r w:rsidR="00234C5D" w:rsidRPr="00EC4EC7">
        <w:rPr>
          <w:rFonts w:ascii="Arial" w:hAnsi="Arial" w:cs="Arial"/>
          <w:sz w:val="24"/>
          <w:szCs w:val="24"/>
          <w:lang w:val="en-GB"/>
        </w:rPr>
        <w:t xml:space="preserve"> </w:t>
      </w:r>
    </w:p>
    <w:p w:rsidR="00EC4EC7" w:rsidRDefault="00EC4EC7" w:rsidP="00EC4EC7">
      <w:pPr>
        <w:pStyle w:val="ListParagraph"/>
        <w:rPr>
          <w:rFonts w:ascii="Arial" w:hAnsi="Arial" w:cs="Arial"/>
          <w:sz w:val="24"/>
          <w:szCs w:val="24"/>
          <w:lang w:val="en-GB"/>
        </w:rPr>
      </w:pPr>
    </w:p>
    <w:p w:rsidR="00EC4EC7" w:rsidRPr="00EC4EC7" w:rsidRDefault="00630603" w:rsidP="00630603">
      <w:pPr>
        <w:spacing w:before="180" w:after="0" w:line="360" w:lineRule="auto"/>
        <w:jc w:val="both"/>
        <w:rPr>
          <w:rFonts w:ascii="Verdana" w:eastAsia="Times New Roman" w:hAnsi="Verdana" w:cs="Times New Roman"/>
          <w:color w:val="2C3E50"/>
          <w:sz w:val="21"/>
          <w:szCs w:val="21"/>
          <w:lang w:val="en-ZA" w:eastAsia="en-GB"/>
        </w:rPr>
      </w:pPr>
      <w:r w:rsidRPr="00EC4EC7">
        <w:rPr>
          <w:rFonts w:ascii="Arial" w:eastAsia="Times New Roman" w:hAnsi="Arial" w:cs="Arial"/>
          <w:color w:val="2C3E50"/>
          <w:sz w:val="24"/>
          <w:szCs w:val="24"/>
          <w:lang w:val="en-ZA" w:eastAsia="en-GB"/>
        </w:rPr>
        <w:t>[25]</w:t>
      </w:r>
      <w:r w:rsidRPr="00EC4EC7">
        <w:rPr>
          <w:rFonts w:ascii="Arial" w:eastAsia="Times New Roman" w:hAnsi="Arial" w:cs="Arial"/>
          <w:color w:val="2C3E50"/>
          <w:sz w:val="24"/>
          <w:szCs w:val="24"/>
          <w:lang w:val="en-ZA" w:eastAsia="en-GB"/>
        </w:rPr>
        <w:tab/>
      </w:r>
      <w:r w:rsidR="00F309AE" w:rsidRPr="00EC4EC7">
        <w:rPr>
          <w:rFonts w:ascii="Arial" w:hAnsi="Arial" w:cs="Arial"/>
          <w:sz w:val="24"/>
          <w:szCs w:val="24"/>
          <w:lang w:val="en-GB"/>
        </w:rPr>
        <w:t xml:space="preserve">Counsel for the respondent </w:t>
      </w:r>
      <w:r w:rsidR="00A05370" w:rsidRPr="00EC4EC7">
        <w:rPr>
          <w:rFonts w:ascii="Arial" w:hAnsi="Arial" w:cs="Arial"/>
          <w:sz w:val="24"/>
          <w:szCs w:val="24"/>
          <w:lang w:val="en-GB"/>
        </w:rPr>
        <w:t xml:space="preserve">sought to distinguish </w:t>
      </w:r>
      <w:r w:rsidR="00A05370" w:rsidRPr="00EC4EC7">
        <w:rPr>
          <w:rFonts w:ascii="Arial" w:hAnsi="Arial" w:cs="Arial"/>
          <w:i/>
          <w:iCs/>
          <w:sz w:val="24"/>
          <w:szCs w:val="24"/>
          <w:lang w:val="en-GB"/>
        </w:rPr>
        <w:t xml:space="preserve">ANC Umvoti </w:t>
      </w:r>
      <w:r w:rsidR="008A7888" w:rsidRPr="00EC4EC7">
        <w:rPr>
          <w:rFonts w:ascii="Arial" w:hAnsi="Arial" w:cs="Arial"/>
          <w:sz w:val="24"/>
          <w:szCs w:val="24"/>
          <w:lang w:val="en-GB"/>
        </w:rPr>
        <w:t xml:space="preserve">on three bases.  First, </w:t>
      </w:r>
      <w:r w:rsidR="00F309AE" w:rsidRPr="00EC4EC7">
        <w:rPr>
          <w:rFonts w:ascii="Arial" w:hAnsi="Arial" w:cs="Arial"/>
          <w:sz w:val="24"/>
          <w:szCs w:val="24"/>
          <w:lang w:val="en-GB"/>
        </w:rPr>
        <w:t>that the r</w:t>
      </w:r>
      <w:r w:rsidR="008A7888" w:rsidRPr="00EC4EC7">
        <w:rPr>
          <w:rFonts w:ascii="Arial" w:hAnsi="Arial" w:cs="Arial"/>
          <w:sz w:val="24"/>
          <w:szCs w:val="24"/>
          <w:lang w:val="en-GB"/>
        </w:rPr>
        <w:t>ationale</w:t>
      </w:r>
      <w:r w:rsidR="00F309AE" w:rsidRPr="00EC4EC7">
        <w:rPr>
          <w:rFonts w:ascii="Arial" w:hAnsi="Arial" w:cs="Arial"/>
          <w:sz w:val="24"/>
          <w:szCs w:val="24"/>
          <w:lang w:val="en-GB"/>
        </w:rPr>
        <w:t xml:space="preserve"> in </w:t>
      </w:r>
      <w:r w:rsidR="00F309AE" w:rsidRPr="00EC4EC7">
        <w:rPr>
          <w:rFonts w:ascii="Arial" w:hAnsi="Arial" w:cs="Arial"/>
          <w:i/>
          <w:iCs/>
          <w:sz w:val="24"/>
          <w:szCs w:val="24"/>
          <w:lang w:val="en-GB"/>
        </w:rPr>
        <w:t xml:space="preserve">ANC Umvoti </w:t>
      </w:r>
      <w:r w:rsidR="005E45DB" w:rsidRPr="00EC4EC7">
        <w:rPr>
          <w:rFonts w:ascii="Arial" w:hAnsi="Arial" w:cs="Arial"/>
          <w:sz w:val="24"/>
          <w:szCs w:val="24"/>
          <w:lang w:val="en-GB"/>
        </w:rPr>
        <w:t xml:space="preserve">did not apply to </w:t>
      </w:r>
      <w:r w:rsidR="008A7888" w:rsidRPr="00EC4EC7">
        <w:rPr>
          <w:rFonts w:ascii="Arial" w:hAnsi="Arial" w:cs="Arial"/>
          <w:sz w:val="24"/>
          <w:szCs w:val="24"/>
          <w:lang w:val="en-GB"/>
        </w:rPr>
        <w:t>substantive challenge</w:t>
      </w:r>
      <w:r w:rsidR="005E45DB" w:rsidRPr="00EC4EC7">
        <w:rPr>
          <w:rFonts w:ascii="Arial" w:hAnsi="Arial" w:cs="Arial"/>
          <w:sz w:val="24"/>
          <w:szCs w:val="24"/>
          <w:lang w:val="en-GB"/>
        </w:rPr>
        <w:t>s</w:t>
      </w:r>
      <w:r w:rsidR="008A7888" w:rsidRPr="00EC4EC7">
        <w:rPr>
          <w:rFonts w:ascii="Arial" w:hAnsi="Arial" w:cs="Arial"/>
          <w:sz w:val="24"/>
          <w:szCs w:val="24"/>
          <w:lang w:val="en-GB"/>
        </w:rPr>
        <w:t xml:space="preserve"> to authority which could not be cured by the production of a power of attorney. Here, the challenge to the validity of the resolution authorising proceedings </w:t>
      </w:r>
      <w:r w:rsidR="007B5A63" w:rsidRPr="00EC4EC7">
        <w:rPr>
          <w:rFonts w:ascii="Arial" w:hAnsi="Arial" w:cs="Arial"/>
          <w:sz w:val="24"/>
          <w:szCs w:val="24"/>
          <w:lang w:val="en-GB"/>
        </w:rPr>
        <w:t xml:space="preserve">and mandating the applicant’s attorneys would affect the validity of </w:t>
      </w:r>
      <w:r w:rsidR="008A7888" w:rsidRPr="00EC4EC7">
        <w:rPr>
          <w:rFonts w:ascii="Arial" w:hAnsi="Arial" w:cs="Arial"/>
          <w:sz w:val="24"/>
          <w:szCs w:val="24"/>
          <w:lang w:val="en-GB"/>
        </w:rPr>
        <w:t>any power of attorney produced  on the strength of th</w:t>
      </w:r>
      <w:r w:rsidR="007B5A63" w:rsidRPr="00EC4EC7">
        <w:rPr>
          <w:rFonts w:ascii="Arial" w:hAnsi="Arial" w:cs="Arial"/>
          <w:sz w:val="24"/>
          <w:szCs w:val="24"/>
          <w:lang w:val="en-GB"/>
        </w:rPr>
        <w:t>at</w:t>
      </w:r>
      <w:r w:rsidR="008A7888" w:rsidRPr="00EC4EC7">
        <w:rPr>
          <w:rFonts w:ascii="Arial" w:hAnsi="Arial" w:cs="Arial"/>
          <w:sz w:val="24"/>
          <w:szCs w:val="24"/>
          <w:lang w:val="en-GB"/>
        </w:rPr>
        <w:t xml:space="preserve"> resolution. Second, </w:t>
      </w:r>
      <w:r w:rsidR="007B5A63" w:rsidRPr="00EC4EC7">
        <w:rPr>
          <w:rFonts w:ascii="Arial" w:hAnsi="Arial" w:cs="Arial"/>
          <w:sz w:val="24"/>
          <w:szCs w:val="24"/>
          <w:lang w:val="en-GB"/>
        </w:rPr>
        <w:t xml:space="preserve">in </w:t>
      </w:r>
      <w:r w:rsidR="007B5A63" w:rsidRPr="00EC4EC7">
        <w:rPr>
          <w:rFonts w:ascii="Arial" w:hAnsi="Arial" w:cs="Arial"/>
          <w:i/>
          <w:iCs/>
          <w:sz w:val="24"/>
          <w:szCs w:val="24"/>
          <w:lang w:val="en-GB"/>
        </w:rPr>
        <w:t xml:space="preserve">ANC Umvoti </w:t>
      </w:r>
      <w:r w:rsidR="007B5A63" w:rsidRPr="00EC4EC7">
        <w:rPr>
          <w:rFonts w:ascii="Arial" w:hAnsi="Arial" w:cs="Arial"/>
          <w:sz w:val="24"/>
          <w:szCs w:val="24"/>
          <w:lang w:val="en-GB"/>
        </w:rPr>
        <w:t xml:space="preserve"> authority</w:t>
      </w:r>
      <w:r w:rsidR="008A7888" w:rsidRPr="00EC4EC7">
        <w:rPr>
          <w:rFonts w:ascii="Arial" w:hAnsi="Arial" w:cs="Arial"/>
          <w:sz w:val="24"/>
          <w:szCs w:val="24"/>
          <w:lang w:val="en-GB"/>
        </w:rPr>
        <w:t xml:space="preserve"> had </w:t>
      </w:r>
      <w:r w:rsidR="00FF36D3">
        <w:rPr>
          <w:rFonts w:ascii="Arial" w:hAnsi="Arial" w:cs="Arial"/>
          <w:sz w:val="24"/>
          <w:szCs w:val="24"/>
          <w:lang w:val="en-GB"/>
        </w:rPr>
        <w:t xml:space="preserve">not </w:t>
      </w:r>
      <w:r w:rsidR="008A7888" w:rsidRPr="00EC4EC7">
        <w:rPr>
          <w:rFonts w:ascii="Arial" w:hAnsi="Arial" w:cs="Arial"/>
          <w:sz w:val="24"/>
          <w:szCs w:val="24"/>
          <w:lang w:val="en-GB"/>
        </w:rPr>
        <w:t xml:space="preserve">been </w:t>
      </w:r>
      <w:r w:rsidR="007B5A63" w:rsidRPr="00EC4EC7">
        <w:rPr>
          <w:rFonts w:ascii="Arial" w:hAnsi="Arial" w:cs="Arial"/>
          <w:sz w:val="24"/>
          <w:szCs w:val="24"/>
          <w:lang w:val="en-GB"/>
        </w:rPr>
        <w:t>challenged</w:t>
      </w:r>
      <w:r w:rsidR="008A7888" w:rsidRPr="00EC4EC7">
        <w:rPr>
          <w:rFonts w:ascii="Arial" w:hAnsi="Arial" w:cs="Arial"/>
          <w:sz w:val="24"/>
          <w:szCs w:val="24"/>
          <w:lang w:val="en-GB"/>
        </w:rPr>
        <w:t xml:space="preserve"> in terms of rule 7. Third, </w:t>
      </w:r>
      <w:r w:rsidR="00243AFA" w:rsidRPr="00EC4EC7">
        <w:rPr>
          <w:rFonts w:ascii="Arial" w:hAnsi="Arial" w:cs="Arial"/>
          <w:sz w:val="24"/>
          <w:szCs w:val="24"/>
          <w:lang w:val="en-GB"/>
        </w:rPr>
        <w:t xml:space="preserve">in cases where rule 7 is invoked, </w:t>
      </w:r>
      <w:r w:rsidR="008A7888" w:rsidRPr="00EC4EC7">
        <w:rPr>
          <w:rFonts w:ascii="Arial" w:hAnsi="Arial" w:cs="Arial"/>
          <w:sz w:val="24"/>
          <w:szCs w:val="24"/>
          <w:lang w:val="en-GB"/>
        </w:rPr>
        <w:t xml:space="preserve">the rule does not prescribe the </w:t>
      </w:r>
      <w:r w:rsidR="005E45DB" w:rsidRPr="00EC4EC7">
        <w:rPr>
          <w:rFonts w:ascii="Arial" w:hAnsi="Arial" w:cs="Arial"/>
          <w:sz w:val="24"/>
          <w:szCs w:val="24"/>
          <w:lang w:val="en-GB"/>
        </w:rPr>
        <w:t xml:space="preserve">procedure by which authority must be </w:t>
      </w:r>
      <w:r w:rsidR="008A7888" w:rsidRPr="00EC4EC7">
        <w:rPr>
          <w:rFonts w:ascii="Arial" w:hAnsi="Arial" w:cs="Arial"/>
          <w:sz w:val="24"/>
          <w:szCs w:val="24"/>
          <w:lang w:val="en-GB"/>
        </w:rPr>
        <w:t>challenged</w:t>
      </w:r>
      <w:r w:rsidR="005E45DB" w:rsidRPr="00EC4EC7">
        <w:rPr>
          <w:rFonts w:ascii="Arial" w:hAnsi="Arial" w:cs="Arial"/>
          <w:sz w:val="24"/>
          <w:szCs w:val="24"/>
          <w:lang w:val="en-GB"/>
        </w:rPr>
        <w:t xml:space="preserve">, and it is appropriate for a substantive challenge to authority to be raised in an answering affidavit and dealt with on the papers. </w:t>
      </w:r>
      <w:r w:rsidR="008A7888" w:rsidRPr="00EC4EC7">
        <w:rPr>
          <w:rFonts w:ascii="Arial" w:hAnsi="Arial" w:cs="Arial"/>
          <w:sz w:val="24"/>
          <w:szCs w:val="24"/>
          <w:lang w:val="en-GB"/>
        </w:rPr>
        <w:t xml:space="preserve"> </w:t>
      </w:r>
    </w:p>
    <w:p w:rsidR="00EC4EC7" w:rsidRDefault="00EC4EC7" w:rsidP="00EC4EC7">
      <w:pPr>
        <w:pStyle w:val="ListParagraph"/>
        <w:rPr>
          <w:rFonts w:ascii="Arial" w:hAnsi="Arial" w:cs="Arial"/>
          <w:sz w:val="24"/>
          <w:szCs w:val="24"/>
          <w:lang w:val="en-GB"/>
        </w:rPr>
      </w:pPr>
    </w:p>
    <w:p w:rsidR="00EC4EC7" w:rsidRPr="00EC4EC7" w:rsidRDefault="00630603" w:rsidP="00630603">
      <w:pPr>
        <w:spacing w:before="180" w:after="0" w:line="360" w:lineRule="auto"/>
        <w:jc w:val="both"/>
        <w:rPr>
          <w:rFonts w:ascii="Arial" w:eastAsia="Times New Roman" w:hAnsi="Arial" w:cs="Arial"/>
          <w:sz w:val="24"/>
          <w:szCs w:val="24"/>
          <w:lang w:val="en-ZA" w:eastAsia="en-GB"/>
        </w:rPr>
      </w:pPr>
      <w:r w:rsidRPr="00EC4EC7">
        <w:rPr>
          <w:rFonts w:ascii="Arial" w:eastAsia="Times New Roman" w:hAnsi="Arial" w:cs="Arial"/>
          <w:sz w:val="24"/>
          <w:szCs w:val="24"/>
          <w:lang w:val="en-ZA" w:eastAsia="en-GB"/>
        </w:rPr>
        <w:t>[26]</w:t>
      </w:r>
      <w:r w:rsidRPr="00EC4EC7">
        <w:rPr>
          <w:rFonts w:ascii="Arial" w:eastAsia="Times New Roman" w:hAnsi="Arial" w:cs="Arial"/>
          <w:sz w:val="24"/>
          <w:szCs w:val="24"/>
          <w:lang w:val="en-ZA" w:eastAsia="en-GB"/>
        </w:rPr>
        <w:tab/>
      </w:r>
      <w:r w:rsidR="00EC4EC7" w:rsidRPr="00EC4EC7">
        <w:rPr>
          <w:rFonts w:ascii="Arial" w:hAnsi="Arial" w:cs="Arial"/>
          <w:sz w:val="24"/>
          <w:szCs w:val="24"/>
          <w:lang w:val="en-GB"/>
        </w:rPr>
        <w:t>W</w:t>
      </w:r>
      <w:r w:rsidR="004A3F05" w:rsidRPr="00EC4EC7">
        <w:rPr>
          <w:rFonts w:ascii="Arial" w:hAnsi="Arial" w:cs="Arial"/>
          <w:sz w:val="24"/>
          <w:szCs w:val="24"/>
          <w:lang w:val="en-GB"/>
        </w:rPr>
        <w:t>hilst there may be much which could be said for the pragmatism of the approach suggested by counsel</w:t>
      </w:r>
      <w:r w:rsidR="00A05370" w:rsidRPr="00EC4EC7">
        <w:rPr>
          <w:rFonts w:ascii="Arial" w:hAnsi="Arial" w:cs="Arial"/>
          <w:sz w:val="24"/>
          <w:szCs w:val="24"/>
          <w:lang w:val="en-GB"/>
        </w:rPr>
        <w:t xml:space="preserve"> for the respondent</w:t>
      </w:r>
      <w:r w:rsidR="004A3F05" w:rsidRPr="00EC4EC7">
        <w:rPr>
          <w:rFonts w:ascii="Arial" w:hAnsi="Arial" w:cs="Arial"/>
          <w:sz w:val="24"/>
          <w:szCs w:val="24"/>
          <w:lang w:val="en-GB"/>
        </w:rPr>
        <w:t xml:space="preserve">, the legal validity of his submissions </w:t>
      </w:r>
      <w:r w:rsidR="004A3F05" w:rsidRPr="00EC4EC7">
        <w:rPr>
          <w:rFonts w:ascii="Arial" w:hAnsi="Arial" w:cs="Arial"/>
          <w:sz w:val="24"/>
          <w:szCs w:val="24"/>
          <w:lang w:val="en-GB"/>
        </w:rPr>
        <w:lastRenderedPageBreak/>
        <w:t>need</w:t>
      </w:r>
      <w:r w:rsidR="00243AFA" w:rsidRPr="00EC4EC7">
        <w:rPr>
          <w:rFonts w:ascii="Arial" w:hAnsi="Arial" w:cs="Arial"/>
          <w:sz w:val="24"/>
          <w:szCs w:val="24"/>
          <w:lang w:val="en-GB"/>
        </w:rPr>
        <w:t>s</w:t>
      </w:r>
      <w:r w:rsidR="004A3F05" w:rsidRPr="00EC4EC7">
        <w:rPr>
          <w:rFonts w:ascii="Arial" w:hAnsi="Arial" w:cs="Arial"/>
          <w:sz w:val="24"/>
          <w:szCs w:val="24"/>
          <w:lang w:val="en-GB"/>
        </w:rPr>
        <w:t xml:space="preserve"> to be considered in the light of the purpose and history of rule </w:t>
      </w:r>
      <w:r w:rsidR="00A05370" w:rsidRPr="00EC4EC7">
        <w:rPr>
          <w:rFonts w:ascii="Arial" w:hAnsi="Arial" w:cs="Arial"/>
          <w:sz w:val="24"/>
          <w:szCs w:val="24"/>
          <w:lang w:val="en-GB"/>
        </w:rPr>
        <w:t>7</w:t>
      </w:r>
      <w:r w:rsidR="001B2035" w:rsidRPr="00EC4EC7">
        <w:rPr>
          <w:rFonts w:ascii="Arial" w:hAnsi="Arial" w:cs="Arial"/>
          <w:sz w:val="24"/>
          <w:szCs w:val="24"/>
          <w:lang w:val="en-GB"/>
        </w:rPr>
        <w:t xml:space="preserve"> </w:t>
      </w:r>
      <w:r w:rsidR="004A3F05" w:rsidRPr="00EC4EC7">
        <w:rPr>
          <w:rFonts w:ascii="Arial" w:hAnsi="Arial" w:cs="Arial"/>
          <w:sz w:val="24"/>
          <w:szCs w:val="24"/>
          <w:lang w:val="en-GB"/>
        </w:rPr>
        <w:t xml:space="preserve">and the judgment of </w:t>
      </w:r>
      <w:r w:rsidR="004A3F05" w:rsidRPr="00EC4EC7">
        <w:rPr>
          <w:rFonts w:ascii="Arial" w:hAnsi="Arial" w:cs="Arial"/>
          <w:i/>
          <w:iCs/>
          <w:sz w:val="24"/>
          <w:szCs w:val="24"/>
          <w:lang w:val="en-GB"/>
        </w:rPr>
        <w:t>ANC Umvoti</w:t>
      </w:r>
      <w:r w:rsidR="004A3F05" w:rsidRPr="00EC4EC7">
        <w:rPr>
          <w:rFonts w:ascii="Arial" w:hAnsi="Arial" w:cs="Arial"/>
          <w:sz w:val="24"/>
          <w:szCs w:val="24"/>
          <w:lang w:val="en-GB"/>
        </w:rPr>
        <w:t xml:space="preserve"> as a whole. </w:t>
      </w:r>
    </w:p>
    <w:p w:rsidR="00EC4EC7" w:rsidRDefault="00EC4EC7" w:rsidP="00EC4EC7">
      <w:pPr>
        <w:pStyle w:val="ListParagraph"/>
        <w:rPr>
          <w:rFonts w:ascii="Arial" w:hAnsi="Arial" w:cs="Arial"/>
          <w:sz w:val="24"/>
          <w:szCs w:val="24"/>
          <w:lang w:val="en-GB"/>
        </w:rPr>
      </w:pPr>
    </w:p>
    <w:p w:rsidR="00F24993" w:rsidRPr="00EC4EC7" w:rsidRDefault="00630603" w:rsidP="00630603">
      <w:pPr>
        <w:spacing w:before="180" w:after="0" w:line="360" w:lineRule="auto"/>
        <w:jc w:val="both"/>
        <w:rPr>
          <w:rFonts w:ascii="Arial" w:eastAsia="Times New Roman" w:hAnsi="Arial" w:cs="Arial"/>
          <w:sz w:val="24"/>
          <w:szCs w:val="24"/>
          <w:lang w:val="en-ZA" w:eastAsia="en-GB"/>
        </w:rPr>
      </w:pPr>
      <w:r w:rsidRPr="00EC4EC7">
        <w:rPr>
          <w:rFonts w:ascii="Arial" w:eastAsia="Times New Roman" w:hAnsi="Arial" w:cs="Arial"/>
          <w:sz w:val="24"/>
          <w:szCs w:val="24"/>
          <w:lang w:val="en-ZA" w:eastAsia="en-GB"/>
        </w:rPr>
        <w:t>[27]</w:t>
      </w:r>
      <w:r w:rsidRPr="00EC4EC7">
        <w:rPr>
          <w:rFonts w:ascii="Arial" w:eastAsia="Times New Roman" w:hAnsi="Arial" w:cs="Arial"/>
          <w:sz w:val="24"/>
          <w:szCs w:val="24"/>
          <w:lang w:val="en-ZA" w:eastAsia="en-GB"/>
        </w:rPr>
        <w:tab/>
      </w:r>
      <w:r w:rsidR="00F24993" w:rsidRPr="00EC4EC7">
        <w:rPr>
          <w:rFonts w:ascii="Arial" w:hAnsi="Arial" w:cs="Arial"/>
          <w:sz w:val="24"/>
          <w:szCs w:val="24"/>
          <w:lang w:val="en-GB"/>
        </w:rPr>
        <w:t xml:space="preserve">Rule 7 assumed its current form following an amendment in 1987. </w:t>
      </w:r>
      <w:r w:rsidR="00F24993" w:rsidRPr="00EC4EC7">
        <w:rPr>
          <w:rFonts w:ascii="Arial" w:eastAsia="Times New Roman" w:hAnsi="Arial" w:cs="Arial"/>
          <w:sz w:val="24"/>
          <w:szCs w:val="24"/>
          <w:lang w:val="en-ZA" w:eastAsia="en-GB"/>
        </w:rPr>
        <w:t xml:space="preserve">Prior to </w:t>
      </w:r>
      <w:r w:rsidR="00FF36D3">
        <w:rPr>
          <w:rFonts w:ascii="Arial" w:eastAsia="Times New Roman" w:hAnsi="Arial" w:cs="Arial"/>
          <w:sz w:val="24"/>
          <w:szCs w:val="24"/>
          <w:lang w:val="en-ZA" w:eastAsia="en-GB"/>
        </w:rPr>
        <w:t xml:space="preserve">its </w:t>
      </w:r>
      <w:r w:rsidR="00F24993" w:rsidRPr="00EC4EC7">
        <w:rPr>
          <w:rFonts w:ascii="Arial" w:eastAsia="Times New Roman" w:hAnsi="Arial" w:cs="Arial"/>
          <w:sz w:val="24"/>
          <w:szCs w:val="24"/>
          <w:lang w:val="en-ZA" w:eastAsia="en-GB"/>
        </w:rPr>
        <w:t>amendment rule 7(1) read as follows:</w:t>
      </w:r>
    </w:p>
    <w:p w:rsidR="00D114FD" w:rsidRDefault="00F24993" w:rsidP="00234C5D">
      <w:pPr>
        <w:spacing w:before="90" w:after="0" w:line="360" w:lineRule="auto"/>
        <w:ind w:left="1418" w:right="992"/>
        <w:jc w:val="both"/>
        <w:rPr>
          <w:rFonts w:ascii="Arial" w:eastAsia="Times New Roman" w:hAnsi="Arial" w:cs="Arial"/>
          <w:lang w:val="en-ZA" w:eastAsia="en-GB"/>
        </w:rPr>
      </w:pPr>
      <w:r w:rsidRPr="00D114FD">
        <w:rPr>
          <w:rFonts w:ascii="Arial" w:eastAsia="Times New Roman" w:hAnsi="Arial" w:cs="Arial"/>
          <w:lang w:val="en-ZA" w:eastAsia="en-GB"/>
        </w:rPr>
        <w:t>'Before summons is issued in any action at the instance of the plaintiff's attorney, the attorney shall file with the registrar a power of attorney to sue. Such power of attorney shall state generally the nature of the particular action authorised to be instituted, the nature of the relief to be claimed therein and the names of the party to be sued.'</w:t>
      </w:r>
      <w:r w:rsidR="00D114FD">
        <w:rPr>
          <w:rFonts w:ascii="Arial" w:eastAsia="Times New Roman" w:hAnsi="Arial" w:cs="Arial"/>
          <w:lang w:val="en-ZA" w:eastAsia="en-GB"/>
        </w:rPr>
        <w:t xml:space="preserve"> </w:t>
      </w:r>
    </w:p>
    <w:p w:rsidR="00D114FD" w:rsidRDefault="00D114FD" w:rsidP="00D114FD">
      <w:pPr>
        <w:spacing w:before="90" w:after="0" w:line="360" w:lineRule="auto"/>
        <w:ind w:left="675"/>
        <w:jc w:val="both"/>
        <w:rPr>
          <w:rFonts w:ascii="Arial" w:eastAsia="Times New Roman" w:hAnsi="Arial" w:cs="Arial"/>
          <w:lang w:val="en-ZA" w:eastAsia="en-GB"/>
        </w:rPr>
      </w:pPr>
    </w:p>
    <w:p w:rsidR="00674C43" w:rsidRDefault="00630603" w:rsidP="00630603">
      <w:pPr>
        <w:spacing w:after="0" w:line="360" w:lineRule="auto"/>
        <w:jc w:val="both"/>
        <w:rPr>
          <w:rFonts w:ascii="Arial" w:hAnsi="Arial" w:cs="Arial"/>
          <w:sz w:val="24"/>
          <w:szCs w:val="24"/>
          <w:lang w:val="en-GB"/>
        </w:rPr>
      </w:pPr>
      <w:r>
        <w:rPr>
          <w:rFonts w:ascii="Arial" w:hAnsi="Arial" w:cs="Arial"/>
          <w:sz w:val="24"/>
          <w:szCs w:val="24"/>
          <w:lang w:val="en-GB"/>
        </w:rPr>
        <w:t>[28]</w:t>
      </w:r>
      <w:r>
        <w:rPr>
          <w:rFonts w:ascii="Arial" w:hAnsi="Arial" w:cs="Arial"/>
          <w:sz w:val="24"/>
          <w:szCs w:val="24"/>
          <w:lang w:val="en-GB"/>
        </w:rPr>
        <w:tab/>
      </w:r>
      <w:r w:rsidR="00566256" w:rsidRPr="00D114FD">
        <w:rPr>
          <w:rFonts w:ascii="Arial" w:hAnsi="Arial" w:cs="Arial"/>
          <w:sz w:val="24"/>
          <w:szCs w:val="24"/>
          <w:lang w:val="en-GB"/>
        </w:rPr>
        <w:t>The original object of rule 7 was to have the mandate of a party’s attorney established beyond question</w:t>
      </w:r>
      <w:r w:rsidR="00FF36D3">
        <w:rPr>
          <w:rFonts w:ascii="Arial" w:hAnsi="Arial" w:cs="Arial"/>
          <w:sz w:val="24"/>
          <w:szCs w:val="24"/>
          <w:lang w:val="en-GB"/>
        </w:rPr>
        <w:t>.</w:t>
      </w:r>
      <w:r w:rsidR="00566256" w:rsidRPr="00D114FD">
        <w:rPr>
          <w:rStyle w:val="FootnoteReference"/>
          <w:rFonts w:ascii="Arial" w:hAnsi="Arial" w:cs="Arial"/>
          <w:sz w:val="24"/>
          <w:szCs w:val="24"/>
          <w:lang w:val="en-GB"/>
        </w:rPr>
        <w:footnoteReference w:id="5"/>
      </w:r>
      <w:r w:rsidR="00566256" w:rsidRPr="00D114FD">
        <w:rPr>
          <w:rFonts w:ascii="Arial" w:hAnsi="Arial" w:cs="Arial"/>
          <w:sz w:val="24"/>
          <w:szCs w:val="24"/>
          <w:lang w:val="en-GB"/>
        </w:rPr>
        <w:t xml:space="preserve"> </w:t>
      </w:r>
      <w:r w:rsidR="00FF36D3">
        <w:rPr>
          <w:rFonts w:ascii="Arial" w:hAnsi="Arial" w:cs="Arial"/>
          <w:sz w:val="24"/>
          <w:szCs w:val="24"/>
          <w:lang w:val="en-GB"/>
        </w:rPr>
        <w:t>This served to</w:t>
      </w:r>
      <w:r w:rsidR="00566256" w:rsidRPr="00D114FD">
        <w:rPr>
          <w:rFonts w:ascii="Arial" w:hAnsi="Arial" w:cs="Arial"/>
          <w:sz w:val="24"/>
          <w:szCs w:val="24"/>
          <w:lang w:val="en-GB"/>
        </w:rPr>
        <w:t xml:space="preserve"> ‘</w:t>
      </w:r>
      <w:r w:rsidR="00566256" w:rsidRPr="00D114FD">
        <w:rPr>
          <w:rFonts w:ascii="Arial" w:hAnsi="Arial" w:cs="Arial"/>
          <w:sz w:val="24"/>
          <w:szCs w:val="24"/>
        </w:rPr>
        <w:t xml:space="preserve">prevent a person whose name is being used throughout the process from afterwards repudiating the process altogether and saying he had given no authority, and to prevent persons bringing an action in the name of a person who never </w:t>
      </w:r>
      <w:r w:rsidR="007B5A63">
        <w:rPr>
          <w:rFonts w:ascii="Arial" w:hAnsi="Arial" w:cs="Arial"/>
          <w:sz w:val="24"/>
          <w:szCs w:val="24"/>
        </w:rPr>
        <w:t>authorized</w:t>
      </w:r>
      <w:r w:rsidR="007B5A63">
        <w:rPr>
          <w:rStyle w:val="apple-converted-space"/>
          <w:rFonts w:ascii="Arial" w:hAnsi="Arial" w:cs="Arial"/>
          <w:sz w:val="24"/>
          <w:szCs w:val="24"/>
        </w:rPr>
        <w:t xml:space="preserve"> </w:t>
      </w:r>
      <w:r w:rsidR="00566256" w:rsidRPr="00D114FD">
        <w:rPr>
          <w:rFonts w:ascii="Arial" w:hAnsi="Arial" w:cs="Arial"/>
          <w:sz w:val="24"/>
          <w:szCs w:val="24"/>
        </w:rPr>
        <w:t>it’.</w:t>
      </w:r>
      <w:r w:rsidR="00566256" w:rsidRPr="00D114FD">
        <w:rPr>
          <w:rStyle w:val="FootnoteReference"/>
          <w:rFonts w:ascii="Arial" w:hAnsi="Arial" w:cs="Arial"/>
          <w:sz w:val="24"/>
          <w:szCs w:val="24"/>
          <w:lang w:val="en-GB"/>
        </w:rPr>
        <w:footnoteReference w:id="6"/>
      </w:r>
      <w:r w:rsidR="00566256" w:rsidRPr="00D114FD">
        <w:rPr>
          <w:rFonts w:ascii="Arial" w:hAnsi="Arial" w:cs="Arial"/>
          <w:sz w:val="24"/>
          <w:szCs w:val="24"/>
          <w:lang w:val="en-GB"/>
        </w:rPr>
        <w:t xml:space="preserve"> </w:t>
      </w:r>
    </w:p>
    <w:p w:rsidR="0003728E" w:rsidRPr="007D0D3D" w:rsidRDefault="0003728E" w:rsidP="0003728E">
      <w:pPr>
        <w:spacing w:after="0" w:line="360" w:lineRule="auto"/>
        <w:jc w:val="both"/>
        <w:rPr>
          <w:rFonts w:ascii="Arial" w:hAnsi="Arial" w:cs="Arial"/>
          <w:sz w:val="24"/>
          <w:szCs w:val="24"/>
          <w:lang w:val="en-GB"/>
        </w:rPr>
      </w:pPr>
    </w:p>
    <w:p w:rsidR="00D114FD" w:rsidRPr="007D1052" w:rsidRDefault="00630603" w:rsidP="00630603">
      <w:pPr>
        <w:spacing w:after="0" w:line="360" w:lineRule="auto"/>
        <w:jc w:val="both"/>
        <w:rPr>
          <w:rFonts w:ascii="Arial" w:hAnsi="Arial" w:cs="Arial"/>
          <w:sz w:val="24"/>
          <w:szCs w:val="24"/>
        </w:rPr>
      </w:pPr>
      <w:r w:rsidRPr="007D1052">
        <w:rPr>
          <w:rFonts w:ascii="Arial" w:hAnsi="Arial" w:cs="Arial"/>
          <w:sz w:val="24"/>
          <w:szCs w:val="24"/>
        </w:rPr>
        <w:t>[29]</w:t>
      </w:r>
      <w:r w:rsidRPr="007D1052">
        <w:rPr>
          <w:rFonts w:ascii="Arial" w:hAnsi="Arial" w:cs="Arial"/>
          <w:sz w:val="24"/>
          <w:szCs w:val="24"/>
        </w:rPr>
        <w:tab/>
      </w:r>
      <w:r w:rsidR="0085775A" w:rsidRPr="00D114FD">
        <w:rPr>
          <w:rFonts w:ascii="Arial" w:hAnsi="Arial" w:cs="Arial"/>
          <w:sz w:val="24"/>
          <w:szCs w:val="24"/>
          <w:lang w:val="en-GB"/>
        </w:rPr>
        <w:t>Before its amendment, the rule applied only to action</w:t>
      </w:r>
      <w:r w:rsidR="00D55A4A">
        <w:rPr>
          <w:rFonts w:ascii="Arial" w:hAnsi="Arial" w:cs="Arial"/>
          <w:sz w:val="24"/>
          <w:szCs w:val="24"/>
          <w:lang w:val="en-GB"/>
        </w:rPr>
        <w:t>s</w:t>
      </w:r>
      <w:r w:rsidR="005E45DB">
        <w:rPr>
          <w:rFonts w:ascii="Arial" w:hAnsi="Arial" w:cs="Arial"/>
          <w:sz w:val="24"/>
          <w:szCs w:val="24"/>
          <w:lang w:val="en-GB"/>
        </w:rPr>
        <w:t>,</w:t>
      </w:r>
      <w:r w:rsidR="0085775A" w:rsidRPr="00D114FD">
        <w:rPr>
          <w:rFonts w:ascii="Arial" w:hAnsi="Arial" w:cs="Arial"/>
          <w:sz w:val="24"/>
          <w:szCs w:val="24"/>
          <w:lang w:val="en-GB"/>
        </w:rPr>
        <w:t xml:space="preserve"> as in </w:t>
      </w:r>
      <w:r w:rsidR="0085775A" w:rsidRPr="00D114FD">
        <w:rPr>
          <w:rFonts w:ascii="Arial" w:eastAsia="Times New Roman" w:hAnsi="Arial" w:cs="Arial"/>
          <w:color w:val="242121"/>
          <w:sz w:val="24"/>
          <w:szCs w:val="24"/>
          <w:shd w:val="clear" w:color="auto" w:fill="FFFFFF"/>
          <w:lang w:val="en-ZA" w:eastAsia="en-GB"/>
        </w:rPr>
        <w:t>motion proceedings there is an affidavit signed by the applicant or someone on their behalf whose authority appears from the papers.</w:t>
      </w:r>
      <w:r w:rsidR="0085775A" w:rsidRPr="0085775A">
        <w:rPr>
          <w:rStyle w:val="FootnoteReference"/>
          <w:rFonts w:ascii="Arial" w:eastAsia="Times New Roman" w:hAnsi="Arial" w:cs="Arial"/>
          <w:color w:val="242121"/>
          <w:sz w:val="24"/>
          <w:szCs w:val="24"/>
          <w:shd w:val="clear" w:color="auto" w:fill="FFFFFF"/>
          <w:lang w:val="en-ZA" w:eastAsia="en-GB"/>
        </w:rPr>
        <w:footnoteReference w:id="7"/>
      </w:r>
      <w:r w:rsidR="0085775A" w:rsidRPr="00D114FD">
        <w:rPr>
          <w:rFonts w:ascii="Arial" w:eastAsia="Times New Roman" w:hAnsi="Arial" w:cs="Arial"/>
          <w:color w:val="242121"/>
          <w:sz w:val="24"/>
          <w:szCs w:val="24"/>
          <w:shd w:val="clear" w:color="auto" w:fill="FFFFFF"/>
          <w:lang w:val="en-ZA" w:eastAsia="en-GB"/>
        </w:rPr>
        <w:t xml:space="preserve"> </w:t>
      </w:r>
    </w:p>
    <w:p w:rsidR="007D1052" w:rsidRDefault="007D1052" w:rsidP="007D1052">
      <w:pPr>
        <w:pStyle w:val="ListParagraph"/>
        <w:rPr>
          <w:rFonts w:ascii="Arial" w:hAnsi="Arial" w:cs="Arial"/>
          <w:sz w:val="24"/>
          <w:szCs w:val="24"/>
        </w:rPr>
      </w:pPr>
    </w:p>
    <w:p w:rsidR="007D1052" w:rsidRPr="0003728E" w:rsidRDefault="00630603" w:rsidP="00630603">
      <w:pPr>
        <w:spacing w:before="240" w:after="0" w:line="360" w:lineRule="auto"/>
        <w:jc w:val="both"/>
        <w:rPr>
          <w:rFonts w:ascii="Arial" w:hAnsi="Arial" w:cs="Arial"/>
          <w:sz w:val="24"/>
          <w:szCs w:val="24"/>
        </w:rPr>
      </w:pPr>
      <w:r w:rsidRPr="0003728E">
        <w:rPr>
          <w:rFonts w:ascii="Arial" w:hAnsi="Arial" w:cs="Arial"/>
          <w:sz w:val="24"/>
          <w:szCs w:val="24"/>
        </w:rPr>
        <w:t>[30]</w:t>
      </w:r>
      <w:r w:rsidRPr="0003728E">
        <w:rPr>
          <w:rFonts w:ascii="Arial" w:hAnsi="Arial" w:cs="Arial"/>
          <w:sz w:val="24"/>
          <w:szCs w:val="24"/>
        </w:rPr>
        <w:tab/>
      </w:r>
      <w:r w:rsidR="002838F1" w:rsidRPr="007D1052">
        <w:rPr>
          <w:rFonts w:ascii="Arial" w:hAnsi="Arial" w:cs="Arial"/>
          <w:sz w:val="24"/>
          <w:szCs w:val="24"/>
          <w:lang w:val="en-GB"/>
        </w:rPr>
        <w:t xml:space="preserve">Given these origins, </w:t>
      </w:r>
      <w:r w:rsidR="007D1052">
        <w:rPr>
          <w:rFonts w:ascii="Arial" w:hAnsi="Arial" w:cs="Arial"/>
          <w:sz w:val="24"/>
          <w:szCs w:val="24"/>
          <w:lang w:val="en-GB"/>
        </w:rPr>
        <w:t xml:space="preserve">Jansen J </w:t>
      </w:r>
      <w:r w:rsidR="007D1052" w:rsidRPr="007D1052">
        <w:rPr>
          <w:rFonts w:ascii="Arial" w:hAnsi="Arial" w:cs="Arial"/>
          <w:sz w:val="24"/>
          <w:szCs w:val="24"/>
          <w:lang w:val="en-GB"/>
        </w:rPr>
        <w:t xml:space="preserve">in </w:t>
      </w:r>
      <w:r w:rsidR="007D1052" w:rsidRPr="007D1052">
        <w:rPr>
          <w:rFonts w:ascii="Arial" w:hAnsi="Arial" w:cs="Arial"/>
          <w:i/>
          <w:iCs/>
          <w:sz w:val="24"/>
          <w:szCs w:val="24"/>
        </w:rPr>
        <w:t>Allied Workers' Union and Others v De Klerk NO and Others</w:t>
      </w:r>
      <w:r w:rsidR="007D1052" w:rsidRPr="007D1052">
        <w:rPr>
          <w:rFonts w:ascii="Arial" w:hAnsi="Arial" w:cs="Arial"/>
          <w:sz w:val="24"/>
          <w:szCs w:val="24"/>
        </w:rPr>
        <w:t xml:space="preserve"> 1990 (3) SA 425 (</w:t>
      </w:r>
      <w:r w:rsidR="007D1052" w:rsidRPr="007D1052">
        <w:rPr>
          <w:rFonts w:ascii="Arial" w:hAnsi="Arial" w:cs="Arial"/>
          <w:i/>
          <w:iCs/>
          <w:sz w:val="24"/>
          <w:szCs w:val="24"/>
        </w:rPr>
        <w:t>De Klerk</w:t>
      </w:r>
      <w:r w:rsidR="007D1052">
        <w:rPr>
          <w:rFonts w:ascii="Arial" w:hAnsi="Arial" w:cs="Arial"/>
          <w:sz w:val="24"/>
          <w:szCs w:val="24"/>
        </w:rPr>
        <w:t xml:space="preserve">) </w:t>
      </w:r>
      <w:r w:rsidR="002838F1" w:rsidRPr="007D1052">
        <w:rPr>
          <w:rFonts w:ascii="Arial" w:hAnsi="Arial" w:cs="Arial"/>
          <w:sz w:val="24"/>
          <w:szCs w:val="24"/>
          <w:lang w:val="en-GB"/>
        </w:rPr>
        <w:t xml:space="preserve">held that the type of authority contemplated by </w:t>
      </w:r>
      <w:r w:rsidR="00F33BFB">
        <w:rPr>
          <w:rFonts w:ascii="Arial" w:hAnsi="Arial" w:cs="Arial"/>
          <w:sz w:val="24"/>
          <w:szCs w:val="24"/>
          <w:lang w:val="en-GB"/>
        </w:rPr>
        <w:t>r</w:t>
      </w:r>
      <w:r w:rsidR="002838F1" w:rsidRPr="007D1052">
        <w:rPr>
          <w:rFonts w:ascii="Arial" w:hAnsi="Arial" w:cs="Arial"/>
          <w:sz w:val="24"/>
          <w:szCs w:val="24"/>
          <w:lang w:val="en-GB"/>
        </w:rPr>
        <w:t>ule 7 is the type of power given by a client to their attorney authorising them to institute or defend legal proceedings on the client’s behalf</w:t>
      </w:r>
      <w:r w:rsidR="00D55A4A">
        <w:rPr>
          <w:rFonts w:ascii="Arial" w:hAnsi="Arial" w:cs="Arial"/>
          <w:sz w:val="24"/>
          <w:szCs w:val="24"/>
          <w:lang w:val="en-GB"/>
        </w:rPr>
        <w:t>,</w:t>
      </w:r>
      <w:r w:rsidR="002838F1" w:rsidRPr="007D1052">
        <w:rPr>
          <w:rFonts w:ascii="Arial" w:hAnsi="Arial" w:cs="Arial"/>
          <w:sz w:val="24"/>
          <w:szCs w:val="24"/>
          <w:lang w:val="en-GB"/>
        </w:rPr>
        <w:t xml:space="preserve"> and does not contemplate the general authority by one person to another to represent them in legal proceedings</w:t>
      </w:r>
      <w:r w:rsidR="007D1052">
        <w:rPr>
          <w:rFonts w:ascii="Arial" w:hAnsi="Arial" w:cs="Arial"/>
          <w:sz w:val="24"/>
          <w:szCs w:val="24"/>
          <w:lang w:val="en-GB"/>
        </w:rPr>
        <w:t xml:space="preserve"> which must be established by evidence.</w:t>
      </w:r>
      <w:r w:rsidR="002838F1">
        <w:rPr>
          <w:rStyle w:val="FootnoteReference"/>
          <w:rFonts w:ascii="Arial" w:hAnsi="Arial" w:cs="Arial"/>
          <w:sz w:val="24"/>
          <w:szCs w:val="24"/>
          <w:lang w:val="en-GB"/>
        </w:rPr>
        <w:footnoteReference w:id="8"/>
      </w:r>
      <w:r w:rsidR="0085775A" w:rsidRPr="007D1052">
        <w:rPr>
          <w:rFonts w:ascii="Arial" w:hAnsi="Arial" w:cs="Arial"/>
          <w:sz w:val="24"/>
          <w:szCs w:val="24"/>
          <w:lang w:val="en-GB"/>
        </w:rPr>
        <w:t xml:space="preserve"> </w:t>
      </w:r>
    </w:p>
    <w:p w:rsidR="00F26221" w:rsidRPr="007D1052" w:rsidRDefault="00630603" w:rsidP="00630603">
      <w:pPr>
        <w:spacing w:before="240" w:after="0" w:line="360" w:lineRule="auto"/>
        <w:jc w:val="both"/>
        <w:rPr>
          <w:rFonts w:ascii="Arial" w:hAnsi="Arial" w:cs="Arial"/>
          <w:sz w:val="24"/>
          <w:szCs w:val="24"/>
        </w:rPr>
      </w:pPr>
      <w:r w:rsidRPr="007D1052">
        <w:rPr>
          <w:rFonts w:ascii="Arial" w:hAnsi="Arial" w:cs="Arial"/>
          <w:sz w:val="24"/>
          <w:szCs w:val="24"/>
        </w:rPr>
        <w:lastRenderedPageBreak/>
        <w:t>[31]</w:t>
      </w:r>
      <w:r w:rsidRPr="007D1052">
        <w:rPr>
          <w:rFonts w:ascii="Arial" w:hAnsi="Arial" w:cs="Arial"/>
          <w:sz w:val="24"/>
          <w:szCs w:val="24"/>
        </w:rPr>
        <w:tab/>
      </w:r>
      <w:r w:rsidR="007D1052" w:rsidRPr="007D1052">
        <w:rPr>
          <w:rFonts w:ascii="Arial" w:hAnsi="Arial" w:cs="Arial"/>
          <w:sz w:val="24"/>
          <w:szCs w:val="24"/>
          <w:lang w:val="en-GB"/>
        </w:rPr>
        <w:t xml:space="preserve">The approach of the court in </w:t>
      </w:r>
      <w:r w:rsidR="007D1052" w:rsidRPr="007D1052">
        <w:rPr>
          <w:rFonts w:ascii="Arial" w:hAnsi="Arial" w:cs="Arial"/>
          <w:i/>
          <w:iCs/>
          <w:sz w:val="24"/>
          <w:szCs w:val="24"/>
        </w:rPr>
        <w:t xml:space="preserve">De Klerk </w:t>
      </w:r>
      <w:r w:rsidR="007D1052" w:rsidRPr="007D1052">
        <w:rPr>
          <w:rFonts w:ascii="Arial" w:hAnsi="Arial" w:cs="Arial"/>
          <w:sz w:val="24"/>
          <w:szCs w:val="24"/>
        </w:rPr>
        <w:t xml:space="preserve">drew on the longstanding line of authority in cases such as </w:t>
      </w:r>
      <w:r w:rsidR="007D1052" w:rsidRPr="007D1052">
        <w:rPr>
          <w:rFonts w:ascii="Arial" w:hAnsi="Arial" w:cs="Arial"/>
          <w:i/>
          <w:iCs/>
          <w:sz w:val="24"/>
          <w:szCs w:val="24"/>
        </w:rPr>
        <w:t xml:space="preserve">Mall (Cape) (Pty) Ltd v Merino </w:t>
      </w:r>
      <w:r w:rsidR="007D1052" w:rsidRPr="00243AFA">
        <w:rPr>
          <w:rFonts w:ascii="Arial" w:hAnsi="Arial" w:cs="Arial"/>
          <w:i/>
          <w:iCs/>
          <w:color w:val="000000" w:themeColor="text1"/>
          <w:sz w:val="24"/>
          <w:szCs w:val="24"/>
        </w:rPr>
        <w:t>Ko-operasie Bpk</w:t>
      </w:r>
      <w:r w:rsidR="007D1052" w:rsidRPr="00243AFA">
        <w:rPr>
          <w:rFonts w:ascii="Arial" w:hAnsi="Arial" w:cs="Arial"/>
          <w:color w:val="000000" w:themeColor="text1"/>
          <w:sz w:val="24"/>
          <w:szCs w:val="24"/>
          <w:shd w:val="clear" w:color="auto" w:fill="FFFFFF"/>
        </w:rPr>
        <w:t> </w:t>
      </w:r>
      <w:hyperlink r:id="rId9" w:history="1">
        <w:r w:rsidR="007D1052" w:rsidRPr="00243AFA">
          <w:rPr>
            <w:rStyle w:val="Hyperlink"/>
            <w:rFonts w:ascii="Arial" w:hAnsi="Arial" w:cs="Arial"/>
            <w:color w:val="000000" w:themeColor="text1"/>
            <w:sz w:val="24"/>
            <w:szCs w:val="24"/>
            <w:u w:val="none"/>
          </w:rPr>
          <w:t>1957 (2) SA 347 (C)</w:t>
        </w:r>
      </w:hyperlink>
      <w:r w:rsidR="007D1052" w:rsidRPr="00243AFA">
        <w:rPr>
          <w:rStyle w:val="apple-converted-space"/>
          <w:rFonts w:ascii="Arial" w:hAnsi="Arial" w:cs="Arial"/>
          <w:color w:val="000000" w:themeColor="text1"/>
          <w:sz w:val="24"/>
          <w:szCs w:val="24"/>
          <w:shd w:val="clear" w:color="auto" w:fill="FFFFFF"/>
        </w:rPr>
        <w:t xml:space="preserve"> (</w:t>
      </w:r>
      <w:r w:rsidR="007D1052" w:rsidRPr="00243AFA">
        <w:rPr>
          <w:rFonts w:ascii="Arial" w:hAnsi="Arial" w:cs="Arial"/>
          <w:i/>
          <w:iCs/>
          <w:color w:val="000000" w:themeColor="text1"/>
          <w:sz w:val="24"/>
          <w:szCs w:val="24"/>
        </w:rPr>
        <w:t xml:space="preserve">Merino Ko-operasie) </w:t>
      </w:r>
      <w:r w:rsidR="007D1052" w:rsidRPr="00243AFA">
        <w:rPr>
          <w:rFonts w:ascii="Arial" w:hAnsi="Arial" w:cs="Arial"/>
          <w:color w:val="000000" w:themeColor="text1"/>
          <w:sz w:val="24"/>
          <w:szCs w:val="24"/>
          <w:shd w:val="clear" w:color="auto" w:fill="FFFFFF"/>
        </w:rPr>
        <w:t xml:space="preserve">which held that </w:t>
      </w:r>
      <w:r w:rsidR="0085775A" w:rsidRPr="00243AFA">
        <w:rPr>
          <w:rFonts w:ascii="Arial" w:hAnsi="Arial" w:cs="Arial"/>
          <w:color w:val="000000" w:themeColor="text1"/>
          <w:sz w:val="24"/>
          <w:szCs w:val="24"/>
          <w:lang w:val="en-GB"/>
        </w:rPr>
        <w:t xml:space="preserve">where the applicant </w:t>
      </w:r>
      <w:r w:rsidR="00D55A4A">
        <w:rPr>
          <w:rFonts w:ascii="Arial" w:hAnsi="Arial" w:cs="Arial"/>
          <w:color w:val="000000" w:themeColor="text1"/>
          <w:sz w:val="24"/>
          <w:szCs w:val="24"/>
          <w:lang w:val="en-GB"/>
        </w:rPr>
        <w:t xml:space="preserve">in motion proceedings </w:t>
      </w:r>
      <w:r w:rsidR="0085775A" w:rsidRPr="00243AFA">
        <w:rPr>
          <w:rFonts w:ascii="Arial" w:hAnsi="Arial" w:cs="Arial"/>
          <w:color w:val="000000" w:themeColor="text1"/>
          <w:sz w:val="24"/>
          <w:szCs w:val="24"/>
          <w:lang w:val="en-GB"/>
        </w:rPr>
        <w:t xml:space="preserve">was an </w:t>
      </w:r>
      <w:r w:rsidR="0085775A" w:rsidRPr="00243AFA">
        <w:rPr>
          <w:rFonts w:ascii="Arial" w:eastAsia="Times New Roman" w:hAnsi="Arial" w:cs="Arial"/>
          <w:color w:val="000000" w:themeColor="text1"/>
          <w:sz w:val="24"/>
          <w:szCs w:val="24"/>
          <w:shd w:val="clear" w:color="auto" w:fill="FFFFFF"/>
          <w:lang w:val="en-ZA" w:eastAsia="en-GB"/>
        </w:rPr>
        <w:t>artificial person</w:t>
      </w:r>
      <w:r w:rsidR="00FF36D3">
        <w:rPr>
          <w:rFonts w:ascii="Arial" w:eastAsia="Times New Roman" w:hAnsi="Arial" w:cs="Arial"/>
          <w:color w:val="000000" w:themeColor="text1"/>
          <w:sz w:val="24"/>
          <w:szCs w:val="24"/>
          <w:shd w:val="clear" w:color="auto" w:fill="FFFFFF"/>
          <w:lang w:val="en-ZA" w:eastAsia="en-GB"/>
        </w:rPr>
        <w:t>,</w:t>
      </w:r>
      <w:r w:rsidR="00D55A4A">
        <w:rPr>
          <w:rFonts w:ascii="Arial" w:eastAsia="Times New Roman" w:hAnsi="Arial" w:cs="Arial"/>
          <w:color w:val="000000" w:themeColor="text1"/>
          <w:sz w:val="24"/>
          <w:szCs w:val="24"/>
          <w:shd w:val="clear" w:color="auto" w:fill="FFFFFF"/>
          <w:lang w:val="en-ZA" w:eastAsia="en-GB"/>
        </w:rPr>
        <w:t xml:space="preserve"> </w:t>
      </w:r>
      <w:r w:rsidR="0085775A" w:rsidRPr="00243AFA">
        <w:rPr>
          <w:rFonts w:ascii="Arial" w:hAnsi="Arial" w:cs="Arial"/>
          <w:color w:val="000000" w:themeColor="text1"/>
          <w:sz w:val="24"/>
          <w:szCs w:val="24"/>
          <w:lang w:val="en-GB"/>
        </w:rPr>
        <w:t xml:space="preserve">evidence </w:t>
      </w:r>
      <w:r w:rsidR="00D55A4A">
        <w:rPr>
          <w:rFonts w:ascii="Arial" w:hAnsi="Arial" w:cs="Arial"/>
          <w:color w:val="000000" w:themeColor="text1"/>
          <w:sz w:val="24"/>
          <w:szCs w:val="24"/>
          <w:lang w:val="en-GB"/>
        </w:rPr>
        <w:t xml:space="preserve">was required </w:t>
      </w:r>
      <w:r w:rsidR="0085775A" w:rsidRPr="00243AFA">
        <w:rPr>
          <w:rFonts w:ascii="Arial" w:hAnsi="Arial" w:cs="Arial"/>
          <w:color w:val="000000" w:themeColor="text1"/>
          <w:sz w:val="24"/>
          <w:szCs w:val="24"/>
          <w:lang w:val="en-GB"/>
        </w:rPr>
        <w:t>in the founding affidavit that ‘</w:t>
      </w:r>
      <w:r w:rsidR="0085775A" w:rsidRPr="00243AFA">
        <w:rPr>
          <w:rFonts w:ascii="Arial" w:hAnsi="Arial" w:cs="Arial"/>
          <w:color w:val="000000" w:themeColor="text1"/>
          <w:sz w:val="24"/>
          <w:szCs w:val="24"/>
        </w:rPr>
        <w:t xml:space="preserve">the applicant </w:t>
      </w:r>
      <w:r w:rsidR="0085775A" w:rsidRPr="007D1052">
        <w:rPr>
          <w:rFonts w:ascii="Arial" w:hAnsi="Arial" w:cs="Arial"/>
          <w:sz w:val="24"/>
          <w:szCs w:val="24"/>
        </w:rPr>
        <w:t>has duly resolved to institute the proceedings and that the proceedings are instituted at its instance</w:t>
      </w:r>
      <w:r w:rsidR="00332644">
        <w:rPr>
          <w:rFonts w:ascii="Arial" w:hAnsi="Arial" w:cs="Arial"/>
          <w:sz w:val="24"/>
          <w:szCs w:val="24"/>
        </w:rPr>
        <w:t>.</w:t>
      </w:r>
      <w:r w:rsidR="0085775A" w:rsidRPr="007D1052">
        <w:rPr>
          <w:rFonts w:ascii="Arial" w:hAnsi="Arial" w:cs="Arial"/>
          <w:sz w:val="24"/>
          <w:szCs w:val="24"/>
        </w:rPr>
        <w:t>’</w:t>
      </w:r>
      <w:r w:rsidR="0085775A" w:rsidRPr="00674C43">
        <w:rPr>
          <w:rStyle w:val="FootnoteReference"/>
          <w:rFonts w:ascii="Arial" w:hAnsi="Arial" w:cs="Arial"/>
          <w:sz w:val="24"/>
          <w:szCs w:val="24"/>
        </w:rPr>
        <w:footnoteReference w:id="9"/>
      </w:r>
      <w:r w:rsidR="00C275E1" w:rsidRPr="007D1052">
        <w:rPr>
          <w:rFonts w:ascii="Arial" w:hAnsi="Arial" w:cs="Arial"/>
          <w:sz w:val="24"/>
          <w:szCs w:val="24"/>
        </w:rPr>
        <w:t xml:space="preserve">  </w:t>
      </w:r>
    </w:p>
    <w:p w:rsidR="00F26221" w:rsidRDefault="00F26221" w:rsidP="00F26221">
      <w:pPr>
        <w:pStyle w:val="ListParagraph"/>
        <w:rPr>
          <w:rFonts w:ascii="Arial" w:hAnsi="Arial" w:cs="Arial"/>
          <w:sz w:val="24"/>
          <w:szCs w:val="24"/>
          <w:lang w:val="en-GB"/>
        </w:rPr>
      </w:pPr>
    </w:p>
    <w:p w:rsidR="002370AC" w:rsidRPr="00F26221" w:rsidRDefault="00630603" w:rsidP="00630603">
      <w:pPr>
        <w:spacing w:after="0" w:line="360" w:lineRule="auto"/>
        <w:jc w:val="both"/>
        <w:rPr>
          <w:rFonts w:ascii="Arial" w:hAnsi="Arial" w:cs="Arial"/>
          <w:sz w:val="24"/>
          <w:szCs w:val="24"/>
        </w:rPr>
      </w:pPr>
      <w:r w:rsidRPr="00F26221">
        <w:rPr>
          <w:rFonts w:ascii="Arial" w:hAnsi="Arial" w:cs="Arial"/>
          <w:sz w:val="24"/>
          <w:szCs w:val="24"/>
        </w:rPr>
        <w:t>[32]</w:t>
      </w:r>
      <w:r w:rsidRPr="00F26221">
        <w:rPr>
          <w:rFonts w:ascii="Arial" w:hAnsi="Arial" w:cs="Arial"/>
          <w:sz w:val="24"/>
          <w:szCs w:val="24"/>
        </w:rPr>
        <w:tab/>
      </w:r>
      <w:r w:rsidR="00274E42" w:rsidRPr="00F26221">
        <w:rPr>
          <w:rFonts w:ascii="Arial" w:hAnsi="Arial" w:cs="Arial"/>
          <w:sz w:val="24"/>
          <w:szCs w:val="24"/>
          <w:lang w:val="en-GB"/>
        </w:rPr>
        <w:t>The</w:t>
      </w:r>
      <w:r w:rsidR="00274E42" w:rsidRPr="00F26221">
        <w:rPr>
          <w:rFonts w:ascii="Arial" w:hAnsi="Arial" w:cs="Arial"/>
          <w:sz w:val="24"/>
          <w:szCs w:val="24"/>
        </w:rPr>
        <w:t xml:space="preserve"> amendment of rule 7 did away with the need to file a power of attorney in all actions, but it expanded the </w:t>
      </w:r>
      <w:r w:rsidR="00540649">
        <w:rPr>
          <w:rFonts w:ascii="Arial" w:hAnsi="Arial" w:cs="Arial"/>
          <w:sz w:val="24"/>
          <w:szCs w:val="24"/>
        </w:rPr>
        <w:t xml:space="preserve">reach </w:t>
      </w:r>
      <w:r w:rsidR="00274E42" w:rsidRPr="00F26221">
        <w:rPr>
          <w:rFonts w:ascii="Arial" w:hAnsi="Arial" w:cs="Arial"/>
          <w:sz w:val="24"/>
          <w:szCs w:val="24"/>
        </w:rPr>
        <w:t>of the rule to motion proceedings</w:t>
      </w:r>
      <w:r w:rsidR="00540649">
        <w:rPr>
          <w:rFonts w:ascii="Arial" w:hAnsi="Arial" w:cs="Arial"/>
          <w:sz w:val="24"/>
          <w:szCs w:val="24"/>
        </w:rPr>
        <w:t>. The amend</w:t>
      </w:r>
      <w:r w:rsidR="00D55A4A">
        <w:rPr>
          <w:rFonts w:ascii="Arial" w:hAnsi="Arial" w:cs="Arial"/>
          <w:sz w:val="24"/>
          <w:szCs w:val="24"/>
        </w:rPr>
        <w:t>ed</w:t>
      </w:r>
      <w:r w:rsidR="00540649">
        <w:rPr>
          <w:rFonts w:ascii="Arial" w:hAnsi="Arial" w:cs="Arial"/>
          <w:sz w:val="24"/>
          <w:szCs w:val="24"/>
        </w:rPr>
        <w:t xml:space="preserve"> </w:t>
      </w:r>
      <w:r w:rsidR="00490346">
        <w:rPr>
          <w:rFonts w:ascii="Arial" w:hAnsi="Arial" w:cs="Arial"/>
          <w:sz w:val="24"/>
          <w:szCs w:val="24"/>
        </w:rPr>
        <w:t xml:space="preserve">rule employs </w:t>
      </w:r>
      <w:r w:rsidR="00274E42" w:rsidRPr="00F26221">
        <w:rPr>
          <w:rFonts w:ascii="Arial" w:hAnsi="Arial" w:cs="Arial"/>
          <w:sz w:val="24"/>
          <w:szCs w:val="24"/>
        </w:rPr>
        <w:t>broade</w:t>
      </w:r>
      <w:r w:rsidR="00490346">
        <w:rPr>
          <w:rFonts w:ascii="Arial" w:hAnsi="Arial" w:cs="Arial"/>
          <w:sz w:val="24"/>
          <w:szCs w:val="24"/>
        </w:rPr>
        <w:t>r</w:t>
      </w:r>
      <w:r w:rsidR="00540649">
        <w:rPr>
          <w:rFonts w:ascii="Arial" w:hAnsi="Arial" w:cs="Arial"/>
          <w:sz w:val="24"/>
          <w:szCs w:val="24"/>
        </w:rPr>
        <w:t xml:space="preserve"> </w:t>
      </w:r>
      <w:r w:rsidR="00274E42" w:rsidRPr="00F26221">
        <w:rPr>
          <w:rFonts w:ascii="Arial" w:hAnsi="Arial" w:cs="Arial"/>
          <w:sz w:val="24"/>
          <w:szCs w:val="24"/>
        </w:rPr>
        <w:t xml:space="preserve">language </w:t>
      </w:r>
      <w:r w:rsidR="00490346">
        <w:rPr>
          <w:rFonts w:ascii="Arial" w:hAnsi="Arial" w:cs="Arial"/>
          <w:sz w:val="24"/>
          <w:szCs w:val="24"/>
        </w:rPr>
        <w:t xml:space="preserve">than its </w:t>
      </w:r>
      <w:r w:rsidR="00D55A4A">
        <w:rPr>
          <w:rFonts w:ascii="Arial" w:hAnsi="Arial" w:cs="Arial"/>
          <w:sz w:val="24"/>
          <w:szCs w:val="24"/>
        </w:rPr>
        <w:t>predecessor,</w:t>
      </w:r>
      <w:r w:rsidR="00490346">
        <w:rPr>
          <w:rFonts w:ascii="Arial" w:hAnsi="Arial" w:cs="Arial"/>
          <w:sz w:val="24"/>
          <w:szCs w:val="24"/>
        </w:rPr>
        <w:t xml:space="preserve"> as it no longer refers only to attorneys but to </w:t>
      </w:r>
      <w:r w:rsidR="00243AFA">
        <w:rPr>
          <w:rFonts w:ascii="Arial" w:hAnsi="Arial" w:cs="Arial"/>
          <w:sz w:val="24"/>
          <w:szCs w:val="24"/>
        </w:rPr>
        <w:t>‘</w:t>
      </w:r>
      <w:r w:rsidR="00274E42" w:rsidRPr="00F26221">
        <w:rPr>
          <w:rFonts w:ascii="Arial" w:hAnsi="Arial" w:cs="Arial"/>
          <w:sz w:val="24"/>
          <w:szCs w:val="24"/>
        </w:rPr>
        <w:t>the authority of anyone acting on behalf of a party’</w:t>
      </w:r>
      <w:r w:rsidR="00067EEE">
        <w:rPr>
          <w:rFonts w:ascii="Arial" w:hAnsi="Arial" w:cs="Arial"/>
          <w:sz w:val="24"/>
          <w:szCs w:val="24"/>
        </w:rPr>
        <w:t>.</w:t>
      </w:r>
      <w:r w:rsidR="002370AC" w:rsidRPr="00F26221">
        <w:rPr>
          <w:rFonts w:ascii="Arial" w:hAnsi="Arial" w:cs="Arial"/>
          <w:sz w:val="24"/>
          <w:szCs w:val="24"/>
        </w:rPr>
        <w:t xml:space="preserve"> </w:t>
      </w:r>
    </w:p>
    <w:p w:rsidR="00B349D3" w:rsidRDefault="00B349D3" w:rsidP="00B349D3">
      <w:pPr>
        <w:pStyle w:val="ListParagraph"/>
        <w:rPr>
          <w:rFonts w:ascii="Arial" w:hAnsi="Arial" w:cs="Arial"/>
          <w:sz w:val="24"/>
          <w:szCs w:val="24"/>
        </w:rPr>
      </w:pPr>
    </w:p>
    <w:p w:rsidR="00854403" w:rsidRPr="002370AC" w:rsidRDefault="00630603" w:rsidP="00630603">
      <w:pPr>
        <w:spacing w:after="0" w:line="360" w:lineRule="auto"/>
        <w:jc w:val="both"/>
        <w:rPr>
          <w:rFonts w:ascii="Arial" w:hAnsi="Arial" w:cs="Arial"/>
          <w:sz w:val="24"/>
          <w:szCs w:val="24"/>
        </w:rPr>
      </w:pPr>
      <w:r w:rsidRPr="002370AC">
        <w:rPr>
          <w:rFonts w:ascii="Arial" w:hAnsi="Arial" w:cs="Arial"/>
          <w:sz w:val="24"/>
          <w:szCs w:val="24"/>
        </w:rPr>
        <w:t>[33]</w:t>
      </w:r>
      <w:r w:rsidRPr="002370AC">
        <w:rPr>
          <w:rFonts w:ascii="Arial" w:hAnsi="Arial" w:cs="Arial"/>
          <w:sz w:val="24"/>
          <w:szCs w:val="24"/>
        </w:rPr>
        <w:tab/>
      </w:r>
      <w:r w:rsidR="00F33BFB" w:rsidRPr="00F33BFB">
        <w:rPr>
          <w:rFonts w:ascii="Arial" w:hAnsi="Arial" w:cs="Arial"/>
          <w:i/>
          <w:iCs/>
          <w:sz w:val="24"/>
          <w:szCs w:val="24"/>
          <w:lang w:val="en-GB"/>
        </w:rPr>
        <w:t>De Klerk</w:t>
      </w:r>
      <w:r w:rsidR="00F33BFB">
        <w:rPr>
          <w:rFonts w:ascii="Arial" w:hAnsi="Arial" w:cs="Arial"/>
          <w:sz w:val="24"/>
          <w:szCs w:val="24"/>
          <w:lang w:val="en-GB"/>
        </w:rPr>
        <w:t xml:space="preserve"> held that d</w:t>
      </w:r>
      <w:r w:rsidR="00274E42" w:rsidRPr="002370AC">
        <w:rPr>
          <w:rFonts w:ascii="Arial" w:hAnsi="Arial" w:cs="Arial"/>
          <w:sz w:val="24"/>
          <w:szCs w:val="24"/>
          <w:lang w:val="en-GB"/>
        </w:rPr>
        <w:t>espite</w:t>
      </w:r>
      <w:r w:rsidR="00274E42" w:rsidRPr="002370AC">
        <w:rPr>
          <w:rFonts w:ascii="Arial" w:hAnsi="Arial" w:cs="Arial"/>
          <w:sz w:val="24"/>
          <w:szCs w:val="24"/>
        </w:rPr>
        <w:t xml:space="preserve"> these changes, </w:t>
      </w:r>
      <w:r w:rsidR="00F33BFB">
        <w:rPr>
          <w:rFonts w:ascii="Arial" w:hAnsi="Arial" w:cs="Arial"/>
          <w:sz w:val="24"/>
          <w:szCs w:val="24"/>
        </w:rPr>
        <w:t xml:space="preserve">the </w:t>
      </w:r>
      <w:r w:rsidR="00274E42" w:rsidRPr="002370AC">
        <w:rPr>
          <w:rFonts w:ascii="Arial" w:hAnsi="Arial" w:cs="Arial"/>
          <w:sz w:val="24"/>
          <w:szCs w:val="24"/>
        </w:rPr>
        <w:t xml:space="preserve">ambit of the rule </w:t>
      </w:r>
      <w:r w:rsidR="00854403" w:rsidRPr="002370AC">
        <w:rPr>
          <w:rFonts w:ascii="Arial" w:hAnsi="Arial" w:cs="Arial"/>
          <w:sz w:val="24"/>
          <w:szCs w:val="24"/>
        </w:rPr>
        <w:t xml:space="preserve">remains the same </w:t>
      </w:r>
      <w:r w:rsidR="00243AFA">
        <w:rPr>
          <w:rFonts w:ascii="Arial" w:hAnsi="Arial" w:cs="Arial"/>
          <w:sz w:val="24"/>
          <w:szCs w:val="24"/>
        </w:rPr>
        <w:t>because</w:t>
      </w:r>
      <w:r w:rsidR="00854403" w:rsidRPr="002370AC">
        <w:rPr>
          <w:rFonts w:ascii="Arial" w:hAnsi="Arial" w:cs="Arial"/>
          <w:sz w:val="24"/>
          <w:szCs w:val="24"/>
        </w:rPr>
        <w:t xml:space="preserve"> :-</w:t>
      </w:r>
    </w:p>
    <w:p w:rsidR="00EC4EC7" w:rsidRDefault="00854403" w:rsidP="00EC4EC7">
      <w:pPr>
        <w:spacing w:after="0" w:line="360" w:lineRule="auto"/>
        <w:ind w:left="1418" w:right="992"/>
        <w:jc w:val="both"/>
        <w:rPr>
          <w:rFonts w:ascii="Arial" w:hAnsi="Arial" w:cs="Arial"/>
        </w:rPr>
      </w:pPr>
      <w:r w:rsidRPr="00674C43">
        <w:rPr>
          <w:rFonts w:ascii="Arial" w:hAnsi="Arial" w:cs="Arial"/>
        </w:rPr>
        <w:t>‘</w:t>
      </w:r>
      <w:r w:rsidR="00274E42" w:rsidRPr="00674C43">
        <w:rPr>
          <w:rFonts w:ascii="Arial" w:hAnsi="Arial" w:cs="Arial"/>
        </w:rPr>
        <w:t>it could not have been contemplated by the lawgiver that a refutation by a respondent as to the existence of general authority to act could be met by the filing of an unsworn piece of paper. Rule 7(1) is, in essence, merely a means of achieving production of the ordinary power of attorney</w:t>
      </w:r>
      <w:r w:rsidR="00274E42" w:rsidRPr="00674C43">
        <w:rPr>
          <w:rStyle w:val="apple-converted-space"/>
          <w:rFonts w:ascii="Arial" w:hAnsi="Arial" w:cs="Arial"/>
        </w:rPr>
        <w:t> </w:t>
      </w:r>
      <w:r w:rsidR="00274E42" w:rsidRPr="00674C43">
        <w:rPr>
          <w:rFonts w:ascii="Arial" w:hAnsi="Arial" w:cs="Arial"/>
        </w:rPr>
        <w:t>in order to establish</w:t>
      </w:r>
      <w:r w:rsidR="00274E42" w:rsidRPr="00674C43">
        <w:rPr>
          <w:rStyle w:val="apple-converted-space"/>
          <w:rFonts w:ascii="Arial" w:hAnsi="Arial" w:cs="Arial"/>
        </w:rPr>
        <w:t> </w:t>
      </w:r>
      <w:r w:rsidR="00274E42" w:rsidRPr="00674C43">
        <w:rPr>
          <w:rFonts w:ascii="Arial" w:hAnsi="Arial" w:cs="Arial"/>
        </w:rPr>
        <w:t>the authority of an attorney to act for his client. It may be called for simply by notice and without an evidentiary challenge to such authority.</w:t>
      </w:r>
      <w:r w:rsidRPr="00674C43">
        <w:rPr>
          <w:rStyle w:val="FootnoteReference"/>
          <w:rFonts w:ascii="Arial" w:hAnsi="Arial" w:cs="Arial"/>
        </w:rPr>
        <w:footnoteReference w:id="10"/>
      </w:r>
      <w:r w:rsidR="002370AC">
        <w:rPr>
          <w:rFonts w:ascii="Arial" w:hAnsi="Arial" w:cs="Arial"/>
        </w:rPr>
        <w:t xml:space="preserve">  </w:t>
      </w:r>
    </w:p>
    <w:p w:rsidR="00EC4EC7" w:rsidRDefault="00EC4EC7" w:rsidP="00EC4EC7">
      <w:pPr>
        <w:spacing w:after="0" w:line="360" w:lineRule="auto"/>
        <w:ind w:left="1418" w:right="992"/>
        <w:jc w:val="both"/>
        <w:rPr>
          <w:rFonts w:ascii="Arial" w:hAnsi="Arial" w:cs="Arial"/>
        </w:rPr>
      </w:pPr>
    </w:p>
    <w:p w:rsidR="00674C43" w:rsidRPr="0003728E" w:rsidRDefault="00630603" w:rsidP="00630603">
      <w:pPr>
        <w:spacing w:after="0" w:line="360" w:lineRule="auto"/>
        <w:jc w:val="both"/>
        <w:rPr>
          <w:rFonts w:ascii="Arial" w:hAnsi="Arial" w:cs="Arial"/>
        </w:rPr>
      </w:pPr>
      <w:r w:rsidRPr="0003728E">
        <w:rPr>
          <w:rFonts w:ascii="Arial" w:hAnsi="Arial" w:cs="Arial"/>
          <w:sz w:val="24"/>
          <w:szCs w:val="24"/>
        </w:rPr>
        <w:t>[34]</w:t>
      </w:r>
      <w:r w:rsidRPr="0003728E">
        <w:rPr>
          <w:rFonts w:ascii="Arial" w:hAnsi="Arial" w:cs="Arial"/>
          <w:sz w:val="24"/>
          <w:szCs w:val="24"/>
        </w:rPr>
        <w:tab/>
      </w:r>
      <w:r w:rsidR="00854403" w:rsidRPr="00674C43">
        <w:rPr>
          <w:rFonts w:ascii="Arial" w:hAnsi="Arial" w:cs="Arial"/>
          <w:sz w:val="24"/>
          <w:szCs w:val="24"/>
          <w:lang w:val="en-GB"/>
        </w:rPr>
        <w:t>The</w:t>
      </w:r>
      <w:r w:rsidR="00854403" w:rsidRPr="00674C43">
        <w:rPr>
          <w:rFonts w:ascii="Arial" w:eastAsia="Times New Roman" w:hAnsi="Arial" w:cs="Arial"/>
          <w:color w:val="242121"/>
          <w:sz w:val="24"/>
          <w:szCs w:val="24"/>
          <w:shd w:val="clear" w:color="auto" w:fill="FFFFFF"/>
          <w:lang w:val="en-ZA" w:eastAsia="en-GB"/>
        </w:rPr>
        <w:t xml:space="preserve"> full court in </w:t>
      </w:r>
      <w:r w:rsidR="00854403" w:rsidRPr="00674C43">
        <w:rPr>
          <w:rFonts w:ascii="Arial" w:eastAsia="Times New Roman" w:hAnsi="Arial" w:cs="Arial"/>
          <w:i/>
          <w:iCs/>
          <w:color w:val="242121"/>
          <w:sz w:val="24"/>
          <w:szCs w:val="24"/>
          <w:shd w:val="clear" w:color="auto" w:fill="FFFFFF"/>
          <w:lang w:val="en-ZA" w:eastAsia="en-GB"/>
        </w:rPr>
        <w:t>ANC Umovti</w:t>
      </w:r>
      <w:r w:rsidR="00854403" w:rsidRPr="00674C43">
        <w:rPr>
          <w:rFonts w:ascii="Arial" w:eastAsia="Times New Roman" w:hAnsi="Arial" w:cs="Arial"/>
          <w:color w:val="242121"/>
          <w:sz w:val="24"/>
          <w:szCs w:val="24"/>
          <w:shd w:val="clear" w:color="auto" w:fill="FFFFFF"/>
          <w:lang w:val="en-ZA" w:eastAsia="en-GB"/>
        </w:rPr>
        <w:t xml:space="preserve"> </w:t>
      </w:r>
      <w:r w:rsidR="00540649">
        <w:rPr>
          <w:rFonts w:ascii="Arial" w:eastAsia="Times New Roman" w:hAnsi="Arial" w:cs="Arial"/>
          <w:color w:val="242121"/>
          <w:sz w:val="24"/>
          <w:szCs w:val="24"/>
          <w:shd w:val="clear" w:color="auto" w:fill="FFFFFF"/>
          <w:lang w:val="en-ZA" w:eastAsia="en-GB"/>
        </w:rPr>
        <w:t xml:space="preserve">however </w:t>
      </w:r>
      <w:r w:rsidR="00854403" w:rsidRPr="00674C43">
        <w:rPr>
          <w:rFonts w:ascii="Arial" w:eastAsia="Times New Roman" w:hAnsi="Arial" w:cs="Arial"/>
          <w:color w:val="242121"/>
          <w:sz w:val="24"/>
          <w:szCs w:val="24"/>
          <w:shd w:val="clear" w:color="auto" w:fill="FFFFFF"/>
          <w:lang w:val="en-ZA" w:eastAsia="en-GB"/>
        </w:rPr>
        <w:t>took a contrary view. It attributed significance to the change in language</w:t>
      </w:r>
      <w:r w:rsidR="00410C57" w:rsidRPr="00674C43">
        <w:rPr>
          <w:rFonts w:ascii="Arial" w:eastAsia="Times New Roman" w:hAnsi="Arial" w:cs="Arial"/>
          <w:color w:val="242121"/>
          <w:sz w:val="24"/>
          <w:szCs w:val="24"/>
          <w:shd w:val="clear" w:color="auto" w:fill="FFFFFF"/>
          <w:lang w:val="en-ZA" w:eastAsia="en-GB"/>
        </w:rPr>
        <w:t xml:space="preserve"> brought about by the amend</w:t>
      </w:r>
      <w:r w:rsidR="008847F5" w:rsidRPr="00674C43">
        <w:rPr>
          <w:rFonts w:ascii="Arial" w:eastAsia="Times New Roman" w:hAnsi="Arial" w:cs="Arial"/>
          <w:color w:val="242121"/>
          <w:sz w:val="24"/>
          <w:szCs w:val="24"/>
          <w:shd w:val="clear" w:color="auto" w:fill="FFFFFF"/>
          <w:lang w:val="en-ZA" w:eastAsia="en-GB"/>
        </w:rPr>
        <w:t>ment</w:t>
      </w:r>
      <w:r w:rsidR="00D55A4A">
        <w:rPr>
          <w:rFonts w:ascii="Arial" w:eastAsia="Times New Roman" w:hAnsi="Arial" w:cs="Arial"/>
          <w:color w:val="242121"/>
          <w:sz w:val="24"/>
          <w:szCs w:val="24"/>
          <w:shd w:val="clear" w:color="auto" w:fill="FFFFFF"/>
          <w:lang w:val="en-ZA" w:eastAsia="en-GB"/>
        </w:rPr>
        <w:t>,</w:t>
      </w:r>
      <w:r w:rsidR="008847F5" w:rsidRPr="008847F5">
        <w:rPr>
          <w:rStyle w:val="FootnoteReference"/>
          <w:rFonts w:ascii="Arial" w:eastAsia="Times New Roman" w:hAnsi="Arial" w:cs="Arial"/>
          <w:color w:val="242121"/>
          <w:sz w:val="24"/>
          <w:szCs w:val="24"/>
          <w:shd w:val="clear" w:color="auto" w:fill="FFFFFF"/>
          <w:lang w:val="en-ZA" w:eastAsia="en-GB"/>
        </w:rPr>
        <w:footnoteReference w:id="11"/>
      </w:r>
      <w:r w:rsidR="00410C57" w:rsidRPr="00674C43">
        <w:rPr>
          <w:rFonts w:ascii="Arial" w:eastAsia="Times New Roman" w:hAnsi="Arial" w:cs="Arial"/>
          <w:color w:val="242121"/>
          <w:sz w:val="24"/>
          <w:szCs w:val="24"/>
          <w:shd w:val="clear" w:color="auto" w:fill="FFFFFF"/>
          <w:lang w:val="en-ZA" w:eastAsia="en-GB"/>
        </w:rPr>
        <w:t xml:space="preserve"> and held that </w:t>
      </w:r>
      <w:r w:rsidR="00854403" w:rsidRPr="00674C43">
        <w:rPr>
          <w:rFonts w:ascii="Arial" w:hAnsi="Arial" w:cs="Arial"/>
          <w:sz w:val="24"/>
          <w:szCs w:val="24"/>
          <w:lang w:val="en-GB"/>
        </w:rPr>
        <w:t xml:space="preserve"> </w:t>
      </w:r>
      <w:r w:rsidR="008847F5" w:rsidRPr="00674C43">
        <w:rPr>
          <w:rFonts w:ascii="Arial" w:hAnsi="Arial" w:cs="Arial"/>
          <w:sz w:val="24"/>
          <w:szCs w:val="24"/>
          <w:lang w:val="en-GB"/>
        </w:rPr>
        <w:t xml:space="preserve">the </w:t>
      </w:r>
      <w:r w:rsidR="00490346">
        <w:rPr>
          <w:rFonts w:ascii="Arial" w:hAnsi="Arial" w:cs="Arial"/>
          <w:sz w:val="24"/>
          <w:szCs w:val="24"/>
          <w:lang w:val="en-GB"/>
        </w:rPr>
        <w:t xml:space="preserve">amended </w:t>
      </w:r>
      <w:r w:rsidR="008847F5" w:rsidRPr="00674C43">
        <w:rPr>
          <w:rFonts w:ascii="Arial" w:hAnsi="Arial" w:cs="Arial"/>
          <w:sz w:val="24"/>
          <w:szCs w:val="24"/>
          <w:lang w:val="en-GB"/>
        </w:rPr>
        <w:t>rule was intended to apply to all types of challenges to authority</w:t>
      </w:r>
      <w:r w:rsidR="00B66A20">
        <w:rPr>
          <w:rFonts w:ascii="Arial" w:hAnsi="Arial" w:cs="Arial"/>
          <w:sz w:val="24"/>
          <w:szCs w:val="24"/>
          <w:lang w:val="en-GB"/>
        </w:rPr>
        <w:t>.</w:t>
      </w:r>
      <w:r w:rsidR="008847F5">
        <w:rPr>
          <w:rStyle w:val="FootnoteReference"/>
          <w:rFonts w:ascii="Arial" w:hAnsi="Arial" w:cs="Arial"/>
          <w:sz w:val="24"/>
          <w:szCs w:val="24"/>
          <w:lang w:val="en-GB"/>
        </w:rPr>
        <w:footnoteReference w:id="12"/>
      </w:r>
      <w:r w:rsidR="008847F5" w:rsidRPr="00674C43">
        <w:rPr>
          <w:rFonts w:ascii="Arial" w:hAnsi="Arial" w:cs="Arial"/>
          <w:sz w:val="24"/>
          <w:szCs w:val="24"/>
          <w:lang w:val="en-GB"/>
        </w:rPr>
        <w:t xml:space="preserve"> </w:t>
      </w:r>
      <w:r w:rsidR="00490346">
        <w:rPr>
          <w:rFonts w:ascii="Arial" w:hAnsi="Arial" w:cs="Arial"/>
          <w:sz w:val="24"/>
          <w:szCs w:val="24"/>
          <w:lang w:val="en-GB"/>
        </w:rPr>
        <w:t>I</w:t>
      </w:r>
      <w:r w:rsidR="008847F5" w:rsidRPr="00674C43">
        <w:rPr>
          <w:rFonts w:ascii="Arial" w:hAnsi="Arial" w:cs="Arial"/>
          <w:sz w:val="24"/>
          <w:szCs w:val="24"/>
          <w:lang w:val="en-GB"/>
        </w:rPr>
        <w:t xml:space="preserve">n consequence, it held that </w:t>
      </w:r>
      <w:r w:rsidR="00854403" w:rsidRPr="00674C43">
        <w:rPr>
          <w:rFonts w:ascii="Arial" w:hAnsi="Arial" w:cs="Arial"/>
          <w:sz w:val="24"/>
          <w:szCs w:val="24"/>
          <w:lang w:val="en-GB"/>
        </w:rPr>
        <w:t>‘whether or not the litigation has been properly authorised by the artificial person named as the litigant should not be dealt with by means of evidence lead in the application. If clarity is required, it should be obtained by means of rule 7(1)’</w:t>
      </w:r>
      <w:r w:rsidR="008847F5" w:rsidRPr="00674C43">
        <w:rPr>
          <w:rFonts w:ascii="Arial" w:hAnsi="Arial" w:cs="Arial"/>
          <w:sz w:val="24"/>
          <w:szCs w:val="24"/>
          <w:lang w:val="en-GB"/>
        </w:rPr>
        <w:t>.</w:t>
      </w:r>
      <w:r w:rsidR="008847F5" w:rsidRPr="008847F5">
        <w:rPr>
          <w:rStyle w:val="FootnoteReference"/>
          <w:rFonts w:ascii="Arial" w:hAnsi="Arial" w:cs="Arial"/>
          <w:sz w:val="24"/>
          <w:szCs w:val="24"/>
          <w:lang w:val="en-GB"/>
        </w:rPr>
        <w:footnoteReference w:id="13"/>
      </w:r>
      <w:r w:rsidR="008847F5" w:rsidRPr="00674C43">
        <w:rPr>
          <w:rFonts w:ascii="Arial" w:hAnsi="Arial" w:cs="Arial"/>
          <w:sz w:val="24"/>
          <w:szCs w:val="24"/>
          <w:lang w:val="en-GB"/>
        </w:rPr>
        <w:t xml:space="preserve">  </w:t>
      </w:r>
      <w:r w:rsidR="00674C43" w:rsidRPr="00674C43">
        <w:rPr>
          <w:rFonts w:ascii="Arial" w:hAnsi="Arial" w:cs="Arial"/>
          <w:sz w:val="24"/>
          <w:szCs w:val="24"/>
          <w:lang w:val="en-GB"/>
        </w:rPr>
        <w:t xml:space="preserve">  </w:t>
      </w:r>
    </w:p>
    <w:p w:rsidR="005C6F6B" w:rsidRPr="005C6F6B" w:rsidRDefault="00630603" w:rsidP="00630603">
      <w:pPr>
        <w:spacing w:after="0" w:line="360" w:lineRule="auto"/>
        <w:jc w:val="both"/>
        <w:rPr>
          <w:rFonts w:ascii="Arial" w:hAnsi="Arial" w:cs="Arial"/>
          <w:sz w:val="24"/>
          <w:szCs w:val="24"/>
          <w:lang w:val="en-GB"/>
        </w:rPr>
      </w:pPr>
      <w:r w:rsidRPr="005C6F6B">
        <w:rPr>
          <w:rFonts w:ascii="Arial" w:hAnsi="Arial" w:cs="Arial"/>
          <w:sz w:val="24"/>
          <w:szCs w:val="24"/>
          <w:lang w:val="en-GB"/>
        </w:rPr>
        <w:lastRenderedPageBreak/>
        <w:t>[35]</w:t>
      </w:r>
      <w:r w:rsidRPr="005C6F6B">
        <w:rPr>
          <w:rFonts w:ascii="Arial" w:hAnsi="Arial" w:cs="Arial"/>
          <w:sz w:val="24"/>
          <w:szCs w:val="24"/>
          <w:lang w:val="en-GB"/>
        </w:rPr>
        <w:tab/>
      </w:r>
      <w:r w:rsidR="00BC2784" w:rsidRPr="005C6F6B">
        <w:rPr>
          <w:rFonts w:ascii="Arial" w:hAnsi="Arial" w:cs="Arial"/>
          <w:sz w:val="24"/>
          <w:szCs w:val="24"/>
          <w:lang w:val="en-GB"/>
        </w:rPr>
        <w:t xml:space="preserve">It is therefore clear that the </w:t>
      </w:r>
      <w:r w:rsidR="00BC2784" w:rsidRPr="005C6F6B">
        <w:rPr>
          <w:rFonts w:ascii="Arial" w:hAnsi="Arial" w:cs="Arial"/>
          <w:i/>
          <w:iCs/>
          <w:sz w:val="24"/>
          <w:szCs w:val="24"/>
          <w:lang w:val="en-GB"/>
        </w:rPr>
        <w:t>dicta</w:t>
      </w:r>
      <w:r w:rsidR="00BC2784" w:rsidRPr="005C6F6B">
        <w:rPr>
          <w:rFonts w:ascii="Arial" w:hAnsi="Arial" w:cs="Arial"/>
          <w:sz w:val="24"/>
          <w:szCs w:val="24"/>
          <w:lang w:val="en-GB"/>
        </w:rPr>
        <w:t xml:space="preserve"> in </w:t>
      </w:r>
      <w:r w:rsidR="00BC2784" w:rsidRPr="005C6F6B">
        <w:rPr>
          <w:rFonts w:ascii="Arial" w:eastAsia="Times New Roman" w:hAnsi="Arial" w:cs="Arial"/>
          <w:i/>
          <w:iCs/>
          <w:color w:val="242121"/>
          <w:sz w:val="24"/>
          <w:szCs w:val="24"/>
          <w:shd w:val="clear" w:color="auto" w:fill="FFFFFF"/>
          <w:lang w:val="en-ZA" w:eastAsia="en-GB"/>
        </w:rPr>
        <w:t xml:space="preserve">ANC </w:t>
      </w:r>
      <w:r w:rsidR="00A710B3" w:rsidRPr="005C6F6B">
        <w:rPr>
          <w:rFonts w:ascii="Arial" w:eastAsia="Times New Roman" w:hAnsi="Arial" w:cs="Arial"/>
          <w:i/>
          <w:iCs/>
          <w:color w:val="242121"/>
          <w:sz w:val="24"/>
          <w:szCs w:val="24"/>
          <w:shd w:val="clear" w:color="auto" w:fill="FFFFFF"/>
          <w:lang w:val="en-ZA" w:eastAsia="en-GB"/>
        </w:rPr>
        <w:t>Um</w:t>
      </w:r>
      <w:r w:rsidR="00A710B3">
        <w:rPr>
          <w:rFonts w:ascii="Arial" w:eastAsia="Times New Roman" w:hAnsi="Arial" w:cs="Arial"/>
          <w:i/>
          <w:iCs/>
          <w:color w:val="242121"/>
          <w:sz w:val="24"/>
          <w:szCs w:val="24"/>
          <w:shd w:val="clear" w:color="auto" w:fill="FFFFFF"/>
          <w:lang w:val="en-ZA" w:eastAsia="en-GB"/>
        </w:rPr>
        <w:t>vo</w:t>
      </w:r>
      <w:r w:rsidR="00A710B3" w:rsidRPr="005C6F6B">
        <w:rPr>
          <w:rFonts w:ascii="Arial" w:eastAsia="Times New Roman" w:hAnsi="Arial" w:cs="Arial"/>
          <w:i/>
          <w:iCs/>
          <w:color w:val="242121"/>
          <w:sz w:val="24"/>
          <w:szCs w:val="24"/>
          <w:shd w:val="clear" w:color="auto" w:fill="FFFFFF"/>
          <w:lang w:val="en-ZA" w:eastAsia="en-GB"/>
        </w:rPr>
        <w:t xml:space="preserve">ti </w:t>
      </w:r>
      <w:r w:rsidR="00BC2784" w:rsidRPr="005C6F6B">
        <w:rPr>
          <w:rFonts w:ascii="Arial" w:eastAsia="Times New Roman" w:hAnsi="Arial" w:cs="Arial"/>
          <w:color w:val="242121"/>
          <w:sz w:val="24"/>
          <w:szCs w:val="24"/>
          <w:shd w:val="clear" w:color="auto" w:fill="FFFFFF"/>
          <w:lang w:val="en-ZA" w:eastAsia="en-GB"/>
        </w:rPr>
        <w:t xml:space="preserve">apply whether the challenge </w:t>
      </w:r>
      <w:r w:rsidR="00540649" w:rsidRPr="005C6F6B">
        <w:rPr>
          <w:rFonts w:ascii="Arial" w:eastAsia="Times New Roman" w:hAnsi="Arial" w:cs="Arial"/>
          <w:color w:val="242121"/>
          <w:sz w:val="24"/>
          <w:szCs w:val="24"/>
          <w:shd w:val="clear" w:color="auto" w:fill="FFFFFF"/>
          <w:lang w:val="en-ZA" w:eastAsia="en-GB"/>
        </w:rPr>
        <w:t xml:space="preserve">to authority </w:t>
      </w:r>
      <w:r w:rsidR="00BC2784" w:rsidRPr="005C6F6B">
        <w:rPr>
          <w:rFonts w:ascii="Arial" w:eastAsia="Times New Roman" w:hAnsi="Arial" w:cs="Arial"/>
          <w:color w:val="242121"/>
          <w:sz w:val="24"/>
          <w:szCs w:val="24"/>
          <w:shd w:val="clear" w:color="auto" w:fill="FFFFFF"/>
          <w:lang w:val="en-ZA" w:eastAsia="en-GB"/>
        </w:rPr>
        <w:t>is, as here, substantive</w:t>
      </w:r>
      <w:r w:rsidR="006F0C97" w:rsidRPr="005C6F6B">
        <w:rPr>
          <w:rFonts w:ascii="Arial" w:eastAsia="Times New Roman" w:hAnsi="Arial" w:cs="Arial"/>
          <w:color w:val="242121"/>
          <w:sz w:val="24"/>
          <w:szCs w:val="24"/>
          <w:shd w:val="clear" w:color="auto" w:fill="FFFFFF"/>
          <w:lang w:val="en-ZA" w:eastAsia="en-GB"/>
        </w:rPr>
        <w:t>,</w:t>
      </w:r>
      <w:r w:rsidR="00BC2784" w:rsidRPr="005C6F6B">
        <w:rPr>
          <w:rFonts w:ascii="Arial" w:eastAsia="Times New Roman" w:hAnsi="Arial" w:cs="Arial"/>
          <w:color w:val="242121"/>
          <w:sz w:val="24"/>
          <w:szCs w:val="24"/>
          <w:shd w:val="clear" w:color="auto" w:fill="FFFFFF"/>
          <w:lang w:val="en-ZA" w:eastAsia="en-GB"/>
        </w:rPr>
        <w:t xml:space="preserve"> or whether it is</w:t>
      </w:r>
      <w:r w:rsidR="00D55A4A" w:rsidRPr="005C6F6B">
        <w:rPr>
          <w:rFonts w:ascii="Arial" w:eastAsia="Times New Roman" w:hAnsi="Arial" w:cs="Arial"/>
          <w:color w:val="242121"/>
          <w:sz w:val="24"/>
          <w:szCs w:val="24"/>
          <w:shd w:val="clear" w:color="auto" w:fill="FFFFFF"/>
          <w:lang w:val="en-ZA" w:eastAsia="en-GB"/>
        </w:rPr>
        <w:t xml:space="preserve"> in the nature of a technical challenge which can be met merely by </w:t>
      </w:r>
      <w:r w:rsidR="005C6F6B" w:rsidRPr="005C6F6B">
        <w:rPr>
          <w:rFonts w:ascii="Arial" w:eastAsia="Times New Roman" w:hAnsi="Arial" w:cs="Arial"/>
          <w:color w:val="242121"/>
          <w:sz w:val="24"/>
          <w:szCs w:val="24"/>
          <w:shd w:val="clear" w:color="auto" w:fill="FFFFFF"/>
          <w:lang w:val="en-ZA" w:eastAsia="en-GB"/>
        </w:rPr>
        <w:t>production</w:t>
      </w:r>
      <w:r w:rsidR="00D55A4A" w:rsidRPr="005C6F6B">
        <w:rPr>
          <w:rFonts w:ascii="Arial" w:eastAsia="Times New Roman" w:hAnsi="Arial" w:cs="Arial"/>
          <w:color w:val="242121"/>
          <w:sz w:val="24"/>
          <w:szCs w:val="24"/>
          <w:shd w:val="clear" w:color="auto" w:fill="FFFFFF"/>
          <w:lang w:val="en-ZA" w:eastAsia="en-GB"/>
        </w:rPr>
        <w:t xml:space="preserve"> of a power of attorney. </w:t>
      </w:r>
      <w:r w:rsidR="00BC2784" w:rsidRPr="005C6F6B">
        <w:rPr>
          <w:rFonts w:ascii="Arial" w:eastAsia="Times New Roman" w:hAnsi="Arial" w:cs="Arial"/>
          <w:color w:val="242121"/>
          <w:sz w:val="24"/>
          <w:szCs w:val="24"/>
          <w:shd w:val="clear" w:color="auto" w:fill="FFFFFF"/>
          <w:lang w:val="en-ZA" w:eastAsia="en-GB"/>
        </w:rPr>
        <w:t>Th</w:t>
      </w:r>
      <w:r w:rsidR="00D55A4A" w:rsidRPr="005C6F6B">
        <w:rPr>
          <w:rFonts w:ascii="Arial" w:eastAsia="Times New Roman" w:hAnsi="Arial" w:cs="Arial"/>
          <w:color w:val="242121"/>
          <w:sz w:val="24"/>
          <w:szCs w:val="24"/>
          <w:shd w:val="clear" w:color="auto" w:fill="FFFFFF"/>
          <w:lang w:val="en-ZA" w:eastAsia="en-GB"/>
        </w:rPr>
        <w:t xml:space="preserve">e nature of the challenge </w:t>
      </w:r>
      <w:r w:rsidR="00BC2784" w:rsidRPr="005C6F6B">
        <w:rPr>
          <w:rFonts w:ascii="Arial" w:eastAsia="Times New Roman" w:hAnsi="Arial" w:cs="Arial"/>
          <w:color w:val="242121"/>
          <w:sz w:val="24"/>
          <w:szCs w:val="24"/>
          <w:shd w:val="clear" w:color="auto" w:fill="FFFFFF"/>
          <w:lang w:val="en-ZA" w:eastAsia="en-GB"/>
        </w:rPr>
        <w:t>is therefore no</w:t>
      </w:r>
      <w:r w:rsidR="00D55A4A" w:rsidRPr="005C6F6B">
        <w:rPr>
          <w:rFonts w:ascii="Arial" w:eastAsia="Times New Roman" w:hAnsi="Arial" w:cs="Arial"/>
          <w:color w:val="242121"/>
          <w:sz w:val="24"/>
          <w:szCs w:val="24"/>
          <w:shd w:val="clear" w:color="auto" w:fill="FFFFFF"/>
          <w:lang w:val="en-ZA" w:eastAsia="en-GB"/>
        </w:rPr>
        <w:t>t a</w:t>
      </w:r>
      <w:r w:rsidR="00BC2784" w:rsidRPr="005C6F6B">
        <w:rPr>
          <w:rFonts w:ascii="Arial" w:eastAsia="Times New Roman" w:hAnsi="Arial" w:cs="Arial"/>
          <w:color w:val="242121"/>
          <w:sz w:val="24"/>
          <w:szCs w:val="24"/>
          <w:shd w:val="clear" w:color="auto" w:fill="FFFFFF"/>
          <w:lang w:val="en-ZA" w:eastAsia="en-GB"/>
        </w:rPr>
        <w:t xml:space="preserve"> basis </w:t>
      </w:r>
      <w:r w:rsidR="00D55A4A" w:rsidRPr="005C6F6B">
        <w:rPr>
          <w:rFonts w:ascii="Arial" w:eastAsia="Times New Roman" w:hAnsi="Arial" w:cs="Arial"/>
          <w:color w:val="242121"/>
          <w:sz w:val="24"/>
          <w:szCs w:val="24"/>
          <w:shd w:val="clear" w:color="auto" w:fill="FFFFFF"/>
          <w:lang w:val="en-ZA" w:eastAsia="en-GB"/>
        </w:rPr>
        <w:t xml:space="preserve">upon which </w:t>
      </w:r>
      <w:r w:rsidR="00D55A4A" w:rsidRPr="005C6F6B">
        <w:rPr>
          <w:rFonts w:ascii="Arial" w:eastAsia="Times New Roman" w:hAnsi="Arial" w:cs="Arial"/>
          <w:i/>
          <w:iCs/>
          <w:color w:val="242121"/>
          <w:sz w:val="24"/>
          <w:szCs w:val="24"/>
          <w:shd w:val="clear" w:color="auto" w:fill="FFFFFF"/>
          <w:lang w:val="en-ZA" w:eastAsia="en-GB"/>
        </w:rPr>
        <w:t xml:space="preserve">ANC </w:t>
      </w:r>
      <w:r w:rsidR="00A710B3" w:rsidRPr="005C6F6B">
        <w:rPr>
          <w:rFonts w:ascii="Arial" w:eastAsia="Times New Roman" w:hAnsi="Arial" w:cs="Arial"/>
          <w:i/>
          <w:iCs/>
          <w:color w:val="242121"/>
          <w:sz w:val="24"/>
          <w:szCs w:val="24"/>
          <w:shd w:val="clear" w:color="auto" w:fill="FFFFFF"/>
          <w:lang w:val="en-ZA" w:eastAsia="en-GB"/>
        </w:rPr>
        <w:t>Um</w:t>
      </w:r>
      <w:r w:rsidR="00A710B3">
        <w:rPr>
          <w:rFonts w:ascii="Arial" w:eastAsia="Times New Roman" w:hAnsi="Arial" w:cs="Arial"/>
          <w:i/>
          <w:iCs/>
          <w:color w:val="242121"/>
          <w:sz w:val="24"/>
          <w:szCs w:val="24"/>
          <w:shd w:val="clear" w:color="auto" w:fill="FFFFFF"/>
          <w:lang w:val="en-ZA" w:eastAsia="en-GB"/>
        </w:rPr>
        <w:t>vo</w:t>
      </w:r>
      <w:r w:rsidR="00A710B3" w:rsidRPr="005C6F6B">
        <w:rPr>
          <w:rFonts w:ascii="Arial" w:eastAsia="Times New Roman" w:hAnsi="Arial" w:cs="Arial"/>
          <w:i/>
          <w:iCs/>
          <w:color w:val="242121"/>
          <w:sz w:val="24"/>
          <w:szCs w:val="24"/>
          <w:shd w:val="clear" w:color="auto" w:fill="FFFFFF"/>
          <w:lang w:val="en-ZA" w:eastAsia="en-GB"/>
        </w:rPr>
        <w:t>ti</w:t>
      </w:r>
      <w:r w:rsidR="00A710B3" w:rsidRPr="005C6F6B">
        <w:rPr>
          <w:rFonts w:ascii="Arial" w:eastAsia="Times New Roman" w:hAnsi="Arial" w:cs="Arial"/>
          <w:color w:val="242121"/>
          <w:sz w:val="24"/>
          <w:szCs w:val="24"/>
          <w:shd w:val="clear" w:color="auto" w:fill="FFFFFF"/>
          <w:lang w:val="en-ZA" w:eastAsia="en-GB"/>
        </w:rPr>
        <w:t xml:space="preserve"> </w:t>
      </w:r>
      <w:r w:rsidR="00D55A4A" w:rsidRPr="005C6F6B">
        <w:rPr>
          <w:rFonts w:ascii="Arial" w:eastAsia="Times New Roman" w:hAnsi="Arial" w:cs="Arial"/>
          <w:color w:val="242121"/>
          <w:sz w:val="24"/>
          <w:szCs w:val="24"/>
          <w:shd w:val="clear" w:color="auto" w:fill="FFFFFF"/>
          <w:lang w:val="en-ZA" w:eastAsia="en-GB"/>
        </w:rPr>
        <w:t>can be avoided.</w:t>
      </w:r>
    </w:p>
    <w:p w:rsidR="005C6F6B" w:rsidRDefault="005C6F6B" w:rsidP="005C6F6B">
      <w:pPr>
        <w:pStyle w:val="ListParagraph"/>
        <w:rPr>
          <w:rFonts w:ascii="Arial" w:eastAsia="Times New Roman" w:hAnsi="Arial" w:cs="Arial"/>
          <w:color w:val="242121"/>
          <w:sz w:val="24"/>
          <w:szCs w:val="24"/>
          <w:shd w:val="clear" w:color="auto" w:fill="FFFFFF"/>
          <w:lang w:val="en-ZA" w:eastAsia="en-GB"/>
        </w:rPr>
      </w:pPr>
    </w:p>
    <w:p w:rsidR="00284CBC" w:rsidRDefault="00630603" w:rsidP="00630603">
      <w:pPr>
        <w:spacing w:after="0" w:line="360" w:lineRule="auto"/>
        <w:jc w:val="both"/>
        <w:rPr>
          <w:rFonts w:ascii="Arial" w:hAnsi="Arial" w:cs="Arial"/>
          <w:sz w:val="24"/>
          <w:szCs w:val="24"/>
          <w:lang w:val="en-GB"/>
        </w:rPr>
      </w:pPr>
      <w:r>
        <w:rPr>
          <w:rFonts w:ascii="Arial" w:hAnsi="Arial" w:cs="Arial"/>
          <w:sz w:val="24"/>
          <w:szCs w:val="24"/>
          <w:lang w:val="en-GB"/>
        </w:rPr>
        <w:t>[36]</w:t>
      </w:r>
      <w:r>
        <w:rPr>
          <w:rFonts w:ascii="Arial" w:hAnsi="Arial" w:cs="Arial"/>
          <w:sz w:val="24"/>
          <w:szCs w:val="24"/>
          <w:lang w:val="en-GB"/>
        </w:rPr>
        <w:tab/>
      </w:r>
      <w:r w:rsidR="00FF36D3">
        <w:rPr>
          <w:rFonts w:ascii="Arial" w:eastAsia="Times New Roman" w:hAnsi="Arial" w:cs="Arial"/>
          <w:color w:val="242121"/>
          <w:sz w:val="24"/>
          <w:szCs w:val="24"/>
          <w:shd w:val="clear" w:color="auto" w:fill="FFFFFF"/>
          <w:lang w:val="en-ZA" w:eastAsia="en-GB"/>
        </w:rPr>
        <w:t>I</w:t>
      </w:r>
      <w:r w:rsidR="00D55A4A" w:rsidRPr="005C6F6B">
        <w:rPr>
          <w:rFonts w:ascii="Arial" w:eastAsia="Times New Roman" w:hAnsi="Arial" w:cs="Arial"/>
          <w:color w:val="242121"/>
          <w:sz w:val="24"/>
          <w:szCs w:val="24"/>
          <w:shd w:val="clear" w:color="auto" w:fill="FFFFFF"/>
          <w:lang w:val="en-ZA" w:eastAsia="en-GB"/>
        </w:rPr>
        <w:t xml:space="preserve"> </w:t>
      </w:r>
      <w:r w:rsidR="00A710B3">
        <w:rPr>
          <w:rFonts w:ascii="Arial" w:eastAsia="Times New Roman" w:hAnsi="Arial" w:cs="Arial"/>
          <w:color w:val="242121"/>
          <w:sz w:val="24"/>
          <w:szCs w:val="24"/>
          <w:shd w:val="clear" w:color="auto" w:fill="FFFFFF"/>
          <w:lang w:val="en-ZA" w:eastAsia="en-GB"/>
        </w:rPr>
        <w:t xml:space="preserve">am </w:t>
      </w:r>
      <w:r w:rsidR="00D55A4A" w:rsidRPr="005C6F6B">
        <w:rPr>
          <w:rFonts w:ascii="Arial" w:eastAsia="Times New Roman" w:hAnsi="Arial" w:cs="Arial"/>
          <w:color w:val="242121"/>
          <w:sz w:val="24"/>
          <w:szCs w:val="24"/>
          <w:shd w:val="clear" w:color="auto" w:fill="FFFFFF"/>
          <w:lang w:val="en-ZA" w:eastAsia="en-GB"/>
        </w:rPr>
        <w:t xml:space="preserve">alive to </w:t>
      </w:r>
      <w:r w:rsidR="006F0C97" w:rsidRPr="005C6F6B">
        <w:rPr>
          <w:rFonts w:ascii="Arial" w:eastAsia="Times New Roman" w:hAnsi="Arial" w:cs="Arial"/>
          <w:color w:val="242121"/>
          <w:sz w:val="24"/>
          <w:szCs w:val="24"/>
          <w:shd w:val="clear" w:color="auto" w:fill="FFFFFF"/>
          <w:lang w:val="en-ZA" w:eastAsia="en-GB"/>
        </w:rPr>
        <w:t>the fact t</w:t>
      </w:r>
      <w:r w:rsidR="00540649" w:rsidRPr="005C6F6B">
        <w:rPr>
          <w:rFonts w:ascii="Arial" w:eastAsia="Times New Roman" w:hAnsi="Arial" w:cs="Arial"/>
          <w:color w:val="242121"/>
          <w:sz w:val="24"/>
          <w:szCs w:val="24"/>
          <w:shd w:val="clear" w:color="auto" w:fill="FFFFFF"/>
          <w:lang w:val="en-ZA" w:eastAsia="en-GB"/>
        </w:rPr>
        <w:t xml:space="preserve">hat reading rule 7 as having such </w:t>
      </w:r>
      <w:r w:rsidR="006F0C97" w:rsidRPr="005C6F6B">
        <w:rPr>
          <w:rFonts w:ascii="Arial" w:eastAsia="Times New Roman" w:hAnsi="Arial" w:cs="Arial"/>
          <w:color w:val="242121"/>
          <w:sz w:val="24"/>
          <w:szCs w:val="24"/>
          <w:shd w:val="clear" w:color="auto" w:fill="FFFFFF"/>
          <w:lang w:val="en-ZA" w:eastAsia="en-GB"/>
        </w:rPr>
        <w:t xml:space="preserve">breadth of application </w:t>
      </w:r>
      <w:r w:rsidR="00BC2784" w:rsidRPr="005C6F6B">
        <w:rPr>
          <w:rFonts w:ascii="Arial" w:eastAsia="Times New Roman" w:hAnsi="Arial" w:cs="Arial"/>
          <w:color w:val="242121"/>
          <w:sz w:val="24"/>
          <w:szCs w:val="24"/>
          <w:shd w:val="clear" w:color="auto" w:fill="FFFFFF"/>
          <w:lang w:val="en-ZA" w:eastAsia="en-GB"/>
        </w:rPr>
        <w:t>may be seen</w:t>
      </w:r>
      <w:r w:rsidR="00BC2784" w:rsidRPr="00490346">
        <w:rPr>
          <w:rFonts w:ascii="Arial" w:eastAsia="Times New Roman" w:hAnsi="Arial" w:cs="Arial"/>
          <w:color w:val="242121"/>
          <w:sz w:val="24"/>
          <w:szCs w:val="24"/>
          <w:shd w:val="clear" w:color="auto" w:fill="FFFFFF"/>
          <w:lang w:val="en-ZA" w:eastAsia="en-GB"/>
        </w:rPr>
        <w:t xml:space="preserve"> to somewhat undermine the rationale of the rule in amended form</w:t>
      </w:r>
      <w:r w:rsidR="00CD40AB">
        <w:rPr>
          <w:rFonts w:ascii="Arial" w:eastAsia="Times New Roman" w:hAnsi="Arial" w:cs="Arial"/>
          <w:color w:val="242121"/>
          <w:sz w:val="24"/>
          <w:szCs w:val="24"/>
          <w:shd w:val="clear" w:color="auto" w:fill="FFFFFF"/>
          <w:lang w:val="en-ZA" w:eastAsia="en-GB"/>
        </w:rPr>
        <w:t xml:space="preserve"> </w:t>
      </w:r>
      <w:r w:rsidR="00BC2784" w:rsidRPr="00490346">
        <w:rPr>
          <w:rFonts w:ascii="Arial" w:eastAsia="Times New Roman" w:hAnsi="Arial" w:cs="Arial"/>
          <w:color w:val="242121"/>
          <w:sz w:val="24"/>
          <w:szCs w:val="24"/>
          <w:shd w:val="clear" w:color="auto" w:fill="FFFFFF"/>
          <w:lang w:val="en-ZA" w:eastAsia="en-GB"/>
        </w:rPr>
        <w:t xml:space="preserve">which </w:t>
      </w:r>
      <w:r w:rsidR="00BC2784" w:rsidRPr="00490346">
        <w:rPr>
          <w:rFonts w:ascii="Arial" w:hAnsi="Arial" w:cs="Arial"/>
          <w:sz w:val="24"/>
          <w:szCs w:val="24"/>
          <w:lang w:val="en-GB"/>
        </w:rPr>
        <w:t>is to avoid a ‘costly and wasteful investigation, which normally leads to the conclusion that the application was indeed authorised’.</w:t>
      </w:r>
      <w:r w:rsidR="00BC2784" w:rsidRPr="00ED29C2">
        <w:rPr>
          <w:rStyle w:val="FootnoteReference"/>
          <w:rFonts w:ascii="Arial" w:hAnsi="Arial" w:cs="Arial"/>
          <w:sz w:val="24"/>
          <w:szCs w:val="24"/>
          <w:lang w:val="en-GB"/>
        </w:rPr>
        <w:footnoteReference w:id="14"/>
      </w:r>
      <w:r w:rsidR="00BC2784" w:rsidRPr="00490346">
        <w:rPr>
          <w:rFonts w:ascii="Arial" w:hAnsi="Arial" w:cs="Arial"/>
          <w:sz w:val="24"/>
          <w:szCs w:val="24"/>
          <w:lang w:val="en-GB"/>
        </w:rPr>
        <w:t xml:space="preserve"> </w:t>
      </w:r>
      <w:r w:rsidR="006F0C97" w:rsidRPr="00490346">
        <w:rPr>
          <w:rFonts w:ascii="Arial" w:hAnsi="Arial" w:cs="Arial"/>
          <w:sz w:val="24"/>
          <w:szCs w:val="24"/>
          <w:lang w:val="en-GB"/>
        </w:rPr>
        <w:t>T</w:t>
      </w:r>
      <w:r w:rsidR="00BC2784" w:rsidRPr="00490346">
        <w:rPr>
          <w:rFonts w:ascii="Arial" w:hAnsi="Arial" w:cs="Arial"/>
          <w:sz w:val="24"/>
          <w:szCs w:val="24"/>
          <w:lang w:val="en-GB"/>
        </w:rPr>
        <w:t xml:space="preserve">he </w:t>
      </w:r>
      <w:r w:rsidR="006F0C97" w:rsidRPr="00490346">
        <w:rPr>
          <w:rFonts w:ascii="Arial" w:hAnsi="Arial" w:cs="Arial"/>
          <w:sz w:val="24"/>
          <w:szCs w:val="24"/>
          <w:lang w:val="en-GB"/>
        </w:rPr>
        <w:t xml:space="preserve">full </w:t>
      </w:r>
      <w:r w:rsidR="00BC2784" w:rsidRPr="00490346">
        <w:rPr>
          <w:rFonts w:ascii="Arial" w:hAnsi="Arial" w:cs="Arial"/>
          <w:sz w:val="24"/>
          <w:szCs w:val="24"/>
          <w:lang w:val="en-GB"/>
        </w:rPr>
        <w:t xml:space="preserve">court in </w:t>
      </w:r>
      <w:r w:rsidR="00BC2784" w:rsidRPr="00490346">
        <w:rPr>
          <w:rFonts w:ascii="Arial" w:hAnsi="Arial" w:cs="Arial"/>
          <w:i/>
          <w:iCs/>
          <w:sz w:val="24"/>
          <w:szCs w:val="24"/>
          <w:lang w:val="en-GB"/>
        </w:rPr>
        <w:t>ANC Umvoti</w:t>
      </w:r>
      <w:r w:rsidR="00BC2784" w:rsidRPr="00490346">
        <w:rPr>
          <w:rFonts w:ascii="Arial" w:hAnsi="Arial" w:cs="Arial"/>
          <w:sz w:val="24"/>
          <w:szCs w:val="24"/>
          <w:lang w:val="en-GB"/>
        </w:rPr>
        <w:t xml:space="preserve"> </w:t>
      </w:r>
      <w:r w:rsidR="006F0C97" w:rsidRPr="00490346">
        <w:rPr>
          <w:rFonts w:ascii="Arial" w:hAnsi="Arial" w:cs="Arial"/>
          <w:sz w:val="24"/>
          <w:szCs w:val="24"/>
          <w:lang w:val="en-GB"/>
        </w:rPr>
        <w:t>drew on that rationale in finding that</w:t>
      </w:r>
      <w:r w:rsidR="00BC2784" w:rsidRPr="00490346">
        <w:rPr>
          <w:rFonts w:ascii="Arial" w:hAnsi="Arial" w:cs="Arial"/>
          <w:sz w:val="24"/>
          <w:szCs w:val="24"/>
          <w:lang w:val="en-GB"/>
        </w:rPr>
        <w:t xml:space="preserve"> if clarity on authorisation was required it should be obtained by means of rule 7(1), since it was a procedure that freed an applicant from having to produce proof of what may not be in issue, and save</w:t>
      </w:r>
      <w:r w:rsidR="00B66A20">
        <w:rPr>
          <w:rFonts w:ascii="Arial" w:hAnsi="Arial" w:cs="Arial"/>
          <w:sz w:val="24"/>
          <w:szCs w:val="24"/>
          <w:lang w:val="en-GB"/>
        </w:rPr>
        <w:t>d</w:t>
      </w:r>
      <w:r w:rsidR="00BC2784" w:rsidRPr="00490346">
        <w:rPr>
          <w:rFonts w:ascii="Arial" w:hAnsi="Arial" w:cs="Arial"/>
          <w:sz w:val="24"/>
          <w:szCs w:val="24"/>
          <w:lang w:val="en-GB"/>
        </w:rPr>
        <w:t xml:space="preserve"> </w:t>
      </w:r>
      <w:r w:rsidR="006F0C97" w:rsidRPr="00490346">
        <w:rPr>
          <w:rFonts w:ascii="Arial" w:hAnsi="Arial" w:cs="Arial"/>
          <w:sz w:val="24"/>
          <w:szCs w:val="24"/>
          <w:lang w:val="en-GB"/>
        </w:rPr>
        <w:t>‘</w:t>
      </w:r>
      <w:r w:rsidR="00BC2784" w:rsidRPr="00490346">
        <w:rPr>
          <w:rFonts w:ascii="Arial" w:hAnsi="Arial" w:cs="Arial"/>
          <w:sz w:val="24"/>
          <w:szCs w:val="24"/>
          <w:lang w:val="en-GB"/>
        </w:rPr>
        <w:t>an inordinate waste of time and expense involved in attaching resolutions, delegations and substitutions to applications</w:t>
      </w:r>
      <w:r w:rsidR="00AD205B" w:rsidRPr="00490346">
        <w:rPr>
          <w:rFonts w:ascii="Arial" w:hAnsi="Arial" w:cs="Arial"/>
          <w:sz w:val="24"/>
          <w:szCs w:val="24"/>
          <w:lang w:val="en-GB"/>
        </w:rPr>
        <w:t>’</w:t>
      </w:r>
      <w:r w:rsidR="00BC2784" w:rsidRPr="00490346">
        <w:rPr>
          <w:rFonts w:ascii="Arial" w:hAnsi="Arial" w:cs="Arial"/>
          <w:sz w:val="24"/>
          <w:szCs w:val="24"/>
          <w:lang w:val="en-GB"/>
        </w:rPr>
        <w:t>.</w:t>
      </w:r>
      <w:r w:rsidR="006F0C97" w:rsidRPr="00ED29C2">
        <w:rPr>
          <w:rStyle w:val="FootnoteReference"/>
          <w:rFonts w:ascii="Arial" w:hAnsi="Arial" w:cs="Arial"/>
          <w:sz w:val="24"/>
          <w:szCs w:val="24"/>
          <w:lang w:val="en-GB"/>
        </w:rPr>
        <w:footnoteReference w:id="15"/>
      </w:r>
      <w:r w:rsidR="006F0C97" w:rsidRPr="00490346">
        <w:rPr>
          <w:rFonts w:ascii="Arial" w:hAnsi="Arial" w:cs="Arial"/>
          <w:sz w:val="24"/>
          <w:szCs w:val="24"/>
          <w:lang w:val="en-GB"/>
        </w:rPr>
        <w:t xml:space="preserve"> </w:t>
      </w:r>
      <w:r w:rsidR="00BC2784" w:rsidRPr="00490346">
        <w:rPr>
          <w:rFonts w:ascii="Arial" w:hAnsi="Arial" w:cs="Arial"/>
          <w:sz w:val="24"/>
          <w:szCs w:val="24"/>
          <w:lang w:val="en-GB"/>
        </w:rPr>
        <w:t xml:space="preserve"> </w:t>
      </w:r>
      <w:r w:rsidR="00674C43" w:rsidRPr="00490346">
        <w:rPr>
          <w:rFonts w:ascii="Arial" w:hAnsi="Arial" w:cs="Arial"/>
          <w:sz w:val="24"/>
          <w:szCs w:val="24"/>
          <w:lang w:val="en-GB"/>
        </w:rPr>
        <w:t xml:space="preserve"> </w:t>
      </w:r>
    </w:p>
    <w:p w:rsidR="00332644" w:rsidRPr="007D0D3D" w:rsidRDefault="00332644" w:rsidP="00332644">
      <w:pPr>
        <w:spacing w:after="0" w:line="360" w:lineRule="auto"/>
        <w:jc w:val="both"/>
        <w:rPr>
          <w:rFonts w:ascii="Arial" w:hAnsi="Arial" w:cs="Arial"/>
          <w:sz w:val="24"/>
          <w:szCs w:val="24"/>
          <w:lang w:val="en-GB"/>
        </w:rPr>
      </w:pPr>
    </w:p>
    <w:p w:rsidR="002B0635" w:rsidRPr="00284CBC" w:rsidRDefault="00630603" w:rsidP="00630603">
      <w:pPr>
        <w:spacing w:after="0" w:line="360" w:lineRule="auto"/>
        <w:jc w:val="both"/>
        <w:rPr>
          <w:rFonts w:ascii="Arial" w:hAnsi="Arial" w:cs="Arial"/>
          <w:sz w:val="24"/>
          <w:szCs w:val="24"/>
          <w:lang w:val="en-GB"/>
        </w:rPr>
      </w:pPr>
      <w:r w:rsidRPr="00284CBC">
        <w:rPr>
          <w:rFonts w:ascii="Arial" w:hAnsi="Arial" w:cs="Arial"/>
          <w:sz w:val="24"/>
          <w:szCs w:val="24"/>
          <w:lang w:val="en-GB"/>
        </w:rPr>
        <w:t>[37]</w:t>
      </w:r>
      <w:r w:rsidRPr="00284CBC">
        <w:rPr>
          <w:rFonts w:ascii="Arial" w:hAnsi="Arial" w:cs="Arial"/>
          <w:sz w:val="24"/>
          <w:szCs w:val="24"/>
          <w:lang w:val="en-GB"/>
        </w:rPr>
        <w:tab/>
      </w:r>
      <w:r w:rsidR="006F0C97" w:rsidRPr="00284CBC">
        <w:rPr>
          <w:rFonts w:ascii="Arial" w:hAnsi="Arial" w:cs="Arial"/>
          <w:sz w:val="24"/>
          <w:szCs w:val="24"/>
          <w:lang w:val="en-GB"/>
        </w:rPr>
        <w:t xml:space="preserve">Where the challenge to authority is </w:t>
      </w:r>
      <w:r w:rsidR="005C6F6B">
        <w:rPr>
          <w:rFonts w:ascii="Arial" w:hAnsi="Arial" w:cs="Arial"/>
          <w:sz w:val="24"/>
          <w:szCs w:val="24"/>
          <w:lang w:val="en-GB"/>
        </w:rPr>
        <w:t>in the nature of a technical objection,</w:t>
      </w:r>
      <w:r w:rsidR="006F0C97" w:rsidRPr="00284CBC">
        <w:rPr>
          <w:rFonts w:ascii="Arial" w:hAnsi="Arial" w:cs="Arial"/>
          <w:sz w:val="24"/>
          <w:szCs w:val="24"/>
          <w:lang w:val="en-GB"/>
        </w:rPr>
        <w:t xml:space="preserve"> it can usually be easily addressed by the production of a power of attorney or a company resolution. Where</w:t>
      </w:r>
      <w:r w:rsidR="00B66A20">
        <w:rPr>
          <w:rFonts w:ascii="Arial" w:hAnsi="Arial" w:cs="Arial"/>
          <w:sz w:val="24"/>
          <w:szCs w:val="24"/>
          <w:lang w:val="en-GB"/>
        </w:rPr>
        <w:t xml:space="preserve"> however</w:t>
      </w:r>
      <w:r w:rsidR="006F0C97" w:rsidRPr="00284CBC">
        <w:rPr>
          <w:rFonts w:ascii="Arial" w:hAnsi="Arial" w:cs="Arial"/>
          <w:sz w:val="24"/>
          <w:szCs w:val="24"/>
          <w:lang w:val="en-GB"/>
        </w:rPr>
        <w:t>, as here, the challenge is substantive, it will need to be motivated and met on affidavit, because it c</w:t>
      </w:r>
      <w:r w:rsidR="005C6F6B">
        <w:rPr>
          <w:rFonts w:ascii="Arial" w:hAnsi="Arial" w:cs="Arial"/>
          <w:sz w:val="24"/>
          <w:szCs w:val="24"/>
          <w:lang w:val="en-GB"/>
        </w:rPr>
        <w:t>an</w:t>
      </w:r>
      <w:r w:rsidR="006F0C97" w:rsidRPr="00284CBC">
        <w:rPr>
          <w:rFonts w:ascii="Arial" w:hAnsi="Arial" w:cs="Arial"/>
          <w:sz w:val="24"/>
          <w:szCs w:val="24"/>
          <w:lang w:val="en-GB"/>
        </w:rPr>
        <w:t>not, by its nature, be refuted ‘merely by the filing of an unsworn piece of paper’.</w:t>
      </w:r>
      <w:r w:rsidR="006F0C97" w:rsidRPr="00ED29C2">
        <w:rPr>
          <w:rStyle w:val="FootnoteReference"/>
          <w:rFonts w:ascii="Arial" w:hAnsi="Arial" w:cs="Arial"/>
          <w:sz w:val="24"/>
          <w:szCs w:val="24"/>
          <w:lang w:val="en-GB"/>
        </w:rPr>
        <w:footnoteReference w:id="16"/>
      </w:r>
      <w:r w:rsidR="006F0C97" w:rsidRPr="00284CBC">
        <w:rPr>
          <w:rFonts w:ascii="Arial" w:hAnsi="Arial" w:cs="Arial"/>
          <w:sz w:val="24"/>
          <w:szCs w:val="24"/>
          <w:lang w:val="en-GB"/>
        </w:rPr>
        <w:t xml:space="preserve"> Th</w:t>
      </w:r>
      <w:r w:rsidR="00B66A20">
        <w:rPr>
          <w:rFonts w:ascii="Arial" w:hAnsi="Arial" w:cs="Arial"/>
          <w:sz w:val="24"/>
          <w:szCs w:val="24"/>
          <w:lang w:val="en-GB"/>
        </w:rPr>
        <w:t xml:space="preserve">e requirement that even such challenges be </w:t>
      </w:r>
      <w:r w:rsidR="00243AFA">
        <w:rPr>
          <w:rFonts w:ascii="Arial" w:hAnsi="Arial" w:cs="Arial"/>
          <w:sz w:val="24"/>
          <w:szCs w:val="24"/>
          <w:lang w:val="en-GB"/>
        </w:rPr>
        <w:t>pursued</w:t>
      </w:r>
      <w:r w:rsidR="00B66A20">
        <w:rPr>
          <w:rFonts w:ascii="Arial" w:hAnsi="Arial" w:cs="Arial"/>
          <w:sz w:val="24"/>
          <w:szCs w:val="24"/>
          <w:lang w:val="en-GB"/>
        </w:rPr>
        <w:t xml:space="preserve"> outside of the application in respect of which they are raised </w:t>
      </w:r>
      <w:r w:rsidR="006F0C97" w:rsidRPr="00284CBC">
        <w:rPr>
          <w:rFonts w:ascii="Arial" w:hAnsi="Arial" w:cs="Arial"/>
          <w:sz w:val="24"/>
          <w:szCs w:val="24"/>
          <w:lang w:val="en-GB"/>
        </w:rPr>
        <w:t xml:space="preserve">will </w:t>
      </w:r>
      <w:r w:rsidR="005C6F6B">
        <w:rPr>
          <w:rFonts w:ascii="Arial" w:hAnsi="Arial" w:cs="Arial"/>
          <w:sz w:val="24"/>
          <w:szCs w:val="24"/>
          <w:lang w:val="en-GB"/>
        </w:rPr>
        <w:t>almost inevitably</w:t>
      </w:r>
      <w:r w:rsidR="005E0531" w:rsidRPr="00284CBC">
        <w:rPr>
          <w:rFonts w:ascii="Arial" w:hAnsi="Arial" w:cs="Arial"/>
          <w:sz w:val="24"/>
          <w:szCs w:val="24"/>
          <w:lang w:val="en-GB"/>
        </w:rPr>
        <w:t xml:space="preserve"> </w:t>
      </w:r>
      <w:r w:rsidR="006F0C97" w:rsidRPr="00284CBC">
        <w:rPr>
          <w:rFonts w:ascii="Arial" w:hAnsi="Arial" w:cs="Arial"/>
          <w:sz w:val="24"/>
          <w:szCs w:val="24"/>
          <w:lang w:val="en-GB"/>
        </w:rPr>
        <w:t xml:space="preserve">lead to </w:t>
      </w:r>
      <w:r w:rsidR="005E0531" w:rsidRPr="00284CBC">
        <w:rPr>
          <w:rFonts w:ascii="Arial" w:hAnsi="Arial" w:cs="Arial"/>
          <w:sz w:val="24"/>
          <w:szCs w:val="24"/>
          <w:lang w:val="en-GB"/>
        </w:rPr>
        <w:t>two sets of opposed proceedings</w:t>
      </w:r>
      <w:r w:rsidR="005C6F6B">
        <w:rPr>
          <w:rFonts w:ascii="Arial" w:hAnsi="Arial" w:cs="Arial"/>
          <w:sz w:val="24"/>
          <w:szCs w:val="24"/>
          <w:lang w:val="en-GB"/>
        </w:rPr>
        <w:t>,</w:t>
      </w:r>
      <w:r w:rsidR="005E0531">
        <w:rPr>
          <w:rStyle w:val="FootnoteReference"/>
          <w:rFonts w:ascii="Arial" w:hAnsi="Arial" w:cs="Arial"/>
          <w:sz w:val="24"/>
          <w:szCs w:val="24"/>
          <w:lang w:val="en-GB"/>
        </w:rPr>
        <w:footnoteReference w:id="17"/>
      </w:r>
      <w:r w:rsidR="005C6F6B">
        <w:rPr>
          <w:rFonts w:ascii="Arial" w:hAnsi="Arial" w:cs="Arial"/>
          <w:sz w:val="24"/>
          <w:szCs w:val="24"/>
          <w:lang w:val="en-GB"/>
        </w:rPr>
        <w:t xml:space="preserve"> with the application </w:t>
      </w:r>
      <w:r w:rsidR="005E0531" w:rsidRPr="00284CBC">
        <w:rPr>
          <w:rFonts w:ascii="Arial" w:hAnsi="Arial" w:cs="Arial"/>
          <w:sz w:val="24"/>
          <w:szCs w:val="24"/>
          <w:lang w:val="en-GB"/>
        </w:rPr>
        <w:t>rel</w:t>
      </w:r>
      <w:r w:rsidR="00AD205B" w:rsidRPr="00284CBC">
        <w:rPr>
          <w:rFonts w:ascii="Arial" w:hAnsi="Arial" w:cs="Arial"/>
          <w:sz w:val="24"/>
          <w:szCs w:val="24"/>
          <w:lang w:val="en-GB"/>
        </w:rPr>
        <w:t>a</w:t>
      </w:r>
      <w:r w:rsidR="005E0531" w:rsidRPr="00284CBC">
        <w:rPr>
          <w:rFonts w:ascii="Arial" w:hAnsi="Arial" w:cs="Arial"/>
          <w:sz w:val="24"/>
          <w:szCs w:val="24"/>
          <w:lang w:val="en-GB"/>
        </w:rPr>
        <w:t xml:space="preserve">ting to authority </w:t>
      </w:r>
      <w:r w:rsidR="005C6F6B">
        <w:rPr>
          <w:rFonts w:ascii="Arial" w:hAnsi="Arial" w:cs="Arial"/>
          <w:sz w:val="24"/>
          <w:szCs w:val="24"/>
          <w:lang w:val="en-GB"/>
        </w:rPr>
        <w:t xml:space="preserve">needing </w:t>
      </w:r>
      <w:r w:rsidR="005E0531" w:rsidRPr="00284CBC">
        <w:rPr>
          <w:rFonts w:ascii="Arial" w:hAnsi="Arial" w:cs="Arial"/>
          <w:sz w:val="24"/>
          <w:szCs w:val="24"/>
          <w:lang w:val="en-GB"/>
        </w:rPr>
        <w:t xml:space="preserve"> to be </w:t>
      </w:r>
      <w:r w:rsidR="00AD205B" w:rsidRPr="00284CBC">
        <w:rPr>
          <w:rFonts w:ascii="Arial" w:hAnsi="Arial" w:cs="Arial"/>
          <w:sz w:val="24"/>
          <w:szCs w:val="24"/>
          <w:lang w:val="en-GB"/>
        </w:rPr>
        <w:t>finalised</w:t>
      </w:r>
      <w:r w:rsidR="005E0531" w:rsidRPr="00284CBC">
        <w:rPr>
          <w:rFonts w:ascii="Arial" w:hAnsi="Arial" w:cs="Arial"/>
          <w:sz w:val="24"/>
          <w:szCs w:val="24"/>
          <w:lang w:val="en-GB"/>
        </w:rPr>
        <w:t xml:space="preserve"> before the </w:t>
      </w:r>
      <w:r w:rsidR="005C6F6B">
        <w:rPr>
          <w:rFonts w:ascii="Arial" w:hAnsi="Arial" w:cs="Arial"/>
          <w:sz w:val="24"/>
          <w:szCs w:val="24"/>
          <w:lang w:val="en-GB"/>
        </w:rPr>
        <w:t>main application could</w:t>
      </w:r>
      <w:r w:rsidR="00B66A20">
        <w:rPr>
          <w:rFonts w:ascii="Arial" w:hAnsi="Arial" w:cs="Arial"/>
          <w:sz w:val="24"/>
          <w:szCs w:val="24"/>
          <w:lang w:val="en-GB"/>
        </w:rPr>
        <w:t xml:space="preserve"> proceed</w:t>
      </w:r>
      <w:r w:rsidR="005C6F6B">
        <w:rPr>
          <w:rFonts w:ascii="Arial" w:hAnsi="Arial" w:cs="Arial"/>
          <w:sz w:val="24"/>
          <w:szCs w:val="24"/>
          <w:lang w:val="en-GB"/>
        </w:rPr>
        <w:t>, with all the implications for costs and delay that entails.</w:t>
      </w:r>
      <w:r w:rsidR="00AD205B" w:rsidRPr="00284CBC">
        <w:rPr>
          <w:rFonts w:ascii="Arial" w:hAnsi="Arial" w:cs="Arial"/>
          <w:sz w:val="24"/>
          <w:szCs w:val="24"/>
          <w:lang w:val="en-GB"/>
        </w:rPr>
        <w:t xml:space="preserve"> </w:t>
      </w:r>
      <w:r w:rsidR="005E0531" w:rsidRPr="00284CBC">
        <w:rPr>
          <w:rFonts w:ascii="Arial" w:hAnsi="Arial" w:cs="Arial"/>
          <w:sz w:val="24"/>
          <w:szCs w:val="24"/>
          <w:lang w:val="en-GB"/>
        </w:rPr>
        <w:t xml:space="preserve">Be that as it may, there is no means of reading down the breadth of </w:t>
      </w:r>
      <w:r w:rsidR="00FF36D3">
        <w:rPr>
          <w:rFonts w:ascii="Arial" w:hAnsi="Arial" w:cs="Arial"/>
          <w:sz w:val="24"/>
          <w:szCs w:val="24"/>
          <w:lang w:val="en-GB"/>
        </w:rPr>
        <w:t xml:space="preserve">the clear language of </w:t>
      </w:r>
      <w:r w:rsidR="005E0531" w:rsidRPr="00284CBC">
        <w:rPr>
          <w:rFonts w:ascii="Arial" w:hAnsi="Arial" w:cs="Arial"/>
          <w:i/>
          <w:iCs/>
          <w:sz w:val="24"/>
          <w:szCs w:val="24"/>
          <w:lang w:val="en-GB"/>
        </w:rPr>
        <w:t>ANC Umvoti</w:t>
      </w:r>
      <w:r w:rsidR="005E0531" w:rsidRPr="00284CBC">
        <w:rPr>
          <w:rFonts w:ascii="Arial" w:hAnsi="Arial" w:cs="Arial"/>
          <w:sz w:val="24"/>
          <w:szCs w:val="24"/>
          <w:lang w:val="en-GB"/>
        </w:rPr>
        <w:t xml:space="preserve"> in this regard</w:t>
      </w:r>
      <w:r w:rsidR="00AD205B" w:rsidRPr="00284CBC">
        <w:rPr>
          <w:rFonts w:ascii="Arial" w:hAnsi="Arial" w:cs="Arial"/>
          <w:sz w:val="24"/>
          <w:szCs w:val="24"/>
          <w:lang w:val="en-GB"/>
        </w:rPr>
        <w:t>.</w:t>
      </w:r>
      <w:r w:rsidR="00674C43" w:rsidRPr="00284CBC">
        <w:rPr>
          <w:rFonts w:ascii="Arial" w:hAnsi="Arial" w:cs="Arial"/>
          <w:sz w:val="24"/>
          <w:szCs w:val="24"/>
          <w:lang w:val="en-GB"/>
        </w:rPr>
        <w:t xml:space="preserve"> </w:t>
      </w:r>
    </w:p>
    <w:p w:rsidR="0021685D" w:rsidRDefault="0021685D" w:rsidP="0021685D">
      <w:pPr>
        <w:pStyle w:val="ListParagraph"/>
        <w:rPr>
          <w:rFonts w:ascii="Arial" w:hAnsi="Arial" w:cs="Arial"/>
          <w:sz w:val="24"/>
          <w:szCs w:val="24"/>
          <w:lang w:val="en-GB"/>
        </w:rPr>
      </w:pPr>
    </w:p>
    <w:p w:rsidR="00B66A20" w:rsidRDefault="00630603" w:rsidP="00630603">
      <w:pPr>
        <w:spacing w:after="0" w:line="360" w:lineRule="auto"/>
        <w:jc w:val="both"/>
        <w:rPr>
          <w:rFonts w:ascii="Arial" w:hAnsi="Arial" w:cs="Arial"/>
          <w:sz w:val="24"/>
          <w:szCs w:val="24"/>
          <w:lang w:val="en-GB"/>
        </w:rPr>
      </w:pPr>
      <w:r>
        <w:rPr>
          <w:rFonts w:ascii="Arial" w:hAnsi="Arial" w:cs="Arial"/>
          <w:sz w:val="24"/>
          <w:szCs w:val="24"/>
          <w:lang w:val="en-GB"/>
        </w:rPr>
        <w:t>[38]</w:t>
      </w:r>
      <w:r>
        <w:rPr>
          <w:rFonts w:ascii="Arial" w:hAnsi="Arial" w:cs="Arial"/>
          <w:sz w:val="24"/>
          <w:szCs w:val="24"/>
          <w:lang w:val="en-GB"/>
        </w:rPr>
        <w:tab/>
      </w:r>
      <w:r w:rsidR="002F52AF" w:rsidRPr="0021685D">
        <w:rPr>
          <w:rFonts w:ascii="Arial" w:hAnsi="Arial" w:cs="Arial"/>
          <w:sz w:val="24"/>
          <w:szCs w:val="24"/>
          <w:lang w:val="en-GB"/>
        </w:rPr>
        <w:t>T</w:t>
      </w:r>
      <w:r w:rsidR="00DF1C00" w:rsidRPr="0021685D">
        <w:rPr>
          <w:rFonts w:ascii="Arial" w:hAnsi="Arial" w:cs="Arial"/>
          <w:sz w:val="24"/>
          <w:szCs w:val="24"/>
          <w:lang w:val="en-GB"/>
        </w:rPr>
        <w:t xml:space="preserve">he respondent </w:t>
      </w:r>
      <w:r w:rsidR="002F52AF" w:rsidRPr="0021685D">
        <w:rPr>
          <w:rFonts w:ascii="Arial" w:hAnsi="Arial" w:cs="Arial"/>
          <w:sz w:val="24"/>
          <w:szCs w:val="24"/>
          <w:lang w:val="en-GB"/>
        </w:rPr>
        <w:t xml:space="preserve">highlights </w:t>
      </w:r>
      <w:r w:rsidR="00DF1C00" w:rsidRPr="0021685D">
        <w:rPr>
          <w:rFonts w:ascii="Arial" w:hAnsi="Arial" w:cs="Arial"/>
          <w:sz w:val="24"/>
          <w:szCs w:val="24"/>
          <w:lang w:val="en-GB"/>
        </w:rPr>
        <w:t xml:space="preserve">that the challengers in </w:t>
      </w:r>
      <w:r w:rsidR="00DF1C00" w:rsidRPr="0021685D">
        <w:rPr>
          <w:rFonts w:ascii="Arial" w:hAnsi="Arial" w:cs="Arial"/>
          <w:i/>
          <w:iCs/>
          <w:sz w:val="24"/>
          <w:szCs w:val="24"/>
          <w:lang w:val="en-GB"/>
        </w:rPr>
        <w:t>ANC Umvoti</w:t>
      </w:r>
      <w:r w:rsidR="00DF1C00" w:rsidRPr="0021685D">
        <w:rPr>
          <w:rFonts w:ascii="Arial" w:hAnsi="Arial" w:cs="Arial"/>
          <w:sz w:val="24"/>
          <w:szCs w:val="24"/>
          <w:lang w:val="en-GB"/>
        </w:rPr>
        <w:t xml:space="preserve">  did not invoke rule 7 by name or by issuing a notice in terms of the rule</w:t>
      </w:r>
      <w:r w:rsidR="002F52AF" w:rsidRPr="0021685D">
        <w:rPr>
          <w:rFonts w:ascii="Arial" w:hAnsi="Arial" w:cs="Arial"/>
          <w:sz w:val="24"/>
          <w:szCs w:val="24"/>
          <w:lang w:val="en-GB"/>
        </w:rPr>
        <w:t>,</w:t>
      </w:r>
      <w:r w:rsidR="00DF1C00" w:rsidRPr="0021685D">
        <w:rPr>
          <w:rFonts w:ascii="Arial" w:hAnsi="Arial" w:cs="Arial"/>
          <w:sz w:val="24"/>
          <w:szCs w:val="24"/>
          <w:lang w:val="en-GB"/>
        </w:rPr>
        <w:t xml:space="preserve"> </w:t>
      </w:r>
      <w:r w:rsidR="00BD6AF4" w:rsidRPr="0021685D">
        <w:rPr>
          <w:rFonts w:ascii="Arial" w:hAnsi="Arial" w:cs="Arial"/>
          <w:sz w:val="24"/>
          <w:szCs w:val="24"/>
          <w:lang w:val="en-GB"/>
        </w:rPr>
        <w:t xml:space="preserve">whereas, in the present case, the </w:t>
      </w:r>
      <w:r w:rsidR="00BD6AF4" w:rsidRPr="0021685D">
        <w:rPr>
          <w:rFonts w:ascii="Arial" w:hAnsi="Arial" w:cs="Arial"/>
          <w:sz w:val="24"/>
          <w:szCs w:val="24"/>
          <w:lang w:val="en-GB"/>
        </w:rPr>
        <w:lastRenderedPageBreak/>
        <w:t xml:space="preserve">respondent specifically </w:t>
      </w:r>
      <w:r w:rsidR="002F52AF" w:rsidRPr="0021685D">
        <w:rPr>
          <w:rFonts w:ascii="Arial" w:hAnsi="Arial" w:cs="Arial"/>
          <w:sz w:val="24"/>
          <w:szCs w:val="24"/>
          <w:lang w:val="en-GB"/>
        </w:rPr>
        <w:t>re</w:t>
      </w:r>
      <w:r w:rsidR="005C6F6B">
        <w:rPr>
          <w:rFonts w:ascii="Arial" w:hAnsi="Arial" w:cs="Arial"/>
          <w:sz w:val="24"/>
          <w:szCs w:val="24"/>
          <w:lang w:val="en-GB"/>
        </w:rPr>
        <w:t>lied on</w:t>
      </w:r>
      <w:r w:rsidR="00BD6AF4" w:rsidRPr="0021685D">
        <w:rPr>
          <w:rFonts w:ascii="Arial" w:hAnsi="Arial" w:cs="Arial"/>
          <w:sz w:val="24"/>
          <w:szCs w:val="24"/>
          <w:lang w:val="en-GB"/>
        </w:rPr>
        <w:t xml:space="preserve"> rule 7 and laid an evidential basis for th</w:t>
      </w:r>
      <w:r w:rsidR="002F52AF" w:rsidRPr="0021685D">
        <w:rPr>
          <w:rFonts w:ascii="Arial" w:hAnsi="Arial" w:cs="Arial"/>
          <w:sz w:val="24"/>
          <w:szCs w:val="24"/>
          <w:lang w:val="en-GB"/>
        </w:rPr>
        <w:t>e authority</w:t>
      </w:r>
      <w:r w:rsidR="00BD6AF4" w:rsidRPr="0021685D">
        <w:rPr>
          <w:rFonts w:ascii="Arial" w:hAnsi="Arial" w:cs="Arial"/>
          <w:sz w:val="24"/>
          <w:szCs w:val="24"/>
          <w:lang w:val="en-GB"/>
        </w:rPr>
        <w:t xml:space="preserve"> challenge</w:t>
      </w:r>
      <w:r w:rsidR="005C6F6B" w:rsidRPr="005C6F6B">
        <w:rPr>
          <w:rFonts w:ascii="Arial" w:hAnsi="Arial" w:cs="Arial"/>
          <w:sz w:val="24"/>
          <w:szCs w:val="24"/>
          <w:lang w:val="en-GB"/>
        </w:rPr>
        <w:t xml:space="preserve"> </w:t>
      </w:r>
      <w:r w:rsidR="005C6F6B" w:rsidRPr="0021685D">
        <w:rPr>
          <w:rFonts w:ascii="Arial" w:hAnsi="Arial" w:cs="Arial"/>
          <w:sz w:val="24"/>
          <w:szCs w:val="24"/>
          <w:lang w:val="en-GB"/>
        </w:rPr>
        <w:t>in its answering affidavit</w:t>
      </w:r>
      <w:r w:rsidR="002F52AF" w:rsidRPr="0021685D">
        <w:rPr>
          <w:rFonts w:ascii="Arial" w:hAnsi="Arial" w:cs="Arial"/>
          <w:sz w:val="24"/>
          <w:szCs w:val="24"/>
          <w:lang w:val="en-GB"/>
        </w:rPr>
        <w:t xml:space="preserve">. Counsel submitted that this serves to make </w:t>
      </w:r>
      <w:r w:rsidR="002F52AF" w:rsidRPr="0021685D">
        <w:rPr>
          <w:rFonts w:ascii="Arial" w:hAnsi="Arial" w:cs="Arial"/>
          <w:i/>
          <w:iCs/>
          <w:sz w:val="24"/>
          <w:szCs w:val="24"/>
          <w:lang w:val="en-GB"/>
        </w:rPr>
        <w:t>ANC Umvoti</w:t>
      </w:r>
      <w:r w:rsidR="002F52AF" w:rsidRPr="0021685D">
        <w:rPr>
          <w:rFonts w:ascii="Arial" w:hAnsi="Arial" w:cs="Arial"/>
          <w:sz w:val="24"/>
          <w:szCs w:val="24"/>
          <w:lang w:val="en-GB"/>
        </w:rPr>
        <w:t xml:space="preserve"> distinguishable. </w:t>
      </w:r>
    </w:p>
    <w:p w:rsidR="00B66A20" w:rsidRDefault="00B66A20" w:rsidP="00B66A20">
      <w:pPr>
        <w:pStyle w:val="ListParagraph"/>
        <w:rPr>
          <w:rFonts w:ascii="Arial" w:hAnsi="Arial" w:cs="Arial"/>
          <w:sz w:val="24"/>
          <w:szCs w:val="24"/>
          <w:lang w:val="en-GB"/>
        </w:rPr>
      </w:pPr>
    </w:p>
    <w:p w:rsidR="0021685D" w:rsidRPr="0000772B" w:rsidRDefault="00630603" w:rsidP="00630603">
      <w:pPr>
        <w:spacing w:after="0" w:line="360" w:lineRule="auto"/>
        <w:jc w:val="both"/>
        <w:rPr>
          <w:rFonts w:ascii="Arial" w:hAnsi="Arial" w:cs="Arial"/>
          <w:sz w:val="24"/>
          <w:szCs w:val="24"/>
          <w:lang w:val="en-GB"/>
        </w:rPr>
      </w:pPr>
      <w:r w:rsidRPr="0000772B">
        <w:rPr>
          <w:rFonts w:ascii="Arial" w:hAnsi="Arial" w:cs="Arial"/>
          <w:sz w:val="24"/>
          <w:szCs w:val="24"/>
          <w:lang w:val="en-GB"/>
        </w:rPr>
        <w:t>[39]</w:t>
      </w:r>
      <w:r w:rsidRPr="0000772B">
        <w:rPr>
          <w:rFonts w:ascii="Arial" w:hAnsi="Arial" w:cs="Arial"/>
          <w:sz w:val="24"/>
          <w:szCs w:val="24"/>
          <w:lang w:val="en-GB"/>
        </w:rPr>
        <w:tab/>
      </w:r>
      <w:r w:rsidR="002F52AF" w:rsidRPr="0021685D">
        <w:rPr>
          <w:rFonts w:ascii="Arial" w:hAnsi="Arial" w:cs="Arial"/>
          <w:sz w:val="24"/>
          <w:szCs w:val="24"/>
          <w:lang w:val="en-GB"/>
        </w:rPr>
        <w:t>It is so that rule 7 was not rel</w:t>
      </w:r>
      <w:r w:rsidR="00654762">
        <w:rPr>
          <w:rFonts w:ascii="Arial" w:hAnsi="Arial" w:cs="Arial"/>
          <w:sz w:val="24"/>
          <w:szCs w:val="24"/>
          <w:lang w:val="en-GB"/>
        </w:rPr>
        <w:t>ied</w:t>
      </w:r>
      <w:r w:rsidR="002F52AF" w:rsidRPr="0021685D">
        <w:rPr>
          <w:rFonts w:ascii="Arial" w:hAnsi="Arial" w:cs="Arial"/>
          <w:sz w:val="24"/>
          <w:szCs w:val="24"/>
          <w:lang w:val="en-GB"/>
        </w:rPr>
        <w:t xml:space="preserve"> on in </w:t>
      </w:r>
      <w:r w:rsidR="002F52AF" w:rsidRPr="0021685D">
        <w:rPr>
          <w:rFonts w:ascii="Arial" w:hAnsi="Arial" w:cs="Arial"/>
          <w:i/>
          <w:iCs/>
          <w:sz w:val="24"/>
          <w:szCs w:val="24"/>
          <w:lang w:val="en-GB"/>
        </w:rPr>
        <w:t>ANC Umvoti</w:t>
      </w:r>
      <w:r w:rsidR="002F52AF" w:rsidRPr="0021685D">
        <w:rPr>
          <w:rFonts w:ascii="Arial" w:hAnsi="Arial" w:cs="Arial"/>
          <w:sz w:val="24"/>
          <w:szCs w:val="24"/>
          <w:lang w:val="en-GB"/>
        </w:rPr>
        <w:t xml:space="preserve">, </w:t>
      </w:r>
      <w:r w:rsidR="002F52AF" w:rsidRPr="0000772B">
        <w:rPr>
          <w:rFonts w:ascii="Arial" w:hAnsi="Arial" w:cs="Arial"/>
          <w:sz w:val="24"/>
          <w:szCs w:val="24"/>
          <w:lang w:val="en-GB"/>
        </w:rPr>
        <w:t xml:space="preserve">but attempting to distinguish </w:t>
      </w:r>
      <w:r w:rsidR="003B4547" w:rsidRPr="0000772B">
        <w:rPr>
          <w:rFonts w:ascii="Arial" w:hAnsi="Arial" w:cs="Arial"/>
          <w:sz w:val="24"/>
          <w:szCs w:val="24"/>
          <w:lang w:val="en-GB"/>
        </w:rPr>
        <w:t xml:space="preserve">it </w:t>
      </w:r>
      <w:r w:rsidR="002F52AF" w:rsidRPr="0000772B">
        <w:rPr>
          <w:rFonts w:ascii="Arial" w:hAnsi="Arial" w:cs="Arial"/>
          <w:sz w:val="24"/>
          <w:szCs w:val="24"/>
          <w:lang w:val="en-GB"/>
        </w:rPr>
        <w:t xml:space="preserve">on that basis would be to put form above substance and ignore the gravamen of the judgment. </w:t>
      </w:r>
    </w:p>
    <w:p w:rsidR="0021685D" w:rsidRPr="0000772B" w:rsidRDefault="0021685D" w:rsidP="0000772B">
      <w:pPr>
        <w:rPr>
          <w:rFonts w:ascii="Arial" w:hAnsi="Arial" w:cs="Arial"/>
          <w:sz w:val="24"/>
          <w:szCs w:val="24"/>
          <w:lang w:val="en-GB"/>
        </w:rPr>
      </w:pPr>
    </w:p>
    <w:p w:rsidR="0021685D" w:rsidRPr="00B66A20" w:rsidRDefault="00630603" w:rsidP="00630603">
      <w:pPr>
        <w:spacing w:after="0" w:line="360" w:lineRule="auto"/>
        <w:jc w:val="both"/>
        <w:rPr>
          <w:rFonts w:ascii="Arial" w:hAnsi="Arial" w:cs="Arial"/>
          <w:sz w:val="24"/>
          <w:szCs w:val="24"/>
          <w:lang w:val="en-GB"/>
        </w:rPr>
      </w:pPr>
      <w:r w:rsidRPr="00B66A20">
        <w:rPr>
          <w:rFonts w:ascii="Arial" w:hAnsi="Arial" w:cs="Arial"/>
          <w:sz w:val="24"/>
          <w:szCs w:val="24"/>
          <w:lang w:val="en-GB"/>
        </w:rPr>
        <w:t>[40]</w:t>
      </w:r>
      <w:r w:rsidRPr="00B66A20">
        <w:rPr>
          <w:rFonts w:ascii="Arial" w:hAnsi="Arial" w:cs="Arial"/>
          <w:sz w:val="24"/>
          <w:szCs w:val="24"/>
          <w:lang w:val="en-GB"/>
        </w:rPr>
        <w:tab/>
      </w:r>
      <w:r w:rsidR="0000772B">
        <w:rPr>
          <w:rFonts w:ascii="Arial" w:hAnsi="Arial" w:cs="Arial"/>
          <w:sz w:val="24"/>
          <w:szCs w:val="24"/>
          <w:lang w:val="en-GB"/>
        </w:rPr>
        <w:t>I</w:t>
      </w:r>
      <w:r w:rsidR="000334DF">
        <w:rPr>
          <w:rFonts w:ascii="Arial" w:hAnsi="Arial" w:cs="Arial"/>
          <w:sz w:val="24"/>
          <w:szCs w:val="24"/>
          <w:lang w:val="en-GB"/>
        </w:rPr>
        <w:t xml:space="preserve">n </w:t>
      </w:r>
      <w:r w:rsidR="00FF2BE5" w:rsidRPr="0021685D">
        <w:rPr>
          <w:rFonts w:ascii="Arial" w:hAnsi="Arial" w:cs="Arial"/>
          <w:i/>
          <w:iCs/>
          <w:sz w:val="24"/>
          <w:szCs w:val="24"/>
          <w:lang w:val="en-GB"/>
        </w:rPr>
        <w:t>ANC Umvoti</w:t>
      </w:r>
      <w:r w:rsidR="00FF2BE5" w:rsidRPr="0021685D">
        <w:rPr>
          <w:rFonts w:ascii="Arial" w:hAnsi="Arial" w:cs="Arial"/>
          <w:sz w:val="24"/>
          <w:szCs w:val="24"/>
          <w:lang w:val="en-GB"/>
        </w:rPr>
        <w:t xml:space="preserve">, </w:t>
      </w:r>
      <w:r w:rsidR="00F70F19">
        <w:rPr>
          <w:rFonts w:ascii="Arial" w:hAnsi="Arial" w:cs="Arial"/>
          <w:sz w:val="24"/>
          <w:szCs w:val="24"/>
          <w:lang w:val="en-GB"/>
        </w:rPr>
        <w:t xml:space="preserve">the </w:t>
      </w:r>
      <w:r w:rsidR="00FF2BE5" w:rsidRPr="0021685D">
        <w:rPr>
          <w:rFonts w:ascii="Arial" w:hAnsi="Arial" w:cs="Arial"/>
          <w:sz w:val="24"/>
          <w:szCs w:val="24"/>
          <w:lang w:val="en-GB"/>
        </w:rPr>
        <w:t>appellants</w:t>
      </w:r>
      <w:r w:rsidR="007979D1" w:rsidRPr="0021685D">
        <w:rPr>
          <w:rFonts w:ascii="Arial" w:hAnsi="Arial" w:cs="Arial"/>
          <w:sz w:val="24"/>
          <w:szCs w:val="24"/>
          <w:lang w:val="en-GB"/>
        </w:rPr>
        <w:t xml:space="preserve"> </w:t>
      </w:r>
      <w:r w:rsidR="00F70F19">
        <w:rPr>
          <w:rFonts w:ascii="Arial" w:hAnsi="Arial" w:cs="Arial"/>
          <w:sz w:val="24"/>
          <w:szCs w:val="24"/>
          <w:lang w:val="en-GB"/>
        </w:rPr>
        <w:t>asserted that they had an election whether to employ rule 7. They had not done so</w:t>
      </w:r>
      <w:r w:rsidR="00F70F19" w:rsidRPr="00ED29C2">
        <w:rPr>
          <w:rStyle w:val="FootnoteReference"/>
          <w:rFonts w:ascii="Arial" w:hAnsi="Arial" w:cs="Arial"/>
          <w:sz w:val="24"/>
          <w:szCs w:val="24"/>
          <w:lang w:val="en-GB"/>
        </w:rPr>
        <w:footnoteReference w:id="18"/>
      </w:r>
      <w:r w:rsidR="00F70F19">
        <w:rPr>
          <w:rFonts w:ascii="Arial" w:hAnsi="Arial" w:cs="Arial"/>
          <w:sz w:val="24"/>
          <w:szCs w:val="24"/>
          <w:lang w:val="en-GB"/>
        </w:rPr>
        <w:t xml:space="preserve"> and </w:t>
      </w:r>
      <w:r w:rsidR="007979D1" w:rsidRPr="0021685D">
        <w:rPr>
          <w:rFonts w:ascii="Arial" w:hAnsi="Arial" w:cs="Arial"/>
          <w:sz w:val="24"/>
          <w:szCs w:val="24"/>
          <w:lang w:val="en-GB"/>
        </w:rPr>
        <w:t xml:space="preserve">sought </w:t>
      </w:r>
      <w:r w:rsidR="00F70F19">
        <w:rPr>
          <w:rFonts w:ascii="Arial" w:hAnsi="Arial" w:cs="Arial"/>
          <w:sz w:val="24"/>
          <w:szCs w:val="24"/>
          <w:lang w:val="en-GB"/>
        </w:rPr>
        <w:t xml:space="preserve">instead </w:t>
      </w:r>
      <w:r w:rsidR="007979D1" w:rsidRPr="0021685D">
        <w:rPr>
          <w:rFonts w:ascii="Arial" w:hAnsi="Arial" w:cs="Arial"/>
          <w:sz w:val="24"/>
          <w:szCs w:val="24"/>
          <w:lang w:val="en-GB"/>
        </w:rPr>
        <w:t xml:space="preserve">to </w:t>
      </w:r>
      <w:r w:rsidR="00B66A20">
        <w:rPr>
          <w:rFonts w:ascii="Arial" w:hAnsi="Arial" w:cs="Arial"/>
          <w:sz w:val="24"/>
          <w:szCs w:val="24"/>
          <w:lang w:val="en-GB"/>
        </w:rPr>
        <w:t xml:space="preserve">challenge the authority of the respondent to institute proceedings in the court below </w:t>
      </w:r>
      <w:r w:rsidR="007979D1" w:rsidRPr="0021685D">
        <w:rPr>
          <w:rFonts w:ascii="Arial" w:hAnsi="Arial" w:cs="Arial"/>
          <w:sz w:val="24"/>
          <w:szCs w:val="24"/>
          <w:lang w:val="en-GB"/>
        </w:rPr>
        <w:t xml:space="preserve">on the </w:t>
      </w:r>
      <w:r w:rsidR="00B66A20" w:rsidRPr="007D1052">
        <w:rPr>
          <w:rFonts w:ascii="Arial" w:hAnsi="Arial" w:cs="Arial"/>
          <w:i/>
          <w:iCs/>
          <w:sz w:val="24"/>
          <w:szCs w:val="24"/>
        </w:rPr>
        <w:t>Merino Ko-operasie</w:t>
      </w:r>
      <w:r w:rsidR="00B66A20">
        <w:rPr>
          <w:rFonts w:ascii="Arial" w:hAnsi="Arial" w:cs="Arial"/>
          <w:sz w:val="24"/>
          <w:szCs w:val="24"/>
        </w:rPr>
        <w:t xml:space="preserve"> and </w:t>
      </w:r>
      <w:r w:rsidR="00B66A20" w:rsidRPr="00B66A20">
        <w:rPr>
          <w:rFonts w:ascii="Arial" w:hAnsi="Arial" w:cs="Arial"/>
          <w:i/>
          <w:iCs/>
          <w:sz w:val="24"/>
          <w:szCs w:val="24"/>
        </w:rPr>
        <w:t>De Klerk</w:t>
      </w:r>
      <w:r w:rsidR="00B66A20">
        <w:rPr>
          <w:rFonts w:ascii="Arial" w:hAnsi="Arial" w:cs="Arial"/>
          <w:sz w:val="24"/>
          <w:szCs w:val="24"/>
        </w:rPr>
        <w:t xml:space="preserve"> line</w:t>
      </w:r>
      <w:r w:rsidR="000334DF">
        <w:rPr>
          <w:rFonts w:ascii="Arial" w:hAnsi="Arial" w:cs="Arial"/>
          <w:sz w:val="24"/>
          <w:szCs w:val="24"/>
        </w:rPr>
        <w:t>s</w:t>
      </w:r>
      <w:r w:rsidR="00B66A20">
        <w:rPr>
          <w:rFonts w:ascii="Arial" w:hAnsi="Arial" w:cs="Arial"/>
          <w:sz w:val="24"/>
          <w:szCs w:val="24"/>
        </w:rPr>
        <w:t xml:space="preserve"> of </w:t>
      </w:r>
      <w:r w:rsidR="00B66A20" w:rsidRPr="00067EEE">
        <w:rPr>
          <w:rFonts w:ascii="Arial" w:hAnsi="Arial" w:cs="Arial"/>
          <w:sz w:val="24"/>
          <w:szCs w:val="24"/>
        </w:rPr>
        <w:t>authority</w:t>
      </w:r>
      <w:r w:rsidR="00B66A20" w:rsidRPr="00067EEE">
        <w:rPr>
          <w:rFonts w:ascii="Arial" w:hAnsi="Arial" w:cs="Arial"/>
          <w:sz w:val="24"/>
          <w:szCs w:val="24"/>
          <w:lang w:val="en-GB"/>
        </w:rPr>
        <w:t xml:space="preserve"> </w:t>
      </w:r>
      <w:r w:rsidR="00BD6AF4" w:rsidRPr="00067EEE">
        <w:rPr>
          <w:rFonts w:ascii="Arial" w:hAnsi="Arial" w:cs="Arial"/>
          <w:sz w:val="24"/>
          <w:szCs w:val="24"/>
          <w:lang w:val="en-GB"/>
        </w:rPr>
        <w:t>discussed in paragraph</w:t>
      </w:r>
      <w:r w:rsidR="00F70F19" w:rsidRPr="00067EEE">
        <w:rPr>
          <w:rFonts w:ascii="Arial" w:hAnsi="Arial" w:cs="Arial"/>
          <w:sz w:val="24"/>
          <w:szCs w:val="24"/>
          <w:lang w:val="en-GB"/>
        </w:rPr>
        <w:t>s</w:t>
      </w:r>
      <w:r w:rsidR="00BD6AF4" w:rsidRPr="00067EEE">
        <w:rPr>
          <w:rFonts w:ascii="Arial" w:hAnsi="Arial" w:cs="Arial"/>
          <w:sz w:val="24"/>
          <w:szCs w:val="24"/>
          <w:lang w:val="en-GB"/>
        </w:rPr>
        <w:t xml:space="preserve"> [</w:t>
      </w:r>
      <w:r w:rsidR="00F70F19" w:rsidRPr="00067EEE">
        <w:rPr>
          <w:rFonts w:ascii="Arial" w:hAnsi="Arial" w:cs="Arial"/>
          <w:sz w:val="24"/>
          <w:szCs w:val="24"/>
          <w:lang w:val="en-GB"/>
        </w:rPr>
        <w:t>3</w:t>
      </w:r>
      <w:r w:rsidR="0003728E">
        <w:rPr>
          <w:rFonts w:ascii="Arial" w:hAnsi="Arial" w:cs="Arial"/>
          <w:sz w:val="24"/>
          <w:szCs w:val="24"/>
          <w:lang w:val="en-GB"/>
        </w:rPr>
        <w:t>0</w:t>
      </w:r>
      <w:r w:rsidR="00BD6AF4" w:rsidRPr="00067EEE">
        <w:rPr>
          <w:rFonts w:ascii="Arial" w:hAnsi="Arial" w:cs="Arial"/>
          <w:sz w:val="24"/>
          <w:szCs w:val="24"/>
          <w:lang w:val="en-GB"/>
        </w:rPr>
        <w:t xml:space="preserve">] </w:t>
      </w:r>
      <w:r w:rsidR="00F70F19" w:rsidRPr="00067EEE">
        <w:rPr>
          <w:rFonts w:ascii="Arial" w:hAnsi="Arial" w:cs="Arial"/>
          <w:sz w:val="24"/>
          <w:szCs w:val="24"/>
          <w:lang w:val="en-GB"/>
        </w:rPr>
        <w:t>and [3</w:t>
      </w:r>
      <w:r w:rsidR="0003728E">
        <w:rPr>
          <w:rFonts w:ascii="Arial" w:hAnsi="Arial" w:cs="Arial"/>
          <w:sz w:val="24"/>
          <w:szCs w:val="24"/>
          <w:lang w:val="en-GB"/>
        </w:rPr>
        <w:t>1</w:t>
      </w:r>
      <w:r w:rsidR="00F70F19" w:rsidRPr="00067EEE">
        <w:rPr>
          <w:rFonts w:ascii="Arial" w:hAnsi="Arial" w:cs="Arial"/>
          <w:sz w:val="24"/>
          <w:szCs w:val="24"/>
          <w:lang w:val="en-GB"/>
        </w:rPr>
        <w:t xml:space="preserve">] </w:t>
      </w:r>
      <w:r w:rsidR="00BD6AF4" w:rsidRPr="00067EEE">
        <w:rPr>
          <w:rFonts w:ascii="Arial" w:hAnsi="Arial" w:cs="Arial"/>
          <w:sz w:val="24"/>
          <w:szCs w:val="24"/>
          <w:lang w:val="en-GB"/>
        </w:rPr>
        <w:t>above</w:t>
      </w:r>
      <w:r w:rsidR="007979D1" w:rsidRPr="00B66A20">
        <w:rPr>
          <w:rFonts w:ascii="Arial" w:hAnsi="Arial" w:cs="Arial"/>
          <w:sz w:val="24"/>
          <w:szCs w:val="24"/>
          <w:lang w:val="en-GB"/>
        </w:rPr>
        <w:t>.</w:t>
      </w:r>
      <w:r w:rsidR="007979D1" w:rsidRPr="00ED29C2">
        <w:rPr>
          <w:rStyle w:val="FootnoteReference"/>
          <w:rFonts w:ascii="Arial" w:hAnsi="Arial" w:cs="Arial"/>
          <w:sz w:val="24"/>
          <w:szCs w:val="24"/>
          <w:lang w:val="en-GB"/>
        </w:rPr>
        <w:footnoteReference w:id="19"/>
      </w:r>
      <w:r w:rsidR="007979D1" w:rsidRPr="00B66A20">
        <w:rPr>
          <w:rFonts w:ascii="Arial" w:hAnsi="Arial" w:cs="Arial"/>
          <w:sz w:val="24"/>
          <w:szCs w:val="24"/>
          <w:lang w:val="en-GB"/>
        </w:rPr>
        <w:t xml:space="preserve"> </w:t>
      </w:r>
      <w:r w:rsidR="00674C43" w:rsidRPr="00B66A20">
        <w:rPr>
          <w:rFonts w:ascii="Arial" w:hAnsi="Arial" w:cs="Arial"/>
          <w:sz w:val="24"/>
          <w:szCs w:val="24"/>
          <w:lang w:val="en-GB"/>
        </w:rPr>
        <w:t xml:space="preserve"> </w:t>
      </w:r>
    </w:p>
    <w:p w:rsidR="000334DF" w:rsidRPr="00502A5C" w:rsidRDefault="000334DF" w:rsidP="00502A5C">
      <w:pPr>
        <w:rPr>
          <w:rFonts w:ascii="Arial" w:hAnsi="Arial" w:cs="Arial"/>
          <w:sz w:val="24"/>
          <w:szCs w:val="24"/>
          <w:lang w:val="en-GB"/>
        </w:rPr>
      </w:pPr>
    </w:p>
    <w:p w:rsidR="007D0D3D" w:rsidRPr="007D0D3D" w:rsidRDefault="00630603" w:rsidP="00630603">
      <w:pPr>
        <w:spacing w:after="0" w:line="360" w:lineRule="auto"/>
        <w:jc w:val="both"/>
        <w:rPr>
          <w:rFonts w:ascii="Arial" w:hAnsi="Arial" w:cs="Arial"/>
          <w:sz w:val="24"/>
          <w:szCs w:val="24"/>
          <w:lang w:val="en-GB"/>
        </w:rPr>
      </w:pPr>
      <w:r w:rsidRPr="007D0D3D">
        <w:rPr>
          <w:rFonts w:ascii="Arial" w:hAnsi="Arial" w:cs="Arial"/>
          <w:sz w:val="24"/>
          <w:szCs w:val="24"/>
          <w:lang w:val="en-GB"/>
        </w:rPr>
        <w:t>[41]</w:t>
      </w:r>
      <w:r w:rsidRPr="007D0D3D">
        <w:rPr>
          <w:rFonts w:ascii="Arial" w:hAnsi="Arial" w:cs="Arial"/>
          <w:sz w:val="24"/>
          <w:szCs w:val="24"/>
          <w:lang w:val="en-GB"/>
        </w:rPr>
        <w:tab/>
      </w:r>
      <w:r w:rsidR="000334DF">
        <w:rPr>
          <w:rFonts w:ascii="Arial" w:hAnsi="Arial" w:cs="Arial"/>
          <w:sz w:val="24"/>
          <w:szCs w:val="24"/>
          <w:lang w:val="en-GB"/>
        </w:rPr>
        <w:t>The substantive authority challenge i</w:t>
      </w:r>
      <w:r w:rsidR="003B4547" w:rsidRPr="00B349D3">
        <w:rPr>
          <w:rFonts w:ascii="Arial" w:hAnsi="Arial" w:cs="Arial"/>
          <w:sz w:val="24"/>
          <w:szCs w:val="24"/>
          <w:lang w:val="en-GB"/>
        </w:rPr>
        <w:t xml:space="preserve">n </w:t>
      </w:r>
      <w:r w:rsidR="003B4547" w:rsidRPr="00B349D3">
        <w:rPr>
          <w:rFonts w:ascii="Arial" w:hAnsi="Arial" w:cs="Arial"/>
          <w:i/>
          <w:iCs/>
          <w:sz w:val="24"/>
          <w:szCs w:val="24"/>
          <w:lang w:val="en-GB"/>
        </w:rPr>
        <w:t>De Klerk</w:t>
      </w:r>
      <w:r w:rsidR="000334DF">
        <w:rPr>
          <w:rFonts w:ascii="Arial" w:hAnsi="Arial" w:cs="Arial"/>
          <w:i/>
          <w:iCs/>
          <w:sz w:val="24"/>
          <w:szCs w:val="24"/>
          <w:lang w:val="en-GB"/>
        </w:rPr>
        <w:t xml:space="preserve"> </w:t>
      </w:r>
      <w:r w:rsidR="000334DF">
        <w:rPr>
          <w:rFonts w:ascii="Arial" w:hAnsi="Arial" w:cs="Arial"/>
          <w:sz w:val="24"/>
          <w:szCs w:val="24"/>
          <w:lang w:val="en-GB"/>
        </w:rPr>
        <w:t xml:space="preserve">was raised </w:t>
      </w:r>
      <w:r w:rsidR="003B4547" w:rsidRPr="00B349D3">
        <w:rPr>
          <w:rFonts w:ascii="Arial" w:hAnsi="Arial" w:cs="Arial"/>
          <w:sz w:val="24"/>
          <w:szCs w:val="24"/>
          <w:lang w:val="en-GB"/>
        </w:rPr>
        <w:t>in the answering affidavit. Jansen J rejected the argument that this was impermissible a</w:t>
      </w:r>
      <w:r w:rsidR="00502A5C">
        <w:rPr>
          <w:rFonts w:ascii="Arial" w:hAnsi="Arial" w:cs="Arial"/>
          <w:sz w:val="24"/>
          <w:szCs w:val="24"/>
          <w:lang w:val="en-GB"/>
        </w:rPr>
        <w:t>s</w:t>
      </w:r>
      <w:r w:rsidR="000334DF">
        <w:rPr>
          <w:rFonts w:ascii="Arial" w:hAnsi="Arial" w:cs="Arial"/>
          <w:sz w:val="24"/>
          <w:szCs w:val="24"/>
          <w:lang w:val="en-GB"/>
        </w:rPr>
        <w:t xml:space="preserve"> rule 7 had to be employed and upheld the challenge on the evidence.</w:t>
      </w:r>
      <w:r w:rsidR="00502A5C" w:rsidRPr="00502A5C">
        <w:rPr>
          <w:rFonts w:ascii="Arial" w:hAnsi="Arial" w:cs="Arial"/>
          <w:i/>
          <w:iCs/>
          <w:sz w:val="24"/>
          <w:szCs w:val="24"/>
          <w:lang w:val="en-GB"/>
        </w:rPr>
        <w:t xml:space="preserve"> </w:t>
      </w:r>
      <w:r w:rsidR="00502A5C" w:rsidRPr="00B349D3">
        <w:rPr>
          <w:rFonts w:ascii="Arial" w:hAnsi="Arial" w:cs="Arial"/>
          <w:i/>
          <w:iCs/>
          <w:sz w:val="24"/>
          <w:szCs w:val="24"/>
          <w:lang w:val="en-GB"/>
        </w:rPr>
        <w:t>ANC Umvoti</w:t>
      </w:r>
      <w:r w:rsidR="00502A5C" w:rsidRPr="00B349D3">
        <w:rPr>
          <w:rFonts w:ascii="Arial" w:hAnsi="Arial" w:cs="Arial"/>
          <w:sz w:val="24"/>
          <w:szCs w:val="24"/>
          <w:lang w:val="en-GB"/>
        </w:rPr>
        <w:t xml:space="preserve"> held that the legal position </w:t>
      </w:r>
      <w:r w:rsidR="00502A5C">
        <w:rPr>
          <w:rFonts w:ascii="Arial" w:hAnsi="Arial" w:cs="Arial"/>
          <w:sz w:val="24"/>
          <w:szCs w:val="24"/>
          <w:lang w:val="en-GB"/>
        </w:rPr>
        <w:t xml:space="preserve">articulated in </w:t>
      </w:r>
      <w:r w:rsidR="00502A5C" w:rsidRPr="00B349D3">
        <w:rPr>
          <w:rFonts w:ascii="Arial" w:hAnsi="Arial" w:cs="Arial"/>
          <w:i/>
          <w:iCs/>
          <w:sz w:val="24"/>
          <w:szCs w:val="24"/>
          <w:lang w:val="en-GB"/>
        </w:rPr>
        <w:t>Merino Ko-Operasie</w:t>
      </w:r>
      <w:r w:rsidR="00502A5C" w:rsidRPr="00B349D3">
        <w:rPr>
          <w:rFonts w:ascii="Arial" w:hAnsi="Arial" w:cs="Arial"/>
          <w:sz w:val="24"/>
          <w:szCs w:val="24"/>
          <w:lang w:val="en-GB"/>
        </w:rPr>
        <w:t xml:space="preserve"> had changed with the amendment of the rule and </w:t>
      </w:r>
      <w:r w:rsidR="00F70F19">
        <w:rPr>
          <w:rFonts w:ascii="Arial" w:hAnsi="Arial" w:cs="Arial"/>
          <w:sz w:val="24"/>
          <w:szCs w:val="24"/>
          <w:lang w:val="en-GB"/>
        </w:rPr>
        <w:t xml:space="preserve">doubted the correctness of </w:t>
      </w:r>
      <w:r w:rsidR="00502A5C" w:rsidRPr="00B349D3">
        <w:rPr>
          <w:rFonts w:ascii="Arial" w:hAnsi="Arial" w:cs="Arial"/>
          <w:i/>
          <w:iCs/>
          <w:sz w:val="24"/>
          <w:szCs w:val="24"/>
          <w:lang w:val="en-GB"/>
        </w:rPr>
        <w:t>De Klerk</w:t>
      </w:r>
      <w:r w:rsidR="00502A5C">
        <w:rPr>
          <w:rFonts w:ascii="Arial" w:hAnsi="Arial" w:cs="Arial"/>
          <w:sz w:val="24"/>
          <w:szCs w:val="24"/>
          <w:lang w:val="en-GB"/>
        </w:rPr>
        <w:t>.</w:t>
      </w:r>
      <w:r w:rsidR="00502A5C">
        <w:rPr>
          <w:rStyle w:val="FootnoteReference"/>
          <w:rFonts w:ascii="Arial" w:hAnsi="Arial" w:cs="Arial"/>
          <w:sz w:val="24"/>
          <w:szCs w:val="24"/>
          <w:lang w:val="en-GB"/>
        </w:rPr>
        <w:footnoteReference w:id="20"/>
      </w:r>
      <w:r w:rsidR="00502A5C">
        <w:rPr>
          <w:rFonts w:ascii="Arial" w:hAnsi="Arial" w:cs="Arial"/>
          <w:sz w:val="24"/>
          <w:szCs w:val="24"/>
          <w:lang w:val="en-GB"/>
        </w:rPr>
        <w:t xml:space="preserve"> This was the basis on which the full court held </w:t>
      </w:r>
      <w:r w:rsidR="00502A5C" w:rsidRPr="00B349D3">
        <w:rPr>
          <w:rFonts w:ascii="Arial" w:hAnsi="Arial" w:cs="Arial"/>
          <w:sz w:val="24"/>
          <w:szCs w:val="24"/>
          <w:lang w:val="en-GB"/>
        </w:rPr>
        <w:t>that authority need not be proved on the papers and that ‘whether or not the litigation has been properly authorised by the artificial person named as the litigant should not be dealt with by means of evidence lead in the application</w:t>
      </w:r>
      <w:r w:rsidR="00502A5C">
        <w:rPr>
          <w:rFonts w:ascii="Arial" w:hAnsi="Arial" w:cs="Arial"/>
          <w:sz w:val="24"/>
          <w:szCs w:val="24"/>
          <w:lang w:val="en-GB"/>
        </w:rPr>
        <w:t>.</w:t>
      </w:r>
      <w:r w:rsidR="00502A5C" w:rsidRPr="00B349D3">
        <w:rPr>
          <w:rFonts w:ascii="Arial" w:hAnsi="Arial" w:cs="Arial"/>
          <w:sz w:val="24"/>
          <w:szCs w:val="24"/>
          <w:lang w:val="en-GB"/>
        </w:rPr>
        <w:t>’</w:t>
      </w:r>
      <w:r w:rsidR="00F70F19">
        <w:rPr>
          <w:rStyle w:val="FootnoteReference"/>
          <w:rFonts w:ascii="Arial" w:hAnsi="Arial" w:cs="Arial"/>
          <w:sz w:val="24"/>
          <w:szCs w:val="24"/>
          <w:lang w:val="en-GB"/>
        </w:rPr>
        <w:footnoteReference w:id="21"/>
      </w:r>
    </w:p>
    <w:p w:rsidR="007D0D3D" w:rsidRDefault="007D0D3D" w:rsidP="007D0D3D">
      <w:pPr>
        <w:pStyle w:val="ListParagraph"/>
        <w:rPr>
          <w:rFonts w:ascii="Arial" w:hAnsi="Arial" w:cs="Arial"/>
          <w:sz w:val="24"/>
          <w:szCs w:val="24"/>
          <w:lang w:val="en-GB"/>
        </w:rPr>
      </w:pPr>
    </w:p>
    <w:p w:rsidR="0021685D" w:rsidRDefault="00630603" w:rsidP="00630603">
      <w:pPr>
        <w:spacing w:after="0" w:line="360" w:lineRule="auto"/>
        <w:jc w:val="both"/>
        <w:rPr>
          <w:rFonts w:ascii="Arial" w:hAnsi="Arial" w:cs="Arial"/>
          <w:sz w:val="24"/>
          <w:szCs w:val="24"/>
          <w:lang w:val="en-GB"/>
        </w:rPr>
      </w:pPr>
      <w:r>
        <w:rPr>
          <w:rFonts w:ascii="Arial" w:hAnsi="Arial" w:cs="Arial"/>
          <w:sz w:val="24"/>
          <w:szCs w:val="24"/>
          <w:lang w:val="en-GB"/>
        </w:rPr>
        <w:t>[42]</w:t>
      </w:r>
      <w:r>
        <w:rPr>
          <w:rFonts w:ascii="Arial" w:hAnsi="Arial" w:cs="Arial"/>
          <w:sz w:val="24"/>
          <w:szCs w:val="24"/>
          <w:lang w:val="en-GB"/>
        </w:rPr>
        <w:tab/>
      </w:r>
      <w:r w:rsidR="00502A5C" w:rsidRPr="00F70F19">
        <w:rPr>
          <w:rFonts w:ascii="Arial" w:hAnsi="Arial" w:cs="Arial"/>
          <w:sz w:val="24"/>
          <w:szCs w:val="24"/>
          <w:lang w:val="en-GB"/>
        </w:rPr>
        <w:t>T</w:t>
      </w:r>
      <w:r w:rsidR="008157A9" w:rsidRPr="00F70F19">
        <w:rPr>
          <w:rFonts w:ascii="Arial" w:hAnsi="Arial" w:cs="Arial"/>
          <w:sz w:val="24"/>
          <w:szCs w:val="24"/>
          <w:lang w:val="en-GB"/>
        </w:rPr>
        <w:t>hat finding</w:t>
      </w:r>
      <w:r w:rsidR="008157A9" w:rsidRPr="00B349D3">
        <w:rPr>
          <w:rFonts w:ascii="Arial" w:hAnsi="Arial" w:cs="Arial"/>
          <w:sz w:val="24"/>
          <w:szCs w:val="24"/>
          <w:lang w:val="en-GB"/>
        </w:rPr>
        <w:t xml:space="preserve"> </w:t>
      </w:r>
      <w:r w:rsidR="00502A5C">
        <w:rPr>
          <w:rFonts w:ascii="Arial" w:hAnsi="Arial" w:cs="Arial"/>
          <w:sz w:val="24"/>
          <w:szCs w:val="24"/>
          <w:lang w:val="en-GB"/>
        </w:rPr>
        <w:t xml:space="preserve">of the full court </w:t>
      </w:r>
      <w:r w:rsidR="008157A9" w:rsidRPr="00B349D3">
        <w:rPr>
          <w:rFonts w:ascii="Arial" w:hAnsi="Arial" w:cs="Arial"/>
          <w:sz w:val="24"/>
          <w:szCs w:val="24"/>
          <w:lang w:val="en-GB"/>
        </w:rPr>
        <w:t>also puts paid to the last basis upon which the respondent seeks to  sustain its authority challenge despite the form in which it has been mounted, which is that the rule itself does not prescribe a procedure by which such challenges must be made</w:t>
      </w:r>
      <w:r w:rsidR="00067EEE">
        <w:rPr>
          <w:rFonts w:ascii="Arial" w:hAnsi="Arial" w:cs="Arial"/>
          <w:sz w:val="24"/>
          <w:szCs w:val="24"/>
          <w:lang w:val="en-GB"/>
        </w:rPr>
        <w:t>.</w:t>
      </w:r>
      <w:r w:rsidR="007D0D3D" w:rsidRPr="00ED29C2">
        <w:rPr>
          <w:rStyle w:val="FootnoteReference"/>
          <w:rFonts w:ascii="Arial" w:hAnsi="Arial" w:cs="Arial"/>
          <w:sz w:val="24"/>
          <w:szCs w:val="24"/>
          <w:lang w:val="en-GB"/>
        </w:rPr>
        <w:footnoteReference w:id="22"/>
      </w:r>
      <w:r w:rsidR="00067EEE">
        <w:rPr>
          <w:rFonts w:ascii="Arial" w:hAnsi="Arial" w:cs="Arial"/>
          <w:sz w:val="24"/>
          <w:szCs w:val="24"/>
          <w:lang w:val="en-GB"/>
        </w:rPr>
        <w:t xml:space="preserve"> </w:t>
      </w:r>
      <w:r w:rsidR="008157A9" w:rsidRPr="00B349D3">
        <w:rPr>
          <w:rFonts w:ascii="Arial" w:hAnsi="Arial" w:cs="Arial"/>
          <w:sz w:val="24"/>
          <w:szCs w:val="24"/>
          <w:lang w:val="en-GB"/>
        </w:rPr>
        <w:t xml:space="preserve">The respondent’s reliance on statements </w:t>
      </w:r>
      <w:r w:rsidR="00A710B3">
        <w:rPr>
          <w:rFonts w:ascii="Arial" w:hAnsi="Arial" w:cs="Arial"/>
          <w:sz w:val="24"/>
          <w:szCs w:val="24"/>
          <w:lang w:val="en-GB"/>
        </w:rPr>
        <w:t xml:space="preserve">in </w:t>
      </w:r>
      <w:r w:rsidR="008157A9" w:rsidRPr="00B349D3">
        <w:rPr>
          <w:rFonts w:ascii="Arial" w:hAnsi="Arial" w:cs="Arial"/>
          <w:sz w:val="24"/>
          <w:szCs w:val="24"/>
          <w:lang w:val="en-GB"/>
        </w:rPr>
        <w:t xml:space="preserve">Erasmus </w:t>
      </w:r>
      <w:r w:rsidR="008157A9" w:rsidRPr="00B349D3">
        <w:rPr>
          <w:rFonts w:ascii="Arial" w:hAnsi="Arial" w:cs="Arial"/>
          <w:i/>
          <w:iCs/>
          <w:sz w:val="24"/>
          <w:szCs w:val="24"/>
          <w:lang w:val="en-GB"/>
        </w:rPr>
        <w:lastRenderedPageBreak/>
        <w:t>Superior Court Practice</w:t>
      </w:r>
      <w:r w:rsidR="00502A5C" w:rsidRPr="007D0D3D">
        <w:rPr>
          <w:rFonts w:ascii="Arial" w:hAnsi="Arial" w:cs="Arial"/>
          <w:sz w:val="24"/>
          <w:szCs w:val="24"/>
          <w:lang w:val="en-GB"/>
        </w:rPr>
        <w:t>,</w:t>
      </w:r>
      <w:r w:rsidR="008157A9" w:rsidRPr="007D0D3D">
        <w:rPr>
          <w:rStyle w:val="FootnoteReference"/>
          <w:rFonts w:ascii="Arial" w:hAnsi="Arial" w:cs="Arial"/>
          <w:sz w:val="24"/>
          <w:szCs w:val="24"/>
          <w:lang w:val="en-GB"/>
        </w:rPr>
        <w:footnoteReference w:id="23"/>
      </w:r>
      <w:r w:rsidR="008157A9" w:rsidRPr="007D0D3D">
        <w:rPr>
          <w:rFonts w:ascii="Arial" w:hAnsi="Arial" w:cs="Arial"/>
          <w:sz w:val="24"/>
          <w:szCs w:val="24"/>
          <w:lang w:val="en-GB"/>
        </w:rPr>
        <w:t xml:space="preserve"> </w:t>
      </w:r>
      <w:r w:rsidR="008157A9" w:rsidRPr="00B349D3">
        <w:rPr>
          <w:rFonts w:ascii="Arial" w:hAnsi="Arial" w:cs="Arial"/>
          <w:sz w:val="24"/>
          <w:szCs w:val="24"/>
          <w:lang w:val="en-GB"/>
        </w:rPr>
        <w:t xml:space="preserve">that authority challenges can be </w:t>
      </w:r>
      <w:r w:rsidR="007D65FC" w:rsidRPr="00B349D3">
        <w:rPr>
          <w:rFonts w:ascii="Arial" w:hAnsi="Arial" w:cs="Arial"/>
          <w:sz w:val="24"/>
          <w:szCs w:val="24"/>
          <w:lang w:val="en-GB"/>
        </w:rPr>
        <w:t>dealt with</w:t>
      </w:r>
      <w:r w:rsidR="008157A9" w:rsidRPr="00B349D3">
        <w:rPr>
          <w:rFonts w:ascii="Arial" w:hAnsi="Arial" w:cs="Arial"/>
          <w:sz w:val="24"/>
          <w:szCs w:val="24"/>
          <w:lang w:val="en-GB"/>
        </w:rPr>
        <w:t xml:space="preserve"> in an answering affidavit </w:t>
      </w:r>
      <w:r w:rsidR="007D65FC" w:rsidRPr="00B349D3">
        <w:rPr>
          <w:rFonts w:ascii="Arial" w:hAnsi="Arial" w:cs="Arial"/>
          <w:sz w:val="24"/>
          <w:szCs w:val="24"/>
          <w:lang w:val="en-GB"/>
        </w:rPr>
        <w:t xml:space="preserve">are misplaced in the light of the unequivocal findings of </w:t>
      </w:r>
      <w:r w:rsidR="007D65FC" w:rsidRPr="00B349D3">
        <w:rPr>
          <w:rFonts w:ascii="Arial" w:hAnsi="Arial" w:cs="Arial"/>
          <w:i/>
          <w:iCs/>
          <w:sz w:val="24"/>
          <w:szCs w:val="24"/>
          <w:lang w:val="en-GB"/>
        </w:rPr>
        <w:t>ANC Umvoti</w:t>
      </w:r>
      <w:r w:rsidR="007D65FC" w:rsidRPr="00B349D3">
        <w:rPr>
          <w:rFonts w:ascii="Arial" w:hAnsi="Arial" w:cs="Arial"/>
          <w:sz w:val="24"/>
          <w:szCs w:val="24"/>
          <w:lang w:val="en-GB"/>
        </w:rPr>
        <w:t xml:space="preserve"> that this i</w:t>
      </w:r>
      <w:r w:rsidR="00502A5C">
        <w:rPr>
          <w:rFonts w:ascii="Arial" w:hAnsi="Arial" w:cs="Arial"/>
          <w:sz w:val="24"/>
          <w:szCs w:val="24"/>
          <w:lang w:val="en-GB"/>
        </w:rPr>
        <w:t>s</w:t>
      </w:r>
      <w:r w:rsidR="007D65FC" w:rsidRPr="00B349D3">
        <w:rPr>
          <w:rFonts w:ascii="Arial" w:hAnsi="Arial" w:cs="Arial"/>
          <w:sz w:val="24"/>
          <w:szCs w:val="24"/>
          <w:lang w:val="en-GB"/>
        </w:rPr>
        <w:t xml:space="preserve"> i</w:t>
      </w:r>
      <w:r w:rsidR="00502A5C">
        <w:rPr>
          <w:rFonts w:ascii="Arial" w:hAnsi="Arial" w:cs="Arial"/>
          <w:sz w:val="24"/>
          <w:szCs w:val="24"/>
          <w:lang w:val="en-GB"/>
        </w:rPr>
        <w:t>mpermissible. T</w:t>
      </w:r>
      <w:r w:rsidR="007D65FC" w:rsidRPr="00B349D3">
        <w:rPr>
          <w:rFonts w:ascii="Arial" w:hAnsi="Arial" w:cs="Arial"/>
          <w:sz w:val="24"/>
          <w:szCs w:val="24"/>
          <w:lang w:val="en-GB"/>
        </w:rPr>
        <w:t xml:space="preserve">he case </w:t>
      </w:r>
      <w:r w:rsidR="00502A5C" w:rsidRPr="00B349D3">
        <w:rPr>
          <w:rFonts w:ascii="Arial" w:hAnsi="Arial" w:cs="Arial"/>
          <w:sz w:val="24"/>
          <w:szCs w:val="24"/>
          <w:lang w:val="en-GB"/>
        </w:rPr>
        <w:t xml:space="preserve">from this </w:t>
      </w:r>
      <w:r w:rsidR="00502A5C">
        <w:rPr>
          <w:rFonts w:ascii="Arial" w:hAnsi="Arial" w:cs="Arial"/>
          <w:sz w:val="24"/>
          <w:szCs w:val="24"/>
          <w:lang w:val="en-GB"/>
        </w:rPr>
        <w:t xml:space="preserve">division </w:t>
      </w:r>
      <w:r w:rsidR="007D65FC" w:rsidRPr="00B349D3">
        <w:rPr>
          <w:rFonts w:ascii="Arial" w:hAnsi="Arial" w:cs="Arial"/>
          <w:sz w:val="24"/>
          <w:szCs w:val="24"/>
          <w:lang w:val="en-GB"/>
        </w:rPr>
        <w:t xml:space="preserve">to which the authors </w:t>
      </w:r>
      <w:r w:rsidR="007D0D3D">
        <w:rPr>
          <w:rFonts w:ascii="Arial" w:hAnsi="Arial" w:cs="Arial"/>
          <w:sz w:val="24"/>
          <w:szCs w:val="24"/>
          <w:lang w:val="en-GB"/>
        </w:rPr>
        <w:t xml:space="preserve">refer </w:t>
      </w:r>
      <w:r w:rsidR="00A710B3">
        <w:rPr>
          <w:rFonts w:ascii="Arial" w:hAnsi="Arial" w:cs="Arial"/>
          <w:sz w:val="24"/>
          <w:szCs w:val="24"/>
          <w:lang w:val="en-GB"/>
        </w:rPr>
        <w:t xml:space="preserve">and </w:t>
      </w:r>
      <w:r w:rsidR="007D65FC" w:rsidRPr="00B349D3">
        <w:rPr>
          <w:rFonts w:ascii="Arial" w:hAnsi="Arial" w:cs="Arial"/>
          <w:sz w:val="24"/>
          <w:szCs w:val="24"/>
          <w:lang w:val="en-GB"/>
        </w:rPr>
        <w:t>which could serve as authority for th</w:t>
      </w:r>
      <w:r w:rsidR="007D0D3D">
        <w:rPr>
          <w:rFonts w:ascii="Arial" w:hAnsi="Arial" w:cs="Arial"/>
          <w:sz w:val="24"/>
          <w:szCs w:val="24"/>
          <w:lang w:val="en-GB"/>
        </w:rPr>
        <w:t>at proposition</w:t>
      </w:r>
      <w:r w:rsidR="007D65FC">
        <w:rPr>
          <w:rStyle w:val="FootnoteReference"/>
          <w:rFonts w:ascii="Arial" w:hAnsi="Arial" w:cs="Arial"/>
          <w:sz w:val="24"/>
          <w:szCs w:val="24"/>
          <w:lang w:val="en-GB"/>
        </w:rPr>
        <w:footnoteReference w:id="24"/>
      </w:r>
      <w:r w:rsidR="007D65FC" w:rsidRPr="00B349D3">
        <w:rPr>
          <w:rFonts w:ascii="Arial" w:hAnsi="Arial" w:cs="Arial"/>
          <w:sz w:val="24"/>
          <w:szCs w:val="24"/>
          <w:lang w:val="en-GB"/>
        </w:rPr>
        <w:t xml:space="preserve"> predate</w:t>
      </w:r>
      <w:r w:rsidR="007D0D3D">
        <w:rPr>
          <w:rFonts w:ascii="Arial" w:hAnsi="Arial" w:cs="Arial"/>
          <w:sz w:val="24"/>
          <w:szCs w:val="24"/>
          <w:lang w:val="en-GB"/>
        </w:rPr>
        <w:t>s</w:t>
      </w:r>
      <w:r w:rsidR="007D65FC" w:rsidRPr="00B349D3">
        <w:rPr>
          <w:rFonts w:ascii="Arial" w:hAnsi="Arial" w:cs="Arial"/>
          <w:sz w:val="24"/>
          <w:szCs w:val="24"/>
          <w:lang w:val="en-GB"/>
        </w:rPr>
        <w:t xml:space="preserve"> the amendment of the rule and was therefore implicitly </w:t>
      </w:r>
      <w:r w:rsidR="00654762" w:rsidRPr="00B349D3">
        <w:rPr>
          <w:rFonts w:ascii="Arial" w:hAnsi="Arial" w:cs="Arial"/>
          <w:sz w:val="24"/>
          <w:szCs w:val="24"/>
          <w:lang w:val="en-GB"/>
        </w:rPr>
        <w:t>overruled</w:t>
      </w:r>
      <w:r w:rsidR="007D65FC" w:rsidRPr="00B349D3">
        <w:rPr>
          <w:rFonts w:ascii="Arial" w:hAnsi="Arial" w:cs="Arial"/>
          <w:sz w:val="24"/>
          <w:szCs w:val="24"/>
          <w:lang w:val="en-GB"/>
        </w:rPr>
        <w:t xml:space="preserve"> by </w:t>
      </w:r>
      <w:r w:rsidR="007D65FC" w:rsidRPr="00B349D3">
        <w:rPr>
          <w:rFonts w:ascii="Arial" w:hAnsi="Arial" w:cs="Arial"/>
          <w:i/>
          <w:iCs/>
          <w:sz w:val="24"/>
          <w:szCs w:val="24"/>
          <w:lang w:val="en-GB"/>
        </w:rPr>
        <w:t>ANC Umvoti</w:t>
      </w:r>
      <w:r w:rsidR="007D65FC" w:rsidRPr="00B349D3">
        <w:rPr>
          <w:rFonts w:ascii="Arial" w:hAnsi="Arial" w:cs="Arial"/>
          <w:sz w:val="24"/>
          <w:szCs w:val="24"/>
          <w:lang w:val="en-GB"/>
        </w:rPr>
        <w:t xml:space="preserve"> .</w:t>
      </w:r>
      <w:r w:rsidR="0021685D" w:rsidRPr="00B349D3">
        <w:rPr>
          <w:rFonts w:ascii="Arial" w:hAnsi="Arial" w:cs="Arial"/>
          <w:sz w:val="24"/>
          <w:szCs w:val="24"/>
          <w:lang w:val="en-GB"/>
        </w:rPr>
        <w:t xml:space="preserve"> </w:t>
      </w:r>
    </w:p>
    <w:p w:rsidR="0021685D" w:rsidRDefault="0021685D" w:rsidP="0021685D">
      <w:pPr>
        <w:spacing w:after="0" w:line="360" w:lineRule="auto"/>
        <w:jc w:val="both"/>
        <w:rPr>
          <w:rFonts w:ascii="Arial" w:hAnsi="Arial" w:cs="Arial"/>
          <w:sz w:val="24"/>
          <w:szCs w:val="24"/>
          <w:lang w:val="en-GB"/>
        </w:rPr>
      </w:pPr>
    </w:p>
    <w:p w:rsidR="0021685D" w:rsidRPr="00312B98" w:rsidRDefault="00630603" w:rsidP="00630603">
      <w:pPr>
        <w:spacing w:after="0" w:line="360" w:lineRule="auto"/>
        <w:jc w:val="both"/>
        <w:rPr>
          <w:rFonts w:ascii="Arial" w:hAnsi="Arial" w:cs="Arial"/>
          <w:sz w:val="24"/>
          <w:szCs w:val="24"/>
          <w:lang w:val="en-GB"/>
        </w:rPr>
      </w:pPr>
      <w:r w:rsidRPr="00312B98">
        <w:rPr>
          <w:rFonts w:ascii="Arial" w:hAnsi="Arial" w:cs="Arial"/>
          <w:sz w:val="24"/>
          <w:szCs w:val="24"/>
          <w:lang w:val="en-GB"/>
        </w:rPr>
        <w:t>[43]</w:t>
      </w:r>
      <w:r w:rsidRPr="00312B98">
        <w:rPr>
          <w:rFonts w:ascii="Arial" w:hAnsi="Arial" w:cs="Arial"/>
          <w:sz w:val="24"/>
          <w:szCs w:val="24"/>
          <w:lang w:val="en-GB"/>
        </w:rPr>
        <w:tab/>
      </w:r>
      <w:r w:rsidR="000B3910" w:rsidRPr="0021685D">
        <w:rPr>
          <w:rFonts w:ascii="Arial" w:hAnsi="Arial" w:cs="Arial"/>
          <w:sz w:val="24"/>
          <w:szCs w:val="24"/>
          <w:lang w:val="en-GB"/>
        </w:rPr>
        <w:t>It follows that the manner in which the respondent has chosen to raise its authority challenge is fatal. The respondent was legally represented even prior to the institution of the eviction proceedings. Its attorneys no doubt knew what the correct procedure was but elected not to follow it. The respondent therefore has only itself to blame.</w:t>
      </w:r>
      <w:r w:rsidR="00674C43" w:rsidRPr="0021685D">
        <w:rPr>
          <w:rFonts w:ascii="Arial" w:hAnsi="Arial" w:cs="Arial"/>
          <w:sz w:val="24"/>
          <w:szCs w:val="24"/>
          <w:lang w:val="en-GB"/>
        </w:rPr>
        <w:t xml:space="preserve"> </w:t>
      </w:r>
    </w:p>
    <w:p w:rsidR="002C75C0" w:rsidRPr="00D57A8A" w:rsidRDefault="002C75C0" w:rsidP="00D57A8A">
      <w:pPr>
        <w:rPr>
          <w:rFonts w:ascii="Arial" w:hAnsi="Arial" w:cs="Arial"/>
          <w:sz w:val="24"/>
          <w:szCs w:val="24"/>
          <w:lang w:val="en-GB"/>
        </w:rPr>
      </w:pPr>
    </w:p>
    <w:p w:rsidR="002C75C0" w:rsidRPr="002C75C0" w:rsidRDefault="002C75C0" w:rsidP="002C75C0">
      <w:pPr>
        <w:spacing w:after="0" w:line="360" w:lineRule="auto"/>
        <w:jc w:val="both"/>
        <w:rPr>
          <w:rFonts w:ascii="Arial" w:hAnsi="Arial" w:cs="Arial"/>
          <w:b/>
          <w:bCs/>
          <w:sz w:val="24"/>
          <w:szCs w:val="24"/>
          <w:lang w:val="en-GB"/>
        </w:rPr>
      </w:pPr>
      <w:r>
        <w:rPr>
          <w:rFonts w:ascii="Arial" w:hAnsi="Arial" w:cs="Arial"/>
          <w:b/>
          <w:bCs/>
          <w:sz w:val="24"/>
          <w:szCs w:val="24"/>
          <w:lang w:val="en-GB"/>
        </w:rPr>
        <w:t xml:space="preserve">Relief </w:t>
      </w:r>
    </w:p>
    <w:p w:rsidR="0021685D" w:rsidRDefault="0021685D" w:rsidP="0021685D">
      <w:pPr>
        <w:pStyle w:val="ListParagraph"/>
        <w:rPr>
          <w:rFonts w:ascii="Arial" w:hAnsi="Arial" w:cs="Arial"/>
          <w:sz w:val="24"/>
          <w:szCs w:val="24"/>
          <w:lang w:val="en-GB"/>
        </w:rPr>
      </w:pPr>
    </w:p>
    <w:p w:rsidR="00312B98" w:rsidRDefault="00630603" w:rsidP="00630603">
      <w:pPr>
        <w:spacing w:after="0" w:line="360" w:lineRule="auto"/>
        <w:jc w:val="both"/>
        <w:rPr>
          <w:rFonts w:ascii="Arial" w:hAnsi="Arial" w:cs="Arial"/>
          <w:sz w:val="24"/>
          <w:szCs w:val="24"/>
          <w:lang w:val="en-GB"/>
        </w:rPr>
      </w:pPr>
      <w:r>
        <w:rPr>
          <w:rFonts w:ascii="Arial" w:hAnsi="Arial" w:cs="Arial"/>
          <w:sz w:val="24"/>
          <w:szCs w:val="24"/>
          <w:lang w:val="en-GB"/>
        </w:rPr>
        <w:t>[44]</w:t>
      </w:r>
      <w:r>
        <w:rPr>
          <w:rFonts w:ascii="Arial" w:hAnsi="Arial" w:cs="Arial"/>
          <w:sz w:val="24"/>
          <w:szCs w:val="24"/>
          <w:lang w:val="en-GB"/>
        </w:rPr>
        <w:tab/>
      </w:r>
      <w:r w:rsidR="000B3910" w:rsidRPr="0021685D">
        <w:rPr>
          <w:rFonts w:ascii="Arial" w:hAnsi="Arial" w:cs="Arial"/>
          <w:sz w:val="24"/>
          <w:szCs w:val="24"/>
          <w:lang w:val="en-GB"/>
        </w:rPr>
        <w:t>It also follows that the applicant is entitled to the eviction order which it seeks</w:t>
      </w:r>
      <w:r w:rsidR="002C75C0">
        <w:rPr>
          <w:rFonts w:ascii="Arial" w:hAnsi="Arial" w:cs="Arial"/>
          <w:sz w:val="24"/>
          <w:szCs w:val="24"/>
          <w:lang w:val="en-GB"/>
        </w:rPr>
        <w:t xml:space="preserve"> as the court has no equitable discretion to refuse an ejectment order if an applicant has established the grounds therefor</w:t>
      </w:r>
      <w:r w:rsidR="000B3910" w:rsidRPr="0021685D">
        <w:rPr>
          <w:rFonts w:ascii="Arial" w:hAnsi="Arial" w:cs="Arial"/>
          <w:sz w:val="24"/>
          <w:szCs w:val="24"/>
          <w:lang w:val="en-GB"/>
        </w:rPr>
        <w:t>.</w:t>
      </w:r>
      <w:r w:rsidR="000B3910">
        <w:rPr>
          <w:rStyle w:val="FootnoteReference"/>
          <w:rFonts w:ascii="Arial" w:hAnsi="Arial" w:cs="Arial"/>
          <w:sz w:val="24"/>
          <w:szCs w:val="24"/>
          <w:lang w:val="en-GB"/>
        </w:rPr>
        <w:footnoteReference w:id="25"/>
      </w:r>
      <w:r w:rsidR="000B3910" w:rsidRPr="0021685D">
        <w:rPr>
          <w:rFonts w:ascii="Arial" w:hAnsi="Arial" w:cs="Arial"/>
          <w:sz w:val="24"/>
          <w:szCs w:val="24"/>
          <w:lang w:val="en-GB"/>
        </w:rPr>
        <w:t xml:space="preserve"> </w:t>
      </w:r>
      <w:r w:rsidR="00312B98">
        <w:rPr>
          <w:rFonts w:ascii="Arial" w:hAnsi="Arial" w:cs="Arial"/>
          <w:sz w:val="24"/>
          <w:szCs w:val="24"/>
          <w:lang w:val="en-GB"/>
        </w:rPr>
        <w:t xml:space="preserve">It is however necessary </w:t>
      </w:r>
      <w:r w:rsidR="000B3910" w:rsidRPr="0021685D">
        <w:rPr>
          <w:rFonts w:ascii="Arial" w:hAnsi="Arial" w:cs="Arial"/>
          <w:sz w:val="24"/>
          <w:szCs w:val="24"/>
          <w:lang w:val="en-GB"/>
        </w:rPr>
        <w:t>for me to determine an appropriate date by which the respondent must vacate the premises.</w:t>
      </w:r>
    </w:p>
    <w:p w:rsidR="00312B98" w:rsidRDefault="00312B98" w:rsidP="00312B98">
      <w:pPr>
        <w:spacing w:after="0" w:line="360" w:lineRule="auto"/>
        <w:jc w:val="both"/>
        <w:rPr>
          <w:rFonts w:ascii="Arial" w:hAnsi="Arial" w:cs="Arial"/>
          <w:sz w:val="24"/>
          <w:szCs w:val="24"/>
          <w:lang w:val="en-GB"/>
        </w:rPr>
      </w:pPr>
    </w:p>
    <w:p w:rsidR="0021685D" w:rsidRDefault="00630603" w:rsidP="00630603">
      <w:pPr>
        <w:spacing w:after="0" w:line="360" w:lineRule="auto"/>
        <w:jc w:val="both"/>
        <w:rPr>
          <w:rFonts w:ascii="Arial" w:hAnsi="Arial" w:cs="Arial"/>
          <w:sz w:val="24"/>
          <w:szCs w:val="24"/>
          <w:lang w:val="en-GB"/>
        </w:rPr>
      </w:pPr>
      <w:r>
        <w:rPr>
          <w:rFonts w:ascii="Arial" w:hAnsi="Arial" w:cs="Arial"/>
          <w:sz w:val="24"/>
          <w:szCs w:val="24"/>
          <w:lang w:val="en-GB"/>
        </w:rPr>
        <w:t>[45]</w:t>
      </w:r>
      <w:r>
        <w:rPr>
          <w:rFonts w:ascii="Arial" w:hAnsi="Arial" w:cs="Arial"/>
          <w:sz w:val="24"/>
          <w:szCs w:val="24"/>
          <w:lang w:val="en-GB"/>
        </w:rPr>
        <w:tab/>
      </w:r>
      <w:r w:rsidR="000B3910" w:rsidRPr="0021685D">
        <w:rPr>
          <w:rFonts w:ascii="Arial" w:hAnsi="Arial" w:cs="Arial"/>
          <w:sz w:val="24"/>
          <w:szCs w:val="24"/>
          <w:lang w:val="en-GB"/>
        </w:rPr>
        <w:t xml:space="preserve"> Counsel for the applicant stresses that the premises are commercial, </w:t>
      </w:r>
      <w:r w:rsidR="00D57A8A">
        <w:rPr>
          <w:rFonts w:ascii="Arial" w:hAnsi="Arial" w:cs="Arial"/>
          <w:sz w:val="24"/>
          <w:szCs w:val="24"/>
          <w:lang w:val="en-GB"/>
        </w:rPr>
        <w:t xml:space="preserve">the applicant has been deprived of the right to deal with its property for an extended period </w:t>
      </w:r>
      <w:r w:rsidR="000B3910" w:rsidRPr="0021685D">
        <w:rPr>
          <w:rFonts w:ascii="Arial" w:hAnsi="Arial" w:cs="Arial"/>
          <w:sz w:val="24"/>
          <w:szCs w:val="24"/>
          <w:lang w:val="en-GB"/>
        </w:rPr>
        <w:t>and the respondent has been aware for some considerable time that it was required to vacate. He submitted that the applicant should have arranged its affairs accordingly a</w:t>
      </w:r>
      <w:r w:rsidR="00654762">
        <w:rPr>
          <w:rFonts w:ascii="Arial" w:hAnsi="Arial" w:cs="Arial"/>
          <w:sz w:val="24"/>
          <w:szCs w:val="24"/>
          <w:lang w:val="en-GB"/>
        </w:rPr>
        <w:t>nd moved</w:t>
      </w:r>
      <w:r w:rsidR="000B3910" w:rsidRPr="0021685D">
        <w:rPr>
          <w:rFonts w:ascii="Arial" w:hAnsi="Arial" w:cs="Arial"/>
          <w:sz w:val="24"/>
          <w:szCs w:val="24"/>
          <w:lang w:val="en-GB"/>
        </w:rPr>
        <w:t xml:space="preserve"> for an eviction order effective immediately.</w:t>
      </w:r>
      <w:r w:rsidR="00674C43" w:rsidRPr="0021685D">
        <w:rPr>
          <w:rFonts w:ascii="Arial" w:hAnsi="Arial" w:cs="Arial"/>
          <w:sz w:val="24"/>
          <w:szCs w:val="24"/>
          <w:lang w:val="en-GB"/>
        </w:rPr>
        <w:t xml:space="preserve"> </w:t>
      </w:r>
    </w:p>
    <w:p w:rsidR="0021685D" w:rsidRDefault="0021685D" w:rsidP="0021685D">
      <w:pPr>
        <w:pStyle w:val="ListParagraph"/>
        <w:rPr>
          <w:rFonts w:ascii="Arial" w:hAnsi="Arial" w:cs="Arial"/>
          <w:sz w:val="24"/>
          <w:szCs w:val="24"/>
          <w:lang w:val="en-GB"/>
        </w:rPr>
      </w:pPr>
    </w:p>
    <w:p w:rsidR="00284CBC" w:rsidRDefault="00630603" w:rsidP="00630603">
      <w:pPr>
        <w:spacing w:after="0" w:line="360" w:lineRule="auto"/>
        <w:jc w:val="both"/>
        <w:rPr>
          <w:rFonts w:ascii="Arial" w:hAnsi="Arial" w:cs="Arial"/>
          <w:sz w:val="24"/>
          <w:szCs w:val="24"/>
          <w:lang w:val="en-GB"/>
        </w:rPr>
      </w:pPr>
      <w:r>
        <w:rPr>
          <w:rFonts w:ascii="Arial" w:hAnsi="Arial" w:cs="Arial"/>
          <w:sz w:val="24"/>
          <w:szCs w:val="24"/>
          <w:lang w:val="en-GB"/>
        </w:rPr>
        <w:t>[46]</w:t>
      </w:r>
      <w:r>
        <w:rPr>
          <w:rFonts w:ascii="Arial" w:hAnsi="Arial" w:cs="Arial"/>
          <w:sz w:val="24"/>
          <w:szCs w:val="24"/>
          <w:lang w:val="en-GB"/>
        </w:rPr>
        <w:tab/>
      </w:r>
      <w:r w:rsidR="00312B98">
        <w:rPr>
          <w:rFonts w:ascii="Arial" w:hAnsi="Arial" w:cs="Arial"/>
          <w:sz w:val="24"/>
          <w:szCs w:val="24"/>
          <w:lang w:val="en-GB"/>
        </w:rPr>
        <w:t>T</w:t>
      </w:r>
      <w:r w:rsidR="000B3910" w:rsidRPr="00284CBC">
        <w:rPr>
          <w:rFonts w:ascii="Arial" w:hAnsi="Arial" w:cs="Arial"/>
          <w:sz w:val="24"/>
          <w:szCs w:val="24"/>
          <w:lang w:val="en-GB"/>
        </w:rPr>
        <w:t>he respondent has been awa</w:t>
      </w:r>
      <w:r w:rsidR="0043478D" w:rsidRPr="00284CBC">
        <w:rPr>
          <w:rFonts w:ascii="Arial" w:hAnsi="Arial" w:cs="Arial"/>
          <w:sz w:val="24"/>
          <w:szCs w:val="24"/>
          <w:lang w:val="en-GB"/>
        </w:rPr>
        <w:t>re</w:t>
      </w:r>
      <w:r w:rsidR="000B3910" w:rsidRPr="00284CBC">
        <w:rPr>
          <w:rFonts w:ascii="Arial" w:hAnsi="Arial" w:cs="Arial"/>
          <w:sz w:val="24"/>
          <w:szCs w:val="24"/>
          <w:lang w:val="en-GB"/>
        </w:rPr>
        <w:t xml:space="preserve"> for </w:t>
      </w:r>
      <w:r w:rsidR="0043478D" w:rsidRPr="00284CBC">
        <w:rPr>
          <w:rFonts w:ascii="Arial" w:hAnsi="Arial" w:cs="Arial"/>
          <w:sz w:val="24"/>
          <w:szCs w:val="24"/>
          <w:lang w:val="en-GB"/>
        </w:rPr>
        <w:t xml:space="preserve">more than </w:t>
      </w:r>
      <w:r w:rsidR="00312B98">
        <w:rPr>
          <w:rFonts w:ascii="Arial" w:hAnsi="Arial" w:cs="Arial"/>
          <w:sz w:val="24"/>
          <w:szCs w:val="24"/>
          <w:lang w:val="en-GB"/>
        </w:rPr>
        <w:t xml:space="preserve">a year </w:t>
      </w:r>
      <w:r w:rsidR="000B3910" w:rsidRPr="00284CBC">
        <w:rPr>
          <w:rFonts w:ascii="Arial" w:hAnsi="Arial" w:cs="Arial"/>
          <w:sz w:val="24"/>
          <w:szCs w:val="24"/>
          <w:lang w:val="en-GB"/>
        </w:rPr>
        <w:t xml:space="preserve">that its eviction was being sought. </w:t>
      </w:r>
      <w:r w:rsidR="00312B98">
        <w:rPr>
          <w:rFonts w:ascii="Arial" w:hAnsi="Arial" w:cs="Arial"/>
          <w:sz w:val="24"/>
          <w:szCs w:val="24"/>
          <w:lang w:val="en-GB"/>
        </w:rPr>
        <w:t>Whilst it might</w:t>
      </w:r>
      <w:r w:rsidR="0043478D" w:rsidRPr="00284CBC">
        <w:rPr>
          <w:rFonts w:ascii="Arial" w:hAnsi="Arial" w:cs="Arial"/>
          <w:sz w:val="24"/>
          <w:szCs w:val="24"/>
          <w:lang w:val="en-GB"/>
        </w:rPr>
        <w:t xml:space="preserve"> not </w:t>
      </w:r>
      <w:r w:rsidR="00312B98">
        <w:rPr>
          <w:rFonts w:ascii="Arial" w:hAnsi="Arial" w:cs="Arial"/>
          <w:sz w:val="24"/>
          <w:szCs w:val="24"/>
          <w:lang w:val="en-GB"/>
        </w:rPr>
        <w:t xml:space="preserve">initially </w:t>
      </w:r>
      <w:r w:rsidR="0043478D" w:rsidRPr="00284CBC">
        <w:rPr>
          <w:rFonts w:ascii="Arial" w:hAnsi="Arial" w:cs="Arial"/>
          <w:sz w:val="24"/>
          <w:szCs w:val="24"/>
          <w:lang w:val="en-GB"/>
        </w:rPr>
        <w:t xml:space="preserve">have arranged its affairs in anticipation of an order being made in the applicant’s favour by virtue of the various defences it raised, </w:t>
      </w:r>
      <w:r w:rsidR="000B3910" w:rsidRPr="00284CBC">
        <w:rPr>
          <w:rFonts w:ascii="Arial" w:hAnsi="Arial" w:cs="Arial"/>
          <w:sz w:val="24"/>
          <w:szCs w:val="24"/>
          <w:lang w:val="en-GB"/>
        </w:rPr>
        <w:t>the lease terminated by the effluxion of time at the end of July 2023.</w:t>
      </w:r>
      <w:r w:rsidR="0043478D" w:rsidRPr="00284CBC">
        <w:rPr>
          <w:rFonts w:ascii="Arial" w:hAnsi="Arial" w:cs="Arial"/>
          <w:sz w:val="24"/>
          <w:szCs w:val="24"/>
          <w:lang w:val="en-GB"/>
        </w:rPr>
        <w:t xml:space="preserve"> The respondent must </w:t>
      </w:r>
      <w:r w:rsidR="0043478D" w:rsidRPr="00284CBC">
        <w:rPr>
          <w:rFonts w:ascii="Arial" w:hAnsi="Arial" w:cs="Arial"/>
          <w:sz w:val="24"/>
          <w:szCs w:val="24"/>
          <w:lang w:val="en-GB"/>
        </w:rPr>
        <w:lastRenderedPageBreak/>
        <w:t>therefore have been awa</w:t>
      </w:r>
      <w:r w:rsidR="00654762">
        <w:rPr>
          <w:rFonts w:ascii="Arial" w:hAnsi="Arial" w:cs="Arial"/>
          <w:sz w:val="24"/>
          <w:szCs w:val="24"/>
          <w:lang w:val="en-GB"/>
        </w:rPr>
        <w:t>re</w:t>
      </w:r>
      <w:r w:rsidR="0043478D" w:rsidRPr="00284CBC">
        <w:rPr>
          <w:rFonts w:ascii="Arial" w:hAnsi="Arial" w:cs="Arial"/>
          <w:sz w:val="24"/>
          <w:szCs w:val="24"/>
          <w:lang w:val="en-GB"/>
        </w:rPr>
        <w:t xml:space="preserve"> for </w:t>
      </w:r>
      <w:r w:rsidR="00312B98">
        <w:rPr>
          <w:rFonts w:ascii="Arial" w:hAnsi="Arial" w:cs="Arial"/>
          <w:sz w:val="24"/>
          <w:szCs w:val="24"/>
          <w:lang w:val="en-GB"/>
        </w:rPr>
        <w:t xml:space="preserve">at least </w:t>
      </w:r>
      <w:r w:rsidR="0043478D" w:rsidRPr="00284CBC">
        <w:rPr>
          <w:rFonts w:ascii="Arial" w:hAnsi="Arial" w:cs="Arial"/>
          <w:sz w:val="24"/>
          <w:szCs w:val="24"/>
          <w:lang w:val="en-GB"/>
        </w:rPr>
        <w:t>the past two months that it remained in occupation</w:t>
      </w:r>
      <w:r w:rsidR="00654762">
        <w:rPr>
          <w:rFonts w:ascii="Arial" w:hAnsi="Arial" w:cs="Arial"/>
          <w:sz w:val="24"/>
          <w:szCs w:val="24"/>
          <w:lang w:val="en-GB"/>
        </w:rPr>
        <w:t xml:space="preserve"> </w:t>
      </w:r>
      <w:r w:rsidR="0043478D" w:rsidRPr="00284CBC">
        <w:rPr>
          <w:rFonts w:ascii="Arial" w:hAnsi="Arial" w:cs="Arial"/>
          <w:sz w:val="24"/>
          <w:szCs w:val="24"/>
          <w:lang w:val="en-GB"/>
        </w:rPr>
        <w:t>when there was no legal basis for it to do</w:t>
      </w:r>
      <w:r w:rsidR="00654762">
        <w:rPr>
          <w:rFonts w:ascii="Arial" w:hAnsi="Arial" w:cs="Arial"/>
          <w:sz w:val="24"/>
          <w:szCs w:val="24"/>
          <w:lang w:val="en-GB"/>
        </w:rPr>
        <w:t xml:space="preserve"> </w:t>
      </w:r>
      <w:r w:rsidR="0043478D" w:rsidRPr="00284CBC">
        <w:rPr>
          <w:rFonts w:ascii="Arial" w:hAnsi="Arial" w:cs="Arial"/>
          <w:sz w:val="24"/>
          <w:szCs w:val="24"/>
          <w:lang w:val="en-GB"/>
        </w:rPr>
        <w:t>so</w:t>
      </w:r>
      <w:r w:rsidR="00654762">
        <w:rPr>
          <w:rFonts w:ascii="Arial" w:hAnsi="Arial" w:cs="Arial"/>
          <w:sz w:val="24"/>
          <w:szCs w:val="24"/>
          <w:lang w:val="en-GB"/>
        </w:rPr>
        <w:t>,</w:t>
      </w:r>
      <w:r w:rsidR="0043478D" w:rsidRPr="00284CBC">
        <w:rPr>
          <w:rFonts w:ascii="Arial" w:hAnsi="Arial" w:cs="Arial"/>
          <w:sz w:val="24"/>
          <w:szCs w:val="24"/>
          <w:lang w:val="en-GB"/>
        </w:rPr>
        <w:t xml:space="preserve"> even if its defences to the present eviction proceedings were upheld</w:t>
      </w:r>
      <w:r w:rsidR="00312B98">
        <w:rPr>
          <w:rFonts w:ascii="Arial" w:hAnsi="Arial" w:cs="Arial"/>
          <w:sz w:val="24"/>
          <w:szCs w:val="24"/>
          <w:lang w:val="en-GB"/>
        </w:rPr>
        <w:t>. I</w:t>
      </w:r>
      <w:r w:rsidR="0043478D" w:rsidRPr="00284CBC">
        <w:rPr>
          <w:rFonts w:ascii="Arial" w:hAnsi="Arial" w:cs="Arial"/>
          <w:sz w:val="24"/>
          <w:szCs w:val="24"/>
          <w:lang w:val="en-GB"/>
        </w:rPr>
        <w:t xml:space="preserve">t should </w:t>
      </w:r>
      <w:r w:rsidR="004374E1">
        <w:rPr>
          <w:rFonts w:ascii="Arial" w:hAnsi="Arial" w:cs="Arial"/>
          <w:sz w:val="24"/>
          <w:szCs w:val="24"/>
          <w:lang w:val="en-GB"/>
        </w:rPr>
        <w:t xml:space="preserve">therefore </w:t>
      </w:r>
      <w:r w:rsidR="0043478D" w:rsidRPr="00284CBC">
        <w:rPr>
          <w:rFonts w:ascii="Arial" w:hAnsi="Arial" w:cs="Arial"/>
          <w:sz w:val="24"/>
          <w:szCs w:val="24"/>
          <w:lang w:val="en-GB"/>
        </w:rPr>
        <w:t xml:space="preserve">have been seeking alternative premises. I am however mindful of the fact that the respondent is running its business from the premises and that leases </w:t>
      </w:r>
      <w:r w:rsidR="00654762">
        <w:rPr>
          <w:rFonts w:ascii="Arial" w:hAnsi="Arial" w:cs="Arial"/>
          <w:sz w:val="24"/>
          <w:szCs w:val="24"/>
          <w:lang w:val="en-GB"/>
        </w:rPr>
        <w:t xml:space="preserve">usually </w:t>
      </w:r>
      <w:r w:rsidR="0043478D" w:rsidRPr="00284CBC">
        <w:rPr>
          <w:rFonts w:ascii="Arial" w:hAnsi="Arial" w:cs="Arial"/>
          <w:sz w:val="24"/>
          <w:szCs w:val="24"/>
          <w:lang w:val="en-GB"/>
        </w:rPr>
        <w:t xml:space="preserve">run from the first of </w:t>
      </w:r>
      <w:r w:rsidR="00312B98">
        <w:rPr>
          <w:rFonts w:ascii="Arial" w:hAnsi="Arial" w:cs="Arial"/>
          <w:sz w:val="24"/>
          <w:szCs w:val="24"/>
          <w:lang w:val="en-GB"/>
        </w:rPr>
        <w:t>the</w:t>
      </w:r>
      <w:r w:rsidR="0043478D" w:rsidRPr="00284CBC">
        <w:rPr>
          <w:rFonts w:ascii="Arial" w:hAnsi="Arial" w:cs="Arial"/>
          <w:sz w:val="24"/>
          <w:szCs w:val="24"/>
          <w:lang w:val="en-GB"/>
        </w:rPr>
        <w:t xml:space="preserve"> month. I therefore find that it would be appropriate to grant the eviction order effective at the end of the month in which this judgment is handed down, which is </w:t>
      </w:r>
      <w:r w:rsidR="004374E1">
        <w:rPr>
          <w:rFonts w:ascii="Arial" w:hAnsi="Arial" w:cs="Arial"/>
          <w:sz w:val="24"/>
          <w:szCs w:val="24"/>
          <w:lang w:val="en-GB"/>
        </w:rPr>
        <w:t>some</w:t>
      </w:r>
      <w:r w:rsidR="0043478D" w:rsidRPr="00284CBC">
        <w:rPr>
          <w:rFonts w:ascii="Arial" w:hAnsi="Arial" w:cs="Arial"/>
          <w:sz w:val="24"/>
          <w:szCs w:val="24"/>
          <w:lang w:val="en-GB"/>
        </w:rPr>
        <w:t xml:space="preserve"> two weeks hence.</w:t>
      </w:r>
      <w:r w:rsidR="00284CBC" w:rsidRPr="00284CBC">
        <w:rPr>
          <w:rFonts w:ascii="Arial" w:hAnsi="Arial" w:cs="Arial"/>
          <w:sz w:val="24"/>
          <w:szCs w:val="24"/>
          <w:lang w:val="en-GB"/>
        </w:rPr>
        <w:t xml:space="preserve"> </w:t>
      </w:r>
    </w:p>
    <w:p w:rsidR="00284CBC" w:rsidRDefault="00284CBC" w:rsidP="00284CBC">
      <w:pPr>
        <w:pStyle w:val="ListParagraph"/>
        <w:rPr>
          <w:rFonts w:ascii="Arial" w:hAnsi="Arial" w:cs="Arial"/>
          <w:sz w:val="24"/>
          <w:szCs w:val="24"/>
          <w:lang w:val="en-GB"/>
        </w:rPr>
      </w:pPr>
    </w:p>
    <w:p w:rsidR="0021685D" w:rsidRPr="00284CBC" w:rsidRDefault="00630603" w:rsidP="00630603">
      <w:pPr>
        <w:spacing w:after="0" w:line="360" w:lineRule="auto"/>
        <w:jc w:val="both"/>
        <w:rPr>
          <w:rFonts w:ascii="Arial" w:hAnsi="Arial" w:cs="Arial"/>
          <w:sz w:val="24"/>
          <w:szCs w:val="24"/>
          <w:lang w:val="en-GB"/>
        </w:rPr>
      </w:pPr>
      <w:r w:rsidRPr="00284CBC">
        <w:rPr>
          <w:rFonts w:ascii="Arial" w:hAnsi="Arial" w:cs="Arial"/>
          <w:sz w:val="24"/>
          <w:szCs w:val="24"/>
          <w:lang w:val="en-GB"/>
        </w:rPr>
        <w:t>[47]</w:t>
      </w:r>
      <w:r w:rsidRPr="00284CBC">
        <w:rPr>
          <w:rFonts w:ascii="Arial" w:hAnsi="Arial" w:cs="Arial"/>
          <w:sz w:val="24"/>
          <w:szCs w:val="24"/>
          <w:lang w:val="en-GB"/>
        </w:rPr>
        <w:tab/>
      </w:r>
      <w:r w:rsidR="00674C43" w:rsidRPr="00284CBC">
        <w:rPr>
          <w:rFonts w:ascii="Arial" w:hAnsi="Arial" w:cs="Arial"/>
          <w:sz w:val="24"/>
          <w:szCs w:val="24"/>
          <w:lang w:val="en-GB"/>
        </w:rPr>
        <w:t>T</w:t>
      </w:r>
      <w:r w:rsidR="0043478D" w:rsidRPr="00284CBC">
        <w:rPr>
          <w:rFonts w:ascii="Arial" w:hAnsi="Arial" w:cs="Arial"/>
          <w:sz w:val="24"/>
          <w:szCs w:val="24"/>
          <w:lang w:val="en-GB"/>
        </w:rPr>
        <w:t>here remains the question of costs. The applicant seeks costs on an attorney and client scale. The lease agreement does not provide for costs on that scale as a matter of contractual right. The applicant however submit</w:t>
      </w:r>
      <w:r w:rsidR="00654762">
        <w:rPr>
          <w:rFonts w:ascii="Arial" w:hAnsi="Arial" w:cs="Arial"/>
          <w:sz w:val="24"/>
          <w:szCs w:val="24"/>
          <w:lang w:val="en-GB"/>
        </w:rPr>
        <w:t>s that</w:t>
      </w:r>
      <w:r w:rsidR="0043478D" w:rsidRPr="00284CBC">
        <w:rPr>
          <w:rFonts w:ascii="Arial" w:hAnsi="Arial" w:cs="Arial"/>
          <w:sz w:val="24"/>
          <w:szCs w:val="24"/>
          <w:lang w:val="en-GB"/>
        </w:rPr>
        <w:t xml:space="preserve"> costs on a punitive scale are warranted by virtue of the manner in which the respondent has opposed </w:t>
      </w:r>
      <w:r w:rsidR="00312B98">
        <w:rPr>
          <w:rFonts w:ascii="Arial" w:hAnsi="Arial" w:cs="Arial"/>
          <w:sz w:val="24"/>
          <w:szCs w:val="24"/>
          <w:lang w:val="en-GB"/>
        </w:rPr>
        <w:t xml:space="preserve">and delayed </w:t>
      </w:r>
      <w:r w:rsidR="0043478D" w:rsidRPr="00284CBC">
        <w:rPr>
          <w:rFonts w:ascii="Arial" w:hAnsi="Arial" w:cs="Arial"/>
          <w:sz w:val="24"/>
          <w:szCs w:val="24"/>
          <w:lang w:val="en-GB"/>
        </w:rPr>
        <w:t xml:space="preserve">the eviction proceedings. </w:t>
      </w:r>
      <w:r w:rsidR="00674C43" w:rsidRPr="00284CBC">
        <w:rPr>
          <w:rFonts w:ascii="Arial" w:hAnsi="Arial" w:cs="Arial"/>
          <w:sz w:val="24"/>
          <w:szCs w:val="24"/>
          <w:lang w:val="en-GB"/>
        </w:rPr>
        <w:t xml:space="preserve"> </w:t>
      </w:r>
    </w:p>
    <w:p w:rsidR="0021685D" w:rsidRDefault="0021685D" w:rsidP="0021685D">
      <w:pPr>
        <w:pStyle w:val="ListParagraph"/>
        <w:rPr>
          <w:rFonts w:ascii="Arial" w:hAnsi="Arial" w:cs="Arial"/>
          <w:sz w:val="24"/>
          <w:szCs w:val="24"/>
          <w:lang w:val="en-GB"/>
        </w:rPr>
      </w:pPr>
    </w:p>
    <w:p w:rsidR="0003728E" w:rsidRDefault="00630603" w:rsidP="00630603">
      <w:pPr>
        <w:spacing w:after="0" w:line="360" w:lineRule="auto"/>
        <w:jc w:val="both"/>
        <w:rPr>
          <w:rFonts w:ascii="Arial" w:hAnsi="Arial" w:cs="Arial"/>
          <w:sz w:val="24"/>
          <w:szCs w:val="24"/>
          <w:lang w:val="en-GB"/>
        </w:rPr>
      </w:pPr>
      <w:r>
        <w:rPr>
          <w:rFonts w:ascii="Arial" w:hAnsi="Arial" w:cs="Arial"/>
          <w:sz w:val="24"/>
          <w:szCs w:val="24"/>
          <w:lang w:val="en-GB"/>
        </w:rPr>
        <w:t>[48]</w:t>
      </w:r>
      <w:r>
        <w:rPr>
          <w:rFonts w:ascii="Arial" w:hAnsi="Arial" w:cs="Arial"/>
          <w:sz w:val="24"/>
          <w:szCs w:val="24"/>
          <w:lang w:val="en-GB"/>
        </w:rPr>
        <w:tab/>
      </w:r>
      <w:r w:rsidR="0043478D" w:rsidRPr="0021685D">
        <w:rPr>
          <w:rFonts w:ascii="Arial" w:hAnsi="Arial" w:cs="Arial"/>
          <w:sz w:val="24"/>
          <w:szCs w:val="24"/>
          <w:lang w:val="en-GB"/>
        </w:rPr>
        <w:t>The respondent did not proffer a substantive defence to the eviction.</w:t>
      </w:r>
      <w:r w:rsidR="00312B98">
        <w:rPr>
          <w:rFonts w:ascii="Arial" w:hAnsi="Arial" w:cs="Arial"/>
          <w:sz w:val="24"/>
          <w:szCs w:val="24"/>
          <w:lang w:val="en-GB"/>
        </w:rPr>
        <w:t xml:space="preserve"> </w:t>
      </w:r>
      <w:r w:rsidR="0043478D" w:rsidRPr="0021685D">
        <w:rPr>
          <w:rFonts w:ascii="Arial" w:hAnsi="Arial" w:cs="Arial"/>
          <w:sz w:val="24"/>
          <w:szCs w:val="24"/>
          <w:lang w:val="en-GB"/>
        </w:rPr>
        <w:t>Its answering affidavit raised a bald denial of the allegation</w:t>
      </w:r>
      <w:r w:rsidR="00312B98">
        <w:rPr>
          <w:rFonts w:ascii="Arial" w:hAnsi="Arial" w:cs="Arial"/>
          <w:sz w:val="24"/>
          <w:szCs w:val="24"/>
          <w:lang w:val="en-GB"/>
        </w:rPr>
        <w:t>s</w:t>
      </w:r>
      <w:r w:rsidR="0043478D" w:rsidRPr="0021685D">
        <w:rPr>
          <w:rFonts w:ascii="Arial" w:hAnsi="Arial" w:cs="Arial"/>
          <w:sz w:val="24"/>
          <w:szCs w:val="24"/>
          <w:lang w:val="en-GB"/>
        </w:rPr>
        <w:t xml:space="preserve"> that it was in arrears</w:t>
      </w:r>
      <w:r w:rsidR="00312B98">
        <w:rPr>
          <w:rFonts w:ascii="Arial" w:hAnsi="Arial" w:cs="Arial"/>
          <w:sz w:val="24"/>
          <w:szCs w:val="24"/>
          <w:lang w:val="en-GB"/>
        </w:rPr>
        <w:t xml:space="preserve"> and it adduced </w:t>
      </w:r>
      <w:r w:rsidR="003C3F97" w:rsidRPr="0021685D">
        <w:rPr>
          <w:rFonts w:ascii="Arial" w:hAnsi="Arial" w:cs="Arial"/>
          <w:sz w:val="24"/>
          <w:szCs w:val="24"/>
          <w:lang w:val="en-GB"/>
        </w:rPr>
        <w:t xml:space="preserve">no proof of payment. </w:t>
      </w:r>
      <w:r w:rsidR="00332644">
        <w:rPr>
          <w:rFonts w:ascii="Arial" w:hAnsi="Arial" w:cs="Arial"/>
          <w:sz w:val="24"/>
          <w:szCs w:val="24"/>
          <w:lang w:val="en-GB"/>
        </w:rPr>
        <w:t xml:space="preserve">Similarly, it denied receipt of the notice to remedy its breach and the cancellation letter in the face of the applicant attaching email notification and a sheriff’s return to the founding affidavit. </w:t>
      </w:r>
      <w:r w:rsidR="003C3F97" w:rsidRPr="0021685D">
        <w:rPr>
          <w:rFonts w:ascii="Arial" w:hAnsi="Arial" w:cs="Arial"/>
          <w:sz w:val="24"/>
          <w:szCs w:val="24"/>
          <w:lang w:val="en-GB"/>
        </w:rPr>
        <w:t>Apart from the authority challenge, the balance of its opposition comprised technical defences, all of which were correctly abandoned</w:t>
      </w:r>
      <w:r w:rsidR="00312B98">
        <w:rPr>
          <w:rFonts w:ascii="Arial" w:hAnsi="Arial" w:cs="Arial"/>
          <w:sz w:val="24"/>
          <w:szCs w:val="24"/>
          <w:lang w:val="en-GB"/>
        </w:rPr>
        <w:t>.</w:t>
      </w:r>
      <w:r w:rsidR="003C3F97" w:rsidRPr="0021685D">
        <w:rPr>
          <w:rFonts w:ascii="Arial" w:hAnsi="Arial" w:cs="Arial"/>
          <w:sz w:val="24"/>
          <w:szCs w:val="24"/>
          <w:lang w:val="en-GB"/>
        </w:rPr>
        <w:t xml:space="preserve"> The only ground </w:t>
      </w:r>
      <w:r w:rsidR="00312B98">
        <w:rPr>
          <w:rFonts w:ascii="Arial" w:hAnsi="Arial" w:cs="Arial"/>
          <w:sz w:val="24"/>
          <w:szCs w:val="24"/>
          <w:lang w:val="en-GB"/>
        </w:rPr>
        <w:t xml:space="preserve">in </w:t>
      </w:r>
      <w:r w:rsidR="003C3F97" w:rsidRPr="0021685D">
        <w:rPr>
          <w:rFonts w:ascii="Arial" w:hAnsi="Arial" w:cs="Arial"/>
          <w:sz w:val="24"/>
          <w:szCs w:val="24"/>
          <w:lang w:val="en-GB"/>
        </w:rPr>
        <w:t>which the respondent p</w:t>
      </w:r>
      <w:r w:rsidR="00312B98">
        <w:rPr>
          <w:rFonts w:ascii="Arial" w:hAnsi="Arial" w:cs="Arial"/>
          <w:sz w:val="24"/>
          <w:szCs w:val="24"/>
          <w:lang w:val="en-GB"/>
        </w:rPr>
        <w:t>ersisted</w:t>
      </w:r>
      <w:r w:rsidR="003C3F97" w:rsidRPr="0021685D">
        <w:rPr>
          <w:rFonts w:ascii="Arial" w:hAnsi="Arial" w:cs="Arial"/>
          <w:sz w:val="24"/>
          <w:szCs w:val="24"/>
          <w:lang w:val="en-GB"/>
        </w:rPr>
        <w:t xml:space="preserve"> was the authority challenge, which required</w:t>
      </w:r>
      <w:r w:rsidR="00312B98">
        <w:rPr>
          <w:rFonts w:ascii="Arial" w:hAnsi="Arial" w:cs="Arial"/>
          <w:sz w:val="24"/>
          <w:szCs w:val="24"/>
          <w:lang w:val="en-GB"/>
        </w:rPr>
        <w:t xml:space="preserve"> proceedings to vitiate</w:t>
      </w:r>
      <w:r w:rsidR="003C3F97" w:rsidRPr="0021685D">
        <w:rPr>
          <w:rFonts w:ascii="Arial" w:hAnsi="Arial" w:cs="Arial"/>
          <w:sz w:val="24"/>
          <w:szCs w:val="24"/>
          <w:lang w:val="en-GB"/>
        </w:rPr>
        <w:t xml:space="preserve"> the resolution</w:t>
      </w:r>
      <w:r w:rsidR="00312B98">
        <w:rPr>
          <w:rFonts w:ascii="Arial" w:hAnsi="Arial" w:cs="Arial"/>
          <w:sz w:val="24"/>
          <w:szCs w:val="24"/>
          <w:lang w:val="en-GB"/>
        </w:rPr>
        <w:t>. D</w:t>
      </w:r>
      <w:r w:rsidR="003C3F97" w:rsidRPr="0021685D">
        <w:rPr>
          <w:rFonts w:ascii="Arial" w:hAnsi="Arial" w:cs="Arial"/>
          <w:sz w:val="24"/>
          <w:szCs w:val="24"/>
          <w:lang w:val="en-GB"/>
        </w:rPr>
        <w:t xml:space="preserve">espite such challenge being </w:t>
      </w:r>
      <w:r w:rsidR="00D57A8A">
        <w:rPr>
          <w:rFonts w:ascii="Arial" w:hAnsi="Arial" w:cs="Arial"/>
          <w:sz w:val="24"/>
          <w:szCs w:val="24"/>
          <w:lang w:val="en-GB"/>
        </w:rPr>
        <w:t>averted</w:t>
      </w:r>
      <w:r w:rsidR="003C3F97" w:rsidRPr="0021685D">
        <w:rPr>
          <w:rFonts w:ascii="Arial" w:hAnsi="Arial" w:cs="Arial"/>
          <w:sz w:val="24"/>
          <w:szCs w:val="24"/>
          <w:lang w:val="en-GB"/>
        </w:rPr>
        <w:t xml:space="preserve"> to in the respondent’s answering affidavit in January 2023, it was not brought </w:t>
      </w:r>
      <w:r w:rsidR="00D57A8A">
        <w:rPr>
          <w:rFonts w:ascii="Arial" w:hAnsi="Arial" w:cs="Arial"/>
          <w:sz w:val="24"/>
          <w:szCs w:val="24"/>
          <w:lang w:val="en-GB"/>
        </w:rPr>
        <w:t xml:space="preserve">until </w:t>
      </w:r>
      <w:r w:rsidR="003C3F97" w:rsidRPr="0021685D">
        <w:rPr>
          <w:rFonts w:ascii="Arial" w:hAnsi="Arial" w:cs="Arial"/>
          <w:sz w:val="24"/>
          <w:szCs w:val="24"/>
          <w:lang w:val="en-GB"/>
        </w:rPr>
        <w:t>seven months later, on the eve of the hearing of the opposed motion in the eviction proceedings</w:t>
      </w:r>
      <w:r w:rsidR="00D57A8A">
        <w:rPr>
          <w:rFonts w:ascii="Arial" w:hAnsi="Arial" w:cs="Arial"/>
          <w:sz w:val="24"/>
          <w:szCs w:val="24"/>
          <w:lang w:val="en-GB"/>
        </w:rPr>
        <w:t xml:space="preserve"> and nearly a year after the respondent’s attorneys had received a copy of the resolution</w:t>
      </w:r>
      <w:r w:rsidR="003C3F97" w:rsidRPr="0021685D">
        <w:rPr>
          <w:rFonts w:ascii="Arial" w:hAnsi="Arial" w:cs="Arial"/>
          <w:sz w:val="24"/>
          <w:szCs w:val="24"/>
          <w:lang w:val="en-GB"/>
        </w:rPr>
        <w:t xml:space="preserve">. </w:t>
      </w:r>
    </w:p>
    <w:p w:rsidR="0003728E" w:rsidRDefault="0003728E" w:rsidP="0003728E">
      <w:pPr>
        <w:pStyle w:val="ListParagraph"/>
        <w:rPr>
          <w:rFonts w:ascii="Arial" w:hAnsi="Arial" w:cs="Arial"/>
          <w:sz w:val="24"/>
          <w:szCs w:val="24"/>
          <w:lang w:val="en-GB"/>
        </w:rPr>
      </w:pPr>
    </w:p>
    <w:p w:rsidR="00C913CD" w:rsidRDefault="00630603" w:rsidP="00630603">
      <w:pPr>
        <w:spacing w:after="0" w:line="360" w:lineRule="auto"/>
        <w:jc w:val="both"/>
        <w:rPr>
          <w:rFonts w:ascii="Arial" w:hAnsi="Arial" w:cs="Arial"/>
          <w:sz w:val="24"/>
          <w:szCs w:val="24"/>
          <w:lang w:val="en-GB"/>
        </w:rPr>
      </w:pPr>
      <w:r>
        <w:rPr>
          <w:rFonts w:ascii="Arial" w:hAnsi="Arial" w:cs="Arial"/>
          <w:sz w:val="24"/>
          <w:szCs w:val="24"/>
          <w:lang w:val="en-GB"/>
        </w:rPr>
        <w:t>[49]</w:t>
      </w:r>
      <w:r>
        <w:rPr>
          <w:rFonts w:ascii="Arial" w:hAnsi="Arial" w:cs="Arial"/>
          <w:sz w:val="24"/>
          <w:szCs w:val="24"/>
          <w:lang w:val="en-GB"/>
        </w:rPr>
        <w:tab/>
      </w:r>
      <w:r w:rsidR="00D57A8A" w:rsidRPr="0021685D">
        <w:rPr>
          <w:rFonts w:ascii="Arial" w:hAnsi="Arial" w:cs="Arial"/>
          <w:sz w:val="24"/>
          <w:szCs w:val="24"/>
          <w:lang w:val="en-GB"/>
        </w:rPr>
        <w:t>All</w:t>
      </w:r>
      <w:r w:rsidR="003C3F97" w:rsidRPr="0021685D">
        <w:rPr>
          <w:rFonts w:ascii="Arial" w:hAnsi="Arial" w:cs="Arial"/>
          <w:sz w:val="24"/>
          <w:szCs w:val="24"/>
          <w:lang w:val="en-GB"/>
        </w:rPr>
        <w:t xml:space="preserve"> </w:t>
      </w:r>
      <w:r w:rsidR="0003728E">
        <w:rPr>
          <w:rFonts w:ascii="Arial" w:hAnsi="Arial" w:cs="Arial"/>
          <w:sz w:val="24"/>
          <w:szCs w:val="24"/>
          <w:lang w:val="en-GB"/>
        </w:rPr>
        <w:t xml:space="preserve">of </w:t>
      </w:r>
      <w:r w:rsidR="003C3F97" w:rsidRPr="0021685D">
        <w:rPr>
          <w:rFonts w:ascii="Arial" w:hAnsi="Arial" w:cs="Arial"/>
          <w:sz w:val="24"/>
          <w:szCs w:val="24"/>
          <w:lang w:val="en-GB"/>
        </w:rPr>
        <w:t xml:space="preserve">this conduct speaks to the respondent seeking to delay its eviction and the finalisation of the present proceedings on specious grounds. In those circumstances, I find it </w:t>
      </w:r>
      <w:r w:rsidR="00D57A8A">
        <w:rPr>
          <w:rFonts w:ascii="Arial" w:hAnsi="Arial" w:cs="Arial"/>
          <w:sz w:val="24"/>
          <w:szCs w:val="24"/>
          <w:lang w:val="en-GB"/>
        </w:rPr>
        <w:t>is</w:t>
      </w:r>
      <w:r w:rsidR="003C3F97" w:rsidRPr="0021685D">
        <w:rPr>
          <w:rFonts w:ascii="Arial" w:hAnsi="Arial" w:cs="Arial"/>
          <w:sz w:val="24"/>
          <w:szCs w:val="24"/>
          <w:lang w:val="en-GB"/>
        </w:rPr>
        <w:t xml:space="preserve"> appropriate to grant costs against the respondent on the scale as between attorney and client. </w:t>
      </w:r>
    </w:p>
    <w:p w:rsidR="00C913CD" w:rsidRPr="0003728E" w:rsidRDefault="00C913CD" w:rsidP="0003728E">
      <w:pPr>
        <w:rPr>
          <w:rFonts w:ascii="Arial" w:hAnsi="Arial" w:cs="Arial"/>
          <w:sz w:val="24"/>
          <w:szCs w:val="24"/>
          <w:lang w:val="en-GB"/>
        </w:rPr>
      </w:pPr>
    </w:p>
    <w:p w:rsidR="003C3F97" w:rsidRPr="00C913CD" w:rsidRDefault="00630603" w:rsidP="00630603">
      <w:pPr>
        <w:spacing w:after="0" w:line="360" w:lineRule="auto"/>
        <w:jc w:val="both"/>
        <w:rPr>
          <w:rFonts w:ascii="Arial" w:hAnsi="Arial" w:cs="Arial"/>
          <w:sz w:val="24"/>
          <w:szCs w:val="24"/>
          <w:lang w:val="en-GB"/>
        </w:rPr>
      </w:pPr>
      <w:r w:rsidRPr="00C913CD">
        <w:rPr>
          <w:rFonts w:ascii="Arial" w:hAnsi="Arial" w:cs="Arial"/>
          <w:sz w:val="24"/>
          <w:szCs w:val="24"/>
          <w:lang w:val="en-GB"/>
        </w:rPr>
        <w:t>[50]</w:t>
      </w:r>
      <w:r w:rsidRPr="00C913CD">
        <w:rPr>
          <w:rFonts w:ascii="Arial" w:hAnsi="Arial" w:cs="Arial"/>
          <w:sz w:val="24"/>
          <w:szCs w:val="24"/>
          <w:lang w:val="en-GB"/>
        </w:rPr>
        <w:tab/>
      </w:r>
      <w:r w:rsidR="003C3F97" w:rsidRPr="00C913CD">
        <w:rPr>
          <w:rFonts w:ascii="Arial" w:hAnsi="Arial" w:cs="Arial"/>
          <w:sz w:val="24"/>
          <w:szCs w:val="24"/>
          <w:lang w:val="en-GB"/>
        </w:rPr>
        <w:t xml:space="preserve">I consequently make </w:t>
      </w:r>
      <w:r w:rsidR="006365F1">
        <w:rPr>
          <w:rFonts w:ascii="Arial" w:hAnsi="Arial" w:cs="Arial"/>
          <w:sz w:val="24"/>
          <w:szCs w:val="24"/>
          <w:lang w:val="en-GB"/>
        </w:rPr>
        <w:t>the following</w:t>
      </w:r>
      <w:r w:rsidR="00D040AD">
        <w:rPr>
          <w:rFonts w:ascii="Arial" w:hAnsi="Arial" w:cs="Arial"/>
          <w:sz w:val="24"/>
          <w:szCs w:val="24"/>
          <w:lang w:val="en-GB"/>
        </w:rPr>
        <w:t xml:space="preserve"> order</w:t>
      </w:r>
      <w:r w:rsidR="003C3F97" w:rsidRPr="00C913CD">
        <w:rPr>
          <w:rFonts w:ascii="Arial" w:hAnsi="Arial" w:cs="Arial"/>
          <w:sz w:val="24"/>
          <w:szCs w:val="24"/>
          <w:lang w:val="en-GB"/>
        </w:rPr>
        <w:t>:-</w:t>
      </w:r>
    </w:p>
    <w:p w:rsidR="00FB28FE" w:rsidRDefault="00FB28FE" w:rsidP="00FB28FE">
      <w:pPr>
        <w:pStyle w:val="ListParagraph"/>
        <w:rPr>
          <w:rFonts w:ascii="Arial" w:hAnsi="Arial" w:cs="Arial"/>
          <w:sz w:val="24"/>
          <w:szCs w:val="24"/>
          <w:lang w:val="en-GB"/>
        </w:rPr>
      </w:pPr>
    </w:p>
    <w:p w:rsidR="00B41BA0" w:rsidRPr="00630603" w:rsidRDefault="00630603" w:rsidP="00630603">
      <w:pPr>
        <w:spacing w:line="360" w:lineRule="auto"/>
        <w:ind w:left="1418" w:hanging="709"/>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r>
      <w:r w:rsidR="00FB28FE" w:rsidRPr="00630603">
        <w:rPr>
          <w:rFonts w:ascii="Arial" w:hAnsi="Arial" w:cs="Arial"/>
          <w:sz w:val="24"/>
          <w:szCs w:val="24"/>
          <w:lang w:val="en-GB"/>
        </w:rPr>
        <w:t xml:space="preserve">The </w:t>
      </w:r>
      <w:r w:rsidR="006365F1" w:rsidRPr="00630603">
        <w:rPr>
          <w:rFonts w:ascii="Arial" w:hAnsi="Arial" w:cs="Arial"/>
          <w:sz w:val="24"/>
          <w:szCs w:val="24"/>
          <w:lang w:val="en-GB"/>
        </w:rPr>
        <w:t>r</w:t>
      </w:r>
      <w:r w:rsidR="00FB28FE" w:rsidRPr="00630603">
        <w:rPr>
          <w:rFonts w:ascii="Arial" w:hAnsi="Arial" w:cs="Arial"/>
          <w:sz w:val="24"/>
          <w:szCs w:val="24"/>
          <w:lang w:val="en-GB"/>
        </w:rPr>
        <w:t xml:space="preserve">espondent and all persons </w:t>
      </w:r>
      <w:r w:rsidR="006365F1" w:rsidRPr="00630603">
        <w:rPr>
          <w:rFonts w:ascii="Arial" w:hAnsi="Arial" w:cs="Arial"/>
          <w:sz w:val="24"/>
          <w:szCs w:val="24"/>
          <w:lang w:val="en-GB"/>
        </w:rPr>
        <w:t xml:space="preserve">in </w:t>
      </w:r>
      <w:r w:rsidR="00FB28FE" w:rsidRPr="00630603">
        <w:rPr>
          <w:rFonts w:ascii="Arial" w:hAnsi="Arial" w:cs="Arial"/>
          <w:sz w:val="24"/>
          <w:szCs w:val="24"/>
          <w:lang w:val="en-GB"/>
        </w:rPr>
        <w:t>occupation by, through or unde</w:t>
      </w:r>
      <w:r w:rsidR="006365F1" w:rsidRPr="00630603">
        <w:rPr>
          <w:rFonts w:ascii="Arial" w:hAnsi="Arial" w:cs="Arial"/>
          <w:sz w:val="24"/>
          <w:szCs w:val="24"/>
          <w:lang w:val="en-GB"/>
        </w:rPr>
        <w:t xml:space="preserve">r it </w:t>
      </w:r>
      <w:r w:rsidR="00FB28FE" w:rsidRPr="00630603">
        <w:rPr>
          <w:rFonts w:ascii="Arial" w:hAnsi="Arial" w:cs="Arial"/>
          <w:sz w:val="24"/>
          <w:szCs w:val="24"/>
          <w:lang w:val="en-GB"/>
        </w:rPr>
        <w:t xml:space="preserve">are ordered to vacate the </w:t>
      </w:r>
      <w:r w:rsidR="006365F1" w:rsidRPr="00630603">
        <w:rPr>
          <w:rFonts w:ascii="Arial" w:hAnsi="Arial" w:cs="Arial"/>
          <w:sz w:val="24"/>
          <w:szCs w:val="24"/>
          <w:lang w:val="en-GB"/>
        </w:rPr>
        <w:t>p</w:t>
      </w:r>
      <w:r w:rsidR="00FB28FE" w:rsidRPr="00630603">
        <w:rPr>
          <w:rFonts w:ascii="Arial" w:hAnsi="Arial" w:cs="Arial"/>
          <w:sz w:val="24"/>
          <w:szCs w:val="24"/>
          <w:lang w:val="en-GB"/>
        </w:rPr>
        <w:t>remises at 24 Ashfield Avenue, Springfield Park, Durban (the Premises)</w:t>
      </w:r>
      <w:r w:rsidR="006365F1" w:rsidRPr="00630603">
        <w:rPr>
          <w:rFonts w:ascii="Arial" w:hAnsi="Arial" w:cs="Arial"/>
          <w:sz w:val="24"/>
          <w:szCs w:val="24"/>
          <w:lang w:val="en-GB"/>
        </w:rPr>
        <w:t xml:space="preserve"> by 31 October 2023.</w:t>
      </w:r>
    </w:p>
    <w:p w:rsidR="00FB28FE" w:rsidRPr="00FB28FE" w:rsidRDefault="00FB28FE" w:rsidP="00FB28FE">
      <w:pPr>
        <w:pStyle w:val="ListParagraph"/>
        <w:spacing w:line="360" w:lineRule="auto"/>
        <w:ind w:left="1418"/>
        <w:jc w:val="both"/>
        <w:rPr>
          <w:rFonts w:ascii="Arial" w:hAnsi="Arial" w:cs="Arial"/>
          <w:sz w:val="24"/>
          <w:szCs w:val="24"/>
          <w:lang w:val="en-GB"/>
        </w:rPr>
      </w:pPr>
    </w:p>
    <w:p w:rsidR="00FB28FE" w:rsidRPr="00630603" w:rsidRDefault="00630603" w:rsidP="00630603">
      <w:pPr>
        <w:spacing w:line="360" w:lineRule="auto"/>
        <w:ind w:left="1418" w:hanging="731"/>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r>
      <w:r w:rsidR="00FB28FE" w:rsidRPr="00630603">
        <w:rPr>
          <w:rFonts w:ascii="Arial" w:hAnsi="Arial" w:cs="Arial"/>
          <w:sz w:val="24"/>
          <w:szCs w:val="24"/>
          <w:lang w:val="en-GB"/>
        </w:rPr>
        <w:t xml:space="preserve">Should the </w:t>
      </w:r>
      <w:r w:rsidR="006365F1" w:rsidRPr="00630603">
        <w:rPr>
          <w:rFonts w:ascii="Arial" w:hAnsi="Arial" w:cs="Arial"/>
          <w:sz w:val="24"/>
          <w:szCs w:val="24"/>
          <w:lang w:val="en-GB"/>
        </w:rPr>
        <w:t>r</w:t>
      </w:r>
      <w:r w:rsidR="00FB28FE" w:rsidRPr="00630603">
        <w:rPr>
          <w:rFonts w:ascii="Arial" w:hAnsi="Arial" w:cs="Arial"/>
          <w:sz w:val="24"/>
          <w:szCs w:val="24"/>
          <w:lang w:val="en-GB"/>
        </w:rPr>
        <w:t>espondent and</w:t>
      </w:r>
      <w:r w:rsidR="00312B98" w:rsidRPr="00630603">
        <w:rPr>
          <w:rFonts w:ascii="Arial" w:hAnsi="Arial" w:cs="Arial"/>
          <w:sz w:val="24"/>
          <w:szCs w:val="24"/>
          <w:lang w:val="en-GB"/>
        </w:rPr>
        <w:t xml:space="preserve"> all</w:t>
      </w:r>
      <w:r w:rsidR="00FB28FE" w:rsidRPr="00630603">
        <w:rPr>
          <w:rFonts w:ascii="Arial" w:hAnsi="Arial" w:cs="Arial"/>
          <w:sz w:val="24"/>
          <w:szCs w:val="24"/>
          <w:lang w:val="en-GB"/>
        </w:rPr>
        <w:t xml:space="preserve"> persons occupying the </w:t>
      </w:r>
      <w:r w:rsidR="006365F1" w:rsidRPr="00630603">
        <w:rPr>
          <w:rFonts w:ascii="Arial" w:hAnsi="Arial" w:cs="Arial"/>
          <w:sz w:val="24"/>
          <w:szCs w:val="24"/>
          <w:lang w:val="en-GB"/>
        </w:rPr>
        <w:t>p</w:t>
      </w:r>
      <w:r w:rsidR="00FB28FE" w:rsidRPr="00630603">
        <w:rPr>
          <w:rFonts w:ascii="Arial" w:hAnsi="Arial" w:cs="Arial"/>
          <w:sz w:val="24"/>
          <w:szCs w:val="24"/>
          <w:lang w:val="en-GB"/>
        </w:rPr>
        <w:t xml:space="preserve">remises by, </w:t>
      </w:r>
      <w:r w:rsidR="00FB28FE" w:rsidRPr="00630603">
        <w:rPr>
          <w:rFonts w:ascii="Arial" w:hAnsi="Arial" w:cs="Arial"/>
          <w:sz w:val="24"/>
          <w:szCs w:val="24"/>
          <w:lang w:val="en-GB"/>
        </w:rPr>
        <w:tab/>
        <w:t>through or under</w:t>
      </w:r>
      <w:r w:rsidR="006365F1" w:rsidRPr="00630603">
        <w:rPr>
          <w:rFonts w:ascii="Arial" w:hAnsi="Arial" w:cs="Arial"/>
          <w:sz w:val="24"/>
          <w:szCs w:val="24"/>
          <w:lang w:val="en-GB"/>
        </w:rPr>
        <w:t xml:space="preserve"> it</w:t>
      </w:r>
      <w:r w:rsidR="00FB28FE" w:rsidRPr="00630603">
        <w:rPr>
          <w:rFonts w:ascii="Arial" w:hAnsi="Arial" w:cs="Arial"/>
          <w:sz w:val="24"/>
          <w:szCs w:val="24"/>
          <w:lang w:val="en-GB"/>
        </w:rPr>
        <w:t xml:space="preserve"> not vacate the </w:t>
      </w:r>
      <w:r w:rsidR="006365F1" w:rsidRPr="00630603">
        <w:rPr>
          <w:rFonts w:ascii="Arial" w:hAnsi="Arial" w:cs="Arial"/>
          <w:sz w:val="24"/>
          <w:szCs w:val="24"/>
          <w:lang w:val="en-GB"/>
        </w:rPr>
        <w:t>pr</w:t>
      </w:r>
      <w:r w:rsidR="00FB28FE" w:rsidRPr="00630603">
        <w:rPr>
          <w:rFonts w:ascii="Arial" w:hAnsi="Arial" w:cs="Arial"/>
          <w:sz w:val="24"/>
          <w:szCs w:val="24"/>
          <w:lang w:val="en-GB"/>
        </w:rPr>
        <w:t xml:space="preserve">emises </w:t>
      </w:r>
      <w:r w:rsidR="006365F1" w:rsidRPr="00630603">
        <w:rPr>
          <w:rFonts w:ascii="Arial" w:hAnsi="Arial" w:cs="Arial"/>
          <w:sz w:val="24"/>
          <w:szCs w:val="24"/>
          <w:lang w:val="en-GB"/>
        </w:rPr>
        <w:t>by 31 October 2023</w:t>
      </w:r>
      <w:r w:rsidR="00FB28FE" w:rsidRPr="00630603">
        <w:rPr>
          <w:rFonts w:ascii="Arial" w:hAnsi="Arial" w:cs="Arial"/>
          <w:sz w:val="24"/>
          <w:szCs w:val="24"/>
          <w:lang w:val="en-GB"/>
        </w:rPr>
        <w:t xml:space="preserve">, the </w:t>
      </w:r>
      <w:r w:rsidR="006365F1" w:rsidRPr="00630603">
        <w:rPr>
          <w:rFonts w:ascii="Arial" w:hAnsi="Arial" w:cs="Arial"/>
          <w:sz w:val="24"/>
          <w:szCs w:val="24"/>
          <w:lang w:val="en-GB"/>
        </w:rPr>
        <w:t xml:space="preserve"> S</w:t>
      </w:r>
      <w:r w:rsidR="00FB28FE" w:rsidRPr="00630603">
        <w:rPr>
          <w:rFonts w:ascii="Arial" w:hAnsi="Arial" w:cs="Arial"/>
          <w:sz w:val="24"/>
          <w:szCs w:val="24"/>
          <w:lang w:val="en-GB"/>
        </w:rPr>
        <w:t xml:space="preserve">heriff, or his lawful deputy, is authorised to evict </w:t>
      </w:r>
      <w:r w:rsidR="001D2F48" w:rsidRPr="00630603">
        <w:rPr>
          <w:rFonts w:ascii="Arial" w:hAnsi="Arial" w:cs="Arial"/>
          <w:sz w:val="24"/>
          <w:szCs w:val="24"/>
          <w:lang w:val="en-GB"/>
        </w:rPr>
        <w:t xml:space="preserve">such persons </w:t>
      </w:r>
      <w:r w:rsidR="006365F1" w:rsidRPr="00630603">
        <w:rPr>
          <w:rFonts w:ascii="Arial" w:hAnsi="Arial" w:cs="Arial"/>
          <w:sz w:val="24"/>
          <w:szCs w:val="24"/>
          <w:lang w:val="en-GB"/>
        </w:rPr>
        <w:t xml:space="preserve">from the premises. </w:t>
      </w:r>
    </w:p>
    <w:p w:rsidR="00FB28FE" w:rsidRPr="00FB28FE" w:rsidRDefault="00FB28FE" w:rsidP="00FB28FE">
      <w:pPr>
        <w:pStyle w:val="ListParagraph"/>
        <w:spacing w:line="360" w:lineRule="auto"/>
        <w:rPr>
          <w:rFonts w:ascii="Arial" w:hAnsi="Arial" w:cs="Arial"/>
          <w:sz w:val="24"/>
          <w:szCs w:val="24"/>
          <w:lang w:val="en-GB"/>
        </w:rPr>
      </w:pPr>
    </w:p>
    <w:p w:rsidR="00FB28FE" w:rsidRPr="00630603" w:rsidRDefault="00630603" w:rsidP="00630603">
      <w:pPr>
        <w:spacing w:line="360" w:lineRule="auto"/>
        <w:ind w:left="709" w:hanging="22"/>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r>
      <w:r w:rsidR="006365F1" w:rsidRPr="00630603">
        <w:rPr>
          <w:rFonts w:ascii="Arial" w:hAnsi="Arial" w:cs="Arial"/>
          <w:sz w:val="24"/>
          <w:szCs w:val="24"/>
          <w:lang w:val="en-GB"/>
        </w:rPr>
        <w:t>T</w:t>
      </w:r>
      <w:r w:rsidR="00FB28FE" w:rsidRPr="00630603">
        <w:rPr>
          <w:rFonts w:ascii="Arial" w:hAnsi="Arial" w:cs="Arial"/>
          <w:sz w:val="24"/>
          <w:szCs w:val="24"/>
          <w:lang w:val="en-GB"/>
        </w:rPr>
        <w:t xml:space="preserve">he Respondent is </w:t>
      </w:r>
      <w:r w:rsidR="006365F1" w:rsidRPr="00630603">
        <w:rPr>
          <w:rFonts w:ascii="Arial" w:hAnsi="Arial" w:cs="Arial"/>
          <w:sz w:val="24"/>
          <w:szCs w:val="24"/>
          <w:lang w:val="en-GB"/>
        </w:rPr>
        <w:t xml:space="preserve">ordered </w:t>
      </w:r>
      <w:r w:rsidR="00FB28FE" w:rsidRPr="00630603">
        <w:rPr>
          <w:rFonts w:ascii="Arial" w:hAnsi="Arial" w:cs="Arial"/>
          <w:sz w:val="24"/>
          <w:szCs w:val="24"/>
          <w:lang w:val="en-GB"/>
        </w:rPr>
        <w:t xml:space="preserve">to pay the costs of this application on the scale </w:t>
      </w:r>
      <w:r w:rsidR="00FB28FE" w:rsidRPr="00630603">
        <w:rPr>
          <w:rFonts w:ascii="Arial" w:hAnsi="Arial" w:cs="Arial"/>
          <w:sz w:val="24"/>
          <w:szCs w:val="24"/>
          <w:lang w:val="en-GB"/>
        </w:rPr>
        <w:tab/>
      </w:r>
      <w:r w:rsidR="00FB28FE" w:rsidRPr="00630603">
        <w:rPr>
          <w:rFonts w:ascii="Arial" w:hAnsi="Arial" w:cs="Arial"/>
          <w:sz w:val="24"/>
          <w:szCs w:val="24"/>
          <w:lang w:val="en-GB"/>
        </w:rPr>
        <w:tab/>
        <w:t>as between attorney and client</w:t>
      </w:r>
      <w:r w:rsidR="006365F1" w:rsidRPr="00630603">
        <w:rPr>
          <w:rFonts w:ascii="Arial" w:hAnsi="Arial" w:cs="Arial"/>
          <w:sz w:val="24"/>
          <w:szCs w:val="24"/>
          <w:lang w:val="en-GB"/>
        </w:rPr>
        <w:t>.</w:t>
      </w:r>
    </w:p>
    <w:p w:rsidR="00FB28FE" w:rsidRPr="00FB28FE" w:rsidRDefault="00FB28FE" w:rsidP="00FB28FE">
      <w:pPr>
        <w:pStyle w:val="ListParagraph"/>
        <w:spacing w:line="360" w:lineRule="auto"/>
        <w:rPr>
          <w:rFonts w:ascii="Arial" w:hAnsi="Arial" w:cs="Arial"/>
          <w:sz w:val="24"/>
          <w:szCs w:val="24"/>
          <w:lang w:val="en-GB"/>
        </w:rPr>
      </w:pPr>
    </w:p>
    <w:p w:rsidR="002B0635" w:rsidRDefault="002B0635" w:rsidP="002B0635">
      <w:pPr>
        <w:spacing w:line="480" w:lineRule="auto"/>
        <w:jc w:val="both"/>
        <w:rPr>
          <w:rFonts w:ascii="Arial" w:hAnsi="Arial" w:cs="Arial"/>
          <w:sz w:val="24"/>
          <w:szCs w:val="24"/>
          <w:lang w:val="en-GB"/>
        </w:rPr>
      </w:pPr>
    </w:p>
    <w:p w:rsidR="002B0635" w:rsidRDefault="002B0635" w:rsidP="002B0635">
      <w:pPr>
        <w:spacing w:line="480" w:lineRule="auto"/>
        <w:jc w:val="both"/>
        <w:rPr>
          <w:rFonts w:ascii="Arial" w:hAnsi="Arial" w:cs="Arial"/>
          <w:b/>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b/>
          <w:sz w:val="24"/>
          <w:szCs w:val="24"/>
          <w:lang w:val="en-GB"/>
        </w:rPr>
        <w:t>____________________</w:t>
      </w:r>
    </w:p>
    <w:p w:rsidR="002B0635" w:rsidRPr="00B41BA0" w:rsidRDefault="002B0635" w:rsidP="002B0635">
      <w:pPr>
        <w:spacing w:line="48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ANNANDALE A.J.</w:t>
      </w:r>
    </w:p>
    <w:p w:rsidR="00E87BB3" w:rsidRDefault="00E87BB3">
      <w:pPr>
        <w:rPr>
          <w:rFonts w:ascii="Arial" w:hAnsi="Arial" w:cs="Arial"/>
          <w:b/>
        </w:rPr>
      </w:pPr>
      <w:r>
        <w:rPr>
          <w:rFonts w:ascii="Arial" w:hAnsi="Arial" w:cs="Arial"/>
          <w:b/>
        </w:rPr>
        <w:br w:type="page"/>
      </w:r>
    </w:p>
    <w:p w:rsidR="00FB28FE" w:rsidRDefault="00FB28FE" w:rsidP="00FB28FE">
      <w:pPr>
        <w:pStyle w:val="ListParagraph"/>
        <w:spacing w:line="480" w:lineRule="auto"/>
        <w:rPr>
          <w:rFonts w:ascii="Arial" w:hAnsi="Arial" w:cs="Arial"/>
          <w:b/>
        </w:rPr>
      </w:pPr>
      <w:r>
        <w:rPr>
          <w:rFonts w:ascii="Arial" w:hAnsi="Arial" w:cs="Arial"/>
          <w:b/>
        </w:rPr>
        <w:lastRenderedPageBreak/>
        <w:t>JUDGMENT RESERVED:</w:t>
      </w:r>
      <w:r>
        <w:rPr>
          <w:rFonts w:ascii="Arial" w:hAnsi="Arial" w:cs="Arial"/>
          <w:b/>
        </w:rPr>
        <w:tab/>
      </w:r>
      <w:r>
        <w:rPr>
          <w:rFonts w:ascii="Arial" w:hAnsi="Arial" w:cs="Arial"/>
          <w:b/>
        </w:rPr>
        <w:tab/>
      </w:r>
      <w:r>
        <w:rPr>
          <w:rFonts w:ascii="Arial" w:hAnsi="Arial" w:cs="Arial"/>
          <w:b/>
        </w:rPr>
        <w:tab/>
      </w:r>
      <w:r w:rsidR="001D2F48" w:rsidRPr="001D2F48">
        <w:rPr>
          <w:rFonts w:ascii="Arial" w:hAnsi="Arial" w:cs="Arial"/>
          <w:b/>
        </w:rPr>
        <w:t>28 JULY</w:t>
      </w:r>
      <w:r w:rsidRPr="001D2F48">
        <w:rPr>
          <w:rFonts w:ascii="Arial" w:hAnsi="Arial" w:cs="Arial"/>
          <w:b/>
        </w:rPr>
        <w:t xml:space="preserve"> 2023</w:t>
      </w:r>
    </w:p>
    <w:p w:rsidR="00FB28FE" w:rsidRDefault="00FB28FE" w:rsidP="00FB28FE">
      <w:pPr>
        <w:pStyle w:val="ListParagraph"/>
        <w:spacing w:line="480" w:lineRule="auto"/>
        <w:rPr>
          <w:rFonts w:ascii="Arial" w:hAnsi="Arial" w:cs="Arial"/>
          <w:b/>
        </w:rPr>
      </w:pPr>
      <w:r>
        <w:rPr>
          <w:rFonts w:ascii="Arial" w:hAnsi="Arial" w:cs="Arial"/>
          <w:b/>
        </w:rPr>
        <w:t>JUDGMENT HANDED DOWN:</w:t>
      </w:r>
      <w:r>
        <w:rPr>
          <w:rFonts w:ascii="Arial" w:hAnsi="Arial" w:cs="Arial"/>
          <w:b/>
        </w:rPr>
        <w:tab/>
      </w:r>
      <w:r w:rsidR="002B0635">
        <w:rPr>
          <w:rFonts w:ascii="Arial" w:hAnsi="Arial" w:cs="Arial"/>
          <w:b/>
        </w:rPr>
        <w:tab/>
      </w:r>
      <w:r w:rsidR="00DE2D7A">
        <w:rPr>
          <w:rFonts w:ascii="Arial" w:hAnsi="Arial" w:cs="Arial"/>
          <w:b/>
        </w:rPr>
        <w:t>19 OCTOBER 2023</w:t>
      </w:r>
    </w:p>
    <w:p w:rsidR="002B0635" w:rsidRDefault="002B0635" w:rsidP="00FB28FE">
      <w:pPr>
        <w:pStyle w:val="ListParagraph"/>
        <w:spacing w:line="480" w:lineRule="auto"/>
        <w:rPr>
          <w:rFonts w:ascii="Arial" w:hAnsi="Arial" w:cs="Arial"/>
          <w:b/>
        </w:rPr>
      </w:pPr>
    </w:p>
    <w:p w:rsidR="00FB28FE" w:rsidRDefault="00FB28FE" w:rsidP="00FB28FE">
      <w:pPr>
        <w:pStyle w:val="ListParagraph"/>
        <w:spacing w:line="480" w:lineRule="auto"/>
        <w:rPr>
          <w:rFonts w:ascii="Arial" w:hAnsi="Arial" w:cs="Arial"/>
          <w:b/>
        </w:rPr>
      </w:pPr>
      <w:r>
        <w:rPr>
          <w:rFonts w:ascii="Arial" w:hAnsi="Arial" w:cs="Arial"/>
          <w:b/>
        </w:rPr>
        <w:t>COUNSEL FOR APPLICANT:</w:t>
      </w:r>
      <w:r>
        <w:rPr>
          <w:rFonts w:ascii="Arial" w:hAnsi="Arial" w:cs="Arial"/>
          <w:b/>
        </w:rPr>
        <w:tab/>
      </w:r>
      <w:r>
        <w:rPr>
          <w:rFonts w:ascii="Arial" w:hAnsi="Arial" w:cs="Arial"/>
          <w:b/>
        </w:rPr>
        <w:tab/>
      </w:r>
      <w:r w:rsidR="006365F1" w:rsidRPr="006365F1">
        <w:rPr>
          <w:rFonts w:ascii="Arial" w:hAnsi="Arial" w:cs="Arial"/>
          <w:b/>
        </w:rPr>
        <w:t xml:space="preserve">T Q </w:t>
      </w:r>
      <w:r w:rsidRPr="006365F1">
        <w:rPr>
          <w:rFonts w:ascii="Arial" w:hAnsi="Arial" w:cs="Arial"/>
          <w:b/>
        </w:rPr>
        <w:t>REDDY</w:t>
      </w:r>
    </w:p>
    <w:p w:rsidR="00FB28FE" w:rsidRPr="007C783B" w:rsidRDefault="00FB28FE" w:rsidP="007C783B">
      <w:pPr>
        <w:pStyle w:val="ListParagraph"/>
        <w:spacing w:line="360" w:lineRule="auto"/>
        <w:rPr>
          <w:rFonts w:ascii="Arial" w:hAnsi="Arial" w:cs="Arial"/>
          <w:b/>
        </w:rPr>
      </w:pPr>
      <w:r>
        <w:rPr>
          <w:rFonts w:ascii="Arial" w:hAnsi="Arial" w:cs="Arial"/>
          <w:b/>
        </w:rPr>
        <w:t>Instructed by:</w:t>
      </w:r>
      <w:r>
        <w:rPr>
          <w:rFonts w:ascii="Arial" w:hAnsi="Arial" w:cs="Arial"/>
          <w:b/>
        </w:rPr>
        <w:tab/>
      </w:r>
      <w:r>
        <w:rPr>
          <w:rFonts w:ascii="Arial" w:hAnsi="Arial" w:cs="Arial"/>
          <w:b/>
        </w:rPr>
        <w:tab/>
      </w:r>
      <w:r>
        <w:rPr>
          <w:rFonts w:ascii="Arial" w:hAnsi="Arial" w:cs="Arial"/>
          <w:b/>
        </w:rPr>
        <w:tab/>
      </w:r>
      <w:r>
        <w:rPr>
          <w:rFonts w:ascii="Arial" w:hAnsi="Arial" w:cs="Arial"/>
          <w:b/>
        </w:rPr>
        <w:tab/>
      </w:r>
      <w:r w:rsidRPr="007C783B">
        <w:rPr>
          <w:rFonts w:ascii="Arial" w:hAnsi="Arial" w:cs="Arial"/>
          <w:b/>
        </w:rPr>
        <w:t>HADAR INCORPORATED</w:t>
      </w:r>
    </w:p>
    <w:p w:rsidR="00FB28FE" w:rsidRPr="007C783B" w:rsidRDefault="00FB28FE" w:rsidP="007C783B">
      <w:pPr>
        <w:pStyle w:val="ListParagraph"/>
        <w:spacing w:line="360" w:lineRule="auto"/>
        <w:rPr>
          <w:rFonts w:ascii="Arial" w:hAnsi="Arial" w:cs="Arial"/>
          <w:b/>
        </w:rPr>
      </w:pPr>
      <w:r w:rsidRPr="007C783B">
        <w:rPr>
          <w:rFonts w:ascii="Arial" w:hAnsi="Arial" w:cs="Arial"/>
          <w:b/>
        </w:rPr>
        <w:tab/>
      </w:r>
      <w:r w:rsidRPr="007C783B">
        <w:rPr>
          <w:rFonts w:ascii="Arial" w:hAnsi="Arial" w:cs="Arial"/>
          <w:b/>
        </w:rPr>
        <w:tab/>
      </w:r>
      <w:r w:rsidRPr="007C783B">
        <w:rPr>
          <w:rFonts w:ascii="Arial" w:hAnsi="Arial" w:cs="Arial"/>
          <w:b/>
        </w:rPr>
        <w:tab/>
      </w:r>
      <w:r w:rsidRPr="007C783B">
        <w:rPr>
          <w:rFonts w:ascii="Arial" w:hAnsi="Arial" w:cs="Arial"/>
          <w:b/>
        </w:rPr>
        <w:tab/>
      </w:r>
      <w:r w:rsidRPr="007C783B">
        <w:rPr>
          <w:rFonts w:ascii="Arial" w:hAnsi="Arial" w:cs="Arial"/>
          <w:b/>
        </w:rPr>
        <w:tab/>
      </w:r>
      <w:r w:rsidRPr="007C783B">
        <w:rPr>
          <w:rFonts w:ascii="Arial" w:hAnsi="Arial" w:cs="Arial"/>
          <w:b/>
        </w:rPr>
        <w:tab/>
        <w:t>Ref:  N Shaik/G Lidchi/M2321</w:t>
      </w:r>
    </w:p>
    <w:p w:rsidR="00FB28FE" w:rsidRPr="007C783B" w:rsidRDefault="00FB28FE" w:rsidP="007C783B">
      <w:pPr>
        <w:pStyle w:val="ListParagraph"/>
        <w:spacing w:line="360" w:lineRule="auto"/>
        <w:rPr>
          <w:rFonts w:ascii="Arial" w:hAnsi="Arial" w:cs="Arial"/>
          <w:b/>
        </w:rPr>
      </w:pPr>
      <w:r w:rsidRPr="007C783B">
        <w:rPr>
          <w:rFonts w:ascii="Arial" w:hAnsi="Arial" w:cs="Arial"/>
          <w:b/>
        </w:rPr>
        <w:tab/>
      </w:r>
      <w:r w:rsidRPr="007C783B">
        <w:rPr>
          <w:rFonts w:ascii="Arial" w:hAnsi="Arial" w:cs="Arial"/>
          <w:b/>
        </w:rPr>
        <w:tab/>
      </w:r>
      <w:r w:rsidRPr="007C783B">
        <w:rPr>
          <w:rFonts w:ascii="Arial" w:hAnsi="Arial" w:cs="Arial"/>
          <w:b/>
        </w:rPr>
        <w:tab/>
      </w:r>
      <w:r w:rsidRPr="007C783B">
        <w:rPr>
          <w:rFonts w:ascii="Arial" w:hAnsi="Arial" w:cs="Arial"/>
          <w:b/>
        </w:rPr>
        <w:tab/>
      </w:r>
      <w:r w:rsidRPr="007C783B">
        <w:rPr>
          <w:rFonts w:ascii="Arial" w:hAnsi="Arial" w:cs="Arial"/>
          <w:b/>
        </w:rPr>
        <w:tab/>
      </w:r>
      <w:r w:rsidRPr="007C783B">
        <w:rPr>
          <w:rFonts w:ascii="Arial" w:hAnsi="Arial" w:cs="Arial"/>
          <w:b/>
        </w:rPr>
        <w:tab/>
        <w:t>Email:</w:t>
      </w:r>
      <w:r w:rsidR="007C783B">
        <w:rPr>
          <w:rFonts w:ascii="Arial" w:hAnsi="Arial" w:cs="Arial"/>
          <w:b/>
        </w:rPr>
        <w:t xml:space="preserve"> </w:t>
      </w:r>
      <w:hyperlink r:id="rId10" w:history="1">
        <w:r w:rsidR="007C783B" w:rsidRPr="004D611B">
          <w:rPr>
            <w:rStyle w:val="Hyperlink"/>
            <w:rFonts w:ascii="Arial" w:hAnsi="Arial" w:cs="Arial"/>
            <w:b/>
          </w:rPr>
          <w:t>nshaik@hardarinc.co.za</w:t>
        </w:r>
      </w:hyperlink>
      <w:r w:rsidR="007C783B">
        <w:rPr>
          <w:rFonts w:ascii="Arial" w:hAnsi="Arial" w:cs="Arial"/>
          <w:b/>
        </w:rPr>
        <w:tab/>
      </w:r>
      <w:r w:rsidR="007C783B">
        <w:rPr>
          <w:rFonts w:ascii="Arial" w:hAnsi="Arial" w:cs="Arial"/>
          <w:b/>
        </w:rPr>
        <w:tab/>
      </w:r>
      <w:r w:rsidR="007C783B">
        <w:rPr>
          <w:rFonts w:ascii="Arial" w:hAnsi="Arial" w:cs="Arial"/>
          <w:b/>
        </w:rPr>
        <w:tab/>
      </w:r>
      <w:r w:rsidR="007C783B">
        <w:rPr>
          <w:rFonts w:ascii="Arial" w:hAnsi="Arial" w:cs="Arial"/>
          <w:b/>
        </w:rPr>
        <w:tab/>
      </w:r>
      <w:r w:rsidRPr="007C783B">
        <w:rPr>
          <w:rFonts w:ascii="Arial" w:hAnsi="Arial" w:cs="Arial"/>
          <w:b/>
        </w:rPr>
        <w:tab/>
      </w:r>
      <w:r w:rsidRPr="007C783B">
        <w:rPr>
          <w:rFonts w:ascii="Arial" w:hAnsi="Arial" w:cs="Arial"/>
          <w:b/>
        </w:rPr>
        <w:tab/>
      </w:r>
      <w:r w:rsidRPr="007C783B">
        <w:rPr>
          <w:rFonts w:ascii="Arial" w:hAnsi="Arial" w:cs="Arial"/>
          <w:b/>
        </w:rPr>
        <w:tab/>
      </w:r>
      <w:r w:rsidR="007C783B" w:rsidRPr="007C783B">
        <w:rPr>
          <w:rFonts w:ascii="Arial" w:hAnsi="Arial" w:cs="Arial"/>
          <w:b/>
        </w:rPr>
        <w:t>c/o SOUTHEY ATTORNEYS INC</w:t>
      </w:r>
    </w:p>
    <w:p w:rsidR="007C783B" w:rsidRPr="007C783B" w:rsidRDefault="007C783B" w:rsidP="007C783B">
      <w:pPr>
        <w:pStyle w:val="ListParagraph"/>
        <w:spacing w:line="360" w:lineRule="auto"/>
        <w:rPr>
          <w:rFonts w:ascii="Arial" w:hAnsi="Arial" w:cs="Arial"/>
          <w:b/>
        </w:rPr>
      </w:pPr>
      <w:r w:rsidRPr="007C783B">
        <w:rPr>
          <w:rFonts w:ascii="Arial" w:hAnsi="Arial" w:cs="Arial"/>
          <w:b/>
        </w:rPr>
        <w:tab/>
      </w:r>
      <w:r w:rsidRPr="007C783B">
        <w:rPr>
          <w:rFonts w:ascii="Arial" w:hAnsi="Arial" w:cs="Arial"/>
          <w:b/>
        </w:rPr>
        <w:tab/>
      </w:r>
      <w:r w:rsidRPr="007C783B">
        <w:rPr>
          <w:rFonts w:ascii="Arial" w:hAnsi="Arial" w:cs="Arial"/>
          <w:b/>
        </w:rPr>
        <w:tab/>
      </w:r>
      <w:r w:rsidRPr="007C783B">
        <w:rPr>
          <w:rFonts w:ascii="Arial" w:hAnsi="Arial" w:cs="Arial"/>
          <w:b/>
        </w:rPr>
        <w:tab/>
      </w:r>
      <w:r w:rsidRPr="007C783B">
        <w:rPr>
          <w:rFonts w:ascii="Arial" w:hAnsi="Arial" w:cs="Arial"/>
          <w:b/>
        </w:rPr>
        <w:tab/>
      </w:r>
      <w:r w:rsidRPr="007C783B">
        <w:rPr>
          <w:rFonts w:ascii="Arial" w:hAnsi="Arial" w:cs="Arial"/>
          <w:b/>
        </w:rPr>
        <w:tab/>
        <w:t>PIETERMARITZBURG</w:t>
      </w:r>
    </w:p>
    <w:p w:rsidR="007C783B" w:rsidRPr="007C783B" w:rsidRDefault="007C783B" w:rsidP="007C783B">
      <w:pPr>
        <w:pStyle w:val="ListParagraph"/>
        <w:spacing w:line="360" w:lineRule="auto"/>
        <w:rPr>
          <w:rFonts w:ascii="Arial" w:hAnsi="Arial" w:cs="Arial"/>
          <w:b/>
        </w:rPr>
      </w:pPr>
      <w:r w:rsidRPr="007C783B">
        <w:rPr>
          <w:rFonts w:ascii="Arial" w:hAnsi="Arial" w:cs="Arial"/>
          <w:b/>
        </w:rPr>
        <w:tab/>
      </w:r>
      <w:r w:rsidRPr="007C783B">
        <w:rPr>
          <w:rFonts w:ascii="Arial" w:hAnsi="Arial" w:cs="Arial"/>
          <w:b/>
        </w:rPr>
        <w:tab/>
      </w:r>
      <w:r w:rsidRPr="007C783B">
        <w:rPr>
          <w:rFonts w:ascii="Arial" w:hAnsi="Arial" w:cs="Arial"/>
          <w:b/>
        </w:rPr>
        <w:tab/>
      </w:r>
      <w:r w:rsidRPr="007C783B">
        <w:rPr>
          <w:rFonts w:ascii="Arial" w:hAnsi="Arial" w:cs="Arial"/>
          <w:b/>
        </w:rPr>
        <w:tab/>
      </w:r>
      <w:r w:rsidRPr="007C783B">
        <w:rPr>
          <w:rFonts w:ascii="Arial" w:hAnsi="Arial" w:cs="Arial"/>
          <w:b/>
        </w:rPr>
        <w:tab/>
      </w:r>
      <w:r w:rsidRPr="007C783B">
        <w:rPr>
          <w:rFonts w:ascii="Arial" w:hAnsi="Arial" w:cs="Arial"/>
          <w:b/>
        </w:rPr>
        <w:tab/>
        <w:t>Tel: 034 315 1241</w:t>
      </w:r>
    </w:p>
    <w:p w:rsidR="007C783B" w:rsidRPr="007C783B" w:rsidRDefault="007C783B" w:rsidP="007C783B">
      <w:pPr>
        <w:pStyle w:val="ListParagraph"/>
        <w:spacing w:line="360" w:lineRule="auto"/>
        <w:rPr>
          <w:rFonts w:ascii="Arial" w:hAnsi="Arial" w:cs="Arial"/>
          <w:b/>
        </w:rPr>
      </w:pPr>
      <w:r w:rsidRPr="007C783B">
        <w:rPr>
          <w:rFonts w:ascii="Arial" w:hAnsi="Arial" w:cs="Arial"/>
          <w:b/>
        </w:rPr>
        <w:tab/>
      </w:r>
      <w:r w:rsidRPr="007C783B">
        <w:rPr>
          <w:rFonts w:ascii="Arial" w:hAnsi="Arial" w:cs="Arial"/>
          <w:b/>
        </w:rPr>
        <w:tab/>
      </w:r>
      <w:r w:rsidRPr="007C783B">
        <w:rPr>
          <w:rFonts w:ascii="Arial" w:hAnsi="Arial" w:cs="Arial"/>
          <w:b/>
        </w:rPr>
        <w:tab/>
      </w:r>
      <w:r w:rsidRPr="007C783B">
        <w:rPr>
          <w:rFonts w:ascii="Arial" w:hAnsi="Arial" w:cs="Arial"/>
          <w:b/>
        </w:rPr>
        <w:tab/>
      </w:r>
      <w:r w:rsidRPr="007C783B">
        <w:rPr>
          <w:rFonts w:ascii="Arial" w:hAnsi="Arial" w:cs="Arial"/>
          <w:b/>
        </w:rPr>
        <w:tab/>
      </w:r>
      <w:r w:rsidRPr="007C783B">
        <w:rPr>
          <w:rFonts w:ascii="Arial" w:hAnsi="Arial" w:cs="Arial"/>
          <w:b/>
        </w:rPr>
        <w:tab/>
        <w:t xml:space="preserve">Email: </w:t>
      </w:r>
      <w:hyperlink r:id="rId11" w:history="1">
        <w:r w:rsidRPr="007C783B">
          <w:rPr>
            <w:rStyle w:val="Hyperlink"/>
            <w:rFonts w:ascii="Arial" w:hAnsi="Arial" w:cs="Arial"/>
            <w:b/>
          </w:rPr>
          <w:t>gail@southeys.co.za</w:t>
        </w:r>
      </w:hyperlink>
    </w:p>
    <w:p w:rsidR="007C783B" w:rsidRPr="007C783B" w:rsidRDefault="007C783B" w:rsidP="007C783B">
      <w:pPr>
        <w:pStyle w:val="ListParagraph"/>
        <w:spacing w:line="360" w:lineRule="auto"/>
        <w:rPr>
          <w:rFonts w:ascii="Arial" w:hAnsi="Arial" w:cs="Arial"/>
          <w:b/>
        </w:rPr>
      </w:pPr>
      <w:r w:rsidRPr="007C783B">
        <w:rPr>
          <w:rFonts w:ascii="Arial" w:hAnsi="Arial" w:cs="Arial"/>
          <w:b/>
        </w:rPr>
        <w:tab/>
      </w:r>
      <w:r w:rsidRPr="007C783B">
        <w:rPr>
          <w:rFonts w:ascii="Arial" w:hAnsi="Arial" w:cs="Arial"/>
          <w:b/>
        </w:rPr>
        <w:tab/>
      </w:r>
      <w:r w:rsidRPr="007C783B">
        <w:rPr>
          <w:rFonts w:ascii="Arial" w:hAnsi="Arial" w:cs="Arial"/>
          <w:b/>
        </w:rPr>
        <w:tab/>
      </w:r>
      <w:r w:rsidRPr="007C783B">
        <w:rPr>
          <w:rFonts w:ascii="Arial" w:hAnsi="Arial" w:cs="Arial"/>
          <w:b/>
        </w:rPr>
        <w:tab/>
      </w:r>
      <w:r w:rsidRPr="007C783B">
        <w:rPr>
          <w:rFonts w:ascii="Arial" w:hAnsi="Arial" w:cs="Arial"/>
          <w:b/>
        </w:rPr>
        <w:tab/>
      </w:r>
      <w:r w:rsidRPr="007C783B">
        <w:rPr>
          <w:rFonts w:ascii="Arial" w:hAnsi="Arial" w:cs="Arial"/>
          <w:b/>
        </w:rPr>
        <w:tab/>
        <w:t>Ref: MAT15993</w:t>
      </w:r>
    </w:p>
    <w:p w:rsidR="002B0635" w:rsidRDefault="002B0635" w:rsidP="00FB28FE">
      <w:pPr>
        <w:pStyle w:val="ListParagraph"/>
        <w:spacing w:line="480" w:lineRule="auto"/>
        <w:rPr>
          <w:rFonts w:ascii="Arial" w:hAnsi="Arial" w:cs="Arial"/>
          <w:b/>
        </w:rPr>
      </w:pPr>
    </w:p>
    <w:p w:rsidR="00234C5D" w:rsidRDefault="00234C5D" w:rsidP="00FB28FE">
      <w:pPr>
        <w:pStyle w:val="ListParagraph"/>
        <w:spacing w:line="480" w:lineRule="auto"/>
        <w:rPr>
          <w:rFonts w:ascii="Arial" w:hAnsi="Arial" w:cs="Arial"/>
          <w:b/>
        </w:rPr>
      </w:pPr>
    </w:p>
    <w:p w:rsidR="00FB28FE" w:rsidRDefault="00FB28FE" w:rsidP="00FB28FE">
      <w:pPr>
        <w:pStyle w:val="ListParagraph"/>
        <w:spacing w:line="480" w:lineRule="auto"/>
        <w:rPr>
          <w:rFonts w:ascii="Arial" w:hAnsi="Arial" w:cs="Arial"/>
          <w:b/>
        </w:rPr>
      </w:pPr>
      <w:r>
        <w:rPr>
          <w:rFonts w:ascii="Arial" w:hAnsi="Arial" w:cs="Arial"/>
          <w:b/>
        </w:rPr>
        <w:t xml:space="preserve">COUNSEL FOR </w:t>
      </w:r>
      <w:r w:rsidR="007C783B">
        <w:rPr>
          <w:rFonts w:ascii="Arial" w:hAnsi="Arial" w:cs="Arial"/>
          <w:b/>
        </w:rPr>
        <w:t>RESPONDENT</w:t>
      </w:r>
      <w:r>
        <w:rPr>
          <w:rFonts w:ascii="Arial" w:hAnsi="Arial" w:cs="Arial"/>
          <w:b/>
        </w:rPr>
        <w:t>:</w:t>
      </w:r>
      <w:r>
        <w:rPr>
          <w:rFonts w:ascii="Arial" w:hAnsi="Arial" w:cs="Arial"/>
          <w:b/>
        </w:rPr>
        <w:tab/>
      </w:r>
      <w:r w:rsidR="007C783B">
        <w:rPr>
          <w:rFonts w:ascii="Arial" w:hAnsi="Arial" w:cs="Arial"/>
          <w:b/>
        </w:rPr>
        <w:tab/>
        <w:t>J W TEMLETT</w:t>
      </w:r>
    </w:p>
    <w:p w:rsidR="00FB28FE" w:rsidRDefault="00FB28FE" w:rsidP="007C783B">
      <w:pPr>
        <w:pStyle w:val="ListParagraph"/>
        <w:spacing w:line="360" w:lineRule="auto"/>
        <w:rPr>
          <w:rFonts w:ascii="Arial" w:hAnsi="Arial" w:cs="Arial"/>
          <w:b/>
        </w:rPr>
      </w:pPr>
      <w:r>
        <w:rPr>
          <w:rFonts w:ascii="Arial" w:hAnsi="Arial" w:cs="Arial"/>
          <w:b/>
        </w:rPr>
        <w:t>Instructed by:</w:t>
      </w:r>
      <w:r>
        <w:rPr>
          <w:rFonts w:ascii="Arial" w:hAnsi="Arial" w:cs="Arial"/>
          <w:b/>
        </w:rPr>
        <w:tab/>
      </w:r>
      <w:r>
        <w:rPr>
          <w:rFonts w:ascii="Arial" w:hAnsi="Arial" w:cs="Arial"/>
          <w:b/>
        </w:rPr>
        <w:tab/>
      </w:r>
      <w:r w:rsidR="007C783B">
        <w:rPr>
          <w:rFonts w:ascii="Arial" w:hAnsi="Arial" w:cs="Arial"/>
          <w:b/>
        </w:rPr>
        <w:tab/>
      </w:r>
      <w:r w:rsidR="007C783B">
        <w:rPr>
          <w:rFonts w:ascii="Arial" w:hAnsi="Arial" w:cs="Arial"/>
          <w:b/>
        </w:rPr>
        <w:tab/>
        <w:t>Derek Sathenna Attorneys</w:t>
      </w:r>
    </w:p>
    <w:p w:rsidR="007C783B" w:rsidRDefault="007C783B" w:rsidP="007C783B">
      <w:pPr>
        <w:pStyle w:val="ListParagraph"/>
        <w:spacing w:line="360"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Email: </w:t>
      </w:r>
      <w:hyperlink r:id="rId12" w:history="1">
        <w:r w:rsidRPr="004D611B">
          <w:rPr>
            <w:rStyle w:val="Hyperlink"/>
            <w:rFonts w:ascii="Arial" w:hAnsi="Arial" w:cs="Arial"/>
            <w:b/>
          </w:rPr>
          <w:t>derek@dsalaw.co.za</w:t>
        </w:r>
      </w:hyperlink>
    </w:p>
    <w:p w:rsidR="007C783B" w:rsidRDefault="007C783B" w:rsidP="007C783B">
      <w:pPr>
        <w:pStyle w:val="ListParagraph"/>
        <w:spacing w:line="360"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hyperlink r:id="rId13" w:history="1">
        <w:r w:rsidRPr="004D611B">
          <w:rPr>
            <w:rStyle w:val="Hyperlink"/>
            <w:rFonts w:ascii="Arial" w:hAnsi="Arial" w:cs="Arial"/>
            <w:b/>
          </w:rPr>
          <w:t>litigation@dsalaw.co.za</w:t>
        </w:r>
      </w:hyperlink>
    </w:p>
    <w:p w:rsidR="002B0635" w:rsidRDefault="002B0635" w:rsidP="007C783B">
      <w:pPr>
        <w:pStyle w:val="ListParagraph"/>
        <w:spacing w:line="360"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Te</w:t>
      </w:r>
      <w:r w:rsidR="00C913CD">
        <w:rPr>
          <w:rFonts w:ascii="Arial" w:hAnsi="Arial" w:cs="Arial"/>
          <w:b/>
        </w:rPr>
        <w:t>l</w:t>
      </w:r>
      <w:r>
        <w:rPr>
          <w:rFonts w:ascii="Arial" w:hAnsi="Arial" w:cs="Arial"/>
          <w:b/>
        </w:rPr>
        <w:t>: (031) 207 7046</w:t>
      </w:r>
    </w:p>
    <w:p w:rsidR="00FB28FE" w:rsidRDefault="00FB28FE" w:rsidP="007C783B">
      <w:pPr>
        <w:pStyle w:val="ListParagraph"/>
        <w:spacing w:line="360"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007C783B">
        <w:rPr>
          <w:rFonts w:ascii="Arial" w:hAnsi="Arial" w:cs="Arial"/>
          <w:b/>
        </w:rPr>
        <w:tab/>
      </w:r>
      <w:r w:rsidR="007C783B">
        <w:rPr>
          <w:rFonts w:ascii="Arial" w:hAnsi="Arial" w:cs="Arial"/>
          <w:b/>
        </w:rPr>
        <w:tab/>
      </w:r>
      <w:r>
        <w:rPr>
          <w:rFonts w:ascii="Arial" w:hAnsi="Arial" w:cs="Arial"/>
          <w:b/>
        </w:rPr>
        <w:tab/>
      </w:r>
    </w:p>
    <w:p w:rsidR="002B0635" w:rsidRDefault="00FB28FE" w:rsidP="002B0635">
      <w:pPr>
        <w:pStyle w:val="ListParagraph"/>
        <w:spacing w:line="360" w:lineRule="auto"/>
        <w:rPr>
          <w:rFonts w:ascii="Arial" w:hAnsi="Arial" w:cs="Arial"/>
          <w:b/>
        </w:rPr>
      </w:pPr>
      <w:r>
        <w:rPr>
          <w:rFonts w:ascii="Arial" w:hAnsi="Arial" w:cs="Arial"/>
          <w:b/>
        </w:rPr>
        <w:t>c/o</w:t>
      </w:r>
      <w:r>
        <w:rPr>
          <w:rFonts w:ascii="Arial" w:hAnsi="Arial" w:cs="Arial"/>
          <w:b/>
        </w:rPr>
        <w:tab/>
      </w:r>
      <w:r>
        <w:rPr>
          <w:rFonts w:ascii="Arial" w:hAnsi="Arial" w:cs="Arial"/>
          <w:b/>
        </w:rPr>
        <w:tab/>
      </w:r>
      <w:r>
        <w:rPr>
          <w:rFonts w:ascii="Arial" w:hAnsi="Arial" w:cs="Arial"/>
          <w:b/>
        </w:rPr>
        <w:tab/>
      </w:r>
      <w:r>
        <w:rPr>
          <w:rFonts w:ascii="Arial" w:hAnsi="Arial" w:cs="Arial"/>
          <w:b/>
        </w:rPr>
        <w:tab/>
      </w:r>
      <w:r w:rsidR="007C783B">
        <w:rPr>
          <w:rFonts w:ascii="Arial" w:hAnsi="Arial" w:cs="Arial"/>
          <w:b/>
        </w:rPr>
        <w:tab/>
      </w:r>
      <w:r w:rsidR="007C783B">
        <w:rPr>
          <w:rFonts w:ascii="Arial" w:hAnsi="Arial" w:cs="Arial"/>
          <w:b/>
        </w:rPr>
        <w:tab/>
        <w:t>Stowe</w:t>
      </w:r>
      <w:r w:rsidR="002B0635">
        <w:rPr>
          <w:rFonts w:ascii="Arial" w:hAnsi="Arial" w:cs="Arial"/>
          <w:b/>
        </w:rPr>
        <w:t>ll &amp; Company</w:t>
      </w:r>
    </w:p>
    <w:p w:rsidR="002B0635" w:rsidRDefault="002B0635" w:rsidP="002B0635">
      <w:pPr>
        <w:pStyle w:val="ListParagraph"/>
        <w:spacing w:line="360" w:lineRule="auto"/>
        <w:ind w:left="4320" w:firstLine="720"/>
        <w:rPr>
          <w:rFonts w:ascii="Arial" w:hAnsi="Arial" w:cs="Arial"/>
          <w:b/>
        </w:rPr>
      </w:pPr>
      <w:r>
        <w:rPr>
          <w:rFonts w:ascii="Arial" w:hAnsi="Arial" w:cs="Arial"/>
          <w:b/>
        </w:rPr>
        <w:t>Pietermaritzberg</w:t>
      </w:r>
    </w:p>
    <w:p w:rsidR="00FB28FE" w:rsidRPr="009517A1" w:rsidRDefault="002B0635" w:rsidP="002B0635">
      <w:pPr>
        <w:pStyle w:val="ListParagraph"/>
        <w:spacing w:line="360" w:lineRule="auto"/>
        <w:ind w:left="4320" w:firstLine="720"/>
        <w:rPr>
          <w:rFonts w:ascii="Arial" w:hAnsi="Arial" w:cs="Arial"/>
          <w:b/>
        </w:rPr>
      </w:pPr>
      <w:r>
        <w:rPr>
          <w:rFonts w:ascii="Arial" w:hAnsi="Arial" w:cs="Arial"/>
          <w:b/>
        </w:rPr>
        <w:t>(Ref: Sumaya Norgot)</w:t>
      </w:r>
    </w:p>
    <w:p w:rsidR="00FB28FE" w:rsidRDefault="00FB28FE" w:rsidP="002B0635">
      <w:pPr>
        <w:spacing w:line="360" w:lineRule="auto"/>
        <w:jc w:val="both"/>
        <w:rPr>
          <w:rFonts w:ascii="Arial" w:hAnsi="Arial" w:cs="Arial"/>
          <w:sz w:val="24"/>
          <w:szCs w:val="24"/>
          <w:lang w:val="en-GB"/>
        </w:rPr>
      </w:pPr>
    </w:p>
    <w:sectPr w:rsidR="00FB28FE" w:rsidSect="0052692D">
      <w:headerReference w:type="default" r:id="rId14"/>
      <w:pgSz w:w="12240" w:h="15840"/>
      <w:pgMar w:top="1440" w:right="1586"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7E7" w:rsidRDefault="00DE47E7" w:rsidP="007F091F">
      <w:pPr>
        <w:spacing w:after="0" w:line="240" w:lineRule="auto"/>
      </w:pPr>
      <w:r>
        <w:separator/>
      </w:r>
    </w:p>
  </w:endnote>
  <w:endnote w:type="continuationSeparator" w:id="0">
    <w:p w:rsidR="00DE47E7" w:rsidRDefault="00DE47E7" w:rsidP="007F0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7E7" w:rsidRDefault="00DE47E7" w:rsidP="007F091F">
      <w:pPr>
        <w:spacing w:after="0" w:line="240" w:lineRule="auto"/>
      </w:pPr>
      <w:r>
        <w:separator/>
      </w:r>
    </w:p>
  </w:footnote>
  <w:footnote w:type="continuationSeparator" w:id="0">
    <w:p w:rsidR="00DE47E7" w:rsidRDefault="00DE47E7" w:rsidP="007F091F">
      <w:pPr>
        <w:spacing w:after="0" w:line="240" w:lineRule="auto"/>
      </w:pPr>
      <w:r>
        <w:continuationSeparator/>
      </w:r>
    </w:p>
  </w:footnote>
  <w:footnote w:id="1">
    <w:p w:rsidR="003E62B2" w:rsidRPr="003E62B2" w:rsidRDefault="003E62B2">
      <w:pPr>
        <w:pStyle w:val="FootnoteText"/>
        <w:rPr>
          <w:rFonts w:ascii="Arial" w:hAnsi="Arial" w:cs="Arial"/>
          <w:lang w:val="en-GB"/>
        </w:rPr>
      </w:pPr>
      <w:r w:rsidRPr="003E62B2">
        <w:rPr>
          <w:rStyle w:val="FootnoteReference"/>
          <w:rFonts w:ascii="Arial" w:hAnsi="Arial" w:cs="Arial"/>
          <w:color w:val="000000" w:themeColor="text1"/>
        </w:rPr>
        <w:footnoteRef/>
      </w:r>
      <w:r w:rsidRPr="003E62B2">
        <w:rPr>
          <w:rFonts w:ascii="Arial" w:hAnsi="Arial" w:cs="Arial"/>
          <w:color w:val="000000" w:themeColor="text1"/>
        </w:rPr>
        <w:t xml:space="preserve"> </w:t>
      </w:r>
      <w:r w:rsidRPr="003E62B2">
        <w:rPr>
          <w:rFonts w:ascii="Arial" w:hAnsi="Arial" w:cs="Arial"/>
          <w:i/>
          <w:iCs/>
          <w:color w:val="000000" w:themeColor="text1"/>
        </w:rPr>
        <w:t>Shoprite Checkers (Pty) Ltd v Jardim</w:t>
      </w:r>
      <w:r w:rsidRPr="003E62B2">
        <w:rPr>
          <w:rFonts w:ascii="Arial" w:hAnsi="Arial" w:cs="Arial"/>
          <w:color w:val="000000" w:themeColor="text1"/>
          <w:shd w:val="clear" w:color="auto" w:fill="FFFFFF"/>
        </w:rPr>
        <w:t> </w:t>
      </w:r>
      <w:hyperlink r:id="rId1" w:history="1">
        <w:r w:rsidRPr="003E62B2">
          <w:rPr>
            <w:rStyle w:val="Hyperlink"/>
            <w:rFonts w:ascii="Arial" w:hAnsi="Arial" w:cs="Arial"/>
            <w:color w:val="000000" w:themeColor="text1"/>
            <w:u w:val="none"/>
          </w:rPr>
          <w:t>2004 (1)</w:t>
        </w:r>
        <w:r w:rsidRPr="003E62B2">
          <w:rPr>
            <w:rStyle w:val="apple-converted-space"/>
            <w:rFonts w:ascii="Arial" w:hAnsi="Arial" w:cs="Arial"/>
            <w:color w:val="000000" w:themeColor="text1"/>
          </w:rPr>
          <w:t> </w:t>
        </w:r>
        <w:r w:rsidRPr="003E62B2">
          <w:rPr>
            <w:rStyle w:val="Hyperlink"/>
            <w:rFonts w:ascii="Arial" w:hAnsi="Arial" w:cs="Arial"/>
            <w:color w:val="000000" w:themeColor="text1"/>
            <w:u w:val="none"/>
          </w:rPr>
          <w:t>SA</w:t>
        </w:r>
        <w:r w:rsidRPr="003E62B2">
          <w:rPr>
            <w:rStyle w:val="apple-converted-space"/>
            <w:rFonts w:ascii="Arial" w:hAnsi="Arial" w:cs="Arial"/>
            <w:color w:val="000000" w:themeColor="text1"/>
          </w:rPr>
          <w:t> </w:t>
        </w:r>
        <w:r w:rsidRPr="003E62B2">
          <w:rPr>
            <w:rStyle w:val="Hyperlink"/>
            <w:rFonts w:ascii="Arial" w:hAnsi="Arial" w:cs="Arial"/>
            <w:color w:val="000000" w:themeColor="text1"/>
            <w:u w:val="none"/>
          </w:rPr>
          <w:t>502 (O)</w:t>
        </w:r>
      </w:hyperlink>
      <w:r>
        <w:rPr>
          <w:rFonts w:ascii="Arial" w:hAnsi="Arial" w:cs="Arial"/>
          <w:color w:val="000000" w:themeColor="text1"/>
        </w:rPr>
        <w:t xml:space="preserve"> para 14</w:t>
      </w:r>
      <w:r w:rsidR="00434CA9">
        <w:rPr>
          <w:rFonts w:ascii="Arial" w:hAnsi="Arial" w:cs="Arial"/>
          <w:color w:val="000000" w:themeColor="text1"/>
        </w:rPr>
        <w:t>.</w:t>
      </w:r>
    </w:p>
  </w:footnote>
  <w:footnote w:id="2">
    <w:p w:rsidR="00F66100" w:rsidRPr="00A02C75" w:rsidRDefault="00377A54" w:rsidP="00A02C75">
      <w:pPr>
        <w:pStyle w:val="NoSpacing"/>
        <w:ind w:left="142" w:hanging="142"/>
        <w:rPr>
          <w:rFonts w:ascii="Arial" w:hAnsi="Arial" w:cs="Arial"/>
          <w:sz w:val="20"/>
          <w:szCs w:val="20"/>
        </w:rPr>
      </w:pPr>
      <w:r w:rsidRPr="00A02C75">
        <w:rPr>
          <w:rStyle w:val="FootnoteReference"/>
          <w:rFonts w:ascii="Arial" w:hAnsi="Arial" w:cs="Arial"/>
          <w:sz w:val="20"/>
          <w:szCs w:val="20"/>
        </w:rPr>
        <w:footnoteRef/>
      </w:r>
      <w:r w:rsidRPr="00A02C75">
        <w:rPr>
          <w:rFonts w:ascii="Arial" w:hAnsi="Arial" w:cs="Arial"/>
          <w:sz w:val="20"/>
          <w:szCs w:val="20"/>
        </w:rPr>
        <w:t xml:space="preserve"> </w:t>
      </w:r>
      <w:r w:rsidR="00C275E1" w:rsidRPr="00A02C75">
        <w:rPr>
          <w:rFonts w:ascii="Arial" w:hAnsi="Arial" w:cs="Arial"/>
          <w:sz w:val="20"/>
          <w:szCs w:val="20"/>
        </w:rPr>
        <w:tab/>
      </w:r>
      <w:r w:rsidR="00F66100" w:rsidRPr="00A02C75">
        <w:rPr>
          <w:rFonts w:ascii="Arial" w:hAnsi="Arial" w:cs="Arial"/>
          <w:sz w:val="20"/>
          <w:szCs w:val="20"/>
        </w:rPr>
        <w:t xml:space="preserve">Section 75(1)(b) defines </w:t>
      </w:r>
      <w:r w:rsidR="006343E7" w:rsidRPr="00A02C75">
        <w:rPr>
          <w:rFonts w:ascii="Arial" w:hAnsi="Arial" w:cs="Arial"/>
          <w:sz w:val="20"/>
          <w:szCs w:val="20"/>
        </w:rPr>
        <w:t>‘</w:t>
      </w:r>
      <w:r w:rsidR="00F66100" w:rsidRPr="00A02C75">
        <w:rPr>
          <w:rFonts w:ascii="Arial" w:hAnsi="Arial" w:cs="Arial"/>
          <w:sz w:val="20"/>
          <w:szCs w:val="20"/>
        </w:rPr>
        <w:t>related person</w:t>
      </w:r>
      <w:r w:rsidR="006343E7" w:rsidRPr="00A02C75">
        <w:rPr>
          <w:rFonts w:ascii="Arial" w:hAnsi="Arial" w:cs="Arial"/>
          <w:sz w:val="20"/>
          <w:szCs w:val="20"/>
        </w:rPr>
        <w:t>’</w:t>
      </w:r>
      <w:r w:rsidR="00F66100" w:rsidRPr="00A02C75">
        <w:rPr>
          <w:rFonts w:ascii="Arial" w:hAnsi="Arial" w:cs="Arial"/>
          <w:sz w:val="20"/>
          <w:szCs w:val="20"/>
        </w:rPr>
        <w:t xml:space="preserve"> as including a second company of which the director </w:t>
      </w:r>
      <w:r w:rsidR="00D040AD" w:rsidRPr="00A02C75">
        <w:rPr>
          <w:rFonts w:ascii="Arial" w:hAnsi="Arial" w:cs="Arial"/>
          <w:sz w:val="20"/>
          <w:szCs w:val="20"/>
        </w:rPr>
        <w:t>i</w:t>
      </w:r>
      <w:r w:rsidR="00F66100" w:rsidRPr="00A02C75">
        <w:rPr>
          <w:rFonts w:ascii="Arial" w:hAnsi="Arial" w:cs="Arial"/>
          <w:sz w:val="20"/>
          <w:szCs w:val="20"/>
        </w:rPr>
        <w:t>s also a director</w:t>
      </w:r>
      <w:r w:rsidR="00434CA9">
        <w:rPr>
          <w:rFonts w:ascii="Arial" w:hAnsi="Arial" w:cs="Arial"/>
          <w:sz w:val="20"/>
          <w:szCs w:val="20"/>
        </w:rPr>
        <w:t>.</w:t>
      </w:r>
      <w:r w:rsidR="00F66100" w:rsidRPr="00A02C75">
        <w:rPr>
          <w:rFonts w:ascii="Arial" w:hAnsi="Arial" w:cs="Arial"/>
          <w:sz w:val="20"/>
          <w:szCs w:val="20"/>
        </w:rPr>
        <w:t xml:space="preserve"> </w:t>
      </w:r>
    </w:p>
    <w:p w:rsidR="00377A54" w:rsidRPr="00C275E1" w:rsidRDefault="00377A54" w:rsidP="0021685D">
      <w:pPr>
        <w:pStyle w:val="NoSpacing"/>
        <w:rPr>
          <w:rFonts w:ascii="Arial" w:hAnsi="Arial" w:cs="Arial"/>
          <w:sz w:val="20"/>
          <w:szCs w:val="20"/>
          <w:lang w:val="en-GB"/>
        </w:rPr>
      </w:pPr>
    </w:p>
  </w:footnote>
  <w:footnote w:id="3">
    <w:p w:rsidR="00230451" w:rsidRPr="00D84BC8" w:rsidRDefault="00230451">
      <w:pPr>
        <w:pStyle w:val="FootnoteText"/>
        <w:rPr>
          <w:rFonts w:ascii="Arial" w:hAnsi="Arial" w:cs="Arial"/>
          <w:lang w:val="en-GB"/>
        </w:rPr>
      </w:pPr>
      <w:r w:rsidRPr="00D84BC8">
        <w:rPr>
          <w:rStyle w:val="FootnoteReference"/>
          <w:rFonts w:ascii="Arial" w:hAnsi="Arial" w:cs="Arial"/>
          <w:color w:val="000000" w:themeColor="text1"/>
        </w:rPr>
        <w:footnoteRef/>
      </w:r>
      <w:r w:rsidRPr="00D84BC8">
        <w:rPr>
          <w:rFonts w:ascii="Arial" w:hAnsi="Arial" w:cs="Arial"/>
          <w:color w:val="000000" w:themeColor="text1"/>
        </w:rPr>
        <w:t xml:space="preserve"> </w:t>
      </w:r>
      <w:r w:rsidR="0021435B" w:rsidRPr="00D84BC8">
        <w:rPr>
          <w:rFonts w:ascii="Arial" w:hAnsi="Arial" w:cs="Arial"/>
          <w:color w:val="000000" w:themeColor="text1"/>
        </w:rPr>
        <w:t xml:space="preserve"> </w:t>
      </w:r>
      <w:r w:rsidRPr="00D84BC8">
        <w:rPr>
          <w:rFonts w:ascii="Arial" w:hAnsi="Arial" w:cs="Arial"/>
          <w:i/>
          <w:iCs/>
          <w:color w:val="000000" w:themeColor="text1"/>
          <w:lang w:val="en-GB"/>
        </w:rPr>
        <w:t>A</w:t>
      </w:r>
      <w:r w:rsidR="0021435B" w:rsidRPr="00D84BC8">
        <w:rPr>
          <w:rFonts w:ascii="Arial" w:hAnsi="Arial" w:cs="Arial"/>
          <w:i/>
          <w:iCs/>
          <w:color w:val="000000" w:themeColor="text1"/>
        </w:rPr>
        <w:t>fric Oil (Pty) Ltd v Ramadaan Investments CC</w:t>
      </w:r>
      <w:r w:rsidR="0021435B" w:rsidRPr="00D84BC8">
        <w:rPr>
          <w:rFonts w:ascii="Arial" w:hAnsi="Arial" w:cs="Arial"/>
          <w:color w:val="000000" w:themeColor="text1"/>
          <w:shd w:val="clear" w:color="auto" w:fill="FFFFFF"/>
        </w:rPr>
        <w:t> </w:t>
      </w:r>
      <w:hyperlink r:id="rId2" w:history="1">
        <w:r w:rsidR="0021435B" w:rsidRPr="00D84BC8">
          <w:rPr>
            <w:rStyle w:val="Hyperlink"/>
            <w:rFonts w:ascii="Arial" w:hAnsi="Arial" w:cs="Arial"/>
            <w:color w:val="000000" w:themeColor="text1"/>
            <w:u w:val="none"/>
          </w:rPr>
          <w:t>2004 (1)</w:t>
        </w:r>
        <w:r w:rsidR="0021435B" w:rsidRPr="00D84BC8">
          <w:rPr>
            <w:rStyle w:val="apple-converted-space"/>
            <w:rFonts w:ascii="Arial" w:hAnsi="Arial" w:cs="Arial"/>
            <w:color w:val="000000" w:themeColor="text1"/>
          </w:rPr>
          <w:t> </w:t>
        </w:r>
        <w:r w:rsidR="0021435B" w:rsidRPr="00D84BC8">
          <w:rPr>
            <w:rStyle w:val="Hyperlink"/>
            <w:rFonts w:ascii="Arial" w:hAnsi="Arial" w:cs="Arial"/>
            <w:color w:val="000000" w:themeColor="text1"/>
            <w:u w:val="none"/>
          </w:rPr>
          <w:t>SA</w:t>
        </w:r>
        <w:r w:rsidR="0021435B" w:rsidRPr="00D84BC8">
          <w:rPr>
            <w:rStyle w:val="apple-converted-space"/>
            <w:rFonts w:ascii="Arial" w:hAnsi="Arial" w:cs="Arial"/>
            <w:color w:val="000000" w:themeColor="text1"/>
          </w:rPr>
          <w:t> </w:t>
        </w:r>
        <w:r w:rsidR="0021435B" w:rsidRPr="00D84BC8">
          <w:rPr>
            <w:rStyle w:val="Hyperlink"/>
            <w:rFonts w:ascii="Arial" w:hAnsi="Arial" w:cs="Arial"/>
            <w:color w:val="000000" w:themeColor="text1"/>
            <w:u w:val="none"/>
          </w:rPr>
          <w:t>35 (N)</w:t>
        </w:r>
      </w:hyperlink>
      <w:r w:rsidR="0021435B" w:rsidRPr="00D84BC8">
        <w:rPr>
          <w:rStyle w:val="apple-converted-space"/>
          <w:rFonts w:ascii="Arial" w:hAnsi="Arial" w:cs="Arial"/>
          <w:color w:val="000000" w:themeColor="text1"/>
          <w:shd w:val="clear" w:color="auto" w:fill="FFFFFF"/>
        </w:rPr>
        <w:t> </w:t>
      </w:r>
      <w:r w:rsidR="0021435B" w:rsidRPr="00D84BC8">
        <w:rPr>
          <w:rFonts w:ascii="Arial" w:hAnsi="Arial" w:cs="Arial"/>
          <w:color w:val="000000" w:themeColor="text1"/>
          <w:shd w:val="clear" w:color="auto" w:fill="FFFFFF"/>
        </w:rPr>
        <w:t>at 38J - 39A.</w:t>
      </w:r>
    </w:p>
  </w:footnote>
  <w:footnote w:id="4">
    <w:p w:rsidR="00410C57" w:rsidRPr="00C275E1" w:rsidRDefault="00410C57">
      <w:pPr>
        <w:pStyle w:val="FootnoteText"/>
        <w:rPr>
          <w:rFonts w:ascii="Arial" w:hAnsi="Arial" w:cs="Arial"/>
          <w:lang w:val="en-GB"/>
        </w:rPr>
      </w:pPr>
      <w:r w:rsidRPr="00C275E1">
        <w:rPr>
          <w:rStyle w:val="FootnoteReference"/>
          <w:rFonts w:ascii="Arial" w:hAnsi="Arial" w:cs="Arial"/>
        </w:rPr>
        <w:footnoteRef/>
      </w:r>
      <w:r w:rsidRPr="00C275E1">
        <w:rPr>
          <w:rFonts w:ascii="Arial" w:hAnsi="Arial" w:cs="Arial"/>
        </w:rPr>
        <w:t xml:space="preserve"> </w:t>
      </w:r>
      <w:r w:rsidR="00A05370">
        <w:rPr>
          <w:rFonts w:ascii="Arial" w:hAnsi="Arial" w:cs="Arial"/>
          <w:i/>
          <w:iCs/>
          <w:lang w:val="en-GB"/>
        </w:rPr>
        <w:t xml:space="preserve"> </w:t>
      </w:r>
      <w:r w:rsidR="00A05370">
        <w:rPr>
          <w:rFonts w:ascii="Arial" w:hAnsi="Arial" w:cs="Arial"/>
          <w:lang w:val="en-GB"/>
        </w:rPr>
        <w:t>P</w:t>
      </w:r>
      <w:r w:rsidRPr="00C275E1">
        <w:rPr>
          <w:rFonts w:ascii="Arial" w:hAnsi="Arial" w:cs="Arial"/>
          <w:lang w:val="en-GB"/>
        </w:rPr>
        <w:t>ara 22</w:t>
      </w:r>
      <w:r w:rsidR="00E20519">
        <w:rPr>
          <w:rFonts w:ascii="Arial" w:hAnsi="Arial" w:cs="Arial"/>
          <w:lang w:val="en-GB"/>
        </w:rPr>
        <w:t>.</w:t>
      </w:r>
    </w:p>
  </w:footnote>
  <w:footnote w:id="5">
    <w:p w:rsidR="00566256" w:rsidRPr="00C43B08" w:rsidRDefault="00566256" w:rsidP="00A02C75">
      <w:pPr>
        <w:pStyle w:val="NoSpacing"/>
        <w:ind w:left="142" w:hanging="142"/>
        <w:rPr>
          <w:rFonts w:ascii="Arial" w:hAnsi="Arial" w:cs="Arial"/>
          <w:sz w:val="20"/>
          <w:szCs w:val="20"/>
        </w:rPr>
      </w:pPr>
      <w:r w:rsidRPr="00A02C75">
        <w:rPr>
          <w:rStyle w:val="FootnoteReference"/>
          <w:rFonts w:ascii="Arial" w:hAnsi="Arial" w:cs="Arial"/>
          <w:sz w:val="20"/>
          <w:szCs w:val="20"/>
        </w:rPr>
        <w:footnoteRef/>
      </w:r>
      <w:r w:rsidRPr="00C43B08">
        <w:rPr>
          <w:rFonts w:ascii="Arial" w:hAnsi="Arial" w:cs="Arial"/>
          <w:sz w:val="20"/>
          <w:szCs w:val="20"/>
        </w:rPr>
        <w:t xml:space="preserve"> </w:t>
      </w:r>
      <w:r w:rsidR="00C275E1" w:rsidRPr="00C43B08">
        <w:rPr>
          <w:rFonts w:ascii="Arial" w:hAnsi="Arial" w:cs="Arial"/>
          <w:sz w:val="20"/>
          <w:szCs w:val="20"/>
        </w:rPr>
        <w:tab/>
      </w:r>
      <w:r w:rsidR="00434CA9">
        <w:rPr>
          <w:rFonts w:ascii="Arial" w:hAnsi="Arial" w:cs="Arial"/>
          <w:sz w:val="20"/>
          <w:szCs w:val="20"/>
        </w:rPr>
        <w:t xml:space="preserve"> </w:t>
      </w:r>
      <w:r w:rsidRPr="007D78BB">
        <w:rPr>
          <w:rFonts w:ascii="Arial" w:hAnsi="Arial" w:cs="Arial"/>
          <w:i/>
          <w:iCs/>
          <w:sz w:val="20"/>
          <w:szCs w:val="20"/>
        </w:rPr>
        <w:t>Hills and Others v Taxing Master and Another</w:t>
      </w:r>
      <w:r w:rsidRPr="00C43B08">
        <w:rPr>
          <w:rFonts w:ascii="Arial" w:hAnsi="Arial" w:cs="Arial"/>
          <w:sz w:val="20"/>
          <w:szCs w:val="20"/>
        </w:rPr>
        <w:t xml:space="preserve"> 1975 (1) SA 856 (D) at p. 859 A -B</w:t>
      </w:r>
      <w:r w:rsidR="00234C5D">
        <w:rPr>
          <w:rFonts w:ascii="Arial" w:hAnsi="Arial" w:cs="Arial"/>
          <w:sz w:val="20"/>
          <w:szCs w:val="20"/>
        </w:rPr>
        <w:t>.</w:t>
      </w:r>
    </w:p>
  </w:footnote>
  <w:footnote w:id="6">
    <w:p w:rsidR="00566256" w:rsidRPr="00C43B08" w:rsidRDefault="00566256" w:rsidP="00A02C75">
      <w:pPr>
        <w:pStyle w:val="NoSpacing"/>
        <w:ind w:left="142" w:hanging="142"/>
        <w:rPr>
          <w:rFonts w:ascii="Arial" w:hAnsi="Arial" w:cs="Arial"/>
          <w:sz w:val="20"/>
          <w:szCs w:val="20"/>
        </w:rPr>
      </w:pPr>
      <w:r w:rsidRPr="00A02C75">
        <w:rPr>
          <w:rStyle w:val="FootnoteReference"/>
          <w:rFonts w:ascii="Arial" w:hAnsi="Arial" w:cs="Arial"/>
          <w:sz w:val="20"/>
          <w:szCs w:val="20"/>
        </w:rPr>
        <w:footnoteRef/>
      </w:r>
      <w:r w:rsidRPr="00C43B08">
        <w:rPr>
          <w:rFonts w:ascii="Arial" w:hAnsi="Arial" w:cs="Arial"/>
          <w:sz w:val="20"/>
          <w:szCs w:val="20"/>
        </w:rPr>
        <w:t xml:space="preserve"> </w:t>
      </w:r>
      <w:r w:rsidR="00434CA9">
        <w:rPr>
          <w:rFonts w:ascii="Arial" w:hAnsi="Arial" w:cs="Arial"/>
          <w:sz w:val="20"/>
          <w:szCs w:val="20"/>
        </w:rPr>
        <w:t xml:space="preserve"> </w:t>
      </w:r>
      <w:r w:rsidRPr="007D78BB">
        <w:rPr>
          <w:rFonts w:ascii="Arial" w:hAnsi="Arial" w:cs="Arial"/>
          <w:i/>
          <w:iCs/>
          <w:sz w:val="20"/>
          <w:szCs w:val="20"/>
        </w:rPr>
        <w:t>Estate Matthews v Ells</w:t>
      </w:r>
      <w:r w:rsidRPr="00C43B08">
        <w:rPr>
          <w:rFonts w:ascii="Arial" w:hAnsi="Arial" w:cs="Arial"/>
          <w:sz w:val="20"/>
          <w:szCs w:val="20"/>
        </w:rPr>
        <w:t>, </w:t>
      </w:r>
      <w:hyperlink r:id="rId3" w:history="1">
        <w:r w:rsidRPr="00C43B08">
          <w:rPr>
            <w:rStyle w:val="Hyperlink"/>
            <w:rFonts w:ascii="Arial" w:hAnsi="Arial" w:cs="Arial"/>
            <w:color w:val="auto"/>
            <w:sz w:val="20"/>
            <w:szCs w:val="20"/>
            <w:u w:val="none"/>
          </w:rPr>
          <w:t>1955 (4) SA 457 (C)</w:t>
        </w:r>
      </w:hyperlink>
      <w:r w:rsidRPr="00C43B08">
        <w:rPr>
          <w:rStyle w:val="apple-converted-space"/>
          <w:rFonts w:ascii="Arial" w:hAnsi="Arial" w:cs="Arial"/>
          <w:sz w:val="20"/>
          <w:szCs w:val="20"/>
        </w:rPr>
        <w:t> </w:t>
      </w:r>
      <w:r w:rsidRPr="00C43B08">
        <w:rPr>
          <w:rFonts w:ascii="Arial" w:hAnsi="Arial" w:cs="Arial"/>
          <w:sz w:val="20"/>
          <w:szCs w:val="20"/>
        </w:rPr>
        <w:t>at p. 459</w:t>
      </w:r>
      <w:r w:rsidR="00234C5D">
        <w:rPr>
          <w:rFonts w:ascii="Arial" w:hAnsi="Arial" w:cs="Arial"/>
          <w:sz w:val="20"/>
          <w:szCs w:val="20"/>
        </w:rPr>
        <w:t>.</w:t>
      </w:r>
    </w:p>
  </w:footnote>
  <w:footnote w:id="7">
    <w:p w:rsidR="0085775A" w:rsidRPr="00C43B08" w:rsidRDefault="0085775A" w:rsidP="00852986">
      <w:pPr>
        <w:pStyle w:val="NoSpacing"/>
        <w:ind w:left="284" w:hanging="284"/>
        <w:rPr>
          <w:rFonts w:ascii="Arial" w:hAnsi="Arial" w:cs="Arial"/>
          <w:sz w:val="20"/>
          <w:szCs w:val="20"/>
        </w:rPr>
      </w:pPr>
      <w:r w:rsidRPr="00A02C75">
        <w:rPr>
          <w:rStyle w:val="FootnoteReference"/>
          <w:rFonts w:ascii="Arial" w:hAnsi="Arial" w:cs="Arial"/>
          <w:sz w:val="20"/>
          <w:szCs w:val="20"/>
        </w:rPr>
        <w:footnoteRef/>
      </w:r>
      <w:r w:rsidRPr="00A02C75">
        <w:rPr>
          <w:rFonts w:ascii="Arial" w:hAnsi="Arial" w:cs="Arial"/>
          <w:sz w:val="20"/>
          <w:szCs w:val="20"/>
          <w:vertAlign w:val="superscript"/>
        </w:rPr>
        <w:t xml:space="preserve"> </w:t>
      </w:r>
      <w:r w:rsidR="00434CA9">
        <w:rPr>
          <w:rFonts w:ascii="Arial" w:hAnsi="Arial" w:cs="Arial"/>
          <w:sz w:val="20"/>
          <w:szCs w:val="20"/>
          <w:vertAlign w:val="superscript"/>
        </w:rPr>
        <w:t xml:space="preserve">  </w:t>
      </w:r>
      <w:r w:rsidRPr="007D78BB">
        <w:rPr>
          <w:rFonts w:ascii="Arial" w:hAnsi="Arial" w:cs="Arial"/>
          <w:i/>
          <w:iCs/>
          <w:sz w:val="20"/>
          <w:szCs w:val="20"/>
        </w:rPr>
        <w:t>Unlawful Occupiers of the School Site v City of Johannesburg</w:t>
      </w:r>
      <w:r w:rsidRPr="00C43B08">
        <w:rPr>
          <w:rFonts w:ascii="Arial" w:hAnsi="Arial" w:cs="Arial"/>
          <w:sz w:val="20"/>
          <w:szCs w:val="20"/>
        </w:rPr>
        <w:t xml:space="preserve"> 2005 (4) SA 199 (SCA) para 15.</w:t>
      </w:r>
    </w:p>
  </w:footnote>
  <w:footnote w:id="8">
    <w:p w:rsidR="002838F1" w:rsidRPr="00234C5D" w:rsidRDefault="002838F1" w:rsidP="00852986">
      <w:pPr>
        <w:pStyle w:val="NoSpacing"/>
        <w:ind w:left="284" w:hanging="284"/>
        <w:rPr>
          <w:rFonts w:ascii="Arial" w:hAnsi="Arial" w:cs="Arial"/>
          <w:sz w:val="20"/>
          <w:szCs w:val="20"/>
        </w:rPr>
      </w:pPr>
      <w:r w:rsidRPr="00A02C75">
        <w:rPr>
          <w:rStyle w:val="FootnoteReference"/>
          <w:rFonts w:ascii="Arial" w:hAnsi="Arial" w:cs="Arial"/>
          <w:sz w:val="20"/>
          <w:szCs w:val="20"/>
        </w:rPr>
        <w:footnoteRef/>
      </w:r>
      <w:r w:rsidRPr="00A02C75">
        <w:rPr>
          <w:rFonts w:ascii="Arial" w:hAnsi="Arial" w:cs="Arial"/>
          <w:sz w:val="20"/>
          <w:szCs w:val="20"/>
          <w:vertAlign w:val="superscript"/>
        </w:rPr>
        <w:t xml:space="preserve"> </w:t>
      </w:r>
      <w:r w:rsidR="00A02C75">
        <w:rPr>
          <w:rFonts w:ascii="Arial" w:hAnsi="Arial" w:cs="Arial"/>
          <w:sz w:val="20"/>
          <w:szCs w:val="20"/>
        </w:rPr>
        <w:t xml:space="preserve"> </w:t>
      </w:r>
      <w:r w:rsidR="00434CA9">
        <w:rPr>
          <w:rFonts w:ascii="Arial" w:hAnsi="Arial" w:cs="Arial"/>
          <w:sz w:val="20"/>
          <w:szCs w:val="20"/>
        </w:rPr>
        <w:t xml:space="preserve"> </w:t>
      </w:r>
      <w:r w:rsidR="007D1052">
        <w:rPr>
          <w:rFonts w:ascii="Arial" w:hAnsi="Arial" w:cs="Arial"/>
          <w:sz w:val="20"/>
          <w:szCs w:val="20"/>
        </w:rPr>
        <w:t xml:space="preserve">At </w:t>
      </w:r>
      <w:r w:rsidR="0085775A" w:rsidRPr="00234C5D">
        <w:rPr>
          <w:rFonts w:ascii="Arial" w:hAnsi="Arial" w:cs="Arial"/>
          <w:sz w:val="20"/>
          <w:szCs w:val="20"/>
        </w:rPr>
        <w:t>p 436F to 437</w:t>
      </w:r>
      <w:r w:rsidR="00F33BFB">
        <w:rPr>
          <w:rFonts w:ascii="Arial" w:hAnsi="Arial" w:cs="Arial"/>
          <w:sz w:val="20"/>
          <w:szCs w:val="20"/>
        </w:rPr>
        <w:t>B</w:t>
      </w:r>
      <w:r w:rsidR="00E20519">
        <w:rPr>
          <w:rFonts w:ascii="Arial" w:hAnsi="Arial" w:cs="Arial"/>
          <w:sz w:val="20"/>
          <w:szCs w:val="20"/>
        </w:rPr>
        <w:t>.</w:t>
      </w:r>
    </w:p>
  </w:footnote>
  <w:footnote w:id="9">
    <w:p w:rsidR="0085775A" w:rsidRPr="00234C5D" w:rsidRDefault="0085775A" w:rsidP="00852986">
      <w:pPr>
        <w:pStyle w:val="NoSpacing"/>
        <w:ind w:left="284" w:hanging="284"/>
        <w:rPr>
          <w:rFonts w:ascii="Arial" w:hAnsi="Arial" w:cs="Arial"/>
          <w:sz w:val="20"/>
          <w:szCs w:val="20"/>
          <w:lang w:val="en-GB"/>
        </w:rPr>
      </w:pPr>
      <w:r w:rsidRPr="00490346">
        <w:rPr>
          <w:rStyle w:val="FootnoteReference"/>
          <w:rFonts w:ascii="Arial" w:hAnsi="Arial" w:cs="Arial"/>
          <w:sz w:val="20"/>
          <w:szCs w:val="20"/>
        </w:rPr>
        <w:footnoteRef/>
      </w:r>
      <w:r w:rsidRPr="00490346">
        <w:rPr>
          <w:rFonts w:ascii="Arial" w:hAnsi="Arial" w:cs="Arial"/>
          <w:sz w:val="20"/>
          <w:szCs w:val="20"/>
        </w:rPr>
        <w:t xml:space="preserve"> </w:t>
      </w:r>
      <w:r w:rsidR="00A02C75">
        <w:rPr>
          <w:rStyle w:val="apple-converted-space"/>
          <w:rFonts w:ascii="Arial" w:hAnsi="Arial" w:cs="Arial"/>
          <w:color w:val="2C3E50"/>
          <w:sz w:val="20"/>
          <w:szCs w:val="20"/>
          <w:shd w:val="clear" w:color="auto" w:fill="FFFFFF"/>
        </w:rPr>
        <w:t xml:space="preserve"> </w:t>
      </w:r>
      <w:r w:rsidR="00067EEE">
        <w:rPr>
          <w:rStyle w:val="apple-converted-space"/>
          <w:rFonts w:ascii="Arial" w:hAnsi="Arial" w:cs="Arial"/>
          <w:color w:val="2C3E50"/>
          <w:sz w:val="20"/>
          <w:szCs w:val="20"/>
          <w:shd w:val="clear" w:color="auto" w:fill="FFFFFF"/>
        </w:rPr>
        <w:t xml:space="preserve"> </w:t>
      </w:r>
      <w:r w:rsidR="007D1052" w:rsidRPr="007D1052">
        <w:rPr>
          <w:rFonts w:ascii="Arial" w:hAnsi="Arial" w:cs="Arial"/>
          <w:sz w:val="20"/>
          <w:szCs w:val="20"/>
        </w:rPr>
        <w:t>At p</w:t>
      </w:r>
      <w:r w:rsidR="007D1052">
        <w:rPr>
          <w:rFonts w:ascii="Arial" w:hAnsi="Arial" w:cs="Arial"/>
          <w:i/>
          <w:iCs/>
          <w:sz w:val="20"/>
          <w:szCs w:val="20"/>
        </w:rPr>
        <w:t xml:space="preserve"> </w:t>
      </w:r>
      <w:r w:rsidRPr="00234C5D">
        <w:rPr>
          <w:rFonts w:ascii="Arial" w:hAnsi="Arial" w:cs="Arial"/>
          <w:sz w:val="20"/>
          <w:szCs w:val="20"/>
          <w:shd w:val="clear" w:color="auto" w:fill="FFFFFF"/>
        </w:rPr>
        <w:t>351</w:t>
      </w:r>
      <w:r w:rsidR="0003728E">
        <w:rPr>
          <w:rFonts w:ascii="Arial" w:hAnsi="Arial" w:cs="Arial"/>
          <w:sz w:val="20"/>
          <w:szCs w:val="20"/>
          <w:shd w:val="clear" w:color="auto" w:fill="FFFFFF"/>
        </w:rPr>
        <w:t xml:space="preserve"> </w:t>
      </w:r>
      <w:r w:rsidRPr="00234C5D">
        <w:rPr>
          <w:rFonts w:ascii="Arial" w:hAnsi="Arial" w:cs="Arial"/>
          <w:sz w:val="20"/>
          <w:szCs w:val="20"/>
          <w:shd w:val="clear" w:color="auto" w:fill="FFFFFF"/>
        </w:rPr>
        <w:t>H – 352</w:t>
      </w:r>
      <w:r w:rsidR="0003728E">
        <w:rPr>
          <w:rFonts w:ascii="Arial" w:hAnsi="Arial" w:cs="Arial"/>
          <w:sz w:val="20"/>
          <w:szCs w:val="20"/>
          <w:shd w:val="clear" w:color="auto" w:fill="FFFFFF"/>
        </w:rPr>
        <w:t xml:space="preserve"> </w:t>
      </w:r>
      <w:r w:rsidRPr="00234C5D">
        <w:rPr>
          <w:rFonts w:ascii="Arial" w:hAnsi="Arial" w:cs="Arial"/>
          <w:sz w:val="20"/>
          <w:szCs w:val="20"/>
          <w:shd w:val="clear" w:color="auto" w:fill="FFFFFF"/>
        </w:rPr>
        <w:t>A.</w:t>
      </w:r>
    </w:p>
  </w:footnote>
  <w:footnote w:id="10">
    <w:p w:rsidR="00854403" w:rsidRPr="00234C5D" w:rsidRDefault="00854403" w:rsidP="00852986">
      <w:pPr>
        <w:pStyle w:val="NoSpacing"/>
        <w:ind w:left="284" w:hanging="284"/>
        <w:rPr>
          <w:rFonts w:ascii="Arial" w:hAnsi="Arial" w:cs="Arial"/>
          <w:sz w:val="20"/>
          <w:szCs w:val="20"/>
          <w:lang w:val="en-GB"/>
        </w:rPr>
      </w:pPr>
      <w:r w:rsidRPr="00234C5D">
        <w:rPr>
          <w:rStyle w:val="FootnoteReference"/>
          <w:rFonts w:ascii="Arial" w:hAnsi="Arial" w:cs="Arial"/>
          <w:sz w:val="20"/>
          <w:szCs w:val="20"/>
        </w:rPr>
        <w:footnoteRef/>
      </w:r>
      <w:r w:rsidRPr="00234C5D">
        <w:rPr>
          <w:rFonts w:ascii="Arial" w:hAnsi="Arial" w:cs="Arial"/>
          <w:sz w:val="20"/>
          <w:szCs w:val="20"/>
        </w:rPr>
        <w:t xml:space="preserve"> </w:t>
      </w:r>
      <w:r w:rsidR="00332644">
        <w:rPr>
          <w:rFonts w:ascii="Arial" w:hAnsi="Arial" w:cs="Arial"/>
          <w:sz w:val="20"/>
          <w:szCs w:val="20"/>
        </w:rPr>
        <w:t xml:space="preserve"> </w:t>
      </w:r>
      <w:r w:rsidR="00490346" w:rsidRPr="00490346">
        <w:rPr>
          <w:rFonts w:ascii="Arial" w:hAnsi="Arial" w:cs="Arial"/>
          <w:sz w:val="20"/>
          <w:szCs w:val="20"/>
          <w:lang w:val="en-GB"/>
        </w:rPr>
        <w:t>At p 436</w:t>
      </w:r>
      <w:r w:rsidR="0003728E">
        <w:rPr>
          <w:rFonts w:ascii="Arial" w:hAnsi="Arial" w:cs="Arial"/>
          <w:sz w:val="20"/>
          <w:szCs w:val="20"/>
          <w:lang w:val="en-GB"/>
        </w:rPr>
        <w:t xml:space="preserve"> </w:t>
      </w:r>
      <w:r w:rsidR="00490346" w:rsidRPr="00490346">
        <w:rPr>
          <w:rFonts w:ascii="Arial" w:hAnsi="Arial" w:cs="Arial"/>
          <w:sz w:val="20"/>
          <w:szCs w:val="20"/>
          <w:lang w:val="en-GB"/>
        </w:rPr>
        <w:t>I – 437</w:t>
      </w:r>
      <w:r w:rsidR="0003728E">
        <w:rPr>
          <w:rFonts w:ascii="Arial" w:hAnsi="Arial" w:cs="Arial"/>
          <w:sz w:val="20"/>
          <w:szCs w:val="20"/>
          <w:lang w:val="en-GB"/>
        </w:rPr>
        <w:t xml:space="preserve"> </w:t>
      </w:r>
      <w:r w:rsidR="00490346" w:rsidRPr="00490346">
        <w:rPr>
          <w:rFonts w:ascii="Arial" w:hAnsi="Arial" w:cs="Arial"/>
          <w:sz w:val="20"/>
          <w:szCs w:val="20"/>
          <w:lang w:val="en-GB"/>
        </w:rPr>
        <w:t>A</w:t>
      </w:r>
      <w:r w:rsidR="00332644">
        <w:rPr>
          <w:rFonts w:ascii="Arial" w:hAnsi="Arial" w:cs="Arial"/>
          <w:sz w:val="20"/>
          <w:szCs w:val="20"/>
          <w:lang w:val="en-GB"/>
        </w:rPr>
        <w:t>.</w:t>
      </w:r>
    </w:p>
  </w:footnote>
  <w:footnote w:id="11">
    <w:p w:rsidR="008847F5" w:rsidRPr="00234C5D" w:rsidRDefault="008847F5" w:rsidP="00852986">
      <w:pPr>
        <w:pStyle w:val="NoSpacing"/>
        <w:ind w:left="284" w:hanging="284"/>
        <w:rPr>
          <w:rFonts w:ascii="Arial" w:hAnsi="Arial" w:cs="Arial"/>
          <w:sz w:val="20"/>
          <w:szCs w:val="20"/>
          <w:lang w:val="en-GB"/>
        </w:rPr>
      </w:pPr>
      <w:r w:rsidRPr="00234C5D">
        <w:rPr>
          <w:rStyle w:val="FootnoteReference"/>
          <w:rFonts w:ascii="Arial" w:hAnsi="Arial" w:cs="Arial"/>
          <w:sz w:val="20"/>
          <w:szCs w:val="20"/>
        </w:rPr>
        <w:footnoteRef/>
      </w:r>
      <w:r w:rsidRPr="00234C5D">
        <w:rPr>
          <w:rFonts w:ascii="Arial" w:hAnsi="Arial" w:cs="Arial"/>
          <w:sz w:val="20"/>
          <w:szCs w:val="20"/>
        </w:rPr>
        <w:t xml:space="preserve"> </w:t>
      </w:r>
      <w:r w:rsidR="00332644">
        <w:rPr>
          <w:rFonts w:ascii="Arial" w:hAnsi="Arial" w:cs="Arial"/>
          <w:sz w:val="20"/>
          <w:szCs w:val="20"/>
        </w:rPr>
        <w:t xml:space="preserve"> </w:t>
      </w:r>
      <w:r w:rsidR="007D0D3D">
        <w:rPr>
          <w:rFonts w:ascii="Arial" w:hAnsi="Arial" w:cs="Arial"/>
          <w:sz w:val="20"/>
          <w:szCs w:val="20"/>
          <w:lang w:val="en-GB"/>
        </w:rPr>
        <w:t>P</w:t>
      </w:r>
      <w:r w:rsidRPr="00234C5D">
        <w:rPr>
          <w:rFonts w:ascii="Arial" w:hAnsi="Arial" w:cs="Arial"/>
          <w:sz w:val="20"/>
          <w:szCs w:val="20"/>
          <w:lang w:val="en-GB"/>
        </w:rPr>
        <w:t>ara 22</w:t>
      </w:r>
      <w:r w:rsidR="00E20519">
        <w:rPr>
          <w:rFonts w:ascii="Arial" w:hAnsi="Arial" w:cs="Arial"/>
          <w:sz w:val="20"/>
          <w:szCs w:val="20"/>
          <w:lang w:val="en-GB"/>
        </w:rPr>
        <w:t>.</w:t>
      </w:r>
    </w:p>
  </w:footnote>
  <w:footnote w:id="12">
    <w:p w:rsidR="008847F5" w:rsidRPr="00234C5D" w:rsidRDefault="008847F5" w:rsidP="00852986">
      <w:pPr>
        <w:pStyle w:val="NoSpacing"/>
        <w:ind w:left="284" w:hanging="284"/>
        <w:rPr>
          <w:rFonts w:ascii="Arial" w:hAnsi="Arial" w:cs="Arial"/>
          <w:sz w:val="20"/>
          <w:szCs w:val="20"/>
          <w:lang w:val="en-GB"/>
        </w:rPr>
      </w:pPr>
      <w:r w:rsidRPr="00B349D3">
        <w:rPr>
          <w:rStyle w:val="FootnoteReference"/>
          <w:rFonts w:ascii="Arial" w:hAnsi="Arial" w:cs="Arial"/>
          <w:sz w:val="20"/>
          <w:szCs w:val="20"/>
        </w:rPr>
        <w:footnoteRef/>
      </w:r>
      <w:r w:rsidRPr="00B349D3">
        <w:rPr>
          <w:rFonts w:ascii="Arial" w:hAnsi="Arial" w:cs="Arial"/>
          <w:sz w:val="20"/>
          <w:szCs w:val="20"/>
        </w:rPr>
        <w:t xml:space="preserve"> </w:t>
      </w:r>
      <w:r w:rsidR="0003728E">
        <w:rPr>
          <w:rFonts w:ascii="Arial" w:hAnsi="Arial" w:cs="Arial"/>
          <w:sz w:val="20"/>
          <w:szCs w:val="20"/>
        </w:rPr>
        <w:t xml:space="preserve"> </w:t>
      </w:r>
      <w:r w:rsidR="007D0D3D">
        <w:rPr>
          <w:rFonts w:ascii="Arial" w:hAnsi="Arial" w:cs="Arial"/>
          <w:sz w:val="20"/>
          <w:szCs w:val="20"/>
          <w:lang w:val="en-GB"/>
        </w:rPr>
        <w:t>P</w:t>
      </w:r>
      <w:r w:rsidRPr="00234C5D">
        <w:rPr>
          <w:rFonts w:ascii="Arial" w:hAnsi="Arial" w:cs="Arial"/>
          <w:sz w:val="20"/>
          <w:szCs w:val="20"/>
          <w:lang w:val="en-GB"/>
        </w:rPr>
        <w:t>ara 22</w:t>
      </w:r>
      <w:r w:rsidR="00E20519">
        <w:rPr>
          <w:rFonts w:ascii="Arial" w:hAnsi="Arial" w:cs="Arial"/>
          <w:sz w:val="20"/>
          <w:szCs w:val="20"/>
          <w:lang w:val="en-GB"/>
        </w:rPr>
        <w:t>.</w:t>
      </w:r>
    </w:p>
  </w:footnote>
  <w:footnote w:id="13">
    <w:p w:rsidR="008847F5" w:rsidRPr="00234C5D" w:rsidRDefault="008847F5" w:rsidP="00852986">
      <w:pPr>
        <w:pStyle w:val="FootnoteText"/>
        <w:ind w:left="284" w:hanging="284"/>
        <w:rPr>
          <w:rFonts w:ascii="Arial" w:hAnsi="Arial" w:cs="Arial"/>
          <w:lang w:val="en-GB"/>
        </w:rPr>
      </w:pPr>
      <w:r w:rsidRPr="00234C5D">
        <w:rPr>
          <w:rStyle w:val="FootnoteReference"/>
          <w:rFonts w:ascii="Arial" w:hAnsi="Arial" w:cs="Arial"/>
        </w:rPr>
        <w:footnoteRef/>
      </w:r>
      <w:r w:rsidRPr="00234C5D">
        <w:rPr>
          <w:rFonts w:ascii="Arial" w:hAnsi="Arial" w:cs="Arial"/>
        </w:rPr>
        <w:t xml:space="preserve"> </w:t>
      </w:r>
      <w:r w:rsidR="0003728E">
        <w:rPr>
          <w:rFonts w:ascii="Arial" w:hAnsi="Arial" w:cs="Arial"/>
        </w:rPr>
        <w:t xml:space="preserve"> </w:t>
      </w:r>
      <w:r w:rsidR="007D0D3D">
        <w:rPr>
          <w:rFonts w:ascii="Arial" w:hAnsi="Arial" w:cs="Arial"/>
          <w:lang w:val="en-GB"/>
        </w:rPr>
        <w:t>P</w:t>
      </w:r>
      <w:r w:rsidRPr="00234C5D">
        <w:rPr>
          <w:rFonts w:ascii="Arial" w:hAnsi="Arial" w:cs="Arial"/>
          <w:lang w:val="en-GB"/>
        </w:rPr>
        <w:t xml:space="preserve">aras 26 </w:t>
      </w:r>
      <w:r w:rsidR="00E20519">
        <w:rPr>
          <w:rFonts w:ascii="Arial" w:hAnsi="Arial" w:cs="Arial"/>
          <w:lang w:val="en-GB"/>
        </w:rPr>
        <w:t>–</w:t>
      </w:r>
      <w:r w:rsidRPr="00234C5D">
        <w:rPr>
          <w:rFonts w:ascii="Arial" w:hAnsi="Arial" w:cs="Arial"/>
          <w:lang w:val="en-GB"/>
        </w:rPr>
        <w:t xml:space="preserve"> 27</w:t>
      </w:r>
      <w:r w:rsidR="00E20519">
        <w:rPr>
          <w:rFonts w:ascii="Arial" w:hAnsi="Arial" w:cs="Arial"/>
          <w:lang w:val="en-GB"/>
        </w:rPr>
        <w:t>.</w:t>
      </w:r>
    </w:p>
  </w:footnote>
  <w:footnote w:id="14">
    <w:p w:rsidR="00BC2784" w:rsidRPr="00234C5D" w:rsidRDefault="00BC2784" w:rsidP="00852986">
      <w:pPr>
        <w:pStyle w:val="FootnoteText"/>
        <w:ind w:left="284" w:hanging="284"/>
        <w:rPr>
          <w:rFonts w:ascii="Arial" w:hAnsi="Arial" w:cs="Arial"/>
          <w:lang w:val="en-GB"/>
        </w:rPr>
      </w:pPr>
      <w:r w:rsidRPr="00234C5D">
        <w:rPr>
          <w:rStyle w:val="FootnoteReference"/>
          <w:rFonts w:ascii="Arial" w:hAnsi="Arial" w:cs="Arial"/>
        </w:rPr>
        <w:footnoteRef/>
      </w:r>
      <w:r w:rsidRPr="00234C5D">
        <w:rPr>
          <w:rFonts w:ascii="Arial" w:hAnsi="Arial" w:cs="Arial"/>
        </w:rPr>
        <w:t xml:space="preserve"> </w:t>
      </w:r>
      <w:r w:rsidR="00852986">
        <w:rPr>
          <w:rFonts w:ascii="Arial" w:hAnsi="Arial" w:cs="Arial"/>
        </w:rPr>
        <w:tab/>
      </w:r>
      <w:r w:rsidRPr="007D78BB">
        <w:rPr>
          <w:rFonts w:ascii="Arial" w:hAnsi="Arial" w:cs="Arial"/>
          <w:i/>
          <w:iCs/>
          <w:lang w:val="en-GB"/>
        </w:rPr>
        <w:t xml:space="preserve">Unlawful </w:t>
      </w:r>
      <w:r w:rsidRPr="005C6F6B">
        <w:rPr>
          <w:rFonts w:ascii="Arial" w:hAnsi="Arial" w:cs="Arial"/>
          <w:i/>
          <w:iCs/>
          <w:lang w:val="en-GB"/>
        </w:rPr>
        <w:t>Occupiers</w:t>
      </w:r>
      <w:r w:rsidRPr="005C6F6B">
        <w:rPr>
          <w:rFonts w:ascii="Arial" w:hAnsi="Arial" w:cs="Arial"/>
          <w:lang w:val="en-GB"/>
        </w:rPr>
        <w:t xml:space="preserve"> </w:t>
      </w:r>
      <w:r w:rsidR="00CD40AB" w:rsidRPr="005C6F6B">
        <w:rPr>
          <w:rFonts w:ascii="Arial" w:hAnsi="Arial" w:cs="Arial"/>
          <w:lang w:val="en-GB"/>
        </w:rPr>
        <w:t xml:space="preserve">note </w:t>
      </w:r>
      <w:r w:rsidR="007D0D3D">
        <w:rPr>
          <w:rFonts w:ascii="Arial" w:hAnsi="Arial" w:cs="Arial"/>
          <w:lang w:val="en-GB"/>
        </w:rPr>
        <w:t>7</w:t>
      </w:r>
      <w:r w:rsidR="00CD40AB" w:rsidRPr="005C6F6B">
        <w:rPr>
          <w:rFonts w:ascii="Arial" w:hAnsi="Arial" w:cs="Arial"/>
          <w:lang w:val="en-GB"/>
        </w:rPr>
        <w:t xml:space="preserve"> above, </w:t>
      </w:r>
      <w:r w:rsidRPr="005C6F6B">
        <w:rPr>
          <w:rFonts w:ascii="Arial" w:hAnsi="Arial" w:cs="Arial"/>
          <w:lang w:val="en-GB"/>
        </w:rPr>
        <w:t>para</w:t>
      </w:r>
      <w:r w:rsidRPr="00234C5D">
        <w:rPr>
          <w:rFonts w:ascii="Arial" w:hAnsi="Arial" w:cs="Arial"/>
          <w:lang w:val="en-GB"/>
        </w:rPr>
        <w:t xml:space="preserve"> 16</w:t>
      </w:r>
      <w:r w:rsidR="00E20519">
        <w:rPr>
          <w:rFonts w:ascii="Arial" w:hAnsi="Arial" w:cs="Arial"/>
          <w:lang w:val="en-GB"/>
        </w:rPr>
        <w:t>.</w:t>
      </w:r>
    </w:p>
  </w:footnote>
  <w:footnote w:id="15">
    <w:p w:rsidR="006F0C97" w:rsidRPr="00234C5D" w:rsidRDefault="006F0C97" w:rsidP="00852986">
      <w:pPr>
        <w:pStyle w:val="FootnoteText"/>
        <w:ind w:left="284" w:hanging="284"/>
        <w:rPr>
          <w:rFonts w:ascii="Arial" w:hAnsi="Arial" w:cs="Arial"/>
          <w:lang w:val="en-GB"/>
        </w:rPr>
      </w:pPr>
      <w:r w:rsidRPr="00234C5D">
        <w:rPr>
          <w:rStyle w:val="FootnoteReference"/>
          <w:rFonts w:ascii="Arial" w:hAnsi="Arial" w:cs="Arial"/>
        </w:rPr>
        <w:footnoteRef/>
      </w:r>
      <w:r w:rsidRPr="00234C5D">
        <w:rPr>
          <w:rFonts w:ascii="Arial" w:hAnsi="Arial" w:cs="Arial"/>
        </w:rPr>
        <w:t xml:space="preserve"> </w:t>
      </w:r>
      <w:r w:rsidR="00852986">
        <w:rPr>
          <w:rFonts w:ascii="Arial" w:hAnsi="Arial" w:cs="Arial"/>
        </w:rPr>
        <w:tab/>
      </w:r>
      <w:r w:rsidRPr="00234C5D">
        <w:rPr>
          <w:rFonts w:ascii="Arial" w:hAnsi="Arial" w:cs="Arial"/>
          <w:lang w:val="en-GB"/>
        </w:rPr>
        <w:t>Para 27</w:t>
      </w:r>
      <w:r w:rsidR="00CA2CC3">
        <w:rPr>
          <w:rFonts w:ascii="Arial" w:hAnsi="Arial" w:cs="Arial"/>
          <w:lang w:val="en-GB"/>
        </w:rPr>
        <w:t>.</w:t>
      </w:r>
    </w:p>
  </w:footnote>
  <w:footnote w:id="16">
    <w:p w:rsidR="006F0C97" w:rsidRPr="00234C5D" w:rsidRDefault="006F0C97" w:rsidP="00852986">
      <w:pPr>
        <w:pStyle w:val="FootnoteText"/>
        <w:ind w:left="284" w:hanging="284"/>
        <w:rPr>
          <w:rFonts w:ascii="Arial" w:hAnsi="Arial" w:cs="Arial"/>
          <w:lang w:val="en-GB"/>
        </w:rPr>
      </w:pPr>
      <w:r w:rsidRPr="00234C5D">
        <w:rPr>
          <w:rStyle w:val="FootnoteReference"/>
          <w:rFonts w:ascii="Arial" w:hAnsi="Arial" w:cs="Arial"/>
        </w:rPr>
        <w:footnoteRef/>
      </w:r>
      <w:r w:rsidR="00332644">
        <w:rPr>
          <w:rFonts w:ascii="Arial" w:hAnsi="Arial" w:cs="Arial"/>
        </w:rPr>
        <w:t xml:space="preserve">   </w:t>
      </w:r>
      <w:r w:rsidRPr="00234C5D">
        <w:rPr>
          <w:rFonts w:ascii="Arial" w:hAnsi="Arial" w:cs="Arial"/>
          <w:i/>
          <w:iCs/>
          <w:lang w:val="en-GB"/>
        </w:rPr>
        <w:t xml:space="preserve">De Klerk </w:t>
      </w:r>
      <w:r w:rsidR="00490346" w:rsidRPr="00490346">
        <w:rPr>
          <w:rFonts w:ascii="Arial" w:hAnsi="Arial" w:cs="Arial"/>
          <w:lang w:val="en-GB"/>
        </w:rPr>
        <w:t xml:space="preserve">at </w:t>
      </w:r>
      <w:r w:rsidRPr="00234C5D">
        <w:rPr>
          <w:rFonts w:ascii="Arial" w:hAnsi="Arial" w:cs="Arial"/>
          <w:lang w:val="en-GB"/>
        </w:rPr>
        <w:t>p 436 I – J</w:t>
      </w:r>
      <w:r w:rsidR="00CA2CC3">
        <w:rPr>
          <w:rFonts w:ascii="Arial" w:hAnsi="Arial" w:cs="Arial"/>
          <w:lang w:val="en-GB"/>
        </w:rPr>
        <w:t>.</w:t>
      </w:r>
      <w:r w:rsidRPr="00234C5D">
        <w:rPr>
          <w:rFonts w:ascii="Arial" w:hAnsi="Arial" w:cs="Arial"/>
          <w:lang w:val="en-GB"/>
        </w:rPr>
        <w:t xml:space="preserve"> </w:t>
      </w:r>
    </w:p>
  </w:footnote>
  <w:footnote w:id="17">
    <w:p w:rsidR="005E0531" w:rsidRPr="00234C5D" w:rsidRDefault="005E0531" w:rsidP="00852986">
      <w:pPr>
        <w:pStyle w:val="FootnoteText"/>
        <w:ind w:left="284" w:hanging="284"/>
        <w:rPr>
          <w:rFonts w:ascii="Arial" w:hAnsi="Arial" w:cs="Arial"/>
          <w:lang w:val="en-GB"/>
        </w:rPr>
      </w:pPr>
      <w:r w:rsidRPr="00234C5D">
        <w:rPr>
          <w:rStyle w:val="FootnoteReference"/>
          <w:rFonts w:ascii="Arial" w:hAnsi="Arial" w:cs="Arial"/>
        </w:rPr>
        <w:footnoteRef/>
      </w:r>
      <w:r w:rsidRPr="00234C5D">
        <w:rPr>
          <w:rFonts w:ascii="Arial" w:hAnsi="Arial" w:cs="Arial"/>
        </w:rPr>
        <w:t xml:space="preserve"> </w:t>
      </w:r>
      <w:r w:rsidR="00332644">
        <w:rPr>
          <w:rFonts w:ascii="Arial" w:hAnsi="Arial" w:cs="Arial"/>
        </w:rPr>
        <w:t xml:space="preserve">  </w:t>
      </w:r>
      <w:r w:rsidRPr="007D78BB">
        <w:rPr>
          <w:rFonts w:ascii="Arial" w:hAnsi="Arial" w:cs="Arial"/>
          <w:i/>
          <w:iCs/>
          <w:shd w:val="clear" w:color="auto" w:fill="FFFFFF"/>
        </w:rPr>
        <w:t>Dollar Rent a car and another v Moolla NO</w:t>
      </w:r>
      <w:r w:rsidRPr="00234C5D">
        <w:rPr>
          <w:rFonts w:ascii="Arial" w:hAnsi="Arial" w:cs="Arial"/>
          <w:shd w:val="clear" w:color="auto" w:fill="FFFFFF"/>
        </w:rPr>
        <w:t xml:space="preserve"> 2023 JDR 2712 (GJ) paras 4, 5 and 16</w:t>
      </w:r>
      <w:r w:rsidR="00CA2CC3">
        <w:rPr>
          <w:rFonts w:ascii="Arial" w:hAnsi="Arial" w:cs="Arial"/>
          <w:shd w:val="clear" w:color="auto" w:fill="FFFFFF"/>
        </w:rPr>
        <w:t>.</w:t>
      </w:r>
    </w:p>
  </w:footnote>
  <w:footnote w:id="18">
    <w:p w:rsidR="00F70F19" w:rsidRPr="002B098E" w:rsidRDefault="00F70F19" w:rsidP="00852986">
      <w:pPr>
        <w:pStyle w:val="NoSpacing"/>
        <w:ind w:left="284" w:hanging="284"/>
        <w:rPr>
          <w:rFonts w:ascii="Arial" w:hAnsi="Arial" w:cs="Arial"/>
          <w:sz w:val="20"/>
          <w:szCs w:val="20"/>
          <w:lang w:val="en-GB"/>
        </w:rPr>
      </w:pPr>
      <w:r w:rsidRPr="002B098E">
        <w:rPr>
          <w:rStyle w:val="FootnoteReference"/>
          <w:rFonts w:ascii="Arial" w:hAnsi="Arial" w:cs="Arial"/>
          <w:sz w:val="20"/>
          <w:szCs w:val="20"/>
        </w:rPr>
        <w:footnoteRef/>
      </w:r>
      <w:r w:rsidRPr="002B098E">
        <w:rPr>
          <w:rFonts w:ascii="Arial" w:hAnsi="Arial" w:cs="Arial"/>
          <w:sz w:val="20"/>
          <w:szCs w:val="20"/>
        </w:rPr>
        <w:t xml:space="preserve"> </w:t>
      </w:r>
      <w:r w:rsidR="007D0D3D">
        <w:rPr>
          <w:rFonts w:ascii="Arial" w:hAnsi="Arial" w:cs="Arial"/>
          <w:sz w:val="20"/>
          <w:szCs w:val="20"/>
        </w:rPr>
        <w:t>P</w:t>
      </w:r>
      <w:r w:rsidRPr="002B098E">
        <w:rPr>
          <w:rFonts w:ascii="Arial" w:hAnsi="Arial" w:cs="Arial"/>
          <w:sz w:val="20"/>
          <w:szCs w:val="20"/>
        </w:rPr>
        <w:t>ara 29</w:t>
      </w:r>
      <w:r>
        <w:rPr>
          <w:rFonts w:ascii="Arial" w:hAnsi="Arial" w:cs="Arial"/>
          <w:sz w:val="20"/>
          <w:szCs w:val="20"/>
        </w:rPr>
        <w:t>.</w:t>
      </w:r>
    </w:p>
  </w:footnote>
  <w:footnote w:id="19">
    <w:p w:rsidR="007979D1" w:rsidRPr="002B098E" w:rsidRDefault="007979D1" w:rsidP="00852986">
      <w:pPr>
        <w:pStyle w:val="NoSpacing"/>
        <w:ind w:left="284" w:hanging="284"/>
        <w:rPr>
          <w:rFonts w:ascii="Arial" w:hAnsi="Arial" w:cs="Arial"/>
          <w:sz w:val="20"/>
          <w:szCs w:val="20"/>
          <w:lang w:val="en-GB"/>
        </w:rPr>
      </w:pPr>
      <w:r w:rsidRPr="002B098E">
        <w:rPr>
          <w:rStyle w:val="FootnoteReference"/>
          <w:rFonts w:ascii="Arial" w:hAnsi="Arial" w:cs="Arial"/>
          <w:sz w:val="20"/>
          <w:szCs w:val="20"/>
        </w:rPr>
        <w:footnoteRef/>
      </w:r>
      <w:r w:rsidRPr="002B098E">
        <w:rPr>
          <w:rFonts w:ascii="Arial" w:hAnsi="Arial" w:cs="Arial"/>
          <w:sz w:val="20"/>
          <w:szCs w:val="20"/>
        </w:rPr>
        <w:t xml:space="preserve"> </w:t>
      </w:r>
      <w:r w:rsidR="007D0D3D" w:rsidRPr="007D0D3D">
        <w:rPr>
          <w:rFonts w:ascii="Arial" w:hAnsi="Arial" w:cs="Arial"/>
          <w:sz w:val="20"/>
          <w:szCs w:val="20"/>
          <w:lang w:val="en-GB"/>
        </w:rPr>
        <w:t>P</w:t>
      </w:r>
      <w:r w:rsidRPr="007D0D3D">
        <w:rPr>
          <w:rFonts w:ascii="Arial" w:hAnsi="Arial" w:cs="Arial"/>
          <w:sz w:val="20"/>
          <w:szCs w:val="20"/>
          <w:lang w:val="en-GB"/>
        </w:rPr>
        <w:t>ara</w:t>
      </w:r>
      <w:r w:rsidRPr="002B098E">
        <w:rPr>
          <w:rFonts w:ascii="Arial" w:hAnsi="Arial" w:cs="Arial"/>
          <w:sz w:val="20"/>
          <w:szCs w:val="20"/>
          <w:lang w:val="en-GB"/>
        </w:rPr>
        <w:t xml:space="preserve"> 11</w:t>
      </w:r>
      <w:r w:rsidR="00CA2CC3">
        <w:rPr>
          <w:rFonts w:ascii="Arial" w:hAnsi="Arial" w:cs="Arial"/>
          <w:sz w:val="20"/>
          <w:szCs w:val="20"/>
          <w:lang w:val="en-GB"/>
        </w:rPr>
        <w:t>.</w:t>
      </w:r>
    </w:p>
  </w:footnote>
  <w:footnote w:id="20">
    <w:p w:rsidR="00502A5C" w:rsidRPr="00EC4EC7" w:rsidRDefault="00502A5C" w:rsidP="00547A71">
      <w:pPr>
        <w:pStyle w:val="FootnoteText"/>
        <w:ind w:left="284" w:hanging="284"/>
        <w:rPr>
          <w:rFonts w:ascii="Arial" w:hAnsi="Arial" w:cs="Arial"/>
          <w:lang w:val="en-GB"/>
        </w:rPr>
      </w:pPr>
      <w:r w:rsidRPr="00EC4EC7">
        <w:rPr>
          <w:rStyle w:val="FootnoteReference"/>
          <w:rFonts w:ascii="Arial" w:hAnsi="Arial" w:cs="Arial"/>
        </w:rPr>
        <w:footnoteRef/>
      </w:r>
      <w:r w:rsidR="00547A71">
        <w:rPr>
          <w:rFonts w:ascii="Arial" w:hAnsi="Arial" w:cs="Arial"/>
          <w:lang w:val="en-GB"/>
        </w:rPr>
        <w:t xml:space="preserve"> </w:t>
      </w:r>
      <w:r w:rsidRPr="00EC4EC7">
        <w:rPr>
          <w:rFonts w:ascii="Arial" w:hAnsi="Arial" w:cs="Arial"/>
          <w:lang w:val="en-GB"/>
        </w:rPr>
        <w:t>Para</w:t>
      </w:r>
      <w:r w:rsidR="00F70F19" w:rsidRPr="00EC4EC7">
        <w:rPr>
          <w:rFonts w:ascii="Arial" w:hAnsi="Arial" w:cs="Arial"/>
          <w:lang w:val="en-GB"/>
        </w:rPr>
        <w:t>s</w:t>
      </w:r>
      <w:r w:rsidRPr="00EC4EC7">
        <w:rPr>
          <w:rFonts w:ascii="Arial" w:hAnsi="Arial" w:cs="Arial"/>
          <w:lang w:val="en-GB"/>
        </w:rPr>
        <w:t xml:space="preserve"> 28</w:t>
      </w:r>
      <w:r w:rsidR="00F70F19" w:rsidRPr="00EC4EC7">
        <w:rPr>
          <w:rFonts w:ascii="Arial" w:hAnsi="Arial" w:cs="Arial"/>
          <w:lang w:val="en-GB"/>
        </w:rPr>
        <w:t xml:space="preserve"> and 22</w:t>
      </w:r>
      <w:r w:rsidR="00332644">
        <w:rPr>
          <w:rFonts w:ascii="Arial" w:hAnsi="Arial" w:cs="Arial"/>
          <w:lang w:val="en-GB"/>
        </w:rPr>
        <w:t>.</w:t>
      </w:r>
    </w:p>
  </w:footnote>
  <w:footnote w:id="21">
    <w:p w:rsidR="00F70F19" w:rsidRPr="00EC4EC7" w:rsidRDefault="00F70F19" w:rsidP="00547A71">
      <w:pPr>
        <w:pStyle w:val="FootnoteText"/>
        <w:ind w:left="284" w:hanging="284"/>
        <w:rPr>
          <w:rFonts w:ascii="Arial" w:hAnsi="Arial" w:cs="Arial"/>
          <w:lang w:val="en-GB"/>
        </w:rPr>
      </w:pPr>
      <w:r w:rsidRPr="00EC4EC7">
        <w:rPr>
          <w:rStyle w:val="FootnoteReference"/>
          <w:rFonts w:ascii="Arial" w:hAnsi="Arial" w:cs="Arial"/>
        </w:rPr>
        <w:footnoteRef/>
      </w:r>
      <w:r w:rsidR="00547A71">
        <w:rPr>
          <w:rFonts w:ascii="Arial" w:hAnsi="Arial" w:cs="Arial"/>
          <w:lang w:val="en-GB"/>
        </w:rPr>
        <w:t xml:space="preserve"> </w:t>
      </w:r>
      <w:r w:rsidRPr="00EC4EC7">
        <w:rPr>
          <w:rFonts w:ascii="Arial" w:hAnsi="Arial" w:cs="Arial"/>
          <w:lang w:val="en-GB"/>
        </w:rPr>
        <w:t>Para</w:t>
      </w:r>
      <w:r w:rsidR="007D0D3D" w:rsidRPr="00EC4EC7">
        <w:rPr>
          <w:rFonts w:ascii="Arial" w:hAnsi="Arial" w:cs="Arial"/>
          <w:lang w:val="en-GB"/>
        </w:rPr>
        <w:t>s 22 and</w:t>
      </w:r>
      <w:r w:rsidRPr="00EC4EC7">
        <w:rPr>
          <w:rFonts w:ascii="Arial" w:hAnsi="Arial" w:cs="Arial"/>
          <w:lang w:val="en-GB"/>
        </w:rPr>
        <w:t xml:space="preserve"> 27</w:t>
      </w:r>
      <w:r w:rsidR="00332644">
        <w:rPr>
          <w:rFonts w:ascii="Arial" w:hAnsi="Arial" w:cs="Arial"/>
          <w:lang w:val="en-GB"/>
        </w:rPr>
        <w:t>.</w:t>
      </w:r>
    </w:p>
  </w:footnote>
  <w:footnote w:id="22">
    <w:p w:rsidR="007D0D3D" w:rsidRPr="00EC4EC7" w:rsidRDefault="007D0D3D" w:rsidP="00547A71">
      <w:pPr>
        <w:pStyle w:val="NoSpacing"/>
        <w:ind w:left="284" w:hanging="284"/>
        <w:rPr>
          <w:rFonts w:ascii="Arial" w:hAnsi="Arial" w:cs="Arial"/>
          <w:sz w:val="20"/>
          <w:szCs w:val="20"/>
          <w:lang w:val="en-GB"/>
        </w:rPr>
      </w:pPr>
      <w:r w:rsidRPr="00EC4EC7">
        <w:rPr>
          <w:rStyle w:val="FootnoteReference"/>
          <w:rFonts w:ascii="Arial" w:hAnsi="Arial" w:cs="Arial"/>
          <w:sz w:val="20"/>
          <w:szCs w:val="20"/>
        </w:rPr>
        <w:footnoteRef/>
      </w:r>
      <w:r w:rsidR="00547A71">
        <w:rPr>
          <w:rFonts w:ascii="Arial" w:hAnsi="Arial" w:cs="Arial"/>
          <w:i/>
          <w:iCs/>
          <w:sz w:val="20"/>
          <w:szCs w:val="20"/>
          <w:lang w:val="en-GB"/>
        </w:rPr>
        <w:t xml:space="preserve"> </w:t>
      </w:r>
      <w:r w:rsidRPr="00EC4EC7">
        <w:rPr>
          <w:rFonts w:ascii="Arial" w:hAnsi="Arial" w:cs="Arial"/>
          <w:i/>
          <w:iCs/>
          <w:sz w:val="20"/>
          <w:szCs w:val="20"/>
          <w:lang w:val="en-GB"/>
        </w:rPr>
        <w:t>Gainsford and others NNO v Hiab AB</w:t>
      </w:r>
      <w:r w:rsidRPr="00EC4EC7">
        <w:rPr>
          <w:rFonts w:ascii="Arial" w:hAnsi="Arial" w:cs="Arial"/>
          <w:sz w:val="20"/>
          <w:szCs w:val="20"/>
          <w:lang w:val="en-GB"/>
        </w:rPr>
        <w:t xml:space="preserve"> 2000 (3) SA 635 (WLD) p 639</w:t>
      </w:r>
      <w:r w:rsidR="0003728E">
        <w:rPr>
          <w:rFonts w:ascii="Arial" w:hAnsi="Arial" w:cs="Arial"/>
          <w:sz w:val="20"/>
          <w:szCs w:val="20"/>
          <w:lang w:val="en-GB"/>
        </w:rPr>
        <w:t xml:space="preserve"> </w:t>
      </w:r>
      <w:r w:rsidRPr="00EC4EC7">
        <w:rPr>
          <w:rFonts w:ascii="Arial" w:hAnsi="Arial" w:cs="Arial"/>
          <w:sz w:val="20"/>
          <w:szCs w:val="20"/>
          <w:lang w:val="en-GB"/>
        </w:rPr>
        <w:t>J to 640</w:t>
      </w:r>
      <w:r w:rsidR="0003728E">
        <w:rPr>
          <w:rFonts w:ascii="Arial" w:hAnsi="Arial" w:cs="Arial"/>
          <w:sz w:val="20"/>
          <w:szCs w:val="20"/>
          <w:lang w:val="en-GB"/>
        </w:rPr>
        <w:t xml:space="preserve"> </w:t>
      </w:r>
      <w:r w:rsidRPr="00EC4EC7">
        <w:rPr>
          <w:rFonts w:ascii="Arial" w:hAnsi="Arial" w:cs="Arial"/>
          <w:sz w:val="20"/>
          <w:szCs w:val="20"/>
          <w:lang w:val="en-GB"/>
        </w:rPr>
        <w:t>A.</w:t>
      </w:r>
    </w:p>
  </w:footnote>
  <w:footnote w:id="23">
    <w:p w:rsidR="008157A9" w:rsidRPr="00EC4EC7" w:rsidRDefault="008157A9" w:rsidP="00547A71">
      <w:pPr>
        <w:pStyle w:val="NoSpacing"/>
        <w:ind w:left="284" w:hanging="284"/>
        <w:rPr>
          <w:rFonts w:ascii="Arial" w:hAnsi="Arial" w:cs="Arial"/>
          <w:sz w:val="20"/>
          <w:szCs w:val="20"/>
          <w:lang w:val="en-GB"/>
        </w:rPr>
      </w:pPr>
      <w:r w:rsidRPr="00EC4EC7">
        <w:rPr>
          <w:rStyle w:val="FootnoteReference"/>
          <w:rFonts w:ascii="Arial" w:hAnsi="Arial" w:cs="Arial"/>
          <w:sz w:val="20"/>
          <w:szCs w:val="20"/>
        </w:rPr>
        <w:footnoteRef/>
      </w:r>
      <w:r w:rsidR="00547A71">
        <w:rPr>
          <w:rFonts w:ascii="Arial" w:hAnsi="Arial" w:cs="Arial"/>
          <w:sz w:val="20"/>
          <w:szCs w:val="20"/>
        </w:rPr>
        <w:t xml:space="preserve"> </w:t>
      </w:r>
      <w:r w:rsidR="00547A71">
        <w:rPr>
          <w:rFonts w:ascii="Arial" w:hAnsi="Arial" w:cs="Arial"/>
          <w:sz w:val="20"/>
          <w:szCs w:val="20"/>
        </w:rPr>
        <w:tab/>
      </w:r>
      <w:r w:rsidR="00332644">
        <w:rPr>
          <w:rFonts w:ascii="Arial" w:hAnsi="Arial" w:cs="Arial"/>
          <w:sz w:val="20"/>
          <w:szCs w:val="20"/>
        </w:rPr>
        <w:t xml:space="preserve">At p </w:t>
      </w:r>
      <w:r w:rsidR="002C75C0" w:rsidRPr="00EC4EC7">
        <w:rPr>
          <w:rFonts w:ascii="Arial" w:hAnsi="Arial" w:cs="Arial"/>
          <w:sz w:val="20"/>
          <w:szCs w:val="20"/>
        </w:rPr>
        <w:t>D1-94 – D1-95</w:t>
      </w:r>
      <w:r w:rsidR="00332644">
        <w:rPr>
          <w:rFonts w:ascii="Arial" w:hAnsi="Arial" w:cs="Arial"/>
          <w:sz w:val="20"/>
          <w:szCs w:val="20"/>
        </w:rPr>
        <w:t>.</w:t>
      </w:r>
    </w:p>
  </w:footnote>
  <w:footnote w:id="24">
    <w:p w:rsidR="007D65FC" w:rsidRPr="00EC4EC7" w:rsidRDefault="007D65FC" w:rsidP="00547A71">
      <w:pPr>
        <w:pStyle w:val="FootnoteText"/>
        <w:ind w:left="284" w:hanging="284"/>
        <w:rPr>
          <w:rFonts w:ascii="Arial" w:hAnsi="Arial" w:cs="Arial"/>
          <w:lang w:val="en-GB"/>
        </w:rPr>
      </w:pPr>
      <w:r w:rsidRPr="00EC4EC7">
        <w:rPr>
          <w:rStyle w:val="FootnoteReference"/>
          <w:rFonts w:ascii="Arial" w:hAnsi="Arial" w:cs="Arial"/>
        </w:rPr>
        <w:footnoteRef/>
      </w:r>
      <w:r w:rsidR="00547A71">
        <w:rPr>
          <w:rFonts w:ascii="Arial" w:hAnsi="Arial" w:cs="Arial"/>
          <w:i/>
          <w:iCs/>
          <w:color w:val="000000" w:themeColor="text1"/>
        </w:rPr>
        <w:t xml:space="preserve"> </w:t>
      </w:r>
      <w:r w:rsidR="00547A71">
        <w:rPr>
          <w:rFonts w:ascii="Arial" w:hAnsi="Arial" w:cs="Arial"/>
          <w:i/>
          <w:iCs/>
          <w:color w:val="000000" w:themeColor="text1"/>
        </w:rPr>
        <w:tab/>
      </w:r>
      <w:r w:rsidR="002C75C0" w:rsidRPr="00EC4EC7">
        <w:rPr>
          <w:rFonts w:ascii="Arial" w:hAnsi="Arial" w:cs="Arial"/>
          <w:i/>
          <w:iCs/>
          <w:color w:val="000000" w:themeColor="text1"/>
        </w:rPr>
        <w:t>Creative Car Sound v Automobile Radio Dealers Association 1989 (Pty) Ltd</w:t>
      </w:r>
      <w:r w:rsidR="002C75C0" w:rsidRPr="00EC4EC7">
        <w:rPr>
          <w:rFonts w:ascii="Arial" w:hAnsi="Arial" w:cs="Arial"/>
          <w:color w:val="000000" w:themeColor="text1"/>
          <w:shd w:val="clear" w:color="auto" w:fill="FFFFFF"/>
        </w:rPr>
        <w:t> </w:t>
      </w:r>
      <w:hyperlink r:id="rId4" w:anchor="y2007v4SApg546" w:history="1">
        <w:r w:rsidR="002C75C0" w:rsidRPr="00EC4EC7">
          <w:rPr>
            <w:rStyle w:val="Hyperlink"/>
            <w:rFonts w:ascii="Arial" w:hAnsi="Arial" w:cs="Arial"/>
            <w:color w:val="000000" w:themeColor="text1"/>
            <w:u w:val="none"/>
          </w:rPr>
          <w:t>2007 (4)</w:t>
        </w:r>
        <w:r w:rsidR="002C75C0" w:rsidRPr="00EC4EC7">
          <w:rPr>
            <w:rStyle w:val="apple-converted-space"/>
            <w:rFonts w:ascii="Arial" w:hAnsi="Arial" w:cs="Arial"/>
            <w:color w:val="000000" w:themeColor="text1"/>
          </w:rPr>
          <w:t> </w:t>
        </w:r>
        <w:r w:rsidR="002C75C0" w:rsidRPr="00EC4EC7">
          <w:rPr>
            <w:rStyle w:val="Hyperlink"/>
            <w:rFonts w:ascii="Arial" w:hAnsi="Arial" w:cs="Arial"/>
            <w:color w:val="000000" w:themeColor="text1"/>
            <w:u w:val="none"/>
          </w:rPr>
          <w:t>SA</w:t>
        </w:r>
        <w:r w:rsidR="002C75C0" w:rsidRPr="00EC4EC7">
          <w:rPr>
            <w:rStyle w:val="apple-converted-space"/>
            <w:rFonts w:ascii="Arial" w:hAnsi="Arial" w:cs="Arial"/>
            <w:color w:val="000000" w:themeColor="text1"/>
          </w:rPr>
          <w:t> </w:t>
        </w:r>
        <w:r w:rsidR="002C75C0" w:rsidRPr="00EC4EC7">
          <w:rPr>
            <w:rStyle w:val="Hyperlink"/>
            <w:rFonts w:ascii="Arial" w:hAnsi="Arial" w:cs="Arial"/>
            <w:color w:val="000000" w:themeColor="text1"/>
            <w:u w:val="none"/>
          </w:rPr>
          <w:t>546 (D)</w:t>
        </w:r>
      </w:hyperlink>
      <w:r w:rsidR="002C75C0" w:rsidRPr="00EC4EC7">
        <w:rPr>
          <w:rFonts w:ascii="Arial" w:hAnsi="Arial" w:cs="Arial"/>
          <w:color w:val="000000" w:themeColor="text1"/>
          <w:shd w:val="clear" w:color="auto" w:fill="FFFFFF"/>
        </w:rPr>
        <w:t xml:space="preserve"> at </w:t>
      </w:r>
      <w:r w:rsidR="00A02C75" w:rsidRPr="00EC4EC7">
        <w:rPr>
          <w:rFonts w:ascii="Arial" w:hAnsi="Arial" w:cs="Arial"/>
          <w:color w:val="000000" w:themeColor="text1"/>
          <w:shd w:val="clear" w:color="auto" w:fill="FFFFFF"/>
        </w:rPr>
        <w:t xml:space="preserve"> </w:t>
      </w:r>
      <w:r w:rsidR="002C75C0" w:rsidRPr="00EC4EC7">
        <w:rPr>
          <w:rFonts w:ascii="Arial" w:hAnsi="Arial" w:cs="Arial"/>
          <w:color w:val="000000" w:themeColor="text1"/>
          <w:shd w:val="clear" w:color="auto" w:fill="FFFFFF"/>
        </w:rPr>
        <w:t>553I–554D</w:t>
      </w:r>
      <w:r w:rsidR="00332644">
        <w:rPr>
          <w:rFonts w:ascii="Arial" w:hAnsi="Arial" w:cs="Arial"/>
          <w:color w:val="000000" w:themeColor="text1"/>
          <w:shd w:val="clear" w:color="auto" w:fill="FFFFFF"/>
        </w:rPr>
        <w:t>.</w:t>
      </w:r>
      <w:r w:rsidR="002C75C0" w:rsidRPr="00EC4EC7">
        <w:rPr>
          <w:rFonts w:ascii="Verdana" w:hAnsi="Verdana"/>
          <w:color w:val="000000" w:themeColor="text1"/>
          <w:shd w:val="clear" w:color="auto" w:fill="FFFFFF"/>
        </w:rPr>
        <w:t xml:space="preserve"> </w:t>
      </w:r>
    </w:p>
  </w:footnote>
  <w:footnote w:id="25">
    <w:p w:rsidR="000B3910" w:rsidRPr="002C75C0" w:rsidRDefault="000B3910" w:rsidP="00A02C75">
      <w:pPr>
        <w:pStyle w:val="FootnoteText"/>
        <w:ind w:left="284" w:hanging="284"/>
        <w:rPr>
          <w:rFonts w:ascii="Arial" w:hAnsi="Arial" w:cs="Arial"/>
          <w:lang w:val="en-GB"/>
        </w:rPr>
      </w:pPr>
      <w:r w:rsidRPr="00FD62D6">
        <w:rPr>
          <w:rStyle w:val="FootnoteReference"/>
          <w:rFonts w:ascii="Arial" w:hAnsi="Arial" w:cs="Arial"/>
        </w:rPr>
        <w:footnoteRef/>
      </w:r>
      <w:r w:rsidRPr="00FD62D6">
        <w:rPr>
          <w:rFonts w:ascii="Arial" w:hAnsi="Arial" w:cs="Arial"/>
        </w:rPr>
        <w:t xml:space="preserve"> </w:t>
      </w:r>
      <w:r w:rsidR="00A02C75">
        <w:rPr>
          <w:rFonts w:ascii="Arial" w:hAnsi="Arial" w:cs="Arial"/>
        </w:rPr>
        <w:tab/>
      </w:r>
      <w:r w:rsidR="002C75C0">
        <w:rPr>
          <w:rFonts w:ascii="Arial" w:hAnsi="Arial" w:cs="Arial"/>
          <w:i/>
          <w:iCs/>
          <w:lang w:val="en-GB"/>
        </w:rPr>
        <w:t xml:space="preserve">AJP Properties CC v Sello </w:t>
      </w:r>
      <w:r w:rsidR="002C75C0">
        <w:rPr>
          <w:rFonts w:ascii="Arial" w:hAnsi="Arial" w:cs="Arial"/>
          <w:lang w:val="en-GB"/>
        </w:rPr>
        <w:t>2018 (1) SA 535 (GJ) at p 539 D -F.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389486"/>
      <w:docPartObj>
        <w:docPartGallery w:val="Page Numbers (Top of Page)"/>
        <w:docPartUnique/>
      </w:docPartObj>
    </w:sdtPr>
    <w:sdtEndPr>
      <w:rPr>
        <w:noProof/>
      </w:rPr>
    </w:sdtEndPr>
    <w:sdtContent>
      <w:p w:rsidR="007F091F" w:rsidRDefault="007F091F">
        <w:pPr>
          <w:pStyle w:val="Header"/>
          <w:jc w:val="right"/>
        </w:pPr>
        <w:r>
          <w:fldChar w:fldCharType="begin"/>
        </w:r>
        <w:r>
          <w:instrText xml:space="preserve"> PAGE   \* MERGEFORMAT </w:instrText>
        </w:r>
        <w:r>
          <w:fldChar w:fldCharType="separate"/>
        </w:r>
        <w:r w:rsidR="00630603">
          <w:rPr>
            <w:noProof/>
          </w:rPr>
          <w:t>2</w:t>
        </w:r>
        <w:r>
          <w:rPr>
            <w:noProof/>
          </w:rPr>
          <w:fldChar w:fldCharType="end"/>
        </w:r>
      </w:p>
    </w:sdtContent>
  </w:sdt>
  <w:p w:rsidR="007F091F" w:rsidRDefault="007F09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E7929"/>
    <w:multiLevelType w:val="hybridMultilevel"/>
    <w:tmpl w:val="265A98C2"/>
    <w:lvl w:ilvl="0" w:tplc="DCE6F284">
      <w:start w:val="1"/>
      <w:numFmt w:val="decimal"/>
      <w:lvlText w:val="[%1]"/>
      <w:lvlJc w:val="left"/>
      <w:pPr>
        <w:ind w:left="0" w:firstLine="0"/>
      </w:pPr>
      <w:rPr>
        <w:rFonts w:ascii="Arial" w:hAnsi="Arial" w:cs="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D618D"/>
    <w:multiLevelType w:val="hybridMultilevel"/>
    <w:tmpl w:val="4174909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5D248DF"/>
    <w:multiLevelType w:val="hybridMultilevel"/>
    <w:tmpl w:val="A89CF436"/>
    <w:lvl w:ilvl="0" w:tplc="DCC4D50C">
      <w:start w:val="1"/>
      <w:numFmt w:val="decimal"/>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E3E62C2"/>
    <w:multiLevelType w:val="hybridMultilevel"/>
    <w:tmpl w:val="32AE8FBE"/>
    <w:lvl w:ilvl="0" w:tplc="FAC87446">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2B7B79"/>
    <w:multiLevelType w:val="hybridMultilevel"/>
    <w:tmpl w:val="D31EC21E"/>
    <w:lvl w:ilvl="0" w:tplc="52502AB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134D49"/>
    <w:multiLevelType w:val="multilevel"/>
    <w:tmpl w:val="5A3AC5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131954"/>
    <w:multiLevelType w:val="multilevel"/>
    <w:tmpl w:val="E160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BD110A"/>
    <w:multiLevelType w:val="multilevel"/>
    <w:tmpl w:val="A798FD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0C6BEC"/>
    <w:multiLevelType w:val="multilevel"/>
    <w:tmpl w:val="14CAC6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5"/>
  </w:num>
  <w:num w:numId="4">
    <w:abstractNumId w:val="6"/>
  </w:num>
  <w:num w:numId="5">
    <w:abstractNumId w:val="2"/>
  </w:num>
  <w:num w:numId="6">
    <w:abstractNumId w:val="4"/>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C6"/>
    <w:rsid w:val="00001FB1"/>
    <w:rsid w:val="0000772B"/>
    <w:rsid w:val="0001560C"/>
    <w:rsid w:val="000249EA"/>
    <w:rsid w:val="000334DF"/>
    <w:rsid w:val="0003728E"/>
    <w:rsid w:val="00052C02"/>
    <w:rsid w:val="00055F43"/>
    <w:rsid w:val="000562F1"/>
    <w:rsid w:val="00057FFA"/>
    <w:rsid w:val="00067EEE"/>
    <w:rsid w:val="0007475C"/>
    <w:rsid w:val="000A13DF"/>
    <w:rsid w:val="000A3C54"/>
    <w:rsid w:val="000A415E"/>
    <w:rsid w:val="000A4D37"/>
    <w:rsid w:val="000B3910"/>
    <w:rsid w:val="000B75C9"/>
    <w:rsid w:val="000D3AC6"/>
    <w:rsid w:val="0010205E"/>
    <w:rsid w:val="00151E5C"/>
    <w:rsid w:val="00156569"/>
    <w:rsid w:val="001622EB"/>
    <w:rsid w:val="00166C06"/>
    <w:rsid w:val="001923ED"/>
    <w:rsid w:val="001A063F"/>
    <w:rsid w:val="001A38F1"/>
    <w:rsid w:val="001B2035"/>
    <w:rsid w:val="001B5E44"/>
    <w:rsid w:val="001C66BA"/>
    <w:rsid w:val="001D2353"/>
    <w:rsid w:val="001D2F48"/>
    <w:rsid w:val="001D79DE"/>
    <w:rsid w:val="001E592D"/>
    <w:rsid w:val="0021435B"/>
    <w:rsid w:val="00215062"/>
    <w:rsid w:val="0021685D"/>
    <w:rsid w:val="00226D47"/>
    <w:rsid w:val="00230451"/>
    <w:rsid w:val="002312BC"/>
    <w:rsid w:val="00234C5D"/>
    <w:rsid w:val="002370AC"/>
    <w:rsid w:val="002403CE"/>
    <w:rsid w:val="002427A6"/>
    <w:rsid w:val="00243AFA"/>
    <w:rsid w:val="0024472F"/>
    <w:rsid w:val="0025307D"/>
    <w:rsid w:val="002551B8"/>
    <w:rsid w:val="00262376"/>
    <w:rsid w:val="00274E42"/>
    <w:rsid w:val="002838F1"/>
    <w:rsid w:val="00284CBC"/>
    <w:rsid w:val="00287BDC"/>
    <w:rsid w:val="002A42E9"/>
    <w:rsid w:val="002B0635"/>
    <w:rsid w:val="002B098E"/>
    <w:rsid w:val="002C0ECF"/>
    <w:rsid w:val="002C75C0"/>
    <w:rsid w:val="002F03EB"/>
    <w:rsid w:val="002F52AF"/>
    <w:rsid w:val="00312B98"/>
    <w:rsid w:val="003143AD"/>
    <w:rsid w:val="00332644"/>
    <w:rsid w:val="0034298A"/>
    <w:rsid w:val="0035215C"/>
    <w:rsid w:val="00373436"/>
    <w:rsid w:val="00375AD1"/>
    <w:rsid w:val="00377A54"/>
    <w:rsid w:val="00380264"/>
    <w:rsid w:val="00385799"/>
    <w:rsid w:val="003951C2"/>
    <w:rsid w:val="003A13DB"/>
    <w:rsid w:val="003A5187"/>
    <w:rsid w:val="003B4547"/>
    <w:rsid w:val="003C3F97"/>
    <w:rsid w:val="003C559E"/>
    <w:rsid w:val="003E62B2"/>
    <w:rsid w:val="00405715"/>
    <w:rsid w:val="00410C57"/>
    <w:rsid w:val="004150C6"/>
    <w:rsid w:val="00420D50"/>
    <w:rsid w:val="0043478D"/>
    <w:rsid w:val="00434CA9"/>
    <w:rsid w:val="004374E1"/>
    <w:rsid w:val="00444BED"/>
    <w:rsid w:val="00446E81"/>
    <w:rsid w:val="004477DE"/>
    <w:rsid w:val="00467C5F"/>
    <w:rsid w:val="00490346"/>
    <w:rsid w:val="00495FEA"/>
    <w:rsid w:val="004A3F05"/>
    <w:rsid w:val="004D7A29"/>
    <w:rsid w:val="00502A5C"/>
    <w:rsid w:val="005134BC"/>
    <w:rsid w:val="0052692D"/>
    <w:rsid w:val="00540229"/>
    <w:rsid w:val="00540649"/>
    <w:rsid w:val="00547A71"/>
    <w:rsid w:val="00566256"/>
    <w:rsid w:val="00572C7C"/>
    <w:rsid w:val="005819CB"/>
    <w:rsid w:val="005A1807"/>
    <w:rsid w:val="005A43F7"/>
    <w:rsid w:val="005B6452"/>
    <w:rsid w:val="005C55A8"/>
    <w:rsid w:val="005C6F6B"/>
    <w:rsid w:val="005D32A2"/>
    <w:rsid w:val="005E0531"/>
    <w:rsid w:val="005E45DB"/>
    <w:rsid w:val="006121A8"/>
    <w:rsid w:val="00624DB8"/>
    <w:rsid w:val="00630603"/>
    <w:rsid w:val="006343E7"/>
    <w:rsid w:val="006365F1"/>
    <w:rsid w:val="00654762"/>
    <w:rsid w:val="006715DD"/>
    <w:rsid w:val="00674C43"/>
    <w:rsid w:val="00692CE2"/>
    <w:rsid w:val="00697650"/>
    <w:rsid w:val="006A06AC"/>
    <w:rsid w:val="006B54E3"/>
    <w:rsid w:val="006D5D0D"/>
    <w:rsid w:val="006F0C97"/>
    <w:rsid w:val="00700148"/>
    <w:rsid w:val="007068F6"/>
    <w:rsid w:val="00707D66"/>
    <w:rsid w:val="007215F0"/>
    <w:rsid w:val="007358A0"/>
    <w:rsid w:val="007538C6"/>
    <w:rsid w:val="00753A6F"/>
    <w:rsid w:val="00781459"/>
    <w:rsid w:val="007979D1"/>
    <w:rsid w:val="007A60A9"/>
    <w:rsid w:val="007B06B5"/>
    <w:rsid w:val="007B1BEC"/>
    <w:rsid w:val="007B5A63"/>
    <w:rsid w:val="007C783B"/>
    <w:rsid w:val="007C7A21"/>
    <w:rsid w:val="007D0D3D"/>
    <w:rsid w:val="007D1052"/>
    <w:rsid w:val="007D65FC"/>
    <w:rsid w:val="007D78BB"/>
    <w:rsid w:val="007F091F"/>
    <w:rsid w:val="007F1C2E"/>
    <w:rsid w:val="00807426"/>
    <w:rsid w:val="008157A9"/>
    <w:rsid w:val="008367BE"/>
    <w:rsid w:val="00852986"/>
    <w:rsid w:val="00854247"/>
    <w:rsid w:val="00854403"/>
    <w:rsid w:val="0085775A"/>
    <w:rsid w:val="008602E7"/>
    <w:rsid w:val="008847F5"/>
    <w:rsid w:val="00897A09"/>
    <w:rsid w:val="008A7888"/>
    <w:rsid w:val="00920E13"/>
    <w:rsid w:val="00931302"/>
    <w:rsid w:val="00965711"/>
    <w:rsid w:val="00967BEE"/>
    <w:rsid w:val="009F3F7D"/>
    <w:rsid w:val="00A02C75"/>
    <w:rsid w:val="00A05370"/>
    <w:rsid w:val="00A101A7"/>
    <w:rsid w:val="00A209CC"/>
    <w:rsid w:val="00A23869"/>
    <w:rsid w:val="00A3393A"/>
    <w:rsid w:val="00A4314C"/>
    <w:rsid w:val="00A710B3"/>
    <w:rsid w:val="00A7375C"/>
    <w:rsid w:val="00A77AF5"/>
    <w:rsid w:val="00A90420"/>
    <w:rsid w:val="00A9321F"/>
    <w:rsid w:val="00AC5D70"/>
    <w:rsid w:val="00AD205B"/>
    <w:rsid w:val="00B13AF1"/>
    <w:rsid w:val="00B233BF"/>
    <w:rsid w:val="00B25258"/>
    <w:rsid w:val="00B349D3"/>
    <w:rsid w:val="00B41BA0"/>
    <w:rsid w:val="00B564AA"/>
    <w:rsid w:val="00B63992"/>
    <w:rsid w:val="00B66A20"/>
    <w:rsid w:val="00B7259F"/>
    <w:rsid w:val="00B90B12"/>
    <w:rsid w:val="00B92148"/>
    <w:rsid w:val="00B95912"/>
    <w:rsid w:val="00B96225"/>
    <w:rsid w:val="00BA069C"/>
    <w:rsid w:val="00BA2B3C"/>
    <w:rsid w:val="00BB0166"/>
    <w:rsid w:val="00BC2784"/>
    <w:rsid w:val="00BC516C"/>
    <w:rsid w:val="00BD3FB5"/>
    <w:rsid w:val="00BD6AF4"/>
    <w:rsid w:val="00C05487"/>
    <w:rsid w:val="00C275E1"/>
    <w:rsid w:val="00C43B08"/>
    <w:rsid w:val="00C67107"/>
    <w:rsid w:val="00C81071"/>
    <w:rsid w:val="00C913CD"/>
    <w:rsid w:val="00CA2CC3"/>
    <w:rsid w:val="00CA719F"/>
    <w:rsid w:val="00CB487F"/>
    <w:rsid w:val="00CB7B32"/>
    <w:rsid w:val="00CC42C5"/>
    <w:rsid w:val="00CD40AB"/>
    <w:rsid w:val="00CF165B"/>
    <w:rsid w:val="00D00CEC"/>
    <w:rsid w:val="00D0284D"/>
    <w:rsid w:val="00D040AD"/>
    <w:rsid w:val="00D114FD"/>
    <w:rsid w:val="00D41996"/>
    <w:rsid w:val="00D50898"/>
    <w:rsid w:val="00D55A4A"/>
    <w:rsid w:val="00D57A8A"/>
    <w:rsid w:val="00D70224"/>
    <w:rsid w:val="00D84BC8"/>
    <w:rsid w:val="00D85407"/>
    <w:rsid w:val="00D94B24"/>
    <w:rsid w:val="00D9685D"/>
    <w:rsid w:val="00DA0053"/>
    <w:rsid w:val="00DB2F8C"/>
    <w:rsid w:val="00DD15F5"/>
    <w:rsid w:val="00DD75CE"/>
    <w:rsid w:val="00DE2D7A"/>
    <w:rsid w:val="00DE47E7"/>
    <w:rsid w:val="00DF1C00"/>
    <w:rsid w:val="00DF697F"/>
    <w:rsid w:val="00E0131B"/>
    <w:rsid w:val="00E12262"/>
    <w:rsid w:val="00E20519"/>
    <w:rsid w:val="00E2503D"/>
    <w:rsid w:val="00E30D2A"/>
    <w:rsid w:val="00E8729E"/>
    <w:rsid w:val="00E87BB3"/>
    <w:rsid w:val="00EB4950"/>
    <w:rsid w:val="00EB624B"/>
    <w:rsid w:val="00EC2180"/>
    <w:rsid w:val="00EC4EC7"/>
    <w:rsid w:val="00EC5D1A"/>
    <w:rsid w:val="00ED0AFD"/>
    <w:rsid w:val="00ED29C2"/>
    <w:rsid w:val="00EE3B24"/>
    <w:rsid w:val="00EE60FE"/>
    <w:rsid w:val="00F030BA"/>
    <w:rsid w:val="00F03A5E"/>
    <w:rsid w:val="00F24993"/>
    <w:rsid w:val="00F26221"/>
    <w:rsid w:val="00F278DB"/>
    <w:rsid w:val="00F309AE"/>
    <w:rsid w:val="00F33BFB"/>
    <w:rsid w:val="00F52C5A"/>
    <w:rsid w:val="00F64915"/>
    <w:rsid w:val="00F66100"/>
    <w:rsid w:val="00F70F19"/>
    <w:rsid w:val="00F71082"/>
    <w:rsid w:val="00F71A82"/>
    <w:rsid w:val="00F807A1"/>
    <w:rsid w:val="00F94364"/>
    <w:rsid w:val="00FB28FE"/>
    <w:rsid w:val="00FD1A27"/>
    <w:rsid w:val="00FD5208"/>
    <w:rsid w:val="00FD62D6"/>
    <w:rsid w:val="00FF2BE5"/>
    <w:rsid w:val="00FF3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00269-9CD6-4C20-AA25-76B19566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EC7"/>
  </w:style>
  <w:style w:type="paragraph" w:styleId="Heading1">
    <w:name w:val="heading 1"/>
    <w:basedOn w:val="Normal"/>
    <w:next w:val="Normal"/>
    <w:link w:val="Heading1Char"/>
    <w:uiPriority w:val="9"/>
    <w:qFormat/>
    <w:rsid w:val="00EC4EC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EC4EC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C4EC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EC4EC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EC4EC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EC4EC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EC4EC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EC4EC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EC4EC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91F"/>
  </w:style>
  <w:style w:type="paragraph" w:styleId="Footer">
    <w:name w:val="footer"/>
    <w:basedOn w:val="Normal"/>
    <w:link w:val="FooterChar"/>
    <w:uiPriority w:val="99"/>
    <w:unhideWhenUsed/>
    <w:rsid w:val="007F0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91F"/>
  </w:style>
  <w:style w:type="paragraph" w:styleId="FootnoteText">
    <w:name w:val="footnote text"/>
    <w:basedOn w:val="Normal"/>
    <w:link w:val="FootnoteTextChar"/>
    <w:uiPriority w:val="99"/>
    <w:semiHidden/>
    <w:unhideWhenUsed/>
    <w:rsid w:val="007F09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091F"/>
    <w:rPr>
      <w:sz w:val="20"/>
      <w:szCs w:val="20"/>
    </w:rPr>
  </w:style>
  <w:style w:type="character" w:styleId="FootnoteReference">
    <w:name w:val="footnote reference"/>
    <w:basedOn w:val="DefaultParagraphFont"/>
    <w:uiPriority w:val="99"/>
    <w:semiHidden/>
    <w:unhideWhenUsed/>
    <w:rsid w:val="007F091F"/>
    <w:rPr>
      <w:vertAlign w:val="superscript"/>
    </w:rPr>
  </w:style>
  <w:style w:type="paragraph" w:styleId="NormalWeb">
    <w:name w:val="Normal (Web)"/>
    <w:basedOn w:val="Normal"/>
    <w:uiPriority w:val="99"/>
    <w:unhideWhenUsed/>
    <w:rsid w:val="005819CB"/>
    <w:pPr>
      <w:spacing w:before="100" w:beforeAutospacing="1" w:after="100" w:afterAutospacing="1" w:line="240" w:lineRule="auto"/>
    </w:pPr>
    <w:rPr>
      <w:rFonts w:ascii="Times New Roman" w:eastAsia="Times New Roman" w:hAnsi="Times New Roman" w:cs="Times New Roman"/>
      <w:sz w:val="24"/>
      <w:szCs w:val="24"/>
      <w:lang w:val="en-ZA" w:eastAsia="en-GB"/>
    </w:rPr>
  </w:style>
  <w:style w:type="character" w:customStyle="1" w:styleId="Heading2Char">
    <w:name w:val="Heading 2 Char"/>
    <w:basedOn w:val="DefaultParagraphFont"/>
    <w:link w:val="Heading2"/>
    <w:uiPriority w:val="9"/>
    <w:rsid w:val="00EC4EC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D29C2"/>
    <w:pPr>
      <w:ind w:left="720"/>
      <w:contextualSpacing/>
    </w:pPr>
  </w:style>
  <w:style w:type="paragraph" w:customStyle="1" w:styleId="lrpara">
    <w:name w:val="lrpara"/>
    <w:basedOn w:val="Normal"/>
    <w:rsid w:val="00566256"/>
    <w:pPr>
      <w:spacing w:before="100" w:beforeAutospacing="1" w:after="100" w:afterAutospacing="1" w:line="240" w:lineRule="auto"/>
    </w:pPr>
    <w:rPr>
      <w:rFonts w:ascii="Times New Roman" w:eastAsia="Times New Roman" w:hAnsi="Times New Roman" w:cs="Times New Roman"/>
      <w:sz w:val="24"/>
      <w:szCs w:val="24"/>
      <w:lang w:val="en-ZA" w:eastAsia="en-GB"/>
    </w:rPr>
  </w:style>
  <w:style w:type="paragraph" w:customStyle="1" w:styleId="lrquote">
    <w:name w:val="lrquote"/>
    <w:basedOn w:val="Normal"/>
    <w:rsid w:val="00566256"/>
    <w:pPr>
      <w:spacing w:before="100" w:beforeAutospacing="1" w:after="100" w:afterAutospacing="1" w:line="240" w:lineRule="auto"/>
    </w:pPr>
    <w:rPr>
      <w:rFonts w:ascii="Times New Roman" w:eastAsia="Times New Roman" w:hAnsi="Times New Roman" w:cs="Times New Roman"/>
      <w:sz w:val="24"/>
      <w:szCs w:val="24"/>
      <w:lang w:val="en-ZA" w:eastAsia="en-GB"/>
    </w:rPr>
  </w:style>
  <w:style w:type="character" w:customStyle="1" w:styleId="apple-converted-space">
    <w:name w:val="apple-converted-space"/>
    <w:basedOn w:val="DefaultParagraphFont"/>
    <w:rsid w:val="00566256"/>
  </w:style>
  <w:style w:type="character" w:customStyle="1" w:styleId="mc">
    <w:name w:val="mc"/>
    <w:basedOn w:val="DefaultParagraphFont"/>
    <w:rsid w:val="00566256"/>
  </w:style>
  <w:style w:type="character" w:styleId="Hyperlink">
    <w:name w:val="Hyperlink"/>
    <w:basedOn w:val="DefaultParagraphFont"/>
    <w:uiPriority w:val="99"/>
    <w:unhideWhenUsed/>
    <w:rsid w:val="00566256"/>
    <w:rPr>
      <w:color w:val="0000FF"/>
      <w:u w:val="single"/>
    </w:rPr>
  </w:style>
  <w:style w:type="character" w:customStyle="1" w:styleId="footnoteanchor">
    <w:name w:val="footnoteanchor"/>
    <w:basedOn w:val="DefaultParagraphFont"/>
    <w:rsid w:val="00697650"/>
  </w:style>
  <w:style w:type="paragraph" w:customStyle="1" w:styleId="pageno">
    <w:name w:val="pageno"/>
    <w:basedOn w:val="Normal"/>
    <w:rsid w:val="00697650"/>
    <w:pPr>
      <w:spacing w:before="100" w:beforeAutospacing="1" w:after="100" w:afterAutospacing="1" w:line="240" w:lineRule="auto"/>
    </w:pPr>
    <w:rPr>
      <w:rFonts w:ascii="Times New Roman" w:eastAsia="Times New Roman" w:hAnsi="Times New Roman" w:cs="Times New Roman"/>
      <w:sz w:val="24"/>
      <w:szCs w:val="24"/>
      <w:lang w:val="en-ZA" w:eastAsia="en-GB"/>
    </w:rPr>
  </w:style>
  <w:style w:type="paragraph" w:customStyle="1" w:styleId="lrjudgecont">
    <w:name w:val="lrjudgecont"/>
    <w:basedOn w:val="Normal"/>
    <w:rsid w:val="00697650"/>
    <w:pPr>
      <w:spacing w:before="100" w:beforeAutospacing="1" w:after="100" w:afterAutospacing="1" w:line="240" w:lineRule="auto"/>
    </w:pPr>
    <w:rPr>
      <w:rFonts w:ascii="Times New Roman" w:eastAsia="Times New Roman" w:hAnsi="Times New Roman" w:cs="Times New Roman"/>
      <w:sz w:val="24"/>
      <w:szCs w:val="24"/>
      <w:lang w:val="en-ZA" w:eastAsia="en-GB"/>
    </w:rPr>
  </w:style>
  <w:style w:type="character" w:customStyle="1" w:styleId="UnresolvedMention">
    <w:name w:val="Unresolved Mention"/>
    <w:basedOn w:val="DefaultParagraphFont"/>
    <w:uiPriority w:val="99"/>
    <w:semiHidden/>
    <w:unhideWhenUsed/>
    <w:rsid w:val="007C783B"/>
    <w:rPr>
      <w:color w:val="605E5C"/>
      <w:shd w:val="clear" w:color="auto" w:fill="E1DFDD"/>
    </w:rPr>
  </w:style>
  <w:style w:type="paragraph" w:styleId="NoSpacing">
    <w:name w:val="No Spacing"/>
    <w:uiPriority w:val="1"/>
    <w:qFormat/>
    <w:rsid w:val="00EC4EC7"/>
    <w:pPr>
      <w:spacing w:after="0" w:line="240" w:lineRule="auto"/>
    </w:pPr>
  </w:style>
  <w:style w:type="character" w:customStyle="1" w:styleId="Heading1Char">
    <w:name w:val="Heading 1 Char"/>
    <w:basedOn w:val="DefaultParagraphFont"/>
    <w:link w:val="Heading1"/>
    <w:uiPriority w:val="9"/>
    <w:rsid w:val="00EC4EC7"/>
    <w:rPr>
      <w:rFonts w:asciiTheme="majorHAnsi" w:eastAsiaTheme="majorEastAsia" w:hAnsiTheme="majorHAnsi" w:cstheme="majorBidi"/>
      <w:color w:val="1F4E79" w:themeColor="accent1" w:themeShade="80"/>
      <w:sz w:val="36"/>
      <w:szCs w:val="36"/>
    </w:rPr>
  </w:style>
  <w:style w:type="character" w:customStyle="1" w:styleId="Heading3Char">
    <w:name w:val="Heading 3 Char"/>
    <w:basedOn w:val="DefaultParagraphFont"/>
    <w:link w:val="Heading3"/>
    <w:uiPriority w:val="9"/>
    <w:semiHidden/>
    <w:rsid w:val="00EC4EC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EC4EC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EC4EC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EC4EC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C4EC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C4EC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C4EC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EC4EC7"/>
    <w:pPr>
      <w:spacing w:line="240" w:lineRule="auto"/>
    </w:pPr>
    <w:rPr>
      <w:b/>
      <w:bCs/>
      <w:smallCaps/>
      <w:color w:val="44546A" w:themeColor="text2"/>
    </w:rPr>
  </w:style>
  <w:style w:type="paragraph" w:styleId="Title">
    <w:name w:val="Title"/>
    <w:basedOn w:val="Normal"/>
    <w:next w:val="Normal"/>
    <w:link w:val="TitleChar"/>
    <w:uiPriority w:val="10"/>
    <w:qFormat/>
    <w:rsid w:val="00EC4EC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C4EC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C4EC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EC4EC7"/>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EC4EC7"/>
    <w:rPr>
      <w:b/>
      <w:bCs/>
    </w:rPr>
  </w:style>
  <w:style w:type="character" w:styleId="Emphasis">
    <w:name w:val="Emphasis"/>
    <w:basedOn w:val="DefaultParagraphFont"/>
    <w:uiPriority w:val="20"/>
    <w:qFormat/>
    <w:rsid w:val="00EC4EC7"/>
    <w:rPr>
      <w:i/>
      <w:iCs/>
    </w:rPr>
  </w:style>
  <w:style w:type="paragraph" w:styleId="Quote">
    <w:name w:val="Quote"/>
    <w:basedOn w:val="Normal"/>
    <w:next w:val="Normal"/>
    <w:link w:val="QuoteChar"/>
    <w:uiPriority w:val="29"/>
    <w:qFormat/>
    <w:rsid w:val="00EC4EC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C4EC7"/>
    <w:rPr>
      <w:color w:val="44546A" w:themeColor="text2"/>
      <w:sz w:val="24"/>
      <w:szCs w:val="24"/>
    </w:rPr>
  </w:style>
  <w:style w:type="paragraph" w:styleId="IntenseQuote">
    <w:name w:val="Intense Quote"/>
    <w:basedOn w:val="Normal"/>
    <w:next w:val="Normal"/>
    <w:link w:val="IntenseQuoteChar"/>
    <w:uiPriority w:val="30"/>
    <w:qFormat/>
    <w:rsid w:val="00EC4EC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C4EC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C4EC7"/>
    <w:rPr>
      <w:i/>
      <w:iCs/>
      <w:color w:val="595959" w:themeColor="text1" w:themeTint="A6"/>
    </w:rPr>
  </w:style>
  <w:style w:type="character" w:styleId="IntenseEmphasis">
    <w:name w:val="Intense Emphasis"/>
    <w:basedOn w:val="DefaultParagraphFont"/>
    <w:uiPriority w:val="21"/>
    <w:qFormat/>
    <w:rsid w:val="00EC4EC7"/>
    <w:rPr>
      <w:b/>
      <w:bCs/>
      <w:i/>
      <w:iCs/>
    </w:rPr>
  </w:style>
  <w:style w:type="character" w:styleId="SubtleReference">
    <w:name w:val="Subtle Reference"/>
    <w:basedOn w:val="DefaultParagraphFont"/>
    <w:uiPriority w:val="31"/>
    <w:qFormat/>
    <w:rsid w:val="00EC4EC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C4EC7"/>
    <w:rPr>
      <w:b/>
      <w:bCs/>
      <w:smallCaps/>
      <w:color w:val="44546A" w:themeColor="text2"/>
      <w:u w:val="single"/>
    </w:rPr>
  </w:style>
  <w:style w:type="character" w:styleId="BookTitle">
    <w:name w:val="Book Title"/>
    <w:basedOn w:val="DefaultParagraphFont"/>
    <w:uiPriority w:val="33"/>
    <w:qFormat/>
    <w:rsid w:val="00EC4EC7"/>
    <w:rPr>
      <w:b/>
      <w:bCs/>
      <w:smallCaps/>
      <w:spacing w:val="10"/>
    </w:rPr>
  </w:style>
  <w:style w:type="paragraph" w:styleId="TOCHeading">
    <w:name w:val="TOC Heading"/>
    <w:basedOn w:val="Heading1"/>
    <w:next w:val="Normal"/>
    <w:uiPriority w:val="39"/>
    <w:semiHidden/>
    <w:unhideWhenUsed/>
    <w:qFormat/>
    <w:rsid w:val="00EC4EC7"/>
    <w:pPr>
      <w:outlineLvl w:val="9"/>
    </w:pPr>
  </w:style>
  <w:style w:type="paragraph" w:styleId="Revision">
    <w:name w:val="Revision"/>
    <w:hidden/>
    <w:uiPriority w:val="99"/>
    <w:semiHidden/>
    <w:rsid w:val="00A710B3"/>
    <w:pPr>
      <w:spacing w:after="0" w:line="240" w:lineRule="auto"/>
    </w:pPr>
  </w:style>
  <w:style w:type="paragraph" w:styleId="BalloonText">
    <w:name w:val="Balloon Text"/>
    <w:basedOn w:val="Normal"/>
    <w:link w:val="BalloonTextChar"/>
    <w:uiPriority w:val="99"/>
    <w:semiHidden/>
    <w:unhideWhenUsed/>
    <w:rsid w:val="00DE2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D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54974">
      <w:bodyDiv w:val="1"/>
      <w:marLeft w:val="0"/>
      <w:marRight w:val="0"/>
      <w:marTop w:val="0"/>
      <w:marBottom w:val="0"/>
      <w:divBdr>
        <w:top w:val="none" w:sz="0" w:space="0" w:color="auto"/>
        <w:left w:val="none" w:sz="0" w:space="0" w:color="auto"/>
        <w:bottom w:val="none" w:sz="0" w:space="0" w:color="auto"/>
        <w:right w:val="none" w:sz="0" w:space="0" w:color="auto"/>
      </w:divBdr>
    </w:div>
    <w:div w:id="91977695">
      <w:bodyDiv w:val="1"/>
      <w:marLeft w:val="0"/>
      <w:marRight w:val="0"/>
      <w:marTop w:val="0"/>
      <w:marBottom w:val="0"/>
      <w:divBdr>
        <w:top w:val="none" w:sz="0" w:space="0" w:color="auto"/>
        <w:left w:val="none" w:sz="0" w:space="0" w:color="auto"/>
        <w:bottom w:val="none" w:sz="0" w:space="0" w:color="auto"/>
        <w:right w:val="none" w:sz="0" w:space="0" w:color="auto"/>
      </w:divBdr>
      <w:divsChild>
        <w:div w:id="1432817819">
          <w:marLeft w:val="0"/>
          <w:marRight w:val="0"/>
          <w:marTop w:val="0"/>
          <w:marBottom w:val="0"/>
          <w:divBdr>
            <w:top w:val="none" w:sz="0" w:space="0" w:color="auto"/>
            <w:left w:val="none" w:sz="0" w:space="0" w:color="auto"/>
            <w:bottom w:val="none" w:sz="0" w:space="0" w:color="auto"/>
            <w:right w:val="none" w:sz="0" w:space="0" w:color="auto"/>
          </w:divBdr>
          <w:divsChild>
            <w:div w:id="1309357505">
              <w:marLeft w:val="0"/>
              <w:marRight w:val="0"/>
              <w:marTop w:val="0"/>
              <w:marBottom w:val="0"/>
              <w:divBdr>
                <w:top w:val="none" w:sz="0" w:space="0" w:color="auto"/>
                <w:left w:val="none" w:sz="0" w:space="0" w:color="auto"/>
                <w:bottom w:val="none" w:sz="0" w:space="0" w:color="auto"/>
                <w:right w:val="none" w:sz="0" w:space="0" w:color="auto"/>
              </w:divBdr>
              <w:divsChild>
                <w:div w:id="425543927">
                  <w:marLeft w:val="0"/>
                  <w:marRight w:val="0"/>
                  <w:marTop w:val="0"/>
                  <w:marBottom w:val="0"/>
                  <w:divBdr>
                    <w:top w:val="none" w:sz="0" w:space="0" w:color="auto"/>
                    <w:left w:val="none" w:sz="0" w:space="0" w:color="auto"/>
                    <w:bottom w:val="none" w:sz="0" w:space="0" w:color="auto"/>
                    <w:right w:val="none" w:sz="0" w:space="0" w:color="auto"/>
                  </w:divBdr>
                </w:div>
                <w:div w:id="152924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8228">
      <w:bodyDiv w:val="1"/>
      <w:marLeft w:val="0"/>
      <w:marRight w:val="0"/>
      <w:marTop w:val="0"/>
      <w:marBottom w:val="0"/>
      <w:divBdr>
        <w:top w:val="none" w:sz="0" w:space="0" w:color="auto"/>
        <w:left w:val="none" w:sz="0" w:space="0" w:color="auto"/>
        <w:bottom w:val="none" w:sz="0" w:space="0" w:color="auto"/>
        <w:right w:val="none" w:sz="0" w:space="0" w:color="auto"/>
      </w:divBdr>
    </w:div>
    <w:div w:id="605890282">
      <w:bodyDiv w:val="1"/>
      <w:marLeft w:val="0"/>
      <w:marRight w:val="0"/>
      <w:marTop w:val="0"/>
      <w:marBottom w:val="0"/>
      <w:divBdr>
        <w:top w:val="none" w:sz="0" w:space="0" w:color="auto"/>
        <w:left w:val="none" w:sz="0" w:space="0" w:color="auto"/>
        <w:bottom w:val="none" w:sz="0" w:space="0" w:color="auto"/>
        <w:right w:val="none" w:sz="0" w:space="0" w:color="auto"/>
      </w:divBdr>
    </w:div>
    <w:div w:id="695888073">
      <w:bodyDiv w:val="1"/>
      <w:marLeft w:val="0"/>
      <w:marRight w:val="0"/>
      <w:marTop w:val="0"/>
      <w:marBottom w:val="0"/>
      <w:divBdr>
        <w:top w:val="none" w:sz="0" w:space="0" w:color="auto"/>
        <w:left w:val="none" w:sz="0" w:space="0" w:color="auto"/>
        <w:bottom w:val="none" w:sz="0" w:space="0" w:color="auto"/>
        <w:right w:val="none" w:sz="0" w:space="0" w:color="auto"/>
      </w:divBdr>
      <w:divsChild>
        <w:div w:id="399519456">
          <w:marLeft w:val="0"/>
          <w:marRight w:val="0"/>
          <w:marTop w:val="0"/>
          <w:marBottom w:val="0"/>
          <w:divBdr>
            <w:top w:val="none" w:sz="0" w:space="0" w:color="auto"/>
            <w:left w:val="none" w:sz="0" w:space="0" w:color="auto"/>
            <w:bottom w:val="none" w:sz="0" w:space="0" w:color="auto"/>
            <w:right w:val="none" w:sz="0" w:space="0" w:color="auto"/>
          </w:divBdr>
          <w:divsChild>
            <w:div w:id="1439373651">
              <w:marLeft w:val="0"/>
              <w:marRight w:val="0"/>
              <w:marTop w:val="0"/>
              <w:marBottom w:val="0"/>
              <w:divBdr>
                <w:top w:val="none" w:sz="0" w:space="0" w:color="auto"/>
                <w:left w:val="none" w:sz="0" w:space="0" w:color="auto"/>
                <w:bottom w:val="none" w:sz="0" w:space="0" w:color="auto"/>
                <w:right w:val="none" w:sz="0" w:space="0" w:color="auto"/>
              </w:divBdr>
              <w:divsChild>
                <w:div w:id="59266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430">
          <w:marLeft w:val="0"/>
          <w:marRight w:val="0"/>
          <w:marTop w:val="0"/>
          <w:marBottom w:val="0"/>
          <w:divBdr>
            <w:top w:val="none" w:sz="0" w:space="0" w:color="auto"/>
            <w:left w:val="none" w:sz="0" w:space="0" w:color="auto"/>
            <w:bottom w:val="none" w:sz="0" w:space="0" w:color="auto"/>
            <w:right w:val="none" w:sz="0" w:space="0" w:color="auto"/>
          </w:divBdr>
          <w:divsChild>
            <w:div w:id="1523081800">
              <w:marLeft w:val="0"/>
              <w:marRight w:val="0"/>
              <w:marTop w:val="0"/>
              <w:marBottom w:val="0"/>
              <w:divBdr>
                <w:top w:val="none" w:sz="0" w:space="0" w:color="auto"/>
                <w:left w:val="none" w:sz="0" w:space="0" w:color="auto"/>
                <w:bottom w:val="none" w:sz="0" w:space="0" w:color="auto"/>
                <w:right w:val="none" w:sz="0" w:space="0" w:color="auto"/>
              </w:divBdr>
              <w:divsChild>
                <w:div w:id="153383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36643">
      <w:bodyDiv w:val="1"/>
      <w:marLeft w:val="0"/>
      <w:marRight w:val="0"/>
      <w:marTop w:val="0"/>
      <w:marBottom w:val="0"/>
      <w:divBdr>
        <w:top w:val="none" w:sz="0" w:space="0" w:color="auto"/>
        <w:left w:val="none" w:sz="0" w:space="0" w:color="auto"/>
        <w:bottom w:val="none" w:sz="0" w:space="0" w:color="auto"/>
        <w:right w:val="none" w:sz="0" w:space="0" w:color="auto"/>
      </w:divBdr>
      <w:divsChild>
        <w:div w:id="604265530">
          <w:marLeft w:val="0"/>
          <w:marRight w:val="0"/>
          <w:marTop w:val="0"/>
          <w:marBottom w:val="0"/>
          <w:divBdr>
            <w:top w:val="none" w:sz="0" w:space="0" w:color="auto"/>
            <w:left w:val="none" w:sz="0" w:space="0" w:color="auto"/>
            <w:bottom w:val="none" w:sz="0" w:space="0" w:color="auto"/>
            <w:right w:val="none" w:sz="0" w:space="0" w:color="auto"/>
          </w:divBdr>
          <w:divsChild>
            <w:div w:id="1461338214">
              <w:marLeft w:val="0"/>
              <w:marRight w:val="0"/>
              <w:marTop w:val="0"/>
              <w:marBottom w:val="0"/>
              <w:divBdr>
                <w:top w:val="none" w:sz="0" w:space="0" w:color="auto"/>
                <w:left w:val="none" w:sz="0" w:space="0" w:color="auto"/>
                <w:bottom w:val="none" w:sz="0" w:space="0" w:color="auto"/>
                <w:right w:val="none" w:sz="0" w:space="0" w:color="auto"/>
              </w:divBdr>
              <w:divsChild>
                <w:div w:id="592712005">
                  <w:marLeft w:val="0"/>
                  <w:marRight w:val="0"/>
                  <w:marTop w:val="0"/>
                  <w:marBottom w:val="0"/>
                  <w:divBdr>
                    <w:top w:val="none" w:sz="0" w:space="0" w:color="auto"/>
                    <w:left w:val="none" w:sz="0" w:space="0" w:color="auto"/>
                    <w:bottom w:val="none" w:sz="0" w:space="0" w:color="auto"/>
                    <w:right w:val="none" w:sz="0" w:space="0" w:color="auto"/>
                  </w:divBdr>
                </w:div>
                <w:div w:id="2394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744513">
      <w:bodyDiv w:val="1"/>
      <w:marLeft w:val="0"/>
      <w:marRight w:val="0"/>
      <w:marTop w:val="0"/>
      <w:marBottom w:val="0"/>
      <w:divBdr>
        <w:top w:val="none" w:sz="0" w:space="0" w:color="auto"/>
        <w:left w:val="none" w:sz="0" w:space="0" w:color="auto"/>
        <w:bottom w:val="none" w:sz="0" w:space="0" w:color="auto"/>
        <w:right w:val="none" w:sz="0" w:space="0" w:color="auto"/>
      </w:divBdr>
      <w:divsChild>
        <w:div w:id="683289838">
          <w:marLeft w:val="0"/>
          <w:marRight w:val="0"/>
          <w:marTop w:val="0"/>
          <w:marBottom w:val="0"/>
          <w:divBdr>
            <w:top w:val="none" w:sz="0" w:space="0" w:color="auto"/>
            <w:left w:val="none" w:sz="0" w:space="0" w:color="auto"/>
            <w:bottom w:val="none" w:sz="0" w:space="0" w:color="auto"/>
            <w:right w:val="none" w:sz="0" w:space="0" w:color="auto"/>
          </w:divBdr>
          <w:divsChild>
            <w:div w:id="1773552102">
              <w:marLeft w:val="0"/>
              <w:marRight w:val="0"/>
              <w:marTop w:val="0"/>
              <w:marBottom w:val="0"/>
              <w:divBdr>
                <w:top w:val="none" w:sz="0" w:space="0" w:color="auto"/>
                <w:left w:val="none" w:sz="0" w:space="0" w:color="auto"/>
                <w:bottom w:val="none" w:sz="0" w:space="0" w:color="auto"/>
                <w:right w:val="none" w:sz="0" w:space="0" w:color="auto"/>
              </w:divBdr>
              <w:divsChild>
                <w:div w:id="13593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04472">
      <w:bodyDiv w:val="1"/>
      <w:marLeft w:val="0"/>
      <w:marRight w:val="0"/>
      <w:marTop w:val="0"/>
      <w:marBottom w:val="0"/>
      <w:divBdr>
        <w:top w:val="none" w:sz="0" w:space="0" w:color="auto"/>
        <w:left w:val="none" w:sz="0" w:space="0" w:color="auto"/>
        <w:bottom w:val="none" w:sz="0" w:space="0" w:color="auto"/>
        <w:right w:val="none" w:sz="0" w:space="0" w:color="auto"/>
      </w:divBdr>
    </w:div>
    <w:div w:id="1483038348">
      <w:bodyDiv w:val="1"/>
      <w:marLeft w:val="0"/>
      <w:marRight w:val="0"/>
      <w:marTop w:val="0"/>
      <w:marBottom w:val="0"/>
      <w:divBdr>
        <w:top w:val="none" w:sz="0" w:space="0" w:color="auto"/>
        <w:left w:val="none" w:sz="0" w:space="0" w:color="auto"/>
        <w:bottom w:val="none" w:sz="0" w:space="0" w:color="auto"/>
        <w:right w:val="none" w:sz="0" w:space="0" w:color="auto"/>
      </w:divBdr>
    </w:div>
    <w:div w:id="1682970816">
      <w:bodyDiv w:val="1"/>
      <w:marLeft w:val="0"/>
      <w:marRight w:val="0"/>
      <w:marTop w:val="0"/>
      <w:marBottom w:val="0"/>
      <w:divBdr>
        <w:top w:val="none" w:sz="0" w:space="0" w:color="auto"/>
        <w:left w:val="none" w:sz="0" w:space="0" w:color="auto"/>
        <w:bottom w:val="none" w:sz="0" w:space="0" w:color="auto"/>
        <w:right w:val="none" w:sz="0" w:space="0" w:color="auto"/>
      </w:divBdr>
    </w:div>
    <w:div w:id="1775901301">
      <w:bodyDiv w:val="1"/>
      <w:marLeft w:val="0"/>
      <w:marRight w:val="0"/>
      <w:marTop w:val="0"/>
      <w:marBottom w:val="0"/>
      <w:divBdr>
        <w:top w:val="none" w:sz="0" w:space="0" w:color="auto"/>
        <w:left w:val="none" w:sz="0" w:space="0" w:color="auto"/>
        <w:bottom w:val="none" w:sz="0" w:space="0" w:color="auto"/>
        <w:right w:val="none" w:sz="0" w:space="0" w:color="auto"/>
      </w:divBdr>
    </w:div>
    <w:div w:id="1795754619">
      <w:bodyDiv w:val="1"/>
      <w:marLeft w:val="0"/>
      <w:marRight w:val="0"/>
      <w:marTop w:val="0"/>
      <w:marBottom w:val="0"/>
      <w:divBdr>
        <w:top w:val="none" w:sz="0" w:space="0" w:color="auto"/>
        <w:left w:val="none" w:sz="0" w:space="0" w:color="auto"/>
        <w:bottom w:val="none" w:sz="0" w:space="0" w:color="auto"/>
        <w:right w:val="none" w:sz="0" w:space="0" w:color="auto"/>
      </w:divBdr>
    </w:div>
    <w:div w:id="1881740781">
      <w:bodyDiv w:val="1"/>
      <w:marLeft w:val="0"/>
      <w:marRight w:val="0"/>
      <w:marTop w:val="0"/>
      <w:marBottom w:val="0"/>
      <w:divBdr>
        <w:top w:val="none" w:sz="0" w:space="0" w:color="auto"/>
        <w:left w:val="none" w:sz="0" w:space="0" w:color="auto"/>
        <w:bottom w:val="none" w:sz="0" w:space="0" w:color="auto"/>
        <w:right w:val="none" w:sz="0" w:space="0" w:color="auto"/>
      </w:divBdr>
      <w:divsChild>
        <w:div w:id="1209412681">
          <w:marLeft w:val="0"/>
          <w:marRight w:val="0"/>
          <w:marTop w:val="0"/>
          <w:marBottom w:val="0"/>
          <w:divBdr>
            <w:top w:val="none" w:sz="0" w:space="0" w:color="auto"/>
            <w:left w:val="none" w:sz="0" w:space="0" w:color="auto"/>
            <w:bottom w:val="none" w:sz="0" w:space="0" w:color="auto"/>
            <w:right w:val="none" w:sz="0" w:space="0" w:color="auto"/>
          </w:divBdr>
          <w:divsChild>
            <w:div w:id="1180657127">
              <w:marLeft w:val="0"/>
              <w:marRight w:val="0"/>
              <w:marTop w:val="0"/>
              <w:marBottom w:val="0"/>
              <w:divBdr>
                <w:top w:val="none" w:sz="0" w:space="0" w:color="auto"/>
                <w:left w:val="none" w:sz="0" w:space="0" w:color="auto"/>
                <w:bottom w:val="none" w:sz="0" w:space="0" w:color="auto"/>
                <w:right w:val="none" w:sz="0" w:space="0" w:color="auto"/>
              </w:divBdr>
              <w:divsChild>
                <w:div w:id="249968689">
                  <w:marLeft w:val="0"/>
                  <w:marRight w:val="0"/>
                  <w:marTop w:val="0"/>
                  <w:marBottom w:val="0"/>
                  <w:divBdr>
                    <w:top w:val="none" w:sz="0" w:space="0" w:color="auto"/>
                    <w:left w:val="none" w:sz="0" w:space="0" w:color="auto"/>
                    <w:bottom w:val="none" w:sz="0" w:space="0" w:color="auto"/>
                    <w:right w:val="none" w:sz="0" w:space="0" w:color="auto"/>
                  </w:divBdr>
                </w:div>
              </w:divsChild>
            </w:div>
            <w:div w:id="1461262420">
              <w:marLeft w:val="0"/>
              <w:marRight w:val="0"/>
              <w:marTop w:val="0"/>
              <w:marBottom w:val="0"/>
              <w:divBdr>
                <w:top w:val="none" w:sz="0" w:space="0" w:color="auto"/>
                <w:left w:val="none" w:sz="0" w:space="0" w:color="auto"/>
                <w:bottom w:val="none" w:sz="0" w:space="0" w:color="auto"/>
                <w:right w:val="none" w:sz="0" w:space="0" w:color="auto"/>
              </w:divBdr>
              <w:divsChild>
                <w:div w:id="1938364056">
                  <w:marLeft w:val="0"/>
                  <w:marRight w:val="0"/>
                  <w:marTop w:val="0"/>
                  <w:marBottom w:val="0"/>
                  <w:divBdr>
                    <w:top w:val="none" w:sz="0" w:space="0" w:color="auto"/>
                    <w:left w:val="none" w:sz="0" w:space="0" w:color="auto"/>
                    <w:bottom w:val="none" w:sz="0" w:space="0" w:color="auto"/>
                    <w:right w:val="none" w:sz="0" w:space="0" w:color="auto"/>
                  </w:divBdr>
                </w:div>
              </w:divsChild>
            </w:div>
            <w:div w:id="1740440924">
              <w:marLeft w:val="0"/>
              <w:marRight w:val="0"/>
              <w:marTop w:val="0"/>
              <w:marBottom w:val="0"/>
              <w:divBdr>
                <w:top w:val="none" w:sz="0" w:space="0" w:color="auto"/>
                <w:left w:val="none" w:sz="0" w:space="0" w:color="auto"/>
                <w:bottom w:val="none" w:sz="0" w:space="0" w:color="auto"/>
                <w:right w:val="none" w:sz="0" w:space="0" w:color="auto"/>
              </w:divBdr>
              <w:divsChild>
                <w:div w:id="1395541139">
                  <w:marLeft w:val="0"/>
                  <w:marRight w:val="0"/>
                  <w:marTop w:val="0"/>
                  <w:marBottom w:val="0"/>
                  <w:divBdr>
                    <w:top w:val="none" w:sz="0" w:space="0" w:color="auto"/>
                    <w:left w:val="none" w:sz="0" w:space="0" w:color="auto"/>
                    <w:bottom w:val="none" w:sz="0" w:space="0" w:color="auto"/>
                    <w:right w:val="none" w:sz="0" w:space="0" w:color="auto"/>
                  </w:divBdr>
                </w:div>
              </w:divsChild>
            </w:div>
            <w:div w:id="1958751259">
              <w:marLeft w:val="0"/>
              <w:marRight w:val="0"/>
              <w:marTop w:val="0"/>
              <w:marBottom w:val="0"/>
              <w:divBdr>
                <w:top w:val="none" w:sz="0" w:space="0" w:color="auto"/>
                <w:left w:val="none" w:sz="0" w:space="0" w:color="auto"/>
                <w:bottom w:val="none" w:sz="0" w:space="0" w:color="auto"/>
                <w:right w:val="none" w:sz="0" w:space="0" w:color="auto"/>
              </w:divBdr>
              <w:divsChild>
                <w:div w:id="462620072">
                  <w:marLeft w:val="0"/>
                  <w:marRight w:val="0"/>
                  <w:marTop w:val="0"/>
                  <w:marBottom w:val="0"/>
                  <w:divBdr>
                    <w:top w:val="none" w:sz="0" w:space="0" w:color="auto"/>
                    <w:left w:val="none" w:sz="0" w:space="0" w:color="auto"/>
                    <w:bottom w:val="none" w:sz="0" w:space="0" w:color="auto"/>
                    <w:right w:val="none" w:sz="0" w:space="0" w:color="auto"/>
                  </w:divBdr>
                </w:div>
              </w:divsChild>
            </w:div>
            <w:div w:id="2086488345">
              <w:marLeft w:val="0"/>
              <w:marRight w:val="0"/>
              <w:marTop w:val="0"/>
              <w:marBottom w:val="0"/>
              <w:divBdr>
                <w:top w:val="none" w:sz="0" w:space="0" w:color="auto"/>
                <w:left w:val="none" w:sz="0" w:space="0" w:color="auto"/>
                <w:bottom w:val="none" w:sz="0" w:space="0" w:color="auto"/>
                <w:right w:val="none" w:sz="0" w:space="0" w:color="auto"/>
              </w:divBdr>
              <w:divsChild>
                <w:div w:id="634336103">
                  <w:marLeft w:val="0"/>
                  <w:marRight w:val="0"/>
                  <w:marTop w:val="0"/>
                  <w:marBottom w:val="0"/>
                  <w:divBdr>
                    <w:top w:val="none" w:sz="0" w:space="0" w:color="auto"/>
                    <w:left w:val="none" w:sz="0" w:space="0" w:color="auto"/>
                    <w:bottom w:val="none" w:sz="0" w:space="0" w:color="auto"/>
                    <w:right w:val="none" w:sz="0" w:space="0" w:color="auto"/>
                  </w:divBdr>
                </w:div>
              </w:divsChild>
            </w:div>
            <w:div w:id="975447294">
              <w:marLeft w:val="0"/>
              <w:marRight w:val="0"/>
              <w:marTop w:val="0"/>
              <w:marBottom w:val="0"/>
              <w:divBdr>
                <w:top w:val="none" w:sz="0" w:space="0" w:color="auto"/>
                <w:left w:val="none" w:sz="0" w:space="0" w:color="auto"/>
                <w:bottom w:val="none" w:sz="0" w:space="0" w:color="auto"/>
                <w:right w:val="none" w:sz="0" w:space="0" w:color="auto"/>
              </w:divBdr>
              <w:divsChild>
                <w:div w:id="16952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33059">
      <w:bodyDiv w:val="1"/>
      <w:marLeft w:val="0"/>
      <w:marRight w:val="0"/>
      <w:marTop w:val="0"/>
      <w:marBottom w:val="0"/>
      <w:divBdr>
        <w:top w:val="none" w:sz="0" w:space="0" w:color="auto"/>
        <w:left w:val="none" w:sz="0" w:space="0" w:color="auto"/>
        <w:bottom w:val="none" w:sz="0" w:space="0" w:color="auto"/>
        <w:right w:val="none" w:sz="0" w:space="0" w:color="auto"/>
      </w:divBdr>
      <w:divsChild>
        <w:div w:id="977228739">
          <w:marLeft w:val="0"/>
          <w:marRight w:val="0"/>
          <w:marTop w:val="0"/>
          <w:marBottom w:val="0"/>
          <w:divBdr>
            <w:top w:val="none" w:sz="0" w:space="0" w:color="auto"/>
            <w:left w:val="none" w:sz="0" w:space="0" w:color="auto"/>
            <w:bottom w:val="none" w:sz="0" w:space="0" w:color="auto"/>
            <w:right w:val="none" w:sz="0" w:space="0" w:color="auto"/>
          </w:divBdr>
          <w:divsChild>
            <w:div w:id="2078891896">
              <w:marLeft w:val="0"/>
              <w:marRight w:val="0"/>
              <w:marTop w:val="0"/>
              <w:marBottom w:val="0"/>
              <w:divBdr>
                <w:top w:val="none" w:sz="0" w:space="0" w:color="auto"/>
                <w:left w:val="none" w:sz="0" w:space="0" w:color="auto"/>
                <w:bottom w:val="none" w:sz="0" w:space="0" w:color="auto"/>
                <w:right w:val="none" w:sz="0" w:space="0" w:color="auto"/>
              </w:divBdr>
              <w:divsChild>
                <w:div w:id="87971252">
                  <w:marLeft w:val="0"/>
                  <w:marRight w:val="0"/>
                  <w:marTop w:val="0"/>
                  <w:marBottom w:val="0"/>
                  <w:divBdr>
                    <w:top w:val="none" w:sz="0" w:space="0" w:color="auto"/>
                    <w:left w:val="none" w:sz="0" w:space="0" w:color="auto"/>
                    <w:bottom w:val="none" w:sz="0" w:space="0" w:color="auto"/>
                    <w:right w:val="none" w:sz="0" w:space="0" w:color="auto"/>
                  </w:divBdr>
                </w:div>
              </w:divsChild>
            </w:div>
            <w:div w:id="468591169">
              <w:marLeft w:val="0"/>
              <w:marRight w:val="0"/>
              <w:marTop w:val="0"/>
              <w:marBottom w:val="0"/>
              <w:divBdr>
                <w:top w:val="none" w:sz="0" w:space="0" w:color="auto"/>
                <w:left w:val="none" w:sz="0" w:space="0" w:color="auto"/>
                <w:bottom w:val="none" w:sz="0" w:space="0" w:color="auto"/>
                <w:right w:val="none" w:sz="0" w:space="0" w:color="auto"/>
              </w:divBdr>
              <w:divsChild>
                <w:div w:id="633096314">
                  <w:marLeft w:val="0"/>
                  <w:marRight w:val="0"/>
                  <w:marTop w:val="0"/>
                  <w:marBottom w:val="0"/>
                  <w:divBdr>
                    <w:top w:val="none" w:sz="0" w:space="0" w:color="auto"/>
                    <w:left w:val="none" w:sz="0" w:space="0" w:color="auto"/>
                    <w:bottom w:val="none" w:sz="0" w:space="0" w:color="auto"/>
                    <w:right w:val="none" w:sz="0" w:space="0" w:color="auto"/>
                  </w:divBdr>
                </w:div>
              </w:divsChild>
            </w:div>
            <w:div w:id="271472468">
              <w:marLeft w:val="0"/>
              <w:marRight w:val="0"/>
              <w:marTop w:val="0"/>
              <w:marBottom w:val="0"/>
              <w:divBdr>
                <w:top w:val="none" w:sz="0" w:space="0" w:color="auto"/>
                <w:left w:val="none" w:sz="0" w:space="0" w:color="auto"/>
                <w:bottom w:val="none" w:sz="0" w:space="0" w:color="auto"/>
                <w:right w:val="none" w:sz="0" w:space="0" w:color="auto"/>
              </w:divBdr>
              <w:divsChild>
                <w:div w:id="689378219">
                  <w:marLeft w:val="0"/>
                  <w:marRight w:val="0"/>
                  <w:marTop w:val="0"/>
                  <w:marBottom w:val="0"/>
                  <w:divBdr>
                    <w:top w:val="none" w:sz="0" w:space="0" w:color="auto"/>
                    <w:left w:val="none" w:sz="0" w:space="0" w:color="auto"/>
                    <w:bottom w:val="none" w:sz="0" w:space="0" w:color="auto"/>
                    <w:right w:val="none" w:sz="0" w:space="0" w:color="auto"/>
                  </w:divBdr>
                </w:div>
              </w:divsChild>
            </w:div>
            <w:div w:id="1454716449">
              <w:marLeft w:val="0"/>
              <w:marRight w:val="0"/>
              <w:marTop w:val="0"/>
              <w:marBottom w:val="0"/>
              <w:divBdr>
                <w:top w:val="none" w:sz="0" w:space="0" w:color="auto"/>
                <w:left w:val="none" w:sz="0" w:space="0" w:color="auto"/>
                <w:bottom w:val="none" w:sz="0" w:space="0" w:color="auto"/>
                <w:right w:val="none" w:sz="0" w:space="0" w:color="auto"/>
              </w:divBdr>
              <w:divsChild>
                <w:div w:id="12567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litigation@dsalaw.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rek@dsalaw.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il@southeys.co.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shaik@hardarinc.co.za" TargetMode="External"/><Relationship Id="rId4" Type="http://schemas.openxmlformats.org/officeDocument/2006/relationships/settings" Target="settings.xml"/><Relationship Id="rId9" Type="http://schemas.openxmlformats.org/officeDocument/2006/relationships/hyperlink" Target="https://app.jutastatevolve.co.za/researcher/y1957v2SApg347"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app.jutastatevolve.co.za/researcher/y1955v4SApg457" TargetMode="External"/><Relationship Id="rId2" Type="http://schemas.openxmlformats.org/officeDocument/2006/relationships/hyperlink" Target="https://app.jutastatevolve.co.za/researcher/y2004v1SApg35" TargetMode="External"/><Relationship Id="rId1" Type="http://schemas.openxmlformats.org/officeDocument/2006/relationships/hyperlink" Target="https://app.jutastatevolve.co.za/researcher/y2004v1SApg502" TargetMode="External"/><Relationship Id="rId4" Type="http://schemas.openxmlformats.org/officeDocument/2006/relationships/hyperlink" Target="file:////Users/macbookpro/Dropbox%20(Old%20(1))/My%20Mac%20(Annas-MacBook-Pro-Retina-5.local)/Documents/ACTING%20JULY:AUG%202023/Vangiflash%20/y2007v4SApg546%25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9A194-8E06-4B40-8B01-385764A4C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4073</Words>
  <Characters>23221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Candy</dc:creator>
  <cp:keywords/>
  <dc:description/>
  <cp:lastModifiedBy>Mokone</cp:lastModifiedBy>
  <cp:revision>3</cp:revision>
  <cp:lastPrinted>2023-10-17T07:40:00Z</cp:lastPrinted>
  <dcterms:created xsi:type="dcterms:W3CDTF">2023-10-19T12:24:00Z</dcterms:created>
  <dcterms:modified xsi:type="dcterms:W3CDTF">2023-10-19T12:27:00Z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2023-10-10T08:03:38Z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569d8729-45df-4682-926a-dcf3414410d9</vt:lpwstr>
  </property>
  <property fmtid="{D5CDD505-2E9C-101B-9397-08002B2CF9AE}" pid="7" name="MSIP_Label_defa4170-0d19-0005-0004-bc88714345d2_ActionId">
    <vt:lpwstr>9f2b9af7-e44f-4c9a-8a55-5cafbbe99c9f</vt:lpwstr>
  </property>
  <property fmtid="{D5CDD505-2E9C-101B-9397-08002B2CF9AE}" pid="8" name="MSIP_Label_defa4170-0d19-0005-0004-bc88714345d2_ContentBits">
    <vt:lpwstr>0</vt:lpwstr>
  </property>
</Properties>
</file>