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3AF" w:rsidRPr="00720F24" w:rsidRDefault="00AC33AF" w:rsidP="009042BD">
      <w:pPr>
        <w:pBdr>
          <w:top w:val="single" w:sz="6" w:space="0" w:color="FFFFFF"/>
          <w:left w:val="single" w:sz="6" w:space="0" w:color="FFFFFF"/>
          <w:bottom w:val="single" w:sz="6" w:space="0" w:color="FFFFFF"/>
          <w:right w:val="single" w:sz="6" w:space="0" w:color="FFFFFF"/>
        </w:pBdr>
        <w:jc w:val="center"/>
        <w:rPr>
          <w:b/>
        </w:rPr>
      </w:pPr>
      <w:r w:rsidRPr="00720F24">
        <w:rPr>
          <w:noProof/>
          <w:lang w:val="en-US" w:eastAsia="en-US"/>
        </w:rPr>
        <w:drawing>
          <wp:inline distT="0" distB="0" distL="0" distR="0" wp14:anchorId="159C8FCE" wp14:editId="324599C5">
            <wp:extent cx="71437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AC33AF" w:rsidRDefault="00AC33AF" w:rsidP="00AC33AF">
      <w:pPr>
        <w:pBdr>
          <w:top w:val="single" w:sz="6" w:space="0" w:color="FFFFFF"/>
          <w:left w:val="single" w:sz="6" w:space="0" w:color="FFFFFF"/>
          <w:bottom w:val="single" w:sz="6" w:space="0" w:color="FFFFFF"/>
          <w:right w:val="single" w:sz="6" w:space="0" w:color="FFFFFF"/>
        </w:pBdr>
        <w:jc w:val="center"/>
        <w:rPr>
          <w:rFonts w:ascii="Arial" w:hAnsi="Arial" w:cs="Arial"/>
          <w:b/>
        </w:rPr>
      </w:pPr>
    </w:p>
    <w:p w:rsidR="00C80A65" w:rsidRPr="00AC33AF" w:rsidRDefault="00C80A65" w:rsidP="00AC33AF">
      <w:pPr>
        <w:pBdr>
          <w:top w:val="single" w:sz="6" w:space="0" w:color="FFFFFF"/>
          <w:left w:val="single" w:sz="6" w:space="0" w:color="FFFFFF"/>
          <w:bottom w:val="single" w:sz="6" w:space="0" w:color="FFFFFF"/>
          <w:right w:val="single" w:sz="6" w:space="0" w:color="FFFFFF"/>
        </w:pBdr>
        <w:jc w:val="center"/>
        <w:rPr>
          <w:rFonts w:asciiTheme="minorHAnsi" w:hAnsiTheme="minorHAnsi" w:cstheme="minorBidi"/>
        </w:rPr>
      </w:pPr>
    </w:p>
    <w:p w:rsidR="0062291B" w:rsidRPr="00A12C2F" w:rsidRDefault="00787FE9" w:rsidP="009042BD">
      <w:pPr>
        <w:pBdr>
          <w:bottom w:val="single" w:sz="6" w:space="1" w:color="auto"/>
        </w:pBdr>
        <w:spacing w:line="480" w:lineRule="auto"/>
        <w:jc w:val="center"/>
        <w:rPr>
          <w:rFonts w:ascii="Arial" w:hAnsi="Arial" w:cs="Arial"/>
          <w:b/>
          <w:bCs/>
        </w:rPr>
      </w:pPr>
      <w:r w:rsidRPr="00A12C2F">
        <w:rPr>
          <w:rFonts w:ascii="Arial" w:hAnsi="Arial" w:cs="Arial"/>
          <w:b/>
          <w:bCs/>
        </w:rPr>
        <w:t>IN THE HIGH COURT OF SOUTH AFRICA</w:t>
      </w:r>
    </w:p>
    <w:p w:rsidR="00787FE9" w:rsidRPr="00A12C2F" w:rsidRDefault="00787FE9" w:rsidP="009042BD">
      <w:pPr>
        <w:pBdr>
          <w:bottom w:val="single" w:sz="6" w:space="1" w:color="auto"/>
        </w:pBdr>
        <w:spacing w:line="480" w:lineRule="auto"/>
        <w:jc w:val="center"/>
        <w:rPr>
          <w:rFonts w:ascii="Arial" w:hAnsi="Arial" w:cs="Arial"/>
          <w:b/>
          <w:bCs/>
        </w:rPr>
      </w:pPr>
      <w:r w:rsidRPr="00A12C2F">
        <w:rPr>
          <w:rFonts w:ascii="Arial" w:hAnsi="Arial" w:cs="Arial"/>
          <w:b/>
          <w:bCs/>
        </w:rPr>
        <w:t>KWAZULU-NATAL LOCAL DIVISION, PIETERMARITZBURG</w:t>
      </w:r>
    </w:p>
    <w:p w:rsidR="00AC33AF" w:rsidRDefault="00AC33AF" w:rsidP="00AC33AF">
      <w:pPr>
        <w:pBdr>
          <w:bottom w:val="single" w:sz="6" w:space="1" w:color="auto"/>
        </w:pBdr>
        <w:spacing w:line="480" w:lineRule="auto"/>
        <w:rPr>
          <w:rFonts w:ascii="Arial" w:hAnsi="Arial" w:cs="Arial"/>
        </w:rPr>
      </w:pPr>
    </w:p>
    <w:p w:rsidR="00787FE9" w:rsidRDefault="00787FE9" w:rsidP="00787FE9">
      <w:pPr>
        <w:pBdr>
          <w:bottom w:val="single" w:sz="6" w:space="1" w:color="auto"/>
        </w:pBdr>
        <w:spacing w:line="480" w:lineRule="auto"/>
        <w:jc w:val="right"/>
        <w:rPr>
          <w:rFonts w:ascii="Arial" w:hAnsi="Arial" w:cs="Arial"/>
        </w:rPr>
      </w:pPr>
      <w:r>
        <w:rPr>
          <w:rFonts w:ascii="Arial" w:hAnsi="Arial" w:cs="Arial"/>
        </w:rPr>
        <w:t>CASE NO</w:t>
      </w:r>
      <w:r w:rsidR="00386BEE">
        <w:rPr>
          <w:rFonts w:ascii="Arial" w:hAnsi="Arial" w:cs="Arial"/>
        </w:rPr>
        <w:t>:  16707/22P</w:t>
      </w:r>
    </w:p>
    <w:p w:rsidR="00787FE9" w:rsidRDefault="00787FE9" w:rsidP="00DB14A7">
      <w:pPr>
        <w:pBdr>
          <w:bottom w:val="single" w:sz="6" w:space="1" w:color="auto"/>
        </w:pBdr>
        <w:spacing w:line="480" w:lineRule="auto"/>
        <w:jc w:val="both"/>
        <w:rPr>
          <w:rFonts w:ascii="Arial" w:hAnsi="Arial" w:cs="Arial"/>
        </w:rPr>
      </w:pPr>
      <w:r>
        <w:rPr>
          <w:rFonts w:ascii="Arial" w:hAnsi="Arial" w:cs="Arial"/>
        </w:rPr>
        <w:t>In the matter between:-</w:t>
      </w:r>
    </w:p>
    <w:p w:rsidR="00787FE9" w:rsidRDefault="00787FE9" w:rsidP="00DB14A7">
      <w:pPr>
        <w:pBdr>
          <w:bottom w:val="single" w:sz="6" w:space="1" w:color="auto"/>
        </w:pBdr>
        <w:spacing w:line="480" w:lineRule="auto"/>
        <w:jc w:val="both"/>
        <w:rPr>
          <w:rFonts w:ascii="Arial" w:hAnsi="Arial" w:cs="Arial"/>
        </w:rPr>
      </w:pPr>
    </w:p>
    <w:p w:rsidR="00787FE9" w:rsidRDefault="00386BEE" w:rsidP="00DB14A7">
      <w:pPr>
        <w:pBdr>
          <w:bottom w:val="single" w:sz="6" w:space="1" w:color="auto"/>
        </w:pBdr>
        <w:spacing w:line="480" w:lineRule="auto"/>
        <w:jc w:val="both"/>
        <w:rPr>
          <w:rFonts w:ascii="Arial" w:hAnsi="Arial" w:cs="Arial"/>
        </w:rPr>
      </w:pPr>
      <w:r>
        <w:rPr>
          <w:rFonts w:ascii="Arial" w:hAnsi="Arial" w:cs="Arial"/>
          <w:b/>
          <w:bCs/>
        </w:rPr>
        <w:t>NOKUTHULA GLADNESS KHANYILE</w:t>
      </w:r>
      <w:r w:rsidR="009F7EF0">
        <w:rPr>
          <w:rFonts w:ascii="Arial" w:hAnsi="Arial" w:cs="Arial"/>
          <w:b/>
          <w:bCs/>
        </w:rPr>
        <w:tab/>
      </w:r>
      <w:r w:rsidR="00186A30">
        <w:rPr>
          <w:rFonts w:ascii="Arial" w:hAnsi="Arial" w:cs="Arial"/>
          <w:b/>
          <w:bCs/>
        </w:rPr>
        <w:t xml:space="preserve"> </w:t>
      </w:r>
      <w:r w:rsidR="00787FE9">
        <w:rPr>
          <w:rFonts w:ascii="Arial" w:hAnsi="Arial" w:cs="Arial"/>
        </w:rPr>
        <w:tab/>
      </w:r>
      <w:r w:rsidR="00787FE9">
        <w:rPr>
          <w:rFonts w:ascii="Arial" w:hAnsi="Arial" w:cs="Arial"/>
        </w:rPr>
        <w:tab/>
      </w:r>
      <w:r w:rsidR="00787FE9">
        <w:rPr>
          <w:rFonts w:ascii="Arial" w:hAnsi="Arial" w:cs="Arial"/>
        </w:rPr>
        <w:tab/>
      </w:r>
      <w:r w:rsidR="00C53247">
        <w:rPr>
          <w:rFonts w:ascii="Arial" w:hAnsi="Arial" w:cs="Arial"/>
        </w:rPr>
        <w:tab/>
      </w:r>
      <w:r w:rsidR="00F50DB3">
        <w:rPr>
          <w:rFonts w:ascii="Arial" w:hAnsi="Arial" w:cs="Arial"/>
        </w:rPr>
        <w:t xml:space="preserve">    </w:t>
      </w:r>
      <w:r w:rsidR="00090873">
        <w:rPr>
          <w:rFonts w:ascii="Arial" w:hAnsi="Arial" w:cs="Arial"/>
        </w:rPr>
        <w:t xml:space="preserve"> </w:t>
      </w:r>
      <w:r w:rsidR="00787FE9">
        <w:rPr>
          <w:rFonts w:ascii="Arial" w:hAnsi="Arial" w:cs="Arial"/>
        </w:rPr>
        <w:t>APPLICANT</w:t>
      </w:r>
    </w:p>
    <w:p w:rsidR="00787FE9" w:rsidRDefault="00787FE9" w:rsidP="00DB14A7">
      <w:pPr>
        <w:pBdr>
          <w:bottom w:val="single" w:sz="6" w:space="1" w:color="auto"/>
        </w:pBdr>
        <w:spacing w:line="480" w:lineRule="auto"/>
        <w:jc w:val="both"/>
        <w:rPr>
          <w:rFonts w:ascii="Arial" w:hAnsi="Arial" w:cs="Arial"/>
        </w:rPr>
      </w:pPr>
    </w:p>
    <w:p w:rsidR="00787FE9" w:rsidRDefault="00787FE9" w:rsidP="00DB14A7">
      <w:pPr>
        <w:pBdr>
          <w:bottom w:val="single" w:sz="6" w:space="1" w:color="auto"/>
        </w:pBdr>
        <w:spacing w:line="480" w:lineRule="auto"/>
        <w:jc w:val="both"/>
        <w:rPr>
          <w:rFonts w:ascii="Arial" w:hAnsi="Arial" w:cs="Arial"/>
        </w:rPr>
      </w:pPr>
      <w:r>
        <w:rPr>
          <w:rFonts w:ascii="Arial" w:hAnsi="Arial" w:cs="Arial"/>
        </w:rPr>
        <w:t>and</w:t>
      </w:r>
    </w:p>
    <w:p w:rsidR="00787FE9" w:rsidRPr="00C53247" w:rsidRDefault="00787FE9" w:rsidP="00DB14A7">
      <w:pPr>
        <w:pBdr>
          <w:bottom w:val="single" w:sz="6" w:space="1" w:color="auto"/>
        </w:pBdr>
        <w:spacing w:line="480" w:lineRule="auto"/>
        <w:jc w:val="both"/>
        <w:rPr>
          <w:rFonts w:ascii="Arial" w:hAnsi="Arial" w:cs="Arial"/>
          <w:b/>
          <w:bCs/>
        </w:rPr>
      </w:pPr>
    </w:p>
    <w:p w:rsidR="00386BEE" w:rsidRPr="00386BEE" w:rsidRDefault="00874EE8" w:rsidP="00787FE9">
      <w:pPr>
        <w:pBdr>
          <w:bottom w:val="single" w:sz="6" w:space="1" w:color="auto"/>
        </w:pBdr>
        <w:jc w:val="both"/>
        <w:rPr>
          <w:rFonts w:ascii="Arial" w:hAnsi="Arial" w:cs="Arial"/>
          <w:b/>
          <w:bCs/>
        </w:rPr>
      </w:pPr>
      <w:r>
        <w:rPr>
          <w:rFonts w:ascii="Arial" w:hAnsi="Arial" w:cs="Arial"/>
          <w:b/>
          <w:bCs/>
        </w:rPr>
        <w:t>T</w:t>
      </w:r>
      <w:r w:rsidR="00386BEE" w:rsidRPr="00386BEE">
        <w:rPr>
          <w:rFonts w:ascii="Arial" w:hAnsi="Arial" w:cs="Arial"/>
          <w:b/>
          <w:bCs/>
        </w:rPr>
        <w:t>HE DIRECTOR-GENERAL</w:t>
      </w:r>
    </w:p>
    <w:p w:rsidR="00787FE9" w:rsidRDefault="00386BEE" w:rsidP="00787FE9">
      <w:pPr>
        <w:pBdr>
          <w:bottom w:val="single" w:sz="6" w:space="1" w:color="auto"/>
        </w:pBdr>
        <w:jc w:val="both"/>
        <w:rPr>
          <w:rFonts w:ascii="Arial" w:hAnsi="Arial" w:cs="Arial"/>
        </w:rPr>
      </w:pPr>
      <w:r w:rsidRPr="00386BEE">
        <w:rPr>
          <w:rFonts w:ascii="Arial" w:hAnsi="Arial" w:cs="Arial"/>
          <w:b/>
          <w:bCs/>
        </w:rPr>
        <w:t>PROVINCE OF KWAZULU-NATAL</w:t>
      </w:r>
      <w:r w:rsidR="00C53247">
        <w:rPr>
          <w:rFonts w:ascii="Arial" w:hAnsi="Arial" w:cs="Arial"/>
        </w:rPr>
        <w:tab/>
      </w:r>
      <w:r w:rsidR="0005208D">
        <w:rPr>
          <w:rFonts w:ascii="Arial" w:hAnsi="Arial" w:cs="Arial"/>
        </w:rPr>
        <w:tab/>
      </w:r>
      <w:r w:rsidR="0005208D">
        <w:rPr>
          <w:rFonts w:ascii="Arial" w:hAnsi="Arial" w:cs="Arial"/>
        </w:rPr>
        <w:tab/>
      </w:r>
      <w:r>
        <w:rPr>
          <w:rFonts w:ascii="Arial" w:hAnsi="Arial" w:cs="Arial"/>
        </w:rPr>
        <w:tab/>
      </w:r>
      <w:r w:rsidR="009F7EF0">
        <w:rPr>
          <w:rFonts w:ascii="Arial" w:hAnsi="Arial" w:cs="Arial"/>
        </w:rPr>
        <w:t xml:space="preserve">FIRST </w:t>
      </w:r>
      <w:r w:rsidR="00C53247">
        <w:rPr>
          <w:rFonts w:ascii="Arial" w:hAnsi="Arial" w:cs="Arial"/>
        </w:rPr>
        <w:t>RESPONDENT</w:t>
      </w:r>
    </w:p>
    <w:p w:rsidR="009F7EF0" w:rsidRDefault="009F7EF0" w:rsidP="00787FE9">
      <w:pPr>
        <w:pBdr>
          <w:bottom w:val="single" w:sz="6" w:space="1" w:color="auto"/>
        </w:pBdr>
        <w:jc w:val="both"/>
        <w:rPr>
          <w:rFonts w:ascii="Arial" w:hAnsi="Arial" w:cs="Arial"/>
        </w:rPr>
      </w:pPr>
    </w:p>
    <w:p w:rsidR="009F7EF0" w:rsidRDefault="00386BEE" w:rsidP="00787FE9">
      <w:pPr>
        <w:pBdr>
          <w:bottom w:val="single" w:sz="6" w:space="1" w:color="auto"/>
        </w:pBdr>
        <w:jc w:val="both"/>
        <w:rPr>
          <w:rFonts w:ascii="Arial" w:hAnsi="Arial" w:cs="Arial"/>
        </w:rPr>
      </w:pPr>
      <w:r>
        <w:rPr>
          <w:rFonts w:ascii="Arial" w:hAnsi="Arial" w:cs="Arial"/>
          <w:b/>
          <w:bCs/>
        </w:rPr>
        <w:t>THE PREMIER OF KWAZULU-NATAL</w:t>
      </w:r>
      <w:r w:rsidR="009F7EF0">
        <w:rPr>
          <w:rFonts w:ascii="Arial" w:hAnsi="Arial" w:cs="Arial"/>
          <w:b/>
          <w:bCs/>
        </w:rPr>
        <w:tab/>
      </w:r>
      <w:r w:rsidR="009F7EF0">
        <w:rPr>
          <w:rFonts w:ascii="Arial" w:hAnsi="Arial" w:cs="Arial"/>
          <w:b/>
          <w:bCs/>
        </w:rPr>
        <w:tab/>
      </w:r>
      <w:r w:rsidR="009F7EF0">
        <w:rPr>
          <w:rFonts w:ascii="Arial" w:hAnsi="Arial" w:cs="Arial"/>
          <w:b/>
          <w:bCs/>
        </w:rPr>
        <w:tab/>
      </w:r>
      <w:r w:rsidR="00904110">
        <w:rPr>
          <w:rFonts w:ascii="Arial" w:hAnsi="Arial" w:cs="Arial"/>
          <w:b/>
          <w:bCs/>
        </w:rPr>
        <w:t xml:space="preserve">    </w:t>
      </w:r>
      <w:r>
        <w:rPr>
          <w:rFonts w:ascii="Arial" w:hAnsi="Arial" w:cs="Arial"/>
          <w:b/>
          <w:bCs/>
        </w:rPr>
        <w:t xml:space="preserve">  </w:t>
      </w:r>
      <w:r w:rsidR="009F7EF0">
        <w:rPr>
          <w:rFonts w:ascii="Arial" w:hAnsi="Arial" w:cs="Arial"/>
        </w:rPr>
        <w:t>SECOND RESPON</w:t>
      </w:r>
      <w:r w:rsidR="00904110">
        <w:rPr>
          <w:rFonts w:ascii="Arial" w:hAnsi="Arial" w:cs="Arial"/>
        </w:rPr>
        <w:t>D</w:t>
      </w:r>
      <w:r w:rsidR="009F7EF0">
        <w:rPr>
          <w:rFonts w:ascii="Arial" w:hAnsi="Arial" w:cs="Arial"/>
        </w:rPr>
        <w:t>ENT</w:t>
      </w:r>
    </w:p>
    <w:p w:rsidR="00386BEE" w:rsidRDefault="00386BEE" w:rsidP="00787FE9">
      <w:pPr>
        <w:pBdr>
          <w:bottom w:val="single" w:sz="6" w:space="1" w:color="auto"/>
        </w:pBdr>
        <w:jc w:val="both"/>
        <w:rPr>
          <w:rFonts w:ascii="Arial" w:hAnsi="Arial" w:cs="Arial"/>
        </w:rPr>
      </w:pPr>
    </w:p>
    <w:p w:rsidR="00386BEE" w:rsidRPr="00386BEE" w:rsidRDefault="00386BEE" w:rsidP="00787FE9">
      <w:pPr>
        <w:pBdr>
          <w:bottom w:val="single" w:sz="6" w:space="1" w:color="auto"/>
        </w:pBdr>
        <w:jc w:val="both"/>
        <w:rPr>
          <w:rFonts w:ascii="Arial" w:hAnsi="Arial" w:cs="Arial"/>
          <w:b/>
          <w:bCs/>
        </w:rPr>
      </w:pPr>
      <w:r w:rsidRPr="00386BEE">
        <w:rPr>
          <w:rFonts w:ascii="Arial" w:hAnsi="Arial" w:cs="Arial"/>
          <w:b/>
          <w:bCs/>
        </w:rPr>
        <w:t>THE MEC: KWAZULU-NATAL</w:t>
      </w:r>
    </w:p>
    <w:p w:rsidR="00386BEE" w:rsidRPr="00386BEE" w:rsidRDefault="00386BEE" w:rsidP="00787FE9">
      <w:pPr>
        <w:pBdr>
          <w:bottom w:val="single" w:sz="6" w:space="1" w:color="auto"/>
        </w:pBdr>
        <w:jc w:val="both"/>
        <w:rPr>
          <w:rFonts w:ascii="Arial" w:hAnsi="Arial" w:cs="Arial"/>
        </w:rPr>
      </w:pPr>
      <w:r w:rsidRPr="00386BEE">
        <w:rPr>
          <w:rFonts w:ascii="Arial" w:hAnsi="Arial" w:cs="Arial"/>
          <w:b/>
          <w:bCs/>
        </w:rPr>
        <w:t>DEPARTMENT OF SOCIAL DEVELOPMENT</w:t>
      </w:r>
      <w:r>
        <w:rPr>
          <w:rFonts w:ascii="Arial" w:hAnsi="Arial" w:cs="Arial"/>
          <w:b/>
          <w:bCs/>
        </w:rPr>
        <w:tab/>
      </w:r>
      <w:r>
        <w:rPr>
          <w:rFonts w:ascii="Arial" w:hAnsi="Arial" w:cs="Arial"/>
          <w:b/>
          <w:bCs/>
        </w:rPr>
        <w:tab/>
        <w:t xml:space="preserve">          </w:t>
      </w:r>
      <w:r>
        <w:rPr>
          <w:rFonts w:ascii="Arial" w:hAnsi="Arial" w:cs="Arial"/>
        </w:rPr>
        <w:t>THIRD RESPONDENT</w:t>
      </w:r>
    </w:p>
    <w:p w:rsidR="00090873" w:rsidRDefault="00090873" w:rsidP="00386BEE">
      <w:pPr>
        <w:pBdr>
          <w:bottom w:val="single" w:sz="6" w:space="1" w:color="auto"/>
        </w:pBdr>
        <w:jc w:val="both"/>
        <w:rPr>
          <w:rFonts w:ascii="Arial" w:hAnsi="Arial" w:cs="Arial"/>
        </w:rPr>
      </w:pPr>
    </w:p>
    <w:p w:rsidR="00386BEE" w:rsidRPr="00386BEE" w:rsidRDefault="00386BEE" w:rsidP="00386BEE">
      <w:pPr>
        <w:pBdr>
          <w:bottom w:val="single" w:sz="6" w:space="1" w:color="auto"/>
        </w:pBdr>
        <w:jc w:val="both"/>
        <w:rPr>
          <w:rFonts w:ascii="Arial" w:hAnsi="Arial" w:cs="Arial"/>
          <w:b/>
          <w:bCs/>
        </w:rPr>
      </w:pPr>
      <w:r w:rsidRPr="00386BEE">
        <w:rPr>
          <w:rFonts w:ascii="Arial" w:hAnsi="Arial" w:cs="Arial"/>
          <w:b/>
          <w:bCs/>
        </w:rPr>
        <w:t>THE MEC: KWAZULU-NATAL</w:t>
      </w:r>
    </w:p>
    <w:p w:rsidR="00386BEE" w:rsidRDefault="00386BEE" w:rsidP="00386BEE">
      <w:pPr>
        <w:pBdr>
          <w:bottom w:val="single" w:sz="6" w:space="1" w:color="auto"/>
        </w:pBdr>
        <w:jc w:val="both"/>
        <w:rPr>
          <w:rFonts w:ascii="Arial" w:hAnsi="Arial" w:cs="Arial"/>
        </w:rPr>
      </w:pPr>
      <w:r w:rsidRPr="00386BEE">
        <w:rPr>
          <w:rFonts w:ascii="Arial" w:hAnsi="Arial" w:cs="Arial"/>
          <w:b/>
          <w:bCs/>
        </w:rPr>
        <w:t>DEPARTMENT OF</w:t>
      </w:r>
      <w:r w:rsidR="00AC33AF">
        <w:rPr>
          <w:rFonts w:ascii="Arial" w:hAnsi="Arial" w:cs="Arial"/>
          <w:b/>
          <w:bCs/>
        </w:rPr>
        <w:t xml:space="preserve"> TRANSPORT</w:t>
      </w:r>
      <w:r>
        <w:rPr>
          <w:rFonts w:ascii="Arial" w:hAnsi="Arial" w:cs="Arial"/>
          <w:b/>
          <w:bCs/>
        </w:rPr>
        <w:tab/>
      </w:r>
      <w:r>
        <w:rPr>
          <w:rFonts w:ascii="Arial" w:hAnsi="Arial" w:cs="Arial"/>
          <w:b/>
          <w:bCs/>
        </w:rPr>
        <w:tab/>
        <w:t xml:space="preserve">      </w:t>
      </w:r>
      <w:r w:rsidR="00AC33AF">
        <w:rPr>
          <w:rFonts w:ascii="Arial" w:hAnsi="Arial" w:cs="Arial"/>
          <w:b/>
          <w:bCs/>
        </w:rPr>
        <w:t xml:space="preserve">           </w:t>
      </w:r>
      <w:r>
        <w:rPr>
          <w:rFonts w:ascii="Arial" w:hAnsi="Arial" w:cs="Arial"/>
        </w:rPr>
        <w:t>FOURTH RESPONDENT</w:t>
      </w:r>
    </w:p>
    <w:p w:rsidR="00386BEE" w:rsidRDefault="00386BEE" w:rsidP="00386BEE">
      <w:pPr>
        <w:pBdr>
          <w:bottom w:val="single" w:sz="6" w:space="1" w:color="auto"/>
        </w:pBdr>
        <w:jc w:val="both"/>
        <w:rPr>
          <w:rFonts w:ascii="Arial" w:hAnsi="Arial" w:cs="Arial"/>
        </w:rPr>
      </w:pPr>
    </w:p>
    <w:p w:rsidR="00C53247" w:rsidRDefault="00386BEE" w:rsidP="00787FE9">
      <w:pPr>
        <w:pBdr>
          <w:bottom w:val="single" w:sz="6" w:space="1" w:color="auto"/>
        </w:pBdr>
        <w:jc w:val="both"/>
        <w:rPr>
          <w:rFonts w:ascii="Arial" w:hAnsi="Arial" w:cs="Arial"/>
        </w:rPr>
      </w:pPr>
      <w:r>
        <w:rPr>
          <w:rFonts w:ascii="Arial" w:hAnsi="Arial" w:cs="Arial"/>
          <w:b/>
          <w:bCs/>
        </w:rPr>
        <w:t>THE MEC: KWAZULU-NATAL TREASURY</w:t>
      </w:r>
      <w:r>
        <w:rPr>
          <w:rFonts w:ascii="Arial" w:hAnsi="Arial" w:cs="Arial"/>
          <w:b/>
          <w:bCs/>
        </w:rPr>
        <w:tab/>
      </w:r>
      <w:r>
        <w:rPr>
          <w:rFonts w:ascii="Arial" w:hAnsi="Arial" w:cs="Arial"/>
          <w:b/>
          <w:bCs/>
        </w:rPr>
        <w:tab/>
      </w:r>
      <w:r>
        <w:rPr>
          <w:rFonts w:ascii="Arial" w:hAnsi="Arial" w:cs="Arial"/>
          <w:b/>
          <w:bCs/>
        </w:rPr>
        <w:tab/>
      </w:r>
      <w:r>
        <w:rPr>
          <w:rFonts w:ascii="Arial" w:hAnsi="Arial" w:cs="Arial"/>
        </w:rPr>
        <w:t>FIFTH RESPONDENT</w:t>
      </w:r>
    </w:p>
    <w:p w:rsidR="00874EE8" w:rsidRDefault="00874EE8" w:rsidP="00787FE9">
      <w:pPr>
        <w:pBdr>
          <w:bottom w:val="single" w:sz="6" w:space="1" w:color="auto"/>
        </w:pBdr>
        <w:jc w:val="both"/>
        <w:rPr>
          <w:rFonts w:ascii="Arial" w:hAnsi="Arial" w:cs="Arial"/>
        </w:rPr>
      </w:pPr>
    </w:p>
    <w:p w:rsidR="00874EE8" w:rsidRPr="00386BEE" w:rsidRDefault="00874EE8" w:rsidP="00787FE9">
      <w:pPr>
        <w:pBdr>
          <w:bottom w:val="single" w:sz="6" w:space="1" w:color="auto"/>
        </w:pBdr>
        <w:jc w:val="both"/>
        <w:rPr>
          <w:rFonts w:ascii="Arial" w:hAnsi="Arial" w:cs="Arial"/>
        </w:rPr>
      </w:pPr>
    </w:p>
    <w:p w:rsidR="00787FE9" w:rsidRPr="00787FE9" w:rsidRDefault="00787FE9" w:rsidP="00874EE8">
      <w:pPr>
        <w:pStyle w:val="NoSpacing"/>
      </w:pPr>
    </w:p>
    <w:p w:rsidR="0002031B" w:rsidRPr="00874EE8" w:rsidRDefault="00C53247" w:rsidP="00874EE8">
      <w:pPr>
        <w:pStyle w:val="NoSpacing"/>
        <w:jc w:val="center"/>
        <w:rPr>
          <w:rFonts w:ascii="Arial" w:hAnsi="Arial" w:cs="Arial"/>
          <w:b/>
          <w:bCs/>
        </w:rPr>
      </w:pPr>
      <w:r w:rsidRPr="00874EE8">
        <w:rPr>
          <w:rFonts w:ascii="Arial" w:hAnsi="Arial" w:cs="Arial"/>
          <w:b/>
          <w:bCs/>
        </w:rPr>
        <w:t>JUDGMENT</w:t>
      </w:r>
    </w:p>
    <w:p w:rsidR="00874EE8" w:rsidRDefault="00874EE8" w:rsidP="00874EE8">
      <w:pPr>
        <w:pStyle w:val="NoSpacing"/>
        <w:pBdr>
          <w:bottom w:val="single" w:sz="6" w:space="1" w:color="auto"/>
        </w:pBdr>
        <w:rPr>
          <w:b/>
          <w:bCs/>
        </w:rPr>
      </w:pPr>
    </w:p>
    <w:p w:rsidR="00AC33AF" w:rsidRDefault="00AC33AF" w:rsidP="00874EE8">
      <w:pPr>
        <w:pStyle w:val="NoSpacing"/>
        <w:rPr>
          <w:b/>
          <w:u w:val="single"/>
        </w:rPr>
      </w:pPr>
    </w:p>
    <w:p w:rsidR="00CD5491" w:rsidRDefault="00AC33AF" w:rsidP="006B7081">
      <w:pPr>
        <w:spacing w:line="360" w:lineRule="auto"/>
        <w:jc w:val="both"/>
        <w:rPr>
          <w:rFonts w:ascii="Arial" w:hAnsi="Arial" w:cs="Arial"/>
          <w:b/>
          <w:u w:val="single"/>
          <w:lang w:val="en-GB"/>
        </w:rPr>
      </w:pPr>
      <w:r>
        <w:rPr>
          <w:rFonts w:ascii="Arial" w:hAnsi="Arial" w:cs="Arial"/>
          <w:b/>
          <w:u w:val="single"/>
          <w:lang w:val="en-GB"/>
        </w:rPr>
        <w:t>ANNANDALE AJ:</w:t>
      </w:r>
    </w:p>
    <w:p w:rsidR="00E80928" w:rsidRPr="00AC33AF" w:rsidRDefault="00E80928" w:rsidP="006B7081">
      <w:pPr>
        <w:spacing w:line="360" w:lineRule="auto"/>
        <w:jc w:val="both"/>
        <w:rPr>
          <w:rFonts w:ascii="Arial" w:hAnsi="Arial" w:cs="Arial"/>
          <w:b/>
          <w:u w:val="single"/>
        </w:rPr>
      </w:pPr>
    </w:p>
    <w:p w:rsidR="0030143E"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[1]</w:t>
      </w:r>
      <w:r w:rsidRPr="00DE4FBB">
        <w:rPr>
          <w:rFonts w:ascii="Arial" w:hAnsi="Arial" w:cs="Arial"/>
        </w:rPr>
        <w:tab/>
      </w:r>
      <w:r w:rsidR="00EF1409" w:rsidRPr="00517F46">
        <w:rPr>
          <w:rFonts w:ascii="Arial" w:hAnsi="Arial" w:cs="Arial"/>
        </w:rPr>
        <w:t xml:space="preserve">This </w:t>
      </w:r>
      <w:r w:rsidR="00AC33AF" w:rsidRPr="00517F46">
        <w:rPr>
          <w:rFonts w:ascii="Arial" w:hAnsi="Arial" w:cs="Arial"/>
        </w:rPr>
        <w:t xml:space="preserve">application concerns the </w:t>
      </w:r>
      <w:r w:rsidR="0030143E" w:rsidRPr="00517F46">
        <w:rPr>
          <w:rFonts w:ascii="Arial" w:hAnsi="Arial" w:cs="Arial"/>
        </w:rPr>
        <w:t xml:space="preserve">applicant’s </w:t>
      </w:r>
      <w:r w:rsidR="00AC33AF" w:rsidRPr="00517F46">
        <w:rPr>
          <w:rFonts w:ascii="Arial" w:hAnsi="Arial" w:cs="Arial"/>
        </w:rPr>
        <w:t xml:space="preserve">right of </w:t>
      </w:r>
      <w:r w:rsidR="0030143E" w:rsidRPr="00517F46">
        <w:rPr>
          <w:rFonts w:ascii="Arial" w:hAnsi="Arial" w:cs="Arial"/>
        </w:rPr>
        <w:t>access</w:t>
      </w:r>
      <w:r w:rsidR="00CD07F5" w:rsidRPr="00517F46">
        <w:rPr>
          <w:rFonts w:ascii="Arial" w:hAnsi="Arial" w:cs="Arial"/>
        </w:rPr>
        <w:t xml:space="preserve"> </w:t>
      </w:r>
      <w:r w:rsidR="00AC33AF" w:rsidRPr="00517F46">
        <w:rPr>
          <w:rFonts w:ascii="Arial" w:hAnsi="Arial" w:cs="Arial"/>
        </w:rPr>
        <w:t xml:space="preserve">to </w:t>
      </w:r>
      <w:r w:rsidR="00A141B4" w:rsidRPr="00517F46">
        <w:rPr>
          <w:rFonts w:ascii="Arial" w:hAnsi="Arial" w:cs="Arial"/>
        </w:rPr>
        <w:t>information</w:t>
      </w:r>
      <w:r w:rsidR="00A17DCD" w:rsidRPr="00517F46">
        <w:rPr>
          <w:rFonts w:ascii="Arial" w:hAnsi="Arial" w:cs="Arial"/>
        </w:rPr>
        <w:t>.</w:t>
      </w:r>
      <w:r w:rsidR="0030143E" w:rsidRPr="00517F46">
        <w:rPr>
          <w:rFonts w:ascii="Arial" w:hAnsi="Arial" w:cs="Arial"/>
        </w:rPr>
        <w:t xml:space="preserve"> </w:t>
      </w:r>
      <w:r w:rsidR="00A17DCD" w:rsidRPr="00517F46">
        <w:rPr>
          <w:rFonts w:ascii="Arial" w:hAnsi="Arial" w:cs="Arial"/>
        </w:rPr>
        <w:t xml:space="preserve">It </w:t>
      </w:r>
      <w:r w:rsidR="0030143E" w:rsidRPr="00517F46">
        <w:rPr>
          <w:rFonts w:ascii="Arial" w:hAnsi="Arial" w:cs="Arial"/>
        </w:rPr>
        <w:t xml:space="preserve">is brought in terms of section 78 of the Promotion of Access to Information Act 2 of 2000 </w:t>
      </w:r>
      <w:r w:rsidR="0030143E" w:rsidRPr="00517F46">
        <w:rPr>
          <w:rFonts w:ascii="Arial" w:hAnsi="Arial" w:cs="Arial"/>
        </w:rPr>
        <w:lastRenderedPageBreak/>
        <w:t xml:space="preserve">(PAIA) to compel production of records </w:t>
      </w:r>
      <w:r w:rsidR="00B633B7" w:rsidRPr="00517F46">
        <w:rPr>
          <w:rFonts w:ascii="Arial" w:hAnsi="Arial" w:cs="Arial"/>
        </w:rPr>
        <w:t xml:space="preserve">which </w:t>
      </w:r>
      <w:r w:rsidR="0030143E" w:rsidRPr="00517F46">
        <w:rPr>
          <w:rFonts w:ascii="Arial" w:hAnsi="Arial" w:cs="Arial"/>
        </w:rPr>
        <w:t xml:space="preserve">the respondents have refused to disclose. </w:t>
      </w:r>
    </w:p>
    <w:p w:rsidR="0030143E" w:rsidRPr="00DE4FBB" w:rsidRDefault="0030143E" w:rsidP="006B7081">
      <w:pPr>
        <w:pStyle w:val="ListParagraph"/>
        <w:autoSpaceDE w:val="0"/>
        <w:autoSpaceDN w:val="0"/>
        <w:adjustRightInd w:val="0"/>
        <w:spacing w:line="360" w:lineRule="auto"/>
        <w:ind w:left="851"/>
        <w:jc w:val="both"/>
        <w:rPr>
          <w:rFonts w:ascii="Arial" w:hAnsi="Arial" w:cs="Arial"/>
        </w:rPr>
      </w:pPr>
    </w:p>
    <w:p w:rsidR="0030143E"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[2]</w:t>
      </w:r>
      <w:r w:rsidRPr="00DE4FBB">
        <w:rPr>
          <w:rFonts w:ascii="Arial" w:hAnsi="Arial" w:cs="Arial"/>
        </w:rPr>
        <w:tab/>
      </w:r>
      <w:r w:rsidR="0030143E" w:rsidRPr="00517F46">
        <w:rPr>
          <w:rFonts w:ascii="Arial" w:hAnsi="Arial" w:cs="Arial"/>
        </w:rPr>
        <w:t xml:space="preserve">PAIA was enacted to give effect to the right of access </w:t>
      </w:r>
      <w:r w:rsidR="00B633B7" w:rsidRPr="00517F46">
        <w:rPr>
          <w:rFonts w:ascii="Arial" w:hAnsi="Arial" w:cs="Arial"/>
        </w:rPr>
        <w:t xml:space="preserve">to </w:t>
      </w:r>
      <w:r w:rsidR="0030143E" w:rsidRPr="00517F46">
        <w:rPr>
          <w:rFonts w:ascii="Arial" w:hAnsi="Arial" w:cs="Arial"/>
        </w:rPr>
        <w:t>information</w:t>
      </w:r>
      <w:r w:rsidR="008A5AA8" w:rsidRPr="00517F46">
        <w:rPr>
          <w:rFonts w:ascii="Arial" w:hAnsi="Arial" w:cs="Arial"/>
        </w:rPr>
        <w:t xml:space="preserve"> enshrined in section 32 of the Constitution</w:t>
      </w:r>
      <w:r w:rsidR="0030143E" w:rsidRPr="00517F46">
        <w:rPr>
          <w:rFonts w:ascii="Arial" w:hAnsi="Arial" w:cs="Arial"/>
        </w:rPr>
        <w:t xml:space="preserve">, subject to justifiable limitations including </w:t>
      </w:r>
      <w:r w:rsidR="0030143E" w:rsidRPr="00517F46">
        <w:rPr>
          <w:rFonts w:ascii="Arial" w:hAnsi="Arial" w:cs="Arial"/>
          <w:color w:val="000000"/>
        </w:rPr>
        <w:t>the reasonable protection of privacy,</w:t>
      </w:r>
      <w:r w:rsidR="00B633B7" w:rsidRPr="00517F46">
        <w:rPr>
          <w:rFonts w:ascii="Arial" w:hAnsi="Arial" w:cs="Arial"/>
          <w:color w:val="000000"/>
        </w:rPr>
        <w:t xml:space="preserve"> </w:t>
      </w:r>
      <w:r w:rsidR="0030143E" w:rsidRPr="00517F46">
        <w:rPr>
          <w:rFonts w:ascii="Arial" w:hAnsi="Arial" w:cs="Arial"/>
          <w:color w:val="000000"/>
        </w:rPr>
        <w:t xml:space="preserve">and good governance. </w:t>
      </w:r>
      <w:r w:rsidR="0030143E" w:rsidRPr="00517F46">
        <w:rPr>
          <w:rFonts w:ascii="Arial" w:hAnsi="Arial" w:cs="Arial"/>
        </w:rPr>
        <w:t xml:space="preserve">Its objects include the promotion of transparency, accountability and </w:t>
      </w:r>
      <w:r w:rsidR="00B633B7" w:rsidRPr="00517F46">
        <w:rPr>
          <w:rFonts w:ascii="Arial" w:hAnsi="Arial" w:cs="Arial"/>
        </w:rPr>
        <w:t xml:space="preserve">the </w:t>
      </w:r>
      <w:r w:rsidR="0030143E" w:rsidRPr="00517F46">
        <w:rPr>
          <w:rFonts w:ascii="Arial" w:hAnsi="Arial" w:cs="Arial"/>
        </w:rPr>
        <w:t>effective governance of all public bodies.</w:t>
      </w:r>
      <w:r w:rsidR="00773F2D" w:rsidRPr="00DE4FBB">
        <w:rPr>
          <w:rStyle w:val="FootnoteReference"/>
          <w:rFonts w:ascii="Arial" w:hAnsi="Arial" w:cs="Arial"/>
          <w:color w:val="000000"/>
        </w:rPr>
        <w:footnoteReference w:id="1"/>
      </w:r>
      <w:r w:rsidR="0030143E" w:rsidRPr="00517F46">
        <w:rPr>
          <w:rFonts w:ascii="Arial" w:hAnsi="Arial" w:cs="Arial"/>
        </w:rPr>
        <w:t xml:space="preserve"> </w:t>
      </w:r>
    </w:p>
    <w:p w:rsidR="0030143E" w:rsidRPr="00DE4FBB" w:rsidRDefault="0030143E" w:rsidP="006B7081">
      <w:pPr>
        <w:pStyle w:val="ListParagraph"/>
        <w:autoSpaceDE w:val="0"/>
        <w:autoSpaceDN w:val="0"/>
        <w:adjustRightInd w:val="0"/>
        <w:spacing w:line="360" w:lineRule="auto"/>
        <w:ind w:left="851"/>
        <w:jc w:val="both"/>
        <w:rPr>
          <w:rFonts w:ascii="Arial" w:hAnsi="Arial" w:cs="Arial"/>
        </w:rPr>
      </w:pPr>
    </w:p>
    <w:p w:rsidR="008732F9" w:rsidRPr="00517F46" w:rsidRDefault="00517F46" w:rsidP="00517F46">
      <w:pPr>
        <w:autoSpaceDE w:val="0"/>
        <w:autoSpaceDN w:val="0"/>
        <w:adjustRightInd w:val="0"/>
        <w:spacing w:line="360" w:lineRule="auto"/>
        <w:jc w:val="both"/>
        <w:rPr>
          <w:rFonts w:ascii="Arial" w:hAnsi="Arial" w:cs="Arial"/>
        </w:rPr>
      </w:pPr>
      <w:r w:rsidRPr="00B633B7">
        <w:rPr>
          <w:rFonts w:ascii="Arial" w:hAnsi="Arial" w:cs="Arial"/>
        </w:rPr>
        <w:t>[3]</w:t>
      </w:r>
      <w:r w:rsidRPr="00B633B7">
        <w:rPr>
          <w:rFonts w:ascii="Arial" w:hAnsi="Arial" w:cs="Arial"/>
        </w:rPr>
        <w:tab/>
      </w:r>
      <w:r w:rsidR="0030143E" w:rsidRPr="00517F46">
        <w:rPr>
          <w:rFonts w:ascii="Arial" w:hAnsi="Arial" w:cs="Arial"/>
        </w:rPr>
        <w:t xml:space="preserve">As </w:t>
      </w:r>
      <w:r w:rsidR="00A17DCD" w:rsidRPr="00517F46">
        <w:rPr>
          <w:rFonts w:ascii="Arial" w:hAnsi="Arial" w:cs="Arial"/>
        </w:rPr>
        <w:t xml:space="preserve">functionaries </w:t>
      </w:r>
      <w:r w:rsidR="00A17DCD" w:rsidRPr="00517F46">
        <w:rPr>
          <w:rFonts w:ascii="Arial" w:hAnsi="Arial" w:cs="Arial"/>
          <w:color w:val="000000"/>
          <w:shd w:val="clear" w:color="auto" w:fill="FFFFFF"/>
        </w:rPr>
        <w:t>exercising a public power or performing a public function in terms of any legislation</w:t>
      </w:r>
      <w:r w:rsidR="00E80928" w:rsidRPr="00517F46">
        <w:rPr>
          <w:rFonts w:ascii="Arial" w:hAnsi="Arial" w:cs="Arial"/>
          <w:color w:val="000000"/>
          <w:shd w:val="clear" w:color="auto" w:fill="FFFFFF"/>
        </w:rPr>
        <w:t>,</w:t>
      </w:r>
      <w:r w:rsidR="00A17DCD" w:rsidRPr="00517F46">
        <w:rPr>
          <w:rFonts w:ascii="Arial" w:hAnsi="Arial" w:cs="Arial"/>
          <w:color w:val="000000"/>
          <w:shd w:val="clear" w:color="auto" w:fill="FFFFFF"/>
        </w:rPr>
        <w:t xml:space="preserve"> and </w:t>
      </w:r>
      <w:r w:rsidR="0030143E" w:rsidRPr="00517F46">
        <w:rPr>
          <w:rFonts w:ascii="Arial" w:hAnsi="Arial" w:cs="Arial"/>
        </w:rPr>
        <w:t>departments of state or administration in the provincial sphere of government</w:t>
      </w:r>
      <w:r w:rsidR="00A17DCD" w:rsidRPr="00517F46">
        <w:rPr>
          <w:rFonts w:ascii="Arial" w:hAnsi="Arial" w:cs="Arial"/>
        </w:rPr>
        <w:t>, the</w:t>
      </w:r>
      <w:r w:rsidR="0030143E" w:rsidRPr="00517F46">
        <w:rPr>
          <w:rFonts w:ascii="Arial" w:hAnsi="Arial" w:cs="Arial"/>
        </w:rPr>
        <w:t xml:space="preserve"> respondents are public bodies as defined in section 1 of PAIA. </w:t>
      </w:r>
      <w:r w:rsidR="00B633B7" w:rsidRPr="00517F46">
        <w:rPr>
          <w:rFonts w:ascii="Arial" w:hAnsi="Arial" w:cs="Arial"/>
        </w:rPr>
        <w:t>Requesters are entitled to the records of public bodies regardless of the reasons given for requesting access or the information officer’s belief as to what the requester’s reasons are for requesting access, provided only that they comply with the procedural requirements of PAIA.</w:t>
      </w:r>
      <w:r w:rsidR="00E80928" w:rsidRPr="00DE4FBB">
        <w:rPr>
          <w:rStyle w:val="FootnoteReference"/>
          <w:rFonts w:ascii="Arial" w:hAnsi="Arial" w:cs="Arial"/>
        </w:rPr>
        <w:footnoteReference w:id="2"/>
      </w:r>
      <w:r w:rsidR="00B633B7" w:rsidRPr="00517F46">
        <w:rPr>
          <w:rFonts w:ascii="Arial" w:hAnsi="Arial" w:cs="Arial"/>
        </w:rPr>
        <w:t xml:space="preserve"> If the </w:t>
      </w:r>
      <w:r w:rsidR="00B633B7" w:rsidRPr="00517F46">
        <w:rPr>
          <w:rFonts w:ascii="Arial" w:hAnsi="Arial" w:cs="Arial"/>
          <w:color w:val="242121"/>
        </w:rPr>
        <w:t xml:space="preserve">requester has complied with </w:t>
      </w:r>
      <w:r w:rsidR="00E80928" w:rsidRPr="00517F46">
        <w:rPr>
          <w:rFonts w:ascii="Arial" w:hAnsi="Arial" w:cs="Arial"/>
          <w:color w:val="242121"/>
        </w:rPr>
        <w:t xml:space="preserve">the relevant procedure, </w:t>
      </w:r>
      <w:r w:rsidR="00B633B7" w:rsidRPr="00517F46">
        <w:rPr>
          <w:rFonts w:ascii="Arial" w:hAnsi="Arial" w:cs="Arial"/>
          <w:color w:val="242121"/>
        </w:rPr>
        <w:t xml:space="preserve">access can only be refused </w:t>
      </w:r>
      <w:r w:rsidR="00B633B7" w:rsidRPr="00517F46">
        <w:rPr>
          <w:rFonts w:ascii="Arial" w:hAnsi="Arial" w:cs="Arial"/>
        </w:rPr>
        <w:t xml:space="preserve">on grounds contemplated by Chapter 4. Consequently, </w:t>
      </w:r>
      <w:r w:rsidR="00B633B7" w:rsidRPr="00517F46">
        <w:rPr>
          <w:rFonts w:ascii="Arial" w:hAnsi="Arial" w:cs="Arial"/>
          <w:color w:val="242121"/>
        </w:rPr>
        <w:t>i</w:t>
      </w:r>
      <w:r w:rsidR="008732F9" w:rsidRPr="00517F46">
        <w:rPr>
          <w:rFonts w:ascii="Arial" w:hAnsi="Arial" w:cs="Arial"/>
          <w:color w:val="242121"/>
        </w:rPr>
        <w:t>f the requester has complied with PAIA and the information does not fall within one of the grounds of exclusion</w:t>
      </w:r>
      <w:r w:rsidR="00B633B7" w:rsidRPr="00517F46">
        <w:rPr>
          <w:rFonts w:ascii="Arial" w:hAnsi="Arial" w:cs="Arial"/>
          <w:color w:val="242121"/>
        </w:rPr>
        <w:t>,</w:t>
      </w:r>
      <w:r w:rsidR="008732F9" w:rsidRPr="00517F46">
        <w:rPr>
          <w:rFonts w:ascii="Arial" w:hAnsi="Arial" w:cs="Arial"/>
          <w:color w:val="242121"/>
        </w:rPr>
        <w:t xml:space="preserve"> there is no discretion on the part of the public body or the court to refuse access.</w:t>
      </w:r>
      <w:r w:rsidR="008732F9" w:rsidRPr="00DE4FBB">
        <w:rPr>
          <w:rStyle w:val="FootnoteReference"/>
          <w:rFonts w:ascii="Arial" w:hAnsi="Arial" w:cs="Arial"/>
          <w:color w:val="242121"/>
        </w:rPr>
        <w:footnoteReference w:id="3"/>
      </w:r>
      <w:r w:rsidR="008732F9" w:rsidRPr="00517F46">
        <w:rPr>
          <w:rFonts w:ascii="Arial" w:hAnsi="Arial" w:cs="Arial"/>
          <w:i/>
          <w:iCs/>
          <w:color w:val="242121"/>
        </w:rPr>
        <w:t xml:space="preserve"> </w:t>
      </w:r>
    </w:p>
    <w:p w:rsidR="00A17DCD" w:rsidRPr="00DE4FBB" w:rsidRDefault="00A17DCD" w:rsidP="006B7081">
      <w:pPr>
        <w:pStyle w:val="ListParagraph"/>
        <w:autoSpaceDE w:val="0"/>
        <w:autoSpaceDN w:val="0"/>
        <w:adjustRightInd w:val="0"/>
        <w:spacing w:line="360" w:lineRule="auto"/>
        <w:ind w:left="851"/>
        <w:jc w:val="both"/>
        <w:rPr>
          <w:rFonts w:ascii="Arial" w:hAnsi="Arial" w:cs="Arial"/>
        </w:rPr>
      </w:pPr>
    </w:p>
    <w:p w:rsidR="00A17DCD"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[4]</w:t>
      </w:r>
      <w:r w:rsidRPr="00DE4FBB">
        <w:rPr>
          <w:rFonts w:ascii="Arial" w:hAnsi="Arial" w:cs="Arial"/>
        </w:rPr>
        <w:tab/>
      </w:r>
      <w:r w:rsidR="00E60BC7" w:rsidRPr="00517F46">
        <w:rPr>
          <w:rFonts w:ascii="Arial" w:hAnsi="Arial" w:cs="Arial"/>
        </w:rPr>
        <w:t xml:space="preserve">Section 81(3) of PAIA places the burden of establishing that </w:t>
      </w:r>
      <w:r w:rsidR="0027352F" w:rsidRPr="00517F46">
        <w:rPr>
          <w:rFonts w:ascii="Arial" w:hAnsi="Arial" w:cs="Arial"/>
        </w:rPr>
        <w:t>a</w:t>
      </w:r>
      <w:r w:rsidR="00E60BC7" w:rsidRPr="00517F46">
        <w:rPr>
          <w:rFonts w:ascii="Arial" w:hAnsi="Arial" w:cs="Arial"/>
        </w:rPr>
        <w:t xml:space="preserve"> refusal of a request complies with the provisions of </w:t>
      </w:r>
      <w:r w:rsidR="00E80928" w:rsidRPr="00517F46">
        <w:rPr>
          <w:rFonts w:ascii="Arial" w:hAnsi="Arial" w:cs="Arial"/>
        </w:rPr>
        <w:t xml:space="preserve">the </w:t>
      </w:r>
      <w:r w:rsidR="00B633B7" w:rsidRPr="00517F46">
        <w:rPr>
          <w:rFonts w:ascii="Arial" w:hAnsi="Arial" w:cs="Arial"/>
        </w:rPr>
        <w:t xml:space="preserve">act </w:t>
      </w:r>
      <w:r w:rsidR="00E60BC7" w:rsidRPr="00517F46">
        <w:rPr>
          <w:rFonts w:ascii="Arial" w:hAnsi="Arial" w:cs="Arial"/>
        </w:rPr>
        <w:t>on the party invoking the exemption from disclosure. Applications in terms of section 78 are civil proceedings,</w:t>
      </w:r>
      <w:r w:rsidR="00E60BC7" w:rsidRPr="00DE4FBB">
        <w:rPr>
          <w:rStyle w:val="FootnoteReference"/>
          <w:rFonts w:ascii="Arial" w:hAnsi="Arial" w:cs="Arial"/>
        </w:rPr>
        <w:footnoteReference w:id="4"/>
      </w:r>
      <w:r w:rsidR="00E60BC7" w:rsidRPr="00517F46">
        <w:rPr>
          <w:rFonts w:ascii="Arial" w:hAnsi="Arial" w:cs="Arial"/>
        </w:rPr>
        <w:t xml:space="preserve"> </w:t>
      </w:r>
      <w:r w:rsidR="0027352F" w:rsidRPr="00517F46">
        <w:rPr>
          <w:rFonts w:ascii="Arial" w:hAnsi="Arial" w:cs="Arial"/>
        </w:rPr>
        <w:t>so</w:t>
      </w:r>
      <w:r w:rsidR="00B633B7" w:rsidRPr="00517F46">
        <w:rPr>
          <w:rFonts w:ascii="Arial" w:hAnsi="Arial" w:cs="Arial"/>
        </w:rPr>
        <w:t xml:space="preserve"> </w:t>
      </w:r>
      <w:r w:rsidR="00E60BC7" w:rsidRPr="00517F46">
        <w:rPr>
          <w:rFonts w:ascii="Arial" w:hAnsi="Arial" w:cs="Arial"/>
        </w:rPr>
        <w:t>th</w:t>
      </w:r>
      <w:r w:rsidR="00E80928" w:rsidRPr="00517F46">
        <w:rPr>
          <w:rFonts w:ascii="Arial" w:hAnsi="Arial" w:cs="Arial"/>
        </w:rPr>
        <w:t>at</w:t>
      </w:r>
      <w:r w:rsidR="00E60BC7" w:rsidRPr="00517F46">
        <w:rPr>
          <w:rFonts w:ascii="Arial" w:hAnsi="Arial" w:cs="Arial"/>
        </w:rPr>
        <w:t xml:space="preserve"> evidentiary burden must be discharged on a balance of probabilities.</w:t>
      </w:r>
      <w:r w:rsidR="00E60BC7" w:rsidRPr="00DE4FBB">
        <w:rPr>
          <w:rStyle w:val="FootnoteReference"/>
          <w:rFonts w:ascii="Arial" w:hAnsi="Arial" w:cs="Arial"/>
        </w:rPr>
        <w:footnoteReference w:id="5"/>
      </w:r>
    </w:p>
    <w:p w:rsidR="00E60BC7" w:rsidRPr="00DE4FBB" w:rsidRDefault="00E60BC7" w:rsidP="005F7A8B">
      <w:pPr>
        <w:pStyle w:val="ListParagraph"/>
        <w:autoSpaceDE w:val="0"/>
        <w:autoSpaceDN w:val="0"/>
        <w:adjustRightInd w:val="0"/>
        <w:spacing w:line="360" w:lineRule="auto"/>
        <w:ind w:left="0"/>
        <w:jc w:val="both"/>
        <w:rPr>
          <w:rFonts w:ascii="Arial" w:hAnsi="Arial" w:cs="Arial"/>
        </w:rPr>
      </w:pPr>
    </w:p>
    <w:p w:rsidR="00E60BC7"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[5]</w:t>
      </w:r>
      <w:r w:rsidRPr="00DE4FBB">
        <w:rPr>
          <w:rFonts w:ascii="Arial" w:hAnsi="Arial" w:cs="Arial"/>
        </w:rPr>
        <w:tab/>
      </w:r>
      <w:r w:rsidR="00FD4CA2" w:rsidRPr="00517F46">
        <w:rPr>
          <w:rFonts w:ascii="Arial" w:hAnsi="Arial" w:cs="Arial"/>
        </w:rPr>
        <w:t xml:space="preserve">The applicant is the former Head of the KwaZulu Natal Department of Social Development (the Department of Social Development) which is the </w:t>
      </w:r>
      <w:r w:rsidR="00410D19" w:rsidRPr="00517F46">
        <w:rPr>
          <w:rFonts w:ascii="Arial" w:hAnsi="Arial" w:cs="Arial"/>
        </w:rPr>
        <w:t xml:space="preserve">third </w:t>
      </w:r>
      <w:r w:rsidR="00FD4CA2" w:rsidRPr="00517F46">
        <w:rPr>
          <w:rFonts w:ascii="Arial" w:hAnsi="Arial" w:cs="Arial"/>
        </w:rPr>
        <w:t xml:space="preserve">respondent. </w:t>
      </w:r>
      <w:r w:rsidR="005211F6" w:rsidRPr="00517F46">
        <w:rPr>
          <w:rFonts w:ascii="Arial" w:hAnsi="Arial" w:cs="Arial"/>
        </w:rPr>
        <w:t xml:space="preserve">The information at issue </w:t>
      </w:r>
      <w:r w:rsidR="0027352F" w:rsidRPr="00517F46">
        <w:rPr>
          <w:rFonts w:ascii="Arial" w:hAnsi="Arial" w:cs="Arial"/>
        </w:rPr>
        <w:t>comprises</w:t>
      </w:r>
      <w:r w:rsidR="005211F6" w:rsidRPr="00517F46">
        <w:rPr>
          <w:rFonts w:ascii="Arial" w:hAnsi="Arial" w:cs="Arial"/>
        </w:rPr>
        <w:t>: the records of a meeting of the Provincial Executive Committee</w:t>
      </w:r>
      <w:r w:rsidR="0027352F" w:rsidRPr="00517F46">
        <w:rPr>
          <w:rFonts w:ascii="Arial" w:hAnsi="Arial" w:cs="Arial"/>
        </w:rPr>
        <w:t xml:space="preserve"> </w:t>
      </w:r>
      <w:r w:rsidR="005211F6" w:rsidRPr="00517F46">
        <w:rPr>
          <w:rFonts w:ascii="Arial" w:hAnsi="Arial" w:cs="Arial"/>
        </w:rPr>
        <w:t>relat</w:t>
      </w:r>
      <w:r w:rsidR="00B633B7" w:rsidRPr="00517F46">
        <w:rPr>
          <w:rFonts w:ascii="Arial" w:hAnsi="Arial" w:cs="Arial"/>
        </w:rPr>
        <w:t>ing</w:t>
      </w:r>
      <w:r w:rsidR="005211F6" w:rsidRPr="00517F46">
        <w:rPr>
          <w:rFonts w:ascii="Arial" w:hAnsi="Arial" w:cs="Arial"/>
        </w:rPr>
        <w:t xml:space="preserve"> to an agenda item concerning the applicant; </w:t>
      </w:r>
      <w:r w:rsidR="00A141B4" w:rsidRPr="00517F46">
        <w:rPr>
          <w:rFonts w:ascii="Arial" w:hAnsi="Arial" w:cs="Arial"/>
        </w:rPr>
        <w:t xml:space="preserve">the reports </w:t>
      </w:r>
      <w:r w:rsidR="00A141B4" w:rsidRPr="00517F46">
        <w:rPr>
          <w:rFonts w:ascii="Arial" w:hAnsi="Arial" w:cs="Arial"/>
        </w:rPr>
        <w:lastRenderedPageBreak/>
        <w:t xml:space="preserve">of two forensic investigations into her </w:t>
      </w:r>
      <w:r w:rsidR="0027352F" w:rsidRPr="00517F46">
        <w:rPr>
          <w:rFonts w:ascii="Arial" w:hAnsi="Arial" w:cs="Arial"/>
        </w:rPr>
        <w:t xml:space="preserve">alleged </w:t>
      </w:r>
      <w:r w:rsidR="00A141B4" w:rsidRPr="00517F46">
        <w:rPr>
          <w:rFonts w:ascii="Arial" w:hAnsi="Arial" w:cs="Arial"/>
        </w:rPr>
        <w:t xml:space="preserve">misconduct which were conducted by the office of the </w:t>
      </w:r>
      <w:r w:rsidR="005211F6" w:rsidRPr="00517F46">
        <w:rPr>
          <w:rFonts w:ascii="Arial" w:hAnsi="Arial" w:cs="Arial"/>
        </w:rPr>
        <w:t xml:space="preserve">second respondent (the </w:t>
      </w:r>
      <w:r w:rsidR="00A141B4" w:rsidRPr="00517F46">
        <w:rPr>
          <w:rFonts w:ascii="Arial" w:hAnsi="Arial" w:cs="Arial"/>
        </w:rPr>
        <w:t>Premier</w:t>
      </w:r>
      <w:r w:rsidR="005211F6" w:rsidRPr="00517F46">
        <w:rPr>
          <w:rFonts w:ascii="Arial" w:hAnsi="Arial" w:cs="Arial"/>
        </w:rPr>
        <w:t>)</w:t>
      </w:r>
      <w:r w:rsidR="00A141B4" w:rsidRPr="00517F46">
        <w:rPr>
          <w:rFonts w:ascii="Arial" w:hAnsi="Arial" w:cs="Arial"/>
        </w:rPr>
        <w:t xml:space="preserve"> and the </w:t>
      </w:r>
      <w:r w:rsidR="005211F6" w:rsidRPr="00517F46">
        <w:rPr>
          <w:rFonts w:ascii="Arial" w:hAnsi="Arial" w:cs="Arial"/>
        </w:rPr>
        <w:t xml:space="preserve">fifth respondent (the </w:t>
      </w:r>
      <w:r w:rsidR="00A141B4" w:rsidRPr="00517F46">
        <w:rPr>
          <w:rFonts w:ascii="Arial" w:hAnsi="Arial" w:cs="Arial"/>
        </w:rPr>
        <w:t>Provincial Treasury</w:t>
      </w:r>
      <w:r w:rsidR="005211F6" w:rsidRPr="00517F46">
        <w:rPr>
          <w:rFonts w:ascii="Arial" w:hAnsi="Arial" w:cs="Arial"/>
        </w:rPr>
        <w:t>); and</w:t>
      </w:r>
      <w:r w:rsidR="00A141B4" w:rsidRPr="00517F46">
        <w:rPr>
          <w:rFonts w:ascii="Arial" w:hAnsi="Arial" w:cs="Arial"/>
        </w:rPr>
        <w:t xml:space="preserve"> </w:t>
      </w:r>
      <w:r w:rsidR="005211F6" w:rsidRPr="00517F46">
        <w:rPr>
          <w:rFonts w:ascii="Arial" w:hAnsi="Arial" w:cs="Arial"/>
        </w:rPr>
        <w:t xml:space="preserve">records relating to </w:t>
      </w:r>
      <w:r w:rsidR="00A141B4" w:rsidRPr="00517F46">
        <w:rPr>
          <w:rFonts w:ascii="Arial" w:hAnsi="Arial" w:cs="Arial"/>
        </w:rPr>
        <w:t>her unsuccessful applications for the post</w:t>
      </w:r>
      <w:r w:rsidR="005211F6" w:rsidRPr="00517F46">
        <w:rPr>
          <w:rFonts w:ascii="Arial" w:hAnsi="Arial" w:cs="Arial"/>
        </w:rPr>
        <w:t>s</w:t>
      </w:r>
      <w:r w:rsidR="00A141B4" w:rsidRPr="00517F46">
        <w:rPr>
          <w:rFonts w:ascii="Arial" w:hAnsi="Arial" w:cs="Arial"/>
        </w:rPr>
        <w:t xml:space="preserve"> of head of</w:t>
      </w:r>
      <w:r w:rsidR="00B633B7" w:rsidRPr="00517F46">
        <w:rPr>
          <w:rFonts w:ascii="Arial" w:hAnsi="Arial" w:cs="Arial"/>
        </w:rPr>
        <w:t xml:space="preserve"> </w:t>
      </w:r>
      <w:r w:rsidR="00E80928" w:rsidRPr="00517F46">
        <w:rPr>
          <w:rFonts w:ascii="Arial" w:hAnsi="Arial" w:cs="Arial"/>
        </w:rPr>
        <w:t xml:space="preserve">the </w:t>
      </w:r>
      <w:r w:rsidR="00B633B7" w:rsidRPr="00517F46">
        <w:rPr>
          <w:rFonts w:ascii="Arial" w:hAnsi="Arial" w:cs="Arial"/>
        </w:rPr>
        <w:t>Department of Social Development</w:t>
      </w:r>
      <w:r w:rsidR="00E80928" w:rsidRPr="00517F46">
        <w:rPr>
          <w:rFonts w:ascii="Arial" w:hAnsi="Arial" w:cs="Arial"/>
        </w:rPr>
        <w:t>,</w:t>
      </w:r>
      <w:r w:rsidR="00B633B7" w:rsidRPr="00517F46">
        <w:rPr>
          <w:rFonts w:ascii="Arial" w:hAnsi="Arial" w:cs="Arial"/>
        </w:rPr>
        <w:t xml:space="preserve"> </w:t>
      </w:r>
      <w:r w:rsidR="00A141B4" w:rsidRPr="00517F46">
        <w:rPr>
          <w:rFonts w:ascii="Arial" w:hAnsi="Arial" w:cs="Arial"/>
        </w:rPr>
        <w:t xml:space="preserve">and </w:t>
      </w:r>
      <w:r w:rsidR="0027352F" w:rsidRPr="00517F46">
        <w:rPr>
          <w:rFonts w:ascii="Arial" w:hAnsi="Arial" w:cs="Arial"/>
        </w:rPr>
        <w:t xml:space="preserve">of the </w:t>
      </w:r>
      <w:r w:rsidR="005211F6" w:rsidRPr="00517F46">
        <w:rPr>
          <w:rFonts w:ascii="Arial" w:hAnsi="Arial" w:cs="Arial"/>
        </w:rPr>
        <w:t xml:space="preserve">fourth respondent </w:t>
      </w:r>
      <w:r w:rsidR="008732F9" w:rsidRPr="00517F46">
        <w:rPr>
          <w:rFonts w:ascii="Arial" w:hAnsi="Arial" w:cs="Arial"/>
        </w:rPr>
        <w:t>(</w:t>
      </w:r>
      <w:r w:rsidR="005211F6" w:rsidRPr="00517F46">
        <w:rPr>
          <w:rFonts w:ascii="Arial" w:hAnsi="Arial" w:cs="Arial"/>
        </w:rPr>
        <w:t xml:space="preserve">the Department of </w:t>
      </w:r>
      <w:r w:rsidR="00A141B4" w:rsidRPr="00517F46">
        <w:rPr>
          <w:rFonts w:ascii="Arial" w:hAnsi="Arial" w:cs="Arial"/>
        </w:rPr>
        <w:t>Transport</w:t>
      </w:r>
      <w:r w:rsidR="008732F9" w:rsidRPr="00517F46">
        <w:rPr>
          <w:rFonts w:ascii="Arial" w:hAnsi="Arial" w:cs="Arial"/>
        </w:rPr>
        <w:t>)</w:t>
      </w:r>
      <w:r w:rsidR="00A141B4" w:rsidRPr="00517F46">
        <w:rPr>
          <w:rFonts w:ascii="Arial" w:hAnsi="Arial" w:cs="Arial"/>
        </w:rPr>
        <w:t xml:space="preserve">.  </w:t>
      </w:r>
    </w:p>
    <w:p w:rsidR="009F61BB" w:rsidRPr="00DE4FBB" w:rsidRDefault="009F61BB" w:rsidP="006B7081">
      <w:pPr>
        <w:pStyle w:val="ListParagraph"/>
        <w:spacing w:line="360" w:lineRule="auto"/>
        <w:rPr>
          <w:rFonts w:ascii="Arial" w:hAnsi="Arial" w:cs="Arial"/>
        </w:rPr>
      </w:pPr>
    </w:p>
    <w:p w:rsidR="009F61BB"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[6]</w:t>
      </w:r>
      <w:r w:rsidRPr="00DE4FBB">
        <w:rPr>
          <w:rFonts w:ascii="Arial" w:hAnsi="Arial" w:cs="Arial"/>
        </w:rPr>
        <w:tab/>
      </w:r>
      <w:r w:rsidR="00D30DAA" w:rsidRPr="00517F46">
        <w:rPr>
          <w:rFonts w:ascii="Arial" w:hAnsi="Arial" w:cs="Arial"/>
        </w:rPr>
        <w:t>T</w:t>
      </w:r>
      <w:r w:rsidR="00EF1409" w:rsidRPr="00517F46">
        <w:rPr>
          <w:rFonts w:ascii="Arial" w:hAnsi="Arial" w:cs="Arial"/>
        </w:rPr>
        <w:t xml:space="preserve">he present application follows a </w:t>
      </w:r>
      <w:r w:rsidR="005211F6" w:rsidRPr="00517F46">
        <w:rPr>
          <w:rFonts w:ascii="Arial" w:hAnsi="Arial" w:cs="Arial"/>
        </w:rPr>
        <w:t xml:space="preserve">largely unsuccessful </w:t>
      </w:r>
      <w:r w:rsidR="00EF1409" w:rsidRPr="00517F46">
        <w:rPr>
          <w:rFonts w:ascii="Arial" w:hAnsi="Arial" w:cs="Arial"/>
        </w:rPr>
        <w:t xml:space="preserve">request </w:t>
      </w:r>
      <w:r w:rsidR="00BF255C" w:rsidRPr="00517F46">
        <w:rPr>
          <w:rFonts w:ascii="Arial" w:hAnsi="Arial" w:cs="Arial"/>
        </w:rPr>
        <w:t xml:space="preserve">for access to information </w:t>
      </w:r>
      <w:r w:rsidR="005211F6" w:rsidRPr="00517F46">
        <w:rPr>
          <w:rFonts w:ascii="Arial" w:hAnsi="Arial" w:cs="Arial"/>
        </w:rPr>
        <w:t xml:space="preserve">made to </w:t>
      </w:r>
      <w:r w:rsidR="00EF1409" w:rsidRPr="00517F46">
        <w:rPr>
          <w:rFonts w:ascii="Arial" w:hAnsi="Arial" w:cs="Arial"/>
        </w:rPr>
        <w:t xml:space="preserve">the first respondent </w:t>
      </w:r>
      <w:r w:rsidR="00410D19" w:rsidRPr="00517F46">
        <w:rPr>
          <w:rFonts w:ascii="Arial" w:hAnsi="Arial" w:cs="Arial"/>
        </w:rPr>
        <w:t xml:space="preserve">(the Director-General) </w:t>
      </w:r>
      <w:r w:rsidR="00EA32E5" w:rsidRPr="00517F46">
        <w:rPr>
          <w:rFonts w:ascii="Arial" w:hAnsi="Arial" w:cs="Arial"/>
        </w:rPr>
        <w:t>in h</w:t>
      </w:r>
      <w:r w:rsidR="0078380C" w:rsidRPr="00517F46">
        <w:rPr>
          <w:rFonts w:ascii="Arial" w:hAnsi="Arial" w:cs="Arial"/>
        </w:rPr>
        <w:t>er</w:t>
      </w:r>
      <w:r w:rsidR="00EA32E5" w:rsidRPr="00517F46">
        <w:rPr>
          <w:rFonts w:ascii="Arial" w:hAnsi="Arial" w:cs="Arial"/>
        </w:rPr>
        <w:t xml:space="preserve"> capacity as </w:t>
      </w:r>
      <w:r w:rsidR="00D30DAA" w:rsidRPr="00517F46">
        <w:rPr>
          <w:rFonts w:ascii="Arial" w:hAnsi="Arial" w:cs="Arial"/>
        </w:rPr>
        <w:t>t</w:t>
      </w:r>
      <w:r w:rsidR="00EF1409" w:rsidRPr="00517F46">
        <w:rPr>
          <w:rFonts w:ascii="Arial" w:hAnsi="Arial" w:cs="Arial"/>
        </w:rPr>
        <w:t xml:space="preserve">he </w:t>
      </w:r>
      <w:r w:rsidR="00D30DAA" w:rsidRPr="00517F46">
        <w:rPr>
          <w:rFonts w:ascii="Arial" w:hAnsi="Arial" w:cs="Arial"/>
        </w:rPr>
        <w:t>I</w:t>
      </w:r>
      <w:r w:rsidR="00EF1409" w:rsidRPr="00517F46">
        <w:rPr>
          <w:rFonts w:ascii="Arial" w:hAnsi="Arial" w:cs="Arial"/>
        </w:rPr>
        <w:t xml:space="preserve">nformation </w:t>
      </w:r>
      <w:r w:rsidR="00D30DAA" w:rsidRPr="00517F46">
        <w:rPr>
          <w:rFonts w:ascii="Arial" w:hAnsi="Arial" w:cs="Arial"/>
        </w:rPr>
        <w:t>O</w:t>
      </w:r>
      <w:r w:rsidR="00EF1409" w:rsidRPr="00517F46">
        <w:rPr>
          <w:rFonts w:ascii="Arial" w:hAnsi="Arial" w:cs="Arial"/>
        </w:rPr>
        <w:t xml:space="preserve">fficer </w:t>
      </w:r>
      <w:r w:rsidR="006D5E45" w:rsidRPr="00517F46">
        <w:rPr>
          <w:rFonts w:ascii="Arial" w:hAnsi="Arial" w:cs="Arial"/>
        </w:rPr>
        <w:t xml:space="preserve">in the office of </w:t>
      </w:r>
      <w:r w:rsidR="00F82017" w:rsidRPr="00517F46">
        <w:rPr>
          <w:rFonts w:ascii="Arial" w:hAnsi="Arial" w:cs="Arial"/>
        </w:rPr>
        <w:t>the Premier</w:t>
      </w:r>
      <w:r w:rsidR="00BF255C" w:rsidRPr="00517F46">
        <w:rPr>
          <w:rFonts w:ascii="Arial" w:hAnsi="Arial" w:cs="Arial"/>
        </w:rPr>
        <w:t>,</w:t>
      </w:r>
      <w:r w:rsidR="00EF1409" w:rsidRPr="00517F46">
        <w:rPr>
          <w:rFonts w:ascii="Arial" w:hAnsi="Arial" w:cs="Arial"/>
        </w:rPr>
        <w:t xml:space="preserve"> and </w:t>
      </w:r>
      <w:r w:rsidR="005211F6" w:rsidRPr="00517F46">
        <w:rPr>
          <w:rFonts w:ascii="Arial" w:hAnsi="Arial" w:cs="Arial"/>
        </w:rPr>
        <w:t xml:space="preserve">the </w:t>
      </w:r>
      <w:r w:rsidR="006D5E45" w:rsidRPr="00517F46">
        <w:rPr>
          <w:rFonts w:ascii="Arial" w:hAnsi="Arial" w:cs="Arial"/>
        </w:rPr>
        <w:t xml:space="preserve">Premier’s </w:t>
      </w:r>
      <w:r w:rsidR="005211F6" w:rsidRPr="00517F46">
        <w:rPr>
          <w:rFonts w:ascii="Arial" w:hAnsi="Arial" w:cs="Arial"/>
        </w:rPr>
        <w:t xml:space="preserve">dismissal of </w:t>
      </w:r>
      <w:r w:rsidR="0078380C" w:rsidRPr="00517F46">
        <w:rPr>
          <w:rFonts w:ascii="Arial" w:hAnsi="Arial" w:cs="Arial"/>
        </w:rPr>
        <w:t>an</w:t>
      </w:r>
      <w:r w:rsidR="005211F6" w:rsidRPr="00517F46">
        <w:rPr>
          <w:rFonts w:ascii="Arial" w:hAnsi="Arial" w:cs="Arial"/>
        </w:rPr>
        <w:t xml:space="preserve"> </w:t>
      </w:r>
      <w:r w:rsidR="00EF1409" w:rsidRPr="00517F46">
        <w:rPr>
          <w:rFonts w:ascii="Arial" w:hAnsi="Arial" w:cs="Arial"/>
        </w:rPr>
        <w:t>appeal</w:t>
      </w:r>
      <w:r w:rsidR="00BF255C" w:rsidRPr="00517F46">
        <w:rPr>
          <w:rFonts w:ascii="Arial" w:hAnsi="Arial" w:cs="Arial"/>
        </w:rPr>
        <w:t xml:space="preserve"> </w:t>
      </w:r>
      <w:r w:rsidR="006D5E45" w:rsidRPr="00517F46">
        <w:rPr>
          <w:rFonts w:ascii="Arial" w:hAnsi="Arial" w:cs="Arial"/>
        </w:rPr>
        <w:t xml:space="preserve">against the Director-General’s refusal </w:t>
      </w:r>
      <w:r w:rsidR="00BF255C" w:rsidRPr="00517F46">
        <w:rPr>
          <w:rFonts w:ascii="Arial" w:hAnsi="Arial" w:cs="Arial"/>
        </w:rPr>
        <w:t>to provide most of the information requested</w:t>
      </w:r>
      <w:r w:rsidR="0027352F" w:rsidRPr="00517F46">
        <w:rPr>
          <w:rFonts w:ascii="Arial" w:hAnsi="Arial" w:cs="Arial"/>
        </w:rPr>
        <w:t>.</w:t>
      </w:r>
      <w:r w:rsidR="00BF255C" w:rsidRPr="00517F46">
        <w:rPr>
          <w:rFonts w:ascii="Arial" w:hAnsi="Arial" w:cs="Arial"/>
        </w:rPr>
        <w:t xml:space="preserve"> </w:t>
      </w:r>
    </w:p>
    <w:p w:rsidR="0027352F" w:rsidRPr="00DE4FBB" w:rsidRDefault="0027352F" w:rsidP="006B7081">
      <w:pPr>
        <w:autoSpaceDE w:val="0"/>
        <w:autoSpaceDN w:val="0"/>
        <w:adjustRightInd w:val="0"/>
        <w:spacing w:line="360" w:lineRule="auto"/>
        <w:jc w:val="both"/>
        <w:rPr>
          <w:rFonts w:ascii="Arial" w:hAnsi="Arial" w:cs="Arial"/>
        </w:rPr>
      </w:pPr>
    </w:p>
    <w:p w:rsidR="006D5E45"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[7]</w:t>
      </w:r>
      <w:r w:rsidRPr="00DE4FBB">
        <w:rPr>
          <w:rFonts w:ascii="Arial" w:hAnsi="Arial" w:cs="Arial"/>
        </w:rPr>
        <w:tab/>
      </w:r>
      <w:r w:rsidR="00410D19" w:rsidRPr="00517F46">
        <w:rPr>
          <w:rFonts w:ascii="Arial" w:hAnsi="Arial" w:cs="Arial"/>
        </w:rPr>
        <w:t xml:space="preserve">The Department of Social Development made common cause with the Director-General and the Premier in </w:t>
      </w:r>
      <w:r w:rsidR="0027352F" w:rsidRPr="00517F46">
        <w:rPr>
          <w:rFonts w:ascii="Arial" w:hAnsi="Arial" w:cs="Arial"/>
        </w:rPr>
        <w:t xml:space="preserve">opposing the application and persisting in </w:t>
      </w:r>
      <w:r w:rsidR="00391C4D" w:rsidRPr="00517F46">
        <w:rPr>
          <w:rFonts w:ascii="Arial" w:hAnsi="Arial" w:cs="Arial"/>
        </w:rPr>
        <w:t>re</w:t>
      </w:r>
      <w:r w:rsidR="0027352F" w:rsidRPr="00517F46">
        <w:rPr>
          <w:rFonts w:ascii="Arial" w:hAnsi="Arial" w:cs="Arial"/>
        </w:rPr>
        <w:t>fusing</w:t>
      </w:r>
      <w:r w:rsidR="00391C4D" w:rsidRPr="00517F46">
        <w:rPr>
          <w:rFonts w:ascii="Arial" w:hAnsi="Arial" w:cs="Arial"/>
        </w:rPr>
        <w:t xml:space="preserve"> access on various grounds. </w:t>
      </w:r>
      <w:r w:rsidR="00257EC2" w:rsidRPr="00517F46">
        <w:rPr>
          <w:rFonts w:ascii="Arial" w:hAnsi="Arial" w:cs="Arial"/>
        </w:rPr>
        <w:t xml:space="preserve">The </w:t>
      </w:r>
      <w:r w:rsidR="00410D19" w:rsidRPr="00517F46">
        <w:rPr>
          <w:rFonts w:ascii="Arial" w:hAnsi="Arial" w:cs="Arial"/>
        </w:rPr>
        <w:t>Department of Transport</w:t>
      </w:r>
      <w:r w:rsidR="00257EC2" w:rsidRPr="00517F46">
        <w:rPr>
          <w:rFonts w:ascii="Arial" w:hAnsi="Arial" w:cs="Arial"/>
        </w:rPr>
        <w:t xml:space="preserve"> </w:t>
      </w:r>
      <w:r w:rsidR="0027352F" w:rsidRPr="00517F46">
        <w:rPr>
          <w:rFonts w:ascii="Arial" w:hAnsi="Arial" w:cs="Arial"/>
        </w:rPr>
        <w:t>did</w:t>
      </w:r>
      <w:r w:rsidR="00257EC2" w:rsidRPr="00517F46">
        <w:rPr>
          <w:rFonts w:ascii="Arial" w:hAnsi="Arial" w:cs="Arial"/>
        </w:rPr>
        <w:t xml:space="preserve"> not </w:t>
      </w:r>
      <w:r w:rsidR="00F82017" w:rsidRPr="00517F46">
        <w:rPr>
          <w:rFonts w:ascii="Arial" w:hAnsi="Arial" w:cs="Arial"/>
        </w:rPr>
        <w:t xml:space="preserve">file a notice to </w:t>
      </w:r>
      <w:r w:rsidR="00257EC2" w:rsidRPr="00517F46">
        <w:rPr>
          <w:rFonts w:ascii="Arial" w:hAnsi="Arial" w:cs="Arial"/>
        </w:rPr>
        <w:t>oppose</w:t>
      </w:r>
      <w:r w:rsidR="00597F90" w:rsidRPr="00517F46">
        <w:rPr>
          <w:rFonts w:ascii="Arial" w:hAnsi="Arial" w:cs="Arial"/>
        </w:rPr>
        <w:t xml:space="preserve">. The Provincial Treasury </w:t>
      </w:r>
      <w:r w:rsidR="00E80928" w:rsidRPr="00517F46">
        <w:rPr>
          <w:rFonts w:ascii="Arial" w:hAnsi="Arial" w:cs="Arial"/>
        </w:rPr>
        <w:t xml:space="preserve">did, but </w:t>
      </w:r>
      <w:r w:rsidR="00597F90" w:rsidRPr="00517F46">
        <w:rPr>
          <w:rFonts w:ascii="Arial" w:hAnsi="Arial" w:cs="Arial"/>
        </w:rPr>
        <w:t xml:space="preserve">thereafter </w:t>
      </w:r>
      <w:r w:rsidR="00E80928" w:rsidRPr="00517F46">
        <w:rPr>
          <w:rFonts w:ascii="Arial" w:hAnsi="Arial" w:cs="Arial"/>
        </w:rPr>
        <w:t xml:space="preserve">failed to </w:t>
      </w:r>
      <w:r w:rsidR="00597F90" w:rsidRPr="00517F46">
        <w:rPr>
          <w:rFonts w:ascii="Arial" w:hAnsi="Arial" w:cs="Arial"/>
        </w:rPr>
        <w:t>file an answering affidavit</w:t>
      </w:r>
      <w:r w:rsidR="00E80928" w:rsidRPr="00517F46">
        <w:rPr>
          <w:rFonts w:ascii="Arial" w:hAnsi="Arial" w:cs="Arial"/>
        </w:rPr>
        <w:t>,</w:t>
      </w:r>
      <w:r w:rsidR="00597F90" w:rsidRPr="00517F46">
        <w:rPr>
          <w:rFonts w:ascii="Arial" w:hAnsi="Arial" w:cs="Arial"/>
        </w:rPr>
        <w:t xml:space="preserve"> despite a court order directing the first to third and fifth respondents to file their answering affidavits by a specified date. </w:t>
      </w:r>
    </w:p>
    <w:p w:rsidR="006D5E45" w:rsidRPr="00DE4FBB" w:rsidRDefault="006D5E45" w:rsidP="006B7081">
      <w:pPr>
        <w:pStyle w:val="ListParagraph"/>
        <w:spacing w:line="360" w:lineRule="auto"/>
        <w:rPr>
          <w:rFonts w:ascii="Arial" w:hAnsi="Arial" w:cs="Arial"/>
        </w:rPr>
      </w:pPr>
    </w:p>
    <w:p w:rsidR="002B5E39"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[8]</w:t>
      </w:r>
      <w:r w:rsidRPr="00DE4FBB">
        <w:rPr>
          <w:rFonts w:ascii="Arial" w:hAnsi="Arial" w:cs="Arial"/>
        </w:rPr>
        <w:tab/>
      </w:r>
      <w:r w:rsidR="00597F90" w:rsidRPr="00517F46">
        <w:rPr>
          <w:rFonts w:ascii="Arial" w:hAnsi="Arial" w:cs="Arial"/>
        </w:rPr>
        <w:t xml:space="preserve">This does not however mean that the application insofar as it pertains to the records of the Department of Transport and the Provincial Treasury is </w:t>
      </w:r>
      <w:r w:rsidR="0078380C" w:rsidRPr="00517F46">
        <w:rPr>
          <w:rFonts w:ascii="Arial" w:hAnsi="Arial" w:cs="Arial"/>
        </w:rPr>
        <w:t>un</w:t>
      </w:r>
      <w:r w:rsidR="00597F90" w:rsidRPr="00517F46">
        <w:rPr>
          <w:rFonts w:ascii="Arial" w:hAnsi="Arial" w:cs="Arial"/>
        </w:rPr>
        <w:t>contested. Although the Department of Transport and the Provincial Treasury did not participate directly in this application, the Director-General and the Premier dealt with all the requests for information, including those relating to the records of the</w:t>
      </w:r>
      <w:r w:rsidR="006D5E45" w:rsidRPr="00517F46">
        <w:rPr>
          <w:rFonts w:ascii="Arial" w:hAnsi="Arial" w:cs="Arial"/>
        </w:rPr>
        <w:t xml:space="preserve"> </w:t>
      </w:r>
      <w:r w:rsidR="00B633B7" w:rsidRPr="00517F46">
        <w:rPr>
          <w:rFonts w:ascii="Arial" w:hAnsi="Arial" w:cs="Arial"/>
        </w:rPr>
        <w:t>fourth and fifth respondents</w:t>
      </w:r>
      <w:r w:rsidR="006D5E45" w:rsidRPr="00517F46">
        <w:rPr>
          <w:rFonts w:ascii="Arial" w:hAnsi="Arial" w:cs="Arial"/>
        </w:rPr>
        <w:t xml:space="preserve">. </w:t>
      </w:r>
      <w:r w:rsidR="0078380C" w:rsidRPr="00517F46">
        <w:rPr>
          <w:rFonts w:ascii="Arial" w:hAnsi="Arial" w:cs="Arial"/>
        </w:rPr>
        <w:t xml:space="preserve">The answering affidavit is attested to on behalf of the first to third respondents, but </w:t>
      </w:r>
      <w:r w:rsidR="00977819" w:rsidRPr="00517F46">
        <w:rPr>
          <w:rFonts w:ascii="Arial" w:hAnsi="Arial" w:cs="Arial"/>
        </w:rPr>
        <w:t xml:space="preserve">resists disclosure of </w:t>
      </w:r>
      <w:r w:rsidR="0078380C" w:rsidRPr="00517F46">
        <w:rPr>
          <w:rFonts w:ascii="Arial" w:hAnsi="Arial" w:cs="Arial"/>
        </w:rPr>
        <w:t>all the categories of information</w:t>
      </w:r>
      <w:r w:rsidR="00977819" w:rsidRPr="00517F46">
        <w:rPr>
          <w:rFonts w:ascii="Arial" w:hAnsi="Arial" w:cs="Arial"/>
        </w:rPr>
        <w:t xml:space="preserve">. </w:t>
      </w:r>
      <w:r w:rsidR="00597F90" w:rsidRPr="00517F46">
        <w:rPr>
          <w:rFonts w:ascii="Arial" w:hAnsi="Arial" w:cs="Arial"/>
        </w:rPr>
        <w:t xml:space="preserve">I therefore regard the exemptions from disclosure which have been relied on by the first to third respondents as being </w:t>
      </w:r>
      <w:r w:rsidR="00E80928" w:rsidRPr="00517F46">
        <w:rPr>
          <w:rFonts w:ascii="Arial" w:hAnsi="Arial" w:cs="Arial"/>
        </w:rPr>
        <w:t>invoked</w:t>
      </w:r>
      <w:r w:rsidR="00597F90" w:rsidRPr="00517F46">
        <w:rPr>
          <w:rFonts w:ascii="Arial" w:hAnsi="Arial" w:cs="Arial"/>
        </w:rPr>
        <w:t xml:space="preserve"> </w:t>
      </w:r>
      <w:r w:rsidR="00977819" w:rsidRPr="00517F46">
        <w:rPr>
          <w:rFonts w:ascii="Arial" w:hAnsi="Arial" w:cs="Arial"/>
        </w:rPr>
        <w:t xml:space="preserve">also </w:t>
      </w:r>
      <w:r w:rsidR="00597F90" w:rsidRPr="00517F46">
        <w:rPr>
          <w:rFonts w:ascii="Arial" w:hAnsi="Arial" w:cs="Arial"/>
        </w:rPr>
        <w:t>on behalf of the fourth and fifth respondents</w:t>
      </w:r>
      <w:r w:rsidR="00F82017" w:rsidRPr="00517F46">
        <w:rPr>
          <w:rFonts w:ascii="Arial" w:hAnsi="Arial" w:cs="Arial"/>
        </w:rPr>
        <w:t xml:space="preserve"> insofar as the latter’s records are concerned</w:t>
      </w:r>
      <w:r w:rsidR="00597F90" w:rsidRPr="00517F46">
        <w:rPr>
          <w:rFonts w:ascii="Arial" w:hAnsi="Arial" w:cs="Arial"/>
        </w:rPr>
        <w:t xml:space="preserve">. I consequently refer to the first to fifth respondents as </w:t>
      </w:r>
      <w:r w:rsidR="00B633B7" w:rsidRPr="00517F46">
        <w:rPr>
          <w:rFonts w:ascii="Arial" w:hAnsi="Arial" w:cs="Arial"/>
        </w:rPr>
        <w:t>‘</w:t>
      </w:r>
      <w:r w:rsidR="00597F90" w:rsidRPr="00517F46">
        <w:rPr>
          <w:rFonts w:ascii="Arial" w:hAnsi="Arial" w:cs="Arial"/>
        </w:rPr>
        <w:t>the respondents</w:t>
      </w:r>
      <w:r w:rsidR="00B633B7" w:rsidRPr="00517F46">
        <w:rPr>
          <w:rFonts w:ascii="Arial" w:hAnsi="Arial" w:cs="Arial"/>
        </w:rPr>
        <w:t>’</w:t>
      </w:r>
      <w:r w:rsidR="00597F90" w:rsidRPr="00517F46">
        <w:rPr>
          <w:rFonts w:ascii="Arial" w:hAnsi="Arial" w:cs="Arial"/>
        </w:rPr>
        <w:t xml:space="preserve"> unless the context requires differentiation.</w:t>
      </w:r>
    </w:p>
    <w:p w:rsidR="00F95866" w:rsidRPr="00DE4FBB" w:rsidRDefault="00F95866" w:rsidP="006B7081">
      <w:pPr>
        <w:spacing w:line="360" w:lineRule="auto"/>
        <w:rPr>
          <w:rFonts w:ascii="Arial" w:hAnsi="Arial" w:cs="Arial"/>
        </w:rPr>
      </w:pPr>
    </w:p>
    <w:p w:rsidR="00E60BC7"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[9]</w:t>
      </w:r>
      <w:r w:rsidRPr="00DE4FBB">
        <w:rPr>
          <w:rFonts w:ascii="Arial" w:hAnsi="Arial" w:cs="Arial"/>
        </w:rPr>
        <w:tab/>
      </w:r>
      <w:r w:rsidR="00E60BC7" w:rsidRPr="00517F46">
        <w:rPr>
          <w:rFonts w:ascii="Arial" w:hAnsi="Arial" w:cs="Arial"/>
        </w:rPr>
        <w:t xml:space="preserve">Given the scheme of PAIA set out above, it will be apparent that the issue in this application is whether the respondents have discharged the burden of </w:t>
      </w:r>
      <w:r w:rsidR="00E60BC7" w:rsidRPr="00517F46">
        <w:rPr>
          <w:rFonts w:ascii="Arial" w:hAnsi="Arial" w:cs="Arial"/>
        </w:rPr>
        <w:lastRenderedPageBreak/>
        <w:t xml:space="preserve">establishing that their refusal of the requests complies with the provisions of PAIA on which they rely. </w:t>
      </w:r>
    </w:p>
    <w:p w:rsidR="009F61BB" w:rsidRPr="00DE4FBB" w:rsidRDefault="009F61BB" w:rsidP="006B7081">
      <w:pPr>
        <w:pStyle w:val="ListParagraph"/>
        <w:spacing w:line="360" w:lineRule="auto"/>
        <w:rPr>
          <w:rFonts w:ascii="Arial" w:hAnsi="Arial" w:cs="Arial"/>
        </w:rPr>
      </w:pPr>
    </w:p>
    <w:p w:rsidR="00EF1409"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[10]</w:t>
      </w:r>
      <w:r w:rsidRPr="00DE4FBB">
        <w:rPr>
          <w:rFonts w:ascii="Arial" w:hAnsi="Arial" w:cs="Arial"/>
        </w:rPr>
        <w:tab/>
      </w:r>
      <w:r w:rsidR="00257EC2" w:rsidRPr="00517F46">
        <w:rPr>
          <w:rFonts w:ascii="Arial" w:hAnsi="Arial" w:cs="Arial"/>
        </w:rPr>
        <w:t>A summary</w:t>
      </w:r>
      <w:r w:rsidR="00EF1409" w:rsidRPr="00517F46">
        <w:rPr>
          <w:rFonts w:ascii="Arial" w:hAnsi="Arial" w:cs="Arial"/>
        </w:rPr>
        <w:t xml:space="preserve"> of the factual context within which the application arises is necessary properly </w:t>
      </w:r>
      <w:r w:rsidR="00BF255C" w:rsidRPr="00517F46">
        <w:rPr>
          <w:rFonts w:ascii="Arial" w:hAnsi="Arial" w:cs="Arial"/>
        </w:rPr>
        <w:t xml:space="preserve">to </w:t>
      </w:r>
      <w:r w:rsidR="001C2756" w:rsidRPr="00517F46">
        <w:rPr>
          <w:rFonts w:ascii="Arial" w:hAnsi="Arial" w:cs="Arial"/>
        </w:rPr>
        <w:t xml:space="preserve">frame </w:t>
      </w:r>
      <w:r w:rsidR="00EF1409" w:rsidRPr="00517F46">
        <w:rPr>
          <w:rFonts w:ascii="Arial" w:hAnsi="Arial" w:cs="Arial"/>
        </w:rPr>
        <w:t>the issue engaged.</w:t>
      </w:r>
      <w:r w:rsidR="00BF255C" w:rsidRPr="00517F46">
        <w:rPr>
          <w:rFonts w:ascii="Arial" w:hAnsi="Arial" w:cs="Arial"/>
        </w:rPr>
        <w:t xml:space="preserve"> The </w:t>
      </w:r>
      <w:r w:rsidR="0049672E" w:rsidRPr="00517F46">
        <w:rPr>
          <w:rFonts w:ascii="Arial" w:hAnsi="Arial" w:cs="Arial"/>
        </w:rPr>
        <w:t>exposition</w:t>
      </w:r>
      <w:r w:rsidR="00BF255C" w:rsidRPr="00517F46">
        <w:rPr>
          <w:rFonts w:ascii="Arial" w:hAnsi="Arial" w:cs="Arial"/>
        </w:rPr>
        <w:t xml:space="preserve"> of the relevant facts which follows is common cause unless otherwise indicated. </w:t>
      </w:r>
    </w:p>
    <w:p w:rsidR="00FB1929" w:rsidRPr="00DE4FBB" w:rsidRDefault="00FB1929" w:rsidP="006B7081">
      <w:pPr>
        <w:pStyle w:val="ListParagraph"/>
        <w:spacing w:line="360" w:lineRule="auto"/>
        <w:rPr>
          <w:rFonts w:ascii="Arial" w:hAnsi="Arial" w:cs="Arial"/>
        </w:rPr>
      </w:pPr>
    </w:p>
    <w:p w:rsidR="00391C4D" w:rsidRPr="00DE4FBB" w:rsidRDefault="00391C4D" w:rsidP="006B7081">
      <w:pPr>
        <w:autoSpaceDE w:val="0"/>
        <w:autoSpaceDN w:val="0"/>
        <w:adjustRightInd w:val="0"/>
        <w:spacing w:line="360" w:lineRule="auto"/>
        <w:jc w:val="both"/>
        <w:rPr>
          <w:rFonts w:ascii="Arial" w:hAnsi="Arial" w:cs="Arial"/>
        </w:rPr>
      </w:pPr>
      <w:r w:rsidRPr="00DE4FBB">
        <w:rPr>
          <w:rFonts w:ascii="Arial" w:hAnsi="Arial" w:cs="Arial"/>
          <w:b/>
          <w:bCs/>
        </w:rPr>
        <w:t>The facts</w:t>
      </w:r>
    </w:p>
    <w:p w:rsidR="00FB1929" w:rsidRPr="00DE4FBB" w:rsidRDefault="00FB1929" w:rsidP="006B7081">
      <w:pPr>
        <w:pStyle w:val="ListParagraph"/>
        <w:spacing w:line="360" w:lineRule="auto"/>
        <w:rPr>
          <w:rFonts w:ascii="Arial" w:hAnsi="Arial" w:cs="Arial"/>
        </w:rPr>
      </w:pPr>
    </w:p>
    <w:p w:rsidR="00391C4D"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[11]</w:t>
      </w:r>
      <w:r w:rsidRPr="00DE4FBB">
        <w:rPr>
          <w:rFonts w:ascii="Arial" w:hAnsi="Arial" w:cs="Arial"/>
        </w:rPr>
        <w:tab/>
      </w:r>
      <w:r w:rsidR="00EF1409" w:rsidRPr="00517F46">
        <w:rPr>
          <w:rFonts w:ascii="Arial" w:hAnsi="Arial" w:cs="Arial"/>
        </w:rPr>
        <w:t xml:space="preserve">The applicant was </w:t>
      </w:r>
      <w:r w:rsidR="00391C4D" w:rsidRPr="00517F46">
        <w:rPr>
          <w:rFonts w:ascii="Arial" w:hAnsi="Arial" w:cs="Arial"/>
        </w:rPr>
        <w:t xml:space="preserve">appointed </w:t>
      </w:r>
      <w:r w:rsidR="00EF1409" w:rsidRPr="00517F46">
        <w:rPr>
          <w:rFonts w:ascii="Arial" w:hAnsi="Arial" w:cs="Arial"/>
        </w:rPr>
        <w:t xml:space="preserve">as </w:t>
      </w:r>
      <w:r w:rsidR="00FD4CA2" w:rsidRPr="00517F46">
        <w:rPr>
          <w:rFonts w:ascii="Arial" w:hAnsi="Arial" w:cs="Arial"/>
        </w:rPr>
        <w:t>H</w:t>
      </w:r>
      <w:r w:rsidR="00F82017" w:rsidRPr="00517F46">
        <w:rPr>
          <w:rFonts w:ascii="Arial" w:hAnsi="Arial" w:cs="Arial"/>
        </w:rPr>
        <w:t>ead</w:t>
      </w:r>
      <w:r w:rsidR="0004557C" w:rsidRPr="00517F46">
        <w:rPr>
          <w:rFonts w:ascii="Arial" w:hAnsi="Arial" w:cs="Arial"/>
        </w:rPr>
        <w:t xml:space="preserve"> </w:t>
      </w:r>
      <w:r w:rsidR="00EF1409" w:rsidRPr="00517F46">
        <w:rPr>
          <w:rFonts w:ascii="Arial" w:hAnsi="Arial" w:cs="Arial"/>
        </w:rPr>
        <w:t xml:space="preserve">of the Department of </w:t>
      </w:r>
      <w:r w:rsidR="003D1161" w:rsidRPr="00517F46">
        <w:rPr>
          <w:rFonts w:ascii="Arial" w:hAnsi="Arial" w:cs="Arial"/>
        </w:rPr>
        <w:t>S</w:t>
      </w:r>
      <w:r w:rsidR="00EF1409" w:rsidRPr="00517F46">
        <w:rPr>
          <w:rFonts w:ascii="Arial" w:hAnsi="Arial" w:cs="Arial"/>
        </w:rPr>
        <w:t xml:space="preserve">ocial </w:t>
      </w:r>
      <w:r w:rsidR="00391C4D" w:rsidRPr="00517F46">
        <w:rPr>
          <w:rFonts w:ascii="Arial" w:hAnsi="Arial" w:cs="Arial"/>
        </w:rPr>
        <w:t>Development</w:t>
      </w:r>
      <w:r w:rsidR="00FD4CA2" w:rsidRPr="00517F46">
        <w:rPr>
          <w:rFonts w:ascii="Arial" w:hAnsi="Arial" w:cs="Arial"/>
        </w:rPr>
        <w:t xml:space="preserve"> o</w:t>
      </w:r>
      <w:r w:rsidR="00EF1409" w:rsidRPr="00517F46">
        <w:rPr>
          <w:rFonts w:ascii="Arial" w:hAnsi="Arial" w:cs="Arial"/>
        </w:rPr>
        <w:t xml:space="preserve">n </w:t>
      </w:r>
      <w:r w:rsidR="003D1161" w:rsidRPr="00517F46">
        <w:rPr>
          <w:rFonts w:ascii="Arial" w:hAnsi="Arial" w:cs="Arial"/>
        </w:rPr>
        <w:t xml:space="preserve">1 </w:t>
      </w:r>
      <w:r w:rsidR="00EF1409" w:rsidRPr="00517F46">
        <w:rPr>
          <w:rFonts w:ascii="Arial" w:hAnsi="Arial" w:cs="Arial"/>
        </w:rPr>
        <w:t xml:space="preserve">November 2014 for a period of five years. All things being equal </w:t>
      </w:r>
      <w:r w:rsidR="003D1161" w:rsidRPr="00517F46">
        <w:rPr>
          <w:rFonts w:ascii="Arial" w:hAnsi="Arial" w:cs="Arial"/>
        </w:rPr>
        <w:t>therefore</w:t>
      </w:r>
      <w:r w:rsidR="005A1325" w:rsidRPr="00517F46">
        <w:rPr>
          <w:rFonts w:ascii="Arial" w:hAnsi="Arial" w:cs="Arial"/>
        </w:rPr>
        <w:t xml:space="preserve">, </w:t>
      </w:r>
      <w:r w:rsidR="00332B76" w:rsidRPr="00517F46">
        <w:rPr>
          <w:rFonts w:ascii="Arial" w:hAnsi="Arial" w:cs="Arial"/>
        </w:rPr>
        <w:t xml:space="preserve">her term </w:t>
      </w:r>
      <w:r w:rsidR="00BF255C" w:rsidRPr="00517F46">
        <w:rPr>
          <w:rFonts w:ascii="Arial" w:hAnsi="Arial" w:cs="Arial"/>
        </w:rPr>
        <w:t xml:space="preserve">of </w:t>
      </w:r>
      <w:r w:rsidR="00332B76" w:rsidRPr="00517F46">
        <w:rPr>
          <w:rFonts w:ascii="Arial" w:hAnsi="Arial" w:cs="Arial"/>
        </w:rPr>
        <w:t>office would have come to an</w:t>
      </w:r>
      <w:r w:rsidR="00EF1409" w:rsidRPr="00517F46">
        <w:rPr>
          <w:rFonts w:ascii="Arial" w:hAnsi="Arial" w:cs="Arial"/>
        </w:rPr>
        <w:t xml:space="preserve"> end o</w:t>
      </w:r>
      <w:r w:rsidR="00391C4D" w:rsidRPr="00517F46">
        <w:rPr>
          <w:rFonts w:ascii="Arial" w:hAnsi="Arial" w:cs="Arial"/>
        </w:rPr>
        <w:t>n</w:t>
      </w:r>
      <w:r w:rsidR="00EF1409" w:rsidRPr="00517F46">
        <w:rPr>
          <w:rFonts w:ascii="Arial" w:hAnsi="Arial" w:cs="Arial"/>
        </w:rPr>
        <w:t xml:space="preserve"> 31 October 2</w:t>
      </w:r>
      <w:r w:rsidR="00332B76" w:rsidRPr="00517F46">
        <w:rPr>
          <w:rFonts w:ascii="Arial" w:hAnsi="Arial" w:cs="Arial"/>
        </w:rPr>
        <w:t>01</w:t>
      </w:r>
      <w:r w:rsidR="00EF1409" w:rsidRPr="00517F46">
        <w:rPr>
          <w:rFonts w:ascii="Arial" w:hAnsi="Arial" w:cs="Arial"/>
        </w:rPr>
        <w:t>9. During 2019</w:t>
      </w:r>
      <w:r w:rsidR="00F94B02" w:rsidRPr="00517F46">
        <w:rPr>
          <w:rFonts w:ascii="Arial" w:hAnsi="Arial" w:cs="Arial"/>
        </w:rPr>
        <w:t xml:space="preserve"> </w:t>
      </w:r>
      <w:r w:rsidR="00391C4D" w:rsidRPr="00517F46">
        <w:rPr>
          <w:rFonts w:ascii="Arial" w:hAnsi="Arial" w:cs="Arial"/>
        </w:rPr>
        <w:t>however</w:t>
      </w:r>
      <w:r w:rsidR="00BF255C" w:rsidRPr="00517F46">
        <w:rPr>
          <w:rFonts w:ascii="Arial" w:hAnsi="Arial" w:cs="Arial"/>
        </w:rPr>
        <w:t>, the</w:t>
      </w:r>
      <w:r w:rsidR="00EF1409" w:rsidRPr="00517F46">
        <w:rPr>
          <w:rFonts w:ascii="Arial" w:hAnsi="Arial" w:cs="Arial"/>
        </w:rPr>
        <w:t xml:space="preserve"> </w:t>
      </w:r>
      <w:r w:rsidR="005A1325" w:rsidRPr="00517F46">
        <w:rPr>
          <w:rFonts w:ascii="Arial" w:hAnsi="Arial" w:cs="Arial"/>
        </w:rPr>
        <w:t>M</w:t>
      </w:r>
      <w:r w:rsidR="00EF1409" w:rsidRPr="00517F46">
        <w:rPr>
          <w:rFonts w:ascii="Arial" w:hAnsi="Arial" w:cs="Arial"/>
        </w:rPr>
        <w:t xml:space="preserve">ember of the </w:t>
      </w:r>
      <w:r w:rsidR="005A1325" w:rsidRPr="00517F46">
        <w:rPr>
          <w:rFonts w:ascii="Arial" w:hAnsi="Arial" w:cs="Arial"/>
        </w:rPr>
        <w:t>E</w:t>
      </w:r>
      <w:r w:rsidR="00EF1409" w:rsidRPr="00517F46">
        <w:rPr>
          <w:rFonts w:ascii="Arial" w:hAnsi="Arial" w:cs="Arial"/>
        </w:rPr>
        <w:t xml:space="preserve">xecutive </w:t>
      </w:r>
      <w:r w:rsidR="005A1325" w:rsidRPr="00517F46">
        <w:rPr>
          <w:rFonts w:ascii="Arial" w:hAnsi="Arial" w:cs="Arial"/>
        </w:rPr>
        <w:t>C</w:t>
      </w:r>
      <w:r w:rsidR="00EF1409" w:rsidRPr="00517F46">
        <w:rPr>
          <w:rFonts w:ascii="Arial" w:hAnsi="Arial" w:cs="Arial"/>
        </w:rPr>
        <w:t xml:space="preserve">ommittee of the </w:t>
      </w:r>
      <w:r w:rsidR="00FD4CA2" w:rsidRPr="00517F46">
        <w:rPr>
          <w:rFonts w:ascii="Arial" w:hAnsi="Arial" w:cs="Arial"/>
        </w:rPr>
        <w:t>P</w:t>
      </w:r>
      <w:r w:rsidR="00EF1409" w:rsidRPr="00517F46">
        <w:rPr>
          <w:rFonts w:ascii="Arial" w:hAnsi="Arial" w:cs="Arial"/>
        </w:rPr>
        <w:t>rovince of KwaZulu</w:t>
      </w:r>
      <w:r w:rsidR="00F94B02" w:rsidRPr="00517F46">
        <w:rPr>
          <w:rFonts w:ascii="Arial" w:hAnsi="Arial" w:cs="Arial"/>
        </w:rPr>
        <w:t>-Natal (the MEC)</w:t>
      </w:r>
      <w:r w:rsidR="00257EC2" w:rsidRPr="00517F46">
        <w:rPr>
          <w:rFonts w:ascii="Arial" w:hAnsi="Arial" w:cs="Arial"/>
        </w:rPr>
        <w:t xml:space="preserve"> </w:t>
      </w:r>
      <w:r w:rsidR="00BF255C" w:rsidRPr="00517F46">
        <w:rPr>
          <w:rFonts w:ascii="Arial" w:hAnsi="Arial" w:cs="Arial"/>
        </w:rPr>
        <w:t xml:space="preserve">responsible for the </w:t>
      </w:r>
      <w:r w:rsidR="00FD4CA2" w:rsidRPr="00517F46">
        <w:rPr>
          <w:rFonts w:ascii="Arial" w:hAnsi="Arial" w:cs="Arial"/>
        </w:rPr>
        <w:t>D</w:t>
      </w:r>
      <w:r w:rsidR="00BF255C" w:rsidRPr="00517F46">
        <w:rPr>
          <w:rFonts w:ascii="Arial" w:hAnsi="Arial" w:cs="Arial"/>
        </w:rPr>
        <w:t xml:space="preserve">epartment </w:t>
      </w:r>
      <w:r w:rsidR="00FD4CA2" w:rsidRPr="00517F46">
        <w:rPr>
          <w:rFonts w:ascii="Arial" w:hAnsi="Arial" w:cs="Arial"/>
        </w:rPr>
        <w:t xml:space="preserve">of Social Development </w:t>
      </w:r>
      <w:r w:rsidR="00BF255C" w:rsidRPr="00517F46">
        <w:rPr>
          <w:rFonts w:ascii="Arial" w:hAnsi="Arial" w:cs="Arial"/>
        </w:rPr>
        <w:t>changed.</w:t>
      </w:r>
      <w:r w:rsidR="00884540" w:rsidRPr="00517F46">
        <w:rPr>
          <w:rFonts w:ascii="Arial" w:hAnsi="Arial" w:cs="Arial"/>
        </w:rPr>
        <w:t xml:space="preserve"> </w:t>
      </w:r>
      <w:r w:rsidR="00BF255C" w:rsidRPr="00517F46">
        <w:rPr>
          <w:rFonts w:ascii="Arial" w:hAnsi="Arial" w:cs="Arial"/>
        </w:rPr>
        <w:t>D</w:t>
      </w:r>
      <w:r w:rsidR="00EF1409" w:rsidRPr="00517F46">
        <w:rPr>
          <w:rFonts w:ascii="Arial" w:hAnsi="Arial" w:cs="Arial"/>
        </w:rPr>
        <w:t>ispute</w:t>
      </w:r>
      <w:r w:rsidR="00884540" w:rsidRPr="00517F46">
        <w:rPr>
          <w:rFonts w:ascii="Arial" w:hAnsi="Arial" w:cs="Arial"/>
        </w:rPr>
        <w:t xml:space="preserve">s and difficulties </w:t>
      </w:r>
      <w:r w:rsidR="00EF1409" w:rsidRPr="00517F46">
        <w:rPr>
          <w:rFonts w:ascii="Arial" w:hAnsi="Arial" w:cs="Arial"/>
        </w:rPr>
        <w:t xml:space="preserve">arose between the applicant and the new </w:t>
      </w:r>
      <w:r w:rsidR="00884540" w:rsidRPr="00517F46">
        <w:rPr>
          <w:rFonts w:ascii="Arial" w:hAnsi="Arial" w:cs="Arial"/>
        </w:rPr>
        <w:t>MEC</w:t>
      </w:r>
      <w:r w:rsidR="00BF255C" w:rsidRPr="00517F46">
        <w:rPr>
          <w:rFonts w:ascii="Arial" w:hAnsi="Arial" w:cs="Arial"/>
        </w:rPr>
        <w:t xml:space="preserve"> and</w:t>
      </w:r>
      <w:r w:rsidR="00EF1409" w:rsidRPr="00517F46">
        <w:rPr>
          <w:rFonts w:ascii="Arial" w:hAnsi="Arial" w:cs="Arial"/>
        </w:rPr>
        <w:t xml:space="preserve"> allegations </w:t>
      </w:r>
      <w:r w:rsidR="00BF255C" w:rsidRPr="00517F46">
        <w:rPr>
          <w:rFonts w:ascii="Arial" w:hAnsi="Arial" w:cs="Arial"/>
        </w:rPr>
        <w:t xml:space="preserve">were made by unnamed parties that </w:t>
      </w:r>
      <w:r w:rsidR="00EF1409" w:rsidRPr="00517F46">
        <w:rPr>
          <w:rFonts w:ascii="Arial" w:hAnsi="Arial" w:cs="Arial"/>
        </w:rPr>
        <w:t>the applicant was guilty of financial and human resources management misconduct.</w:t>
      </w:r>
      <w:r w:rsidR="005A1325" w:rsidRPr="00517F46">
        <w:rPr>
          <w:rFonts w:ascii="Arial" w:hAnsi="Arial" w:cs="Arial"/>
        </w:rPr>
        <w:t xml:space="preserve"> </w:t>
      </w:r>
    </w:p>
    <w:p w:rsidR="007A2306" w:rsidRPr="00DE4FBB" w:rsidRDefault="007A2306" w:rsidP="006B7081">
      <w:pPr>
        <w:pStyle w:val="ListParagraph"/>
        <w:autoSpaceDE w:val="0"/>
        <w:autoSpaceDN w:val="0"/>
        <w:adjustRightInd w:val="0"/>
        <w:spacing w:line="360" w:lineRule="auto"/>
        <w:ind w:left="851"/>
        <w:jc w:val="both"/>
        <w:rPr>
          <w:rFonts w:ascii="Arial" w:hAnsi="Arial" w:cs="Arial"/>
        </w:rPr>
      </w:pPr>
    </w:p>
    <w:p w:rsidR="0004557C"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[12]</w:t>
      </w:r>
      <w:r w:rsidRPr="00DE4FBB">
        <w:rPr>
          <w:rFonts w:ascii="Arial" w:hAnsi="Arial" w:cs="Arial"/>
        </w:rPr>
        <w:tab/>
      </w:r>
      <w:r w:rsidR="000144B3" w:rsidRPr="00517F46">
        <w:rPr>
          <w:rFonts w:ascii="Arial" w:hAnsi="Arial" w:cs="Arial"/>
        </w:rPr>
        <w:t xml:space="preserve">As a result of these allegations, the Premier decided to extend the applicant’s contract beyond 31 October 2019 and temporarily redeploy her to his office to allow for a pre-investigation screening to take place. </w:t>
      </w:r>
    </w:p>
    <w:p w:rsidR="00FB1929" w:rsidRPr="00DE4FBB" w:rsidRDefault="00FB1929" w:rsidP="006B7081">
      <w:pPr>
        <w:pStyle w:val="ListParagraph"/>
        <w:autoSpaceDE w:val="0"/>
        <w:autoSpaceDN w:val="0"/>
        <w:adjustRightInd w:val="0"/>
        <w:spacing w:line="360" w:lineRule="auto"/>
        <w:ind w:left="851"/>
        <w:jc w:val="both"/>
        <w:rPr>
          <w:rFonts w:ascii="Arial" w:hAnsi="Arial" w:cs="Arial"/>
        </w:rPr>
      </w:pPr>
    </w:p>
    <w:p w:rsidR="0004557C"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[13]</w:t>
      </w:r>
      <w:r w:rsidRPr="00DE4FBB">
        <w:rPr>
          <w:rFonts w:ascii="Arial" w:hAnsi="Arial" w:cs="Arial"/>
        </w:rPr>
        <w:tab/>
      </w:r>
      <w:r w:rsidR="0004557C" w:rsidRPr="00517F46">
        <w:rPr>
          <w:rFonts w:ascii="Arial" w:hAnsi="Arial" w:cs="Arial"/>
        </w:rPr>
        <w:t>On 13 November 2019 there was a meeting of the Provincial Executive Committee (the PEC meeting). It is not in dispute that a resolution was taken at the PEC meeting to extend the applicant’s  contract of employment beyond 31 October 2019. Whether other decisions were taken at that meeting entitling the applicant to reinstatement as H</w:t>
      </w:r>
      <w:r w:rsidR="006117ED" w:rsidRPr="00517F46">
        <w:rPr>
          <w:rFonts w:ascii="Arial" w:hAnsi="Arial" w:cs="Arial"/>
        </w:rPr>
        <w:t>ead</w:t>
      </w:r>
      <w:r w:rsidR="0004557C" w:rsidRPr="00517F46">
        <w:rPr>
          <w:rFonts w:ascii="Arial" w:hAnsi="Arial" w:cs="Arial"/>
        </w:rPr>
        <w:t xml:space="preserve"> of the Department of Social Development as well as contractual damages is hotly contested. </w:t>
      </w:r>
    </w:p>
    <w:p w:rsidR="00FB1929" w:rsidRPr="00DE4FBB" w:rsidRDefault="00FB1929" w:rsidP="006B7081">
      <w:pPr>
        <w:pStyle w:val="ListParagraph"/>
        <w:spacing w:line="360" w:lineRule="auto"/>
        <w:rPr>
          <w:rFonts w:ascii="Arial" w:hAnsi="Arial" w:cs="Arial"/>
        </w:rPr>
      </w:pPr>
    </w:p>
    <w:p w:rsidR="0004557C"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[14]</w:t>
      </w:r>
      <w:r w:rsidRPr="00DE4FBB">
        <w:rPr>
          <w:rFonts w:ascii="Arial" w:hAnsi="Arial" w:cs="Arial"/>
        </w:rPr>
        <w:tab/>
      </w:r>
      <w:r w:rsidR="000144B3" w:rsidRPr="00517F46">
        <w:rPr>
          <w:rFonts w:ascii="Arial" w:hAnsi="Arial" w:cs="Arial"/>
        </w:rPr>
        <w:t>T</w:t>
      </w:r>
      <w:r w:rsidR="00A907AE" w:rsidRPr="00517F46">
        <w:rPr>
          <w:rFonts w:ascii="Arial" w:hAnsi="Arial" w:cs="Arial"/>
        </w:rPr>
        <w:t xml:space="preserve">wo </w:t>
      </w:r>
      <w:r w:rsidR="00EF1409" w:rsidRPr="00517F46">
        <w:rPr>
          <w:rFonts w:ascii="Arial" w:hAnsi="Arial" w:cs="Arial"/>
        </w:rPr>
        <w:t>full-blown forensic investigations</w:t>
      </w:r>
      <w:r w:rsidR="005A1325" w:rsidRPr="00517F46">
        <w:rPr>
          <w:rFonts w:ascii="Arial" w:hAnsi="Arial" w:cs="Arial"/>
        </w:rPr>
        <w:t xml:space="preserve"> </w:t>
      </w:r>
      <w:r w:rsidR="0004557C" w:rsidRPr="00517F46">
        <w:rPr>
          <w:rFonts w:ascii="Arial" w:hAnsi="Arial" w:cs="Arial"/>
        </w:rPr>
        <w:t xml:space="preserve">were conducted </w:t>
      </w:r>
      <w:r w:rsidR="0049672E" w:rsidRPr="00517F46">
        <w:rPr>
          <w:rFonts w:ascii="Arial" w:hAnsi="Arial" w:cs="Arial"/>
        </w:rPr>
        <w:t>into the allegations of misconduct</w:t>
      </w:r>
      <w:r w:rsidR="006339F1" w:rsidRPr="00517F46">
        <w:rPr>
          <w:rFonts w:ascii="Arial" w:hAnsi="Arial" w:cs="Arial"/>
        </w:rPr>
        <w:t>, which</w:t>
      </w:r>
      <w:r w:rsidR="0049672E" w:rsidRPr="00517F46">
        <w:rPr>
          <w:rFonts w:ascii="Arial" w:hAnsi="Arial" w:cs="Arial"/>
        </w:rPr>
        <w:t xml:space="preserve"> </w:t>
      </w:r>
      <w:r w:rsidR="0004557C" w:rsidRPr="00517F46">
        <w:rPr>
          <w:rFonts w:ascii="Arial" w:hAnsi="Arial" w:cs="Arial"/>
        </w:rPr>
        <w:t>culminat</w:t>
      </w:r>
      <w:r w:rsidR="006339F1" w:rsidRPr="00517F46">
        <w:rPr>
          <w:rFonts w:ascii="Arial" w:hAnsi="Arial" w:cs="Arial"/>
        </w:rPr>
        <w:t>ed</w:t>
      </w:r>
      <w:r w:rsidR="0004557C" w:rsidRPr="00517F46">
        <w:rPr>
          <w:rFonts w:ascii="Arial" w:hAnsi="Arial" w:cs="Arial"/>
        </w:rPr>
        <w:t xml:space="preserve"> in written reports (the investigation reports). The investigation into alleged financial misconduct was </w:t>
      </w:r>
      <w:r w:rsidR="006339F1" w:rsidRPr="00517F46">
        <w:rPr>
          <w:rFonts w:ascii="Arial" w:hAnsi="Arial" w:cs="Arial"/>
        </w:rPr>
        <w:t xml:space="preserve">undertaken </w:t>
      </w:r>
      <w:r w:rsidR="0004557C" w:rsidRPr="00517F46">
        <w:rPr>
          <w:rFonts w:ascii="Arial" w:hAnsi="Arial" w:cs="Arial"/>
        </w:rPr>
        <w:t xml:space="preserve">by the </w:t>
      </w:r>
      <w:r w:rsidR="00F82017" w:rsidRPr="00517F46">
        <w:rPr>
          <w:rFonts w:ascii="Arial" w:hAnsi="Arial" w:cs="Arial"/>
        </w:rPr>
        <w:t>P</w:t>
      </w:r>
      <w:r w:rsidR="0004557C" w:rsidRPr="00517F46">
        <w:rPr>
          <w:rFonts w:ascii="Arial" w:hAnsi="Arial" w:cs="Arial"/>
        </w:rPr>
        <w:t>rovincial Treasury</w:t>
      </w:r>
      <w:r w:rsidR="006117ED" w:rsidRPr="00517F46">
        <w:rPr>
          <w:rFonts w:ascii="Arial" w:hAnsi="Arial" w:cs="Arial"/>
        </w:rPr>
        <w:t>,</w:t>
      </w:r>
      <w:r w:rsidR="0004557C" w:rsidRPr="00517F46">
        <w:rPr>
          <w:rFonts w:ascii="Arial" w:hAnsi="Arial" w:cs="Arial"/>
        </w:rPr>
        <w:t xml:space="preserve"> while the human resources related investigation was conducted by the </w:t>
      </w:r>
      <w:r w:rsidR="0004557C" w:rsidRPr="00517F46">
        <w:rPr>
          <w:rFonts w:ascii="Arial" w:hAnsi="Arial" w:cs="Arial"/>
        </w:rPr>
        <w:lastRenderedPageBreak/>
        <w:t>office of the Premier.</w:t>
      </w:r>
      <w:r w:rsidR="00086D4F" w:rsidRPr="00517F46">
        <w:rPr>
          <w:rFonts w:ascii="Arial" w:hAnsi="Arial" w:cs="Arial"/>
        </w:rPr>
        <w:t xml:space="preserve"> No disciplinary or other charges were ever proffered against the applicant as a result of the reports. </w:t>
      </w:r>
    </w:p>
    <w:p w:rsidR="00332182" w:rsidRPr="00DE4FBB" w:rsidRDefault="00332182" w:rsidP="006B7081">
      <w:pPr>
        <w:spacing w:line="360" w:lineRule="auto"/>
        <w:rPr>
          <w:rFonts w:ascii="Arial" w:hAnsi="Arial" w:cs="Arial"/>
        </w:rPr>
      </w:pPr>
    </w:p>
    <w:p w:rsidR="009F61BB"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[15]</w:t>
      </w:r>
      <w:r w:rsidRPr="00DE4FBB">
        <w:rPr>
          <w:rFonts w:ascii="Arial" w:hAnsi="Arial" w:cs="Arial"/>
        </w:rPr>
        <w:tab/>
      </w:r>
      <w:r w:rsidR="0033705C" w:rsidRPr="00517F46">
        <w:rPr>
          <w:rFonts w:ascii="Arial" w:hAnsi="Arial" w:cs="Arial"/>
        </w:rPr>
        <w:t>I</w:t>
      </w:r>
      <w:r w:rsidR="00EF1409" w:rsidRPr="00517F46">
        <w:rPr>
          <w:rFonts w:ascii="Arial" w:hAnsi="Arial" w:cs="Arial"/>
        </w:rPr>
        <w:t>t is unclear from the papers</w:t>
      </w:r>
      <w:r w:rsidR="0033705C" w:rsidRPr="00517F46">
        <w:rPr>
          <w:rFonts w:ascii="Arial" w:hAnsi="Arial" w:cs="Arial"/>
        </w:rPr>
        <w:t xml:space="preserve"> </w:t>
      </w:r>
      <w:r w:rsidR="00BF255C" w:rsidRPr="00517F46">
        <w:rPr>
          <w:rFonts w:ascii="Arial" w:hAnsi="Arial" w:cs="Arial"/>
        </w:rPr>
        <w:t xml:space="preserve">exactly </w:t>
      </w:r>
      <w:r w:rsidR="0033705C" w:rsidRPr="00517F46">
        <w:rPr>
          <w:rFonts w:ascii="Arial" w:hAnsi="Arial" w:cs="Arial"/>
        </w:rPr>
        <w:t>when</w:t>
      </w:r>
      <w:r w:rsidR="00EF1409" w:rsidRPr="00517F46">
        <w:rPr>
          <w:rFonts w:ascii="Arial" w:hAnsi="Arial" w:cs="Arial"/>
        </w:rPr>
        <w:t xml:space="preserve"> the pre-investigation </w:t>
      </w:r>
      <w:r w:rsidR="00265894" w:rsidRPr="00517F46">
        <w:rPr>
          <w:rFonts w:ascii="Arial" w:hAnsi="Arial" w:cs="Arial"/>
        </w:rPr>
        <w:t xml:space="preserve">screening </w:t>
      </w:r>
      <w:r w:rsidR="006117ED" w:rsidRPr="00517F46">
        <w:rPr>
          <w:rFonts w:ascii="Arial" w:hAnsi="Arial" w:cs="Arial"/>
        </w:rPr>
        <w:t>and</w:t>
      </w:r>
      <w:r w:rsidR="00265894" w:rsidRPr="00517F46">
        <w:rPr>
          <w:rFonts w:ascii="Arial" w:hAnsi="Arial" w:cs="Arial"/>
        </w:rPr>
        <w:t xml:space="preserve"> the </w:t>
      </w:r>
      <w:r w:rsidR="00EF1409" w:rsidRPr="00517F46">
        <w:rPr>
          <w:rFonts w:ascii="Arial" w:hAnsi="Arial" w:cs="Arial"/>
        </w:rPr>
        <w:t>investigations themselves commenced</w:t>
      </w:r>
      <w:r w:rsidR="00BF255C" w:rsidRPr="00517F46">
        <w:rPr>
          <w:rFonts w:ascii="Arial" w:hAnsi="Arial" w:cs="Arial"/>
        </w:rPr>
        <w:t xml:space="preserve">, </w:t>
      </w:r>
      <w:r w:rsidR="000144B3" w:rsidRPr="00517F46">
        <w:rPr>
          <w:rFonts w:ascii="Arial" w:hAnsi="Arial" w:cs="Arial"/>
        </w:rPr>
        <w:t>or when the investigation reports were finalised</w:t>
      </w:r>
      <w:r w:rsidR="00257EC2" w:rsidRPr="00517F46">
        <w:rPr>
          <w:rFonts w:ascii="Arial" w:hAnsi="Arial" w:cs="Arial"/>
        </w:rPr>
        <w:t>, save that the results of the investigation</w:t>
      </w:r>
      <w:r w:rsidR="006339F1" w:rsidRPr="00517F46">
        <w:rPr>
          <w:rFonts w:ascii="Arial" w:hAnsi="Arial" w:cs="Arial"/>
        </w:rPr>
        <w:t>s</w:t>
      </w:r>
      <w:r w:rsidR="00257EC2" w:rsidRPr="00517F46">
        <w:rPr>
          <w:rFonts w:ascii="Arial" w:hAnsi="Arial" w:cs="Arial"/>
        </w:rPr>
        <w:t xml:space="preserve"> were apparently known by </w:t>
      </w:r>
      <w:r w:rsidR="00EF1409" w:rsidRPr="00517F46">
        <w:rPr>
          <w:rFonts w:ascii="Arial" w:hAnsi="Arial" w:cs="Arial"/>
        </w:rPr>
        <w:t xml:space="preserve">25 March 2020 </w:t>
      </w:r>
      <w:r w:rsidR="000A6CB1" w:rsidRPr="00517F46">
        <w:rPr>
          <w:rFonts w:ascii="Arial" w:hAnsi="Arial" w:cs="Arial"/>
        </w:rPr>
        <w:t xml:space="preserve">when the applicant states </w:t>
      </w:r>
      <w:r w:rsidR="00EF1409" w:rsidRPr="00517F46">
        <w:rPr>
          <w:rFonts w:ascii="Arial" w:hAnsi="Arial" w:cs="Arial"/>
        </w:rPr>
        <w:t xml:space="preserve">the former </w:t>
      </w:r>
      <w:r w:rsidR="00844683" w:rsidRPr="00517F46">
        <w:rPr>
          <w:rFonts w:ascii="Arial" w:hAnsi="Arial" w:cs="Arial"/>
        </w:rPr>
        <w:t>P</w:t>
      </w:r>
      <w:r w:rsidR="00EF1409" w:rsidRPr="00517F46">
        <w:rPr>
          <w:rFonts w:ascii="Arial" w:hAnsi="Arial" w:cs="Arial"/>
        </w:rPr>
        <w:t xml:space="preserve">remier advised </w:t>
      </w:r>
      <w:r w:rsidR="00844683" w:rsidRPr="00517F46">
        <w:rPr>
          <w:rFonts w:ascii="Arial" w:hAnsi="Arial" w:cs="Arial"/>
        </w:rPr>
        <w:t xml:space="preserve">her that </w:t>
      </w:r>
      <w:r w:rsidR="00CE4259" w:rsidRPr="00517F46">
        <w:rPr>
          <w:rFonts w:ascii="Arial" w:hAnsi="Arial" w:cs="Arial"/>
        </w:rPr>
        <w:t xml:space="preserve">she had been exonerated by </w:t>
      </w:r>
      <w:r w:rsidR="00EF1409" w:rsidRPr="00517F46">
        <w:rPr>
          <w:rFonts w:ascii="Arial" w:hAnsi="Arial" w:cs="Arial"/>
        </w:rPr>
        <w:t>both investigations</w:t>
      </w:r>
      <w:r w:rsidR="00CE4259" w:rsidRPr="00517F46">
        <w:rPr>
          <w:rFonts w:ascii="Arial" w:hAnsi="Arial" w:cs="Arial"/>
        </w:rPr>
        <w:t>.</w:t>
      </w:r>
      <w:r w:rsidR="00EF1409" w:rsidRPr="00517F46">
        <w:rPr>
          <w:rFonts w:ascii="Arial" w:hAnsi="Arial" w:cs="Arial"/>
        </w:rPr>
        <w:t xml:space="preserve"> </w:t>
      </w:r>
    </w:p>
    <w:p w:rsidR="009F61BB" w:rsidRPr="00DE4FBB" w:rsidRDefault="009F61BB" w:rsidP="006B7081">
      <w:pPr>
        <w:pStyle w:val="ListParagraph"/>
        <w:spacing w:line="360" w:lineRule="auto"/>
        <w:rPr>
          <w:rFonts w:ascii="Arial" w:hAnsi="Arial" w:cs="Arial"/>
        </w:rPr>
      </w:pPr>
    </w:p>
    <w:p w:rsidR="00541C19"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[16]</w:t>
      </w:r>
      <w:r w:rsidRPr="00DE4FBB">
        <w:rPr>
          <w:rFonts w:ascii="Arial" w:hAnsi="Arial" w:cs="Arial"/>
        </w:rPr>
        <w:tab/>
      </w:r>
      <w:r w:rsidR="00EF1409" w:rsidRPr="00517F46">
        <w:rPr>
          <w:rFonts w:ascii="Arial" w:hAnsi="Arial" w:cs="Arial"/>
        </w:rPr>
        <w:t>The applicant was therefore disappointed w</w:t>
      </w:r>
      <w:r w:rsidR="00844683" w:rsidRPr="00517F46">
        <w:rPr>
          <w:rFonts w:ascii="Arial" w:hAnsi="Arial" w:cs="Arial"/>
        </w:rPr>
        <w:t>hen</w:t>
      </w:r>
      <w:r w:rsidR="00EF1409" w:rsidRPr="00517F46">
        <w:rPr>
          <w:rFonts w:ascii="Arial" w:hAnsi="Arial" w:cs="Arial"/>
        </w:rPr>
        <w:t xml:space="preserve"> she was not </w:t>
      </w:r>
      <w:r w:rsidR="0049672E" w:rsidRPr="00517F46">
        <w:rPr>
          <w:rFonts w:ascii="Arial" w:hAnsi="Arial" w:cs="Arial"/>
        </w:rPr>
        <w:t>re-</w:t>
      </w:r>
      <w:r w:rsidR="00EF1409" w:rsidRPr="00517F46">
        <w:rPr>
          <w:rFonts w:ascii="Arial" w:hAnsi="Arial" w:cs="Arial"/>
        </w:rPr>
        <w:t xml:space="preserve">appointed as </w:t>
      </w:r>
      <w:r w:rsidR="00EC7030" w:rsidRPr="00517F46">
        <w:rPr>
          <w:rFonts w:ascii="Arial" w:hAnsi="Arial" w:cs="Arial"/>
        </w:rPr>
        <w:t>H</w:t>
      </w:r>
      <w:r w:rsidR="006117ED" w:rsidRPr="00517F46">
        <w:rPr>
          <w:rFonts w:ascii="Arial" w:hAnsi="Arial" w:cs="Arial"/>
        </w:rPr>
        <w:t>ead</w:t>
      </w:r>
      <w:r w:rsidR="000A6CB1" w:rsidRPr="00517F46">
        <w:rPr>
          <w:rFonts w:ascii="Arial" w:hAnsi="Arial" w:cs="Arial"/>
        </w:rPr>
        <w:t xml:space="preserve"> of the Department of Social Development despite having been shortlisted</w:t>
      </w:r>
      <w:r w:rsidR="0049672E" w:rsidRPr="00517F46">
        <w:rPr>
          <w:rFonts w:ascii="Arial" w:hAnsi="Arial" w:cs="Arial"/>
        </w:rPr>
        <w:t xml:space="preserve"> </w:t>
      </w:r>
      <w:r w:rsidR="000A6CB1" w:rsidRPr="00517F46">
        <w:rPr>
          <w:rFonts w:ascii="Arial" w:hAnsi="Arial" w:cs="Arial"/>
        </w:rPr>
        <w:t>for th</w:t>
      </w:r>
      <w:r w:rsidR="006117ED" w:rsidRPr="00517F46">
        <w:rPr>
          <w:rFonts w:ascii="Arial" w:hAnsi="Arial" w:cs="Arial"/>
        </w:rPr>
        <w:t>at</w:t>
      </w:r>
      <w:r w:rsidR="000A6CB1" w:rsidRPr="00517F46">
        <w:rPr>
          <w:rFonts w:ascii="Arial" w:hAnsi="Arial" w:cs="Arial"/>
        </w:rPr>
        <w:t xml:space="preserve"> position and </w:t>
      </w:r>
      <w:r w:rsidR="00EF1409" w:rsidRPr="00517F46">
        <w:rPr>
          <w:rFonts w:ascii="Arial" w:hAnsi="Arial" w:cs="Arial"/>
        </w:rPr>
        <w:t>interview</w:t>
      </w:r>
      <w:r w:rsidR="000A6CB1" w:rsidRPr="00517F46">
        <w:rPr>
          <w:rFonts w:ascii="Arial" w:hAnsi="Arial" w:cs="Arial"/>
        </w:rPr>
        <w:t xml:space="preserve">ed </w:t>
      </w:r>
      <w:r w:rsidR="00EF1409" w:rsidRPr="00517F46">
        <w:rPr>
          <w:rFonts w:ascii="Arial" w:hAnsi="Arial" w:cs="Arial"/>
        </w:rPr>
        <w:t xml:space="preserve">on </w:t>
      </w:r>
      <w:r w:rsidR="00EC7030" w:rsidRPr="00517F46">
        <w:rPr>
          <w:rFonts w:ascii="Arial" w:hAnsi="Arial" w:cs="Arial"/>
        </w:rPr>
        <w:t xml:space="preserve">30 </w:t>
      </w:r>
      <w:r w:rsidR="00EF1409" w:rsidRPr="00517F46">
        <w:rPr>
          <w:rFonts w:ascii="Arial" w:hAnsi="Arial" w:cs="Arial"/>
        </w:rPr>
        <w:t xml:space="preserve">April 2020. </w:t>
      </w:r>
      <w:r w:rsidR="000A6CB1" w:rsidRPr="00517F46">
        <w:rPr>
          <w:rFonts w:ascii="Arial" w:hAnsi="Arial" w:cs="Arial"/>
        </w:rPr>
        <w:t>She was dismayed when she was not even shortlisted for the post of H</w:t>
      </w:r>
      <w:r w:rsidR="006117ED" w:rsidRPr="00517F46">
        <w:rPr>
          <w:rFonts w:ascii="Arial" w:hAnsi="Arial" w:cs="Arial"/>
        </w:rPr>
        <w:t>ead</w:t>
      </w:r>
      <w:r w:rsidR="000A6CB1" w:rsidRPr="00517F46">
        <w:rPr>
          <w:rFonts w:ascii="Arial" w:hAnsi="Arial" w:cs="Arial"/>
        </w:rPr>
        <w:t xml:space="preserve"> of the Department of Transport for which she applied at some point in 2020. </w:t>
      </w:r>
    </w:p>
    <w:p w:rsidR="006A4425" w:rsidRPr="00DE4FBB" w:rsidRDefault="006A4425" w:rsidP="006B7081">
      <w:pPr>
        <w:pStyle w:val="ListParagraph"/>
        <w:spacing w:line="360" w:lineRule="auto"/>
        <w:rPr>
          <w:rFonts w:ascii="Arial" w:hAnsi="Arial" w:cs="Arial"/>
        </w:rPr>
      </w:pPr>
    </w:p>
    <w:p w:rsidR="00CE4259" w:rsidRPr="00517F46" w:rsidRDefault="00517F46" w:rsidP="00517F46">
      <w:pPr>
        <w:autoSpaceDE w:val="0"/>
        <w:autoSpaceDN w:val="0"/>
        <w:adjustRightInd w:val="0"/>
        <w:spacing w:line="360" w:lineRule="auto"/>
        <w:jc w:val="both"/>
        <w:rPr>
          <w:rFonts w:ascii="Arial" w:hAnsi="Arial" w:cs="Arial"/>
        </w:rPr>
      </w:pPr>
      <w:r>
        <w:rPr>
          <w:rFonts w:ascii="Arial" w:hAnsi="Arial" w:cs="Arial"/>
        </w:rPr>
        <w:t>[17]</w:t>
      </w:r>
      <w:r>
        <w:rPr>
          <w:rFonts w:ascii="Arial" w:hAnsi="Arial" w:cs="Arial"/>
        </w:rPr>
        <w:tab/>
      </w:r>
      <w:r w:rsidR="00541C19" w:rsidRPr="00517F46">
        <w:rPr>
          <w:rFonts w:ascii="Arial" w:hAnsi="Arial" w:cs="Arial"/>
        </w:rPr>
        <w:t>B</w:t>
      </w:r>
      <w:r w:rsidR="00EF1409" w:rsidRPr="00517F46">
        <w:rPr>
          <w:rFonts w:ascii="Arial" w:hAnsi="Arial" w:cs="Arial"/>
        </w:rPr>
        <w:t>elieving the</w:t>
      </w:r>
      <w:r w:rsidR="00541C19" w:rsidRPr="00517F46">
        <w:rPr>
          <w:rFonts w:ascii="Arial" w:hAnsi="Arial" w:cs="Arial"/>
        </w:rPr>
        <w:t xml:space="preserve">se </w:t>
      </w:r>
      <w:r w:rsidR="00EF1409" w:rsidRPr="00517F46">
        <w:rPr>
          <w:rFonts w:ascii="Arial" w:hAnsi="Arial" w:cs="Arial"/>
        </w:rPr>
        <w:t xml:space="preserve">career setbacks </w:t>
      </w:r>
      <w:r w:rsidR="000A6CB1" w:rsidRPr="00517F46">
        <w:rPr>
          <w:rFonts w:ascii="Arial" w:hAnsi="Arial" w:cs="Arial"/>
        </w:rPr>
        <w:t>to be</w:t>
      </w:r>
      <w:r w:rsidR="00EF1409" w:rsidRPr="00517F46">
        <w:rPr>
          <w:rFonts w:ascii="Arial" w:hAnsi="Arial" w:cs="Arial"/>
        </w:rPr>
        <w:t xml:space="preserve"> the result of the investigati</w:t>
      </w:r>
      <w:r w:rsidR="0049672E" w:rsidRPr="00517F46">
        <w:rPr>
          <w:rFonts w:ascii="Arial" w:hAnsi="Arial" w:cs="Arial"/>
        </w:rPr>
        <w:t>on</w:t>
      </w:r>
      <w:r w:rsidR="00EF1409" w:rsidRPr="00517F46">
        <w:rPr>
          <w:rFonts w:ascii="Arial" w:hAnsi="Arial" w:cs="Arial"/>
        </w:rPr>
        <w:t xml:space="preserve"> reports or </w:t>
      </w:r>
      <w:r w:rsidR="006117ED" w:rsidRPr="00517F46">
        <w:rPr>
          <w:rFonts w:ascii="Arial" w:hAnsi="Arial" w:cs="Arial"/>
        </w:rPr>
        <w:t xml:space="preserve">the </w:t>
      </w:r>
      <w:r w:rsidR="00EF1409" w:rsidRPr="00517F46">
        <w:rPr>
          <w:rFonts w:ascii="Arial" w:hAnsi="Arial" w:cs="Arial"/>
        </w:rPr>
        <w:t>dissemination of false information regarding what the</w:t>
      </w:r>
      <w:r w:rsidR="0049672E" w:rsidRPr="00517F46">
        <w:rPr>
          <w:rFonts w:ascii="Arial" w:hAnsi="Arial" w:cs="Arial"/>
        </w:rPr>
        <w:t xml:space="preserve"> investigations</w:t>
      </w:r>
      <w:r w:rsidR="00055E30" w:rsidRPr="00517F46">
        <w:rPr>
          <w:rFonts w:ascii="Arial" w:hAnsi="Arial" w:cs="Arial"/>
        </w:rPr>
        <w:t xml:space="preserve"> </w:t>
      </w:r>
      <w:r w:rsidR="00CE4259" w:rsidRPr="00517F46">
        <w:rPr>
          <w:rFonts w:ascii="Arial" w:hAnsi="Arial" w:cs="Arial"/>
        </w:rPr>
        <w:t>had f</w:t>
      </w:r>
      <w:r w:rsidR="00055E30" w:rsidRPr="00517F46">
        <w:rPr>
          <w:rFonts w:ascii="Arial" w:hAnsi="Arial" w:cs="Arial"/>
        </w:rPr>
        <w:t>ound</w:t>
      </w:r>
      <w:r w:rsidR="00EF1409" w:rsidRPr="00517F46">
        <w:rPr>
          <w:rFonts w:ascii="Arial" w:hAnsi="Arial" w:cs="Arial"/>
        </w:rPr>
        <w:t xml:space="preserve">, on 10 December 2021 </w:t>
      </w:r>
      <w:r w:rsidR="00055E30" w:rsidRPr="00517F46">
        <w:rPr>
          <w:rFonts w:ascii="Arial" w:hAnsi="Arial" w:cs="Arial"/>
        </w:rPr>
        <w:t xml:space="preserve">the applicant </w:t>
      </w:r>
      <w:r w:rsidR="00CE4259" w:rsidRPr="00517F46">
        <w:rPr>
          <w:rFonts w:ascii="Arial" w:hAnsi="Arial" w:cs="Arial"/>
        </w:rPr>
        <w:t xml:space="preserve">made four </w:t>
      </w:r>
      <w:r w:rsidR="00E402CA" w:rsidRPr="00517F46">
        <w:rPr>
          <w:rFonts w:ascii="Arial" w:hAnsi="Arial" w:cs="Arial"/>
        </w:rPr>
        <w:t>appli</w:t>
      </w:r>
      <w:r w:rsidR="00CE4259" w:rsidRPr="00517F46">
        <w:rPr>
          <w:rFonts w:ascii="Arial" w:hAnsi="Arial" w:cs="Arial"/>
        </w:rPr>
        <w:t>cations</w:t>
      </w:r>
      <w:r w:rsidR="00E402CA" w:rsidRPr="00517F46">
        <w:rPr>
          <w:rFonts w:ascii="Arial" w:hAnsi="Arial" w:cs="Arial"/>
        </w:rPr>
        <w:t xml:space="preserve"> </w:t>
      </w:r>
      <w:r w:rsidR="00055E30" w:rsidRPr="00517F46">
        <w:rPr>
          <w:rFonts w:ascii="Arial" w:hAnsi="Arial" w:cs="Arial"/>
        </w:rPr>
        <w:t>in</w:t>
      </w:r>
      <w:r w:rsidR="00CE4259" w:rsidRPr="00517F46">
        <w:rPr>
          <w:rFonts w:ascii="Arial" w:hAnsi="Arial" w:cs="Arial"/>
        </w:rPr>
        <w:t xml:space="preserve"> </w:t>
      </w:r>
      <w:r w:rsidR="00055E30" w:rsidRPr="00517F46">
        <w:rPr>
          <w:rFonts w:ascii="Arial" w:hAnsi="Arial" w:cs="Arial"/>
        </w:rPr>
        <w:t xml:space="preserve">terms of PAIA </w:t>
      </w:r>
      <w:r w:rsidR="0086374B" w:rsidRPr="00517F46">
        <w:rPr>
          <w:rFonts w:ascii="Arial" w:hAnsi="Arial" w:cs="Arial"/>
        </w:rPr>
        <w:t>to the D</w:t>
      </w:r>
      <w:r w:rsidR="00EF1409" w:rsidRPr="00517F46">
        <w:rPr>
          <w:rFonts w:ascii="Arial" w:hAnsi="Arial" w:cs="Arial"/>
        </w:rPr>
        <w:t>irector-</w:t>
      </w:r>
      <w:r w:rsidR="0086374B" w:rsidRPr="00517F46">
        <w:rPr>
          <w:rFonts w:ascii="Arial" w:hAnsi="Arial" w:cs="Arial"/>
        </w:rPr>
        <w:t>G</w:t>
      </w:r>
      <w:r w:rsidR="00EF1409" w:rsidRPr="00517F46">
        <w:rPr>
          <w:rFonts w:ascii="Arial" w:hAnsi="Arial" w:cs="Arial"/>
        </w:rPr>
        <w:t>eneral</w:t>
      </w:r>
      <w:r w:rsidR="00773F2D" w:rsidRPr="00517F46">
        <w:rPr>
          <w:rFonts w:ascii="Arial" w:hAnsi="Arial" w:cs="Arial"/>
        </w:rPr>
        <w:t>.</w:t>
      </w:r>
      <w:r w:rsidR="0049672E" w:rsidRPr="00517F46">
        <w:rPr>
          <w:rFonts w:ascii="Arial" w:hAnsi="Arial" w:cs="Arial"/>
        </w:rPr>
        <w:t xml:space="preserve"> </w:t>
      </w:r>
      <w:r w:rsidR="006339F1" w:rsidRPr="00517F46">
        <w:rPr>
          <w:rFonts w:ascii="Arial" w:hAnsi="Arial" w:cs="Arial"/>
        </w:rPr>
        <w:t>She sought a</w:t>
      </w:r>
      <w:r w:rsidR="00055E30" w:rsidRPr="00517F46">
        <w:rPr>
          <w:rFonts w:ascii="Arial" w:hAnsi="Arial" w:cs="Arial"/>
        </w:rPr>
        <w:t xml:space="preserve">ccess to </w:t>
      </w:r>
      <w:r w:rsidR="000A6CB1" w:rsidRPr="00517F46">
        <w:rPr>
          <w:rFonts w:ascii="Arial" w:hAnsi="Arial" w:cs="Arial"/>
        </w:rPr>
        <w:t xml:space="preserve">the following </w:t>
      </w:r>
      <w:r w:rsidR="00055E30" w:rsidRPr="00517F46">
        <w:rPr>
          <w:rFonts w:ascii="Arial" w:hAnsi="Arial" w:cs="Arial"/>
        </w:rPr>
        <w:t>four categories of information</w:t>
      </w:r>
      <w:r w:rsidR="00004302" w:rsidRPr="00517F46">
        <w:rPr>
          <w:rFonts w:ascii="Arial" w:hAnsi="Arial" w:cs="Arial"/>
        </w:rPr>
        <w:t>:-</w:t>
      </w:r>
    </w:p>
    <w:p w:rsidR="001330EF" w:rsidRPr="00DE4FBB" w:rsidRDefault="001330EF" w:rsidP="006B7081">
      <w:pPr>
        <w:pStyle w:val="ListParagraph"/>
        <w:autoSpaceDE w:val="0"/>
        <w:autoSpaceDN w:val="0"/>
        <w:adjustRightInd w:val="0"/>
        <w:spacing w:line="360" w:lineRule="auto"/>
        <w:ind w:left="851"/>
        <w:jc w:val="both"/>
        <w:rPr>
          <w:rFonts w:ascii="Arial" w:hAnsi="Arial" w:cs="Arial"/>
        </w:rPr>
      </w:pPr>
    </w:p>
    <w:p w:rsidR="006F3522" w:rsidRDefault="00004302" w:rsidP="005F7A8B">
      <w:pPr>
        <w:pStyle w:val="ListParagraph"/>
        <w:autoSpaceDE w:val="0"/>
        <w:autoSpaceDN w:val="0"/>
        <w:adjustRightInd w:val="0"/>
        <w:spacing w:line="360" w:lineRule="auto"/>
        <w:ind w:left="1985" w:hanging="1134"/>
        <w:jc w:val="both"/>
        <w:rPr>
          <w:rFonts w:ascii="Arial" w:hAnsi="Arial" w:cs="Arial"/>
        </w:rPr>
      </w:pPr>
      <w:r w:rsidRPr="00DE4FBB">
        <w:rPr>
          <w:rFonts w:ascii="Arial" w:hAnsi="Arial" w:cs="Arial"/>
        </w:rPr>
        <w:t>[a]</w:t>
      </w:r>
      <w:r w:rsidRPr="00DE4FBB">
        <w:rPr>
          <w:rFonts w:ascii="Arial" w:hAnsi="Arial" w:cs="Arial"/>
        </w:rPr>
        <w:tab/>
      </w:r>
      <w:r w:rsidR="001330EF">
        <w:rPr>
          <w:rFonts w:ascii="Arial" w:hAnsi="Arial" w:cs="Arial"/>
        </w:rPr>
        <w:tab/>
      </w:r>
      <w:r w:rsidR="00F82017" w:rsidRPr="00DE4FBB">
        <w:rPr>
          <w:rFonts w:ascii="Arial" w:hAnsi="Arial" w:cs="Arial"/>
        </w:rPr>
        <w:t>both</w:t>
      </w:r>
      <w:r w:rsidR="00E402CA" w:rsidRPr="00DE4FBB">
        <w:rPr>
          <w:rFonts w:ascii="Arial" w:hAnsi="Arial" w:cs="Arial"/>
        </w:rPr>
        <w:t xml:space="preserve"> investigation reports</w:t>
      </w:r>
      <w:r w:rsidR="001330EF">
        <w:rPr>
          <w:rFonts w:ascii="Arial" w:hAnsi="Arial" w:cs="Arial"/>
        </w:rPr>
        <w:t>;</w:t>
      </w:r>
    </w:p>
    <w:p w:rsidR="001330EF" w:rsidRPr="001330EF" w:rsidRDefault="001330EF" w:rsidP="005F7A8B">
      <w:pPr>
        <w:autoSpaceDE w:val="0"/>
        <w:autoSpaceDN w:val="0"/>
        <w:adjustRightInd w:val="0"/>
        <w:spacing w:line="360" w:lineRule="auto"/>
        <w:ind w:left="851"/>
        <w:jc w:val="both"/>
        <w:rPr>
          <w:rFonts w:ascii="Arial" w:hAnsi="Arial" w:cs="Arial"/>
        </w:rPr>
      </w:pPr>
    </w:p>
    <w:p w:rsidR="00055E30" w:rsidRPr="00DE4FBB" w:rsidRDefault="00004302" w:rsidP="005F7A8B">
      <w:pPr>
        <w:pStyle w:val="ListParagraph"/>
        <w:autoSpaceDE w:val="0"/>
        <w:autoSpaceDN w:val="0"/>
        <w:adjustRightInd w:val="0"/>
        <w:spacing w:line="360" w:lineRule="auto"/>
        <w:ind w:left="2127" w:hanging="1276"/>
        <w:jc w:val="both"/>
        <w:rPr>
          <w:rFonts w:ascii="Arial" w:hAnsi="Arial" w:cs="Arial"/>
        </w:rPr>
      </w:pPr>
      <w:r w:rsidRPr="00DE4FBB">
        <w:rPr>
          <w:rFonts w:ascii="Arial" w:hAnsi="Arial" w:cs="Arial"/>
        </w:rPr>
        <w:t>[b]</w:t>
      </w:r>
      <w:r w:rsidRPr="00DE4FBB">
        <w:rPr>
          <w:rFonts w:ascii="Arial" w:hAnsi="Arial" w:cs="Arial"/>
        </w:rPr>
        <w:tab/>
        <w:t>t</w:t>
      </w:r>
      <w:r w:rsidR="00E402CA" w:rsidRPr="00DE4FBB">
        <w:rPr>
          <w:rFonts w:ascii="Arial" w:hAnsi="Arial" w:cs="Arial"/>
        </w:rPr>
        <w:t xml:space="preserve">he records </w:t>
      </w:r>
      <w:r w:rsidR="006117ED">
        <w:rPr>
          <w:rFonts w:ascii="Arial" w:hAnsi="Arial" w:cs="Arial"/>
        </w:rPr>
        <w:t xml:space="preserve">of </w:t>
      </w:r>
      <w:r w:rsidR="00E402CA" w:rsidRPr="00DE4FBB">
        <w:rPr>
          <w:rFonts w:ascii="Arial" w:hAnsi="Arial" w:cs="Arial"/>
        </w:rPr>
        <w:t>the PEC meeting</w:t>
      </w:r>
      <w:r w:rsidR="006339F1">
        <w:rPr>
          <w:rFonts w:ascii="Arial" w:hAnsi="Arial" w:cs="Arial"/>
        </w:rPr>
        <w:t xml:space="preserve"> </w:t>
      </w:r>
      <w:r w:rsidR="006117ED">
        <w:rPr>
          <w:rFonts w:ascii="Arial" w:hAnsi="Arial" w:cs="Arial"/>
        </w:rPr>
        <w:t xml:space="preserve">insofar as it related to the </w:t>
      </w:r>
      <w:r w:rsidR="006339F1">
        <w:rPr>
          <w:rFonts w:ascii="Arial" w:hAnsi="Arial" w:cs="Arial"/>
        </w:rPr>
        <w:t xml:space="preserve">agenda </w:t>
      </w:r>
      <w:r w:rsidR="006339F1" w:rsidRPr="00DE4FBB">
        <w:rPr>
          <w:rFonts w:ascii="Arial" w:hAnsi="Arial" w:cs="Arial"/>
        </w:rPr>
        <w:t>item pertaining to the applicant</w:t>
      </w:r>
      <w:r w:rsidR="00E402CA" w:rsidRPr="00DE4FBB">
        <w:rPr>
          <w:rFonts w:ascii="Arial" w:hAnsi="Arial" w:cs="Arial"/>
        </w:rPr>
        <w:t xml:space="preserve">, </w:t>
      </w:r>
      <w:r w:rsidR="006F3522" w:rsidRPr="00DE4FBB">
        <w:rPr>
          <w:rFonts w:ascii="Arial" w:hAnsi="Arial" w:cs="Arial"/>
        </w:rPr>
        <w:t xml:space="preserve">including </w:t>
      </w:r>
      <w:r w:rsidR="006339F1">
        <w:rPr>
          <w:rFonts w:ascii="Arial" w:hAnsi="Arial" w:cs="Arial"/>
        </w:rPr>
        <w:t xml:space="preserve">the </w:t>
      </w:r>
      <w:r w:rsidR="006339F1" w:rsidRPr="00DE4FBB">
        <w:rPr>
          <w:rFonts w:ascii="Arial" w:hAnsi="Arial" w:cs="Arial"/>
        </w:rPr>
        <w:t>memorandum sent to the PEC</w:t>
      </w:r>
      <w:r w:rsidR="006339F1">
        <w:rPr>
          <w:rFonts w:ascii="Arial" w:hAnsi="Arial" w:cs="Arial"/>
        </w:rPr>
        <w:t xml:space="preserve">, </w:t>
      </w:r>
      <w:r w:rsidR="006339F1" w:rsidRPr="00DE4FBB">
        <w:rPr>
          <w:rFonts w:ascii="Arial" w:hAnsi="Arial" w:cs="Arial"/>
        </w:rPr>
        <w:t>any presentations, discussions and decisions taken at the meeting relating to the applicant</w:t>
      </w:r>
      <w:r w:rsidR="006339F1">
        <w:rPr>
          <w:rFonts w:ascii="Arial" w:hAnsi="Arial" w:cs="Arial"/>
        </w:rPr>
        <w:t>,</w:t>
      </w:r>
      <w:r w:rsidR="006339F1" w:rsidRPr="00DE4FBB">
        <w:rPr>
          <w:rFonts w:ascii="Arial" w:hAnsi="Arial" w:cs="Arial"/>
        </w:rPr>
        <w:t xml:space="preserve"> the</w:t>
      </w:r>
      <w:r w:rsidR="00FD2A00" w:rsidRPr="00DE4FBB">
        <w:rPr>
          <w:rFonts w:ascii="Arial" w:hAnsi="Arial" w:cs="Arial"/>
        </w:rPr>
        <w:t xml:space="preserve"> minutes</w:t>
      </w:r>
      <w:r w:rsidR="006339F1">
        <w:rPr>
          <w:rFonts w:ascii="Arial" w:hAnsi="Arial" w:cs="Arial"/>
        </w:rPr>
        <w:t xml:space="preserve"> and the audio</w:t>
      </w:r>
      <w:r w:rsidR="006F3522" w:rsidRPr="00DE4FBB">
        <w:rPr>
          <w:rFonts w:ascii="Arial" w:hAnsi="Arial" w:cs="Arial"/>
        </w:rPr>
        <w:t xml:space="preserve"> </w:t>
      </w:r>
      <w:r w:rsidR="00FD2A00" w:rsidRPr="00DE4FBB">
        <w:rPr>
          <w:rFonts w:ascii="Arial" w:hAnsi="Arial" w:cs="Arial"/>
        </w:rPr>
        <w:t>recordings of the deliberations</w:t>
      </w:r>
      <w:r w:rsidR="006339F1">
        <w:rPr>
          <w:rFonts w:ascii="Arial" w:hAnsi="Arial" w:cs="Arial"/>
        </w:rPr>
        <w:t>;</w:t>
      </w:r>
    </w:p>
    <w:p w:rsidR="001330EF" w:rsidRDefault="001330EF" w:rsidP="005F7A8B">
      <w:pPr>
        <w:pStyle w:val="ListParagraph"/>
        <w:autoSpaceDE w:val="0"/>
        <w:autoSpaceDN w:val="0"/>
        <w:adjustRightInd w:val="0"/>
        <w:spacing w:line="360" w:lineRule="auto"/>
        <w:ind w:left="2127" w:hanging="1276"/>
        <w:jc w:val="both"/>
        <w:rPr>
          <w:rFonts w:ascii="Arial" w:hAnsi="Arial" w:cs="Arial"/>
        </w:rPr>
      </w:pPr>
    </w:p>
    <w:p w:rsidR="00CE4259" w:rsidRPr="00DE4FBB" w:rsidRDefault="00004302" w:rsidP="005F7A8B">
      <w:pPr>
        <w:pStyle w:val="ListParagraph"/>
        <w:autoSpaceDE w:val="0"/>
        <w:autoSpaceDN w:val="0"/>
        <w:adjustRightInd w:val="0"/>
        <w:spacing w:line="360" w:lineRule="auto"/>
        <w:ind w:left="1985" w:hanging="1134"/>
        <w:jc w:val="both"/>
        <w:rPr>
          <w:rFonts w:ascii="Arial" w:hAnsi="Arial" w:cs="Arial"/>
        </w:rPr>
      </w:pPr>
      <w:r w:rsidRPr="00DE4FBB">
        <w:rPr>
          <w:rFonts w:ascii="Arial" w:hAnsi="Arial" w:cs="Arial"/>
        </w:rPr>
        <w:t>[c]</w:t>
      </w:r>
      <w:r w:rsidRPr="00DE4FBB">
        <w:rPr>
          <w:rFonts w:ascii="Arial" w:hAnsi="Arial" w:cs="Arial"/>
        </w:rPr>
        <w:tab/>
      </w:r>
      <w:r w:rsidR="00CE4259" w:rsidRPr="00DE4FBB">
        <w:rPr>
          <w:rFonts w:ascii="Arial" w:hAnsi="Arial" w:cs="Arial"/>
        </w:rPr>
        <w:t xml:space="preserve">the scoresheets populated by each panel member in respect of the </w:t>
      </w:r>
      <w:r w:rsidR="00FF19B6" w:rsidRPr="00DE4FBB">
        <w:rPr>
          <w:rFonts w:ascii="Arial" w:hAnsi="Arial" w:cs="Arial"/>
        </w:rPr>
        <w:t>applica</w:t>
      </w:r>
      <w:r w:rsidR="0049672E" w:rsidRPr="00DE4FBB">
        <w:rPr>
          <w:rFonts w:ascii="Arial" w:hAnsi="Arial" w:cs="Arial"/>
        </w:rPr>
        <w:t>nt’s application</w:t>
      </w:r>
      <w:r w:rsidR="00FF19B6" w:rsidRPr="00DE4FBB">
        <w:rPr>
          <w:rFonts w:ascii="Arial" w:hAnsi="Arial" w:cs="Arial"/>
        </w:rPr>
        <w:t xml:space="preserve"> for the post of </w:t>
      </w:r>
      <w:r w:rsidRPr="00DE4FBB">
        <w:rPr>
          <w:rFonts w:ascii="Arial" w:hAnsi="Arial" w:cs="Arial"/>
        </w:rPr>
        <w:t>H</w:t>
      </w:r>
      <w:r w:rsidR="00CC606D" w:rsidRPr="00DE4FBB">
        <w:rPr>
          <w:rFonts w:ascii="Arial" w:hAnsi="Arial" w:cs="Arial"/>
        </w:rPr>
        <w:t>ead of the</w:t>
      </w:r>
      <w:r w:rsidRPr="00DE4FBB">
        <w:rPr>
          <w:rFonts w:ascii="Arial" w:hAnsi="Arial" w:cs="Arial"/>
        </w:rPr>
        <w:t xml:space="preserve"> Department of</w:t>
      </w:r>
      <w:r w:rsidR="00FF19B6" w:rsidRPr="00DE4FBB">
        <w:rPr>
          <w:rFonts w:ascii="Arial" w:hAnsi="Arial" w:cs="Arial"/>
        </w:rPr>
        <w:t xml:space="preserve"> Social Development</w:t>
      </w:r>
      <w:r w:rsidR="00CE4259" w:rsidRPr="00DE4FBB">
        <w:rPr>
          <w:rFonts w:ascii="Arial" w:hAnsi="Arial" w:cs="Arial"/>
        </w:rPr>
        <w:t xml:space="preserve">, the minutes </w:t>
      </w:r>
      <w:r w:rsidR="006339F1">
        <w:rPr>
          <w:rFonts w:ascii="Arial" w:hAnsi="Arial" w:cs="Arial"/>
        </w:rPr>
        <w:t xml:space="preserve">and voice recording </w:t>
      </w:r>
      <w:r w:rsidR="00CE4259" w:rsidRPr="00DE4FBB">
        <w:rPr>
          <w:rFonts w:ascii="Arial" w:hAnsi="Arial" w:cs="Arial"/>
        </w:rPr>
        <w:t xml:space="preserve">of the </w:t>
      </w:r>
      <w:r w:rsidR="006339F1">
        <w:rPr>
          <w:rFonts w:ascii="Arial" w:hAnsi="Arial" w:cs="Arial"/>
        </w:rPr>
        <w:t xml:space="preserve">applicant’s </w:t>
      </w:r>
      <w:r w:rsidR="00CE4259" w:rsidRPr="00DE4FBB">
        <w:rPr>
          <w:rFonts w:ascii="Arial" w:hAnsi="Arial" w:cs="Arial"/>
        </w:rPr>
        <w:t>interview</w:t>
      </w:r>
      <w:r w:rsidR="006339F1">
        <w:rPr>
          <w:rFonts w:ascii="Arial" w:hAnsi="Arial" w:cs="Arial"/>
        </w:rPr>
        <w:t xml:space="preserve"> </w:t>
      </w:r>
      <w:r w:rsidR="00CE4259" w:rsidRPr="00DE4FBB">
        <w:rPr>
          <w:rFonts w:ascii="Arial" w:hAnsi="Arial" w:cs="Arial"/>
        </w:rPr>
        <w:t xml:space="preserve">and </w:t>
      </w:r>
      <w:r w:rsidR="00FF19B6" w:rsidRPr="00DE4FBB">
        <w:rPr>
          <w:rFonts w:ascii="Arial" w:hAnsi="Arial" w:cs="Arial"/>
        </w:rPr>
        <w:t xml:space="preserve">the </w:t>
      </w:r>
      <w:r w:rsidR="00CE4259" w:rsidRPr="00DE4FBB">
        <w:rPr>
          <w:rFonts w:ascii="Arial" w:hAnsi="Arial" w:cs="Arial"/>
        </w:rPr>
        <w:t>assessment discussions relating to the applicant</w:t>
      </w:r>
      <w:r w:rsidR="005A2DDE" w:rsidRPr="00DE4FBB">
        <w:rPr>
          <w:rFonts w:ascii="Arial" w:hAnsi="Arial" w:cs="Arial"/>
        </w:rPr>
        <w:t>;</w:t>
      </w:r>
      <w:r w:rsidRPr="00DE4FBB">
        <w:rPr>
          <w:rFonts w:ascii="Arial" w:hAnsi="Arial" w:cs="Arial"/>
        </w:rPr>
        <w:t xml:space="preserve"> </w:t>
      </w:r>
    </w:p>
    <w:p w:rsidR="001330EF" w:rsidRDefault="001330EF" w:rsidP="005F7A8B">
      <w:pPr>
        <w:pStyle w:val="ListParagraph"/>
        <w:autoSpaceDE w:val="0"/>
        <w:autoSpaceDN w:val="0"/>
        <w:adjustRightInd w:val="0"/>
        <w:spacing w:after="240" w:line="360" w:lineRule="auto"/>
        <w:ind w:left="851"/>
        <w:jc w:val="both"/>
        <w:rPr>
          <w:rFonts w:ascii="Arial" w:hAnsi="Arial" w:cs="Arial"/>
        </w:rPr>
      </w:pPr>
    </w:p>
    <w:p w:rsidR="00CE4259" w:rsidRPr="00DE4FBB" w:rsidRDefault="00004302" w:rsidP="005F7A8B">
      <w:pPr>
        <w:pStyle w:val="ListParagraph"/>
        <w:autoSpaceDE w:val="0"/>
        <w:autoSpaceDN w:val="0"/>
        <w:adjustRightInd w:val="0"/>
        <w:spacing w:after="240" w:line="360" w:lineRule="auto"/>
        <w:ind w:left="1985" w:hanging="1134"/>
        <w:jc w:val="both"/>
        <w:rPr>
          <w:rFonts w:ascii="Arial" w:hAnsi="Arial" w:cs="Arial"/>
        </w:rPr>
      </w:pPr>
      <w:r w:rsidRPr="00DE4FBB">
        <w:rPr>
          <w:rFonts w:ascii="Arial" w:hAnsi="Arial" w:cs="Arial"/>
        </w:rPr>
        <w:lastRenderedPageBreak/>
        <w:t>[d]</w:t>
      </w:r>
      <w:r w:rsidRPr="00DE4FBB">
        <w:rPr>
          <w:rFonts w:ascii="Arial" w:hAnsi="Arial" w:cs="Arial"/>
        </w:rPr>
        <w:tab/>
      </w:r>
      <w:r w:rsidR="007A2306" w:rsidRPr="00DE4FBB">
        <w:rPr>
          <w:rFonts w:ascii="Arial" w:hAnsi="Arial" w:cs="Arial"/>
        </w:rPr>
        <w:t>t</w:t>
      </w:r>
      <w:r w:rsidR="00FF19B6" w:rsidRPr="00DE4FBB">
        <w:rPr>
          <w:rFonts w:ascii="Arial" w:hAnsi="Arial" w:cs="Arial"/>
        </w:rPr>
        <w:t xml:space="preserve">he list of applicants for the post of </w:t>
      </w:r>
      <w:r w:rsidRPr="00DE4FBB">
        <w:rPr>
          <w:rFonts w:ascii="Arial" w:hAnsi="Arial" w:cs="Arial"/>
        </w:rPr>
        <w:t>H</w:t>
      </w:r>
      <w:r w:rsidR="005A2DDE" w:rsidRPr="00DE4FBB">
        <w:rPr>
          <w:rFonts w:ascii="Arial" w:hAnsi="Arial" w:cs="Arial"/>
        </w:rPr>
        <w:t xml:space="preserve">ead of the </w:t>
      </w:r>
      <w:r w:rsidRPr="00DE4FBB">
        <w:rPr>
          <w:rFonts w:ascii="Arial" w:hAnsi="Arial" w:cs="Arial"/>
        </w:rPr>
        <w:t xml:space="preserve">Department of </w:t>
      </w:r>
      <w:r w:rsidR="00FF19B6" w:rsidRPr="00DE4FBB">
        <w:rPr>
          <w:rFonts w:ascii="Arial" w:hAnsi="Arial" w:cs="Arial"/>
        </w:rPr>
        <w:t>Transport</w:t>
      </w:r>
      <w:r w:rsidR="006339F1">
        <w:rPr>
          <w:rFonts w:ascii="Arial" w:hAnsi="Arial" w:cs="Arial"/>
        </w:rPr>
        <w:t xml:space="preserve"> and</w:t>
      </w:r>
      <w:r w:rsidR="00FF19B6" w:rsidRPr="00DE4FBB">
        <w:rPr>
          <w:rFonts w:ascii="Arial" w:hAnsi="Arial" w:cs="Arial"/>
        </w:rPr>
        <w:t xml:space="preserve"> the minutes of the shortlisting meeting insofar as they pertain to the applicant</w:t>
      </w:r>
      <w:r w:rsidR="006117ED">
        <w:rPr>
          <w:rFonts w:ascii="Arial" w:hAnsi="Arial" w:cs="Arial"/>
        </w:rPr>
        <w:t>,</w:t>
      </w:r>
      <w:r w:rsidR="00FF19B6" w:rsidRPr="00DE4FBB">
        <w:rPr>
          <w:rFonts w:ascii="Arial" w:hAnsi="Arial" w:cs="Arial"/>
        </w:rPr>
        <w:t xml:space="preserve"> together with reasons why </w:t>
      </w:r>
      <w:r w:rsidRPr="00DE4FBB">
        <w:rPr>
          <w:rFonts w:ascii="Arial" w:hAnsi="Arial" w:cs="Arial"/>
        </w:rPr>
        <w:t xml:space="preserve">she </w:t>
      </w:r>
      <w:r w:rsidR="00FF19B6" w:rsidRPr="00DE4FBB">
        <w:rPr>
          <w:rFonts w:ascii="Arial" w:hAnsi="Arial" w:cs="Arial"/>
        </w:rPr>
        <w:t xml:space="preserve">was not shortlisted. </w:t>
      </w:r>
    </w:p>
    <w:p w:rsidR="00E402CA" w:rsidRPr="00DE4FBB" w:rsidRDefault="00E402CA" w:rsidP="005F7A8B">
      <w:pPr>
        <w:pStyle w:val="ListParagraph"/>
        <w:autoSpaceDE w:val="0"/>
        <w:autoSpaceDN w:val="0"/>
        <w:adjustRightInd w:val="0"/>
        <w:spacing w:line="360" w:lineRule="auto"/>
        <w:ind w:left="851"/>
        <w:jc w:val="both"/>
        <w:rPr>
          <w:rFonts w:ascii="Arial" w:hAnsi="Arial" w:cs="Arial"/>
        </w:rPr>
      </w:pPr>
    </w:p>
    <w:p w:rsidR="006117ED" w:rsidRPr="00517F46" w:rsidRDefault="00517F46" w:rsidP="00517F46">
      <w:pPr>
        <w:autoSpaceDE w:val="0"/>
        <w:autoSpaceDN w:val="0"/>
        <w:adjustRightInd w:val="0"/>
        <w:spacing w:line="360" w:lineRule="auto"/>
        <w:jc w:val="both"/>
        <w:rPr>
          <w:rFonts w:ascii="Arial" w:hAnsi="Arial" w:cs="Arial"/>
        </w:rPr>
      </w:pPr>
      <w:r>
        <w:rPr>
          <w:rFonts w:ascii="Arial" w:hAnsi="Arial" w:cs="Arial"/>
        </w:rPr>
        <w:t>[18]</w:t>
      </w:r>
      <w:r>
        <w:rPr>
          <w:rFonts w:ascii="Arial" w:hAnsi="Arial" w:cs="Arial"/>
        </w:rPr>
        <w:tab/>
      </w:r>
      <w:r w:rsidR="00D03DBD" w:rsidRPr="00517F46">
        <w:rPr>
          <w:rFonts w:ascii="Arial" w:hAnsi="Arial" w:cs="Arial"/>
        </w:rPr>
        <w:t xml:space="preserve">On 15 December 2021 the </w:t>
      </w:r>
      <w:r w:rsidR="00004302" w:rsidRPr="00517F46">
        <w:rPr>
          <w:rFonts w:ascii="Arial" w:hAnsi="Arial" w:cs="Arial"/>
        </w:rPr>
        <w:t xml:space="preserve">Director-General </w:t>
      </w:r>
      <w:r w:rsidR="00D03DBD" w:rsidRPr="00517F46">
        <w:rPr>
          <w:rFonts w:ascii="Arial" w:hAnsi="Arial" w:cs="Arial"/>
        </w:rPr>
        <w:t>wrote to the applicant explaining that the</w:t>
      </w:r>
      <w:r w:rsidR="00004302" w:rsidRPr="00517F46">
        <w:rPr>
          <w:rFonts w:ascii="Arial" w:hAnsi="Arial" w:cs="Arial"/>
        </w:rPr>
        <w:t xml:space="preserve"> </w:t>
      </w:r>
      <w:r w:rsidR="005E151C" w:rsidRPr="00517F46">
        <w:rPr>
          <w:rFonts w:ascii="Arial" w:hAnsi="Arial" w:cs="Arial"/>
        </w:rPr>
        <w:t xml:space="preserve">office of the </w:t>
      </w:r>
      <w:r w:rsidR="00004302" w:rsidRPr="00517F46">
        <w:rPr>
          <w:rFonts w:ascii="Arial" w:hAnsi="Arial" w:cs="Arial"/>
        </w:rPr>
        <w:t xml:space="preserve">Premier </w:t>
      </w:r>
      <w:r w:rsidR="00D03DBD" w:rsidRPr="00517F46">
        <w:rPr>
          <w:rFonts w:ascii="Arial" w:hAnsi="Arial" w:cs="Arial"/>
        </w:rPr>
        <w:t>would not be able to deal with the request within 30 days as envisaged by section 25(1) of</w:t>
      </w:r>
      <w:r w:rsidR="00004302" w:rsidRPr="00517F46">
        <w:rPr>
          <w:rFonts w:ascii="Arial" w:hAnsi="Arial" w:cs="Arial"/>
        </w:rPr>
        <w:t xml:space="preserve"> PAIA</w:t>
      </w:r>
      <w:r w:rsidR="00D03DBD" w:rsidRPr="00517F46">
        <w:rPr>
          <w:rFonts w:ascii="Arial" w:hAnsi="Arial" w:cs="Arial"/>
        </w:rPr>
        <w:t xml:space="preserve">, because there was a need to provide notification to </w:t>
      </w:r>
      <w:r w:rsidR="00CE4259" w:rsidRPr="00517F46">
        <w:rPr>
          <w:rFonts w:ascii="Arial" w:hAnsi="Arial" w:cs="Arial"/>
        </w:rPr>
        <w:t xml:space="preserve">third </w:t>
      </w:r>
      <w:r w:rsidR="00D03DBD" w:rsidRPr="00517F46">
        <w:rPr>
          <w:rFonts w:ascii="Arial" w:hAnsi="Arial" w:cs="Arial"/>
        </w:rPr>
        <w:t xml:space="preserve">parties as contemplated by </w:t>
      </w:r>
      <w:r w:rsidR="0049672E" w:rsidRPr="00517F46">
        <w:rPr>
          <w:rFonts w:ascii="Arial" w:hAnsi="Arial" w:cs="Arial"/>
        </w:rPr>
        <w:t>C</w:t>
      </w:r>
      <w:r w:rsidR="00D03DBD" w:rsidRPr="00517F46">
        <w:rPr>
          <w:rFonts w:ascii="Arial" w:hAnsi="Arial" w:cs="Arial"/>
        </w:rPr>
        <w:t xml:space="preserve">hapter 5. By 9 May 2022 </w:t>
      </w:r>
      <w:r w:rsidR="00077216" w:rsidRPr="00517F46">
        <w:rPr>
          <w:rFonts w:ascii="Arial" w:hAnsi="Arial" w:cs="Arial"/>
        </w:rPr>
        <w:t xml:space="preserve">there was still </w:t>
      </w:r>
      <w:r w:rsidR="006339F1" w:rsidRPr="00517F46">
        <w:rPr>
          <w:rFonts w:ascii="Arial" w:hAnsi="Arial" w:cs="Arial"/>
        </w:rPr>
        <w:t xml:space="preserve">no </w:t>
      </w:r>
      <w:r w:rsidR="00D03DBD" w:rsidRPr="00517F46">
        <w:rPr>
          <w:rFonts w:ascii="Arial" w:hAnsi="Arial" w:cs="Arial"/>
        </w:rPr>
        <w:t>response</w:t>
      </w:r>
      <w:r w:rsidR="00CC606D" w:rsidRPr="00517F46">
        <w:rPr>
          <w:rFonts w:ascii="Arial" w:hAnsi="Arial" w:cs="Arial"/>
        </w:rPr>
        <w:t>. T</w:t>
      </w:r>
      <w:r w:rsidR="00D03DBD" w:rsidRPr="00517F46">
        <w:rPr>
          <w:rFonts w:ascii="Arial" w:hAnsi="Arial" w:cs="Arial"/>
        </w:rPr>
        <w:t xml:space="preserve">he applicant </w:t>
      </w:r>
      <w:r w:rsidR="00CC606D" w:rsidRPr="00517F46">
        <w:rPr>
          <w:rFonts w:ascii="Arial" w:hAnsi="Arial" w:cs="Arial"/>
        </w:rPr>
        <w:t xml:space="preserve">consequently </w:t>
      </w:r>
      <w:r w:rsidR="00D03DBD" w:rsidRPr="00517F46">
        <w:rPr>
          <w:rFonts w:ascii="Arial" w:hAnsi="Arial" w:cs="Arial"/>
        </w:rPr>
        <w:t xml:space="preserve">demanded the records by 18 May 2022, failing which she </w:t>
      </w:r>
      <w:r w:rsidR="00EA32E5" w:rsidRPr="00517F46">
        <w:rPr>
          <w:rFonts w:ascii="Arial" w:hAnsi="Arial" w:cs="Arial"/>
        </w:rPr>
        <w:t xml:space="preserve">indicated she </w:t>
      </w:r>
      <w:r w:rsidR="00D03DBD" w:rsidRPr="00517F46">
        <w:rPr>
          <w:rFonts w:ascii="Arial" w:hAnsi="Arial" w:cs="Arial"/>
        </w:rPr>
        <w:t>would pursue legal avenues</w:t>
      </w:r>
      <w:r w:rsidR="00004302" w:rsidRPr="00517F46">
        <w:rPr>
          <w:rFonts w:ascii="Arial" w:hAnsi="Arial" w:cs="Arial"/>
        </w:rPr>
        <w:t xml:space="preserve">. </w:t>
      </w:r>
    </w:p>
    <w:p w:rsidR="006117ED" w:rsidRDefault="006117ED" w:rsidP="006117ED">
      <w:pPr>
        <w:pStyle w:val="ListParagraph"/>
        <w:autoSpaceDE w:val="0"/>
        <w:autoSpaceDN w:val="0"/>
        <w:adjustRightInd w:val="0"/>
        <w:spacing w:line="360" w:lineRule="auto"/>
        <w:ind w:left="0"/>
        <w:jc w:val="both"/>
        <w:rPr>
          <w:rFonts w:ascii="Arial" w:hAnsi="Arial" w:cs="Arial"/>
        </w:rPr>
      </w:pPr>
    </w:p>
    <w:p w:rsidR="00773F2D" w:rsidRPr="00517F46" w:rsidRDefault="00517F46" w:rsidP="00517F46">
      <w:pPr>
        <w:autoSpaceDE w:val="0"/>
        <w:autoSpaceDN w:val="0"/>
        <w:adjustRightInd w:val="0"/>
        <w:spacing w:line="360" w:lineRule="auto"/>
        <w:jc w:val="both"/>
        <w:rPr>
          <w:rFonts w:ascii="Arial" w:hAnsi="Arial" w:cs="Arial"/>
        </w:rPr>
      </w:pPr>
      <w:r w:rsidRPr="006117ED">
        <w:rPr>
          <w:rFonts w:ascii="Arial" w:hAnsi="Arial" w:cs="Arial"/>
        </w:rPr>
        <w:t>[19]</w:t>
      </w:r>
      <w:r w:rsidRPr="006117ED">
        <w:rPr>
          <w:rFonts w:ascii="Arial" w:hAnsi="Arial" w:cs="Arial"/>
        </w:rPr>
        <w:tab/>
      </w:r>
      <w:r w:rsidR="00004302" w:rsidRPr="00517F46">
        <w:rPr>
          <w:rFonts w:ascii="Arial" w:hAnsi="Arial" w:cs="Arial"/>
        </w:rPr>
        <w:t xml:space="preserve">This galvanised a response </w:t>
      </w:r>
      <w:r w:rsidR="002229BD" w:rsidRPr="00517F46">
        <w:rPr>
          <w:rFonts w:ascii="Arial" w:hAnsi="Arial" w:cs="Arial"/>
        </w:rPr>
        <w:t>the day before the applicant’s deadline</w:t>
      </w:r>
      <w:r w:rsidR="009E1745" w:rsidRPr="00517F46">
        <w:rPr>
          <w:rFonts w:ascii="Arial" w:hAnsi="Arial" w:cs="Arial"/>
        </w:rPr>
        <w:t>.</w:t>
      </w:r>
      <w:r w:rsidR="00773F2D" w:rsidRPr="00517F46">
        <w:rPr>
          <w:rFonts w:ascii="Arial" w:hAnsi="Arial" w:cs="Arial"/>
        </w:rPr>
        <w:t xml:space="preserve"> Th</w:t>
      </w:r>
      <w:r w:rsidR="006339F1" w:rsidRPr="00517F46">
        <w:rPr>
          <w:rFonts w:ascii="Arial" w:hAnsi="Arial" w:cs="Arial"/>
        </w:rPr>
        <w:t>e</w:t>
      </w:r>
      <w:r w:rsidR="00773F2D" w:rsidRPr="00517F46">
        <w:rPr>
          <w:rFonts w:ascii="Arial" w:hAnsi="Arial" w:cs="Arial"/>
        </w:rPr>
        <w:t xml:space="preserve"> response dealt with all the categories of documents requested, there being no suggestion that the applicant should have directed any of her requests elsewhere. </w:t>
      </w:r>
    </w:p>
    <w:p w:rsidR="006117ED" w:rsidRDefault="00773F2D" w:rsidP="006117ED">
      <w:pPr>
        <w:pStyle w:val="ListParagraph"/>
        <w:autoSpaceDE w:val="0"/>
        <w:autoSpaceDN w:val="0"/>
        <w:adjustRightInd w:val="0"/>
        <w:spacing w:line="360" w:lineRule="auto"/>
        <w:ind w:left="0"/>
        <w:jc w:val="both"/>
        <w:rPr>
          <w:rFonts w:ascii="Arial" w:hAnsi="Arial" w:cs="Arial"/>
        </w:rPr>
      </w:pPr>
      <w:r w:rsidRPr="00DE4FBB">
        <w:rPr>
          <w:rFonts w:ascii="Arial" w:hAnsi="Arial" w:cs="Arial"/>
        </w:rPr>
        <w:t>T</w:t>
      </w:r>
      <w:r w:rsidR="009E1745" w:rsidRPr="00DE4FBB">
        <w:rPr>
          <w:rFonts w:ascii="Arial" w:hAnsi="Arial" w:cs="Arial"/>
        </w:rPr>
        <w:t xml:space="preserve">he </w:t>
      </w:r>
      <w:r w:rsidR="006117ED">
        <w:rPr>
          <w:rFonts w:ascii="Arial" w:hAnsi="Arial" w:cs="Arial"/>
        </w:rPr>
        <w:t>Director-General</w:t>
      </w:r>
      <w:r w:rsidR="009E1745" w:rsidRPr="00DE4FBB">
        <w:rPr>
          <w:rFonts w:ascii="Arial" w:hAnsi="Arial" w:cs="Arial"/>
        </w:rPr>
        <w:t xml:space="preserve"> provided only the minutes of the interviews for the position of H</w:t>
      </w:r>
      <w:r w:rsidR="00CC606D" w:rsidRPr="00DE4FBB">
        <w:rPr>
          <w:rFonts w:ascii="Arial" w:hAnsi="Arial" w:cs="Arial"/>
        </w:rPr>
        <w:t>ead of the</w:t>
      </w:r>
      <w:r w:rsidR="009E1745" w:rsidRPr="00DE4FBB">
        <w:rPr>
          <w:rFonts w:ascii="Arial" w:hAnsi="Arial" w:cs="Arial"/>
        </w:rPr>
        <w:t xml:space="preserve"> Department of Social </w:t>
      </w:r>
      <w:r w:rsidRPr="00DE4FBB">
        <w:rPr>
          <w:rFonts w:ascii="Arial" w:hAnsi="Arial" w:cs="Arial"/>
        </w:rPr>
        <w:t>Development</w:t>
      </w:r>
      <w:r w:rsidR="009E1745" w:rsidRPr="00DE4FBB">
        <w:rPr>
          <w:rFonts w:ascii="Arial" w:hAnsi="Arial" w:cs="Arial"/>
        </w:rPr>
        <w:t xml:space="preserve">, a summary reflecting the totals of the scoresheets </w:t>
      </w:r>
      <w:r w:rsidR="00077216" w:rsidRPr="00DE4FBB">
        <w:rPr>
          <w:rFonts w:ascii="Arial" w:hAnsi="Arial" w:cs="Arial"/>
        </w:rPr>
        <w:t>for the applicant (</w:t>
      </w:r>
      <w:r w:rsidR="009E1745" w:rsidRPr="00DE4FBB">
        <w:rPr>
          <w:rFonts w:ascii="Arial" w:hAnsi="Arial" w:cs="Arial"/>
        </w:rPr>
        <w:t>but not the audio recordings or the scoresheets of each panel member</w:t>
      </w:r>
      <w:r w:rsidR="00077216" w:rsidRPr="00DE4FBB">
        <w:rPr>
          <w:rFonts w:ascii="Arial" w:hAnsi="Arial" w:cs="Arial"/>
        </w:rPr>
        <w:t>)</w:t>
      </w:r>
      <w:r w:rsidR="009E1745" w:rsidRPr="00DE4FBB">
        <w:rPr>
          <w:rFonts w:ascii="Arial" w:hAnsi="Arial" w:cs="Arial"/>
        </w:rPr>
        <w:t xml:space="preserve"> and the minutes of the meeting of the shortlisting committee</w:t>
      </w:r>
      <w:r w:rsidR="00CC606D" w:rsidRPr="00DE4FBB">
        <w:rPr>
          <w:rFonts w:ascii="Arial" w:hAnsi="Arial" w:cs="Arial"/>
        </w:rPr>
        <w:t xml:space="preserve"> </w:t>
      </w:r>
      <w:r w:rsidR="009E1745" w:rsidRPr="00DE4FBB">
        <w:rPr>
          <w:rFonts w:ascii="Arial" w:hAnsi="Arial" w:cs="Arial"/>
        </w:rPr>
        <w:t>for the position of H</w:t>
      </w:r>
      <w:r w:rsidR="00CC606D" w:rsidRPr="00DE4FBB">
        <w:rPr>
          <w:rFonts w:ascii="Arial" w:hAnsi="Arial" w:cs="Arial"/>
        </w:rPr>
        <w:t xml:space="preserve">ead of the </w:t>
      </w:r>
      <w:r w:rsidR="009E1745" w:rsidRPr="00DE4FBB">
        <w:rPr>
          <w:rFonts w:ascii="Arial" w:hAnsi="Arial" w:cs="Arial"/>
        </w:rPr>
        <w:t xml:space="preserve"> Department of Transpo</w:t>
      </w:r>
      <w:r w:rsidR="00CC606D" w:rsidRPr="00DE4FBB">
        <w:rPr>
          <w:rFonts w:ascii="Arial" w:hAnsi="Arial" w:cs="Arial"/>
        </w:rPr>
        <w:t xml:space="preserve">rt with the names of the other candidates redacted because that constituted personal information protected in terms of the Protection of Personal Information Act, 4 of 2013. </w:t>
      </w:r>
      <w:r w:rsidR="00A54E8D" w:rsidRPr="00DE4FBB">
        <w:rPr>
          <w:rFonts w:ascii="Arial" w:hAnsi="Arial" w:cs="Arial"/>
        </w:rPr>
        <w:t>A</w:t>
      </w:r>
      <w:r w:rsidR="00D03DBD" w:rsidRPr="00DE4FBB">
        <w:rPr>
          <w:rFonts w:ascii="Arial" w:hAnsi="Arial" w:cs="Arial"/>
        </w:rPr>
        <w:t xml:space="preserve">n </w:t>
      </w:r>
      <w:r w:rsidR="00EF1409" w:rsidRPr="00DE4FBB">
        <w:rPr>
          <w:rFonts w:ascii="Arial" w:hAnsi="Arial" w:cs="Arial"/>
        </w:rPr>
        <w:t xml:space="preserve">appeal to the Premier </w:t>
      </w:r>
      <w:r w:rsidR="008635E7" w:rsidRPr="00DE4FBB">
        <w:rPr>
          <w:rFonts w:ascii="Arial" w:hAnsi="Arial" w:cs="Arial"/>
        </w:rPr>
        <w:t xml:space="preserve">for </w:t>
      </w:r>
      <w:r w:rsidR="00465C88" w:rsidRPr="00DE4FBB">
        <w:rPr>
          <w:rFonts w:ascii="Arial" w:hAnsi="Arial" w:cs="Arial"/>
        </w:rPr>
        <w:t xml:space="preserve">access to </w:t>
      </w:r>
      <w:r w:rsidR="008635E7" w:rsidRPr="00DE4FBB">
        <w:rPr>
          <w:rFonts w:ascii="Arial" w:hAnsi="Arial" w:cs="Arial"/>
        </w:rPr>
        <w:t xml:space="preserve">the balance of the information </w:t>
      </w:r>
      <w:r w:rsidR="00752EB0" w:rsidRPr="00DE4FBB">
        <w:rPr>
          <w:rFonts w:ascii="Arial" w:hAnsi="Arial" w:cs="Arial"/>
        </w:rPr>
        <w:t>followed</w:t>
      </w:r>
      <w:r w:rsidR="00BB7D6D" w:rsidRPr="00DE4FBB">
        <w:rPr>
          <w:rFonts w:ascii="Arial" w:hAnsi="Arial" w:cs="Arial"/>
        </w:rPr>
        <w:t>, albeit out of time</w:t>
      </w:r>
      <w:r w:rsidR="00FB1929" w:rsidRPr="00DE4FBB">
        <w:rPr>
          <w:rFonts w:ascii="Arial" w:hAnsi="Arial" w:cs="Arial"/>
        </w:rPr>
        <w:t xml:space="preserve">. </w:t>
      </w:r>
    </w:p>
    <w:p w:rsidR="006117ED" w:rsidRDefault="006117ED" w:rsidP="006117ED">
      <w:pPr>
        <w:pStyle w:val="ListParagraph"/>
        <w:autoSpaceDE w:val="0"/>
        <w:autoSpaceDN w:val="0"/>
        <w:adjustRightInd w:val="0"/>
        <w:spacing w:line="360" w:lineRule="auto"/>
        <w:ind w:left="0"/>
        <w:jc w:val="both"/>
        <w:rPr>
          <w:rFonts w:ascii="Arial" w:hAnsi="Arial" w:cs="Arial"/>
        </w:rPr>
      </w:pPr>
    </w:p>
    <w:p w:rsidR="007A2306" w:rsidRPr="00517F46" w:rsidRDefault="00517F46" w:rsidP="00517F46">
      <w:pPr>
        <w:autoSpaceDE w:val="0"/>
        <w:autoSpaceDN w:val="0"/>
        <w:adjustRightInd w:val="0"/>
        <w:spacing w:line="360" w:lineRule="auto"/>
        <w:jc w:val="both"/>
        <w:rPr>
          <w:rFonts w:ascii="Arial" w:hAnsi="Arial" w:cs="Arial"/>
        </w:rPr>
      </w:pPr>
      <w:r w:rsidRPr="0073536A">
        <w:rPr>
          <w:rFonts w:ascii="Arial" w:hAnsi="Arial" w:cs="Arial"/>
        </w:rPr>
        <w:t>[20]</w:t>
      </w:r>
      <w:r w:rsidRPr="0073536A">
        <w:rPr>
          <w:rFonts w:ascii="Arial" w:hAnsi="Arial" w:cs="Arial"/>
        </w:rPr>
        <w:tab/>
      </w:r>
      <w:r w:rsidR="00FB1929" w:rsidRPr="00517F46">
        <w:rPr>
          <w:rFonts w:ascii="Arial" w:hAnsi="Arial" w:cs="Arial"/>
        </w:rPr>
        <w:t>By</w:t>
      </w:r>
      <w:r w:rsidR="00BB7D6D" w:rsidRPr="00517F46">
        <w:rPr>
          <w:rFonts w:ascii="Arial" w:hAnsi="Arial" w:cs="Arial"/>
        </w:rPr>
        <w:t xml:space="preserve"> then,</w:t>
      </w:r>
      <w:r w:rsidR="00FB1929" w:rsidRPr="00517F46">
        <w:rPr>
          <w:rFonts w:ascii="Arial" w:hAnsi="Arial" w:cs="Arial"/>
        </w:rPr>
        <w:t xml:space="preserve"> the applicant had instituted proceedings against the Premier and the Department of Social </w:t>
      </w:r>
      <w:r w:rsidR="00773F2D" w:rsidRPr="00517F46">
        <w:rPr>
          <w:rFonts w:ascii="Arial" w:hAnsi="Arial" w:cs="Arial"/>
        </w:rPr>
        <w:t>Development</w:t>
      </w:r>
      <w:r w:rsidR="00FB1929" w:rsidRPr="00517F46">
        <w:rPr>
          <w:rFonts w:ascii="Arial" w:hAnsi="Arial" w:cs="Arial"/>
        </w:rPr>
        <w:t xml:space="preserve"> out of the Pietermaritzburg High Court under case number 1536/22P for reinstatement or contractual damages</w:t>
      </w:r>
      <w:r w:rsidR="006339F1" w:rsidRPr="00517F46">
        <w:rPr>
          <w:rFonts w:ascii="Arial" w:hAnsi="Arial" w:cs="Arial"/>
        </w:rPr>
        <w:t xml:space="preserve"> (the reinstatement application)</w:t>
      </w:r>
      <w:r w:rsidR="00FB1929" w:rsidRPr="00517F46">
        <w:rPr>
          <w:rFonts w:ascii="Arial" w:hAnsi="Arial" w:cs="Arial"/>
        </w:rPr>
        <w:t xml:space="preserve">. </w:t>
      </w:r>
      <w:r w:rsidR="009F2050" w:rsidRPr="00517F46">
        <w:rPr>
          <w:rFonts w:ascii="Arial" w:hAnsi="Arial" w:cs="Arial"/>
        </w:rPr>
        <w:t xml:space="preserve">In her appeal submission, the applicant made no secret of the fact that she wanted to use </w:t>
      </w:r>
      <w:r w:rsidR="00C8523D" w:rsidRPr="00517F46">
        <w:rPr>
          <w:rFonts w:ascii="Arial" w:hAnsi="Arial" w:cs="Arial"/>
        </w:rPr>
        <w:t xml:space="preserve">at least some of </w:t>
      </w:r>
      <w:r w:rsidR="009F2050" w:rsidRPr="00517F46">
        <w:rPr>
          <w:rFonts w:ascii="Arial" w:hAnsi="Arial" w:cs="Arial"/>
        </w:rPr>
        <w:t xml:space="preserve">the </w:t>
      </w:r>
      <w:r w:rsidR="00C8523D" w:rsidRPr="00517F46">
        <w:rPr>
          <w:rFonts w:ascii="Arial" w:hAnsi="Arial" w:cs="Arial"/>
        </w:rPr>
        <w:t xml:space="preserve">requested </w:t>
      </w:r>
      <w:r w:rsidR="009F2050" w:rsidRPr="00517F46">
        <w:rPr>
          <w:rFonts w:ascii="Arial" w:hAnsi="Arial" w:cs="Arial"/>
        </w:rPr>
        <w:t xml:space="preserve">information in the </w:t>
      </w:r>
      <w:r w:rsidR="006339F1" w:rsidRPr="00517F46">
        <w:rPr>
          <w:rFonts w:ascii="Arial" w:hAnsi="Arial" w:cs="Arial"/>
        </w:rPr>
        <w:t xml:space="preserve">reinstatement </w:t>
      </w:r>
      <w:r w:rsidR="00BB7D6D" w:rsidRPr="00517F46">
        <w:rPr>
          <w:rFonts w:ascii="Arial" w:hAnsi="Arial" w:cs="Arial"/>
        </w:rPr>
        <w:t xml:space="preserve">application </w:t>
      </w:r>
      <w:r w:rsidR="009F2050" w:rsidRPr="00517F46">
        <w:rPr>
          <w:rFonts w:ascii="Arial" w:hAnsi="Arial" w:cs="Arial"/>
        </w:rPr>
        <w:t>and to clear her name</w:t>
      </w:r>
      <w:r w:rsidR="00C8523D" w:rsidRPr="00517F46">
        <w:rPr>
          <w:rFonts w:ascii="Arial" w:hAnsi="Arial" w:cs="Arial"/>
        </w:rPr>
        <w:t>.</w:t>
      </w:r>
      <w:r w:rsidR="009F2050" w:rsidRPr="00517F46">
        <w:rPr>
          <w:rFonts w:ascii="Arial" w:hAnsi="Arial" w:cs="Arial"/>
        </w:rPr>
        <w:t xml:space="preserve"> </w:t>
      </w:r>
      <w:r w:rsidR="00FB1929" w:rsidRPr="00517F46">
        <w:rPr>
          <w:rFonts w:ascii="Arial" w:hAnsi="Arial" w:cs="Arial"/>
        </w:rPr>
        <w:t>The exact date on which th</w:t>
      </w:r>
      <w:r w:rsidR="00BB7D6D" w:rsidRPr="00517F46">
        <w:rPr>
          <w:rFonts w:ascii="Arial" w:hAnsi="Arial" w:cs="Arial"/>
        </w:rPr>
        <w:t xml:space="preserve">e </w:t>
      </w:r>
      <w:r w:rsidR="001903A4" w:rsidRPr="00517F46">
        <w:rPr>
          <w:rFonts w:ascii="Arial" w:hAnsi="Arial" w:cs="Arial"/>
        </w:rPr>
        <w:t xml:space="preserve">reinstatement </w:t>
      </w:r>
      <w:r w:rsidR="00FB1929" w:rsidRPr="00517F46">
        <w:rPr>
          <w:rFonts w:ascii="Arial" w:hAnsi="Arial" w:cs="Arial"/>
        </w:rPr>
        <w:t xml:space="preserve">application was launched was not canvassed on the </w:t>
      </w:r>
      <w:r w:rsidR="00BB7D6D" w:rsidRPr="00517F46">
        <w:rPr>
          <w:rFonts w:ascii="Arial" w:hAnsi="Arial" w:cs="Arial"/>
        </w:rPr>
        <w:t>papers</w:t>
      </w:r>
      <w:r w:rsidR="001903A4" w:rsidRPr="00517F46">
        <w:rPr>
          <w:rFonts w:ascii="Arial" w:hAnsi="Arial" w:cs="Arial"/>
        </w:rPr>
        <w:t xml:space="preserve">. It is therefore </w:t>
      </w:r>
      <w:r w:rsidR="00FB1929" w:rsidRPr="00517F46">
        <w:rPr>
          <w:rFonts w:ascii="Arial" w:hAnsi="Arial" w:cs="Arial"/>
        </w:rPr>
        <w:t xml:space="preserve">not apparent whether </w:t>
      </w:r>
      <w:r w:rsidR="001903A4" w:rsidRPr="00517F46">
        <w:rPr>
          <w:rFonts w:ascii="Arial" w:hAnsi="Arial" w:cs="Arial"/>
        </w:rPr>
        <w:t xml:space="preserve">it </w:t>
      </w:r>
      <w:r w:rsidR="00FB1929" w:rsidRPr="00517F46">
        <w:rPr>
          <w:rFonts w:ascii="Arial" w:hAnsi="Arial" w:cs="Arial"/>
        </w:rPr>
        <w:t>had already been instituted when the initial request for information was substantially refused in May of 2022.</w:t>
      </w:r>
      <w:r w:rsidR="007A2306" w:rsidRPr="00517F46">
        <w:rPr>
          <w:rFonts w:ascii="Arial" w:hAnsi="Arial" w:cs="Arial"/>
        </w:rPr>
        <w:t xml:space="preserve"> </w:t>
      </w:r>
      <w:r w:rsidR="00C8523D" w:rsidRPr="00517F46">
        <w:rPr>
          <w:rFonts w:ascii="Arial" w:hAnsi="Arial" w:cs="Arial"/>
        </w:rPr>
        <w:t xml:space="preserve">It was however dismissed after all the affidavits </w:t>
      </w:r>
      <w:r w:rsidR="001903A4" w:rsidRPr="00517F46">
        <w:rPr>
          <w:rFonts w:ascii="Arial" w:hAnsi="Arial" w:cs="Arial"/>
        </w:rPr>
        <w:t>had been</w:t>
      </w:r>
      <w:r w:rsidR="00C8523D" w:rsidRPr="00517F46">
        <w:rPr>
          <w:rFonts w:ascii="Arial" w:hAnsi="Arial" w:cs="Arial"/>
        </w:rPr>
        <w:t xml:space="preserve"> filed in the present proceedings.</w:t>
      </w:r>
    </w:p>
    <w:p w:rsidR="00C8523D"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lastRenderedPageBreak/>
        <w:t>[21]</w:t>
      </w:r>
      <w:r w:rsidRPr="00DE4FBB">
        <w:rPr>
          <w:rFonts w:ascii="Arial" w:hAnsi="Arial" w:cs="Arial"/>
        </w:rPr>
        <w:tab/>
      </w:r>
      <w:r w:rsidR="00FB1929" w:rsidRPr="00517F46">
        <w:rPr>
          <w:rFonts w:ascii="Arial" w:hAnsi="Arial" w:cs="Arial"/>
        </w:rPr>
        <w:t xml:space="preserve">The </w:t>
      </w:r>
      <w:r w:rsidR="00BB7D6D" w:rsidRPr="00517F46">
        <w:rPr>
          <w:rFonts w:ascii="Arial" w:hAnsi="Arial" w:cs="Arial"/>
        </w:rPr>
        <w:t xml:space="preserve">Premier considered the </w:t>
      </w:r>
      <w:r w:rsidR="00FB1929" w:rsidRPr="00517F46">
        <w:rPr>
          <w:rFonts w:ascii="Arial" w:hAnsi="Arial" w:cs="Arial"/>
        </w:rPr>
        <w:t xml:space="preserve">appeal </w:t>
      </w:r>
      <w:r w:rsidR="00BB7D6D" w:rsidRPr="00517F46">
        <w:rPr>
          <w:rFonts w:ascii="Arial" w:hAnsi="Arial" w:cs="Arial"/>
        </w:rPr>
        <w:t xml:space="preserve">on its merits </w:t>
      </w:r>
      <w:r w:rsidR="00FB1929" w:rsidRPr="00517F46">
        <w:rPr>
          <w:rFonts w:ascii="Arial" w:hAnsi="Arial" w:cs="Arial"/>
        </w:rPr>
        <w:t xml:space="preserve">and dismissed </w:t>
      </w:r>
      <w:r w:rsidR="001903A4" w:rsidRPr="00517F46">
        <w:rPr>
          <w:rFonts w:ascii="Arial" w:hAnsi="Arial" w:cs="Arial"/>
        </w:rPr>
        <w:t xml:space="preserve">it </w:t>
      </w:r>
      <w:r w:rsidR="00FB1929" w:rsidRPr="00517F46">
        <w:rPr>
          <w:rFonts w:ascii="Arial" w:hAnsi="Arial" w:cs="Arial"/>
        </w:rPr>
        <w:t>in October 2022.</w:t>
      </w:r>
      <w:r w:rsidR="009F2050" w:rsidRPr="00517F46">
        <w:rPr>
          <w:rFonts w:ascii="Arial" w:hAnsi="Arial" w:cs="Arial"/>
        </w:rPr>
        <w:t xml:space="preserve"> </w:t>
      </w:r>
      <w:r w:rsidR="003346EB" w:rsidRPr="00517F46">
        <w:rPr>
          <w:rFonts w:ascii="Arial" w:hAnsi="Arial" w:cs="Arial"/>
        </w:rPr>
        <w:t xml:space="preserve">The applicant having complied with the </w:t>
      </w:r>
      <w:r w:rsidR="0073536A" w:rsidRPr="00517F46">
        <w:rPr>
          <w:rFonts w:ascii="Arial" w:hAnsi="Arial" w:cs="Arial"/>
        </w:rPr>
        <w:t xml:space="preserve">necessary </w:t>
      </w:r>
      <w:r w:rsidR="003346EB" w:rsidRPr="00517F46">
        <w:rPr>
          <w:rFonts w:ascii="Arial" w:hAnsi="Arial" w:cs="Arial"/>
        </w:rPr>
        <w:t>procedural requirements, t</w:t>
      </w:r>
      <w:r w:rsidR="00EF1409" w:rsidRPr="00517F46">
        <w:rPr>
          <w:rFonts w:ascii="Arial" w:hAnsi="Arial" w:cs="Arial"/>
        </w:rPr>
        <w:t>he present proceedings w</w:t>
      </w:r>
      <w:r w:rsidR="00790B03" w:rsidRPr="00517F46">
        <w:rPr>
          <w:rFonts w:ascii="Arial" w:hAnsi="Arial" w:cs="Arial"/>
        </w:rPr>
        <w:t>ere</w:t>
      </w:r>
      <w:r w:rsidR="00EF1409" w:rsidRPr="00517F46">
        <w:rPr>
          <w:rFonts w:ascii="Arial" w:hAnsi="Arial" w:cs="Arial"/>
        </w:rPr>
        <w:t xml:space="preserve"> the</w:t>
      </w:r>
      <w:r w:rsidR="00BB7D6D" w:rsidRPr="00517F46">
        <w:rPr>
          <w:rFonts w:ascii="Arial" w:hAnsi="Arial" w:cs="Arial"/>
        </w:rPr>
        <w:t>n</w:t>
      </w:r>
      <w:r w:rsidR="00EF1409" w:rsidRPr="00517F46">
        <w:rPr>
          <w:rFonts w:ascii="Arial" w:hAnsi="Arial" w:cs="Arial"/>
        </w:rPr>
        <w:t xml:space="preserve"> launched</w:t>
      </w:r>
      <w:r w:rsidR="00055E30" w:rsidRPr="00517F46">
        <w:rPr>
          <w:rFonts w:ascii="Arial" w:hAnsi="Arial" w:cs="Arial"/>
        </w:rPr>
        <w:t xml:space="preserve"> on 30 November 2022</w:t>
      </w:r>
      <w:r w:rsidR="00EF1409" w:rsidRPr="00517F46">
        <w:rPr>
          <w:rFonts w:ascii="Arial" w:hAnsi="Arial" w:cs="Arial"/>
        </w:rPr>
        <w:t>, well wit</w:t>
      </w:r>
      <w:r w:rsidR="007D1D8E" w:rsidRPr="00517F46">
        <w:rPr>
          <w:rFonts w:ascii="Arial" w:hAnsi="Arial" w:cs="Arial"/>
        </w:rPr>
        <w:t xml:space="preserve">hin </w:t>
      </w:r>
      <w:r w:rsidR="00EF1409" w:rsidRPr="00517F46">
        <w:rPr>
          <w:rFonts w:ascii="Arial" w:hAnsi="Arial" w:cs="Arial"/>
        </w:rPr>
        <w:t xml:space="preserve">the </w:t>
      </w:r>
      <w:r w:rsidR="00752EB0" w:rsidRPr="00517F46">
        <w:rPr>
          <w:rFonts w:ascii="Arial" w:hAnsi="Arial" w:cs="Arial"/>
        </w:rPr>
        <w:t>180-day</w:t>
      </w:r>
      <w:r w:rsidR="00EF1409" w:rsidRPr="00517F46">
        <w:rPr>
          <w:rFonts w:ascii="Arial" w:hAnsi="Arial" w:cs="Arial"/>
        </w:rPr>
        <w:t xml:space="preserve"> </w:t>
      </w:r>
      <w:r w:rsidR="00C53E1B" w:rsidRPr="00517F46">
        <w:rPr>
          <w:rFonts w:ascii="Arial" w:hAnsi="Arial" w:cs="Arial"/>
        </w:rPr>
        <w:t>period</w:t>
      </w:r>
      <w:r w:rsidR="00EF1409" w:rsidRPr="00517F46">
        <w:rPr>
          <w:rFonts w:ascii="Arial" w:hAnsi="Arial" w:cs="Arial"/>
        </w:rPr>
        <w:t xml:space="preserve"> for the</w:t>
      </w:r>
      <w:r w:rsidR="00055E30" w:rsidRPr="00517F46">
        <w:rPr>
          <w:rFonts w:ascii="Arial" w:hAnsi="Arial" w:cs="Arial"/>
        </w:rPr>
        <w:t>ir</w:t>
      </w:r>
      <w:r w:rsidR="00EF1409" w:rsidRPr="00517F46">
        <w:rPr>
          <w:rFonts w:ascii="Arial" w:hAnsi="Arial" w:cs="Arial"/>
        </w:rPr>
        <w:t xml:space="preserve"> institution prescribed by section 70</w:t>
      </w:r>
      <w:r w:rsidR="007D1D8E" w:rsidRPr="00517F46">
        <w:rPr>
          <w:rFonts w:ascii="Arial" w:hAnsi="Arial" w:cs="Arial"/>
        </w:rPr>
        <w:t>(2)(e)</w:t>
      </w:r>
      <w:r w:rsidR="00EF1409" w:rsidRPr="00517F46">
        <w:rPr>
          <w:rFonts w:ascii="Arial" w:hAnsi="Arial" w:cs="Arial"/>
        </w:rPr>
        <w:t xml:space="preserve"> of </w:t>
      </w:r>
      <w:r w:rsidR="00EA32E5" w:rsidRPr="00517F46">
        <w:rPr>
          <w:rFonts w:ascii="Arial" w:hAnsi="Arial" w:cs="Arial"/>
        </w:rPr>
        <w:t>PAIA</w:t>
      </w:r>
      <w:r w:rsidR="00EF1409" w:rsidRPr="00517F46">
        <w:rPr>
          <w:rFonts w:ascii="Arial" w:hAnsi="Arial" w:cs="Arial"/>
        </w:rPr>
        <w:t xml:space="preserve">. </w:t>
      </w:r>
    </w:p>
    <w:p w:rsidR="00C8523D" w:rsidRPr="00DE4FBB" w:rsidRDefault="00C8523D" w:rsidP="006B7081">
      <w:pPr>
        <w:pStyle w:val="ListParagraph"/>
        <w:spacing w:line="360" w:lineRule="auto"/>
        <w:rPr>
          <w:rFonts w:ascii="Arial" w:hAnsi="Arial" w:cs="Arial"/>
        </w:rPr>
      </w:pPr>
    </w:p>
    <w:p w:rsidR="00FB5A25"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[22]</w:t>
      </w:r>
      <w:r w:rsidRPr="00DE4FBB">
        <w:rPr>
          <w:rFonts w:ascii="Arial" w:hAnsi="Arial" w:cs="Arial"/>
        </w:rPr>
        <w:tab/>
      </w:r>
      <w:r w:rsidR="00C53E1B" w:rsidRPr="00517F46">
        <w:rPr>
          <w:rFonts w:ascii="Arial" w:hAnsi="Arial" w:cs="Arial"/>
        </w:rPr>
        <w:t xml:space="preserve">The respondents oppose the application relying on </w:t>
      </w:r>
      <w:r w:rsidR="009E1745" w:rsidRPr="00517F46">
        <w:rPr>
          <w:rFonts w:ascii="Arial" w:hAnsi="Arial" w:cs="Arial"/>
        </w:rPr>
        <w:t xml:space="preserve">the following </w:t>
      </w:r>
      <w:r w:rsidR="00A17DCD" w:rsidRPr="00517F46">
        <w:rPr>
          <w:rFonts w:ascii="Arial" w:hAnsi="Arial" w:cs="Arial"/>
        </w:rPr>
        <w:t xml:space="preserve">provisions in Chapter 4 </w:t>
      </w:r>
      <w:r w:rsidR="009E1745" w:rsidRPr="00517F46">
        <w:rPr>
          <w:rFonts w:ascii="Arial" w:hAnsi="Arial" w:cs="Arial"/>
        </w:rPr>
        <w:t xml:space="preserve">of PAIA: </w:t>
      </w:r>
      <w:r w:rsidR="00C53E1B" w:rsidRPr="00517F46">
        <w:rPr>
          <w:rFonts w:ascii="Arial" w:hAnsi="Arial" w:cs="Arial"/>
        </w:rPr>
        <w:t xml:space="preserve">section 7 which </w:t>
      </w:r>
      <w:r w:rsidR="009E1745" w:rsidRPr="00517F46">
        <w:rPr>
          <w:rFonts w:ascii="Arial" w:hAnsi="Arial" w:cs="Arial"/>
        </w:rPr>
        <w:t>provides that the act does not apply to records requested for criminal or civil proceedings after their commencement; section  44 which pertains to the records of public bodies containing opinions, advice, reports, or recommendations; section 23 which relates to records which cannot be found, and section 12 which exempts the records of Cabinet and its committees from disclosure</w:t>
      </w:r>
      <w:r w:rsidR="00BB7D6D" w:rsidRPr="00517F46">
        <w:rPr>
          <w:rFonts w:ascii="Arial" w:hAnsi="Arial" w:cs="Arial"/>
        </w:rPr>
        <w:t xml:space="preserve"> under the act</w:t>
      </w:r>
      <w:r w:rsidR="009F2050" w:rsidRPr="00517F46">
        <w:rPr>
          <w:rFonts w:ascii="Arial" w:hAnsi="Arial" w:cs="Arial"/>
        </w:rPr>
        <w:t>.</w:t>
      </w:r>
    </w:p>
    <w:p w:rsidR="007D1D8E" w:rsidRDefault="007D1D8E" w:rsidP="006B7081">
      <w:pPr>
        <w:pStyle w:val="ListParagraph"/>
        <w:spacing w:line="360" w:lineRule="auto"/>
        <w:rPr>
          <w:rFonts w:ascii="Arial" w:hAnsi="Arial" w:cs="Arial"/>
        </w:rPr>
      </w:pPr>
    </w:p>
    <w:p w:rsidR="00814035" w:rsidRPr="00DE4FBB" w:rsidRDefault="00B53B12" w:rsidP="006B7081">
      <w:pPr>
        <w:autoSpaceDE w:val="0"/>
        <w:autoSpaceDN w:val="0"/>
        <w:adjustRightInd w:val="0"/>
        <w:spacing w:line="360" w:lineRule="auto"/>
        <w:jc w:val="both"/>
        <w:rPr>
          <w:rFonts w:ascii="Arial" w:hAnsi="Arial" w:cs="Arial"/>
          <w:b/>
          <w:bCs/>
        </w:rPr>
      </w:pPr>
      <w:r w:rsidRPr="00DE4FBB">
        <w:rPr>
          <w:rFonts w:ascii="Arial" w:hAnsi="Arial" w:cs="Arial"/>
          <w:b/>
          <w:bCs/>
        </w:rPr>
        <w:t>Interpretation</w:t>
      </w:r>
      <w:r w:rsidR="00BB1139" w:rsidRPr="00DE4FBB">
        <w:rPr>
          <w:rFonts w:ascii="Arial" w:hAnsi="Arial" w:cs="Arial"/>
          <w:b/>
          <w:bCs/>
        </w:rPr>
        <w:t xml:space="preserve"> of exemptions </w:t>
      </w:r>
      <w:r w:rsidRPr="00DE4FBB">
        <w:rPr>
          <w:rFonts w:ascii="Arial" w:hAnsi="Arial" w:cs="Arial"/>
          <w:b/>
          <w:bCs/>
        </w:rPr>
        <w:t xml:space="preserve">and sufficiency of evidence </w:t>
      </w:r>
    </w:p>
    <w:p w:rsidR="007A2306" w:rsidRPr="00DE4FBB" w:rsidRDefault="007A2306" w:rsidP="006B7081">
      <w:pPr>
        <w:pStyle w:val="lg-i-a-1"/>
        <w:spacing w:before="0" w:beforeAutospacing="0" w:after="0" w:afterAutospacing="0" w:line="360" w:lineRule="auto"/>
        <w:jc w:val="both"/>
        <w:rPr>
          <w:rFonts w:ascii="Arial" w:hAnsi="Arial" w:cs="Arial"/>
          <w:color w:val="000000"/>
        </w:rPr>
      </w:pPr>
    </w:p>
    <w:p w:rsidR="00A17DCD" w:rsidRPr="00517F46" w:rsidRDefault="00517F46" w:rsidP="00517F46">
      <w:pPr>
        <w:autoSpaceDE w:val="0"/>
        <w:autoSpaceDN w:val="0"/>
        <w:adjustRightInd w:val="0"/>
        <w:spacing w:line="360" w:lineRule="auto"/>
        <w:jc w:val="both"/>
        <w:rPr>
          <w:rFonts w:ascii="Arial" w:hAnsi="Arial" w:cs="Arial"/>
          <w:color w:val="000000"/>
        </w:rPr>
      </w:pPr>
      <w:r w:rsidRPr="00DE4FBB">
        <w:rPr>
          <w:rFonts w:ascii="Arial" w:hAnsi="Arial" w:cs="Arial"/>
          <w:color w:val="000000"/>
        </w:rPr>
        <w:t>[23]</w:t>
      </w:r>
      <w:r w:rsidRPr="00DE4FBB">
        <w:rPr>
          <w:rFonts w:ascii="Arial" w:hAnsi="Arial" w:cs="Arial"/>
          <w:color w:val="000000"/>
        </w:rPr>
        <w:tab/>
      </w:r>
      <w:r w:rsidR="00A17DCD" w:rsidRPr="00517F46">
        <w:rPr>
          <w:rFonts w:ascii="Arial" w:hAnsi="Arial" w:cs="Arial"/>
          <w:color w:val="000000"/>
        </w:rPr>
        <w:t xml:space="preserve">Before </w:t>
      </w:r>
      <w:r w:rsidR="00A17DCD" w:rsidRPr="00517F46">
        <w:rPr>
          <w:rFonts w:ascii="Arial" w:hAnsi="Arial" w:cs="Arial"/>
        </w:rPr>
        <w:t>dealing</w:t>
      </w:r>
      <w:r w:rsidR="00A17DCD" w:rsidRPr="00517F46">
        <w:rPr>
          <w:rFonts w:ascii="Arial" w:hAnsi="Arial" w:cs="Arial"/>
          <w:color w:val="000000"/>
        </w:rPr>
        <w:t xml:space="preserve"> with </w:t>
      </w:r>
      <w:r w:rsidR="00B9156F" w:rsidRPr="00517F46">
        <w:rPr>
          <w:rFonts w:ascii="Arial" w:hAnsi="Arial" w:cs="Arial"/>
          <w:color w:val="000000"/>
        </w:rPr>
        <w:t xml:space="preserve">each of </w:t>
      </w:r>
      <w:r w:rsidR="00A17DCD" w:rsidRPr="00517F46">
        <w:rPr>
          <w:rFonts w:ascii="Arial" w:hAnsi="Arial" w:cs="Arial"/>
          <w:color w:val="000000"/>
        </w:rPr>
        <w:t xml:space="preserve">the grounds of exemption upon which the respondents rely, it is necessary to consider </w:t>
      </w:r>
      <w:r w:rsidR="00BB1139" w:rsidRPr="00517F46">
        <w:rPr>
          <w:rFonts w:ascii="Arial" w:hAnsi="Arial" w:cs="Arial"/>
          <w:color w:val="000000"/>
        </w:rPr>
        <w:t xml:space="preserve">how the exemption provisions must be </w:t>
      </w:r>
      <w:r w:rsidR="001903A4" w:rsidRPr="00517F46">
        <w:rPr>
          <w:rFonts w:ascii="Arial" w:hAnsi="Arial" w:cs="Arial"/>
          <w:color w:val="000000"/>
        </w:rPr>
        <w:t xml:space="preserve">construed </w:t>
      </w:r>
      <w:r w:rsidR="00BB1139" w:rsidRPr="00517F46">
        <w:rPr>
          <w:rFonts w:ascii="Arial" w:hAnsi="Arial" w:cs="Arial"/>
          <w:color w:val="000000"/>
        </w:rPr>
        <w:t xml:space="preserve">and what is required for </w:t>
      </w:r>
      <w:r w:rsidR="00B9156F" w:rsidRPr="00517F46">
        <w:rPr>
          <w:rFonts w:ascii="Arial" w:hAnsi="Arial" w:cs="Arial"/>
          <w:color w:val="000000"/>
        </w:rPr>
        <w:t xml:space="preserve">the respondents </w:t>
      </w:r>
      <w:r w:rsidR="00BB1139" w:rsidRPr="00517F46">
        <w:rPr>
          <w:rFonts w:ascii="Arial" w:hAnsi="Arial" w:cs="Arial"/>
          <w:color w:val="000000"/>
        </w:rPr>
        <w:t xml:space="preserve">to </w:t>
      </w:r>
      <w:r w:rsidR="00B9156F" w:rsidRPr="00517F46">
        <w:rPr>
          <w:rFonts w:ascii="Arial" w:hAnsi="Arial" w:cs="Arial"/>
          <w:color w:val="000000"/>
        </w:rPr>
        <w:t xml:space="preserve">discharge the </w:t>
      </w:r>
      <w:r w:rsidR="00BB1139" w:rsidRPr="00517F46">
        <w:rPr>
          <w:rFonts w:ascii="Arial" w:hAnsi="Arial" w:cs="Arial"/>
          <w:color w:val="000000"/>
        </w:rPr>
        <w:t xml:space="preserve">burden </w:t>
      </w:r>
      <w:r w:rsidR="00B9156F" w:rsidRPr="00517F46">
        <w:rPr>
          <w:rFonts w:ascii="Arial" w:hAnsi="Arial" w:cs="Arial"/>
          <w:color w:val="000000"/>
        </w:rPr>
        <w:t xml:space="preserve">resting on them. </w:t>
      </w:r>
    </w:p>
    <w:p w:rsidR="00B9156F" w:rsidRPr="00DE4FBB" w:rsidRDefault="00B9156F" w:rsidP="006B7081">
      <w:pPr>
        <w:pStyle w:val="lg-i-a-1"/>
        <w:spacing w:before="0" w:beforeAutospacing="0" w:after="0" w:afterAutospacing="0" w:line="360" w:lineRule="auto"/>
        <w:ind w:left="851"/>
        <w:jc w:val="both"/>
        <w:rPr>
          <w:rFonts w:ascii="Arial" w:hAnsi="Arial" w:cs="Arial"/>
          <w:color w:val="000000"/>
        </w:rPr>
      </w:pPr>
    </w:p>
    <w:p w:rsidR="009D67AF"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[24]</w:t>
      </w:r>
      <w:r w:rsidRPr="00DE4FBB">
        <w:rPr>
          <w:rFonts w:ascii="Arial" w:hAnsi="Arial" w:cs="Arial"/>
        </w:rPr>
        <w:tab/>
      </w:r>
      <w:r w:rsidR="000A0E9E" w:rsidRPr="00517F46">
        <w:rPr>
          <w:rFonts w:ascii="Arial" w:hAnsi="Arial" w:cs="Arial"/>
        </w:rPr>
        <w:t xml:space="preserve">In </w:t>
      </w:r>
      <w:r w:rsidR="000A0E9E" w:rsidRPr="00517F46">
        <w:rPr>
          <w:rFonts w:ascii="Arial" w:hAnsi="Arial" w:cs="Arial"/>
          <w:i/>
          <w:iCs/>
        </w:rPr>
        <w:t xml:space="preserve">PFE International Inc (BVI) and Others v Industrial Development Corporation of South Africa Limited </w:t>
      </w:r>
      <w:r w:rsidR="000A0E9E" w:rsidRPr="00517F46">
        <w:rPr>
          <w:rFonts w:ascii="Arial" w:hAnsi="Arial" w:cs="Arial"/>
        </w:rPr>
        <w:t>2013(1) BCLR 55 (CC) (</w:t>
      </w:r>
      <w:r w:rsidR="000A0E9E" w:rsidRPr="00517F46">
        <w:rPr>
          <w:rFonts w:ascii="Arial" w:hAnsi="Arial" w:cs="Arial"/>
          <w:i/>
          <w:iCs/>
        </w:rPr>
        <w:t>PFE International</w:t>
      </w:r>
      <w:r w:rsidR="000A0E9E" w:rsidRPr="00517F46">
        <w:rPr>
          <w:rFonts w:ascii="Arial" w:hAnsi="Arial" w:cs="Arial"/>
        </w:rPr>
        <w:t>)</w:t>
      </w:r>
      <w:r w:rsidR="0073536A" w:rsidRPr="00517F46">
        <w:rPr>
          <w:rFonts w:ascii="Arial" w:hAnsi="Arial" w:cs="Arial"/>
        </w:rPr>
        <w:t xml:space="preserve"> para 18</w:t>
      </w:r>
      <w:r w:rsidR="001903A4" w:rsidRPr="00517F46">
        <w:rPr>
          <w:rFonts w:ascii="Arial" w:hAnsi="Arial" w:cs="Arial"/>
        </w:rPr>
        <w:t>,</w:t>
      </w:r>
      <w:r w:rsidR="000A0E9E" w:rsidRPr="00517F46">
        <w:rPr>
          <w:rFonts w:ascii="Arial" w:hAnsi="Arial" w:cs="Arial"/>
        </w:rPr>
        <w:t xml:space="preserve"> the Constitutional Court  held that a restrictive interpretation of the ambit of section 7 was required</w:t>
      </w:r>
      <w:r w:rsidR="00ED6A3E" w:rsidRPr="00517F46">
        <w:rPr>
          <w:rFonts w:ascii="Arial" w:hAnsi="Arial" w:cs="Arial"/>
        </w:rPr>
        <w:t xml:space="preserve"> so as to limit the exclusion to the circumstances contemplated in th</w:t>
      </w:r>
      <w:r w:rsidR="001903A4" w:rsidRPr="00517F46">
        <w:rPr>
          <w:rFonts w:ascii="Arial" w:hAnsi="Arial" w:cs="Arial"/>
        </w:rPr>
        <w:t>at</w:t>
      </w:r>
      <w:r w:rsidR="00ED6A3E" w:rsidRPr="00517F46">
        <w:rPr>
          <w:rFonts w:ascii="Arial" w:hAnsi="Arial" w:cs="Arial"/>
        </w:rPr>
        <w:t xml:space="preserve"> section and thereby ensure greater protection of the right of access to information to which PAIA </w:t>
      </w:r>
      <w:r w:rsidR="001903A4" w:rsidRPr="00517F46">
        <w:rPr>
          <w:rFonts w:ascii="Arial" w:hAnsi="Arial" w:cs="Arial"/>
        </w:rPr>
        <w:t xml:space="preserve">seeks </w:t>
      </w:r>
      <w:r w:rsidR="00ED6A3E" w:rsidRPr="00517F46">
        <w:rPr>
          <w:rFonts w:ascii="Arial" w:hAnsi="Arial" w:cs="Arial"/>
        </w:rPr>
        <w:t>to give effect.</w:t>
      </w:r>
    </w:p>
    <w:p w:rsidR="00ED6A3E" w:rsidRPr="00DE4FBB" w:rsidRDefault="00ED6A3E" w:rsidP="006B7081">
      <w:pPr>
        <w:pStyle w:val="lg-i-a-1"/>
        <w:spacing w:before="0" w:beforeAutospacing="0" w:after="0" w:afterAutospacing="0" w:line="360" w:lineRule="auto"/>
        <w:jc w:val="both"/>
        <w:rPr>
          <w:rFonts w:ascii="Arial" w:hAnsi="Arial" w:cs="Arial"/>
        </w:rPr>
      </w:pPr>
    </w:p>
    <w:p w:rsidR="00054A5A" w:rsidRPr="00517F46" w:rsidRDefault="00517F46" w:rsidP="00517F46">
      <w:pPr>
        <w:autoSpaceDE w:val="0"/>
        <w:autoSpaceDN w:val="0"/>
        <w:adjustRightInd w:val="0"/>
        <w:spacing w:line="360" w:lineRule="auto"/>
        <w:jc w:val="both"/>
        <w:rPr>
          <w:rFonts w:ascii="Arial" w:hAnsi="Arial" w:cs="Arial"/>
          <w:color w:val="000000"/>
        </w:rPr>
      </w:pPr>
      <w:r w:rsidRPr="00DE4FBB">
        <w:rPr>
          <w:rFonts w:ascii="Arial" w:hAnsi="Arial" w:cs="Arial"/>
          <w:color w:val="000000"/>
        </w:rPr>
        <w:t>[25]</w:t>
      </w:r>
      <w:r w:rsidRPr="00DE4FBB">
        <w:rPr>
          <w:rFonts w:ascii="Arial" w:hAnsi="Arial" w:cs="Arial"/>
          <w:color w:val="000000"/>
        </w:rPr>
        <w:tab/>
      </w:r>
      <w:r w:rsidR="00D924BE" w:rsidRPr="00517F46">
        <w:rPr>
          <w:rFonts w:ascii="Arial" w:hAnsi="Arial" w:cs="Arial"/>
        </w:rPr>
        <w:t xml:space="preserve">The same approach should </w:t>
      </w:r>
      <w:r w:rsidR="009D67AF" w:rsidRPr="00517F46">
        <w:rPr>
          <w:rFonts w:ascii="Arial" w:hAnsi="Arial" w:cs="Arial"/>
        </w:rPr>
        <w:t xml:space="preserve">in my view </w:t>
      </w:r>
      <w:r w:rsidR="00D924BE" w:rsidRPr="00517F46">
        <w:rPr>
          <w:rFonts w:ascii="Arial" w:hAnsi="Arial" w:cs="Arial"/>
        </w:rPr>
        <w:t>apply to the construction of all exemption provisions by parity of reasoning</w:t>
      </w:r>
      <w:r w:rsidR="009D67AF" w:rsidRPr="00517F46">
        <w:rPr>
          <w:rFonts w:ascii="Arial" w:hAnsi="Arial" w:cs="Arial"/>
        </w:rPr>
        <w:t xml:space="preserve">, whether they </w:t>
      </w:r>
      <w:r w:rsidR="004E6C68" w:rsidRPr="00517F46">
        <w:rPr>
          <w:rFonts w:ascii="Arial" w:hAnsi="Arial" w:cs="Arial"/>
        </w:rPr>
        <w:t>exclude the application of PAIA, constitute mandatory refusal provisions or confer a discretion on state actors to refuse access</w:t>
      </w:r>
      <w:r w:rsidR="00D924BE" w:rsidRPr="00517F46">
        <w:rPr>
          <w:rFonts w:ascii="Arial" w:hAnsi="Arial" w:cs="Arial"/>
        </w:rPr>
        <w:t>. Such an approach would also be congruent with</w:t>
      </w:r>
      <w:r w:rsidR="00D924BE" w:rsidRPr="00517F46">
        <w:rPr>
          <w:rFonts w:ascii="Arial" w:hAnsi="Arial" w:cs="Arial"/>
          <w:color w:val="000000"/>
        </w:rPr>
        <w:t xml:space="preserve"> </w:t>
      </w:r>
      <w:r w:rsidR="002919B8" w:rsidRPr="00517F46">
        <w:rPr>
          <w:rFonts w:ascii="Arial" w:hAnsi="Arial" w:cs="Arial"/>
        </w:rPr>
        <w:t>the objects of PAIA as set out in section 9 which include the promotion of transparency</w:t>
      </w:r>
      <w:r w:rsidR="00B9156F" w:rsidRPr="00517F46">
        <w:rPr>
          <w:rFonts w:ascii="Arial" w:hAnsi="Arial" w:cs="Arial"/>
        </w:rPr>
        <w:t xml:space="preserve"> and</w:t>
      </w:r>
      <w:r w:rsidR="002919B8" w:rsidRPr="00517F46">
        <w:rPr>
          <w:rFonts w:ascii="Arial" w:hAnsi="Arial" w:cs="Arial"/>
        </w:rPr>
        <w:t xml:space="preserve"> accountability</w:t>
      </w:r>
      <w:r w:rsidR="00D924BE" w:rsidRPr="00517F46">
        <w:rPr>
          <w:rFonts w:ascii="Arial" w:hAnsi="Arial" w:cs="Arial"/>
        </w:rPr>
        <w:t>,</w:t>
      </w:r>
      <w:r w:rsidR="00054A5A" w:rsidRPr="00517F46">
        <w:rPr>
          <w:rFonts w:ascii="Arial" w:hAnsi="Arial" w:cs="Arial"/>
        </w:rPr>
        <w:t xml:space="preserve"> and the </w:t>
      </w:r>
      <w:r w:rsidR="001903A4" w:rsidRPr="00517F46">
        <w:rPr>
          <w:rFonts w:ascii="Arial" w:hAnsi="Arial" w:cs="Arial"/>
        </w:rPr>
        <w:t xml:space="preserve">injunction in </w:t>
      </w:r>
      <w:r w:rsidR="00054A5A" w:rsidRPr="00517F46">
        <w:rPr>
          <w:rFonts w:ascii="Arial" w:hAnsi="Arial" w:cs="Arial"/>
        </w:rPr>
        <w:t xml:space="preserve">section 2(1) of PAIA that a court </w:t>
      </w:r>
      <w:r w:rsidR="001903A4" w:rsidRPr="00517F46">
        <w:rPr>
          <w:rFonts w:ascii="Arial" w:hAnsi="Arial" w:cs="Arial"/>
        </w:rPr>
        <w:t xml:space="preserve">must </w:t>
      </w:r>
      <w:r w:rsidR="00054A5A" w:rsidRPr="00517F46">
        <w:rPr>
          <w:rFonts w:ascii="Arial" w:hAnsi="Arial" w:cs="Arial"/>
        </w:rPr>
        <w:t xml:space="preserve">prefer any reasonable interpretation of the provision that is consistent with the objects of the act over any </w:t>
      </w:r>
      <w:r w:rsidR="00054A5A" w:rsidRPr="00517F46">
        <w:rPr>
          <w:rFonts w:ascii="Arial" w:hAnsi="Arial" w:cs="Arial"/>
        </w:rPr>
        <w:lastRenderedPageBreak/>
        <w:t xml:space="preserve">alternative interpretation that is inconsistent with those objects. </w:t>
      </w:r>
      <w:r w:rsidR="001903A4" w:rsidRPr="00517F46">
        <w:rPr>
          <w:rFonts w:ascii="Arial" w:hAnsi="Arial" w:cs="Arial"/>
        </w:rPr>
        <w:t>Other c</w:t>
      </w:r>
      <w:r w:rsidR="004E6C68" w:rsidRPr="00517F46">
        <w:rPr>
          <w:rFonts w:ascii="Arial" w:hAnsi="Arial" w:cs="Arial"/>
        </w:rPr>
        <w:t>ourts have adopted this approach in relation to section 36 of PAIA relating to the mandatory protection of commercial information</w:t>
      </w:r>
      <w:r w:rsidR="004E6C68" w:rsidRPr="00DE4FBB">
        <w:rPr>
          <w:rStyle w:val="FootnoteReference"/>
          <w:rFonts w:ascii="Arial" w:hAnsi="Arial" w:cs="Arial"/>
        </w:rPr>
        <w:footnoteReference w:id="6"/>
      </w:r>
      <w:r w:rsidR="004E6C68" w:rsidRPr="00517F46">
        <w:rPr>
          <w:rFonts w:ascii="Arial" w:hAnsi="Arial" w:cs="Arial"/>
        </w:rPr>
        <w:t xml:space="preserve"> and section 44</w:t>
      </w:r>
      <w:r w:rsidR="001903A4" w:rsidRPr="00DE4FBB">
        <w:rPr>
          <w:rStyle w:val="FootnoteReference"/>
          <w:rFonts w:ascii="Arial" w:hAnsi="Arial" w:cs="Arial"/>
        </w:rPr>
        <w:footnoteReference w:id="7"/>
      </w:r>
      <w:r w:rsidR="004E6C68" w:rsidRPr="00517F46">
        <w:rPr>
          <w:rFonts w:ascii="Arial" w:hAnsi="Arial" w:cs="Arial"/>
        </w:rPr>
        <w:t xml:space="preserve"> upon which the respondents rely.</w:t>
      </w:r>
    </w:p>
    <w:p w:rsidR="00C76655" w:rsidRPr="00DE4FBB" w:rsidRDefault="00C76655" w:rsidP="006B7081">
      <w:pPr>
        <w:autoSpaceDE w:val="0"/>
        <w:autoSpaceDN w:val="0"/>
        <w:adjustRightInd w:val="0"/>
        <w:spacing w:line="360" w:lineRule="auto"/>
        <w:jc w:val="both"/>
        <w:rPr>
          <w:rFonts w:ascii="Arial" w:hAnsi="Arial" w:cs="Arial"/>
        </w:rPr>
      </w:pPr>
    </w:p>
    <w:p w:rsidR="000D3070"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[26]</w:t>
      </w:r>
      <w:r w:rsidRPr="00DE4FBB">
        <w:rPr>
          <w:rFonts w:ascii="Arial" w:hAnsi="Arial" w:cs="Arial"/>
        </w:rPr>
        <w:tab/>
      </w:r>
      <w:r w:rsidR="009A12EA" w:rsidRPr="00517F46">
        <w:rPr>
          <w:rFonts w:ascii="Arial" w:hAnsi="Arial" w:cs="Arial"/>
        </w:rPr>
        <w:t>I turn the</w:t>
      </w:r>
      <w:r w:rsidR="00ED6A3E" w:rsidRPr="00517F46">
        <w:rPr>
          <w:rFonts w:ascii="Arial" w:hAnsi="Arial" w:cs="Arial"/>
        </w:rPr>
        <w:t>n</w:t>
      </w:r>
      <w:r w:rsidR="009A12EA" w:rsidRPr="00517F46">
        <w:rPr>
          <w:rFonts w:ascii="Arial" w:hAnsi="Arial" w:cs="Arial"/>
        </w:rPr>
        <w:t xml:space="preserve"> </w:t>
      </w:r>
      <w:r w:rsidR="00BB1139" w:rsidRPr="00517F46">
        <w:rPr>
          <w:rFonts w:ascii="Arial" w:hAnsi="Arial" w:cs="Arial"/>
        </w:rPr>
        <w:t xml:space="preserve">to </w:t>
      </w:r>
      <w:r w:rsidR="00054A5A" w:rsidRPr="00517F46">
        <w:rPr>
          <w:rFonts w:ascii="Arial" w:hAnsi="Arial" w:cs="Arial"/>
        </w:rPr>
        <w:t xml:space="preserve">the manner in which public bodies are required to discharge the </w:t>
      </w:r>
      <w:r w:rsidR="001903A4" w:rsidRPr="00517F46">
        <w:rPr>
          <w:rFonts w:ascii="Arial" w:hAnsi="Arial" w:cs="Arial"/>
        </w:rPr>
        <w:t>evidentiary burden</w:t>
      </w:r>
      <w:r w:rsidR="009A12EA" w:rsidRPr="00517F46">
        <w:rPr>
          <w:rFonts w:ascii="Arial" w:hAnsi="Arial" w:cs="Arial"/>
        </w:rPr>
        <w:t>. The Supreme Court of Appeal and the Constitutional Court had occasion to deal with the requirements in this regard</w:t>
      </w:r>
      <w:r w:rsidR="00BB1139" w:rsidRPr="00517F46">
        <w:rPr>
          <w:rFonts w:ascii="Arial" w:hAnsi="Arial" w:cs="Arial"/>
        </w:rPr>
        <w:t xml:space="preserve"> </w:t>
      </w:r>
      <w:r w:rsidR="009A12EA" w:rsidRPr="00517F46">
        <w:rPr>
          <w:rFonts w:ascii="Arial" w:hAnsi="Arial" w:cs="Arial"/>
        </w:rPr>
        <w:t xml:space="preserve">on </w:t>
      </w:r>
      <w:r w:rsidR="00C03E83" w:rsidRPr="00517F46">
        <w:rPr>
          <w:rFonts w:ascii="Arial" w:hAnsi="Arial" w:cs="Arial"/>
        </w:rPr>
        <w:t>three</w:t>
      </w:r>
      <w:r w:rsidR="009A12EA" w:rsidRPr="00517F46">
        <w:rPr>
          <w:rFonts w:ascii="Arial" w:hAnsi="Arial" w:cs="Arial"/>
        </w:rPr>
        <w:t xml:space="preserve"> occasions in connection with attempts by the Mail &amp; Guardian newspaper to obtain access to a report prepared by two senior judges on their visit to Zimbabwe shortly before the 2002 presidential elections in that country. In the Constitutional Court judgment, </w:t>
      </w:r>
      <w:r w:rsidR="005D7D1C" w:rsidRPr="00517F46">
        <w:rPr>
          <w:rFonts w:ascii="Arial" w:hAnsi="Arial" w:cs="Arial"/>
          <w:i/>
          <w:iCs/>
          <w:color w:val="000000"/>
          <w:shd w:val="clear" w:color="auto" w:fill="FFFFFF"/>
        </w:rPr>
        <w:t>President of the RSA and Others v M &amp; G Media Ltd</w:t>
      </w:r>
      <w:r w:rsidR="005D7D1C" w:rsidRPr="00517F46">
        <w:rPr>
          <w:rFonts w:ascii="Arial" w:hAnsi="Arial" w:cs="Arial"/>
          <w:b/>
          <w:bCs/>
          <w:color w:val="000000"/>
        </w:rPr>
        <w:t xml:space="preserve"> </w:t>
      </w:r>
      <w:r w:rsidR="005D7D1C" w:rsidRPr="00517F46">
        <w:rPr>
          <w:rFonts w:ascii="Arial" w:hAnsi="Arial" w:cs="Arial"/>
          <w:color w:val="000000"/>
          <w:shd w:val="clear" w:color="auto" w:fill="FFFFFF"/>
        </w:rPr>
        <w:t xml:space="preserve">2012 (2) BCLR 181 (CC) </w:t>
      </w:r>
      <w:r w:rsidR="005D7D1C" w:rsidRPr="00517F46">
        <w:rPr>
          <w:rFonts w:ascii="Arial" w:hAnsi="Arial" w:cs="Arial"/>
          <w:color w:val="000000"/>
          <w:sz w:val="20"/>
          <w:szCs w:val="20"/>
          <w:shd w:val="clear" w:color="auto" w:fill="FFFFFF"/>
        </w:rPr>
        <w:t>(</w:t>
      </w:r>
      <w:r w:rsidR="000D3070" w:rsidRPr="00517F46">
        <w:rPr>
          <w:rFonts w:ascii="Arial" w:hAnsi="Arial" w:cs="Arial"/>
          <w:i/>
          <w:iCs/>
        </w:rPr>
        <w:t>M</w:t>
      </w:r>
      <w:r w:rsidR="000C63CF" w:rsidRPr="00517F46">
        <w:rPr>
          <w:rFonts w:ascii="Arial" w:hAnsi="Arial" w:cs="Arial"/>
          <w:i/>
          <w:iCs/>
        </w:rPr>
        <w:t xml:space="preserve">ail </w:t>
      </w:r>
      <w:r w:rsidR="000D3070" w:rsidRPr="00517F46">
        <w:rPr>
          <w:rFonts w:ascii="Arial" w:hAnsi="Arial" w:cs="Arial"/>
          <w:i/>
          <w:iCs/>
        </w:rPr>
        <w:t>&amp;</w:t>
      </w:r>
      <w:r w:rsidR="007F6A54" w:rsidRPr="00517F46">
        <w:rPr>
          <w:rFonts w:ascii="Arial" w:hAnsi="Arial" w:cs="Arial"/>
          <w:i/>
          <w:iCs/>
        </w:rPr>
        <w:t xml:space="preserve"> </w:t>
      </w:r>
      <w:r w:rsidR="000D3070" w:rsidRPr="00517F46">
        <w:rPr>
          <w:rFonts w:ascii="Arial" w:hAnsi="Arial" w:cs="Arial"/>
          <w:i/>
          <w:iCs/>
        </w:rPr>
        <w:t>G</w:t>
      </w:r>
      <w:r w:rsidR="000C63CF" w:rsidRPr="00517F46">
        <w:rPr>
          <w:rFonts w:ascii="Arial" w:hAnsi="Arial" w:cs="Arial"/>
          <w:i/>
          <w:iCs/>
        </w:rPr>
        <w:t>uardian CC</w:t>
      </w:r>
      <w:r w:rsidR="000D3070" w:rsidRPr="00517F46">
        <w:rPr>
          <w:rFonts w:ascii="Arial" w:hAnsi="Arial" w:cs="Arial"/>
          <w:i/>
          <w:iCs/>
        </w:rPr>
        <w:t>)</w:t>
      </w:r>
      <w:r w:rsidR="000D3070" w:rsidRPr="00517F46">
        <w:rPr>
          <w:rFonts w:ascii="Arial" w:hAnsi="Arial" w:cs="Arial"/>
        </w:rPr>
        <w:t xml:space="preserve"> </w:t>
      </w:r>
      <w:r w:rsidR="0073536A" w:rsidRPr="00517F46">
        <w:rPr>
          <w:rFonts w:ascii="Arial" w:hAnsi="Arial" w:cs="Arial"/>
        </w:rPr>
        <w:t xml:space="preserve">para 23 </w:t>
      </w:r>
      <w:r w:rsidR="000D3070" w:rsidRPr="00517F46">
        <w:rPr>
          <w:rFonts w:ascii="Arial" w:hAnsi="Arial" w:cs="Arial"/>
        </w:rPr>
        <w:t xml:space="preserve">the </w:t>
      </w:r>
      <w:r w:rsidR="0073536A" w:rsidRPr="00517F46">
        <w:rPr>
          <w:rFonts w:ascii="Arial" w:hAnsi="Arial" w:cs="Arial"/>
        </w:rPr>
        <w:t>C</w:t>
      </w:r>
      <w:r w:rsidR="009A12EA" w:rsidRPr="00517F46">
        <w:rPr>
          <w:rFonts w:ascii="Arial" w:hAnsi="Arial" w:cs="Arial"/>
        </w:rPr>
        <w:t xml:space="preserve">ourt </w:t>
      </w:r>
      <w:r w:rsidR="000D3070" w:rsidRPr="00517F46">
        <w:rPr>
          <w:rFonts w:ascii="Arial" w:hAnsi="Arial" w:cs="Arial"/>
        </w:rPr>
        <w:t>explained</w:t>
      </w:r>
      <w:r w:rsidR="009A12EA" w:rsidRPr="00517F46">
        <w:rPr>
          <w:rFonts w:ascii="Arial" w:hAnsi="Arial" w:cs="Arial"/>
        </w:rPr>
        <w:t>:-</w:t>
      </w:r>
    </w:p>
    <w:p w:rsidR="002E5CF0" w:rsidRPr="001903A4" w:rsidRDefault="005D7D1C" w:rsidP="0066173C">
      <w:pPr>
        <w:pStyle w:val="ListParagraph"/>
        <w:autoSpaceDE w:val="0"/>
        <w:autoSpaceDN w:val="0"/>
        <w:adjustRightInd w:val="0"/>
        <w:spacing w:line="360" w:lineRule="auto"/>
        <w:ind w:left="1418" w:right="708"/>
        <w:jc w:val="both"/>
        <w:rPr>
          <w:rFonts w:ascii="Arial" w:hAnsi="Arial" w:cs="Arial"/>
          <w:sz w:val="22"/>
          <w:szCs w:val="22"/>
        </w:rPr>
      </w:pPr>
      <w:r w:rsidRPr="001903A4">
        <w:rPr>
          <w:rFonts w:ascii="Arial" w:hAnsi="Arial" w:cs="Arial"/>
          <w:sz w:val="22"/>
          <w:szCs w:val="22"/>
        </w:rPr>
        <w:t>‘</w:t>
      </w:r>
      <w:r w:rsidR="000D3070" w:rsidRPr="001903A4">
        <w:rPr>
          <w:rFonts w:ascii="Arial" w:hAnsi="Arial" w:cs="Arial"/>
          <w:sz w:val="22"/>
          <w:szCs w:val="22"/>
        </w:rPr>
        <w:t xml:space="preserve">The proper approach to the question whether the state has discharged its burden under section 81(3) is therefore to ask whether the state has put forward </w:t>
      </w:r>
      <w:r w:rsidR="000D3070" w:rsidRPr="001903A4">
        <w:rPr>
          <w:rFonts w:ascii="Arial" w:hAnsi="Arial" w:cs="Arial"/>
          <w:i/>
          <w:iCs/>
          <w:sz w:val="22"/>
          <w:szCs w:val="22"/>
        </w:rPr>
        <w:t>sufficient evidence</w:t>
      </w:r>
      <w:r w:rsidR="00B53B12" w:rsidRPr="001903A4">
        <w:rPr>
          <w:rFonts w:ascii="Arial" w:hAnsi="Arial" w:cs="Arial"/>
          <w:sz w:val="22"/>
          <w:szCs w:val="22"/>
        </w:rPr>
        <w:t xml:space="preserve"> </w:t>
      </w:r>
      <w:r w:rsidR="000D3070" w:rsidRPr="001903A4">
        <w:rPr>
          <w:rFonts w:ascii="Arial" w:hAnsi="Arial" w:cs="Arial"/>
          <w:sz w:val="22"/>
          <w:szCs w:val="22"/>
        </w:rPr>
        <w:t xml:space="preserve">for a </w:t>
      </w:r>
      <w:r w:rsidR="003B0577" w:rsidRPr="001903A4">
        <w:rPr>
          <w:rFonts w:ascii="Arial" w:hAnsi="Arial" w:cs="Arial"/>
          <w:sz w:val="22"/>
          <w:szCs w:val="22"/>
        </w:rPr>
        <w:t>court</w:t>
      </w:r>
      <w:r w:rsidR="000D3070" w:rsidRPr="001903A4">
        <w:rPr>
          <w:rFonts w:ascii="Arial" w:hAnsi="Arial" w:cs="Arial"/>
          <w:sz w:val="22"/>
          <w:szCs w:val="22"/>
        </w:rPr>
        <w:t xml:space="preserve"> to conclude that, on the probabilities, the information withheld falls within the exemption claimed.</w:t>
      </w:r>
      <w:r w:rsidR="000C63CF" w:rsidRPr="001903A4">
        <w:rPr>
          <w:rFonts w:ascii="Arial" w:hAnsi="Arial" w:cs="Arial"/>
          <w:sz w:val="22"/>
          <w:szCs w:val="22"/>
        </w:rPr>
        <w:t>’</w:t>
      </w:r>
    </w:p>
    <w:p w:rsidR="000D3070" w:rsidRPr="007577FB" w:rsidRDefault="0066173C" w:rsidP="0066173C">
      <w:pPr>
        <w:autoSpaceDE w:val="0"/>
        <w:autoSpaceDN w:val="0"/>
        <w:adjustRightInd w:val="0"/>
        <w:spacing w:line="360" w:lineRule="auto"/>
        <w:jc w:val="both"/>
        <w:rPr>
          <w:rFonts w:ascii="Arial" w:hAnsi="Arial" w:cs="Arial"/>
          <w:i/>
          <w:iCs/>
        </w:rPr>
      </w:pPr>
      <w:r>
        <w:rPr>
          <w:rFonts w:ascii="Arial" w:hAnsi="Arial" w:cs="Arial"/>
          <w:sz w:val="22"/>
          <w:szCs w:val="22"/>
        </w:rPr>
        <w:tab/>
      </w:r>
      <w:r>
        <w:rPr>
          <w:rFonts w:ascii="Arial" w:hAnsi="Arial" w:cs="Arial"/>
          <w:sz w:val="22"/>
          <w:szCs w:val="22"/>
        </w:rPr>
        <w:tab/>
      </w:r>
      <w:r w:rsidR="000105F9" w:rsidRPr="007577FB">
        <w:rPr>
          <w:rFonts w:ascii="Arial" w:hAnsi="Arial" w:cs="Arial"/>
        </w:rPr>
        <w:t>(emphasis added)</w:t>
      </w:r>
      <w:r w:rsidR="005D7D1C" w:rsidRPr="007577FB">
        <w:rPr>
          <w:rFonts w:ascii="Arial" w:hAnsi="Arial" w:cs="Arial"/>
        </w:rPr>
        <w:t>.</w:t>
      </w:r>
    </w:p>
    <w:p w:rsidR="003B0577" w:rsidRPr="00DE4FBB" w:rsidRDefault="003B0577" w:rsidP="006B7081">
      <w:pPr>
        <w:autoSpaceDE w:val="0"/>
        <w:autoSpaceDN w:val="0"/>
        <w:adjustRightInd w:val="0"/>
        <w:spacing w:line="360" w:lineRule="auto"/>
        <w:jc w:val="both"/>
        <w:rPr>
          <w:rFonts w:ascii="Arial" w:hAnsi="Arial" w:cs="Arial"/>
          <w:sz w:val="20"/>
          <w:szCs w:val="20"/>
        </w:rPr>
      </w:pPr>
    </w:p>
    <w:p w:rsidR="009343FE"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[27]</w:t>
      </w:r>
      <w:r w:rsidRPr="00DE4FBB">
        <w:rPr>
          <w:rFonts w:ascii="Arial" w:hAnsi="Arial" w:cs="Arial"/>
        </w:rPr>
        <w:tab/>
      </w:r>
      <w:r w:rsidR="002E5CF0" w:rsidRPr="00517F46">
        <w:rPr>
          <w:rFonts w:ascii="Arial" w:hAnsi="Arial" w:cs="Arial"/>
        </w:rPr>
        <w:t>As evidence is required, reciting the language of the statute</w:t>
      </w:r>
      <w:r w:rsidR="001903A4" w:rsidRPr="00517F46">
        <w:rPr>
          <w:rFonts w:ascii="Arial" w:hAnsi="Arial" w:cs="Arial"/>
        </w:rPr>
        <w:t>,</w:t>
      </w:r>
      <w:r w:rsidR="002E5CF0" w:rsidRPr="00517F46">
        <w:rPr>
          <w:rFonts w:ascii="Arial" w:hAnsi="Arial" w:cs="Arial"/>
        </w:rPr>
        <w:t xml:space="preserve"> </w:t>
      </w:r>
      <w:r w:rsidR="002E5CF0" w:rsidRPr="00517F46">
        <w:rPr>
          <w:rFonts w:ascii="Arial" w:hAnsi="Arial" w:cs="Arial"/>
          <w:i/>
          <w:iCs/>
        </w:rPr>
        <w:t>ipse dixit</w:t>
      </w:r>
      <w:r w:rsidR="002E5CF0" w:rsidRPr="00517F46">
        <w:rPr>
          <w:rFonts w:ascii="Arial" w:hAnsi="Arial" w:cs="Arial"/>
        </w:rPr>
        <w:t xml:space="preserve"> affidavits </w:t>
      </w:r>
      <w:r w:rsidR="009343FE" w:rsidRPr="00517F46">
        <w:rPr>
          <w:rFonts w:ascii="Arial" w:hAnsi="Arial" w:cs="Arial"/>
        </w:rPr>
        <w:t xml:space="preserve">and </w:t>
      </w:r>
      <w:r w:rsidR="0073536A" w:rsidRPr="00517F46">
        <w:rPr>
          <w:rFonts w:ascii="Arial" w:hAnsi="Arial" w:cs="Arial"/>
        </w:rPr>
        <w:t>affidavits</w:t>
      </w:r>
      <w:r w:rsidR="009343FE" w:rsidRPr="00517F46">
        <w:rPr>
          <w:rFonts w:ascii="Arial" w:hAnsi="Arial" w:cs="Arial"/>
        </w:rPr>
        <w:t xml:space="preserve"> that merely assert the conclusion that a particular exemption applies </w:t>
      </w:r>
      <w:r w:rsidR="002E5CF0" w:rsidRPr="00517F46">
        <w:rPr>
          <w:rFonts w:ascii="Arial" w:hAnsi="Arial" w:cs="Arial"/>
        </w:rPr>
        <w:t>are insufficient</w:t>
      </w:r>
      <w:r w:rsidR="009343FE" w:rsidRPr="00517F46">
        <w:rPr>
          <w:rFonts w:ascii="Arial" w:hAnsi="Arial" w:cs="Arial"/>
        </w:rPr>
        <w:t>, t</w:t>
      </w:r>
      <w:r w:rsidR="002E5CF0" w:rsidRPr="00517F46">
        <w:rPr>
          <w:rFonts w:ascii="Arial" w:hAnsi="Arial" w:cs="Arial"/>
        </w:rPr>
        <w:t>he public body is required to lay a factual basis for its reliance on specific provisions.</w:t>
      </w:r>
      <w:r w:rsidR="002E5CF0" w:rsidRPr="00DE4FBB">
        <w:rPr>
          <w:rStyle w:val="FootnoteReference"/>
          <w:rFonts w:ascii="Arial" w:hAnsi="Arial" w:cs="Arial"/>
        </w:rPr>
        <w:footnoteReference w:id="8"/>
      </w:r>
      <w:r w:rsidR="002E5CF0" w:rsidRPr="00517F46">
        <w:rPr>
          <w:rFonts w:ascii="Arial" w:hAnsi="Arial" w:cs="Arial"/>
        </w:rPr>
        <w:t xml:space="preserve"> </w:t>
      </w:r>
    </w:p>
    <w:p w:rsidR="009343FE" w:rsidRPr="00DE4FBB" w:rsidRDefault="009343FE" w:rsidP="006B7081">
      <w:pPr>
        <w:autoSpaceDE w:val="0"/>
        <w:autoSpaceDN w:val="0"/>
        <w:adjustRightInd w:val="0"/>
        <w:spacing w:line="360" w:lineRule="auto"/>
        <w:jc w:val="both"/>
        <w:rPr>
          <w:rFonts w:ascii="Arial" w:hAnsi="Arial" w:cs="Arial"/>
        </w:rPr>
      </w:pPr>
    </w:p>
    <w:p w:rsidR="002E5CF0"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[28]</w:t>
      </w:r>
      <w:r w:rsidRPr="00DE4FBB">
        <w:rPr>
          <w:rFonts w:ascii="Arial" w:hAnsi="Arial" w:cs="Arial"/>
        </w:rPr>
        <w:tab/>
      </w:r>
      <w:r w:rsidR="002E5CF0" w:rsidRPr="00517F46">
        <w:rPr>
          <w:rFonts w:ascii="Arial" w:hAnsi="Arial" w:cs="Arial"/>
        </w:rPr>
        <w:t>If the public body is unable to discharge its burden, and does not give any indication that its inability to do so arises from other provisions of the act</w:t>
      </w:r>
      <w:r w:rsidR="0073536A" w:rsidRPr="00517F46">
        <w:rPr>
          <w:rFonts w:ascii="Arial" w:hAnsi="Arial" w:cs="Arial"/>
        </w:rPr>
        <w:t>,</w:t>
      </w:r>
      <w:r w:rsidR="002E5CF0" w:rsidRPr="00DE4FBB">
        <w:rPr>
          <w:rStyle w:val="FootnoteReference"/>
          <w:rFonts w:ascii="Arial" w:hAnsi="Arial" w:cs="Arial"/>
        </w:rPr>
        <w:footnoteReference w:id="9"/>
      </w:r>
      <w:r w:rsidR="002E5CF0" w:rsidRPr="00517F46">
        <w:rPr>
          <w:rFonts w:ascii="Arial" w:hAnsi="Arial" w:cs="Arial"/>
        </w:rPr>
        <w:t xml:space="preserve"> then the state actor has only itself to blame.</w:t>
      </w:r>
      <w:r w:rsidR="002E5CF0" w:rsidRPr="00DE4FBB">
        <w:rPr>
          <w:rStyle w:val="FootnoteReference"/>
          <w:rFonts w:ascii="Arial" w:hAnsi="Arial" w:cs="Arial"/>
        </w:rPr>
        <w:footnoteReference w:id="10"/>
      </w:r>
      <w:r w:rsidR="007C46D5" w:rsidRPr="00517F46">
        <w:rPr>
          <w:rFonts w:ascii="Verdana" w:hAnsi="Verdana"/>
          <w:color w:val="2C3E50"/>
          <w:sz w:val="21"/>
          <w:szCs w:val="21"/>
          <w:shd w:val="clear" w:color="auto" w:fill="FFFFFF"/>
        </w:rPr>
        <w:t xml:space="preserve"> </w:t>
      </w:r>
      <w:r w:rsidR="00ED6A3E" w:rsidRPr="00517F46">
        <w:rPr>
          <w:rFonts w:ascii="Arial" w:hAnsi="Arial" w:cs="Arial"/>
          <w:color w:val="2C3E50"/>
          <w:shd w:val="clear" w:color="auto" w:fill="FFFFFF"/>
        </w:rPr>
        <w:t xml:space="preserve">The respondents here invoke no such inability. </w:t>
      </w:r>
    </w:p>
    <w:p w:rsidR="009A12EA" w:rsidRPr="00DE4FBB" w:rsidRDefault="009A12EA" w:rsidP="006B7081">
      <w:pPr>
        <w:autoSpaceDE w:val="0"/>
        <w:autoSpaceDN w:val="0"/>
        <w:adjustRightInd w:val="0"/>
        <w:spacing w:line="360" w:lineRule="auto"/>
        <w:jc w:val="both"/>
        <w:rPr>
          <w:rFonts w:ascii="Arial" w:hAnsi="Arial" w:cs="Arial"/>
        </w:rPr>
      </w:pPr>
    </w:p>
    <w:p w:rsidR="002E5CF0"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lastRenderedPageBreak/>
        <w:t>[29]</w:t>
      </w:r>
      <w:r w:rsidRPr="00DE4FBB">
        <w:rPr>
          <w:rFonts w:ascii="Arial" w:hAnsi="Arial" w:cs="Arial"/>
        </w:rPr>
        <w:tab/>
      </w:r>
      <w:r w:rsidR="007C46D5" w:rsidRPr="00517F46">
        <w:rPr>
          <w:rFonts w:ascii="Arial" w:hAnsi="Arial" w:cs="Arial"/>
        </w:rPr>
        <w:t xml:space="preserve">Section 81(2) of PAIA makes the rules of evidence in civil proceedings applicable to </w:t>
      </w:r>
      <w:r w:rsidR="0073536A" w:rsidRPr="00517F46">
        <w:rPr>
          <w:rFonts w:ascii="Arial" w:hAnsi="Arial" w:cs="Arial"/>
        </w:rPr>
        <w:t>applications</w:t>
      </w:r>
      <w:r w:rsidR="001903A4" w:rsidRPr="00517F46">
        <w:rPr>
          <w:rFonts w:ascii="Arial" w:hAnsi="Arial" w:cs="Arial"/>
        </w:rPr>
        <w:t xml:space="preserve"> </w:t>
      </w:r>
      <w:r w:rsidR="007C46D5" w:rsidRPr="00517F46">
        <w:rPr>
          <w:rFonts w:ascii="Arial" w:hAnsi="Arial" w:cs="Arial"/>
        </w:rPr>
        <w:t>in terms of section 78. The evidence must therefore</w:t>
      </w:r>
      <w:r w:rsidR="002E5CF0" w:rsidRPr="00517F46">
        <w:rPr>
          <w:rFonts w:ascii="Arial" w:hAnsi="Arial" w:cs="Arial"/>
        </w:rPr>
        <w:t xml:space="preserve"> be put before the court on affidavit and by a person who has knowledge of the facts to which they speak.</w:t>
      </w:r>
      <w:r w:rsidR="002E5CF0" w:rsidRPr="00DE4FBB">
        <w:rPr>
          <w:rStyle w:val="FootnoteReference"/>
          <w:rFonts w:ascii="Arial" w:hAnsi="Arial" w:cs="Arial"/>
        </w:rPr>
        <w:footnoteReference w:id="11"/>
      </w:r>
      <w:r w:rsidR="002E5CF0" w:rsidRPr="00517F46">
        <w:rPr>
          <w:rFonts w:ascii="Arial" w:hAnsi="Arial" w:cs="Arial"/>
        </w:rPr>
        <w:t xml:space="preserve"> Those fundamental requirements assume importance in this case for t</w:t>
      </w:r>
      <w:r w:rsidR="005363D2" w:rsidRPr="00517F46">
        <w:rPr>
          <w:rFonts w:ascii="Arial" w:hAnsi="Arial" w:cs="Arial"/>
        </w:rPr>
        <w:t>wo</w:t>
      </w:r>
      <w:r w:rsidR="002E5CF0" w:rsidRPr="00517F46">
        <w:rPr>
          <w:rFonts w:ascii="Arial" w:hAnsi="Arial" w:cs="Arial"/>
        </w:rPr>
        <w:t xml:space="preserve"> reasons.</w:t>
      </w:r>
    </w:p>
    <w:p w:rsidR="000D36FF" w:rsidRPr="00DE4FBB" w:rsidRDefault="000D36FF" w:rsidP="006B7081">
      <w:pPr>
        <w:pStyle w:val="ListParagraph"/>
        <w:spacing w:line="360" w:lineRule="auto"/>
        <w:rPr>
          <w:rFonts w:ascii="Arial" w:hAnsi="Arial" w:cs="Arial"/>
        </w:rPr>
      </w:pPr>
    </w:p>
    <w:p w:rsidR="000105F9"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[30]</w:t>
      </w:r>
      <w:r w:rsidRPr="00DE4FBB">
        <w:rPr>
          <w:rFonts w:ascii="Arial" w:hAnsi="Arial" w:cs="Arial"/>
        </w:rPr>
        <w:tab/>
      </w:r>
      <w:r w:rsidR="002E5CF0" w:rsidRPr="00517F46">
        <w:rPr>
          <w:rFonts w:ascii="Arial" w:hAnsi="Arial" w:cs="Arial"/>
        </w:rPr>
        <w:t>First, p</w:t>
      </w:r>
      <w:r w:rsidR="000105F9" w:rsidRPr="00517F46">
        <w:rPr>
          <w:rFonts w:ascii="Arial" w:hAnsi="Arial" w:cs="Arial"/>
        </w:rPr>
        <w:t>resumably in an attempt to deal with the challenges create</w:t>
      </w:r>
      <w:r w:rsidR="00794333" w:rsidRPr="00517F46">
        <w:rPr>
          <w:rFonts w:ascii="Arial" w:hAnsi="Arial" w:cs="Arial"/>
        </w:rPr>
        <w:t xml:space="preserve">d by the fact that the respondents’ affidavit </w:t>
      </w:r>
      <w:r w:rsidR="0073536A" w:rsidRPr="00517F46">
        <w:rPr>
          <w:rFonts w:ascii="Arial" w:hAnsi="Arial" w:cs="Arial"/>
        </w:rPr>
        <w:t>is</w:t>
      </w:r>
      <w:r w:rsidR="00794333" w:rsidRPr="00517F46">
        <w:rPr>
          <w:rFonts w:ascii="Arial" w:hAnsi="Arial" w:cs="Arial"/>
        </w:rPr>
        <w:t xml:space="preserve"> terse in the extreme</w:t>
      </w:r>
      <w:r w:rsidR="000105F9" w:rsidRPr="00517F46">
        <w:rPr>
          <w:rFonts w:ascii="Arial" w:hAnsi="Arial" w:cs="Arial"/>
        </w:rPr>
        <w:t xml:space="preserve">, the heads of argument filed on behalf of the respondents contained a number of factual averments which do not appear on the affidavits. They are not evidence and fall to be ignored. </w:t>
      </w:r>
    </w:p>
    <w:p w:rsidR="000D36FF" w:rsidRPr="00DE4FBB" w:rsidRDefault="000D36FF" w:rsidP="006B7081">
      <w:pPr>
        <w:pStyle w:val="ListParagraph"/>
        <w:spacing w:line="360" w:lineRule="auto"/>
        <w:rPr>
          <w:rFonts w:ascii="Arial" w:hAnsi="Arial" w:cs="Arial"/>
        </w:rPr>
      </w:pPr>
    </w:p>
    <w:p w:rsidR="0091563B" w:rsidRPr="00517F46" w:rsidRDefault="00517F46" w:rsidP="00517F46">
      <w:pPr>
        <w:autoSpaceDE w:val="0"/>
        <w:autoSpaceDN w:val="0"/>
        <w:adjustRightInd w:val="0"/>
        <w:spacing w:line="360" w:lineRule="auto"/>
        <w:jc w:val="both"/>
        <w:rPr>
          <w:rFonts w:ascii="Arial" w:hAnsi="Arial" w:cs="Arial"/>
        </w:rPr>
      </w:pPr>
      <w:r w:rsidRPr="007F145A">
        <w:rPr>
          <w:rFonts w:ascii="Arial" w:hAnsi="Arial" w:cs="Arial"/>
        </w:rPr>
        <w:t>[31]</w:t>
      </w:r>
      <w:r w:rsidRPr="007F145A">
        <w:rPr>
          <w:rFonts w:ascii="Arial" w:hAnsi="Arial" w:cs="Arial"/>
        </w:rPr>
        <w:tab/>
      </w:r>
      <w:r w:rsidR="002E5CF0" w:rsidRPr="00517F46">
        <w:rPr>
          <w:rFonts w:ascii="Arial" w:hAnsi="Arial" w:cs="Arial"/>
        </w:rPr>
        <w:t>S</w:t>
      </w:r>
      <w:r w:rsidR="00794333" w:rsidRPr="00517F46">
        <w:rPr>
          <w:rFonts w:ascii="Arial" w:hAnsi="Arial" w:cs="Arial"/>
        </w:rPr>
        <w:t>econd</w:t>
      </w:r>
      <w:r w:rsidR="002E5CF0" w:rsidRPr="00517F46">
        <w:rPr>
          <w:rFonts w:ascii="Arial" w:hAnsi="Arial" w:cs="Arial"/>
        </w:rPr>
        <w:t>,</w:t>
      </w:r>
      <w:r w:rsidR="00794333" w:rsidRPr="00517F46">
        <w:rPr>
          <w:rFonts w:ascii="Arial" w:hAnsi="Arial" w:cs="Arial"/>
        </w:rPr>
        <w:t xml:space="preserve"> </w:t>
      </w:r>
      <w:r w:rsidR="002E5CF0" w:rsidRPr="00517F46">
        <w:rPr>
          <w:rFonts w:ascii="Arial" w:hAnsi="Arial" w:cs="Arial"/>
        </w:rPr>
        <w:t>t</w:t>
      </w:r>
      <w:r w:rsidR="00794333" w:rsidRPr="00517F46">
        <w:rPr>
          <w:rFonts w:ascii="Arial" w:hAnsi="Arial" w:cs="Arial"/>
        </w:rPr>
        <w:t>he</w:t>
      </w:r>
      <w:r w:rsidR="00B53B12" w:rsidRPr="00517F46">
        <w:rPr>
          <w:rFonts w:ascii="Arial" w:hAnsi="Arial" w:cs="Arial"/>
        </w:rPr>
        <w:t xml:space="preserve"> </w:t>
      </w:r>
      <w:r w:rsidR="00F44288" w:rsidRPr="00517F46">
        <w:rPr>
          <w:rFonts w:ascii="Arial" w:hAnsi="Arial" w:cs="Arial"/>
        </w:rPr>
        <w:t xml:space="preserve">deponent to the </w:t>
      </w:r>
      <w:r w:rsidR="00794333" w:rsidRPr="00517F46">
        <w:rPr>
          <w:rFonts w:ascii="Arial" w:hAnsi="Arial" w:cs="Arial"/>
        </w:rPr>
        <w:t xml:space="preserve">respondents’ affidavit </w:t>
      </w:r>
      <w:r w:rsidR="00F44288" w:rsidRPr="00517F46">
        <w:rPr>
          <w:rFonts w:ascii="Arial" w:hAnsi="Arial" w:cs="Arial"/>
        </w:rPr>
        <w:t xml:space="preserve">is a principal state law advisor and </w:t>
      </w:r>
      <w:r w:rsidR="005D7D1C" w:rsidRPr="00517F46">
        <w:rPr>
          <w:rFonts w:ascii="Arial" w:hAnsi="Arial" w:cs="Arial"/>
        </w:rPr>
        <w:t xml:space="preserve"> </w:t>
      </w:r>
      <w:r w:rsidR="00F44288" w:rsidRPr="00517F46">
        <w:rPr>
          <w:rFonts w:ascii="Arial" w:hAnsi="Arial" w:cs="Arial"/>
        </w:rPr>
        <w:t xml:space="preserve">deputy information officer </w:t>
      </w:r>
      <w:r w:rsidR="005D7D1C" w:rsidRPr="00517F46">
        <w:rPr>
          <w:rFonts w:ascii="Arial" w:hAnsi="Arial" w:cs="Arial"/>
        </w:rPr>
        <w:t>in</w:t>
      </w:r>
      <w:r w:rsidR="00F44288" w:rsidRPr="00517F46">
        <w:rPr>
          <w:rFonts w:ascii="Arial" w:hAnsi="Arial" w:cs="Arial"/>
        </w:rPr>
        <w:t xml:space="preserve"> the </w:t>
      </w:r>
      <w:r w:rsidR="005B2C9C" w:rsidRPr="00517F46">
        <w:rPr>
          <w:rFonts w:ascii="Arial" w:hAnsi="Arial" w:cs="Arial"/>
        </w:rPr>
        <w:t xml:space="preserve">office of the </w:t>
      </w:r>
      <w:r w:rsidR="00F44288" w:rsidRPr="00517F46">
        <w:rPr>
          <w:rFonts w:ascii="Arial" w:hAnsi="Arial" w:cs="Arial"/>
        </w:rPr>
        <w:t>Premier</w:t>
      </w:r>
      <w:r w:rsidR="005B2C9C" w:rsidRPr="00517F46">
        <w:rPr>
          <w:rFonts w:ascii="Arial" w:hAnsi="Arial" w:cs="Arial"/>
        </w:rPr>
        <w:t xml:space="preserve">. </w:t>
      </w:r>
      <w:r w:rsidR="00F44288" w:rsidRPr="00517F46">
        <w:rPr>
          <w:rFonts w:ascii="Arial" w:hAnsi="Arial" w:cs="Arial"/>
        </w:rPr>
        <w:t xml:space="preserve">She states, in </w:t>
      </w:r>
      <w:r w:rsidR="00B53B12" w:rsidRPr="00517F46">
        <w:rPr>
          <w:rFonts w:ascii="Arial" w:hAnsi="Arial" w:cs="Arial"/>
        </w:rPr>
        <w:t>boilerplate fashion</w:t>
      </w:r>
      <w:r w:rsidR="00F44288" w:rsidRPr="00517F46">
        <w:rPr>
          <w:rFonts w:ascii="Arial" w:hAnsi="Arial" w:cs="Arial"/>
        </w:rPr>
        <w:t>, that she has personal knowledge of the contents of her affidavit because she dealt with the application for access to information</w:t>
      </w:r>
      <w:r w:rsidR="000D36FF" w:rsidRPr="00517F46">
        <w:rPr>
          <w:rFonts w:ascii="Arial" w:hAnsi="Arial" w:cs="Arial"/>
        </w:rPr>
        <w:t xml:space="preserve">, but </w:t>
      </w:r>
      <w:r w:rsidR="00F44288" w:rsidRPr="00517F46">
        <w:rPr>
          <w:rFonts w:ascii="Arial" w:hAnsi="Arial" w:cs="Arial"/>
        </w:rPr>
        <w:t xml:space="preserve"> </w:t>
      </w:r>
      <w:r w:rsidR="000D36FF" w:rsidRPr="00517F46">
        <w:rPr>
          <w:rFonts w:ascii="Arial" w:hAnsi="Arial" w:cs="Arial"/>
        </w:rPr>
        <w:t>t</w:t>
      </w:r>
      <w:r w:rsidR="00F44288" w:rsidRPr="00517F46">
        <w:rPr>
          <w:rFonts w:ascii="Arial" w:hAnsi="Arial" w:cs="Arial"/>
        </w:rPr>
        <w:t xml:space="preserve">hat fact </w:t>
      </w:r>
      <w:r w:rsidR="0091563B" w:rsidRPr="00517F46">
        <w:rPr>
          <w:rFonts w:ascii="Arial" w:hAnsi="Arial" w:cs="Arial"/>
        </w:rPr>
        <w:t>on its own</w:t>
      </w:r>
      <w:r w:rsidR="00F44288" w:rsidRPr="00517F46">
        <w:rPr>
          <w:rFonts w:ascii="Arial" w:hAnsi="Arial" w:cs="Arial"/>
        </w:rPr>
        <w:t xml:space="preserve"> does not give the deponent personal knowledge of everything </w:t>
      </w:r>
      <w:r w:rsidR="0073536A" w:rsidRPr="00517F46">
        <w:rPr>
          <w:rFonts w:ascii="Arial" w:hAnsi="Arial" w:cs="Arial"/>
        </w:rPr>
        <w:t xml:space="preserve">canvassed </w:t>
      </w:r>
      <w:r w:rsidR="00F44288" w:rsidRPr="00517F46">
        <w:rPr>
          <w:rFonts w:ascii="Arial" w:hAnsi="Arial" w:cs="Arial"/>
        </w:rPr>
        <w:t xml:space="preserve">in her affidavit. </w:t>
      </w:r>
      <w:r w:rsidR="00BB1139" w:rsidRPr="00517F46">
        <w:rPr>
          <w:rFonts w:ascii="Arial" w:hAnsi="Arial" w:cs="Arial"/>
        </w:rPr>
        <w:t>T</w:t>
      </w:r>
      <w:r w:rsidR="00F44288" w:rsidRPr="00517F46">
        <w:rPr>
          <w:rFonts w:ascii="Arial" w:hAnsi="Arial" w:cs="Arial"/>
        </w:rPr>
        <w:t xml:space="preserve">he deponent does not state that she dealt with both the initial request for access and the appeal </w:t>
      </w:r>
      <w:r w:rsidR="0073536A" w:rsidRPr="00517F46">
        <w:rPr>
          <w:rFonts w:ascii="Arial" w:hAnsi="Arial" w:cs="Arial"/>
        </w:rPr>
        <w:t>and to what extent she dealt with the request for information</w:t>
      </w:r>
      <w:r w:rsidR="00F44288" w:rsidRPr="00517F46">
        <w:rPr>
          <w:rFonts w:ascii="Arial" w:hAnsi="Arial" w:cs="Arial"/>
        </w:rPr>
        <w:t xml:space="preserve">. She did not sign either </w:t>
      </w:r>
      <w:r w:rsidR="005B2C9C" w:rsidRPr="00517F46">
        <w:rPr>
          <w:rFonts w:ascii="Arial" w:hAnsi="Arial" w:cs="Arial"/>
        </w:rPr>
        <w:t xml:space="preserve">the original decision letter or </w:t>
      </w:r>
      <w:r w:rsidR="00FB1929" w:rsidRPr="00517F46">
        <w:rPr>
          <w:rFonts w:ascii="Arial" w:hAnsi="Arial" w:cs="Arial"/>
        </w:rPr>
        <w:t xml:space="preserve">the appeal decision. </w:t>
      </w:r>
      <w:r w:rsidR="00F44288" w:rsidRPr="00517F46">
        <w:rPr>
          <w:rFonts w:ascii="Arial" w:hAnsi="Arial" w:cs="Arial"/>
        </w:rPr>
        <w:t xml:space="preserve">If she did deal with </w:t>
      </w:r>
      <w:r w:rsidR="00ED567F" w:rsidRPr="00517F46">
        <w:rPr>
          <w:rFonts w:ascii="Arial" w:hAnsi="Arial" w:cs="Arial"/>
        </w:rPr>
        <w:t xml:space="preserve">both the initial request and </w:t>
      </w:r>
      <w:r w:rsidR="00F44288" w:rsidRPr="00517F46">
        <w:rPr>
          <w:rFonts w:ascii="Arial" w:hAnsi="Arial" w:cs="Arial"/>
        </w:rPr>
        <w:t xml:space="preserve">the appeal, </w:t>
      </w:r>
      <w:r w:rsidR="00ED567F" w:rsidRPr="00517F46">
        <w:rPr>
          <w:rFonts w:ascii="Arial" w:hAnsi="Arial" w:cs="Arial"/>
        </w:rPr>
        <w:t xml:space="preserve">despite her name not appearing on the decision letter, </w:t>
      </w:r>
      <w:r w:rsidR="00F44288" w:rsidRPr="00517F46">
        <w:rPr>
          <w:rFonts w:ascii="Arial" w:hAnsi="Arial" w:cs="Arial"/>
        </w:rPr>
        <w:t xml:space="preserve">that would seem to render the appeal right somewhat illusory. </w:t>
      </w:r>
      <w:r w:rsidR="005D7D1C" w:rsidRPr="00517F46">
        <w:rPr>
          <w:rFonts w:ascii="Arial" w:hAnsi="Arial" w:cs="Arial"/>
        </w:rPr>
        <w:t>The deponent</w:t>
      </w:r>
      <w:r w:rsidR="00F44288" w:rsidRPr="00517F46">
        <w:rPr>
          <w:rFonts w:ascii="Arial" w:hAnsi="Arial" w:cs="Arial"/>
        </w:rPr>
        <w:t xml:space="preserve"> does not state that she has seen all the information requested and </w:t>
      </w:r>
      <w:r w:rsidR="00096FFC" w:rsidRPr="00517F46">
        <w:rPr>
          <w:rFonts w:ascii="Arial" w:hAnsi="Arial" w:cs="Arial"/>
        </w:rPr>
        <w:t>evaluated</w:t>
      </w:r>
      <w:r w:rsidR="00F44288" w:rsidRPr="00517F46">
        <w:rPr>
          <w:rFonts w:ascii="Arial" w:hAnsi="Arial" w:cs="Arial"/>
        </w:rPr>
        <w:t xml:space="preserve"> it </w:t>
      </w:r>
      <w:r w:rsidR="00096FFC" w:rsidRPr="00517F46">
        <w:rPr>
          <w:rFonts w:ascii="Arial" w:hAnsi="Arial" w:cs="Arial"/>
        </w:rPr>
        <w:t>to</w:t>
      </w:r>
      <w:r w:rsidR="00F44288" w:rsidRPr="00517F46">
        <w:rPr>
          <w:rFonts w:ascii="Arial" w:hAnsi="Arial" w:cs="Arial"/>
        </w:rPr>
        <w:t xml:space="preserve"> come to </w:t>
      </w:r>
      <w:r w:rsidR="00ED567F" w:rsidRPr="00517F46">
        <w:rPr>
          <w:rFonts w:ascii="Arial" w:hAnsi="Arial" w:cs="Arial"/>
        </w:rPr>
        <w:t>the</w:t>
      </w:r>
      <w:r w:rsidR="00F44288" w:rsidRPr="00517F46">
        <w:rPr>
          <w:rFonts w:ascii="Arial" w:hAnsi="Arial" w:cs="Arial"/>
        </w:rPr>
        <w:t xml:space="preserve"> conclusion</w:t>
      </w:r>
      <w:r w:rsidR="00096FFC" w:rsidRPr="00517F46">
        <w:rPr>
          <w:rFonts w:ascii="Arial" w:hAnsi="Arial" w:cs="Arial"/>
        </w:rPr>
        <w:t xml:space="preserve"> that the outstanding records fell within the exemptions upon which </w:t>
      </w:r>
      <w:r w:rsidR="005D7D1C" w:rsidRPr="00517F46">
        <w:rPr>
          <w:rFonts w:ascii="Arial" w:hAnsi="Arial" w:cs="Arial"/>
        </w:rPr>
        <w:t xml:space="preserve">respondents </w:t>
      </w:r>
      <w:r w:rsidR="00096FFC" w:rsidRPr="00517F46">
        <w:rPr>
          <w:rFonts w:ascii="Arial" w:hAnsi="Arial" w:cs="Arial"/>
        </w:rPr>
        <w:t>rel</w:t>
      </w:r>
      <w:r w:rsidR="005D7D1C" w:rsidRPr="00517F46">
        <w:rPr>
          <w:rFonts w:ascii="Arial" w:hAnsi="Arial" w:cs="Arial"/>
        </w:rPr>
        <w:t>y,</w:t>
      </w:r>
      <w:r w:rsidR="00A5385D" w:rsidRPr="00517F46">
        <w:rPr>
          <w:rFonts w:ascii="Arial" w:hAnsi="Arial" w:cs="Arial"/>
        </w:rPr>
        <w:t xml:space="preserve"> much less disclose a factual foundation for such a conclusion. </w:t>
      </w:r>
    </w:p>
    <w:p w:rsidR="0091563B" w:rsidRPr="00DE4FBB" w:rsidRDefault="0091563B" w:rsidP="006B7081">
      <w:pPr>
        <w:pStyle w:val="ListParagraph"/>
        <w:spacing w:line="360" w:lineRule="auto"/>
        <w:rPr>
          <w:rFonts w:ascii="Arial" w:hAnsi="Arial" w:cs="Arial"/>
        </w:rPr>
      </w:pPr>
    </w:p>
    <w:p w:rsidR="000C63CF"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[32]</w:t>
      </w:r>
      <w:r w:rsidRPr="00DE4FBB">
        <w:rPr>
          <w:rFonts w:ascii="Arial" w:hAnsi="Arial" w:cs="Arial"/>
        </w:rPr>
        <w:tab/>
      </w:r>
      <w:r w:rsidR="00096FFC" w:rsidRPr="00517F46">
        <w:rPr>
          <w:rFonts w:ascii="Arial" w:hAnsi="Arial" w:cs="Arial"/>
        </w:rPr>
        <w:t>I return</w:t>
      </w:r>
      <w:r w:rsidR="005D7D1C" w:rsidRPr="00517F46">
        <w:rPr>
          <w:rFonts w:ascii="Arial" w:hAnsi="Arial" w:cs="Arial"/>
        </w:rPr>
        <w:t xml:space="preserve"> </w:t>
      </w:r>
      <w:r w:rsidR="00096FFC" w:rsidRPr="00517F46">
        <w:rPr>
          <w:rFonts w:ascii="Arial" w:hAnsi="Arial" w:cs="Arial"/>
        </w:rPr>
        <w:t>to this later in th</w:t>
      </w:r>
      <w:r w:rsidR="00447469" w:rsidRPr="00517F46">
        <w:rPr>
          <w:rFonts w:ascii="Arial" w:hAnsi="Arial" w:cs="Arial"/>
        </w:rPr>
        <w:t>e</w:t>
      </w:r>
      <w:r w:rsidR="00096FFC" w:rsidRPr="00517F46">
        <w:rPr>
          <w:rFonts w:ascii="Arial" w:hAnsi="Arial" w:cs="Arial"/>
        </w:rPr>
        <w:t xml:space="preserve"> judgment. </w:t>
      </w:r>
      <w:r w:rsidR="009343FE" w:rsidRPr="00517F46">
        <w:rPr>
          <w:rFonts w:ascii="Arial" w:hAnsi="Arial" w:cs="Arial"/>
        </w:rPr>
        <w:t xml:space="preserve">For present purposes suffice it to state that her affidavit calls to mind what Nugent JA said of the affidavits filed by the state respondents in the </w:t>
      </w:r>
      <w:r w:rsidR="000C63CF" w:rsidRPr="00517F46">
        <w:rPr>
          <w:rFonts w:ascii="Arial" w:hAnsi="Arial" w:cs="Arial"/>
        </w:rPr>
        <w:t xml:space="preserve">first </w:t>
      </w:r>
      <w:r w:rsidR="00ED567F" w:rsidRPr="00517F46">
        <w:rPr>
          <w:rFonts w:ascii="Arial" w:hAnsi="Arial" w:cs="Arial"/>
        </w:rPr>
        <w:t xml:space="preserve">decision of the Supreme Court of Appeal </w:t>
      </w:r>
      <w:r w:rsidR="000C63CF" w:rsidRPr="00517F46">
        <w:rPr>
          <w:rFonts w:ascii="Arial" w:hAnsi="Arial" w:cs="Arial"/>
        </w:rPr>
        <w:t>in the Mail &amp; Guardian saga</w:t>
      </w:r>
      <w:r w:rsidR="00ED567F" w:rsidRPr="00517F46">
        <w:rPr>
          <w:rFonts w:ascii="Arial" w:hAnsi="Arial" w:cs="Arial"/>
        </w:rPr>
        <w:t>:</w:t>
      </w:r>
      <w:r w:rsidR="000C63CF" w:rsidRPr="00DE4FBB">
        <w:rPr>
          <w:rStyle w:val="FootnoteReference"/>
          <w:rFonts w:ascii="Arial" w:hAnsi="Arial" w:cs="Arial"/>
        </w:rPr>
        <w:footnoteReference w:id="12"/>
      </w:r>
    </w:p>
    <w:p w:rsidR="000C63CF" w:rsidRDefault="0091563B" w:rsidP="0066173C">
      <w:pPr>
        <w:pStyle w:val="ListParagraph"/>
        <w:autoSpaceDE w:val="0"/>
        <w:autoSpaceDN w:val="0"/>
        <w:adjustRightInd w:val="0"/>
        <w:spacing w:line="360" w:lineRule="auto"/>
        <w:ind w:left="1431" w:right="708" w:hanging="13"/>
        <w:jc w:val="both"/>
        <w:rPr>
          <w:rFonts w:ascii="Arial" w:hAnsi="Arial" w:cs="Arial"/>
          <w:sz w:val="22"/>
          <w:szCs w:val="22"/>
        </w:rPr>
      </w:pPr>
      <w:r w:rsidRPr="00DE4FBB">
        <w:rPr>
          <w:rFonts w:ascii="Arial" w:hAnsi="Arial" w:cs="Arial"/>
          <w:sz w:val="22"/>
          <w:szCs w:val="22"/>
        </w:rPr>
        <w:lastRenderedPageBreak/>
        <w:tab/>
      </w:r>
      <w:r w:rsidRPr="006B7081">
        <w:rPr>
          <w:rFonts w:ascii="Arial" w:hAnsi="Arial" w:cs="Arial"/>
          <w:sz w:val="22"/>
          <w:szCs w:val="22"/>
        </w:rPr>
        <w:tab/>
      </w:r>
      <w:r w:rsidR="00ED6A3E" w:rsidRPr="006B7081">
        <w:rPr>
          <w:rFonts w:ascii="Arial" w:hAnsi="Arial" w:cs="Arial"/>
          <w:sz w:val="22"/>
          <w:szCs w:val="22"/>
        </w:rPr>
        <w:t>‘</w:t>
      </w:r>
      <w:r w:rsidR="00ED567F">
        <w:rPr>
          <w:rFonts w:ascii="Arial" w:hAnsi="Arial" w:cs="Arial"/>
          <w:sz w:val="22"/>
          <w:szCs w:val="22"/>
        </w:rPr>
        <w:t>[18]….</w:t>
      </w:r>
      <w:r w:rsidR="000C63CF" w:rsidRPr="006B7081">
        <w:rPr>
          <w:rFonts w:ascii="Arial" w:hAnsi="Arial" w:cs="Arial"/>
          <w:sz w:val="22"/>
          <w:szCs w:val="22"/>
        </w:rPr>
        <w:t>A</w:t>
      </w:r>
      <w:r w:rsidR="000C63CF" w:rsidRPr="006B7081">
        <w:rPr>
          <w:rFonts w:ascii="Arial" w:hAnsi="Arial" w:cs="Arial"/>
          <w:sz w:val="22"/>
          <w:szCs w:val="22"/>
          <w:shd w:val="clear" w:color="auto" w:fill="FFFFFF"/>
        </w:rPr>
        <w:t>t another time courts were regularly confronted with laws that precluded them from going behind conclusions and opinions formed by public official</w:t>
      </w:r>
      <w:r w:rsidR="000C63CF" w:rsidRPr="006B7081">
        <w:rPr>
          <w:rFonts w:ascii="Arial" w:hAnsi="Arial" w:cs="Arial"/>
          <w:sz w:val="22"/>
          <w:szCs w:val="22"/>
        </w:rPr>
        <w:t>s</w:t>
      </w:r>
    </w:p>
    <w:p w:rsidR="0066173C" w:rsidRPr="006B7081" w:rsidRDefault="0066173C" w:rsidP="0066173C">
      <w:pPr>
        <w:pStyle w:val="ListParagraph"/>
        <w:autoSpaceDE w:val="0"/>
        <w:autoSpaceDN w:val="0"/>
        <w:adjustRightInd w:val="0"/>
        <w:spacing w:line="360" w:lineRule="auto"/>
        <w:ind w:left="1431" w:right="708" w:hanging="13"/>
        <w:jc w:val="both"/>
        <w:rPr>
          <w:rFonts w:ascii="Arial" w:hAnsi="Arial" w:cs="Arial"/>
          <w:sz w:val="22"/>
          <w:szCs w:val="22"/>
        </w:rPr>
      </w:pPr>
    </w:p>
    <w:p w:rsidR="009343FE" w:rsidRPr="006B7081" w:rsidRDefault="00ED567F" w:rsidP="0066173C">
      <w:pPr>
        <w:pStyle w:val="ListParagraph"/>
        <w:autoSpaceDE w:val="0"/>
        <w:autoSpaceDN w:val="0"/>
        <w:adjustRightInd w:val="0"/>
        <w:spacing w:line="360" w:lineRule="auto"/>
        <w:ind w:left="1431" w:right="708" w:hanging="13"/>
        <w:jc w:val="both"/>
        <w:rPr>
          <w:rFonts w:ascii="Arial" w:hAnsi="Arial" w:cs="Arial"/>
          <w:sz w:val="22"/>
          <w:szCs w:val="22"/>
        </w:rPr>
      </w:pPr>
      <w:r>
        <w:rPr>
          <w:rFonts w:ascii="Arial" w:hAnsi="Arial" w:cs="Arial"/>
          <w:sz w:val="22"/>
          <w:szCs w:val="22"/>
          <w:shd w:val="clear" w:color="auto" w:fill="FFFFFF"/>
        </w:rPr>
        <w:t xml:space="preserve">[19] </w:t>
      </w:r>
      <w:r w:rsidR="009343FE" w:rsidRPr="006B7081">
        <w:rPr>
          <w:rFonts w:ascii="Arial" w:hAnsi="Arial" w:cs="Arial"/>
          <w:sz w:val="22"/>
          <w:szCs w:val="22"/>
          <w:shd w:val="clear" w:color="auto" w:fill="FFFFFF"/>
        </w:rPr>
        <w:t>The affidavits that have been filed by the appellants are reminiscent of affidavits that were customarily filed in cases of that kind. In the main they assert conclusions that have been reached by the deponents, with no evidential basis to support them, in the apparent expectation that their</w:t>
      </w:r>
      <w:r w:rsidR="009343FE" w:rsidRPr="006B7081">
        <w:rPr>
          <w:rStyle w:val="apple-converted-space"/>
          <w:rFonts w:ascii="Arial" w:hAnsi="Arial" w:cs="Arial"/>
          <w:sz w:val="22"/>
          <w:szCs w:val="22"/>
          <w:shd w:val="clear" w:color="auto" w:fill="FFFFFF"/>
        </w:rPr>
        <w:t> </w:t>
      </w:r>
      <w:r w:rsidR="009343FE" w:rsidRPr="006B7081">
        <w:rPr>
          <w:rFonts w:ascii="Arial" w:hAnsi="Arial" w:cs="Arial"/>
          <w:sz w:val="22"/>
          <w:szCs w:val="22"/>
          <w:shd w:val="clear" w:color="auto" w:fill="FFFFFF"/>
        </w:rPr>
        <w:t>conclusion put an end to the matter. That is not how things work under the Act. The Act requires a court to be satisfied that secrecy is justified and that calls for a proper evidential basis to justify the secrecy.</w:t>
      </w:r>
      <w:r w:rsidR="000C63CF" w:rsidRPr="006B7081">
        <w:rPr>
          <w:rFonts w:ascii="Arial" w:hAnsi="Arial" w:cs="Arial"/>
          <w:sz w:val="22"/>
          <w:szCs w:val="22"/>
          <w:shd w:val="clear" w:color="auto" w:fill="FFFFFF"/>
        </w:rPr>
        <w:t>’</w:t>
      </w:r>
    </w:p>
    <w:p w:rsidR="006F3522" w:rsidRPr="00DE4FBB" w:rsidRDefault="006F3522" w:rsidP="006B7081">
      <w:pPr>
        <w:spacing w:line="360" w:lineRule="auto"/>
        <w:rPr>
          <w:rFonts w:ascii="Arial" w:hAnsi="Arial" w:cs="Arial"/>
        </w:rPr>
      </w:pPr>
    </w:p>
    <w:p w:rsidR="005363D2" w:rsidRPr="00517F46" w:rsidRDefault="00517F46" w:rsidP="00517F46">
      <w:pPr>
        <w:autoSpaceDE w:val="0"/>
        <w:autoSpaceDN w:val="0"/>
        <w:adjustRightInd w:val="0"/>
        <w:spacing w:line="360" w:lineRule="auto"/>
        <w:jc w:val="both"/>
        <w:rPr>
          <w:rFonts w:ascii="Arial" w:hAnsi="Arial" w:cs="Arial"/>
        </w:rPr>
      </w:pPr>
      <w:r w:rsidRPr="007F145A">
        <w:rPr>
          <w:rFonts w:ascii="Arial" w:hAnsi="Arial" w:cs="Arial"/>
        </w:rPr>
        <w:t>[33]</w:t>
      </w:r>
      <w:r w:rsidRPr="007F145A">
        <w:rPr>
          <w:rFonts w:ascii="Arial" w:hAnsi="Arial" w:cs="Arial"/>
        </w:rPr>
        <w:tab/>
      </w:r>
      <w:r w:rsidR="005363D2" w:rsidRPr="00517F46">
        <w:rPr>
          <w:rFonts w:ascii="Arial" w:hAnsi="Arial" w:cs="Arial"/>
          <w:color w:val="000000"/>
          <w:shd w:val="clear" w:color="auto" w:fill="FFFFFF"/>
        </w:rPr>
        <w:t xml:space="preserve">Applications in terms of section 78 of PAIA are not review proceedings. They entail a reconsideration of the merits </w:t>
      </w:r>
      <w:r w:rsidR="005363D2" w:rsidRPr="00517F46">
        <w:rPr>
          <w:rFonts w:ascii="Arial" w:hAnsi="Arial" w:cs="Arial"/>
          <w:i/>
          <w:iCs/>
          <w:color w:val="000000"/>
          <w:shd w:val="clear" w:color="auto" w:fill="FFFFFF"/>
        </w:rPr>
        <w:t>de novo</w:t>
      </w:r>
      <w:r w:rsidR="005363D2" w:rsidRPr="00517F46">
        <w:rPr>
          <w:rFonts w:ascii="Arial" w:hAnsi="Arial" w:cs="Arial"/>
          <w:color w:val="000000"/>
          <w:shd w:val="clear" w:color="auto" w:fill="FFFFFF"/>
        </w:rPr>
        <w:t xml:space="preserve"> on the evidence put before the court, which may well go beyond what served before the information officer or the appeal authority.</w:t>
      </w:r>
      <w:r w:rsidR="005363D2" w:rsidRPr="00DE4FBB">
        <w:rPr>
          <w:rStyle w:val="FootnoteReference"/>
          <w:rFonts w:ascii="Arial" w:hAnsi="Arial" w:cs="Arial"/>
          <w:color w:val="000000"/>
          <w:shd w:val="clear" w:color="auto" w:fill="FFFFFF"/>
        </w:rPr>
        <w:footnoteReference w:id="13"/>
      </w:r>
      <w:r w:rsidR="005363D2" w:rsidRPr="00517F46">
        <w:rPr>
          <w:rFonts w:ascii="Arial" w:hAnsi="Arial" w:cs="Arial"/>
          <w:color w:val="000000"/>
          <w:shd w:val="clear" w:color="auto" w:fill="FFFFFF"/>
        </w:rPr>
        <w:t xml:space="preserve"> </w:t>
      </w:r>
      <w:r w:rsidR="0091563B" w:rsidRPr="00517F46">
        <w:rPr>
          <w:rFonts w:ascii="Arial" w:hAnsi="Arial" w:cs="Arial"/>
          <w:color w:val="000000"/>
          <w:shd w:val="clear" w:color="auto" w:fill="FFFFFF"/>
        </w:rPr>
        <w:t>They are</w:t>
      </w:r>
      <w:r w:rsidR="000E769A" w:rsidRPr="00517F46">
        <w:rPr>
          <w:rFonts w:ascii="Arial" w:hAnsi="Arial" w:cs="Arial"/>
          <w:color w:val="000000"/>
          <w:shd w:val="clear" w:color="auto" w:fill="FFFFFF"/>
        </w:rPr>
        <w:t xml:space="preserve"> therefore in the nature of a wide appeal</w:t>
      </w:r>
      <w:r w:rsidR="000A0E9E" w:rsidRPr="00517F46">
        <w:rPr>
          <w:rFonts w:ascii="Arial" w:hAnsi="Arial" w:cs="Arial"/>
          <w:color w:val="000000"/>
          <w:shd w:val="clear" w:color="auto" w:fill="FFFFFF"/>
        </w:rPr>
        <w:t>.</w:t>
      </w:r>
      <w:r w:rsidR="000E769A" w:rsidRPr="00DE4FBB">
        <w:rPr>
          <w:rStyle w:val="FootnoteReference"/>
          <w:rFonts w:ascii="Arial" w:hAnsi="Arial" w:cs="Arial"/>
          <w:color w:val="000000"/>
          <w:shd w:val="clear" w:color="auto" w:fill="FFFFFF"/>
        </w:rPr>
        <w:footnoteReference w:id="14"/>
      </w:r>
      <w:r w:rsidR="000E769A" w:rsidRPr="00517F46">
        <w:rPr>
          <w:rFonts w:ascii="Arial" w:hAnsi="Arial" w:cs="Arial"/>
          <w:color w:val="000000"/>
          <w:shd w:val="clear" w:color="auto" w:fill="FFFFFF"/>
        </w:rPr>
        <w:t xml:space="preserve"> </w:t>
      </w:r>
      <w:r w:rsidR="005363D2" w:rsidRPr="00517F46">
        <w:rPr>
          <w:rFonts w:ascii="Arial" w:hAnsi="Arial" w:cs="Arial"/>
          <w:color w:val="000000"/>
          <w:shd w:val="clear" w:color="auto" w:fill="FFFFFF"/>
        </w:rPr>
        <w:t>As such, the principle applicable in reviews that a decision maker is bound by the reasons given for their decision at the time it was made,</w:t>
      </w:r>
      <w:r w:rsidR="005363D2" w:rsidRPr="00DE4FBB">
        <w:rPr>
          <w:rStyle w:val="FootnoteReference"/>
          <w:rFonts w:ascii="Arial" w:hAnsi="Arial" w:cs="Arial"/>
          <w:color w:val="000000"/>
          <w:shd w:val="clear" w:color="auto" w:fill="FFFFFF"/>
        </w:rPr>
        <w:footnoteReference w:id="15"/>
      </w:r>
      <w:r w:rsidR="005363D2" w:rsidRPr="00517F46">
        <w:rPr>
          <w:rFonts w:ascii="Arial" w:hAnsi="Arial" w:cs="Arial"/>
          <w:color w:val="000000"/>
          <w:shd w:val="clear" w:color="auto" w:fill="FFFFFF"/>
        </w:rPr>
        <w:t xml:space="preserve"> </w:t>
      </w:r>
      <w:r w:rsidR="000A0E9E" w:rsidRPr="00517F46">
        <w:rPr>
          <w:rFonts w:ascii="Arial" w:hAnsi="Arial" w:cs="Arial"/>
          <w:color w:val="000000"/>
          <w:shd w:val="clear" w:color="auto" w:fill="FFFFFF"/>
        </w:rPr>
        <w:t xml:space="preserve">does </w:t>
      </w:r>
      <w:r w:rsidR="003500F5" w:rsidRPr="00517F46">
        <w:rPr>
          <w:rFonts w:ascii="Arial" w:hAnsi="Arial" w:cs="Arial"/>
          <w:color w:val="000000"/>
          <w:shd w:val="clear" w:color="auto" w:fill="FFFFFF"/>
        </w:rPr>
        <w:t xml:space="preserve">not </w:t>
      </w:r>
      <w:r w:rsidR="005363D2" w:rsidRPr="00517F46">
        <w:rPr>
          <w:rFonts w:ascii="Arial" w:hAnsi="Arial" w:cs="Arial"/>
          <w:color w:val="000000"/>
          <w:shd w:val="clear" w:color="auto" w:fill="FFFFFF"/>
        </w:rPr>
        <w:t>apply</w:t>
      </w:r>
      <w:r w:rsidR="007F145A" w:rsidRPr="00517F46">
        <w:rPr>
          <w:rFonts w:ascii="Arial" w:hAnsi="Arial" w:cs="Arial"/>
          <w:color w:val="000000"/>
          <w:shd w:val="clear" w:color="auto" w:fill="FFFFFF"/>
        </w:rPr>
        <w:t xml:space="preserve"> in the same way</w:t>
      </w:r>
      <w:r w:rsidR="005363D2" w:rsidRPr="00517F46">
        <w:rPr>
          <w:rFonts w:ascii="Arial" w:hAnsi="Arial" w:cs="Arial"/>
          <w:color w:val="000000"/>
          <w:shd w:val="clear" w:color="auto" w:fill="FFFFFF"/>
        </w:rPr>
        <w:t>. The public body must justify its refusal on the evidence in the application. Whether a public body’s refusal to grant access passes muster therefore falls to be determined with reference to the grounds upon which it relies in that affidavit, not the grounds upon which it may have relied at an earlier stage in proceedings. However, where the grounds for refusing access advanced in the affidavit differ from those relied on at an earlier stage, that change may be relevant to assessing whether the grounds relied on in the answering affidavit should be approached with reserve.</w:t>
      </w:r>
      <w:r w:rsidR="005363D2" w:rsidRPr="00DE4FBB">
        <w:rPr>
          <w:rStyle w:val="FootnoteReference"/>
          <w:rFonts w:ascii="Arial" w:hAnsi="Arial" w:cs="Arial"/>
          <w:color w:val="000000"/>
          <w:shd w:val="clear" w:color="auto" w:fill="FFFFFF"/>
        </w:rPr>
        <w:footnoteReference w:id="16"/>
      </w:r>
    </w:p>
    <w:p w:rsidR="005363D2" w:rsidRPr="00DE4FBB" w:rsidRDefault="005363D2" w:rsidP="006B7081">
      <w:pPr>
        <w:pStyle w:val="ListParagraph"/>
        <w:autoSpaceDE w:val="0"/>
        <w:autoSpaceDN w:val="0"/>
        <w:adjustRightInd w:val="0"/>
        <w:spacing w:line="360" w:lineRule="auto"/>
        <w:ind w:left="851"/>
        <w:jc w:val="both"/>
        <w:rPr>
          <w:rFonts w:ascii="Arial" w:hAnsi="Arial" w:cs="Arial"/>
        </w:rPr>
      </w:pPr>
    </w:p>
    <w:p w:rsidR="006F3522"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[34]</w:t>
      </w:r>
      <w:r w:rsidRPr="00DE4FBB">
        <w:rPr>
          <w:rFonts w:ascii="Arial" w:hAnsi="Arial" w:cs="Arial"/>
        </w:rPr>
        <w:tab/>
      </w:r>
      <w:r w:rsidR="006F3522" w:rsidRPr="00517F46">
        <w:rPr>
          <w:rFonts w:ascii="Arial" w:hAnsi="Arial" w:cs="Arial"/>
        </w:rPr>
        <w:t xml:space="preserve">It is convenient to consider whether the respondents have discharged the </w:t>
      </w:r>
      <w:r w:rsidR="003500F5" w:rsidRPr="00517F46">
        <w:rPr>
          <w:rFonts w:ascii="Arial" w:hAnsi="Arial" w:cs="Arial"/>
        </w:rPr>
        <w:t>burden</w:t>
      </w:r>
      <w:r w:rsidR="006F3522" w:rsidRPr="00517F46">
        <w:rPr>
          <w:rFonts w:ascii="Arial" w:hAnsi="Arial" w:cs="Arial"/>
        </w:rPr>
        <w:t xml:space="preserve"> resting on the</w:t>
      </w:r>
      <w:r w:rsidR="008E3E84" w:rsidRPr="00517F46">
        <w:rPr>
          <w:rFonts w:ascii="Arial" w:hAnsi="Arial" w:cs="Arial"/>
        </w:rPr>
        <w:t>m</w:t>
      </w:r>
      <w:r w:rsidR="006F3522" w:rsidRPr="00517F46">
        <w:rPr>
          <w:rFonts w:ascii="Arial" w:hAnsi="Arial" w:cs="Arial"/>
        </w:rPr>
        <w:t xml:space="preserve"> with reference </w:t>
      </w:r>
      <w:r w:rsidR="00C04FBC" w:rsidRPr="00517F46">
        <w:rPr>
          <w:rFonts w:ascii="Arial" w:hAnsi="Arial" w:cs="Arial"/>
        </w:rPr>
        <w:t xml:space="preserve">first </w:t>
      </w:r>
      <w:r w:rsidR="006F3522" w:rsidRPr="00517F46">
        <w:rPr>
          <w:rFonts w:ascii="Arial" w:hAnsi="Arial" w:cs="Arial"/>
        </w:rPr>
        <w:t xml:space="preserve">to </w:t>
      </w:r>
      <w:r w:rsidR="008E3E84" w:rsidRPr="00517F46">
        <w:rPr>
          <w:rFonts w:ascii="Arial" w:hAnsi="Arial" w:cs="Arial"/>
        </w:rPr>
        <w:t xml:space="preserve">each of </w:t>
      </w:r>
      <w:r w:rsidR="006F3522" w:rsidRPr="00517F46">
        <w:rPr>
          <w:rFonts w:ascii="Arial" w:hAnsi="Arial" w:cs="Arial"/>
        </w:rPr>
        <w:t xml:space="preserve">the </w:t>
      </w:r>
      <w:r w:rsidR="008E3E84" w:rsidRPr="00517F46">
        <w:rPr>
          <w:rFonts w:ascii="Arial" w:hAnsi="Arial" w:cs="Arial"/>
        </w:rPr>
        <w:t xml:space="preserve">exemption </w:t>
      </w:r>
      <w:r w:rsidR="00C04FBC" w:rsidRPr="00517F46">
        <w:rPr>
          <w:rFonts w:ascii="Arial" w:hAnsi="Arial" w:cs="Arial"/>
        </w:rPr>
        <w:t>provisions</w:t>
      </w:r>
      <w:r w:rsidR="006F3522" w:rsidRPr="00517F46">
        <w:rPr>
          <w:rFonts w:ascii="Arial" w:hAnsi="Arial" w:cs="Arial"/>
        </w:rPr>
        <w:t xml:space="preserve"> </w:t>
      </w:r>
      <w:r w:rsidR="008E3E84" w:rsidRPr="00517F46">
        <w:rPr>
          <w:rFonts w:ascii="Arial" w:hAnsi="Arial" w:cs="Arial"/>
        </w:rPr>
        <w:t>on</w:t>
      </w:r>
      <w:r w:rsidR="006F3522" w:rsidRPr="00517F46">
        <w:rPr>
          <w:rFonts w:ascii="Arial" w:hAnsi="Arial" w:cs="Arial"/>
        </w:rPr>
        <w:t xml:space="preserve"> which the</w:t>
      </w:r>
      <w:r w:rsidR="008E3E84" w:rsidRPr="00517F46">
        <w:rPr>
          <w:rFonts w:ascii="Arial" w:hAnsi="Arial" w:cs="Arial"/>
        </w:rPr>
        <w:t>y</w:t>
      </w:r>
      <w:r w:rsidR="006F3522" w:rsidRPr="00517F46">
        <w:rPr>
          <w:rFonts w:ascii="Arial" w:hAnsi="Arial" w:cs="Arial"/>
        </w:rPr>
        <w:t xml:space="preserve"> rel</w:t>
      </w:r>
      <w:r w:rsidR="008E3E84" w:rsidRPr="00517F46">
        <w:rPr>
          <w:rFonts w:ascii="Arial" w:hAnsi="Arial" w:cs="Arial"/>
        </w:rPr>
        <w:t>y, rather than by category of document, as in various instances, a single section is relied on to resist disclosure in respect of more than one category</w:t>
      </w:r>
      <w:r w:rsidR="006F3522" w:rsidRPr="00517F46">
        <w:rPr>
          <w:rFonts w:ascii="Arial" w:hAnsi="Arial" w:cs="Arial"/>
        </w:rPr>
        <w:t xml:space="preserve">. </w:t>
      </w:r>
      <w:r w:rsidR="00193234" w:rsidRPr="00517F46">
        <w:rPr>
          <w:rFonts w:ascii="Arial" w:hAnsi="Arial" w:cs="Arial"/>
        </w:rPr>
        <w:lastRenderedPageBreak/>
        <w:t xml:space="preserve">Thereafter, I deal with </w:t>
      </w:r>
      <w:r w:rsidR="00A8047A" w:rsidRPr="00517F46">
        <w:rPr>
          <w:rFonts w:ascii="Arial" w:hAnsi="Arial" w:cs="Arial"/>
        </w:rPr>
        <w:t xml:space="preserve">additional </w:t>
      </w:r>
      <w:r w:rsidR="00193234" w:rsidRPr="00517F46">
        <w:rPr>
          <w:rFonts w:ascii="Arial" w:hAnsi="Arial" w:cs="Arial"/>
        </w:rPr>
        <w:t>c</w:t>
      </w:r>
      <w:r w:rsidR="00C04FBC" w:rsidRPr="00517F46">
        <w:rPr>
          <w:rFonts w:ascii="Arial" w:hAnsi="Arial" w:cs="Arial"/>
        </w:rPr>
        <w:t xml:space="preserve">onsiderations </w:t>
      </w:r>
      <w:r w:rsidR="00193234" w:rsidRPr="00517F46">
        <w:rPr>
          <w:rFonts w:ascii="Arial" w:hAnsi="Arial" w:cs="Arial"/>
        </w:rPr>
        <w:t xml:space="preserve">which apply in respect of </w:t>
      </w:r>
      <w:r w:rsidR="00C04FBC" w:rsidRPr="00517F46">
        <w:rPr>
          <w:rFonts w:ascii="Arial" w:hAnsi="Arial" w:cs="Arial"/>
        </w:rPr>
        <w:t>the records relating to the</w:t>
      </w:r>
      <w:r w:rsidR="00193234" w:rsidRPr="00517F46">
        <w:rPr>
          <w:rFonts w:ascii="Arial" w:hAnsi="Arial" w:cs="Arial"/>
        </w:rPr>
        <w:t xml:space="preserve"> interviews and shortlisting</w:t>
      </w:r>
      <w:r w:rsidR="00A8047A" w:rsidRPr="00517F46">
        <w:rPr>
          <w:rFonts w:ascii="Arial" w:hAnsi="Arial" w:cs="Arial"/>
        </w:rPr>
        <w:t xml:space="preserve"> </w:t>
      </w:r>
      <w:r w:rsidR="00193234" w:rsidRPr="00517F46">
        <w:rPr>
          <w:rFonts w:ascii="Arial" w:hAnsi="Arial" w:cs="Arial"/>
        </w:rPr>
        <w:t xml:space="preserve">. </w:t>
      </w:r>
    </w:p>
    <w:p w:rsidR="00216BBD" w:rsidRPr="00DE4FBB" w:rsidRDefault="00216BBD" w:rsidP="006B7081">
      <w:pPr>
        <w:autoSpaceDE w:val="0"/>
        <w:autoSpaceDN w:val="0"/>
        <w:adjustRightInd w:val="0"/>
        <w:spacing w:line="360" w:lineRule="auto"/>
        <w:jc w:val="both"/>
        <w:rPr>
          <w:rFonts w:ascii="Arial" w:hAnsi="Arial" w:cs="Arial"/>
        </w:rPr>
      </w:pPr>
    </w:p>
    <w:p w:rsidR="002229BD" w:rsidRPr="00DE4FBB" w:rsidRDefault="002B79E6" w:rsidP="006B7081">
      <w:pPr>
        <w:autoSpaceDE w:val="0"/>
        <w:autoSpaceDN w:val="0"/>
        <w:adjustRightInd w:val="0"/>
        <w:spacing w:line="360" w:lineRule="auto"/>
        <w:jc w:val="both"/>
        <w:rPr>
          <w:rFonts w:ascii="Arial" w:hAnsi="Arial" w:cs="Arial"/>
          <w:b/>
          <w:bCs/>
        </w:rPr>
      </w:pPr>
      <w:r w:rsidRPr="00DE4FBB">
        <w:rPr>
          <w:rFonts w:ascii="Arial" w:hAnsi="Arial" w:cs="Arial"/>
          <w:b/>
          <w:bCs/>
        </w:rPr>
        <w:t>S</w:t>
      </w:r>
      <w:r w:rsidR="002229BD" w:rsidRPr="00DE4FBB">
        <w:rPr>
          <w:rFonts w:ascii="Arial" w:hAnsi="Arial" w:cs="Arial"/>
          <w:b/>
          <w:bCs/>
        </w:rPr>
        <w:t>ection 7</w:t>
      </w:r>
      <w:r w:rsidR="00465C88" w:rsidRPr="00DE4FBB">
        <w:rPr>
          <w:rFonts w:ascii="Arial" w:hAnsi="Arial" w:cs="Arial"/>
          <w:b/>
          <w:bCs/>
        </w:rPr>
        <w:t xml:space="preserve">: records for </w:t>
      </w:r>
      <w:r w:rsidR="008E700E" w:rsidRPr="00DE4FBB">
        <w:rPr>
          <w:rFonts w:ascii="Arial" w:hAnsi="Arial" w:cs="Arial"/>
          <w:b/>
          <w:bCs/>
        </w:rPr>
        <w:t xml:space="preserve">purposes of </w:t>
      </w:r>
      <w:r w:rsidR="00465C88" w:rsidRPr="00DE4FBB">
        <w:rPr>
          <w:rFonts w:ascii="Arial" w:hAnsi="Arial" w:cs="Arial"/>
          <w:b/>
          <w:bCs/>
        </w:rPr>
        <w:t>legal proceedings</w:t>
      </w:r>
      <w:r w:rsidR="008E700E" w:rsidRPr="00DE4FBB">
        <w:rPr>
          <w:rFonts w:ascii="Arial" w:hAnsi="Arial" w:cs="Arial"/>
          <w:b/>
          <w:bCs/>
        </w:rPr>
        <w:t xml:space="preserve"> after commencement </w:t>
      </w:r>
    </w:p>
    <w:p w:rsidR="002229BD" w:rsidRPr="00DE4FBB" w:rsidRDefault="002229BD" w:rsidP="006B7081">
      <w:pPr>
        <w:autoSpaceDE w:val="0"/>
        <w:autoSpaceDN w:val="0"/>
        <w:adjustRightInd w:val="0"/>
        <w:spacing w:line="360" w:lineRule="auto"/>
        <w:ind w:left="851" w:hanging="851"/>
        <w:jc w:val="both"/>
        <w:rPr>
          <w:rFonts w:ascii="Arial" w:hAnsi="Arial" w:cs="Arial"/>
        </w:rPr>
      </w:pPr>
    </w:p>
    <w:p w:rsidR="00C04FBC" w:rsidRPr="00517F46" w:rsidRDefault="00517F46" w:rsidP="00517F46">
      <w:pPr>
        <w:autoSpaceDE w:val="0"/>
        <w:autoSpaceDN w:val="0"/>
        <w:adjustRightInd w:val="0"/>
        <w:spacing w:line="360" w:lineRule="auto"/>
        <w:jc w:val="both"/>
        <w:rPr>
          <w:rFonts w:ascii="Arial" w:hAnsi="Arial" w:cs="Arial"/>
        </w:rPr>
      </w:pPr>
      <w:r w:rsidRPr="00D7378E">
        <w:rPr>
          <w:rFonts w:ascii="Arial" w:hAnsi="Arial" w:cs="Arial"/>
        </w:rPr>
        <w:t>[35]</w:t>
      </w:r>
      <w:r w:rsidRPr="00D7378E">
        <w:rPr>
          <w:rFonts w:ascii="Arial" w:hAnsi="Arial" w:cs="Arial"/>
        </w:rPr>
        <w:tab/>
      </w:r>
      <w:r w:rsidR="00216BBD" w:rsidRPr="00517F46">
        <w:rPr>
          <w:rFonts w:ascii="Arial" w:hAnsi="Arial" w:cs="Arial"/>
        </w:rPr>
        <w:t>It is appropriate to start by evaluating the validity of the respondents</w:t>
      </w:r>
      <w:r w:rsidR="003D3BEF" w:rsidRPr="00517F46">
        <w:rPr>
          <w:rFonts w:ascii="Arial" w:hAnsi="Arial" w:cs="Arial"/>
        </w:rPr>
        <w:t>’</w:t>
      </w:r>
      <w:r w:rsidR="00216BBD" w:rsidRPr="00517F46">
        <w:rPr>
          <w:rFonts w:ascii="Arial" w:hAnsi="Arial" w:cs="Arial"/>
        </w:rPr>
        <w:t xml:space="preserve"> reliance on section 7 of </w:t>
      </w:r>
      <w:r w:rsidR="00EA32E5" w:rsidRPr="00517F46">
        <w:rPr>
          <w:rFonts w:ascii="Arial" w:hAnsi="Arial" w:cs="Arial"/>
        </w:rPr>
        <w:t>PAIA</w:t>
      </w:r>
      <w:r w:rsidR="00216BBD" w:rsidRPr="00517F46">
        <w:rPr>
          <w:rFonts w:ascii="Arial" w:hAnsi="Arial" w:cs="Arial"/>
        </w:rPr>
        <w:t xml:space="preserve">, as </w:t>
      </w:r>
      <w:r w:rsidR="00D7378E" w:rsidRPr="00517F46">
        <w:rPr>
          <w:rFonts w:ascii="Arial" w:hAnsi="Arial" w:cs="Arial"/>
        </w:rPr>
        <w:t xml:space="preserve">it </w:t>
      </w:r>
      <w:r w:rsidR="00216BBD" w:rsidRPr="00517F46">
        <w:rPr>
          <w:rFonts w:ascii="Arial" w:hAnsi="Arial" w:cs="Arial"/>
        </w:rPr>
        <w:t xml:space="preserve">is invoked as a </w:t>
      </w:r>
      <w:r w:rsidR="002229BD" w:rsidRPr="00517F46">
        <w:rPr>
          <w:rFonts w:ascii="Arial" w:hAnsi="Arial" w:cs="Arial"/>
        </w:rPr>
        <w:t xml:space="preserve">justification for the refusal of access to </w:t>
      </w:r>
      <w:r w:rsidR="00216BBD" w:rsidRPr="00517F46">
        <w:rPr>
          <w:rFonts w:ascii="Arial" w:hAnsi="Arial" w:cs="Arial"/>
        </w:rPr>
        <w:t>all</w:t>
      </w:r>
      <w:r w:rsidR="002229BD" w:rsidRPr="00517F46">
        <w:rPr>
          <w:rFonts w:ascii="Arial" w:hAnsi="Arial" w:cs="Arial"/>
        </w:rPr>
        <w:t xml:space="preserve"> the information sought</w:t>
      </w:r>
      <w:r w:rsidR="00216BBD" w:rsidRPr="00517F46">
        <w:rPr>
          <w:rFonts w:ascii="Arial" w:hAnsi="Arial" w:cs="Arial"/>
        </w:rPr>
        <w:t xml:space="preserve">. </w:t>
      </w:r>
      <w:r w:rsidR="00D7378E" w:rsidRPr="00517F46">
        <w:rPr>
          <w:rFonts w:ascii="Arial" w:hAnsi="Arial" w:cs="Arial"/>
        </w:rPr>
        <w:t>T</w:t>
      </w:r>
      <w:r w:rsidR="00C04FBC" w:rsidRPr="00517F46">
        <w:rPr>
          <w:rFonts w:ascii="Arial" w:hAnsi="Arial" w:cs="Arial"/>
        </w:rPr>
        <w:t xml:space="preserve">he purpose of section 7 is to prevent </w:t>
      </w:r>
      <w:r w:rsidR="00C04FBC" w:rsidRPr="00517F46">
        <w:rPr>
          <w:rFonts w:ascii="Arial" w:hAnsi="Arial" w:cs="Arial"/>
          <w:color w:val="000000"/>
        </w:rPr>
        <w:t xml:space="preserve">a dual system of access to documents and </w:t>
      </w:r>
      <w:r w:rsidR="00C04FBC" w:rsidRPr="00517F46">
        <w:rPr>
          <w:rFonts w:ascii="Arial" w:hAnsi="Arial" w:cs="Arial"/>
        </w:rPr>
        <w:t>information</w:t>
      </w:r>
      <w:r w:rsidR="00C04FBC" w:rsidRPr="00517F46">
        <w:rPr>
          <w:rFonts w:ascii="Arial" w:hAnsi="Arial" w:cs="Arial"/>
          <w:color w:val="000000"/>
        </w:rPr>
        <w:t xml:space="preserve"> that would be disruptive to court proceedings.</w:t>
      </w:r>
      <w:r w:rsidR="00C04FBC" w:rsidRPr="00DE4FBB">
        <w:rPr>
          <w:rStyle w:val="FootnoteReference"/>
          <w:rFonts w:ascii="Arial" w:hAnsi="Arial" w:cs="Arial"/>
          <w:color w:val="000000"/>
        </w:rPr>
        <w:footnoteReference w:id="17"/>
      </w:r>
    </w:p>
    <w:p w:rsidR="00216BBD" w:rsidRPr="00DE4FBB" w:rsidRDefault="00216BBD" w:rsidP="006B7081">
      <w:pPr>
        <w:pStyle w:val="ListParagraph"/>
        <w:autoSpaceDE w:val="0"/>
        <w:autoSpaceDN w:val="0"/>
        <w:adjustRightInd w:val="0"/>
        <w:spacing w:line="360" w:lineRule="auto"/>
        <w:ind w:left="851"/>
        <w:jc w:val="both"/>
        <w:rPr>
          <w:rFonts w:ascii="Arial" w:hAnsi="Arial" w:cs="Arial"/>
        </w:rPr>
      </w:pPr>
    </w:p>
    <w:p w:rsidR="002229BD"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[36]</w:t>
      </w:r>
      <w:r w:rsidRPr="00DE4FBB">
        <w:rPr>
          <w:rFonts w:ascii="Arial" w:hAnsi="Arial" w:cs="Arial"/>
        </w:rPr>
        <w:tab/>
      </w:r>
      <w:r w:rsidR="00A8047A" w:rsidRPr="00517F46">
        <w:rPr>
          <w:rFonts w:ascii="Arial" w:hAnsi="Arial" w:cs="Arial"/>
        </w:rPr>
        <w:t>S</w:t>
      </w:r>
      <w:r w:rsidR="002229BD" w:rsidRPr="00517F46">
        <w:rPr>
          <w:rFonts w:ascii="Arial" w:hAnsi="Arial" w:cs="Arial"/>
        </w:rPr>
        <w:t>ection 7</w:t>
      </w:r>
      <w:r w:rsidR="00DF207F" w:rsidRPr="00517F46">
        <w:rPr>
          <w:rFonts w:ascii="Arial" w:hAnsi="Arial" w:cs="Arial"/>
        </w:rPr>
        <w:t>(1)</w:t>
      </w:r>
      <w:r w:rsidR="00A8047A" w:rsidRPr="00517F46">
        <w:rPr>
          <w:rFonts w:ascii="Arial" w:hAnsi="Arial" w:cs="Arial"/>
        </w:rPr>
        <w:t xml:space="preserve"> reads</w:t>
      </w:r>
      <w:r w:rsidR="002229BD" w:rsidRPr="00517F46">
        <w:rPr>
          <w:rFonts w:ascii="Arial" w:hAnsi="Arial" w:cs="Arial"/>
        </w:rPr>
        <w:t xml:space="preserve">: </w:t>
      </w:r>
    </w:p>
    <w:p w:rsidR="000A0E9E" w:rsidRPr="00D7378E" w:rsidRDefault="006B7081" w:rsidP="007577FB">
      <w:pPr>
        <w:spacing w:line="360" w:lineRule="auto"/>
        <w:ind w:left="1418" w:right="708"/>
        <w:rPr>
          <w:rFonts w:ascii="Arial" w:hAnsi="Arial" w:cs="Arial"/>
          <w:sz w:val="22"/>
          <w:szCs w:val="22"/>
        </w:rPr>
      </w:pPr>
      <w:r w:rsidRPr="00D7378E">
        <w:rPr>
          <w:rFonts w:ascii="Arial" w:hAnsi="Arial" w:cs="Arial"/>
          <w:sz w:val="22"/>
          <w:szCs w:val="22"/>
        </w:rPr>
        <w:t>‘</w:t>
      </w:r>
      <w:r w:rsidR="002229BD" w:rsidRPr="008449A2">
        <w:rPr>
          <w:rFonts w:ascii="Arial" w:hAnsi="Arial" w:cs="Arial"/>
          <w:b/>
          <w:bCs/>
          <w:sz w:val="22"/>
          <w:szCs w:val="22"/>
        </w:rPr>
        <w:t>7.</w:t>
      </w:r>
      <w:r w:rsidR="002229BD" w:rsidRPr="00D7378E">
        <w:rPr>
          <w:rFonts w:ascii="Arial" w:hAnsi="Arial" w:cs="Arial"/>
          <w:sz w:val="22"/>
          <w:szCs w:val="22"/>
        </w:rPr>
        <w:t xml:space="preserve">  </w:t>
      </w:r>
      <w:r w:rsidR="002229BD" w:rsidRPr="00D7378E">
        <w:rPr>
          <w:rFonts w:ascii="Arial" w:hAnsi="Arial" w:cs="Arial"/>
          <w:b/>
          <w:bCs/>
          <w:sz w:val="22"/>
          <w:szCs w:val="22"/>
        </w:rPr>
        <w:t>Act not applying to records requested for criminal or civil proceedings after commencement of proceedings</w:t>
      </w:r>
      <w:r w:rsidR="002229BD" w:rsidRPr="00D7378E">
        <w:rPr>
          <w:rFonts w:ascii="Arial" w:hAnsi="Arial" w:cs="Arial"/>
          <w:sz w:val="22"/>
          <w:szCs w:val="22"/>
        </w:rPr>
        <w:t>.—</w:t>
      </w:r>
    </w:p>
    <w:p w:rsidR="002229BD" w:rsidRPr="00D7378E" w:rsidRDefault="002229BD" w:rsidP="00D7378E">
      <w:pPr>
        <w:spacing w:line="360" w:lineRule="auto"/>
        <w:ind w:left="1843" w:right="708" w:hanging="425"/>
        <w:rPr>
          <w:rFonts w:ascii="Arial" w:hAnsi="Arial" w:cs="Arial"/>
          <w:sz w:val="22"/>
          <w:szCs w:val="22"/>
        </w:rPr>
      </w:pPr>
      <w:r w:rsidRPr="00D7378E">
        <w:rPr>
          <w:rFonts w:ascii="Arial" w:hAnsi="Arial" w:cs="Arial"/>
          <w:sz w:val="22"/>
          <w:szCs w:val="22"/>
        </w:rPr>
        <w:t xml:space="preserve">(1)  This Act does not apply to a record of a public body or a private </w:t>
      </w:r>
      <w:r w:rsidR="006B7081" w:rsidRPr="00D7378E">
        <w:rPr>
          <w:rFonts w:ascii="Arial" w:hAnsi="Arial" w:cs="Arial"/>
          <w:sz w:val="22"/>
          <w:szCs w:val="22"/>
        </w:rPr>
        <w:t xml:space="preserve"> </w:t>
      </w:r>
      <w:r w:rsidRPr="00D7378E">
        <w:rPr>
          <w:rFonts w:ascii="Arial" w:hAnsi="Arial" w:cs="Arial"/>
          <w:sz w:val="22"/>
          <w:szCs w:val="22"/>
        </w:rPr>
        <w:t>body if—</w:t>
      </w:r>
    </w:p>
    <w:p w:rsidR="002229BD" w:rsidRPr="00D7378E" w:rsidRDefault="002229BD" w:rsidP="00D7378E">
      <w:pPr>
        <w:tabs>
          <w:tab w:val="left" w:pos="1701"/>
        </w:tabs>
        <w:spacing w:line="360" w:lineRule="auto"/>
        <w:ind w:left="1843" w:right="708"/>
        <w:rPr>
          <w:rFonts w:ascii="Arial" w:hAnsi="Arial" w:cs="Arial"/>
          <w:sz w:val="22"/>
          <w:szCs w:val="22"/>
        </w:rPr>
      </w:pPr>
      <w:r w:rsidRPr="00D7378E">
        <w:rPr>
          <w:rFonts w:ascii="Arial" w:hAnsi="Arial" w:cs="Arial"/>
          <w:sz w:val="22"/>
          <w:szCs w:val="22"/>
        </w:rPr>
        <w:t xml:space="preserve">(a) that record is requested for the purpose of criminal or civil </w:t>
      </w:r>
      <w:r w:rsidRPr="00D7378E">
        <w:rPr>
          <w:rFonts w:ascii="Arial" w:hAnsi="Arial" w:cs="Arial"/>
          <w:sz w:val="22"/>
          <w:szCs w:val="22"/>
        </w:rPr>
        <w:tab/>
      </w:r>
      <w:r w:rsidR="006B7081" w:rsidRPr="00D7378E">
        <w:rPr>
          <w:rFonts w:ascii="Arial" w:hAnsi="Arial" w:cs="Arial"/>
          <w:sz w:val="22"/>
          <w:szCs w:val="22"/>
        </w:rPr>
        <w:t xml:space="preserve"> </w:t>
      </w:r>
      <w:r w:rsidR="006B7081" w:rsidRPr="00D7378E">
        <w:rPr>
          <w:rFonts w:ascii="Arial" w:hAnsi="Arial" w:cs="Arial"/>
          <w:sz w:val="22"/>
          <w:szCs w:val="22"/>
        </w:rPr>
        <w:tab/>
      </w:r>
      <w:r w:rsidRPr="00D7378E">
        <w:rPr>
          <w:rFonts w:ascii="Arial" w:hAnsi="Arial" w:cs="Arial"/>
          <w:sz w:val="22"/>
          <w:szCs w:val="22"/>
        </w:rPr>
        <w:t>proceedings;</w:t>
      </w:r>
    </w:p>
    <w:p w:rsidR="002229BD" w:rsidRPr="00D7378E" w:rsidRDefault="002229BD" w:rsidP="00D7378E">
      <w:pPr>
        <w:tabs>
          <w:tab w:val="left" w:pos="1701"/>
        </w:tabs>
        <w:spacing w:line="360" w:lineRule="auto"/>
        <w:ind w:left="1843" w:right="708"/>
        <w:rPr>
          <w:rFonts w:ascii="Arial" w:hAnsi="Arial" w:cs="Arial"/>
          <w:sz w:val="22"/>
          <w:szCs w:val="22"/>
        </w:rPr>
      </w:pPr>
      <w:r w:rsidRPr="00D7378E">
        <w:rPr>
          <w:rFonts w:ascii="Arial" w:hAnsi="Arial" w:cs="Arial"/>
          <w:sz w:val="22"/>
          <w:szCs w:val="22"/>
        </w:rPr>
        <w:t xml:space="preserve">(b) so requested after the commencement of such criminal or </w:t>
      </w:r>
      <w:r w:rsidRPr="00D7378E">
        <w:rPr>
          <w:rFonts w:ascii="Arial" w:hAnsi="Arial" w:cs="Arial"/>
          <w:sz w:val="22"/>
          <w:szCs w:val="22"/>
        </w:rPr>
        <w:tab/>
      </w:r>
      <w:r w:rsidR="006B7081" w:rsidRPr="00D7378E">
        <w:rPr>
          <w:rFonts w:ascii="Arial" w:hAnsi="Arial" w:cs="Arial"/>
          <w:sz w:val="22"/>
          <w:szCs w:val="22"/>
        </w:rPr>
        <w:tab/>
      </w:r>
      <w:r w:rsidRPr="00D7378E">
        <w:rPr>
          <w:rFonts w:ascii="Arial" w:hAnsi="Arial" w:cs="Arial"/>
          <w:sz w:val="22"/>
          <w:szCs w:val="22"/>
        </w:rPr>
        <w:t>civil proceedings, as the case may be; and</w:t>
      </w:r>
    </w:p>
    <w:p w:rsidR="002229BD" w:rsidRPr="00D7378E" w:rsidRDefault="002229BD" w:rsidP="006B7081">
      <w:pPr>
        <w:tabs>
          <w:tab w:val="left" w:pos="1701"/>
        </w:tabs>
        <w:spacing w:line="360" w:lineRule="auto"/>
        <w:ind w:left="1843" w:right="708"/>
        <w:rPr>
          <w:rFonts w:ascii="Arial" w:hAnsi="Arial" w:cs="Arial"/>
          <w:sz w:val="22"/>
          <w:szCs w:val="22"/>
        </w:rPr>
      </w:pPr>
      <w:r w:rsidRPr="00D7378E">
        <w:rPr>
          <w:rFonts w:ascii="Arial" w:hAnsi="Arial" w:cs="Arial"/>
          <w:sz w:val="22"/>
          <w:szCs w:val="22"/>
        </w:rPr>
        <w:t>(c)</w:t>
      </w:r>
      <w:r w:rsidRPr="00D7378E">
        <w:rPr>
          <w:rFonts w:ascii="Arial" w:hAnsi="Arial" w:cs="Arial"/>
          <w:sz w:val="22"/>
          <w:szCs w:val="22"/>
        </w:rPr>
        <w:tab/>
        <w:t xml:space="preserve">the production of or access to that record for the purpose </w:t>
      </w:r>
      <w:r w:rsidRPr="00D7378E">
        <w:rPr>
          <w:rFonts w:ascii="Arial" w:hAnsi="Arial" w:cs="Arial"/>
          <w:sz w:val="22"/>
          <w:szCs w:val="22"/>
        </w:rPr>
        <w:tab/>
        <w:t>referred to in paragraph (a) is provided for in any other law</w:t>
      </w:r>
      <w:r w:rsidR="006B7081" w:rsidRPr="00D7378E">
        <w:rPr>
          <w:rFonts w:ascii="Arial" w:hAnsi="Arial" w:cs="Arial"/>
          <w:sz w:val="22"/>
          <w:szCs w:val="22"/>
        </w:rPr>
        <w:t>’</w:t>
      </w:r>
      <w:r w:rsidRPr="00D7378E">
        <w:rPr>
          <w:rFonts w:ascii="Arial" w:hAnsi="Arial" w:cs="Arial"/>
          <w:sz w:val="22"/>
          <w:szCs w:val="22"/>
        </w:rPr>
        <w:t>.</w:t>
      </w:r>
    </w:p>
    <w:p w:rsidR="009A6F7E" w:rsidRPr="00D7378E" w:rsidRDefault="002229BD" w:rsidP="006B7081">
      <w:pPr>
        <w:spacing w:line="360" w:lineRule="auto"/>
        <w:ind w:left="1985" w:right="708" w:hanging="567"/>
        <w:rPr>
          <w:rFonts w:ascii="Arial" w:hAnsi="Arial" w:cs="Arial"/>
          <w:i/>
          <w:iCs/>
          <w:sz w:val="22"/>
          <w:szCs w:val="22"/>
        </w:rPr>
      </w:pPr>
      <w:r w:rsidRPr="00D7378E">
        <w:rPr>
          <w:rFonts w:ascii="Arial" w:hAnsi="Arial" w:cs="Arial"/>
          <w:i/>
          <w:iCs/>
          <w:sz w:val="22"/>
          <w:szCs w:val="22"/>
        </w:rPr>
        <w:tab/>
      </w:r>
      <w:r w:rsidRPr="00D7378E">
        <w:rPr>
          <w:rFonts w:ascii="Arial" w:hAnsi="Arial" w:cs="Arial"/>
          <w:i/>
          <w:iCs/>
          <w:sz w:val="22"/>
          <w:szCs w:val="22"/>
        </w:rPr>
        <w:tab/>
      </w:r>
    </w:p>
    <w:p w:rsidR="008B5629"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[37]</w:t>
      </w:r>
      <w:r w:rsidRPr="00DE4FBB">
        <w:rPr>
          <w:rFonts w:ascii="Arial" w:hAnsi="Arial" w:cs="Arial"/>
        </w:rPr>
        <w:tab/>
      </w:r>
      <w:r w:rsidR="008B5629" w:rsidRPr="00517F46">
        <w:rPr>
          <w:rFonts w:ascii="Arial" w:hAnsi="Arial" w:cs="Arial"/>
        </w:rPr>
        <w:t xml:space="preserve">The </w:t>
      </w:r>
      <w:r w:rsidR="002B79E6" w:rsidRPr="00517F46">
        <w:rPr>
          <w:rFonts w:ascii="Arial" w:hAnsi="Arial" w:cs="Arial"/>
        </w:rPr>
        <w:t>Director</w:t>
      </w:r>
      <w:r w:rsidR="00465C88" w:rsidRPr="00517F46">
        <w:rPr>
          <w:rFonts w:ascii="Arial" w:hAnsi="Arial" w:cs="Arial"/>
        </w:rPr>
        <w:t>-</w:t>
      </w:r>
      <w:r w:rsidR="002B79E6" w:rsidRPr="00517F46">
        <w:rPr>
          <w:rFonts w:ascii="Arial" w:hAnsi="Arial" w:cs="Arial"/>
        </w:rPr>
        <w:t xml:space="preserve">General </w:t>
      </w:r>
      <w:r w:rsidR="008B5629" w:rsidRPr="00517F46">
        <w:rPr>
          <w:rFonts w:ascii="Arial" w:hAnsi="Arial" w:cs="Arial"/>
        </w:rPr>
        <w:t>did not rely on section 7 as a ground for refusing access</w:t>
      </w:r>
      <w:r w:rsidR="003D3BEF" w:rsidRPr="00517F46">
        <w:rPr>
          <w:rFonts w:ascii="Arial" w:hAnsi="Arial" w:cs="Arial"/>
        </w:rPr>
        <w:t xml:space="preserve"> </w:t>
      </w:r>
      <w:r w:rsidR="008B5629" w:rsidRPr="00517F46">
        <w:rPr>
          <w:rFonts w:ascii="Arial" w:hAnsi="Arial" w:cs="Arial"/>
        </w:rPr>
        <w:t xml:space="preserve"> in May 2022, but the Premier did so when </w:t>
      </w:r>
      <w:r w:rsidR="00A8047A" w:rsidRPr="00517F46">
        <w:rPr>
          <w:rFonts w:ascii="Arial" w:hAnsi="Arial" w:cs="Arial"/>
        </w:rPr>
        <w:t>dismissing</w:t>
      </w:r>
      <w:r w:rsidR="008B5629" w:rsidRPr="00517F46">
        <w:rPr>
          <w:rFonts w:ascii="Arial" w:hAnsi="Arial" w:cs="Arial"/>
        </w:rPr>
        <w:t xml:space="preserve"> the appeal</w:t>
      </w:r>
      <w:r w:rsidR="00DF207F" w:rsidRPr="00517F46">
        <w:rPr>
          <w:rFonts w:ascii="Arial" w:hAnsi="Arial" w:cs="Arial"/>
        </w:rPr>
        <w:t xml:space="preserve"> </w:t>
      </w:r>
      <w:r w:rsidR="002B79E6" w:rsidRPr="00517F46">
        <w:rPr>
          <w:rFonts w:ascii="Arial" w:hAnsi="Arial" w:cs="Arial"/>
        </w:rPr>
        <w:t xml:space="preserve">in October 2022 </w:t>
      </w:r>
      <w:r w:rsidR="00DF207F" w:rsidRPr="00517F46">
        <w:rPr>
          <w:rFonts w:ascii="Arial" w:hAnsi="Arial" w:cs="Arial"/>
        </w:rPr>
        <w:t>and the respondents</w:t>
      </w:r>
      <w:r w:rsidR="000A0E9E" w:rsidRPr="00517F46">
        <w:rPr>
          <w:rFonts w:ascii="Arial" w:hAnsi="Arial" w:cs="Arial"/>
        </w:rPr>
        <w:t xml:space="preserve"> persist in such reliance </w:t>
      </w:r>
      <w:r w:rsidR="00DF207F" w:rsidRPr="00517F46">
        <w:rPr>
          <w:rFonts w:ascii="Arial" w:hAnsi="Arial" w:cs="Arial"/>
        </w:rPr>
        <w:t>in their answering affidavit.</w:t>
      </w:r>
    </w:p>
    <w:p w:rsidR="008B5629" w:rsidRPr="00DE4FBB" w:rsidRDefault="008B5629" w:rsidP="006B7081">
      <w:pPr>
        <w:pStyle w:val="ListParagraph"/>
        <w:autoSpaceDE w:val="0"/>
        <w:autoSpaceDN w:val="0"/>
        <w:adjustRightInd w:val="0"/>
        <w:spacing w:line="360" w:lineRule="auto"/>
        <w:ind w:left="851"/>
        <w:jc w:val="both"/>
        <w:rPr>
          <w:rFonts w:ascii="Arial" w:hAnsi="Arial" w:cs="Arial"/>
        </w:rPr>
      </w:pPr>
    </w:p>
    <w:p w:rsidR="007667CD" w:rsidRPr="00517F46" w:rsidRDefault="00517F46" w:rsidP="00517F46">
      <w:pPr>
        <w:autoSpaceDE w:val="0"/>
        <w:autoSpaceDN w:val="0"/>
        <w:adjustRightInd w:val="0"/>
        <w:spacing w:line="360" w:lineRule="auto"/>
        <w:jc w:val="both"/>
        <w:rPr>
          <w:rFonts w:ascii="Arial" w:hAnsi="Arial" w:cs="Arial"/>
        </w:rPr>
      </w:pPr>
      <w:r>
        <w:rPr>
          <w:rFonts w:ascii="Arial" w:hAnsi="Arial" w:cs="Arial"/>
        </w:rPr>
        <w:t>[38]</w:t>
      </w:r>
      <w:r>
        <w:rPr>
          <w:rFonts w:ascii="Arial" w:hAnsi="Arial" w:cs="Arial"/>
        </w:rPr>
        <w:tab/>
      </w:r>
      <w:r w:rsidR="008B5629" w:rsidRPr="00517F46">
        <w:rPr>
          <w:rFonts w:ascii="Arial" w:hAnsi="Arial" w:cs="Arial"/>
        </w:rPr>
        <w:t>The respondents submit that as the applicant stated repeatedly in her appeal that the document</w:t>
      </w:r>
      <w:r w:rsidR="00465C88" w:rsidRPr="00517F46">
        <w:rPr>
          <w:rFonts w:ascii="Arial" w:hAnsi="Arial" w:cs="Arial"/>
        </w:rPr>
        <w:t>s</w:t>
      </w:r>
      <w:r w:rsidR="008B5629" w:rsidRPr="00517F46">
        <w:rPr>
          <w:rFonts w:ascii="Arial" w:hAnsi="Arial" w:cs="Arial"/>
        </w:rPr>
        <w:t xml:space="preserve"> were essential or required for purposes of </w:t>
      </w:r>
      <w:r w:rsidR="000A0E9E" w:rsidRPr="00517F46">
        <w:rPr>
          <w:rFonts w:ascii="Arial" w:hAnsi="Arial" w:cs="Arial"/>
        </w:rPr>
        <w:t xml:space="preserve">the </w:t>
      </w:r>
      <w:r w:rsidR="00D7378E" w:rsidRPr="00517F46">
        <w:rPr>
          <w:rFonts w:ascii="Arial" w:hAnsi="Arial" w:cs="Arial"/>
        </w:rPr>
        <w:t xml:space="preserve">reinstatement </w:t>
      </w:r>
      <w:r w:rsidR="000A0E9E" w:rsidRPr="00517F46">
        <w:rPr>
          <w:rFonts w:ascii="Arial" w:hAnsi="Arial" w:cs="Arial"/>
        </w:rPr>
        <w:t>application</w:t>
      </w:r>
      <w:r w:rsidR="008B5629" w:rsidRPr="00517F46">
        <w:rPr>
          <w:rFonts w:ascii="Arial" w:hAnsi="Arial" w:cs="Arial"/>
        </w:rPr>
        <w:t xml:space="preserve">, </w:t>
      </w:r>
      <w:r w:rsidR="003D3BEF" w:rsidRPr="00517F46">
        <w:rPr>
          <w:rFonts w:ascii="Arial" w:hAnsi="Arial" w:cs="Arial"/>
        </w:rPr>
        <w:t>she</w:t>
      </w:r>
      <w:r w:rsidR="008B5629" w:rsidRPr="00517F46">
        <w:rPr>
          <w:rFonts w:ascii="Arial" w:hAnsi="Arial" w:cs="Arial"/>
        </w:rPr>
        <w:t xml:space="preserve"> </w:t>
      </w:r>
      <w:r w:rsidR="003D3BEF" w:rsidRPr="00517F46">
        <w:rPr>
          <w:rFonts w:ascii="Arial" w:hAnsi="Arial" w:cs="Arial"/>
        </w:rPr>
        <w:t xml:space="preserve">clearly </w:t>
      </w:r>
      <w:r w:rsidR="008B5629" w:rsidRPr="00517F46">
        <w:rPr>
          <w:rFonts w:ascii="Arial" w:hAnsi="Arial" w:cs="Arial"/>
        </w:rPr>
        <w:t>requested the documents for the purposes of th</w:t>
      </w:r>
      <w:r w:rsidR="00DF207F" w:rsidRPr="00517F46">
        <w:rPr>
          <w:rFonts w:ascii="Arial" w:hAnsi="Arial" w:cs="Arial"/>
        </w:rPr>
        <w:t xml:space="preserve">ose </w:t>
      </w:r>
      <w:r w:rsidR="008B5629" w:rsidRPr="00517F46">
        <w:rPr>
          <w:rFonts w:ascii="Arial" w:hAnsi="Arial" w:cs="Arial"/>
        </w:rPr>
        <w:t>proceedings and access was correctly refused</w:t>
      </w:r>
      <w:r w:rsidR="00DF207F" w:rsidRPr="00517F46">
        <w:rPr>
          <w:rFonts w:ascii="Arial" w:hAnsi="Arial" w:cs="Arial"/>
        </w:rPr>
        <w:t xml:space="preserve"> in terms of section 7</w:t>
      </w:r>
      <w:r w:rsidR="00CF20E8" w:rsidRPr="00517F46">
        <w:rPr>
          <w:rFonts w:ascii="Arial" w:hAnsi="Arial" w:cs="Arial"/>
        </w:rPr>
        <w:t>.</w:t>
      </w:r>
      <w:r w:rsidR="008B5629" w:rsidRPr="00517F46">
        <w:rPr>
          <w:rFonts w:ascii="Arial" w:hAnsi="Arial" w:cs="Arial"/>
        </w:rPr>
        <w:t xml:space="preserve"> </w:t>
      </w:r>
    </w:p>
    <w:p w:rsidR="007667CD" w:rsidRPr="007667CD" w:rsidRDefault="007667CD" w:rsidP="007667CD">
      <w:pPr>
        <w:pStyle w:val="ListParagraph"/>
        <w:rPr>
          <w:rFonts w:ascii="Arial" w:hAnsi="Arial" w:cs="Arial"/>
        </w:rPr>
      </w:pPr>
    </w:p>
    <w:p w:rsidR="00DB28F2" w:rsidRPr="00517F46" w:rsidRDefault="00517F46" w:rsidP="00517F46">
      <w:pPr>
        <w:autoSpaceDE w:val="0"/>
        <w:autoSpaceDN w:val="0"/>
        <w:adjustRightInd w:val="0"/>
        <w:spacing w:line="360" w:lineRule="auto"/>
        <w:jc w:val="both"/>
        <w:rPr>
          <w:rFonts w:ascii="Arial" w:hAnsi="Arial" w:cs="Arial"/>
        </w:rPr>
      </w:pPr>
      <w:r w:rsidRPr="007667CD">
        <w:rPr>
          <w:rFonts w:ascii="Arial" w:hAnsi="Arial" w:cs="Arial"/>
        </w:rPr>
        <w:lastRenderedPageBreak/>
        <w:t>[39]</w:t>
      </w:r>
      <w:r w:rsidRPr="007667CD">
        <w:rPr>
          <w:rFonts w:ascii="Arial" w:hAnsi="Arial" w:cs="Arial"/>
        </w:rPr>
        <w:tab/>
      </w:r>
      <w:r w:rsidR="002229BD" w:rsidRPr="00517F46">
        <w:rPr>
          <w:rFonts w:ascii="Arial" w:hAnsi="Arial" w:cs="Arial"/>
        </w:rPr>
        <w:t>Th</w:t>
      </w:r>
      <w:r w:rsidR="00465C88" w:rsidRPr="00517F46">
        <w:rPr>
          <w:rFonts w:ascii="Arial" w:hAnsi="Arial" w:cs="Arial"/>
        </w:rPr>
        <w:t xml:space="preserve">at </w:t>
      </w:r>
      <w:r w:rsidR="008B5629" w:rsidRPr="00517F46">
        <w:rPr>
          <w:rFonts w:ascii="Arial" w:hAnsi="Arial" w:cs="Arial"/>
        </w:rPr>
        <w:t>submission cannot be sustained</w:t>
      </w:r>
      <w:r w:rsidR="00C94764" w:rsidRPr="00517F46">
        <w:rPr>
          <w:rFonts w:ascii="Arial" w:hAnsi="Arial" w:cs="Arial"/>
        </w:rPr>
        <w:t xml:space="preserve"> for two reasons, both of which stem from the conjunctive nature of the requirements of section 7.</w:t>
      </w:r>
      <w:r w:rsidR="00C94764" w:rsidRPr="00DE4FBB">
        <w:rPr>
          <w:rStyle w:val="FootnoteReference"/>
          <w:rFonts w:ascii="Arial" w:hAnsi="Arial" w:cs="Arial"/>
        </w:rPr>
        <w:footnoteReference w:id="18"/>
      </w:r>
      <w:r w:rsidR="00C94764" w:rsidRPr="00517F46">
        <w:rPr>
          <w:rFonts w:ascii="Arial" w:hAnsi="Arial" w:cs="Arial"/>
        </w:rPr>
        <w:t xml:space="preserve"> The provision ‘lays down three conditions</w:t>
      </w:r>
      <w:r w:rsidR="00A8047A" w:rsidRPr="00517F46">
        <w:rPr>
          <w:rFonts w:ascii="Arial" w:hAnsi="Arial" w:cs="Arial"/>
        </w:rPr>
        <w:t>’</w:t>
      </w:r>
      <w:r w:rsidR="003346EB" w:rsidRPr="00517F46">
        <w:rPr>
          <w:rFonts w:ascii="Arial" w:hAnsi="Arial" w:cs="Arial"/>
        </w:rPr>
        <w:t>,</w:t>
      </w:r>
      <w:r w:rsidR="00C94764" w:rsidRPr="00DE4FBB">
        <w:rPr>
          <w:rStyle w:val="FootnoteReference"/>
          <w:rFonts w:ascii="Arial" w:hAnsi="Arial" w:cs="Arial"/>
        </w:rPr>
        <w:footnoteReference w:id="19"/>
      </w:r>
      <w:r w:rsidR="00C94764" w:rsidRPr="00517F46">
        <w:rPr>
          <w:rFonts w:ascii="Arial" w:hAnsi="Arial" w:cs="Arial"/>
        </w:rPr>
        <w:t xml:space="preserve"> all of which must be </w:t>
      </w:r>
      <w:r w:rsidR="001A7A22" w:rsidRPr="00517F46">
        <w:rPr>
          <w:rFonts w:ascii="Arial" w:hAnsi="Arial" w:cs="Arial"/>
        </w:rPr>
        <w:t xml:space="preserve">established by the party </w:t>
      </w:r>
      <w:r w:rsidR="00A8047A" w:rsidRPr="00517F46">
        <w:rPr>
          <w:rFonts w:ascii="Arial" w:hAnsi="Arial" w:cs="Arial"/>
        </w:rPr>
        <w:t xml:space="preserve">seeking to </w:t>
      </w:r>
      <w:r w:rsidR="001A7A22" w:rsidRPr="00517F46">
        <w:rPr>
          <w:rFonts w:ascii="Arial" w:hAnsi="Arial" w:cs="Arial"/>
        </w:rPr>
        <w:t>invok</w:t>
      </w:r>
      <w:r w:rsidR="00A8047A" w:rsidRPr="00517F46">
        <w:rPr>
          <w:rFonts w:ascii="Arial" w:hAnsi="Arial" w:cs="Arial"/>
        </w:rPr>
        <w:t>e</w:t>
      </w:r>
      <w:r w:rsidR="001A7A22" w:rsidRPr="00517F46">
        <w:rPr>
          <w:rFonts w:ascii="Arial" w:hAnsi="Arial" w:cs="Arial"/>
        </w:rPr>
        <w:t xml:space="preserve"> the exemption. </w:t>
      </w:r>
      <w:r w:rsidR="006C1814" w:rsidRPr="00517F46">
        <w:rPr>
          <w:rFonts w:ascii="Arial" w:hAnsi="Arial" w:cs="Arial"/>
        </w:rPr>
        <w:t xml:space="preserve">The respondents’ difficulty relates to the first two requirements which are interlinked: that the record must be requested for the purpose of civil or criminal proceedings and </w:t>
      </w:r>
      <w:r w:rsidR="00D7378E" w:rsidRPr="00517F46">
        <w:rPr>
          <w:rFonts w:ascii="Arial" w:hAnsi="Arial" w:cs="Arial"/>
        </w:rPr>
        <w:t xml:space="preserve">that the </w:t>
      </w:r>
      <w:r w:rsidR="006C1814" w:rsidRPr="00517F46">
        <w:rPr>
          <w:rFonts w:ascii="Arial" w:hAnsi="Arial" w:cs="Arial"/>
        </w:rPr>
        <w:t>request</w:t>
      </w:r>
      <w:r w:rsidR="00D7378E" w:rsidRPr="00517F46">
        <w:rPr>
          <w:rFonts w:ascii="Arial" w:hAnsi="Arial" w:cs="Arial"/>
        </w:rPr>
        <w:t xml:space="preserve"> be made</w:t>
      </w:r>
      <w:r w:rsidR="006C1814" w:rsidRPr="00517F46">
        <w:rPr>
          <w:rFonts w:ascii="Arial" w:hAnsi="Arial" w:cs="Arial"/>
        </w:rPr>
        <w:t xml:space="preserve"> after the commencement of those proceedings. </w:t>
      </w:r>
    </w:p>
    <w:p w:rsidR="00DB28F2" w:rsidRPr="00DE4FBB" w:rsidRDefault="00DB28F2" w:rsidP="006B7081">
      <w:pPr>
        <w:pStyle w:val="ListParagraph"/>
        <w:spacing w:line="360" w:lineRule="auto"/>
        <w:rPr>
          <w:rFonts w:ascii="Arial" w:hAnsi="Arial" w:cs="Arial"/>
        </w:rPr>
      </w:pPr>
    </w:p>
    <w:p w:rsidR="000F7DD5" w:rsidRPr="00DE4FBB" w:rsidRDefault="000F7DD5" w:rsidP="006B7081">
      <w:pPr>
        <w:autoSpaceDE w:val="0"/>
        <w:autoSpaceDN w:val="0"/>
        <w:adjustRightInd w:val="0"/>
        <w:spacing w:line="360" w:lineRule="auto"/>
        <w:jc w:val="both"/>
        <w:rPr>
          <w:rFonts w:ascii="Arial" w:hAnsi="Arial" w:cs="Arial"/>
          <w:b/>
          <w:bCs/>
          <w:i/>
          <w:iCs/>
        </w:rPr>
      </w:pPr>
      <w:r w:rsidRPr="00DE4FBB">
        <w:rPr>
          <w:rFonts w:ascii="Arial" w:hAnsi="Arial" w:cs="Arial"/>
          <w:b/>
          <w:bCs/>
          <w:i/>
          <w:iCs/>
        </w:rPr>
        <w:t>For the purpose of civil or criminal proceedings</w:t>
      </w:r>
    </w:p>
    <w:p w:rsidR="000F7DD5" w:rsidRPr="00DE4FBB" w:rsidRDefault="000F7DD5" w:rsidP="006B7081">
      <w:pPr>
        <w:pStyle w:val="ListParagraph"/>
        <w:spacing w:line="360" w:lineRule="auto"/>
        <w:rPr>
          <w:rFonts w:ascii="Arial" w:hAnsi="Arial" w:cs="Arial"/>
        </w:rPr>
      </w:pPr>
    </w:p>
    <w:p w:rsidR="00C8523D"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[40]</w:t>
      </w:r>
      <w:r w:rsidRPr="00DE4FBB">
        <w:rPr>
          <w:rFonts w:ascii="Arial" w:hAnsi="Arial" w:cs="Arial"/>
        </w:rPr>
        <w:tab/>
      </w:r>
      <w:r w:rsidR="006C1814" w:rsidRPr="00517F46">
        <w:rPr>
          <w:rFonts w:ascii="Arial" w:hAnsi="Arial" w:cs="Arial"/>
        </w:rPr>
        <w:t xml:space="preserve">Insofar as </w:t>
      </w:r>
      <w:r w:rsidR="00DB28F2" w:rsidRPr="00517F46">
        <w:rPr>
          <w:rFonts w:ascii="Arial" w:hAnsi="Arial" w:cs="Arial"/>
        </w:rPr>
        <w:t xml:space="preserve">the first requirement </w:t>
      </w:r>
      <w:r w:rsidR="006C1814" w:rsidRPr="00517F46">
        <w:rPr>
          <w:rFonts w:ascii="Arial" w:hAnsi="Arial" w:cs="Arial"/>
        </w:rPr>
        <w:t xml:space="preserve">relating to the purpose for which the information is requested, the respondents are not entirely accurate in their reference to the reasons cited by the applicant in her appeal submission. </w:t>
      </w:r>
      <w:r w:rsidR="002A0E5B" w:rsidRPr="00517F46">
        <w:rPr>
          <w:rFonts w:ascii="Arial" w:hAnsi="Arial" w:cs="Arial"/>
        </w:rPr>
        <w:t xml:space="preserve"> Dealing with the documents generally, t</w:t>
      </w:r>
      <w:r w:rsidR="00C8523D" w:rsidRPr="00517F46">
        <w:rPr>
          <w:rFonts w:ascii="Arial" w:hAnsi="Arial" w:cs="Arial"/>
        </w:rPr>
        <w:t xml:space="preserve">he applicant did state that </w:t>
      </w:r>
      <w:r w:rsidR="006C1814" w:rsidRPr="00517F46">
        <w:rPr>
          <w:rFonts w:ascii="Arial" w:hAnsi="Arial" w:cs="Arial"/>
        </w:rPr>
        <w:t>the</w:t>
      </w:r>
      <w:r w:rsidR="00D7378E" w:rsidRPr="00517F46">
        <w:rPr>
          <w:rFonts w:ascii="Arial" w:hAnsi="Arial" w:cs="Arial"/>
        </w:rPr>
        <w:t>y</w:t>
      </w:r>
      <w:r w:rsidR="00C8523D" w:rsidRPr="00517F46">
        <w:rPr>
          <w:rFonts w:ascii="Arial" w:hAnsi="Arial" w:cs="Arial"/>
        </w:rPr>
        <w:t xml:space="preserve"> </w:t>
      </w:r>
      <w:r w:rsidR="006C1814" w:rsidRPr="00517F46">
        <w:rPr>
          <w:rFonts w:ascii="Arial" w:hAnsi="Arial" w:cs="Arial"/>
        </w:rPr>
        <w:t xml:space="preserve">were ‘intertwined with’ the </w:t>
      </w:r>
      <w:r w:rsidR="00D7378E" w:rsidRPr="00517F46">
        <w:rPr>
          <w:rFonts w:ascii="Arial" w:hAnsi="Arial" w:cs="Arial"/>
        </w:rPr>
        <w:t xml:space="preserve">reinstatement </w:t>
      </w:r>
      <w:r w:rsidR="006C1814" w:rsidRPr="00517F46">
        <w:rPr>
          <w:rFonts w:ascii="Arial" w:hAnsi="Arial" w:cs="Arial"/>
        </w:rPr>
        <w:t>application</w:t>
      </w:r>
      <w:r w:rsidR="00C8523D" w:rsidRPr="00517F46">
        <w:rPr>
          <w:rFonts w:ascii="Arial" w:hAnsi="Arial" w:cs="Arial"/>
        </w:rPr>
        <w:t xml:space="preserve"> and that it was therefore critical that she pursue her request for </w:t>
      </w:r>
      <w:r w:rsidR="00D7378E" w:rsidRPr="00517F46">
        <w:rPr>
          <w:rFonts w:ascii="Arial" w:hAnsi="Arial" w:cs="Arial"/>
        </w:rPr>
        <w:t xml:space="preserve">the </w:t>
      </w:r>
      <w:r w:rsidR="00C8523D" w:rsidRPr="00517F46">
        <w:rPr>
          <w:rFonts w:ascii="Arial" w:hAnsi="Arial" w:cs="Arial"/>
        </w:rPr>
        <w:t>information. She however went on to say:</w:t>
      </w:r>
    </w:p>
    <w:p w:rsidR="00C8523D" w:rsidRPr="00DE4FBB" w:rsidRDefault="00C8523D" w:rsidP="006B7081">
      <w:pPr>
        <w:pStyle w:val="ListParagraph"/>
        <w:tabs>
          <w:tab w:val="left" w:pos="1276"/>
        </w:tabs>
        <w:autoSpaceDE w:val="0"/>
        <w:autoSpaceDN w:val="0"/>
        <w:adjustRightInd w:val="0"/>
        <w:spacing w:line="360" w:lineRule="auto"/>
        <w:ind w:left="1276" w:right="425"/>
        <w:jc w:val="both"/>
        <w:rPr>
          <w:rFonts w:ascii="Arial" w:hAnsi="Arial" w:cs="Arial"/>
          <w:sz w:val="22"/>
          <w:szCs w:val="22"/>
        </w:rPr>
      </w:pPr>
      <w:r w:rsidRPr="00DE4FBB">
        <w:rPr>
          <w:rFonts w:ascii="Arial" w:hAnsi="Arial" w:cs="Arial"/>
          <w:sz w:val="22"/>
          <w:szCs w:val="22"/>
        </w:rPr>
        <w:t>‘Furthermore, I want to use the requested information, particularly the forensic reports, to clear my name that was grossly mudded during the well-orchestrated smear campaign through the social and mainstream media that occurred in 2019</w:t>
      </w:r>
      <w:r w:rsidR="002A0E5B" w:rsidRPr="00DE4FBB">
        <w:rPr>
          <w:rFonts w:ascii="Arial" w:hAnsi="Arial" w:cs="Arial"/>
          <w:sz w:val="22"/>
          <w:szCs w:val="22"/>
        </w:rPr>
        <w:t>.</w:t>
      </w:r>
      <w:r w:rsidRPr="00DE4FBB">
        <w:rPr>
          <w:rFonts w:ascii="Arial" w:hAnsi="Arial" w:cs="Arial"/>
          <w:sz w:val="22"/>
          <w:szCs w:val="22"/>
        </w:rPr>
        <w:t>’</w:t>
      </w:r>
    </w:p>
    <w:p w:rsidR="00C8523D" w:rsidRPr="00DE4FBB" w:rsidRDefault="00C8523D" w:rsidP="006B7081">
      <w:pPr>
        <w:pStyle w:val="ListParagraph"/>
        <w:spacing w:line="360" w:lineRule="auto"/>
        <w:rPr>
          <w:rFonts w:ascii="Arial" w:hAnsi="Arial" w:cs="Arial"/>
        </w:rPr>
      </w:pPr>
    </w:p>
    <w:p w:rsidR="00801BFD"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[41]</w:t>
      </w:r>
      <w:r w:rsidRPr="00DE4FBB">
        <w:rPr>
          <w:rFonts w:ascii="Arial" w:hAnsi="Arial" w:cs="Arial"/>
        </w:rPr>
        <w:tab/>
      </w:r>
      <w:r w:rsidR="002A0E5B" w:rsidRPr="00517F46">
        <w:rPr>
          <w:rFonts w:ascii="Arial" w:hAnsi="Arial" w:cs="Arial"/>
        </w:rPr>
        <w:t>The applicant then went on to motivate her requests for each category of document. In so doing</w:t>
      </w:r>
      <w:r w:rsidR="00D7378E" w:rsidRPr="00517F46">
        <w:rPr>
          <w:rFonts w:ascii="Arial" w:hAnsi="Arial" w:cs="Arial"/>
        </w:rPr>
        <w:t>,</w:t>
      </w:r>
      <w:r w:rsidR="002A0E5B" w:rsidRPr="00517F46">
        <w:rPr>
          <w:rFonts w:ascii="Arial" w:hAnsi="Arial" w:cs="Arial"/>
        </w:rPr>
        <w:t xml:space="preserve"> she d</w:t>
      </w:r>
      <w:r w:rsidR="00D7378E" w:rsidRPr="00517F46">
        <w:rPr>
          <w:rFonts w:ascii="Arial" w:hAnsi="Arial" w:cs="Arial"/>
        </w:rPr>
        <w:t>id</w:t>
      </w:r>
      <w:r w:rsidR="002A0E5B" w:rsidRPr="00517F46">
        <w:rPr>
          <w:rFonts w:ascii="Arial" w:hAnsi="Arial" w:cs="Arial"/>
        </w:rPr>
        <w:t xml:space="preserve"> not </w:t>
      </w:r>
      <w:r w:rsidR="00D7378E" w:rsidRPr="00517F46">
        <w:rPr>
          <w:rFonts w:ascii="Arial" w:hAnsi="Arial" w:cs="Arial"/>
        </w:rPr>
        <w:t>state</w:t>
      </w:r>
      <w:r w:rsidR="002A0E5B" w:rsidRPr="00517F46">
        <w:rPr>
          <w:rFonts w:ascii="Arial" w:hAnsi="Arial" w:cs="Arial"/>
        </w:rPr>
        <w:t xml:space="preserve"> that the records relating to her unsuccessful applications for the posts of </w:t>
      </w:r>
      <w:r w:rsidR="00A8047A" w:rsidRPr="00517F46">
        <w:rPr>
          <w:rFonts w:ascii="Arial" w:hAnsi="Arial" w:cs="Arial"/>
        </w:rPr>
        <w:t xml:space="preserve">head of the Departments of Social Development and Transport </w:t>
      </w:r>
      <w:r w:rsidR="002A0E5B" w:rsidRPr="00517F46">
        <w:rPr>
          <w:rFonts w:ascii="Arial" w:hAnsi="Arial" w:cs="Arial"/>
        </w:rPr>
        <w:t xml:space="preserve">are related to the </w:t>
      </w:r>
      <w:r w:rsidR="00D7378E" w:rsidRPr="00517F46">
        <w:rPr>
          <w:rFonts w:ascii="Arial" w:hAnsi="Arial" w:cs="Arial"/>
        </w:rPr>
        <w:t>reinstatement</w:t>
      </w:r>
      <w:r w:rsidR="002A0E5B" w:rsidRPr="00517F46">
        <w:rPr>
          <w:rFonts w:ascii="Arial" w:hAnsi="Arial" w:cs="Arial"/>
        </w:rPr>
        <w:t xml:space="preserve"> application</w:t>
      </w:r>
      <w:r w:rsidR="00801BFD" w:rsidRPr="00517F46">
        <w:rPr>
          <w:rFonts w:ascii="Arial" w:hAnsi="Arial" w:cs="Arial"/>
        </w:rPr>
        <w:t xml:space="preserve">. </w:t>
      </w:r>
      <w:r w:rsidR="00086D4F" w:rsidRPr="00517F46">
        <w:rPr>
          <w:rFonts w:ascii="Arial" w:hAnsi="Arial" w:cs="Arial"/>
        </w:rPr>
        <w:t>T</w:t>
      </w:r>
      <w:r w:rsidR="00792AB0" w:rsidRPr="00517F46">
        <w:rPr>
          <w:rFonts w:ascii="Arial" w:hAnsi="Arial" w:cs="Arial"/>
        </w:rPr>
        <w:t>he</w:t>
      </w:r>
      <w:r w:rsidR="00801BFD" w:rsidRPr="00517F46">
        <w:rPr>
          <w:rFonts w:ascii="Arial" w:hAnsi="Arial" w:cs="Arial"/>
        </w:rPr>
        <w:t xml:space="preserve"> PEC meeting records </w:t>
      </w:r>
      <w:r w:rsidR="00086D4F" w:rsidRPr="00517F46">
        <w:rPr>
          <w:rFonts w:ascii="Arial" w:hAnsi="Arial" w:cs="Arial"/>
        </w:rPr>
        <w:t xml:space="preserve">were however said to be </w:t>
      </w:r>
      <w:r w:rsidR="00801BFD" w:rsidRPr="00517F46">
        <w:rPr>
          <w:rFonts w:ascii="Arial" w:hAnsi="Arial" w:cs="Arial"/>
        </w:rPr>
        <w:t>central to th</w:t>
      </w:r>
      <w:r w:rsidR="00A8047A" w:rsidRPr="00517F46">
        <w:rPr>
          <w:rFonts w:ascii="Arial" w:hAnsi="Arial" w:cs="Arial"/>
        </w:rPr>
        <w:t>at</w:t>
      </w:r>
      <w:r w:rsidR="00801BFD" w:rsidRPr="00517F46">
        <w:rPr>
          <w:rFonts w:ascii="Arial" w:hAnsi="Arial" w:cs="Arial"/>
        </w:rPr>
        <w:t xml:space="preserve"> application</w:t>
      </w:r>
      <w:r w:rsidR="00237A39" w:rsidRPr="00517F46">
        <w:rPr>
          <w:rFonts w:ascii="Arial" w:hAnsi="Arial" w:cs="Arial"/>
        </w:rPr>
        <w:t>,</w:t>
      </w:r>
      <w:r w:rsidR="00086D4F" w:rsidRPr="00517F46">
        <w:rPr>
          <w:rFonts w:ascii="Arial" w:hAnsi="Arial" w:cs="Arial"/>
        </w:rPr>
        <w:t xml:space="preserve"> while t</w:t>
      </w:r>
      <w:r w:rsidR="00792AB0" w:rsidRPr="00517F46">
        <w:rPr>
          <w:rFonts w:ascii="Arial" w:hAnsi="Arial" w:cs="Arial"/>
        </w:rPr>
        <w:t xml:space="preserve">he </w:t>
      </w:r>
      <w:r w:rsidR="00086D4F" w:rsidRPr="00517F46">
        <w:rPr>
          <w:rFonts w:ascii="Arial" w:hAnsi="Arial" w:cs="Arial"/>
        </w:rPr>
        <w:t xml:space="preserve">investigation </w:t>
      </w:r>
      <w:r w:rsidR="00792AB0" w:rsidRPr="00517F46">
        <w:rPr>
          <w:rFonts w:ascii="Arial" w:hAnsi="Arial" w:cs="Arial"/>
        </w:rPr>
        <w:t xml:space="preserve">reports </w:t>
      </w:r>
      <w:r w:rsidR="00086D4F" w:rsidRPr="00517F46">
        <w:rPr>
          <w:rFonts w:ascii="Arial" w:hAnsi="Arial" w:cs="Arial"/>
        </w:rPr>
        <w:t>we</w:t>
      </w:r>
      <w:r w:rsidR="00792AB0" w:rsidRPr="00517F46">
        <w:rPr>
          <w:rFonts w:ascii="Arial" w:hAnsi="Arial" w:cs="Arial"/>
        </w:rPr>
        <w:t>re requested to clear the applicant’s name</w:t>
      </w:r>
      <w:r w:rsidR="00086D4F" w:rsidRPr="00517F46">
        <w:rPr>
          <w:rFonts w:ascii="Arial" w:hAnsi="Arial" w:cs="Arial"/>
        </w:rPr>
        <w:t>,</w:t>
      </w:r>
      <w:r w:rsidR="00792AB0" w:rsidRPr="00517F46">
        <w:rPr>
          <w:rFonts w:ascii="Arial" w:hAnsi="Arial" w:cs="Arial"/>
        </w:rPr>
        <w:t xml:space="preserve"> especially as the Director-General had apparently referred to them in her affidavit but annexed a preliminary report which she represented was the forensic report. </w:t>
      </w:r>
      <w:r w:rsidR="00801BFD" w:rsidRPr="00517F46">
        <w:rPr>
          <w:rFonts w:ascii="Arial" w:hAnsi="Arial" w:cs="Arial"/>
        </w:rPr>
        <w:t xml:space="preserve"> </w:t>
      </w:r>
    </w:p>
    <w:p w:rsidR="00792AB0" w:rsidRPr="00DE4FBB" w:rsidRDefault="00792AB0" w:rsidP="006B7081">
      <w:pPr>
        <w:pStyle w:val="ListParagraph"/>
        <w:autoSpaceDE w:val="0"/>
        <w:autoSpaceDN w:val="0"/>
        <w:adjustRightInd w:val="0"/>
        <w:spacing w:line="360" w:lineRule="auto"/>
        <w:ind w:left="851"/>
        <w:jc w:val="both"/>
        <w:rPr>
          <w:rFonts w:ascii="Arial" w:hAnsi="Arial" w:cs="Arial"/>
        </w:rPr>
      </w:pPr>
    </w:p>
    <w:p w:rsidR="00801BFD" w:rsidRPr="00517F46" w:rsidRDefault="00517F46" w:rsidP="00517F46">
      <w:pPr>
        <w:autoSpaceDE w:val="0"/>
        <w:autoSpaceDN w:val="0"/>
        <w:adjustRightInd w:val="0"/>
        <w:spacing w:line="360" w:lineRule="auto"/>
        <w:jc w:val="both"/>
        <w:rPr>
          <w:rFonts w:ascii="Arial" w:hAnsi="Arial" w:cs="Arial"/>
        </w:rPr>
      </w:pPr>
      <w:r w:rsidRPr="00086D4F">
        <w:rPr>
          <w:rFonts w:ascii="Arial" w:hAnsi="Arial" w:cs="Arial"/>
        </w:rPr>
        <w:lastRenderedPageBreak/>
        <w:t>[42]</w:t>
      </w:r>
      <w:r w:rsidRPr="00086D4F">
        <w:rPr>
          <w:rFonts w:ascii="Arial" w:hAnsi="Arial" w:cs="Arial"/>
        </w:rPr>
        <w:tab/>
      </w:r>
      <w:r w:rsidR="00801BFD" w:rsidRPr="00517F46">
        <w:rPr>
          <w:rFonts w:ascii="Arial" w:hAnsi="Arial" w:cs="Arial"/>
        </w:rPr>
        <w:t xml:space="preserve">Precious little is said in the affidavits in these proceedings about the </w:t>
      </w:r>
      <w:r w:rsidR="00086D4F" w:rsidRPr="00517F46">
        <w:rPr>
          <w:rFonts w:ascii="Arial" w:hAnsi="Arial" w:cs="Arial"/>
        </w:rPr>
        <w:t xml:space="preserve">reinstatement </w:t>
      </w:r>
      <w:r w:rsidR="00801BFD" w:rsidRPr="00517F46">
        <w:rPr>
          <w:rFonts w:ascii="Arial" w:hAnsi="Arial" w:cs="Arial"/>
        </w:rPr>
        <w:t>application.</w:t>
      </w:r>
      <w:r w:rsidR="00792AB0" w:rsidRPr="00517F46">
        <w:rPr>
          <w:rFonts w:ascii="Arial" w:hAnsi="Arial" w:cs="Arial"/>
        </w:rPr>
        <w:t xml:space="preserve"> </w:t>
      </w:r>
      <w:r w:rsidR="00801BFD" w:rsidRPr="00517F46">
        <w:rPr>
          <w:rFonts w:ascii="Arial" w:hAnsi="Arial" w:cs="Arial"/>
        </w:rPr>
        <w:t xml:space="preserve">The applicant </w:t>
      </w:r>
      <w:r w:rsidR="00086D4F" w:rsidRPr="00517F46">
        <w:rPr>
          <w:rFonts w:ascii="Arial" w:hAnsi="Arial" w:cs="Arial"/>
        </w:rPr>
        <w:t>asserts</w:t>
      </w:r>
      <w:r w:rsidR="00801BFD" w:rsidRPr="00517F46">
        <w:rPr>
          <w:rFonts w:ascii="Arial" w:hAnsi="Arial" w:cs="Arial"/>
        </w:rPr>
        <w:t xml:space="preserve"> that it relates to ‘the political machinations of the province of KZN’ and was a claim for reinstatement to the position of Head of the Department of Social </w:t>
      </w:r>
      <w:r w:rsidR="00773F2D" w:rsidRPr="00517F46">
        <w:rPr>
          <w:rFonts w:ascii="Arial" w:hAnsi="Arial" w:cs="Arial"/>
        </w:rPr>
        <w:t>Development</w:t>
      </w:r>
      <w:r w:rsidR="00801BFD" w:rsidRPr="00517F46">
        <w:rPr>
          <w:rFonts w:ascii="Arial" w:hAnsi="Arial" w:cs="Arial"/>
        </w:rPr>
        <w:t xml:space="preserve"> </w:t>
      </w:r>
      <w:r w:rsidR="00086D4F" w:rsidRPr="00517F46">
        <w:rPr>
          <w:rFonts w:ascii="Arial" w:hAnsi="Arial" w:cs="Arial"/>
        </w:rPr>
        <w:t>and/or</w:t>
      </w:r>
      <w:r w:rsidR="00801BFD" w:rsidRPr="00517F46">
        <w:rPr>
          <w:rFonts w:ascii="Arial" w:hAnsi="Arial" w:cs="Arial"/>
        </w:rPr>
        <w:t xml:space="preserve"> a contractual claim. It is also apparent from her appeal submission that the Department of Transport and the Provincial Treasury are not parties to it, which is hardly surprising given the nature of the claim. The respondents state only that the applicant </w:t>
      </w:r>
      <w:r w:rsidR="00086D4F" w:rsidRPr="00517F46">
        <w:rPr>
          <w:rFonts w:ascii="Arial" w:hAnsi="Arial" w:cs="Arial"/>
        </w:rPr>
        <w:t xml:space="preserve">alleged </w:t>
      </w:r>
      <w:r w:rsidR="00801BFD" w:rsidRPr="00517F46">
        <w:rPr>
          <w:rFonts w:ascii="Arial" w:hAnsi="Arial" w:cs="Arial"/>
        </w:rPr>
        <w:t xml:space="preserve">in the litigation that her contract of employment was extended at the PEC meeting. In that context, the </w:t>
      </w:r>
      <w:r w:rsidR="00792AB0" w:rsidRPr="00517F46">
        <w:rPr>
          <w:rFonts w:ascii="Arial" w:hAnsi="Arial" w:cs="Arial"/>
        </w:rPr>
        <w:t>only document</w:t>
      </w:r>
      <w:r w:rsidR="00237A39" w:rsidRPr="00517F46">
        <w:rPr>
          <w:rFonts w:ascii="Arial" w:hAnsi="Arial" w:cs="Arial"/>
        </w:rPr>
        <w:t>s</w:t>
      </w:r>
      <w:r w:rsidR="00792AB0" w:rsidRPr="00517F46">
        <w:rPr>
          <w:rFonts w:ascii="Arial" w:hAnsi="Arial" w:cs="Arial"/>
        </w:rPr>
        <w:t xml:space="preserve"> which could be seen as being requested for the purposes of the </w:t>
      </w:r>
      <w:r w:rsidR="00086D4F" w:rsidRPr="00517F46">
        <w:rPr>
          <w:rFonts w:ascii="Arial" w:hAnsi="Arial" w:cs="Arial"/>
        </w:rPr>
        <w:t xml:space="preserve">reinstatement </w:t>
      </w:r>
      <w:r w:rsidR="00792AB0" w:rsidRPr="00517F46">
        <w:rPr>
          <w:rFonts w:ascii="Arial" w:hAnsi="Arial" w:cs="Arial"/>
        </w:rPr>
        <w:t xml:space="preserve">application are those relating to the PEC meeting. </w:t>
      </w:r>
    </w:p>
    <w:p w:rsidR="006C1814" w:rsidRPr="00DE4FBB" w:rsidRDefault="006C1814" w:rsidP="006B7081">
      <w:pPr>
        <w:pStyle w:val="ListParagraph"/>
        <w:spacing w:line="360" w:lineRule="auto"/>
        <w:rPr>
          <w:rFonts w:ascii="Arial" w:hAnsi="Arial" w:cs="Arial"/>
        </w:rPr>
      </w:pPr>
    </w:p>
    <w:p w:rsidR="006C1814"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[43]</w:t>
      </w:r>
      <w:r w:rsidRPr="00DE4FBB">
        <w:rPr>
          <w:rFonts w:ascii="Arial" w:hAnsi="Arial" w:cs="Arial"/>
        </w:rPr>
        <w:tab/>
      </w:r>
      <w:r w:rsidR="00792AB0" w:rsidRPr="00517F46">
        <w:rPr>
          <w:rFonts w:ascii="Arial" w:hAnsi="Arial" w:cs="Arial"/>
        </w:rPr>
        <w:t>In her affidavit in the present proceedings,</w:t>
      </w:r>
      <w:r w:rsidR="006C1814" w:rsidRPr="00517F46">
        <w:rPr>
          <w:rFonts w:ascii="Arial" w:hAnsi="Arial" w:cs="Arial"/>
        </w:rPr>
        <w:t xml:space="preserve"> the applicant states that she requires the information to </w:t>
      </w:r>
      <w:r w:rsidR="00086D4F" w:rsidRPr="00517F46">
        <w:rPr>
          <w:rFonts w:ascii="Arial" w:hAnsi="Arial" w:cs="Arial"/>
        </w:rPr>
        <w:t>‘</w:t>
      </w:r>
      <w:r w:rsidR="006C1814" w:rsidRPr="00517F46">
        <w:rPr>
          <w:rFonts w:ascii="Arial" w:hAnsi="Arial" w:cs="Arial"/>
        </w:rPr>
        <w:t>clear her name of spurious and hurtful allegations</w:t>
      </w:r>
      <w:r w:rsidR="00086D4F" w:rsidRPr="00517F46">
        <w:rPr>
          <w:rFonts w:ascii="Arial" w:hAnsi="Arial" w:cs="Arial"/>
        </w:rPr>
        <w:t>’</w:t>
      </w:r>
      <w:r w:rsidR="006C1814" w:rsidRPr="00517F46">
        <w:rPr>
          <w:rFonts w:ascii="Arial" w:hAnsi="Arial" w:cs="Arial"/>
        </w:rPr>
        <w:t xml:space="preserve">. She explains that the documents might lead to a press release or a claim for declaratory relief but she cannot make a decision on whether further court proceedings might be warranted until she has seen the documents. </w:t>
      </w:r>
    </w:p>
    <w:p w:rsidR="006C1814" w:rsidRPr="00DE4FBB" w:rsidRDefault="006C1814" w:rsidP="006B7081">
      <w:pPr>
        <w:pStyle w:val="ListParagraph"/>
        <w:spacing w:line="360" w:lineRule="auto"/>
        <w:rPr>
          <w:rFonts w:ascii="Arial" w:hAnsi="Arial" w:cs="Arial"/>
        </w:rPr>
      </w:pPr>
    </w:p>
    <w:p w:rsidR="00792AB0"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[44]</w:t>
      </w:r>
      <w:r w:rsidRPr="00DE4FBB">
        <w:rPr>
          <w:rFonts w:ascii="Arial" w:hAnsi="Arial" w:cs="Arial"/>
        </w:rPr>
        <w:tab/>
      </w:r>
      <w:r w:rsidR="006C1814" w:rsidRPr="00517F46">
        <w:rPr>
          <w:rFonts w:ascii="Arial" w:hAnsi="Arial" w:cs="Arial"/>
        </w:rPr>
        <w:t xml:space="preserve">The respondents do not engage with these assertions meaningfully. They merely dispute them ‘on the basis that the Applicant has already been furnished with the records she seeks in relation to the recruitment process.’ Apart from not being entirely correct on the facts, </w:t>
      </w:r>
      <w:r w:rsidR="00916671" w:rsidRPr="00517F46">
        <w:rPr>
          <w:rFonts w:ascii="Arial" w:hAnsi="Arial" w:cs="Arial"/>
        </w:rPr>
        <w:t>that statement</w:t>
      </w:r>
      <w:r w:rsidR="006C1814" w:rsidRPr="00517F46">
        <w:rPr>
          <w:rFonts w:ascii="Arial" w:hAnsi="Arial" w:cs="Arial"/>
        </w:rPr>
        <w:t xml:space="preserve"> takes no account of the balance of the information </w:t>
      </w:r>
      <w:r w:rsidR="00792AB0" w:rsidRPr="00517F46">
        <w:rPr>
          <w:rFonts w:ascii="Arial" w:hAnsi="Arial" w:cs="Arial"/>
        </w:rPr>
        <w:t xml:space="preserve">the applicant </w:t>
      </w:r>
      <w:r w:rsidR="006C1814" w:rsidRPr="00517F46">
        <w:rPr>
          <w:rFonts w:ascii="Arial" w:hAnsi="Arial" w:cs="Arial"/>
        </w:rPr>
        <w:t>requested, save t</w:t>
      </w:r>
      <w:r w:rsidR="00237A39" w:rsidRPr="00517F46">
        <w:rPr>
          <w:rFonts w:ascii="Arial" w:hAnsi="Arial" w:cs="Arial"/>
        </w:rPr>
        <w:t>hat the respondents</w:t>
      </w:r>
      <w:r w:rsidR="006C1814" w:rsidRPr="00517F46">
        <w:rPr>
          <w:rFonts w:ascii="Arial" w:hAnsi="Arial" w:cs="Arial"/>
        </w:rPr>
        <w:t xml:space="preserve"> state that the applicant had ‘rule 35 to seek documents in relation to her litigation with some of the respondents.’ </w:t>
      </w:r>
      <w:r w:rsidR="00792AB0" w:rsidRPr="00517F46">
        <w:rPr>
          <w:rFonts w:ascii="Arial" w:hAnsi="Arial" w:cs="Arial"/>
        </w:rPr>
        <w:t xml:space="preserve">Given the nature of the applicant’s claim in the </w:t>
      </w:r>
      <w:r w:rsidR="00086D4F" w:rsidRPr="00517F46">
        <w:rPr>
          <w:rFonts w:ascii="Arial" w:hAnsi="Arial" w:cs="Arial"/>
        </w:rPr>
        <w:t xml:space="preserve">reinstatement </w:t>
      </w:r>
      <w:r w:rsidR="00792AB0" w:rsidRPr="00517F46">
        <w:rPr>
          <w:rFonts w:ascii="Arial" w:hAnsi="Arial" w:cs="Arial"/>
        </w:rPr>
        <w:t>application</w:t>
      </w:r>
      <w:r w:rsidR="00086D4F" w:rsidRPr="00517F46">
        <w:rPr>
          <w:rFonts w:ascii="Arial" w:hAnsi="Arial" w:cs="Arial"/>
        </w:rPr>
        <w:t>,</w:t>
      </w:r>
      <w:r w:rsidR="00792AB0" w:rsidRPr="00517F46">
        <w:rPr>
          <w:rFonts w:ascii="Arial" w:hAnsi="Arial" w:cs="Arial"/>
        </w:rPr>
        <w:t xml:space="preserve"> and the fact that the Department of Transport and the Provincial Treasury were not parties</w:t>
      </w:r>
      <w:r w:rsidR="00916671" w:rsidRPr="00517F46">
        <w:rPr>
          <w:rFonts w:ascii="Arial" w:hAnsi="Arial" w:cs="Arial"/>
        </w:rPr>
        <w:t xml:space="preserve"> to it</w:t>
      </w:r>
      <w:r w:rsidR="00792AB0" w:rsidRPr="00517F46">
        <w:rPr>
          <w:rFonts w:ascii="Arial" w:hAnsi="Arial" w:cs="Arial"/>
        </w:rPr>
        <w:t>, the respondent</w:t>
      </w:r>
      <w:r w:rsidR="00916671" w:rsidRPr="00517F46">
        <w:rPr>
          <w:rFonts w:ascii="Arial" w:hAnsi="Arial" w:cs="Arial"/>
        </w:rPr>
        <w:t xml:space="preserve">s proffer </w:t>
      </w:r>
      <w:r w:rsidR="00792AB0" w:rsidRPr="00517F46">
        <w:rPr>
          <w:rFonts w:ascii="Arial" w:hAnsi="Arial" w:cs="Arial"/>
        </w:rPr>
        <w:t xml:space="preserve">no answer at all to the </w:t>
      </w:r>
      <w:r w:rsidR="00AB008F" w:rsidRPr="00517F46">
        <w:rPr>
          <w:rFonts w:ascii="Arial" w:hAnsi="Arial" w:cs="Arial"/>
        </w:rPr>
        <w:t xml:space="preserve">applicant’s reasons for requesting the documents which are unconnected with the </w:t>
      </w:r>
      <w:r w:rsidR="00916671" w:rsidRPr="00517F46">
        <w:rPr>
          <w:rFonts w:ascii="Arial" w:hAnsi="Arial" w:cs="Arial"/>
        </w:rPr>
        <w:t xml:space="preserve">reinstatement </w:t>
      </w:r>
      <w:r w:rsidR="00AB008F" w:rsidRPr="00517F46">
        <w:rPr>
          <w:rFonts w:ascii="Arial" w:hAnsi="Arial" w:cs="Arial"/>
        </w:rPr>
        <w:t xml:space="preserve">application.  </w:t>
      </w:r>
    </w:p>
    <w:p w:rsidR="006C1814" w:rsidRPr="00DE4FBB" w:rsidRDefault="006C1814" w:rsidP="006B7081">
      <w:pPr>
        <w:spacing w:line="360" w:lineRule="auto"/>
        <w:rPr>
          <w:rFonts w:ascii="Arial" w:hAnsi="Arial" w:cs="Arial"/>
        </w:rPr>
      </w:pPr>
    </w:p>
    <w:p w:rsidR="00DB28F2" w:rsidRPr="00517F46" w:rsidRDefault="00517F46" w:rsidP="00517F46">
      <w:pPr>
        <w:autoSpaceDE w:val="0"/>
        <w:autoSpaceDN w:val="0"/>
        <w:adjustRightInd w:val="0"/>
        <w:spacing w:line="360" w:lineRule="auto"/>
        <w:jc w:val="both"/>
        <w:rPr>
          <w:rFonts w:ascii="Arial" w:hAnsi="Arial" w:cs="Arial"/>
        </w:rPr>
      </w:pPr>
      <w:r>
        <w:rPr>
          <w:rFonts w:ascii="Arial" w:hAnsi="Arial" w:cs="Arial"/>
        </w:rPr>
        <w:t>[45]</w:t>
      </w:r>
      <w:r>
        <w:rPr>
          <w:rFonts w:ascii="Arial" w:hAnsi="Arial" w:cs="Arial"/>
        </w:rPr>
        <w:tab/>
      </w:r>
      <w:r w:rsidR="00AB008F" w:rsidRPr="00517F46">
        <w:rPr>
          <w:rFonts w:ascii="Arial" w:hAnsi="Arial" w:cs="Arial"/>
        </w:rPr>
        <w:t xml:space="preserve">The respondents have therefore failed to discharge the burden on them to establish the first requirement in section 7. Nor can they establish the second. </w:t>
      </w:r>
    </w:p>
    <w:p w:rsidR="00237A39" w:rsidRPr="00237A39" w:rsidRDefault="00237A39" w:rsidP="00237A39">
      <w:pPr>
        <w:pStyle w:val="ListParagraph"/>
        <w:rPr>
          <w:rFonts w:ascii="Arial" w:hAnsi="Arial" w:cs="Arial"/>
        </w:rPr>
      </w:pPr>
    </w:p>
    <w:p w:rsidR="00237A39" w:rsidRPr="00DE4FBB" w:rsidRDefault="00237A39" w:rsidP="00237A39">
      <w:pPr>
        <w:pStyle w:val="ListParagraph"/>
        <w:autoSpaceDE w:val="0"/>
        <w:autoSpaceDN w:val="0"/>
        <w:adjustRightInd w:val="0"/>
        <w:spacing w:line="360" w:lineRule="auto"/>
        <w:ind w:left="0"/>
        <w:jc w:val="both"/>
        <w:rPr>
          <w:rFonts w:ascii="Arial" w:hAnsi="Arial" w:cs="Arial"/>
        </w:rPr>
      </w:pPr>
    </w:p>
    <w:p w:rsidR="00C94764" w:rsidRPr="00DE4FBB" w:rsidRDefault="00C94764" w:rsidP="006B7081">
      <w:pPr>
        <w:pStyle w:val="ListParagraph"/>
        <w:spacing w:line="360" w:lineRule="auto"/>
        <w:rPr>
          <w:rFonts w:ascii="Arial" w:hAnsi="Arial" w:cs="Arial"/>
        </w:rPr>
      </w:pPr>
    </w:p>
    <w:p w:rsidR="000F7DD5" w:rsidRPr="00DE4FBB" w:rsidRDefault="000F7DD5" w:rsidP="006B7081">
      <w:pPr>
        <w:autoSpaceDE w:val="0"/>
        <w:autoSpaceDN w:val="0"/>
        <w:adjustRightInd w:val="0"/>
        <w:spacing w:line="360" w:lineRule="auto"/>
        <w:jc w:val="both"/>
        <w:rPr>
          <w:rFonts w:ascii="Arial" w:hAnsi="Arial" w:cs="Arial"/>
          <w:b/>
          <w:bCs/>
          <w:i/>
          <w:iCs/>
        </w:rPr>
      </w:pPr>
      <w:r w:rsidRPr="00DE4FBB">
        <w:rPr>
          <w:rFonts w:ascii="Arial" w:hAnsi="Arial" w:cs="Arial"/>
          <w:b/>
          <w:bCs/>
          <w:i/>
          <w:iCs/>
        </w:rPr>
        <w:lastRenderedPageBreak/>
        <w:t>After the commencement of such proceedings</w:t>
      </w:r>
    </w:p>
    <w:p w:rsidR="000F7DD5" w:rsidRPr="00DE4FBB" w:rsidRDefault="000F7DD5" w:rsidP="006B7081">
      <w:pPr>
        <w:pStyle w:val="ListParagraph"/>
        <w:autoSpaceDE w:val="0"/>
        <w:autoSpaceDN w:val="0"/>
        <w:adjustRightInd w:val="0"/>
        <w:spacing w:line="360" w:lineRule="auto"/>
        <w:ind w:left="851"/>
        <w:jc w:val="both"/>
        <w:rPr>
          <w:rFonts w:ascii="Arial" w:hAnsi="Arial" w:cs="Arial"/>
          <w:b/>
          <w:bCs/>
          <w:i/>
          <w:iCs/>
        </w:rPr>
      </w:pPr>
    </w:p>
    <w:p w:rsidR="004D0BCF"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[46]</w:t>
      </w:r>
      <w:r w:rsidRPr="00DE4FBB">
        <w:rPr>
          <w:rFonts w:ascii="Arial" w:hAnsi="Arial" w:cs="Arial"/>
        </w:rPr>
        <w:tab/>
      </w:r>
      <w:r w:rsidR="000F7DD5" w:rsidRPr="00517F46">
        <w:rPr>
          <w:rFonts w:ascii="Arial" w:hAnsi="Arial" w:cs="Arial"/>
        </w:rPr>
        <w:t>T</w:t>
      </w:r>
      <w:r w:rsidR="00B54271" w:rsidRPr="00517F46">
        <w:rPr>
          <w:rFonts w:ascii="Arial" w:hAnsi="Arial" w:cs="Arial"/>
        </w:rPr>
        <w:t>he second requirement in</w:t>
      </w:r>
      <w:r w:rsidR="002229BD" w:rsidRPr="00517F46">
        <w:rPr>
          <w:rFonts w:ascii="Arial" w:hAnsi="Arial" w:cs="Arial"/>
        </w:rPr>
        <w:t xml:space="preserve"> section 7(1)(b) is that the request is made </w:t>
      </w:r>
      <w:r w:rsidR="00465C88" w:rsidRPr="00517F46">
        <w:rPr>
          <w:rFonts w:ascii="Arial" w:hAnsi="Arial" w:cs="Arial"/>
          <w:i/>
          <w:iCs/>
        </w:rPr>
        <w:t>after</w:t>
      </w:r>
      <w:r w:rsidR="002229BD" w:rsidRPr="00517F46">
        <w:rPr>
          <w:rFonts w:ascii="Arial" w:hAnsi="Arial" w:cs="Arial"/>
          <w:i/>
          <w:iCs/>
        </w:rPr>
        <w:t xml:space="preserve"> </w:t>
      </w:r>
      <w:r w:rsidR="002229BD" w:rsidRPr="00517F46">
        <w:rPr>
          <w:rFonts w:ascii="Arial" w:hAnsi="Arial" w:cs="Arial"/>
        </w:rPr>
        <w:t>the commencement of the proceedings.</w:t>
      </w:r>
      <w:r w:rsidR="00CF20E8" w:rsidRPr="00517F46">
        <w:rPr>
          <w:rFonts w:ascii="Arial" w:hAnsi="Arial" w:cs="Arial"/>
        </w:rPr>
        <w:t xml:space="preserve"> </w:t>
      </w:r>
      <w:r w:rsidR="002229BD" w:rsidRPr="00517F46">
        <w:rPr>
          <w:rFonts w:ascii="Arial" w:hAnsi="Arial" w:cs="Arial"/>
        </w:rPr>
        <w:t xml:space="preserve">In the present instance the request for information was made on 10 December 2021 and the </w:t>
      </w:r>
      <w:r w:rsidR="00237A39" w:rsidRPr="00517F46">
        <w:rPr>
          <w:rFonts w:ascii="Arial" w:hAnsi="Arial" w:cs="Arial"/>
        </w:rPr>
        <w:t xml:space="preserve">reinstatement </w:t>
      </w:r>
      <w:r w:rsidR="00D924BE" w:rsidRPr="00517F46">
        <w:rPr>
          <w:rFonts w:ascii="Arial" w:hAnsi="Arial" w:cs="Arial"/>
        </w:rPr>
        <w:t xml:space="preserve">application was </w:t>
      </w:r>
      <w:r w:rsidR="002229BD" w:rsidRPr="00517F46">
        <w:rPr>
          <w:rFonts w:ascii="Arial" w:hAnsi="Arial" w:cs="Arial"/>
        </w:rPr>
        <w:t>only instituted at some point in 2022</w:t>
      </w:r>
      <w:r w:rsidR="00492148" w:rsidRPr="00517F46">
        <w:rPr>
          <w:rFonts w:ascii="Arial" w:hAnsi="Arial" w:cs="Arial"/>
        </w:rPr>
        <w:t>.</w:t>
      </w:r>
      <w:r w:rsidR="00B54271" w:rsidRPr="00517F46">
        <w:rPr>
          <w:rFonts w:ascii="Arial" w:hAnsi="Arial" w:cs="Arial"/>
        </w:rPr>
        <w:t xml:space="preserve"> </w:t>
      </w:r>
      <w:r w:rsidR="004D0BCF" w:rsidRPr="00517F46">
        <w:rPr>
          <w:rFonts w:ascii="Arial" w:hAnsi="Arial" w:cs="Arial"/>
        </w:rPr>
        <w:t>The respondents</w:t>
      </w:r>
      <w:r w:rsidR="00D924BE" w:rsidRPr="00517F46">
        <w:rPr>
          <w:rFonts w:ascii="Arial" w:hAnsi="Arial" w:cs="Arial"/>
        </w:rPr>
        <w:t>’</w:t>
      </w:r>
      <w:r w:rsidR="004D0BCF" w:rsidRPr="00517F46">
        <w:rPr>
          <w:rFonts w:ascii="Arial" w:hAnsi="Arial" w:cs="Arial"/>
        </w:rPr>
        <w:t xml:space="preserve"> case ignores this and treats the appeal as a self-standing request</w:t>
      </w:r>
      <w:r w:rsidR="00237A39" w:rsidRPr="00517F46">
        <w:rPr>
          <w:rFonts w:ascii="Arial" w:hAnsi="Arial" w:cs="Arial"/>
        </w:rPr>
        <w:t>,</w:t>
      </w:r>
      <w:r w:rsidR="004D0BCF" w:rsidRPr="00517F46">
        <w:rPr>
          <w:rFonts w:ascii="Arial" w:hAnsi="Arial" w:cs="Arial"/>
        </w:rPr>
        <w:t xml:space="preserve"> rather than the pursuit of the mandatory domestic remedy for the refusal of the initial request which </w:t>
      </w:r>
      <w:r w:rsidR="00237A39" w:rsidRPr="00517F46">
        <w:rPr>
          <w:rFonts w:ascii="Arial" w:hAnsi="Arial" w:cs="Arial"/>
        </w:rPr>
        <w:t>had been</w:t>
      </w:r>
      <w:r w:rsidR="004D0BCF" w:rsidRPr="00517F46">
        <w:rPr>
          <w:rFonts w:ascii="Arial" w:hAnsi="Arial" w:cs="Arial"/>
        </w:rPr>
        <w:t xml:space="preserve"> made before legal proceedings were instituted. </w:t>
      </w:r>
    </w:p>
    <w:p w:rsidR="00465C88" w:rsidRPr="00DE4FBB" w:rsidRDefault="00465C88" w:rsidP="006B7081">
      <w:pPr>
        <w:autoSpaceDE w:val="0"/>
        <w:autoSpaceDN w:val="0"/>
        <w:adjustRightInd w:val="0"/>
        <w:spacing w:line="360" w:lineRule="auto"/>
        <w:jc w:val="both"/>
        <w:rPr>
          <w:rFonts w:ascii="Arial" w:hAnsi="Arial" w:cs="Arial"/>
        </w:rPr>
      </w:pPr>
    </w:p>
    <w:p w:rsidR="004D0BCF"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[47]</w:t>
      </w:r>
      <w:r w:rsidRPr="00DE4FBB">
        <w:rPr>
          <w:rFonts w:ascii="Arial" w:hAnsi="Arial" w:cs="Arial"/>
        </w:rPr>
        <w:tab/>
      </w:r>
      <w:r w:rsidR="004D0BCF" w:rsidRPr="00517F46">
        <w:rPr>
          <w:rFonts w:ascii="Arial" w:hAnsi="Arial" w:cs="Arial"/>
        </w:rPr>
        <w:t>C</w:t>
      </w:r>
      <w:r w:rsidR="00465C88" w:rsidRPr="00517F46">
        <w:rPr>
          <w:rFonts w:ascii="Arial" w:hAnsi="Arial" w:cs="Arial"/>
        </w:rPr>
        <w:t xml:space="preserve">ounsel for the respondents sought to meet this difficulty by submitting that the phrase ‘commencement of </w:t>
      </w:r>
      <w:r w:rsidR="00237A39" w:rsidRPr="00517F46">
        <w:rPr>
          <w:rFonts w:ascii="Arial" w:hAnsi="Arial" w:cs="Arial"/>
        </w:rPr>
        <w:t xml:space="preserve">… </w:t>
      </w:r>
      <w:r w:rsidR="00465C88" w:rsidRPr="00517F46">
        <w:rPr>
          <w:rFonts w:ascii="Arial" w:hAnsi="Arial" w:cs="Arial"/>
        </w:rPr>
        <w:t xml:space="preserve">proceedings’ should be interpreted to include an intention to commence proceedings in the future. </w:t>
      </w:r>
      <w:r w:rsidR="004D0BCF" w:rsidRPr="00517F46">
        <w:rPr>
          <w:rFonts w:ascii="Arial" w:hAnsi="Arial" w:cs="Arial"/>
        </w:rPr>
        <w:t xml:space="preserve">On the basis of that construction, so the argument </w:t>
      </w:r>
      <w:r w:rsidR="00237A39" w:rsidRPr="00517F46">
        <w:rPr>
          <w:rFonts w:ascii="Arial" w:hAnsi="Arial" w:cs="Arial"/>
        </w:rPr>
        <w:t>ran,</w:t>
      </w:r>
      <w:r w:rsidR="004D0BCF" w:rsidRPr="00517F46">
        <w:rPr>
          <w:rFonts w:ascii="Arial" w:hAnsi="Arial" w:cs="Arial"/>
        </w:rPr>
        <w:t xml:space="preserve"> t</w:t>
      </w:r>
      <w:r w:rsidR="00465C88" w:rsidRPr="00517F46">
        <w:rPr>
          <w:rFonts w:ascii="Arial" w:hAnsi="Arial" w:cs="Arial"/>
        </w:rPr>
        <w:t xml:space="preserve">he applicant’s request for information was an impermissible attempt at early discovery in the proceedings she intended to launch at the time the request was made. </w:t>
      </w:r>
      <w:r w:rsidR="004D0BCF" w:rsidRPr="00517F46">
        <w:rPr>
          <w:rFonts w:ascii="Arial" w:hAnsi="Arial" w:cs="Arial"/>
        </w:rPr>
        <w:t xml:space="preserve">As support for this contention, counsel relied on the judgment of Sutherland J in </w:t>
      </w:r>
      <w:r w:rsidR="00A031A7" w:rsidRPr="00517F46">
        <w:rPr>
          <w:rFonts w:ascii="Arial" w:hAnsi="Arial" w:cs="Arial"/>
          <w:i/>
          <w:iCs/>
        </w:rPr>
        <w:t>Mahaeene and another v Anglogold Ashanti</w:t>
      </w:r>
      <w:r w:rsidR="00A031A7" w:rsidRPr="00517F46">
        <w:rPr>
          <w:rFonts w:ascii="Arial" w:hAnsi="Arial" w:cs="Arial"/>
        </w:rPr>
        <w:t xml:space="preserve"> [2016] 1 All SA592 (GJ) (</w:t>
      </w:r>
      <w:r w:rsidR="00A031A7" w:rsidRPr="00517F46">
        <w:rPr>
          <w:rFonts w:ascii="Arial" w:hAnsi="Arial" w:cs="Arial"/>
          <w:i/>
          <w:iCs/>
        </w:rPr>
        <w:t>Anglogold Ashanti)</w:t>
      </w:r>
      <w:r w:rsidR="00182B46" w:rsidRPr="00237A39">
        <w:rPr>
          <w:rStyle w:val="FootnoteReference"/>
          <w:rFonts w:ascii="Arial" w:hAnsi="Arial" w:cs="Arial"/>
        </w:rPr>
        <w:footnoteReference w:id="20"/>
      </w:r>
      <w:r w:rsidR="00A031A7" w:rsidRPr="00517F46">
        <w:rPr>
          <w:rFonts w:ascii="Arial" w:hAnsi="Arial" w:cs="Arial"/>
          <w:i/>
          <w:iCs/>
        </w:rPr>
        <w:t xml:space="preserve"> </w:t>
      </w:r>
      <w:r w:rsidR="00A031A7" w:rsidRPr="00517F46">
        <w:rPr>
          <w:rFonts w:ascii="Arial" w:hAnsi="Arial" w:cs="Arial"/>
        </w:rPr>
        <w:t>which held that ‘commencement of proceedings’ was not limited to the service of summons or a notice of motion but could include earlier steps in the litigation process.</w:t>
      </w:r>
      <w:r w:rsidR="00A031A7" w:rsidRPr="00DE4FBB">
        <w:rPr>
          <w:rStyle w:val="FootnoteReference"/>
          <w:rFonts w:ascii="Arial" w:hAnsi="Arial" w:cs="Arial"/>
        </w:rPr>
        <w:footnoteReference w:id="21"/>
      </w:r>
      <w:r w:rsidR="00A031A7" w:rsidRPr="00517F46">
        <w:rPr>
          <w:rFonts w:ascii="Arial" w:hAnsi="Arial" w:cs="Arial"/>
        </w:rPr>
        <w:t xml:space="preserve"> </w:t>
      </w:r>
      <w:r w:rsidR="004D0BCF" w:rsidRPr="00517F46">
        <w:rPr>
          <w:rFonts w:ascii="Arial" w:hAnsi="Arial" w:cs="Arial"/>
        </w:rPr>
        <w:t xml:space="preserve">  </w:t>
      </w:r>
    </w:p>
    <w:p w:rsidR="004D0BCF" w:rsidRPr="00DE4FBB" w:rsidRDefault="004D0BCF" w:rsidP="006B7081">
      <w:pPr>
        <w:pStyle w:val="ListParagraph"/>
        <w:autoSpaceDE w:val="0"/>
        <w:autoSpaceDN w:val="0"/>
        <w:adjustRightInd w:val="0"/>
        <w:spacing w:line="360" w:lineRule="auto"/>
        <w:ind w:left="851"/>
        <w:jc w:val="both"/>
        <w:rPr>
          <w:rFonts w:ascii="Arial" w:hAnsi="Arial" w:cs="Arial"/>
        </w:rPr>
      </w:pPr>
    </w:p>
    <w:p w:rsidR="00435586"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[48]</w:t>
      </w:r>
      <w:r w:rsidRPr="00DE4FBB">
        <w:rPr>
          <w:rFonts w:ascii="Arial" w:hAnsi="Arial" w:cs="Arial"/>
        </w:rPr>
        <w:tab/>
      </w:r>
      <w:r w:rsidR="00DF207F" w:rsidRPr="00517F46">
        <w:rPr>
          <w:rFonts w:ascii="Arial" w:hAnsi="Arial" w:cs="Arial"/>
          <w:i/>
          <w:iCs/>
        </w:rPr>
        <w:t>Anglogold Ashanti</w:t>
      </w:r>
      <w:r w:rsidR="00DF207F" w:rsidRPr="00517F46">
        <w:rPr>
          <w:rFonts w:ascii="Arial" w:hAnsi="Arial" w:cs="Arial"/>
        </w:rPr>
        <w:t xml:space="preserve"> </w:t>
      </w:r>
      <w:r w:rsidR="00E47F24" w:rsidRPr="00517F46">
        <w:rPr>
          <w:rFonts w:ascii="Arial" w:hAnsi="Arial" w:cs="Arial"/>
        </w:rPr>
        <w:t xml:space="preserve">concerned an application for </w:t>
      </w:r>
      <w:r w:rsidR="00465C88" w:rsidRPr="00517F46">
        <w:rPr>
          <w:rFonts w:ascii="Arial" w:hAnsi="Arial" w:cs="Arial"/>
        </w:rPr>
        <w:t xml:space="preserve">access to </w:t>
      </w:r>
      <w:r w:rsidR="00E47F24" w:rsidRPr="00517F46">
        <w:rPr>
          <w:rFonts w:ascii="Arial" w:hAnsi="Arial" w:cs="Arial"/>
        </w:rPr>
        <w:t xml:space="preserve">information </w:t>
      </w:r>
      <w:r w:rsidR="00465C88" w:rsidRPr="00517F46">
        <w:rPr>
          <w:rFonts w:ascii="Arial" w:hAnsi="Arial" w:cs="Arial"/>
        </w:rPr>
        <w:t xml:space="preserve">of </w:t>
      </w:r>
      <w:r w:rsidR="00E47F24" w:rsidRPr="00517F46">
        <w:rPr>
          <w:rFonts w:ascii="Arial" w:hAnsi="Arial" w:cs="Arial"/>
        </w:rPr>
        <w:t xml:space="preserve">a private body, </w:t>
      </w:r>
      <w:r w:rsidR="00465C88" w:rsidRPr="00517F46">
        <w:rPr>
          <w:rFonts w:ascii="Arial" w:hAnsi="Arial" w:cs="Arial"/>
        </w:rPr>
        <w:t xml:space="preserve">to which </w:t>
      </w:r>
      <w:r w:rsidR="00E47F24" w:rsidRPr="00517F46">
        <w:rPr>
          <w:rFonts w:ascii="Arial" w:hAnsi="Arial" w:cs="Arial"/>
        </w:rPr>
        <w:t>a requester is not entitled as of right. That distinction however matters not</w:t>
      </w:r>
      <w:r w:rsidR="00D924BE" w:rsidRPr="00517F46">
        <w:rPr>
          <w:rFonts w:ascii="Arial" w:hAnsi="Arial" w:cs="Arial"/>
        </w:rPr>
        <w:t>,</w:t>
      </w:r>
      <w:r w:rsidR="00E47F24" w:rsidRPr="00517F46">
        <w:rPr>
          <w:rFonts w:ascii="Arial" w:hAnsi="Arial" w:cs="Arial"/>
        </w:rPr>
        <w:t xml:space="preserve"> as </w:t>
      </w:r>
      <w:r w:rsidR="00465C88" w:rsidRPr="00517F46">
        <w:rPr>
          <w:rFonts w:ascii="Arial" w:hAnsi="Arial" w:cs="Arial"/>
        </w:rPr>
        <w:t xml:space="preserve">counsel </w:t>
      </w:r>
      <w:r w:rsidR="00E47F24" w:rsidRPr="00517F46">
        <w:rPr>
          <w:rFonts w:ascii="Arial" w:hAnsi="Arial" w:cs="Arial"/>
        </w:rPr>
        <w:t xml:space="preserve">relies on the judgment insofar as it dealt with what is contemplated by the phrase </w:t>
      </w:r>
      <w:r w:rsidR="00465C88" w:rsidRPr="00517F46">
        <w:rPr>
          <w:rFonts w:ascii="Arial" w:hAnsi="Arial" w:cs="Arial"/>
        </w:rPr>
        <w:t>‘</w:t>
      </w:r>
      <w:r w:rsidR="00E47F24" w:rsidRPr="00517F46">
        <w:rPr>
          <w:rFonts w:ascii="Arial" w:hAnsi="Arial" w:cs="Arial"/>
        </w:rPr>
        <w:t>commencement of such proceedings</w:t>
      </w:r>
      <w:r w:rsidR="00465C88" w:rsidRPr="00517F46">
        <w:rPr>
          <w:rFonts w:ascii="Arial" w:hAnsi="Arial" w:cs="Arial"/>
        </w:rPr>
        <w:t>’</w:t>
      </w:r>
      <w:r w:rsidR="00E47F24" w:rsidRPr="00517F46">
        <w:rPr>
          <w:rFonts w:ascii="Arial" w:hAnsi="Arial" w:cs="Arial"/>
        </w:rPr>
        <w:t xml:space="preserve"> in section 7</w:t>
      </w:r>
      <w:r w:rsidR="005E4CE2" w:rsidRPr="00517F46">
        <w:rPr>
          <w:rFonts w:ascii="Arial" w:hAnsi="Arial" w:cs="Arial"/>
        </w:rPr>
        <w:t>,</w:t>
      </w:r>
      <w:r w:rsidR="00DF207F" w:rsidRPr="00517F46">
        <w:rPr>
          <w:rFonts w:ascii="Arial" w:hAnsi="Arial" w:cs="Arial"/>
        </w:rPr>
        <w:t xml:space="preserve"> which applies to all requests whether made to public or private bodies</w:t>
      </w:r>
      <w:r w:rsidR="00D924BE" w:rsidRPr="00517F46">
        <w:rPr>
          <w:rFonts w:ascii="Arial" w:hAnsi="Arial" w:cs="Arial"/>
        </w:rPr>
        <w:t xml:space="preserve"> as the text of the provision makes plain.</w:t>
      </w:r>
    </w:p>
    <w:p w:rsidR="009A3BC5" w:rsidRPr="00DE4FBB" w:rsidRDefault="009A3BC5" w:rsidP="006B7081">
      <w:pPr>
        <w:spacing w:line="360" w:lineRule="auto"/>
        <w:rPr>
          <w:rFonts w:ascii="Arial" w:hAnsi="Arial" w:cs="Arial"/>
        </w:rPr>
      </w:pPr>
    </w:p>
    <w:p w:rsidR="003C1632"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lastRenderedPageBreak/>
        <w:t>[49]</w:t>
      </w:r>
      <w:r w:rsidRPr="00DE4FBB">
        <w:rPr>
          <w:rFonts w:ascii="Arial" w:hAnsi="Arial" w:cs="Arial"/>
        </w:rPr>
        <w:tab/>
      </w:r>
      <w:r w:rsidR="009A3BC5" w:rsidRPr="00517F46">
        <w:rPr>
          <w:rFonts w:ascii="Arial" w:hAnsi="Arial" w:cs="Arial"/>
          <w:i/>
          <w:iCs/>
        </w:rPr>
        <w:t xml:space="preserve">Anglogold Ashanti </w:t>
      </w:r>
      <w:r w:rsidR="009A3BC5" w:rsidRPr="00517F46">
        <w:rPr>
          <w:rFonts w:ascii="Arial" w:hAnsi="Arial" w:cs="Arial"/>
        </w:rPr>
        <w:t xml:space="preserve">is not authority for construing ‘commencement of proceedings’ in the manner contended for by the respondents. </w:t>
      </w:r>
      <w:r w:rsidR="00D924BE" w:rsidRPr="00517F46">
        <w:rPr>
          <w:rFonts w:ascii="Arial" w:hAnsi="Arial" w:cs="Arial"/>
        </w:rPr>
        <w:t xml:space="preserve">Whilst there is a </w:t>
      </w:r>
      <w:r w:rsidR="00435586" w:rsidRPr="00517F46">
        <w:rPr>
          <w:rFonts w:ascii="Arial" w:hAnsi="Arial" w:cs="Arial"/>
        </w:rPr>
        <w:t>‘</w:t>
      </w:r>
      <w:r w:rsidR="00D63DBA" w:rsidRPr="00517F46">
        <w:rPr>
          <w:rFonts w:ascii="Arial" w:hAnsi="Arial" w:cs="Arial"/>
        </w:rPr>
        <w:t xml:space="preserve">degree of generality intrinsic in the phrase </w:t>
      </w:r>
      <w:r w:rsidR="00435586" w:rsidRPr="00517F46">
        <w:rPr>
          <w:rFonts w:ascii="Arial" w:hAnsi="Arial" w:cs="Arial"/>
        </w:rPr>
        <w:t>“</w:t>
      </w:r>
      <w:r w:rsidR="00D63DBA" w:rsidRPr="00517F46">
        <w:rPr>
          <w:rFonts w:ascii="Arial" w:hAnsi="Arial" w:cs="Arial"/>
        </w:rPr>
        <w:t xml:space="preserve">commencement of such </w:t>
      </w:r>
      <w:r w:rsidR="007F6A54" w:rsidRPr="00517F46">
        <w:rPr>
          <w:rFonts w:ascii="Arial" w:hAnsi="Arial" w:cs="Arial"/>
        </w:rPr>
        <w:t>…</w:t>
      </w:r>
      <w:r w:rsidR="00D63DBA" w:rsidRPr="00517F46">
        <w:rPr>
          <w:rFonts w:ascii="Arial" w:hAnsi="Arial" w:cs="Arial"/>
        </w:rPr>
        <w:t>proceedings</w:t>
      </w:r>
      <w:r w:rsidR="005E4CE2" w:rsidRPr="00517F46">
        <w:rPr>
          <w:rFonts w:ascii="Arial" w:hAnsi="Arial" w:cs="Arial"/>
        </w:rPr>
        <w:t>,</w:t>
      </w:r>
      <w:r w:rsidR="00435586" w:rsidRPr="00517F46">
        <w:rPr>
          <w:rFonts w:ascii="Arial" w:hAnsi="Arial" w:cs="Arial"/>
        </w:rPr>
        <w:t>”</w:t>
      </w:r>
      <w:r w:rsidR="005E4CE2" w:rsidRPr="00517F46">
        <w:rPr>
          <w:rFonts w:ascii="Arial" w:hAnsi="Arial" w:cs="Arial"/>
        </w:rPr>
        <w:t>’</w:t>
      </w:r>
      <w:r w:rsidR="00DB28F2" w:rsidRPr="00517F46">
        <w:rPr>
          <w:rFonts w:ascii="Arial" w:hAnsi="Arial" w:cs="Arial"/>
        </w:rPr>
        <w:t xml:space="preserve"> </w:t>
      </w:r>
      <w:r w:rsidR="00D63DBA" w:rsidRPr="00DE4FBB">
        <w:rPr>
          <w:rStyle w:val="FootnoteReference"/>
          <w:rFonts w:ascii="Arial" w:hAnsi="Arial" w:cs="Arial"/>
        </w:rPr>
        <w:footnoteReference w:id="22"/>
      </w:r>
      <w:r w:rsidR="00DF55B2" w:rsidRPr="00517F46">
        <w:rPr>
          <w:rFonts w:ascii="Arial" w:hAnsi="Arial" w:cs="Arial"/>
        </w:rPr>
        <w:t xml:space="preserve"> </w:t>
      </w:r>
      <w:r w:rsidR="00D924BE" w:rsidRPr="00517F46">
        <w:rPr>
          <w:rFonts w:ascii="Arial" w:hAnsi="Arial" w:cs="Arial"/>
        </w:rPr>
        <w:t>it is</w:t>
      </w:r>
      <w:r w:rsidR="00DF55B2" w:rsidRPr="00517F46">
        <w:rPr>
          <w:rFonts w:ascii="Arial" w:hAnsi="Arial" w:cs="Arial"/>
        </w:rPr>
        <w:t xml:space="preserve"> not</w:t>
      </w:r>
      <w:r w:rsidR="00435586" w:rsidRPr="00517F46">
        <w:rPr>
          <w:rFonts w:ascii="Arial" w:hAnsi="Arial" w:cs="Arial"/>
        </w:rPr>
        <w:t xml:space="preserve"> infinitely elastic</w:t>
      </w:r>
      <w:r w:rsidR="00E47F24" w:rsidRPr="00517F46">
        <w:rPr>
          <w:rFonts w:ascii="Arial" w:hAnsi="Arial" w:cs="Arial"/>
        </w:rPr>
        <w:t>.</w:t>
      </w:r>
    </w:p>
    <w:p w:rsidR="00CF20E8" w:rsidRPr="00DE4FBB" w:rsidRDefault="00CF20E8" w:rsidP="006B7081">
      <w:pPr>
        <w:spacing w:line="360" w:lineRule="auto"/>
        <w:rPr>
          <w:rFonts w:ascii="Arial" w:hAnsi="Arial" w:cs="Arial"/>
          <w:i/>
          <w:iCs/>
        </w:rPr>
      </w:pPr>
    </w:p>
    <w:p w:rsidR="00C127A8"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[50]</w:t>
      </w:r>
      <w:r w:rsidRPr="00DE4FBB">
        <w:rPr>
          <w:rFonts w:ascii="Arial" w:hAnsi="Arial" w:cs="Arial"/>
        </w:rPr>
        <w:tab/>
      </w:r>
      <w:r w:rsidR="00C127A8" w:rsidRPr="00517F46">
        <w:rPr>
          <w:rFonts w:ascii="Arial" w:hAnsi="Arial" w:cs="Arial"/>
        </w:rPr>
        <w:t>In accordance with the principle</w:t>
      </w:r>
      <w:r w:rsidR="00237A39" w:rsidRPr="00517F46">
        <w:rPr>
          <w:rFonts w:ascii="Arial" w:hAnsi="Arial" w:cs="Arial"/>
        </w:rPr>
        <w:t>s</w:t>
      </w:r>
      <w:r w:rsidR="000F7DD5" w:rsidRPr="00517F46">
        <w:rPr>
          <w:rFonts w:ascii="Arial" w:hAnsi="Arial" w:cs="Arial"/>
        </w:rPr>
        <w:t xml:space="preserve"> that a restrictive interpretation of section 7 is required and that its </w:t>
      </w:r>
      <w:r w:rsidR="00C127A8" w:rsidRPr="00517F46">
        <w:rPr>
          <w:rFonts w:ascii="Arial" w:hAnsi="Arial" w:cs="Arial"/>
        </w:rPr>
        <w:t xml:space="preserve">purpose </w:t>
      </w:r>
      <w:r w:rsidR="000F7DD5" w:rsidRPr="00517F46">
        <w:rPr>
          <w:rFonts w:ascii="Arial" w:hAnsi="Arial" w:cs="Arial"/>
        </w:rPr>
        <w:t xml:space="preserve">is </w:t>
      </w:r>
      <w:r w:rsidR="00C127A8" w:rsidRPr="00517F46">
        <w:rPr>
          <w:rFonts w:ascii="Arial" w:hAnsi="Arial" w:cs="Arial"/>
        </w:rPr>
        <w:t>to ensure that PAIA is not used to interfere with litigation or to obtain early discovery, save in exceptional circumstances,</w:t>
      </w:r>
      <w:r w:rsidR="00C127A8" w:rsidRPr="00DE4FBB">
        <w:rPr>
          <w:rStyle w:val="FootnoteReference"/>
          <w:rFonts w:ascii="Arial" w:hAnsi="Arial" w:cs="Arial"/>
        </w:rPr>
        <w:footnoteReference w:id="23"/>
      </w:r>
      <w:r w:rsidR="00C127A8" w:rsidRPr="00517F46">
        <w:rPr>
          <w:rFonts w:ascii="Arial" w:hAnsi="Arial" w:cs="Arial"/>
        </w:rPr>
        <w:t xml:space="preserve"> </w:t>
      </w:r>
      <w:r w:rsidR="005E4CE2" w:rsidRPr="00517F46">
        <w:rPr>
          <w:rFonts w:ascii="Arial" w:hAnsi="Arial" w:cs="Arial"/>
          <w:i/>
          <w:iCs/>
        </w:rPr>
        <w:t>Anglogold Ashanti</w:t>
      </w:r>
      <w:r w:rsidR="005E4CE2" w:rsidRPr="00517F46">
        <w:rPr>
          <w:rFonts w:ascii="Arial" w:hAnsi="Arial" w:cs="Arial"/>
        </w:rPr>
        <w:t xml:space="preserve"> made it clear that </w:t>
      </w:r>
      <w:r w:rsidR="00C127A8" w:rsidRPr="00517F46">
        <w:rPr>
          <w:rFonts w:ascii="Arial" w:hAnsi="Arial" w:cs="Arial"/>
        </w:rPr>
        <w:t>the earlier steps prior to the institution of litigation</w:t>
      </w:r>
      <w:r w:rsidR="005E4CE2" w:rsidRPr="00517F46">
        <w:rPr>
          <w:rFonts w:ascii="Arial" w:hAnsi="Arial" w:cs="Arial"/>
        </w:rPr>
        <w:t xml:space="preserve"> which might constitute the commencement of proceedings</w:t>
      </w:r>
      <w:r w:rsidR="00C127A8" w:rsidRPr="00517F46">
        <w:rPr>
          <w:rFonts w:ascii="Arial" w:hAnsi="Arial" w:cs="Arial"/>
        </w:rPr>
        <w:t xml:space="preserve"> are ‘litigious steps in pursuit of particular relief’</w:t>
      </w:r>
      <w:r w:rsidR="00237A39" w:rsidRPr="00517F46">
        <w:rPr>
          <w:rFonts w:ascii="Arial" w:hAnsi="Arial" w:cs="Arial"/>
        </w:rPr>
        <w:t>.</w:t>
      </w:r>
      <w:r w:rsidR="00C127A8" w:rsidRPr="00DE4FBB">
        <w:rPr>
          <w:rStyle w:val="FootnoteReference"/>
          <w:rFonts w:ascii="Arial" w:hAnsi="Arial" w:cs="Arial"/>
        </w:rPr>
        <w:footnoteReference w:id="24"/>
      </w:r>
      <w:r w:rsidR="00C127A8" w:rsidRPr="00517F46">
        <w:rPr>
          <w:rFonts w:ascii="Arial" w:hAnsi="Arial" w:cs="Arial"/>
        </w:rPr>
        <w:t xml:space="preserve"> Those </w:t>
      </w:r>
      <w:r w:rsidR="00237A39" w:rsidRPr="00517F46">
        <w:rPr>
          <w:rFonts w:ascii="Arial" w:hAnsi="Arial" w:cs="Arial"/>
        </w:rPr>
        <w:t xml:space="preserve">litigious </w:t>
      </w:r>
      <w:r w:rsidR="00C127A8" w:rsidRPr="00517F46">
        <w:rPr>
          <w:rFonts w:ascii="Arial" w:hAnsi="Arial" w:cs="Arial"/>
        </w:rPr>
        <w:t>steps must be evinced by ‘an outward and visible act’</w:t>
      </w:r>
      <w:r w:rsidR="00C127A8" w:rsidRPr="00DE4FBB">
        <w:rPr>
          <w:rStyle w:val="FootnoteReference"/>
          <w:rFonts w:ascii="Arial" w:hAnsi="Arial" w:cs="Arial"/>
        </w:rPr>
        <w:footnoteReference w:id="25"/>
      </w:r>
      <w:r w:rsidR="00C127A8" w:rsidRPr="00517F46">
        <w:rPr>
          <w:rFonts w:ascii="Arial" w:hAnsi="Arial" w:cs="Arial"/>
        </w:rPr>
        <w:t xml:space="preserve"> that marks the beginning of the proceedings. An outward manifestation is necessary as the determination of whether section 7 applies is objective.</w:t>
      </w:r>
      <w:r w:rsidR="00C127A8" w:rsidRPr="00DE4FBB">
        <w:rPr>
          <w:rStyle w:val="FootnoteReference"/>
          <w:rFonts w:ascii="Arial" w:hAnsi="Arial" w:cs="Arial"/>
        </w:rPr>
        <w:footnoteReference w:id="26"/>
      </w:r>
      <w:r w:rsidR="00C127A8" w:rsidRPr="00517F46">
        <w:rPr>
          <w:rFonts w:ascii="Arial" w:hAnsi="Arial" w:cs="Arial"/>
        </w:rPr>
        <w:t xml:space="preserve"> </w:t>
      </w:r>
    </w:p>
    <w:p w:rsidR="00C127A8" w:rsidRPr="00DE4FBB" w:rsidRDefault="00C127A8" w:rsidP="006B7081">
      <w:pPr>
        <w:pStyle w:val="ListParagraph"/>
        <w:autoSpaceDE w:val="0"/>
        <w:autoSpaceDN w:val="0"/>
        <w:adjustRightInd w:val="0"/>
        <w:spacing w:line="360" w:lineRule="auto"/>
        <w:ind w:left="851"/>
        <w:jc w:val="both"/>
        <w:rPr>
          <w:rFonts w:ascii="Arial" w:hAnsi="Arial" w:cs="Arial"/>
        </w:rPr>
      </w:pPr>
      <w:r w:rsidRPr="00DE4FBB">
        <w:rPr>
          <w:rFonts w:ascii="Arial" w:hAnsi="Arial" w:cs="Arial"/>
        </w:rPr>
        <w:t xml:space="preserve"> </w:t>
      </w:r>
    </w:p>
    <w:p w:rsidR="00C127A8"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[51]</w:t>
      </w:r>
      <w:r w:rsidRPr="00DE4FBB">
        <w:rPr>
          <w:rFonts w:ascii="Arial" w:hAnsi="Arial" w:cs="Arial"/>
        </w:rPr>
        <w:tab/>
      </w:r>
      <w:r w:rsidR="004D2E9D" w:rsidRPr="00517F46">
        <w:rPr>
          <w:rFonts w:ascii="Arial" w:hAnsi="Arial" w:cs="Arial"/>
        </w:rPr>
        <w:t>In</w:t>
      </w:r>
      <w:r w:rsidR="009A3BC5" w:rsidRPr="00517F46">
        <w:rPr>
          <w:rFonts w:ascii="Arial" w:hAnsi="Arial" w:cs="Arial"/>
        </w:rPr>
        <w:t xml:space="preserve"> </w:t>
      </w:r>
      <w:r w:rsidR="009A3BC5" w:rsidRPr="00517F46">
        <w:rPr>
          <w:rFonts w:ascii="Arial" w:hAnsi="Arial" w:cs="Arial"/>
          <w:i/>
          <w:iCs/>
        </w:rPr>
        <w:t>Anglogold Ashanti</w:t>
      </w:r>
      <w:r w:rsidR="009A3BC5" w:rsidRPr="00517F46">
        <w:rPr>
          <w:rFonts w:ascii="Arial" w:hAnsi="Arial" w:cs="Arial"/>
        </w:rPr>
        <w:t>, at the time the request for information was made, an application for the certification of a class was pending</w:t>
      </w:r>
      <w:r w:rsidR="004D2E9D" w:rsidRPr="00517F46">
        <w:rPr>
          <w:rFonts w:ascii="Arial" w:hAnsi="Arial" w:cs="Arial"/>
        </w:rPr>
        <w:t>. T</w:t>
      </w:r>
      <w:r w:rsidR="009A3BC5" w:rsidRPr="00517F46">
        <w:rPr>
          <w:rFonts w:ascii="Arial" w:hAnsi="Arial" w:cs="Arial"/>
        </w:rPr>
        <w:t>he request</w:t>
      </w:r>
      <w:r w:rsidR="004D2E9D" w:rsidRPr="00517F46">
        <w:rPr>
          <w:rFonts w:ascii="Arial" w:hAnsi="Arial" w:cs="Arial"/>
        </w:rPr>
        <w:t xml:space="preserve"> was </w:t>
      </w:r>
      <w:r w:rsidR="009A3BC5" w:rsidRPr="00517F46">
        <w:rPr>
          <w:rFonts w:ascii="Arial" w:hAnsi="Arial" w:cs="Arial"/>
        </w:rPr>
        <w:t xml:space="preserve">made with a view to enabling the requesters’ attorney who had been instructed to </w:t>
      </w:r>
      <w:r w:rsidR="009A6F7E" w:rsidRPr="00517F46">
        <w:rPr>
          <w:rFonts w:ascii="Arial" w:hAnsi="Arial" w:cs="Arial"/>
        </w:rPr>
        <w:t>pursue the prospects of a damages action against the holder of the information</w:t>
      </w:r>
      <w:r w:rsidR="005E4CE2" w:rsidRPr="00517F46">
        <w:rPr>
          <w:rFonts w:ascii="Arial" w:hAnsi="Arial" w:cs="Arial"/>
        </w:rPr>
        <w:t>,</w:t>
      </w:r>
      <w:r w:rsidR="009A6F7E" w:rsidRPr="00517F46">
        <w:rPr>
          <w:rFonts w:ascii="Arial" w:hAnsi="Arial" w:cs="Arial"/>
        </w:rPr>
        <w:t xml:space="preserve"> to advise on whether the</w:t>
      </w:r>
      <w:r w:rsidR="005E4CE2" w:rsidRPr="00517F46">
        <w:rPr>
          <w:rFonts w:ascii="Arial" w:hAnsi="Arial" w:cs="Arial"/>
        </w:rPr>
        <w:t xml:space="preserve"> applicants</w:t>
      </w:r>
      <w:r w:rsidR="009A6F7E" w:rsidRPr="00517F46">
        <w:rPr>
          <w:rFonts w:ascii="Arial" w:hAnsi="Arial" w:cs="Arial"/>
        </w:rPr>
        <w:t xml:space="preserve"> should bring an action or not and if so, whether t</w:t>
      </w:r>
      <w:r w:rsidR="00790B03" w:rsidRPr="00517F46">
        <w:rPr>
          <w:rFonts w:ascii="Arial" w:hAnsi="Arial" w:cs="Arial"/>
        </w:rPr>
        <w:t>o</w:t>
      </w:r>
      <w:r w:rsidR="009A6F7E" w:rsidRPr="00517F46">
        <w:rPr>
          <w:rFonts w:ascii="Arial" w:hAnsi="Arial" w:cs="Arial"/>
        </w:rPr>
        <w:t xml:space="preserve"> join in the class action which would ensue if the certification application were successful or to opt out. </w:t>
      </w:r>
      <w:r w:rsidR="009A3BC5" w:rsidRPr="00517F46">
        <w:rPr>
          <w:rFonts w:ascii="Arial" w:hAnsi="Arial" w:cs="Arial"/>
        </w:rPr>
        <w:t xml:space="preserve">Here, </w:t>
      </w:r>
      <w:r w:rsidR="009A6F7E" w:rsidRPr="00517F46">
        <w:rPr>
          <w:rFonts w:ascii="Arial" w:hAnsi="Arial" w:cs="Arial"/>
        </w:rPr>
        <w:t xml:space="preserve">by contrast, </w:t>
      </w:r>
      <w:r w:rsidR="009A3BC5" w:rsidRPr="00517F46">
        <w:rPr>
          <w:rFonts w:ascii="Arial" w:hAnsi="Arial" w:cs="Arial"/>
        </w:rPr>
        <w:t xml:space="preserve">at the time of the request in December 2021, there was no outward or visible act in the form of a litigious step in pursuit of the proceedings the applicant </w:t>
      </w:r>
      <w:r w:rsidR="00752F5A" w:rsidRPr="00517F46">
        <w:rPr>
          <w:rFonts w:ascii="Arial" w:hAnsi="Arial" w:cs="Arial"/>
        </w:rPr>
        <w:t xml:space="preserve">instituted the following year. </w:t>
      </w:r>
      <w:r w:rsidR="00C127A8" w:rsidRPr="00517F46">
        <w:rPr>
          <w:rFonts w:ascii="Arial" w:hAnsi="Arial" w:cs="Arial"/>
        </w:rPr>
        <w:t xml:space="preserve">Consequently, no objective determination that section 7 applied could have been made at the </w:t>
      </w:r>
      <w:r w:rsidR="00AF56F5" w:rsidRPr="00517F46">
        <w:rPr>
          <w:rFonts w:ascii="Arial" w:hAnsi="Arial" w:cs="Arial"/>
        </w:rPr>
        <w:t xml:space="preserve">time </w:t>
      </w:r>
      <w:r w:rsidR="00C127A8" w:rsidRPr="00517F46">
        <w:rPr>
          <w:rFonts w:ascii="Arial" w:hAnsi="Arial" w:cs="Arial"/>
        </w:rPr>
        <w:t>of the applicant’s initial request</w:t>
      </w:r>
      <w:r w:rsidR="005E4CE2" w:rsidRPr="00517F46">
        <w:rPr>
          <w:rFonts w:ascii="Arial" w:hAnsi="Arial" w:cs="Arial"/>
        </w:rPr>
        <w:t>.</w:t>
      </w:r>
      <w:r w:rsidR="00C127A8" w:rsidRPr="00517F46">
        <w:rPr>
          <w:rFonts w:ascii="Arial" w:hAnsi="Arial" w:cs="Arial"/>
        </w:rPr>
        <w:t xml:space="preserve"> </w:t>
      </w:r>
    </w:p>
    <w:p w:rsidR="00C127A8" w:rsidRPr="00DE4FBB" w:rsidRDefault="00C127A8" w:rsidP="006B7081">
      <w:pPr>
        <w:pStyle w:val="ListParagraph"/>
        <w:autoSpaceDE w:val="0"/>
        <w:autoSpaceDN w:val="0"/>
        <w:adjustRightInd w:val="0"/>
        <w:spacing w:line="360" w:lineRule="auto"/>
        <w:ind w:left="851"/>
        <w:jc w:val="both"/>
        <w:rPr>
          <w:rFonts w:ascii="Arial" w:hAnsi="Arial" w:cs="Arial"/>
        </w:rPr>
      </w:pPr>
    </w:p>
    <w:p w:rsidR="000F7DD5"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[52]</w:t>
      </w:r>
      <w:r w:rsidRPr="00DE4FBB">
        <w:rPr>
          <w:rFonts w:ascii="Arial" w:hAnsi="Arial" w:cs="Arial"/>
        </w:rPr>
        <w:tab/>
      </w:r>
      <w:r w:rsidR="000F7DD5" w:rsidRPr="00517F46">
        <w:rPr>
          <w:rFonts w:ascii="Arial" w:hAnsi="Arial" w:cs="Arial"/>
        </w:rPr>
        <w:t xml:space="preserve">There is an additional difficulty for the  respondents in this regard. </w:t>
      </w:r>
      <w:r w:rsidR="000F7DD5" w:rsidRPr="00517F46">
        <w:rPr>
          <w:rFonts w:ascii="Arial" w:hAnsi="Arial" w:cs="Arial"/>
          <w:i/>
          <w:iCs/>
        </w:rPr>
        <w:t xml:space="preserve">Anglogold Ashanti </w:t>
      </w:r>
      <w:r w:rsidR="000F7DD5" w:rsidRPr="00517F46">
        <w:rPr>
          <w:rFonts w:ascii="Arial" w:hAnsi="Arial" w:cs="Arial"/>
        </w:rPr>
        <w:t xml:space="preserve">stressed that the word ‘such’ in the phrase ‘commencement of such… proceedings’, should not be overlooked as it performed the important function of linking the proceedings in question with the purpose for which the request was </w:t>
      </w:r>
      <w:r w:rsidR="000F7DD5" w:rsidRPr="00517F46">
        <w:rPr>
          <w:rFonts w:ascii="Arial" w:hAnsi="Arial" w:cs="Arial"/>
        </w:rPr>
        <w:lastRenderedPageBreak/>
        <w:t>made.</w:t>
      </w:r>
      <w:r w:rsidR="000F7DD5" w:rsidRPr="00DE4FBB">
        <w:rPr>
          <w:rStyle w:val="FootnoteReference"/>
          <w:rFonts w:ascii="Arial" w:hAnsi="Arial" w:cs="Arial"/>
        </w:rPr>
        <w:footnoteReference w:id="27"/>
      </w:r>
      <w:r w:rsidR="000F7DD5" w:rsidRPr="00517F46">
        <w:rPr>
          <w:rFonts w:ascii="Arial" w:hAnsi="Arial" w:cs="Arial"/>
        </w:rPr>
        <w:t xml:space="preserve"> The court held that what was required was an objective determination of whether the information procured was to be used in relation to the participation of a person in </w:t>
      </w:r>
      <w:r w:rsidR="000F7DD5" w:rsidRPr="00517F46">
        <w:rPr>
          <w:rFonts w:ascii="Arial" w:hAnsi="Arial" w:cs="Arial"/>
          <w:i/>
          <w:iCs/>
        </w:rPr>
        <w:t>such</w:t>
      </w:r>
      <w:r w:rsidR="000F7DD5" w:rsidRPr="00517F46">
        <w:rPr>
          <w:rFonts w:ascii="Arial" w:hAnsi="Arial" w:cs="Arial"/>
        </w:rPr>
        <w:t xml:space="preserve"> proceedings. The respondents cannot demonstrate that link given their failure to refute the applicant’s </w:t>
      </w:r>
      <w:r w:rsidR="004566D9" w:rsidRPr="00517F46">
        <w:rPr>
          <w:rFonts w:ascii="Arial" w:hAnsi="Arial" w:cs="Arial"/>
        </w:rPr>
        <w:t xml:space="preserve">case that she required the documents for purposes other than the </w:t>
      </w:r>
      <w:r w:rsidR="005E4CE2" w:rsidRPr="00517F46">
        <w:rPr>
          <w:rFonts w:ascii="Arial" w:hAnsi="Arial" w:cs="Arial"/>
        </w:rPr>
        <w:t xml:space="preserve">reinstatement </w:t>
      </w:r>
      <w:r w:rsidR="004566D9" w:rsidRPr="00517F46">
        <w:rPr>
          <w:rFonts w:ascii="Arial" w:hAnsi="Arial" w:cs="Arial"/>
        </w:rPr>
        <w:t xml:space="preserve">application and still wishes to obtain them to clear her name. </w:t>
      </w:r>
    </w:p>
    <w:p w:rsidR="001A7A22" w:rsidRPr="00DE4FBB" w:rsidRDefault="001A7A22" w:rsidP="006B7081">
      <w:pPr>
        <w:pStyle w:val="ListParagraph"/>
        <w:autoSpaceDE w:val="0"/>
        <w:autoSpaceDN w:val="0"/>
        <w:adjustRightInd w:val="0"/>
        <w:spacing w:line="360" w:lineRule="auto"/>
        <w:ind w:left="851"/>
        <w:jc w:val="both"/>
        <w:rPr>
          <w:rFonts w:ascii="Arial" w:hAnsi="Arial" w:cs="Arial"/>
        </w:rPr>
      </w:pPr>
    </w:p>
    <w:p w:rsidR="0023370E" w:rsidRPr="00517F46" w:rsidRDefault="00517F46" w:rsidP="00517F46">
      <w:pPr>
        <w:autoSpaceDE w:val="0"/>
        <w:autoSpaceDN w:val="0"/>
        <w:adjustRightInd w:val="0"/>
        <w:spacing w:line="360" w:lineRule="auto"/>
        <w:jc w:val="both"/>
        <w:rPr>
          <w:rFonts w:ascii="Arial" w:hAnsi="Arial" w:cs="Arial"/>
        </w:rPr>
      </w:pPr>
      <w:r w:rsidRPr="005E4CE2">
        <w:rPr>
          <w:rFonts w:ascii="Arial" w:hAnsi="Arial" w:cs="Arial"/>
        </w:rPr>
        <w:t>[53]</w:t>
      </w:r>
      <w:r w:rsidRPr="005E4CE2">
        <w:rPr>
          <w:rFonts w:ascii="Arial" w:hAnsi="Arial" w:cs="Arial"/>
        </w:rPr>
        <w:tab/>
      </w:r>
      <w:r w:rsidR="00EA1B19" w:rsidRPr="00517F46">
        <w:rPr>
          <w:rFonts w:ascii="Arial" w:hAnsi="Arial" w:cs="Arial"/>
        </w:rPr>
        <w:t>The respondents</w:t>
      </w:r>
      <w:r w:rsidR="00120C88" w:rsidRPr="00517F46">
        <w:rPr>
          <w:rFonts w:ascii="Arial" w:hAnsi="Arial" w:cs="Arial"/>
        </w:rPr>
        <w:t xml:space="preserve"> rightly </w:t>
      </w:r>
      <w:r w:rsidR="00EA1B19" w:rsidRPr="00517F46">
        <w:rPr>
          <w:rFonts w:ascii="Arial" w:hAnsi="Arial" w:cs="Arial"/>
        </w:rPr>
        <w:t xml:space="preserve">did not argue that </w:t>
      </w:r>
      <w:r w:rsidR="00120C88" w:rsidRPr="00517F46">
        <w:rPr>
          <w:rFonts w:ascii="Arial" w:hAnsi="Arial" w:cs="Arial"/>
        </w:rPr>
        <w:t xml:space="preserve">the language of </w:t>
      </w:r>
      <w:r w:rsidR="00EA1B19" w:rsidRPr="00517F46">
        <w:rPr>
          <w:rFonts w:ascii="Arial" w:hAnsi="Arial" w:cs="Arial"/>
        </w:rPr>
        <w:t xml:space="preserve">section 7 could be </w:t>
      </w:r>
      <w:r w:rsidR="00120C88" w:rsidRPr="00517F46">
        <w:rPr>
          <w:rFonts w:ascii="Arial" w:hAnsi="Arial" w:cs="Arial"/>
        </w:rPr>
        <w:t xml:space="preserve">disregarded </w:t>
      </w:r>
      <w:r w:rsidR="00EA1B19" w:rsidRPr="00517F46">
        <w:rPr>
          <w:rFonts w:ascii="Arial" w:hAnsi="Arial" w:cs="Arial"/>
        </w:rPr>
        <w:t xml:space="preserve">so as </w:t>
      </w:r>
      <w:r w:rsidR="005E4CE2" w:rsidRPr="00517F46">
        <w:rPr>
          <w:rFonts w:ascii="Arial" w:hAnsi="Arial" w:cs="Arial"/>
        </w:rPr>
        <w:t>to eliminate</w:t>
      </w:r>
      <w:r w:rsidR="00EA1B19" w:rsidRPr="00517F46">
        <w:rPr>
          <w:rFonts w:ascii="Arial" w:hAnsi="Arial" w:cs="Arial"/>
        </w:rPr>
        <w:t xml:space="preserve"> the requirement that the request be made before the commencement of proceedings</w:t>
      </w:r>
      <w:r w:rsidR="004F501F" w:rsidRPr="00517F46">
        <w:rPr>
          <w:rFonts w:ascii="Arial" w:hAnsi="Arial" w:cs="Arial"/>
        </w:rPr>
        <w:t xml:space="preserve"> </w:t>
      </w:r>
      <w:r w:rsidR="004566D9" w:rsidRPr="00517F46">
        <w:rPr>
          <w:rFonts w:ascii="Arial" w:hAnsi="Arial" w:cs="Arial"/>
        </w:rPr>
        <w:t xml:space="preserve">in circumstances where </w:t>
      </w:r>
      <w:r w:rsidR="00120C88" w:rsidRPr="00517F46">
        <w:rPr>
          <w:rFonts w:ascii="Arial" w:hAnsi="Arial" w:cs="Arial"/>
        </w:rPr>
        <w:t xml:space="preserve">proceedings </w:t>
      </w:r>
      <w:r w:rsidR="004566D9" w:rsidRPr="00517F46">
        <w:rPr>
          <w:rFonts w:ascii="Arial" w:hAnsi="Arial" w:cs="Arial"/>
        </w:rPr>
        <w:t xml:space="preserve">are </w:t>
      </w:r>
      <w:r w:rsidR="00120C88" w:rsidRPr="00517F46">
        <w:rPr>
          <w:rFonts w:ascii="Arial" w:hAnsi="Arial" w:cs="Arial"/>
        </w:rPr>
        <w:t xml:space="preserve"> instituted subsequent to the request</w:t>
      </w:r>
      <w:r w:rsidR="004566D9" w:rsidRPr="00517F46">
        <w:rPr>
          <w:rFonts w:ascii="Arial" w:hAnsi="Arial" w:cs="Arial"/>
        </w:rPr>
        <w:t>,</w:t>
      </w:r>
      <w:r w:rsidR="004F501F" w:rsidRPr="00517F46">
        <w:rPr>
          <w:rFonts w:ascii="Arial" w:hAnsi="Arial" w:cs="Arial"/>
        </w:rPr>
        <w:t xml:space="preserve"> </w:t>
      </w:r>
      <w:r w:rsidR="005E4CE2" w:rsidRPr="00517F46">
        <w:rPr>
          <w:rFonts w:ascii="Arial" w:hAnsi="Arial" w:cs="Arial"/>
        </w:rPr>
        <w:t xml:space="preserve">merely </w:t>
      </w:r>
      <w:r w:rsidR="004F501F" w:rsidRPr="00517F46">
        <w:rPr>
          <w:rFonts w:ascii="Arial" w:hAnsi="Arial" w:cs="Arial"/>
        </w:rPr>
        <w:t xml:space="preserve">because </w:t>
      </w:r>
      <w:r w:rsidR="00120C88" w:rsidRPr="00517F46">
        <w:rPr>
          <w:rFonts w:ascii="Arial" w:hAnsi="Arial" w:cs="Arial"/>
        </w:rPr>
        <w:t xml:space="preserve">the purpose of section 7 is to prevent </w:t>
      </w:r>
      <w:r w:rsidR="00120C88" w:rsidRPr="00517F46">
        <w:rPr>
          <w:rFonts w:ascii="Arial" w:hAnsi="Arial" w:cs="Arial"/>
          <w:color w:val="000000"/>
        </w:rPr>
        <w:t>a dual system of access to documents and information that would be disruptive to court proceedings.</w:t>
      </w:r>
      <w:r w:rsidR="004F501F" w:rsidRPr="00DE4FBB">
        <w:rPr>
          <w:rStyle w:val="FootnoteReference"/>
          <w:rFonts w:ascii="Arial" w:hAnsi="Arial" w:cs="Arial"/>
          <w:color w:val="000000"/>
        </w:rPr>
        <w:footnoteReference w:id="28"/>
      </w:r>
      <w:r w:rsidR="00120C88" w:rsidRPr="00517F46">
        <w:rPr>
          <w:rFonts w:ascii="Arial" w:hAnsi="Arial" w:cs="Arial"/>
          <w:color w:val="000000"/>
        </w:rPr>
        <w:t xml:space="preserve"> </w:t>
      </w:r>
      <w:r w:rsidR="004F501F" w:rsidRPr="00517F46">
        <w:rPr>
          <w:rFonts w:ascii="Arial" w:hAnsi="Arial" w:cs="Arial"/>
          <w:color w:val="000000"/>
        </w:rPr>
        <w:t xml:space="preserve">Not only would such a </w:t>
      </w:r>
      <w:r w:rsidR="00AF56F5" w:rsidRPr="00517F46">
        <w:rPr>
          <w:rFonts w:ascii="Arial" w:hAnsi="Arial" w:cs="Arial"/>
          <w:color w:val="000000"/>
        </w:rPr>
        <w:t xml:space="preserve">construction </w:t>
      </w:r>
      <w:r w:rsidR="004F501F" w:rsidRPr="00517F46">
        <w:rPr>
          <w:rFonts w:ascii="Arial" w:hAnsi="Arial" w:cs="Arial"/>
          <w:color w:val="000000"/>
        </w:rPr>
        <w:t>do unjustifiable violence to the language of the provision,</w:t>
      </w:r>
      <w:r w:rsidR="004566D9" w:rsidRPr="00517F46">
        <w:rPr>
          <w:rFonts w:ascii="Arial" w:hAnsi="Arial" w:cs="Arial"/>
          <w:color w:val="000000"/>
        </w:rPr>
        <w:t xml:space="preserve"> in a hearing </w:t>
      </w:r>
      <w:r w:rsidR="004566D9" w:rsidRPr="00517F46">
        <w:rPr>
          <w:rFonts w:ascii="Arial" w:hAnsi="Arial" w:cs="Arial"/>
          <w:i/>
          <w:iCs/>
          <w:color w:val="000000"/>
        </w:rPr>
        <w:t>de novo</w:t>
      </w:r>
      <w:r w:rsidR="004566D9" w:rsidRPr="00517F46">
        <w:rPr>
          <w:rFonts w:ascii="Arial" w:hAnsi="Arial" w:cs="Arial"/>
          <w:color w:val="000000"/>
        </w:rPr>
        <w:t xml:space="preserve"> after the dismissal of those proceedings,</w:t>
      </w:r>
      <w:r w:rsidR="004F501F" w:rsidRPr="00517F46">
        <w:rPr>
          <w:rFonts w:ascii="Arial" w:hAnsi="Arial" w:cs="Arial"/>
          <w:color w:val="000000"/>
        </w:rPr>
        <w:t xml:space="preserve"> </w:t>
      </w:r>
      <w:r w:rsidR="00AF56F5" w:rsidRPr="00517F46">
        <w:rPr>
          <w:rFonts w:ascii="Arial" w:hAnsi="Arial" w:cs="Arial"/>
          <w:color w:val="000000"/>
        </w:rPr>
        <w:t>it</w:t>
      </w:r>
      <w:r w:rsidR="004F501F" w:rsidRPr="00517F46">
        <w:rPr>
          <w:rFonts w:ascii="Arial" w:hAnsi="Arial" w:cs="Arial"/>
          <w:color w:val="000000"/>
        </w:rPr>
        <w:t xml:space="preserve"> would not </w:t>
      </w:r>
      <w:r w:rsidR="004566D9" w:rsidRPr="00517F46">
        <w:rPr>
          <w:rFonts w:ascii="Arial" w:hAnsi="Arial" w:cs="Arial"/>
          <w:color w:val="000000"/>
        </w:rPr>
        <w:t xml:space="preserve">serve the purpose to which section 7 is directed. </w:t>
      </w:r>
    </w:p>
    <w:p w:rsidR="005E4CE2" w:rsidRPr="00DE4FBB" w:rsidRDefault="005E4CE2" w:rsidP="005E4CE2">
      <w:pPr>
        <w:pStyle w:val="ListParagraph"/>
        <w:autoSpaceDE w:val="0"/>
        <w:autoSpaceDN w:val="0"/>
        <w:adjustRightInd w:val="0"/>
        <w:spacing w:line="360" w:lineRule="auto"/>
        <w:ind w:left="0"/>
        <w:jc w:val="both"/>
        <w:rPr>
          <w:rFonts w:ascii="Arial" w:hAnsi="Arial" w:cs="Arial"/>
        </w:rPr>
      </w:pPr>
    </w:p>
    <w:p w:rsidR="002229BD"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[54]</w:t>
      </w:r>
      <w:r w:rsidRPr="00DE4FBB">
        <w:rPr>
          <w:rFonts w:ascii="Arial" w:hAnsi="Arial" w:cs="Arial"/>
        </w:rPr>
        <w:tab/>
      </w:r>
      <w:r w:rsidR="002229BD" w:rsidRPr="00517F46">
        <w:rPr>
          <w:rFonts w:ascii="Arial" w:hAnsi="Arial" w:cs="Arial"/>
        </w:rPr>
        <w:t>It follows that the respondents’ rel</w:t>
      </w:r>
      <w:r w:rsidR="00B54271" w:rsidRPr="00517F46">
        <w:rPr>
          <w:rFonts w:ascii="Arial" w:hAnsi="Arial" w:cs="Arial"/>
        </w:rPr>
        <w:t>iance</w:t>
      </w:r>
      <w:r w:rsidR="002229BD" w:rsidRPr="00517F46">
        <w:rPr>
          <w:rFonts w:ascii="Arial" w:hAnsi="Arial" w:cs="Arial"/>
        </w:rPr>
        <w:t xml:space="preserve"> on section 7 </w:t>
      </w:r>
      <w:r w:rsidR="00216BBD" w:rsidRPr="00517F46">
        <w:rPr>
          <w:rFonts w:ascii="Arial" w:hAnsi="Arial" w:cs="Arial"/>
        </w:rPr>
        <w:t>to</w:t>
      </w:r>
      <w:r w:rsidR="002229BD" w:rsidRPr="00517F46">
        <w:rPr>
          <w:rFonts w:ascii="Arial" w:hAnsi="Arial" w:cs="Arial"/>
        </w:rPr>
        <w:t xml:space="preserve"> resist disclosure is misplaced.</w:t>
      </w:r>
    </w:p>
    <w:p w:rsidR="00492148" w:rsidRPr="00DE4FBB" w:rsidRDefault="00492148" w:rsidP="006B7081">
      <w:pPr>
        <w:pStyle w:val="ListParagraph"/>
        <w:spacing w:line="360" w:lineRule="auto"/>
        <w:rPr>
          <w:rFonts w:ascii="Arial" w:hAnsi="Arial" w:cs="Arial"/>
        </w:rPr>
      </w:pPr>
    </w:p>
    <w:p w:rsidR="002229BD" w:rsidRPr="00DE4FBB" w:rsidRDefault="00752F5A" w:rsidP="006B7081">
      <w:pPr>
        <w:autoSpaceDE w:val="0"/>
        <w:autoSpaceDN w:val="0"/>
        <w:adjustRightInd w:val="0"/>
        <w:spacing w:line="360" w:lineRule="auto"/>
        <w:jc w:val="both"/>
        <w:rPr>
          <w:rFonts w:ascii="Arial" w:hAnsi="Arial" w:cs="Arial"/>
          <w:b/>
          <w:bCs/>
        </w:rPr>
      </w:pPr>
      <w:r w:rsidRPr="00DE4FBB">
        <w:rPr>
          <w:rFonts w:ascii="Arial" w:hAnsi="Arial" w:cs="Arial"/>
          <w:b/>
          <w:bCs/>
        </w:rPr>
        <w:t>S</w:t>
      </w:r>
      <w:r w:rsidR="00F93E1A" w:rsidRPr="00DE4FBB">
        <w:rPr>
          <w:rFonts w:ascii="Arial" w:hAnsi="Arial" w:cs="Arial"/>
          <w:b/>
          <w:bCs/>
        </w:rPr>
        <w:t>ection 44</w:t>
      </w:r>
      <w:r w:rsidRPr="00DE4FBB">
        <w:rPr>
          <w:rFonts w:ascii="Arial" w:hAnsi="Arial" w:cs="Arial"/>
          <w:b/>
          <w:bCs/>
        </w:rPr>
        <w:t xml:space="preserve">: reports </w:t>
      </w:r>
      <w:r w:rsidR="0071443B" w:rsidRPr="00DE4FBB">
        <w:rPr>
          <w:rFonts w:ascii="Arial" w:hAnsi="Arial" w:cs="Arial"/>
          <w:b/>
          <w:bCs/>
        </w:rPr>
        <w:t xml:space="preserve"> for purposes of making decisions </w:t>
      </w:r>
    </w:p>
    <w:p w:rsidR="00F93E1A" w:rsidRPr="00DE4FBB" w:rsidRDefault="00F93E1A" w:rsidP="006B7081">
      <w:pPr>
        <w:spacing w:line="360" w:lineRule="auto"/>
        <w:rPr>
          <w:rFonts w:ascii="Arial" w:hAnsi="Arial" w:cs="Arial"/>
        </w:rPr>
      </w:pPr>
    </w:p>
    <w:p w:rsidR="00F93E1A"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[55]</w:t>
      </w:r>
      <w:r w:rsidRPr="00DE4FBB">
        <w:rPr>
          <w:rFonts w:ascii="Arial" w:hAnsi="Arial" w:cs="Arial"/>
        </w:rPr>
        <w:tab/>
      </w:r>
      <w:r w:rsidR="004315D3" w:rsidRPr="00517F46">
        <w:rPr>
          <w:rFonts w:ascii="Arial" w:hAnsi="Arial" w:cs="Arial"/>
        </w:rPr>
        <w:t>In their answering affidavit, t</w:t>
      </w:r>
      <w:r w:rsidR="00F93E1A" w:rsidRPr="00517F46">
        <w:rPr>
          <w:rFonts w:ascii="Arial" w:hAnsi="Arial" w:cs="Arial"/>
        </w:rPr>
        <w:t>he respondents rely on section 44</w:t>
      </w:r>
      <w:r w:rsidR="00E43DD4" w:rsidRPr="00517F46">
        <w:rPr>
          <w:rFonts w:ascii="Arial" w:hAnsi="Arial" w:cs="Arial"/>
        </w:rPr>
        <w:t>(1)(a)(i) and (ii)</w:t>
      </w:r>
      <w:r w:rsidR="00F93E1A" w:rsidRPr="00517F46">
        <w:rPr>
          <w:rFonts w:ascii="Arial" w:hAnsi="Arial" w:cs="Arial"/>
        </w:rPr>
        <w:t xml:space="preserve"> of PAIA to </w:t>
      </w:r>
      <w:r w:rsidR="00AF56F5" w:rsidRPr="00517F46">
        <w:rPr>
          <w:rFonts w:ascii="Arial" w:hAnsi="Arial" w:cs="Arial"/>
        </w:rPr>
        <w:t xml:space="preserve">justify their </w:t>
      </w:r>
      <w:r w:rsidR="00F93E1A" w:rsidRPr="00517F46">
        <w:rPr>
          <w:rFonts w:ascii="Arial" w:hAnsi="Arial" w:cs="Arial"/>
        </w:rPr>
        <w:t xml:space="preserve">refuse </w:t>
      </w:r>
      <w:r w:rsidR="00AF56F5" w:rsidRPr="00517F46">
        <w:rPr>
          <w:rFonts w:ascii="Arial" w:hAnsi="Arial" w:cs="Arial"/>
        </w:rPr>
        <w:t xml:space="preserve">to grant </w:t>
      </w:r>
      <w:r w:rsidR="00F93E1A" w:rsidRPr="00517F46">
        <w:rPr>
          <w:rFonts w:ascii="Arial" w:hAnsi="Arial" w:cs="Arial"/>
        </w:rPr>
        <w:t xml:space="preserve">access to </w:t>
      </w:r>
      <w:r w:rsidR="00426243" w:rsidRPr="00517F46">
        <w:rPr>
          <w:rFonts w:ascii="Arial" w:hAnsi="Arial" w:cs="Arial"/>
        </w:rPr>
        <w:t xml:space="preserve">the </w:t>
      </w:r>
      <w:r w:rsidR="00F93E1A" w:rsidRPr="00517F46">
        <w:rPr>
          <w:rFonts w:ascii="Arial" w:hAnsi="Arial" w:cs="Arial"/>
        </w:rPr>
        <w:t>investigation reports and the PEC meeting</w:t>
      </w:r>
      <w:r w:rsidR="00AF56F5" w:rsidRPr="00517F46">
        <w:rPr>
          <w:rFonts w:ascii="Arial" w:hAnsi="Arial" w:cs="Arial"/>
        </w:rPr>
        <w:t xml:space="preserve"> records</w:t>
      </w:r>
      <w:r w:rsidR="00880CE4" w:rsidRPr="00517F46">
        <w:rPr>
          <w:rFonts w:ascii="Arial" w:hAnsi="Arial" w:cs="Arial"/>
        </w:rPr>
        <w:t xml:space="preserve">. </w:t>
      </w:r>
      <w:r w:rsidR="00AB6053" w:rsidRPr="00517F46">
        <w:rPr>
          <w:rFonts w:ascii="Arial" w:hAnsi="Arial" w:cs="Arial"/>
        </w:rPr>
        <w:t xml:space="preserve">In dealing with the initial request for information and the appeal, neither the Director-General nor the Premier relied on section 44(1) to justify withholding the records relating to the PEC meeting, they relied only on section 12. </w:t>
      </w:r>
      <w:r w:rsidR="007667CD" w:rsidRPr="00517F46">
        <w:rPr>
          <w:rFonts w:ascii="Arial" w:hAnsi="Arial" w:cs="Arial"/>
        </w:rPr>
        <w:t>T</w:t>
      </w:r>
      <w:r w:rsidR="00E43DD4" w:rsidRPr="00517F46">
        <w:rPr>
          <w:rFonts w:ascii="Arial" w:hAnsi="Arial" w:cs="Arial"/>
        </w:rPr>
        <w:t>he</w:t>
      </w:r>
      <w:r w:rsidR="00752F5A" w:rsidRPr="00517F46">
        <w:rPr>
          <w:rFonts w:ascii="Arial" w:hAnsi="Arial" w:cs="Arial"/>
        </w:rPr>
        <w:t xml:space="preserve"> Director-General</w:t>
      </w:r>
      <w:r w:rsidR="00E43DD4" w:rsidRPr="00517F46">
        <w:rPr>
          <w:rFonts w:ascii="Arial" w:hAnsi="Arial" w:cs="Arial"/>
        </w:rPr>
        <w:t xml:space="preserve"> also relied on section 44(2)</w:t>
      </w:r>
      <w:r w:rsidR="00A20883" w:rsidRPr="00517F46">
        <w:rPr>
          <w:rFonts w:ascii="Arial" w:hAnsi="Arial" w:cs="Arial"/>
        </w:rPr>
        <w:t>(b)</w:t>
      </w:r>
      <w:r w:rsidR="005E4CE2" w:rsidRPr="00517F46">
        <w:rPr>
          <w:rFonts w:ascii="Arial" w:hAnsi="Arial" w:cs="Arial"/>
        </w:rPr>
        <w:t xml:space="preserve"> as grounds for refusing access to the investigation reports.</w:t>
      </w:r>
      <w:r w:rsidR="00AB6053" w:rsidRPr="00517F46">
        <w:rPr>
          <w:rFonts w:ascii="Arial" w:hAnsi="Arial" w:cs="Arial"/>
        </w:rPr>
        <w:t xml:space="preserve"> </w:t>
      </w:r>
    </w:p>
    <w:p w:rsidR="00820473" w:rsidRDefault="00820473" w:rsidP="006B7081">
      <w:pPr>
        <w:pStyle w:val="ListParagraph"/>
        <w:tabs>
          <w:tab w:val="left" w:pos="6946"/>
        </w:tabs>
        <w:autoSpaceDE w:val="0"/>
        <w:autoSpaceDN w:val="0"/>
        <w:adjustRightInd w:val="0"/>
        <w:spacing w:line="360" w:lineRule="auto"/>
        <w:ind w:left="851"/>
        <w:jc w:val="both"/>
        <w:rPr>
          <w:rFonts w:ascii="Arial" w:hAnsi="Arial" w:cs="Arial"/>
        </w:rPr>
      </w:pPr>
    </w:p>
    <w:p w:rsidR="000A7BD4" w:rsidRDefault="000A7BD4" w:rsidP="006B7081">
      <w:pPr>
        <w:pStyle w:val="ListParagraph"/>
        <w:tabs>
          <w:tab w:val="left" w:pos="6946"/>
        </w:tabs>
        <w:autoSpaceDE w:val="0"/>
        <w:autoSpaceDN w:val="0"/>
        <w:adjustRightInd w:val="0"/>
        <w:spacing w:line="360" w:lineRule="auto"/>
        <w:ind w:left="851"/>
        <w:jc w:val="both"/>
        <w:rPr>
          <w:rFonts w:ascii="Arial" w:hAnsi="Arial" w:cs="Arial"/>
        </w:rPr>
      </w:pPr>
    </w:p>
    <w:p w:rsidR="000A7BD4" w:rsidRPr="00DE4FBB" w:rsidRDefault="000A7BD4" w:rsidP="006B7081">
      <w:pPr>
        <w:pStyle w:val="ListParagraph"/>
        <w:tabs>
          <w:tab w:val="left" w:pos="6946"/>
        </w:tabs>
        <w:autoSpaceDE w:val="0"/>
        <w:autoSpaceDN w:val="0"/>
        <w:adjustRightInd w:val="0"/>
        <w:spacing w:line="360" w:lineRule="auto"/>
        <w:ind w:left="851"/>
        <w:jc w:val="both"/>
        <w:rPr>
          <w:rFonts w:ascii="Arial" w:hAnsi="Arial" w:cs="Arial"/>
        </w:rPr>
      </w:pPr>
    </w:p>
    <w:p w:rsidR="000A7BD4" w:rsidRPr="00517F46" w:rsidRDefault="00517F46" w:rsidP="00517F46">
      <w:pPr>
        <w:tabs>
          <w:tab w:val="left" w:pos="6946"/>
        </w:tabs>
        <w:autoSpaceDE w:val="0"/>
        <w:autoSpaceDN w:val="0"/>
        <w:adjustRightInd w:val="0"/>
        <w:spacing w:line="360" w:lineRule="auto"/>
        <w:ind w:left="851" w:right="708" w:hanging="851"/>
        <w:jc w:val="both"/>
        <w:rPr>
          <w:rFonts w:ascii="Verdana" w:eastAsia="Verdana" w:hAnsi="Verdana" w:cs="Verdana"/>
          <w:color w:val="000000"/>
          <w:kern w:val="2"/>
          <w:sz w:val="17"/>
          <w:szCs w:val="22"/>
          <w:lang w:eastAsia="en-ZA"/>
          <w14:ligatures w14:val="standardContextual"/>
        </w:rPr>
      </w:pPr>
      <w:r w:rsidRPr="000A7BD4">
        <w:rPr>
          <w:rFonts w:ascii="Arial" w:eastAsia="Verdana" w:hAnsi="Arial" w:cs="Arial"/>
          <w:color w:val="000000"/>
          <w:kern w:val="2"/>
          <w:lang w:eastAsia="en-ZA"/>
          <w14:ligatures w14:val="standardContextual"/>
        </w:rPr>
        <w:lastRenderedPageBreak/>
        <w:t>[56]</w:t>
      </w:r>
      <w:r w:rsidRPr="000A7BD4">
        <w:rPr>
          <w:rFonts w:ascii="Arial" w:eastAsia="Verdana" w:hAnsi="Arial" w:cs="Arial"/>
          <w:color w:val="000000"/>
          <w:kern w:val="2"/>
          <w:lang w:eastAsia="en-ZA"/>
          <w14:ligatures w14:val="standardContextual"/>
        </w:rPr>
        <w:tab/>
      </w:r>
      <w:r w:rsidR="00E43DD4" w:rsidRPr="00517F46">
        <w:rPr>
          <w:rFonts w:ascii="Arial" w:hAnsi="Arial" w:cs="Arial"/>
        </w:rPr>
        <w:t xml:space="preserve">Section 44 </w:t>
      </w:r>
      <w:r w:rsidR="00FA3120" w:rsidRPr="00517F46">
        <w:rPr>
          <w:rFonts w:ascii="Arial" w:hAnsi="Arial" w:cs="Arial"/>
        </w:rPr>
        <w:t>reads in relevant part as follows:-</w:t>
      </w:r>
    </w:p>
    <w:p w:rsidR="00C71E5B" w:rsidRPr="007577FB" w:rsidRDefault="004315D3" w:rsidP="00B45F56">
      <w:pPr>
        <w:pStyle w:val="ListParagraph"/>
        <w:tabs>
          <w:tab w:val="left" w:pos="6946"/>
        </w:tabs>
        <w:autoSpaceDE w:val="0"/>
        <w:autoSpaceDN w:val="0"/>
        <w:adjustRightInd w:val="0"/>
        <w:ind w:left="851" w:right="708" w:firstLine="567"/>
        <w:jc w:val="both"/>
        <w:rPr>
          <w:rFonts w:ascii="Arial" w:eastAsia="Verdana" w:hAnsi="Arial" w:cs="Arial"/>
          <w:color w:val="000000"/>
          <w:kern w:val="2"/>
          <w:sz w:val="22"/>
          <w:szCs w:val="22"/>
          <w:lang w:eastAsia="en-ZA"/>
          <w14:ligatures w14:val="standardContextual"/>
        </w:rPr>
      </w:pPr>
      <w:r w:rsidRPr="007577FB">
        <w:rPr>
          <w:rFonts w:ascii="Arial" w:hAnsi="Arial" w:cs="Arial"/>
          <w:b/>
          <w:bCs/>
          <w:sz w:val="22"/>
          <w:szCs w:val="22"/>
        </w:rPr>
        <w:t>‘</w:t>
      </w:r>
      <w:r w:rsidR="00534079" w:rsidRPr="007577FB">
        <w:rPr>
          <w:rFonts w:ascii="Arial" w:eastAsia="Verdana" w:hAnsi="Arial" w:cs="Arial"/>
          <w:b/>
          <w:color w:val="000000"/>
          <w:kern w:val="2"/>
          <w:sz w:val="22"/>
          <w:szCs w:val="22"/>
          <w:lang w:eastAsia="en-ZA"/>
          <w14:ligatures w14:val="standardContextual"/>
        </w:rPr>
        <w:t>44.   Operations of public bodies.</w:t>
      </w:r>
      <w:r w:rsidR="00534079" w:rsidRPr="007577FB">
        <w:rPr>
          <w:rFonts w:ascii="Arial" w:eastAsia="Verdana" w:hAnsi="Arial" w:cs="Arial"/>
          <w:color w:val="000000"/>
          <w:kern w:val="2"/>
          <w:sz w:val="22"/>
          <w:szCs w:val="22"/>
          <w:lang w:eastAsia="en-ZA"/>
          <w14:ligatures w14:val="standardContextual"/>
        </w:rPr>
        <w:t xml:space="preserve">—(1)  </w:t>
      </w:r>
      <w:r w:rsidR="000A7BD4" w:rsidRPr="007577FB">
        <w:rPr>
          <w:rFonts w:ascii="Arial" w:eastAsia="Verdana" w:hAnsi="Arial" w:cs="Arial"/>
          <w:color w:val="000000"/>
          <w:kern w:val="2"/>
          <w:sz w:val="22"/>
          <w:szCs w:val="22"/>
          <w:lang w:eastAsia="en-ZA"/>
          <w14:ligatures w14:val="standardContextual"/>
        </w:rPr>
        <w:t>…</w:t>
      </w:r>
      <w:r w:rsidR="00534079" w:rsidRPr="007577FB">
        <w:rPr>
          <w:rFonts w:ascii="Arial" w:eastAsia="Verdana" w:hAnsi="Arial" w:cs="Arial"/>
          <w:color w:val="000000"/>
          <w:kern w:val="2"/>
          <w:sz w:val="22"/>
          <w:szCs w:val="22"/>
          <w:lang w:eastAsia="en-ZA"/>
          <w14:ligatures w14:val="standardContextual"/>
        </w:rPr>
        <w:t xml:space="preserve"> the information officer of a public body may refuse a request for access to a record of the body—</w:t>
      </w:r>
    </w:p>
    <w:p w:rsidR="00C71E5B" w:rsidRPr="007577FB" w:rsidRDefault="00C71E5B" w:rsidP="00C71E5B">
      <w:pPr>
        <w:pStyle w:val="ListParagraph"/>
        <w:tabs>
          <w:tab w:val="left" w:pos="6946"/>
        </w:tabs>
        <w:autoSpaceDE w:val="0"/>
        <w:autoSpaceDN w:val="0"/>
        <w:adjustRightInd w:val="0"/>
        <w:ind w:left="1134" w:right="708" w:firstLine="284"/>
        <w:jc w:val="both"/>
        <w:rPr>
          <w:rFonts w:ascii="Arial" w:eastAsia="Verdana" w:hAnsi="Arial" w:cs="Arial"/>
          <w:color w:val="000000"/>
          <w:kern w:val="2"/>
          <w:sz w:val="22"/>
          <w:szCs w:val="22"/>
          <w:lang w:eastAsia="en-ZA"/>
          <w14:ligatures w14:val="standardContextual"/>
        </w:rPr>
      </w:pPr>
    </w:p>
    <w:p w:rsidR="00534079" w:rsidRPr="00517F46" w:rsidRDefault="00517F46" w:rsidP="00517F46">
      <w:pPr>
        <w:tabs>
          <w:tab w:val="left" w:pos="993"/>
          <w:tab w:val="left" w:pos="6946"/>
        </w:tabs>
        <w:autoSpaceDE w:val="0"/>
        <w:autoSpaceDN w:val="0"/>
        <w:adjustRightInd w:val="0"/>
        <w:ind w:left="1701" w:right="708" w:hanging="708"/>
        <w:jc w:val="both"/>
        <w:rPr>
          <w:rFonts w:ascii="Arial" w:eastAsia="Verdana" w:hAnsi="Arial" w:cs="Arial"/>
          <w:color w:val="000000"/>
          <w:kern w:val="2"/>
          <w:sz w:val="22"/>
          <w:szCs w:val="22"/>
          <w:lang w:eastAsia="en-ZA"/>
          <w14:ligatures w14:val="standardContextual"/>
        </w:rPr>
      </w:pPr>
      <w:r w:rsidRPr="007577FB">
        <w:rPr>
          <w:rFonts w:ascii="Arial" w:eastAsia="Verdana" w:hAnsi="Arial" w:cs="Arial"/>
          <w:i/>
          <w:color w:val="000000"/>
          <w:kern w:val="2"/>
          <w:sz w:val="22"/>
          <w:szCs w:val="22"/>
          <w:lang w:eastAsia="en-ZA"/>
          <w14:ligatures w14:val="standardContextual"/>
        </w:rPr>
        <w:t>(a)</w:t>
      </w:r>
      <w:r w:rsidRPr="007577FB">
        <w:rPr>
          <w:rFonts w:ascii="Arial" w:eastAsia="Verdana" w:hAnsi="Arial" w:cs="Arial"/>
          <w:i/>
          <w:color w:val="000000"/>
          <w:kern w:val="2"/>
          <w:sz w:val="22"/>
          <w:szCs w:val="22"/>
          <w:lang w:eastAsia="en-ZA"/>
          <w14:ligatures w14:val="standardContextual"/>
        </w:rPr>
        <w:tab/>
      </w:r>
      <w:r w:rsidR="00534079" w:rsidRPr="00517F46">
        <w:rPr>
          <w:rFonts w:ascii="Arial" w:eastAsia="Verdana" w:hAnsi="Arial" w:cs="Arial"/>
          <w:color w:val="000000"/>
          <w:kern w:val="2"/>
          <w:sz w:val="22"/>
          <w:szCs w:val="22"/>
          <w:lang w:eastAsia="en-ZA"/>
          <w14:ligatures w14:val="standardContextual"/>
        </w:rPr>
        <w:t>if the record contains—</w:t>
      </w:r>
    </w:p>
    <w:p w:rsidR="003E5900" w:rsidRPr="007577FB" w:rsidRDefault="003E5900" w:rsidP="00667F21">
      <w:pPr>
        <w:pStyle w:val="ListParagraph"/>
        <w:tabs>
          <w:tab w:val="left" w:pos="6946"/>
        </w:tabs>
        <w:autoSpaceDE w:val="0"/>
        <w:autoSpaceDN w:val="0"/>
        <w:adjustRightInd w:val="0"/>
        <w:ind w:left="1920" w:right="708"/>
        <w:jc w:val="both"/>
        <w:rPr>
          <w:rFonts w:ascii="Arial" w:eastAsia="Verdana" w:hAnsi="Arial" w:cs="Arial"/>
          <w:color w:val="000000"/>
          <w:kern w:val="2"/>
          <w:sz w:val="22"/>
          <w:szCs w:val="22"/>
          <w:lang w:eastAsia="en-ZA"/>
          <w14:ligatures w14:val="standardContextual"/>
        </w:rPr>
      </w:pPr>
    </w:p>
    <w:p w:rsidR="00534079" w:rsidRPr="00517F46" w:rsidRDefault="00517F46" w:rsidP="00517F46">
      <w:pPr>
        <w:tabs>
          <w:tab w:val="left" w:pos="1701"/>
        </w:tabs>
        <w:spacing w:after="167"/>
        <w:ind w:left="2127" w:right="708" w:hanging="426"/>
        <w:jc w:val="both"/>
        <w:rPr>
          <w:rFonts w:ascii="Arial" w:eastAsia="Verdana" w:hAnsi="Arial" w:cs="Arial"/>
          <w:color w:val="000000"/>
          <w:kern w:val="2"/>
          <w:sz w:val="22"/>
          <w:szCs w:val="22"/>
          <w:lang w:eastAsia="en-ZA"/>
          <w14:ligatures w14:val="standardContextual"/>
        </w:rPr>
      </w:pPr>
      <w:r w:rsidRPr="00124E0A">
        <w:rPr>
          <w:rFonts w:ascii="Arial" w:eastAsia="Verdana" w:hAnsi="Arial" w:cs="Arial"/>
          <w:color w:val="000000"/>
          <w:kern w:val="2"/>
          <w:sz w:val="22"/>
          <w:szCs w:val="22"/>
          <w:lang w:eastAsia="en-ZA"/>
          <w14:ligatures w14:val="standardContextual"/>
        </w:rPr>
        <w:t>(i)</w:t>
      </w:r>
      <w:r w:rsidRPr="00124E0A">
        <w:rPr>
          <w:rFonts w:ascii="Arial" w:eastAsia="Verdana" w:hAnsi="Arial" w:cs="Arial"/>
          <w:color w:val="000000"/>
          <w:kern w:val="2"/>
          <w:sz w:val="22"/>
          <w:szCs w:val="22"/>
          <w:lang w:eastAsia="en-ZA"/>
          <w14:ligatures w14:val="standardContextual"/>
        </w:rPr>
        <w:tab/>
      </w:r>
      <w:r w:rsidR="00534079" w:rsidRPr="00517F46">
        <w:rPr>
          <w:rFonts w:ascii="Arial" w:eastAsia="Verdana" w:hAnsi="Arial" w:cs="Arial"/>
          <w:color w:val="000000"/>
          <w:kern w:val="2"/>
          <w:sz w:val="22"/>
          <w:szCs w:val="22"/>
          <w:lang w:eastAsia="en-ZA"/>
          <w14:ligatures w14:val="standardContextual"/>
        </w:rPr>
        <w:t xml:space="preserve">an opinion, advice, report or recommendation obtained or prepared; </w:t>
      </w:r>
      <w:r w:rsidR="009F7B9E" w:rsidRPr="00517F46">
        <w:rPr>
          <w:rFonts w:ascii="Arial" w:eastAsia="Verdana" w:hAnsi="Arial" w:cs="Arial"/>
          <w:color w:val="000000"/>
          <w:kern w:val="2"/>
          <w:sz w:val="22"/>
          <w:szCs w:val="22"/>
          <w:lang w:eastAsia="en-ZA"/>
          <w14:ligatures w14:val="standardContextual"/>
        </w:rPr>
        <w:t xml:space="preserve"> </w:t>
      </w:r>
      <w:r w:rsidR="00534079" w:rsidRPr="00517F46">
        <w:rPr>
          <w:rFonts w:ascii="Arial" w:eastAsia="Verdana" w:hAnsi="Arial" w:cs="Arial"/>
          <w:color w:val="000000"/>
          <w:kern w:val="2"/>
          <w:sz w:val="22"/>
          <w:szCs w:val="22"/>
          <w:lang w:eastAsia="en-ZA"/>
          <w14:ligatures w14:val="standardContextual"/>
        </w:rPr>
        <w:t>or</w:t>
      </w:r>
    </w:p>
    <w:p w:rsidR="00487747" w:rsidRPr="007577FB" w:rsidRDefault="00487747" w:rsidP="00667F21">
      <w:pPr>
        <w:pStyle w:val="ListParagraph"/>
        <w:spacing w:after="167"/>
        <w:ind w:left="1920" w:right="708"/>
        <w:jc w:val="both"/>
        <w:rPr>
          <w:rFonts w:ascii="Arial" w:eastAsia="Verdana" w:hAnsi="Arial" w:cs="Arial"/>
          <w:color w:val="000000"/>
          <w:kern w:val="2"/>
          <w:sz w:val="22"/>
          <w:szCs w:val="22"/>
          <w:lang w:eastAsia="en-ZA"/>
          <w14:ligatures w14:val="standardContextual"/>
        </w:rPr>
      </w:pPr>
    </w:p>
    <w:p w:rsidR="00124E0A" w:rsidRPr="00517F46" w:rsidRDefault="00517F46" w:rsidP="00517F46">
      <w:pPr>
        <w:spacing w:after="167"/>
        <w:ind w:left="2127" w:right="708" w:hanging="426"/>
        <w:jc w:val="both"/>
        <w:rPr>
          <w:rFonts w:ascii="Arial" w:eastAsia="Verdana" w:hAnsi="Arial" w:cs="Arial"/>
          <w:color w:val="000000"/>
          <w:kern w:val="2"/>
          <w:sz w:val="22"/>
          <w:szCs w:val="22"/>
          <w:lang w:eastAsia="en-ZA"/>
          <w14:ligatures w14:val="standardContextual"/>
        </w:rPr>
      </w:pPr>
      <w:r w:rsidRPr="00124E0A">
        <w:rPr>
          <w:rFonts w:ascii="Arial" w:eastAsia="Verdana" w:hAnsi="Arial" w:cs="Arial"/>
          <w:color w:val="000000"/>
          <w:kern w:val="2"/>
          <w:sz w:val="22"/>
          <w:szCs w:val="22"/>
          <w:lang w:eastAsia="en-ZA"/>
          <w14:ligatures w14:val="standardContextual"/>
        </w:rPr>
        <w:t>(ii)</w:t>
      </w:r>
      <w:r w:rsidRPr="00124E0A">
        <w:rPr>
          <w:rFonts w:ascii="Arial" w:eastAsia="Verdana" w:hAnsi="Arial" w:cs="Arial"/>
          <w:color w:val="000000"/>
          <w:kern w:val="2"/>
          <w:sz w:val="22"/>
          <w:szCs w:val="22"/>
          <w:lang w:eastAsia="en-ZA"/>
          <w14:ligatures w14:val="standardContextual"/>
        </w:rPr>
        <w:tab/>
      </w:r>
      <w:r w:rsidR="00534079" w:rsidRPr="00517F46">
        <w:rPr>
          <w:rFonts w:ascii="Arial" w:eastAsia="Verdana" w:hAnsi="Arial" w:cs="Arial"/>
          <w:color w:val="000000"/>
          <w:kern w:val="2"/>
          <w:sz w:val="22"/>
          <w:szCs w:val="22"/>
          <w:lang w:eastAsia="en-ZA"/>
          <w14:ligatures w14:val="standardContextual"/>
        </w:rPr>
        <w:t>an account of a consultation, discussion or deliberation that has</w:t>
      </w:r>
      <w:r w:rsidR="00124E0A" w:rsidRPr="00517F46">
        <w:rPr>
          <w:rFonts w:ascii="Arial" w:eastAsia="Verdana" w:hAnsi="Arial" w:cs="Arial"/>
          <w:color w:val="000000"/>
          <w:kern w:val="2"/>
          <w:sz w:val="22"/>
          <w:szCs w:val="22"/>
          <w:lang w:eastAsia="en-ZA"/>
          <w14:ligatures w14:val="standardContextual"/>
        </w:rPr>
        <w:t xml:space="preserve"> </w:t>
      </w:r>
      <w:r w:rsidR="00534079" w:rsidRPr="00517F46">
        <w:rPr>
          <w:rFonts w:ascii="Arial" w:eastAsia="Verdana" w:hAnsi="Arial" w:cs="Arial"/>
          <w:color w:val="000000"/>
          <w:kern w:val="2"/>
          <w:sz w:val="22"/>
          <w:szCs w:val="22"/>
          <w:lang w:eastAsia="en-ZA"/>
          <w14:ligatures w14:val="standardContextual"/>
        </w:rPr>
        <w:t>occurred, including, but not limited to, minutes of a meeting,</w:t>
      </w:r>
    </w:p>
    <w:p w:rsidR="00534079" w:rsidRPr="007577FB" w:rsidRDefault="00534079" w:rsidP="00D72431">
      <w:pPr>
        <w:tabs>
          <w:tab w:val="left" w:pos="1985"/>
        </w:tabs>
        <w:spacing w:after="167"/>
        <w:ind w:left="1701" w:right="708"/>
        <w:jc w:val="both"/>
        <w:rPr>
          <w:rFonts w:ascii="Arial" w:eastAsia="Verdana" w:hAnsi="Arial" w:cs="Arial"/>
          <w:color w:val="000000"/>
          <w:kern w:val="2"/>
          <w:sz w:val="22"/>
          <w:szCs w:val="22"/>
          <w:lang w:eastAsia="en-ZA"/>
          <w14:ligatures w14:val="standardContextual"/>
        </w:rPr>
      </w:pPr>
      <w:r w:rsidRPr="007577FB">
        <w:rPr>
          <w:rFonts w:ascii="Arial" w:eastAsia="Verdana" w:hAnsi="Arial" w:cs="Arial"/>
          <w:color w:val="000000"/>
          <w:kern w:val="2"/>
          <w:sz w:val="22"/>
          <w:szCs w:val="22"/>
          <w:lang w:eastAsia="en-ZA"/>
          <w14:ligatures w14:val="standardContextual"/>
        </w:rPr>
        <w:t>for the purpose of assisting to formulate a policy or take a decision in the exercise of a power or performance of a duty conferred or imposed by law; or</w:t>
      </w:r>
    </w:p>
    <w:p w:rsidR="00534079" w:rsidRDefault="00534079" w:rsidP="00D72431">
      <w:pPr>
        <w:tabs>
          <w:tab w:val="left" w:pos="1418"/>
        </w:tabs>
        <w:ind w:left="851" w:right="708" w:firstLine="142"/>
        <w:jc w:val="both"/>
        <w:rPr>
          <w:rFonts w:ascii="Arial" w:eastAsia="Verdana" w:hAnsi="Arial" w:cs="Arial"/>
          <w:color w:val="000000"/>
          <w:kern w:val="2"/>
          <w:sz w:val="22"/>
          <w:szCs w:val="22"/>
          <w:lang w:eastAsia="en-ZA"/>
          <w14:ligatures w14:val="standardContextual"/>
        </w:rPr>
      </w:pPr>
      <w:r w:rsidRPr="007577FB">
        <w:rPr>
          <w:rFonts w:ascii="Arial" w:eastAsia="Verdana" w:hAnsi="Arial" w:cs="Arial"/>
          <w:color w:val="000000"/>
          <w:kern w:val="2"/>
          <w:sz w:val="22"/>
          <w:szCs w:val="22"/>
          <w:lang w:eastAsia="en-ZA"/>
          <w14:ligatures w14:val="standardContextual"/>
        </w:rPr>
        <w:t xml:space="preserve">(2) </w:t>
      </w:r>
      <w:r w:rsidR="00AC2CD4" w:rsidRPr="007577FB">
        <w:rPr>
          <w:rFonts w:ascii="Arial" w:eastAsia="Verdana" w:hAnsi="Arial" w:cs="Arial"/>
          <w:color w:val="000000"/>
          <w:kern w:val="2"/>
          <w:sz w:val="22"/>
          <w:szCs w:val="22"/>
          <w:lang w:eastAsia="en-ZA"/>
          <w14:ligatures w14:val="standardContextual"/>
        </w:rPr>
        <w:t>…</w:t>
      </w:r>
      <w:r w:rsidRPr="007577FB">
        <w:rPr>
          <w:rFonts w:ascii="Arial" w:eastAsia="Verdana" w:hAnsi="Arial" w:cs="Arial"/>
          <w:color w:val="000000"/>
          <w:kern w:val="2"/>
          <w:sz w:val="22"/>
          <w:szCs w:val="22"/>
          <w:lang w:eastAsia="en-ZA"/>
          <w14:ligatures w14:val="standardContextual"/>
        </w:rPr>
        <w:t xml:space="preserve"> the information officer of a public body may refuse a request for</w:t>
      </w:r>
      <w:r w:rsidR="00D72431">
        <w:rPr>
          <w:rFonts w:ascii="Arial" w:eastAsia="Verdana" w:hAnsi="Arial" w:cs="Arial"/>
          <w:color w:val="000000"/>
          <w:kern w:val="2"/>
          <w:sz w:val="22"/>
          <w:szCs w:val="22"/>
          <w:lang w:eastAsia="en-ZA"/>
          <w14:ligatures w14:val="standardContextual"/>
        </w:rPr>
        <w:t xml:space="preserve"> </w:t>
      </w:r>
      <w:r w:rsidRPr="007577FB">
        <w:rPr>
          <w:rFonts w:ascii="Arial" w:eastAsia="Verdana" w:hAnsi="Arial" w:cs="Arial"/>
          <w:color w:val="000000"/>
          <w:kern w:val="2"/>
          <w:sz w:val="22"/>
          <w:szCs w:val="22"/>
          <w:lang w:eastAsia="en-ZA"/>
          <w14:ligatures w14:val="standardContextual"/>
        </w:rPr>
        <w:t>access to a</w:t>
      </w:r>
      <w:r w:rsidR="007577FB">
        <w:rPr>
          <w:rFonts w:ascii="Arial" w:eastAsia="Verdana" w:hAnsi="Arial" w:cs="Arial"/>
          <w:color w:val="000000"/>
          <w:kern w:val="2"/>
          <w:sz w:val="22"/>
          <w:szCs w:val="22"/>
          <w:lang w:eastAsia="en-ZA"/>
          <w14:ligatures w14:val="standardContextual"/>
        </w:rPr>
        <w:t xml:space="preserve"> </w:t>
      </w:r>
      <w:r w:rsidRPr="007577FB">
        <w:rPr>
          <w:rFonts w:ascii="Arial" w:eastAsia="Verdana" w:hAnsi="Arial" w:cs="Arial"/>
          <w:color w:val="000000"/>
          <w:kern w:val="2"/>
          <w:sz w:val="22"/>
          <w:szCs w:val="22"/>
          <w:lang w:eastAsia="en-ZA"/>
          <w14:ligatures w14:val="standardContextual"/>
        </w:rPr>
        <w:t>record of the body if—</w:t>
      </w:r>
      <w:r w:rsidR="007577FB">
        <w:rPr>
          <w:rFonts w:ascii="Arial" w:eastAsia="Verdana" w:hAnsi="Arial" w:cs="Arial"/>
          <w:color w:val="000000"/>
          <w:kern w:val="2"/>
          <w:sz w:val="22"/>
          <w:szCs w:val="22"/>
          <w:lang w:eastAsia="en-ZA"/>
          <w14:ligatures w14:val="standardContextual"/>
        </w:rPr>
        <w:t>……</w:t>
      </w:r>
    </w:p>
    <w:p w:rsidR="00B30797" w:rsidRPr="007577FB" w:rsidRDefault="00B30797" w:rsidP="00B30797">
      <w:pPr>
        <w:tabs>
          <w:tab w:val="left" w:pos="1701"/>
        </w:tabs>
        <w:ind w:right="708"/>
        <w:jc w:val="both"/>
        <w:rPr>
          <w:rFonts w:ascii="Arial" w:eastAsia="Verdana" w:hAnsi="Arial" w:cs="Arial"/>
          <w:color w:val="000000"/>
          <w:kern w:val="2"/>
          <w:sz w:val="22"/>
          <w:szCs w:val="22"/>
          <w:lang w:eastAsia="en-ZA"/>
          <w14:ligatures w14:val="standardContextual"/>
        </w:rPr>
      </w:pPr>
    </w:p>
    <w:p w:rsidR="00222E85" w:rsidRPr="00517F46" w:rsidRDefault="00517F46" w:rsidP="00517F46">
      <w:pPr>
        <w:tabs>
          <w:tab w:val="left" w:pos="993"/>
          <w:tab w:val="left" w:pos="6946"/>
        </w:tabs>
        <w:autoSpaceDE w:val="0"/>
        <w:autoSpaceDN w:val="0"/>
        <w:adjustRightInd w:val="0"/>
        <w:ind w:left="1701" w:right="708" w:hanging="708"/>
        <w:jc w:val="both"/>
        <w:rPr>
          <w:rFonts w:ascii="Arial" w:eastAsia="Verdana" w:hAnsi="Arial" w:cs="Arial"/>
          <w:color w:val="000000"/>
          <w:kern w:val="2"/>
          <w:sz w:val="22"/>
          <w:szCs w:val="22"/>
          <w:lang w:eastAsia="en-ZA"/>
          <w14:ligatures w14:val="standardContextual"/>
        </w:rPr>
      </w:pPr>
      <w:r w:rsidRPr="007577FB">
        <w:rPr>
          <w:rFonts w:ascii="Arial" w:eastAsia="Verdana" w:hAnsi="Arial" w:cs="Arial"/>
          <w:i/>
          <w:color w:val="000000"/>
          <w:kern w:val="2"/>
          <w:sz w:val="22"/>
          <w:szCs w:val="22"/>
          <w:lang w:eastAsia="en-ZA"/>
          <w14:ligatures w14:val="standardContextual"/>
        </w:rPr>
        <w:t>(b)</w:t>
      </w:r>
      <w:r w:rsidRPr="007577FB">
        <w:rPr>
          <w:rFonts w:ascii="Arial" w:eastAsia="Verdana" w:hAnsi="Arial" w:cs="Arial"/>
          <w:i/>
          <w:color w:val="000000"/>
          <w:kern w:val="2"/>
          <w:sz w:val="22"/>
          <w:szCs w:val="22"/>
          <w:lang w:eastAsia="en-ZA"/>
          <w14:ligatures w14:val="standardContextual"/>
        </w:rPr>
        <w:tab/>
      </w:r>
      <w:r w:rsidR="00534079" w:rsidRPr="00517F46">
        <w:rPr>
          <w:rFonts w:ascii="Arial" w:eastAsia="Verdana" w:hAnsi="Arial" w:cs="Arial"/>
          <w:color w:val="000000"/>
          <w:kern w:val="2"/>
          <w:sz w:val="22"/>
          <w:szCs w:val="22"/>
          <w:lang w:eastAsia="en-ZA"/>
          <w14:ligatures w14:val="standardContextual"/>
        </w:rPr>
        <w:t>the record contains evaluative material, whether or not the person who supplied it is identified in the record, and the disclosure of the material would breach an express or implie</w:t>
      </w:r>
      <w:r w:rsidR="00222E85" w:rsidRPr="00517F46">
        <w:rPr>
          <w:rFonts w:ascii="Arial" w:eastAsia="Verdana" w:hAnsi="Arial" w:cs="Arial"/>
          <w:color w:val="000000"/>
          <w:kern w:val="2"/>
          <w:sz w:val="22"/>
          <w:szCs w:val="22"/>
          <w:lang w:eastAsia="en-ZA"/>
          <w14:ligatures w14:val="standardContextual"/>
        </w:rPr>
        <w:t>d promise which was-</w:t>
      </w:r>
    </w:p>
    <w:p w:rsidR="002B537E" w:rsidRPr="007577FB" w:rsidRDefault="002B537E" w:rsidP="002B537E">
      <w:pPr>
        <w:pStyle w:val="ListParagraph"/>
        <w:spacing w:after="88"/>
        <w:ind w:left="1701" w:right="708"/>
        <w:jc w:val="both"/>
        <w:rPr>
          <w:rFonts w:ascii="Arial" w:eastAsia="Verdana" w:hAnsi="Arial" w:cs="Arial"/>
          <w:color w:val="000000"/>
          <w:kern w:val="2"/>
          <w:sz w:val="22"/>
          <w:szCs w:val="22"/>
          <w:lang w:eastAsia="en-ZA"/>
          <w14:ligatures w14:val="standardContextual"/>
        </w:rPr>
      </w:pPr>
    </w:p>
    <w:p w:rsidR="00667F21" w:rsidRPr="00517F46" w:rsidRDefault="00517F46" w:rsidP="00517F46">
      <w:pPr>
        <w:tabs>
          <w:tab w:val="left" w:pos="1701"/>
        </w:tabs>
        <w:spacing w:after="167"/>
        <w:ind w:left="2127" w:right="708" w:hanging="426"/>
        <w:jc w:val="both"/>
        <w:rPr>
          <w:rFonts w:ascii="Arial" w:eastAsia="Verdana" w:hAnsi="Arial" w:cs="Arial"/>
          <w:color w:val="000000"/>
          <w:kern w:val="2"/>
          <w:sz w:val="22"/>
          <w:szCs w:val="22"/>
          <w:lang w:eastAsia="en-ZA"/>
          <w14:ligatures w14:val="standardContextual"/>
        </w:rPr>
      </w:pPr>
      <w:r w:rsidRPr="007577FB">
        <w:rPr>
          <w:rFonts w:ascii="Arial" w:eastAsia="Verdana" w:hAnsi="Arial" w:cs="Arial"/>
          <w:color w:val="000000"/>
          <w:kern w:val="2"/>
          <w:sz w:val="22"/>
          <w:szCs w:val="22"/>
          <w:lang w:eastAsia="en-ZA"/>
          <w14:ligatures w14:val="standardContextual"/>
        </w:rPr>
        <w:t>(i)</w:t>
      </w:r>
      <w:r w:rsidRPr="007577FB">
        <w:rPr>
          <w:rFonts w:ascii="Arial" w:eastAsia="Verdana" w:hAnsi="Arial" w:cs="Arial"/>
          <w:color w:val="000000"/>
          <w:kern w:val="2"/>
          <w:sz w:val="22"/>
          <w:szCs w:val="22"/>
          <w:lang w:eastAsia="en-ZA"/>
          <w14:ligatures w14:val="standardContextual"/>
        </w:rPr>
        <w:tab/>
      </w:r>
      <w:r w:rsidR="001267A9" w:rsidRPr="00517F46">
        <w:rPr>
          <w:rFonts w:ascii="Arial" w:eastAsia="Verdana" w:hAnsi="Arial" w:cs="Arial"/>
          <w:color w:val="000000"/>
          <w:kern w:val="2"/>
          <w:sz w:val="22"/>
          <w:szCs w:val="22"/>
          <w:lang w:eastAsia="en-ZA"/>
          <w14:ligatures w14:val="standardContextual"/>
        </w:rPr>
        <w:t>made to the person</w:t>
      </w:r>
      <w:r w:rsidR="003E69FE" w:rsidRPr="00517F46">
        <w:rPr>
          <w:rFonts w:ascii="Arial" w:eastAsia="Verdana" w:hAnsi="Arial" w:cs="Arial"/>
          <w:color w:val="000000"/>
          <w:kern w:val="2"/>
          <w:sz w:val="22"/>
          <w:szCs w:val="22"/>
          <w:lang w:eastAsia="en-ZA"/>
          <w14:ligatures w14:val="standardContextual"/>
        </w:rPr>
        <w:t xml:space="preserve"> who supplied the material; and</w:t>
      </w:r>
    </w:p>
    <w:p w:rsidR="0062546C" w:rsidRPr="007577FB" w:rsidRDefault="00B30797" w:rsidP="00667F21">
      <w:pPr>
        <w:pStyle w:val="ListParagraph"/>
        <w:tabs>
          <w:tab w:val="left" w:pos="1701"/>
        </w:tabs>
        <w:spacing w:after="167"/>
        <w:ind w:left="2127" w:right="708"/>
        <w:jc w:val="both"/>
        <w:rPr>
          <w:rFonts w:ascii="Arial" w:eastAsia="Verdana" w:hAnsi="Arial" w:cs="Arial"/>
          <w:color w:val="000000"/>
          <w:kern w:val="2"/>
          <w:sz w:val="22"/>
          <w:szCs w:val="22"/>
          <w:lang w:eastAsia="en-ZA"/>
          <w14:ligatures w14:val="standardContextual"/>
        </w:rPr>
      </w:pPr>
      <w:r w:rsidRPr="007577FB">
        <w:rPr>
          <w:rFonts w:ascii="Arial" w:eastAsia="Verdana" w:hAnsi="Arial" w:cs="Arial"/>
          <w:color w:val="000000"/>
          <w:kern w:val="2"/>
          <w:sz w:val="22"/>
          <w:szCs w:val="22"/>
          <w:lang w:eastAsia="en-ZA"/>
          <w14:ligatures w14:val="standardContextual"/>
        </w:rPr>
        <w:tab/>
      </w:r>
    </w:p>
    <w:p w:rsidR="00534079" w:rsidRPr="00517F46" w:rsidRDefault="00517F46" w:rsidP="00517F46">
      <w:pPr>
        <w:tabs>
          <w:tab w:val="left" w:pos="1701"/>
        </w:tabs>
        <w:spacing w:after="167"/>
        <w:ind w:left="2127" w:right="708" w:hanging="426"/>
        <w:jc w:val="both"/>
        <w:rPr>
          <w:rFonts w:ascii="Arial" w:eastAsia="Verdana" w:hAnsi="Arial" w:cs="Arial"/>
          <w:color w:val="000000"/>
          <w:kern w:val="2"/>
          <w:sz w:val="22"/>
          <w:szCs w:val="22"/>
          <w:lang w:eastAsia="en-ZA"/>
          <w14:ligatures w14:val="standardContextual"/>
        </w:rPr>
      </w:pPr>
      <w:r w:rsidRPr="00124E0A">
        <w:rPr>
          <w:rFonts w:ascii="Arial" w:eastAsia="Verdana" w:hAnsi="Arial" w:cs="Arial"/>
          <w:color w:val="000000"/>
          <w:kern w:val="2"/>
          <w:sz w:val="22"/>
          <w:szCs w:val="22"/>
          <w:lang w:eastAsia="en-ZA"/>
          <w14:ligatures w14:val="standardContextual"/>
        </w:rPr>
        <w:t>(ii)</w:t>
      </w:r>
      <w:r w:rsidRPr="00124E0A">
        <w:rPr>
          <w:rFonts w:ascii="Arial" w:eastAsia="Verdana" w:hAnsi="Arial" w:cs="Arial"/>
          <w:color w:val="000000"/>
          <w:kern w:val="2"/>
          <w:sz w:val="22"/>
          <w:szCs w:val="22"/>
          <w:lang w:eastAsia="en-ZA"/>
          <w14:ligatures w14:val="standardContextual"/>
        </w:rPr>
        <w:tab/>
      </w:r>
      <w:r w:rsidR="00534079" w:rsidRPr="00517F46">
        <w:rPr>
          <w:rFonts w:ascii="Arial" w:eastAsia="Verdana" w:hAnsi="Arial" w:cs="Arial"/>
          <w:color w:val="000000"/>
          <w:kern w:val="2"/>
          <w:sz w:val="22"/>
          <w:szCs w:val="22"/>
          <w:lang w:eastAsia="en-ZA"/>
          <w14:ligatures w14:val="standardContextual"/>
        </w:rPr>
        <w:t>to the effect that the material or the identity of the person who supplied</w:t>
      </w:r>
      <w:r w:rsidR="00124E0A" w:rsidRPr="00517F46">
        <w:rPr>
          <w:rFonts w:ascii="Arial" w:eastAsia="Verdana" w:hAnsi="Arial" w:cs="Arial"/>
          <w:color w:val="000000"/>
          <w:kern w:val="2"/>
          <w:sz w:val="22"/>
          <w:szCs w:val="22"/>
          <w:lang w:eastAsia="en-ZA"/>
          <w14:ligatures w14:val="standardContextual"/>
        </w:rPr>
        <w:t xml:space="preserve"> </w:t>
      </w:r>
      <w:r w:rsidR="00534079" w:rsidRPr="00517F46">
        <w:rPr>
          <w:rFonts w:ascii="Arial" w:eastAsia="Verdana" w:hAnsi="Arial" w:cs="Arial"/>
          <w:color w:val="000000"/>
          <w:kern w:val="2"/>
          <w:sz w:val="22"/>
          <w:szCs w:val="22"/>
          <w:lang w:eastAsia="en-ZA"/>
          <w14:ligatures w14:val="standardContextual"/>
        </w:rPr>
        <w:t xml:space="preserve">it, or both, would be held in confidence; </w:t>
      </w:r>
      <w:r w:rsidR="00C21524" w:rsidRPr="00517F46">
        <w:rPr>
          <w:rFonts w:ascii="Arial" w:eastAsia="Verdana" w:hAnsi="Arial" w:cs="Arial"/>
          <w:color w:val="000000"/>
          <w:kern w:val="2"/>
          <w:sz w:val="22"/>
          <w:szCs w:val="22"/>
          <w:lang w:eastAsia="en-ZA"/>
          <w14:ligatures w14:val="standardContextual"/>
        </w:rPr>
        <w:t>…</w:t>
      </w:r>
      <w:r w:rsidR="00A8423B" w:rsidRPr="00517F46">
        <w:rPr>
          <w:rFonts w:ascii="Arial" w:eastAsia="Verdana" w:hAnsi="Arial" w:cs="Arial"/>
          <w:color w:val="000000"/>
          <w:kern w:val="2"/>
          <w:sz w:val="22"/>
          <w:szCs w:val="22"/>
          <w:lang w:eastAsia="en-ZA"/>
          <w14:ligatures w14:val="standardContextual"/>
        </w:rPr>
        <w:t>’</w:t>
      </w:r>
    </w:p>
    <w:p w:rsidR="009F2167" w:rsidRPr="00DE4FBB" w:rsidRDefault="009F2167" w:rsidP="00EA2C84">
      <w:pPr>
        <w:tabs>
          <w:tab w:val="left" w:pos="6946"/>
        </w:tabs>
        <w:autoSpaceDE w:val="0"/>
        <w:autoSpaceDN w:val="0"/>
        <w:adjustRightInd w:val="0"/>
        <w:spacing w:line="360" w:lineRule="auto"/>
        <w:ind w:left="2127"/>
        <w:jc w:val="both"/>
        <w:rPr>
          <w:rFonts w:ascii="Arial" w:hAnsi="Arial" w:cs="Arial"/>
          <w:sz w:val="22"/>
          <w:szCs w:val="22"/>
        </w:rPr>
      </w:pPr>
    </w:p>
    <w:p w:rsidR="00B2076F"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[57]</w:t>
      </w:r>
      <w:r w:rsidRPr="00DE4FBB">
        <w:rPr>
          <w:rFonts w:ascii="Arial" w:hAnsi="Arial" w:cs="Arial"/>
        </w:rPr>
        <w:tab/>
      </w:r>
      <w:r w:rsidR="00A20883" w:rsidRPr="00517F46">
        <w:rPr>
          <w:rFonts w:ascii="Arial" w:hAnsi="Arial" w:cs="Arial"/>
        </w:rPr>
        <w:t xml:space="preserve">A simple reading of </w:t>
      </w:r>
      <w:r w:rsidR="009F2167" w:rsidRPr="00517F46">
        <w:rPr>
          <w:rFonts w:ascii="Arial" w:hAnsi="Arial" w:cs="Arial"/>
        </w:rPr>
        <w:t>section 44(1)</w:t>
      </w:r>
      <w:r w:rsidR="00A20883" w:rsidRPr="00517F46">
        <w:rPr>
          <w:rFonts w:ascii="Arial" w:hAnsi="Arial" w:cs="Arial"/>
        </w:rPr>
        <w:t xml:space="preserve"> reveals that the</w:t>
      </w:r>
      <w:r w:rsidR="00B2076F" w:rsidRPr="00517F46">
        <w:rPr>
          <w:rFonts w:ascii="Arial" w:hAnsi="Arial" w:cs="Arial"/>
        </w:rPr>
        <w:t>re is a rider to the</w:t>
      </w:r>
      <w:r w:rsidR="00A20883" w:rsidRPr="00517F46">
        <w:rPr>
          <w:rFonts w:ascii="Arial" w:hAnsi="Arial" w:cs="Arial"/>
        </w:rPr>
        <w:t xml:space="preserve"> option to refuse disclosure</w:t>
      </w:r>
      <w:r w:rsidR="00B2076F" w:rsidRPr="00517F46">
        <w:rPr>
          <w:rFonts w:ascii="Arial" w:hAnsi="Arial" w:cs="Arial"/>
        </w:rPr>
        <w:t xml:space="preserve">, which applies even where the records contain material as specified in sub-sections (a)(i) and (ii). It is not sufficient for the material of be of the nature therein described, in addition, the material must have </w:t>
      </w:r>
      <w:r w:rsidR="00882F0E" w:rsidRPr="00517F46">
        <w:rPr>
          <w:rFonts w:ascii="Arial" w:hAnsi="Arial" w:cs="Arial"/>
        </w:rPr>
        <w:t xml:space="preserve">been </w:t>
      </w:r>
      <w:r w:rsidR="00B2076F" w:rsidRPr="00517F46">
        <w:rPr>
          <w:rFonts w:ascii="Arial" w:hAnsi="Arial" w:cs="Arial"/>
        </w:rPr>
        <w:t xml:space="preserve">obtained or prepared </w:t>
      </w:r>
      <w:r w:rsidR="004315D3" w:rsidRPr="00517F46">
        <w:rPr>
          <w:rFonts w:ascii="Arial" w:hAnsi="Arial" w:cs="Arial"/>
        </w:rPr>
        <w:t>‘</w:t>
      </w:r>
      <w:r w:rsidR="00B2076F" w:rsidRPr="00517F46">
        <w:rPr>
          <w:rFonts w:ascii="Arial" w:hAnsi="Arial" w:cs="Arial"/>
          <w:color w:val="000000"/>
        </w:rPr>
        <w:t xml:space="preserve">for </w:t>
      </w:r>
      <w:r w:rsidR="00B2076F" w:rsidRPr="00517F46">
        <w:rPr>
          <w:rFonts w:ascii="Arial" w:hAnsi="Arial" w:cs="Arial"/>
        </w:rPr>
        <w:t>the</w:t>
      </w:r>
      <w:r w:rsidR="00B2076F" w:rsidRPr="00517F46">
        <w:rPr>
          <w:rFonts w:ascii="Arial" w:hAnsi="Arial" w:cs="Arial"/>
          <w:color w:val="000000"/>
        </w:rPr>
        <w:t xml:space="preserve"> purpose of assisting to formulate a policy or take a decision in the exercise of a power or performance of a duty conferred or imposed by law.</w:t>
      </w:r>
      <w:r w:rsidR="004315D3" w:rsidRPr="00517F46">
        <w:rPr>
          <w:rFonts w:ascii="Arial" w:hAnsi="Arial" w:cs="Arial"/>
          <w:color w:val="000000"/>
        </w:rPr>
        <w:t>’</w:t>
      </w:r>
      <w:r w:rsidR="00D57FB9" w:rsidRPr="00517F46">
        <w:rPr>
          <w:rFonts w:ascii="Arial" w:hAnsi="Arial" w:cs="Arial"/>
          <w:color w:val="000000"/>
        </w:rPr>
        <w:t xml:space="preserve"> That purpose must exist at the time the material </w:t>
      </w:r>
      <w:r w:rsidR="006B248F" w:rsidRPr="00517F46">
        <w:rPr>
          <w:rFonts w:ascii="Arial" w:hAnsi="Arial" w:cs="Arial"/>
          <w:color w:val="000000"/>
        </w:rPr>
        <w:t>was obtained, it is insufficient if the information was subsequently utilised for such purpose</w:t>
      </w:r>
      <w:r w:rsidR="00880CE4" w:rsidRPr="00517F46">
        <w:rPr>
          <w:rFonts w:ascii="Arial" w:hAnsi="Arial" w:cs="Arial"/>
          <w:color w:val="000000"/>
        </w:rPr>
        <w:t>.</w:t>
      </w:r>
      <w:r w:rsidR="006B248F" w:rsidRPr="00DE4FBB">
        <w:rPr>
          <w:rStyle w:val="FootnoteReference"/>
          <w:rFonts w:ascii="Arial" w:hAnsi="Arial" w:cs="Arial"/>
          <w:color w:val="000000"/>
        </w:rPr>
        <w:footnoteReference w:id="29"/>
      </w:r>
    </w:p>
    <w:p w:rsidR="00B2076F" w:rsidRPr="00DE4FBB" w:rsidRDefault="00B2076F" w:rsidP="006B7081">
      <w:pPr>
        <w:tabs>
          <w:tab w:val="left" w:pos="6946"/>
        </w:tabs>
        <w:autoSpaceDE w:val="0"/>
        <w:autoSpaceDN w:val="0"/>
        <w:adjustRightInd w:val="0"/>
        <w:spacing w:line="360" w:lineRule="auto"/>
        <w:jc w:val="both"/>
        <w:rPr>
          <w:rFonts w:ascii="Arial" w:hAnsi="Arial" w:cs="Arial"/>
        </w:rPr>
      </w:pPr>
    </w:p>
    <w:p w:rsidR="00A4749D"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[58]</w:t>
      </w:r>
      <w:r w:rsidRPr="00DE4FBB">
        <w:rPr>
          <w:rFonts w:ascii="Arial" w:hAnsi="Arial" w:cs="Arial"/>
        </w:rPr>
        <w:tab/>
      </w:r>
      <w:r w:rsidR="00F05E5F" w:rsidRPr="00517F46">
        <w:rPr>
          <w:rFonts w:ascii="Arial" w:hAnsi="Arial" w:cs="Arial"/>
        </w:rPr>
        <w:t xml:space="preserve">The reports were commissioned to investigate allegations of various forms of misconduct. They may have been obtained </w:t>
      </w:r>
      <w:r w:rsidR="00426243" w:rsidRPr="00517F46">
        <w:rPr>
          <w:rFonts w:ascii="Arial" w:hAnsi="Arial" w:cs="Arial"/>
        </w:rPr>
        <w:t xml:space="preserve">for any number of purposes and </w:t>
      </w:r>
      <w:r w:rsidR="00F05E5F" w:rsidRPr="00517F46">
        <w:rPr>
          <w:rFonts w:ascii="Arial" w:hAnsi="Arial" w:cs="Arial"/>
        </w:rPr>
        <w:t xml:space="preserve">with the view to taking decisions about </w:t>
      </w:r>
      <w:r w:rsidR="00880CE4" w:rsidRPr="00517F46">
        <w:rPr>
          <w:rFonts w:ascii="Arial" w:hAnsi="Arial" w:cs="Arial"/>
        </w:rPr>
        <w:t>a variety of matters</w:t>
      </w:r>
      <w:r w:rsidR="00CA30B3" w:rsidRPr="00517F46">
        <w:rPr>
          <w:rFonts w:ascii="Arial" w:hAnsi="Arial" w:cs="Arial"/>
        </w:rPr>
        <w:t xml:space="preserve"> if  they revealed misconduct, </w:t>
      </w:r>
      <w:r w:rsidR="00880CE4" w:rsidRPr="00517F46">
        <w:rPr>
          <w:rFonts w:ascii="Arial" w:hAnsi="Arial" w:cs="Arial"/>
        </w:rPr>
        <w:t xml:space="preserve">such </w:t>
      </w:r>
      <w:r w:rsidR="00880CE4" w:rsidRPr="00517F46">
        <w:rPr>
          <w:rFonts w:ascii="Arial" w:hAnsi="Arial" w:cs="Arial"/>
        </w:rPr>
        <w:lastRenderedPageBreak/>
        <w:t xml:space="preserve">as </w:t>
      </w:r>
      <w:r w:rsidR="00F05E5F" w:rsidRPr="00517F46">
        <w:rPr>
          <w:rFonts w:ascii="Arial" w:hAnsi="Arial" w:cs="Arial"/>
        </w:rPr>
        <w:t xml:space="preserve">whether to take disciplinary steps </w:t>
      </w:r>
      <w:r w:rsidR="00CA30B3" w:rsidRPr="00517F46">
        <w:rPr>
          <w:rFonts w:ascii="Arial" w:hAnsi="Arial" w:cs="Arial"/>
        </w:rPr>
        <w:t xml:space="preserve">against anyone </w:t>
      </w:r>
      <w:r w:rsidR="004315D3" w:rsidRPr="00517F46">
        <w:rPr>
          <w:rFonts w:ascii="Arial" w:hAnsi="Arial" w:cs="Arial"/>
        </w:rPr>
        <w:t>implicated</w:t>
      </w:r>
      <w:r w:rsidR="00F05E5F" w:rsidRPr="00517F46">
        <w:rPr>
          <w:rFonts w:ascii="Arial" w:hAnsi="Arial" w:cs="Arial"/>
        </w:rPr>
        <w:t xml:space="preserve">, or </w:t>
      </w:r>
      <w:r w:rsidR="00880CE4" w:rsidRPr="00517F46">
        <w:rPr>
          <w:rFonts w:ascii="Arial" w:hAnsi="Arial" w:cs="Arial"/>
        </w:rPr>
        <w:t xml:space="preserve">to lay </w:t>
      </w:r>
      <w:r w:rsidR="00F05E5F" w:rsidRPr="00517F46">
        <w:rPr>
          <w:rFonts w:ascii="Arial" w:hAnsi="Arial" w:cs="Arial"/>
        </w:rPr>
        <w:t>criminal charges against th</w:t>
      </w:r>
      <w:r w:rsidR="00880CE4" w:rsidRPr="00517F46">
        <w:rPr>
          <w:rFonts w:ascii="Arial" w:hAnsi="Arial" w:cs="Arial"/>
        </w:rPr>
        <w:t>ose complicit</w:t>
      </w:r>
      <w:r w:rsidR="00F05E5F" w:rsidRPr="00517F46">
        <w:rPr>
          <w:rFonts w:ascii="Arial" w:hAnsi="Arial" w:cs="Arial"/>
        </w:rPr>
        <w:t>, or revising control systems</w:t>
      </w:r>
      <w:r w:rsidR="004315D3" w:rsidRPr="00517F46">
        <w:rPr>
          <w:rFonts w:ascii="Arial" w:hAnsi="Arial" w:cs="Arial"/>
        </w:rPr>
        <w:t xml:space="preserve"> and</w:t>
      </w:r>
      <w:r w:rsidR="0071443B" w:rsidRPr="00517F46">
        <w:rPr>
          <w:rFonts w:ascii="Arial" w:hAnsi="Arial" w:cs="Arial"/>
        </w:rPr>
        <w:t xml:space="preserve"> </w:t>
      </w:r>
      <w:r w:rsidR="00F05E5F" w:rsidRPr="00517F46">
        <w:rPr>
          <w:rFonts w:ascii="Arial" w:hAnsi="Arial" w:cs="Arial"/>
        </w:rPr>
        <w:t>reporting lines in the relevant department, or perhaps even whether to extend the applicant’s contract of employment.</w:t>
      </w:r>
      <w:r w:rsidR="00A4749D" w:rsidRPr="00517F46">
        <w:rPr>
          <w:rFonts w:ascii="Arial" w:hAnsi="Arial" w:cs="Arial"/>
        </w:rPr>
        <w:t xml:space="preserve"> </w:t>
      </w:r>
      <w:r w:rsidR="00426243" w:rsidRPr="00517F46">
        <w:rPr>
          <w:rFonts w:ascii="Arial" w:hAnsi="Arial" w:cs="Arial"/>
        </w:rPr>
        <w:t xml:space="preserve">It will be apparent from this speculative </w:t>
      </w:r>
      <w:r w:rsidR="0071443B" w:rsidRPr="00517F46">
        <w:rPr>
          <w:rFonts w:ascii="Arial" w:hAnsi="Arial" w:cs="Arial"/>
        </w:rPr>
        <w:t xml:space="preserve">list </w:t>
      </w:r>
      <w:r w:rsidR="00426243" w:rsidRPr="00517F46">
        <w:rPr>
          <w:rFonts w:ascii="Arial" w:hAnsi="Arial" w:cs="Arial"/>
        </w:rPr>
        <w:t xml:space="preserve">that many </w:t>
      </w:r>
      <w:r w:rsidR="00CA30B3" w:rsidRPr="00517F46">
        <w:rPr>
          <w:rFonts w:ascii="Arial" w:hAnsi="Arial" w:cs="Arial"/>
        </w:rPr>
        <w:t xml:space="preserve">of the </w:t>
      </w:r>
      <w:r w:rsidR="00426243" w:rsidRPr="00517F46">
        <w:rPr>
          <w:rFonts w:ascii="Arial" w:hAnsi="Arial" w:cs="Arial"/>
        </w:rPr>
        <w:t>possible decisions would not be taken ‘in the exercise of a power or the performance of a duty imposed by law as required</w:t>
      </w:r>
      <w:r w:rsidR="00CA30B3" w:rsidRPr="00517F46">
        <w:rPr>
          <w:rFonts w:ascii="Arial" w:hAnsi="Arial" w:cs="Arial"/>
        </w:rPr>
        <w:t xml:space="preserve"> for the information to fall within the purview of section 44(1)(a)(i).</w:t>
      </w:r>
      <w:r w:rsidR="00426243" w:rsidRPr="00517F46">
        <w:rPr>
          <w:rFonts w:ascii="Arial" w:hAnsi="Arial" w:cs="Arial"/>
        </w:rPr>
        <w:t xml:space="preserve"> </w:t>
      </w:r>
    </w:p>
    <w:p w:rsidR="00A4749D" w:rsidRPr="00DE4FBB" w:rsidRDefault="00A4749D" w:rsidP="006B7081">
      <w:pPr>
        <w:tabs>
          <w:tab w:val="left" w:pos="6946"/>
        </w:tabs>
        <w:autoSpaceDE w:val="0"/>
        <w:autoSpaceDN w:val="0"/>
        <w:adjustRightInd w:val="0"/>
        <w:spacing w:line="360" w:lineRule="auto"/>
        <w:jc w:val="both"/>
        <w:rPr>
          <w:rFonts w:ascii="Arial" w:hAnsi="Arial" w:cs="Arial"/>
        </w:rPr>
      </w:pPr>
    </w:p>
    <w:p w:rsidR="001B289A" w:rsidRPr="00517F46" w:rsidRDefault="00517F46" w:rsidP="00517F46">
      <w:pPr>
        <w:autoSpaceDE w:val="0"/>
        <w:autoSpaceDN w:val="0"/>
        <w:adjustRightInd w:val="0"/>
        <w:spacing w:line="360" w:lineRule="auto"/>
        <w:jc w:val="both"/>
        <w:rPr>
          <w:rFonts w:ascii="Arial" w:hAnsi="Arial" w:cs="Arial"/>
        </w:rPr>
      </w:pPr>
      <w:r w:rsidRPr="00CA30B3">
        <w:rPr>
          <w:rFonts w:ascii="Arial" w:hAnsi="Arial" w:cs="Arial"/>
        </w:rPr>
        <w:t>[59]</w:t>
      </w:r>
      <w:r w:rsidRPr="00CA30B3">
        <w:rPr>
          <w:rFonts w:ascii="Arial" w:hAnsi="Arial" w:cs="Arial"/>
        </w:rPr>
        <w:tab/>
      </w:r>
      <w:r w:rsidR="0071443B" w:rsidRPr="00517F46">
        <w:rPr>
          <w:rFonts w:ascii="Arial" w:hAnsi="Arial" w:cs="Arial"/>
        </w:rPr>
        <w:t>While</w:t>
      </w:r>
      <w:r w:rsidR="00A4749D" w:rsidRPr="00517F46">
        <w:rPr>
          <w:rFonts w:ascii="Arial" w:hAnsi="Arial" w:cs="Arial"/>
        </w:rPr>
        <w:t xml:space="preserve"> t</w:t>
      </w:r>
      <w:r w:rsidR="00F05E5F" w:rsidRPr="00517F46">
        <w:rPr>
          <w:rFonts w:ascii="Arial" w:hAnsi="Arial" w:cs="Arial"/>
        </w:rPr>
        <w:t>here are any number of purposes for which the reports might have been obtained or the PEC meeting held, it is not for the court to guess</w:t>
      </w:r>
      <w:r w:rsidR="008449A2" w:rsidRPr="00517F46">
        <w:rPr>
          <w:rFonts w:ascii="Arial" w:hAnsi="Arial" w:cs="Arial"/>
        </w:rPr>
        <w:t>.</w:t>
      </w:r>
      <w:r w:rsidR="00F05E5F" w:rsidRPr="00DE4FBB">
        <w:rPr>
          <w:rStyle w:val="FootnoteReference"/>
          <w:rFonts w:ascii="Arial" w:hAnsi="Arial" w:cs="Arial"/>
        </w:rPr>
        <w:footnoteReference w:id="30"/>
      </w:r>
      <w:r w:rsidR="00F05E5F" w:rsidRPr="00517F46">
        <w:rPr>
          <w:rFonts w:ascii="Arial" w:hAnsi="Arial" w:cs="Arial"/>
        </w:rPr>
        <w:t xml:space="preserve"> It is for the respondents to </w:t>
      </w:r>
      <w:r w:rsidR="00CA30B3" w:rsidRPr="00517F46">
        <w:rPr>
          <w:rFonts w:ascii="Arial" w:hAnsi="Arial" w:cs="Arial"/>
        </w:rPr>
        <w:t xml:space="preserve">articulate </w:t>
      </w:r>
      <w:r w:rsidR="00F05E5F" w:rsidRPr="00517F46">
        <w:rPr>
          <w:rFonts w:ascii="Arial" w:hAnsi="Arial" w:cs="Arial"/>
        </w:rPr>
        <w:t xml:space="preserve">and establish </w:t>
      </w:r>
      <w:r w:rsidR="00790B03" w:rsidRPr="00517F46">
        <w:rPr>
          <w:rFonts w:ascii="Arial" w:hAnsi="Arial" w:cs="Arial"/>
        </w:rPr>
        <w:t>through</w:t>
      </w:r>
      <w:r w:rsidR="00F05E5F" w:rsidRPr="00517F46">
        <w:rPr>
          <w:rFonts w:ascii="Arial" w:hAnsi="Arial" w:cs="Arial"/>
        </w:rPr>
        <w:t xml:space="preserve"> acceptable evidence the purposes </w:t>
      </w:r>
      <w:r w:rsidR="00A4749D" w:rsidRPr="00517F46">
        <w:rPr>
          <w:rFonts w:ascii="Arial" w:hAnsi="Arial" w:cs="Arial"/>
        </w:rPr>
        <w:t xml:space="preserve">for which the </w:t>
      </w:r>
      <w:r w:rsidR="00CA30B3" w:rsidRPr="00517F46">
        <w:rPr>
          <w:rFonts w:ascii="Arial" w:hAnsi="Arial" w:cs="Arial"/>
        </w:rPr>
        <w:t xml:space="preserve">investigation </w:t>
      </w:r>
      <w:r w:rsidR="00A4749D" w:rsidRPr="00517F46">
        <w:rPr>
          <w:rFonts w:ascii="Arial" w:hAnsi="Arial" w:cs="Arial"/>
        </w:rPr>
        <w:t xml:space="preserve">reports </w:t>
      </w:r>
      <w:r w:rsidR="00426243" w:rsidRPr="00517F46">
        <w:rPr>
          <w:rFonts w:ascii="Arial" w:hAnsi="Arial" w:cs="Arial"/>
        </w:rPr>
        <w:t xml:space="preserve">were obtained and the </w:t>
      </w:r>
      <w:r w:rsidR="00CA30B3" w:rsidRPr="00517F46">
        <w:rPr>
          <w:rFonts w:ascii="Arial" w:hAnsi="Arial" w:cs="Arial"/>
        </w:rPr>
        <w:t xml:space="preserve">PEC </w:t>
      </w:r>
      <w:r w:rsidR="00426243" w:rsidRPr="00517F46">
        <w:rPr>
          <w:rFonts w:ascii="Arial" w:hAnsi="Arial" w:cs="Arial"/>
        </w:rPr>
        <w:t>meeting held</w:t>
      </w:r>
      <w:r w:rsidR="00880CE4" w:rsidRPr="00517F46">
        <w:rPr>
          <w:rFonts w:ascii="Arial" w:hAnsi="Arial" w:cs="Arial"/>
        </w:rPr>
        <w:t>,</w:t>
      </w:r>
      <w:r w:rsidR="00426243" w:rsidRPr="00517F46">
        <w:rPr>
          <w:rFonts w:ascii="Arial" w:hAnsi="Arial" w:cs="Arial"/>
        </w:rPr>
        <w:t xml:space="preserve"> the nature of the decisions they were to inform and the law which imposed the duty or conferred the power to make th</w:t>
      </w:r>
      <w:r w:rsidR="008449A2" w:rsidRPr="00517F46">
        <w:rPr>
          <w:rFonts w:ascii="Arial" w:hAnsi="Arial" w:cs="Arial"/>
        </w:rPr>
        <w:t>ose</w:t>
      </w:r>
      <w:r w:rsidR="00426243" w:rsidRPr="00517F46">
        <w:rPr>
          <w:rFonts w:ascii="Arial" w:hAnsi="Arial" w:cs="Arial"/>
        </w:rPr>
        <w:t xml:space="preserve"> decision</w:t>
      </w:r>
      <w:r w:rsidR="008449A2" w:rsidRPr="00517F46">
        <w:rPr>
          <w:rFonts w:ascii="Arial" w:hAnsi="Arial" w:cs="Arial"/>
        </w:rPr>
        <w:t>s</w:t>
      </w:r>
      <w:r w:rsidR="00426243" w:rsidRPr="00517F46">
        <w:rPr>
          <w:rFonts w:ascii="Arial" w:hAnsi="Arial" w:cs="Arial"/>
        </w:rPr>
        <w:t xml:space="preserve">. Only if all these matters were canvassed might the respondents show that the information fell </w:t>
      </w:r>
      <w:r w:rsidR="00F05E5F" w:rsidRPr="00517F46">
        <w:rPr>
          <w:rFonts w:ascii="Arial" w:hAnsi="Arial" w:cs="Arial"/>
        </w:rPr>
        <w:t xml:space="preserve">within the rider to which the </w:t>
      </w:r>
      <w:r w:rsidR="00AB6053" w:rsidRPr="00517F46">
        <w:rPr>
          <w:rFonts w:ascii="Arial" w:hAnsi="Arial" w:cs="Arial"/>
        </w:rPr>
        <w:t xml:space="preserve">section 44 </w:t>
      </w:r>
      <w:r w:rsidR="00F05E5F" w:rsidRPr="00517F46">
        <w:rPr>
          <w:rFonts w:ascii="Arial" w:hAnsi="Arial" w:cs="Arial"/>
        </w:rPr>
        <w:t xml:space="preserve">exemption </w:t>
      </w:r>
      <w:r w:rsidR="00426243" w:rsidRPr="00517F46">
        <w:rPr>
          <w:rFonts w:ascii="Arial" w:hAnsi="Arial" w:cs="Arial"/>
        </w:rPr>
        <w:t>from disclosure i</w:t>
      </w:r>
      <w:r w:rsidR="00F05E5F" w:rsidRPr="00517F46">
        <w:rPr>
          <w:rFonts w:ascii="Arial" w:hAnsi="Arial" w:cs="Arial"/>
        </w:rPr>
        <w:t xml:space="preserve">s subject. </w:t>
      </w:r>
      <w:r w:rsidR="00B2076F" w:rsidRPr="00517F46">
        <w:rPr>
          <w:rFonts w:ascii="Arial" w:hAnsi="Arial" w:cs="Arial"/>
        </w:rPr>
        <w:t xml:space="preserve">The respondents </w:t>
      </w:r>
      <w:r w:rsidR="0071443B" w:rsidRPr="00517F46">
        <w:rPr>
          <w:rFonts w:ascii="Arial" w:hAnsi="Arial" w:cs="Arial"/>
        </w:rPr>
        <w:t>come nowhere near to meeting this threshold</w:t>
      </w:r>
      <w:r w:rsidR="00CA30B3" w:rsidRPr="00517F46">
        <w:rPr>
          <w:rFonts w:ascii="Arial" w:hAnsi="Arial" w:cs="Arial"/>
        </w:rPr>
        <w:t xml:space="preserve">. Much less do they </w:t>
      </w:r>
      <w:r w:rsidR="001A78B3" w:rsidRPr="00517F46">
        <w:rPr>
          <w:rFonts w:ascii="Arial" w:hAnsi="Arial" w:cs="Arial"/>
        </w:rPr>
        <w:t xml:space="preserve">explain the basis upon which they purported to exercise the discretion accorded by section 44 </w:t>
      </w:r>
      <w:r w:rsidR="00CA30B3" w:rsidRPr="00517F46">
        <w:rPr>
          <w:rFonts w:ascii="Arial" w:hAnsi="Arial" w:cs="Arial"/>
        </w:rPr>
        <w:t>by</w:t>
      </w:r>
      <w:r w:rsidR="001A78B3" w:rsidRPr="00517F46">
        <w:rPr>
          <w:rFonts w:ascii="Arial" w:hAnsi="Arial" w:cs="Arial"/>
        </w:rPr>
        <w:t xml:space="preserve"> refus</w:t>
      </w:r>
      <w:r w:rsidR="00CA30B3" w:rsidRPr="00517F46">
        <w:rPr>
          <w:rFonts w:ascii="Arial" w:hAnsi="Arial" w:cs="Arial"/>
        </w:rPr>
        <w:t>ing</w:t>
      </w:r>
      <w:r w:rsidR="001A78B3" w:rsidRPr="00517F46">
        <w:rPr>
          <w:rFonts w:ascii="Arial" w:hAnsi="Arial" w:cs="Arial"/>
        </w:rPr>
        <w:t xml:space="preserve"> disclosure rather than grant</w:t>
      </w:r>
      <w:r w:rsidR="00CA30B3" w:rsidRPr="00517F46">
        <w:rPr>
          <w:rFonts w:ascii="Arial" w:hAnsi="Arial" w:cs="Arial"/>
        </w:rPr>
        <w:t>ing</w:t>
      </w:r>
      <w:r w:rsidR="001A78B3" w:rsidRPr="00517F46">
        <w:rPr>
          <w:rFonts w:ascii="Arial" w:hAnsi="Arial" w:cs="Arial"/>
        </w:rPr>
        <w:t xml:space="preserve"> access</w:t>
      </w:r>
      <w:r w:rsidR="00562807" w:rsidRPr="00517F46">
        <w:rPr>
          <w:rFonts w:ascii="Arial" w:hAnsi="Arial" w:cs="Arial"/>
        </w:rPr>
        <w:t>.</w:t>
      </w:r>
      <w:r w:rsidR="001A78B3" w:rsidRPr="00DE4FBB">
        <w:rPr>
          <w:rStyle w:val="FootnoteReference"/>
          <w:rFonts w:ascii="Arial" w:hAnsi="Arial" w:cs="Arial"/>
        </w:rPr>
        <w:footnoteReference w:id="31"/>
      </w:r>
    </w:p>
    <w:p w:rsidR="00880CE4" w:rsidRPr="00DE4FBB" w:rsidRDefault="00880CE4" w:rsidP="006B7081">
      <w:pPr>
        <w:pStyle w:val="ListParagraph"/>
        <w:tabs>
          <w:tab w:val="left" w:pos="6946"/>
        </w:tabs>
        <w:autoSpaceDE w:val="0"/>
        <w:autoSpaceDN w:val="0"/>
        <w:adjustRightInd w:val="0"/>
        <w:spacing w:line="360" w:lineRule="auto"/>
        <w:ind w:left="851"/>
        <w:jc w:val="both"/>
        <w:rPr>
          <w:rFonts w:ascii="Arial" w:hAnsi="Arial" w:cs="Arial"/>
        </w:rPr>
      </w:pPr>
    </w:p>
    <w:p w:rsidR="00B2076F" w:rsidRPr="00517F46" w:rsidRDefault="00517F46" w:rsidP="00517F46">
      <w:pPr>
        <w:autoSpaceDE w:val="0"/>
        <w:autoSpaceDN w:val="0"/>
        <w:adjustRightInd w:val="0"/>
        <w:spacing w:line="360" w:lineRule="auto"/>
        <w:jc w:val="both"/>
        <w:rPr>
          <w:rFonts w:ascii="Arial" w:hAnsi="Arial" w:cs="Arial"/>
        </w:rPr>
      </w:pPr>
      <w:r w:rsidRPr="00CA30B3">
        <w:rPr>
          <w:rFonts w:ascii="Arial" w:hAnsi="Arial" w:cs="Arial"/>
        </w:rPr>
        <w:t>[60]</w:t>
      </w:r>
      <w:r w:rsidRPr="00CA30B3">
        <w:rPr>
          <w:rFonts w:ascii="Arial" w:hAnsi="Arial" w:cs="Arial"/>
        </w:rPr>
        <w:tab/>
      </w:r>
      <w:r w:rsidR="001B289A" w:rsidRPr="00517F46">
        <w:rPr>
          <w:rFonts w:ascii="Arial" w:hAnsi="Arial" w:cs="Arial"/>
        </w:rPr>
        <w:t xml:space="preserve">The deponent does </w:t>
      </w:r>
      <w:r w:rsidR="00CA30B3" w:rsidRPr="00517F46">
        <w:rPr>
          <w:rFonts w:ascii="Arial" w:hAnsi="Arial" w:cs="Arial"/>
        </w:rPr>
        <w:t xml:space="preserve">not </w:t>
      </w:r>
      <w:r w:rsidR="00562807" w:rsidRPr="00517F46">
        <w:rPr>
          <w:rFonts w:ascii="Arial" w:hAnsi="Arial" w:cs="Arial"/>
        </w:rPr>
        <w:t xml:space="preserve">disclose </w:t>
      </w:r>
      <w:r w:rsidR="001B289A" w:rsidRPr="00517F46">
        <w:rPr>
          <w:rFonts w:ascii="Arial" w:hAnsi="Arial" w:cs="Arial"/>
        </w:rPr>
        <w:t xml:space="preserve">the mandates of the </w:t>
      </w:r>
      <w:r w:rsidR="00562807" w:rsidRPr="00517F46">
        <w:rPr>
          <w:rFonts w:ascii="Arial" w:hAnsi="Arial" w:cs="Arial"/>
        </w:rPr>
        <w:t>investigators, the</w:t>
      </w:r>
      <w:r w:rsidR="001B289A" w:rsidRPr="00517F46">
        <w:rPr>
          <w:rFonts w:ascii="Arial" w:hAnsi="Arial" w:cs="Arial"/>
        </w:rPr>
        <w:t xml:space="preserve"> purpose for which either report was obtained</w:t>
      </w:r>
      <w:r w:rsidR="00562807" w:rsidRPr="00517F46">
        <w:rPr>
          <w:rFonts w:ascii="Arial" w:hAnsi="Arial" w:cs="Arial"/>
        </w:rPr>
        <w:t>, t</w:t>
      </w:r>
      <w:r w:rsidR="001B289A" w:rsidRPr="00517F46">
        <w:rPr>
          <w:rFonts w:ascii="Arial" w:hAnsi="Arial" w:cs="Arial"/>
        </w:rPr>
        <w:t>he decision to be taken or the duty to be exercised,</w:t>
      </w:r>
      <w:r w:rsidR="00CA30B3" w:rsidRPr="00517F46">
        <w:rPr>
          <w:rFonts w:ascii="Arial" w:hAnsi="Arial" w:cs="Arial"/>
        </w:rPr>
        <w:t xml:space="preserve"> or</w:t>
      </w:r>
      <w:r w:rsidR="001B289A" w:rsidRPr="00517F46">
        <w:rPr>
          <w:rFonts w:ascii="Arial" w:hAnsi="Arial" w:cs="Arial"/>
        </w:rPr>
        <w:t xml:space="preserve"> the law in terms of which the power to take the decision was conferred or the duty was imposed. Instead, t</w:t>
      </w:r>
      <w:r w:rsidR="00A4749D" w:rsidRPr="00517F46">
        <w:rPr>
          <w:rFonts w:ascii="Arial" w:hAnsi="Arial" w:cs="Arial"/>
        </w:rPr>
        <w:t>he respondents’ reliance on section 44 i</w:t>
      </w:r>
      <w:r w:rsidR="001B289A" w:rsidRPr="00517F46">
        <w:rPr>
          <w:rFonts w:ascii="Arial" w:hAnsi="Arial" w:cs="Arial"/>
        </w:rPr>
        <w:t>s</w:t>
      </w:r>
      <w:r w:rsidR="00A4749D" w:rsidRPr="00517F46">
        <w:rPr>
          <w:rFonts w:ascii="Arial" w:hAnsi="Arial" w:cs="Arial"/>
        </w:rPr>
        <w:t xml:space="preserve"> contained in the following</w:t>
      </w:r>
      <w:r w:rsidR="00CA30B3" w:rsidRPr="00517F46">
        <w:rPr>
          <w:rFonts w:ascii="Arial" w:hAnsi="Arial" w:cs="Arial"/>
        </w:rPr>
        <w:t xml:space="preserve"> short paragraph:</w:t>
      </w:r>
      <w:r w:rsidR="00A4749D" w:rsidRPr="00517F46">
        <w:rPr>
          <w:rFonts w:ascii="Arial" w:hAnsi="Arial" w:cs="Arial"/>
        </w:rPr>
        <w:t xml:space="preserve"> </w:t>
      </w:r>
    </w:p>
    <w:p w:rsidR="00B2076F" w:rsidRPr="00DE4FBB" w:rsidRDefault="00A4749D" w:rsidP="00F93D34">
      <w:pPr>
        <w:pStyle w:val="ListParagraph"/>
        <w:tabs>
          <w:tab w:val="left" w:pos="6946"/>
        </w:tabs>
        <w:autoSpaceDE w:val="0"/>
        <w:autoSpaceDN w:val="0"/>
        <w:adjustRightInd w:val="0"/>
        <w:spacing w:line="360" w:lineRule="auto"/>
        <w:ind w:left="1560" w:right="708"/>
        <w:jc w:val="both"/>
        <w:rPr>
          <w:rFonts w:ascii="Arial" w:hAnsi="Arial" w:cs="Arial"/>
          <w:sz w:val="22"/>
          <w:szCs w:val="22"/>
        </w:rPr>
      </w:pPr>
      <w:r w:rsidRPr="00DE4FBB">
        <w:rPr>
          <w:rFonts w:ascii="Arial" w:hAnsi="Arial" w:cs="Arial"/>
          <w:sz w:val="22"/>
          <w:szCs w:val="22"/>
        </w:rPr>
        <w:t>‘</w:t>
      </w:r>
      <w:r w:rsidR="00B2076F" w:rsidRPr="00DE4FBB">
        <w:rPr>
          <w:rFonts w:ascii="Arial" w:hAnsi="Arial" w:cs="Arial"/>
          <w:sz w:val="22"/>
          <w:szCs w:val="22"/>
        </w:rPr>
        <w:t xml:space="preserve">The investigation reports are protected from being provided to the Applicant in terms of section 44(1)(a)(i) of the Act. This section entitles me to refuse to grant access if the information requested is a report and/or contains opinions, recommendations and advice. The investigation reports </w:t>
      </w:r>
      <w:r w:rsidR="00CA30B3">
        <w:rPr>
          <w:rFonts w:ascii="Arial" w:hAnsi="Arial" w:cs="Arial"/>
          <w:sz w:val="22"/>
          <w:szCs w:val="22"/>
        </w:rPr>
        <w:t>are</w:t>
      </w:r>
      <w:r w:rsidR="00B2076F" w:rsidRPr="00DE4FBB">
        <w:rPr>
          <w:rFonts w:ascii="Arial" w:hAnsi="Arial" w:cs="Arial"/>
          <w:sz w:val="22"/>
          <w:szCs w:val="22"/>
        </w:rPr>
        <w:t xml:space="preserve"> opinions of the investigation panel and contain recommendations opinions and advice</w:t>
      </w:r>
      <w:r w:rsidR="00426243" w:rsidRPr="00DE4FBB">
        <w:rPr>
          <w:rFonts w:ascii="Arial" w:hAnsi="Arial" w:cs="Arial"/>
          <w:sz w:val="22"/>
          <w:szCs w:val="22"/>
        </w:rPr>
        <w:t>.’</w:t>
      </w:r>
    </w:p>
    <w:p w:rsidR="00F36EC6" w:rsidRPr="00DE4FBB" w:rsidRDefault="00F36EC6" w:rsidP="006B7081">
      <w:pPr>
        <w:spacing w:line="360" w:lineRule="auto"/>
        <w:rPr>
          <w:rFonts w:ascii="Arial" w:hAnsi="Arial" w:cs="Arial"/>
        </w:rPr>
      </w:pPr>
    </w:p>
    <w:p w:rsidR="00562807"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lastRenderedPageBreak/>
        <w:t>[61]</w:t>
      </w:r>
      <w:r w:rsidRPr="00DE4FBB">
        <w:rPr>
          <w:rFonts w:ascii="Arial" w:hAnsi="Arial" w:cs="Arial"/>
        </w:rPr>
        <w:tab/>
      </w:r>
      <w:r w:rsidR="00F36EC6" w:rsidRPr="00517F46">
        <w:rPr>
          <w:rFonts w:ascii="Arial" w:hAnsi="Arial" w:cs="Arial"/>
        </w:rPr>
        <w:t>Th</w:t>
      </w:r>
      <w:r w:rsidR="00CA30B3" w:rsidRPr="00517F46">
        <w:rPr>
          <w:rFonts w:ascii="Arial" w:hAnsi="Arial" w:cs="Arial"/>
        </w:rPr>
        <w:t xml:space="preserve">ose three sentences </w:t>
      </w:r>
      <w:r w:rsidR="00562807" w:rsidRPr="00517F46">
        <w:rPr>
          <w:rFonts w:ascii="Arial" w:hAnsi="Arial" w:cs="Arial"/>
        </w:rPr>
        <w:t>do not even amount to a recitation of section 44(1)(a)(i) as they ignore the rider</w:t>
      </w:r>
      <w:r w:rsidR="0051159D" w:rsidRPr="00517F46">
        <w:rPr>
          <w:rFonts w:ascii="Arial" w:hAnsi="Arial" w:cs="Arial"/>
        </w:rPr>
        <w:t xml:space="preserve">. It appears from the second sentence that the deponent  appreciates she has a discretion and is not obliged to refuse access, but she provides no explanation of how and why she exercised that discretion in the manner she did. </w:t>
      </w:r>
    </w:p>
    <w:p w:rsidR="00562807" w:rsidRPr="00DE4FBB" w:rsidRDefault="00562807" w:rsidP="006B7081">
      <w:pPr>
        <w:pStyle w:val="ListParagraph"/>
        <w:tabs>
          <w:tab w:val="left" w:pos="6946"/>
        </w:tabs>
        <w:autoSpaceDE w:val="0"/>
        <w:autoSpaceDN w:val="0"/>
        <w:adjustRightInd w:val="0"/>
        <w:spacing w:line="360" w:lineRule="auto"/>
        <w:ind w:left="851"/>
        <w:jc w:val="both"/>
        <w:rPr>
          <w:rFonts w:ascii="Arial" w:hAnsi="Arial" w:cs="Arial"/>
        </w:rPr>
      </w:pPr>
    </w:p>
    <w:p w:rsidR="001A78B3"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[62]</w:t>
      </w:r>
      <w:r w:rsidRPr="00DE4FBB">
        <w:rPr>
          <w:rFonts w:ascii="Arial" w:hAnsi="Arial" w:cs="Arial"/>
        </w:rPr>
        <w:tab/>
      </w:r>
      <w:r w:rsidR="0051159D" w:rsidRPr="00517F46">
        <w:rPr>
          <w:rFonts w:ascii="Arial" w:hAnsi="Arial" w:cs="Arial"/>
        </w:rPr>
        <w:t>Th</w:t>
      </w:r>
      <w:r w:rsidR="00562807" w:rsidRPr="00517F46">
        <w:rPr>
          <w:rFonts w:ascii="Arial" w:hAnsi="Arial" w:cs="Arial"/>
        </w:rPr>
        <w:t>e</w:t>
      </w:r>
      <w:r w:rsidR="00F36EC6" w:rsidRPr="00517F46">
        <w:rPr>
          <w:rFonts w:ascii="Arial" w:hAnsi="Arial" w:cs="Arial"/>
        </w:rPr>
        <w:t xml:space="preserve"> </w:t>
      </w:r>
      <w:r w:rsidR="0051159D" w:rsidRPr="00517F46">
        <w:rPr>
          <w:rFonts w:ascii="Arial" w:hAnsi="Arial" w:cs="Arial"/>
        </w:rPr>
        <w:t>respondents have plainly not adduced</w:t>
      </w:r>
      <w:r w:rsidR="00F36EC6" w:rsidRPr="00517F46">
        <w:rPr>
          <w:rFonts w:ascii="Arial" w:hAnsi="Arial" w:cs="Arial"/>
        </w:rPr>
        <w:t xml:space="preserve"> sufficient evidence</w:t>
      </w:r>
      <w:r w:rsidR="00AB6053" w:rsidRPr="00517F46">
        <w:rPr>
          <w:rFonts w:ascii="Arial" w:hAnsi="Arial" w:cs="Arial"/>
        </w:rPr>
        <w:t xml:space="preserve"> </w:t>
      </w:r>
      <w:r w:rsidR="00F36EC6" w:rsidRPr="00517F46">
        <w:rPr>
          <w:rFonts w:ascii="Arial" w:hAnsi="Arial" w:cs="Arial"/>
        </w:rPr>
        <w:t>upon which I can be satisfied that the investigation reports or the records of the PEC meeting fall within the a</w:t>
      </w:r>
      <w:r w:rsidR="007D4347" w:rsidRPr="00517F46">
        <w:rPr>
          <w:rFonts w:ascii="Arial" w:hAnsi="Arial" w:cs="Arial"/>
        </w:rPr>
        <w:t xml:space="preserve">mbit </w:t>
      </w:r>
      <w:r w:rsidR="00F36EC6" w:rsidRPr="00517F46">
        <w:rPr>
          <w:rFonts w:ascii="Arial" w:hAnsi="Arial" w:cs="Arial"/>
        </w:rPr>
        <w:t>of the exemption</w:t>
      </w:r>
      <w:r w:rsidR="0051159D" w:rsidRPr="00517F46">
        <w:rPr>
          <w:rFonts w:ascii="Arial" w:hAnsi="Arial" w:cs="Arial"/>
        </w:rPr>
        <w:t xml:space="preserve"> in section 44(1)(a)</w:t>
      </w:r>
      <w:r w:rsidR="00F36EC6" w:rsidRPr="00517F46">
        <w:rPr>
          <w:rFonts w:ascii="Arial" w:hAnsi="Arial" w:cs="Arial"/>
        </w:rPr>
        <w:t xml:space="preserve">. </w:t>
      </w:r>
    </w:p>
    <w:p w:rsidR="00F36EC6" w:rsidRPr="00DE4FBB" w:rsidRDefault="00F36EC6" w:rsidP="006B7081">
      <w:pPr>
        <w:pStyle w:val="ListParagraph"/>
        <w:spacing w:line="360" w:lineRule="auto"/>
        <w:rPr>
          <w:rFonts w:ascii="Arial" w:hAnsi="Arial" w:cs="Arial"/>
        </w:rPr>
      </w:pPr>
    </w:p>
    <w:p w:rsidR="00BE5878"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[63]</w:t>
      </w:r>
      <w:r w:rsidRPr="00DE4FBB">
        <w:rPr>
          <w:rFonts w:ascii="Arial" w:hAnsi="Arial" w:cs="Arial"/>
        </w:rPr>
        <w:tab/>
      </w:r>
      <w:r w:rsidR="007D4347" w:rsidRPr="00517F46">
        <w:rPr>
          <w:rFonts w:ascii="Arial" w:hAnsi="Arial" w:cs="Arial"/>
        </w:rPr>
        <w:t xml:space="preserve">To the extent they are relevant, the </w:t>
      </w:r>
      <w:r w:rsidR="001B289A" w:rsidRPr="00517F46">
        <w:rPr>
          <w:rFonts w:ascii="Arial" w:hAnsi="Arial" w:cs="Arial"/>
        </w:rPr>
        <w:t xml:space="preserve">Director-General </w:t>
      </w:r>
      <w:r w:rsidR="007D4347" w:rsidRPr="00517F46">
        <w:rPr>
          <w:rFonts w:ascii="Arial" w:hAnsi="Arial" w:cs="Arial"/>
        </w:rPr>
        <w:t>and the Premier’s earlier invocations of section 44</w:t>
      </w:r>
      <w:r w:rsidR="00077EFD" w:rsidRPr="00517F46">
        <w:rPr>
          <w:rFonts w:ascii="Arial" w:hAnsi="Arial" w:cs="Arial"/>
        </w:rPr>
        <w:t xml:space="preserve"> as a basis to withhold access to the investigation reports,</w:t>
      </w:r>
      <w:r w:rsidR="007D4347" w:rsidRPr="00517F46">
        <w:rPr>
          <w:rFonts w:ascii="Arial" w:hAnsi="Arial" w:cs="Arial"/>
        </w:rPr>
        <w:t xml:space="preserve"> suffer from the same malaise. </w:t>
      </w:r>
      <w:r w:rsidR="00BE5878" w:rsidRPr="00517F46">
        <w:rPr>
          <w:rFonts w:ascii="Arial" w:hAnsi="Arial" w:cs="Arial"/>
        </w:rPr>
        <w:t xml:space="preserve">The </w:t>
      </w:r>
      <w:r w:rsidR="00AB6053" w:rsidRPr="00517F46">
        <w:rPr>
          <w:rFonts w:ascii="Arial" w:hAnsi="Arial" w:cs="Arial"/>
        </w:rPr>
        <w:t xml:space="preserve">Director-General refused </w:t>
      </w:r>
      <w:r w:rsidR="00BE5878" w:rsidRPr="00517F46">
        <w:rPr>
          <w:rFonts w:ascii="Arial" w:hAnsi="Arial" w:cs="Arial"/>
        </w:rPr>
        <w:t xml:space="preserve">access to the investigation reports </w:t>
      </w:r>
      <w:r w:rsidR="001B289A" w:rsidRPr="00517F46">
        <w:rPr>
          <w:rFonts w:ascii="Arial" w:hAnsi="Arial" w:cs="Arial"/>
        </w:rPr>
        <w:t>‘</w:t>
      </w:r>
      <w:r w:rsidR="00BE5878" w:rsidRPr="00517F46">
        <w:rPr>
          <w:rFonts w:ascii="Arial" w:hAnsi="Arial" w:cs="Arial"/>
        </w:rPr>
        <w:t>in terms of section 44(1) of the Act as the information relates to reports in which recommendations were made</w:t>
      </w:r>
      <w:r w:rsidR="001B289A" w:rsidRPr="00517F46">
        <w:rPr>
          <w:rFonts w:ascii="Arial" w:hAnsi="Arial" w:cs="Arial"/>
        </w:rPr>
        <w:t>’</w:t>
      </w:r>
      <w:r w:rsidR="00BE5878" w:rsidRPr="00517F46">
        <w:rPr>
          <w:rFonts w:ascii="Arial" w:hAnsi="Arial" w:cs="Arial"/>
        </w:rPr>
        <w:t xml:space="preserve">. In </w:t>
      </w:r>
      <w:r w:rsidR="008449A2" w:rsidRPr="00517F46">
        <w:rPr>
          <w:rFonts w:ascii="Arial" w:hAnsi="Arial" w:cs="Arial"/>
        </w:rPr>
        <w:t>dismissing</w:t>
      </w:r>
      <w:r w:rsidR="00BE5878" w:rsidRPr="00517F46">
        <w:rPr>
          <w:rFonts w:ascii="Arial" w:hAnsi="Arial" w:cs="Arial"/>
        </w:rPr>
        <w:t xml:space="preserve"> the appeal the Premier simply stated that the investigation reports </w:t>
      </w:r>
      <w:r w:rsidR="001B289A" w:rsidRPr="00517F46">
        <w:rPr>
          <w:rFonts w:ascii="Arial" w:hAnsi="Arial" w:cs="Arial"/>
        </w:rPr>
        <w:t>‘</w:t>
      </w:r>
      <w:r w:rsidR="00BE5878" w:rsidRPr="00517F46">
        <w:rPr>
          <w:rFonts w:ascii="Arial" w:hAnsi="Arial" w:cs="Arial"/>
        </w:rPr>
        <w:t>fall within the ambit of section 44(1) of PAI</w:t>
      </w:r>
      <w:r w:rsidR="001B289A" w:rsidRPr="00517F46">
        <w:rPr>
          <w:rFonts w:ascii="Arial" w:hAnsi="Arial" w:cs="Arial"/>
        </w:rPr>
        <w:t xml:space="preserve">A’ </w:t>
      </w:r>
      <w:r w:rsidR="00BE5878" w:rsidRPr="00517F46">
        <w:rPr>
          <w:rFonts w:ascii="Arial" w:hAnsi="Arial" w:cs="Arial"/>
        </w:rPr>
        <w:t xml:space="preserve">without any further particularity. </w:t>
      </w:r>
    </w:p>
    <w:p w:rsidR="00077EFD" w:rsidRPr="00DE4FBB" w:rsidRDefault="00077EFD" w:rsidP="006B7081">
      <w:pPr>
        <w:pStyle w:val="ListParagraph"/>
        <w:spacing w:line="360" w:lineRule="auto"/>
        <w:rPr>
          <w:rFonts w:ascii="Arial" w:hAnsi="Arial" w:cs="Arial"/>
        </w:rPr>
      </w:pPr>
    </w:p>
    <w:p w:rsidR="00BE5878"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[64]</w:t>
      </w:r>
      <w:r w:rsidRPr="00DE4FBB">
        <w:rPr>
          <w:rFonts w:ascii="Arial" w:hAnsi="Arial" w:cs="Arial"/>
        </w:rPr>
        <w:tab/>
      </w:r>
      <w:r w:rsidR="001050DB" w:rsidRPr="00517F46">
        <w:rPr>
          <w:rFonts w:ascii="Arial" w:hAnsi="Arial" w:cs="Arial"/>
        </w:rPr>
        <w:t>T</w:t>
      </w:r>
      <w:r w:rsidR="00BE5878" w:rsidRPr="00517F46">
        <w:rPr>
          <w:rFonts w:ascii="Arial" w:hAnsi="Arial" w:cs="Arial"/>
        </w:rPr>
        <w:t xml:space="preserve">he </w:t>
      </w:r>
      <w:r w:rsidR="001050DB" w:rsidRPr="00517F46">
        <w:rPr>
          <w:rFonts w:ascii="Arial" w:hAnsi="Arial" w:cs="Arial"/>
        </w:rPr>
        <w:t>Director-General</w:t>
      </w:r>
      <w:r w:rsidR="00BE5878" w:rsidRPr="00517F46">
        <w:rPr>
          <w:rFonts w:ascii="Arial" w:hAnsi="Arial" w:cs="Arial"/>
        </w:rPr>
        <w:t xml:space="preserve"> also relied on section 44(2)(b) </w:t>
      </w:r>
      <w:r w:rsidR="001050DB" w:rsidRPr="00517F46">
        <w:rPr>
          <w:rFonts w:ascii="Arial" w:hAnsi="Arial" w:cs="Arial"/>
        </w:rPr>
        <w:t>to justify h</w:t>
      </w:r>
      <w:r w:rsidR="0051159D" w:rsidRPr="00517F46">
        <w:rPr>
          <w:rFonts w:ascii="Arial" w:hAnsi="Arial" w:cs="Arial"/>
        </w:rPr>
        <w:t>er</w:t>
      </w:r>
      <w:r w:rsidR="001050DB" w:rsidRPr="00517F46">
        <w:rPr>
          <w:rFonts w:ascii="Arial" w:hAnsi="Arial" w:cs="Arial"/>
        </w:rPr>
        <w:t xml:space="preserve"> initial refus</w:t>
      </w:r>
      <w:r w:rsidR="00790B03" w:rsidRPr="00517F46">
        <w:rPr>
          <w:rFonts w:ascii="Arial" w:hAnsi="Arial" w:cs="Arial"/>
        </w:rPr>
        <w:t>al</w:t>
      </w:r>
      <w:r w:rsidR="001050DB" w:rsidRPr="00517F46">
        <w:rPr>
          <w:rFonts w:ascii="Arial" w:hAnsi="Arial" w:cs="Arial"/>
        </w:rPr>
        <w:t xml:space="preserve"> of access to </w:t>
      </w:r>
      <w:r w:rsidR="0051159D" w:rsidRPr="00517F46">
        <w:rPr>
          <w:rFonts w:ascii="Arial" w:hAnsi="Arial" w:cs="Arial"/>
        </w:rPr>
        <w:t>the</w:t>
      </w:r>
      <w:r w:rsidR="00BE5878" w:rsidRPr="00517F46">
        <w:rPr>
          <w:rFonts w:ascii="Arial" w:hAnsi="Arial" w:cs="Arial"/>
        </w:rPr>
        <w:t xml:space="preserve"> investigation reports:</w:t>
      </w:r>
    </w:p>
    <w:p w:rsidR="00BE5878" w:rsidRPr="00DE4FBB" w:rsidRDefault="00AB6053" w:rsidP="00F93D34">
      <w:pPr>
        <w:pStyle w:val="ListParagraph"/>
        <w:tabs>
          <w:tab w:val="left" w:pos="6946"/>
        </w:tabs>
        <w:autoSpaceDE w:val="0"/>
        <w:autoSpaceDN w:val="0"/>
        <w:adjustRightInd w:val="0"/>
        <w:spacing w:line="360" w:lineRule="auto"/>
        <w:ind w:left="1418" w:right="992"/>
        <w:jc w:val="both"/>
        <w:rPr>
          <w:rFonts w:ascii="Arial" w:hAnsi="Arial" w:cs="Arial"/>
          <w:sz w:val="22"/>
          <w:szCs w:val="22"/>
        </w:rPr>
      </w:pPr>
      <w:r w:rsidRPr="00DE4FBB">
        <w:rPr>
          <w:rFonts w:ascii="Arial" w:hAnsi="Arial" w:cs="Arial"/>
          <w:sz w:val="22"/>
          <w:szCs w:val="22"/>
        </w:rPr>
        <w:t>‘</w:t>
      </w:r>
      <w:r w:rsidR="00BE5878" w:rsidRPr="00DE4FBB">
        <w:rPr>
          <w:rFonts w:ascii="Arial" w:hAnsi="Arial" w:cs="Arial"/>
          <w:sz w:val="22"/>
          <w:szCs w:val="22"/>
        </w:rPr>
        <w:t>on the basis that officials employed with in the Department of Social Development provided information to the relevant task teams and provided such information on the basis of their identities and the information which they provided would be held in confidence</w:t>
      </w:r>
      <w:r w:rsidRPr="00DE4FBB">
        <w:rPr>
          <w:rFonts w:ascii="Arial" w:hAnsi="Arial" w:cs="Arial"/>
          <w:sz w:val="22"/>
          <w:szCs w:val="22"/>
        </w:rPr>
        <w:t>’</w:t>
      </w:r>
      <w:r w:rsidR="00BE5878" w:rsidRPr="00DE4FBB">
        <w:rPr>
          <w:rFonts w:ascii="Arial" w:hAnsi="Arial" w:cs="Arial"/>
          <w:sz w:val="22"/>
          <w:szCs w:val="22"/>
        </w:rPr>
        <w:t xml:space="preserve">  </w:t>
      </w:r>
    </w:p>
    <w:p w:rsidR="00BE5878" w:rsidRPr="00DE4FBB" w:rsidRDefault="00BE5878" w:rsidP="006B7081">
      <w:pPr>
        <w:pStyle w:val="ListParagraph"/>
        <w:tabs>
          <w:tab w:val="left" w:pos="6946"/>
        </w:tabs>
        <w:autoSpaceDE w:val="0"/>
        <w:autoSpaceDN w:val="0"/>
        <w:adjustRightInd w:val="0"/>
        <w:spacing w:line="360" w:lineRule="auto"/>
        <w:ind w:left="851"/>
        <w:jc w:val="both"/>
        <w:rPr>
          <w:rFonts w:ascii="Arial" w:hAnsi="Arial" w:cs="Arial"/>
        </w:rPr>
      </w:pPr>
    </w:p>
    <w:p w:rsidR="0066173C" w:rsidRPr="00517F46" w:rsidRDefault="00517F46" w:rsidP="00517F46">
      <w:pPr>
        <w:autoSpaceDE w:val="0"/>
        <w:autoSpaceDN w:val="0"/>
        <w:adjustRightInd w:val="0"/>
        <w:spacing w:line="360" w:lineRule="auto"/>
        <w:jc w:val="both"/>
        <w:rPr>
          <w:rFonts w:ascii="Arial" w:hAnsi="Arial" w:cs="Arial"/>
        </w:rPr>
      </w:pPr>
      <w:r>
        <w:rPr>
          <w:rFonts w:ascii="Arial" w:hAnsi="Arial" w:cs="Arial"/>
        </w:rPr>
        <w:t>[65]</w:t>
      </w:r>
      <w:r>
        <w:rPr>
          <w:rFonts w:ascii="Arial" w:hAnsi="Arial" w:cs="Arial"/>
        </w:rPr>
        <w:tab/>
      </w:r>
      <w:r w:rsidR="00F93E1A" w:rsidRPr="00517F46">
        <w:rPr>
          <w:rFonts w:ascii="Arial" w:hAnsi="Arial" w:cs="Arial"/>
        </w:rPr>
        <w:t xml:space="preserve">The respondents </w:t>
      </w:r>
      <w:r w:rsidR="00077EFD" w:rsidRPr="00517F46">
        <w:rPr>
          <w:rFonts w:ascii="Arial" w:hAnsi="Arial" w:cs="Arial"/>
        </w:rPr>
        <w:t xml:space="preserve">no longer rely on this sub-section and in any event provide no factual basis for </w:t>
      </w:r>
      <w:r w:rsidR="007F6A54" w:rsidRPr="00517F46">
        <w:rPr>
          <w:rFonts w:ascii="Arial" w:hAnsi="Arial" w:cs="Arial"/>
        </w:rPr>
        <w:t>its</w:t>
      </w:r>
      <w:r w:rsidR="00077EFD" w:rsidRPr="00517F46">
        <w:rPr>
          <w:rFonts w:ascii="Arial" w:hAnsi="Arial" w:cs="Arial"/>
        </w:rPr>
        <w:t xml:space="preserve"> application</w:t>
      </w:r>
      <w:r w:rsidR="007F6A54" w:rsidRPr="00517F46">
        <w:rPr>
          <w:rFonts w:ascii="Arial" w:hAnsi="Arial" w:cs="Arial"/>
        </w:rPr>
        <w:t>.</w:t>
      </w:r>
      <w:r w:rsidR="00077EFD" w:rsidRPr="00517F46">
        <w:rPr>
          <w:rFonts w:ascii="Arial" w:hAnsi="Arial" w:cs="Arial"/>
        </w:rPr>
        <w:t xml:space="preserve"> </w:t>
      </w:r>
    </w:p>
    <w:p w:rsidR="0066173C" w:rsidRDefault="0066173C" w:rsidP="0066173C">
      <w:pPr>
        <w:pStyle w:val="ListParagraph"/>
        <w:tabs>
          <w:tab w:val="left" w:pos="6946"/>
        </w:tabs>
        <w:autoSpaceDE w:val="0"/>
        <w:autoSpaceDN w:val="0"/>
        <w:adjustRightInd w:val="0"/>
        <w:spacing w:before="240" w:line="360" w:lineRule="auto"/>
        <w:ind w:left="851"/>
        <w:jc w:val="both"/>
        <w:rPr>
          <w:rFonts w:ascii="Arial" w:hAnsi="Arial" w:cs="Arial"/>
        </w:rPr>
      </w:pPr>
    </w:p>
    <w:p w:rsidR="0066173C" w:rsidRPr="00517F46" w:rsidRDefault="00517F46" w:rsidP="00517F46">
      <w:pPr>
        <w:autoSpaceDE w:val="0"/>
        <w:autoSpaceDN w:val="0"/>
        <w:adjustRightInd w:val="0"/>
        <w:spacing w:line="360" w:lineRule="auto"/>
        <w:jc w:val="both"/>
        <w:rPr>
          <w:rFonts w:ascii="Arial" w:hAnsi="Arial" w:cs="Arial"/>
        </w:rPr>
      </w:pPr>
      <w:r>
        <w:rPr>
          <w:rFonts w:ascii="Arial" w:hAnsi="Arial" w:cs="Arial"/>
        </w:rPr>
        <w:t>[66]</w:t>
      </w:r>
      <w:r>
        <w:rPr>
          <w:rFonts w:ascii="Arial" w:hAnsi="Arial" w:cs="Arial"/>
        </w:rPr>
        <w:tab/>
      </w:r>
      <w:r w:rsidR="00F93E1A" w:rsidRPr="00517F46">
        <w:rPr>
          <w:rFonts w:ascii="Arial" w:hAnsi="Arial" w:cs="Arial"/>
        </w:rPr>
        <w:t xml:space="preserve">I therefore find that the respondents have not </w:t>
      </w:r>
      <w:r w:rsidR="001050DB" w:rsidRPr="00517F46">
        <w:rPr>
          <w:rFonts w:ascii="Arial" w:hAnsi="Arial" w:cs="Arial"/>
        </w:rPr>
        <w:t xml:space="preserve">demonstrated that </w:t>
      </w:r>
      <w:r w:rsidR="00F93E1A" w:rsidRPr="00517F46">
        <w:rPr>
          <w:rFonts w:ascii="Arial" w:hAnsi="Arial" w:cs="Arial"/>
        </w:rPr>
        <w:t xml:space="preserve">access </w:t>
      </w:r>
      <w:r w:rsidR="00E402CA" w:rsidRPr="00517F46">
        <w:rPr>
          <w:rFonts w:ascii="Arial" w:hAnsi="Arial" w:cs="Arial"/>
        </w:rPr>
        <w:t xml:space="preserve">to the investigation reports and the records relating to the PEC meeting </w:t>
      </w:r>
      <w:r w:rsidR="001050DB" w:rsidRPr="00517F46">
        <w:rPr>
          <w:rFonts w:ascii="Arial" w:hAnsi="Arial" w:cs="Arial"/>
        </w:rPr>
        <w:t xml:space="preserve">can be withheld </w:t>
      </w:r>
      <w:r w:rsidR="00F93E1A" w:rsidRPr="00517F46">
        <w:rPr>
          <w:rFonts w:ascii="Arial" w:hAnsi="Arial" w:cs="Arial"/>
        </w:rPr>
        <w:t>on the basis of section 44.</w:t>
      </w:r>
    </w:p>
    <w:p w:rsidR="007F6A54" w:rsidRPr="007F6A54" w:rsidRDefault="007F6A54" w:rsidP="007F6A54">
      <w:pPr>
        <w:pStyle w:val="ListParagraph"/>
        <w:autoSpaceDE w:val="0"/>
        <w:autoSpaceDN w:val="0"/>
        <w:adjustRightInd w:val="0"/>
        <w:spacing w:line="360" w:lineRule="auto"/>
        <w:ind w:left="0"/>
        <w:jc w:val="both"/>
        <w:rPr>
          <w:rFonts w:ascii="Arial" w:hAnsi="Arial" w:cs="Arial"/>
        </w:rPr>
      </w:pPr>
    </w:p>
    <w:p w:rsidR="00B87815" w:rsidRPr="00DE4FBB" w:rsidRDefault="001050DB" w:rsidP="006B7081">
      <w:pPr>
        <w:autoSpaceDE w:val="0"/>
        <w:autoSpaceDN w:val="0"/>
        <w:adjustRightInd w:val="0"/>
        <w:spacing w:line="360" w:lineRule="auto"/>
        <w:jc w:val="both"/>
        <w:rPr>
          <w:rFonts w:ascii="Arial" w:hAnsi="Arial" w:cs="Arial"/>
          <w:b/>
          <w:bCs/>
        </w:rPr>
      </w:pPr>
      <w:r w:rsidRPr="00DE4FBB">
        <w:rPr>
          <w:rFonts w:ascii="Arial" w:hAnsi="Arial" w:cs="Arial"/>
          <w:b/>
          <w:bCs/>
        </w:rPr>
        <w:t>S</w:t>
      </w:r>
      <w:r w:rsidR="00E402CA" w:rsidRPr="00DE4FBB">
        <w:rPr>
          <w:rFonts w:ascii="Arial" w:hAnsi="Arial" w:cs="Arial"/>
          <w:b/>
          <w:bCs/>
        </w:rPr>
        <w:t>ection 23</w:t>
      </w:r>
      <w:r w:rsidRPr="00DE4FBB">
        <w:rPr>
          <w:rFonts w:ascii="Arial" w:hAnsi="Arial" w:cs="Arial"/>
          <w:b/>
          <w:bCs/>
        </w:rPr>
        <w:t>: records that cannot be found</w:t>
      </w:r>
    </w:p>
    <w:p w:rsidR="0062424E" w:rsidRPr="00DE4FBB" w:rsidRDefault="0062424E" w:rsidP="006B7081">
      <w:pPr>
        <w:pStyle w:val="ListParagraph"/>
        <w:autoSpaceDE w:val="0"/>
        <w:autoSpaceDN w:val="0"/>
        <w:adjustRightInd w:val="0"/>
        <w:spacing w:line="360" w:lineRule="auto"/>
        <w:ind w:left="851"/>
        <w:jc w:val="both"/>
        <w:rPr>
          <w:rFonts w:ascii="Arial" w:hAnsi="Arial" w:cs="Arial"/>
        </w:rPr>
      </w:pPr>
    </w:p>
    <w:p w:rsidR="00F46E62" w:rsidRPr="00517F46" w:rsidRDefault="00517F46" w:rsidP="00517F46">
      <w:pPr>
        <w:autoSpaceDE w:val="0"/>
        <w:autoSpaceDN w:val="0"/>
        <w:adjustRightInd w:val="0"/>
        <w:spacing w:line="360" w:lineRule="auto"/>
        <w:jc w:val="both"/>
        <w:rPr>
          <w:rFonts w:ascii="Arial" w:hAnsi="Arial" w:cs="Arial"/>
          <w:i/>
          <w:iCs/>
        </w:rPr>
      </w:pPr>
      <w:r w:rsidRPr="00DE4FBB">
        <w:rPr>
          <w:rFonts w:ascii="Arial" w:hAnsi="Arial" w:cs="Arial"/>
        </w:rPr>
        <w:lastRenderedPageBreak/>
        <w:t>[67]</w:t>
      </w:r>
      <w:r w:rsidRPr="00DE4FBB">
        <w:rPr>
          <w:rFonts w:ascii="Arial" w:hAnsi="Arial" w:cs="Arial"/>
        </w:rPr>
        <w:tab/>
      </w:r>
      <w:r w:rsidR="001050DB" w:rsidRPr="00517F46">
        <w:rPr>
          <w:rFonts w:ascii="Arial" w:hAnsi="Arial" w:cs="Arial"/>
        </w:rPr>
        <w:t xml:space="preserve">The respondents advance an alternative ground </w:t>
      </w:r>
      <w:r w:rsidR="005B10AB" w:rsidRPr="00517F46">
        <w:rPr>
          <w:rFonts w:ascii="Arial" w:hAnsi="Arial" w:cs="Arial"/>
        </w:rPr>
        <w:t>for</w:t>
      </w:r>
      <w:r w:rsidR="00EF1409" w:rsidRPr="00517F46">
        <w:rPr>
          <w:rFonts w:ascii="Arial" w:hAnsi="Arial" w:cs="Arial"/>
        </w:rPr>
        <w:t xml:space="preserve"> </w:t>
      </w:r>
      <w:r w:rsidR="005B10AB" w:rsidRPr="00517F46">
        <w:rPr>
          <w:rFonts w:ascii="Arial" w:hAnsi="Arial" w:cs="Arial"/>
        </w:rPr>
        <w:t xml:space="preserve">refusing access to </w:t>
      </w:r>
      <w:r w:rsidR="001050DB" w:rsidRPr="00517F46">
        <w:rPr>
          <w:rFonts w:ascii="Arial" w:hAnsi="Arial" w:cs="Arial"/>
        </w:rPr>
        <w:t>the Treasury</w:t>
      </w:r>
      <w:r w:rsidR="00EF1409" w:rsidRPr="00517F46">
        <w:rPr>
          <w:rFonts w:ascii="Arial" w:hAnsi="Arial" w:cs="Arial"/>
        </w:rPr>
        <w:t xml:space="preserve"> </w:t>
      </w:r>
      <w:r w:rsidR="001050DB" w:rsidRPr="00517F46">
        <w:rPr>
          <w:rFonts w:ascii="Arial" w:hAnsi="Arial" w:cs="Arial"/>
        </w:rPr>
        <w:t>investigation</w:t>
      </w:r>
      <w:r w:rsidR="005B10AB" w:rsidRPr="00517F46">
        <w:rPr>
          <w:rFonts w:ascii="Arial" w:hAnsi="Arial" w:cs="Arial"/>
        </w:rPr>
        <w:t xml:space="preserve"> </w:t>
      </w:r>
      <w:r w:rsidR="00EF1409" w:rsidRPr="00517F46">
        <w:rPr>
          <w:rFonts w:ascii="Arial" w:hAnsi="Arial" w:cs="Arial"/>
        </w:rPr>
        <w:t>report</w:t>
      </w:r>
      <w:r w:rsidR="00820473" w:rsidRPr="00517F46">
        <w:rPr>
          <w:rFonts w:ascii="Arial" w:hAnsi="Arial" w:cs="Arial"/>
        </w:rPr>
        <w:t xml:space="preserve"> in the event that their reliance on</w:t>
      </w:r>
      <w:r w:rsidR="008449A2" w:rsidRPr="00517F46">
        <w:rPr>
          <w:rFonts w:ascii="Arial" w:hAnsi="Arial" w:cs="Arial"/>
        </w:rPr>
        <w:t xml:space="preserve"> section 44</w:t>
      </w:r>
      <w:r w:rsidR="00820473" w:rsidRPr="00517F46">
        <w:rPr>
          <w:rFonts w:ascii="Arial" w:hAnsi="Arial" w:cs="Arial"/>
        </w:rPr>
        <w:t xml:space="preserve"> is not upheld</w:t>
      </w:r>
      <w:r w:rsidR="00F46E62" w:rsidRPr="00517F46">
        <w:rPr>
          <w:rFonts w:ascii="Arial" w:hAnsi="Arial" w:cs="Arial"/>
        </w:rPr>
        <w:t>. Th</w:t>
      </w:r>
      <w:r w:rsidR="00820473" w:rsidRPr="00517F46">
        <w:rPr>
          <w:rFonts w:ascii="Arial" w:hAnsi="Arial" w:cs="Arial"/>
        </w:rPr>
        <w:t>ey</w:t>
      </w:r>
      <w:r w:rsidR="00F46E62" w:rsidRPr="00517F46">
        <w:rPr>
          <w:rFonts w:ascii="Arial" w:hAnsi="Arial" w:cs="Arial"/>
        </w:rPr>
        <w:t xml:space="preserve"> assert that the report cannot be found and so invoke section 23 of PAIA and submit that they cannot be compelled to produce it.  </w:t>
      </w:r>
    </w:p>
    <w:p w:rsidR="00F46E62" w:rsidRPr="00DE4FBB" w:rsidRDefault="00F46E62" w:rsidP="006B7081">
      <w:pPr>
        <w:pStyle w:val="ListParagraph"/>
        <w:autoSpaceDE w:val="0"/>
        <w:autoSpaceDN w:val="0"/>
        <w:adjustRightInd w:val="0"/>
        <w:spacing w:line="360" w:lineRule="auto"/>
        <w:ind w:left="851"/>
        <w:jc w:val="both"/>
        <w:rPr>
          <w:rFonts w:ascii="Arial" w:hAnsi="Arial" w:cs="Arial"/>
        </w:rPr>
      </w:pPr>
    </w:p>
    <w:p w:rsidR="00F221D2" w:rsidRPr="00517F46" w:rsidRDefault="00517F46" w:rsidP="00517F46">
      <w:pPr>
        <w:autoSpaceDE w:val="0"/>
        <w:autoSpaceDN w:val="0"/>
        <w:adjustRightInd w:val="0"/>
        <w:spacing w:line="360" w:lineRule="auto"/>
        <w:jc w:val="both"/>
        <w:rPr>
          <w:rFonts w:ascii="Arial" w:hAnsi="Arial" w:cs="Arial"/>
        </w:rPr>
      </w:pPr>
      <w:r w:rsidRPr="00EA2C84">
        <w:rPr>
          <w:rFonts w:ascii="Arial" w:hAnsi="Arial" w:cs="Arial"/>
        </w:rPr>
        <w:t>[68]</w:t>
      </w:r>
      <w:r w:rsidRPr="00EA2C84">
        <w:rPr>
          <w:rFonts w:ascii="Arial" w:hAnsi="Arial" w:cs="Arial"/>
        </w:rPr>
        <w:tab/>
      </w:r>
      <w:r w:rsidR="00F221D2" w:rsidRPr="00517F46">
        <w:rPr>
          <w:rFonts w:ascii="Arial" w:hAnsi="Arial" w:cs="Arial"/>
        </w:rPr>
        <w:t xml:space="preserve">Section 23 of the PAIA sets the bar high in respect of records which cannot be found or do not exist. It provides as follows: </w:t>
      </w:r>
    </w:p>
    <w:p w:rsidR="00820473" w:rsidRPr="00EA2C84" w:rsidRDefault="00820473" w:rsidP="00F93D34">
      <w:pPr>
        <w:pStyle w:val="NoSpacing"/>
        <w:ind w:left="720" w:right="708" w:firstLine="720"/>
        <w:rPr>
          <w:rFonts w:ascii="Arial" w:hAnsi="Arial" w:cs="Arial"/>
          <w:color w:val="000000"/>
          <w:sz w:val="22"/>
          <w:szCs w:val="22"/>
        </w:rPr>
      </w:pPr>
      <w:r w:rsidRPr="00EA2C84">
        <w:rPr>
          <w:rFonts w:ascii="Arial" w:hAnsi="Arial" w:cs="Arial"/>
          <w:color w:val="000000"/>
          <w:sz w:val="22"/>
          <w:szCs w:val="22"/>
        </w:rPr>
        <w:t>‘</w:t>
      </w:r>
      <w:r w:rsidR="00F221D2" w:rsidRPr="00EA2C84">
        <w:rPr>
          <w:rFonts w:ascii="Arial" w:hAnsi="Arial" w:cs="Arial"/>
          <w:b/>
          <w:bCs/>
          <w:color w:val="000000"/>
          <w:sz w:val="22"/>
          <w:szCs w:val="22"/>
        </w:rPr>
        <w:t>23.   Records that cannot be found or do not exist.</w:t>
      </w:r>
      <w:r w:rsidR="00F221D2" w:rsidRPr="00EA2C84">
        <w:rPr>
          <w:rFonts w:ascii="Arial" w:hAnsi="Arial" w:cs="Arial"/>
          <w:color w:val="000000"/>
          <w:sz w:val="22"/>
          <w:szCs w:val="22"/>
        </w:rPr>
        <w:t>—</w:t>
      </w:r>
    </w:p>
    <w:p w:rsidR="00F221D2" w:rsidRPr="00DE4FBB" w:rsidRDefault="00F221D2" w:rsidP="00F93D34">
      <w:pPr>
        <w:pStyle w:val="lg-section"/>
        <w:spacing w:before="300" w:beforeAutospacing="0" w:after="0" w:afterAutospacing="0" w:line="360" w:lineRule="auto"/>
        <w:ind w:left="1254" w:right="708" w:firstLine="589"/>
        <w:jc w:val="both"/>
        <w:rPr>
          <w:rFonts w:ascii="Arial" w:hAnsi="Arial" w:cs="Arial"/>
          <w:color w:val="000000"/>
          <w:sz w:val="22"/>
          <w:szCs w:val="22"/>
        </w:rPr>
      </w:pPr>
      <w:r w:rsidRPr="00DE4FBB">
        <w:rPr>
          <w:rFonts w:ascii="Arial" w:hAnsi="Arial" w:cs="Arial"/>
          <w:color w:val="000000"/>
          <w:sz w:val="22"/>
          <w:szCs w:val="22"/>
        </w:rPr>
        <w:t>(1)  If—</w:t>
      </w:r>
    </w:p>
    <w:p w:rsidR="00F221D2" w:rsidRPr="00DE4FBB" w:rsidRDefault="00F221D2" w:rsidP="00F93D34">
      <w:pPr>
        <w:pStyle w:val="lg-a-1"/>
        <w:spacing w:before="180" w:beforeAutospacing="0" w:after="0" w:afterAutospacing="0" w:line="360" w:lineRule="auto"/>
        <w:ind w:left="2268" w:right="708"/>
        <w:jc w:val="both"/>
        <w:rPr>
          <w:rFonts w:ascii="Arial" w:hAnsi="Arial" w:cs="Arial"/>
          <w:color w:val="000000"/>
          <w:sz w:val="22"/>
          <w:szCs w:val="22"/>
        </w:rPr>
      </w:pPr>
      <w:r w:rsidRPr="00DE4FBB">
        <w:rPr>
          <w:rFonts w:ascii="Arial" w:hAnsi="Arial" w:cs="Arial"/>
          <w:color w:val="000000"/>
          <w:sz w:val="22"/>
          <w:szCs w:val="22"/>
        </w:rPr>
        <w:t xml:space="preserve">(a) </w:t>
      </w:r>
      <w:r w:rsidR="00EA2C84">
        <w:rPr>
          <w:rFonts w:ascii="Arial" w:hAnsi="Arial" w:cs="Arial"/>
          <w:color w:val="000000"/>
          <w:sz w:val="22"/>
          <w:szCs w:val="22"/>
        </w:rPr>
        <w:tab/>
      </w:r>
      <w:r w:rsidRPr="00DE4FBB">
        <w:rPr>
          <w:rFonts w:ascii="Arial" w:hAnsi="Arial" w:cs="Arial"/>
          <w:color w:val="000000"/>
          <w:sz w:val="22"/>
          <w:szCs w:val="22"/>
        </w:rPr>
        <w:t xml:space="preserve">all reasonable steps have been taken to find a record </w:t>
      </w:r>
      <w:r w:rsidRPr="00DE4FBB">
        <w:rPr>
          <w:rFonts w:ascii="Arial" w:hAnsi="Arial" w:cs="Arial"/>
          <w:color w:val="000000"/>
          <w:sz w:val="22"/>
          <w:szCs w:val="22"/>
        </w:rPr>
        <w:tab/>
        <w:t>requested; and</w:t>
      </w:r>
    </w:p>
    <w:p w:rsidR="00F221D2" w:rsidRPr="00DE4FBB" w:rsidRDefault="00F221D2" w:rsidP="00F93D34">
      <w:pPr>
        <w:pStyle w:val="lg-a-1"/>
        <w:tabs>
          <w:tab w:val="left" w:pos="2127"/>
        </w:tabs>
        <w:spacing w:before="180" w:beforeAutospacing="0" w:after="0" w:afterAutospacing="0" w:line="360" w:lineRule="auto"/>
        <w:ind w:left="2268" w:right="708"/>
        <w:jc w:val="both"/>
        <w:rPr>
          <w:rFonts w:ascii="Arial" w:hAnsi="Arial" w:cs="Arial"/>
          <w:color w:val="000000"/>
          <w:sz w:val="22"/>
          <w:szCs w:val="22"/>
        </w:rPr>
      </w:pPr>
      <w:r w:rsidRPr="00DE4FBB">
        <w:rPr>
          <w:rFonts w:ascii="Arial" w:hAnsi="Arial" w:cs="Arial"/>
          <w:color w:val="000000"/>
          <w:sz w:val="22"/>
          <w:szCs w:val="22"/>
        </w:rPr>
        <w:t xml:space="preserve">(b)  </w:t>
      </w:r>
      <w:r w:rsidR="00EA2C84">
        <w:rPr>
          <w:rFonts w:ascii="Arial" w:hAnsi="Arial" w:cs="Arial"/>
          <w:color w:val="000000"/>
          <w:sz w:val="22"/>
          <w:szCs w:val="22"/>
        </w:rPr>
        <w:tab/>
      </w:r>
      <w:r w:rsidRPr="00DE4FBB">
        <w:rPr>
          <w:rFonts w:ascii="Arial" w:hAnsi="Arial" w:cs="Arial"/>
          <w:color w:val="000000"/>
          <w:sz w:val="22"/>
          <w:szCs w:val="22"/>
        </w:rPr>
        <w:t xml:space="preserve">there are reasonable grounds for believing that the </w:t>
      </w:r>
      <w:r w:rsidR="00F93D34">
        <w:rPr>
          <w:rFonts w:ascii="Arial" w:hAnsi="Arial" w:cs="Arial"/>
          <w:color w:val="000000"/>
          <w:sz w:val="22"/>
          <w:szCs w:val="22"/>
        </w:rPr>
        <w:tab/>
      </w:r>
      <w:r w:rsidRPr="00DE4FBB">
        <w:rPr>
          <w:rFonts w:ascii="Arial" w:hAnsi="Arial" w:cs="Arial"/>
          <w:color w:val="000000"/>
          <w:sz w:val="22"/>
          <w:szCs w:val="22"/>
        </w:rPr>
        <w:t>record—</w:t>
      </w:r>
    </w:p>
    <w:p w:rsidR="00F221D2" w:rsidRDefault="00517F46" w:rsidP="00517F46">
      <w:pPr>
        <w:pStyle w:val="lg-i-a-1"/>
        <w:spacing w:before="0" w:beforeAutospacing="0" w:after="0" w:afterAutospacing="0" w:line="360" w:lineRule="auto"/>
        <w:ind w:left="3606" w:right="708" w:hanging="720"/>
        <w:jc w:val="both"/>
        <w:rPr>
          <w:rFonts w:ascii="Arial" w:hAnsi="Arial" w:cs="Arial"/>
          <w:color w:val="000000"/>
          <w:sz w:val="22"/>
          <w:szCs w:val="22"/>
        </w:rPr>
      </w:pPr>
      <w:r>
        <w:rPr>
          <w:rFonts w:ascii="Arial" w:hAnsi="Arial" w:cs="Arial"/>
          <w:color w:val="000000"/>
          <w:sz w:val="22"/>
          <w:szCs w:val="22"/>
        </w:rPr>
        <w:t>(i)</w:t>
      </w:r>
      <w:r>
        <w:rPr>
          <w:rFonts w:ascii="Arial" w:hAnsi="Arial" w:cs="Arial"/>
          <w:color w:val="000000"/>
          <w:sz w:val="22"/>
          <w:szCs w:val="22"/>
        </w:rPr>
        <w:tab/>
      </w:r>
      <w:r w:rsidR="00F221D2" w:rsidRPr="00DE4FBB">
        <w:rPr>
          <w:rFonts w:ascii="Arial" w:hAnsi="Arial" w:cs="Arial"/>
          <w:color w:val="000000"/>
          <w:sz w:val="22"/>
          <w:szCs w:val="22"/>
        </w:rPr>
        <w:t>is in the public body’s possession but cannot be found; or</w:t>
      </w:r>
    </w:p>
    <w:p w:rsidR="00F221D2" w:rsidRPr="00DE4FBB" w:rsidRDefault="00EA2C84" w:rsidP="00F93D34">
      <w:pPr>
        <w:pStyle w:val="lg-i-a-1"/>
        <w:spacing w:before="0" w:beforeAutospacing="0" w:after="0" w:afterAutospacing="0" w:line="360" w:lineRule="auto"/>
        <w:ind w:left="851" w:right="708" w:firstLine="850"/>
        <w:jc w:val="both"/>
        <w:rPr>
          <w:rFonts w:ascii="Arial" w:hAnsi="Arial" w:cs="Arial"/>
          <w:color w:val="000000"/>
          <w:sz w:val="22"/>
          <w:szCs w:val="22"/>
        </w:rPr>
      </w:pPr>
      <w:r>
        <w:rPr>
          <w:rFonts w:ascii="Arial" w:hAnsi="Arial" w:cs="Arial"/>
          <w:color w:val="000000"/>
          <w:sz w:val="22"/>
          <w:szCs w:val="22"/>
        </w:rPr>
        <w:tab/>
      </w:r>
      <w:r w:rsidR="00F221D2" w:rsidRPr="00DE4FBB">
        <w:rPr>
          <w:rFonts w:ascii="Arial" w:hAnsi="Arial" w:cs="Arial"/>
          <w:color w:val="000000"/>
          <w:sz w:val="22"/>
          <w:szCs w:val="22"/>
        </w:rPr>
        <w:tab/>
        <w:t xml:space="preserve">(ii) </w:t>
      </w:r>
      <w:r>
        <w:rPr>
          <w:rFonts w:ascii="Arial" w:hAnsi="Arial" w:cs="Arial"/>
          <w:color w:val="000000"/>
          <w:sz w:val="22"/>
          <w:szCs w:val="22"/>
        </w:rPr>
        <w:tab/>
      </w:r>
      <w:r w:rsidR="00F221D2" w:rsidRPr="00DE4FBB">
        <w:rPr>
          <w:rFonts w:ascii="Arial" w:hAnsi="Arial" w:cs="Arial"/>
          <w:color w:val="000000"/>
          <w:sz w:val="22"/>
          <w:szCs w:val="22"/>
        </w:rPr>
        <w:t>does not exist,</w:t>
      </w:r>
    </w:p>
    <w:p w:rsidR="00F221D2" w:rsidRDefault="00F221D2" w:rsidP="00F93D34">
      <w:pPr>
        <w:pStyle w:val="normal-text"/>
        <w:spacing w:before="180" w:beforeAutospacing="0" w:after="0" w:afterAutospacing="0" w:line="360" w:lineRule="auto"/>
        <w:ind w:left="2127" w:right="708"/>
        <w:jc w:val="both"/>
        <w:rPr>
          <w:rFonts w:ascii="Arial" w:hAnsi="Arial" w:cs="Arial"/>
          <w:color w:val="000000"/>
          <w:sz w:val="22"/>
          <w:szCs w:val="22"/>
        </w:rPr>
      </w:pPr>
      <w:r w:rsidRPr="00DE4FBB">
        <w:rPr>
          <w:rFonts w:ascii="Arial" w:hAnsi="Arial" w:cs="Arial"/>
          <w:color w:val="000000"/>
          <w:sz w:val="22"/>
          <w:szCs w:val="22"/>
        </w:rPr>
        <w:t>the information officer of a public body must, by way of affidavit or affirmation, notify the requester that it is not possible to give access to that record.</w:t>
      </w:r>
    </w:p>
    <w:p w:rsidR="00F221D2" w:rsidRPr="00DE4FBB" w:rsidRDefault="00F221D2" w:rsidP="00F93D34">
      <w:pPr>
        <w:pStyle w:val="lg-para3"/>
        <w:spacing w:before="120" w:beforeAutospacing="0" w:after="0" w:afterAutospacing="0" w:line="360" w:lineRule="auto"/>
        <w:ind w:left="2127" w:right="708" w:hanging="284"/>
        <w:jc w:val="both"/>
        <w:rPr>
          <w:rFonts w:ascii="Arial" w:hAnsi="Arial" w:cs="Arial"/>
          <w:color w:val="000000"/>
          <w:sz w:val="22"/>
          <w:szCs w:val="22"/>
        </w:rPr>
      </w:pPr>
      <w:r w:rsidRPr="00DE4FBB">
        <w:rPr>
          <w:rFonts w:ascii="Arial" w:hAnsi="Arial" w:cs="Arial"/>
          <w:color w:val="000000"/>
          <w:sz w:val="22"/>
          <w:szCs w:val="22"/>
        </w:rPr>
        <w:t xml:space="preserve">(2) The affidavit or </w:t>
      </w:r>
      <w:r w:rsidRPr="00DE4FBB">
        <w:rPr>
          <w:rFonts w:ascii="Arial" w:hAnsi="Arial" w:cs="Arial"/>
          <w:color w:val="000000" w:themeColor="text1"/>
          <w:sz w:val="22"/>
          <w:szCs w:val="22"/>
        </w:rPr>
        <w:t>affirmation referred to in</w:t>
      </w:r>
      <w:r w:rsidRPr="00DE4FBB">
        <w:rPr>
          <w:rStyle w:val="apple-converted-space"/>
          <w:rFonts w:ascii="Arial" w:hAnsi="Arial" w:cs="Arial"/>
          <w:color w:val="000000" w:themeColor="text1"/>
          <w:sz w:val="22"/>
          <w:szCs w:val="22"/>
        </w:rPr>
        <w:t> </w:t>
      </w:r>
      <w:hyperlink r:id="rId9" w:anchor="g1" w:history="1">
        <w:r w:rsidRPr="00DE4FBB">
          <w:rPr>
            <w:rStyle w:val="Hyperlink"/>
            <w:rFonts w:ascii="Arial" w:hAnsi="Arial" w:cs="Arial"/>
            <w:color w:val="000000" w:themeColor="text1"/>
            <w:sz w:val="22"/>
            <w:szCs w:val="22"/>
            <w:u w:val="none"/>
          </w:rPr>
          <w:t>subsection (1)</w:t>
        </w:r>
      </w:hyperlink>
      <w:r w:rsidRPr="00DE4FBB">
        <w:rPr>
          <w:rStyle w:val="apple-converted-space"/>
          <w:rFonts w:ascii="Arial" w:hAnsi="Arial" w:cs="Arial"/>
          <w:color w:val="000000" w:themeColor="text1"/>
          <w:sz w:val="22"/>
          <w:szCs w:val="22"/>
        </w:rPr>
        <w:t> </w:t>
      </w:r>
      <w:r w:rsidRPr="00DE4FBB">
        <w:rPr>
          <w:rFonts w:ascii="Arial" w:hAnsi="Arial" w:cs="Arial"/>
          <w:color w:val="000000" w:themeColor="text1"/>
          <w:sz w:val="22"/>
          <w:szCs w:val="22"/>
        </w:rPr>
        <w:t xml:space="preserve">must give </w:t>
      </w:r>
      <w:r w:rsidRPr="00DE4FBB">
        <w:rPr>
          <w:rFonts w:ascii="Arial" w:hAnsi="Arial" w:cs="Arial"/>
          <w:color w:val="000000"/>
          <w:sz w:val="22"/>
          <w:szCs w:val="22"/>
        </w:rPr>
        <w:t>a full account of all steps taken to find the record in question or to determine whether the record exists, as the case may be, including all communications with every person who conducted the search on behalf of the information officer.</w:t>
      </w:r>
      <w:r w:rsidR="00820473" w:rsidRPr="00DE4FBB">
        <w:rPr>
          <w:rFonts w:ascii="Arial" w:hAnsi="Arial" w:cs="Arial"/>
          <w:color w:val="000000"/>
          <w:sz w:val="22"/>
          <w:szCs w:val="22"/>
        </w:rPr>
        <w:t>’</w:t>
      </w:r>
    </w:p>
    <w:p w:rsidR="00F221D2" w:rsidRPr="00DE4FBB" w:rsidRDefault="00F221D2" w:rsidP="006B7081">
      <w:pPr>
        <w:autoSpaceDE w:val="0"/>
        <w:autoSpaceDN w:val="0"/>
        <w:adjustRightInd w:val="0"/>
        <w:spacing w:line="360" w:lineRule="auto"/>
        <w:ind w:left="2127" w:hanging="284"/>
        <w:jc w:val="both"/>
        <w:rPr>
          <w:rFonts w:ascii="Arial" w:hAnsi="Arial" w:cs="Arial"/>
          <w:sz w:val="22"/>
          <w:szCs w:val="22"/>
        </w:rPr>
      </w:pPr>
    </w:p>
    <w:p w:rsidR="001050DB"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[69]</w:t>
      </w:r>
      <w:r w:rsidRPr="00DE4FBB">
        <w:rPr>
          <w:rFonts w:ascii="Arial" w:hAnsi="Arial" w:cs="Arial"/>
        </w:rPr>
        <w:tab/>
      </w:r>
      <w:r w:rsidR="00F221D2" w:rsidRPr="00517F46">
        <w:rPr>
          <w:rFonts w:ascii="Arial" w:hAnsi="Arial" w:cs="Arial"/>
        </w:rPr>
        <w:t xml:space="preserve">The assertion that the Treasury </w:t>
      </w:r>
      <w:r w:rsidR="005B10AB" w:rsidRPr="00517F46">
        <w:rPr>
          <w:rFonts w:ascii="Arial" w:hAnsi="Arial" w:cs="Arial"/>
        </w:rPr>
        <w:t>R</w:t>
      </w:r>
      <w:r w:rsidR="00F221D2" w:rsidRPr="00517F46">
        <w:rPr>
          <w:rFonts w:ascii="Arial" w:hAnsi="Arial" w:cs="Arial"/>
        </w:rPr>
        <w:t xml:space="preserve">eport could not be found was not a ground upon which the respondents relied </w:t>
      </w:r>
      <w:r w:rsidR="00D2578B" w:rsidRPr="00517F46">
        <w:rPr>
          <w:rFonts w:ascii="Arial" w:hAnsi="Arial" w:cs="Arial"/>
        </w:rPr>
        <w:t>to refuse access either in response to the initial request or in</w:t>
      </w:r>
      <w:r w:rsidR="00F221D2" w:rsidRPr="00517F46">
        <w:rPr>
          <w:rFonts w:ascii="Arial" w:hAnsi="Arial" w:cs="Arial"/>
        </w:rPr>
        <w:t xml:space="preserve"> the appeal</w:t>
      </w:r>
      <w:r w:rsidR="00D2578B" w:rsidRPr="00517F46">
        <w:rPr>
          <w:rFonts w:ascii="Arial" w:hAnsi="Arial" w:cs="Arial"/>
        </w:rPr>
        <w:t>.</w:t>
      </w:r>
      <w:r w:rsidR="00F221D2" w:rsidRPr="00517F46">
        <w:rPr>
          <w:rFonts w:ascii="Arial" w:hAnsi="Arial" w:cs="Arial"/>
        </w:rPr>
        <w:t xml:space="preserve"> It was raised for the first time in the answering affidavit.</w:t>
      </w:r>
      <w:r w:rsidR="00F46E62" w:rsidRPr="00517F46">
        <w:rPr>
          <w:rFonts w:ascii="Arial" w:hAnsi="Arial" w:cs="Arial"/>
        </w:rPr>
        <w:t xml:space="preserve"> </w:t>
      </w:r>
      <w:r w:rsidR="00F221D2" w:rsidRPr="00517F46">
        <w:rPr>
          <w:rFonts w:ascii="Arial" w:hAnsi="Arial" w:cs="Arial"/>
        </w:rPr>
        <w:t>The deponent state</w:t>
      </w:r>
      <w:r w:rsidR="001050DB" w:rsidRPr="00517F46">
        <w:rPr>
          <w:rFonts w:ascii="Arial" w:hAnsi="Arial" w:cs="Arial"/>
        </w:rPr>
        <w:t>s</w:t>
      </w:r>
      <w:r w:rsidR="00F221D2" w:rsidRPr="00517F46">
        <w:rPr>
          <w:rFonts w:ascii="Arial" w:hAnsi="Arial" w:cs="Arial"/>
        </w:rPr>
        <w:t xml:space="preserve"> that it was only whilst preparing that affidavit that it was discovered that the </w:t>
      </w:r>
      <w:r w:rsidR="001050DB" w:rsidRPr="00517F46">
        <w:rPr>
          <w:rFonts w:ascii="Arial" w:hAnsi="Arial" w:cs="Arial"/>
        </w:rPr>
        <w:t>Treasury report</w:t>
      </w:r>
      <w:r w:rsidR="00F221D2" w:rsidRPr="00517F46">
        <w:rPr>
          <w:rFonts w:ascii="Arial" w:hAnsi="Arial" w:cs="Arial"/>
        </w:rPr>
        <w:t xml:space="preserve"> could not be found. </w:t>
      </w:r>
    </w:p>
    <w:p w:rsidR="001050DB" w:rsidRPr="00DE4FBB" w:rsidRDefault="001050DB" w:rsidP="006B7081">
      <w:pPr>
        <w:pStyle w:val="ListParagraph"/>
        <w:autoSpaceDE w:val="0"/>
        <w:autoSpaceDN w:val="0"/>
        <w:adjustRightInd w:val="0"/>
        <w:spacing w:line="360" w:lineRule="auto"/>
        <w:ind w:left="851"/>
        <w:jc w:val="both"/>
        <w:rPr>
          <w:rFonts w:ascii="Arial" w:hAnsi="Arial" w:cs="Arial"/>
        </w:rPr>
      </w:pPr>
    </w:p>
    <w:p w:rsidR="00F221D2"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[70]</w:t>
      </w:r>
      <w:r w:rsidRPr="00DE4FBB">
        <w:rPr>
          <w:rFonts w:ascii="Arial" w:hAnsi="Arial" w:cs="Arial"/>
        </w:rPr>
        <w:tab/>
      </w:r>
      <w:r w:rsidR="00F221D2" w:rsidRPr="00517F46">
        <w:rPr>
          <w:rFonts w:ascii="Arial" w:hAnsi="Arial" w:cs="Arial"/>
        </w:rPr>
        <w:t xml:space="preserve">The applicant contends that this precludes the respondents from seeking to rely on </w:t>
      </w:r>
      <w:r w:rsidR="00820473" w:rsidRPr="00517F46">
        <w:rPr>
          <w:rFonts w:ascii="Arial" w:hAnsi="Arial" w:cs="Arial"/>
        </w:rPr>
        <w:t>the provision</w:t>
      </w:r>
      <w:r w:rsidR="00F221D2" w:rsidRPr="00517F46">
        <w:rPr>
          <w:rFonts w:ascii="Arial" w:hAnsi="Arial" w:cs="Arial"/>
        </w:rPr>
        <w:t xml:space="preserve"> now because the affidavits envisaged by section 23 should be </w:t>
      </w:r>
      <w:r w:rsidR="00F221D2" w:rsidRPr="00517F46">
        <w:rPr>
          <w:rFonts w:ascii="Arial" w:hAnsi="Arial" w:cs="Arial"/>
        </w:rPr>
        <w:lastRenderedPageBreak/>
        <w:t>deposed to in response to the request for access. There is force to that argument</w:t>
      </w:r>
      <w:r w:rsidR="00820473" w:rsidRPr="00517F46">
        <w:rPr>
          <w:rFonts w:ascii="Arial" w:hAnsi="Arial" w:cs="Arial"/>
        </w:rPr>
        <w:t xml:space="preserve">, </w:t>
      </w:r>
      <w:r w:rsidR="00F221D2" w:rsidRPr="00517F46">
        <w:rPr>
          <w:rFonts w:ascii="Arial" w:hAnsi="Arial" w:cs="Arial"/>
        </w:rPr>
        <w:t xml:space="preserve">as section 23(3) of PAIA provides that the notice in terms of section </w:t>
      </w:r>
      <w:r w:rsidR="00F46E62" w:rsidRPr="00517F46">
        <w:rPr>
          <w:rFonts w:ascii="Arial" w:hAnsi="Arial" w:cs="Arial"/>
        </w:rPr>
        <w:t xml:space="preserve">23(1) </w:t>
      </w:r>
      <w:r w:rsidR="00F221D2" w:rsidRPr="00517F46">
        <w:rPr>
          <w:rFonts w:ascii="Arial" w:hAnsi="Arial" w:cs="Arial"/>
        </w:rPr>
        <w:t>is to be regarded as a decision to refuse a request for access to the record</w:t>
      </w:r>
      <w:r w:rsidR="00F46E62" w:rsidRPr="00517F46">
        <w:rPr>
          <w:rFonts w:ascii="Arial" w:hAnsi="Arial" w:cs="Arial"/>
        </w:rPr>
        <w:t>. This</w:t>
      </w:r>
      <w:r w:rsidR="00F221D2" w:rsidRPr="00517F46">
        <w:rPr>
          <w:rFonts w:ascii="Arial" w:hAnsi="Arial" w:cs="Arial"/>
        </w:rPr>
        <w:t xml:space="preserve"> signifies that the affidavit </w:t>
      </w:r>
      <w:r w:rsidR="00F46E62" w:rsidRPr="00517F46">
        <w:rPr>
          <w:rFonts w:ascii="Arial" w:hAnsi="Arial" w:cs="Arial"/>
        </w:rPr>
        <w:t xml:space="preserve">envisaged by that sub-section </w:t>
      </w:r>
      <w:r w:rsidR="00F221D2" w:rsidRPr="00517F46">
        <w:rPr>
          <w:rFonts w:ascii="Arial" w:hAnsi="Arial" w:cs="Arial"/>
        </w:rPr>
        <w:t>is deposed to in response to the application for access</w:t>
      </w:r>
      <w:r w:rsidR="00F46E62" w:rsidRPr="00517F46">
        <w:rPr>
          <w:rFonts w:ascii="Arial" w:hAnsi="Arial" w:cs="Arial"/>
        </w:rPr>
        <w:t>,</w:t>
      </w:r>
      <w:r w:rsidR="00F221D2" w:rsidRPr="00517F46">
        <w:rPr>
          <w:rFonts w:ascii="Arial" w:hAnsi="Arial" w:cs="Arial"/>
        </w:rPr>
        <w:t xml:space="preserve"> not only once an application to compel production is brought. It is not </w:t>
      </w:r>
      <w:r w:rsidR="00F46E62" w:rsidRPr="00517F46">
        <w:rPr>
          <w:rFonts w:ascii="Arial" w:hAnsi="Arial" w:cs="Arial"/>
        </w:rPr>
        <w:t xml:space="preserve">however </w:t>
      </w:r>
      <w:r w:rsidR="00F221D2" w:rsidRPr="00517F46">
        <w:rPr>
          <w:rFonts w:ascii="Arial" w:hAnsi="Arial" w:cs="Arial"/>
        </w:rPr>
        <w:t xml:space="preserve">necessary for me to decide this issue by virtue of the view I take on the manner in which the respondents have sought to rely on section 23. </w:t>
      </w:r>
    </w:p>
    <w:p w:rsidR="00F221D2" w:rsidRPr="00DE4FBB" w:rsidRDefault="00F221D2" w:rsidP="006B7081">
      <w:pPr>
        <w:pStyle w:val="ListParagraph"/>
        <w:spacing w:line="360" w:lineRule="auto"/>
        <w:rPr>
          <w:rFonts w:ascii="Arial" w:hAnsi="Arial" w:cs="Arial"/>
        </w:rPr>
      </w:pPr>
    </w:p>
    <w:p w:rsidR="00F46E62"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[71]</w:t>
      </w:r>
      <w:r w:rsidRPr="00DE4FBB">
        <w:rPr>
          <w:rFonts w:ascii="Arial" w:hAnsi="Arial" w:cs="Arial"/>
        </w:rPr>
        <w:tab/>
      </w:r>
      <w:r w:rsidR="00F221D2" w:rsidRPr="00517F46">
        <w:rPr>
          <w:rFonts w:ascii="Arial" w:hAnsi="Arial" w:cs="Arial"/>
        </w:rPr>
        <w:t>The deponent to the answering affidavit states only</w:t>
      </w:r>
      <w:r w:rsidR="00F46E62" w:rsidRPr="00517F46">
        <w:rPr>
          <w:rFonts w:ascii="Arial" w:hAnsi="Arial" w:cs="Arial"/>
        </w:rPr>
        <w:t>:-</w:t>
      </w:r>
    </w:p>
    <w:p w:rsidR="005A2DDE" w:rsidRPr="00EA2C84" w:rsidRDefault="00F46E62" w:rsidP="00F93D34">
      <w:pPr>
        <w:pStyle w:val="ListParagraph"/>
        <w:autoSpaceDE w:val="0"/>
        <w:autoSpaceDN w:val="0"/>
        <w:adjustRightInd w:val="0"/>
        <w:spacing w:line="360" w:lineRule="auto"/>
        <w:ind w:left="1418" w:right="708"/>
        <w:jc w:val="both"/>
        <w:rPr>
          <w:rFonts w:ascii="Arial" w:hAnsi="Arial" w:cs="Arial"/>
          <w:sz w:val="22"/>
          <w:szCs w:val="22"/>
        </w:rPr>
      </w:pPr>
      <w:r w:rsidRPr="00EA2C84">
        <w:rPr>
          <w:rFonts w:ascii="Arial" w:hAnsi="Arial" w:cs="Arial"/>
          <w:sz w:val="22"/>
          <w:szCs w:val="22"/>
        </w:rPr>
        <w:t>‘To the extent that this Honourable Court may find that I did not exercise the powers conferred on me by section 44(1)(a)(i) of the Act properly</w:t>
      </w:r>
      <w:r w:rsidR="008449A2">
        <w:rPr>
          <w:rFonts w:ascii="Arial" w:hAnsi="Arial" w:cs="Arial"/>
          <w:sz w:val="22"/>
          <w:szCs w:val="22"/>
        </w:rPr>
        <w:t>,</w:t>
      </w:r>
      <w:r w:rsidRPr="00EA2C84">
        <w:rPr>
          <w:rFonts w:ascii="Arial" w:hAnsi="Arial" w:cs="Arial"/>
          <w:sz w:val="22"/>
          <w:szCs w:val="22"/>
        </w:rPr>
        <w:t xml:space="preserve"> I respectfully submit that the Treasury Investigation report cannot be found after all reasonable steps have been taken to find the report.’</w:t>
      </w:r>
    </w:p>
    <w:p w:rsidR="00F221D2" w:rsidRPr="00DE4FBB" w:rsidRDefault="00F221D2" w:rsidP="006B7081">
      <w:pPr>
        <w:spacing w:line="360" w:lineRule="auto"/>
        <w:rPr>
          <w:rFonts w:ascii="Arial" w:hAnsi="Arial" w:cs="Arial"/>
        </w:rPr>
      </w:pPr>
    </w:p>
    <w:p w:rsidR="00F221D2"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[72]</w:t>
      </w:r>
      <w:r w:rsidRPr="00DE4FBB">
        <w:rPr>
          <w:rFonts w:ascii="Arial" w:hAnsi="Arial" w:cs="Arial"/>
        </w:rPr>
        <w:tab/>
      </w:r>
      <w:r w:rsidR="00F46E62" w:rsidRPr="00517F46">
        <w:rPr>
          <w:rFonts w:ascii="Arial" w:hAnsi="Arial" w:cs="Arial"/>
        </w:rPr>
        <w:t>No information whatsoever is given regarding what steps were taken</w:t>
      </w:r>
      <w:r w:rsidR="00D2578B" w:rsidRPr="00517F46">
        <w:rPr>
          <w:rFonts w:ascii="Arial" w:hAnsi="Arial" w:cs="Arial"/>
        </w:rPr>
        <w:t xml:space="preserve"> to find the report</w:t>
      </w:r>
      <w:r w:rsidR="00F46E62" w:rsidRPr="00517F46">
        <w:rPr>
          <w:rFonts w:ascii="Arial" w:hAnsi="Arial" w:cs="Arial"/>
        </w:rPr>
        <w:t>, when</w:t>
      </w:r>
      <w:r w:rsidR="00D2578B" w:rsidRPr="00517F46">
        <w:rPr>
          <w:rFonts w:ascii="Arial" w:hAnsi="Arial" w:cs="Arial"/>
        </w:rPr>
        <w:t xml:space="preserve"> or by whom</w:t>
      </w:r>
      <w:r w:rsidR="00F46E62" w:rsidRPr="00517F46">
        <w:rPr>
          <w:rFonts w:ascii="Arial" w:hAnsi="Arial" w:cs="Arial"/>
        </w:rPr>
        <w:t xml:space="preserve"> </w:t>
      </w:r>
      <w:r w:rsidR="00683EDC" w:rsidRPr="00517F46">
        <w:rPr>
          <w:rFonts w:ascii="Arial" w:hAnsi="Arial" w:cs="Arial"/>
        </w:rPr>
        <w:t>any</w:t>
      </w:r>
      <w:r w:rsidR="008449A2" w:rsidRPr="00517F46">
        <w:rPr>
          <w:rFonts w:ascii="Arial" w:hAnsi="Arial" w:cs="Arial"/>
        </w:rPr>
        <w:t xml:space="preserve"> steps</w:t>
      </w:r>
      <w:r w:rsidR="00F46E62" w:rsidRPr="00517F46">
        <w:rPr>
          <w:rFonts w:ascii="Arial" w:hAnsi="Arial" w:cs="Arial"/>
        </w:rPr>
        <w:t xml:space="preserve"> were taken </w:t>
      </w:r>
      <w:r w:rsidR="00D2578B" w:rsidRPr="00517F46">
        <w:rPr>
          <w:rFonts w:ascii="Arial" w:hAnsi="Arial" w:cs="Arial"/>
        </w:rPr>
        <w:t xml:space="preserve">or </w:t>
      </w:r>
      <w:r w:rsidR="00F46E62" w:rsidRPr="00517F46">
        <w:rPr>
          <w:rFonts w:ascii="Arial" w:hAnsi="Arial" w:cs="Arial"/>
        </w:rPr>
        <w:t>what each of those steps revealed</w:t>
      </w:r>
      <w:r w:rsidR="00D2578B" w:rsidRPr="00517F46">
        <w:rPr>
          <w:rFonts w:ascii="Arial" w:hAnsi="Arial" w:cs="Arial"/>
        </w:rPr>
        <w:t>.</w:t>
      </w:r>
      <w:r w:rsidR="00F46E62" w:rsidRPr="00517F46">
        <w:rPr>
          <w:rFonts w:ascii="Arial" w:hAnsi="Arial" w:cs="Arial"/>
        </w:rPr>
        <w:t xml:space="preserve"> </w:t>
      </w:r>
      <w:r w:rsidR="00D2578B" w:rsidRPr="00517F46">
        <w:rPr>
          <w:rFonts w:ascii="Arial" w:hAnsi="Arial" w:cs="Arial"/>
        </w:rPr>
        <w:t>N</w:t>
      </w:r>
      <w:r w:rsidR="00F221D2" w:rsidRPr="00517F46">
        <w:rPr>
          <w:rFonts w:ascii="Arial" w:hAnsi="Arial" w:cs="Arial"/>
        </w:rPr>
        <w:t xml:space="preserve">or is any communication with any person who conducted the search disclosed. The answering affidavit therefore goes nowhere near satisfying the conjunctive requirements </w:t>
      </w:r>
      <w:r w:rsidR="00683EDC" w:rsidRPr="00517F46">
        <w:rPr>
          <w:rFonts w:ascii="Arial" w:hAnsi="Arial" w:cs="Arial"/>
        </w:rPr>
        <w:t xml:space="preserve">of </w:t>
      </w:r>
      <w:r w:rsidR="00F221D2" w:rsidRPr="00517F46">
        <w:rPr>
          <w:rFonts w:ascii="Arial" w:hAnsi="Arial" w:cs="Arial"/>
        </w:rPr>
        <w:t xml:space="preserve">sections 23(1)(a) and (b) </w:t>
      </w:r>
      <w:r w:rsidR="00D2578B" w:rsidRPr="00517F46">
        <w:rPr>
          <w:rFonts w:ascii="Arial" w:hAnsi="Arial" w:cs="Arial"/>
        </w:rPr>
        <w:t>and</w:t>
      </w:r>
      <w:r w:rsidR="00F221D2" w:rsidRPr="00517F46">
        <w:rPr>
          <w:rFonts w:ascii="Arial" w:hAnsi="Arial" w:cs="Arial"/>
        </w:rPr>
        <w:t xml:space="preserve"> section 23(2).</w:t>
      </w:r>
    </w:p>
    <w:p w:rsidR="00F221D2" w:rsidRPr="00DE4FBB" w:rsidRDefault="00F221D2" w:rsidP="006B7081">
      <w:pPr>
        <w:pStyle w:val="ListParagraph"/>
        <w:tabs>
          <w:tab w:val="left" w:pos="6946"/>
        </w:tabs>
        <w:autoSpaceDE w:val="0"/>
        <w:autoSpaceDN w:val="0"/>
        <w:adjustRightInd w:val="0"/>
        <w:spacing w:line="360" w:lineRule="auto"/>
        <w:ind w:left="851"/>
        <w:jc w:val="both"/>
        <w:rPr>
          <w:rFonts w:ascii="Arial" w:hAnsi="Arial" w:cs="Arial"/>
        </w:rPr>
      </w:pPr>
    </w:p>
    <w:p w:rsidR="00FA3A15"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[73]</w:t>
      </w:r>
      <w:r w:rsidRPr="00DE4FBB">
        <w:rPr>
          <w:rFonts w:ascii="Arial" w:hAnsi="Arial" w:cs="Arial"/>
        </w:rPr>
        <w:tab/>
      </w:r>
      <w:r w:rsidR="00F221D2" w:rsidRPr="00517F46">
        <w:rPr>
          <w:rFonts w:ascii="Arial" w:hAnsi="Arial" w:cs="Arial"/>
        </w:rPr>
        <w:t>That lack of detail, in the face of the express requirements of section 23</w:t>
      </w:r>
      <w:r w:rsidR="00D2578B" w:rsidRPr="00517F46">
        <w:rPr>
          <w:rFonts w:ascii="Arial" w:hAnsi="Arial" w:cs="Arial"/>
        </w:rPr>
        <w:t>,</w:t>
      </w:r>
      <w:r w:rsidR="00F221D2" w:rsidRPr="00517F46">
        <w:rPr>
          <w:rFonts w:ascii="Arial" w:hAnsi="Arial" w:cs="Arial"/>
        </w:rPr>
        <w:t xml:space="preserve"> is egregious in and of itself. The fact that the </w:t>
      </w:r>
      <w:r w:rsidR="005B10AB" w:rsidRPr="00517F46">
        <w:rPr>
          <w:rFonts w:ascii="Arial" w:hAnsi="Arial" w:cs="Arial"/>
        </w:rPr>
        <w:t xml:space="preserve">Treasury </w:t>
      </w:r>
      <w:r w:rsidR="00F221D2" w:rsidRPr="00517F46">
        <w:rPr>
          <w:rFonts w:ascii="Arial" w:hAnsi="Arial" w:cs="Arial"/>
        </w:rPr>
        <w:t>report relates to alleg</w:t>
      </w:r>
      <w:r w:rsidR="00FA3A15" w:rsidRPr="00517F46">
        <w:rPr>
          <w:rFonts w:ascii="Arial" w:hAnsi="Arial" w:cs="Arial"/>
        </w:rPr>
        <w:t xml:space="preserve">ations of </w:t>
      </w:r>
      <w:r w:rsidR="00F221D2" w:rsidRPr="00517F46">
        <w:rPr>
          <w:rFonts w:ascii="Arial" w:hAnsi="Arial" w:cs="Arial"/>
        </w:rPr>
        <w:t xml:space="preserve"> financial misconduct </w:t>
      </w:r>
      <w:r w:rsidR="00FA3A15" w:rsidRPr="00517F46">
        <w:rPr>
          <w:rFonts w:ascii="Arial" w:hAnsi="Arial" w:cs="Arial"/>
        </w:rPr>
        <w:t xml:space="preserve">by the head </w:t>
      </w:r>
      <w:r w:rsidR="00F221D2" w:rsidRPr="00517F46">
        <w:rPr>
          <w:rFonts w:ascii="Arial" w:hAnsi="Arial" w:cs="Arial"/>
        </w:rPr>
        <w:t xml:space="preserve">of a provincial government department makes the bald allegation even less credible. </w:t>
      </w:r>
      <w:r w:rsidR="00D2578B" w:rsidRPr="00517F46">
        <w:rPr>
          <w:rFonts w:ascii="Arial" w:hAnsi="Arial" w:cs="Arial"/>
        </w:rPr>
        <w:t>I</w:t>
      </w:r>
      <w:r w:rsidR="006B248F" w:rsidRPr="00517F46">
        <w:rPr>
          <w:rFonts w:ascii="Arial" w:hAnsi="Arial" w:cs="Arial"/>
        </w:rPr>
        <w:t>n addition</w:t>
      </w:r>
      <w:r w:rsidR="00D2578B" w:rsidRPr="00517F46">
        <w:rPr>
          <w:rFonts w:ascii="Arial" w:hAnsi="Arial" w:cs="Arial"/>
        </w:rPr>
        <w:t>, it is</w:t>
      </w:r>
      <w:r w:rsidR="006B248F" w:rsidRPr="00517F46">
        <w:rPr>
          <w:rFonts w:ascii="Arial" w:hAnsi="Arial" w:cs="Arial"/>
        </w:rPr>
        <w:t xml:space="preserve"> inconceivable there was only one copy of the report or that a duplicate could not be obtained from its author</w:t>
      </w:r>
      <w:r w:rsidR="00132284" w:rsidRPr="00517F46">
        <w:rPr>
          <w:rFonts w:ascii="Arial" w:hAnsi="Arial" w:cs="Arial"/>
        </w:rPr>
        <w:t xml:space="preserve">. Unsurprisingly, the </w:t>
      </w:r>
      <w:r w:rsidR="006B248F" w:rsidRPr="00517F46">
        <w:rPr>
          <w:rFonts w:ascii="Arial" w:hAnsi="Arial" w:cs="Arial"/>
        </w:rPr>
        <w:t>respondents do no</w:t>
      </w:r>
      <w:r w:rsidR="00790B03" w:rsidRPr="00517F46">
        <w:rPr>
          <w:rFonts w:ascii="Arial" w:hAnsi="Arial" w:cs="Arial"/>
        </w:rPr>
        <w:t>t</w:t>
      </w:r>
      <w:r w:rsidR="006B248F" w:rsidRPr="00517F46">
        <w:rPr>
          <w:rFonts w:ascii="Arial" w:hAnsi="Arial" w:cs="Arial"/>
        </w:rPr>
        <w:t xml:space="preserve"> suggest this to be case. </w:t>
      </w:r>
    </w:p>
    <w:p w:rsidR="00FA3A15" w:rsidRPr="00DE4FBB" w:rsidRDefault="00FA3A15" w:rsidP="006B7081">
      <w:pPr>
        <w:pStyle w:val="ListParagraph"/>
        <w:spacing w:line="360" w:lineRule="auto"/>
        <w:rPr>
          <w:rFonts w:ascii="Arial" w:hAnsi="Arial" w:cs="Arial"/>
        </w:rPr>
      </w:pPr>
    </w:p>
    <w:p w:rsidR="00D2578B" w:rsidRPr="00517F46" w:rsidRDefault="00517F46" w:rsidP="00517F46">
      <w:pPr>
        <w:autoSpaceDE w:val="0"/>
        <w:autoSpaceDN w:val="0"/>
        <w:adjustRightInd w:val="0"/>
        <w:spacing w:line="360" w:lineRule="auto"/>
        <w:jc w:val="both"/>
        <w:rPr>
          <w:rFonts w:ascii="Arial" w:hAnsi="Arial" w:cs="Arial"/>
        </w:rPr>
      </w:pPr>
      <w:r>
        <w:rPr>
          <w:rFonts w:ascii="Arial" w:hAnsi="Arial" w:cs="Arial"/>
        </w:rPr>
        <w:t>[74]</w:t>
      </w:r>
      <w:r>
        <w:rPr>
          <w:rFonts w:ascii="Arial" w:hAnsi="Arial" w:cs="Arial"/>
        </w:rPr>
        <w:tab/>
      </w:r>
      <w:r w:rsidR="00F221D2" w:rsidRPr="00517F46">
        <w:rPr>
          <w:rFonts w:ascii="Arial" w:hAnsi="Arial" w:cs="Arial"/>
        </w:rPr>
        <w:t xml:space="preserve">The respondents’ difficulties in </w:t>
      </w:r>
      <w:r w:rsidR="00132284" w:rsidRPr="00517F46">
        <w:rPr>
          <w:rFonts w:ascii="Arial" w:hAnsi="Arial" w:cs="Arial"/>
        </w:rPr>
        <w:t xml:space="preserve">attempting to rely on section 23 </w:t>
      </w:r>
      <w:r w:rsidR="00F221D2" w:rsidRPr="00517F46">
        <w:rPr>
          <w:rFonts w:ascii="Arial" w:hAnsi="Arial" w:cs="Arial"/>
        </w:rPr>
        <w:t xml:space="preserve">are compounded by the fact that in reply, the applicant </w:t>
      </w:r>
      <w:r w:rsidR="009C6CA8" w:rsidRPr="00517F46">
        <w:rPr>
          <w:rFonts w:ascii="Arial" w:hAnsi="Arial" w:cs="Arial"/>
        </w:rPr>
        <w:t xml:space="preserve"> stated</w:t>
      </w:r>
      <w:r w:rsidR="00D2578B" w:rsidRPr="00517F46">
        <w:rPr>
          <w:rFonts w:ascii="Arial" w:hAnsi="Arial" w:cs="Arial"/>
        </w:rPr>
        <w:t>:</w:t>
      </w:r>
    </w:p>
    <w:p w:rsidR="00D2578B" w:rsidRPr="00D2578B" w:rsidRDefault="00D2578B" w:rsidP="00D2578B">
      <w:pPr>
        <w:pStyle w:val="ListParagraph"/>
        <w:rPr>
          <w:rFonts w:ascii="Arial" w:hAnsi="Arial" w:cs="Arial"/>
        </w:rPr>
      </w:pPr>
    </w:p>
    <w:p w:rsidR="009C6CA8" w:rsidRPr="00D2578B" w:rsidRDefault="009C6CA8" w:rsidP="00F93D34">
      <w:pPr>
        <w:pStyle w:val="ListParagraph"/>
        <w:autoSpaceDE w:val="0"/>
        <w:autoSpaceDN w:val="0"/>
        <w:adjustRightInd w:val="0"/>
        <w:spacing w:line="360" w:lineRule="auto"/>
        <w:ind w:left="1418" w:right="708"/>
        <w:jc w:val="both"/>
        <w:rPr>
          <w:rFonts w:ascii="Arial" w:hAnsi="Arial" w:cs="Arial"/>
          <w:sz w:val="22"/>
          <w:szCs w:val="22"/>
        </w:rPr>
      </w:pPr>
      <w:r w:rsidRPr="00D2578B">
        <w:rPr>
          <w:rFonts w:ascii="Arial" w:hAnsi="Arial" w:cs="Arial"/>
          <w:sz w:val="22"/>
          <w:szCs w:val="22"/>
        </w:rPr>
        <w:t xml:space="preserve">‘I know for a fact that the Fifth Respondent keeps copies of all its forensic investigations in various places. The person to whom the deponent should speak is one Jessantha Naidoo, the Head of Forensic Investigations at the Fifth Respondent.’ </w:t>
      </w:r>
    </w:p>
    <w:p w:rsidR="009C6CA8" w:rsidRPr="00DE4FBB" w:rsidRDefault="009C6CA8" w:rsidP="006B7081">
      <w:pPr>
        <w:pStyle w:val="ListParagraph"/>
        <w:spacing w:line="360" w:lineRule="auto"/>
        <w:rPr>
          <w:rFonts w:ascii="Arial" w:hAnsi="Arial" w:cs="Arial"/>
        </w:rPr>
      </w:pPr>
    </w:p>
    <w:p w:rsidR="00F221D2"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[75]</w:t>
      </w:r>
      <w:r w:rsidRPr="00DE4FBB">
        <w:rPr>
          <w:rFonts w:ascii="Arial" w:hAnsi="Arial" w:cs="Arial"/>
        </w:rPr>
        <w:tab/>
      </w:r>
      <w:r w:rsidR="009C6CA8" w:rsidRPr="00517F46">
        <w:rPr>
          <w:rFonts w:ascii="Arial" w:hAnsi="Arial" w:cs="Arial"/>
        </w:rPr>
        <w:t xml:space="preserve">Despite having been given </w:t>
      </w:r>
      <w:r w:rsidR="00F221D2" w:rsidRPr="00517F46">
        <w:rPr>
          <w:rFonts w:ascii="Arial" w:hAnsi="Arial" w:cs="Arial"/>
        </w:rPr>
        <w:t xml:space="preserve">details of the person who would likely be in possession of </w:t>
      </w:r>
      <w:r w:rsidR="00132284" w:rsidRPr="00517F46">
        <w:rPr>
          <w:rFonts w:ascii="Arial" w:hAnsi="Arial" w:cs="Arial"/>
        </w:rPr>
        <w:t>the Treasury</w:t>
      </w:r>
      <w:r w:rsidR="00F221D2" w:rsidRPr="00517F46">
        <w:rPr>
          <w:rFonts w:ascii="Arial" w:hAnsi="Arial" w:cs="Arial"/>
        </w:rPr>
        <w:t xml:space="preserve"> report</w:t>
      </w:r>
      <w:r w:rsidR="00FA3A15" w:rsidRPr="00517F46">
        <w:rPr>
          <w:rFonts w:ascii="Arial" w:hAnsi="Arial" w:cs="Arial"/>
        </w:rPr>
        <w:t xml:space="preserve"> or be able to assist the respondents </w:t>
      </w:r>
      <w:r w:rsidR="005B10AB" w:rsidRPr="00517F46">
        <w:rPr>
          <w:rFonts w:ascii="Arial" w:hAnsi="Arial" w:cs="Arial"/>
        </w:rPr>
        <w:t>in</w:t>
      </w:r>
      <w:r w:rsidR="00FA3A15" w:rsidRPr="00517F46">
        <w:rPr>
          <w:rFonts w:ascii="Arial" w:hAnsi="Arial" w:cs="Arial"/>
        </w:rPr>
        <w:t xml:space="preserve"> locating it</w:t>
      </w:r>
      <w:r w:rsidR="009C6CA8" w:rsidRPr="00517F46">
        <w:rPr>
          <w:rFonts w:ascii="Arial" w:hAnsi="Arial" w:cs="Arial"/>
        </w:rPr>
        <w:t>, t</w:t>
      </w:r>
      <w:r w:rsidR="00F221D2" w:rsidRPr="00517F46">
        <w:rPr>
          <w:rFonts w:ascii="Arial" w:hAnsi="Arial" w:cs="Arial"/>
        </w:rPr>
        <w:t xml:space="preserve">he respondents did not seek to file any further affidavits dealing with the extent of the enquiries they had made </w:t>
      </w:r>
      <w:r w:rsidR="00D2578B" w:rsidRPr="00517F46">
        <w:rPr>
          <w:rFonts w:ascii="Arial" w:hAnsi="Arial" w:cs="Arial"/>
        </w:rPr>
        <w:t xml:space="preserve">in consequence of the applicant’s disclosure, </w:t>
      </w:r>
      <w:r w:rsidR="00F46E62" w:rsidRPr="00517F46">
        <w:rPr>
          <w:rFonts w:ascii="Arial" w:hAnsi="Arial" w:cs="Arial"/>
        </w:rPr>
        <w:t xml:space="preserve">or </w:t>
      </w:r>
      <w:r w:rsidR="00F221D2" w:rsidRPr="00517F46">
        <w:rPr>
          <w:rFonts w:ascii="Arial" w:hAnsi="Arial" w:cs="Arial"/>
        </w:rPr>
        <w:t xml:space="preserve">what was revealed when they spoke to the person named by the applicant as being in a position to assist them in their search. One would have expected such investigations to be </w:t>
      </w:r>
      <w:r w:rsidR="00132284" w:rsidRPr="00517F46">
        <w:rPr>
          <w:rFonts w:ascii="Arial" w:hAnsi="Arial" w:cs="Arial"/>
        </w:rPr>
        <w:t xml:space="preserve">conducted </w:t>
      </w:r>
      <w:r w:rsidR="00F221D2" w:rsidRPr="00517F46">
        <w:rPr>
          <w:rFonts w:ascii="Arial" w:hAnsi="Arial" w:cs="Arial"/>
        </w:rPr>
        <w:t xml:space="preserve">and an affidavit </w:t>
      </w:r>
      <w:r w:rsidR="00683EDC" w:rsidRPr="00517F46">
        <w:rPr>
          <w:rFonts w:ascii="Arial" w:hAnsi="Arial" w:cs="Arial"/>
        </w:rPr>
        <w:t xml:space="preserve">filed </w:t>
      </w:r>
      <w:r w:rsidR="00132284" w:rsidRPr="00517F46">
        <w:rPr>
          <w:rFonts w:ascii="Arial" w:hAnsi="Arial" w:cs="Arial"/>
        </w:rPr>
        <w:t>in that regard</w:t>
      </w:r>
      <w:r w:rsidR="00F221D2" w:rsidRPr="00517F46">
        <w:rPr>
          <w:rFonts w:ascii="Arial" w:hAnsi="Arial" w:cs="Arial"/>
        </w:rPr>
        <w:t>.</w:t>
      </w:r>
      <w:r w:rsidR="00F221D2" w:rsidRPr="00DE4FBB">
        <w:rPr>
          <w:rStyle w:val="FootnoteReference"/>
          <w:rFonts w:ascii="Arial" w:hAnsi="Arial" w:cs="Arial"/>
        </w:rPr>
        <w:footnoteReference w:id="32"/>
      </w:r>
      <w:r w:rsidR="00F221D2" w:rsidRPr="00517F46">
        <w:rPr>
          <w:rFonts w:ascii="Arial" w:hAnsi="Arial" w:cs="Arial"/>
        </w:rPr>
        <w:t xml:space="preserve"> </w:t>
      </w:r>
    </w:p>
    <w:p w:rsidR="00F221D2" w:rsidRPr="00DE4FBB" w:rsidRDefault="00F221D2" w:rsidP="006B7081">
      <w:pPr>
        <w:pStyle w:val="ListParagraph"/>
        <w:tabs>
          <w:tab w:val="left" w:pos="6946"/>
        </w:tabs>
        <w:autoSpaceDE w:val="0"/>
        <w:autoSpaceDN w:val="0"/>
        <w:adjustRightInd w:val="0"/>
        <w:spacing w:line="360" w:lineRule="auto"/>
        <w:ind w:left="851"/>
        <w:jc w:val="both"/>
        <w:rPr>
          <w:rFonts w:ascii="Arial" w:hAnsi="Arial" w:cs="Arial"/>
        </w:rPr>
      </w:pPr>
    </w:p>
    <w:p w:rsidR="006B248F" w:rsidRPr="00517F46" w:rsidRDefault="00517F46" w:rsidP="00517F46">
      <w:pPr>
        <w:autoSpaceDE w:val="0"/>
        <w:autoSpaceDN w:val="0"/>
        <w:adjustRightInd w:val="0"/>
        <w:spacing w:line="360" w:lineRule="auto"/>
        <w:jc w:val="both"/>
        <w:rPr>
          <w:rFonts w:ascii="Arial" w:hAnsi="Arial" w:cs="Arial"/>
        </w:rPr>
      </w:pPr>
      <w:r>
        <w:rPr>
          <w:rFonts w:ascii="Arial" w:hAnsi="Arial" w:cs="Arial"/>
        </w:rPr>
        <w:t>[76]</w:t>
      </w:r>
      <w:r>
        <w:rPr>
          <w:rFonts w:ascii="Arial" w:hAnsi="Arial" w:cs="Arial"/>
        </w:rPr>
        <w:tab/>
      </w:r>
      <w:r w:rsidR="00FA3A15" w:rsidRPr="00517F46">
        <w:rPr>
          <w:rFonts w:ascii="Arial" w:hAnsi="Arial" w:cs="Arial"/>
        </w:rPr>
        <w:t>The respondents’ bald allegations are entirely inadequate to discharge the burden resting on them</w:t>
      </w:r>
      <w:r w:rsidR="009C6CA8" w:rsidRPr="00517F46">
        <w:rPr>
          <w:rFonts w:ascii="Arial" w:hAnsi="Arial" w:cs="Arial"/>
        </w:rPr>
        <w:t xml:space="preserve"> to demonstrate that the Treasury Report cannot be found. </w:t>
      </w:r>
    </w:p>
    <w:p w:rsidR="00FD2A00" w:rsidRPr="00DE4FBB" w:rsidRDefault="00FD2A00" w:rsidP="006B7081">
      <w:pPr>
        <w:autoSpaceDE w:val="0"/>
        <w:autoSpaceDN w:val="0"/>
        <w:adjustRightInd w:val="0"/>
        <w:spacing w:line="360" w:lineRule="auto"/>
        <w:jc w:val="both"/>
        <w:rPr>
          <w:rFonts w:ascii="Arial" w:hAnsi="Arial" w:cs="Arial"/>
        </w:rPr>
      </w:pPr>
    </w:p>
    <w:p w:rsidR="00FD2A00" w:rsidRPr="00124E0A" w:rsidRDefault="00FD2A00" w:rsidP="006B7081">
      <w:pPr>
        <w:autoSpaceDE w:val="0"/>
        <w:autoSpaceDN w:val="0"/>
        <w:adjustRightInd w:val="0"/>
        <w:spacing w:line="360" w:lineRule="auto"/>
        <w:jc w:val="both"/>
        <w:rPr>
          <w:rFonts w:ascii="Arial" w:hAnsi="Arial" w:cs="Arial"/>
          <w:b/>
          <w:bCs/>
        </w:rPr>
      </w:pPr>
      <w:r w:rsidRPr="00124E0A">
        <w:rPr>
          <w:rFonts w:ascii="Arial" w:hAnsi="Arial" w:cs="Arial"/>
          <w:b/>
          <w:bCs/>
        </w:rPr>
        <w:t>Section 12</w:t>
      </w:r>
      <w:r w:rsidR="00127866" w:rsidRPr="00124E0A">
        <w:rPr>
          <w:rFonts w:ascii="Arial" w:hAnsi="Arial" w:cs="Arial"/>
          <w:b/>
          <w:bCs/>
        </w:rPr>
        <w:t>: records of cabinet and its committees</w:t>
      </w:r>
    </w:p>
    <w:p w:rsidR="00FD2A00" w:rsidRPr="00DE4FBB" w:rsidRDefault="00FD2A00" w:rsidP="006B7081">
      <w:pPr>
        <w:autoSpaceDE w:val="0"/>
        <w:autoSpaceDN w:val="0"/>
        <w:adjustRightInd w:val="0"/>
        <w:spacing w:line="360" w:lineRule="auto"/>
        <w:jc w:val="both"/>
        <w:rPr>
          <w:rFonts w:ascii="Arial" w:hAnsi="Arial" w:cs="Arial"/>
          <w:i/>
          <w:iCs/>
        </w:rPr>
      </w:pPr>
    </w:p>
    <w:p w:rsidR="00FD2A00"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[77]</w:t>
      </w:r>
      <w:r w:rsidRPr="00DE4FBB">
        <w:rPr>
          <w:rFonts w:ascii="Arial" w:hAnsi="Arial" w:cs="Arial"/>
        </w:rPr>
        <w:tab/>
      </w:r>
      <w:r w:rsidR="00FD2A00" w:rsidRPr="00517F46">
        <w:rPr>
          <w:rFonts w:ascii="Arial" w:hAnsi="Arial" w:cs="Arial"/>
        </w:rPr>
        <w:t xml:space="preserve">The respondents </w:t>
      </w:r>
      <w:r w:rsidR="00663E9C" w:rsidRPr="00517F46">
        <w:rPr>
          <w:rFonts w:ascii="Arial" w:hAnsi="Arial" w:cs="Arial"/>
        </w:rPr>
        <w:t xml:space="preserve">have </w:t>
      </w:r>
      <w:r w:rsidR="00FD2A00" w:rsidRPr="00517F46">
        <w:rPr>
          <w:rFonts w:ascii="Arial" w:hAnsi="Arial" w:cs="Arial"/>
        </w:rPr>
        <w:t>throughout relied on section</w:t>
      </w:r>
      <w:r w:rsidR="00663E9C" w:rsidRPr="00517F46">
        <w:rPr>
          <w:rFonts w:ascii="Arial" w:hAnsi="Arial" w:cs="Arial"/>
        </w:rPr>
        <w:t xml:space="preserve"> </w:t>
      </w:r>
      <w:r w:rsidR="00FD2A00" w:rsidRPr="00517F46">
        <w:rPr>
          <w:rFonts w:ascii="Arial" w:hAnsi="Arial" w:cs="Arial"/>
        </w:rPr>
        <w:t>12(1)(a)</w:t>
      </w:r>
      <w:r w:rsidR="009C7D05" w:rsidRPr="00517F46">
        <w:rPr>
          <w:rFonts w:ascii="Arial" w:hAnsi="Arial" w:cs="Arial"/>
        </w:rPr>
        <w:t xml:space="preserve"> to justify their refusal of </w:t>
      </w:r>
      <w:r w:rsidR="00663E9C" w:rsidRPr="00517F46">
        <w:rPr>
          <w:rFonts w:ascii="Arial" w:hAnsi="Arial" w:cs="Arial"/>
        </w:rPr>
        <w:t xml:space="preserve">access to </w:t>
      </w:r>
      <w:r w:rsidR="00FD2A00" w:rsidRPr="00517F46">
        <w:rPr>
          <w:rFonts w:ascii="Arial" w:hAnsi="Arial" w:cs="Arial"/>
        </w:rPr>
        <w:t>the records relating to the PEC meeting</w:t>
      </w:r>
      <w:r w:rsidR="00132284" w:rsidRPr="00517F46">
        <w:rPr>
          <w:rFonts w:ascii="Arial" w:hAnsi="Arial" w:cs="Arial"/>
        </w:rPr>
        <w:t>.</w:t>
      </w:r>
      <w:r w:rsidR="00642C38" w:rsidRPr="00DE4FBB">
        <w:rPr>
          <w:rStyle w:val="FootnoteReference"/>
          <w:rFonts w:ascii="Arial" w:hAnsi="Arial" w:cs="Arial"/>
        </w:rPr>
        <w:footnoteReference w:id="33"/>
      </w:r>
    </w:p>
    <w:p w:rsidR="00132284" w:rsidRPr="00DE4FBB" w:rsidRDefault="00132284" w:rsidP="006B7081">
      <w:pPr>
        <w:pStyle w:val="ListParagraph"/>
        <w:autoSpaceDE w:val="0"/>
        <w:autoSpaceDN w:val="0"/>
        <w:adjustRightInd w:val="0"/>
        <w:spacing w:line="360" w:lineRule="auto"/>
        <w:ind w:left="851"/>
        <w:jc w:val="both"/>
        <w:rPr>
          <w:rFonts w:ascii="Arial" w:hAnsi="Arial" w:cs="Arial"/>
        </w:rPr>
      </w:pPr>
    </w:p>
    <w:p w:rsidR="00FD2A00" w:rsidRPr="00517F46" w:rsidRDefault="00517F46" w:rsidP="00517F46">
      <w:pPr>
        <w:autoSpaceDE w:val="0"/>
        <w:autoSpaceDN w:val="0"/>
        <w:adjustRightInd w:val="0"/>
        <w:spacing w:line="360" w:lineRule="auto"/>
        <w:ind w:left="851" w:hanging="851"/>
        <w:jc w:val="both"/>
        <w:rPr>
          <w:rFonts w:ascii="Arial" w:hAnsi="Arial" w:cs="Arial"/>
        </w:rPr>
      </w:pPr>
      <w:r w:rsidRPr="00DE4FBB">
        <w:rPr>
          <w:rFonts w:ascii="Arial" w:hAnsi="Arial" w:cs="Arial"/>
        </w:rPr>
        <w:t>[78]</w:t>
      </w:r>
      <w:r w:rsidRPr="00DE4FBB">
        <w:rPr>
          <w:rFonts w:ascii="Arial" w:hAnsi="Arial" w:cs="Arial"/>
        </w:rPr>
        <w:tab/>
      </w:r>
      <w:r w:rsidR="00FD2A00" w:rsidRPr="00517F46">
        <w:rPr>
          <w:rFonts w:ascii="Arial" w:hAnsi="Arial" w:cs="Arial"/>
        </w:rPr>
        <w:t xml:space="preserve"> Section 12 </w:t>
      </w:r>
      <w:r w:rsidR="00132284" w:rsidRPr="00517F46">
        <w:rPr>
          <w:rFonts w:ascii="Arial" w:hAnsi="Arial" w:cs="Arial"/>
        </w:rPr>
        <w:t xml:space="preserve">of PAIA </w:t>
      </w:r>
      <w:r w:rsidR="00FD2A00" w:rsidRPr="00517F46">
        <w:rPr>
          <w:rFonts w:ascii="Arial" w:hAnsi="Arial" w:cs="Arial"/>
        </w:rPr>
        <w:t>reads</w:t>
      </w:r>
      <w:r w:rsidR="00D2578B" w:rsidRPr="00517F46">
        <w:rPr>
          <w:rFonts w:ascii="Arial" w:hAnsi="Arial" w:cs="Arial"/>
        </w:rPr>
        <w:t xml:space="preserve"> in relevant part</w:t>
      </w:r>
      <w:r w:rsidR="00FD2A00" w:rsidRPr="00517F46">
        <w:rPr>
          <w:rFonts w:ascii="Arial" w:hAnsi="Arial" w:cs="Arial"/>
        </w:rPr>
        <w:t>: –</w:t>
      </w:r>
    </w:p>
    <w:p w:rsidR="00FD2A00" w:rsidRPr="00DE4FBB" w:rsidRDefault="00132284" w:rsidP="00F93D34">
      <w:pPr>
        <w:pStyle w:val="lg-section"/>
        <w:spacing w:before="300" w:beforeAutospacing="0" w:after="0" w:afterAutospacing="0" w:line="360" w:lineRule="auto"/>
        <w:ind w:left="1418" w:right="708"/>
        <w:jc w:val="both"/>
        <w:rPr>
          <w:rFonts w:ascii="Arial" w:hAnsi="Arial" w:cs="Arial"/>
          <w:color w:val="000000"/>
          <w:sz w:val="22"/>
          <w:szCs w:val="22"/>
        </w:rPr>
      </w:pPr>
      <w:r w:rsidRPr="00DE4FBB">
        <w:rPr>
          <w:rFonts w:ascii="Arial" w:hAnsi="Arial" w:cs="Arial"/>
          <w:b/>
          <w:bCs/>
          <w:color w:val="000000"/>
          <w:sz w:val="22"/>
          <w:szCs w:val="22"/>
        </w:rPr>
        <w:t>‘</w:t>
      </w:r>
      <w:r w:rsidR="00FD2A00" w:rsidRPr="00DE4FBB">
        <w:rPr>
          <w:rFonts w:ascii="Arial" w:hAnsi="Arial" w:cs="Arial"/>
          <w:b/>
          <w:bCs/>
          <w:color w:val="000000"/>
          <w:sz w:val="22"/>
          <w:szCs w:val="22"/>
        </w:rPr>
        <w:t>12.   Act not applying to certain public bodies or officials thereof.</w:t>
      </w:r>
      <w:r w:rsidR="00FD2A00" w:rsidRPr="00DE4FBB">
        <w:rPr>
          <w:rFonts w:ascii="Arial" w:hAnsi="Arial" w:cs="Arial"/>
          <w:color w:val="000000"/>
          <w:sz w:val="22"/>
          <w:szCs w:val="22"/>
        </w:rPr>
        <w:t>—</w:t>
      </w:r>
      <w:r w:rsidR="00EA2C84">
        <w:rPr>
          <w:rFonts w:ascii="Arial" w:hAnsi="Arial" w:cs="Arial"/>
          <w:color w:val="000000"/>
          <w:sz w:val="22"/>
          <w:szCs w:val="22"/>
        </w:rPr>
        <w:tab/>
      </w:r>
      <w:r w:rsidR="00FD2A00" w:rsidRPr="00DE4FBB">
        <w:rPr>
          <w:rFonts w:ascii="Arial" w:hAnsi="Arial" w:cs="Arial"/>
          <w:color w:val="000000"/>
          <w:sz w:val="22"/>
          <w:szCs w:val="22"/>
        </w:rPr>
        <w:t>This Act does not apply to a record—</w:t>
      </w:r>
    </w:p>
    <w:p w:rsidR="00FD2A00" w:rsidRDefault="00517F46" w:rsidP="00517F46">
      <w:pPr>
        <w:pStyle w:val="lg-a-1"/>
        <w:spacing w:before="180" w:beforeAutospacing="0" w:after="0" w:afterAutospacing="0" w:line="360" w:lineRule="auto"/>
        <w:ind w:left="1418" w:right="708"/>
        <w:jc w:val="both"/>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r>
      <w:r w:rsidR="00FD2A00" w:rsidRPr="00DE4FBB">
        <w:rPr>
          <w:rFonts w:ascii="Arial" w:hAnsi="Arial" w:cs="Arial"/>
          <w:color w:val="000000"/>
          <w:sz w:val="22"/>
          <w:szCs w:val="22"/>
        </w:rPr>
        <w:t>of the Cabinet and its committees;</w:t>
      </w:r>
    </w:p>
    <w:p w:rsidR="002105D4" w:rsidRPr="00DE4FBB" w:rsidRDefault="00517F46" w:rsidP="00517F46">
      <w:pPr>
        <w:pStyle w:val="lg-a-1"/>
        <w:spacing w:before="180" w:beforeAutospacing="0" w:after="0" w:afterAutospacing="0" w:line="360" w:lineRule="auto"/>
        <w:ind w:left="1418" w:right="708"/>
        <w:jc w:val="both"/>
        <w:rPr>
          <w:rFonts w:ascii="Arial" w:hAnsi="Arial" w:cs="Arial"/>
          <w:color w:val="000000"/>
          <w:sz w:val="22"/>
          <w:szCs w:val="22"/>
        </w:rPr>
      </w:pPr>
      <w:r w:rsidRPr="00DE4FBB">
        <w:rPr>
          <w:rFonts w:ascii="Arial" w:hAnsi="Arial" w:cs="Arial"/>
          <w:color w:val="000000"/>
          <w:sz w:val="22"/>
          <w:szCs w:val="22"/>
        </w:rPr>
        <w:t>(b)</w:t>
      </w:r>
      <w:r w:rsidRPr="00DE4FBB">
        <w:rPr>
          <w:rFonts w:ascii="Arial" w:hAnsi="Arial" w:cs="Arial"/>
          <w:color w:val="000000"/>
          <w:sz w:val="22"/>
          <w:szCs w:val="22"/>
        </w:rPr>
        <w:tab/>
      </w:r>
      <w:r w:rsidR="002105D4">
        <w:rPr>
          <w:rFonts w:ascii="Arial" w:hAnsi="Arial" w:cs="Arial"/>
          <w:color w:val="000000"/>
          <w:sz w:val="22"/>
          <w:szCs w:val="22"/>
        </w:rPr>
        <w:t>……</w:t>
      </w:r>
    </w:p>
    <w:p w:rsidR="00FD2A00" w:rsidRPr="00DE4FBB" w:rsidRDefault="00FD2A00" w:rsidP="00F93D34">
      <w:pPr>
        <w:pStyle w:val="lg-a-1"/>
        <w:spacing w:before="180" w:beforeAutospacing="0" w:after="0" w:afterAutospacing="0" w:line="360" w:lineRule="auto"/>
        <w:ind w:left="1418" w:right="708"/>
        <w:jc w:val="both"/>
        <w:rPr>
          <w:rFonts w:ascii="Arial" w:hAnsi="Arial" w:cs="Arial"/>
          <w:color w:val="000000"/>
          <w:sz w:val="22"/>
          <w:szCs w:val="22"/>
        </w:rPr>
      </w:pPr>
      <w:r w:rsidRPr="00DE4FBB">
        <w:rPr>
          <w:rFonts w:ascii="Arial" w:hAnsi="Arial" w:cs="Arial"/>
          <w:color w:val="000000"/>
          <w:sz w:val="22"/>
          <w:szCs w:val="22"/>
        </w:rPr>
        <w:t>(c)</w:t>
      </w:r>
      <w:r w:rsidRPr="00DE4FBB">
        <w:rPr>
          <w:rFonts w:ascii="Arial" w:hAnsi="Arial" w:cs="Arial"/>
          <w:color w:val="000000"/>
          <w:sz w:val="22"/>
          <w:szCs w:val="22"/>
        </w:rPr>
        <w:tab/>
        <w:t xml:space="preserve">of an individual member of Parliament or of a provincial </w:t>
      </w:r>
      <w:r w:rsidR="00EA2C84">
        <w:rPr>
          <w:rFonts w:ascii="Arial" w:hAnsi="Arial" w:cs="Arial"/>
          <w:color w:val="000000"/>
          <w:sz w:val="22"/>
          <w:szCs w:val="22"/>
        </w:rPr>
        <w:tab/>
      </w:r>
      <w:r w:rsidR="007667CD">
        <w:rPr>
          <w:rFonts w:ascii="Arial" w:hAnsi="Arial" w:cs="Arial"/>
          <w:color w:val="000000"/>
          <w:sz w:val="22"/>
          <w:szCs w:val="22"/>
        </w:rPr>
        <w:tab/>
      </w:r>
      <w:r w:rsidR="007667CD">
        <w:rPr>
          <w:rFonts w:ascii="Arial" w:hAnsi="Arial" w:cs="Arial"/>
          <w:color w:val="000000"/>
          <w:sz w:val="22"/>
          <w:szCs w:val="22"/>
        </w:rPr>
        <w:tab/>
      </w:r>
      <w:r w:rsidRPr="00DE4FBB">
        <w:rPr>
          <w:rFonts w:ascii="Arial" w:hAnsi="Arial" w:cs="Arial"/>
          <w:color w:val="000000"/>
          <w:sz w:val="22"/>
          <w:szCs w:val="22"/>
        </w:rPr>
        <w:t>legislature in that capacity</w:t>
      </w:r>
      <w:r w:rsidR="00D2578B">
        <w:rPr>
          <w:rFonts w:ascii="Arial" w:hAnsi="Arial" w:cs="Arial"/>
          <w:color w:val="000000"/>
          <w:sz w:val="22"/>
          <w:szCs w:val="22"/>
        </w:rPr>
        <w:t>.’</w:t>
      </w:r>
    </w:p>
    <w:p w:rsidR="00FD2A00" w:rsidRPr="00DE4FBB" w:rsidRDefault="00FD2A00" w:rsidP="006B7081">
      <w:pPr>
        <w:pStyle w:val="ListParagraph"/>
        <w:autoSpaceDE w:val="0"/>
        <w:autoSpaceDN w:val="0"/>
        <w:adjustRightInd w:val="0"/>
        <w:spacing w:line="360" w:lineRule="auto"/>
        <w:ind w:left="851"/>
        <w:jc w:val="both"/>
        <w:rPr>
          <w:rFonts w:ascii="Arial" w:hAnsi="Arial" w:cs="Arial"/>
        </w:rPr>
      </w:pPr>
    </w:p>
    <w:p w:rsidR="009C7D05"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[79]</w:t>
      </w:r>
      <w:r w:rsidRPr="00DE4FBB">
        <w:rPr>
          <w:rFonts w:ascii="Arial" w:hAnsi="Arial" w:cs="Arial"/>
        </w:rPr>
        <w:tab/>
      </w:r>
      <w:r w:rsidR="00FD2A00" w:rsidRPr="00517F46">
        <w:rPr>
          <w:rFonts w:ascii="Arial" w:hAnsi="Arial" w:cs="Arial"/>
        </w:rPr>
        <w:t xml:space="preserve">The respondents contend that </w:t>
      </w:r>
      <w:r w:rsidR="009C7D05" w:rsidRPr="00517F46">
        <w:rPr>
          <w:rFonts w:ascii="Arial" w:hAnsi="Arial" w:cs="Arial"/>
        </w:rPr>
        <w:t>‘</w:t>
      </w:r>
      <w:r w:rsidR="00FD2A00" w:rsidRPr="00517F46">
        <w:rPr>
          <w:rFonts w:ascii="Arial" w:hAnsi="Arial" w:cs="Arial"/>
        </w:rPr>
        <w:t xml:space="preserve">the </w:t>
      </w:r>
      <w:r w:rsidR="00663E9C" w:rsidRPr="00517F46">
        <w:rPr>
          <w:rFonts w:ascii="Arial" w:hAnsi="Arial" w:cs="Arial"/>
        </w:rPr>
        <w:t>Cabinet</w:t>
      </w:r>
      <w:r w:rsidR="009C7D05" w:rsidRPr="00517F46">
        <w:rPr>
          <w:rFonts w:ascii="Arial" w:hAnsi="Arial" w:cs="Arial"/>
        </w:rPr>
        <w:t>’</w:t>
      </w:r>
      <w:r w:rsidR="00663E9C" w:rsidRPr="00517F46">
        <w:rPr>
          <w:rFonts w:ascii="Arial" w:hAnsi="Arial" w:cs="Arial"/>
        </w:rPr>
        <w:t xml:space="preserve"> </w:t>
      </w:r>
      <w:r w:rsidR="009C7D05" w:rsidRPr="00517F46">
        <w:rPr>
          <w:rFonts w:ascii="Arial" w:hAnsi="Arial" w:cs="Arial"/>
        </w:rPr>
        <w:t xml:space="preserve">in section 12 must be interpreted to </w:t>
      </w:r>
      <w:r w:rsidR="00663E9C" w:rsidRPr="00517F46">
        <w:rPr>
          <w:rFonts w:ascii="Arial" w:hAnsi="Arial" w:cs="Arial"/>
        </w:rPr>
        <w:t xml:space="preserve">include a provincial executive committee as that is </w:t>
      </w:r>
      <w:r w:rsidR="00683EDC" w:rsidRPr="00517F46">
        <w:rPr>
          <w:rFonts w:ascii="Arial" w:hAnsi="Arial" w:cs="Arial"/>
        </w:rPr>
        <w:t xml:space="preserve">the </w:t>
      </w:r>
      <w:r w:rsidR="00FD2A00" w:rsidRPr="00517F46">
        <w:rPr>
          <w:rFonts w:ascii="Arial" w:hAnsi="Arial" w:cs="Arial"/>
        </w:rPr>
        <w:t>cabinet</w:t>
      </w:r>
      <w:r w:rsidR="00663E9C" w:rsidRPr="00517F46">
        <w:rPr>
          <w:rFonts w:ascii="Arial" w:hAnsi="Arial" w:cs="Arial"/>
        </w:rPr>
        <w:t xml:space="preserve"> </w:t>
      </w:r>
      <w:r w:rsidR="00FD2A00" w:rsidRPr="00517F46">
        <w:rPr>
          <w:rFonts w:ascii="Arial" w:hAnsi="Arial" w:cs="Arial"/>
        </w:rPr>
        <w:t xml:space="preserve">at provincial level. </w:t>
      </w:r>
    </w:p>
    <w:p w:rsidR="009C6CA8" w:rsidRPr="00DE4FBB" w:rsidRDefault="009C6CA8" w:rsidP="006B7081">
      <w:pPr>
        <w:pStyle w:val="ListParagraph"/>
        <w:autoSpaceDE w:val="0"/>
        <w:autoSpaceDN w:val="0"/>
        <w:adjustRightInd w:val="0"/>
        <w:spacing w:line="360" w:lineRule="auto"/>
        <w:ind w:left="851"/>
        <w:jc w:val="both"/>
        <w:rPr>
          <w:rFonts w:ascii="Arial" w:hAnsi="Arial" w:cs="Arial"/>
        </w:rPr>
      </w:pPr>
    </w:p>
    <w:p w:rsidR="009C7D05"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lastRenderedPageBreak/>
        <w:t>[80]</w:t>
      </w:r>
      <w:r w:rsidRPr="00DE4FBB">
        <w:rPr>
          <w:rFonts w:ascii="Arial" w:hAnsi="Arial" w:cs="Arial"/>
        </w:rPr>
        <w:tab/>
      </w:r>
      <w:r w:rsidR="00EC7FE8" w:rsidRPr="00517F46">
        <w:rPr>
          <w:rFonts w:ascii="Arial" w:hAnsi="Arial" w:cs="Arial"/>
        </w:rPr>
        <w:t>The constitutionality of section 12 has been the subject of some academic debat</w:t>
      </w:r>
      <w:r w:rsidR="00132284" w:rsidRPr="00517F46">
        <w:rPr>
          <w:rFonts w:ascii="Arial" w:hAnsi="Arial" w:cs="Arial"/>
        </w:rPr>
        <w:t>e,</w:t>
      </w:r>
      <w:r w:rsidR="00EC7FE8" w:rsidRPr="00DE4FBB">
        <w:rPr>
          <w:rStyle w:val="FootnoteReference"/>
          <w:rFonts w:ascii="Arial" w:hAnsi="Arial" w:cs="Arial"/>
        </w:rPr>
        <w:footnoteReference w:id="34"/>
      </w:r>
      <w:r w:rsidR="00C225C2" w:rsidRPr="00517F46">
        <w:rPr>
          <w:rFonts w:ascii="Arial" w:hAnsi="Arial" w:cs="Arial"/>
        </w:rPr>
        <w:t xml:space="preserve"> </w:t>
      </w:r>
      <w:r w:rsidR="00132284" w:rsidRPr="00517F46">
        <w:rPr>
          <w:rFonts w:ascii="Arial" w:hAnsi="Arial" w:cs="Arial"/>
        </w:rPr>
        <w:t xml:space="preserve">but there is no challenge to its validity in these proceedings. </w:t>
      </w:r>
      <w:r w:rsidR="00C225C2" w:rsidRPr="00517F46">
        <w:rPr>
          <w:rFonts w:ascii="Arial" w:hAnsi="Arial" w:cs="Arial"/>
        </w:rPr>
        <w:t>Counsel did not refer to me to any reported cases dealing directly with the ambit of section 12 and I could not find any. It is therefore necessary to interpret the provision in the usual way, considering purpose, language, and context in a unitary exercise, bearing in mind the additional injunction in section 2 of PAIA that the act must be interpreted to accord with the purposes of the legislation set out in section 9</w:t>
      </w:r>
      <w:r w:rsidR="00352E8F" w:rsidRPr="00517F46">
        <w:rPr>
          <w:rFonts w:ascii="Arial" w:hAnsi="Arial" w:cs="Arial"/>
        </w:rPr>
        <w:t xml:space="preserve"> and the jurisprudence of our apex courts that exemptions in PAIA must be restrictively interpreted.</w:t>
      </w:r>
      <w:r w:rsidR="00C225C2" w:rsidRPr="00517F46">
        <w:rPr>
          <w:rFonts w:ascii="Arial" w:hAnsi="Arial" w:cs="Arial"/>
        </w:rPr>
        <w:t xml:space="preserve"> </w:t>
      </w:r>
    </w:p>
    <w:p w:rsidR="00C225C2" w:rsidRPr="00DE4FBB" w:rsidRDefault="00C225C2" w:rsidP="006B7081">
      <w:pPr>
        <w:pStyle w:val="ListParagraph"/>
        <w:autoSpaceDE w:val="0"/>
        <w:autoSpaceDN w:val="0"/>
        <w:adjustRightInd w:val="0"/>
        <w:spacing w:line="360" w:lineRule="auto"/>
        <w:ind w:left="851"/>
        <w:jc w:val="both"/>
        <w:rPr>
          <w:rFonts w:ascii="Arial" w:hAnsi="Arial" w:cs="Arial"/>
        </w:rPr>
      </w:pPr>
    </w:p>
    <w:p w:rsidR="001310D1"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[81]</w:t>
      </w:r>
      <w:r w:rsidRPr="00DE4FBB">
        <w:rPr>
          <w:rFonts w:ascii="Arial" w:hAnsi="Arial" w:cs="Arial"/>
        </w:rPr>
        <w:tab/>
      </w:r>
      <w:r w:rsidR="00C225C2" w:rsidRPr="00517F46">
        <w:rPr>
          <w:rFonts w:ascii="Arial" w:hAnsi="Arial" w:cs="Arial"/>
        </w:rPr>
        <w:t xml:space="preserve">The purpose of </w:t>
      </w:r>
      <w:r w:rsidR="00077743" w:rsidRPr="00517F46">
        <w:rPr>
          <w:rFonts w:ascii="Arial" w:hAnsi="Arial" w:cs="Arial"/>
        </w:rPr>
        <w:t>s</w:t>
      </w:r>
      <w:r w:rsidR="00C225C2" w:rsidRPr="00517F46">
        <w:rPr>
          <w:rFonts w:ascii="Arial" w:hAnsi="Arial" w:cs="Arial"/>
        </w:rPr>
        <w:t xml:space="preserve">ection 12 appears to be </w:t>
      </w:r>
      <w:r w:rsidR="00C03617" w:rsidRPr="00517F46">
        <w:rPr>
          <w:rFonts w:ascii="Arial" w:hAnsi="Arial" w:cs="Arial"/>
        </w:rPr>
        <w:t>t</w:t>
      </w:r>
      <w:r w:rsidR="009C6CA8" w:rsidRPr="00517F46">
        <w:rPr>
          <w:rFonts w:ascii="Arial" w:hAnsi="Arial" w:cs="Arial"/>
        </w:rPr>
        <w:t>o</w:t>
      </w:r>
      <w:r w:rsidR="00C225C2" w:rsidRPr="00517F46">
        <w:rPr>
          <w:rFonts w:ascii="Arial" w:hAnsi="Arial" w:cs="Arial"/>
        </w:rPr>
        <w:t xml:space="preserve"> incorporat</w:t>
      </w:r>
      <w:r w:rsidR="00C03617" w:rsidRPr="00517F46">
        <w:rPr>
          <w:rFonts w:ascii="Arial" w:hAnsi="Arial" w:cs="Arial"/>
        </w:rPr>
        <w:t xml:space="preserve">e </w:t>
      </w:r>
      <w:r w:rsidR="00C225C2" w:rsidRPr="00517F46">
        <w:rPr>
          <w:rFonts w:ascii="Arial" w:hAnsi="Arial" w:cs="Arial"/>
        </w:rPr>
        <w:t xml:space="preserve">the convention of cabinet secrecy which originated under the Westminster </w:t>
      </w:r>
      <w:r w:rsidR="00077743" w:rsidRPr="00517F46">
        <w:rPr>
          <w:rFonts w:ascii="Arial" w:hAnsi="Arial" w:cs="Arial"/>
        </w:rPr>
        <w:t>tradition</w:t>
      </w:r>
      <w:r w:rsidR="002105D4" w:rsidRPr="00517F46">
        <w:rPr>
          <w:rFonts w:ascii="Arial" w:hAnsi="Arial" w:cs="Arial"/>
        </w:rPr>
        <w:t>,</w:t>
      </w:r>
      <w:r w:rsidR="00077743" w:rsidRPr="00DE4FBB">
        <w:rPr>
          <w:rStyle w:val="FootnoteReference"/>
          <w:rFonts w:ascii="Arial" w:hAnsi="Arial" w:cs="Arial"/>
        </w:rPr>
        <w:footnoteReference w:id="35"/>
      </w:r>
      <w:r w:rsidR="009C6CA8" w:rsidRPr="00517F46">
        <w:rPr>
          <w:rFonts w:ascii="Arial" w:hAnsi="Arial" w:cs="Arial"/>
        </w:rPr>
        <w:t xml:space="preserve"> </w:t>
      </w:r>
      <w:r w:rsidR="00077743" w:rsidRPr="00517F46">
        <w:rPr>
          <w:rFonts w:ascii="Arial" w:hAnsi="Arial" w:cs="Arial"/>
        </w:rPr>
        <w:t>was transplanted</w:t>
      </w:r>
      <w:r w:rsidR="00C03617" w:rsidRPr="00517F46">
        <w:rPr>
          <w:rFonts w:ascii="Arial" w:hAnsi="Arial" w:cs="Arial"/>
        </w:rPr>
        <w:t xml:space="preserve"> </w:t>
      </w:r>
      <w:r w:rsidR="00077743" w:rsidRPr="00517F46">
        <w:rPr>
          <w:rFonts w:ascii="Arial" w:hAnsi="Arial" w:cs="Arial"/>
        </w:rPr>
        <w:t xml:space="preserve">to South Africa and formed part of our constitutional dispensation prior to 1994. </w:t>
      </w:r>
      <w:r w:rsidR="001310D1" w:rsidRPr="00517F46">
        <w:rPr>
          <w:rFonts w:ascii="Arial" w:hAnsi="Arial" w:cs="Arial"/>
        </w:rPr>
        <w:t xml:space="preserve">Cabinet secrecy </w:t>
      </w:r>
      <w:r w:rsidR="001310D1" w:rsidRPr="00517F46">
        <w:rPr>
          <w:rStyle w:val="apple-converted-space"/>
          <w:rFonts w:ascii="Arial" w:hAnsi="Arial" w:cs="Arial"/>
          <w:color w:val="000000"/>
          <w:shd w:val="clear" w:color="auto" w:fill="FFFFFF"/>
        </w:rPr>
        <w:t xml:space="preserve">ensures ‘that the efficiency of the executive is not impeded, and that a </w:t>
      </w:r>
      <w:r w:rsidR="001310D1" w:rsidRPr="00517F46">
        <w:rPr>
          <w:rFonts w:ascii="Arial" w:hAnsi="Arial" w:cs="Arial"/>
          <w:color w:val="000000"/>
          <w:shd w:val="clear" w:color="auto" w:fill="FFFFFF"/>
        </w:rPr>
        <w:t>robust and open discussion takes place unhindered at meetings of the Cabinet when sensitive and important matters of policy are discussed’</w:t>
      </w:r>
      <w:r w:rsidR="002105D4" w:rsidRPr="00517F46">
        <w:rPr>
          <w:rFonts w:ascii="Arial" w:hAnsi="Arial" w:cs="Arial"/>
          <w:color w:val="000000"/>
          <w:shd w:val="clear" w:color="auto" w:fill="FFFFFF"/>
        </w:rPr>
        <w:t>,</w:t>
      </w:r>
      <w:r w:rsidR="001310D1" w:rsidRPr="00DE4FBB">
        <w:rPr>
          <w:rStyle w:val="FootnoteReference"/>
          <w:rFonts w:ascii="Arial" w:hAnsi="Arial" w:cs="Arial"/>
          <w:color w:val="000000"/>
          <w:shd w:val="clear" w:color="auto" w:fill="FFFFFF"/>
        </w:rPr>
        <w:footnoteReference w:id="36"/>
      </w:r>
      <w:r w:rsidR="001310D1" w:rsidRPr="00517F46">
        <w:rPr>
          <w:rFonts w:ascii="Arial" w:hAnsi="Arial" w:cs="Arial"/>
          <w:color w:val="000000"/>
          <w:shd w:val="clear" w:color="auto" w:fill="FFFFFF"/>
        </w:rPr>
        <w:t xml:space="preserve"> but it has even deeper roots.</w:t>
      </w:r>
    </w:p>
    <w:p w:rsidR="001310D1" w:rsidRPr="00DE4FBB" w:rsidRDefault="001310D1" w:rsidP="006B7081">
      <w:pPr>
        <w:pStyle w:val="ListParagraph"/>
        <w:spacing w:line="360" w:lineRule="auto"/>
        <w:rPr>
          <w:rFonts w:ascii="Arial" w:hAnsi="Arial" w:cs="Arial"/>
        </w:rPr>
      </w:pPr>
    </w:p>
    <w:p w:rsidR="00383A47"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[82]</w:t>
      </w:r>
      <w:r w:rsidRPr="00DE4FBB">
        <w:rPr>
          <w:rFonts w:ascii="Arial" w:hAnsi="Arial" w:cs="Arial"/>
        </w:rPr>
        <w:tab/>
      </w:r>
      <w:r w:rsidR="00077743" w:rsidRPr="00517F46">
        <w:rPr>
          <w:rFonts w:ascii="Arial" w:hAnsi="Arial" w:cs="Arial"/>
        </w:rPr>
        <w:t>Cabinet secrecy is rooted</w:t>
      </w:r>
      <w:r w:rsidR="002105D4" w:rsidRPr="00517F46">
        <w:rPr>
          <w:rFonts w:ascii="Arial" w:hAnsi="Arial" w:cs="Arial"/>
        </w:rPr>
        <w:t>,</w:t>
      </w:r>
      <w:r w:rsidR="00077743" w:rsidRPr="00517F46">
        <w:rPr>
          <w:rFonts w:ascii="Arial" w:hAnsi="Arial" w:cs="Arial"/>
        </w:rPr>
        <w:t xml:space="preserve"> in </w:t>
      </w:r>
      <w:r w:rsidR="001310D1" w:rsidRPr="00517F46">
        <w:rPr>
          <w:rFonts w:ascii="Arial" w:hAnsi="Arial" w:cs="Arial"/>
        </w:rPr>
        <w:t>part</w:t>
      </w:r>
      <w:r w:rsidR="002105D4" w:rsidRPr="00517F46">
        <w:rPr>
          <w:rFonts w:ascii="Arial" w:hAnsi="Arial" w:cs="Arial"/>
        </w:rPr>
        <w:t xml:space="preserve">, </w:t>
      </w:r>
      <w:r w:rsidR="001310D1" w:rsidRPr="00517F46">
        <w:rPr>
          <w:rFonts w:ascii="Arial" w:hAnsi="Arial" w:cs="Arial"/>
        </w:rPr>
        <w:t xml:space="preserve">in </w:t>
      </w:r>
      <w:r w:rsidR="00077743" w:rsidRPr="00517F46">
        <w:rPr>
          <w:rFonts w:ascii="Arial" w:hAnsi="Arial" w:cs="Arial"/>
        </w:rPr>
        <w:t>the principle of collective cabinet accountability</w:t>
      </w:r>
      <w:r w:rsidR="001310D1" w:rsidRPr="00517F46">
        <w:rPr>
          <w:rFonts w:ascii="Arial" w:hAnsi="Arial" w:cs="Arial"/>
        </w:rPr>
        <w:t>. T</w:t>
      </w:r>
      <w:r w:rsidR="00077743" w:rsidRPr="00517F46">
        <w:rPr>
          <w:rFonts w:ascii="Arial" w:hAnsi="Arial" w:cs="Arial"/>
        </w:rPr>
        <w:t>he inner working</w:t>
      </w:r>
      <w:r w:rsidR="001310D1" w:rsidRPr="00517F46">
        <w:rPr>
          <w:rFonts w:ascii="Arial" w:hAnsi="Arial" w:cs="Arial"/>
        </w:rPr>
        <w:t>s of cabinet remain secret so the whole of cabinet can be held accountable and individual members cannot  distance themselves from cabinet decisions.</w:t>
      </w:r>
      <w:r w:rsidR="00383A47" w:rsidRPr="00517F46">
        <w:rPr>
          <w:rFonts w:ascii="Arial" w:hAnsi="Arial" w:cs="Arial"/>
        </w:rPr>
        <w:t xml:space="preserve"> The concept of collective cabinet accountability in </w:t>
      </w:r>
      <w:r w:rsidR="002105D4" w:rsidRPr="00517F46">
        <w:rPr>
          <w:rFonts w:ascii="Arial" w:hAnsi="Arial" w:cs="Arial"/>
        </w:rPr>
        <w:t xml:space="preserve">the land of its birth </w:t>
      </w:r>
      <w:r w:rsidR="00383A47" w:rsidRPr="00517F46">
        <w:rPr>
          <w:rFonts w:ascii="Arial" w:hAnsi="Arial" w:cs="Arial"/>
        </w:rPr>
        <w:t xml:space="preserve">is currently defined in the </w:t>
      </w:r>
      <w:r w:rsidR="002105D4" w:rsidRPr="00517F46">
        <w:rPr>
          <w:rFonts w:ascii="Arial" w:hAnsi="Arial" w:cs="Arial"/>
        </w:rPr>
        <w:t xml:space="preserve">United Kingdom’s </w:t>
      </w:r>
      <w:r w:rsidR="00383A47" w:rsidRPr="00517F46">
        <w:rPr>
          <w:rFonts w:ascii="Arial" w:hAnsi="Arial" w:cs="Arial"/>
        </w:rPr>
        <w:t>2022 Ministerial Code</w:t>
      </w:r>
      <w:r w:rsidR="00383A47" w:rsidRPr="00DE4FBB">
        <w:rPr>
          <w:rStyle w:val="FootnoteReference"/>
          <w:rFonts w:ascii="Arial" w:hAnsi="Arial" w:cs="Arial"/>
        </w:rPr>
        <w:footnoteReference w:id="37"/>
      </w:r>
      <w:r w:rsidR="00383A47" w:rsidRPr="00517F46">
        <w:rPr>
          <w:rFonts w:ascii="Arial" w:hAnsi="Arial" w:cs="Arial"/>
        </w:rPr>
        <w:t xml:space="preserve"> as follows:- </w:t>
      </w:r>
    </w:p>
    <w:p w:rsidR="00383A47" w:rsidRPr="002105D4" w:rsidRDefault="00383A47" w:rsidP="00EA2C84">
      <w:pPr>
        <w:pStyle w:val="ListParagraph"/>
        <w:autoSpaceDE w:val="0"/>
        <w:autoSpaceDN w:val="0"/>
        <w:adjustRightInd w:val="0"/>
        <w:spacing w:line="360" w:lineRule="auto"/>
        <w:ind w:left="1985" w:right="708" w:hanging="567"/>
        <w:jc w:val="both"/>
        <w:rPr>
          <w:rFonts w:ascii="Arial" w:hAnsi="Arial" w:cs="Arial"/>
          <w:color w:val="0B0C0C"/>
          <w:sz w:val="22"/>
          <w:szCs w:val="22"/>
          <w:shd w:val="clear" w:color="auto" w:fill="FFFFFF"/>
        </w:rPr>
      </w:pPr>
      <w:r w:rsidRPr="002105D4">
        <w:rPr>
          <w:rFonts w:ascii="Arial" w:hAnsi="Arial" w:cs="Arial"/>
          <w:color w:val="0B0C0C"/>
          <w:sz w:val="22"/>
          <w:szCs w:val="22"/>
          <w:shd w:val="clear" w:color="auto" w:fill="FFFFFF"/>
        </w:rPr>
        <w:t xml:space="preserve">‘2.1 </w:t>
      </w:r>
      <w:r w:rsidR="00EA2C84" w:rsidRPr="002105D4">
        <w:rPr>
          <w:rFonts w:ascii="Arial" w:hAnsi="Arial" w:cs="Arial"/>
          <w:color w:val="0B0C0C"/>
          <w:sz w:val="22"/>
          <w:szCs w:val="22"/>
          <w:shd w:val="clear" w:color="auto" w:fill="FFFFFF"/>
        </w:rPr>
        <w:tab/>
      </w:r>
      <w:r w:rsidRPr="002105D4">
        <w:rPr>
          <w:rFonts w:ascii="Arial" w:hAnsi="Arial" w:cs="Arial"/>
          <w:color w:val="0B0C0C"/>
          <w:sz w:val="22"/>
          <w:szCs w:val="22"/>
          <w:shd w:val="clear" w:color="auto" w:fill="FFFFFF"/>
        </w:rPr>
        <w:t xml:space="preserve">The principle of collective responsibility requires that Ministers should be able to express their views frankly in the expectation that they can argue freely in private while maintaining a united front when decisions have been reached. This in turn requires that the privacy of opinions expressed in Cabinet and Ministerial </w:t>
      </w:r>
      <w:r w:rsidRPr="002105D4">
        <w:rPr>
          <w:rFonts w:ascii="Arial" w:hAnsi="Arial" w:cs="Arial"/>
          <w:color w:val="0B0C0C"/>
          <w:sz w:val="22"/>
          <w:szCs w:val="22"/>
          <w:shd w:val="clear" w:color="auto" w:fill="FFFFFF"/>
        </w:rPr>
        <w:lastRenderedPageBreak/>
        <w:t>Committees, including in correspondence, should be maintained…..</w:t>
      </w:r>
    </w:p>
    <w:p w:rsidR="00EA69ED" w:rsidRPr="002105D4" w:rsidRDefault="00EA69ED" w:rsidP="00EA2C84">
      <w:pPr>
        <w:pStyle w:val="ListParagraph"/>
        <w:autoSpaceDE w:val="0"/>
        <w:autoSpaceDN w:val="0"/>
        <w:adjustRightInd w:val="0"/>
        <w:spacing w:line="360" w:lineRule="auto"/>
        <w:ind w:left="1985" w:right="708" w:hanging="567"/>
        <w:jc w:val="both"/>
        <w:rPr>
          <w:rFonts w:ascii="Arial" w:hAnsi="Arial" w:cs="Arial"/>
          <w:color w:val="0B0C0C"/>
          <w:sz w:val="22"/>
          <w:szCs w:val="22"/>
          <w:shd w:val="clear" w:color="auto" w:fill="FFFFFF"/>
        </w:rPr>
      </w:pPr>
    </w:p>
    <w:p w:rsidR="00383A47" w:rsidRPr="002105D4" w:rsidRDefault="00383A47" w:rsidP="00EA69ED">
      <w:pPr>
        <w:pStyle w:val="ListParagraph"/>
        <w:autoSpaceDE w:val="0"/>
        <w:autoSpaceDN w:val="0"/>
        <w:adjustRightInd w:val="0"/>
        <w:spacing w:line="360" w:lineRule="auto"/>
        <w:ind w:left="1985" w:right="708" w:hanging="567"/>
        <w:jc w:val="both"/>
        <w:rPr>
          <w:rFonts w:ascii="Arial" w:hAnsi="Arial" w:cs="Arial"/>
          <w:sz w:val="22"/>
          <w:szCs w:val="22"/>
        </w:rPr>
      </w:pPr>
      <w:r w:rsidRPr="002105D4">
        <w:rPr>
          <w:rFonts w:ascii="Arial" w:hAnsi="Arial" w:cs="Arial"/>
          <w:color w:val="1B1B1B"/>
          <w:sz w:val="22"/>
          <w:szCs w:val="22"/>
          <w:shd w:val="clear" w:color="auto" w:fill="FFFFFF"/>
        </w:rPr>
        <w:t xml:space="preserve">2.3 </w:t>
      </w:r>
      <w:r w:rsidR="00EA69ED" w:rsidRPr="002105D4">
        <w:rPr>
          <w:rFonts w:ascii="Arial" w:hAnsi="Arial" w:cs="Arial"/>
          <w:color w:val="1B1B1B"/>
          <w:sz w:val="22"/>
          <w:szCs w:val="22"/>
          <w:shd w:val="clear" w:color="auto" w:fill="FFFFFF"/>
        </w:rPr>
        <w:tab/>
      </w:r>
      <w:r w:rsidRPr="002105D4">
        <w:rPr>
          <w:rFonts w:ascii="Arial" w:hAnsi="Arial" w:cs="Arial"/>
          <w:color w:val="1B1B1B"/>
          <w:sz w:val="22"/>
          <w:szCs w:val="22"/>
          <w:shd w:val="clear" w:color="auto" w:fill="FFFFFF"/>
        </w:rPr>
        <w:t>The internal process through which a decision has been made, or the level of Committee by which it was taken should not be disclosed. Neither should the individual views of Ministers or advice provided by civil servants as part of that internal process be disclosed. Decisions reached by the Cabinet or Ministerial Committees are binding on all members of the Government. They are, however, normally announced and explained as the decision of the Minister concerned. On occasion, it may be desirable to emphasise the importance of a decision by stating specifically that it is the decision of His Majesty’s Government. This, however, is the exception rather than the rule..’</w:t>
      </w:r>
    </w:p>
    <w:p w:rsidR="00383A47" w:rsidRPr="00DE4FBB" w:rsidRDefault="00383A47" w:rsidP="006B7081">
      <w:pPr>
        <w:pStyle w:val="ListParagraph"/>
        <w:spacing w:line="360" w:lineRule="auto"/>
        <w:rPr>
          <w:rFonts w:ascii="Arial" w:hAnsi="Arial" w:cs="Arial"/>
        </w:rPr>
      </w:pPr>
    </w:p>
    <w:p w:rsidR="00C225C2"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[83]</w:t>
      </w:r>
      <w:r w:rsidRPr="00DE4FBB">
        <w:rPr>
          <w:rFonts w:ascii="Arial" w:hAnsi="Arial" w:cs="Arial"/>
        </w:rPr>
        <w:tab/>
      </w:r>
      <w:r w:rsidR="001310D1" w:rsidRPr="00517F46">
        <w:rPr>
          <w:rFonts w:ascii="Arial" w:hAnsi="Arial" w:cs="Arial"/>
        </w:rPr>
        <w:t xml:space="preserve"> </w:t>
      </w:r>
      <w:r w:rsidR="00DB2734" w:rsidRPr="00517F46">
        <w:rPr>
          <w:rFonts w:ascii="Arial" w:hAnsi="Arial" w:cs="Arial"/>
        </w:rPr>
        <w:t>C</w:t>
      </w:r>
      <w:r w:rsidR="001310D1" w:rsidRPr="00517F46">
        <w:rPr>
          <w:rFonts w:ascii="Arial" w:hAnsi="Arial" w:cs="Arial"/>
        </w:rPr>
        <w:t>ollective cabinet accountability remains part of our law and is enshrined in section 92(2) of the Constitution</w:t>
      </w:r>
      <w:r w:rsidR="002105D4" w:rsidRPr="00517F46">
        <w:rPr>
          <w:rFonts w:ascii="Arial" w:hAnsi="Arial" w:cs="Arial"/>
        </w:rPr>
        <w:t>.</w:t>
      </w:r>
      <w:r w:rsidR="00BB32A1" w:rsidRPr="00DE4FBB">
        <w:rPr>
          <w:rStyle w:val="FootnoteReference"/>
          <w:rFonts w:ascii="Arial" w:hAnsi="Arial" w:cs="Arial"/>
        </w:rPr>
        <w:footnoteReference w:id="38"/>
      </w:r>
      <w:r w:rsidR="001310D1" w:rsidRPr="00517F46">
        <w:rPr>
          <w:rFonts w:ascii="Arial" w:hAnsi="Arial" w:cs="Arial"/>
        </w:rPr>
        <w:t xml:space="preserve"> </w:t>
      </w:r>
      <w:r w:rsidR="00BB32A1" w:rsidRPr="00517F46">
        <w:rPr>
          <w:rFonts w:ascii="Arial" w:hAnsi="Arial" w:cs="Arial"/>
        </w:rPr>
        <w:t xml:space="preserve">Section 133(2) of the Constitution </w:t>
      </w:r>
      <w:r w:rsidR="002105D4" w:rsidRPr="00517F46">
        <w:rPr>
          <w:rFonts w:ascii="Arial" w:hAnsi="Arial" w:cs="Arial"/>
        </w:rPr>
        <w:t xml:space="preserve">also </w:t>
      </w:r>
      <w:r w:rsidR="00BB32A1" w:rsidRPr="00517F46">
        <w:rPr>
          <w:rFonts w:ascii="Arial" w:hAnsi="Arial" w:cs="Arial"/>
        </w:rPr>
        <w:t xml:space="preserve">imposes collective accountability on the members of an executive council of a province. </w:t>
      </w:r>
      <w:r w:rsidR="00DB2734" w:rsidRPr="00517F46">
        <w:rPr>
          <w:rFonts w:ascii="Arial" w:hAnsi="Arial" w:cs="Arial"/>
        </w:rPr>
        <w:t xml:space="preserve">Whilst this </w:t>
      </w:r>
      <w:r w:rsidR="00BB32A1" w:rsidRPr="00517F46">
        <w:rPr>
          <w:rFonts w:ascii="Arial" w:hAnsi="Arial" w:cs="Arial"/>
        </w:rPr>
        <w:t>might suggest that ‘the Cabinet’ ought to be interpreted in the broad manner suggested by the respondents</w:t>
      </w:r>
      <w:r w:rsidR="00DB2734" w:rsidRPr="00517F46">
        <w:rPr>
          <w:rFonts w:ascii="Arial" w:hAnsi="Arial" w:cs="Arial"/>
        </w:rPr>
        <w:t>,</w:t>
      </w:r>
      <w:r w:rsidR="00383A47" w:rsidRPr="00517F46">
        <w:rPr>
          <w:rFonts w:ascii="Arial" w:hAnsi="Arial" w:cs="Arial"/>
        </w:rPr>
        <w:t xml:space="preserve"> the more limited ambit of responsibility of provincial executives</w:t>
      </w:r>
      <w:r w:rsidR="00383A47" w:rsidRPr="00DE4FBB">
        <w:rPr>
          <w:rStyle w:val="FootnoteReference"/>
          <w:rFonts w:ascii="Arial" w:hAnsi="Arial" w:cs="Arial"/>
        </w:rPr>
        <w:footnoteReference w:id="39"/>
      </w:r>
      <w:r w:rsidR="00383A47" w:rsidRPr="00517F46">
        <w:rPr>
          <w:rFonts w:ascii="Arial" w:hAnsi="Arial" w:cs="Arial"/>
        </w:rPr>
        <w:t xml:space="preserve"> and the fact that other federal systems which incorporate cabinet secrecy provisions do so only at national level</w:t>
      </w:r>
      <w:r w:rsidR="002105D4" w:rsidRPr="00517F46">
        <w:rPr>
          <w:rFonts w:ascii="Arial" w:hAnsi="Arial" w:cs="Arial"/>
        </w:rPr>
        <w:t>,</w:t>
      </w:r>
      <w:r w:rsidR="00383A47" w:rsidRPr="00DE4FBB">
        <w:rPr>
          <w:rStyle w:val="FootnoteReference"/>
          <w:rFonts w:ascii="Arial" w:hAnsi="Arial" w:cs="Arial"/>
        </w:rPr>
        <w:footnoteReference w:id="40"/>
      </w:r>
      <w:r w:rsidR="00383A47" w:rsidRPr="00517F46">
        <w:rPr>
          <w:rFonts w:ascii="Arial" w:hAnsi="Arial" w:cs="Arial"/>
        </w:rPr>
        <w:t xml:space="preserve"> </w:t>
      </w:r>
      <w:r w:rsidR="00DB2734" w:rsidRPr="00517F46">
        <w:rPr>
          <w:rFonts w:ascii="Arial" w:hAnsi="Arial" w:cs="Arial"/>
        </w:rPr>
        <w:t>militate against such a construction.</w:t>
      </w:r>
    </w:p>
    <w:p w:rsidR="00D57FB9" w:rsidRPr="00DE4FBB" w:rsidRDefault="00D57FB9" w:rsidP="006B7081">
      <w:pPr>
        <w:pStyle w:val="ListParagraph"/>
        <w:autoSpaceDE w:val="0"/>
        <w:autoSpaceDN w:val="0"/>
        <w:adjustRightInd w:val="0"/>
        <w:spacing w:line="360" w:lineRule="auto"/>
        <w:ind w:left="851"/>
        <w:jc w:val="both"/>
        <w:rPr>
          <w:rFonts w:ascii="Arial" w:hAnsi="Arial" w:cs="Arial"/>
        </w:rPr>
      </w:pPr>
    </w:p>
    <w:p w:rsidR="00FE59A1"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[84]</w:t>
      </w:r>
      <w:r w:rsidRPr="00DE4FBB">
        <w:rPr>
          <w:rFonts w:ascii="Arial" w:hAnsi="Arial" w:cs="Arial"/>
        </w:rPr>
        <w:tab/>
      </w:r>
      <w:r w:rsidR="00DB2734" w:rsidRPr="00517F46">
        <w:rPr>
          <w:rFonts w:ascii="Arial" w:hAnsi="Arial" w:cs="Arial"/>
        </w:rPr>
        <w:t>More importantly, s</w:t>
      </w:r>
      <w:r w:rsidR="00BB32A1" w:rsidRPr="00517F46">
        <w:rPr>
          <w:rFonts w:ascii="Arial" w:hAnsi="Arial" w:cs="Arial"/>
        </w:rPr>
        <w:t xml:space="preserve">uch an expansive construction of ‘the Cabinet’ would be inconsistent with the language of section 12. In this the regard the </w:t>
      </w:r>
      <w:r w:rsidR="00FD2A00" w:rsidRPr="00517F46">
        <w:rPr>
          <w:rFonts w:ascii="Arial" w:hAnsi="Arial" w:cs="Arial"/>
        </w:rPr>
        <w:t xml:space="preserve">use of the definite article </w:t>
      </w:r>
      <w:r w:rsidR="00663E9C" w:rsidRPr="00517F46">
        <w:rPr>
          <w:rFonts w:ascii="Arial" w:hAnsi="Arial" w:cs="Arial"/>
        </w:rPr>
        <w:t xml:space="preserve">in relation to </w:t>
      </w:r>
      <w:r w:rsidR="00DB2734" w:rsidRPr="00517F46">
        <w:rPr>
          <w:rFonts w:ascii="Arial" w:hAnsi="Arial" w:cs="Arial"/>
        </w:rPr>
        <w:t xml:space="preserve">the </w:t>
      </w:r>
      <w:r w:rsidR="00663E9C" w:rsidRPr="00517F46">
        <w:rPr>
          <w:rFonts w:ascii="Arial" w:hAnsi="Arial" w:cs="Arial"/>
        </w:rPr>
        <w:t xml:space="preserve">Cabinet </w:t>
      </w:r>
      <w:r w:rsidR="00BB32A1" w:rsidRPr="00517F46">
        <w:rPr>
          <w:rFonts w:ascii="Arial" w:hAnsi="Arial" w:cs="Arial"/>
        </w:rPr>
        <w:t>appears to be significant</w:t>
      </w:r>
      <w:r w:rsidR="00DB2734" w:rsidRPr="00517F46">
        <w:rPr>
          <w:rFonts w:ascii="Arial" w:hAnsi="Arial" w:cs="Arial"/>
        </w:rPr>
        <w:t>,</w:t>
      </w:r>
      <w:r w:rsidR="00A16A22" w:rsidRPr="00517F46">
        <w:rPr>
          <w:rFonts w:ascii="Arial" w:hAnsi="Arial" w:cs="Arial"/>
        </w:rPr>
        <w:t xml:space="preserve"> as does the fact that </w:t>
      </w:r>
      <w:r w:rsidR="00DB2734" w:rsidRPr="00517F46">
        <w:rPr>
          <w:rFonts w:ascii="Arial" w:hAnsi="Arial" w:cs="Arial"/>
        </w:rPr>
        <w:t>‘</w:t>
      </w:r>
      <w:r w:rsidR="00A16A22" w:rsidRPr="00517F46">
        <w:rPr>
          <w:rFonts w:ascii="Arial" w:hAnsi="Arial" w:cs="Arial"/>
        </w:rPr>
        <w:t>the Cabinet</w:t>
      </w:r>
      <w:r w:rsidR="00DB2734" w:rsidRPr="00517F46">
        <w:rPr>
          <w:rFonts w:ascii="Arial" w:hAnsi="Arial" w:cs="Arial"/>
        </w:rPr>
        <w:t>’</w:t>
      </w:r>
      <w:r w:rsidR="00A16A22" w:rsidRPr="00517F46">
        <w:rPr>
          <w:rFonts w:ascii="Arial" w:hAnsi="Arial" w:cs="Arial"/>
        </w:rPr>
        <w:t xml:space="preserve"> has a clear Constitutional meaning</w:t>
      </w:r>
      <w:r w:rsidR="00FE59A1" w:rsidRPr="00517F46">
        <w:rPr>
          <w:rFonts w:ascii="Arial" w:hAnsi="Arial" w:cs="Arial"/>
        </w:rPr>
        <w:t xml:space="preserve">. There is only one Cabinet in the country. The Constitution </w:t>
      </w:r>
      <w:r w:rsidR="00683EDC" w:rsidRPr="00517F46">
        <w:rPr>
          <w:rFonts w:ascii="Arial" w:hAnsi="Arial" w:cs="Arial"/>
        </w:rPr>
        <w:t xml:space="preserve">thus </w:t>
      </w:r>
      <w:r w:rsidR="00FE59A1" w:rsidRPr="00517F46">
        <w:rPr>
          <w:rFonts w:ascii="Arial" w:hAnsi="Arial" w:cs="Arial"/>
        </w:rPr>
        <w:t>consistently refers to ‘the Cabinet’ in the singular to denote the national executive.</w:t>
      </w:r>
      <w:r w:rsidR="00FE59A1" w:rsidRPr="00DE4FBB">
        <w:rPr>
          <w:rStyle w:val="FootnoteReference"/>
          <w:rFonts w:ascii="Arial" w:hAnsi="Arial" w:cs="Arial"/>
        </w:rPr>
        <w:footnoteReference w:id="41"/>
      </w:r>
      <w:r w:rsidR="00FE59A1" w:rsidRPr="00517F46">
        <w:rPr>
          <w:rFonts w:ascii="Arial" w:hAnsi="Arial" w:cs="Arial"/>
        </w:rPr>
        <w:t xml:space="preserve"> By contrast, section 125(2) of the Constitution provides that the executive authority of a province is exercised by the Premier and the other members of the ‘Executive Council’</w:t>
      </w:r>
      <w:r w:rsidR="00A16A22" w:rsidRPr="00517F46">
        <w:rPr>
          <w:rFonts w:ascii="Arial" w:hAnsi="Arial" w:cs="Arial"/>
        </w:rPr>
        <w:t xml:space="preserve">, and </w:t>
      </w:r>
      <w:r w:rsidR="002105D4" w:rsidRPr="00517F46">
        <w:rPr>
          <w:rFonts w:ascii="Arial" w:hAnsi="Arial" w:cs="Arial"/>
        </w:rPr>
        <w:t xml:space="preserve">that </w:t>
      </w:r>
      <w:r w:rsidR="00A16A22" w:rsidRPr="00517F46">
        <w:rPr>
          <w:rFonts w:ascii="Arial" w:hAnsi="Arial" w:cs="Arial"/>
        </w:rPr>
        <w:t xml:space="preserve">there will </w:t>
      </w:r>
      <w:r w:rsidR="00683EDC" w:rsidRPr="00517F46">
        <w:rPr>
          <w:rFonts w:ascii="Arial" w:hAnsi="Arial" w:cs="Arial"/>
        </w:rPr>
        <w:t xml:space="preserve">be </w:t>
      </w:r>
      <w:r w:rsidR="00A16A22" w:rsidRPr="00517F46">
        <w:rPr>
          <w:rFonts w:ascii="Arial" w:hAnsi="Arial" w:cs="Arial"/>
        </w:rPr>
        <w:t xml:space="preserve">such a council for each province.  </w:t>
      </w:r>
    </w:p>
    <w:p w:rsidR="00FE59A1" w:rsidRPr="00DE4FBB" w:rsidRDefault="00FE59A1" w:rsidP="006B7081">
      <w:pPr>
        <w:pStyle w:val="ListParagraph"/>
        <w:spacing w:line="360" w:lineRule="auto"/>
        <w:rPr>
          <w:rFonts w:ascii="Arial" w:hAnsi="Arial" w:cs="Arial"/>
        </w:rPr>
      </w:pPr>
    </w:p>
    <w:p w:rsidR="00FD2A00"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[85]</w:t>
      </w:r>
      <w:r w:rsidRPr="00DE4FBB">
        <w:rPr>
          <w:rFonts w:ascii="Arial" w:hAnsi="Arial" w:cs="Arial"/>
        </w:rPr>
        <w:tab/>
      </w:r>
      <w:r w:rsidR="00FE59A1" w:rsidRPr="00517F46">
        <w:rPr>
          <w:rFonts w:ascii="Arial" w:hAnsi="Arial" w:cs="Arial"/>
        </w:rPr>
        <w:t>The difference in constitutional nomenclature in respect of national and provincial bodies and functionaries is recognised in PAIA</w:t>
      </w:r>
      <w:r w:rsidR="00383A47" w:rsidRPr="00517F46">
        <w:rPr>
          <w:rFonts w:ascii="Arial" w:hAnsi="Arial" w:cs="Arial"/>
        </w:rPr>
        <w:t xml:space="preserve">, </w:t>
      </w:r>
      <w:r w:rsidR="00FE59A1" w:rsidRPr="00517F46">
        <w:rPr>
          <w:rFonts w:ascii="Arial" w:hAnsi="Arial" w:cs="Arial"/>
        </w:rPr>
        <w:t xml:space="preserve">as is apparent from </w:t>
      </w:r>
      <w:r w:rsidR="00FD2A00" w:rsidRPr="00517F46">
        <w:rPr>
          <w:rFonts w:ascii="Arial" w:hAnsi="Arial" w:cs="Arial"/>
        </w:rPr>
        <w:t xml:space="preserve">section 12(c) </w:t>
      </w:r>
      <w:r w:rsidR="00663E9C" w:rsidRPr="00517F46">
        <w:rPr>
          <w:rFonts w:ascii="Arial" w:hAnsi="Arial" w:cs="Arial"/>
        </w:rPr>
        <w:t xml:space="preserve">which </w:t>
      </w:r>
      <w:r w:rsidR="00FD2A00" w:rsidRPr="00517F46">
        <w:rPr>
          <w:rFonts w:ascii="Arial" w:hAnsi="Arial" w:cs="Arial"/>
        </w:rPr>
        <w:t xml:space="preserve">refers </w:t>
      </w:r>
      <w:r w:rsidR="00A16A22" w:rsidRPr="00517F46">
        <w:rPr>
          <w:rFonts w:ascii="Arial" w:hAnsi="Arial" w:cs="Arial"/>
        </w:rPr>
        <w:t>a member of ‘P</w:t>
      </w:r>
      <w:r w:rsidR="00FD2A00" w:rsidRPr="00517F46">
        <w:rPr>
          <w:rFonts w:ascii="Arial" w:hAnsi="Arial" w:cs="Arial"/>
        </w:rPr>
        <w:t xml:space="preserve">arliament </w:t>
      </w:r>
      <w:r w:rsidR="00A16A22" w:rsidRPr="00517F46">
        <w:rPr>
          <w:rFonts w:ascii="Arial" w:hAnsi="Arial" w:cs="Arial"/>
        </w:rPr>
        <w:t xml:space="preserve">or of </w:t>
      </w:r>
      <w:r w:rsidR="00663E9C" w:rsidRPr="00517F46">
        <w:rPr>
          <w:rFonts w:ascii="Arial" w:hAnsi="Arial" w:cs="Arial"/>
        </w:rPr>
        <w:t xml:space="preserve">a </w:t>
      </w:r>
      <w:r w:rsidR="00FD2A00" w:rsidRPr="00517F46">
        <w:rPr>
          <w:rFonts w:ascii="Arial" w:hAnsi="Arial" w:cs="Arial"/>
        </w:rPr>
        <w:t>provincial legislature</w:t>
      </w:r>
      <w:r w:rsidR="009C7D05" w:rsidRPr="00517F46">
        <w:rPr>
          <w:rFonts w:ascii="Arial" w:hAnsi="Arial" w:cs="Arial"/>
        </w:rPr>
        <w:t>’</w:t>
      </w:r>
      <w:r w:rsidR="00A16A22" w:rsidRPr="00517F46">
        <w:rPr>
          <w:rFonts w:ascii="Arial" w:hAnsi="Arial" w:cs="Arial"/>
        </w:rPr>
        <w:t xml:space="preserve">. </w:t>
      </w:r>
      <w:r w:rsidR="002105D4" w:rsidRPr="00517F46">
        <w:rPr>
          <w:rFonts w:ascii="Arial" w:hAnsi="Arial" w:cs="Arial"/>
        </w:rPr>
        <w:t>T</w:t>
      </w:r>
      <w:r w:rsidR="00A16A22" w:rsidRPr="00517F46">
        <w:rPr>
          <w:rFonts w:ascii="Arial" w:hAnsi="Arial" w:cs="Arial"/>
        </w:rPr>
        <w:t>h</w:t>
      </w:r>
      <w:r w:rsidR="002105D4" w:rsidRPr="00517F46">
        <w:rPr>
          <w:rFonts w:ascii="Arial" w:hAnsi="Arial" w:cs="Arial"/>
        </w:rPr>
        <w:t>at</w:t>
      </w:r>
      <w:r w:rsidR="00A16A22" w:rsidRPr="00517F46">
        <w:rPr>
          <w:rFonts w:ascii="Arial" w:hAnsi="Arial" w:cs="Arial"/>
        </w:rPr>
        <w:t xml:space="preserve"> difference in terminology and the use of the</w:t>
      </w:r>
      <w:r w:rsidR="00663E9C" w:rsidRPr="00517F46">
        <w:rPr>
          <w:rFonts w:ascii="Arial" w:hAnsi="Arial" w:cs="Arial"/>
        </w:rPr>
        <w:t xml:space="preserve"> indefinite article</w:t>
      </w:r>
      <w:r w:rsidR="00A16A22" w:rsidRPr="00517F46">
        <w:rPr>
          <w:rFonts w:ascii="Arial" w:hAnsi="Arial" w:cs="Arial"/>
        </w:rPr>
        <w:t xml:space="preserve"> in relation to the provincial structure</w:t>
      </w:r>
      <w:r w:rsidR="002105D4" w:rsidRPr="00517F46">
        <w:rPr>
          <w:rFonts w:ascii="Arial" w:hAnsi="Arial" w:cs="Arial"/>
        </w:rPr>
        <w:t>s</w:t>
      </w:r>
      <w:r w:rsidR="00A16A22" w:rsidRPr="00517F46">
        <w:rPr>
          <w:rFonts w:ascii="Arial" w:hAnsi="Arial" w:cs="Arial"/>
        </w:rPr>
        <w:t xml:space="preserve"> is striking. </w:t>
      </w:r>
    </w:p>
    <w:p w:rsidR="00383A47" w:rsidRPr="00DE4FBB" w:rsidRDefault="00383A47" w:rsidP="006B7081">
      <w:pPr>
        <w:pStyle w:val="ListParagraph"/>
        <w:spacing w:line="360" w:lineRule="auto"/>
        <w:rPr>
          <w:rFonts w:ascii="Arial" w:hAnsi="Arial" w:cs="Arial"/>
        </w:rPr>
      </w:pPr>
    </w:p>
    <w:p w:rsidR="00383A47"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[86]</w:t>
      </w:r>
      <w:r w:rsidRPr="00DE4FBB">
        <w:rPr>
          <w:rFonts w:ascii="Arial" w:hAnsi="Arial" w:cs="Arial"/>
        </w:rPr>
        <w:tab/>
      </w:r>
      <w:r w:rsidR="00383A47" w:rsidRPr="00517F46">
        <w:rPr>
          <w:rFonts w:ascii="Arial" w:hAnsi="Arial" w:cs="Arial"/>
        </w:rPr>
        <w:t xml:space="preserve">A reading of ‘the Cabinet’ in section 12 as being confined to that body which comprises the national executive is </w:t>
      </w:r>
      <w:r w:rsidR="00352E8F" w:rsidRPr="00517F46">
        <w:rPr>
          <w:rFonts w:ascii="Arial" w:hAnsi="Arial" w:cs="Arial"/>
        </w:rPr>
        <w:t>consistent</w:t>
      </w:r>
      <w:r w:rsidR="00383A47" w:rsidRPr="00517F46">
        <w:rPr>
          <w:rFonts w:ascii="Arial" w:hAnsi="Arial" w:cs="Arial"/>
        </w:rPr>
        <w:t xml:space="preserve"> with the </w:t>
      </w:r>
      <w:r w:rsidR="00352E8F" w:rsidRPr="00517F46">
        <w:rPr>
          <w:rFonts w:ascii="Arial" w:hAnsi="Arial" w:cs="Arial"/>
        </w:rPr>
        <w:t>language</w:t>
      </w:r>
      <w:r w:rsidR="00383A47" w:rsidRPr="00517F46">
        <w:rPr>
          <w:rFonts w:ascii="Arial" w:hAnsi="Arial" w:cs="Arial"/>
        </w:rPr>
        <w:t xml:space="preserve"> of section 12</w:t>
      </w:r>
      <w:r w:rsidR="00790951" w:rsidRPr="00517F46">
        <w:rPr>
          <w:rFonts w:ascii="Arial" w:hAnsi="Arial" w:cs="Arial"/>
        </w:rPr>
        <w:t>,</w:t>
      </w:r>
      <w:r w:rsidR="002105D4" w:rsidRPr="00517F46">
        <w:rPr>
          <w:rFonts w:ascii="Arial" w:hAnsi="Arial" w:cs="Arial"/>
        </w:rPr>
        <w:t xml:space="preserve"> its apparent origins,</w:t>
      </w:r>
      <w:r w:rsidR="00790951" w:rsidRPr="00517F46">
        <w:rPr>
          <w:rFonts w:ascii="Arial" w:hAnsi="Arial" w:cs="Arial"/>
        </w:rPr>
        <w:t xml:space="preserve"> </w:t>
      </w:r>
      <w:r w:rsidR="00383A47" w:rsidRPr="00517F46">
        <w:rPr>
          <w:rFonts w:ascii="Arial" w:hAnsi="Arial" w:cs="Arial"/>
        </w:rPr>
        <w:t>the requirement for a restrictive interpretation of exemptions in PAIA already discussed, and the purposes of the act</w:t>
      </w:r>
      <w:r w:rsidR="00790951" w:rsidRPr="00517F46">
        <w:rPr>
          <w:rFonts w:ascii="Arial" w:hAnsi="Arial" w:cs="Arial"/>
        </w:rPr>
        <w:t xml:space="preserve">. </w:t>
      </w:r>
    </w:p>
    <w:p w:rsidR="00790951" w:rsidRPr="00DE4FBB" w:rsidRDefault="00790951" w:rsidP="006B7081">
      <w:pPr>
        <w:pStyle w:val="ListParagraph"/>
        <w:spacing w:line="360" w:lineRule="auto"/>
        <w:rPr>
          <w:rFonts w:ascii="Arial" w:hAnsi="Arial" w:cs="Arial"/>
        </w:rPr>
      </w:pPr>
    </w:p>
    <w:p w:rsidR="00790951"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[87]</w:t>
      </w:r>
      <w:r w:rsidRPr="00DE4FBB">
        <w:rPr>
          <w:rFonts w:ascii="Arial" w:hAnsi="Arial" w:cs="Arial"/>
        </w:rPr>
        <w:tab/>
      </w:r>
      <w:r w:rsidR="00790951" w:rsidRPr="00517F46">
        <w:rPr>
          <w:rFonts w:ascii="Arial" w:hAnsi="Arial" w:cs="Arial"/>
        </w:rPr>
        <w:t xml:space="preserve">I consequently find that section 12 of PAIA does not exempt the records of a provincial executive committee from disclosure and that the respondents’ reliance on the provision is misplaced. </w:t>
      </w:r>
    </w:p>
    <w:p w:rsidR="00D13790" w:rsidRPr="00DE4FBB" w:rsidRDefault="00D13790" w:rsidP="006B7081">
      <w:pPr>
        <w:pStyle w:val="ListParagraph"/>
        <w:spacing w:line="360" w:lineRule="auto"/>
        <w:rPr>
          <w:rFonts w:ascii="Arial" w:hAnsi="Arial" w:cs="Arial"/>
        </w:rPr>
      </w:pPr>
    </w:p>
    <w:p w:rsidR="00A97271"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[88]</w:t>
      </w:r>
      <w:r w:rsidRPr="00DE4FBB">
        <w:rPr>
          <w:rFonts w:ascii="Arial" w:hAnsi="Arial" w:cs="Arial"/>
        </w:rPr>
        <w:tab/>
      </w:r>
      <w:r w:rsidR="00F01DDC" w:rsidRPr="00517F46">
        <w:rPr>
          <w:rFonts w:ascii="Arial" w:hAnsi="Arial" w:cs="Arial"/>
        </w:rPr>
        <w:t>That leaves the respondents’ refusal to produce the</w:t>
      </w:r>
      <w:r w:rsidR="00A97271" w:rsidRPr="00517F46">
        <w:rPr>
          <w:rFonts w:ascii="Arial" w:hAnsi="Arial" w:cs="Arial"/>
        </w:rPr>
        <w:t xml:space="preserve"> records relating to the applicant’s </w:t>
      </w:r>
      <w:r w:rsidR="00683EDC" w:rsidRPr="00517F46">
        <w:rPr>
          <w:rFonts w:ascii="Arial" w:hAnsi="Arial" w:cs="Arial"/>
        </w:rPr>
        <w:t xml:space="preserve">unsuccessful </w:t>
      </w:r>
      <w:r w:rsidR="00A97271" w:rsidRPr="00517F46">
        <w:rPr>
          <w:rFonts w:ascii="Arial" w:hAnsi="Arial" w:cs="Arial"/>
        </w:rPr>
        <w:t>application</w:t>
      </w:r>
      <w:r w:rsidR="00683EDC" w:rsidRPr="00517F46">
        <w:rPr>
          <w:rFonts w:ascii="Arial" w:hAnsi="Arial" w:cs="Arial"/>
        </w:rPr>
        <w:t>s</w:t>
      </w:r>
      <w:r w:rsidR="00A97271" w:rsidRPr="00517F46">
        <w:rPr>
          <w:rFonts w:ascii="Arial" w:hAnsi="Arial" w:cs="Arial"/>
        </w:rPr>
        <w:t xml:space="preserve"> for the positions o</w:t>
      </w:r>
      <w:r w:rsidR="00683EDC" w:rsidRPr="00517F46">
        <w:rPr>
          <w:rFonts w:ascii="Arial" w:hAnsi="Arial" w:cs="Arial"/>
        </w:rPr>
        <w:t>f Head</w:t>
      </w:r>
      <w:r w:rsidR="00A97271" w:rsidRPr="00517F46">
        <w:rPr>
          <w:rFonts w:ascii="Arial" w:hAnsi="Arial" w:cs="Arial"/>
        </w:rPr>
        <w:t xml:space="preserve"> of the Departments of Social Development and Transport.  </w:t>
      </w:r>
    </w:p>
    <w:p w:rsidR="00C77B0C" w:rsidRPr="00DE4FBB" w:rsidRDefault="00C77B0C" w:rsidP="006B7081">
      <w:pPr>
        <w:autoSpaceDE w:val="0"/>
        <w:autoSpaceDN w:val="0"/>
        <w:adjustRightInd w:val="0"/>
        <w:spacing w:line="360" w:lineRule="auto"/>
        <w:jc w:val="both"/>
        <w:rPr>
          <w:rFonts w:ascii="Arial" w:hAnsi="Arial" w:cs="Arial"/>
        </w:rPr>
      </w:pPr>
    </w:p>
    <w:p w:rsidR="00C77B0C" w:rsidRPr="002105D4" w:rsidRDefault="00C77B0C" w:rsidP="002105D4">
      <w:pPr>
        <w:autoSpaceDE w:val="0"/>
        <w:autoSpaceDN w:val="0"/>
        <w:adjustRightInd w:val="0"/>
        <w:spacing w:line="360" w:lineRule="auto"/>
        <w:jc w:val="both"/>
        <w:rPr>
          <w:rFonts w:ascii="Arial" w:hAnsi="Arial" w:cs="Arial"/>
          <w:b/>
          <w:bCs/>
        </w:rPr>
      </w:pPr>
      <w:r w:rsidRPr="002105D4">
        <w:rPr>
          <w:rFonts w:ascii="Arial" w:hAnsi="Arial" w:cs="Arial"/>
          <w:b/>
          <w:bCs/>
        </w:rPr>
        <w:t xml:space="preserve">Records relating to the interviews for </w:t>
      </w:r>
      <w:r w:rsidR="00A97271" w:rsidRPr="002105D4">
        <w:rPr>
          <w:rFonts w:ascii="Arial" w:hAnsi="Arial" w:cs="Arial"/>
          <w:b/>
          <w:bCs/>
        </w:rPr>
        <w:t>H</w:t>
      </w:r>
      <w:r w:rsidR="00683EDC">
        <w:rPr>
          <w:rFonts w:ascii="Arial" w:hAnsi="Arial" w:cs="Arial"/>
          <w:b/>
          <w:bCs/>
        </w:rPr>
        <w:t xml:space="preserve">ead of </w:t>
      </w:r>
      <w:r w:rsidR="00A97271" w:rsidRPr="002105D4">
        <w:rPr>
          <w:rFonts w:ascii="Arial" w:hAnsi="Arial" w:cs="Arial"/>
          <w:b/>
          <w:bCs/>
        </w:rPr>
        <w:t>D</w:t>
      </w:r>
      <w:r w:rsidR="00683EDC">
        <w:rPr>
          <w:rFonts w:ascii="Arial" w:hAnsi="Arial" w:cs="Arial"/>
          <w:b/>
          <w:bCs/>
        </w:rPr>
        <w:t xml:space="preserve">epartment </w:t>
      </w:r>
      <w:r w:rsidRPr="002105D4">
        <w:rPr>
          <w:rFonts w:ascii="Arial" w:hAnsi="Arial" w:cs="Arial"/>
          <w:b/>
          <w:bCs/>
        </w:rPr>
        <w:t xml:space="preserve">Social Development </w:t>
      </w:r>
    </w:p>
    <w:p w:rsidR="00C77B0C" w:rsidRPr="00DE4FBB" w:rsidRDefault="00C77B0C" w:rsidP="006B7081">
      <w:pPr>
        <w:autoSpaceDE w:val="0"/>
        <w:autoSpaceDN w:val="0"/>
        <w:adjustRightInd w:val="0"/>
        <w:spacing w:line="360" w:lineRule="auto"/>
        <w:ind w:left="851" w:hanging="851"/>
        <w:jc w:val="both"/>
        <w:rPr>
          <w:rFonts w:ascii="Arial" w:hAnsi="Arial" w:cs="Arial"/>
        </w:rPr>
      </w:pPr>
    </w:p>
    <w:p w:rsidR="00961F02" w:rsidRPr="00517F46" w:rsidRDefault="00517F46" w:rsidP="00517F46">
      <w:pPr>
        <w:autoSpaceDE w:val="0"/>
        <w:autoSpaceDN w:val="0"/>
        <w:adjustRightInd w:val="0"/>
        <w:spacing w:line="360" w:lineRule="auto"/>
        <w:jc w:val="both"/>
        <w:rPr>
          <w:rFonts w:ascii="Arial" w:hAnsi="Arial" w:cs="Arial"/>
        </w:rPr>
      </w:pPr>
      <w:r>
        <w:rPr>
          <w:rFonts w:ascii="Arial" w:hAnsi="Arial" w:cs="Arial"/>
        </w:rPr>
        <w:t>[89]</w:t>
      </w:r>
      <w:r>
        <w:rPr>
          <w:rFonts w:ascii="Arial" w:hAnsi="Arial" w:cs="Arial"/>
        </w:rPr>
        <w:tab/>
      </w:r>
      <w:r w:rsidR="00C77B0C" w:rsidRPr="00517F46">
        <w:rPr>
          <w:rFonts w:ascii="Arial" w:hAnsi="Arial" w:cs="Arial"/>
        </w:rPr>
        <w:t xml:space="preserve">The records requested by the applicant in relation to the interviews for the post of Head of </w:t>
      </w:r>
      <w:r w:rsidR="009C6CA8" w:rsidRPr="00517F46">
        <w:rPr>
          <w:rFonts w:ascii="Arial" w:hAnsi="Arial" w:cs="Arial"/>
        </w:rPr>
        <w:t xml:space="preserve">the </w:t>
      </w:r>
      <w:r w:rsidR="00C77B0C" w:rsidRPr="00517F46">
        <w:rPr>
          <w:rFonts w:ascii="Arial" w:hAnsi="Arial" w:cs="Arial"/>
        </w:rPr>
        <w:t xml:space="preserve">Department </w:t>
      </w:r>
      <w:r w:rsidR="00E57B17" w:rsidRPr="00517F46">
        <w:rPr>
          <w:rFonts w:ascii="Arial" w:hAnsi="Arial" w:cs="Arial"/>
        </w:rPr>
        <w:t>of</w:t>
      </w:r>
      <w:r w:rsidR="00C77B0C" w:rsidRPr="00517F46">
        <w:rPr>
          <w:rFonts w:ascii="Arial" w:hAnsi="Arial" w:cs="Arial"/>
        </w:rPr>
        <w:t xml:space="preserve"> Social Development </w:t>
      </w:r>
      <w:r w:rsidR="00E57B17" w:rsidRPr="00517F46">
        <w:rPr>
          <w:rFonts w:ascii="Arial" w:hAnsi="Arial" w:cs="Arial"/>
        </w:rPr>
        <w:t>included</w:t>
      </w:r>
      <w:r w:rsidR="00C77B0C" w:rsidRPr="00517F46">
        <w:rPr>
          <w:rFonts w:ascii="Arial" w:hAnsi="Arial" w:cs="Arial"/>
        </w:rPr>
        <w:t xml:space="preserve"> the scoresheets populated by each panel member in respect of the applicant, the minutes </w:t>
      </w:r>
      <w:r w:rsidR="00E57B17" w:rsidRPr="00517F46">
        <w:rPr>
          <w:rFonts w:ascii="Arial" w:hAnsi="Arial" w:cs="Arial"/>
        </w:rPr>
        <w:t xml:space="preserve">and voice recordings </w:t>
      </w:r>
      <w:r w:rsidR="00C77B0C" w:rsidRPr="00517F46">
        <w:rPr>
          <w:rFonts w:ascii="Arial" w:hAnsi="Arial" w:cs="Arial"/>
        </w:rPr>
        <w:t xml:space="preserve">of the </w:t>
      </w:r>
      <w:r w:rsidR="00E57B17" w:rsidRPr="00517F46">
        <w:rPr>
          <w:rFonts w:ascii="Arial" w:hAnsi="Arial" w:cs="Arial"/>
        </w:rPr>
        <w:t xml:space="preserve">applicant’s </w:t>
      </w:r>
      <w:r w:rsidR="00C77B0C" w:rsidRPr="00517F46">
        <w:rPr>
          <w:rFonts w:ascii="Arial" w:hAnsi="Arial" w:cs="Arial"/>
        </w:rPr>
        <w:t>interview and the assessment discussions relating to the applicant.</w:t>
      </w:r>
      <w:r w:rsidR="009C6CA8" w:rsidRPr="00517F46">
        <w:rPr>
          <w:rFonts w:ascii="Arial" w:hAnsi="Arial" w:cs="Arial"/>
        </w:rPr>
        <w:t xml:space="preserve"> </w:t>
      </w:r>
      <w:r w:rsidR="00C77B0C" w:rsidRPr="00517F46">
        <w:rPr>
          <w:rFonts w:ascii="Arial" w:hAnsi="Arial" w:cs="Arial"/>
        </w:rPr>
        <w:t xml:space="preserve">The respondents provided </w:t>
      </w:r>
      <w:r w:rsidR="00961F02" w:rsidRPr="00517F46">
        <w:rPr>
          <w:rFonts w:ascii="Arial" w:hAnsi="Arial" w:cs="Arial"/>
        </w:rPr>
        <w:t>redacted</w:t>
      </w:r>
      <w:r w:rsidR="00C77B0C" w:rsidRPr="00517F46">
        <w:rPr>
          <w:rFonts w:ascii="Arial" w:hAnsi="Arial" w:cs="Arial"/>
        </w:rPr>
        <w:t xml:space="preserve"> minutes and a summary reflecting the totals of the scoresheets but </w:t>
      </w:r>
      <w:r w:rsidR="006456D4" w:rsidRPr="00517F46">
        <w:rPr>
          <w:rFonts w:ascii="Arial" w:hAnsi="Arial" w:cs="Arial"/>
        </w:rPr>
        <w:t>did</w:t>
      </w:r>
      <w:r w:rsidR="00C77B0C" w:rsidRPr="00517F46">
        <w:rPr>
          <w:rFonts w:ascii="Arial" w:hAnsi="Arial" w:cs="Arial"/>
        </w:rPr>
        <w:t xml:space="preserve"> not provide the audio recordings or the </w:t>
      </w:r>
      <w:r w:rsidR="00D43184" w:rsidRPr="00517F46">
        <w:rPr>
          <w:rFonts w:ascii="Arial" w:hAnsi="Arial" w:cs="Arial"/>
        </w:rPr>
        <w:t>scoresheets of each panel member</w:t>
      </w:r>
      <w:r w:rsidR="00C77B0C" w:rsidRPr="00517F46">
        <w:rPr>
          <w:rFonts w:ascii="Arial" w:hAnsi="Arial" w:cs="Arial"/>
        </w:rPr>
        <w:t>.</w:t>
      </w:r>
      <w:r w:rsidR="00961F02" w:rsidRPr="00517F46">
        <w:rPr>
          <w:rFonts w:ascii="Arial" w:hAnsi="Arial" w:cs="Arial"/>
        </w:rPr>
        <w:t xml:space="preserve"> The applicant doubts that the minutes are a proper reflection of the oral deliberations. </w:t>
      </w:r>
      <w:r w:rsidR="00C77B0C" w:rsidRPr="00517F46">
        <w:rPr>
          <w:rFonts w:ascii="Arial" w:hAnsi="Arial" w:cs="Arial"/>
        </w:rPr>
        <w:t xml:space="preserve">In the appeal the Premier took the view that the requested documents had been provided and there were </w:t>
      </w:r>
      <w:r w:rsidR="00A97271" w:rsidRPr="00517F46">
        <w:rPr>
          <w:rFonts w:ascii="Arial" w:hAnsi="Arial" w:cs="Arial"/>
        </w:rPr>
        <w:t>‘</w:t>
      </w:r>
      <w:r w:rsidR="00C77B0C" w:rsidRPr="00517F46">
        <w:rPr>
          <w:rFonts w:ascii="Arial" w:hAnsi="Arial" w:cs="Arial"/>
        </w:rPr>
        <w:t xml:space="preserve">no further </w:t>
      </w:r>
      <w:r w:rsidR="00A97271" w:rsidRPr="00517F46">
        <w:rPr>
          <w:rFonts w:ascii="Arial" w:hAnsi="Arial" w:cs="Arial"/>
        </w:rPr>
        <w:t>or</w:t>
      </w:r>
      <w:r w:rsidR="00C77B0C" w:rsidRPr="00517F46">
        <w:rPr>
          <w:rFonts w:ascii="Arial" w:hAnsi="Arial" w:cs="Arial"/>
        </w:rPr>
        <w:t xml:space="preserve"> additional documents available</w:t>
      </w:r>
      <w:r w:rsidR="00A97271" w:rsidRPr="00517F46">
        <w:rPr>
          <w:rFonts w:ascii="Arial" w:hAnsi="Arial" w:cs="Arial"/>
        </w:rPr>
        <w:t>’</w:t>
      </w:r>
      <w:r w:rsidR="00C77B0C" w:rsidRPr="00517F46">
        <w:rPr>
          <w:rFonts w:ascii="Arial" w:hAnsi="Arial" w:cs="Arial"/>
        </w:rPr>
        <w:t xml:space="preserve">. </w:t>
      </w:r>
    </w:p>
    <w:p w:rsidR="007667CD" w:rsidRPr="003346EB" w:rsidRDefault="007667CD" w:rsidP="007667CD">
      <w:pPr>
        <w:pStyle w:val="ListParagraph"/>
        <w:autoSpaceDE w:val="0"/>
        <w:autoSpaceDN w:val="0"/>
        <w:adjustRightInd w:val="0"/>
        <w:spacing w:line="360" w:lineRule="auto"/>
        <w:ind w:left="0"/>
        <w:jc w:val="both"/>
        <w:rPr>
          <w:rFonts w:ascii="Arial" w:hAnsi="Arial" w:cs="Arial"/>
        </w:rPr>
      </w:pPr>
    </w:p>
    <w:p w:rsidR="00C77B0C"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lastRenderedPageBreak/>
        <w:t>[90]</w:t>
      </w:r>
      <w:r w:rsidRPr="00DE4FBB">
        <w:rPr>
          <w:rFonts w:ascii="Arial" w:hAnsi="Arial" w:cs="Arial"/>
        </w:rPr>
        <w:tab/>
      </w:r>
      <w:r w:rsidR="00961F02" w:rsidRPr="00517F46">
        <w:rPr>
          <w:rFonts w:ascii="Arial" w:hAnsi="Arial" w:cs="Arial"/>
        </w:rPr>
        <w:t xml:space="preserve">In her founding affidavit, the applicant confirmed that the meetings were recorded and described the pre-printed individual sheets with comments and scores as the documents she sought. </w:t>
      </w:r>
      <w:r w:rsidR="00F01DDC" w:rsidRPr="00517F46">
        <w:rPr>
          <w:rFonts w:ascii="Arial" w:hAnsi="Arial" w:cs="Arial"/>
        </w:rPr>
        <w:t>In their answering affidavit, t</w:t>
      </w:r>
      <w:r w:rsidR="00C77B0C" w:rsidRPr="00517F46">
        <w:rPr>
          <w:rFonts w:ascii="Arial" w:hAnsi="Arial" w:cs="Arial"/>
        </w:rPr>
        <w:t xml:space="preserve">he respondents do not engage with </w:t>
      </w:r>
      <w:r w:rsidR="00AB030C" w:rsidRPr="00517F46">
        <w:rPr>
          <w:rFonts w:ascii="Arial" w:hAnsi="Arial" w:cs="Arial"/>
        </w:rPr>
        <w:t>her</w:t>
      </w:r>
      <w:r w:rsidR="00C77B0C" w:rsidRPr="00517F46">
        <w:rPr>
          <w:rFonts w:ascii="Arial" w:hAnsi="Arial" w:cs="Arial"/>
        </w:rPr>
        <w:t xml:space="preserve"> requests </w:t>
      </w:r>
      <w:r w:rsidR="00F01DDC" w:rsidRPr="00517F46">
        <w:rPr>
          <w:rFonts w:ascii="Arial" w:hAnsi="Arial" w:cs="Arial"/>
        </w:rPr>
        <w:t>for the individual score sheets or the audio recording</w:t>
      </w:r>
      <w:r w:rsidR="00961F02" w:rsidRPr="00517F46">
        <w:rPr>
          <w:rFonts w:ascii="Arial" w:hAnsi="Arial" w:cs="Arial"/>
        </w:rPr>
        <w:t>s</w:t>
      </w:r>
      <w:r w:rsidR="00F01DDC" w:rsidRPr="00517F46">
        <w:rPr>
          <w:rFonts w:ascii="Arial" w:hAnsi="Arial" w:cs="Arial"/>
        </w:rPr>
        <w:t xml:space="preserve">. </w:t>
      </w:r>
      <w:r w:rsidR="00C77B0C" w:rsidRPr="00517F46">
        <w:rPr>
          <w:rFonts w:ascii="Arial" w:hAnsi="Arial" w:cs="Arial"/>
        </w:rPr>
        <w:t xml:space="preserve">They do not state that audio recordings </w:t>
      </w:r>
      <w:r w:rsidR="00961F02" w:rsidRPr="00517F46">
        <w:rPr>
          <w:rFonts w:ascii="Arial" w:hAnsi="Arial" w:cs="Arial"/>
        </w:rPr>
        <w:t>and</w:t>
      </w:r>
      <w:r w:rsidR="00C77B0C" w:rsidRPr="00517F46">
        <w:rPr>
          <w:rFonts w:ascii="Arial" w:hAnsi="Arial" w:cs="Arial"/>
        </w:rPr>
        <w:t xml:space="preserve"> the individual score sheets do not exist</w:t>
      </w:r>
      <w:r w:rsidR="002105D4" w:rsidRPr="00517F46">
        <w:rPr>
          <w:rFonts w:ascii="Arial" w:hAnsi="Arial" w:cs="Arial"/>
        </w:rPr>
        <w:t>,</w:t>
      </w:r>
      <w:r w:rsidR="00961F02" w:rsidRPr="00517F46">
        <w:rPr>
          <w:rFonts w:ascii="Arial" w:hAnsi="Arial" w:cs="Arial"/>
        </w:rPr>
        <w:t xml:space="preserve"> </w:t>
      </w:r>
      <w:r w:rsidR="00AB030C" w:rsidRPr="00517F46">
        <w:rPr>
          <w:rFonts w:ascii="Arial" w:hAnsi="Arial" w:cs="Arial"/>
        </w:rPr>
        <w:t>n</w:t>
      </w:r>
      <w:r w:rsidR="00961F02" w:rsidRPr="00517F46">
        <w:rPr>
          <w:rFonts w:ascii="Arial" w:hAnsi="Arial" w:cs="Arial"/>
        </w:rPr>
        <w:t xml:space="preserve">or </w:t>
      </w:r>
      <w:r w:rsidR="00AB030C" w:rsidRPr="00517F46">
        <w:rPr>
          <w:rFonts w:ascii="Arial" w:hAnsi="Arial" w:cs="Arial"/>
        </w:rPr>
        <w:t xml:space="preserve">do they </w:t>
      </w:r>
      <w:r w:rsidR="002105D4" w:rsidRPr="00517F46">
        <w:rPr>
          <w:rFonts w:ascii="Arial" w:hAnsi="Arial" w:cs="Arial"/>
        </w:rPr>
        <w:t xml:space="preserve">attempt to </w:t>
      </w:r>
      <w:r w:rsidR="00F01DDC" w:rsidRPr="00517F46">
        <w:rPr>
          <w:rFonts w:ascii="Arial" w:hAnsi="Arial" w:cs="Arial"/>
        </w:rPr>
        <w:t>provide an evidentiary basis for the</w:t>
      </w:r>
      <w:r w:rsidR="00C77B0C" w:rsidRPr="00517F46">
        <w:rPr>
          <w:rFonts w:ascii="Arial" w:hAnsi="Arial" w:cs="Arial"/>
        </w:rPr>
        <w:t xml:space="preserve"> passing statement in the Premier’s appeal decision that no further documents </w:t>
      </w:r>
      <w:r w:rsidR="00961F02" w:rsidRPr="00517F46">
        <w:rPr>
          <w:rFonts w:ascii="Arial" w:hAnsi="Arial" w:cs="Arial"/>
        </w:rPr>
        <w:t xml:space="preserve">are </w:t>
      </w:r>
      <w:r w:rsidR="00C77B0C" w:rsidRPr="00517F46">
        <w:rPr>
          <w:rFonts w:ascii="Arial" w:hAnsi="Arial" w:cs="Arial"/>
        </w:rPr>
        <w:t>available</w:t>
      </w:r>
      <w:r w:rsidR="00961F02" w:rsidRPr="00517F46">
        <w:rPr>
          <w:rFonts w:ascii="Arial" w:hAnsi="Arial" w:cs="Arial"/>
        </w:rPr>
        <w:t xml:space="preserve">. </w:t>
      </w:r>
    </w:p>
    <w:p w:rsidR="00C77B0C" w:rsidRPr="00DE4FBB" w:rsidRDefault="00C77B0C" w:rsidP="006B7081">
      <w:pPr>
        <w:spacing w:line="360" w:lineRule="auto"/>
        <w:rPr>
          <w:rFonts w:ascii="Arial" w:hAnsi="Arial" w:cs="Arial"/>
        </w:rPr>
      </w:pPr>
    </w:p>
    <w:p w:rsidR="005F7A8B" w:rsidRPr="00517F46" w:rsidRDefault="00517F46" w:rsidP="00517F46">
      <w:pPr>
        <w:autoSpaceDE w:val="0"/>
        <w:autoSpaceDN w:val="0"/>
        <w:adjustRightInd w:val="0"/>
        <w:spacing w:line="360" w:lineRule="auto"/>
        <w:jc w:val="both"/>
        <w:rPr>
          <w:rFonts w:ascii="Arial" w:hAnsi="Arial" w:cs="Arial"/>
        </w:rPr>
      </w:pPr>
      <w:r w:rsidRPr="005F7A8B">
        <w:rPr>
          <w:rFonts w:ascii="Arial" w:hAnsi="Arial" w:cs="Arial"/>
        </w:rPr>
        <w:t>[91]</w:t>
      </w:r>
      <w:r w:rsidRPr="005F7A8B">
        <w:rPr>
          <w:rFonts w:ascii="Arial" w:hAnsi="Arial" w:cs="Arial"/>
        </w:rPr>
        <w:tab/>
      </w:r>
      <w:r w:rsidR="00E57B17" w:rsidRPr="00517F46">
        <w:rPr>
          <w:rFonts w:ascii="Arial" w:hAnsi="Arial" w:cs="Arial"/>
        </w:rPr>
        <w:t xml:space="preserve">The respondents have therefore not demonstrated that their failure to give the applicant access to these </w:t>
      </w:r>
      <w:r w:rsidR="002105D4" w:rsidRPr="00517F46">
        <w:rPr>
          <w:rFonts w:ascii="Arial" w:hAnsi="Arial" w:cs="Arial"/>
        </w:rPr>
        <w:t>records</w:t>
      </w:r>
      <w:r w:rsidR="00E57B17" w:rsidRPr="00517F46">
        <w:rPr>
          <w:rFonts w:ascii="Arial" w:hAnsi="Arial" w:cs="Arial"/>
        </w:rPr>
        <w:t xml:space="preserve"> falls within PAIA. Indeed, h</w:t>
      </w:r>
      <w:r w:rsidR="00C77B0C" w:rsidRPr="00517F46">
        <w:rPr>
          <w:rFonts w:ascii="Arial" w:hAnsi="Arial" w:cs="Arial"/>
        </w:rPr>
        <w:t>aving given the applicant the summary of the scores of the panellists and the minutes, there is no basi</w:t>
      </w:r>
      <w:r w:rsidR="00E57B17" w:rsidRPr="00517F46">
        <w:rPr>
          <w:rFonts w:ascii="Arial" w:hAnsi="Arial" w:cs="Arial"/>
        </w:rPr>
        <w:t xml:space="preserve">s </w:t>
      </w:r>
      <w:r w:rsidR="00C77B0C" w:rsidRPr="00517F46">
        <w:rPr>
          <w:rFonts w:ascii="Arial" w:hAnsi="Arial" w:cs="Arial"/>
        </w:rPr>
        <w:t xml:space="preserve">upon which they could refuse to provide the individual score sheets or the audio recordings. If such did not exist then the respondents should have followed the provisions of section 23 but they have not. </w:t>
      </w:r>
    </w:p>
    <w:p w:rsidR="005F7A8B" w:rsidRPr="00DE4FBB" w:rsidRDefault="005F7A8B" w:rsidP="005F7A8B">
      <w:pPr>
        <w:pStyle w:val="ListParagraph"/>
        <w:autoSpaceDE w:val="0"/>
        <w:autoSpaceDN w:val="0"/>
        <w:adjustRightInd w:val="0"/>
        <w:spacing w:line="360" w:lineRule="auto"/>
        <w:ind w:left="0"/>
        <w:jc w:val="both"/>
        <w:rPr>
          <w:rFonts w:ascii="Arial" w:hAnsi="Arial" w:cs="Arial"/>
        </w:rPr>
      </w:pPr>
    </w:p>
    <w:p w:rsidR="00F01DDC"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[92]</w:t>
      </w:r>
      <w:r w:rsidRPr="00DE4FBB">
        <w:rPr>
          <w:rFonts w:ascii="Arial" w:hAnsi="Arial" w:cs="Arial"/>
        </w:rPr>
        <w:tab/>
      </w:r>
      <w:r w:rsidR="00F01DDC" w:rsidRPr="00517F46">
        <w:rPr>
          <w:rFonts w:ascii="Arial" w:hAnsi="Arial" w:cs="Arial"/>
        </w:rPr>
        <w:t xml:space="preserve">It follows that the applicant must be given access to the audio recordings and </w:t>
      </w:r>
      <w:r w:rsidR="00E8754B" w:rsidRPr="00517F46">
        <w:rPr>
          <w:rFonts w:ascii="Arial" w:hAnsi="Arial" w:cs="Arial"/>
        </w:rPr>
        <w:t>each panel member’s scoresheet of her</w:t>
      </w:r>
      <w:r w:rsidR="00F01DDC" w:rsidRPr="00517F46">
        <w:rPr>
          <w:rFonts w:ascii="Arial" w:hAnsi="Arial" w:cs="Arial"/>
        </w:rPr>
        <w:t>.</w:t>
      </w:r>
    </w:p>
    <w:p w:rsidR="00F24231" w:rsidRPr="00DE4FBB" w:rsidRDefault="00F24231" w:rsidP="006B7081">
      <w:pPr>
        <w:spacing w:line="360" w:lineRule="auto"/>
        <w:rPr>
          <w:rFonts w:ascii="Arial" w:hAnsi="Arial" w:cs="Arial"/>
        </w:rPr>
      </w:pPr>
    </w:p>
    <w:p w:rsidR="000A5722" w:rsidRPr="005F7A8B" w:rsidRDefault="00F01DDC" w:rsidP="005F7A8B">
      <w:pPr>
        <w:autoSpaceDE w:val="0"/>
        <w:autoSpaceDN w:val="0"/>
        <w:adjustRightInd w:val="0"/>
        <w:spacing w:line="360" w:lineRule="auto"/>
        <w:jc w:val="both"/>
        <w:rPr>
          <w:rFonts w:ascii="Arial" w:hAnsi="Arial" w:cs="Arial"/>
          <w:b/>
          <w:bCs/>
        </w:rPr>
      </w:pPr>
      <w:r w:rsidRPr="005F7A8B">
        <w:rPr>
          <w:rFonts w:ascii="Arial" w:hAnsi="Arial" w:cs="Arial"/>
          <w:b/>
          <w:bCs/>
        </w:rPr>
        <w:t>H</w:t>
      </w:r>
      <w:r w:rsidR="00AB030C">
        <w:rPr>
          <w:rFonts w:ascii="Arial" w:hAnsi="Arial" w:cs="Arial"/>
          <w:b/>
          <w:bCs/>
        </w:rPr>
        <w:t>ead of Department of</w:t>
      </w:r>
      <w:r w:rsidR="003346EB">
        <w:rPr>
          <w:rFonts w:ascii="Arial" w:hAnsi="Arial" w:cs="Arial"/>
          <w:b/>
          <w:bCs/>
        </w:rPr>
        <w:t xml:space="preserve"> </w:t>
      </w:r>
      <w:r w:rsidR="003D362E" w:rsidRPr="005F7A8B">
        <w:rPr>
          <w:rFonts w:ascii="Arial" w:hAnsi="Arial" w:cs="Arial"/>
          <w:b/>
          <w:bCs/>
        </w:rPr>
        <w:t xml:space="preserve">Transport </w:t>
      </w:r>
      <w:r w:rsidR="00790B03">
        <w:rPr>
          <w:rFonts w:ascii="Arial" w:hAnsi="Arial" w:cs="Arial"/>
          <w:b/>
          <w:bCs/>
        </w:rPr>
        <w:t>shortlisting records</w:t>
      </w:r>
    </w:p>
    <w:p w:rsidR="0000673E" w:rsidRPr="00DE4FBB" w:rsidRDefault="0000673E" w:rsidP="006B7081">
      <w:pPr>
        <w:pStyle w:val="ListParagraph"/>
        <w:autoSpaceDE w:val="0"/>
        <w:autoSpaceDN w:val="0"/>
        <w:adjustRightInd w:val="0"/>
        <w:spacing w:line="360" w:lineRule="auto"/>
        <w:ind w:left="851"/>
        <w:jc w:val="both"/>
        <w:rPr>
          <w:rFonts w:ascii="Arial" w:hAnsi="Arial" w:cs="Arial"/>
        </w:rPr>
      </w:pPr>
    </w:p>
    <w:p w:rsidR="00C77B0C" w:rsidRPr="00517F46" w:rsidRDefault="00517F46" w:rsidP="00517F46">
      <w:pPr>
        <w:autoSpaceDE w:val="0"/>
        <w:autoSpaceDN w:val="0"/>
        <w:adjustRightInd w:val="0"/>
        <w:spacing w:line="360" w:lineRule="auto"/>
        <w:jc w:val="both"/>
        <w:rPr>
          <w:rFonts w:ascii="Arial" w:hAnsi="Arial" w:cs="Arial"/>
        </w:rPr>
      </w:pPr>
      <w:r w:rsidRPr="00AB030C">
        <w:rPr>
          <w:rFonts w:ascii="Arial" w:hAnsi="Arial" w:cs="Arial"/>
        </w:rPr>
        <w:t>[93]</w:t>
      </w:r>
      <w:r w:rsidRPr="00AB030C">
        <w:rPr>
          <w:rFonts w:ascii="Arial" w:hAnsi="Arial" w:cs="Arial"/>
        </w:rPr>
        <w:tab/>
      </w:r>
      <w:r w:rsidR="0000673E" w:rsidRPr="00517F46">
        <w:rPr>
          <w:rFonts w:ascii="Arial" w:hAnsi="Arial" w:cs="Arial"/>
        </w:rPr>
        <w:t>T</w:t>
      </w:r>
      <w:r w:rsidR="00EF1409" w:rsidRPr="00517F46">
        <w:rPr>
          <w:rFonts w:ascii="Arial" w:hAnsi="Arial" w:cs="Arial"/>
        </w:rPr>
        <w:t xml:space="preserve">he </w:t>
      </w:r>
      <w:r w:rsidR="00D43184" w:rsidRPr="00517F46">
        <w:rPr>
          <w:rFonts w:ascii="Arial" w:hAnsi="Arial" w:cs="Arial"/>
        </w:rPr>
        <w:t>a</w:t>
      </w:r>
      <w:r w:rsidR="00EF1409" w:rsidRPr="00517F46">
        <w:rPr>
          <w:rFonts w:ascii="Arial" w:hAnsi="Arial" w:cs="Arial"/>
        </w:rPr>
        <w:t xml:space="preserve">pplicant </w:t>
      </w:r>
      <w:r w:rsidR="0000673E" w:rsidRPr="00517F46">
        <w:rPr>
          <w:rFonts w:ascii="Arial" w:hAnsi="Arial" w:cs="Arial"/>
        </w:rPr>
        <w:t>w</w:t>
      </w:r>
      <w:r w:rsidR="00EF1409" w:rsidRPr="00517F46">
        <w:rPr>
          <w:rFonts w:ascii="Arial" w:hAnsi="Arial" w:cs="Arial"/>
        </w:rPr>
        <w:t xml:space="preserve">as </w:t>
      </w:r>
      <w:r w:rsidR="0000673E" w:rsidRPr="00517F46">
        <w:rPr>
          <w:rFonts w:ascii="Arial" w:hAnsi="Arial" w:cs="Arial"/>
        </w:rPr>
        <w:t>pr</w:t>
      </w:r>
      <w:r w:rsidR="00EF1409" w:rsidRPr="00517F46">
        <w:rPr>
          <w:rFonts w:ascii="Arial" w:hAnsi="Arial" w:cs="Arial"/>
        </w:rPr>
        <w:t xml:space="preserve">ovided with the </w:t>
      </w:r>
      <w:r w:rsidR="00C77B0C" w:rsidRPr="00517F46">
        <w:rPr>
          <w:rFonts w:ascii="Arial" w:hAnsi="Arial" w:cs="Arial"/>
        </w:rPr>
        <w:t>m</w:t>
      </w:r>
      <w:r w:rsidR="00EF1409" w:rsidRPr="00517F46">
        <w:rPr>
          <w:rFonts w:ascii="Arial" w:hAnsi="Arial" w:cs="Arial"/>
        </w:rPr>
        <w:t xml:space="preserve">inutes of the </w:t>
      </w:r>
      <w:r w:rsidR="00C77B0C" w:rsidRPr="00517F46">
        <w:rPr>
          <w:rFonts w:ascii="Arial" w:hAnsi="Arial" w:cs="Arial"/>
        </w:rPr>
        <w:t>m</w:t>
      </w:r>
      <w:r w:rsidR="00EF1409" w:rsidRPr="00517F46">
        <w:rPr>
          <w:rFonts w:ascii="Arial" w:hAnsi="Arial" w:cs="Arial"/>
        </w:rPr>
        <w:t xml:space="preserve">eeting of the </w:t>
      </w:r>
      <w:r w:rsidR="00E57B17" w:rsidRPr="00517F46">
        <w:rPr>
          <w:rFonts w:ascii="Arial" w:hAnsi="Arial" w:cs="Arial"/>
        </w:rPr>
        <w:t>s</w:t>
      </w:r>
      <w:r w:rsidR="00EF1409" w:rsidRPr="00517F46">
        <w:rPr>
          <w:rFonts w:ascii="Arial" w:hAnsi="Arial" w:cs="Arial"/>
        </w:rPr>
        <w:t xml:space="preserve">hortlisting </w:t>
      </w:r>
      <w:r w:rsidR="00E57B17" w:rsidRPr="00517F46">
        <w:rPr>
          <w:rFonts w:ascii="Arial" w:hAnsi="Arial" w:cs="Arial"/>
        </w:rPr>
        <w:t>c</w:t>
      </w:r>
      <w:r w:rsidR="00EF1409" w:rsidRPr="00517F46">
        <w:rPr>
          <w:rFonts w:ascii="Arial" w:hAnsi="Arial" w:cs="Arial"/>
        </w:rPr>
        <w:t>ommitte</w:t>
      </w:r>
      <w:r w:rsidR="000F1A57" w:rsidRPr="00517F46">
        <w:rPr>
          <w:rFonts w:ascii="Arial" w:hAnsi="Arial" w:cs="Arial"/>
        </w:rPr>
        <w:t xml:space="preserve">e </w:t>
      </w:r>
      <w:r w:rsidR="00EF1409" w:rsidRPr="00517F46">
        <w:rPr>
          <w:rFonts w:ascii="Arial" w:hAnsi="Arial" w:cs="Arial"/>
        </w:rPr>
        <w:t xml:space="preserve">but the </w:t>
      </w:r>
      <w:r w:rsidR="0000673E" w:rsidRPr="00517F46">
        <w:rPr>
          <w:rFonts w:ascii="Arial" w:hAnsi="Arial" w:cs="Arial"/>
        </w:rPr>
        <w:t>r</w:t>
      </w:r>
      <w:r w:rsidR="00EF1409" w:rsidRPr="00517F46">
        <w:rPr>
          <w:rFonts w:ascii="Arial" w:hAnsi="Arial" w:cs="Arial"/>
        </w:rPr>
        <w:t xml:space="preserve">espondents </w:t>
      </w:r>
      <w:r w:rsidR="004D443B" w:rsidRPr="00517F46">
        <w:rPr>
          <w:rFonts w:ascii="Arial" w:hAnsi="Arial" w:cs="Arial"/>
        </w:rPr>
        <w:t xml:space="preserve">refused to provide a list of candidates the basis of that was personal information protected in terms of the </w:t>
      </w:r>
      <w:r w:rsidR="00924D10" w:rsidRPr="00517F46">
        <w:rPr>
          <w:rFonts w:ascii="Arial" w:hAnsi="Arial" w:cs="Arial"/>
        </w:rPr>
        <w:t>Pr</w:t>
      </w:r>
      <w:r w:rsidR="004D443B" w:rsidRPr="00517F46">
        <w:rPr>
          <w:rFonts w:ascii="Arial" w:hAnsi="Arial" w:cs="Arial"/>
        </w:rPr>
        <w:t xml:space="preserve">otection of </w:t>
      </w:r>
      <w:r w:rsidR="00924D10" w:rsidRPr="00517F46">
        <w:rPr>
          <w:rFonts w:ascii="Arial" w:hAnsi="Arial" w:cs="Arial"/>
        </w:rPr>
        <w:t>P</w:t>
      </w:r>
      <w:r w:rsidR="004D443B" w:rsidRPr="00517F46">
        <w:rPr>
          <w:rFonts w:ascii="Arial" w:hAnsi="Arial" w:cs="Arial"/>
        </w:rPr>
        <w:t xml:space="preserve">ersonal </w:t>
      </w:r>
      <w:r w:rsidR="00924D10" w:rsidRPr="00517F46">
        <w:rPr>
          <w:rFonts w:ascii="Arial" w:hAnsi="Arial" w:cs="Arial"/>
        </w:rPr>
        <w:t>I</w:t>
      </w:r>
      <w:r w:rsidR="004D443B" w:rsidRPr="00517F46">
        <w:rPr>
          <w:rFonts w:ascii="Arial" w:hAnsi="Arial" w:cs="Arial"/>
        </w:rPr>
        <w:t xml:space="preserve">nformation </w:t>
      </w:r>
      <w:r w:rsidR="00924D10" w:rsidRPr="00517F46">
        <w:rPr>
          <w:rFonts w:ascii="Arial" w:hAnsi="Arial" w:cs="Arial"/>
        </w:rPr>
        <w:t>A</w:t>
      </w:r>
      <w:r w:rsidR="004D443B" w:rsidRPr="00517F46">
        <w:rPr>
          <w:rFonts w:ascii="Arial" w:hAnsi="Arial" w:cs="Arial"/>
        </w:rPr>
        <w:t xml:space="preserve">ct. </w:t>
      </w:r>
      <w:r w:rsidR="00F01DDC" w:rsidRPr="00517F46">
        <w:rPr>
          <w:rFonts w:ascii="Arial" w:hAnsi="Arial" w:cs="Arial"/>
        </w:rPr>
        <w:t>In the present proceedings, t</w:t>
      </w:r>
      <w:r w:rsidR="004D443B" w:rsidRPr="00517F46">
        <w:rPr>
          <w:rFonts w:ascii="Arial" w:hAnsi="Arial" w:cs="Arial"/>
        </w:rPr>
        <w:t>he applicant persist</w:t>
      </w:r>
      <w:r w:rsidR="00924D10" w:rsidRPr="00517F46">
        <w:rPr>
          <w:rFonts w:ascii="Arial" w:hAnsi="Arial" w:cs="Arial"/>
        </w:rPr>
        <w:t>s</w:t>
      </w:r>
      <w:r w:rsidR="004D443B" w:rsidRPr="00517F46">
        <w:rPr>
          <w:rFonts w:ascii="Arial" w:hAnsi="Arial" w:cs="Arial"/>
        </w:rPr>
        <w:t xml:space="preserve"> in seeking the schedule of applicants </w:t>
      </w:r>
      <w:r w:rsidR="006F3522" w:rsidRPr="00517F46">
        <w:rPr>
          <w:rFonts w:ascii="Arial" w:hAnsi="Arial" w:cs="Arial"/>
        </w:rPr>
        <w:t>and</w:t>
      </w:r>
      <w:r w:rsidR="00F01DDC" w:rsidRPr="00517F46">
        <w:rPr>
          <w:rFonts w:ascii="Arial" w:hAnsi="Arial" w:cs="Arial"/>
        </w:rPr>
        <w:t xml:space="preserve"> incorporated an order in her notice of motion </w:t>
      </w:r>
      <w:r w:rsidR="00C77B0C" w:rsidRPr="00517F46">
        <w:rPr>
          <w:rFonts w:ascii="Arial" w:hAnsi="Arial" w:cs="Arial"/>
        </w:rPr>
        <w:t xml:space="preserve">to compel production of </w:t>
      </w:r>
      <w:r w:rsidR="004D443B" w:rsidRPr="00517F46">
        <w:rPr>
          <w:rFonts w:ascii="Arial" w:hAnsi="Arial" w:cs="Arial"/>
        </w:rPr>
        <w:t xml:space="preserve">the audio recordings of the </w:t>
      </w:r>
      <w:r w:rsidR="00F01DDC" w:rsidRPr="00517F46">
        <w:rPr>
          <w:rFonts w:ascii="Arial" w:hAnsi="Arial" w:cs="Arial"/>
        </w:rPr>
        <w:t xml:space="preserve">shortlisting </w:t>
      </w:r>
      <w:r w:rsidR="004D443B" w:rsidRPr="00517F46">
        <w:rPr>
          <w:rFonts w:ascii="Arial" w:hAnsi="Arial" w:cs="Arial"/>
        </w:rPr>
        <w:t>meeting</w:t>
      </w:r>
      <w:r w:rsidR="00F01DDC" w:rsidRPr="00517F46">
        <w:rPr>
          <w:rFonts w:ascii="Arial" w:hAnsi="Arial" w:cs="Arial"/>
        </w:rPr>
        <w:t xml:space="preserve">. </w:t>
      </w:r>
      <w:r w:rsidR="00C77B0C" w:rsidRPr="00517F46">
        <w:rPr>
          <w:rFonts w:ascii="Arial" w:hAnsi="Arial" w:cs="Arial"/>
        </w:rPr>
        <w:t xml:space="preserve">Both requests can be disposed of easily. </w:t>
      </w:r>
    </w:p>
    <w:p w:rsidR="00C77B0C" w:rsidRPr="00DE4FBB" w:rsidRDefault="00C77B0C" w:rsidP="006B7081">
      <w:pPr>
        <w:spacing w:line="360" w:lineRule="auto"/>
        <w:rPr>
          <w:rFonts w:ascii="Arial" w:hAnsi="Arial" w:cs="Arial"/>
        </w:rPr>
      </w:pPr>
    </w:p>
    <w:p w:rsidR="004D7D02"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[94]</w:t>
      </w:r>
      <w:r w:rsidRPr="00DE4FBB">
        <w:rPr>
          <w:rFonts w:ascii="Arial" w:hAnsi="Arial" w:cs="Arial"/>
        </w:rPr>
        <w:tab/>
      </w:r>
      <w:r w:rsidR="004D7D02" w:rsidRPr="00517F46">
        <w:rPr>
          <w:rFonts w:ascii="Arial" w:hAnsi="Arial" w:cs="Arial"/>
        </w:rPr>
        <w:t xml:space="preserve">Applicant's request for </w:t>
      </w:r>
      <w:r w:rsidR="005A2DDE" w:rsidRPr="00517F46">
        <w:rPr>
          <w:rFonts w:ascii="Arial" w:hAnsi="Arial" w:cs="Arial"/>
        </w:rPr>
        <w:t>the</w:t>
      </w:r>
      <w:r w:rsidR="004D7D02" w:rsidRPr="00517F46">
        <w:rPr>
          <w:rFonts w:ascii="Arial" w:hAnsi="Arial" w:cs="Arial"/>
        </w:rPr>
        <w:t xml:space="preserve"> list of all applicants for the post of HOD Transport flies in the face of her repeated assertion that she is seeking information only pertaining to hersel</w:t>
      </w:r>
      <w:r w:rsidR="000F1A57" w:rsidRPr="00517F46">
        <w:rPr>
          <w:rFonts w:ascii="Arial" w:hAnsi="Arial" w:cs="Arial"/>
        </w:rPr>
        <w:t>f.</w:t>
      </w:r>
      <w:r w:rsidR="004D7D02" w:rsidRPr="00517F46">
        <w:rPr>
          <w:rFonts w:ascii="Arial" w:hAnsi="Arial" w:cs="Arial"/>
        </w:rPr>
        <w:t xml:space="preserve"> In addition, the list contains the personal information of third parties which is subject to mandatory protection in terms of the Protection of Personal Information Act and section 47 of PAIA, unless the consent of those parties for the </w:t>
      </w:r>
      <w:r w:rsidR="004D7D02" w:rsidRPr="00517F46">
        <w:rPr>
          <w:rFonts w:ascii="Arial" w:hAnsi="Arial" w:cs="Arial"/>
        </w:rPr>
        <w:lastRenderedPageBreak/>
        <w:t xml:space="preserve">release of the information has been obtained in terms of section 74. The respondents’ refusal to disclose the list of applicants therefore complies with PAIA. </w:t>
      </w:r>
    </w:p>
    <w:p w:rsidR="004D7D02" w:rsidRPr="00DE4FBB" w:rsidRDefault="004D7D02" w:rsidP="006B7081">
      <w:pPr>
        <w:pStyle w:val="ListParagraph"/>
        <w:tabs>
          <w:tab w:val="left" w:pos="6946"/>
        </w:tabs>
        <w:autoSpaceDE w:val="0"/>
        <w:autoSpaceDN w:val="0"/>
        <w:adjustRightInd w:val="0"/>
        <w:spacing w:before="240" w:line="360" w:lineRule="auto"/>
        <w:ind w:left="851"/>
        <w:jc w:val="both"/>
        <w:rPr>
          <w:rFonts w:ascii="Arial" w:hAnsi="Arial" w:cs="Arial"/>
        </w:rPr>
      </w:pPr>
    </w:p>
    <w:p w:rsidR="00F01DDC"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[95]</w:t>
      </w:r>
      <w:r w:rsidRPr="00DE4FBB">
        <w:rPr>
          <w:rFonts w:ascii="Arial" w:hAnsi="Arial" w:cs="Arial"/>
        </w:rPr>
        <w:tab/>
      </w:r>
      <w:r w:rsidR="00D43184" w:rsidRPr="00517F46">
        <w:rPr>
          <w:rFonts w:ascii="Arial" w:hAnsi="Arial" w:cs="Arial"/>
        </w:rPr>
        <w:t xml:space="preserve">Despite what is stated in </w:t>
      </w:r>
      <w:r w:rsidR="00E8754B" w:rsidRPr="00517F46">
        <w:rPr>
          <w:rFonts w:ascii="Arial" w:hAnsi="Arial" w:cs="Arial"/>
        </w:rPr>
        <w:t>her</w:t>
      </w:r>
      <w:r w:rsidR="00D43184" w:rsidRPr="00517F46">
        <w:rPr>
          <w:rFonts w:ascii="Arial" w:hAnsi="Arial" w:cs="Arial"/>
        </w:rPr>
        <w:t xml:space="preserve"> founding affidavit, the applicant’s request for records regarding the shortlisting process for the appointment of the H</w:t>
      </w:r>
      <w:r w:rsidR="00E8754B" w:rsidRPr="00517F46">
        <w:rPr>
          <w:rFonts w:ascii="Arial" w:hAnsi="Arial" w:cs="Arial"/>
        </w:rPr>
        <w:t>ead of the Department of</w:t>
      </w:r>
      <w:r w:rsidR="00D43184" w:rsidRPr="00517F46">
        <w:rPr>
          <w:rFonts w:ascii="Arial" w:hAnsi="Arial" w:cs="Arial"/>
        </w:rPr>
        <w:t xml:space="preserve"> Transport did not include a request for audio recordings of the shortlisting meeting.</w:t>
      </w:r>
      <w:r w:rsidR="000F1A57" w:rsidRPr="00517F46">
        <w:rPr>
          <w:rFonts w:ascii="Arial" w:hAnsi="Arial" w:cs="Arial"/>
        </w:rPr>
        <w:t xml:space="preserve"> </w:t>
      </w:r>
      <w:r w:rsidR="00D43184" w:rsidRPr="00517F46">
        <w:rPr>
          <w:rFonts w:ascii="Arial" w:hAnsi="Arial" w:cs="Arial"/>
        </w:rPr>
        <w:t>In th</w:t>
      </w:r>
      <w:r w:rsidR="00E8754B" w:rsidRPr="00517F46">
        <w:rPr>
          <w:rFonts w:ascii="Arial" w:hAnsi="Arial" w:cs="Arial"/>
        </w:rPr>
        <w:t>at</w:t>
      </w:r>
      <w:r w:rsidR="00D43184" w:rsidRPr="00517F46">
        <w:rPr>
          <w:rFonts w:ascii="Arial" w:hAnsi="Arial" w:cs="Arial"/>
        </w:rPr>
        <w:t xml:space="preserve"> regard</w:t>
      </w:r>
      <w:r w:rsidR="00F01DDC" w:rsidRPr="00517F46">
        <w:rPr>
          <w:rFonts w:ascii="Arial" w:hAnsi="Arial" w:cs="Arial"/>
        </w:rPr>
        <w:t xml:space="preserve">, her </w:t>
      </w:r>
      <w:r w:rsidR="00D43184" w:rsidRPr="00517F46">
        <w:rPr>
          <w:rFonts w:ascii="Arial" w:hAnsi="Arial" w:cs="Arial"/>
        </w:rPr>
        <w:t xml:space="preserve">request stands in contrast to the specific request for </w:t>
      </w:r>
      <w:r w:rsidR="00E8754B" w:rsidRPr="00517F46">
        <w:rPr>
          <w:rFonts w:ascii="Arial" w:hAnsi="Arial" w:cs="Arial"/>
        </w:rPr>
        <w:t xml:space="preserve">the </w:t>
      </w:r>
      <w:r w:rsidR="00D43184" w:rsidRPr="00517F46">
        <w:rPr>
          <w:rFonts w:ascii="Arial" w:hAnsi="Arial" w:cs="Arial"/>
        </w:rPr>
        <w:t>voice recordings of the interviews in respect of the interviews for the position of H</w:t>
      </w:r>
      <w:r w:rsidR="000F1A57" w:rsidRPr="00517F46">
        <w:rPr>
          <w:rFonts w:ascii="Arial" w:hAnsi="Arial" w:cs="Arial"/>
        </w:rPr>
        <w:t xml:space="preserve">ead of the Department of </w:t>
      </w:r>
      <w:r w:rsidR="00D43184" w:rsidRPr="00517F46">
        <w:rPr>
          <w:rFonts w:ascii="Arial" w:hAnsi="Arial" w:cs="Arial"/>
        </w:rPr>
        <w:t>Social Development</w:t>
      </w:r>
      <w:r w:rsidR="00F01DDC" w:rsidRPr="00517F46">
        <w:rPr>
          <w:rFonts w:ascii="Arial" w:hAnsi="Arial" w:cs="Arial"/>
        </w:rPr>
        <w:t>,</w:t>
      </w:r>
      <w:r w:rsidR="000F1A57" w:rsidRPr="00517F46">
        <w:rPr>
          <w:rFonts w:ascii="Arial" w:hAnsi="Arial" w:cs="Arial"/>
        </w:rPr>
        <w:t xml:space="preserve"> </w:t>
      </w:r>
      <w:r w:rsidR="00F01DDC" w:rsidRPr="00517F46">
        <w:rPr>
          <w:rFonts w:ascii="Arial" w:hAnsi="Arial" w:cs="Arial"/>
        </w:rPr>
        <w:t xml:space="preserve">particularly as </w:t>
      </w:r>
      <w:r w:rsidR="00D43184" w:rsidRPr="00517F46">
        <w:rPr>
          <w:rFonts w:ascii="Arial" w:hAnsi="Arial" w:cs="Arial"/>
        </w:rPr>
        <w:t xml:space="preserve">all </w:t>
      </w:r>
      <w:r w:rsidR="00F01DDC" w:rsidRPr="00517F46">
        <w:rPr>
          <w:rFonts w:ascii="Arial" w:hAnsi="Arial" w:cs="Arial"/>
        </w:rPr>
        <w:t>four applications</w:t>
      </w:r>
      <w:r w:rsidR="00D43184" w:rsidRPr="00517F46">
        <w:rPr>
          <w:rFonts w:ascii="Arial" w:hAnsi="Arial" w:cs="Arial"/>
        </w:rPr>
        <w:t xml:space="preserve"> for access to information w</w:t>
      </w:r>
      <w:r w:rsidR="00F01DDC" w:rsidRPr="00517F46">
        <w:rPr>
          <w:rFonts w:ascii="Arial" w:hAnsi="Arial" w:cs="Arial"/>
        </w:rPr>
        <w:t>ere</w:t>
      </w:r>
      <w:r w:rsidR="00D43184" w:rsidRPr="00517F46">
        <w:rPr>
          <w:rFonts w:ascii="Arial" w:hAnsi="Arial" w:cs="Arial"/>
        </w:rPr>
        <w:t xml:space="preserve"> submitted simultaneously. </w:t>
      </w:r>
    </w:p>
    <w:p w:rsidR="004D7D02" w:rsidRPr="00DE4FBB" w:rsidRDefault="004D7D02" w:rsidP="006B7081">
      <w:pPr>
        <w:pStyle w:val="ListParagraph"/>
        <w:spacing w:line="360" w:lineRule="auto"/>
        <w:rPr>
          <w:rFonts w:ascii="Arial" w:hAnsi="Arial" w:cs="Arial"/>
        </w:rPr>
      </w:pPr>
    </w:p>
    <w:p w:rsidR="007667CD" w:rsidRPr="00517F46" w:rsidRDefault="00517F46" w:rsidP="00517F46">
      <w:pPr>
        <w:autoSpaceDE w:val="0"/>
        <w:autoSpaceDN w:val="0"/>
        <w:adjustRightInd w:val="0"/>
        <w:spacing w:line="360" w:lineRule="auto"/>
        <w:jc w:val="both"/>
        <w:rPr>
          <w:rFonts w:ascii="Arial" w:hAnsi="Arial" w:cs="Arial"/>
        </w:rPr>
      </w:pPr>
      <w:r>
        <w:rPr>
          <w:rFonts w:ascii="Arial" w:hAnsi="Arial" w:cs="Arial"/>
        </w:rPr>
        <w:t>[96]</w:t>
      </w:r>
      <w:r>
        <w:rPr>
          <w:rFonts w:ascii="Arial" w:hAnsi="Arial" w:cs="Arial"/>
        </w:rPr>
        <w:tab/>
      </w:r>
      <w:r w:rsidR="004D7D02" w:rsidRPr="00517F46">
        <w:rPr>
          <w:rFonts w:ascii="Arial" w:hAnsi="Arial" w:cs="Arial"/>
        </w:rPr>
        <w:t>When I drew this to the attention of counsel for the applicant, he accepted that the prayer in relation to the audio recordings could not be pursed. That concession was rightly made, i</w:t>
      </w:r>
      <w:r w:rsidR="00D43184" w:rsidRPr="00517F46">
        <w:rPr>
          <w:rFonts w:ascii="Arial" w:hAnsi="Arial" w:cs="Arial"/>
        </w:rPr>
        <w:t xml:space="preserve">t would not be competent to me to direct production of something which was not requested. </w:t>
      </w:r>
    </w:p>
    <w:p w:rsidR="007667CD" w:rsidRPr="007667CD" w:rsidRDefault="007667CD" w:rsidP="007667CD">
      <w:pPr>
        <w:pStyle w:val="ListParagraph"/>
        <w:autoSpaceDE w:val="0"/>
        <w:autoSpaceDN w:val="0"/>
        <w:adjustRightInd w:val="0"/>
        <w:spacing w:line="360" w:lineRule="auto"/>
        <w:ind w:left="0"/>
        <w:jc w:val="both"/>
        <w:rPr>
          <w:rFonts w:ascii="Arial" w:hAnsi="Arial" w:cs="Arial"/>
        </w:rPr>
      </w:pPr>
    </w:p>
    <w:p w:rsidR="007667CD" w:rsidRDefault="00790B03" w:rsidP="006B7081">
      <w:pPr>
        <w:tabs>
          <w:tab w:val="left" w:pos="6946"/>
        </w:tabs>
        <w:autoSpaceDE w:val="0"/>
        <w:autoSpaceDN w:val="0"/>
        <w:adjustRightInd w:val="0"/>
        <w:spacing w:before="240" w:line="360" w:lineRule="auto"/>
        <w:jc w:val="both"/>
        <w:rPr>
          <w:rFonts w:ascii="Arial" w:hAnsi="Arial" w:cs="Arial"/>
          <w:b/>
          <w:bCs/>
        </w:rPr>
      </w:pPr>
      <w:r>
        <w:rPr>
          <w:rFonts w:ascii="Arial" w:hAnsi="Arial" w:cs="Arial"/>
          <w:b/>
          <w:bCs/>
        </w:rPr>
        <w:t>Relief</w:t>
      </w:r>
    </w:p>
    <w:p w:rsidR="007667CD" w:rsidRPr="007667CD" w:rsidRDefault="007667CD" w:rsidP="006B7081">
      <w:pPr>
        <w:tabs>
          <w:tab w:val="left" w:pos="6946"/>
        </w:tabs>
        <w:autoSpaceDE w:val="0"/>
        <w:autoSpaceDN w:val="0"/>
        <w:adjustRightInd w:val="0"/>
        <w:spacing w:before="240" w:line="360" w:lineRule="auto"/>
        <w:jc w:val="both"/>
        <w:rPr>
          <w:rFonts w:ascii="Arial" w:hAnsi="Arial" w:cs="Arial"/>
          <w:b/>
          <w:bCs/>
        </w:rPr>
      </w:pPr>
    </w:p>
    <w:p w:rsidR="000F1A57"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[97]</w:t>
      </w:r>
      <w:r w:rsidRPr="00DE4FBB">
        <w:rPr>
          <w:rFonts w:ascii="Arial" w:hAnsi="Arial" w:cs="Arial"/>
        </w:rPr>
        <w:tab/>
      </w:r>
      <w:r w:rsidR="00CE2B9B" w:rsidRPr="00517F46">
        <w:rPr>
          <w:rFonts w:ascii="Arial" w:hAnsi="Arial" w:cs="Arial"/>
        </w:rPr>
        <w:t>Section 82 of PAIA empowers a court hearing a section 78 application to grant any order that is just and equitable. T</w:t>
      </w:r>
      <w:r w:rsidR="005A2DDE" w:rsidRPr="00517F46">
        <w:rPr>
          <w:rFonts w:ascii="Arial" w:hAnsi="Arial" w:cs="Arial"/>
        </w:rPr>
        <w:t xml:space="preserve">he respondents have not discharged the burden resting on them to justify the refusal of access to </w:t>
      </w:r>
      <w:r w:rsidR="006565B7" w:rsidRPr="00517F46">
        <w:rPr>
          <w:rFonts w:ascii="Arial" w:hAnsi="Arial" w:cs="Arial"/>
        </w:rPr>
        <w:t>the requested</w:t>
      </w:r>
      <w:r w:rsidR="00E8754B" w:rsidRPr="00517F46">
        <w:rPr>
          <w:rFonts w:ascii="Arial" w:hAnsi="Arial" w:cs="Arial"/>
        </w:rPr>
        <w:t xml:space="preserve"> records</w:t>
      </w:r>
      <w:r w:rsidR="006565B7" w:rsidRPr="00517F46">
        <w:rPr>
          <w:rFonts w:ascii="Arial" w:hAnsi="Arial" w:cs="Arial"/>
        </w:rPr>
        <w:t xml:space="preserve">, save for the list of </w:t>
      </w:r>
      <w:r w:rsidR="000F1A57" w:rsidRPr="00517F46">
        <w:rPr>
          <w:rFonts w:ascii="Arial" w:hAnsi="Arial" w:cs="Arial"/>
        </w:rPr>
        <w:t xml:space="preserve">the </w:t>
      </w:r>
      <w:r w:rsidR="006565B7" w:rsidRPr="00517F46">
        <w:rPr>
          <w:rFonts w:ascii="Arial" w:hAnsi="Arial" w:cs="Arial"/>
        </w:rPr>
        <w:t>applicants for the pos</w:t>
      </w:r>
      <w:r w:rsidR="000F1A57" w:rsidRPr="00517F46">
        <w:rPr>
          <w:rFonts w:ascii="Arial" w:hAnsi="Arial" w:cs="Arial"/>
        </w:rPr>
        <w:t>ition</w:t>
      </w:r>
      <w:r w:rsidR="006565B7" w:rsidRPr="00517F46">
        <w:rPr>
          <w:rFonts w:ascii="Arial" w:hAnsi="Arial" w:cs="Arial"/>
        </w:rPr>
        <w:t xml:space="preserve"> of H</w:t>
      </w:r>
      <w:r w:rsidR="000F1A57" w:rsidRPr="00517F46">
        <w:rPr>
          <w:rFonts w:ascii="Arial" w:hAnsi="Arial" w:cs="Arial"/>
        </w:rPr>
        <w:t xml:space="preserve">ead of the Department of </w:t>
      </w:r>
      <w:r w:rsidR="006565B7" w:rsidRPr="00517F46">
        <w:rPr>
          <w:rFonts w:ascii="Arial" w:hAnsi="Arial" w:cs="Arial"/>
        </w:rPr>
        <w:t>Transport</w:t>
      </w:r>
      <w:r w:rsidR="000F1A57" w:rsidRPr="00517F46">
        <w:rPr>
          <w:rFonts w:ascii="Arial" w:hAnsi="Arial" w:cs="Arial"/>
        </w:rPr>
        <w:t xml:space="preserve"> and the audio recordings of the shortlisting meeting for that post. </w:t>
      </w:r>
      <w:r w:rsidR="00E8754B" w:rsidRPr="00517F46">
        <w:rPr>
          <w:rFonts w:ascii="Arial" w:hAnsi="Arial" w:cs="Arial"/>
        </w:rPr>
        <w:t xml:space="preserve">The balance of the records must therefore be supplied. </w:t>
      </w:r>
    </w:p>
    <w:p w:rsidR="000F1A57" w:rsidRPr="00DE4FBB" w:rsidRDefault="000F1A57" w:rsidP="006B7081">
      <w:pPr>
        <w:pStyle w:val="ListParagraph"/>
        <w:tabs>
          <w:tab w:val="left" w:pos="6946"/>
        </w:tabs>
        <w:autoSpaceDE w:val="0"/>
        <w:autoSpaceDN w:val="0"/>
        <w:adjustRightInd w:val="0"/>
        <w:spacing w:before="240" w:line="360" w:lineRule="auto"/>
        <w:ind w:left="851"/>
        <w:jc w:val="both"/>
        <w:rPr>
          <w:rFonts w:ascii="Arial" w:hAnsi="Arial" w:cs="Arial"/>
        </w:rPr>
      </w:pPr>
    </w:p>
    <w:p w:rsidR="006565B7" w:rsidRPr="00517F46" w:rsidRDefault="00517F46" w:rsidP="00517F46">
      <w:pPr>
        <w:autoSpaceDE w:val="0"/>
        <w:autoSpaceDN w:val="0"/>
        <w:adjustRightInd w:val="0"/>
        <w:spacing w:line="360" w:lineRule="auto"/>
        <w:jc w:val="both"/>
        <w:rPr>
          <w:rFonts w:ascii="Arial" w:hAnsi="Arial" w:cs="Arial"/>
        </w:rPr>
      </w:pPr>
      <w:r w:rsidRPr="00DE4FBB">
        <w:rPr>
          <w:rFonts w:ascii="Arial" w:hAnsi="Arial" w:cs="Arial"/>
        </w:rPr>
        <w:t>[98]</w:t>
      </w:r>
      <w:r w:rsidRPr="00DE4FBB">
        <w:rPr>
          <w:rFonts w:ascii="Arial" w:hAnsi="Arial" w:cs="Arial"/>
        </w:rPr>
        <w:tab/>
      </w:r>
      <w:r w:rsidR="000F1A57" w:rsidRPr="00517F46">
        <w:rPr>
          <w:rFonts w:ascii="Arial" w:hAnsi="Arial" w:cs="Arial"/>
        </w:rPr>
        <w:t>T</w:t>
      </w:r>
      <w:r w:rsidR="006565B7" w:rsidRPr="00517F46">
        <w:rPr>
          <w:rFonts w:ascii="Arial" w:hAnsi="Arial" w:cs="Arial"/>
        </w:rPr>
        <w:t xml:space="preserve">he first respondent is the information officer </w:t>
      </w:r>
      <w:r w:rsidR="000F1A57" w:rsidRPr="00517F46">
        <w:rPr>
          <w:rFonts w:ascii="Arial" w:hAnsi="Arial" w:cs="Arial"/>
        </w:rPr>
        <w:t>in the Premier’s office. All of the information requests were dealt with under her auspices</w:t>
      </w:r>
      <w:r w:rsidR="008E700E" w:rsidRPr="00517F46">
        <w:rPr>
          <w:rFonts w:ascii="Arial" w:hAnsi="Arial" w:cs="Arial"/>
        </w:rPr>
        <w:t xml:space="preserve">. There has never been any suggestion that </w:t>
      </w:r>
      <w:r w:rsidR="00E8754B" w:rsidRPr="00517F46">
        <w:rPr>
          <w:rFonts w:ascii="Arial" w:hAnsi="Arial" w:cs="Arial"/>
        </w:rPr>
        <w:t xml:space="preserve">any of </w:t>
      </w:r>
      <w:r w:rsidR="008E700E" w:rsidRPr="00517F46">
        <w:rPr>
          <w:rFonts w:ascii="Arial" w:hAnsi="Arial" w:cs="Arial"/>
        </w:rPr>
        <w:t xml:space="preserve">the requests were misdirected and should have been sent to the third to fifth respondents. The fact that </w:t>
      </w:r>
      <w:r w:rsidR="00E8754B" w:rsidRPr="00517F46">
        <w:rPr>
          <w:rFonts w:ascii="Arial" w:hAnsi="Arial" w:cs="Arial"/>
        </w:rPr>
        <w:t>the Director General</w:t>
      </w:r>
      <w:r w:rsidR="008E700E" w:rsidRPr="00517F46">
        <w:rPr>
          <w:rFonts w:ascii="Arial" w:hAnsi="Arial" w:cs="Arial"/>
        </w:rPr>
        <w:t xml:space="preserve"> provided the applicant with records of the third and fourth respondents </w:t>
      </w:r>
      <w:r w:rsidR="00AB030C" w:rsidRPr="00517F46">
        <w:rPr>
          <w:rFonts w:ascii="Arial" w:hAnsi="Arial" w:cs="Arial"/>
        </w:rPr>
        <w:t xml:space="preserve">also </w:t>
      </w:r>
      <w:r w:rsidR="008E700E" w:rsidRPr="00517F46">
        <w:rPr>
          <w:rFonts w:ascii="Arial" w:hAnsi="Arial" w:cs="Arial"/>
        </w:rPr>
        <w:t xml:space="preserve">demonstrates that she is in a </w:t>
      </w:r>
      <w:r w:rsidR="000F1A57" w:rsidRPr="00517F46">
        <w:rPr>
          <w:rFonts w:ascii="Arial" w:hAnsi="Arial" w:cs="Arial"/>
        </w:rPr>
        <w:t>position to access and supply the records of other provincial departments</w:t>
      </w:r>
      <w:r w:rsidR="008E700E" w:rsidRPr="00517F46">
        <w:rPr>
          <w:rFonts w:ascii="Arial" w:hAnsi="Arial" w:cs="Arial"/>
        </w:rPr>
        <w:t xml:space="preserve">. These </w:t>
      </w:r>
      <w:r w:rsidR="008E700E" w:rsidRPr="00517F46">
        <w:rPr>
          <w:rFonts w:ascii="Arial" w:hAnsi="Arial" w:cs="Arial"/>
        </w:rPr>
        <w:lastRenderedPageBreak/>
        <w:t xml:space="preserve">matters indicate that </w:t>
      </w:r>
      <w:r w:rsidR="000F1A57" w:rsidRPr="00517F46">
        <w:rPr>
          <w:rFonts w:ascii="Arial" w:hAnsi="Arial" w:cs="Arial"/>
        </w:rPr>
        <w:t>i</w:t>
      </w:r>
      <w:r w:rsidR="006565B7" w:rsidRPr="00517F46">
        <w:rPr>
          <w:rFonts w:ascii="Arial" w:hAnsi="Arial" w:cs="Arial"/>
        </w:rPr>
        <w:t>t would be appropriate that the order directing production of the records be made against</w:t>
      </w:r>
      <w:r w:rsidR="000F1A57" w:rsidRPr="00517F46">
        <w:rPr>
          <w:rFonts w:ascii="Arial" w:hAnsi="Arial" w:cs="Arial"/>
        </w:rPr>
        <w:t xml:space="preserve"> </w:t>
      </w:r>
      <w:r w:rsidR="00AB030C" w:rsidRPr="00517F46">
        <w:rPr>
          <w:rFonts w:ascii="Arial" w:hAnsi="Arial" w:cs="Arial"/>
        </w:rPr>
        <w:t>the Director-General</w:t>
      </w:r>
      <w:r w:rsidR="00E57B17" w:rsidRPr="00517F46">
        <w:rPr>
          <w:rFonts w:ascii="Arial" w:hAnsi="Arial" w:cs="Arial"/>
        </w:rPr>
        <w:t xml:space="preserve">. </w:t>
      </w:r>
      <w:r w:rsidR="008E700E" w:rsidRPr="00517F46">
        <w:rPr>
          <w:rFonts w:ascii="Arial" w:hAnsi="Arial" w:cs="Arial"/>
        </w:rPr>
        <w:t xml:space="preserve">That is also the form of the order the applicant sought and the respondents have not suggested it is inappropriate. </w:t>
      </w:r>
    </w:p>
    <w:p w:rsidR="00E57B17" w:rsidRPr="00DE4FBB" w:rsidRDefault="00E57B17" w:rsidP="006B7081">
      <w:pPr>
        <w:pStyle w:val="ListParagraph"/>
        <w:tabs>
          <w:tab w:val="left" w:pos="6946"/>
        </w:tabs>
        <w:autoSpaceDE w:val="0"/>
        <w:autoSpaceDN w:val="0"/>
        <w:adjustRightInd w:val="0"/>
        <w:spacing w:before="240" w:line="360" w:lineRule="auto"/>
        <w:ind w:left="851"/>
        <w:jc w:val="both"/>
        <w:rPr>
          <w:rFonts w:ascii="Arial" w:hAnsi="Arial" w:cs="Arial"/>
        </w:rPr>
      </w:pPr>
    </w:p>
    <w:p w:rsidR="00EA69ED" w:rsidRPr="00517F46" w:rsidRDefault="00517F46" w:rsidP="00517F46">
      <w:pPr>
        <w:autoSpaceDE w:val="0"/>
        <w:autoSpaceDN w:val="0"/>
        <w:adjustRightInd w:val="0"/>
        <w:spacing w:line="360" w:lineRule="auto"/>
        <w:jc w:val="both"/>
        <w:rPr>
          <w:rFonts w:ascii="Arial" w:hAnsi="Arial" w:cs="Arial"/>
        </w:rPr>
      </w:pPr>
      <w:r>
        <w:rPr>
          <w:rFonts w:ascii="Arial" w:hAnsi="Arial" w:cs="Arial"/>
        </w:rPr>
        <w:t>[99]</w:t>
      </w:r>
      <w:r>
        <w:rPr>
          <w:rFonts w:ascii="Arial" w:hAnsi="Arial" w:cs="Arial"/>
        </w:rPr>
        <w:tab/>
      </w:r>
      <w:r w:rsidR="00790951" w:rsidRPr="00517F46">
        <w:rPr>
          <w:rFonts w:ascii="Arial" w:hAnsi="Arial" w:cs="Arial"/>
        </w:rPr>
        <w:t xml:space="preserve">The applicant has been substantially successful, and costs should follow the result. As the first to third respondents effectively represented the fourth and fifth respondents but the latter took no part in the proceedings, it would be appropriate for the costs order to be made only against the first to third </w:t>
      </w:r>
      <w:r w:rsidR="005A2DDE" w:rsidRPr="00517F46">
        <w:rPr>
          <w:rFonts w:ascii="Arial" w:hAnsi="Arial" w:cs="Arial"/>
        </w:rPr>
        <w:t>respondents</w:t>
      </w:r>
      <w:r w:rsidR="00790951" w:rsidRPr="00517F46">
        <w:rPr>
          <w:rFonts w:ascii="Arial" w:hAnsi="Arial" w:cs="Arial"/>
        </w:rPr>
        <w:t>.</w:t>
      </w:r>
    </w:p>
    <w:p w:rsidR="00EA69ED" w:rsidRPr="00EA69ED" w:rsidRDefault="00EA69ED" w:rsidP="00EA69ED">
      <w:pPr>
        <w:pStyle w:val="ListParagraph"/>
        <w:rPr>
          <w:rFonts w:ascii="Arial" w:hAnsi="Arial" w:cs="Arial"/>
        </w:rPr>
      </w:pPr>
    </w:p>
    <w:p w:rsidR="0010289A" w:rsidRPr="00517F46" w:rsidRDefault="00517F46" w:rsidP="00517F46">
      <w:pPr>
        <w:autoSpaceDE w:val="0"/>
        <w:autoSpaceDN w:val="0"/>
        <w:adjustRightInd w:val="0"/>
        <w:spacing w:line="360" w:lineRule="auto"/>
        <w:jc w:val="both"/>
        <w:rPr>
          <w:rFonts w:ascii="Arial" w:hAnsi="Arial" w:cs="Arial"/>
        </w:rPr>
      </w:pPr>
      <w:r w:rsidRPr="00EA69ED">
        <w:rPr>
          <w:rFonts w:ascii="Arial" w:hAnsi="Arial" w:cs="Arial"/>
        </w:rPr>
        <w:t>[100]</w:t>
      </w:r>
      <w:r w:rsidRPr="00EA69ED">
        <w:rPr>
          <w:rFonts w:ascii="Arial" w:hAnsi="Arial" w:cs="Arial"/>
        </w:rPr>
        <w:tab/>
      </w:r>
      <w:r w:rsidR="0010289A" w:rsidRPr="00517F46">
        <w:rPr>
          <w:rFonts w:ascii="Arial" w:hAnsi="Arial" w:cs="Arial"/>
        </w:rPr>
        <w:t xml:space="preserve">I </w:t>
      </w:r>
      <w:r w:rsidR="004D443B" w:rsidRPr="00517F46">
        <w:rPr>
          <w:rFonts w:ascii="Arial" w:hAnsi="Arial" w:cs="Arial"/>
        </w:rPr>
        <w:t xml:space="preserve">consequently make an order in the following terms: – </w:t>
      </w:r>
    </w:p>
    <w:p w:rsidR="0010289A" w:rsidRPr="00DE4FBB" w:rsidRDefault="0010289A" w:rsidP="006B7081">
      <w:pPr>
        <w:pStyle w:val="ListParagraph"/>
        <w:tabs>
          <w:tab w:val="left" w:pos="6946"/>
        </w:tabs>
        <w:autoSpaceDE w:val="0"/>
        <w:autoSpaceDN w:val="0"/>
        <w:adjustRightInd w:val="0"/>
        <w:spacing w:before="240" w:line="360" w:lineRule="auto"/>
        <w:ind w:left="851"/>
        <w:jc w:val="both"/>
        <w:rPr>
          <w:rFonts w:ascii="Arial" w:hAnsi="Arial" w:cs="Arial"/>
        </w:rPr>
      </w:pPr>
    </w:p>
    <w:p w:rsidR="00C604A5" w:rsidRPr="00517F46" w:rsidRDefault="00517F46" w:rsidP="00517F46">
      <w:pPr>
        <w:tabs>
          <w:tab w:val="left" w:pos="6946"/>
        </w:tabs>
        <w:autoSpaceDE w:val="0"/>
        <w:autoSpaceDN w:val="0"/>
        <w:adjustRightInd w:val="0"/>
        <w:spacing w:before="240" w:line="360" w:lineRule="auto"/>
        <w:ind w:left="1276" w:hanging="567"/>
        <w:jc w:val="both"/>
        <w:rPr>
          <w:rFonts w:ascii="Arial" w:hAnsi="Arial" w:cs="Arial"/>
        </w:rPr>
      </w:pPr>
      <w:r w:rsidRPr="00DE4FBB">
        <w:rPr>
          <w:rFonts w:ascii="Arial" w:hAnsi="Arial" w:cs="Arial"/>
        </w:rPr>
        <w:t>1.</w:t>
      </w:r>
      <w:r w:rsidRPr="00DE4FBB">
        <w:rPr>
          <w:rFonts w:ascii="Arial" w:hAnsi="Arial" w:cs="Arial"/>
        </w:rPr>
        <w:tab/>
      </w:r>
      <w:r w:rsidR="0010289A" w:rsidRPr="00517F46">
        <w:rPr>
          <w:rFonts w:ascii="Arial" w:hAnsi="Arial" w:cs="Arial"/>
        </w:rPr>
        <w:t>The decisions of the first and second respondent</w:t>
      </w:r>
      <w:r w:rsidR="006A7311" w:rsidRPr="00517F46">
        <w:rPr>
          <w:rFonts w:ascii="Arial" w:hAnsi="Arial" w:cs="Arial"/>
        </w:rPr>
        <w:t>s</w:t>
      </w:r>
      <w:r w:rsidR="0010289A" w:rsidRPr="00517F46">
        <w:rPr>
          <w:rFonts w:ascii="Arial" w:hAnsi="Arial" w:cs="Arial"/>
        </w:rPr>
        <w:t xml:space="preserve"> </w:t>
      </w:r>
      <w:r w:rsidR="004D443B" w:rsidRPr="00517F46">
        <w:rPr>
          <w:rFonts w:ascii="Arial" w:hAnsi="Arial" w:cs="Arial"/>
        </w:rPr>
        <w:t>refusing to grant the applicant access to the following records</w:t>
      </w:r>
      <w:r w:rsidR="00C604A5" w:rsidRPr="00517F46">
        <w:rPr>
          <w:rFonts w:ascii="Arial" w:hAnsi="Arial" w:cs="Arial"/>
        </w:rPr>
        <w:t xml:space="preserve"> </w:t>
      </w:r>
      <w:r w:rsidR="00E8754B" w:rsidRPr="00517F46">
        <w:rPr>
          <w:rFonts w:ascii="Arial" w:hAnsi="Arial" w:cs="Arial"/>
        </w:rPr>
        <w:t>are</w:t>
      </w:r>
      <w:r w:rsidR="004D443B" w:rsidRPr="00517F46">
        <w:rPr>
          <w:rFonts w:ascii="Arial" w:hAnsi="Arial" w:cs="Arial"/>
        </w:rPr>
        <w:t xml:space="preserve"> set aside:</w:t>
      </w:r>
      <w:r w:rsidR="00C604A5" w:rsidRPr="00517F46">
        <w:rPr>
          <w:rFonts w:ascii="Arial" w:hAnsi="Arial" w:cs="Arial"/>
        </w:rPr>
        <w:t>-</w:t>
      </w:r>
      <w:r w:rsidR="004D443B" w:rsidRPr="00517F46">
        <w:rPr>
          <w:rFonts w:ascii="Arial" w:hAnsi="Arial" w:cs="Arial"/>
        </w:rPr>
        <w:t xml:space="preserve">  </w:t>
      </w:r>
    </w:p>
    <w:p w:rsidR="006A7311" w:rsidRPr="00DE4FBB" w:rsidRDefault="006A7311" w:rsidP="006B7081">
      <w:pPr>
        <w:pStyle w:val="ListParagraph"/>
        <w:tabs>
          <w:tab w:val="left" w:pos="6946"/>
        </w:tabs>
        <w:autoSpaceDE w:val="0"/>
        <w:autoSpaceDN w:val="0"/>
        <w:adjustRightInd w:val="0"/>
        <w:spacing w:before="240" w:line="360" w:lineRule="auto"/>
        <w:ind w:left="1211"/>
        <w:jc w:val="both"/>
        <w:rPr>
          <w:rFonts w:ascii="Arial" w:hAnsi="Arial" w:cs="Arial"/>
        </w:rPr>
      </w:pPr>
    </w:p>
    <w:p w:rsidR="00C604A5" w:rsidRPr="00517F46" w:rsidRDefault="00517F46" w:rsidP="00517F46">
      <w:pPr>
        <w:tabs>
          <w:tab w:val="left" w:pos="6946"/>
        </w:tabs>
        <w:autoSpaceDE w:val="0"/>
        <w:autoSpaceDN w:val="0"/>
        <w:adjustRightInd w:val="0"/>
        <w:spacing w:before="240" w:line="360" w:lineRule="auto"/>
        <w:ind w:left="1985" w:hanging="709"/>
        <w:jc w:val="both"/>
        <w:rPr>
          <w:rFonts w:ascii="Arial" w:hAnsi="Arial" w:cs="Arial"/>
        </w:rPr>
      </w:pPr>
      <w:r w:rsidRPr="00DE4FBB">
        <w:rPr>
          <w:rFonts w:ascii="Arial" w:hAnsi="Arial" w:cs="Arial"/>
        </w:rPr>
        <w:t>1.1</w:t>
      </w:r>
      <w:r w:rsidRPr="00DE4FBB">
        <w:rPr>
          <w:rFonts w:ascii="Arial" w:hAnsi="Arial" w:cs="Arial"/>
        </w:rPr>
        <w:tab/>
      </w:r>
      <w:r w:rsidR="004D443B" w:rsidRPr="00517F46">
        <w:rPr>
          <w:rFonts w:ascii="Arial" w:hAnsi="Arial" w:cs="Arial"/>
        </w:rPr>
        <w:t xml:space="preserve">the </w:t>
      </w:r>
      <w:r w:rsidR="006A7311" w:rsidRPr="00517F46">
        <w:rPr>
          <w:rFonts w:ascii="Arial" w:hAnsi="Arial" w:cs="Arial"/>
        </w:rPr>
        <w:t>report of the F</w:t>
      </w:r>
      <w:r w:rsidR="004D443B" w:rsidRPr="00517F46">
        <w:rPr>
          <w:rFonts w:ascii="Arial" w:hAnsi="Arial" w:cs="Arial"/>
        </w:rPr>
        <w:t xml:space="preserve">inancial </w:t>
      </w:r>
      <w:r w:rsidR="006A7311" w:rsidRPr="00517F46">
        <w:rPr>
          <w:rFonts w:ascii="Arial" w:hAnsi="Arial" w:cs="Arial"/>
        </w:rPr>
        <w:t>M</w:t>
      </w:r>
      <w:r w:rsidR="004D443B" w:rsidRPr="00517F46">
        <w:rPr>
          <w:rFonts w:ascii="Arial" w:hAnsi="Arial" w:cs="Arial"/>
        </w:rPr>
        <w:t xml:space="preserve">isconduct </w:t>
      </w:r>
      <w:r w:rsidR="006A7311" w:rsidRPr="00517F46">
        <w:rPr>
          <w:rFonts w:ascii="Arial" w:hAnsi="Arial" w:cs="Arial"/>
        </w:rPr>
        <w:t>I</w:t>
      </w:r>
      <w:r w:rsidR="004D443B" w:rsidRPr="00517F46">
        <w:rPr>
          <w:rFonts w:ascii="Arial" w:hAnsi="Arial" w:cs="Arial"/>
        </w:rPr>
        <w:t xml:space="preserve">nvestigation </w:t>
      </w:r>
      <w:r w:rsidR="006A7311" w:rsidRPr="00517F46">
        <w:rPr>
          <w:rFonts w:ascii="Arial" w:hAnsi="Arial" w:cs="Arial"/>
        </w:rPr>
        <w:t>involving, Ms Nokuthula G. Khanylie</w:t>
      </w:r>
      <w:r w:rsidR="008E700E" w:rsidRPr="00517F46">
        <w:rPr>
          <w:rFonts w:ascii="Arial" w:hAnsi="Arial" w:cs="Arial"/>
        </w:rPr>
        <w:t>;</w:t>
      </w:r>
    </w:p>
    <w:p w:rsidR="00066C2D" w:rsidRPr="00DE4FBB" w:rsidRDefault="00066C2D" w:rsidP="006B7081">
      <w:pPr>
        <w:pStyle w:val="ListParagraph"/>
        <w:tabs>
          <w:tab w:val="left" w:pos="6946"/>
        </w:tabs>
        <w:autoSpaceDE w:val="0"/>
        <w:autoSpaceDN w:val="0"/>
        <w:adjustRightInd w:val="0"/>
        <w:spacing w:before="240" w:line="360" w:lineRule="auto"/>
        <w:ind w:left="1985"/>
        <w:jc w:val="both"/>
        <w:rPr>
          <w:rFonts w:ascii="Arial" w:hAnsi="Arial" w:cs="Arial"/>
        </w:rPr>
      </w:pPr>
    </w:p>
    <w:p w:rsidR="00066C2D" w:rsidRPr="00517F46" w:rsidRDefault="00517F46" w:rsidP="00517F46">
      <w:pPr>
        <w:tabs>
          <w:tab w:val="left" w:pos="6946"/>
        </w:tabs>
        <w:autoSpaceDE w:val="0"/>
        <w:autoSpaceDN w:val="0"/>
        <w:adjustRightInd w:val="0"/>
        <w:spacing w:before="240" w:line="360" w:lineRule="auto"/>
        <w:ind w:left="1985" w:hanging="709"/>
        <w:jc w:val="both"/>
        <w:rPr>
          <w:rFonts w:ascii="Arial" w:hAnsi="Arial" w:cs="Arial"/>
        </w:rPr>
      </w:pPr>
      <w:r w:rsidRPr="00DE4FBB">
        <w:rPr>
          <w:rFonts w:ascii="Arial" w:hAnsi="Arial" w:cs="Arial"/>
        </w:rPr>
        <w:t>1.2</w:t>
      </w:r>
      <w:r w:rsidRPr="00DE4FBB">
        <w:rPr>
          <w:rFonts w:ascii="Arial" w:hAnsi="Arial" w:cs="Arial"/>
        </w:rPr>
        <w:tab/>
      </w:r>
      <w:r w:rsidR="004D443B" w:rsidRPr="00517F46">
        <w:rPr>
          <w:rFonts w:ascii="Arial" w:hAnsi="Arial" w:cs="Arial"/>
        </w:rPr>
        <w:t xml:space="preserve">the </w:t>
      </w:r>
      <w:r w:rsidR="006A7311" w:rsidRPr="00517F46">
        <w:rPr>
          <w:rFonts w:ascii="Arial" w:hAnsi="Arial" w:cs="Arial"/>
        </w:rPr>
        <w:t>report of the H</w:t>
      </w:r>
      <w:r w:rsidR="004D443B" w:rsidRPr="00517F46">
        <w:rPr>
          <w:rFonts w:ascii="Arial" w:hAnsi="Arial" w:cs="Arial"/>
        </w:rPr>
        <w:t xml:space="preserve">uman </w:t>
      </w:r>
      <w:r w:rsidR="006A7311" w:rsidRPr="00517F46">
        <w:rPr>
          <w:rFonts w:ascii="Arial" w:hAnsi="Arial" w:cs="Arial"/>
        </w:rPr>
        <w:t>R</w:t>
      </w:r>
      <w:r w:rsidR="004D443B" w:rsidRPr="00517F46">
        <w:rPr>
          <w:rFonts w:ascii="Arial" w:hAnsi="Arial" w:cs="Arial"/>
        </w:rPr>
        <w:t xml:space="preserve">esources </w:t>
      </w:r>
      <w:r w:rsidR="006A7311" w:rsidRPr="00517F46">
        <w:rPr>
          <w:rFonts w:ascii="Arial" w:hAnsi="Arial" w:cs="Arial"/>
        </w:rPr>
        <w:t>I</w:t>
      </w:r>
      <w:r w:rsidR="004D443B" w:rsidRPr="00517F46">
        <w:rPr>
          <w:rFonts w:ascii="Arial" w:hAnsi="Arial" w:cs="Arial"/>
        </w:rPr>
        <w:t xml:space="preserve">nvestigation </w:t>
      </w:r>
      <w:r w:rsidR="006A7311" w:rsidRPr="00517F46">
        <w:rPr>
          <w:rFonts w:ascii="Arial" w:hAnsi="Arial" w:cs="Arial"/>
        </w:rPr>
        <w:t>involving Ms Nokuthula G. Khanylie</w:t>
      </w:r>
      <w:r w:rsidR="004D443B" w:rsidRPr="00517F46">
        <w:rPr>
          <w:rFonts w:ascii="Arial" w:hAnsi="Arial" w:cs="Arial"/>
        </w:rPr>
        <w:t xml:space="preserve">; </w:t>
      </w:r>
    </w:p>
    <w:p w:rsidR="00066C2D" w:rsidRPr="00DE4FBB" w:rsidRDefault="00066C2D" w:rsidP="006B7081">
      <w:pPr>
        <w:pStyle w:val="ListParagraph"/>
        <w:tabs>
          <w:tab w:val="left" w:pos="6946"/>
        </w:tabs>
        <w:autoSpaceDE w:val="0"/>
        <w:autoSpaceDN w:val="0"/>
        <w:adjustRightInd w:val="0"/>
        <w:spacing w:before="240" w:line="360" w:lineRule="auto"/>
        <w:ind w:left="1985"/>
        <w:jc w:val="both"/>
        <w:rPr>
          <w:rFonts w:ascii="Arial" w:hAnsi="Arial" w:cs="Arial"/>
        </w:rPr>
      </w:pPr>
    </w:p>
    <w:p w:rsidR="00C604A5" w:rsidRPr="00517F46" w:rsidRDefault="00517F46" w:rsidP="00517F46">
      <w:pPr>
        <w:tabs>
          <w:tab w:val="left" w:pos="6946"/>
        </w:tabs>
        <w:autoSpaceDE w:val="0"/>
        <w:autoSpaceDN w:val="0"/>
        <w:adjustRightInd w:val="0"/>
        <w:spacing w:before="240" w:line="360" w:lineRule="auto"/>
        <w:ind w:left="1985" w:hanging="709"/>
        <w:jc w:val="both"/>
        <w:rPr>
          <w:rFonts w:ascii="Arial" w:hAnsi="Arial" w:cs="Arial"/>
        </w:rPr>
      </w:pPr>
      <w:r w:rsidRPr="00DE4FBB">
        <w:rPr>
          <w:rFonts w:ascii="Arial" w:hAnsi="Arial" w:cs="Arial"/>
        </w:rPr>
        <w:t>1.3</w:t>
      </w:r>
      <w:r w:rsidRPr="00DE4FBB">
        <w:rPr>
          <w:rFonts w:ascii="Arial" w:hAnsi="Arial" w:cs="Arial"/>
        </w:rPr>
        <w:tab/>
      </w:r>
      <w:r w:rsidR="004D443B" w:rsidRPr="00517F46">
        <w:rPr>
          <w:rFonts w:ascii="Arial" w:hAnsi="Arial" w:cs="Arial"/>
        </w:rPr>
        <w:t xml:space="preserve">the minutes and audio recordings of the meeting of the </w:t>
      </w:r>
      <w:r w:rsidR="00C604A5" w:rsidRPr="00517F46">
        <w:rPr>
          <w:rFonts w:ascii="Arial" w:hAnsi="Arial" w:cs="Arial"/>
        </w:rPr>
        <w:t>K</w:t>
      </w:r>
      <w:r w:rsidR="004D443B" w:rsidRPr="00517F46">
        <w:rPr>
          <w:rFonts w:ascii="Arial" w:hAnsi="Arial" w:cs="Arial"/>
        </w:rPr>
        <w:t>wazulu</w:t>
      </w:r>
      <w:r w:rsidR="00C604A5" w:rsidRPr="00517F46">
        <w:rPr>
          <w:rFonts w:ascii="Arial" w:hAnsi="Arial" w:cs="Arial"/>
        </w:rPr>
        <w:t>-Natal Provincial Executive Committee</w:t>
      </w:r>
      <w:r w:rsidR="006A7311" w:rsidRPr="00517F46">
        <w:rPr>
          <w:rFonts w:ascii="Arial" w:hAnsi="Arial" w:cs="Arial"/>
        </w:rPr>
        <w:t xml:space="preserve"> of</w:t>
      </w:r>
      <w:r w:rsidR="00C604A5" w:rsidRPr="00517F46">
        <w:rPr>
          <w:rFonts w:ascii="Arial" w:hAnsi="Arial" w:cs="Arial"/>
        </w:rPr>
        <w:t xml:space="preserve"> </w:t>
      </w:r>
      <w:r w:rsidR="004D443B" w:rsidRPr="00517F46">
        <w:rPr>
          <w:rFonts w:ascii="Arial" w:hAnsi="Arial" w:cs="Arial"/>
        </w:rPr>
        <w:t xml:space="preserve">13 </w:t>
      </w:r>
      <w:r w:rsidR="00C604A5" w:rsidRPr="00517F46">
        <w:rPr>
          <w:rFonts w:ascii="Arial" w:hAnsi="Arial" w:cs="Arial"/>
        </w:rPr>
        <w:t>N</w:t>
      </w:r>
      <w:r w:rsidR="004D443B" w:rsidRPr="00517F46">
        <w:rPr>
          <w:rFonts w:ascii="Arial" w:hAnsi="Arial" w:cs="Arial"/>
        </w:rPr>
        <w:t xml:space="preserve">ovember 2019 in so far as they relate to </w:t>
      </w:r>
      <w:r w:rsidR="006A7311" w:rsidRPr="00517F46">
        <w:rPr>
          <w:rFonts w:ascii="Arial" w:hAnsi="Arial" w:cs="Arial"/>
        </w:rPr>
        <w:t>Ms Nokuthula G. Khanylie, including memoranda submitted or presented, presentations made and records of decisions taken</w:t>
      </w:r>
      <w:r w:rsidR="00C604A5" w:rsidRPr="00517F46">
        <w:rPr>
          <w:rFonts w:ascii="Arial" w:hAnsi="Arial" w:cs="Arial"/>
        </w:rPr>
        <w:t>;</w:t>
      </w:r>
    </w:p>
    <w:p w:rsidR="004D7D02" w:rsidRPr="00DE4FBB" w:rsidRDefault="004D7D02" w:rsidP="006B7081">
      <w:pPr>
        <w:pStyle w:val="ListParagraph"/>
        <w:tabs>
          <w:tab w:val="left" w:pos="6946"/>
        </w:tabs>
        <w:autoSpaceDE w:val="0"/>
        <w:autoSpaceDN w:val="0"/>
        <w:adjustRightInd w:val="0"/>
        <w:spacing w:before="240" w:line="360" w:lineRule="auto"/>
        <w:ind w:left="1985"/>
        <w:jc w:val="both"/>
        <w:rPr>
          <w:rFonts w:ascii="Arial" w:hAnsi="Arial" w:cs="Arial"/>
        </w:rPr>
      </w:pPr>
    </w:p>
    <w:p w:rsidR="00BD1563" w:rsidRPr="00517F46" w:rsidRDefault="00517F46" w:rsidP="00517F46">
      <w:pPr>
        <w:tabs>
          <w:tab w:val="left" w:pos="6946"/>
        </w:tabs>
        <w:autoSpaceDE w:val="0"/>
        <w:autoSpaceDN w:val="0"/>
        <w:adjustRightInd w:val="0"/>
        <w:spacing w:before="240" w:line="360" w:lineRule="auto"/>
        <w:ind w:left="1985" w:hanging="709"/>
        <w:jc w:val="both"/>
        <w:rPr>
          <w:rFonts w:ascii="Arial" w:hAnsi="Arial" w:cs="Arial"/>
        </w:rPr>
      </w:pPr>
      <w:r w:rsidRPr="00DE4FBB">
        <w:rPr>
          <w:rFonts w:ascii="Arial" w:hAnsi="Arial" w:cs="Arial"/>
        </w:rPr>
        <w:t>1.</w:t>
      </w:r>
      <w:bookmarkStart w:id="0" w:name="_GoBack"/>
      <w:bookmarkEnd w:id="0"/>
      <w:r w:rsidRPr="00DE4FBB">
        <w:rPr>
          <w:rFonts w:ascii="Arial" w:hAnsi="Arial" w:cs="Arial"/>
        </w:rPr>
        <w:t>4</w:t>
      </w:r>
      <w:r w:rsidRPr="00DE4FBB">
        <w:rPr>
          <w:rFonts w:ascii="Arial" w:hAnsi="Arial" w:cs="Arial"/>
        </w:rPr>
        <w:tab/>
      </w:r>
      <w:r w:rsidR="004D443B" w:rsidRPr="00517F46">
        <w:rPr>
          <w:rFonts w:ascii="Arial" w:hAnsi="Arial" w:cs="Arial"/>
        </w:rPr>
        <w:t xml:space="preserve">the audio recordings of the </w:t>
      </w:r>
      <w:r w:rsidR="004D7D02" w:rsidRPr="00517F46">
        <w:rPr>
          <w:rFonts w:ascii="Arial" w:hAnsi="Arial" w:cs="Arial"/>
        </w:rPr>
        <w:t xml:space="preserve">interview </w:t>
      </w:r>
      <w:r w:rsidR="00AB030C" w:rsidRPr="00517F46">
        <w:rPr>
          <w:rFonts w:ascii="Arial" w:hAnsi="Arial" w:cs="Arial"/>
        </w:rPr>
        <w:t xml:space="preserve">with </w:t>
      </w:r>
      <w:r w:rsidR="004D7D02" w:rsidRPr="00517F46">
        <w:rPr>
          <w:rFonts w:ascii="Arial" w:hAnsi="Arial" w:cs="Arial"/>
        </w:rPr>
        <w:t xml:space="preserve">and assessment discussions in respect of Ms Nokuthula G. Khanylie by members </w:t>
      </w:r>
      <w:r w:rsidR="004D7D02" w:rsidRPr="00517F46">
        <w:rPr>
          <w:rFonts w:ascii="Arial" w:hAnsi="Arial" w:cs="Arial"/>
        </w:rPr>
        <w:lastRenderedPageBreak/>
        <w:t xml:space="preserve">of the panel which conducted </w:t>
      </w:r>
      <w:r w:rsidR="006B248F" w:rsidRPr="00517F46">
        <w:rPr>
          <w:rFonts w:ascii="Arial" w:hAnsi="Arial" w:cs="Arial"/>
        </w:rPr>
        <w:t xml:space="preserve">the </w:t>
      </w:r>
      <w:r w:rsidR="004D7D02" w:rsidRPr="00517F46">
        <w:rPr>
          <w:rFonts w:ascii="Arial" w:hAnsi="Arial" w:cs="Arial"/>
        </w:rPr>
        <w:t>interviews for the</w:t>
      </w:r>
      <w:r w:rsidR="004D443B" w:rsidRPr="00517F46">
        <w:rPr>
          <w:rFonts w:ascii="Arial" w:hAnsi="Arial" w:cs="Arial"/>
        </w:rPr>
        <w:t xml:space="preserve"> post of </w:t>
      </w:r>
      <w:r w:rsidR="00C604A5" w:rsidRPr="00517F46">
        <w:rPr>
          <w:rFonts w:ascii="Arial" w:hAnsi="Arial" w:cs="Arial"/>
        </w:rPr>
        <w:t>H</w:t>
      </w:r>
      <w:r w:rsidR="004D443B" w:rsidRPr="00517F46">
        <w:rPr>
          <w:rFonts w:ascii="Arial" w:hAnsi="Arial" w:cs="Arial"/>
        </w:rPr>
        <w:t xml:space="preserve">ead of </w:t>
      </w:r>
      <w:r w:rsidR="00C604A5" w:rsidRPr="00517F46">
        <w:rPr>
          <w:rFonts w:ascii="Arial" w:hAnsi="Arial" w:cs="Arial"/>
        </w:rPr>
        <w:t>D</w:t>
      </w:r>
      <w:r w:rsidR="004D443B" w:rsidRPr="00517F46">
        <w:rPr>
          <w:rFonts w:ascii="Arial" w:hAnsi="Arial" w:cs="Arial"/>
        </w:rPr>
        <w:t>epartment</w:t>
      </w:r>
      <w:r w:rsidR="00E8754B" w:rsidRPr="00517F46">
        <w:rPr>
          <w:rFonts w:ascii="Arial" w:hAnsi="Arial" w:cs="Arial"/>
        </w:rPr>
        <w:t xml:space="preserve"> of</w:t>
      </w:r>
      <w:r w:rsidR="00C604A5" w:rsidRPr="00517F46">
        <w:rPr>
          <w:rFonts w:ascii="Arial" w:hAnsi="Arial" w:cs="Arial"/>
        </w:rPr>
        <w:t xml:space="preserve"> S</w:t>
      </w:r>
      <w:r w:rsidR="004D443B" w:rsidRPr="00517F46">
        <w:rPr>
          <w:rFonts w:ascii="Arial" w:hAnsi="Arial" w:cs="Arial"/>
        </w:rPr>
        <w:t xml:space="preserve">ocial </w:t>
      </w:r>
      <w:r w:rsidR="00C604A5" w:rsidRPr="00517F46">
        <w:rPr>
          <w:rFonts w:ascii="Arial" w:hAnsi="Arial" w:cs="Arial"/>
        </w:rPr>
        <w:t>D</w:t>
      </w:r>
      <w:r w:rsidR="004D443B" w:rsidRPr="00517F46">
        <w:rPr>
          <w:rFonts w:ascii="Arial" w:hAnsi="Arial" w:cs="Arial"/>
        </w:rPr>
        <w:t xml:space="preserve">evelopment </w:t>
      </w:r>
      <w:r w:rsidR="00C604A5" w:rsidRPr="00517F46">
        <w:rPr>
          <w:rFonts w:ascii="Arial" w:hAnsi="Arial" w:cs="Arial"/>
        </w:rPr>
        <w:t>KwaZulu-Natal</w:t>
      </w:r>
      <w:r w:rsidR="004D443B" w:rsidRPr="00517F46">
        <w:rPr>
          <w:rFonts w:ascii="Arial" w:hAnsi="Arial" w:cs="Arial"/>
        </w:rPr>
        <w:t xml:space="preserve"> </w:t>
      </w:r>
      <w:r w:rsidR="004D7D02" w:rsidRPr="00517F46">
        <w:rPr>
          <w:rFonts w:ascii="Arial" w:hAnsi="Arial" w:cs="Arial"/>
        </w:rPr>
        <w:t>on 30 April 2020</w:t>
      </w:r>
      <w:r w:rsidR="008E700E" w:rsidRPr="00517F46">
        <w:rPr>
          <w:rFonts w:ascii="Arial" w:hAnsi="Arial" w:cs="Arial"/>
        </w:rPr>
        <w:t xml:space="preserve">; </w:t>
      </w:r>
      <w:r w:rsidR="004D7D02" w:rsidRPr="00517F46">
        <w:rPr>
          <w:rFonts w:ascii="Arial" w:hAnsi="Arial" w:cs="Arial"/>
        </w:rPr>
        <w:t xml:space="preserve"> </w:t>
      </w:r>
    </w:p>
    <w:p w:rsidR="004B1C50" w:rsidRPr="00DE4FBB" w:rsidRDefault="004B1C50" w:rsidP="006B7081">
      <w:pPr>
        <w:pStyle w:val="ListParagraph"/>
        <w:tabs>
          <w:tab w:val="left" w:pos="6946"/>
        </w:tabs>
        <w:autoSpaceDE w:val="0"/>
        <w:autoSpaceDN w:val="0"/>
        <w:adjustRightInd w:val="0"/>
        <w:spacing w:before="240" w:line="360" w:lineRule="auto"/>
        <w:ind w:left="1985"/>
        <w:jc w:val="both"/>
        <w:rPr>
          <w:rFonts w:ascii="Arial" w:hAnsi="Arial" w:cs="Arial"/>
        </w:rPr>
      </w:pPr>
    </w:p>
    <w:p w:rsidR="00EE1BF2" w:rsidRPr="00517F46" w:rsidRDefault="00517F46" w:rsidP="00517F46">
      <w:pPr>
        <w:tabs>
          <w:tab w:val="left" w:pos="6946"/>
        </w:tabs>
        <w:autoSpaceDE w:val="0"/>
        <w:autoSpaceDN w:val="0"/>
        <w:adjustRightInd w:val="0"/>
        <w:spacing w:before="240" w:line="360" w:lineRule="auto"/>
        <w:ind w:left="1985" w:hanging="709"/>
        <w:jc w:val="both"/>
        <w:rPr>
          <w:rFonts w:ascii="Arial" w:hAnsi="Arial" w:cs="Arial"/>
        </w:rPr>
      </w:pPr>
      <w:r w:rsidRPr="00DE4FBB">
        <w:rPr>
          <w:rFonts w:ascii="Arial" w:hAnsi="Arial" w:cs="Arial"/>
        </w:rPr>
        <w:t>1.5</w:t>
      </w:r>
      <w:r w:rsidRPr="00DE4FBB">
        <w:rPr>
          <w:rFonts w:ascii="Arial" w:hAnsi="Arial" w:cs="Arial"/>
        </w:rPr>
        <w:tab/>
      </w:r>
      <w:r w:rsidR="004D443B" w:rsidRPr="00517F46">
        <w:rPr>
          <w:rFonts w:ascii="Arial" w:hAnsi="Arial" w:cs="Arial"/>
        </w:rPr>
        <w:t xml:space="preserve">the score sheets </w:t>
      </w:r>
      <w:r w:rsidR="004D7D02" w:rsidRPr="00517F46">
        <w:rPr>
          <w:rFonts w:ascii="Arial" w:hAnsi="Arial" w:cs="Arial"/>
        </w:rPr>
        <w:t xml:space="preserve">populated by each panel member in respect of Ms Nokuthula G. Khanylie </w:t>
      </w:r>
      <w:r w:rsidR="004D443B" w:rsidRPr="00517F46">
        <w:rPr>
          <w:rFonts w:ascii="Arial" w:hAnsi="Arial" w:cs="Arial"/>
        </w:rPr>
        <w:t xml:space="preserve">for the post of </w:t>
      </w:r>
      <w:r w:rsidR="004D7D02" w:rsidRPr="00517F46">
        <w:rPr>
          <w:rFonts w:ascii="Arial" w:hAnsi="Arial" w:cs="Arial"/>
        </w:rPr>
        <w:t xml:space="preserve">Head of Department of </w:t>
      </w:r>
      <w:r w:rsidR="00BD1563" w:rsidRPr="00517F46">
        <w:rPr>
          <w:rFonts w:ascii="Arial" w:hAnsi="Arial" w:cs="Arial"/>
        </w:rPr>
        <w:t>Social Development</w:t>
      </w:r>
      <w:r w:rsidR="00EE1BF2" w:rsidRPr="00517F46">
        <w:rPr>
          <w:rFonts w:ascii="Arial" w:hAnsi="Arial" w:cs="Arial"/>
        </w:rPr>
        <w:t xml:space="preserve"> KZN </w:t>
      </w:r>
      <w:r w:rsidR="004D443B" w:rsidRPr="00517F46">
        <w:rPr>
          <w:rFonts w:ascii="Arial" w:hAnsi="Arial" w:cs="Arial"/>
        </w:rPr>
        <w:t xml:space="preserve">in respect of the </w:t>
      </w:r>
      <w:r w:rsidR="004D7D02" w:rsidRPr="00517F46">
        <w:rPr>
          <w:rFonts w:ascii="Arial" w:hAnsi="Arial" w:cs="Arial"/>
        </w:rPr>
        <w:t xml:space="preserve">interviews held on 30 April 2020. </w:t>
      </w:r>
    </w:p>
    <w:p w:rsidR="00EE1BF2" w:rsidRPr="00DE4FBB" w:rsidRDefault="00EE1BF2" w:rsidP="006B7081">
      <w:pPr>
        <w:pStyle w:val="ListParagraph"/>
        <w:tabs>
          <w:tab w:val="left" w:pos="6946"/>
        </w:tabs>
        <w:autoSpaceDE w:val="0"/>
        <w:autoSpaceDN w:val="0"/>
        <w:adjustRightInd w:val="0"/>
        <w:spacing w:before="240" w:line="360" w:lineRule="auto"/>
        <w:ind w:left="1985"/>
        <w:jc w:val="both"/>
        <w:rPr>
          <w:rFonts w:ascii="Arial" w:hAnsi="Arial" w:cs="Arial"/>
        </w:rPr>
      </w:pPr>
    </w:p>
    <w:p w:rsidR="00EE1BF2" w:rsidRPr="00517F46" w:rsidRDefault="00517F46" w:rsidP="00517F46">
      <w:pPr>
        <w:tabs>
          <w:tab w:val="left" w:pos="6946"/>
        </w:tabs>
        <w:autoSpaceDE w:val="0"/>
        <w:autoSpaceDN w:val="0"/>
        <w:adjustRightInd w:val="0"/>
        <w:spacing w:before="240" w:line="360" w:lineRule="auto"/>
        <w:ind w:left="1211" w:hanging="360"/>
        <w:jc w:val="both"/>
        <w:rPr>
          <w:rFonts w:ascii="Arial" w:hAnsi="Arial" w:cs="Arial"/>
        </w:rPr>
      </w:pPr>
      <w:r w:rsidRPr="00DE4FBB">
        <w:rPr>
          <w:rFonts w:ascii="Arial" w:hAnsi="Arial" w:cs="Arial"/>
        </w:rPr>
        <w:t>2.</w:t>
      </w:r>
      <w:r w:rsidRPr="00DE4FBB">
        <w:rPr>
          <w:rFonts w:ascii="Arial" w:hAnsi="Arial" w:cs="Arial"/>
        </w:rPr>
        <w:tab/>
      </w:r>
      <w:r w:rsidR="00EE1BF2" w:rsidRPr="00517F46">
        <w:rPr>
          <w:rFonts w:ascii="Arial" w:hAnsi="Arial" w:cs="Arial"/>
        </w:rPr>
        <w:t>T</w:t>
      </w:r>
      <w:r w:rsidR="004D443B" w:rsidRPr="00517F46">
        <w:rPr>
          <w:rFonts w:ascii="Arial" w:hAnsi="Arial" w:cs="Arial"/>
        </w:rPr>
        <w:t>he first respondent</w:t>
      </w:r>
      <w:r w:rsidR="00E57B17" w:rsidRPr="00517F46">
        <w:rPr>
          <w:rFonts w:ascii="Arial" w:hAnsi="Arial" w:cs="Arial"/>
        </w:rPr>
        <w:t xml:space="preserve"> is</w:t>
      </w:r>
      <w:r w:rsidR="006A7311" w:rsidRPr="00517F46">
        <w:rPr>
          <w:rFonts w:ascii="Arial" w:hAnsi="Arial" w:cs="Arial"/>
        </w:rPr>
        <w:t xml:space="preserve"> </w:t>
      </w:r>
      <w:r w:rsidR="004D443B" w:rsidRPr="00517F46">
        <w:rPr>
          <w:rFonts w:ascii="Arial" w:hAnsi="Arial" w:cs="Arial"/>
        </w:rPr>
        <w:t xml:space="preserve">ordered to provide the </w:t>
      </w:r>
      <w:r w:rsidR="00CE2B9B" w:rsidRPr="00517F46">
        <w:rPr>
          <w:rFonts w:ascii="Arial" w:hAnsi="Arial" w:cs="Arial"/>
        </w:rPr>
        <w:t>records</w:t>
      </w:r>
      <w:r w:rsidR="004D443B" w:rsidRPr="00517F46">
        <w:rPr>
          <w:rFonts w:ascii="Arial" w:hAnsi="Arial" w:cs="Arial"/>
        </w:rPr>
        <w:t xml:space="preserve"> referred to in paragraph 1</w:t>
      </w:r>
      <w:r w:rsidR="006A7311" w:rsidRPr="00517F46">
        <w:rPr>
          <w:rFonts w:ascii="Arial" w:hAnsi="Arial" w:cs="Arial"/>
        </w:rPr>
        <w:t xml:space="preserve"> </w:t>
      </w:r>
      <w:r w:rsidR="008E700E" w:rsidRPr="00517F46">
        <w:rPr>
          <w:rFonts w:ascii="Arial" w:hAnsi="Arial" w:cs="Arial"/>
        </w:rPr>
        <w:t xml:space="preserve">of this order </w:t>
      </w:r>
      <w:r w:rsidR="004D443B" w:rsidRPr="00517F46">
        <w:rPr>
          <w:rFonts w:ascii="Arial" w:hAnsi="Arial" w:cs="Arial"/>
        </w:rPr>
        <w:t>to the applicant</w:t>
      </w:r>
      <w:r w:rsidR="00E8754B" w:rsidRPr="00517F46">
        <w:rPr>
          <w:rFonts w:ascii="Arial" w:hAnsi="Arial" w:cs="Arial"/>
        </w:rPr>
        <w:t xml:space="preserve">’s </w:t>
      </w:r>
      <w:r w:rsidR="00F93D34" w:rsidRPr="00517F46">
        <w:rPr>
          <w:rFonts w:ascii="Arial" w:hAnsi="Arial" w:cs="Arial"/>
        </w:rPr>
        <w:t>attorneys</w:t>
      </w:r>
      <w:r w:rsidR="004D443B" w:rsidRPr="00517F46">
        <w:rPr>
          <w:rFonts w:ascii="Arial" w:hAnsi="Arial" w:cs="Arial"/>
        </w:rPr>
        <w:t xml:space="preserve"> </w:t>
      </w:r>
      <w:r w:rsidR="00EE1BF2" w:rsidRPr="00517F46">
        <w:rPr>
          <w:rFonts w:ascii="Arial" w:hAnsi="Arial" w:cs="Arial"/>
        </w:rPr>
        <w:t>within twenty (20)</w:t>
      </w:r>
      <w:r w:rsidR="004D443B" w:rsidRPr="00517F46">
        <w:rPr>
          <w:rFonts w:ascii="Arial" w:hAnsi="Arial" w:cs="Arial"/>
        </w:rPr>
        <w:t xml:space="preserve"> court days of the date of this order</w:t>
      </w:r>
      <w:r w:rsidR="00E57B17" w:rsidRPr="00517F46">
        <w:rPr>
          <w:rFonts w:ascii="Arial" w:hAnsi="Arial" w:cs="Arial"/>
        </w:rPr>
        <w:t>.</w:t>
      </w:r>
    </w:p>
    <w:p w:rsidR="008E700E" w:rsidRPr="00DE4FBB" w:rsidRDefault="008E700E" w:rsidP="006B7081">
      <w:pPr>
        <w:pStyle w:val="ListParagraph"/>
        <w:tabs>
          <w:tab w:val="left" w:pos="6946"/>
        </w:tabs>
        <w:autoSpaceDE w:val="0"/>
        <w:autoSpaceDN w:val="0"/>
        <w:adjustRightInd w:val="0"/>
        <w:spacing w:before="240" w:line="360" w:lineRule="auto"/>
        <w:ind w:left="1211"/>
        <w:jc w:val="both"/>
        <w:rPr>
          <w:rFonts w:ascii="Arial" w:hAnsi="Arial" w:cs="Arial"/>
        </w:rPr>
      </w:pPr>
    </w:p>
    <w:p w:rsidR="00EF1409" w:rsidRPr="00517F46" w:rsidRDefault="00517F46" w:rsidP="00517F46">
      <w:pPr>
        <w:tabs>
          <w:tab w:val="left" w:pos="6946"/>
        </w:tabs>
        <w:autoSpaceDE w:val="0"/>
        <w:autoSpaceDN w:val="0"/>
        <w:adjustRightInd w:val="0"/>
        <w:spacing w:before="240" w:line="360" w:lineRule="auto"/>
        <w:ind w:left="1211" w:hanging="360"/>
        <w:jc w:val="both"/>
        <w:rPr>
          <w:rFonts w:ascii="Arial" w:hAnsi="Arial" w:cs="Arial"/>
        </w:rPr>
      </w:pPr>
      <w:r>
        <w:rPr>
          <w:rFonts w:ascii="Arial" w:hAnsi="Arial" w:cs="Arial"/>
        </w:rPr>
        <w:t>3.</w:t>
      </w:r>
      <w:r>
        <w:rPr>
          <w:rFonts w:ascii="Arial" w:hAnsi="Arial" w:cs="Arial"/>
        </w:rPr>
        <w:tab/>
      </w:r>
      <w:r w:rsidR="00EE1BF2" w:rsidRPr="00517F46">
        <w:rPr>
          <w:rFonts w:ascii="Arial" w:hAnsi="Arial" w:cs="Arial"/>
        </w:rPr>
        <w:t>The f</w:t>
      </w:r>
      <w:r w:rsidR="004D443B" w:rsidRPr="00517F46">
        <w:rPr>
          <w:rFonts w:ascii="Arial" w:hAnsi="Arial" w:cs="Arial"/>
        </w:rPr>
        <w:t>irst</w:t>
      </w:r>
      <w:r w:rsidR="00790951" w:rsidRPr="00517F46">
        <w:rPr>
          <w:rFonts w:ascii="Arial" w:hAnsi="Arial" w:cs="Arial"/>
        </w:rPr>
        <w:t>,</w:t>
      </w:r>
      <w:r w:rsidR="004D443B" w:rsidRPr="00517F46">
        <w:rPr>
          <w:rFonts w:ascii="Arial" w:hAnsi="Arial" w:cs="Arial"/>
        </w:rPr>
        <w:t xml:space="preserve"> second </w:t>
      </w:r>
      <w:r w:rsidR="00790951" w:rsidRPr="00517F46">
        <w:rPr>
          <w:rFonts w:ascii="Arial" w:hAnsi="Arial" w:cs="Arial"/>
        </w:rPr>
        <w:t xml:space="preserve">and third </w:t>
      </w:r>
      <w:r w:rsidR="004D443B" w:rsidRPr="00517F46">
        <w:rPr>
          <w:rFonts w:ascii="Arial" w:hAnsi="Arial" w:cs="Arial"/>
        </w:rPr>
        <w:t xml:space="preserve">respondents are directed to pay the costs </w:t>
      </w:r>
      <w:r w:rsidR="00E57B17" w:rsidRPr="00517F46">
        <w:rPr>
          <w:rFonts w:ascii="Arial" w:hAnsi="Arial" w:cs="Arial"/>
        </w:rPr>
        <w:t xml:space="preserve">of the </w:t>
      </w:r>
      <w:r w:rsidR="004D443B" w:rsidRPr="00517F46">
        <w:rPr>
          <w:rFonts w:ascii="Arial" w:hAnsi="Arial" w:cs="Arial"/>
        </w:rPr>
        <w:t xml:space="preserve">application jointly and severally, </w:t>
      </w:r>
      <w:r w:rsidR="00790951" w:rsidRPr="00517F46">
        <w:rPr>
          <w:rFonts w:ascii="Arial" w:hAnsi="Arial" w:cs="Arial"/>
        </w:rPr>
        <w:t xml:space="preserve">the one paying the other to be absolved. </w:t>
      </w:r>
    </w:p>
    <w:p w:rsidR="00CE2B9B" w:rsidRPr="00CE2B9B" w:rsidRDefault="00CE2B9B" w:rsidP="00CE2B9B">
      <w:pPr>
        <w:pStyle w:val="ListParagraph"/>
        <w:rPr>
          <w:rFonts w:ascii="Arial" w:hAnsi="Arial" w:cs="Arial"/>
        </w:rPr>
      </w:pPr>
    </w:p>
    <w:p w:rsidR="00CE2B9B" w:rsidRDefault="00CE2B9B" w:rsidP="00CE2B9B">
      <w:pPr>
        <w:pStyle w:val="ListParagraph"/>
        <w:tabs>
          <w:tab w:val="left" w:pos="6946"/>
        </w:tabs>
        <w:autoSpaceDE w:val="0"/>
        <w:autoSpaceDN w:val="0"/>
        <w:adjustRightInd w:val="0"/>
        <w:spacing w:before="240" w:line="360" w:lineRule="auto"/>
        <w:ind w:left="1211"/>
        <w:jc w:val="both"/>
        <w:rPr>
          <w:rFonts w:ascii="Arial" w:hAnsi="Arial" w:cs="Arial"/>
        </w:rPr>
      </w:pPr>
    </w:p>
    <w:p w:rsidR="00F07C04" w:rsidRPr="00F07C04" w:rsidRDefault="00F07C04" w:rsidP="00F07C04">
      <w:pPr>
        <w:pStyle w:val="ListParagraph"/>
        <w:rPr>
          <w:rFonts w:ascii="Arial" w:hAnsi="Arial" w:cs="Arial"/>
        </w:rPr>
      </w:pPr>
    </w:p>
    <w:p w:rsidR="00F07C04" w:rsidRPr="00F07C04" w:rsidRDefault="00F07C04" w:rsidP="00F07C04">
      <w:pPr>
        <w:tabs>
          <w:tab w:val="left" w:pos="6946"/>
        </w:tabs>
        <w:autoSpaceDE w:val="0"/>
        <w:autoSpaceDN w:val="0"/>
        <w:adjustRightInd w:val="0"/>
        <w:spacing w:before="240" w:line="360" w:lineRule="auto"/>
        <w:jc w:val="both"/>
        <w:rPr>
          <w:rFonts w:ascii="Arial" w:hAnsi="Arial" w:cs="Arial"/>
        </w:rPr>
      </w:pPr>
    </w:p>
    <w:p w:rsidR="00B57FE1" w:rsidRPr="00DE4FBB" w:rsidRDefault="00B57FE1" w:rsidP="006B7081">
      <w:pPr>
        <w:pStyle w:val="ListParagraph"/>
        <w:spacing w:line="360" w:lineRule="auto"/>
        <w:rPr>
          <w:rFonts w:ascii="Arial" w:hAnsi="Arial" w:cs="Arial"/>
        </w:rPr>
      </w:pPr>
    </w:p>
    <w:p w:rsidR="00E134AC" w:rsidRPr="00DE4FBB" w:rsidRDefault="00E134AC" w:rsidP="006B7081">
      <w:pPr>
        <w:pStyle w:val="ListParagraph"/>
        <w:spacing w:line="360" w:lineRule="auto"/>
        <w:rPr>
          <w:rFonts w:ascii="Arial" w:hAnsi="Arial" w:cs="Arial"/>
        </w:rPr>
      </w:pPr>
    </w:p>
    <w:p w:rsidR="00844658" w:rsidRPr="00DE4FBB" w:rsidRDefault="00844658" w:rsidP="006B7081">
      <w:pPr>
        <w:pStyle w:val="ListParagraph"/>
        <w:spacing w:line="360" w:lineRule="auto"/>
        <w:jc w:val="right"/>
        <w:rPr>
          <w:rFonts w:ascii="Arial" w:hAnsi="Arial" w:cs="Arial"/>
        </w:rPr>
      </w:pPr>
      <w:r w:rsidRPr="00DE4FBB">
        <w:rPr>
          <w:rFonts w:ascii="Arial" w:hAnsi="Arial" w:cs="Arial"/>
        </w:rPr>
        <w:t>______________________</w:t>
      </w:r>
    </w:p>
    <w:p w:rsidR="00844658" w:rsidRPr="00DE4FBB" w:rsidRDefault="00953730" w:rsidP="006B7081">
      <w:pPr>
        <w:pStyle w:val="ListParagraph"/>
        <w:spacing w:line="360" w:lineRule="auto"/>
        <w:jc w:val="right"/>
        <w:rPr>
          <w:rFonts w:ascii="Arial" w:hAnsi="Arial" w:cs="Arial"/>
        </w:rPr>
      </w:pPr>
      <w:r w:rsidRPr="00DE4FBB">
        <w:rPr>
          <w:rFonts w:ascii="Arial" w:hAnsi="Arial" w:cs="Arial"/>
        </w:rPr>
        <w:t>A.M. ANNANDALE, AJ</w:t>
      </w:r>
    </w:p>
    <w:p w:rsidR="006F3522" w:rsidRPr="00DE4FBB" w:rsidRDefault="006F3522" w:rsidP="006B7081">
      <w:pPr>
        <w:pStyle w:val="ListParagraph"/>
        <w:spacing w:line="360" w:lineRule="auto"/>
        <w:jc w:val="right"/>
        <w:rPr>
          <w:rFonts w:ascii="Arial" w:hAnsi="Arial" w:cs="Arial"/>
        </w:rPr>
      </w:pPr>
    </w:p>
    <w:p w:rsidR="00F93D34" w:rsidRDefault="00F93D34">
      <w:pPr>
        <w:rPr>
          <w:rFonts w:ascii="Arial" w:hAnsi="Arial" w:cs="Arial"/>
        </w:rPr>
      </w:pPr>
      <w:r>
        <w:rPr>
          <w:rFonts w:ascii="Arial" w:hAnsi="Arial" w:cs="Arial"/>
        </w:rPr>
        <w:br w:type="page"/>
      </w:r>
    </w:p>
    <w:p w:rsidR="00EA69ED" w:rsidRDefault="00EA69ED" w:rsidP="00EA69ED">
      <w:pPr>
        <w:rPr>
          <w:rFonts w:ascii="Arial" w:hAnsi="Arial" w:cs="Arial"/>
        </w:rPr>
      </w:pPr>
    </w:p>
    <w:p w:rsidR="00EA69ED" w:rsidRDefault="00EA69ED" w:rsidP="00EA69ED">
      <w:pPr>
        <w:rPr>
          <w:rFonts w:ascii="Arial" w:hAnsi="Arial" w:cs="Arial"/>
        </w:rPr>
      </w:pPr>
    </w:p>
    <w:p w:rsidR="00EA69ED" w:rsidRPr="0019489F" w:rsidRDefault="00EA69ED" w:rsidP="00EA69ED">
      <w:pPr>
        <w:rPr>
          <w:rFonts w:ascii="Arial" w:hAnsi="Arial" w:cs="Arial"/>
          <w:bCs/>
        </w:rPr>
      </w:pPr>
      <w:r w:rsidRPr="0019489F">
        <w:rPr>
          <w:rFonts w:ascii="Arial" w:hAnsi="Arial" w:cs="Arial"/>
          <w:bCs/>
        </w:rPr>
        <w:t>JUDGMENT RESERVED:</w:t>
      </w:r>
      <w:r w:rsidRPr="0019489F">
        <w:rPr>
          <w:rFonts w:ascii="Arial" w:hAnsi="Arial" w:cs="Arial"/>
          <w:bCs/>
        </w:rPr>
        <w:tab/>
      </w:r>
      <w:r w:rsidRPr="0019489F">
        <w:rPr>
          <w:rFonts w:ascii="Arial" w:hAnsi="Arial" w:cs="Arial"/>
          <w:bCs/>
        </w:rPr>
        <w:tab/>
      </w:r>
      <w:r w:rsidRPr="0019489F">
        <w:rPr>
          <w:rFonts w:ascii="Arial" w:hAnsi="Arial" w:cs="Arial"/>
          <w:bCs/>
        </w:rPr>
        <w:tab/>
      </w:r>
      <w:r w:rsidR="0008441F">
        <w:rPr>
          <w:rFonts w:ascii="Arial" w:hAnsi="Arial" w:cs="Arial"/>
          <w:bCs/>
        </w:rPr>
        <w:t>25 JULY 2023</w:t>
      </w:r>
    </w:p>
    <w:p w:rsidR="00EA69ED" w:rsidRPr="0019489F" w:rsidRDefault="00EA69ED" w:rsidP="00EA69ED">
      <w:pPr>
        <w:rPr>
          <w:rFonts w:ascii="Arial" w:hAnsi="Arial" w:cs="Arial"/>
          <w:bCs/>
        </w:rPr>
      </w:pPr>
    </w:p>
    <w:p w:rsidR="00EA69ED" w:rsidRDefault="00F515DE" w:rsidP="00EA69ED">
      <w:pPr>
        <w:rPr>
          <w:rFonts w:ascii="Arial" w:hAnsi="Arial" w:cs="Arial"/>
          <w:bCs/>
        </w:rPr>
      </w:pPr>
      <w:r>
        <w:rPr>
          <w:rFonts w:ascii="Arial" w:hAnsi="Arial" w:cs="Arial"/>
          <w:bCs/>
        </w:rPr>
        <w:t>JUDGMENT HANDED DOWN:</w:t>
      </w:r>
      <w:r>
        <w:rPr>
          <w:rFonts w:ascii="Arial" w:hAnsi="Arial" w:cs="Arial"/>
          <w:bCs/>
        </w:rPr>
        <w:tab/>
      </w:r>
      <w:r>
        <w:rPr>
          <w:rFonts w:ascii="Arial" w:hAnsi="Arial" w:cs="Arial"/>
          <w:bCs/>
        </w:rPr>
        <w:tab/>
        <w:t>19 OCTOBER 2023</w:t>
      </w:r>
    </w:p>
    <w:p w:rsidR="00F515DE" w:rsidRPr="0019489F" w:rsidRDefault="00F515DE" w:rsidP="00EA69ED">
      <w:pPr>
        <w:rPr>
          <w:rFonts w:ascii="Arial" w:hAnsi="Arial" w:cs="Arial"/>
          <w:bCs/>
        </w:rPr>
      </w:pPr>
    </w:p>
    <w:p w:rsidR="00EA69ED" w:rsidRPr="0019489F" w:rsidRDefault="00EA69ED" w:rsidP="00EA69ED">
      <w:pPr>
        <w:rPr>
          <w:rFonts w:ascii="Arial" w:hAnsi="Arial" w:cs="Arial"/>
          <w:bCs/>
        </w:rPr>
      </w:pPr>
    </w:p>
    <w:p w:rsidR="00EA69ED" w:rsidRPr="0019489F" w:rsidRDefault="00EA69ED" w:rsidP="00EA69ED">
      <w:pPr>
        <w:rPr>
          <w:rFonts w:ascii="Arial" w:hAnsi="Arial" w:cs="Arial"/>
          <w:bCs/>
        </w:rPr>
      </w:pPr>
    </w:p>
    <w:p w:rsidR="00EA69ED" w:rsidRPr="0019489F" w:rsidRDefault="00EA69ED" w:rsidP="00EA69ED">
      <w:pPr>
        <w:rPr>
          <w:rFonts w:ascii="Arial" w:hAnsi="Arial" w:cs="Arial"/>
          <w:bCs/>
        </w:rPr>
      </w:pPr>
      <w:r w:rsidRPr="0019489F">
        <w:rPr>
          <w:rFonts w:ascii="Arial" w:hAnsi="Arial" w:cs="Arial"/>
          <w:bCs/>
        </w:rPr>
        <w:t>COUNSEL FOR APPLICANT:</w:t>
      </w:r>
      <w:r w:rsidRPr="0019489F">
        <w:rPr>
          <w:rFonts w:ascii="Arial" w:hAnsi="Arial" w:cs="Arial"/>
          <w:bCs/>
        </w:rPr>
        <w:tab/>
      </w:r>
      <w:r w:rsidRPr="0019489F">
        <w:rPr>
          <w:rFonts w:ascii="Arial" w:hAnsi="Arial" w:cs="Arial"/>
          <w:bCs/>
        </w:rPr>
        <w:tab/>
      </w:r>
      <w:r w:rsidR="0008441F">
        <w:rPr>
          <w:rFonts w:ascii="Arial" w:hAnsi="Arial" w:cs="Arial"/>
          <w:bCs/>
        </w:rPr>
        <w:t xml:space="preserve">MR </w:t>
      </w:r>
      <w:r w:rsidR="00640821">
        <w:rPr>
          <w:rFonts w:ascii="Arial" w:hAnsi="Arial" w:cs="Arial"/>
          <w:bCs/>
        </w:rPr>
        <w:t>S MOODLEY</w:t>
      </w:r>
    </w:p>
    <w:p w:rsidR="00EA69ED" w:rsidRDefault="00EA69ED" w:rsidP="00EA69ED">
      <w:pPr>
        <w:rPr>
          <w:rFonts w:ascii="Arial" w:hAnsi="Arial" w:cs="Arial"/>
          <w:bCs/>
        </w:rPr>
      </w:pPr>
      <w:r w:rsidRPr="0019489F">
        <w:rPr>
          <w:rFonts w:ascii="Arial" w:hAnsi="Arial" w:cs="Arial"/>
          <w:bCs/>
        </w:rPr>
        <w:t>Instructed by:</w:t>
      </w:r>
      <w:r w:rsidRPr="0019489F">
        <w:rPr>
          <w:rFonts w:ascii="Arial" w:hAnsi="Arial" w:cs="Arial"/>
          <w:bCs/>
        </w:rPr>
        <w:tab/>
      </w:r>
      <w:r w:rsidRPr="0019489F">
        <w:rPr>
          <w:rFonts w:ascii="Arial" w:hAnsi="Arial" w:cs="Arial"/>
          <w:bCs/>
        </w:rPr>
        <w:tab/>
      </w:r>
      <w:r w:rsidRPr="0019489F">
        <w:rPr>
          <w:rFonts w:ascii="Arial" w:hAnsi="Arial" w:cs="Arial"/>
          <w:bCs/>
        </w:rPr>
        <w:tab/>
      </w:r>
      <w:r w:rsidRPr="0019489F">
        <w:rPr>
          <w:rFonts w:ascii="Arial" w:hAnsi="Arial" w:cs="Arial"/>
          <w:bCs/>
        </w:rPr>
        <w:tab/>
      </w:r>
      <w:r w:rsidR="00DA477F">
        <w:rPr>
          <w:rFonts w:ascii="Arial" w:hAnsi="Arial" w:cs="Arial"/>
          <w:bCs/>
        </w:rPr>
        <w:t>THEMBA SHEZI ATTORNEYS</w:t>
      </w:r>
    </w:p>
    <w:p w:rsidR="0008441F" w:rsidRDefault="0008441F" w:rsidP="00EA69ED">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36 Chearsley Road, Unit 2</w:t>
      </w:r>
    </w:p>
    <w:p w:rsidR="0008441F" w:rsidRDefault="0008441F" w:rsidP="00EA69ED">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Westville</w:t>
      </w:r>
    </w:p>
    <w:p w:rsidR="0008441F" w:rsidRDefault="0008441F" w:rsidP="00EA69ED">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c/o Sugarpalm Gardens</w:t>
      </w:r>
    </w:p>
    <w:p w:rsidR="0008441F" w:rsidRDefault="0008441F" w:rsidP="00EA69ED">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Panorama Gardens</w:t>
      </w:r>
    </w:p>
    <w:p w:rsidR="0008441F" w:rsidRDefault="0008441F" w:rsidP="00EA69ED">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Pietermaritzburg</w:t>
      </w:r>
    </w:p>
    <w:p w:rsidR="00DA477F" w:rsidRDefault="00DA477F" w:rsidP="00DA477F">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Email: </w:t>
      </w:r>
      <w:hyperlink r:id="rId10" w:history="1">
        <w:r w:rsidRPr="00094E39">
          <w:rPr>
            <w:rStyle w:val="Hyperlink"/>
            <w:rFonts w:ascii="Arial" w:hAnsi="Arial" w:cs="Arial"/>
            <w:bCs/>
          </w:rPr>
          <w:t>themba@thembashezi.com</w:t>
        </w:r>
      </w:hyperlink>
    </w:p>
    <w:p w:rsidR="00DA477F" w:rsidRDefault="00DA477F" w:rsidP="00DA477F">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Tel: 031 262 0866</w:t>
      </w:r>
    </w:p>
    <w:p w:rsidR="0008441F" w:rsidRPr="0019489F" w:rsidRDefault="0008441F" w:rsidP="00DA477F">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Ref: SP948/KHA42/22</w:t>
      </w:r>
    </w:p>
    <w:p w:rsidR="00EA69ED" w:rsidRPr="0019489F" w:rsidRDefault="00EA69ED" w:rsidP="00EA69ED">
      <w:pPr>
        <w:rPr>
          <w:rFonts w:ascii="Arial" w:hAnsi="Arial" w:cs="Arial"/>
          <w:bCs/>
        </w:rPr>
      </w:pPr>
      <w:r w:rsidRPr="0019489F">
        <w:rPr>
          <w:rFonts w:ascii="Arial" w:hAnsi="Arial" w:cs="Arial"/>
          <w:bCs/>
        </w:rPr>
        <w:tab/>
      </w:r>
      <w:r w:rsidRPr="0019489F">
        <w:rPr>
          <w:rFonts w:ascii="Arial" w:hAnsi="Arial" w:cs="Arial"/>
          <w:bCs/>
        </w:rPr>
        <w:tab/>
      </w:r>
      <w:r w:rsidRPr="0019489F">
        <w:rPr>
          <w:rFonts w:ascii="Arial" w:hAnsi="Arial" w:cs="Arial"/>
          <w:bCs/>
        </w:rPr>
        <w:tab/>
      </w:r>
      <w:r w:rsidRPr="0019489F">
        <w:rPr>
          <w:rFonts w:ascii="Arial" w:hAnsi="Arial" w:cs="Arial"/>
          <w:bCs/>
        </w:rPr>
        <w:tab/>
      </w:r>
      <w:r w:rsidRPr="0019489F">
        <w:rPr>
          <w:rFonts w:ascii="Arial" w:hAnsi="Arial" w:cs="Arial"/>
          <w:bCs/>
        </w:rPr>
        <w:tab/>
      </w:r>
      <w:r w:rsidRPr="0019489F">
        <w:rPr>
          <w:rFonts w:ascii="Arial" w:hAnsi="Arial" w:cs="Arial"/>
          <w:bCs/>
        </w:rPr>
        <w:tab/>
      </w:r>
    </w:p>
    <w:p w:rsidR="00EA69ED" w:rsidRPr="0019489F" w:rsidRDefault="00EA69ED" w:rsidP="00EA69ED">
      <w:pPr>
        <w:rPr>
          <w:rFonts w:ascii="Arial" w:hAnsi="Arial" w:cs="Arial"/>
          <w:bCs/>
        </w:rPr>
      </w:pPr>
    </w:p>
    <w:p w:rsidR="00DA477F" w:rsidRDefault="00EA69ED" w:rsidP="00EA69ED">
      <w:pPr>
        <w:rPr>
          <w:rFonts w:ascii="Arial" w:hAnsi="Arial" w:cs="Arial"/>
          <w:bCs/>
        </w:rPr>
      </w:pPr>
      <w:r w:rsidRPr="0019489F">
        <w:rPr>
          <w:rFonts w:ascii="Arial" w:hAnsi="Arial" w:cs="Arial"/>
          <w:bCs/>
        </w:rPr>
        <w:t xml:space="preserve">COUNSEL FOR FIRST TO THIRD </w:t>
      </w:r>
      <w:r w:rsidR="00DA477F">
        <w:rPr>
          <w:rFonts w:ascii="Arial" w:hAnsi="Arial" w:cs="Arial"/>
          <w:bCs/>
        </w:rPr>
        <w:tab/>
      </w:r>
    </w:p>
    <w:p w:rsidR="00EA69ED" w:rsidRPr="0019489F" w:rsidRDefault="00EA69ED" w:rsidP="00EA69ED">
      <w:pPr>
        <w:rPr>
          <w:rFonts w:ascii="Arial" w:hAnsi="Arial" w:cs="Arial"/>
          <w:bCs/>
        </w:rPr>
      </w:pPr>
      <w:r w:rsidRPr="0019489F">
        <w:rPr>
          <w:rFonts w:ascii="Arial" w:hAnsi="Arial" w:cs="Arial"/>
          <w:bCs/>
        </w:rPr>
        <w:t>RESPONDENT</w:t>
      </w:r>
      <w:r w:rsidR="0008441F">
        <w:rPr>
          <w:rFonts w:ascii="Arial" w:hAnsi="Arial" w:cs="Arial"/>
          <w:bCs/>
        </w:rPr>
        <w:t>S:</w:t>
      </w:r>
      <w:r w:rsidR="0008441F">
        <w:rPr>
          <w:rFonts w:ascii="Arial" w:hAnsi="Arial" w:cs="Arial"/>
          <w:bCs/>
        </w:rPr>
        <w:tab/>
      </w:r>
      <w:r w:rsidR="0008441F">
        <w:rPr>
          <w:rFonts w:ascii="Arial" w:hAnsi="Arial" w:cs="Arial"/>
          <w:bCs/>
        </w:rPr>
        <w:tab/>
      </w:r>
      <w:r w:rsidR="0008441F">
        <w:rPr>
          <w:rFonts w:ascii="Arial" w:hAnsi="Arial" w:cs="Arial"/>
          <w:bCs/>
        </w:rPr>
        <w:tab/>
      </w:r>
      <w:r w:rsidR="0008441F">
        <w:rPr>
          <w:rFonts w:ascii="Arial" w:hAnsi="Arial" w:cs="Arial"/>
          <w:bCs/>
        </w:rPr>
        <w:tab/>
      </w:r>
      <w:r w:rsidR="00DA477F">
        <w:rPr>
          <w:rFonts w:ascii="Arial" w:hAnsi="Arial" w:cs="Arial"/>
          <w:bCs/>
        </w:rPr>
        <w:t>MS N NAKO</w:t>
      </w:r>
    </w:p>
    <w:p w:rsidR="00EA69ED" w:rsidRPr="0019489F" w:rsidRDefault="00EA69ED" w:rsidP="00EA69ED">
      <w:pPr>
        <w:rPr>
          <w:rFonts w:ascii="Arial" w:hAnsi="Arial" w:cs="Arial"/>
          <w:bCs/>
        </w:rPr>
      </w:pPr>
      <w:r w:rsidRPr="0019489F">
        <w:rPr>
          <w:rFonts w:ascii="Arial" w:hAnsi="Arial" w:cs="Arial"/>
          <w:bCs/>
        </w:rPr>
        <w:t>Instructed by:</w:t>
      </w:r>
      <w:r w:rsidRPr="0019489F">
        <w:rPr>
          <w:rFonts w:ascii="Arial" w:hAnsi="Arial" w:cs="Arial"/>
          <w:bCs/>
        </w:rPr>
        <w:tab/>
      </w:r>
      <w:r w:rsidRPr="0019489F">
        <w:rPr>
          <w:rFonts w:ascii="Arial" w:hAnsi="Arial" w:cs="Arial"/>
          <w:bCs/>
        </w:rPr>
        <w:tab/>
      </w:r>
      <w:r w:rsidRPr="0019489F">
        <w:rPr>
          <w:rFonts w:ascii="Arial" w:hAnsi="Arial" w:cs="Arial"/>
          <w:bCs/>
        </w:rPr>
        <w:tab/>
      </w:r>
      <w:r w:rsidRPr="0019489F">
        <w:rPr>
          <w:rFonts w:ascii="Arial" w:hAnsi="Arial" w:cs="Arial"/>
          <w:bCs/>
        </w:rPr>
        <w:tab/>
        <w:t>The State Attorney (KwaZulu-Natal)</w:t>
      </w:r>
    </w:p>
    <w:p w:rsidR="00EA69ED" w:rsidRDefault="00EA69ED" w:rsidP="00EA69ED">
      <w:pPr>
        <w:rPr>
          <w:rFonts w:ascii="Arial" w:hAnsi="Arial" w:cs="Arial"/>
          <w:bCs/>
        </w:rPr>
      </w:pPr>
      <w:r w:rsidRPr="0019489F">
        <w:rPr>
          <w:rFonts w:ascii="Arial" w:hAnsi="Arial" w:cs="Arial"/>
          <w:bCs/>
        </w:rPr>
        <w:tab/>
      </w:r>
      <w:r w:rsidRPr="0019489F">
        <w:rPr>
          <w:rFonts w:ascii="Arial" w:hAnsi="Arial" w:cs="Arial"/>
          <w:bCs/>
        </w:rPr>
        <w:tab/>
      </w:r>
      <w:r w:rsidRPr="0019489F">
        <w:rPr>
          <w:rFonts w:ascii="Arial" w:hAnsi="Arial" w:cs="Arial"/>
          <w:bCs/>
        </w:rPr>
        <w:tab/>
      </w:r>
      <w:r w:rsidRPr="0019489F">
        <w:rPr>
          <w:rFonts w:ascii="Arial" w:hAnsi="Arial" w:cs="Arial"/>
          <w:bCs/>
        </w:rPr>
        <w:tab/>
      </w:r>
      <w:r w:rsidRPr="0019489F">
        <w:rPr>
          <w:rFonts w:ascii="Arial" w:hAnsi="Arial" w:cs="Arial"/>
          <w:bCs/>
        </w:rPr>
        <w:tab/>
      </w:r>
      <w:r w:rsidRPr="0019489F">
        <w:rPr>
          <w:rFonts w:ascii="Arial" w:hAnsi="Arial" w:cs="Arial"/>
          <w:bCs/>
        </w:rPr>
        <w:tab/>
        <w:t>Durban</w:t>
      </w:r>
    </w:p>
    <w:p w:rsidR="0008441F" w:rsidRDefault="0008441F" w:rsidP="00EA69ED">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6</w:t>
      </w:r>
      <w:r>
        <w:rPr>
          <w:rFonts w:ascii="Arial" w:hAnsi="Arial" w:cs="Arial"/>
          <w:bCs/>
          <w:vertAlign w:val="superscript"/>
        </w:rPr>
        <w:t xml:space="preserve">th </w:t>
      </w:r>
      <w:r>
        <w:rPr>
          <w:rFonts w:ascii="Arial" w:hAnsi="Arial" w:cs="Arial"/>
          <w:bCs/>
        </w:rPr>
        <w:t xml:space="preserve">floor, Metropolitan Life Building </w:t>
      </w:r>
      <w:r>
        <w:rPr>
          <w:rFonts w:ascii="Arial" w:hAnsi="Arial" w:cs="Arial"/>
          <w:bCs/>
        </w:rPr>
        <w:tab/>
      </w:r>
    </w:p>
    <w:p w:rsidR="0008441F" w:rsidRDefault="0008441F" w:rsidP="00EA69ED">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391 Anton Lembede Street </w:t>
      </w:r>
    </w:p>
    <w:p w:rsidR="0008441F" w:rsidRDefault="0008441F" w:rsidP="00EA69ED">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Durban</w:t>
      </w:r>
    </w:p>
    <w:p w:rsidR="00EA69ED" w:rsidRPr="0019489F" w:rsidRDefault="00EA69ED" w:rsidP="00EA69ED">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Senior Assistant State Attorney</w:t>
      </w:r>
    </w:p>
    <w:p w:rsidR="00EA69ED" w:rsidRPr="0019489F" w:rsidRDefault="00EA69ED" w:rsidP="00EA69ED">
      <w:pPr>
        <w:rPr>
          <w:rFonts w:ascii="Arial" w:hAnsi="Arial" w:cs="Arial"/>
          <w:bCs/>
        </w:rPr>
      </w:pPr>
      <w:r w:rsidRPr="0019489F">
        <w:rPr>
          <w:rFonts w:ascii="Arial" w:hAnsi="Arial" w:cs="Arial"/>
          <w:bCs/>
        </w:rPr>
        <w:tab/>
      </w:r>
      <w:r w:rsidRPr="0019489F">
        <w:rPr>
          <w:rFonts w:ascii="Arial" w:hAnsi="Arial" w:cs="Arial"/>
          <w:bCs/>
        </w:rPr>
        <w:tab/>
      </w:r>
      <w:r w:rsidRPr="0019489F">
        <w:rPr>
          <w:rFonts w:ascii="Arial" w:hAnsi="Arial" w:cs="Arial"/>
          <w:bCs/>
        </w:rPr>
        <w:tab/>
      </w:r>
      <w:r w:rsidRPr="0019489F">
        <w:rPr>
          <w:rFonts w:ascii="Arial" w:hAnsi="Arial" w:cs="Arial"/>
          <w:bCs/>
        </w:rPr>
        <w:tab/>
      </w:r>
      <w:r w:rsidRPr="0019489F">
        <w:rPr>
          <w:rFonts w:ascii="Arial" w:hAnsi="Arial" w:cs="Arial"/>
          <w:bCs/>
        </w:rPr>
        <w:tab/>
      </w:r>
      <w:r w:rsidRPr="0019489F">
        <w:rPr>
          <w:rFonts w:ascii="Arial" w:hAnsi="Arial" w:cs="Arial"/>
          <w:bCs/>
        </w:rPr>
        <w:tab/>
        <w:t xml:space="preserve">Ms </w:t>
      </w:r>
      <w:r>
        <w:rPr>
          <w:rFonts w:ascii="Arial" w:hAnsi="Arial" w:cs="Arial"/>
          <w:bCs/>
        </w:rPr>
        <w:t>M Dlamini</w:t>
      </w:r>
    </w:p>
    <w:p w:rsidR="00EA69ED" w:rsidRPr="0019489F" w:rsidRDefault="00EA69ED" w:rsidP="00EA69ED">
      <w:pPr>
        <w:rPr>
          <w:rFonts w:ascii="Arial" w:hAnsi="Arial" w:cs="Arial"/>
          <w:bCs/>
        </w:rPr>
      </w:pPr>
      <w:r w:rsidRPr="0019489F">
        <w:rPr>
          <w:rFonts w:ascii="Arial" w:hAnsi="Arial" w:cs="Arial"/>
          <w:bCs/>
        </w:rPr>
        <w:tab/>
      </w:r>
      <w:r w:rsidRPr="0019489F">
        <w:rPr>
          <w:rFonts w:ascii="Arial" w:hAnsi="Arial" w:cs="Arial"/>
          <w:bCs/>
        </w:rPr>
        <w:tab/>
      </w:r>
      <w:r w:rsidRPr="0019489F">
        <w:rPr>
          <w:rFonts w:ascii="Arial" w:hAnsi="Arial" w:cs="Arial"/>
          <w:bCs/>
        </w:rPr>
        <w:tab/>
      </w:r>
      <w:r w:rsidRPr="0019489F">
        <w:rPr>
          <w:rFonts w:ascii="Arial" w:hAnsi="Arial" w:cs="Arial"/>
          <w:bCs/>
        </w:rPr>
        <w:tab/>
      </w:r>
      <w:r w:rsidRPr="0019489F">
        <w:rPr>
          <w:rFonts w:ascii="Arial" w:hAnsi="Arial" w:cs="Arial"/>
          <w:bCs/>
        </w:rPr>
        <w:tab/>
      </w:r>
      <w:r w:rsidRPr="0019489F">
        <w:rPr>
          <w:rFonts w:ascii="Arial" w:hAnsi="Arial" w:cs="Arial"/>
          <w:bCs/>
        </w:rPr>
        <w:tab/>
      </w:r>
      <w:r w:rsidR="00DA477F">
        <w:rPr>
          <w:rFonts w:ascii="Arial" w:hAnsi="Arial" w:cs="Arial"/>
          <w:bCs/>
        </w:rPr>
        <w:t>c</w:t>
      </w:r>
      <w:r w:rsidRPr="0019489F">
        <w:rPr>
          <w:rFonts w:ascii="Arial" w:hAnsi="Arial" w:cs="Arial"/>
          <w:bCs/>
        </w:rPr>
        <w:t xml:space="preserve">/o:  State Attorney (KZN) </w:t>
      </w:r>
      <w:r w:rsidR="0066173C" w:rsidRPr="0019489F">
        <w:rPr>
          <w:rFonts w:ascii="Arial" w:hAnsi="Arial" w:cs="Arial"/>
          <w:bCs/>
        </w:rPr>
        <w:t>Satellite</w:t>
      </w:r>
      <w:r w:rsidRPr="0019489F">
        <w:rPr>
          <w:rFonts w:ascii="Arial" w:hAnsi="Arial" w:cs="Arial"/>
          <w:bCs/>
        </w:rPr>
        <w:t xml:space="preserve"> Office </w:t>
      </w:r>
    </w:p>
    <w:p w:rsidR="00EA69ED" w:rsidRDefault="00EA69ED" w:rsidP="00EA69ED">
      <w:pPr>
        <w:rPr>
          <w:rFonts w:ascii="Arial" w:hAnsi="Arial" w:cs="Arial"/>
          <w:bCs/>
        </w:rPr>
      </w:pPr>
      <w:r w:rsidRPr="0019489F">
        <w:rPr>
          <w:rFonts w:ascii="Arial" w:hAnsi="Arial" w:cs="Arial"/>
          <w:bCs/>
        </w:rPr>
        <w:tab/>
      </w:r>
      <w:r w:rsidRPr="0019489F">
        <w:rPr>
          <w:rFonts w:ascii="Arial" w:hAnsi="Arial" w:cs="Arial"/>
          <w:bCs/>
        </w:rPr>
        <w:tab/>
      </w:r>
      <w:r w:rsidRPr="0019489F">
        <w:rPr>
          <w:rFonts w:ascii="Arial" w:hAnsi="Arial" w:cs="Arial"/>
          <w:bCs/>
        </w:rPr>
        <w:tab/>
      </w:r>
      <w:r w:rsidRPr="0019489F">
        <w:rPr>
          <w:rFonts w:ascii="Arial" w:hAnsi="Arial" w:cs="Arial"/>
          <w:bCs/>
        </w:rPr>
        <w:tab/>
      </w:r>
      <w:r w:rsidRPr="0019489F">
        <w:rPr>
          <w:rFonts w:ascii="Arial" w:hAnsi="Arial" w:cs="Arial"/>
          <w:bCs/>
        </w:rPr>
        <w:tab/>
      </w:r>
      <w:r w:rsidRPr="0019489F">
        <w:rPr>
          <w:rFonts w:ascii="Arial" w:hAnsi="Arial" w:cs="Arial"/>
          <w:bCs/>
        </w:rPr>
        <w:tab/>
        <w:t>Pietermaritzburg</w:t>
      </w:r>
    </w:p>
    <w:p w:rsidR="0008441F" w:rsidRDefault="0008441F" w:rsidP="00EA69ED">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2</w:t>
      </w:r>
      <w:r w:rsidRPr="0008441F">
        <w:rPr>
          <w:rFonts w:ascii="Arial" w:hAnsi="Arial" w:cs="Arial"/>
          <w:bCs/>
          <w:vertAlign w:val="superscript"/>
        </w:rPr>
        <w:t>nd</w:t>
      </w:r>
      <w:r>
        <w:rPr>
          <w:rFonts w:ascii="Arial" w:hAnsi="Arial" w:cs="Arial"/>
          <w:bCs/>
        </w:rPr>
        <w:t xml:space="preserve"> floor Magistrates Court Building </w:t>
      </w:r>
    </w:p>
    <w:p w:rsidR="0008441F" w:rsidRDefault="0008441F" w:rsidP="00EA69ED">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320 Church Street</w:t>
      </w:r>
    </w:p>
    <w:p w:rsidR="0008441F" w:rsidRDefault="0008441F" w:rsidP="00EA69ED">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Pietermaritzburg</w:t>
      </w:r>
    </w:p>
    <w:p w:rsidR="00EA69ED" w:rsidRPr="0019489F" w:rsidRDefault="00EA69ED" w:rsidP="00EA69ED">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Ref: 43/19246/22/K/P14</w:t>
      </w:r>
    </w:p>
    <w:p w:rsidR="00A63E39" w:rsidRPr="00EA69ED" w:rsidRDefault="00A63E39" w:rsidP="006B7081">
      <w:pPr>
        <w:pStyle w:val="ListParagraph"/>
        <w:spacing w:line="360" w:lineRule="auto"/>
        <w:jc w:val="right"/>
        <w:rPr>
          <w:rFonts w:ascii="Arial" w:hAnsi="Arial" w:cs="Arial"/>
          <w:bCs/>
        </w:rPr>
      </w:pPr>
    </w:p>
    <w:sectPr w:rsidR="00A63E39" w:rsidRPr="00EA69ED" w:rsidSect="00386BEE">
      <w:headerReference w:type="default" r:id="rId11"/>
      <w:pgSz w:w="11906" w:h="16838"/>
      <w:pgMar w:top="1440" w:right="1558" w:bottom="144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166" w:rsidRDefault="00D06166" w:rsidP="00773929">
      <w:r>
        <w:separator/>
      </w:r>
    </w:p>
  </w:endnote>
  <w:endnote w:type="continuationSeparator" w:id="0">
    <w:p w:rsidR="00D06166" w:rsidRDefault="00D06166" w:rsidP="0077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166" w:rsidRDefault="00D06166" w:rsidP="00773929">
      <w:r>
        <w:separator/>
      </w:r>
    </w:p>
  </w:footnote>
  <w:footnote w:type="continuationSeparator" w:id="0">
    <w:p w:rsidR="00D06166" w:rsidRDefault="00D06166" w:rsidP="00773929">
      <w:r>
        <w:continuationSeparator/>
      </w:r>
    </w:p>
  </w:footnote>
  <w:footnote w:id="1">
    <w:p w:rsidR="00773F2D" w:rsidRPr="006F3EE1" w:rsidRDefault="00773F2D" w:rsidP="00773F2D">
      <w:pPr>
        <w:pStyle w:val="FootnoteText"/>
        <w:rPr>
          <w:rFonts w:ascii="Arial" w:hAnsi="Arial" w:cs="Arial"/>
        </w:rPr>
      </w:pPr>
      <w:r w:rsidRPr="006F3EE1">
        <w:rPr>
          <w:rStyle w:val="FootnoteReference"/>
          <w:rFonts w:ascii="Arial" w:hAnsi="Arial" w:cs="Arial"/>
        </w:rPr>
        <w:footnoteRef/>
      </w:r>
      <w:r w:rsidRPr="006F3EE1">
        <w:rPr>
          <w:rFonts w:ascii="Arial" w:hAnsi="Arial" w:cs="Arial"/>
        </w:rPr>
        <w:t xml:space="preserve"> </w:t>
      </w:r>
      <w:r w:rsidR="007F6A54">
        <w:rPr>
          <w:rFonts w:ascii="Arial" w:hAnsi="Arial" w:cs="Arial"/>
        </w:rPr>
        <w:t xml:space="preserve"> </w:t>
      </w:r>
      <w:r w:rsidRPr="006F3EE1">
        <w:rPr>
          <w:rFonts w:ascii="Arial" w:hAnsi="Arial" w:cs="Arial"/>
        </w:rPr>
        <w:t>Section</w:t>
      </w:r>
      <w:r>
        <w:rPr>
          <w:rFonts w:ascii="Arial" w:hAnsi="Arial" w:cs="Arial"/>
        </w:rPr>
        <w:t>s</w:t>
      </w:r>
      <w:r w:rsidRPr="006F3EE1">
        <w:rPr>
          <w:rFonts w:ascii="Arial" w:hAnsi="Arial" w:cs="Arial"/>
        </w:rPr>
        <w:t xml:space="preserve"> 9</w:t>
      </w:r>
      <w:r>
        <w:rPr>
          <w:rFonts w:ascii="Arial" w:hAnsi="Arial" w:cs="Arial"/>
        </w:rPr>
        <w:t xml:space="preserve">(a) and </w:t>
      </w:r>
      <w:r w:rsidRPr="006F3EE1">
        <w:rPr>
          <w:rFonts w:ascii="Arial" w:hAnsi="Arial" w:cs="Arial"/>
        </w:rPr>
        <w:t>(b)</w:t>
      </w:r>
      <w:r>
        <w:rPr>
          <w:rFonts w:ascii="Arial" w:hAnsi="Arial" w:cs="Arial"/>
        </w:rPr>
        <w:t xml:space="preserve"> of PAIA</w:t>
      </w:r>
      <w:r w:rsidR="007F6A54">
        <w:rPr>
          <w:rFonts w:ascii="Arial" w:hAnsi="Arial" w:cs="Arial"/>
        </w:rPr>
        <w:t>.</w:t>
      </w:r>
    </w:p>
  </w:footnote>
  <w:footnote w:id="2">
    <w:p w:rsidR="00E80928" w:rsidRPr="008A5AA8" w:rsidRDefault="00E80928" w:rsidP="00E80928">
      <w:pPr>
        <w:pStyle w:val="FootnoteText"/>
        <w:rPr>
          <w:rFonts w:ascii="Arial" w:hAnsi="Arial" w:cs="Arial"/>
        </w:rPr>
      </w:pPr>
      <w:r w:rsidRPr="008A5AA8">
        <w:rPr>
          <w:rStyle w:val="FootnoteReference"/>
          <w:rFonts w:ascii="Arial" w:hAnsi="Arial" w:cs="Arial"/>
        </w:rPr>
        <w:footnoteRef/>
      </w:r>
      <w:r w:rsidRPr="008A5AA8">
        <w:rPr>
          <w:rFonts w:ascii="Arial" w:hAnsi="Arial" w:cs="Arial"/>
        </w:rPr>
        <w:t xml:space="preserve"> </w:t>
      </w:r>
      <w:r>
        <w:rPr>
          <w:rFonts w:ascii="Arial" w:hAnsi="Arial" w:cs="Arial"/>
        </w:rPr>
        <w:t xml:space="preserve"> </w:t>
      </w:r>
      <w:r w:rsidRPr="008A5AA8">
        <w:rPr>
          <w:rFonts w:ascii="Arial" w:hAnsi="Arial" w:cs="Arial"/>
        </w:rPr>
        <w:t>Section 11 of PAIA</w:t>
      </w:r>
      <w:r>
        <w:rPr>
          <w:rFonts w:ascii="Arial" w:hAnsi="Arial" w:cs="Arial"/>
        </w:rPr>
        <w:t>.</w:t>
      </w:r>
    </w:p>
  </w:footnote>
  <w:footnote w:id="3">
    <w:p w:rsidR="008732F9" w:rsidRPr="00F82017" w:rsidRDefault="008732F9" w:rsidP="001330EF">
      <w:pPr>
        <w:pStyle w:val="NoSpacing"/>
        <w:rPr>
          <w:rFonts w:ascii="Arial" w:hAnsi="Arial" w:cs="Arial"/>
          <w:color w:val="000000" w:themeColor="text1"/>
          <w:sz w:val="20"/>
          <w:szCs w:val="20"/>
          <w:highlight w:val="yellow"/>
        </w:rPr>
      </w:pPr>
      <w:r w:rsidRPr="008732F9">
        <w:rPr>
          <w:rStyle w:val="FootnoteReference"/>
          <w:rFonts w:ascii="Arial" w:hAnsi="Arial" w:cs="Arial"/>
          <w:color w:val="000000" w:themeColor="text1"/>
          <w:sz w:val="20"/>
          <w:szCs w:val="20"/>
        </w:rPr>
        <w:footnoteRef/>
      </w:r>
      <w:r w:rsidRPr="008732F9">
        <w:rPr>
          <w:rFonts w:ascii="Arial" w:hAnsi="Arial" w:cs="Arial"/>
          <w:color w:val="000000" w:themeColor="text1"/>
          <w:sz w:val="20"/>
          <w:szCs w:val="20"/>
        </w:rPr>
        <w:t xml:space="preserve"> </w:t>
      </w:r>
      <w:r w:rsidR="007F6A54">
        <w:rPr>
          <w:rFonts w:ascii="Arial" w:hAnsi="Arial" w:cs="Arial"/>
          <w:color w:val="000000" w:themeColor="text1"/>
          <w:sz w:val="20"/>
          <w:szCs w:val="20"/>
        </w:rPr>
        <w:t xml:space="preserve"> </w:t>
      </w:r>
      <w:r w:rsidRPr="008732F9">
        <w:rPr>
          <w:rFonts w:ascii="Arial" w:hAnsi="Arial" w:cs="Arial"/>
          <w:i/>
          <w:iCs/>
          <w:color w:val="000000" w:themeColor="text1"/>
          <w:sz w:val="20"/>
          <w:szCs w:val="20"/>
        </w:rPr>
        <w:t xml:space="preserve">Transnet Ltd and Another v SA Metal Machinery Co (Pty) </w:t>
      </w:r>
      <w:r w:rsidRPr="00F82017">
        <w:rPr>
          <w:rFonts w:ascii="Arial" w:hAnsi="Arial" w:cs="Arial"/>
          <w:i/>
          <w:iCs/>
          <w:color w:val="000000" w:themeColor="text1"/>
          <w:sz w:val="20"/>
          <w:szCs w:val="20"/>
        </w:rPr>
        <w:t>Ltd</w:t>
      </w:r>
      <w:r w:rsidR="00F82017">
        <w:rPr>
          <w:rStyle w:val="apple-converted-space"/>
          <w:rFonts w:ascii="Arial" w:hAnsi="Arial" w:cs="Arial"/>
          <w:i/>
          <w:iCs/>
          <w:color w:val="000000" w:themeColor="text1"/>
          <w:sz w:val="20"/>
          <w:szCs w:val="20"/>
        </w:rPr>
        <w:t xml:space="preserve"> </w:t>
      </w:r>
      <w:r w:rsidRPr="00F82017">
        <w:rPr>
          <w:rStyle w:val="apple-converted-space"/>
          <w:rFonts w:ascii="Arial" w:hAnsi="Arial" w:cs="Arial"/>
          <w:i/>
          <w:iCs/>
          <w:color w:val="000000" w:themeColor="text1"/>
          <w:sz w:val="20"/>
          <w:szCs w:val="20"/>
        </w:rPr>
        <w:t> </w:t>
      </w:r>
      <w:hyperlink r:id="rId1" w:tooltip="View LawCiteRecord" w:history="1">
        <w:r w:rsidRPr="00F82017">
          <w:rPr>
            <w:rStyle w:val="Hyperlink"/>
            <w:rFonts w:ascii="Arial" w:hAnsi="Arial" w:cs="Arial"/>
            <w:color w:val="000000" w:themeColor="text1"/>
            <w:sz w:val="20"/>
            <w:szCs w:val="20"/>
            <w:u w:val="none"/>
          </w:rPr>
          <w:t>2006 (6) SA 285</w:t>
        </w:r>
      </w:hyperlink>
      <w:r w:rsidRPr="00F82017">
        <w:rPr>
          <w:rStyle w:val="apple-converted-space"/>
          <w:rFonts w:ascii="Arial" w:hAnsi="Arial" w:cs="Arial"/>
          <w:i/>
          <w:iCs/>
          <w:color w:val="000000" w:themeColor="text1"/>
          <w:sz w:val="20"/>
          <w:szCs w:val="20"/>
        </w:rPr>
        <w:t> </w:t>
      </w:r>
      <w:r w:rsidRPr="00F82017">
        <w:rPr>
          <w:rFonts w:ascii="Arial" w:hAnsi="Arial" w:cs="Arial"/>
          <w:color w:val="000000" w:themeColor="text1"/>
          <w:sz w:val="20"/>
          <w:szCs w:val="20"/>
        </w:rPr>
        <w:t>(SCA</w:t>
      </w:r>
      <w:r w:rsidRPr="00F82017">
        <w:rPr>
          <w:rFonts w:ascii="Arial" w:hAnsi="Arial" w:cs="Arial"/>
          <w:i/>
          <w:iCs/>
          <w:color w:val="000000" w:themeColor="text1"/>
          <w:sz w:val="20"/>
          <w:szCs w:val="20"/>
        </w:rPr>
        <w:t>)</w:t>
      </w:r>
      <w:r w:rsidRPr="00F82017">
        <w:rPr>
          <w:rFonts w:ascii="Arial" w:hAnsi="Arial" w:cs="Arial"/>
          <w:color w:val="000000" w:themeColor="text1"/>
          <w:sz w:val="20"/>
          <w:szCs w:val="20"/>
        </w:rPr>
        <w:t xml:space="preserve">  para</w:t>
      </w:r>
      <w:r w:rsidRPr="008732F9">
        <w:rPr>
          <w:rFonts w:ascii="Arial" w:hAnsi="Arial" w:cs="Arial"/>
          <w:color w:val="000000" w:themeColor="text1"/>
          <w:sz w:val="20"/>
          <w:szCs w:val="20"/>
        </w:rPr>
        <w:t xml:space="preserve"> 58</w:t>
      </w:r>
      <w:r w:rsidR="007F6A54">
        <w:rPr>
          <w:rFonts w:ascii="Arial" w:hAnsi="Arial" w:cs="Arial"/>
          <w:color w:val="000000" w:themeColor="text1"/>
          <w:sz w:val="20"/>
          <w:szCs w:val="20"/>
        </w:rPr>
        <w:t>.</w:t>
      </w:r>
    </w:p>
  </w:footnote>
  <w:footnote w:id="4">
    <w:p w:rsidR="00E60BC7" w:rsidRPr="00B633B7" w:rsidRDefault="00E60BC7" w:rsidP="001330EF">
      <w:pPr>
        <w:pStyle w:val="NoSpacing"/>
        <w:ind w:left="142" w:hanging="142"/>
        <w:rPr>
          <w:rFonts w:ascii="Arial" w:hAnsi="Arial" w:cs="Arial"/>
          <w:sz w:val="20"/>
          <w:szCs w:val="20"/>
        </w:rPr>
      </w:pPr>
      <w:r w:rsidRPr="00B633B7">
        <w:rPr>
          <w:rStyle w:val="FootnoteReference"/>
          <w:rFonts w:ascii="Arial" w:hAnsi="Arial" w:cs="Arial"/>
          <w:sz w:val="20"/>
          <w:szCs w:val="20"/>
        </w:rPr>
        <w:footnoteRef/>
      </w:r>
      <w:r w:rsidRPr="00B633B7">
        <w:rPr>
          <w:rFonts w:ascii="Arial" w:hAnsi="Arial" w:cs="Arial"/>
          <w:sz w:val="20"/>
          <w:szCs w:val="20"/>
        </w:rPr>
        <w:t xml:space="preserve"> </w:t>
      </w:r>
      <w:r w:rsidR="007F6A54">
        <w:rPr>
          <w:rFonts w:ascii="Arial" w:hAnsi="Arial" w:cs="Arial"/>
          <w:sz w:val="20"/>
          <w:szCs w:val="20"/>
        </w:rPr>
        <w:t xml:space="preserve"> </w:t>
      </w:r>
      <w:r w:rsidRPr="00B633B7">
        <w:rPr>
          <w:rFonts w:ascii="Arial" w:hAnsi="Arial" w:cs="Arial"/>
          <w:sz w:val="20"/>
          <w:szCs w:val="20"/>
        </w:rPr>
        <w:t>Section 81(1) of PAIA</w:t>
      </w:r>
      <w:r w:rsidR="007F6A54">
        <w:rPr>
          <w:rFonts w:ascii="Arial" w:hAnsi="Arial" w:cs="Arial"/>
          <w:sz w:val="20"/>
          <w:szCs w:val="20"/>
        </w:rPr>
        <w:t>.</w:t>
      </w:r>
    </w:p>
  </w:footnote>
  <w:footnote w:id="5">
    <w:p w:rsidR="00E60BC7" w:rsidRPr="005D7D1C" w:rsidRDefault="00E60BC7" w:rsidP="001330EF">
      <w:pPr>
        <w:pStyle w:val="NoSpacing"/>
        <w:ind w:left="142" w:hanging="142"/>
        <w:rPr>
          <w:rFonts w:ascii="Arial" w:hAnsi="Arial" w:cs="Arial"/>
        </w:rPr>
      </w:pPr>
      <w:r w:rsidRPr="00B633B7">
        <w:rPr>
          <w:rStyle w:val="FootnoteReference"/>
          <w:rFonts w:ascii="Arial" w:hAnsi="Arial" w:cs="Arial"/>
          <w:sz w:val="20"/>
          <w:szCs w:val="20"/>
        </w:rPr>
        <w:footnoteRef/>
      </w:r>
      <w:r w:rsidRPr="00B633B7">
        <w:rPr>
          <w:rFonts w:ascii="Arial" w:hAnsi="Arial" w:cs="Arial"/>
          <w:sz w:val="20"/>
          <w:szCs w:val="20"/>
        </w:rPr>
        <w:t xml:space="preserve"> </w:t>
      </w:r>
      <w:r w:rsidR="007F6A54">
        <w:rPr>
          <w:rFonts w:ascii="Arial" w:hAnsi="Arial" w:cs="Arial"/>
          <w:sz w:val="20"/>
          <w:szCs w:val="20"/>
        </w:rPr>
        <w:t xml:space="preserve"> </w:t>
      </w:r>
      <w:r w:rsidRPr="00B633B7">
        <w:rPr>
          <w:rFonts w:ascii="Arial" w:hAnsi="Arial" w:cs="Arial"/>
          <w:i/>
          <w:iCs/>
          <w:color w:val="000000"/>
          <w:sz w:val="20"/>
          <w:szCs w:val="20"/>
          <w:shd w:val="clear" w:color="auto" w:fill="FFFFFF"/>
        </w:rPr>
        <w:t>President of the RSA and Others v M &amp; G Media Ltd</w:t>
      </w:r>
      <w:r w:rsidRPr="00B633B7">
        <w:rPr>
          <w:rFonts w:ascii="Arial" w:hAnsi="Arial" w:cs="Arial"/>
          <w:b/>
          <w:bCs/>
          <w:color w:val="000000"/>
          <w:sz w:val="20"/>
          <w:szCs w:val="20"/>
        </w:rPr>
        <w:t xml:space="preserve"> </w:t>
      </w:r>
      <w:r w:rsidRPr="00B633B7">
        <w:rPr>
          <w:rFonts w:ascii="Arial" w:hAnsi="Arial" w:cs="Arial"/>
          <w:color w:val="000000"/>
          <w:sz w:val="20"/>
          <w:szCs w:val="20"/>
          <w:shd w:val="clear" w:color="auto" w:fill="FFFFFF"/>
        </w:rPr>
        <w:t>2012 (2) BCLR 181 (CC)</w:t>
      </w:r>
      <w:r w:rsidR="0027352F" w:rsidRPr="00B633B7">
        <w:rPr>
          <w:rFonts w:ascii="Arial" w:hAnsi="Arial" w:cs="Arial"/>
          <w:color w:val="000000"/>
          <w:sz w:val="20"/>
          <w:szCs w:val="20"/>
          <w:shd w:val="clear" w:color="auto" w:fill="FFFFFF"/>
        </w:rPr>
        <w:t xml:space="preserve"> </w:t>
      </w:r>
      <w:r w:rsidRPr="00B633B7">
        <w:rPr>
          <w:rFonts w:ascii="Arial" w:hAnsi="Arial" w:cs="Arial"/>
          <w:color w:val="000000"/>
          <w:sz w:val="20"/>
          <w:szCs w:val="20"/>
          <w:shd w:val="clear" w:color="auto" w:fill="FFFFFF"/>
        </w:rPr>
        <w:t>para 14</w:t>
      </w:r>
      <w:r w:rsidR="007F6A54">
        <w:rPr>
          <w:rFonts w:ascii="Arial" w:hAnsi="Arial" w:cs="Arial"/>
          <w:color w:val="000000"/>
          <w:sz w:val="20"/>
          <w:szCs w:val="20"/>
          <w:shd w:val="clear" w:color="auto" w:fill="FFFFFF"/>
        </w:rPr>
        <w:t>.</w:t>
      </w:r>
      <w:r w:rsidRPr="005D7D1C">
        <w:rPr>
          <w:rFonts w:ascii="Arial" w:hAnsi="Arial" w:cs="Arial"/>
          <w:i/>
          <w:iCs/>
          <w:color w:val="000000"/>
        </w:rPr>
        <w:t xml:space="preserve"> </w:t>
      </w:r>
    </w:p>
  </w:footnote>
  <w:footnote w:id="6">
    <w:p w:rsidR="004E6C68" w:rsidRPr="001330EF" w:rsidRDefault="004E6C68" w:rsidP="001330EF">
      <w:pPr>
        <w:pStyle w:val="NoSpacing"/>
        <w:ind w:left="284" w:hanging="284"/>
        <w:rPr>
          <w:rFonts w:ascii="Arial" w:hAnsi="Arial" w:cs="Arial"/>
          <w:sz w:val="20"/>
          <w:szCs w:val="20"/>
          <w:lang w:val="en-GB"/>
        </w:rPr>
      </w:pPr>
      <w:r w:rsidRPr="001330EF">
        <w:rPr>
          <w:rStyle w:val="FootnoteReference"/>
          <w:rFonts w:ascii="Arial" w:hAnsi="Arial" w:cs="Arial"/>
          <w:sz w:val="20"/>
          <w:szCs w:val="20"/>
        </w:rPr>
        <w:footnoteRef/>
      </w:r>
      <w:r w:rsidRPr="001330EF">
        <w:rPr>
          <w:rFonts w:ascii="Arial" w:hAnsi="Arial" w:cs="Arial"/>
          <w:sz w:val="20"/>
          <w:szCs w:val="20"/>
        </w:rPr>
        <w:t xml:space="preserve"> </w:t>
      </w:r>
      <w:r w:rsidR="001330EF">
        <w:rPr>
          <w:rFonts w:ascii="Arial" w:hAnsi="Arial" w:cs="Arial"/>
          <w:sz w:val="20"/>
          <w:szCs w:val="20"/>
        </w:rPr>
        <w:tab/>
      </w:r>
      <w:r w:rsidRPr="001330EF">
        <w:rPr>
          <w:rFonts w:ascii="Arial" w:hAnsi="Arial" w:cs="Arial"/>
          <w:i/>
          <w:iCs/>
          <w:sz w:val="20"/>
          <w:szCs w:val="20"/>
          <w:lang w:val="en-GB"/>
        </w:rPr>
        <w:t>Van der Merwe v National Lotteries Board</w:t>
      </w:r>
      <w:r w:rsidRPr="001330EF">
        <w:rPr>
          <w:rFonts w:ascii="Arial" w:hAnsi="Arial" w:cs="Arial"/>
          <w:sz w:val="20"/>
          <w:szCs w:val="20"/>
          <w:lang w:val="en-GB"/>
        </w:rPr>
        <w:t xml:space="preserve"> 2014 JDR 0844 (GP); </w:t>
      </w:r>
      <w:r w:rsidRPr="001330EF">
        <w:rPr>
          <w:rFonts w:ascii="Arial" w:hAnsi="Arial" w:cs="Arial"/>
          <w:color w:val="000000" w:themeColor="text1"/>
          <w:sz w:val="20"/>
          <w:szCs w:val="20"/>
        </w:rPr>
        <w:t>(38293/2012) [2014] ZAGPPHC 240 (11 April 2014)</w:t>
      </w:r>
      <w:r w:rsidRPr="001330EF">
        <w:rPr>
          <w:rFonts w:ascii="Arial" w:hAnsi="Arial" w:cs="Arial"/>
          <w:sz w:val="20"/>
          <w:szCs w:val="20"/>
          <w:lang w:val="en-GB"/>
        </w:rPr>
        <w:t xml:space="preserve"> para 21</w:t>
      </w:r>
      <w:r w:rsidR="007F6A54">
        <w:rPr>
          <w:rFonts w:ascii="Arial" w:hAnsi="Arial" w:cs="Arial"/>
          <w:sz w:val="20"/>
          <w:szCs w:val="20"/>
          <w:lang w:val="en-GB"/>
        </w:rPr>
        <w:t>.</w:t>
      </w:r>
    </w:p>
  </w:footnote>
  <w:footnote w:id="7">
    <w:p w:rsidR="001903A4" w:rsidRPr="001330EF" w:rsidRDefault="001903A4" w:rsidP="001903A4">
      <w:pPr>
        <w:pStyle w:val="NoSpacing"/>
        <w:ind w:left="284" w:hanging="284"/>
        <w:rPr>
          <w:rFonts w:ascii="Arial" w:hAnsi="Arial" w:cs="Arial"/>
          <w:sz w:val="20"/>
          <w:szCs w:val="20"/>
          <w:lang w:val="en-GB"/>
        </w:rPr>
      </w:pPr>
      <w:r w:rsidRPr="001330EF">
        <w:rPr>
          <w:rStyle w:val="FootnoteReference"/>
          <w:rFonts w:ascii="Arial" w:hAnsi="Arial" w:cs="Arial"/>
          <w:color w:val="000000" w:themeColor="text1"/>
          <w:sz w:val="20"/>
          <w:szCs w:val="20"/>
        </w:rPr>
        <w:footnoteRef/>
      </w:r>
      <w:r w:rsidRPr="001330EF">
        <w:rPr>
          <w:rFonts w:ascii="Arial" w:hAnsi="Arial" w:cs="Arial"/>
          <w:color w:val="000000" w:themeColor="text1"/>
          <w:sz w:val="20"/>
          <w:szCs w:val="20"/>
        </w:rPr>
        <w:t xml:space="preserve"> </w:t>
      </w:r>
      <w:r>
        <w:rPr>
          <w:rFonts w:ascii="Arial" w:hAnsi="Arial" w:cs="Arial"/>
          <w:color w:val="000000" w:themeColor="text1"/>
          <w:sz w:val="20"/>
          <w:szCs w:val="20"/>
        </w:rPr>
        <w:tab/>
      </w:r>
      <w:r w:rsidRPr="001330EF">
        <w:rPr>
          <w:rFonts w:ascii="Arial" w:hAnsi="Arial" w:cs="Arial"/>
          <w:i/>
          <w:iCs/>
          <w:color w:val="000000" w:themeColor="text1"/>
          <w:sz w:val="20"/>
          <w:szCs w:val="20"/>
        </w:rPr>
        <w:t>AVUSA Publishing Eastern Cape (Pty) Ltd v Qoboshiyane NO and Others</w:t>
      </w:r>
      <w:r w:rsidRPr="001330EF">
        <w:rPr>
          <w:rFonts w:ascii="Arial" w:hAnsi="Arial" w:cs="Arial"/>
          <w:color w:val="000000" w:themeColor="text1"/>
          <w:sz w:val="20"/>
          <w:szCs w:val="20"/>
        </w:rPr>
        <w:t xml:space="preserve"> 2012 (1) SA 158 (ECP) para 17.</w:t>
      </w:r>
    </w:p>
  </w:footnote>
  <w:footnote w:id="8">
    <w:p w:rsidR="002E5CF0" w:rsidRPr="009D67AF" w:rsidRDefault="002E5CF0" w:rsidP="001330EF">
      <w:pPr>
        <w:pStyle w:val="FootnoteText"/>
        <w:ind w:left="284" w:hanging="284"/>
        <w:rPr>
          <w:rFonts w:ascii="Arial" w:hAnsi="Arial" w:cs="Arial"/>
        </w:rPr>
      </w:pPr>
      <w:r w:rsidRPr="009D67AF">
        <w:rPr>
          <w:rStyle w:val="FootnoteReference"/>
          <w:rFonts w:ascii="Arial" w:hAnsi="Arial" w:cs="Arial"/>
        </w:rPr>
        <w:footnoteRef/>
      </w:r>
      <w:r w:rsidRPr="009D67AF">
        <w:rPr>
          <w:rFonts w:ascii="Arial" w:hAnsi="Arial" w:cs="Arial"/>
        </w:rPr>
        <w:t xml:space="preserve"> </w:t>
      </w:r>
      <w:r w:rsidR="007F6A54">
        <w:rPr>
          <w:rFonts w:ascii="Arial" w:hAnsi="Arial" w:cs="Arial"/>
        </w:rPr>
        <w:t xml:space="preserve"> </w:t>
      </w:r>
      <w:r w:rsidR="007667CD">
        <w:rPr>
          <w:rFonts w:ascii="Arial" w:hAnsi="Arial" w:cs="Arial"/>
        </w:rPr>
        <w:t xml:space="preserve">  </w:t>
      </w:r>
      <w:r w:rsidRPr="009D67AF">
        <w:rPr>
          <w:rFonts w:ascii="Arial" w:hAnsi="Arial" w:cs="Arial"/>
          <w:i/>
          <w:iCs/>
        </w:rPr>
        <w:t>M</w:t>
      </w:r>
      <w:r w:rsidR="00C03E83" w:rsidRPr="009D67AF">
        <w:rPr>
          <w:rFonts w:ascii="Arial" w:hAnsi="Arial" w:cs="Arial"/>
          <w:i/>
          <w:iCs/>
        </w:rPr>
        <w:t xml:space="preserve">ail </w:t>
      </w:r>
      <w:r w:rsidRPr="009D67AF">
        <w:rPr>
          <w:rFonts w:ascii="Arial" w:hAnsi="Arial" w:cs="Arial"/>
          <w:i/>
          <w:iCs/>
        </w:rPr>
        <w:t>&amp;</w:t>
      </w:r>
      <w:r w:rsidR="007F6A54">
        <w:rPr>
          <w:rFonts w:ascii="Arial" w:hAnsi="Arial" w:cs="Arial"/>
          <w:i/>
          <w:iCs/>
        </w:rPr>
        <w:t xml:space="preserve"> </w:t>
      </w:r>
      <w:r w:rsidRPr="009D67AF">
        <w:rPr>
          <w:rFonts w:ascii="Arial" w:hAnsi="Arial" w:cs="Arial"/>
          <w:i/>
          <w:iCs/>
        </w:rPr>
        <w:t>G</w:t>
      </w:r>
      <w:r w:rsidR="00C03E83" w:rsidRPr="009D67AF">
        <w:rPr>
          <w:rFonts w:ascii="Arial" w:hAnsi="Arial" w:cs="Arial"/>
          <w:i/>
          <w:iCs/>
        </w:rPr>
        <w:t>uardian</w:t>
      </w:r>
      <w:r w:rsidRPr="009D67AF">
        <w:rPr>
          <w:rFonts w:ascii="Arial" w:hAnsi="Arial" w:cs="Arial"/>
          <w:i/>
          <w:iCs/>
        </w:rPr>
        <w:t xml:space="preserve"> </w:t>
      </w:r>
      <w:r w:rsidR="009343FE" w:rsidRPr="009D67AF">
        <w:rPr>
          <w:rFonts w:ascii="Arial" w:hAnsi="Arial" w:cs="Arial"/>
          <w:i/>
          <w:iCs/>
        </w:rPr>
        <w:t xml:space="preserve">CC </w:t>
      </w:r>
      <w:r w:rsidR="009343FE" w:rsidRPr="009D67AF">
        <w:rPr>
          <w:rFonts w:ascii="Arial" w:hAnsi="Arial" w:cs="Arial"/>
        </w:rPr>
        <w:t>paras 24 – 25</w:t>
      </w:r>
      <w:r w:rsidR="007F6A54">
        <w:rPr>
          <w:rFonts w:ascii="Arial" w:hAnsi="Arial" w:cs="Arial"/>
        </w:rPr>
        <w:t>.</w:t>
      </w:r>
      <w:r w:rsidR="009343FE" w:rsidRPr="009D67AF">
        <w:rPr>
          <w:rFonts w:ascii="Arial" w:hAnsi="Arial" w:cs="Arial"/>
        </w:rPr>
        <w:t xml:space="preserve"> </w:t>
      </w:r>
    </w:p>
  </w:footnote>
  <w:footnote w:id="9">
    <w:p w:rsidR="002E5CF0" w:rsidRPr="009D67AF" w:rsidRDefault="002E5CF0" w:rsidP="006B7081">
      <w:pPr>
        <w:pStyle w:val="FootnoteText"/>
        <w:ind w:left="284" w:hanging="284"/>
        <w:rPr>
          <w:rFonts w:ascii="Arial" w:hAnsi="Arial" w:cs="Arial"/>
        </w:rPr>
      </w:pPr>
      <w:r w:rsidRPr="009D67AF">
        <w:rPr>
          <w:rStyle w:val="FootnoteReference"/>
          <w:rFonts w:ascii="Arial" w:hAnsi="Arial" w:cs="Arial"/>
        </w:rPr>
        <w:footnoteRef/>
      </w:r>
      <w:r w:rsidRPr="009D67AF">
        <w:rPr>
          <w:rFonts w:ascii="Arial" w:hAnsi="Arial" w:cs="Arial"/>
        </w:rPr>
        <w:t xml:space="preserve"> </w:t>
      </w:r>
      <w:r w:rsidR="006B7081">
        <w:rPr>
          <w:rFonts w:ascii="Arial" w:hAnsi="Arial" w:cs="Arial"/>
        </w:rPr>
        <w:t xml:space="preserve"> </w:t>
      </w:r>
      <w:r w:rsidR="007667CD">
        <w:rPr>
          <w:rFonts w:ascii="Arial" w:hAnsi="Arial" w:cs="Arial"/>
        </w:rPr>
        <w:t xml:space="preserve">  </w:t>
      </w:r>
      <w:r w:rsidRPr="009D67AF">
        <w:rPr>
          <w:rFonts w:ascii="Arial" w:hAnsi="Arial" w:cs="Arial"/>
        </w:rPr>
        <w:t xml:space="preserve">Which claims would </w:t>
      </w:r>
      <w:r w:rsidR="007C46D5" w:rsidRPr="009D67AF">
        <w:rPr>
          <w:rFonts w:ascii="Arial" w:hAnsi="Arial" w:cs="Arial"/>
        </w:rPr>
        <w:t xml:space="preserve">permit </w:t>
      </w:r>
      <w:r w:rsidRPr="009D67AF">
        <w:rPr>
          <w:rFonts w:ascii="Arial" w:hAnsi="Arial" w:cs="Arial"/>
        </w:rPr>
        <w:t xml:space="preserve">the court to utilise the </w:t>
      </w:r>
      <w:r w:rsidR="00C03E83" w:rsidRPr="009D67AF">
        <w:rPr>
          <w:rFonts w:ascii="Arial" w:hAnsi="Arial" w:cs="Arial"/>
        </w:rPr>
        <w:t>‘</w:t>
      </w:r>
      <w:r w:rsidRPr="009D67AF">
        <w:rPr>
          <w:rFonts w:ascii="Arial" w:hAnsi="Arial" w:cs="Arial"/>
        </w:rPr>
        <w:t>judicial peek provisions</w:t>
      </w:r>
      <w:r w:rsidR="00C03E83" w:rsidRPr="009D67AF">
        <w:rPr>
          <w:rFonts w:ascii="Arial" w:hAnsi="Arial" w:cs="Arial"/>
        </w:rPr>
        <w:t>’</w:t>
      </w:r>
      <w:r w:rsidRPr="009D67AF">
        <w:rPr>
          <w:rFonts w:ascii="Arial" w:hAnsi="Arial" w:cs="Arial"/>
        </w:rPr>
        <w:t xml:space="preserve"> in section 80:</w:t>
      </w:r>
      <w:r w:rsidR="00C03E83" w:rsidRPr="009D67AF">
        <w:rPr>
          <w:rFonts w:ascii="Arial" w:hAnsi="Arial" w:cs="Arial"/>
        </w:rPr>
        <w:t xml:space="preserve"> of PAIA, </w:t>
      </w:r>
      <w:r w:rsidR="006B7081">
        <w:rPr>
          <w:rFonts w:ascii="Arial" w:hAnsi="Arial" w:cs="Arial"/>
        </w:rPr>
        <w:t xml:space="preserve">  </w:t>
      </w:r>
      <w:r w:rsidR="009D67AF">
        <w:rPr>
          <w:rFonts w:ascii="Arial" w:hAnsi="Arial" w:cs="Arial"/>
        </w:rPr>
        <w:t>see</w:t>
      </w:r>
      <w:r w:rsidRPr="009D67AF">
        <w:rPr>
          <w:rFonts w:ascii="Arial" w:hAnsi="Arial" w:cs="Arial"/>
        </w:rPr>
        <w:t xml:space="preserve"> </w:t>
      </w:r>
      <w:r w:rsidRPr="009D67AF">
        <w:rPr>
          <w:rFonts w:ascii="Arial" w:hAnsi="Arial" w:cs="Arial"/>
          <w:i/>
          <w:iCs/>
        </w:rPr>
        <w:t>M</w:t>
      </w:r>
      <w:r w:rsidR="00C03E83" w:rsidRPr="009D67AF">
        <w:rPr>
          <w:rFonts w:ascii="Arial" w:hAnsi="Arial" w:cs="Arial"/>
          <w:i/>
          <w:iCs/>
        </w:rPr>
        <w:t>ail</w:t>
      </w:r>
      <w:r w:rsidR="007F6A54">
        <w:rPr>
          <w:rFonts w:ascii="Arial" w:hAnsi="Arial" w:cs="Arial"/>
          <w:i/>
          <w:iCs/>
        </w:rPr>
        <w:t xml:space="preserve"> </w:t>
      </w:r>
      <w:r w:rsidRPr="009D67AF">
        <w:rPr>
          <w:rFonts w:ascii="Arial" w:hAnsi="Arial" w:cs="Arial"/>
          <w:i/>
          <w:iCs/>
        </w:rPr>
        <w:t>&amp;</w:t>
      </w:r>
      <w:r w:rsidR="007F6A54">
        <w:rPr>
          <w:rFonts w:ascii="Arial" w:hAnsi="Arial" w:cs="Arial"/>
          <w:i/>
          <w:iCs/>
        </w:rPr>
        <w:t xml:space="preserve"> </w:t>
      </w:r>
      <w:r w:rsidRPr="009D67AF">
        <w:rPr>
          <w:rFonts w:ascii="Arial" w:hAnsi="Arial" w:cs="Arial"/>
          <w:i/>
          <w:iCs/>
        </w:rPr>
        <w:t>G</w:t>
      </w:r>
      <w:r w:rsidR="00C03E83" w:rsidRPr="009D67AF">
        <w:rPr>
          <w:rFonts w:ascii="Arial" w:hAnsi="Arial" w:cs="Arial"/>
          <w:i/>
          <w:iCs/>
        </w:rPr>
        <w:t>uardian</w:t>
      </w:r>
      <w:r w:rsidRPr="009D67AF">
        <w:rPr>
          <w:rFonts w:ascii="Arial" w:hAnsi="Arial" w:cs="Arial"/>
          <w:i/>
          <w:iCs/>
        </w:rPr>
        <w:t xml:space="preserve"> CC </w:t>
      </w:r>
      <w:r w:rsidRPr="009D67AF">
        <w:rPr>
          <w:rFonts w:ascii="Arial" w:hAnsi="Arial" w:cs="Arial"/>
        </w:rPr>
        <w:t>para</w:t>
      </w:r>
      <w:r w:rsidR="00C03E83" w:rsidRPr="009D67AF">
        <w:rPr>
          <w:rFonts w:ascii="Arial" w:hAnsi="Arial" w:cs="Arial"/>
        </w:rPr>
        <w:t>s 33 and 113</w:t>
      </w:r>
      <w:r w:rsidR="007F6A54">
        <w:rPr>
          <w:rFonts w:ascii="Arial" w:hAnsi="Arial" w:cs="Arial"/>
        </w:rPr>
        <w:t>.</w:t>
      </w:r>
      <w:r w:rsidRPr="009D67AF">
        <w:rPr>
          <w:rFonts w:ascii="Arial" w:hAnsi="Arial" w:cs="Arial"/>
        </w:rPr>
        <w:t xml:space="preserve"> </w:t>
      </w:r>
    </w:p>
  </w:footnote>
  <w:footnote w:id="10">
    <w:p w:rsidR="002E5CF0" w:rsidRPr="009D67AF" w:rsidRDefault="002E5CF0" w:rsidP="006B7081">
      <w:pPr>
        <w:pStyle w:val="FootnoteText"/>
        <w:ind w:left="142" w:hanging="142"/>
        <w:rPr>
          <w:rFonts w:ascii="Arial" w:hAnsi="Arial" w:cs="Arial"/>
        </w:rPr>
      </w:pPr>
      <w:r w:rsidRPr="009D67AF">
        <w:rPr>
          <w:rStyle w:val="FootnoteReference"/>
          <w:rFonts w:ascii="Arial" w:hAnsi="Arial" w:cs="Arial"/>
        </w:rPr>
        <w:footnoteRef/>
      </w:r>
      <w:r w:rsidRPr="009D67AF">
        <w:rPr>
          <w:rFonts w:ascii="Arial" w:hAnsi="Arial" w:cs="Arial"/>
        </w:rPr>
        <w:t xml:space="preserve"> </w:t>
      </w:r>
      <w:r w:rsidR="006B7081">
        <w:rPr>
          <w:rFonts w:ascii="Arial" w:hAnsi="Arial" w:cs="Arial"/>
        </w:rPr>
        <w:t xml:space="preserve"> </w:t>
      </w:r>
      <w:r w:rsidR="007667CD">
        <w:rPr>
          <w:rFonts w:ascii="Arial" w:hAnsi="Arial" w:cs="Arial"/>
        </w:rPr>
        <w:t xml:space="preserve"> </w:t>
      </w:r>
      <w:r w:rsidR="00C03E83" w:rsidRPr="009D67AF">
        <w:rPr>
          <w:rFonts w:ascii="Arial" w:hAnsi="Arial" w:cs="Arial"/>
          <w:i/>
          <w:iCs/>
        </w:rPr>
        <w:t>Mail</w:t>
      </w:r>
      <w:r w:rsidR="007F6A54">
        <w:rPr>
          <w:rFonts w:ascii="Arial" w:hAnsi="Arial" w:cs="Arial"/>
          <w:i/>
          <w:iCs/>
        </w:rPr>
        <w:t xml:space="preserve"> </w:t>
      </w:r>
      <w:r w:rsidR="00C03E83" w:rsidRPr="009D67AF">
        <w:rPr>
          <w:rFonts w:ascii="Arial" w:hAnsi="Arial" w:cs="Arial"/>
          <w:i/>
          <w:iCs/>
        </w:rPr>
        <w:t>&amp;</w:t>
      </w:r>
      <w:r w:rsidR="007F6A54">
        <w:rPr>
          <w:rFonts w:ascii="Arial" w:hAnsi="Arial" w:cs="Arial"/>
          <w:i/>
          <w:iCs/>
        </w:rPr>
        <w:t xml:space="preserve"> </w:t>
      </w:r>
      <w:r w:rsidR="00C03E83" w:rsidRPr="009D67AF">
        <w:rPr>
          <w:rFonts w:ascii="Arial" w:hAnsi="Arial" w:cs="Arial"/>
          <w:i/>
          <w:iCs/>
        </w:rPr>
        <w:t xml:space="preserve">Guardian CC </w:t>
      </w:r>
      <w:r w:rsidRPr="009D67AF">
        <w:rPr>
          <w:rFonts w:ascii="Arial" w:hAnsi="Arial" w:cs="Arial"/>
        </w:rPr>
        <w:t>para 25</w:t>
      </w:r>
      <w:r w:rsidR="007F6A54">
        <w:rPr>
          <w:rFonts w:ascii="Arial" w:hAnsi="Arial" w:cs="Arial"/>
        </w:rPr>
        <w:t>.</w:t>
      </w:r>
    </w:p>
  </w:footnote>
  <w:footnote w:id="11">
    <w:p w:rsidR="002E5CF0" w:rsidRPr="002E5CF0" w:rsidRDefault="002E5CF0" w:rsidP="006B7081">
      <w:pPr>
        <w:pStyle w:val="FootnoteText"/>
        <w:ind w:left="142" w:hanging="142"/>
        <w:rPr>
          <w:lang w:val="en-GB"/>
        </w:rPr>
      </w:pPr>
      <w:r w:rsidRPr="009D67AF">
        <w:rPr>
          <w:rStyle w:val="FootnoteReference"/>
          <w:rFonts w:ascii="Arial" w:hAnsi="Arial" w:cs="Arial"/>
        </w:rPr>
        <w:footnoteRef/>
      </w:r>
      <w:r w:rsidRPr="009D67AF">
        <w:rPr>
          <w:rFonts w:ascii="Arial" w:hAnsi="Arial" w:cs="Arial"/>
        </w:rPr>
        <w:t xml:space="preserve"> </w:t>
      </w:r>
      <w:r w:rsidR="006B7081">
        <w:rPr>
          <w:rFonts w:ascii="Arial" w:hAnsi="Arial" w:cs="Arial"/>
        </w:rPr>
        <w:t xml:space="preserve"> </w:t>
      </w:r>
      <w:r w:rsidR="009A12EA" w:rsidRPr="009D67AF">
        <w:rPr>
          <w:rFonts w:ascii="Arial" w:hAnsi="Arial" w:cs="Arial"/>
          <w:i/>
          <w:iCs/>
        </w:rPr>
        <w:t xml:space="preserve">Mail &amp; Guardian </w:t>
      </w:r>
      <w:r w:rsidR="009D67AF" w:rsidRPr="009D67AF">
        <w:rPr>
          <w:rFonts w:ascii="Arial" w:hAnsi="Arial" w:cs="Arial"/>
          <w:i/>
          <w:iCs/>
        </w:rPr>
        <w:t>CC</w:t>
      </w:r>
      <w:r w:rsidR="009A12EA" w:rsidRPr="009D67AF">
        <w:rPr>
          <w:rFonts w:ascii="Arial" w:hAnsi="Arial" w:cs="Arial"/>
          <w:i/>
          <w:iCs/>
        </w:rPr>
        <w:t xml:space="preserve"> </w:t>
      </w:r>
      <w:r w:rsidR="009A12EA" w:rsidRPr="009D67AF">
        <w:rPr>
          <w:rFonts w:ascii="Arial" w:hAnsi="Arial" w:cs="Arial"/>
        </w:rPr>
        <w:t>para</w:t>
      </w:r>
      <w:r w:rsidR="009D67AF" w:rsidRPr="009D67AF">
        <w:rPr>
          <w:rFonts w:ascii="Arial" w:hAnsi="Arial" w:cs="Arial"/>
        </w:rPr>
        <w:t>s</w:t>
      </w:r>
      <w:r w:rsidR="009A12EA" w:rsidRPr="009D67AF">
        <w:rPr>
          <w:rFonts w:ascii="Arial" w:hAnsi="Arial" w:cs="Arial"/>
        </w:rPr>
        <w:t xml:space="preserve"> </w:t>
      </w:r>
      <w:r w:rsidR="009D67AF" w:rsidRPr="009D67AF">
        <w:rPr>
          <w:rFonts w:ascii="Arial" w:hAnsi="Arial" w:cs="Arial"/>
        </w:rPr>
        <w:t>28 – 30.</w:t>
      </w:r>
    </w:p>
  </w:footnote>
  <w:footnote w:id="12">
    <w:p w:rsidR="006B7081" w:rsidRDefault="000C63CF" w:rsidP="006B7081">
      <w:pPr>
        <w:pStyle w:val="NoSpacing"/>
        <w:ind w:left="284" w:hanging="284"/>
        <w:rPr>
          <w:rFonts w:ascii="Arial" w:hAnsi="Arial" w:cs="Arial"/>
          <w:sz w:val="20"/>
          <w:szCs w:val="20"/>
          <w:shd w:val="clear" w:color="auto" w:fill="FFFFFF"/>
        </w:rPr>
      </w:pPr>
      <w:r w:rsidRPr="006B7081">
        <w:rPr>
          <w:rStyle w:val="FootnoteReference"/>
          <w:rFonts w:ascii="Arial" w:hAnsi="Arial" w:cs="Arial"/>
          <w:sz w:val="20"/>
          <w:szCs w:val="20"/>
        </w:rPr>
        <w:footnoteRef/>
      </w:r>
      <w:r w:rsidRPr="006B7081">
        <w:rPr>
          <w:rFonts w:ascii="Arial" w:hAnsi="Arial" w:cs="Arial"/>
          <w:sz w:val="20"/>
          <w:szCs w:val="20"/>
        </w:rPr>
        <w:t xml:space="preserve"> </w:t>
      </w:r>
      <w:r w:rsidR="007667CD">
        <w:rPr>
          <w:rFonts w:ascii="Arial" w:hAnsi="Arial" w:cs="Arial"/>
          <w:sz w:val="20"/>
          <w:szCs w:val="20"/>
        </w:rPr>
        <w:t xml:space="preserve"> </w:t>
      </w:r>
      <w:r w:rsidRPr="007F145A">
        <w:rPr>
          <w:rFonts w:ascii="Arial" w:hAnsi="Arial" w:cs="Arial"/>
          <w:i/>
          <w:iCs/>
          <w:sz w:val="20"/>
          <w:szCs w:val="20"/>
          <w:shd w:val="clear" w:color="auto" w:fill="FFFFFF"/>
        </w:rPr>
        <w:t>President of the RSA and Others v M &amp; G Media Ltd</w:t>
      </w:r>
      <w:r w:rsidRPr="007667CD">
        <w:rPr>
          <w:rFonts w:ascii="Arial" w:hAnsi="Arial" w:cs="Arial"/>
          <w:b/>
          <w:bCs/>
          <w:sz w:val="20"/>
          <w:szCs w:val="20"/>
        </w:rPr>
        <w:t xml:space="preserve"> </w:t>
      </w:r>
      <w:r w:rsidRPr="007667CD">
        <w:rPr>
          <w:rFonts w:ascii="Arial" w:hAnsi="Arial" w:cs="Arial"/>
          <w:sz w:val="20"/>
          <w:szCs w:val="20"/>
          <w:shd w:val="clear" w:color="auto" w:fill="FFFFFF"/>
        </w:rPr>
        <w:t>2011</w:t>
      </w:r>
      <w:r w:rsidR="007667CD">
        <w:rPr>
          <w:rFonts w:ascii="Arial" w:hAnsi="Arial" w:cs="Arial"/>
          <w:sz w:val="20"/>
          <w:szCs w:val="20"/>
          <w:shd w:val="clear" w:color="auto" w:fill="FFFFFF"/>
        </w:rPr>
        <w:t xml:space="preserve"> (</w:t>
      </w:r>
      <w:r w:rsidRPr="007667CD">
        <w:rPr>
          <w:rFonts w:ascii="Arial" w:hAnsi="Arial" w:cs="Arial"/>
          <w:sz w:val="20"/>
          <w:szCs w:val="20"/>
          <w:shd w:val="clear" w:color="auto" w:fill="FFFFFF"/>
        </w:rPr>
        <w:t>2)</w:t>
      </w:r>
      <w:r w:rsidR="007667CD">
        <w:rPr>
          <w:rFonts w:ascii="Arial" w:hAnsi="Arial" w:cs="Arial"/>
          <w:sz w:val="20"/>
          <w:szCs w:val="20"/>
          <w:shd w:val="clear" w:color="auto" w:fill="FFFFFF"/>
        </w:rPr>
        <w:t xml:space="preserve"> </w:t>
      </w:r>
      <w:r w:rsidRPr="007667CD">
        <w:rPr>
          <w:rFonts w:ascii="Arial" w:hAnsi="Arial" w:cs="Arial"/>
          <w:sz w:val="20"/>
          <w:szCs w:val="20"/>
          <w:shd w:val="clear" w:color="auto" w:fill="FFFFFF"/>
        </w:rPr>
        <w:t>SA 1 (SCA)</w:t>
      </w:r>
      <w:r w:rsidR="009A12EA" w:rsidRPr="007667CD">
        <w:rPr>
          <w:rFonts w:ascii="Arial" w:hAnsi="Arial" w:cs="Arial"/>
          <w:sz w:val="20"/>
          <w:szCs w:val="20"/>
          <w:shd w:val="clear" w:color="auto" w:fill="FFFFFF"/>
        </w:rPr>
        <w:t xml:space="preserve"> </w:t>
      </w:r>
      <w:r w:rsidR="009A12EA" w:rsidRPr="006B7081">
        <w:rPr>
          <w:rFonts w:ascii="Arial" w:hAnsi="Arial" w:cs="Arial"/>
          <w:sz w:val="20"/>
          <w:szCs w:val="20"/>
          <w:shd w:val="clear" w:color="auto" w:fill="FFFFFF"/>
        </w:rPr>
        <w:t>(Mail &amp; Guardian SCA</w:t>
      </w:r>
    </w:p>
    <w:p w:rsidR="000C63CF" w:rsidRPr="006B7081" w:rsidRDefault="006B7081" w:rsidP="006B7081">
      <w:pPr>
        <w:pStyle w:val="NoSpacing"/>
        <w:ind w:left="284" w:hanging="284"/>
        <w:rPr>
          <w:rFonts w:ascii="Arial" w:hAnsi="Arial" w:cs="Arial"/>
          <w:sz w:val="20"/>
          <w:szCs w:val="20"/>
          <w:lang w:val="en-GB"/>
        </w:rPr>
      </w:pPr>
      <w:r>
        <w:rPr>
          <w:rFonts w:ascii="Arial" w:hAnsi="Arial" w:cs="Arial"/>
          <w:sz w:val="20"/>
          <w:szCs w:val="20"/>
          <w:shd w:val="clear" w:color="auto" w:fill="FFFFFF"/>
        </w:rPr>
        <w:t xml:space="preserve">  </w:t>
      </w:r>
      <w:r>
        <w:rPr>
          <w:rFonts w:ascii="Arial" w:hAnsi="Arial" w:cs="Arial"/>
          <w:sz w:val="20"/>
          <w:szCs w:val="20"/>
          <w:shd w:val="clear" w:color="auto" w:fill="FFFFFF"/>
        </w:rPr>
        <w:tab/>
      </w:r>
      <w:r w:rsidR="009A12EA" w:rsidRPr="006B7081">
        <w:rPr>
          <w:rFonts w:ascii="Arial" w:hAnsi="Arial" w:cs="Arial"/>
          <w:sz w:val="20"/>
          <w:szCs w:val="20"/>
          <w:shd w:val="clear" w:color="auto" w:fill="FFFFFF"/>
        </w:rPr>
        <w:t>1)</w:t>
      </w:r>
      <w:r w:rsidR="000C63CF" w:rsidRPr="006B7081">
        <w:rPr>
          <w:rFonts w:ascii="Arial" w:hAnsi="Arial" w:cs="Arial"/>
          <w:sz w:val="20"/>
          <w:szCs w:val="20"/>
          <w:shd w:val="clear" w:color="auto" w:fill="FFFFFF"/>
        </w:rPr>
        <w:t>.</w:t>
      </w:r>
    </w:p>
  </w:footnote>
  <w:footnote w:id="13">
    <w:p w:rsidR="005363D2" w:rsidRPr="006B7081" w:rsidRDefault="005363D2" w:rsidP="006B7081">
      <w:pPr>
        <w:pStyle w:val="NoSpacing"/>
        <w:ind w:left="284" w:hanging="284"/>
        <w:rPr>
          <w:rFonts w:ascii="Arial" w:hAnsi="Arial" w:cs="Arial"/>
          <w:sz w:val="20"/>
          <w:szCs w:val="20"/>
        </w:rPr>
      </w:pPr>
      <w:r w:rsidRPr="006B7081">
        <w:rPr>
          <w:rStyle w:val="FootnoteReference"/>
          <w:rFonts w:ascii="Arial" w:hAnsi="Arial" w:cs="Arial"/>
          <w:sz w:val="20"/>
          <w:szCs w:val="20"/>
        </w:rPr>
        <w:footnoteRef/>
      </w:r>
      <w:r w:rsidRPr="006B7081">
        <w:rPr>
          <w:rFonts w:ascii="Arial" w:hAnsi="Arial" w:cs="Arial"/>
          <w:sz w:val="20"/>
          <w:szCs w:val="20"/>
        </w:rPr>
        <w:t xml:space="preserve"> </w:t>
      </w:r>
      <w:r w:rsidR="006B7081">
        <w:rPr>
          <w:rFonts w:ascii="Arial" w:hAnsi="Arial" w:cs="Arial"/>
          <w:sz w:val="20"/>
          <w:szCs w:val="20"/>
        </w:rPr>
        <w:tab/>
      </w:r>
      <w:r w:rsidR="0091563B" w:rsidRPr="007F145A">
        <w:rPr>
          <w:rFonts w:ascii="Arial" w:hAnsi="Arial" w:cs="Arial"/>
          <w:i/>
          <w:iCs/>
          <w:sz w:val="20"/>
          <w:szCs w:val="20"/>
          <w:shd w:val="clear" w:color="auto" w:fill="FFFFFF"/>
        </w:rPr>
        <w:t>Mail &amp; Guardian CC</w:t>
      </w:r>
      <w:r w:rsidR="0091563B" w:rsidRPr="006B7081">
        <w:rPr>
          <w:rFonts w:ascii="Arial" w:hAnsi="Arial" w:cs="Arial"/>
          <w:sz w:val="20"/>
          <w:szCs w:val="20"/>
          <w:shd w:val="clear" w:color="auto" w:fill="FFFFFF"/>
        </w:rPr>
        <w:t xml:space="preserve"> </w:t>
      </w:r>
      <w:r w:rsidRPr="006B7081">
        <w:rPr>
          <w:rFonts w:ascii="Arial" w:hAnsi="Arial" w:cs="Arial"/>
          <w:sz w:val="20"/>
          <w:szCs w:val="20"/>
          <w:shd w:val="clear" w:color="auto" w:fill="FFFFFF"/>
        </w:rPr>
        <w:t>para 14</w:t>
      </w:r>
      <w:r w:rsidRPr="006B7081">
        <w:rPr>
          <w:rFonts w:ascii="Arial" w:hAnsi="Arial" w:cs="Arial"/>
          <w:sz w:val="20"/>
          <w:szCs w:val="20"/>
        </w:rPr>
        <w:t xml:space="preserve"> </w:t>
      </w:r>
    </w:p>
  </w:footnote>
  <w:footnote w:id="14">
    <w:p w:rsidR="000E769A" w:rsidRPr="006B7081" w:rsidRDefault="000E769A" w:rsidP="006B7081">
      <w:pPr>
        <w:pStyle w:val="NoSpacing"/>
        <w:ind w:left="284" w:hanging="284"/>
        <w:rPr>
          <w:rFonts w:ascii="Arial" w:hAnsi="Arial" w:cs="Arial"/>
          <w:sz w:val="20"/>
          <w:szCs w:val="20"/>
          <w:lang w:val="en-GB"/>
        </w:rPr>
      </w:pPr>
      <w:r w:rsidRPr="006B7081">
        <w:rPr>
          <w:rStyle w:val="FootnoteReference"/>
          <w:rFonts w:ascii="Arial" w:hAnsi="Arial" w:cs="Arial"/>
          <w:color w:val="000000" w:themeColor="text1"/>
          <w:sz w:val="20"/>
          <w:szCs w:val="20"/>
        </w:rPr>
        <w:footnoteRef/>
      </w:r>
      <w:r w:rsidRPr="006B7081">
        <w:rPr>
          <w:rFonts w:ascii="Arial" w:hAnsi="Arial" w:cs="Arial"/>
          <w:color w:val="000000" w:themeColor="text1"/>
          <w:sz w:val="20"/>
          <w:szCs w:val="20"/>
        </w:rPr>
        <w:t xml:space="preserve"> </w:t>
      </w:r>
      <w:r w:rsidR="006B7081">
        <w:rPr>
          <w:rFonts w:ascii="Arial" w:hAnsi="Arial" w:cs="Arial"/>
          <w:color w:val="000000" w:themeColor="text1"/>
          <w:sz w:val="20"/>
          <w:szCs w:val="20"/>
        </w:rPr>
        <w:tab/>
      </w:r>
      <w:r w:rsidR="000A0E9E" w:rsidRPr="006B7081">
        <w:rPr>
          <w:rFonts w:ascii="Arial" w:hAnsi="Arial" w:cs="Arial"/>
          <w:color w:val="000000" w:themeColor="text1"/>
          <w:sz w:val="20"/>
          <w:szCs w:val="20"/>
        </w:rPr>
        <w:t xml:space="preserve">Cf </w:t>
      </w:r>
      <w:r w:rsidRPr="007F145A">
        <w:rPr>
          <w:rFonts w:ascii="Arial" w:hAnsi="Arial" w:cs="Arial"/>
          <w:i/>
          <w:iCs/>
          <w:color w:val="000000" w:themeColor="text1"/>
          <w:sz w:val="20"/>
          <w:szCs w:val="20"/>
        </w:rPr>
        <w:t>Pahad Shipping CC v Commissioner, SARS</w:t>
      </w:r>
      <w:r w:rsidRPr="007F145A">
        <w:rPr>
          <w:rStyle w:val="apple-converted-space"/>
          <w:rFonts w:ascii="Arial" w:hAnsi="Arial" w:cs="Arial"/>
          <w:i/>
          <w:iCs/>
          <w:color w:val="000000" w:themeColor="text1"/>
          <w:sz w:val="20"/>
          <w:szCs w:val="20"/>
          <w:shd w:val="clear" w:color="auto" w:fill="FFFFFF"/>
        </w:rPr>
        <w:t> </w:t>
      </w:r>
      <w:r w:rsidRPr="007F145A">
        <w:rPr>
          <w:rFonts w:ascii="Arial" w:hAnsi="Arial" w:cs="Arial"/>
          <w:i/>
          <w:iCs/>
          <w:color w:val="000000" w:themeColor="text1"/>
          <w:sz w:val="20"/>
          <w:szCs w:val="20"/>
          <w:shd w:val="clear" w:color="auto" w:fill="FFFFFF"/>
        </w:rPr>
        <w:t xml:space="preserve"> </w:t>
      </w:r>
      <w:hyperlink r:id="rId2" w:tooltip="View LawCiteRecord" w:history="1">
        <w:r w:rsidRPr="006B7081">
          <w:rPr>
            <w:rStyle w:val="Hyperlink"/>
            <w:rFonts w:ascii="Arial" w:hAnsi="Arial" w:cs="Arial"/>
            <w:color w:val="000000" w:themeColor="text1"/>
            <w:sz w:val="20"/>
            <w:szCs w:val="20"/>
            <w:u w:val="none"/>
          </w:rPr>
          <w:t>[2010] 2 All SA 246</w:t>
        </w:r>
      </w:hyperlink>
      <w:r w:rsidRPr="006B7081">
        <w:rPr>
          <w:rStyle w:val="apple-converted-space"/>
          <w:rFonts w:ascii="Arial" w:hAnsi="Arial" w:cs="Arial"/>
          <w:color w:val="000000" w:themeColor="text1"/>
          <w:sz w:val="20"/>
          <w:szCs w:val="20"/>
          <w:shd w:val="clear" w:color="auto" w:fill="FFFFFF"/>
        </w:rPr>
        <w:t> </w:t>
      </w:r>
      <w:r w:rsidRPr="006B7081">
        <w:rPr>
          <w:rFonts w:ascii="Arial" w:hAnsi="Arial" w:cs="Arial"/>
          <w:color w:val="000000" w:themeColor="text1"/>
          <w:sz w:val="20"/>
          <w:szCs w:val="20"/>
          <w:shd w:val="clear" w:color="auto" w:fill="FFFFFF"/>
        </w:rPr>
        <w:t>(SCA) para 14.</w:t>
      </w:r>
    </w:p>
  </w:footnote>
  <w:footnote w:id="15">
    <w:p w:rsidR="005363D2" w:rsidRPr="007F145A" w:rsidRDefault="005363D2" w:rsidP="006B7081">
      <w:pPr>
        <w:pStyle w:val="NoSpacing"/>
        <w:ind w:left="284" w:hanging="284"/>
        <w:rPr>
          <w:rFonts w:ascii="Arial" w:hAnsi="Arial" w:cs="Arial"/>
          <w:sz w:val="20"/>
          <w:szCs w:val="20"/>
        </w:rPr>
      </w:pPr>
      <w:r w:rsidRPr="006B7081">
        <w:rPr>
          <w:rStyle w:val="FootnoteReference"/>
          <w:rFonts w:ascii="Arial" w:hAnsi="Arial" w:cs="Arial"/>
          <w:sz w:val="20"/>
          <w:szCs w:val="20"/>
        </w:rPr>
        <w:footnoteRef/>
      </w:r>
      <w:r w:rsidRPr="006B7081">
        <w:rPr>
          <w:rFonts w:ascii="Arial" w:hAnsi="Arial" w:cs="Arial"/>
          <w:sz w:val="20"/>
          <w:szCs w:val="20"/>
        </w:rPr>
        <w:t xml:space="preserve"> </w:t>
      </w:r>
      <w:r w:rsidR="006B7081">
        <w:rPr>
          <w:rFonts w:ascii="Arial" w:hAnsi="Arial" w:cs="Arial"/>
          <w:sz w:val="20"/>
          <w:szCs w:val="20"/>
        </w:rPr>
        <w:tab/>
      </w:r>
      <w:r w:rsidR="003500F5" w:rsidRPr="007F145A">
        <w:rPr>
          <w:rFonts w:ascii="Arial" w:hAnsi="Arial" w:cs="Arial"/>
          <w:i/>
          <w:iCs/>
          <w:color w:val="000000" w:themeColor="text1"/>
          <w:sz w:val="20"/>
          <w:szCs w:val="20"/>
          <w:bdr w:val="none" w:sz="0" w:space="0" w:color="auto" w:frame="1"/>
        </w:rPr>
        <w:t>National Lotteries Board and others v SA Education and Environment Project and another</w:t>
      </w:r>
      <w:r w:rsidR="007F145A">
        <w:rPr>
          <w:rFonts w:ascii="Arial" w:hAnsi="Arial" w:cs="Arial"/>
          <w:i/>
          <w:iCs/>
          <w:color w:val="000000" w:themeColor="text1"/>
          <w:sz w:val="20"/>
          <w:szCs w:val="20"/>
          <w:bdr w:val="none" w:sz="0" w:space="0" w:color="auto" w:frame="1"/>
        </w:rPr>
        <w:t xml:space="preserve"> </w:t>
      </w:r>
      <w:r w:rsidR="007F145A" w:rsidRPr="007F145A">
        <w:rPr>
          <w:rFonts w:ascii="Arial" w:hAnsi="Arial" w:cs="Arial"/>
          <w:color w:val="000000" w:themeColor="text1"/>
          <w:sz w:val="20"/>
          <w:szCs w:val="20"/>
          <w:bdr w:val="none" w:sz="0" w:space="0" w:color="auto" w:frame="1"/>
        </w:rPr>
        <w:t xml:space="preserve">(2012) 4 SA 504 (SCA) </w:t>
      </w:r>
      <w:r w:rsidR="003500F5" w:rsidRPr="007F145A">
        <w:rPr>
          <w:rFonts w:ascii="Arial" w:hAnsi="Arial" w:cs="Arial"/>
          <w:color w:val="000000" w:themeColor="text1"/>
          <w:sz w:val="20"/>
          <w:szCs w:val="20"/>
        </w:rPr>
        <w:t>para</w:t>
      </w:r>
      <w:r w:rsidR="007F145A" w:rsidRPr="007F145A">
        <w:rPr>
          <w:rFonts w:ascii="Arial" w:hAnsi="Arial" w:cs="Arial"/>
          <w:color w:val="000000" w:themeColor="text1"/>
          <w:sz w:val="20"/>
          <w:szCs w:val="20"/>
        </w:rPr>
        <w:t>s</w:t>
      </w:r>
      <w:r w:rsidR="003500F5" w:rsidRPr="007F145A">
        <w:rPr>
          <w:rFonts w:ascii="Arial" w:hAnsi="Arial" w:cs="Arial"/>
          <w:color w:val="000000" w:themeColor="text1"/>
          <w:sz w:val="20"/>
          <w:szCs w:val="20"/>
        </w:rPr>
        <w:t xml:space="preserve"> 2</w:t>
      </w:r>
      <w:r w:rsidR="007F145A" w:rsidRPr="007F145A">
        <w:rPr>
          <w:rFonts w:ascii="Arial" w:hAnsi="Arial" w:cs="Arial"/>
          <w:color w:val="000000" w:themeColor="text1"/>
          <w:sz w:val="20"/>
          <w:szCs w:val="20"/>
        </w:rPr>
        <w:t>4- 8.</w:t>
      </w:r>
      <w:r w:rsidR="000E769A" w:rsidRPr="007F145A">
        <w:rPr>
          <w:rFonts w:ascii="Arial" w:hAnsi="Arial" w:cs="Arial"/>
          <w:color w:val="000000" w:themeColor="text1"/>
          <w:sz w:val="20"/>
          <w:szCs w:val="20"/>
        </w:rPr>
        <w:t xml:space="preserve"> </w:t>
      </w:r>
    </w:p>
  </w:footnote>
  <w:footnote w:id="16">
    <w:p w:rsidR="005363D2" w:rsidRPr="005B2C9C" w:rsidRDefault="005363D2" w:rsidP="005363D2">
      <w:pPr>
        <w:pStyle w:val="FootnoteText"/>
        <w:rPr>
          <w:rFonts w:ascii="Arial" w:hAnsi="Arial" w:cs="Arial"/>
        </w:rPr>
      </w:pPr>
      <w:r w:rsidRPr="005B2C9C">
        <w:rPr>
          <w:rStyle w:val="FootnoteReference"/>
          <w:rFonts w:ascii="Arial" w:hAnsi="Arial" w:cs="Arial"/>
        </w:rPr>
        <w:footnoteRef/>
      </w:r>
      <w:r w:rsidRPr="005B2C9C">
        <w:rPr>
          <w:rFonts w:ascii="Arial" w:hAnsi="Arial" w:cs="Arial"/>
        </w:rPr>
        <w:t xml:space="preserve"> </w:t>
      </w:r>
      <w:r w:rsidR="00D7378E">
        <w:rPr>
          <w:rFonts w:ascii="Arial" w:hAnsi="Arial" w:cs="Arial"/>
        </w:rPr>
        <w:t xml:space="preserve"> </w:t>
      </w:r>
      <w:r w:rsidRPr="005B2C9C">
        <w:rPr>
          <w:rFonts w:ascii="Arial" w:hAnsi="Arial" w:cs="Arial"/>
        </w:rPr>
        <w:t xml:space="preserve">See </w:t>
      </w:r>
      <w:r w:rsidRPr="00A8785B">
        <w:rPr>
          <w:rFonts w:ascii="Arial" w:hAnsi="Arial" w:cs="Arial"/>
        </w:rPr>
        <w:t xml:space="preserve">for example the approach of Cameron J in para 114 of </w:t>
      </w:r>
      <w:r w:rsidRPr="00A8785B">
        <w:rPr>
          <w:rFonts w:ascii="Arial" w:hAnsi="Arial" w:cs="Arial"/>
          <w:i/>
          <w:iCs/>
        </w:rPr>
        <w:t>M</w:t>
      </w:r>
      <w:r w:rsidR="00A8785B" w:rsidRPr="00A8785B">
        <w:rPr>
          <w:rFonts w:ascii="Arial" w:hAnsi="Arial" w:cs="Arial"/>
          <w:i/>
          <w:iCs/>
        </w:rPr>
        <w:t xml:space="preserve">ail </w:t>
      </w:r>
      <w:r w:rsidRPr="00A8785B">
        <w:rPr>
          <w:rFonts w:ascii="Arial" w:hAnsi="Arial" w:cs="Arial"/>
          <w:i/>
          <w:iCs/>
        </w:rPr>
        <w:t>&amp;G</w:t>
      </w:r>
      <w:r w:rsidR="00A8785B" w:rsidRPr="00A8785B">
        <w:rPr>
          <w:rFonts w:ascii="Arial" w:hAnsi="Arial" w:cs="Arial"/>
          <w:i/>
          <w:iCs/>
        </w:rPr>
        <w:t xml:space="preserve">uardian </w:t>
      </w:r>
      <w:r w:rsidRPr="00A8785B">
        <w:rPr>
          <w:rFonts w:ascii="Arial" w:hAnsi="Arial" w:cs="Arial"/>
          <w:i/>
          <w:iCs/>
        </w:rPr>
        <w:t>CC</w:t>
      </w:r>
      <w:r w:rsidR="00A8785B">
        <w:rPr>
          <w:rFonts w:ascii="Arial" w:hAnsi="Arial" w:cs="Arial"/>
        </w:rPr>
        <w:t xml:space="preserve"> </w:t>
      </w:r>
      <w:r w:rsidR="000C63CF">
        <w:rPr>
          <w:rFonts w:ascii="Arial" w:hAnsi="Arial" w:cs="Arial"/>
          <w:i/>
          <w:iCs/>
        </w:rPr>
        <w:t xml:space="preserve"> </w:t>
      </w:r>
    </w:p>
  </w:footnote>
  <w:footnote w:id="17">
    <w:p w:rsidR="00C04FBC" w:rsidRPr="004F501F" w:rsidRDefault="00C04FBC" w:rsidP="006B7081">
      <w:pPr>
        <w:pStyle w:val="FootnoteText"/>
        <w:ind w:left="142" w:hanging="142"/>
        <w:rPr>
          <w:lang w:val="en-GB"/>
        </w:rPr>
      </w:pPr>
      <w:r w:rsidRPr="00D7378E">
        <w:rPr>
          <w:rStyle w:val="FootnoteReference"/>
          <w:rFonts w:ascii="Arial" w:hAnsi="Arial" w:cs="Arial"/>
        </w:rPr>
        <w:footnoteRef/>
      </w:r>
      <w:r w:rsidRPr="00D7378E">
        <w:rPr>
          <w:rFonts w:ascii="Arial" w:hAnsi="Arial" w:cs="Arial"/>
        </w:rPr>
        <w:t xml:space="preserve"> </w:t>
      </w:r>
      <w:r w:rsidRPr="004D2E9D">
        <w:rPr>
          <w:rFonts w:ascii="Arial" w:hAnsi="Arial" w:cs="Arial"/>
          <w:i/>
          <w:iCs/>
        </w:rPr>
        <w:t xml:space="preserve">Industrial Development Corporation of South Africa Limited  v PFE International Inc (BVI) and Others </w:t>
      </w:r>
      <w:r w:rsidRPr="004D2E9D">
        <w:rPr>
          <w:rFonts w:ascii="Arial" w:hAnsi="Arial" w:cs="Arial"/>
        </w:rPr>
        <w:t>2012 (2) SA 269 (SCA)</w:t>
      </w:r>
      <w:r w:rsidRPr="004D2E9D">
        <w:rPr>
          <w:rFonts w:ascii="Arial" w:hAnsi="Arial" w:cs="Arial"/>
          <w:i/>
          <w:iCs/>
        </w:rPr>
        <w:t xml:space="preserve"> </w:t>
      </w:r>
      <w:r w:rsidRPr="004D2E9D">
        <w:rPr>
          <w:rFonts w:ascii="Arial" w:hAnsi="Arial" w:cs="Arial"/>
        </w:rPr>
        <w:t>para 31</w:t>
      </w:r>
    </w:p>
  </w:footnote>
  <w:footnote w:id="18">
    <w:p w:rsidR="00C94764" w:rsidRPr="00404E6F" w:rsidRDefault="00C94764" w:rsidP="00C94764">
      <w:pPr>
        <w:pStyle w:val="FootnoteText"/>
        <w:ind w:left="284" w:hanging="284"/>
        <w:rPr>
          <w:rFonts w:ascii="Arial" w:hAnsi="Arial" w:cs="Arial"/>
        </w:rPr>
      </w:pPr>
      <w:r w:rsidRPr="00404E6F">
        <w:rPr>
          <w:rStyle w:val="FootnoteReference"/>
          <w:rFonts w:ascii="Arial" w:hAnsi="Arial" w:cs="Arial"/>
        </w:rPr>
        <w:footnoteRef/>
      </w:r>
      <w:r w:rsidRPr="00404E6F">
        <w:rPr>
          <w:rFonts w:ascii="Arial" w:hAnsi="Arial" w:cs="Arial"/>
        </w:rPr>
        <w:t xml:space="preserve"> </w:t>
      </w:r>
      <w:r w:rsidRPr="00404E6F">
        <w:rPr>
          <w:rFonts w:ascii="Arial" w:hAnsi="Arial" w:cs="Arial"/>
        </w:rPr>
        <w:tab/>
      </w:r>
      <w:r>
        <w:rPr>
          <w:rFonts w:ascii="Arial" w:hAnsi="Arial" w:cs="Arial"/>
          <w:i/>
          <w:iCs/>
        </w:rPr>
        <w:t xml:space="preserve">MEC for Roads and Public Works Eastern Cape v Intertrade Two (Pty) Ltd </w:t>
      </w:r>
      <w:r>
        <w:rPr>
          <w:rFonts w:ascii="Arial" w:hAnsi="Arial" w:cs="Arial"/>
        </w:rPr>
        <w:t xml:space="preserve"> 2006 (5) SA 1 (SCA) para 12.</w:t>
      </w:r>
    </w:p>
  </w:footnote>
  <w:footnote w:id="19">
    <w:p w:rsidR="00C94764" w:rsidRPr="00C94764" w:rsidRDefault="00C94764">
      <w:pPr>
        <w:pStyle w:val="FootnoteText"/>
        <w:rPr>
          <w:rFonts w:ascii="Arial" w:hAnsi="Arial" w:cs="Arial"/>
          <w:lang w:val="en-GB"/>
        </w:rPr>
      </w:pPr>
      <w:r w:rsidRPr="00C94764">
        <w:rPr>
          <w:rStyle w:val="FootnoteReference"/>
          <w:rFonts w:ascii="Arial" w:hAnsi="Arial" w:cs="Arial"/>
        </w:rPr>
        <w:footnoteRef/>
      </w:r>
      <w:r w:rsidRPr="00C94764">
        <w:rPr>
          <w:rFonts w:ascii="Arial" w:hAnsi="Arial" w:cs="Arial"/>
        </w:rPr>
        <w:t xml:space="preserve"> </w:t>
      </w:r>
      <w:r w:rsidR="006B7081">
        <w:rPr>
          <w:rFonts w:ascii="Arial" w:hAnsi="Arial" w:cs="Arial"/>
        </w:rPr>
        <w:t xml:space="preserve"> </w:t>
      </w:r>
      <w:r w:rsidRPr="00C94764">
        <w:rPr>
          <w:rFonts w:ascii="Arial" w:hAnsi="Arial" w:cs="Arial"/>
          <w:i/>
          <w:iCs/>
        </w:rPr>
        <w:t xml:space="preserve">PFE International </w:t>
      </w:r>
      <w:r w:rsidRPr="00C94764">
        <w:rPr>
          <w:rFonts w:ascii="Arial" w:hAnsi="Arial" w:cs="Arial"/>
        </w:rPr>
        <w:t>para 20</w:t>
      </w:r>
    </w:p>
  </w:footnote>
  <w:footnote w:id="20">
    <w:p w:rsidR="00182B46" w:rsidRPr="00182B46" w:rsidRDefault="00182B46" w:rsidP="006B7081">
      <w:pPr>
        <w:pStyle w:val="FootnoteText"/>
        <w:ind w:left="284" w:hanging="284"/>
        <w:rPr>
          <w:lang w:val="en-GB"/>
        </w:rPr>
      </w:pPr>
      <w:r w:rsidRPr="00404E6F">
        <w:rPr>
          <w:rStyle w:val="FootnoteReference"/>
          <w:rFonts w:ascii="Arial" w:hAnsi="Arial" w:cs="Arial"/>
        </w:rPr>
        <w:footnoteRef/>
      </w:r>
      <w:r w:rsidR="006B7081">
        <w:rPr>
          <w:rFonts w:ascii="Arial" w:hAnsi="Arial" w:cs="Arial"/>
          <w:lang w:val="en-GB"/>
        </w:rPr>
        <w:tab/>
      </w:r>
      <w:r w:rsidRPr="00404E6F">
        <w:rPr>
          <w:rFonts w:ascii="Arial" w:hAnsi="Arial" w:cs="Arial"/>
          <w:lang w:val="en-GB"/>
        </w:rPr>
        <w:t>An appeal to the Supreme Court of Appeal reported at [2017] 3 All SA 458 (SCA) was dismissed</w:t>
      </w:r>
      <w:r w:rsidR="006B7081">
        <w:rPr>
          <w:rFonts w:ascii="Arial" w:hAnsi="Arial" w:cs="Arial"/>
          <w:lang w:val="en-GB"/>
        </w:rPr>
        <w:t xml:space="preserve"> </w:t>
      </w:r>
      <w:r w:rsidRPr="00404E6F">
        <w:rPr>
          <w:rFonts w:ascii="Arial" w:hAnsi="Arial" w:cs="Arial"/>
          <w:lang w:val="en-GB"/>
        </w:rPr>
        <w:t>by the majority but on different grounds</w:t>
      </w:r>
      <w:r w:rsidR="00916671">
        <w:rPr>
          <w:rFonts w:ascii="Arial" w:hAnsi="Arial" w:cs="Arial"/>
          <w:lang w:val="en-GB"/>
        </w:rPr>
        <w:t>. T</w:t>
      </w:r>
      <w:r w:rsidRPr="00404E6F">
        <w:rPr>
          <w:rFonts w:ascii="Arial" w:hAnsi="Arial" w:cs="Arial"/>
          <w:lang w:val="en-GB"/>
        </w:rPr>
        <w:t xml:space="preserve">he </w:t>
      </w:r>
      <w:r w:rsidR="001D14D5">
        <w:rPr>
          <w:rFonts w:ascii="Arial" w:hAnsi="Arial" w:cs="Arial"/>
          <w:lang w:val="en-GB"/>
        </w:rPr>
        <w:t xml:space="preserve">majority </w:t>
      </w:r>
      <w:r w:rsidR="00916671">
        <w:rPr>
          <w:rFonts w:ascii="Arial" w:hAnsi="Arial" w:cs="Arial"/>
          <w:lang w:val="en-GB"/>
        </w:rPr>
        <w:t xml:space="preserve">therefore </w:t>
      </w:r>
      <w:r w:rsidRPr="00404E6F">
        <w:rPr>
          <w:rFonts w:ascii="Arial" w:hAnsi="Arial" w:cs="Arial"/>
          <w:lang w:val="en-GB"/>
        </w:rPr>
        <w:t xml:space="preserve">did not engage with the high court’s findings on section 7: para 27. </w:t>
      </w:r>
      <w:r w:rsidR="001D14D5">
        <w:rPr>
          <w:rFonts w:ascii="Arial" w:hAnsi="Arial" w:cs="Arial"/>
          <w:lang w:val="en-GB"/>
        </w:rPr>
        <w:t>The minority appears to have accepted the principle that proceedings could commence as envisaged in section 7 before the service of a summons or application: para 46</w:t>
      </w:r>
      <w:r w:rsidR="007F6A54">
        <w:rPr>
          <w:rFonts w:ascii="Arial" w:hAnsi="Arial" w:cs="Arial"/>
          <w:lang w:val="en-GB"/>
        </w:rPr>
        <w:t>.</w:t>
      </w:r>
    </w:p>
  </w:footnote>
  <w:footnote w:id="21">
    <w:p w:rsidR="00A031A7" w:rsidRPr="00182B46" w:rsidRDefault="00A031A7" w:rsidP="006B7081">
      <w:pPr>
        <w:pStyle w:val="FootnoteText"/>
        <w:ind w:left="284" w:hanging="284"/>
        <w:rPr>
          <w:rFonts w:ascii="Arial" w:hAnsi="Arial" w:cs="Arial"/>
        </w:rPr>
      </w:pPr>
      <w:r w:rsidRPr="00182B46">
        <w:rPr>
          <w:rStyle w:val="FootnoteReference"/>
          <w:rFonts w:ascii="Arial" w:hAnsi="Arial" w:cs="Arial"/>
        </w:rPr>
        <w:footnoteRef/>
      </w:r>
      <w:r w:rsidRPr="00182B46">
        <w:rPr>
          <w:rFonts w:ascii="Arial" w:hAnsi="Arial" w:cs="Arial"/>
        </w:rPr>
        <w:t xml:space="preserve"> </w:t>
      </w:r>
      <w:r w:rsidR="00D924BE" w:rsidRPr="00182B46">
        <w:rPr>
          <w:rFonts w:ascii="Arial" w:hAnsi="Arial" w:cs="Arial"/>
        </w:rPr>
        <w:t xml:space="preserve"> </w:t>
      </w:r>
      <w:r w:rsidR="006B7081">
        <w:rPr>
          <w:rFonts w:ascii="Arial" w:hAnsi="Arial" w:cs="Arial"/>
        </w:rPr>
        <w:tab/>
      </w:r>
      <w:r w:rsidR="008E700E">
        <w:rPr>
          <w:rFonts w:ascii="Arial" w:hAnsi="Arial" w:cs="Arial"/>
        </w:rPr>
        <w:t>P</w:t>
      </w:r>
      <w:r w:rsidRPr="00182B46">
        <w:rPr>
          <w:rFonts w:ascii="Arial" w:hAnsi="Arial" w:cs="Arial"/>
        </w:rPr>
        <w:t xml:space="preserve">aras 27 </w:t>
      </w:r>
      <w:r w:rsidR="007F6A54">
        <w:rPr>
          <w:rFonts w:ascii="Arial" w:hAnsi="Arial" w:cs="Arial"/>
        </w:rPr>
        <w:t>–</w:t>
      </w:r>
      <w:r w:rsidRPr="00182B46">
        <w:rPr>
          <w:rFonts w:ascii="Arial" w:hAnsi="Arial" w:cs="Arial"/>
        </w:rPr>
        <w:t xml:space="preserve"> 29</w:t>
      </w:r>
      <w:r w:rsidR="007F6A54">
        <w:rPr>
          <w:rFonts w:ascii="Arial" w:hAnsi="Arial" w:cs="Arial"/>
        </w:rPr>
        <w:t>.</w:t>
      </w:r>
    </w:p>
  </w:footnote>
  <w:footnote w:id="22">
    <w:p w:rsidR="00D63DBA" w:rsidRPr="00D63DBA" w:rsidRDefault="00D63DBA" w:rsidP="006B7081">
      <w:pPr>
        <w:pStyle w:val="FootnoteText"/>
        <w:ind w:left="284" w:hanging="284"/>
      </w:pPr>
      <w:r w:rsidRPr="00182B46">
        <w:rPr>
          <w:rStyle w:val="FootnoteReference"/>
          <w:rFonts w:ascii="Arial" w:hAnsi="Arial" w:cs="Arial"/>
        </w:rPr>
        <w:footnoteRef/>
      </w:r>
      <w:r w:rsidRPr="00182B46">
        <w:rPr>
          <w:rFonts w:ascii="Arial" w:hAnsi="Arial" w:cs="Arial"/>
        </w:rPr>
        <w:t xml:space="preserve"> </w:t>
      </w:r>
      <w:r w:rsidR="006B7081">
        <w:rPr>
          <w:rFonts w:ascii="Arial" w:hAnsi="Arial" w:cs="Arial"/>
        </w:rPr>
        <w:tab/>
      </w:r>
      <w:r w:rsidRPr="00182B46">
        <w:rPr>
          <w:rFonts w:ascii="Arial" w:hAnsi="Arial" w:cs="Arial"/>
          <w:i/>
          <w:iCs/>
        </w:rPr>
        <w:t>Anglogold Ashanti</w:t>
      </w:r>
      <w:r w:rsidRPr="00182B46">
        <w:rPr>
          <w:rFonts w:ascii="Arial" w:hAnsi="Arial" w:cs="Arial"/>
        </w:rPr>
        <w:t xml:space="preserve"> para 29</w:t>
      </w:r>
      <w:r w:rsidR="005E4CE2">
        <w:rPr>
          <w:rFonts w:ascii="Arial" w:hAnsi="Arial" w:cs="Arial"/>
        </w:rPr>
        <w:t>.</w:t>
      </w:r>
    </w:p>
  </w:footnote>
  <w:footnote w:id="23">
    <w:p w:rsidR="00C127A8" w:rsidRPr="004D2E9D" w:rsidRDefault="00C127A8" w:rsidP="006B7081">
      <w:pPr>
        <w:pStyle w:val="FootnoteText"/>
        <w:ind w:left="284" w:hanging="284"/>
        <w:rPr>
          <w:rFonts w:ascii="Arial" w:hAnsi="Arial" w:cs="Arial"/>
        </w:rPr>
      </w:pPr>
      <w:r w:rsidRPr="004D2E9D">
        <w:rPr>
          <w:rStyle w:val="FootnoteReference"/>
          <w:rFonts w:ascii="Arial" w:hAnsi="Arial" w:cs="Arial"/>
        </w:rPr>
        <w:footnoteRef/>
      </w:r>
      <w:r w:rsidRPr="004D2E9D">
        <w:rPr>
          <w:rFonts w:ascii="Arial" w:hAnsi="Arial" w:cs="Arial"/>
        </w:rPr>
        <w:t xml:space="preserve"> </w:t>
      </w:r>
      <w:r w:rsidR="006B7081">
        <w:rPr>
          <w:rFonts w:ascii="Arial" w:hAnsi="Arial" w:cs="Arial"/>
        </w:rPr>
        <w:tab/>
      </w:r>
      <w:r w:rsidRPr="004D2E9D">
        <w:rPr>
          <w:rFonts w:ascii="Arial" w:hAnsi="Arial" w:cs="Arial"/>
          <w:i/>
          <w:iCs/>
        </w:rPr>
        <w:t xml:space="preserve">Unitas Hospital v Van Wyk and another </w:t>
      </w:r>
      <w:r w:rsidRPr="004D2E9D">
        <w:rPr>
          <w:rFonts w:ascii="Arial" w:hAnsi="Arial" w:cs="Arial"/>
        </w:rPr>
        <w:t>2006 (4) SA 436 (SCA) paras 19 – 23</w:t>
      </w:r>
      <w:r w:rsidR="005E4CE2">
        <w:rPr>
          <w:rFonts w:ascii="Arial" w:hAnsi="Arial" w:cs="Arial"/>
        </w:rPr>
        <w:t>.</w:t>
      </w:r>
    </w:p>
  </w:footnote>
  <w:footnote w:id="24">
    <w:p w:rsidR="00C127A8" w:rsidRPr="004D2E9D" w:rsidRDefault="00C127A8" w:rsidP="006B7081">
      <w:pPr>
        <w:pStyle w:val="FootnoteText"/>
        <w:ind w:left="284" w:hanging="284"/>
        <w:rPr>
          <w:rFonts w:ascii="Arial" w:hAnsi="Arial" w:cs="Arial"/>
        </w:rPr>
      </w:pPr>
      <w:r w:rsidRPr="004D2E9D">
        <w:rPr>
          <w:rStyle w:val="FootnoteReference"/>
          <w:rFonts w:ascii="Arial" w:hAnsi="Arial" w:cs="Arial"/>
        </w:rPr>
        <w:footnoteRef/>
      </w:r>
      <w:r w:rsidRPr="004D2E9D">
        <w:rPr>
          <w:rFonts w:ascii="Arial" w:hAnsi="Arial" w:cs="Arial"/>
        </w:rPr>
        <w:t xml:space="preserve"> </w:t>
      </w:r>
      <w:r w:rsidR="006B7081">
        <w:rPr>
          <w:rFonts w:ascii="Arial" w:hAnsi="Arial" w:cs="Arial"/>
        </w:rPr>
        <w:tab/>
      </w:r>
      <w:r w:rsidRPr="004D2E9D">
        <w:rPr>
          <w:rFonts w:ascii="Arial" w:hAnsi="Arial" w:cs="Arial"/>
        </w:rPr>
        <w:t>Para 42.3</w:t>
      </w:r>
      <w:r w:rsidR="007F6A54">
        <w:rPr>
          <w:rFonts w:ascii="Arial" w:hAnsi="Arial" w:cs="Arial"/>
        </w:rPr>
        <w:t>.</w:t>
      </w:r>
    </w:p>
  </w:footnote>
  <w:footnote w:id="25">
    <w:p w:rsidR="00C127A8" w:rsidRPr="004D2E9D" w:rsidRDefault="00C127A8" w:rsidP="006B7081">
      <w:pPr>
        <w:pStyle w:val="FootnoteText"/>
        <w:ind w:left="284" w:hanging="284"/>
        <w:rPr>
          <w:rFonts w:ascii="Arial" w:hAnsi="Arial" w:cs="Arial"/>
        </w:rPr>
      </w:pPr>
      <w:r w:rsidRPr="004D2E9D">
        <w:rPr>
          <w:rStyle w:val="FootnoteReference"/>
          <w:rFonts w:ascii="Arial" w:hAnsi="Arial" w:cs="Arial"/>
        </w:rPr>
        <w:footnoteRef/>
      </w:r>
      <w:r w:rsidRPr="004D2E9D">
        <w:rPr>
          <w:rFonts w:ascii="Arial" w:hAnsi="Arial" w:cs="Arial"/>
        </w:rPr>
        <w:t xml:space="preserve"> </w:t>
      </w:r>
      <w:r w:rsidR="006B7081">
        <w:rPr>
          <w:rFonts w:ascii="Arial" w:hAnsi="Arial" w:cs="Arial"/>
        </w:rPr>
        <w:tab/>
      </w:r>
      <w:r w:rsidRPr="004D2E9D">
        <w:rPr>
          <w:rFonts w:ascii="Arial" w:hAnsi="Arial" w:cs="Arial"/>
        </w:rPr>
        <w:t>Para 28</w:t>
      </w:r>
      <w:r w:rsidR="007F6A54">
        <w:rPr>
          <w:rFonts w:ascii="Arial" w:hAnsi="Arial" w:cs="Arial"/>
        </w:rPr>
        <w:t>.</w:t>
      </w:r>
    </w:p>
  </w:footnote>
  <w:footnote w:id="26">
    <w:p w:rsidR="00C127A8" w:rsidRDefault="00C127A8" w:rsidP="006B7081">
      <w:pPr>
        <w:pStyle w:val="FootnoteText"/>
        <w:ind w:left="284" w:hanging="284"/>
      </w:pPr>
      <w:r w:rsidRPr="004D2E9D">
        <w:rPr>
          <w:rStyle w:val="FootnoteReference"/>
          <w:rFonts w:ascii="Arial" w:hAnsi="Arial" w:cs="Arial"/>
        </w:rPr>
        <w:footnoteRef/>
      </w:r>
      <w:r w:rsidRPr="004D2E9D">
        <w:rPr>
          <w:rFonts w:ascii="Arial" w:hAnsi="Arial" w:cs="Arial"/>
        </w:rPr>
        <w:t xml:space="preserve"> </w:t>
      </w:r>
      <w:r w:rsidR="006B7081">
        <w:rPr>
          <w:rFonts w:ascii="Arial" w:hAnsi="Arial" w:cs="Arial"/>
        </w:rPr>
        <w:tab/>
      </w:r>
      <w:r w:rsidRPr="00182B46">
        <w:rPr>
          <w:rFonts w:ascii="Arial" w:hAnsi="Arial" w:cs="Arial"/>
        </w:rPr>
        <w:t>Para 42.2</w:t>
      </w:r>
      <w:r w:rsidR="007F6A54">
        <w:rPr>
          <w:rFonts w:ascii="Arial" w:hAnsi="Arial" w:cs="Arial"/>
        </w:rPr>
        <w:t>.</w:t>
      </w:r>
      <w:r w:rsidRPr="00182B46">
        <w:rPr>
          <w:rFonts w:ascii="Arial" w:hAnsi="Arial" w:cs="Arial"/>
        </w:rPr>
        <w:t xml:space="preserve"> </w:t>
      </w:r>
    </w:p>
  </w:footnote>
  <w:footnote w:id="27">
    <w:p w:rsidR="000F7DD5" w:rsidRPr="004566D9" w:rsidRDefault="000F7DD5" w:rsidP="006B7081">
      <w:pPr>
        <w:pStyle w:val="FootnoteText"/>
        <w:ind w:left="142" w:hanging="142"/>
        <w:rPr>
          <w:rFonts w:ascii="Arial" w:hAnsi="Arial" w:cs="Arial"/>
        </w:rPr>
      </w:pPr>
      <w:r w:rsidRPr="004566D9">
        <w:rPr>
          <w:rStyle w:val="FootnoteReference"/>
          <w:rFonts w:ascii="Arial" w:hAnsi="Arial" w:cs="Arial"/>
        </w:rPr>
        <w:footnoteRef/>
      </w:r>
      <w:r w:rsidRPr="004566D9">
        <w:rPr>
          <w:rFonts w:ascii="Arial" w:hAnsi="Arial" w:cs="Arial"/>
        </w:rPr>
        <w:t xml:space="preserve"> </w:t>
      </w:r>
      <w:r w:rsidR="007F6A54">
        <w:rPr>
          <w:rFonts w:ascii="Arial" w:hAnsi="Arial" w:cs="Arial"/>
        </w:rPr>
        <w:t xml:space="preserve"> </w:t>
      </w:r>
      <w:r w:rsidRPr="004566D9">
        <w:rPr>
          <w:rFonts w:ascii="Arial" w:hAnsi="Arial" w:cs="Arial"/>
        </w:rPr>
        <w:t>Para 30</w:t>
      </w:r>
      <w:r w:rsidR="007F6A54">
        <w:rPr>
          <w:rFonts w:ascii="Arial" w:hAnsi="Arial" w:cs="Arial"/>
        </w:rPr>
        <w:t>.</w:t>
      </w:r>
    </w:p>
  </w:footnote>
  <w:footnote w:id="28">
    <w:p w:rsidR="004F501F" w:rsidRPr="004F501F" w:rsidRDefault="004F501F" w:rsidP="006B7081">
      <w:pPr>
        <w:pStyle w:val="FootnoteText"/>
        <w:ind w:left="142" w:hanging="142"/>
        <w:rPr>
          <w:lang w:val="en-GB"/>
        </w:rPr>
      </w:pPr>
      <w:r w:rsidRPr="004566D9">
        <w:rPr>
          <w:rStyle w:val="FootnoteReference"/>
          <w:rFonts w:ascii="Arial" w:hAnsi="Arial" w:cs="Arial"/>
        </w:rPr>
        <w:footnoteRef/>
      </w:r>
      <w:r w:rsidRPr="004566D9">
        <w:rPr>
          <w:rFonts w:ascii="Arial" w:hAnsi="Arial" w:cs="Arial"/>
        </w:rPr>
        <w:t xml:space="preserve"> </w:t>
      </w:r>
      <w:r w:rsidR="007F6A54">
        <w:rPr>
          <w:rFonts w:ascii="Arial" w:hAnsi="Arial" w:cs="Arial"/>
        </w:rPr>
        <w:t xml:space="preserve"> </w:t>
      </w:r>
      <w:r w:rsidRPr="004566D9">
        <w:rPr>
          <w:rFonts w:ascii="Arial" w:hAnsi="Arial" w:cs="Arial"/>
          <w:i/>
          <w:iCs/>
        </w:rPr>
        <w:t xml:space="preserve">Industrial Development Corporation of South Africa Limited  v PFE International Inc (BVI) and Others </w:t>
      </w:r>
      <w:r w:rsidRPr="004566D9">
        <w:rPr>
          <w:rFonts w:ascii="Arial" w:hAnsi="Arial" w:cs="Arial"/>
        </w:rPr>
        <w:t>2012 (2) SA 269 (SCA)</w:t>
      </w:r>
      <w:r w:rsidRPr="004566D9">
        <w:rPr>
          <w:rFonts w:ascii="Arial" w:hAnsi="Arial" w:cs="Arial"/>
          <w:i/>
          <w:iCs/>
        </w:rPr>
        <w:t xml:space="preserve"> </w:t>
      </w:r>
      <w:r w:rsidRPr="004566D9">
        <w:rPr>
          <w:rFonts w:ascii="Arial" w:hAnsi="Arial" w:cs="Arial"/>
        </w:rPr>
        <w:t>para 31</w:t>
      </w:r>
      <w:r w:rsidR="007F6A54">
        <w:rPr>
          <w:rFonts w:ascii="Arial" w:hAnsi="Arial" w:cs="Arial"/>
        </w:rPr>
        <w:t>.</w:t>
      </w:r>
    </w:p>
  </w:footnote>
  <w:footnote w:id="29">
    <w:p w:rsidR="006B248F" w:rsidRPr="00EA2C84" w:rsidRDefault="006B248F" w:rsidP="00EA2C84">
      <w:pPr>
        <w:pStyle w:val="FootnoteText"/>
        <w:ind w:left="284" w:hanging="284"/>
        <w:rPr>
          <w:rFonts w:ascii="Arial" w:hAnsi="Arial" w:cs="Arial"/>
        </w:rPr>
      </w:pPr>
      <w:r w:rsidRPr="00EA2C84">
        <w:rPr>
          <w:rStyle w:val="FootnoteReference"/>
          <w:rFonts w:ascii="Arial" w:hAnsi="Arial" w:cs="Arial"/>
        </w:rPr>
        <w:footnoteRef/>
      </w:r>
      <w:r w:rsidRPr="00EA2C84">
        <w:rPr>
          <w:rFonts w:ascii="Arial" w:hAnsi="Arial" w:cs="Arial"/>
        </w:rPr>
        <w:t xml:space="preserve"> </w:t>
      </w:r>
      <w:r w:rsidR="003B387C">
        <w:rPr>
          <w:rFonts w:ascii="Arial" w:hAnsi="Arial" w:cs="Arial"/>
        </w:rPr>
        <w:tab/>
      </w:r>
      <w:r w:rsidRPr="00EA2C84">
        <w:rPr>
          <w:rFonts w:ascii="Arial" w:hAnsi="Arial" w:cs="Arial"/>
          <w:i/>
          <w:iCs/>
          <w:shd w:val="clear" w:color="auto" w:fill="FFFFFF"/>
        </w:rPr>
        <w:t>Minister for Provincial and Local Government v Unrecognised Traditional Leaders, Limpopo Province (Sekhukhuneland)</w:t>
      </w:r>
      <w:r w:rsidRPr="00EA2C84">
        <w:rPr>
          <w:rFonts w:ascii="Arial" w:hAnsi="Arial" w:cs="Arial"/>
          <w:shd w:val="clear" w:color="auto" w:fill="FFFFFF"/>
        </w:rPr>
        <w:t xml:space="preserve"> 2005 (2) SA 110 (SCA) paras 15 – 17</w:t>
      </w:r>
      <w:r w:rsidR="00124E0A">
        <w:rPr>
          <w:rFonts w:ascii="Arial" w:hAnsi="Arial" w:cs="Arial"/>
          <w:shd w:val="clear" w:color="auto" w:fill="FFFFFF"/>
        </w:rPr>
        <w:t>.</w:t>
      </w:r>
      <w:r w:rsidRPr="00EA2C84">
        <w:rPr>
          <w:rFonts w:ascii="Arial" w:hAnsi="Arial" w:cs="Arial"/>
          <w:shd w:val="clear" w:color="auto" w:fill="FFFFFF"/>
        </w:rPr>
        <w:t xml:space="preserve"> </w:t>
      </w:r>
    </w:p>
  </w:footnote>
  <w:footnote w:id="30">
    <w:p w:rsidR="00F05E5F" w:rsidRPr="006B248F" w:rsidRDefault="00F05E5F" w:rsidP="00F05E5F">
      <w:pPr>
        <w:pStyle w:val="FootnoteText"/>
        <w:rPr>
          <w:rFonts w:ascii="Arial" w:hAnsi="Arial" w:cs="Arial"/>
        </w:rPr>
      </w:pPr>
      <w:r w:rsidRPr="00562807">
        <w:rPr>
          <w:rStyle w:val="FootnoteReference"/>
          <w:rFonts w:ascii="Arial" w:hAnsi="Arial" w:cs="Arial"/>
        </w:rPr>
        <w:footnoteRef/>
      </w:r>
      <w:r w:rsidRPr="00562807">
        <w:rPr>
          <w:rFonts w:ascii="Arial" w:hAnsi="Arial" w:cs="Arial"/>
        </w:rPr>
        <w:t xml:space="preserve"> </w:t>
      </w:r>
      <w:r w:rsidR="007F6A54">
        <w:rPr>
          <w:rFonts w:ascii="Arial" w:hAnsi="Arial" w:cs="Arial"/>
        </w:rPr>
        <w:t xml:space="preserve"> </w:t>
      </w:r>
      <w:r w:rsidRPr="00562807">
        <w:rPr>
          <w:rFonts w:ascii="Arial" w:hAnsi="Arial" w:cs="Arial"/>
          <w:i/>
          <w:iCs/>
        </w:rPr>
        <w:t>M</w:t>
      </w:r>
      <w:r w:rsidR="0091563B" w:rsidRPr="00562807">
        <w:rPr>
          <w:rFonts w:ascii="Arial" w:hAnsi="Arial" w:cs="Arial"/>
          <w:i/>
          <w:iCs/>
        </w:rPr>
        <w:t xml:space="preserve">ail </w:t>
      </w:r>
      <w:r w:rsidRPr="00562807">
        <w:rPr>
          <w:rFonts w:ascii="Arial" w:hAnsi="Arial" w:cs="Arial"/>
          <w:i/>
          <w:iCs/>
        </w:rPr>
        <w:t>&amp;</w:t>
      </w:r>
      <w:r w:rsidR="007F6A54">
        <w:rPr>
          <w:rFonts w:ascii="Arial" w:hAnsi="Arial" w:cs="Arial"/>
          <w:i/>
          <w:iCs/>
        </w:rPr>
        <w:t xml:space="preserve"> </w:t>
      </w:r>
      <w:r w:rsidRPr="00562807">
        <w:rPr>
          <w:rFonts w:ascii="Arial" w:hAnsi="Arial" w:cs="Arial"/>
          <w:i/>
          <w:iCs/>
        </w:rPr>
        <w:t>G</w:t>
      </w:r>
      <w:r w:rsidR="0091563B" w:rsidRPr="00562807">
        <w:rPr>
          <w:rFonts w:ascii="Arial" w:hAnsi="Arial" w:cs="Arial"/>
          <w:i/>
          <w:iCs/>
        </w:rPr>
        <w:t>uardian</w:t>
      </w:r>
      <w:r w:rsidRPr="00562807">
        <w:rPr>
          <w:rFonts w:ascii="Arial" w:hAnsi="Arial" w:cs="Arial"/>
          <w:i/>
          <w:iCs/>
        </w:rPr>
        <w:t xml:space="preserve"> SCA</w:t>
      </w:r>
      <w:r w:rsidRPr="00562807">
        <w:rPr>
          <w:rFonts w:ascii="Arial" w:hAnsi="Arial" w:cs="Arial"/>
        </w:rPr>
        <w:t xml:space="preserve"> </w:t>
      </w:r>
      <w:r w:rsidRPr="00562807">
        <w:rPr>
          <w:rFonts w:ascii="Arial" w:hAnsi="Arial" w:cs="Arial"/>
          <w:i/>
          <w:iCs/>
        </w:rPr>
        <w:t>1</w:t>
      </w:r>
      <w:r w:rsidRPr="00562807">
        <w:rPr>
          <w:rFonts w:ascii="Arial" w:hAnsi="Arial" w:cs="Arial"/>
        </w:rPr>
        <w:t xml:space="preserve"> para 33</w:t>
      </w:r>
      <w:r w:rsidR="00124E0A">
        <w:rPr>
          <w:rFonts w:ascii="Arial" w:hAnsi="Arial" w:cs="Arial"/>
        </w:rPr>
        <w:t>.</w:t>
      </w:r>
    </w:p>
  </w:footnote>
  <w:footnote w:id="31">
    <w:p w:rsidR="001A78B3" w:rsidRPr="001A78B3" w:rsidRDefault="001A78B3">
      <w:pPr>
        <w:pStyle w:val="FootnoteText"/>
        <w:rPr>
          <w:rFonts w:ascii="Arial" w:hAnsi="Arial" w:cs="Arial"/>
          <w:lang w:val="en-GB"/>
        </w:rPr>
      </w:pPr>
      <w:r w:rsidRPr="001A78B3">
        <w:rPr>
          <w:rStyle w:val="FootnoteReference"/>
          <w:rFonts w:ascii="Arial" w:hAnsi="Arial" w:cs="Arial"/>
        </w:rPr>
        <w:footnoteRef/>
      </w:r>
      <w:r w:rsidRPr="001A78B3">
        <w:rPr>
          <w:rFonts w:ascii="Arial" w:hAnsi="Arial" w:cs="Arial"/>
        </w:rPr>
        <w:t xml:space="preserve"> </w:t>
      </w:r>
      <w:r w:rsidR="007F6A54">
        <w:rPr>
          <w:rFonts w:ascii="Arial" w:hAnsi="Arial" w:cs="Arial"/>
        </w:rPr>
        <w:t xml:space="preserve"> </w:t>
      </w:r>
      <w:r w:rsidRPr="001A78B3">
        <w:rPr>
          <w:rFonts w:ascii="Arial" w:hAnsi="Arial" w:cs="Arial"/>
          <w:lang w:val="en-GB"/>
        </w:rPr>
        <w:t xml:space="preserve">Cf </w:t>
      </w:r>
      <w:r w:rsidRPr="001A78B3">
        <w:rPr>
          <w:rFonts w:ascii="Arial" w:hAnsi="Arial" w:cs="Arial"/>
          <w:i/>
          <w:iCs/>
          <w:lang w:val="en-GB"/>
        </w:rPr>
        <w:t>Mail &amp; Guardian SCA 1</w:t>
      </w:r>
      <w:r w:rsidRPr="001A78B3">
        <w:rPr>
          <w:rFonts w:ascii="Arial" w:hAnsi="Arial" w:cs="Arial"/>
          <w:lang w:val="en-GB"/>
        </w:rPr>
        <w:t>, paras 27 – 30</w:t>
      </w:r>
      <w:r w:rsidR="00124E0A">
        <w:rPr>
          <w:rFonts w:ascii="Arial" w:hAnsi="Arial" w:cs="Arial"/>
          <w:lang w:val="en-GB"/>
        </w:rPr>
        <w:t>.</w:t>
      </w:r>
      <w:r w:rsidRPr="001A78B3">
        <w:rPr>
          <w:rFonts w:ascii="Arial" w:hAnsi="Arial" w:cs="Arial"/>
          <w:lang w:val="en-GB"/>
        </w:rPr>
        <w:t xml:space="preserve">  </w:t>
      </w:r>
    </w:p>
  </w:footnote>
  <w:footnote w:id="32">
    <w:p w:rsidR="00F221D2" w:rsidRPr="00293FC8" w:rsidRDefault="00F221D2" w:rsidP="00F221D2">
      <w:pPr>
        <w:pStyle w:val="FootnoteText"/>
        <w:rPr>
          <w:i/>
          <w:iCs/>
        </w:rPr>
      </w:pPr>
      <w:r w:rsidRPr="00132284">
        <w:rPr>
          <w:rStyle w:val="FootnoteReference"/>
          <w:rFonts w:ascii="Arial" w:hAnsi="Arial" w:cs="Arial"/>
        </w:rPr>
        <w:footnoteRef/>
      </w:r>
      <w:r w:rsidRPr="00132284">
        <w:rPr>
          <w:rFonts w:ascii="Arial" w:hAnsi="Arial" w:cs="Arial"/>
        </w:rPr>
        <w:t xml:space="preserve"> </w:t>
      </w:r>
      <w:r w:rsidR="00790B03">
        <w:rPr>
          <w:rFonts w:ascii="Arial" w:hAnsi="Arial" w:cs="Arial"/>
        </w:rPr>
        <w:t xml:space="preserve">  </w:t>
      </w:r>
      <w:r w:rsidR="00132284" w:rsidRPr="00132284">
        <w:rPr>
          <w:rFonts w:ascii="Arial" w:hAnsi="Arial" w:cs="Arial"/>
          <w:i/>
          <w:iCs/>
          <w:color w:val="000000" w:themeColor="text1"/>
          <w:lang w:val="en-GB"/>
        </w:rPr>
        <w:t>A</w:t>
      </w:r>
      <w:r w:rsidR="00132284" w:rsidRPr="00132284">
        <w:rPr>
          <w:rFonts w:ascii="Arial" w:hAnsi="Arial" w:cs="Arial"/>
          <w:i/>
          <w:iCs/>
          <w:color w:val="000000" w:themeColor="text1"/>
        </w:rPr>
        <w:t>fric Oil (Pty) Ltd v Ramadaan Investments CC</w:t>
      </w:r>
      <w:r w:rsidR="00132284" w:rsidRPr="00132284">
        <w:rPr>
          <w:rFonts w:ascii="Arial" w:hAnsi="Arial" w:cs="Arial"/>
          <w:color w:val="000000" w:themeColor="text1"/>
          <w:shd w:val="clear" w:color="auto" w:fill="FFFFFF"/>
        </w:rPr>
        <w:t> </w:t>
      </w:r>
      <w:hyperlink r:id="rId3" w:history="1">
        <w:r w:rsidR="00132284" w:rsidRPr="00132284">
          <w:rPr>
            <w:rStyle w:val="Hyperlink"/>
            <w:rFonts w:ascii="Arial" w:hAnsi="Arial" w:cs="Arial"/>
            <w:color w:val="000000" w:themeColor="text1"/>
            <w:u w:val="none"/>
          </w:rPr>
          <w:t>2004 (1)</w:t>
        </w:r>
        <w:r w:rsidR="00132284" w:rsidRPr="00132284">
          <w:rPr>
            <w:rStyle w:val="apple-converted-space"/>
            <w:rFonts w:ascii="Arial" w:hAnsi="Arial" w:cs="Arial"/>
            <w:color w:val="000000" w:themeColor="text1"/>
          </w:rPr>
          <w:t> </w:t>
        </w:r>
        <w:r w:rsidR="00132284" w:rsidRPr="00132284">
          <w:rPr>
            <w:rStyle w:val="Hyperlink"/>
            <w:rFonts w:ascii="Arial" w:hAnsi="Arial" w:cs="Arial"/>
            <w:color w:val="000000" w:themeColor="text1"/>
            <w:u w:val="none"/>
          </w:rPr>
          <w:t>SA</w:t>
        </w:r>
        <w:r w:rsidR="00132284" w:rsidRPr="00132284">
          <w:rPr>
            <w:rStyle w:val="apple-converted-space"/>
            <w:rFonts w:ascii="Arial" w:hAnsi="Arial" w:cs="Arial"/>
            <w:color w:val="000000" w:themeColor="text1"/>
          </w:rPr>
          <w:t> </w:t>
        </w:r>
        <w:r w:rsidR="00132284" w:rsidRPr="00132284">
          <w:rPr>
            <w:rStyle w:val="Hyperlink"/>
            <w:rFonts w:ascii="Arial" w:hAnsi="Arial" w:cs="Arial"/>
            <w:color w:val="000000" w:themeColor="text1"/>
            <w:u w:val="none"/>
          </w:rPr>
          <w:t>35 (N)</w:t>
        </w:r>
      </w:hyperlink>
      <w:r w:rsidR="00132284" w:rsidRPr="00132284">
        <w:rPr>
          <w:rStyle w:val="apple-converted-space"/>
          <w:rFonts w:ascii="Arial" w:hAnsi="Arial" w:cs="Arial"/>
          <w:color w:val="000000" w:themeColor="text1"/>
          <w:shd w:val="clear" w:color="auto" w:fill="FFFFFF"/>
        </w:rPr>
        <w:t> </w:t>
      </w:r>
      <w:r w:rsidR="00132284" w:rsidRPr="00132284">
        <w:rPr>
          <w:rFonts w:ascii="Arial" w:hAnsi="Arial" w:cs="Arial"/>
          <w:color w:val="000000" w:themeColor="text1"/>
          <w:shd w:val="clear" w:color="auto" w:fill="FFFFFF"/>
        </w:rPr>
        <w:t>at 38J - 39A.</w:t>
      </w:r>
    </w:p>
  </w:footnote>
  <w:footnote w:id="33">
    <w:p w:rsidR="00642C38" w:rsidRPr="00EA2C84" w:rsidRDefault="00642C38" w:rsidP="00EA2C84">
      <w:pPr>
        <w:pStyle w:val="NoSpacing"/>
        <w:ind w:left="284" w:hanging="284"/>
        <w:jc w:val="both"/>
        <w:rPr>
          <w:rFonts w:ascii="Arial" w:hAnsi="Arial" w:cs="Arial"/>
          <w:sz w:val="20"/>
          <w:szCs w:val="20"/>
        </w:rPr>
      </w:pPr>
      <w:r w:rsidRPr="00EA2C84">
        <w:rPr>
          <w:rStyle w:val="FootnoteReference"/>
          <w:rFonts w:ascii="Arial" w:hAnsi="Arial" w:cs="Arial"/>
          <w:sz w:val="20"/>
          <w:szCs w:val="20"/>
        </w:rPr>
        <w:footnoteRef/>
      </w:r>
      <w:r w:rsidRPr="00EA2C84">
        <w:rPr>
          <w:rFonts w:ascii="Arial" w:hAnsi="Arial" w:cs="Arial"/>
          <w:sz w:val="20"/>
          <w:szCs w:val="20"/>
        </w:rPr>
        <w:t xml:space="preserve"> </w:t>
      </w:r>
      <w:r w:rsidR="00EA2C84">
        <w:rPr>
          <w:rFonts w:ascii="Arial" w:hAnsi="Arial" w:cs="Arial"/>
          <w:sz w:val="20"/>
          <w:szCs w:val="20"/>
        </w:rPr>
        <w:tab/>
      </w:r>
      <w:r w:rsidRPr="00EA2C84">
        <w:rPr>
          <w:rFonts w:ascii="Arial" w:hAnsi="Arial" w:cs="Arial"/>
          <w:sz w:val="20"/>
          <w:szCs w:val="20"/>
        </w:rPr>
        <w:t>In dismissing the applicant's appeal, the Premier also contended that these documents were classified as contemplated in the Minimum Information Security Standards compiled by the State Security Agency as a result of which access had to be refused in terms of section 5(a) but this ground was not referred to in the  answering affidavit.</w:t>
      </w:r>
    </w:p>
  </w:footnote>
  <w:footnote w:id="34">
    <w:p w:rsidR="00EC7FE8" w:rsidRPr="00EA2C84" w:rsidRDefault="00EC7FE8" w:rsidP="00EA2C84">
      <w:pPr>
        <w:pStyle w:val="NoSpacing"/>
        <w:ind w:left="284" w:hanging="284"/>
        <w:jc w:val="both"/>
        <w:rPr>
          <w:rFonts w:ascii="Arial" w:hAnsi="Arial" w:cs="Arial"/>
          <w:sz w:val="20"/>
          <w:szCs w:val="20"/>
        </w:rPr>
      </w:pPr>
      <w:r w:rsidRPr="00EA2C84">
        <w:rPr>
          <w:rStyle w:val="FootnoteReference"/>
          <w:rFonts w:ascii="Arial" w:hAnsi="Arial" w:cs="Arial"/>
          <w:sz w:val="20"/>
          <w:szCs w:val="20"/>
        </w:rPr>
        <w:footnoteRef/>
      </w:r>
      <w:r w:rsidRPr="00EA2C84">
        <w:rPr>
          <w:rFonts w:ascii="Arial" w:hAnsi="Arial" w:cs="Arial"/>
          <w:sz w:val="20"/>
          <w:szCs w:val="20"/>
          <w:vertAlign w:val="superscript"/>
        </w:rPr>
        <w:t xml:space="preserve"> </w:t>
      </w:r>
      <w:r w:rsidR="00EA2C84">
        <w:rPr>
          <w:rFonts w:ascii="Arial" w:hAnsi="Arial" w:cs="Arial"/>
          <w:sz w:val="20"/>
          <w:szCs w:val="20"/>
          <w:vertAlign w:val="superscript"/>
        </w:rPr>
        <w:tab/>
      </w:r>
      <w:r w:rsidRPr="00EA2C84">
        <w:rPr>
          <w:rFonts w:ascii="Arial" w:hAnsi="Arial" w:cs="Arial"/>
          <w:sz w:val="20"/>
          <w:szCs w:val="20"/>
        </w:rPr>
        <w:t xml:space="preserve">See for example Iain Currie &amp; Jonathan Klaaren The Promotion of Access to </w:t>
      </w:r>
      <w:r w:rsidR="00C225C2" w:rsidRPr="00EA2C84">
        <w:rPr>
          <w:rFonts w:ascii="Arial" w:hAnsi="Arial" w:cs="Arial"/>
          <w:sz w:val="20"/>
          <w:szCs w:val="20"/>
        </w:rPr>
        <w:t>Information</w:t>
      </w:r>
      <w:r w:rsidRPr="00EA2C84">
        <w:rPr>
          <w:rFonts w:ascii="Arial" w:hAnsi="Arial" w:cs="Arial"/>
          <w:sz w:val="20"/>
          <w:szCs w:val="20"/>
        </w:rPr>
        <w:t xml:space="preserve"> Act Commentary (2002) para 4.7</w:t>
      </w:r>
      <w:r w:rsidR="00C225C2" w:rsidRPr="00EA2C84">
        <w:rPr>
          <w:rFonts w:ascii="Arial" w:hAnsi="Arial" w:cs="Arial"/>
          <w:sz w:val="20"/>
          <w:szCs w:val="20"/>
        </w:rPr>
        <w:t xml:space="preserve"> and K Malan To what extent should the Convention of Cabinet Secrecy still be recognised in South African constitutional law? De Jure Law Journal, vol 49, n1, Pretoria 2016.</w:t>
      </w:r>
    </w:p>
  </w:footnote>
  <w:footnote w:id="35">
    <w:p w:rsidR="00077743" w:rsidRPr="00EA69ED" w:rsidRDefault="00077743" w:rsidP="00EA69ED">
      <w:pPr>
        <w:pStyle w:val="FootnoteText"/>
        <w:ind w:left="284" w:hanging="284"/>
        <w:rPr>
          <w:rFonts w:ascii="Arial" w:hAnsi="Arial" w:cs="Arial"/>
        </w:rPr>
      </w:pPr>
      <w:r w:rsidRPr="00EA69ED">
        <w:rPr>
          <w:rStyle w:val="FootnoteReference"/>
          <w:rFonts w:ascii="Arial" w:hAnsi="Arial" w:cs="Arial"/>
        </w:rPr>
        <w:footnoteRef/>
      </w:r>
      <w:r w:rsidRPr="00EA69ED">
        <w:rPr>
          <w:rFonts w:ascii="Arial" w:hAnsi="Arial" w:cs="Arial"/>
        </w:rPr>
        <w:t xml:space="preserve"> </w:t>
      </w:r>
      <w:r w:rsidR="00EA69ED">
        <w:rPr>
          <w:rFonts w:ascii="Arial" w:hAnsi="Arial" w:cs="Arial"/>
        </w:rPr>
        <w:tab/>
      </w:r>
      <w:r w:rsidRPr="00EA69ED">
        <w:rPr>
          <w:rFonts w:ascii="Arial" w:hAnsi="Arial" w:cs="Arial"/>
        </w:rPr>
        <w:t>Woolman et al C</w:t>
      </w:r>
      <w:r w:rsidRPr="00EA69ED">
        <w:rPr>
          <w:rFonts w:ascii="Arial" w:hAnsi="Arial" w:cs="Arial"/>
          <w:i/>
          <w:iCs/>
        </w:rPr>
        <w:t>onstitutional Law of South Africa</w:t>
      </w:r>
      <w:r w:rsidRPr="00EA69ED">
        <w:rPr>
          <w:rFonts w:ascii="Arial" w:hAnsi="Arial" w:cs="Arial"/>
        </w:rPr>
        <w:t>, Second Edition, Volume 4, Chapter 62, para 62.5(b)</w:t>
      </w:r>
    </w:p>
  </w:footnote>
  <w:footnote w:id="36">
    <w:p w:rsidR="001310D1" w:rsidRPr="00EA69ED" w:rsidRDefault="001310D1" w:rsidP="00EA69ED">
      <w:pPr>
        <w:pStyle w:val="FootnoteText"/>
        <w:ind w:left="284" w:hanging="284"/>
        <w:rPr>
          <w:rFonts w:ascii="Arial" w:hAnsi="Arial" w:cs="Arial"/>
        </w:rPr>
      </w:pPr>
      <w:r w:rsidRPr="00EA69ED">
        <w:rPr>
          <w:rStyle w:val="FootnoteReference"/>
          <w:rFonts w:ascii="Arial" w:hAnsi="Arial" w:cs="Arial"/>
        </w:rPr>
        <w:footnoteRef/>
      </w:r>
      <w:r w:rsidRPr="00EA69ED">
        <w:rPr>
          <w:rFonts w:ascii="Arial" w:hAnsi="Arial" w:cs="Arial"/>
        </w:rPr>
        <w:t xml:space="preserve"> </w:t>
      </w:r>
      <w:r w:rsidR="00EA69ED">
        <w:rPr>
          <w:rFonts w:ascii="Arial" w:hAnsi="Arial" w:cs="Arial"/>
        </w:rPr>
        <w:tab/>
      </w:r>
      <w:r w:rsidRPr="00EA69ED">
        <w:rPr>
          <w:rFonts w:ascii="Arial" w:hAnsi="Arial" w:cs="Arial"/>
          <w:i/>
          <w:iCs/>
          <w:bdr w:val="none" w:sz="0" w:space="0" w:color="auto" w:frame="1"/>
        </w:rPr>
        <w:t>President of the Republic of South Africa and Others v South African Rugby Football Union and Others</w:t>
      </w:r>
      <w:r w:rsidRPr="00EA69ED">
        <w:rPr>
          <w:rStyle w:val="apple-converted-space"/>
          <w:rFonts w:ascii="Arial" w:hAnsi="Arial" w:cs="Arial"/>
          <w:shd w:val="clear" w:color="auto" w:fill="FFFFFF"/>
        </w:rPr>
        <w:t> </w:t>
      </w:r>
      <w:r w:rsidRPr="00EA69ED">
        <w:rPr>
          <w:rFonts w:ascii="Arial" w:hAnsi="Arial" w:cs="Arial"/>
          <w:shd w:val="clear" w:color="auto" w:fill="FFFFFF"/>
        </w:rPr>
        <w:t>2000 (1) SA 1 (CC) para 243.</w:t>
      </w:r>
    </w:p>
  </w:footnote>
  <w:footnote w:id="37">
    <w:p w:rsidR="00383A47" w:rsidRDefault="00383A47" w:rsidP="00EA69ED">
      <w:pPr>
        <w:pStyle w:val="FootnoteText"/>
        <w:ind w:left="284" w:hanging="284"/>
      </w:pPr>
      <w:r w:rsidRPr="00EA69ED">
        <w:rPr>
          <w:rStyle w:val="FootnoteReference"/>
          <w:rFonts w:ascii="Arial" w:hAnsi="Arial" w:cs="Arial"/>
        </w:rPr>
        <w:footnoteRef/>
      </w:r>
      <w:r w:rsidRPr="00EA69ED">
        <w:rPr>
          <w:rFonts w:ascii="Arial" w:hAnsi="Arial" w:cs="Arial"/>
        </w:rPr>
        <w:t xml:space="preserve"> </w:t>
      </w:r>
      <w:r w:rsidR="00EA69ED">
        <w:rPr>
          <w:rFonts w:ascii="Arial" w:hAnsi="Arial" w:cs="Arial"/>
        </w:rPr>
        <w:tab/>
      </w:r>
      <w:r w:rsidRPr="00EA69ED">
        <w:rPr>
          <w:rFonts w:ascii="Arial" w:hAnsi="Arial" w:cs="Arial"/>
        </w:rPr>
        <w:t>https://www.gov.uk/government/publications/ministerial-code/ministerial-code#ministers-and-the-government</w:t>
      </w:r>
    </w:p>
  </w:footnote>
  <w:footnote w:id="38">
    <w:p w:rsidR="00BB32A1" w:rsidRPr="00BB32A1" w:rsidRDefault="00BB32A1" w:rsidP="00EA69ED">
      <w:pPr>
        <w:pStyle w:val="FootnoteText"/>
        <w:ind w:left="284" w:hanging="284"/>
        <w:rPr>
          <w:rFonts w:ascii="Arial" w:hAnsi="Arial" w:cs="Arial"/>
        </w:rPr>
      </w:pPr>
      <w:r w:rsidRPr="00BB32A1">
        <w:rPr>
          <w:rStyle w:val="FootnoteReference"/>
          <w:rFonts w:ascii="Arial" w:hAnsi="Arial" w:cs="Arial"/>
        </w:rPr>
        <w:footnoteRef/>
      </w:r>
      <w:r w:rsidRPr="00BB32A1">
        <w:rPr>
          <w:rFonts w:ascii="Arial" w:hAnsi="Arial" w:cs="Arial"/>
        </w:rPr>
        <w:t xml:space="preserve"> </w:t>
      </w:r>
      <w:r w:rsidR="00EA69ED">
        <w:rPr>
          <w:rFonts w:ascii="Arial" w:hAnsi="Arial" w:cs="Arial"/>
        </w:rPr>
        <w:tab/>
      </w:r>
      <w:r w:rsidRPr="00BB32A1">
        <w:rPr>
          <w:rFonts w:ascii="Arial" w:hAnsi="Arial" w:cs="Arial"/>
        </w:rPr>
        <w:t>Which reads: ‘Members of the cabinet are accountable, collectively, and individually to Parliament for the exercise of the powers and performance of the functions.’</w:t>
      </w:r>
    </w:p>
  </w:footnote>
  <w:footnote w:id="39">
    <w:p w:rsidR="00383A47" w:rsidRPr="00383A47" w:rsidRDefault="00383A47" w:rsidP="00EA69ED">
      <w:pPr>
        <w:pStyle w:val="FootnoteText"/>
        <w:ind w:left="284" w:hanging="284"/>
        <w:rPr>
          <w:rFonts w:ascii="Arial" w:hAnsi="Arial" w:cs="Arial"/>
        </w:rPr>
      </w:pPr>
      <w:r w:rsidRPr="00383A47">
        <w:rPr>
          <w:rStyle w:val="FootnoteReference"/>
          <w:rFonts w:ascii="Arial" w:hAnsi="Arial" w:cs="Arial"/>
        </w:rPr>
        <w:footnoteRef/>
      </w:r>
      <w:r w:rsidRPr="00383A47">
        <w:rPr>
          <w:rFonts w:ascii="Arial" w:hAnsi="Arial" w:cs="Arial"/>
        </w:rPr>
        <w:t xml:space="preserve"> </w:t>
      </w:r>
      <w:r w:rsidR="003346EB">
        <w:rPr>
          <w:rFonts w:ascii="Arial" w:hAnsi="Arial" w:cs="Arial"/>
        </w:rPr>
        <w:t xml:space="preserve">  </w:t>
      </w:r>
      <w:r w:rsidRPr="00383A47">
        <w:rPr>
          <w:rFonts w:ascii="Arial" w:hAnsi="Arial" w:cs="Arial"/>
        </w:rPr>
        <w:t>By virtue of section 125(2)(b</w:t>
      </w:r>
      <w:r w:rsidR="00DB2734">
        <w:rPr>
          <w:rFonts w:ascii="Arial" w:hAnsi="Arial" w:cs="Arial"/>
        </w:rPr>
        <w:t>) of the Constitution</w:t>
      </w:r>
      <w:r w:rsidR="00EA69ED">
        <w:rPr>
          <w:rFonts w:ascii="Arial" w:hAnsi="Arial" w:cs="Arial"/>
        </w:rPr>
        <w:t>.</w:t>
      </w:r>
    </w:p>
  </w:footnote>
  <w:footnote w:id="40">
    <w:p w:rsidR="00383A47" w:rsidRPr="00383A47" w:rsidRDefault="00383A47" w:rsidP="00EA69ED">
      <w:pPr>
        <w:pStyle w:val="FootnoteText"/>
        <w:ind w:left="284" w:hanging="284"/>
        <w:rPr>
          <w:rFonts w:ascii="Arial" w:hAnsi="Arial" w:cs="Arial"/>
        </w:rPr>
      </w:pPr>
      <w:r w:rsidRPr="00383A47">
        <w:rPr>
          <w:rStyle w:val="FootnoteReference"/>
          <w:rFonts w:ascii="Arial" w:hAnsi="Arial" w:cs="Arial"/>
        </w:rPr>
        <w:footnoteRef/>
      </w:r>
      <w:r w:rsidRPr="00383A47">
        <w:rPr>
          <w:rFonts w:ascii="Arial" w:hAnsi="Arial" w:cs="Arial"/>
        </w:rPr>
        <w:t xml:space="preserve"> </w:t>
      </w:r>
      <w:r w:rsidR="00EA69ED">
        <w:rPr>
          <w:rFonts w:ascii="Arial" w:hAnsi="Arial" w:cs="Arial"/>
        </w:rPr>
        <w:tab/>
      </w:r>
      <w:r w:rsidRPr="00383A47">
        <w:rPr>
          <w:rFonts w:ascii="Arial" w:hAnsi="Arial" w:cs="Arial"/>
        </w:rPr>
        <w:t xml:space="preserve">Section 34 of Australia’s Freedom of Information Act 3 of 1982  is one such example.  </w:t>
      </w:r>
    </w:p>
  </w:footnote>
  <w:footnote w:id="41">
    <w:p w:rsidR="00FE59A1" w:rsidRDefault="00FE59A1" w:rsidP="00EA69ED">
      <w:pPr>
        <w:pStyle w:val="FootnoteText"/>
        <w:ind w:left="284" w:hanging="284"/>
      </w:pPr>
      <w:r w:rsidRPr="00383A47">
        <w:rPr>
          <w:rStyle w:val="FootnoteReference"/>
          <w:rFonts w:ascii="Arial" w:hAnsi="Arial" w:cs="Arial"/>
        </w:rPr>
        <w:footnoteRef/>
      </w:r>
      <w:r w:rsidRPr="00383A47">
        <w:rPr>
          <w:rFonts w:ascii="Arial" w:hAnsi="Arial" w:cs="Arial"/>
        </w:rPr>
        <w:t xml:space="preserve"> </w:t>
      </w:r>
      <w:r w:rsidR="00EA69ED">
        <w:rPr>
          <w:rFonts w:ascii="Arial" w:hAnsi="Arial" w:cs="Arial"/>
        </w:rPr>
        <w:tab/>
      </w:r>
      <w:r w:rsidRPr="00383A47">
        <w:rPr>
          <w:rFonts w:ascii="Arial" w:hAnsi="Arial" w:cs="Arial"/>
        </w:rPr>
        <w:t xml:space="preserve">For example in </w:t>
      </w:r>
      <w:r w:rsidR="00383A47" w:rsidRPr="00383A47">
        <w:rPr>
          <w:rFonts w:ascii="Arial" w:hAnsi="Arial" w:cs="Arial"/>
        </w:rPr>
        <w:t>s</w:t>
      </w:r>
      <w:r w:rsidRPr="00383A47">
        <w:rPr>
          <w:rFonts w:ascii="Arial" w:hAnsi="Arial" w:cs="Arial"/>
        </w:rPr>
        <w:t>ections 85,91 and 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929" w:rsidRPr="00773929" w:rsidRDefault="00773929">
    <w:pPr>
      <w:pStyle w:val="Header"/>
      <w:jc w:val="right"/>
      <w:rPr>
        <w:rFonts w:ascii="Arial" w:hAnsi="Arial" w:cs="Arial"/>
      </w:rPr>
    </w:pPr>
    <w:r w:rsidRPr="00773929">
      <w:rPr>
        <w:rFonts w:ascii="Arial" w:hAnsi="Arial" w:cs="Arial"/>
      </w:rPr>
      <w:t xml:space="preserve">Page </w:t>
    </w:r>
    <w:sdt>
      <w:sdtPr>
        <w:rPr>
          <w:rFonts w:ascii="Arial" w:hAnsi="Arial" w:cs="Arial"/>
        </w:rPr>
        <w:id w:val="-104504573"/>
        <w:docPartObj>
          <w:docPartGallery w:val="Page Numbers (Top of Page)"/>
          <w:docPartUnique/>
        </w:docPartObj>
      </w:sdtPr>
      <w:sdtEndPr>
        <w:rPr>
          <w:noProof/>
        </w:rPr>
      </w:sdtEndPr>
      <w:sdtContent>
        <w:r w:rsidRPr="00773929">
          <w:rPr>
            <w:rFonts w:ascii="Arial" w:hAnsi="Arial" w:cs="Arial"/>
          </w:rPr>
          <w:fldChar w:fldCharType="begin"/>
        </w:r>
        <w:r w:rsidRPr="00773929">
          <w:rPr>
            <w:rFonts w:ascii="Arial" w:hAnsi="Arial" w:cs="Arial"/>
          </w:rPr>
          <w:instrText xml:space="preserve"> PAGE   \* MERGEFORMAT </w:instrText>
        </w:r>
        <w:r w:rsidRPr="00773929">
          <w:rPr>
            <w:rFonts w:ascii="Arial" w:hAnsi="Arial" w:cs="Arial"/>
          </w:rPr>
          <w:fldChar w:fldCharType="separate"/>
        </w:r>
        <w:r w:rsidR="00517F46">
          <w:rPr>
            <w:rFonts w:ascii="Arial" w:hAnsi="Arial" w:cs="Arial"/>
            <w:noProof/>
          </w:rPr>
          <w:t>29</w:t>
        </w:r>
        <w:r w:rsidRPr="00773929">
          <w:rPr>
            <w:rFonts w:ascii="Arial" w:hAnsi="Arial" w:cs="Arial"/>
            <w:noProof/>
          </w:rPr>
          <w:fldChar w:fldCharType="end"/>
        </w:r>
      </w:sdtContent>
    </w:sdt>
  </w:p>
  <w:p w:rsidR="00773929" w:rsidRPr="00773929" w:rsidRDefault="00773929" w:rsidP="00773929">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6396"/>
    <w:multiLevelType w:val="hybridMultilevel"/>
    <w:tmpl w:val="5CB2856A"/>
    <w:lvl w:ilvl="0" w:tplc="FFFFFFFF">
      <w:start w:val="1"/>
      <w:numFmt w:val="lowerRoman"/>
      <w:lvlText w:val="(%1)"/>
      <w:lvlJc w:val="left"/>
      <w:pPr>
        <w:ind w:left="2421" w:hanging="720"/>
      </w:pPr>
      <w:rPr>
        <w:rFonts w:hint="default"/>
      </w:r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1">
    <w:nsid w:val="00F61D5B"/>
    <w:multiLevelType w:val="hybridMultilevel"/>
    <w:tmpl w:val="426EC7B0"/>
    <w:lvl w:ilvl="0" w:tplc="405A3CAE">
      <w:start w:val="1"/>
      <w:numFmt w:val="low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04B53D91"/>
    <w:multiLevelType w:val="multilevel"/>
    <w:tmpl w:val="2ECE151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nsid w:val="05DC7F06"/>
    <w:multiLevelType w:val="hybridMultilevel"/>
    <w:tmpl w:val="1A92D9E0"/>
    <w:lvl w:ilvl="0" w:tplc="86BA21B8">
      <w:start w:val="1"/>
      <w:numFmt w:val="lowerLetter"/>
      <w:lvlText w:val="(%1)"/>
      <w:lvlJc w:val="left"/>
      <w:pPr>
        <w:ind w:left="1920" w:hanging="360"/>
      </w:pPr>
      <w:rPr>
        <w:rFonts w:hint="default"/>
        <w:i/>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4">
    <w:nsid w:val="08567FEA"/>
    <w:multiLevelType w:val="hybridMultilevel"/>
    <w:tmpl w:val="C58C0692"/>
    <w:lvl w:ilvl="0" w:tplc="D8A0EA64">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08EB54F9"/>
    <w:multiLevelType w:val="multilevel"/>
    <w:tmpl w:val="4076742E"/>
    <w:lvl w:ilvl="0">
      <w:start w:val="1"/>
      <w:numFmt w:val="decimal"/>
      <w:lvlText w:val="[%1]"/>
      <w:lvlJc w:val="left"/>
      <w:pPr>
        <w:ind w:left="3054" w:hanging="360"/>
      </w:pPr>
      <w:rPr>
        <w:rFonts w:ascii="Arial" w:hAnsi="Arial" w:cs="Arial" w:hint="default"/>
        <w:b w:val="0"/>
        <w:bCs w:val="0"/>
        <w:i w:val="0"/>
        <w:i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92A42DC"/>
    <w:multiLevelType w:val="hybridMultilevel"/>
    <w:tmpl w:val="6812F046"/>
    <w:lvl w:ilvl="0" w:tplc="6BE496C6">
      <w:start w:val="1"/>
      <w:numFmt w:val="lowerRoman"/>
      <w:lvlRestart w:val="0"/>
      <w:lvlText w:val="(%1)"/>
      <w:lvlJc w:val="left"/>
      <w:pPr>
        <w:ind w:left="2269"/>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A4819F0"/>
    <w:multiLevelType w:val="hybridMultilevel"/>
    <w:tmpl w:val="F8661620"/>
    <w:lvl w:ilvl="0" w:tplc="0B7E4ED0">
      <w:start w:val="1"/>
      <w:numFmt w:val="lowerLetter"/>
      <w:lvlText w:val="(%1)"/>
      <w:lvlJc w:val="left"/>
      <w:pPr>
        <w:ind w:left="1941" w:hanging="360"/>
      </w:pPr>
      <w:rPr>
        <w:rFonts w:hint="default"/>
        <w:i/>
      </w:rPr>
    </w:lvl>
    <w:lvl w:ilvl="1" w:tplc="1C090019" w:tentative="1">
      <w:start w:val="1"/>
      <w:numFmt w:val="lowerLetter"/>
      <w:lvlText w:val="%2."/>
      <w:lvlJc w:val="left"/>
      <w:pPr>
        <w:ind w:left="2661" w:hanging="360"/>
      </w:pPr>
    </w:lvl>
    <w:lvl w:ilvl="2" w:tplc="1C09001B" w:tentative="1">
      <w:start w:val="1"/>
      <w:numFmt w:val="lowerRoman"/>
      <w:lvlText w:val="%3."/>
      <w:lvlJc w:val="right"/>
      <w:pPr>
        <w:ind w:left="3381" w:hanging="180"/>
      </w:pPr>
    </w:lvl>
    <w:lvl w:ilvl="3" w:tplc="1C09000F" w:tentative="1">
      <w:start w:val="1"/>
      <w:numFmt w:val="decimal"/>
      <w:lvlText w:val="%4."/>
      <w:lvlJc w:val="left"/>
      <w:pPr>
        <w:ind w:left="4101" w:hanging="360"/>
      </w:pPr>
    </w:lvl>
    <w:lvl w:ilvl="4" w:tplc="1C090019" w:tentative="1">
      <w:start w:val="1"/>
      <w:numFmt w:val="lowerLetter"/>
      <w:lvlText w:val="%5."/>
      <w:lvlJc w:val="left"/>
      <w:pPr>
        <w:ind w:left="4821" w:hanging="360"/>
      </w:pPr>
    </w:lvl>
    <w:lvl w:ilvl="5" w:tplc="1C09001B" w:tentative="1">
      <w:start w:val="1"/>
      <w:numFmt w:val="lowerRoman"/>
      <w:lvlText w:val="%6."/>
      <w:lvlJc w:val="right"/>
      <w:pPr>
        <w:ind w:left="5541" w:hanging="180"/>
      </w:pPr>
    </w:lvl>
    <w:lvl w:ilvl="6" w:tplc="1C09000F" w:tentative="1">
      <w:start w:val="1"/>
      <w:numFmt w:val="decimal"/>
      <w:lvlText w:val="%7."/>
      <w:lvlJc w:val="left"/>
      <w:pPr>
        <w:ind w:left="6261" w:hanging="360"/>
      </w:pPr>
    </w:lvl>
    <w:lvl w:ilvl="7" w:tplc="1C090019" w:tentative="1">
      <w:start w:val="1"/>
      <w:numFmt w:val="lowerLetter"/>
      <w:lvlText w:val="%8."/>
      <w:lvlJc w:val="left"/>
      <w:pPr>
        <w:ind w:left="6981" w:hanging="360"/>
      </w:pPr>
    </w:lvl>
    <w:lvl w:ilvl="8" w:tplc="1C09001B" w:tentative="1">
      <w:start w:val="1"/>
      <w:numFmt w:val="lowerRoman"/>
      <w:lvlText w:val="%9."/>
      <w:lvlJc w:val="right"/>
      <w:pPr>
        <w:ind w:left="7701" w:hanging="180"/>
      </w:pPr>
    </w:lvl>
  </w:abstractNum>
  <w:abstractNum w:abstractNumId="8">
    <w:nsid w:val="0C292CD3"/>
    <w:multiLevelType w:val="multilevel"/>
    <w:tmpl w:val="6234EC30"/>
    <w:lvl w:ilvl="0">
      <w:start w:val="1"/>
      <w:numFmt w:val="decimal"/>
      <w:lvlText w:val="%1."/>
      <w:lvlJc w:val="left"/>
      <w:pPr>
        <w:ind w:left="3054"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C3321E9"/>
    <w:multiLevelType w:val="hybridMultilevel"/>
    <w:tmpl w:val="9DA8DDBA"/>
    <w:lvl w:ilvl="0" w:tplc="0108C65E">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0">
    <w:nsid w:val="0D424CC6"/>
    <w:multiLevelType w:val="hybridMultilevel"/>
    <w:tmpl w:val="8D7C7866"/>
    <w:lvl w:ilvl="0" w:tplc="6A76AE4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nsid w:val="12910836"/>
    <w:multiLevelType w:val="hybridMultilevel"/>
    <w:tmpl w:val="3B20A07A"/>
    <w:lvl w:ilvl="0" w:tplc="7834CB92">
      <w:start w:val="1"/>
      <w:numFmt w:val="lowerRoman"/>
      <w:lvlText w:val="(%1)"/>
      <w:lvlJc w:val="left"/>
      <w:pPr>
        <w:ind w:left="2874" w:hanging="720"/>
      </w:pPr>
      <w:rPr>
        <w:rFonts w:hint="default"/>
      </w:rPr>
    </w:lvl>
    <w:lvl w:ilvl="1" w:tplc="04090019" w:tentative="1">
      <w:start w:val="1"/>
      <w:numFmt w:val="lowerLetter"/>
      <w:lvlText w:val="%2."/>
      <w:lvlJc w:val="left"/>
      <w:pPr>
        <w:ind w:left="3234" w:hanging="360"/>
      </w:pPr>
    </w:lvl>
    <w:lvl w:ilvl="2" w:tplc="0409001B" w:tentative="1">
      <w:start w:val="1"/>
      <w:numFmt w:val="lowerRoman"/>
      <w:lvlText w:val="%3."/>
      <w:lvlJc w:val="right"/>
      <w:pPr>
        <w:ind w:left="3954" w:hanging="180"/>
      </w:pPr>
    </w:lvl>
    <w:lvl w:ilvl="3" w:tplc="0409000F" w:tentative="1">
      <w:start w:val="1"/>
      <w:numFmt w:val="decimal"/>
      <w:lvlText w:val="%4."/>
      <w:lvlJc w:val="left"/>
      <w:pPr>
        <w:ind w:left="4674" w:hanging="360"/>
      </w:pPr>
    </w:lvl>
    <w:lvl w:ilvl="4" w:tplc="04090019" w:tentative="1">
      <w:start w:val="1"/>
      <w:numFmt w:val="lowerLetter"/>
      <w:lvlText w:val="%5."/>
      <w:lvlJc w:val="left"/>
      <w:pPr>
        <w:ind w:left="5394" w:hanging="360"/>
      </w:pPr>
    </w:lvl>
    <w:lvl w:ilvl="5" w:tplc="0409001B" w:tentative="1">
      <w:start w:val="1"/>
      <w:numFmt w:val="lowerRoman"/>
      <w:lvlText w:val="%6."/>
      <w:lvlJc w:val="right"/>
      <w:pPr>
        <w:ind w:left="6114" w:hanging="180"/>
      </w:pPr>
    </w:lvl>
    <w:lvl w:ilvl="6" w:tplc="0409000F" w:tentative="1">
      <w:start w:val="1"/>
      <w:numFmt w:val="decimal"/>
      <w:lvlText w:val="%7."/>
      <w:lvlJc w:val="left"/>
      <w:pPr>
        <w:ind w:left="6834" w:hanging="360"/>
      </w:pPr>
    </w:lvl>
    <w:lvl w:ilvl="7" w:tplc="04090019" w:tentative="1">
      <w:start w:val="1"/>
      <w:numFmt w:val="lowerLetter"/>
      <w:lvlText w:val="%8."/>
      <w:lvlJc w:val="left"/>
      <w:pPr>
        <w:ind w:left="7554" w:hanging="360"/>
      </w:pPr>
    </w:lvl>
    <w:lvl w:ilvl="8" w:tplc="0409001B" w:tentative="1">
      <w:start w:val="1"/>
      <w:numFmt w:val="lowerRoman"/>
      <w:lvlText w:val="%9."/>
      <w:lvlJc w:val="right"/>
      <w:pPr>
        <w:ind w:left="8274" w:hanging="180"/>
      </w:pPr>
    </w:lvl>
  </w:abstractNum>
  <w:abstractNum w:abstractNumId="12">
    <w:nsid w:val="19FD3EAF"/>
    <w:multiLevelType w:val="multilevel"/>
    <w:tmpl w:val="E75C4C9C"/>
    <w:lvl w:ilvl="0">
      <w:start w:val="4"/>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3">
    <w:nsid w:val="1F873BA8"/>
    <w:multiLevelType w:val="hybridMultilevel"/>
    <w:tmpl w:val="D8E8F718"/>
    <w:lvl w:ilvl="0" w:tplc="04D48164">
      <w:start w:val="1"/>
      <w:numFmt w:val="lowerRoman"/>
      <w:lvlText w:val="(%1)"/>
      <w:lvlJc w:val="left"/>
      <w:pPr>
        <w:ind w:left="1135"/>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1" w:tplc="7B468F50">
      <w:start w:val="27"/>
      <w:numFmt w:val="lowerLetter"/>
      <w:lvlText w:val="(%2)"/>
      <w:lvlJc w:val="left"/>
      <w:pPr>
        <w:ind w:left="169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2" w:tplc="80C218BA">
      <w:start w:val="1"/>
      <w:numFmt w:val="lowerRoman"/>
      <w:lvlText w:val="%3"/>
      <w:lvlJc w:val="left"/>
      <w:pPr>
        <w:ind w:left="2193"/>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3" w:tplc="DA9292EA">
      <w:start w:val="1"/>
      <w:numFmt w:val="decimal"/>
      <w:lvlText w:val="%4"/>
      <w:lvlJc w:val="left"/>
      <w:pPr>
        <w:ind w:left="2913"/>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4" w:tplc="A45623A0">
      <w:start w:val="1"/>
      <w:numFmt w:val="lowerLetter"/>
      <w:lvlText w:val="%5"/>
      <w:lvlJc w:val="left"/>
      <w:pPr>
        <w:ind w:left="3633"/>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5" w:tplc="07C0A862">
      <w:start w:val="1"/>
      <w:numFmt w:val="lowerRoman"/>
      <w:lvlText w:val="%6"/>
      <w:lvlJc w:val="left"/>
      <w:pPr>
        <w:ind w:left="4353"/>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6" w:tplc="2A4E80DC">
      <w:start w:val="1"/>
      <w:numFmt w:val="decimal"/>
      <w:lvlText w:val="%7"/>
      <w:lvlJc w:val="left"/>
      <w:pPr>
        <w:ind w:left="5073"/>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7" w:tplc="00BA40D0">
      <w:start w:val="1"/>
      <w:numFmt w:val="lowerLetter"/>
      <w:lvlText w:val="%8"/>
      <w:lvlJc w:val="left"/>
      <w:pPr>
        <w:ind w:left="5793"/>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8" w:tplc="EED4D54A">
      <w:start w:val="1"/>
      <w:numFmt w:val="lowerRoman"/>
      <w:lvlText w:val="%9"/>
      <w:lvlJc w:val="left"/>
      <w:pPr>
        <w:ind w:left="6513"/>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abstractNum>
  <w:abstractNum w:abstractNumId="14">
    <w:nsid w:val="2558665E"/>
    <w:multiLevelType w:val="hybridMultilevel"/>
    <w:tmpl w:val="15D86D64"/>
    <w:lvl w:ilvl="0" w:tplc="5EF657F8">
      <w:start w:val="1"/>
      <w:numFmt w:val="lowerRoman"/>
      <w:lvlText w:val="(%1)"/>
      <w:lvlJc w:val="left"/>
      <w:pPr>
        <w:ind w:left="3606" w:hanging="720"/>
      </w:pPr>
      <w:rPr>
        <w:rFonts w:hint="default"/>
      </w:rPr>
    </w:lvl>
    <w:lvl w:ilvl="1" w:tplc="04090019" w:tentative="1">
      <w:start w:val="1"/>
      <w:numFmt w:val="lowerLetter"/>
      <w:lvlText w:val="%2."/>
      <w:lvlJc w:val="left"/>
      <w:pPr>
        <w:ind w:left="3966" w:hanging="360"/>
      </w:pPr>
    </w:lvl>
    <w:lvl w:ilvl="2" w:tplc="0409001B" w:tentative="1">
      <w:start w:val="1"/>
      <w:numFmt w:val="lowerRoman"/>
      <w:lvlText w:val="%3."/>
      <w:lvlJc w:val="right"/>
      <w:pPr>
        <w:ind w:left="4686" w:hanging="180"/>
      </w:p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15">
    <w:nsid w:val="284479D2"/>
    <w:multiLevelType w:val="hybridMultilevel"/>
    <w:tmpl w:val="FC2848FE"/>
    <w:lvl w:ilvl="0" w:tplc="93FEE454">
      <w:start w:val="1"/>
      <w:numFmt w:val="lowerRoman"/>
      <w:lvlText w:val="(%1)"/>
      <w:lvlJc w:val="left"/>
      <w:pPr>
        <w:ind w:left="2478" w:hanging="720"/>
      </w:pPr>
      <w:rPr>
        <w:rFonts w:hint="default"/>
      </w:rPr>
    </w:lvl>
    <w:lvl w:ilvl="1" w:tplc="1C090019" w:tentative="1">
      <w:start w:val="1"/>
      <w:numFmt w:val="lowerLetter"/>
      <w:lvlText w:val="%2."/>
      <w:lvlJc w:val="left"/>
      <w:pPr>
        <w:ind w:left="2838" w:hanging="360"/>
      </w:pPr>
    </w:lvl>
    <w:lvl w:ilvl="2" w:tplc="1C09001B" w:tentative="1">
      <w:start w:val="1"/>
      <w:numFmt w:val="lowerRoman"/>
      <w:lvlText w:val="%3."/>
      <w:lvlJc w:val="right"/>
      <w:pPr>
        <w:ind w:left="3558" w:hanging="180"/>
      </w:pPr>
    </w:lvl>
    <w:lvl w:ilvl="3" w:tplc="1C09000F" w:tentative="1">
      <w:start w:val="1"/>
      <w:numFmt w:val="decimal"/>
      <w:lvlText w:val="%4."/>
      <w:lvlJc w:val="left"/>
      <w:pPr>
        <w:ind w:left="4278" w:hanging="360"/>
      </w:pPr>
    </w:lvl>
    <w:lvl w:ilvl="4" w:tplc="1C090019" w:tentative="1">
      <w:start w:val="1"/>
      <w:numFmt w:val="lowerLetter"/>
      <w:lvlText w:val="%5."/>
      <w:lvlJc w:val="left"/>
      <w:pPr>
        <w:ind w:left="4998" w:hanging="360"/>
      </w:pPr>
    </w:lvl>
    <w:lvl w:ilvl="5" w:tplc="1C09001B" w:tentative="1">
      <w:start w:val="1"/>
      <w:numFmt w:val="lowerRoman"/>
      <w:lvlText w:val="%6."/>
      <w:lvlJc w:val="right"/>
      <w:pPr>
        <w:ind w:left="5718" w:hanging="180"/>
      </w:pPr>
    </w:lvl>
    <w:lvl w:ilvl="6" w:tplc="1C09000F" w:tentative="1">
      <w:start w:val="1"/>
      <w:numFmt w:val="decimal"/>
      <w:lvlText w:val="%7."/>
      <w:lvlJc w:val="left"/>
      <w:pPr>
        <w:ind w:left="6438" w:hanging="360"/>
      </w:pPr>
    </w:lvl>
    <w:lvl w:ilvl="7" w:tplc="1C090019" w:tentative="1">
      <w:start w:val="1"/>
      <w:numFmt w:val="lowerLetter"/>
      <w:lvlText w:val="%8."/>
      <w:lvlJc w:val="left"/>
      <w:pPr>
        <w:ind w:left="7158" w:hanging="360"/>
      </w:pPr>
    </w:lvl>
    <w:lvl w:ilvl="8" w:tplc="1C09001B" w:tentative="1">
      <w:start w:val="1"/>
      <w:numFmt w:val="lowerRoman"/>
      <w:lvlText w:val="%9."/>
      <w:lvlJc w:val="right"/>
      <w:pPr>
        <w:ind w:left="7878" w:hanging="180"/>
      </w:pPr>
    </w:lvl>
  </w:abstractNum>
  <w:abstractNum w:abstractNumId="16">
    <w:nsid w:val="2B0E6857"/>
    <w:multiLevelType w:val="hybridMultilevel"/>
    <w:tmpl w:val="4E740FBC"/>
    <w:lvl w:ilvl="0" w:tplc="6312FF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2F6D2688"/>
    <w:multiLevelType w:val="hybridMultilevel"/>
    <w:tmpl w:val="4614D770"/>
    <w:lvl w:ilvl="0" w:tplc="B8F66820">
      <w:start w:val="1"/>
      <w:numFmt w:val="decimal"/>
      <w:lvlText w:val="%1"/>
      <w:lvlJc w:val="left"/>
      <w:pPr>
        <w:ind w:left="36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1" w:tplc="6BE496C6">
      <w:start w:val="1"/>
      <w:numFmt w:val="lowerRoman"/>
      <w:lvlRestart w:val="0"/>
      <w:lvlText w:val="(%2)"/>
      <w:lvlJc w:val="left"/>
      <w:pPr>
        <w:ind w:left="2269"/>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2" w:tplc="73E0CB22">
      <w:start w:val="1"/>
      <w:numFmt w:val="lowerRoman"/>
      <w:lvlText w:val="%3"/>
      <w:lvlJc w:val="left"/>
      <w:pPr>
        <w:ind w:left="242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3" w:tplc="94FC18A8">
      <w:start w:val="1"/>
      <w:numFmt w:val="decimal"/>
      <w:lvlText w:val="%4"/>
      <w:lvlJc w:val="left"/>
      <w:pPr>
        <w:ind w:left="314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4" w:tplc="5E2AF2F4">
      <w:start w:val="1"/>
      <w:numFmt w:val="lowerLetter"/>
      <w:lvlText w:val="%5"/>
      <w:lvlJc w:val="left"/>
      <w:pPr>
        <w:ind w:left="386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5" w:tplc="239EEAE4">
      <w:start w:val="1"/>
      <w:numFmt w:val="lowerRoman"/>
      <w:lvlText w:val="%6"/>
      <w:lvlJc w:val="left"/>
      <w:pPr>
        <w:ind w:left="458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6" w:tplc="BAB43FCE">
      <w:start w:val="1"/>
      <w:numFmt w:val="decimal"/>
      <w:lvlText w:val="%7"/>
      <w:lvlJc w:val="left"/>
      <w:pPr>
        <w:ind w:left="530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7" w:tplc="11FE7DB0">
      <w:start w:val="1"/>
      <w:numFmt w:val="lowerLetter"/>
      <w:lvlText w:val="%8"/>
      <w:lvlJc w:val="left"/>
      <w:pPr>
        <w:ind w:left="602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8" w:tplc="3D4AA7BE">
      <w:start w:val="1"/>
      <w:numFmt w:val="lowerRoman"/>
      <w:lvlText w:val="%9"/>
      <w:lvlJc w:val="left"/>
      <w:pPr>
        <w:ind w:left="674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abstractNum>
  <w:abstractNum w:abstractNumId="18">
    <w:nsid w:val="31925FDA"/>
    <w:multiLevelType w:val="hybridMultilevel"/>
    <w:tmpl w:val="07188902"/>
    <w:lvl w:ilvl="0" w:tplc="7D3CF518">
      <w:start w:val="1"/>
      <w:numFmt w:val="lowerLetter"/>
      <w:lvlText w:val="(%1)"/>
      <w:lvlJc w:val="left"/>
      <w:pPr>
        <w:ind w:left="1284"/>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1" w:tplc="2432EB10">
      <w:start w:val="1"/>
      <w:numFmt w:val="lowerLetter"/>
      <w:lvlText w:val="%2"/>
      <w:lvlJc w:val="left"/>
      <w:pPr>
        <w:ind w:left="1722"/>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2" w:tplc="57722F40">
      <w:start w:val="1"/>
      <w:numFmt w:val="lowerRoman"/>
      <w:lvlText w:val="%3"/>
      <w:lvlJc w:val="left"/>
      <w:pPr>
        <w:ind w:left="2442"/>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3" w:tplc="26724160">
      <w:start w:val="1"/>
      <w:numFmt w:val="decimal"/>
      <w:lvlText w:val="%4"/>
      <w:lvlJc w:val="left"/>
      <w:pPr>
        <w:ind w:left="3162"/>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4" w:tplc="92E4A40C">
      <w:start w:val="1"/>
      <w:numFmt w:val="lowerLetter"/>
      <w:lvlText w:val="%5"/>
      <w:lvlJc w:val="left"/>
      <w:pPr>
        <w:ind w:left="3882"/>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5" w:tplc="DE9EE874">
      <w:start w:val="1"/>
      <w:numFmt w:val="lowerRoman"/>
      <w:lvlText w:val="%6"/>
      <w:lvlJc w:val="left"/>
      <w:pPr>
        <w:ind w:left="4602"/>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6" w:tplc="6B062130">
      <w:start w:val="1"/>
      <w:numFmt w:val="decimal"/>
      <w:lvlText w:val="%7"/>
      <w:lvlJc w:val="left"/>
      <w:pPr>
        <w:ind w:left="5322"/>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7" w:tplc="857EBCAA">
      <w:start w:val="1"/>
      <w:numFmt w:val="lowerLetter"/>
      <w:lvlText w:val="%8"/>
      <w:lvlJc w:val="left"/>
      <w:pPr>
        <w:ind w:left="6042"/>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8" w:tplc="3D6EF4FC">
      <w:start w:val="1"/>
      <w:numFmt w:val="lowerRoman"/>
      <w:lvlText w:val="%9"/>
      <w:lvlJc w:val="left"/>
      <w:pPr>
        <w:ind w:left="6762"/>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abstractNum>
  <w:abstractNum w:abstractNumId="19">
    <w:nsid w:val="340550DA"/>
    <w:multiLevelType w:val="hybridMultilevel"/>
    <w:tmpl w:val="16B68B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C12F86"/>
    <w:multiLevelType w:val="multilevel"/>
    <w:tmpl w:val="C212D51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1">
    <w:nsid w:val="3903551D"/>
    <w:multiLevelType w:val="hybridMultilevel"/>
    <w:tmpl w:val="DC707358"/>
    <w:lvl w:ilvl="0" w:tplc="6BE496C6">
      <w:start w:val="1"/>
      <w:numFmt w:val="lowerRoman"/>
      <w:lvlRestart w:val="0"/>
      <w:lvlText w:val="(%1)"/>
      <w:lvlJc w:val="left"/>
      <w:pPr>
        <w:ind w:left="2269"/>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C584116"/>
    <w:multiLevelType w:val="hybridMultilevel"/>
    <w:tmpl w:val="5CB2856A"/>
    <w:lvl w:ilvl="0" w:tplc="271269C6">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3">
    <w:nsid w:val="414D5AEC"/>
    <w:multiLevelType w:val="multilevel"/>
    <w:tmpl w:val="0409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18B44B1"/>
    <w:multiLevelType w:val="multilevel"/>
    <w:tmpl w:val="E004A65C"/>
    <w:lvl w:ilvl="0">
      <w:start w:val="1"/>
      <w:numFmt w:val="decimal"/>
      <w:lvlText w:val="%1"/>
      <w:lvlJc w:val="left"/>
      <w:pPr>
        <w:ind w:left="360" w:hanging="360"/>
      </w:pPr>
      <w:rPr>
        <w:rFonts w:ascii="Arial" w:hAnsi="Arial" w:cs="Arial" w:hint="default"/>
        <w:b w:val="0"/>
        <w:bCs w:val="0"/>
      </w:rPr>
    </w:lvl>
    <w:lvl w:ilvl="1">
      <w:start w:val="1"/>
      <w:numFmt w:val="decimal"/>
      <w:lvlText w:val="%1.%2"/>
      <w:lvlJc w:val="left"/>
      <w:pPr>
        <w:ind w:left="360" w:hanging="360"/>
      </w:pPr>
      <w:rPr>
        <w:rFonts w:hint="default"/>
        <w:b w:val="0"/>
        <w:i w:val="0"/>
        <w:i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5">
    <w:nsid w:val="4BA96363"/>
    <w:multiLevelType w:val="multilevel"/>
    <w:tmpl w:val="2382A8D0"/>
    <w:lvl w:ilvl="0">
      <w:start w:val="15"/>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8A50210"/>
    <w:multiLevelType w:val="multilevel"/>
    <w:tmpl w:val="6234EC30"/>
    <w:lvl w:ilvl="0">
      <w:start w:val="1"/>
      <w:numFmt w:val="decimal"/>
      <w:lvlText w:val="%1."/>
      <w:lvlJc w:val="left"/>
      <w:pPr>
        <w:ind w:left="3054"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25E0D7D"/>
    <w:multiLevelType w:val="hybridMultilevel"/>
    <w:tmpl w:val="5CB2856A"/>
    <w:lvl w:ilvl="0" w:tplc="FFFFFFFF">
      <w:start w:val="1"/>
      <w:numFmt w:val="lowerRoman"/>
      <w:lvlText w:val="(%1)"/>
      <w:lvlJc w:val="left"/>
      <w:pPr>
        <w:ind w:left="2421" w:hanging="720"/>
      </w:pPr>
      <w:rPr>
        <w:rFonts w:hint="default"/>
      </w:r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28">
    <w:nsid w:val="67E62ED2"/>
    <w:multiLevelType w:val="hybridMultilevel"/>
    <w:tmpl w:val="BE2AFFC4"/>
    <w:lvl w:ilvl="0" w:tplc="A2E22206">
      <w:start w:val="3"/>
      <w:numFmt w:val="decimal"/>
      <w:lvlText w:val="(%1)"/>
      <w:lvlJc w:val="left"/>
      <w:pPr>
        <w:ind w:left="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1" w:tplc="A00EC71C">
      <w:start w:val="1"/>
      <w:numFmt w:val="lowerLetter"/>
      <w:lvlText w:val="%2"/>
      <w:lvlJc w:val="left"/>
      <w:pPr>
        <w:ind w:left="165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2" w:tplc="1BD6496C">
      <w:start w:val="1"/>
      <w:numFmt w:val="lowerRoman"/>
      <w:lvlText w:val="%3"/>
      <w:lvlJc w:val="left"/>
      <w:pPr>
        <w:ind w:left="237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3" w:tplc="40EC2606">
      <w:start w:val="1"/>
      <w:numFmt w:val="decimal"/>
      <w:lvlText w:val="%4"/>
      <w:lvlJc w:val="left"/>
      <w:pPr>
        <w:ind w:left="309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4" w:tplc="1EACF2F6">
      <w:start w:val="1"/>
      <w:numFmt w:val="lowerLetter"/>
      <w:lvlText w:val="%5"/>
      <w:lvlJc w:val="left"/>
      <w:pPr>
        <w:ind w:left="381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5" w:tplc="77D0F6C2">
      <w:start w:val="1"/>
      <w:numFmt w:val="lowerRoman"/>
      <w:lvlText w:val="%6"/>
      <w:lvlJc w:val="left"/>
      <w:pPr>
        <w:ind w:left="453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6" w:tplc="FCE2EC68">
      <w:start w:val="1"/>
      <w:numFmt w:val="decimal"/>
      <w:lvlText w:val="%7"/>
      <w:lvlJc w:val="left"/>
      <w:pPr>
        <w:ind w:left="525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7" w:tplc="D10EB798">
      <w:start w:val="1"/>
      <w:numFmt w:val="lowerLetter"/>
      <w:lvlText w:val="%8"/>
      <w:lvlJc w:val="left"/>
      <w:pPr>
        <w:ind w:left="597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8" w:tplc="F8081424">
      <w:start w:val="1"/>
      <w:numFmt w:val="lowerRoman"/>
      <w:lvlText w:val="%9"/>
      <w:lvlJc w:val="left"/>
      <w:pPr>
        <w:ind w:left="669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abstractNum>
  <w:abstractNum w:abstractNumId="29">
    <w:nsid w:val="6F625B18"/>
    <w:multiLevelType w:val="hybridMultilevel"/>
    <w:tmpl w:val="29C60C88"/>
    <w:lvl w:ilvl="0" w:tplc="69C63D4E">
      <w:start w:val="1"/>
      <w:numFmt w:val="lowerLetter"/>
      <w:lvlText w:val="(%1)"/>
      <w:lvlJc w:val="left"/>
      <w:pPr>
        <w:ind w:left="2160" w:hanging="60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0">
    <w:nsid w:val="762F2C91"/>
    <w:multiLevelType w:val="hybridMultilevel"/>
    <w:tmpl w:val="5CB2856A"/>
    <w:lvl w:ilvl="0" w:tplc="FFFFFFFF">
      <w:start w:val="1"/>
      <w:numFmt w:val="lowerRoman"/>
      <w:lvlText w:val="(%1)"/>
      <w:lvlJc w:val="left"/>
      <w:pPr>
        <w:ind w:left="2421" w:hanging="720"/>
      </w:pPr>
      <w:rPr>
        <w:rFonts w:hint="default"/>
      </w:r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num w:numId="1">
    <w:abstractNumId w:val="23"/>
  </w:num>
  <w:num w:numId="2">
    <w:abstractNumId w:val="1"/>
  </w:num>
  <w:num w:numId="3">
    <w:abstractNumId w:val="19"/>
  </w:num>
  <w:num w:numId="4">
    <w:abstractNumId w:val="24"/>
  </w:num>
  <w:num w:numId="5">
    <w:abstractNumId w:val="2"/>
  </w:num>
  <w:num w:numId="6">
    <w:abstractNumId w:val="11"/>
  </w:num>
  <w:num w:numId="7">
    <w:abstractNumId w:val="16"/>
  </w:num>
  <w:num w:numId="8">
    <w:abstractNumId w:val="5"/>
  </w:num>
  <w:num w:numId="9">
    <w:abstractNumId w:val="10"/>
  </w:num>
  <w:num w:numId="10">
    <w:abstractNumId w:val="7"/>
  </w:num>
  <w:num w:numId="11">
    <w:abstractNumId w:val="15"/>
  </w:num>
  <w:num w:numId="12">
    <w:abstractNumId w:val="4"/>
  </w:num>
  <w:num w:numId="13">
    <w:abstractNumId w:val="9"/>
  </w:num>
  <w:num w:numId="14">
    <w:abstractNumId w:val="20"/>
  </w:num>
  <w:num w:numId="15">
    <w:abstractNumId w:val="25"/>
  </w:num>
  <w:num w:numId="16">
    <w:abstractNumId w:val="26"/>
  </w:num>
  <w:num w:numId="17">
    <w:abstractNumId w:val="8"/>
  </w:num>
  <w:num w:numId="18">
    <w:abstractNumId w:val="12"/>
  </w:num>
  <w:num w:numId="19">
    <w:abstractNumId w:val="14"/>
  </w:num>
  <w:num w:numId="20">
    <w:abstractNumId w:val="29"/>
  </w:num>
  <w:num w:numId="21">
    <w:abstractNumId w:val="13"/>
  </w:num>
  <w:num w:numId="22">
    <w:abstractNumId w:val="17"/>
  </w:num>
  <w:num w:numId="23">
    <w:abstractNumId w:val="18"/>
  </w:num>
  <w:num w:numId="24">
    <w:abstractNumId w:val="28"/>
  </w:num>
  <w:num w:numId="25">
    <w:abstractNumId w:val="3"/>
  </w:num>
  <w:num w:numId="26">
    <w:abstractNumId w:val="21"/>
  </w:num>
  <w:num w:numId="27">
    <w:abstractNumId w:val="6"/>
  </w:num>
  <w:num w:numId="28">
    <w:abstractNumId w:val="22"/>
  </w:num>
  <w:num w:numId="29">
    <w:abstractNumId w:val="0"/>
  </w:num>
  <w:num w:numId="30">
    <w:abstractNumId w:val="2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2F"/>
    <w:rsid w:val="0000081D"/>
    <w:rsid w:val="000021A1"/>
    <w:rsid w:val="00002E50"/>
    <w:rsid w:val="00004302"/>
    <w:rsid w:val="0000673E"/>
    <w:rsid w:val="000105F9"/>
    <w:rsid w:val="000126E3"/>
    <w:rsid w:val="00013FB4"/>
    <w:rsid w:val="000144B3"/>
    <w:rsid w:val="0002031B"/>
    <w:rsid w:val="000257A1"/>
    <w:rsid w:val="00030CBE"/>
    <w:rsid w:val="00031B0A"/>
    <w:rsid w:val="000353F5"/>
    <w:rsid w:val="00036FF8"/>
    <w:rsid w:val="0003777B"/>
    <w:rsid w:val="00040580"/>
    <w:rsid w:val="000437A1"/>
    <w:rsid w:val="0004557C"/>
    <w:rsid w:val="00047DF5"/>
    <w:rsid w:val="0005208D"/>
    <w:rsid w:val="000533B5"/>
    <w:rsid w:val="00054A5A"/>
    <w:rsid w:val="00055E30"/>
    <w:rsid w:val="00056CFD"/>
    <w:rsid w:val="000578FF"/>
    <w:rsid w:val="00061DFF"/>
    <w:rsid w:val="00065B65"/>
    <w:rsid w:val="00066C2D"/>
    <w:rsid w:val="00066E70"/>
    <w:rsid w:val="00070794"/>
    <w:rsid w:val="00071004"/>
    <w:rsid w:val="0007148E"/>
    <w:rsid w:val="00075296"/>
    <w:rsid w:val="00076F12"/>
    <w:rsid w:val="000770C6"/>
    <w:rsid w:val="00077216"/>
    <w:rsid w:val="00077743"/>
    <w:rsid w:val="00077EFD"/>
    <w:rsid w:val="000809DE"/>
    <w:rsid w:val="0008441F"/>
    <w:rsid w:val="00086D4F"/>
    <w:rsid w:val="00090873"/>
    <w:rsid w:val="00092E12"/>
    <w:rsid w:val="00094AA6"/>
    <w:rsid w:val="00094B5B"/>
    <w:rsid w:val="00096FFC"/>
    <w:rsid w:val="00097E88"/>
    <w:rsid w:val="000A0E9E"/>
    <w:rsid w:val="000A1FD0"/>
    <w:rsid w:val="000A23EF"/>
    <w:rsid w:val="000A3696"/>
    <w:rsid w:val="000A5722"/>
    <w:rsid w:val="000A6CB1"/>
    <w:rsid w:val="000A7BD4"/>
    <w:rsid w:val="000B4312"/>
    <w:rsid w:val="000B452E"/>
    <w:rsid w:val="000B7DEE"/>
    <w:rsid w:val="000C63CF"/>
    <w:rsid w:val="000D3070"/>
    <w:rsid w:val="000D36FF"/>
    <w:rsid w:val="000D3A2B"/>
    <w:rsid w:val="000D3E58"/>
    <w:rsid w:val="000D4120"/>
    <w:rsid w:val="000E28AD"/>
    <w:rsid w:val="000E3581"/>
    <w:rsid w:val="000E4701"/>
    <w:rsid w:val="000E769A"/>
    <w:rsid w:val="000F02EF"/>
    <w:rsid w:val="000F1A57"/>
    <w:rsid w:val="000F55BD"/>
    <w:rsid w:val="000F7DD5"/>
    <w:rsid w:val="0010077E"/>
    <w:rsid w:val="0010289A"/>
    <w:rsid w:val="001046D3"/>
    <w:rsid w:val="001050DB"/>
    <w:rsid w:val="0010727D"/>
    <w:rsid w:val="00111423"/>
    <w:rsid w:val="00111A10"/>
    <w:rsid w:val="00112C79"/>
    <w:rsid w:val="001166F0"/>
    <w:rsid w:val="0012062C"/>
    <w:rsid w:val="00120C88"/>
    <w:rsid w:val="001228D9"/>
    <w:rsid w:val="00124E0A"/>
    <w:rsid w:val="001267A9"/>
    <w:rsid w:val="00127866"/>
    <w:rsid w:val="001310D1"/>
    <w:rsid w:val="001320C9"/>
    <w:rsid w:val="00132284"/>
    <w:rsid w:val="001330EF"/>
    <w:rsid w:val="00145386"/>
    <w:rsid w:val="00146DE1"/>
    <w:rsid w:val="001475CE"/>
    <w:rsid w:val="00147F23"/>
    <w:rsid w:val="0015226E"/>
    <w:rsid w:val="00152A89"/>
    <w:rsid w:val="00154F97"/>
    <w:rsid w:val="00156EF0"/>
    <w:rsid w:val="001626A0"/>
    <w:rsid w:val="001638F8"/>
    <w:rsid w:val="00164595"/>
    <w:rsid w:val="00166A77"/>
    <w:rsid w:val="00170A9E"/>
    <w:rsid w:val="00177100"/>
    <w:rsid w:val="001803F5"/>
    <w:rsid w:val="00180D44"/>
    <w:rsid w:val="00181490"/>
    <w:rsid w:val="00181A78"/>
    <w:rsid w:val="00182B46"/>
    <w:rsid w:val="00182C01"/>
    <w:rsid w:val="001840AF"/>
    <w:rsid w:val="00185DBF"/>
    <w:rsid w:val="00186A30"/>
    <w:rsid w:val="001903A4"/>
    <w:rsid w:val="00191722"/>
    <w:rsid w:val="00192A35"/>
    <w:rsid w:val="00193234"/>
    <w:rsid w:val="00193FED"/>
    <w:rsid w:val="00194335"/>
    <w:rsid w:val="001A1BAF"/>
    <w:rsid w:val="001A252C"/>
    <w:rsid w:val="001A60FE"/>
    <w:rsid w:val="001A78B3"/>
    <w:rsid w:val="001A7A22"/>
    <w:rsid w:val="001B289A"/>
    <w:rsid w:val="001B4D9E"/>
    <w:rsid w:val="001B4F39"/>
    <w:rsid w:val="001C122C"/>
    <w:rsid w:val="001C2756"/>
    <w:rsid w:val="001C308E"/>
    <w:rsid w:val="001C495E"/>
    <w:rsid w:val="001C4A3C"/>
    <w:rsid w:val="001C4C84"/>
    <w:rsid w:val="001D14D5"/>
    <w:rsid w:val="001D3FDA"/>
    <w:rsid w:val="001D64A4"/>
    <w:rsid w:val="001D6D81"/>
    <w:rsid w:val="001E1019"/>
    <w:rsid w:val="001E7BDC"/>
    <w:rsid w:val="001F653B"/>
    <w:rsid w:val="001F78A0"/>
    <w:rsid w:val="002043FF"/>
    <w:rsid w:val="0020675B"/>
    <w:rsid w:val="00206BC6"/>
    <w:rsid w:val="00206D45"/>
    <w:rsid w:val="002105D4"/>
    <w:rsid w:val="00210D40"/>
    <w:rsid w:val="00211121"/>
    <w:rsid w:val="002124AB"/>
    <w:rsid w:val="00214211"/>
    <w:rsid w:val="00215426"/>
    <w:rsid w:val="00216BBD"/>
    <w:rsid w:val="002229BD"/>
    <w:rsid w:val="00222E85"/>
    <w:rsid w:val="00223820"/>
    <w:rsid w:val="0022620C"/>
    <w:rsid w:val="00231A2C"/>
    <w:rsid w:val="0023370E"/>
    <w:rsid w:val="00236C34"/>
    <w:rsid w:val="00237A39"/>
    <w:rsid w:val="002461BA"/>
    <w:rsid w:val="00247D7B"/>
    <w:rsid w:val="0025012B"/>
    <w:rsid w:val="0025028C"/>
    <w:rsid w:val="002515C3"/>
    <w:rsid w:val="00257EC2"/>
    <w:rsid w:val="00265894"/>
    <w:rsid w:val="00265D7C"/>
    <w:rsid w:val="0027352F"/>
    <w:rsid w:val="00282551"/>
    <w:rsid w:val="002856DF"/>
    <w:rsid w:val="00287284"/>
    <w:rsid w:val="00290370"/>
    <w:rsid w:val="002919B8"/>
    <w:rsid w:val="00293FC8"/>
    <w:rsid w:val="00294135"/>
    <w:rsid w:val="00297AB6"/>
    <w:rsid w:val="002A05B5"/>
    <w:rsid w:val="002A0E5B"/>
    <w:rsid w:val="002A1EDB"/>
    <w:rsid w:val="002A29D0"/>
    <w:rsid w:val="002A7103"/>
    <w:rsid w:val="002B537E"/>
    <w:rsid w:val="002B5E39"/>
    <w:rsid w:val="002B78EE"/>
    <w:rsid w:val="002B79E6"/>
    <w:rsid w:val="002C041C"/>
    <w:rsid w:val="002D3978"/>
    <w:rsid w:val="002E0656"/>
    <w:rsid w:val="002E27E8"/>
    <w:rsid w:val="002E5CF0"/>
    <w:rsid w:val="002E7DEF"/>
    <w:rsid w:val="002F48CA"/>
    <w:rsid w:val="0030143E"/>
    <w:rsid w:val="00301FC8"/>
    <w:rsid w:val="00303F73"/>
    <w:rsid w:val="00307EA5"/>
    <w:rsid w:val="003130CE"/>
    <w:rsid w:val="00313F7D"/>
    <w:rsid w:val="00315191"/>
    <w:rsid w:val="003207E6"/>
    <w:rsid w:val="0032100B"/>
    <w:rsid w:val="00324C52"/>
    <w:rsid w:val="00332182"/>
    <w:rsid w:val="00332B76"/>
    <w:rsid w:val="003346EB"/>
    <w:rsid w:val="0033705C"/>
    <w:rsid w:val="003500F5"/>
    <w:rsid w:val="00352E8F"/>
    <w:rsid w:val="0035308B"/>
    <w:rsid w:val="0035345B"/>
    <w:rsid w:val="003536B6"/>
    <w:rsid w:val="00361AFC"/>
    <w:rsid w:val="003620FE"/>
    <w:rsid w:val="003642F6"/>
    <w:rsid w:val="003655B9"/>
    <w:rsid w:val="00367752"/>
    <w:rsid w:val="00380413"/>
    <w:rsid w:val="00380420"/>
    <w:rsid w:val="00380592"/>
    <w:rsid w:val="00380761"/>
    <w:rsid w:val="00381819"/>
    <w:rsid w:val="00383A47"/>
    <w:rsid w:val="00386BEE"/>
    <w:rsid w:val="00386C17"/>
    <w:rsid w:val="00387CB7"/>
    <w:rsid w:val="00391C4D"/>
    <w:rsid w:val="0039232C"/>
    <w:rsid w:val="0039420D"/>
    <w:rsid w:val="003943D0"/>
    <w:rsid w:val="00395E54"/>
    <w:rsid w:val="003A2B02"/>
    <w:rsid w:val="003A47FD"/>
    <w:rsid w:val="003B0577"/>
    <w:rsid w:val="003B2F05"/>
    <w:rsid w:val="003B387C"/>
    <w:rsid w:val="003B739D"/>
    <w:rsid w:val="003C1632"/>
    <w:rsid w:val="003C21EC"/>
    <w:rsid w:val="003C59F1"/>
    <w:rsid w:val="003D1057"/>
    <w:rsid w:val="003D1161"/>
    <w:rsid w:val="003D362E"/>
    <w:rsid w:val="003D3BEF"/>
    <w:rsid w:val="003D66CE"/>
    <w:rsid w:val="003E02DB"/>
    <w:rsid w:val="003E0EEF"/>
    <w:rsid w:val="003E135D"/>
    <w:rsid w:val="003E5900"/>
    <w:rsid w:val="003E69FE"/>
    <w:rsid w:val="003E775C"/>
    <w:rsid w:val="003F0D33"/>
    <w:rsid w:val="003F5141"/>
    <w:rsid w:val="003F63BC"/>
    <w:rsid w:val="003F6E6C"/>
    <w:rsid w:val="003F72BA"/>
    <w:rsid w:val="003F7C81"/>
    <w:rsid w:val="00404E6F"/>
    <w:rsid w:val="00406600"/>
    <w:rsid w:val="00410D19"/>
    <w:rsid w:val="004110D0"/>
    <w:rsid w:val="004120B8"/>
    <w:rsid w:val="0042207B"/>
    <w:rsid w:val="00422F26"/>
    <w:rsid w:val="0042342D"/>
    <w:rsid w:val="004243A1"/>
    <w:rsid w:val="00424D1C"/>
    <w:rsid w:val="00426243"/>
    <w:rsid w:val="00427612"/>
    <w:rsid w:val="004315D3"/>
    <w:rsid w:val="00431B62"/>
    <w:rsid w:val="00433B2A"/>
    <w:rsid w:val="00435586"/>
    <w:rsid w:val="00440F44"/>
    <w:rsid w:val="00443D29"/>
    <w:rsid w:val="004448B9"/>
    <w:rsid w:val="00445028"/>
    <w:rsid w:val="00447469"/>
    <w:rsid w:val="0044773A"/>
    <w:rsid w:val="00447AAE"/>
    <w:rsid w:val="00450CA5"/>
    <w:rsid w:val="004522FE"/>
    <w:rsid w:val="00454703"/>
    <w:rsid w:val="00455698"/>
    <w:rsid w:val="004566D9"/>
    <w:rsid w:val="00457510"/>
    <w:rsid w:val="00463FC8"/>
    <w:rsid w:val="0046441B"/>
    <w:rsid w:val="00465C88"/>
    <w:rsid w:val="004664A0"/>
    <w:rsid w:val="004668D1"/>
    <w:rsid w:val="00467D42"/>
    <w:rsid w:val="004756E8"/>
    <w:rsid w:val="00475DD4"/>
    <w:rsid w:val="00476048"/>
    <w:rsid w:val="00480CDB"/>
    <w:rsid w:val="00481F01"/>
    <w:rsid w:val="004828E5"/>
    <w:rsid w:val="004838C3"/>
    <w:rsid w:val="00484A6A"/>
    <w:rsid w:val="00484B44"/>
    <w:rsid w:val="00487747"/>
    <w:rsid w:val="00490358"/>
    <w:rsid w:val="00492148"/>
    <w:rsid w:val="00494E8F"/>
    <w:rsid w:val="0049672E"/>
    <w:rsid w:val="004A3C9F"/>
    <w:rsid w:val="004B1C50"/>
    <w:rsid w:val="004B2A2B"/>
    <w:rsid w:val="004C23A9"/>
    <w:rsid w:val="004C376E"/>
    <w:rsid w:val="004C7EDB"/>
    <w:rsid w:val="004D0BCF"/>
    <w:rsid w:val="004D2E9D"/>
    <w:rsid w:val="004D443B"/>
    <w:rsid w:val="004D4566"/>
    <w:rsid w:val="004D7D02"/>
    <w:rsid w:val="004D7DA2"/>
    <w:rsid w:val="004E0087"/>
    <w:rsid w:val="004E2B2D"/>
    <w:rsid w:val="004E6C68"/>
    <w:rsid w:val="004F0C32"/>
    <w:rsid w:val="004F0C60"/>
    <w:rsid w:val="004F1AE7"/>
    <w:rsid w:val="004F28A8"/>
    <w:rsid w:val="004F501F"/>
    <w:rsid w:val="004F522E"/>
    <w:rsid w:val="00503942"/>
    <w:rsid w:val="00503EFB"/>
    <w:rsid w:val="0050427F"/>
    <w:rsid w:val="0051159D"/>
    <w:rsid w:val="00513211"/>
    <w:rsid w:val="00513776"/>
    <w:rsid w:val="0051477B"/>
    <w:rsid w:val="00515F31"/>
    <w:rsid w:val="00517F46"/>
    <w:rsid w:val="005211F6"/>
    <w:rsid w:val="005235DC"/>
    <w:rsid w:val="00534079"/>
    <w:rsid w:val="0053531B"/>
    <w:rsid w:val="005363D2"/>
    <w:rsid w:val="00540653"/>
    <w:rsid w:val="00541C19"/>
    <w:rsid w:val="0054263A"/>
    <w:rsid w:val="005504AC"/>
    <w:rsid w:val="005509DA"/>
    <w:rsid w:val="00550DA9"/>
    <w:rsid w:val="0055246A"/>
    <w:rsid w:val="00553D58"/>
    <w:rsid w:val="0055452A"/>
    <w:rsid w:val="005576F3"/>
    <w:rsid w:val="00560828"/>
    <w:rsid w:val="00560C21"/>
    <w:rsid w:val="00561315"/>
    <w:rsid w:val="00562807"/>
    <w:rsid w:val="005661C7"/>
    <w:rsid w:val="00581CBF"/>
    <w:rsid w:val="0058539B"/>
    <w:rsid w:val="005865CF"/>
    <w:rsid w:val="00590F69"/>
    <w:rsid w:val="005946B1"/>
    <w:rsid w:val="00597F90"/>
    <w:rsid w:val="005A0AAA"/>
    <w:rsid w:val="005A1325"/>
    <w:rsid w:val="005A2DDE"/>
    <w:rsid w:val="005A7061"/>
    <w:rsid w:val="005B10AB"/>
    <w:rsid w:val="005B2C9C"/>
    <w:rsid w:val="005B3AFD"/>
    <w:rsid w:val="005B7C51"/>
    <w:rsid w:val="005C09DC"/>
    <w:rsid w:val="005C284B"/>
    <w:rsid w:val="005C63EA"/>
    <w:rsid w:val="005C77CD"/>
    <w:rsid w:val="005D5ECB"/>
    <w:rsid w:val="005D7926"/>
    <w:rsid w:val="005D7D1C"/>
    <w:rsid w:val="005E151C"/>
    <w:rsid w:val="005E4CE2"/>
    <w:rsid w:val="005F0103"/>
    <w:rsid w:val="005F2E19"/>
    <w:rsid w:val="005F366E"/>
    <w:rsid w:val="005F4138"/>
    <w:rsid w:val="005F7A8B"/>
    <w:rsid w:val="005F7D9F"/>
    <w:rsid w:val="00601598"/>
    <w:rsid w:val="00601794"/>
    <w:rsid w:val="0060625D"/>
    <w:rsid w:val="00606402"/>
    <w:rsid w:val="00607291"/>
    <w:rsid w:val="006117ED"/>
    <w:rsid w:val="00617871"/>
    <w:rsid w:val="006225F4"/>
    <w:rsid w:val="0062291B"/>
    <w:rsid w:val="0062424E"/>
    <w:rsid w:val="006248BA"/>
    <w:rsid w:val="0062546C"/>
    <w:rsid w:val="006261FD"/>
    <w:rsid w:val="006339F1"/>
    <w:rsid w:val="00640821"/>
    <w:rsid w:val="00642C38"/>
    <w:rsid w:val="006456D4"/>
    <w:rsid w:val="006457D8"/>
    <w:rsid w:val="006462C1"/>
    <w:rsid w:val="00651B1A"/>
    <w:rsid w:val="006556E8"/>
    <w:rsid w:val="006565B7"/>
    <w:rsid w:val="0065744C"/>
    <w:rsid w:val="0066014D"/>
    <w:rsid w:val="0066173C"/>
    <w:rsid w:val="0066176A"/>
    <w:rsid w:val="006628B8"/>
    <w:rsid w:val="006635BC"/>
    <w:rsid w:val="00663E9C"/>
    <w:rsid w:val="00666566"/>
    <w:rsid w:val="00667F21"/>
    <w:rsid w:val="006813A2"/>
    <w:rsid w:val="00682B41"/>
    <w:rsid w:val="00683EDC"/>
    <w:rsid w:val="0068740B"/>
    <w:rsid w:val="006904AE"/>
    <w:rsid w:val="006904B3"/>
    <w:rsid w:val="006911DE"/>
    <w:rsid w:val="00694168"/>
    <w:rsid w:val="006A235A"/>
    <w:rsid w:val="006A4425"/>
    <w:rsid w:val="006A7311"/>
    <w:rsid w:val="006B0383"/>
    <w:rsid w:val="006B248F"/>
    <w:rsid w:val="006B7081"/>
    <w:rsid w:val="006C1407"/>
    <w:rsid w:val="006C1814"/>
    <w:rsid w:val="006C3E59"/>
    <w:rsid w:val="006C676A"/>
    <w:rsid w:val="006C6C71"/>
    <w:rsid w:val="006D04A4"/>
    <w:rsid w:val="006D0A8A"/>
    <w:rsid w:val="006D35C1"/>
    <w:rsid w:val="006D5E45"/>
    <w:rsid w:val="006D62A3"/>
    <w:rsid w:val="006D6A11"/>
    <w:rsid w:val="006E5878"/>
    <w:rsid w:val="006F3522"/>
    <w:rsid w:val="006F3EE1"/>
    <w:rsid w:val="00700A9F"/>
    <w:rsid w:val="00706678"/>
    <w:rsid w:val="00711901"/>
    <w:rsid w:val="0071443B"/>
    <w:rsid w:val="00723A86"/>
    <w:rsid w:val="00726CDF"/>
    <w:rsid w:val="00734F07"/>
    <w:rsid w:val="0073536A"/>
    <w:rsid w:val="007366A4"/>
    <w:rsid w:val="00736A07"/>
    <w:rsid w:val="007459D4"/>
    <w:rsid w:val="00746599"/>
    <w:rsid w:val="00747571"/>
    <w:rsid w:val="00750219"/>
    <w:rsid w:val="0075024D"/>
    <w:rsid w:val="00751CBE"/>
    <w:rsid w:val="00752EB0"/>
    <w:rsid w:val="00752F5A"/>
    <w:rsid w:val="00757326"/>
    <w:rsid w:val="007577FB"/>
    <w:rsid w:val="00757A56"/>
    <w:rsid w:val="00760841"/>
    <w:rsid w:val="007612C1"/>
    <w:rsid w:val="00762931"/>
    <w:rsid w:val="00764422"/>
    <w:rsid w:val="007667CD"/>
    <w:rsid w:val="00772C9B"/>
    <w:rsid w:val="00773929"/>
    <w:rsid w:val="00773F2D"/>
    <w:rsid w:val="007744FF"/>
    <w:rsid w:val="00782805"/>
    <w:rsid w:val="0078380C"/>
    <w:rsid w:val="007870D8"/>
    <w:rsid w:val="00787FE9"/>
    <w:rsid w:val="00790951"/>
    <w:rsid w:val="00790B03"/>
    <w:rsid w:val="00792AB0"/>
    <w:rsid w:val="00794333"/>
    <w:rsid w:val="00797499"/>
    <w:rsid w:val="007A1239"/>
    <w:rsid w:val="007A2306"/>
    <w:rsid w:val="007B59A3"/>
    <w:rsid w:val="007B788E"/>
    <w:rsid w:val="007C394C"/>
    <w:rsid w:val="007C46D5"/>
    <w:rsid w:val="007C5C00"/>
    <w:rsid w:val="007C7BE2"/>
    <w:rsid w:val="007D1D8E"/>
    <w:rsid w:val="007D35AD"/>
    <w:rsid w:val="007D39FC"/>
    <w:rsid w:val="007D4347"/>
    <w:rsid w:val="007D4518"/>
    <w:rsid w:val="007D59F4"/>
    <w:rsid w:val="007E0CBE"/>
    <w:rsid w:val="007E5D5E"/>
    <w:rsid w:val="007F145A"/>
    <w:rsid w:val="007F41E6"/>
    <w:rsid w:val="007F4DE5"/>
    <w:rsid w:val="007F4F4F"/>
    <w:rsid w:val="007F5CDD"/>
    <w:rsid w:val="007F6A54"/>
    <w:rsid w:val="0080073A"/>
    <w:rsid w:val="00801BFD"/>
    <w:rsid w:val="0080418A"/>
    <w:rsid w:val="008045A8"/>
    <w:rsid w:val="00814035"/>
    <w:rsid w:val="00820473"/>
    <w:rsid w:val="00822B69"/>
    <w:rsid w:val="008355CF"/>
    <w:rsid w:val="00844658"/>
    <w:rsid w:val="00844683"/>
    <w:rsid w:val="008449A2"/>
    <w:rsid w:val="00857A45"/>
    <w:rsid w:val="008635E7"/>
    <w:rsid w:val="0086374B"/>
    <w:rsid w:val="00865EB5"/>
    <w:rsid w:val="00866FE2"/>
    <w:rsid w:val="00873151"/>
    <w:rsid w:val="008732F9"/>
    <w:rsid w:val="0087377B"/>
    <w:rsid w:val="00874DBD"/>
    <w:rsid w:val="00874EE8"/>
    <w:rsid w:val="00880CE4"/>
    <w:rsid w:val="00882F0E"/>
    <w:rsid w:val="00884540"/>
    <w:rsid w:val="00893386"/>
    <w:rsid w:val="008956D0"/>
    <w:rsid w:val="008A5AA8"/>
    <w:rsid w:val="008A76B0"/>
    <w:rsid w:val="008A7F97"/>
    <w:rsid w:val="008B5629"/>
    <w:rsid w:val="008B78F5"/>
    <w:rsid w:val="008C3A3A"/>
    <w:rsid w:val="008C5B64"/>
    <w:rsid w:val="008D58F1"/>
    <w:rsid w:val="008E3E84"/>
    <w:rsid w:val="008E4763"/>
    <w:rsid w:val="008E6A7E"/>
    <w:rsid w:val="008E700E"/>
    <w:rsid w:val="008E7A36"/>
    <w:rsid w:val="008E7A50"/>
    <w:rsid w:val="008E7F14"/>
    <w:rsid w:val="008F10BF"/>
    <w:rsid w:val="008F1BB9"/>
    <w:rsid w:val="00902AB5"/>
    <w:rsid w:val="00904110"/>
    <w:rsid w:val="009042BD"/>
    <w:rsid w:val="009070DA"/>
    <w:rsid w:val="00910FFC"/>
    <w:rsid w:val="00915516"/>
    <w:rsid w:val="0091563B"/>
    <w:rsid w:val="00915DA2"/>
    <w:rsid w:val="00916671"/>
    <w:rsid w:val="00920AE5"/>
    <w:rsid w:val="00924D10"/>
    <w:rsid w:val="009273C9"/>
    <w:rsid w:val="009343FE"/>
    <w:rsid w:val="00934EEA"/>
    <w:rsid w:val="00941D67"/>
    <w:rsid w:val="00953674"/>
    <w:rsid w:val="00953730"/>
    <w:rsid w:val="00956FF1"/>
    <w:rsid w:val="0095780E"/>
    <w:rsid w:val="009609D4"/>
    <w:rsid w:val="00961F02"/>
    <w:rsid w:val="00965139"/>
    <w:rsid w:val="009763EC"/>
    <w:rsid w:val="00977819"/>
    <w:rsid w:val="009813A8"/>
    <w:rsid w:val="00982B10"/>
    <w:rsid w:val="00983355"/>
    <w:rsid w:val="00985C18"/>
    <w:rsid w:val="00991C02"/>
    <w:rsid w:val="009A125D"/>
    <w:rsid w:val="009A12EA"/>
    <w:rsid w:val="009A38F9"/>
    <w:rsid w:val="009A3BC5"/>
    <w:rsid w:val="009A50D2"/>
    <w:rsid w:val="009A6F7E"/>
    <w:rsid w:val="009B042A"/>
    <w:rsid w:val="009B3A64"/>
    <w:rsid w:val="009B4580"/>
    <w:rsid w:val="009C4AFA"/>
    <w:rsid w:val="009C5309"/>
    <w:rsid w:val="009C6CA8"/>
    <w:rsid w:val="009C7D05"/>
    <w:rsid w:val="009D23FE"/>
    <w:rsid w:val="009D42C9"/>
    <w:rsid w:val="009D67AF"/>
    <w:rsid w:val="009E128E"/>
    <w:rsid w:val="009E1745"/>
    <w:rsid w:val="009E2596"/>
    <w:rsid w:val="009E29AF"/>
    <w:rsid w:val="009E7F90"/>
    <w:rsid w:val="009F0E45"/>
    <w:rsid w:val="009F2050"/>
    <w:rsid w:val="009F2167"/>
    <w:rsid w:val="009F299E"/>
    <w:rsid w:val="009F5032"/>
    <w:rsid w:val="009F61BB"/>
    <w:rsid w:val="009F61CF"/>
    <w:rsid w:val="009F7B9E"/>
    <w:rsid w:val="009F7EF0"/>
    <w:rsid w:val="00A02F5B"/>
    <w:rsid w:val="00A031A7"/>
    <w:rsid w:val="00A04D40"/>
    <w:rsid w:val="00A0516C"/>
    <w:rsid w:val="00A055E7"/>
    <w:rsid w:val="00A128A7"/>
    <w:rsid w:val="00A12C2F"/>
    <w:rsid w:val="00A13F9E"/>
    <w:rsid w:val="00A141B4"/>
    <w:rsid w:val="00A15E9E"/>
    <w:rsid w:val="00A16A22"/>
    <w:rsid w:val="00A17DCD"/>
    <w:rsid w:val="00A17DD2"/>
    <w:rsid w:val="00A20883"/>
    <w:rsid w:val="00A21A2F"/>
    <w:rsid w:val="00A24D2B"/>
    <w:rsid w:val="00A27D66"/>
    <w:rsid w:val="00A30730"/>
    <w:rsid w:val="00A3650C"/>
    <w:rsid w:val="00A4463B"/>
    <w:rsid w:val="00A44CB2"/>
    <w:rsid w:val="00A4749D"/>
    <w:rsid w:val="00A47913"/>
    <w:rsid w:val="00A5385D"/>
    <w:rsid w:val="00A54ABA"/>
    <w:rsid w:val="00A54E8D"/>
    <w:rsid w:val="00A56F2C"/>
    <w:rsid w:val="00A6005F"/>
    <w:rsid w:val="00A635AF"/>
    <w:rsid w:val="00A63E39"/>
    <w:rsid w:val="00A70218"/>
    <w:rsid w:val="00A70EBB"/>
    <w:rsid w:val="00A711F8"/>
    <w:rsid w:val="00A71E22"/>
    <w:rsid w:val="00A76D4C"/>
    <w:rsid w:val="00A8047A"/>
    <w:rsid w:val="00A819B2"/>
    <w:rsid w:val="00A82276"/>
    <w:rsid w:val="00A82A41"/>
    <w:rsid w:val="00A8423B"/>
    <w:rsid w:val="00A874AD"/>
    <w:rsid w:val="00A8785B"/>
    <w:rsid w:val="00A907AE"/>
    <w:rsid w:val="00A93D4C"/>
    <w:rsid w:val="00A97271"/>
    <w:rsid w:val="00AA28F5"/>
    <w:rsid w:val="00AA3828"/>
    <w:rsid w:val="00AA5523"/>
    <w:rsid w:val="00AA7310"/>
    <w:rsid w:val="00AB008F"/>
    <w:rsid w:val="00AB030C"/>
    <w:rsid w:val="00AB0ADB"/>
    <w:rsid w:val="00AB0D16"/>
    <w:rsid w:val="00AB0ECB"/>
    <w:rsid w:val="00AB1DEE"/>
    <w:rsid w:val="00AB3003"/>
    <w:rsid w:val="00AB336B"/>
    <w:rsid w:val="00AB5A3A"/>
    <w:rsid w:val="00AB5DCB"/>
    <w:rsid w:val="00AB5E58"/>
    <w:rsid w:val="00AB6053"/>
    <w:rsid w:val="00AB6D2D"/>
    <w:rsid w:val="00AC03F2"/>
    <w:rsid w:val="00AC2CD4"/>
    <w:rsid w:val="00AC33AF"/>
    <w:rsid w:val="00AC398F"/>
    <w:rsid w:val="00AD38F8"/>
    <w:rsid w:val="00AD4F1F"/>
    <w:rsid w:val="00AD5548"/>
    <w:rsid w:val="00AD6B96"/>
    <w:rsid w:val="00AE2879"/>
    <w:rsid w:val="00AE3377"/>
    <w:rsid w:val="00AE3D62"/>
    <w:rsid w:val="00AE469C"/>
    <w:rsid w:val="00AE4BA4"/>
    <w:rsid w:val="00AF56F5"/>
    <w:rsid w:val="00AF7387"/>
    <w:rsid w:val="00AF7C5D"/>
    <w:rsid w:val="00B02FF2"/>
    <w:rsid w:val="00B14412"/>
    <w:rsid w:val="00B155AC"/>
    <w:rsid w:val="00B15EBD"/>
    <w:rsid w:val="00B174F9"/>
    <w:rsid w:val="00B179EB"/>
    <w:rsid w:val="00B2069B"/>
    <w:rsid w:val="00B2076F"/>
    <w:rsid w:val="00B2266E"/>
    <w:rsid w:val="00B30797"/>
    <w:rsid w:val="00B31825"/>
    <w:rsid w:val="00B3248E"/>
    <w:rsid w:val="00B33373"/>
    <w:rsid w:val="00B348DD"/>
    <w:rsid w:val="00B34C63"/>
    <w:rsid w:val="00B41DAA"/>
    <w:rsid w:val="00B433DC"/>
    <w:rsid w:val="00B45F56"/>
    <w:rsid w:val="00B53B12"/>
    <w:rsid w:val="00B54271"/>
    <w:rsid w:val="00B57FE1"/>
    <w:rsid w:val="00B616A8"/>
    <w:rsid w:val="00B62F11"/>
    <w:rsid w:val="00B633B7"/>
    <w:rsid w:val="00B63A78"/>
    <w:rsid w:val="00B64AA2"/>
    <w:rsid w:val="00B64C0F"/>
    <w:rsid w:val="00B6506D"/>
    <w:rsid w:val="00B6727B"/>
    <w:rsid w:val="00B674A0"/>
    <w:rsid w:val="00B71082"/>
    <w:rsid w:val="00B71A97"/>
    <w:rsid w:val="00B81E64"/>
    <w:rsid w:val="00B85A1A"/>
    <w:rsid w:val="00B87815"/>
    <w:rsid w:val="00B9156F"/>
    <w:rsid w:val="00BA4B73"/>
    <w:rsid w:val="00BA5391"/>
    <w:rsid w:val="00BA7D1B"/>
    <w:rsid w:val="00BB08D5"/>
    <w:rsid w:val="00BB1139"/>
    <w:rsid w:val="00BB1EDE"/>
    <w:rsid w:val="00BB32A1"/>
    <w:rsid w:val="00BB337D"/>
    <w:rsid w:val="00BB3651"/>
    <w:rsid w:val="00BB418A"/>
    <w:rsid w:val="00BB7D6D"/>
    <w:rsid w:val="00BC14E1"/>
    <w:rsid w:val="00BC1E16"/>
    <w:rsid w:val="00BC3108"/>
    <w:rsid w:val="00BC58A3"/>
    <w:rsid w:val="00BC6EAE"/>
    <w:rsid w:val="00BD1563"/>
    <w:rsid w:val="00BD3E41"/>
    <w:rsid w:val="00BD4AF9"/>
    <w:rsid w:val="00BE1738"/>
    <w:rsid w:val="00BE5878"/>
    <w:rsid w:val="00BE73B8"/>
    <w:rsid w:val="00BF069A"/>
    <w:rsid w:val="00BF12AE"/>
    <w:rsid w:val="00BF255C"/>
    <w:rsid w:val="00BF4A7A"/>
    <w:rsid w:val="00C01209"/>
    <w:rsid w:val="00C027FE"/>
    <w:rsid w:val="00C02CC6"/>
    <w:rsid w:val="00C03617"/>
    <w:rsid w:val="00C03E83"/>
    <w:rsid w:val="00C048A3"/>
    <w:rsid w:val="00C04FBC"/>
    <w:rsid w:val="00C0628C"/>
    <w:rsid w:val="00C068D3"/>
    <w:rsid w:val="00C127A8"/>
    <w:rsid w:val="00C14F97"/>
    <w:rsid w:val="00C16E5B"/>
    <w:rsid w:val="00C20312"/>
    <w:rsid w:val="00C214C6"/>
    <w:rsid w:val="00C21524"/>
    <w:rsid w:val="00C225C2"/>
    <w:rsid w:val="00C23564"/>
    <w:rsid w:val="00C264A3"/>
    <w:rsid w:val="00C271E6"/>
    <w:rsid w:val="00C27CDA"/>
    <w:rsid w:val="00C34033"/>
    <w:rsid w:val="00C35C0A"/>
    <w:rsid w:val="00C4111C"/>
    <w:rsid w:val="00C43174"/>
    <w:rsid w:val="00C47B4B"/>
    <w:rsid w:val="00C5184D"/>
    <w:rsid w:val="00C52236"/>
    <w:rsid w:val="00C53247"/>
    <w:rsid w:val="00C53E1B"/>
    <w:rsid w:val="00C5451D"/>
    <w:rsid w:val="00C604A5"/>
    <w:rsid w:val="00C61F09"/>
    <w:rsid w:val="00C70210"/>
    <w:rsid w:val="00C71CA2"/>
    <w:rsid w:val="00C71E5B"/>
    <w:rsid w:val="00C72C72"/>
    <w:rsid w:val="00C74EA4"/>
    <w:rsid w:val="00C76655"/>
    <w:rsid w:val="00C77B0C"/>
    <w:rsid w:val="00C80A65"/>
    <w:rsid w:val="00C8523D"/>
    <w:rsid w:val="00C856E8"/>
    <w:rsid w:val="00C900C5"/>
    <w:rsid w:val="00C912A4"/>
    <w:rsid w:val="00C922D0"/>
    <w:rsid w:val="00C94764"/>
    <w:rsid w:val="00C97AF1"/>
    <w:rsid w:val="00CA30B3"/>
    <w:rsid w:val="00CA515E"/>
    <w:rsid w:val="00CB1207"/>
    <w:rsid w:val="00CB1CB4"/>
    <w:rsid w:val="00CB1E21"/>
    <w:rsid w:val="00CB231B"/>
    <w:rsid w:val="00CB3583"/>
    <w:rsid w:val="00CB65DC"/>
    <w:rsid w:val="00CC21EC"/>
    <w:rsid w:val="00CC5645"/>
    <w:rsid w:val="00CC606D"/>
    <w:rsid w:val="00CC6E77"/>
    <w:rsid w:val="00CD07F5"/>
    <w:rsid w:val="00CD279E"/>
    <w:rsid w:val="00CD3720"/>
    <w:rsid w:val="00CD5491"/>
    <w:rsid w:val="00CD6F86"/>
    <w:rsid w:val="00CD711D"/>
    <w:rsid w:val="00CD7761"/>
    <w:rsid w:val="00CD7826"/>
    <w:rsid w:val="00CE1422"/>
    <w:rsid w:val="00CE19CF"/>
    <w:rsid w:val="00CE2B9B"/>
    <w:rsid w:val="00CE4259"/>
    <w:rsid w:val="00CE455E"/>
    <w:rsid w:val="00CE4825"/>
    <w:rsid w:val="00CE6478"/>
    <w:rsid w:val="00CF20E8"/>
    <w:rsid w:val="00D00D2E"/>
    <w:rsid w:val="00D039E6"/>
    <w:rsid w:val="00D03DBD"/>
    <w:rsid w:val="00D06166"/>
    <w:rsid w:val="00D13790"/>
    <w:rsid w:val="00D14F2E"/>
    <w:rsid w:val="00D20E40"/>
    <w:rsid w:val="00D2578B"/>
    <w:rsid w:val="00D308F0"/>
    <w:rsid w:val="00D30DAA"/>
    <w:rsid w:val="00D40667"/>
    <w:rsid w:val="00D42469"/>
    <w:rsid w:val="00D429D6"/>
    <w:rsid w:val="00D43184"/>
    <w:rsid w:val="00D4555C"/>
    <w:rsid w:val="00D45901"/>
    <w:rsid w:val="00D46D42"/>
    <w:rsid w:val="00D57FB9"/>
    <w:rsid w:val="00D60162"/>
    <w:rsid w:val="00D63DBA"/>
    <w:rsid w:val="00D63E34"/>
    <w:rsid w:val="00D64BC3"/>
    <w:rsid w:val="00D67F85"/>
    <w:rsid w:val="00D70AE7"/>
    <w:rsid w:val="00D72431"/>
    <w:rsid w:val="00D72CC4"/>
    <w:rsid w:val="00D7378E"/>
    <w:rsid w:val="00D7523B"/>
    <w:rsid w:val="00D756BF"/>
    <w:rsid w:val="00D75F66"/>
    <w:rsid w:val="00D76E45"/>
    <w:rsid w:val="00D77954"/>
    <w:rsid w:val="00D823A1"/>
    <w:rsid w:val="00D837F9"/>
    <w:rsid w:val="00D83B84"/>
    <w:rsid w:val="00D87B23"/>
    <w:rsid w:val="00D920BD"/>
    <w:rsid w:val="00D924BE"/>
    <w:rsid w:val="00D9720B"/>
    <w:rsid w:val="00D9767A"/>
    <w:rsid w:val="00D977E6"/>
    <w:rsid w:val="00DA08FF"/>
    <w:rsid w:val="00DA1921"/>
    <w:rsid w:val="00DA38C6"/>
    <w:rsid w:val="00DA477F"/>
    <w:rsid w:val="00DA62B1"/>
    <w:rsid w:val="00DB08AD"/>
    <w:rsid w:val="00DB14A7"/>
    <w:rsid w:val="00DB2734"/>
    <w:rsid w:val="00DB28F2"/>
    <w:rsid w:val="00DD1969"/>
    <w:rsid w:val="00DD4A0A"/>
    <w:rsid w:val="00DD6AD0"/>
    <w:rsid w:val="00DE4FBB"/>
    <w:rsid w:val="00DF207F"/>
    <w:rsid w:val="00DF55B2"/>
    <w:rsid w:val="00DF56F2"/>
    <w:rsid w:val="00DF64B0"/>
    <w:rsid w:val="00E0377D"/>
    <w:rsid w:val="00E04974"/>
    <w:rsid w:val="00E069CF"/>
    <w:rsid w:val="00E134AC"/>
    <w:rsid w:val="00E14086"/>
    <w:rsid w:val="00E152A9"/>
    <w:rsid w:val="00E1644A"/>
    <w:rsid w:val="00E16C3F"/>
    <w:rsid w:val="00E17694"/>
    <w:rsid w:val="00E22A56"/>
    <w:rsid w:val="00E24871"/>
    <w:rsid w:val="00E3029F"/>
    <w:rsid w:val="00E329DC"/>
    <w:rsid w:val="00E3792D"/>
    <w:rsid w:val="00E402CA"/>
    <w:rsid w:val="00E4158C"/>
    <w:rsid w:val="00E41E78"/>
    <w:rsid w:val="00E43143"/>
    <w:rsid w:val="00E439CC"/>
    <w:rsid w:val="00E43DD4"/>
    <w:rsid w:val="00E4540F"/>
    <w:rsid w:val="00E45932"/>
    <w:rsid w:val="00E47213"/>
    <w:rsid w:val="00E47F24"/>
    <w:rsid w:val="00E5358E"/>
    <w:rsid w:val="00E53FEB"/>
    <w:rsid w:val="00E57B17"/>
    <w:rsid w:val="00E60BC7"/>
    <w:rsid w:val="00E60E72"/>
    <w:rsid w:val="00E67C29"/>
    <w:rsid w:val="00E70950"/>
    <w:rsid w:val="00E720D6"/>
    <w:rsid w:val="00E72D8C"/>
    <w:rsid w:val="00E77B4C"/>
    <w:rsid w:val="00E80928"/>
    <w:rsid w:val="00E84948"/>
    <w:rsid w:val="00E84CFD"/>
    <w:rsid w:val="00E87509"/>
    <w:rsid w:val="00E8754B"/>
    <w:rsid w:val="00E877FA"/>
    <w:rsid w:val="00E87FBA"/>
    <w:rsid w:val="00E9289E"/>
    <w:rsid w:val="00E95481"/>
    <w:rsid w:val="00E95B5F"/>
    <w:rsid w:val="00E97673"/>
    <w:rsid w:val="00EA1B19"/>
    <w:rsid w:val="00EA2A09"/>
    <w:rsid w:val="00EA2C84"/>
    <w:rsid w:val="00EA32E5"/>
    <w:rsid w:val="00EA69ED"/>
    <w:rsid w:val="00EB27F8"/>
    <w:rsid w:val="00EB4192"/>
    <w:rsid w:val="00EB6152"/>
    <w:rsid w:val="00EC10E8"/>
    <w:rsid w:val="00EC19D5"/>
    <w:rsid w:val="00EC4B7C"/>
    <w:rsid w:val="00EC7030"/>
    <w:rsid w:val="00EC7AC7"/>
    <w:rsid w:val="00EC7FE8"/>
    <w:rsid w:val="00ED080E"/>
    <w:rsid w:val="00ED2AE5"/>
    <w:rsid w:val="00ED4593"/>
    <w:rsid w:val="00ED567F"/>
    <w:rsid w:val="00ED6A3E"/>
    <w:rsid w:val="00EE1BF2"/>
    <w:rsid w:val="00EE1D47"/>
    <w:rsid w:val="00EE39BB"/>
    <w:rsid w:val="00EE3B7C"/>
    <w:rsid w:val="00EE3F87"/>
    <w:rsid w:val="00EE4771"/>
    <w:rsid w:val="00EE4CE7"/>
    <w:rsid w:val="00EF1409"/>
    <w:rsid w:val="00EF2C29"/>
    <w:rsid w:val="00EF3294"/>
    <w:rsid w:val="00EF5B42"/>
    <w:rsid w:val="00EF6252"/>
    <w:rsid w:val="00F01DDC"/>
    <w:rsid w:val="00F05E5F"/>
    <w:rsid w:val="00F07C04"/>
    <w:rsid w:val="00F10F11"/>
    <w:rsid w:val="00F11B1D"/>
    <w:rsid w:val="00F14919"/>
    <w:rsid w:val="00F17769"/>
    <w:rsid w:val="00F221D2"/>
    <w:rsid w:val="00F22864"/>
    <w:rsid w:val="00F235DC"/>
    <w:rsid w:val="00F23808"/>
    <w:rsid w:val="00F24231"/>
    <w:rsid w:val="00F24BA6"/>
    <w:rsid w:val="00F26A83"/>
    <w:rsid w:val="00F26C97"/>
    <w:rsid w:val="00F348CD"/>
    <w:rsid w:val="00F36EC6"/>
    <w:rsid w:val="00F40F2B"/>
    <w:rsid w:val="00F41FA4"/>
    <w:rsid w:val="00F44031"/>
    <w:rsid w:val="00F44288"/>
    <w:rsid w:val="00F46E62"/>
    <w:rsid w:val="00F50DB3"/>
    <w:rsid w:val="00F515DE"/>
    <w:rsid w:val="00F547FC"/>
    <w:rsid w:val="00F54DEA"/>
    <w:rsid w:val="00F556E7"/>
    <w:rsid w:val="00F56192"/>
    <w:rsid w:val="00F60B7B"/>
    <w:rsid w:val="00F671D1"/>
    <w:rsid w:val="00F73B4B"/>
    <w:rsid w:val="00F82017"/>
    <w:rsid w:val="00F82CD2"/>
    <w:rsid w:val="00F83C13"/>
    <w:rsid w:val="00F8401D"/>
    <w:rsid w:val="00F87D7A"/>
    <w:rsid w:val="00F93D34"/>
    <w:rsid w:val="00F93E1A"/>
    <w:rsid w:val="00F94B02"/>
    <w:rsid w:val="00F95866"/>
    <w:rsid w:val="00FA1623"/>
    <w:rsid w:val="00FA3120"/>
    <w:rsid w:val="00FA3A15"/>
    <w:rsid w:val="00FB0F14"/>
    <w:rsid w:val="00FB1929"/>
    <w:rsid w:val="00FB52AF"/>
    <w:rsid w:val="00FB5A25"/>
    <w:rsid w:val="00FC3255"/>
    <w:rsid w:val="00FC3954"/>
    <w:rsid w:val="00FD2A00"/>
    <w:rsid w:val="00FD4CA2"/>
    <w:rsid w:val="00FD585E"/>
    <w:rsid w:val="00FD73F5"/>
    <w:rsid w:val="00FD7F1B"/>
    <w:rsid w:val="00FE2AA5"/>
    <w:rsid w:val="00FE59A1"/>
    <w:rsid w:val="00FE63CF"/>
    <w:rsid w:val="00FF0C93"/>
    <w:rsid w:val="00FF19B6"/>
    <w:rsid w:val="00FF37F8"/>
    <w:rsid w:val="00FF64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54F42-BC25-1C4E-93B6-1B56711F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E8F"/>
    <w:rPr>
      <w:rFonts w:ascii="Times New Roman" w:eastAsia="Times New Roman" w:hAnsi="Times New Roman" w:cs="Times New Roman"/>
      <w:lang w:eastAsia="en-GB"/>
    </w:rPr>
  </w:style>
  <w:style w:type="paragraph" w:styleId="Heading2">
    <w:name w:val="heading 2"/>
    <w:basedOn w:val="Normal"/>
    <w:link w:val="Heading2Char"/>
    <w:uiPriority w:val="9"/>
    <w:qFormat/>
    <w:rsid w:val="004E6C6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3D0"/>
    <w:pPr>
      <w:ind w:left="720"/>
      <w:contextualSpacing/>
    </w:pPr>
  </w:style>
  <w:style w:type="paragraph" w:styleId="BalloonText">
    <w:name w:val="Balloon Text"/>
    <w:basedOn w:val="Normal"/>
    <w:link w:val="BalloonTextChar"/>
    <w:uiPriority w:val="99"/>
    <w:semiHidden/>
    <w:unhideWhenUsed/>
    <w:rsid w:val="00DB1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4A7"/>
    <w:rPr>
      <w:rFonts w:ascii="Segoe UI" w:hAnsi="Segoe UI" w:cs="Segoe UI"/>
      <w:sz w:val="18"/>
      <w:szCs w:val="18"/>
      <w:lang w:val="en-GB"/>
    </w:rPr>
  </w:style>
  <w:style w:type="paragraph" w:styleId="Header">
    <w:name w:val="header"/>
    <w:basedOn w:val="Normal"/>
    <w:link w:val="HeaderChar"/>
    <w:uiPriority w:val="99"/>
    <w:unhideWhenUsed/>
    <w:rsid w:val="00773929"/>
    <w:pPr>
      <w:tabs>
        <w:tab w:val="center" w:pos="4680"/>
        <w:tab w:val="right" w:pos="9360"/>
      </w:tabs>
    </w:pPr>
  </w:style>
  <w:style w:type="character" w:customStyle="1" w:styleId="HeaderChar">
    <w:name w:val="Header Char"/>
    <w:basedOn w:val="DefaultParagraphFont"/>
    <w:link w:val="Header"/>
    <w:uiPriority w:val="99"/>
    <w:rsid w:val="00773929"/>
    <w:rPr>
      <w:lang w:val="en-GB"/>
    </w:rPr>
  </w:style>
  <w:style w:type="paragraph" w:styleId="Footer">
    <w:name w:val="footer"/>
    <w:basedOn w:val="Normal"/>
    <w:link w:val="FooterChar"/>
    <w:uiPriority w:val="99"/>
    <w:unhideWhenUsed/>
    <w:rsid w:val="00773929"/>
    <w:pPr>
      <w:tabs>
        <w:tab w:val="center" w:pos="4680"/>
        <w:tab w:val="right" w:pos="9360"/>
      </w:tabs>
    </w:pPr>
  </w:style>
  <w:style w:type="character" w:customStyle="1" w:styleId="FooterChar">
    <w:name w:val="Footer Char"/>
    <w:basedOn w:val="DefaultParagraphFont"/>
    <w:link w:val="Footer"/>
    <w:uiPriority w:val="99"/>
    <w:rsid w:val="00773929"/>
    <w:rPr>
      <w:lang w:val="en-GB"/>
    </w:rPr>
  </w:style>
  <w:style w:type="paragraph" w:styleId="FootnoteText">
    <w:name w:val="footnote text"/>
    <w:basedOn w:val="Normal"/>
    <w:link w:val="FootnoteTextChar"/>
    <w:uiPriority w:val="99"/>
    <w:unhideWhenUsed/>
    <w:rsid w:val="009C4AFA"/>
    <w:rPr>
      <w:sz w:val="20"/>
      <w:szCs w:val="20"/>
    </w:rPr>
  </w:style>
  <w:style w:type="character" w:customStyle="1" w:styleId="FootnoteTextChar">
    <w:name w:val="Footnote Text Char"/>
    <w:basedOn w:val="DefaultParagraphFont"/>
    <w:link w:val="FootnoteText"/>
    <w:uiPriority w:val="99"/>
    <w:rsid w:val="009C4AFA"/>
    <w:rPr>
      <w:sz w:val="20"/>
      <w:szCs w:val="20"/>
      <w:lang w:val="en-GB"/>
    </w:rPr>
  </w:style>
  <w:style w:type="character" w:styleId="FootnoteReference">
    <w:name w:val="footnote reference"/>
    <w:basedOn w:val="DefaultParagraphFont"/>
    <w:uiPriority w:val="99"/>
    <w:semiHidden/>
    <w:unhideWhenUsed/>
    <w:rsid w:val="009C4AFA"/>
    <w:rPr>
      <w:vertAlign w:val="superscript"/>
    </w:rPr>
  </w:style>
  <w:style w:type="paragraph" w:styleId="Revision">
    <w:name w:val="Revision"/>
    <w:hidden/>
    <w:uiPriority w:val="99"/>
    <w:semiHidden/>
    <w:rsid w:val="00F235DC"/>
    <w:rPr>
      <w:lang w:val="en-GB"/>
    </w:rPr>
  </w:style>
  <w:style w:type="character" w:styleId="CommentReference">
    <w:name w:val="annotation reference"/>
    <w:basedOn w:val="DefaultParagraphFont"/>
    <w:uiPriority w:val="99"/>
    <w:semiHidden/>
    <w:unhideWhenUsed/>
    <w:rsid w:val="00651B1A"/>
    <w:rPr>
      <w:sz w:val="16"/>
      <w:szCs w:val="16"/>
    </w:rPr>
  </w:style>
  <w:style w:type="paragraph" w:styleId="CommentText">
    <w:name w:val="annotation text"/>
    <w:basedOn w:val="Normal"/>
    <w:link w:val="CommentTextChar"/>
    <w:uiPriority w:val="99"/>
    <w:semiHidden/>
    <w:unhideWhenUsed/>
    <w:rsid w:val="00651B1A"/>
    <w:rPr>
      <w:sz w:val="20"/>
      <w:szCs w:val="20"/>
    </w:rPr>
  </w:style>
  <w:style w:type="character" w:customStyle="1" w:styleId="CommentTextChar">
    <w:name w:val="Comment Text Char"/>
    <w:basedOn w:val="DefaultParagraphFont"/>
    <w:link w:val="CommentText"/>
    <w:uiPriority w:val="99"/>
    <w:semiHidden/>
    <w:rsid w:val="00651B1A"/>
    <w:rPr>
      <w:sz w:val="20"/>
      <w:szCs w:val="20"/>
      <w:lang w:val="en-GB"/>
    </w:rPr>
  </w:style>
  <w:style w:type="paragraph" w:styleId="CommentSubject">
    <w:name w:val="annotation subject"/>
    <w:basedOn w:val="CommentText"/>
    <w:next w:val="CommentText"/>
    <w:link w:val="CommentSubjectChar"/>
    <w:uiPriority w:val="99"/>
    <w:semiHidden/>
    <w:unhideWhenUsed/>
    <w:rsid w:val="00651B1A"/>
    <w:rPr>
      <w:b/>
      <w:bCs/>
    </w:rPr>
  </w:style>
  <w:style w:type="character" w:customStyle="1" w:styleId="CommentSubjectChar">
    <w:name w:val="Comment Subject Char"/>
    <w:basedOn w:val="CommentTextChar"/>
    <w:link w:val="CommentSubject"/>
    <w:uiPriority w:val="99"/>
    <w:semiHidden/>
    <w:rsid w:val="00651B1A"/>
    <w:rPr>
      <w:b/>
      <w:bCs/>
      <w:sz w:val="20"/>
      <w:szCs w:val="20"/>
      <w:lang w:val="en-GB"/>
    </w:rPr>
  </w:style>
  <w:style w:type="character" w:styleId="Hyperlink">
    <w:name w:val="Hyperlink"/>
    <w:basedOn w:val="DefaultParagraphFont"/>
    <w:uiPriority w:val="99"/>
    <w:unhideWhenUsed/>
    <w:rsid w:val="00406600"/>
    <w:rPr>
      <w:color w:val="0000FF"/>
      <w:u w:val="single"/>
    </w:rPr>
  </w:style>
  <w:style w:type="character" w:styleId="FollowedHyperlink">
    <w:name w:val="FollowedHyperlink"/>
    <w:basedOn w:val="DefaultParagraphFont"/>
    <w:uiPriority w:val="99"/>
    <w:semiHidden/>
    <w:unhideWhenUsed/>
    <w:rsid w:val="00406600"/>
    <w:rPr>
      <w:color w:val="954F72" w:themeColor="followedHyperlink"/>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paragraph" w:customStyle="1" w:styleId="lg-section">
    <w:name w:val="lg-section"/>
    <w:basedOn w:val="Normal"/>
    <w:rsid w:val="00AE2879"/>
    <w:pPr>
      <w:spacing w:before="100" w:beforeAutospacing="1" w:after="100" w:afterAutospacing="1"/>
    </w:pPr>
  </w:style>
  <w:style w:type="paragraph" w:customStyle="1" w:styleId="lg-a-1">
    <w:name w:val="lg-a-1"/>
    <w:basedOn w:val="Normal"/>
    <w:rsid w:val="00AE2879"/>
    <w:pPr>
      <w:spacing w:before="100" w:beforeAutospacing="1" w:after="100" w:afterAutospacing="1"/>
    </w:pPr>
  </w:style>
  <w:style w:type="paragraph" w:customStyle="1" w:styleId="lg-i-a-1">
    <w:name w:val="lg-i-a-1"/>
    <w:basedOn w:val="Normal"/>
    <w:rsid w:val="00AE2879"/>
    <w:pPr>
      <w:spacing w:before="100" w:beforeAutospacing="1" w:after="100" w:afterAutospacing="1"/>
    </w:pPr>
  </w:style>
  <w:style w:type="paragraph" w:customStyle="1" w:styleId="lg-annotation">
    <w:name w:val="lg-annotation"/>
    <w:basedOn w:val="Normal"/>
    <w:rsid w:val="00AE2879"/>
    <w:pPr>
      <w:spacing w:before="100" w:beforeAutospacing="1" w:after="100" w:afterAutospacing="1"/>
    </w:pPr>
  </w:style>
  <w:style w:type="character" w:customStyle="1" w:styleId="apple-converted-space">
    <w:name w:val="apple-converted-space"/>
    <w:basedOn w:val="DefaultParagraphFont"/>
    <w:rsid w:val="00AE2879"/>
  </w:style>
  <w:style w:type="paragraph" w:customStyle="1" w:styleId="lg-para3">
    <w:name w:val="lg-para3"/>
    <w:basedOn w:val="Normal"/>
    <w:rsid w:val="006457D8"/>
    <w:pPr>
      <w:spacing w:before="100" w:beforeAutospacing="1" w:after="100" w:afterAutospacing="1"/>
    </w:pPr>
  </w:style>
  <w:style w:type="paragraph" w:customStyle="1" w:styleId="normal-text">
    <w:name w:val="normal-text"/>
    <w:basedOn w:val="Normal"/>
    <w:rsid w:val="006457D8"/>
    <w:pPr>
      <w:spacing w:before="100" w:beforeAutospacing="1" w:after="100" w:afterAutospacing="1"/>
    </w:pPr>
  </w:style>
  <w:style w:type="paragraph" w:styleId="NormalWeb">
    <w:name w:val="Normal (Web)"/>
    <w:basedOn w:val="Normal"/>
    <w:uiPriority w:val="99"/>
    <w:unhideWhenUsed/>
    <w:rsid w:val="00332182"/>
    <w:pPr>
      <w:spacing w:before="100" w:beforeAutospacing="1" w:after="100" w:afterAutospacing="1"/>
    </w:pPr>
  </w:style>
  <w:style w:type="character" w:customStyle="1" w:styleId="footnote-link">
    <w:name w:val="footnote-link"/>
    <w:basedOn w:val="DefaultParagraphFont"/>
    <w:rsid w:val="00D00D2E"/>
  </w:style>
  <w:style w:type="paragraph" w:customStyle="1" w:styleId="lg-definition">
    <w:name w:val="lg-definition"/>
    <w:basedOn w:val="Normal"/>
    <w:rsid w:val="003D66CE"/>
    <w:pPr>
      <w:spacing w:before="100" w:beforeAutospacing="1" w:after="100" w:afterAutospacing="1"/>
    </w:pPr>
  </w:style>
  <w:style w:type="paragraph" w:customStyle="1" w:styleId="n10pt-1">
    <w:name w:val="n10pt-1"/>
    <w:basedOn w:val="Normal"/>
    <w:rsid w:val="00352E8F"/>
    <w:pPr>
      <w:spacing w:before="100" w:beforeAutospacing="1" w:after="100" w:afterAutospacing="1"/>
    </w:pPr>
  </w:style>
  <w:style w:type="paragraph" w:customStyle="1" w:styleId="q-normal-1-1">
    <w:name w:val="q-normal-1-1"/>
    <w:basedOn w:val="Normal"/>
    <w:rsid w:val="00352E8F"/>
    <w:pPr>
      <w:spacing w:before="100" w:beforeAutospacing="1" w:after="100" w:afterAutospacing="1"/>
    </w:pPr>
  </w:style>
  <w:style w:type="character" w:customStyle="1" w:styleId="mc">
    <w:name w:val="mc"/>
    <w:basedOn w:val="DefaultParagraphFont"/>
    <w:rsid w:val="007C46D5"/>
  </w:style>
  <w:style w:type="character" w:customStyle="1" w:styleId="Heading2Char">
    <w:name w:val="Heading 2 Char"/>
    <w:basedOn w:val="DefaultParagraphFont"/>
    <w:link w:val="Heading2"/>
    <w:uiPriority w:val="9"/>
    <w:rsid w:val="004E6C68"/>
    <w:rPr>
      <w:rFonts w:ascii="Times New Roman" w:eastAsia="Times New Roman" w:hAnsi="Times New Roman" w:cs="Times New Roman"/>
      <w:b/>
      <w:bCs/>
      <w:sz w:val="36"/>
      <w:szCs w:val="36"/>
      <w:lang w:eastAsia="en-GB"/>
    </w:rPr>
  </w:style>
  <w:style w:type="paragraph" w:styleId="NoSpacing">
    <w:name w:val="No Spacing"/>
    <w:uiPriority w:val="1"/>
    <w:qFormat/>
    <w:rsid w:val="001330EF"/>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87567">
      <w:bodyDiv w:val="1"/>
      <w:marLeft w:val="0"/>
      <w:marRight w:val="0"/>
      <w:marTop w:val="0"/>
      <w:marBottom w:val="0"/>
      <w:divBdr>
        <w:top w:val="none" w:sz="0" w:space="0" w:color="auto"/>
        <w:left w:val="none" w:sz="0" w:space="0" w:color="auto"/>
        <w:bottom w:val="none" w:sz="0" w:space="0" w:color="auto"/>
        <w:right w:val="none" w:sz="0" w:space="0" w:color="auto"/>
      </w:divBdr>
    </w:div>
    <w:div w:id="471095872">
      <w:bodyDiv w:val="1"/>
      <w:marLeft w:val="0"/>
      <w:marRight w:val="0"/>
      <w:marTop w:val="0"/>
      <w:marBottom w:val="0"/>
      <w:divBdr>
        <w:top w:val="none" w:sz="0" w:space="0" w:color="auto"/>
        <w:left w:val="none" w:sz="0" w:space="0" w:color="auto"/>
        <w:bottom w:val="none" w:sz="0" w:space="0" w:color="auto"/>
        <w:right w:val="none" w:sz="0" w:space="0" w:color="auto"/>
      </w:divBdr>
    </w:div>
    <w:div w:id="516504983">
      <w:bodyDiv w:val="1"/>
      <w:marLeft w:val="0"/>
      <w:marRight w:val="0"/>
      <w:marTop w:val="0"/>
      <w:marBottom w:val="0"/>
      <w:divBdr>
        <w:top w:val="none" w:sz="0" w:space="0" w:color="auto"/>
        <w:left w:val="none" w:sz="0" w:space="0" w:color="auto"/>
        <w:bottom w:val="none" w:sz="0" w:space="0" w:color="auto"/>
        <w:right w:val="none" w:sz="0" w:space="0" w:color="auto"/>
      </w:divBdr>
      <w:divsChild>
        <w:div w:id="1641694107">
          <w:marLeft w:val="0"/>
          <w:marRight w:val="0"/>
          <w:marTop w:val="0"/>
          <w:marBottom w:val="0"/>
          <w:divBdr>
            <w:top w:val="none" w:sz="0" w:space="0" w:color="auto"/>
            <w:left w:val="none" w:sz="0" w:space="0" w:color="auto"/>
            <w:bottom w:val="none" w:sz="0" w:space="0" w:color="auto"/>
            <w:right w:val="none" w:sz="0" w:space="0" w:color="auto"/>
          </w:divBdr>
          <w:divsChild>
            <w:div w:id="242614615">
              <w:marLeft w:val="0"/>
              <w:marRight w:val="0"/>
              <w:marTop w:val="0"/>
              <w:marBottom w:val="0"/>
              <w:divBdr>
                <w:top w:val="none" w:sz="0" w:space="0" w:color="auto"/>
                <w:left w:val="none" w:sz="0" w:space="0" w:color="auto"/>
                <w:bottom w:val="none" w:sz="0" w:space="0" w:color="auto"/>
                <w:right w:val="none" w:sz="0" w:space="0" w:color="auto"/>
              </w:divBdr>
              <w:divsChild>
                <w:div w:id="13057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15518">
      <w:bodyDiv w:val="1"/>
      <w:marLeft w:val="0"/>
      <w:marRight w:val="0"/>
      <w:marTop w:val="0"/>
      <w:marBottom w:val="0"/>
      <w:divBdr>
        <w:top w:val="none" w:sz="0" w:space="0" w:color="auto"/>
        <w:left w:val="none" w:sz="0" w:space="0" w:color="auto"/>
        <w:bottom w:val="none" w:sz="0" w:space="0" w:color="auto"/>
        <w:right w:val="none" w:sz="0" w:space="0" w:color="auto"/>
      </w:divBdr>
    </w:div>
    <w:div w:id="563761656">
      <w:bodyDiv w:val="1"/>
      <w:marLeft w:val="0"/>
      <w:marRight w:val="0"/>
      <w:marTop w:val="0"/>
      <w:marBottom w:val="0"/>
      <w:divBdr>
        <w:top w:val="none" w:sz="0" w:space="0" w:color="auto"/>
        <w:left w:val="none" w:sz="0" w:space="0" w:color="auto"/>
        <w:bottom w:val="none" w:sz="0" w:space="0" w:color="auto"/>
        <w:right w:val="none" w:sz="0" w:space="0" w:color="auto"/>
      </w:divBdr>
      <w:divsChild>
        <w:div w:id="314721209">
          <w:marLeft w:val="0"/>
          <w:marRight w:val="0"/>
          <w:marTop w:val="0"/>
          <w:marBottom w:val="0"/>
          <w:divBdr>
            <w:top w:val="none" w:sz="0" w:space="0" w:color="auto"/>
            <w:left w:val="none" w:sz="0" w:space="0" w:color="auto"/>
            <w:bottom w:val="none" w:sz="0" w:space="0" w:color="auto"/>
            <w:right w:val="none" w:sz="0" w:space="0" w:color="auto"/>
          </w:divBdr>
          <w:divsChild>
            <w:div w:id="140199928">
              <w:marLeft w:val="0"/>
              <w:marRight w:val="0"/>
              <w:marTop w:val="0"/>
              <w:marBottom w:val="0"/>
              <w:divBdr>
                <w:top w:val="none" w:sz="0" w:space="0" w:color="auto"/>
                <w:left w:val="none" w:sz="0" w:space="0" w:color="auto"/>
                <w:bottom w:val="none" w:sz="0" w:space="0" w:color="auto"/>
                <w:right w:val="none" w:sz="0" w:space="0" w:color="auto"/>
              </w:divBdr>
              <w:divsChild>
                <w:div w:id="3753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04178">
      <w:bodyDiv w:val="1"/>
      <w:marLeft w:val="0"/>
      <w:marRight w:val="0"/>
      <w:marTop w:val="0"/>
      <w:marBottom w:val="0"/>
      <w:divBdr>
        <w:top w:val="none" w:sz="0" w:space="0" w:color="auto"/>
        <w:left w:val="none" w:sz="0" w:space="0" w:color="auto"/>
        <w:bottom w:val="none" w:sz="0" w:space="0" w:color="auto"/>
        <w:right w:val="none" w:sz="0" w:space="0" w:color="auto"/>
      </w:divBdr>
    </w:div>
    <w:div w:id="606350545">
      <w:bodyDiv w:val="1"/>
      <w:marLeft w:val="0"/>
      <w:marRight w:val="0"/>
      <w:marTop w:val="0"/>
      <w:marBottom w:val="0"/>
      <w:divBdr>
        <w:top w:val="none" w:sz="0" w:space="0" w:color="auto"/>
        <w:left w:val="none" w:sz="0" w:space="0" w:color="auto"/>
        <w:bottom w:val="none" w:sz="0" w:space="0" w:color="auto"/>
        <w:right w:val="none" w:sz="0" w:space="0" w:color="auto"/>
      </w:divBdr>
    </w:div>
    <w:div w:id="722141538">
      <w:bodyDiv w:val="1"/>
      <w:marLeft w:val="0"/>
      <w:marRight w:val="0"/>
      <w:marTop w:val="0"/>
      <w:marBottom w:val="0"/>
      <w:divBdr>
        <w:top w:val="none" w:sz="0" w:space="0" w:color="auto"/>
        <w:left w:val="none" w:sz="0" w:space="0" w:color="auto"/>
        <w:bottom w:val="none" w:sz="0" w:space="0" w:color="auto"/>
        <w:right w:val="none" w:sz="0" w:space="0" w:color="auto"/>
      </w:divBdr>
    </w:div>
    <w:div w:id="1052002683">
      <w:bodyDiv w:val="1"/>
      <w:marLeft w:val="0"/>
      <w:marRight w:val="0"/>
      <w:marTop w:val="0"/>
      <w:marBottom w:val="0"/>
      <w:divBdr>
        <w:top w:val="none" w:sz="0" w:space="0" w:color="auto"/>
        <w:left w:val="none" w:sz="0" w:space="0" w:color="auto"/>
        <w:bottom w:val="none" w:sz="0" w:space="0" w:color="auto"/>
        <w:right w:val="none" w:sz="0" w:space="0" w:color="auto"/>
      </w:divBdr>
    </w:div>
    <w:div w:id="1163204150">
      <w:bodyDiv w:val="1"/>
      <w:marLeft w:val="0"/>
      <w:marRight w:val="0"/>
      <w:marTop w:val="0"/>
      <w:marBottom w:val="0"/>
      <w:divBdr>
        <w:top w:val="none" w:sz="0" w:space="0" w:color="auto"/>
        <w:left w:val="none" w:sz="0" w:space="0" w:color="auto"/>
        <w:bottom w:val="none" w:sz="0" w:space="0" w:color="auto"/>
        <w:right w:val="none" w:sz="0" w:space="0" w:color="auto"/>
      </w:divBdr>
    </w:div>
    <w:div w:id="1330794554">
      <w:bodyDiv w:val="1"/>
      <w:marLeft w:val="0"/>
      <w:marRight w:val="0"/>
      <w:marTop w:val="0"/>
      <w:marBottom w:val="0"/>
      <w:divBdr>
        <w:top w:val="none" w:sz="0" w:space="0" w:color="auto"/>
        <w:left w:val="none" w:sz="0" w:space="0" w:color="auto"/>
        <w:bottom w:val="none" w:sz="0" w:space="0" w:color="auto"/>
        <w:right w:val="none" w:sz="0" w:space="0" w:color="auto"/>
      </w:divBdr>
      <w:divsChild>
        <w:div w:id="978615079">
          <w:marLeft w:val="0"/>
          <w:marRight w:val="0"/>
          <w:marTop w:val="120"/>
          <w:marBottom w:val="0"/>
          <w:divBdr>
            <w:top w:val="none" w:sz="0" w:space="0" w:color="auto"/>
            <w:left w:val="none" w:sz="0" w:space="0" w:color="auto"/>
            <w:bottom w:val="none" w:sz="0" w:space="0" w:color="auto"/>
            <w:right w:val="none" w:sz="0" w:space="0" w:color="auto"/>
          </w:divBdr>
        </w:div>
        <w:div w:id="603418009">
          <w:marLeft w:val="1134"/>
          <w:marRight w:val="0"/>
          <w:marTop w:val="60"/>
          <w:marBottom w:val="0"/>
          <w:divBdr>
            <w:top w:val="none" w:sz="0" w:space="0" w:color="auto"/>
            <w:left w:val="none" w:sz="0" w:space="0" w:color="auto"/>
            <w:bottom w:val="none" w:sz="0" w:space="0" w:color="auto"/>
            <w:right w:val="none" w:sz="0" w:space="0" w:color="auto"/>
          </w:divBdr>
        </w:div>
        <w:div w:id="980231016">
          <w:marLeft w:val="1985"/>
          <w:marRight w:val="0"/>
          <w:marTop w:val="60"/>
          <w:marBottom w:val="0"/>
          <w:divBdr>
            <w:top w:val="none" w:sz="0" w:space="0" w:color="auto"/>
            <w:left w:val="none" w:sz="0" w:space="0" w:color="auto"/>
            <w:bottom w:val="none" w:sz="0" w:space="0" w:color="auto"/>
            <w:right w:val="none" w:sz="0" w:space="0" w:color="auto"/>
          </w:divBdr>
        </w:div>
        <w:div w:id="1498576390">
          <w:marLeft w:val="1985"/>
          <w:marRight w:val="0"/>
          <w:marTop w:val="60"/>
          <w:marBottom w:val="0"/>
          <w:divBdr>
            <w:top w:val="none" w:sz="0" w:space="0" w:color="auto"/>
            <w:left w:val="none" w:sz="0" w:space="0" w:color="auto"/>
            <w:bottom w:val="none" w:sz="0" w:space="0" w:color="auto"/>
            <w:right w:val="none" w:sz="0" w:space="0" w:color="auto"/>
          </w:divBdr>
        </w:div>
        <w:div w:id="1663775901">
          <w:marLeft w:val="1134"/>
          <w:marRight w:val="0"/>
          <w:marTop w:val="60"/>
          <w:marBottom w:val="0"/>
          <w:divBdr>
            <w:top w:val="none" w:sz="0" w:space="0" w:color="auto"/>
            <w:left w:val="none" w:sz="0" w:space="0" w:color="auto"/>
            <w:bottom w:val="none" w:sz="0" w:space="0" w:color="auto"/>
            <w:right w:val="none" w:sz="0" w:space="0" w:color="auto"/>
          </w:divBdr>
        </w:div>
        <w:div w:id="1916625702">
          <w:marLeft w:val="1134"/>
          <w:marRight w:val="0"/>
          <w:marTop w:val="60"/>
          <w:marBottom w:val="0"/>
          <w:divBdr>
            <w:top w:val="none" w:sz="0" w:space="0" w:color="auto"/>
            <w:left w:val="none" w:sz="0" w:space="0" w:color="auto"/>
            <w:bottom w:val="none" w:sz="0" w:space="0" w:color="auto"/>
            <w:right w:val="none" w:sz="0" w:space="0" w:color="auto"/>
          </w:divBdr>
        </w:div>
        <w:div w:id="1404445320">
          <w:marLeft w:val="1985"/>
          <w:marRight w:val="0"/>
          <w:marTop w:val="60"/>
          <w:marBottom w:val="0"/>
          <w:divBdr>
            <w:top w:val="none" w:sz="0" w:space="0" w:color="auto"/>
            <w:left w:val="none" w:sz="0" w:space="0" w:color="auto"/>
            <w:bottom w:val="none" w:sz="0" w:space="0" w:color="auto"/>
            <w:right w:val="none" w:sz="0" w:space="0" w:color="auto"/>
          </w:divBdr>
        </w:div>
        <w:div w:id="1361511928">
          <w:marLeft w:val="2580"/>
          <w:marRight w:val="0"/>
          <w:marTop w:val="60"/>
          <w:marBottom w:val="0"/>
          <w:divBdr>
            <w:top w:val="none" w:sz="0" w:space="0" w:color="auto"/>
            <w:left w:val="none" w:sz="0" w:space="0" w:color="auto"/>
            <w:bottom w:val="none" w:sz="0" w:space="0" w:color="auto"/>
            <w:right w:val="none" w:sz="0" w:space="0" w:color="auto"/>
          </w:divBdr>
        </w:div>
        <w:div w:id="253170941">
          <w:marLeft w:val="2580"/>
          <w:marRight w:val="0"/>
          <w:marTop w:val="60"/>
          <w:marBottom w:val="0"/>
          <w:divBdr>
            <w:top w:val="none" w:sz="0" w:space="0" w:color="auto"/>
            <w:left w:val="none" w:sz="0" w:space="0" w:color="auto"/>
            <w:bottom w:val="none" w:sz="0" w:space="0" w:color="auto"/>
            <w:right w:val="none" w:sz="0" w:space="0" w:color="auto"/>
          </w:divBdr>
        </w:div>
        <w:div w:id="956571797">
          <w:marLeft w:val="1985"/>
          <w:marRight w:val="0"/>
          <w:marTop w:val="60"/>
          <w:marBottom w:val="0"/>
          <w:divBdr>
            <w:top w:val="none" w:sz="0" w:space="0" w:color="auto"/>
            <w:left w:val="none" w:sz="0" w:space="0" w:color="auto"/>
            <w:bottom w:val="none" w:sz="0" w:space="0" w:color="auto"/>
            <w:right w:val="none" w:sz="0" w:space="0" w:color="auto"/>
          </w:divBdr>
        </w:div>
        <w:div w:id="349725164">
          <w:marLeft w:val="0"/>
          <w:marRight w:val="0"/>
          <w:marTop w:val="120"/>
          <w:marBottom w:val="0"/>
          <w:divBdr>
            <w:top w:val="none" w:sz="0" w:space="0" w:color="auto"/>
            <w:left w:val="none" w:sz="0" w:space="0" w:color="auto"/>
            <w:bottom w:val="none" w:sz="0" w:space="0" w:color="auto"/>
            <w:right w:val="none" w:sz="0" w:space="0" w:color="auto"/>
          </w:divBdr>
        </w:div>
        <w:div w:id="1244606270">
          <w:marLeft w:val="1134"/>
          <w:marRight w:val="0"/>
          <w:marTop w:val="60"/>
          <w:marBottom w:val="0"/>
          <w:divBdr>
            <w:top w:val="none" w:sz="0" w:space="0" w:color="auto"/>
            <w:left w:val="none" w:sz="0" w:space="0" w:color="auto"/>
            <w:bottom w:val="none" w:sz="0" w:space="0" w:color="auto"/>
            <w:right w:val="none" w:sz="0" w:space="0" w:color="auto"/>
          </w:divBdr>
        </w:div>
        <w:div w:id="1833257374">
          <w:marLeft w:val="1134"/>
          <w:marRight w:val="0"/>
          <w:marTop w:val="60"/>
          <w:marBottom w:val="0"/>
          <w:divBdr>
            <w:top w:val="none" w:sz="0" w:space="0" w:color="auto"/>
            <w:left w:val="none" w:sz="0" w:space="0" w:color="auto"/>
            <w:bottom w:val="none" w:sz="0" w:space="0" w:color="auto"/>
            <w:right w:val="none" w:sz="0" w:space="0" w:color="auto"/>
          </w:divBdr>
        </w:div>
        <w:div w:id="1029987968">
          <w:marLeft w:val="1985"/>
          <w:marRight w:val="0"/>
          <w:marTop w:val="60"/>
          <w:marBottom w:val="0"/>
          <w:divBdr>
            <w:top w:val="none" w:sz="0" w:space="0" w:color="auto"/>
            <w:left w:val="none" w:sz="0" w:space="0" w:color="auto"/>
            <w:bottom w:val="none" w:sz="0" w:space="0" w:color="auto"/>
            <w:right w:val="none" w:sz="0" w:space="0" w:color="auto"/>
          </w:divBdr>
        </w:div>
        <w:div w:id="2080244164">
          <w:marLeft w:val="1985"/>
          <w:marRight w:val="0"/>
          <w:marTop w:val="60"/>
          <w:marBottom w:val="0"/>
          <w:divBdr>
            <w:top w:val="none" w:sz="0" w:space="0" w:color="auto"/>
            <w:left w:val="none" w:sz="0" w:space="0" w:color="auto"/>
            <w:bottom w:val="none" w:sz="0" w:space="0" w:color="auto"/>
            <w:right w:val="none" w:sz="0" w:space="0" w:color="auto"/>
          </w:divBdr>
        </w:div>
      </w:divsChild>
    </w:div>
    <w:div w:id="1335717695">
      <w:bodyDiv w:val="1"/>
      <w:marLeft w:val="0"/>
      <w:marRight w:val="0"/>
      <w:marTop w:val="0"/>
      <w:marBottom w:val="0"/>
      <w:divBdr>
        <w:top w:val="none" w:sz="0" w:space="0" w:color="auto"/>
        <w:left w:val="none" w:sz="0" w:space="0" w:color="auto"/>
        <w:bottom w:val="none" w:sz="0" w:space="0" w:color="auto"/>
        <w:right w:val="none" w:sz="0" w:space="0" w:color="auto"/>
      </w:divBdr>
    </w:div>
    <w:div w:id="1410662714">
      <w:bodyDiv w:val="1"/>
      <w:marLeft w:val="0"/>
      <w:marRight w:val="0"/>
      <w:marTop w:val="0"/>
      <w:marBottom w:val="0"/>
      <w:divBdr>
        <w:top w:val="none" w:sz="0" w:space="0" w:color="auto"/>
        <w:left w:val="none" w:sz="0" w:space="0" w:color="auto"/>
        <w:bottom w:val="none" w:sz="0" w:space="0" w:color="auto"/>
        <w:right w:val="none" w:sz="0" w:space="0" w:color="auto"/>
      </w:divBdr>
      <w:divsChild>
        <w:div w:id="645858036">
          <w:marLeft w:val="0"/>
          <w:marRight w:val="0"/>
          <w:marTop w:val="0"/>
          <w:marBottom w:val="0"/>
          <w:divBdr>
            <w:top w:val="none" w:sz="0" w:space="0" w:color="auto"/>
            <w:left w:val="none" w:sz="0" w:space="0" w:color="auto"/>
            <w:bottom w:val="none" w:sz="0" w:space="0" w:color="auto"/>
            <w:right w:val="none" w:sz="0" w:space="0" w:color="auto"/>
          </w:divBdr>
          <w:divsChild>
            <w:div w:id="1400908057">
              <w:marLeft w:val="0"/>
              <w:marRight w:val="0"/>
              <w:marTop w:val="0"/>
              <w:marBottom w:val="0"/>
              <w:divBdr>
                <w:top w:val="none" w:sz="0" w:space="0" w:color="auto"/>
                <w:left w:val="none" w:sz="0" w:space="0" w:color="auto"/>
                <w:bottom w:val="none" w:sz="0" w:space="0" w:color="auto"/>
                <w:right w:val="none" w:sz="0" w:space="0" w:color="auto"/>
              </w:divBdr>
              <w:divsChild>
                <w:div w:id="16477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83575">
      <w:bodyDiv w:val="1"/>
      <w:marLeft w:val="0"/>
      <w:marRight w:val="0"/>
      <w:marTop w:val="0"/>
      <w:marBottom w:val="0"/>
      <w:divBdr>
        <w:top w:val="none" w:sz="0" w:space="0" w:color="auto"/>
        <w:left w:val="none" w:sz="0" w:space="0" w:color="auto"/>
        <w:bottom w:val="none" w:sz="0" w:space="0" w:color="auto"/>
        <w:right w:val="none" w:sz="0" w:space="0" w:color="auto"/>
      </w:divBdr>
    </w:div>
    <w:div w:id="1488936171">
      <w:bodyDiv w:val="1"/>
      <w:marLeft w:val="0"/>
      <w:marRight w:val="0"/>
      <w:marTop w:val="0"/>
      <w:marBottom w:val="0"/>
      <w:divBdr>
        <w:top w:val="none" w:sz="0" w:space="0" w:color="auto"/>
        <w:left w:val="none" w:sz="0" w:space="0" w:color="auto"/>
        <w:bottom w:val="none" w:sz="0" w:space="0" w:color="auto"/>
        <w:right w:val="none" w:sz="0" w:space="0" w:color="auto"/>
      </w:divBdr>
    </w:div>
    <w:div w:id="1594514344">
      <w:bodyDiv w:val="1"/>
      <w:marLeft w:val="0"/>
      <w:marRight w:val="0"/>
      <w:marTop w:val="0"/>
      <w:marBottom w:val="0"/>
      <w:divBdr>
        <w:top w:val="none" w:sz="0" w:space="0" w:color="auto"/>
        <w:left w:val="none" w:sz="0" w:space="0" w:color="auto"/>
        <w:bottom w:val="none" w:sz="0" w:space="0" w:color="auto"/>
        <w:right w:val="none" w:sz="0" w:space="0" w:color="auto"/>
      </w:divBdr>
    </w:div>
    <w:div w:id="1788347907">
      <w:bodyDiv w:val="1"/>
      <w:marLeft w:val="0"/>
      <w:marRight w:val="0"/>
      <w:marTop w:val="0"/>
      <w:marBottom w:val="0"/>
      <w:divBdr>
        <w:top w:val="none" w:sz="0" w:space="0" w:color="auto"/>
        <w:left w:val="none" w:sz="0" w:space="0" w:color="auto"/>
        <w:bottom w:val="none" w:sz="0" w:space="0" w:color="auto"/>
        <w:right w:val="none" w:sz="0" w:space="0" w:color="auto"/>
      </w:divBdr>
    </w:div>
    <w:div w:id="1960720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hemba@thembashezi.com" TargetMode="External"/><Relationship Id="rId4" Type="http://schemas.openxmlformats.org/officeDocument/2006/relationships/settings" Target="settings.xml"/><Relationship Id="rId9" Type="http://schemas.openxmlformats.org/officeDocument/2006/relationships/hyperlink" Target="https://www.mylexisnexis.co.za/Library/IframeContent.aspx?dpath=zb/jilc/kilc/xjsg/1tsg/3ymsb/qzmsb&amp;ismultiview=False&amp;ca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pp.jutastatevolve.co.za/researcher/y2004v1SApg35" TargetMode="External"/><Relationship Id="rId2" Type="http://schemas.openxmlformats.org/officeDocument/2006/relationships/hyperlink" Target="https://www.saflii.org/cgi-bin/LawCite?cit=%5b2010%5d%202%20All%20SA%20246" TargetMode="External"/><Relationship Id="rId1" Type="http://schemas.openxmlformats.org/officeDocument/2006/relationships/hyperlink" Target="https://www.saflii.org/cgi-bin/LawCite?cit=2006%20%286%29%20SA%20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47536-5B31-4C7A-9552-9B15E9D87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8196</Words>
  <Characters>46721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Annandale</dc:creator>
  <cp:keywords/>
  <dc:description/>
  <cp:lastModifiedBy>Mokone</cp:lastModifiedBy>
  <cp:revision>3</cp:revision>
  <cp:lastPrinted>2023-10-17T08:14:00Z</cp:lastPrinted>
  <dcterms:created xsi:type="dcterms:W3CDTF">2023-10-19T12:35:00Z</dcterms:created>
  <dcterms:modified xsi:type="dcterms:W3CDTF">2023-10-19T12:38:00Z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2022-11-28T12:38:37Z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569d8729-45df-4682-926a-dcf3414410d9</vt:lpwstr>
  </property>
  <property fmtid="{D5CDD505-2E9C-101B-9397-08002B2CF9AE}" pid="7" name="MSIP_Label_defa4170-0d19-0005-0004-bc88714345d2_ActionId">
    <vt:lpwstr>4ed00b97-762f-4742-a773-c0e1c57af1e4</vt:lpwstr>
  </property>
  <property fmtid="{D5CDD505-2E9C-101B-9397-08002B2CF9AE}" pid="8" name="MSIP_Label_defa4170-0d19-0005-0004-bc88714345d2_ContentBits">
    <vt:lpwstr>0</vt:lpwstr>
  </property>
</Properties>
</file>