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E80" w:rsidRPr="00794AE8" w:rsidRDefault="00582E80" w:rsidP="00B51744">
      <w:pPr>
        <w:rPr>
          <w:rFonts w:asciiTheme="majorHAnsi" w:hAnsiTheme="majorHAnsi" w:cstheme="majorHAnsi"/>
        </w:rPr>
      </w:pPr>
    </w:p>
    <w:p w:rsidR="00B51744" w:rsidRPr="00794AE8" w:rsidRDefault="00B51744" w:rsidP="00B51744">
      <w:pPr>
        <w:rPr>
          <w:rFonts w:asciiTheme="majorHAnsi" w:hAnsiTheme="majorHAnsi" w:cstheme="majorHAnsi"/>
          <w:b/>
          <w:bCs/>
          <w:sz w:val="28"/>
          <w:szCs w:val="28"/>
        </w:rPr>
      </w:pPr>
      <w:r w:rsidRPr="00794AE8">
        <w:rPr>
          <w:rFonts w:asciiTheme="majorHAnsi" w:hAnsiTheme="majorHAnsi" w:cstheme="majorHAnsi"/>
          <w:sz w:val="28"/>
          <w:szCs w:val="28"/>
        </w:rPr>
        <w:tab/>
      </w:r>
      <w:r w:rsidRPr="00794AE8">
        <w:rPr>
          <w:rFonts w:asciiTheme="majorHAnsi" w:hAnsiTheme="majorHAnsi" w:cstheme="majorHAnsi"/>
          <w:sz w:val="28"/>
          <w:szCs w:val="28"/>
        </w:rPr>
        <w:tab/>
      </w:r>
    </w:p>
    <w:p w:rsidR="00B51744" w:rsidRDefault="00A54ADB" w:rsidP="00A54ADB">
      <w:pPr>
        <w:rPr>
          <w:color w:val="FF0000"/>
          <w:u w:val="single"/>
        </w:rPr>
      </w:pPr>
      <w:r>
        <w:rPr>
          <w:rFonts w:ascii="Arial" w:hAnsi="Arial" w:cs="Arial"/>
          <w:color w:val="FF0000"/>
        </w:rPr>
        <w:t>Editorial note: Certain information has been redacted from this judgment in compliance with the law.</w:t>
      </w:r>
    </w:p>
    <w:p w:rsidR="00A54ADB" w:rsidRPr="00A54ADB" w:rsidRDefault="00A54ADB" w:rsidP="00A54ADB">
      <w:pPr>
        <w:rPr>
          <w:color w:val="FF0000"/>
          <w:u w:val="single"/>
        </w:rPr>
      </w:pPr>
    </w:p>
    <w:p w:rsidR="00A54ADB" w:rsidRPr="00794AE8" w:rsidRDefault="00A54ADB" w:rsidP="00B51744">
      <w:pPr>
        <w:jc w:val="center"/>
        <w:rPr>
          <w:rFonts w:asciiTheme="majorHAnsi" w:hAnsiTheme="majorHAnsi" w:cstheme="majorHAnsi"/>
          <w:b/>
          <w:bCs/>
          <w:sz w:val="28"/>
          <w:szCs w:val="28"/>
        </w:rPr>
      </w:pPr>
    </w:p>
    <w:p w:rsidR="00B51744" w:rsidRPr="00794AE8" w:rsidRDefault="00B51744" w:rsidP="00B51744">
      <w:pPr>
        <w:jc w:val="center"/>
        <w:rPr>
          <w:rFonts w:asciiTheme="majorHAnsi" w:hAnsiTheme="majorHAnsi" w:cstheme="majorHAnsi"/>
          <w:b/>
          <w:bCs/>
          <w:sz w:val="28"/>
          <w:szCs w:val="28"/>
        </w:rPr>
      </w:pPr>
    </w:p>
    <w:p w:rsidR="00B51744" w:rsidRPr="00794AE8" w:rsidRDefault="00B51744" w:rsidP="00B51744">
      <w:pPr>
        <w:jc w:val="center"/>
        <w:rPr>
          <w:rFonts w:asciiTheme="majorHAnsi" w:hAnsiTheme="majorHAnsi" w:cstheme="majorHAnsi"/>
          <w:b/>
          <w:bCs/>
          <w:sz w:val="28"/>
          <w:szCs w:val="28"/>
        </w:rPr>
      </w:pPr>
      <w:r w:rsidRPr="00794AE8">
        <w:rPr>
          <w:rFonts w:asciiTheme="majorHAnsi" w:hAnsiTheme="majorHAnsi" w:cstheme="majorHAnsi"/>
          <w:noProof/>
          <w:lang w:eastAsia="en-ZA"/>
        </w:rPr>
        <w:drawing>
          <wp:anchor distT="0" distB="0" distL="114300" distR="114300" simplePos="0" relativeHeight="251659264" behindDoc="0" locked="0" layoutInCell="1" allowOverlap="1" wp14:anchorId="6B42C1A9" wp14:editId="38174B27">
            <wp:simplePos x="0" y="0"/>
            <wp:positionH relativeFrom="column">
              <wp:align>center</wp:align>
            </wp:positionH>
            <wp:positionV relativeFrom="paragraph">
              <wp:posOffset>-683895</wp:posOffset>
            </wp:positionV>
            <wp:extent cx="800100" cy="9144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rsidR="00B51744" w:rsidRPr="00794AE8" w:rsidRDefault="00B51744" w:rsidP="00B51744">
      <w:pPr>
        <w:spacing w:line="360" w:lineRule="auto"/>
        <w:jc w:val="center"/>
        <w:rPr>
          <w:rFonts w:asciiTheme="majorHAnsi" w:hAnsiTheme="majorHAnsi" w:cstheme="majorHAnsi"/>
          <w:b/>
          <w:bCs/>
          <w:sz w:val="28"/>
          <w:szCs w:val="28"/>
        </w:rPr>
      </w:pPr>
    </w:p>
    <w:p w:rsidR="00E06EA7" w:rsidRPr="00794AE8" w:rsidRDefault="00E06EA7" w:rsidP="00E06EA7">
      <w:pPr>
        <w:pBdr>
          <w:bottom w:val="single" w:sz="6" w:space="1" w:color="auto"/>
        </w:pBdr>
        <w:jc w:val="center"/>
        <w:rPr>
          <w:rFonts w:asciiTheme="majorHAnsi" w:hAnsiTheme="majorHAnsi" w:cstheme="majorHAnsi"/>
          <w:b/>
          <w:bCs/>
        </w:rPr>
      </w:pPr>
      <w:r w:rsidRPr="00794AE8">
        <w:rPr>
          <w:rFonts w:asciiTheme="majorHAnsi" w:hAnsiTheme="majorHAnsi" w:cstheme="majorHAnsi"/>
          <w:b/>
          <w:bCs/>
        </w:rPr>
        <w:t>IN THE HIGH COURT OF SOUTH AFRICA</w:t>
      </w:r>
    </w:p>
    <w:p w:rsidR="00E06EA7" w:rsidRPr="00794AE8" w:rsidRDefault="00E06EA7" w:rsidP="00E06EA7">
      <w:pPr>
        <w:pBdr>
          <w:bottom w:val="single" w:sz="6" w:space="1" w:color="auto"/>
        </w:pBdr>
        <w:jc w:val="center"/>
        <w:rPr>
          <w:rFonts w:asciiTheme="majorHAnsi" w:hAnsiTheme="majorHAnsi" w:cstheme="majorHAnsi"/>
          <w:b/>
          <w:bCs/>
        </w:rPr>
      </w:pPr>
      <w:r w:rsidRPr="00794AE8">
        <w:rPr>
          <w:rFonts w:asciiTheme="majorHAnsi" w:hAnsiTheme="majorHAnsi" w:cstheme="majorHAnsi"/>
          <w:b/>
          <w:bCs/>
        </w:rPr>
        <w:t>KWAZULU-NATAL DIVISION, PIETERMARITZBURG</w:t>
      </w:r>
    </w:p>
    <w:p w:rsidR="00E06EA7" w:rsidRPr="00794AE8" w:rsidRDefault="00E06EA7" w:rsidP="00E06EA7">
      <w:pPr>
        <w:pBdr>
          <w:bottom w:val="single" w:sz="6" w:space="1" w:color="auto"/>
        </w:pBdr>
        <w:jc w:val="both"/>
        <w:rPr>
          <w:rFonts w:asciiTheme="majorHAnsi" w:hAnsiTheme="majorHAnsi" w:cstheme="majorHAnsi"/>
        </w:rPr>
      </w:pPr>
    </w:p>
    <w:p w:rsidR="00E06EA7" w:rsidRPr="00794AE8" w:rsidRDefault="00E06EA7" w:rsidP="00E06EA7">
      <w:pPr>
        <w:pBdr>
          <w:bottom w:val="single" w:sz="6" w:space="1" w:color="auto"/>
        </w:pBdr>
        <w:spacing w:line="480" w:lineRule="auto"/>
        <w:jc w:val="center"/>
        <w:rPr>
          <w:rFonts w:asciiTheme="majorHAnsi" w:hAnsiTheme="majorHAnsi" w:cstheme="majorHAnsi"/>
        </w:rPr>
      </w:pPr>
      <w:r w:rsidRPr="00794AE8">
        <w:rPr>
          <w:rFonts w:asciiTheme="majorHAnsi" w:hAnsiTheme="majorHAnsi" w:cstheme="majorHAnsi"/>
        </w:rPr>
        <w:t xml:space="preserve">     </w:t>
      </w:r>
      <w:r w:rsidRPr="00794AE8">
        <w:rPr>
          <w:rFonts w:asciiTheme="majorHAnsi" w:hAnsiTheme="majorHAnsi" w:cstheme="majorHAnsi"/>
        </w:rPr>
        <w:tab/>
      </w:r>
      <w:r w:rsidRPr="00794AE8">
        <w:rPr>
          <w:rFonts w:asciiTheme="majorHAnsi" w:hAnsiTheme="majorHAnsi" w:cstheme="majorHAnsi"/>
        </w:rPr>
        <w:tab/>
      </w:r>
      <w:r w:rsidRPr="00794AE8">
        <w:rPr>
          <w:rFonts w:asciiTheme="majorHAnsi" w:hAnsiTheme="majorHAnsi" w:cstheme="majorHAnsi"/>
        </w:rPr>
        <w:tab/>
      </w:r>
      <w:r w:rsidRPr="00794AE8">
        <w:rPr>
          <w:rFonts w:asciiTheme="majorHAnsi" w:hAnsiTheme="majorHAnsi" w:cstheme="majorHAnsi"/>
        </w:rPr>
        <w:tab/>
      </w:r>
      <w:r w:rsidRPr="00794AE8">
        <w:rPr>
          <w:rFonts w:asciiTheme="majorHAnsi" w:hAnsiTheme="majorHAnsi" w:cstheme="majorHAnsi"/>
        </w:rPr>
        <w:tab/>
      </w:r>
      <w:r w:rsidRPr="00794AE8">
        <w:rPr>
          <w:rFonts w:asciiTheme="majorHAnsi" w:hAnsiTheme="majorHAnsi" w:cstheme="majorHAnsi"/>
        </w:rPr>
        <w:tab/>
      </w:r>
      <w:r w:rsidRPr="00794AE8">
        <w:rPr>
          <w:rFonts w:asciiTheme="majorHAnsi" w:hAnsiTheme="majorHAnsi" w:cstheme="majorHAnsi"/>
        </w:rPr>
        <w:tab/>
        <w:t xml:space="preserve">            </w:t>
      </w:r>
      <w:r w:rsidR="00E24120">
        <w:rPr>
          <w:rFonts w:asciiTheme="majorHAnsi" w:hAnsiTheme="majorHAnsi" w:cstheme="majorHAnsi"/>
        </w:rPr>
        <w:tab/>
      </w:r>
      <w:r w:rsidRPr="00794AE8">
        <w:rPr>
          <w:rFonts w:asciiTheme="majorHAnsi" w:hAnsiTheme="majorHAnsi" w:cstheme="majorHAnsi"/>
        </w:rPr>
        <w:t xml:space="preserve">CASE NO: </w:t>
      </w:r>
      <w:r w:rsidR="00065733">
        <w:rPr>
          <w:rFonts w:asciiTheme="majorHAnsi" w:hAnsiTheme="majorHAnsi" w:cstheme="majorHAnsi"/>
        </w:rPr>
        <w:t>AR3</w:t>
      </w:r>
      <w:r w:rsidR="001D607B">
        <w:rPr>
          <w:rFonts w:asciiTheme="majorHAnsi" w:hAnsiTheme="majorHAnsi" w:cstheme="majorHAnsi"/>
        </w:rPr>
        <w:t>84/22</w:t>
      </w:r>
    </w:p>
    <w:p w:rsidR="00E06EA7" w:rsidRPr="00794AE8" w:rsidRDefault="00E06EA7" w:rsidP="00E06EA7">
      <w:pPr>
        <w:pBdr>
          <w:bottom w:val="single" w:sz="6" w:space="1" w:color="auto"/>
        </w:pBdr>
        <w:spacing w:line="480" w:lineRule="auto"/>
        <w:jc w:val="both"/>
        <w:rPr>
          <w:rFonts w:asciiTheme="majorHAnsi" w:hAnsiTheme="majorHAnsi" w:cstheme="majorHAnsi"/>
        </w:rPr>
      </w:pPr>
      <w:r w:rsidRPr="00794AE8">
        <w:rPr>
          <w:rFonts w:asciiTheme="majorHAnsi" w:hAnsiTheme="majorHAnsi" w:cstheme="majorHAnsi"/>
        </w:rPr>
        <w:t xml:space="preserve">In the matter </w:t>
      </w:r>
      <w:proofErr w:type="gramStart"/>
      <w:r w:rsidRPr="00794AE8">
        <w:rPr>
          <w:rFonts w:asciiTheme="majorHAnsi" w:hAnsiTheme="majorHAnsi" w:cstheme="majorHAnsi"/>
        </w:rPr>
        <w:t>between:-</w:t>
      </w:r>
      <w:proofErr w:type="gramEnd"/>
    </w:p>
    <w:p w:rsidR="00E24120" w:rsidRDefault="00E24120" w:rsidP="00E06EA7">
      <w:pPr>
        <w:pBdr>
          <w:bottom w:val="single" w:sz="6" w:space="1" w:color="auto"/>
        </w:pBdr>
        <w:spacing w:line="480" w:lineRule="auto"/>
        <w:jc w:val="both"/>
        <w:rPr>
          <w:rFonts w:asciiTheme="majorHAnsi" w:hAnsiTheme="majorHAnsi" w:cstheme="majorHAnsi"/>
          <w:b/>
          <w:bCs/>
        </w:rPr>
      </w:pPr>
    </w:p>
    <w:p w:rsidR="00E06EA7" w:rsidRDefault="00E24120" w:rsidP="00E06EA7">
      <w:pPr>
        <w:pBdr>
          <w:bottom w:val="single" w:sz="6" w:space="1" w:color="auto"/>
        </w:pBdr>
        <w:spacing w:line="480" w:lineRule="auto"/>
        <w:jc w:val="both"/>
        <w:rPr>
          <w:rFonts w:asciiTheme="majorHAnsi" w:hAnsiTheme="majorHAnsi" w:cstheme="majorHAnsi"/>
        </w:rPr>
      </w:pPr>
      <w:r>
        <w:rPr>
          <w:rFonts w:asciiTheme="majorHAnsi" w:hAnsiTheme="majorHAnsi" w:cstheme="majorHAnsi"/>
          <w:b/>
          <w:bCs/>
        </w:rPr>
        <w:t>GRANT HORNER</w:t>
      </w:r>
      <w:r>
        <w:rPr>
          <w:rFonts w:asciiTheme="majorHAnsi" w:hAnsiTheme="majorHAnsi" w:cstheme="majorHAnsi"/>
          <w:b/>
          <w:bCs/>
        </w:rPr>
        <w:tab/>
      </w:r>
      <w:r w:rsidR="00E06EA7" w:rsidRPr="00794AE8">
        <w:rPr>
          <w:rFonts w:asciiTheme="majorHAnsi" w:hAnsiTheme="majorHAnsi" w:cstheme="majorHAnsi"/>
          <w:b/>
          <w:bCs/>
        </w:rPr>
        <w:tab/>
      </w:r>
      <w:r w:rsidR="00E06EA7" w:rsidRPr="00794AE8">
        <w:rPr>
          <w:rFonts w:asciiTheme="majorHAnsi" w:hAnsiTheme="majorHAnsi" w:cstheme="majorHAnsi"/>
          <w:b/>
          <w:bCs/>
        </w:rPr>
        <w:tab/>
      </w:r>
      <w:r w:rsidR="00E06EA7" w:rsidRPr="00794AE8">
        <w:rPr>
          <w:rFonts w:asciiTheme="majorHAnsi" w:hAnsiTheme="majorHAnsi" w:cstheme="majorHAnsi"/>
          <w:b/>
          <w:bCs/>
        </w:rPr>
        <w:tab/>
      </w:r>
      <w:r w:rsidR="00E06EA7" w:rsidRPr="00794AE8">
        <w:rPr>
          <w:rFonts w:asciiTheme="majorHAnsi" w:hAnsiTheme="majorHAnsi" w:cstheme="majorHAnsi"/>
          <w:b/>
          <w:bCs/>
        </w:rPr>
        <w:tab/>
        <w:t xml:space="preserve"> </w:t>
      </w:r>
      <w:r w:rsidR="00E06EA7" w:rsidRPr="00794AE8">
        <w:rPr>
          <w:rFonts w:asciiTheme="majorHAnsi" w:hAnsiTheme="majorHAnsi" w:cstheme="majorHAnsi"/>
          <w:b/>
          <w:bCs/>
        </w:rPr>
        <w:tab/>
      </w:r>
      <w:r w:rsidR="00E06EA7" w:rsidRPr="00794AE8">
        <w:rPr>
          <w:rFonts w:asciiTheme="majorHAnsi" w:hAnsiTheme="majorHAnsi" w:cstheme="majorHAnsi"/>
          <w:b/>
          <w:bCs/>
        </w:rPr>
        <w:tab/>
        <w:t xml:space="preserve">            </w:t>
      </w:r>
      <w:r>
        <w:rPr>
          <w:rFonts w:asciiTheme="majorHAnsi" w:hAnsiTheme="majorHAnsi" w:cstheme="majorHAnsi"/>
          <w:b/>
          <w:bCs/>
        </w:rPr>
        <w:t xml:space="preserve">    </w:t>
      </w:r>
      <w:r w:rsidR="00E06EA7" w:rsidRPr="00794AE8">
        <w:rPr>
          <w:rFonts w:asciiTheme="majorHAnsi" w:hAnsiTheme="majorHAnsi" w:cstheme="majorHAnsi"/>
        </w:rPr>
        <w:t>APP</w:t>
      </w:r>
      <w:r>
        <w:rPr>
          <w:rFonts w:asciiTheme="majorHAnsi" w:hAnsiTheme="majorHAnsi" w:cstheme="majorHAnsi"/>
        </w:rPr>
        <w:t>ELLANT</w:t>
      </w:r>
    </w:p>
    <w:p w:rsidR="00E24120" w:rsidRPr="00E24120" w:rsidRDefault="00E24120" w:rsidP="00E24120">
      <w:pPr>
        <w:pBdr>
          <w:bottom w:val="single" w:sz="6" w:space="1" w:color="auto"/>
        </w:pBdr>
        <w:spacing w:line="480" w:lineRule="auto"/>
        <w:ind w:firstLine="720"/>
        <w:jc w:val="both"/>
        <w:rPr>
          <w:rFonts w:asciiTheme="majorHAnsi" w:hAnsiTheme="majorHAnsi" w:cstheme="majorHAnsi"/>
        </w:rPr>
      </w:pPr>
      <w:r>
        <w:rPr>
          <w:rFonts w:asciiTheme="majorHAnsi" w:hAnsiTheme="majorHAnsi" w:cstheme="majorHAnsi"/>
        </w:rPr>
        <w:t xml:space="preserve">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 xml:space="preserve">   (Respondent in court </w:t>
      </w:r>
      <w:r>
        <w:rPr>
          <w:rFonts w:asciiTheme="majorHAnsi" w:hAnsiTheme="majorHAnsi" w:cstheme="majorHAnsi"/>
          <w:i/>
          <w:iCs/>
        </w:rPr>
        <w:t>a quo</w:t>
      </w:r>
      <w:r>
        <w:rPr>
          <w:rFonts w:asciiTheme="majorHAnsi" w:hAnsiTheme="majorHAnsi" w:cstheme="majorHAnsi"/>
        </w:rPr>
        <w:t>)</w:t>
      </w:r>
    </w:p>
    <w:p w:rsidR="00E06EA7" w:rsidRPr="00794AE8" w:rsidRDefault="00E06EA7" w:rsidP="00E06EA7">
      <w:pPr>
        <w:pBdr>
          <w:bottom w:val="single" w:sz="6" w:space="1" w:color="auto"/>
        </w:pBdr>
        <w:spacing w:line="480" w:lineRule="auto"/>
        <w:jc w:val="both"/>
        <w:rPr>
          <w:rFonts w:asciiTheme="majorHAnsi" w:hAnsiTheme="majorHAnsi" w:cstheme="majorHAnsi"/>
        </w:rPr>
      </w:pPr>
    </w:p>
    <w:p w:rsidR="00E06EA7" w:rsidRPr="00794AE8" w:rsidRDefault="00E24120" w:rsidP="00E06EA7">
      <w:pPr>
        <w:pBdr>
          <w:bottom w:val="single" w:sz="6" w:space="1" w:color="auto"/>
        </w:pBdr>
        <w:spacing w:line="480" w:lineRule="auto"/>
        <w:jc w:val="both"/>
        <w:rPr>
          <w:rFonts w:asciiTheme="majorHAnsi" w:hAnsiTheme="majorHAnsi" w:cstheme="majorHAnsi"/>
        </w:rPr>
      </w:pPr>
      <w:r>
        <w:rPr>
          <w:rFonts w:asciiTheme="majorHAnsi" w:hAnsiTheme="majorHAnsi" w:cstheme="majorHAnsi"/>
        </w:rPr>
        <w:t>a</w:t>
      </w:r>
      <w:r w:rsidR="00E06EA7" w:rsidRPr="00794AE8">
        <w:rPr>
          <w:rFonts w:asciiTheme="majorHAnsi" w:hAnsiTheme="majorHAnsi" w:cstheme="majorHAnsi"/>
        </w:rPr>
        <w:t>nd</w:t>
      </w:r>
      <w:r w:rsidR="00E06EA7" w:rsidRPr="00794AE8">
        <w:rPr>
          <w:rFonts w:asciiTheme="majorHAnsi" w:hAnsiTheme="majorHAnsi" w:cstheme="majorHAnsi"/>
        </w:rPr>
        <w:tab/>
      </w:r>
      <w:r w:rsidR="00E06EA7" w:rsidRPr="00794AE8">
        <w:rPr>
          <w:rFonts w:asciiTheme="majorHAnsi" w:hAnsiTheme="majorHAnsi" w:cstheme="majorHAnsi"/>
        </w:rPr>
        <w:tab/>
      </w:r>
      <w:r w:rsidR="00E06EA7" w:rsidRPr="00794AE8">
        <w:rPr>
          <w:rFonts w:asciiTheme="majorHAnsi" w:hAnsiTheme="majorHAnsi" w:cstheme="majorHAnsi"/>
        </w:rPr>
        <w:tab/>
      </w:r>
      <w:r w:rsidR="00E06EA7" w:rsidRPr="00794AE8">
        <w:rPr>
          <w:rFonts w:asciiTheme="majorHAnsi" w:hAnsiTheme="majorHAnsi" w:cstheme="majorHAnsi"/>
        </w:rPr>
        <w:tab/>
      </w:r>
      <w:r w:rsidR="00E06EA7" w:rsidRPr="00794AE8">
        <w:rPr>
          <w:rFonts w:asciiTheme="majorHAnsi" w:hAnsiTheme="majorHAnsi" w:cstheme="majorHAnsi"/>
        </w:rPr>
        <w:tab/>
      </w:r>
      <w:r w:rsidR="00E06EA7" w:rsidRPr="00794AE8">
        <w:rPr>
          <w:rFonts w:asciiTheme="majorHAnsi" w:hAnsiTheme="majorHAnsi" w:cstheme="majorHAnsi"/>
        </w:rPr>
        <w:tab/>
      </w:r>
      <w:r w:rsidR="00E06EA7" w:rsidRPr="00794AE8">
        <w:rPr>
          <w:rFonts w:asciiTheme="majorHAnsi" w:hAnsiTheme="majorHAnsi" w:cstheme="majorHAnsi"/>
        </w:rPr>
        <w:tab/>
      </w:r>
      <w:r w:rsidR="00E06EA7" w:rsidRPr="00794AE8">
        <w:rPr>
          <w:rFonts w:asciiTheme="majorHAnsi" w:hAnsiTheme="majorHAnsi" w:cstheme="majorHAnsi"/>
        </w:rPr>
        <w:tab/>
        <w:t xml:space="preserve">           </w:t>
      </w:r>
    </w:p>
    <w:p w:rsidR="00E06EA7" w:rsidRDefault="00E06EA7" w:rsidP="00E06EA7">
      <w:pPr>
        <w:pBdr>
          <w:bottom w:val="single" w:sz="6" w:space="1" w:color="auto"/>
        </w:pBdr>
        <w:spacing w:line="480" w:lineRule="auto"/>
        <w:jc w:val="both"/>
        <w:rPr>
          <w:rFonts w:asciiTheme="majorHAnsi" w:hAnsiTheme="majorHAnsi" w:cstheme="majorHAnsi"/>
        </w:rPr>
      </w:pPr>
    </w:p>
    <w:p w:rsidR="00E06EA7" w:rsidRPr="00E24120" w:rsidRDefault="00E24120" w:rsidP="00E06EA7">
      <w:pPr>
        <w:pBdr>
          <w:bottom w:val="single" w:sz="6" w:space="1" w:color="auto"/>
        </w:pBdr>
        <w:spacing w:line="480" w:lineRule="auto"/>
        <w:jc w:val="both"/>
        <w:rPr>
          <w:rFonts w:asciiTheme="majorHAnsi" w:hAnsiTheme="majorHAnsi" w:cstheme="majorHAnsi"/>
        </w:rPr>
      </w:pPr>
      <w:r>
        <w:rPr>
          <w:rFonts w:asciiTheme="majorHAnsi" w:hAnsiTheme="majorHAnsi" w:cstheme="majorHAnsi"/>
          <w:b/>
          <w:bCs/>
        </w:rPr>
        <w:t xml:space="preserve">GARY DAVID BARANOV </w:t>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t xml:space="preserve"> </w:t>
      </w:r>
      <w:r>
        <w:rPr>
          <w:rFonts w:asciiTheme="majorHAnsi" w:hAnsiTheme="majorHAnsi" w:cstheme="majorHAnsi"/>
        </w:rPr>
        <w:t>RESPONDENT</w:t>
      </w:r>
    </w:p>
    <w:p w:rsidR="00824A6E" w:rsidRPr="00E24120" w:rsidRDefault="00824A6E" w:rsidP="00824A6E">
      <w:pPr>
        <w:pBdr>
          <w:bottom w:val="single" w:sz="6" w:space="1" w:color="auto"/>
        </w:pBdr>
        <w:spacing w:line="480" w:lineRule="auto"/>
        <w:ind w:firstLine="720"/>
        <w:jc w:val="both"/>
        <w:rPr>
          <w:rFonts w:asciiTheme="majorHAnsi" w:hAnsiTheme="majorHAnsi" w:cstheme="majorHAnsi"/>
        </w:rPr>
      </w:pPr>
      <w:r>
        <w:rPr>
          <w:rFonts w:asciiTheme="majorHAnsi" w:hAnsiTheme="majorHAnsi" w:cstheme="majorHAnsi"/>
        </w:rPr>
        <w:t xml:space="preserve">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 xml:space="preserve">        (Applicant in court </w:t>
      </w:r>
      <w:r>
        <w:rPr>
          <w:rFonts w:asciiTheme="majorHAnsi" w:hAnsiTheme="majorHAnsi" w:cstheme="majorHAnsi"/>
          <w:i/>
          <w:iCs/>
        </w:rPr>
        <w:t>a quo</w:t>
      </w:r>
      <w:r>
        <w:rPr>
          <w:rFonts w:asciiTheme="majorHAnsi" w:hAnsiTheme="majorHAnsi" w:cstheme="majorHAnsi"/>
        </w:rPr>
        <w:t>)</w:t>
      </w:r>
    </w:p>
    <w:p w:rsidR="00E06EA7" w:rsidRPr="00794AE8" w:rsidRDefault="00E06EA7" w:rsidP="00824A6E">
      <w:pPr>
        <w:pBdr>
          <w:bottom w:val="single" w:sz="6" w:space="1" w:color="auto"/>
        </w:pBdr>
        <w:spacing w:line="480" w:lineRule="auto"/>
        <w:jc w:val="right"/>
        <w:rPr>
          <w:rFonts w:asciiTheme="majorHAnsi" w:hAnsiTheme="majorHAnsi" w:cstheme="majorHAnsi"/>
        </w:rPr>
      </w:pPr>
    </w:p>
    <w:p w:rsidR="00E06EA7" w:rsidRPr="00794AE8" w:rsidRDefault="00E06EA7" w:rsidP="00E06EA7">
      <w:pPr>
        <w:pStyle w:val="Heading1"/>
        <w:spacing w:line="240" w:lineRule="auto"/>
        <w:jc w:val="center"/>
        <w:rPr>
          <w:rFonts w:asciiTheme="majorHAnsi" w:hAnsiTheme="majorHAnsi" w:cstheme="majorHAnsi"/>
        </w:rPr>
      </w:pPr>
    </w:p>
    <w:p w:rsidR="00B51744" w:rsidRPr="00794AE8" w:rsidRDefault="00E06EA7" w:rsidP="00E06EA7">
      <w:pPr>
        <w:pStyle w:val="Heading1"/>
        <w:pBdr>
          <w:bottom w:val="single" w:sz="6" w:space="1" w:color="auto"/>
        </w:pBdr>
        <w:spacing w:line="240" w:lineRule="auto"/>
        <w:jc w:val="center"/>
        <w:rPr>
          <w:rFonts w:asciiTheme="majorHAnsi" w:hAnsiTheme="majorHAnsi" w:cstheme="majorHAnsi"/>
        </w:rPr>
      </w:pPr>
      <w:r w:rsidRPr="00794AE8">
        <w:rPr>
          <w:rFonts w:asciiTheme="majorHAnsi" w:hAnsiTheme="majorHAnsi" w:cstheme="majorHAnsi"/>
        </w:rPr>
        <w:t>J</w:t>
      </w:r>
      <w:r w:rsidR="00B51744" w:rsidRPr="00794AE8">
        <w:rPr>
          <w:rFonts w:asciiTheme="majorHAnsi" w:hAnsiTheme="majorHAnsi" w:cstheme="majorHAnsi"/>
        </w:rPr>
        <w:t>UDGMENT</w:t>
      </w:r>
      <w:r w:rsidRPr="00794AE8">
        <w:rPr>
          <w:rFonts w:asciiTheme="majorHAnsi" w:hAnsiTheme="majorHAnsi" w:cstheme="majorHAnsi"/>
        </w:rPr>
        <w:br/>
      </w:r>
    </w:p>
    <w:p w:rsidR="00E06EA7" w:rsidRPr="00794AE8" w:rsidRDefault="00E06EA7" w:rsidP="00E06EA7">
      <w:pPr>
        <w:rPr>
          <w:rFonts w:asciiTheme="majorHAnsi" w:hAnsiTheme="majorHAnsi" w:cstheme="majorHAnsi"/>
          <w:lang w:val="en-GB"/>
        </w:rPr>
      </w:pPr>
    </w:p>
    <w:p w:rsidR="00E06EA7" w:rsidRPr="00794AE8" w:rsidRDefault="00E06EA7" w:rsidP="00B51744">
      <w:pPr>
        <w:spacing w:line="360" w:lineRule="auto"/>
        <w:rPr>
          <w:rFonts w:asciiTheme="majorHAnsi" w:hAnsiTheme="majorHAnsi" w:cstheme="majorHAnsi"/>
          <w:b/>
          <w:sz w:val="28"/>
          <w:szCs w:val="28"/>
          <w:u w:val="single"/>
        </w:rPr>
      </w:pPr>
      <w:r w:rsidRPr="00794AE8">
        <w:rPr>
          <w:rFonts w:asciiTheme="majorHAnsi" w:hAnsiTheme="majorHAnsi" w:cstheme="majorHAnsi"/>
          <w:b/>
          <w:sz w:val="28"/>
          <w:szCs w:val="28"/>
          <w:u w:val="single"/>
        </w:rPr>
        <w:t>ANNANDALE, AJ</w:t>
      </w:r>
    </w:p>
    <w:p w:rsidR="00E06EA7" w:rsidRPr="00794AE8" w:rsidRDefault="00E06EA7" w:rsidP="00B51744">
      <w:pPr>
        <w:spacing w:line="360" w:lineRule="auto"/>
        <w:rPr>
          <w:rFonts w:asciiTheme="majorHAnsi" w:hAnsiTheme="majorHAnsi" w:cstheme="majorHAnsi"/>
          <w:b/>
          <w:sz w:val="28"/>
          <w:szCs w:val="28"/>
          <w:u w:val="single"/>
        </w:rPr>
      </w:pPr>
    </w:p>
    <w:p w:rsidR="00E06EA7" w:rsidRPr="007D6ACC" w:rsidRDefault="007D6ACC" w:rsidP="007D6ACC">
      <w:pPr>
        <w:spacing w:after="240" w:line="360" w:lineRule="auto"/>
        <w:jc w:val="both"/>
        <w:rPr>
          <w:rFonts w:asciiTheme="majorHAnsi" w:hAnsiTheme="majorHAnsi" w:cstheme="majorHAnsi"/>
        </w:rPr>
      </w:pPr>
      <w:r w:rsidRPr="00794AE8">
        <w:rPr>
          <w:rFonts w:ascii="Arial" w:eastAsia="Times New Roman" w:hAnsi="Arial" w:cs="Arial"/>
          <w:lang w:val="en-GB"/>
        </w:rPr>
        <w:t>[1]</w:t>
      </w:r>
      <w:r w:rsidRPr="00794AE8">
        <w:rPr>
          <w:rFonts w:ascii="Arial" w:eastAsia="Times New Roman" w:hAnsi="Arial" w:cs="Arial"/>
          <w:lang w:val="en-GB"/>
        </w:rPr>
        <w:tab/>
      </w:r>
      <w:r w:rsidR="00E06EA7" w:rsidRPr="007D6ACC">
        <w:rPr>
          <w:rFonts w:asciiTheme="majorHAnsi" w:hAnsiTheme="majorHAnsi" w:cstheme="majorHAnsi"/>
        </w:rPr>
        <w:t>This is an appeal against the confirmation of an interim protection order against the appellant by an additional magistrate. The respondent abides the decision of this court on the merits.</w:t>
      </w:r>
    </w:p>
    <w:p w:rsidR="00E06EA7" w:rsidRPr="007D6ACC" w:rsidRDefault="007D6ACC" w:rsidP="007D6ACC">
      <w:pPr>
        <w:spacing w:after="240" w:line="360" w:lineRule="auto"/>
        <w:jc w:val="both"/>
        <w:rPr>
          <w:rFonts w:asciiTheme="majorHAnsi" w:hAnsiTheme="majorHAnsi" w:cstheme="majorHAnsi"/>
        </w:rPr>
      </w:pPr>
      <w:r w:rsidRPr="00794AE8">
        <w:rPr>
          <w:rFonts w:ascii="Arial" w:eastAsia="Times New Roman" w:hAnsi="Arial" w:cs="Arial"/>
          <w:lang w:val="en-GB"/>
        </w:rPr>
        <w:lastRenderedPageBreak/>
        <w:t>[2]</w:t>
      </w:r>
      <w:r w:rsidRPr="00794AE8">
        <w:rPr>
          <w:rFonts w:ascii="Arial" w:eastAsia="Times New Roman" w:hAnsi="Arial" w:cs="Arial"/>
          <w:lang w:val="en-GB"/>
        </w:rPr>
        <w:tab/>
      </w:r>
      <w:r w:rsidR="00E06EA7" w:rsidRPr="007D6ACC">
        <w:rPr>
          <w:rFonts w:asciiTheme="majorHAnsi" w:hAnsiTheme="majorHAnsi" w:cstheme="majorHAnsi"/>
        </w:rPr>
        <w:t>The issue in this appeal is whether the learned magistrate was correct in finding that the conduct on the basis of which the protection order was sought constitutes harassment as envisaged in the Protection from Harassment Act, 17 of 2011 (the Act).</w:t>
      </w:r>
    </w:p>
    <w:p w:rsidR="00E06EA7" w:rsidRPr="007D6ACC" w:rsidRDefault="007D6ACC" w:rsidP="007D6ACC">
      <w:pPr>
        <w:spacing w:line="360" w:lineRule="auto"/>
        <w:jc w:val="both"/>
        <w:rPr>
          <w:rFonts w:asciiTheme="majorHAnsi" w:hAnsiTheme="majorHAnsi" w:cstheme="majorHAnsi"/>
        </w:rPr>
      </w:pPr>
      <w:r w:rsidRPr="00794AE8">
        <w:rPr>
          <w:rFonts w:ascii="Arial" w:hAnsi="Arial" w:cs="Arial"/>
          <w:lang w:val="en-GB"/>
        </w:rPr>
        <w:t>[3]</w:t>
      </w:r>
      <w:r w:rsidRPr="00794AE8">
        <w:rPr>
          <w:rFonts w:ascii="Arial" w:hAnsi="Arial" w:cs="Arial"/>
          <w:lang w:val="en-GB"/>
        </w:rPr>
        <w:tab/>
      </w:r>
      <w:r w:rsidR="00E06EA7" w:rsidRPr="007D6ACC">
        <w:rPr>
          <w:rFonts w:asciiTheme="majorHAnsi" w:hAnsiTheme="majorHAnsi" w:cstheme="majorHAnsi"/>
        </w:rPr>
        <w:t xml:space="preserve">Section 1 of the Act </w:t>
      </w:r>
      <w:r w:rsidR="00165536" w:rsidRPr="007D6ACC">
        <w:rPr>
          <w:rFonts w:asciiTheme="majorHAnsi" w:hAnsiTheme="majorHAnsi" w:cstheme="majorHAnsi"/>
        </w:rPr>
        <w:t xml:space="preserve">contains the following definitions which are relevant to the resolution of that issue: </w:t>
      </w:r>
      <w:r w:rsidR="00E06EA7" w:rsidRPr="007D6ACC">
        <w:rPr>
          <w:rFonts w:asciiTheme="majorHAnsi" w:hAnsiTheme="majorHAnsi" w:cstheme="majorHAnsi"/>
        </w:rPr>
        <w:t xml:space="preserve">in relevant part defines harassment as </w:t>
      </w:r>
      <w:proofErr w:type="gramStart"/>
      <w:r w:rsidR="00E06EA7" w:rsidRPr="007D6ACC">
        <w:rPr>
          <w:rFonts w:asciiTheme="majorHAnsi" w:hAnsiTheme="majorHAnsi" w:cstheme="majorHAnsi"/>
        </w:rPr>
        <w:t>follows</w:t>
      </w:r>
      <w:r w:rsidR="00824A6E" w:rsidRPr="007D6ACC">
        <w:rPr>
          <w:rFonts w:asciiTheme="majorHAnsi" w:hAnsiTheme="majorHAnsi" w:cstheme="majorHAnsi"/>
        </w:rPr>
        <w:t>:-</w:t>
      </w:r>
      <w:proofErr w:type="gramEnd"/>
    </w:p>
    <w:p w:rsidR="00E06EA7" w:rsidRPr="00165536" w:rsidRDefault="00165536" w:rsidP="0066050E">
      <w:pPr>
        <w:pStyle w:val="ListParagraph"/>
        <w:spacing w:after="240" w:line="360" w:lineRule="auto"/>
        <w:ind w:left="1418" w:right="798"/>
        <w:jc w:val="both"/>
        <w:rPr>
          <w:rFonts w:asciiTheme="majorHAnsi" w:hAnsiTheme="majorHAnsi" w:cstheme="majorHAnsi"/>
          <w:color w:val="000000"/>
          <w:sz w:val="22"/>
          <w:szCs w:val="22"/>
        </w:rPr>
      </w:pPr>
      <w:r>
        <w:rPr>
          <w:rFonts w:asciiTheme="majorHAnsi" w:eastAsiaTheme="minorHAnsi" w:hAnsiTheme="majorHAnsi" w:cstheme="majorHAnsi"/>
        </w:rPr>
        <w:t>‘</w:t>
      </w:r>
      <w:r w:rsidRPr="00165536">
        <w:rPr>
          <w:rFonts w:asciiTheme="majorHAnsi" w:eastAsiaTheme="minorHAnsi" w:hAnsiTheme="majorHAnsi" w:cstheme="majorHAnsi"/>
          <w:b/>
          <w:bCs/>
        </w:rPr>
        <w:t>“harassment”</w:t>
      </w:r>
      <w:r>
        <w:rPr>
          <w:rFonts w:asciiTheme="majorHAnsi" w:eastAsiaTheme="minorHAnsi" w:hAnsiTheme="majorHAnsi" w:cstheme="majorHAnsi"/>
        </w:rPr>
        <w:t xml:space="preserve"> means </w:t>
      </w:r>
      <w:r w:rsidR="00E06EA7" w:rsidRPr="00165536">
        <w:rPr>
          <w:rFonts w:asciiTheme="majorHAnsi" w:eastAsiaTheme="minorHAnsi" w:hAnsiTheme="majorHAnsi" w:cstheme="majorHAnsi"/>
          <w:sz w:val="22"/>
          <w:szCs w:val="22"/>
        </w:rPr>
        <w:t>directly or</w:t>
      </w:r>
      <w:r w:rsidR="00E06EA7" w:rsidRPr="00165536">
        <w:rPr>
          <w:rFonts w:asciiTheme="majorHAnsi" w:hAnsiTheme="majorHAnsi" w:cstheme="majorHAnsi"/>
          <w:color w:val="000000"/>
          <w:sz w:val="22"/>
          <w:szCs w:val="22"/>
        </w:rPr>
        <w:t xml:space="preserve"> indirectly engaging in conduct that the respondent knows or ought to know –</w:t>
      </w:r>
    </w:p>
    <w:p w:rsidR="00E06EA7" w:rsidRPr="00165536" w:rsidRDefault="00E06EA7" w:rsidP="0066050E">
      <w:pPr>
        <w:pStyle w:val="blockquotetab"/>
        <w:spacing w:before="180" w:beforeAutospacing="0" w:after="0" w:afterAutospacing="0" w:line="360" w:lineRule="auto"/>
        <w:ind w:left="1418" w:right="798"/>
        <w:jc w:val="both"/>
        <w:rPr>
          <w:rFonts w:asciiTheme="majorHAnsi" w:hAnsiTheme="majorHAnsi" w:cstheme="majorHAnsi"/>
          <w:color w:val="000000"/>
          <w:sz w:val="22"/>
          <w:szCs w:val="22"/>
        </w:rPr>
      </w:pPr>
      <w:r w:rsidRPr="00165536">
        <w:rPr>
          <w:rFonts w:asciiTheme="majorHAnsi" w:hAnsiTheme="majorHAnsi" w:cstheme="majorHAnsi"/>
          <w:color w:val="000000"/>
          <w:sz w:val="22"/>
          <w:szCs w:val="22"/>
        </w:rPr>
        <w:t>(a)causes harm or inspires the reasonable belief that harm may be caused to the complainant or a related person by unreasonably –</w:t>
      </w:r>
    </w:p>
    <w:p w:rsidR="00E06EA7" w:rsidRPr="00165536" w:rsidRDefault="00E06EA7" w:rsidP="0066050E">
      <w:pPr>
        <w:pStyle w:val="blockquotetab"/>
        <w:spacing w:before="180" w:beforeAutospacing="0" w:after="0" w:afterAutospacing="0" w:line="360" w:lineRule="auto"/>
        <w:ind w:left="1418" w:right="798"/>
        <w:jc w:val="both"/>
        <w:rPr>
          <w:rFonts w:asciiTheme="majorHAnsi" w:hAnsiTheme="majorHAnsi" w:cstheme="majorHAnsi"/>
          <w:color w:val="000000"/>
          <w:sz w:val="22"/>
          <w:szCs w:val="22"/>
        </w:rPr>
      </w:pPr>
      <w:r w:rsidRPr="00165536">
        <w:rPr>
          <w:rFonts w:asciiTheme="majorHAnsi" w:hAnsiTheme="majorHAnsi" w:cstheme="majorHAnsi"/>
          <w:color w:val="000000"/>
          <w:sz w:val="22"/>
          <w:szCs w:val="22"/>
        </w:rPr>
        <w:t>(</w:t>
      </w:r>
      <w:proofErr w:type="spellStart"/>
      <w:r w:rsidRPr="00165536">
        <w:rPr>
          <w:rFonts w:asciiTheme="majorHAnsi" w:hAnsiTheme="majorHAnsi" w:cstheme="majorHAnsi"/>
          <w:color w:val="000000"/>
          <w:sz w:val="22"/>
          <w:szCs w:val="22"/>
        </w:rPr>
        <w:t>i</w:t>
      </w:r>
      <w:proofErr w:type="spellEnd"/>
      <w:r w:rsidRPr="00165536">
        <w:rPr>
          <w:rFonts w:asciiTheme="majorHAnsi" w:hAnsiTheme="majorHAnsi" w:cstheme="majorHAnsi"/>
          <w:color w:val="000000"/>
          <w:sz w:val="22"/>
          <w:szCs w:val="22"/>
        </w:rPr>
        <w:t>)</w:t>
      </w:r>
      <w:proofErr w:type="gramStart"/>
      <w:r w:rsidRPr="00165536">
        <w:rPr>
          <w:rFonts w:asciiTheme="majorHAnsi" w:hAnsiTheme="majorHAnsi" w:cstheme="majorHAnsi"/>
          <w:color w:val="000000"/>
          <w:sz w:val="22"/>
          <w:szCs w:val="22"/>
        </w:rPr>
        <w:t>. .</w:t>
      </w:r>
      <w:proofErr w:type="gramEnd"/>
      <w:r w:rsidRPr="00165536">
        <w:rPr>
          <w:rFonts w:asciiTheme="majorHAnsi" w:hAnsiTheme="majorHAnsi" w:cstheme="majorHAnsi"/>
          <w:color w:val="000000"/>
          <w:sz w:val="22"/>
          <w:szCs w:val="22"/>
        </w:rPr>
        <w:t> .</w:t>
      </w:r>
    </w:p>
    <w:p w:rsidR="00E06EA7" w:rsidRPr="00165536" w:rsidRDefault="00E06EA7" w:rsidP="0066050E">
      <w:pPr>
        <w:pStyle w:val="blockquotetab"/>
        <w:spacing w:before="180" w:beforeAutospacing="0" w:after="0" w:afterAutospacing="0" w:line="360" w:lineRule="auto"/>
        <w:ind w:left="1418" w:right="798"/>
        <w:jc w:val="both"/>
        <w:rPr>
          <w:rFonts w:asciiTheme="majorHAnsi" w:hAnsiTheme="majorHAnsi" w:cstheme="majorHAnsi"/>
          <w:color w:val="000000"/>
          <w:sz w:val="22"/>
          <w:szCs w:val="22"/>
        </w:rPr>
      </w:pPr>
      <w:r w:rsidRPr="00165536">
        <w:rPr>
          <w:rFonts w:asciiTheme="majorHAnsi" w:hAnsiTheme="majorHAnsi" w:cstheme="majorHAnsi"/>
          <w:color w:val="000000"/>
          <w:sz w:val="22"/>
          <w:szCs w:val="22"/>
        </w:rPr>
        <w:t>(ii)engaging in verbal, electronic or any other communication aimed at the complainant or a related person, by any means, whether or not conversation ensues; or</w:t>
      </w:r>
    </w:p>
    <w:p w:rsidR="00E06EA7" w:rsidRPr="00165536" w:rsidRDefault="00E06EA7" w:rsidP="0066050E">
      <w:pPr>
        <w:pStyle w:val="blockquotetab"/>
        <w:spacing w:before="180" w:beforeAutospacing="0" w:after="0" w:afterAutospacing="0" w:line="360" w:lineRule="auto"/>
        <w:ind w:left="1418" w:right="798"/>
        <w:jc w:val="both"/>
        <w:rPr>
          <w:rFonts w:asciiTheme="majorHAnsi" w:hAnsiTheme="majorHAnsi" w:cstheme="majorHAnsi"/>
          <w:color w:val="000000"/>
          <w:sz w:val="22"/>
          <w:szCs w:val="22"/>
        </w:rPr>
      </w:pPr>
      <w:r w:rsidRPr="00165536">
        <w:rPr>
          <w:rFonts w:asciiTheme="majorHAnsi" w:hAnsiTheme="majorHAnsi" w:cstheme="majorHAnsi"/>
          <w:color w:val="000000"/>
          <w:sz w:val="22"/>
          <w:szCs w:val="22"/>
        </w:rPr>
        <w:t>(iii)sending, delivering or causing the delivery of letters, telegrams, packages, facsimiles, electronic mail or other objects to the complainant or a related person or leaving them where they will be found by, given to, or brought to the attention of, the complainant or a related person; or</w:t>
      </w:r>
    </w:p>
    <w:p w:rsidR="00E06EA7" w:rsidRPr="00165536" w:rsidRDefault="00E06EA7" w:rsidP="0066050E">
      <w:pPr>
        <w:pStyle w:val="blockquotetab"/>
        <w:spacing w:before="180" w:beforeAutospacing="0" w:after="0" w:afterAutospacing="0" w:line="360" w:lineRule="auto"/>
        <w:ind w:left="1418" w:right="798"/>
        <w:jc w:val="both"/>
        <w:rPr>
          <w:rFonts w:asciiTheme="majorHAnsi" w:hAnsiTheme="majorHAnsi" w:cstheme="majorHAnsi"/>
          <w:color w:val="000000"/>
          <w:sz w:val="22"/>
          <w:szCs w:val="22"/>
        </w:rPr>
      </w:pPr>
      <w:r w:rsidRPr="00165536">
        <w:rPr>
          <w:rFonts w:asciiTheme="majorHAnsi" w:hAnsiTheme="majorHAnsi" w:cstheme="majorHAnsi"/>
          <w:color w:val="000000"/>
          <w:sz w:val="22"/>
          <w:szCs w:val="22"/>
        </w:rPr>
        <w:t>(b)</w:t>
      </w:r>
      <w:proofErr w:type="gramStart"/>
      <w:r w:rsidRPr="00165536">
        <w:rPr>
          <w:rFonts w:asciiTheme="majorHAnsi" w:hAnsiTheme="majorHAnsi" w:cstheme="majorHAnsi"/>
          <w:color w:val="000000"/>
          <w:sz w:val="22"/>
          <w:szCs w:val="22"/>
        </w:rPr>
        <w:t>. .</w:t>
      </w:r>
      <w:proofErr w:type="gramEnd"/>
      <w:r w:rsidRPr="00165536">
        <w:rPr>
          <w:rFonts w:asciiTheme="majorHAnsi" w:hAnsiTheme="majorHAnsi" w:cstheme="majorHAnsi"/>
          <w:color w:val="000000"/>
          <w:sz w:val="22"/>
          <w:szCs w:val="22"/>
        </w:rPr>
        <w:t> .</w:t>
      </w:r>
    </w:p>
    <w:p w:rsidR="00E06EA7" w:rsidRPr="00165536" w:rsidRDefault="00165536" w:rsidP="0066050E">
      <w:pPr>
        <w:pStyle w:val="blockquote-x"/>
        <w:spacing w:before="180" w:beforeAutospacing="0" w:after="0" w:afterAutospacing="0" w:line="360" w:lineRule="auto"/>
        <w:ind w:left="1418" w:right="798"/>
        <w:jc w:val="both"/>
        <w:rPr>
          <w:rFonts w:asciiTheme="majorHAnsi" w:hAnsiTheme="majorHAnsi" w:cstheme="majorHAnsi"/>
          <w:color w:val="000000"/>
          <w:sz w:val="22"/>
          <w:szCs w:val="22"/>
        </w:rPr>
      </w:pPr>
      <w:r>
        <w:rPr>
          <w:rFonts w:asciiTheme="majorHAnsi" w:hAnsiTheme="majorHAnsi" w:cstheme="majorHAnsi"/>
          <w:b/>
          <w:bCs/>
          <w:color w:val="000000"/>
          <w:sz w:val="22"/>
          <w:szCs w:val="22"/>
        </w:rPr>
        <w:t>“</w:t>
      </w:r>
      <w:r w:rsidR="00E06EA7" w:rsidRPr="00165536">
        <w:rPr>
          <w:rFonts w:asciiTheme="majorHAnsi" w:hAnsiTheme="majorHAnsi" w:cstheme="majorHAnsi"/>
          <w:b/>
          <w:bCs/>
          <w:color w:val="000000"/>
          <w:sz w:val="22"/>
          <w:szCs w:val="22"/>
        </w:rPr>
        <w:t>harm</w:t>
      </w:r>
      <w:r>
        <w:rPr>
          <w:rFonts w:asciiTheme="majorHAnsi" w:hAnsiTheme="majorHAnsi" w:cstheme="majorHAnsi"/>
          <w:b/>
          <w:bCs/>
          <w:color w:val="000000"/>
          <w:sz w:val="22"/>
          <w:szCs w:val="22"/>
        </w:rPr>
        <w:t xml:space="preserve">” </w:t>
      </w:r>
      <w:r w:rsidR="00E06EA7" w:rsidRPr="00165536">
        <w:rPr>
          <w:rFonts w:asciiTheme="majorHAnsi" w:hAnsiTheme="majorHAnsi" w:cstheme="majorHAnsi"/>
          <w:color w:val="000000"/>
          <w:sz w:val="22"/>
          <w:szCs w:val="22"/>
        </w:rPr>
        <w:t>means any mental, psychological, physical or economic harm</w:t>
      </w:r>
      <w:r>
        <w:rPr>
          <w:rFonts w:asciiTheme="majorHAnsi" w:hAnsiTheme="majorHAnsi" w:cstheme="majorHAnsi"/>
          <w:color w:val="000000"/>
          <w:sz w:val="22"/>
          <w:szCs w:val="22"/>
        </w:rPr>
        <w:t>.”</w:t>
      </w:r>
    </w:p>
    <w:p w:rsidR="00E06EA7" w:rsidRPr="00165536" w:rsidRDefault="00E06EA7" w:rsidP="00E06EA7">
      <w:pPr>
        <w:pStyle w:val="ListParagraph"/>
        <w:spacing w:line="360" w:lineRule="auto"/>
        <w:ind w:left="1418" w:right="798"/>
        <w:jc w:val="both"/>
        <w:rPr>
          <w:rFonts w:asciiTheme="majorHAnsi" w:hAnsiTheme="majorHAnsi" w:cstheme="majorHAnsi"/>
          <w:sz w:val="22"/>
          <w:szCs w:val="22"/>
        </w:rPr>
      </w:pPr>
    </w:p>
    <w:p w:rsidR="00E06EA7" w:rsidRPr="00794AE8" w:rsidRDefault="00E06EA7" w:rsidP="0066050E">
      <w:pPr>
        <w:pStyle w:val="ListParagraph"/>
        <w:spacing w:after="240" w:line="360" w:lineRule="auto"/>
        <w:ind w:left="0"/>
        <w:contextualSpacing w:val="0"/>
        <w:jc w:val="both"/>
        <w:rPr>
          <w:rFonts w:asciiTheme="majorHAnsi" w:hAnsiTheme="majorHAnsi" w:cstheme="majorHAnsi"/>
          <w:b/>
          <w:bCs/>
        </w:rPr>
      </w:pPr>
      <w:r w:rsidRPr="00794AE8">
        <w:rPr>
          <w:rFonts w:asciiTheme="majorHAnsi" w:hAnsiTheme="majorHAnsi" w:cstheme="majorHAnsi"/>
          <w:b/>
          <w:bCs/>
        </w:rPr>
        <w:t>The law</w:t>
      </w:r>
    </w:p>
    <w:p w:rsidR="00E06EA7" w:rsidRPr="007D6ACC" w:rsidRDefault="007D6ACC" w:rsidP="007D6ACC">
      <w:pPr>
        <w:spacing w:after="240" w:line="360" w:lineRule="auto"/>
        <w:jc w:val="both"/>
        <w:rPr>
          <w:rFonts w:asciiTheme="majorHAnsi" w:hAnsiTheme="majorHAnsi" w:cstheme="majorHAnsi"/>
        </w:rPr>
      </w:pPr>
      <w:r w:rsidRPr="00794AE8">
        <w:rPr>
          <w:rFonts w:ascii="Arial" w:eastAsia="Times New Roman" w:hAnsi="Arial" w:cs="Arial"/>
          <w:lang w:val="en-GB"/>
        </w:rPr>
        <w:t>[4]</w:t>
      </w:r>
      <w:r w:rsidRPr="00794AE8">
        <w:rPr>
          <w:rFonts w:ascii="Arial" w:eastAsia="Times New Roman" w:hAnsi="Arial" w:cs="Arial"/>
          <w:lang w:val="en-GB"/>
        </w:rPr>
        <w:tab/>
      </w:r>
      <w:r w:rsidR="00E06EA7" w:rsidRPr="007D6ACC">
        <w:rPr>
          <w:rFonts w:asciiTheme="majorHAnsi" w:hAnsiTheme="majorHAnsi" w:cstheme="majorHAnsi"/>
        </w:rPr>
        <w:t xml:space="preserve">The law on what constitutes harassment and how conduct alleged to be in violation of the Act is to be evaluated is settled. In </w:t>
      </w:r>
      <w:proofErr w:type="spellStart"/>
      <w:r w:rsidR="00E06EA7" w:rsidRPr="007D6ACC">
        <w:rPr>
          <w:rFonts w:asciiTheme="majorHAnsi" w:hAnsiTheme="majorHAnsi" w:cstheme="majorHAnsi"/>
          <w:i/>
          <w:iCs/>
        </w:rPr>
        <w:t>Mnyandu</w:t>
      </w:r>
      <w:proofErr w:type="spellEnd"/>
      <w:r w:rsidR="00E06EA7" w:rsidRPr="007D6ACC">
        <w:rPr>
          <w:rFonts w:asciiTheme="majorHAnsi" w:hAnsiTheme="majorHAnsi" w:cstheme="majorHAnsi"/>
          <w:i/>
          <w:iCs/>
        </w:rPr>
        <w:t xml:space="preserve"> v </w:t>
      </w:r>
      <w:proofErr w:type="spellStart"/>
      <w:r w:rsidR="00E06EA7" w:rsidRPr="007D6ACC">
        <w:rPr>
          <w:rFonts w:asciiTheme="majorHAnsi" w:hAnsiTheme="majorHAnsi" w:cstheme="majorHAnsi"/>
          <w:i/>
          <w:iCs/>
        </w:rPr>
        <w:t>Padaychi</w:t>
      </w:r>
      <w:proofErr w:type="spellEnd"/>
      <w:r w:rsidR="00E06EA7" w:rsidRPr="007D6ACC">
        <w:rPr>
          <w:rFonts w:asciiTheme="majorHAnsi" w:hAnsiTheme="majorHAnsi" w:cstheme="majorHAnsi"/>
          <w:i/>
          <w:iCs/>
        </w:rPr>
        <w:t xml:space="preserve"> </w:t>
      </w:r>
      <w:r w:rsidR="00E06EA7" w:rsidRPr="007D6ACC">
        <w:rPr>
          <w:rFonts w:asciiTheme="majorHAnsi" w:hAnsiTheme="majorHAnsi" w:cstheme="majorHAnsi"/>
        </w:rPr>
        <w:t>2016 4 All SA 110 (KZP)</w:t>
      </w:r>
      <w:r w:rsidR="00165536" w:rsidRPr="007D6ACC">
        <w:rPr>
          <w:rFonts w:asciiTheme="majorHAnsi" w:hAnsiTheme="majorHAnsi" w:cstheme="majorHAnsi"/>
        </w:rPr>
        <w:t xml:space="preserve"> (</w:t>
      </w:r>
      <w:proofErr w:type="spellStart"/>
      <w:r w:rsidR="00165536" w:rsidRPr="007D6ACC">
        <w:rPr>
          <w:rFonts w:asciiTheme="majorHAnsi" w:hAnsiTheme="majorHAnsi" w:cstheme="majorHAnsi"/>
          <w:i/>
          <w:iCs/>
        </w:rPr>
        <w:t>Mnyandu</w:t>
      </w:r>
      <w:proofErr w:type="spellEnd"/>
      <w:r w:rsidR="00165536" w:rsidRPr="007D6ACC">
        <w:rPr>
          <w:rFonts w:asciiTheme="majorHAnsi" w:hAnsiTheme="majorHAnsi" w:cstheme="majorHAnsi"/>
        </w:rPr>
        <w:t>)</w:t>
      </w:r>
      <w:r w:rsidR="00E06EA7" w:rsidRPr="007D6ACC">
        <w:rPr>
          <w:rFonts w:asciiTheme="majorHAnsi" w:hAnsiTheme="majorHAnsi" w:cstheme="majorHAnsi"/>
        </w:rPr>
        <w:t xml:space="preserve">, a full bench of this division conducted an extensive review of the genesis of the Act and comparable legislation in other jurisdictions before expounding on the correct interpretation of ‘harassment’. It is the only judgment on the topic to which we were referred and which we could find. It is therefore both appropriate and convenient to quote from it to a somewhat larger degree than would usually be necessary. </w:t>
      </w:r>
    </w:p>
    <w:p w:rsidR="00E06EA7" w:rsidRPr="007D6ACC" w:rsidRDefault="007D6ACC" w:rsidP="007D6ACC">
      <w:pPr>
        <w:spacing w:line="360" w:lineRule="auto"/>
        <w:jc w:val="both"/>
        <w:rPr>
          <w:rFonts w:asciiTheme="majorHAnsi" w:hAnsiTheme="majorHAnsi" w:cstheme="majorHAnsi"/>
        </w:rPr>
      </w:pPr>
      <w:r w:rsidRPr="00794AE8">
        <w:rPr>
          <w:rFonts w:ascii="Arial" w:eastAsia="Times New Roman" w:hAnsi="Arial" w:cs="Arial"/>
          <w:lang w:val="en-GB"/>
        </w:rPr>
        <w:lastRenderedPageBreak/>
        <w:t>[5]</w:t>
      </w:r>
      <w:r w:rsidRPr="00794AE8">
        <w:rPr>
          <w:rFonts w:ascii="Arial" w:eastAsia="Times New Roman" w:hAnsi="Arial" w:cs="Arial"/>
          <w:lang w:val="en-GB"/>
        </w:rPr>
        <w:tab/>
      </w:r>
      <w:r w:rsidR="00E06EA7" w:rsidRPr="007D6ACC">
        <w:rPr>
          <w:rFonts w:asciiTheme="majorHAnsi" w:hAnsiTheme="majorHAnsi" w:cstheme="majorHAnsi"/>
        </w:rPr>
        <w:t>The following paragraphs</w:t>
      </w:r>
      <w:r w:rsidR="00165536" w:rsidRPr="007D6ACC">
        <w:rPr>
          <w:rFonts w:asciiTheme="majorHAnsi" w:hAnsiTheme="majorHAnsi" w:cstheme="majorHAnsi"/>
        </w:rPr>
        <w:t xml:space="preserve"> of </w:t>
      </w:r>
      <w:proofErr w:type="spellStart"/>
      <w:r w:rsidR="00165536" w:rsidRPr="007D6ACC">
        <w:rPr>
          <w:rFonts w:asciiTheme="majorHAnsi" w:hAnsiTheme="majorHAnsi" w:cstheme="majorHAnsi"/>
          <w:i/>
          <w:iCs/>
        </w:rPr>
        <w:t>Mnyandu</w:t>
      </w:r>
      <w:proofErr w:type="spellEnd"/>
      <w:r w:rsidR="00E06EA7" w:rsidRPr="007D6ACC">
        <w:rPr>
          <w:rFonts w:asciiTheme="majorHAnsi" w:hAnsiTheme="majorHAnsi" w:cstheme="majorHAnsi"/>
        </w:rPr>
        <w:t xml:space="preserve"> bear directly on the issue before us:</w:t>
      </w:r>
    </w:p>
    <w:p w:rsidR="00E06EA7" w:rsidRDefault="0066050E" w:rsidP="00E24120">
      <w:pPr>
        <w:pStyle w:val="ListParagraph"/>
        <w:spacing w:line="360" w:lineRule="auto"/>
        <w:ind w:left="1418" w:right="798"/>
        <w:contextualSpacing w:val="0"/>
        <w:jc w:val="both"/>
        <w:rPr>
          <w:rFonts w:asciiTheme="majorHAnsi" w:hAnsiTheme="majorHAnsi" w:cstheme="majorHAnsi"/>
          <w:color w:val="000000"/>
          <w:sz w:val="22"/>
          <w:szCs w:val="22"/>
          <w:shd w:val="clear" w:color="auto" w:fill="FFFFFF"/>
        </w:rPr>
      </w:pPr>
      <w:r w:rsidRPr="00794AE8">
        <w:rPr>
          <w:rFonts w:asciiTheme="majorHAnsi" w:hAnsiTheme="majorHAnsi" w:cstheme="majorHAnsi"/>
          <w:color w:val="000000"/>
          <w:sz w:val="22"/>
          <w:szCs w:val="22"/>
          <w:shd w:val="clear" w:color="auto" w:fill="FFFFFF"/>
        </w:rPr>
        <w:t>‘</w:t>
      </w:r>
      <w:r w:rsidR="00E06EA7" w:rsidRPr="00794AE8">
        <w:rPr>
          <w:rFonts w:asciiTheme="majorHAnsi" w:hAnsiTheme="majorHAnsi" w:cstheme="majorHAnsi"/>
          <w:color w:val="000000"/>
          <w:sz w:val="22"/>
          <w:szCs w:val="22"/>
          <w:shd w:val="clear" w:color="auto" w:fill="FFFFFF"/>
        </w:rPr>
        <w:t>[44] Given the comprehensive ambit of the Act, it is essential that a consistent approach be applied to the evaluation of the conduct complained of, although the factual determination will depend on the circumstances under or context within which the alleged "harassment" occurred. If the conduct against which protection is offered by the Act were to be construed too widely, the consequence would be a plethora of applications premised on conduct not contemplated by the Act. On the other hand, too restrictive or narrow a construal may unduly compromise the objectives of the Act and the constitutional protection it offers. Therefore, the interpretation of the term "harassment" as defined in the Act, is significant.</w:t>
      </w:r>
    </w:p>
    <w:p w:rsidR="00824A6E" w:rsidRPr="00794AE8" w:rsidRDefault="00824A6E" w:rsidP="00E24120">
      <w:pPr>
        <w:pStyle w:val="ListParagraph"/>
        <w:spacing w:line="360" w:lineRule="auto"/>
        <w:ind w:left="1418" w:right="798"/>
        <w:contextualSpacing w:val="0"/>
        <w:jc w:val="both"/>
        <w:rPr>
          <w:rFonts w:asciiTheme="majorHAnsi" w:hAnsiTheme="majorHAnsi" w:cstheme="majorHAnsi"/>
          <w:sz w:val="22"/>
          <w:szCs w:val="22"/>
          <w:highlight w:val="yellow"/>
        </w:rPr>
      </w:pPr>
    </w:p>
    <w:p w:rsidR="00E06EA7" w:rsidRPr="00794AE8" w:rsidRDefault="00E06EA7" w:rsidP="00E24120">
      <w:pPr>
        <w:pStyle w:val="ListParagraph"/>
        <w:spacing w:line="360" w:lineRule="auto"/>
        <w:ind w:left="1418" w:right="798"/>
        <w:jc w:val="both"/>
        <w:rPr>
          <w:rFonts w:asciiTheme="majorHAnsi" w:hAnsiTheme="majorHAnsi" w:cstheme="majorHAnsi"/>
          <w:sz w:val="22"/>
          <w:szCs w:val="22"/>
          <w:highlight w:val="yellow"/>
        </w:rPr>
      </w:pPr>
      <w:r w:rsidRPr="00794AE8">
        <w:rPr>
          <w:rFonts w:asciiTheme="majorHAnsi" w:hAnsiTheme="majorHAnsi" w:cstheme="majorHAnsi"/>
          <w:color w:val="000000"/>
          <w:sz w:val="22"/>
          <w:szCs w:val="22"/>
          <w:shd w:val="clear" w:color="auto" w:fill="FFFFFF"/>
        </w:rPr>
        <w:t>[65</w:t>
      </w:r>
      <w:proofErr w:type="gramStart"/>
      <w:r w:rsidRPr="00794AE8">
        <w:rPr>
          <w:rFonts w:asciiTheme="majorHAnsi" w:hAnsiTheme="majorHAnsi" w:cstheme="majorHAnsi"/>
          <w:color w:val="000000"/>
          <w:sz w:val="22"/>
          <w:szCs w:val="22"/>
          <w:shd w:val="clear" w:color="auto" w:fill="FFFFFF"/>
        </w:rPr>
        <w:t>]  It</w:t>
      </w:r>
      <w:proofErr w:type="gramEnd"/>
      <w:r w:rsidRPr="00794AE8">
        <w:rPr>
          <w:rFonts w:asciiTheme="majorHAnsi" w:hAnsiTheme="majorHAnsi" w:cstheme="majorHAnsi"/>
          <w:color w:val="000000"/>
          <w:sz w:val="22"/>
          <w:szCs w:val="22"/>
          <w:shd w:val="clear" w:color="auto" w:fill="FFFFFF"/>
        </w:rPr>
        <w:t xml:space="preserve"> is apparent from these cases that the offence of harassment is not merely constituted by a course of conduct that is oppressive and unreasonable but that the consequences or effect of the conduct ought not cause a mere degree of alarm; the contemplated harm is</w:t>
      </w:r>
      <w:r w:rsidRPr="00794AE8">
        <w:rPr>
          <w:rStyle w:val="apple-converted-space"/>
          <w:rFonts w:asciiTheme="majorHAnsi" w:hAnsiTheme="majorHAnsi" w:cstheme="majorHAnsi"/>
          <w:color w:val="000000"/>
          <w:sz w:val="22"/>
          <w:szCs w:val="22"/>
          <w:shd w:val="clear" w:color="auto" w:fill="FFFFFF"/>
        </w:rPr>
        <w:t> </w:t>
      </w:r>
      <w:r w:rsidRPr="00794AE8">
        <w:rPr>
          <w:rFonts w:asciiTheme="majorHAnsi" w:hAnsiTheme="majorHAnsi" w:cstheme="majorHAnsi"/>
          <w:i/>
          <w:iCs/>
          <w:color w:val="000000"/>
          <w:sz w:val="22"/>
          <w:szCs w:val="22"/>
        </w:rPr>
        <w:t>serious</w:t>
      </w:r>
      <w:r w:rsidRPr="00794AE8">
        <w:rPr>
          <w:rStyle w:val="apple-converted-space"/>
          <w:rFonts w:asciiTheme="majorHAnsi" w:hAnsiTheme="majorHAnsi" w:cstheme="majorHAnsi"/>
          <w:i/>
          <w:iCs/>
          <w:color w:val="000000"/>
          <w:sz w:val="22"/>
          <w:szCs w:val="22"/>
        </w:rPr>
        <w:t> </w:t>
      </w:r>
      <w:r w:rsidRPr="00794AE8">
        <w:rPr>
          <w:rFonts w:asciiTheme="majorHAnsi" w:hAnsiTheme="majorHAnsi" w:cstheme="majorHAnsi"/>
          <w:color w:val="000000"/>
          <w:sz w:val="22"/>
          <w:szCs w:val="22"/>
          <w:shd w:val="clear" w:color="auto" w:fill="FFFFFF"/>
        </w:rPr>
        <w:t xml:space="preserve">fear, </w:t>
      </w:r>
      <w:r w:rsidR="00165536" w:rsidRPr="00794AE8">
        <w:rPr>
          <w:rFonts w:asciiTheme="majorHAnsi" w:hAnsiTheme="majorHAnsi" w:cstheme="majorHAnsi"/>
          <w:color w:val="000000"/>
          <w:sz w:val="22"/>
          <w:szCs w:val="22"/>
          <w:shd w:val="clear" w:color="auto" w:fill="FFFFFF"/>
        </w:rPr>
        <w:t>alarm,</w:t>
      </w:r>
      <w:r w:rsidRPr="00794AE8">
        <w:rPr>
          <w:rFonts w:asciiTheme="majorHAnsi" w:hAnsiTheme="majorHAnsi" w:cstheme="majorHAnsi"/>
          <w:color w:val="000000"/>
          <w:sz w:val="22"/>
          <w:szCs w:val="22"/>
          <w:shd w:val="clear" w:color="auto" w:fill="FFFFFF"/>
        </w:rPr>
        <w:t xml:space="preserve"> and distress. The legal test is always an objective one: the conduct is calculated in an objective sense to cause alarm or distress, and is objectively judged to be oppressive and unacceptable.</w:t>
      </w:r>
    </w:p>
    <w:p w:rsidR="0066050E" w:rsidRPr="00794AE8" w:rsidRDefault="0066050E" w:rsidP="00E24120">
      <w:pPr>
        <w:pStyle w:val="ListParagraph"/>
        <w:spacing w:line="360" w:lineRule="auto"/>
        <w:ind w:left="1418" w:right="798"/>
        <w:jc w:val="both"/>
        <w:rPr>
          <w:rFonts w:asciiTheme="majorHAnsi" w:hAnsiTheme="majorHAnsi" w:cstheme="majorHAnsi"/>
          <w:color w:val="000000"/>
          <w:sz w:val="22"/>
          <w:szCs w:val="22"/>
          <w:shd w:val="clear" w:color="auto" w:fill="FFFFFF"/>
        </w:rPr>
      </w:pPr>
    </w:p>
    <w:p w:rsidR="00E06EA7" w:rsidRPr="00794AE8" w:rsidRDefault="00E06EA7" w:rsidP="00E24120">
      <w:pPr>
        <w:pStyle w:val="ListParagraph"/>
        <w:spacing w:line="360" w:lineRule="auto"/>
        <w:ind w:left="1418" w:right="798"/>
        <w:jc w:val="both"/>
        <w:rPr>
          <w:rFonts w:asciiTheme="majorHAnsi" w:hAnsiTheme="majorHAnsi" w:cstheme="majorHAnsi"/>
          <w:sz w:val="22"/>
          <w:szCs w:val="22"/>
          <w:highlight w:val="yellow"/>
        </w:rPr>
      </w:pPr>
      <w:r w:rsidRPr="00794AE8">
        <w:rPr>
          <w:rFonts w:asciiTheme="majorHAnsi" w:hAnsiTheme="majorHAnsi" w:cstheme="majorHAnsi"/>
          <w:color w:val="000000"/>
          <w:sz w:val="22"/>
          <w:szCs w:val="22"/>
          <w:shd w:val="clear" w:color="auto" w:fill="FFFFFF"/>
        </w:rPr>
        <w:t>[68</w:t>
      </w:r>
      <w:proofErr w:type="gramStart"/>
      <w:r w:rsidRPr="00794AE8">
        <w:rPr>
          <w:rFonts w:asciiTheme="majorHAnsi" w:hAnsiTheme="majorHAnsi" w:cstheme="majorHAnsi"/>
          <w:color w:val="000000"/>
          <w:sz w:val="22"/>
          <w:szCs w:val="22"/>
          <w:shd w:val="clear" w:color="auto" w:fill="FFFFFF"/>
        </w:rPr>
        <w:t>]  Based</w:t>
      </w:r>
      <w:proofErr w:type="gramEnd"/>
      <w:r w:rsidRPr="00794AE8">
        <w:rPr>
          <w:rFonts w:asciiTheme="majorHAnsi" w:hAnsiTheme="majorHAnsi" w:cstheme="majorHAnsi"/>
          <w:color w:val="000000"/>
          <w:sz w:val="22"/>
          <w:szCs w:val="22"/>
          <w:shd w:val="clear" w:color="auto" w:fill="FFFFFF"/>
        </w:rPr>
        <w:t xml:space="preserve"> on its examination of international legislation, the SALRC recommended that the recurrent element of the offence should be incorporated in the definition of "harassment". The definition in the Act states that "harassment" is constituted by "directly or indirectly engaging in conduct</w:t>
      </w:r>
      <w:proofErr w:type="gramStart"/>
      <w:r w:rsidRPr="00794AE8">
        <w:rPr>
          <w:rFonts w:asciiTheme="majorHAnsi" w:hAnsiTheme="majorHAnsi" w:cstheme="majorHAnsi"/>
          <w:color w:val="000000"/>
          <w:sz w:val="22"/>
          <w:szCs w:val="22"/>
          <w:shd w:val="clear" w:color="auto" w:fill="FFFFFF"/>
        </w:rPr>
        <w:t>. .</w:t>
      </w:r>
      <w:proofErr w:type="gramEnd"/>
      <w:r w:rsidRPr="00794AE8">
        <w:rPr>
          <w:rFonts w:asciiTheme="majorHAnsi" w:hAnsiTheme="majorHAnsi" w:cstheme="majorHAnsi"/>
          <w:color w:val="000000"/>
          <w:sz w:val="22"/>
          <w:szCs w:val="22"/>
          <w:shd w:val="clear" w:color="auto" w:fill="FFFFFF"/>
        </w:rPr>
        <w:t> . ". However, although the definition does not refer to "a course of conduct" in my view the conduct engaged in must necessarily either have a repetitive element which makes it oppressive and unreasonable, thereby tormenting or inculcating serious fear or distress in the victim. Alternatively, the conduct must be of such an overwhelmingly oppressive nature that a single act has the same consequences, as in the case of a single protracted incident when the victim is physically stalked.</w:t>
      </w:r>
    </w:p>
    <w:p w:rsidR="00E06EA7" w:rsidRPr="00794AE8" w:rsidRDefault="00E06EA7" w:rsidP="00E24120">
      <w:pPr>
        <w:pStyle w:val="ListParagraph"/>
        <w:spacing w:line="360" w:lineRule="auto"/>
        <w:ind w:left="1418" w:right="798"/>
        <w:jc w:val="both"/>
        <w:rPr>
          <w:rFonts w:asciiTheme="majorHAnsi" w:hAnsiTheme="majorHAnsi" w:cstheme="majorHAnsi"/>
          <w:sz w:val="22"/>
          <w:szCs w:val="22"/>
          <w:highlight w:val="yellow"/>
        </w:rPr>
      </w:pPr>
    </w:p>
    <w:p w:rsidR="00E06EA7" w:rsidRPr="00794AE8" w:rsidRDefault="00E06EA7" w:rsidP="00E24120">
      <w:pPr>
        <w:pStyle w:val="ListParagraph"/>
        <w:spacing w:after="240" w:line="360" w:lineRule="auto"/>
        <w:ind w:left="1418" w:right="798"/>
        <w:contextualSpacing w:val="0"/>
        <w:jc w:val="both"/>
        <w:rPr>
          <w:rFonts w:asciiTheme="majorHAnsi" w:hAnsiTheme="majorHAnsi" w:cstheme="majorHAnsi"/>
          <w:color w:val="000000"/>
          <w:sz w:val="22"/>
          <w:szCs w:val="22"/>
          <w:shd w:val="clear" w:color="auto" w:fill="FFFFFF"/>
        </w:rPr>
      </w:pPr>
      <w:r w:rsidRPr="00794AE8">
        <w:rPr>
          <w:rFonts w:asciiTheme="majorHAnsi" w:hAnsiTheme="majorHAnsi" w:cstheme="majorHAnsi"/>
          <w:color w:val="000000"/>
          <w:sz w:val="22"/>
          <w:szCs w:val="22"/>
          <w:shd w:val="clear" w:color="auto" w:fill="FFFFFF"/>
        </w:rPr>
        <w:t>[71</w:t>
      </w:r>
      <w:proofErr w:type="gramStart"/>
      <w:r w:rsidRPr="00794AE8">
        <w:rPr>
          <w:rFonts w:asciiTheme="majorHAnsi" w:hAnsiTheme="majorHAnsi" w:cstheme="majorHAnsi"/>
          <w:color w:val="000000"/>
          <w:sz w:val="22"/>
          <w:szCs w:val="22"/>
          <w:shd w:val="clear" w:color="auto" w:fill="FFFFFF"/>
        </w:rPr>
        <w:t>]  In</w:t>
      </w:r>
      <w:proofErr w:type="gramEnd"/>
      <w:r w:rsidRPr="00794AE8">
        <w:rPr>
          <w:rFonts w:asciiTheme="majorHAnsi" w:hAnsiTheme="majorHAnsi" w:cstheme="majorHAnsi"/>
          <w:color w:val="000000"/>
          <w:sz w:val="22"/>
          <w:szCs w:val="22"/>
          <w:shd w:val="clear" w:color="auto" w:fill="FFFFFF"/>
        </w:rPr>
        <w:t xml:space="preserve"> my view the conduct of the appellant in sending the email may have been unreasonable, as she allowed her emotions to cloud her </w:t>
      </w:r>
      <w:r w:rsidRPr="00794AE8">
        <w:rPr>
          <w:rFonts w:asciiTheme="majorHAnsi" w:hAnsiTheme="majorHAnsi" w:cstheme="majorHAnsi"/>
          <w:color w:val="000000"/>
          <w:sz w:val="22"/>
          <w:szCs w:val="22"/>
          <w:shd w:val="clear" w:color="auto" w:fill="FFFFFF"/>
        </w:rPr>
        <w:lastRenderedPageBreak/>
        <w:t>perception, but I am not persuaded that her conduct was objectively oppressive or had the gravity to constitute harassment.’</w:t>
      </w:r>
    </w:p>
    <w:p w:rsidR="00E06EA7" w:rsidRPr="007D6ACC" w:rsidRDefault="007D6ACC" w:rsidP="007D6ACC">
      <w:pPr>
        <w:spacing w:after="240" w:line="360" w:lineRule="auto"/>
        <w:jc w:val="both"/>
        <w:rPr>
          <w:rFonts w:asciiTheme="majorHAnsi" w:hAnsiTheme="majorHAnsi" w:cstheme="majorHAnsi"/>
        </w:rPr>
      </w:pPr>
      <w:r w:rsidRPr="00794AE8">
        <w:rPr>
          <w:rFonts w:ascii="Arial" w:eastAsia="Times New Roman" w:hAnsi="Arial" w:cs="Arial"/>
          <w:lang w:val="en-GB"/>
        </w:rPr>
        <w:t>[6]</w:t>
      </w:r>
      <w:r w:rsidRPr="00794AE8">
        <w:rPr>
          <w:rFonts w:ascii="Arial" w:eastAsia="Times New Roman" w:hAnsi="Arial" w:cs="Arial"/>
          <w:lang w:val="en-GB"/>
        </w:rPr>
        <w:tab/>
      </w:r>
      <w:r w:rsidR="00E06EA7" w:rsidRPr="007D6ACC">
        <w:rPr>
          <w:rFonts w:asciiTheme="majorHAnsi" w:hAnsiTheme="majorHAnsi" w:cstheme="majorHAnsi"/>
        </w:rPr>
        <w:t>Whether the conduct complained of constitutes harassment must consequently</w:t>
      </w:r>
      <w:r w:rsidR="00165536" w:rsidRPr="007D6ACC">
        <w:rPr>
          <w:rFonts w:asciiTheme="majorHAnsi" w:hAnsiTheme="majorHAnsi" w:cstheme="majorHAnsi"/>
        </w:rPr>
        <w:t xml:space="preserve"> </w:t>
      </w:r>
      <w:r w:rsidR="00E06EA7" w:rsidRPr="007D6ACC">
        <w:rPr>
          <w:rFonts w:asciiTheme="majorHAnsi" w:hAnsiTheme="majorHAnsi" w:cstheme="majorHAnsi"/>
        </w:rPr>
        <w:t>be determined in accordance with these principles. The issue arises in the context of the following facts.</w:t>
      </w:r>
    </w:p>
    <w:p w:rsidR="00E06EA7" w:rsidRPr="00794AE8" w:rsidRDefault="00E06EA7" w:rsidP="00E06EA7">
      <w:pPr>
        <w:pStyle w:val="ListParagraph"/>
        <w:spacing w:line="360" w:lineRule="auto"/>
        <w:ind w:left="0"/>
        <w:jc w:val="both"/>
        <w:rPr>
          <w:rFonts w:asciiTheme="majorHAnsi" w:hAnsiTheme="majorHAnsi" w:cstheme="majorHAnsi"/>
          <w:b/>
          <w:bCs/>
        </w:rPr>
      </w:pPr>
      <w:r w:rsidRPr="00794AE8">
        <w:rPr>
          <w:rFonts w:asciiTheme="majorHAnsi" w:hAnsiTheme="majorHAnsi" w:cstheme="majorHAnsi"/>
          <w:b/>
          <w:bCs/>
        </w:rPr>
        <w:t xml:space="preserve">The facts </w:t>
      </w:r>
    </w:p>
    <w:p w:rsidR="00E06EA7" w:rsidRPr="00794AE8" w:rsidRDefault="00E06EA7" w:rsidP="0066050E">
      <w:pPr>
        <w:pStyle w:val="ListParagraph"/>
        <w:spacing w:after="240" w:line="360" w:lineRule="auto"/>
        <w:ind w:left="0"/>
        <w:jc w:val="both"/>
        <w:rPr>
          <w:rFonts w:asciiTheme="majorHAnsi" w:hAnsiTheme="majorHAnsi" w:cstheme="majorHAnsi"/>
          <w:b/>
          <w:bCs/>
        </w:rPr>
      </w:pPr>
    </w:p>
    <w:p w:rsidR="00E06EA7" w:rsidRPr="007D6ACC" w:rsidRDefault="007D6ACC" w:rsidP="007D6ACC">
      <w:pPr>
        <w:spacing w:after="240" w:line="360" w:lineRule="auto"/>
        <w:jc w:val="both"/>
        <w:rPr>
          <w:rFonts w:asciiTheme="majorHAnsi" w:hAnsiTheme="majorHAnsi" w:cstheme="majorHAnsi"/>
          <w:b/>
          <w:bCs/>
        </w:rPr>
      </w:pPr>
      <w:r w:rsidRPr="00794AE8">
        <w:rPr>
          <w:rFonts w:ascii="Arial" w:eastAsia="Times New Roman" w:hAnsi="Arial" w:cs="Arial"/>
          <w:lang w:val="en-GB"/>
        </w:rPr>
        <w:t>[7]</w:t>
      </w:r>
      <w:r w:rsidRPr="00794AE8">
        <w:rPr>
          <w:rFonts w:ascii="Arial" w:eastAsia="Times New Roman" w:hAnsi="Arial" w:cs="Arial"/>
          <w:lang w:val="en-GB"/>
        </w:rPr>
        <w:tab/>
      </w:r>
      <w:r w:rsidR="00E06EA7" w:rsidRPr="007D6ACC">
        <w:rPr>
          <w:rFonts w:asciiTheme="majorHAnsi" w:hAnsiTheme="majorHAnsi" w:cstheme="majorHAnsi"/>
        </w:rPr>
        <w:t xml:space="preserve">The respondent and the appellant’s brother live in the same residential estate. There is a level of animosity between the respondent and the appellant’s brother and there are legal proceedings pending between them relating to various disputes. </w:t>
      </w:r>
    </w:p>
    <w:p w:rsidR="00E06EA7" w:rsidRPr="007D6ACC" w:rsidRDefault="007D6ACC" w:rsidP="007D6ACC">
      <w:pPr>
        <w:spacing w:after="240" w:line="360" w:lineRule="auto"/>
        <w:jc w:val="both"/>
        <w:rPr>
          <w:rFonts w:asciiTheme="majorHAnsi" w:hAnsiTheme="majorHAnsi" w:cstheme="majorHAnsi"/>
        </w:rPr>
      </w:pPr>
      <w:r w:rsidRPr="00794AE8">
        <w:rPr>
          <w:rFonts w:ascii="Arial" w:eastAsia="Times New Roman" w:hAnsi="Arial" w:cs="Arial"/>
          <w:lang w:val="en-GB"/>
        </w:rPr>
        <w:t>[8]</w:t>
      </w:r>
      <w:r w:rsidRPr="00794AE8">
        <w:rPr>
          <w:rFonts w:ascii="Arial" w:eastAsia="Times New Roman" w:hAnsi="Arial" w:cs="Arial"/>
          <w:lang w:val="en-GB"/>
        </w:rPr>
        <w:tab/>
      </w:r>
      <w:r w:rsidR="00E06EA7" w:rsidRPr="007D6ACC">
        <w:rPr>
          <w:rFonts w:asciiTheme="majorHAnsi" w:hAnsiTheme="majorHAnsi" w:cstheme="majorHAnsi"/>
        </w:rPr>
        <w:t xml:space="preserve">On 1 November 2021 whilst the appellant was visiting his brother, there was an incident in which the appellant’s </w:t>
      </w:r>
      <w:r w:rsidR="00E24120" w:rsidRPr="007D6ACC">
        <w:rPr>
          <w:rFonts w:asciiTheme="majorHAnsi" w:hAnsiTheme="majorHAnsi" w:cstheme="majorHAnsi"/>
        </w:rPr>
        <w:t>Rottweiler</w:t>
      </w:r>
      <w:r w:rsidR="00E06EA7" w:rsidRPr="007D6ACC">
        <w:rPr>
          <w:rFonts w:asciiTheme="majorHAnsi" w:hAnsiTheme="majorHAnsi" w:cstheme="majorHAnsi"/>
        </w:rPr>
        <w:t xml:space="preserve"> dog bit the respondent’s Maltese Poodle and the respondent’s finger. There is some contestation regarding exactly how the incident happened, particularly whether the appellant had his hand on his dog at the time, or whether the animal had simply been let loose in the common area of the complex where the incident occurred.</w:t>
      </w:r>
      <w:r w:rsidR="00E06EA7" w:rsidRPr="00794AE8">
        <w:rPr>
          <w:rStyle w:val="FootnoteReference"/>
          <w:rFonts w:asciiTheme="majorHAnsi" w:hAnsiTheme="majorHAnsi" w:cstheme="majorHAnsi"/>
        </w:rPr>
        <w:footnoteReference w:id="1"/>
      </w:r>
      <w:r w:rsidR="00E06EA7" w:rsidRPr="007D6ACC">
        <w:rPr>
          <w:rFonts w:asciiTheme="majorHAnsi" w:hAnsiTheme="majorHAnsi" w:cstheme="majorHAnsi"/>
        </w:rPr>
        <w:t xml:space="preserve"> It is unnecessary to determine whose version of events on this score is correct because the incident was plainly not one of harassment</w:t>
      </w:r>
      <w:r w:rsidR="000F3643" w:rsidRPr="007D6ACC">
        <w:rPr>
          <w:rFonts w:asciiTheme="majorHAnsi" w:hAnsiTheme="majorHAnsi" w:cstheme="majorHAnsi"/>
        </w:rPr>
        <w:t xml:space="preserve"> even on the respondent’s version that the appellant let his dog loose without regard for others. The dog bite incident</w:t>
      </w:r>
      <w:r w:rsidR="00E06EA7" w:rsidRPr="007D6ACC">
        <w:rPr>
          <w:rFonts w:asciiTheme="majorHAnsi" w:hAnsiTheme="majorHAnsi" w:cstheme="majorHAnsi"/>
        </w:rPr>
        <w:t xml:space="preserve"> is however important context for what followed. </w:t>
      </w:r>
    </w:p>
    <w:p w:rsidR="00E06EA7" w:rsidRPr="007D6ACC" w:rsidRDefault="007D6ACC" w:rsidP="007D6ACC">
      <w:pPr>
        <w:spacing w:after="240" w:line="360" w:lineRule="auto"/>
        <w:jc w:val="both"/>
        <w:rPr>
          <w:rFonts w:asciiTheme="majorHAnsi" w:hAnsiTheme="majorHAnsi" w:cstheme="majorHAnsi"/>
          <w:b/>
          <w:bCs/>
        </w:rPr>
      </w:pPr>
      <w:r w:rsidRPr="00794AE8">
        <w:rPr>
          <w:rFonts w:ascii="Arial" w:eastAsia="Times New Roman" w:hAnsi="Arial" w:cs="Arial"/>
          <w:lang w:val="en-GB"/>
        </w:rPr>
        <w:t>[9]</w:t>
      </w:r>
      <w:r w:rsidRPr="00794AE8">
        <w:rPr>
          <w:rFonts w:ascii="Arial" w:eastAsia="Times New Roman" w:hAnsi="Arial" w:cs="Arial"/>
          <w:lang w:val="en-GB"/>
        </w:rPr>
        <w:tab/>
      </w:r>
      <w:r w:rsidR="00E06EA7" w:rsidRPr="007D6ACC">
        <w:rPr>
          <w:rFonts w:asciiTheme="majorHAnsi" w:hAnsiTheme="majorHAnsi" w:cstheme="majorHAnsi"/>
        </w:rPr>
        <w:t xml:space="preserve">The respondent was with his dog and his  </w:t>
      </w:r>
      <w:r w:rsidR="000F3643" w:rsidRPr="007D6ACC">
        <w:rPr>
          <w:rFonts w:asciiTheme="majorHAnsi" w:hAnsiTheme="majorHAnsi" w:cstheme="majorHAnsi"/>
        </w:rPr>
        <w:t xml:space="preserve">four </w:t>
      </w:r>
      <w:r w:rsidR="00E06EA7" w:rsidRPr="007D6ACC">
        <w:rPr>
          <w:rFonts w:asciiTheme="majorHAnsi" w:hAnsiTheme="majorHAnsi" w:cstheme="majorHAnsi"/>
        </w:rPr>
        <w:t>children</w:t>
      </w:r>
      <w:r w:rsidR="000F3643">
        <w:rPr>
          <w:rStyle w:val="FootnoteReference"/>
          <w:rFonts w:asciiTheme="majorHAnsi" w:hAnsiTheme="majorHAnsi" w:cstheme="majorHAnsi"/>
        </w:rPr>
        <w:footnoteReference w:id="2"/>
      </w:r>
      <w:r w:rsidR="00E06EA7" w:rsidRPr="007D6ACC">
        <w:rPr>
          <w:rFonts w:asciiTheme="majorHAnsi" w:hAnsiTheme="majorHAnsi" w:cstheme="majorHAnsi"/>
        </w:rPr>
        <w:t xml:space="preserve"> </w:t>
      </w:r>
      <w:r w:rsidR="000F3643" w:rsidRPr="007D6ACC">
        <w:rPr>
          <w:rFonts w:asciiTheme="majorHAnsi" w:hAnsiTheme="majorHAnsi" w:cstheme="majorHAnsi"/>
        </w:rPr>
        <w:t>aged between 3 and 7,</w:t>
      </w:r>
      <w:r w:rsidR="000F3643">
        <w:rPr>
          <w:rStyle w:val="FootnoteReference"/>
          <w:rFonts w:asciiTheme="majorHAnsi" w:hAnsiTheme="majorHAnsi" w:cstheme="majorHAnsi"/>
        </w:rPr>
        <w:footnoteReference w:id="3"/>
      </w:r>
      <w:r w:rsidR="000F3643" w:rsidRPr="007D6ACC">
        <w:rPr>
          <w:rFonts w:asciiTheme="majorHAnsi" w:hAnsiTheme="majorHAnsi" w:cstheme="majorHAnsi"/>
        </w:rPr>
        <w:t xml:space="preserve"> </w:t>
      </w:r>
      <w:r w:rsidR="00E06EA7" w:rsidRPr="007D6ACC">
        <w:rPr>
          <w:rFonts w:asciiTheme="majorHAnsi" w:hAnsiTheme="majorHAnsi" w:cstheme="majorHAnsi"/>
        </w:rPr>
        <w:t>at the time of the dog bit</w:t>
      </w:r>
      <w:r w:rsidR="000F3643" w:rsidRPr="007D6ACC">
        <w:rPr>
          <w:rFonts w:asciiTheme="majorHAnsi" w:hAnsiTheme="majorHAnsi" w:cstheme="majorHAnsi"/>
        </w:rPr>
        <w:t>e</w:t>
      </w:r>
      <w:r w:rsidR="00E06EA7" w:rsidRPr="007D6ACC">
        <w:rPr>
          <w:rFonts w:asciiTheme="majorHAnsi" w:hAnsiTheme="majorHAnsi" w:cstheme="majorHAnsi"/>
        </w:rPr>
        <w:t xml:space="preserve"> incident and found it very traumatic. His Maltese was admitted to the vet</w:t>
      </w:r>
      <w:r w:rsidR="00E06EA7" w:rsidRPr="00794AE8">
        <w:rPr>
          <w:rStyle w:val="FootnoteReference"/>
          <w:rFonts w:asciiTheme="majorHAnsi" w:hAnsiTheme="majorHAnsi" w:cstheme="majorHAnsi"/>
        </w:rPr>
        <w:footnoteReference w:id="4"/>
      </w:r>
      <w:r w:rsidR="00E06EA7" w:rsidRPr="007D6ACC">
        <w:rPr>
          <w:rFonts w:asciiTheme="majorHAnsi" w:hAnsiTheme="majorHAnsi" w:cstheme="majorHAnsi"/>
        </w:rPr>
        <w:t xml:space="preserve"> for surgery and the respondent attended at the emergency room of a nearby hospital.</w:t>
      </w:r>
      <w:r w:rsidR="000F3643" w:rsidRPr="007D6ACC">
        <w:rPr>
          <w:rFonts w:asciiTheme="majorHAnsi" w:hAnsiTheme="majorHAnsi" w:cstheme="majorHAnsi"/>
        </w:rPr>
        <w:t xml:space="preserve"> </w:t>
      </w:r>
      <w:r w:rsidR="00E06EA7" w:rsidRPr="007D6ACC">
        <w:rPr>
          <w:rFonts w:asciiTheme="majorHAnsi" w:hAnsiTheme="majorHAnsi" w:cstheme="majorHAnsi"/>
        </w:rPr>
        <w:t>The medical report records that he sustained a superficial laceration to his right thumb.</w:t>
      </w:r>
      <w:r w:rsidR="00E06EA7" w:rsidRPr="00794AE8">
        <w:rPr>
          <w:rStyle w:val="FootnoteReference"/>
          <w:rFonts w:asciiTheme="majorHAnsi" w:hAnsiTheme="majorHAnsi" w:cstheme="majorHAnsi"/>
        </w:rPr>
        <w:footnoteReference w:id="5"/>
      </w:r>
      <w:r w:rsidR="00E06EA7" w:rsidRPr="007D6ACC">
        <w:rPr>
          <w:rFonts w:asciiTheme="majorHAnsi" w:hAnsiTheme="majorHAnsi" w:cstheme="majorHAnsi"/>
        </w:rPr>
        <w:t xml:space="preserve"> The respondent found the incident extremely traumatic, and he and his children underwent psychological therapy as they have a fear of large </w:t>
      </w:r>
      <w:r w:rsidR="00E06EA7" w:rsidRPr="007D6ACC">
        <w:rPr>
          <w:rFonts w:asciiTheme="majorHAnsi" w:hAnsiTheme="majorHAnsi" w:cstheme="majorHAnsi"/>
        </w:rPr>
        <w:lastRenderedPageBreak/>
        <w:t>dogs. The respondent also laid two criminal charges against the appellant</w:t>
      </w:r>
      <w:r w:rsidR="00E06EA7" w:rsidRPr="00794AE8">
        <w:rPr>
          <w:rStyle w:val="FootnoteReference"/>
          <w:rFonts w:asciiTheme="majorHAnsi" w:hAnsiTheme="majorHAnsi" w:cstheme="majorHAnsi"/>
        </w:rPr>
        <w:footnoteReference w:id="6"/>
      </w:r>
      <w:r w:rsidR="00E06EA7" w:rsidRPr="007D6ACC">
        <w:rPr>
          <w:rFonts w:asciiTheme="majorHAnsi" w:hAnsiTheme="majorHAnsi" w:cstheme="majorHAnsi"/>
        </w:rPr>
        <w:t xml:space="preserve"> as a result of this incident, one for keeping a ferocious dog and another for malicious damage to his property, the poodle. </w:t>
      </w:r>
    </w:p>
    <w:p w:rsidR="00E06EA7" w:rsidRPr="007D6ACC" w:rsidRDefault="007D6ACC" w:rsidP="007D6ACC">
      <w:pPr>
        <w:spacing w:after="240" w:line="360" w:lineRule="auto"/>
        <w:jc w:val="both"/>
        <w:rPr>
          <w:rFonts w:asciiTheme="majorHAnsi" w:hAnsiTheme="majorHAnsi" w:cstheme="majorHAnsi"/>
          <w:b/>
          <w:bCs/>
        </w:rPr>
      </w:pPr>
      <w:r w:rsidRPr="00794AE8">
        <w:rPr>
          <w:rFonts w:ascii="Arial" w:eastAsia="Times New Roman" w:hAnsi="Arial" w:cs="Arial"/>
          <w:lang w:val="en-GB"/>
        </w:rPr>
        <w:t>[10]</w:t>
      </w:r>
      <w:r w:rsidRPr="00794AE8">
        <w:rPr>
          <w:rFonts w:ascii="Arial" w:eastAsia="Times New Roman" w:hAnsi="Arial" w:cs="Arial"/>
          <w:lang w:val="en-GB"/>
        </w:rPr>
        <w:tab/>
      </w:r>
      <w:r w:rsidR="00E06EA7" w:rsidRPr="007D6ACC">
        <w:rPr>
          <w:rFonts w:asciiTheme="majorHAnsi" w:hAnsiTheme="majorHAnsi" w:cstheme="majorHAnsi"/>
        </w:rPr>
        <w:t xml:space="preserve">The respondent made it clear he intended to lay a civil claim against the appellant too. This was forestalled by the conclusion of a settlement agreement in terms of which the appellant agreed to pay R22,000 to the respondent as compensation for his loss and damage arising out of the dog bite incident, in exchange for which the respondent undertook not to pursue any further civil claims against the appellant. </w:t>
      </w:r>
    </w:p>
    <w:p w:rsidR="00E06EA7" w:rsidRPr="007D6ACC" w:rsidRDefault="007D6ACC" w:rsidP="007D6ACC">
      <w:pPr>
        <w:spacing w:after="240" w:line="360" w:lineRule="auto"/>
        <w:jc w:val="both"/>
        <w:rPr>
          <w:rFonts w:asciiTheme="majorHAnsi" w:hAnsiTheme="majorHAnsi" w:cstheme="majorHAnsi"/>
          <w:b/>
          <w:bCs/>
        </w:rPr>
      </w:pPr>
      <w:r w:rsidRPr="00794AE8">
        <w:rPr>
          <w:rFonts w:ascii="Arial" w:eastAsia="Times New Roman" w:hAnsi="Arial" w:cs="Arial"/>
          <w:lang w:val="en-GB"/>
        </w:rPr>
        <w:t>[11]</w:t>
      </w:r>
      <w:r w:rsidRPr="00794AE8">
        <w:rPr>
          <w:rFonts w:ascii="Arial" w:eastAsia="Times New Roman" w:hAnsi="Arial" w:cs="Arial"/>
          <w:lang w:val="en-GB"/>
        </w:rPr>
        <w:tab/>
      </w:r>
      <w:r w:rsidR="00E06EA7" w:rsidRPr="007D6ACC">
        <w:rPr>
          <w:rFonts w:asciiTheme="majorHAnsi" w:hAnsiTheme="majorHAnsi" w:cstheme="majorHAnsi"/>
        </w:rPr>
        <w:t>After 1 November 2021 the appellant visited his brother without incident, although the respondent did regard the fact that the appellant brought his dogs with him as insensitive.</w:t>
      </w:r>
      <w:r w:rsidR="00E06EA7" w:rsidRPr="00794AE8">
        <w:rPr>
          <w:rStyle w:val="FootnoteReference"/>
          <w:rFonts w:asciiTheme="majorHAnsi" w:hAnsiTheme="majorHAnsi" w:cstheme="majorHAnsi"/>
        </w:rPr>
        <w:footnoteReference w:id="7"/>
      </w:r>
      <w:r w:rsidR="00E06EA7" w:rsidRPr="007D6ACC">
        <w:rPr>
          <w:rFonts w:asciiTheme="majorHAnsi" w:hAnsiTheme="majorHAnsi" w:cstheme="majorHAnsi"/>
        </w:rPr>
        <w:t xml:space="preserve">  </w:t>
      </w:r>
    </w:p>
    <w:p w:rsidR="0066050E" w:rsidRPr="00794AE8" w:rsidRDefault="0066050E" w:rsidP="0066050E">
      <w:pPr>
        <w:pStyle w:val="ListParagraph"/>
        <w:rPr>
          <w:rFonts w:asciiTheme="majorHAnsi" w:hAnsiTheme="majorHAnsi" w:cstheme="majorHAnsi"/>
          <w:b/>
          <w:bCs/>
        </w:rPr>
      </w:pPr>
    </w:p>
    <w:p w:rsidR="000F3643" w:rsidRPr="007D6ACC" w:rsidRDefault="007D6ACC" w:rsidP="007D6ACC">
      <w:pPr>
        <w:spacing w:after="240" w:line="360" w:lineRule="auto"/>
        <w:jc w:val="both"/>
        <w:rPr>
          <w:rFonts w:asciiTheme="majorHAnsi" w:hAnsiTheme="majorHAnsi" w:cstheme="majorHAnsi"/>
          <w:b/>
          <w:bCs/>
        </w:rPr>
      </w:pPr>
      <w:r w:rsidRPr="000F3643">
        <w:rPr>
          <w:rFonts w:ascii="Arial" w:eastAsia="Times New Roman" w:hAnsi="Arial" w:cs="Arial"/>
          <w:lang w:val="en-GB"/>
        </w:rPr>
        <w:t>[12]</w:t>
      </w:r>
      <w:r w:rsidRPr="000F3643">
        <w:rPr>
          <w:rFonts w:ascii="Arial" w:eastAsia="Times New Roman" w:hAnsi="Arial" w:cs="Arial"/>
          <w:lang w:val="en-GB"/>
        </w:rPr>
        <w:tab/>
      </w:r>
      <w:r w:rsidR="00E06EA7" w:rsidRPr="007D6ACC">
        <w:rPr>
          <w:rFonts w:asciiTheme="majorHAnsi" w:hAnsiTheme="majorHAnsi" w:cstheme="majorHAnsi"/>
        </w:rPr>
        <w:t xml:space="preserve">On 19 February 2022, after the settlement agreement had been concluded and the agreed payment made, the respondent and his son were walking in the common area of the residential estate with their dog when the appellant arrived to visit his brother and a verbal exchange ensued. </w:t>
      </w:r>
    </w:p>
    <w:p w:rsidR="000F3643" w:rsidRPr="000F3643" w:rsidRDefault="000F3643" w:rsidP="000F3643">
      <w:pPr>
        <w:pStyle w:val="ListParagraph"/>
        <w:rPr>
          <w:rFonts w:asciiTheme="majorHAnsi" w:hAnsiTheme="majorHAnsi" w:cstheme="majorHAnsi"/>
        </w:rPr>
      </w:pPr>
    </w:p>
    <w:p w:rsidR="00E06EA7" w:rsidRPr="007D6ACC" w:rsidRDefault="007D6ACC" w:rsidP="007D6ACC">
      <w:pPr>
        <w:spacing w:after="240" w:line="360" w:lineRule="auto"/>
        <w:jc w:val="both"/>
        <w:rPr>
          <w:rFonts w:asciiTheme="majorHAnsi" w:hAnsiTheme="majorHAnsi" w:cstheme="majorHAnsi"/>
          <w:b/>
          <w:bCs/>
        </w:rPr>
      </w:pPr>
      <w:r w:rsidRPr="00794AE8">
        <w:rPr>
          <w:rFonts w:ascii="Arial" w:eastAsia="Times New Roman" w:hAnsi="Arial" w:cs="Arial"/>
          <w:lang w:val="en-GB"/>
        </w:rPr>
        <w:t>[13]</w:t>
      </w:r>
      <w:r w:rsidRPr="00794AE8">
        <w:rPr>
          <w:rFonts w:ascii="Arial" w:eastAsia="Times New Roman" w:hAnsi="Arial" w:cs="Arial"/>
          <w:lang w:val="en-GB"/>
        </w:rPr>
        <w:tab/>
      </w:r>
      <w:r w:rsidR="00E06EA7" w:rsidRPr="007D6ACC">
        <w:rPr>
          <w:rFonts w:asciiTheme="majorHAnsi" w:hAnsiTheme="majorHAnsi" w:cstheme="majorHAnsi"/>
        </w:rPr>
        <w:t xml:space="preserve">The respondent alleged that the appellant said, ‘hey big boy, I see you got your way’ in apparent reference to the settlement agreement, to which the respondent </w:t>
      </w:r>
      <w:r w:rsidR="000F3643" w:rsidRPr="007D6ACC">
        <w:rPr>
          <w:rFonts w:asciiTheme="majorHAnsi" w:hAnsiTheme="majorHAnsi" w:cstheme="majorHAnsi"/>
        </w:rPr>
        <w:t>replied,</w:t>
      </w:r>
      <w:r w:rsidR="00E06EA7" w:rsidRPr="007D6ACC">
        <w:rPr>
          <w:rFonts w:asciiTheme="majorHAnsi" w:hAnsiTheme="majorHAnsi" w:cstheme="majorHAnsi"/>
        </w:rPr>
        <w:t xml:space="preserve"> ‘Excuse me?’ The appellant denies this exchange. The learned magistrate found that the respondent’s version was more probable in the light of evidence that the appellant had sought to include certain additional matters in the settlement agreement, which the respondent refused to accept. The settlement was </w:t>
      </w:r>
      <w:r w:rsidR="000F3643" w:rsidRPr="007D6ACC">
        <w:rPr>
          <w:rFonts w:asciiTheme="majorHAnsi" w:hAnsiTheme="majorHAnsi" w:cstheme="majorHAnsi"/>
        </w:rPr>
        <w:t xml:space="preserve">ultimately concluded </w:t>
      </w:r>
      <w:r w:rsidR="00E06EA7" w:rsidRPr="007D6ACC">
        <w:rPr>
          <w:rFonts w:asciiTheme="majorHAnsi" w:hAnsiTheme="majorHAnsi" w:cstheme="majorHAnsi"/>
        </w:rPr>
        <w:t>effectively on the respondent’s terms. I see no basis upon which the finding of the court below on the score can be faulted.</w:t>
      </w:r>
    </w:p>
    <w:p w:rsidR="00E06EA7" w:rsidRPr="007D6ACC" w:rsidRDefault="007D6ACC" w:rsidP="007D6ACC">
      <w:pPr>
        <w:spacing w:after="240" w:line="360" w:lineRule="auto"/>
        <w:jc w:val="both"/>
        <w:rPr>
          <w:rFonts w:asciiTheme="majorHAnsi" w:hAnsiTheme="majorHAnsi" w:cstheme="majorHAnsi"/>
          <w:b/>
          <w:bCs/>
        </w:rPr>
      </w:pPr>
      <w:r w:rsidRPr="00794AE8">
        <w:rPr>
          <w:rFonts w:ascii="Arial" w:eastAsia="Times New Roman" w:hAnsi="Arial" w:cs="Arial"/>
          <w:lang w:val="en-GB"/>
        </w:rPr>
        <w:t>[14]</w:t>
      </w:r>
      <w:r w:rsidRPr="00794AE8">
        <w:rPr>
          <w:rFonts w:ascii="Arial" w:eastAsia="Times New Roman" w:hAnsi="Arial" w:cs="Arial"/>
          <w:lang w:val="en-GB"/>
        </w:rPr>
        <w:tab/>
      </w:r>
      <w:r w:rsidR="00E06EA7" w:rsidRPr="007D6ACC">
        <w:rPr>
          <w:rFonts w:asciiTheme="majorHAnsi" w:hAnsiTheme="majorHAnsi" w:cstheme="majorHAnsi"/>
        </w:rPr>
        <w:t>It is common cause that the appellant enquired ‘how’s your hand?’ to which the respondent replied, ‘mind your own business’ and the appellant counte</w:t>
      </w:r>
      <w:r w:rsidR="000F3643" w:rsidRPr="007D6ACC">
        <w:rPr>
          <w:rFonts w:asciiTheme="majorHAnsi" w:hAnsiTheme="majorHAnsi" w:cstheme="majorHAnsi"/>
        </w:rPr>
        <w:t>re</w:t>
      </w:r>
      <w:r w:rsidR="00E06EA7" w:rsidRPr="007D6ACC">
        <w:rPr>
          <w:rFonts w:asciiTheme="majorHAnsi" w:hAnsiTheme="majorHAnsi" w:cstheme="majorHAnsi"/>
        </w:rPr>
        <w:t>d with words to the effect ‘karma is a bitch’ and ‘karma will get you.’</w:t>
      </w:r>
    </w:p>
    <w:p w:rsidR="00E06EA7" w:rsidRPr="007D6ACC" w:rsidRDefault="007D6ACC" w:rsidP="007D6ACC">
      <w:pPr>
        <w:spacing w:line="360" w:lineRule="auto"/>
        <w:jc w:val="both"/>
        <w:rPr>
          <w:rFonts w:asciiTheme="majorHAnsi" w:hAnsiTheme="majorHAnsi" w:cstheme="majorHAnsi"/>
          <w:b/>
          <w:bCs/>
        </w:rPr>
      </w:pPr>
      <w:r w:rsidRPr="00794AE8">
        <w:rPr>
          <w:rFonts w:ascii="Arial" w:eastAsia="Times New Roman" w:hAnsi="Arial" w:cs="Arial"/>
          <w:lang w:val="en-GB"/>
        </w:rPr>
        <w:lastRenderedPageBreak/>
        <w:t>[15]</w:t>
      </w:r>
      <w:r w:rsidRPr="00794AE8">
        <w:rPr>
          <w:rFonts w:ascii="Arial" w:eastAsia="Times New Roman" w:hAnsi="Arial" w:cs="Arial"/>
          <w:lang w:val="en-GB"/>
        </w:rPr>
        <w:tab/>
      </w:r>
      <w:r w:rsidR="00E06EA7" w:rsidRPr="007D6ACC">
        <w:rPr>
          <w:rFonts w:asciiTheme="majorHAnsi" w:hAnsiTheme="majorHAnsi" w:cstheme="majorHAnsi"/>
        </w:rPr>
        <w:t>It was on the basis of the events of 19 February 2022 that the respondent applied for, and was granted an interim protection order on 23 February 2022 in the following terms:</w:t>
      </w:r>
    </w:p>
    <w:p w:rsidR="000438CA" w:rsidRPr="000438CA" w:rsidRDefault="000438CA" w:rsidP="00EB2D31">
      <w:pPr>
        <w:spacing w:line="360" w:lineRule="auto"/>
        <w:ind w:left="1418" w:right="798"/>
        <w:contextualSpacing/>
        <w:jc w:val="both"/>
        <w:rPr>
          <w:rFonts w:asciiTheme="majorHAnsi" w:hAnsiTheme="majorHAnsi" w:cstheme="majorHAnsi"/>
          <w:sz w:val="22"/>
          <w:szCs w:val="22"/>
          <w:lang w:val="en-GB"/>
        </w:rPr>
      </w:pPr>
      <w:r w:rsidRPr="000438CA">
        <w:rPr>
          <w:rFonts w:asciiTheme="majorHAnsi" w:hAnsiTheme="majorHAnsi" w:cstheme="majorHAnsi"/>
          <w:sz w:val="22"/>
          <w:szCs w:val="22"/>
          <w:lang w:val="en-GB"/>
        </w:rPr>
        <w:t xml:space="preserve">‘The </w:t>
      </w:r>
      <w:r w:rsidR="000F3643">
        <w:rPr>
          <w:rFonts w:asciiTheme="majorHAnsi" w:hAnsiTheme="majorHAnsi" w:cstheme="majorHAnsi"/>
          <w:sz w:val="22"/>
          <w:szCs w:val="22"/>
          <w:lang w:val="en-GB"/>
        </w:rPr>
        <w:t xml:space="preserve">(appellant) is prohibited by this court </w:t>
      </w:r>
      <w:r w:rsidRPr="000438CA">
        <w:rPr>
          <w:rFonts w:asciiTheme="majorHAnsi" w:hAnsiTheme="majorHAnsi" w:cstheme="majorHAnsi"/>
          <w:sz w:val="22"/>
          <w:szCs w:val="22"/>
          <w:lang w:val="en-GB"/>
        </w:rPr>
        <w:t>from:</w:t>
      </w:r>
    </w:p>
    <w:p w:rsidR="000F3643" w:rsidRPr="001C3565" w:rsidRDefault="007D6ACC" w:rsidP="007D6ACC">
      <w:pPr>
        <w:spacing w:line="360" w:lineRule="auto"/>
        <w:ind w:left="1843" w:right="798" w:hanging="425"/>
        <w:contextualSpacing/>
        <w:jc w:val="both"/>
        <w:rPr>
          <w:rFonts w:asciiTheme="majorHAnsi" w:hAnsiTheme="majorHAnsi" w:cstheme="majorHAnsi"/>
          <w:sz w:val="22"/>
          <w:szCs w:val="22"/>
          <w:lang w:val="en-GB"/>
        </w:rPr>
      </w:pPr>
      <w:r w:rsidRPr="001C3565">
        <w:rPr>
          <w:rFonts w:asciiTheme="majorHAnsi" w:hAnsiTheme="majorHAnsi" w:cstheme="majorHAnsi"/>
          <w:sz w:val="22"/>
          <w:szCs w:val="22"/>
          <w:lang w:val="en-GB"/>
        </w:rPr>
        <w:t>a)</w:t>
      </w:r>
      <w:r w:rsidRPr="001C3565">
        <w:rPr>
          <w:rFonts w:asciiTheme="majorHAnsi" w:hAnsiTheme="majorHAnsi" w:cstheme="majorHAnsi"/>
          <w:sz w:val="22"/>
          <w:szCs w:val="22"/>
          <w:lang w:val="en-GB"/>
        </w:rPr>
        <w:tab/>
      </w:r>
      <w:r w:rsidR="000F3643" w:rsidRPr="001C3565">
        <w:rPr>
          <w:rFonts w:asciiTheme="majorHAnsi" w:hAnsiTheme="majorHAnsi" w:cstheme="majorHAnsi"/>
          <w:sz w:val="22"/>
          <w:szCs w:val="22"/>
          <w:lang w:val="en-GB"/>
        </w:rPr>
        <w:t xml:space="preserve"> </w:t>
      </w:r>
      <w:r w:rsidR="000438CA" w:rsidRPr="001C3565">
        <w:rPr>
          <w:rFonts w:asciiTheme="majorHAnsi" w:hAnsiTheme="majorHAnsi" w:cstheme="majorHAnsi"/>
          <w:sz w:val="22"/>
          <w:szCs w:val="22"/>
          <w:lang w:val="en-GB"/>
        </w:rPr>
        <w:t xml:space="preserve">engaging in or attempting to engage in harassment of </w:t>
      </w:r>
    </w:p>
    <w:p w:rsidR="001C3565" w:rsidRPr="007D6ACC" w:rsidRDefault="007D6ACC" w:rsidP="007D6ACC">
      <w:pPr>
        <w:spacing w:line="360" w:lineRule="auto"/>
        <w:ind w:left="2563" w:right="798" w:hanging="720"/>
        <w:jc w:val="both"/>
        <w:rPr>
          <w:rFonts w:asciiTheme="majorHAnsi" w:hAnsiTheme="majorHAnsi" w:cstheme="majorHAnsi"/>
          <w:sz w:val="22"/>
          <w:szCs w:val="22"/>
        </w:rPr>
      </w:pPr>
      <w:r w:rsidRPr="001C3565">
        <w:rPr>
          <w:rFonts w:asciiTheme="majorHAnsi" w:eastAsia="Times New Roman" w:hAnsiTheme="majorHAnsi" w:cstheme="majorHAnsi"/>
          <w:sz w:val="22"/>
          <w:szCs w:val="22"/>
          <w:lang w:val="en-GB"/>
        </w:rPr>
        <w:t>(</w:t>
      </w:r>
      <w:proofErr w:type="spellStart"/>
      <w:r w:rsidRPr="001C3565">
        <w:rPr>
          <w:rFonts w:asciiTheme="majorHAnsi" w:eastAsia="Times New Roman" w:hAnsiTheme="majorHAnsi" w:cstheme="majorHAnsi"/>
          <w:sz w:val="22"/>
          <w:szCs w:val="22"/>
          <w:lang w:val="en-GB"/>
        </w:rPr>
        <w:t>i</w:t>
      </w:r>
      <w:proofErr w:type="spellEnd"/>
      <w:r w:rsidRPr="001C3565">
        <w:rPr>
          <w:rFonts w:asciiTheme="majorHAnsi" w:eastAsia="Times New Roman" w:hAnsiTheme="majorHAnsi" w:cstheme="majorHAnsi"/>
          <w:sz w:val="22"/>
          <w:szCs w:val="22"/>
          <w:lang w:val="en-GB"/>
        </w:rPr>
        <w:t>)</w:t>
      </w:r>
      <w:r w:rsidRPr="001C3565">
        <w:rPr>
          <w:rFonts w:asciiTheme="majorHAnsi" w:eastAsia="Times New Roman" w:hAnsiTheme="majorHAnsi" w:cstheme="majorHAnsi"/>
          <w:sz w:val="22"/>
          <w:szCs w:val="22"/>
          <w:lang w:val="en-GB"/>
        </w:rPr>
        <w:tab/>
      </w:r>
      <w:proofErr w:type="gramStart"/>
      <w:r w:rsidR="000438CA" w:rsidRPr="007D6ACC">
        <w:rPr>
          <w:rFonts w:asciiTheme="majorHAnsi" w:hAnsiTheme="majorHAnsi" w:cstheme="majorHAnsi"/>
          <w:sz w:val="22"/>
          <w:szCs w:val="22"/>
        </w:rPr>
        <w:t>the  (</w:t>
      </w:r>
      <w:proofErr w:type="gramEnd"/>
      <w:r w:rsidR="000438CA" w:rsidRPr="007D6ACC">
        <w:rPr>
          <w:rFonts w:asciiTheme="majorHAnsi" w:hAnsiTheme="majorHAnsi" w:cstheme="majorHAnsi"/>
          <w:sz w:val="22"/>
          <w:szCs w:val="22"/>
        </w:rPr>
        <w:t>respondent)and</w:t>
      </w:r>
      <w:r w:rsidR="000F3643" w:rsidRPr="007D6ACC">
        <w:rPr>
          <w:rFonts w:asciiTheme="majorHAnsi" w:hAnsiTheme="majorHAnsi" w:cstheme="majorHAnsi"/>
          <w:sz w:val="22"/>
          <w:szCs w:val="22"/>
        </w:rPr>
        <w:t>/</w:t>
      </w:r>
      <w:r w:rsidR="000438CA" w:rsidRPr="007D6ACC">
        <w:rPr>
          <w:rFonts w:asciiTheme="majorHAnsi" w:hAnsiTheme="majorHAnsi" w:cstheme="majorHAnsi"/>
          <w:sz w:val="22"/>
          <w:szCs w:val="22"/>
        </w:rPr>
        <w:t xml:space="preserve"> or </w:t>
      </w:r>
    </w:p>
    <w:p w:rsidR="000438CA" w:rsidRPr="007D6ACC" w:rsidRDefault="007D6ACC" w:rsidP="007D6ACC">
      <w:pPr>
        <w:spacing w:line="360" w:lineRule="auto"/>
        <w:ind w:left="2563" w:right="798" w:hanging="720"/>
        <w:jc w:val="both"/>
        <w:rPr>
          <w:rFonts w:asciiTheme="majorHAnsi" w:hAnsiTheme="majorHAnsi" w:cstheme="majorHAnsi"/>
          <w:sz w:val="22"/>
          <w:szCs w:val="22"/>
        </w:rPr>
      </w:pPr>
      <w:r w:rsidRPr="001C3565">
        <w:rPr>
          <w:rFonts w:asciiTheme="majorHAnsi" w:eastAsia="Times New Roman" w:hAnsiTheme="majorHAnsi" w:cstheme="majorHAnsi"/>
          <w:sz w:val="22"/>
          <w:szCs w:val="22"/>
          <w:lang w:val="en-GB"/>
        </w:rPr>
        <w:t>(ii)</w:t>
      </w:r>
      <w:r w:rsidRPr="001C3565">
        <w:rPr>
          <w:rFonts w:asciiTheme="majorHAnsi" w:eastAsia="Times New Roman" w:hAnsiTheme="majorHAnsi" w:cstheme="majorHAnsi"/>
          <w:sz w:val="22"/>
          <w:szCs w:val="22"/>
          <w:lang w:val="en-GB"/>
        </w:rPr>
        <w:tab/>
      </w:r>
      <w:r w:rsidR="000438CA" w:rsidRPr="007D6ACC">
        <w:rPr>
          <w:rFonts w:asciiTheme="majorHAnsi" w:hAnsiTheme="majorHAnsi" w:cstheme="majorHAnsi"/>
          <w:sz w:val="22"/>
          <w:szCs w:val="22"/>
        </w:rPr>
        <w:t>the following related persons:</w:t>
      </w:r>
    </w:p>
    <w:p w:rsidR="000438CA" w:rsidRPr="007D6ACC" w:rsidRDefault="007D6ACC" w:rsidP="007D6ACC">
      <w:pPr>
        <w:spacing w:line="360" w:lineRule="auto"/>
        <w:ind w:left="2523" w:right="798" w:firstLine="29"/>
        <w:jc w:val="both"/>
        <w:rPr>
          <w:rFonts w:asciiTheme="majorHAnsi" w:hAnsiTheme="majorHAnsi" w:cstheme="majorHAnsi"/>
          <w:sz w:val="22"/>
          <w:szCs w:val="22"/>
        </w:rPr>
      </w:pPr>
      <w:r w:rsidRPr="001C3565">
        <w:rPr>
          <w:rFonts w:asciiTheme="majorHAnsi" w:eastAsia="Times New Roman" w:hAnsiTheme="majorHAnsi" w:cstheme="majorHAnsi"/>
          <w:sz w:val="22"/>
          <w:szCs w:val="22"/>
          <w:lang w:val="en-GB"/>
        </w:rPr>
        <w:t>(a)</w:t>
      </w:r>
      <w:r w:rsidRPr="001C3565">
        <w:rPr>
          <w:rFonts w:asciiTheme="majorHAnsi" w:eastAsia="Times New Roman" w:hAnsiTheme="majorHAnsi" w:cstheme="majorHAnsi"/>
          <w:sz w:val="22"/>
          <w:szCs w:val="22"/>
          <w:lang w:val="en-GB"/>
        </w:rPr>
        <w:tab/>
      </w:r>
      <w:r w:rsidR="000438CA" w:rsidRPr="007D6ACC">
        <w:rPr>
          <w:rFonts w:asciiTheme="majorHAnsi" w:hAnsiTheme="majorHAnsi" w:cstheme="majorHAnsi"/>
          <w:sz w:val="22"/>
          <w:szCs w:val="22"/>
        </w:rPr>
        <w:t>Alana Baranov</w:t>
      </w:r>
      <w:r w:rsidR="000F3643" w:rsidRPr="007D6ACC">
        <w:rPr>
          <w:rFonts w:asciiTheme="majorHAnsi" w:hAnsiTheme="majorHAnsi" w:cstheme="majorHAnsi"/>
          <w:sz w:val="22"/>
          <w:szCs w:val="22"/>
        </w:rPr>
        <w:t xml:space="preserve"> -wife</w:t>
      </w:r>
    </w:p>
    <w:p w:rsidR="000438CA" w:rsidRPr="007D6ACC" w:rsidRDefault="007D6ACC" w:rsidP="007D6ACC">
      <w:pPr>
        <w:spacing w:line="360" w:lineRule="auto"/>
        <w:ind w:left="2523" w:right="798" w:firstLine="29"/>
        <w:jc w:val="both"/>
        <w:rPr>
          <w:rFonts w:asciiTheme="majorHAnsi" w:hAnsiTheme="majorHAnsi" w:cstheme="majorHAnsi"/>
          <w:sz w:val="22"/>
          <w:szCs w:val="22"/>
        </w:rPr>
      </w:pPr>
      <w:r w:rsidRPr="001C3565">
        <w:rPr>
          <w:rFonts w:asciiTheme="majorHAnsi" w:eastAsia="Times New Roman" w:hAnsiTheme="majorHAnsi" w:cstheme="majorHAnsi"/>
          <w:sz w:val="22"/>
          <w:szCs w:val="22"/>
          <w:lang w:val="en-GB"/>
        </w:rPr>
        <w:t>(b)</w:t>
      </w:r>
      <w:r w:rsidRPr="001C3565">
        <w:rPr>
          <w:rFonts w:asciiTheme="majorHAnsi" w:eastAsia="Times New Roman" w:hAnsiTheme="majorHAnsi" w:cstheme="majorHAnsi"/>
          <w:sz w:val="22"/>
          <w:szCs w:val="22"/>
          <w:lang w:val="en-GB"/>
        </w:rPr>
        <w:tab/>
      </w:r>
      <w:proofErr w:type="gramStart"/>
      <w:r w:rsidR="000438CA" w:rsidRPr="007D6ACC">
        <w:rPr>
          <w:rFonts w:asciiTheme="majorHAnsi" w:hAnsiTheme="majorHAnsi" w:cstheme="majorHAnsi"/>
          <w:sz w:val="22"/>
          <w:szCs w:val="22"/>
        </w:rPr>
        <w:t>L</w:t>
      </w:r>
      <w:r w:rsidR="00A54ADB">
        <w:rPr>
          <w:rFonts w:asciiTheme="majorHAnsi" w:hAnsiTheme="majorHAnsi" w:cstheme="majorHAnsi"/>
          <w:sz w:val="22"/>
          <w:szCs w:val="22"/>
        </w:rPr>
        <w:t>[</w:t>
      </w:r>
      <w:proofErr w:type="gramEnd"/>
      <w:r w:rsidR="00A54ADB">
        <w:rPr>
          <w:rFonts w:asciiTheme="majorHAnsi" w:hAnsiTheme="majorHAnsi" w:cstheme="majorHAnsi"/>
          <w:sz w:val="22"/>
          <w:szCs w:val="22"/>
        </w:rPr>
        <w:t>…]</w:t>
      </w:r>
      <w:r w:rsidR="000438CA" w:rsidRPr="007D6ACC">
        <w:rPr>
          <w:rFonts w:asciiTheme="majorHAnsi" w:hAnsiTheme="majorHAnsi" w:cstheme="majorHAnsi"/>
          <w:sz w:val="22"/>
          <w:szCs w:val="22"/>
        </w:rPr>
        <w:t xml:space="preserve">Baranov-child; </w:t>
      </w:r>
    </w:p>
    <w:p w:rsidR="000F3643" w:rsidRPr="007D6ACC" w:rsidRDefault="007D6ACC" w:rsidP="007D6ACC">
      <w:pPr>
        <w:spacing w:line="360" w:lineRule="auto"/>
        <w:ind w:left="2523" w:right="798" w:firstLine="29"/>
        <w:jc w:val="both"/>
        <w:rPr>
          <w:rFonts w:asciiTheme="majorHAnsi" w:hAnsiTheme="majorHAnsi" w:cstheme="majorHAnsi"/>
          <w:sz w:val="22"/>
          <w:szCs w:val="22"/>
        </w:rPr>
      </w:pPr>
      <w:r w:rsidRPr="001C3565">
        <w:rPr>
          <w:rFonts w:asciiTheme="majorHAnsi" w:eastAsia="Times New Roman" w:hAnsiTheme="majorHAnsi" w:cstheme="majorHAnsi"/>
          <w:sz w:val="22"/>
          <w:szCs w:val="22"/>
          <w:lang w:val="en-GB"/>
        </w:rPr>
        <w:t>(c)</w:t>
      </w:r>
      <w:r w:rsidRPr="001C3565">
        <w:rPr>
          <w:rFonts w:asciiTheme="majorHAnsi" w:eastAsia="Times New Roman" w:hAnsiTheme="majorHAnsi" w:cstheme="majorHAnsi"/>
          <w:sz w:val="22"/>
          <w:szCs w:val="22"/>
          <w:lang w:val="en-GB"/>
        </w:rPr>
        <w:tab/>
      </w:r>
      <w:proofErr w:type="gramStart"/>
      <w:r w:rsidR="000F3643" w:rsidRPr="007D6ACC">
        <w:rPr>
          <w:rFonts w:asciiTheme="majorHAnsi" w:hAnsiTheme="majorHAnsi" w:cstheme="majorHAnsi"/>
          <w:sz w:val="22"/>
          <w:szCs w:val="22"/>
        </w:rPr>
        <w:t>F</w:t>
      </w:r>
      <w:r w:rsidR="00A54ADB">
        <w:rPr>
          <w:rFonts w:asciiTheme="majorHAnsi" w:hAnsiTheme="majorHAnsi" w:cstheme="majorHAnsi"/>
          <w:sz w:val="22"/>
          <w:szCs w:val="22"/>
        </w:rPr>
        <w:t>[</w:t>
      </w:r>
      <w:proofErr w:type="gramEnd"/>
      <w:r w:rsidR="00A54ADB">
        <w:rPr>
          <w:rFonts w:asciiTheme="majorHAnsi" w:hAnsiTheme="majorHAnsi" w:cstheme="majorHAnsi"/>
          <w:sz w:val="22"/>
          <w:szCs w:val="22"/>
        </w:rPr>
        <w:t>…]</w:t>
      </w:r>
      <w:r w:rsidR="000F3643" w:rsidRPr="007D6ACC">
        <w:rPr>
          <w:rFonts w:asciiTheme="majorHAnsi" w:hAnsiTheme="majorHAnsi" w:cstheme="majorHAnsi"/>
          <w:sz w:val="22"/>
          <w:szCs w:val="22"/>
        </w:rPr>
        <w:t xml:space="preserve"> Baranov- child; </w:t>
      </w:r>
    </w:p>
    <w:p w:rsidR="000F3643" w:rsidRPr="007D6ACC" w:rsidRDefault="007D6ACC" w:rsidP="007D6ACC">
      <w:pPr>
        <w:spacing w:line="360" w:lineRule="auto"/>
        <w:ind w:left="2523" w:right="798" w:firstLine="29"/>
        <w:jc w:val="both"/>
        <w:rPr>
          <w:rFonts w:asciiTheme="majorHAnsi" w:hAnsiTheme="majorHAnsi" w:cstheme="majorHAnsi"/>
          <w:sz w:val="22"/>
          <w:szCs w:val="22"/>
        </w:rPr>
      </w:pPr>
      <w:r w:rsidRPr="001C3565">
        <w:rPr>
          <w:rFonts w:asciiTheme="majorHAnsi" w:eastAsia="Times New Roman" w:hAnsiTheme="majorHAnsi" w:cstheme="majorHAnsi"/>
          <w:sz w:val="22"/>
          <w:szCs w:val="22"/>
          <w:lang w:val="en-GB"/>
        </w:rPr>
        <w:t>(d)</w:t>
      </w:r>
      <w:r w:rsidRPr="001C3565">
        <w:rPr>
          <w:rFonts w:asciiTheme="majorHAnsi" w:eastAsia="Times New Roman" w:hAnsiTheme="majorHAnsi" w:cstheme="majorHAnsi"/>
          <w:sz w:val="22"/>
          <w:szCs w:val="22"/>
          <w:lang w:val="en-GB"/>
        </w:rPr>
        <w:tab/>
      </w:r>
      <w:proofErr w:type="gramStart"/>
      <w:r w:rsidR="000F3643" w:rsidRPr="007D6ACC">
        <w:rPr>
          <w:rFonts w:asciiTheme="majorHAnsi" w:hAnsiTheme="majorHAnsi" w:cstheme="majorHAnsi"/>
          <w:sz w:val="22"/>
          <w:szCs w:val="22"/>
        </w:rPr>
        <w:t>A</w:t>
      </w:r>
      <w:r w:rsidR="00A54ADB">
        <w:rPr>
          <w:rFonts w:asciiTheme="majorHAnsi" w:hAnsiTheme="majorHAnsi" w:cstheme="majorHAnsi"/>
          <w:sz w:val="22"/>
          <w:szCs w:val="22"/>
        </w:rPr>
        <w:t>[</w:t>
      </w:r>
      <w:proofErr w:type="gramEnd"/>
      <w:r w:rsidR="00A54ADB">
        <w:rPr>
          <w:rFonts w:asciiTheme="majorHAnsi" w:hAnsiTheme="majorHAnsi" w:cstheme="majorHAnsi"/>
          <w:sz w:val="22"/>
          <w:szCs w:val="22"/>
        </w:rPr>
        <w:t>…]</w:t>
      </w:r>
      <w:r w:rsidR="000F3643" w:rsidRPr="007D6ACC">
        <w:rPr>
          <w:rFonts w:asciiTheme="majorHAnsi" w:hAnsiTheme="majorHAnsi" w:cstheme="majorHAnsi"/>
          <w:sz w:val="22"/>
          <w:szCs w:val="22"/>
        </w:rPr>
        <w:t xml:space="preserve"> Baranov-child;</w:t>
      </w:r>
    </w:p>
    <w:p w:rsidR="000F3643" w:rsidRPr="007D6ACC" w:rsidRDefault="007D6ACC" w:rsidP="007D6ACC">
      <w:pPr>
        <w:spacing w:line="360" w:lineRule="auto"/>
        <w:ind w:left="2523" w:right="798" w:firstLine="29"/>
        <w:jc w:val="both"/>
        <w:rPr>
          <w:rFonts w:asciiTheme="majorHAnsi" w:hAnsiTheme="majorHAnsi" w:cstheme="majorHAnsi"/>
          <w:sz w:val="22"/>
          <w:szCs w:val="22"/>
        </w:rPr>
      </w:pPr>
      <w:r w:rsidRPr="001C3565">
        <w:rPr>
          <w:rFonts w:asciiTheme="majorHAnsi" w:eastAsia="Times New Roman" w:hAnsiTheme="majorHAnsi" w:cstheme="majorHAnsi"/>
          <w:sz w:val="22"/>
          <w:szCs w:val="22"/>
          <w:lang w:val="en-GB"/>
        </w:rPr>
        <w:t>(e)</w:t>
      </w:r>
      <w:r w:rsidRPr="001C3565">
        <w:rPr>
          <w:rFonts w:asciiTheme="majorHAnsi" w:eastAsia="Times New Roman" w:hAnsiTheme="majorHAnsi" w:cstheme="majorHAnsi"/>
          <w:sz w:val="22"/>
          <w:szCs w:val="22"/>
          <w:lang w:val="en-GB"/>
        </w:rPr>
        <w:tab/>
      </w:r>
      <w:proofErr w:type="gramStart"/>
      <w:r w:rsidR="000F3643" w:rsidRPr="007D6ACC">
        <w:rPr>
          <w:rFonts w:asciiTheme="majorHAnsi" w:hAnsiTheme="majorHAnsi" w:cstheme="majorHAnsi"/>
          <w:sz w:val="22"/>
          <w:szCs w:val="22"/>
        </w:rPr>
        <w:t>S</w:t>
      </w:r>
      <w:r w:rsidR="00A54ADB">
        <w:rPr>
          <w:rFonts w:asciiTheme="majorHAnsi" w:hAnsiTheme="majorHAnsi" w:cstheme="majorHAnsi"/>
          <w:sz w:val="22"/>
          <w:szCs w:val="22"/>
        </w:rPr>
        <w:t>[</w:t>
      </w:r>
      <w:proofErr w:type="gramEnd"/>
      <w:r w:rsidR="00A54ADB">
        <w:rPr>
          <w:rFonts w:asciiTheme="majorHAnsi" w:hAnsiTheme="majorHAnsi" w:cstheme="majorHAnsi"/>
          <w:sz w:val="22"/>
          <w:szCs w:val="22"/>
        </w:rPr>
        <w:t>…]</w:t>
      </w:r>
      <w:r w:rsidR="000F3643" w:rsidRPr="007D6ACC">
        <w:rPr>
          <w:rFonts w:asciiTheme="majorHAnsi" w:hAnsiTheme="majorHAnsi" w:cstheme="majorHAnsi"/>
          <w:sz w:val="22"/>
          <w:szCs w:val="22"/>
        </w:rPr>
        <w:t xml:space="preserve"> Baranov— child</w:t>
      </w:r>
    </w:p>
    <w:p w:rsidR="000F3643" w:rsidRPr="001C3565" w:rsidRDefault="000F3643" w:rsidP="001C3565">
      <w:pPr>
        <w:pStyle w:val="ListParagraph"/>
        <w:spacing w:line="360" w:lineRule="auto"/>
        <w:ind w:left="2563" w:right="798"/>
        <w:jc w:val="both"/>
        <w:rPr>
          <w:rFonts w:asciiTheme="majorHAnsi" w:hAnsiTheme="majorHAnsi" w:cstheme="majorHAnsi"/>
          <w:sz w:val="22"/>
          <w:szCs w:val="22"/>
        </w:rPr>
      </w:pPr>
    </w:p>
    <w:p w:rsidR="000438CA" w:rsidRPr="007D6ACC" w:rsidRDefault="007D6ACC" w:rsidP="007D6ACC">
      <w:pPr>
        <w:spacing w:line="360" w:lineRule="auto"/>
        <w:ind w:left="2241" w:right="798" w:hanging="360"/>
        <w:jc w:val="both"/>
        <w:rPr>
          <w:rFonts w:asciiTheme="majorHAnsi" w:hAnsiTheme="majorHAnsi" w:cstheme="majorHAnsi"/>
          <w:sz w:val="22"/>
          <w:szCs w:val="22"/>
        </w:rPr>
      </w:pPr>
      <w:r w:rsidRPr="001C3565">
        <w:rPr>
          <w:rFonts w:asciiTheme="majorHAnsi" w:eastAsia="Times New Roman" w:hAnsiTheme="majorHAnsi" w:cstheme="majorHAnsi"/>
          <w:sz w:val="22"/>
          <w:szCs w:val="22"/>
          <w:lang w:val="en-GB"/>
        </w:rPr>
        <w:t>(b)</w:t>
      </w:r>
      <w:r w:rsidRPr="001C3565">
        <w:rPr>
          <w:rFonts w:asciiTheme="majorHAnsi" w:eastAsia="Times New Roman" w:hAnsiTheme="majorHAnsi" w:cstheme="majorHAnsi"/>
          <w:sz w:val="22"/>
          <w:szCs w:val="22"/>
          <w:lang w:val="en-GB"/>
        </w:rPr>
        <w:tab/>
      </w:r>
      <w:r w:rsidR="000438CA" w:rsidRPr="007D6ACC">
        <w:rPr>
          <w:rFonts w:asciiTheme="majorHAnsi" w:hAnsiTheme="majorHAnsi" w:cstheme="majorHAnsi"/>
          <w:sz w:val="22"/>
          <w:szCs w:val="22"/>
        </w:rPr>
        <w:t>Enlisting the help of another person to engage in harassment of the complainant (respondent) and/or above related persons; and/or</w:t>
      </w:r>
    </w:p>
    <w:p w:rsidR="000438CA" w:rsidRPr="007D6ACC" w:rsidRDefault="007D6ACC" w:rsidP="007D6ACC">
      <w:pPr>
        <w:spacing w:line="360" w:lineRule="auto"/>
        <w:ind w:left="2241" w:right="798" w:hanging="360"/>
        <w:jc w:val="both"/>
        <w:rPr>
          <w:rFonts w:asciiTheme="majorHAnsi" w:hAnsiTheme="majorHAnsi" w:cstheme="majorHAnsi"/>
          <w:sz w:val="22"/>
          <w:szCs w:val="22"/>
        </w:rPr>
      </w:pPr>
      <w:r w:rsidRPr="001C3565">
        <w:rPr>
          <w:rFonts w:asciiTheme="majorHAnsi" w:eastAsia="Times New Roman" w:hAnsiTheme="majorHAnsi" w:cstheme="majorHAnsi"/>
          <w:sz w:val="22"/>
          <w:szCs w:val="22"/>
          <w:lang w:val="en-GB"/>
        </w:rPr>
        <w:t>(c)</w:t>
      </w:r>
      <w:r w:rsidRPr="001C3565">
        <w:rPr>
          <w:rFonts w:asciiTheme="majorHAnsi" w:eastAsia="Times New Roman" w:hAnsiTheme="majorHAnsi" w:cstheme="majorHAnsi"/>
          <w:sz w:val="22"/>
          <w:szCs w:val="22"/>
          <w:lang w:val="en-GB"/>
        </w:rPr>
        <w:tab/>
      </w:r>
      <w:r w:rsidR="000438CA" w:rsidRPr="007D6ACC">
        <w:rPr>
          <w:rFonts w:asciiTheme="majorHAnsi" w:hAnsiTheme="majorHAnsi" w:cstheme="majorHAnsi"/>
          <w:sz w:val="22"/>
          <w:szCs w:val="22"/>
        </w:rPr>
        <w:t>Committing any of the following acts/s:</w:t>
      </w:r>
    </w:p>
    <w:p w:rsidR="000438CA" w:rsidRPr="007D6ACC" w:rsidRDefault="007D6ACC" w:rsidP="007D6ACC">
      <w:pPr>
        <w:spacing w:line="360" w:lineRule="auto"/>
        <w:ind w:left="2694" w:right="798" w:hanging="426"/>
        <w:jc w:val="both"/>
        <w:rPr>
          <w:rFonts w:asciiTheme="majorHAnsi" w:hAnsiTheme="majorHAnsi" w:cstheme="majorHAnsi"/>
          <w:sz w:val="22"/>
          <w:szCs w:val="22"/>
        </w:rPr>
      </w:pPr>
      <w:r>
        <w:rPr>
          <w:rFonts w:asciiTheme="majorHAnsi" w:eastAsia="Times New Roman" w:hAnsiTheme="majorHAnsi" w:cstheme="majorHAnsi"/>
          <w:sz w:val="22"/>
          <w:szCs w:val="22"/>
          <w:lang w:val="en-GB"/>
        </w:rPr>
        <w:t>(</w:t>
      </w:r>
      <w:proofErr w:type="spellStart"/>
      <w:r>
        <w:rPr>
          <w:rFonts w:asciiTheme="majorHAnsi" w:eastAsia="Times New Roman" w:hAnsiTheme="majorHAnsi" w:cstheme="majorHAnsi"/>
          <w:sz w:val="22"/>
          <w:szCs w:val="22"/>
          <w:lang w:val="en-GB"/>
        </w:rPr>
        <w:t>i</w:t>
      </w:r>
      <w:proofErr w:type="spellEnd"/>
      <w:r>
        <w:rPr>
          <w:rFonts w:asciiTheme="majorHAnsi" w:eastAsia="Times New Roman" w:hAnsiTheme="majorHAnsi" w:cstheme="majorHAnsi"/>
          <w:sz w:val="22"/>
          <w:szCs w:val="22"/>
          <w:lang w:val="en-GB"/>
        </w:rPr>
        <w:t>)</w:t>
      </w:r>
      <w:r>
        <w:rPr>
          <w:rFonts w:asciiTheme="majorHAnsi" w:eastAsia="Times New Roman" w:hAnsiTheme="majorHAnsi" w:cstheme="majorHAnsi"/>
          <w:sz w:val="22"/>
          <w:szCs w:val="22"/>
          <w:lang w:val="en-GB"/>
        </w:rPr>
        <w:tab/>
      </w:r>
      <w:r w:rsidR="000438CA" w:rsidRPr="007D6ACC">
        <w:rPr>
          <w:rFonts w:asciiTheme="majorHAnsi" w:hAnsiTheme="majorHAnsi" w:cstheme="majorHAnsi"/>
          <w:sz w:val="22"/>
          <w:szCs w:val="22"/>
        </w:rPr>
        <w:t xml:space="preserve">Not to assault, threaten and intimidate the complainant (respondent) and related persons in paragraph 3. </w:t>
      </w:r>
      <w:r w:rsidR="001C3565" w:rsidRPr="007D6ACC">
        <w:rPr>
          <w:rFonts w:asciiTheme="majorHAnsi" w:hAnsiTheme="majorHAnsi" w:cstheme="majorHAnsi"/>
          <w:sz w:val="22"/>
          <w:szCs w:val="22"/>
        </w:rPr>
        <w:t xml:space="preserve">1 </w:t>
      </w:r>
      <w:r w:rsidR="000438CA" w:rsidRPr="007D6ACC">
        <w:rPr>
          <w:rFonts w:asciiTheme="majorHAnsi" w:hAnsiTheme="majorHAnsi" w:cstheme="majorHAnsi"/>
          <w:sz w:val="22"/>
          <w:szCs w:val="22"/>
        </w:rPr>
        <w:t>(a)(ii);</w:t>
      </w:r>
    </w:p>
    <w:p w:rsidR="000438CA" w:rsidRPr="007D6ACC" w:rsidRDefault="007D6ACC" w:rsidP="007D6ACC">
      <w:pPr>
        <w:spacing w:line="360" w:lineRule="auto"/>
        <w:ind w:left="2694" w:right="798" w:hanging="426"/>
        <w:jc w:val="both"/>
        <w:rPr>
          <w:rFonts w:asciiTheme="majorHAnsi" w:hAnsiTheme="majorHAnsi" w:cstheme="majorHAnsi"/>
          <w:sz w:val="22"/>
          <w:szCs w:val="22"/>
        </w:rPr>
      </w:pPr>
      <w:r>
        <w:rPr>
          <w:rFonts w:asciiTheme="majorHAnsi" w:eastAsia="Times New Roman" w:hAnsiTheme="majorHAnsi" w:cstheme="majorHAnsi"/>
          <w:sz w:val="22"/>
          <w:szCs w:val="22"/>
          <w:lang w:val="en-GB"/>
        </w:rPr>
        <w:t>(ii)</w:t>
      </w:r>
      <w:r>
        <w:rPr>
          <w:rFonts w:asciiTheme="majorHAnsi" w:eastAsia="Times New Roman" w:hAnsiTheme="majorHAnsi" w:cstheme="majorHAnsi"/>
          <w:sz w:val="22"/>
          <w:szCs w:val="22"/>
          <w:lang w:val="en-GB"/>
        </w:rPr>
        <w:tab/>
      </w:r>
      <w:r w:rsidR="000438CA" w:rsidRPr="007D6ACC">
        <w:rPr>
          <w:rFonts w:asciiTheme="majorHAnsi" w:hAnsiTheme="majorHAnsi" w:cstheme="majorHAnsi"/>
          <w:sz w:val="22"/>
          <w:szCs w:val="22"/>
        </w:rPr>
        <w:t xml:space="preserve">Not to enter into the (respondent) complainant's residence at </w:t>
      </w:r>
      <w:proofErr w:type="gramStart"/>
      <w:r w:rsidR="000438CA" w:rsidRPr="007D6ACC">
        <w:rPr>
          <w:rFonts w:asciiTheme="majorHAnsi" w:hAnsiTheme="majorHAnsi" w:cstheme="majorHAnsi"/>
          <w:sz w:val="22"/>
          <w:szCs w:val="22"/>
        </w:rPr>
        <w:t>no.</w:t>
      </w:r>
      <w:r w:rsidR="00A54ADB">
        <w:rPr>
          <w:rFonts w:asciiTheme="majorHAnsi" w:hAnsiTheme="majorHAnsi" w:cstheme="majorHAnsi"/>
          <w:sz w:val="22"/>
          <w:szCs w:val="22"/>
        </w:rPr>
        <w:t>[</w:t>
      </w:r>
      <w:proofErr w:type="gramEnd"/>
      <w:r w:rsidR="00A54ADB">
        <w:rPr>
          <w:rFonts w:asciiTheme="majorHAnsi" w:hAnsiTheme="majorHAnsi" w:cstheme="majorHAnsi"/>
          <w:sz w:val="22"/>
          <w:szCs w:val="22"/>
        </w:rPr>
        <w:t>…]</w:t>
      </w:r>
      <w:r w:rsidR="000438CA" w:rsidRPr="007D6ACC">
        <w:rPr>
          <w:rFonts w:asciiTheme="majorHAnsi" w:hAnsiTheme="majorHAnsi" w:cstheme="majorHAnsi"/>
          <w:sz w:val="22"/>
          <w:szCs w:val="22"/>
        </w:rPr>
        <w:t xml:space="preserve"> Lane, D</w:t>
      </w:r>
      <w:r w:rsidR="00A54ADB">
        <w:rPr>
          <w:rFonts w:asciiTheme="majorHAnsi" w:hAnsiTheme="majorHAnsi" w:cstheme="majorHAnsi"/>
          <w:sz w:val="22"/>
          <w:szCs w:val="22"/>
        </w:rPr>
        <w:t>[…]</w:t>
      </w:r>
      <w:r w:rsidR="000438CA" w:rsidRPr="007D6ACC">
        <w:rPr>
          <w:rFonts w:asciiTheme="majorHAnsi" w:hAnsiTheme="majorHAnsi" w:cstheme="majorHAnsi"/>
          <w:sz w:val="22"/>
          <w:szCs w:val="22"/>
        </w:rPr>
        <w:t xml:space="preserve"> Estate, P</w:t>
      </w:r>
      <w:r w:rsidR="00A54ADB">
        <w:rPr>
          <w:rFonts w:asciiTheme="majorHAnsi" w:hAnsiTheme="majorHAnsi" w:cstheme="majorHAnsi"/>
          <w:sz w:val="22"/>
          <w:szCs w:val="22"/>
        </w:rPr>
        <w:t>[…]</w:t>
      </w:r>
      <w:r w:rsidR="000438CA" w:rsidRPr="007D6ACC">
        <w:rPr>
          <w:rFonts w:asciiTheme="majorHAnsi" w:hAnsiTheme="majorHAnsi" w:cstheme="majorHAnsi"/>
          <w:sz w:val="22"/>
          <w:szCs w:val="22"/>
        </w:rPr>
        <w:t>, Umhlanga;</w:t>
      </w:r>
    </w:p>
    <w:p w:rsidR="000438CA" w:rsidRPr="007D6ACC" w:rsidRDefault="007D6ACC" w:rsidP="007D6ACC">
      <w:pPr>
        <w:spacing w:line="360" w:lineRule="auto"/>
        <w:ind w:left="2694" w:right="798" w:hanging="426"/>
        <w:jc w:val="both"/>
        <w:rPr>
          <w:rFonts w:asciiTheme="majorHAnsi" w:hAnsiTheme="majorHAnsi" w:cstheme="majorHAnsi"/>
          <w:sz w:val="22"/>
          <w:szCs w:val="22"/>
        </w:rPr>
      </w:pPr>
      <w:r w:rsidRPr="00811EF0">
        <w:rPr>
          <w:rFonts w:asciiTheme="majorHAnsi" w:eastAsia="Times New Roman" w:hAnsiTheme="majorHAnsi" w:cstheme="majorHAnsi"/>
          <w:sz w:val="22"/>
          <w:szCs w:val="22"/>
          <w:lang w:val="en-GB"/>
        </w:rPr>
        <w:t>(iii)</w:t>
      </w:r>
      <w:r w:rsidRPr="00811EF0">
        <w:rPr>
          <w:rFonts w:asciiTheme="majorHAnsi" w:eastAsia="Times New Roman" w:hAnsiTheme="majorHAnsi" w:cstheme="majorHAnsi"/>
          <w:sz w:val="22"/>
          <w:szCs w:val="22"/>
          <w:lang w:val="en-GB"/>
        </w:rPr>
        <w:tab/>
      </w:r>
      <w:r w:rsidR="000438CA" w:rsidRPr="007D6ACC">
        <w:rPr>
          <w:rFonts w:asciiTheme="majorHAnsi" w:hAnsiTheme="majorHAnsi" w:cstheme="majorHAnsi"/>
          <w:sz w:val="22"/>
          <w:szCs w:val="22"/>
        </w:rPr>
        <w:t xml:space="preserve">Not to enter the </w:t>
      </w:r>
      <w:proofErr w:type="gramStart"/>
      <w:r w:rsidR="000438CA" w:rsidRPr="007D6ACC">
        <w:rPr>
          <w:rFonts w:asciiTheme="majorHAnsi" w:hAnsiTheme="majorHAnsi" w:cstheme="majorHAnsi"/>
          <w:sz w:val="22"/>
          <w:szCs w:val="22"/>
        </w:rPr>
        <w:t>D</w:t>
      </w:r>
      <w:r w:rsidR="00A54ADB">
        <w:rPr>
          <w:rFonts w:asciiTheme="majorHAnsi" w:hAnsiTheme="majorHAnsi" w:cstheme="majorHAnsi"/>
          <w:sz w:val="22"/>
          <w:szCs w:val="22"/>
        </w:rPr>
        <w:t>[</w:t>
      </w:r>
      <w:proofErr w:type="gramEnd"/>
      <w:r w:rsidR="00A54ADB">
        <w:rPr>
          <w:rFonts w:asciiTheme="majorHAnsi" w:hAnsiTheme="majorHAnsi" w:cstheme="majorHAnsi"/>
          <w:sz w:val="22"/>
          <w:szCs w:val="22"/>
        </w:rPr>
        <w:t>…]</w:t>
      </w:r>
      <w:bookmarkStart w:id="0" w:name="_GoBack"/>
      <w:bookmarkEnd w:id="0"/>
      <w:r w:rsidR="000438CA" w:rsidRPr="007D6ACC">
        <w:rPr>
          <w:rFonts w:asciiTheme="majorHAnsi" w:hAnsiTheme="majorHAnsi" w:cstheme="majorHAnsi"/>
          <w:sz w:val="22"/>
          <w:szCs w:val="22"/>
        </w:rPr>
        <w:t xml:space="preserve"> Estate, gated complex with the </w:t>
      </w:r>
      <w:r w:rsidR="001C3565" w:rsidRPr="007D6ACC">
        <w:rPr>
          <w:rFonts w:asciiTheme="majorHAnsi" w:hAnsiTheme="majorHAnsi" w:cstheme="majorHAnsi"/>
          <w:sz w:val="22"/>
          <w:szCs w:val="22"/>
        </w:rPr>
        <w:t>(</w:t>
      </w:r>
      <w:r w:rsidR="000438CA" w:rsidRPr="007D6ACC">
        <w:rPr>
          <w:rFonts w:asciiTheme="majorHAnsi" w:hAnsiTheme="majorHAnsi" w:cstheme="majorHAnsi"/>
          <w:sz w:val="22"/>
          <w:szCs w:val="22"/>
        </w:rPr>
        <w:t>appellant'</w:t>
      </w:r>
      <w:r w:rsidR="001C3565" w:rsidRPr="007D6ACC">
        <w:rPr>
          <w:rFonts w:asciiTheme="majorHAnsi" w:hAnsiTheme="majorHAnsi" w:cstheme="majorHAnsi"/>
          <w:sz w:val="22"/>
          <w:szCs w:val="22"/>
        </w:rPr>
        <w:t>)</w:t>
      </w:r>
      <w:r w:rsidR="000438CA" w:rsidRPr="007D6ACC">
        <w:rPr>
          <w:rFonts w:asciiTheme="majorHAnsi" w:hAnsiTheme="majorHAnsi" w:cstheme="majorHAnsi"/>
          <w:sz w:val="22"/>
          <w:szCs w:val="22"/>
        </w:rPr>
        <w:t xml:space="preserve">s </w:t>
      </w:r>
      <w:proofErr w:type="spellStart"/>
      <w:r w:rsidR="00794AE8" w:rsidRPr="007D6ACC">
        <w:rPr>
          <w:rFonts w:asciiTheme="majorHAnsi" w:hAnsiTheme="majorHAnsi" w:cstheme="majorHAnsi"/>
          <w:sz w:val="22"/>
          <w:szCs w:val="22"/>
        </w:rPr>
        <w:t>rottweiler</w:t>
      </w:r>
      <w:proofErr w:type="spellEnd"/>
      <w:r w:rsidR="000438CA" w:rsidRPr="007D6ACC">
        <w:rPr>
          <w:rFonts w:asciiTheme="majorHAnsi" w:hAnsiTheme="majorHAnsi" w:cstheme="majorHAnsi"/>
          <w:sz w:val="22"/>
          <w:szCs w:val="22"/>
        </w:rPr>
        <w:t xml:space="preserve"> or any other vicious dog</w:t>
      </w:r>
      <w:r w:rsidR="00824A6E" w:rsidRPr="007D6ACC">
        <w:rPr>
          <w:rFonts w:asciiTheme="majorHAnsi" w:hAnsiTheme="majorHAnsi" w:cstheme="majorHAnsi"/>
          <w:sz w:val="22"/>
          <w:szCs w:val="22"/>
        </w:rPr>
        <w:t>.</w:t>
      </w:r>
      <w:r w:rsidR="001C3565" w:rsidRPr="007D6ACC">
        <w:rPr>
          <w:rFonts w:asciiTheme="majorHAnsi" w:hAnsiTheme="majorHAnsi" w:cstheme="majorHAnsi"/>
          <w:sz w:val="22"/>
          <w:szCs w:val="22"/>
        </w:rPr>
        <w:t>’</w:t>
      </w:r>
    </w:p>
    <w:p w:rsidR="001C3565" w:rsidRDefault="001C3565" w:rsidP="001C3565">
      <w:pPr>
        <w:spacing w:line="360" w:lineRule="auto"/>
        <w:ind w:right="798"/>
        <w:jc w:val="both"/>
        <w:rPr>
          <w:rFonts w:asciiTheme="majorHAnsi" w:hAnsiTheme="majorHAnsi" w:cstheme="majorHAnsi"/>
          <w:i/>
          <w:iCs/>
          <w:sz w:val="22"/>
          <w:szCs w:val="22"/>
        </w:rPr>
      </w:pPr>
    </w:p>
    <w:p w:rsidR="00E06EA7" w:rsidRDefault="001C3565" w:rsidP="00811EF0">
      <w:pPr>
        <w:spacing w:line="360" w:lineRule="auto"/>
        <w:ind w:right="798"/>
        <w:jc w:val="both"/>
        <w:rPr>
          <w:rFonts w:asciiTheme="majorHAnsi" w:hAnsiTheme="majorHAnsi" w:cstheme="majorHAnsi"/>
        </w:rPr>
      </w:pPr>
      <w:r w:rsidRPr="001C3565">
        <w:rPr>
          <w:rFonts w:asciiTheme="majorHAnsi" w:hAnsiTheme="majorHAnsi" w:cstheme="majorHAnsi"/>
          <w:sz w:val="22"/>
          <w:szCs w:val="22"/>
        </w:rPr>
        <w:t>[16]</w:t>
      </w:r>
      <w:r>
        <w:rPr>
          <w:rFonts w:asciiTheme="majorHAnsi" w:hAnsiTheme="majorHAnsi" w:cstheme="majorHAnsi"/>
          <w:i/>
          <w:iCs/>
          <w:sz w:val="22"/>
          <w:szCs w:val="22"/>
        </w:rPr>
        <w:t xml:space="preserve"> </w:t>
      </w:r>
      <w:r>
        <w:rPr>
          <w:rFonts w:asciiTheme="majorHAnsi" w:hAnsiTheme="majorHAnsi" w:cstheme="majorHAnsi"/>
          <w:i/>
          <w:iCs/>
          <w:sz w:val="22"/>
          <w:szCs w:val="22"/>
        </w:rPr>
        <w:tab/>
      </w:r>
      <w:r w:rsidR="00E06EA7" w:rsidRPr="001C3565">
        <w:rPr>
          <w:rFonts w:asciiTheme="majorHAnsi" w:hAnsiTheme="majorHAnsi" w:cstheme="majorHAnsi"/>
        </w:rPr>
        <w:t>Between the grant of the interim order, and the return date, the appellant visited his brother on numerous occasions without incident.</w:t>
      </w:r>
      <w:r w:rsidR="00E06EA7" w:rsidRPr="00794AE8">
        <w:rPr>
          <w:rStyle w:val="FootnoteReference"/>
          <w:rFonts w:asciiTheme="majorHAnsi" w:hAnsiTheme="majorHAnsi" w:cstheme="majorHAnsi"/>
        </w:rPr>
        <w:footnoteReference w:id="8"/>
      </w:r>
      <w:r w:rsidR="00E06EA7" w:rsidRPr="001C3565">
        <w:rPr>
          <w:rFonts w:asciiTheme="majorHAnsi" w:hAnsiTheme="majorHAnsi" w:cstheme="majorHAnsi"/>
        </w:rPr>
        <w:t xml:space="preserve"> Having considered the affidavits, filed by both parties, and having heard limited oral evidence, the learned magistrate confirmed the interim order on the extended return date.</w:t>
      </w:r>
    </w:p>
    <w:p w:rsidR="00811EF0" w:rsidRPr="00811EF0" w:rsidRDefault="00811EF0" w:rsidP="00811EF0">
      <w:pPr>
        <w:spacing w:line="360" w:lineRule="auto"/>
        <w:ind w:right="798"/>
        <w:jc w:val="both"/>
        <w:rPr>
          <w:rFonts w:asciiTheme="majorHAnsi" w:hAnsiTheme="majorHAnsi" w:cstheme="majorHAnsi"/>
          <w:i/>
          <w:iCs/>
          <w:sz w:val="22"/>
          <w:szCs w:val="22"/>
        </w:rPr>
      </w:pPr>
    </w:p>
    <w:p w:rsidR="00E06EA7" w:rsidRPr="00794AE8" w:rsidRDefault="00E06EA7" w:rsidP="00794AE8">
      <w:pPr>
        <w:pStyle w:val="ListParagraph"/>
        <w:spacing w:after="240" w:line="360" w:lineRule="auto"/>
        <w:ind w:left="0"/>
        <w:contextualSpacing w:val="0"/>
        <w:jc w:val="both"/>
        <w:rPr>
          <w:rFonts w:asciiTheme="majorHAnsi" w:hAnsiTheme="majorHAnsi" w:cstheme="majorHAnsi"/>
          <w:b/>
          <w:bCs/>
        </w:rPr>
      </w:pPr>
      <w:r w:rsidRPr="00794AE8">
        <w:rPr>
          <w:rFonts w:asciiTheme="majorHAnsi" w:hAnsiTheme="majorHAnsi" w:cstheme="majorHAnsi"/>
          <w:b/>
          <w:bCs/>
        </w:rPr>
        <w:t xml:space="preserve">Analysis </w:t>
      </w:r>
    </w:p>
    <w:p w:rsidR="00E06EA7" w:rsidRDefault="00BB14A9" w:rsidP="00BB14A9">
      <w:pPr>
        <w:spacing w:after="240" w:line="360" w:lineRule="auto"/>
        <w:jc w:val="both"/>
        <w:rPr>
          <w:rFonts w:asciiTheme="majorHAnsi" w:hAnsiTheme="majorHAnsi" w:cstheme="majorHAnsi"/>
        </w:rPr>
      </w:pPr>
      <w:r>
        <w:rPr>
          <w:rFonts w:asciiTheme="majorHAnsi" w:hAnsiTheme="majorHAnsi" w:cstheme="majorHAnsi"/>
        </w:rPr>
        <w:t>[17]</w:t>
      </w:r>
      <w:r>
        <w:rPr>
          <w:rFonts w:asciiTheme="majorHAnsi" w:hAnsiTheme="majorHAnsi" w:cstheme="majorHAnsi"/>
        </w:rPr>
        <w:tab/>
      </w:r>
      <w:r w:rsidR="00E06EA7" w:rsidRPr="00BB14A9">
        <w:rPr>
          <w:rFonts w:asciiTheme="majorHAnsi" w:hAnsiTheme="majorHAnsi" w:cstheme="majorHAnsi"/>
        </w:rPr>
        <w:t xml:space="preserve">It will be apparent from the factual exposition above, that the respondent’s application for a protection order was based on the single incident of the verbal </w:t>
      </w:r>
      <w:r w:rsidR="00E06EA7" w:rsidRPr="00BB14A9">
        <w:rPr>
          <w:rFonts w:asciiTheme="majorHAnsi" w:hAnsiTheme="majorHAnsi" w:cstheme="majorHAnsi"/>
        </w:rPr>
        <w:lastRenderedPageBreak/>
        <w:t xml:space="preserve">exchange of 19 February 2022. That being so, by virtue of </w:t>
      </w:r>
      <w:proofErr w:type="spellStart"/>
      <w:r w:rsidR="00E06EA7" w:rsidRPr="00BB14A9">
        <w:rPr>
          <w:rFonts w:asciiTheme="majorHAnsi" w:hAnsiTheme="majorHAnsi" w:cstheme="majorHAnsi"/>
          <w:i/>
          <w:iCs/>
        </w:rPr>
        <w:t>Mnyandu</w:t>
      </w:r>
      <w:proofErr w:type="spellEnd"/>
      <w:r w:rsidR="00E06EA7" w:rsidRPr="00BB14A9">
        <w:rPr>
          <w:rFonts w:asciiTheme="majorHAnsi" w:hAnsiTheme="majorHAnsi" w:cstheme="majorHAnsi"/>
        </w:rPr>
        <w:t>,</w:t>
      </w:r>
      <w:r w:rsidR="00E06EA7" w:rsidRPr="00794AE8">
        <w:rPr>
          <w:rStyle w:val="FootnoteReference"/>
          <w:rFonts w:asciiTheme="majorHAnsi" w:hAnsiTheme="majorHAnsi" w:cstheme="majorHAnsi"/>
        </w:rPr>
        <w:footnoteReference w:id="9"/>
      </w:r>
      <w:r w:rsidR="00E06EA7" w:rsidRPr="00BB14A9">
        <w:rPr>
          <w:rFonts w:asciiTheme="majorHAnsi" w:hAnsiTheme="majorHAnsi" w:cstheme="majorHAnsi"/>
        </w:rPr>
        <w:t xml:space="preserve"> the learned magistrate had to be satisfied that, viewed objectively, the appellant’s conduct was of ‘such an overwhelming oppressive nature’ as to make it ‘oppressive and unreasonable, thereby tormenting or inculcating serious fear or distress’ in the respondent. It is not without significance that the court below does not reference this test at all. </w:t>
      </w:r>
    </w:p>
    <w:p w:rsidR="00E06EA7" w:rsidRDefault="00811EF0" w:rsidP="00811EF0">
      <w:pPr>
        <w:spacing w:after="240" w:line="360" w:lineRule="auto"/>
        <w:jc w:val="both"/>
        <w:rPr>
          <w:rFonts w:asciiTheme="majorHAnsi" w:hAnsiTheme="majorHAnsi" w:cstheme="majorHAnsi"/>
        </w:rPr>
      </w:pPr>
      <w:r>
        <w:rPr>
          <w:rFonts w:asciiTheme="majorHAnsi" w:hAnsiTheme="majorHAnsi" w:cstheme="majorHAnsi"/>
        </w:rPr>
        <w:t>[18]</w:t>
      </w:r>
      <w:r>
        <w:rPr>
          <w:rFonts w:asciiTheme="majorHAnsi" w:hAnsiTheme="majorHAnsi" w:cstheme="majorHAnsi"/>
        </w:rPr>
        <w:tab/>
      </w:r>
      <w:r w:rsidR="00E06EA7" w:rsidRPr="00811EF0">
        <w:rPr>
          <w:rFonts w:asciiTheme="majorHAnsi" w:hAnsiTheme="majorHAnsi" w:cstheme="majorHAnsi"/>
        </w:rPr>
        <w:t>The learned magistrate appears to have approached the application as if the dog bite incident was itself an act of harassment and the events of 19 February 2022 (which she mistakenly refers to as having occurred on 19 November 2021) as a ‘follow up incident’</w:t>
      </w:r>
      <w:r w:rsidR="00E06EA7" w:rsidRPr="00794AE8">
        <w:rPr>
          <w:rStyle w:val="FootnoteReference"/>
          <w:rFonts w:asciiTheme="majorHAnsi" w:hAnsiTheme="majorHAnsi" w:cstheme="majorHAnsi"/>
        </w:rPr>
        <w:footnoteReference w:id="10"/>
      </w:r>
      <w:r w:rsidR="00E06EA7" w:rsidRPr="00811EF0">
        <w:rPr>
          <w:rFonts w:asciiTheme="majorHAnsi" w:hAnsiTheme="majorHAnsi" w:cstheme="majorHAnsi"/>
        </w:rPr>
        <w:t xml:space="preserve"> and thus part of a pattern of behaviour. </w:t>
      </w:r>
    </w:p>
    <w:p w:rsidR="00E06EA7" w:rsidRDefault="00811EF0" w:rsidP="00811EF0">
      <w:pPr>
        <w:spacing w:after="240" w:line="360" w:lineRule="auto"/>
        <w:jc w:val="both"/>
        <w:rPr>
          <w:rFonts w:asciiTheme="majorHAnsi" w:hAnsiTheme="majorHAnsi" w:cstheme="majorHAnsi"/>
        </w:rPr>
      </w:pPr>
      <w:r>
        <w:rPr>
          <w:rFonts w:asciiTheme="majorHAnsi" w:hAnsiTheme="majorHAnsi" w:cstheme="majorHAnsi"/>
        </w:rPr>
        <w:t>[19]</w:t>
      </w:r>
      <w:r>
        <w:rPr>
          <w:rFonts w:asciiTheme="majorHAnsi" w:hAnsiTheme="majorHAnsi" w:cstheme="majorHAnsi"/>
        </w:rPr>
        <w:tab/>
      </w:r>
      <w:r w:rsidR="00E06EA7" w:rsidRPr="00811EF0">
        <w:rPr>
          <w:rFonts w:asciiTheme="majorHAnsi" w:hAnsiTheme="majorHAnsi" w:cstheme="majorHAnsi"/>
        </w:rPr>
        <w:t>The judgment is however not altogether clear on this score. It deals with a debate about whether the dog bite could be referred to and then finds that the incident was relevant as it ‘set the scene for the problem that ensued which resulted in the complainant approaching the court’</w:t>
      </w:r>
      <w:r w:rsidR="00E06EA7" w:rsidRPr="00794AE8">
        <w:rPr>
          <w:rStyle w:val="FootnoteReference"/>
          <w:rFonts w:asciiTheme="majorHAnsi" w:hAnsiTheme="majorHAnsi" w:cstheme="majorHAnsi"/>
        </w:rPr>
        <w:footnoteReference w:id="11"/>
      </w:r>
      <w:r w:rsidR="00E06EA7" w:rsidRPr="00811EF0">
        <w:rPr>
          <w:rFonts w:asciiTheme="majorHAnsi" w:hAnsiTheme="majorHAnsi" w:cstheme="majorHAnsi"/>
        </w:rPr>
        <w:t xml:space="preserve"> which is suggestive of the events of 1 November 2021 being of contextual relevance only. </w:t>
      </w:r>
      <w:proofErr w:type="gramStart"/>
      <w:r w:rsidR="00E06EA7" w:rsidRPr="00811EF0">
        <w:rPr>
          <w:rFonts w:asciiTheme="majorHAnsi" w:hAnsiTheme="majorHAnsi" w:cstheme="majorHAnsi"/>
        </w:rPr>
        <w:t>The  court</w:t>
      </w:r>
      <w:proofErr w:type="gramEnd"/>
      <w:r w:rsidR="00E06EA7" w:rsidRPr="00811EF0">
        <w:rPr>
          <w:rFonts w:asciiTheme="majorHAnsi" w:hAnsiTheme="majorHAnsi" w:cstheme="majorHAnsi"/>
        </w:rPr>
        <w:t xml:space="preserve"> below also however referred to those events as the catalyst for the incident in February, the following year, which suggests a causal link and the perception of a pattern of conduct.</w:t>
      </w:r>
    </w:p>
    <w:p w:rsidR="00E06EA7" w:rsidRPr="00811EF0" w:rsidRDefault="00811EF0" w:rsidP="00811EF0">
      <w:pPr>
        <w:spacing w:after="240" w:line="360" w:lineRule="auto"/>
        <w:jc w:val="both"/>
        <w:rPr>
          <w:rFonts w:asciiTheme="majorHAnsi" w:hAnsiTheme="majorHAnsi" w:cstheme="majorHAnsi"/>
        </w:rPr>
      </w:pPr>
      <w:r>
        <w:rPr>
          <w:rFonts w:asciiTheme="majorHAnsi" w:hAnsiTheme="majorHAnsi" w:cstheme="majorHAnsi"/>
        </w:rPr>
        <w:t>[20]</w:t>
      </w:r>
      <w:r>
        <w:rPr>
          <w:rFonts w:asciiTheme="majorHAnsi" w:hAnsiTheme="majorHAnsi" w:cstheme="majorHAnsi"/>
        </w:rPr>
        <w:tab/>
      </w:r>
      <w:r w:rsidR="00E06EA7" w:rsidRPr="00811EF0">
        <w:rPr>
          <w:rFonts w:asciiTheme="majorHAnsi" w:hAnsiTheme="majorHAnsi" w:cstheme="majorHAnsi"/>
        </w:rPr>
        <w:t>Despite the unfortunate lack of clarity in the judgment itself, there are two matters that indicate the court below approached this as a ‘pattern of conduct’ type of case. The first is that the court found that the respondent and his family had been physically and emotionally traumatised by the events of 1 November 2021.</w:t>
      </w:r>
      <w:r w:rsidR="00E06EA7" w:rsidRPr="00794AE8">
        <w:rPr>
          <w:rStyle w:val="FootnoteReference"/>
          <w:rFonts w:asciiTheme="majorHAnsi" w:hAnsiTheme="majorHAnsi" w:cstheme="majorHAnsi"/>
        </w:rPr>
        <w:footnoteReference w:id="12"/>
      </w:r>
      <w:r w:rsidR="00E06EA7" w:rsidRPr="00811EF0">
        <w:rPr>
          <w:rFonts w:asciiTheme="majorHAnsi" w:hAnsiTheme="majorHAnsi" w:cstheme="majorHAnsi"/>
        </w:rPr>
        <w:t xml:space="preserve"> That finding is tantamount to a finding that the dog bite incident constituted harassment, given the definition of that term in the Act. Second, that is the only reading of the judgment which c</w:t>
      </w:r>
      <w:r w:rsidR="00BB14A9" w:rsidRPr="00811EF0">
        <w:rPr>
          <w:rFonts w:asciiTheme="majorHAnsi" w:hAnsiTheme="majorHAnsi" w:cstheme="majorHAnsi"/>
        </w:rPr>
        <w:t>an</w:t>
      </w:r>
      <w:r w:rsidR="00E06EA7" w:rsidRPr="00811EF0">
        <w:rPr>
          <w:rFonts w:asciiTheme="majorHAnsi" w:hAnsiTheme="majorHAnsi" w:cstheme="majorHAnsi"/>
        </w:rPr>
        <w:t xml:space="preserve"> explain the fact that the learned magistrate confirmed the interim protection order, which prohibited the appellant not only from engaging in conduct in relation to the respondent and his son who was present with him on 19 February 2022, but from conduct in relation to the respondent’s wife and his other three children who were not present. These parties were said by the respondent to have been affected and badly traumatised by the dog bite incident</w:t>
      </w:r>
      <w:r w:rsidR="00BB14A9" w:rsidRPr="00811EF0">
        <w:rPr>
          <w:rFonts w:asciiTheme="majorHAnsi" w:hAnsiTheme="majorHAnsi" w:cstheme="majorHAnsi"/>
        </w:rPr>
        <w:t xml:space="preserve"> (although his wife was not present), </w:t>
      </w:r>
      <w:r w:rsidR="00E06EA7" w:rsidRPr="00811EF0">
        <w:rPr>
          <w:rFonts w:asciiTheme="majorHAnsi" w:hAnsiTheme="majorHAnsi" w:cstheme="majorHAnsi"/>
        </w:rPr>
        <w:t xml:space="preserve">not </w:t>
      </w:r>
      <w:r w:rsidR="00E06EA7" w:rsidRPr="00811EF0">
        <w:rPr>
          <w:rFonts w:asciiTheme="majorHAnsi" w:hAnsiTheme="majorHAnsi" w:cstheme="majorHAnsi"/>
        </w:rPr>
        <w:lastRenderedPageBreak/>
        <w:t>the events of February 2022. There was simply no basis upon which the events of 19 February 2022 could</w:t>
      </w:r>
      <w:r w:rsidR="00BB14A9" w:rsidRPr="00811EF0">
        <w:rPr>
          <w:rFonts w:asciiTheme="majorHAnsi" w:hAnsiTheme="majorHAnsi" w:cstheme="majorHAnsi"/>
        </w:rPr>
        <w:t xml:space="preserve"> have gr</w:t>
      </w:r>
      <w:r w:rsidR="00E06EA7" w:rsidRPr="00811EF0">
        <w:rPr>
          <w:rFonts w:asciiTheme="majorHAnsi" w:hAnsiTheme="majorHAnsi" w:cstheme="majorHAnsi"/>
        </w:rPr>
        <w:t>ound</w:t>
      </w:r>
      <w:r w:rsidR="00BB14A9" w:rsidRPr="00811EF0">
        <w:rPr>
          <w:rFonts w:asciiTheme="majorHAnsi" w:hAnsiTheme="majorHAnsi" w:cstheme="majorHAnsi"/>
        </w:rPr>
        <w:t>ed</w:t>
      </w:r>
      <w:r w:rsidR="00E06EA7" w:rsidRPr="00811EF0">
        <w:rPr>
          <w:rFonts w:asciiTheme="majorHAnsi" w:hAnsiTheme="majorHAnsi" w:cstheme="majorHAnsi"/>
        </w:rPr>
        <w:t xml:space="preserve"> the relief the court granted. </w:t>
      </w:r>
    </w:p>
    <w:p w:rsidR="00E06EA7" w:rsidRPr="00811EF0" w:rsidRDefault="00811EF0" w:rsidP="00811EF0">
      <w:pPr>
        <w:spacing w:after="240" w:line="360" w:lineRule="auto"/>
        <w:jc w:val="both"/>
        <w:rPr>
          <w:rFonts w:asciiTheme="majorHAnsi" w:hAnsiTheme="majorHAnsi" w:cstheme="majorHAnsi"/>
        </w:rPr>
      </w:pPr>
      <w:r>
        <w:rPr>
          <w:rFonts w:asciiTheme="majorHAnsi" w:hAnsiTheme="majorHAnsi" w:cstheme="majorHAnsi"/>
        </w:rPr>
        <w:t>[21]</w:t>
      </w:r>
      <w:r>
        <w:rPr>
          <w:rFonts w:asciiTheme="majorHAnsi" w:hAnsiTheme="majorHAnsi" w:cstheme="majorHAnsi"/>
        </w:rPr>
        <w:tab/>
      </w:r>
      <w:r w:rsidR="00E06EA7" w:rsidRPr="00811EF0">
        <w:rPr>
          <w:rFonts w:asciiTheme="majorHAnsi" w:hAnsiTheme="majorHAnsi" w:cstheme="majorHAnsi"/>
        </w:rPr>
        <w:t>To the extent the learned magistrate found that the respondent’s conduct on 1 November 2021 amounted to harassment, that was a misdirection. There is nothing, even on the respondent’s version of the events surrounding the dog bite incident, to suggest that the appellant was in anyway engaging in con</w:t>
      </w:r>
      <w:r w:rsidR="00BB14A9" w:rsidRPr="00811EF0">
        <w:rPr>
          <w:rFonts w:asciiTheme="majorHAnsi" w:hAnsiTheme="majorHAnsi" w:cstheme="majorHAnsi"/>
        </w:rPr>
        <w:t>duct which he k</w:t>
      </w:r>
      <w:r w:rsidR="00E06EA7" w:rsidRPr="00811EF0">
        <w:rPr>
          <w:rFonts w:asciiTheme="majorHAnsi" w:hAnsiTheme="majorHAnsi" w:cstheme="majorHAnsi"/>
        </w:rPr>
        <w:t xml:space="preserve">new </w:t>
      </w:r>
      <w:r w:rsidR="00BB14A9" w:rsidRPr="00811EF0">
        <w:rPr>
          <w:rFonts w:asciiTheme="majorHAnsi" w:hAnsiTheme="majorHAnsi" w:cstheme="majorHAnsi"/>
        </w:rPr>
        <w:t xml:space="preserve">or </w:t>
      </w:r>
      <w:r w:rsidR="00E06EA7" w:rsidRPr="00811EF0">
        <w:rPr>
          <w:rFonts w:asciiTheme="majorHAnsi" w:hAnsiTheme="majorHAnsi" w:cstheme="majorHAnsi"/>
        </w:rPr>
        <w:t>ought to know would cause harm to the respondent in the sense envisaged in the Act.</w:t>
      </w:r>
    </w:p>
    <w:p w:rsidR="00E06EA7" w:rsidRDefault="00811EF0" w:rsidP="00811EF0">
      <w:pPr>
        <w:spacing w:after="240" w:line="360" w:lineRule="auto"/>
        <w:jc w:val="both"/>
        <w:rPr>
          <w:rFonts w:asciiTheme="majorHAnsi" w:hAnsiTheme="majorHAnsi" w:cstheme="majorHAnsi"/>
        </w:rPr>
      </w:pPr>
      <w:r>
        <w:rPr>
          <w:rFonts w:asciiTheme="majorHAnsi" w:hAnsiTheme="majorHAnsi" w:cstheme="majorHAnsi"/>
        </w:rPr>
        <w:t>[22]</w:t>
      </w:r>
      <w:r>
        <w:rPr>
          <w:rFonts w:asciiTheme="majorHAnsi" w:hAnsiTheme="majorHAnsi" w:cstheme="majorHAnsi"/>
        </w:rPr>
        <w:tab/>
      </w:r>
      <w:r w:rsidR="00E06EA7" w:rsidRPr="00811EF0">
        <w:rPr>
          <w:rFonts w:asciiTheme="majorHAnsi" w:hAnsiTheme="majorHAnsi" w:cstheme="majorHAnsi"/>
        </w:rPr>
        <w:t>Even if the extensive analysis of the events of the dog bite incident and its effect on the respondent and his family were regarded by the court below only as relevant to the context in which the verbal exchange of 19 February 2022 must be evaluated, the finding of the court below that the appellant’s conduct on 19 February 2022 was harassment and intimidation</w:t>
      </w:r>
      <w:r>
        <w:rPr>
          <w:rFonts w:asciiTheme="majorHAnsi" w:hAnsiTheme="majorHAnsi" w:cstheme="majorHAnsi"/>
        </w:rPr>
        <w:t>,</w:t>
      </w:r>
      <w:r w:rsidR="00E06EA7" w:rsidRPr="00794AE8">
        <w:rPr>
          <w:rStyle w:val="FootnoteReference"/>
          <w:rFonts w:asciiTheme="majorHAnsi" w:hAnsiTheme="majorHAnsi" w:cstheme="majorHAnsi"/>
        </w:rPr>
        <w:footnoteReference w:id="13"/>
      </w:r>
      <w:r w:rsidR="00E06EA7" w:rsidRPr="00811EF0">
        <w:rPr>
          <w:rFonts w:asciiTheme="majorHAnsi" w:hAnsiTheme="majorHAnsi" w:cstheme="majorHAnsi"/>
        </w:rPr>
        <w:t xml:space="preserve"> cannot stand. </w:t>
      </w:r>
    </w:p>
    <w:p w:rsidR="00E06EA7" w:rsidRDefault="00811EF0" w:rsidP="00811EF0">
      <w:pPr>
        <w:spacing w:after="240" w:line="360" w:lineRule="auto"/>
        <w:jc w:val="both"/>
        <w:rPr>
          <w:rFonts w:asciiTheme="majorHAnsi" w:hAnsiTheme="majorHAnsi" w:cstheme="majorHAnsi"/>
        </w:rPr>
      </w:pPr>
      <w:r>
        <w:rPr>
          <w:rFonts w:asciiTheme="majorHAnsi" w:hAnsiTheme="majorHAnsi" w:cstheme="majorHAnsi"/>
        </w:rPr>
        <w:t>[23]</w:t>
      </w:r>
      <w:r>
        <w:rPr>
          <w:rFonts w:asciiTheme="majorHAnsi" w:hAnsiTheme="majorHAnsi" w:cstheme="majorHAnsi"/>
        </w:rPr>
        <w:tab/>
      </w:r>
      <w:r w:rsidR="00E06EA7" w:rsidRPr="00811EF0">
        <w:rPr>
          <w:rFonts w:asciiTheme="majorHAnsi" w:hAnsiTheme="majorHAnsi" w:cstheme="majorHAnsi"/>
        </w:rPr>
        <w:t xml:space="preserve">The court below took issue with the fact that the appellant addressed the respondent </w:t>
      </w:r>
      <w:r w:rsidR="00BB14A9" w:rsidRPr="00811EF0">
        <w:rPr>
          <w:rFonts w:asciiTheme="majorHAnsi" w:hAnsiTheme="majorHAnsi" w:cstheme="majorHAnsi"/>
        </w:rPr>
        <w:t>a</w:t>
      </w:r>
      <w:r w:rsidR="00E06EA7" w:rsidRPr="00811EF0">
        <w:rPr>
          <w:rFonts w:asciiTheme="majorHAnsi" w:hAnsiTheme="majorHAnsi" w:cstheme="majorHAnsi"/>
        </w:rPr>
        <w:t xml:space="preserve">s </w:t>
      </w:r>
      <w:r w:rsidR="00BB14A9" w:rsidRPr="00811EF0">
        <w:rPr>
          <w:rFonts w:asciiTheme="majorHAnsi" w:hAnsiTheme="majorHAnsi" w:cstheme="majorHAnsi"/>
        </w:rPr>
        <w:t>‘</w:t>
      </w:r>
      <w:r w:rsidR="00E06EA7" w:rsidRPr="00811EF0">
        <w:rPr>
          <w:rFonts w:asciiTheme="majorHAnsi" w:hAnsiTheme="majorHAnsi" w:cstheme="majorHAnsi"/>
        </w:rPr>
        <w:t>big boy</w:t>
      </w:r>
      <w:r w:rsidR="00BB14A9" w:rsidRPr="00811EF0">
        <w:rPr>
          <w:rFonts w:asciiTheme="majorHAnsi" w:hAnsiTheme="majorHAnsi" w:cstheme="majorHAnsi"/>
        </w:rPr>
        <w:t>’</w:t>
      </w:r>
      <w:r w:rsidR="00E06EA7" w:rsidRPr="00811EF0">
        <w:rPr>
          <w:rFonts w:asciiTheme="majorHAnsi" w:hAnsiTheme="majorHAnsi" w:cstheme="majorHAnsi"/>
        </w:rPr>
        <w:t>, which the learned magistrate found was very undesirable, did not create a good impression and amounted to a confrontational approach.</w:t>
      </w:r>
      <w:r w:rsidR="00E06EA7" w:rsidRPr="00794AE8">
        <w:rPr>
          <w:rStyle w:val="FootnoteReference"/>
          <w:rFonts w:asciiTheme="majorHAnsi" w:hAnsiTheme="majorHAnsi" w:cstheme="majorHAnsi"/>
        </w:rPr>
        <w:footnoteReference w:id="14"/>
      </w:r>
      <w:r w:rsidR="00E06EA7" w:rsidRPr="00811EF0">
        <w:rPr>
          <w:rFonts w:asciiTheme="majorHAnsi" w:hAnsiTheme="majorHAnsi" w:cstheme="majorHAnsi"/>
        </w:rPr>
        <w:t xml:space="preserve"> The learned magistrate did not however find that the utterance of those words was harassment, and was undoubtedly correct on that score. </w:t>
      </w:r>
    </w:p>
    <w:p w:rsidR="00E06EA7" w:rsidRDefault="00811EF0" w:rsidP="00811EF0">
      <w:pPr>
        <w:spacing w:after="240" w:line="360" w:lineRule="auto"/>
        <w:jc w:val="both"/>
        <w:rPr>
          <w:rFonts w:asciiTheme="majorHAnsi" w:hAnsiTheme="majorHAnsi" w:cstheme="majorHAnsi"/>
        </w:rPr>
      </w:pPr>
      <w:r>
        <w:rPr>
          <w:rFonts w:asciiTheme="majorHAnsi" w:hAnsiTheme="majorHAnsi" w:cstheme="majorHAnsi"/>
        </w:rPr>
        <w:t>[24]</w:t>
      </w:r>
      <w:r>
        <w:rPr>
          <w:rFonts w:asciiTheme="majorHAnsi" w:hAnsiTheme="majorHAnsi" w:cstheme="majorHAnsi"/>
        </w:rPr>
        <w:tab/>
      </w:r>
      <w:r w:rsidR="00E06EA7" w:rsidRPr="00811EF0">
        <w:rPr>
          <w:rFonts w:asciiTheme="majorHAnsi" w:hAnsiTheme="majorHAnsi" w:cstheme="majorHAnsi"/>
        </w:rPr>
        <w:t>The finding of the court below that the appellant’s conduct on 19 February 2022 was harassment, was based on its assessment that the appellant telling the respondent that karma was going to get him and that ‘karma is a bitch’ amounted to the appellant ‘placing some kind of curse’ on the respondent.</w:t>
      </w:r>
      <w:r w:rsidR="00E06EA7" w:rsidRPr="00794AE8">
        <w:rPr>
          <w:rStyle w:val="FootnoteReference"/>
          <w:rFonts w:asciiTheme="majorHAnsi" w:hAnsiTheme="majorHAnsi" w:cstheme="majorHAnsi"/>
        </w:rPr>
        <w:footnoteReference w:id="15"/>
      </w:r>
      <w:r w:rsidR="00E06EA7" w:rsidRPr="00811EF0">
        <w:rPr>
          <w:rFonts w:asciiTheme="majorHAnsi" w:hAnsiTheme="majorHAnsi" w:cstheme="majorHAnsi"/>
        </w:rPr>
        <w:t xml:space="preserve"> The court below found that the utterance of these words ‘obviously had the effect of causing trauma to the complainant’ and would have the same effect on any reasonable person</w:t>
      </w:r>
      <w:r>
        <w:rPr>
          <w:rFonts w:asciiTheme="majorHAnsi" w:hAnsiTheme="majorHAnsi" w:cstheme="majorHAnsi"/>
        </w:rPr>
        <w:t>.</w:t>
      </w:r>
    </w:p>
    <w:p w:rsidR="00811EF0" w:rsidRPr="000B3D4E" w:rsidRDefault="00811EF0" w:rsidP="00811EF0">
      <w:pPr>
        <w:spacing w:after="240" w:line="360" w:lineRule="auto"/>
        <w:jc w:val="both"/>
        <w:rPr>
          <w:rFonts w:asciiTheme="majorHAnsi" w:hAnsiTheme="majorHAnsi" w:cstheme="majorHAnsi"/>
          <w:color w:val="000000"/>
          <w:shd w:val="clear" w:color="auto" w:fill="FFFFFF"/>
        </w:rPr>
      </w:pPr>
      <w:r>
        <w:rPr>
          <w:rFonts w:asciiTheme="majorHAnsi" w:hAnsiTheme="majorHAnsi" w:cstheme="majorHAnsi"/>
        </w:rPr>
        <w:t>[25]</w:t>
      </w:r>
      <w:r>
        <w:rPr>
          <w:rFonts w:asciiTheme="majorHAnsi" w:hAnsiTheme="majorHAnsi" w:cstheme="majorHAnsi"/>
        </w:rPr>
        <w:tab/>
      </w:r>
      <w:r w:rsidR="00E06EA7" w:rsidRPr="00811EF0">
        <w:rPr>
          <w:rFonts w:asciiTheme="majorHAnsi" w:hAnsiTheme="majorHAnsi" w:cstheme="majorHAnsi"/>
        </w:rPr>
        <w:t xml:space="preserve">In my view this finding constitutes a misdirection both on the law and the facts. Colloquially, karma is the concept that one’s own actions influence what happen to one in the future. Bad deeds beget bad luck if you will. The very nature of karma is therefore that a person determines their own luck. The construction of the court below of the statement that ‘karma will get you’ as a curse, is linguistically incompatible with </w:t>
      </w:r>
      <w:r w:rsidR="00E06EA7" w:rsidRPr="00811EF0">
        <w:rPr>
          <w:rFonts w:asciiTheme="majorHAnsi" w:hAnsiTheme="majorHAnsi" w:cstheme="majorHAnsi"/>
        </w:rPr>
        <w:lastRenderedPageBreak/>
        <w:t>this concept</w:t>
      </w:r>
      <w:r w:rsidRPr="00811EF0">
        <w:rPr>
          <w:rFonts w:asciiTheme="majorHAnsi" w:hAnsiTheme="majorHAnsi" w:cstheme="majorHAnsi"/>
        </w:rPr>
        <w:t xml:space="preserve"> and in any event doesn’t amount to the appellant intending to cause harm</w:t>
      </w:r>
      <w:r w:rsidR="00E06EA7" w:rsidRPr="00811EF0">
        <w:rPr>
          <w:rFonts w:asciiTheme="majorHAnsi" w:hAnsiTheme="majorHAnsi" w:cstheme="majorHAnsi"/>
        </w:rPr>
        <w:t xml:space="preserve">. In addition, in my view the statements cannot objectively be regarded as being of such an overwhelmingly oppressive nature that their utterance on a single occasion would be such as to torment and distress the respondent to the degree required for that verbal communication to constitute harassment. </w:t>
      </w:r>
      <w:r>
        <w:rPr>
          <w:rFonts w:asciiTheme="majorHAnsi" w:hAnsiTheme="majorHAnsi" w:cstheme="majorHAnsi"/>
        </w:rPr>
        <w:t xml:space="preserve">To echo the words of the court in </w:t>
      </w:r>
      <w:proofErr w:type="spellStart"/>
      <w:r>
        <w:rPr>
          <w:rFonts w:asciiTheme="majorHAnsi" w:hAnsiTheme="majorHAnsi" w:cstheme="majorHAnsi"/>
        </w:rPr>
        <w:t>Mnyandu</w:t>
      </w:r>
      <w:proofErr w:type="spellEnd"/>
      <w:r>
        <w:rPr>
          <w:rFonts w:asciiTheme="majorHAnsi" w:hAnsiTheme="majorHAnsi" w:cstheme="majorHAnsi"/>
        </w:rPr>
        <w:t xml:space="preserve">, the appellant’s utterances were unfortunate </w:t>
      </w:r>
      <w:r w:rsidRPr="000B3D4E">
        <w:rPr>
          <w:rFonts w:asciiTheme="majorHAnsi" w:hAnsiTheme="majorHAnsi" w:cstheme="majorHAnsi"/>
          <w:color w:val="000000"/>
          <w:shd w:val="clear" w:color="auto" w:fill="FFFFFF"/>
        </w:rPr>
        <w:t>but I am not persuaded that h</w:t>
      </w:r>
      <w:r w:rsidR="000B3D4E" w:rsidRPr="000B3D4E">
        <w:rPr>
          <w:rFonts w:asciiTheme="majorHAnsi" w:hAnsiTheme="majorHAnsi" w:cstheme="majorHAnsi"/>
          <w:color w:val="000000"/>
          <w:shd w:val="clear" w:color="auto" w:fill="FFFFFF"/>
        </w:rPr>
        <w:t>is</w:t>
      </w:r>
      <w:r w:rsidRPr="000B3D4E">
        <w:rPr>
          <w:rFonts w:asciiTheme="majorHAnsi" w:hAnsiTheme="majorHAnsi" w:cstheme="majorHAnsi"/>
          <w:color w:val="000000"/>
          <w:shd w:val="clear" w:color="auto" w:fill="FFFFFF"/>
        </w:rPr>
        <w:t xml:space="preserve"> conduct was objectively oppressive or had the gravity to constitute harassment.</w:t>
      </w:r>
    </w:p>
    <w:p w:rsidR="00E06EA7" w:rsidRDefault="00811EF0" w:rsidP="00811EF0">
      <w:pPr>
        <w:spacing w:after="240" w:line="360" w:lineRule="auto"/>
        <w:jc w:val="both"/>
        <w:rPr>
          <w:rFonts w:asciiTheme="majorHAnsi" w:hAnsiTheme="majorHAnsi" w:cstheme="majorHAnsi"/>
        </w:rPr>
      </w:pPr>
      <w:r>
        <w:rPr>
          <w:rFonts w:asciiTheme="majorHAnsi" w:hAnsiTheme="majorHAnsi" w:cstheme="majorHAnsi"/>
        </w:rPr>
        <w:t>[26]</w:t>
      </w:r>
      <w:r>
        <w:rPr>
          <w:rFonts w:asciiTheme="majorHAnsi" w:hAnsiTheme="majorHAnsi" w:cstheme="majorHAnsi"/>
        </w:rPr>
        <w:tab/>
      </w:r>
      <w:r w:rsidR="00E06EA7" w:rsidRPr="00811EF0">
        <w:rPr>
          <w:rFonts w:asciiTheme="majorHAnsi" w:hAnsiTheme="majorHAnsi" w:cstheme="majorHAnsi"/>
        </w:rPr>
        <w:t xml:space="preserve">It follows that the court below erred when it confirmed the interim protection order and the appeal must succeed. </w:t>
      </w:r>
    </w:p>
    <w:p w:rsidR="00E06EA7" w:rsidRDefault="00811EF0" w:rsidP="00811EF0">
      <w:pPr>
        <w:spacing w:after="240" w:line="360" w:lineRule="auto"/>
        <w:jc w:val="both"/>
        <w:rPr>
          <w:rFonts w:asciiTheme="majorHAnsi" w:hAnsiTheme="majorHAnsi" w:cstheme="majorHAnsi"/>
        </w:rPr>
      </w:pPr>
      <w:r>
        <w:rPr>
          <w:rFonts w:asciiTheme="majorHAnsi" w:hAnsiTheme="majorHAnsi" w:cstheme="majorHAnsi"/>
        </w:rPr>
        <w:t>[27]</w:t>
      </w:r>
      <w:r>
        <w:rPr>
          <w:rFonts w:asciiTheme="majorHAnsi" w:hAnsiTheme="majorHAnsi" w:cstheme="majorHAnsi"/>
        </w:rPr>
        <w:tab/>
      </w:r>
      <w:r w:rsidR="00E06EA7" w:rsidRPr="00811EF0">
        <w:rPr>
          <w:rFonts w:asciiTheme="majorHAnsi" w:hAnsiTheme="majorHAnsi" w:cstheme="majorHAnsi"/>
        </w:rPr>
        <w:t>The appellant initially sought an order of costs against the respondent, even though he</w:t>
      </w:r>
      <w:r w:rsidRPr="00811EF0">
        <w:rPr>
          <w:rFonts w:asciiTheme="majorHAnsi" w:hAnsiTheme="majorHAnsi" w:cstheme="majorHAnsi"/>
        </w:rPr>
        <w:t xml:space="preserve"> abided its result</w:t>
      </w:r>
      <w:r w:rsidR="00E06EA7" w:rsidRPr="00811EF0">
        <w:rPr>
          <w:rFonts w:asciiTheme="majorHAnsi" w:hAnsiTheme="majorHAnsi" w:cstheme="majorHAnsi"/>
        </w:rPr>
        <w:t>. No costs were awarded against the appellant in the court below and the respondent did not oppose the merits of the appeal. Despite this, the appellant sought costs against the respondent. At the hearing before us, the appellant indicated that it no longer persisted in seeking that relief.</w:t>
      </w:r>
    </w:p>
    <w:p w:rsidR="00E06EA7" w:rsidRPr="00811EF0" w:rsidRDefault="00811EF0" w:rsidP="00811EF0">
      <w:pPr>
        <w:spacing w:after="240" w:line="360" w:lineRule="auto"/>
        <w:jc w:val="both"/>
        <w:rPr>
          <w:rFonts w:asciiTheme="majorHAnsi" w:hAnsiTheme="majorHAnsi" w:cstheme="majorHAnsi"/>
        </w:rPr>
      </w:pPr>
      <w:r>
        <w:rPr>
          <w:rFonts w:asciiTheme="majorHAnsi" w:hAnsiTheme="majorHAnsi" w:cstheme="majorHAnsi"/>
        </w:rPr>
        <w:t>[28]</w:t>
      </w:r>
      <w:r>
        <w:rPr>
          <w:rFonts w:asciiTheme="majorHAnsi" w:hAnsiTheme="majorHAnsi" w:cstheme="majorHAnsi"/>
        </w:rPr>
        <w:tab/>
      </w:r>
      <w:r w:rsidR="00E06EA7" w:rsidRPr="00811EF0">
        <w:rPr>
          <w:rFonts w:asciiTheme="majorHAnsi" w:hAnsiTheme="majorHAnsi" w:cstheme="majorHAnsi"/>
        </w:rPr>
        <w:t>I consequently grant the following order:</w:t>
      </w:r>
    </w:p>
    <w:p w:rsidR="00E06EA7" w:rsidRPr="00794AE8" w:rsidRDefault="00E06EA7" w:rsidP="00E06EA7">
      <w:pPr>
        <w:pStyle w:val="ListParagraph"/>
        <w:rPr>
          <w:rFonts w:asciiTheme="majorHAnsi" w:hAnsiTheme="majorHAnsi" w:cstheme="majorHAnsi"/>
        </w:rPr>
      </w:pPr>
    </w:p>
    <w:p w:rsidR="00E06EA7" w:rsidRPr="00794AE8" w:rsidRDefault="00E06EA7" w:rsidP="00E06EA7">
      <w:pPr>
        <w:pStyle w:val="ListParagraph"/>
        <w:spacing w:line="360" w:lineRule="auto"/>
        <w:ind w:left="1418" w:hanging="720"/>
        <w:jc w:val="both"/>
        <w:rPr>
          <w:rFonts w:asciiTheme="majorHAnsi" w:hAnsiTheme="majorHAnsi" w:cstheme="majorHAnsi"/>
        </w:rPr>
      </w:pPr>
      <w:r w:rsidRPr="00794AE8">
        <w:rPr>
          <w:rFonts w:asciiTheme="majorHAnsi" w:hAnsiTheme="majorHAnsi" w:cstheme="majorHAnsi"/>
        </w:rPr>
        <w:t xml:space="preserve">1. </w:t>
      </w:r>
      <w:r w:rsidRPr="00794AE8">
        <w:rPr>
          <w:rFonts w:asciiTheme="majorHAnsi" w:hAnsiTheme="majorHAnsi" w:cstheme="majorHAnsi"/>
        </w:rPr>
        <w:tab/>
        <w:t>The appeal is upheld.</w:t>
      </w:r>
    </w:p>
    <w:p w:rsidR="00E06EA7" w:rsidRPr="00794AE8" w:rsidRDefault="00E06EA7" w:rsidP="00E06EA7">
      <w:pPr>
        <w:pStyle w:val="ListParagraph"/>
        <w:ind w:hanging="11"/>
        <w:rPr>
          <w:rFonts w:asciiTheme="majorHAnsi" w:hAnsiTheme="majorHAnsi" w:cstheme="majorHAnsi"/>
        </w:rPr>
      </w:pPr>
    </w:p>
    <w:p w:rsidR="00E06EA7" w:rsidRPr="00794AE8" w:rsidRDefault="00E06EA7" w:rsidP="00E06EA7">
      <w:pPr>
        <w:pStyle w:val="ListParagraph"/>
        <w:spacing w:line="360" w:lineRule="auto"/>
        <w:ind w:left="1418" w:right="515" w:hanging="709"/>
        <w:jc w:val="both"/>
        <w:rPr>
          <w:rFonts w:asciiTheme="majorHAnsi" w:hAnsiTheme="majorHAnsi" w:cstheme="majorHAnsi"/>
        </w:rPr>
      </w:pPr>
      <w:r w:rsidRPr="00794AE8">
        <w:rPr>
          <w:rFonts w:asciiTheme="majorHAnsi" w:hAnsiTheme="majorHAnsi" w:cstheme="majorHAnsi"/>
        </w:rPr>
        <w:t xml:space="preserve">2. </w:t>
      </w:r>
      <w:r w:rsidRPr="00794AE8">
        <w:rPr>
          <w:rFonts w:asciiTheme="majorHAnsi" w:hAnsiTheme="majorHAnsi" w:cstheme="majorHAnsi"/>
        </w:rPr>
        <w:tab/>
        <w:t>The order of the court below confirming the interim protection order granted on 23 February 202</w:t>
      </w:r>
      <w:r w:rsidR="00811EF0">
        <w:rPr>
          <w:rFonts w:asciiTheme="majorHAnsi" w:hAnsiTheme="majorHAnsi" w:cstheme="majorHAnsi"/>
        </w:rPr>
        <w:t>2</w:t>
      </w:r>
      <w:r w:rsidRPr="00794AE8">
        <w:rPr>
          <w:rFonts w:asciiTheme="majorHAnsi" w:hAnsiTheme="majorHAnsi" w:cstheme="majorHAnsi"/>
        </w:rPr>
        <w:t xml:space="preserve"> is set aside and replaced with the following:</w:t>
      </w:r>
    </w:p>
    <w:p w:rsidR="00E06EA7" w:rsidRPr="00794AE8" w:rsidRDefault="00E06EA7" w:rsidP="00E06EA7">
      <w:pPr>
        <w:pStyle w:val="ListParagraph"/>
        <w:ind w:hanging="11"/>
        <w:rPr>
          <w:rFonts w:asciiTheme="majorHAnsi" w:hAnsiTheme="majorHAnsi" w:cstheme="majorHAnsi"/>
        </w:rPr>
      </w:pPr>
    </w:p>
    <w:p w:rsidR="00E06EA7" w:rsidRPr="00794AE8" w:rsidRDefault="00811EF0" w:rsidP="00E06EA7">
      <w:pPr>
        <w:pStyle w:val="ListParagraph"/>
        <w:spacing w:line="360" w:lineRule="auto"/>
        <w:ind w:left="1440" w:right="1082" w:hanging="11"/>
        <w:jc w:val="both"/>
        <w:rPr>
          <w:rFonts w:asciiTheme="majorHAnsi" w:hAnsiTheme="majorHAnsi" w:cstheme="majorHAnsi"/>
        </w:rPr>
      </w:pPr>
      <w:r>
        <w:rPr>
          <w:rFonts w:asciiTheme="majorHAnsi" w:hAnsiTheme="majorHAnsi" w:cstheme="majorHAnsi"/>
        </w:rPr>
        <w:t>‘</w:t>
      </w:r>
      <w:r w:rsidR="00E06EA7" w:rsidRPr="00794AE8">
        <w:rPr>
          <w:rFonts w:asciiTheme="majorHAnsi" w:hAnsiTheme="majorHAnsi" w:cstheme="majorHAnsi"/>
        </w:rPr>
        <w:t>The interim protection order granted on 23 February 202</w:t>
      </w:r>
      <w:r>
        <w:rPr>
          <w:rFonts w:asciiTheme="majorHAnsi" w:hAnsiTheme="majorHAnsi" w:cstheme="majorHAnsi"/>
        </w:rPr>
        <w:t>2</w:t>
      </w:r>
      <w:r w:rsidR="00E06EA7" w:rsidRPr="00794AE8">
        <w:rPr>
          <w:rFonts w:asciiTheme="majorHAnsi" w:hAnsiTheme="majorHAnsi" w:cstheme="majorHAnsi"/>
        </w:rPr>
        <w:t xml:space="preserve"> is discharged.</w:t>
      </w:r>
      <w:r>
        <w:rPr>
          <w:rFonts w:asciiTheme="majorHAnsi" w:hAnsiTheme="majorHAnsi" w:cstheme="majorHAnsi"/>
        </w:rPr>
        <w:t>’</w:t>
      </w:r>
      <w:r w:rsidR="00E06EA7" w:rsidRPr="00794AE8">
        <w:rPr>
          <w:rFonts w:asciiTheme="majorHAnsi" w:hAnsiTheme="majorHAnsi" w:cstheme="majorHAnsi"/>
        </w:rPr>
        <w:t xml:space="preserve"> </w:t>
      </w:r>
    </w:p>
    <w:p w:rsidR="00E06EA7" w:rsidRPr="00794AE8" w:rsidRDefault="00E06EA7" w:rsidP="00E06EA7">
      <w:pPr>
        <w:pStyle w:val="ListParagraph"/>
        <w:spacing w:line="360" w:lineRule="auto"/>
        <w:ind w:left="1440" w:right="1082" w:hanging="11"/>
        <w:jc w:val="both"/>
        <w:rPr>
          <w:rFonts w:asciiTheme="majorHAnsi" w:hAnsiTheme="majorHAnsi" w:cstheme="majorHAnsi"/>
        </w:rPr>
      </w:pPr>
    </w:p>
    <w:p w:rsidR="00E06EA7" w:rsidRPr="00794AE8" w:rsidRDefault="00E06EA7" w:rsidP="00E06EA7">
      <w:pPr>
        <w:pStyle w:val="ListParagraph"/>
        <w:rPr>
          <w:rFonts w:asciiTheme="majorHAnsi" w:hAnsiTheme="majorHAnsi" w:cstheme="majorHAnsi"/>
        </w:rPr>
      </w:pPr>
    </w:p>
    <w:p w:rsidR="00B51744" w:rsidRPr="00794AE8" w:rsidRDefault="00B51744" w:rsidP="00B51744">
      <w:pPr>
        <w:spacing w:line="360" w:lineRule="auto"/>
        <w:jc w:val="right"/>
        <w:rPr>
          <w:rFonts w:asciiTheme="majorHAnsi" w:hAnsiTheme="majorHAnsi" w:cstheme="majorHAnsi"/>
          <w:sz w:val="28"/>
          <w:szCs w:val="28"/>
        </w:rPr>
      </w:pPr>
      <w:r w:rsidRPr="00794AE8">
        <w:rPr>
          <w:rFonts w:asciiTheme="majorHAnsi" w:hAnsiTheme="majorHAnsi" w:cstheme="majorHAnsi"/>
          <w:sz w:val="28"/>
          <w:szCs w:val="28"/>
        </w:rPr>
        <w:t>________________________</w:t>
      </w:r>
    </w:p>
    <w:p w:rsidR="00B51744" w:rsidRDefault="00E06EA7" w:rsidP="00B51744">
      <w:pPr>
        <w:spacing w:line="360" w:lineRule="auto"/>
        <w:jc w:val="right"/>
        <w:rPr>
          <w:rFonts w:asciiTheme="majorHAnsi" w:hAnsiTheme="majorHAnsi" w:cstheme="majorHAnsi"/>
          <w:sz w:val="28"/>
          <w:szCs w:val="28"/>
        </w:rPr>
      </w:pPr>
      <w:r w:rsidRPr="00794AE8">
        <w:rPr>
          <w:rFonts w:asciiTheme="majorHAnsi" w:hAnsiTheme="majorHAnsi" w:cstheme="majorHAnsi"/>
          <w:sz w:val="28"/>
          <w:szCs w:val="28"/>
        </w:rPr>
        <w:t>ANNANDALE, AJ</w:t>
      </w:r>
    </w:p>
    <w:p w:rsidR="00811EF0" w:rsidRDefault="00811EF0" w:rsidP="00B51744">
      <w:pPr>
        <w:spacing w:line="360" w:lineRule="auto"/>
        <w:jc w:val="right"/>
        <w:rPr>
          <w:rFonts w:asciiTheme="majorHAnsi" w:hAnsiTheme="majorHAnsi" w:cstheme="majorHAnsi"/>
          <w:sz w:val="28"/>
          <w:szCs w:val="28"/>
        </w:rPr>
      </w:pPr>
    </w:p>
    <w:p w:rsidR="00811EF0" w:rsidRDefault="00811EF0" w:rsidP="00B51744">
      <w:pPr>
        <w:spacing w:line="360" w:lineRule="auto"/>
        <w:jc w:val="right"/>
        <w:rPr>
          <w:rFonts w:asciiTheme="majorHAnsi" w:hAnsiTheme="majorHAnsi" w:cstheme="majorHAnsi"/>
          <w:sz w:val="28"/>
          <w:szCs w:val="28"/>
        </w:rPr>
      </w:pPr>
      <w:r>
        <w:rPr>
          <w:rFonts w:asciiTheme="majorHAnsi" w:hAnsiTheme="majorHAnsi" w:cstheme="majorHAnsi"/>
          <w:sz w:val="28"/>
          <w:szCs w:val="28"/>
        </w:rPr>
        <w:t xml:space="preserve">I concur </w:t>
      </w:r>
    </w:p>
    <w:p w:rsidR="00811EF0" w:rsidRDefault="00811EF0" w:rsidP="00B51744">
      <w:pPr>
        <w:spacing w:line="360" w:lineRule="auto"/>
        <w:jc w:val="right"/>
        <w:rPr>
          <w:rFonts w:asciiTheme="majorHAnsi" w:hAnsiTheme="majorHAnsi" w:cstheme="majorHAnsi"/>
          <w:sz w:val="28"/>
          <w:szCs w:val="28"/>
        </w:rPr>
      </w:pPr>
    </w:p>
    <w:p w:rsidR="00811EF0" w:rsidRDefault="00811EF0" w:rsidP="00B51744">
      <w:pPr>
        <w:spacing w:line="360" w:lineRule="auto"/>
        <w:jc w:val="right"/>
        <w:rPr>
          <w:rFonts w:asciiTheme="majorHAnsi" w:hAnsiTheme="majorHAnsi" w:cstheme="majorHAnsi"/>
          <w:sz w:val="28"/>
          <w:szCs w:val="28"/>
        </w:rPr>
      </w:pPr>
    </w:p>
    <w:p w:rsidR="00811EF0" w:rsidRPr="00794AE8" w:rsidRDefault="00811EF0" w:rsidP="00811EF0">
      <w:pPr>
        <w:spacing w:line="360" w:lineRule="auto"/>
        <w:jc w:val="right"/>
        <w:rPr>
          <w:rFonts w:asciiTheme="majorHAnsi" w:hAnsiTheme="majorHAnsi" w:cstheme="majorHAnsi"/>
          <w:sz w:val="28"/>
          <w:szCs w:val="28"/>
        </w:rPr>
      </w:pPr>
      <w:r w:rsidRPr="00794AE8">
        <w:rPr>
          <w:rFonts w:asciiTheme="majorHAnsi" w:hAnsiTheme="majorHAnsi" w:cstheme="majorHAnsi"/>
          <w:sz w:val="28"/>
          <w:szCs w:val="28"/>
        </w:rPr>
        <w:lastRenderedPageBreak/>
        <w:t>________________________</w:t>
      </w:r>
    </w:p>
    <w:p w:rsidR="00811EF0" w:rsidRDefault="00811EF0" w:rsidP="00811EF0">
      <w:pPr>
        <w:spacing w:line="360" w:lineRule="auto"/>
        <w:jc w:val="right"/>
        <w:rPr>
          <w:rFonts w:asciiTheme="majorHAnsi" w:hAnsiTheme="majorHAnsi" w:cstheme="majorHAnsi"/>
          <w:sz w:val="28"/>
          <w:szCs w:val="28"/>
        </w:rPr>
      </w:pPr>
      <w:r>
        <w:rPr>
          <w:rFonts w:asciiTheme="majorHAnsi" w:hAnsiTheme="majorHAnsi" w:cstheme="majorHAnsi"/>
          <w:sz w:val="28"/>
          <w:szCs w:val="28"/>
        </w:rPr>
        <w:t xml:space="preserve">MNGADI </w:t>
      </w:r>
      <w:r w:rsidRPr="00794AE8">
        <w:rPr>
          <w:rFonts w:asciiTheme="majorHAnsi" w:hAnsiTheme="majorHAnsi" w:cstheme="majorHAnsi"/>
          <w:sz w:val="28"/>
          <w:szCs w:val="28"/>
        </w:rPr>
        <w:t>J</w:t>
      </w:r>
    </w:p>
    <w:p w:rsidR="00B51744" w:rsidRPr="00794AE8" w:rsidRDefault="00B51744" w:rsidP="00E24120">
      <w:pPr>
        <w:ind w:left="5387"/>
        <w:rPr>
          <w:rFonts w:asciiTheme="majorHAnsi" w:hAnsiTheme="majorHAnsi" w:cstheme="majorHAnsi"/>
          <w:sz w:val="28"/>
          <w:szCs w:val="28"/>
        </w:rPr>
      </w:pPr>
      <w:r w:rsidRPr="00794AE8">
        <w:rPr>
          <w:rFonts w:asciiTheme="majorHAnsi" w:hAnsiTheme="majorHAnsi" w:cstheme="majorHAnsi"/>
          <w:sz w:val="28"/>
          <w:szCs w:val="28"/>
        </w:rPr>
        <w:br w:type="page"/>
      </w:r>
    </w:p>
    <w:p w:rsidR="00B51744" w:rsidRPr="00794AE8" w:rsidRDefault="00B51744" w:rsidP="00B51744">
      <w:pPr>
        <w:spacing w:line="360" w:lineRule="auto"/>
        <w:jc w:val="right"/>
        <w:rPr>
          <w:rFonts w:asciiTheme="majorHAnsi" w:hAnsiTheme="majorHAnsi" w:cstheme="majorHAnsi"/>
          <w:sz w:val="28"/>
          <w:szCs w:val="28"/>
        </w:rPr>
      </w:pPr>
    </w:p>
    <w:p w:rsidR="00EB2D31" w:rsidRPr="00950EE9" w:rsidRDefault="00EB2D31" w:rsidP="00EB2D31">
      <w:pPr>
        <w:tabs>
          <w:tab w:val="left" w:pos="5245"/>
        </w:tabs>
        <w:rPr>
          <w:rFonts w:ascii="Arial" w:hAnsi="Arial" w:cs="Arial"/>
          <w:bCs/>
        </w:rPr>
      </w:pPr>
      <w:r w:rsidRPr="00950EE9">
        <w:rPr>
          <w:rFonts w:ascii="Arial" w:hAnsi="Arial" w:cs="Arial"/>
          <w:bCs/>
        </w:rPr>
        <w:t>JUDGMENT RESERVED:</w:t>
      </w:r>
      <w:r w:rsidRPr="00950EE9">
        <w:rPr>
          <w:rFonts w:ascii="Arial" w:hAnsi="Arial" w:cs="Arial"/>
          <w:bCs/>
        </w:rPr>
        <w:tab/>
      </w:r>
      <w:r>
        <w:rPr>
          <w:rFonts w:ascii="Arial" w:hAnsi="Arial" w:cs="Arial"/>
          <w:bCs/>
        </w:rPr>
        <w:t>4</w:t>
      </w:r>
      <w:r w:rsidRPr="00950EE9">
        <w:rPr>
          <w:rFonts w:ascii="Arial" w:hAnsi="Arial" w:cs="Arial"/>
          <w:bCs/>
        </w:rPr>
        <w:t xml:space="preserve"> AUGUST 2023</w:t>
      </w:r>
    </w:p>
    <w:p w:rsidR="00EB2D31" w:rsidRDefault="00EB2D31" w:rsidP="00EB2D31">
      <w:pPr>
        <w:rPr>
          <w:rFonts w:ascii="Arial" w:hAnsi="Arial" w:cs="Arial"/>
          <w:bCs/>
        </w:rPr>
      </w:pPr>
    </w:p>
    <w:p w:rsidR="00EB2D31" w:rsidRPr="00950EE9" w:rsidRDefault="00EB2D31" w:rsidP="00EB2D31">
      <w:pPr>
        <w:rPr>
          <w:rFonts w:ascii="Arial" w:hAnsi="Arial" w:cs="Arial"/>
          <w:bCs/>
        </w:rPr>
      </w:pPr>
      <w:r w:rsidRPr="00950EE9">
        <w:rPr>
          <w:rFonts w:ascii="Arial" w:hAnsi="Arial" w:cs="Arial"/>
          <w:bCs/>
        </w:rPr>
        <w:t>JUDGMENT HANDED DOWN:</w:t>
      </w:r>
      <w:r w:rsidRPr="00950EE9">
        <w:rPr>
          <w:rFonts w:ascii="Arial" w:hAnsi="Arial" w:cs="Arial"/>
          <w:bCs/>
        </w:rPr>
        <w:tab/>
      </w:r>
      <w:r w:rsidRPr="00950EE9">
        <w:rPr>
          <w:rFonts w:ascii="Arial" w:hAnsi="Arial" w:cs="Arial"/>
          <w:bCs/>
        </w:rPr>
        <w:tab/>
      </w:r>
      <w:r w:rsidRPr="00950EE9">
        <w:rPr>
          <w:rFonts w:ascii="Arial" w:hAnsi="Arial" w:cs="Arial"/>
          <w:bCs/>
        </w:rPr>
        <w:tab/>
      </w:r>
      <w:r>
        <w:rPr>
          <w:rFonts w:ascii="Arial" w:hAnsi="Arial" w:cs="Arial"/>
          <w:bCs/>
        </w:rPr>
        <w:t xml:space="preserve">   </w:t>
      </w:r>
      <w:r w:rsidR="00065733">
        <w:rPr>
          <w:rFonts w:ascii="Arial" w:hAnsi="Arial" w:cs="Arial"/>
          <w:bCs/>
        </w:rPr>
        <w:t>03 NOVEMBER 2023</w:t>
      </w:r>
      <w:r>
        <w:rPr>
          <w:rFonts w:ascii="Arial" w:hAnsi="Arial" w:cs="Arial"/>
          <w:bCs/>
        </w:rPr>
        <w:tab/>
      </w:r>
    </w:p>
    <w:p w:rsidR="00EB2D31" w:rsidRDefault="00EB2D31" w:rsidP="00B51744">
      <w:pPr>
        <w:spacing w:line="360" w:lineRule="auto"/>
        <w:rPr>
          <w:rFonts w:asciiTheme="majorHAnsi" w:hAnsiTheme="majorHAnsi" w:cstheme="majorHAnsi"/>
          <w:sz w:val="28"/>
          <w:szCs w:val="28"/>
        </w:rPr>
      </w:pPr>
    </w:p>
    <w:p w:rsidR="00EB2D31" w:rsidRDefault="00EB2D31" w:rsidP="00B51744">
      <w:pPr>
        <w:spacing w:line="360" w:lineRule="auto"/>
        <w:rPr>
          <w:rFonts w:asciiTheme="majorHAnsi" w:hAnsiTheme="majorHAnsi" w:cstheme="majorHAnsi"/>
          <w:sz w:val="28"/>
          <w:szCs w:val="28"/>
        </w:rPr>
      </w:pPr>
    </w:p>
    <w:p w:rsidR="00B51744" w:rsidRPr="00794AE8" w:rsidRDefault="00B51744" w:rsidP="00B51744">
      <w:pPr>
        <w:spacing w:line="360" w:lineRule="auto"/>
        <w:rPr>
          <w:rFonts w:asciiTheme="majorHAnsi" w:hAnsiTheme="majorHAnsi" w:cstheme="majorHAnsi"/>
          <w:sz w:val="28"/>
          <w:szCs w:val="28"/>
        </w:rPr>
      </w:pPr>
      <w:r w:rsidRPr="00794AE8">
        <w:rPr>
          <w:rFonts w:asciiTheme="majorHAnsi" w:hAnsiTheme="majorHAnsi" w:cstheme="majorHAnsi"/>
          <w:sz w:val="28"/>
          <w:szCs w:val="28"/>
        </w:rPr>
        <w:t xml:space="preserve">Appearances </w:t>
      </w:r>
    </w:p>
    <w:p w:rsidR="00B51744" w:rsidRPr="00794AE8" w:rsidRDefault="00B51744" w:rsidP="00B51744">
      <w:pPr>
        <w:spacing w:line="360" w:lineRule="auto"/>
        <w:rPr>
          <w:rFonts w:asciiTheme="majorHAnsi" w:hAnsiTheme="majorHAnsi" w:cstheme="majorHAnsi"/>
          <w:sz w:val="28"/>
          <w:szCs w:val="28"/>
        </w:rPr>
      </w:pPr>
    </w:p>
    <w:p w:rsidR="00B51744" w:rsidRPr="00824A6E" w:rsidRDefault="00B51744" w:rsidP="00824A6E">
      <w:pPr>
        <w:tabs>
          <w:tab w:val="left" w:pos="5245"/>
        </w:tabs>
        <w:spacing w:line="360" w:lineRule="auto"/>
        <w:rPr>
          <w:rFonts w:asciiTheme="majorHAnsi" w:hAnsiTheme="majorHAnsi" w:cstheme="majorHAnsi"/>
        </w:rPr>
      </w:pPr>
      <w:r w:rsidRPr="00794AE8">
        <w:rPr>
          <w:rFonts w:asciiTheme="majorHAnsi" w:hAnsiTheme="majorHAnsi" w:cstheme="majorHAnsi"/>
          <w:sz w:val="28"/>
          <w:szCs w:val="28"/>
        </w:rPr>
        <w:t>For appellant:</w:t>
      </w:r>
      <w:r w:rsidRPr="00794AE8">
        <w:rPr>
          <w:rFonts w:asciiTheme="majorHAnsi" w:hAnsiTheme="majorHAnsi" w:cstheme="majorHAnsi"/>
          <w:sz w:val="28"/>
          <w:szCs w:val="28"/>
        </w:rPr>
        <w:tab/>
      </w:r>
      <w:r w:rsidR="00E24120" w:rsidRPr="00824A6E">
        <w:rPr>
          <w:rFonts w:asciiTheme="majorHAnsi" w:hAnsiTheme="majorHAnsi" w:cstheme="majorHAnsi"/>
        </w:rPr>
        <w:t>MS L REDDY</w:t>
      </w:r>
    </w:p>
    <w:p w:rsidR="00E24120" w:rsidRDefault="00B51744" w:rsidP="00EB2D31">
      <w:pPr>
        <w:tabs>
          <w:tab w:val="left" w:pos="5245"/>
        </w:tabs>
        <w:spacing w:line="360" w:lineRule="auto"/>
        <w:rPr>
          <w:rFonts w:ascii="Arial" w:hAnsi="Arial" w:cs="Arial"/>
        </w:rPr>
      </w:pPr>
      <w:r w:rsidRPr="00794AE8">
        <w:rPr>
          <w:rFonts w:asciiTheme="majorHAnsi" w:hAnsiTheme="majorHAnsi" w:cstheme="majorHAnsi"/>
          <w:bCs/>
          <w:sz w:val="28"/>
          <w:szCs w:val="28"/>
        </w:rPr>
        <w:t xml:space="preserve">Instructed by: </w:t>
      </w:r>
      <w:r w:rsidR="00E24120">
        <w:rPr>
          <w:rFonts w:asciiTheme="majorHAnsi" w:hAnsiTheme="majorHAnsi" w:cstheme="majorHAnsi"/>
          <w:bCs/>
          <w:sz w:val="28"/>
          <w:szCs w:val="28"/>
        </w:rPr>
        <w:tab/>
      </w:r>
      <w:r w:rsidR="00E24120" w:rsidRPr="004B5404">
        <w:rPr>
          <w:rFonts w:ascii="Arial" w:hAnsi="Arial" w:cs="Arial"/>
        </w:rPr>
        <w:t>SHEPSTONE &amp; WYLIE</w:t>
      </w:r>
    </w:p>
    <w:p w:rsidR="001775B6" w:rsidRDefault="001775B6" w:rsidP="00EB2D31">
      <w:pPr>
        <w:tabs>
          <w:tab w:val="left" w:pos="5245"/>
        </w:tabs>
        <w:spacing w:line="360" w:lineRule="auto"/>
        <w:rPr>
          <w:rFonts w:ascii="Arial" w:hAnsi="Arial" w:cs="Arial"/>
        </w:rPr>
      </w:pPr>
      <w:r>
        <w:rPr>
          <w:rFonts w:ascii="Arial" w:hAnsi="Arial" w:cs="Arial"/>
        </w:rPr>
        <w:tab/>
        <w:t>1</w:t>
      </w:r>
      <w:r w:rsidRPr="001775B6">
        <w:rPr>
          <w:rFonts w:ascii="Arial" w:hAnsi="Arial" w:cs="Arial"/>
          <w:vertAlign w:val="superscript"/>
        </w:rPr>
        <w:t>st</w:t>
      </w:r>
      <w:r>
        <w:rPr>
          <w:rFonts w:ascii="Arial" w:hAnsi="Arial" w:cs="Arial"/>
        </w:rPr>
        <w:t xml:space="preserve"> FLOOR, ABSA BUILDING </w:t>
      </w:r>
    </w:p>
    <w:p w:rsidR="001775B6" w:rsidRDefault="001775B6" w:rsidP="00EB2D31">
      <w:pPr>
        <w:tabs>
          <w:tab w:val="left" w:pos="5245"/>
        </w:tabs>
        <w:spacing w:line="360" w:lineRule="auto"/>
        <w:rPr>
          <w:rFonts w:ascii="Arial" w:hAnsi="Arial" w:cs="Arial"/>
        </w:rPr>
      </w:pPr>
      <w:r>
        <w:rPr>
          <w:rFonts w:ascii="Arial" w:hAnsi="Arial" w:cs="Arial"/>
        </w:rPr>
        <w:tab/>
        <w:t>15 CHATTERTON STREET</w:t>
      </w:r>
    </w:p>
    <w:p w:rsidR="00E24120" w:rsidRPr="004B5404" w:rsidRDefault="00E24120" w:rsidP="00EB2D31">
      <w:pPr>
        <w:tabs>
          <w:tab w:val="left" w:pos="5245"/>
        </w:tabs>
        <w:spacing w:line="360" w:lineRule="auto"/>
        <w:rPr>
          <w:rFonts w:ascii="Arial" w:hAnsi="Arial" w:cs="Arial"/>
        </w:rPr>
      </w:pPr>
      <w:r>
        <w:rPr>
          <w:rFonts w:ascii="Arial" w:hAnsi="Arial" w:cs="Arial"/>
        </w:rPr>
        <w:tab/>
      </w:r>
      <w:r w:rsidRPr="004B5404">
        <w:rPr>
          <w:rFonts w:ascii="Arial" w:hAnsi="Arial" w:cs="Arial"/>
        </w:rPr>
        <w:t>PIETERMARITZBURG</w:t>
      </w:r>
    </w:p>
    <w:p w:rsidR="00E24120" w:rsidRDefault="00E24120" w:rsidP="00EB2D31">
      <w:pPr>
        <w:tabs>
          <w:tab w:val="left" w:pos="5245"/>
          <w:tab w:val="left" w:pos="5387"/>
        </w:tabs>
        <w:spacing w:line="360" w:lineRule="auto"/>
        <w:rPr>
          <w:rFonts w:ascii="Arial" w:hAnsi="Arial" w:cs="Arial"/>
        </w:rPr>
      </w:pPr>
      <w:r>
        <w:rPr>
          <w:rFonts w:ascii="Arial" w:hAnsi="Arial" w:cs="Arial"/>
        </w:rPr>
        <w:tab/>
      </w:r>
      <w:r w:rsidRPr="004B5404">
        <w:rPr>
          <w:rFonts w:ascii="Arial" w:hAnsi="Arial" w:cs="Arial"/>
        </w:rPr>
        <w:t xml:space="preserve">Tel: 031 575 7029 </w:t>
      </w:r>
    </w:p>
    <w:p w:rsidR="00E24120" w:rsidRPr="00E24120" w:rsidRDefault="00E24120" w:rsidP="00EB2D31">
      <w:pPr>
        <w:tabs>
          <w:tab w:val="left" w:pos="5245"/>
        </w:tabs>
        <w:spacing w:line="360" w:lineRule="auto"/>
        <w:rPr>
          <w:rFonts w:ascii="Arial" w:hAnsi="Arial" w:cs="Arial"/>
          <w:sz w:val="20"/>
          <w:szCs w:val="20"/>
        </w:rPr>
      </w:pPr>
      <w:r>
        <w:rPr>
          <w:rFonts w:ascii="Arial" w:hAnsi="Arial" w:cs="Arial"/>
        </w:rPr>
        <w:tab/>
      </w:r>
      <w:r w:rsidRPr="004B5404">
        <w:rPr>
          <w:rFonts w:ascii="Arial" w:hAnsi="Arial" w:cs="Arial"/>
        </w:rPr>
        <w:t>Email</w:t>
      </w:r>
      <w:r>
        <w:rPr>
          <w:rFonts w:ascii="Arial" w:hAnsi="Arial" w:cs="Arial"/>
        </w:rPr>
        <w:t>:L</w:t>
      </w:r>
      <w:r w:rsidRPr="00E24120">
        <w:rPr>
          <w:rFonts w:ascii="Arial" w:hAnsi="Arial" w:cs="Arial"/>
          <w:sz w:val="20"/>
          <w:szCs w:val="20"/>
        </w:rPr>
        <w:t>etacia.govender@wylie.co.za</w:t>
      </w:r>
    </w:p>
    <w:p w:rsidR="00E24120" w:rsidRPr="004B5404" w:rsidRDefault="00E24120" w:rsidP="00EB2D31">
      <w:pPr>
        <w:tabs>
          <w:tab w:val="left" w:pos="5245"/>
        </w:tabs>
        <w:spacing w:line="360" w:lineRule="auto"/>
        <w:rPr>
          <w:rFonts w:ascii="Arial" w:hAnsi="Arial" w:cs="Arial"/>
        </w:rPr>
      </w:pPr>
      <w:r>
        <w:rPr>
          <w:rFonts w:ascii="Arial" w:hAnsi="Arial" w:cs="Arial"/>
        </w:rPr>
        <w:tab/>
      </w:r>
      <w:r w:rsidRPr="004B5404">
        <w:rPr>
          <w:rFonts w:ascii="Arial" w:hAnsi="Arial" w:cs="Arial"/>
        </w:rPr>
        <w:t>Ref: LG/HORN40749.1</w:t>
      </w:r>
    </w:p>
    <w:p w:rsidR="00B51744" w:rsidRPr="00794AE8" w:rsidRDefault="00B51744" w:rsidP="00EB2D31">
      <w:pPr>
        <w:spacing w:line="360" w:lineRule="auto"/>
        <w:rPr>
          <w:rFonts w:asciiTheme="majorHAnsi" w:hAnsiTheme="majorHAnsi" w:cstheme="majorHAnsi"/>
          <w:bCs/>
          <w:sz w:val="28"/>
          <w:szCs w:val="28"/>
        </w:rPr>
      </w:pPr>
    </w:p>
    <w:p w:rsidR="00B51744" w:rsidRPr="00794AE8" w:rsidRDefault="00B51744" w:rsidP="00B51744">
      <w:pPr>
        <w:spacing w:line="360" w:lineRule="auto"/>
        <w:rPr>
          <w:rFonts w:asciiTheme="majorHAnsi" w:hAnsiTheme="majorHAnsi" w:cstheme="majorHAnsi"/>
          <w:bCs/>
          <w:sz w:val="28"/>
          <w:szCs w:val="28"/>
        </w:rPr>
      </w:pPr>
      <w:r w:rsidRPr="00794AE8">
        <w:rPr>
          <w:rFonts w:asciiTheme="majorHAnsi" w:hAnsiTheme="majorHAnsi" w:cstheme="majorHAnsi"/>
          <w:bCs/>
          <w:sz w:val="28"/>
          <w:szCs w:val="28"/>
        </w:rPr>
        <w:t xml:space="preserve"> </w:t>
      </w:r>
    </w:p>
    <w:p w:rsidR="00B51744" w:rsidRPr="00EB2D31" w:rsidRDefault="00B51744" w:rsidP="00824A6E">
      <w:pPr>
        <w:tabs>
          <w:tab w:val="left" w:pos="5245"/>
        </w:tabs>
        <w:spacing w:line="360" w:lineRule="auto"/>
        <w:rPr>
          <w:rFonts w:asciiTheme="majorHAnsi" w:hAnsiTheme="majorHAnsi" w:cstheme="majorHAnsi"/>
        </w:rPr>
      </w:pPr>
      <w:r w:rsidRPr="00794AE8">
        <w:rPr>
          <w:rFonts w:asciiTheme="majorHAnsi" w:hAnsiTheme="majorHAnsi" w:cstheme="majorHAnsi"/>
          <w:sz w:val="28"/>
          <w:szCs w:val="28"/>
        </w:rPr>
        <w:t>For respondent:</w:t>
      </w:r>
      <w:r w:rsidRPr="00794AE8">
        <w:rPr>
          <w:rFonts w:asciiTheme="majorHAnsi" w:hAnsiTheme="majorHAnsi" w:cstheme="majorHAnsi"/>
          <w:sz w:val="28"/>
          <w:szCs w:val="28"/>
        </w:rPr>
        <w:tab/>
      </w:r>
      <w:r w:rsidR="00824A6E" w:rsidRPr="00EB2D31">
        <w:rPr>
          <w:rFonts w:asciiTheme="majorHAnsi" w:hAnsiTheme="majorHAnsi" w:cstheme="majorHAnsi"/>
        </w:rPr>
        <w:t>NO APPEARANCE</w:t>
      </w:r>
    </w:p>
    <w:p w:rsidR="00B51744" w:rsidRPr="00EB2D31" w:rsidRDefault="00B51744" w:rsidP="00EB2D31">
      <w:pPr>
        <w:tabs>
          <w:tab w:val="left" w:pos="5245"/>
        </w:tabs>
        <w:spacing w:line="360" w:lineRule="auto"/>
        <w:rPr>
          <w:rFonts w:asciiTheme="majorHAnsi" w:hAnsiTheme="majorHAnsi" w:cstheme="majorHAnsi"/>
          <w:bCs/>
        </w:rPr>
      </w:pPr>
      <w:r w:rsidRPr="00EB2D31">
        <w:rPr>
          <w:rFonts w:asciiTheme="majorHAnsi" w:hAnsiTheme="majorHAnsi" w:cstheme="majorHAnsi"/>
          <w:bCs/>
          <w:sz w:val="28"/>
          <w:szCs w:val="28"/>
        </w:rPr>
        <w:t>Instructed by:</w:t>
      </w:r>
      <w:r w:rsidR="00EB2D31" w:rsidRPr="00EB2D31">
        <w:rPr>
          <w:rFonts w:asciiTheme="majorHAnsi" w:hAnsiTheme="majorHAnsi" w:cstheme="majorHAnsi"/>
          <w:bCs/>
        </w:rPr>
        <w:tab/>
        <w:t>MOORE AND ASSOCIATES</w:t>
      </w:r>
    </w:p>
    <w:p w:rsidR="00EB2D31" w:rsidRDefault="00EB2D31" w:rsidP="00EB2D31">
      <w:pPr>
        <w:tabs>
          <w:tab w:val="left" w:pos="5245"/>
        </w:tabs>
        <w:spacing w:line="360" w:lineRule="auto"/>
        <w:rPr>
          <w:rFonts w:asciiTheme="majorHAnsi" w:hAnsiTheme="majorHAnsi" w:cstheme="majorHAnsi"/>
          <w:bCs/>
        </w:rPr>
      </w:pPr>
      <w:r w:rsidRPr="00EB2D31">
        <w:rPr>
          <w:rFonts w:asciiTheme="majorHAnsi" w:hAnsiTheme="majorHAnsi" w:cstheme="majorHAnsi"/>
          <w:bCs/>
        </w:rPr>
        <w:tab/>
        <w:t>UMHLANGA</w:t>
      </w:r>
    </w:p>
    <w:p w:rsidR="001775B6" w:rsidRDefault="001775B6" w:rsidP="00EB2D31">
      <w:pPr>
        <w:tabs>
          <w:tab w:val="left" w:pos="5245"/>
        </w:tabs>
        <w:spacing w:line="360" w:lineRule="auto"/>
        <w:rPr>
          <w:rFonts w:asciiTheme="majorHAnsi" w:hAnsiTheme="majorHAnsi" w:cstheme="majorHAnsi"/>
          <w:bCs/>
        </w:rPr>
      </w:pPr>
      <w:r>
        <w:rPr>
          <w:rFonts w:asciiTheme="majorHAnsi" w:hAnsiTheme="majorHAnsi" w:cstheme="majorHAnsi"/>
          <w:bCs/>
        </w:rPr>
        <w:tab/>
      </w:r>
      <w:hyperlink r:id="rId9" w:history="1">
        <w:r w:rsidRPr="001775B6">
          <w:rPr>
            <w:rStyle w:val="Hyperlink"/>
            <w:rFonts w:asciiTheme="majorHAnsi" w:hAnsiTheme="majorHAnsi" w:cstheme="majorHAnsi"/>
            <w:bCs/>
            <w:color w:val="000000" w:themeColor="text1"/>
            <w:u w:val="none"/>
          </w:rPr>
          <w:t>Tel:+27</w:t>
        </w:r>
      </w:hyperlink>
      <w:r w:rsidRPr="001775B6">
        <w:rPr>
          <w:rFonts w:asciiTheme="majorHAnsi" w:hAnsiTheme="majorHAnsi" w:cstheme="majorHAnsi"/>
          <w:bCs/>
          <w:color w:val="000000" w:themeColor="text1"/>
        </w:rPr>
        <w:t xml:space="preserve"> 10 </w:t>
      </w:r>
      <w:r>
        <w:rPr>
          <w:rFonts w:asciiTheme="majorHAnsi" w:hAnsiTheme="majorHAnsi" w:cstheme="majorHAnsi"/>
          <w:bCs/>
        </w:rPr>
        <w:t>446 0722</w:t>
      </w:r>
    </w:p>
    <w:p w:rsidR="000B3D4E" w:rsidRDefault="000B3D4E" w:rsidP="00EB2D31">
      <w:pPr>
        <w:tabs>
          <w:tab w:val="left" w:pos="5245"/>
        </w:tabs>
        <w:spacing w:line="360" w:lineRule="auto"/>
        <w:rPr>
          <w:rFonts w:asciiTheme="majorHAnsi" w:hAnsiTheme="majorHAnsi" w:cstheme="majorHAnsi"/>
          <w:bCs/>
        </w:rPr>
      </w:pPr>
      <w:r>
        <w:rPr>
          <w:rFonts w:asciiTheme="majorHAnsi" w:hAnsiTheme="majorHAnsi" w:cstheme="majorHAnsi"/>
          <w:bCs/>
        </w:rPr>
        <w:tab/>
        <w:t>c/o VIV GREENE ATTONREYS</w:t>
      </w:r>
    </w:p>
    <w:p w:rsidR="001775B6" w:rsidRDefault="001775B6" w:rsidP="00EB2D31">
      <w:pPr>
        <w:tabs>
          <w:tab w:val="left" w:pos="5245"/>
        </w:tabs>
        <w:spacing w:line="360" w:lineRule="auto"/>
        <w:rPr>
          <w:rFonts w:asciiTheme="majorHAnsi" w:hAnsiTheme="majorHAnsi" w:cstheme="majorHAnsi"/>
          <w:bCs/>
        </w:rPr>
      </w:pPr>
      <w:r>
        <w:rPr>
          <w:rFonts w:asciiTheme="majorHAnsi" w:hAnsiTheme="majorHAnsi" w:cstheme="majorHAnsi"/>
          <w:bCs/>
        </w:rPr>
        <w:tab/>
        <w:t>132 ROBERTS ROAD</w:t>
      </w:r>
    </w:p>
    <w:p w:rsidR="001775B6" w:rsidRDefault="001775B6" w:rsidP="00EB2D31">
      <w:pPr>
        <w:tabs>
          <w:tab w:val="left" w:pos="5245"/>
        </w:tabs>
        <w:spacing w:line="360" w:lineRule="auto"/>
        <w:rPr>
          <w:rFonts w:asciiTheme="majorHAnsi" w:hAnsiTheme="majorHAnsi" w:cstheme="majorHAnsi"/>
          <w:bCs/>
        </w:rPr>
      </w:pPr>
      <w:r>
        <w:rPr>
          <w:rFonts w:asciiTheme="majorHAnsi" w:hAnsiTheme="majorHAnsi" w:cstheme="majorHAnsi"/>
          <w:bCs/>
        </w:rPr>
        <w:tab/>
        <w:t>PIETERMARITZBURG</w:t>
      </w:r>
    </w:p>
    <w:p w:rsidR="001775B6" w:rsidRPr="00EB2D31" w:rsidRDefault="001775B6" w:rsidP="00EB2D31">
      <w:pPr>
        <w:tabs>
          <w:tab w:val="left" w:pos="5245"/>
        </w:tabs>
        <w:spacing w:line="360" w:lineRule="auto"/>
        <w:rPr>
          <w:rFonts w:asciiTheme="majorHAnsi" w:hAnsiTheme="majorHAnsi" w:cstheme="majorHAnsi"/>
          <w:bCs/>
        </w:rPr>
      </w:pPr>
    </w:p>
    <w:p w:rsidR="00EB2D31" w:rsidRPr="00EB2D31" w:rsidRDefault="00EB2D31" w:rsidP="00EB2D31">
      <w:pPr>
        <w:tabs>
          <w:tab w:val="left" w:pos="5245"/>
        </w:tabs>
        <w:spacing w:line="360" w:lineRule="auto"/>
        <w:rPr>
          <w:rFonts w:asciiTheme="majorHAnsi" w:hAnsiTheme="majorHAnsi" w:cstheme="majorHAnsi"/>
        </w:rPr>
      </w:pPr>
      <w:r w:rsidRPr="00EB2D31">
        <w:rPr>
          <w:rFonts w:asciiTheme="majorHAnsi" w:hAnsiTheme="majorHAnsi" w:cstheme="majorHAnsi"/>
          <w:bCs/>
        </w:rPr>
        <w:tab/>
      </w:r>
      <w:r w:rsidRPr="00EB2D31">
        <w:rPr>
          <w:rFonts w:asciiTheme="majorHAnsi" w:hAnsiTheme="majorHAnsi" w:cstheme="majorHAnsi"/>
        </w:rPr>
        <w:t xml:space="preserve">Email: </w:t>
      </w:r>
      <w:hyperlink r:id="rId10" w:history="1">
        <w:r w:rsidRPr="00EB2D31">
          <w:rPr>
            <w:rStyle w:val="Hyperlink"/>
            <w:rFonts w:asciiTheme="majorHAnsi" w:hAnsiTheme="majorHAnsi" w:cstheme="majorHAnsi"/>
          </w:rPr>
          <w:t>storm@moore-law.co.za</w:t>
        </w:r>
      </w:hyperlink>
    </w:p>
    <w:p w:rsidR="00EB2D31" w:rsidRPr="00EB2D31" w:rsidRDefault="00EB2D31" w:rsidP="00EB2D31">
      <w:pPr>
        <w:tabs>
          <w:tab w:val="left" w:pos="5245"/>
        </w:tabs>
        <w:spacing w:line="360" w:lineRule="auto"/>
        <w:rPr>
          <w:rFonts w:asciiTheme="majorHAnsi" w:hAnsiTheme="majorHAnsi" w:cstheme="majorHAnsi"/>
        </w:rPr>
      </w:pPr>
      <w:r w:rsidRPr="00EB2D31">
        <w:rPr>
          <w:rFonts w:asciiTheme="majorHAnsi" w:hAnsiTheme="majorHAnsi" w:cstheme="majorHAnsi"/>
        </w:rPr>
        <w:tab/>
        <w:t>Ref: S Moore/ BA2001</w:t>
      </w:r>
    </w:p>
    <w:p w:rsidR="00EB2D31" w:rsidRPr="00EB2D31" w:rsidRDefault="00EB2D31" w:rsidP="00EB2D31">
      <w:pPr>
        <w:tabs>
          <w:tab w:val="left" w:pos="5245"/>
        </w:tabs>
        <w:spacing w:line="360" w:lineRule="auto"/>
        <w:rPr>
          <w:rFonts w:asciiTheme="majorHAnsi" w:hAnsiTheme="majorHAnsi" w:cstheme="majorHAnsi"/>
          <w:bCs/>
        </w:rPr>
      </w:pPr>
    </w:p>
    <w:p w:rsidR="00B51744" w:rsidRPr="00EB2D31" w:rsidRDefault="00B51744" w:rsidP="00B51744">
      <w:pPr>
        <w:pStyle w:val="Pa3"/>
        <w:spacing w:line="360" w:lineRule="auto"/>
        <w:rPr>
          <w:rFonts w:asciiTheme="majorHAnsi" w:hAnsiTheme="majorHAnsi" w:cstheme="majorHAnsi"/>
        </w:rPr>
      </w:pPr>
    </w:p>
    <w:p w:rsidR="00B51744" w:rsidRPr="00EB2D31" w:rsidRDefault="00B51744" w:rsidP="00B51744">
      <w:pPr>
        <w:spacing w:line="360" w:lineRule="auto"/>
        <w:jc w:val="both"/>
        <w:rPr>
          <w:rFonts w:asciiTheme="majorHAnsi" w:hAnsiTheme="majorHAnsi" w:cstheme="majorHAnsi"/>
        </w:rPr>
      </w:pPr>
    </w:p>
    <w:p w:rsidR="00B51744" w:rsidRPr="00EB2D31" w:rsidRDefault="00B51744" w:rsidP="00B51744">
      <w:pPr>
        <w:rPr>
          <w:rFonts w:asciiTheme="majorHAnsi" w:hAnsiTheme="majorHAnsi" w:cstheme="majorHAnsi"/>
        </w:rPr>
      </w:pPr>
    </w:p>
    <w:p w:rsidR="00EB2D31" w:rsidRPr="00EB2D31" w:rsidRDefault="00EB2D31">
      <w:pPr>
        <w:rPr>
          <w:rFonts w:asciiTheme="majorHAnsi" w:hAnsiTheme="majorHAnsi" w:cstheme="majorHAnsi"/>
        </w:rPr>
      </w:pPr>
    </w:p>
    <w:sectPr w:rsidR="00EB2D31" w:rsidRPr="00EB2D31" w:rsidSect="00633ED3">
      <w:headerReference w:type="even" r:id="rId11"/>
      <w:head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F71" w:rsidRDefault="00116F71">
      <w:r>
        <w:separator/>
      </w:r>
    </w:p>
  </w:endnote>
  <w:endnote w:type="continuationSeparator" w:id="0">
    <w:p w:rsidR="00116F71" w:rsidRDefault="00116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PMincho">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F71" w:rsidRDefault="00116F71">
      <w:r>
        <w:separator/>
      </w:r>
    </w:p>
  </w:footnote>
  <w:footnote w:type="continuationSeparator" w:id="0">
    <w:p w:rsidR="00116F71" w:rsidRDefault="00116F71">
      <w:r>
        <w:continuationSeparator/>
      </w:r>
    </w:p>
  </w:footnote>
  <w:footnote w:id="1">
    <w:p w:rsidR="00E06EA7" w:rsidRDefault="00E06EA7" w:rsidP="00794AE8">
      <w:pPr>
        <w:pStyle w:val="Style1"/>
      </w:pPr>
      <w:r>
        <w:rPr>
          <w:rStyle w:val="FootnoteReference"/>
        </w:rPr>
        <w:footnoteRef/>
      </w:r>
      <w:r>
        <w:t xml:space="preserve"> P 44 para 6 </w:t>
      </w:r>
      <w:proofErr w:type="spellStart"/>
      <w:r>
        <w:t>cf</w:t>
      </w:r>
      <w:proofErr w:type="spellEnd"/>
      <w:r>
        <w:t xml:space="preserve"> p 61 l</w:t>
      </w:r>
      <w:r w:rsidR="000F3643">
        <w:t>ines</w:t>
      </w:r>
      <w:r>
        <w:t xml:space="preserve"> 1 -3 </w:t>
      </w:r>
    </w:p>
  </w:footnote>
  <w:footnote w:id="2">
    <w:p w:rsidR="000F3643" w:rsidRDefault="000F3643">
      <w:pPr>
        <w:pStyle w:val="FootnoteText"/>
      </w:pPr>
      <w:r>
        <w:rPr>
          <w:rStyle w:val="FootnoteReference"/>
        </w:rPr>
        <w:footnoteRef/>
      </w:r>
      <w:r>
        <w:t xml:space="preserve"> P 6 line 3</w:t>
      </w:r>
    </w:p>
  </w:footnote>
  <w:footnote w:id="3">
    <w:p w:rsidR="000F3643" w:rsidRDefault="000F3643">
      <w:pPr>
        <w:pStyle w:val="FootnoteText"/>
      </w:pPr>
      <w:r>
        <w:rPr>
          <w:rStyle w:val="FootnoteReference"/>
        </w:rPr>
        <w:footnoteRef/>
      </w:r>
      <w:r>
        <w:t xml:space="preserve"> P 5 table in </w:t>
      </w:r>
      <w:proofErr w:type="gramStart"/>
      <w:r>
        <w:t>para  3</w:t>
      </w:r>
      <w:proofErr w:type="gramEnd"/>
      <w:r>
        <w:t xml:space="preserve"> </w:t>
      </w:r>
    </w:p>
  </w:footnote>
  <w:footnote w:id="4">
    <w:p w:rsidR="00E06EA7" w:rsidRDefault="00E06EA7" w:rsidP="00794AE8">
      <w:pPr>
        <w:pStyle w:val="Style1"/>
      </w:pPr>
      <w:r>
        <w:rPr>
          <w:rStyle w:val="FootnoteReference"/>
        </w:rPr>
        <w:footnoteRef/>
      </w:r>
      <w:r>
        <w:t xml:space="preserve"> P 14</w:t>
      </w:r>
    </w:p>
  </w:footnote>
  <w:footnote w:id="5">
    <w:p w:rsidR="00E06EA7" w:rsidRDefault="00E06EA7" w:rsidP="00794AE8">
      <w:pPr>
        <w:pStyle w:val="Style1"/>
      </w:pPr>
      <w:r>
        <w:rPr>
          <w:rStyle w:val="FootnoteReference"/>
        </w:rPr>
        <w:footnoteRef/>
      </w:r>
      <w:r>
        <w:t xml:space="preserve"> P 16 </w:t>
      </w:r>
    </w:p>
  </w:footnote>
  <w:footnote w:id="6">
    <w:p w:rsidR="00E06EA7" w:rsidRDefault="00E06EA7" w:rsidP="00794AE8">
      <w:pPr>
        <w:pStyle w:val="FootnoteText"/>
      </w:pPr>
      <w:r>
        <w:rPr>
          <w:rStyle w:val="FootnoteReference"/>
        </w:rPr>
        <w:footnoteRef/>
      </w:r>
      <w:r>
        <w:t xml:space="preserve"> P 14 l25 – 30 </w:t>
      </w:r>
    </w:p>
  </w:footnote>
  <w:footnote w:id="7">
    <w:p w:rsidR="00E06EA7" w:rsidRDefault="00E06EA7" w:rsidP="00794AE8">
      <w:pPr>
        <w:pStyle w:val="FootnoteText"/>
      </w:pPr>
      <w:r>
        <w:rPr>
          <w:rStyle w:val="FootnoteReference"/>
        </w:rPr>
        <w:footnoteRef/>
      </w:r>
      <w:r>
        <w:t xml:space="preserve"> P 62 l 25 – 30 </w:t>
      </w:r>
    </w:p>
  </w:footnote>
  <w:footnote w:id="8">
    <w:p w:rsidR="00E06EA7" w:rsidRDefault="00E06EA7" w:rsidP="00E06EA7">
      <w:pPr>
        <w:pStyle w:val="FootnoteText"/>
      </w:pPr>
      <w:r>
        <w:rPr>
          <w:rStyle w:val="FootnoteReference"/>
        </w:rPr>
        <w:footnoteRef/>
      </w:r>
      <w:r>
        <w:t xml:space="preserve"> P 63 para 11</w:t>
      </w:r>
    </w:p>
  </w:footnote>
  <w:footnote w:id="9">
    <w:p w:rsidR="00E06EA7" w:rsidRDefault="00E06EA7" w:rsidP="00E06EA7">
      <w:pPr>
        <w:pStyle w:val="FootnoteText"/>
      </w:pPr>
      <w:r>
        <w:rPr>
          <w:rStyle w:val="FootnoteReference"/>
        </w:rPr>
        <w:footnoteRef/>
      </w:r>
      <w:r>
        <w:t xml:space="preserve"> Ibid para 68</w:t>
      </w:r>
    </w:p>
  </w:footnote>
  <w:footnote w:id="10">
    <w:p w:rsidR="00E06EA7" w:rsidRDefault="00E06EA7" w:rsidP="00E06EA7">
      <w:pPr>
        <w:pStyle w:val="FootnoteText"/>
      </w:pPr>
      <w:r>
        <w:rPr>
          <w:rStyle w:val="FootnoteReference"/>
        </w:rPr>
        <w:footnoteRef/>
      </w:r>
      <w:r>
        <w:t xml:space="preserve"> P 144 lines 16 -21</w:t>
      </w:r>
    </w:p>
  </w:footnote>
  <w:footnote w:id="11">
    <w:p w:rsidR="00E06EA7" w:rsidRDefault="00E06EA7" w:rsidP="00E06EA7">
      <w:pPr>
        <w:pStyle w:val="FootnoteText"/>
      </w:pPr>
      <w:r>
        <w:rPr>
          <w:rStyle w:val="FootnoteReference"/>
        </w:rPr>
        <w:footnoteRef/>
      </w:r>
      <w:r>
        <w:t xml:space="preserve"> P 136 lines 12 - 17</w:t>
      </w:r>
    </w:p>
  </w:footnote>
  <w:footnote w:id="12">
    <w:p w:rsidR="00E06EA7" w:rsidRDefault="00E06EA7" w:rsidP="00E06EA7">
      <w:pPr>
        <w:pStyle w:val="FootnoteText"/>
      </w:pPr>
      <w:r>
        <w:rPr>
          <w:rStyle w:val="FootnoteReference"/>
        </w:rPr>
        <w:footnoteRef/>
      </w:r>
      <w:r>
        <w:t xml:space="preserve"> P 128 lines 1 -</w:t>
      </w:r>
      <w:proofErr w:type="gramStart"/>
      <w:r>
        <w:t>4 ,</w:t>
      </w:r>
      <w:proofErr w:type="gramEnd"/>
      <w:r>
        <w:t xml:space="preserve"> and 141 lines 15 – 20 </w:t>
      </w:r>
    </w:p>
  </w:footnote>
  <w:footnote w:id="13">
    <w:p w:rsidR="00E06EA7" w:rsidRDefault="00E06EA7" w:rsidP="00E06EA7">
      <w:pPr>
        <w:pStyle w:val="FootnoteText"/>
      </w:pPr>
      <w:r>
        <w:rPr>
          <w:rStyle w:val="FootnoteReference"/>
        </w:rPr>
        <w:footnoteRef/>
      </w:r>
      <w:r>
        <w:t xml:space="preserve"> P 144 lines 16 – 21 </w:t>
      </w:r>
    </w:p>
  </w:footnote>
  <w:footnote w:id="14">
    <w:p w:rsidR="00E06EA7" w:rsidRDefault="00E06EA7" w:rsidP="00E06EA7">
      <w:pPr>
        <w:pStyle w:val="FootnoteText"/>
      </w:pPr>
      <w:r>
        <w:rPr>
          <w:rStyle w:val="FootnoteReference"/>
        </w:rPr>
        <w:footnoteRef/>
      </w:r>
      <w:r>
        <w:t xml:space="preserve"> P 141 lines 4 - 6</w:t>
      </w:r>
    </w:p>
  </w:footnote>
  <w:footnote w:id="15">
    <w:p w:rsidR="00E06EA7" w:rsidRDefault="00E06EA7" w:rsidP="00E06EA7">
      <w:pPr>
        <w:pStyle w:val="FootnoteText"/>
      </w:pPr>
      <w:r>
        <w:rPr>
          <w:rStyle w:val="FootnoteReference"/>
        </w:rPr>
        <w:footnoteRef/>
      </w:r>
      <w:r>
        <w:t xml:space="preserve"> P 143 lines 1 -5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E80" w:rsidRDefault="00582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2E80" w:rsidRDefault="00582E80">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E80" w:rsidRDefault="00582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4ADB">
      <w:rPr>
        <w:rStyle w:val="PageNumber"/>
        <w:noProof/>
      </w:rPr>
      <w:t>6</w:t>
    </w:r>
    <w:r>
      <w:rPr>
        <w:rStyle w:val="PageNumber"/>
      </w:rPr>
      <w:fldChar w:fldCharType="end"/>
    </w:r>
  </w:p>
  <w:p w:rsidR="00582E80" w:rsidRDefault="00582E80">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E7929"/>
    <w:multiLevelType w:val="hybridMultilevel"/>
    <w:tmpl w:val="9CEEC71E"/>
    <w:lvl w:ilvl="0" w:tplc="44EA461C">
      <w:start w:val="1"/>
      <w:numFmt w:val="decimal"/>
      <w:lvlText w:val="[%1]"/>
      <w:lvlJc w:val="left"/>
      <w:pPr>
        <w:ind w:left="0" w:firstLine="0"/>
      </w:pPr>
      <w:rPr>
        <w:rFonts w:ascii="Arial" w:hAnsi="Arial" w:cs="Arial"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647EA"/>
    <w:multiLevelType w:val="hybridMultilevel"/>
    <w:tmpl w:val="05468AD2"/>
    <w:lvl w:ilvl="0" w:tplc="1D40A29E">
      <w:start w:val="1"/>
      <w:numFmt w:val="lowerLetter"/>
      <w:lvlText w:val="(%1)"/>
      <w:lvlJc w:val="left"/>
      <w:pPr>
        <w:ind w:left="2523" w:hanging="68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2" w15:restartNumberingAfterBreak="0">
    <w:nsid w:val="1A8760BF"/>
    <w:multiLevelType w:val="hybridMultilevel"/>
    <w:tmpl w:val="75E0B5FC"/>
    <w:lvl w:ilvl="0" w:tplc="24C62492">
      <w:start w:val="2"/>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1AB96508"/>
    <w:multiLevelType w:val="hybridMultilevel"/>
    <w:tmpl w:val="A1C45D44"/>
    <w:lvl w:ilvl="0" w:tplc="65D4107C">
      <w:start w:val="2"/>
      <w:numFmt w:val="lowerLetter"/>
      <w:lvlText w:val="(%1)"/>
      <w:lvlJc w:val="left"/>
      <w:pPr>
        <w:ind w:left="2241" w:hanging="360"/>
      </w:pPr>
      <w:rPr>
        <w:rFonts w:hint="default"/>
      </w:rPr>
    </w:lvl>
    <w:lvl w:ilvl="1" w:tplc="08090019" w:tentative="1">
      <w:start w:val="1"/>
      <w:numFmt w:val="lowerLetter"/>
      <w:lvlText w:val="%2."/>
      <w:lvlJc w:val="left"/>
      <w:pPr>
        <w:ind w:left="2961" w:hanging="360"/>
      </w:pPr>
    </w:lvl>
    <w:lvl w:ilvl="2" w:tplc="0809001B" w:tentative="1">
      <w:start w:val="1"/>
      <w:numFmt w:val="lowerRoman"/>
      <w:lvlText w:val="%3."/>
      <w:lvlJc w:val="right"/>
      <w:pPr>
        <w:ind w:left="3681" w:hanging="180"/>
      </w:pPr>
    </w:lvl>
    <w:lvl w:ilvl="3" w:tplc="0809000F" w:tentative="1">
      <w:start w:val="1"/>
      <w:numFmt w:val="decimal"/>
      <w:lvlText w:val="%4."/>
      <w:lvlJc w:val="left"/>
      <w:pPr>
        <w:ind w:left="4401" w:hanging="360"/>
      </w:pPr>
    </w:lvl>
    <w:lvl w:ilvl="4" w:tplc="08090019" w:tentative="1">
      <w:start w:val="1"/>
      <w:numFmt w:val="lowerLetter"/>
      <w:lvlText w:val="%5."/>
      <w:lvlJc w:val="left"/>
      <w:pPr>
        <w:ind w:left="5121" w:hanging="360"/>
      </w:pPr>
    </w:lvl>
    <w:lvl w:ilvl="5" w:tplc="0809001B" w:tentative="1">
      <w:start w:val="1"/>
      <w:numFmt w:val="lowerRoman"/>
      <w:lvlText w:val="%6."/>
      <w:lvlJc w:val="right"/>
      <w:pPr>
        <w:ind w:left="5841" w:hanging="180"/>
      </w:pPr>
    </w:lvl>
    <w:lvl w:ilvl="6" w:tplc="0809000F" w:tentative="1">
      <w:start w:val="1"/>
      <w:numFmt w:val="decimal"/>
      <w:lvlText w:val="%7."/>
      <w:lvlJc w:val="left"/>
      <w:pPr>
        <w:ind w:left="6561" w:hanging="360"/>
      </w:pPr>
    </w:lvl>
    <w:lvl w:ilvl="7" w:tplc="08090019" w:tentative="1">
      <w:start w:val="1"/>
      <w:numFmt w:val="lowerLetter"/>
      <w:lvlText w:val="%8."/>
      <w:lvlJc w:val="left"/>
      <w:pPr>
        <w:ind w:left="7281" w:hanging="360"/>
      </w:pPr>
    </w:lvl>
    <w:lvl w:ilvl="8" w:tplc="0809001B" w:tentative="1">
      <w:start w:val="1"/>
      <w:numFmt w:val="lowerRoman"/>
      <w:lvlText w:val="%9."/>
      <w:lvlJc w:val="right"/>
      <w:pPr>
        <w:ind w:left="8001" w:hanging="180"/>
      </w:pPr>
    </w:lvl>
  </w:abstractNum>
  <w:abstractNum w:abstractNumId="4" w15:restartNumberingAfterBreak="0">
    <w:nsid w:val="35A53E25"/>
    <w:multiLevelType w:val="hybridMultilevel"/>
    <w:tmpl w:val="DFC04BB6"/>
    <w:lvl w:ilvl="0" w:tplc="FFFFFFFF">
      <w:start w:val="1"/>
      <w:numFmt w:val="lowerRoman"/>
      <w:lvlText w:val="%1)"/>
      <w:lvlJc w:val="left"/>
      <w:pPr>
        <w:ind w:left="2421" w:hanging="720"/>
      </w:pPr>
      <w:rPr>
        <w:rFonts w:hint="default"/>
      </w:rPr>
    </w:lvl>
    <w:lvl w:ilvl="1" w:tplc="FFFFFFFF" w:tentative="1">
      <w:start w:val="1"/>
      <w:numFmt w:val="lowerLetter"/>
      <w:lvlText w:val="%2."/>
      <w:lvlJc w:val="left"/>
      <w:pPr>
        <w:ind w:left="2781" w:hanging="360"/>
      </w:pPr>
    </w:lvl>
    <w:lvl w:ilvl="2" w:tplc="FFFFFFFF" w:tentative="1">
      <w:start w:val="1"/>
      <w:numFmt w:val="lowerRoman"/>
      <w:lvlText w:val="%3."/>
      <w:lvlJc w:val="right"/>
      <w:pPr>
        <w:ind w:left="3501" w:hanging="180"/>
      </w:pPr>
    </w:lvl>
    <w:lvl w:ilvl="3" w:tplc="FFFFFFFF" w:tentative="1">
      <w:start w:val="1"/>
      <w:numFmt w:val="decimal"/>
      <w:lvlText w:val="%4."/>
      <w:lvlJc w:val="left"/>
      <w:pPr>
        <w:ind w:left="4221" w:hanging="360"/>
      </w:pPr>
    </w:lvl>
    <w:lvl w:ilvl="4" w:tplc="FFFFFFFF" w:tentative="1">
      <w:start w:val="1"/>
      <w:numFmt w:val="lowerLetter"/>
      <w:lvlText w:val="%5."/>
      <w:lvlJc w:val="left"/>
      <w:pPr>
        <w:ind w:left="4941" w:hanging="360"/>
      </w:pPr>
    </w:lvl>
    <w:lvl w:ilvl="5" w:tplc="FFFFFFFF" w:tentative="1">
      <w:start w:val="1"/>
      <w:numFmt w:val="lowerRoman"/>
      <w:lvlText w:val="%6."/>
      <w:lvlJc w:val="right"/>
      <w:pPr>
        <w:ind w:left="5661" w:hanging="180"/>
      </w:pPr>
    </w:lvl>
    <w:lvl w:ilvl="6" w:tplc="FFFFFFFF" w:tentative="1">
      <w:start w:val="1"/>
      <w:numFmt w:val="decimal"/>
      <w:lvlText w:val="%7."/>
      <w:lvlJc w:val="left"/>
      <w:pPr>
        <w:ind w:left="6381" w:hanging="360"/>
      </w:pPr>
    </w:lvl>
    <w:lvl w:ilvl="7" w:tplc="FFFFFFFF" w:tentative="1">
      <w:start w:val="1"/>
      <w:numFmt w:val="lowerLetter"/>
      <w:lvlText w:val="%8."/>
      <w:lvlJc w:val="left"/>
      <w:pPr>
        <w:ind w:left="7101" w:hanging="360"/>
      </w:pPr>
    </w:lvl>
    <w:lvl w:ilvl="8" w:tplc="FFFFFFFF" w:tentative="1">
      <w:start w:val="1"/>
      <w:numFmt w:val="lowerRoman"/>
      <w:lvlText w:val="%9."/>
      <w:lvlJc w:val="right"/>
      <w:pPr>
        <w:ind w:left="7821" w:hanging="180"/>
      </w:pPr>
    </w:lvl>
  </w:abstractNum>
  <w:abstractNum w:abstractNumId="5" w15:restartNumberingAfterBreak="0">
    <w:nsid w:val="37451CC7"/>
    <w:multiLevelType w:val="hybridMultilevel"/>
    <w:tmpl w:val="4476F56C"/>
    <w:lvl w:ilvl="0" w:tplc="D75EC27A">
      <w:start w:val="1"/>
      <w:numFmt w:val="lowerRoman"/>
      <w:lvlText w:val="(%1)"/>
      <w:lvlJc w:val="left"/>
      <w:pPr>
        <w:ind w:left="2988"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6" w15:restartNumberingAfterBreak="0">
    <w:nsid w:val="3DFB13E9"/>
    <w:multiLevelType w:val="hybridMultilevel"/>
    <w:tmpl w:val="BC6E5D54"/>
    <w:lvl w:ilvl="0" w:tplc="72B0512E">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7" w15:restartNumberingAfterBreak="0">
    <w:nsid w:val="43345EE3"/>
    <w:multiLevelType w:val="hybridMultilevel"/>
    <w:tmpl w:val="A0D2388A"/>
    <w:lvl w:ilvl="0" w:tplc="A6105698">
      <w:start w:val="1"/>
      <w:numFmt w:val="lowerLetter"/>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8" w15:restartNumberingAfterBreak="0">
    <w:nsid w:val="44C50352"/>
    <w:multiLevelType w:val="hybridMultilevel"/>
    <w:tmpl w:val="E28234AE"/>
    <w:lvl w:ilvl="0" w:tplc="81866306">
      <w:start w:val="2"/>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9" w15:restartNumberingAfterBreak="0">
    <w:nsid w:val="511D0755"/>
    <w:multiLevelType w:val="hybridMultilevel"/>
    <w:tmpl w:val="DFC04BB6"/>
    <w:lvl w:ilvl="0" w:tplc="05EC835C">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10" w15:restartNumberingAfterBreak="0">
    <w:nsid w:val="67CD5E4B"/>
    <w:multiLevelType w:val="hybridMultilevel"/>
    <w:tmpl w:val="66265ED4"/>
    <w:lvl w:ilvl="0" w:tplc="494C3610">
      <w:start w:val="2"/>
      <w:numFmt w:val="lowerRoman"/>
      <w:lvlText w:val="(%1)"/>
      <w:lvlJc w:val="left"/>
      <w:pPr>
        <w:ind w:left="2711" w:hanging="720"/>
      </w:pPr>
      <w:rPr>
        <w:rFonts w:hint="default"/>
      </w:rPr>
    </w:lvl>
    <w:lvl w:ilvl="1" w:tplc="08090019" w:tentative="1">
      <w:start w:val="1"/>
      <w:numFmt w:val="lowerLetter"/>
      <w:lvlText w:val="%2."/>
      <w:lvlJc w:val="left"/>
      <w:pPr>
        <w:ind w:left="3071" w:hanging="360"/>
      </w:pPr>
    </w:lvl>
    <w:lvl w:ilvl="2" w:tplc="0809001B" w:tentative="1">
      <w:start w:val="1"/>
      <w:numFmt w:val="lowerRoman"/>
      <w:lvlText w:val="%3."/>
      <w:lvlJc w:val="right"/>
      <w:pPr>
        <w:ind w:left="3791" w:hanging="180"/>
      </w:pPr>
    </w:lvl>
    <w:lvl w:ilvl="3" w:tplc="0809000F" w:tentative="1">
      <w:start w:val="1"/>
      <w:numFmt w:val="decimal"/>
      <w:lvlText w:val="%4."/>
      <w:lvlJc w:val="left"/>
      <w:pPr>
        <w:ind w:left="4511" w:hanging="360"/>
      </w:pPr>
    </w:lvl>
    <w:lvl w:ilvl="4" w:tplc="08090019" w:tentative="1">
      <w:start w:val="1"/>
      <w:numFmt w:val="lowerLetter"/>
      <w:lvlText w:val="%5."/>
      <w:lvlJc w:val="left"/>
      <w:pPr>
        <w:ind w:left="5231" w:hanging="360"/>
      </w:pPr>
    </w:lvl>
    <w:lvl w:ilvl="5" w:tplc="0809001B" w:tentative="1">
      <w:start w:val="1"/>
      <w:numFmt w:val="lowerRoman"/>
      <w:lvlText w:val="%6."/>
      <w:lvlJc w:val="right"/>
      <w:pPr>
        <w:ind w:left="5951" w:hanging="180"/>
      </w:pPr>
    </w:lvl>
    <w:lvl w:ilvl="6" w:tplc="0809000F" w:tentative="1">
      <w:start w:val="1"/>
      <w:numFmt w:val="decimal"/>
      <w:lvlText w:val="%7."/>
      <w:lvlJc w:val="left"/>
      <w:pPr>
        <w:ind w:left="6671" w:hanging="360"/>
      </w:pPr>
    </w:lvl>
    <w:lvl w:ilvl="7" w:tplc="08090019" w:tentative="1">
      <w:start w:val="1"/>
      <w:numFmt w:val="lowerLetter"/>
      <w:lvlText w:val="%8."/>
      <w:lvlJc w:val="left"/>
      <w:pPr>
        <w:ind w:left="7391" w:hanging="360"/>
      </w:pPr>
    </w:lvl>
    <w:lvl w:ilvl="8" w:tplc="0809001B" w:tentative="1">
      <w:start w:val="1"/>
      <w:numFmt w:val="lowerRoman"/>
      <w:lvlText w:val="%9."/>
      <w:lvlJc w:val="right"/>
      <w:pPr>
        <w:ind w:left="8111" w:hanging="180"/>
      </w:pPr>
    </w:lvl>
  </w:abstractNum>
  <w:abstractNum w:abstractNumId="11" w15:restartNumberingAfterBreak="0">
    <w:nsid w:val="7C8D7FD7"/>
    <w:multiLevelType w:val="hybridMultilevel"/>
    <w:tmpl w:val="570E42F2"/>
    <w:lvl w:ilvl="0" w:tplc="C986BBAC">
      <w:start w:val="1"/>
      <w:numFmt w:val="decimal"/>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9"/>
  </w:num>
  <w:num w:numId="5">
    <w:abstractNumId w:val="4"/>
  </w:num>
  <w:num w:numId="6">
    <w:abstractNumId w:val="10"/>
  </w:num>
  <w:num w:numId="7">
    <w:abstractNumId w:val="8"/>
  </w:num>
  <w:num w:numId="8">
    <w:abstractNumId w:val="6"/>
  </w:num>
  <w:num w:numId="9">
    <w:abstractNumId w:val="2"/>
  </w:num>
  <w:num w:numId="10">
    <w:abstractNumId w:val="1"/>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744"/>
    <w:rsid w:val="000438CA"/>
    <w:rsid w:val="000614F9"/>
    <w:rsid w:val="00065733"/>
    <w:rsid w:val="000B3D4E"/>
    <w:rsid w:val="000F3643"/>
    <w:rsid w:val="00116F71"/>
    <w:rsid w:val="00165536"/>
    <w:rsid w:val="001775B6"/>
    <w:rsid w:val="001C3565"/>
    <w:rsid w:val="001D607B"/>
    <w:rsid w:val="001F0EB4"/>
    <w:rsid w:val="00202288"/>
    <w:rsid w:val="00205F75"/>
    <w:rsid w:val="00393685"/>
    <w:rsid w:val="00475D17"/>
    <w:rsid w:val="00582E80"/>
    <w:rsid w:val="00633ED3"/>
    <w:rsid w:val="0066050E"/>
    <w:rsid w:val="00725B96"/>
    <w:rsid w:val="00794AE8"/>
    <w:rsid w:val="007D6ACC"/>
    <w:rsid w:val="00811EF0"/>
    <w:rsid w:val="00824A6E"/>
    <w:rsid w:val="008469F5"/>
    <w:rsid w:val="00911FC4"/>
    <w:rsid w:val="00951D51"/>
    <w:rsid w:val="00981C25"/>
    <w:rsid w:val="009B1A22"/>
    <w:rsid w:val="009B4845"/>
    <w:rsid w:val="00A249B2"/>
    <w:rsid w:val="00A54ADB"/>
    <w:rsid w:val="00B51744"/>
    <w:rsid w:val="00B66C12"/>
    <w:rsid w:val="00BB14A9"/>
    <w:rsid w:val="00C45760"/>
    <w:rsid w:val="00CC4BBB"/>
    <w:rsid w:val="00D60F5F"/>
    <w:rsid w:val="00DF1370"/>
    <w:rsid w:val="00E06EA7"/>
    <w:rsid w:val="00E24120"/>
    <w:rsid w:val="00EB2D31"/>
    <w:rsid w:val="00F21FF5"/>
    <w:rsid w:val="00F26D06"/>
    <w:rsid w:val="00FB3956"/>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AE7C7"/>
  <w15:chartTrackingRefBased/>
  <w15:docId w15:val="{8420EDB5-8ABE-0F42-A132-36CE4CD58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51744"/>
    <w:pPr>
      <w:keepNext/>
      <w:spacing w:line="360" w:lineRule="auto"/>
      <w:outlineLvl w:val="0"/>
    </w:pPr>
    <w:rPr>
      <w:rFonts w:ascii="Arial" w:eastAsia="Times New Roman" w:hAnsi="Arial" w:cs="Arial"/>
      <w:b/>
      <w:bCs/>
      <w:sz w:val="28"/>
      <w:lang w:val="en-GB"/>
    </w:rPr>
  </w:style>
  <w:style w:type="paragraph" w:styleId="Heading2">
    <w:name w:val="heading 2"/>
    <w:basedOn w:val="Normal"/>
    <w:next w:val="Normal"/>
    <w:link w:val="Heading2Char"/>
    <w:uiPriority w:val="9"/>
    <w:semiHidden/>
    <w:unhideWhenUsed/>
    <w:qFormat/>
    <w:rsid w:val="00E2412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B51744"/>
    <w:pPr>
      <w:keepNext/>
      <w:spacing w:line="360" w:lineRule="auto"/>
      <w:jc w:val="both"/>
      <w:outlineLvl w:val="2"/>
    </w:pPr>
    <w:rPr>
      <w:rFonts w:ascii="Arial" w:eastAsia="Times New Roman" w:hAnsi="Arial" w:cs="Arial"/>
      <w:i/>
      <w:iCs/>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1744"/>
    <w:rPr>
      <w:rFonts w:ascii="Arial" w:eastAsia="Times New Roman" w:hAnsi="Arial" w:cs="Arial"/>
      <w:b/>
      <w:bCs/>
      <w:sz w:val="28"/>
      <w:lang w:val="en-GB"/>
    </w:rPr>
  </w:style>
  <w:style w:type="character" w:customStyle="1" w:styleId="Heading3Char">
    <w:name w:val="Heading 3 Char"/>
    <w:basedOn w:val="DefaultParagraphFont"/>
    <w:link w:val="Heading3"/>
    <w:rsid w:val="00B51744"/>
    <w:rPr>
      <w:rFonts w:ascii="Arial" w:eastAsia="Times New Roman" w:hAnsi="Arial" w:cs="Arial"/>
      <w:i/>
      <w:iCs/>
      <w:sz w:val="28"/>
      <w:lang w:val="en-GB"/>
    </w:rPr>
  </w:style>
  <w:style w:type="paragraph" w:styleId="Header">
    <w:name w:val="header"/>
    <w:basedOn w:val="Normal"/>
    <w:link w:val="HeaderChar"/>
    <w:rsid w:val="00B51744"/>
    <w:pPr>
      <w:tabs>
        <w:tab w:val="center" w:pos="4153"/>
        <w:tab w:val="right" w:pos="8306"/>
      </w:tabs>
    </w:pPr>
    <w:rPr>
      <w:rFonts w:ascii="Times New Roman" w:eastAsia="Times New Roman" w:hAnsi="Times New Roman" w:cs="Times New Roman"/>
      <w:lang w:val="en-GB"/>
    </w:rPr>
  </w:style>
  <w:style w:type="character" w:customStyle="1" w:styleId="HeaderChar">
    <w:name w:val="Header Char"/>
    <w:basedOn w:val="DefaultParagraphFont"/>
    <w:link w:val="Header"/>
    <w:rsid w:val="00B51744"/>
    <w:rPr>
      <w:rFonts w:ascii="Times New Roman" w:eastAsia="Times New Roman" w:hAnsi="Times New Roman" w:cs="Times New Roman"/>
      <w:lang w:val="en-GB"/>
    </w:rPr>
  </w:style>
  <w:style w:type="character" w:styleId="PageNumber">
    <w:name w:val="page number"/>
    <w:basedOn w:val="DefaultParagraphFont"/>
    <w:rsid w:val="00B51744"/>
    <w:rPr>
      <w:rFonts w:cs="Times New Roman"/>
    </w:rPr>
  </w:style>
  <w:style w:type="paragraph" w:styleId="FootnoteText">
    <w:name w:val="footnote text"/>
    <w:basedOn w:val="Normal"/>
    <w:link w:val="FootnoteTextChar"/>
    <w:autoRedefine/>
    <w:uiPriority w:val="99"/>
    <w:rsid w:val="00794AE8"/>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uiPriority w:val="99"/>
    <w:rsid w:val="00794AE8"/>
    <w:rPr>
      <w:rFonts w:ascii="Arial" w:eastAsia="Times New Roman" w:hAnsi="Arial" w:cs="Times New Roman"/>
      <w:sz w:val="20"/>
      <w:szCs w:val="20"/>
      <w:lang w:val="en-GB"/>
    </w:rPr>
  </w:style>
  <w:style w:type="paragraph" w:customStyle="1" w:styleId="Pa3">
    <w:name w:val="Pa3"/>
    <w:basedOn w:val="Normal"/>
    <w:next w:val="Normal"/>
    <w:uiPriority w:val="99"/>
    <w:rsid w:val="00B51744"/>
    <w:pPr>
      <w:autoSpaceDE w:val="0"/>
      <w:autoSpaceDN w:val="0"/>
      <w:adjustRightInd w:val="0"/>
      <w:spacing w:line="241" w:lineRule="atLeast"/>
    </w:pPr>
    <w:rPr>
      <w:rFonts w:ascii="Arial" w:eastAsia="Times New Roman" w:hAnsi="Arial" w:cs="Times New Roman"/>
      <w:lang w:val="en-GB"/>
    </w:rPr>
  </w:style>
  <w:style w:type="paragraph" w:styleId="NormalIndent">
    <w:name w:val="Normal Indent"/>
    <w:basedOn w:val="Normal"/>
    <w:uiPriority w:val="99"/>
    <w:semiHidden/>
    <w:unhideWhenUsed/>
    <w:rsid w:val="00B51744"/>
    <w:pPr>
      <w:spacing w:line="480" w:lineRule="auto"/>
      <w:ind w:left="720"/>
      <w:jc w:val="both"/>
    </w:pPr>
    <w:rPr>
      <w:rFonts w:ascii="Times New Roman" w:eastAsia="Times New Roman" w:hAnsi="Times New Roman" w:cs="Times New Roman"/>
      <w:sz w:val="28"/>
      <w:szCs w:val="28"/>
      <w:lang w:val="en-GB"/>
    </w:rPr>
  </w:style>
  <w:style w:type="paragraph" w:styleId="ListParagraph">
    <w:name w:val="List Paragraph"/>
    <w:basedOn w:val="Normal"/>
    <w:uiPriority w:val="34"/>
    <w:qFormat/>
    <w:rsid w:val="00B51744"/>
    <w:pPr>
      <w:ind w:left="720"/>
      <w:contextualSpacing/>
    </w:pPr>
    <w:rPr>
      <w:rFonts w:ascii="Times New Roman" w:eastAsia="Times New Roman" w:hAnsi="Times New Roman" w:cs="Times New Roman"/>
      <w:lang w:val="en-GB"/>
    </w:rPr>
  </w:style>
  <w:style w:type="character" w:styleId="FootnoteReference">
    <w:name w:val="footnote reference"/>
    <w:basedOn w:val="DefaultParagraphFont"/>
    <w:uiPriority w:val="99"/>
    <w:semiHidden/>
    <w:unhideWhenUsed/>
    <w:rsid w:val="00E06EA7"/>
    <w:rPr>
      <w:vertAlign w:val="superscript"/>
    </w:rPr>
  </w:style>
  <w:style w:type="paragraph" w:customStyle="1" w:styleId="blockquote-x">
    <w:name w:val="blockquote-x"/>
    <w:basedOn w:val="Normal"/>
    <w:rsid w:val="00E06EA7"/>
    <w:pPr>
      <w:spacing w:before="100" w:beforeAutospacing="1" w:after="100" w:afterAutospacing="1"/>
    </w:pPr>
    <w:rPr>
      <w:rFonts w:ascii="Times New Roman" w:eastAsia="Times New Roman" w:hAnsi="Times New Roman" w:cs="Times New Roman"/>
      <w:lang w:eastAsia="en-GB"/>
    </w:rPr>
  </w:style>
  <w:style w:type="paragraph" w:customStyle="1" w:styleId="blockquotetab">
    <w:name w:val="blockquotetab"/>
    <w:basedOn w:val="Normal"/>
    <w:rsid w:val="00E06EA7"/>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E06EA7"/>
  </w:style>
  <w:style w:type="paragraph" w:customStyle="1" w:styleId="Style1">
    <w:name w:val="Style1"/>
    <w:basedOn w:val="FootnoteText"/>
    <w:link w:val="Style1Char"/>
    <w:qFormat/>
    <w:rsid w:val="00794AE8"/>
  </w:style>
  <w:style w:type="character" w:customStyle="1" w:styleId="Style1Char">
    <w:name w:val="Style1 Char"/>
    <w:basedOn w:val="FootnoteTextChar"/>
    <w:link w:val="Style1"/>
    <w:rsid w:val="00794AE8"/>
    <w:rPr>
      <w:rFonts w:ascii="Arial" w:eastAsia="Times New Roman" w:hAnsi="Arial" w:cs="Times New Roman"/>
      <w:sz w:val="20"/>
      <w:szCs w:val="20"/>
      <w:lang w:val="en-GB"/>
    </w:rPr>
  </w:style>
  <w:style w:type="character" w:customStyle="1" w:styleId="Heading2Char">
    <w:name w:val="Heading 2 Char"/>
    <w:basedOn w:val="DefaultParagraphFont"/>
    <w:link w:val="Heading2"/>
    <w:uiPriority w:val="9"/>
    <w:semiHidden/>
    <w:rsid w:val="00E2412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B2D31"/>
    <w:rPr>
      <w:color w:val="0563C1" w:themeColor="hyperlink"/>
      <w:u w:val="single"/>
    </w:rPr>
  </w:style>
  <w:style w:type="character" w:customStyle="1" w:styleId="UnresolvedMention">
    <w:name w:val="Unresolved Mention"/>
    <w:basedOn w:val="DefaultParagraphFont"/>
    <w:uiPriority w:val="99"/>
    <w:rsid w:val="00EB2D31"/>
    <w:rPr>
      <w:color w:val="605E5C"/>
      <w:shd w:val="clear" w:color="auto" w:fill="E1DFDD"/>
    </w:rPr>
  </w:style>
  <w:style w:type="paragraph" w:styleId="BalloonText">
    <w:name w:val="Balloon Text"/>
    <w:basedOn w:val="Normal"/>
    <w:link w:val="BalloonTextChar"/>
    <w:uiPriority w:val="99"/>
    <w:semiHidden/>
    <w:unhideWhenUsed/>
    <w:rsid w:val="001D60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0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483350">
      <w:bodyDiv w:val="1"/>
      <w:marLeft w:val="0"/>
      <w:marRight w:val="0"/>
      <w:marTop w:val="0"/>
      <w:marBottom w:val="0"/>
      <w:divBdr>
        <w:top w:val="none" w:sz="0" w:space="0" w:color="auto"/>
        <w:left w:val="none" w:sz="0" w:space="0" w:color="auto"/>
        <w:bottom w:val="none" w:sz="0" w:space="0" w:color="auto"/>
        <w:right w:val="none" w:sz="0" w:space="0" w:color="auto"/>
      </w:divBdr>
    </w:div>
    <w:div w:id="371467404">
      <w:bodyDiv w:val="1"/>
      <w:marLeft w:val="0"/>
      <w:marRight w:val="0"/>
      <w:marTop w:val="0"/>
      <w:marBottom w:val="0"/>
      <w:divBdr>
        <w:top w:val="none" w:sz="0" w:space="0" w:color="auto"/>
        <w:left w:val="none" w:sz="0" w:space="0" w:color="auto"/>
        <w:bottom w:val="none" w:sz="0" w:space="0" w:color="auto"/>
        <w:right w:val="none" w:sz="0" w:space="0" w:color="auto"/>
      </w:divBdr>
      <w:divsChild>
        <w:div w:id="117140477">
          <w:marLeft w:val="0"/>
          <w:marRight w:val="0"/>
          <w:marTop w:val="0"/>
          <w:marBottom w:val="0"/>
          <w:divBdr>
            <w:top w:val="none" w:sz="0" w:space="0" w:color="auto"/>
            <w:left w:val="none" w:sz="0" w:space="0" w:color="auto"/>
            <w:bottom w:val="none" w:sz="0" w:space="0" w:color="auto"/>
            <w:right w:val="none" w:sz="0" w:space="0" w:color="auto"/>
          </w:divBdr>
        </w:div>
        <w:div w:id="1840001181">
          <w:marLeft w:val="0"/>
          <w:marRight w:val="0"/>
          <w:marTop w:val="0"/>
          <w:marBottom w:val="0"/>
          <w:divBdr>
            <w:top w:val="none" w:sz="0" w:space="0" w:color="auto"/>
            <w:left w:val="none" w:sz="0" w:space="0" w:color="auto"/>
            <w:bottom w:val="none" w:sz="0" w:space="0" w:color="auto"/>
            <w:right w:val="none" w:sz="0" w:space="0" w:color="auto"/>
          </w:divBdr>
        </w:div>
      </w:divsChild>
    </w:div>
    <w:div w:id="887836116">
      <w:bodyDiv w:val="1"/>
      <w:marLeft w:val="0"/>
      <w:marRight w:val="0"/>
      <w:marTop w:val="0"/>
      <w:marBottom w:val="0"/>
      <w:divBdr>
        <w:top w:val="none" w:sz="0" w:space="0" w:color="auto"/>
        <w:left w:val="none" w:sz="0" w:space="0" w:color="auto"/>
        <w:bottom w:val="none" w:sz="0" w:space="0" w:color="auto"/>
        <w:right w:val="none" w:sz="0" w:space="0" w:color="auto"/>
      </w:divBdr>
      <w:divsChild>
        <w:div w:id="1177186082">
          <w:marLeft w:val="0"/>
          <w:marRight w:val="0"/>
          <w:marTop w:val="0"/>
          <w:marBottom w:val="0"/>
          <w:divBdr>
            <w:top w:val="none" w:sz="0" w:space="0" w:color="auto"/>
            <w:left w:val="none" w:sz="0" w:space="0" w:color="auto"/>
            <w:bottom w:val="none" w:sz="0" w:space="0" w:color="auto"/>
            <w:right w:val="none" w:sz="0" w:space="0" w:color="auto"/>
          </w:divBdr>
        </w:div>
        <w:div w:id="77799187">
          <w:marLeft w:val="0"/>
          <w:marRight w:val="0"/>
          <w:marTop w:val="0"/>
          <w:marBottom w:val="0"/>
          <w:divBdr>
            <w:top w:val="none" w:sz="0" w:space="0" w:color="auto"/>
            <w:left w:val="none" w:sz="0" w:space="0" w:color="auto"/>
            <w:bottom w:val="none" w:sz="0" w:space="0" w:color="auto"/>
            <w:right w:val="none" w:sz="0" w:space="0" w:color="auto"/>
          </w:divBdr>
        </w:div>
      </w:divsChild>
    </w:div>
    <w:div w:id="1441296896">
      <w:bodyDiv w:val="1"/>
      <w:marLeft w:val="0"/>
      <w:marRight w:val="0"/>
      <w:marTop w:val="0"/>
      <w:marBottom w:val="0"/>
      <w:divBdr>
        <w:top w:val="none" w:sz="0" w:space="0" w:color="auto"/>
        <w:left w:val="none" w:sz="0" w:space="0" w:color="auto"/>
        <w:bottom w:val="none" w:sz="0" w:space="0" w:color="auto"/>
        <w:right w:val="none" w:sz="0" w:space="0" w:color="auto"/>
      </w:divBdr>
      <w:divsChild>
        <w:div w:id="246765330">
          <w:marLeft w:val="0"/>
          <w:marRight w:val="0"/>
          <w:marTop w:val="0"/>
          <w:marBottom w:val="0"/>
          <w:divBdr>
            <w:top w:val="none" w:sz="0" w:space="0" w:color="auto"/>
            <w:left w:val="none" w:sz="0" w:space="0" w:color="auto"/>
            <w:bottom w:val="none" w:sz="0" w:space="0" w:color="auto"/>
            <w:right w:val="none" w:sz="0" w:space="0" w:color="auto"/>
          </w:divBdr>
        </w:div>
        <w:div w:id="32124553">
          <w:marLeft w:val="0"/>
          <w:marRight w:val="0"/>
          <w:marTop w:val="0"/>
          <w:marBottom w:val="0"/>
          <w:divBdr>
            <w:top w:val="none" w:sz="0" w:space="0" w:color="auto"/>
            <w:left w:val="none" w:sz="0" w:space="0" w:color="auto"/>
            <w:bottom w:val="none" w:sz="0" w:space="0" w:color="auto"/>
            <w:right w:val="none" w:sz="0" w:space="0" w:color="auto"/>
          </w:divBdr>
        </w:div>
      </w:divsChild>
    </w:div>
    <w:div w:id="2072190461">
      <w:bodyDiv w:val="1"/>
      <w:marLeft w:val="0"/>
      <w:marRight w:val="0"/>
      <w:marTop w:val="0"/>
      <w:marBottom w:val="0"/>
      <w:divBdr>
        <w:top w:val="none" w:sz="0" w:space="0" w:color="auto"/>
        <w:left w:val="none" w:sz="0" w:space="0" w:color="auto"/>
        <w:bottom w:val="none" w:sz="0" w:space="0" w:color="auto"/>
        <w:right w:val="none" w:sz="0" w:space="0" w:color="auto"/>
      </w:divBdr>
      <w:divsChild>
        <w:div w:id="257325155">
          <w:marLeft w:val="0"/>
          <w:marRight w:val="0"/>
          <w:marTop w:val="0"/>
          <w:marBottom w:val="0"/>
          <w:divBdr>
            <w:top w:val="none" w:sz="0" w:space="0" w:color="auto"/>
            <w:left w:val="none" w:sz="0" w:space="0" w:color="auto"/>
            <w:bottom w:val="none" w:sz="0" w:space="0" w:color="auto"/>
            <w:right w:val="none" w:sz="0" w:space="0" w:color="auto"/>
          </w:divBdr>
        </w:div>
        <w:div w:id="353970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torm@moore-law.co.za" TargetMode="External"/><Relationship Id="rId4" Type="http://schemas.openxmlformats.org/officeDocument/2006/relationships/settings" Target="settings.xml"/><Relationship Id="rId9" Type="http://schemas.openxmlformats.org/officeDocument/2006/relationships/hyperlink" Target="Tel:+2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3B9F7-D882-4916-83C2-3D49A4AE0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2476</Words>
  <Characters>14119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Annandale</dc:creator>
  <cp:keywords/>
  <dc:description/>
  <cp:lastModifiedBy>Mary Bruce</cp:lastModifiedBy>
  <cp:revision>4</cp:revision>
  <cp:lastPrinted>2023-11-03T05:45:00Z</cp:lastPrinted>
  <dcterms:created xsi:type="dcterms:W3CDTF">2023-11-03T07:35:00Z</dcterms:created>
  <dcterms:modified xsi:type="dcterms:W3CDTF">2023-11-03T13:10:00Z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2023-10-28T16:32:01Z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569d8729-45df-4682-926a-dcf3414410d9</vt:lpwstr>
  </property>
  <property fmtid="{D5CDD505-2E9C-101B-9397-08002B2CF9AE}" pid="7" name="MSIP_Label_defa4170-0d19-0005-0004-bc88714345d2_ActionId">
    <vt:lpwstr>b4fd3f84-ac48-46a7-b4be-8dc5cdb5d50f</vt:lpwstr>
  </property>
  <property fmtid="{D5CDD505-2E9C-101B-9397-08002B2CF9AE}" pid="8" name="MSIP_Label_defa4170-0d19-0005-0004-bc88714345d2_ContentBits">
    <vt:lpwstr>0</vt:lpwstr>
  </property>
</Properties>
</file>