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64" w:rsidRPr="000007F0" w:rsidRDefault="006C3464" w:rsidP="00642432">
      <w:pPr>
        <w:spacing w:line="360" w:lineRule="auto"/>
        <w:contextualSpacing/>
        <w:jc w:val="center"/>
        <w:outlineLvl w:val="0"/>
        <w:rPr>
          <w:rFonts w:cs="Arial"/>
          <w:bCs/>
        </w:rPr>
      </w:pPr>
      <w:bookmarkStart w:id="0" w:name="OLE_LINK5"/>
      <w:bookmarkStart w:id="1" w:name="OLE_LINK6"/>
      <w:bookmarkStart w:id="2" w:name="_Hlk4159271"/>
      <w:bookmarkStart w:id="3" w:name="_GoBack"/>
      <w:bookmarkEnd w:id="3"/>
      <w:r w:rsidRPr="000007F0">
        <w:rPr>
          <w:noProof/>
          <w:lang w:eastAsia="en-ZA"/>
        </w:rPr>
        <w:drawing>
          <wp:inline distT="0" distB="0" distL="0" distR="0" wp14:anchorId="007B8A2C" wp14:editId="5C46D4DD">
            <wp:extent cx="1273331" cy="1117600"/>
            <wp:effectExtent l="0" t="0" r="3175"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736" cy="1120589"/>
                    </a:xfrm>
                    <a:prstGeom prst="rect">
                      <a:avLst/>
                    </a:prstGeom>
                    <a:noFill/>
                    <a:ln>
                      <a:noFill/>
                    </a:ln>
                  </pic:spPr>
                </pic:pic>
              </a:graphicData>
            </a:graphic>
          </wp:inline>
        </w:drawing>
      </w:r>
    </w:p>
    <w:p w:rsidR="008A30EA" w:rsidRPr="000007F0" w:rsidRDefault="008A30EA" w:rsidP="00642432">
      <w:pPr>
        <w:spacing w:line="360" w:lineRule="auto"/>
        <w:contextualSpacing/>
        <w:jc w:val="center"/>
        <w:outlineLvl w:val="0"/>
        <w:rPr>
          <w:rFonts w:cs="Arial"/>
          <w:b/>
        </w:rPr>
      </w:pPr>
      <w:r w:rsidRPr="000007F0">
        <w:rPr>
          <w:rFonts w:cs="Arial"/>
          <w:b/>
        </w:rPr>
        <w:t>IN THE HIGH COURT OF SOUTH AFRICA</w:t>
      </w:r>
    </w:p>
    <w:p w:rsidR="008A30EA" w:rsidRPr="000007F0" w:rsidRDefault="008A30EA" w:rsidP="00642432">
      <w:pPr>
        <w:spacing w:line="360" w:lineRule="auto"/>
        <w:contextualSpacing/>
        <w:jc w:val="center"/>
        <w:outlineLvl w:val="0"/>
        <w:rPr>
          <w:rFonts w:cs="Arial"/>
          <w:b/>
        </w:rPr>
      </w:pPr>
      <w:r w:rsidRPr="000007F0">
        <w:rPr>
          <w:rFonts w:cs="Arial"/>
          <w:b/>
        </w:rPr>
        <w:t xml:space="preserve">KWAZULU-NATAL DIVISION, </w:t>
      </w:r>
      <w:r w:rsidR="00D534EA" w:rsidRPr="000007F0">
        <w:rPr>
          <w:rFonts w:cs="Arial"/>
          <w:b/>
        </w:rPr>
        <w:t>PIETERMARITZBURG</w:t>
      </w:r>
    </w:p>
    <w:p w:rsidR="008A30EA" w:rsidRPr="000007F0" w:rsidRDefault="008A30EA" w:rsidP="00642432">
      <w:pPr>
        <w:spacing w:line="360" w:lineRule="auto"/>
        <w:contextualSpacing/>
        <w:jc w:val="both"/>
        <w:outlineLvl w:val="0"/>
        <w:rPr>
          <w:rFonts w:cs="Arial"/>
        </w:rPr>
      </w:pPr>
    </w:p>
    <w:bookmarkEnd w:id="0"/>
    <w:bookmarkEnd w:id="1"/>
    <w:p w:rsidR="00D75102" w:rsidRPr="000007F0" w:rsidRDefault="00D75102" w:rsidP="00642432">
      <w:pPr>
        <w:spacing w:line="360" w:lineRule="auto"/>
        <w:contextualSpacing/>
        <w:jc w:val="right"/>
        <w:rPr>
          <w:rFonts w:cs="Arial"/>
          <w:b/>
        </w:rPr>
      </w:pPr>
      <w:r w:rsidRPr="000007F0">
        <w:rPr>
          <w:rFonts w:cs="Arial"/>
          <w:b/>
        </w:rPr>
        <w:t>CASE NO:</w:t>
      </w:r>
      <w:r w:rsidR="00C34EA4" w:rsidRPr="000007F0">
        <w:rPr>
          <w:rFonts w:cs="Arial"/>
          <w:b/>
        </w:rPr>
        <w:t xml:space="preserve"> </w:t>
      </w:r>
      <w:r w:rsidR="009362E0" w:rsidRPr="000007F0">
        <w:rPr>
          <w:rFonts w:cs="Arial"/>
          <w:b/>
        </w:rPr>
        <w:t xml:space="preserve">AR11/2022 </w:t>
      </w:r>
    </w:p>
    <w:p w:rsidR="00D75102" w:rsidRPr="000007F0" w:rsidRDefault="00D75102" w:rsidP="00642432">
      <w:pPr>
        <w:spacing w:line="360" w:lineRule="auto"/>
        <w:contextualSpacing/>
        <w:jc w:val="both"/>
        <w:rPr>
          <w:rFonts w:cs="Arial"/>
        </w:rPr>
      </w:pPr>
    </w:p>
    <w:p w:rsidR="00D75102" w:rsidRPr="000007F0" w:rsidRDefault="00D75102" w:rsidP="00642432">
      <w:pPr>
        <w:spacing w:line="360" w:lineRule="auto"/>
        <w:contextualSpacing/>
        <w:jc w:val="both"/>
        <w:rPr>
          <w:rFonts w:cs="Arial"/>
        </w:rPr>
      </w:pPr>
      <w:r w:rsidRPr="000007F0">
        <w:rPr>
          <w:rFonts w:cs="Arial"/>
        </w:rPr>
        <w:t>In the matter between:</w:t>
      </w:r>
    </w:p>
    <w:p w:rsidR="005035DF" w:rsidRDefault="005035DF" w:rsidP="00642432">
      <w:pPr>
        <w:tabs>
          <w:tab w:val="right" w:pos="8789"/>
        </w:tabs>
        <w:spacing w:line="360" w:lineRule="auto"/>
        <w:contextualSpacing/>
        <w:jc w:val="both"/>
        <w:rPr>
          <w:rFonts w:cs="Arial"/>
          <w:b/>
        </w:rPr>
      </w:pPr>
    </w:p>
    <w:p w:rsidR="00D75102" w:rsidRPr="000007F0" w:rsidRDefault="009362E0" w:rsidP="00642432">
      <w:pPr>
        <w:tabs>
          <w:tab w:val="right" w:pos="8789"/>
        </w:tabs>
        <w:spacing w:line="360" w:lineRule="auto"/>
        <w:contextualSpacing/>
        <w:jc w:val="both"/>
        <w:rPr>
          <w:rFonts w:cs="Arial"/>
          <w:b/>
        </w:rPr>
      </w:pPr>
      <w:r w:rsidRPr="000007F0">
        <w:rPr>
          <w:rFonts w:cs="Arial"/>
          <w:b/>
        </w:rPr>
        <w:t>TAYYIB GALDHARI</w:t>
      </w:r>
      <w:r w:rsidR="00D75102" w:rsidRPr="000007F0">
        <w:rPr>
          <w:rFonts w:cs="Arial"/>
          <w:b/>
        </w:rPr>
        <w:tab/>
      </w:r>
      <w:r w:rsidR="00256E30" w:rsidRPr="000007F0">
        <w:rPr>
          <w:rFonts w:cs="Arial"/>
          <w:b/>
        </w:rPr>
        <w:t>APPELLANT</w:t>
      </w:r>
    </w:p>
    <w:p w:rsidR="00D75102" w:rsidRPr="000007F0" w:rsidRDefault="00D75102" w:rsidP="00642432">
      <w:pPr>
        <w:tabs>
          <w:tab w:val="right" w:pos="8789"/>
        </w:tabs>
        <w:spacing w:line="360" w:lineRule="auto"/>
        <w:contextualSpacing/>
        <w:jc w:val="both"/>
        <w:rPr>
          <w:rFonts w:cs="Arial"/>
          <w:b/>
        </w:rPr>
      </w:pPr>
    </w:p>
    <w:p w:rsidR="00D75102" w:rsidRPr="000007F0" w:rsidRDefault="00D75102" w:rsidP="00642432">
      <w:pPr>
        <w:tabs>
          <w:tab w:val="right" w:pos="8364"/>
          <w:tab w:val="right" w:pos="8789"/>
        </w:tabs>
        <w:spacing w:line="360" w:lineRule="auto"/>
        <w:contextualSpacing/>
        <w:jc w:val="both"/>
        <w:rPr>
          <w:rFonts w:cs="Arial"/>
        </w:rPr>
      </w:pPr>
      <w:r w:rsidRPr="000007F0">
        <w:rPr>
          <w:rFonts w:cs="Arial"/>
        </w:rPr>
        <w:t>and</w:t>
      </w:r>
    </w:p>
    <w:p w:rsidR="00D75102" w:rsidRPr="000007F0" w:rsidRDefault="00D75102" w:rsidP="00642432">
      <w:pPr>
        <w:tabs>
          <w:tab w:val="right" w:pos="8364"/>
          <w:tab w:val="right" w:pos="8789"/>
        </w:tabs>
        <w:spacing w:line="360" w:lineRule="auto"/>
        <w:contextualSpacing/>
        <w:jc w:val="both"/>
        <w:rPr>
          <w:rFonts w:cs="Arial"/>
        </w:rPr>
      </w:pPr>
    </w:p>
    <w:p w:rsidR="00D75102" w:rsidRPr="000007F0" w:rsidRDefault="009362E0" w:rsidP="00642432">
      <w:pPr>
        <w:pBdr>
          <w:bottom w:val="single" w:sz="12" w:space="1" w:color="auto"/>
        </w:pBdr>
        <w:tabs>
          <w:tab w:val="right" w:pos="8789"/>
        </w:tabs>
        <w:spacing w:line="360" w:lineRule="auto"/>
        <w:contextualSpacing/>
        <w:jc w:val="both"/>
        <w:rPr>
          <w:rFonts w:cs="Arial"/>
          <w:b/>
        </w:rPr>
      </w:pPr>
      <w:r w:rsidRPr="000007F0">
        <w:rPr>
          <w:rFonts w:cs="Arial"/>
          <w:b/>
          <w:color w:val="000000"/>
        </w:rPr>
        <w:t>THE STATE</w:t>
      </w:r>
      <w:r w:rsidR="00D75102" w:rsidRPr="000007F0">
        <w:rPr>
          <w:rFonts w:cs="Arial"/>
          <w:b/>
          <w:color w:val="000000"/>
        </w:rPr>
        <w:tab/>
      </w:r>
      <w:r w:rsidR="00256E30" w:rsidRPr="000007F0">
        <w:rPr>
          <w:rFonts w:cs="Arial"/>
          <w:b/>
        </w:rPr>
        <w:t>RESPONDENT</w:t>
      </w:r>
    </w:p>
    <w:p w:rsidR="00642432" w:rsidRPr="000007F0" w:rsidRDefault="00642432" w:rsidP="00642432">
      <w:pPr>
        <w:pBdr>
          <w:bottom w:val="single" w:sz="12" w:space="1" w:color="auto"/>
        </w:pBdr>
        <w:tabs>
          <w:tab w:val="right" w:pos="8789"/>
        </w:tabs>
        <w:spacing w:line="360" w:lineRule="auto"/>
        <w:contextualSpacing/>
        <w:jc w:val="both"/>
        <w:rPr>
          <w:rFonts w:cs="Arial"/>
          <w:b/>
        </w:rPr>
      </w:pPr>
    </w:p>
    <w:p w:rsidR="00256E30" w:rsidRPr="000007F0" w:rsidRDefault="00256E30" w:rsidP="000C498E">
      <w:pPr>
        <w:spacing w:line="360" w:lineRule="auto"/>
        <w:jc w:val="both"/>
        <w:rPr>
          <w:rFonts w:cs="Arial"/>
          <w:b/>
        </w:rPr>
      </w:pPr>
    </w:p>
    <w:p w:rsidR="000C498E" w:rsidRPr="005035DF" w:rsidRDefault="000C498E" w:rsidP="000C498E">
      <w:pPr>
        <w:tabs>
          <w:tab w:val="right" w:pos="8220"/>
        </w:tabs>
        <w:spacing w:line="360" w:lineRule="auto"/>
        <w:rPr>
          <w:rFonts w:cs="Arial"/>
        </w:rPr>
      </w:pPr>
      <w:r w:rsidRPr="000007F0">
        <w:rPr>
          <w:rFonts w:cs="Arial"/>
          <w:b/>
        </w:rPr>
        <w:t xml:space="preserve">Coram:           </w:t>
      </w:r>
      <w:r w:rsidRPr="005035DF">
        <w:rPr>
          <w:rFonts w:cs="Arial"/>
        </w:rPr>
        <w:t xml:space="preserve">Mossop J and Nicholson AJ </w:t>
      </w:r>
    </w:p>
    <w:p w:rsidR="000C498E" w:rsidRPr="005035DF" w:rsidRDefault="005035DF" w:rsidP="000C498E">
      <w:pPr>
        <w:tabs>
          <w:tab w:val="right" w:pos="8505"/>
        </w:tabs>
        <w:spacing w:line="360" w:lineRule="auto"/>
        <w:rPr>
          <w:rFonts w:cs="Arial"/>
        </w:rPr>
      </w:pPr>
      <w:r>
        <w:rPr>
          <w:rFonts w:cs="Arial"/>
          <w:b/>
        </w:rPr>
        <w:t>Heard</w:t>
      </w:r>
      <w:r w:rsidR="000C498E" w:rsidRPr="000007F0">
        <w:rPr>
          <w:rFonts w:cs="Arial"/>
          <w:b/>
        </w:rPr>
        <w:t xml:space="preserve">:           </w:t>
      </w:r>
      <w:r>
        <w:rPr>
          <w:rFonts w:cs="Arial"/>
          <w:b/>
        </w:rPr>
        <w:t xml:space="preserve"> </w:t>
      </w:r>
      <w:r w:rsidR="000C498E" w:rsidRPr="005035DF">
        <w:rPr>
          <w:rFonts w:cs="Arial"/>
        </w:rPr>
        <w:t>27 October 2023</w:t>
      </w:r>
    </w:p>
    <w:p w:rsidR="000C498E" w:rsidRPr="005035DF" w:rsidRDefault="000C498E" w:rsidP="00C34EA4">
      <w:pPr>
        <w:pBdr>
          <w:bottom w:val="single" w:sz="12" w:space="1" w:color="auto"/>
        </w:pBdr>
        <w:tabs>
          <w:tab w:val="right" w:pos="8505"/>
        </w:tabs>
        <w:spacing w:line="360" w:lineRule="auto"/>
        <w:jc w:val="both"/>
        <w:rPr>
          <w:rFonts w:cs="Arial"/>
        </w:rPr>
      </w:pPr>
      <w:r w:rsidRPr="000007F0">
        <w:rPr>
          <w:rFonts w:cs="Arial"/>
          <w:b/>
        </w:rPr>
        <w:t xml:space="preserve">Delivered:      </w:t>
      </w:r>
      <w:r w:rsidR="003615B7" w:rsidRPr="005035DF">
        <w:rPr>
          <w:rFonts w:cs="Arial"/>
        </w:rPr>
        <w:t>10 November 2023</w:t>
      </w:r>
    </w:p>
    <w:p w:rsidR="00256E30" w:rsidRPr="000007F0" w:rsidRDefault="00256E30" w:rsidP="00C34EA4">
      <w:pPr>
        <w:pBdr>
          <w:bottom w:val="single" w:sz="12" w:space="1" w:color="auto"/>
        </w:pBdr>
        <w:tabs>
          <w:tab w:val="right" w:pos="8505"/>
        </w:tabs>
        <w:spacing w:line="360" w:lineRule="auto"/>
        <w:jc w:val="both"/>
        <w:rPr>
          <w:rFonts w:cs="Arial"/>
          <w:b/>
        </w:rPr>
      </w:pPr>
    </w:p>
    <w:p w:rsidR="000C498E" w:rsidRPr="000007F0" w:rsidRDefault="000C498E" w:rsidP="000C498E">
      <w:pPr>
        <w:tabs>
          <w:tab w:val="right" w:pos="7938"/>
        </w:tabs>
        <w:rPr>
          <w:rFonts w:cs="Arial"/>
          <w:b/>
          <w:u w:val="single"/>
        </w:rPr>
      </w:pPr>
    </w:p>
    <w:p w:rsidR="000C498E" w:rsidRPr="000007F0" w:rsidRDefault="000C498E" w:rsidP="000C498E">
      <w:pPr>
        <w:pBdr>
          <w:bottom w:val="single" w:sz="12" w:space="1" w:color="auto"/>
        </w:pBdr>
        <w:tabs>
          <w:tab w:val="center" w:pos="4110"/>
          <w:tab w:val="left" w:pos="6390"/>
          <w:tab w:val="right" w:pos="7938"/>
        </w:tabs>
        <w:jc w:val="center"/>
        <w:rPr>
          <w:rFonts w:cs="Arial"/>
          <w:b/>
        </w:rPr>
      </w:pPr>
      <w:r w:rsidRPr="000007F0">
        <w:rPr>
          <w:rFonts w:cs="Arial"/>
          <w:b/>
        </w:rPr>
        <w:t>ORDER</w:t>
      </w:r>
    </w:p>
    <w:p w:rsidR="00256E30" w:rsidRPr="000007F0" w:rsidRDefault="00256E30" w:rsidP="000C498E">
      <w:pPr>
        <w:pBdr>
          <w:bottom w:val="single" w:sz="12" w:space="1" w:color="auto"/>
        </w:pBdr>
        <w:tabs>
          <w:tab w:val="center" w:pos="4110"/>
          <w:tab w:val="left" w:pos="6390"/>
          <w:tab w:val="right" w:pos="7938"/>
        </w:tabs>
        <w:jc w:val="center"/>
        <w:rPr>
          <w:rFonts w:cs="Arial"/>
          <w:b/>
        </w:rPr>
      </w:pPr>
    </w:p>
    <w:p w:rsidR="00256E30" w:rsidRPr="000007F0" w:rsidRDefault="00256E30" w:rsidP="000C498E">
      <w:pPr>
        <w:tabs>
          <w:tab w:val="right" w:pos="8220"/>
        </w:tabs>
        <w:jc w:val="both"/>
        <w:rPr>
          <w:rFonts w:cs="Arial"/>
          <w:bCs/>
        </w:rPr>
      </w:pPr>
    </w:p>
    <w:p w:rsidR="000C498E" w:rsidRDefault="000C498E" w:rsidP="000C498E">
      <w:pPr>
        <w:spacing w:line="360" w:lineRule="auto"/>
        <w:jc w:val="both"/>
        <w:outlineLvl w:val="0"/>
        <w:rPr>
          <w:rFonts w:cs="Arial"/>
          <w:bCs/>
        </w:rPr>
      </w:pPr>
      <w:r w:rsidRPr="000007F0">
        <w:rPr>
          <w:rFonts w:cs="Arial"/>
          <w:b/>
        </w:rPr>
        <w:t>On appeal from</w:t>
      </w:r>
      <w:r w:rsidRPr="000007F0">
        <w:rPr>
          <w:rFonts w:cs="Arial"/>
          <w:bCs/>
        </w:rPr>
        <w:t>: Ntuzuma Regional Court (sitting as the court of the first instance)</w:t>
      </w:r>
      <w:r w:rsidR="005C27A0" w:rsidRPr="000007F0">
        <w:rPr>
          <w:rFonts w:cs="Arial"/>
          <w:bCs/>
        </w:rPr>
        <w:t>:</w:t>
      </w:r>
    </w:p>
    <w:p w:rsidR="00464201" w:rsidRPr="00272CA4" w:rsidRDefault="00272CA4" w:rsidP="00272CA4">
      <w:pPr>
        <w:spacing w:line="360" w:lineRule="auto"/>
        <w:jc w:val="both"/>
        <w:rPr>
          <w:rFonts w:cs="Arial"/>
        </w:rPr>
      </w:pPr>
      <w:r w:rsidRPr="000007F0">
        <w:rPr>
          <w:rFonts w:cs="Arial"/>
          <w:bCs/>
        </w:rPr>
        <w:t>1.</w:t>
      </w:r>
      <w:r w:rsidRPr="000007F0">
        <w:rPr>
          <w:rFonts w:cs="Arial"/>
          <w:bCs/>
        </w:rPr>
        <w:tab/>
      </w:r>
      <w:r w:rsidR="00464201" w:rsidRPr="00272CA4">
        <w:rPr>
          <w:rFonts w:cs="Arial"/>
        </w:rPr>
        <w:t xml:space="preserve">The matter is remitted to the Regional Court, Ntuzuma for a decision to be taken on the appellant’s application to lead further evidence. </w:t>
      </w:r>
    </w:p>
    <w:p w:rsidR="00464201" w:rsidRPr="00272CA4" w:rsidRDefault="00272CA4" w:rsidP="00272CA4">
      <w:pPr>
        <w:spacing w:line="360" w:lineRule="auto"/>
        <w:jc w:val="both"/>
        <w:rPr>
          <w:rFonts w:cs="Arial"/>
        </w:rPr>
      </w:pPr>
      <w:r w:rsidRPr="000007F0">
        <w:rPr>
          <w:rFonts w:cs="Arial"/>
          <w:bCs/>
        </w:rPr>
        <w:t>2.</w:t>
      </w:r>
      <w:r w:rsidRPr="000007F0">
        <w:rPr>
          <w:rFonts w:cs="Arial"/>
          <w:bCs/>
        </w:rPr>
        <w:tab/>
      </w:r>
      <w:r w:rsidR="00464201" w:rsidRPr="00272CA4">
        <w:rPr>
          <w:rFonts w:cs="Arial"/>
        </w:rPr>
        <w:t>In the event of the Regional Court granting the application, it shall proceed further in terms of the provisions of s 309B(5)</w:t>
      </w:r>
      <w:r w:rsidR="00464201" w:rsidRPr="00272CA4">
        <w:rPr>
          <w:rFonts w:cs="Arial"/>
          <w:i/>
        </w:rPr>
        <w:t>(c)</w:t>
      </w:r>
      <w:r w:rsidR="00464201" w:rsidRPr="00272CA4">
        <w:rPr>
          <w:rFonts w:cs="Arial"/>
        </w:rPr>
        <w:t xml:space="preserve">(ii) of the Criminal Procedure Act 51 of 1977. </w:t>
      </w:r>
    </w:p>
    <w:p w:rsidR="00464201" w:rsidRDefault="00464201" w:rsidP="00DC6DF0">
      <w:pPr>
        <w:spacing w:line="360" w:lineRule="auto"/>
        <w:jc w:val="both"/>
        <w:rPr>
          <w:rFonts w:cs="Arial"/>
        </w:rPr>
      </w:pPr>
    </w:p>
    <w:p w:rsidR="00464201" w:rsidRPr="000007F0" w:rsidRDefault="00464201" w:rsidP="00DC6DF0">
      <w:pPr>
        <w:spacing w:line="360" w:lineRule="auto"/>
        <w:jc w:val="both"/>
        <w:rPr>
          <w:rFonts w:cs="Arial"/>
        </w:rPr>
      </w:pPr>
    </w:p>
    <w:p w:rsidR="00642432" w:rsidRPr="000007F0" w:rsidRDefault="00642432" w:rsidP="00642432">
      <w:pPr>
        <w:pBdr>
          <w:bottom w:val="single" w:sz="12" w:space="1" w:color="auto"/>
        </w:pBdr>
        <w:tabs>
          <w:tab w:val="center" w:pos="4110"/>
          <w:tab w:val="left" w:pos="6390"/>
          <w:tab w:val="right" w:pos="7938"/>
        </w:tabs>
        <w:jc w:val="center"/>
        <w:rPr>
          <w:rFonts w:cs="Arial"/>
          <w:b/>
        </w:rPr>
      </w:pPr>
    </w:p>
    <w:p w:rsidR="00642432" w:rsidRPr="000007F0" w:rsidRDefault="00642432" w:rsidP="00642432">
      <w:pPr>
        <w:tabs>
          <w:tab w:val="right" w:pos="8220"/>
        </w:tabs>
        <w:jc w:val="both"/>
        <w:rPr>
          <w:rFonts w:cs="Arial"/>
          <w:bCs/>
        </w:rPr>
      </w:pPr>
    </w:p>
    <w:p w:rsidR="00DD7C85" w:rsidRPr="000007F0" w:rsidRDefault="00D730F1" w:rsidP="002B1805">
      <w:pPr>
        <w:pBdr>
          <w:bottom w:val="single" w:sz="12" w:space="1" w:color="auto"/>
        </w:pBdr>
        <w:tabs>
          <w:tab w:val="center" w:pos="4110"/>
          <w:tab w:val="left" w:pos="6390"/>
          <w:tab w:val="right" w:pos="7938"/>
        </w:tabs>
        <w:jc w:val="center"/>
        <w:rPr>
          <w:rFonts w:cs="Arial"/>
          <w:b/>
        </w:rPr>
      </w:pPr>
      <w:r w:rsidRPr="000007F0">
        <w:rPr>
          <w:rFonts w:cs="Arial"/>
          <w:b/>
        </w:rPr>
        <w:t>JUDGMENT</w:t>
      </w:r>
    </w:p>
    <w:p w:rsidR="00642432" w:rsidRPr="000007F0" w:rsidRDefault="00642432" w:rsidP="002B1805">
      <w:pPr>
        <w:pBdr>
          <w:bottom w:val="single" w:sz="12" w:space="1" w:color="auto"/>
        </w:pBdr>
        <w:tabs>
          <w:tab w:val="center" w:pos="4110"/>
          <w:tab w:val="left" w:pos="6390"/>
          <w:tab w:val="right" w:pos="7938"/>
        </w:tabs>
        <w:jc w:val="center"/>
        <w:rPr>
          <w:rFonts w:cs="Arial"/>
          <w:b/>
        </w:rPr>
      </w:pPr>
    </w:p>
    <w:p w:rsidR="00642432" w:rsidRPr="000007F0" w:rsidRDefault="00642432" w:rsidP="00C858C1">
      <w:pPr>
        <w:tabs>
          <w:tab w:val="right" w:pos="8220"/>
        </w:tabs>
        <w:jc w:val="both"/>
        <w:rPr>
          <w:rFonts w:cs="Arial"/>
          <w:bCs/>
        </w:rPr>
      </w:pPr>
    </w:p>
    <w:p w:rsidR="00831BF1" w:rsidRPr="000007F0" w:rsidRDefault="00831BF1" w:rsidP="00DA0D9F">
      <w:pPr>
        <w:spacing w:line="360" w:lineRule="auto"/>
        <w:jc w:val="both"/>
        <w:outlineLvl w:val="0"/>
        <w:rPr>
          <w:rFonts w:cs="Arial"/>
          <w:b/>
        </w:rPr>
      </w:pPr>
    </w:p>
    <w:p w:rsidR="00D75102" w:rsidRPr="000007F0" w:rsidRDefault="00D75102" w:rsidP="009E7144">
      <w:pPr>
        <w:spacing w:line="360" w:lineRule="auto"/>
        <w:jc w:val="both"/>
        <w:outlineLvl w:val="0"/>
        <w:rPr>
          <w:rFonts w:cs="Arial"/>
          <w:b/>
        </w:rPr>
      </w:pPr>
      <w:r w:rsidRPr="000007F0">
        <w:rPr>
          <w:rFonts w:cs="Arial"/>
          <w:b/>
        </w:rPr>
        <w:t>Nicholson AJ</w:t>
      </w:r>
      <w:r w:rsidR="00D07A00" w:rsidRPr="000007F0">
        <w:rPr>
          <w:rFonts w:cs="Arial"/>
          <w:b/>
        </w:rPr>
        <w:t xml:space="preserve"> (Mossop J concurring)</w:t>
      </w:r>
      <w:r w:rsidRPr="000007F0">
        <w:rPr>
          <w:rFonts w:cs="Arial"/>
          <w:b/>
        </w:rPr>
        <w:t>:</w:t>
      </w:r>
    </w:p>
    <w:p w:rsidR="009E29B9" w:rsidRPr="000007F0" w:rsidRDefault="009E29B9" w:rsidP="00991603">
      <w:pPr>
        <w:spacing w:line="360" w:lineRule="auto"/>
        <w:jc w:val="both"/>
        <w:outlineLvl w:val="0"/>
        <w:rPr>
          <w:rFonts w:cs="Arial"/>
          <w:b/>
        </w:rPr>
      </w:pPr>
    </w:p>
    <w:p w:rsidR="00346E89" w:rsidRPr="000007F0" w:rsidRDefault="00272CA4" w:rsidP="00272CA4">
      <w:pPr>
        <w:spacing w:line="360" w:lineRule="auto"/>
        <w:jc w:val="both"/>
        <w:rPr>
          <w:rFonts w:cs="Arial"/>
        </w:rPr>
      </w:pPr>
      <w:r w:rsidRPr="000007F0">
        <w:rPr>
          <w:rFonts w:cs="Arial"/>
        </w:rPr>
        <w:t>[1]</w:t>
      </w:r>
      <w:r w:rsidRPr="000007F0">
        <w:rPr>
          <w:rFonts w:cs="Arial"/>
        </w:rPr>
        <w:tab/>
      </w:r>
      <w:r w:rsidR="00346E89" w:rsidRPr="000007F0">
        <w:rPr>
          <w:rFonts w:cs="Arial"/>
        </w:rPr>
        <w:t>On 13 August 2021,</w:t>
      </w:r>
      <w:r w:rsidR="00FB2DF5" w:rsidRPr="000007F0">
        <w:rPr>
          <w:rFonts w:cs="Arial"/>
        </w:rPr>
        <w:t xml:space="preserve"> </w:t>
      </w:r>
      <w:r w:rsidR="00346E89" w:rsidRPr="000007F0">
        <w:rPr>
          <w:rFonts w:cs="Arial"/>
        </w:rPr>
        <w:t>appella</w:t>
      </w:r>
      <w:r w:rsidR="000007F0" w:rsidRPr="000007F0">
        <w:rPr>
          <w:rFonts w:cs="Arial"/>
        </w:rPr>
        <w:t>nt</w:t>
      </w:r>
      <w:r w:rsidR="00346E89" w:rsidRPr="000007F0">
        <w:rPr>
          <w:rFonts w:cs="Arial"/>
        </w:rPr>
        <w:t xml:space="preserve"> was convicted of 50 counts of contravening </w:t>
      </w:r>
      <w:r w:rsidR="00317472" w:rsidRPr="000007F0">
        <w:rPr>
          <w:rFonts w:cs="Arial"/>
        </w:rPr>
        <w:t>sections 1, 2, 22, 24C</w:t>
      </w:r>
      <w:r w:rsidR="00FB2DF5" w:rsidRPr="000007F0">
        <w:rPr>
          <w:rFonts w:cs="Arial"/>
        </w:rPr>
        <w:t xml:space="preserve"> and </w:t>
      </w:r>
      <w:r w:rsidR="00317472" w:rsidRPr="000007F0">
        <w:rPr>
          <w:rFonts w:cs="Arial"/>
        </w:rPr>
        <w:t>30</w:t>
      </w:r>
      <w:r w:rsidR="00FB2DF5" w:rsidRPr="000007F0">
        <w:rPr>
          <w:rFonts w:cs="Arial"/>
        </w:rPr>
        <w:t>A of</w:t>
      </w:r>
      <w:r w:rsidR="00346E89" w:rsidRPr="000007F0">
        <w:rPr>
          <w:rFonts w:cs="Arial"/>
        </w:rPr>
        <w:t xml:space="preserve"> the Films and Publications Act 65 of 1996</w:t>
      </w:r>
      <w:r w:rsidR="002B1805" w:rsidRPr="000007F0">
        <w:rPr>
          <w:rFonts w:cs="Arial"/>
        </w:rPr>
        <w:t xml:space="preserve">, </w:t>
      </w:r>
      <w:r w:rsidR="00346E89" w:rsidRPr="000007F0">
        <w:rPr>
          <w:rFonts w:cs="Arial"/>
        </w:rPr>
        <w:t xml:space="preserve">read together with </w:t>
      </w:r>
      <w:r w:rsidR="00317472" w:rsidRPr="000007F0">
        <w:rPr>
          <w:rFonts w:cs="Arial"/>
        </w:rPr>
        <w:t xml:space="preserve">sections 92(2), 94 and 276 </w:t>
      </w:r>
      <w:r w:rsidR="00346E89" w:rsidRPr="000007F0">
        <w:rPr>
          <w:rFonts w:cs="Arial"/>
        </w:rPr>
        <w:t>of the Criminal Procedure Act 51 of 1977</w:t>
      </w:r>
      <w:r w:rsidR="002B1805" w:rsidRPr="000007F0">
        <w:rPr>
          <w:rFonts w:cs="Arial"/>
        </w:rPr>
        <w:t xml:space="preserve"> (the ‘CPA’)</w:t>
      </w:r>
      <w:r w:rsidR="00346E89" w:rsidRPr="000007F0">
        <w:rPr>
          <w:rFonts w:cs="Arial"/>
        </w:rPr>
        <w:t xml:space="preserve">. </w:t>
      </w:r>
      <w:r w:rsidR="00F042BC" w:rsidRPr="000007F0">
        <w:rPr>
          <w:rFonts w:cs="Arial"/>
        </w:rPr>
        <w:t>The</w:t>
      </w:r>
      <w:r w:rsidR="00346E89" w:rsidRPr="000007F0">
        <w:rPr>
          <w:rFonts w:cs="Arial"/>
        </w:rPr>
        <w:t xml:space="preserve"> appellant’s conviction followed </w:t>
      </w:r>
      <w:r w:rsidR="00F042BC" w:rsidRPr="000007F0">
        <w:rPr>
          <w:rFonts w:cs="Arial"/>
        </w:rPr>
        <w:t xml:space="preserve">upon </w:t>
      </w:r>
      <w:r w:rsidR="00346E89" w:rsidRPr="000007F0">
        <w:rPr>
          <w:rFonts w:cs="Arial"/>
        </w:rPr>
        <w:t xml:space="preserve">a </w:t>
      </w:r>
      <w:r w:rsidR="00F042BC" w:rsidRPr="000007F0">
        <w:rPr>
          <w:rFonts w:cs="Arial"/>
        </w:rPr>
        <w:t xml:space="preserve">guilty </w:t>
      </w:r>
      <w:r w:rsidR="00346E89" w:rsidRPr="000007F0">
        <w:rPr>
          <w:rFonts w:cs="Arial"/>
        </w:rPr>
        <w:t xml:space="preserve">plea </w:t>
      </w:r>
      <w:r w:rsidR="005C27A0" w:rsidRPr="000007F0">
        <w:rPr>
          <w:rFonts w:cs="Arial"/>
        </w:rPr>
        <w:t xml:space="preserve">which </w:t>
      </w:r>
      <w:r w:rsidR="00346E89" w:rsidRPr="000007F0">
        <w:rPr>
          <w:rFonts w:cs="Arial"/>
        </w:rPr>
        <w:t>he had tendered in terms of s</w:t>
      </w:r>
      <w:r w:rsidR="00F042BC" w:rsidRPr="000007F0">
        <w:rPr>
          <w:rFonts w:cs="Arial"/>
        </w:rPr>
        <w:t> </w:t>
      </w:r>
      <w:r w:rsidR="00346E89" w:rsidRPr="000007F0">
        <w:rPr>
          <w:rFonts w:cs="Arial"/>
        </w:rPr>
        <w:t>112(2) of the CPA.</w:t>
      </w:r>
      <w:r w:rsidR="008B2E33" w:rsidRPr="000007F0">
        <w:rPr>
          <w:rFonts w:cs="Arial"/>
        </w:rPr>
        <w:t xml:space="preserve"> These sections criminalise</w:t>
      </w:r>
      <w:r w:rsidR="00346E89" w:rsidRPr="000007F0">
        <w:rPr>
          <w:rFonts w:cs="Arial"/>
        </w:rPr>
        <w:t xml:space="preserve"> either video or still images of </w:t>
      </w:r>
      <w:r w:rsidR="00FF2CB1" w:rsidRPr="000007F0">
        <w:rPr>
          <w:rFonts w:cs="Arial"/>
        </w:rPr>
        <w:t xml:space="preserve">nude </w:t>
      </w:r>
      <w:r w:rsidR="00346E89" w:rsidRPr="000007F0">
        <w:rPr>
          <w:rFonts w:cs="Arial"/>
        </w:rPr>
        <w:t xml:space="preserve">minor children or </w:t>
      </w:r>
      <w:r w:rsidR="00FF2CB1" w:rsidRPr="000007F0">
        <w:rPr>
          <w:rFonts w:cs="Arial"/>
        </w:rPr>
        <w:t xml:space="preserve">minor children </w:t>
      </w:r>
      <w:r w:rsidR="00346E89" w:rsidRPr="000007F0">
        <w:rPr>
          <w:rFonts w:cs="Arial"/>
        </w:rPr>
        <w:t>performing sexual acts. In the circumstances, the seriousness and the gravity of the offence</w:t>
      </w:r>
      <w:r w:rsidR="000275DD" w:rsidRPr="000007F0">
        <w:rPr>
          <w:rFonts w:cs="Arial"/>
        </w:rPr>
        <w:t>s</w:t>
      </w:r>
      <w:r w:rsidR="00346E89" w:rsidRPr="000007F0">
        <w:rPr>
          <w:rFonts w:cs="Arial"/>
        </w:rPr>
        <w:t xml:space="preserve"> cannot be overemphasized.</w:t>
      </w:r>
    </w:p>
    <w:p w:rsidR="00346E89" w:rsidRPr="000007F0" w:rsidRDefault="00346E89" w:rsidP="000311AB">
      <w:pPr>
        <w:spacing w:line="360" w:lineRule="auto"/>
        <w:jc w:val="both"/>
        <w:rPr>
          <w:rFonts w:cs="Arial"/>
        </w:rPr>
      </w:pPr>
    </w:p>
    <w:p w:rsidR="00FB2DF5" w:rsidRPr="000007F0" w:rsidRDefault="00272CA4" w:rsidP="00272CA4">
      <w:pPr>
        <w:spacing w:line="360" w:lineRule="auto"/>
        <w:jc w:val="both"/>
        <w:rPr>
          <w:rFonts w:cs="Arial"/>
        </w:rPr>
      </w:pPr>
      <w:r w:rsidRPr="000007F0">
        <w:rPr>
          <w:rFonts w:cs="Arial"/>
        </w:rPr>
        <w:t>[2]</w:t>
      </w:r>
      <w:r w:rsidRPr="000007F0">
        <w:rPr>
          <w:rFonts w:cs="Arial"/>
        </w:rPr>
        <w:tab/>
      </w:r>
      <w:r w:rsidR="00FB2DF5" w:rsidRPr="000007F0">
        <w:rPr>
          <w:rFonts w:cs="Arial"/>
        </w:rPr>
        <w:t xml:space="preserve">On 20 August 2021, after the matter was adjourned for the parties to view some of the images and videos, and the State’s final submission being that a term of imprisonment </w:t>
      </w:r>
      <w:r w:rsidR="003615B7">
        <w:rPr>
          <w:rFonts w:cs="Arial"/>
        </w:rPr>
        <w:t>was</w:t>
      </w:r>
      <w:r w:rsidR="00FB2DF5" w:rsidRPr="000007F0">
        <w:rPr>
          <w:rFonts w:cs="Arial"/>
        </w:rPr>
        <w:t xml:space="preserve"> essential to send a strong message to the community, the appellant was sentenced to 7 years’ direct imprisonment. Except for noting some of the ages of the children in the videos, nothing more was said about the images that were viewed. </w:t>
      </w:r>
    </w:p>
    <w:p w:rsidR="00FB2DF5" w:rsidRPr="000007F0" w:rsidRDefault="00FB2DF5" w:rsidP="00FB2DF5">
      <w:pPr>
        <w:pStyle w:val="ListParagraph"/>
        <w:spacing w:line="360" w:lineRule="auto"/>
        <w:rPr>
          <w:rFonts w:cs="Arial"/>
        </w:rPr>
      </w:pPr>
    </w:p>
    <w:p w:rsidR="00FB2DF5" w:rsidRPr="000007F0" w:rsidRDefault="00272CA4" w:rsidP="00272CA4">
      <w:pPr>
        <w:spacing w:line="360" w:lineRule="auto"/>
        <w:jc w:val="both"/>
        <w:rPr>
          <w:rFonts w:cs="Arial"/>
        </w:rPr>
      </w:pPr>
      <w:r w:rsidRPr="000007F0">
        <w:rPr>
          <w:rFonts w:cs="Arial"/>
        </w:rPr>
        <w:t>[3]</w:t>
      </w:r>
      <w:r w:rsidRPr="000007F0">
        <w:rPr>
          <w:rFonts w:cs="Arial"/>
        </w:rPr>
        <w:tab/>
      </w:r>
      <w:r w:rsidR="00FB2DF5" w:rsidRPr="000007F0">
        <w:rPr>
          <w:rFonts w:cs="Arial"/>
        </w:rPr>
        <w:t>On 21 September 2021</w:t>
      </w:r>
      <w:r w:rsidR="005035DF">
        <w:rPr>
          <w:rFonts w:cs="Arial"/>
        </w:rPr>
        <w:t>, the</w:t>
      </w:r>
      <w:r w:rsidR="00FB2DF5" w:rsidRPr="000007F0">
        <w:rPr>
          <w:rFonts w:cs="Arial"/>
        </w:rPr>
        <w:t xml:space="preserve"> appellant, after acquiring a new legal representative, brought the following three applications</w:t>
      </w:r>
      <w:r w:rsidR="005035DF">
        <w:rPr>
          <w:rFonts w:cs="Arial"/>
        </w:rPr>
        <w:t xml:space="preserve"> in the court </w:t>
      </w:r>
      <w:r w:rsidR="005035DF" w:rsidRPr="005035DF">
        <w:rPr>
          <w:rFonts w:cs="Arial"/>
          <w:i/>
        </w:rPr>
        <w:t>a quo</w:t>
      </w:r>
      <w:r w:rsidR="00FB2DF5" w:rsidRPr="000007F0">
        <w:rPr>
          <w:rFonts w:cs="Arial"/>
        </w:rPr>
        <w:t xml:space="preserve">: </w:t>
      </w:r>
    </w:p>
    <w:p w:rsidR="00FB2DF5" w:rsidRPr="00272CA4" w:rsidRDefault="00272CA4" w:rsidP="00272CA4">
      <w:pPr>
        <w:spacing w:line="360" w:lineRule="auto"/>
        <w:jc w:val="both"/>
        <w:rPr>
          <w:rFonts w:cs="Arial"/>
        </w:rPr>
      </w:pPr>
      <w:r w:rsidRPr="000007F0">
        <w:rPr>
          <w:rFonts w:cs="Arial"/>
        </w:rPr>
        <w:t>(a)</w:t>
      </w:r>
      <w:r w:rsidRPr="000007F0">
        <w:rPr>
          <w:rFonts w:cs="Arial"/>
        </w:rPr>
        <w:tab/>
      </w:r>
      <w:r w:rsidR="00FB2DF5" w:rsidRPr="00272CA4">
        <w:rPr>
          <w:rFonts w:cs="Arial"/>
        </w:rPr>
        <w:t>an application for condonation in light of the fact that 14 days had elapsed between sentence being imposed and the bringing of t</w:t>
      </w:r>
      <w:r w:rsidR="001E60F8" w:rsidRPr="00272CA4">
        <w:rPr>
          <w:rFonts w:cs="Arial"/>
        </w:rPr>
        <w:t>he</w:t>
      </w:r>
      <w:r w:rsidR="00FB2DF5" w:rsidRPr="00272CA4">
        <w:rPr>
          <w:rFonts w:cs="Arial"/>
        </w:rPr>
        <w:t xml:space="preserve"> application</w:t>
      </w:r>
      <w:r w:rsidR="001E60F8" w:rsidRPr="00272CA4">
        <w:rPr>
          <w:rFonts w:cs="Arial"/>
        </w:rPr>
        <w:t xml:space="preserve"> for leave to appeal</w:t>
      </w:r>
      <w:r w:rsidR="00FB2DF5" w:rsidRPr="00272CA4">
        <w:rPr>
          <w:rFonts w:cs="Arial"/>
        </w:rPr>
        <w:t>;</w:t>
      </w:r>
    </w:p>
    <w:p w:rsidR="00FB2DF5" w:rsidRPr="00272CA4" w:rsidRDefault="00272CA4" w:rsidP="00272CA4">
      <w:pPr>
        <w:spacing w:line="360" w:lineRule="auto"/>
        <w:jc w:val="both"/>
        <w:rPr>
          <w:rFonts w:cs="Arial"/>
        </w:rPr>
      </w:pPr>
      <w:r w:rsidRPr="000007F0">
        <w:rPr>
          <w:rFonts w:cs="Arial"/>
        </w:rPr>
        <w:t>(b)</w:t>
      </w:r>
      <w:r w:rsidRPr="000007F0">
        <w:rPr>
          <w:rFonts w:cs="Arial"/>
        </w:rPr>
        <w:tab/>
      </w:r>
      <w:r w:rsidR="00FB2DF5" w:rsidRPr="00272CA4">
        <w:rPr>
          <w:rFonts w:cs="Arial"/>
        </w:rPr>
        <w:t xml:space="preserve">an application for leave to appeal against sentence only; and </w:t>
      </w:r>
    </w:p>
    <w:p w:rsidR="00FB2DF5" w:rsidRPr="00272CA4" w:rsidRDefault="00272CA4" w:rsidP="00272CA4">
      <w:pPr>
        <w:spacing w:line="360" w:lineRule="auto"/>
        <w:jc w:val="both"/>
        <w:rPr>
          <w:rFonts w:cs="Arial"/>
        </w:rPr>
      </w:pPr>
      <w:r>
        <w:rPr>
          <w:rFonts w:cs="Arial"/>
        </w:rPr>
        <w:t>(c)</w:t>
      </w:r>
      <w:r>
        <w:rPr>
          <w:rFonts w:cs="Arial"/>
        </w:rPr>
        <w:tab/>
      </w:r>
      <w:r w:rsidR="00FB2DF5" w:rsidRPr="00272CA4">
        <w:rPr>
          <w:rFonts w:cs="Arial"/>
        </w:rPr>
        <w:t xml:space="preserve">an application </w:t>
      </w:r>
      <w:r w:rsidR="003615B7" w:rsidRPr="00272CA4">
        <w:rPr>
          <w:rFonts w:cs="Arial"/>
        </w:rPr>
        <w:t>to lead</w:t>
      </w:r>
      <w:r w:rsidR="00FB2DF5" w:rsidRPr="00272CA4">
        <w:rPr>
          <w:rFonts w:cs="Arial"/>
        </w:rPr>
        <w:t xml:space="preserve"> further evidence.</w:t>
      </w:r>
    </w:p>
    <w:p w:rsidR="005035DF" w:rsidRPr="000007F0" w:rsidRDefault="005035DF" w:rsidP="005035DF">
      <w:pPr>
        <w:pStyle w:val="ListParagraph"/>
        <w:spacing w:line="360" w:lineRule="auto"/>
        <w:ind w:left="0"/>
        <w:jc w:val="both"/>
        <w:rPr>
          <w:rFonts w:cs="Arial"/>
        </w:rPr>
      </w:pPr>
      <w:r>
        <w:rPr>
          <w:rFonts w:cs="Arial"/>
        </w:rPr>
        <w:t>I shall collectively refer to these applications as ‘the applications’.</w:t>
      </w:r>
    </w:p>
    <w:p w:rsidR="00FB2DF5" w:rsidRPr="000007F0" w:rsidRDefault="00FB2DF5" w:rsidP="00FB2DF5">
      <w:pPr>
        <w:spacing w:line="360" w:lineRule="auto"/>
        <w:jc w:val="both"/>
        <w:rPr>
          <w:rFonts w:cs="Arial"/>
        </w:rPr>
      </w:pPr>
    </w:p>
    <w:p w:rsidR="00FB2DF5" w:rsidRDefault="00272CA4" w:rsidP="00272CA4">
      <w:pPr>
        <w:spacing w:line="360" w:lineRule="auto"/>
        <w:jc w:val="both"/>
        <w:rPr>
          <w:rFonts w:cs="Arial"/>
        </w:rPr>
      </w:pPr>
      <w:r>
        <w:rPr>
          <w:rFonts w:cs="Arial"/>
        </w:rPr>
        <w:t>[4]</w:t>
      </w:r>
      <w:r>
        <w:rPr>
          <w:rFonts w:cs="Arial"/>
        </w:rPr>
        <w:tab/>
      </w:r>
      <w:r w:rsidR="00FB2DF5" w:rsidRPr="000007F0">
        <w:rPr>
          <w:rFonts w:cs="Arial"/>
        </w:rPr>
        <w:t xml:space="preserve"> The applications were brought in terms of s 309B of the CPA, which reads as follows:</w:t>
      </w:r>
    </w:p>
    <w:p w:rsidR="00687B8B" w:rsidRDefault="00687B8B" w:rsidP="00687B8B">
      <w:pPr>
        <w:spacing w:line="360" w:lineRule="auto"/>
        <w:jc w:val="both"/>
        <w:rPr>
          <w:rFonts w:cs="Arial"/>
        </w:rPr>
      </w:pPr>
    </w:p>
    <w:p w:rsidR="00687B8B" w:rsidRPr="000007F0" w:rsidRDefault="00687B8B" w:rsidP="00687B8B">
      <w:pPr>
        <w:spacing w:line="360" w:lineRule="auto"/>
        <w:jc w:val="both"/>
        <w:rPr>
          <w:rFonts w:cs="Arial"/>
        </w:rPr>
      </w:pPr>
    </w:p>
    <w:p w:rsidR="00FB2DF5" w:rsidRPr="000007F0" w:rsidRDefault="00FB2DF5" w:rsidP="00FB2DF5">
      <w:pPr>
        <w:spacing w:line="360" w:lineRule="auto"/>
        <w:rPr>
          <w:rFonts w:cs="Arial"/>
          <w:b/>
          <w:bCs/>
          <w:sz w:val="22"/>
        </w:rPr>
      </w:pPr>
      <w:r w:rsidRPr="000007F0">
        <w:rPr>
          <w:rFonts w:cs="Arial"/>
          <w:b/>
          <w:bCs/>
          <w:sz w:val="22"/>
        </w:rPr>
        <w:lastRenderedPageBreak/>
        <w:t>‘Application for leave to appeal</w:t>
      </w:r>
    </w:p>
    <w:p w:rsidR="00FB2DF5" w:rsidRPr="000007F0" w:rsidRDefault="00687B8B" w:rsidP="00FB2DF5">
      <w:pPr>
        <w:shd w:val="clear" w:color="auto" w:fill="FFFFFF"/>
        <w:spacing w:line="360" w:lineRule="auto"/>
        <w:ind w:left="720" w:hanging="720"/>
        <w:contextualSpacing/>
        <w:jc w:val="both"/>
        <w:rPr>
          <w:rFonts w:cs="Arial"/>
          <w:color w:val="000000"/>
          <w:sz w:val="22"/>
          <w:szCs w:val="18"/>
        </w:rPr>
      </w:pPr>
      <w:r w:rsidRPr="000007F0">
        <w:rPr>
          <w:rFonts w:cs="Arial"/>
          <w:color w:val="000000"/>
          <w:sz w:val="22"/>
          <w:szCs w:val="18"/>
        </w:rPr>
        <w:t>(1) (</w:t>
      </w:r>
      <w:r w:rsidRPr="000007F0">
        <w:rPr>
          <w:rFonts w:cs="Arial"/>
          <w:i/>
          <w:iCs/>
          <w:color w:val="000000"/>
          <w:sz w:val="22"/>
          <w:szCs w:val="18"/>
        </w:rPr>
        <w:t>a</w:t>
      </w:r>
      <w:r w:rsidRPr="000007F0">
        <w:rPr>
          <w:rFonts w:cs="Arial"/>
          <w:color w:val="000000"/>
          <w:sz w:val="22"/>
          <w:szCs w:val="18"/>
        </w:rPr>
        <w:t>) Subject</w:t>
      </w:r>
      <w:r w:rsidR="00FB2DF5" w:rsidRPr="000007F0">
        <w:rPr>
          <w:rFonts w:cs="Arial"/>
          <w:color w:val="000000"/>
          <w:sz w:val="22"/>
          <w:szCs w:val="18"/>
        </w:rPr>
        <w:t xml:space="preserve"> to section 84 of the Child Justice Act, 2008 (Act No. 75 of 2008), any accused, other than a person referred to in the first proviso to section 309(1)(</w:t>
      </w:r>
      <w:r w:rsidR="00FB2DF5" w:rsidRPr="000007F0">
        <w:rPr>
          <w:rFonts w:cs="Arial"/>
          <w:i/>
          <w:iCs/>
          <w:color w:val="000000"/>
          <w:sz w:val="22"/>
          <w:szCs w:val="18"/>
        </w:rPr>
        <w:t>a</w:t>
      </w:r>
      <w:r w:rsidR="00FB2DF5" w:rsidRPr="000007F0">
        <w:rPr>
          <w:rFonts w:cs="Arial"/>
          <w:color w:val="000000"/>
          <w:sz w:val="22"/>
          <w:szCs w:val="18"/>
        </w:rPr>
        <w:t>), who wishes to note an appeal against any conviction or against any resultant sentence or order of a lower court, must apply to that court for leave to appeal against that conviction, sentence or order.</w:t>
      </w:r>
    </w:p>
    <w:p w:rsidR="00FB2DF5" w:rsidRPr="000007F0" w:rsidRDefault="00FB2DF5" w:rsidP="00FB2DF5">
      <w:pPr>
        <w:shd w:val="clear" w:color="auto" w:fill="FFFFFF"/>
        <w:spacing w:line="360" w:lineRule="auto"/>
        <w:ind w:left="720" w:hanging="720"/>
        <w:contextualSpacing/>
        <w:jc w:val="both"/>
        <w:rPr>
          <w:rFonts w:cs="Arial"/>
          <w:color w:val="000000"/>
          <w:sz w:val="22"/>
          <w:szCs w:val="18"/>
        </w:rPr>
      </w:pPr>
      <w:r w:rsidRPr="000007F0">
        <w:rPr>
          <w:rFonts w:cs="Arial"/>
          <w:color w:val="000000"/>
          <w:sz w:val="22"/>
          <w:szCs w:val="18"/>
        </w:rPr>
        <w:t>(</w:t>
      </w:r>
      <w:r w:rsidRPr="000007F0">
        <w:rPr>
          <w:rFonts w:cs="Arial"/>
          <w:i/>
          <w:iCs/>
          <w:color w:val="000000"/>
          <w:sz w:val="22"/>
          <w:szCs w:val="18"/>
        </w:rPr>
        <w:t>b</w:t>
      </w:r>
      <w:r w:rsidRPr="000007F0">
        <w:rPr>
          <w:rFonts w:cs="Arial"/>
          <w:color w:val="000000"/>
          <w:sz w:val="22"/>
          <w:szCs w:val="18"/>
        </w:rPr>
        <w:t>)  </w:t>
      </w:r>
      <w:r w:rsidRPr="000007F0">
        <w:rPr>
          <w:rFonts w:cs="Arial"/>
          <w:color w:val="000000"/>
          <w:sz w:val="22"/>
          <w:szCs w:val="18"/>
        </w:rPr>
        <w:tab/>
        <w:t>An application referred to in paragraph (</w:t>
      </w:r>
      <w:r w:rsidRPr="000007F0">
        <w:rPr>
          <w:rFonts w:cs="Arial"/>
          <w:i/>
          <w:iCs/>
          <w:color w:val="000000"/>
          <w:sz w:val="22"/>
          <w:szCs w:val="18"/>
        </w:rPr>
        <w:t>a</w:t>
      </w:r>
      <w:r w:rsidRPr="000007F0">
        <w:rPr>
          <w:rFonts w:cs="Arial"/>
          <w:color w:val="000000"/>
          <w:sz w:val="22"/>
          <w:szCs w:val="18"/>
        </w:rPr>
        <w:t>) must be made—</w:t>
      </w:r>
    </w:p>
    <w:p w:rsidR="00FB2DF5" w:rsidRPr="000007F0" w:rsidRDefault="00FB2DF5" w:rsidP="00FB2DF5">
      <w:pPr>
        <w:shd w:val="clear" w:color="auto" w:fill="FFFFFF"/>
        <w:spacing w:line="360" w:lineRule="auto"/>
        <w:ind w:left="1440" w:hanging="720"/>
        <w:contextualSpacing/>
        <w:jc w:val="both"/>
        <w:rPr>
          <w:rFonts w:cs="Arial"/>
          <w:color w:val="000000"/>
          <w:sz w:val="22"/>
          <w:szCs w:val="18"/>
        </w:rPr>
      </w:pPr>
      <w:r w:rsidRPr="000007F0">
        <w:rPr>
          <w:rFonts w:cs="Arial"/>
          <w:color w:val="000000"/>
          <w:sz w:val="22"/>
          <w:szCs w:val="18"/>
        </w:rPr>
        <w:t xml:space="preserve">(i) </w:t>
      </w:r>
      <w:r w:rsidRPr="000007F0">
        <w:rPr>
          <w:rFonts w:cs="Arial"/>
          <w:color w:val="000000"/>
          <w:sz w:val="22"/>
          <w:szCs w:val="18"/>
        </w:rPr>
        <w:tab/>
        <w:t>within 14 days after the passing of the sentence or order following on the conviction; or</w:t>
      </w:r>
    </w:p>
    <w:p w:rsidR="00FB2DF5" w:rsidRPr="000007F0" w:rsidRDefault="00FB2DF5" w:rsidP="00FB2DF5">
      <w:pPr>
        <w:shd w:val="clear" w:color="auto" w:fill="FFFFFF"/>
        <w:spacing w:line="360" w:lineRule="auto"/>
        <w:ind w:left="1440" w:hanging="720"/>
        <w:contextualSpacing/>
        <w:jc w:val="both"/>
        <w:rPr>
          <w:rFonts w:cs="Arial"/>
          <w:color w:val="000000"/>
          <w:sz w:val="22"/>
          <w:szCs w:val="18"/>
        </w:rPr>
      </w:pPr>
      <w:r w:rsidRPr="000007F0">
        <w:rPr>
          <w:rFonts w:cs="Arial"/>
          <w:color w:val="000000"/>
          <w:sz w:val="22"/>
          <w:szCs w:val="18"/>
        </w:rPr>
        <w:t xml:space="preserve">(ii) </w:t>
      </w:r>
      <w:r w:rsidRPr="000007F0">
        <w:rPr>
          <w:rFonts w:cs="Arial"/>
          <w:color w:val="000000"/>
          <w:sz w:val="22"/>
          <w:szCs w:val="18"/>
        </w:rPr>
        <w:tab/>
        <w:t>within such extended period as the court may on application and for good cause shown, allow.</w:t>
      </w:r>
    </w:p>
    <w:p w:rsidR="00FB2DF5" w:rsidRPr="000007F0" w:rsidRDefault="00FB2DF5" w:rsidP="00FB2DF5">
      <w:pPr>
        <w:shd w:val="clear" w:color="auto" w:fill="FFFFFF"/>
        <w:spacing w:line="360" w:lineRule="auto"/>
        <w:ind w:left="720" w:hanging="720"/>
        <w:contextualSpacing/>
        <w:jc w:val="both"/>
        <w:rPr>
          <w:rFonts w:cs="Arial"/>
          <w:color w:val="000000"/>
          <w:sz w:val="22"/>
          <w:szCs w:val="18"/>
        </w:rPr>
      </w:pPr>
      <w:r w:rsidRPr="000007F0">
        <w:rPr>
          <w:rFonts w:cs="Arial"/>
          <w:color w:val="000000"/>
          <w:sz w:val="22"/>
          <w:szCs w:val="18"/>
        </w:rPr>
        <w:t>. . .</w:t>
      </w:r>
    </w:p>
    <w:p w:rsidR="00FB2DF5" w:rsidRPr="000007F0" w:rsidRDefault="00687B8B" w:rsidP="00FB2DF5">
      <w:pPr>
        <w:shd w:val="clear" w:color="auto" w:fill="FFFFFF"/>
        <w:spacing w:line="360" w:lineRule="auto"/>
        <w:ind w:left="720" w:hanging="720"/>
        <w:contextualSpacing/>
        <w:jc w:val="both"/>
        <w:rPr>
          <w:rFonts w:cs="Arial"/>
          <w:color w:val="000000"/>
          <w:sz w:val="22"/>
          <w:szCs w:val="18"/>
        </w:rPr>
      </w:pPr>
      <w:r w:rsidRPr="000007F0">
        <w:rPr>
          <w:rFonts w:cs="Arial"/>
          <w:color w:val="000000"/>
          <w:sz w:val="22"/>
          <w:szCs w:val="18"/>
        </w:rPr>
        <w:t>(5) (</w:t>
      </w:r>
      <w:r w:rsidRPr="000007F0">
        <w:rPr>
          <w:rFonts w:cs="Arial"/>
          <w:i/>
          <w:iCs/>
          <w:color w:val="000000"/>
          <w:sz w:val="22"/>
          <w:szCs w:val="18"/>
        </w:rPr>
        <w:t>a</w:t>
      </w:r>
      <w:r w:rsidRPr="000007F0">
        <w:rPr>
          <w:rFonts w:cs="Arial"/>
          <w:color w:val="000000"/>
          <w:sz w:val="22"/>
          <w:szCs w:val="18"/>
        </w:rPr>
        <w:t>) An</w:t>
      </w:r>
      <w:r w:rsidR="00FB2DF5" w:rsidRPr="000007F0">
        <w:rPr>
          <w:rFonts w:cs="Arial"/>
          <w:color w:val="000000"/>
          <w:sz w:val="22"/>
          <w:szCs w:val="18"/>
        </w:rPr>
        <w:t xml:space="preserve"> application for leave to appeal may be accompanied by an application to adduce further evidence (hereafter referred to as an application for further evidence) relating to the conviction, sentence or order in respect of which the appeal is sought to be noted.</w:t>
      </w:r>
    </w:p>
    <w:p w:rsidR="00FB2DF5" w:rsidRPr="000007F0" w:rsidRDefault="00FB2DF5" w:rsidP="00FB2DF5">
      <w:pPr>
        <w:shd w:val="clear" w:color="auto" w:fill="FFFFFF"/>
        <w:spacing w:line="360" w:lineRule="auto"/>
        <w:ind w:left="720" w:hanging="720"/>
        <w:contextualSpacing/>
        <w:jc w:val="both"/>
        <w:rPr>
          <w:rFonts w:cs="Arial"/>
          <w:color w:val="000000"/>
          <w:sz w:val="22"/>
          <w:szCs w:val="18"/>
        </w:rPr>
      </w:pPr>
      <w:r w:rsidRPr="000007F0">
        <w:rPr>
          <w:rFonts w:cs="Arial"/>
          <w:color w:val="000000"/>
          <w:sz w:val="22"/>
          <w:szCs w:val="18"/>
        </w:rPr>
        <w:t>(</w:t>
      </w:r>
      <w:r w:rsidRPr="000007F0">
        <w:rPr>
          <w:rFonts w:cs="Arial"/>
          <w:i/>
          <w:iCs/>
          <w:color w:val="000000"/>
          <w:sz w:val="22"/>
          <w:szCs w:val="18"/>
        </w:rPr>
        <w:t>b</w:t>
      </w:r>
      <w:r w:rsidRPr="000007F0">
        <w:rPr>
          <w:rFonts w:cs="Arial"/>
          <w:color w:val="000000"/>
          <w:sz w:val="22"/>
          <w:szCs w:val="18"/>
        </w:rPr>
        <w:t>)  </w:t>
      </w:r>
      <w:r w:rsidRPr="000007F0">
        <w:rPr>
          <w:rFonts w:cs="Arial"/>
          <w:color w:val="000000"/>
          <w:sz w:val="22"/>
          <w:szCs w:val="18"/>
        </w:rPr>
        <w:tab/>
        <w:t>An application for further evidence must be supported by an affidavit stating that—</w:t>
      </w:r>
    </w:p>
    <w:p w:rsidR="00FB2DF5" w:rsidRPr="000007F0" w:rsidRDefault="00FB2DF5" w:rsidP="00FB2DF5">
      <w:pPr>
        <w:shd w:val="clear" w:color="auto" w:fill="FFFFFF"/>
        <w:spacing w:line="360" w:lineRule="auto"/>
        <w:ind w:left="1440" w:hanging="720"/>
        <w:contextualSpacing/>
        <w:jc w:val="both"/>
        <w:rPr>
          <w:rFonts w:cs="Arial"/>
          <w:color w:val="000000"/>
          <w:sz w:val="22"/>
          <w:szCs w:val="18"/>
        </w:rPr>
      </w:pPr>
      <w:r w:rsidRPr="000007F0">
        <w:rPr>
          <w:rFonts w:cs="Arial"/>
          <w:color w:val="000000"/>
          <w:sz w:val="22"/>
          <w:szCs w:val="18"/>
        </w:rPr>
        <w:t xml:space="preserve">(i) </w:t>
      </w:r>
      <w:r w:rsidRPr="000007F0">
        <w:rPr>
          <w:rFonts w:cs="Arial"/>
          <w:color w:val="000000"/>
          <w:sz w:val="22"/>
          <w:szCs w:val="18"/>
        </w:rPr>
        <w:tab/>
        <w:t>further evidence which would presumably be accepted as true, is available;</w:t>
      </w:r>
    </w:p>
    <w:p w:rsidR="00FB2DF5" w:rsidRPr="000007F0" w:rsidRDefault="00FB2DF5" w:rsidP="00FB2DF5">
      <w:pPr>
        <w:shd w:val="clear" w:color="auto" w:fill="FFFFFF"/>
        <w:spacing w:line="360" w:lineRule="auto"/>
        <w:ind w:left="1440" w:hanging="720"/>
        <w:contextualSpacing/>
        <w:jc w:val="both"/>
        <w:rPr>
          <w:rFonts w:cs="Arial"/>
          <w:color w:val="000000"/>
          <w:sz w:val="22"/>
          <w:szCs w:val="18"/>
        </w:rPr>
      </w:pPr>
      <w:r w:rsidRPr="000007F0">
        <w:rPr>
          <w:rFonts w:cs="Arial"/>
          <w:color w:val="000000"/>
          <w:sz w:val="22"/>
          <w:szCs w:val="18"/>
        </w:rPr>
        <w:t xml:space="preserve">(ii) </w:t>
      </w:r>
      <w:r w:rsidRPr="000007F0">
        <w:rPr>
          <w:rFonts w:cs="Arial"/>
          <w:color w:val="000000"/>
          <w:sz w:val="22"/>
          <w:szCs w:val="18"/>
        </w:rPr>
        <w:tab/>
        <w:t>if accepted the evidence could reasonably lead to a different decision or order; and</w:t>
      </w:r>
    </w:p>
    <w:p w:rsidR="00FB2DF5" w:rsidRPr="000007F0" w:rsidRDefault="00FB2DF5" w:rsidP="00FB2DF5">
      <w:pPr>
        <w:shd w:val="clear" w:color="auto" w:fill="FFFFFF"/>
        <w:spacing w:line="360" w:lineRule="auto"/>
        <w:ind w:left="1440" w:hanging="720"/>
        <w:contextualSpacing/>
        <w:jc w:val="both"/>
        <w:rPr>
          <w:rFonts w:cs="Arial"/>
          <w:color w:val="000000"/>
          <w:sz w:val="22"/>
          <w:szCs w:val="18"/>
        </w:rPr>
      </w:pPr>
      <w:r w:rsidRPr="000007F0">
        <w:rPr>
          <w:rFonts w:cs="Arial"/>
          <w:color w:val="000000"/>
          <w:sz w:val="22"/>
          <w:szCs w:val="18"/>
        </w:rPr>
        <w:t xml:space="preserve">(iii) </w:t>
      </w:r>
      <w:r w:rsidRPr="000007F0">
        <w:rPr>
          <w:rFonts w:cs="Arial"/>
          <w:color w:val="000000"/>
          <w:sz w:val="22"/>
          <w:szCs w:val="18"/>
        </w:rPr>
        <w:tab/>
        <w:t>there is a reasonably acceptable explanation for the failure to produce the evidence before the close of the trial.</w:t>
      </w:r>
    </w:p>
    <w:p w:rsidR="00FB2DF5" w:rsidRPr="000007F0" w:rsidRDefault="00FB2DF5" w:rsidP="00FB2DF5">
      <w:pPr>
        <w:shd w:val="clear" w:color="auto" w:fill="FFFFFF"/>
        <w:spacing w:line="360" w:lineRule="auto"/>
        <w:ind w:left="720" w:hanging="720"/>
        <w:contextualSpacing/>
        <w:jc w:val="both"/>
        <w:rPr>
          <w:rFonts w:cs="Arial"/>
          <w:color w:val="000000"/>
          <w:sz w:val="22"/>
          <w:szCs w:val="18"/>
        </w:rPr>
      </w:pPr>
      <w:r w:rsidRPr="000007F0">
        <w:rPr>
          <w:rFonts w:cs="Arial"/>
          <w:color w:val="000000"/>
          <w:sz w:val="22"/>
          <w:szCs w:val="18"/>
        </w:rPr>
        <w:t>(</w:t>
      </w:r>
      <w:r w:rsidRPr="000007F0">
        <w:rPr>
          <w:rFonts w:cs="Arial"/>
          <w:i/>
          <w:iCs/>
          <w:color w:val="000000"/>
          <w:sz w:val="22"/>
          <w:szCs w:val="18"/>
        </w:rPr>
        <w:t>c</w:t>
      </w:r>
      <w:r w:rsidRPr="000007F0">
        <w:rPr>
          <w:rFonts w:cs="Arial"/>
          <w:color w:val="000000"/>
          <w:sz w:val="22"/>
          <w:szCs w:val="18"/>
        </w:rPr>
        <w:t>)  </w:t>
      </w:r>
      <w:r w:rsidRPr="000007F0">
        <w:rPr>
          <w:rFonts w:cs="Arial"/>
          <w:color w:val="000000"/>
          <w:sz w:val="22"/>
          <w:szCs w:val="18"/>
        </w:rPr>
        <w:tab/>
        <w:t>The court granting an application for further evidence must—</w:t>
      </w:r>
    </w:p>
    <w:p w:rsidR="00FB2DF5" w:rsidRPr="000007F0" w:rsidRDefault="00FB2DF5" w:rsidP="00FB2DF5">
      <w:pPr>
        <w:shd w:val="clear" w:color="auto" w:fill="FFFFFF"/>
        <w:spacing w:line="360" w:lineRule="auto"/>
        <w:ind w:left="1440" w:hanging="720"/>
        <w:contextualSpacing/>
        <w:jc w:val="both"/>
        <w:rPr>
          <w:rFonts w:cs="Arial"/>
          <w:color w:val="000000"/>
          <w:sz w:val="22"/>
          <w:szCs w:val="18"/>
        </w:rPr>
      </w:pPr>
      <w:r w:rsidRPr="000007F0">
        <w:rPr>
          <w:rFonts w:cs="Arial"/>
          <w:color w:val="000000"/>
          <w:sz w:val="22"/>
          <w:szCs w:val="18"/>
        </w:rPr>
        <w:t xml:space="preserve">(i) </w:t>
      </w:r>
      <w:r w:rsidRPr="000007F0">
        <w:rPr>
          <w:rFonts w:cs="Arial"/>
          <w:color w:val="000000"/>
          <w:sz w:val="22"/>
          <w:szCs w:val="18"/>
        </w:rPr>
        <w:tab/>
        <w:t>receive that evidence and further evidence rendered necessary thereby, including evidence in rebuttal called by the prosecutor and evidence called by the court; and</w:t>
      </w:r>
    </w:p>
    <w:p w:rsidR="00FB2DF5" w:rsidRPr="000007F0" w:rsidRDefault="00FB2DF5" w:rsidP="00FB2DF5">
      <w:pPr>
        <w:shd w:val="clear" w:color="auto" w:fill="FFFFFF"/>
        <w:spacing w:line="360" w:lineRule="auto"/>
        <w:ind w:left="1440" w:hanging="720"/>
        <w:contextualSpacing/>
        <w:jc w:val="both"/>
        <w:rPr>
          <w:rFonts w:cs="Arial"/>
          <w:color w:val="000000"/>
          <w:sz w:val="22"/>
          <w:szCs w:val="18"/>
        </w:rPr>
      </w:pPr>
      <w:r w:rsidRPr="000007F0">
        <w:rPr>
          <w:rFonts w:cs="Arial"/>
          <w:color w:val="000000"/>
          <w:sz w:val="22"/>
          <w:szCs w:val="18"/>
        </w:rPr>
        <w:t xml:space="preserve">(ii) </w:t>
      </w:r>
      <w:r w:rsidRPr="000007F0">
        <w:rPr>
          <w:rFonts w:cs="Arial"/>
          <w:color w:val="000000"/>
          <w:sz w:val="22"/>
          <w:szCs w:val="18"/>
        </w:rPr>
        <w:tab/>
        <w:t>record its findings or views with regard to that evidence, including the cogency and the sufficiency of the evidence, and the demeanour and credibility of any witness.</w:t>
      </w:r>
    </w:p>
    <w:p w:rsidR="00FB2DF5" w:rsidRPr="000007F0" w:rsidRDefault="00FB2DF5" w:rsidP="00FB2DF5">
      <w:pPr>
        <w:shd w:val="clear" w:color="auto" w:fill="FFFFFF"/>
        <w:spacing w:line="360" w:lineRule="auto"/>
        <w:ind w:left="720" w:hanging="720"/>
        <w:contextualSpacing/>
        <w:jc w:val="both"/>
        <w:rPr>
          <w:rFonts w:cs="Arial"/>
          <w:sz w:val="22"/>
        </w:rPr>
      </w:pPr>
      <w:r w:rsidRPr="000007F0">
        <w:rPr>
          <w:rFonts w:cs="Arial"/>
          <w:color w:val="000000"/>
          <w:sz w:val="22"/>
          <w:szCs w:val="18"/>
        </w:rPr>
        <w:t>(6)  </w:t>
      </w:r>
      <w:r w:rsidRPr="000007F0">
        <w:rPr>
          <w:rFonts w:cs="Arial"/>
          <w:color w:val="000000"/>
          <w:sz w:val="22"/>
          <w:szCs w:val="18"/>
        </w:rPr>
        <w:tab/>
        <w:t>Any evidence received under subsection (5) shall for the purposes of an appeal be deemed to be evidence taken or admitted at the trial in question.</w:t>
      </w:r>
      <w:r w:rsidRPr="000007F0">
        <w:rPr>
          <w:rFonts w:cs="Arial"/>
          <w:sz w:val="22"/>
        </w:rPr>
        <w:t>’</w:t>
      </w:r>
    </w:p>
    <w:p w:rsidR="00FB2DF5" w:rsidRPr="000007F0" w:rsidRDefault="00FB2DF5" w:rsidP="00FB2DF5">
      <w:pPr>
        <w:spacing w:line="360" w:lineRule="auto"/>
        <w:jc w:val="both"/>
        <w:rPr>
          <w:rFonts w:cs="Arial"/>
        </w:rPr>
      </w:pPr>
    </w:p>
    <w:p w:rsidR="00346E89" w:rsidRPr="000007F0" w:rsidRDefault="00272CA4" w:rsidP="00272CA4">
      <w:pPr>
        <w:spacing w:line="360" w:lineRule="auto"/>
        <w:jc w:val="both"/>
        <w:rPr>
          <w:rFonts w:cs="Arial"/>
        </w:rPr>
      </w:pPr>
      <w:r w:rsidRPr="000007F0">
        <w:rPr>
          <w:rFonts w:cs="Arial"/>
        </w:rPr>
        <w:t>[5]</w:t>
      </w:r>
      <w:r w:rsidRPr="000007F0">
        <w:rPr>
          <w:rFonts w:cs="Arial"/>
        </w:rPr>
        <w:tab/>
      </w:r>
      <w:r w:rsidR="009B0A03" w:rsidRPr="000007F0">
        <w:rPr>
          <w:rFonts w:cs="Arial"/>
        </w:rPr>
        <w:t>I</w:t>
      </w:r>
      <w:r w:rsidR="00346E89" w:rsidRPr="000007F0">
        <w:rPr>
          <w:rFonts w:cs="Arial"/>
        </w:rPr>
        <w:t>n mitigation of sentence, no evidence was led by the appellant</w:t>
      </w:r>
      <w:r w:rsidR="005035DF">
        <w:rPr>
          <w:rFonts w:cs="Arial"/>
        </w:rPr>
        <w:t xml:space="preserve"> in the court </w:t>
      </w:r>
      <w:r w:rsidR="005035DF" w:rsidRPr="005035DF">
        <w:rPr>
          <w:rFonts w:cs="Arial"/>
          <w:i/>
        </w:rPr>
        <w:t>a quo</w:t>
      </w:r>
      <w:r w:rsidR="009605AC" w:rsidRPr="000007F0">
        <w:rPr>
          <w:rFonts w:cs="Arial"/>
        </w:rPr>
        <w:t>.</w:t>
      </w:r>
      <w:r w:rsidR="00346E89" w:rsidRPr="000007F0">
        <w:rPr>
          <w:rFonts w:cs="Arial"/>
        </w:rPr>
        <w:t xml:space="preserve"> </w:t>
      </w:r>
      <w:r w:rsidR="009605AC" w:rsidRPr="000007F0">
        <w:rPr>
          <w:rFonts w:cs="Arial"/>
        </w:rPr>
        <w:t>However</w:t>
      </w:r>
      <w:r w:rsidR="00346E89" w:rsidRPr="000007F0">
        <w:rPr>
          <w:rFonts w:cs="Arial"/>
        </w:rPr>
        <w:t xml:space="preserve">, it was submitted that the accused was 21 years old </w:t>
      </w:r>
      <w:r w:rsidR="00C31BE7" w:rsidRPr="000007F0">
        <w:rPr>
          <w:rFonts w:cs="Arial"/>
        </w:rPr>
        <w:t>at the time of his arrest and</w:t>
      </w:r>
      <w:r w:rsidR="00346E89" w:rsidRPr="000007F0">
        <w:rPr>
          <w:rFonts w:cs="Arial"/>
        </w:rPr>
        <w:t xml:space="preserve"> </w:t>
      </w:r>
      <w:r w:rsidR="009605AC" w:rsidRPr="000007F0">
        <w:rPr>
          <w:rFonts w:cs="Arial"/>
        </w:rPr>
        <w:t xml:space="preserve">was </w:t>
      </w:r>
      <w:r w:rsidR="00346E89" w:rsidRPr="000007F0">
        <w:rPr>
          <w:rFonts w:cs="Arial"/>
        </w:rPr>
        <w:t xml:space="preserve">23 years </w:t>
      </w:r>
      <w:r w:rsidR="009605AC" w:rsidRPr="000007F0">
        <w:rPr>
          <w:rFonts w:cs="Arial"/>
        </w:rPr>
        <w:t>old</w:t>
      </w:r>
      <w:r w:rsidR="00346E89" w:rsidRPr="000007F0">
        <w:rPr>
          <w:rFonts w:cs="Arial"/>
        </w:rPr>
        <w:t xml:space="preserve"> at the time of conviction. His highest education is matric, he is </w:t>
      </w:r>
      <w:r w:rsidR="002B1805" w:rsidRPr="000007F0">
        <w:rPr>
          <w:rFonts w:cs="Arial"/>
        </w:rPr>
        <w:t>un</w:t>
      </w:r>
      <w:r w:rsidR="00346E89" w:rsidRPr="000007F0">
        <w:rPr>
          <w:rFonts w:cs="Arial"/>
        </w:rPr>
        <w:t>married</w:t>
      </w:r>
      <w:r w:rsidR="002B1805" w:rsidRPr="000007F0">
        <w:rPr>
          <w:rFonts w:cs="Arial"/>
        </w:rPr>
        <w:t xml:space="preserve"> and</w:t>
      </w:r>
      <w:r w:rsidR="00346E89" w:rsidRPr="000007F0">
        <w:rPr>
          <w:rFonts w:cs="Arial"/>
        </w:rPr>
        <w:t xml:space="preserve"> gainfully employed as an assistant manager in a fashion store</w:t>
      </w:r>
      <w:r w:rsidR="009605AC" w:rsidRPr="000007F0">
        <w:rPr>
          <w:rFonts w:cs="Arial"/>
        </w:rPr>
        <w:t>.</w:t>
      </w:r>
      <w:r w:rsidR="00346E89" w:rsidRPr="000007F0">
        <w:rPr>
          <w:rFonts w:cs="Arial"/>
        </w:rPr>
        <w:t xml:space="preserve">  </w:t>
      </w:r>
      <w:r w:rsidR="009605AC" w:rsidRPr="000007F0">
        <w:rPr>
          <w:rFonts w:cs="Arial"/>
        </w:rPr>
        <w:t>H</w:t>
      </w:r>
      <w:r w:rsidR="00346E89" w:rsidRPr="000007F0">
        <w:rPr>
          <w:rFonts w:cs="Arial"/>
        </w:rPr>
        <w:t>e uses part of his salary to support</w:t>
      </w:r>
      <w:r w:rsidR="002B1805" w:rsidRPr="000007F0">
        <w:rPr>
          <w:rFonts w:cs="Arial"/>
        </w:rPr>
        <w:t xml:space="preserve"> </w:t>
      </w:r>
      <w:r w:rsidR="00C31BE7" w:rsidRPr="000007F0">
        <w:rPr>
          <w:rFonts w:cs="Arial"/>
        </w:rPr>
        <w:t xml:space="preserve">his </w:t>
      </w:r>
      <w:r w:rsidR="00346E89" w:rsidRPr="000007F0">
        <w:rPr>
          <w:rFonts w:cs="Arial"/>
        </w:rPr>
        <w:t>siblings</w:t>
      </w:r>
      <w:r w:rsidR="009605AC" w:rsidRPr="000007F0">
        <w:rPr>
          <w:rFonts w:cs="Arial"/>
        </w:rPr>
        <w:t>,</w:t>
      </w:r>
      <w:r w:rsidR="002B1805" w:rsidRPr="000007F0">
        <w:rPr>
          <w:rFonts w:cs="Arial"/>
        </w:rPr>
        <w:t xml:space="preserve"> being </w:t>
      </w:r>
      <w:r w:rsidR="009B0A03" w:rsidRPr="000007F0">
        <w:rPr>
          <w:rFonts w:cs="Arial"/>
        </w:rPr>
        <w:t xml:space="preserve">two </w:t>
      </w:r>
      <w:r w:rsidR="00346E89" w:rsidRPr="000007F0">
        <w:rPr>
          <w:rFonts w:cs="Arial"/>
        </w:rPr>
        <w:t>sisters aged 25 and 14</w:t>
      </w:r>
      <w:r w:rsidR="002B1805" w:rsidRPr="000007F0">
        <w:rPr>
          <w:rFonts w:cs="Arial"/>
        </w:rPr>
        <w:t>,</w:t>
      </w:r>
      <w:r w:rsidR="00346E89" w:rsidRPr="000007F0">
        <w:rPr>
          <w:rFonts w:cs="Arial"/>
        </w:rPr>
        <w:t xml:space="preserve"> and a brother aged 16. </w:t>
      </w:r>
      <w:r w:rsidR="002B1805" w:rsidRPr="000007F0">
        <w:rPr>
          <w:rFonts w:cs="Arial"/>
        </w:rPr>
        <w:t>His</w:t>
      </w:r>
      <w:r w:rsidR="00346E89" w:rsidRPr="000007F0">
        <w:rPr>
          <w:rFonts w:cs="Arial"/>
        </w:rPr>
        <w:t xml:space="preserve"> father had passed away </w:t>
      </w:r>
      <w:r w:rsidR="002B1805" w:rsidRPr="000007F0">
        <w:rPr>
          <w:rFonts w:cs="Arial"/>
        </w:rPr>
        <w:t xml:space="preserve">when he was young </w:t>
      </w:r>
      <w:r w:rsidR="00346E89" w:rsidRPr="000007F0">
        <w:rPr>
          <w:rFonts w:cs="Arial"/>
        </w:rPr>
        <w:t xml:space="preserve">and his mother is unemployed. Despite </w:t>
      </w:r>
      <w:r w:rsidR="009B0A03" w:rsidRPr="000007F0">
        <w:rPr>
          <w:rFonts w:cs="Arial"/>
        </w:rPr>
        <w:t xml:space="preserve">the </w:t>
      </w:r>
      <w:r w:rsidR="00346E89" w:rsidRPr="000007F0">
        <w:rPr>
          <w:rFonts w:cs="Arial"/>
        </w:rPr>
        <w:t xml:space="preserve">appellant’s legal representative requesting a noncustodial sentence in the form of correctional supervision, he did not seek to tender a probation officer’s report </w:t>
      </w:r>
      <w:r w:rsidR="00AD5C2E" w:rsidRPr="000007F0">
        <w:rPr>
          <w:rFonts w:cs="Arial"/>
        </w:rPr>
        <w:t xml:space="preserve">or </w:t>
      </w:r>
      <w:r w:rsidR="00346E89" w:rsidRPr="000007F0">
        <w:rPr>
          <w:rFonts w:cs="Arial"/>
        </w:rPr>
        <w:t>a correctional services report in</w:t>
      </w:r>
      <w:r w:rsidR="009B0A03" w:rsidRPr="000007F0">
        <w:rPr>
          <w:rFonts w:cs="Arial"/>
        </w:rPr>
        <w:t>to</w:t>
      </w:r>
      <w:r w:rsidR="00346E89" w:rsidRPr="000007F0">
        <w:rPr>
          <w:rFonts w:cs="Arial"/>
        </w:rPr>
        <w:t xml:space="preserve"> evidence. </w:t>
      </w:r>
    </w:p>
    <w:p w:rsidR="00346E89" w:rsidRPr="000007F0" w:rsidRDefault="00346E89" w:rsidP="00FB2DF5">
      <w:pPr>
        <w:pStyle w:val="ListParagraph"/>
        <w:spacing w:line="360" w:lineRule="auto"/>
        <w:rPr>
          <w:rFonts w:cs="Arial"/>
        </w:rPr>
      </w:pPr>
    </w:p>
    <w:p w:rsidR="00AE3AD6" w:rsidRPr="000007F0" w:rsidRDefault="00272CA4" w:rsidP="00272CA4">
      <w:pPr>
        <w:spacing w:line="360" w:lineRule="auto"/>
        <w:jc w:val="both"/>
        <w:rPr>
          <w:rFonts w:cs="Arial"/>
        </w:rPr>
      </w:pPr>
      <w:r w:rsidRPr="000007F0">
        <w:rPr>
          <w:rFonts w:cs="Arial"/>
        </w:rPr>
        <w:t>[6]</w:t>
      </w:r>
      <w:r w:rsidRPr="000007F0">
        <w:rPr>
          <w:rFonts w:cs="Arial"/>
        </w:rPr>
        <w:tab/>
      </w:r>
      <w:r w:rsidR="000007F0">
        <w:rPr>
          <w:rFonts w:cs="Arial"/>
        </w:rPr>
        <w:t>I</w:t>
      </w:r>
      <w:r w:rsidR="00AE3AD6" w:rsidRPr="000007F0">
        <w:rPr>
          <w:rFonts w:cs="Arial"/>
        </w:rPr>
        <w:t>t is relevant to mention that it is common cause that while the video images were sent to appellant’s phone via WhatsApp, he did not solicit them. Furthermore, there was no evidence led in aggravation as to how many of the 50 images were actually viewed</w:t>
      </w:r>
      <w:r w:rsidR="003615B7">
        <w:rPr>
          <w:rFonts w:cs="Arial"/>
        </w:rPr>
        <w:t xml:space="preserve"> by anyone</w:t>
      </w:r>
      <w:r w:rsidR="005035DF">
        <w:rPr>
          <w:rFonts w:cs="Arial"/>
        </w:rPr>
        <w:t>,</w:t>
      </w:r>
      <w:r w:rsidR="003615B7">
        <w:rPr>
          <w:rFonts w:cs="Arial"/>
        </w:rPr>
        <w:t xml:space="preserve"> or </w:t>
      </w:r>
      <w:r w:rsidR="005035DF">
        <w:rPr>
          <w:rFonts w:cs="Arial"/>
        </w:rPr>
        <w:t xml:space="preserve">even by </w:t>
      </w:r>
      <w:r w:rsidR="003615B7">
        <w:rPr>
          <w:rFonts w:cs="Arial"/>
        </w:rPr>
        <w:t>the appellant</w:t>
      </w:r>
      <w:r w:rsidR="00AE3AD6" w:rsidRPr="000007F0">
        <w:rPr>
          <w:rFonts w:cs="Arial"/>
        </w:rPr>
        <w:t xml:space="preserve">. </w:t>
      </w:r>
    </w:p>
    <w:p w:rsidR="00AE3AD6" w:rsidRPr="000007F0" w:rsidRDefault="00AE3AD6" w:rsidP="00AE3AD6">
      <w:pPr>
        <w:pStyle w:val="ListParagraph"/>
        <w:spacing w:line="360" w:lineRule="auto"/>
        <w:rPr>
          <w:rFonts w:cs="Arial"/>
        </w:rPr>
      </w:pPr>
    </w:p>
    <w:p w:rsidR="00C31BE7" w:rsidRPr="000007F0" w:rsidRDefault="00272CA4" w:rsidP="00272CA4">
      <w:pPr>
        <w:spacing w:line="360" w:lineRule="auto"/>
        <w:jc w:val="both"/>
        <w:rPr>
          <w:rFonts w:cs="Arial"/>
        </w:rPr>
      </w:pPr>
      <w:r w:rsidRPr="000007F0">
        <w:rPr>
          <w:rFonts w:cs="Arial"/>
        </w:rPr>
        <w:t>[7]</w:t>
      </w:r>
      <w:r w:rsidRPr="000007F0">
        <w:rPr>
          <w:rFonts w:cs="Arial"/>
        </w:rPr>
        <w:tab/>
      </w:r>
      <w:r w:rsidR="00FB2DF5" w:rsidRPr="000007F0">
        <w:rPr>
          <w:rFonts w:cs="Arial"/>
        </w:rPr>
        <w:t>The State did not prove any previous convictions, nor</w:t>
      </w:r>
      <w:r w:rsidR="00346E89" w:rsidRPr="000007F0">
        <w:rPr>
          <w:rFonts w:cs="Arial"/>
        </w:rPr>
        <w:t xml:space="preserve"> lead any evidence in aggravation</w:t>
      </w:r>
      <w:r w:rsidR="005035DF">
        <w:rPr>
          <w:rFonts w:cs="Arial"/>
        </w:rPr>
        <w:t>,</w:t>
      </w:r>
      <w:r w:rsidR="00346E89" w:rsidRPr="000007F0">
        <w:rPr>
          <w:rFonts w:cs="Arial"/>
        </w:rPr>
        <w:t xml:space="preserve"> but</w:t>
      </w:r>
      <w:r w:rsidR="000007F0" w:rsidRPr="000007F0">
        <w:rPr>
          <w:rFonts w:cs="Arial"/>
        </w:rPr>
        <w:t xml:space="preserve"> </w:t>
      </w:r>
      <w:r w:rsidR="00346E89" w:rsidRPr="000007F0">
        <w:rPr>
          <w:rFonts w:cs="Arial"/>
        </w:rPr>
        <w:t xml:space="preserve">submitted that considering the seriousness of the offence, a term of imprisonment </w:t>
      </w:r>
      <w:r w:rsidR="003615B7">
        <w:rPr>
          <w:rFonts w:cs="Arial"/>
        </w:rPr>
        <w:t>was</w:t>
      </w:r>
      <w:r w:rsidR="00346E89" w:rsidRPr="000007F0">
        <w:rPr>
          <w:rFonts w:cs="Arial"/>
        </w:rPr>
        <w:t xml:space="preserve"> unavoidable</w:t>
      </w:r>
      <w:r w:rsidR="000007F0" w:rsidRPr="000007F0">
        <w:rPr>
          <w:rFonts w:cs="Arial"/>
        </w:rPr>
        <w:t>.</w:t>
      </w:r>
    </w:p>
    <w:p w:rsidR="00C31BE7" w:rsidRPr="000007F0" w:rsidRDefault="00C31BE7" w:rsidP="00FB2DF5">
      <w:pPr>
        <w:pStyle w:val="ListParagraph"/>
        <w:spacing w:line="360" w:lineRule="auto"/>
        <w:rPr>
          <w:rFonts w:cs="Arial"/>
        </w:rPr>
      </w:pPr>
    </w:p>
    <w:p w:rsidR="001B365E" w:rsidRPr="000007F0" w:rsidRDefault="00272CA4" w:rsidP="00272CA4">
      <w:pPr>
        <w:spacing w:line="360" w:lineRule="auto"/>
        <w:jc w:val="both"/>
        <w:rPr>
          <w:rFonts w:cs="Arial"/>
        </w:rPr>
      </w:pPr>
      <w:r w:rsidRPr="000007F0">
        <w:rPr>
          <w:rFonts w:cs="Arial"/>
        </w:rPr>
        <w:t>[8]</w:t>
      </w:r>
      <w:r w:rsidRPr="000007F0">
        <w:rPr>
          <w:rFonts w:cs="Arial"/>
        </w:rPr>
        <w:tab/>
      </w:r>
      <w:r w:rsidR="005B1A44" w:rsidRPr="000007F0">
        <w:rPr>
          <w:rFonts w:cs="Arial"/>
        </w:rPr>
        <w:t>From</w:t>
      </w:r>
      <w:r w:rsidR="000007F0">
        <w:rPr>
          <w:rFonts w:cs="Arial"/>
        </w:rPr>
        <w:t xml:space="preserve"> </w:t>
      </w:r>
      <w:r w:rsidR="003615B7">
        <w:rPr>
          <w:rFonts w:cs="Arial"/>
        </w:rPr>
        <w:t xml:space="preserve">a </w:t>
      </w:r>
      <w:r w:rsidR="00141CE0" w:rsidRPr="000007F0">
        <w:rPr>
          <w:rFonts w:cs="Arial"/>
        </w:rPr>
        <w:t>perusal of the record, it appears that the application</w:t>
      </w:r>
      <w:r w:rsidR="005B1A44" w:rsidRPr="000007F0">
        <w:rPr>
          <w:rFonts w:cs="Arial"/>
        </w:rPr>
        <w:t>s</w:t>
      </w:r>
      <w:r w:rsidR="00141CE0" w:rsidRPr="000007F0">
        <w:rPr>
          <w:rFonts w:cs="Arial"/>
        </w:rPr>
        <w:t xml:space="preserve"> </w:t>
      </w:r>
      <w:r w:rsidR="005B1A44" w:rsidRPr="000007F0">
        <w:rPr>
          <w:rFonts w:cs="Arial"/>
        </w:rPr>
        <w:t xml:space="preserve">were </w:t>
      </w:r>
      <w:r w:rsidR="00141CE0" w:rsidRPr="000007F0">
        <w:rPr>
          <w:rFonts w:cs="Arial"/>
        </w:rPr>
        <w:t xml:space="preserve">properly before the </w:t>
      </w:r>
      <w:r w:rsidR="00B8664F" w:rsidRPr="000007F0">
        <w:rPr>
          <w:rFonts w:cs="Arial"/>
        </w:rPr>
        <w:t>c</w:t>
      </w:r>
      <w:r w:rsidR="00141CE0" w:rsidRPr="000007F0">
        <w:rPr>
          <w:rFonts w:cs="Arial"/>
        </w:rPr>
        <w:t xml:space="preserve">ourt </w:t>
      </w:r>
      <w:r w:rsidR="00141CE0" w:rsidRPr="000007F0">
        <w:rPr>
          <w:rFonts w:cs="Arial"/>
          <w:i/>
          <w:iCs/>
        </w:rPr>
        <w:t>a quo</w:t>
      </w:r>
      <w:r w:rsidR="006A6A83" w:rsidRPr="000007F0">
        <w:rPr>
          <w:rFonts w:cs="Arial"/>
          <w:i/>
          <w:iCs/>
        </w:rPr>
        <w:t>,</w:t>
      </w:r>
      <w:r w:rsidR="00141CE0" w:rsidRPr="000007F0">
        <w:rPr>
          <w:rFonts w:cs="Arial"/>
        </w:rPr>
        <w:t xml:space="preserve"> </w:t>
      </w:r>
      <w:r w:rsidR="000007F0">
        <w:rPr>
          <w:rFonts w:cs="Arial"/>
        </w:rPr>
        <w:t xml:space="preserve">which was </w:t>
      </w:r>
      <w:r w:rsidR="00141CE0" w:rsidRPr="000007F0">
        <w:rPr>
          <w:rFonts w:cs="Arial"/>
        </w:rPr>
        <w:t xml:space="preserve">common cause </w:t>
      </w:r>
      <w:r w:rsidR="005035DF">
        <w:rPr>
          <w:rFonts w:cs="Arial"/>
        </w:rPr>
        <w:t>between</w:t>
      </w:r>
      <w:r w:rsidR="005B1A44" w:rsidRPr="000007F0">
        <w:rPr>
          <w:rFonts w:cs="Arial"/>
        </w:rPr>
        <w:t xml:space="preserve"> </w:t>
      </w:r>
      <w:r w:rsidR="00141CE0" w:rsidRPr="000007F0">
        <w:rPr>
          <w:rFonts w:cs="Arial"/>
        </w:rPr>
        <w:t>the parties</w:t>
      </w:r>
      <w:r w:rsidR="0047323C">
        <w:rPr>
          <w:rFonts w:cs="Arial"/>
        </w:rPr>
        <w:t>.</w:t>
      </w:r>
    </w:p>
    <w:p w:rsidR="00141CE0" w:rsidRPr="000007F0" w:rsidRDefault="00141CE0" w:rsidP="000311AB">
      <w:pPr>
        <w:spacing w:line="360" w:lineRule="auto"/>
        <w:jc w:val="both"/>
        <w:rPr>
          <w:rFonts w:cs="Arial"/>
        </w:rPr>
      </w:pPr>
    </w:p>
    <w:p w:rsidR="00975ED9" w:rsidRPr="000007F0" w:rsidRDefault="00272CA4" w:rsidP="00272CA4">
      <w:pPr>
        <w:spacing w:line="360" w:lineRule="auto"/>
        <w:jc w:val="both"/>
        <w:rPr>
          <w:rFonts w:cs="Arial"/>
        </w:rPr>
      </w:pPr>
      <w:r w:rsidRPr="000007F0">
        <w:rPr>
          <w:rFonts w:cs="Arial"/>
        </w:rPr>
        <w:t>[9]</w:t>
      </w:r>
      <w:r w:rsidRPr="000007F0">
        <w:rPr>
          <w:rFonts w:cs="Arial"/>
        </w:rPr>
        <w:tab/>
      </w:r>
      <w:r w:rsidR="00141CE0" w:rsidRPr="000007F0">
        <w:rPr>
          <w:rFonts w:cs="Arial"/>
        </w:rPr>
        <w:t xml:space="preserve">It </w:t>
      </w:r>
      <w:r w:rsidR="00F86AE3" w:rsidRPr="000007F0">
        <w:rPr>
          <w:rFonts w:cs="Arial"/>
        </w:rPr>
        <w:t xml:space="preserve">further </w:t>
      </w:r>
      <w:r w:rsidR="00141CE0" w:rsidRPr="000007F0">
        <w:rPr>
          <w:rFonts w:cs="Arial"/>
        </w:rPr>
        <w:t xml:space="preserve">emerges from the record that during argument, </w:t>
      </w:r>
      <w:r w:rsidR="00B8664F" w:rsidRPr="000007F0">
        <w:rPr>
          <w:rFonts w:cs="Arial"/>
        </w:rPr>
        <w:t xml:space="preserve">the </w:t>
      </w:r>
      <w:r w:rsidR="00141CE0" w:rsidRPr="000007F0">
        <w:rPr>
          <w:rFonts w:cs="Arial"/>
        </w:rPr>
        <w:t xml:space="preserve">appellant’s legal representative submitted that the decision on the application to adduce further evidence lay with the appeal </w:t>
      </w:r>
      <w:r w:rsidR="00B8664F" w:rsidRPr="000007F0">
        <w:rPr>
          <w:rFonts w:cs="Arial"/>
        </w:rPr>
        <w:t>c</w:t>
      </w:r>
      <w:r w:rsidR="00141CE0" w:rsidRPr="000007F0">
        <w:rPr>
          <w:rFonts w:cs="Arial"/>
        </w:rPr>
        <w:t xml:space="preserve">ourt because the </w:t>
      </w:r>
      <w:r w:rsidR="00B8664F" w:rsidRPr="000007F0">
        <w:rPr>
          <w:rFonts w:cs="Arial"/>
        </w:rPr>
        <w:t>c</w:t>
      </w:r>
      <w:r w:rsidR="00141CE0" w:rsidRPr="000007F0">
        <w:rPr>
          <w:rFonts w:cs="Arial"/>
        </w:rPr>
        <w:t xml:space="preserve">ourt </w:t>
      </w:r>
      <w:r w:rsidR="00141CE0" w:rsidRPr="000007F0">
        <w:rPr>
          <w:rFonts w:cs="Arial"/>
          <w:i/>
          <w:iCs/>
        </w:rPr>
        <w:t xml:space="preserve">a quo </w:t>
      </w:r>
      <w:r w:rsidR="00B8664F" w:rsidRPr="000007F0">
        <w:rPr>
          <w:rFonts w:cs="Arial"/>
          <w:iCs/>
        </w:rPr>
        <w:t>w</w:t>
      </w:r>
      <w:r w:rsidR="00141CE0" w:rsidRPr="000007F0">
        <w:rPr>
          <w:rFonts w:cs="Arial"/>
          <w:iCs/>
        </w:rPr>
        <w:t xml:space="preserve">as </w:t>
      </w:r>
      <w:r w:rsidR="00141CE0" w:rsidRPr="000007F0">
        <w:rPr>
          <w:rFonts w:cs="Arial"/>
          <w:i/>
          <w:iCs/>
        </w:rPr>
        <w:t xml:space="preserve">functus officio. </w:t>
      </w:r>
      <w:r w:rsidR="00141CE0" w:rsidRPr="000007F0">
        <w:rPr>
          <w:rFonts w:cs="Arial"/>
        </w:rPr>
        <w:t xml:space="preserve">This view was shared by the </w:t>
      </w:r>
      <w:r w:rsidR="00B8664F" w:rsidRPr="000007F0">
        <w:rPr>
          <w:rFonts w:cs="Arial"/>
        </w:rPr>
        <w:t>l</w:t>
      </w:r>
      <w:r w:rsidR="00141CE0" w:rsidRPr="000007F0">
        <w:rPr>
          <w:rFonts w:cs="Arial"/>
        </w:rPr>
        <w:t xml:space="preserve">earned </w:t>
      </w:r>
      <w:r w:rsidR="00B8664F" w:rsidRPr="000007F0">
        <w:rPr>
          <w:rFonts w:cs="Arial"/>
        </w:rPr>
        <w:t>m</w:t>
      </w:r>
      <w:r w:rsidR="00141CE0" w:rsidRPr="000007F0">
        <w:rPr>
          <w:rFonts w:cs="Arial"/>
        </w:rPr>
        <w:t>agistrate.</w:t>
      </w:r>
      <w:r w:rsidR="00141CE0" w:rsidRPr="000007F0">
        <w:rPr>
          <w:rStyle w:val="FootnoteReference"/>
          <w:rFonts w:cs="Arial"/>
        </w:rPr>
        <w:footnoteReference w:id="1"/>
      </w:r>
      <w:r w:rsidR="006E1804" w:rsidRPr="000007F0">
        <w:rPr>
          <w:rFonts w:cs="Arial"/>
        </w:rPr>
        <w:t xml:space="preserve"> Persuaded by the argument for condonation, and the application for leave to appeal, the </w:t>
      </w:r>
      <w:r w:rsidR="00B8664F" w:rsidRPr="000007F0">
        <w:rPr>
          <w:rFonts w:cs="Arial"/>
        </w:rPr>
        <w:t>c</w:t>
      </w:r>
      <w:r w:rsidR="006E1804" w:rsidRPr="000007F0">
        <w:rPr>
          <w:rFonts w:cs="Arial"/>
        </w:rPr>
        <w:t xml:space="preserve">ourt </w:t>
      </w:r>
      <w:r w:rsidR="006E1804" w:rsidRPr="000007F0">
        <w:rPr>
          <w:rFonts w:cs="Arial"/>
          <w:i/>
        </w:rPr>
        <w:t>a quo</w:t>
      </w:r>
      <w:r w:rsidR="006E1804" w:rsidRPr="000007F0">
        <w:rPr>
          <w:rFonts w:cs="Arial"/>
        </w:rPr>
        <w:t xml:space="preserve"> granted the application for leave to appeal against sentence; however, </w:t>
      </w:r>
      <w:r w:rsidR="00341414" w:rsidRPr="000007F0">
        <w:rPr>
          <w:rFonts w:cs="Arial"/>
        </w:rPr>
        <w:t>nothing more was said about the application to adduce further evidence.</w:t>
      </w:r>
      <w:r w:rsidR="00341414" w:rsidRPr="000007F0">
        <w:rPr>
          <w:rStyle w:val="FootnoteReference"/>
          <w:rFonts w:cs="Arial"/>
        </w:rPr>
        <w:footnoteReference w:id="2"/>
      </w:r>
      <w:r w:rsidR="00D07A00" w:rsidRPr="000007F0">
        <w:rPr>
          <w:rFonts w:cs="Arial"/>
        </w:rPr>
        <w:t xml:space="preserve"> </w:t>
      </w:r>
      <w:r w:rsidR="00341414" w:rsidRPr="000007F0">
        <w:rPr>
          <w:rFonts w:cs="Arial"/>
        </w:rPr>
        <w:t>Accordingly, no decision was made on the application to adduce further evidence.</w:t>
      </w:r>
    </w:p>
    <w:p w:rsidR="00341414" w:rsidRPr="000007F0" w:rsidRDefault="00341414" w:rsidP="00707FA2">
      <w:pPr>
        <w:pStyle w:val="ListParagraph"/>
        <w:spacing w:line="360" w:lineRule="auto"/>
        <w:rPr>
          <w:rFonts w:cs="Arial"/>
        </w:rPr>
      </w:pPr>
    </w:p>
    <w:p w:rsidR="00707FA2" w:rsidRPr="000007F0" w:rsidRDefault="00272CA4" w:rsidP="00272CA4">
      <w:pPr>
        <w:spacing w:line="360" w:lineRule="auto"/>
        <w:jc w:val="both"/>
        <w:rPr>
          <w:rFonts w:cs="Arial"/>
        </w:rPr>
      </w:pPr>
      <w:r w:rsidRPr="000007F0">
        <w:rPr>
          <w:rFonts w:cs="Arial"/>
        </w:rPr>
        <w:t>[10]</w:t>
      </w:r>
      <w:r w:rsidRPr="000007F0">
        <w:rPr>
          <w:rFonts w:cs="Arial"/>
        </w:rPr>
        <w:tab/>
      </w:r>
      <w:r w:rsidR="00707FA2" w:rsidRPr="000007F0">
        <w:rPr>
          <w:rFonts w:cs="Arial"/>
        </w:rPr>
        <w:t xml:space="preserve">In </w:t>
      </w:r>
      <w:r w:rsidR="00707FA2" w:rsidRPr="005035DF">
        <w:rPr>
          <w:rFonts w:cs="Arial"/>
          <w:i/>
        </w:rPr>
        <w:t>S v WR</w:t>
      </w:r>
      <w:r w:rsidR="005035DF" w:rsidRPr="005035DF">
        <w:rPr>
          <w:rFonts w:cs="Arial"/>
        </w:rPr>
        <w:t>,</w:t>
      </w:r>
      <w:r w:rsidR="000007F0" w:rsidRPr="000007F0">
        <w:rPr>
          <w:rStyle w:val="FootnoteReference"/>
          <w:rFonts w:cs="Arial"/>
        </w:rPr>
        <w:footnoteReference w:id="3"/>
      </w:r>
      <w:r w:rsidR="005035DF">
        <w:rPr>
          <w:rFonts w:cs="Arial"/>
        </w:rPr>
        <w:t xml:space="preserve"> </w:t>
      </w:r>
      <w:r w:rsidR="00707FA2" w:rsidRPr="000007F0">
        <w:rPr>
          <w:rFonts w:cs="Arial"/>
        </w:rPr>
        <w:t xml:space="preserve">the court observed: </w:t>
      </w:r>
    </w:p>
    <w:p w:rsidR="00707FA2" w:rsidRPr="000007F0" w:rsidRDefault="005035DF" w:rsidP="005035DF">
      <w:pPr>
        <w:tabs>
          <w:tab w:val="left" w:pos="709"/>
        </w:tabs>
        <w:spacing w:line="360" w:lineRule="auto"/>
        <w:jc w:val="both"/>
        <w:rPr>
          <w:rFonts w:cs="Arial"/>
          <w:sz w:val="22"/>
          <w:szCs w:val="22"/>
        </w:rPr>
      </w:pPr>
      <w:r>
        <w:rPr>
          <w:rFonts w:cs="Arial"/>
          <w:sz w:val="22"/>
          <w:szCs w:val="22"/>
        </w:rPr>
        <w:t>‘</w:t>
      </w:r>
      <w:r w:rsidR="00707FA2" w:rsidRPr="000007F0">
        <w:rPr>
          <w:rFonts w:cs="Arial"/>
          <w:sz w:val="22"/>
          <w:szCs w:val="22"/>
        </w:rPr>
        <w:t>In ruling that the application to receive further evidence should be heard by this court on appeal, the regional magistrate erred. In my view the decision whether or not to receive further evidence under s 309B(5)(c)(i) is that of the court which has tried the applicant. Section 309B(5)(c)(ii) requires the court granting an application for further evidence to evaluate that evidence, with reference, amongst other things, to the cogency and sufficiency of the evidence and the demeanour and credibility of the witnesses who gave it. An appeal court hears such evidence only rarely and does not enjoy the well-known advantages of a trial court in relation to the evaluation of the evidence in the context of the trial as a whole.’</w:t>
      </w:r>
    </w:p>
    <w:p w:rsidR="00707FA2" w:rsidRPr="000007F0" w:rsidRDefault="00707FA2" w:rsidP="00707FA2">
      <w:pPr>
        <w:spacing w:line="360" w:lineRule="auto"/>
        <w:jc w:val="both"/>
        <w:rPr>
          <w:rFonts w:cs="Arial"/>
        </w:rPr>
      </w:pPr>
    </w:p>
    <w:p w:rsidR="00341414" w:rsidRPr="000007F0" w:rsidRDefault="00272CA4" w:rsidP="00272CA4">
      <w:pPr>
        <w:spacing w:line="360" w:lineRule="auto"/>
        <w:jc w:val="both"/>
        <w:rPr>
          <w:rFonts w:cs="Arial"/>
        </w:rPr>
      </w:pPr>
      <w:r w:rsidRPr="000007F0">
        <w:rPr>
          <w:rFonts w:cs="Arial"/>
        </w:rPr>
        <w:t>[11]</w:t>
      </w:r>
      <w:r w:rsidRPr="000007F0">
        <w:rPr>
          <w:rFonts w:cs="Arial"/>
        </w:rPr>
        <w:tab/>
      </w:r>
      <w:r w:rsidR="00341414" w:rsidRPr="000007F0">
        <w:rPr>
          <w:rFonts w:cs="Arial"/>
        </w:rPr>
        <w:t>Although only conceded to in the alternative by the respondent,</w:t>
      </w:r>
      <w:r w:rsidR="00341414" w:rsidRPr="000007F0">
        <w:rPr>
          <w:rStyle w:val="FootnoteReference"/>
          <w:rFonts w:cs="Arial"/>
        </w:rPr>
        <w:footnoteReference w:id="4"/>
      </w:r>
      <w:r w:rsidR="00341414" w:rsidRPr="000007F0">
        <w:rPr>
          <w:rFonts w:cs="Arial"/>
        </w:rPr>
        <w:t xml:space="preserve"> it </w:t>
      </w:r>
      <w:r w:rsidR="005035DF">
        <w:rPr>
          <w:rFonts w:cs="Arial"/>
        </w:rPr>
        <w:t xml:space="preserve">further </w:t>
      </w:r>
      <w:r w:rsidR="00341414" w:rsidRPr="000007F0">
        <w:rPr>
          <w:rFonts w:cs="Arial"/>
        </w:rPr>
        <w:t xml:space="preserve">emerges as common cause that the matter should be remitted back to the </w:t>
      </w:r>
      <w:r w:rsidR="00E06924" w:rsidRPr="000007F0">
        <w:rPr>
          <w:rFonts w:cs="Arial"/>
        </w:rPr>
        <w:t>c</w:t>
      </w:r>
      <w:r w:rsidR="00341414" w:rsidRPr="000007F0">
        <w:rPr>
          <w:rFonts w:cs="Arial"/>
        </w:rPr>
        <w:t xml:space="preserve">ourt </w:t>
      </w:r>
      <w:r w:rsidR="00341414" w:rsidRPr="000007F0">
        <w:rPr>
          <w:rFonts w:cs="Arial"/>
          <w:i/>
        </w:rPr>
        <w:t>a quo</w:t>
      </w:r>
      <w:r w:rsidR="00341414" w:rsidRPr="000007F0">
        <w:rPr>
          <w:rFonts w:cs="Arial"/>
        </w:rPr>
        <w:t xml:space="preserve"> </w:t>
      </w:r>
      <w:r w:rsidR="003615B7">
        <w:rPr>
          <w:rFonts w:cs="Arial"/>
        </w:rPr>
        <w:t xml:space="preserve">to consider the application to lead </w:t>
      </w:r>
      <w:r w:rsidR="00341414" w:rsidRPr="000007F0">
        <w:rPr>
          <w:rFonts w:cs="Arial"/>
        </w:rPr>
        <w:t>the further evidence.</w:t>
      </w:r>
      <w:r w:rsidR="00341414" w:rsidRPr="000007F0">
        <w:rPr>
          <w:rStyle w:val="FootnoteReference"/>
          <w:rFonts w:cs="Arial"/>
        </w:rPr>
        <w:footnoteReference w:id="5"/>
      </w:r>
    </w:p>
    <w:p w:rsidR="008B2E33" w:rsidRPr="000007F0" w:rsidRDefault="008B2E33" w:rsidP="008B2E33">
      <w:pPr>
        <w:spacing w:line="360" w:lineRule="auto"/>
        <w:jc w:val="both"/>
        <w:rPr>
          <w:rFonts w:cs="Arial"/>
        </w:rPr>
      </w:pPr>
    </w:p>
    <w:p w:rsidR="008B2E33" w:rsidRPr="000007F0" w:rsidRDefault="00272CA4" w:rsidP="00272CA4">
      <w:pPr>
        <w:spacing w:line="360" w:lineRule="auto"/>
        <w:jc w:val="both"/>
        <w:rPr>
          <w:rFonts w:cs="Arial"/>
        </w:rPr>
      </w:pPr>
      <w:r w:rsidRPr="000007F0">
        <w:rPr>
          <w:rFonts w:cs="Arial"/>
        </w:rPr>
        <w:t>[12]</w:t>
      </w:r>
      <w:r w:rsidRPr="000007F0">
        <w:rPr>
          <w:rFonts w:cs="Arial"/>
        </w:rPr>
        <w:tab/>
      </w:r>
      <w:r w:rsidR="008B2E33" w:rsidRPr="000007F0">
        <w:rPr>
          <w:rFonts w:cs="Arial"/>
        </w:rPr>
        <w:t xml:space="preserve">It is apposite to mention here that </w:t>
      </w:r>
      <w:r w:rsidR="005035DF">
        <w:rPr>
          <w:rFonts w:cs="Arial"/>
        </w:rPr>
        <w:t xml:space="preserve">it appears that </w:t>
      </w:r>
      <w:r w:rsidR="008B2E33" w:rsidRPr="000007F0">
        <w:rPr>
          <w:rFonts w:cs="Arial"/>
        </w:rPr>
        <w:t xml:space="preserve">the further evidence sought to be led by appellant is medical evidence in mitigation of sentence, which alleges that appellant was sexually abused, from a very young age and throughout his teens, by older boys with whom he attended school. The reason </w:t>
      </w:r>
      <w:r w:rsidR="005035DF">
        <w:rPr>
          <w:rFonts w:cs="Arial"/>
        </w:rPr>
        <w:t>why</w:t>
      </w:r>
      <w:r w:rsidR="008B2E33" w:rsidRPr="000007F0">
        <w:rPr>
          <w:rFonts w:cs="Arial"/>
        </w:rPr>
        <w:t xml:space="preserve"> this evidence was not </w:t>
      </w:r>
      <w:r w:rsidR="005035DF">
        <w:rPr>
          <w:rFonts w:cs="Arial"/>
        </w:rPr>
        <w:t xml:space="preserve">initially </w:t>
      </w:r>
      <w:r w:rsidR="008B2E33" w:rsidRPr="000007F0">
        <w:rPr>
          <w:rFonts w:cs="Arial"/>
        </w:rPr>
        <w:t>tendered in mitigation is not clear from the record</w:t>
      </w:r>
      <w:r w:rsidR="005035DF">
        <w:rPr>
          <w:rFonts w:cs="Arial"/>
        </w:rPr>
        <w:t xml:space="preserve"> but perhaps there is an acceptable reason for this</w:t>
      </w:r>
      <w:r w:rsidR="008B2E33" w:rsidRPr="000007F0">
        <w:rPr>
          <w:rFonts w:cs="Arial"/>
        </w:rPr>
        <w:t xml:space="preserve">. </w:t>
      </w:r>
    </w:p>
    <w:p w:rsidR="00C67049" w:rsidRPr="000007F0" w:rsidRDefault="00C67049" w:rsidP="00C67049">
      <w:pPr>
        <w:spacing w:line="360" w:lineRule="auto"/>
        <w:jc w:val="both"/>
        <w:rPr>
          <w:rFonts w:cs="Arial"/>
        </w:rPr>
      </w:pPr>
    </w:p>
    <w:p w:rsidR="009D61F6" w:rsidRPr="000007F0" w:rsidRDefault="00272CA4" w:rsidP="00272CA4">
      <w:pPr>
        <w:spacing w:line="360" w:lineRule="auto"/>
        <w:jc w:val="both"/>
        <w:rPr>
          <w:rFonts w:cs="Arial"/>
        </w:rPr>
      </w:pPr>
      <w:r w:rsidRPr="000007F0">
        <w:rPr>
          <w:rFonts w:cs="Arial"/>
        </w:rPr>
        <w:t>[13]</w:t>
      </w:r>
      <w:r w:rsidRPr="000007F0">
        <w:rPr>
          <w:rFonts w:cs="Arial"/>
        </w:rPr>
        <w:tab/>
      </w:r>
      <w:r w:rsidR="00C67049" w:rsidRPr="000007F0">
        <w:rPr>
          <w:rFonts w:cs="Arial"/>
        </w:rPr>
        <w:t>It is trite that sentences are determined on the facts and circumstances known at the time of their imposition. Facts that become known after the imposition of sentence can only in exceptional circumstances be taken into account on appeal</w:t>
      </w:r>
      <w:r w:rsidR="00C67049" w:rsidRPr="000007F0">
        <w:rPr>
          <w:rStyle w:val="FootnoteReference"/>
          <w:rFonts w:cs="Arial"/>
        </w:rPr>
        <w:footnoteReference w:id="6"/>
      </w:r>
      <w:r w:rsidR="00C67049" w:rsidRPr="000007F0">
        <w:rPr>
          <w:rFonts w:cs="Arial"/>
        </w:rPr>
        <w:t xml:space="preserve">. </w:t>
      </w:r>
      <w:r w:rsidR="009D61F6" w:rsidRPr="000007F0">
        <w:rPr>
          <w:rFonts w:cs="Arial"/>
        </w:rPr>
        <w:t>Further</w:t>
      </w:r>
      <w:r w:rsidR="003615B7">
        <w:rPr>
          <w:rFonts w:cs="Arial"/>
        </w:rPr>
        <w:t>,</w:t>
      </w:r>
      <w:r w:rsidR="009D61F6" w:rsidRPr="000007F0">
        <w:rPr>
          <w:rFonts w:cs="Arial"/>
        </w:rPr>
        <w:t xml:space="preserve"> in S v Bezuidenhout</w:t>
      </w:r>
      <w:r w:rsidR="005035DF">
        <w:rPr>
          <w:rFonts w:cs="Arial"/>
        </w:rPr>
        <w:t>,</w:t>
      </w:r>
      <w:r w:rsidR="009D61F6" w:rsidRPr="000007F0">
        <w:rPr>
          <w:rStyle w:val="FootnoteReference"/>
          <w:rFonts w:cs="Arial"/>
        </w:rPr>
        <w:footnoteReference w:id="7"/>
      </w:r>
      <w:r w:rsidR="009D61F6" w:rsidRPr="000007F0">
        <w:rPr>
          <w:rFonts w:cs="Arial"/>
        </w:rPr>
        <w:t xml:space="preserve"> the court held: </w:t>
      </w:r>
    </w:p>
    <w:p w:rsidR="009D61F6" w:rsidRPr="000007F0" w:rsidRDefault="005035DF" w:rsidP="003615B7">
      <w:pPr>
        <w:pStyle w:val="ListParagraph"/>
        <w:spacing w:line="360" w:lineRule="auto"/>
        <w:ind w:left="0"/>
        <w:jc w:val="both"/>
        <w:rPr>
          <w:rFonts w:cs="Arial"/>
          <w:sz w:val="22"/>
          <w:szCs w:val="22"/>
        </w:rPr>
      </w:pPr>
      <w:r>
        <w:rPr>
          <w:rFonts w:cs="Arial"/>
          <w:sz w:val="22"/>
          <w:szCs w:val="22"/>
        </w:rPr>
        <w:t>'</w:t>
      </w:r>
      <w:r w:rsidR="008B2E33" w:rsidRPr="000007F0">
        <w:rPr>
          <w:rFonts w:cs="Arial"/>
          <w:sz w:val="22"/>
          <w:szCs w:val="22"/>
        </w:rPr>
        <w:t xml:space="preserve">[While] </w:t>
      </w:r>
      <w:r w:rsidR="009D61F6" w:rsidRPr="000007F0">
        <w:rPr>
          <w:rFonts w:cs="Arial"/>
          <w:sz w:val="22"/>
          <w:szCs w:val="22"/>
        </w:rPr>
        <w:t>finality in litigation is an important considera</w:t>
      </w:r>
      <w:r w:rsidR="003615B7">
        <w:rPr>
          <w:rFonts w:cs="Arial"/>
          <w:sz w:val="22"/>
          <w:szCs w:val="22"/>
        </w:rPr>
        <w:t xml:space="preserve">tion, this should not be at the </w:t>
      </w:r>
      <w:r w:rsidR="009D61F6" w:rsidRPr="000007F0">
        <w:rPr>
          <w:rFonts w:cs="Arial"/>
          <w:sz w:val="22"/>
          <w:szCs w:val="22"/>
        </w:rPr>
        <w:t>expense of an accused person’s fair trial rights.’</w:t>
      </w:r>
    </w:p>
    <w:p w:rsidR="00341414" w:rsidRPr="000007F0" w:rsidRDefault="00341414" w:rsidP="00C67049">
      <w:pPr>
        <w:pStyle w:val="ListParagraph"/>
        <w:spacing w:line="360" w:lineRule="auto"/>
        <w:rPr>
          <w:rFonts w:cs="Arial"/>
        </w:rPr>
      </w:pPr>
    </w:p>
    <w:p w:rsidR="00CF6A3E" w:rsidRDefault="00272CA4" w:rsidP="00272CA4">
      <w:pPr>
        <w:spacing w:line="360" w:lineRule="auto"/>
        <w:jc w:val="both"/>
        <w:rPr>
          <w:rFonts w:cs="Arial"/>
        </w:rPr>
      </w:pPr>
      <w:r>
        <w:rPr>
          <w:rFonts w:cs="Arial"/>
        </w:rPr>
        <w:t>[14]</w:t>
      </w:r>
      <w:r>
        <w:rPr>
          <w:rFonts w:cs="Arial"/>
        </w:rPr>
        <w:tab/>
      </w:r>
      <w:r w:rsidR="00341414" w:rsidRPr="000007F0">
        <w:rPr>
          <w:rFonts w:cs="Arial"/>
        </w:rPr>
        <w:t>Having perused s</w:t>
      </w:r>
      <w:r w:rsidR="00D1397B" w:rsidRPr="000007F0">
        <w:rPr>
          <w:rFonts w:cs="Arial"/>
        </w:rPr>
        <w:t> </w:t>
      </w:r>
      <w:r w:rsidR="00341414" w:rsidRPr="000007F0">
        <w:rPr>
          <w:rFonts w:cs="Arial"/>
        </w:rPr>
        <w:t xml:space="preserve">309B of the CPA </w:t>
      </w:r>
      <w:r w:rsidR="008B2E33" w:rsidRPr="000007F0">
        <w:rPr>
          <w:rFonts w:cs="Arial"/>
        </w:rPr>
        <w:t xml:space="preserve">together with the various authorities, </w:t>
      </w:r>
      <w:r w:rsidR="00341414" w:rsidRPr="000007F0">
        <w:rPr>
          <w:rFonts w:cs="Arial"/>
        </w:rPr>
        <w:t>and</w:t>
      </w:r>
      <w:r w:rsidR="003615B7">
        <w:rPr>
          <w:rFonts w:cs="Arial"/>
        </w:rPr>
        <w:t xml:space="preserve"> having </w:t>
      </w:r>
      <w:r w:rsidR="00341414" w:rsidRPr="000007F0">
        <w:rPr>
          <w:rFonts w:cs="Arial"/>
        </w:rPr>
        <w:t xml:space="preserve">heard argument from both </w:t>
      </w:r>
      <w:r w:rsidR="00E06924" w:rsidRPr="000007F0">
        <w:rPr>
          <w:rFonts w:cs="Arial"/>
        </w:rPr>
        <w:t xml:space="preserve">the </w:t>
      </w:r>
      <w:r w:rsidR="00341414" w:rsidRPr="000007F0">
        <w:rPr>
          <w:rFonts w:cs="Arial"/>
        </w:rPr>
        <w:t xml:space="preserve">appellant and </w:t>
      </w:r>
      <w:r w:rsidR="00E06924" w:rsidRPr="000007F0">
        <w:rPr>
          <w:rFonts w:cs="Arial"/>
        </w:rPr>
        <w:t xml:space="preserve">the </w:t>
      </w:r>
      <w:r w:rsidR="00341414" w:rsidRPr="000007F0">
        <w:rPr>
          <w:rFonts w:cs="Arial"/>
        </w:rPr>
        <w:t xml:space="preserve">respondent, </w:t>
      </w:r>
      <w:r w:rsidR="005035DF">
        <w:rPr>
          <w:rFonts w:cs="Arial"/>
        </w:rPr>
        <w:t>I</w:t>
      </w:r>
      <w:r w:rsidR="00341414" w:rsidRPr="000007F0">
        <w:rPr>
          <w:rFonts w:cs="Arial"/>
        </w:rPr>
        <w:t xml:space="preserve"> share the views expressed by </w:t>
      </w:r>
      <w:r w:rsidR="00E06924" w:rsidRPr="000007F0">
        <w:rPr>
          <w:rFonts w:cs="Arial"/>
        </w:rPr>
        <w:t>the</w:t>
      </w:r>
      <w:r w:rsidR="008D475D" w:rsidRPr="000007F0">
        <w:rPr>
          <w:rFonts w:cs="Arial"/>
        </w:rPr>
        <w:t>m</w:t>
      </w:r>
      <w:r w:rsidR="00E06924" w:rsidRPr="000007F0">
        <w:rPr>
          <w:rFonts w:cs="Arial"/>
        </w:rPr>
        <w:t xml:space="preserve"> </w:t>
      </w:r>
      <w:r w:rsidR="00341414" w:rsidRPr="000007F0">
        <w:rPr>
          <w:rFonts w:cs="Arial"/>
        </w:rPr>
        <w:t xml:space="preserve">that the matter must be remitted back to the </w:t>
      </w:r>
      <w:r w:rsidR="00E06924" w:rsidRPr="000007F0">
        <w:rPr>
          <w:rFonts w:cs="Arial"/>
        </w:rPr>
        <w:t>c</w:t>
      </w:r>
      <w:r w:rsidR="00341414" w:rsidRPr="000007F0">
        <w:rPr>
          <w:rFonts w:cs="Arial"/>
        </w:rPr>
        <w:t xml:space="preserve">ourt </w:t>
      </w:r>
      <w:r w:rsidR="00341414" w:rsidRPr="000007F0">
        <w:rPr>
          <w:rFonts w:cs="Arial"/>
          <w:i/>
        </w:rPr>
        <w:t>a quo</w:t>
      </w:r>
      <w:r w:rsidR="00341414" w:rsidRPr="000007F0">
        <w:rPr>
          <w:rFonts w:cs="Arial"/>
        </w:rPr>
        <w:t xml:space="preserve"> to </w:t>
      </w:r>
      <w:r w:rsidR="003615B7">
        <w:rPr>
          <w:rFonts w:cs="Arial"/>
        </w:rPr>
        <w:t xml:space="preserve">consider the </w:t>
      </w:r>
      <w:r w:rsidR="005035DF">
        <w:rPr>
          <w:rFonts w:cs="Arial"/>
        </w:rPr>
        <w:t xml:space="preserve">application for the </w:t>
      </w:r>
      <w:r w:rsidR="003615B7">
        <w:rPr>
          <w:rFonts w:cs="Arial"/>
        </w:rPr>
        <w:t>reception of the</w:t>
      </w:r>
      <w:r w:rsidR="00341414" w:rsidRPr="000007F0">
        <w:rPr>
          <w:rFonts w:cs="Arial"/>
        </w:rPr>
        <w:t xml:space="preserve"> further evidence.</w:t>
      </w:r>
      <w:r w:rsidR="008E1F48" w:rsidRPr="000007F0">
        <w:rPr>
          <w:rFonts w:cs="Arial"/>
        </w:rPr>
        <w:t xml:space="preserve"> </w:t>
      </w:r>
      <w:r w:rsidR="003615B7">
        <w:rPr>
          <w:rFonts w:cs="Arial"/>
        </w:rPr>
        <w:t>T</w:t>
      </w:r>
      <w:r w:rsidR="00CF6A3E" w:rsidRPr="000007F0">
        <w:rPr>
          <w:rFonts w:cs="Arial"/>
        </w:rPr>
        <w:t>his matter</w:t>
      </w:r>
      <w:r w:rsidR="005035DF">
        <w:rPr>
          <w:rFonts w:cs="Arial"/>
        </w:rPr>
        <w:t>, obviously,</w:t>
      </w:r>
      <w:r w:rsidR="00CF6A3E" w:rsidRPr="000007F0">
        <w:rPr>
          <w:rFonts w:cs="Arial"/>
        </w:rPr>
        <w:t xml:space="preserve"> should be dealt with expeditiously.</w:t>
      </w:r>
      <w:r w:rsidR="008E1F48" w:rsidRPr="000007F0">
        <w:rPr>
          <w:rFonts w:cs="Arial"/>
        </w:rPr>
        <w:t xml:space="preserve"> </w:t>
      </w:r>
    </w:p>
    <w:p w:rsidR="003615B7" w:rsidRDefault="003615B7" w:rsidP="003615B7">
      <w:pPr>
        <w:spacing w:line="360" w:lineRule="auto"/>
        <w:jc w:val="both"/>
        <w:rPr>
          <w:rFonts w:cs="Arial"/>
        </w:rPr>
      </w:pPr>
    </w:p>
    <w:p w:rsidR="00687B8B" w:rsidRPr="000007F0" w:rsidRDefault="00687B8B" w:rsidP="003615B7">
      <w:pPr>
        <w:spacing w:line="360" w:lineRule="auto"/>
        <w:jc w:val="both"/>
        <w:rPr>
          <w:rFonts w:cs="Arial"/>
        </w:rPr>
      </w:pPr>
    </w:p>
    <w:p w:rsidR="00A0152D" w:rsidRPr="000007F0" w:rsidRDefault="00A0152D" w:rsidP="00A0152D">
      <w:pPr>
        <w:pStyle w:val="ListParagraph"/>
        <w:spacing w:line="360" w:lineRule="auto"/>
        <w:ind w:left="0"/>
        <w:rPr>
          <w:rFonts w:cs="Arial"/>
          <w:b/>
          <w:bCs/>
        </w:rPr>
      </w:pPr>
      <w:r w:rsidRPr="000007F0">
        <w:rPr>
          <w:rFonts w:cs="Arial"/>
          <w:b/>
          <w:bCs/>
        </w:rPr>
        <w:t>Order</w:t>
      </w:r>
    </w:p>
    <w:p w:rsidR="00CD2ADA" w:rsidRPr="000007F0" w:rsidRDefault="00272CA4" w:rsidP="00272CA4">
      <w:pPr>
        <w:spacing w:line="360" w:lineRule="auto"/>
        <w:jc w:val="both"/>
        <w:rPr>
          <w:rFonts w:cs="Arial"/>
        </w:rPr>
      </w:pPr>
      <w:r w:rsidRPr="000007F0">
        <w:rPr>
          <w:rFonts w:cs="Arial"/>
        </w:rPr>
        <w:t>[15]</w:t>
      </w:r>
      <w:r w:rsidRPr="000007F0">
        <w:rPr>
          <w:rFonts w:cs="Arial"/>
        </w:rPr>
        <w:tab/>
      </w:r>
      <w:r w:rsidR="00CD2ADA" w:rsidRPr="000007F0">
        <w:rPr>
          <w:rFonts w:cs="Arial"/>
        </w:rPr>
        <w:t xml:space="preserve">In the result, I </w:t>
      </w:r>
      <w:r w:rsidR="003615B7">
        <w:rPr>
          <w:rFonts w:cs="Arial"/>
        </w:rPr>
        <w:t>propose</w:t>
      </w:r>
      <w:r w:rsidR="00CD2ADA" w:rsidRPr="000007F0">
        <w:rPr>
          <w:rFonts w:cs="Arial"/>
        </w:rPr>
        <w:t xml:space="preserve"> the following order</w:t>
      </w:r>
      <w:r w:rsidR="00ED57CC" w:rsidRPr="000007F0">
        <w:rPr>
          <w:rFonts w:cs="Arial"/>
        </w:rPr>
        <w:t>:</w:t>
      </w:r>
    </w:p>
    <w:p w:rsidR="00A1523B" w:rsidRPr="00272CA4" w:rsidRDefault="00272CA4" w:rsidP="00272CA4">
      <w:pPr>
        <w:spacing w:line="360" w:lineRule="auto"/>
        <w:jc w:val="both"/>
        <w:rPr>
          <w:rFonts w:cs="Arial"/>
        </w:rPr>
      </w:pPr>
      <w:bookmarkStart w:id="4" w:name="_Hlk149572477"/>
      <w:r w:rsidRPr="005035DF">
        <w:rPr>
          <w:rFonts w:cs="Arial"/>
        </w:rPr>
        <w:t>1.</w:t>
      </w:r>
      <w:r w:rsidRPr="005035DF">
        <w:rPr>
          <w:rFonts w:cs="Arial"/>
        </w:rPr>
        <w:tab/>
      </w:r>
      <w:r w:rsidR="00ED57CC" w:rsidRPr="00272CA4">
        <w:rPr>
          <w:rFonts w:cs="Arial"/>
        </w:rPr>
        <w:t xml:space="preserve">The </w:t>
      </w:r>
      <w:r w:rsidR="003615B7" w:rsidRPr="00272CA4">
        <w:rPr>
          <w:rFonts w:cs="Arial"/>
        </w:rPr>
        <w:t xml:space="preserve">matter is remitted to the Regional Court, Ntuzuma for a decision to be taken on the appellant’s application to lead further evidence. </w:t>
      </w:r>
    </w:p>
    <w:p w:rsidR="00CF6A3E" w:rsidRPr="00272CA4" w:rsidRDefault="00272CA4" w:rsidP="00272CA4">
      <w:pPr>
        <w:tabs>
          <w:tab w:val="left" w:pos="709"/>
        </w:tabs>
        <w:spacing w:line="360" w:lineRule="auto"/>
        <w:jc w:val="both"/>
        <w:rPr>
          <w:rFonts w:cs="Arial"/>
        </w:rPr>
      </w:pPr>
      <w:r w:rsidRPr="005035DF">
        <w:rPr>
          <w:rFonts w:cs="Arial"/>
        </w:rPr>
        <w:t>2.</w:t>
      </w:r>
      <w:r w:rsidRPr="005035DF">
        <w:rPr>
          <w:rFonts w:cs="Arial"/>
        </w:rPr>
        <w:tab/>
      </w:r>
      <w:r w:rsidR="003615B7" w:rsidRPr="00272CA4">
        <w:rPr>
          <w:rFonts w:cs="Arial"/>
        </w:rPr>
        <w:t>In the event of the Regional Court gr</w:t>
      </w:r>
      <w:r w:rsidR="00464201" w:rsidRPr="00272CA4">
        <w:rPr>
          <w:rFonts w:cs="Arial"/>
        </w:rPr>
        <w:t>anting the application, it shall proceed further in terms of</w:t>
      </w:r>
      <w:r w:rsidR="00CF6A3E" w:rsidRPr="00272CA4">
        <w:rPr>
          <w:rFonts w:cs="Arial"/>
        </w:rPr>
        <w:t xml:space="preserve"> the provisions of s</w:t>
      </w:r>
      <w:r w:rsidR="006769C7" w:rsidRPr="00272CA4">
        <w:rPr>
          <w:rFonts w:cs="Arial"/>
        </w:rPr>
        <w:t xml:space="preserve"> </w:t>
      </w:r>
      <w:r w:rsidR="00CF6A3E" w:rsidRPr="00272CA4">
        <w:rPr>
          <w:rFonts w:cs="Arial"/>
        </w:rPr>
        <w:t>309B(5)</w:t>
      </w:r>
      <w:r w:rsidR="00CF6A3E" w:rsidRPr="00272CA4">
        <w:rPr>
          <w:rFonts w:cs="Arial"/>
          <w:i/>
        </w:rPr>
        <w:t>(c)</w:t>
      </w:r>
      <w:r w:rsidR="00CF6A3E" w:rsidRPr="00272CA4">
        <w:rPr>
          <w:rFonts w:cs="Arial"/>
        </w:rPr>
        <w:t>(ii) of the C</w:t>
      </w:r>
      <w:r w:rsidR="00464201" w:rsidRPr="00272CA4">
        <w:rPr>
          <w:rFonts w:cs="Arial"/>
        </w:rPr>
        <w:t xml:space="preserve">riminal Procedure </w:t>
      </w:r>
      <w:r w:rsidR="00CF6A3E" w:rsidRPr="00272CA4">
        <w:rPr>
          <w:rFonts w:cs="Arial"/>
        </w:rPr>
        <w:t>A</w:t>
      </w:r>
      <w:r w:rsidR="00464201" w:rsidRPr="00272CA4">
        <w:rPr>
          <w:rFonts w:cs="Arial"/>
        </w:rPr>
        <w:t>ct 51 of 1977.</w:t>
      </w:r>
      <w:r w:rsidR="00CF6A3E" w:rsidRPr="00272CA4">
        <w:rPr>
          <w:rFonts w:cs="Arial"/>
        </w:rPr>
        <w:t xml:space="preserve"> </w:t>
      </w:r>
    </w:p>
    <w:bookmarkEnd w:id="4"/>
    <w:p w:rsidR="00ED57CC" w:rsidRPr="000007F0" w:rsidRDefault="00ED57CC" w:rsidP="00A1523B">
      <w:pPr>
        <w:tabs>
          <w:tab w:val="left" w:pos="851"/>
        </w:tabs>
        <w:spacing w:line="360" w:lineRule="auto"/>
        <w:jc w:val="both"/>
        <w:rPr>
          <w:rFonts w:cs="Arial"/>
        </w:rPr>
      </w:pPr>
    </w:p>
    <w:p w:rsidR="00CF6A3E" w:rsidRDefault="00CF6A3E" w:rsidP="00CF6A3E">
      <w:pPr>
        <w:tabs>
          <w:tab w:val="left" w:pos="851"/>
        </w:tabs>
        <w:spacing w:line="360" w:lineRule="auto"/>
        <w:jc w:val="both"/>
        <w:rPr>
          <w:rFonts w:cs="Arial"/>
        </w:rPr>
      </w:pPr>
    </w:p>
    <w:p w:rsidR="00FF2E25" w:rsidRDefault="00FF2E25" w:rsidP="00CF6A3E">
      <w:pPr>
        <w:tabs>
          <w:tab w:val="left" w:pos="851"/>
        </w:tabs>
        <w:spacing w:line="360" w:lineRule="auto"/>
        <w:jc w:val="both"/>
        <w:rPr>
          <w:rFonts w:cs="Arial"/>
        </w:rPr>
      </w:pPr>
    </w:p>
    <w:p w:rsidR="00FF2E25" w:rsidRDefault="00FF2E25" w:rsidP="00CF6A3E">
      <w:pPr>
        <w:tabs>
          <w:tab w:val="left" w:pos="851"/>
        </w:tabs>
        <w:spacing w:line="360" w:lineRule="auto"/>
        <w:jc w:val="both"/>
        <w:rPr>
          <w:rFonts w:cs="Arial"/>
        </w:rPr>
      </w:pPr>
    </w:p>
    <w:p w:rsidR="00FF2E25" w:rsidRPr="000007F0" w:rsidRDefault="00FF2E25" w:rsidP="00CF6A3E">
      <w:pPr>
        <w:tabs>
          <w:tab w:val="left" w:pos="851"/>
        </w:tabs>
        <w:spacing w:line="360" w:lineRule="auto"/>
        <w:jc w:val="both"/>
        <w:rPr>
          <w:rFonts w:cs="Arial"/>
        </w:rPr>
      </w:pPr>
    </w:p>
    <w:p w:rsidR="00CF6A3E" w:rsidRPr="000007F0" w:rsidRDefault="00CF6A3E" w:rsidP="00CF6A3E">
      <w:pPr>
        <w:spacing w:line="360" w:lineRule="auto"/>
        <w:jc w:val="right"/>
        <w:rPr>
          <w:rFonts w:cs="Arial"/>
          <w:b/>
        </w:rPr>
      </w:pPr>
      <w:r w:rsidRPr="000007F0">
        <w:rPr>
          <w:rFonts w:cs="Arial"/>
          <w:b/>
        </w:rPr>
        <w:t>______</w:t>
      </w:r>
      <w:r w:rsidR="00FF2E25">
        <w:rPr>
          <w:rFonts w:cs="Arial"/>
          <w:b/>
        </w:rPr>
        <w:t>________</w:t>
      </w:r>
      <w:r w:rsidR="00D07A00" w:rsidRPr="000007F0">
        <w:rPr>
          <w:rFonts w:cs="Arial"/>
          <w:b/>
        </w:rPr>
        <w:t>____</w:t>
      </w:r>
      <w:r w:rsidRPr="000007F0">
        <w:rPr>
          <w:rFonts w:cs="Arial"/>
          <w:b/>
        </w:rPr>
        <w:t>________</w:t>
      </w:r>
    </w:p>
    <w:p w:rsidR="00FF2E25" w:rsidRDefault="00FF2E25" w:rsidP="00FF2E25">
      <w:pPr>
        <w:ind w:firstLine="720"/>
        <w:jc w:val="right"/>
        <w:rPr>
          <w:rFonts w:cs="Arial"/>
          <w:b/>
        </w:rPr>
      </w:pPr>
    </w:p>
    <w:p w:rsidR="00CF6A3E" w:rsidRDefault="00CF6A3E" w:rsidP="00CF6A3E">
      <w:pPr>
        <w:spacing w:line="360" w:lineRule="auto"/>
        <w:ind w:firstLine="720"/>
        <w:jc w:val="right"/>
        <w:rPr>
          <w:rFonts w:cs="Arial"/>
          <w:b/>
        </w:rPr>
      </w:pPr>
      <w:r w:rsidRPr="000007F0">
        <w:rPr>
          <w:rFonts w:cs="Arial"/>
          <w:b/>
        </w:rPr>
        <w:t>NICHOLSON AJ</w:t>
      </w:r>
    </w:p>
    <w:p w:rsidR="00FF2E25" w:rsidRPr="000007F0" w:rsidRDefault="00FF2E25" w:rsidP="00FF2E25">
      <w:pPr>
        <w:spacing w:line="360" w:lineRule="auto"/>
        <w:ind w:firstLine="720"/>
        <w:jc w:val="center"/>
        <w:rPr>
          <w:rFonts w:cs="Arial"/>
          <w:b/>
        </w:rPr>
      </w:pPr>
    </w:p>
    <w:p w:rsidR="00CF6A3E" w:rsidRPr="000007F0" w:rsidRDefault="00CF6A3E" w:rsidP="00A1523B">
      <w:pPr>
        <w:tabs>
          <w:tab w:val="left" w:pos="851"/>
        </w:tabs>
        <w:spacing w:line="360" w:lineRule="auto"/>
        <w:jc w:val="both"/>
        <w:rPr>
          <w:rFonts w:cs="Arial"/>
        </w:rPr>
      </w:pPr>
    </w:p>
    <w:p w:rsidR="00CF6A3E" w:rsidRPr="000007F0" w:rsidRDefault="00CF6A3E" w:rsidP="00A1523B">
      <w:pPr>
        <w:tabs>
          <w:tab w:val="left" w:pos="851"/>
        </w:tabs>
        <w:spacing w:line="360" w:lineRule="auto"/>
        <w:jc w:val="both"/>
        <w:rPr>
          <w:rFonts w:cs="Arial"/>
        </w:rPr>
      </w:pPr>
    </w:p>
    <w:p w:rsidR="00CF6A3E" w:rsidRPr="000007F0" w:rsidRDefault="00CF6A3E" w:rsidP="00CF6A3E">
      <w:pPr>
        <w:tabs>
          <w:tab w:val="left" w:pos="851"/>
        </w:tabs>
        <w:spacing w:line="360" w:lineRule="auto"/>
        <w:jc w:val="right"/>
        <w:rPr>
          <w:rFonts w:cs="Arial"/>
        </w:rPr>
      </w:pPr>
      <w:r w:rsidRPr="000007F0">
        <w:rPr>
          <w:rFonts w:cs="Arial"/>
        </w:rPr>
        <w:t xml:space="preserve">I </w:t>
      </w:r>
      <w:r w:rsidR="003615B7">
        <w:rPr>
          <w:rFonts w:cs="Arial"/>
        </w:rPr>
        <w:t>agree, and it is so ordered</w:t>
      </w:r>
      <w:r w:rsidR="00FF2E25">
        <w:rPr>
          <w:rFonts w:cs="Arial"/>
        </w:rPr>
        <w:t>:</w:t>
      </w:r>
    </w:p>
    <w:p w:rsidR="00CF6A3E" w:rsidRDefault="00CF6A3E"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Pr="000007F0" w:rsidRDefault="00FF2E25" w:rsidP="00A1523B">
      <w:pPr>
        <w:tabs>
          <w:tab w:val="left" w:pos="851"/>
        </w:tabs>
        <w:spacing w:line="360" w:lineRule="auto"/>
        <w:jc w:val="both"/>
        <w:rPr>
          <w:rFonts w:cs="Arial"/>
        </w:rPr>
      </w:pPr>
    </w:p>
    <w:p w:rsidR="00FF2E25" w:rsidRPr="000007F0" w:rsidRDefault="00FF2E25" w:rsidP="00FF2E25">
      <w:pPr>
        <w:spacing w:line="360" w:lineRule="auto"/>
        <w:jc w:val="right"/>
        <w:rPr>
          <w:rFonts w:cs="Arial"/>
          <w:b/>
        </w:rPr>
      </w:pPr>
      <w:r w:rsidRPr="000007F0">
        <w:rPr>
          <w:rFonts w:cs="Arial"/>
          <w:b/>
        </w:rPr>
        <w:t>______</w:t>
      </w:r>
      <w:r>
        <w:rPr>
          <w:rFonts w:cs="Arial"/>
          <w:b/>
        </w:rPr>
        <w:t>________</w:t>
      </w:r>
      <w:r w:rsidRPr="000007F0">
        <w:rPr>
          <w:rFonts w:cs="Arial"/>
          <w:b/>
        </w:rPr>
        <w:t>____________</w:t>
      </w:r>
    </w:p>
    <w:p w:rsidR="00FF2E25" w:rsidRDefault="00FF2E25" w:rsidP="00FF2E25">
      <w:pPr>
        <w:ind w:firstLine="720"/>
        <w:jc w:val="right"/>
        <w:rPr>
          <w:rFonts w:cs="Arial"/>
          <w:b/>
        </w:rPr>
      </w:pPr>
    </w:p>
    <w:p w:rsidR="00ED57CC" w:rsidRPr="000007F0" w:rsidRDefault="00ED57CC" w:rsidP="00ED57CC">
      <w:pPr>
        <w:spacing w:line="360" w:lineRule="auto"/>
        <w:ind w:firstLine="720"/>
        <w:jc w:val="right"/>
        <w:rPr>
          <w:rFonts w:cs="Arial"/>
          <w:b/>
        </w:rPr>
      </w:pPr>
      <w:r w:rsidRPr="000007F0">
        <w:rPr>
          <w:rFonts w:cs="Arial"/>
          <w:b/>
        </w:rPr>
        <w:t>MOSSOP J</w:t>
      </w:r>
    </w:p>
    <w:p w:rsidR="00ED57CC" w:rsidRDefault="00ED57CC"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Default="00FF2E25" w:rsidP="00A1523B">
      <w:pPr>
        <w:tabs>
          <w:tab w:val="left" w:pos="851"/>
        </w:tabs>
        <w:spacing w:line="360" w:lineRule="auto"/>
        <w:jc w:val="both"/>
        <w:rPr>
          <w:rFonts w:cs="Arial"/>
        </w:rPr>
      </w:pPr>
    </w:p>
    <w:p w:rsidR="00FF2E25" w:rsidRDefault="00FF2E25" w:rsidP="00FF2E25">
      <w:pPr>
        <w:tabs>
          <w:tab w:val="left" w:pos="851"/>
        </w:tabs>
        <w:spacing w:line="360" w:lineRule="auto"/>
        <w:jc w:val="center"/>
        <w:rPr>
          <w:rFonts w:cs="Arial"/>
          <w:b/>
          <w:u w:val="single"/>
        </w:rPr>
      </w:pPr>
      <w:r w:rsidRPr="00FF2E25">
        <w:rPr>
          <w:rFonts w:cs="Arial"/>
          <w:b/>
          <w:u w:val="single"/>
        </w:rPr>
        <w:t>APPEARANCES</w:t>
      </w:r>
    </w:p>
    <w:p w:rsidR="00FF2E25" w:rsidRDefault="00FF2E25" w:rsidP="00FF2E25">
      <w:pPr>
        <w:tabs>
          <w:tab w:val="left" w:pos="851"/>
        </w:tabs>
        <w:spacing w:line="360" w:lineRule="auto"/>
        <w:jc w:val="center"/>
        <w:rPr>
          <w:rFonts w:cs="Arial"/>
          <w:b/>
          <w:u w:val="single"/>
        </w:rPr>
      </w:pPr>
    </w:p>
    <w:p w:rsidR="00ED57CC" w:rsidRPr="000007F0" w:rsidRDefault="00ED57CC" w:rsidP="00A1523B">
      <w:pPr>
        <w:tabs>
          <w:tab w:val="left" w:pos="851"/>
        </w:tabs>
        <w:spacing w:line="360" w:lineRule="auto"/>
        <w:jc w:val="both"/>
        <w:rPr>
          <w:rFonts w:cs="Arial"/>
        </w:rPr>
      </w:pPr>
    </w:p>
    <w:bookmarkEnd w:id="2"/>
    <w:p w:rsidR="00CD2ADA" w:rsidRPr="000007F0" w:rsidRDefault="00CD2ADA" w:rsidP="00FF2E25">
      <w:pPr>
        <w:spacing w:line="360" w:lineRule="auto"/>
        <w:rPr>
          <w:rFonts w:cs="Arial"/>
        </w:rPr>
      </w:pPr>
      <w:r w:rsidRPr="000007F0">
        <w:rPr>
          <w:rFonts w:cs="Arial"/>
        </w:rPr>
        <w:t>For</w:t>
      </w:r>
      <w:r w:rsidR="00FF2E25">
        <w:rPr>
          <w:rFonts w:cs="Arial"/>
        </w:rPr>
        <w:t xml:space="preserve"> the</w:t>
      </w:r>
      <w:r w:rsidRPr="000007F0">
        <w:rPr>
          <w:rFonts w:cs="Arial"/>
        </w:rPr>
        <w:t xml:space="preserve"> </w:t>
      </w:r>
      <w:r w:rsidR="00DE1279" w:rsidRPr="000007F0">
        <w:rPr>
          <w:rFonts w:cs="Arial"/>
        </w:rPr>
        <w:t>app</w:t>
      </w:r>
      <w:r w:rsidR="00ED57CC" w:rsidRPr="000007F0">
        <w:rPr>
          <w:rFonts w:cs="Arial"/>
        </w:rPr>
        <w:t>ellant</w:t>
      </w:r>
      <w:r w:rsidR="00FF2E25">
        <w:rPr>
          <w:rFonts w:cs="Arial"/>
        </w:rPr>
        <w:tab/>
      </w:r>
      <w:r w:rsidR="00FF2E25">
        <w:rPr>
          <w:rFonts w:cs="Arial"/>
        </w:rPr>
        <w:tab/>
      </w:r>
      <w:r w:rsidR="00FF2E25">
        <w:rPr>
          <w:rFonts w:cs="Arial"/>
        </w:rPr>
        <w:tab/>
      </w:r>
      <w:r w:rsidRPr="000007F0">
        <w:rPr>
          <w:rFonts w:cs="Arial"/>
        </w:rPr>
        <w:t>:</w:t>
      </w:r>
      <w:r w:rsidRPr="000007F0">
        <w:rPr>
          <w:rFonts w:cs="Arial"/>
        </w:rPr>
        <w:tab/>
      </w:r>
      <w:r w:rsidR="00DE1279" w:rsidRPr="000007F0">
        <w:rPr>
          <w:rFonts w:cs="Arial"/>
        </w:rPr>
        <w:tab/>
      </w:r>
      <w:r w:rsidR="00CF6A3E" w:rsidRPr="000007F0">
        <w:rPr>
          <w:rFonts w:cs="Arial"/>
        </w:rPr>
        <w:t xml:space="preserve">Ms </w:t>
      </w:r>
      <w:r w:rsidR="00ED57CC" w:rsidRPr="000007F0">
        <w:rPr>
          <w:rFonts w:cs="Arial"/>
        </w:rPr>
        <w:t>Z</w:t>
      </w:r>
      <w:r w:rsidR="00CF6A3E" w:rsidRPr="000007F0">
        <w:rPr>
          <w:rFonts w:cs="Arial"/>
        </w:rPr>
        <w:t xml:space="preserve"> Anastasiou</w:t>
      </w:r>
      <w:r w:rsidR="00ED57CC" w:rsidRPr="000007F0">
        <w:rPr>
          <w:rFonts w:cs="Arial"/>
        </w:rPr>
        <w:t xml:space="preserve"> </w:t>
      </w:r>
    </w:p>
    <w:p w:rsidR="00DE1279" w:rsidRPr="000007F0" w:rsidRDefault="00CD2ADA" w:rsidP="00FF2E25">
      <w:pPr>
        <w:spacing w:line="360" w:lineRule="auto"/>
        <w:rPr>
          <w:rFonts w:cs="Arial"/>
        </w:rPr>
      </w:pPr>
      <w:r w:rsidRPr="000007F0">
        <w:rPr>
          <w:rFonts w:cs="Arial"/>
        </w:rPr>
        <w:t>Instructed by</w:t>
      </w:r>
      <w:r w:rsidR="00FF2E25">
        <w:rPr>
          <w:rFonts w:cs="Arial"/>
        </w:rPr>
        <w:tab/>
      </w:r>
      <w:r w:rsidR="00FF2E25">
        <w:rPr>
          <w:rFonts w:cs="Arial"/>
        </w:rPr>
        <w:tab/>
      </w:r>
      <w:r w:rsidR="00FF2E25">
        <w:rPr>
          <w:rFonts w:cs="Arial"/>
        </w:rPr>
        <w:tab/>
      </w:r>
      <w:r w:rsidR="00FF2E25">
        <w:rPr>
          <w:rFonts w:cs="Arial"/>
        </w:rPr>
        <w:tab/>
      </w:r>
      <w:r w:rsidRPr="000007F0">
        <w:rPr>
          <w:rFonts w:cs="Arial"/>
        </w:rPr>
        <w:t>:</w:t>
      </w:r>
      <w:r w:rsidRPr="000007F0">
        <w:rPr>
          <w:rFonts w:cs="Arial"/>
        </w:rPr>
        <w:tab/>
      </w:r>
      <w:r w:rsidRPr="000007F0">
        <w:rPr>
          <w:rFonts w:cs="Arial"/>
        </w:rPr>
        <w:tab/>
      </w:r>
      <w:r w:rsidR="00ED57CC" w:rsidRPr="000007F0">
        <w:rPr>
          <w:rFonts w:cs="Arial"/>
        </w:rPr>
        <w:t>Legal Aid S</w:t>
      </w:r>
      <w:r w:rsidR="00FF2E25">
        <w:rPr>
          <w:rFonts w:cs="Arial"/>
        </w:rPr>
        <w:t xml:space="preserve">outh </w:t>
      </w:r>
      <w:r w:rsidR="00ED57CC" w:rsidRPr="000007F0">
        <w:rPr>
          <w:rFonts w:cs="Arial"/>
        </w:rPr>
        <w:t>A</w:t>
      </w:r>
      <w:r w:rsidR="00FF2E25">
        <w:rPr>
          <w:rFonts w:cs="Arial"/>
        </w:rPr>
        <w:t>frica</w:t>
      </w:r>
    </w:p>
    <w:p w:rsidR="00CF6A3E" w:rsidRDefault="00CF6A3E" w:rsidP="00FF2E25">
      <w:pPr>
        <w:spacing w:line="360" w:lineRule="auto"/>
        <w:rPr>
          <w:rFonts w:cs="Arial"/>
        </w:rPr>
      </w:pPr>
      <w:r w:rsidRPr="000007F0">
        <w:rPr>
          <w:rFonts w:cs="Arial"/>
        </w:rPr>
        <w:tab/>
      </w:r>
      <w:r w:rsidRPr="000007F0">
        <w:rPr>
          <w:rFonts w:cs="Arial"/>
        </w:rPr>
        <w:tab/>
      </w:r>
      <w:r w:rsidRPr="000007F0">
        <w:rPr>
          <w:rFonts w:cs="Arial"/>
        </w:rPr>
        <w:tab/>
      </w:r>
      <w:r w:rsidRPr="000007F0">
        <w:rPr>
          <w:rFonts w:cs="Arial"/>
        </w:rPr>
        <w:tab/>
      </w:r>
      <w:r w:rsidR="00FF2E25">
        <w:rPr>
          <w:rFonts w:cs="Arial"/>
        </w:rPr>
        <w:tab/>
      </w:r>
      <w:r w:rsidR="00FF2E25">
        <w:rPr>
          <w:rFonts w:cs="Arial"/>
        </w:rPr>
        <w:tab/>
      </w:r>
      <w:r w:rsidR="00FF2E25">
        <w:rPr>
          <w:rFonts w:cs="Arial"/>
        </w:rPr>
        <w:tab/>
      </w:r>
      <w:r w:rsidRPr="000007F0">
        <w:rPr>
          <w:rFonts w:cs="Arial"/>
        </w:rPr>
        <w:t>Pietermaritzburg</w:t>
      </w:r>
    </w:p>
    <w:p w:rsidR="00FF2E25" w:rsidRPr="000007F0" w:rsidRDefault="00FF2E25" w:rsidP="00FF2E25">
      <w:pPr>
        <w:spacing w:line="360" w:lineRule="auto"/>
        <w:rPr>
          <w:rFonts w:cs="Arial"/>
        </w:rPr>
      </w:pPr>
    </w:p>
    <w:p w:rsidR="00CF6A3E" w:rsidRPr="000007F0" w:rsidRDefault="00DE1279" w:rsidP="00FF2E25">
      <w:pPr>
        <w:spacing w:line="360" w:lineRule="auto"/>
        <w:rPr>
          <w:rFonts w:cs="Arial"/>
        </w:rPr>
      </w:pPr>
      <w:r w:rsidRPr="000007F0">
        <w:rPr>
          <w:rFonts w:cs="Arial"/>
        </w:rPr>
        <w:t xml:space="preserve">For </w:t>
      </w:r>
      <w:r w:rsidR="00FF2E25">
        <w:rPr>
          <w:rFonts w:cs="Arial"/>
        </w:rPr>
        <w:t xml:space="preserve">the </w:t>
      </w:r>
      <w:r w:rsidRPr="000007F0">
        <w:rPr>
          <w:rFonts w:cs="Arial"/>
        </w:rPr>
        <w:t>respondent</w:t>
      </w:r>
      <w:r w:rsidR="00FF2E25">
        <w:rPr>
          <w:rFonts w:cs="Arial"/>
        </w:rPr>
        <w:tab/>
      </w:r>
      <w:r w:rsidR="00FF2E25">
        <w:rPr>
          <w:rFonts w:cs="Arial"/>
        </w:rPr>
        <w:tab/>
      </w:r>
      <w:r w:rsidR="00FF2E25">
        <w:rPr>
          <w:rFonts w:cs="Arial"/>
        </w:rPr>
        <w:tab/>
      </w:r>
      <w:r w:rsidR="00CD2ADA" w:rsidRPr="000007F0">
        <w:rPr>
          <w:rFonts w:cs="Arial"/>
        </w:rPr>
        <w:t>:</w:t>
      </w:r>
      <w:r w:rsidR="00CD2ADA" w:rsidRPr="000007F0">
        <w:rPr>
          <w:rFonts w:cs="Arial"/>
        </w:rPr>
        <w:tab/>
      </w:r>
      <w:r w:rsidRPr="000007F0">
        <w:rPr>
          <w:rFonts w:cs="Arial"/>
        </w:rPr>
        <w:tab/>
      </w:r>
      <w:r w:rsidR="00CF6A3E" w:rsidRPr="000007F0">
        <w:rPr>
          <w:rFonts w:cs="Arial"/>
        </w:rPr>
        <w:t xml:space="preserve">Mr K Radyn </w:t>
      </w:r>
      <w:r w:rsidR="00CF6A3E" w:rsidRPr="000007F0">
        <w:rPr>
          <w:rFonts w:cs="Arial"/>
        </w:rPr>
        <w:tab/>
      </w:r>
    </w:p>
    <w:p w:rsidR="00CF6A3E" w:rsidRPr="000007F0" w:rsidRDefault="00CF6A3E" w:rsidP="00FF2E25">
      <w:pPr>
        <w:spacing w:line="360" w:lineRule="auto"/>
        <w:rPr>
          <w:rFonts w:cs="Arial"/>
        </w:rPr>
      </w:pPr>
      <w:r w:rsidRPr="000007F0">
        <w:rPr>
          <w:rFonts w:cs="Arial"/>
        </w:rPr>
        <w:t>Instructed by</w:t>
      </w:r>
      <w:r w:rsidR="00FF2E25">
        <w:rPr>
          <w:rFonts w:cs="Arial"/>
        </w:rPr>
        <w:tab/>
      </w:r>
      <w:r w:rsidR="00FF2E25">
        <w:rPr>
          <w:rFonts w:cs="Arial"/>
        </w:rPr>
        <w:tab/>
      </w:r>
      <w:r w:rsidR="00FF2E25">
        <w:rPr>
          <w:rFonts w:cs="Arial"/>
        </w:rPr>
        <w:tab/>
      </w:r>
      <w:r w:rsidR="00FF2E25">
        <w:rPr>
          <w:rFonts w:cs="Arial"/>
        </w:rPr>
        <w:tab/>
      </w:r>
      <w:r w:rsidRPr="000007F0">
        <w:rPr>
          <w:rFonts w:cs="Arial"/>
        </w:rPr>
        <w:t>:</w:t>
      </w:r>
      <w:r w:rsidRPr="000007F0">
        <w:rPr>
          <w:rFonts w:cs="Arial"/>
        </w:rPr>
        <w:tab/>
      </w:r>
      <w:r w:rsidRPr="000007F0">
        <w:rPr>
          <w:rFonts w:cs="Arial"/>
        </w:rPr>
        <w:tab/>
        <w:t>D</w:t>
      </w:r>
      <w:r w:rsidR="00FF2E25">
        <w:rPr>
          <w:rFonts w:cs="Arial"/>
        </w:rPr>
        <w:t xml:space="preserve">irector of </w:t>
      </w:r>
      <w:r w:rsidRPr="000007F0">
        <w:rPr>
          <w:rFonts w:cs="Arial"/>
        </w:rPr>
        <w:t>P</w:t>
      </w:r>
      <w:r w:rsidR="00FF2E25">
        <w:rPr>
          <w:rFonts w:cs="Arial"/>
        </w:rPr>
        <w:t xml:space="preserve">ublic </w:t>
      </w:r>
      <w:r w:rsidRPr="000007F0">
        <w:rPr>
          <w:rFonts w:cs="Arial"/>
        </w:rPr>
        <w:t>P</w:t>
      </w:r>
      <w:r w:rsidR="00FF2E25">
        <w:rPr>
          <w:rFonts w:cs="Arial"/>
        </w:rPr>
        <w:t>rosecutions</w:t>
      </w:r>
      <w:r w:rsidRPr="000007F0">
        <w:rPr>
          <w:rFonts w:cs="Arial"/>
        </w:rPr>
        <w:t xml:space="preserve"> </w:t>
      </w:r>
    </w:p>
    <w:p w:rsidR="00CF6A3E" w:rsidRDefault="00CF6A3E" w:rsidP="00FF2E25">
      <w:pPr>
        <w:spacing w:line="360" w:lineRule="auto"/>
        <w:rPr>
          <w:rFonts w:cs="Arial"/>
        </w:rPr>
      </w:pPr>
      <w:r w:rsidRPr="000007F0">
        <w:rPr>
          <w:rFonts w:cs="Arial"/>
        </w:rPr>
        <w:tab/>
      </w:r>
      <w:r w:rsidRPr="000007F0">
        <w:rPr>
          <w:rFonts w:cs="Arial"/>
        </w:rPr>
        <w:tab/>
      </w:r>
      <w:r w:rsidRPr="000007F0">
        <w:rPr>
          <w:rFonts w:cs="Arial"/>
        </w:rPr>
        <w:tab/>
      </w:r>
      <w:r w:rsidRPr="000007F0">
        <w:rPr>
          <w:rFonts w:cs="Arial"/>
        </w:rPr>
        <w:tab/>
      </w:r>
      <w:r w:rsidR="00FF2E25">
        <w:rPr>
          <w:rFonts w:cs="Arial"/>
        </w:rPr>
        <w:tab/>
      </w:r>
      <w:r w:rsidR="00FF2E25">
        <w:rPr>
          <w:rFonts w:cs="Arial"/>
        </w:rPr>
        <w:tab/>
      </w:r>
      <w:r w:rsidR="00FF2E25">
        <w:rPr>
          <w:rFonts w:cs="Arial"/>
        </w:rPr>
        <w:tab/>
      </w:r>
      <w:r w:rsidRPr="000007F0">
        <w:rPr>
          <w:rFonts w:cs="Arial"/>
        </w:rPr>
        <w:t>Pietermaritzburg</w:t>
      </w:r>
    </w:p>
    <w:p w:rsidR="00FF2E25" w:rsidRDefault="00FF2E25" w:rsidP="00FF2E25">
      <w:pPr>
        <w:spacing w:line="360" w:lineRule="auto"/>
        <w:rPr>
          <w:rFonts w:cs="Arial"/>
        </w:rPr>
      </w:pPr>
    </w:p>
    <w:p w:rsidR="00FF2E25" w:rsidRPr="000007F0" w:rsidRDefault="00FF2E25" w:rsidP="00FF2E25">
      <w:pPr>
        <w:spacing w:after="240" w:line="480" w:lineRule="auto"/>
        <w:jc w:val="both"/>
        <w:rPr>
          <w:rFonts w:cs="Arial"/>
        </w:rPr>
      </w:pPr>
      <w:r w:rsidRPr="000007F0">
        <w:rPr>
          <w:rFonts w:cs="Arial"/>
        </w:rPr>
        <w:t>Date heard</w:t>
      </w:r>
      <w:r>
        <w:rPr>
          <w:rFonts w:cs="Arial"/>
        </w:rPr>
        <w:tab/>
      </w:r>
      <w:r>
        <w:rPr>
          <w:rFonts w:cs="Arial"/>
        </w:rPr>
        <w:tab/>
      </w:r>
      <w:r>
        <w:rPr>
          <w:rFonts w:cs="Arial"/>
        </w:rPr>
        <w:tab/>
      </w:r>
      <w:r>
        <w:rPr>
          <w:rFonts w:cs="Arial"/>
        </w:rPr>
        <w:tab/>
      </w:r>
      <w:r w:rsidRPr="000007F0">
        <w:rPr>
          <w:rFonts w:cs="Arial"/>
        </w:rPr>
        <w:t>:</w:t>
      </w:r>
      <w:r w:rsidRPr="000007F0">
        <w:rPr>
          <w:rFonts w:cs="Arial"/>
        </w:rPr>
        <w:tab/>
      </w:r>
      <w:r w:rsidRPr="000007F0">
        <w:rPr>
          <w:rFonts w:cs="Arial"/>
        </w:rPr>
        <w:tab/>
        <w:t>27 October 2023</w:t>
      </w:r>
    </w:p>
    <w:p w:rsidR="00FF2E25" w:rsidRPr="000007F0" w:rsidRDefault="00FF2E25" w:rsidP="00FF2E25">
      <w:pPr>
        <w:spacing w:after="240" w:line="480" w:lineRule="auto"/>
        <w:jc w:val="both"/>
        <w:rPr>
          <w:rFonts w:cs="Arial"/>
        </w:rPr>
      </w:pPr>
      <w:r w:rsidRPr="000007F0">
        <w:rPr>
          <w:rFonts w:cs="Arial"/>
        </w:rPr>
        <w:t>Date handed down</w:t>
      </w:r>
      <w:r>
        <w:rPr>
          <w:rFonts w:cs="Arial"/>
        </w:rPr>
        <w:tab/>
      </w:r>
      <w:r>
        <w:rPr>
          <w:rFonts w:cs="Arial"/>
        </w:rPr>
        <w:tab/>
      </w:r>
      <w:r>
        <w:rPr>
          <w:rFonts w:cs="Arial"/>
        </w:rPr>
        <w:tab/>
      </w:r>
      <w:r w:rsidRPr="000007F0">
        <w:rPr>
          <w:rFonts w:cs="Arial"/>
        </w:rPr>
        <w:t>:</w:t>
      </w:r>
      <w:r w:rsidRPr="000007F0">
        <w:rPr>
          <w:rFonts w:cs="Arial"/>
        </w:rPr>
        <w:tab/>
      </w:r>
      <w:r w:rsidRPr="000007F0">
        <w:rPr>
          <w:rFonts w:cs="Arial"/>
        </w:rPr>
        <w:tab/>
      </w:r>
      <w:r>
        <w:rPr>
          <w:rFonts w:cs="Arial"/>
        </w:rPr>
        <w:t>10</w:t>
      </w:r>
      <w:r w:rsidRPr="000007F0">
        <w:rPr>
          <w:rFonts w:cs="Arial"/>
        </w:rPr>
        <w:t xml:space="preserve"> November 2023</w:t>
      </w:r>
    </w:p>
    <w:p w:rsidR="00FF2E25" w:rsidRPr="000007F0" w:rsidRDefault="00FF2E25" w:rsidP="00FF2E25">
      <w:pPr>
        <w:spacing w:line="360" w:lineRule="auto"/>
        <w:rPr>
          <w:rFonts w:cs="Arial"/>
        </w:rPr>
      </w:pPr>
    </w:p>
    <w:p w:rsidR="00DE1279" w:rsidRPr="000007F0" w:rsidRDefault="00DE1279" w:rsidP="00DE1279">
      <w:pPr>
        <w:spacing w:before="240" w:after="240" w:line="360" w:lineRule="auto"/>
        <w:rPr>
          <w:rFonts w:cs="Arial"/>
        </w:rPr>
      </w:pPr>
    </w:p>
    <w:sectPr w:rsidR="00DE1279" w:rsidRPr="000007F0" w:rsidSect="00256E30">
      <w:headerReference w:type="default" r:id="rId9"/>
      <w:pgSz w:w="11906" w:h="16838" w:code="9"/>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DF" w:rsidRDefault="005035DF" w:rsidP="008674D3">
      <w:r>
        <w:separator/>
      </w:r>
    </w:p>
  </w:endnote>
  <w:endnote w:type="continuationSeparator" w:id="0">
    <w:p w:rsidR="005035DF" w:rsidRDefault="005035DF"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DF" w:rsidRDefault="005035DF" w:rsidP="008674D3">
      <w:r>
        <w:separator/>
      </w:r>
    </w:p>
  </w:footnote>
  <w:footnote w:type="continuationSeparator" w:id="0">
    <w:p w:rsidR="005035DF" w:rsidRDefault="005035DF" w:rsidP="008674D3">
      <w:r>
        <w:continuationSeparator/>
      </w:r>
    </w:p>
  </w:footnote>
  <w:footnote w:id="1">
    <w:p w:rsidR="005035DF" w:rsidRPr="00141CE0" w:rsidRDefault="005035DF" w:rsidP="00687B8B">
      <w:pPr>
        <w:pStyle w:val="FootnoteText"/>
        <w:contextualSpacing/>
        <w:jc w:val="both"/>
        <w:rPr>
          <w:lang w:val="en-US"/>
        </w:rPr>
      </w:pPr>
      <w:r>
        <w:rPr>
          <w:rStyle w:val="FootnoteReference"/>
        </w:rPr>
        <w:footnoteRef/>
      </w:r>
      <w:r>
        <w:t xml:space="preserve"> </w:t>
      </w:r>
      <w:r>
        <w:rPr>
          <w:lang w:val="en-US"/>
        </w:rPr>
        <w:t>Record at page 40, lines 5 to 23.</w:t>
      </w:r>
    </w:p>
  </w:footnote>
  <w:footnote w:id="2">
    <w:p w:rsidR="005035DF" w:rsidRPr="00341414" w:rsidRDefault="005035DF" w:rsidP="00687B8B">
      <w:pPr>
        <w:pStyle w:val="FootnoteText"/>
        <w:contextualSpacing/>
        <w:jc w:val="both"/>
        <w:rPr>
          <w:lang w:val="en-US"/>
        </w:rPr>
      </w:pPr>
      <w:r>
        <w:rPr>
          <w:rStyle w:val="FootnoteReference"/>
        </w:rPr>
        <w:footnoteRef/>
      </w:r>
      <w:r>
        <w:t xml:space="preserve"> </w:t>
      </w:r>
      <w:r>
        <w:rPr>
          <w:lang w:val="en-US"/>
        </w:rPr>
        <w:t>Record at page 65, lines 10 to 12.</w:t>
      </w:r>
    </w:p>
  </w:footnote>
  <w:footnote w:id="3">
    <w:p w:rsidR="005035DF" w:rsidRDefault="005035DF" w:rsidP="00687B8B">
      <w:pPr>
        <w:pStyle w:val="FootnoteText"/>
        <w:jc w:val="both"/>
      </w:pPr>
      <w:r>
        <w:rPr>
          <w:rStyle w:val="FootnoteReference"/>
        </w:rPr>
        <w:footnoteRef/>
      </w:r>
      <w:r>
        <w:t xml:space="preserve"> </w:t>
      </w:r>
      <w:r w:rsidRPr="005035DF">
        <w:rPr>
          <w:i/>
        </w:rPr>
        <w:t>S v WR</w:t>
      </w:r>
      <w:r w:rsidRPr="000007F0">
        <w:t xml:space="preserve"> 2015 (1) SACR 571 (GP)</w:t>
      </w:r>
      <w:r>
        <w:t xml:space="preserve"> para 33.</w:t>
      </w:r>
    </w:p>
  </w:footnote>
  <w:footnote w:id="4">
    <w:p w:rsidR="005035DF" w:rsidRPr="00341414" w:rsidRDefault="005035DF" w:rsidP="00687B8B">
      <w:pPr>
        <w:pStyle w:val="FootnoteText"/>
        <w:contextualSpacing/>
        <w:jc w:val="both"/>
        <w:rPr>
          <w:lang w:val="en-US"/>
        </w:rPr>
      </w:pPr>
      <w:r>
        <w:rPr>
          <w:rStyle w:val="FootnoteReference"/>
        </w:rPr>
        <w:footnoteRef/>
      </w:r>
      <w:r>
        <w:t xml:space="preserve"> </w:t>
      </w:r>
      <w:r>
        <w:rPr>
          <w:lang w:val="en-US"/>
        </w:rPr>
        <w:t>Respondent’s heads of argument paras 39 and 40.</w:t>
      </w:r>
    </w:p>
  </w:footnote>
  <w:footnote w:id="5">
    <w:p w:rsidR="005035DF" w:rsidRPr="00341414" w:rsidRDefault="005035DF" w:rsidP="00687B8B">
      <w:pPr>
        <w:pStyle w:val="FootnoteText"/>
        <w:contextualSpacing/>
        <w:jc w:val="both"/>
        <w:rPr>
          <w:lang w:val="en-US"/>
        </w:rPr>
      </w:pPr>
      <w:r>
        <w:rPr>
          <w:rStyle w:val="FootnoteReference"/>
        </w:rPr>
        <w:footnoteRef/>
      </w:r>
      <w:r>
        <w:t xml:space="preserve"> </w:t>
      </w:r>
      <w:r>
        <w:rPr>
          <w:lang w:val="en-US"/>
        </w:rPr>
        <w:t>Appellant’s heads of argument para 5 to 7.</w:t>
      </w:r>
    </w:p>
  </w:footnote>
  <w:footnote w:id="6">
    <w:p w:rsidR="005035DF" w:rsidRDefault="005035DF" w:rsidP="00687B8B">
      <w:pPr>
        <w:pStyle w:val="FootnoteText"/>
        <w:jc w:val="both"/>
      </w:pPr>
      <w:r>
        <w:rPr>
          <w:rStyle w:val="FootnoteReference"/>
        </w:rPr>
        <w:footnoteRef/>
      </w:r>
      <w:r>
        <w:t xml:space="preserve"> </w:t>
      </w:r>
      <w:r w:rsidRPr="005035DF">
        <w:rPr>
          <w:i/>
        </w:rPr>
        <w:t>S v EB</w:t>
      </w:r>
      <w:r w:rsidRPr="00C67049">
        <w:t xml:space="preserve">  2010 (2) SACR 524 (SCA) at [5] and </w:t>
      </w:r>
      <w:r w:rsidRPr="00687B8B">
        <w:rPr>
          <w:i/>
        </w:rPr>
        <w:t>cf</w:t>
      </w:r>
      <w:r w:rsidRPr="00C67049">
        <w:t xml:space="preserve"> Reddi (2010) 2 SACJ 227</w:t>
      </w:r>
      <w:r>
        <w:t>.</w:t>
      </w:r>
    </w:p>
  </w:footnote>
  <w:footnote w:id="7">
    <w:p w:rsidR="005035DF" w:rsidRDefault="005035DF" w:rsidP="00687B8B">
      <w:pPr>
        <w:pStyle w:val="FootnoteText"/>
        <w:jc w:val="both"/>
      </w:pPr>
      <w:r>
        <w:rPr>
          <w:rStyle w:val="FootnoteReference"/>
        </w:rPr>
        <w:footnoteRef/>
      </w:r>
      <w:r>
        <w:t xml:space="preserve"> </w:t>
      </w:r>
      <w:r w:rsidRPr="005035DF">
        <w:rPr>
          <w:i/>
        </w:rPr>
        <w:t>S v Bezuidenhout</w:t>
      </w:r>
      <w:r w:rsidRPr="009D61F6">
        <w:t xml:space="preserve"> [2021] ZASCA 52 (unreported, SCA case no 41/2020, 23 April 2021)</w:t>
      </w:r>
      <w:r>
        <w:t xml:space="preserve"> at para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DF" w:rsidRDefault="005035DF">
    <w:pPr>
      <w:pStyle w:val="Header"/>
      <w:jc w:val="right"/>
    </w:pPr>
    <w:r>
      <w:fldChar w:fldCharType="begin"/>
    </w:r>
    <w:r>
      <w:instrText xml:space="preserve"> PAGE   \* MERGEFORMAT </w:instrText>
    </w:r>
    <w:r>
      <w:fldChar w:fldCharType="separate"/>
    </w:r>
    <w:r w:rsidR="00272CA4">
      <w:rPr>
        <w:noProof/>
      </w:rPr>
      <w:t>6</w:t>
    </w:r>
    <w:r>
      <w:rPr>
        <w:noProof/>
      </w:rPr>
      <w:fldChar w:fldCharType="end"/>
    </w:r>
  </w:p>
  <w:p w:rsidR="005035DF" w:rsidRDefault="005035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5CC"/>
    <w:multiLevelType w:val="hybridMultilevel"/>
    <w:tmpl w:val="0BA62C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064431"/>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A5C37"/>
    <w:multiLevelType w:val="multilevel"/>
    <w:tmpl w:val="C9B25D96"/>
    <w:lvl w:ilvl="0">
      <w:start w:val="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3" w15:restartNumberingAfterBreak="0">
    <w:nsid w:val="0903632E"/>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E60AB"/>
    <w:multiLevelType w:val="hybridMultilevel"/>
    <w:tmpl w:val="97BA5A1C"/>
    <w:lvl w:ilvl="0" w:tplc="A238E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13E0"/>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A25A4B"/>
    <w:multiLevelType w:val="hybridMultilevel"/>
    <w:tmpl w:val="89F03582"/>
    <w:lvl w:ilvl="0" w:tplc="E1D89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1EB22BC"/>
    <w:multiLevelType w:val="multilevel"/>
    <w:tmpl w:val="BD18E804"/>
    <w:lvl w:ilvl="0">
      <w:start w:val="1"/>
      <w:numFmt w:val="decimal"/>
      <w:lvlText w:val="%1."/>
      <w:lvlJc w:val="left"/>
      <w:pPr>
        <w:ind w:left="720" w:hanging="360"/>
      </w:pPr>
      <w:rPr>
        <w:rFonts w:hint="default"/>
      </w:rPr>
    </w:lvl>
    <w:lvl w:ilvl="1">
      <w:start w:val="1"/>
      <w:numFmt w:val="decimal"/>
      <w:isLgl/>
      <w:lvlText w:val="%1.%2"/>
      <w:lvlJc w:val="left"/>
      <w:pPr>
        <w:ind w:left="1441" w:hanging="5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81A616D"/>
    <w:multiLevelType w:val="hybridMultilevel"/>
    <w:tmpl w:val="575A7F06"/>
    <w:lvl w:ilvl="0" w:tplc="872E5F44">
      <w:start w:val="1"/>
      <w:numFmt w:val="decimal"/>
      <w:lvlText w:val="%1."/>
      <w:lvlJc w:val="left"/>
      <w:pPr>
        <w:ind w:left="720" w:hanging="360"/>
      </w:pPr>
      <w:rPr>
        <w:rFonts w:ascii="Arial" w:eastAsia="Times New Roman" w:hAnsi="Arial" w:cs="Arial"/>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465F04"/>
    <w:multiLevelType w:val="multilevel"/>
    <w:tmpl w:val="C62C105A"/>
    <w:lvl w:ilvl="0">
      <w:start w:val="1"/>
      <w:numFmt w:val="decimal"/>
      <w:lvlText w:val="%1"/>
      <w:lvlJc w:val="left"/>
      <w:pPr>
        <w:ind w:left="360" w:hanging="360"/>
      </w:pPr>
      <w:rPr>
        <w:rFonts w:hint="default"/>
      </w:rPr>
    </w:lvl>
    <w:lvl w:ilvl="1">
      <w:start w:val="1"/>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0" w15:restartNumberingAfterBreak="0">
    <w:nsid w:val="1C2278B9"/>
    <w:multiLevelType w:val="hybridMultilevel"/>
    <w:tmpl w:val="BD74B04E"/>
    <w:lvl w:ilvl="0" w:tplc="7A2A12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CC36E9"/>
    <w:multiLevelType w:val="hybridMultilevel"/>
    <w:tmpl w:val="5C6C12D8"/>
    <w:lvl w:ilvl="0" w:tplc="9606C8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023D9A"/>
    <w:multiLevelType w:val="hybridMultilevel"/>
    <w:tmpl w:val="706419DC"/>
    <w:lvl w:ilvl="0" w:tplc="FE209D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68B4F53"/>
    <w:multiLevelType w:val="multilevel"/>
    <w:tmpl w:val="0666C684"/>
    <w:lvl w:ilvl="0">
      <w:start w:val="1"/>
      <w:numFmt w:val="decimal"/>
      <w:lvlText w:val="[%1]"/>
      <w:lvlJc w:val="left"/>
      <w:pPr>
        <w:ind w:left="3229" w:hanging="360"/>
      </w:pPr>
      <w:rPr>
        <w:rFonts w:hint="default"/>
        <w:b w:val="0"/>
        <w:i w:val="0"/>
        <w:iCs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15" w15:restartNumberingAfterBreak="0">
    <w:nsid w:val="29303FBB"/>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B372F8"/>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AB69F4"/>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354B47"/>
    <w:multiLevelType w:val="hybridMultilevel"/>
    <w:tmpl w:val="F6802CA2"/>
    <w:lvl w:ilvl="0" w:tplc="D116B226">
      <w:start w:val="10"/>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9" w15:restartNumberingAfterBreak="0">
    <w:nsid w:val="374D457C"/>
    <w:multiLevelType w:val="hybridMultilevel"/>
    <w:tmpl w:val="0A0CCE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92B6268"/>
    <w:multiLevelType w:val="hybridMultilevel"/>
    <w:tmpl w:val="69B0D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A6C92"/>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C531F1"/>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663C30"/>
    <w:multiLevelType w:val="hybridMultilevel"/>
    <w:tmpl w:val="91CA69BA"/>
    <w:lvl w:ilvl="0" w:tplc="5F3E26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25" w15:restartNumberingAfterBreak="0">
    <w:nsid w:val="475E2D08"/>
    <w:multiLevelType w:val="hybridMultilevel"/>
    <w:tmpl w:val="E2BAA76A"/>
    <w:lvl w:ilvl="0" w:tplc="314EF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92D064F"/>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4D4D35"/>
    <w:multiLevelType w:val="hybridMultilevel"/>
    <w:tmpl w:val="7D0EF61C"/>
    <w:lvl w:ilvl="0" w:tplc="CC66049E">
      <w:start w:val="12"/>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28" w15:restartNumberingAfterBreak="0">
    <w:nsid w:val="4AC51C94"/>
    <w:multiLevelType w:val="hybridMultilevel"/>
    <w:tmpl w:val="8B8ABBEA"/>
    <w:lvl w:ilvl="0" w:tplc="7F846516">
      <w:start w:val="3"/>
      <w:numFmt w:val="bullet"/>
      <w:lvlText w:val=""/>
      <w:lvlJc w:val="left"/>
      <w:pPr>
        <w:ind w:left="2061" w:hanging="360"/>
      </w:pPr>
      <w:rPr>
        <w:rFonts w:ascii="Symbol" w:eastAsia="Times New Roman" w:hAnsi="Symbol" w:cs="Aria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29" w15:restartNumberingAfterBreak="0">
    <w:nsid w:val="51585CE9"/>
    <w:multiLevelType w:val="hybridMultilevel"/>
    <w:tmpl w:val="575A7F06"/>
    <w:lvl w:ilvl="0" w:tplc="872E5F44">
      <w:start w:val="1"/>
      <w:numFmt w:val="decimal"/>
      <w:lvlText w:val="%1."/>
      <w:lvlJc w:val="left"/>
      <w:pPr>
        <w:ind w:left="720" w:hanging="360"/>
      </w:pPr>
      <w:rPr>
        <w:rFonts w:ascii="Arial" w:eastAsia="Times New Roman" w:hAnsi="Arial" w:cs="Arial"/>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3879CF"/>
    <w:multiLevelType w:val="hybridMultilevel"/>
    <w:tmpl w:val="E9282406"/>
    <w:lvl w:ilvl="0" w:tplc="8188CB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A1132F"/>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87604F"/>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7254C9"/>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03180B"/>
    <w:multiLevelType w:val="multilevel"/>
    <w:tmpl w:val="5C5C9456"/>
    <w:lvl w:ilvl="0">
      <w:start w:val="1"/>
      <w:numFmt w:val="decimal"/>
      <w:lvlText w:val="%1."/>
      <w:lvlJc w:val="left"/>
      <w:pPr>
        <w:ind w:left="720" w:hanging="360"/>
      </w:pPr>
      <w:rPr>
        <w:rFonts w:hint="default"/>
      </w:rPr>
    </w:lvl>
    <w:lvl w:ilvl="1">
      <w:start w:val="1"/>
      <w:numFmt w:val="decimal"/>
      <w:isLgl/>
      <w:lvlText w:val="%1.%2"/>
      <w:lvlJc w:val="left"/>
      <w:pPr>
        <w:ind w:left="1441" w:hanging="5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5" w15:restartNumberingAfterBreak="0">
    <w:nsid w:val="671F5C7B"/>
    <w:multiLevelType w:val="hybridMultilevel"/>
    <w:tmpl w:val="C18E0D24"/>
    <w:lvl w:ilvl="0" w:tplc="1A8AA0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A477C41"/>
    <w:multiLevelType w:val="multilevel"/>
    <w:tmpl w:val="71961752"/>
    <w:lvl w:ilvl="0">
      <w:start w:val="2"/>
      <w:numFmt w:val="decimal"/>
      <w:lvlText w:val="%1."/>
      <w:lvlJc w:val="left"/>
      <w:pPr>
        <w:ind w:left="2421" w:hanging="360"/>
      </w:pPr>
      <w:rPr>
        <w:rFonts w:hint="default"/>
      </w:rPr>
    </w:lvl>
    <w:lvl w:ilvl="1">
      <w:start w:val="1"/>
      <w:numFmt w:val="decimal"/>
      <w:isLgl/>
      <w:lvlText w:val="%1.%2"/>
      <w:lvlJc w:val="left"/>
      <w:pPr>
        <w:ind w:left="2829" w:hanging="408"/>
      </w:pPr>
      <w:rPr>
        <w:rFonts w:hint="default"/>
      </w:rPr>
    </w:lvl>
    <w:lvl w:ilvl="2">
      <w:start w:val="1"/>
      <w:numFmt w:val="decimal"/>
      <w:isLgl/>
      <w:lvlText w:val="%1.%2.%3"/>
      <w:lvlJc w:val="left"/>
      <w:pPr>
        <w:ind w:left="3501"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4581" w:hanging="1080"/>
      </w:pPr>
      <w:rPr>
        <w:rFonts w:hint="default"/>
      </w:rPr>
    </w:lvl>
    <w:lvl w:ilvl="5">
      <w:start w:val="1"/>
      <w:numFmt w:val="decimal"/>
      <w:isLgl/>
      <w:lvlText w:val="%1.%2.%3.%4.%5.%6"/>
      <w:lvlJc w:val="left"/>
      <w:pPr>
        <w:ind w:left="4941" w:hanging="1080"/>
      </w:pPr>
      <w:rPr>
        <w:rFonts w:hint="default"/>
      </w:rPr>
    </w:lvl>
    <w:lvl w:ilvl="6">
      <w:start w:val="1"/>
      <w:numFmt w:val="decimal"/>
      <w:isLgl/>
      <w:lvlText w:val="%1.%2.%3.%4.%5.%6.%7"/>
      <w:lvlJc w:val="left"/>
      <w:pPr>
        <w:ind w:left="5661" w:hanging="1440"/>
      </w:pPr>
      <w:rPr>
        <w:rFonts w:hint="default"/>
      </w:rPr>
    </w:lvl>
    <w:lvl w:ilvl="7">
      <w:start w:val="1"/>
      <w:numFmt w:val="decimal"/>
      <w:isLgl/>
      <w:lvlText w:val="%1.%2.%3.%4.%5.%6.%7.%8"/>
      <w:lvlJc w:val="left"/>
      <w:pPr>
        <w:ind w:left="6021" w:hanging="1440"/>
      </w:pPr>
      <w:rPr>
        <w:rFonts w:hint="default"/>
      </w:rPr>
    </w:lvl>
    <w:lvl w:ilvl="8">
      <w:start w:val="1"/>
      <w:numFmt w:val="decimal"/>
      <w:isLgl/>
      <w:lvlText w:val="%1.%2.%3.%4.%5.%6.%7.%8.%9"/>
      <w:lvlJc w:val="left"/>
      <w:pPr>
        <w:ind w:left="6741" w:hanging="1800"/>
      </w:pPr>
      <w:rPr>
        <w:rFonts w:hint="default"/>
      </w:rPr>
    </w:lvl>
  </w:abstractNum>
  <w:abstractNum w:abstractNumId="37" w15:restartNumberingAfterBreak="0">
    <w:nsid w:val="6D720E20"/>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7A66D7"/>
    <w:multiLevelType w:val="hybridMultilevel"/>
    <w:tmpl w:val="7B701B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B125E3"/>
    <w:multiLevelType w:val="hybridMultilevel"/>
    <w:tmpl w:val="82DA7BBE"/>
    <w:lvl w:ilvl="0" w:tplc="BDF63C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7F83B79"/>
    <w:multiLevelType w:val="hybridMultilevel"/>
    <w:tmpl w:val="575A7F06"/>
    <w:lvl w:ilvl="0" w:tplc="872E5F44">
      <w:start w:val="1"/>
      <w:numFmt w:val="decimal"/>
      <w:lvlText w:val="%1."/>
      <w:lvlJc w:val="left"/>
      <w:pPr>
        <w:ind w:left="720" w:hanging="360"/>
      </w:pPr>
      <w:rPr>
        <w:rFonts w:ascii="Arial" w:eastAsia="Times New Roman" w:hAnsi="Arial" w:cs="Arial"/>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E36068"/>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ED7D81"/>
    <w:multiLevelType w:val="hybridMultilevel"/>
    <w:tmpl w:val="91CA69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28"/>
  </w:num>
  <w:num w:numId="5">
    <w:abstractNumId w:val="9"/>
  </w:num>
  <w:num w:numId="6">
    <w:abstractNumId w:val="2"/>
  </w:num>
  <w:num w:numId="7">
    <w:abstractNumId w:val="36"/>
  </w:num>
  <w:num w:numId="8">
    <w:abstractNumId w:val="18"/>
  </w:num>
  <w:num w:numId="9">
    <w:abstractNumId w:val="27"/>
  </w:num>
  <w:num w:numId="10">
    <w:abstractNumId w:val="6"/>
  </w:num>
  <w:num w:numId="11">
    <w:abstractNumId w:val="23"/>
  </w:num>
  <w:num w:numId="12">
    <w:abstractNumId w:val="11"/>
  </w:num>
  <w:num w:numId="13">
    <w:abstractNumId w:val="30"/>
  </w:num>
  <w:num w:numId="14">
    <w:abstractNumId w:val="39"/>
  </w:num>
  <w:num w:numId="15">
    <w:abstractNumId w:val="35"/>
  </w:num>
  <w:num w:numId="16">
    <w:abstractNumId w:val="3"/>
  </w:num>
  <w:num w:numId="17">
    <w:abstractNumId w:val="26"/>
  </w:num>
  <w:num w:numId="18">
    <w:abstractNumId w:val="1"/>
  </w:num>
  <w:num w:numId="19">
    <w:abstractNumId w:val="37"/>
  </w:num>
  <w:num w:numId="20">
    <w:abstractNumId w:val="15"/>
  </w:num>
  <w:num w:numId="21">
    <w:abstractNumId w:val="41"/>
  </w:num>
  <w:num w:numId="22">
    <w:abstractNumId w:val="33"/>
  </w:num>
  <w:num w:numId="23">
    <w:abstractNumId w:val="16"/>
  </w:num>
  <w:num w:numId="24">
    <w:abstractNumId w:val="32"/>
  </w:num>
  <w:num w:numId="25">
    <w:abstractNumId w:val="21"/>
  </w:num>
  <w:num w:numId="26">
    <w:abstractNumId w:val="31"/>
  </w:num>
  <w:num w:numId="27">
    <w:abstractNumId w:val="17"/>
  </w:num>
  <w:num w:numId="28">
    <w:abstractNumId w:val="22"/>
  </w:num>
  <w:num w:numId="29">
    <w:abstractNumId w:val="5"/>
  </w:num>
  <w:num w:numId="30">
    <w:abstractNumId w:val="34"/>
  </w:num>
  <w:num w:numId="31">
    <w:abstractNumId w:val="19"/>
  </w:num>
  <w:num w:numId="32">
    <w:abstractNumId w:val="38"/>
  </w:num>
  <w:num w:numId="33">
    <w:abstractNumId w:val="0"/>
  </w:num>
  <w:num w:numId="34">
    <w:abstractNumId w:val="42"/>
  </w:num>
  <w:num w:numId="35">
    <w:abstractNumId w:val="7"/>
  </w:num>
  <w:num w:numId="36">
    <w:abstractNumId w:val="29"/>
  </w:num>
  <w:num w:numId="37">
    <w:abstractNumId w:val="25"/>
  </w:num>
  <w:num w:numId="38">
    <w:abstractNumId w:val="10"/>
  </w:num>
  <w:num w:numId="39">
    <w:abstractNumId w:val="12"/>
  </w:num>
  <w:num w:numId="40">
    <w:abstractNumId w:val="40"/>
  </w:num>
  <w:num w:numId="41">
    <w:abstractNumId w:val="4"/>
  </w:num>
  <w:num w:numId="42">
    <w:abstractNumId w:val="8"/>
  </w:num>
  <w:num w:numId="4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7F0"/>
    <w:rsid w:val="00000B4E"/>
    <w:rsid w:val="00003A32"/>
    <w:rsid w:val="00005A77"/>
    <w:rsid w:val="000064DA"/>
    <w:rsid w:val="00010474"/>
    <w:rsid w:val="00010ED2"/>
    <w:rsid w:val="00011F9F"/>
    <w:rsid w:val="0001372D"/>
    <w:rsid w:val="00015D62"/>
    <w:rsid w:val="00016CA3"/>
    <w:rsid w:val="00017E9D"/>
    <w:rsid w:val="00017EC6"/>
    <w:rsid w:val="00022562"/>
    <w:rsid w:val="00027035"/>
    <w:rsid w:val="000275DD"/>
    <w:rsid w:val="00030194"/>
    <w:rsid w:val="00030276"/>
    <w:rsid w:val="000311AB"/>
    <w:rsid w:val="00033308"/>
    <w:rsid w:val="00033C9C"/>
    <w:rsid w:val="0003496B"/>
    <w:rsid w:val="0003543D"/>
    <w:rsid w:val="00036C4A"/>
    <w:rsid w:val="000433FC"/>
    <w:rsid w:val="00045086"/>
    <w:rsid w:val="00047A1C"/>
    <w:rsid w:val="000517EF"/>
    <w:rsid w:val="00054793"/>
    <w:rsid w:val="00061611"/>
    <w:rsid w:val="00064BE8"/>
    <w:rsid w:val="00070D7C"/>
    <w:rsid w:val="00070EC5"/>
    <w:rsid w:val="000731F6"/>
    <w:rsid w:val="00073412"/>
    <w:rsid w:val="00073732"/>
    <w:rsid w:val="00075030"/>
    <w:rsid w:val="0007697F"/>
    <w:rsid w:val="00080A2D"/>
    <w:rsid w:val="00083D1D"/>
    <w:rsid w:val="000873AD"/>
    <w:rsid w:val="000929C2"/>
    <w:rsid w:val="00094553"/>
    <w:rsid w:val="000953D9"/>
    <w:rsid w:val="000A148B"/>
    <w:rsid w:val="000A19FE"/>
    <w:rsid w:val="000A2E35"/>
    <w:rsid w:val="000A4BCB"/>
    <w:rsid w:val="000A7191"/>
    <w:rsid w:val="000A7E7F"/>
    <w:rsid w:val="000B15D7"/>
    <w:rsid w:val="000B192B"/>
    <w:rsid w:val="000B6D0E"/>
    <w:rsid w:val="000C0C37"/>
    <w:rsid w:val="000C199A"/>
    <w:rsid w:val="000C2646"/>
    <w:rsid w:val="000C2BC2"/>
    <w:rsid w:val="000C498E"/>
    <w:rsid w:val="000C5487"/>
    <w:rsid w:val="000C55EC"/>
    <w:rsid w:val="000D1CDB"/>
    <w:rsid w:val="000D32D4"/>
    <w:rsid w:val="000D5403"/>
    <w:rsid w:val="000D7619"/>
    <w:rsid w:val="000E2ABE"/>
    <w:rsid w:val="000E31A0"/>
    <w:rsid w:val="000E39B3"/>
    <w:rsid w:val="000F3928"/>
    <w:rsid w:val="000F7590"/>
    <w:rsid w:val="00104251"/>
    <w:rsid w:val="00104542"/>
    <w:rsid w:val="00106246"/>
    <w:rsid w:val="00111DBF"/>
    <w:rsid w:val="0011554D"/>
    <w:rsid w:val="00115E58"/>
    <w:rsid w:val="00115E6B"/>
    <w:rsid w:val="00120835"/>
    <w:rsid w:val="00121D07"/>
    <w:rsid w:val="00123A46"/>
    <w:rsid w:val="00127005"/>
    <w:rsid w:val="00134F3C"/>
    <w:rsid w:val="001411D4"/>
    <w:rsid w:val="00141C2F"/>
    <w:rsid w:val="00141CE0"/>
    <w:rsid w:val="001448F5"/>
    <w:rsid w:val="00144939"/>
    <w:rsid w:val="00153D75"/>
    <w:rsid w:val="00153F59"/>
    <w:rsid w:val="001562D3"/>
    <w:rsid w:val="001567C1"/>
    <w:rsid w:val="00163526"/>
    <w:rsid w:val="0016449C"/>
    <w:rsid w:val="00164AAD"/>
    <w:rsid w:val="0016750E"/>
    <w:rsid w:val="00167861"/>
    <w:rsid w:val="00167940"/>
    <w:rsid w:val="00170250"/>
    <w:rsid w:val="00170617"/>
    <w:rsid w:val="00176A78"/>
    <w:rsid w:val="00177F93"/>
    <w:rsid w:val="00182F4A"/>
    <w:rsid w:val="00184FF0"/>
    <w:rsid w:val="00185320"/>
    <w:rsid w:val="00185C25"/>
    <w:rsid w:val="001871C2"/>
    <w:rsid w:val="001A353D"/>
    <w:rsid w:val="001A49FF"/>
    <w:rsid w:val="001A5840"/>
    <w:rsid w:val="001A6B83"/>
    <w:rsid w:val="001B1C7E"/>
    <w:rsid w:val="001B365E"/>
    <w:rsid w:val="001B3741"/>
    <w:rsid w:val="001B383B"/>
    <w:rsid w:val="001B4947"/>
    <w:rsid w:val="001B7390"/>
    <w:rsid w:val="001B769E"/>
    <w:rsid w:val="001C143E"/>
    <w:rsid w:val="001C55ED"/>
    <w:rsid w:val="001D0024"/>
    <w:rsid w:val="001D14DA"/>
    <w:rsid w:val="001D5708"/>
    <w:rsid w:val="001D78A1"/>
    <w:rsid w:val="001E0AB2"/>
    <w:rsid w:val="001E2FB4"/>
    <w:rsid w:val="001E34AF"/>
    <w:rsid w:val="001E5D55"/>
    <w:rsid w:val="001E60F8"/>
    <w:rsid w:val="001E61F9"/>
    <w:rsid w:val="001E689F"/>
    <w:rsid w:val="001F424D"/>
    <w:rsid w:val="001F44AD"/>
    <w:rsid w:val="001F54FF"/>
    <w:rsid w:val="001F7305"/>
    <w:rsid w:val="00200B0C"/>
    <w:rsid w:val="00204099"/>
    <w:rsid w:val="00206349"/>
    <w:rsid w:val="002127C3"/>
    <w:rsid w:val="002161E2"/>
    <w:rsid w:val="00220E94"/>
    <w:rsid w:val="00224A17"/>
    <w:rsid w:val="002255FB"/>
    <w:rsid w:val="00227CDF"/>
    <w:rsid w:val="002309B5"/>
    <w:rsid w:val="00233028"/>
    <w:rsid w:val="00234E67"/>
    <w:rsid w:val="00235239"/>
    <w:rsid w:val="00236276"/>
    <w:rsid w:val="00241CD0"/>
    <w:rsid w:val="00244A78"/>
    <w:rsid w:val="00244EBC"/>
    <w:rsid w:val="002458F1"/>
    <w:rsid w:val="0025413A"/>
    <w:rsid w:val="00256E30"/>
    <w:rsid w:val="00262DCB"/>
    <w:rsid w:val="00264D7A"/>
    <w:rsid w:val="0027209E"/>
    <w:rsid w:val="00272CA4"/>
    <w:rsid w:val="002746EA"/>
    <w:rsid w:val="002813BE"/>
    <w:rsid w:val="00281E9B"/>
    <w:rsid w:val="0028230E"/>
    <w:rsid w:val="00286244"/>
    <w:rsid w:val="00287C70"/>
    <w:rsid w:val="002901BC"/>
    <w:rsid w:val="00291CD1"/>
    <w:rsid w:val="00291FB8"/>
    <w:rsid w:val="002953A1"/>
    <w:rsid w:val="002A61E9"/>
    <w:rsid w:val="002B1805"/>
    <w:rsid w:val="002B4A3C"/>
    <w:rsid w:val="002B56DB"/>
    <w:rsid w:val="002B79C1"/>
    <w:rsid w:val="002C143A"/>
    <w:rsid w:val="002C3074"/>
    <w:rsid w:val="002C4017"/>
    <w:rsid w:val="002D16AC"/>
    <w:rsid w:val="002D1A91"/>
    <w:rsid w:val="002D1DAE"/>
    <w:rsid w:val="002D3880"/>
    <w:rsid w:val="002D3891"/>
    <w:rsid w:val="002E3C42"/>
    <w:rsid w:val="002E54ED"/>
    <w:rsid w:val="002F138A"/>
    <w:rsid w:val="002F267E"/>
    <w:rsid w:val="002F4568"/>
    <w:rsid w:val="003014DB"/>
    <w:rsid w:val="0030161B"/>
    <w:rsid w:val="00302AEE"/>
    <w:rsid w:val="00307013"/>
    <w:rsid w:val="0031010C"/>
    <w:rsid w:val="00313022"/>
    <w:rsid w:val="00316704"/>
    <w:rsid w:val="00317472"/>
    <w:rsid w:val="00317C78"/>
    <w:rsid w:val="003213FC"/>
    <w:rsid w:val="00322598"/>
    <w:rsid w:val="003258B0"/>
    <w:rsid w:val="00337979"/>
    <w:rsid w:val="00341414"/>
    <w:rsid w:val="00341F1A"/>
    <w:rsid w:val="00345847"/>
    <w:rsid w:val="00346E89"/>
    <w:rsid w:val="00347C28"/>
    <w:rsid w:val="00350B03"/>
    <w:rsid w:val="00355A13"/>
    <w:rsid w:val="00356F94"/>
    <w:rsid w:val="003615B7"/>
    <w:rsid w:val="00362826"/>
    <w:rsid w:val="0036365D"/>
    <w:rsid w:val="003772F9"/>
    <w:rsid w:val="00380E04"/>
    <w:rsid w:val="0038132A"/>
    <w:rsid w:val="00381707"/>
    <w:rsid w:val="003817B8"/>
    <w:rsid w:val="00383BA3"/>
    <w:rsid w:val="00383BBC"/>
    <w:rsid w:val="00386002"/>
    <w:rsid w:val="003875A0"/>
    <w:rsid w:val="00393DB1"/>
    <w:rsid w:val="00394527"/>
    <w:rsid w:val="0039533D"/>
    <w:rsid w:val="003A0649"/>
    <w:rsid w:val="003A0BDC"/>
    <w:rsid w:val="003A2110"/>
    <w:rsid w:val="003A28A2"/>
    <w:rsid w:val="003A441E"/>
    <w:rsid w:val="003A7450"/>
    <w:rsid w:val="003B1C5D"/>
    <w:rsid w:val="003B21A2"/>
    <w:rsid w:val="003B2A60"/>
    <w:rsid w:val="003B4A3B"/>
    <w:rsid w:val="003B5A47"/>
    <w:rsid w:val="003C147A"/>
    <w:rsid w:val="003C4E82"/>
    <w:rsid w:val="003C6F2E"/>
    <w:rsid w:val="003C723C"/>
    <w:rsid w:val="003C7C9E"/>
    <w:rsid w:val="003D2AF2"/>
    <w:rsid w:val="003D57E1"/>
    <w:rsid w:val="003E355B"/>
    <w:rsid w:val="003E3AE0"/>
    <w:rsid w:val="003E5A70"/>
    <w:rsid w:val="003F0C8A"/>
    <w:rsid w:val="003F169C"/>
    <w:rsid w:val="003F36D9"/>
    <w:rsid w:val="003F3E0E"/>
    <w:rsid w:val="0040418A"/>
    <w:rsid w:val="004057F7"/>
    <w:rsid w:val="00411C8D"/>
    <w:rsid w:val="004120D1"/>
    <w:rsid w:val="004121D6"/>
    <w:rsid w:val="004143C2"/>
    <w:rsid w:val="004157A1"/>
    <w:rsid w:val="004222B5"/>
    <w:rsid w:val="00422EE5"/>
    <w:rsid w:val="00423067"/>
    <w:rsid w:val="00432008"/>
    <w:rsid w:val="00434987"/>
    <w:rsid w:val="00435CC9"/>
    <w:rsid w:val="00435D4C"/>
    <w:rsid w:val="004404D1"/>
    <w:rsid w:val="00440A70"/>
    <w:rsid w:val="00440CC4"/>
    <w:rsid w:val="00444241"/>
    <w:rsid w:val="004456CB"/>
    <w:rsid w:val="00446AAA"/>
    <w:rsid w:val="004476C6"/>
    <w:rsid w:val="004523E8"/>
    <w:rsid w:val="00452B3C"/>
    <w:rsid w:val="00455BC8"/>
    <w:rsid w:val="00456645"/>
    <w:rsid w:val="004570FE"/>
    <w:rsid w:val="00462543"/>
    <w:rsid w:val="00464201"/>
    <w:rsid w:val="004645DA"/>
    <w:rsid w:val="00467091"/>
    <w:rsid w:val="00467335"/>
    <w:rsid w:val="0046737F"/>
    <w:rsid w:val="0047139C"/>
    <w:rsid w:val="0047323C"/>
    <w:rsid w:val="00476948"/>
    <w:rsid w:val="0048082A"/>
    <w:rsid w:val="00485D3D"/>
    <w:rsid w:val="004935EC"/>
    <w:rsid w:val="00495510"/>
    <w:rsid w:val="004A15AD"/>
    <w:rsid w:val="004A1E29"/>
    <w:rsid w:val="004B0D14"/>
    <w:rsid w:val="004B0D4C"/>
    <w:rsid w:val="004B4A1E"/>
    <w:rsid w:val="004C0F38"/>
    <w:rsid w:val="004C1554"/>
    <w:rsid w:val="004C2501"/>
    <w:rsid w:val="004D30FA"/>
    <w:rsid w:val="004D5999"/>
    <w:rsid w:val="004D6728"/>
    <w:rsid w:val="004E1011"/>
    <w:rsid w:val="004E1573"/>
    <w:rsid w:val="004E7100"/>
    <w:rsid w:val="004E7214"/>
    <w:rsid w:val="004E7EC7"/>
    <w:rsid w:val="004F11D9"/>
    <w:rsid w:val="004F1212"/>
    <w:rsid w:val="004F24F3"/>
    <w:rsid w:val="004F4074"/>
    <w:rsid w:val="004F4EAC"/>
    <w:rsid w:val="004F5683"/>
    <w:rsid w:val="005002DE"/>
    <w:rsid w:val="0050112C"/>
    <w:rsid w:val="00501A1B"/>
    <w:rsid w:val="00501A9E"/>
    <w:rsid w:val="0050239D"/>
    <w:rsid w:val="005035DF"/>
    <w:rsid w:val="005040FD"/>
    <w:rsid w:val="00504FFA"/>
    <w:rsid w:val="00511E99"/>
    <w:rsid w:val="0051210E"/>
    <w:rsid w:val="0051653D"/>
    <w:rsid w:val="005231C6"/>
    <w:rsid w:val="005273C7"/>
    <w:rsid w:val="00527F88"/>
    <w:rsid w:val="005337B3"/>
    <w:rsid w:val="00536D9C"/>
    <w:rsid w:val="0054127C"/>
    <w:rsid w:val="00541A46"/>
    <w:rsid w:val="00542A8E"/>
    <w:rsid w:val="00543415"/>
    <w:rsid w:val="00543F82"/>
    <w:rsid w:val="00552070"/>
    <w:rsid w:val="00552B84"/>
    <w:rsid w:val="00552C6E"/>
    <w:rsid w:val="005620A9"/>
    <w:rsid w:val="00562EC3"/>
    <w:rsid w:val="00563E8C"/>
    <w:rsid w:val="00564878"/>
    <w:rsid w:val="00566060"/>
    <w:rsid w:val="00571731"/>
    <w:rsid w:val="00572697"/>
    <w:rsid w:val="005740E8"/>
    <w:rsid w:val="005747C8"/>
    <w:rsid w:val="00575206"/>
    <w:rsid w:val="0057524A"/>
    <w:rsid w:val="00575E63"/>
    <w:rsid w:val="00577A4D"/>
    <w:rsid w:val="00580EFC"/>
    <w:rsid w:val="00581D30"/>
    <w:rsid w:val="005849C7"/>
    <w:rsid w:val="00584AE0"/>
    <w:rsid w:val="00584CD1"/>
    <w:rsid w:val="005906CB"/>
    <w:rsid w:val="0059189F"/>
    <w:rsid w:val="00592814"/>
    <w:rsid w:val="005960DA"/>
    <w:rsid w:val="005A2636"/>
    <w:rsid w:val="005A28E7"/>
    <w:rsid w:val="005A5AC2"/>
    <w:rsid w:val="005B0C81"/>
    <w:rsid w:val="005B1A44"/>
    <w:rsid w:val="005B2A5F"/>
    <w:rsid w:val="005B31FA"/>
    <w:rsid w:val="005B32F1"/>
    <w:rsid w:val="005C27A0"/>
    <w:rsid w:val="005C27D1"/>
    <w:rsid w:val="005C2939"/>
    <w:rsid w:val="005C3A0B"/>
    <w:rsid w:val="005C54E4"/>
    <w:rsid w:val="005C7F06"/>
    <w:rsid w:val="005D05E8"/>
    <w:rsid w:val="005D1446"/>
    <w:rsid w:val="005D1D9C"/>
    <w:rsid w:val="005D22A3"/>
    <w:rsid w:val="005D3127"/>
    <w:rsid w:val="005D7654"/>
    <w:rsid w:val="005E00C5"/>
    <w:rsid w:val="005E4796"/>
    <w:rsid w:val="005E49AD"/>
    <w:rsid w:val="005E6CDF"/>
    <w:rsid w:val="005E7ADB"/>
    <w:rsid w:val="005E7F90"/>
    <w:rsid w:val="005F1268"/>
    <w:rsid w:val="005F454B"/>
    <w:rsid w:val="005F6AB1"/>
    <w:rsid w:val="0060029E"/>
    <w:rsid w:val="00600CF4"/>
    <w:rsid w:val="00606116"/>
    <w:rsid w:val="0061208C"/>
    <w:rsid w:val="00616272"/>
    <w:rsid w:val="00617142"/>
    <w:rsid w:val="00627364"/>
    <w:rsid w:val="00636B73"/>
    <w:rsid w:val="00637F99"/>
    <w:rsid w:val="00642432"/>
    <w:rsid w:val="0064379B"/>
    <w:rsid w:val="00645C33"/>
    <w:rsid w:val="006472E0"/>
    <w:rsid w:val="00647511"/>
    <w:rsid w:val="0065056E"/>
    <w:rsid w:val="0065119A"/>
    <w:rsid w:val="006523D4"/>
    <w:rsid w:val="006537E4"/>
    <w:rsid w:val="00653DC0"/>
    <w:rsid w:val="00655DCA"/>
    <w:rsid w:val="00657020"/>
    <w:rsid w:val="006573FD"/>
    <w:rsid w:val="0066128B"/>
    <w:rsid w:val="006622AD"/>
    <w:rsid w:val="00664B01"/>
    <w:rsid w:val="00665CBA"/>
    <w:rsid w:val="006663B9"/>
    <w:rsid w:val="0067132E"/>
    <w:rsid w:val="006727FE"/>
    <w:rsid w:val="006769C7"/>
    <w:rsid w:val="0067758F"/>
    <w:rsid w:val="0067784C"/>
    <w:rsid w:val="00686D06"/>
    <w:rsid w:val="006871FA"/>
    <w:rsid w:val="0068761A"/>
    <w:rsid w:val="00687A24"/>
    <w:rsid w:val="00687B8B"/>
    <w:rsid w:val="00695E42"/>
    <w:rsid w:val="006976D7"/>
    <w:rsid w:val="006A6A83"/>
    <w:rsid w:val="006B2F21"/>
    <w:rsid w:val="006B3368"/>
    <w:rsid w:val="006B3C85"/>
    <w:rsid w:val="006B5FA8"/>
    <w:rsid w:val="006B6BF4"/>
    <w:rsid w:val="006C1AD3"/>
    <w:rsid w:val="006C3464"/>
    <w:rsid w:val="006C4CE4"/>
    <w:rsid w:val="006C564A"/>
    <w:rsid w:val="006C678E"/>
    <w:rsid w:val="006D6292"/>
    <w:rsid w:val="006D794A"/>
    <w:rsid w:val="006E1804"/>
    <w:rsid w:val="006E227A"/>
    <w:rsid w:val="006E7AEA"/>
    <w:rsid w:val="006F188E"/>
    <w:rsid w:val="006F79DD"/>
    <w:rsid w:val="00700249"/>
    <w:rsid w:val="007012F9"/>
    <w:rsid w:val="00704172"/>
    <w:rsid w:val="007041BA"/>
    <w:rsid w:val="00704D2D"/>
    <w:rsid w:val="00704E65"/>
    <w:rsid w:val="00707FA2"/>
    <w:rsid w:val="007105B0"/>
    <w:rsid w:val="00713463"/>
    <w:rsid w:val="00713E15"/>
    <w:rsid w:val="0071420A"/>
    <w:rsid w:val="00714875"/>
    <w:rsid w:val="00714E0E"/>
    <w:rsid w:val="00714F66"/>
    <w:rsid w:val="007167F8"/>
    <w:rsid w:val="00717C17"/>
    <w:rsid w:val="00722CEC"/>
    <w:rsid w:val="00734D6D"/>
    <w:rsid w:val="007369F0"/>
    <w:rsid w:val="00736C7C"/>
    <w:rsid w:val="007379C0"/>
    <w:rsid w:val="00745B2F"/>
    <w:rsid w:val="007538D1"/>
    <w:rsid w:val="00753B76"/>
    <w:rsid w:val="00757B60"/>
    <w:rsid w:val="00761995"/>
    <w:rsid w:val="007639F1"/>
    <w:rsid w:val="0076716C"/>
    <w:rsid w:val="00767FAF"/>
    <w:rsid w:val="0077237F"/>
    <w:rsid w:val="00773AC1"/>
    <w:rsid w:val="007836F2"/>
    <w:rsid w:val="00783F76"/>
    <w:rsid w:val="00785377"/>
    <w:rsid w:val="00787178"/>
    <w:rsid w:val="00794B97"/>
    <w:rsid w:val="00795423"/>
    <w:rsid w:val="00795776"/>
    <w:rsid w:val="0079606B"/>
    <w:rsid w:val="00796A8F"/>
    <w:rsid w:val="007A0153"/>
    <w:rsid w:val="007A4ACB"/>
    <w:rsid w:val="007A532B"/>
    <w:rsid w:val="007B02EF"/>
    <w:rsid w:val="007B0739"/>
    <w:rsid w:val="007B0BFF"/>
    <w:rsid w:val="007B2E78"/>
    <w:rsid w:val="007B6A97"/>
    <w:rsid w:val="007B712A"/>
    <w:rsid w:val="007C2BCA"/>
    <w:rsid w:val="007C35F8"/>
    <w:rsid w:val="007C527E"/>
    <w:rsid w:val="007C638A"/>
    <w:rsid w:val="007D49FB"/>
    <w:rsid w:val="007D5B37"/>
    <w:rsid w:val="007D7C27"/>
    <w:rsid w:val="007E7071"/>
    <w:rsid w:val="007F5323"/>
    <w:rsid w:val="007F6417"/>
    <w:rsid w:val="007F7BA8"/>
    <w:rsid w:val="007F7E2A"/>
    <w:rsid w:val="00800078"/>
    <w:rsid w:val="00803382"/>
    <w:rsid w:val="00803B43"/>
    <w:rsid w:val="00804162"/>
    <w:rsid w:val="00804C05"/>
    <w:rsid w:val="00812B93"/>
    <w:rsid w:val="00814113"/>
    <w:rsid w:val="008161D4"/>
    <w:rsid w:val="00821149"/>
    <w:rsid w:val="0082395B"/>
    <w:rsid w:val="008245D7"/>
    <w:rsid w:val="00824AB5"/>
    <w:rsid w:val="00830484"/>
    <w:rsid w:val="00831BF1"/>
    <w:rsid w:val="008347B9"/>
    <w:rsid w:val="00837530"/>
    <w:rsid w:val="00842E7C"/>
    <w:rsid w:val="00855BCB"/>
    <w:rsid w:val="008642B7"/>
    <w:rsid w:val="00865151"/>
    <w:rsid w:val="008674D3"/>
    <w:rsid w:val="00872665"/>
    <w:rsid w:val="00874975"/>
    <w:rsid w:val="0088168A"/>
    <w:rsid w:val="00881EC2"/>
    <w:rsid w:val="00882E94"/>
    <w:rsid w:val="00883363"/>
    <w:rsid w:val="00883740"/>
    <w:rsid w:val="00886D4A"/>
    <w:rsid w:val="00890A87"/>
    <w:rsid w:val="0089181B"/>
    <w:rsid w:val="00891A91"/>
    <w:rsid w:val="00893AC5"/>
    <w:rsid w:val="00896A51"/>
    <w:rsid w:val="008A0AD5"/>
    <w:rsid w:val="008A30EA"/>
    <w:rsid w:val="008B001C"/>
    <w:rsid w:val="008B06DB"/>
    <w:rsid w:val="008B15B4"/>
    <w:rsid w:val="008B277F"/>
    <w:rsid w:val="008B2E33"/>
    <w:rsid w:val="008B414C"/>
    <w:rsid w:val="008B4DB4"/>
    <w:rsid w:val="008C1884"/>
    <w:rsid w:val="008D1024"/>
    <w:rsid w:val="008D475D"/>
    <w:rsid w:val="008D4F97"/>
    <w:rsid w:val="008D764F"/>
    <w:rsid w:val="008E0C49"/>
    <w:rsid w:val="008E1BF3"/>
    <w:rsid w:val="008E1E48"/>
    <w:rsid w:val="008E1F48"/>
    <w:rsid w:val="008E2028"/>
    <w:rsid w:val="008E3F52"/>
    <w:rsid w:val="008E6400"/>
    <w:rsid w:val="008E6401"/>
    <w:rsid w:val="008E6DE7"/>
    <w:rsid w:val="008E7156"/>
    <w:rsid w:val="008E73D5"/>
    <w:rsid w:val="008F0FC0"/>
    <w:rsid w:val="008F5AF3"/>
    <w:rsid w:val="008F7702"/>
    <w:rsid w:val="009024E0"/>
    <w:rsid w:val="00904AF3"/>
    <w:rsid w:val="00905A64"/>
    <w:rsid w:val="00907793"/>
    <w:rsid w:val="00917DEF"/>
    <w:rsid w:val="00921C02"/>
    <w:rsid w:val="0092368D"/>
    <w:rsid w:val="00923949"/>
    <w:rsid w:val="00923FFC"/>
    <w:rsid w:val="00924C58"/>
    <w:rsid w:val="009340BF"/>
    <w:rsid w:val="00934940"/>
    <w:rsid w:val="009355C5"/>
    <w:rsid w:val="009362E0"/>
    <w:rsid w:val="0093674F"/>
    <w:rsid w:val="009376D4"/>
    <w:rsid w:val="00943755"/>
    <w:rsid w:val="00951E23"/>
    <w:rsid w:val="00952636"/>
    <w:rsid w:val="00952C76"/>
    <w:rsid w:val="0095368E"/>
    <w:rsid w:val="00953E20"/>
    <w:rsid w:val="00954931"/>
    <w:rsid w:val="009556D4"/>
    <w:rsid w:val="009605AC"/>
    <w:rsid w:val="00965AB6"/>
    <w:rsid w:val="00965ADF"/>
    <w:rsid w:val="00965BE3"/>
    <w:rsid w:val="0097144B"/>
    <w:rsid w:val="009716D4"/>
    <w:rsid w:val="0097286C"/>
    <w:rsid w:val="00974DF6"/>
    <w:rsid w:val="00975702"/>
    <w:rsid w:val="00975ED9"/>
    <w:rsid w:val="009809E9"/>
    <w:rsid w:val="00981D61"/>
    <w:rsid w:val="00982DDC"/>
    <w:rsid w:val="0098382B"/>
    <w:rsid w:val="00987979"/>
    <w:rsid w:val="00987D10"/>
    <w:rsid w:val="009906FA"/>
    <w:rsid w:val="00991603"/>
    <w:rsid w:val="009967BD"/>
    <w:rsid w:val="009A086B"/>
    <w:rsid w:val="009A17C1"/>
    <w:rsid w:val="009A6C0B"/>
    <w:rsid w:val="009B0A03"/>
    <w:rsid w:val="009B1B38"/>
    <w:rsid w:val="009C198C"/>
    <w:rsid w:val="009C282C"/>
    <w:rsid w:val="009C426E"/>
    <w:rsid w:val="009C5822"/>
    <w:rsid w:val="009C7949"/>
    <w:rsid w:val="009D2BBF"/>
    <w:rsid w:val="009D59AB"/>
    <w:rsid w:val="009D61F6"/>
    <w:rsid w:val="009E223A"/>
    <w:rsid w:val="009E29B9"/>
    <w:rsid w:val="009E653E"/>
    <w:rsid w:val="009E7144"/>
    <w:rsid w:val="009F02B2"/>
    <w:rsid w:val="009F0456"/>
    <w:rsid w:val="009F1624"/>
    <w:rsid w:val="009F5867"/>
    <w:rsid w:val="00A0152D"/>
    <w:rsid w:val="00A01A44"/>
    <w:rsid w:val="00A04AF6"/>
    <w:rsid w:val="00A06849"/>
    <w:rsid w:val="00A111B7"/>
    <w:rsid w:val="00A1455E"/>
    <w:rsid w:val="00A146C0"/>
    <w:rsid w:val="00A1523B"/>
    <w:rsid w:val="00A15F44"/>
    <w:rsid w:val="00A163E8"/>
    <w:rsid w:val="00A167A5"/>
    <w:rsid w:val="00A20CD4"/>
    <w:rsid w:val="00A241EE"/>
    <w:rsid w:val="00A27019"/>
    <w:rsid w:val="00A272A7"/>
    <w:rsid w:val="00A331C3"/>
    <w:rsid w:val="00A33A30"/>
    <w:rsid w:val="00A33B7E"/>
    <w:rsid w:val="00A34DA5"/>
    <w:rsid w:val="00A35E99"/>
    <w:rsid w:val="00A420FD"/>
    <w:rsid w:val="00A44F10"/>
    <w:rsid w:val="00A453CC"/>
    <w:rsid w:val="00A456ED"/>
    <w:rsid w:val="00A47D65"/>
    <w:rsid w:val="00A5662E"/>
    <w:rsid w:val="00A57D4B"/>
    <w:rsid w:val="00A62D71"/>
    <w:rsid w:val="00A63105"/>
    <w:rsid w:val="00A638AC"/>
    <w:rsid w:val="00A65A85"/>
    <w:rsid w:val="00A708B6"/>
    <w:rsid w:val="00A71787"/>
    <w:rsid w:val="00A7506E"/>
    <w:rsid w:val="00A80E92"/>
    <w:rsid w:val="00A834AF"/>
    <w:rsid w:val="00A842BC"/>
    <w:rsid w:val="00A90B51"/>
    <w:rsid w:val="00A92418"/>
    <w:rsid w:val="00A96DF3"/>
    <w:rsid w:val="00AA02AF"/>
    <w:rsid w:val="00AA1FF8"/>
    <w:rsid w:val="00AA3E50"/>
    <w:rsid w:val="00AA4296"/>
    <w:rsid w:val="00AA4E67"/>
    <w:rsid w:val="00AA5FB9"/>
    <w:rsid w:val="00AA78FD"/>
    <w:rsid w:val="00AB2CBD"/>
    <w:rsid w:val="00AB7452"/>
    <w:rsid w:val="00AC029E"/>
    <w:rsid w:val="00AC1688"/>
    <w:rsid w:val="00AC4DE0"/>
    <w:rsid w:val="00AC6852"/>
    <w:rsid w:val="00AD5C2E"/>
    <w:rsid w:val="00AE2A2D"/>
    <w:rsid w:val="00AE3AD6"/>
    <w:rsid w:val="00AE7CCF"/>
    <w:rsid w:val="00AF0119"/>
    <w:rsid w:val="00AF6280"/>
    <w:rsid w:val="00AF6D32"/>
    <w:rsid w:val="00B01B83"/>
    <w:rsid w:val="00B0518C"/>
    <w:rsid w:val="00B12D13"/>
    <w:rsid w:val="00B14C76"/>
    <w:rsid w:val="00B17CD3"/>
    <w:rsid w:val="00B21CC7"/>
    <w:rsid w:val="00B22E57"/>
    <w:rsid w:val="00B2439C"/>
    <w:rsid w:val="00B27161"/>
    <w:rsid w:val="00B33471"/>
    <w:rsid w:val="00B37BC6"/>
    <w:rsid w:val="00B41AB0"/>
    <w:rsid w:val="00B46EFB"/>
    <w:rsid w:val="00B5218D"/>
    <w:rsid w:val="00B53715"/>
    <w:rsid w:val="00B55D34"/>
    <w:rsid w:val="00B60819"/>
    <w:rsid w:val="00B60ED3"/>
    <w:rsid w:val="00B61220"/>
    <w:rsid w:val="00B6180A"/>
    <w:rsid w:val="00B61B3A"/>
    <w:rsid w:val="00B62EF0"/>
    <w:rsid w:val="00B6385D"/>
    <w:rsid w:val="00B75DF6"/>
    <w:rsid w:val="00B85EFA"/>
    <w:rsid w:val="00B8664F"/>
    <w:rsid w:val="00B92202"/>
    <w:rsid w:val="00B9474A"/>
    <w:rsid w:val="00B96E19"/>
    <w:rsid w:val="00B97620"/>
    <w:rsid w:val="00BA1329"/>
    <w:rsid w:val="00BA23C7"/>
    <w:rsid w:val="00BA3B45"/>
    <w:rsid w:val="00BA4B3E"/>
    <w:rsid w:val="00BA534E"/>
    <w:rsid w:val="00BB1F7B"/>
    <w:rsid w:val="00BB2113"/>
    <w:rsid w:val="00BB4758"/>
    <w:rsid w:val="00BC5710"/>
    <w:rsid w:val="00BC6CC2"/>
    <w:rsid w:val="00BC7374"/>
    <w:rsid w:val="00BD1C48"/>
    <w:rsid w:val="00BD1FBE"/>
    <w:rsid w:val="00BD3D24"/>
    <w:rsid w:val="00BD420F"/>
    <w:rsid w:val="00BD681C"/>
    <w:rsid w:val="00BE238C"/>
    <w:rsid w:val="00BE61C7"/>
    <w:rsid w:val="00BE7879"/>
    <w:rsid w:val="00BF208F"/>
    <w:rsid w:val="00BF35B0"/>
    <w:rsid w:val="00BF58CC"/>
    <w:rsid w:val="00C05CB4"/>
    <w:rsid w:val="00C07453"/>
    <w:rsid w:val="00C10762"/>
    <w:rsid w:val="00C1149F"/>
    <w:rsid w:val="00C136B9"/>
    <w:rsid w:val="00C15253"/>
    <w:rsid w:val="00C200C5"/>
    <w:rsid w:val="00C256FF"/>
    <w:rsid w:val="00C26DC6"/>
    <w:rsid w:val="00C307A5"/>
    <w:rsid w:val="00C30B99"/>
    <w:rsid w:val="00C31795"/>
    <w:rsid w:val="00C31BE7"/>
    <w:rsid w:val="00C34EA4"/>
    <w:rsid w:val="00C367E5"/>
    <w:rsid w:val="00C40F40"/>
    <w:rsid w:val="00C47E6A"/>
    <w:rsid w:val="00C51896"/>
    <w:rsid w:val="00C53E76"/>
    <w:rsid w:val="00C556E0"/>
    <w:rsid w:val="00C60D25"/>
    <w:rsid w:val="00C634DA"/>
    <w:rsid w:val="00C65A43"/>
    <w:rsid w:val="00C67049"/>
    <w:rsid w:val="00C67AC6"/>
    <w:rsid w:val="00C701F9"/>
    <w:rsid w:val="00C731F3"/>
    <w:rsid w:val="00C73AC7"/>
    <w:rsid w:val="00C749EB"/>
    <w:rsid w:val="00C805E1"/>
    <w:rsid w:val="00C84693"/>
    <w:rsid w:val="00C858C1"/>
    <w:rsid w:val="00C86BD3"/>
    <w:rsid w:val="00C9304D"/>
    <w:rsid w:val="00C930E6"/>
    <w:rsid w:val="00C94A34"/>
    <w:rsid w:val="00CA204F"/>
    <w:rsid w:val="00CA38F0"/>
    <w:rsid w:val="00CA5D14"/>
    <w:rsid w:val="00CA617F"/>
    <w:rsid w:val="00CA7341"/>
    <w:rsid w:val="00CA7DEF"/>
    <w:rsid w:val="00CB168A"/>
    <w:rsid w:val="00CB2094"/>
    <w:rsid w:val="00CB4830"/>
    <w:rsid w:val="00CB5FB3"/>
    <w:rsid w:val="00CB740E"/>
    <w:rsid w:val="00CB774A"/>
    <w:rsid w:val="00CC029C"/>
    <w:rsid w:val="00CC2009"/>
    <w:rsid w:val="00CC7172"/>
    <w:rsid w:val="00CD0391"/>
    <w:rsid w:val="00CD11AB"/>
    <w:rsid w:val="00CD1CB0"/>
    <w:rsid w:val="00CD1DAA"/>
    <w:rsid w:val="00CD2ADA"/>
    <w:rsid w:val="00CD3E7B"/>
    <w:rsid w:val="00CD5F4E"/>
    <w:rsid w:val="00CF02AB"/>
    <w:rsid w:val="00CF109A"/>
    <w:rsid w:val="00CF2812"/>
    <w:rsid w:val="00CF3C93"/>
    <w:rsid w:val="00CF402A"/>
    <w:rsid w:val="00CF4799"/>
    <w:rsid w:val="00CF6A3E"/>
    <w:rsid w:val="00D053F3"/>
    <w:rsid w:val="00D06603"/>
    <w:rsid w:val="00D07396"/>
    <w:rsid w:val="00D07A00"/>
    <w:rsid w:val="00D13504"/>
    <w:rsid w:val="00D1397B"/>
    <w:rsid w:val="00D15894"/>
    <w:rsid w:val="00D17F7C"/>
    <w:rsid w:val="00D21D44"/>
    <w:rsid w:val="00D2491C"/>
    <w:rsid w:val="00D252F6"/>
    <w:rsid w:val="00D26283"/>
    <w:rsid w:val="00D3026B"/>
    <w:rsid w:val="00D33186"/>
    <w:rsid w:val="00D36748"/>
    <w:rsid w:val="00D411DE"/>
    <w:rsid w:val="00D41874"/>
    <w:rsid w:val="00D44AC4"/>
    <w:rsid w:val="00D45E9C"/>
    <w:rsid w:val="00D463AD"/>
    <w:rsid w:val="00D50B6C"/>
    <w:rsid w:val="00D52F72"/>
    <w:rsid w:val="00D534EA"/>
    <w:rsid w:val="00D54237"/>
    <w:rsid w:val="00D542F2"/>
    <w:rsid w:val="00D5458F"/>
    <w:rsid w:val="00D55AA9"/>
    <w:rsid w:val="00D6275C"/>
    <w:rsid w:val="00D66774"/>
    <w:rsid w:val="00D70C2C"/>
    <w:rsid w:val="00D70D43"/>
    <w:rsid w:val="00D730F1"/>
    <w:rsid w:val="00D7356A"/>
    <w:rsid w:val="00D735AB"/>
    <w:rsid w:val="00D73A45"/>
    <w:rsid w:val="00D75102"/>
    <w:rsid w:val="00D75581"/>
    <w:rsid w:val="00D76B9A"/>
    <w:rsid w:val="00D817CD"/>
    <w:rsid w:val="00D81AAB"/>
    <w:rsid w:val="00D81DB3"/>
    <w:rsid w:val="00D835C0"/>
    <w:rsid w:val="00D8592C"/>
    <w:rsid w:val="00D9236B"/>
    <w:rsid w:val="00DA084E"/>
    <w:rsid w:val="00DA0D9F"/>
    <w:rsid w:val="00DA4244"/>
    <w:rsid w:val="00DA4CA7"/>
    <w:rsid w:val="00DA580F"/>
    <w:rsid w:val="00DA5BF4"/>
    <w:rsid w:val="00DB0C7C"/>
    <w:rsid w:val="00DB54A5"/>
    <w:rsid w:val="00DB6CC6"/>
    <w:rsid w:val="00DC06D8"/>
    <w:rsid w:val="00DC3386"/>
    <w:rsid w:val="00DC441B"/>
    <w:rsid w:val="00DC6C8C"/>
    <w:rsid w:val="00DC6DF0"/>
    <w:rsid w:val="00DC7921"/>
    <w:rsid w:val="00DD09F2"/>
    <w:rsid w:val="00DD7C85"/>
    <w:rsid w:val="00DE1279"/>
    <w:rsid w:val="00DE1542"/>
    <w:rsid w:val="00DE2220"/>
    <w:rsid w:val="00DE3FE8"/>
    <w:rsid w:val="00DE65AB"/>
    <w:rsid w:val="00DE6E73"/>
    <w:rsid w:val="00DE6F0C"/>
    <w:rsid w:val="00DE7B22"/>
    <w:rsid w:val="00DF56CE"/>
    <w:rsid w:val="00DF67F3"/>
    <w:rsid w:val="00E02BA7"/>
    <w:rsid w:val="00E03216"/>
    <w:rsid w:val="00E05878"/>
    <w:rsid w:val="00E06924"/>
    <w:rsid w:val="00E072EB"/>
    <w:rsid w:val="00E1084D"/>
    <w:rsid w:val="00E127FE"/>
    <w:rsid w:val="00E141FD"/>
    <w:rsid w:val="00E16157"/>
    <w:rsid w:val="00E206D1"/>
    <w:rsid w:val="00E209CA"/>
    <w:rsid w:val="00E27609"/>
    <w:rsid w:val="00E31542"/>
    <w:rsid w:val="00E33E8E"/>
    <w:rsid w:val="00E36594"/>
    <w:rsid w:val="00E41A65"/>
    <w:rsid w:val="00E46002"/>
    <w:rsid w:val="00E471AA"/>
    <w:rsid w:val="00E53EF0"/>
    <w:rsid w:val="00E564FA"/>
    <w:rsid w:val="00E60C8E"/>
    <w:rsid w:val="00E616B0"/>
    <w:rsid w:val="00E62C37"/>
    <w:rsid w:val="00E6475D"/>
    <w:rsid w:val="00E650B6"/>
    <w:rsid w:val="00E66B63"/>
    <w:rsid w:val="00E674C3"/>
    <w:rsid w:val="00E67A68"/>
    <w:rsid w:val="00E70BBB"/>
    <w:rsid w:val="00E74CF3"/>
    <w:rsid w:val="00E77EDD"/>
    <w:rsid w:val="00E80962"/>
    <w:rsid w:val="00E81C93"/>
    <w:rsid w:val="00E82626"/>
    <w:rsid w:val="00E84F3D"/>
    <w:rsid w:val="00E86EAD"/>
    <w:rsid w:val="00E87F0A"/>
    <w:rsid w:val="00E9298F"/>
    <w:rsid w:val="00E94021"/>
    <w:rsid w:val="00EA16AD"/>
    <w:rsid w:val="00EA4B0F"/>
    <w:rsid w:val="00EA6CD6"/>
    <w:rsid w:val="00EB10E6"/>
    <w:rsid w:val="00EB133B"/>
    <w:rsid w:val="00EB4B30"/>
    <w:rsid w:val="00EB5C23"/>
    <w:rsid w:val="00EC094B"/>
    <w:rsid w:val="00EC2189"/>
    <w:rsid w:val="00EC4DFA"/>
    <w:rsid w:val="00EC5271"/>
    <w:rsid w:val="00EC56A1"/>
    <w:rsid w:val="00ED1C4A"/>
    <w:rsid w:val="00ED3622"/>
    <w:rsid w:val="00ED57CC"/>
    <w:rsid w:val="00ED697B"/>
    <w:rsid w:val="00ED7BFC"/>
    <w:rsid w:val="00EE3D33"/>
    <w:rsid w:val="00EE42E8"/>
    <w:rsid w:val="00EE54DA"/>
    <w:rsid w:val="00EE5C23"/>
    <w:rsid w:val="00EE6FCC"/>
    <w:rsid w:val="00EE7A6B"/>
    <w:rsid w:val="00EF089C"/>
    <w:rsid w:val="00EF193B"/>
    <w:rsid w:val="00EF21A2"/>
    <w:rsid w:val="00EF249F"/>
    <w:rsid w:val="00EF2584"/>
    <w:rsid w:val="00EF2EA1"/>
    <w:rsid w:val="00EF5E45"/>
    <w:rsid w:val="00F02BA4"/>
    <w:rsid w:val="00F042BC"/>
    <w:rsid w:val="00F04E0F"/>
    <w:rsid w:val="00F05EE1"/>
    <w:rsid w:val="00F06A6A"/>
    <w:rsid w:val="00F10511"/>
    <w:rsid w:val="00F116E0"/>
    <w:rsid w:val="00F1436B"/>
    <w:rsid w:val="00F145D4"/>
    <w:rsid w:val="00F14EFB"/>
    <w:rsid w:val="00F1586E"/>
    <w:rsid w:val="00F16905"/>
    <w:rsid w:val="00F23315"/>
    <w:rsid w:val="00F25452"/>
    <w:rsid w:val="00F273C3"/>
    <w:rsid w:val="00F307BB"/>
    <w:rsid w:val="00F31E79"/>
    <w:rsid w:val="00F34D07"/>
    <w:rsid w:val="00F35989"/>
    <w:rsid w:val="00F40068"/>
    <w:rsid w:val="00F41AE7"/>
    <w:rsid w:val="00F45411"/>
    <w:rsid w:val="00F4684D"/>
    <w:rsid w:val="00F5639D"/>
    <w:rsid w:val="00F61D89"/>
    <w:rsid w:val="00F670DD"/>
    <w:rsid w:val="00F70824"/>
    <w:rsid w:val="00F71552"/>
    <w:rsid w:val="00F73C8C"/>
    <w:rsid w:val="00F75420"/>
    <w:rsid w:val="00F75D50"/>
    <w:rsid w:val="00F815B5"/>
    <w:rsid w:val="00F8172D"/>
    <w:rsid w:val="00F829BC"/>
    <w:rsid w:val="00F85B7D"/>
    <w:rsid w:val="00F86AE3"/>
    <w:rsid w:val="00F87D59"/>
    <w:rsid w:val="00F900D3"/>
    <w:rsid w:val="00F9185F"/>
    <w:rsid w:val="00F9213B"/>
    <w:rsid w:val="00F971FE"/>
    <w:rsid w:val="00FA10BF"/>
    <w:rsid w:val="00FA5B88"/>
    <w:rsid w:val="00FA7F87"/>
    <w:rsid w:val="00FB0676"/>
    <w:rsid w:val="00FB12C4"/>
    <w:rsid w:val="00FB1B07"/>
    <w:rsid w:val="00FB2BED"/>
    <w:rsid w:val="00FB2D23"/>
    <w:rsid w:val="00FB2DF5"/>
    <w:rsid w:val="00FB3D75"/>
    <w:rsid w:val="00FB7FDB"/>
    <w:rsid w:val="00FC3B5C"/>
    <w:rsid w:val="00FC662B"/>
    <w:rsid w:val="00FD1A48"/>
    <w:rsid w:val="00FD220D"/>
    <w:rsid w:val="00FD2D27"/>
    <w:rsid w:val="00FD32B1"/>
    <w:rsid w:val="00FD3FE2"/>
    <w:rsid w:val="00FD6EC3"/>
    <w:rsid w:val="00FE1B00"/>
    <w:rsid w:val="00FE3688"/>
    <w:rsid w:val="00FE5714"/>
    <w:rsid w:val="00FE7E9F"/>
    <w:rsid w:val="00FF0565"/>
    <w:rsid w:val="00FF09F7"/>
    <w:rsid w:val="00FF0C26"/>
    <w:rsid w:val="00FF18AE"/>
    <w:rsid w:val="00FF24A9"/>
    <w:rsid w:val="00FF2519"/>
    <w:rsid w:val="00FF2CB1"/>
    <w:rsid w:val="00FF2E25"/>
    <w:rsid w:val="00FF34AD"/>
    <w:rsid w:val="00FF563D"/>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8F13-ED01-4636-826D-BE443777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4D"/>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 w:val="24"/>
      <w:szCs w:val="32"/>
      <w:lang w:eastAsia="en-US"/>
    </w:rPr>
  </w:style>
  <w:style w:type="character" w:customStyle="1" w:styleId="Heading2Char">
    <w:name w:val="Heading 2 Char"/>
    <w:link w:val="Heading2"/>
    <w:rsid w:val="00D542F2"/>
    <w:rPr>
      <w:rFonts w:eastAsia="Times New Roman" w:cs="Arial"/>
      <w:bCs/>
      <w:iCs/>
      <w:sz w:val="24"/>
      <w:szCs w:val="28"/>
      <w:lang w:eastAsia="en-US"/>
    </w:rPr>
  </w:style>
  <w:style w:type="character" w:customStyle="1" w:styleId="Heading3Char">
    <w:name w:val="Heading 3 Char"/>
    <w:link w:val="Heading3"/>
    <w:rsid w:val="00D542F2"/>
    <w:rPr>
      <w:rFonts w:eastAsia="Times New Roman" w:cs="Arial"/>
      <w:bCs/>
      <w:sz w:val="24"/>
      <w:szCs w:val="26"/>
      <w:lang w:eastAsia="en-US"/>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nhideWhenUsed/>
    <w:rsid w:val="001B7390"/>
    <w:rPr>
      <w:sz w:val="20"/>
      <w:szCs w:val="20"/>
    </w:rPr>
  </w:style>
  <w:style w:type="character" w:customStyle="1" w:styleId="FootnoteTextChar">
    <w:name w:val="Footnote Text Char"/>
    <w:link w:val="FootnoteText"/>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semiHidden/>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
      </w:numPr>
    </w:pPr>
  </w:style>
  <w:style w:type="character" w:styleId="CommentReference">
    <w:name w:val="annotation reference"/>
    <w:basedOn w:val="DefaultParagraphFont"/>
    <w:uiPriority w:val="99"/>
    <w:semiHidden/>
    <w:unhideWhenUsed/>
    <w:rsid w:val="00DB54A5"/>
    <w:rPr>
      <w:sz w:val="16"/>
      <w:szCs w:val="16"/>
    </w:rPr>
  </w:style>
  <w:style w:type="paragraph" w:styleId="CommentText">
    <w:name w:val="annotation text"/>
    <w:basedOn w:val="Normal"/>
    <w:link w:val="CommentTextChar"/>
    <w:uiPriority w:val="99"/>
    <w:unhideWhenUsed/>
    <w:rsid w:val="00DB54A5"/>
    <w:rPr>
      <w:sz w:val="20"/>
      <w:szCs w:val="20"/>
    </w:rPr>
  </w:style>
  <w:style w:type="character" w:customStyle="1" w:styleId="CommentTextChar">
    <w:name w:val="Comment Text Char"/>
    <w:basedOn w:val="DefaultParagraphFont"/>
    <w:link w:val="CommentText"/>
    <w:uiPriority w:val="99"/>
    <w:rsid w:val="00DB54A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B54A5"/>
    <w:rPr>
      <w:b/>
      <w:bCs/>
    </w:rPr>
  </w:style>
  <w:style w:type="character" w:customStyle="1" w:styleId="CommentSubjectChar">
    <w:name w:val="Comment Subject Char"/>
    <w:basedOn w:val="CommentTextChar"/>
    <w:link w:val="CommentSubject"/>
    <w:uiPriority w:val="99"/>
    <w:semiHidden/>
    <w:rsid w:val="00DB54A5"/>
    <w:rPr>
      <w:rFonts w:eastAsia="Times New Roman"/>
      <w:b/>
      <w:bCs/>
      <w:lang w:eastAsia="en-US"/>
    </w:rPr>
  </w:style>
  <w:style w:type="character" w:customStyle="1" w:styleId="mc">
    <w:name w:val="mc"/>
    <w:basedOn w:val="DefaultParagraphFont"/>
    <w:rsid w:val="00627364"/>
  </w:style>
  <w:style w:type="paragraph" w:styleId="Revision">
    <w:name w:val="Revision"/>
    <w:hidden/>
    <w:uiPriority w:val="99"/>
    <w:semiHidden/>
    <w:rsid w:val="0077237F"/>
    <w:rPr>
      <w:rFonts w:eastAsia="Times New Roman"/>
      <w:sz w:val="24"/>
      <w:szCs w:val="24"/>
      <w:lang w:eastAsia="en-US"/>
    </w:rPr>
  </w:style>
  <w:style w:type="paragraph" w:styleId="EndnoteText">
    <w:name w:val="endnote text"/>
    <w:basedOn w:val="Normal"/>
    <w:link w:val="EndnoteTextChar"/>
    <w:uiPriority w:val="99"/>
    <w:semiHidden/>
    <w:unhideWhenUsed/>
    <w:rsid w:val="00FF563D"/>
    <w:rPr>
      <w:sz w:val="20"/>
      <w:szCs w:val="20"/>
    </w:rPr>
  </w:style>
  <w:style w:type="character" w:customStyle="1" w:styleId="EndnoteTextChar">
    <w:name w:val="Endnote Text Char"/>
    <w:basedOn w:val="DefaultParagraphFont"/>
    <w:link w:val="EndnoteText"/>
    <w:uiPriority w:val="99"/>
    <w:semiHidden/>
    <w:rsid w:val="00FF563D"/>
    <w:rPr>
      <w:rFonts w:eastAsia="Times New Roman"/>
      <w:lang w:eastAsia="en-US"/>
    </w:rPr>
  </w:style>
  <w:style w:type="character" w:styleId="EndnoteReference">
    <w:name w:val="endnote reference"/>
    <w:basedOn w:val="DefaultParagraphFont"/>
    <w:uiPriority w:val="99"/>
    <w:semiHidden/>
    <w:unhideWhenUsed/>
    <w:rsid w:val="00FF563D"/>
    <w:rPr>
      <w:vertAlign w:val="superscript"/>
    </w:rPr>
  </w:style>
  <w:style w:type="table" w:styleId="TableGrid">
    <w:name w:val="Table Grid"/>
    <w:basedOn w:val="TableNormal"/>
    <w:uiPriority w:val="59"/>
    <w:rsid w:val="0003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F48"/>
    <w:rPr>
      <w:color w:val="0563C1" w:themeColor="hyperlink"/>
      <w:u w:val="single"/>
    </w:rPr>
  </w:style>
  <w:style w:type="character" w:customStyle="1" w:styleId="UnresolvedMention">
    <w:name w:val="Unresolved Mention"/>
    <w:basedOn w:val="DefaultParagraphFont"/>
    <w:uiPriority w:val="99"/>
    <w:semiHidden/>
    <w:unhideWhenUsed/>
    <w:rsid w:val="008E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9925">
      <w:bodyDiv w:val="1"/>
      <w:marLeft w:val="0"/>
      <w:marRight w:val="0"/>
      <w:marTop w:val="0"/>
      <w:marBottom w:val="0"/>
      <w:divBdr>
        <w:top w:val="none" w:sz="0" w:space="0" w:color="auto"/>
        <w:left w:val="none" w:sz="0" w:space="0" w:color="auto"/>
        <w:bottom w:val="none" w:sz="0" w:space="0" w:color="auto"/>
        <w:right w:val="none" w:sz="0" w:space="0" w:color="auto"/>
      </w:divBdr>
    </w:div>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374036495">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632860722">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7976-F455-4912-B519-0D29438C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cp:lastModifiedBy>Mary Bruce</cp:lastModifiedBy>
  <cp:revision>3</cp:revision>
  <cp:lastPrinted>2023-11-03T11:16:00Z</cp:lastPrinted>
  <dcterms:created xsi:type="dcterms:W3CDTF">2023-11-13T05:02:00Z</dcterms:created>
  <dcterms:modified xsi:type="dcterms:W3CDTF">2023-11-13T08:48:00Z</dcterms:modified>
</cp:coreProperties>
</file>