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917FE" w14:textId="77777777" w:rsidR="0044558B" w:rsidRPr="0044558B" w:rsidRDefault="0044558B" w:rsidP="0044558B">
      <w:pPr>
        <w:spacing w:line="360" w:lineRule="auto"/>
        <w:contextualSpacing/>
        <w:jc w:val="center"/>
        <w:rPr>
          <w:rFonts w:ascii="Arial" w:hAnsi="Arial" w:cs="Arial"/>
          <w:b/>
        </w:rPr>
      </w:pPr>
      <w:r w:rsidRPr="0044558B">
        <w:rPr>
          <w:rFonts w:ascii="Arial" w:eastAsia="Calibri" w:hAnsi="Arial" w:cs="Arial"/>
          <w:noProof/>
          <w:lang w:val="en-GB" w:bidi="ar-SA"/>
        </w:rPr>
        <w:drawing>
          <wp:inline distT="0" distB="0" distL="0" distR="0" wp14:anchorId="36531175" wp14:editId="2BD17678">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330A2F62" w14:textId="77777777" w:rsidR="0044558B" w:rsidRPr="0044558B" w:rsidRDefault="0044558B" w:rsidP="0044558B">
      <w:pPr>
        <w:spacing w:line="360" w:lineRule="auto"/>
        <w:contextualSpacing/>
        <w:jc w:val="center"/>
        <w:rPr>
          <w:rFonts w:ascii="Arial" w:hAnsi="Arial" w:cs="Arial"/>
          <w:b/>
        </w:rPr>
      </w:pPr>
      <w:r w:rsidRPr="0044558B">
        <w:rPr>
          <w:rFonts w:ascii="Arial" w:hAnsi="Arial" w:cs="Arial"/>
          <w:b/>
        </w:rPr>
        <w:t>IN THE HIGH COURT OF SOUTH AFRICA</w:t>
      </w:r>
    </w:p>
    <w:p w14:paraId="28C8A0B7" w14:textId="77777777" w:rsidR="0044558B" w:rsidRPr="0044558B" w:rsidRDefault="0044558B" w:rsidP="0044558B">
      <w:pPr>
        <w:spacing w:line="360" w:lineRule="auto"/>
        <w:contextualSpacing/>
        <w:jc w:val="center"/>
        <w:rPr>
          <w:rFonts w:ascii="Arial" w:hAnsi="Arial" w:cs="Arial"/>
          <w:b/>
        </w:rPr>
      </w:pPr>
      <w:r w:rsidRPr="0044558B">
        <w:rPr>
          <w:rFonts w:ascii="Arial" w:hAnsi="Arial" w:cs="Arial"/>
          <w:b/>
        </w:rPr>
        <w:t>KWAZULU-NATAL DIVISION, PIETERMARITZBURG</w:t>
      </w:r>
    </w:p>
    <w:p w14:paraId="33CA455A" w14:textId="77777777" w:rsidR="0044558B" w:rsidRPr="0044558B" w:rsidRDefault="0044558B" w:rsidP="0044558B">
      <w:pPr>
        <w:spacing w:line="360" w:lineRule="auto"/>
        <w:contextualSpacing/>
        <w:jc w:val="center"/>
        <w:rPr>
          <w:rFonts w:ascii="Arial" w:hAnsi="Arial" w:cs="Arial"/>
        </w:rPr>
      </w:pPr>
    </w:p>
    <w:p w14:paraId="71D3625D" w14:textId="77777777" w:rsidR="0044558B" w:rsidRPr="0044558B" w:rsidRDefault="0044558B" w:rsidP="0044558B">
      <w:pPr>
        <w:spacing w:line="360" w:lineRule="auto"/>
        <w:contextualSpacing/>
        <w:jc w:val="right"/>
        <w:rPr>
          <w:rFonts w:ascii="Arial" w:hAnsi="Arial" w:cs="Arial"/>
        </w:rPr>
      </w:pPr>
      <w:r w:rsidRPr="0044558B">
        <w:rPr>
          <w:rFonts w:ascii="Arial" w:hAnsi="Arial" w:cs="Arial"/>
        </w:rPr>
        <w:t xml:space="preserve">Case no: </w:t>
      </w:r>
      <w:r w:rsidR="00C80F1C">
        <w:rPr>
          <w:rFonts w:ascii="Arial" w:hAnsi="Arial" w:cs="Arial"/>
          <w:b/>
        </w:rPr>
        <w:t>7630/2013</w:t>
      </w:r>
      <w:r w:rsidRPr="0044558B">
        <w:rPr>
          <w:rFonts w:ascii="Arial" w:hAnsi="Arial" w:cs="Arial"/>
          <w:b/>
        </w:rPr>
        <w:t>P</w:t>
      </w:r>
    </w:p>
    <w:p w14:paraId="55716D5D" w14:textId="77777777" w:rsidR="0044558B" w:rsidRPr="0044558B" w:rsidRDefault="0044558B" w:rsidP="0044558B">
      <w:pPr>
        <w:tabs>
          <w:tab w:val="right" w:pos="8789"/>
        </w:tabs>
        <w:spacing w:line="360" w:lineRule="auto"/>
        <w:contextualSpacing/>
        <w:jc w:val="both"/>
        <w:rPr>
          <w:rFonts w:ascii="Arial" w:hAnsi="Arial" w:cs="Arial"/>
        </w:rPr>
      </w:pPr>
      <w:r w:rsidRPr="0044558B">
        <w:rPr>
          <w:rFonts w:ascii="Arial" w:hAnsi="Arial" w:cs="Arial"/>
        </w:rPr>
        <w:t>In the matter between:</w:t>
      </w:r>
    </w:p>
    <w:p w14:paraId="7B7D720E" w14:textId="77777777" w:rsidR="0044558B" w:rsidRPr="0044558B" w:rsidRDefault="0044558B" w:rsidP="0044558B">
      <w:pPr>
        <w:tabs>
          <w:tab w:val="right" w:pos="9072"/>
        </w:tabs>
        <w:spacing w:line="360" w:lineRule="auto"/>
        <w:contextualSpacing/>
        <w:jc w:val="both"/>
        <w:rPr>
          <w:rFonts w:ascii="Arial" w:hAnsi="Arial" w:cs="Arial"/>
          <w:b/>
          <w:bCs/>
        </w:rPr>
      </w:pPr>
    </w:p>
    <w:p w14:paraId="168D8B29" w14:textId="77777777" w:rsidR="0044558B" w:rsidRPr="0044558B" w:rsidRDefault="00C80F1C" w:rsidP="0044558B">
      <w:pPr>
        <w:tabs>
          <w:tab w:val="right" w:pos="9072"/>
        </w:tabs>
        <w:spacing w:line="360" w:lineRule="auto"/>
        <w:contextualSpacing/>
        <w:jc w:val="both"/>
        <w:rPr>
          <w:rFonts w:ascii="Arial" w:hAnsi="Arial" w:cs="Arial"/>
          <w:b/>
          <w:bCs/>
        </w:rPr>
      </w:pPr>
      <w:r>
        <w:rPr>
          <w:rFonts w:ascii="Arial" w:hAnsi="Arial" w:cs="Arial"/>
          <w:b/>
          <w:bCs/>
        </w:rPr>
        <w:t>A</w:t>
      </w:r>
      <w:r w:rsidR="003D3AEE">
        <w:rPr>
          <w:rFonts w:ascii="Arial" w:hAnsi="Arial" w:cs="Arial"/>
          <w:b/>
          <w:bCs/>
        </w:rPr>
        <w:t>[…]</w:t>
      </w:r>
      <w:r>
        <w:rPr>
          <w:rFonts w:ascii="Arial" w:hAnsi="Arial" w:cs="Arial"/>
          <w:b/>
          <w:bCs/>
        </w:rPr>
        <w:t xml:space="preserve"> S</w:t>
      </w:r>
      <w:r w:rsidR="003D3AEE">
        <w:rPr>
          <w:rFonts w:ascii="Arial" w:hAnsi="Arial" w:cs="Arial"/>
          <w:b/>
          <w:bCs/>
        </w:rPr>
        <w:t>[</w:t>
      </w:r>
      <w:r w:rsidR="006D0823">
        <w:rPr>
          <w:rFonts w:ascii="Arial" w:hAnsi="Arial" w:cs="Arial"/>
          <w:b/>
          <w:bCs/>
        </w:rPr>
        <w:t>..</w:t>
      </w:r>
      <w:r w:rsidR="003D3AEE">
        <w:rPr>
          <w:rFonts w:ascii="Arial" w:hAnsi="Arial" w:cs="Arial"/>
          <w:b/>
          <w:bCs/>
        </w:rPr>
        <w:t>.]</w:t>
      </w:r>
      <w:r w:rsidR="0077303E">
        <w:rPr>
          <w:rFonts w:ascii="Arial" w:hAnsi="Arial" w:cs="Arial"/>
          <w:b/>
          <w:bCs/>
        </w:rPr>
        <w:tab/>
      </w:r>
      <w:r>
        <w:rPr>
          <w:rFonts w:ascii="Arial" w:hAnsi="Arial" w:cs="Arial"/>
          <w:b/>
          <w:bCs/>
        </w:rPr>
        <w:t>PLAINTIFF</w:t>
      </w:r>
    </w:p>
    <w:p w14:paraId="4F2051FA" w14:textId="77777777" w:rsidR="0044558B" w:rsidRPr="0044558B" w:rsidRDefault="0044558B" w:rsidP="0044558B">
      <w:pPr>
        <w:tabs>
          <w:tab w:val="right" w:pos="9072"/>
        </w:tabs>
        <w:spacing w:line="360" w:lineRule="auto"/>
        <w:contextualSpacing/>
        <w:jc w:val="both"/>
        <w:rPr>
          <w:rFonts w:ascii="Arial" w:hAnsi="Arial" w:cs="Arial"/>
          <w:b/>
          <w:bCs/>
        </w:rPr>
      </w:pPr>
    </w:p>
    <w:p w14:paraId="25F5B27F" w14:textId="77777777" w:rsidR="0044558B" w:rsidRPr="0044558B" w:rsidRDefault="0044558B" w:rsidP="0044558B">
      <w:pPr>
        <w:tabs>
          <w:tab w:val="right" w:pos="9072"/>
        </w:tabs>
        <w:spacing w:line="360" w:lineRule="auto"/>
        <w:contextualSpacing/>
        <w:jc w:val="both"/>
        <w:rPr>
          <w:rFonts w:ascii="Arial" w:hAnsi="Arial" w:cs="Arial"/>
          <w:bCs/>
        </w:rPr>
      </w:pPr>
      <w:r w:rsidRPr="0044558B">
        <w:rPr>
          <w:rFonts w:ascii="Arial" w:hAnsi="Arial" w:cs="Arial"/>
          <w:bCs/>
        </w:rPr>
        <w:t>and</w:t>
      </w:r>
    </w:p>
    <w:p w14:paraId="5DCD8156" w14:textId="77777777" w:rsidR="0044558B" w:rsidRPr="0044558B" w:rsidRDefault="0044558B" w:rsidP="0044558B">
      <w:pPr>
        <w:tabs>
          <w:tab w:val="right" w:pos="9072"/>
        </w:tabs>
        <w:spacing w:line="360" w:lineRule="auto"/>
        <w:contextualSpacing/>
        <w:jc w:val="both"/>
        <w:rPr>
          <w:rFonts w:ascii="Arial" w:hAnsi="Arial" w:cs="Arial"/>
          <w:b/>
        </w:rPr>
      </w:pPr>
    </w:p>
    <w:p w14:paraId="2FE799DC" w14:textId="77777777" w:rsidR="0044558B" w:rsidRDefault="00C80F1C" w:rsidP="0044558B">
      <w:pPr>
        <w:tabs>
          <w:tab w:val="right" w:pos="9072"/>
        </w:tabs>
        <w:spacing w:line="360" w:lineRule="auto"/>
        <w:contextualSpacing/>
        <w:jc w:val="both"/>
        <w:rPr>
          <w:rFonts w:ascii="Arial" w:hAnsi="Arial" w:cs="Arial"/>
          <w:b/>
        </w:rPr>
      </w:pPr>
      <w:r>
        <w:rPr>
          <w:rFonts w:ascii="Arial" w:hAnsi="Arial" w:cs="Arial"/>
          <w:b/>
        </w:rPr>
        <w:t>MEMBER OF THE EXECUTIVE COUNCIL FOR THE</w:t>
      </w:r>
      <w:r w:rsidR="0077303E">
        <w:rPr>
          <w:rFonts w:ascii="Arial" w:hAnsi="Arial" w:cs="Arial"/>
          <w:b/>
        </w:rPr>
        <w:t xml:space="preserve"> </w:t>
      </w:r>
      <w:r w:rsidR="0044558B" w:rsidRPr="0044558B">
        <w:rPr>
          <w:rFonts w:ascii="Arial" w:hAnsi="Arial" w:cs="Arial"/>
          <w:b/>
        </w:rPr>
        <w:tab/>
      </w:r>
      <w:r>
        <w:rPr>
          <w:rFonts w:ascii="Arial" w:hAnsi="Arial" w:cs="Arial"/>
          <w:b/>
        </w:rPr>
        <w:t>DEFENDANT</w:t>
      </w:r>
    </w:p>
    <w:p w14:paraId="630649B0" w14:textId="77777777" w:rsidR="0077303E" w:rsidRPr="0044558B" w:rsidRDefault="00C80F1C" w:rsidP="00C80F1C">
      <w:pPr>
        <w:tabs>
          <w:tab w:val="right" w:pos="9072"/>
        </w:tabs>
        <w:spacing w:line="360" w:lineRule="auto"/>
        <w:contextualSpacing/>
        <w:jc w:val="both"/>
        <w:rPr>
          <w:rFonts w:ascii="Arial" w:hAnsi="Arial" w:cs="Arial"/>
          <w:b/>
        </w:rPr>
      </w:pPr>
      <w:r>
        <w:rPr>
          <w:rFonts w:ascii="Arial" w:hAnsi="Arial" w:cs="Arial"/>
          <w:b/>
        </w:rPr>
        <w:t>DEPARTMENT OF HEALTH KWAZULU-NATAL</w:t>
      </w:r>
    </w:p>
    <w:p w14:paraId="0345CAB2" w14:textId="77777777" w:rsidR="0044558B" w:rsidRPr="0044558B" w:rsidRDefault="0044558B" w:rsidP="0044558B">
      <w:pPr>
        <w:pBdr>
          <w:bottom w:val="single" w:sz="12" w:space="0" w:color="auto"/>
        </w:pBdr>
        <w:tabs>
          <w:tab w:val="right" w:pos="9026"/>
        </w:tabs>
        <w:spacing w:line="360" w:lineRule="auto"/>
        <w:jc w:val="both"/>
        <w:rPr>
          <w:rFonts w:ascii="Arial" w:hAnsi="Arial" w:cs="Arial"/>
          <w:b/>
          <w:bCs/>
        </w:rPr>
      </w:pPr>
    </w:p>
    <w:p w14:paraId="277DB567" w14:textId="77777777" w:rsidR="0044558B" w:rsidRDefault="0044558B" w:rsidP="0044558B">
      <w:pPr>
        <w:spacing w:line="360" w:lineRule="auto"/>
        <w:jc w:val="both"/>
        <w:rPr>
          <w:rFonts w:ascii="Arial" w:hAnsi="Arial" w:cs="Arial"/>
          <w:bCs/>
        </w:rPr>
      </w:pPr>
    </w:p>
    <w:p w14:paraId="1CA506BD" w14:textId="77777777" w:rsidR="0044558B" w:rsidRPr="0044558B" w:rsidRDefault="0044558B" w:rsidP="0044558B">
      <w:pPr>
        <w:spacing w:line="360" w:lineRule="auto"/>
        <w:jc w:val="both"/>
        <w:rPr>
          <w:rFonts w:ascii="Arial" w:hAnsi="Arial" w:cs="Arial"/>
          <w:bCs/>
        </w:rPr>
      </w:pPr>
      <w:r w:rsidRPr="007C35F7">
        <w:rPr>
          <w:rFonts w:ascii="Arial" w:hAnsi="Arial" w:cs="Arial"/>
          <w:b/>
        </w:rPr>
        <w:t>Coram</w:t>
      </w:r>
      <w:r w:rsidRPr="0044558B">
        <w:rPr>
          <w:rFonts w:ascii="Arial" w:hAnsi="Arial" w:cs="Arial"/>
          <w:bCs/>
        </w:rPr>
        <w:t>:</w:t>
      </w:r>
      <w:r w:rsidRPr="0044558B">
        <w:rPr>
          <w:rFonts w:ascii="Arial" w:hAnsi="Arial" w:cs="Arial"/>
          <w:bCs/>
        </w:rPr>
        <w:tab/>
        <w:t xml:space="preserve">Mossop J </w:t>
      </w:r>
    </w:p>
    <w:p w14:paraId="020054BC" w14:textId="77777777" w:rsidR="0044558B" w:rsidRPr="0044558B" w:rsidRDefault="0044558B" w:rsidP="0044558B">
      <w:pPr>
        <w:spacing w:line="360" w:lineRule="auto"/>
        <w:jc w:val="both"/>
        <w:rPr>
          <w:rFonts w:ascii="Arial" w:hAnsi="Arial" w:cs="Arial"/>
          <w:bCs/>
        </w:rPr>
      </w:pPr>
      <w:r w:rsidRPr="007C35F7">
        <w:rPr>
          <w:rFonts w:ascii="Arial" w:hAnsi="Arial" w:cs="Arial"/>
          <w:b/>
        </w:rPr>
        <w:t>Heard</w:t>
      </w:r>
      <w:r w:rsidRPr="0044558B">
        <w:rPr>
          <w:rFonts w:ascii="Arial" w:hAnsi="Arial" w:cs="Arial"/>
          <w:bCs/>
        </w:rPr>
        <w:t>:</w:t>
      </w:r>
      <w:r w:rsidRPr="0044558B">
        <w:rPr>
          <w:rFonts w:ascii="Arial" w:hAnsi="Arial" w:cs="Arial"/>
          <w:bCs/>
        </w:rPr>
        <w:tab/>
      </w:r>
      <w:r w:rsidR="00440567">
        <w:rPr>
          <w:rFonts w:ascii="Arial" w:hAnsi="Arial" w:cs="Arial"/>
          <w:bCs/>
        </w:rPr>
        <w:t xml:space="preserve">17 </w:t>
      </w:r>
      <w:r w:rsidRPr="0044558B">
        <w:rPr>
          <w:rFonts w:ascii="Arial" w:hAnsi="Arial" w:cs="Arial"/>
          <w:bCs/>
        </w:rPr>
        <w:t>November 2023</w:t>
      </w:r>
    </w:p>
    <w:p w14:paraId="61BF5C21" w14:textId="77777777" w:rsidR="0044558B" w:rsidRDefault="0044558B" w:rsidP="0044558B">
      <w:pPr>
        <w:pBdr>
          <w:bottom w:val="single" w:sz="12" w:space="1" w:color="auto"/>
        </w:pBdr>
        <w:spacing w:line="360" w:lineRule="auto"/>
        <w:jc w:val="both"/>
        <w:rPr>
          <w:rFonts w:ascii="Arial" w:hAnsi="Arial" w:cs="Arial"/>
          <w:bCs/>
        </w:rPr>
      </w:pPr>
      <w:r w:rsidRPr="007C35F7">
        <w:rPr>
          <w:rFonts w:ascii="Arial" w:hAnsi="Arial" w:cs="Arial"/>
          <w:b/>
        </w:rPr>
        <w:t>Delivered</w:t>
      </w:r>
      <w:r w:rsidRPr="0044558B">
        <w:rPr>
          <w:rFonts w:ascii="Arial" w:hAnsi="Arial" w:cs="Arial"/>
          <w:bCs/>
        </w:rPr>
        <w:t>:</w:t>
      </w:r>
      <w:r w:rsidRPr="0044558B">
        <w:rPr>
          <w:rFonts w:ascii="Arial" w:hAnsi="Arial" w:cs="Arial"/>
          <w:bCs/>
        </w:rPr>
        <w:tab/>
      </w:r>
      <w:r w:rsidR="0024587C">
        <w:rPr>
          <w:rFonts w:ascii="Arial" w:hAnsi="Arial" w:cs="Arial"/>
          <w:bCs/>
        </w:rPr>
        <w:t xml:space="preserve">28 </w:t>
      </w:r>
      <w:r w:rsidRPr="0044558B">
        <w:rPr>
          <w:rFonts w:ascii="Arial" w:hAnsi="Arial" w:cs="Arial"/>
          <w:bCs/>
        </w:rPr>
        <w:t>November 2023</w:t>
      </w:r>
    </w:p>
    <w:p w14:paraId="053E41CD" w14:textId="77777777" w:rsidR="0044558B" w:rsidRPr="0044558B" w:rsidRDefault="0044558B" w:rsidP="0044558B">
      <w:pPr>
        <w:pBdr>
          <w:bottom w:val="single" w:sz="12" w:space="1" w:color="auto"/>
        </w:pBdr>
        <w:jc w:val="both"/>
        <w:rPr>
          <w:rFonts w:ascii="Arial" w:hAnsi="Arial" w:cs="Arial"/>
          <w:bCs/>
        </w:rPr>
      </w:pPr>
    </w:p>
    <w:p w14:paraId="406EF77E" w14:textId="77777777" w:rsidR="0044558B" w:rsidRPr="0044558B" w:rsidRDefault="0044558B" w:rsidP="0044558B">
      <w:pPr>
        <w:rPr>
          <w:rFonts w:ascii="Arial" w:hAnsi="Arial" w:cs="Arial"/>
        </w:rPr>
      </w:pPr>
    </w:p>
    <w:p w14:paraId="7C196214" w14:textId="77777777" w:rsidR="0044558B" w:rsidRPr="0044558B" w:rsidRDefault="0044558B" w:rsidP="0044558B">
      <w:pPr>
        <w:jc w:val="center"/>
        <w:rPr>
          <w:rFonts w:ascii="Arial" w:hAnsi="Arial" w:cs="Arial"/>
          <w:b/>
        </w:rPr>
      </w:pPr>
      <w:r w:rsidRPr="0044558B">
        <w:rPr>
          <w:rFonts w:ascii="Arial" w:hAnsi="Arial" w:cs="Arial"/>
          <w:b/>
        </w:rPr>
        <w:t>ORDER</w:t>
      </w:r>
    </w:p>
    <w:p w14:paraId="74D49A24" w14:textId="77777777" w:rsidR="0044558B" w:rsidRPr="0044558B" w:rsidRDefault="0044558B" w:rsidP="0044558B">
      <w:pPr>
        <w:pBdr>
          <w:bottom w:val="single" w:sz="12" w:space="1" w:color="auto"/>
        </w:pBdr>
        <w:jc w:val="both"/>
        <w:rPr>
          <w:rFonts w:ascii="Arial" w:hAnsi="Arial" w:cs="Arial"/>
          <w:bCs/>
        </w:rPr>
      </w:pPr>
    </w:p>
    <w:p w14:paraId="1B2A411B" w14:textId="77777777" w:rsidR="0044558B" w:rsidRPr="0044558B" w:rsidRDefault="0044558B" w:rsidP="0044558B">
      <w:pPr>
        <w:rPr>
          <w:rFonts w:ascii="Arial" w:hAnsi="Arial" w:cs="Arial"/>
        </w:rPr>
      </w:pPr>
    </w:p>
    <w:p w14:paraId="3F105D2F" w14:textId="77777777" w:rsidR="00C80F1C" w:rsidRDefault="00C80F1C" w:rsidP="00C80F1C">
      <w:pPr>
        <w:jc w:val="both"/>
        <w:rPr>
          <w:rFonts w:ascii="Arial" w:hAnsi="Arial" w:cs="Arial"/>
          <w:b/>
        </w:rPr>
      </w:pPr>
    </w:p>
    <w:p w14:paraId="71D3ACA3" w14:textId="77777777" w:rsidR="0067373E" w:rsidRDefault="009E24C1" w:rsidP="0067373E">
      <w:pPr>
        <w:spacing w:line="360" w:lineRule="auto"/>
        <w:jc w:val="both"/>
        <w:rPr>
          <w:rFonts w:ascii="Arial" w:hAnsi="Arial" w:cs="Arial"/>
          <w:bCs/>
        </w:rPr>
      </w:pPr>
      <w:r w:rsidRPr="009E24C1">
        <w:rPr>
          <w:rFonts w:ascii="Arial" w:hAnsi="Arial" w:cs="Arial"/>
          <w:b/>
        </w:rPr>
        <w:t>The following order is granted</w:t>
      </w:r>
      <w:r>
        <w:rPr>
          <w:rFonts w:ascii="Arial" w:hAnsi="Arial" w:cs="Arial"/>
          <w:bCs/>
        </w:rPr>
        <w:t>:</w:t>
      </w:r>
    </w:p>
    <w:p w14:paraId="6092DDE0" w14:textId="77777777" w:rsidR="000651C4" w:rsidRPr="00122E63" w:rsidRDefault="000651C4" w:rsidP="000651C4">
      <w:pPr>
        <w:pStyle w:val="ListParagraph"/>
        <w:numPr>
          <w:ilvl w:val="0"/>
          <w:numId w:val="14"/>
        </w:numPr>
        <w:tabs>
          <w:tab w:val="left" w:pos="709"/>
        </w:tabs>
        <w:spacing w:line="360" w:lineRule="auto"/>
        <w:ind w:left="0" w:firstLine="0"/>
        <w:jc w:val="both"/>
        <w:rPr>
          <w:rFonts w:ascii="Arial" w:hAnsi="Arial" w:cs="Arial"/>
        </w:rPr>
      </w:pPr>
      <w:r w:rsidRPr="00122E63">
        <w:rPr>
          <w:rFonts w:ascii="Arial" w:hAnsi="Arial" w:cs="Arial"/>
          <w:bCs/>
        </w:rPr>
        <w:t xml:space="preserve">The plaintiff’s application to amend her particulars of claim by the insertion of </w:t>
      </w:r>
      <w:r w:rsidRPr="00122E63">
        <w:rPr>
          <w:rFonts w:ascii="Arial" w:hAnsi="Arial" w:cs="Arial"/>
        </w:rPr>
        <w:t>paragraph 16B and paragraphs 17.3.1 to 17.3.5</w:t>
      </w:r>
      <w:r>
        <w:rPr>
          <w:rFonts w:ascii="Arial" w:hAnsi="Arial" w:cs="Arial"/>
        </w:rPr>
        <w:t>,</w:t>
      </w:r>
      <w:r w:rsidRPr="00122E63">
        <w:rPr>
          <w:rFonts w:ascii="Arial" w:hAnsi="Arial" w:cs="Arial"/>
        </w:rPr>
        <w:t xml:space="preserve"> </w:t>
      </w:r>
      <w:r>
        <w:rPr>
          <w:rFonts w:ascii="Arial" w:hAnsi="Arial" w:cs="Arial"/>
        </w:rPr>
        <w:t>as detailed in her</w:t>
      </w:r>
      <w:r w:rsidRPr="00122E63">
        <w:rPr>
          <w:rFonts w:ascii="Arial" w:hAnsi="Arial" w:cs="Arial"/>
        </w:rPr>
        <w:t xml:space="preserve"> notice of intention to amend dated </w:t>
      </w:r>
      <w:r>
        <w:rPr>
          <w:rFonts w:ascii="Arial" w:hAnsi="Arial" w:cs="Arial"/>
        </w:rPr>
        <w:t>16 January 2023,</w:t>
      </w:r>
      <w:r w:rsidRPr="00122E63">
        <w:rPr>
          <w:rFonts w:ascii="Arial" w:hAnsi="Arial" w:cs="Arial"/>
        </w:rPr>
        <w:t xml:space="preserve"> is refused.</w:t>
      </w:r>
    </w:p>
    <w:p w14:paraId="7D56D388" w14:textId="77777777" w:rsidR="00FC5990" w:rsidRPr="00FC5990" w:rsidRDefault="00FC5990" w:rsidP="00FC5990">
      <w:pPr>
        <w:pStyle w:val="ListParagraph"/>
        <w:numPr>
          <w:ilvl w:val="0"/>
          <w:numId w:val="14"/>
        </w:numPr>
        <w:tabs>
          <w:tab w:val="left" w:pos="709"/>
        </w:tabs>
        <w:spacing w:line="360" w:lineRule="auto"/>
        <w:ind w:left="0" w:firstLine="0"/>
        <w:jc w:val="both"/>
        <w:rPr>
          <w:rFonts w:ascii="Arial" w:hAnsi="Arial" w:cs="Arial"/>
          <w:bCs/>
        </w:rPr>
      </w:pPr>
      <w:r w:rsidRPr="00FC5990">
        <w:rPr>
          <w:rFonts w:ascii="Arial" w:hAnsi="Arial" w:cs="Arial"/>
          <w:bCs/>
        </w:rPr>
        <w:t>The costs of the application are to be paid by the plaintiff but such costs may only be taxed after delivery of the final judgment in the trial.</w:t>
      </w:r>
    </w:p>
    <w:p w14:paraId="06FDFD99" w14:textId="77777777" w:rsidR="0044558B" w:rsidRDefault="0044558B" w:rsidP="0044558B">
      <w:pPr>
        <w:rPr>
          <w:rFonts w:ascii="Arial" w:hAnsi="Arial" w:cs="Arial"/>
        </w:rPr>
      </w:pPr>
    </w:p>
    <w:p w14:paraId="58F68D5A" w14:textId="77777777" w:rsidR="00FC5990" w:rsidRDefault="00FC5990" w:rsidP="0044558B">
      <w:pPr>
        <w:rPr>
          <w:rFonts w:ascii="Arial" w:hAnsi="Arial" w:cs="Arial"/>
        </w:rPr>
      </w:pPr>
    </w:p>
    <w:p w14:paraId="0599AD6F" w14:textId="77777777" w:rsidR="00FC5990" w:rsidRDefault="00FC5990" w:rsidP="0044558B">
      <w:pPr>
        <w:rPr>
          <w:rFonts w:ascii="Arial" w:hAnsi="Arial" w:cs="Arial"/>
        </w:rPr>
      </w:pPr>
    </w:p>
    <w:p w14:paraId="739F38D6" w14:textId="77777777" w:rsidR="00FC5990" w:rsidRPr="0044558B" w:rsidRDefault="00FC5990" w:rsidP="00FC5990">
      <w:pPr>
        <w:pBdr>
          <w:bottom w:val="single" w:sz="12" w:space="1" w:color="auto"/>
        </w:pBdr>
        <w:jc w:val="both"/>
        <w:rPr>
          <w:rFonts w:ascii="Arial" w:hAnsi="Arial" w:cs="Arial"/>
          <w:bCs/>
        </w:rPr>
      </w:pPr>
    </w:p>
    <w:p w14:paraId="3E546ED1" w14:textId="77777777" w:rsidR="00FC5990" w:rsidRDefault="00FC5990" w:rsidP="0024587C">
      <w:pPr>
        <w:pStyle w:val="ListParagraph"/>
        <w:ind w:left="0"/>
        <w:jc w:val="both"/>
        <w:rPr>
          <w:rFonts w:ascii="Arial" w:hAnsi="Arial" w:cs="Arial"/>
          <w:bCs/>
        </w:rPr>
      </w:pPr>
    </w:p>
    <w:p w14:paraId="482C122E" w14:textId="77777777" w:rsidR="0044558B" w:rsidRPr="0044558B" w:rsidRDefault="0044558B" w:rsidP="0024587C">
      <w:pPr>
        <w:jc w:val="center"/>
        <w:rPr>
          <w:rFonts w:ascii="Arial" w:hAnsi="Arial" w:cs="Arial"/>
          <w:b/>
        </w:rPr>
      </w:pPr>
      <w:r>
        <w:rPr>
          <w:rFonts w:ascii="Arial" w:hAnsi="Arial" w:cs="Arial"/>
          <w:b/>
        </w:rPr>
        <w:t>JUDGMENT</w:t>
      </w:r>
    </w:p>
    <w:p w14:paraId="5DC248C6" w14:textId="77777777" w:rsidR="0044558B" w:rsidRPr="0044558B" w:rsidRDefault="0044558B" w:rsidP="0024587C">
      <w:pPr>
        <w:pBdr>
          <w:bottom w:val="single" w:sz="12" w:space="1" w:color="auto"/>
        </w:pBdr>
        <w:jc w:val="both"/>
        <w:rPr>
          <w:rFonts w:ascii="Arial" w:hAnsi="Arial" w:cs="Arial"/>
          <w:bCs/>
        </w:rPr>
      </w:pPr>
    </w:p>
    <w:p w14:paraId="016EBA83" w14:textId="77777777" w:rsidR="0044558B" w:rsidRDefault="0044558B" w:rsidP="0024587C">
      <w:pPr>
        <w:pStyle w:val="ListParagraph"/>
        <w:ind w:left="0"/>
        <w:jc w:val="both"/>
        <w:rPr>
          <w:rFonts w:ascii="Arial" w:hAnsi="Arial" w:cs="Arial"/>
          <w:bCs/>
        </w:rPr>
      </w:pPr>
    </w:p>
    <w:p w14:paraId="0FF5DA42" w14:textId="77777777" w:rsidR="0044558B" w:rsidRDefault="0044558B" w:rsidP="0044558B">
      <w:pPr>
        <w:pStyle w:val="ListParagraph"/>
        <w:spacing w:line="360" w:lineRule="auto"/>
        <w:ind w:left="0"/>
        <w:jc w:val="both"/>
        <w:rPr>
          <w:rFonts w:ascii="Arial" w:hAnsi="Arial" w:cs="Arial"/>
          <w:bCs/>
        </w:rPr>
      </w:pPr>
      <w:r w:rsidRPr="0044558B">
        <w:rPr>
          <w:rFonts w:ascii="Arial" w:hAnsi="Arial" w:cs="Arial"/>
          <w:b/>
          <w:bCs/>
        </w:rPr>
        <w:t>MOSSOP J</w:t>
      </w:r>
      <w:r>
        <w:rPr>
          <w:rFonts w:ascii="Arial" w:hAnsi="Arial" w:cs="Arial"/>
          <w:bCs/>
        </w:rPr>
        <w:t>:</w:t>
      </w:r>
    </w:p>
    <w:p w14:paraId="65C2BEF6" w14:textId="77777777" w:rsidR="00E24440" w:rsidRDefault="00E24440" w:rsidP="00890F6D">
      <w:pPr>
        <w:pStyle w:val="ListParagraph"/>
        <w:spacing w:line="360" w:lineRule="auto"/>
        <w:ind w:left="0"/>
        <w:jc w:val="both"/>
        <w:rPr>
          <w:rFonts w:ascii="Arial" w:hAnsi="Arial" w:cs="Arial"/>
          <w:bCs/>
        </w:rPr>
      </w:pPr>
    </w:p>
    <w:p w14:paraId="7B24D66B" w14:textId="77777777" w:rsidR="007F7CD9" w:rsidRPr="00077BD6" w:rsidRDefault="001446C1" w:rsidP="008046CD">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bCs/>
        </w:rPr>
        <w:t>During</w:t>
      </w:r>
      <w:r w:rsidR="007F7CD9">
        <w:rPr>
          <w:rFonts w:ascii="Arial" w:hAnsi="Arial" w:cs="Arial"/>
          <w:bCs/>
        </w:rPr>
        <w:t xml:space="preserve"> </w:t>
      </w:r>
      <w:r>
        <w:rPr>
          <w:rFonts w:ascii="Arial" w:hAnsi="Arial" w:cs="Arial"/>
          <w:bCs/>
        </w:rPr>
        <w:t>the early evening of 28 December 2010</w:t>
      </w:r>
      <w:r w:rsidR="007F7CD9">
        <w:rPr>
          <w:rFonts w:ascii="Arial" w:hAnsi="Arial" w:cs="Arial"/>
          <w:bCs/>
        </w:rPr>
        <w:t xml:space="preserve">, the plaintiff gave birth to a profoundly disabled </w:t>
      </w:r>
      <w:r w:rsidR="00A06C97">
        <w:rPr>
          <w:rFonts w:ascii="Arial" w:hAnsi="Arial" w:cs="Arial"/>
          <w:bCs/>
        </w:rPr>
        <w:t>boy</w:t>
      </w:r>
      <w:r w:rsidR="007F7CD9">
        <w:rPr>
          <w:rFonts w:ascii="Arial" w:hAnsi="Arial" w:cs="Arial"/>
          <w:bCs/>
        </w:rPr>
        <w:t xml:space="preserve"> </w:t>
      </w:r>
      <w:r w:rsidR="00E32C0E">
        <w:rPr>
          <w:rFonts w:ascii="Arial" w:hAnsi="Arial" w:cs="Arial"/>
          <w:bCs/>
        </w:rPr>
        <w:t xml:space="preserve">(the minor child) </w:t>
      </w:r>
      <w:r w:rsidR="007F7CD9">
        <w:rPr>
          <w:rFonts w:ascii="Arial" w:hAnsi="Arial" w:cs="Arial"/>
          <w:bCs/>
        </w:rPr>
        <w:t xml:space="preserve">at the East Griqualand </w:t>
      </w:r>
      <w:r>
        <w:rPr>
          <w:rFonts w:ascii="Arial" w:hAnsi="Arial" w:cs="Arial"/>
          <w:bCs/>
        </w:rPr>
        <w:t xml:space="preserve">and </w:t>
      </w:r>
      <w:r w:rsidR="007F7CD9">
        <w:rPr>
          <w:rFonts w:ascii="Arial" w:hAnsi="Arial" w:cs="Arial"/>
          <w:bCs/>
        </w:rPr>
        <w:t>Usher</w:t>
      </w:r>
      <w:r>
        <w:rPr>
          <w:rFonts w:ascii="Arial" w:hAnsi="Arial" w:cs="Arial"/>
          <w:bCs/>
        </w:rPr>
        <w:t xml:space="preserve"> Memorial Hospital at Kokstad, KwaZulu-Natal</w:t>
      </w:r>
      <w:r w:rsidR="00382F4A">
        <w:rPr>
          <w:rFonts w:ascii="Arial" w:hAnsi="Arial" w:cs="Arial"/>
          <w:bCs/>
        </w:rPr>
        <w:t xml:space="preserve"> (the hospital)</w:t>
      </w:r>
      <w:r w:rsidR="007F7CD9">
        <w:rPr>
          <w:rFonts w:ascii="Arial" w:hAnsi="Arial" w:cs="Arial"/>
          <w:bCs/>
        </w:rPr>
        <w:t>. The</w:t>
      </w:r>
      <w:r>
        <w:rPr>
          <w:rFonts w:ascii="Arial" w:hAnsi="Arial" w:cs="Arial"/>
          <w:bCs/>
        </w:rPr>
        <w:t xml:space="preserve"> </w:t>
      </w:r>
      <w:r w:rsidR="00261EF4">
        <w:rPr>
          <w:rFonts w:ascii="Arial" w:hAnsi="Arial" w:cs="Arial"/>
          <w:bCs/>
        </w:rPr>
        <w:t>minor child</w:t>
      </w:r>
      <w:r w:rsidR="007F7CD9">
        <w:rPr>
          <w:rFonts w:ascii="Arial" w:hAnsi="Arial" w:cs="Arial"/>
          <w:bCs/>
        </w:rPr>
        <w:t xml:space="preserve"> </w:t>
      </w:r>
      <w:r w:rsidR="00440567">
        <w:rPr>
          <w:rFonts w:ascii="Arial" w:hAnsi="Arial" w:cs="Arial"/>
          <w:bCs/>
        </w:rPr>
        <w:t>has</w:t>
      </w:r>
      <w:r w:rsidR="007F7CD9">
        <w:rPr>
          <w:rFonts w:ascii="Arial" w:hAnsi="Arial" w:cs="Arial"/>
          <w:bCs/>
        </w:rPr>
        <w:t xml:space="preserve"> </w:t>
      </w:r>
      <w:r w:rsidR="007B3DE2">
        <w:rPr>
          <w:rFonts w:ascii="Arial" w:hAnsi="Arial" w:cs="Arial"/>
          <w:bCs/>
        </w:rPr>
        <w:t xml:space="preserve">spastic quadriplegic </w:t>
      </w:r>
      <w:r w:rsidR="007F7CD9">
        <w:rPr>
          <w:rFonts w:ascii="Arial" w:hAnsi="Arial" w:cs="Arial"/>
          <w:bCs/>
        </w:rPr>
        <w:t xml:space="preserve">cerebral palsy. </w:t>
      </w:r>
      <w:r w:rsidR="00967EC4">
        <w:rPr>
          <w:rFonts w:ascii="Arial" w:hAnsi="Arial" w:cs="Arial"/>
          <w:bCs/>
        </w:rPr>
        <w:t>The trial that I am presently hearing arises from an action instituted by t</w:t>
      </w:r>
      <w:r w:rsidR="007F7CD9">
        <w:rPr>
          <w:rFonts w:ascii="Arial" w:hAnsi="Arial" w:cs="Arial"/>
          <w:bCs/>
        </w:rPr>
        <w:t xml:space="preserve">he plaintiff against the defendant </w:t>
      </w:r>
      <w:r w:rsidR="00967EC4">
        <w:rPr>
          <w:rFonts w:ascii="Arial" w:hAnsi="Arial" w:cs="Arial"/>
          <w:bCs/>
        </w:rPr>
        <w:t xml:space="preserve">for </w:t>
      </w:r>
      <w:r w:rsidR="007F7CD9">
        <w:rPr>
          <w:rFonts w:ascii="Arial" w:hAnsi="Arial" w:cs="Arial"/>
          <w:bCs/>
        </w:rPr>
        <w:t xml:space="preserve">damages </w:t>
      </w:r>
      <w:r w:rsidR="00967EC4">
        <w:rPr>
          <w:rFonts w:ascii="Arial" w:hAnsi="Arial" w:cs="Arial"/>
          <w:bCs/>
        </w:rPr>
        <w:t>arising out of the alleged negligent conduct of the defendant’s servants at the hospital</w:t>
      </w:r>
      <w:r w:rsidR="006958E7">
        <w:rPr>
          <w:rFonts w:ascii="Arial" w:hAnsi="Arial" w:cs="Arial"/>
          <w:bCs/>
        </w:rPr>
        <w:t xml:space="preserve"> relating to the birth of </w:t>
      </w:r>
      <w:r w:rsidR="00261EF4">
        <w:rPr>
          <w:rFonts w:ascii="Arial" w:hAnsi="Arial" w:cs="Arial"/>
          <w:bCs/>
        </w:rPr>
        <w:t>the minor child</w:t>
      </w:r>
      <w:r w:rsidR="00967EC4">
        <w:rPr>
          <w:rFonts w:ascii="Arial" w:hAnsi="Arial" w:cs="Arial"/>
          <w:bCs/>
        </w:rPr>
        <w:t>.</w:t>
      </w:r>
      <w:r w:rsidR="008046CD">
        <w:rPr>
          <w:rFonts w:ascii="Arial" w:hAnsi="Arial" w:cs="Arial"/>
        </w:rPr>
        <w:t xml:space="preserve"> </w:t>
      </w:r>
      <w:r w:rsidR="00D81D32" w:rsidRPr="008046CD">
        <w:rPr>
          <w:rFonts w:ascii="Arial" w:hAnsi="Arial" w:cs="Arial"/>
          <w:bCs/>
        </w:rPr>
        <w:t>From my understanding of th</w:t>
      </w:r>
      <w:r w:rsidR="008046CD">
        <w:rPr>
          <w:rFonts w:ascii="Arial" w:hAnsi="Arial" w:cs="Arial"/>
          <w:bCs/>
        </w:rPr>
        <w:t>os</w:t>
      </w:r>
      <w:r w:rsidR="00D81D32" w:rsidRPr="008046CD">
        <w:rPr>
          <w:rFonts w:ascii="Arial" w:hAnsi="Arial" w:cs="Arial"/>
          <w:bCs/>
        </w:rPr>
        <w:t>e pleaded grounds of negligence,</w:t>
      </w:r>
      <w:r w:rsidR="00827D3F">
        <w:rPr>
          <w:rStyle w:val="FootnoteReference"/>
          <w:rFonts w:ascii="Arial" w:hAnsi="Arial" w:cs="Arial"/>
          <w:bCs/>
        </w:rPr>
        <w:footnoteReference w:id="1"/>
      </w:r>
      <w:r w:rsidR="00827D3F">
        <w:rPr>
          <w:rFonts w:ascii="Arial" w:hAnsi="Arial" w:cs="Arial"/>
        </w:rPr>
        <w:t xml:space="preserve"> </w:t>
      </w:r>
      <w:r w:rsidR="00D81D32" w:rsidRPr="008046CD">
        <w:rPr>
          <w:rFonts w:ascii="Arial" w:hAnsi="Arial" w:cs="Arial"/>
          <w:bCs/>
        </w:rPr>
        <w:t xml:space="preserve">they relate to conduct and events leading up to, and immediately after, the birth of </w:t>
      </w:r>
      <w:r w:rsidR="00261EF4">
        <w:rPr>
          <w:rFonts w:ascii="Arial" w:hAnsi="Arial" w:cs="Arial"/>
          <w:bCs/>
        </w:rPr>
        <w:t>the minor child</w:t>
      </w:r>
      <w:r w:rsidR="00D81D32" w:rsidRPr="008046CD">
        <w:rPr>
          <w:rFonts w:ascii="Arial" w:hAnsi="Arial" w:cs="Arial"/>
          <w:bCs/>
        </w:rPr>
        <w:t xml:space="preserve">. </w:t>
      </w:r>
      <w:r w:rsidR="007F7CD9" w:rsidRPr="008046CD">
        <w:rPr>
          <w:rFonts w:ascii="Arial" w:hAnsi="Arial" w:cs="Arial"/>
          <w:bCs/>
        </w:rPr>
        <w:t xml:space="preserve"> </w:t>
      </w:r>
    </w:p>
    <w:p w14:paraId="4F42B05F" w14:textId="77777777" w:rsidR="00077BD6" w:rsidRPr="008046CD" w:rsidRDefault="00077BD6" w:rsidP="00077BD6">
      <w:pPr>
        <w:pStyle w:val="ListParagraph"/>
        <w:tabs>
          <w:tab w:val="left" w:pos="709"/>
        </w:tabs>
        <w:spacing w:line="360" w:lineRule="auto"/>
        <w:ind w:left="0"/>
        <w:jc w:val="both"/>
        <w:rPr>
          <w:rFonts w:ascii="Arial" w:hAnsi="Arial" w:cs="Arial"/>
        </w:rPr>
      </w:pPr>
    </w:p>
    <w:p w14:paraId="4C74FCC2" w14:textId="77777777" w:rsidR="006958E7" w:rsidRDefault="007F7CD9" w:rsidP="006958E7">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t xml:space="preserve">The </w:t>
      </w:r>
      <w:r w:rsidR="001446C1">
        <w:rPr>
          <w:rFonts w:ascii="Arial" w:hAnsi="Arial" w:cs="Arial"/>
        </w:rPr>
        <w:t xml:space="preserve">trial of the action commenced with the particulars of claim </w:t>
      </w:r>
      <w:r w:rsidR="00382F4A">
        <w:rPr>
          <w:rFonts w:ascii="Arial" w:hAnsi="Arial" w:cs="Arial"/>
        </w:rPr>
        <w:t xml:space="preserve">as originally framed </w:t>
      </w:r>
      <w:r w:rsidR="001446C1">
        <w:rPr>
          <w:rFonts w:ascii="Arial" w:hAnsi="Arial" w:cs="Arial"/>
        </w:rPr>
        <w:t xml:space="preserve">in place. </w:t>
      </w:r>
      <w:r w:rsidR="00A06C97">
        <w:rPr>
          <w:rFonts w:ascii="Arial" w:hAnsi="Arial" w:cs="Arial"/>
        </w:rPr>
        <w:t xml:space="preserve">Since </w:t>
      </w:r>
      <w:r w:rsidR="00827D3F">
        <w:rPr>
          <w:rFonts w:ascii="Arial" w:hAnsi="Arial" w:cs="Arial"/>
        </w:rPr>
        <w:t xml:space="preserve">the trial </w:t>
      </w:r>
      <w:r w:rsidR="00A06C97">
        <w:rPr>
          <w:rFonts w:ascii="Arial" w:hAnsi="Arial" w:cs="Arial"/>
        </w:rPr>
        <w:t>has commenced, i</w:t>
      </w:r>
      <w:r w:rsidR="001446C1">
        <w:rPr>
          <w:rFonts w:ascii="Arial" w:hAnsi="Arial" w:cs="Arial"/>
        </w:rPr>
        <w:t xml:space="preserve">t has covered some 10 days of </w:t>
      </w:r>
      <w:r w:rsidR="001068E1">
        <w:rPr>
          <w:rFonts w:ascii="Arial" w:hAnsi="Arial" w:cs="Arial"/>
        </w:rPr>
        <w:t>evidence</w:t>
      </w:r>
      <w:r w:rsidR="001446C1">
        <w:rPr>
          <w:rFonts w:ascii="Arial" w:hAnsi="Arial" w:cs="Arial"/>
        </w:rPr>
        <w:t xml:space="preserve"> in three separate tranches of hearings</w:t>
      </w:r>
      <w:r w:rsidR="0019609D">
        <w:rPr>
          <w:rFonts w:ascii="Arial" w:hAnsi="Arial" w:cs="Arial"/>
        </w:rPr>
        <w:t>,</w:t>
      </w:r>
      <w:r w:rsidR="001068E1">
        <w:rPr>
          <w:rStyle w:val="FootnoteReference"/>
          <w:rFonts w:ascii="Arial" w:hAnsi="Arial" w:cs="Arial"/>
        </w:rPr>
        <w:footnoteReference w:id="2"/>
      </w:r>
      <w:r w:rsidR="001446C1">
        <w:rPr>
          <w:rFonts w:ascii="Arial" w:hAnsi="Arial" w:cs="Arial"/>
        </w:rPr>
        <w:t xml:space="preserve"> and has progressed to the </w:t>
      </w:r>
      <w:r w:rsidR="006C2AB8">
        <w:rPr>
          <w:rFonts w:ascii="Arial" w:hAnsi="Arial" w:cs="Arial"/>
        </w:rPr>
        <w:t>precipice</w:t>
      </w:r>
      <w:r w:rsidR="001446C1">
        <w:rPr>
          <w:rFonts w:ascii="Arial" w:hAnsi="Arial" w:cs="Arial"/>
        </w:rPr>
        <w:t xml:space="preserve"> of finality, with the last witness</w:t>
      </w:r>
      <w:r w:rsidR="00FE18F8">
        <w:rPr>
          <w:rFonts w:ascii="Arial" w:hAnsi="Arial" w:cs="Arial"/>
        </w:rPr>
        <w:t xml:space="preserve"> for the defendant</w:t>
      </w:r>
      <w:r w:rsidR="001446C1">
        <w:rPr>
          <w:rFonts w:ascii="Arial" w:hAnsi="Arial" w:cs="Arial"/>
        </w:rPr>
        <w:t xml:space="preserve"> </w:t>
      </w:r>
      <w:r w:rsidR="00827D3F">
        <w:rPr>
          <w:rFonts w:ascii="Arial" w:hAnsi="Arial" w:cs="Arial"/>
        </w:rPr>
        <w:t xml:space="preserve">in the witness box </w:t>
      </w:r>
      <w:r w:rsidR="001446C1">
        <w:rPr>
          <w:rFonts w:ascii="Arial" w:hAnsi="Arial" w:cs="Arial"/>
        </w:rPr>
        <w:t xml:space="preserve">being cross examined. </w:t>
      </w:r>
    </w:p>
    <w:p w14:paraId="3F118CEC" w14:textId="77777777" w:rsidR="006958E7" w:rsidRPr="006958E7" w:rsidRDefault="006958E7" w:rsidP="006958E7">
      <w:pPr>
        <w:pStyle w:val="ListParagraph"/>
        <w:spacing w:line="360" w:lineRule="auto"/>
        <w:rPr>
          <w:rFonts w:ascii="Arial" w:hAnsi="Arial" w:cs="Arial"/>
        </w:rPr>
      </w:pPr>
    </w:p>
    <w:p w14:paraId="1F580989" w14:textId="312B2B18" w:rsidR="007F7CD9" w:rsidRPr="006958E7" w:rsidRDefault="006C2AB8" w:rsidP="006958E7">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t xml:space="preserve">The </w:t>
      </w:r>
      <w:r w:rsidR="007F7CD9">
        <w:rPr>
          <w:rFonts w:ascii="Arial" w:hAnsi="Arial" w:cs="Arial"/>
        </w:rPr>
        <w:t>plaintiff now seeks to amend her particulars of claim</w:t>
      </w:r>
      <w:r w:rsidR="006958E7">
        <w:rPr>
          <w:rFonts w:ascii="Arial" w:hAnsi="Arial" w:cs="Arial"/>
        </w:rPr>
        <w:t xml:space="preserve"> and consequently delivered a notice in terms of Uniform </w:t>
      </w:r>
      <w:r w:rsidR="00F5311F">
        <w:rPr>
          <w:rFonts w:ascii="Arial" w:hAnsi="Arial" w:cs="Arial"/>
        </w:rPr>
        <w:t xml:space="preserve">rule </w:t>
      </w:r>
      <w:r w:rsidR="006958E7">
        <w:rPr>
          <w:rFonts w:ascii="Arial" w:hAnsi="Arial" w:cs="Arial"/>
        </w:rPr>
        <w:t>28(1) (the notice</w:t>
      </w:r>
      <w:r w:rsidR="0014453D">
        <w:rPr>
          <w:rFonts w:ascii="Arial" w:hAnsi="Arial" w:cs="Arial"/>
        </w:rPr>
        <w:t xml:space="preserve"> of amendment</w:t>
      </w:r>
      <w:r w:rsidR="006958E7">
        <w:rPr>
          <w:rFonts w:ascii="Arial" w:hAnsi="Arial" w:cs="Arial"/>
        </w:rPr>
        <w:t xml:space="preserve">). That elicited </w:t>
      </w:r>
      <w:r w:rsidR="00440567" w:rsidRPr="006958E7">
        <w:rPr>
          <w:rFonts w:ascii="Arial" w:hAnsi="Arial" w:cs="Arial"/>
        </w:rPr>
        <w:t>a notice of objection from the defendant.</w:t>
      </w:r>
      <w:r w:rsidR="00642168" w:rsidRPr="006958E7">
        <w:rPr>
          <w:rFonts w:ascii="Arial" w:hAnsi="Arial" w:cs="Arial"/>
        </w:rPr>
        <w:t xml:space="preserve"> </w:t>
      </w:r>
      <w:r w:rsidR="007F11FF" w:rsidRPr="006958E7">
        <w:rPr>
          <w:rFonts w:ascii="Arial" w:hAnsi="Arial" w:cs="Arial"/>
        </w:rPr>
        <w:t>Accordingly, b</w:t>
      </w:r>
      <w:r w:rsidRPr="006958E7">
        <w:rPr>
          <w:rFonts w:ascii="Arial" w:hAnsi="Arial" w:cs="Arial"/>
        </w:rPr>
        <w:t xml:space="preserve">efore me is an opposed application </w:t>
      </w:r>
      <w:r w:rsidR="00382F4A" w:rsidRPr="006958E7">
        <w:rPr>
          <w:rFonts w:ascii="Arial" w:hAnsi="Arial" w:cs="Arial"/>
        </w:rPr>
        <w:t xml:space="preserve">brought in terms of Uniform </w:t>
      </w:r>
      <w:r w:rsidR="00F5311F" w:rsidRPr="006958E7">
        <w:rPr>
          <w:rFonts w:ascii="Arial" w:hAnsi="Arial" w:cs="Arial"/>
        </w:rPr>
        <w:t xml:space="preserve">rule </w:t>
      </w:r>
      <w:r w:rsidR="00382F4A" w:rsidRPr="006958E7">
        <w:rPr>
          <w:rFonts w:ascii="Arial" w:hAnsi="Arial" w:cs="Arial"/>
        </w:rPr>
        <w:t xml:space="preserve">28(4) </w:t>
      </w:r>
      <w:r w:rsidRPr="006958E7">
        <w:rPr>
          <w:rFonts w:ascii="Arial" w:hAnsi="Arial" w:cs="Arial"/>
        </w:rPr>
        <w:t xml:space="preserve">to amend </w:t>
      </w:r>
      <w:r w:rsidR="003E3794" w:rsidRPr="006958E7">
        <w:rPr>
          <w:rFonts w:ascii="Arial" w:hAnsi="Arial" w:cs="Arial"/>
        </w:rPr>
        <w:t>the plaintiff’s particulars of claim</w:t>
      </w:r>
      <w:r w:rsidRPr="006958E7">
        <w:rPr>
          <w:rFonts w:ascii="Arial" w:hAnsi="Arial" w:cs="Arial"/>
        </w:rPr>
        <w:t xml:space="preserve">. </w:t>
      </w:r>
      <w:r w:rsidR="007F7CD9" w:rsidRPr="006958E7">
        <w:rPr>
          <w:rFonts w:ascii="Arial" w:hAnsi="Arial" w:cs="Arial"/>
        </w:rPr>
        <w:t>Mr Maritz SC</w:t>
      </w:r>
      <w:r w:rsidR="001241EE" w:rsidRPr="006958E7">
        <w:rPr>
          <w:rFonts w:ascii="Arial" w:hAnsi="Arial" w:cs="Arial"/>
        </w:rPr>
        <w:t>,</w:t>
      </w:r>
      <w:r w:rsidR="007F7CD9" w:rsidRPr="006958E7">
        <w:rPr>
          <w:rFonts w:ascii="Arial" w:hAnsi="Arial" w:cs="Arial"/>
        </w:rPr>
        <w:t xml:space="preserve"> </w:t>
      </w:r>
      <w:r w:rsidR="004141CE">
        <w:rPr>
          <w:rFonts w:ascii="Arial" w:hAnsi="Arial" w:cs="Arial"/>
        </w:rPr>
        <w:t xml:space="preserve">together </w:t>
      </w:r>
      <w:r w:rsidR="007F7CD9" w:rsidRPr="006958E7">
        <w:rPr>
          <w:rFonts w:ascii="Arial" w:hAnsi="Arial" w:cs="Arial"/>
        </w:rPr>
        <w:t>with Mr Bodlani</w:t>
      </w:r>
      <w:r w:rsidR="00172C98" w:rsidRPr="006958E7">
        <w:rPr>
          <w:rFonts w:ascii="Arial" w:hAnsi="Arial" w:cs="Arial"/>
        </w:rPr>
        <w:t xml:space="preserve"> SC</w:t>
      </w:r>
      <w:r w:rsidR="001241EE" w:rsidRPr="006958E7">
        <w:rPr>
          <w:rFonts w:ascii="Arial" w:hAnsi="Arial" w:cs="Arial"/>
        </w:rPr>
        <w:t>,</w:t>
      </w:r>
      <w:r w:rsidR="007F7CD9" w:rsidRPr="006958E7">
        <w:rPr>
          <w:rFonts w:ascii="Arial" w:hAnsi="Arial" w:cs="Arial"/>
        </w:rPr>
        <w:t xml:space="preserve"> were instructed to </w:t>
      </w:r>
      <w:r w:rsidRPr="006958E7">
        <w:rPr>
          <w:rFonts w:ascii="Arial" w:hAnsi="Arial" w:cs="Arial"/>
        </w:rPr>
        <w:t>move th</w:t>
      </w:r>
      <w:r w:rsidR="006958E7">
        <w:rPr>
          <w:rFonts w:ascii="Arial" w:hAnsi="Arial" w:cs="Arial"/>
        </w:rPr>
        <w:t>at</w:t>
      </w:r>
      <w:r w:rsidRPr="006958E7">
        <w:rPr>
          <w:rFonts w:ascii="Arial" w:hAnsi="Arial" w:cs="Arial"/>
        </w:rPr>
        <w:t xml:space="preserve"> application for the plaintiff </w:t>
      </w:r>
      <w:r w:rsidR="007F7CD9" w:rsidRPr="006958E7">
        <w:rPr>
          <w:rFonts w:ascii="Arial" w:hAnsi="Arial" w:cs="Arial"/>
        </w:rPr>
        <w:t>and Mr Mullins SC resist</w:t>
      </w:r>
      <w:r w:rsidR="001241EE" w:rsidRPr="006958E7">
        <w:rPr>
          <w:rFonts w:ascii="Arial" w:hAnsi="Arial" w:cs="Arial"/>
        </w:rPr>
        <w:t>ed</w:t>
      </w:r>
      <w:r w:rsidR="007F7CD9" w:rsidRPr="006958E7">
        <w:rPr>
          <w:rFonts w:ascii="Arial" w:hAnsi="Arial" w:cs="Arial"/>
        </w:rPr>
        <w:t xml:space="preserve"> that application for the defendant.</w:t>
      </w:r>
      <w:r w:rsidR="003811F2" w:rsidRPr="006958E7">
        <w:rPr>
          <w:rFonts w:ascii="Arial" w:hAnsi="Arial" w:cs="Arial"/>
        </w:rPr>
        <w:t xml:space="preserve"> I am indebted to </w:t>
      </w:r>
      <w:r w:rsidR="007F7CD9" w:rsidRPr="006958E7">
        <w:rPr>
          <w:rFonts w:ascii="Arial" w:hAnsi="Arial" w:cs="Arial"/>
        </w:rPr>
        <w:t xml:space="preserve">counsel </w:t>
      </w:r>
      <w:r w:rsidR="00382F4A" w:rsidRPr="006958E7">
        <w:rPr>
          <w:rFonts w:ascii="Arial" w:hAnsi="Arial" w:cs="Arial"/>
        </w:rPr>
        <w:t xml:space="preserve">both </w:t>
      </w:r>
      <w:r w:rsidR="007F7CD9" w:rsidRPr="006958E7">
        <w:rPr>
          <w:rFonts w:ascii="Arial" w:hAnsi="Arial" w:cs="Arial"/>
        </w:rPr>
        <w:t xml:space="preserve">for their helpful submissions and </w:t>
      </w:r>
      <w:r w:rsidR="00827D3F" w:rsidRPr="006958E7">
        <w:rPr>
          <w:rFonts w:ascii="Arial" w:hAnsi="Arial" w:cs="Arial"/>
        </w:rPr>
        <w:t xml:space="preserve">for </w:t>
      </w:r>
      <w:r w:rsidR="007F7CD9" w:rsidRPr="006958E7">
        <w:rPr>
          <w:rFonts w:ascii="Arial" w:hAnsi="Arial" w:cs="Arial"/>
        </w:rPr>
        <w:t xml:space="preserve">the congenial way in which the </w:t>
      </w:r>
      <w:r w:rsidR="001241EE" w:rsidRPr="006958E7">
        <w:rPr>
          <w:rFonts w:ascii="Arial" w:hAnsi="Arial" w:cs="Arial"/>
        </w:rPr>
        <w:t>application was argued.</w:t>
      </w:r>
    </w:p>
    <w:p w14:paraId="0F729168" w14:textId="77777777" w:rsidR="001241EE" w:rsidRDefault="00642168" w:rsidP="0055764D">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lastRenderedPageBreak/>
        <w:t xml:space="preserve">At the outset, </w:t>
      </w:r>
      <w:r w:rsidR="001241EE">
        <w:rPr>
          <w:rFonts w:ascii="Arial" w:hAnsi="Arial" w:cs="Arial"/>
        </w:rPr>
        <w:t xml:space="preserve">I caution myself that </w:t>
      </w:r>
      <w:r>
        <w:rPr>
          <w:rFonts w:ascii="Arial" w:hAnsi="Arial" w:cs="Arial"/>
        </w:rPr>
        <w:t xml:space="preserve">while the plaintiff has closed her case, </w:t>
      </w:r>
      <w:r w:rsidR="001241EE">
        <w:rPr>
          <w:rFonts w:ascii="Arial" w:hAnsi="Arial" w:cs="Arial"/>
        </w:rPr>
        <w:t xml:space="preserve">the defendant has not yet </w:t>
      </w:r>
      <w:r>
        <w:rPr>
          <w:rFonts w:ascii="Arial" w:hAnsi="Arial" w:cs="Arial"/>
        </w:rPr>
        <w:t>done so</w:t>
      </w:r>
      <w:r w:rsidR="00440567">
        <w:rPr>
          <w:rFonts w:ascii="Arial" w:hAnsi="Arial" w:cs="Arial"/>
        </w:rPr>
        <w:t xml:space="preserve"> and the trial proceeds</w:t>
      </w:r>
      <w:r>
        <w:rPr>
          <w:rFonts w:ascii="Arial" w:hAnsi="Arial" w:cs="Arial"/>
        </w:rPr>
        <w:t>. In determining this application</w:t>
      </w:r>
      <w:r w:rsidR="0082399D">
        <w:rPr>
          <w:rFonts w:ascii="Arial" w:hAnsi="Arial" w:cs="Arial"/>
        </w:rPr>
        <w:t>,</w:t>
      </w:r>
      <w:r>
        <w:rPr>
          <w:rFonts w:ascii="Arial" w:hAnsi="Arial" w:cs="Arial"/>
        </w:rPr>
        <w:t xml:space="preserve"> </w:t>
      </w:r>
      <w:r w:rsidR="001241EE">
        <w:rPr>
          <w:rFonts w:ascii="Arial" w:hAnsi="Arial" w:cs="Arial"/>
        </w:rPr>
        <w:t>I should therefore refrain from expressing an opinion on the credibility of any of the witnesses who have thus far testified.</w:t>
      </w:r>
      <w:r w:rsidR="0082399D">
        <w:rPr>
          <w:rFonts w:ascii="Arial" w:hAnsi="Arial" w:cs="Arial"/>
        </w:rPr>
        <w:t xml:space="preserve"> This, as Willis J noted in </w:t>
      </w:r>
      <w:r w:rsidR="0082399D" w:rsidRPr="0082399D">
        <w:rPr>
          <w:rFonts w:ascii="Arial" w:hAnsi="Arial" w:cs="Arial"/>
          <w:i/>
          <w:iCs/>
        </w:rPr>
        <w:t>Randa v Radopile Projects</w:t>
      </w:r>
      <w:r w:rsidR="0082399D">
        <w:rPr>
          <w:rFonts w:ascii="Arial" w:hAnsi="Arial" w:cs="Arial"/>
        </w:rPr>
        <w:t>,</w:t>
      </w:r>
      <w:r w:rsidR="0082399D">
        <w:rPr>
          <w:rStyle w:val="FootnoteReference"/>
          <w:rFonts w:ascii="Arial" w:hAnsi="Arial" w:cs="Arial"/>
        </w:rPr>
        <w:footnoteReference w:id="3"/>
      </w:r>
      <w:r w:rsidR="0082399D">
        <w:rPr>
          <w:rFonts w:ascii="Arial" w:hAnsi="Arial" w:cs="Arial"/>
        </w:rPr>
        <w:t xml:space="preserve"> does complicate the process of explaining why a particular decision has been arrived at.</w:t>
      </w:r>
    </w:p>
    <w:p w14:paraId="394104F2" w14:textId="77777777" w:rsidR="00CE68FA" w:rsidRPr="00CE68FA" w:rsidRDefault="00CE68FA" w:rsidP="0055764D">
      <w:pPr>
        <w:pStyle w:val="ListParagraph"/>
        <w:spacing w:line="360" w:lineRule="auto"/>
        <w:rPr>
          <w:rFonts w:ascii="Arial" w:hAnsi="Arial" w:cs="Arial"/>
        </w:rPr>
      </w:pPr>
    </w:p>
    <w:p w14:paraId="0E677A4E" w14:textId="77777777" w:rsidR="00CE68FA" w:rsidRPr="00CE68FA" w:rsidRDefault="00CE68FA" w:rsidP="0055764D">
      <w:pPr>
        <w:pStyle w:val="ListParagraph"/>
        <w:numPr>
          <w:ilvl w:val="0"/>
          <w:numId w:val="8"/>
        </w:numPr>
        <w:tabs>
          <w:tab w:val="left" w:pos="709"/>
        </w:tabs>
        <w:spacing w:line="360" w:lineRule="auto"/>
        <w:ind w:left="0" w:firstLine="0"/>
        <w:jc w:val="both"/>
        <w:rPr>
          <w:rFonts w:ascii="Arial" w:hAnsi="Arial" w:cs="Arial"/>
          <w:i/>
          <w:iCs/>
          <w:color w:val="242121"/>
        </w:rPr>
      </w:pPr>
      <w:r>
        <w:rPr>
          <w:rFonts w:ascii="Arial" w:hAnsi="Arial" w:cs="Arial"/>
        </w:rPr>
        <w:t xml:space="preserve">The law on the </w:t>
      </w:r>
      <w:r w:rsidR="007F11FF">
        <w:rPr>
          <w:rFonts w:ascii="Arial" w:hAnsi="Arial" w:cs="Arial"/>
        </w:rPr>
        <w:t>issue</w:t>
      </w:r>
      <w:r>
        <w:rPr>
          <w:rFonts w:ascii="Arial" w:hAnsi="Arial" w:cs="Arial"/>
        </w:rPr>
        <w:t xml:space="preserve"> of amendments is well settled. Uniform </w:t>
      </w:r>
      <w:r w:rsidR="00D923C9">
        <w:rPr>
          <w:rFonts w:ascii="Arial" w:hAnsi="Arial" w:cs="Arial"/>
        </w:rPr>
        <w:t xml:space="preserve">rule </w:t>
      </w:r>
      <w:r>
        <w:rPr>
          <w:rFonts w:ascii="Arial" w:hAnsi="Arial" w:cs="Arial"/>
        </w:rPr>
        <w:t>28</w:t>
      </w:r>
      <w:r w:rsidR="00D923C9">
        <w:rPr>
          <w:rFonts w:ascii="Arial" w:hAnsi="Arial" w:cs="Arial"/>
        </w:rPr>
        <w:t>(10)</w:t>
      </w:r>
      <w:r>
        <w:rPr>
          <w:rFonts w:ascii="Arial" w:hAnsi="Arial" w:cs="Arial"/>
        </w:rPr>
        <w:t xml:space="preserve"> grants a court the power:</w:t>
      </w:r>
    </w:p>
    <w:p w14:paraId="32CBB344" w14:textId="77777777" w:rsidR="00CE68FA" w:rsidRDefault="0055764D" w:rsidP="0055764D">
      <w:pPr>
        <w:spacing w:line="360" w:lineRule="auto"/>
        <w:jc w:val="both"/>
        <w:rPr>
          <w:rFonts w:ascii="Arial" w:hAnsi="Arial" w:cs="Arial"/>
          <w:color w:val="242121"/>
          <w:sz w:val="22"/>
          <w:szCs w:val="22"/>
        </w:rPr>
      </w:pPr>
      <w:r w:rsidRPr="0055764D">
        <w:rPr>
          <w:rFonts w:ascii="Arial" w:hAnsi="Arial" w:cs="Arial"/>
          <w:color w:val="242121"/>
          <w:sz w:val="22"/>
          <w:szCs w:val="22"/>
        </w:rPr>
        <w:t>‘</w:t>
      </w:r>
      <w:r w:rsidR="00440567">
        <w:rPr>
          <w:rFonts w:ascii="Arial" w:hAnsi="Arial" w:cs="Arial"/>
          <w:color w:val="242121"/>
          <w:sz w:val="22"/>
          <w:szCs w:val="22"/>
        </w:rPr>
        <w:t>…</w:t>
      </w:r>
      <w:r w:rsidR="00CE68FA" w:rsidRPr="0055764D">
        <w:rPr>
          <w:rFonts w:ascii="Arial" w:hAnsi="Arial" w:cs="Arial"/>
          <w:color w:val="242121"/>
          <w:sz w:val="22"/>
          <w:szCs w:val="22"/>
        </w:rPr>
        <w:t xml:space="preserve"> at any stage before judgment </w:t>
      </w:r>
      <w:r w:rsidR="006B34CD">
        <w:rPr>
          <w:rFonts w:ascii="Arial" w:hAnsi="Arial" w:cs="Arial"/>
          <w:color w:val="242121"/>
          <w:sz w:val="22"/>
          <w:szCs w:val="22"/>
        </w:rPr>
        <w:t xml:space="preserve">[to] </w:t>
      </w:r>
      <w:r w:rsidR="00CE68FA" w:rsidRPr="0055764D">
        <w:rPr>
          <w:rFonts w:ascii="Arial" w:hAnsi="Arial" w:cs="Arial"/>
          <w:color w:val="242121"/>
          <w:sz w:val="22"/>
          <w:szCs w:val="22"/>
        </w:rPr>
        <w:t>grant leave to amend any pleading or document on such other terms as to costs or other matters as it deems fit.</w:t>
      </w:r>
      <w:r w:rsidRPr="0055764D">
        <w:rPr>
          <w:rFonts w:ascii="Arial" w:hAnsi="Arial" w:cs="Arial"/>
          <w:color w:val="242121"/>
          <w:sz w:val="22"/>
          <w:szCs w:val="22"/>
        </w:rPr>
        <w:t>’</w:t>
      </w:r>
    </w:p>
    <w:p w14:paraId="4BA902A2" w14:textId="77777777" w:rsidR="006B7A1C" w:rsidRDefault="006B7A1C" w:rsidP="0055764D">
      <w:pPr>
        <w:spacing w:line="360" w:lineRule="auto"/>
        <w:jc w:val="both"/>
        <w:rPr>
          <w:rFonts w:ascii="Arial" w:hAnsi="Arial" w:cs="Arial"/>
          <w:color w:val="242121"/>
          <w:sz w:val="22"/>
          <w:szCs w:val="22"/>
        </w:rPr>
      </w:pPr>
    </w:p>
    <w:p w14:paraId="2DD6CCE8" w14:textId="77777777" w:rsidR="006B7A1C" w:rsidRPr="006B7A1C" w:rsidRDefault="006B7A1C" w:rsidP="006B7A1C">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t xml:space="preserve">In </w:t>
      </w:r>
      <w:r w:rsidRPr="006B7A1C">
        <w:rPr>
          <w:rFonts w:ascii="Arial" w:hAnsi="Arial" w:cs="Arial"/>
          <w:i/>
        </w:rPr>
        <w:t>Robinson v Randfontein Estates GM Co Ltd</w:t>
      </w:r>
      <w:r>
        <w:rPr>
          <w:rFonts w:ascii="Arial" w:hAnsi="Arial" w:cs="Arial"/>
        </w:rPr>
        <w:t>,</w:t>
      </w:r>
      <w:r>
        <w:rPr>
          <w:rStyle w:val="FootnoteReference"/>
          <w:rFonts w:ascii="Arial" w:hAnsi="Arial" w:cs="Arial"/>
        </w:rPr>
        <w:footnoteReference w:id="4"/>
      </w:r>
      <w:r>
        <w:rPr>
          <w:rFonts w:ascii="Arial" w:hAnsi="Arial" w:cs="Arial"/>
        </w:rPr>
        <w:t xml:space="preserve"> Innes CJ stated that:</w:t>
      </w:r>
      <w:r>
        <w:t xml:space="preserve"> </w:t>
      </w:r>
    </w:p>
    <w:p w14:paraId="247FA1C5" w14:textId="77777777" w:rsidR="006B7A1C" w:rsidRPr="0055764D" w:rsidRDefault="006B7A1C" w:rsidP="006B7A1C">
      <w:pPr>
        <w:spacing w:line="360" w:lineRule="auto"/>
        <w:jc w:val="both"/>
        <w:rPr>
          <w:rFonts w:ascii="Verdana" w:hAnsi="Verdana"/>
          <w:color w:val="242121"/>
          <w:sz w:val="22"/>
          <w:szCs w:val="22"/>
        </w:rPr>
      </w:pPr>
      <w:r w:rsidRPr="006B7A1C">
        <w:rPr>
          <w:rFonts w:ascii="Arial" w:hAnsi="Arial" w:cs="Arial"/>
          <w:sz w:val="22"/>
          <w:szCs w:val="22"/>
        </w:rPr>
        <w:t>‘</w:t>
      </w:r>
      <w:r w:rsidR="006A1B12" w:rsidRPr="006A1B12">
        <w:rPr>
          <w:rFonts w:ascii="Arial" w:hAnsi="Arial" w:cs="Arial"/>
          <w:sz w:val="22"/>
          <w:szCs w:val="22"/>
        </w:rPr>
        <w:t>The object of pleading is to define the issues; and parties will be kept strictly to their pleas where any departure would cause prejudice or would prevent full enquiry. But within those limits the Court has a wide discretion. For pleadings are made for the Court, not the Court for pleadings</w:t>
      </w:r>
      <w:r w:rsidRPr="006B7A1C">
        <w:rPr>
          <w:rFonts w:ascii="Arial" w:hAnsi="Arial" w:cs="Arial"/>
          <w:sz w:val="22"/>
          <w:szCs w:val="22"/>
        </w:rPr>
        <w:t>.’</w:t>
      </w:r>
    </w:p>
    <w:p w14:paraId="4F6DD2F7" w14:textId="5F1E408F" w:rsidR="00382F4A" w:rsidRPr="00382F4A" w:rsidRDefault="006B7A1C" w:rsidP="00382F4A">
      <w:pPr>
        <w:pStyle w:val="ListParagraph"/>
        <w:tabs>
          <w:tab w:val="left" w:pos="709"/>
        </w:tabs>
        <w:spacing w:line="360" w:lineRule="auto"/>
        <w:ind w:left="0"/>
        <w:jc w:val="both"/>
        <w:rPr>
          <w:rFonts w:ascii="Arial" w:hAnsi="Arial" w:cs="Arial"/>
        </w:rPr>
      </w:pPr>
      <w:r>
        <w:rPr>
          <w:rFonts w:ascii="Arial" w:hAnsi="Arial" w:cs="Arial"/>
          <w:color w:val="242121"/>
        </w:rPr>
        <w:t xml:space="preserve">The </w:t>
      </w:r>
      <w:r w:rsidR="00930017">
        <w:rPr>
          <w:rFonts w:ascii="Arial" w:hAnsi="Arial" w:cs="Arial"/>
          <w:color w:val="242121"/>
        </w:rPr>
        <w:t>court thus has a wide discretion to permit amendments but this</w:t>
      </w:r>
      <w:r>
        <w:rPr>
          <w:rFonts w:ascii="Arial" w:hAnsi="Arial" w:cs="Arial"/>
          <w:color w:val="242121"/>
        </w:rPr>
        <w:t xml:space="preserve"> discretion must be </w:t>
      </w:r>
      <w:r w:rsidR="00CD14CF">
        <w:rPr>
          <w:rFonts w:ascii="Arial" w:hAnsi="Arial" w:cs="Arial"/>
          <w:color w:val="242121"/>
        </w:rPr>
        <w:t>exercised judicially</w:t>
      </w:r>
      <w:r w:rsidR="0055764D" w:rsidRPr="0055764D">
        <w:rPr>
          <w:rFonts w:ascii="Arial" w:hAnsi="Arial" w:cs="Arial"/>
          <w:color w:val="242121"/>
        </w:rPr>
        <w:t>.</w:t>
      </w:r>
      <w:r w:rsidR="009F22B8">
        <w:rPr>
          <w:rStyle w:val="FootnoteReference"/>
          <w:rFonts w:ascii="Arial" w:hAnsi="Arial" w:cs="Arial"/>
          <w:color w:val="242121"/>
        </w:rPr>
        <w:footnoteReference w:id="5"/>
      </w:r>
      <w:r w:rsidR="0055764D" w:rsidRPr="0055764D">
        <w:rPr>
          <w:rFonts w:ascii="Arial" w:hAnsi="Arial" w:cs="Arial"/>
          <w:color w:val="242121"/>
        </w:rPr>
        <w:t xml:space="preserve"> Th</w:t>
      </w:r>
      <w:r w:rsidR="00CD14CF">
        <w:rPr>
          <w:rFonts w:ascii="Arial" w:hAnsi="Arial" w:cs="Arial"/>
          <w:color w:val="242121"/>
        </w:rPr>
        <w:t xml:space="preserve">is simply means that </w:t>
      </w:r>
      <w:r w:rsidR="0055764D" w:rsidRPr="0055764D">
        <w:rPr>
          <w:rFonts w:ascii="Arial" w:hAnsi="Arial" w:cs="Arial"/>
        </w:rPr>
        <w:t>the decision should not be arrived at ‘capriciou</w:t>
      </w:r>
      <w:r w:rsidR="00382F4A">
        <w:rPr>
          <w:rFonts w:ascii="Arial" w:hAnsi="Arial" w:cs="Arial"/>
        </w:rPr>
        <w:t>sly but for substantial reasons</w:t>
      </w:r>
      <w:r w:rsidR="0055764D" w:rsidRPr="0055764D">
        <w:rPr>
          <w:rFonts w:ascii="Arial" w:hAnsi="Arial" w:cs="Arial"/>
        </w:rPr>
        <w:t>’</w:t>
      </w:r>
      <w:r w:rsidR="0055764D" w:rsidRPr="00104BC4">
        <w:rPr>
          <w:rStyle w:val="FootnoteReference"/>
          <w:rFonts w:ascii="Arial" w:hAnsi="Arial" w:cs="Arial"/>
        </w:rPr>
        <w:footnoteReference w:id="6"/>
      </w:r>
      <w:r w:rsidR="00382F4A">
        <w:rPr>
          <w:rFonts w:ascii="Arial" w:hAnsi="Arial" w:cs="Arial"/>
        </w:rPr>
        <w:t xml:space="preserve"> and that ‘</w:t>
      </w:r>
      <w:r w:rsidR="00382F4A" w:rsidRPr="00382F4A">
        <w:rPr>
          <w:rFonts w:ascii="Arial" w:hAnsi="Arial" w:cs="Arial"/>
        </w:rPr>
        <w:t>there must be some grounds for its exercise, for a discretion exercised on no grounds cannot be judicial</w:t>
      </w:r>
      <w:r w:rsidR="006A1B12">
        <w:rPr>
          <w:rFonts w:ascii="Arial" w:hAnsi="Arial" w:cs="Arial"/>
        </w:rPr>
        <w:t>’</w:t>
      </w:r>
      <w:r w:rsidR="00382F4A" w:rsidRPr="00382F4A">
        <w:rPr>
          <w:rFonts w:ascii="Arial" w:hAnsi="Arial" w:cs="Arial"/>
        </w:rPr>
        <w:t>.</w:t>
      </w:r>
      <w:r w:rsidR="00382F4A" w:rsidRPr="00382F4A">
        <w:rPr>
          <w:rStyle w:val="FootnoteReference"/>
          <w:rFonts w:ascii="Arial" w:hAnsi="Arial" w:cs="Arial"/>
        </w:rPr>
        <w:footnoteReference w:id="7"/>
      </w:r>
    </w:p>
    <w:p w14:paraId="434323C0" w14:textId="77777777" w:rsidR="00CD14CF" w:rsidRPr="0044558B" w:rsidRDefault="00CD14CF" w:rsidP="00CD14CF">
      <w:pPr>
        <w:pStyle w:val="ListParagraph"/>
        <w:tabs>
          <w:tab w:val="left" w:pos="709"/>
        </w:tabs>
        <w:spacing w:line="360" w:lineRule="auto"/>
        <w:ind w:left="0"/>
        <w:jc w:val="both"/>
        <w:rPr>
          <w:rFonts w:ascii="Arial" w:hAnsi="Arial" w:cs="Arial"/>
          <w:sz w:val="22"/>
          <w:szCs w:val="22"/>
        </w:rPr>
      </w:pPr>
    </w:p>
    <w:p w14:paraId="01BF4450" w14:textId="77777777" w:rsidR="0099558A" w:rsidRPr="0099558A" w:rsidRDefault="00CE68FA" w:rsidP="00CD14CF">
      <w:pPr>
        <w:pStyle w:val="ListParagraph"/>
        <w:numPr>
          <w:ilvl w:val="0"/>
          <w:numId w:val="8"/>
        </w:numPr>
        <w:tabs>
          <w:tab w:val="left" w:pos="709"/>
        </w:tabs>
        <w:spacing w:before="144" w:line="360" w:lineRule="auto"/>
        <w:ind w:left="0" w:firstLine="0"/>
        <w:jc w:val="both"/>
        <w:rPr>
          <w:rFonts w:ascii="Verdana" w:hAnsi="Verdana"/>
          <w:color w:val="242121"/>
        </w:rPr>
      </w:pPr>
      <w:r w:rsidRPr="00CE68FA">
        <w:rPr>
          <w:rFonts w:ascii="Arial" w:hAnsi="Arial" w:cs="Arial"/>
          <w:color w:val="242121"/>
        </w:rPr>
        <w:t>When exercising such discretion</w:t>
      </w:r>
      <w:r w:rsidR="00CD14CF">
        <w:rPr>
          <w:rFonts w:ascii="Arial" w:hAnsi="Arial" w:cs="Arial"/>
          <w:color w:val="242121"/>
        </w:rPr>
        <w:t xml:space="preserve">, the </w:t>
      </w:r>
      <w:r w:rsidR="00FB79B7">
        <w:rPr>
          <w:rFonts w:ascii="Arial" w:hAnsi="Arial" w:cs="Arial"/>
          <w:color w:val="242121"/>
        </w:rPr>
        <w:t xml:space="preserve">well-followed </w:t>
      </w:r>
      <w:r w:rsidR="00CD14CF">
        <w:rPr>
          <w:rFonts w:ascii="Arial" w:hAnsi="Arial" w:cs="Arial"/>
          <w:color w:val="242121"/>
        </w:rPr>
        <w:t xml:space="preserve">approach postulated in </w:t>
      </w:r>
      <w:r w:rsidRPr="00CD14CF">
        <w:rPr>
          <w:rFonts w:ascii="Arial" w:hAnsi="Arial" w:cs="Arial"/>
          <w:i/>
          <w:iCs/>
          <w:color w:val="242121"/>
        </w:rPr>
        <w:t>Moolman v Estate Moolman</w:t>
      </w:r>
      <w:bookmarkStart w:id="0" w:name="_ftnref2"/>
      <w:r w:rsidR="00CD14CF" w:rsidRPr="00CD14CF">
        <w:rPr>
          <w:rStyle w:val="FootnoteReference"/>
          <w:rFonts w:ascii="Arial" w:hAnsi="Arial" w:cs="Arial"/>
          <w:color w:val="242121"/>
        </w:rPr>
        <w:footnoteReference w:id="8"/>
      </w:r>
      <w:r w:rsidR="00CD14CF">
        <w:rPr>
          <w:rFonts w:ascii="Arial" w:hAnsi="Arial" w:cs="Arial"/>
          <w:i/>
          <w:iCs/>
          <w:color w:val="242121"/>
        </w:rPr>
        <w:t xml:space="preserve"> </w:t>
      </w:r>
      <w:r w:rsidR="00CD14CF" w:rsidRPr="00CD14CF">
        <w:rPr>
          <w:rFonts w:ascii="Arial" w:hAnsi="Arial" w:cs="Arial"/>
          <w:color w:val="242121"/>
        </w:rPr>
        <w:t>is of assistance</w:t>
      </w:r>
      <w:r w:rsidR="0099558A">
        <w:rPr>
          <w:rFonts w:ascii="Arial" w:hAnsi="Arial" w:cs="Arial"/>
          <w:color w:val="242121"/>
        </w:rPr>
        <w:t>:</w:t>
      </w:r>
      <w:bookmarkEnd w:id="0"/>
    </w:p>
    <w:p w14:paraId="21AC5016" w14:textId="77777777" w:rsidR="00CE68FA" w:rsidRDefault="0099558A" w:rsidP="00930017">
      <w:pPr>
        <w:pStyle w:val="ListParagraph"/>
        <w:tabs>
          <w:tab w:val="left" w:pos="709"/>
        </w:tabs>
        <w:spacing w:before="144" w:line="360" w:lineRule="auto"/>
        <w:ind w:left="0"/>
        <w:jc w:val="both"/>
        <w:rPr>
          <w:rFonts w:ascii="Arial" w:hAnsi="Arial" w:cs="Arial"/>
          <w:color w:val="242121"/>
          <w:sz w:val="22"/>
          <w:szCs w:val="22"/>
        </w:rPr>
      </w:pPr>
      <w:r w:rsidRPr="0099558A">
        <w:rPr>
          <w:rFonts w:ascii="Arial" w:hAnsi="Arial" w:cs="Arial"/>
          <w:color w:val="242121"/>
          <w:sz w:val="22"/>
          <w:szCs w:val="22"/>
        </w:rPr>
        <w:t>‘</w:t>
      </w:r>
      <w:r w:rsidR="00CE68FA" w:rsidRPr="0099558A">
        <w:rPr>
          <w:rFonts w:ascii="Arial" w:hAnsi="Arial" w:cs="Arial"/>
          <w:color w:val="242121"/>
          <w:sz w:val="22"/>
          <w:szCs w:val="22"/>
        </w:rPr>
        <w:t xml:space="preserve">[The] practical rule adopted seems to be that amendments will always be allowed unless the application to amend is mala fide or unless such amendment would cause an injustice to the other side which cannot be compensated by costs, or in other words unless the parties cannot be put back for the purposes of justice in the same position as they were when the pleading which </w:t>
      </w:r>
      <w:r w:rsidR="00722DC5">
        <w:rPr>
          <w:rFonts w:ascii="Arial" w:hAnsi="Arial" w:cs="Arial"/>
          <w:color w:val="242121"/>
          <w:sz w:val="22"/>
          <w:szCs w:val="22"/>
        </w:rPr>
        <w:t xml:space="preserve">it </w:t>
      </w:r>
      <w:r w:rsidR="00CE68FA" w:rsidRPr="0099558A">
        <w:rPr>
          <w:rFonts w:ascii="Arial" w:hAnsi="Arial" w:cs="Arial"/>
          <w:color w:val="242121"/>
          <w:sz w:val="22"/>
          <w:szCs w:val="22"/>
        </w:rPr>
        <w:t>is sought to amend was filed.</w:t>
      </w:r>
      <w:r w:rsidRPr="0099558A">
        <w:rPr>
          <w:rFonts w:ascii="Arial" w:hAnsi="Arial" w:cs="Arial"/>
          <w:color w:val="242121"/>
          <w:sz w:val="22"/>
          <w:szCs w:val="22"/>
        </w:rPr>
        <w:t>’</w:t>
      </w:r>
    </w:p>
    <w:p w14:paraId="6A89171C" w14:textId="77777777" w:rsidR="00930017" w:rsidRPr="00930017" w:rsidRDefault="00930017" w:rsidP="00930017">
      <w:pPr>
        <w:pStyle w:val="ListParagraph"/>
        <w:spacing w:line="360" w:lineRule="auto"/>
        <w:rPr>
          <w:rFonts w:ascii="Arial" w:hAnsi="Arial" w:cs="Arial"/>
        </w:rPr>
      </w:pPr>
    </w:p>
    <w:p w14:paraId="28488A14" w14:textId="77777777" w:rsidR="00930017" w:rsidRPr="006958E7" w:rsidRDefault="00930017" w:rsidP="00F57513">
      <w:pPr>
        <w:pStyle w:val="ListParagraph"/>
        <w:numPr>
          <w:ilvl w:val="0"/>
          <w:numId w:val="8"/>
        </w:numPr>
        <w:tabs>
          <w:tab w:val="left" w:pos="709"/>
        </w:tabs>
        <w:spacing w:line="360" w:lineRule="auto"/>
        <w:ind w:left="0" w:firstLine="0"/>
        <w:jc w:val="both"/>
        <w:rPr>
          <w:rFonts w:ascii="Arial" w:hAnsi="Arial" w:cs="Arial"/>
        </w:rPr>
      </w:pPr>
      <w:r w:rsidRPr="006958E7">
        <w:rPr>
          <w:rFonts w:asciiTheme="minorBidi" w:hAnsiTheme="minorBidi" w:cstheme="minorBidi"/>
        </w:rPr>
        <w:lastRenderedPageBreak/>
        <w:t>Thus, prejudice to the opposing party is</w:t>
      </w:r>
      <w:r w:rsidR="006958E7" w:rsidRPr="006958E7">
        <w:rPr>
          <w:rFonts w:asciiTheme="minorBidi" w:hAnsiTheme="minorBidi" w:cstheme="minorBidi"/>
        </w:rPr>
        <w:t xml:space="preserve"> </w:t>
      </w:r>
      <w:r w:rsidR="004D4137">
        <w:rPr>
          <w:rFonts w:asciiTheme="minorBidi" w:hAnsiTheme="minorBidi" w:cstheme="minorBidi"/>
        </w:rPr>
        <w:t>‘</w:t>
      </w:r>
      <w:r w:rsidR="006958E7" w:rsidRPr="006958E7">
        <w:rPr>
          <w:rFonts w:asciiTheme="minorBidi" w:hAnsiTheme="minorBidi" w:cstheme="minorBidi"/>
        </w:rPr>
        <w:t>the touchstone for the grant or refusal of the application</w:t>
      </w:r>
      <w:r w:rsidR="004D4137">
        <w:rPr>
          <w:rFonts w:asciiTheme="minorBidi" w:hAnsiTheme="minorBidi" w:cstheme="minorBidi"/>
        </w:rPr>
        <w:t>’</w:t>
      </w:r>
      <w:r w:rsidR="007F11FF" w:rsidRPr="006958E7">
        <w:rPr>
          <w:rFonts w:asciiTheme="minorBidi" w:hAnsiTheme="minorBidi" w:cstheme="minorBidi"/>
          <w:sz w:val="22"/>
          <w:szCs w:val="22"/>
        </w:rPr>
        <w:t>.</w:t>
      </w:r>
      <w:r>
        <w:rPr>
          <w:rStyle w:val="FootnoteReference"/>
          <w:rFonts w:asciiTheme="minorBidi" w:hAnsiTheme="minorBidi" w:cstheme="minorBidi"/>
        </w:rPr>
        <w:footnoteReference w:id="9"/>
      </w:r>
    </w:p>
    <w:p w14:paraId="01E5F33E" w14:textId="77777777" w:rsidR="00E43DF4" w:rsidRPr="00E43DF4" w:rsidRDefault="00E43DF4" w:rsidP="00E43DF4">
      <w:pPr>
        <w:pStyle w:val="ListParagraph"/>
        <w:spacing w:line="360" w:lineRule="auto"/>
        <w:rPr>
          <w:rFonts w:ascii="Arial" w:hAnsi="Arial" w:cs="Arial"/>
        </w:rPr>
      </w:pPr>
    </w:p>
    <w:p w14:paraId="6DB13A0F" w14:textId="7F772F58" w:rsidR="00E43DF4" w:rsidRPr="00CE0AC2" w:rsidRDefault="00213F21" w:rsidP="00C33588">
      <w:pPr>
        <w:pStyle w:val="ListParagraph"/>
        <w:numPr>
          <w:ilvl w:val="0"/>
          <w:numId w:val="8"/>
        </w:numPr>
        <w:tabs>
          <w:tab w:val="left" w:pos="709"/>
        </w:tabs>
        <w:spacing w:line="360" w:lineRule="auto"/>
        <w:ind w:left="0" w:firstLine="0"/>
        <w:jc w:val="both"/>
        <w:rPr>
          <w:rFonts w:ascii="Arial" w:hAnsi="Arial" w:cs="Arial"/>
        </w:rPr>
      </w:pPr>
      <w:r w:rsidRPr="00E43DF4">
        <w:rPr>
          <w:rFonts w:asciiTheme="minorBidi" w:hAnsiTheme="minorBidi" w:cstheme="minorBidi"/>
          <w:color w:val="242121"/>
        </w:rPr>
        <w:t xml:space="preserve">The primary goal of an amendment, frequently </w:t>
      </w:r>
      <w:r w:rsidR="007F11FF">
        <w:rPr>
          <w:rFonts w:asciiTheme="minorBidi" w:hAnsiTheme="minorBidi" w:cstheme="minorBidi"/>
          <w:color w:val="242121"/>
        </w:rPr>
        <w:t>mention</w:t>
      </w:r>
      <w:r w:rsidRPr="00E43DF4">
        <w:rPr>
          <w:rFonts w:asciiTheme="minorBidi" w:hAnsiTheme="minorBidi" w:cstheme="minorBidi"/>
          <w:color w:val="242121"/>
        </w:rPr>
        <w:t xml:space="preserve">ed by the party seeking </w:t>
      </w:r>
      <w:r w:rsidR="00C75102">
        <w:rPr>
          <w:rFonts w:asciiTheme="minorBidi" w:hAnsiTheme="minorBidi" w:cstheme="minorBidi"/>
          <w:color w:val="242121"/>
        </w:rPr>
        <w:t>it</w:t>
      </w:r>
      <w:r w:rsidR="00E43DF4" w:rsidRPr="00E43DF4">
        <w:rPr>
          <w:rFonts w:asciiTheme="minorBidi" w:hAnsiTheme="minorBidi" w:cstheme="minorBidi"/>
          <w:color w:val="242121"/>
        </w:rPr>
        <w:t>,</w:t>
      </w:r>
      <w:r w:rsidRPr="00E43DF4">
        <w:rPr>
          <w:rFonts w:asciiTheme="minorBidi" w:hAnsiTheme="minorBidi" w:cstheme="minorBidi"/>
          <w:color w:val="242121"/>
        </w:rPr>
        <w:t xml:space="preserve"> </w:t>
      </w:r>
      <w:r w:rsidR="00366AC0" w:rsidRPr="00E43DF4">
        <w:rPr>
          <w:rFonts w:asciiTheme="minorBidi" w:hAnsiTheme="minorBidi" w:cstheme="minorBidi"/>
          <w:color w:val="242121"/>
        </w:rPr>
        <w:t xml:space="preserve">is to ensure a proper ventilation of the </w:t>
      </w:r>
      <w:r w:rsidR="004141CE">
        <w:rPr>
          <w:rFonts w:asciiTheme="minorBidi" w:hAnsiTheme="minorBidi" w:cstheme="minorBidi"/>
          <w:color w:val="242121"/>
        </w:rPr>
        <w:t xml:space="preserve">true </w:t>
      </w:r>
      <w:r w:rsidR="00366AC0" w:rsidRPr="00E43DF4">
        <w:rPr>
          <w:rFonts w:asciiTheme="minorBidi" w:hAnsiTheme="minorBidi" w:cstheme="minorBidi"/>
          <w:color w:val="242121"/>
        </w:rPr>
        <w:t>dispute between the parties</w:t>
      </w:r>
      <w:r w:rsidR="00366AC0" w:rsidRPr="00E43DF4">
        <w:rPr>
          <w:rFonts w:ascii="Arial" w:hAnsi="Arial" w:cs="Arial"/>
          <w:color w:val="242121"/>
        </w:rPr>
        <w:t xml:space="preserve"> in </w:t>
      </w:r>
      <w:r w:rsidR="00366AC0" w:rsidRPr="00827D3F">
        <w:rPr>
          <w:rFonts w:ascii="Arial" w:hAnsi="Arial" w:cs="Arial"/>
          <w:color w:val="242121"/>
        </w:rPr>
        <w:t xml:space="preserve">order to </w:t>
      </w:r>
      <w:r w:rsidR="004141CE">
        <w:rPr>
          <w:rFonts w:ascii="Arial" w:hAnsi="Arial" w:cs="Arial"/>
          <w:color w:val="242121"/>
        </w:rPr>
        <w:t xml:space="preserve">permit the court to </w:t>
      </w:r>
      <w:r w:rsidR="00366AC0" w:rsidRPr="00827D3F">
        <w:rPr>
          <w:rFonts w:ascii="Arial" w:hAnsi="Arial" w:cs="Arial"/>
          <w:color w:val="242121"/>
        </w:rPr>
        <w:t>determine th</w:t>
      </w:r>
      <w:r w:rsidR="004141CE">
        <w:rPr>
          <w:rFonts w:ascii="Arial" w:hAnsi="Arial" w:cs="Arial"/>
          <w:color w:val="242121"/>
        </w:rPr>
        <w:t>at</w:t>
      </w:r>
      <w:r w:rsidR="00366AC0" w:rsidRPr="00827D3F">
        <w:rPr>
          <w:rFonts w:ascii="Arial" w:hAnsi="Arial" w:cs="Arial"/>
          <w:color w:val="242121"/>
        </w:rPr>
        <w:t xml:space="preserve"> issue</w:t>
      </w:r>
      <w:r w:rsidR="00E43DF4" w:rsidRPr="00827D3F">
        <w:rPr>
          <w:rFonts w:ascii="Arial" w:hAnsi="Arial" w:cs="Arial"/>
          <w:color w:val="242121"/>
        </w:rPr>
        <w:t>.</w:t>
      </w:r>
      <w:r w:rsidR="00440567">
        <w:rPr>
          <w:rStyle w:val="FootnoteReference"/>
          <w:rFonts w:ascii="Arial" w:hAnsi="Arial" w:cs="Arial"/>
          <w:color w:val="242121"/>
        </w:rPr>
        <w:footnoteReference w:id="10"/>
      </w:r>
      <w:r w:rsidR="00E43DF4" w:rsidRPr="00827D3F">
        <w:rPr>
          <w:rFonts w:ascii="Arial" w:hAnsi="Arial" w:cs="Arial"/>
          <w:color w:val="242121"/>
        </w:rPr>
        <w:t xml:space="preserve"> </w:t>
      </w:r>
      <w:r w:rsidR="00366AC0" w:rsidRPr="00827D3F">
        <w:rPr>
          <w:rFonts w:ascii="Arial" w:hAnsi="Arial" w:cs="Arial"/>
          <w:color w:val="242121"/>
        </w:rPr>
        <w:t xml:space="preserve">Notwithstanding this </w:t>
      </w:r>
      <w:r w:rsidR="002041B1">
        <w:rPr>
          <w:rFonts w:ascii="Arial" w:hAnsi="Arial" w:cs="Arial"/>
          <w:color w:val="242121"/>
        </w:rPr>
        <w:t>laudable</w:t>
      </w:r>
      <w:r w:rsidR="00366AC0" w:rsidRPr="00827D3F">
        <w:rPr>
          <w:rFonts w:ascii="Arial" w:hAnsi="Arial" w:cs="Arial"/>
          <w:color w:val="242121"/>
        </w:rPr>
        <w:t xml:space="preserve"> goal, t</w:t>
      </w:r>
      <w:r w:rsidR="00FB79B7" w:rsidRPr="00827D3F">
        <w:rPr>
          <w:rFonts w:asciiTheme="minorBidi" w:hAnsiTheme="minorBidi" w:cstheme="minorBidi"/>
          <w:color w:val="242121"/>
        </w:rPr>
        <w:t>he seeking of an amendment, nonetheless</w:t>
      </w:r>
      <w:r w:rsidR="00E32C0E">
        <w:rPr>
          <w:rFonts w:asciiTheme="minorBidi" w:hAnsiTheme="minorBidi" w:cstheme="minorBidi"/>
          <w:color w:val="242121"/>
        </w:rPr>
        <w:t>,</w:t>
      </w:r>
      <w:r w:rsidR="00FB79B7" w:rsidRPr="00827D3F">
        <w:rPr>
          <w:rFonts w:asciiTheme="minorBidi" w:hAnsiTheme="minorBidi" w:cstheme="minorBidi"/>
          <w:color w:val="242121"/>
        </w:rPr>
        <w:t xml:space="preserve"> remains an indulgence</w:t>
      </w:r>
      <w:r w:rsidRPr="00827D3F">
        <w:rPr>
          <w:rFonts w:asciiTheme="minorBidi" w:hAnsiTheme="minorBidi" w:cstheme="minorBidi"/>
          <w:color w:val="242121"/>
        </w:rPr>
        <w:t xml:space="preserve">, particularly </w:t>
      </w:r>
      <w:r w:rsidRPr="00CE0AC2">
        <w:rPr>
          <w:rFonts w:asciiTheme="minorBidi" w:hAnsiTheme="minorBidi" w:cstheme="minorBidi"/>
          <w:color w:val="242121"/>
        </w:rPr>
        <w:t>once the trial has commenced.</w:t>
      </w:r>
      <w:r>
        <w:rPr>
          <w:rStyle w:val="FootnoteReference"/>
          <w:rFonts w:asciiTheme="minorBidi" w:hAnsiTheme="minorBidi" w:cstheme="minorBidi"/>
          <w:color w:val="242121"/>
        </w:rPr>
        <w:footnoteReference w:id="11"/>
      </w:r>
      <w:r w:rsidRPr="00CE0AC2">
        <w:rPr>
          <w:rFonts w:asciiTheme="minorBidi" w:hAnsiTheme="minorBidi" w:cstheme="minorBidi"/>
          <w:color w:val="242121"/>
        </w:rPr>
        <w:t xml:space="preserve"> </w:t>
      </w:r>
      <w:r w:rsidR="00C33588" w:rsidRPr="00CE0AC2">
        <w:rPr>
          <w:rFonts w:asciiTheme="minorBidi" w:hAnsiTheme="minorBidi" w:cstheme="minorBidi"/>
          <w:color w:val="242121"/>
        </w:rPr>
        <w:t xml:space="preserve">In this regard, Willis J in </w:t>
      </w:r>
      <w:r w:rsidR="00C33588" w:rsidRPr="00CE0AC2">
        <w:rPr>
          <w:rFonts w:asciiTheme="minorBidi" w:hAnsiTheme="minorBidi" w:cstheme="minorBidi"/>
          <w:i/>
          <w:iCs/>
          <w:color w:val="242121"/>
        </w:rPr>
        <w:t>Randa</w:t>
      </w:r>
      <w:r w:rsidR="00C33588">
        <w:rPr>
          <w:rStyle w:val="FootnoteReference"/>
          <w:rFonts w:asciiTheme="minorBidi" w:hAnsiTheme="minorBidi" w:cstheme="minorBidi"/>
          <w:color w:val="242121"/>
        </w:rPr>
        <w:footnoteReference w:id="12"/>
      </w:r>
      <w:r w:rsidR="00C33588" w:rsidRPr="00CE0AC2">
        <w:rPr>
          <w:rFonts w:asciiTheme="minorBidi" w:hAnsiTheme="minorBidi" w:cstheme="minorBidi"/>
          <w:color w:val="242121"/>
        </w:rPr>
        <w:t xml:space="preserve"> </w:t>
      </w:r>
      <w:r w:rsidR="007F11FF">
        <w:rPr>
          <w:rFonts w:asciiTheme="minorBidi" w:hAnsiTheme="minorBidi" w:cstheme="minorBidi"/>
          <w:color w:val="242121"/>
        </w:rPr>
        <w:t>expressed the view</w:t>
      </w:r>
      <w:r w:rsidR="00C33588" w:rsidRPr="00CE0AC2">
        <w:rPr>
          <w:rFonts w:asciiTheme="minorBidi" w:hAnsiTheme="minorBidi" w:cstheme="minorBidi"/>
          <w:color w:val="242121"/>
        </w:rPr>
        <w:t xml:space="preserve"> that:</w:t>
      </w:r>
    </w:p>
    <w:p w14:paraId="430D358E" w14:textId="77777777" w:rsidR="00CE68FA" w:rsidRPr="00C33588" w:rsidRDefault="00C33588" w:rsidP="00C33588">
      <w:pPr>
        <w:spacing w:line="360" w:lineRule="auto"/>
        <w:jc w:val="both"/>
        <w:rPr>
          <w:rFonts w:ascii="Verdana" w:hAnsi="Verdana"/>
          <w:color w:val="242121"/>
          <w:sz w:val="22"/>
          <w:szCs w:val="22"/>
        </w:rPr>
      </w:pPr>
      <w:r w:rsidRPr="00C33588">
        <w:rPr>
          <w:rFonts w:ascii="Arial" w:hAnsi="Arial" w:cs="Arial"/>
          <w:color w:val="242121"/>
          <w:sz w:val="22"/>
          <w:szCs w:val="22"/>
          <w:shd w:val="clear" w:color="auto" w:fill="FFFFFF"/>
        </w:rPr>
        <w:t>‘</w:t>
      </w:r>
      <w:r w:rsidR="00C43BCE" w:rsidRPr="00C43BCE">
        <w:rPr>
          <w:rFonts w:ascii="Arial" w:hAnsi="Arial" w:cs="Arial"/>
          <w:color w:val="242121"/>
          <w:sz w:val="22"/>
          <w:szCs w:val="22"/>
          <w:shd w:val="clear" w:color="auto" w:fill="FFFFFF"/>
          <w:lang w:val="en-US"/>
        </w:rPr>
        <w:t>It has long been my conviction that the commencement of a trial is the fulcrum upon which the courts' stance in respect of applications for amendments to pleadings should be balanced. The further away the parties are from the commencement of the trial, the easier it should be for a litigant to obtain an amendment and, conversely, the deeper the parties are into trial and the nearer they may be to obtaining judgment, the more difficult it ought to be.</w:t>
      </w:r>
      <w:r w:rsidRPr="00C33588">
        <w:rPr>
          <w:rFonts w:ascii="Arial" w:hAnsi="Arial" w:cs="Arial"/>
          <w:color w:val="242121"/>
          <w:sz w:val="22"/>
          <w:szCs w:val="22"/>
          <w:shd w:val="clear" w:color="auto" w:fill="FFFFFF"/>
        </w:rPr>
        <w:t>’</w:t>
      </w:r>
    </w:p>
    <w:p w14:paraId="6CCC6CEA" w14:textId="77777777" w:rsidR="00C33588" w:rsidRPr="00E43DF4" w:rsidRDefault="00C33588" w:rsidP="00C33588">
      <w:pPr>
        <w:pStyle w:val="ListParagraph"/>
        <w:spacing w:line="360" w:lineRule="auto"/>
        <w:rPr>
          <w:rFonts w:ascii="Arial" w:hAnsi="Arial" w:cs="Arial"/>
        </w:rPr>
      </w:pPr>
    </w:p>
    <w:p w14:paraId="797B2F29" w14:textId="77777777" w:rsidR="009706A3" w:rsidRDefault="009706A3" w:rsidP="009706A3">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t>I</w:t>
      </w:r>
      <w:r w:rsidRPr="00C33588">
        <w:rPr>
          <w:rFonts w:ascii="Arial" w:hAnsi="Arial" w:cs="Arial"/>
        </w:rPr>
        <w:t xml:space="preserve">n </w:t>
      </w:r>
      <w:r w:rsidR="00930017">
        <w:rPr>
          <w:rFonts w:ascii="Arial" w:hAnsi="Arial" w:cs="Arial"/>
        </w:rPr>
        <w:t>paragraph 9 of the</w:t>
      </w:r>
      <w:r w:rsidRPr="00C33588">
        <w:rPr>
          <w:rFonts w:ascii="Arial" w:hAnsi="Arial" w:cs="Arial"/>
        </w:rPr>
        <w:t xml:space="preserve"> </w:t>
      </w:r>
      <w:r>
        <w:rPr>
          <w:rFonts w:ascii="Arial" w:hAnsi="Arial" w:cs="Arial"/>
        </w:rPr>
        <w:t xml:space="preserve">affidavit used in support of </w:t>
      </w:r>
      <w:r w:rsidR="00382F4A">
        <w:rPr>
          <w:rFonts w:ascii="Arial" w:hAnsi="Arial" w:cs="Arial"/>
        </w:rPr>
        <w:t>her</w:t>
      </w:r>
      <w:r>
        <w:rPr>
          <w:rFonts w:ascii="Arial" w:hAnsi="Arial" w:cs="Arial"/>
        </w:rPr>
        <w:t xml:space="preserve"> application to amend</w:t>
      </w:r>
      <w:r w:rsidR="00440567">
        <w:rPr>
          <w:rFonts w:ascii="Arial" w:hAnsi="Arial" w:cs="Arial"/>
        </w:rPr>
        <w:t xml:space="preserve"> her particulars of claim</w:t>
      </w:r>
      <w:r>
        <w:rPr>
          <w:rFonts w:ascii="Arial" w:hAnsi="Arial" w:cs="Arial"/>
        </w:rPr>
        <w:t xml:space="preserve">, the </w:t>
      </w:r>
      <w:r w:rsidR="00C6086B">
        <w:rPr>
          <w:rFonts w:ascii="Arial" w:hAnsi="Arial" w:cs="Arial"/>
        </w:rPr>
        <w:t>plaintiff</w:t>
      </w:r>
      <w:r>
        <w:rPr>
          <w:rFonts w:ascii="Arial" w:hAnsi="Arial" w:cs="Arial"/>
        </w:rPr>
        <w:t xml:space="preserve">, through the voice of her attorney, </w:t>
      </w:r>
      <w:r w:rsidR="00C6086B">
        <w:rPr>
          <w:rFonts w:ascii="Arial" w:hAnsi="Arial" w:cs="Arial"/>
        </w:rPr>
        <w:t>explains the basis of her amendment:</w:t>
      </w:r>
    </w:p>
    <w:p w14:paraId="05CD364D" w14:textId="77777777" w:rsidR="009706A3" w:rsidRPr="009706A3" w:rsidRDefault="009706A3" w:rsidP="009706A3">
      <w:pPr>
        <w:pStyle w:val="ListParagraph"/>
        <w:tabs>
          <w:tab w:val="left" w:pos="709"/>
        </w:tabs>
        <w:spacing w:line="360" w:lineRule="auto"/>
        <w:ind w:left="0"/>
        <w:jc w:val="both"/>
        <w:rPr>
          <w:rFonts w:ascii="Arial" w:hAnsi="Arial" w:cs="Arial"/>
          <w:sz w:val="22"/>
          <w:szCs w:val="22"/>
        </w:rPr>
      </w:pPr>
      <w:r w:rsidRPr="009706A3">
        <w:rPr>
          <w:rFonts w:ascii="Arial" w:hAnsi="Arial" w:cs="Arial"/>
          <w:sz w:val="22"/>
          <w:szCs w:val="22"/>
        </w:rPr>
        <w:t>‘9.1</w:t>
      </w:r>
      <w:r w:rsidRPr="009706A3">
        <w:rPr>
          <w:rFonts w:ascii="Arial" w:hAnsi="Arial" w:cs="Arial"/>
          <w:sz w:val="22"/>
          <w:szCs w:val="22"/>
        </w:rPr>
        <w:tab/>
        <w:t>save in the minor respect alluded to below:</w:t>
      </w:r>
    </w:p>
    <w:p w14:paraId="2CA8EBEF" w14:textId="77777777" w:rsidR="009706A3" w:rsidRPr="009706A3" w:rsidRDefault="009706A3" w:rsidP="009706A3">
      <w:pPr>
        <w:pStyle w:val="ListParagraph"/>
        <w:tabs>
          <w:tab w:val="left" w:pos="709"/>
        </w:tabs>
        <w:spacing w:line="360" w:lineRule="auto"/>
        <w:ind w:left="1418" w:hanging="1418"/>
        <w:jc w:val="both"/>
        <w:rPr>
          <w:rFonts w:ascii="Arial" w:hAnsi="Arial" w:cs="Arial"/>
          <w:sz w:val="22"/>
          <w:szCs w:val="22"/>
        </w:rPr>
      </w:pPr>
      <w:r w:rsidRPr="009706A3">
        <w:rPr>
          <w:rFonts w:ascii="Arial" w:hAnsi="Arial" w:cs="Arial"/>
          <w:sz w:val="22"/>
          <w:szCs w:val="22"/>
        </w:rPr>
        <w:tab/>
        <w:t>9.1.1</w:t>
      </w:r>
      <w:r w:rsidRPr="009706A3">
        <w:rPr>
          <w:rFonts w:ascii="Arial" w:hAnsi="Arial" w:cs="Arial"/>
          <w:sz w:val="22"/>
          <w:szCs w:val="22"/>
        </w:rPr>
        <w:tab/>
        <w:t>the amendment is founded upon the evidence already adduced by the plaintiff and her witnesses at trial;</w:t>
      </w:r>
    </w:p>
    <w:p w14:paraId="676FFFFF" w14:textId="77777777" w:rsidR="009706A3" w:rsidRDefault="009706A3" w:rsidP="009706A3">
      <w:pPr>
        <w:pStyle w:val="ListParagraph"/>
        <w:tabs>
          <w:tab w:val="left" w:pos="709"/>
        </w:tabs>
        <w:spacing w:line="360" w:lineRule="auto"/>
        <w:ind w:left="1418" w:hanging="1418"/>
        <w:jc w:val="both"/>
        <w:rPr>
          <w:rFonts w:ascii="Arial" w:hAnsi="Arial" w:cs="Arial"/>
          <w:sz w:val="22"/>
          <w:szCs w:val="22"/>
        </w:rPr>
      </w:pPr>
      <w:r w:rsidRPr="009706A3">
        <w:rPr>
          <w:rFonts w:ascii="Arial" w:hAnsi="Arial" w:cs="Arial"/>
          <w:sz w:val="22"/>
          <w:szCs w:val="22"/>
        </w:rPr>
        <w:tab/>
        <w:t>9.1.2</w:t>
      </w:r>
      <w:r w:rsidRPr="009706A3">
        <w:rPr>
          <w:rFonts w:ascii="Arial" w:hAnsi="Arial" w:cs="Arial"/>
          <w:sz w:val="22"/>
          <w:szCs w:val="22"/>
        </w:rPr>
        <w:tab/>
        <w:t>the plaintiff does not propose to adduce any further evidence in support of the proposed amendment.</w:t>
      </w:r>
    </w:p>
    <w:p w14:paraId="4EBCC11D" w14:textId="77777777" w:rsidR="009706A3" w:rsidRDefault="009706A3" w:rsidP="00C6086B">
      <w:pPr>
        <w:pStyle w:val="ListParagraph"/>
        <w:tabs>
          <w:tab w:val="left" w:pos="709"/>
        </w:tabs>
        <w:spacing w:line="360" w:lineRule="auto"/>
        <w:ind w:left="709" w:hanging="709"/>
        <w:jc w:val="both"/>
        <w:rPr>
          <w:rFonts w:ascii="Arial" w:hAnsi="Arial" w:cs="Arial"/>
          <w:sz w:val="22"/>
          <w:szCs w:val="22"/>
        </w:rPr>
      </w:pPr>
      <w:r>
        <w:rPr>
          <w:rFonts w:ascii="Arial" w:hAnsi="Arial" w:cs="Arial"/>
          <w:sz w:val="22"/>
          <w:szCs w:val="22"/>
        </w:rPr>
        <w:t>9.2</w:t>
      </w:r>
      <w:r>
        <w:rPr>
          <w:rFonts w:ascii="Arial" w:hAnsi="Arial" w:cs="Arial"/>
          <w:sz w:val="22"/>
          <w:szCs w:val="22"/>
        </w:rPr>
        <w:tab/>
        <w:t>the plaintiff proposes, through the proposed amendment, to align her pleadings to the evidence adduced at the trial;</w:t>
      </w:r>
    </w:p>
    <w:p w14:paraId="3A494975" w14:textId="77777777" w:rsidR="00C6086B" w:rsidRDefault="009706A3" w:rsidP="009E3BDA">
      <w:pPr>
        <w:pStyle w:val="ListParagraph"/>
        <w:tabs>
          <w:tab w:val="left" w:pos="709"/>
        </w:tabs>
        <w:spacing w:line="360" w:lineRule="auto"/>
        <w:ind w:left="709" w:hanging="709"/>
        <w:jc w:val="both"/>
        <w:rPr>
          <w:rFonts w:ascii="Arial" w:hAnsi="Arial" w:cs="Arial"/>
          <w:sz w:val="22"/>
          <w:szCs w:val="22"/>
        </w:rPr>
      </w:pPr>
      <w:r>
        <w:rPr>
          <w:rFonts w:ascii="Arial" w:hAnsi="Arial" w:cs="Arial"/>
          <w:sz w:val="22"/>
          <w:szCs w:val="22"/>
        </w:rPr>
        <w:t>9.3</w:t>
      </w:r>
      <w:r>
        <w:rPr>
          <w:rFonts w:ascii="Arial" w:hAnsi="Arial" w:cs="Arial"/>
          <w:sz w:val="22"/>
          <w:szCs w:val="22"/>
        </w:rPr>
        <w:tab/>
        <w:t xml:space="preserve">evidence relating to the post-natal care of </w:t>
      </w:r>
      <w:r w:rsidR="002041B1">
        <w:rPr>
          <w:rFonts w:ascii="Arial" w:hAnsi="Arial" w:cs="Arial"/>
          <w:sz w:val="22"/>
          <w:szCs w:val="22"/>
        </w:rPr>
        <w:t>[the minor child]</w:t>
      </w:r>
      <w:r>
        <w:rPr>
          <w:rFonts w:ascii="Arial" w:hAnsi="Arial" w:cs="Arial"/>
          <w:sz w:val="22"/>
          <w:szCs w:val="22"/>
        </w:rPr>
        <w:t xml:space="preserve"> relied upon by the plaintiff is documented in the hospital records and was addressed in the report and evidence of Dr Yatish Kara at the trial.’</w:t>
      </w:r>
    </w:p>
    <w:p w14:paraId="2893D1C4" w14:textId="77777777" w:rsidR="009E3BDA" w:rsidRDefault="009E3BDA" w:rsidP="009E3BDA">
      <w:pPr>
        <w:pStyle w:val="ListParagraph"/>
        <w:tabs>
          <w:tab w:val="left" w:pos="709"/>
        </w:tabs>
        <w:spacing w:line="360" w:lineRule="auto"/>
        <w:ind w:left="709" w:hanging="709"/>
        <w:jc w:val="both"/>
        <w:rPr>
          <w:rFonts w:ascii="Arial" w:hAnsi="Arial" w:cs="Arial"/>
        </w:rPr>
      </w:pPr>
      <w:r>
        <w:rPr>
          <w:rFonts w:ascii="Arial" w:hAnsi="Arial" w:cs="Arial"/>
        </w:rPr>
        <w:t xml:space="preserve">I </w:t>
      </w:r>
      <w:r w:rsidR="00EB4496">
        <w:rPr>
          <w:rFonts w:ascii="Arial" w:hAnsi="Arial" w:cs="Arial"/>
        </w:rPr>
        <w:t>shall</w:t>
      </w:r>
      <w:r>
        <w:rPr>
          <w:rFonts w:ascii="Arial" w:hAnsi="Arial" w:cs="Arial"/>
        </w:rPr>
        <w:t xml:space="preserve"> </w:t>
      </w:r>
      <w:r w:rsidR="00EB4496">
        <w:rPr>
          <w:rFonts w:ascii="Arial" w:hAnsi="Arial" w:cs="Arial"/>
        </w:rPr>
        <w:t xml:space="preserve">henceforth </w:t>
      </w:r>
      <w:r>
        <w:rPr>
          <w:rFonts w:ascii="Arial" w:hAnsi="Arial" w:cs="Arial"/>
        </w:rPr>
        <w:t>refer to this paragraph as ‘paragraph 9’.</w:t>
      </w:r>
    </w:p>
    <w:p w14:paraId="49E311E3" w14:textId="77777777" w:rsidR="009E3BDA" w:rsidRPr="009E3BDA" w:rsidRDefault="009E3BDA" w:rsidP="009E3BDA">
      <w:pPr>
        <w:pStyle w:val="ListParagraph"/>
        <w:tabs>
          <w:tab w:val="left" w:pos="709"/>
        </w:tabs>
        <w:spacing w:line="360" w:lineRule="auto"/>
        <w:ind w:left="709" w:hanging="709"/>
        <w:jc w:val="both"/>
        <w:rPr>
          <w:rFonts w:ascii="Arial" w:hAnsi="Arial" w:cs="Arial"/>
        </w:rPr>
      </w:pPr>
    </w:p>
    <w:p w14:paraId="27320875" w14:textId="77777777" w:rsidR="00E869A3" w:rsidRDefault="007F7CD9" w:rsidP="00A308A5">
      <w:pPr>
        <w:pStyle w:val="ListParagraph"/>
        <w:numPr>
          <w:ilvl w:val="0"/>
          <w:numId w:val="8"/>
        </w:numPr>
        <w:tabs>
          <w:tab w:val="left" w:pos="709"/>
        </w:tabs>
        <w:spacing w:line="360" w:lineRule="auto"/>
        <w:ind w:left="0" w:firstLine="0"/>
        <w:jc w:val="both"/>
        <w:rPr>
          <w:rFonts w:ascii="Arial" w:hAnsi="Arial" w:cs="Arial"/>
        </w:rPr>
      </w:pPr>
      <w:r w:rsidRPr="002041B1">
        <w:rPr>
          <w:rFonts w:ascii="Arial" w:hAnsi="Arial" w:cs="Arial"/>
          <w:bCs/>
        </w:rPr>
        <w:lastRenderedPageBreak/>
        <w:t xml:space="preserve">The </w:t>
      </w:r>
      <w:r w:rsidR="00F44C16" w:rsidRPr="002041B1">
        <w:rPr>
          <w:rFonts w:ascii="Arial" w:hAnsi="Arial" w:cs="Arial"/>
        </w:rPr>
        <w:t>plaintiff’s notice</w:t>
      </w:r>
      <w:r w:rsidR="002041B1" w:rsidRPr="002041B1">
        <w:rPr>
          <w:rFonts w:ascii="Arial" w:hAnsi="Arial" w:cs="Arial"/>
        </w:rPr>
        <w:t xml:space="preserve"> of amendment</w:t>
      </w:r>
      <w:r w:rsidR="00F44C16" w:rsidRPr="002041B1">
        <w:rPr>
          <w:rFonts w:ascii="Arial" w:hAnsi="Arial" w:cs="Arial"/>
        </w:rPr>
        <w:t xml:space="preserve"> </w:t>
      </w:r>
      <w:r w:rsidR="003811F2" w:rsidRPr="002041B1">
        <w:rPr>
          <w:rFonts w:ascii="Arial" w:hAnsi="Arial" w:cs="Arial"/>
        </w:rPr>
        <w:t>i</w:t>
      </w:r>
      <w:r w:rsidR="00F44C16" w:rsidRPr="002041B1">
        <w:rPr>
          <w:rFonts w:ascii="Arial" w:hAnsi="Arial" w:cs="Arial"/>
        </w:rPr>
        <w:t xml:space="preserve">s a formidable document, comprising some </w:t>
      </w:r>
      <w:r w:rsidR="005D663E" w:rsidRPr="002041B1">
        <w:rPr>
          <w:rFonts w:ascii="Arial" w:hAnsi="Arial" w:cs="Arial"/>
        </w:rPr>
        <w:t>10</w:t>
      </w:r>
      <w:r w:rsidR="00F44C16" w:rsidRPr="002041B1">
        <w:rPr>
          <w:rFonts w:ascii="Arial" w:hAnsi="Arial" w:cs="Arial"/>
        </w:rPr>
        <w:t xml:space="preserve"> pages</w:t>
      </w:r>
      <w:r w:rsidR="001E6C1F" w:rsidRPr="002041B1">
        <w:rPr>
          <w:rFonts w:ascii="Arial" w:hAnsi="Arial" w:cs="Arial"/>
        </w:rPr>
        <w:t xml:space="preserve"> which contain</w:t>
      </w:r>
      <w:r w:rsidR="00F44C16" w:rsidRPr="002041B1">
        <w:rPr>
          <w:rFonts w:ascii="Arial" w:hAnsi="Arial" w:cs="Arial"/>
        </w:rPr>
        <w:t xml:space="preserve"> </w:t>
      </w:r>
      <w:r w:rsidR="005D663E" w:rsidRPr="002041B1">
        <w:rPr>
          <w:rFonts w:ascii="Arial" w:hAnsi="Arial" w:cs="Arial"/>
        </w:rPr>
        <w:t>1</w:t>
      </w:r>
      <w:r w:rsidR="00E14C5A" w:rsidRPr="002041B1">
        <w:rPr>
          <w:rFonts w:ascii="Arial" w:hAnsi="Arial" w:cs="Arial"/>
        </w:rPr>
        <w:t>0</w:t>
      </w:r>
      <w:r w:rsidR="00F44C16" w:rsidRPr="002041B1">
        <w:rPr>
          <w:rFonts w:ascii="Arial" w:hAnsi="Arial" w:cs="Arial"/>
        </w:rPr>
        <w:t xml:space="preserve"> paragraphs</w:t>
      </w:r>
      <w:r w:rsidR="00E14C5A" w:rsidRPr="002041B1">
        <w:rPr>
          <w:rFonts w:ascii="Arial" w:hAnsi="Arial" w:cs="Arial"/>
        </w:rPr>
        <w:t xml:space="preserve"> </w:t>
      </w:r>
      <w:r w:rsidR="00BB0919" w:rsidRPr="002041B1">
        <w:rPr>
          <w:rFonts w:ascii="Arial" w:hAnsi="Arial" w:cs="Arial"/>
        </w:rPr>
        <w:t>crowded with</w:t>
      </w:r>
      <w:r w:rsidR="00E14C5A" w:rsidRPr="002041B1">
        <w:rPr>
          <w:rFonts w:ascii="Arial" w:hAnsi="Arial" w:cs="Arial"/>
        </w:rPr>
        <w:t xml:space="preserve"> proposed amendments</w:t>
      </w:r>
      <w:r w:rsidR="00C6086B" w:rsidRPr="002041B1">
        <w:rPr>
          <w:rFonts w:ascii="Arial" w:hAnsi="Arial" w:cs="Arial"/>
        </w:rPr>
        <w:t xml:space="preserve">. This is best demonstrated by reference to the </w:t>
      </w:r>
      <w:r w:rsidR="00440567" w:rsidRPr="002041B1">
        <w:rPr>
          <w:rFonts w:ascii="Arial" w:hAnsi="Arial" w:cs="Arial"/>
        </w:rPr>
        <w:t xml:space="preserve">new </w:t>
      </w:r>
      <w:r w:rsidR="00C6086B" w:rsidRPr="002041B1">
        <w:rPr>
          <w:rFonts w:ascii="Arial" w:hAnsi="Arial" w:cs="Arial"/>
        </w:rPr>
        <w:t>proposed paragraph 17.4</w:t>
      </w:r>
      <w:r w:rsidR="00F44C16" w:rsidRPr="002041B1">
        <w:rPr>
          <w:rFonts w:ascii="Arial" w:hAnsi="Arial" w:cs="Arial"/>
        </w:rPr>
        <w:t>,</w:t>
      </w:r>
      <w:r w:rsidR="00C6086B" w:rsidRPr="002041B1">
        <w:rPr>
          <w:rFonts w:ascii="Arial" w:hAnsi="Arial" w:cs="Arial"/>
        </w:rPr>
        <w:t xml:space="preserve"> which</w:t>
      </w:r>
      <w:r w:rsidR="00E14C5A" w:rsidRPr="002041B1">
        <w:rPr>
          <w:rFonts w:ascii="Arial" w:hAnsi="Arial" w:cs="Arial"/>
        </w:rPr>
        <w:t xml:space="preserve"> </w:t>
      </w:r>
      <w:r w:rsidR="003811F2" w:rsidRPr="002041B1">
        <w:rPr>
          <w:rFonts w:ascii="Arial" w:hAnsi="Arial" w:cs="Arial"/>
        </w:rPr>
        <w:t xml:space="preserve">alone </w:t>
      </w:r>
      <w:r w:rsidR="00F44C16" w:rsidRPr="002041B1">
        <w:rPr>
          <w:rFonts w:ascii="Arial" w:hAnsi="Arial" w:cs="Arial"/>
        </w:rPr>
        <w:t>ha</w:t>
      </w:r>
      <w:r w:rsidR="005D663E" w:rsidRPr="002041B1">
        <w:rPr>
          <w:rFonts w:ascii="Arial" w:hAnsi="Arial" w:cs="Arial"/>
        </w:rPr>
        <w:t>s</w:t>
      </w:r>
      <w:r w:rsidR="00F44C16" w:rsidRPr="002041B1">
        <w:rPr>
          <w:rFonts w:ascii="Arial" w:hAnsi="Arial" w:cs="Arial"/>
        </w:rPr>
        <w:t xml:space="preserve"> </w:t>
      </w:r>
      <w:r w:rsidR="00E869A3" w:rsidRPr="002041B1">
        <w:rPr>
          <w:rFonts w:ascii="Arial" w:hAnsi="Arial" w:cs="Arial"/>
        </w:rPr>
        <w:t>3</w:t>
      </w:r>
      <w:r w:rsidR="00F44C16" w:rsidRPr="002041B1">
        <w:rPr>
          <w:rFonts w:ascii="Arial" w:hAnsi="Arial" w:cs="Arial"/>
        </w:rPr>
        <w:t>1 sub-paragraphs</w:t>
      </w:r>
      <w:r w:rsidR="00E869A3" w:rsidRPr="002041B1">
        <w:rPr>
          <w:rFonts w:ascii="Arial" w:hAnsi="Arial" w:cs="Arial"/>
        </w:rPr>
        <w:t xml:space="preserve">, some of which also have </w:t>
      </w:r>
      <w:r w:rsidR="00C6086B" w:rsidRPr="002041B1">
        <w:rPr>
          <w:rFonts w:ascii="Arial" w:hAnsi="Arial" w:cs="Arial"/>
        </w:rPr>
        <w:t xml:space="preserve">their own </w:t>
      </w:r>
      <w:r w:rsidR="00E869A3" w:rsidRPr="002041B1">
        <w:rPr>
          <w:rFonts w:ascii="Arial" w:hAnsi="Arial" w:cs="Arial"/>
        </w:rPr>
        <w:t>sub-paragraphs</w:t>
      </w:r>
      <w:r w:rsidR="00F44C16" w:rsidRPr="002041B1">
        <w:rPr>
          <w:rFonts w:ascii="Arial" w:hAnsi="Arial" w:cs="Arial"/>
        </w:rPr>
        <w:t xml:space="preserve">. </w:t>
      </w:r>
    </w:p>
    <w:p w14:paraId="457B45EC" w14:textId="77777777" w:rsidR="002041B1" w:rsidRDefault="002041B1" w:rsidP="002041B1">
      <w:pPr>
        <w:pStyle w:val="ListParagraph"/>
        <w:tabs>
          <w:tab w:val="left" w:pos="709"/>
        </w:tabs>
        <w:spacing w:line="360" w:lineRule="auto"/>
        <w:ind w:left="0"/>
        <w:jc w:val="both"/>
        <w:rPr>
          <w:rFonts w:ascii="Arial" w:hAnsi="Arial" w:cs="Arial"/>
        </w:rPr>
      </w:pPr>
    </w:p>
    <w:p w14:paraId="25364B46" w14:textId="2165AD9C" w:rsidR="00F44C16" w:rsidRPr="009E3BDA" w:rsidRDefault="00AB2F36" w:rsidP="009E3BDA">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t>But d</w:t>
      </w:r>
      <w:r w:rsidR="0076325D" w:rsidRPr="005D663E">
        <w:rPr>
          <w:rFonts w:ascii="Arial" w:hAnsi="Arial" w:cs="Arial"/>
        </w:rPr>
        <w:t xml:space="preserve">uring argument, it appeared </w:t>
      </w:r>
      <w:r w:rsidR="00440567">
        <w:rPr>
          <w:rFonts w:ascii="Arial" w:hAnsi="Arial" w:cs="Arial"/>
        </w:rPr>
        <w:t xml:space="preserve">to me </w:t>
      </w:r>
      <w:r w:rsidR="0076325D" w:rsidRPr="005D663E">
        <w:rPr>
          <w:rFonts w:ascii="Arial" w:hAnsi="Arial" w:cs="Arial"/>
        </w:rPr>
        <w:t xml:space="preserve">that some of the proposed amendments </w:t>
      </w:r>
      <w:r w:rsidR="0014453D">
        <w:rPr>
          <w:rFonts w:ascii="Arial" w:hAnsi="Arial" w:cs="Arial"/>
        </w:rPr>
        <w:t xml:space="preserve">within the notice of amendment </w:t>
      </w:r>
      <w:r w:rsidR="0076325D" w:rsidRPr="005D663E">
        <w:rPr>
          <w:rFonts w:ascii="Arial" w:hAnsi="Arial" w:cs="Arial"/>
        </w:rPr>
        <w:t xml:space="preserve">were not opposed </w:t>
      </w:r>
      <w:r>
        <w:rPr>
          <w:rFonts w:ascii="Arial" w:hAnsi="Arial" w:cs="Arial"/>
        </w:rPr>
        <w:t>by the defen</w:t>
      </w:r>
      <w:r w:rsidR="00CE0AC2">
        <w:rPr>
          <w:rFonts w:ascii="Arial" w:hAnsi="Arial" w:cs="Arial"/>
        </w:rPr>
        <w:t>dant</w:t>
      </w:r>
      <w:r>
        <w:rPr>
          <w:rFonts w:ascii="Arial" w:hAnsi="Arial" w:cs="Arial"/>
        </w:rPr>
        <w:t xml:space="preserve"> </w:t>
      </w:r>
      <w:r w:rsidR="0076325D" w:rsidRPr="005D663E">
        <w:rPr>
          <w:rFonts w:ascii="Arial" w:hAnsi="Arial" w:cs="Arial"/>
        </w:rPr>
        <w:t xml:space="preserve">and some were no longer persisted </w:t>
      </w:r>
      <w:r w:rsidR="00C43BCE">
        <w:rPr>
          <w:rFonts w:ascii="Arial" w:hAnsi="Arial" w:cs="Arial"/>
        </w:rPr>
        <w:t xml:space="preserve">with </w:t>
      </w:r>
      <w:r>
        <w:rPr>
          <w:rFonts w:ascii="Arial" w:hAnsi="Arial" w:cs="Arial"/>
        </w:rPr>
        <w:t>by the plaintiff</w:t>
      </w:r>
      <w:r w:rsidR="0076325D" w:rsidRPr="005D663E">
        <w:rPr>
          <w:rFonts w:ascii="Arial" w:hAnsi="Arial" w:cs="Arial"/>
        </w:rPr>
        <w:t xml:space="preserve">. </w:t>
      </w:r>
      <w:r w:rsidR="00F44C16" w:rsidRPr="005D663E">
        <w:rPr>
          <w:rFonts w:ascii="Arial" w:hAnsi="Arial" w:cs="Arial"/>
        </w:rPr>
        <w:t xml:space="preserve">Given the convivial </w:t>
      </w:r>
      <w:r w:rsidR="0076325D" w:rsidRPr="005D663E">
        <w:rPr>
          <w:rFonts w:ascii="Arial" w:hAnsi="Arial" w:cs="Arial"/>
        </w:rPr>
        <w:t>way</w:t>
      </w:r>
      <w:r w:rsidR="00F44C16" w:rsidRPr="005D663E">
        <w:rPr>
          <w:rFonts w:ascii="Arial" w:hAnsi="Arial" w:cs="Arial"/>
        </w:rPr>
        <w:t xml:space="preserve"> in which </w:t>
      </w:r>
      <w:r w:rsidR="00F44C16" w:rsidRPr="00CE67C4">
        <w:rPr>
          <w:rFonts w:ascii="Arial" w:hAnsi="Arial" w:cs="Arial"/>
        </w:rPr>
        <w:t>counsel presented their arguments</w:t>
      </w:r>
      <w:r w:rsidR="0076325D" w:rsidRPr="00CE67C4">
        <w:rPr>
          <w:rFonts w:ascii="Arial" w:hAnsi="Arial" w:cs="Arial"/>
        </w:rPr>
        <w:t xml:space="preserve"> and interacted with each other</w:t>
      </w:r>
      <w:r w:rsidR="00F44C16" w:rsidRPr="00CE67C4">
        <w:rPr>
          <w:rFonts w:ascii="Arial" w:hAnsi="Arial" w:cs="Arial"/>
        </w:rPr>
        <w:t xml:space="preserve">, </w:t>
      </w:r>
      <w:r w:rsidR="0076325D" w:rsidRPr="00CE67C4">
        <w:rPr>
          <w:rFonts w:ascii="Arial" w:hAnsi="Arial" w:cs="Arial"/>
        </w:rPr>
        <w:t xml:space="preserve">the court </w:t>
      </w:r>
      <w:r w:rsidR="00CE67C4">
        <w:rPr>
          <w:rFonts w:ascii="Arial" w:hAnsi="Arial" w:cs="Arial"/>
        </w:rPr>
        <w:t xml:space="preserve">inquired of them </w:t>
      </w:r>
      <w:r w:rsidR="008B6796">
        <w:rPr>
          <w:rFonts w:ascii="Arial" w:hAnsi="Arial" w:cs="Arial"/>
        </w:rPr>
        <w:t>whether</w:t>
      </w:r>
      <w:r w:rsidR="00CE67C4">
        <w:rPr>
          <w:rFonts w:ascii="Arial" w:hAnsi="Arial" w:cs="Arial"/>
        </w:rPr>
        <w:t xml:space="preserve"> they could </w:t>
      </w:r>
      <w:r w:rsidR="007604B8">
        <w:rPr>
          <w:rFonts w:ascii="Arial" w:hAnsi="Arial" w:cs="Arial"/>
        </w:rPr>
        <w:t xml:space="preserve">not </w:t>
      </w:r>
      <w:r w:rsidR="00E869A3" w:rsidRPr="00CE67C4">
        <w:rPr>
          <w:rFonts w:ascii="Arial" w:hAnsi="Arial" w:cs="Arial"/>
        </w:rPr>
        <w:t xml:space="preserve">sit down together </w:t>
      </w:r>
      <w:r w:rsidR="00CE67C4" w:rsidRPr="009E3BDA">
        <w:rPr>
          <w:rFonts w:ascii="Arial" w:hAnsi="Arial" w:cs="Arial"/>
        </w:rPr>
        <w:t>and</w:t>
      </w:r>
      <w:r w:rsidR="00E869A3" w:rsidRPr="009E3BDA">
        <w:rPr>
          <w:rFonts w:ascii="Arial" w:hAnsi="Arial" w:cs="Arial"/>
        </w:rPr>
        <w:t xml:space="preserve"> </w:t>
      </w:r>
      <w:r w:rsidR="0076325D" w:rsidRPr="009E3BDA">
        <w:rPr>
          <w:rFonts w:ascii="Arial" w:hAnsi="Arial" w:cs="Arial"/>
        </w:rPr>
        <w:t>identify which of the amendments remained contentious and required a decision by the court</w:t>
      </w:r>
      <w:r w:rsidR="00CE67C4" w:rsidRPr="009E3BDA">
        <w:rPr>
          <w:rFonts w:ascii="Arial" w:hAnsi="Arial" w:cs="Arial"/>
        </w:rPr>
        <w:t>,</w:t>
      </w:r>
      <w:r w:rsidR="00E869A3" w:rsidRPr="009E3BDA">
        <w:rPr>
          <w:rFonts w:ascii="Arial" w:hAnsi="Arial" w:cs="Arial"/>
        </w:rPr>
        <w:t xml:space="preserve"> which </w:t>
      </w:r>
      <w:r w:rsidR="00CE67C4" w:rsidRPr="009E3BDA">
        <w:rPr>
          <w:rFonts w:ascii="Arial" w:hAnsi="Arial" w:cs="Arial"/>
        </w:rPr>
        <w:t>were</w:t>
      </w:r>
      <w:r w:rsidR="00E869A3" w:rsidRPr="009E3BDA">
        <w:rPr>
          <w:rFonts w:ascii="Arial" w:hAnsi="Arial" w:cs="Arial"/>
        </w:rPr>
        <w:t xml:space="preserve"> not opposed</w:t>
      </w:r>
      <w:r w:rsidR="00632FA0">
        <w:rPr>
          <w:rFonts w:ascii="Arial" w:hAnsi="Arial" w:cs="Arial"/>
        </w:rPr>
        <w:t xml:space="preserve"> by the defendant</w:t>
      </w:r>
      <w:r w:rsidR="00E869A3" w:rsidRPr="009E3BDA">
        <w:rPr>
          <w:rFonts w:ascii="Arial" w:hAnsi="Arial" w:cs="Arial"/>
        </w:rPr>
        <w:t xml:space="preserve">, and which were no longer persisted </w:t>
      </w:r>
      <w:r w:rsidR="005A14FA">
        <w:rPr>
          <w:rFonts w:ascii="Arial" w:hAnsi="Arial" w:cs="Arial"/>
        </w:rPr>
        <w:t xml:space="preserve">with </w:t>
      </w:r>
      <w:r w:rsidR="00632FA0">
        <w:rPr>
          <w:rFonts w:ascii="Arial" w:hAnsi="Arial" w:cs="Arial"/>
        </w:rPr>
        <w:t>by the plaintiff</w:t>
      </w:r>
      <w:r w:rsidR="0076325D" w:rsidRPr="009E3BDA">
        <w:rPr>
          <w:rFonts w:ascii="Arial" w:hAnsi="Arial" w:cs="Arial"/>
        </w:rPr>
        <w:t xml:space="preserve">. </w:t>
      </w:r>
      <w:r w:rsidR="00E869A3" w:rsidRPr="009E3BDA">
        <w:rPr>
          <w:rFonts w:ascii="Arial" w:hAnsi="Arial" w:cs="Arial"/>
        </w:rPr>
        <w:t>Counsel very kindly agreed to do so and t</w:t>
      </w:r>
      <w:r w:rsidR="0076325D" w:rsidRPr="009E3BDA">
        <w:rPr>
          <w:rFonts w:ascii="Arial" w:hAnsi="Arial" w:cs="Arial"/>
        </w:rPr>
        <w:t xml:space="preserve">he court </w:t>
      </w:r>
      <w:r w:rsidR="00E869A3" w:rsidRPr="009E3BDA">
        <w:rPr>
          <w:rFonts w:ascii="Arial" w:hAnsi="Arial" w:cs="Arial"/>
        </w:rPr>
        <w:t xml:space="preserve">therefore </w:t>
      </w:r>
      <w:r w:rsidR="0076325D" w:rsidRPr="009E3BDA">
        <w:rPr>
          <w:rFonts w:ascii="Arial" w:hAnsi="Arial" w:cs="Arial"/>
        </w:rPr>
        <w:t xml:space="preserve">stood down </w:t>
      </w:r>
      <w:r w:rsidR="003811F2" w:rsidRPr="009E3BDA">
        <w:rPr>
          <w:rFonts w:ascii="Arial" w:hAnsi="Arial" w:cs="Arial"/>
        </w:rPr>
        <w:t xml:space="preserve">to allow this </w:t>
      </w:r>
      <w:r w:rsidR="00E869A3" w:rsidRPr="009E3BDA">
        <w:rPr>
          <w:rFonts w:ascii="Arial" w:hAnsi="Arial" w:cs="Arial"/>
        </w:rPr>
        <w:t>exercise</w:t>
      </w:r>
      <w:r w:rsidR="003811F2" w:rsidRPr="009E3BDA">
        <w:rPr>
          <w:rFonts w:ascii="Arial" w:hAnsi="Arial" w:cs="Arial"/>
        </w:rPr>
        <w:t xml:space="preserve"> to occur</w:t>
      </w:r>
      <w:r w:rsidR="00E869A3" w:rsidRPr="009E3BDA">
        <w:rPr>
          <w:rFonts w:ascii="Arial" w:hAnsi="Arial" w:cs="Arial"/>
        </w:rPr>
        <w:t xml:space="preserve">. On resumption, counsel informed me that only the following paragraphs </w:t>
      </w:r>
      <w:r w:rsidR="00CE67C4" w:rsidRPr="009E3BDA">
        <w:rPr>
          <w:rFonts w:ascii="Arial" w:hAnsi="Arial" w:cs="Arial"/>
        </w:rPr>
        <w:t xml:space="preserve">in the notice </w:t>
      </w:r>
      <w:r w:rsidR="0014453D">
        <w:rPr>
          <w:rFonts w:ascii="Arial" w:hAnsi="Arial" w:cs="Arial"/>
        </w:rPr>
        <w:t xml:space="preserve">of amendment </w:t>
      </w:r>
      <w:r w:rsidR="0076325D" w:rsidRPr="009E3BDA">
        <w:rPr>
          <w:rFonts w:ascii="Arial" w:hAnsi="Arial" w:cs="Arial"/>
        </w:rPr>
        <w:t xml:space="preserve">remained contentious and </w:t>
      </w:r>
      <w:r w:rsidR="00E869A3" w:rsidRPr="009E3BDA">
        <w:rPr>
          <w:rFonts w:ascii="Arial" w:hAnsi="Arial" w:cs="Arial"/>
        </w:rPr>
        <w:t>therefore necessitated a decision by the court:</w:t>
      </w:r>
      <w:r w:rsidR="00F44C16" w:rsidRPr="009E3BDA">
        <w:rPr>
          <w:rFonts w:ascii="Arial" w:hAnsi="Arial" w:cs="Arial"/>
        </w:rPr>
        <w:t xml:space="preserve"> </w:t>
      </w:r>
    </w:p>
    <w:p w14:paraId="2EF27C6B" w14:textId="77777777" w:rsidR="0076325D" w:rsidRDefault="0076325D" w:rsidP="00917AB9">
      <w:pPr>
        <w:pStyle w:val="ListParagraph"/>
        <w:numPr>
          <w:ilvl w:val="0"/>
          <w:numId w:val="9"/>
        </w:numPr>
        <w:tabs>
          <w:tab w:val="left" w:pos="709"/>
        </w:tabs>
        <w:spacing w:line="360" w:lineRule="auto"/>
        <w:ind w:left="0" w:firstLine="0"/>
        <w:jc w:val="both"/>
        <w:rPr>
          <w:rFonts w:ascii="Arial" w:hAnsi="Arial" w:cs="Arial"/>
        </w:rPr>
      </w:pPr>
      <w:r>
        <w:rPr>
          <w:rFonts w:ascii="Arial" w:hAnsi="Arial" w:cs="Arial"/>
        </w:rPr>
        <w:t>Para</w:t>
      </w:r>
      <w:r w:rsidR="00F317C5">
        <w:rPr>
          <w:rFonts w:ascii="Arial" w:hAnsi="Arial" w:cs="Arial"/>
        </w:rPr>
        <w:t>graph</w:t>
      </w:r>
      <w:r w:rsidR="00955271">
        <w:rPr>
          <w:rFonts w:ascii="Arial" w:hAnsi="Arial" w:cs="Arial"/>
        </w:rPr>
        <w:t xml:space="preserve"> 16B of the notice</w:t>
      </w:r>
      <w:r w:rsidR="00307E9B">
        <w:rPr>
          <w:rFonts w:ascii="Arial" w:hAnsi="Arial" w:cs="Arial"/>
        </w:rPr>
        <w:t>;</w:t>
      </w:r>
      <w:r w:rsidR="00E869A3">
        <w:rPr>
          <w:rFonts w:ascii="Arial" w:hAnsi="Arial" w:cs="Arial"/>
        </w:rPr>
        <w:t xml:space="preserve"> and</w:t>
      </w:r>
    </w:p>
    <w:p w14:paraId="279BF35C" w14:textId="77777777" w:rsidR="0076325D" w:rsidRDefault="0076325D" w:rsidP="00917AB9">
      <w:pPr>
        <w:pStyle w:val="ListParagraph"/>
        <w:numPr>
          <w:ilvl w:val="0"/>
          <w:numId w:val="9"/>
        </w:numPr>
        <w:tabs>
          <w:tab w:val="left" w:pos="709"/>
        </w:tabs>
        <w:spacing w:line="360" w:lineRule="auto"/>
        <w:ind w:left="0" w:firstLine="0"/>
        <w:jc w:val="both"/>
        <w:rPr>
          <w:rFonts w:ascii="Arial" w:hAnsi="Arial" w:cs="Arial"/>
        </w:rPr>
      </w:pPr>
      <w:r>
        <w:rPr>
          <w:rFonts w:ascii="Arial" w:hAnsi="Arial" w:cs="Arial"/>
        </w:rPr>
        <w:t>Para</w:t>
      </w:r>
      <w:r w:rsidR="00F317C5">
        <w:rPr>
          <w:rFonts w:ascii="Arial" w:hAnsi="Arial" w:cs="Arial"/>
        </w:rPr>
        <w:t>graphs</w:t>
      </w:r>
      <w:r>
        <w:rPr>
          <w:rFonts w:ascii="Arial" w:hAnsi="Arial" w:cs="Arial"/>
        </w:rPr>
        <w:t xml:space="preserve"> </w:t>
      </w:r>
      <w:r w:rsidR="00955271">
        <w:rPr>
          <w:rFonts w:ascii="Arial" w:hAnsi="Arial" w:cs="Arial"/>
        </w:rPr>
        <w:t>17.3.1 to 17.3.5</w:t>
      </w:r>
      <w:r w:rsidR="00E869A3">
        <w:rPr>
          <w:rFonts w:ascii="Arial" w:hAnsi="Arial" w:cs="Arial"/>
        </w:rPr>
        <w:t xml:space="preserve"> of the notice.</w:t>
      </w:r>
    </w:p>
    <w:p w14:paraId="24D3C5C6" w14:textId="77777777" w:rsidR="002041B1" w:rsidRDefault="00FC5990" w:rsidP="002041B1">
      <w:pPr>
        <w:pStyle w:val="ListParagraph"/>
        <w:tabs>
          <w:tab w:val="left" w:pos="709"/>
        </w:tabs>
        <w:spacing w:line="360" w:lineRule="auto"/>
        <w:ind w:left="0"/>
        <w:jc w:val="both"/>
        <w:rPr>
          <w:rFonts w:ascii="Arial" w:hAnsi="Arial" w:cs="Arial"/>
        </w:rPr>
      </w:pPr>
      <w:r>
        <w:rPr>
          <w:rFonts w:ascii="Arial" w:hAnsi="Arial" w:cs="Arial"/>
        </w:rPr>
        <w:t xml:space="preserve">I shall refer to these paragraphs as ‘the contentious paragraphs’. </w:t>
      </w:r>
    </w:p>
    <w:p w14:paraId="6B56FCFE" w14:textId="77777777" w:rsidR="002041B1" w:rsidRPr="002041B1" w:rsidRDefault="002041B1" w:rsidP="002041B1">
      <w:pPr>
        <w:tabs>
          <w:tab w:val="left" w:pos="709"/>
        </w:tabs>
        <w:spacing w:line="360" w:lineRule="auto"/>
        <w:jc w:val="both"/>
        <w:rPr>
          <w:rFonts w:ascii="Arial" w:hAnsi="Arial" w:cs="Arial"/>
        </w:rPr>
      </w:pPr>
    </w:p>
    <w:p w14:paraId="033481BB" w14:textId="63C56ECD" w:rsidR="00FC5990" w:rsidRPr="002041B1" w:rsidRDefault="00FC5990" w:rsidP="002041B1">
      <w:pPr>
        <w:pStyle w:val="ListParagraph"/>
        <w:numPr>
          <w:ilvl w:val="0"/>
          <w:numId w:val="8"/>
        </w:numPr>
        <w:tabs>
          <w:tab w:val="left" w:pos="709"/>
        </w:tabs>
        <w:spacing w:line="360" w:lineRule="auto"/>
        <w:ind w:left="0" w:firstLine="0"/>
        <w:jc w:val="both"/>
        <w:rPr>
          <w:rFonts w:ascii="Arial" w:hAnsi="Arial" w:cs="Arial"/>
        </w:rPr>
      </w:pPr>
      <w:r w:rsidRPr="002041B1">
        <w:rPr>
          <w:rFonts w:ascii="Arial" w:hAnsi="Arial" w:cs="Arial"/>
        </w:rPr>
        <w:t xml:space="preserve">I </w:t>
      </w:r>
      <w:r w:rsidR="00E32C0E" w:rsidRPr="002041B1">
        <w:rPr>
          <w:rFonts w:ascii="Arial" w:hAnsi="Arial" w:cs="Arial"/>
        </w:rPr>
        <w:t xml:space="preserve">will </w:t>
      </w:r>
      <w:r w:rsidR="002041B1">
        <w:rPr>
          <w:rFonts w:ascii="Arial" w:hAnsi="Arial" w:cs="Arial"/>
        </w:rPr>
        <w:t>consequently</w:t>
      </w:r>
      <w:r w:rsidRPr="002041B1">
        <w:rPr>
          <w:rFonts w:ascii="Arial" w:hAnsi="Arial" w:cs="Arial"/>
        </w:rPr>
        <w:t xml:space="preserve"> not make further mention of the other amendments </w:t>
      </w:r>
      <w:r w:rsidR="0014453D">
        <w:rPr>
          <w:rFonts w:ascii="Arial" w:hAnsi="Arial" w:cs="Arial"/>
        </w:rPr>
        <w:t xml:space="preserve">mentioned </w:t>
      </w:r>
      <w:r w:rsidRPr="002041B1">
        <w:rPr>
          <w:rFonts w:ascii="Arial" w:hAnsi="Arial" w:cs="Arial"/>
        </w:rPr>
        <w:t>in the notice</w:t>
      </w:r>
      <w:r w:rsidR="002041B1">
        <w:rPr>
          <w:rFonts w:ascii="Arial" w:hAnsi="Arial" w:cs="Arial"/>
        </w:rPr>
        <w:t xml:space="preserve"> of amendment</w:t>
      </w:r>
      <w:r w:rsidRPr="002041B1">
        <w:rPr>
          <w:rFonts w:ascii="Arial" w:hAnsi="Arial" w:cs="Arial"/>
        </w:rPr>
        <w:t xml:space="preserve">, </w:t>
      </w:r>
      <w:r w:rsidR="002041B1">
        <w:rPr>
          <w:rFonts w:ascii="Arial" w:hAnsi="Arial" w:cs="Arial"/>
        </w:rPr>
        <w:t>as they</w:t>
      </w:r>
      <w:r w:rsidRPr="002041B1">
        <w:rPr>
          <w:rFonts w:ascii="Arial" w:hAnsi="Arial" w:cs="Arial"/>
        </w:rPr>
        <w:t xml:space="preserve"> will resolve themselves by either not being pursued by the plaintiff or by being consented to b</w:t>
      </w:r>
      <w:r w:rsidR="00E32C0E" w:rsidRPr="002041B1">
        <w:rPr>
          <w:rFonts w:ascii="Arial" w:hAnsi="Arial" w:cs="Arial"/>
        </w:rPr>
        <w:t>y</w:t>
      </w:r>
      <w:r w:rsidRPr="002041B1">
        <w:rPr>
          <w:rFonts w:ascii="Arial" w:hAnsi="Arial" w:cs="Arial"/>
        </w:rPr>
        <w:t xml:space="preserve"> the defendant without further objection. The sole issue that this judgment will now focus on will thus be whether the amendments </w:t>
      </w:r>
      <w:r w:rsidR="002041B1">
        <w:rPr>
          <w:rFonts w:ascii="Arial" w:hAnsi="Arial" w:cs="Arial"/>
        </w:rPr>
        <w:t>outlined</w:t>
      </w:r>
      <w:r w:rsidRPr="002041B1">
        <w:rPr>
          <w:rFonts w:ascii="Arial" w:hAnsi="Arial" w:cs="Arial"/>
        </w:rPr>
        <w:t xml:space="preserve"> in the contentious paragraphs should be granted.</w:t>
      </w:r>
    </w:p>
    <w:p w14:paraId="10619451" w14:textId="77777777" w:rsidR="00E869A3" w:rsidRDefault="00E869A3" w:rsidP="00917AB9">
      <w:pPr>
        <w:pStyle w:val="ListParagraph"/>
        <w:tabs>
          <w:tab w:val="left" w:pos="709"/>
        </w:tabs>
        <w:spacing w:line="360" w:lineRule="auto"/>
        <w:ind w:left="0"/>
        <w:jc w:val="both"/>
        <w:rPr>
          <w:rFonts w:ascii="Arial" w:hAnsi="Arial" w:cs="Arial"/>
        </w:rPr>
      </w:pPr>
    </w:p>
    <w:p w14:paraId="0A838F72" w14:textId="77777777" w:rsidR="003A61F7" w:rsidRPr="003A61F7" w:rsidRDefault="00E0377C" w:rsidP="003A61F7">
      <w:pPr>
        <w:pStyle w:val="ListParagraph"/>
        <w:numPr>
          <w:ilvl w:val="0"/>
          <w:numId w:val="8"/>
        </w:numPr>
        <w:tabs>
          <w:tab w:val="left" w:pos="709"/>
        </w:tabs>
        <w:spacing w:line="360" w:lineRule="auto"/>
        <w:ind w:left="0" w:firstLine="0"/>
        <w:jc w:val="both"/>
        <w:rPr>
          <w:rFonts w:ascii="Arial" w:hAnsi="Arial" w:cs="Arial"/>
          <w:sz w:val="22"/>
          <w:szCs w:val="22"/>
        </w:rPr>
      </w:pPr>
      <w:r w:rsidRPr="00917AB9">
        <w:rPr>
          <w:rFonts w:ascii="Arial" w:hAnsi="Arial" w:cs="Arial"/>
        </w:rPr>
        <w:t>Th</w:t>
      </w:r>
      <w:r w:rsidR="00FC5990">
        <w:rPr>
          <w:rFonts w:ascii="Arial" w:hAnsi="Arial" w:cs="Arial"/>
        </w:rPr>
        <w:t xml:space="preserve">e contentious </w:t>
      </w:r>
      <w:r w:rsidRPr="00917AB9">
        <w:rPr>
          <w:rFonts w:ascii="Arial" w:hAnsi="Arial" w:cs="Arial"/>
        </w:rPr>
        <w:t xml:space="preserve">paragraphs </w:t>
      </w:r>
      <w:r w:rsidR="00000FEA">
        <w:rPr>
          <w:rFonts w:ascii="Arial" w:hAnsi="Arial" w:cs="Arial"/>
        </w:rPr>
        <w:t xml:space="preserve">respectively </w:t>
      </w:r>
      <w:r w:rsidRPr="00917AB9">
        <w:rPr>
          <w:rFonts w:ascii="Arial" w:hAnsi="Arial" w:cs="Arial"/>
        </w:rPr>
        <w:t>read as follows:</w:t>
      </w:r>
      <w:r w:rsidR="003A61F7">
        <w:rPr>
          <w:rFonts w:ascii="Arial" w:hAnsi="Arial" w:cs="Arial"/>
        </w:rPr>
        <w:t xml:space="preserve"> </w:t>
      </w:r>
    </w:p>
    <w:p w14:paraId="7422AC60" w14:textId="77777777" w:rsidR="00E869A3" w:rsidRDefault="00917AB9" w:rsidP="003A61F7">
      <w:pPr>
        <w:pStyle w:val="ListParagraph"/>
        <w:tabs>
          <w:tab w:val="left" w:pos="709"/>
        </w:tabs>
        <w:spacing w:line="360" w:lineRule="auto"/>
        <w:ind w:left="0"/>
        <w:jc w:val="both"/>
        <w:rPr>
          <w:rFonts w:ascii="Arial" w:hAnsi="Arial" w:cs="Arial"/>
          <w:sz w:val="22"/>
          <w:szCs w:val="22"/>
        </w:rPr>
      </w:pPr>
      <w:r>
        <w:rPr>
          <w:rFonts w:ascii="Arial" w:hAnsi="Arial" w:cs="Arial"/>
        </w:rPr>
        <w:t>‘</w:t>
      </w:r>
      <w:r w:rsidRPr="00917AB9">
        <w:rPr>
          <w:rFonts w:ascii="Arial" w:hAnsi="Arial" w:cs="Arial"/>
          <w:sz w:val="22"/>
          <w:szCs w:val="22"/>
        </w:rPr>
        <w:t>16B.</w:t>
      </w:r>
      <w:r w:rsidRPr="00917AB9">
        <w:rPr>
          <w:rFonts w:ascii="Arial" w:hAnsi="Arial" w:cs="Arial"/>
          <w:sz w:val="22"/>
          <w:szCs w:val="22"/>
        </w:rPr>
        <w:tab/>
        <w:t xml:space="preserve">Following the delivery of </w:t>
      </w:r>
      <w:r w:rsidR="002041B1">
        <w:rPr>
          <w:rFonts w:ascii="Arial" w:hAnsi="Arial" w:cs="Arial"/>
          <w:sz w:val="22"/>
          <w:szCs w:val="22"/>
        </w:rPr>
        <w:t>[the minor child]</w:t>
      </w:r>
      <w:r w:rsidRPr="00917AB9">
        <w:rPr>
          <w:rFonts w:ascii="Arial" w:hAnsi="Arial" w:cs="Arial"/>
          <w:sz w:val="22"/>
          <w:szCs w:val="22"/>
        </w:rPr>
        <w:t xml:space="preserve"> b</w:t>
      </w:r>
      <w:r>
        <w:rPr>
          <w:rFonts w:ascii="Arial" w:hAnsi="Arial" w:cs="Arial"/>
          <w:sz w:val="22"/>
          <w:szCs w:val="22"/>
        </w:rPr>
        <w:t>y</w:t>
      </w:r>
      <w:r w:rsidRPr="00917AB9">
        <w:rPr>
          <w:rFonts w:ascii="Arial" w:hAnsi="Arial" w:cs="Arial"/>
          <w:sz w:val="22"/>
          <w:szCs w:val="22"/>
        </w:rPr>
        <w:t xml:space="preserve"> caesar</w:t>
      </w:r>
      <w:r>
        <w:rPr>
          <w:rFonts w:ascii="Arial" w:hAnsi="Arial" w:cs="Arial"/>
          <w:sz w:val="22"/>
          <w:szCs w:val="22"/>
        </w:rPr>
        <w:t>i</w:t>
      </w:r>
      <w:r w:rsidRPr="00917AB9">
        <w:rPr>
          <w:rFonts w:ascii="Arial" w:hAnsi="Arial" w:cs="Arial"/>
          <w:sz w:val="22"/>
          <w:szCs w:val="22"/>
        </w:rPr>
        <w:t xml:space="preserve">an </w:t>
      </w:r>
      <w:r w:rsidR="002041B1">
        <w:rPr>
          <w:rFonts w:ascii="Arial" w:hAnsi="Arial" w:cs="Arial"/>
          <w:sz w:val="22"/>
          <w:szCs w:val="22"/>
        </w:rPr>
        <w:t xml:space="preserve">(sic) </w:t>
      </w:r>
      <w:r w:rsidRPr="00917AB9">
        <w:rPr>
          <w:rFonts w:ascii="Arial" w:hAnsi="Arial" w:cs="Arial"/>
          <w:sz w:val="22"/>
          <w:szCs w:val="22"/>
        </w:rPr>
        <w:t xml:space="preserve">section [in] a severely compromised state in consequence of what is set out in paragraph 16A above [,] </w:t>
      </w:r>
      <w:r w:rsidR="002041B1">
        <w:rPr>
          <w:rFonts w:ascii="Arial" w:hAnsi="Arial" w:cs="Arial"/>
          <w:sz w:val="22"/>
          <w:szCs w:val="22"/>
        </w:rPr>
        <w:t>[the minor child]</w:t>
      </w:r>
      <w:r w:rsidRPr="00917AB9">
        <w:rPr>
          <w:rFonts w:ascii="Arial" w:hAnsi="Arial" w:cs="Arial"/>
          <w:sz w:val="22"/>
          <w:szCs w:val="22"/>
        </w:rPr>
        <w:t xml:space="preserve"> was provided with sub-optimal resuscitation which fell short of the proper and reasonable standards for such resuscitation.’</w:t>
      </w:r>
      <w:r>
        <w:rPr>
          <w:rStyle w:val="FootnoteReference"/>
          <w:rFonts w:ascii="Arial" w:hAnsi="Arial" w:cs="Arial"/>
          <w:sz w:val="22"/>
          <w:szCs w:val="22"/>
        </w:rPr>
        <w:footnoteReference w:id="13"/>
      </w:r>
    </w:p>
    <w:p w14:paraId="713BE645" w14:textId="77777777" w:rsidR="003061E8" w:rsidRDefault="007604B8" w:rsidP="00917AB9">
      <w:pPr>
        <w:pStyle w:val="ListParagraph"/>
        <w:tabs>
          <w:tab w:val="left" w:pos="709"/>
        </w:tabs>
        <w:spacing w:line="360" w:lineRule="auto"/>
        <w:ind w:left="0"/>
        <w:jc w:val="both"/>
        <w:rPr>
          <w:rFonts w:ascii="Arial" w:hAnsi="Arial" w:cs="Arial"/>
        </w:rPr>
      </w:pPr>
      <w:r>
        <w:rPr>
          <w:rFonts w:ascii="Arial" w:hAnsi="Arial" w:cs="Arial"/>
        </w:rPr>
        <w:lastRenderedPageBreak/>
        <w:t>a</w:t>
      </w:r>
      <w:r w:rsidR="003061E8">
        <w:rPr>
          <w:rFonts w:ascii="Arial" w:hAnsi="Arial" w:cs="Arial"/>
        </w:rPr>
        <w:t>nd</w:t>
      </w:r>
    </w:p>
    <w:p w14:paraId="21FDC799" w14:textId="77777777" w:rsidR="003061E8" w:rsidRDefault="003061E8" w:rsidP="00917AB9">
      <w:pPr>
        <w:pStyle w:val="ListParagraph"/>
        <w:tabs>
          <w:tab w:val="left" w:pos="709"/>
        </w:tabs>
        <w:spacing w:line="360" w:lineRule="auto"/>
        <w:ind w:left="0"/>
        <w:jc w:val="both"/>
        <w:rPr>
          <w:rFonts w:ascii="Arial" w:hAnsi="Arial" w:cs="Arial"/>
          <w:sz w:val="22"/>
          <w:szCs w:val="22"/>
        </w:rPr>
      </w:pPr>
      <w:r>
        <w:rPr>
          <w:rFonts w:ascii="Arial" w:hAnsi="Arial" w:cs="Arial"/>
          <w:sz w:val="22"/>
          <w:szCs w:val="22"/>
        </w:rPr>
        <w:t>’17.3.</w:t>
      </w:r>
      <w:r>
        <w:rPr>
          <w:rFonts w:ascii="Arial" w:hAnsi="Arial" w:cs="Arial"/>
          <w:sz w:val="22"/>
          <w:szCs w:val="22"/>
        </w:rPr>
        <w:tab/>
        <w:t>They failed to:</w:t>
      </w:r>
    </w:p>
    <w:p w14:paraId="1FDF0D07" w14:textId="1B28C353" w:rsidR="003061E8" w:rsidRDefault="003061E8" w:rsidP="00917AB9">
      <w:pPr>
        <w:pStyle w:val="ListParagraph"/>
        <w:tabs>
          <w:tab w:val="left" w:pos="709"/>
        </w:tabs>
        <w:spacing w:line="360" w:lineRule="auto"/>
        <w:ind w:left="0"/>
        <w:jc w:val="both"/>
        <w:rPr>
          <w:rFonts w:ascii="Arial" w:hAnsi="Arial" w:cs="Arial"/>
          <w:sz w:val="22"/>
          <w:szCs w:val="22"/>
        </w:rPr>
      </w:pPr>
      <w:r>
        <w:rPr>
          <w:rFonts w:ascii="Arial" w:hAnsi="Arial" w:cs="Arial"/>
          <w:sz w:val="22"/>
          <w:szCs w:val="22"/>
        </w:rPr>
        <w:t>17.3.1</w:t>
      </w:r>
      <w:r>
        <w:rPr>
          <w:rFonts w:ascii="Arial" w:hAnsi="Arial" w:cs="Arial"/>
          <w:sz w:val="22"/>
          <w:szCs w:val="22"/>
        </w:rPr>
        <w:tab/>
        <w:t xml:space="preserve">manage the resuscitation of </w:t>
      </w:r>
      <w:r w:rsidR="0014453D">
        <w:rPr>
          <w:rFonts w:ascii="Arial" w:hAnsi="Arial" w:cs="Arial"/>
          <w:sz w:val="22"/>
          <w:szCs w:val="22"/>
        </w:rPr>
        <w:t>[the minor child]</w:t>
      </w:r>
      <w:r>
        <w:rPr>
          <w:rFonts w:ascii="Arial" w:hAnsi="Arial" w:cs="Arial"/>
          <w:sz w:val="22"/>
          <w:szCs w:val="22"/>
        </w:rPr>
        <w:t xml:space="preserve"> immediately following his birth in a proper and reasonable manner;</w:t>
      </w:r>
    </w:p>
    <w:p w14:paraId="4B039438" w14:textId="77777777" w:rsidR="003061E8" w:rsidRDefault="003061E8" w:rsidP="00917AB9">
      <w:pPr>
        <w:pStyle w:val="ListParagraph"/>
        <w:tabs>
          <w:tab w:val="left" w:pos="709"/>
        </w:tabs>
        <w:spacing w:line="360" w:lineRule="auto"/>
        <w:ind w:left="0"/>
        <w:jc w:val="both"/>
        <w:rPr>
          <w:rFonts w:ascii="Arial" w:hAnsi="Arial" w:cs="Arial"/>
          <w:sz w:val="22"/>
          <w:szCs w:val="22"/>
        </w:rPr>
      </w:pPr>
      <w:r>
        <w:rPr>
          <w:rFonts w:ascii="Arial" w:hAnsi="Arial" w:cs="Arial"/>
          <w:sz w:val="22"/>
          <w:szCs w:val="22"/>
        </w:rPr>
        <w:t>17.3.2</w:t>
      </w:r>
      <w:r>
        <w:rPr>
          <w:rFonts w:ascii="Arial" w:hAnsi="Arial" w:cs="Arial"/>
          <w:sz w:val="22"/>
          <w:szCs w:val="22"/>
        </w:rPr>
        <w:tab/>
        <w:t xml:space="preserve">implement appropriate and correct </w:t>
      </w:r>
      <w:r w:rsidR="00000FEA">
        <w:rPr>
          <w:rFonts w:ascii="Arial" w:hAnsi="Arial" w:cs="Arial"/>
          <w:sz w:val="22"/>
          <w:szCs w:val="22"/>
        </w:rPr>
        <w:t xml:space="preserve">resuscitation methods on respect of </w:t>
      </w:r>
      <w:r w:rsidR="00617D81">
        <w:rPr>
          <w:rFonts w:ascii="Arial" w:hAnsi="Arial" w:cs="Arial"/>
          <w:sz w:val="22"/>
          <w:szCs w:val="22"/>
        </w:rPr>
        <w:t>[the minor child]</w:t>
      </w:r>
      <w:r w:rsidR="00000FEA">
        <w:rPr>
          <w:rFonts w:ascii="Arial" w:hAnsi="Arial" w:cs="Arial"/>
          <w:sz w:val="22"/>
          <w:szCs w:val="22"/>
        </w:rPr>
        <w:t xml:space="preserve"> immediately after his birth;</w:t>
      </w:r>
    </w:p>
    <w:p w14:paraId="6359F78B" w14:textId="77777777" w:rsidR="00000FEA" w:rsidRDefault="00000FEA" w:rsidP="00917AB9">
      <w:pPr>
        <w:pStyle w:val="ListParagraph"/>
        <w:tabs>
          <w:tab w:val="left" w:pos="709"/>
        </w:tabs>
        <w:spacing w:line="360" w:lineRule="auto"/>
        <w:ind w:left="0"/>
        <w:jc w:val="both"/>
        <w:rPr>
          <w:rFonts w:ascii="Arial" w:hAnsi="Arial" w:cs="Arial"/>
          <w:sz w:val="22"/>
          <w:szCs w:val="22"/>
        </w:rPr>
      </w:pPr>
      <w:r>
        <w:rPr>
          <w:rFonts w:ascii="Arial" w:hAnsi="Arial" w:cs="Arial"/>
          <w:sz w:val="22"/>
          <w:szCs w:val="22"/>
        </w:rPr>
        <w:t>17.3.3</w:t>
      </w:r>
      <w:r>
        <w:rPr>
          <w:rFonts w:ascii="Arial" w:hAnsi="Arial" w:cs="Arial"/>
          <w:sz w:val="22"/>
          <w:szCs w:val="22"/>
        </w:rPr>
        <w:tab/>
        <w:t>ameliorate or limit the damaging effects of the brain injury and/or the complication;</w:t>
      </w:r>
    </w:p>
    <w:p w14:paraId="0D7A691D" w14:textId="77777777" w:rsidR="00000FEA" w:rsidRDefault="00000FEA" w:rsidP="00917AB9">
      <w:pPr>
        <w:pStyle w:val="ListParagraph"/>
        <w:tabs>
          <w:tab w:val="left" w:pos="709"/>
        </w:tabs>
        <w:spacing w:line="360" w:lineRule="auto"/>
        <w:ind w:left="0"/>
        <w:jc w:val="both"/>
        <w:rPr>
          <w:rFonts w:ascii="Arial" w:hAnsi="Arial" w:cs="Arial"/>
          <w:sz w:val="22"/>
          <w:szCs w:val="22"/>
        </w:rPr>
      </w:pPr>
      <w:r>
        <w:rPr>
          <w:rFonts w:ascii="Arial" w:hAnsi="Arial" w:cs="Arial"/>
          <w:sz w:val="22"/>
          <w:szCs w:val="22"/>
        </w:rPr>
        <w:t>17.3.4</w:t>
      </w:r>
      <w:r>
        <w:rPr>
          <w:rFonts w:ascii="Arial" w:hAnsi="Arial" w:cs="Arial"/>
          <w:sz w:val="22"/>
          <w:szCs w:val="22"/>
        </w:rPr>
        <w:tab/>
        <w:t>take any or any reasonable steps to prevent the brain injury or damage occasioned by the brain injury from becoming permanent;</w:t>
      </w:r>
    </w:p>
    <w:p w14:paraId="2C1F3A4E" w14:textId="77777777" w:rsidR="00000FEA" w:rsidRDefault="00000FEA" w:rsidP="00917AB9">
      <w:pPr>
        <w:pStyle w:val="ListParagraph"/>
        <w:tabs>
          <w:tab w:val="left" w:pos="709"/>
        </w:tabs>
        <w:spacing w:line="360" w:lineRule="auto"/>
        <w:ind w:left="0"/>
        <w:jc w:val="both"/>
        <w:rPr>
          <w:rFonts w:ascii="Arial" w:hAnsi="Arial" w:cs="Arial"/>
          <w:sz w:val="22"/>
          <w:szCs w:val="22"/>
        </w:rPr>
      </w:pPr>
      <w:r>
        <w:rPr>
          <w:rFonts w:ascii="Arial" w:hAnsi="Arial" w:cs="Arial"/>
          <w:sz w:val="22"/>
          <w:szCs w:val="22"/>
        </w:rPr>
        <w:t>17.3.5</w:t>
      </w:r>
      <w:r>
        <w:rPr>
          <w:rFonts w:ascii="Arial" w:hAnsi="Arial" w:cs="Arial"/>
          <w:sz w:val="22"/>
          <w:szCs w:val="22"/>
        </w:rPr>
        <w:tab/>
        <w:t>manage the immediate post-natal period appropriately or in accordance with proper standards.’</w:t>
      </w:r>
    </w:p>
    <w:p w14:paraId="450C81BA" w14:textId="77777777" w:rsidR="00000FEA" w:rsidRPr="00000FEA" w:rsidRDefault="00000FEA" w:rsidP="00917AB9">
      <w:pPr>
        <w:pStyle w:val="ListParagraph"/>
        <w:tabs>
          <w:tab w:val="left" w:pos="709"/>
        </w:tabs>
        <w:spacing w:line="360" w:lineRule="auto"/>
        <w:ind w:left="0"/>
        <w:jc w:val="both"/>
        <w:rPr>
          <w:rFonts w:ascii="Arial" w:hAnsi="Arial" w:cs="Arial"/>
        </w:rPr>
      </w:pPr>
    </w:p>
    <w:p w14:paraId="0BD989AD" w14:textId="77777777" w:rsidR="00AB51FA" w:rsidRDefault="0053070F" w:rsidP="005F54EE">
      <w:pPr>
        <w:pStyle w:val="ListParagraph"/>
        <w:numPr>
          <w:ilvl w:val="0"/>
          <w:numId w:val="8"/>
        </w:numPr>
        <w:tabs>
          <w:tab w:val="left" w:pos="709"/>
        </w:tabs>
        <w:spacing w:line="360" w:lineRule="auto"/>
        <w:ind w:left="0" w:firstLine="0"/>
        <w:jc w:val="both"/>
        <w:rPr>
          <w:rFonts w:ascii="Arial" w:hAnsi="Arial" w:cs="Arial"/>
        </w:rPr>
      </w:pPr>
      <w:r w:rsidRPr="00AB51FA">
        <w:rPr>
          <w:rFonts w:ascii="Arial" w:hAnsi="Arial" w:cs="Arial"/>
        </w:rPr>
        <w:t xml:space="preserve">The basis of the defendant’s objection to </w:t>
      </w:r>
      <w:r w:rsidR="007333F0" w:rsidRPr="00AB51FA">
        <w:rPr>
          <w:rFonts w:ascii="Arial" w:hAnsi="Arial" w:cs="Arial"/>
        </w:rPr>
        <w:t xml:space="preserve">the </w:t>
      </w:r>
      <w:r w:rsidR="00BE141A" w:rsidRPr="00AB51FA">
        <w:rPr>
          <w:rFonts w:ascii="Arial" w:hAnsi="Arial" w:cs="Arial"/>
        </w:rPr>
        <w:t>amendment</w:t>
      </w:r>
      <w:r w:rsidR="00B35788">
        <w:rPr>
          <w:rFonts w:ascii="Arial" w:hAnsi="Arial" w:cs="Arial"/>
        </w:rPr>
        <w:t xml:space="preserve"> as a whole</w:t>
      </w:r>
      <w:r w:rsidR="00BE141A" w:rsidRPr="00AB51FA">
        <w:rPr>
          <w:rFonts w:ascii="Arial" w:hAnsi="Arial" w:cs="Arial"/>
        </w:rPr>
        <w:t>, prior to it being whittled down to the contentious paragraphs, was twofold</w:t>
      </w:r>
      <w:r w:rsidR="00AB51FA">
        <w:rPr>
          <w:rFonts w:ascii="Arial" w:hAnsi="Arial" w:cs="Arial"/>
        </w:rPr>
        <w:t>:</w:t>
      </w:r>
    </w:p>
    <w:p w14:paraId="338361CE" w14:textId="6B968924" w:rsidR="00AB51FA" w:rsidRDefault="00D97FB0" w:rsidP="00AB51FA">
      <w:pPr>
        <w:pStyle w:val="ListParagraph"/>
        <w:numPr>
          <w:ilvl w:val="0"/>
          <w:numId w:val="13"/>
        </w:numPr>
        <w:tabs>
          <w:tab w:val="left" w:pos="709"/>
        </w:tabs>
        <w:spacing w:line="360" w:lineRule="auto"/>
        <w:ind w:left="0" w:firstLine="0"/>
        <w:jc w:val="both"/>
        <w:rPr>
          <w:rFonts w:ascii="Arial" w:hAnsi="Arial" w:cs="Arial"/>
        </w:rPr>
      </w:pPr>
      <w:r w:rsidRPr="00AB51FA">
        <w:rPr>
          <w:rFonts w:ascii="Arial" w:hAnsi="Arial" w:cs="Arial"/>
        </w:rPr>
        <w:t xml:space="preserve">firstly, </w:t>
      </w:r>
      <w:r w:rsidR="00B35788">
        <w:rPr>
          <w:rFonts w:ascii="Arial" w:hAnsi="Arial" w:cs="Arial"/>
        </w:rPr>
        <w:t>it</w:t>
      </w:r>
      <w:r w:rsidR="00AB51FA">
        <w:rPr>
          <w:rFonts w:ascii="Arial" w:hAnsi="Arial" w:cs="Arial"/>
        </w:rPr>
        <w:t xml:space="preserve"> </w:t>
      </w:r>
      <w:r w:rsidRPr="00AB51FA">
        <w:rPr>
          <w:rFonts w:ascii="Arial" w:hAnsi="Arial" w:cs="Arial"/>
        </w:rPr>
        <w:t>contended that many of the amendments soug</w:t>
      </w:r>
      <w:r w:rsidR="00E61C1C" w:rsidRPr="00AB51FA">
        <w:rPr>
          <w:rFonts w:ascii="Arial" w:hAnsi="Arial" w:cs="Arial"/>
        </w:rPr>
        <w:t xml:space="preserve">ht </w:t>
      </w:r>
      <w:r w:rsidR="00BE141A" w:rsidRPr="00AB51FA">
        <w:rPr>
          <w:rFonts w:ascii="Arial" w:hAnsi="Arial" w:cs="Arial"/>
        </w:rPr>
        <w:t>were</w:t>
      </w:r>
      <w:r w:rsidR="00E61C1C" w:rsidRPr="00AB51FA">
        <w:rPr>
          <w:rFonts w:ascii="Arial" w:hAnsi="Arial" w:cs="Arial"/>
        </w:rPr>
        <w:t xml:space="preserve"> simply not necessary and, if granted, </w:t>
      </w:r>
      <w:r w:rsidRPr="00AB51FA">
        <w:rPr>
          <w:rFonts w:ascii="Arial" w:hAnsi="Arial" w:cs="Arial"/>
        </w:rPr>
        <w:t>would result in evidence being incorporated into the pleading, something that is n</w:t>
      </w:r>
      <w:r w:rsidR="0014453D">
        <w:rPr>
          <w:rFonts w:ascii="Arial" w:hAnsi="Arial" w:cs="Arial"/>
        </w:rPr>
        <w:t>either</w:t>
      </w:r>
      <w:r w:rsidRPr="00AB51FA">
        <w:rPr>
          <w:rFonts w:ascii="Arial" w:hAnsi="Arial" w:cs="Arial"/>
        </w:rPr>
        <w:t xml:space="preserve"> </w:t>
      </w:r>
      <w:r w:rsidR="009806AB">
        <w:rPr>
          <w:rFonts w:ascii="Arial" w:hAnsi="Arial" w:cs="Arial"/>
        </w:rPr>
        <w:t>desirable</w:t>
      </w:r>
      <w:r w:rsidR="00AB51FA">
        <w:rPr>
          <w:rFonts w:ascii="Arial" w:hAnsi="Arial" w:cs="Arial"/>
        </w:rPr>
        <w:t xml:space="preserve"> </w:t>
      </w:r>
      <w:r w:rsidR="0014453D">
        <w:rPr>
          <w:rFonts w:ascii="Arial" w:hAnsi="Arial" w:cs="Arial"/>
        </w:rPr>
        <w:t>n</w:t>
      </w:r>
      <w:r w:rsidR="00AB51FA">
        <w:rPr>
          <w:rFonts w:ascii="Arial" w:hAnsi="Arial" w:cs="Arial"/>
        </w:rPr>
        <w:t>or permitted;</w:t>
      </w:r>
      <w:r w:rsidR="00531547">
        <w:rPr>
          <w:rStyle w:val="FootnoteReference"/>
          <w:rFonts w:ascii="Arial" w:hAnsi="Arial" w:cs="Arial"/>
        </w:rPr>
        <w:footnoteReference w:id="14"/>
      </w:r>
      <w:r w:rsidR="00AB51FA">
        <w:rPr>
          <w:rFonts w:ascii="Arial" w:hAnsi="Arial" w:cs="Arial"/>
        </w:rPr>
        <w:t xml:space="preserve"> and</w:t>
      </w:r>
    </w:p>
    <w:p w14:paraId="524BD8E7" w14:textId="4B847AD1" w:rsidR="00AB51FA" w:rsidRDefault="00AB51FA" w:rsidP="00CD6601">
      <w:pPr>
        <w:pStyle w:val="ListParagraph"/>
        <w:numPr>
          <w:ilvl w:val="0"/>
          <w:numId w:val="13"/>
        </w:numPr>
        <w:tabs>
          <w:tab w:val="left" w:pos="709"/>
        </w:tabs>
        <w:spacing w:line="360" w:lineRule="auto"/>
        <w:ind w:left="0" w:firstLine="0"/>
        <w:jc w:val="both"/>
        <w:rPr>
          <w:rFonts w:ascii="Arial" w:hAnsi="Arial" w:cs="Arial"/>
        </w:rPr>
      </w:pPr>
      <w:r w:rsidRPr="00B35788">
        <w:rPr>
          <w:rFonts w:ascii="Arial" w:hAnsi="Arial" w:cs="Arial"/>
        </w:rPr>
        <w:t>secondly,</w:t>
      </w:r>
      <w:r w:rsidR="00D97FB0" w:rsidRPr="00B35788">
        <w:rPr>
          <w:rFonts w:ascii="Arial" w:hAnsi="Arial" w:cs="Arial"/>
        </w:rPr>
        <w:t xml:space="preserve"> </w:t>
      </w:r>
      <w:r w:rsidR="007333F0" w:rsidRPr="00B35788">
        <w:rPr>
          <w:rFonts w:ascii="Arial" w:hAnsi="Arial" w:cs="Arial"/>
        </w:rPr>
        <w:t xml:space="preserve">notwithstanding what the plaintiff stated in paragraph 9, </w:t>
      </w:r>
      <w:r w:rsidR="006B03D5" w:rsidRPr="00B35788">
        <w:rPr>
          <w:rFonts w:ascii="Arial" w:hAnsi="Arial" w:cs="Arial"/>
        </w:rPr>
        <w:t xml:space="preserve">no evidence </w:t>
      </w:r>
      <w:r w:rsidR="00E32C0E">
        <w:rPr>
          <w:rFonts w:ascii="Arial" w:hAnsi="Arial" w:cs="Arial"/>
        </w:rPr>
        <w:t>had</w:t>
      </w:r>
      <w:r w:rsidR="00E32C0E" w:rsidRPr="00B35788">
        <w:rPr>
          <w:rFonts w:ascii="Arial" w:hAnsi="Arial" w:cs="Arial"/>
        </w:rPr>
        <w:t xml:space="preserve"> </w:t>
      </w:r>
      <w:r w:rsidR="007E7612" w:rsidRPr="00B35788">
        <w:rPr>
          <w:rFonts w:ascii="Arial" w:hAnsi="Arial" w:cs="Arial"/>
        </w:rPr>
        <w:t>actually</w:t>
      </w:r>
      <w:r w:rsidR="00E32C0E">
        <w:rPr>
          <w:rFonts w:ascii="Arial" w:hAnsi="Arial" w:cs="Arial"/>
        </w:rPr>
        <w:t xml:space="preserve"> been</w:t>
      </w:r>
      <w:r w:rsidR="007E7612" w:rsidRPr="00B35788">
        <w:rPr>
          <w:rFonts w:ascii="Arial" w:hAnsi="Arial" w:cs="Arial"/>
        </w:rPr>
        <w:t xml:space="preserve"> </w:t>
      </w:r>
      <w:r w:rsidR="006B03D5" w:rsidRPr="00B35788">
        <w:rPr>
          <w:rFonts w:ascii="Arial" w:hAnsi="Arial" w:cs="Arial"/>
        </w:rPr>
        <w:t>led on th</w:t>
      </w:r>
      <w:r w:rsidR="007333F0" w:rsidRPr="00B35788">
        <w:rPr>
          <w:rFonts w:ascii="Arial" w:hAnsi="Arial" w:cs="Arial"/>
        </w:rPr>
        <w:t xml:space="preserve">e issues </w:t>
      </w:r>
      <w:r w:rsidRPr="00B35788">
        <w:rPr>
          <w:rFonts w:ascii="Arial" w:hAnsi="Arial" w:cs="Arial"/>
        </w:rPr>
        <w:t xml:space="preserve">identified in the contentious paragraphs </w:t>
      </w:r>
      <w:r w:rsidR="006B03D5" w:rsidRPr="00B35788">
        <w:rPr>
          <w:rFonts w:ascii="Arial" w:hAnsi="Arial" w:cs="Arial"/>
        </w:rPr>
        <w:t xml:space="preserve">during the plaintiff’s case. </w:t>
      </w:r>
      <w:r w:rsidR="00D97FB0" w:rsidRPr="00B35788">
        <w:rPr>
          <w:rFonts w:ascii="Arial" w:hAnsi="Arial" w:cs="Arial"/>
        </w:rPr>
        <w:t xml:space="preserve">The </w:t>
      </w:r>
      <w:r w:rsidR="0014453D">
        <w:rPr>
          <w:rFonts w:ascii="Arial" w:hAnsi="Arial" w:cs="Arial"/>
        </w:rPr>
        <w:t xml:space="preserve">delivery of the notice of </w:t>
      </w:r>
      <w:r w:rsidR="00D97FB0" w:rsidRPr="00B35788">
        <w:rPr>
          <w:rFonts w:ascii="Arial" w:hAnsi="Arial" w:cs="Arial"/>
        </w:rPr>
        <w:t xml:space="preserve">amendment </w:t>
      </w:r>
      <w:r w:rsidRPr="00B35788">
        <w:rPr>
          <w:rFonts w:ascii="Arial" w:hAnsi="Arial" w:cs="Arial"/>
        </w:rPr>
        <w:t>wa</w:t>
      </w:r>
      <w:r w:rsidR="00D97FB0" w:rsidRPr="00B35788">
        <w:rPr>
          <w:rFonts w:ascii="Arial" w:hAnsi="Arial" w:cs="Arial"/>
        </w:rPr>
        <w:t xml:space="preserve">s therefore not an attempt to synchronise the pleadings with the evidence </w:t>
      </w:r>
      <w:r w:rsidR="00E32C0E">
        <w:rPr>
          <w:rFonts w:ascii="Arial" w:hAnsi="Arial" w:cs="Arial"/>
        </w:rPr>
        <w:t xml:space="preserve">that had </w:t>
      </w:r>
      <w:r w:rsidR="00E536A3">
        <w:rPr>
          <w:rFonts w:ascii="Arial" w:hAnsi="Arial" w:cs="Arial"/>
        </w:rPr>
        <w:t xml:space="preserve">already </w:t>
      </w:r>
      <w:r w:rsidR="00E32C0E">
        <w:rPr>
          <w:rFonts w:ascii="Arial" w:hAnsi="Arial" w:cs="Arial"/>
        </w:rPr>
        <w:t xml:space="preserve">been </w:t>
      </w:r>
      <w:r w:rsidR="00D97FB0" w:rsidRPr="00B35788">
        <w:rPr>
          <w:rFonts w:ascii="Arial" w:hAnsi="Arial" w:cs="Arial"/>
        </w:rPr>
        <w:t xml:space="preserve">led. </w:t>
      </w:r>
      <w:r w:rsidRPr="00B35788">
        <w:rPr>
          <w:rFonts w:ascii="Arial" w:hAnsi="Arial" w:cs="Arial"/>
        </w:rPr>
        <w:t>In this regard, t</w:t>
      </w:r>
      <w:r w:rsidR="00CE0AC2" w:rsidRPr="00B35788">
        <w:rPr>
          <w:rFonts w:ascii="Arial" w:hAnsi="Arial" w:cs="Arial"/>
        </w:rPr>
        <w:t>he defendant</w:t>
      </w:r>
      <w:r w:rsidR="006B03D5" w:rsidRPr="00B35788">
        <w:rPr>
          <w:rFonts w:ascii="Arial" w:hAnsi="Arial" w:cs="Arial"/>
        </w:rPr>
        <w:t xml:space="preserve"> contends that it was never the plaintiff’s case that events after the birth of </w:t>
      </w:r>
      <w:r w:rsidR="00261EF4">
        <w:rPr>
          <w:rFonts w:ascii="Arial" w:hAnsi="Arial" w:cs="Arial"/>
        </w:rPr>
        <w:t>the minor child</w:t>
      </w:r>
      <w:r w:rsidR="006B03D5" w:rsidRPr="00B35788">
        <w:rPr>
          <w:rFonts w:ascii="Arial" w:hAnsi="Arial" w:cs="Arial"/>
        </w:rPr>
        <w:t xml:space="preserve"> caused</w:t>
      </w:r>
      <w:r w:rsidR="009E3BDA" w:rsidRPr="00B35788">
        <w:rPr>
          <w:rFonts w:ascii="Arial" w:hAnsi="Arial" w:cs="Arial"/>
        </w:rPr>
        <w:t>,</w:t>
      </w:r>
      <w:r w:rsidR="006B03D5" w:rsidRPr="00B35788">
        <w:rPr>
          <w:rFonts w:ascii="Arial" w:hAnsi="Arial" w:cs="Arial"/>
        </w:rPr>
        <w:t xml:space="preserve"> or contributed</w:t>
      </w:r>
      <w:r w:rsidR="009E3BDA" w:rsidRPr="00B35788">
        <w:rPr>
          <w:rFonts w:ascii="Arial" w:hAnsi="Arial" w:cs="Arial"/>
        </w:rPr>
        <w:t>,</w:t>
      </w:r>
      <w:r w:rsidR="006B03D5" w:rsidRPr="00B35788">
        <w:rPr>
          <w:rFonts w:ascii="Arial" w:hAnsi="Arial" w:cs="Arial"/>
        </w:rPr>
        <w:t xml:space="preserve"> to his present condition. </w:t>
      </w:r>
      <w:r w:rsidRPr="00B35788">
        <w:rPr>
          <w:rFonts w:ascii="Arial" w:hAnsi="Arial" w:cs="Arial"/>
        </w:rPr>
        <w:t xml:space="preserve">The defendant goes further and suggests that the plaintiff consciously chose not to lead this evidence when she </w:t>
      </w:r>
      <w:r w:rsidR="006958E7">
        <w:rPr>
          <w:rFonts w:ascii="Arial" w:hAnsi="Arial" w:cs="Arial"/>
        </w:rPr>
        <w:t xml:space="preserve">notionally </w:t>
      </w:r>
      <w:r w:rsidRPr="00B35788">
        <w:rPr>
          <w:rFonts w:ascii="Arial" w:hAnsi="Arial" w:cs="Arial"/>
        </w:rPr>
        <w:t xml:space="preserve">had the opportunity to do so. </w:t>
      </w:r>
    </w:p>
    <w:p w14:paraId="42CCF12E" w14:textId="77777777" w:rsidR="00B35788" w:rsidRPr="00B35788" w:rsidRDefault="00B35788" w:rsidP="00B35788">
      <w:pPr>
        <w:pStyle w:val="ListParagraph"/>
        <w:tabs>
          <w:tab w:val="left" w:pos="709"/>
        </w:tabs>
        <w:spacing w:line="360" w:lineRule="auto"/>
        <w:ind w:left="0"/>
        <w:jc w:val="both"/>
        <w:rPr>
          <w:rFonts w:ascii="Arial" w:hAnsi="Arial" w:cs="Arial"/>
        </w:rPr>
      </w:pPr>
    </w:p>
    <w:p w14:paraId="4B4D54B1" w14:textId="1AD3D3CC" w:rsidR="00FE5035" w:rsidRDefault="00AB51FA" w:rsidP="00526627">
      <w:pPr>
        <w:pStyle w:val="ListParagraph"/>
        <w:numPr>
          <w:ilvl w:val="0"/>
          <w:numId w:val="8"/>
        </w:numPr>
        <w:tabs>
          <w:tab w:val="left" w:pos="709"/>
        </w:tabs>
        <w:spacing w:line="360" w:lineRule="auto"/>
        <w:ind w:left="0" w:firstLine="0"/>
        <w:jc w:val="both"/>
        <w:rPr>
          <w:rFonts w:ascii="Arial" w:hAnsi="Arial" w:cs="Arial"/>
        </w:rPr>
      </w:pPr>
      <w:r w:rsidRPr="005E46B7">
        <w:rPr>
          <w:rFonts w:ascii="Arial" w:hAnsi="Arial" w:cs="Arial"/>
        </w:rPr>
        <w:t xml:space="preserve">By virtue of the </w:t>
      </w:r>
      <w:r w:rsidR="00FE5035" w:rsidRPr="005E46B7">
        <w:rPr>
          <w:rFonts w:ascii="Arial" w:hAnsi="Arial" w:cs="Arial"/>
        </w:rPr>
        <w:t xml:space="preserve">allegation that no evidence was led as contended for in the contentious paragraphs, </w:t>
      </w:r>
      <w:r w:rsidRPr="005E46B7">
        <w:rPr>
          <w:rFonts w:ascii="Arial" w:hAnsi="Arial" w:cs="Arial"/>
        </w:rPr>
        <w:t xml:space="preserve">it follows that the first ground </w:t>
      </w:r>
      <w:r w:rsidR="006958E7">
        <w:rPr>
          <w:rFonts w:ascii="Arial" w:hAnsi="Arial" w:cs="Arial"/>
        </w:rPr>
        <w:t xml:space="preserve">of objection </w:t>
      </w:r>
      <w:r w:rsidRPr="005E46B7">
        <w:rPr>
          <w:rFonts w:ascii="Arial" w:hAnsi="Arial" w:cs="Arial"/>
        </w:rPr>
        <w:t>cannot apply to the</w:t>
      </w:r>
      <w:r w:rsidR="00B35788" w:rsidRPr="005E46B7">
        <w:rPr>
          <w:rFonts w:ascii="Arial" w:hAnsi="Arial" w:cs="Arial"/>
        </w:rPr>
        <w:t xml:space="preserve"> contentious paragraphs</w:t>
      </w:r>
      <w:r w:rsidR="00FE5035" w:rsidRPr="005E46B7">
        <w:rPr>
          <w:rFonts w:ascii="Arial" w:hAnsi="Arial" w:cs="Arial"/>
        </w:rPr>
        <w:t xml:space="preserve">, but the second </w:t>
      </w:r>
      <w:r w:rsidR="00B35788" w:rsidRPr="005E46B7">
        <w:rPr>
          <w:rFonts w:ascii="Arial" w:hAnsi="Arial" w:cs="Arial"/>
        </w:rPr>
        <w:t xml:space="preserve">ground of objection </w:t>
      </w:r>
      <w:r w:rsidR="00FE5035" w:rsidRPr="005E46B7">
        <w:rPr>
          <w:rFonts w:ascii="Arial" w:hAnsi="Arial" w:cs="Arial"/>
        </w:rPr>
        <w:t>may</w:t>
      </w:r>
      <w:r w:rsidR="00F41677">
        <w:rPr>
          <w:rFonts w:ascii="Arial" w:hAnsi="Arial" w:cs="Arial"/>
        </w:rPr>
        <w:t xml:space="preserve"> well apply</w:t>
      </w:r>
      <w:r w:rsidRPr="005E46B7">
        <w:rPr>
          <w:rFonts w:ascii="Arial" w:hAnsi="Arial" w:cs="Arial"/>
        </w:rPr>
        <w:t>. Th</w:t>
      </w:r>
      <w:r w:rsidR="00FE5035" w:rsidRPr="005E46B7">
        <w:rPr>
          <w:rFonts w:ascii="Arial" w:hAnsi="Arial" w:cs="Arial"/>
        </w:rPr>
        <w:t>at ground</w:t>
      </w:r>
      <w:r w:rsidRPr="005E46B7">
        <w:rPr>
          <w:rFonts w:ascii="Arial" w:hAnsi="Arial" w:cs="Arial"/>
        </w:rPr>
        <w:t xml:space="preserve"> of objection must </w:t>
      </w:r>
      <w:r w:rsidR="00FE5035" w:rsidRPr="005E46B7">
        <w:rPr>
          <w:rFonts w:ascii="Arial" w:hAnsi="Arial" w:cs="Arial"/>
        </w:rPr>
        <w:t xml:space="preserve">therefore </w:t>
      </w:r>
      <w:r w:rsidR="00B35788" w:rsidRPr="005E46B7">
        <w:rPr>
          <w:rFonts w:ascii="Arial" w:hAnsi="Arial" w:cs="Arial"/>
        </w:rPr>
        <w:t>be carefully considered</w:t>
      </w:r>
      <w:r w:rsidRPr="005E46B7">
        <w:rPr>
          <w:rFonts w:ascii="Arial" w:hAnsi="Arial" w:cs="Arial"/>
        </w:rPr>
        <w:t xml:space="preserve">. </w:t>
      </w:r>
    </w:p>
    <w:p w14:paraId="70B6E21D" w14:textId="77777777" w:rsidR="005E46B7" w:rsidRDefault="005E46B7" w:rsidP="005E46B7">
      <w:pPr>
        <w:pStyle w:val="ListParagraph"/>
        <w:tabs>
          <w:tab w:val="left" w:pos="709"/>
        </w:tabs>
        <w:spacing w:line="360" w:lineRule="auto"/>
        <w:ind w:left="0"/>
        <w:jc w:val="both"/>
        <w:rPr>
          <w:rFonts w:ascii="Arial" w:hAnsi="Arial" w:cs="Arial"/>
        </w:rPr>
      </w:pPr>
    </w:p>
    <w:p w14:paraId="330D6E3E" w14:textId="671DEBCF" w:rsidR="001B0246" w:rsidRPr="003A61F7" w:rsidRDefault="00E32C0E" w:rsidP="003A61F7">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t>D</w:t>
      </w:r>
      <w:r w:rsidR="001B0246" w:rsidRPr="003A61F7">
        <w:rPr>
          <w:rFonts w:ascii="Arial" w:hAnsi="Arial" w:cs="Arial"/>
        </w:rPr>
        <w:t>uring her case</w:t>
      </w:r>
      <w:r w:rsidR="007E7612" w:rsidRPr="003A61F7">
        <w:rPr>
          <w:rFonts w:ascii="Arial" w:hAnsi="Arial" w:cs="Arial"/>
        </w:rPr>
        <w:t>,</w:t>
      </w:r>
      <w:r>
        <w:rPr>
          <w:rFonts w:ascii="Arial" w:hAnsi="Arial" w:cs="Arial"/>
        </w:rPr>
        <w:t xml:space="preserve"> the plaintiff,</w:t>
      </w:r>
      <w:r w:rsidR="007E7612" w:rsidRPr="003A61F7">
        <w:rPr>
          <w:rFonts w:ascii="Arial" w:hAnsi="Arial" w:cs="Arial"/>
        </w:rPr>
        <w:t xml:space="preserve"> inter alia,</w:t>
      </w:r>
      <w:r w:rsidR="001B0246" w:rsidRPr="003A61F7">
        <w:rPr>
          <w:rFonts w:ascii="Arial" w:hAnsi="Arial" w:cs="Arial"/>
        </w:rPr>
        <w:t xml:space="preserve"> presented the evidence of </w:t>
      </w:r>
      <w:r w:rsidR="00842F4C">
        <w:rPr>
          <w:rFonts w:ascii="Arial" w:hAnsi="Arial" w:cs="Arial"/>
        </w:rPr>
        <w:t xml:space="preserve">an expert witness, </w:t>
      </w:r>
      <w:r w:rsidR="001B0246" w:rsidRPr="003A61F7">
        <w:rPr>
          <w:rFonts w:ascii="Arial" w:hAnsi="Arial" w:cs="Arial"/>
        </w:rPr>
        <w:t>Dr Yatish Kara</w:t>
      </w:r>
      <w:r w:rsidR="00F41677">
        <w:rPr>
          <w:rFonts w:ascii="Arial" w:hAnsi="Arial" w:cs="Arial"/>
        </w:rPr>
        <w:t xml:space="preserve"> (Dr Kara)</w:t>
      </w:r>
      <w:r w:rsidR="001B0246" w:rsidRPr="003A61F7">
        <w:rPr>
          <w:rFonts w:ascii="Arial" w:hAnsi="Arial" w:cs="Arial"/>
        </w:rPr>
        <w:t xml:space="preserve">. He is the witness referred to by the plaintiff in </w:t>
      </w:r>
      <w:r w:rsidR="001B0246" w:rsidRPr="003A61F7">
        <w:rPr>
          <w:rFonts w:ascii="Arial" w:hAnsi="Arial" w:cs="Arial"/>
        </w:rPr>
        <w:lastRenderedPageBreak/>
        <w:t>paragraph 9</w:t>
      </w:r>
      <w:r w:rsidR="006958E7">
        <w:rPr>
          <w:rFonts w:ascii="Arial" w:hAnsi="Arial" w:cs="Arial"/>
        </w:rPr>
        <w:t>.</w:t>
      </w:r>
      <w:r w:rsidR="00B0214F">
        <w:rPr>
          <w:rStyle w:val="FootnoteReference"/>
          <w:rFonts w:ascii="Arial" w:hAnsi="Arial" w:cs="Arial"/>
        </w:rPr>
        <w:footnoteReference w:id="15"/>
      </w:r>
      <w:r w:rsidR="00842F4C">
        <w:rPr>
          <w:rFonts w:ascii="Arial" w:hAnsi="Arial" w:cs="Arial"/>
        </w:rPr>
        <w:t xml:space="preserve"> </w:t>
      </w:r>
      <w:r w:rsidR="001B0246" w:rsidRPr="003A61F7">
        <w:rPr>
          <w:rFonts w:ascii="Arial" w:hAnsi="Arial" w:cs="Arial"/>
        </w:rPr>
        <w:t xml:space="preserve">While he was being led by the plaintiff’s erstwhile counsel, </w:t>
      </w:r>
      <w:r w:rsidR="0058510B">
        <w:rPr>
          <w:rFonts w:ascii="Arial" w:hAnsi="Arial" w:cs="Arial"/>
        </w:rPr>
        <w:t xml:space="preserve">Mr Gajoo SC, </w:t>
      </w:r>
      <w:r w:rsidR="00B0214F">
        <w:rPr>
          <w:rFonts w:ascii="Arial" w:hAnsi="Arial" w:cs="Arial"/>
        </w:rPr>
        <w:t xml:space="preserve">and was holding forth on the topic of </w:t>
      </w:r>
      <w:r w:rsidR="006958E7">
        <w:rPr>
          <w:rFonts w:ascii="Arial" w:hAnsi="Arial" w:cs="Arial"/>
        </w:rPr>
        <w:t xml:space="preserve">the </w:t>
      </w:r>
      <w:r w:rsidR="00B0214F">
        <w:rPr>
          <w:rFonts w:ascii="Arial" w:hAnsi="Arial" w:cs="Arial"/>
        </w:rPr>
        <w:t xml:space="preserve">perfusion of fluids and glucose and nutrition immediately after an injury, </w:t>
      </w:r>
      <w:r w:rsidR="003A61F7">
        <w:rPr>
          <w:rFonts w:ascii="Arial" w:hAnsi="Arial" w:cs="Arial"/>
        </w:rPr>
        <w:t xml:space="preserve">Mr Mullins rose and objected to </w:t>
      </w:r>
      <w:r w:rsidR="00B0214F">
        <w:rPr>
          <w:rFonts w:ascii="Arial" w:hAnsi="Arial" w:cs="Arial"/>
        </w:rPr>
        <w:t>that</w:t>
      </w:r>
      <w:r w:rsidR="003A61F7">
        <w:rPr>
          <w:rFonts w:ascii="Arial" w:hAnsi="Arial" w:cs="Arial"/>
        </w:rPr>
        <w:t xml:space="preserve"> line of questioning for the following reason:</w:t>
      </w:r>
    </w:p>
    <w:p w14:paraId="254B162B" w14:textId="77777777" w:rsidR="007E7612" w:rsidRDefault="007E7612" w:rsidP="00BC3FB5">
      <w:pPr>
        <w:pStyle w:val="ListParagraph"/>
        <w:tabs>
          <w:tab w:val="left" w:pos="709"/>
          <w:tab w:val="left" w:pos="1701"/>
        </w:tabs>
        <w:spacing w:line="360" w:lineRule="auto"/>
        <w:ind w:left="0"/>
        <w:jc w:val="both"/>
        <w:rPr>
          <w:rFonts w:ascii="Arial" w:hAnsi="Arial" w:cs="Arial"/>
          <w:sz w:val="22"/>
          <w:szCs w:val="22"/>
        </w:rPr>
      </w:pPr>
      <w:r w:rsidRPr="00C75102">
        <w:rPr>
          <w:rFonts w:ascii="Arial" w:hAnsi="Arial" w:cs="Arial"/>
          <w:sz w:val="22"/>
          <w:szCs w:val="22"/>
        </w:rPr>
        <w:t>‘</w:t>
      </w:r>
      <w:r w:rsidRPr="00C75102">
        <w:rPr>
          <w:rFonts w:ascii="Arial" w:hAnsi="Arial" w:cs="Arial"/>
          <w:sz w:val="22"/>
          <w:szCs w:val="22"/>
          <w:u w:val="single"/>
        </w:rPr>
        <w:t>MR MULLINS</w:t>
      </w:r>
      <w:r w:rsidRPr="00C75102">
        <w:rPr>
          <w:rFonts w:ascii="Arial" w:hAnsi="Arial" w:cs="Arial"/>
          <w:sz w:val="22"/>
          <w:szCs w:val="22"/>
        </w:rPr>
        <w:t>:</w:t>
      </w:r>
      <w:r w:rsidRPr="00C75102">
        <w:rPr>
          <w:rFonts w:ascii="Arial" w:hAnsi="Arial" w:cs="Arial"/>
          <w:sz w:val="22"/>
          <w:szCs w:val="22"/>
        </w:rPr>
        <w:tab/>
        <w:t>M’Lord, I do not want to interrupt this too much but there is nothing pleaded about any damage sustained after the birth, or glucose issues.</w:t>
      </w:r>
      <w:r w:rsidR="00C75102" w:rsidRPr="00C75102">
        <w:rPr>
          <w:rFonts w:ascii="Arial" w:hAnsi="Arial" w:cs="Arial"/>
          <w:sz w:val="22"/>
          <w:szCs w:val="22"/>
        </w:rPr>
        <w:t>’</w:t>
      </w:r>
    </w:p>
    <w:p w14:paraId="4C9E3AB3" w14:textId="77777777" w:rsidR="002133D6" w:rsidRPr="002133D6" w:rsidRDefault="002133D6" w:rsidP="007E7612">
      <w:pPr>
        <w:pStyle w:val="ListParagraph"/>
        <w:tabs>
          <w:tab w:val="left" w:pos="709"/>
          <w:tab w:val="left" w:pos="1843"/>
        </w:tabs>
        <w:spacing w:line="360" w:lineRule="auto"/>
        <w:ind w:left="0"/>
        <w:jc w:val="both"/>
        <w:rPr>
          <w:rFonts w:ascii="Arial" w:hAnsi="Arial" w:cs="Arial"/>
        </w:rPr>
      </w:pPr>
      <w:r w:rsidRPr="002133D6">
        <w:rPr>
          <w:rFonts w:ascii="Arial" w:hAnsi="Arial" w:cs="Arial"/>
        </w:rPr>
        <w:t xml:space="preserve">Plaintiff’s erstwhile counsel </w:t>
      </w:r>
      <w:r>
        <w:rPr>
          <w:rFonts w:ascii="Arial" w:hAnsi="Arial" w:cs="Arial"/>
        </w:rPr>
        <w:t>respond</w:t>
      </w:r>
      <w:r w:rsidRPr="002133D6">
        <w:rPr>
          <w:rFonts w:ascii="Arial" w:hAnsi="Arial" w:cs="Arial"/>
        </w:rPr>
        <w:t xml:space="preserve">ed, in part, </w:t>
      </w:r>
      <w:r>
        <w:rPr>
          <w:rFonts w:ascii="Arial" w:hAnsi="Arial" w:cs="Arial"/>
        </w:rPr>
        <w:t>as follows</w:t>
      </w:r>
      <w:r w:rsidRPr="002133D6">
        <w:rPr>
          <w:rFonts w:ascii="Arial" w:hAnsi="Arial" w:cs="Arial"/>
        </w:rPr>
        <w:t>:</w:t>
      </w:r>
    </w:p>
    <w:p w14:paraId="6D3EBF04" w14:textId="77777777" w:rsidR="002133D6" w:rsidRPr="00C75102" w:rsidRDefault="002133D6" w:rsidP="00BC3FB5">
      <w:pPr>
        <w:pStyle w:val="ListParagraph"/>
        <w:tabs>
          <w:tab w:val="left" w:pos="709"/>
          <w:tab w:val="left" w:pos="1701"/>
        </w:tabs>
        <w:spacing w:line="360" w:lineRule="auto"/>
        <w:ind w:left="0"/>
        <w:jc w:val="both"/>
        <w:rPr>
          <w:rFonts w:ascii="Arial" w:hAnsi="Arial" w:cs="Arial"/>
          <w:sz w:val="22"/>
          <w:szCs w:val="22"/>
        </w:rPr>
      </w:pPr>
      <w:r>
        <w:rPr>
          <w:rFonts w:ascii="Arial" w:hAnsi="Arial" w:cs="Arial"/>
          <w:sz w:val="22"/>
          <w:szCs w:val="22"/>
        </w:rPr>
        <w:t>‘</w:t>
      </w:r>
      <w:r w:rsidRPr="002133D6">
        <w:rPr>
          <w:rFonts w:ascii="Arial" w:hAnsi="Arial" w:cs="Arial"/>
          <w:sz w:val="22"/>
          <w:szCs w:val="22"/>
          <w:u w:val="single"/>
        </w:rPr>
        <w:t>MR GAJOO</w:t>
      </w:r>
      <w:r>
        <w:rPr>
          <w:rFonts w:ascii="Arial" w:hAnsi="Arial" w:cs="Arial"/>
          <w:sz w:val="22"/>
          <w:szCs w:val="22"/>
        </w:rPr>
        <w:t>:</w:t>
      </w:r>
      <w:r>
        <w:rPr>
          <w:rFonts w:ascii="Arial" w:hAnsi="Arial" w:cs="Arial"/>
          <w:sz w:val="22"/>
          <w:szCs w:val="22"/>
        </w:rPr>
        <w:tab/>
        <w:t>… All the witness is doing is commenting about the likelihood of further damage. It has not been pleaded specifically as I recall but it is encompassed within his report, he deals with it as part of his report. He is simply explaining what he has said in his report as far as that is concerned.’</w:t>
      </w:r>
    </w:p>
    <w:p w14:paraId="1B32DC10" w14:textId="77777777" w:rsidR="00C75102" w:rsidRDefault="00C75102" w:rsidP="005E46B7">
      <w:pPr>
        <w:pStyle w:val="ListParagraph"/>
        <w:tabs>
          <w:tab w:val="left" w:pos="709"/>
        </w:tabs>
        <w:spacing w:line="360" w:lineRule="auto"/>
        <w:ind w:left="0"/>
        <w:jc w:val="both"/>
        <w:rPr>
          <w:rFonts w:ascii="Arial" w:hAnsi="Arial" w:cs="Arial"/>
        </w:rPr>
      </w:pPr>
      <w:r>
        <w:rPr>
          <w:rFonts w:ascii="Arial" w:hAnsi="Arial" w:cs="Arial"/>
        </w:rPr>
        <w:t xml:space="preserve">The court asked </w:t>
      </w:r>
      <w:r w:rsidR="0058510B">
        <w:rPr>
          <w:rFonts w:ascii="Arial" w:hAnsi="Arial" w:cs="Arial"/>
        </w:rPr>
        <w:t>Mr Gajoo</w:t>
      </w:r>
      <w:r>
        <w:rPr>
          <w:rFonts w:ascii="Arial" w:hAnsi="Arial" w:cs="Arial"/>
        </w:rPr>
        <w:t xml:space="preserve"> whether he intended amending the </w:t>
      </w:r>
      <w:r w:rsidR="002133D6">
        <w:rPr>
          <w:rFonts w:ascii="Arial" w:hAnsi="Arial" w:cs="Arial"/>
        </w:rPr>
        <w:t xml:space="preserve">plaintiff’s </w:t>
      </w:r>
      <w:r>
        <w:rPr>
          <w:rFonts w:ascii="Arial" w:hAnsi="Arial" w:cs="Arial"/>
        </w:rPr>
        <w:t>particulars of claim</w:t>
      </w:r>
      <w:r w:rsidR="003A61F7">
        <w:rPr>
          <w:rFonts w:ascii="Arial" w:hAnsi="Arial" w:cs="Arial"/>
        </w:rPr>
        <w:t xml:space="preserve"> to allow this evidence to be led</w:t>
      </w:r>
      <w:r>
        <w:rPr>
          <w:rFonts w:ascii="Arial" w:hAnsi="Arial" w:cs="Arial"/>
        </w:rPr>
        <w:t xml:space="preserve">. Counsel was </w:t>
      </w:r>
      <w:r w:rsidR="00842F4C">
        <w:rPr>
          <w:rFonts w:ascii="Arial" w:hAnsi="Arial" w:cs="Arial"/>
        </w:rPr>
        <w:t xml:space="preserve">initially </w:t>
      </w:r>
      <w:r>
        <w:rPr>
          <w:rFonts w:ascii="Arial" w:hAnsi="Arial" w:cs="Arial"/>
        </w:rPr>
        <w:t xml:space="preserve">uncertain </w:t>
      </w:r>
      <w:r w:rsidR="003A61F7">
        <w:rPr>
          <w:rFonts w:ascii="Arial" w:hAnsi="Arial" w:cs="Arial"/>
        </w:rPr>
        <w:t xml:space="preserve">and the court stood down </w:t>
      </w:r>
      <w:r w:rsidR="00617D81">
        <w:rPr>
          <w:rFonts w:ascii="Arial" w:hAnsi="Arial" w:cs="Arial"/>
        </w:rPr>
        <w:t xml:space="preserve">and granted him an opportunity </w:t>
      </w:r>
      <w:r w:rsidR="003A61F7">
        <w:rPr>
          <w:rFonts w:ascii="Arial" w:hAnsi="Arial" w:cs="Arial"/>
        </w:rPr>
        <w:t xml:space="preserve">to </w:t>
      </w:r>
      <w:r w:rsidR="0058510B">
        <w:rPr>
          <w:rFonts w:ascii="Arial" w:hAnsi="Arial" w:cs="Arial"/>
        </w:rPr>
        <w:t xml:space="preserve">take instructions and to </w:t>
      </w:r>
      <w:r w:rsidR="003A61F7">
        <w:rPr>
          <w:rFonts w:ascii="Arial" w:hAnsi="Arial" w:cs="Arial"/>
        </w:rPr>
        <w:t xml:space="preserve">consider his options. </w:t>
      </w:r>
      <w:r>
        <w:rPr>
          <w:rFonts w:ascii="Arial" w:hAnsi="Arial" w:cs="Arial"/>
        </w:rPr>
        <w:t>Upon returning, the court was advised as follows:</w:t>
      </w:r>
    </w:p>
    <w:p w14:paraId="093122F7" w14:textId="77777777" w:rsidR="00C75102" w:rsidRDefault="00C75102" w:rsidP="00BC3FB5">
      <w:pPr>
        <w:pStyle w:val="ListParagraph"/>
        <w:tabs>
          <w:tab w:val="left" w:pos="1701"/>
        </w:tabs>
        <w:spacing w:line="360" w:lineRule="auto"/>
        <w:ind w:left="0"/>
        <w:jc w:val="both"/>
        <w:rPr>
          <w:rFonts w:ascii="Arial" w:hAnsi="Arial" w:cs="Arial"/>
          <w:sz w:val="22"/>
          <w:szCs w:val="22"/>
        </w:rPr>
      </w:pPr>
      <w:r w:rsidRPr="00C75102">
        <w:rPr>
          <w:rFonts w:ascii="Arial" w:hAnsi="Arial" w:cs="Arial"/>
          <w:sz w:val="22"/>
          <w:szCs w:val="22"/>
        </w:rPr>
        <w:t>‘</w:t>
      </w:r>
      <w:r w:rsidRPr="00C75102">
        <w:rPr>
          <w:rFonts w:ascii="Arial" w:hAnsi="Arial" w:cs="Arial"/>
          <w:sz w:val="22"/>
          <w:szCs w:val="22"/>
          <w:u w:val="single"/>
        </w:rPr>
        <w:t>MR GAJOO</w:t>
      </w:r>
      <w:r w:rsidRPr="00C75102">
        <w:rPr>
          <w:rFonts w:ascii="Arial" w:hAnsi="Arial" w:cs="Arial"/>
          <w:sz w:val="22"/>
          <w:szCs w:val="22"/>
        </w:rPr>
        <w:t>:</w:t>
      </w:r>
      <w:r w:rsidRPr="00C75102">
        <w:rPr>
          <w:rFonts w:ascii="Arial" w:hAnsi="Arial" w:cs="Arial"/>
          <w:sz w:val="22"/>
          <w:szCs w:val="22"/>
        </w:rPr>
        <w:tab/>
        <w:t>M’Lord, thank you, we are not going to persist in the amendment.’</w:t>
      </w:r>
    </w:p>
    <w:p w14:paraId="3D170658" w14:textId="77777777" w:rsidR="005E46B7" w:rsidRDefault="005E46B7" w:rsidP="007E7612">
      <w:pPr>
        <w:pStyle w:val="ListParagraph"/>
        <w:tabs>
          <w:tab w:val="left" w:pos="709"/>
        </w:tabs>
        <w:spacing w:line="360" w:lineRule="auto"/>
        <w:ind w:left="0"/>
        <w:jc w:val="both"/>
        <w:rPr>
          <w:rFonts w:ascii="Arial" w:hAnsi="Arial" w:cs="Arial"/>
        </w:rPr>
      </w:pPr>
    </w:p>
    <w:p w14:paraId="375B22AE" w14:textId="77777777" w:rsidR="005E46B7" w:rsidRDefault="005E46B7" w:rsidP="005E46B7">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t xml:space="preserve">That, however, was not the end of the matter. Dr Kara </w:t>
      </w:r>
      <w:r w:rsidR="00BC3FB5">
        <w:rPr>
          <w:rFonts w:ascii="Arial" w:hAnsi="Arial" w:cs="Arial"/>
        </w:rPr>
        <w:t xml:space="preserve">later </w:t>
      </w:r>
      <w:r>
        <w:rPr>
          <w:rFonts w:ascii="Arial" w:hAnsi="Arial" w:cs="Arial"/>
        </w:rPr>
        <w:t xml:space="preserve">went on </w:t>
      </w:r>
      <w:r w:rsidR="00310D7D">
        <w:rPr>
          <w:rFonts w:ascii="Arial" w:hAnsi="Arial" w:cs="Arial"/>
        </w:rPr>
        <w:t xml:space="preserve">in his evidence in chief </w:t>
      </w:r>
      <w:r>
        <w:rPr>
          <w:rFonts w:ascii="Arial" w:hAnsi="Arial" w:cs="Arial"/>
        </w:rPr>
        <w:t xml:space="preserve">to </w:t>
      </w:r>
      <w:r w:rsidR="0058510B">
        <w:rPr>
          <w:rFonts w:ascii="Arial" w:hAnsi="Arial" w:cs="Arial"/>
        </w:rPr>
        <w:t xml:space="preserve">again </w:t>
      </w:r>
      <w:r w:rsidR="00BC3FB5">
        <w:rPr>
          <w:rFonts w:ascii="Arial" w:hAnsi="Arial" w:cs="Arial"/>
        </w:rPr>
        <w:t>testify about hypoglycaemia, which prompted the following objection from Mr Mullins:</w:t>
      </w:r>
    </w:p>
    <w:p w14:paraId="3E4E3657" w14:textId="77777777" w:rsidR="00BC3FB5" w:rsidRDefault="00BC3FB5" w:rsidP="00BC3FB5">
      <w:pPr>
        <w:pStyle w:val="ListParagraph"/>
        <w:tabs>
          <w:tab w:val="left" w:pos="709"/>
          <w:tab w:val="left" w:pos="1701"/>
        </w:tabs>
        <w:spacing w:line="360" w:lineRule="auto"/>
        <w:ind w:left="0"/>
        <w:jc w:val="both"/>
        <w:rPr>
          <w:rFonts w:ascii="Arial" w:hAnsi="Arial" w:cs="Arial"/>
          <w:sz w:val="22"/>
          <w:szCs w:val="22"/>
        </w:rPr>
      </w:pPr>
      <w:r w:rsidRPr="00F3586F">
        <w:rPr>
          <w:rFonts w:ascii="Arial" w:hAnsi="Arial" w:cs="Arial"/>
          <w:sz w:val="22"/>
          <w:szCs w:val="22"/>
        </w:rPr>
        <w:t>‘</w:t>
      </w:r>
      <w:r w:rsidRPr="00F3586F">
        <w:rPr>
          <w:rFonts w:ascii="Arial" w:hAnsi="Arial" w:cs="Arial"/>
          <w:sz w:val="22"/>
          <w:szCs w:val="22"/>
          <w:u w:val="single"/>
        </w:rPr>
        <w:t>MR MULLINS</w:t>
      </w:r>
      <w:r w:rsidRPr="00F3586F">
        <w:rPr>
          <w:rFonts w:ascii="Arial" w:hAnsi="Arial" w:cs="Arial"/>
          <w:sz w:val="22"/>
          <w:szCs w:val="22"/>
        </w:rPr>
        <w:t>:</w:t>
      </w:r>
      <w:r w:rsidRPr="00F3586F">
        <w:rPr>
          <w:rFonts w:ascii="Arial" w:hAnsi="Arial" w:cs="Arial"/>
          <w:sz w:val="22"/>
          <w:szCs w:val="22"/>
        </w:rPr>
        <w:tab/>
        <w:t>M’Lord, I just want it noted that my</w:t>
      </w:r>
      <w:r w:rsidR="00F3586F">
        <w:rPr>
          <w:rFonts w:ascii="Arial" w:hAnsi="Arial" w:cs="Arial"/>
          <w:sz w:val="22"/>
          <w:szCs w:val="22"/>
        </w:rPr>
        <w:t xml:space="preserve"> </w:t>
      </w:r>
      <w:r w:rsidRPr="00F3586F">
        <w:rPr>
          <w:rFonts w:ascii="Arial" w:hAnsi="Arial" w:cs="Arial"/>
          <w:sz w:val="22"/>
          <w:szCs w:val="22"/>
        </w:rPr>
        <w:t>silence is not some indication that I am going to accept the amendment in due course. This evidence is not – if there is going to be an amendment</w:t>
      </w:r>
      <w:r w:rsidR="00F3586F" w:rsidRPr="00F3586F">
        <w:rPr>
          <w:rFonts w:ascii="Arial" w:hAnsi="Arial" w:cs="Arial"/>
          <w:sz w:val="22"/>
          <w:szCs w:val="22"/>
        </w:rPr>
        <w:t xml:space="preserve"> in due course to suggest that postnatal care may have caused the injury.’</w:t>
      </w:r>
      <w:r w:rsidRPr="00F3586F">
        <w:rPr>
          <w:rFonts w:ascii="Arial" w:hAnsi="Arial" w:cs="Arial"/>
          <w:sz w:val="22"/>
          <w:szCs w:val="22"/>
        </w:rPr>
        <w:t xml:space="preserve"> </w:t>
      </w:r>
    </w:p>
    <w:p w14:paraId="59878C3C" w14:textId="77777777" w:rsidR="00F3586F" w:rsidRDefault="00F3586F" w:rsidP="00BC3FB5">
      <w:pPr>
        <w:pStyle w:val="ListParagraph"/>
        <w:tabs>
          <w:tab w:val="left" w:pos="709"/>
          <w:tab w:val="left" w:pos="1701"/>
        </w:tabs>
        <w:spacing w:line="360" w:lineRule="auto"/>
        <w:ind w:left="0"/>
        <w:jc w:val="both"/>
        <w:rPr>
          <w:rFonts w:ascii="Arial" w:hAnsi="Arial" w:cs="Arial"/>
        </w:rPr>
      </w:pPr>
      <w:r>
        <w:rPr>
          <w:rFonts w:ascii="Arial" w:hAnsi="Arial" w:cs="Arial"/>
        </w:rPr>
        <w:t>Counsel for the plaintiff responded by saying that:</w:t>
      </w:r>
    </w:p>
    <w:p w14:paraId="401BB177" w14:textId="77777777" w:rsidR="00F3586F" w:rsidRDefault="00F3586F" w:rsidP="00BC3FB5">
      <w:pPr>
        <w:pStyle w:val="ListParagraph"/>
        <w:tabs>
          <w:tab w:val="left" w:pos="709"/>
          <w:tab w:val="left" w:pos="1701"/>
        </w:tabs>
        <w:spacing w:line="360" w:lineRule="auto"/>
        <w:ind w:left="0"/>
        <w:jc w:val="both"/>
        <w:rPr>
          <w:rFonts w:ascii="Arial" w:hAnsi="Arial" w:cs="Arial"/>
          <w:sz w:val="22"/>
          <w:szCs w:val="22"/>
        </w:rPr>
      </w:pPr>
      <w:r w:rsidRPr="00F3586F">
        <w:rPr>
          <w:rFonts w:ascii="Arial" w:hAnsi="Arial" w:cs="Arial"/>
          <w:sz w:val="22"/>
          <w:szCs w:val="22"/>
        </w:rPr>
        <w:t>‘</w:t>
      </w:r>
      <w:r w:rsidRPr="00F3586F">
        <w:rPr>
          <w:rFonts w:ascii="Arial" w:hAnsi="Arial" w:cs="Arial"/>
          <w:sz w:val="22"/>
          <w:szCs w:val="22"/>
          <w:u w:val="single"/>
        </w:rPr>
        <w:t>MR GAJOO</w:t>
      </w:r>
      <w:r w:rsidRPr="00F3586F">
        <w:rPr>
          <w:rFonts w:ascii="Arial" w:hAnsi="Arial" w:cs="Arial"/>
          <w:sz w:val="22"/>
          <w:szCs w:val="22"/>
        </w:rPr>
        <w:t>:</w:t>
      </w:r>
      <w:r w:rsidRPr="00F3586F">
        <w:rPr>
          <w:rFonts w:ascii="Arial" w:hAnsi="Arial" w:cs="Arial"/>
          <w:sz w:val="22"/>
          <w:szCs w:val="22"/>
        </w:rPr>
        <w:tab/>
        <w:t>M’Lord we have accepted that. We are simply dealing with the joint minute and he is explaining what was agreed on … .’</w:t>
      </w:r>
    </w:p>
    <w:p w14:paraId="0173E9A4" w14:textId="77777777" w:rsidR="00310D7D" w:rsidRPr="00F3586F" w:rsidRDefault="00310D7D" w:rsidP="00BC3FB5">
      <w:pPr>
        <w:pStyle w:val="ListParagraph"/>
        <w:tabs>
          <w:tab w:val="left" w:pos="709"/>
          <w:tab w:val="left" w:pos="1701"/>
        </w:tabs>
        <w:spacing w:line="360" w:lineRule="auto"/>
        <w:ind w:left="0"/>
        <w:jc w:val="both"/>
        <w:rPr>
          <w:rFonts w:ascii="Arial" w:hAnsi="Arial" w:cs="Arial"/>
          <w:sz w:val="22"/>
          <w:szCs w:val="22"/>
        </w:rPr>
      </w:pPr>
    </w:p>
    <w:p w14:paraId="56D6F006" w14:textId="52C59497" w:rsidR="00603F28" w:rsidRPr="00603F28" w:rsidRDefault="00310D7D" w:rsidP="00603F28">
      <w:pPr>
        <w:pStyle w:val="ListParagraph"/>
        <w:numPr>
          <w:ilvl w:val="0"/>
          <w:numId w:val="8"/>
        </w:numPr>
        <w:tabs>
          <w:tab w:val="left" w:pos="709"/>
        </w:tabs>
        <w:spacing w:line="360" w:lineRule="auto"/>
        <w:ind w:left="0" w:firstLine="0"/>
        <w:jc w:val="both"/>
        <w:rPr>
          <w:rFonts w:ascii="Arial" w:hAnsi="Arial" w:cs="Arial"/>
        </w:rPr>
      </w:pPr>
      <w:r w:rsidRPr="00DE29AD">
        <w:rPr>
          <w:rFonts w:ascii="Arial" w:hAnsi="Arial" w:cs="Arial"/>
        </w:rPr>
        <w:t xml:space="preserve">In the face of Mr Mullins’s implacable objection to this evidence being led, the plaintiff did not lead it, whether through Dr Kara or through any other witness. </w:t>
      </w:r>
      <w:r w:rsidR="00603F28" w:rsidRPr="00603F28">
        <w:rPr>
          <w:rFonts w:ascii="Arial" w:hAnsi="Arial" w:cs="Arial"/>
        </w:rPr>
        <w:t xml:space="preserve">In my view, </w:t>
      </w:r>
      <w:r w:rsidR="0058510B">
        <w:rPr>
          <w:rFonts w:ascii="Arial" w:hAnsi="Arial" w:cs="Arial"/>
        </w:rPr>
        <w:t xml:space="preserve">the position adopted by </w:t>
      </w:r>
      <w:r w:rsidR="00603F28" w:rsidRPr="00603F28">
        <w:rPr>
          <w:rFonts w:ascii="Arial" w:hAnsi="Arial" w:cs="Arial"/>
        </w:rPr>
        <w:t xml:space="preserve">Mr Mullins was correct. The particulars of claim made no allegation about any injury sustained by </w:t>
      </w:r>
      <w:r w:rsidR="003167A6">
        <w:rPr>
          <w:rFonts w:ascii="Arial" w:hAnsi="Arial" w:cs="Arial"/>
        </w:rPr>
        <w:t>the minor child</w:t>
      </w:r>
      <w:r w:rsidR="00603F28" w:rsidRPr="00603F28">
        <w:rPr>
          <w:rFonts w:ascii="Arial" w:hAnsi="Arial" w:cs="Arial"/>
        </w:rPr>
        <w:t xml:space="preserve"> after his birth, nor did they allege any issues</w:t>
      </w:r>
      <w:r w:rsidR="00F41677">
        <w:rPr>
          <w:rFonts w:ascii="Arial" w:hAnsi="Arial" w:cs="Arial"/>
        </w:rPr>
        <w:t xml:space="preserve"> arising out of hypoglycaemia or a</w:t>
      </w:r>
      <w:r w:rsidR="009F22B8">
        <w:rPr>
          <w:rFonts w:ascii="Arial" w:hAnsi="Arial" w:cs="Arial"/>
        </w:rPr>
        <w:t>ny complication arising from a</w:t>
      </w:r>
      <w:r w:rsidR="00F41677">
        <w:rPr>
          <w:rFonts w:ascii="Arial" w:hAnsi="Arial" w:cs="Arial"/>
        </w:rPr>
        <w:t xml:space="preserve"> want of </w:t>
      </w:r>
      <w:r w:rsidR="003B5DD4">
        <w:rPr>
          <w:rFonts w:ascii="Arial" w:hAnsi="Arial" w:cs="Arial"/>
        </w:rPr>
        <w:t>glucose</w:t>
      </w:r>
      <w:r w:rsidR="00603F28" w:rsidRPr="00603F28">
        <w:rPr>
          <w:rFonts w:ascii="Arial" w:hAnsi="Arial" w:cs="Arial"/>
        </w:rPr>
        <w:t xml:space="preserve">. </w:t>
      </w:r>
    </w:p>
    <w:p w14:paraId="69E03188" w14:textId="77777777" w:rsidR="00DE29AD" w:rsidRPr="00DE29AD" w:rsidRDefault="00310D7D" w:rsidP="00DE29AD">
      <w:pPr>
        <w:pStyle w:val="ListParagraph"/>
        <w:numPr>
          <w:ilvl w:val="0"/>
          <w:numId w:val="8"/>
        </w:numPr>
        <w:tabs>
          <w:tab w:val="left" w:pos="709"/>
        </w:tabs>
        <w:spacing w:line="360" w:lineRule="auto"/>
        <w:ind w:left="0" w:firstLine="0"/>
        <w:jc w:val="both"/>
        <w:rPr>
          <w:rFonts w:ascii="Arial" w:hAnsi="Arial" w:cs="Arial"/>
          <w:sz w:val="22"/>
          <w:szCs w:val="22"/>
        </w:rPr>
      </w:pPr>
      <w:r w:rsidRPr="00DE29AD">
        <w:rPr>
          <w:rFonts w:ascii="Arial" w:hAnsi="Arial" w:cs="Arial"/>
        </w:rPr>
        <w:lastRenderedPageBreak/>
        <w:t xml:space="preserve">In fact, the </w:t>
      </w:r>
      <w:r w:rsidR="00603F28">
        <w:rPr>
          <w:rFonts w:ascii="Arial" w:hAnsi="Arial" w:cs="Arial"/>
        </w:rPr>
        <w:t>possibility of a postnatal injury causing</w:t>
      </w:r>
      <w:r w:rsidR="0058510B">
        <w:rPr>
          <w:rFonts w:ascii="Arial" w:hAnsi="Arial" w:cs="Arial"/>
        </w:rPr>
        <w:t>,</w:t>
      </w:r>
      <w:r w:rsidR="00603F28">
        <w:rPr>
          <w:rFonts w:ascii="Arial" w:hAnsi="Arial" w:cs="Arial"/>
        </w:rPr>
        <w:t xml:space="preserve"> or contributing</w:t>
      </w:r>
      <w:r w:rsidR="0058510B">
        <w:rPr>
          <w:rFonts w:ascii="Arial" w:hAnsi="Arial" w:cs="Arial"/>
        </w:rPr>
        <w:t>,</w:t>
      </w:r>
      <w:r w:rsidR="00603F28">
        <w:rPr>
          <w:rFonts w:ascii="Arial" w:hAnsi="Arial" w:cs="Arial"/>
        </w:rPr>
        <w:t xml:space="preserve"> to </w:t>
      </w:r>
      <w:r w:rsidR="003167A6">
        <w:rPr>
          <w:rFonts w:ascii="Arial" w:hAnsi="Arial" w:cs="Arial"/>
        </w:rPr>
        <w:t>the minor child’s</w:t>
      </w:r>
      <w:r w:rsidR="00603F28">
        <w:rPr>
          <w:rFonts w:ascii="Arial" w:hAnsi="Arial" w:cs="Arial"/>
        </w:rPr>
        <w:t xml:space="preserve"> condition was, in effect, ruled out by the evidence of another witness called by the plaintiff, namely </w:t>
      </w:r>
      <w:r w:rsidR="00DE29AD" w:rsidRPr="00DE29AD">
        <w:rPr>
          <w:rFonts w:ascii="Arial" w:hAnsi="Arial" w:cs="Arial"/>
        </w:rPr>
        <w:t>Dr Ebrahim</w:t>
      </w:r>
      <w:r w:rsidR="00603F28">
        <w:rPr>
          <w:rFonts w:ascii="Arial" w:hAnsi="Arial" w:cs="Arial"/>
        </w:rPr>
        <w:t>. He expressed himself as follows when cross examined by Mr Mullins:</w:t>
      </w:r>
    </w:p>
    <w:p w14:paraId="58D92ED5" w14:textId="77777777" w:rsidR="00FE66C9" w:rsidRDefault="00FE66C9" w:rsidP="0058510B">
      <w:pPr>
        <w:pStyle w:val="ListParagraph"/>
        <w:tabs>
          <w:tab w:val="left" w:pos="709"/>
          <w:tab w:val="left" w:pos="1701"/>
        </w:tabs>
        <w:spacing w:line="360" w:lineRule="auto"/>
        <w:ind w:left="0"/>
        <w:jc w:val="both"/>
        <w:rPr>
          <w:rFonts w:ascii="Arial" w:hAnsi="Arial" w:cs="Arial"/>
          <w:sz w:val="22"/>
          <w:szCs w:val="22"/>
        </w:rPr>
      </w:pPr>
      <w:r w:rsidRPr="00603F28">
        <w:rPr>
          <w:rFonts w:ascii="Arial" w:hAnsi="Arial" w:cs="Arial"/>
          <w:sz w:val="22"/>
          <w:szCs w:val="22"/>
        </w:rPr>
        <w:t>‘</w:t>
      </w:r>
      <w:r w:rsidRPr="00603F28">
        <w:rPr>
          <w:rFonts w:ascii="Arial" w:hAnsi="Arial" w:cs="Arial"/>
          <w:sz w:val="22"/>
          <w:szCs w:val="22"/>
          <w:u w:val="single"/>
        </w:rPr>
        <w:t>DR EBRAHIM</w:t>
      </w:r>
      <w:r w:rsidRPr="00603F28">
        <w:rPr>
          <w:rFonts w:ascii="Arial" w:hAnsi="Arial" w:cs="Arial"/>
          <w:sz w:val="22"/>
          <w:szCs w:val="22"/>
        </w:rPr>
        <w:t>:</w:t>
      </w:r>
      <w:r w:rsidRPr="00603F28">
        <w:rPr>
          <w:rFonts w:ascii="Arial" w:hAnsi="Arial" w:cs="Arial"/>
          <w:sz w:val="22"/>
          <w:szCs w:val="22"/>
        </w:rPr>
        <w:tab/>
        <w:t xml:space="preserve">Well, we know that in my opinion the baby entered </w:t>
      </w:r>
      <w:r w:rsidR="0058510B">
        <w:rPr>
          <w:rFonts w:ascii="Arial" w:hAnsi="Arial" w:cs="Arial"/>
          <w:sz w:val="22"/>
          <w:szCs w:val="22"/>
        </w:rPr>
        <w:t>labour without hypoxic injury. T</w:t>
      </w:r>
      <w:r w:rsidRPr="00603F28">
        <w:rPr>
          <w:rFonts w:ascii="Arial" w:hAnsi="Arial" w:cs="Arial"/>
          <w:sz w:val="22"/>
          <w:szCs w:val="22"/>
        </w:rPr>
        <w:t>here may have been a trace that was of doubt that was category 2, which in my opinion was not an indication of damage. It was an indication that damage might occur, and we know that the baby was born with severe hypoxi</w:t>
      </w:r>
      <w:r w:rsidR="00310D7D" w:rsidRPr="00603F28">
        <w:rPr>
          <w:rFonts w:ascii="Arial" w:hAnsi="Arial" w:cs="Arial"/>
          <w:sz w:val="22"/>
          <w:szCs w:val="22"/>
        </w:rPr>
        <w:t>c</w:t>
      </w:r>
      <w:r w:rsidRPr="00603F28">
        <w:rPr>
          <w:rFonts w:ascii="Arial" w:hAnsi="Arial" w:cs="Arial"/>
          <w:sz w:val="22"/>
          <w:szCs w:val="22"/>
        </w:rPr>
        <w:t xml:space="preserve"> ischemic encephalopathy, which means that the baby suffered hypoxia. Now, the hypoxia could have happened before labour, during labour or after labour. Now, since the baby was born hypoxic, it removes the postnatal period as the time when the hypoxia </w:t>
      </w:r>
      <w:r w:rsidR="00310D7D" w:rsidRPr="00603F28">
        <w:rPr>
          <w:rFonts w:ascii="Arial" w:hAnsi="Arial" w:cs="Arial"/>
          <w:sz w:val="22"/>
          <w:szCs w:val="22"/>
        </w:rPr>
        <w:t>occurred</w:t>
      </w:r>
      <w:r w:rsidR="00DE29AD" w:rsidRPr="00603F28">
        <w:rPr>
          <w:rFonts w:ascii="Arial" w:hAnsi="Arial" w:cs="Arial"/>
          <w:sz w:val="22"/>
          <w:szCs w:val="22"/>
        </w:rPr>
        <w:t xml:space="preserve">. We are left with the labour and before labour and we have no reason to suspect why a healthy mother with a 4kg baby would enter labour with a baby that has got brain damage from hypoxia. The baby might have had some evidence of compromise but there was no injury as yet. There was no </w:t>
      </w:r>
      <w:r w:rsidR="00603F28" w:rsidRPr="00603F28">
        <w:rPr>
          <w:rFonts w:ascii="Arial" w:hAnsi="Arial" w:cs="Arial"/>
          <w:sz w:val="22"/>
          <w:szCs w:val="22"/>
        </w:rPr>
        <w:t>damage</w:t>
      </w:r>
      <w:r w:rsidR="00DE29AD" w:rsidRPr="00603F28">
        <w:rPr>
          <w:rFonts w:ascii="Arial" w:hAnsi="Arial" w:cs="Arial"/>
          <w:sz w:val="22"/>
          <w:szCs w:val="22"/>
        </w:rPr>
        <w:t xml:space="preserve"> as yet. There was no irreversible factor at that point. So the conclusion is that it happened from the time of the onset of labour </w:t>
      </w:r>
      <w:r w:rsidR="00603F28" w:rsidRPr="00603F28">
        <w:rPr>
          <w:rFonts w:ascii="Arial" w:hAnsi="Arial" w:cs="Arial"/>
          <w:sz w:val="22"/>
          <w:szCs w:val="22"/>
        </w:rPr>
        <w:t>until the time baby was born.’</w:t>
      </w:r>
    </w:p>
    <w:p w14:paraId="1EE687F5" w14:textId="77777777" w:rsidR="00603F28" w:rsidRPr="00603F28" w:rsidRDefault="00603F28" w:rsidP="00B324EA">
      <w:pPr>
        <w:pStyle w:val="ListParagraph"/>
        <w:tabs>
          <w:tab w:val="left" w:pos="709"/>
        </w:tabs>
        <w:spacing w:line="360" w:lineRule="auto"/>
        <w:ind w:left="0"/>
        <w:jc w:val="both"/>
        <w:rPr>
          <w:rFonts w:ascii="Arial" w:hAnsi="Arial" w:cs="Arial"/>
        </w:rPr>
      </w:pPr>
    </w:p>
    <w:p w14:paraId="0CFA8F09" w14:textId="77777777" w:rsidR="00B324EA" w:rsidRDefault="00B324EA" w:rsidP="00B324EA">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t xml:space="preserve">The content of the contentious paragraphs </w:t>
      </w:r>
      <w:r w:rsidR="00AE2B10">
        <w:rPr>
          <w:rFonts w:ascii="Arial" w:hAnsi="Arial" w:cs="Arial"/>
        </w:rPr>
        <w:t xml:space="preserve">is </w:t>
      </w:r>
      <w:r>
        <w:rPr>
          <w:rFonts w:ascii="Arial" w:hAnsi="Arial" w:cs="Arial"/>
        </w:rPr>
        <w:t xml:space="preserve">at odds with the evidence of Dr Ebrahim. </w:t>
      </w:r>
    </w:p>
    <w:p w14:paraId="034DF542" w14:textId="77777777" w:rsidR="00B324EA" w:rsidRDefault="00B324EA" w:rsidP="00B324EA">
      <w:pPr>
        <w:pStyle w:val="ListParagraph"/>
        <w:tabs>
          <w:tab w:val="left" w:pos="709"/>
        </w:tabs>
        <w:spacing w:line="360" w:lineRule="auto"/>
        <w:ind w:left="0"/>
        <w:jc w:val="both"/>
        <w:rPr>
          <w:rFonts w:ascii="Arial" w:hAnsi="Arial" w:cs="Arial"/>
        </w:rPr>
      </w:pPr>
    </w:p>
    <w:p w14:paraId="60C6A62A" w14:textId="77777777" w:rsidR="00B324EA" w:rsidRDefault="0058510B" w:rsidP="00B324EA">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t>A</w:t>
      </w:r>
      <w:r w:rsidR="00B324EA">
        <w:rPr>
          <w:rFonts w:ascii="Arial" w:hAnsi="Arial" w:cs="Arial"/>
        </w:rPr>
        <w:t xml:space="preserve"> consequence of the</w:t>
      </w:r>
      <w:r w:rsidR="0019609D">
        <w:rPr>
          <w:rFonts w:ascii="Arial" w:hAnsi="Arial" w:cs="Arial"/>
        </w:rPr>
        <w:t xml:space="preserve"> </w:t>
      </w:r>
      <w:r w:rsidR="00B324EA">
        <w:rPr>
          <w:rFonts w:ascii="Arial" w:hAnsi="Arial" w:cs="Arial"/>
        </w:rPr>
        <w:t xml:space="preserve">election made by the plaintiff not to effect the amendment </w:t>
      </w:r>
      <w:r w:rsidR="004E22DC">
        <w:rPr>
          <w:rFonts w:ascii="Arial" w:hAnsi="Arial" w:cs="Arial"/>
        </w:rPr>
        <w:t xml:space="preserve">and lead the evidence </w:t>
      </w:r>
      <w:r w:rsidR="00B324EA">
        <w:rPr>
          <w:rFonts w:ascii="Arial" w:hAnsi="Arial" w:cs="Arial"/>
        </w:rPr>
        <w:t xml:space="preserve">was that </w:t>
      </w:r>
      <w:r w:rsidR="0019609D">
        <w:rPr>
          <w:rFonts w:ascii="Arial" w:hAnsi="Arial" w:cs="Arial"/>
        </w:rPr>
        <w:t xml:space="preserve">when Dr Hofmann, </w:t>
      </w:r>
      <w:r>
        <w:rPr>
          <w:rFonts w:ascii="Arial" w:hAnsi="Arial" w:cs="Arial"/>
        </w:rPr>
        <w:t>a</w:t>
      </w:r>
      <w:r w:rsidR="0019609D">
        <w:rPr>
          <w:rFonts w:ascii="Arial" w:hAnsi="Arial" w:cs="Arial"/>
        </w:rPr>
        <w:t xml:space="preserve"> medical practitioner who attended at the birth of </w:t>
      </w:r>
      <w:r w:rsidR="003167A6">
        <w:rPr>
          <w:rFonts w:ascii="Arial" w:hAnsi="Arial" w:cs="Arial"/>
        </w:rPr>
        <w:t>the minor child</w:t>
      </w:r>
      <w:r w:rsidR="004E22DC">
        <w:rPr>
          <w:rFonts w:ascii="Arial" w:hAnsi="Arial" w:cs="Arial"/>
        </w:rPr>
        <w:t>,</w:t>
      </w:r>
      <w:r w:rsidR="00B324EA">
        <w:rPr>
          <w:rFonts w:ascii="Arial" w:hAnsi="Arial" w:cs="Arial"/>
        </w:rPr>
        <w:t xml:space="preserve"> gave his evidence</w:t>
      </w:r>
      <w:r w:rsidR="00617D81">
        <w:rPr>
          <w:rFonts w:ascii="Arial" w:hAnsi="Arial" w:cs="Arial"/>
        </w:rPr>
        <w:t xml:space="preserve"> for the defendant</w:t>
      </w:r>
      <w:r w:rsidR="0019609D">
        <w:rPr>
          <w:rFonts w:ascii="Arial" w:hAnsi="Arial" w:cs="Arial"/>
        </w:rPr>
        <w:t xml:space="preserve">, no questions were put to him on the issues raised in the contentious paragraphs. </w:t>
      </w:r>
    </w:p>
    <w:p w14:paraId="3FE17426" w14:textId="77777777" w:rsidR="00B324EA" w:rsidRPr="00B324EA" w:rsidRDefault="00B324EA" w:rsidP="00B324EA">
      <w:pPr>
        <w:pStyle w:val="ListParagraph"/>
        <w:spacing w:line="360" w:lineRule="auto"/>
        <w:rPr>
          <w:rFonts w:ascii="Arial" w:hAnsi="Arial" w:cs="Arial"/>
        </w:rPr>
      </w:pPr>
    </w:p>
    <w:p w14:paraId="6CD002EF" w14:textId="77777777" w:rsidR="00E536A3" w:rsidRDefault="00842F4C" w:rsidP="00E536A3">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t xml:space="preserve">It is therefore difficult to understand how the proposed amendment, as contained in the contentious paragraphs, could constitute an attempt by the plaintiff to align her pleadings with the evidence led. </w:t>
      </w:r>
      <w:r w:rsidR="009F22B8">
        <w:rPr>
          <w:rFonts w:ascii="Arial" w:hAnsi="Arial" w:cs="Arial"/>
        </w:rPr>
        <w:t xml:space="preserve">Certainly, no attempt was made in argument to identify when that evidence </w:t>
      </w:r>
      <w:r w:rsidR="00E536A3">
        <w:rPr>
          <w:rFonts w:ascii="Arial" w:hAnsi="Arial" w:cs="Arial"/>
        </w:rPr>
        <w:t>had been</w:t>
      </w:r>
      <w:r w:rsidR="009F22B8">
        <w:rPr>
          <w:rFonts w:ascii="Arial" w:hAnsi="Arial" w:cs="Arial"/>
        </w:rPr>
        <w:t xml:space="preserve"> led. </w:t>
      </w:r>
    </w:p>
    <w:p w14:paraId="13420C32" w14:textId="77777777" w:rsidR="00E536A3" w:rsidRPr="00E536A3" w:rsidRDefault="00E536A3" w:rsidP="00E536A3">
      <w:pPr>
        <w:pStyle w:val="ListParagraph"/>
        <w:spacing w:line="360" w:lineRule="auto"/>
        <w:rPr>
          <w:rFonts w:ascii="Arial" w:hAnsi="Arial" w:cs="Arial"/>
        </w:rPr>
      </w:pPr>
    </w:p>
    <w:p w14:paraId="4731ACF2" w14:textId="136A3716" w:rsidR="003A61F7" w:rsidRPr="0058510B" w:rsidRDefault="009F22B8" w:rsidP="00E536A3">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t>The proposed ame</w:t>
      </w:r>
      <w:r w:rsidR="00F218AD">
        <w:rPr>
          <w:rFonts w:ascii="Arial" w:hAnsi="Arial" w:cs="Arial"/>
        </w:rPr>
        <w:t>ndment</w:t>
      </w:r>
      <w:r w:rsidR="00842F4C">
        <w:rPr>
          <w:rFonts w:ascii="Arial" w:hAnsi="Arial" w:cs="Arial"/>
        </w:rPr>
        <w:t xml:space="preserve"> </w:t>
      </w:r>
      <w:r w:rsidR="00B7673B">
        <w:rPr>
          <w:rFonts w:ascii="Arial" w:hAnsi="Arial" w:cs="Arial"/>
        </w:rPr>
        <w:t>c</w:t>
      </w:r>
      <w:r w:rsidR="00842F4C">
        <w:rPr>
          <w:rFonts w:ascii="Arial" w:hAnsi="Arial" w:cs="Arial"/>
        </w:rPr>
        <w:t xml:space="preserve">ould, perhaps, </w:t>
      </w:r>
      <w:r w:rsidR="008A3CB6">
        <w:rPr>
          <w:rFonts w:ascii="Arial" w:hAnsi="Arial" w:cs="Arial"/>
        </w:rPr>
        <w:t xml:space="preserve">if generously </w:t>
      </w:r>
      <w:r w:rsidR="00842F4C">
        <w:rPr>
          <w:rFonts w:ascii="Arial" w:hAnsi="Arial" w:cs="Arial"/>
        </w:rPr>
        <w:t>viewed</w:t>
      </w:r>
      <w:r w:rsidR="008A3CB6">
        <w:rPr>
          <w:rFonts w:ascii="Arial" w:hAnsi="Arial" w:cs="Arial"/>
        </w:rPr>
        <w:t>, be considered</w:t>
      </w:r>
      <w:r w:rsidR="00842F4C">
        <w:rPr>
          <w:rFonts w:ascii="Arial" w:hAnsi="Arial" w:cs="Arial"/>
        </w:rPr>
        <w:t xml:space="preserve"> as an attempt to amend to enable that evidence to be led. </w:t>
      </w:r>
      <w:r w:rsidR="00B548FE">
        <w:rPr>
          <w:rFonts w:ascii="Arial" w:hAnsi="Arial" w:cs="Arial"/>
        </w:rPr>
        <w:t xml:space="preserve">But </w:t>
      </w:r>
      <w:r w:rsidR="008A3CB6">
        <w:rPr>
          <w:rFonts w:ascii="Arial" w:hAnsi="Arial" w:cs="Arial"/>
        </w:rPr>
        <w:t xml:space="preserve">that is not the plaintiff’s </w:t>
      </w:r>
      <w:r w:rsidR="00B7673B">
        <w:rPr>
          <w:rFonts w:ascii="Arial" w:hAnsi="Arial" w:cs="Arial"/>
        </w:rPr>
        <w:t xml:space="preserve">expressed </w:t>
      </w:r>
      <w:r w:rsidR="008A3CB6">
        <w:rPr>
          <w:rFonts w:ascii="Arial" w:hAnsi="Arial" w:cs="Arial"/>
        </w:rPr>
        <w:t>intent. She has unequivocally stated in her affidavit</w:t>
      </w:r>
      <w:r w:rsidR="00B324EA">
        <w:rPr>
          <w:rFonts w:ascii="Arial" w:hAnsi="Arial" w:cs="Arial"/>
        </w:rPr>
        <w:t xml:space="preserve">, </w:t>
      </w:r>
      <w:r w:rsidR="008A3CB6">
        <w:rPr>
          <w:rFonts w:ascii="Arial" w:hAnsi="Arial" w:cs="Arial"/>
        </w:rPr>
        <w:t>in her heads of argument, and in argument, that she intends leading no further evidence on the issues identified in the contentious paragraphs.</w:t>
      </w:r>
      <w:r w:rsidR="00B324EA">
        <w:rPr>
          <w:rFonts w:ascii="Arial" w:hAnsi="Arial" w:cs="Arial"/>
        </w:rPr>
        <w:t xml:space="preserve"> Why the amendment is sought therefore is </w:t>
      </w:r>
      <w:r w:rsidR="00B324EA">
        <w:rPr>
          <w:rFonts w:ascii="Arial" w:hAnsi="Arial" w:cs="Arial"/>
        </w:rPr>
        <w:lastRenderedPageBreak/>
        <w:t xml:space="preserve">not clear </w:t>
      </w:r>
      <w:r w:rsidR="00F65726">
        <w:rPr>
          <w:rFonts w:ascii="Arial" w:hAnsi="Arial" w:cs="Arial"/>
        </w:rPr>
        <w:t xml:space="preserve">nor is it apparent </w:t>
      </w:r>
      <w:r w:rsidR="00B324EA">
        <w:rPr>
          <w:rFonts w:ascii="Arial" w:hAnsi="Arial" w:cs="Arial"/>
        </w:rPr>
        <w:t xml:space="preserve">how it will contribute to the resolution of the </w:t>
      </w:r>
      <w:r w:rsidR="003B5DD4">
        <w:rPr>
          <w:rFonts w:ascii="Arial" w:hAnsi="Arial" w:cs="Arial"/>
        </w:rPr>
        <w:t xml:space="preserve">true </w:t>
      </w:r>
      <w:r w:rsidR="00B324EA">
        <w:rPr>
          <w:rFonts w:ascii="Arial" w:hAnsi="Arial" w:cs="Arial"/>
        </w:rPr>
        <w:t>issues between the parties.</w:t>
      </w:r>
      <w:r w:rsidR="0058510B">
        <w:rPr>
          <w:rFonts w:ascii="Arial" w:hAnsi="Arial" w:cs="Arial"/>
        </w:rPr>
        <w:t xml:space="preserve"> </w:t>
      </w:r>
      <w:r w:rsidR="008A3CB6" w:rsidRPr="0058510B">
        <w:rPr>
          <w:rFonts w:ascii="Arial" w:hAnsi="Arial" w:cs="Arial"/>
        </w:rPr>
        <w:t xml:space="preserve">In </w:t>
      </w:r>
      <w:r w:rsidR="008A3CB6" w:rsidRPr="0058510B">
        <w:rPr>
          <w:rFonts w:ascii="Arial" w:hAnsi="Arial" w:cs="Arial"/>
          <w:i/>
        </w:rPr>
        <w:t>Benjamin</w:t>
      </w:r>
      <w:r w:rsidR="008A3CB6" w:rsidRPr="0058510B">
        <w:rPr>
          <w:rFonts w:ascii="Arial" w:hAnsi="Arial" w:cs="Arial"/>
        </w:rPr>
        <w:t>,</w:t>
      </w:r>
      <w:r w:rsidR="008A3CB6">
        <w:rPr>
          <w:rStyle w:val="FootnoteReference"/>
          <w:rFonts w:ascii="Arial" w:hAnsi="Arial" w:cs="Arial"/>
        </w:rPr>
        <w:footnoteReference w:id="16"/>
      </w:r>
      <w:r w:rsidR="008A3CB6" w:rsidRPr="0058510B">
        <w:rPr>
          <w:rFonts w:ascii="Arial" w:hAnsi="Arial" w:cs="Arial"/>
        </w:rPr>
        <w:t xml:space="preserve"> the court held that:</w:t>
      </w:r>
      <w:r w:rsidR="00B548FE" w:rsidRPr="0058510B">
        <w:rPr>
          <w:rFonts w:ascii="Arial" w:hAnsi="Arial" w:cs="Arial"/>
        </w:rPr>
        <w:t xml:space="preserve"> </w:t>
      </w:r>
    </w:p>
    <w:p w14:paraId="57C4A345" w14:textId="77777777" w:rsidR="001B0246" w:rsidRDefault="00410050" w:rsidP="00AD5487">
      <w:pPr>
        <w:pStyle w:val="ListParagraph"/>
        <w:spacing w:line="360" w:lineRule="auto"/>
        <w:ind w:left="0"/>
        <w:jc w:val="both"/>
        <w:rPr>
          <w:rFonts w:ascii="Arial" w:hAnsi="Arial" w:cs="Arial"/>
          <w:sz w:val="22"/>
          <w:szCs w:val="22"/>
        </w:rPr>
      </w:pPr>
      <w:r w:rsidRPr="004230ED">
        <w:rPr>
          <w:rFonts w:ascii="Arial" w:hAnsi="Arial" w:cs="Arial"/>
          <w:sz w:val="22"/>
          <w:szCs w:val="22"/>
        </w:rPr>
        <w:t>‘</w:t>
      </w:r>
      <w:r w:rsidR="00AD5487" w:rsidRPr="00AD5487">
        <w:rPr>
          <w:rFonts w:ascii="Arial" w:hAnsi="Arial" w:cs="Arial"/>
          <w:sz w:val="22"/>
          <w:szCs w:val="22"/>
          <w:lang w:val="en-US"/>
        </w:rPr>
        <w:t>Where a proposed amendment will not contribute to the real issues between the parties being settled by the Court, it is, I think, clear that an amendment ought not to be granted. To grant such an amendment will simply prolong and complicate the proceedings for all concerned and must, in particular, cause prejudice to the opposing party who will have to devote his energy and expend both time and money in dealing with an issue, the resolution of which may satisfy the needs (or curiosity) of the party promoting it but which will not contribute towards the adjudication of the genuine dispute between the parties</w:t>
      </w:r>
      <w:r w:rsidR="004230ED" w:rsidRPr="004230ED">
        <w:rPr>
          <w:rFonts w:ascii="Arial" w:hAnsi="Arial" w:cs="Arial"/>
          <w:sz w:val="22"/>
          <w:szCs w:val="22"/>
        </w:rPr>
        <w:t xml:space="preserve">.’ </w:t>
      </w:r>
    </w:p>
    <w:p w14:paraId="2DB8625D" w14:textId="77777777" w:rsidR="00217AFF" w:rsidRPr="0024587C" w:rsidRDefault="00217AFF" w:rsidP="00AD5487">
      <w:pPr>
        <w:pStyle w:val="ListParagraph"/>
        <w:spacing w:line="360" w:lineRule="auto"/>
        <w:ind w:left="0"/>
        <w:jc w:val="both"/>
        <w:rPr>
          <w:rFonts w:ascii="Arial" w:hAnsi="Arial" w:cs="Arial"/>
        </w:rPr>
      </w:pPr>
    </w:p>
    <w:p w14:paraId="15A24A87" w14:textId="07CAB15E" w:rsidR="00617D81" w:rsidRDefault="00E536A3" w:rsidP="00617D81">
      <w:pPr>
        <w:pStyle w:val="ListParagraph"/>
        <w:numPr>
          <w:ilvl w:val="0"/>
          <w:numId w:val="8"/>
        </w:numPr>
        <w:tabs>
          <w:tab w:val="left" w:pos="709"/>
        </w:tabs>
        <w:spacing w:line="360" w:lineRule="auto"/>
        <w:ind w:left="0" w:firstLine="0"/>
        <w:jc w:val="both"/>
        <w:rPr>
          <w:rFonts w:ascii="Arial" w:hAnsi="Arial" w:cs="Arial"/>
        </w:rPr>
      </w:pPr>
      <w:r w:rsidRPr="00617D81">
        <w:rPr>
          <w:rFonts w:ascii="Arial" w:hAnsi="Arial" w:cs="Arial"/>
        </w:rPr>
        <w:t xml:space="preserve">The trial is long outstanding, and it has been two years since </w:t>
      </w:r>
      <w:r>
        <w:rPr>
          <w:rFonts w:ascii="Arial" w:hAnsi="Arial" w:cs="Arial"/>
        </w:rPr>
        <w:t xml:space="preserve">the first witness testified in the matter. </w:t>
      </w:r>
      <w:r w:rsidR="00D5199E">
        <w:rPr>
          <w:rFonts w:ascii="Arial" w:hAnsi="Arial" w:cs="Arial"/>
        </w:rPr>
        <w:t xml:space="preserve">I am aware that </w:t>
      </w:r>
      <w:r w:rsidR="008A3CB6" w:rsidRPr="00ED472F">
        <w:rPr>
          <w:rFonts w:ascii="Arial" w:hAnsi="Arial" w:cs="Arial"/>
        </w:rPr>
        <w:t>the</w:t>
      </w:r>
      <w:r w:rsidR="00CC7F28" w:rsidRPr="00ED472F">
        <w:rPr>
          <w:rFonts w:ascii="Arial" w:hAnsi="Arial" w:cs="Arial"/>
        </w:rPr>
        <w:t xml:space="preserve"> plaintiff </w:t>
      </w:r>
      <w:r w:rsidR="008A3CB6" w:rsidRPr="00ED472F">
        <w:rPr>
          <w:rFonts w:ascii="Arial" w:hAnsi="Arial" w:cs="Arial"/>
        </w:rPr>
        <w:t>intends</w:t>
      </w:r>
      <w:r w:rsidR="00CC7F28" w:rsidRPr="00ED472F">
        <w:rPr>
          <w:rFonts w:ascii="Arial" w:hAnsi="Arial" w:cs="Arial"/>
        </w:rPr>
        <w:t xml:space="preserve"> to apply to re-open her case</w:t>
      </w:r>
      <w:r w:rsidR="00217AFF">
        <w:rPr>
          <w:rFonts w:ascii="Arial" w:hAnsi="Arial" w:cs="Arial"/>
        </w:rPr>
        <w:t>, which may prolong proceedings</w:t>
      </w:r>
      <w:r w:rsidR="00CC7F28" w:rsidRPr="00ED472F">
        <w:rPr>
          <w:rFonts w:ascii="Arial" w:hAnsi="Arial" w:cs="Arial"/>
        </w:rPr>
        <w:t xml:space="preserve">. </w:t>
      </w:r>
      <w:r w:rsidR="00217AFF">
        <w:rPr>
          <w:rFonts w:ascii="Arial" w:hAnsi="Arial" w:cs="Arial"/>
        </w:rPr>
        <w:t>However, t</w:t>
      </w:r>
      <w:r w:rsidR="00CC7F28" w:rsidRPr="00ED472F">
        <w:rPr>
          <w:rFonts w:ascii="Arial" w:hAnsi="Arial" w:cs="Arial"/>
        </w:rPr>
        <w:t xml:space="preserve">his </w:t>
      </w:r>
      <w:r w:rsidR="00ED472F" w:rsidRPr="00ED472F">
        <w:rPr>
          <w:rFonts w:ascii="Arial" w:hAnsi="Arial" w:cs="Arial"/>
        </w:rPr>
        <w:t>is intended to allow her to lead evidence on a very discrete issue, namely</w:t>
      </w:r>
      <w:r w:rsidR="00CC7F28" w:rsidRPr="00ED472F">
        <w:rPr>
          <w:rFonts w:ascii="Arial" w:hAnsi="Arial" w:cs="Arial"/>
        </w:rPr>
        <w:t xml:space="preserve"> whether </w:t>
      </w:r>
      <w:r w:rsidR="00753D67" w:rsidRPr="00ED472F">
        <w:rPr>
          <w:rFonts w:ascii="Arial" w:hAnsi="Arial" w:cs="Arial"/>
        </w:rPr>
        <w:t>she felt her baby moving in the run up to her going into labour.</w:t>
      </w:r>
      <w:r w:rsidR="005D663E" w:rsidRPr="00ED472F">
        <w:rPr>
          <w:rFonts w:ascii="Arial" w:hAnsi="Arial" w:cs="Arial"/>
        </w:rPr>
        <w:t xml:space="preserve"> Mr Mullins, very fairly, indicated </w:t>
      </w:r>
      <w:r w:rsidR="00D5199E">
        <w:rPr>
          <w:rFonts w:ascii="Arial" w:hAnsi="Arial" w:cs="Arial"/>
        </w:rPr>
        <w:t xml:space="preserve">during argument </w:t>
      </w:r>
      <w:r w:rsidR="005D663E" w:rsidRPr="00ED472F">
        <w:rPr>
          <w:rFonts w:ascii="Arial" w:hAnsi="Arial" w:cs="Arial"/>
        </w:rPr>
        <w:t xml:space="preserve">that he would have no objection to </w:t>
      </w:r>
      <w:r w:rsidR="00753D67" w:rsidRPr="00ED472F">
        <w:rPr>
          <w:rFonts w:ascii="Arial" w:hAnsi="Arial" w:cs="Arial"/>
        </w:rPr>
        <w:t xml:space="preserve">this occurring. </w:t>
      </w:r>
      <w:r w:rsidR="005D663E" w:rsidRPr="00ED472F">
        <w:rPr>
          <w:rFonts w:ascii="Arial" w:hAnsi="Arial" w:cs="Arial"/>
        </w:rPr>
        <w:t>And it</w:t>
      </w:r>
      <w:r w:rsidR="00753D67" w:rsidRPr="00ED472F">
        <w:rPr>
          <w:rFonts w:ascii="Arial" w:hAnsi="Arial" w:cs="Arial"/>
        </w:rPr>
        <w:t xml:space="preserve"> appears also to be agreed </w:t>
      </w:r>
      <w:r w:rsidR="005D663E" w:rsidRPr="00ED472F">
        <w:rPr>
          <w:rFonts w:ascii="Arial" w:hAnsi="Arial" w:cs="Arial"/>
        </w:rPr>
        <w:t>that the</w:t>
      </w:r>
      <w:r w:rsidR="00753D67" w:rsidRPr="00ED472F">
        <w:rPr>
          <w:rFonts w:ascii="Arial" w:hAnsi="Arial" w:cs="Arial"/>
        </w:rPr>
        <w:t xml:space="preserve"> plaintiff’s</w:t>
      </w:r>
      <w:r w:rsidR="005D663E" w:rsidRPr="00ED472F">
        <w:rPr>
          <w:rFonts w:ascii="Arial" w:hAnsi="Arial" w:cs="Arial"/>
        </w:rPr>
        <w:t xml:space="preserve"> expert witness, Dr Kara, will have to be re-called to give evidence on a document that came to hand at the eleventh hour relating to blood tests performed upon </w:t>
      </w:r>
      <w:r w:rsidR="003167A6">
        <w:rPr>
          <w:rFonts w:ascii="Arial" w:hAnsi="Arial" w:cs="Arial"/>
          <w:bCs/>
        </w:rPr>
        <w:t>the minor child</w:t>
      </w:r>
      <w:r w:rsidR="005D663E" w:rsidRPr="00ED472F">
        <w:rPr>
          <w:rFonts w:ascii="Arial" w:hAnsi="Arial" w:cs="Arial"/>
          <w:bCs/>
        </w:rPr>
        <w:t xml:space="preserve"> shortly after his birth. But these are </w:t>
      </w:r>
      <w:r w:rsidR="00753D67" w:rsidRPr="00ED472F">
        <w:rPr>
          <w:rFonts w:ascii="Arial" w:hAnsi="Arial" w:cs="Arial"/>
          <w:bCs/>
        </w:rPr>
        <w:t>very limited</w:t>
      </w:r>
      <w:r w:rsidR="005D663E" w:rsidRPr="00ED472F">
        <w:rPr>
          <w:rFonts w:ascii="Arial" w:hAnsi="Arial" w:cs="Arial"/>
          <w:bCs/>
        </w:rPr>
        <w:t xml:space="preserve"> issues upon which evidence will be led</w:t>
      </w:r>
      <w:r w:rsidR="00617D81">
        <w:rPr>
          <w:rFonts w:ascii="Arial" w:hAnsi="Arial" w:cs="Arial"/>
          <w:bCs/>
        </w:rPr>
        <w:t xml:space="preserve"> and should not unduly prolong the trial</w:t>
      </w:r>
      <w:r w:rsidR="00ED472F" w:rsidRPr="00ED472F">
        <w:rPr>
          <w:rFonts w:ascii="Arial" w:hAnsi="Arial" w:cs="Arial"/>
          <w:bCs/>
        </w:rPr>
        <w:t xml:space="preserve">. </w:t>
      </w:r>
    </w:p>
    <w:p w14:paraId="3C6D9E22" w14:textId="77777777" w:rsidR="00F218AD" w:rsidRDefault="00F218AD" w:rsidP="00F218AD">
      <w:pPr>
        <w:pStyle w:val="ListParagraph"/>
        <w:tabs>
          <w:tab w:val="left" w:pos="709"/>
        </w:tabs>
        <w:spacing w:line="360" w:lineRule="auto"/>
        <w:ind w:left="0"/>
        <w:jc w:val="both"/>
        <w:rPr>
          <w:rFonts w:ascii="Arial" w:hAnsi="Arial" w:cs="Arial"/>
        </w:rPr>
      </w:pPr>
    </w:p>
    <w:p w14:paraId="7A791C25" w14:textId="4B6EB49C" w:rsidR="00F218AD" w:rsidRPr="00617D81" w:rsidRDefault="00F218AD" w:rsidP="00617D81">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t>I have considered th</w:t>
      </w:r>
      <w:r w:rsidR="00E536A3">
        <w:rPr>
          <w:rFonts w:ascii="Arial" w:hAnsi="Arial" w:cs="Arial"/>
        </w:rPr>
        <w:t>e</w:t>
      </w:r>
      <w:r>
        <w:rPr>
          <w:rFonts w:ascii="Arial" w:hAnsi="Arial" w:cs="Arial"/>
        </w:rPr>
        <w:t xml:space="preserve"> fact that there has been a considerable delay in seeking the proposed amendment. This delay is acknowledged by the plaintiff</w:t>
      </w:r>
      <w:r w:rsidR="003C3248">
        <w:rPr>
          <w:rFonts w:ascii="Arial" w:hAnsi="Arial" w:cs="Arial"/>
        </w:rPr>
        <w:t>, who states in her heads of argument that some</w:t>
      </w:r>
      <w:r>
        <w:rPr>
          <w:rFonts w:ascii="Arial" w:hAnsi="Arial" w:cs="Arial"/>
        </w:rPr>
        <w:t xml:space="preserve"> explanation is required for the delay.</w:t>
      </w:r>
      <w:r>
        <w:rPr>
          <w:rStyle w:val="FootnoteReference"/>
          <w:rFonts w:ascii="Arial" w:hAnsi="Arial" w:cs="Arial"/>
        </w:rPr>
        <w:footnoteReference w:id="17"/>
      </w:r>
      <w:r>
        <w:rPr>
          <w:rFonts w:ascii="Arial" w:hAnsi="Arial" w:cs="Arial"/>
        </w:rPr>
        <w:t xml:space="preserve"> I </w:t>
      </w:r>
      <w:r w:rsidR="003C3248">
        <w:rPr>
          <w:rFonts w:ascii="Arial" w:hAnsi="Arial" w:cs="Arial"/>
        </w:rPr>
        <w:t xml:space="preserve">have carefully read the founding affidavit in support of the amendment. I regret that I have found no such explanation therein. I, nonetheless, </w:t>
      </w:r>
      <w:r>
        <w:rPr>
          <w:rFonts w:ascii="Arial" w:hAnsi="Arial" w:cs="Arial"/>
        </w:rPr>
        <w:t xml:space="preserve">caution myself that </w:t>
      </w:r>
      <w:r w:rsidR="003C3248">
        <w:rPr>
          <w:rFonts w:ascii="Arial" w:hAnsi="Arial" w:cs="Arial"/>
        </w:rPr>
        <w:t xml:space="preserve">a </w:t>
      </w:r>
      <w:r>
        <w:rPr>
          <w:rFonts w:ascii="Arial" w:hAnsi="Arial" w:cs="Arial"/>
        </w:rPr>
        <w:t xml:space="preserve">delay </w:t>
      </w:r>
      <w:r w:rsidR="003C3248">
        <w:rPr>
          <w:rFonts w:ascii="Arial" w:hAnsi="Arial" w:cs="Arial"/>
        </w:rPr>
        <w:t>in seeking an amendment is itself not a reason to refuse it.</w:t>
      </w:r>
      <w:r w:rsidR="0082515F">
        <w:rPr>
          <w:rStyle w:val="FootnoteReference"/>
          <w:rFonts w:ascii="Arial" w:hAnsi="Arial" w:cs="Arial"/>
        </w:rPr>
        <w:footnoteReference w:id="18"/>
      </w:r>
    </w:p>
    <w:p w14:paraId="0E11CE20" w14:textId="77777777" w:rsidR="00617D81" w:rsidRPr="00617D81" w:rsidRDefault="00617D81" w:rsidP="00617D81">
      <w:pPr>
        <w:pStyle w:val="ListParagraph"/>
        <w:spacing w:line="360" w:lineRule="auto"/>
        <w:rPr>
          <w:rFonts w:ascii="Arial" w:hAnsi="Arial" w:cs="Arial"/>
        </w:rPr>
      </w:pPr>
    </w:p>
    <w:p w14:paraId="5C1D5420" w14:textId="77777777" w:rsidR="00D5199E" w:rsidRDefault="00ED472F" w:rsidP="00617D81">
      <w:pPr>
        <w:pStyle w:val="ListParagraph"/>
        <w:numPr>
          <w:ilvl w:val="0"/>
          <w:numId w:val="8"/>
        </w:numPr>
        <w:tabs>
          <w:tab w:val="left" w:pos="709"/>
        </w:tabs>
        <w:spacing w:line="360" w:lineRule="auto"/>
        <w:ind w:left="0" w:firstLine="0"/>
        <w:jc w:val="both"/>
        <w:rPr>
          <w:rFonts w:ascii="Arial" w:hAnsi="Arial" w:cs="Arial"/>
        </w:rPr>
      </w:pPr>
      <w:r w:rsidRPr="00ED472F">
        <w:rPr>
          <w:rFonts w:ascii="Arial" w:hAnsi="Arial" w:cs="Arial"/>
        </w:rPr>
        <w:t>The fact that no evidence was led on the issues</w:t>
      </w:r>
      <w:r w:rsidR="00D5199E">
        <w:rPr>
          <w:rFonts w:ascii="Arial" w:hAnsi="Arial" w:cs="Arial"/>
        </w:rPr>
        <w:t xml:space="preserve"> contained in the contentious paragraphs</w:t>
      </w:r>
      <w:r w:rsidRPr="00ED472F">
        <w:rPr>
          <w:rFonts w:ascii="Arial" w:hAnsi="Arial" w:cs="Arial"/>
        </w:rPr>
        <w:t xml:space="preserve"> did not occur through happenstance, but </w:t>
      </w:r>
      <w:r w:rsidR="00864D32">
        <w:rPr>
          <w:rFonts w:ascii="Arial" w:hAnsi="Arial" w:cs="Arial"/>
        </w:rPr>
        <w:t>occurred</w:t>
      </w:r>
      <w:r w:rsidRPr="00ED472F">
        <w:rPr>
          <w:rFonts w:ascii="Arial" w:hAnsi="Arial" w:cs="Arial"/>
        </w:rPr>
        <w:t xml:space="preserve"> because of a decision that was consciously taken regarding the presentation of that evidence. Even if the </w:t>
      </w:r>
      <w:r w:rsidRPr="00ED472F">
        <w:rPr>
          <w:rFonts w:ascii="Arial" w:hAnsi="Arial" w:cs="Arial"/>
        </w:rPr>
        <w:lastRenderedPageBreak/>
        <w:t>application</w:t>
      </w:r>
      <w:r w:rsidR="00D5199E">
        <w:rPr>
          <w:rFonts w:ascii="Arial" w:hAnsi="Arial" w:cs="Arial"/>
        </w:rPr>
        <w:t xml:space="preserve"> to amend</w:t>
      </w:r>
      <w:r w:rsidRPr="00ED472F">
        <w:rPr>
          <w:rFonts w:ascii="Arial" w:hAnsi="Arial" w:cs="Arial"/>
        </w:rPr>
        <w:t xml:space="preserve"> was to be granted, there is every possibility that it will have no impact on the final </w:t>
      </w:r>
      <w:r w:rsidR="00864D32">
        <w:rPr>
          <w:rFonts w:ascii="Arial" w:hAnsi="Arial" w:cs="Arial"/>
        </w:rPr>
        <w:t>decision</w:t>
      </w:r>
      <w:r w:rsidRPr="00ED472F">
        <w:rPr>
          <w:rFonts w:ascii="Arial" w:hAnsi="Arial" w:cs="Arial"/>
        </w:rPr>
        <w:t xml:space="preserve"> in the light of the plaintiff</w:t>
      </w:r>
      <w:r w:rsidR="00864D32">
        <w:rPr>
          <w:rFonts w:ascii="Arial" w:hAnsi="Arial" w:cs="Arial"/>
        </w:rPr>
        <w:t xml:space="preserve">’s </w:t>
      </w:r>
      <w:r w:rsidR="00D5199E">
        <w:rPr>
          <w:rFonts w:ascii="Arial" w:hAnsi="Arial" w:cs="Arial"/>
        </w:rPr>
        <w:t>decision</w:t>
      </w:r>
      <w:r w:rsidRPr="00ED472F">
        <w:rPr>
          <w:rFonts w:ascii="Arial" w:hAnsi="Arial" w:cs="Arial"/>
        </w:rPr>
        <w:t xml:space="preserve"> not to lead </w:t>
      </w:r>
      <w:r w:rsidR="00864D32">
        <w:rPr>
          <w:rFonts w:ascii="Arial" w:hAnsi="Arial" w:cs="Arial"/>
        </w:rPr>
        <w:t xml:space="preserve">any further </w:t>
      </w:r>
      <w:r w:rsidRPr="00ED472F">
        <w:rPr>
          <w:rFonts w:ascii="Arial" w:hAnsi="Arial" w:cs="Arial"/>
        </w:rPr>
        <w:t>evidence</w:t>
      </w:r>
      <w:r w:rsidR="00864D32">
        <w:rPr>
          <w:rFonts w:ascii="Arial" w:hAnsi="Arial" w:cs="Arial"/>
        </w:rPr>
        <w:t xml:space="preserve"> on the issues identified in the contentious paragraphs</w:t>
      </w:r>
      <w:r w:rsidRPr="00ED472F">
        <w:rPr>
          <w:rFonts w:ascii="Arial" w:hAnsi="Arial" w:cs="Arial"/>
        </w:rPr>
        <w:t xml:space="preserve">. </w:t>
      </w:r>
    </w:p>
    <w:p w14:paraId="6C3139CC" w14:textId="77777777" w:rsidR="00D5199E" w:rsidRPr="00D5199E" w:rsidRDefault="00D5199E" w:rsidP="00D5199E">
      <w:pPr>
        <w:pStyle w:val="ListParagraph"/>
        <w:spacing w:line="360" w:lineRule="auto"/>
        <w:rPr>
          <w:rFonts w:ascii="Arial" w:hAnsi="Arial" w:cs="Arial"/>
        </w:rPr>
      </w:pPr>
    </w:p>
    <w:p w14:paraId="37832FB6" w14:textId="20DB27C4" w:rsidR="00ED472F" w:rsidRDefault="00ED472F" w:rsidP="00D5199E">
      <w:pPr>
        <w:pStyle w:val="ListParagraph"/>
        <w:numPr>
          <w:ilvl w:val="0"/>
          <w:numId w:val="8"/>
        </w:numPr>
        <w:tabs>
          <w:tab w:val="left" w:pos="709"/>
        </w:tabs>
        <w:spacing w:line="360" w:lineRule="auto"/>
        <w:ind w:left="0" w:firstLine="0"/>
        <w:jc w:val="both"/>
        <w:rPr>
          <w:rFonts w:ascii="Arial" w:hAnsi="Arial" w:cs="Arial"/>
        </w:rPr>
      </w:pPr>
      <w:r w:rsidRPr="00ED472F">
        <w:rPr>
          <w:rFonts w:ascii="Arial" w:hAnsi="Arial" w:cs="Arial"/>
        </w:rPr>
        <w:t>I accept that the decision not to lead this evidence was a decision that may have been taken by the plaintiff’s erstwhile counsel</w:t>
      </w:r>
      <w:r w:rsidR="00864D32">
        <w:rPr>
          <w:rFonts w:ascii="Arial" w:hAnsi="Arial" w:cs="Arial"/>
        </w:rPr>
        <w:t xml:space="preserve"> and that her new counsel may not regard himself as being bound by a decision that he believes </w:t>
      </w:r>
      <w:r w:rsidR="003B5DD4">
        <w:rPr>
          <w:rFonts w:ascii="Arial" w:hAnsi="Arial" w:cs="Arial"/>
        </w:rPr>
        <w:t>may</w:t>
      </w:r>
      <w:r w:rsidR="00864D32">
        <w:rPr>
          <w:rFonts w:ascii="Arial" w:hAnsi="Arial" w:cs="Arial"/>
        </w:rPr>
        <w:t xml:space="preserve"> not </w:t>
      </w:r>
      <w:r w:rsidR="003B5DD4">
        <w:rPr>
          <w:rFonts w:ascii="Arial" w:hAnsi="Arial" w:cs="Arial"/>
        </w:rPr>
        <w:t xml:space="preserve">be </w:t>
      </w:r>
      <w:r w:rsidR="00864D32">
        <w:rPr>
          <w:rFonts w:ascii="Arial" w:hAnsi="Arial" w:cs="Arial"/>
        </w:rPr>
        <w:t>in her best interests</w:t>
      </w:r>
      <w:r w:rsidRPr="00ED472F">
        <w:rPr>
          <w:rFonts w:ascii="Arial" w:hAnsi="Arial" w:cs="Arial"/>
        </w:rPr>
        <w:t xml:space="preserve">. But her new counsel, Mr Maritz, repeatedly assured me </w:t>
      </w:r>
      <w:r w:rsidR="003B5DD4">
        <w:rPr>
          <w:rFonts w:ascii="Arial" w:hAnsi="Arial" w:cs="Arial"/>
        </w:rPr>
        <w:t xml:space="preserve">in argument </w:t>
      </w:r>
      <w:r w:rsidRPr="00ED472F">
        <w:rPr>
          <w:rFonts w:ascii="Arial" w:hAnsi="Arial" w:cs="Arial"/>
        </w:rPr>
        <w:t xml:space="preserve">that no evidence would be led on the issues covered by the amendment. </w:t>
      </w:r>
      <w:r w:rsidR="00E536A3">
        <w:rPr>
          <w:rFonts w:ascii="Arial" w:hAnsi="Arial" w:cs="Arial"/>
        </w:rPr>
        <w:t>As</w:t>
      </w:r>
      <w:r w:rsidRPr="00ED472F">
        <w:rPr>
          <w:rFonts w:ascii="Arial" w:hAnsi="Arial" w:cs="Arial"/>
        </w:rPr>
        <w:t xml:space="preserve"> no evidence was ever led on those aspects, the amendment becomes an exercise in futility</w:t>
      </w:r>
      <w:r w:rsidR="003B5DD4">
        <w:rPr>
          <w:rFonts w:ascii="Arial" w:hAnsi="Arial" w:cs="Arial"/>
        </w:rPr>
        <w:t>,</w:t>
      </w:r>
      <w:r w:rsidR="00864D32">
        <w:rPr>
          <w:rFonts w:ascii="Arial" w:hAnsi="Arial" w:cs="Arial"/>
        </w:rPr>
        <w:t xml:space="preserve"> in my view</w:t>
      </w:r>
      <w:r w:rsidRPr="00ED472F">
        <w:rPr>
          <w:rFonts w:ascii="Arial" w:hAnsi="Arial" w:cs="Arial"/>
        </w:rPr>
        <w:t>.</w:t>
      </w:r>
    </w:p>
    <w:p w14:paraId="3ECA2279" w14:textId="77777777" w:rsidR="00864D32" w:rsidRPr="00ED472F" w:rsidRDefault="00864D32" w:rsidP="00B7673B">
      <w:pPr>
        <w:pStyle w:val="ListParagraph"/>
        <w:tabs>
          <w:tab w:val="left" w:pos="709"/>
        </w:tabs>
        <w:spacing w:line="360" w:lineRule="auto"/>
        <w:ind w:left="0"/>
        <w:jc w:val="both"/>
        <w:rPr>
          <w:rFonts w:ascii="Arial" w:hAnsi="Arial" w:cs="Arial"/>
        </w:rPr>
      </w:pPr>
    </w:p>
    <w:p w14:paraId="6B994F20" w14:textId="2EC9D14C" w:rsidR="00F65726" w:rsidRDefault="00D5199E" w:rsidP="00D5199E">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t>I</w:t>
      </w:r>
      <w:r w:rsidR="00CB335F">
        <w:rPr>
          <w:rFonts w:ascii="Arial" w:hAnsi="Arial" w:cs="Arial"/>
        </w:rPr>
        <w:t xml:space="preserve"> also take the</w:t>
      </w:r>
      <w:r>
        <w:rPr>
          <w:rFonts w:ascii="Arial" w:hAnsi="Arial" w:cs="Arial"/>
        </w:rPr>
        <w:t xml:space="preserve"> </w:t>
      </w:r>
      <w:r w:rsidR="003B5DD4">
        <w:rPr>
          <w:rFonts w:ascii="Arial" w:hAnsi="Arial" w:cs="Arial"/>
        </w:rPr>
        <w:t xml:space="preserve">further </w:t>
      </w:r>
      <w:r>
        <w:rPr>
          <w:rFonts w:ascii="Arial" w:hAnsi="Arial" w:cs="Arial"/>
        </w:rPr>
        <w:t>view</w:t>
      </w:r>
      <w:r w:rsidR="00CB335F">
        <w:rPr>
          <w:rFonts w:ascii="Arial" w:hAnsi="Arial" w:cs="Arial"/>
        </w:rPr>
        <w:t xml:space="preserve"> that</w:t>
      </w:r>
      <w:r>
        <w:rPr>
          <w:rFonts w:ascii="Arial" w:hAnsi="Arial" w:cs="Arial"/>
        </w:rPr>
        <w:t xml:space="preserve"> the defendant would be prejudiced by the granting of the application. The</w:t>
      </w:r>
      <w:r w:rsidR="00CB335F">
        <w:rPr>
          <w:rFonts w:ascii="Arial" w:hAnsi="Arial" w:cs="Arial"/>
        </w:rPr>
        <w:t xml:space="preserve"> type of</w:t>
      </w:r>
      <w:r>
        <w:rPr>
          <w:rFonts w:ascii="Arial" w:hAnsi="Arial" w:cs="Arial"/>
        </w:rPr>
        <w:t xml:space="preserve"> prejudice identified in </w:t>
      </w:r>
      <w:r w:rsidRPr="00D5199E">
        <w:rPr>
          <w:rFonts w:ascii="Arial" w:hAnsi="Arial" w:cs="Arial"/>
          <w:i/>
        </w:rPr>
        <w:t>Benjamin</w:t>
      </w:r>
      <w:r w:rsidR="00F65726">
        <w:rPr>
          <w:rFonts w:ascii="Arial" w:hAnsi="Arial" w:cs="Arial"/>
        </w:rPr>
        <w:t xml:space="preserve"> applies</w:t>
      </w:r>
      <w:r>
        <w:rPr>
          <w:rFonts w:ascii="Arial" w:hAnsi="Arial" w:cs="Arial"/>
        </w:rPr>
        <w:t xml:space="preserve"> with equal force to </w:t>
      </w:r>
      <w:r w:rsidR="00F65726">
        <w:rPr>
          <w:rFonts w:ascii="Arial" w:hAnsi="Arial" w:cs="Arial"/>
        </w:rPr>
        <w:t xml:space="preserve">the facts of </w:t>
      </w:r>
      <w:r>
        <w:rPr>
          <w:rFonts w:ascii="Arial" w:hAnsi="Arial" w:cs="Arial"/>
        </w:rPr>
        <w:t xml:space="preserve">this matter. Coupled to this is the possibility that if the application is granted, </w:t>
      </w:r>
      <w:r w:rsidR="00F65726">
        <w:rPr>
          <w:rFonts w:ascii="Arial" w:hAnsi="Arial" w:cs="Arial"/>
        </w:rPr>
        <w:t xml:space="preserve">some of </w:t>
      </w:r>
      <w:r>
        <w:rPr>
          <w:rFonts w:ascii="Arial" w:hAnsi="Arial" w:cs="Arial"/>
        </w:rPr>
        <w:t xml:space="preserve">the defendant’s witnesses may have to be recalled so that the </w:t>
      </w:r>
      <w:r w:rsidR="00F65726">
        <w:rPr>
          <w:rFonts w:ascii="Arial" w:hAnsi="Arial" w:cs="Arial"/>
        </w:rPr>
        <w:t>version</w:t>
      </w:r>
      <w:r>
        <w:rPr>
          <w:rFonts w:ascii="Arial" w:hAnsi="Arial" w:cs="Arial"/>
        </w:rPr>
        <w:t xml:space="preserve">, which was purposefully not put to them, could be so put. The inconvenience and prejudice would be heightened. </w:t>
      </w:r>
      <w:r w:rsidR="00864D32">
        <w:rPr>
          <w:rFonts w:ascii="Arial" w:hAnsi="Arial" w:cs="Arial"/>
        </w:rPr>
        <w:t>Sight</w:t>
      </w:r>
      <w:r w:rsidR="00F65726">
        <w:rPr>
          <w:rFonts w:ascii="Arial" w:hAnsi="Arial" w:cs="Arial"/>
        </w:rPr>
        <w:t>,</w:t>
      </w:r>
      <w:r w:rsidR="00864D32">
        <w:rPr>
          <w:rFonts w:ascii="Arial" w:hAnsi="Arial" w:cs="Arial"/>
        </w:rPr>
        <w:t xml:space="preserve"> </w:t>
      </w:r>
      <w:r w:rsidR="00F65726">
        <w:rPr>
          <w:rFonts w:ascii="Arial" w:hAnsi="Arial" w:cs="Arial"/>
        </w:rPr>
        <w:t xml:space="preserve">finally, </w:t>
      </w:r>
      <w:r w:rsidR="00864D32">
        <w:rPr>
          <w:rFonts w:ascii="Arial" w:hAnsi="Arial" w:cs="Arial"/>
        </w:rPr>
        <w:t xml:space="preserve">must also not be lost of the fact that the plaintiff is indigent and the litigation is being conducted on </w:t>
      </w:r>
      <w:r>
        <w:rPr>
          <w:rFonts w:ascii="Arial" w:hAnsi="Arial" w:cs="Arial"/>
        </w:rPr>
        <w:t xml:space="preserve">her behalf on </w:t>
      </w:r>
      <w:r w:rsidR="00864D32">
        <w:rPr>
          <w:rFonts w:ascii="Arial" w:hAnsi="Arial" w:cs="Arial"/>
        </w:rPr>
        <w:t>a contingency basis. She is in no position at this stage to meet any costs order that may be granted</w:t>
      </w:r>
      <w:r>
        <w:rPr>
          <w:rFonts w:ascii="Arial" w:hAnsi="Arial" w:cs="Arial"/>
        </w:rPr>
        <w:t xml:space="preserve"> in terms of Uniform </w:t>
      </w:r>
      <w:r w:rsidR="00217AFF">
        <w:rPr>
          <w:rFonts w:ascii="Arial" w:hAnsi="Arial" w:cs="Arial"/>
        </w:rPr>
        <w:t>r</w:t>
      </w:r>
      <w:r>
        <w:rPr>
          <w:rFonts w:ascii="Arial" w:hAnsi="Arial" w:cs="Arial"/>
        </w:rPr>
        <w:t>ule 28(9)</w:t>
      </w:r>
      <w:r w:rsidR="003B5DD4">
        <w:rPr>
          <w:rFonts w:ascii="Arial" w:hAnsi="Arial" w:cs="Arial"/>
        </w:rPr>
        <w:t>,</w:t>
      </w:r>
      <w:r w:rsidR="00864D32">
        <w:rPr>
          <w:rStyle w:val="FootnoteReference"/>
          <w:rFonts w:ascii="Arial" w:hAnsi="Arial" w:cs="Arial"/>
        </w:rPr>
        <w:footnoteReference w:id="19"/>
      </w:r>
      <w:r w:rsidR="00864D32">
        <w:rPr>
          <w:rFonts w:ascii="Arial" w:hAnsi="Arial" w:cs="Arial"/>
        </w:rPr>
        <w:t xml:space="preserve"> </w:t>
      </w:r>
      <w:r>
        <w:rPr>
          <w:rFonts w:ascii="Arial" w:hAnsi="Arial" w:cs="Arial"/>
        </w:rPr>
        <w:t>and t</w:t>
      </w:r>
      <w:r w:rsidR="00864D32">
        <w:rPr>
          <w:rFonts w:ascii="Arial" w:hAnsi="Arial" w:cs="Arial"/>
        </w:rPr>
        <w:t xml:space="preserve">he defendant cannot therefore at this stage be compensated with </w:t>
      </w:r>
      <w:r w:rsidR="003B5DD4">
        <w:rPr>
          <w:rFonts w:ascii="Arial" w:hAnsi="Arial" w:cs="Arial"/>
        </w:rPr>
        <w:t xml:space="preserve">the granting of </w:t>
      </w:r>
      <w:r w:rsidR="00864D32">
        <w:rPr>
          <w:rFonts w:ascii="Arial" w:hAnsi="Arial" w:cs="Arial"/>
        </w:rPr>
        <w:t>a costs order.</w:t>
      </w:r>
      <w:r>
        <w:rPr>
          <w:rFonts w:ascii="Arial" w:hAnsi="Arial" w:cs="Arial"/>
        </w:rPr>
        <w:t xml:space="preserve"> </w:t>
      </w:r>
      <w:r w:rsidR="00E536A3">
        <w:rPr>
          <w:rFonts w:ascii="Arial" w:hAnsi="Arial" w:cs="Arial"/>
        </w:rPr>
        <w:t>The costs order that I intend granting has been crafted to cater for the plaintiff’s impecuniosity.</w:t>
      </w:r>
    </w:p>
    <w:p w14:paraId="737D704A" w14:textId="77777777" w:rsidR="003167A6" w:rsidRDefault="003167A6" w:rsidP="003167A6">
      <w:pPr>
        <w:pStyle w:val="ListParagraph"/>
        <w:tabs>
          <w:tab w:val="left" w:pos="709"/>
        </w:tabs>
        <w:spacing w:line="360" w:lineRule="auto"/>
        <w:ind w:left="0"/>
        <w:jc w:val="both"/>
        <w:rPr>
          <w:rFonts w:ascii="Arial" w:hAnsi="Arial" w:cs="Arial"/>
        </w:rPr>
      </w:pPr>
    </w:p>
    <w:p w14:paraId="2E49B5DA" w14:textId="77777777" w:rsidR="00ED472F" w:rsidRDefault="00B7673B" w:rsidP="00D5199E">
      <w:pPr>
        <w:pStyle w:val="ListParagraph"/>
        <w:numPr>
          <w:ilvl w:val="0"/>
          <w:numId w:val="8"/>
        </w:numPr>
        <w:tabs>
          <w:tab w:val="left" w:pos="709"/>
        </w:tabs>
        <w:spacing w:line="360" w:lineRule="auto"/>
        <w:ind w:left="0" w:firstLine="0"/>
        <w:jc w:val="both"/>
        <w:rPr>
          <w:rFonts w:ascii="Arial" w:hAnsi="Arial" w:cs="Arial"/>
        </w:rPr>
      </w:pPr>
      <w:r w:rsidRPr="00D5199E">
        <w:rPr>
          <w:rFonts w:ascii="Arial" w:hAnsi="Arial" w:cs="Arial"/>
        </w:rPr>
        <w:t>I</w:t>
      </w:r>
      <w:r w:rsidR="00F65726">
        <w:rPr>
          <w:rFonts w:ascii="Arial" w:hAnsi="Arial" w:cs="Arial"/>
        </w:rPr>
        <w:t>n the exercise of my discretion, i</w:t>
      </w:r>
      <w:r w:rsidRPr="00D5199E">
        <w:rPr>
          <w:rFonts w:ascii="Arial" w:hAnsi="Arial" w:cs="Arial"/>
        </w:rPr>
        <w:t xml:space="preserve">t seems to me that it would </w:t>
      </w:r>
      <w:r w:rsidR="00F65726">
        <w:rPr>
          <w:rFonts w:ascii="Arial" w:hAnsi="Arial" w:cs="Arial"/>
        </w:rPr>
        <w:t>not be in the interests of justice to permit the amendment.</w:t>
      </w:r>
    </w:p>
    <w:p w14:paraId="5CD2467C" w14:textId="77777777" w:rsidR="00F65726" w:rsidRPr="00D5199E" w:rsidRDefault="00F65726" w:rsidP="00F65726">
      <w:pPr>
        <w:pStyle w:val="ListParagraph"/>
        <w:tabs>
          <w:tab w:val="left" w:pos="709"/>
        </w:tabs>
        <w:spacing w:line="360" w:lineRule="auto"/>
        <w:ind w:left="0"/>
        <w:jc w:val="both"/>
        <w:rPr>
          <w:rFonts w:ascii="Arial" w:hAnsi="Arial" w:cs="Arial"/>
        </w:rPr>
      </w:pPr>
    </w:p>
    <w:p w14:paraId="09E6D82B" w14:textId="77777777" w:rsidR="00753D67" w:rsidRPr="0024587C" w:rsidRDefault="00753D67" w:rsidP="0024587C">
      <w:pPr>
        <w:pStyle w:val="ListParagraph"/>
        <w:numPr>
          <w:ilvl w:val="0"/>
          <w:numId w:val="8"/>
        </w:numPr>
        <w:tabs>
          <w:tab w:val="left" w:pos="709"/>
        </w:tabs>
        <w:spacing w:line="360" w:lineRule="auto"/>
        <w:ind w:left="0" w:firstLine="0"/>
        <w:jc w:val="both"/>
        <w:rPr>
          <w:rFonts w:ascii="Arial" w:hAnsi="Arial" w:cs="Arial"/>
        </w:rPr>
      </w:pPr>
      <w:r w:rsidRPr="0024587C">
        <w:rPr>
          <w:rFonts w:ascii="Arial" w:hAnsi="Arial" w:cs="Arial"/>
        </w:rPr>
        <w:t>In the circumstances, I grant the following order:</w:t>
      </w:r>
    </w:p>
    <w:p w14:paraId="77FFAA48" w14:textId="77777777" w:rsidR="000651C4" w:rsidRPr="0024587C" w:rsidRDefault="000651C4" w:rsidP="0024587C">
      <w:pPr>
        <w:tabs>
          <w:tab w:val="left" w:pos="709"/>
        </w:tabs>
        <w:spacing w:line="360" w:lineRule="auto"/>
        <w:jc w:val="both"/>
        <w:rPr>
          <w:rFonts w:ascii="Arial" w:hAnsi="Arial" w:cs="Arial"/>
        </w:rPr>
      </w:pPr>
      <w:r w:rsidRPr="0024587C">
        <w:rPr>
          <w:rFonts w:ascii="Arial" w:hAnsi="Arial" w:cs="Arial"/>
          <w:bCs/>
        </w:rPr>
        <w:t>1.</w:t>
      </w:r>
      <w:r w:rsidRPr="0024587C">
        <w:rPr>
          <w:rFonts w:ascii="Arial" w:hAnsi="Arial" w:cs="Arial"/>
          <w:bCs/>
        </w:rPr>
        <w:tab/>
        <w:t xml:space="preserve">The plaintiff’s application to amend her particulars of claim by the insertion of </w:t>
      </w:r>
      <w:r w:rsidRPr="0024587C">
        <w:rPr>
          <w:rFonts w:ascii="Arial" w:hAnsi="Arial" w:cs="Arial"/>
        </w:rPr>
        <w:t>paragraph 16B and paragraphs 17.3.1 to 17.3.5</w:t>
      </w:r>
      <w:r>
        <w:rPr>
          <w:rFonts w:ascii="Arial" w:hAnsi="Arial" w:cs="Arial"/>
        </w:rPr>
        <w:t>,</w:t>
      </w:r>
      <w:r w:rsidRPr="0024587C">
        <w:rPr>
          <w:rFonts w:ascii="Arial" w:hAnsi="Arial" w:cs="Arial"/>
        </w:rPr>
        <w:t xml:space="preserve"> as detailed in her notice of intention to amend dated 16 January 2023, is refused.</w:t>
      </w:r>
    </w:p>
    <w:p w14:paraId="263482FF" w14:textId="77777777" w:rsidR="003154E9" w:rsidRPr="0024587C" w:rsidRDefault="003154E9" w:rsidP="0024587C">
      <w:pPr>
        <w:pStyle w:val="ListParagraph"/>
        <w:numPr>
          <w:ilvl w:val="0"/>
          <w:numId w:val="15"/>
        </w:numPr>
        <w:spacing w:line="360" w:lineRule="auto"/>
        <w:ind w:left="0" w:firstLine="0"/>
        <w:rPr>
          <w:rFonts w:ascii="Arial" w:hAnsi="Arial" w:cs="Arial"/>
        </w:rPr>
      </w:pPr>
      <w:r w:rsidRPr="0024587C">
        <w:rPr>
          <w:rFonts w:ascii="Arial" w:hAnsi="Arial" w:cs="Arial"/>
        </w:rPr>
        <w:lastRenderedPageBreak/>
        <w:t xml:space="preserve">The costs of the application are to be </w:t>
      </w:r>
      <w:r w:rsidR="00F65726" w:rsidRPr="0024587C">
        <w:rPr>
          <w:rFonts w:ascii="Arial" w:hAnsi="Arial" w:cs="Arial"/>
        </w:rPr>
        <w:t>paid by the plaintiff but such costs may only be taxed after delivery of the final judgment in the trial.</w:t>
      </w:r>
    </w:p>
    <w:p w14:paraId="47922769" w14:textId="77777777" w:rsidR="009806AB" w:rsidRPr="0024587C" w:rsidRDefault="009806AB" w:rsidP="0024587C">
      <w:pPr>
        <w:pStyle w:val="ListParagraph"/>
        <w:tabs>
          <w:tab w:val="left" w:pos="709"/>
        </w:tabs>
        <w:spacing w:line="360" w:lineRule="auto"/>
        <w:ind w:left="0"/>
        <w:jc w:val="both"/>
        <w:rPr>
          <w:rFonts w:ascii="Arial" w:hAnsi="Arial" w:cs="Arial"/>
        </w:rPr>
      </w:pPr>
    </w:p>
    <w:p w14:paraId="4CFEB884" w14:textId="77777777" w:rsidR="009806AB" w:rsidRDefault="009806AB" w:rsidP="0044558B">
      <w:pPr>
        <w:pStyle w:val="ListParagraph"/>
        <w:tabs>
          <w:tab w:val="left" w:pos="709"/>
        </w:tabs>
        <w:spacing w:line="360" w:lineRule="auto"/>
        <w:ind w:left="0"/>
        <w:jc w:val="both"/>
        <w:rPr>
          <w:rFonts w:ascii="Arial" w:hAnsi="Arial" w:cs="Arial"/>
        </w:rPr>
      </w:pPr>
    </w:p>
    <w:p w14:paraId="62F983D5" w14:textId="77777777" w:rsidR="0044558B" w:rsidRDefault="0044558B" w:rsidP="0044558B">
      <w:pPr>
        <w:pStyle w:val="ListParagraph"/>
        <w:tabs>
          <w:tab w:val="left" w:pos="709"/>
        </w:tabs>
        <w:spacing w:line="360" w:lineRule="auto"/>
        <w:ind w:left="0"/>
        <w:jc w:val="both"/>
        <w:rPr>
          <w:rFonts w:ascii="Arial" w:hAnsi="Arial" w:cs="Arial"/>
        </w:rPr>
      </w:pPr>
    </w:p>
    <w:p w14:paraId="19436117" w14:textId="4393CF49" w:rsidR="0044558B" w:rsidRPr="0044558B" w:rsidRDefault="0044558B" w:rsidP="0044558B">
      <w:pPr>
        <w:tabs>
          <w:tab w:val="left" w:pos="709"/>
        </w:tabs>
        <w:spacing w:line="360" w:lineRule="auto"/>
        <w:jc w:val="right"/>
        <w:rPr>
          <w:rFonts w:ascii="Arial" w:hAnsi="Arial" w:cs="Arial"/>
        </w:rPr>
      </w:pPr>
      <w:bookmarkStart w:id="1" w:name="_GoBack"/>
      <w:bookmarkEnd w:id="1"/>
    </w:p>
    <w:p w14:paraId="48F0799C" w14:textId="77777777" w:rsidR="0044558B" w:rsidRPr="0044558B" w:rsidRDefault="0044558B" w:rsidP="0044558B">
      <w:pPr>
        <w:tabs>
          <w:tab w:val="left" w:pos="709"/>
        </w:tabs>
        <w:spacing w:line="360" w:lineRule="auto"/>
        <w:jc w:val="right"/>
        <w:rPr>
          <w:rFonts w:ascii="Arial" w:hAnsi="Arial" w:cs="Arial"/>
        </w:rPr>
      </w:pPr>
      <w:r w:rsidRPr="0044558B">
        <w:rPr>
          <w:rFonts w:ascii="Arial" w:hAnsi="Arial" w:cs="Arial"/>
        </w:rPr>
        <w:t>___</w:t>
      </w:r>
      <w:r>
        <w:rPr>
          <w:rFonts w:ascii="Arial" w:hAnsi="Arial" w:cs="Arial"/>
        </w:rPr>
        <w:t>____</w:t>
      </w:r>
      <w:r w:rsidRPr="0044558B">
        <w:rPr>
          <w:rFonts w:ascii="Arial" w:hAnsi="Arial" w:cs="Arial"/>
        </w:rPr>
        <w:t>_________________</w:t>
      </w:r>
    </w:p>
    <w:p w14:paraId="4C762FBC" w14:textId="77777777" w:rsidR="0044558B" w:rsidRDefault="0044558B" w:rsidP="0044558B">
      <w:pPr>
        <w:tabs>
          <w:tab w:val="left" w:pos="709"/>
        </w:tabs>
        <w:jc w:val="right"/>
        <w:rPr>
          <w:rFonts w:ascii="Arial" w:hAnsi="Arial" w:cs="Arial"/>
          <w:b/>
        </w:rPr>
      </w:pPr>
    </w:p>
    <w:p w14:paraId="6D1225DF" w14:textId="77777777" w:rsidR="0044558B" w:rsidRPr="0044558B" w:rsidRDefault="0044558B" w:rsidP="0044558B">
      <w:pPr>
        <w:tabs>
          <w:tab w:val="left" w:pos="709"/>
        </w:tabs>
        <w:spacing w:line="360" w:lineRule="auto"/>
        <w:jc w:val="right"/>
        <w:rPr>
          <w:rFonts w:ascii="Arial" w:hAnsi="Arial" w:cs="Arial"/>
          <w:b/>
        </w:rPr>
      </w:pPr>
      <w:r w:rsidRPr="0044558B">
        <w:rPr>
          <w:rFonts w:ascii="Arial" w:hAnsi="Arial" w:cs="Arial"/>
          <w:b/>
        </w:rPr>
        <w:t>MOSSOP J</w:t>
      </w:r>
    </w:p>
    <w:p w14:paraId="6C43CF66" w14:textId="59EE0A7F" w:rsidR="0044558B" w:rsidRDefault="0044558B" w:rsidP="0044558B">
      <w:pPr>
        <w:spacing w:line="360" w:lineRule="auto"/>
        <w:jc w:val="center"/>
        <w:rPr>
          <w:rFonts w:ascii="Arial" w:eastAsia="Calibri" w:hAnsi="Arial" w:cs="Arial"/>
          <w:b/>
          <w:u w:val="single"/>
        </w:rPr>
      </w:pPr>
    </w:p>
    <w:p w14:paraId="1C1585C7" w14:textId="00B9DC64" w:rsidR="0082515F" w:rsidRDefault="0082515F" w:rsidP="0044558B">
      <w:pPr>
        <w:spacing w:line="360" w:lineRule="auto"/>
        <w:jc w:val="center"/>
        <w:rPr>
          <w:rFonts w:ascii="Arial" w:eastAsia="Calibri" w:hAnsi="Arial" w:cs="Arial"/>
          <w:b/>
          <w:u w:val="single"/>
        </w:rPr>
      </w:pPr>
    </w:p>
    <w:p w14:paraId="7548AB89" w14:textId="7FE9A459" w:rsidR="0082515F" w:rsidRDefault="0082515F" w:rsidP="0044558B">
      <w:pPr>
        <w:spacing w:line="360" w:lineRule="auto"/>
        <w:jc w:val="center"/>
        <w:rPr>
          <w:rFonts w:ascii="Arial" w:eastAsia="Calibri" w:hAnsi="Arial" w:cs="Arial"/>
          <w:b/>
          <w:u w:val="single"/>
        </w:rPr>
      </w:pPr>
    </w:p>
    <w:p w14:paraId="4152E032" w14:textId="236FAD5E" w:rsidR="0082515F" w:rsidRDefault="0082515F" w:rsidP="0044558B">
      <w:pPr>
        <w:spacing w:line="360" w:lineRule="auto"/>
        <w:jc w:val="center"/>
        <w:rPr>
          <w:rFonts w:ascii="Arial" w:eastAsia="Calibri" w:hAnsi="Arial" w:cs="Arial"/>
          <w:b/>
          <w:u w:val="single"/>
        </w:rPr>
      </w:pPr>
    </w:p>
    <w:p w14:paraId="0E5AA267" w14:textId="4615062F" w:rsidR="0082515F" w:rsidRDefault="0082515F" w:rsidP="0044558B">
      <w:pPr>
        <w:spacing w:line="360" w:lineRule="auto"/>
        <w:jc w:val="center"/>
        <w:rPr>
          <w:rFonts w:ascii="Arial" w:eastAsia="Calibri" w:hAnsi="Arial" w:cs="Arial"/>
          <w:b/>
          <w:u w:val="single"/>
        </w:rPr>
      </w:pPr>
    </w:p>
    <w:p w14:paraId="2F9B1ED4" w14:textId="6CFA781D" w:rsidR="0082515F" w:rsidRDefault="0082515F" w:rsidP="0044558B">
      <w:pPr>
        <w:spacing w:line="360" w:lineRule="auto"/>
        <w:jc w:val="center"/>
        <w:rPr>
          <w:rFonts w:ascii="Arial" w:eastAsia="Calibri" w:hAnsi="Arial" w:cs="Arial"/>
          <w:b/>
          <w:u w:val="single"/>
        </w:rPr>
      </w:pPr>
    </w:p>
    <w:p w14:paraId="5FDEED37" w14:textId="063F3A6A" w:rsidR="0082515F" w:rsidRDefault="0082515F" w:rsidP="0044558B">
      <w:pPr>
        <w:spacing w:line="360" w:lineRule="auto"/>
        <w:jc w:val="center"/>
        <w:rPr>
          <w:rFonts w:ascii="Arial" w:eastAsia="Calibri" w:hAnsi="Arial" w:cs="Arial"/>
          <w:b/>
          <w:u w:val="single"/>
        </w:rPr>
      </w:pPr>
    </w:p>
    <w:p w14:paraId="42B0A968" w14:textId="0E5FDDC4" w:rsidR="0082515F" w:rsidRDefault="0082515F" w:rsidP="0044558B">
      <w:pPr>
        <w:spacing w:line="360" w:lineRule="auto"/>
        <w:jc w:val="center"/>
        <w:rPr>
          <w:rFonts w:ascii="Arial" w:eastAsia="Calibri" w:hAnsi="Arial" w:cs="Arial"/>
          <w:b/>
          <w:u w:val="single"/>
        </w:rPr>
      </w:pPr>
    </w:p>
    <w:p w14:paraId="0ECB59A9" w14:textId="2A3B5760" w:rsidR="0082515F" w:rsidRDefault="0082515F" w:rsidP="0044558B">
      <w:pPr>
        <w:spacing w:line="360" w:lineRule="auto"/>
        <w:jc w:val="center"/>
        <w:rPr>
          <w:rFonts w:ascii="Arial" w:eastAsia="Calibri" w:hAnsi="Arial" w:cs="Arial"/>
          <w:b/>
          <w:u w:val="single"/>
        </w:rPr>
      </w:pPr>
    </w:p>
    <w:p w14:paraId="4193D371" w14:textId="5F238086" w:rsidR="0082515F" w:rsidRDefault="0082515F" w:rsidP="0044558B">
      <w:pPr>
        <w:spacing w:line="360" w:lineRule="auto"/>
        <w:jc w:val="center"/>
        <w:rPr>
          <w:rFonts w:ascii="Arial" w:eastAsia="Calibri" w:hAnsi="Arial" w:cs="Arial"/>
          <w:b/>
          <w:u w:val="single"/>
        </w:rPr>
      </w:pPr>
    </w:p>
    <w:p w14:paraId="700672C9" w14:textId="426E8E9E" w:rsidR="0082515F" w:rsidRDefault="0082515F" w:rsidP="0044558B">
      <w:pPr>
        <w:spacing w:line="360" w:lineRule="auto"/>
        <w:jc w:val="center"/>
        <w:rPr>
          <w:rFonts w:ascii="Arial" w:eastAsia="Calibri" w:hAnsi="Arial" w:cs="Arial"/>
          <w:b/>
          <w:u w:val="single"/>
        </w:rPr>
      </w:pPr>
    </w:p>
    <w:p w14:paraId="26621825" w14:textId="1C4507A1" w:rsidR="0082515F" w:rsidRDefault="0082515F" w:rsidP="0044558B">
      <w:pPr>
        <w:spacing w:line="360" w:lineRule="auto"/>
        <w:jc w:val="center"/>
        <w:rPr>
          <w:rFonts w:ascii="Arial" w:eastAsia="Calibri" w:hAnsi="Arial" w:cs="Arial"/>
          <w:b/>
          <w:u w:val="single"/>
        </w:rPr>
      </w:pPr>
    </w:p>
    <w:p w14:paraId="1F426A35" w14:textId="51F12801" w:rsidR="0082515F" w:rsidRDefault="0082515F" w:rsidP="0044558B">
      <w:pPr>
        <w:spacing w:line="360" w:lineRule="auto"/>
        <w:jc w:val="center"/>
        <w:rPr>
          <w:rFonts w:ascii="Arial" w:eastAsia="Calibri" w:hAnsi="Arial" w:cs="Arial"/>
          <w:b/>
          <w:u w:val="single"/>
        </w:rPr>
      </w:pPr>
    </w:p>
    <w:p w14:paraId="2B988369" w14:textId="14F60CD8" w:rsidR="0082515F" w:rsidRDefault="0082515F" w:rsidP="0044558B">
      <w:pPr>
        <w:spacing w:line="360" w:lineRule="auto"/>
        <w:jc w:val="center"/>
        <w:rPr>
          <w:rFonts w:ascii="Arial" w:eastAsia="Calibri" w:hAnsi="Arial" w:cs="Arial"/>
          <w:b/>
          <w:u w:val="single"/>
        </w:rPr>
      </w:pPr>
    </w:p>
    <w:p w14:paraId="3E5768B3" w14:textId="3A5877A4" w:rsidR="0082515F" w:rsidRDefault="0082515F" w:rsidP="0044558B">
      <w:pPr>
        <w:spacing w:line="360" w:lineRule="auto"/>
        <w:jc w:val="center"/>
        <w:rPr>
          <w:rFonts w:ascii="Arial" w:eastAsia="Calibri" w:hAnsi="Arial" w:cs="Arial"/>
          <w:b/>
          <w:u w:val="single"/>
        </w:rPr>
      </w:pPr>
    </w:p>
    <w:p w14:paraId="6EF29588" w14:textId="6B5F8321" w:rsidR="0082515F" w:rsidRDefault="0082515F" w:rsidP="0044558B">
      <w:pPr>
        <w:spacing w:line="360" w:lineRule="auto"/>
        <w:jc w:val="center"/>
        <w:rPr>
          <w:rFonts w:ascii="Arial" w:eastAsia="Calibri" w:hAnsi="Arial" w:cs="Arial"/>
          <w:b/>
          <w:u w:val="single"/>
        </w:rPr>
      </w:pPr>
    </w:p>
    <w:p w14:paraId="4A368B97" w14:textId="2995EA69" w:rsidR="0082515F" w:rsidRDefault="0082515F" w:rsidP="0044558B">
      <w:pPr>
        <w:spacing w:line="360" w:lineRule="auto"/>
        <w:jc w:val="center"/>
        <w:rPr>
          <w:rFonts w:ascii="Arial" w:eastAsia="Calibri" w:hAnsi="Arial" w:cs="Arial"/>
          <w:b/>
          <w:u w:val="single"/>
        </w:rPr>
      </w:pPr>
    </w:p>
    <w:p w14:paraId="774E8DB7" w14:textId="1B9FA1F0" w:rsidR="0082515F" w:rsidRDefault="0082515F" w:rsidP="0044558B">
      <w:pPr>
        <w:spacing w:line="360" w:lineRule="auto"/>
        <w:jc w:val="center"/>
        <w:rPr>
          <w:rFonts w:ascii="Arial" w:eastAsia="Calibri" w:hAnsi="Arial" w:cs="Arial"/>
          <w:b/>
          <w:u w:val="single"/>
        </w:rPr>
      </w:pPr>
    </w:p>
    <w:p w14:paraId="561442C9" w14:textId="6253079D" w:rsidR="0082515F" w:rsidRDefault="0082515F" w:rsidP="0044558B">
      <w:pPr>
        <w:spacing w:line="360" w:lineRule="auto"/>
        <w:jc w:val="center"/>
        <w:rPr>
          <w:rFonts w:ascii="Arial" w:eastAsia="Calibri" w:hAnsi="Arial" w:cs="Arial"/>
          <w:b/>
          <w:u w:val="single"/>
        </w:rPr>
      </w:pPr>
    </w:p>
    <w:p w14:paraId="2657EFC6" w14:textId="16963B53" w:rsidR="0082515F" w:rsidRDefault="0082515F" w:rsidP="0044558B">
      <w:pPr>
        <w:spacing w:line="360" w:lineRule="auto"/>
        <w:jc w:val="center"/>
        <w:rPr>
          <w:rFonts w:ascii="Arial" w:eastAsia="Calibri" w:hAnsi="Arial" w:cs="Arial"/>
          <w:b/>
          <w:u w:val="single"/>
        </w:rPr>
      </w:pPr>
    </w:p>
    <w:p w14:paraId="1C6EA211" w14:textId="5B4C2185" w:rsidR="0082515F" w:rsidRDefault="0082515F" w:rsidP="0044558B">
      <w:pPr>
        <w:spacing w:line="360" w:lineRule="auto"/>
        <w:jc w:val="center"/>
        <w:rPr>
          <w:rFonts w:ascii="Arial" w:eastAsia="Calibri" w:hAnsi="Arial" w:cs="Arial"/>
          <w:b/>
          <w:u w:val="single"/>
        </w:rPr>
      </w:pPr>
    </w:p>
    <w:p w14:paraId="12AEBFC4" w14:textId="54FF6A83" w:rsidR="0082515F" w:rsidRDefault="0082515F" w:rsidP="0044558B">
      <w:pPr>
        <w:spacing w:line="360" w:lineRule="auto"/>
        <w:jc w:val="center"/>
        <w:rPr>
          <w:rFonts w:ascii="Arial" w:eastAsia="Calibri" w:hAnsi="Arial" w:cs="Arial"/>
          <w:b/>
          <w:u w:val="single"/>
        </w:rPr>
      </w:pPr>
    </w:p>
    <w:p w14:paraId="65A61926" w14:textId="301FC6C9" w:rsidR="0082515F" w:rsidRDefault="0082515F" w:rsidP="0044558B">
      <w:pPr>
        <w:spacing w:line="360" w:lineRule="auto"/>
        <w:jc w:val="center"/>
        <w:rPr>
          <w:rFonts w:ascii="Arial" w:eastAsia="Calibri" w:hAnsi="Arial" w:cs="Arial"/>
          <w:b/>
          <w:u w:val="single"/>
        </w:rPr>
      </w:pPr>
    </w:p>
    <w:p w14:paraId="4E19C9C9" w14:textId="4E5F09C6" w:rsidR="0082515F" w:rsidRDefault="0082515F" w:rsidP="0044558B">
      <w:pPr>
        <w:spacing w:line="360" w:lineRule="auto"/>
        <w:jc w:val="center"/>
        <w:rPr>
          <w:rFonts w:ascii="Arial" w:eastAsia="Calibri" w:hAnsi="Arial" w:cs="Arial"/>
          <w:b/>
          <w:u w:val="single"/>
        </w:rPr>
      </w:pPr>
    </w:p>
    <w:p w14:paraId="2F06BE08" w14:textId="77777777" w:rsidR="0082515F" w:rsidRPr="0044558B" w:rsidRDefault="0082515F" w:rsidP="0044558B">
      <w:pPr>
        <w:spacing w:line="360" w:lineRule="auto"/>
        <w:jc w:val="center"/>
        <w:rPr>
          <w:rFonts w:ascii="Arial" w:eastAsia="Calibri" w:hAnsi="Arial" w:cs="Arial"/>
          <w:b/>
          <w:u w:val="single"/>
        </w:rPr>
      </w:pPr>
    </w:p>
    <w:p w14:paraId="007871C5" w14:textId="77777777" w:rsidR="0044558B" w:rsidRPr="0044558B" w:rsidRDefault="0044558B" w:rsidP="0044558B">
      <w:pPr>
        <w:spacing w:line="360" w:lineRule="auto"/>
        <w:jc w:val="center"/>
        <w:rPr>
          <w:rFonts w:ascii="Arial" w:eastAsia="Calibri" w:hAnsi="Arial" w:cs="Arial"/>
          <w:b/>
          <w:u w:val="single"/>
        </w:rPr>
      </w:pPr>
      <w:r w:rsidRPr="0044558B">
        <w:rPr>
          <w:rFonts w:ascii="Arial" w:eastAsia="Calibri" w:hAnsi="Arial" w:cs="Arial"/>
          <w:b/>
          <w:u w:val="single"/>
        </w:rPr>
        <w:lastRenderedPageBreak/>
        <w:t>APPEARANCES</w:t>
      </w:r>
    </w:p>
    <w:p w14:paraId="27B153D5" w14:textId="77777777" w:rsidR="0044558B" w:rsidRDefault="0044558B" w:rsidP="0044558B">
      <w:pPr>
        <w:spacing w:line="360" w:lineRule="auto"/>
        <w:jc w:val="both"/>
        <w:rPr>
          <w:rFonts w:ascii="Arial" w:eastAsia="Calibri" w:hAnsi="Arial" w:cs="Arial"/>
          <w:b/>
          <w:u w:val="single"/>
        </w:rPr>
      </w:pPr>
    </w:p>
    <w:p w14:paraId="58E9CDDF" w14:textId="77777777" w:rsidR="0044558B" w:rsidRPr="0044558B" w:rsidRDefault="0044558B" w:rsidP="0044558B">
      <w:pPr>
        <w:spacing w:line="360" w:lineRule="auto"/>
        <w:jc w:val="both"/>
        <w:rPr>
          <w:rFonts w:ascii="Arial" w:eastAsia="Calibri" w:hAnsi="Arial" w:cs="Arial"/>
          <w:b/>
          <w:u w:val="single"/>
        </w:rPr>
      </w:pPr>
    </w:p>
    <w:p w14:paraId="1C8BD1E6" w14:textId="77777777" w:rsidR="0044558B" w:rsidRPr="0044558B" w:rsidRDefault="0044558B" w:rsidP="0044558B">
      <w:pPr>
        <w:spacing w:line="360" w:lineRule="auto"/>
        <w:jc w:val="both"/>
        <w:rPr>
          <w:rFonts w:ascii="Arial" w:eastAsia="Calibri" w:hAnsi="Arial" w:cs="Arial"/>
          <w:b/>
          <w:u w:val="single"/>
        </w:rPr>
      </w:pPr>
    </w:p>
    <w:p w14:paraId="3B001350" w14:textId="77777777" w:rsidR="0044558B" w:rsidRDefault="0044558B" w:rsidP="00A9013E">
      <w:pPr>
        <w:spacing w:line="360" w:lineRule="auto"/>
        <w:ind w:right="-82"/>
        <w:jc w:val="both"/>
        <w:rPr>
          <w:rFonts w:ascii="Arial" w:hAnsi="Arial" w:cs="Arial"/>
        </w:rPr>
      </w:pPr>
      <w:r w:rsidRPr="0044558B">
        <w:rPr>
          <w:rFonts w:ascii="Arial" w:hAnsi="Arial" w:cs="Arial"/>
        </w:rPr>
        <w:t>Counsel for the applicant</w:t>
      </w:r>
      <w:r w:rsidRPr="0044558B">
        <w:rPr>
          <w:rFonts w:ascii="Arial" w:hAnsi="Arial" w:cs="Arial"/>
        </w:rPr>
        <w:tab/>
      </w:r>
      <w:r w:rsidRPr="0044558B">
        <w:rPr>
          <w:rFonts w:ascii="Arial" w:hAnsi="Arial" w:cs="Arial"/>
        </w:rPr>
        <w:tab/>
        <w:t xml:space="preserve">:  </w:t>
      </w:r>
      <w:r w:rsidRPr="0044558B">
        <w:rPr>
          <w:rFonts w:ascii="Arial" w:hAnsi="Arial" w:cs="Arial"/>
        </w:rPr>
        <w:tab/>
      </w:r>
      <w:r w:rsidR="009E3BDA" w:rsidRPr="00642168">
        <w:rPr>
          <w:rFonts w:ascii="Arial" w:hAnsi="Arial" w:cs="Arial"/>
        </w:rPr>
        <w:t xml:space="preserve">Mr </w:t>
      </w:r>
      <w:r w:rsidR="009E3BDA">
        <w:rPr>
          <w:rFonts w:ascii="Arial" w:hAnsi="Arial" w:cs="Arial"/>
        </w:rPr>
        <w:t xml:space="preserve">NGD </w:t>
      </w:r>
      <w:r w:rsidR="009E3BDA" w:rsidRPr="00642168">
        <w:rPr>
          <w:rFonts w:ascii="Arial" w:hAnsi="Arial" w:cs="Arial"/>
        </w:rPr>
        <w:t xml:space="preserve">Maritz SC with Mr </w:t>
      </w:r>
      <w:r w:rsidR="00417126">
        <w:rPr>
          <w:rFonts w:ascii="Arial" w:hAnsi="Arial" w:cs="Arial"/>
        </w:rPr>
        <w:t xml:space="preserve">AM </w:t>
      </w:r>
      <w:r w:rsidR="009E3BDA" w:rsidRPr="00642168">
        <w:rPr>
          <w:rFonts w:ascii="Arial" w:hAnsi="Arial" w:cs="Arial"/>
        </w:rPr>
        <w:t>Bodlani</w:t>
      </w:r>
      <w:r w:rsidR="009E3BDA">
        <w:rPr>
          <w:rFonts w:ascii="Arial" w:hAnsi="Arial" w:cs="Arial"/>
        </w:rPr>
        <w:t xml:space="preserve"> SC</w:t>
      </w:r>
      <w:r w:rsidR="009E3BDA" w:rsidRPr="0044558B">
        <w:rPr>
          <w:rFonts w:ascii="Arial" w:hAnsi="Arial" w:cs="Arial"/>
        </w:rPr>
        <w:t xml:space="preserve"> </w:t>
      </w:r>
      <w:r w:rsidRPr="0044558B">
        <w:rPr>
          <w:rFonts w:ascii="Arial" w:hAnsi="Arial" w:cs="Arial"/>
        </w:rPr>
        <w:t>Instructed by:</w:t>
      </w:r>
      <w:r w:rsidRPr="0044558B">
        <w:rPr>
          <w:rFonts w:ascii="Arial" w:hAnsi="Arial" w:cs="Arial"/>
        </w:rPr>
        <w:tab/>
      </w:r>
      <w:r w:rsidRPr="0044558B">
        <w:rPr>
          <w:rFonts w:ascii="Arial" w:hAnsi="Arial" w:cs="Arial"/>
        </w:rPr>
        <w:tab/>
      </w:r>
      <w:r w:rsidRPr="0044558B">
        <w:rPr>
          <w:rFonts w:ascii="Arial" w:hAnsi="Arial" w:cs="Arial"/>
        </w:rPr>
        <w:tab/>
        <w:t>:</w:t>
      </w:r>
      <w:r w:rsidRPr="0044558B">
        <w:rPr>
          <w:rFonts w:ascii="Arial" w:hAnsi="Arial" w:cs="Arial"/>
        </w:rPr>
        <w:tab/>
      </w:r>
      <w:r w:rsidR="00A9013E">
        <w:rPr>
          <w:rFonts w:ascii="Arial" w:hAnsi="Arial" w:cs="Arial"/>
        </w:rPr>
        <w:t>Sakhela Incorporated</w:t>
      </w:r>
    </w:p>
    <w:p w14:paraId="0CF1A4BB" w14:textId="77777777" w:rsidR="00890F6D" w:rsidRDefault="00890F6D" w:rsidP="00A9013E">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9013E">
        <w:rPr>
          <w:rFonts w:ascii="Arial" w:hAnsi="Arial" w:cs="Arial"/>
        </w:rPr>
        <w:t>54 Stewart Drive</w:t>
      </w:r>
    </w:p>
    <w:p w14:paraId="2D49440B" w14:textId="77777777" w:rsidR="00A9013E" w:rsidRDefault="00A9013E" w:rsidP="00A9013E">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Baysville</w:t>
      </w:r>
    </w:p>
    <w:p w14:paraId="6EC436FB" w14:textId="77777777" w:rsidR="00A9013E" w:rsidRDefault="00A9013E" w:rsidP="00A9013E">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East London</w:t>
      </w:r>
    </w:p>
    <w:p w14:paraId="787E24FB" w14:textId="77777777" w:rsidR="00890F6D" w:rsidRDefault="00890F6D" w:rsidP="0044558B">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B5DD4">
        <w:rPr>
          <w:rFonts w:ascii="Arial" w:hAnsi="Arial" w:cs="Arial"/>
        </w:rPr>
        <w:t>Locally represented by</w:t>
      </w:r>
      <w:r>
        <w:rPr>
          <w:rFonts w:ascii="Arial" w:hAnsi="Arial" w:cs="Arial"/>
        </w:rPr>
        <w:t>:</w:t>
      </w:r>
    </w:p>
    <w:p w14:paraId="1A5D9D4F" w14:textId="77777777" w:rsidR="00890F6D" w:rsidRDefault="00890F6D" w:rsidP="0044558B">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9013E">
        <w:rPr>
          <w:rFonts w:ascii="Arial" w:hAnsi="Arial" w:cs="Arial"/>
        </w:rPr>
        <w:t>J Leslie Smith and Company</w:t>
      </w:r>
      <w:r>
        <w:rPr>
          <w:rFonts w:ascii="Arial" w:hAnsi="Arial" w:cs="Arial"/>
        </w:rPr>
        <w:t xml:space="preserve"> Incorporated</w:t>
      </w:r>
    </w:p>
    <w:p w14:paraId="14689760" w14:textId="77777777" w:rsidR="00816446" w:rsidRDefault="00890F6D" w:rsidP="0044558B">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9013E">
        <w:rPr>
          <w:rFonts w:ascii="Arial" w:hAnsi="Arial" w:cs="Arial"/>
        </w:rPr>
        <w:t>332 Jabu Ndlovu (Loop) Street</w:t>
      </w:r>
    </w:p>
    <w:p w14:paraId="0B83EFC8" w14:textId="77777777" w:rsidR="0044558B" w:rsidRPr="0044558B" w:rsidRDefault="00816446" w:rsidP="00816446">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4558B" w:rsidRPr="0044558B">
        <w:rPr>
          <w:rFonts w:ascii="Arial" w:hAnsi="Arial" w:cs="Arial"/>
        </w:rPr>
        <w:t>Pietermaritzburg</w:t>
      </w:r>
    </w:p>
    <w:p w14:paraId="5F927E15" w14:textId="77777777" w:rsidR="0044558B" w:rsidRPr="0044558B" w:rsidRDefault="0044558B" w:rsidP="0044558B">
      <w:pPr>
        <w:spacing w:line="360" w:lineRule="auto"/>
        <w:ind w:right="-82"/>
        <w:jc w:val="both"/>
        <w:rPr>
          <w:rFonts w:ascii="Arial" w:hAnsi="Arial" w:cs="Arial"/>
        </w:rPr>
      </w:pPr>
      <w:r w:rsidRPr="0044558B">
        <w:rPr>
          <w:rFonts w:ascii="Arial" w:hAnsi="Arial" w:cs="Arial"/>
        </w:rPr>
        <w:tab/>
      </w:r>
      <w:r w:rsidRPr="0044558B">
        <w:rPr>
          <w:rFonts w:ascii="Arial" w:hAnsi="Arial" w:cs="Arial"/>
        </w:rPr>
        <w:tab/>
      </w:r>
      <w:r w:rsidRPr="0044558B">
        <w:rPr>
          <w:rFonts w:ascii="Arial" w:hAnsi="Arial" w:cs="Arial"/>
        </w:rPr>
        <w:tab/>
      </w:r>
      <w:r w:rsidRPr="0044558B">
        <w:rPr>
          <w:rFonts w:ascii="Arial" w:hAnsi="Arial" w:cs="Arial"/>
        </w:rPr>
        <w:tab/>
      </w:r>
      <w:r w:rsidRPr="0044558B">
        <w:rPr>
          <w:rFonts w:ascii="Arial" w:hAnsi="Arial" w:cs="Arial"/>
        </w:rPr>
        <w:tab/>
      </w:r>
      <w:r w:rsidRPr="0044558B">
        <w:rPr>
          <w:rFonts w:ascii="Arial" w:hAnsi="Arial" w:cs="Arial"/>
        </w:rPr>
        <w:tab/>
        <w:t xml:space="preserve"> </w:t>
      </w:r>
    </w:p>
    <w:p w14:paraId="11FBCED6" w14:textId="77777777" w:rsidR="0044558B" w:rsidRPr="0044558B" w:rsidRDefault="0044558B" w:rsidP="0044558B">
      <w:pPr>
        <w:spacing w:line="360" w:lineRule="auto"/>
        <w:jc w:val="both"/>
        <w:rPr>
          <w:rFonts w:ascii="Arial" w:hAnsi="Arial" w:cs="Arial"/>
        </w:rPr>
      </w:pPr>
      <w:r w:rsidRPr="0044558B">
        <w:rPr>
          <w:rFonts w:ascii="Arial" w:hAnsi="Arial" w:cs="Arial"/>
        </w:rPr>
        <w:t>Counsel for the respondent</w:t>
      </w:r>
      <w:r w:rsidRPr="0044558B">
        <w:rPr>
          <w:rFonts w:ascii="Arial" w:hAnsi="Arial" w:cs="Arial"/>
        </w:rPr>
        <w:tab/>
        <w:t>:</w:t>
      </w:r>
      <w:r w:rsidRPr="0044558B">
        <w:rPr>
          <w:rFonts w:ascii="Arial" w:hAnsi="Arial" w:cs="Arial"/>
        </w:rPr>
        <w:tab/>
      </w:r>
      <w:r w:rsidR="00A9013E">
        <w:rPr>
          <w:rFonts w:ascii="Arial" w:hAnsi="Arial" w:cs="Arial"/>
        </w:rPr>
        <w:t>Mr S R Mullins SC</w:t>
      </w:r>
    </w:p>
    <w:p w14:paraId="043AAE1B" w14:textId="77777777" w:rsidR="0044558B" w:rsidRDefault="0044558B" w:rsidP="00913722">
      <w:pPr>
        <w:tabs>
          <w:tab w:val="left" w:pos="3544"/>
          <w:tab w:val="left" w:pos="4253"/>
        </w:tabs>
        <w:spacing w:line="360" w:lineRule="auto"/>
        <w:ind w:left="4320" w:right="-82" w:hanging="4320"/>
        <w:jc w:val="both"/>
        <w:rPr>
          <w:rFonts w:ascii="Arial" w:hAnsi="Arial" w:cs="Arial"/>
        </w:rPr>
      </w:pPr>
      <w:r w:rsidRPr="0044558B">
        <w:rPr>
          <w:rFonts w:ascii="Arial" w:hAnsi="Arial" w:cs="Arial"/>
        </w:rPr>
        <w:t>Instructed b</w:t>
      </w:r>
      <w:r w:rsidR="00913722">
        <w:rPr>
          <w:rFonts w:ascii="Arial" w:hAnsi="Arial" w:cs="Arial"/>
        </w:rPr>
        <w:t>y</w:t>
      </w:r>
      <w:r w:rsidR="0024587C">
        <w:rPr>
          <w:rFonts w:ascii="Arial" w:hAnsi="Arial" w:cs="Arial"/>
        </w:rPr>
        <w:tab/>
        <w:t>:</w:t>
      </w:r>
      <w:r w:rsidRPr="0044558B">
        <w:rPr>
          <w:rFonts w:ascii="Arial" w:hAnsi="Arial" w:cs="Arial"/>
        </w:rPr>
        <w:tab/>
      </w:r>
      <w:r w:rsidR="00913722">
        <w:rPr>
          <w:rFonts w:ascii="Arial" w:hAnsi="Arial" w:cs="Arial"/>
        </w:rPr>
        <w:t xml:space="preserve"> Norton Rose Fulbright South Africa </w:t>
      </w:r>
      <w:r w:rsidR="00913722">
        <w:rPr>
          <w:rFonts w:ascii="Arial" w:hAnsi="Arial" w:cs="Arial"/>
        </w:rPr>
        <w:tab/>
        <w:t xml:space="preserve"> Incorporated</w:t>
      </w:r>
    </w:p>
    <w:p w14:paraId="5A35E46D" w14:textId="77777777" w:rsidR="00816446" w:rsidRDefault="00816446" w:rsidP="00913722">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13722">
        <w:rPr>
          <w:rFonts w:ascii="Arial" w:hAnsi="Arial" w:cs="Arial"/>
        </w:rPr>
        <w:t>3 Pencarrow Crescent</w:t>
      </w:r>
    </w:p>
    <w:p w14:paraId="6089004A" w14:textId="77777777" w:rsidR="00913722" w:rsidRDefault="00913722" w:rsidP="00913722">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 Lucia Ridge</w:t>
      </w:r>
    </w:p>
    <w:p w14:paraId="02DCF6CC" w14:textId="77777777" w:rsidR="00913722" w:rsidRDefault="00913722" w:rsidP="00913722">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Durban</w:t>
      </w:r>
    </w:p>
    <w:p w14:paraId="71F49067" w14:textId="77777777" w:rsidR="00816446" w:rsidRDefault="00816446" w:rsidP="0044558B">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B5DD4">
        <w:rPr>
          <w:rFonts w:ascii="Arial" w:hAnsi="Arial" w:cs="Arial"/>
        </w:rPr>
        <w:t>Locally represented by</w:t>
      </w:r>
      <w:r>
        <w:rPr>
          <w:rFonts w:ascii="Arial" w:hAnsi="Arial" w:cs="Arial"/>
        </w:rPr>
        <w:t>:</w:t>
      </w:r>
    </w:p>
    <w:p w14:paraId="4E54A446" w14:textId="77777777" w:rsidR="00816446" w:rsidRDefault="00816446" w:rsidP="0044558B">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13722">
        <w:rPr>
          <w:rFonts w:ascii="Arial" w:hAnsi="Arial" w:cs="Arial"/>
        </w:rPr>
        <w:t>Cajee Setsubi Chetty Incorporated</w:t>
      </w:r>
    </w:p>
    <w:p w14:paraId="202EEEB8" w14:textId="77777777" w:rsidR="00816446" w:rsidRPr="0044558B" w:rsidRDefault="00816446" w:rsidP="0044558B">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13722">
        <w:rPr>
          <w:rFonts w:ascii="Arial" w:hAnsi="Arial" w:cs="Arial"/>
        </w:rPr>
        <w:t>195 Boshoff</w:t>
      </w:r>
      <w:r>
        <w:rPr>
          <w:rFonts w:ascii="Arial" w:hAnsi="Arial" w:cs="Arial"/>
        </w:rPr>
        <w:t xml:space="preserve"> Street</w:t>
      </w:r>
    </w:p>
    <w:p w14:paraId="4388C1CA" w14:textId="77777777" w:rsidR="0044558B" w:rsidRPr="0044558B" w:rsidRDefault="0044558B" w:rsidP="00816446">
      <w:pPr>
        <w:spacing w:line="360" w:lineRule="auto"/>
        <w:ind w:right="-82"/>
        <w:jc w:val="both"/>
        <w:rPr>
          <w:rFonts w:ascii="Arial" w:hAnsi="Arial" w:cs="Arial"/>
        </w:rPr>
      </w:pPr>
      <w:r w:rsidRPr="0044558B">
        <w:rPr>
          <w:rFonts w:ascii="Arial" w:hAnsi="Arial" w:cs="Arial"/>
        </w:rPr>
        <w:tab/>
      </w:r>
      <w:r w:rsidRPr="0044558B">
        <w:rPr>
          <w:rFonts w:ascii="Arial" w:hAnsi="Arial" w:cs="Arial"/>
        </w:rPr>
        <w:tab/>
      </w:r>
      <w:r w:rsidRPr="0044558B">
        <w:rPr>
          <w:rFonts w:ascii="Arial" w:hAnsi="Arial" w:cs="Arial"/>
        </w:rPr>
        <w:tab/>
      </w:r>
      <w:r w:rsidRPr="0044558B">
        <w:rPr>
          <w:rFonts w:ascii="Arial" w:hAnsi="Arial" w:cs="Arial"/>
        </w:rPr>
        <w:tab/>
      </w:r>
      <w:r w:rsidRPr="0044558B">
        <w:rPr>
          <w:rFonts w:ascii="Arial" w:hAnsi="Arial" w:cs="Arial"/>
        </w:rPr>
        <w:tab/>
      </w:r>
      <w:r w:rsidRPr="0044558B">
        <w:rPr>
          <w:rFonts w:ascii="Arial" w:hAnsi="Arial" w:cs="Arial"/>
        </w:rPr>
        <w:tab/>
        <w:t>Pietermaritzburg</w:t>
      </w:r>
    </w:p>
    <w:p w14:paraId="707F3E04" w14:textId="77777777" w:rsidR="0044558B" w:rsidRPr="0044558B" w:rsidRDefault="0044558B" w:rsidP="0044558B">
      <w:pPr>
        <w:spacing w:line="360" w:lineRule="auto"/>
        <w:ind w:right="-82"/>
        <w:jc w:val="both"/>
        <w:rPr>
          <w:rFonts w:ascii="Arial" w:hAnsi="Arial" w:cs="Arial"/>
        </w:rPr>
      </w:pPr>
      <w:r w:rsidRPr="0044558B">
        <w:rPr>
          <w:rFonts w:ascii="Arial" w:hAnsi="Arial" w:cs="Arial"/>
        </w:rPr>
        <w:tab/>
      </w:r>
      <w:r w:rsidRPr="0044558B">
        <w:rPr>
          <w:rFonts w:ascii="Arial" w:hAnsi="Arial" w:cs="Arial"/>
        </w:rPr>
        <w:tab/>
      </w:r>
      <w:r w:rsidRPr="0044558B">
        <w:rPr>
          <w:rFonts w:ascii="Arial" w:hAnsi="Arial" w:cs="Arial"/>
        </w:rPr>
        <w:tab/>
      </w:r>
      <w:r w:rsidRPr="0044558B">
        <w:rPr>
          <w:rFonts w:ascii="Arial" w:hAnsi="Arial" w:cs="Arial"/>
        </w:rPr>
        <w:tab/>
      </w:r>
      <w:r w:rsidRPr="0044558B">
        <w:rPr>
          <w:rFonts w:ascii="Arial" w:hAnsi="Arial" w:cs="Arial"/>
        </w:rPr>
        <w:tab/>
      </w:r>
      <w:r w:rsidRPr="0044558B">
        <w:rPr>
          <w:rFonts w:ascii="Arial" w:hAnsi="Arial" w:cs="Arial"/>
        </w:rPr>
        <w:tab/>
      </w:r>
    </w:p>
    <w:p w14:paraId="5C7B2546" w14:textId="77777777" w:rsidR="0044558B" w:rsidRPr="0044558B" w:rsidRDefault="0044558B" w:rsidP="0044558B">
      <w:pPr>
        <w:spacing w:line="360" w:lineRule="auto"/>
        <w:ind w:right="-82"/>
        <w:jc w:val="both"/>
        <w:rPr>
          <w:rFonts w:ascii="Arial" w:eastAsia="Calibri" w:hAnsi="Arial" w:cs="Arial"/>
        </w:rPr>
      </w:pPr>
      <w:r w:rsidRPr="0044558B">
        <w:rPr>
          <w:rFonts w:ascii="Arial" w:eastAsia="Calibri" w:hAnsi="Arial" w:cs="Arial"/>
        </w:rPr>
        <w:t>Date of argument:</w:t>
      </w:r>
      <w:r w:rsidRPr="0044558B">
        <w:rPr>
          <w:rFonts w:ascii="Arial" w:eastAsia="Calibri" w:hAnsi="Arial" w:cs="Arial"/>
        </w:rPr>
        <w:tab/>
      </w:r>
      <w:r w:rsidRPr="0044558B">
        <w:rPr>
          <w:rFonts w:ascii="Arial" w:eastAsia="Calibri" w:hAnsi="Arial" w:cs="Arial"/>
        </w:rPr>
        <w:tab/>
      </w:r>
      <w:r w:rsidRPr="0044558B">
        <w:rPr>
          <w:rFonts w:ascii="Arial" w:eastAsia="Calibri" w:hAnsi="Arial" w:cs="Arial"/>
        </w:rPr>
        <w:tab/>
        <w:t>:</w:t>
      </w:r>
      <w:r w:rsidRPr="0044558B">
        <w:rPr>
          <w:rFonts w:ascii="Arial" w:eastAsia="Calibri" w:hAnsi="Arial" w:cs="Arial"/>
        </w:rPr>
        <w:tab/>
        <w:t>1</w:t>
      </w:r>
      <w:r w:rsidR="00913722">
        <w:rPr>
          <w:rFonts w:ascii="Arial" w:eastAsia="Calibri" w:hAnsi="Arial" w:cs="Arial"/>
        </w:rPr>
        <w:t>7</w:t>
      </w:r>
      <w:r w:rsidRPr="0044558B">
        <w:rPr>
          <w:rFonts w:ascii="Arial" w:eastAsia="Calibri" w:hAnsi="Arial" w:cs="Arial"/>
        </w:rPr>
        <w:t xml:space="preserve"> November 2023</w:t>
      </w:r>
    </w:p>
    <w:p w14:paraId="7B51D826" w14:textId="77777777" w:rsidR="0044558B" w:rsidRPr="0044558B" w:rsidRDefault="0044558B" w:rsidP="0044558B">
      <w:pPr>
        <w:spacing w:line="360" w:lineRule="auto"/>
        <w:ind w:right="-82"/>
        <w:jc w:val="both"/>
        <w:rPr>
          <w:rFonts w:ascii="Arial" w:eastAsia="Calibri" w:hAnsi="Arial" w:cs="Arial"/>
        </w:rPr>
      </w:pPr>
    </w:p>
    <w:p w14:paraId="0DDE3553" w14:textId="77777777" w:rsidR="0044558B" w:rsidRPr="0044558B" w:rsidRDefault="0044558B" w:rsidP="0044558B">
      <w:pPr>
        <w:spacing w:line="360" w:lineRule="auto"/>
        <w:jc w:val="both"/>
        <w:rPr>
          <w:rFonts w:ascii="Arial" w:eastAsia="Calibri" w:hAnsi="Arial" w:cs="Arial"/>
        </w:rPr>
      </w:pPr>
      <w:r>
        <w:rPr>
          <w:rFonts w:ascii="Arial" w:eastAsia="Calibri" w:hAnsi="Arial" w:cs="Arial"/>
        </w:rPr>
        <w:t>Date of j</w:t>
      </w:r>
      <w:r w:rsidRPr="0044558B">
        <w:rPr>
          <w:rFonts w:ascii="Arial" w:eastAsia="Calibri" w:hAnsi="Arial" w:cs="Arial"/>
        </w:rPr>
        <w:t xml:space="preserve">udgment </w:t>
      </w:r>
      <w:r w:rsidRPr="0044558B">
        <w:rPr>
          <w:rFonts w:ascii="Arial" w:eastAsia="Calibri" w:hAnsi="Arial" w:cs="Arial"/>
        </w:rPr>
        <w:tab/>
      </w:r>
      <w:r w:rsidRPr="0044558B">
        <w:rPr>
          <w:rFonts w:ascii="Arial" w:eastAsia="Calibri" w:hAnsi="Arial" w:cs="Arial"/>
        </w:rPr>
        <w:tab/>
      </w:r>
      <w:r w:rsidRPr="0044558B">
        <w:rPr>
          <w:rFonts w:ascii="Arial" w:eastAsia="Calibri" w:hAnsi="Arial" w:cs="Arial"/>
        </w:rPr>
        <w:tab/>
        <w:t>:</w:t>
      </w:r>
      <w:r w:rsidRPr="0044558B">
        <w:rPr>
          <w:rFonts w:ascii="Arial" w:eastAsia="Calibri" w:hAnsi="Arial" w:cs="Arial"/>
        </w:rPr>
        <w:tab/>
      </w:r>
      <w:r w:rsidR="0024587C">
        <w:rPr>
          <w:rFonts w:ascii="Arial" w:eastAsia="Calibri" w:hAnsi="Arial" w:cs="Arial"/>
        </w:rPr>
        <w:t xml:space="preserve">28 </w:t>
      </w:r>
      <w:r w:rsidRPr="0044558B">
        <w:rPr>
          <w:rFonts w:ascii="Arial" w:eastAsia="Calibri" w:hAnsi="Arial" w:cs="Arial"/>
        </w:rPr>
        <w:t>November 2023</w:t>
      </w:r>
    </w:p>
    <w:p w14:paraId="20B06D06" w14:textId="77777777" w:rsidR="0044558B" w:rsidRDefault="0044558B" w:rsidP="0044558B">
      <w:pPr>
        <w:spacing w:line="360" w:lineRule="auto"/>
        <w:jc w:val="center"/>
        <w:rPr>
          <w:rFonts w:asciiTheme="minorBidi" w:hAnsiTheme="minorBidi"/>
          <w:b/>
          <w:bCs/>
        </w:rPr>
      </w:pPr>
    </w:p>
    <w:p w14:paraId="2B5337AD" w14:textId="77777777" w:rsidR="0044558B" w:rsidRDefault="0044558B"/>
    <w:p w14:paraId="328BC00A" w14:textId="77777777" w:rsidR="0044558B" w:rsidRDefault="0044558B"/>
    <w:sectPr w:rsidR="0044558B" w:rsidSect="008B1A98">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D52F5" w14:textId="77777777" w:rsidR="00EA0F34" w:rsidRDefault="00EA0F34" w:rsidP="0044558B">
      <w:r>
        <w:separator/>
      </w:r>
    </w:p>
  </w:endnote>
  <w:endnote w:type="continuationSeparator" w:id="0">
    <w:p w14:paraId="2E703514" w14:textId="77777777" w:rsidR="00EA0F34" w:rsidRDefault="00EA0F34" w:rsidP="0044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98CFC" w14:textId="77777777" w:rsidR="00EA0F34" w:rsidRDefault="00EA0F34" w:rsidP="0044558B">
      <w:r>
        <w:separator/>
      </w:r>
    </w:p>
  </w:footnote>
  <w:footnote w:type="continuationSeparator" w:id="0">
    <w:p w14:paraId="1BE0722A" w14:textId="77777777" w:rsidR="00EA0F34" w:rsidRDefault="00EA0F34" w:rsidP="0044558B">
      <w:r>
        <w:continuationSeparator/>
      </w:r>
    </w:p>
  </w:footnote>
  <w:footnote w:id="1">
    <w:p w14:paraId="439DA1BB" w14:textId="77777777" w:rsidR="00827D3F" w:rsidRPr="006B7A1C" w:rsidRDefault="00827D3F" w:rsidP="006B7A1C">
      <w:pPr>
        <w:pStyle w:val="FootnoteText"/>
        <w:jc w:val="both"/>
        <w:rPr>
          <w:rFonts w:ascii="Arial" w:hAnsi="Arial" w:cs="Arial"/>
          <w:lang w:val="en-US"/>
        </w:rPr>
      </w:pPr>
      <w:r w:rsidRPr="006B7A1C">
        <w:rPr>
          <w:rStyle w:val="FootnoteReference"/>
          <w:rFonts w:ascii="Arial" w:hAnsi="Arial" w:cs="Arial"/>
        </w:rPr>
        <w:footnoteRef/>
      </w:r>
      <w:r w:rsidRPr="006B7A1C">
        <w:rPr>
          <w:rFonts w:ascii="Arial" w:hAnsi="Arial" w:cs="Arial"/>
        </w:rPr>
        <w:t xml:space="preserve"> </w:t>
      </w:r>
      <w:r w:rsidRPr="006B7A1C">
        <w:rPr>
          <w:rFonts w:ascii="Arial" w:hAnsi="Arial" w:cs="Arial"/>
          <w:lang w:val="en-US"/>
        </w:rPr>
        <w:t xml:space="preserve">Twenty grounds of negligence are pleaded in the particulars of claim, divided into two tranches of allegations. The first tranche, paragraph 17.1 of the particulars of claim, details five grounds of general allegations of negligence. The second tranche, paragraph 17.2, itemizes </w:t>
      </w:r>
      <w:r w:rsidR="00261EF4">
        <w:rPr>
          <w:rFonts w:ascii="Arial" w:hAnsi="Arial" w:cs="Arial"/>
          <w:lang w:val="en-US"/>
        </w:rPr>
        <w:t>15</w:t>
      </w:r>
      <w:r w:rsidR="00261EF4" w:rsidRPr="006B7A1C">
        <w:rPr>
          <w:rFonts w:ascii="Arial" w:hAnsi="Arial" w:cs="Arial"/>
          <w:lang w:val="en-US"/>
        </w:rPr>
        <w:t xml:space="preserve"> </w:t>
      </w:r>
      <w:r w:rsidRPr="006B7A1C">
        <w:rPr>
          <w:rFonts w:ascii="Arial" w:hAnsi="Arial" w:cs="Arial"/>
          <w:lang w:val="en-US"/>
        </w:rPr>
        <w:t>more specific allegations of negligence.</w:t>
      </w:r>
    </w:p>
  </w:footnote>
  <w:footnote w:id="2">
    <w:p w14:paraId="11525582" w14:textId="77777777" w:rsidR="001068E1" w:rsidRPr="0019609D" w:rsidRDefault="001068E1" w:rsidP="0019609D">
      <w:pPr>
        <w:pStyle w:val="FootnoteText"/>
        <w:jc w:val="both"/>
        <w:rPr>
          <w:rFonts w:ascii="Arial" w:hAnsi="Arial" w:cs="Arial"/>
        </w:rPr>
      </w:pPr>
      <w:r w:rsidRPr="0019609D">
        <w:rPr>
          <w:rStyle w:val="FootnoteReference"/>
          <w:rFonts w:ascii="Arial" w:hAnsi="Arial" w:cs="Arial"/>
        </w:rPr>
        <w:footnoteRef/>
      </w:r>
      <w:r w:rsidRPr="0019609D">
        <w:rPr>
          <w:rFonts w:ascii="Arial" w:hAnsi="Arial" w:cs="Arial"/>
        </w:rPr>
        <w:t xml:space="preserve"> </w:t>
      </w:r>
      <w:r w:rsidR="0019609D" w:rsidRPr="0019609D">
        <w:rPr>
          <w:rFonts w:ascii="Arial" w:hAnsi="Arial" w:cs="Arial"/>
        </w:rPr>
        <w:t>Three days of evidence over the period 22 to 24 November 2021; five days of evidence over the period 25 to 29 July 2022</w:t>
      </w:r>
      <w:r w:rsidR="0019609D">
        <w:rPr>
          <w:rFonts w:ascii="Arial" w:hAnsi="Arial" w:cs="Arial"/>
        </w:rPr>
        <w:t>;</w:t>
      </w:r>
      <w:r w:rsidR="0019609D" w:rsidRPr="0019609D">
        <w:rPr>
          <w:rFonts w:ascii="Arial" w:hAnsi="Arial" w:cs="Arial"/>
        </w:rPr>
        <w:t xml:space="preserve"> and two days of evidence over the period 11 to 12 August 2022.</w:t>
      </w:r>
    </w:p>
  </w:footnote>
  <w:footnote w:id="3">
    <w:p w14:paraId="1EA71626" w14:textId="77777777" w:rsidR="0082399D" w:rsidRPr="009F22B8" w:rsidRDefault="0082399D" w:rsidP="009F22B8">
      <w:pPr>
        <w:pStyle w:val="FootnoteText"/>
        <w:jc w:val="both"/>
        <w:rPr>
          <w:rFonts w:asciiTheme="minorBidi" w:hAnsiTheme="minorBidi" w:cstheme="minorBidi"/>
          <w:lang w:val="en-US"/>
        </w:rPr>
      </w:pPr>
      <w:r w:rsidRPr="009F22B8">
        <w:rPr>
          <w:rStyle w:val="FootnoteReference"/>
          <w:rFonts w:asciiTheme="minorBidi" w:hAnsiTheme="minorBidi" w:cstheme="minorBidi"/>
        </w:rPr>
        <w:footnoteRef/>
      </w:r>
      <w:r w:rsidRPr="009F22B8">
        <w:rPr>
          <w:rFonts w:asciiTheme="minorBidi" w:hAnsiTheme="minorBidi" w:cstheme="minorBidi"/>
        </w:rPr>
        <w:t xml:space="preserve"> </w:t>
      </w:r>
      <w:r w:rsidRPr="009F22B8">
        <w:rPr>
          <w:rFonts w:asciiTheme="minorBidi" w:hAnsiTheme="minorBidi" w:cstheme="minorBidi"/>
          <w:i/>
          <w:iCs/>
        </w:rPr>
        <w:t>Randa v Radopile Projects</w:t>
      </w:r>
      <w:r w:rsidR="001F0A11" w:rsidRPr="009F22B8">
        <w:rPr>
          <w:rFonts w:asciiTheme="minorBidi" w:hAnsiTheme="minorBidi" w:cstheme="minorBidi"/>
          <w:i/>
          <w:iCs/>
        </w:rPr>
        <w:t xml:space="preserve"> CC</w:t>
      </w:r>
      <w:r w:rsidRPr="009F22B8">
        <w:rPr>
          <w:rFonts w:asciiTheme="minorBidi" w:hAnsiTheme="minorBidi" w:cstheme="minorBidi"/>
          <w:i/>
          <w:iCs/>
        </w:rPr>
        <w:t xml:space="preserve"> </w:t>
      </w:r>
      <w:r w:rsidRPr="009F22B8">
        <w:rPr>
          <w:rFonts w:asciiTheme="minorBidi" w:hAnsiTheme="minorBidi" w:cstheme="minorBidi"/>
        </w:rPr>
        <w:t>2012 (6) SA 12</w:t>
      </w:r>
      <w:r w:rsidR="001F0A11" w:rsidRPr="009F22B8">
        <w:rPr>
          <w:rFonts w:asciiTheme="minorBidi" w:hAnsiTheme="minorBidi" w:cstheme="minorBidi"/>
        </w:rPr>
        <w:t>8</w:t>
      </w:r>
      <w:r w:rsidRPr="009F22B8">
        <w:rPr>
          <w:rFonts w:asciiTheme="minorBidi" w:hAnsiTheme="minorBidi" w:cstheme="minorBidi"/>
        </w:rPr>
        <w:t xml:space="preserve"> (GSJ) para 17.</w:t>
      </w:r>
    </w:p>
  </w:footnote>
  <w:footnote w:id="4">
    <w:p w14:paraId="0B0972F2" w14:textId="77777777" w:rsidR="006B7A1C" w:rsidRPr="009F22B8" w:rsidRDefault="006B7A1C" w:rsidP="009F22B8">
      <w:pPr>
        <w:pStyle w:val="FootnoteText"/>
        <w:jc w:val="both"/>
        <w:rPr>
          <w:rFonts w:asciiTheme="minorBidi" w:hAnsiTheme="minorBidi" w:cstheme="minorBidi"/>
        </w:rPr>
      </w:pPr>
      <w:r w:rsidRPr="009F22B8">
        <w:rPr>
          <w:rStyle w:val="FootnoteReference"/>
          <w:rFonts w:asciiTheme="minorBidi" w:hAnsiTheme="minorBidi" w:cstheme="minorBidi"/>
        </w:rPr>
        <w:footnoteRef/>
      </w:r>
      <w:r w:rsidRPr="009F22B8">
        <w:rPr>
          <w:rFonts w:asciiTheme="minorBidi" w:hAnsiTheme="minorBidi" w:cstheme="minorBidi"/>
        </w:rPr>
        <w:t xml:space="preserve"> </w:t>
      </w:r>
      <w:r w:rsidRPr="009F22B8">
        <w:rPr>
          <w:rFonts w:asciiTheme="minorBidi" w:hAnsiTheme="minorBidi" w:cstheme="minorBidi"/>
          <w:i/>
        </w:rPr>
        <w:t>Robinson v Randfontein Estates GM Co Ltd</w:t>
      </w:r>
      <w:r w:rsidRPr="009F22B8">
        <w:rPr>
          <w:rFonts w:asciiTheme="minorBidi" w:hAnsiTheme="minorBidi" w:cstheme="minorBidi"/>
        </w:rPr>
        <w:t xml:space="preserve"> 1925 AD 173 at 198.</w:t>
      </w:r>
    </w:p>
  </w:footnote>
  <w:footnote w:id="5">
    <w:p w14:paraId="269F94E7" w14:textId="5DC919DA" w:rsidR="009F22B8" w:rsidRPr="009F22B8" w:rsidRDefault="009F22B8" w:rsidP="009F22B8">
      <w:pPr>
        <w:pStyle w:val="FootnoteText"/>
        <w:jc w:val="both"/>
        <w:rPr>
          <w:rFonts w:asciiTheme="minorBidi" w:hAnsiTheme="minorBidi" w:cstheme="minorBidi"/>
          <w:lang w:val="en-US"/>
        </w:rPr>
      </w:pPr>
      <w:r w:rsidRPr="009F22B8">
        <w:rPr>
          <w:rStyle w:val="FootnoteReference"/>
          <w:rFonts w:asciiTheme="minorBidi" w:hAnsiTheme="minorBidi" w:cstheme="minorBidi"/>
        </w:rPr>
        <w:footnoteRef/>
      </w:r>
      <w:r w:rsidRPr="009F22B8">
        <w:rPr>
          <w:rFonts w:asciiTheme="minorBidi" w:hAnsiTheme="minorBidi" w:cstheme="minorBidi"/>
        </w:rPr>
        <w:t xml:space="preserve"> </w:t>
      </w:r>
      <w:r w:rsidRPr="009F22B8">
        <w:rPr>
          <w:rFonts w:asciiTheme="minorBidi" w:hAnsiTheme="minorBidi" w:cstheme="minorBidi"/>
          <w:i/>
          <w:iCs/>
          <w:lang w:val="en-US"/>
        </w:rPr>
        <w:t>Embling v Two Oceans Aquarium CC</w:t>
      </w:r>
      <w:r w:rsidRPr="009F22B8">
        <w:rPr>
          <w:rFonts w:asciiTheme="minorBidi" w:hAnsiTheme="minorBidi" w:cstheme="minorBidi"/>
          <w:lang w:val="en-US"/>
        </w:rPr>
        <w:t xml:space="preserve"> 2000 (3) SA 691 (C) 694G-H.</w:t>
      </w:r>
    </w:p>
  </w:footnote>
  <w:footnote w:id="6">
    <w:p w14:paraId="048B57CE" w14:textId="77777777" w:rsidR="0055764D" w:rsidRPr="009F22B8" w:rsidRDefault="0055764D" w:rsidP="009F22B8">
      <w:pPr>
        <w:pStyle w:val="FootnoteText"/>
        <w:jc w:val="both"/>
        <w:rPr>
          <w:rFonts w:asciiTheme="minorBidi" w:hAnsiTheme="minorBidi" w:cstheme="minorBidi"/>
        </w:rPr>
      </w:pPr>
      <w:r w:rsidRPr="009F22B8">
        <w:rPr>
          <w:rStyle w:val="FootnoteReference"/>
          <w:rFonts w:asciiTheme="minorBidi" w:hAnsiTheme="minorBidi" w:cstheme="minorBidi"/>
        </w:rPr>
        <w:footnoteRef/>
      </w:r>
      <w:r w:rsidRPr="009F22B8">
        <w:rPr>
          <w:rFonts w:asciiTheme="minorBidi" w:hAnsiTheme="minorBidi" w:cstheme="minorBidi"/>
        </w:rPr>
        <w:t xml:space="preserve"> </w:t>
      </w:r>
      <w:r w:rsidRPr="009F22B8">
        <w:rPr>
          <w:rFonts w:asciiTheme="minorBidi" w:hAnsiTheme="minorBidi" w:cstheme="minorBidi"/>
          <w:i/>
        </w:rPr>
        <w:t>R v Zackey</w:t>
      </w:r>
      <w:r w:rsidRPr="009F22B8">
        <w:rPr>
          <w:rFonts w:asciiTheme="minorBidi" w:hAnsiTheme="minorBidi" w:cstheme="minorBidi"/>
        </w:rPr>
        <w:t xml:space="preserve"> 1945 AD 505 at 513</w:t>
      </w:r>
      <w:r w:rsidR="00C619A4" w:rsidRPr="009F22B8">
        <w:rPr>
          <w:rFonts w:asciiTheme="minorBidi" w:hAnsiTheme="minorBidi" w:cstheme="minorBidi"/>
        </w:rPr>
        <w:t xml:space="preserve">, </w:t>
      </w:r>
      <w:r w:rsidR="00442FF3" w:rsidRPr="009F22B8">
        <w:rPr>
          <w:rFonts w:asciiTheme="minorBidi" w:hAnsiTheme="minorBidi" w:cstheme="minorBidi"/>
        </w:rPr>
        <w:t>quoting</w:t>
      </w:r>
      <w:r w:rsidR="00C619A4" w:rsidRPr="009F22B8">
        <w:rPr>
          <w:rFonts w:asciiTheme="minorBidi" w:hAnsiTheme="minorBidi" w:cstheme="minorBidi"/>
        </w:rPr>
        <w:t xml:space="preserve"> with approval from </w:t>
      </w:r>
      <w:r w:rsidR="00C619A4" w:rsidRPr="009F22B8">
        <w:rPr>
          <w:rFonts w:asciiTheme="minorBidi" w:hAnsiTheme="minorBidi" w:cstheme="minorBidi"/>
          <w:i/>
        </w:rPr>
        <w:t>In re Taylor</w:t>
      </w:r>
      <w:r w:rsidR="00C619A4" w:rsidRPr="009F22B8">
        <w:rPr>
          <w:rFonts w:asciiTheme="minorBidi" w:hAnsiTheme="minorBidi" w:cstheme="minorBidi"/>
        </w:rPr>
        <w:t xml:space="preserve"> (4 Ch. D. 157)</w:t>
      </w:r>
      <w:r w:rsidRPr="009F22B8">
        <w:rPr>
          <w:rFonts w:asciiTheme="minorBidi" w:hAnsiTheme="minorBidi" w:cstheme="minorBidi"/>
        </w:rPr>
        <w:t>.</w:t>
      </w:r>
    </w:p>
  </w:footnote>
  <w:footnote w:id="7">
    <w:p w14:paraId="70B41B8D" w14:textId="77777777" w:rsidR="00382F4A" w:rsidRPr="009F22B8" w:rsidRDefault="00382F4A" w:rsidP="009F22B8">
      <w:pPr>
        <w:pStyle w:val="FootnoteText"/>
        <w:jc w:val="both"/>
        <w:rPr>
          <w:rFonts w:asciiTheme="minorBidi" w:hAnsiTheme="minorBidi" w:cstheme="minorBidi"/>
        </w:rPr>
      </w:pPr>
      <w:r w:rsidRPr="009F22B8">
        <w:rPr>
          <w:rStyle w:val="FootnoteReference"/>
          <w:rFonts w:asciiTheme="minorBidi" w:hAnsiTheme="minorBidi" w:cstheme="minorBidi"/>
        </w:rPr>
        <w:footnoteRef/>
      </w:r>
      <w:r w:rsidRPr="009F22B8">
        <w:rPr>
          <w:rFonts w:asciiTheme="minorBidi" w:hAnsiTheme="minorBidi" w:cstheme="minorBidi"/>
        </w:rPr>
        <w:t xml:space="preserve"> </w:t>
      </w:r>
      <w:r w:rsidRPr="009F22B8">
        <w:rPr>
          <w:rFonts w:asciiTheme="minorBidi" w:hAnsiTheme="minorBidi" w:cstheme="minorBidi"/>
          <w:i/>
        </w:rPr>
        <w:t xml:space="preserve">Merber v Merber </w:t>
      </w:r>
      <w:r w:rsidRPr="009F22B8">
        <w:rPr>
          <w:rFonts w:asciiTheme="minorBidi" w:hAnsiTheme="minorBidi" w:cstheme="minorBidi"/>
          <w:lang w:val="en-US"/>
        </w:rPr>
        <w:t>1948 (1) SA 446</w:t>
      </w:r>
      <w:r w:rsidR="00D957D6" w:rsidRPr="009F22B8">
        <w:rPr>
          <w:rFonts w:asciiTheme="minorBidi" w:hAnsiTheme="minorBidi" w:cstheme="minorBidi"/>
          <w:lang w:val="en-US"/>
        </w:rPr>
        <w:t xml:space="preserve"> (A)</w:t>
      </w:r>
      <w:r w:rsidRPr="009F22B8">
        <w:rPr>
          <w:rFonts w:asciiTheme="minorBidi" w:hAnsiTheme="minorBidi" w:cstheme="minorBidi"/>
          <w:lang w:val="en-US"/>
        </w:rPr>
        <w:t xml:space="preserve"> at 452-</w:t>
      </w:r>
      <w:r w:rsidR="00D957D6" w:rsidRPr="009F22B8">
        <w:rPr>
          <w:rFonts w:asciiTheme="minorBidi" w:hAnsiTheme="minorBidi" w:cstheme="minorBidi"/>
          <w:lang w:val="en-US"/>
        </w:rPr>
        <w:t>45</w:t>
      </w:r>
      <w:r w:rsidRPr="009F22B8">
        <w:rPr>
          <w:rFonts w:asciiTheme="minorBidi" w:hAnsiTheme="minorBidi" w:cstheme="minorBidi"/>
          <w:lang w:val="en-US"/>
        </w:rPr>
        <w:t>3</w:t>
      </w:r>
      <w:r w:rsidR="00D957D6" w:rsidRPr="009F22B8">
        <w:rPr>
          <w:rFonts w:asciiTheme="minorBidi" w:hAnsiTheme="minorBidi" w:cstheme="minorBidi"/>
          <w:lang w:val="en-US"/>
        </w:rPr>
        <w:t>,</w:t>
      </w:r>
      <w:r w:rsidRPr="009F22B8">
        <w:rPr>
          <w:rFonts w:asciiTheme="minorBidi" w:hAnsiTheme="minorBidi" w:cstheme="minorBidi"/>
          <w:lang w:val="en-US"/>
        </w:rPr>
        <w:t xml:space="preserve"> </w:t>
      </w:r>
      <w:r w:rsidR="006D68A4" w:rsidRPr="009F22B8">
        <w:rPr>
          <w:rFonts w:asciiTheme="minorBidi" w:hAnsiTheme="minorBidi" w:cstheme="minorBidi"/>
          <w:lang w:val="en-US"/>
        </w:rPr>
        <w:t xml:space="preserve">quoting </w:t>
      </w:r>
      <w:r w:rsidRPr="009F22B8">
        <w:rPr>
          <w:rFonts w:asciiTheme="minorBidi" w:hAnsiTheme="minorBidi" w:cstheme="minorBidi"/>
          <w:lang w:val="en-US"/>
        </w:rPr>
        <w:t xml:space="preserve">with approval </w:t>
      </w:r>
      <w:r w:rsidR="006D68A4" w:rsidRPr="009F22B8">
        <w:rPr>
          <w:rFonts w:asciiTheme="minorBidi" w:hAnsiTheme="minorBidi" w:cstheme="minorBidi"/>
          <w:lang w:val="en-US"/>
        </w:rPr>
        <w:t>from</w:t>
      </w:r>
      <w:r w:rsidRPr="009F22B8">
        <w:rPr>
          <w:rFonts w:asciiTheme="minorBidi" w:hAnsiTheme="minorBidi" w:cstheme="minorBidi"/>
          <w:lang w:val="en-US"/>
        </w:rPr>
        <w:t xml:space="preserve"> </w:t>
      </w:r>
      <w:r w:rsidRPr="009F22B8">
        <w:rPr>
          <w:rFonts w:asciiTheme="minorBidi" w:hAnsiTheme="minorBidi" w:cstheme="minorBidi"/>
          <w:i/>
        </w:rPr>
        <w:t>Ritter v Godfrey</w:t>
      </w:r>
      <w:r w:rsidRPr="009F22B8">
        <w:rPr>
          <w:rFonts w:asciiTheme="minorBidi" w:hAnsiTheme="minorBidi" w:cstheme="minorBidi"/>
        </w:rPr>
        <w:t xml:space="preserve"> </w:t>
      </w:r>
      <w:r w:rsidR="00722DC5" w:rsidRPr="009F22B8">
        <w:rPr>
          <w:rFonts w:asciiTheme="minorBidi" w:hAnsiTheme="minorBidi" w:cstheme="minorBidi"/>
        </w:rPr>
        <w:t>[</w:t>
      </w:r>
      <w:r w:rsidRPr="009F22B8">
        <w:rPr>
          <w:rFonts w:asciiTheme="minorBidi" w:hAnsiTheme="minorBidi" w:cstheme="minorBidi"/>
        </w:rPr>
        <w:t>1920</w:t>
      </w:r>
      <w:r w:rsidR="00722DC5" w:rsidRPr="009F22B8">
        <w:rPr>
          <w:rFonts w:asciiTheme="minorBidi" w:hAnsiTheme="minorBidi" w:cstheme="minorBidi"/>
        </w:rPr>
        <w:t>]</w:t>
      </w:r>
      <w:r w:rsidRPr="009F22B8">
        <w:rPr>
          <w:rFonts w:asciiTheme="minorBidi" w:hAnsiTheme="minorBidi" w:cstheme="minorBidi"/>
        </w:rPr>
        <w:t xml:space="preserve"> 2</w:t>
      </w:r>
      <w:r w:rsidR="00722DC5" w:rsidRPr="009F22B8">
        <w:rPr>
          <w:rFonts w:asciiTheme="minorBidi" w:hAnsiTheme="minorBidi" w:cstheme="minorBidi"/>
        </w:rPr>
        <w:t xml:space="preserve"> </w:t>
      </w:r>
      <w:r w:rsidRPr="009F22B8">
        <w:rPr>
          <w:rFonts w:asciiTheme="minorBidi" w:hAnsiTheme="minorBidi" w:cstheme="minorBidi"/>
        </w:rPr>
        <w:t>KB 47.</w:t>
      </w:r>
    </w:p>
  </w:footnote>
  <w:footnote w:id="8">
    <w:p w14:paraId="4891E662" w14:textId="77777777" w:rsidR="00CD14CF" w:rsidRPr="009F22B8" w:rsidRDefault="00CD14CF" w:rsidP="009F22B8">
      <w:pPr>
        <w:jc w:val="both"/>
        <w:rPr>
          <w:rFonts w:asciiTheme="minorBidi" w:hAnsiTheme="minorBidi" w:cstheme="minorBidi"/>
          <w:sz w:val="20"/>
          <w:szCs w:val="20"/>
          <w:lang w:val="en-US"/>
        </w:rPr>
      </w:pPr>
      <w:r w:rsidRPr="009F22B8">
        <w:rPr>
          <w:rStyle w:val="FootnoteReference"/>
          <w:rFonts w:asciiTheme="minorBidi" w:hAnsiTheme="minorBidi" w:cstheme="minorBidi"/>
          <w:color w:val="000000" w:themeColor="text1"/>
          <w:sz w:val="20"/>
          <w:szCs w:val="20"/>
        </w:rPr>
        <w:footnoteRef/>
      </w:r>
      <w:r w:rsidRPr="009F22B8">
        <w:rPr>
          <w:rFonts w:asciiTheme="minorBidi" w:hAnsiTheme="minorBidi" w:cstheme="minorBidi"/>
          <w:color w:val="000000" w:themeColor="text1"/>
          <w:sz w:val="20"/>
          <w:szCs w:val="20"/>
        </w:rPr>
        <w:t xml:space="preserve"> </w:t>
      </w:r>
      <w:r w:rsidRPr="009F22B8">
        <w:rPr>
          <w:rFonts w:asciiTheme="minorBidi" w:hAnsiTheme="minorBidi" w:cstheme="minorBidi"/>
          <w:i/>
          <w:iCs/>
          <w:color w:val="000000" w:themeColor="text1"/>
          <w:sz w:val="20"/>
          <w:szCs w:val="20"/>
        </w:rPr>
        <w:t>Moolman v Estate Moolman</w:t>
      </w:r>
      <w:r w:rsidR="00722DC5" w:rsidRPr="009F22B8">
        <w:rPr>
          <w:rFonts w:asciiTheme="minorBidi" w:hAnsiTheme="minorBidi" w:cstheme="minorBidi"/>
          <w:i/>
          <w:iCs/>
          <w:color w:val="000000" w:themeColor="text1"/>
          <w:sz w:val="20"/>
          <w:szCs w:val="20"/>
        </w:rPr>
        <w:t xml:space="preserve"> and another</w:t>
      </w:r>
      <w:r w:rsidR="0099558A" w:rsidRPr="009F22B8">
        <w:rPr>
          <w:rFonts w:asciiTheme="minorBidi" w:hAnsiTheme="minorBidi" w:cstheme="minorBidi"/>
          <w:i/>
          <w:iCs/>
          <w:color w:val="000000" w:themeColor="text1"/>
          <w:sz w:val="20"/>
          <w:szCs w:val="20"/>
        </w:rPr>
        <w:t xml:space="preserve"> </w:t>
      </w:r>
      <w:r w:rsidR="0099558A" w:rsidRPr="009F22B8">
        <w:rPr>
          <w:rFonts w:asciiTheme="minorBidi" w:hAnsiTheme="minorBidi" w:cstheme="minorBidi"/>
          <w:color w:val="000000" w:themeColor="text1"/>
          <w:sz w:val="20"/>
          <w:szCs w:val="20"/>
        </w:rPr>
        <w:t>1927 CPD 27 at 29.</w:t>
      </w:r>
    </w:p>
  </w:footnote>
  <w:footnote w:id="9">
    <w:p w14:paraId="204028AD" w14:textId="77777777" w:rsidR="00930017" w:rsidRPr="0014453D" w:rsidRDefault="00930017" w:rsidP="00930017">
      <w:pPr>
        <w:pStyle w:val="FootnoteText"/>
        <w:jc w:val="both"/>
        <w:rPr>
          <w:rFonts w:asciiTheme="minorBidi" w:hAnsiTheme="minorBidi" w:cstheme="minorBidi"/>
          <w:lang w:val="en-US"/>
        </w:rPr>
      </w:pPr>
      <w:r w:rsidRPr="0014453D">
        <w:rPr>
          <w:rStyle w:val="FootnoteReference"/>
          <w:rFonts w:asciiTheme="minorBidi" w:hAnsiTheme="minorBidi" w:cstheme="minorBidi"/>
        </w:rPr>
        <w:footnoteRef/>
      </w:r>
      <w:r w:rsidRPr="0014453D">
        <w:rPr>
          <w:rFonts w:asciiTheme="minorBidi" w:hAnsiTheme="minorBidi" w:cstheme="minorBidi"/>
        </w:rPr>
        <w:t xml:space="preserve"> </w:t>
      </w:r>
      <w:r w:rsidRPr="0014453D">
        <w:rPr>
          <w:rFonts w:asciiTheme="minorBidi" w:hAnsiTheme="minorBidi" w:cstheme="minorBidi"/>
          <w:i/>
        </w:rPr>
        <w:t>Benjamin v Sobac South African Building and Construction (Pty) Ltd</w:t>
      </w:r>
      <w:r w:rsidRPr="0014453D">
        <w:rPr>
          <w:rFonts w:asciiTheme="minorBidi" w:hAnsiTheme="minorBidi" w:cstheme="minorBidi"/>
        </w:rPr>
        <w:t xml:space="preserve"> 1989 (4) SA 940 (C)</w:t>
      </w:r>
      <w:r w:rsidRPr="0014453D">
        <w:rPr>
          <w:rFonts w:asciiTheme="minorBidi" w:hAnsiTheme="minorBidi" w:cstheme="minorBidi"/>
          <w:lang w:val="en-US"/>
        </w:rPr>
        <w:t xml:space="preserve"> at 957</w:t>
      </w:r>
      <w:r w:rsidR="00425527" w:rsidRPr="0014453D">
        <w:rPr>
          <w:rFonts w:asciiTheme="minorBidi" w:hAnsiTheme="minorBidi" w:cstheme="minorBidi"/>
          <w:lang w:val="en-US"/>
        </w:rPr>
        <w:t>I</w:t>
      </w:r>
      <w:r w:rsidRPr="0014453D">
        <w:rPr>
          <w:rFonts w:asciiTheme="minorBidi" w:hAnsiTheme="minorBidi" w:cstheme="minorBidi"/>
          <w:lang w:val="en-US"/>
        </w:rPr>
        <w:t>-</w:t>
      </w:r>
      <w:r w:rsidR="00425527" w:rsidRPr="0014453D">
        <w:rPr>
          <w:rFonts w:asciiTheme="minorBidi" w:hAnsiTheme="minorBidi" w:cstheme="minorBidi"/>
          <w:lang w:val="en-US"/>
        </w:rPr>
        <w:t>J</w:t>
      </w:r>
      <w:r w:rsidRPr="0014453D">
        <w:rPr>
          <w:rFonts w:asciiTheme="minorBidi" w:hAnsiTheme="minorBidi" w:cstheme="minorBidi"/>
          <w:lang w:val="en-US"/>
        </w:rPr>
        <w:t>.</w:t>
      </w:r>
    </w:p>
  </w:footnote>
  <w:footnote w:id="10">
    <w:p w14:paraId="58653DFA" w14:textId="77777777" w:rsidR="00440567" w:rsidRPr="0014453D" w:rsidRDefault="00440567" w:rsidP="006958E7">
      <w:pPr>
        <w:pStyle w:val="FootnoteText"/>
        <w:jc w:val="both"/>
        <w:rPr>
          <w:rFonts w:asciiTheme="minorBidi" w:hAnsiTheme="minorBidi" w:cstheme="minorBidi"/>
        </w:rPr>
      </w:pPr>
      <w:r w:rsidRPr="0014453D">
        <w:rPr>
          <w:rStyle w:val="FootnoteReference"/>
          <w:rFonts w:asciiTheme="minorBidi" w:hAnsiTheme="minorBidi" w:cstheme="minorBidi"/>
        </w:rPr>
        <w:footnoteRef/>
      </w:r>
      <w:r w:rsidRPr="0014453D">
        <w:rPr>
          <w:rFonts w:asciiTheme="minorBidi" w:hAnsiTheme="minorBidi" w:cstheme="minorBidi"/>
        </w:rPr>
        <w:t xml:space="preserve"> </w:t>
      </w:r>
      <w:r w:rsidR="0019609D" w:rsidRPr="0014453D">
        <w:rPr>
          <w:rFonts w:asciiTheme="minorBidi" w:hAnsiTheme="minorBidi" w:cstheme="minorBidi"/>
          <w:i/>
        </w:rPr>
        <w:t xml:space="preserve">Media 24 (Pty) Ltd v Nhleko </w:t>
      </w:r>
      <w:r w:rsidR="00425527" w:rsidRPr="0014453D">
        <w:rPr>
          <w:rFonts w:asciiTheme="minorBidi" w:hAnsiTheme="minorBidi" w:cstheme="minorBidi"/>
          <w:i/>
        </w:rPr>
        <w:t>and</w:t>
      </w:r>
      <w:r w:rsidR="0019609D" w:rsidRPr="0014453D">
        <w:rPr>
          <w:rFonts w:asciiTheme="minorBidi" w:hAnsiTheme="minorBidi" w:cstheme="minorBidi"/>
          <w:i/>
        </w:rPr>
        <w:t xml:space="preserve"> </w:t>
      </w:r>
      <w:r w:rsidR="00425527" w:rsidRPr="0014453D">
        <w:rPr>
          <w:rFonts w:asciiTheme="minorBidi" w:hAnsiTheme="minorBidi" w:cstheme="minorBidi"/>
          <w:i/>
        </w:rPr>
        <w:t>another</w:t>
      </w:r>
      <w:r w:rsidR="00425527" w:rsidRPr="0014453D">
        <w:rPr>
          <w:rFonts w:asciiTheme="minorBidi" w:hAnsiTheme="minorBidi" w:cstheme="minorBidi"/>
        </w:rPr>
        <w:t xml:space="preserve"> </w:t>
      </w:r>
      <w:r w:rsidR="0019609D" w:rsidRPr="0014453D">
        <w:rPr>
          <w:rFonts w:asciiTheme="minorBidi" w:hAnsiTheme="minorBidi" w:cstheme="minorBidi"/>
        </w:rPr>
        <w:t>[2023] ZASCA 77 para 16.</w:t>
      </w:r>
    </w:p>
  </w:footnote>
  <w:footnote w:id="11">
    <w:p w14:paraId="3F078473" w14:textId="77777777" w:rsidR="00213F21" w:rsidRPr="0014453D" w:rsidRDefault="00213F21" w:rsidP="006958E7">
      <w:pPr>
        <w:jc w:val="both"/>
        <w:rPr>
          <w:rFonts w:asciiTheme="minorBidi" w:hAnsiTheme="minorBidi" w:cstheme="minorBidi"/>
          <w:color w:val="000000" w:themeColor="text1"/>
          <w:sz w:val="20"/>
          <w:szCs w:val="20"/>
          <w:lang w:val="en-US"/>
        </w:rPr>
      </w:pPr>
      <w:r w:rsidRPr="0014453D">
        <w:rPr>
          <w:rStyle w:val="FootnoteReference"/>
          <w:rFonts w:asciiTheme="minorBidi" w:hAnsiTheme="minorBidi" w:cstheme="minorBidi"/>
          <w:color w:val="000000" w:themeColor="text1"/>
          <w:sz w:val="20"/>
          <w:szCs w:val="20"/>
        </w:rPr>
        <w:footnoteRef/>
      </w:r>
      <w:r w:rsidRPr="0014453D">
        <w:rPr>
          <w:rFonts w:asciiTheme="minorBidi" w:hAnsiTheme="minorBidi" w:cstheme="minorBidi"/>
          <w:color w:val="000000" w:themeColor="text1"/>
          <w:sz w:val="20"/>
          <w:szCs w:val="20"/>
        </w:rPr>
        <w:t xml:space="preserve"> </w:t>
      </w:r>
      <w:r w:rsidRPr="0014453D">
        <w:rPr>
          <w:rFonts w:asciiTheme="minorBidi" w:hAnsiTheme="minorBidi" w:cstheme="minorBidi"/>
          <w:i/>
          <w:iCs/>
          <w:color w:val="000000" w:themeColor="text1"/>
          <w:sz w:val="20"/>
          <w:szCs w:val="20"/>
        </w:rPr>
        <w:t>Minister van die S</w:t>
      </w:r>
      <w:r w:rsidR="00106007" w:rsidRPr="0014453D">
        <w:rPr>
          <w:rFonts w:asciiTheme="minorBidi" w:hAnsiTheme="minorBidi" w:cstheme="minorBidi"/>
          <w:i/>
          <w:iCs/>
          <w:color w:val="000000" w:themeColor="text1"/>
          <w:sz w:val="20"/>
          <w:szCs w:val="20"/>
        </w:rPr>
        <w:t>uid-</w:t>
      </w:r>
      <w:r w:rsidRPr="0014453D">
        <w:rPr>
          <w:rFonts w:asciiTheme="minorBidi" w:hAnsiTheme="minorBidi" w:cstheme="minorBidi"/>
          <w:i/>
          <w:iCs/>
          <w:color w:val="000000" w:themeColor="text1"/>
          <w:sz w:val="20"/>
          <w:szCs w:val="20"/>
        </w:rPr>
        <w:t>A</w:t>
      </w:r>
      <w:r w:rsidR="00106007" w:rsidRPr="0014453D">
        <w:rPr>
          <w:rFonts w:asciiTheme="minorBidi" w:hAnsiTheme="minorBidi" w:cstheme="minorBidi"/>
          <w:i/>
          <w:iCs/>
          <w:color w:val="000000" w:themeColor="text1"/>
          <w:sz w:val="20"/>
          <w:szCs w:val="20"/>
        </w:rPr>
        <w:t>frikaanse</w:t>
      </w:r>
      <w:r w:rsidRPr="0014453D">
        <w:rPr>
          <w:rFonts w:asciiTheme="minorBidi" w:hAnsiTheme="minorBidi" w:cstheme="minorBidi"/>
          <w:i/>
          <w:iCs/>
          <w:color w:val="000000" w:themeColor="text1"/>
          <w:sz w:val="20"/>
          <w:szCs w:val="20"/>
        </w:rPr>
        <w:t xml:space="preserve"> Polisie</w:t>
      </w:r>
      <w:r w:rsidR="00106007" w:rsidRPr="0014453D">
        <w:rPr>
          <w:rFonts w:asciiTheme="minorBidi" w:hAnsiTheme="minorBidi" w:cstheme="minorBidi"/>
          <w:i/>
          <w:iCs/>
          <w:color w:val="000000" w:themeColor="text1"/>
          <w:sz w:val="20"/>
          <w:szCs w:val="20"/>
        </w:rPr>
        <w:t xml:space="preserve"> en ‘n ander</w:t>
      </w:r>
      <w:r w:rsidRPr="0014453D">
        <w:rPr>
          <w:rFonts w:asciiTheme="minorBidi" w:hAnsiTheme="minorBidi" w:cstheme="minorBidi"/>
          <w:i/>
          <w:iCs/>
          <w:color w:val="000000" w:themeColor="text1"/>
          <w:sz w:val="20"/>
          <w:szCs w:val="20"/>
        </w:rPr>
        <w:t xml:space="preserve"> v Kraatz</w:t>
      </w:r>
      <w:r w:rsidR="00106007" w:rsidRPr="0014453D">
        <w:rPr>
          <w:rFonts w:asciiTheme="minorBidi" w:hAnsiTheme="minorBidi" w:cstheme="minorBidi"/>
          <w:i/>
          <w:iCs/>
          <w:color w:val="000000" w:themeColor="text1"/>
          <w:sz w:val="20"/>
          <w:szCs w:val="20"/>
        </w:rPr>
        <w:t xml:space="preserve"> en ‘n ander</w:t>
      </w:r>
      <w:r w:rsidRPr="0014453D">
        <w:rPr>
          <w:rStyle w:val="apple-converted-space"/>
          <w:rFonts w:asciiTheme="minorBidi" w:hAnsiTheme="minorBidi" w:cstheme="minorBidi"/>
          <w:color w:val="000000" w:themeColor="text1"/>
          <w:sz w:val="20"/>
          <w:szCs w:val="20"/>
        </w:rPr>
        <w:t> </w:t>
      </w:r>
      <w:hyperlink r:id="rId1" w:tooltip="View LawCiteRecord" w:history="1">
        <w:r w:rsidRPr="0014453D">
          <w:rPr>
            <w:rStyle w:val="Hyperlink"/>
            <w:rFonts w:asciiTheme="minorBidi" w:hAnsiTheme="minorBidi" w:cstheme="minorBidi"/>
            <w:color w:val="000000" w:themeColor="text1"/>
            <w:sz w:val="20"/>
            <w:szCs w:val="20"/>
            <w:u w:val="none"/>
          </w:rPr>
          <w:t>1973 (3) SA 490</w:t>
        </w:r>
      </w:hyperlink>
      <w:r w:rsidRPr="0014453D">
        <w:rPr>
          <w:rStyle w:val="apple-converted-space"/>
          <w:rFonts w:asciiTheme="minorBidi" w:hAnsiTheme="minorBidi" w:cstheme="minorBidi"/>
          <w:color w:val="000000" w:themeColor="text1"/>
          <w:sz w:val="20"/>
          <w:szCs w:val="20"/>
        </w:rPr>
        <w:t> </w:t>
      </w:r>
      <w:r w:rsidRPr="0014453D">
        <w:rPr>
          <w:rFonts w:asciiTheme="minorBidi" w:hAnsiTheme="minorBidi" w:cstheme="minorBidi"/>
          <w:color w:val="000000" w:themeColor="text1"/>
          <w:sz w:val="20"/>
          <w:szCs w:val="20"/>
        </w:rPr>
        <w:t xml:space="preserve">(A) </w:t>
      </w:r>
      <w:r w:rsidR="00106007" w:rsidRPr="0014453D">
        <w:rPr>
          <w:rFonts w:asciiTheme="minorBidi" w:hAnsiTheme="minorBidi" w:cstheme="minorBidi"/>
          <w:color w:val="000000" w:themeColor="text1"/>
          <w:sz w:val="20"/>
          <w:szCs w:val="20"/>
        </w:rPr>
        <w:t xml:space="preserve">at </w:t>
      </w:r>
      <w:r w:rsidRPr="0014453D">
        <w:rPr>
          <w:rFonts w:asciiTheme="minorBidi" w:hAnsiTheme="minorBidi" w:cstheme="minorBidi"/>
          <w:color w:val="000000" w:themeColor="text1"/>
          <w:sz w:val="20"/>
          <w:szCs w:val="20"/>
        </w:rPr>
        <w:t>512E-H;</w:t>
      </w:r>
      <w:r w:rsidRPr="0014453D">
        <w:rPr>
          <w:rStyle w:val="apple-converted-space"/>
          <w:rFonts w:asciiTheme="minorBidi" w:hAnsiTheme="minorBidi" w:cstheme="minorBidi"/>
          <w:color w:val="000000" w:themeColor="text1"/>
          <w:sz w:val="20"/>
          <w:szCs w:val="20"/>
        </w:rPr>
        <w:t> </w:t>
      </w:r>
      <w:r w:rsidRPr="0014453D">
        <w:rPr>
          <w:rFonts w:asciiTheme="minorBidi" w:hAnsiTheme="minorBidi" w:cstheme="minorBidi"/>
          <w:i/>
          <w:iCs/>
          <w:color w:val="000000" w:themeColor="text1"/>
          <w:sz w:val="20"/>
          <w:szCs w:val="20"/>
        </w:rPr>
        <w:t>Gollach &amp; Gomperts (1967) (Pty) Ltd v Universal Mills &amp; Produce Co (Pty) Ltd</w:t>
      </w:r>
      <w:r w:rsidR="00587561" w:rsidRPr="0014453D">
        <w:rPr>
          <w:rFonts w:asciiTheme="minorBidi" w:hAnsiTheme="minorBidi" w:cstheme="minorBidi"/>
          <w:i/>
          <w:iCs/>
          <w:color w:val="000000" w:themeColor="text1"/>
          <w:sz w:val="20"/>
          <w:szCs w:val="20"/>
        </w:rPr>
        <w:t xml:space="preserve"> and others</w:t>
      </w:r>
      <w:r w:rsidRPr="0014453D">
        <w:rPr>
          <w:rStyle w:val="apple-converted-space"/>
          <w:rFonts w:asciiTheme="minorBidi" w:hAnsiTheme="minorBidi" w:cstheme="minorBidi"/>
          <w:color w:val="000000" w:themeColor="text1"/>
          <w:sz w:val="20"/>
          <w:szCs w:val="20"/>
        </w:rPr>
        <w:t> </w:t>
      </w:r>
      <w:hyperlink r:id="rId2" w:tooltip="View LawCiteRecord" w:history="1">
        <w:r w:rsidRPr="0014453D">
          <w:rPr>
            <w:rStyle w:val="Hyperlink"/>
            <w:rFonts w:asciiTheme="minorBidi" w:hAnsiTheme="minorBidi" w:cstheme="minorBidi"/>
            <w:color w:val="000000" w:themeColor="text1"/>
            <w:sz w:val="20"/>
            <w:szCs w:val="20"/>
            <w:u w:val="none"/>
          </w:rPr>
          <w:t>1978 (1) SA 914</w:t>
        </w:r>
      </w:hyperlink>
      <w:r w:rsidRPr="0014453D">
        <w:rPr>
          <w:rStyle w:val="apple-converted-space"/>
          <w:rFonts w:asciiTheme="minorBidi" w:hAnsiTheme="minorBidi" w:cstheme="minorBidi"/>
          <w:color w:val="000000" w:themeColor="text1"/>
          <w:sz w:val="20"/>
          <w:szCs w:val="20"/>
        </w:rPr>
        <w:t> </w:t>
      </w:r>
      <w:r w:rsidRPr="0014453D">
        <w:rPr>
          <w:rFonts w:asciiTheme="minorBidi" w:hAnsiTheme="minorBidi" w:cstheme="minorBidi"/>
          <w:color w:val="000000" w:themeColor="text1"/>
          <w:sz w:val="20"/>
          <w:szCs w:val="20"/>
        </w:rPr>
        <w:t xml:space="preserve">(A) </w:t>
      </w:r>
      <w:r w:rsidR="00587561" w:rsidRPr="0014453D">
        <w:rPr>
          <w:rFonts w:asciiTheme="minorBidi" w:hAnsiTheme="minorBidi" w:cstheme="minorBidi"/>
          <w:color w:val="000000" w:themeColor="text1"/>
          <w:sz w:val="20"/>
          <w:szCs w:val="20"/>
        </w:rPr>
        <w:t xml:space="preserve">and </w:t>
      </w:r>
      <w:r w:rsidRPr="0014453D">
        <w:rPr>
          <w:rFonts w:asciiTheme="minorBidi" w:hAnsiTheme="minorBidi" w:cstheme="minorBidi"/>
          <w:color w:val="000000" w:themeColor="text1"/>
          <w:sz w:val="20"/>
          <w:szCs w:val="20"/>
        </w:rPr>
        <w:t>928D.</w:t>
      </w:r>
    </w:p>
  </w:footnote>
  <w:footnote w:id="12">
    <w:p w14:paraId="1E710772" w14:textId="77777777" w:rsidR="00C33588" w:rsidRPr="0014453D" w:rsidRDefault="00C33588" w:rsidP="006958E7">
      <w:pPr>
        <w:pStyle w:val="FootnoteText"/>
        <w:jc w:val="both"/>
        <w:rPr>
          <w:rFonts w:asciiTheme="minorBidi" w:hAnsiTheme="minorBidi" w:cstheme="minorBidi"/>
          <w:lang w:val="en-US"/>
        </w:rPr>
      </w:pPr>
      <w:r w:rsidRPr="0014453D">
        <w:rPr>
          <w:rStyle w:val="FootnoteReference"/>
          <w:rFonts w:asciiTheme="minorBidi" w:hAnsiTheme="minorBidi" w:cstheme="minorBidi"/>
        </w:rPr>
        <w:footnoteRef/>
      </w:r>
      <w:r w:rsidRPr="0014453D">
        <w:rPr>
          <w:rFonts w:asciiTheme="minorBidi" w:hAnsiTheme="minorBidi" w:cstheme="minorBidi"/>
        </w:rPr>
        <w:t xml:space="preserve"> </w:t>
      </w:r>
      <w:r w:rsidR="00C43BCE" w:rsidRPr="0014453D">
        <w:rPr>
          <w:rFonts w:asciiTheme="minorBidi" w:hAnsiTheme="minorBidi" w:cstheme="minorBidi"/>
          <w:i/>
          <w:iCs/>
        </w:rPr>
        <w:t xml:space="preserve">Randa v Radopile Projects CC </w:t>
      </w:r>
      <w:r w:rsidR="00C43BCE" w:rsidRPr="0014453D">
        <w:rPr>
          <w:rFonts w:asciiTheme="minorBidi" w:hAnsiTheme="minorBidi" w:cstheme="minorBidi"/>
        </w:rPr>
        <w:t>2012 (6) SA 128 (GSJ)</w:t>
      </w:r>
      <w:r w:rsidRPr="0014453D">
        <w:rPr>
          <w:rFonts w:asciiTheme="minorBidi" w:hAnsiTheme="minorBidi" w:cstheme="minorBidi"/>
          <w:lang w:val="en-US"/>
        </w:rPr>
        <w:t xml:space="preserve"> para 4.</w:t>
      </w:r>
    </w:p>
  </w:footnote>
  <w:footnote w:id="13">
    <w:p w14:paraId="713767D1" w14:textId="0BF7327B" w:rsidR="00917AB9" w:rsidRPr="00917AB9" w:rsidRDefault="00917AB9" w:rsidP="00917AB9">
      <w:pPr>
        <w:pStyle w:val="FootnoteText"/>
        <w:jc w:val="both"/>
        <w:rPr>
          <w:rFonts w:asciiTheme="minorBidi" w:hAnsiTheme="minorBidi" w:cstheme="minorBidi"/>
          <w:lang w:val="en-US"/>
        </w:rPr>
      </w:pPr>
      <w:r w:rsidRPr="00917AB9">
        <w:rPr>
          <w:rStyle w:val="FootnoteReference"/>
          <w:rFonts w:asciiTheme="minorBidi" w:hAnsiTheme="minorBidi" w:cstheme="minorBidi"/>
        </w:rPr>
        <w:footnoteRef/>
      </w:r>
      <w:r w:rsidRPr="00917AB9">
        <w:rPr>
          <w:rFonts w:asciiTheme="minorBidi" w:hAnsiTheme="minorBidi" w:cstheme="minorBidi"/>
        </w:rPr>
        <w:t xml:space="preserve"> </w:t>
      </w:r>
      <w:r w:rsidRPr="00917AB9">
        <w:rPr>
          <w:rFonts w:asciiTheme="minorBidi" w:hAnsiTheme="minorBidi" w:cstheme="minorBidi"/>
          <w:lang w:val="en-US"/>
        </w:rPr>
        <w:t xml:space="preserve">The </w:t>
      </w:r>
      <w:r w:rsidR="00617D81">
        <w:rPr>
          <w:rFonts w:asciiTheme="minorBidi" w:hAnsiTheme="minorBidi" w:cstheme="minorBidi"/>
          <w:lang w:val="en-US"/>
        </w:rPr>
        <w:t xml:space="preserve">reference to the minor child in square brackets has been inserted </w:t>
      </w:r>
      <w:r w:rsidR="0014453D">
        <w:rPr>
          <w:rFonts w:asciiTheme="minorBidi" w:hAnsiTheme="minorBidi" w:cstheme="minorBidi"/>
          <w:lang w:val="en-US"/>
        </w:rPr>
        <w:t>in</w:t>
      </w:r>
      <w:r w:rsidR="00617D81">
        <w:rPr>
          <w:rFonts w:asciiTheme="minorBidi" w:hAnsiTheme="minorBidi" w:cstheme="minorBidi"/>
          <w:lang w:val="en-US"/>
        </w:rPr>
        <w:t>to</w:t>
      </w:r>
      <w:r w:rsidR="0014453D">
        <w:rPr>
          <w:rFonts w:asciiTheme="minorBidi" w:hAnsiTheme="minorBidi" w:cstheme="minorBidi"/>
          <w:lang w:val="en-US"/>
        </w:rPr>
        <w:t xml:space="preserve"> the contentious paragraphs to</w:t>
      </w:r>
      <w:r w:rsidR="00617D81">
        <w:rPr>
          <w:rFonts w:asciiTheme="minorBidi" w:hAnsiTheme="minorBidi" w:cstheme="minorBidi"/>
          <w:lang w:val="en-US"/>
        </w:rPr>
        <w:t xml:space="preserve"> anonymize his identity. The further </w:t>
      </w:r>
      <w:r w:rsidRPr="00917AB9">
        <w:rPr>
          <w:rFonts w:asciiTheme="minorBidi" w:hAnsiTheme="minorBidi" w:cstheme="minorBidi"/>
          <w:lang w:val="en-US"/>
        </w:rPr>
        <w:t xml:space="preserve">word and punctuation </w:t>
      </w:r>
      <w:r w:rsidR="00382F4A">
        <w:rPr>
          <w:rFonts w:asciiTheme="minorBidi" w:hAnsiTheme="minorBidi" w:cstheme="minorBidi"/>
          <w:lang w:val="en-US"/>
        </w:rPr>
        <w:t xml:space="preserve">mark </w:t>
      </w:r>
      <w:r w:rsidRPr="00917AB9">
        <w:rPr>
          <w:rFonts w:asciiTheme="minorBidi" w:hAnsiTheme="minorBidi" w:cstheme="minorBidi"/>
          <w:lang w:val="en-US"/>
        </w:rPr>
        <w:t>appearing in square brackets are missing from the proposed amendment but need to be inserted to allow the proposed amendment its proper meaning.</w:t>
      </w:r>
      <w:r>
        <w:rPr>
          <w:rFonts w:asciiTheme="minorBidi" w:hAnsiTheme="minorBidi" w:cstheme="minorBidi"/>
          <w:lang w:val="en-US"/>
        </w:rPr>
        <w:t xml:space="preserve"> This appears to be common cause.</w:t>
      </w:r>
    </w:p>
  </w:footnote>
  <w:footnote w:id="14">
    <w:p w14:paraId="7596C119" w14:textId="77777777" w:rsidR="00531547" w:rsidRPr="0024587C" w:rsidRDefault="00531547" w:rsidP="00B0214F">
      <w:pPr>
        <w:pStyle w:val="Heading2"/>
        <w:shd w:val="clear" w:color="auto" w:fill="FFFFFF"/>
        <w:spacing w:before="0" w:beforeAutospacing="0" w:after="0" w:afterAutospacing="0"/>
        <w:jc w:val="both"/>
        <w:rPr>
          <w:rFonts w:asciiTheme="minorBidi" w:hAnsiTheme="minorBidi" w:cstheme="minorBidi"/>
          <w:b w:val="0"/>
          <w:bCs w:val="0"/>
          <w:color w:val="000000" w:themeColor="text1"/>
          <w:sz w:val="20"/>
          <w:szCs w:val="20"/>
          <w:lang w:val="en-GB" w:bidi="ar-SA"/>
        </w:rPr>
      </w:pPr>
      <w:r w:rsidRPr="0024587C">
        <w:rPr>
          <w:rStyle w:val="FootnoteReference"/>
          <w:rFonts w:asciiTheme="minorBidi" w:hAnsiTheme="minorBidi" w:cstheme="minorBidi"/>
          <w:b w:val="0"/>
          <w:color w:val="000000" w:themeColor="text1"/>
          <w:sz w:val="20"/>
          <w:szCs w:val="20"/>
        </w:rPr>
        <w:footnoteRef/>
      </w:r>
      <w:r w:rsidRPr="0024587C">
        <w:rPr>
          <w:rFonts w:asciiTheme="minorBidi" w:hAnsiTheme="minorBidi" w:cstheme="minorBidi"/>
          <w:b w:val="0"/>
          <w:color w:val="000000" w:themeColor="text1"/>
          <w:sz w:val="20"/>
          <w:szCs w:val="20"/>
        </w:rPr>
        <w:t xml:space="preserve"> </w:t>
      </w:r>
      <w:r w:rsidRPr="0024587C">
        <w:rPr>
          <w:rFonts w:asciiTheme="minorBidi" w:hAnsiTheme="minorBidi" w:cstheme="minorBidi"/>
          <w:b w:val="0"/>
          <w:bCs w:val="0"/>
          <w:i/>
          <w:color w:val="000000" w:themeColor="text1"/>
          <w:sz w:val="20"/>
          <w:szCs w:val="20"/>
          <w:lang w:val="en-GB" w:bidi="ar-SA"/>
        </w:rPr>
        <w:t>Media 24 (Pty) Ltd v Nhleko and Another</w:t>
      </w:r>
      <w:r w:rsidRPr="0024587C">
        <w:rPr>
          <w:rFonts w:asciiTheme="minorBidi" w:hAnsiTheme="minorBidi" w:cstheme="minorBidi"/>
          <w:b w:val="0"/>
          <w:bCs w:val="0"/>
          <w:color w:val="000000" w:themeColor="text1"/>
          <w:sz w:val="20"/>
          <w:szCs w:val="20"/>
          <w:lang w:val="en-GB" w:bidi="ar-SA"/>
        </w:rPr>
        <w:t xml:space="preserve"> [2023] ZASCA 77 para 18.</w:t>
      </w:r>
    </w:p>
  </w:footnote>
  <w:footnote w:id="15">
    <w:p w14:paraId="337AC5CF" w14:textId="77777777" w:rsidR="00B0214F" w:rsidRPr="0024587C" w:rsidRDefault="00B0214F" w:rsidP="00B0214F">
      <w:pPr>
        <w:pStyle w:val="FootnoteText"/>
        <w:jc w:val="both"/>
        <w:rPr>
          <w:rFonts w:asciiTheme="minorBidi" w:hAnsiTheme="minorBidi" w:cstheme="minorBidi"/>
          <w:color w:val="000000" w:themeColor="text1"/>
          <w:lang w:val="en-US"/>
        </w:rPr>
      </w:pPr>
      <w:r w:rsidRPr="0024587C">
        <w:rPr>
          <w:rStyle w:val="FootnoteReference"/>
          <w:rFonts w:asciiTheme="minorBidi" w:hAnsiTheme="minorBidi" w:cstheme="minorBidi"/>
          <w:color w:val="000000" w:themeColor="text1"/>
        </w:rPr>
        <w:footnoteRef/>
      </w:r>
      <w:r w:rsidRPr="0024587C">
        <w:rPr>
          <w:rFonts w:asciiTheme="minorBidi" w:hAnsiTheme="minorBidi" w:cstheme="minorBidi"/>
          <w:color w:val="000000" w:themeColor="text1"/>
        </w:rPr>
        <w:t xml:space="preserve"> </w:t>
      </w:r>
      <w:r w:rsidRPr="0024587C">
        <w:rPr>
          <w:rFonts w:asciiTheme="minorBidi" w:hAnsiTheme="minorBidi" w:cstheme="minorBidi"/>
          <w:color w:val="000000" w:themeColor="text1"/>
          <w:lang w:val="en-US"/>
        </w:rPr>
        <w:t>At sub-paragraph 9.3 thereof.</w:t>
      </w:r>
    </w:p>
  </w:footnote>
  <w:footnote w:id="16">
    <w:p w14:paraId="08035511" w14:textId="77777777" w:rsidR="008A3CB6" w:rsidRPr="0082515F" w:rsidRDefault="008A3CB6" w:rsidP="0082515F">
      <w:pPr>
        <w:pStyle w:val="FootnoteText"/>
        <w:jc w:val="both"/>
        <w:rPr>
          <w:rFonts w:asciiTheme="minorBidi" w:hAnsiTheme="minorBidi" w:cstheme="minorBidi"/>
        </w:rPr>
      </w:pPr>
      <w:r w:rsidRPr="0082515F">
        <w:rPr>
          <w:rStyle w:val="FootnoteReference"/>
          <w:rFonts w:asciiTheme="minorBidi" w:hAnsiTheme="minorBidi" w:cstheme="minorBidi"/>
        </w:rPr>
        <w:footnoteRef/>
      </w:r>
      <w:r w:rsidRPr="0082515F">
        <w:rPr>
          <w:rFonts w:asciiTheme="minorBidi" w:hAnsiTheme="minorBidi" w:cstheme="minorBidi"/>
        </w:rPr>
        <w:t xml:space="preserve"> </w:t>
      </w:r>
      <w:r w:rsidRPr="0082515F">
        <w:rPr>
          <w:rFonts w:asciiTheme="minorBidi" w:hAnsiTheme="minorBidi" w:cstheme="minorBidi"/>
          <w:i/>
          <w:iCs/>
        </w:rPr>
        <w:t>Benjamin v Sobac South African Building and Construction (Pty) Ltd</w:t>
      </w:r>
      <w:r w:rsidRPr="0082515F">
        <w:rPr>
          <w:rFonts w:asciiTheme="minorBidi" w:hAnsiTheme="minorBidi" w:cstheme="minorBidi"/>
        </w:rPr>
        <w:t xml:space="preserve"> 1989 (4) SA 940 (C) at 958A-E.</w:t>
      </w:r>
    </w:p>
  </w:footnote>
  <w:footnote w:id="17">
    <w:p w14:paraId="28A41C22" w14:textId="398C993C" w:rsidR="00F218AD" w:rsidRPr="0082515F" w:rsidRDefault="00F218AD" w:rsidP="0082515F">
      <w:pPr>
        <w:pStyle w:val="FootnoteText"/>
        <w:jc w:val="both"/>
        <w:rPr>
          <w:rFonts w:asciiTheme="minorBidi" w:hAnsiTheme="minorBidi" w:cstheme="minorBidi"/>
          <w:lang w:val="en-US"/>
        </w:rPr>
      </w:pPr>
      <w:r w:rsidRPr="0082515F">
        <w:rPr>
          <w:rStyle w:val="FootnoteReference"/>
          <w:rFonts w:asciiTheme="minorBidi" w:hAnsiTheme="minorBidi" w:cstheme="minorBidi"/>
        </w:rPr>
        <w:footnoteRef/>
      </w:r>
      <w:r w:rsidRPr="0082515F">
        <w:rPr>
          <w:rFonts w:asciiTheme="minorBidi" w:hAnsiTheme="minorBidi" w:cstheme="minorBidi"/>
        </w:rPr>
        <w:t xml:space="preserve"> </w:t>
      </w:r>
      <w:r w:rsidRPr="0082515F">
        <w:rPr>
          <w:rFonts w:asciiTheme="minorBidi" w:hAnsiTheme="minorBidi" w:cstheme="minorBidi"/>
          <w:i/>
          <w:iCs/>
          <w:lang w:val="en-US"/>
        </w:rPr>
        <w:t>Krogman v Van Reenen</w:t>
      </w:r>
      <w:r w:rsidRPr="0082515F">
        <w:rPr>
          <w:rFonts w:asciiTheme="minorBidi" w:hAnsiTheme="minorBidi" w:cstheme="minorBidi"/>
          <w:lang w:val="en-US"/>
        </w:rPr>
        <w:t xml:space="preserve"> 1926 OPD 191 at 194-195.</w:t>
      </w:r>
    </w:p>
  </w:footnote>
  <w:footnote w:id="18">
    <w:p w14:paraId="6530F9B3" w14:textId="60F9B872" w:rsidR="0082515F" w:rsidRPr="0082515F" w:rsidRDefault="0082515F" w:rsidP="0082515F">
      <w:pPr>
        <w:pStyle w:val="FootnoteText"/>
        <w:jc w:val="both"/>
        <w:rPr>
          <w:rFonts w:asciiTheme="minorBidi" w:hAnsiTheme="minorBidi" w:cstheme="minorBidi"/>
          <w:lang w:val="en-US"/>
        </w:rPr>
      </w:pPr>
      <w:r w:rsidRPr="0082515F">
        <w:rPr>
          <w:rStyle w:val="FootnoteReference"/>
          <w:rFonts w:asciiTheme="minorBidi" w:hAnsiTheme="minorBidi" w:cstheme="minorBidi"/>
        </w:rPr>
        <w:footnoteRef/>
      </w:r>
      <w:r w:rsidRPr="0082515F">
        <w:rPr>
          <w:rFonts w:asciiTheme="minorBidi" w:hAnsiTheme="minorBidi" w:cstheme="minorBidi"/>
        </w:rPr>
        <w:t xml:space="preserve"> </w:t>
      </w:r>
      <w:r w:rsidRPr="0082515F">
        <w:rPr>
          <w:rFonts w:asciiTheme="minorBidi" w:hAnsiTheme="minorBidi" w:cstheme="minorBidi"/>
          <w:i/>
          <w:iCs/>
          <w:lang w:val="en-US"/>
        </w:rPr>
        <w:t>Bankorp Limited v Anderson-Morshead</w:t>
      </w:r>
      <w:r w:rsidRPr="0082515F">
        <w:rPr>
          <w:rFonts w:asciiTheme="minorBidi" w:hAnsiTheme="minorBidi" w:cstheme="minorBidi"/>
          <w:lang w:val="en-US"/>
        </w:rPr>
        <w:t xml:space="preserve"> 1997 (1) SA 251 (W) 253E-F.</w:t>
      </w:r>
    </w:p>
  </w:footnote>
  <w:footnote w:id="19">
    <w:p w14:paraId="02E32FDE" w14:textId="77777777" w:rsidR="00864D32" w:rsidRPr="00864D32" w:rsidRDefault="00864D32" w:rsidP="00864D32">
      <w:pPr>
        <w:autoSpaceDE w:val="0"/>
        <w:autoSpaceDN w:val="0"/>
        <w:adjustRightInd w:val="0"/>
        <w:jc w:val="both"/>
        <w:rPr>
          <w:rFonts w:ascii="Arial" w:eastAsiaTheme="minorHAnsi" w:hAnsi="Arial" w:cs="Arial"/>
          <w:sz w:val="20"/>
          <w:szCs w:val="20"/>
          <w:lang w:val="en-GB" w:eastAsia="en-US" w:bidi="ar-SA"/>
        </w:rPr>
      </w:pPr>
      <w:r w:rsidRPr="00864D32">
        <w:rPr>
          <w:rStyle w:val="FootnoteReference"/>
          <w:rFonts w:ascii="Arial" w:hAnsi="Arial" w:cs="Arial"/>
          <w:sz w:val="20"/>
          <w:szCs w:val="20"/>
        </w:rPr>
        <w:footnoteRef/>
      </w:r>
      <w:r w:rsidRPr="00864D32">
        <w:rPr>
          <w:rFonts w:ascii="Arial" w:hAnsi="Arial" w:cs="Arial"/>
          <w:sz w:val="20"/>
          <w:szCs w:val="20"/>
        </w:rPr>
        <w:t xml:space="preserve"> That portion of Rule 28 reads:</w:t>
      </w:r>
      <w:r w:rsidRPr="00864D32">
        <w:rPr>
          <w:rFonts w:ascii="Arial" w:eastAsiaTheme="minorHAnsi" w:hAnsi="Arial" w:cs="Arial"/>
          <w:sz w:val="20"/>
          <w:szCs w:val="20"/>
          <w:lang w:val="en-GB" w:eastAsia="en-US" w:bidi="ar-SA"/>
        </w:rPr>
        <w:t xml:space="preserve"> </w:t>
      </w:r>
      <w:r>
        <w:rPr>
          <w:rFonts w:ascii="Arial" w:eastAsiaTheme="minorHAnsi" w:hAnsi="Arial" w:cs="Arial"/>
          <w:sz w:val="20"/>
          <w:szCs w:val="20"/>
          <w:lang w:val="en-GB" w:eastAsia="en-US" w:bidi="ar-SA"/>
        </w:rPr>
        <w:t>‘</w:t>
      </w:r>
      <w:r w:rsidRPr="00864D32">
        <w:rPr>
          <w:rFonts w:ascii="Arial" w:eastAsiaTheme="minorHAnsi" w:hAnsi="Arial" w:cs="Arial"/>
          <w:sz w:val="20"/>
          <w:szCs w:val="20"/>
          <w:lang w:val="en-GB" w:eastAsia="en-US" w:bidi="ar-SA"/>
        </w:rPr>
        <w:t>(9) A party giving notice of amendment in terms of subrule (1) shall, unless the court otherwise directs, be liable for the costs thereby</w:t>
      </w:r>
      <w:r>
        <w:rPr>
          <w:rFonts w:ascii="Arial" w:eastAsiaTheme="minorHAnsi" w:hAnsi="Arial" w:cs="Arial"/>
          <w:sz w:val="20"/>
          <w:szCs w:val="20"/>
          <w:lang w:val="en-GB" w:eastAsia="en-US" w:bidi="ar-SA"/>
        </w:rPr>
        <w:t xml:space="preserve"> </w:t>
      </w:r>
      <w:r w:rsidRPr="00864D32">
        <w:rPr>
          <w:rFonts w:ascii="Arial" w:eastAsiaTheme="minorHAnsi" w:hAnsi="Arial" w:cs="Arial"/>
          <w:sz w:val="20"/>
          <w:szCs w:val="20"/>
          <w:lang w:val="en-GB" w:eastAsia="en-US" w:bidi="ar-SA"/>
        </w:rPr>
        <w:t>occasioned to any other party.</w:t>
      </w:r>
      <w:r>
        <w:rPr>
          <w:rFonts w:ascii="Arial" w:eastAsiaTheme="minorHAnsi" w:hAnsi="Arial" w:cs="Arial"/>
          <w:sz w:val="20"/>
          <w:szCs w:val="20"/>
          <w:lang w:val="en-GB" w:eastAsia="en-US" w:bidi="ar-SA"/>
        </w:rPr>
        <w:t>’</w:t>
      </w:r>
    </w:p>
    <w:p w14:paraId="60AFFE16" w14:textId="77777777" w:rsidR="00864D32" w:rsidRPr="00864D32" w:rsidRDefault="00864D32" w:rsidP="00864D32">
      <w:pPr>
        <w:pStyle w:val="FootnoteText"/>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699257"/>
      <w:docPartObj>
        <w:docPartGallery w:val="Page Numbers (Top of Page)"/>
        <w:docPartUnique/>
      </w:docPartObj>
    </w:sdtPr>
    <w:sdtEndPr>
      <w:rPr>
        <w:noProof/>
      </w:rPr>
    </w:sdtEndPr>
    <w:sdtContent>
      <w:p w14:paraId="4192FE7C" w14:textId="49B7D6F2" w:rsidR="0044558B" w:rsidRDefault="0044558B">
        <w:pPr>
          <w:pStyle w:val="Header"/>
          <w:jc w:val="right"/>
        </w:pPr>
        <w:r w:rsidRPr="0044558B">
          <w:rPr>
            <w:rFonts w:ascii="Arial" w:hAnsi="Arial" w:cs="Arial"/>
          </w:rPr>
          <w:fldChar w:fldCharType="begin"/>
        </w:r>
        <w:r w:rsidRPr="0044558B">
          <w:rPr>
            <w:rFonts w:ascii="Arial" w:hAnsi="Arial" w:cs="Arial"/>
          </w:rPr>
          <w:instrText xml:space="preserve"> PAGE   \* MERGEFORMAT </w:instrText>
        </w:r>
        <w:r w:rsidRPr="0044558B">
          <w:rPr>
            <w:rFonts w:ascii="Arial" w:hAnsi="Arial" w:cs="Arial"/>
          </w:rPr>
          <w:fldChar w:fldCharType="separate"/>
        </w:r>
        <w:r w:rsidR="00DF5DDD">
          <w:rPr>
            <w:rFonts w:ascii="Arial" w:hAnsi="Arial" w:cs="Arial"/>
            <w:noProof/>
          </w:rPr>
          <w:t>12</w:t>
        </w:r>
        <w:r w:rsidRPr="0044558B">
          <w:rPr>
            <w:rFonts w:ascii="Arial" w:hAnsi="Arial" w:cs="Arial"/>
            <w:noProof/>
          </w:rPr>
          <w:fldChar w:fldCharType="end"/>
        </w:r>
      </w:p>
    </w:sdtContent>
  </w:sdt>
  <w:p w14:paraId="3F39BCE7" w14:textId="77777777" w:rsidR="0044558B" w:rsidRDefault="004455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67D39"/>
    <w:multiLevelType w:val="hybridMultilevel"/>
    <w:tmpl w:val="C12A139C"/>
    <w:lvl w:ilvl="0" w:tplc="A308190C">
      <w:start w:val="1"/>
      <w:numFmt w:val="decimal"/>
      <w:lvlText w:val="%1."/>
      <w:lvlJc w:val="left"/>
      <w:pPr>
        <w:ind w:left="7448" w:hanging="360"/>
      </w:pPr>
      <w:rPr>
        <w:rFonts w:hint="default"/>
      </w:rPr>
    </w:lvl>
    <w:lvl w:ilvl="1" w:tplc="08090019" w:tentative="1">
      <w:start w:val="1"/>
      <w:numFmt w:val="lowerLetter"/>
      <w:lvlText w:val="%2."/>
      <w:lvlJc w:val="left"/>
      <w:pPr>
        <w:ind w:left="8168" w:hanging="360"/>
      </w:pPr>
    </w:lvl>
    <w:lvl w:ilvl="2" w:tplc="0809001B" w:tentative="1">
      <w:start w:val="1"/>
      <w:numFmt w:val="lowerRoman"/>
      <w:lvlText w:val="%3."/>
      <w:lvlJc w:val="right"/>
      <w:pPr>
        <w:ind w:left="8888" w:hanging="180"/>
      </w:pPr>
    </w:lvl>
    <w:lvl w:ilvl="3" w:tplc="0809000F" w:tentative="1">
      <w:start w:val="1"/>
      <w:numFmt w:val="decimal"/>
      <w:lvlText w:val="%4."/>
      <w:lvlJc w:val="left"/>
      <w:pPr>
        <w:ind w:left="9608" w:hanging="360"/>
      </w:pPr>
    </w:lvl>
    <w:lvl w:ilvl="4" w:tplc="08090019" w:tentative="1">
      <w:start w:val="1"/>
      <w:numFmt w:val="lowerLetter"/>
      <w:lvlText w:val="%5."/>
      <w:lvlJc w:val="left"/>
      <w:pPr>
        <w:ind w:left="10328" w:hanging="360"/>
      </w:pPr>
    </w:lvl>
    <w:lvl w:ilvl="5" w:tplc="0809001B" w:tentative="1">
      <w:start w:val="1"/>
      <w:numFmt w:val="lowerRoman"/>
      <w:lvlText w:val="%6."/>
      <w:lvlJc w:val="right"/>
      <w:pPr>
        <w:ind w:left="11048" w:hanging="180"/>
      </w:pPr>
    </w:lvl>
    <w:lvl w:ilvl="6" w:tplc="0809000F" w:tentative="1">
      <w:start w:val="1"/>
      <w:numFmt w:val="decimal"/>
      <w:lvlText w:val="%7."/>
      <w:lvlJc w:val="left"/>
      <w:pPr>
        <w:ind w:left="11768" w:hanging="360"/>
      </w:pPr>
    </w:lvl>
    <w:lvl w:ilvl="7" w:tplc="08090019" w:tentative="1">
      <w:start w:val="1"/>
      <w:numFmt w:val="lowerLetter"/>
      <w:lvlText w:val="%8."/>
      <w:lvlJc w:val="left"/>
      <w:pPr>
        <w:ind w:left="12488" w:hanging="360"/>
      </w:pPr>
    </w:lvl>
    <w:lvl w:ilvl="8" w:tplc="0809001B" w:tentative="1">
      <w:start w:val="1"/>
      <w:numFmt w:val="lowerRoman"/>
      <w:lvlText w:val="%9."/>
      <w:lvlJc w:val="right"/>
      <w:pPr>
        <w:ind w:left="13208" w:hanging="180"/>
      </w:pPr>
    </w:lvl>
  </w:abstractNum>
  <w:abstractNum w:abstractNumId="2" w15:restartNumberingAfterBreak="0">
    <w:nsid w:val="074B02AB"/>
    <w:multiLevelType w:val="hybridMultilevel"/>
    <w:tmpl w:val="83E8C72A"/>
    <w:lvl w:ilvl="0" w:tplc="E1225E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81591"/>
    <w:multiLevelType w:val="hybridMultilevel"/>
    <w:tmpl w:val="2A020F2A"/>
    <w:lvl w:ilvl="0" w:tplc="EC5ACF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9F0BB0"/>
    <w:multiLevelType w:val="hybridMultilevel"/>
    <w:tmpl w:val="B218D21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FA5865"/>
    <w:multiLevelType w:val="hybridMultilevel"/>
    <w:tmpl w:val="81B0B0B8"/>
    <w:lvl w:ilvl="0" w:tplc="E1A873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92E11"/>
    <w:multiLevelType w:val="hybridMultilevel"/>
    <w:tmpl w:val="B3E6EC10"/>
    <w:lvl w:ilvl="0" w:tplc="FFFFFFFF">
      <w:start w:val="1"/>
      <w:numFmt w:val="decimal"/>
      <w:lvlText w:val="[%1]"/>
      <w:lvlJc w:val="left"/>
      <w:pPr>
        <w:ind w:left="720" w:hanging="360"/>
      </w:pPr>
      <w:rPr>
        <w:rFonts w:ascii="Arial" w:hAnsi="Arial" w:cs="Arial" w:hint="default"/>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7B7AE9"/>
    <w:multiLevelType w:val="hybridMultilevel"/>
    <w:tmpl w:val="BD086ED0"/>
    <w:lvl w:ilvl="0" w:tplc="975E8D62">
      <w:start w:val="1"/>
      <w:numFmt w:val="decimal"/>
      <w:lvlText w:val="[%1]"/>
      <w:lvlJc w:val="left"/>
      <w:pPr>
        <w:ind w:left="720"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271FB8"/>
    <w:multiLevelType w:val="hybridMultilevel"/>
    <w:tmpl w:val="B93CAB76"/>
    <w:lvl w:ilvl="0" w:tplc="47CE02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FB730F"/>
    <w:multiLevelType w:val="hybridMultilevel"/>
    <w:tmpl w:val="85CC60EE"/>
    <w:lvl w:ilvl="0" w:tplc="B5B08E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251488"/>
    <w:multiLevelType w:val="hybridMultilevel"/>
    <w:tmpl w:val="1D049204"/>
    <w:lvl w:ilvl="0" w:tplc="95C29E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B757AE"/>
    <w:multiLevelType w:val="multilevel"/>
    <w:tmpl w:val="09BA8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5747C3"/>
    <w:multiLevelType w:val="hybridMultilevel"/>
    <w:tmpl w:val="8382BC72"/>
    <w:lvl w:ilvl="0" w:tplc="C778ED6C">
      <w:start w:val="1"/>
      <w:numFmt w:val="decimal"/>
      <w:lvlText w:val="[%1]"/>
      <w:lvlJc w:val="left"/>
      <w:pPr>
        <w:ind w:left="720" w:hanging="360"/>
      </w:pPr>
      <w:rPr>
        <w:rFonts w:ascii="Arial" w:hAnsi="Arial" w:cs="Arial" w:hint="default"/>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441E28"/>
    <w:multiLevelType w:val="hybridMultilevel"/>
    <w:tmpl w:val="AFBAFA2E"/>
    <w:lvl w:ilvl="0" w:tplc="62302D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140EC0"/>
    <w:multiLevelType w:val="hybridMultilevel"/>
    <w:tmpl w:val="B6D23956"/>
    <w:lvl w:ilvl="0" w:tplc="AD006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13"/>
  </w:num>
  <w:num w:numId="4">
    <w:abstractNumId w:val="8"/>
  </w:num>
  <w:num w:numId="5">
    <w:abstractNumId w:val="0"/>
  </w:num>
  <w:num w:numId="6">
    <w:abstractNumId w:val="11"/>
  </w:num>
  <w:num w:numId="7">
    <w:abstractNumId w:val="14"/>
  </w:num>
  <w:num w:numId="8">
    <w:abstractNumId w:val="12"/>
  </w:num>
  <w:num w:numId="9">
    <w:abstractNumId w:val="2"/>
  </w:num>
  <w:num w:numId="10">
    <w:abstractNumId w:val="9"/>
  </w:num>
  <w:num w:numId="11">
    <w:abstractNumId w:val="6"/>
  </w:num>
  <w:num w:numId="12">
    <w:abstractNumId w:val="5"/>
  </w:num>
  <w:num w:numId="13">
    <w:abstractNumId w:val="10"/>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8B"/>
    <w:rsid w:val="00000FEA"/>
    <w:rsid w:val="00002CD9"/>
    <w:rsid w:val="0002789B"/>
    <w:rsid w:val="000515D4"/>
    <w:rsid w:val="000651C4"/>
    <w:rsid w:val="000738E4"/>
    <w:rsid w:val="00077BD6"/>
    <w:rsid w:val="000A6CB5"/>
    <w:rsid w:val="00104BC4"/>
    <w:rsid w:val="00106007"/>
    <w:rsid w:val="001068E1"/>
    <w:rsid w:val="00107A2C"/>
    <w:rsid w:val="00113E51"/>
    <w:rsid w:val="00120D80"/>
    <w:rsid w:val="001241EE"/>
    <w:rsid w:val="00125234"/>
    <w:rsid w:val="0013384D"/>
    <w:rsid w:val="00133CF4"/>
    <w:rsid w:val="0014453D"/>
    <w:rsid w:val="001446C1"/>
    <w:rsid w:val="00156C0C"/>
    <w:rsid w:val="00172C98"/>
    <w:rsid w:val="0018563E"/>
    <w:rsid w:val="001857C7"/>
    <w:rsid w:val="0019609D"/>
    <w:rsid w:val="001A2804"/>
    <w:rsid w:val="001A37E2"/>
    <w:rsid w:val="001A7E1C"/>
    <w:rsid w:val="001B0246"/>
    <w:rsid w:val="001D2852"/>
    <w:rsid w:val="001D30D9"/>
    <w:rsid w:val="001E6C1F"/>
    <w:rsid w:val="001F0A11"/>
    <w:rsid w:val="002041B1"/>
    <w:rsid w:val="002120E9"/>
    <w:rsid w:val="002133D6"/>
    <w:rsid w:val="00213A91"/>
    <w:rsid w:val="00213F21"/>
    <w:rsid w:val="00217AFF"/>
    <w:rsid w:val="00227302"/>
    <w:rsid w:val="0024587C"/>
    <w:rsid w:val="00251B05"/>
    <w:rsid w:val="00256E9D"/>
    <w:rsid w:val="00261EF4"/>
    <w:rsid w:val="00277D2E"/>
    <w:rsid w:val="002914EE"/>
    <w:rsid w:val="002A230E"/>
    <w:rsid w:val="002E2F28"/>
    <w:rsid w:val="002E4AFE"/>
    <w:rsid w:val="003061E8"/>
    <w:rsid w:val="00307E9B"/>
    <w:rsid w:val="00310D7D"/>
    <w:rsid w:val="003154E9"/>
    <w:rsid w:val="003167A6"/>
    <w:rsid w:val="00344F8B"/>
    <w:rsid w:val="0035681C"/>
    <w:rsid w:val="0036391B"/>
    <w:rsid w:val="00366AC0"/>
    <w:rsid w:val="003811F2"/>
    <w:rsid w:val="00382F4A"/>
    <w:rsid w:val="00387817"/>
    <w:rsid w:val="003A61F7"/>
    <w:rsid w:val="003B5DD4"/>
    <w:rsid w:val="003C3248"/>
    <w:rsid w:val="003D3AEE"/>
    <w:rsid w:val="003E3794"/>
    <w:rsid w:val="003E4168"/>
    <w:rsid w:val="00410050"/>
    <w:rsid w:val="004104E5"/>
    <w:rsid w:val="004141CE"/>
    <w:rsid w:val="00417126"/>
    <w:rsid w:val="004230ED"/>
    <w:rsid w:val="00425527"/>
    <w:rsid w:val="00431E9A"/>
    <w:rsid w:val="00432D89"/>
    <w:rsid w:val="00440567"/>
    <w:rsid w:val="004424D1"/>
    <w:rsid w:val="00442FF3"/>
    <w:rsid w:val="0044558B"/>
    <w:rsid w:val="004B163C"/>
    <w:rsid w:val="004D4137"/>
    <w:rsid w:val="004E1485"/>
    <w:rsid w:val="004E22DC"/>
    <w:rsid w:val="004E78FD"/>
    <w:rsid w:val="004F54D0"/>
    <w:rsid w:val="00512DD9"/>
    <w:rsid w:val="0052037C"/>
    <w:rsid w:val="0053070F"/>
    <w:rsid w:val="00531547"/>
    <w:rsid w:val="0055764D"/>
    <w:rsid w:val="00567519"/>
    <w:rsid w:val="0058510B"/>
    <w:rsid w:val="005857E6"/>
    <w:rsid w:val="00587561"/>
    <w:rsid w:val="005A14FA"/>
    <w:rsid w:val="005A1782"/>
    <w:rsid w:val="005A27FF"/>
    <w:rsid w:val="005A4026"/>
    <w:rsid w:val="005C69E4"/>
    <w:rsid w:val="005D663E"/>
    <w:rsid w:val="005E1334"/>
    <w:rsid w:val="005E46B7"/>
    <w:rsid w:val="005E6F8E"/>
    <w:rsid w:val="00603F28"/>
    <w:rsid w:val="0061649C"/>
    <w:rsid w:val="00617D81"/>
    <w:rsid w:val="006219E8"/>
    <w:rsid w:val="006270EC"/>
    <w:rsid w:val="00632FA0"/>
    <w:rsid w:val="00640C82"/>
    <w:rsid w:val="00641C1B"/>
    <w:rsid w:val="00642168"/>
    <w:rsid w:val="0064347C"/>
    <w:rsid w:val="0066591E"/>
    <w:rsid w:val="00665E3B"/>
    <w:rsid w:val="0067373E"/>
    <w:rsid w:val="00684FAB"/>
    <w:rsid w:val="00693F83"/>
    <w:rsid w:val="0069567C"/>
    <w:rsid w:val="006958E7"/>
    <w:rsid w:val="006A1B12"/>
    <w:rsid w:val="006B03D5"/>
    <w:rsid w:val="006B0496"/>
    <w:rsid w:val="006B34CD"/>
    <w:rsid w:val="006B7A1C"/>
    <w:rsid w:val="006C1628"/>
    <w:rsid w:val="006C2462"/>
    <w:rsid w:val="006C2AB8"/>
    <w:rsid w:val="006D0823"/>
    <w:rsid w:val="006D68A4"/>
    <w:rsid w:val="00722DC5"/>
    <w:rsid w:val="00726264"/>
    <w:rsid w:val="007311E7"/>
    <w:rsid w:val="00732976"/>
    <w:rsid w:val="007333F0"/>
    <w:rsid w:val="007427F7"/>
    <w:rsid w:val="00752955"/>
    <w:rsid w:val="00753D67"/>
    <w:rsid w:val="007604B8"/>
    <w:rsid w:val="0076325D"/>
    <w:rsid w:val="007674ED"/>
    <w:rsid w:val="0077303E"/>
    <w:rsid w:val="00774A07"/>
    <w:rsid w:val="00781966"/>
    <w:rsid w:val="007A1AAA"/>
    <w:rsid w:val="007B3DE2"/>
    <w:rsid w:val="007C35F7"/>
    <w:rsid w:val="007D332E"/>
    <w:rsid w:val="007E4842"/>
    <w:rsid w:val="007E7612"/>
    <w:rsid w:val="007F11FF"/>
    <w:rsid w:val="007F5404"/>
    <w:rsid w:val="007F7CD9"/>
    <w:rsid w:val="008020BC"/>
    <w:rsid w:val="008046CD"/>
    <w:rsid w:val="00816446"/>
    <w:rsid w:val="0082399D"/>
    <w:rsid w:val="0082515F"/>
    <w:rsid w:val="00827D3F"/>
    <w:rsid w:val="00842F4C"/>
    <w:rsid w:val="00864D32"/>
    <w:rsid w:val="00865AEA"/>
    <w:rsid w:val="00875B14"/>
    <w:rsid w:val="008847A9"/>
    <w:rsid w:val="00890F6D"/>
    <w:rsid w:val="008A3CB6"/>
    <w:rsid w:val="008B1A98"/>
    <w:rsid w:val="008B6796"/>
    <w:rsid w:val="008C763F"/>
    <w:rsid w:val="008E160B"/>
    <w:rsid w:val="008F6FD3"/>
    <w:rsid w:val="00910073"/>
    <w:rsid w:val="00910208"/>
    <w:rsid w:val="00913722"/>
    <w:rsid w:val="00917AB9"/>
    <w:rsid w:val="00920A48"/>
    <w:rsid w:val="00930017"/>
    <w:rsid w:val="009303CE"/>
    <w:rsid w:val="00933B12"/>
    <w:rsid w:val="00934B1A"/>
    <w:rsid w:val="0094059D"/>
    <w:rsid w:val="00953864"/>
    <w:rsid w:val="00955271"/>
    <w:rsid w:val="00967EC4"/>
    <w:rsid w:val="009706A3"/>
    <w:rsid w:val="009806AB"/>
    <w:rsid w:val="0099558A"/>
    <w:rsid w:val="009D0E49"/>
    <w:rsid w:val="009D1C97"/>
    <w:rsid w:val="009E24C1"/>
    <w:rsid w:val="009E3BDA"/>
    <w:rsid w:val="009F22B8"/>
    <w:rsid w:val="00A06A11"/>
    <w:rsid w:val="00A06C97"/>
    <w:rsid w:val="00A12E2D"/>
    <w:rsid w:val="00A1682A"/>
    <w:rsid w:val="00A209B0"/>
    <w:rsid w:val="00A31640"/>
    <w:rsid w:val="00A4111C"/>
    <w:rsid w:val="00A468F6"/>
    <w:rsid w:val="00A56B61"/>
    <w:rsid w:val="00A9013E"/>
    <w:rsid w:val="00A92590"/>
    <w:rsid w:val="00A95855"/>
    <w:rsid w:val="00AB2F36"/>
    <w:rsid w:val="00AB51FA"/>
    <w:rsid w:val="00AC017B"/>
    <w:rsid w:val="00AC3FC1"/>
    <w:rsid w:val="00AD5487"/>
    <w:rsid w:val="00AE2B10"/>
    <w:rsid w:val="00AE7764"/>
    <w:rsid w:val="00AF4D69"/>
    <w:rsid w:val="00AF6797"/>
    <w:rsid w:val="00B0214F"/>
    <w:rsid w:val="00B13A11"/>
    <w:rsid w:val="00B164EF"/>
    <w:rsid w:val="00B324EA"/>
    <w:rsid w:val="00B35788"/>
    <w:rsid w:val="00B374C7"/>
    <w:rsid w:val="00B548FE"/>
    <w:rsid w:val="00B54C18"/>
    <w:rsid w:val="00B7673B"/>
    <w:rsid w:val="00B97CC2"/>
    <w:rsid w:val="00BA0DCB"/>
    <w:rsid w:val="00BA30BC"/>
    <w:rsid w:val="00BB0919"/>
    <w:rsid w:val="00BB32EC"/>
    <w:rsid w:val="00BB5618"/>
    <w:rsid w:val="00BC3FB5"/>
    <w:rsid w:val="00BE141A"/>
    <w:rsid w:val="00BF3864"/>
    <w:rsid w:val="00C04DB1"/>
    <w:rsid w:val="00C12D51"/>
    <w:rsid w:val="00C177D5"/>
    <w:rsid w:val="00C20BEA"/>
    <w:rsid w:val="00C3290D"/>
    <w:rsid w:val="00C33588"/>
    <w:rsid w:val="00C43BCE"/>
    <w:rsid w:val="00C6086B"/>
    <w:rsid w:val="00C619A4"/>
    <w:rsid w:val="00C75102"/>
    <w:rsid w:val="00C80F1C"/>
    <w:rsid w:val="00C81CFB"/>
    <w:rsid w:val="00C83755"/>
    <w:rsid w:val="00CB335F"/>
    <w:rsid w:val="00CC1057"/>
    <w:rsid w:val="00CC7F28"/>
    <w:rsid w:val="00CD14CF"/>
    <w:rsid w:val="00CE0AC2"/>
    <w:rsid w:val="00CE67C4"/>
    <w:rsid w:val="00CE68FA"/>
    <w:rsid w:val="00D06180"/>
    <w:rsid w:val="00D15416"/>
    <w:rsid w:val="00D1708C"/>
    <w:rsid w:val="00D31A35"/>
    <w:rsid w:val="00D40D24"/>
    <w:rsid w:val="00D5199E"/>
    <w:rsid w:val="00D620C1"/>
    <w:rsid w:val="00D735DE"/>
    <w:rsid w:val="00D81D32"/>
    <w:rsid w:val="00D923C9"/>
    <w:rsid w:val="00D957D6"/>
    <w:rsid w:val="00D97F13"/>
    <w:rsid w:val="00D97FB0"/>
    <w:rsid w:val="00DB31C9"/>
    <w:rsid w:val="00DC0448"/>
    <w:rsid w:val="00DD1FAB"/>
    <w:rsid w:val="00DE29AD"/>
    <w:rsid w:val="00DE3473"/>
    <w:rsid w:val="00DF5DDD"/>
    <w:rsid w:val="00E0377C"/>
    <w:rsid w:val="00E14C5A"/>
    <w:rsid w:val="00E16B3D"/>
    <w:rsid w:val="00E24440"/>
    <w:rsid w:val="00E265A8"/>
    <w:rsid w:val="00E30C38"/>
    <w:rsid w:val="00E32C0E"/>
    <w:rsid w:val="00E35A8E"/>
    <w:rsid w:val="00E41CAF"/>
    <w:rsid w:val="00E43DF4"/>
    <w:rsid w:val="00E4465F"/>
    <w:rsid w:val="00E536A3"/>
    <w:rsid w:val="00E61C1C"/>
    <w:rsid w:val="00E65A11"/>
    <w:rsid w:val="00E869A3"/>
    <w:rsid w:val="00EA0F34"/>
    <w:rsid w:val="00EB4496"/>
    <w:rsid w:val="00EC15F4"/>
    <w:rsid w:val="00EC7EB1"/>
    <w:rsid w:val="00ED472F"/>
    <w:rsid w:val="00EF5CB8"/>
    <w:rsid w:val="00F005CD"/>
    <w:rsid w:val="00F039D7"/>
    <w:rsid w:val="00F218AD"/>
    <w:rsid w:val="00F317C5"/>
    <w:rsid w:val="00F3586F"/>
    <w:rsid w:val="00F40329"/>
    <w:rsid w:val="00F41677"/>
    <w:rsid w:val="00F44C16"/>
    <w:rsid w:val="00F5311F"/>
    <w:rsid w:val="00F65726"/>
    <w:rsid w:val="00F7209B"/>
    <w:rsid w:val="00F825BD"/>
    <w:rsid w:val="00F855FE"/>
    <w:rsid w:val="00FB79B7"/>
    <w:rsid w:val="00FC5990"/>
    <w:rsid w:val="00FC7E4B"/>
    <w:rsid w:val="00FE18F8"/>
    <w:rsid w:val="00FE5035"/>
    <w:rsid w:val="00FE66C9"/>
    <w:rsid w:val="00FE7C60"/>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683E"/>
  <w15:chartTrackingRefBased/>
  <w15:docId w15:val="{4651F813-6A13-47B9-AEAA-680EF0AB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C0C"/>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link w:val="Heading2Char"/>
    <w:uiPriority w:val="9"/>
    <w:qFormat/>
    <w:rsid w:val="00C3290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58B"/>
    <w:pPr>
      <w:ind w:left="720"/>
      <w:contextualSpacing/>
    </w:pPr>
  </w:style>
  <w:style w:type="paragraph" w:styleId="FootnoteText">
    <w:name w:val="footnote text"/>
    <w:basedOn w:val="Normal"/>
    <w:link w:val="FootnoteTextChar"/>
    <w:uiPriority w:val="99"/>
    <w:semiHidden/>
    <w:unhideWhenUsed/>
    <w:qFormat/>
    <w:rsid w:val="0044558B"/>
    <w:rPr>
      <w:sz w:val="20"/>
      <w:szCs w:val="20"/>
    </w:rPr>
  </w:style>
  <w:style w:type="character" w:customStyle="1" w:styleId="FootnoteTextChar">
    <w:name w:val="Footnote Text Char"/>
    <w:basedOn w:val="DefaultParagraphFont"/>
    <w:link w:val="FootnoteText"/>
    <w:uiPriority w:val="99"/>
    <w:semiHidden/>
    <w:rsid w:val="0044558B"/>
    <w:rPr>
      <w:rFonts w:ascii="Times New Roman" w:eastAsia="Times New Roman" w:hAnsi="Times New Roman" w:cs="Times New Roman"/>
      <w:sz w:val="20"/>
      <w:szCs w:val="20"/>
      <w:lang w:val="en-ZA" w:eastAsia="en-GB" w:bidi="yi-Hebr"/>
    </w:rPr>
  </w:style>
  <w:style w:type="character" w:styleId="FootnoteReference">
    <w:name w:val="footnote reference"/>
    <w:basedOn w:val="DefaultParagraphFont"/>
    <w:uiPriority w:val="99"/>
    <w:semiHidden/>
    <w:unhideWhenUsed/>
    <w:rsid w:val="0044558B"/>
    <w:rPr>
      <w:vertAlign w:val="superscript"/>
    </w:rPr>
  </w:style>
  <w:style w:type="paragraph" w:styleId="Header">
    <w:name w:val="header"/>
    <w:basedOn w:val="Normal"/>
    <w:link w:val="HeaderChar"/>
    <w:uiPriority w:val="99"/>
    <w:unhideWhenUsed/>
    <w:rsid w:val="0044558B"/>
    <w:pPr>
      <w:tabs>
        <w:tab w:val="center" w:pos="4513"/>
        <w:tab w:val="right" w:pos="9026"/>
      </w:tabs>
    </w:pPr>
  </w:style>
  <w:style w:type="character" w:customStyle="1" w:styleId="HeaderChar">
    <w:name w:val="Header Char"/>
    <w:basedOn w:val="DefaultParagraphFont"/>
    <w:link w:val="Header"/>
    <w:uiPriority w:val="99"/>
    <w:rsid w:val="0044558B"/>
  </w:style>
  <w:style w:type="paragraph" w:styleId="Footer">
    <w:name w:val="footer"/>
    <w:basedOn w:val="Normal"/>
    <w:link w:val="FooterChar"/>
    <w:uiPriority w:val="99"/>
    <w:unhideWhenUsed/>
    <w:rsid w:val="0044558B"/>
    <w:pPr>
      <w:tabs>
        <w:tab w:val="center" w:pos="4513"/>
        <w:tab w:val="right" w:pos="9026"/>
      </w:tabs>
    </w:pPr>
  </w:style>
  <w:style w:type="character" w:customStyle="1" w:styleId="FooterChar">
    <w:name w:val="Footer Char"/>
    <w:basedOn w:val="DefaultParagraphFont"/>
    <w:link w:val="Footer"/>
    <w:uiPriority w:val="99"/>
    <w:rsid w:val="0044558B"/>
  </w:style>
  <w:style w:type="character" w:styleId="Hyperlink">
    <w:name w:val="Hyperlink"/>
    <w:basedOn w:val="DefaultParagraphFont"/>
    <w:uiPriority w:val="99"/>
    <w:semiHidden/>
    <w:unhideWhenUsed/>
    <w:rsid w:val="00227302"/>
    <w:rPr>
      <w:color w:val="0000FF"/>
      <w:u w:val="single"/>
    </w:rPr>
  </w:style>
  <w:style w:type="paragraph" w:styleId="NormalWeb">
    <w:name w:val="Normal (Web)"/>
    <w:basedOn w:val="Normal"/>
    <w:uiPriority w:val="99"/>
    <w:semiHidden/>
    <w:unhideWhenUsed/>
    <w:rsid w:val="00E41CAF"/>
    <w:pPr>
      <w:spacing w:before="100" w:beforeAutospacing="1" w:after="100" w:afterAutospacing="1"/>
    </w:pPr>
  </w:style>
  <w:style w:type="character" w:customStyle="1" w:styleId="Heading2Char">
    <w:name w:val="Heading 2 Char"/>
    <w:basedOn w:val="DefaultParagraphFont"/>
    <w:link w:val="Heading2"/>
    <w:uiPriority w:val="9"/>
    <w:rsid w:val="00C3290D"/>
    <w:rPr>
      <w:rFonts w:ascii="Times New Roman" w:eastAsia="Times New Roman" w:hAnsi="Times New Roman" w:cs="Times New Roman"/>
      <w:b/>
      <w:bCs/>
      <w:sz w:val="36"/>
      <w:szCs w:val="36"/>
      <w:lang w:val="en-ZA" w:eastAsia="en-GB" w:bidi="yi-Hebr"/>
    </w:rPr>
  </w:style>
  <w:style w:type="character" w:customStyle="1" w:styleId="apple-converted-space">
    <w:name w:val="apple-converted-space"/>
    <w:basedOn w:val="DefaultParagraphFont"/>
    <w:rsid w:val="00CE68FA"/>
  </w:style>
  <w:style w:type="paragraph" w:styleId="BalloonText">
    <w:name w:val="Balloon Text"/>
    <w:basedOn w:val="Normal"/>
    <w:link w:val="BalloonTextChar"/>
    <w:uiPriority w:val="99"/>
    <w:semiHidden/>
    <w:unhideWhenUsed/>
    <w:rsid w:val="00684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FAB"/>
    <w:rPr>
      <w:rFonts w:ascii="Segoe UI" w:eastAsia="Times New Roman" w:hAnsi="Segoe UI" w:cs="Segoe UI"/>
      <w:sz w:val="18"/>
      <w:szCs w:val="18"/>
      <w:lang w:val="en-ZA" w:eastAsia="en-GB" w:bidi="yi-Hebr"/>
    </w:rPr>
  </w:style>
  <w:style w:type="character" w:styleId="CommentReference">
    <w:name w:val="annotation reference"/>
    <w:basedOn w:val="DefaultParagraphFont"/>
    <w:uiPriority w:val="99"/>
    <w:semiHidden/>
    <w:unhideWhenUsed/>
    <w:rsid w:val="00684FAB"/>
    <w:rPr>
      <w:sz w:val="16"/>
      <w:szCs w:val="16"/>
    </w:rPr>
  </w:style>
  <w:style w:type="paragraph" w:styleId="CommentText">
    <w:name w:val="annotation text"/>
    <w:basedOn w:val="Normal"/>
    <w:link w:val="CommentTextChar"/>
    <w:uiPriority w:val="99"/>
    <w:unhideWhenUsed/>
    <w:rsid w:val="00684FAB"/>
    <w:rPr>
      <w:sz w:val="20"/>
      <w:szCs w:val="20"/>
    </w:rPr>
  </w:style>
  <w:style w:type="character" w:customStyle="1" w:styleId="CommentTextChar">
    <w:name w:val="Comment Text Char"/>
    <w:basedOn w:val="DefaultParagraphFont"/>
    <w:link w:val="CommentText"/>
    <w:uiPriority w:val="99"/>
    <w:rsid w:val="00684FAB"/>
    <w:rPr>
      <w:rFonts w:ascii="Times New Roman" w:eastAsia="Times New Roman" w:hAnsi="Times New Roman" w:cs="Times New Roman"/>
      <w:sz w:val="20"/>
      <w:szCs w:val="20"/>
      <w:lang w:val="en-ZA" w:eastAsia="en-GB" w:bidi="yi-Hebr"/>
    </w:rPr>
  </w:style>
  <w:style w:type="paragraph" w:styleId="CommentSubject">
    <w:name w:val="annotation subject"/>
    <w:basedOn w:val="CommentText"/>
    <w:next w:val="CommentText"/>
    <w:link w:val="CommentSubjectChar"/>
    <w:uiPriority w:val="99"/>
    <w:semiHidden/>
    <w:unhideWhenUsed/>
    <w:rsid w:val="00684FAB"/>
    <w:rPr>
      <w:b/>
      <w:bCs/>
    </w:rPr>
  </w:style>
  <w:style w:type="character" w:customStyle="1" w:styleId="CommentSubjectChar">
    <w:name w:val="Comment Subject Char"/>
    <w:basedOn w:val="CommentTextChar"/>
    <w:link w:val="CommentSubject"/>
    <w:uiPriority w:val="99"/>
    <w:semiHidden/>
    <w:rsid w:val="00684FAB"/>
    <w:rPr>
      <w:rFonts w:ascii="Times New Roman" w:eastAsia="Times New Roman" w:hAnsi="Times New Roman" w:cs="Times New Roman"/>
      <w:b/>
      <w:bCs/>
      <w:sz w:val="20"/>
      <w:szCs w:val="20"/>
      <w:lang w:val="en-ZA" w:eastAsia="en-GB"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9251">
      <w:bodyDiv w:val="1"/>
      <w:marLeft w:val="0"/>
      <w:marRight w:val="0"/>
      <w:marTop w:val="0"/>
      <w:marBottom w:val="0"/>
      <w:divBdr>
        <w:top w:val="none" w:sz="0" w:space="0" w:color="auto"/>
        <w:left w:val="none" w:sz="0" w:space="0" w:color="auto"/>
        <w:bottom w:val="none" w:sz="0" w:space="0" w:color="auto"/>
        <w:right w:val="none" w:sz="0" w:space="0" w:color="auto"/>
      </w:divBdr>
    </w:div>
    <w:div w:id="268782669">
      <w:bodyDiv w:val="1"/>
      <w:marLeft w:val="0"/>
      <w:marRight w:val="0"/>
      <w:marTop w:val="0"/>
      <w:marBottom w:val="0"/>
      <w:divBdr>
        <w:top w:val="none" w:sz="0" w:space="0" w:color="auto"/>
        <w:left w:val="none" w:sz="0" w:space="0" w:color="auto"/>
        <w:bottom w:val="none" w:sz="0" w:space="0" w:color="auto"/>
        <w:right w:val="none" w:sz="0" w:space="0" w:color="auto"/>
      </w:divBdr>
    </w:div>
    <w:div w:id="369304777">
      <w:bodyDiv w:val="1"/>
      <w:marLeft w:val="0"/>
      <w:marRight w:val="0"/>
      <w:marTop w:val="0"/>
      <w:marBottom w:val="0"/>
      <w:divBdr>
        <w:top w:val="none" w:sz="0" w:space="0" w:color="auto"/>
        <w:left w:val="none" w:sz="0" w:space="0" w:color="auto"/>
        <w:bottom w:val="none" w:sz="0" w:space="0" w:color="auto"/>
        <w:right w:val="none" w:sz="0" w:space="0" w:color="auto"/>
      </w:divBdr>
    </w:div>
    <w:div w:id="559482878">
      <w:bodyDiv w:val="1"/>
      <w:marLeft w:val="0"/>
      <w:marRight w:val="0"/>
      <w:marTop w:val="0"/>
      <w:marBottom w:val="0"/>
      <w:divBdr>
        <w:top w:val="none" w:sz="0" w:space="0" w:color="auto"/>
        <w:left w:val="none" w:sz="0" w:space="0" w:color="auto"/>
        <w:bottom w:val="none" w:sz="0" w:space="0" w:color="auto"/>
        <w:right w:val="none" w:sz="0" w:space="0" w:color="auto"/>
      </w:divBdr>
      <w:divsChild>
        <w:div w:id="732313661">
          <w:marLeft w:val="0"/>
          <w:marRight w:val="0"/>
          <w:marTop w:val="0"/>
          <w:marBottom w:val="0"/>
          <w:divBdr>
            <w:top w:val="none" w:sz="0" w:space="0" w:color="auto"/>
            <w:left w:val="none" w:sz="0" w:space="0" w:color="auto"/>
            <w:bottom w:val="none" w:sz="0" w:space="0" w:color="auto"/>
            <w:right w:val="none" w:sz="0" w:space="0" w:color="auto"/>
          </w:divBdr>
          <w:divsChild>
            <w:div w:id="1122304549">
              <w:marLeft w:val="0"/>
              <w:marRight w:val="0"/>
              <w:marTop w:val="0"/>
              <w:marBottom w:val="0"/>
              <w:divBdr>
                <w:top w:val="none" w:sz="0" w:space="0" w:color="auto"/>
                <w:left w:val="none" w:sz="0" w:space="0" w:color="auto"/>
                <w:bottom w:val="none" w:sz="0" w:space="0" w:color="auto"/>
                <w:right w:val="none" w:sz="0" w:space="0" w:color="auto"/>
              </w:divBdr>
              <w:divsChild>
                <w:div w:id="879130527">
                  <w:marLeft w:val="0"/>
                  <w:marRight w:val="0"/>
                  <w:marTop w:val="0"/>
                  <w:marBottom w:val="0"/>
                  <w:divBdr>
                    <w:top w:val="none" w:sz="0" w:space="0" w:color="auto"/>
                    <w:left w:val="none" w:sz="0" w:space="0" w:color="auto"/>
                    <w:bottom w:val="none" w:sz="0" w:space="0" w:color="auto"/>
                    <w:right w:val="none" w:sz="0" w:space="0" w:color="auto"/>
                  </w:divBdr>
                </w:div>
              </w:divsChild>
            </w:div>
            <w:div w:id="195774553">
              <w:marLeft w:val="0"/>
              <w:marRight w:val="0"/>
              <w:marTop w:val="0"/>
              <w:marBottom w:val="0"/>
              <w:divBdr>
                <w:top w:val="none" w:sz="0" w:space="0" w:color="auto"/>
                <w:left w:val="none" w:sz="0" w:space="0" w:color="auto"/>
                <w:bottom w:val="none" w:sz="0" w:space="0" w:color="auto"/>
                <w:right w:val="none" w:sz="0" w:space="0" w:color="auto"/>
              </w:divBdr>
              <w:divsChild>
                <w:div w:id="13720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16388">
      <w:bodyDiv w:val="1"/>
      <w:marLeft w:val="0"/>
      <w:marRight w:val="0"/>
      <w:marTop w:val="0"/>
      <w:marBottom w:val="0"/>
      <w:divBdr>
        <w:top w:val="none" w:sz="0" w:space="0" w:color="auto"/>
        <w:left w:val="none" w:sz="0" w:space="0" w:color="auto"/>
        <w:bottom w:val="none" w:sz="0" w:space="0" w:color="auto"/>
        <w:right w:val="none" w:sz="0" w:space="0" w:color="auto"/>
      </w:divBdr>
    </w:div>
    <w:div w:id="815296623">
      <w:bodyDiv w:val="1"/>
      <w:marLeft w:val="0"/>
      <w:marRight w:val="0"/>
      <w:marTop w:val="0"/>
      <w:marBottom w:val="0"/>
      <w:divBdr>
        <w:top w:val="none" w:sz="0" w:space="0" w:color="auto"/>
        <w:left w:val="none" w:sz="0" w:space="0" w:color="auto"/>
        <w:bottom w:val="none" w:sz="0" w:space="0" w:color="auto"/>
        <w:right w:val="none" w:sz="0" w:space="0" w:color="auto"/>
      </w:divBdr>
      <w:divsChild>
        <w:div w:id="1474909114">
          <w:marLeft w:val="0"/>
          <w:marRight w:val="0"/>
          <w:marTop w:val="0"/>
          <w:marBottom w:val="0"/>
          <w:divBdr>
            <w:top w:val="none" w:sz="0" w:space="0" w:color="auto"/>
            <w:left w:val="none" w:sz="0" w:space="0" w:color="auto"/>
            <w:bottom w:val="none" w:sz="0" w:space="0" w:color="auto"/>
            <w:right w:val="none" w:sz="0" w:space="0" w:color="auto"/>
          </w:divBdr>
          <w:divsChild>
            <w:div w:id="443616873">
              <w:marLeft w:val="0"/>
              <w:marRight w:val="0"/>
              <w:marTop w:val="0"/>
              <w:marBottom w:val="0"/>
              <w:divBdr>
                <w:top w:val="none" w:sz="0" w:space="0" w:color="auto"/>
                <w:left w:val="none" w:sz="0" w:space="0" w:color="auto"/>
                <w:bottom w:val="none" w:sz="0" w:space="0" w:color="auto"/>
                <w:right w:val="none" w:sz="0" w:space="0" w:color="auto"/>
              </w:divBdr>
              <w:divsChild>
                <w:div w:id="13671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5463">
      <w:bodyDiv w:val="1"/>
      <w:marLeft w:val="0"/>
      <w:marRight w:val="0"/>
      <w:marTop w:val="0"/>
      <w:marBottom w:val="0"/>
      <w:divBdr>
        <w:top w:val="none" w:sz="0" w:space="0" w:color="auto"/>
        <w:left w:val="none" w:sz="0" w:space="0" w:color="auto"/>
        <w:bottom w:val="none" w:sz="0" w:space="0" w:color="auto"/>
        <w:right w:val="none" w:sz="0" w:space="0" w:color="auto"/>
      </w:divBdr>
    </w:div>
    <w:div w:id="886644258">
      <w:bodyDiv w:val="1"/>
      <w:marLeft w:val="0"/>
      <w:marRight w:val="0"/>
      <w:marTop w:val="0"/>
      <w:marBottom w:val="0"/>
      <w:divBdr>
        <w:top w:val="none" w:sz="0" w:space="0" w:color="auto"/>
        <w:left w:val="none" w:sz="0" w:space="0" w:color="auto"/>
        <w:bottom w:val="none" w:sz="0" w:space="0" w:color="auto"/>
        <w:right w:val="none" w:sz="0" w:space="0" w:color="auto"/>
      </w:divBdr>
      <w:divsChild>
        <w:div w:id="741682581">
          <w:marLeft w:val="0"/>
          <w:marRight w:val="0"/>
          <w:marTop w:val="0"/>
          <w:marBottom w:val="0"/>
          <w:divBdr>
            <w:top w:val="none" w:sz="0" w:space="0" w:color="auto"/>
            <w:left w:val="none" w:sz="0" w:space="0" w:color="auto"/>
            <w:bottom w:val="none" w:sz="0" w:space="0" w:color="auto"/>
            <w:right w:val="none" w:sz="0" w:space="0" w:color="auto"/>
          </w:divBdr>
          <w:divsChild>
            <w:div w:id="250242556">
              <w:marLeft w:val="0"/>
              <w:marRight w:val="0"/>
              <w:marTop w:val="0"/>
              <w:marBottom w:val="0"/>
              <w:divBdr>
                <w:top w:val="none" w:sz="0" w:space="0" w:color="auto"/>
                <w:left w:val="none" w:sz="0" w:space="0" w:color="auto"/>
                <w:bottom w:val="none" w:sz="0" w:space="0" w:color="auto"/>
                <w:right w:val="none" w:sz="0" w:space="0" w:color="auto"/>
              </w:divBdr>
              <w:divsChild>
                <w:div w:id="21283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83341">
      <w:bodyDiv w:val="1"/>
      <w:marLeft w:val="0"/>
      <w:marRight w:val="0"/>
      <w:marTop w:val="0"/>
      <w:marBottom w:val="0"/>
      <w:divBdr>
        <w:top w:val="none" w:sz="0" w:space="0" w:color="auto"/>
        <w:left w:val="none" w:sz="0" w:space="0" w:color="auto"/>
        <w:bottom w:val="none" w:sz="0" w:space="0" w:color="auto"/>
        <w:right w:val="none" w:sz="0" w:space="0" w:color="auto"/>
      </w:divBdr>
    </w:div>
    <w:div w:id="1958292861">
      <w:bodyDiv w:val="1"/>
      <w:marLeft w:val="0"/>
      <w:marRight w:val="0"/>
      <w:marTop w:val="0"/>
      <w:marBottom w:val="0"/>
      <w:divBdr>
        <w:top w:val="none" w:sz="0" w:space="0" w:color="auto"/>
        <w:left w:val="none" w:sz="0" w:space="0" w:color="auto"/>
        <w:bottom w:val="none" w:sz="0" w:space="0" w:color="auto"/>
        <w:right w:val="none" w:sz="0" w:space="0" w:color="auto"/>
      </w:divBdr>
    </w:div>
    <w:div w:id="1967270236">
      <w:bodyDiv w:val="1"/>
      <w:marLeft w:val="0"/>
      <w:marRight w:val="0"/>
      <w:marTop w:val="0"/>
      <w:marBottom w:val="0"/>
      <w:divBdr>
        <w:top w:val="none" w:sz="0" w:space="0" w:color="auto"/>
        <w:left w:val="none" w:sz="0" w:space="0" w:color="auto"/>
        <w:bottom w:val="none" w:sz="0" w:space="0" w:color="auto"/>
        <w:right w:val="none" w:sz="0" w:space="0" w:color="auto"/>
      </w:divBdr>
      <w:divsChild>
        <w:div w:id="85468641">
          <w:marLeft w:val="0"/>
          <w:marRight w:val="0"/>
          <w:marTop w:val="120"/>
          <w:marBottom w:val="0"/>
          <w:divBdr>
            <w:top w:val="none" w:sz="0" w:space="0" w:color="auto"/>
            <w:left w:val="none" w:sz="0" w:space="0" w:color="auto"/>
            <w:bottom w:val="none" w:sz="0" w:space="0" w:color="auto"/>
            <w:right w:val="none" w:sz="0" w:space="0" w:color="auto"/>
          </w:divBdr>
        </w:div>
        <w:div w:id="1016922676">
          <w:marLeft w:val="0"/>
          <w:marRight w:val="0"/>
          <w:marTop w:val="240"/>
          <w:marBottom w:val="24"/>
          <w:divBdr>
            <w:top w:val="single" w:sz="8" w:space="2" w:color="808080"/>
            <w:left w:val="none" w:sz="0" w:space="0" w:color="auto"/>
            <w:bottom w:val="none" w:sz="0" w:space="0" w:color="auto"/>
            <w:right w:val="none" w:sz="0" w:space="0" w:color="auto"/>
          </w:divBdr>
        </w:div>
        <w:div w:id="285695859">
          <w:marLeft w:val="0"/>
          <w:marRight w:val="0"/>
          <w:marTop w:val="120"/>
          <w:marBottom w:val="0"/>
          <w:divBdr>
            <w:top w:val="none" w:sz="0" w:space="0" w:color="auto"/>
            <w:left w:val="none" w:sz="0" w:space="0" w:color="auto"/>
            <w:bottom w:val="none" w:sz="0" w:space="0" w:color="auto"/>
            <w:right w:val="none" w:sz="0" w:space="0" w:color="auto"/>
          </w:divBdr>
        </w:div>
        <w:div w:id="1490705948">
          <w:marLeft w:val="0"/>
          <w:marRight w:val="0"/>
          <w:marTop w:val="120"/>
          <w:marBottom w:val="0"/>
          <w:divBdr>
            <w:top w:val="none" w:sz="0" w:space="0" w:color="auto"/>
            <w:left w:val="none" w:sz="0" w:space="0" w:color="auto"/>
            <w:bottom w:val="none" w:sz="0" w:space="0" w:color="auto"/>
            <w:right w:val="none" w:sz="0" w:space="0" w:color="auto"/>
          </w:divBdr>
        </w:div>
      </w:divsChild>
    </w:div>
    <w:div w:id="21206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saflii.org/cgi-bin/LawCite?cit=1978%20%281%29%20SA%20914" TargetMode="External"/><Relationship Id="rId1" Type="http://schemas.openxmlformats.org/officeDocument/2006/relationships/hyperlink" Target="https://www.saflii.org/cgi-bin/LawCite?cit=1973%20%283%29%20SA%20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60852-4FF6-4BF8-B205-B6135D3C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3030</Words>
  <Characters>17272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Judge Robin R. Mossop</cp:lastModifiedBy>
  <cp:revision>3</cp:revision>
  <cp:lastPrinted>2023-11-23T14:05:00Z</cp:lastPrinted>
  <dcterms:created xsi:type="dcterms:W3CDTF">2023-11-27T06:42:00Z</dcterms:created>
  <dcterms:modified xsi:type="dcterms:W3CDTF">2023-11-27T06:43:00Z</dcterms:modified>
</cp:coreProperties>
</file>