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E80" w:rsidRPr="00A74C32" w:rsidRDefault="00582E80" w:rsidP="00B51744">
      <w:pPr>
        <w:rPr>
          <w:rFonts w:asciiTheme="majorHAnsi" w:hAnsiTheme="majorHAnsi" w:cstheme="majorHAnsi"/>
        </w:rPr>
      </w:pPr>
    </w:p>
    <w:p w:rsidR="00B51744" w:rsidRPr="00A74C32" w:rsidRDefault="00B51744" w:rsidP="00B51744">
      <w:pPr>
        <w:rPr>
          <w:rFonts w:asciiTheme="majorHAnsi" w:hAnsiTheme="majorHAnsi" w:cstheme="majorHAnsi"/>
          <w:b/>
          <w:bCs/>
          <w:sz w:val="28"/>
          <w:szCs w:val="28"/>
        </w:rPr>
      </w:pPr>
      <w:r w:rsidRPr="00A74C32">
        <w:rPr>
          <w:rFonts w:asciiTheme="majorHAnsi" w:hAnsiTheme="majorHAnsi" w:cstheme="majorHAnsi"/>
          <w:sz w:val="28"/>
          <w:szCs w:val="28"/>
        </w:rPr>
        <w:tab/>
      </w:r>
      <w:r w:rsidRPr="00A74C32">
        <w:rPr>
          <w:rFonts w:asciiTheme="majorHAnsi" w:hAnsiTheme="majorHAnsi" w:cstheme="majorHAnsi"/>
          <w:sz w:val="28"/>
          <w:szCs w:val="28"/>
        </w:rPr>
        <w:tab/>
      </w:r>
    </w:p>
    <w:p w:rsidR="00B51744" w:rsidRPr="00A74C32" w:rsidRDefault="00B51744" w:rsidP="00B51744">
      <w:pPr>
        <w:jc w:val="center"/>
        <w:rPr>
          <w:rFonts w:asciiTheme="majorHAnsi" w:hAnsiTheme="majorHAnsi" w:cstheme="majorHAnsi"/>
          <w:b/>
          <w:bCs/>
          <w:sz w:val="28"/>
          <w:szCs w:val="28"/>
        </w:rPr>
      </w:pPr>
    </w:p>
    <w:p w:rsidR="00B51744" w:rsidRPr="00A74C32" w:rsidRDefault="00B51744" w:rsidP="00B51744">
      <w:pPr>
        <w:jc w:val="center"/>
        <w:rPr>
          <w:rFonts w:asciiTheme="majorHAnsi" w:hAnsiTheme="majorHAnsi" w:cstheme="majorHAnsi"/>
          <w:b/>
          <w:bCs/>
          <w:sz w:val="28"/>
          <w:szCs w:val="28"/>
        </w:rPr>
      </w:pPr>
    </w:p>
    <w:p w:rsidR="00B51744" w:rsidRPr="00A74C32" w:rsidRDefault="00B51744" w:rsidP="00B51744">
      <w:pPr>
        <w:jc w:val="center"/>
        <w:rPr>
          <w:rFonts w:asciiTheme="majorHAnsi" w:hAnsiTheme="majorHAnsi" w:cstheme="majorHAnsi"/>
          <w:b/>
          <w:bCs/>
          <w:sz w:val="28"/>
          <w:szCs w:val="28"/>
        </w:rPr>
      </w:pPr>
      <w:r w:rsidRPr="00A74C32">
        <w:rPr>
          <w:rFonts w:asciiTheme="majorHAnsi" w:hAnsiTheme="majorHAnsi" w:cstheme="majorHAnsi"/>
          <w:noProof/>
          <w:lang w:val="en-US"/>
        </w:rPr>
        <w:drawing>
          <wp:anchor distT="0" distB="0" distL="114300" distR="114300" simplePos="0" relativeHeight="251659264" behindDoc="0" locked="0" layoutInCell="1" allowOverlap="1" wp14:anchorId="6B42C1A9" wp14:editId="29776E3D">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rsidR="00B51744" w:rsidRPr="00A74C32" w:rsidRDefault="00B51744" w:rsidP="00B51744">
      <w:pPr>
        <w:spacing w:line="360" w:lineRule="auto"/>
        <w:jc w:val="center"/>
        <w:rPr>
          <w:rFonts w:asciiTheme="majorHAnsi" w:hAnsiTheme="majorHAnsi" w:cstheme="majorHAnsi"/>
          <w:b/>
          <w:bCs/>
          <w:sz w:val="28"/>
          <w:szCs w:val="28"/>
        </w:rPr>
      </w:pPr>
    </w:p>
    <w:p w:rsidR="00E06EA7" w:rsidRPr="00EE59E9" w:rsidRDefault="00E06EA7" w:rsidP="00E06EA7">
      <w:pPr>
        <w:pBdr>
          <w:bottom w:val="single" w:sz="6" w:space="1" w:color="auto"/>
        </w:pBdr>
        <w:jc w:val="center"/>
        <w:rPr>
          <w:rFonts w:asciiTheme="majorHAnsi" w:hAnsiTheme="majorHAnsi" w:cstheme="majorHAnsi"/>
          <w:b/>
          <w:bCs/>
          <w:sz w:val="24"/>
          <w:szCs w:val="24"/>
        </w:rPr>
      </w:pPr>
      <w:r w:rsidRPr="00EE59E9">
        <w:rPr>
          <w:rFonts w:asciiTheme="majorHAnsi" w:hAnsiTheme="majorHAnsi" w:cstheme="majorHAnsi"/>
          <w:b/>
          <w:bCs/>
          <w:sz w:val="24"/>
          <w:szCs w:val="24"/>
        </w:rPr>
        <w:t>IN THE HIGH COURT OF SOUTH AFRICA</w:t>
      </w:r>
    </w:p>
    <w:p w:rsidR="00E06EA7" w:rsidRPr="00EE59E9" w:rsidRDefault="00E06EA7" w:rsidP="00E06EA7">
      <w:pPr>
        <w:pBdr>
          <w:bottom w:val="single" w:sz="6" w:space="1" w:color="auto"/>
        </w:pBdr>
        <w:jc w:val="center"/>
        <w:rPr>
          <w:rFonts w:asciiTheme="majorHAnsi" w:hAnsiTheme="majorHAnsi" w:cstheme="majorHAnsi"/>
          <w:b/>
          <w:bCs/>
          <w:sz w:val="24"/>
          <w:szCs w:val="24"/>
        </w:rPr>
      </w:pPr>
      <w:r w:rsidRPr="00EE59E9">
        <w:rPr>
          <w:rFonts w:asciiTheme="majorHAnsi" w:hAnsiTheme="majorHAnsi" w:cstheme="majorHAnsi"/>
          <w:b/>
          <w:bCs/>
          <w:sz w:val="24"/>
          <w:szCs w:val="24"/>
        </w:rPr>
        <w:t>KWAZULU-NATAL LOCAL DIVISION, PIETERMARITZBURG</w:t>
      </w:r>
    </w:p>
    <w:p w:rsidR="00E06EA7" w:rsidRPr="00EE59E9" w:rsidRDefault="00E06EA7" w:rsidP="00E06EA7">
      <w:pPr>
        <w:pBdr>
          <w:bottom w:val="single" w:sz="6" w:space="1" w:color="auto"/>
        </w:pBdr>
        <w:jc w:val="both"/>
        <w:rPr>
          <w:rFonts w:asciiTheme="majorHAnsi" w:hAnsiTheme="majorHAnsi" w:cstheme="majorHAnsi"/>
          <w:sz w:val="24"/>
          <w:szCs w:val="24"/>
        </w:rPr>
      </w:pPr>
    </w:p>
    <w:p w:rsidR="00E06EA7" w:rsidRPr="00EE59E9" w:rsidRDefault="00E06EA7" w:rsidP="00E06EA7">
      <w:pPr>
        <w:pBdr>
          <w:bottom w:val="single" w:sz="6" w:space="1" w:color="auto"/>
        </w:pBdr>
        <w:spacing w:line="480" w:lineRule="auto"/>
        <w:jc w:val="center"/>
        <w:rPr>
          <w:rFonts w:asciiTheme="majorHAnsi" w:hAnsiTheme="majorHAnsi" w:cstheme="majorHAnsi"/>
          <w:sz w:val="24"/>
          <w:szCs w:val="24"/>
        </w:rPr>
      </w:pPr>
      <w:r w:rsidRPr="00EE59E9">
        <w:rPr>
          <w:rFonts w:asciiTheme="majorHAnsi" w:hAnsiTheme="majorHAnsi" w:cstheme="majorHAnsi"/>
          <w:sz w:val="24"/>
          <w:szCs w:val="24"/>
        </w:rPr>
        <w:t xml:space="preserve">     </w:t>
      </w:r>
      <w:r w:rsidRPr="00EE59E9">
        <w:rPr>
          <w:rFonts w:asciiTheme="majorHAnsi" w:hAnsiTheme="majorHAnsi" w:cstheme="majorHAnsi"/>
          <w:sz w:val="24"/>
          <w:szCs w:val="24"/>
        </w:rPr>
        <w:tab/>
      </w:r>
      <w:r w:rsidRPr="00EE59E9">
        <w:rPr>
          <w:rFonts w:asciiTheme="majorHAnsi" w:hAnsiTheme="majorHAnsi" w:cstheme="majorHAnsi"/>
          <w:sz w:val="24"/>
          <w:szCs w:val="24"/>
        </w:rPr>
        <w:tab/>
      </w:r>
      <w:r w:rsidRPr="00EE59E9">
        <w:rPr>
          <w:rFonts w:asciiTheme="majorHAnsi" w:hAnsiTheme="majorHAnsi" w:cstheme="majorHAnsi"/>
          <w:sz w:val="24"/>
          <w:szCs w:val="24"/>
        </w:rPr>
        <w:tab/>
      </w:r>
      <w:r w:rsidRPr="00EE59E9">
        <w:rPr>
          <w:rFonts w:asciiTheme="majorHAnsi" w:hAnsiTheme="majorHAnsi" w:cstheme="majorHAnsi"/>
          <w:sz w:val="24"/>
          <w:szCs w:val="24"/>
        </w:rPr>
        <w:tab/>
      </w:r>
      <w:r w:rsidRPr="00EE59E9">
        <w:rPr>
          <w:rFonts w:asciiTheme="majorHAnsi" w:hAnsiTheme="majorHAnsi" w:cstheme="majorHAnsi"/>
          <w:sz w:val="24"/>
          <w:szCs w:val="24"/>
        </w:rPr>
        <w:tab/>
      </w:r>
      <w:r w:rsidRPr="00EE59E9">
        <w:rPr>
          <w:rFonts w:asciiTheme="majorHAnsi" w:hAnsiTheme="majorHAnsi" w:cstheme="majorHAnsi"/>
          <w:sz w:val="24"/>
          <w:szCs w:val="24"/>
        </w:rPr>
        <w:tab/>
      </w:r>
      <w:r w:rsidRPr="00EE59E9">
        <w:rPr>
          <w:rFonts w:asciiTheme="majorHAnsi" w:hAnsiTheme="majorHAnsi" w:cstheme="majorHAnsi"/>
          <w:sz w:val="24"/>
          <w:szCs w:val="24"/>
        </w:rPr>
        <w:tab/>
        <w:t xml:space="preserve">            </w:t>
      </w:r>
      <w:r w:rsidR="00E24120" w:rsidRPr="00EE59E9">
        <w:rPr>
          <w:rFonts w:asciiTheme="majorHAnsi" w:hAnsiTheme="majorHAnsi" w:cstheme="majorHAnsi"/>
          <w:sz w:val="24"/>
          <w:szCs w:val="24"/>
        </w:rPr>
        <w:tab/>
      </w:r>
      <w:r w:rsidRPr="00EE59E9">
        <w:rPr>
          <w:rFonts w:asciiTheme="majorHAnsi" w:hAnsiTheme="majorHAnsi" w:cstheme="majorHAnsi"/>
          <w:sz w:val="24"/>
          <w:szCs w:val="24"/>
        </w:rPr>
        <w:t xml:space="preserve">CASE NO:  </w:t>
      </w:r>
      <w:r w:rsidR="00057CDD" w:rsidRPr="00EE59E9">
        <w:rPr>
          <w:rFonts w:asciiTheme="majorHAnsi" w:hAnsiTheme="majorHAnsi" w:cstheme="majorHAnsi"/>
          <w:sz w:val="24"/>
          <w:szCs w:val="24"/>
        </w:rPr>
        <w:t>8294</w:t>
      </w:r>
      <w:r w:rsidRPr="00EE59E9">
        <w:rPr>
          <w:rFonts w:asciiTheme="majorHAnsi" w:hAnsiTheme="majorHAnsi" w:cstheme="majorHAnsi"/>
          <w:sz w:val="24"/>
          <w:szCs w:val="24"/>
        </w:rPr>
        <w:t>/22P</w:t>
      </w:r>
    </w:p>
    <w:p w:rsidR="00E06EA7" w:rsidRPr="00EE59E9" w:rsidRDefault="00E06EA7" w:rsidP="00E06EA7">
      <w:pPr>
        <w:pBdr>
          <w:bottom w:val="single" w:sz="6" w:space="1" w:color="auto"/>
        </w:pBdr>
        <w:spacing w:line="480" w:lineRule="auto"/>
        <w:jc w:val="both"/>
        <w:rPr>
          <w:rFonts w:asciiTheme="majorHAnsi" w:hAnsiTheme="majorHAnsi" w:cstheme="majorHAnsi"/>
          <w:sz w:val="24"/>
          <w:szCs w:val="24"/>
        </w:rPr>
      </w:pPr>
      <w:r w:rsidRPr="00EE59E9">
        <w:rPr>
          <w:rFonts w:asciiTheme="majorHAnsi" w:hAnsiTheme="majorHAnsi" w:cstheme="majorHAnsi"/>
          <w:sz w:val="24"/>
          <w:szCs w:val="24"/>
        </w:rPr>
        <w:t>In the matter between:-</w:t>
      </w:r>
    </w:p>
    <w:p w:rsidR="00E24120" w:rsidRPr="00EE59E9" w:rsidRDefault="00E24120" w:rsidP="00E06EA7">
      <w:pPr>
        <w:pBdr>
          <w:bottom w:val="single" w:sz="6" w:space="1" w:color="auto"/>
        </w:pBdr>
        <w:spacing w:line="480" w:lineRule="auto"/>
        <w:jc w:val="both"/>
        <w:rPr>
          <w:rFonts w:asciiTheme="majorHAnsi" w:hAnsiTheme="majorHAnsi" w:cstheme="majorHAnsi"/>
          <w:b/>
          <w:bCs/>
          <w:sz w:val="24"/>
          <w:szCs w:val="24"/>
        </w:rPr>
      </w:pPr>
    </w:p>
    <w:p w:rsidR="00E06EA7" w:rsidRPr="00EE59E9" w:rsidRDefault="00057CDD" w:rsidP="00E06EA7">
      <w:pPr>
        <w:pBdr>
          <w:bottom w:val="single" w:sz="6" w:space="1" w:color="auto"/>
        </w:pBdr>
        <w:spacing w:line="480" w:lineRule="auto"/>
        <w:jc w:val="both"/>
        <w:rPr>
          <w:rFonts w:asciiTheme="majorHAnsi" w:hAnsiTheme="majorHAnsi" w:cstheme="majorHAnsi"/>
          <w:sz w:val="24"/>
          <w:szCs w:val="24"/>
        </w:rPr>
      </w:pPr>
      <w:r w:rsidRPr="00EE59E9">
        <w:rPr>
          <w:rFonts w:asciiTheme="majorHAnsi" w:hAnsiTheme="majorHAnsi" w:cstheme="majorHAnsi"/>
          <w:b/>
          <w:bCs/>
          <w:sz w:val="24"/>
          <w:szCs w:val="24"/>
        </w:rPr>
        <w:t>ZENITH ESTATES CC</w:t>
      </w:r>
      <w:r w:rsidR="00E06EA7" w:rsidRPr="00EE59E9">
        <w:rPr>
          <w:rFonts w:asciiTheme="majorHAnsi" w:hAnsiTheme="majorHAnsi" w:cstheme="majorHAnsi"/>
          <w:b/>
          <w:bCs/>
          <w:sz w:val="24"/>
          <w:szCs w:val="24"/>
        </w:rPr>
        <w:tab/>
      </w:r>
      <w:r w:rsidR="00E06EA7" w:rsidRPr="00EE59E9">
        <w:rPr>
          <w:rFonts w:asciiTheme="majorHAnsi" w:hAnsiTheme="majorHAnsi" w:cstheme="majorHAnsi"/>
          <w:b/>
          <w:bCs/>
          <w:sz w:val="24"/>
          <w:szCs w:val="24"/>
        </w:rPr>
        <w:tab/>
      </w:r>
      <w:r w:rsidR="00E06EA7" w:rsidRPr="00EE59E9">
        <w:rPr>
          <w:rFonts w:asciiTheme="majorHAnsi" w:hAnsiTheme="majorHAnsi" w:cstheme="majorHAnsi"/>
          <w:b/>
          <w:bCs/>
          <w:sz w:val="24"/>
          <w:szCs w:val="24"/>
        </w:rPr>
        <w:tab/>
      </w:r>
      <w:r w:rsidR="00E06EA7" w:rsidRPr="00EE59E9">
        <w:rPr>
          <w:rFonts w:asciiTheme="majorHAnsi" w:hAnsiTheme="majorHAnsi" w:cstheme="majorHAnsi"/>
          <w:b/>
          <w:bCs/>
          <w:sz w:val="24"/>
          <w:szCs w:val="24"/>
        </w:rPr>
        <w:tab/>
        <w:t xml:space="preserve"> </w:t>
      </w:r>
      <w:r w:rsidR="00E06EA7" w:rsidRPr="00EE59E9">
        <w:rPr>
          <w:rFonts w:asciiTheme="majorHAnsi" w:hAnsiTheme="majorHAnsi" w:cstheme="majorHAnsi"/>
          <w:b/>
          <w:bCs/>
          <w:sz w:val="24"/>
          <w:szCs w:val="24"/>
        </w:rPr>
        <w:tab/>
      </w:r>
      <w:r w:rsidR="00E06EA7" w:rsidRPr="00EE59E9">
        <w:rPr>
          <w:rFonts w:asciiTheme="majorHAnsi" w:hAnsiTheme="majorHAnsi" w:cstheme="majorHAnsi"/>
          <w:b/>
          <w:bCs/>
          <w:sz w:val="24"/>
          <w:szCs w:val="24"/>
        </w:rPr>
        <w:tab/>
        <w:t xml:space="preserve">            </w:t>
      </w:r>
      <w:r w:rsidR="00E24120" w:rsidRPr="00EE59E9">
        <w:rPr>
          <w:rFonts w:asciiTheme="majorHAnsi" w:hAnsiTheme="majorHAnsi" w:cstheme="majorHAnsi"/>
          <w:b/>
          <w:bCs/>
          <w:sz w:val="24"/>
          <w:szCs w:val="24"/>
        </w:rPr>
        <w:t xml:space="preserve">    </w:t>
      </w:r>
      <w:r w:rsidRPr="00EE59E9">
        <w:rPr>
          <w:rFonts w:asciiTheme="majorHAnsi" w:hAnsiTheme="majorHAnsi" w:cstheme="majorHAnsi"/>
          <w:sz w:val="24"/>
          <w:szCs w:val="24"/>
        </w:rPr>
        <w:t>APPLICANT</w:t>
      </w:r>
    </w:p>
    <w:p w:rsidR="00E24120" w:rsidRPr="00EE59E9" w:rsidRDefault="00E24120" w:rsidP="00E24120">
      <w:pPr>
        <w:pBdr>
          <w:bottom w:val="single" w:sz="6" w:space="1" w:color="auto"/>
        </w:pBdr>
        <w:spacing w:line="480" w:lineRule="auto"/>
        <w:ind w:firstLine="720"/>
        <w:jc w:val="both"/>
        <w:rPr>
          <w:rFonts w:asciiTheme="majorHAnsi" w:hAnsiTheme="majorHAnsi" w:cstheme="majorHAnsi"/>
          <w:sz w:val="24"/>
          <w:szCs w:val="24"/>
        </w:rPr>
      </w:pPr>
      <w:r w:rsidRPr="00EE59E9">
        <w:rPr>
          <w:rFonts w:asciiTheme="majorHAnsi" w:hAnsiTheme="majorHAnsi" w:cstheme="majorHAnsi"/>
          <w:sz w:val="24"/>
          <w:szCs w:val="24"/>
        </w:rPr>
        <w:t xml:space="preserve"> </w:t>
      </w:r>
      <w:r w:rsidRPr="00EE59E9">
        <w:rPr>
          <w:rFonts w:asciiTheme="majorHAnsi" w:hAnsiTheme="majorHAnsi" w:cstheme="majorHAnsi"/>
          <w:sz w:val="24"/>
          <w:szCs w:val="24"/>
        </w:rPr>
        <w:tab/>
      </w:r>
      <w:r w:rsidRPr="00EE59E9">
        <w:rPr>
          <w:rFonts w:asciiTheme="majorHAnsi" w:hAnsiTheme="majorHAnsi" w:cstheme="majorHAnsi"/>
          <w:sz w:val="24"/>
          <w:szCs w:val="24"/>
        </w:rPr>
        <w:tab/>
      </w:r>
      <w:r w:rsidRPr="00EE59E9">
        <w:rPr>
          <w:rFonts w:asciiTheme="majorHAnsi" w:hAnsiTheme="majorHAnsi" w:cstheme="majorHAnsi"/>
          <w:sz w:val="24"/>
          <w:szCs w:val="24"/>
        </w:rPr>
        <w:tab/>
      </w:r>
      <w:r w:rsidRPr="00EE59E9">
        <w:rPr>
          <w:rFonts w:asciiTheme="majorHAnsi" w:hAnsiTheme="majorHAnsi" w:cstheme="majorHAnsi"/>
          <w:sz w:val="24"/>
          <w:szCs w:val="24"/>
        </w:rPr>
        <w:tab/>
      </w:r>
      <w:r w:rsidRPr="00EE59E9">
        <w:rPr>
          <w:rFonts w:asciiTheme="majorHAnsi" w:hAnsiTheme="majorHAnsi" w:cstheme="majorHAnsi"/>
          <w:sz w:val="24"/>
          <w:szCs w:val="24"/>
        </w:rPr>
        <w:tab/>
      </w:r>
      <w:r w:rsidRPr="00EE59E9">
        <w:rPr>
          <w:rFonts w:asciiTheme="majorHAnsi" w:hAnsiTheme="majorHAnsi" w:cstheme="majorHAnsi"/>
          <w:sz w:val="24"/>
          <w:szCs w:val="24"/>
        </w:rPr>
        <w:tab/>
      </w:r>
      <w:r w:rsidRPr="00EE59E9">
        <w:rPr>
          <w:rFonts w:asciiTheme="majorHAnsi" w:hAnsiTheme="majorHAnsi" w:cstheme="majorHAnsi"/>
          <w:sz w:val="24"/>
          <w:szCs w:val="24"/>
        </w:rPr>
        <w:tab/>
        <w:t xml:space="preserve">   </w:t>
      </w:r>
    </w:p>
    <w:p w:rsidR="00E06EA7" w:rsidRPr="00EE59E9" w:rsidRDefault="00E24120" w:rsidP="00E06EA7">
      <w:pPr>
        <w:pBdr>
          <w:bottom w:val="single" w:sz="6" w:space="1" w:color="auto"/>
        </w:pBdr>
        <w:spacing w:line="480" w:lineRule="auto"/>
        <w:jc w:val="both"/>
        <w:rPr>
          <w:rFonts w:asciiTheme="majorHAnsi" w:hAnsiTheme="majorHAnsi" w:cstheme="majorHAnsi"/>
          <w:sz w:val="24"/>
          <w:szCs w:val="24"/>
        </w:rPr>
      </w:pPr>
      <w:r w:rsidRPr="00EE59E9">
        <w:rPr>
          <w:rFonts w:asciiTheme="majorHAnsi" w:hAnsiTheme="majorHAnsi" w:cstheme="majorHAnsi"/>
          <w:sz w:val="24"/>
          <w:szCs w:val="24"/>
        </w:rPr>
        <w:t>a</w:t>
      </w:r>
      <w:r w:rsidR="00E06EA7" w:rsidRPr="00EE59E9">
        <w:rPr>
          <w:rFonts w:asciiTheme="majorHAnsi" w:hAnsiTheme="majorHAnsi" w:cstheme="majorHAnsi"/>
          <w:sz w:val="24"/>
          <w:szCs w:val="24"/>
        </w:rPr>
        <w:t>nd</w:t>
      </w:r>
      <w:r w:rsidR="00E06EA7" w:rsidRPr="00EE59E9">
        <w:rPr>
          <w:rFonts w:asciiTheme="majorHAnsi" w:hAnsiTheme="majorHAnsi" w:cstheme="majorHAnsi"/>
          <w:sz w:val="24"/>
          <w:szCs w:val="24"/>
        </w:rPr>
        <w:tab/>
      </w:r>
      <w:r w:rsidR="00E06EA7" w:rsidRPr="00EE59E9">
        <w:rPr>
          <w:rFonts w:asciiTheme="majorHAnsi" w:hAnsiTheme="majorHAnsi" w:cstheme="majorHAnsi"/>
          <w:sz w:val="24"/>
          <w:szCs w:val="24"/>
        </w:rPr>
        <w:tab/>
      </w:r>
      <w:r w:rsidR="00E06EA7" w:rsidRPr="00EE59E9">
        <w:rPr>
          <w:rFonts w:asciiTheme="majorHAnsi" w:hAnsiTheme="majorHAnsi" w:cstheme="majorHAnsi"/>
          <w:sz w:val="24"/>
          <w:szCs w:val="24"/>
        </w:rPr>
        <w:tab/>
      </w:r>
      <w:r w:rsidR="00E06EA7" w:rsidRPr="00EE59E9">
        <w:rPr>
          <w:rFonts w:asciiTheme="majorHAnsi" w:hAnsiTheme="majorHAnsi" w:cstheme="majorHAnsi"/>
          <w:sz w:val="24"/>
          <w:szCs w:val="24"/>
        </w:rPr>
        <w:tab/>
      </w:r>
      <w:r w:rsidR="00E06EA7" w:rsidRPr="00EE59E9">
        <w:rPr>
          <w:rFonts w:asciiTheme="majorHAnsi" w:hAnsiTheme="majorHAnsi" w:cstheme="majorHAnsi"/>
          <w:sz w:val="24"/>
          <w:szCs w:val="24"/>
        </w:rPr>
        <w:tab/>
      </w:r>
      <w:r w:rsidR="00E06EA7" w:rsidRPr="00EE59E9">
        <w:rPr>
          <w:rFonts w:asciiTheme="majorHAnsi" w:hAnsiTheme="majorHAnsi" w:cstheme="majorHAnsi"/>
          <w:sz w:val="24"/>
          <w:szCs w:val="24"/>
        </w:rPr>
        <w:tab/>
      </w:r>
      <w:r w:rsidR="00E06EA7" w:rsidRPr="00EE59E9">
        <w:rPr>
          <w:rFonts w:asciiTheme="majorHAnsi" w:hAnsiTheme="majorHAnsi" w:cstheme="majorHAnsi"/>
          <w:sz w:val="24"/>
          <w:szCs w:val="24"/>
        </w:rPr>
        <w:tab/>
      </w:r>
      <w:r w:rsidR="00E06EA7" w:rsidRPr="00EE59E9">
        <w:rPr>
          <w:rFonts w:asciiTheme="majorHAnsi" w:hAnsiTheme="majorHAnsi" w:cstheme="majorHAnsi"/>
          <w:sz w:val="24"/>
          <w:szCs w:val="24"/>
        </w:rPr>
        <w:tab/>
        <w:t xml:space="preserve">           </w:t>
      </w:r>
    </w:p>
    <w:p w:rsidR="00E06EA7" w:rsidRPr="00EE59E9" w:rsidRDefault="00E06EA7" w:rsidP="00E06EA7">
      <w:pPr>
        <w:pBdr>
          <w:bottom w:val="single" w:sz="6" w:space="1" w:color="auto"/>
        </w:pBdr>
        <w:spacing w:line="480" w:lineRule="auto"/>
        <w:jc w:val="both"/>
        <w:rPr>
          <w:rFonts w:asciiTheme="majorHAnsi" w:hAnsiTheme="majorHAnsi" w:cstheme="majorHAnsi"/>
          <w:sz w:val="24"/>
          <w:szCs w:val="24"/>
        </w:rPr>
      </w:pPr>
    </w:p>
    <w:p w:rsidR="00057CDD" w:rsidRPr="00EE59E9" w:rsidRDefault="00057CDD" w:rsidP="00057CDD">
      <w:pPr>
        <w:pBdr>
          <w:bottom w:val="single" w:sz="6" w:space="1" w:color="auto"/>
        </w:pBdr>
        <w:spacing w:line="480" w:lineRule="auto"/>
        <w:jc w:val="both"/>
        <w:rPr>
          <w:rFonts w:asciiTheme="majorHAnsi" w:hAnsiTheme="majorHAnsi" w:cstheme="majorHAnsi"/>
          <w:sz w:val="24"/>
          <w:szCs w:val="24"/>
        </w:rPr>
      </w:pPr>
      <w:r w:rsidRPr="00EE59E9">
        <w:rPr>
          <w:rFonts w:asciiTheme="majorHAnsi" w:hAnsiTheme="majorHAnsi" w:cstheme="majorHAnsi"/>
          <w:b/>
          <w:bCs/>
          <w:sz w:val="24"/>
          <w:szCs w:val="24"/>
        </w:rPr>
        <w:t>BLUE</w:t>
      </w:r>
      <w:r w:rsidR="00881D52" w:rsidRPr="00EE59E9">
        <w:rPr>
          <w:rFonts w:asciiTheme="majorHAnsi" w:hAnsiTheme="majorHAnsi" w:cstheme="majorHAnsi"/>
          <w:b/>
          <w:bCs/>
          <w:sz w:val="24"/>
          <w:szCs w:val="24"/>
        </w:rPr>
        <w:t xml:space="preserve"> </w:t>
      </w:r>
      <w:r w:rsidRPr="00EE59E9">
        <w:rPr>
          <w:rFonts w:asciiTheme="majorHAnsi" w:hAnsiTheme="majorHAnsi" w:cstheme="majorHAnsi"/>
          <w:b/>
          <w:bCs/>
          <w:sz w:val="24"/>
          <w:szCs w:val="24"/>
        </w:rPr>
        <w:t>GUM ESTATE (PTY) LTD</w:t>
      </w:r>
      <w:r w:rsidRPr="00EE59E9">
        <w:rPr>
          <w:rFonts w:asciiTheme="majorHAnsi" w:hAnsiTheme="majorHAnsi" w:cstheme="majorHAnsi"/>
          <w:b/>
          <w:bCs/>
          <w:sz w:val="24"/>
          <w:szCs w:val="24"/>
        </w:rPr>
        <w:tab/>
      </w:r>
      <w:r w:rsidR="00E24120" w:rsidRPr="00EE59E9">
        <w:rPr>
          <w:rFonts w:asciiTheme="majorHAnsi" w:hAnsiTheme="majorHAnsi" w:cstheme="majorHAnsi"/>
          <w:b/>
          <w:bCs/>
          <w:sz w:val="24"/>
          <w:szCs w:val="24"/>
        </w:rPr>
        <w:tab/>
      </w:r>
      <w:r w:rsidR="00E24120" w:rsidRPr="00EE59E9">
        <w:rPr>
          <w:rFonts w:asciiTheme="majorHAnsi" w:hAnsiTheme="majorHAnsi" w:cstheme="majorHAnsi"/>
          <w:b/>
          <w:bCs/>
          <w:sz w:val="24"/>
          <w:szCs w:val="24"/>
        </w:rPr>
        <w:tab/>
      </w:r>
      <w:r w:rsidR="00E24120" w:rsidRPr="00EE59E9">
        <w:rPr>
          <w:rFonts w:asciiTheme="majorHAnsi" w:hAnsiTheme="majorHAnsi" w:cstheme="majorHAnsi"/>
          <w:b/>
          <w:bCs/>
          <w:sz w:val="24"/>
          <w:szCs w:val="24"/>
        </w:rPr>
        <w:tab/>
      </w:r>
      <w:r w:rsidR="00E24120" w:rsidRPr="00EE59E9">
        <w:rPr>
          <w:rFonts w:asciiTheme="majorHAnsi" w:hAnsiTheme="majorHAnsi" w:cstheme="majorHAnsi"/>
          <w:b/>
          <w:bCs/>
          <w:sz w:val="24"/>
          <w:szCs w:val="24"/>
        </w:rPr>
        <w:tab/>
      </w:r>
      <w:r w:rsidRPr="00EE59E9">
        <w:rPr>
          <w:rFonts w:asciiTheme="majorHAnsi" w:hAnsiTheme="majorHAnsi" w:cstheme="majorHAnsi"/>
          <w:b/>
          <w:bCs/>
          <w:sz w:val="24"/>
          <w:szCs w:val="24"/>
        </w:rPr>
        <w:t xml:space="preserve"> </w:t>
      </w:r>
      <w:r w:rsidRPr="00EE59E9">
        <w:rPr>
          <w:rFonts w:asciiTheme="majorHAnsi" w:hAnsiTheme="majorHAnsi" w:cstheme="majorHAnsi"/>
          <w:sz w:val="24"/>
          <w:szCs w:val="24"/>
        </w:rPr>
        <w:t xml:space="preserve">FIRST </w:t>
      </w:r>
      <w:r w:rsidR="00E24120" w:rsidRPr="00EE59E9">
        <w:rPr>
          <w:rFonts w:asciiTheme="majorHAnsi" w:hAnsiTheme="majorHAnsi" w:cstheme="majorHAnsi"/>
          <w:sz w:val="24"/>
          <w:szCs w:val="24"/>
        </w:rPr>
        <w:t>RESPONDENT</w:t>
      </w:r>
    </w:p>
    <w:p w:rsidR="00E06EA7" w:rsidRPr="00EE59E9" w:rsidRDefault="00057CDD" w:rsidP="00057CDD">
      <w:pPr>
        <w:pBdr>
          <w:bottom w:val="single" w:sz="6" w:space="1" w:color="auto"/>
        </w:pBdr>
        <w:spacing w:line="480" w:lineRule="auto"/>
        <w:jc w:val="both"/>
        <w:rPr>
          <w:rFonts w:asciiTheme="majorHAnsi" w:hAnsiTheme="majorHAnsi" w:cstheme="majorHAnsi"/>
          <w:sz w:val="24"/>
          <w:szCs w:val="24"/>
        </w:rPr>
      </w:pPr>
      <w:r w:rsidRPr="00EE59E9">
        <w:rPr>
          <w:rFonts w:asciiTheme="majorHAnsi" w:hAnsiTheme="majorHAnsi" w:cstheme="majorHAnsi"/>
          <w:b/>
          <w:bCs/>
          <w:sz w:val="24"/>
          <w:szCs w:val="24"/>
        </w:rPr>
        <w:t>REGISTRAR OF DEEDS</w:t>
      </w:r>
      <w:r w:rsidR="00824A6E" w:rsidRPr="00EE59E9">
        <w:rPr>
          <w:rFonts w:asciiTheme="majorHAnsi" w:hAnsiTheme="majorHAnsi" w:cstheme="majorHAnsi"/>
          <w:sz w:val="24"/>
          <w:szCs w:val="24"/>
        </w:rPr>
        <w:tab/>
      </w:r>
      <w:r w:rsidR="00824A6E" w:rsidRPr="00EE59E9">
        <w:rPr>
          <w:rFonts w:asciiTheme="majorHAnsi" w:hAnsiTheme="majorHAnsi" w:cstheme="majorHAnsi"/>
          <w:sz w:val="24"/>
          <w:szCs w:val="24"/>
        </w:rPr>
        <w:tab/>
      </w:r>
      <w:r w:rsidR="00824A6E" w:rsidRPr="00EE59E9">
        <w:rPr>
          <w:rFonts w:asciiTheme="majorHAnsi" w:hAnsiTheme="majorHAnsi" w:cstheme="majorHAnsi"/>
          <w:sz w:val="24"/>
          <w:szCs w:val="24"/>
        </w:rPr>
        <w:tab/>
      </w:r>
      <w:r w:rsidR="00824A6E" w:rsidRPr="00EE59E9">
        <w:rPr>
          <w:rFonts w:asciiTheme="majorHAnsi" w:hAnsiTheme="majorHAnsi" w:cstheme="majorHAnsi"/>
          <w:sz w:val="24"/>
          <w:szCs w:val="24"/>
        </w:rPr>
        <w:tab/>
      </w:r>
      <w:r w:rsidR="00824A6E" w:rsidRPr="00EE59E9">
        <w:rPr>
          <w:rFonts w:asciiTheme="majorHAnsi" w:hAnsiTheme="majorHAnsi" w:cstheme="majorHAnsi"/>
          <w:sz w:val="24"/>
          <w:szCs w:val="24"/>
        </w:rPr>
        <w:tab/>
        <w:t xml:space="preserve">      </w:t>
      </w:r>
      <w:r w:rsidR="00881D52" w:rsidRPr="00EE59E9">
        <w:rPr>
          <w:rFonts w:asciiTheme="majorHAnsi" w:hAnsiTheme="majorHAnsi" w:cstheme="majorHAnsi"/>
          <w:sz w:val="24"/>
          <w:szCs w:val="24"/>
        </w:rPr>
        <w:t xml:space="preserve"> </w:t>
      </w:r>
      <w:r w:rsidRPr="002D3A23">
        <w:rPr>
          <w:rFonts w:asciiTheme="majorHAnsi" w:hAnsiTheme="majorHAnsi" w:cstheme="majorHAnsi"/>
          <w:sz w:val="24"/>
          <w:szCs w:val="24"/>
        </w:rPr>
        <w:t>SECOND</w:t>
      </w:r>
      <w:r w:rsidR="002D3A23">
        <w:rPr>
          <w:rFonts w:asciiTheme="majorHAnsi" w:hAnsiTheme="majorHAnsi" w:cstheme="majorHAnsi"/>
          <w:sz w:val="24"/>
          <w:szCs w:val="24"/>
        </w:rPr>
        <w:t xml:space="preserve"> </w:t>
      </w:r>
      <w:r w:rsidRPr="002D3A23">
        <w:rPr>
          <w:rFonts w:asciiTheme="majorHAnsi" w:hAnsiTheme="majorHAnsi" w:cstheme="majorHAnsi"/>
          <w:sz w:val="24"/>
          <w:szCs w:val="24"/>
        </w:rPr>
        <w:t>RESPONDENT</w:t>
      </w:r>
    </w:p>
    <w:p w:rsidR="00057CDD" w:rsidRPr="00A74C32" w:rsidRDefault="00057CDD" w:rsidP="002D3A23">
      <w:pPr>
        <w:pBdr>
          <w:bottom w:val="single" w:sz="6" w:space="1" w:color="auto"/>
        </w:pBdr>
        <w:jc w:val="both"/>
        <w:rPr>
          <w:rFonts w:asciiTheme="majorHAnsi" w:hAnsiTheme="majorHAnsi" w:cstheme="majorHAnsi"/>
        </w:rPr>
      </w:pPr>
    </w:p>
    <w:p w:rsidR="00BD38D1" w:rsidRDefault="00BD38D1" w:rsidP="002D3A23"/>
    <w:p w:rsidR="00B51744" w:rsidRPr="00DD7855" w:rsidRDefault="00E06EA7" w:rsidP="00DD7855">
      <w:pPr>
        <w:pBdr>
          <w:bottom w:val="single" w:sz="6" w:space="1" w:color="auto"/>
        </w:pBdr>
        <w:jc w:val="center"/>
        <w:rPr>
          <w:rFonts w:ascii="Arial" w:hAnsi="Arial" w:cs="Arial"/>
          <w:b/>
          <w:bCs/>
          <w:sz w:val="28"/>
          <w:szCs w:val="28"/>
        </w:rPr>
      </w:pPr>
      <w:r w:rsidRPr="00DC0B31">
        <w:rPr>
          <w:rFonts w:ascii="Arial" w:hAnsi="Arial" w:cs="Arial"/>
          <w:b/>
          <w:bCs/>
          <w:sz w:val="28"/>
          <w:szCs w:val="28"/>
        </w:rPr>
        <w:t>J</w:t>
      </w:r>
      <w:r w:rsidR="00B51744" w:rsidRPr="00DC0B31">
        <w:rPr>
          <w:rFonts w:ascii="Arial" w:hAnsi="Arial" w:cs="Arial"/>
          <w:b/>
          <w:bCs/>
          <w:sz w:val="28"/>
          <w:szCs w:val="28"/>
        </w:rPr>
        <w:t>UDGMENT</w:t>
      </w:r>
      <w:r w:rsidRPr="00BD38D1">
        <w:rPr>
          <w:rFonts w:asciiTheme="majorHAnsi" w:hAnsiTheme="majorHAnsi" w:cstheme="majorHAnsi"/>
          <w:lang w:val="en-GB"/>
        </w:rPr>
        <w:br/>
      </w:r>
    </w:p>
    <w:p w:rsidR="00BD38D1" w:rsidRPr="00BD38D1" w:rsidRDefault="00BD38D1" w:rsidP="002D3A23">
      <w:pPr>
        <w:rPr>
          <w:rFonts w:asciiTheme="majorHAnsi" w:hAnsiTheme="majorHAnsi" w:cstheme="majorHAnsi"/>
          <w:lang w:val="en-GB"/>
        </w:rPr>
      </w:pPr>
    </w:p>
    <w:p w:rsidR="00E06EA7" w:rsidRPr="00A74C32" w:rsidRDefault="00E06EA7" w:rsidP="00B51744">
      <w:pPr>
        <w:spacing w:line="360" w:lineRule="auto"/>
        <w:rPr>
          <w:rFonts w:asciiTheme="majorHAnsi" w:hAnsiTheme="majorHAnsi" w:cstheme="majorHAnsi"/>
          <w:b/>
          <w:sz w:val="28"/>
          <w:szCs w:val="28"/>
          <w:u w:val="single"/>
        </w:rPr>
      </w:pPr>
      <w:r w:rsidRPr="00A74C32">
        <w:rPr>
          <w:rFonts w:asciiTheme="majorHAnsi" w:hAnsiTheme="majorHAnsi" w:cstheme="majorHAnsi"/>
          <w:b/>
          <w:sz w:val="28"/>
          <w:szCs w:val="28"/>
          <w:u w:val="single"/>
        </w:rPr>
        <w:t>ANNANDALE, AJ</w:t>
      </w:r>
    </w:p>
    <w:p w:rsidR="00E06EA7" w:rsidRPr="00A74C32" w:rsidRDefault="00E06EA7" w:rsidP="00B51744">
      <w:pPr>
        <w:spacing w:line="360" w:lineRule="auto"/>
        <w:rPr>
          <w:rFonts w:asciiTheme="majorHAnsi" w:hAnsiTheme="majorHAnsi" w:cstheme="majorHAnsi"/>
          <w:b/>
          <w:sz w:val="28"/>
          <w:szCs w:val="28"/>
          <w:u w:val="single"/>
        </w:rPr>
      </w:pPr>
    </w:p>
    <w:p w:rsidR="00E06EA7" w:rsidRDefault="00057CDD" w:rsidP="00BD38D1">
      <w:pPr>
        <w:pStyle w:val="ListParagraph"/>
        <w:numPr>
          <w:ilvl w:val="0"/>
          <w:numId w:val="1"/>
        </w:numPr>
        <w:spacing w:after="240" w:line="360" w:lineRule="auto"/>
        <w:contextualSpacing w:val="0"/>
        <w:jc w:val="both"/>
        <w:rPr>
          <w:rFonts w:asciiTheme="majorHAnsi" w:hAnsiTheme="majorHAnsi" w:cstheme="majorHAnsi"/>
          <w:sz w:val="24"/>
          <w:szCs w:val="24"/>
        </w:rPr>
      </w:pPr>
      <w:r w:rsidRPr="00A74C32">
        <w:rPr>
          <w:rFonts w:asciiTheme="majorHAnsi" w:hAnsiTheme="majorHAnsi" w:cstheme="majorHAnsi"/>
          <w:sz w:val="24"/>
          <w:szCs w:val="24"/>
        </w:rPr>
        <w:t xml:space="preserve">The issue in this application is whether the applicant validly exercised an option to </w:t>
      </w:r>
      <w:r w:rsidR="00EE59E9">
        <w:rPr>
          <w:rFonts w:asciiTheme="majorHAnsi" w:hAnsiTheme="majorHAnsi" w:cstheme="majorHAnsi"/>
          <w:sz w:val="24"/>
          <w:szCs w:val="24"/>
        </w:rPr>
        <w:t>ac</w:t>
      </w:r>
      <w:r w:rsidRPr="00A74C32">
        <w:rPr>
          <w:rFonts w:asciiTheme="majorHAnsi" w:hAnsiTheme="majorHAnsi" w:cstheme="majorHAnsi"/>
          <w:sz w:val="24"/>
          <w:szCs w:val="24"/>
        </w:rPr>
        <w:t>quire a portion of land referred to as ‘the House Sub-division’ a</w:t>
      </w:r>
      <w:r w:rsidR="00EE59E9">
        <w:rPr>
          <w:rFonts w:asciiTheme="majorHAnsi" w:hAnsiTheme="majorHAnsi" w:cstheme="majorHAnsi"/>
          <w:sz w:val="24"/>
          <w:szCs w:val="24"/>
        </w:rPr>
        <w:t>nd</w:t>
      </w:r>
      <w:r w:rsidRPr="00A74C32">
        <w:rPr>
          <w:rFonts w:asciiTheme="majorHAnsi" w:hAnsiTheme="majorHAnsi" w:cstheme="majorHAnsi"/>
          <w:sz w:val="24"/>
          <w:szCs w:val="24"/>
        </w:rPr>
        <w:t xml:space="preserve"> is consequently entitled to </w:t>
      </w:r>
      <w:r w:rsidR="004B54AB">
        <w:rPr>
          <w:rFonts w:asciiTheme="majorHAnsi" w:hAnsiTheme="majorHAnsi" w:cstheme="majorHAnsi"/>
          <w:sz w:val="24"/>
          <w:szCs w:val="24"/>
        </w:rPr>
        <w:t xml:space="preserve">an order </w:t>
      </w:r>
      <w:r w:rsidRPr="00A74C32">
        <w:rPr>
          <w:rFonts w:asciiTheme="majorHAnsi" w:hAnsiTheme="majorHAnsi" w:cstheme="majorHAnsi"/>
          <w:sz w:val="24"/>
          <w:szCs w:val="24"/>
        </w:rPr>
        <w:t>compel</w:t>
      </w:r>
      <w:r w:rsidR="004B54AB">
        <w:rPr>
          <w:rFonts w:asciiTheme="majorHAnsi" w:hAnsiTheme="majorHAnsi" w:cstheme="majorHAnsi"/>
          <w:sz w:val="24"/>
          <w:szCs w:val="24"/>
        </w:rPr>
        <w:t>ling</w:t>
      </w:r>
      <w:r w:rsidRPr="00A74C32">
        <w:rPr>
          <w:rFonts w:asciiTheme="majorHAnsi" w:hAnsiTheme="majorHAnsi" w:cstheme="majorHAnsi"/>
          <w:sz w:val="24"/>
          <w:szCs w:val="24"/>
        </w:rPr>
        <w:t xml:space="preserve"> transfer.  </w:t>
      </w:r>
    </w:p>
    <w:p w:rsidR="004B54AB" w:rsidRPr="0095527B" w:rsidRDefault="004B54AB" w:rsidP="004B54AB">
      <w:pPr>
        <w:pStyle w:val="ListParagraph"/>
        <w:numPr>
          <w:ilvl w:val="0"/>
          <w:numId w:val="1"/>
        </w:numPr>
        <w:spacing w:after="240" w:line="360" w:lineRule="auto"/>
        <w:jc w:val="both"/>
        <w:rPr>
          <w:rFonts w:asciiTheme="majorHAnsi" w:hAnsiTheme="majorHAnsi" w:cstheme="majorHAnsi"/>
          <w:sz w:val="24"/>
          <w:szCs w:val="24"/>
        </w:rPr>
      </w:pPr>
      <w:r w:rsidRPr="0095527B">
        <w:rPr>
          <w:rFonts w:asciiTheme="majorHAnsi" w:hAnsiTheme="majorHAnsi" w:cstheme="majorHAnsi"/>
          <w:sz w:val="24"/>
          <w:szCs w:val="24"/>
        </w:rPr>
        <w:t xml:space="preserve">The first respondent resists the application, contending </w:t>
      </w:r>
      <w:r w:rsidR="000A4B65">
        <w:rPr>
          <w:rFonts w:asciiTheme="majorHAnsi" w:hAnsiTheme="majorHAnsi" w:cstheme="majorHAnsi"/>
          <w:sz w:val="24"/>
          <w:szCs w:val="24"/>
        </w:rPr>
        <w:t xml:space="preserve">that </w:t>
      </w:r>
      <w:r w:rsidRPr="0095527B">
        <w:rPr>
          <w:rFonts w:asciiTheme="majorHAnsi" w:hAnsiTheme="majorHAnsi" w:cstheme="majorHAnsi"/>
          <w:sz w:val="24"/>
          <w:szCs w:val="24"/>
        </w:rPr>
        <w:t xml:space="preserve">the option was incapable of being exercised as </w:t>
      </w:r>
      <w:r w:rsidR="0095527B">
        <w:rPr>
          <w:rFonts w:asciiTheme="majorHAnsi" w:hAnsiTheme="majorHAnsi" w:cstheme="majorHAnsi"/>
          <w:sz w:val="24"/>
          <w:szCs w:val="24"/>
        </w:rPr>
        <w:t xml:space="preserve">four separate subdivisions were created instead of </w:t>
      </w:r>
      <w:r w:rsidRPr="0095527B">
        <w:rPr>
          <w:rFonts w:asciiTheme="majorHAnsi" w:hAnsiTheme="majorHAnsi" w:cstheme="majorHAnsi"/>
          <w:sz w:val="24"/>
          <w:szCs w:val="24"/>
        </w:rPr>
        <w:t>the House Sub</w:t>
      </w:r>
      <w:r w:rsidR="000A4B65">
        <w:rPr>
          <w:rFonts w:asciiTheme="majorHAnsi" w:hAnsiTheme="majorHAnsi" w:cstheme="majorHAnsi"/>
          <w:sz w:val="24"/>
          <w:szCs w:val="24"/>
        </w:rPr>
        <w:t>-</w:t>
      </w:r>
      <w:r w:rsidRPr="0095527B">
        <w:rPr>
          <w:rFonts w:asciiTheme="majorHAnsi" w:hAnsiTheme="majorHAnsi" w:cstheme="majorHAnsi"/>
          <w:sz w:val="24"/>
          <w:szCs w:val="24"/>
        </w:rPr>
        <w:t>division, alternatively that the option was not validly exercised.</w:t>
      </w:r>
      <w:r w:rsidR="0095527B">
        <w:rPr>
          <w:rFonts w:asciiTheme="majorHAnsi" w:hAnsiTheme="majorHAnsi" w:cstheme="majorHAnsi"/>
          <w:sz w:val="24"/>
          <w:szCs w:val="24"/>
        </w:rPr>
        <w:t xml:space="preserve"> </w:t>
      </w:r>
      <w:r w:rsidRPr="0095527B">
        <w:rPr>
          <w:rFonts w:asciiTheme="majorHAnsi" w:hAnsiTheme="majorHAnsi" w:cstheme="majorHAnsi"/>
          <w:sz w:val="24"/>
          <w:szCs w:val="24"/>
        </w:rPr>
        <w:t xml:space="preserve">The second respondent, the Registrar of Deeds has played no part in the proceedings. </w:t>
      </w:r>
    </w:p>
    <w:p w:rsidR="004B54AB" w:rsidRPr="004B54AB" w:rsidRDefault="004B54AB" w:rsidP="004B54AB">
      <w:pPr>
        <w:pStyle w:val="ListParagraph"/>
        <w:spacing w:after="240" w:line="360" w:lineRule="auto"/>
        <w:ind w:left="0"/>
        <w:jc w:val="both"/>
        <w:rPr>
          <w:rFonts w:asciiTheme="majorHAnsi" w:hAnsiTheme="majorHAnsi" w:cstheme="majorHAnsi"/>
          <w:sz w:val="24"/>
          <w:szCs w:val="24"/>
          <w:highlight w:val="yellow"/>
        </w:rPr>
      </w:pPr>
    </w:p>
    <w:p w:rsidR="00630327" w:rsidRPr="004B54AB" w:rsidRDefault="00057CDD" w:rsidP="00630327">
      <w:pPr>
        <w:pStyle w:val="ListParagraph"/>
        <w:numPr>
          <w:ilvl w:val="0"/>
          <w:numId w:val="1"/>
        </w:numPr>
        <w:spacing w:after="240" w:line="360" w:lineRule="auto"/>
        <w:contextualSpacing w:val="0"/>
        <w:jc w:val="both"/>
        <w:rPr>
          <w:rFonts w:asciiTheme="majorHAnsi" w:hAnsiTheme="majorHAnsi" w:cstheme="majorHAnsi"/>
          <w:sz w:val="24"/>
          <w:szCs w:val="24"/>
        </w:rPr>
      </w:pPr>
      <w:r w:rsidRPr="00A74C32">
        <w:rPr>
          <w:rFonts w:asciiTheme="majorHAnsi" w:hAnsiTheme="majorHAnsi" w:cstheme="majorHAnsi"/>
          <w:sz w:val="24"/>
          <w:szCs w:val="24"/>
        </w:rPr>
        <w:t>The matter has a long history but, for reasons unknown, various aspects of that history which one would expect to be canvassed in the affidavits are not mentioned by any of the parties.</w:t>
      </w:r>
      <w:r w:rsidR="008F166F">
        <w:rPr>
          <w:rFonts w:asciiTheme="majorHAnsi" w:hAnsiTheme="majorHAnsi" w:cstheme="majorHAnsi"/>
          <w:sz w:val="24"/>
          <w:szCs w:val="24"/>
        </w:rPr>
        <w:t xml:space="preserve"> </w:t>
      </w:r>
    </w:p>
    <w:p w:rsidR="00057CDD" w:rsidRPr="00A74C32" w:rsidRDefault="00057CDD" w:rsidP="00BD38D1">
      <w:pPr>
        <w:pStyle w:val="ListParagraph"/>
        <w:spacing w:after="240" w:line="360" w:lineRule="auto"/>
        <w:ind w:left="0"/>
        <w:contextualSpacing w:val="0"/>
        <w:jc w:val="both"/>
        <w:rPr>
          <w:rFonts w:asciiTheme="majorHAnsi" w:hAnsiTheme="majorHAnsi" w:cstheme="majorHAnsi"/>
          <w:b/>
          <w:bCs/>
          <w:sz w:val="24"/>
          <w:szCs w:val="24"/>
        </w:rPr>
      </w:pPr>
      <w:r w:rsidRPr="00A74C32">
        <w:rPr>
          <w:rFonts w:asciiTheme="majorHAnsi" w:hAnsiTheme="majorHAnsi" w:cstheme="majorHAnsi"/>
          <w:b/>
          <w:bCs/>
          <w:sz w:val="24"/>
          <w:szCs w:val="24"/>
        </w:rPr>
        <w:t>The facts</w:t>
      </w:r>
    </w:p>
    <w:p w:rsidR="00D002E3" w:rsidRPr="00D002E3" w:rsidRDefault="00057CDD" w:rsidP="00D002E3">
      <w:pPr>
        <w:pStyle w:val="ListParagraph"/>
        <w:numPr>
          <w:ilvl w:val="0"/>
          <w:numId w:val="1"/>
        </w:numPr>
        <w:spacing w:after="240" w:line="360" w:lineRule="auto"/>
        <w:contextualSpacing w:val="0"/>
        <w:jc w:val="both"/>
        <w:rPr>
          <w:rFonts w:asciiTheme="majorHAnsi" w:hAnsiTheme="majorHAnsi" w:cstheme="majorHAnsi"/>
          <w:sz w:val="24"/>
          <w:szCs w:val="24"/>
        </w:rPr>
      </w:pPr>
      <w:r w:rsidRPr="00A74C32">
        <w:rPr>
          <w:rFonts w:asciiTheme="majorHAnsi" w:hAnsiTheme="majorHAnsi" w:cstheme="majorHAnsi"/>
          <w:sz w:val="24"/>
          <w:szCs w:val="24"/>
        </w:rPr>
        <w:t>On 11 August 2006 the applicant and the first respondent</w:t>
      </w:r>
      <w:r w:rsidR="00EE59E9">
        <w:rPr>
          <w:rFonts w:asciiTheme="majorHAnsi" w:hAnsiTheme="majorHAnsi" w:cstheme="majorHAnsi"/>
          <w:sz w:val="24"/>
          <w:szCs w:val="24"/>
        </w:rPr>
        <w:t xml:space="preserve"> </w:t>
      </w:r>
      <w:r w:rsidRPr="00A74C32">
        <w:rPr>
          <w:rFonts w:asciiTheme="majorHAnsi" w:hAnsiTheme="majorHAnsi" w:cstheme="majorHAnsi"/>
          <w:sz w:val="24"/>
          <w:szCs w:val="24"/>
        </w:rPr>
        <w:t xml:space="preserve">concluded an agreement of sale of a commercial timber farming enterprise, comprising the land and timber farming business on </w:t>
      </w:r>
      <w:r w:rsidR="00DD5BB8">
        <w:rPr>
          <w:rFonts w:asciiTheme="majorHAnsi" w:hAnsiTheme="majorHAnsi" w:cstheme="majorHAnsi"/>
          <w:sz w:val="24"/>
          <w:szCs w:val="24"/>
        </w:rPr>
        <w:t xml:space="preserve">the farm </w:t>
      </w:r>
      <w:r w:rsidRPr="00A74C32">
        <w:rPr>
          <w:rFonts w:asciiTheme="majorHAnsi" w:hAnsiTheme="majorHAnsi" w:cstheme="majorHAnsi"/>
          <w:sz w:val="24"/>
          <w:szCs w:val="24"/>
        </w:rPr>
        <w:t>Zenith Estates Umhlali</w:t>
      </w:r>
      <w:r w:rsidR="00EE59E9">
        <w:rPr>
          <w:rFonts w:asciiTheme="majorHAnsi" w:hAnsiTheme="majorHAnsi" w:cstheme="majorHAnsi"/>
          <w:sz w:val="24"/>
          <w:szCs w:val="24"/>
        </w:rPr>
        <w:t xml:space="preserve"> </w:t>
      </w:r>
      <w:r w:rsidRPr="00A74C32">
        <w:rPr>
          <w:rFonts w:asciiTheme="majorHAnsi" w:hAnsiTheme="majorHAnsi" w:cstheme="majorHAnsi"/>
          <w:sz w:val="24"/>
          <w:szCs w:val="24"/>
        </w:rPr>
        <w:t>(</w:t>
      </w:r>
      <w:r w:rsidR="00EE59E9">
        <w:rPr>
          <w:rFonts w:asciiTheme="majorHAnsi" w:hAnsiTheme="majorHAnsi" w:cstheme="majorHAnsi"/>
          <w:sz w:val="24"/>
          <w:szCs w:val="24"/>
        </w:rPr>
        <w:t>t</w:t>
      </w:r>
      <w:r w:rsidRPr="00A74C32">
        <w:rPr>
          <w:rFonts w:asciiTheme="majorHAnsi" w:hAnsiTheme="majorHAnsi" w:cstheme="majorHAnsi"/>
          <w:sz w:val="24"/>
          <w:szCs w:val="24"/>
        </w:rPr>
        <w:t xml:space="preserve">he sale agreement). </w:t>
      </w:r>
      <w:r w:rsidR="00D002E3" w:rsidRPr="00D002E3">
        <w:rPr>
          <w:rFonts w:asciiTheme="majorHAnsi" w:hAnsiTheme="majorHAnsi" w:cstheme="majorHAnsi"/>
          <w:sz w:val="24"/>
          <w:szCs w:val="24"/>
        </w:rPr>
        <w:t xml:space="preserve">I refer to the farm Zenith Estates as defined in the sale agreement as ‘the </w:t>
      </w:r>
      <w:r w:rsidR="000723BB">
        <w:rPr>
          <w:rFonts w:asciiTheme="majorHAnsi" w:hAnsiTheme="majorHAnsi" w:cstheme="majorHAnsi"/>
          <w:sz w:val="24"/>
          <w:szCs w:val="24"/>
        </w:rPr>
        <w:t xml:space="preserve">whole </w:t>
      </w:r>
      <w:r w:rsidR="00D002E3" w:rsidRPr="00D002E3">
        <w:rPr>
          <w:rFonts w:asciiTheme="majorHAnsi" w:hAnsiTheme="majorHAnsi" w:cstheme="majorHAnsi"/>
          <w:sz w:val="24"/>
          <w:szCs w:val="24"/>
        </w:rPr>
        <w:t>property’</w:t>
      </w:r>
      <w:r w:rsidR="000723BB">
        <w:rPr>
          <w:rFonts w:asciiTheme="majorHAnsi" w:hAnsiTheme="majorHAnsi" w:cstheme="majorHAnsi"/>
          <w:sz w:val="24"/>
          <w:szCs w:val="24"/>
        </w:rPr>
        <w:t xml:space="preserve"> to distinguish it </w:t>
      </w:r>
      <w:r w:rsidR="0095527B">
        <w:rPr>
          <w:rFonts w:asciiTheme="majorHAnsi" w:hAnsiTheme="majorHAnsi" w:cstheme="majorHAnsi"/>
          <w:sz w:val="24"/>
          <w:szCs w:val="24"/>
        </w:rPr>
        <w:t>from the</w:t>
      </w:r>
      <w:r w:rsidR="000723BB">
        <w:rPr>
          <w:rFonts w:asciiTheme="majorHAnsi" w:hAnsiTheme="majorHAnsi" w:cstheme="majorHAnsi"/>
          <w:sz w:val="24"/>
          <w:szCs w:val="24"/>
        </w:rPr>
        <w:t xml:space="preserve"> subdivisions at issue in these proceedings and because that is how it is referred to in various agreements to which reference will be made in this judgment. </w:t>
      </w:r>
    </w:p>
    <w:p w:rsidR="00630327" w:rsidRDefault="00057CDD" w:rsidP="00D002E3">
      <w:pPr>
        <w:pStyle w:val="ListParagraph"/>
        <w:numPr>
          <w:ilvl w:val="0"/>
          <w:numId w:val="1"/>
        </w:numPr>
        <w:spacing w:after="240" w:line="360" w:lineRule="auto"/>
        <w:contextualSpacing w:val="0"/>
        <w:jc w:val="both"/>
        <w:rPr>
          <w:rFonts w:asciiTheme="majorHAnsi" w:hAnsiTheme="majorHAnsi" w:cstheme="majorHAnsi"/>
          <w:sz w:val="24"/>
          <w:szCs w:val="24"/>
        </w:rPr>
      </w:pPr>
      <w:r w:rsidRPr="00A74C32">
        <w:rPr>
          <w:rFonts w:asciiTheme="majorHAnsi" w:hAnsiTheme="majorHAnsi" w:cstheme="majorHAnsi"/>
          <w:sz w:val="24"/>
          <w:szCs w:val="24"/>
        </w:rPr>
        <w:t>In terms of clause 6.1</w:t>
      </w:r>
      <w:r w:rsidR="00EE59E9">
        <w:rPr>
          <w:rFonts w:asciiTheme="majorHAnsi" w:hAnsiTheme="majorHAnsi" w:cstheme="majorHAnsi"/>
          <w:sz w:val="24"/>
          <w:szCs w:val="24"/>
        </w:rPr>
        <w:t xml:space="preserve"> of the sale agreement</w:t>
      </w:r>
      <w:r w:rsidRPr="00A74C32">
        <w:rPr>
          <w:rFonts w:asciiTheme="majorHAnsi" w:hAnsiTheme="majorHAnsi" w:cstheme="majorHAnsi"/>
          <w:sz w:val="24"/>
          <w:szCs w:val="24"/>
        </w:rPr>
        <w:t xml:space="preserve">, the first respondent granted the applicant ‘the sole and exclusive right and option at </w:t>
      </w:r>
      <w:r w:rsidR="0095527B">
        <w:rPr>
          <w:rFonts w:asciiTheme="majorHAnsi" w:hAnsiTheme="majorHAnsi" w:cstheme="majorHAnsi"/>
          <w:sz w:val="24"/>
          <w:szCs w:val="24"/>
        </w:rPr>
        <w:t>(</w:t>
      </w:r>
      <w:r w:rsidR="00630327">
        <w:rPr>
          <w:rFonts w:asciiTheme="majorHAnsi" w:hAnsiTheme="majorHAnsi" w:cstheme="majorHAnsi"/>
          <w:sz w:val="24"/>
          <w:szCs w:val="24"/>
        </w:rPr>
        <w:t>its</w:t>
      </w:r>
      <w:r w:rsidR="0095527B">
        <w:rPr>
          <w:rFonts w:asciiTheme="majorHAnsi" w:hAnsiTheme="majorHAnsi" w:cstheme="majorHAnsi"/>
          <w:sz w:val="24"/>
          <w:szCs w:val="24"/>
        </w:rPr>
        <w:t>)</w:t>
      </w:r>
      <w:r w:rsidR="00630327">
        <w:rPr>
          <w:rFonts w:asciiTheme="majorHAnsi" w:hAnsiTheme="majorHAnsi" w:cstheme="majorHAnsi"/>
          <w:sz w:val="24"/>
          <w:szCs w:val="24"/>
        </w:rPr>
        <w:t xml:space="preserve"> </w:t>
      </w:r>
      <w:r w:rsidRPr="00A74C32">
        <w:rPr>
          <w:rFonts w:asciiTheme="majorHAnsi" w:hAnsiTheme="majorHAnsi" w:cstheme="majorHAnsi"/>
          <w:sz w:val="24"/>
          <w:szCs w:val="24"/>
        </w:rPr>
        <w:t>written election</w:t>
      </w:r>
      <w:r w:rsidR="0095527B">
        <w:rPr>
          <w:rFonts w:asciiTheme="majorHAnsi" w:hAnsiTheme="majorHAnsi" w:cstheme="majorHAnsi"/>
          <w:sz w:val="24"/>
          <w:szCs w:val="24"/>
        </w:rPr>
        <w:t>’</w:t>
      </w:r>
      <w:r w:rsidRPr="00A74C32">
        <w:rPr>
          <w:rFonts w:asciiTheme="majorHAnsi" w:hAnsiTheme="majorHAnsi" w:cstheme="majorHAnsi"/>
          <w:sz w:val="24"/>
          <w:szCs w:val="24"/>
        </w:rPr>
        <w:t xml:space="preserve"> to purchase the House Sub-division for the sum of R900 000.00 together </w:t>
      </w:r>
      <w:r w:rsidR="0095527B">
        <w:rPr>
          <w:rFonts w:asciiTheme="majorHAnsi" w:hAnsiTheme="majorHAnsi" w:cstheme="majorHAnsi"/>
          <w:sz w:val="24"/>
          <w:szCs w:val="24"/>
        </w:rPr>
        <w:t xml:space="preserve">with </w:t>
      </w:r>
      <w:r w:rsidRPr="00A74C32">
        <w:rPr>
          <w:rFonts w:asciiTheme="majorHAnsi" w:hAnsiTheme="majorHAnsi" w:cstheme="majorHAnsi"/>
          <w:sz w:val="24"/>
          <w:szCs w:val="24"/>
        </w:rPr>
        <w:t>VAT if applicable</w:t>
      </w:r>
      <w:r w:rsidR="00FF79E1" w:rsidRPr="00A74C32">
        <w:rPr>
          <w:rFonts w:asciiTheme="majorHAnsi" w:hAnsiTheme="majorHAnsi" w:cstheme="majorHAnsi"/>
          <w:sz w:val="24"/>
          <w:szCs w:val="24"/>
        </w:rPr>
        <w:t xml:space="preserve"> (the option)</w:t>
      </w:r>
      <w:r w:rsidRPr="00A74C32">
        <w:rPr>
          <w:rFonts w:asciiTheme="majorHAnsi" w:hAnsiTheme="majorHAnsi" w:cstheme="majorHAnsi"/>
          <w:sz w:val="24"/>
          <w:szCs w:val="24"/>
        </w:rPr>
        <w:t xml:space="preserve">. The House Sub-division was defined as a proposed new subdivision </w:t>
      </w:r>
      <w:r w:rsidR="00D002E3">
        <w:rPr>
          <w:rFonts w:asciiTheme="majorHAnsi" w:hAnsiTheme="majorHAnsi" w:cstheme="majorHAnsi"/>
          <w:sz w:val="24"/>
          <w:szCs w:val="24"/>
        </w:rPr>
        <w:t>of the</w:t>
      </w:r>
      <w:r w:rsidR="000723BB">
        <w:rPr>
          <w:rFonts w:asciiTheme="majorHAnsi" w:hAnsiTheme="majorHAnsi" w:cstheme="majorHAnsi"/>
          <w:sz w:val="24"/>
          <w:szCs w:val="24"/>
        </w:rPr>
        <w:t xml:space="preserve"> whole</w:t>
      </w:r>
      <w:r w:rsidR="00D002E3">
        <w:rPr>
          <w:rFonts w:asciiTheme="majorHAnsi" w:hAnsiTheme="majorHAnsi" w:cstheme="majorHAnsi"/>
          <w:sz w:val="24"/>
          <w:szCs w:val="24"/>
        </w:rPr>
        <w:t xml:space="preserve"> property </w:t>
      </w:r>
      <w:r w:rsidRPr="00A74C32">
        <w:rPr>
          <w:rFonts w:asciiTheme="majorHAnsi" w:hAnsiTheme="majorHAnsi" w:cstheme="majorHAnsi"/>
          <w:sz w:val="24"/>
          <w:szCs w:val="24"/>
        </w:rPr>
        <w:t xml:space="preserve">containing the existing homestead as depicted on a layout plan which was referenced in and annexed to the sale agreement. </w:t>
      </w:r>
    </w:p>
    <w:p w:rsidR="00057CDD" w:rsidRDefault="00FF79E1" w:rsidP="00D002E3">
      <w:pPr>
        <w:pStyle w:val="ListParagraph"/>
        <w:numPr>
          <w:ilvl w:val="0"/>
          <w:numId w:val="1"/>
        </w:numPr>
        <w:spacing w:after="240" w:line="360" w:lineRule="auto"/>
        <w:contextualSpacing w:val="0"/>
        <w:jc w:val="both"/>
        <w:rPr>
          <w:rFonts w:asciiTheme="majorHAnsi" w:hAnsiTheme="majorHAnsi" w:cstheme="majorHAnsi"/>
          <w:sz w:val="24"/>
          <w:szCs w:val="24"/>
        </w:rPr>
      </w:pPr>
      <w:r w:rsidRPr="00D002E3">
        <w:rPr>
          <w:rFonts w:asciiTheme="majorHAnsi" w:hAnsiTheme="majorHAnsi" w:cstheme="majorHAnsi"/>
          <w:sz w:val="24"/>
          <w:szCs w:val="24"/>
        </w:rPr>
        <w:t xml:space="preserve">The sale agreement required the option to be exercised </w:t>
      </w:r>
      <w:r w:rsidR="00EE59E9" w:rsidRPr="00D002E3">
        <w:rPr>
          <w:rFonts w:asciiTheme="majorHAnsi" w:hAnsiTheme="majorHAnsi" w:cstheme="majorHAnsi"/>
          <w:sz w:val="24"/>
          <w:szCs w:val="24"/>
        </w:rPr>
        <w:t xml:space="preserve">by </w:t>
      </w:r>
      <w:r w:rsidRPr="00D002E3">
        <w:rPr>
          <w:rFonts w:asciiTheme="majorHAnsi" w:hAnsiTheme="majorHAnsi" w:cstheme="majorHAnsi"/>
          <w:sz w:val="24"/>
          <w:szCs w:val="24"/>
        </w:rPr>
        <w:t xml:space="preserve">the earlier of either </w:t>
      </w:r>
      <w:r w:rsidRPr="00D002E3">
        <w:rPr>
          <w:rFonts w:asciiTheme="majorHAnsi" w:hAnsiTheme="majorHAnsi" w:cstheme="majorHAnsi"/>
          <w:sz w:val="24"/>
          <w:szCs w:val="24"/>
        </w:rPr>
        <w:br/>
        <w:t xml:space="preserve">31 July 2015 or 90 days after the first respondent furnished the applicant with the approved sub-divisional diagram of the House Sub-division together with any other documents, approvals and items required in law to enable the applicant to take transfer of the House Sub-division. </w:t>
      </w:r>
      <w:r w:rsidR="00D002E3" w:rsidRPr="00D002E3">
        <w:rPr>
          <w:rFonts w:asciiTheme="majorHAnsi" w:hAnsiTheme="majorHAnsi" w:cstheme="majorHAnsi"/>
          <w:sz w:val="24"/>
          <w:szCs w:val="24"/>
        </w:rPr>
        <w:t xml:space="preserve">The date of 31 July 2015 </w:t>
      </w:r>
      <w:r w:rsidRPr="00D002E3">
        <w:rPr>
          <w:rFonts w:asciiTheme="majorHAnsi" w:hAnsiTheme="majorHAnsi" w:cstheme="majorHAnsi"/>
          <w:sz w:val="24"/>
          <w:szCs w:val="24"/>
        </w:rPr>
        <w:t xml:space="preserve">was subsequently </w:t>
      </w:r>
      <w:r w:rsidR="00D002E3" w:rsidRPr="00D002E3">
        <w:rPr>
          <w:rFonts w:asciiTheme="majorHAnsi" w:hAnsiTheme="majorHAnsi" w:cstheme="majorHAnsi"/>
          <w:sz w:val="24"/>
          <w:szCs w:val="24"/>
        </w:rPr>
        <w:t xml:space="preserve">extended to 31 July 2020 by an addendum which </w:t>
      </w:r>
      <w:r w:rsidRPr="00D002E3">
        <w:rPr>
          <w:rFonts w:asciiTheme="majorHAnsi" w:hAnsiTheme="majorHAnsi" w:cstheme="majorHAnsi"/>
          <w:sz w:val="24"/>
          <w:szCs w:val="24"/>
        </w:rPr>
        <w:t>otherwise left the sale agreement unchanged.</w:t>
      </w:r>
    </w:p>
    <w:p w:rsidR="00630327" w:rsidRPr="00D002E3" w:rsidRDefault="00630327" w:rsidP="00D002E3">
      <w:pPr>
        <w:pStyle w:val="ListParagraph"/>
        <w:numPr>
          <w:ilvl w:val="0"/>
          <w:numId w:val="1"/>
        </w:numPr>
        <w:spacing w:after="240" w:line="360" w:lineRule="auto"/>
        <w:contextualSpacing w:val="0"/>
        <w:jc w:val="both"/>
        <w:rPr>
          <w:rFonts w:asciiTheme="majorHAnsi" w:hAnsiTheme="majorHAnsi" w:cstheme="majorHAnsi"/>
          <w:sz w:val="24"/>
          <w:szCs w:val="24"/>
        </w:rPr>
      </w:pPr>
      <w:r>
        <w:rPr>
          <w:rFonts w:asciiTheme="majorHAnsi" w:hAnsiTheme="majorHAnsi" w:cstheme="majorHAnsi"/>
          <w:sz w:val="24"/>
          <w:szCs w:val="24"/>
        </w:rPr>
        <w:t>At the vanguard of the first respondent’s opposition to the application in its answering affidavit w</w:t>
      </w:r>
      <w:r w:rsidR="0095527B">
        <w:rPr>
          <w:rFonts w:asciiTheme="majorHAnsi" w:hAnsiTheme="majorHAnsi" w:cstheme="majorHAnsi"/>
          <w:sz w:val="24"/>
          <w:szCs w:val="24"/>
        </w:rPr>
        <w:t>ere</w:t>
      </w:r>
      <w:r>
        <w:rPr>
          <w:rFonts w:asciiTheme="majorHAnsi" w:hAnsiTheme="majorHAnsi" w:cstheme="majorHAnsi"/>
          <w:sz w:val="24"/>
          <w:szCs w:val="24"/>
        </w:rPr>
        <w:t xml:space="preserve"> argument</w:t>
      </w:r>
      <w:r w:rsidR="0095527B">
        <w:rPr>
          <w:rFonts w:asciiTheme="majorHAnsi" w:hAnsiTheme="majorHAnsi" w:cstheme="majorHAnsi"/>
          <w:sz w:val="24"/>
          <w:szCs w:val="24"/>
        </w:rPr>
        <w:t>s</w:t>
      </w:r>
      <w:r>
        <w:rPr>
          <w:rFonts w:asciiTheme="majorHAnsi" w:hAnsiTheme="majorHAnsi" w:cstheme="majorHAnsi"/>
          <w:sz w:val="24"/>
          <w:szCs w:val="24"/>
        </w:rPr>
        <w:t xml:space="preserve"> that the applicant’s claim had prescribed or lapsed prior to 31 July 2015. At the start of the hearing however, </w:t>
      </w:r>
      <w:r w:rsidR="005A0993">
        <w:rPr>
          <w:rFonts w:asciiTheme="majorHAnsi" w:hAnsiTheme="majorHAnsi" w:cstheme="majorHAnsi"/>
          <w:sz w:val="24"/>
          <w:szCs w:val="24"/>
        </w:rPr>
        <w:t xml:space="preserve">counsel </w:t>
      </w:r>
      <w:r>
        <w:rPr>
          <w:rFonts w:asciiTheme="majorHAnsi" w:hAnsiTheme="majorHAnsi" w:cstheme="majorHAnsi"/>
          <w:sz w:val="24"/>
          <w:szCs w:val="24"/>
        </w:rPr>
        <w:t>for the first respondent, abandoned reliance on these arguments</w:t>
      </w:r>
    </w:p>
    <w:p w:rsidR="00FF79E1" w:rsidRDefault="00FF79E1" w:rsidP="007B0E7A">
      <w:pPr>
        <w:pStyle w:val="ListParagraph"/>
        <w:numPr>
          <w:ilvl w:val="0"/>
          <w:numId w:val="1"/>
        </w:numPr>
        <w:spacing w:after="240" w:line="360" w:lineRule="auto"/>
        <w:contextualSpacing w:val="0"/>
        <w:jc w:val="both"/>
        <w:rPr>
          <w:rFonts w:asciiTheme="majorHAnsi" w:hAnsiTheme="majorHAnsi" w:cstheme="majorHAnsi"/>
          <w:sz w:val="24"/>
          <w:szCs w:val="24"/>
        </w:rPr>
      </w:pPr>
      <w:r w:rsidRPr="00A74C32">
        <w:rPr>
          <w:rFonts w:asciiTheme="majorHAnsi" w:hAnsiTheme="majorHAnsi" w:cstheme="majorHAnsi"/>
          <w:sz w:val="24"/>
          <w:szCs w:val="24"/>
        </w:rPr>
        <w:t xml:space="preserve">Clause 6.3 of the sale agreement provided that pending the exercise of the option, the first respondent was obliged immediately to proceed with and do all things reasonably necessary to procure that the </w:t>
      </w:r>
      <w:r w:rsidR="000723BB">
        <w:rPr>
          <w:rFonts w:asciiTheme="majorHAnsi" w:hAnsiTheme="majorHAnsi" w:cstheme="majorHAnsi"/>
          <w:sz w:val="24"/>
          <w:szCs w:val="24"/>
        </w:rPr>
        <w:t xml:space="preserve">whole </w:t>
      </w:r>
      <w:r w:rsidRPr="00A74C32">
        <w:rPr>
          <w:rFonts w:asciiTheme="majorHAnsi" w:hAnsiTheme="majorHAnsi" w:cstheme="majorHAnsi"/>
          <w:sz w:val="24"/>
          <w:szCs w:val="24"/>
        </w:rPr>
        <w:t>property was sub-divided and developed, either in the whole as a complete residential township with numerous subdivisional lots, one of which would comprise the House</w:t>
      </w:r>
      <w:r w:rsidR="00D002E3">
        <w:rPr>
          <w:rFonts w:asciiTheme="majorHAnsi" w:hAnsiTheme="majorHAnsi" w:cstheme="majorHAnsi"/>
          <w:sz w:val="24"/>
          <w:szCs w:val="24"/>
        </w:rPr>
        <w:t xml:space="preserve"> </w:t>
      </w:r>
      <w:r w:rsidRPr="00A74C32">
        <w:rPr>
          <w:rFonts w:asciiTheme="majorHAnsi" w:hAnsiTheme="majorHAnsi" w:cstheme="majorHAnsi"/>
          <w:sz w:val="24"/>
          <w:szCs w:val="24"/>
        </w:rPr>
        <w:t>Sub-division, or that the whole property was subdivided and developed in part into at least two subdivisions, one of which would be the House Sub-division.</w:t>
      </w:r>
    </w:p>
    <w:p w:rsidR="00D002E3" w:rsidRDefault="00D002E3" w:rsidP="007B0E7A">
      <w:pPr>
        <w:pStyle w:val="ListParagraph"/>
        <w:numPr>
          <w:ilvl w:val="0"/>
          <w:numId w:val="1"/>
        </w:numPr>
        <w:spacing w:after="240" w:line="360" w:lineRule="auto"/>
        <w:contextualSpacing w:val="0"/>
        <w:jc w:val="both"/>
        <w:rPr>
          <w:rFonts w:asciiTheme="majorHAnsi" w:hAnsiTheme="majorHAnsi" w:cstheme="majorHAnsi"/>
          <w:sz w:val="24"/>
          <w:szCs w:val="24"/>
        </w:rPr>
      </w:pPr>
      <w:r>
        <w:rPr>
          <w:rFonts w:asciiTheme="majorHAnsi" w:hAnsiTheme="majorHAnsi" w:cstheme="majorHAnsi"/>
          <w:sz w:val="24"/>
          <w:szCs w:val="24"/>
        </w:rPr>
        <w:t xml:space="preserve">It is apparent from this clause that at the time the agreement of sale was concluded, the parties envisaged the creation of a single subdivision which would constitute the House Sub-division as defined. </w:t>
      </w:r>
    </w:p>
    <w:p w:rsidR="000F7665" w:rsidRDefault="00FF79E1" w:rsidP="0036261B">
      <w:pPr>
        <w:pStyle w:val="ListParagraph"/>
        <w:numPr>
          <w:ilvl w:val="0"/>
          <w:numId w:val="1"/>
        </w:numPr>
        <w:spacing w:after="240" w:line="360" w:lineRule="auto"/>
        <w:contextualSpacing w:val="0"/>
        <w:jc w:val="both"/>
        <w:rPr>
          <w:rFonts w:asciiTheme="majorHAnsi" w:hAnsiTheme="majorHAnsi" w:cstheme="majorHAnsi"/>
          <w:sz w:val="24"/>
          <w:szCs w:val="24"/>
        </w:rPr>
      </w:pPr>
      <w:r w:rsidRPr="00A74C32">
        <w:rPr>
          <w:rFonts w:asciiTheme="majorHAnsi" w:hAnsiTheme="majorHAnsi" w:cstheme="majorHAnsi"/>
          <w:sz w:val="24"/>
          <w:szCs w:val="24"/>
        </w:rPr>
        <w:t xml:space="preserve">The first respondent did procure that the </w:t>
      </w:r>
      <w:r w:rsidR="000723BB">
        <w:rPr>
          <w:rFonts w:asciiTheme="majorHAnsi" w:hAnsiTheme="majorHAnsi" w:cstheme="majorHAnsi"/>
          <w:sz w:val="24"/>
          <w:szCs w:val="24"/>
        </w:rPr>
        <w:t xml:space="preserve">whole </w:t>
      </w:r>
      <w:r w:rsidRPr="00A74C32">
        <w:rPr>
          <w:rFonts w:asciiTheme="majorHAnsi" w:hAnsiTheme="majorHAnsi" w:cstheme="majorHAnsi"/>
          <w:sz w:val="24"/>
          <w:szCs w:val="24"/>
        </w:rPr>
        <w:t xml:space="preserve">property was sub-divided and developed as a residential </w:t>
      </w:r>
      <w:r w:rsidR="000F7665">
        <w:rPr>
          <w:rFonts w:asciiTheme="majorHAnsi" w:hAnsiTheme="majorHAnsi" w:cstheme="majorHAnsi"/>
          <w:sz w:val="24"/>
          <w:szCs w:val="24"/>
        </w:rPr>
        <w:t>estate</w:t>
      </w:r>
      <w:r w:rsidRPr="00A74C32">
        <w:rPr>
          <w:rFonts w:asciiTheme="majorHAnsi" w:hAnsiTheme="majorHAnsi" w:cstheme="majorHAnsi"/>
          <w:sz w:val="24"/>
          <w:szCs w:val="24"/>
        </w:rPr>
        <w:t xml:space="preserve"> with numerous sub-divisional lots o</w:t>
      </w:r>
      <w:r w:rsidR="000F7665">
        <w:rPr>
          <w:rFonts w:asciiTheme="majorHAnsi" w:hAnsiTheme="majorHAnsi" w:cstheme="majorHAnsi"/>
          <w:sz w:val="24"/>
          <w:szCs w:val="24"/>
        </w:rPr>
        <w:t>ver</w:t>
      </w:r>
      <w:r w:rsidRPr="00A74C32">
        <w:rPr>
          <w:rFonts w:asciiTheme="majorHAnsi" w:hAnsiTheme="majorHAnsi" w:cstheme="majorHAnsi"/>
          <w:sz w:val="24"/>
          <w:szCs w:val="24"/>
        </w:rPr>
        <w:t xml:space="preserve"> a period spanning some seven years. For reasons which are not explained </w:t>
      </w:r>
      <w:r w:rsidR="00D002E3">
        <w:rPr>
          <w:rFonts w:asciiTheme="majorHAnsi" w:hAnsiTheme="majorHAnsi" w:cstheme="majorHAnsi"/>
          <w:sz w:val="24"/>
          <w:szCs w:val="24"/>
        </w:rPr>
        <w:t xml:space="preserve">in any of </w:t>
      </w:r>
      <w:r w:rsidRPr="00A74C32">
        <w:rPr>
          <w:rFonts w:asciiTheme="majorHAnsi" w:hAnsiTheme="majorHAnsi" w:cstheme="majorHAnsi"/>
          <w:sz w:val="24"/>
          <w:szCs w:val="24"/>
        </w:rPr>
        <w:t xml:space="preserve">the affidavits however, the first respondent did not </w:t>
      </w:r>
      <w:r w:rsidR="00D002E3">
        <w:rPr>
          <w:rFonts w:asciiTheme="majorHAnsi" w:hAnsiTheme="majorHAnsi" w:cstheme="majorHAnsi"/>
          <w:sz w:val="24"/>
          <w:szCs w:val="24"/>
        </w:rPr>
        <w:t>create</w:t>
      </w:r>
      <w:r w:rsidR="00B5340C" w:rsidRPr="00A74C32">
        <w:rPr>
          <w:rFonts w:asciiTheme="majorHAnsi" w:hAnsiTheme="majorHAnsi" w:cstheme="majorHAnsi"/>
          <w:sz w:val="24"/>
          <w:szCs w:val="24"/>
        </w:rPr>
        <w:t xml:space="preserve"> the House Sub-division </w:t>
      </w:r>
      <w:r w:rsidR="00D002E3">
        <w:rPr>
          <w:rFonts w:asciiTheme="majorHAnsi" w:hAnsiTheme="majorHAnsi" w:cstheme="majorHAnsi"/>
          <w:sz w:val="24"/>
          <w:szCs w:val="24"/>
        </w:rPr>
        <w:t xml:space="preserve">as a </w:t>
      </w:r>
      <w:r w:rsidR="00B5340C" w:rsidRPr="00A74C32">
        <w:rPr>
          <w:rFonts w:asciiTheme="majorHAnsi" w:hAnsiTheme="majorHAnsi" w:cstheme="majorHAnsi"/>
          <w:sz w:val="24"/>
          <w:szCs w:val="24"/>
        </w:rPr>
        <w:t xml:space="preserve">single subdivision. Instead, the first respondent created four separate sub-divisions out of the area of land </w:t>
      </w:r>
      <w:r w:rsidR="0095527B">
        <w:rPr>
          <w:rFonts w:asciiTheme="majorHAnsi" w:hAnsiTheme="majorHAnsi" w:cstheme="majorHAnsi"/>
          <w:sz w:val="24"/>
          <w:szCs w:val="24"/>
        </w:rPr>
        <w:t xml:space="preserve">constituting </w:t>
      </w:r>
      <w:r w:rsidR="00CB511C" w:rsidRPr="00A74C32">
        <w:rPr>
          <w:rFonts w:asciiTheme="majorHAnsi" w:hAnsiTheme="majorHAnsi" w:cstheme="majorHAnsi"/>
          <w:sz w:val="24"/>
          <w:szCs w:val="24"/>
        </w:rPr>
        <w:t xml:space="preserve">the House Sub-division. </w:t>
      </w:r>
    </w:p>
    <w:p w:rsidR="00630327" w:rsidRDefault="00D002E3" w:rsidP="00630327">
      <w:pPr>
        <w:pStyle w:val="ListParagraph"/>
        <w:numPr>
          <w:ilvl w:val="0"/>
          <w:numId w:val="1"/>
        </w:numPr>
        <w:spacing w:after="240" w:line="360" w:lineRule="auto"/>
        <w:contextualSpacing w:val="0"/>
        <w:jc w:val="both"/>
        <w:rPr>
          <w:rFonts w:asciiTheme="majorHAnsi" w:hAnsiTheme="majorHAnsi" w:cstheme="majorHAnsi"/>
          <w:sz w:val="24"/>
          <w:szCs w:val="24"/>
        </w:rPr>
      </w:pPr>
      <w:r w:rsidRPr="00D002E3">
        <w:rPr>
          <w:rFonts w:asciiTheme="majorHAnsi" w:hAnsiTheme="majorHAnsi" w:cstheme="majorHAnsi"/>
          <w:sz w:val="24"/>
          <w:szCs w:val="24"/>
        </w:rPr>
        <w:t xml:space="preserve">Although this happened </w:t>
      </w:r>
      <w:r w:rsidR="0036261B">
        <w:rPr>
          <w:rFonts w:asciiTheme="majorHAnsi" w:hAnsiTheme="majorHAnsi" w:cstheme="majorHAnsi"/>
          <w:sz w:val="24"/>
          <w:szCs w:val="24"/>
        </w:rPr>
        <w:t xml:space="preserve">pursuant to planning and development applications submitted by </w:t>
      </w:r>
      <w:r w:rsidRPr="00D002E3">
        <w:rPr>
          <w:rFonts w:asciiTheme="majorHAnsi" w:hAnsiTheme="majorHAnsi" w:cstheme="majorHAnsi"/>
          <w:sz w:val="24"/>
          <w:szCs w:val="24"/>
        </w:rPr>
        <w:t xml:space="preserve">the first respondent, it </w:t>
      </w:r>
      <w:r w:rsidR="00630327">
        <w:rPr>
          <w:rFonts w:asciiTheme="majorHAnsi" w:hAnsiTheme="majorHAnsi" w:cstheme="majorHAnsi"/>
          <w:sz w:val="24"/>
          <w:szCs w:val="24"/>
        </w:rPr>
        <w:t xml:space="preserve">is the first respondent’s case that the creation of the four subdivisions rendered the option incapable of acceptance </w:t>
      </w:r>
      <w:r w:rsidR="00CB511C" w:rsidRPr="00D002E3">
        <w:rPr>
          <w:rFonts w:asciiTheme="majorHAnsi" w:hAnsiTheme="majorHAnsi" w:cstheme="majorHAnsi"/>
          <w:sz w:val="24"/>
          <w:szCs w:val="24"/>
        </w:rPr>
        <w:t xml:space="preserve">as the </w:t>
      </w:r>
      <w:r w:rsidR="00CB511C" w:rsidRPr="008B1405">
        <w:rPr>
          <w:rFonts w:asciiTheme="majorHAnsi" w:hAnsiTheme="majorHAnsi" w:cstheme="majorHAnsi"/>
          <w:i/>
          <w:iCs/>
          <w:sz w:val="24"/>
          <w:szCs w:val="24"/>
        </w:rPr>
        <w:t>merx</w:t>
      </w:r>
      <w:r w:rsidR="00CB511C" w:rsidRPr="00D002E3">
        <w:rPr>
          <w:rFonts w:asciiTheme="majorHAnsi" w:hAnsiTheme="majorHAnsi" w:cstheme="majorHAnsi"/>
          <w:sz w:val="24"/>
          <w:szCs w:val="24"/>
        </w:rPr>
        <w:t xml:space="preserve"> to which it related </w:t>
      </w:r>
      <w:r w:rsidR="00CE2EE4" w:rsidRPr="00D002E3">
        <w:rPr>
          <w:rFonts w:asciiTheme="majorHAnsi" w:hAnsiTheme="majorHAnsi" w:cstheme="majorHAnsi"/>
          <w:sz w:val="24"/>
          <w:szCs w:val="24"/>
        </w:rPr>
        <w:t>no longer existed.</w:t>
      </w:r>
      <w:r w:rsidR="00CE2EE4" w:rsidRPr="0036261B">
        <w:rPr>
          <w:rFonts w:asciiTheme="majorHAnsi" w:hAnsiTheme="majorHAnsi" w:cstheme="majorHAnsi"/>
          <w:sz w:val="24"/>
          <w:szCs w:val="24"/>
        </w:rPr>
        <w:t xml:space="preserve"> </w:t>
      </w:r>
    </w:p>
    <w:p w:rsidR="00603DAE" w:rsidRDefault="00603DAE" w:rsidP="00A74C32">
      <w:pPr>
        <w:pStyle w:val="ListParagraph"/>
        <w:numPr>
          <w:ilvl w:val="0"/>
          <w:numId w:val="1"/>
        </w:numPr>
        <w:spacing w:after="240" w:line="360" w:lineRule="auto"/>
        <w:contextualSpacing w:val="0"/>
        <w:jc w:val="both"/>
        <w:rPr>
          <w:rFonts w:asciiTheme="majorHAnsi" w:hAnsiTheme="majorHAnsi" w:cstheme="majorHAnsi"/>
          <w:sz w:val="24"/>
          <w:szCs w:val="24"/>
        </w:rPr>
      </w:pPr>
      <w:r>
        <w:rPr>
          <w:rFonts w:asciiTheme="majorHAnsi" w:hAnsiTheme="majorHAnsi" w:cstheme="majorHAnsi"/>
          <w:sz w:val="24"/>
          <w:szCs w:val="24"/>
        </w:rPr>
        <w:t xml:space="preserve">The applicant claims to have exercised the option on 31 July 2015. </w:t>
      </w:r>
      <w:r w:rsidR="00895396">
        <w:rPr>
          <w:rFonts w:asciiTheme="majorHAnsi" w:hAnsiTheme="majorHAnsi" w:cstheme="majorHAnsi"/>
          <w:sz w:val="24"/>
          <w:szCs w:val="24"/>
        </w:rPr>
        <w:t xml:space="preserve">It relies on a letter of that date sent by its attorneys to the first respondent and its attorney, Ms Halstead </w:t>
      </w:r>
      <w:r w:rsidR="00206981">
        <w:rPr>
          <w:rFonts w:asciiTheme="majorHAnsi" w:hAnsiTheme="majorHAnsi" w:cstheme="majorHAnsi"/>
          <w:sz w:val="24"/>
          <w:szCs w:val="24"/>
        </w:rPr>
        <w:t>which stated:-</w:t>
      </w:r>
    </w:p>
    <w:p w:rsidR="00206981" w:rsidRDefault="00A82C63" w:rsidP="00206981">
      <w:pPr>
        <w:pStyle w:val="ListParagraph"/>
        <w:spacing w:after="240" w:line="360" w:lineRule="auto"/>
        <w:ind w:left="1418" w:right="1365"/>
        <w:jc w:val="both"/>
        <w:rPr>
          <w:rFonts w:asciiTheme="majorHAnsi" w:hAnsiTheme="majorHAnsi" w:cstheme="majorHAnsi"/>
        </w:rPr>
      </w:pPr>
      <w:r>
        <w:rPr>
          <w:rFonts w:asciiTheme="majorHAnsi" w:hAnsiTheme="majorHAnsi" w:cstheme="majorHAnsi"/>
          <w:sz w:val="24"/>
          <w:szCs w:val="24"/>
        </w:rPr>
        <w:t>‘</w:t>
      </w:r>
      <w:r>
        <w:rPr>
          <w:rFonts w:asciiTheme="majorHAnsi" w:hAnsiTheme="majorHAnsi" w:cstheme="majorHAnsi"/>
        </w:rPr>
        <w:t>We advise that our client, who is described as the “Seller”</w:t>
      </w:r>
      <w:r w:rsidR="005050E5">
        <w:rPr>
          <w:rFonts w:asciiTheme="majorHAnsi" w:hAnsiTheme="majorHAnsi" w:cstheme="majorHAnsi"/>
        </w:rPr>
        <w:t xml:space="preserve"> in the said “First Agreement of Sale”, hereby exercises its right and </w:t>
      </w:r>
      <w:r w:rsidR="005050E5" w:rsidRPr="00B32429">
        <w:rPr>
          <w:rFonts w:asciiTheme="majorHAnsi" w:hAnsiTheme="majorHAnsi" w:cstheme="majorHAnsi"/>
        </w:rPr>
        <w:t>option to</w:t>
      </w:r>
      <w:r w:rsidR="000723BB" w:rsidRPr="00B32429">
        <w:rPr>
          <w:rFonts w:asciiTheme="majorHAnsi" w:hAnsiTheme="majorHAnsi" w:cstheme="majorHAnsi"/>
        </w:rPr>
        <w:t xml:space="preserve"> </w:t>
      </w:r>
      <w:r w:rsidR="005050E5" w:rsidRPr="00B32429">
        <w:rPr>
          <w:rFonts w:asciiTheme="majorHAnsi" w:hAnsiTheme="majorHAnsi" w:cstheme="majorHAnsi"/>
        </w:rPr>
        <w:t>purchase the House</w:t>
      </w:r>
      <w:r w:rsidR="0082333B" w:rsidRPr="00B32429">
        <w:rPr>
          <w:rFonts w:asciiTheme="majorHAnsi" w:hAnsiTheme="majorHAnsi" w:cstheme="majorHAnsi"/>
        </w:rPr>
        <w:t>-</w:t>
      </w:r>
      <w:r w:rsidR="005050E5" w:rsidRPr="00B32429">
        <w:rPr>
          <w:rFonts w:asciiTheme="majorHAnsi" w:hAnsiTheme="majorHAnsi" w:cstheme="majorHAnsi"/>
        </w:rPr>
        <w:t xml:space="preserve">Subdivision </w:t>
      </w:r>
      <w:r w:rsidR="0082333B" w:rsidRPr="00B32429">
        <w:rPr>
          <w:rFonts w:asciiTheme="majorHAnsi" w:hAnsiTheme="majorHAnsi" w:cstheme="majorHAnsi"/>
        </w:rPr>
        <w:t>from Blue Gum</w:t>
      </w:r>
      <w:r w:rsidR="0082333B">
        <w:rPr>
          <w:rFonts w:asciiTheme="majorHAnsi" w:hAnsiTheme="majorHAnsi" w:cstheme="majorHAnsi"/>
        </w:rPr>
        <w:t xml:space="preserve"> </w:t>
      </w:r>
      <w:r w:rsidR="00685712">
        <w:rPr>
          <w:rFonts w:asciiTheme="majorHAnsi" w:hAnsiTheme="majorHAnsi" w:cstheme="majorHAnsi"/>
        </w:rPr>
        <w:t>Estate Proprietary Limited.’</w:t>
      </w:r>
    </w:p>
    <w:p w:rsidR="007B0E7A" w:rsidRDefault="007B0E7A" w:rsidP="00206981">
      <w:pPr>
        <w:pStyle w:val="ListParagraph"/>
        <w:spacing w:after="240" w:line="360" w:lineRule="auto"/>
        <w:ind w:left="1418" w:right="1365"/>
        <w:jc w:val="both"/>
        <w:rPr>
          <w:rFonts w:asciiTheme="majorHAnsi" w:hAnsiTheme="majorHAnsi" w:cstheme="majorHAnsi"/>
        </w:rPr>
      </w:pPr>
    </w:p>
    <w:p w:rsidR="002955E3" w:rsidRDefault="00EC3CD2" w:rsidP="002F7E5B">
      <w:pPr>
        <w:pStyle w:val="ListParagraph"/>
        <w:numPr>
          <w:ilvl w:val="0"/>
          <w:numId w:val="1"/>
        </w:numPr>
        <w:spacing w:after="240" w:line="360" w:lineRule="auto"/>
        <w:jc w:val="both"/>
        <w:rPr>
          <w:rFonts w:asciiTheme="majorHAnsi" w:hAnsiTheme="majorHAnsi" w:cstheme="majorHAnsi"/>
          <w:sz w:val="24"/>
          <w:szCs w:val="24"/>
        </w:rPr>
      </w:pPr>
      <w:r w:rsidRPr="002F7E5B">
        <w:rPr>
          <w:rFonts w:asciiTheme="majorHAnsi" w:hAnsiTheme="majorHAnsi" w:cstheme="majorHAnsi"/>
          <w:sz w:val="24"/>
          <w:szCs w:val="24"/>
        </w:rPr>
        <w:t>The letter of 31 July 2015 went on to state</w:t>
      </w:r>
      <w:r w:rsidR="002955E3" w:rsidRPr="002F7E5B">
        <w:rPr>
          <w:rFonts w:asciiTheme="majorHAnsi" w:hAnsiTheme="majorHAnsi" w:cstheme="majorHAnsi"/>
          <w:sz w:val="24"/>
          <w:szCs w:val="24"/>
        </w:rPr>
        <w:t>:</w:t>
      </w:r>
      <w:r w:rsidR="002F7E5B" w:rsidRPr="002F7E5B">
        <w:rPr>
          <w:rFonts w:asciiTheme="majorHAnsi" w:hAnsiTheme="majorHAnsi" w:cstheme="majorHAnsi"/>
          <w:sz w:val="24"/>
          <w:szCs w:val="24"/>
        </w:rPr>
        <w:t xml:space="preserve"> </w:t>
      </w:r>
      <w:r w:rsidR="002955E3" w:rsidRPr="002F7E5B">
        <w:rPr>
          <w:rFonts w:asciiTheme="majorHAnsi" w:hAnsiTheme="majorHAnsi" w:cstheme="majorHAnsi"/>
          <w:sz w:val="24"/>
          <w:szCs w:val="24"/>
        </w:rPr>
        <w:t>‘</w:t>
      </w:r>
      <w:r w:rsidR="00B32429">
        <w:rPr>
          <w:rFonts w:asciiTheme="majorHAnsi" w:hAnsiTheme="majorHAnsi" w:cstheme="majorHAnsi"/>
          <w:sz w:val="24"/>
          <w:szCs w:val="24"/>
        </w:rPr>
        <w:t>(i)</w:t>
      </w:r>
      <w:r w:rsidR="002955E3" w:rsidRPr="002F7E5B">
        <w:rPr>
          <w:rFonts w:asciiTheme="majorHAnsi" w:hAnsiTheme="majorHAnsi" w:cstheme="majorHAnsi"/>
          <w:sz w:val="24"/>
          <w:szCs w:val="24"/>
        </w:rPr>
        <w:t>n acceptance of this right, please also find the following documents’</w:t>
      </w:r>
      <w:r w:rsidR="002F7E5B" w:rsidRPr="002F7E5B">
        <w:rPr>
          <w:rFonts w:asciiTheme="majorHAnsi" w:hAnsiTheme="majorHAnsi" w:cstheme="majorHAnsi"/>
          <w:sz w:val="24"/>
          <w:szCs w:val="24"/>
        </w:rPr>
        <w:t xml:space="preserve"> </w:t>
      </w:r>
      <w:r w:rsidR="00B32429">
        <w:rPr>
          <w:rFonts w:asciiTheme="majorHAnsi" w:hAnsiTheme="majorHAnsi" w:cstheme="majorHAnsi"/>
          <w:sz w:val="24"/>
          <w:szCs w:val="24"/>
        </w:rPr>
        <w:t xml:space="preserve">which comprised an agreement </w:t>
      </w:r>
      <w:r w:rsidR="000723BB">
        <w:rPr>
          <w:rFonts w:asciiTheme="majorHAnsi" w:hAnsiTheme="majorHAnsi" w:cstheme="majorHAnsi"/>
          <w:sz w:val="24"/>
          <w:szCs w:val="24"/>
        </w:rPr>
        <w:t xml:space="preserve">signed by the applicant </w:t>
      </w:r>
      <w:r w:rsidR="002F7E5B">
        <w:rPr>
          <w:rFonts w:asciiTheme="majorHAnsi" w:hAnsiTheme="majorHAnsi" w:cstheme="majorHAnsi"/>
          <w:sz w:val="24"/>
          <w:szCs w:val="24"/>
        </w:rPr>
        <w:t xml:space="preserve">in respect of ‘the purchase of </w:t>
      </w:r>
      <w:r w:rsidR="004A1DAF">
        <w:rPr>
          <w:rFonts w:asciiTheme="majorHAnsi" w:hAnsiTheme="majorHAnsi" w:cstheme="majorHAnsi"/>
          <w:sz w:val="24"/>
          <w:szCs w:val="24"/>
        </w:rPr>
        <w:t>House Sub-Division</w:t>
      </w:r>
      <w:r w:rsidR="00B32429">
        <w:rPr>
          <w:rFonts w:asciiTheme="majorHAnsi" w:hAnsiTheme="majorHAnsi" w:cstheme="majorHAnsi"/>
          <w:sz w:val="24"/>
          <w:szCs w:val="24"/>
        </w:rPr>
        <w:t>’</w:t>
      </w:r>
      <w:r w:rsidR="004A1DAF">
        <w:rPr>
          <w:rFonts w:asciiTheme="majorHAnsi" w:hAnsiTheme="majorHAnsi" w:cstheme="majorHAnsi"/>
          <w:sz w:val="24"/>
          <w:szCs w:val="24"/>
        </w:rPr>
        <w:t xml:space="preserve"> </w:t>
      </w:r>
      <w:r w:rsidR="00B32429">
        <w:rPr>
          <w:rFonts w:asciiTheme="majorHAnsi" w:hAnsiTheme="majorHAnsi" w:cstheme="majorHAnsi"/>
          <w:sz w:val="24"/>
          <w:szCs w:val="24"/>
        </w:rPr>
        <w:t xml:space="preserve">and the </w:t>
      </w:r>
      <w:r w:rsidR="000E4D58">
        <w:rPr>
          <w:rFonts w:asciiTheme="majorHAnsi" w:hAnsiTheme="majorHAnsi" w:cstheme="majorHAnsi"/>
          <w:sz w:val="24"/>
          <w:szCs w:val="24"/>
        </w:rPr>
        <w:t>annexures to th</w:t>
      </w:r>
      <w:r w:rsidR="000723BB">
        <w:rPr>
          <w:rFonts w:asciiTheme="majorHAnsi" w:hAnsiTheme="majorHAnsi" w:cstheme="majorHAnsi"/>
          <w:sz w:val="24"/>
          <w:szCs w:val="24"/>
        </w:rPr>
        <w:t>at</w:t>
      </w:r>
      <w:r w:rsidR="000E4D58">
        <w:rPr>
          <w:rFonts w:asciiTheme="majorHAnsi" w:hAnsiTheme="majorHAnsi" w:cstheme="majorHAnsi"/>
          <w:sz w:val="24"/>
          <w:szCs w:val="24"/>
        </w:rPr>
        <w:t xml:space="preserve"> agreement</w:t>
      </w:r>
      <w:r w:rsidR="005144C5">
        <w:rPr>
          <w:rFonts w:asciiTheme="majorHAnsi" w:hAnsiTheme="majorHAnsi" w:cstheme="majorHAnsi"/>
          <w:sz w:val="24"/>
          <w:szCs w:val="24"/>
        </w:rPr>
        <w:t xml:space="preserve">. Of importance for the first respondent’s case is </w:t>
      </w:r>
      <w:r w:rsidR="000E4D58">
        <w:rPr>
          <w:rFonts w:asciiTheme="majorHAnsi" w:hAnsiTheme="majorHAnsi" w:cstheme="majorHAnsi"/>
          <w:sz w:val="24"/>
          <w:szCs w:val="24"/>
        </w:rPr>
        <w:t>annexure E</w:t>
      </w:r>
      <w:r w:rsidR="005144C5">
        <w:rPr>
          <w:rFonts w:asciiTheme="majorHAnsi" w:hAnsiTheme="majorHAnsi" w:cstheme="majorHAnsi"/>
          <w:sz w:val="24"/>
          <w:szCs w:val="24"/>
        </w:rPr>
        <w:t xml:space="preserve">, </w:t>
      </w:r>
      <w:r w:rsidR="000E4D58">
        <w:rPr>
          <w:rFonts w:asciiTheme="majorHAnsi" w:hAnsiTheme="majorHAnsi" w:cstheme="majorHAnsi"/>
          <w:sz w:val="24"/>
          <w:szCs w:val="24"/>
        </w:rPr>
        <w:t xml:space="preserve">a resolution </w:t>
      </w:r>
      <w:r w:rsidR="008C62A7">
        <w:rPr>
          <w:rFonts w:asciiTheme="majorHAnsi" w:hAnsiTheme="majorHAnsi" w:cstheme="majorHAnsi"/>
          <w:sz w:val="24"/>
          <w:szCs w:val="24"/>
        </w:rPr>
        <w:t>pas</w:t>
      </w:r>
      <w:r w:rsidR="000723BB">
        <w:rPr>
          <w:rFonts w:asciiTheme="majorHAnsi" w:hAnsiTheme="majorHAnsi" w:cstheme="majorHAnsi"/>
          <w:sz w:val="24"/>
          <w:szCs w:val="24"/>
        </w:rPr>
        <w:t>sed</w:t>
      </w:r>
      <w:r w:rsidR="008C62A7">
        <w:rPr>
          <w:rFonts w:asciiTheme="majorHAnsi" w:hAnsiTheme="majorHAnsi" w:cstheme="majorHAnsi"/>
          <w:sz w:val="24"/>
          <w:szCs w:val="24"/>
        </w:rPr>
        <w:t xml:space="preserve"> at a meeting of the applicant on 30 July 2015</w:t>
      </w:r>
      <w:r w:rsidR="000723BB">
        <w:rPr>
          <w:rFonts w:asciiTheme="majorHAnsi" w:hAnsiTheme="majorHAnsi" w:cstheme="majorHAnsi"/>
          <w:sz w:val="24"/>
          <w:szCs w:val="24"/>
        </w:rPr>
        <w:t xml:space="preserve"> and </w:t>
      </w:r>
      <w:r w:rsidR="008C62A7">
        <w:rPr>
          <w:rFonts w:asciiTheme="majorHAnsi" w:hAnsiTheme="majorHAnsi" w:cstheme="majorHAnsi"/>
          <w:sz w:val="24"/>
          <w:szCs w:val="24"/>
        </w:rPr>
        <w:t xml:space="preserve">signed by all its members.  </w:t>
      </w:r>
    </w:p>
    <w:p w:rsidR="000723BB" w:rsidRPr="000723BB" w:rsidRDefault="000723BB" w:rsidP="000723BB">
      <w:pPr>
        <w:pStyle w:val="ListParagraph"/>
        <w:rPr>
          <w:rFonts w:asciiTheme="majorHAnsi" w:hAnsiTheme="majorHAnsi" w:cstheme="majorHAnsi"/>
          <w:sz w:val="24"/>
          <w:szCs w:val="24"/>
        </w:rPr>
      </w:pPr>
    </w:p>
    <w:p w:rsidR="000723BB" w:rsidRDefault="000723BB" w:rsidP="002F7E5B">
      <w:pPr>
        <w:pStyle w:val="ListParagraph"/>
        <w:numPr>
          <w:ilvl w:val="0"/>
          <w:numId w:val="1"/>
        </w:numPr>
        <w:spacing w:after="240" w:line="360" w:lineRule="auto"/>
        <w:jc w:val="both"/>
        <w:rPr>
          <w:rFonts w:asciiTheme="majorHAnsi" w:hAnsiTheme="majorHAnsi" w:cstheme="majorHAnsi"/>
          <w:sz w:val="24"/>
          <w:szCs w:val="24"/>
        </w:rPr>
      </w:pPr>
      <w:r>
        <w:rPr>
          <w:rFonts w:asciiTheme="majorHAnsi" w:hAnsiTheme="majorHAnsi" w:cstheme="majorHAnsi"/>
          <w:sz w:val="24"/>
          <w:szCs w:val="24"/>
        </w:rPr>
        <w:t xml:space="preserve">The applicant asserts that the terms of the annexed agreement had been previously agreed between the parties, but this is disputed by the first respondent. </w:t>
      </w:r>
      <w:r w:rsidR="005144C5">
        <w:rPr>
          <w:rFonts w:asciiTheme="majorHAnsi" w:hAnsiTheme="majorHAnsi" w:cstheme="majorHAnsi"/>
          <w:sz w:val="24"/>
          <w:szCs w:val="24"/>
        </w:rPr>
        <w:t xml:space="preserve">It is however common </w:t>
      </w:r>
      <w:r w:rsidR="0095527B">
        <w:rPr>
          <w:rFonts w:asciiTheme="majorHAnsi" w:hAnsiTheme="majorHAnsi" w:cstheme="majorHAnsi"/>
          <w:sz w:val="24"/>
          <w:szCs w:val="24"/>
        </w:rPr>
        <w:t>cause</w:t>
      </w:r>
      <w:r w:rsidR="005144C5">
        <w:rPr>
          <w:rFonts w:asciiTheme="majorHAnsi" w:hAnsiTheme="majorHAnsi" w:cstheme="majorHAnsi"/>
          <w:sz w:val="24"/>
          <w:szCs w:val="24"/>
        </w:rPr>
        <w:t xml:space="preserve"> that the first respondent did not sign the agreement and so I shall refer to it as ‘the proposed agreement’. </w:t>
      </w:r>
    </w:p>
    <w:p w:rsidR="007B0E7A" w:rsidRPr="007B0E7A" w:rsidRDefault="007B0E7A" w:rsidP="007B0E7A">
      <w:pPr>
        <w:pStyle w:val="ListParagraph"/>
        <w:rPr>
          <w:rFonts w:asciiTheme="majorHAnsi" w:hAnsiTheme="majorHAnsi" w:cstheme="majorHAnsi"/>
          <w:sz w:val="24"/>
          <w:szCs w:val="24"/>
        </w:rPr>
      </w:pPr>
    </w:p>
    <w:p w:rsidR="008C62A7" w:rsidRDefault="00FE7F8C" w:rsidP="002F7E5B">
      <w:pPr>
        <w:pStyle w:val="ListParagraph"/>
        <w:numPr>
          <w:ilvl w:val="0"/>
          <w:numId w:val="1"/>
        </w:numPr>
        <w:spacing w:after="240" w:line="360" w:lineRule="auto"/>
        <w:jc w:val="both"/>
        <w:rPr>
          <w:rFonts w:asciiTheme="majorHAnsi" w:hAnsiTheme="majorHAnsi" w:cstheme="majorHAnsi"/>
          <w:sz w:val="24"/>
          <w:szCs w:val="24"/>
        </w:rPr>
      </w:pPr>
      <w:r>
        <w:rPr>
          <w:rFonts w:asciiTheme="majorHAnsi" w:hAnsiTheme="majorHAnsi" w:cstheme="majorHAnsi"/>
          <w:sz w:val="24"/>
          <w:szCs w:val="24"/>
        </w:rPr>
        <w:t xml:space="preserve">The </w:t>
      </w:r>
      <w:r w:rsidR="005144C5">
        <w:rPr>
          <w:rFonts w:asciiTheme="majorHAnsi" w:hAnsiTheme="majorHAnsi" w:cstheme="majorHAnsi"/>
          <w:sz w:val="24"/>
          <w:szCs w:val="24"/>
        </w:rPr>
        <w:t xml:space="preserve">proposed </w:t>
      </w:r>
      <w:r>
        <w:rPr>
          <w:rFonts w:asciiTheme="majorHAnsi" w:hAnsiTheme="majorHAnsi" w:cstheme="majorHAnsi"/>
          <w:sz w:val="24"/>
          <w:szCs w:val="24"/>
        </w:rPr>
        <w:t xml:space="preserve">agreement referred to the fact that the first respondent had </w:t>
      </w:r>
      <w:r w:rsidRPr="0036261B">
        <w:rPr>
          <w:rFonts w:asciiTheme="majorHAnsi" w:hAnsiTheme="majorHAnsi" w:cstheme="majorHAnsi"/>
          <w:sz w:val="24"/>
          <w:szCs w:val="24"/>
        </w:rPr>
        <w:t>caused the whole property</w:t>
      </w:r>
      <w:r>
        <w:rPr>
          <w:rFonts w:asciiTheme="majorHAnsi" w:hAnsiTheme="majorHAnsi" w:cstheme="majorHAnsi"/>
          <w:sz w:val="24"/>
          <w:szCs w:val="24"/>
        </w:rPr>
        <w:t xml:space="preserve"> to be </w:t>
      </w:r>
      <w:r w:rsidR="00842814">
        <w:rPr>
          <w:rFonts w:asciiTheme="majorHAnsi" w:hAnsiTheme="majorHAnsi" w:cstheme="majorHAnsi"/>
          <w:sz w:val="24"/>
          <w:szCs w:val="24"/>
        </w:rPr>
        <w:t xml:space="preserve">renumbered and was in the process of sub-dividing it into 32 erven as set out on a </w:t>
      </w:r>
      <w:r w:rsidR="0095527B">
        <w:rPr>
          <w:rFonts w:asciiTheme="majorHAnsi" w:hAnsiTheme="majorHAnsi" w:cstheme="majorHAnsi"/>
          <w:sz w:val="24"/>
          <w:szCs w:val="24"/>
        </w:rPr>
        <w:t>G</w:t>
      </w:r>
      <w:r w:rsidR="00842814">
        <w:rPr>
          <w:rFonts w:asciiTheme="majorHAnsi" w:hAnsiTheme="majorHAnsi" w:cstheme="majorHAnsi"/>
          <w:sz w:val="24"/>
          <w:szCs w:val="24"/>
        </w:rPr>
        <w:t xml:space="preserve">eneral </w:t>
      </w:r>
      <w:r w:rsidR="0095527B">
        <w:rPr>
          <w:rFonts w:asciiTheme="majorHAnsi" w:hAnsiTheme="majorHAnsi" w:cstheme="majorHAnsi"/>
          <w:sz w:val="24"/>
          <w:szCs w:val="24"/>
        </w:rPr>
        <w:t>P</w:t>
      </w:r>
      <w:r w:rsidR="00842814">
        <w:rPr>
          <w:rFonts w:asciiTheme="majorHAnsi" w:hAnsiTheme="majorHAnsi" w:cstheme="majorHAnsi"/>
          <w:sz w:val="24"/>
          <w:szCs w:val="24"/>
        </w:rPr>
        <w:t xml:space="preserve">lan which had been provisionally approved by the Surveyor General </w:t>
      </w:r>
      <w:r w:rsidR="00D171E3">
        <w:rPr>
          <w:rFonts w:asciiTheme="majorHAnsi" w:hAnsiTheme="majorHAnsi" w:cstheme="majorHAnsi"/>
          <w:sz w:val="24"/>
          <w:szCs w:val="24"/>
        </w:rPr>
        <w:t>and was annexed as ‘A’ to th</w:t>
      </w:r>
      <w:r w:rsidR="000723BB">
        <w:rPr>
          <w:rFonts w:asciiTheme="majorHAnsi" w:hAnsiTheme="majorHAnsi" w:cstheme="majorHAnsi"/>
          <w:sz w:val="24"/>
          <w:szCs w:val="24"/>
        </w:rPr>
        <w:t xml:space="preserve">at </w:t>
      </w:r>
      <w:r w:rsidR="00D171E3">
        <w:rPr>
          <w:rFonts w:asciiTheme="majorHAnsi" w:hAnsiTheme="majorHAnsi" w:cstheme="majorHAnsi"/>
          <w:sz w:val="24"/>
          <w:szCs w:val="24"/>
        </w:rPr>
        <w:t>agreement</w:t>
      </w:r>
      <w:r w:rsidR="000723BB">
        <w:rPr>
          <w:rFonts w:asciiTheme="majorHAnsi" w:hAnsiTheme="majorHAnsi" w:cstheme="majorHAnsi"/>
          <w:sz w:val="24"/>
          <w:szCs w:val="24"/>
        </w:rPr>
        <w:t>.</w:t>
      </w:r>
      <w:r w:rsidR="00D171E3">
        <w:rPr>
          <w:rFonts w:asciiTheme="majorHAnsi" w:hAnsiTheme="majorHAnsi" w:cstheme="majorHAnsi"/>
          <w:sz w:val="24"/>
          <w:szCs w:val="24"/>
        </w:rPr>
        <w:t xml:space="preserve"> </w:t>
      </w:r>
      <w:r w:rsidR="005144C5">
        <w:rPr>
          <w:rFonts w:asciiTheme="majorHAnsi" w:hAnsiTheme="majorHAnsi" w:cstheme="majorHAnsi"/>
          <w:sz w:val="24"/>
          <w:szCs w:val="24"/>
        </w:rPr>
        <w:t xml:space="preserve">The proposed agreement </w:t>
      </w:r>
      <w:r w:rsidR="00D171E3">
        <w:rPr>
          <w:rFonts w:asciiTheme="majorHAnsi" w:hAnsiTheme="majorHAnsi" w:cstheme="majorHAnsi"/>
          <w:sz w:val="24"/>
          <w:szCs w:val="24"/>
        </w:rPr>
        <w:t xml:space="preserve"> records that erven 503 to 506 </w:t>
      </w:r>
      <w:r w:rsidR="00721A8C">
        <w:rPr>
          <w:rFonts w:asciiTheme="majorHAnsi" w:hAnsiTheme="majorHAnsi" w:cstheme="majorHAnsi"/>
          <w:sz w:val="24"/>
          <w:szCs w:val="24"/>
        </w:rPr>
        <w:t xml:space="preserve">depicted on the </w:t>
      </w:r>
      <w:r w:rsidR="0095527B">
        <w:rPr>
          <w:rFonts w:asciiTheme="majorHAnsi" w:hAnsiTheme="majorHAnsi" w:cstheme="majorHAnsi"/>
          <w:sz w:val="24"/>
          <w:szCs w:val="24"/>
        </w:rPr>
        <w:t>G</w:t>
      </w:r>
      <w:r w:rsidR="00721A8C">
        <w:rPr>
          <w:rFonts w:asciiTheme="majorHAnsi" w:hAnsiTheme="majorHAnsi" w:cstheme="majorHAnsi"/>
          <w:sz w:val="24"/>
          <w:szCs w:val="24"/>
        </w:rPr>
        <w:t xml:space="preserve">eneral </w:t>
      </w:r>
      <w:r w:rsidR="0095527B">
        <w:rPr>
          <w:rFonts w:asciiTheme="majorHAnsi" w:hAnsiTheme="majorHAnsi" w:cstheme="majorHAnsi"/>
          <w:sz w:val="24"/>
          <w:szCs w:val="24"/>
        </w:rPr>
        <w:t>P</w:t>
      </w:r>
      <w:r w:rsidR="00721A8C">
        <w:rPr>
          <w:rFonts w:asciiTheme="majorHAnsi" w:hAnsiTheme="majorHAnsi" w:cstheme="majorHAnsi"/>
          <w:sz w:val="24"/>
          <w:szCs w:val="24"/>
        </w:rPr>
        <w:t>lan constitute the House Sub-division</w:t>
      </w:r>
      <w:r w:rsidR="00FC5C65">
        <w:rPr>
          <w:rFonts w:asciiTheme="majorHAnsi" w:hAnsiTheme="majorHAnsi" w:cstheme="majorHAnsi"/>
          <w:sz w:val="24"/>
          <w:szCs w:val="24"/>
        </w:rPr>
        <w:t xml:space="preserve"> and the agreement</w:t>
      </w:r>
      <w:r w:rsidR="00721A8C">
        <w:rPr>
          <w:rFonts w:asciiTheme="majorHAnsi" w:hAnsiTheme="majorHAnsi" w:cstheme="majorHAnsi"/>
          <w:sz w:val="24"/>
          <w:szCs w:val="24"/>
        </w:rPr>
        <w:t xml:space="preserve"> </w:t>
      </w:r>
      <w:r w:rsidR="00425EB7">
        <w:rPr>
          <w:rFonts w:asciiTheme="majorHAnsi" w:hAnsiTheme="majorHAnsi" w:cstheme="majorHAnsi"/>
          <w:sz w:val="24"/>
          <w:szCs w:val="24"/>
        </w:rPr>
        <w:t>is for the acquisition of those four subdivisions.</w:t>
      </w:r>
    </w:p>
    <w:p w:rsidR="007B0E7A" w:rsidRPr="007B0E7A" w:rsidRDefault="007B0E7A" w:rsidP="007B0E7A">
      <w:pPr>
        <w:pStyle w:val="ListParagraph"/>
        <w:rPr>
          <w:rFonts w:asciiTheme="majorHAnsi" w:hAnsiTheme="majorHAnsi" w:cstheme="majorHAnsi"/>
          <w:sz w:val="24"/>
          <w:szCs w:val="24"/>
        </w:rPr>
      </w:pPr>
    </w:p>
    <w:p w:rsidR="00425EB7" w:rsidRDefault="005144C5" w:rsidP="002F7E5B">
      <w:pPr>
        <w:pStyle w:val="ListParagraph"/>
        <w:numPr>
          <w:ilvl w:val="0"/>
          <w:numId w:val="1"/>
        </w:numPr>
        <w:spacing w:after="240" w:line="360" w:lineRule="auto"/>
        <w:jc w:val="both"/>
        <w:rPr>
          <w:rFonts w:asciiTheme="majorHAnsi" w:hAnsiTheme="majorHAnsi" w:cstheme="majorHAnsi"/>
          <w:sz w:val="24"/>
          <w:szCs w:val="24"/>
        </w:rPr>
      </w:pPr>
      <w:r>
        <w:rPr>
          <w:rFonts w:asciiTheme="majorHAnsi" w:hAnsiTheme="majorHAnsi" w:cstheme="majorHAnsi"/>
          <w:sz w:val="24"/>
          <w:szCs w:val="24"/>
        </w:rPr>
        <w:t>T</w:t>
      </w:r>
      <w:r w:rsidR="00425EB7">
        <w:rPr>
          <w:rFonts w:asciiTheme="majorHAnsi" w:hAnsiTheme="majorHAnsi" w:cstheme="majorHAnsi"/>
          <w:sz w:val="24"/>
          <w:szCs w:val="24"/>
        </w:rPr>
        <w:t xml:space="preserve">he proposed agreement records that the purchase price for the four sale erven was </w:t>
      </w:r>
      <w:r w:rsidR="00FA0849">
        <w:rPr>
          <w:rFonts w:asciiTheme="majorHAnsi" w:hAnsiTheme="majorHAnsi" w:cstheme="majorHAnsi"/>
          <w:sz w:val="24"/>
          <w:szCs w:val="24"/>
        </w:rPr>
        <w:t xml:space="preserve">the option price of </w:t>
      </w:r>
      <w:r w:rsidR="00425EB7">
        <w:rPr>
          <w:rFonts w:asciiTheme="majorHAnsi" w:hAnsiTheme="majorHAnsi" w:cstheme="majorHAnsi"/>
          <w:sz w:val="24"/>
          <w:szCs w:val="24"/>
        </w:rPr>
        <w:t xml:space="preserve">R900 000 </w:t>
      </w:r>
      <w:r w:rsidR="00425EB7" w:rsidRPr="0036261B">
        <w:rPr>
          <w:rFonts w:asciiTheme="majorHAnsi" w:hAnsiTheme="majorHAnsi" w:cstheme="majorHAnsi"/>
          <w:sz w:val="24"/>
          <w:szCs w:val="24"/>
        </w:rPr>
        <w:t xml:space="preserve">together with </w:t>
      </w:r>
      <w:r w:rsidR="00BB26AD" w:rsidRPr="0036261B">
        <w:rPr>
          <w:rFonts w:asciiTheme="majorHAnsi" w:hAnsiTheme="majorHAnsi" w:cstheme="majorHAnsi"/>
          <w:sz w:val="24"/>
          <w:szCs w:val="24"/>
        </w:rPr>
        <w:t>what is described as ‘a separate amount being the additional Sub-division Development costs for the Substituted Sale Erven’ of R372 000</w:t>
      </w:r>
      <w:r w:rsidR="00C4710B" w:rsidRPr="0036261B">
        <w:rPr>
          <w:rFonts w:asciiTheme="majorHAnsi" w:hAnsiTheme="majorHAnsi" w:cstheme="majorHAnsi"/>
          <w:sz w:val="24"/>
          <w:szCs w:val="24"/>
        </w:rPr>
        <w:t xml:space="preserve">.00 </w:t>
      </w:r>
      <w:r w:rsidR="00FA0849">
        <w:rPr>
          <w:rFonts w:asciiTheme="majorHAnsi" w:hAnsiTheme="majorHAnsi" w:cstheme="majorHAnsi"/>
          <w:sz w:val="24"/>
          <w:szCs w:val="24"/>
        </w:rPr>
        <w:t xml:space="preserve"> </w:t>
      </w:r>
      <w:r w:rsidR="00C4710B" w:rsidRPr="0036261B">
        <w:rPr>
          <w:rFonts w:asciiTheme="majorHAnsi" w:hAnsiTheme="majorHAnsi" w:cstheme="majorHAnsi"/>
          <w:sz w:val="24"/>
          <w:szCs w:val="24"/>
        </w:rPr>
        <w:t>for the additional costs of ‘3 extra Erven @</w:t>
      </w:r>
      <w:r w:rsidR="00C4710B">
        <w:rPr>
          <w:rFonts w:asciiTheme="majorHAnsi" w:hAnsiTheme="majorHAnsi" w:cstheme="majorHAnsi"/>
          <w:sz w:val="24"/>
          <w:szCs w:val="24"/>
        </w:rPr>
        <w:t xml:space="preserve"> R124 000.00’.</w:t>
      </w:r>
    </w:p>
    <w:p w:rsidR="007B0E7A" w:rsidRPr="007B0E7A" w:rsidRDefault="007B0E7A" w:rsidP="007B0E7A">
      <w:pPr>
        <w:pStyle w:val="ListParagraph"/>
        <w:rPr>
          <w:rFonts w:asciiTheme="majorHAnsi" w:hAnsiTheme="majorHAnsi" w:cstheme="majorHAnsi"/>
          <w:sz w:val="24"/>
          <w:szCs w:val="24"/>
        </w:rPr>
      </w:pPr>
    </w:p>
    <w:p w:rsidR="00C4710B" w:rsidRDefault="00C4710B" w:rsidP="002D3A23">
      <w:pPr>
        <w:pStyle w:val="ListParagraph"/>
        <w:numPr>
          <w:ilvl w:val="0"/>
          <w:numId w:val="1"/>
        </w:numPr>
        <w:spacing w:after="240" w:line="360" w:lineRule="auto"/>
        <w:contextualSpacing w:val="0"/>
        <w:jc w:val="both"/>
        <w:rPr>
          <w:rFonts w:asciiTheme="majorHAnsi" w:hAnsiTheme="majorHAnsi" w:cstheme="majorHAnsi"/>
          <w:sz w:val="24"/>
          <w:szCs w:val="24"/>
        </w:rPr>
      </w:pPr>
      <w:r>
        <w:rPr>
          <w:rFonts w:asciiTheme="majorHAnsi" w:hAnsiTheme="majorHAnsi" w:cstheme="majorHAnsi"/>
          <w:sz w:val="24"/>
          <w:szCs w:val="24"/>
        </w:rPr>
        <w:t>The applicant’s</w:t>
      </w:r>
      <w:r w:rsidR="0036261B">
        <w:rPr>
          <w:rFonts w:asciiTheme="majorHAnsi" w:hAnsiTheme="majorHAnsi" w:cstheme="majorHAnsi"/>
          <w:sz w:val="24"/>
          <w:szCs w:val="24"/>
        </w:rPr>
        <w:t xml:space="preserve"> unanimous</w:t>
      </w:r>
      <w:r>
        <w:rPr>
          <w:rFonts w:asciiTheme="majorHAnsi" w:hAnsiTheme="majorHAnsi" w:cstheme="majorHAnsi"/>
          <w:sz w:val="24"/>
          <w:szCs w:val="24"/>
        </w:rPr>
        <w:t xml:space="preserve"> resolution, annexure ‘E’</w:t>
      </w:r>
      <w:r w:rsidR="00111E9C">
        <w:rPr>
          <w:rFonts w:asciiTheme="majorHAnsi" w:hAnsiTheme="majorHAnsi" w:cstheme="majorHAnsi"/>
          <w:sz w:val="24"/>
          <w:szCs w:val="24"/>
        </w:rPr>
        <w:t xml:space="preserve"> (the resolution) </w:t>
      </w:r>
      <w:r>
        <w:rPr>
          <w:rFonts w:asciiTheme="majorHAnsi" w:hAnsiTheme="majorHAnsi" w:cstheme="majorHAnsi"/>
          <w:sz w:val="24"/>
          <w:szCs w:val="24"/>
        </w:rPr>
        <w:t>was:-</w:t>
      </w:r>
    </w:p>
    <w:p w:rsidR="005144C5" w:rsidRDefault="00C4710B" w:rsidP="002D3A23">
      <w:pPr>
        <w:pStyle w:val="ListParagraph"/>
        <w:spacing w:after="240" w:line="360" w:lineRule="auto"/>
        <w:ind w:left="1418" w:right="1365"/>
        <w:contextualSpacing w:val="0"/>
        <w:jc w:val="both"/>
        <w:rPr>
          <w:rFonts w:asciiTheme="majorHAnsi" w:hAnsiTheme="majorHAnsi" w:cstheme="majorHAnsi"/>
        </w:rPr>
      </w:pPr>
      <w:r w:rsidRPr="003C2517">
        <w:rPr>
          <w:rFonts w:asciiTheme="majorHAnsi" w:hAnsiTheme="majorHAnsi" w:cstheme="majorHAnsi"/>
        </w:rPr>
        <w:t>‘</w:t>
      </w:r>
      <w:r w:rsidR="005103DA" w:rsidRPr="003C2517">
        <w:rPr>
          <w:rFonts w:asciiTheme="majorHAnsi" w:hAnsiTheme="majorHAnsi" w:cstheme="majorHAnsi"/>
        </w:rPr>
        <w:t xml:space="preserve">That the CC acquires the Sale Erven </w:t>
      </w:r>
      <w:r w:rsidR="00C44C11" w:rsidRPr="003C2517">
        <w:rPr>
          <w:rFonts w:asciiTheme="majorHAnsi" w:hAnsiTheme="majorHAnsi" w:cstheme="majorHAnsi"/>
        </w:rPr>
        <w:t xml:space="preserve">503, 504, 505 and 506 (inclusive), being components of Erf 489 Sheffield Manor, to Zenith Estates CC pursuant to a valid exercise </w:t>
      </w:r>
      <w:r w:rsidR="003C2517" w:rsidRPr="003C2517">
        <w:rPr>
          <w:rFonts w:asciiTheme="majorHAnsi" w:hAnsiTheme="majorHAnsi" w:cstheme="majorHAnsi"/>
        </w:rPr>
        <w:t>of its Option to Purchase all as provided in the draft Agr</w:t>
      </w:r>
      <w:r w:rsidR="003C2517">
        <w:rPr>
          <w:rFonts w:asciiTheme="majorHAnsi" w:hAnsiTheme="majorHAnsi" w:cstheme="majorHAnsi"/>
        </w:rPr>
        <w:t>e</w:t>
      </w:r>
      <w:r w:rsidR="003C2517" w:rsidRPr="003C2517">
        <w:rPr>
          <w:rFonts w:asciiTheme="majorHAnsi" w:hAnsiTheme="majorHAnsi" w:cstheme="majorHAnsi"/>
        </w:rPr>
        <w:t xml:space="preserve">ement </w:t>
      </w:r>
      <w:r w:rsidR="00D05163">
        <w:rPr>
          <w:rFonts w:asciiTheme="majorHAnsi" w:hAnsiTheme="majorHAnsi" w:cstheme="majorHAnsi"/>
        </w:rPr>
        <w:t>prepared by Tomlinson M</w:t>
      </w:r>
      <w:r w:rsidR="004B54AB">
        <w:rPr>
          <w:rFonts w:asciiTheme="majorHAnsi" w:hAnsiTheme="majorHAnsi" w:cstheme="majorHAnsi"/>
        </w:rPr>
        <w:t>n</w:t>
      </w:r>
      <w:r w:rsidR="00D05163">
        <w:rPr>
          <w:rFonts w:asciiTheme="majorHAnsi" w:hAnsiTheme="majorHAnsi" w:cstheme="majorHAnsi"/>
        </w:rPr>
        <w:t xml:space="preserve">guni James Attorneys which was tabled and approved at the meeting.’ </w:t>
      </w:r>
    </w:p>
    <w:p w:rsidR="00AF06B4" w:rsidRPr="00AF06B4" w:rsidRDefault="00D05163" w:rsidP="002D3A23">
      <w:pPr>
        <w:pStyle w:val="ListParagraph"/>
        <w:numPr>
          <w:ilvl w:val="0"/>
          <w:numId w:val="1"/>
        </w:numPr>
        <w:spacing w:after="240" w:line="360" w:lineRule="auto"/>
        <w:contextualSpacing w:val="0"/>
        <w:jc w:val="both"/>
        <w:rPr>
          <w:rFonts w:asciiTheme="majorHAnsi" w:hAnsiTheme="majorHAnsi" w:cstheme="majorHAnsi"/>
        </w:rPr>
      </w:pPr>
      <w:r>
        <w:rPr>
          <w:rFonts w:asciiTheme="majorHAnsi" w:hAnsiTheme="majorHAnsi" w:cstheme="majorHAnsi"/>
          <w:sz w:val="24"/>
          <w:szCs w:val="24"/>
        </w:rPr>
        <w:t xml:space="preserve">Despite the unequivocal </w:t>
      </w:r>
      <w:r w:rsidR="00FD00DA">
        <w:rPr>
          <w:rFonts w:asciiTheme="majorHAnsi" w:hAnsiTheme="majorHAnsi" w:cstheme="majorHAnsi"/>
          <w:sz w:val="24"/>
          <w:szCs w:val="24"/>
        </w:rPr>
        <w:t>recordal in the letter of 31 July 2015 that that the attorney</w:t>
      </w:r>
      <w:r w:rsidR="005144C5">
        <w:rPr>
          <w:rFonts w:asciiTheme="majorHAnsi" w:hAnsiTheme="majorHAnsi" w:cstheme="majorHAnsi"/>
          <w:sz w:val="24"/>
          <w:szCs w:val="24"/>
        </w:rPr>
        <w:t>’</w:t>
      </w:r>
      <w:r w:rsidR="00FD00DA">
        <w:rPr>
          <w:rFonts w:asciiTheme="majorHAnsi" w:hAnsiTheme="majorHAnsi" w:cstheme="majorHAnsi"/>
          <w:sz w:val="24"/>
          <w:szCs w:val="24"/>
        </w:rPr>
        <w:t>s client, the applicant</w:t>
      </w:r>
      <w:r w:rsidR="00FC5C65">
        <w:rPr>
          <w:rFonts w:asciiTheme="majorHAnsi" w:hAnsiTheme="majorHAnsi" w:cstheme="majorHAnsi"/>
          <w:sz w:val="24"/>
          <w:szCs w:val="24"/>
        </w:rPr>
        <w:t>,</w:t>
      </w:r>
      <w:r w:rsidR="00FD00DA">
        <w:rPr>
          <w:rFonts w:asciiTheme="majorHAnsi" w:hAnsiTheme="majorHAnsi" w:cstheme="majorHAnsi"/>
          <w:sz w:val="24"/>
          <w:szCs w:val="24"/>
        </w:rPr>
        <w:t xml:space="preserve"> ‘hereby exercises </w:t>
      </w:r>
      <w:r w:rsidR="00915D33">
        <w:rPr>
          <w:rFonts w:asciiTheme="majorHAnsi" w:hAnsiTheme="majorHAnsi" w:cstheme="majorHAnsi"/>
          <w:sz w:val="24"/>
          <w:szCs w:val="24"/>
        </w:rPr>
        <w:t>its right and option to purchase the House-Sub</w:t>
      </w:r>
      <w:r w:rsidR="000A4B65">
        <w:rPr>
          <w:rFonts w:asciiTheme="majorHAnsi" w:hAnsiTheme="majorHAnsi" w:cstheme="majorHAnsi"/>
          <w:sz w:val="24"/>
          <w:szCs w:val="24"/>
        </w:rPr>
        <w:t>d</w:t>
      </w:r>
      <w:r w:rsidR="00915D33">
        <w:rPr>
          <w:rFonts w:asciiTheme="majorHAnsi" w:hAnsiTheme="majorHAnsi" w:cstheme="majorHAnsi"/>
          <w:sz w:val="24"/>
          <w:szCs w:val="24"/>
        </w:rPr>
        <w:t>ivision</w:t>
      </w:r>
      <w:r w:rsidR="00077E03">
        <w:rPr>
          <w:rFonts w:asciiTheme="majorHAnsi" w:hAnsiTheme="majorHAnsi" w:cstheme="majorHAnsi"/>
          <w:sz w:val="24"/>
          <w:szCs w:val="24"/>
        </w:rPr>
        <w:t xml:space="preserve">’, the first respondent contends that the letter of 31 July 2015 was not a valid exercise of the option for </w:t>
      </w:r>
      <w:r w:rsidR="0036261B">
        <w:rPr>
          <w:rFonts w:asciiTheme="majorHAnsi" w:hAnsiTheme="majorHAnsi" w:cstheme="majorHAnsi"/>
          <w:sz w:val="24"/>
          <w:szCs w:val="24"/>
        </w:rPr>
        <w:t>four</w:t>
      </w:r>
      <w:r w:rsidR="00077E03">
        <w:rPr>
          <w:rFonts w:asciiTheme="majorHAnsi" w:hAnsiTheme="majorHAnsi" w:cstheme="majorHAnsi"/>
          <w:sz w:val="24"/>
          <w:szCs w:val="24"/>
        </w:rPr>
        <w:t xml:space="preserve"> reasons.</w:t>
      </w:r>
      <w:r w:rsidR="00AF06B4" w:rsidRPr="00AF06B4">
        <w:rPr>
          <w:rFonts w:asciiTheme="majorHAnsi" w:hAnsiTheme="majorHAnsi" w:cstheme="majorHAnsi"/>
          <w:sz w:val="24"/>
          <w:szCs w:val="24"/>
        </w:rPr>
        <w:t xml:space="preserve"> </w:t>
      </w:r>
      <w:r w:rsidR="00512C56">
        <w:rPr>
          <w:rFonts w:asciiTheme="majorHAnsi" w:hAnsiTheme="majorHAnsi" w:cstheme="majorHAnsi"/>
          <w:sz w:val="24"/>
          <w:szCs w:val="24"/>
        </w:rPr>
        <w:t>First,</w:t>
      </w:r>
      <w:r w:rsidR="00AF06B4">
        <w:rPr>
          <w:rFonts w:asciiTheme="majorHAnsi" w:hAnsiTheme="majorHAnsi" w:cstheme="majorHAnsi"/>
          <w:sz w:val="24"/>
          <w:szCs w:val="24"/>
        </w:rPr>
        <w:t xml:space="preserve"> the property described as the House </w:t>
      </w:r>
      <w:r w:rsidR="00AF06B4" w:rsidRPr="0036261B">
        <w:rPr>
          <w:rFonts w:asciiTheme="majorHAnsi" w:hAnsiTheme="majorHAnsi" w:cstheme="majorHAnsi"/>
          <w:sz w:val="24"/>
          <w:szCs w:val="24"/>
        </w:rPr>
        <w:t>Sub</w:t>
      </w:r>
      <w:r w:rsidR="000A4B65">
        <w:rPr>
          <w:rFonts w:asciiTheme="majorHAnsi" w:hAnsiTheme="majorHAnsi" w:cstheme="majorHAnsi"/>
          <w:sz w:val="24"/>
          <w:szCs w:val="24"/>
        </w:rPr>
        <w:t>-</w:t>
      </w:r>
      <w:r w:rsidR="00AF06B4" w:rsidRPr="0036261B">
        <w:rPr>
          <w:rFonts w:asciiTheme="majorHAnsi" w:hAnsiTheme="majorHAnsi" w:cstheme="majorHAnsi"/>
          <w:sz w:val="24"/>
          <w:szCs w:val="24"/>
        </w:rPr>
        <w:t xml:space="preserve">division </w:t>
      </w:r>
      <w:r w:rsidR="0036261B">
        <w:rPr>
          <w:rFonts w:asciiTheme="majorHAnsi" w:hAnsiTheme="majorHAnsi" w:cstheme="majorHAnsi"/>
          <w:sz w:val="24"/>
          <w:szCs w:val="24"/>
        </w:rPr>
        <w:t xml:space="preserve">did not </w:t>
      </w:r>
      <w:r w:rsidR="00AF06B4" w:rsidRPr="0036261B">
        <w:rPr>
          <w:rFonts w:asciiTheme="majorHAnsi" w:hAnsiTheme="majorHAnsi" w:cstheme="majorHAnsi"/>
          <w:sz w:val="24"/>
          <w:szCs w:val="24"/>
        </w:rPr>
        <w:t>exist</w:t>
      </w:r>
      <w:r w:rsidR="0036261B">
        <w:rPr>
          <w:rFonts w:asciiTheme="majorHAnsi" w:hAnsiTheme="majorHAnsi" w:cstheme="majorHAnsi"/>
          <w:sz w:val="24"/>
          <w:szCs w:val="24"/>
        </w:rPr>
        <w:t xml:space="preserve"> and was in any event different property to the four separate subdivisions which were created and which were referenced in the proposed agreement</w:t>
      </w:r>
      <w:r w:rsidR="00111E9C">
        <w:rPr>
          <w:rFonts w:asciiTheme="majorHAnsi" w:hAnsiTheme="majorHAnsi" w:cstheme="majorHAnsi"/>
          <w:sz w:val="24"/>
          <w:szCs w:val="24"/>
        </w:rPr>
        <w:t xml:space="preserve"> and the resolution</w:t>
      </w:r>
      <w:r w:rsidR="00AF06B4" w:rsidRPr="0036261B">
        <w:rPr>
          <w:rFonts w:asciiTheme="majorHAnsi" w:hAnsiTheme="majorHAnsi" w:cstheme="majorHAnsi"/>
          <w:sz w:val="24"/>
          <w:szCs w:val="24"/>
        </w:rPr>
        <w:t>.</w:t>
      </w:r>
      <w:r w:rsidR="000A4B65">
        <w:rPr>
          <w:rFonts w:asciiTheme="majorHAnsi" w:hAnsiTheme="majorHAnsi" w:cstheme="majorHAnsi"/>
          <w:sz w:val="24"/>
          <w:szCs w:val="24"/>
        </w:rPr>
        <w:t xml:space="preserve"> </w:t>
      </w:r>
      <w:r w:rsidR="00FA0849">
        <w:rPr>
          <w:rFonts w:asciiTheme="majorHAnsi" w:hAnsiTheme="majorHAnsi" w:cstheme="majorHAnsi"/>
          <w:sz w:val="24"/>
          <w:szCs w:val="24"/>
        </w:rPr>
        <w:t>Consequently, the proposed agreement related to different pieces of land being acquired than were specified in the option.</w:t>
      </w:r>
      <w:r w:rsidR="00512C56">
        <w:rPr>
          <w:rFonts w:asciiTheme="majorHAnsi" w:hAnsiTheme="majorHAnsi" w:cstheme="majorHAnsi"/>
          <w:sz w:val="24"/>
          <w:szCs w:val="24"/>
        </w:rPr>
        <w:t xml:space="preserve"> S</w:t>
      </w:r>
      <w:r w:rsidR="00AF06B4">
        <w:rPr>
          <w:rFonts w:asciiTheme="majorHAnsi" w:hAnsiTheme="majorHAnsi" w:cstheme="majorHAnsi"/>
          <w:sz w:val="24"/>
          <w:szCs w:val="24"/>
        </w:rPr>
        <w:t>econd,</w:t>
      </w:r>
      <w:r w:rsidR="00512C56">
        <w:rPr>
          <w:rFonts w:asciiTheme="majorHAnsi" w:hAnsiTheme="majorHAnsi" w:cstheme="majorHAnsi"/>
          <w:sz w:val="24"/>
          <w:szCs w:val="24"/>
        </w:rPr>
        <w:t xml:space="preserve"> the </w:t>
      </w:r>
      <w:r w:rsidR="00AF06B4">
        <w:rPr>
          <w:rFonts w:asciiTheme="majorHAnsi" w:hAnsiTheme="majorHAnsi" w:cstheme="majorHAnsi"/>
          <w:sz w:val="24"/>
          <w:szCs w:val="24"/>
        </w:rPr>
        <w:t>resolution did not authorise the applicant’s attorneys to exercise the option</w:t>
      </w:r>
      <w:r w:rsidR="00FC5C65">
        <w:rPr>
          <w:rFonts w:asciiTheme="majorHAnsi" w:hAnsiTheme="majorHAnsi" w:cstheme="majorHAnsi"/>
          <w:sz w:val="24"/>
          <w:szCs w:val="24"/>
        </w:rPr>
        <w:t xml:space="preserve"> on the applicant’s behalf</w:t>
      </w:r>
      <w:r w:rsidR="00AF06B4">
        <w:rPr>
          <w:rFonts w:asciiTheme="majorHAnsi" w:hAnsiTheme="majorHAnsi" w:cstheme="majorHAnsi"/>
          <w:sz w:val="24"/>
          <w:szCs w:val="24"/>
        </w:rPr>
        <w:t xml:space="preserve">. </w:t>
      </w:r>
      <w:r w:rsidR="00331DE3" w:rsidRPr="00AF06B4">
        <w:rPr>
          <w:rFonts w:asciiTheme="majorHAnsi" w:hAnsiTheme="majorHAnsi" w:cstheme="majorHAnsi"/>
          <w:sz w:val="24"/>
          <w:szCs w:val="24"/>
        </w:rPr>
        <w:t xml:space="preserve">Third, the </w:t>
      </w:r>
      <w:r w:rsidR="00FA0849">
        <w:rPr>
          <w:rFonts w:asciiTheme="majorHAnsi" w:hAnsiTheme="majorHAnsi" w:cstheme="majorHAnsi"/>
          <w:sz w:val="24"/>
          <w:szCs w:val="24"/>
        </w:rPr>
        <w:t xml:space="preserve">proposed </w:t>
      </w:r>
      <w:r w:rsidR="00331DE3" w:rsidRPr="00AF06B4">
        <w:rPr>
          <w:rFonts w:asciiTheme="majorHAnsi" w:hAnsiTheme="majorHAnsi" w:cstheme="majorHAnsi"/>
          <w:sz w:val="24"/>
          <w:szCs w:val="24"/>
        </w:rPr>
        <w:t xml:space="preserve">agreement was not </w:t>
      </w:r>
      <w:r w:rsidR="00FA0849">
        <w:rPr>
          <w:rFonts w:asciiTheme="majorHAnsi" w:hAnsiTheme="majorHAnsi" w:cstheme="majorHAnsi"/>
          <w:sz w:val="24"/>
          <w:szCs w:val="24"/>
        </w:rPr>
        <w:t xml:space="preserve">to </w:t>
      </w:r>
      <w:r w:rsidR="002D2DC1" w:rsidRPr="00AF06B4">
        <w:rPr>
          <w:rFonts w:asciiTheme="majorHAnsi" w:hAnsiTheme="majorHAnsi" w:cstheme="majorHAnsi"/>
          <w:sz w:val="24"/>
          <w:szCs w:val="24"/>
        </w:rPr>
        <w:t xml:space="preserve">acquire at the price </w:t>
      </w:r>
      <w:r w:rsidR="00FA0849">
        <w:rPr>
          <w:rFonts w:asciiTheme="majorHAnsi" w:hAnsiTheme="majorHAnsi" w:cstheme="majorHAnsi"/>
          <w:sz w:val="24"/>
          <w:szCs w:val="24"/>
        </w:rPr>
        <w:t xml:space="preserve">of R 900 000 </w:t>
      </w:r>
      <w:r w:rsidR="002D2DC1" w:rsidRPr="00AF06B4">
        <w:rPr>
          <w:rFonts w:asciiTheme="majorHAnsi" w:hAnsiTheme="majorHAnsi" w:cstheme="majorHAnsi"/>
          <w:sz w:val="24"/>
          <w:szCs w:val="24"/>
        </w:rPr>
        <w:t xml:space="preserve">stipulated by the option, but in the different and increased amount of sum </w:t>
      </w:r>
      <w:r w:rsidR="00B90CC7" w:rsidRPr="00AF06B4">
        <w:rPr>
          <w:rFonts w:asciiTheme="majorHAnsi" w:hAnsiTheme="majorHAnsi" w:cstheme="majorHAnsi"/>
          <w:sz w:val="24"/>
          <w:szCs w:val="24"/>
        </w:rPr>
        <w:t>R1.272 million.</w:t>
      </w:r>
      <w:r w:rsidR="0036261B">
        <w:rPr>
          <w:rFonts w:asciiTheme="majorHAnsi" w:hAnsiTheme="majorHAnsi" w:cstheme="majorHAnsi"/>
          <w:sz w:val="24"/>
          <w:szCs w:val="24"/>
        </w:rPr>
        <w:t xml:space="preserve"> </w:t>
      </w:r>
      <w:r w:rsidR="00512C56">
        <w:rPr>
          <w:rFonts w:asciiTheme="majorHAnsi" w:hAnsiTheme="majorHAnsi" w:cstheme="majorHAnsi"/>
          <w:sz w:val="24"/>
          <w:szCs w:val="24"/>
        </w:rPr>
        <w:t>F</w:t>
      </w:r>
      <w:r w:rsidR="0036261B">
        <w:rPr>
          <w:rFonts w:asciiTheme="majorHAnsi" w:hAnsiTheme="majorHAnsi" w:cstheme="majorHAnsi"/>
          <w:sz w:val="24"/>
          <w:szCs w:val="24"/>
        </w:rPr>
        <w:t>ourth</w:t>
      </w:r>
      <w:r w:rsidR="00512C56">
        <w:rPr>
          <w:rFonts w:asciiTheme="majorHAnsi" w:hAnsiTheme="majorHAnsi" w:cstheme="majorHAnsi"/>
          <w:sz w:val="24"/>
          <w:szCs w:val="24"/>
        </w:rPr>
        <w:t xml:space="preserve">, </w:t>
      </w:r>
      <w:r w:rsidR="0036261B">
        <w:rPr>
          <w:rFonts w:asciiTheme="majorHAnsi" w:hAnsiTheme="majorHAnsi" w:cstheme="majorHAnsi"/>
          <w:sz w:val="24"/>
          <w:szCs w:val="24"/>
        </w:rPr>
        <w:t xml:space="preserve">payment of the price was not tendered. </w:t>
      </w:r>
    </w:p>
    <w:p w:rsidR="00501C46" w:rsidRPr="00B76FC6" w:rsidRDefault="001C61FF" w:rsidP="00B76FC6">
      <w:pPr>
        <w:pStyle w:val="ListParagraph"/>
        <w:numPr>
          <w:ilvl w:val="0"/>
          <w:numId w:val="1"/>
        </w:numPr>
        <w:spacing w:after="240" w:line="360" w:lineRule="auto"/>
        <w:jc w:val="both"/>
        <w:rPr>
          <w:rFonts w:asciiTheme="majorHAnsi" w:hAnsiTheme="majorHAnsi" w:cstheme="majorHAnsi"/>
          <w:sz w:val="24"/>
          <w:szCs w:val="24"/>
        </w:rPr>
      </w:pPr>
      <w:r w:rsidRPr="00111E9C">
        <w:rPr>
          <w:rFonts w:asciiTheme="majorHAnsi" w:hAnsiTheme="majorHAnsi" w:cstheme="majorHAnsi"/>
          <w:sz w:val="24"/>
          <w:szCs w:val="24"/>
        </w:rPr>
        <w:t xml:space="preserve">  I will deal with the merits of these contentions in due course</w:t>
      </w:r>
      <w:r w:rsidR="00111E9C" w:rsidRPr="00111E9C">
        <w:rPr>
          <w:rFonts w:asciiTheme="majorHAnsi" w:hAnsiTheme="majorHAnsi" w:cstheme="majorHAnsi"/>
          <w:sz w:val="24"/>
          <w:szCs w:val="24"/>
        </w:rPr>
        <w:t xml:space="preserve">. </w:t>
      </w:r>
      <w:r w:rsidR="00111E9C">
        <w:rPr>
          <w:rFonts w:asciiTheme="majorHAnsi" w:hAnsiTheme="majorHAnsi" w:cstheme="majorHAnsi"/>
          <w:sz w:val="24"/>
          <w:szCs w:val="24"/>
        </w:rPr>
        <w:t>I</w:t>
      </w:r>
      <w:r w:rsidRPr="00111E9C">
        <w:rPr>
          <w:rFonts w:asciiTheme="majorHAnsi" w:hAnsiTheme="majorHAnsi" w:cstheme="majorHAnsi"/>
          <w:sz w:val="24"/>
          <w:szCs w:val="24"/>
        </w:rPr>
        <w:t>t is however notable that the</w:t>
      </w:r>
      <w:r w:rsidR="00512C56">
        <w:rPr>
          <w:rFonts w:asciiTheme="majorHAnsi" w:hAnsiTheme="majorHAnsi" w:cstheme="majorHAnsi"/>
          <w:sz w:val="24"/>
          <w:szCs w:val="24"/>
        </w:rPr>
        <w:t>y</w:t>
      </w:r>
      <w:r w:rsidR="00AF06B4" w:rsidRPr="00111E9C">
        <w:rPr>
          <w:rFonts w:asciiTheme="majorHAnsi" w:hAnsiTheme="majorHAnsi" w:cstheme="majorHAnsi"/>
          <w:sz w:val="24"/>
          <w:szCs w:val="24"/>
        </w:rPr>
        <w:t xml:space="preserve"> </w:t>
      </w:r>
      <w:r w:rsidRPr="00111E9C">
        <w:rPr>
          <w:rFonts w:asciiTheme="majorHAnsi" w:hAnsiTheme="majorHAnsi" w:cstheme="majorHAnsi"/>
          <w:sz w:val="24"/>
          <w:szCs w:val="24"/>
        </w:rPr>
        <w:t xml:space="preserve">were raised for the first time in the answering affidavit. </w:t>
      </w:r>
      <w:r w:rsidR="00A27161" w:rsidRPr="00111E9C">
        <w:rPr>
          <w:rFonts w:asciiTheme="majorHAnsi" w:hAnsiTheme="majorHAnsi" w:cstheme="majorHAnsi"/>
          <w:sz w:val="24"/>
          <w:szCs w:val="24"/>
        </w:rPr>
        <w:t xml:space="preserve">Until then, </w:t>
      </w:r>
      <w:r w:rsidR="00FC5C65">
        <w:rPr>
          <w:rFonts w:asciiTheme="majorHAnsi" w:hAnsiTheme="majorHAnsi" w:cstheme="majorHAnsi"/>
          <w:sz w:val="24"/>
          <w:szCs w:val="24"/>
        </w:rPr>
        <w:t xml:space="preserve">and </w:t>
      </w:r>
      <w:r w:rsidR="00B76FC6">
        <w:rPr>
          <w:rFonts w:asciiTheme="majorHAnsi" w:hAnsiTheme="majorHAnsi" w:cstheme="majorHAnsi"/>
          <w:sz w:val="24"/>
          <w:szCs w:val="24"/>
        </w:rPr>
        <w:t xml:space="preserve">over  a period spanning </w:t>
      </w:r>
      <w:r w:rsidR="00512C56">
        <w:rPr>
          <w:rFonts w:asciiTheme="majorHAnsi" w:hAnsiTheme="majorHAnsi" w:cstheme="majorHAnsi"/>
          <w:sz w:val="24"/>
          <w:szCs w:val="24"/>
        </w:rPr>
        <w:t xml:space="preserve">several </w:t>
      </w:r>
      <w:r w:rsidR="00B76FC6">
        <w:rPr>
          <w:rFonts w:asciiTheme="majorHAnsi" w:hAnsiTheme="majorHAnsi" w:cstheme="majorHAnsi"/>
          <w:sz w:val="24"/>
          <w:szCs w:val="24"/>
        </w:rPr>
        <w:t xml:space="preserve">years, </w:t>
      </w:r>
      <w:r w:rsidR="00A27161" w:rsidRPr="00111E9C">
        <w:rPr>
          <w:rFonts w:asciiTheme="majorHAnsi" w:hAnsiTheme="majorHAnsi" w:cstheme="majorHAnsi"/>
          <w:sz w:val="24"/>
          <w:szCs w:val="24"/>
        </w:rPr>
        <w:t xml:space="preserve">both the applicant and the first respondent </w:t>
      </w:r>
      <w:r w:rsidR="00AF06B4" w:rsidRPr="00111E9C">
        <w:rPr>
          <w:rFonts w:asciiTheme="majorHAnsi" w:hAnsiTheme="majorHAnsi" w:cstheme="majorHAnsi"/>
          <w:sz w:val="24"/>
          <w:szCs w:val="24"/>
        </w:rPr>
        <w:t xml:space="preserve">had </w:t>
      </w:r>
      <w:r w:rsidR="00A27161" w:rsidRPr="00111E9C">
        <w:rPr>
          <w:rFonts w:asciiTheme="majorHAnsi" w:hAnsiTheme="majorHAnsi" w:cstheme="majorHAnsi"/>
          <w:sz w:val="24"/>
          <w:szCs w:val="24"/>
        </w:rPr>
        <w:t xml:space="preserve">accepted that the option had been validly exercised and conducted themselves accordingly. </w:t>
      </w:r>
      <w:r w:rsidR="00111E9C">
        <w:rPr>
          <w:rFonts w:asciiTheme="majorHAnsi" w:hAnsiTheme="majorHAnsi" w:cstheme="majorHAnsi"/>
          <w:sz w:val="24"/>
          <w:szCs w:val="24"/>
        </w:rPr>
        <w:t>The only area of contestation was payment for s</w:t>
      </w:r>
      <w:r w:rsidR="00512C56">
        <w:rPr>
          <w:rFonts w:asciiTheme="majorHAnsi" w:hAnsiTheme="majorHAnsi" w:cstheme="majorHAnsi"/>
          <w:sz w:val="24"/>
          <w:szCs w:val="24"/>
        </w:rPr>
        <w:t>ervicing</w:t>
      </w:r>
      <w:r w:rsidR="00111E9C">
        <w:rPr>
          <w:rFonts w:asciiTheme="majorHAnsi" w:hAnsiTheme="majorHAnsi" w:cstheme="majorHAnsi"/>
          <w:sz w:val="24"/>
          <w:szCs w:val="24"/>
        </w:rPr>
        <w:t xml:space="preserve"> the four subdivisions. </w:t>
      </w:r>
      <w:r w:rsidR="00B76FC6">
        <w:rPr>
          <w:rFonts w:asciiTheme="majorHAnsi" w:hAnsiTheme="majorHAnsi" w:cstheme="majorHAnsi"/>
          <w:sz w:val="24"/>
          <w:szCs w:val="24"/>
        </w:rPr>
        <w:t>This is relevant and admissible contextual evidence  of the manner in which the parties implemented their agreement.</w:t>
      </w:r>
      <w:r w:rsidR="00B76FC6">
        <w:rPr>
          <w:rStyle w:val="FootnoteReference"/>
          <w:rFonts w:asciiTheme="majorHAnsi" w:hAnsiTheme="majorHAnsi" w:cstheme="majorHAnsi"/>
          <w:sz w:val="24"/>
          <w:szCs w:val="24"/>
        </w:rPr>
        <w:footnoteReference w:id="1"/>
      </w:r>
      <w:r w:rsidR="00B76FC6">
        <w:rPr>
          <w:rFonts w:asciiTheme="majorHAnsi" w:hAnsiTheme="majorHAnsi" w:cstheme="majorHAnsi"/>
          <w:sz w:val="24"/>
          <w:szCs w:val="24"/>
        </w:rPr>
        <w:t xml:space="preserve"> F</w:t>
      </w:r>
      <w:r w:rsidR="00276C98" w:rsidRPr="00B76FC6">
        <w:rPr>
          <w:rFonts w:asciiTheme="majorHAnsi" w:hAnsiTheme="majorHAnsi" w:cstheme="majorHAnsi"/>
          <w:sz w:val="24"/>
          <w:szCs w:val="24"/>
        </w:rPr>
        <w:t xml:space="preserve">our examples </w:t>
      </w:r>
      <w:r w:rsidR="00B76FC6">
        <w:rPr>
          <w:rFonts w:asciiTheme="majorHAnsi" w:hAnsiTheme="majorHAnsi" w:cstheme="majorHAnsi"/>
          <w:sz w:val="24"/>
          <w:szCs w:val="24"/>
        </w:rPr>
        <w:t xml:space="preserve">suffice for purposes of </w:t>
      </w:r>
      <w:r w:rsidR="00276C98" w:rsidRPr="00B76FC6">
        <w:rPr>
          <w:rFonts w:asciiTheme="majorHAnsi" w:hAnsiTheme="majorHAnsi" w:cstheme="majorHAnsi"/>
          <w:sz w:val="24"/>
          <w:szCs w:val="24"/>
        </w:rPr>
        <w:t>illustrat</w:t>
      </w:r>
      <w:r w:rsidR="00B76FC6">
        <w:rPr>
          <w:rFonts w:asciiTheme="majorHAnsi" w:hAnsiTheme="majorHAnsi" w:cstheme="majorHAnsi"/>
          <w:sz w:val="24"/>
          <w:szCs w:val="24"/>
        </w:rPr>
        <w:t>ion</w:t>
      </w:r>
      <w:r w:rsidR="00276C98" w:rsidRPr="00B76FC6">
        <w:rPr>
          <w:rFonts w:asciiTheme="majorHAnsi" w:hAnsiTheme="majorHAnsi" w:cstheme="majorHAnsi"/>
          <w:sz w:val="24"/>
          <w:szCs w:val="24"/>
        </w:rPr>
        <w:t xml:space="preserve">.  </w:t>
      </w:r>
    </w:p>
    <w:p w:rsidR="00501C46" w:rsidRPr="00501C46" w:rsidRDefault="00501C46" w:rsidP="00501C46">
      <w:pPr>
        <w:pStyle w:val="ListParagraph"/>
        <w:rPr>
          <w:rFonts w:asciiTheme="majorHAnsi" w:hAnsiTheme="majorHAnsi" w:cstheme="majorHAnsi"/>
          <w:sz w:val="24"/>
          <w:szCs w:val="24"/>
        </w:rPr>
      </w:pPr>
    </w:p>
    <w:p w:rsidR="00E16E37" w:rsidRPr="00E16E37" w:rsidRDefault="00276C98" w:rsidP="00AF06B4">
      <w:pPr>
        <w:pStyle w:val="ListParagraph"/>
        <w:numPr>
          <w:ilvl w:val="0"/>
          <w:numId w:val="1"/>
        </w:numPr>
        <w:spacing w:after="240" w:line="360" w:lineRule="auto"/>
        <w:jc w:val="both"/>
        <w:rPr>
          <w:rFonts w:asciiTheme="majorHAnsi" w:hAnsiTheme="majorHAnsi" w:cstheme="majorHAnsi"/>
        </w:rPr>
      </w:pPr>
      <w:r>
        <w:rPr>
          <w:rFonts w:asciiTheme="majorHAnsi" w:hAnsiTheme="majorHAnsi" w:cstheme="majorHAnsi"/>
          <w:sz w:val="24"/>
          <w:szCs w:val="24"/>
        </w:rPr>
        <w:t>On 11 August 2015</w:t>
      </w:r>
      <w:r w:rsidR="00AF06B4">
        <w:rPr>
          <w:rFonts w:asciiTheme="majorHAnsi" w:hAnsiTheme="majorHAnsi" w:cstheme="majorHAnsi"/>
          <w:sz w:val="24"/>
          <w:szCs w:val="24"/>
        </w:rPr>
        <w:t xml:space="preserve"> </w:t>
      </w:r>
      <w:r w:rsidR="00523997">
        <w:rPr>
          <w:rFonts w:asciiTheme="majorHAnsi" w:hAnsiTheme="majorHAnsi" w:cstheme="majorHAnsi"/>
          <w:sz w:val="24"/>
          <w:szCs w:val="24"/>
        </w:rPr>
        <w:t xml:space="preserve">there was an email exchange between the </w:t>
      </w:r>
      <w:r w:rsidR="00512C56">
        <w:rPr>
          <w:rFonts w:asciiTheme="majorHAnsi" w:hAnsiTheme="majorHAnsi" w:cstheme="majorHAnsi"/>
          <w:sz w:val="24"/>
          <w:szCs w:val="24"/>
        </w:rPr>
        <w:t xml:space="preserve">parties’ </w:t>
      </w:r>
      <w:r w:rsidR="00523997">
        <w:rPr>
          <w:rFonts w:asciiTheme="majorHAnsi" w:hAnsiTheme="majorHAnsi" w:cstheme="majorHAnsi"/>
          <w:sz w:val="24"/>
          <w:szCs w:val="24"/>
        </w:rPr>
        <w:t>attorneys</w:t>
      </w:r>
      <w:r w:rsidR="00512C56">
        <w:rPr>
          <w:rFonts w:asciiTheme="majorHAnsi" w:hAnsiTheme="majorHAnsi" w:cstheme="majorHAnsi"/>
          <w:sz w:val="24"/>
          <w:szCs w:val="24"/>
        </w:rPr>
        <w:t xml:space="preserve">. </w:t>
      </w:r>
      <w:r w:rsidR="00523997">
        <w:rPr>
          <w:rFonts w:asciiTheme="majorHAnsi" w:hAnsiTheme="majorHAnsi" w:cstheme="majorHAnsi"/>
          <w:sz w:val="24"/>
          <w:szCs w:val="24"/>
        </w:rPr>
        <w:t>It was initiated by the applicant’s attorney with reference to the</w:t>
      </w:r>
      <w:r w:rsidR="00512C56">
        <w:rPr>
          <w:rFonts w:asciiTheme="majorHAnsi" w:hAnsiTheme="majorHAnsi" w:cstheme="majorHAnsi"/>
          <w:sz w:val="24"/>
          <w:szCs w:val="24"/>
        </w:rPr>
        <w:t>ir</w:t>
      </w:r>
      <w:r w:rsidR="00523997">
        <w:rPr>
          <w:rFonts w:asciiTheme="majorHAnsi" w:hAnsiTheme="majorHAnsi" w:cstheme="majorHAnsi"/>
          <w:sz w:val="24"/>
          <w:szCs w:val="24"/>
        </w:rPr>
        <w:t xml:space="preserve"> letter of 31 </w:t>
      </w:r>
      <w:r w:rsidR="00513212">
        <w:rPr>
          <w:rFonts w:asciiTheme="majorHAnsi" w:hAnsiTheme="majorHAnsi" w:cstheme="majorHAnsi"/>
          <w:sz w:val="24"/>
          <w:szCs w:val="24"/>
        </w:rPr>
        <w:t>July 2015 some ten days before and a telephone conversation held between the attorneys</w:t>
      </w:r>
      <w:r w:rsidR="00512C56">
        <w:rPr>
          <w:rFonts w:asciiTheme="majorHAnsi" w:hAnsiTheme="majorHAnsi" w:cstheme="majorHAnsi"/>
          <w:sz w:val="24"/>
          <w:szCs w:val="24"/>
        </w:rPr>
        <w:t xml:space="preserve"> </w:t>
      </w:r>
      <w:r w:rsidR="00513212">
        <w:rPr>
          <w:rFonts w:asciiTheme="majorHAnsi" w:hAnsiTheme="majorHAnsi" w:cstheme="majorHAnsi"/>
          <w:sz w:val="24"/>
          <w:szCs w:val="24"/>
        </w:rPr>
        <w:t xml:space="preserve">the same day. The applicant’s attorney wrote ‘as discussed, </w:t>
      </w:r>
      <w:r w:rsidR="00A206EC">
        <w:rPr>
          <w:rFonts w:asciiTheme="majorHAnsi" w:hAnsiTheme="majorHAnsi" w:cstheme="majorHAnsi"/>
          <w:sz w:val="24"/>
          <w:szCs w:val="24"/>
        </w:rPr>
        <w:t>Zenith Estates cc has exercised its option to purchase which was created in the “First Agreement</w:t>
      </w:r>
      <w:r w:rsidR="007103E4">
        <w:rPr>
          <w:rFonts w:asciiTheme="majorHAnsi" w:hAnsiTheme="majorHAnsi" w:cstheme="majorHAnsi"/>
          <w:sz w:val="24"/>
          <w:szCs w:val="24"/>
        </w:rPr>
        <w:t xml:space="preserve"> of Sale”. Kindly advise if you have presented the agreement in respect of the purchase of the</w:t>
      </w:r>
      <w:r w:rsidR="00512C56">
        <w:rPr>
          <w:rFonts w:asciiTheme="majorHAnsi" w:hAnsiTheme="majorHAnsi" w:cstheme="majorHAnsi"/>
          <w:sz w:val="24"/>
          <w:szCs w:val="24"/>
        </w:rPr>
        <w:t xml:space="preserve"> </w:t>
      </w:r>
      <w:r w:rsidR="007103E4">
        <w:rPr>
          <w:rFonts w:asciiTheme="majorHAnsi" w:hAnsiTheme="majorHAnsi" w:cstheme="majorHAnsi"/>
          <w:sz w:val="24"/>
          <w:szCs w:val="24"/>
        </w:rPr>
        <w:t>House</w:t>
      </w:r>
      <w:r w:rsidR="00337F60">
        <w:rPr>
          <w:rFonts w:asciiTheme="majorHAnsi" w:hAnsiTheme="majorHAnsi" w:cstheme="majorHAnsi"/>
          <w:sz w:val="24"/>
          <w:szCs w:val="24"/>
        </w:rPr>
        <w:t>-Subdivision to your clients and advise if they were happy with the agreement</w:t>
      </w:r>
      <w:r w:rsidR="00392071">
        <w:rPr>
          <w:rFonts w:asciiTheme="majorHAnsi" w:hAnsiTheme="majorHAnsi" w:cstheme="majorHAnsi"/>
          <w:sz w:val="24"/>
          <w:szCs w:val="24"/>
        </w:rPr>
        <w:t xml:space="preserve">.’ </w:t>
      </w:r>
    </w:p>
    <w:p w:rsidR="00E16E37" w:rsidRPr="00E16E37" w:rsidRDefault="00E16E37" w:rsidP="00E16E37">
      <w:pPr>
        <w:pStyle w:val="ListParagraph"/>
        <w:rPr>
          <w:rFonts w:asciiTheme="majorHAnsi" w:hAnsiTheme="majorHAnsi" w:cstheme="majorHAnsi"/>
          <w:sz w:val="24"/>
          <w:szCs w:val="24"/>
        </w:rPr>
      </w:pPr>
    </w:p>
    <w:p w:rsidR="00276C98" w:rsidRPr="00AF06B4" w:rsidRDefault="00DB4D97" w:rsidP="00AF06B4">
      <w:pPr>
        <w:pStyle w:val="ListParagraph"/>
        <w:numPr>
          <w:ilvl w:val="0"/>
          <w:numId w:val="1"/>
        </w:numPr>
        <w:spacing w:after="240" w:line="360" w:lineRule="auto"/>
        <w:jc w:val="both"/>
        <w:rPr>
          <w:rFonts w:asciiTheme="majorHAnsi" w:hAnsiTheme="majorHAnsi" w:cstheme="majorHAnsi"/>
        </w:rPr>
      </w:pPr>
      <w:r>
        <w:rPr>
          <w:rFonts w:asciiTheme="majorHAnsi" w:hAnsiTheme="majorHAnsi" w:cstheme="majorHAnsi"/>
          <w:sz w:val="24"/>
          <w:szCs w:val="24"/>
        </w:rPr>
        <w:t>The first respondent’s attorney replied as follows</w:t>
      </w:r>
      <w:r w:rsidR="00AF06B4">
        <w:rPr>
          <w:rFonts w:asciiTheme="majorHAnsi" w:hAnsiTheme="majorHAnsi" w:cstheme="majorHAnsi"/>
          <w:sz w:val="24"/>
          <w:szCs w:val="24"/>
        </w:rPr>
        <w:t>:</w:t>
      </w:r>
      <w:r w:rsidR="00AF06B4">
        <w:rPr>
          <w:rFonts w:asciiTheme="majorHAnsi" w:hAnsiTheme="majorHAnsi" w:cstheme="majorHAnsi"/>
        </w:rPr>
        <w:t xml:space="preserve"> </w:t>
      </w:r>
      <w:r w:rsidRPr="00AF06B4">
        <w:rPr>
          <w:rFonts w:asciiTheme="majorHAnsi" w:hAnsiTheme="majorHAnsi" w:cstheme="majorHAnsi"/>
          <w:sz w:val="24"/>
          <w:szCs w:val="24"/>
        </w:rPr>
        <w:t>‘</w:t>
      </w:r>
      <w:r w:rsidR="00512C56">
        <w:rPr>
          <w:rFonts w:asciiTheme="majorHAnsi" w:hAnsiTheme="majorHAnsi" w:cstheme="majorHAnsi"/>
          <w:sz w:val="24"/>
          <w:szCs w:val="24"/>
        </w:rPr>
        <w:t>(</w:t>
      </w:r>
      <w:r w:rsidRPr="00AF06B4">
        <w:rPr>
          <w:rFonts w:asciiTheme="majorHAnsi" w:hAnsiTheme="majorHAnsi" w:cstheme="majorHAnsi"/>
          <w:sz w:val="24"/>
          <w:szCs w:val="24"/>
        </w:rPr>
        <w:t>a</w:t>
      </w:r>
      <w:r w:rsidR="00512C56">
        <w:rPr>
          <w:rFonts w:asciiTheme="majorHAnsi" w:hAnsiTheme="majorHAnsi" w:cstheme="majorHAnsi"/>
          <w:sz w:val="24"/>
          <w:szCs w:val="24"/>
        </w:rPr>
        <w:t>)</w:t>
      </w:r>
      <w:r w:rsidRPr="00AF06B4">
        <w:rPr>
          <w:rFonts w:asciiTheme="majorHAnsi" w:hAnsiTheme="majorHAnsi" w:cstheme="majorHAnsi"/>
          <w:sz w:val="24"/>
          <w:szCs w:val="24"/>
        </w:rPr>
        <w:t xml:space="preserve">s discussed telephonically last week, although your client has exercised the option there are a number of issues that need to be discussed prior to any </w:t>
      </w:r>
      <w:r w:rsidR="00937A1D" w:rsidRPr="00AF06B4">
        <w:rPr>
          <w:rFonts w:asciiTheme="majorHAnsi" w:hAnsiTheme="majorHAnsi" w:cstheme="majorHAnsi"/>
          <w:sz w:val="24"/>
          <w:szCs w:val="24"/>
        </w:rPr>
        <w:t>agreement being concluded.  It is important that all parties fully understand the criteria set out in the Tribunal Judgment when the development was approved and prec</w:t>
      </w:r>
      <w:r w:rsidR="00CE0D9B" w:rsidRPr="00AF06B4">
        <w:rPr>
          <w:rFonts w:asciiTheme="majorHAnsi" w:hAnsiTheme="majorHAnsi" w:cstheme="majorHAnsi"/>
          <w:sz w:val="24"/>
          <w:szCs w:val="24"/>
        </w:rPr>
        <w:t xml:space="preserve">isely what is </w:t>
      </w:r>
      <w:r w:rsidR="00717109" w:rsidRPr="00AF06B4">
        <w:rPr>
          <w:rFonts w:asciiTheme="majorHAnsi" w:hAnsiTheme="majorHAnsi" w:cstheme="majorHAnsi"/>
          <w:sz w:val="24"/>
          <w:szCs w:val="24"/>
        </w:rPr>
        <w:t>required to take place to enable our client to pass transfer of the 4 sub-divisions to your client’.</w:t>
      </w:r>
      <w:r w:rsidR="00512C56">
        <w:rPr>
          <w:rFonts w:asciiTheme="majorHAnsi" w:hAnsiTheme="majorHAnsi" w:cstheme="majorHAnsi"/>
          <w:sz w:val="24"/>
          <w:szCs w:val="24"/>
        </w:rPr>
        <w:t xml:space="preserve"> </w:t>
      </w:r>
      <w:r w:rsidR="00717109" w:rsidRPr="00AF06B4">
        <w:rPr>
          <w:rFonts w:asciiTheme="majorHAnsi" w:hAnsiTheme="majorHAnsi" w:cstheme="majorHAnsi"/>
          <w:sz w:val="24"/>
          <w:szCs w:val="24"/>
        </w:rPr>
        <w:t xml:space="preserve">This exchange conveys that whilst the first respondent </w:t>
      </w:r>
      <w:r w:rsidR="00275E0F" w:rsidRPr="00AF06B4">
        <w:rPr>
          <w:rFonts w:asciiTheme="majorHAnsi" w:hAnsiTheme="majorHAnsi" w:cstheme="majorHAnsi"/>
          <w:sz w:val="24"/>
          <w:szCs w:val="24"/>
        </w:rPr>
        <w:t xml:space="preserve">and its attorneys accepted that the option had been exercised, there would need to be further engagement on the details of any agreement giving effect to the </w:t>
      </w:r>
      <w:r w:rsidR="00FC5C65">
        <w:rPr>
          <w:rFonts w:asciiTheme="majorHAnsi" w:hAnsiTheme="majorHAnsi" w:cstheme="majorHAnsi"/>
          <w:sz w:val="24"/>
          <w:szCs w:val="24"/>
        </w:rPr>
        <w:t xml:space="preserve">valid </w:t>
      </w:r>
      <w:r w:rsidR="00275E0F" w:rsidRPr="00AF06B4">
        <w:rPr>
          <w:rFonts w:asciiTheme="majorHAnsi" w:hAnsiTheme="majorHAnsi" w:cstheme="majorHAnsi"/>
          <w:sz w:val="24"/>
          <w:szCs w:val="24"/>
        </w:rPr>
        <w:t>exercise of th</w:t>
      </w:r>
      <w:r w:rsidR="00512C56">
        <w:rPr>
          <w:rFonts w:asciiTheme="majorHAnsi" w:hAnsiTheme="majorHAnsi" w:cstheme="majorHAnsi"/>
          <w:sz w:val="24"/>
          <w:szCs w:val="24"/>
        </w:rPr>
        <w:t>e</w:t>
      </w:r>
      <w:r w:rsidR="00275E0F" w:rsidRPr="00AF06B4">
        <w:rPr>
          <w:rFonts w:asciiTheme="majorHAnsi" w:hAnsiTheme="majorHAnsi" w:cstheme="majorHAnsi"/>
          <w:sz w:val="24"/>
          <w:szCs w:val="24"/>
        </w:rPr>
        <w:t xml:space="preserve"> option in the form of a sale agreement which would be required to pass transfer.</w:t>
      </w:r>
    </w:p>
    <w:p w:rsidR="007B0E7A" w:rsidRPr="00275E0F" w:rsidRDefault="007B0E7A" w:rsidP="007B0E7A">
      <w:pPr>
        <w:pStyle w:val="ListParagraph"/>
        <w:spacing w:after="240" w:line="360" w:lineRule="auto"/>
        <w:ind w:left="0"/>
        <w:jc w:val="both"/>
        <w:rPr>
          <w:rFonts w:asciiTheme="majorHAnsi" w:hAnsiTheme="majorHAnsi" w:cstheme="majorHAnsi"/>
        </w:rPr>
      </w:pPr>
    </w:p>
    <w:p w:rsidR="00275E0F" w:rsidRPr="00505691" w:rsidRDefault="00275E0F" w:rsidP="00D05163">
      <w:pPr>
        <w:pStyle w:val="ListParagraph"/>
        <w:numPr>
          <w:ilvl w:val="0"/>
          <w:numId w:val="1"/>
        </w:numPr>
        <w:spacing w:after="240" w:line="360" w:lineRule="auto"/>
        <w:jc w:val="both"/>
        <w:rPr>
          <w:rFonts w:asciiTheme="majorHAnsi" w:hAnsiTheme="majorHAnsi" w:cstheme="majorHAnsi"/>
        </w:rPr>
      </w:pPr>
      <w:r>
        <w:rPr>
          <w:rFonts w:asciiTheme="majorHAnsi" w:hAnsiTheme="majorHAnsi" w:cstheme="majorHAnsi"/>
          <w:sz w:val="24"/>
          <w:szCs w:val="24"/>
        </w:rPr>
        <w:t>In 2019, the shareholding in the first respondent changed. The sale of shares agreement contain</w:t>
      </w:r>
      <w:r w:rsidR="00B76FC6">
        <w:rPr>
          <w:rFonts w:asciiTheme="majorHAnsi" w:hAnsiTheme="majorHAnsi" w:cstheme="majorHAnsi"/>
          <w:sz w:val="24"/>
          <w:szCs w:val="24"/>
        </w:rPr>
        <w:t>s</w:t>
      </w:r>
      <w:r>
        <w:rPr>
          <w:rFonts w:asciiTheme="majorHAnsi" w:hAnsiTheme="majorHAnsi" w:cstheme="majorHAnsi"/>
          <w:sz w:val="24"/>
          <w:szCs w:val="24"/>
        </w:rPr>
        <w:t xml:space="preserve"> </w:t>
      </w:r>
      <w:r w:rsidR="00505691">
        <w:rPr>
          <w:rFonts w:asciiTheme="majorHAnsi" w:hAnsiTheme="majorHAnsi" w:cstheme="majorHAnsi"/>
          <w:sz w:val="24"/>
          <w:szCs w:val="24"/>
        </w:rPr>
        <w:t>the following clause</w:t>
      </w:r>
      <w:r w:rsidR="00B76FC6">
        <w:rPr>
          <w:rFonts w:asciiTheme="majorHAnsi" w:hAnsiTheme="majorHAnsi" w:cstheme="majorHAnsi"/>
          <w:sz w:val="24"/>
          <w:szCs w:val="24"/>
        </w:rPr>
        <w:t>:</w:t>
      </w:r>
    </w:p>
    <w:p w:rsidR="00505691" w:rsidRDefault="00505691" w:rsidP="007B45FA">
      <w:pPr>
        <w:pStyle w:val="ListParagraph"/>
        <w:spacing w:line="360" w:lineRule="auto"/>
        <w:ind w:left="1418" w:right="1365"/>
        <w:jc w:val="both"/>
        <w:rPr>
          <w:rFonts w:asciiTheme="majorHAnsi" w:hAnsiTheme="majorHAnsi" w:cstheme="majorHAnsi"/>
          <w:b/>
          <w:bCs/>
        </w:rPr>
      </w:pPr>
      <w:r>
        <w:rPr>
          <w:rFonts w:asciiTheme="majorHAnsi" w:hAnsiTheme="majorHAnsi" w:cstheme="majorHAnsi"/>
        </w:rPr>
        <w:t xml:space="preserve">’10.  </w:t>
      </w:r>
      <w:r w:rsidR="007B45FA">
        <w:rPr>
          <w:rFonts w:asciiTheme="majorHAnsi" w:hAnsiTheme="majorHAnsi" w:cstheme="majorHAnsi"/>
        </w:rPr>
        <w:t xml:space="preserve"> </w:t>
      </w:r>
      <w:r w:rsidR="007B45FA" w:rsidRPr="007B45FA">
        <w:rPr>
          <w:rFonts w:asciiTheme="majorHAnsi" w:hAnsiTheme="majorHAnsi" w:cstheme="majorHAnsi"/>
          <w:b/>
          <w:bCs/>
        </w:rPr>
        <w:t>Retained Erven</w:t>
      </w:r>
    </w:p>
    <w:p w:rsidR="007B45FA" w:rsidRDefault="007B45FA" w:rsidP="007B45FA">
      <w:pPr>
        <w:pStyle w:val="ListParagraph"/>
        <w:spacing w:line="360" w:lineRule="auto"/>
        <w:ind w:left="1418" w:right="1365"/>
        <w:jc w:val="both"/>
        <w:rPr>
          <w:rFonts w:asciiTheme="majorHAnsi" w:hAnsiTheme="majorHAnsi" w:cstheme="majorHAnsi"/>
        </w:rPr>
      </w:pPr>
      <w:r>
        <w:rPr>
          <w:rFonts w:asciiTheme="majorHAnsi" w:hAnsiTheme="majorHAnsi" w:cstheme="majorHAnsi"/>
        </w:rPr>
        <w:t xml:space="preserve"> The purchaser </w:t>
      </w:r>
      <w:r w:rsidR="00E7564C">
        <w:rPr>
          <w:rFonts w:asciiTheme="majorHAnsi" w:hAnsiTheme="majorHAnsi" w:cstheme="majorHAnsi"/>
        </w:rPr>
        <w:t>acknowledges that:</w:t>
      </w:r>
    </w:p>
    <w:p w:rsidR="00E7564C" w:rsidRDefault="00E7564C" w:rsidP="009C43BB">
      <w:pPr>
        <w:pStyle w:val="ListParagraph"/>
        <w:spacing w:line="360" w:lineRule="auto"/>
        <w:ind w:left="1985" w:right="1365" w:hanging="567"/>
        <w:jc w:val="both"/>
        <w:rPr>
          <w:rFonts w:asciiTheme="majorHAnsi" w:hAnsiTheme="majorHAnsi" w:cstheme="majorHAnsi"/>
        </w:rPr>
      </w:pPr>
      <w:r>
        <w:rPr>
          <w:rFonts w:asciiTheme="majorHAnsi" w:hAnsiTheme="majorHAnsi" w:cstheme="majorHAnsi"/>
        </w:rPr>
        <w:t xml:space="preserve"> 10.1</w:t>
      </w:r>
      <w:r>
        <w:rPr>
          <w:rFonts w:asciiTheme="majorHAnsi" w:hAnsiTheme="majorHAnsi" w:cstheme="majorHAnsi"/>
        </w:rPr>
        <w:tab/>
      </w:r>
      <w:r w:rsidR="00B76FC6">
        <w:rPr>
          <w:rFonts w:asciiTheme="majorHAnsi" w:hAnsiTheme="majorHAnsi" w:cstheme="majorHAnsi"/>
        </w:rPr>
        <w:t>i</w:t>
      </w:r>
      <w:r>
        <w:rPr>
          <w:rFonts w:asciiTheme="majorHAnsi" w:hAnsiTheme="majorHAnsi" w:cstheme="majorHAnsi"/>
        </w:rPr>
        <w:t xml:space="preserve">n terms of the </w:t>
      </w:r>
      <w:r w:rsidR="00B76FC6">
        <w:rPr>
          <w:rFonts w:asciiTheme="majorHAnsi" w:hAnsiTheme="majorHAnsi" w:cstheme="majorHAnsi"/>
        </w:rPr>
        <w:t>a</w:t>
      </w:r>
      <w:r>
        <w:rPr>
          <w:rFonts w:asciiTheme="majorHAnsi" w:hAnsiTheme="majorHAnsi" w:cstheme="majorHAnsi"/>
        </w:rPr>
        <w:t xml:space="preserve">greement of </w:t>
      </w:r>
      <w:r w:rsidR="00B76FC6">
        <w:rPr>
          <w:rFonts w:asciiTheme="majorHAnsi" w:hAnsiTheme="majorHAnsi" w:cstheme="majorHAnsi"/>
        </w:rPr>
        <w:t>s</w:t>
      </w:r>
      <w:r>
        <w:rPr>
          <w:rFonts w:asciiTheme="majorHAnsi" w:hAnsiTheme="majorHAnsi" w:cstheme="majorHAnsi"/>
        </w:rPr>
        <w:t xml:space="preserve">ale </w:t>
      </w:r>
      <w:r w:rsidRPr="00B76FC6">
        <w:rPr>
          <w:rFonts w:asciiTheme="majorHAnsi" w:hAnsiTheme="majorHAnsi" w:cstheme="majorHAnsi"/>
        </w:rPr>
        <w:t xml:space="preserve">concluded </w:t>
      </w:r>
      <w:r w:rsidR="00AF06B4" w:rsidRPr="00B76FC6">
        <w:rPr>
          <w:rFonts w:asciiTheme="majorHAnsi" w:hAnsiTheme="majorHAnsi" w:cstheme="majorHAnsi"/>
        </w:rPr>
        <w:t xml:space="preserve">between </w:t>
      </w:r>
      <w:r w:rsidRPr="00B76FC6">
        <w:rPr>
          <w:rFonts w:asciiTheme="majorHAnsi" w:hAnsiTheme="majorHAnsi" w:cstheme="majorHAnsi"/>
        </w:rPr>
        <w:t>the</w:t>
      </w:r>
      <w:r>
        <w:rPr>
          <w:rFonts w:asciiTheme="majorHAnsi" w:hAnsiTheme="majorHAnsi" w:cstheme="majorHAnsi"/>
        </w:rPr>
        <w:t xml:space="preserve"> Company and Zenith, Zenith was granted an option to purchase the subdivisions reflected in red on the Layout Plan </w:t>
      </w:r>
      <w:r w:rsidR="00B837C0">
        <w:rPr>
          <w:rFonts w:asciiTheme="majorHAnsi" w:hAnsiTheme="majorHAnsi" w:cstheme="majorHAnsi"/>
        </w:rPr>
        <w:t xml:space="preserve">annexed hereto marked “A” (“the Retained Erven”) for the sum of </w:t>
      </w:r>
      <w:r w:rsidR="00B837C0" w:rsidRPr="00F275AE">
        <w:rPr>
          <w:rFonts w:asciiTheme="majorHAnsi" w:hAnsiTheme="majorHAnsi" w:cstheme="majorHAnsi"/>
          <w:b/>
          <w:bCs/>
        </w:rPr>
        <w:t>R900 000 (Nine Hundred Thousand</w:t>
      </w:r>
      <w:r w:rsidR="00F275AE" w:rsidRPr="00F275AE">
        <w:rPr>
          <w:rFonts w:asciiTheme="majorHAnsi" w:hAnsiTheme="majorHAnsi" w:cstheme="majorHAnsi"/>
          <w:b/>
          <w:bCs/>
        </w:rPr>
        <w:t xml:space="preserve"> Rand</w:t>
      </w:r>
      <w:r w:rsidR="00F275AE">
        <w:rPr>
          <w:rFonts w:asciiTheme="majorHAnsi" w:hAnsiTheme="majorHAnsi" w:cstheme="majorHAnsi"/>
          <w:b/>
          <w:bCs/>
        </w:rPr>
        <w:t>)</w:t>
      </w:r>
      <w:r w:rsidR="00F275AE">
        <w:rPr>
          <w:rFonts w:asciiTheme="majorHAnsi" w:hAnsiTheme="majorHAnsi" w:cstheme="majorHAnsi"/>
        </w:rPr>
        <w:t xml:space="preserve"> plus contributions and Zenith </w:t>
      </w:r>
      <w:r w:rsidR="009C43BB">
        <w:rPr>
          <w:rFonts w:asciiTheme="majorHAnsi" w:hAnsiTheme="majorHAnsi" w:cstheme="majorHAnsi"/>
        </w:rPr>
        <w:t>has exercised its option in the regard thereto;</w:t>
      </w:r>
    </w:p>
    <w:p w:rsidR="009C43BB" w:rsidRDefault="009C43BB" w:rsidP="009C43BB">
      <w:pPr>
        <w:pStyle w:val="ListParagraph"/>
        <w:spacing w:line="360" w:lineRule="auto"/>
        <w:ind w:left="1985" w:right="1365" w:hanging="567"/>
        <w:jc w:val="both"/>
        <w:rPr>
          <w:rFonts w:asciiTheme="majorHAnsi" w:hAnsiTheme="majorHAnsi" w:cstheme="majorHAnsi"/>
        </w:rPr>
      </w:pPr>
      <w:r>
        <w:rPr>
          <w:rFonts w:asciiTheme="majorHAnsi" w:hAnsiTheme="majorHAnsi" w:cstheme="majorHAnsi"/>
        </w:rPr>
        <w:t xml:space="preserve"> 10.2</w:t>
      </w:r>
      <w:r>
        <w:rPr>
          <w:rFonts w:asciiTheme="majorHAnsi" w:hAnsiTheme="majorHAnsi" w:cstheme="majorHAnsi"/>
        </w:rPr>
        <w:tab/>
      </w:r>
      <w:r w:rsidR="00B76FC6">
        <w:rPr>
          <w:rFonts w:asciiTheme="majorHAnsi" w:hAnsiTheme="majorHAnsi" w:cstheme="majorHAnsi"/>
        </w:rPr>
        <w:t>t</w:t>
      </w:r>
      <w:r w:rsidR="000E3932">
        <w:rPr>
          <w:rFonts w:asciiTheme="majorHAnsi" w:hAnsiTheme="majorHAnsi" w:cstheme="majorHAnsi"/>
        </w:rPr>
        <w:t>he Company is obliged to transfer the Retained Erven to Zenith as soon as it is in a position to do so;</w:t>
      </w:r>
    </w:p>
    <w:p w:rsidR="000E3932" w:rsidRDefault="000E3932" w:rsidP="009C43BB">
      <w:pPr>
        <w:pStyle w:val="ListParagraph"/>
        <w:spacing w:line="360" w:lineRule="auto"/>
        <w:ind w:left="1985" w:right="1365" w:hanging="567"/>
        <w:jc w:val="both"/>
        <w:rPr>
          <w:rFonts w:asciiTheme="majorHAnsi" w:hAnsiTheme="majorHAnsi" w:cstheme="majorHAnsi"/>
        </w:rPr>
      </w:pPr>
      <w:r>
        <w:rPr>
          <w:rFonts w:asciiTheme="majorHAnsi" w:hAnsiTheme="majorHAnsi" w:cstheme="majorHAnsi"/>
        </w:rPr>
        <w:t xml:space="preserve"> 10.3 Zenith is aware of the fact that the Company will only </w:t>
      </w:r>
      <w:r w:rsidR="0038171F">
        <w:rPr>
          <w:rFonts w:asciiTheme="majorHAnsi" w:hAnsiTheme="majorHAnsi" w:cstheme="majorHAnsi"/>
        </w:rPr>
        <w:t>be in a position to transfer the Retained Erven to it once the relevant services have been installed and the required certificates in terms of the applicable legislation have been issued by the Municipality and/or other relevant authorities</w:t>
      </w:r>
      <w:r w:rsidR="00B76FC6">
        <w:rPr>
          <w:rFonts w:asciiTheme="majorHAnsi" w:hAnsiTheme="majorHAnsi" w:cstheme="majorHAnsi"/>
        </w:rPr>
        <w:t>.</w:t>
      </w:r>
      <w:r w:rsidR="0038171F">
        <w:rPr>
          <w:rFonts w:asciiTheme="majorHAnsi" w:hAnsiTheme="majorHAnsi" w:cstheme="majorHAnsi"/>
        </w:rPr>
        <w:t>’</w:t>
      </w:r>
    </w:p>
    <w:p w:rsidR="007B0E7A" w:rsidRDefault="007B0E7A" w:rsidP="009C43BB">
      <w:pPr>
        <w:pStyle w:val="ListParagraph"/>
        <w:spacing w:line="360" w:lineRule="auto"/>
        <w:ind w:left="1985" w:right="1365" w:hanging="567"/>
        <w:jc w:val="both"/>
        <w:rPr>
          <w:rFonts w:asciiTheme="majorHAnsi" w:hAnsiTheme="majorHAnsi" w:cstheme="majorHAnsi"/>
        </w:rPr>
      </w:pPr>
    </w:p>
    <w:p w:rsidR="00AF06B4" w:rsidRPr="004B54AB" w:rsidRDefault="0038171F" w:rsidP="00AF06B4">
      <w:pPr>
        <w:pStyle w:val="ListParagraph"/>
        <w:numPr>
          <w:ilvl w:val="0"/>
          <w:numId w:val="1"/>
        </w:numPr>
        <w:spacing w:after="240" w:line="360" w:lineRule="auto"/>
        <w:jc w:val="both"/>
        <w:rPr>
          <w:rFonts w:asciiTheme="majorHAnsi" w:hAnsiTheme="majorHAnsi" w:cstheme="majorHAnsi"/>
        </w:rPr>
      </w:pPr>
      <w:r>
        <w:rPr>
          <w:rFonts w:asciiTheme="majorHAnsi" w:hAnsiTheme="majorHAnsi" w:cstheme="majorHAnsi"/>
          <w:sz w:val="24"/>
          <w:szCs w:val="24"/>
        </w:rPr>
        <w:t xml:space="preserve">In 2021, the </w:t>
      </w:r>
      <w:r w:rsidR="00512C56">
        <w:rPr>
          <w:rFonts w:asciiTheme="majorHAnsi" w:hAnsiTheme="majorHAnsi" w:cstheme="majorHAnsi"/>
          <w:sz w:val="24"/>
          <w:szCs w:val="24"/>
        </w:rPr>
        <w:t xml:space="preserve">parties’ </w:t>
      </w:r>
      <w:r w:rsidR="001A0674">
        <w:rPr>
          <w:rFonts w:asciiTheme="majorHAnsi" w:hAnsiTheme="majorHAnsi" w:cstheme="majorHAnsi"/>
          <w:sz w:val="24"/>
          <w:szCs w:val="24"/>
        </w:rPr>
        <w:t>representatives were correspond</w:t>
      </w:r>
      <w:r w:rsidR="00512C56">
        <w:rPr>
          <w:rFonts w:asciiTheme="majorHAnsi" w:hAnsiTheme="majorHAnsi" w:cstheme="majorHAnsi"/>
          <w:sz w:val="24"/>
          <w:szCs w:val="24"/>
        </w:rPr>
        <w:t>ing</w:t>
      </w:r>
      <w:r w:rsidR="001A0674">
        <w:rPr>
          <w:rFonts w:asciiTheme="majorHAnsi" w:hAnsiTheme="majorHAnsi" w:cstheme="majorHAnsi"/>
          <w:sz w:val="24"/>
          <w:szCs w:val="24"/>
        </w:rPr>
        <w:t xml:space="preserve"> regarding the bulk costs for the servicing of all four sites to ready them for registration and transfer. Those exchanges suggest that at </w:t>
      </w:r>
      <w:r w:rsidR="0056426A">
        <w:rPr>
          <w:rFonts w:asciiTheme="majorHAnsi" w:hAnsiTheme="majorHAnsi" w:cstheme="majorHAnsi"/>
          <w:sz w:val="24"/>
          <w:szCs w:val="24"/>
        </w:rPr>
        <w:t xml:space="preserve">that time the cost was in the region of R527 000.00 excluding costs for sewer, water and electrical connection fees.  </w:t>
      </w:r>
    </w:p>
    <w:p w:rsidR="00D67ADF" w:rsidRPr="00D67ADF" w:rsidRDefault="00D67ADF" w:rsidP="00D67ADF">
      <w:pPr>
        <w:pStyle w:val="ListParagraph"/>
        <w:rPr>
          <w:rFonts w:asciiTheme="majorHAnsi" w:hAnsiTheme="majorHAnsi" w:cstheme="majorHAnsi"/>
          <w:sz w:val="24"/>
          <w:szCs w:val="24"/>
        </w:rPr>
      </w:pPr>
    </w:p>
    <w:p w:rsidR="00AF06B4" w:rsidRPr="00AF06B4" w:rsidRDefault="0056426A" w:rsidP="0038171F">
      <w:pPr>
        <w:pStyle w:val="ListParagraph"/>
        <w:numPr>
          <w:ilvl w:val="0"/>
          <w:numId w:val="1"/>
        </w:numPr>
        <w:spacing w:after="240" w:line="360" w:lineRule="auto"/>
        <w:jc w:val="both"/>
        <w:rPr>
          <w:rFonts w:asciiTheme="majorHAnsi" w:hAnsiTheme="majorHAnsi" w:cstheme="majorHAnsi"/>
        </w:rPr>
      </w:pPr>
      <w:r>
        <w:rPr>
          <w:rFonts w:asciiTheme="majorHAnsi" w:hAnsiTheme="majorHAnsi" w:cstheme="majorHAnsi"/>
          <w:sz w:val="24"/>
          <w:szCs w:val="24"/>
        </w:rPr>
        <w:t>In April 2022, Mr Ingo Roolf</w:t>
      </w:r>
      <w:r w:rsidR="00AF06B4">
        <w:rPr>
          <w:rFonts w:asciiTheme="majorHAnsi" w:hAnsiTheme="majorHAnsi" w:cstheme="majorHAnsi"/>
          <w:sz w:val="24"/>
          <w:szCs w:val="24"/>
        </w:rPr>
        <w:t xml:space="preserve">, </w:t>
      </w:r>
      <w:r w:rsidR="00EC38D2">
        <w:rPr>
          <w:rFonts w:asciiTheme="majorHAnsi" w:hAnsiTheme="majorHAnsi" w:cstheme="majorHAnsi"/>
          <w:sz w:val="24"/>
          <w:szCs w:val="24"/>
        </w:rPr>
        <w:t xml:space="preserve">a representative of one of the new shareholders </w:t>
      </w:r>
      <w:r w:rsidR="00AF06B4">
        <w:rPr>
          <w:rFonts w:asciiTheme="majorHAnsi" w:hAnsiTheme="majorHAnsi" w:cstheme="majorHAnsi"/>
          <w:sz w:val="24"/>
          <w:szCs w:val="24"/>
        </w:rPr>
        <w:t xml:space="preserve">in the first respondent </w:t>
      </w:r>
      <w:r w:rsidR="00EC38D2">
        <w:rPr>
          <w:rFonts w:asciiTheme="majorHAnsi" w:hAnsiTheme="majorHAnsi" w:cstheme="majorHAnsi"/>
          <w:sz w:val="24"/>
          <w:szCs w:val="24"/>
        </w:rPr>
        <w:t>who had  not been involved in the sale agreement in 2006, stated the first respondent’s position plainly when corresponding – with a degree of irritation – with the applicant’s attorneys in the following terms:</w:t>
      </w:r>
    </w:p>
    <w:p w:rsidR="00AF06B4" w:rsidRPr="00AF06B4" w:rsidRDefault="00AF06B4" w:rsidP="00AF06B4">
      <w:pPr>
        <w:pStyle w:val="ListParagraph"/>
        <w:rPr>
          <w:rFonts w:asciiTheme="majorHAnsi" w:hAnsiTheme="majorHAnsi" w:cstheme="majorHAnsi"/>
          <w:sz w:val="24"/>
          <w:szCs w:val="24"/>
        </w:rPr>
      </w:pPr>
    </w:p>
    <w:p w:rsidR="0056426A" w:rsidRDefault="00EC38D2" w:rsidP="00AF06B4">
      <w:pPr>
        <w:pStyle w:val="ListParagraph"/>
        <w:spacing w:after="240" w:line="360" w:lineRule="auto"/>
        <w:ind w:left="1418" w:right="1365"/>
        <w:jc w:val="both"/>
        <w:rPr>
          <w:rFonts w:asciiTheme="majorHAnsi" w:hAnsiTheme="majorHAnsi" w:cstheme="majorHAnsi"/>
          <w:sz w:val="24"/>
          <w:szCs w:val="24"/>
        </w:rPr>
      </w:pPr>
      <w:r>
        <w:rPr>
          <w:rFonts w:asciiTheme="majorHAnsi" w:hAnsiTheme="majorHAnsi" w:cstheme="majorHAnsi"/>
          <w:sz w:val="24"/>
          <w:szCs w:val="24"/>
        </w:rPr>
        <w:t xml:space="preserve"> </w:t>
      </w:r>
      <w:r w:rsidRPr="00B76FC6">
        <w:rPr>
          <w:rFonts w:asciiTheme="majorHAnsi" w:hAnsiTheme="majorHAnsi" w:cstheme="majorHAnsi"/>
          <w:sz w:val="24"/>
          <w:szCs w:val="24"/>
        </w:rPr>
        <w:t>‘</w:t>
      </w:r>
      <w:r w:rsidR="00B76FC6" w:rsidRPr="00B76FC6">
        <w:rPr>
          <w:rFonts w:asciiTheme="majorHAnsi" w:hAnsiTheme="majorHAnsi" w:cstheme="majorHAnsi"/>
          <w:sz w:val="24"/>
          <w:szCs w:val="24"/>
        </w:rPr>
        <w:t>..y</w:t>
      </w:r>
      <w:r w:rsidRPr="00B76FC6">
        <w:rPr>
          <w:rFonts w:asciiTheme="majorHAnsi" w:hAnsiTheme="majorHAnsi" w:cstheme="majorHAnsi"/>
          <w:sz w:val="24"/>
          <w:szCs w:val="24"/>
        </w:rPr>
        <w:t>our clients have the time until the 31</w:t>
      </w:r>
      <w:r w:rsidRPr="00B76FC6">
        <w:rPr>
          <w:rFonts w:asciiTheme="majorHAnsi" w:hAnsiTheme="majorHAnsi" w:cstheme="majorHAnsi"/>
          <w:sz w:val="24"/>
          <w:szCs w:val="24"/>
          <w:vertAlign w:val="superscript"/>
        </w:rPr>
        <w:t>st</w:t>
      </w:r>
      <w:r w:rsidRPr="00B76FC6">
        <w:rPr>
          <w:rFonts w:asciiTheme="majorHAnsi" w:hAnsiTheme="majorHAnsi" w:cstheme="majorHAnsi"/>
          <w:sz w:val="24"/>
          <w:szCs w:val="24"/>
        </w:rPr>
        <w:t xml:space="preserve"> March 2022</w:t>
      </w:r>
      <w:r w:rsidR="003D6642" w:rsidRPr="00B76FC6">
        <w:rPr>
          <w:rFonts w:asciiTheme="majorHAnsi" w:hAnsiTheme="majorHAnsi" w:cstheme="majorHAnsi"/>
          <w:sz w:val="24"/>
          <w:szCs w:val="24"/>
        </w:rPr>
        <w:t xml:space="preserve"> to choose one of our </w:t>
      </w:r>
      <w:r w:rsidR="00AF06B4" w:rsidRPr="00B76FC6">
        <w:rPr>
          <w:rFonts w:asciiTheme="majorHAnsi" w:hAnsiTheme="majorHAnsi" w:cstheme="majorHAnsi"/>
          <w:sz w:val="24"/>
          <w:szCs w:val="24"/>
        </w:rPr>
        <w:t xml:space="preserve">options </w:t>
      </w:r>
      <w:r w:rsidR="003D6642" w:rsidRPr="00B76FC6">
        <w:rPr>
          <w:rFonts w:asciiTheme="majorHAnsi" w:hAnsiTheme="majorHAnsi" w:cstheme="majorHAnsi"/>
          <w:sz w:val="24"/>
          <w:szCs w:val="24"/>
        </w:rPr>
        <w:t>otherwise they will get what was agreed in the contract between our company and Zenith cc. I also wrote that the 1</w:t>
      </w:r>
      <w:r w:rsidR="003D6642" w:rsidRPr="00B76FC6">
        <w:rPr>
          <w:rFonts w:asciiTheme="majorHAnsi" w:hAnsiTheme="majorHAnsi" w:cstheme="majorHAnsi"/>
          <w:sz w:val="24"/>
          <w:szCs w:val="24"/>
          <w:vertAlign w:val="superscript"/>
        </w:rPr>
        <w:t>st</w:t>
      </w:r>
      <w:r w:rsidR="003D6642" w:rsidRPr="00B76FC6">
        <w:rPr>
          <w:rFonts w:asciiTheme="majorHAnsi" w:hAnsiTheme="majorHAnsi" w:cstheme="majorHAnsi"/>
          <w:sz w:val="24"/>
          <w:szCs w:val="24"/>
        </w:rPr>
        <w:t xml:space="preserve"> of April </w:t>
      </w:r>
      <w:r w:rsidR="00B6056B" w:rsidRPr="00B76FC6">
        <w:rPr>
          <w:rFonts w:asciiTheme="majorHAnsi" w:hAnsiTheme="majorHAnsi" w:cstheme="majorHAnsi"/>
          <w:sz w:val="24"/>
          <w:szCs w:val="24"/>
        </w:rPr>
        <w:t>we will start to consolidate</w:t>
      </w:r>
      <w:r w:rsidR="00B6056B">
        <w:rPr>
          <w:rFonts w:asciiTheme="majorHAnsi" w:hAnsiTheme="majorHAnsi" w:cstheme="majorHAnsi"/>
          <w:sz w:val="24"/>
          <w:szCs w:val="24"/>
        </w:rPr>
        <w:t xml:space="preserve"> the 4 erven to </w:t>
      </w:r>
      <w:r w:rsidR="00B76FC6">
        <w:rPr>
          <w:rFonts w:asciiTheme="majorHAnsi" w:hAnsiTheme="majorHAnsi" w:cstheme="majorHAnsi"/>
          <w:sz w:val="24"/>
          <w:szCs w:val="24"/>
        </w:rPr>
        <w:t>one</w:t>
      </w:r>
      <w:r w:rsidR="00B6056B">
        <w:rPr>
          <w:rFonts w:asciiTheme="majorHAnsi" w:hAnsiTheme="majorHAnsi" w:cstheme="majorHAnsi"/>
          <w:sz w:val="24"/>
          <w:szCs w:val="24"/>
        </w:rPr>
        <w:t xml:space="preserve"> if I don’t get an answer from you…</w:t>
      </w:r>
    </w:p>
    <w:p w:rsidR="00AF06B4" w:rsidRPr="00B6056B" w:rsidRDefault="00AF06B4" w:rsidP="00AF06B4">
      <w:pPr>
        <w:pStyle w:val="ListParagraph"/>
        <w:spacing w:after="240" w:line="360" w:lineRule="auto"/>
        <w:ind w:left="1418" w:right="1365"/>
        <w:jc w:val="both"/>
        <w:rPr>
          <w:rFonts w:asciiTheme="majorHAnsi" w:hAnsiTheme="majorHAnsi" w:cstheme="majorHAnsi"/>
        </w:rPr>
      </w:pPr>
    </w:p>
    <w:p w:rsidR="007B0E7A" w:rsidRDefault="00B6056B" w:rsidP="00AF06B4">
      <w:pPr>
        <w:pStyle w:val="ListParagraph"/>
        <w:spacing w:after="240" w:line="360" w:lineRule="auto"/>
        <w:ind w:left="1418" w:right="1223"/>
        <w:jc w:val="both"/>
        <w:rPr>
          <w:rFonts w:asciiTheme="majorHAnsi" w:hAnsiTheme="majorHAnsi" w:cstheme="majorHAnsi"/>
          <w:sz w:val="24"/>
          <w:szCs w:val="24"/>
        </w:rPr>
      </w:pPr>
      <w:r>
        <w:rPr>
          <w:rFonts w:asciiTheme="majorHAnsi" w:hAnsiTheme="majorHAnsi" w:cstheme="majorHAnsi"/>
          <w:sz w:val="24"/>
          <w:szCs w:val="24"/>
        </w:rPr>
        <w:t>By the way, your client</w:t>
      </w:r>
      <w:r w:rsidR="00073F26">
        <w:rPr>
          <w:rFonts w:asciiTheme="majorHAnsi" w:hAnsiTheme="majorHAnsi" w:cstheme="majorHAnsi"/>
          <w:sz w:val="24"/>
          <w:szCs w:val="24"/>
        </w:rPr>
        <w:t>s have rights against us because of an agreement between us and them. The RoD has nothing to do with the rights of your clients</w:t>
      </w:r>
      <w:r w:rsidR="00B67E8C">
        <w:rPr>
          <w:rFonts w:asciiTheme="majorHAnsi" w:hAnsiTheme="majorHAnsi" w:cstheme="majorHAnsi"/>
          <w:sz w:val="24"/>
          <w:szCs w:val="24"/>
        </w:rPr>
        <w:t>. The RoD describes rights and duties of Blue</w:t>
      </w:r>
      <w:r w:rsidR="00781BFE">
        <w:rPr>
          <w:rFonts w:asciiTheme="majorHAnsi" w:hAnsiTheme="majorHAnsi" w:cstheme="majorHAnsi"/>
          <w:sz w:val="24"/>
          <w:szCs w:val="24"/>
        </w:rPr>
        <w:t xml:space="preserve"> G</w:t>
      </w:r>
      <w:r w:rsidR="00B67E8C">
        <w:rPr>
          <w:rFonts w:asciiTheme="majorHAnsi" w:hAnsiTheme="majorHAnsi" w:cstheme="majorHAnsi"/>
          <w:sz w:val="24"/>
          <w:szCs w:val="24"/>
        </w:rPr>
        <w:t>um Estates</w:t>
      </w:r>
      <w:r w:rsidR="00781BFE">
        <w:rPr>
          <w:rFonts w:asciiTheme="majorHAnsi" w:hAnsiTheme="majorHAnsi" w:cstheme="majorHAnsi"/>
          <w:sz w:val="24"/>
          <w:szCs w:val="24"/>
        </w:rPr>
        <w:t xml:space="preserve"> (Pty) Ltd.  At the moment the land your clients want to purchase is still in our ownership.  Your clients didn’t pay anything to us and the land is not transferred. I don’t understand </w:t>
      </w:r>
      <w:r w:rsidR="001B630B">
        <w:rPr>
          <w:rFonts w:asciiTheme="majorHAnsi" w:hAnsiTheme="majorHAnsi" w:cstheme="majorHAnsi"/>
          <w:sz w:val="24"/>
          <w:szCs w:val="24"/>
        </w:rPr>
        <w:t xml:space="preserve">why you write pages about this RoD. Even if this RoD would make it impossible to transfer the land to your clients, this would be our problem and not </w:t>
      </w:r>
      <w:r w:rsidR="00C85834">
        <w:rPr>
          <w:rFonts w:asciiTheme="majorHAnsi" w:hAnsiTheme="majorHAnsi" w:cstheme="majorHAnsi"/>
          <w:sz w:val="24"/>
          <w:szCs w:val="24"/>
        </w:rPr>
        <w:t>your problem as we have to deliver what is written in the agreement of our company and Zenith cc’.</w:t>
      </w:r>
    </w:p>
    <w:p w:rsidR="007B0E7A" w:rsidRDefault="007B0E7A" w:rsidP="00B6056B">
      <w:pPr>
        <w:pStyle w:val="ListParagraph"/>
        <w:spacing w:after="240" w:line="360" w:lineRule="auto"/>
        <w:ind w:left="0"/>
        <w:jc w:val="both"/>
        <w:rPr>
          <w:rFonts w:asciiTheme="majorHAnsi" w:hAnsiTheme="majorHAnsi" w:cstheme="majorHAnsi"/>
          <w:sz w:val="24"/>
          <w:szCs w:val="24"/>
        </w:rPr>
      </w:pPr>
    </w:p>
    <w:p w:rsidR="00D67ADF" w:rsidRDefault="00D67ADF" w:rsidP="00184EFA">
      <w:pPr>
        <w:pStyle w:val="ListParagraph"/>
        <w:numPr>
          <w:ilvl w:val="0"/>
          <w:numId w:val="1"/>
        </w:numPr>
        <w:spacing w:after="240" w:line="360" w:lineRule="auto"/>
        <w:jc w:val="both"/>
        <w:rPr>
          <w:rFonts w:asciiTheme="majorHAnsi" w:hAnsiTheme="majorHAnsi" w:cstheme="majorHAnsi"/>
          <w:sz w:val="24"/>
          <w:szCs w:val="24"/>
        </w:rPr>
      </w:pPr>
      <w:r w:rsidRPr="000F7665">
        <w:rPr>
          <w:rFonts w:asciiTheme="majorHAnsi" w:hAnsiTheme="majorHAnsi" w:cstheme="majorHAnsi"/>
          <w:sz w:val="24"/>
          <w:szCs w:val="24"/>
        </w:rPr>
        <w:t xml:space="preserve">The ‘options’ which the applicant had to exercise by 31 March 2023 to which Mr Roolf refers were </w:t>
      </w:r>
      <w:r w:rsidR="00ED6D57" w:rsidRPr="000F7665">
        <w:rPr>
          <w:rFonts w:asciiTheme="majorHAnsi" w:hAnsiTheme="majorHAnsi" w:cstheme="majorHAnsi"/>
          <w:sz w:val="24"/>
          <w:szCs w:val="24"/>
        </w:rPr>
        <w:t xml:space="preserve">three potential solutions to the dispute in which the parties had found themselves which had been proffered by the first respondent in an email of 11 February 2022. They ranged from excising what is described as ‘the 1 existing erf’ from the </w:t>
      </w:r>
      <w:r w:rsidR="00512C56">
        <w:rPr>
          <w:rFonts w:asciiTheme="majorHAnsi" w:hAnsiTheme="majorHAnsi" w:cstheme="majorHAnsi"/>
          <w:sz w:val="24"/>
          <w:szCs w:val="24"/>
        </w:rPr>
        <w:t xml:space="preserve">residential </w:t>
      </w:r>
      <w:r w:rsidR="00ED6D57" w:rsidRPr="000F7665">
        <w:rPr>
          <w:rFonts w:asciiTheme="majorHAnsi" w:hAnsiTheme="majorHAnsi" w:cstheme="majorHAnsi"/>
          <w:sz w:val="24"/>
          <w:szCs w:val="24"/>
        </w:rPr>
        <w:t>estate</w:t>
      </w:r>
      <w:r w:rsidR="00512C56">
        <w:rPr>
          <w:rFonts w:asciiTheme="majorHAnsi" w:hAnsiTheme="majorHAnsi" w:cstheme="majorHAnsi"/>
          <w:sz w:val="24"/>
          <w:szCs w:val="24"/>
        </w:rPr>
        <w:t xml:space="preserve"> the first respondent had deve</w:t>
      </w:r>
      <w:r w:rsidR="00F633F8">
        <w:rPr>
          <w:rFonts w:asciiTheme="majorHAnsi" w:hAnsiTheme="majorHAnsi" w:cstheme="majorHAnsi"/>
          <w:sz w:val="24"/>
          <w:szCs w:val="24"/>
        </w:rPr>
        <w:t>l</w:t>
      </w:r>
      <w:r w:rsidR="00512C56">
        <w:rPr>
          <w:rFonts w:asciiTheme="majorHAnsi" w:hAnsiTheme="majorHAnsi" w:cstheme="majorHAnsi"/>
          <w:sz w:val="24"/>
          <w:szCs w:val="24"/>
        </w:rPr>
        <w:t>oped</w:t>
      </w:r>
      <w:r w:rsidR="00ED6D57" w:rsidRPr="000F7665">
        <w:rPr>
          <w:rFonts w:asciiTheme="majorHAnsi" w:hAnsiTheme="majorHAnsi" w:cstheme="majorHAnsi"/>
          <w:sz w:val="24"/>
          <w:szCs w:val="24"/>
        </w:rPr>
        <w:t xml:space="preserve">, to </w:t>
      </w:r>
      <w:r w:rsidR="000F7665" w:rsidRPr="000F7665">
        <w:rPr>
          <w:rFonts w:asciiTheme="majorHAnsi" w:hAnsiTheme="majorHAnsi" w:cstheme="majorHAnsi"/>
          <w:sz w:val="24"/>
          <w:szCs w:val="24"/>
        </w:rPr>
        <w:t xml:space="preserve">the applicant acquiring  four erven ‘after the subdivision of the 1 existing erf’ in exchange for a contribution to costs of a little over R 3 million. </w:t>
      </w:r>
    </w:p>
    <w:p w:rsidR="004B54AB" w:rsidRDefault="004B54AB" w:rsidP="004B54AB">
      <w:pPr>
        <w:pStyle w:val="ListParagraph"/>
        <w:spacing w:after="240" w:line="360" w:lineRule="auto"/>
        <w:ind w:left="0"/>
        <w:jc w:val="both"/>
        <w:rPr>
          <w:rFonts w:asciiTheme="majorHAnsi" w:hAnsiTheme="majorHAnsi" w:cstheme="majorHAnsi"/>
          <w:sz w:val="24"/>
          <w:szCs w:val="24"/>
        </w:rPr>
      </w:pPr>
    </w:p>
    <w:p w:rsidR="00B76FC6" w:rsidRPr="000F7665" w:rsidRDefault="00B76FC6" w:rsidP="00946C89">
      <w:pPr>
        <w:pStyle w:val="ListParagraph"/>
        <w:numPr>
          <w:ilvl w:val="0"/>
          <w:numId w:val="1"/>
        </w:numPr>
        <w:spacing w:after="240" w:line="360" w:lineRule="auto"/>
        <w:jc w:val="both"/>
        <w:rPr>
          <w:rFonts w:asciiTheme="majorHAnsi" w:hAnsiTheme="majorHAnsi" w:cstheme="majorHAnsi"/>
          <w:sz w:val="24"/>
          <w:szCs w:val="24"/>
        </w:rPr>
      </w:pPr>
      <w:r>
        <w:rPr>
          <w:rFonts w:asciiTheme="majorHAnsi" w:hAnsiTheme="majorHAnsi" w:cstheme="majorHAnsi"/>
          <w:sz w:val="24"/>
          <w:szCs w:val="24"/>
        </w:rPr>
        <w:t>The reference to ‘the R</w:t>
      </w:r>
      <w:r w:rsidR="00B71DEC">
        <w:rPr>
          <w:rFonts w:asciiTheme="majorHAnsi" w:hAnsiTheme="majorHAnsi" w:cstheme="majorHAnsi"/>
          <w:sz w:val="24"/>
          <w:szCs w:val="24"/>
        </w:rPr>
        <w:t>o</w:t>
      </w:r>
      <w:r>
        <w:rPr>
          <w:rFonts w:asciiTheme="majorHAnsi" w:hAnsiTheme="majorHAnsi" w:cstheme="majorHAnsi"/>
          <w:sz w:val="24"/>
          <w:szCs w:val="24"/>
        </w:rPr>
        <w:t>D’ in Mr Roolf’s email is to the Record of Decision in respect of the development of the whole property by KwaDukuza Municipality</w:t>
      </w:r>
      <w:r w:rsidR="00512C56">
        <w:rPr>
          <w:rFonts w:asciiTheme="majorHAnsi" w:hAnsiTheme="majorHAnsi" w:cstheme="majorHAnsi"/>
          <w:sz w:val="24"/>
          <w:szCs w:val="24"/>
        </w:rPr>
        <w:t xml:space="preserve"> (ROD)</w:t>
      </w:r>
      <w:r>
        <w:rPr>
          <w:rFonts w:asciiTheme="majorHAnsi" w:hAnsiTheme="majorHAnsi" w:cstheme="majorHAnsi"/>
          <w:sz w:val="24"/>
          <w:szCs w:val="24"/>
        </w:rPr>
        <w:t>. An amended ROD issued in February 2022</w:t>
      </w:r>
      <w:r w:rsidR="00946C89">
        <w:rPr>
          <w:rFonts w:asciiTheme="majorHAnsi" w:hAnsiTheme="majorHAnsi" w:cstheme="majorHAnsi"/>
          <w:sz w:val="24"/>
          <w:szCs w:val="24"/>
        </w:rPr>
        <w:t xml:space="preserve"> set numerous conditions with which the first respondent was required to comply before the municipality would issue the certificate required by section 53 of the Spatial Planning and Land Use Management Act 6 of 2013</w:t>
      </w:r>
      <w:r w:rsidR="00312812">
        <w:rPr>
          <w:rFonts w:asciiTheme="majorHAnsi" w:hAnsiTheme="majorHAnsi" w:cstheme="majorHAnsi"/>
          <w:sz w:val="24"/>
          <w:szCs w:val="24"/>
        </w:rPr>
        <w:t>,</w:t>
      </w:r>
      <w:r w:rsidR="0033449A">
        <w:rPr>
          <w:rFonts w:asciiTheme="majorHAnsi" w:hAnsiTheme="majorHAnsi" w:cstheme="majorHAnsi"/>
          <w:sz w:val="24"/>
          <w:szCs w:val="24"/>
        </w:rPr>
        <w:t xml:space="preserve"> which is a prerequisite for the registration or </w:t>
      </w:r>
      <w:r w:rsidR="00946C89">
        <w:rPr>
          <w:rFonts w:asciiTheme="majorHAnsi" w:hAnsiTheme="majorHAnsi" w:cstheme="majorHAnsi"/>
          <w:sz w:val="24"/>
          <w:szCs w:val="24"/>
        </w:rPr>
        <w:t xml:space="preserve">transfer of any property resulting from </w:t>
      </w:r>
      <w:r w:rsidR="0033449A">
        <w:rPr>
          <w:rFonts w:asciiTheme="majorHAnsi" w:hAnsiTheme="majorHAnsi" w:cstheme="majorHAnsi"/>
          <w:sz w:val="24"/>
          <w:szCs w:val="24"/>
        </w:rPr>
        <w:t>a</w:t>
      </w:r>
      <w:r w:rsidR="00946C89">
        <w:rPr>
          <w:rFonts w:asciiTheme="majorHAnsi" w:hAnsiTheme="majorHAnsi" w:cstheme="majorHAnsi"/>
          <w:sz w:val="24"/>
          <w:szCs w:val="24"/>
        </w:rPr>
        <w:t xml:space="preserve"> land development application</w:t>
      </w:r>
      <w:r w:rsidR="0033449A">
        <w:rPr>
          <w:rFonts w:asciiTheme="majorHAnsi" w:hAnsiTheme="majorHAnsi" w:cstheme="majorHAnsi"/>
          <w:sz w:val="24"/>
          <w:szCs w:val="24"/>
        </w:rPr>
        <w:t>.</w:t>
      </w:r>
      <w:r w:rsidR="00F633F8">
        <w:rPr>
          <w:rFonts w:asciiTheme="majorHAnsi" w:hAnsiTheme="majorHAnsi" w:cstheme="majorHAnsi"/>
          <w:sz w:val="24"/>
          <w:szCs w:val="24"/>
        </w:rPr>
        <w:t xml:space="preserve"> </w:t>
      </w:r>
      <w:r w:rsidR="00946C89">
        <w:rPr>
          <w:rFonts w:asciiTheme="majorHAnsi" w:hAnsiTheme="majorHAnsi" w:cstheme="majorHAnsi"/>
          <w:sz w:val="24"/>
          <w:szCs w:val="24"/>
        </w:rPr>
        <w:t>Th</w:t>
      </w:r>
      <w:r w:rsidR="000F7665">
        <w:rPr>
          <w:rFonts w:asciiTheme="majorHAnsi" w:hAnsiTheme="majorHAnsi" w:cstheme="majorHAnsi"/>
          <w:sz w:val="24"/>
          <w:szCs w:val="24"/>
        </w:rPr>
        <w:t>ose</w:t>
      </w:r>
      <w:r w:rsidR="00946C89">
        <w:rPr>
          <w:rFonts w:asciiTheme="majorHAnsi" w:hAnsiTheme="majorHAnsi" w:cstheme="majorHAnsi"/>
          <w:sz w:val="24"/>
          <w:szCs w:val="24"/>
        </w:rPr>
        <w:t xml:space="preserve"> conditions included the provision of services to the boundary of each erf in the development. </w:t>
      </w:r>
    </w:p>
    <w:p w:rsidR="00946C89" w:rsidRPr="00946C89" w:rsidRDefault="00946C89" w:rsidP="00946C89">
      <w:pPr>
        <w:pStyle w:val="ListParagraph"/>
        <w:rPr>
          <w:rFonts w:asciiTheme="majorHAnsi" w:hAnsiTheme="majorHAnsi" w:cstheme="majorHAnsi"/>
          <w:sz w:val="24"/>
          <w:szCs w:val="24"/>
        </w:rPr>
      </w:pPr>
    </w:p>
    <w:p w:rsidR="00632A6D" w:rsidRDefault="00632A6D" w:rsidP="007B0E7A">
      <w:pPr>
        <w:pStyle w:val="ListParagraph"/>
        <w:numPr>
          <w:ilvl w:val="0"/>
          <w:numId w:val="1"/>
        </w:numPr>
        <w:spacing w:after="240" w:line="360" w:lineRule="auto"/>
        <w:jc w:val="both"/>
        <w:rPr>
          <w:rFonts w:asciiTheme="majorHAnsi" w:hAnsiTheme="majorHAnsi" w:cstheme="majorHAnsi"/>
          <w:sz w:val="24"/>
          <w:szCs w:val="24"/>
        </w:rPr>
      </w:pPr>
      <w:r>
        <w:rPr>
          <w:rFonts w:asciiTheme="majorHAnsi" w:hAnsiTheme="majorHAnsi" w:cstheme="majorHAnsi"/>
          <w:sz w:val="24"/>
          <w:szCs w:val="24"/>
        </w:rPr>
        <w:t xml:space="preserve">The dealings </w:t>
      </w:r>
      <w:r w:rsidR="000F7665">
        <w:rPr>
          <w:rFonts w:asciiTheme="majorHAnsi" w:hAnsiTheme="majorHAnsi" w:cstheme="majorHAnsi"/>
          <w:sz w:val="24"/>
          <w:szCs w:val="24"/>
        </w:rPr>
        <w:t xml:space="preserve">outlined above </w:t>
      </w:r>
      <w:r>
        <w:rPr>
          <w:rFonts w:asciiTheme="majorHAnsi" w:hAnsiTheme="majorHAnsi" w:cstheme="majorHAnsi"/>
          <w:sz w:val="24"/>
          <w:szCs w:val="24"/>
        </w:rPr>
        <w:t>demonstrate that the applicant and</w:t>
      </w:r>
      <w:r w:rsidR="000F7665">
        <w:rPr>
          <w:rFonts w:asciiTheme="majorHAnsi" w:hAnsiTheme="majorHAnsi" w:cstheme="majorHAnsi"/>
          <w:sz w:val="24"/>
          <w:szCs w:val="24"/>
        </w:rPr>
        <w:t xml:space="preserve"> </w:t>
      </w:r>
      <w:r>
        <w:rPr>
          <w:rFonts w:asciiTheme="majorHAnsi" w:hAnsiTheme="majorHAnsi" w:cstheme="majorHAnsi"/>
          <w:sz w:val="24"/>
          <w:szCs w:val="24"/>
        </w:rPr>
        <w:t>first respondent understood and accept</w:t>
      </w:r>
      <w:r w:rsidR="000F7665">
        <w:rPr>
          <w:rFonts w:asciiTheme="majorHAnsi" w:hAnsiTheme="majorHAnsi" w:cstheme="majorHAnsi"/>
          <w:sz w:val="24"/>
          <w:szCs w:val="24"/>
        </w:rPr>
        <w:t>e</w:t>
      </w:r>
      <w:r>
        <w:rPr>
          <w:rFonts w:asciiTheme="majorHAnsi" w:hAnsiTheme="majorHAnsi" w:cstheme="majorHAnsi"/>
          <w:sz w:val="24"/>
          <w:szCs w:val="24"/>
        </w:rPr>
        <w:t>d that the option had been exercised but were a</w:t>
      </w:r>
      <w:r w:rsidR="0033449A">
        <w:rPr>
          <w:rFonts w:asciiTheme="majorHAnsi" w:hAnsiTheme="majorHAnsi" w:cstheme="majorHAnsi"/>
          <w:sz w:val="24"/>
          <w:szCs w:val="24"/>
        </w:rPr>
        <w:t>t</w:t>
      </w:r>
      <w:r>
        <w:rPr>
          <w:rFonts w:asciiTheme="majorHAnsi" w:hAnsiTheme="majorHAnsi" w:cstheme="majorHAnsi"/>
          <w:sz w:val="24"/>
          <w:szCs w:val="24"/>
        </w:rPr>
        <w:t xml:space="preserve"> </w:t>
      </w:r>
      <w:r w:rsidR="00312812">
        <w:rPr>
          <w:rFonts w:asciiTheme="majorHAnsi" w:hAnsiTheme="majorHAnsi" w:cstheme="majorHAnsi"/>
          <w:sz w:val="24"/>
          <w:szCs w:val="24"/>
        </w:rPr>
        <w:t xml:space="preserve">times at odds </w:t>
      </w:r>
      <w:r>
        <w:rPr>
          <w:rFonts w:asciiTheme="majorHAnsi" w:hAnsiTheme="majorHAnsi" w:cstheme="majorHAnsi"/>
          <w:sz w:val="24"/>
          <w:szCs w:val="24"/>
        </w:rPr>
        <w:t xml:space="preserve">about </w:t>
      </w:r>
      <w:r w:rsidR="00312812">
        <w:rPr>
          <w:rFonts w:asciiTheme="majorHAnsi" w:hAnsiTheme="majorHAnsi" w:cstheme="majorHAnsi"/>
          <w:sz w:val="24"/>
          <w:szCs w:val="24"/>
        </w:rPr>
        <w:t xml:space="preserve">payment </w:t>
      </w:r>
      <w:r>
        <w:rPr>
          <w:rFonts w:asciiTheme="majorHAnsi" w:hAnsiTheme="majorHAnsi" w:cstheme="majorHAnsi"/>
          <w:sz w:val="24"/>
          <w:szCs w:val="24"/>
        </w:rPr>
        <w:t xml:space="preserve">for the additional costs occasioned by the </w:t>
      </w:r>
      <w:r w:rsidR="000F7665">
        <w:rPr>
          <w:rFonts w:asciiTheme="majorHAnsi" w:hAnsiTheme="majorHAnsi" w:cstheme="majorHAnsi"/>
          <w:sz w:val="24"/>
          <w:szCs w:val="24"/>
        </w:rPr>
        <w:t xml:space="preserve">potential </w:t>
      </w:r>
      <w:r>
        <w:rPr>
          <w:rFonts w:asciiTheme="majorHAnsi" w:hAnsiTheme="majorHAnsi" w:cstheme="majorHAnsi"/>
          <w:sz w:val="24"/>
          <w:szCs w:val="24"/>
        </w:rPr>
        <w:t>creation of four subdivisions instead of one.</w:t>
      </w:r>
    </w:p>
    <w:p w:rsidR="000F7665" w:rsidRPr="000F7665" w:rsidRDefault="000F7665" w:rsidP="000F7665">
      <w:pPr>
        <w:pStyle w:val="ListParagraph"/>
        <w:rPr>
          <w:rFonts w:asciiTheme="majorHAnsi" w:hAnsiTheme="majorHAnsi" w:cstheme="majorHAnsi"/>
          <w:sz w:val="24"/>
          <w:szCs w:val="24"/>
        </w:rPr>
      </w:pPr>
    </w:p>
    <w:p w:rsidR="000F7665" w:rsidRDefault="000F7665" w:rsidP="000F7665">
      <w:pPr>
        <w:pStyle w:val="ListParagraph"/>
        <w:numPr>
          <w:ilvl w:val="0"/>
          <w:numId w:val="1"/>
        </w:numPr>
        <w:spacing w:after="240" w:line="360" w:lineRule="auto"/>
        <w:jc w:val="both"/>
        <w:rPr>
          <w:rFonts w:asciiTheme="majorHAnsi" w:hAnsiTheme="majorHAnsi" w:cstheme="majorHAnsi"/>
          <w:sz w:val="24"/>
          <w:szCs w:val="24"/>
        </w:rPr>
      </w:pPr>
      <w:r>
        <w:rPr>
          <w:rFonts w:asciiTheme="majorHAnsi" w:hAnsiTheme="majorHAnsi" w:cstheme="majorHAnsi"/>
          <w:sz w:val="24"/>
          <w:szCs w:val="24"/>
        </w:rPr>
        <w:t>It is apparent from the alternatives proffered by the first respondent in February 2022, that at the time of the correspondence the four subdivisions had not yet been registered. This only occurred on 13 May 2022 when certificates of registered title were issued</w:t>
      </w:r>
      <w:r w:rsidR="0033449A">
        <w:rPr>
          <w:rFonts w:asciiTheme="majorHAnsi" w:hAnsiTheme="majorHAnsi" w:cstheme="majorHAnsi"/>
          <w:sz w:val="24"/>
          <w:szCs w:val="24"/>
        </w:rPr>
        <w:t xml:space="preserve">, </w:t>
      </w:r>
      <w:r>
        <w:rPr>
          <w:rFonts w:asciiTheme="majorHAnsi" w:hAnsiTheme="majorHAnsi" w:cstheme="majorHAnsi"/>
          <w:sz w:val="24"/>
          <w:szCs w:val="24"/>
        </w:rPr>
        <w:t>record</w:t>
      </w:r>
      <w:r w:rsidR="0033449A">
        <w:rPr>
          <w:rFonts w:asciiTheme="majorHAnsi" w:hAnsiTheme="majorHAnsi" w:cstheme="majorHAnsi"/>
          <w:sz w:val="24"/>
          <w:szCs w:val="24"/>
        </w:rPr>
        <w:t>ing</w:t>
      </w:r>
      <w:r>
        <w:rPr>
          <w:rFonts w:asciiTheme="majorHAnsi" w:hAnsiTheme="majorHAnsi" w:cstheme="majorHAnsi"/>
          <w:sz w:val="24"/>
          <w:szCs w:val="24"/>
        </w:rPr>
        <w:t xml:space="preserve"> the correct descriptions of the four subdivisions as follows:-</w:t>
      </w:r>
    </w:p>
    <w:p w:rsidR="000F7665" w:rsidRDefault="000F7665" w:rsidP="000F7665">
      <w:pPr>
        <w:pStyle w:val="ListParagraph"/>
        <w:spacing w:after="240" w:line="360" w:lineRule="auto"/>
        <w:ind w:left="0"/>
        <w:jc w:val="both"/>
        <w:rPr>
          <w:rFonts w:asciiTheme="majorHAnsi" w:hAnsiTheme="majorHAnsi" w:cstheme="majorHAnsi"/>
          <w:sz w:val="24"/>
          <w:szCs w:val="24"/>
        </w:rPr>
      </w:pPr>
    </w:p>
    <w:p w:rsidR="000F7665" w:rsidRDefault="000F7665" w:rsidP="0029497F">
      <w:pPr>
        <w:pStyle w:val="ListParagraph"/>
        <w:spacing w:after="240" w:line="360" w:lineRule="auto"/>
        <w:ind w:hanging="720"/>
        <w:jc w:val="both"/>
        <w:rPr>
          <w:rFonts w:asciiTheme="majorHAnsi" w:hAnsiTheme="majorHAnsi" w:cstheme="majorHAnsi"/>
          <w:sz w:val="24"/>
          <w:szCs w:val="24"/>
        </w:rPr>
      </w:pPr>
      <w:r>
        <w:rPr>
          <w:rFonts w:asciiTheme="majorHAnsi" w:hAnsiTheme="majorHAnsi" w:cstheme="majorHAnsi"/>
          <w:sz w:val="24"/>
          <w:szCs w:val="24"/>
        </w:rPr>
        <w:t>[a]</w:t>
      </w:r>
      <w:r>
        <w:rPr>
          <w:rFonts w:asciiTheme="majorHAnsi" w:hAnsiTheme="majorHAnsi" w:cstheme="majorHAnsi"/>
          <w:sz w:val="24"/>
          <w:szCs w:val="24"/>
        </w:rPr>
        <w:tab/>
      </w:r>
      <w:r w:rsidR="0029497F">
        <w:rPr>
          <w:rFonts w:asciiTheme="majorHAnsi" w:hAnsiTheme="majorHAnsi" w:cstheme="majorHAnsi"/>
          <w:sz w:val="24"/>
          <w:szCs w:val="24"/>
        </w:rPr>
        <w:t xml:space="preserve">Erf 1450 Sheffield Beach, in extent 2498 square metres, </w:t>
      </w:r>
      <w:r w:rsidR="00F633F8">
        <w:rPr>
          <w:rFonts w:asciiTheme="majorHAnsi" w:hAnsiTheme="majorHAnsi" w:cstheme="majorHAnsi"/>
          <w:sz w:val="24"/>
          <w:szCs w:val="24"/>
        </w:rPr>
        <w:t xml:space="preserve">as will more fully appear from General Plan S.G. Number 907/2021, </w:t>
      </w:r>
      <w:r w:rsidR="0029497F">
        <w:rPr>
          <w:rFonts w:asciiTheme="majorHAnsi" w:hAnsiTheme="majorHAnsi" w:cstheme="majorHAnsi"/>
          <w:sz w:val="24"/>
          <w:szCs w:val="24"/>
        </w:rPr>
        <w:t xml:space="preserve">held by </w:t>
      </w:r>
      <w:r w:rsidR="00F633F8">
        <w:rPr>
          <w:rFonts w:asciiTheme="majorHAnsi" w:hAnsiTheme="majorHAnsi" w:cstheme="majorHAnsi"/>
          <w:sz w:val="24"/>
          <w:szCs w:val="24"/>
        </w:rPr>
        <w:t>Certificate of Registered Title number T</w:t>
      </w:r>
      <w:r w:rsidR="0029497F">
        <w:rPr>
          <w:rFonts w:asciiTheme="majorHAnsi" w:hAnsiTheme="majorHAnsi" w:cstheme="majorHAnsi"/>
          <w:sz w:val="24"/>
          <w:szCs w:val="24"/>
        </w:rPr>
        <w:t>14766/22;</w:t>
      </w:r>
    </w:p>
    <w:p w:rsidR="00F633F8" w:rsidRDefault="0029497F" w:rsidP="00F633F8">
      <w:pPr>
        <w:pStyle w:val="ListParagraph"/>
        <w:spacing w:after="240" w:line="360" w:lineRule="auto"/>
        <w:ind w:hanging="720"/>
        <w:jc w:val="both"/>
        <w:rPr>
          <w:rFonts w:asciiTheme="majorHAnsi" w:hAnsiTheme="majorHAnsi" w:cstheme="majorHAnsi"/>
          <w:sz w:val="24"/>
          <w:szCs w:val="24"/>
        </w:rPr>
      </w:pPr>
      <w:r>
        <w:rPr>
          <w:rFonts w:asciiTheme="majorHAnsi" w:hAnsiTheme="majorHAnsi" w:cstheme="majorHAnsi"/>
          <w:sz w:val="24"/>
          <w:szCs w:val="24"/>
        </w:rPr>
        <w:t>[b]</w:t>
      </w:r>
      <w:r>
        <w:rPr>
          <w:rFonts w:asciiTheme="majorHAnsi" w:hAnsiTheme="majorHAnsi" w:cstheme="majorHAnsi"/>
          <w:sz w:val="24"/>
          <w:szCs w:val="24"/>
        </w:rPr>
        <w:tab/>
        <w:t>Erf 1451 Sheffield Beach, in extent 2500 square metres,</w:t>
      </w:r>
      <w:r w:rsidR="00F633F8">
        <w:rPr>
          <w:rFonts w:asciiTheme="majorHAnsi" w:hAnsiTheme="majorHAnsi" w:cstheme="majorHAnsi"/>
          <w:sz w:val="24"/>
          <w:szCs w:val="24"/>
        </w:rPr>
        <w:t xml:space="preserve"> as will more fully appear from General Plan S.G. Number 907/2021</w:t>
      </w:r>
      <w:r>
        <w:rPr>
          <w:rFonts w:asciiTheme="majorHAnsi" w:hAnsiTheme="majorHAnsi" w:cstheme="majorHAnsi"/>
          <w:sz w:val="24"/>
          <w:szCs w:val="24"/>
        </w:rPr>
        <w:t xml:space="preserve"> </w:t>
      </w:r>
      <w:r w:rsidR="00F633F8">
        <w:rPr>
          <w:rFonts w:asciiTheme="majorHAnsi" w:hAnsiTheme="majorHAnsi" w:cstheme="majorHAnsi"/>
          <w:sz w:val="24"/>
          <w:szCs w:val="24"/>
        </w:rPr>
        <w:t>held by Certificate of Registered Title number T14767/22;</w:t>
      </w:r>
    </w:p>
    <w:p w:rsidR="00F633F8" w:rsidRDefault="0029497F" w:rsidP="00F633F8">
      <w:pPr>
        <w:pStyle w:val="ListParagraph"/>
        <w:spacing w:after="240" w:line="360" w:lineRule="auto"/>
        <w:ind w:hanging="720"/>
        <w:jc w:val="both"/>
        <w:rPr>
          <w:rFonts w:asciiTheme="majorHAnsi" w:hAnsiTheme="majorHAnsi" w:cstheme="majorHAnsi"/>
          <w:sz w:val="24"/>
          <w:szCs w:val="24"/>
        </w:rPr>
      </w:pPr>
      <w:r>
        <w:rPr>
          <w:rFonts w:asciiTheme="majorHAnsi" w:hAnsiTheme="majorHAnsi" w:cstheme="majorHAnsi"/>
          <w:sz w:val="24"/>
          <w:szCs w:val="24"/>
        </w:rPr>
        <w:t>[c]</w:t>
      </w:r>
      <w:r>
        <w:rPr>
          <w:rFonts w:asciiTheme="majorHAnsi" w:hAnsiTheme="majorHAnsi" w:cstheme="majorHAnsi"/>
          <w:sz w:val="24"/>
          <w:szCs w:val="24"/>
        </w:rPr>
        <w:tab/>
        <w:t xml:space="preserve">Erf 1452 Sheffield Beach, in extent 2498 square metres, </w:t>
      </w:r>
      <w:r w:rsidR="00F633F8">
        <w:rPr>
          <w:rFonts w:asciiTheme="majorHAnsi" w:hAnsiTheme="majorHAnsi" w:cstheme="majorHAnsi"/>
          <w:sz w:val="24"/>
          <w:szCs w:val="24"/>
        </w:rPr>
        <w:t xml:space="preserve">as will more fully appear from General Plan S.G. Number 907/2021 </w:t>
      </w:r>
      <w:r>
        <w:rPr>
          <w:rFonts w:asciiTheme="majorHAnsi" w:hAnsiTheme="majorHAnsi" w:cstheme="majorHAnsi"/>
          <w:sz w:val="24"/>
          <w:szCs w:val="24"/>
        </w:rPr>
        <w:t xml:space="preserve">held by </w:t>
      </w:r>
      <w:r w:rsidR="00F633F8">
        <w:rPr>
          <w:rFonts w:asciiTheme="majorHAnsi" w:hAnsiTheme="majorHAnsi" w:cstheme="majorHAnsi"/>
          <w:sz w:val="24"/>
          <w:szCs w:val="24"/>
        </w:rPr>
        <w:t>Certificate of Registered Title number T14768/22;</w:t>
      </w:r>
    </w:p>
    <w:p w:rsidR="00817CBC" w:rsidRPr="00F633F8" w:rsidRDefault="0029497F" w:rsidP="00F633F8">
      <w:pPr>
        <w:pStyle w:val="ListParagraph"/>
        <w:spacing w:after="240" w:line="360" w:lineRule="auto"/>
        <w:ind w:hanging="720"/>
        <w:jc w:val="both"/>
        <w:rPr>
          <w:rFonts w:asciiTheme="majorHAnsi" w:hAnsiTheme="majorHAnsi" w:cstheme="majorHAnsi"/>
          <w:sz w:val="24"/>
          <w:szCs w:val="24"/>
        </w:rPr>
      </w:pPr>
      <w:r>
        <w:rPr>
          <w:rFonts w:asciiTheme="majorHAnsi" w:hAnsiTheme="majorHAnsi" w:cstheme="majorHAnsi"/>
          <w:sz w:val="24"/>
          <w:szCs w:val="24"/>
        </w:rPr>
        <w:t>[d]</w:t>
      </w:r>
      <w:r>
        <w:rPr>
          <w:rFonts w:asciiTheme="majorHAnsi" w:hAnsiTheme="majorHAnsi" w:cstheme="majorHAnsi"/>
          <w:sz w:val="24"/>
          <w:szCs w:val="24"/>
        </w:rPr>
        <w:tab/>
        <w:t xml:space="preserve">Erf 1453 Sheffield Beach, in extent 7437 square metres,  </w:t>
      </w:r>
      <w:r w:rsidR="00F633F8">
        <w:rPr>
          <w:rFonts w:asciiTheme="majorHAnsi" w:hAnsiTheme="majorHAnsi" w:cstheme="majorHAnsi"/>
          <w:sz w:val="24"/>
          <w:szCs w:val="24"/>
        </w:rPr>
        <w:t>as will more fully appear from General Plan S.G. Number 907/2021 held by Certificate of Registered Title number T14769/22.</w:t>
      </w:r>
    </w:p>
    <w:p w:rsidR="00F633F8" w:rsidRDefault="00F633F8" w:rsidP="00817CBC">
      <w:pPr>
        <w:pStyle w:val="ListParagraph"/>
        <w:spacing w:after="240" w:line="360" w:lineRule="auto"/>
        <w:ind w:left="0"/>
        <w:jc w:val="both"/>
        <w:rPr>
          <w:rFonts w:asciiTheme="majorHAnsi" w:hAnsiTheme="majorHAnsi" w:cstheme="majorHAnsi"/>
          <w:sz w:val="24"/>
          <w:szCs w:val="24"/>
        </w:rPr>
      </w:pPr>
    </w:p>
    <w:p w:rsidR="0033449A" w:rsidRDefault="0033449A" w:rsidP="0004693C">
      <w:pPr>
        <w:pStyle w:val="ListParagraph"/>
        <w:numPr>
          <w:ilvl w:val="0"/>
          <w:numId w:val="1"/>
        </w:numPr>
        <w:spacing w:after="240" w:line="360" w:lineRule="auto"/>
        <w:jc w:val="both"/>
        <w:rPr>
          <w:rFonts w:asciiTheme="majorHAnsi" w:hAnsiTheme="majorHAnsi" w:cstheme="majorHAnsi"/>
          <w:sz w:val="24"/>
          <w:szCs w:val="24"/>
        </w:rPr>
      </w:pPr>
      <w:r>
        <w:rPr>
          <w:rFonts w:asciiTheme="majorHAnsi" w:hAnsiTheme="majorHAnsi" w:cstheme="majorHAnsi"/>
          <w:sz w:val="24"/>
          <w:szCs w:val="24"/>
        </w:rPr>
        <w:t xml:space="preserve">It is against this factual matrix that the first respondent’s legal contentions fall to be determined. </w:t>
      </w:r>
    </w:p>
    <w:p w:rsidR="0033449A" w:rsidRDefault="0033449A" w:rsidP="0033449A">
      <w:pPr>
        <w:pStyle w:val="ListParagraph"/>
        <w:spacing w:after="240" w:line="360" w:lineRule="auto"/>
        <w:ind w:left="0"/>
        <w:jc w:val="both"/>
        <w:rPr>
          <w:rFonts w:asciiTheme="majorHAnsi" w:hAnsiTheme="majorHAnsi" w:cstheme="majorHAnsi"/>
          <w:sz w:val="24"/>
          <w:szCs w:val="24"/>
        </w:rPr>
      </w:pPr>
    </w:p>
    <w:p w:rsidR="0033449A" w:rsidRDefault="0033449A" w:rsidP="0033449A">
      <w:pPr>
        <w:pStyle w:val="ListParagraph"/>
        <w:spacing w:after="240" w:line="360" w:lineRule="auto"/>
        <w:ind w:left="0"/>
        <w:jc w:val="both"/>
        <w:rPr>
          <w:rFonts w:ascii="Times New Roman" w:hAnsi="Times New Roman"/>
          <w:sz w:val="24"/>
          <w:szCs w:val="24"/>
        </w:rPr>
      </w:pPr>
      <w:r w:rsidRPr="00817CBC">
        <w:rPr>
          <w:rFonts w:asciiTheme="majorHAnsi" w:hAnsiTheme="majorHAnsi" w:cstheme="majorHAnsi"/>
          <w:b/>
          <w:bCs/>
          <w:sz w:val="24"/>
          <w:szCs w:val="24"/>
        </w:rPr>
        <w:t>The House Sub</w:t>
      </w:r>
      <w:r w:rsidR="000A4B65">
        <w:rPr>
          <w:rFonts w:asciiTheme="majorHAnsi" w:hAnsiTheme="majorHAnsi" w:cstheme="majorHAnsi"/>
          <w:b/>
          <w:bCs/>
          <w:sz w:val="24"/>
          <w:szCs w:val="24"/>
        </w:rPr>
        <w:t>-</w:t>
      </w:r>
      <w:r w:rsidRPr="00817CBC">
        <w:rPr>
          <w:rFonts w:asciiTheme="majorHAnsi" w:hAnsiTheme="majorHAnsi" w:cstheme="majorHAnsi"/>
          <w:b/>
          <w:bCs/>
          <w:sz w:val="24"/>
          <w:szCs w:val="24"/>
        </w:rPr>
        <w:t xml:space="preserve">division and the four separate </w:t>
      </w:r>
      <w:r w:rsidRPr="00817CBC">
        <w:rPr>
          <w:rFonts w:ascii="Arial" w:hAnsi="Arial" w:cs="Arial"/>
          <w:b/>
          <w:bCs/>
          <w:sz w:val="24"/>
          <w:szCs w:val="24"/>
        </w:rPr>
        <w:t>subdivisions created instead</w:t>
      </w:r>
      <w:r w:rsidRPr="00817CBC">
        <w:rPr>
          <w:rFonts w:ascii="Times New Roman" w:hAnsi="Times New Roman"/>
          <w:sz w:val="24"/>
          <w:szCs w:val="24"/>
        </w:rPr>
        <w:t xml:space="preserve"> </w:t>
      </w:r>
    </w:p>
    <w:p w:rsidR="0033449A" w:rsidRDefault="0033449A" w:rsidP="0033449A">
      <w:pPr>
        <w:pStyle w:val="ListParagraph"/>
        <w:spacing w:after="240" w:line="360" w:lineRule="auto"/>
        <w:ind w:left="0"/>
        <w:jc w:val="both"/>
        <w:rPr>
          <w:rFonts w:asciiTheme="majorHAnsi" w:hAnsiTheme="majorHAnsi" w:cstheme="majorHAnsi"/>
          <w:sz w:val="24"/>
          <w:szCs w:val="24"/>
        </w:rPr>
      </w:pPr>
    </w:p>
    <w:p w:rsidR="0004693C" w:rsidRPr="00DC0B31" w:rsidRDefault="008B1405" w:rsidP="0004693C">
      <w:pPr>
        <w:pStyle w:val="ListParagraph"/>
        <w:numPr>
          <w:ilvl w:val="0"/>
          <w:numId w:val="1"/>
        </w:numPr>
        <w:spacing w:after="240" w:line="360" w:lineRule="auto"/>
        <w:jc w:val="both"/>
        <w:rPr>
          <w:rFonts w:asciiTheme="majorHAnsi" w:hAnsiTheme="majorHAnsi" w:cstheme="majorHAnsi"/>
          <w:sz w:val="24"/>
          <w:szCs w:val="24"/>
        </w:rPr>
      </w:pPr>
      <w:r>
        <w:rPr>
          <w:rFonts w:asciiTheme="majorHAnsi" w:hAnsiTheme="majorHAnsi" w:cstheme="majorHAnsi"/>
          <w:sz w:val="24"/>
          <w:szCs w:val="24"/>
        </w:rPr>
        <w:t>The first respondent contends that as at 31</w:t>
      </w:r>
      <w:r w:rsidR="0033449A">
        <w:rPr>
          <w:rFonts w:asciiTheme="majorHAnsi" w:hAnsiTheme="majorHAnsi" w:cstheme="majorHAnsi"/>
          <w:sz w:val="24"/>
          <w:szCs w:val="24"/>
        </w:rPr>
        <w:t xml:space="preserve"> July</w:t>
      </w:r>
      <w:r>
        <w:rPr>
          <w:rFonts w:asciiTheme="majorHAnsi" w:hAnsiTheme="majorHAnsi" w:cstheme="majorHAnsi"/>
          <w:sz w:val="24"/>
          <w:szCs w:val="24"/>
        </w:rPr>
        <w:t xml:space="preserve"> 2015 the House Sub</w:t>
      </w:r>
      <w:r w:rsidR="000A4B65">
        <w:rPr>
          <w:rFonts w:asciiTheme="majorHAnsi" w:hAnsiTheme="majorHAnsi" w:cstheme="majorHAnsi"/>
          <w:sz w:val="24"/>
          <w:szCs w:val="24"/>
        </w:rPr>
        <w:t>-</w:t>
      </w:r>
      <w:r>
        <w:rPr>
          <w:rFonts w:asciiTheme="majorHAnsi" w:hAnsiTheme="majorHAnsi" w:cstheme="majorHAnsi"/>
          <w:sz w:val="24"/>
          <w:szCs w:val="24"/>
        </w:rPr>
        <w:t>division did not exist as a separate subdivision</w:t>
      </w:r>
      <w:r w:rsidR="0033449A">
        <w:rPr>
          <w:rFonts w:asciiTheme="majorHAnsi" w:hAnsiTheme="majorHAnsi" w:cstheme="majorHAnsi"/>
          <w:sz w:val="24"/>
          <w:szCs w:val="24"/>
        </w:rPr>
        <w:t>.</w:t>
      </w:r>
      <w:r w:rsidR="00312812">
        <w:rPr>
          <w:rFonts w:asciiTheme="majorHAnsi" w:hAnsiTheme="majorHAnsi" w:cstheme="majorHAnsi"/>
          <w:sz w:val="24"/>
          <w:szCs w:val="24"/>
        </w:rPr>
        <w:t xml:space="preserve"> </w:t>
      </w:r>
      <w:r w:rsidR="0033449A">
        <w:rPr>
          <w:rFonts w:asciiTheme="majorHAnsi" w:hAnsiTheme="majorHAnsi" w:cstheme="majorHAnsi"/>
          <w:sz w:val="24"/>
          <w:szCs w:val="24"/>
        </w:rPr>
        <w:t>W</w:t>
      </w:r>
      <w:r>
        <w:rPr>
          <w:rFonts w:asciiTheme="majorHAnsi" w:hAnsiTheme="majorHAnsi" w:cstheme="majorHAnsi"/>
          <w:sz w:val="24"/>
          <w:szCs w:val="24"/>
        </w:rPr>
        <w:t>hat existed instead were four different registerable subdivisions</w:t>
      </w:r>
      <w:r w:rsidR="008A4DFC">
        <w:rPr>
          <w:rFonts w:asciiTheme="majorHAnsi" w:hAnsiTheme="majorHAnsi" w:cstheme="majorHAnsi"/>
          <w:sz w:val="24"/>
          <w:szCs w:val="24"/>
        </w:rPr>
        <w:t>. As stated in heads of argument filed on the first respondent’s behalf</w:t>
      </w:r>
      <w:r w:rsidR="00D071E7">
        <w:rPr>
          <w:rFonts w:asciiTheme="majorHAnsi" w:hAnsiTheme="majorHAnsi" w:cstheme="majorHAnsi"/>
          <w:sz w:val="24"/>
          <w:szCs w:val="24"/>
        </w:rPr>
        <w:t xml:space="preserve">: </w:t>
      </w:r>
      <w:r w:rsidR="008A4DFC">
        <w:rPr>
          <w:rFonts w:asciiTheme="majorHAnsi" w:hAnsiTheme="majorHAnsi" w:cstheme="majorHAnsi"/>
          <w:sz w:val="24"/>
          <w:szCs w:val="24"/>
        </w:rPr>
        <w:t>‘the fact that these four subdivisions make up the land that comprised the erstwhile proposed House Sub</w:t>
      </w:r>
      <w:r w:rsidR="000A4B65">
        <w:rPr>
          <w:rFonts w:asciiTheme="majorHAnsi" w:hAnsiTheme="majorHAnsi" w:cstheme="majorHAnsi"/>
          <w:sz w:val="24"/>
          <w:szCs w:val="24"/>
        </w:rPr>
        <w:t>-</w:t>
      </w:r>
      <w:r w:rsidR="008A4DFC">
        <w:rPr>
          <w:rFonts w:asciiTheme="majorHAnsi" w:hAnsiTheme="majorHAnsi" w:cstheme="majorHAnsi"/>
          <w:sz w:val="24"/>
          <w:szCs w:val="24"/>
        </w:rPr>
        <w:t>division is irrelevant. What is relevant is that they are four distinct and separately registerable subdivisions.</w:t>
      </w:r>
      <w:r w:rsidR="008A4DFC" w:rsidRPr="00DC0B31">
        <w:rPr>
          <w:rFonts w:asciiTheme="majorHAnsi" w:hAnsiTheme="majorHAnsi" w:cstheme="majorHAnsi"/>
          <w:sz w:val="24"/>
          <w:szCs w:val="24"/>
        </w:rPr>
        <w:t xml:space="preserve">’ </w:t>
      </w:r>
      <w:r w:rsidR="00632A6D" w:rsidRPr="00DC0B31">
        <w:rPr>
          <w:rFonts w:asciiTheme="majorHAnsi" w:hAnsiTheme="majorHAnsi" w:cstheme="majorHAnsi"/>
          <w:sz w:val="24"/>
          <w:szCs w:val="24"/>
        </w:rPr>
        <w:t xml:space="preserve">In argument, counsel for the first respondent submitted that the creation of the four subdivisions destroyed the option. </w:t>
      </w:r>
      <w:r w:rsidR="008A4DFC" w:rsidRPr="00DC0B31">
        <w:rPr>
          <w:rFonts w:asciiTheme="majorHAnsi" w:hAnsiTheme="majorHAnsi" w:cstheme="majorHAnsi"/>
          <w:sz w:val="24"/>
          <w:szCs w:val="24"/>
        </w:rPr>
        <w:t xml:space="preserve">I disagree. </w:t>
      </w:r>
    </w:p>
    <w:p w:rsidR="0004693C" w:rsidRPr="0004693C" w:rsidRDefault="0004693C" w:rsidP="0004693C">
      <w:pPr>
        <w:pStyle w:val="ListParagraph"/>
        <w:rPr>
          <w:rFonts w:asciiTheme="majorHAnsi" w:hAnsiTheme="majorHAnsi" w:cstheme="majorHAnsi"/>
          <w:sz w:val="24"/>
          <w:szCs w:val="24"/>
        </w:rPr>
      </w:pPr>
    </w:p>
    <w:p w:rsidR="0004693C" w:rsidRDefault="0004693C" w:rsidP="00FF79E1">
      <w:pPr>
        <w:pStyle w:val="ListParagraph"/>
        <w:numPr>
          <w:ilvl w:val="0"/>
          <w:numId w:val="1"/>
        </w:numPr>
        <w:spacing w:after="240" w:line="360" w:lineRule="auto"/>
        <w:jc w:val="both"/>
        <w:rPr>
          <w:rFonts w:asciiTheme="majorHAnsi" w:hAnsiTheme="majorHAnsi" w:cstheme="majorHAnsi"/>
          <w:sz w:val="24"/>
          <w:szCs w:val="24"/>
        </w:rPr>
      </w:pPr>
      <w:r>
        <w:rPr>
          <w:rFonts w:asciiTheme="majorHAnsi" w:hAnsiTheme="majorHAnsi" w:cstheme="majorHAnsi"/>
          <w:sz w:val="24"/>
          <w:szCs w:val="24"/>
        </w:rPr>
        <w:t>T</w:t>
      </w:r>
      <w:r w:rsidR="008A4DFC">
        <w:rPr>
          <w:rFonts w:asciiTheme="majorHAnsi" w:hAnsiTheme="majorHAnsi" w:cstheme="majorHAnsi"/>
          <w:sz w:val="24"/>
          <w:szCs w:val="24"/>
        </w:rPr>
        <w:t>he submission that the four separate subdivisions were registrable at the time the applicant purported to exercise the option is based on evidence contained in supplementary affidavit</w:t>
      </w:r>
      <w:r w:rsidR="00212419">
        <w:rPr>
          <w:rFonts w:asciiTheme="majorHAnsi" w:hAnsiTheme="majorHAnsi" w:cstheme="majorHAnsi"/>
          <w:sz w:val="24"/>
          <w:szCs w:val="24"/>
        </w:rPr>
        <w:t>s</w:t>
      </w:r>
      <w:r w:rsidR="008A4DFC">
        <w:rPr>
          <w:rFonts w:asciiTheme="majorHAnsi" w:hAnsiTheme="majorHAnsi" w:cstheme="majorHAnsi"/>
          <w:sz w:val="24"/>
          <w:szCs w:val="24"/>
        </w:rPr>
        <w:t xml:space="preserve"> deposed to by the first respondent’s attorney</w:t>
      </w:r>
      <w:r w:rsidR="00212419">
        <w:rPr>
          <w:rFonts w:asciiTheme="majorHAnsi" w:hAnsiTheme="majorHAnsi" w:cstheme="majorHAnsi"/>
          <w:sz w:val="24"/>
          <w:szCs w:val="24"/>
        </w:rPr>
        <w:t>s</w:t>
      </w:r>
      <w:r w:rsidR="008A4DFC">
        <w:rPr>
          <w:rFonts w:asciiTheme="majorHAnsi" w:hAnsiTheme="majorHAnsi" w:cstheme="majorHAnsi"/>
          <w:sz w:val="24"/>
          <w:szCs w:val="24"/>
        </w:rPr>
        <w:t xml:space="preserve"> which sought</w:t>
      </w:r>
      <w:r w:rsidR="00212419">
        <w:rPr>
          <w:rFonts w:asciiTheme="majorHAnsi" w:hAnsiTheme="majorHAnsi" w:cstheme="majorHAnsi"/>
          <w:sz w:val="24"/>
          <w:szCs w:val="24"/>
        </w:rPr>
        <w:t>, in large part,</w:t>
      </w:r>
      <w:r w:rsidR="008A4DFC">
        <w:rPr>
          <w:rFonts w:asciiTheme="majorHAnsi" w:hAnsiTheme="majorHAnsi" w:cstheme="majorHAnsi"/>
          <w:sz w:val="24"/>
          <w:szCs w:val="24"/>
        </w:rPr>
        <w:t xml:space="preserve"> to deal with the history of the whole property and the various planning and subdivisional approvals. The first respondent had sought to introduce this affidavit less than 10 calendar days before the matter was due to be heard as an opposed motion, </w:t>
      </w:r>
      <w:r w:rsidR="00212419">
        <w:rPr>
          <w:rFonts w:asciiTheme="majorHAnsi" w:hAnsiTheme="majorHAnsi" w:cstheme="majorHAnsi"/>
          <w:sz w:val="24"/>
          <w:szCs w:val="24"/>
        </w:rPr>
        <w:t>several months after the opposed hearing date had been allocated. The applicant objected to the late introduction of the affidavits and at the commencement of the hearing counsel for the first respondent abandoned reliance on the</w:t>
      </w:r>
      <w:r w:rsidR="0033449A">
        <w:rPr>
          <w:rFonts w:asciiTheme="majorHAnsi" w:hAnsiTheme="majorHAnsi" w:cstheme="majorHAnsi"/>
          <w:sz w:val="24"/>
          <w:szCs w:val="24"/>
        </w:rPr>
        <w:t>m.</w:t>
      </w:r>
      <w:r w:rsidR="00212419">
        <w:rPr>
          <w:rFonts w:asciiTheme="majorHAnsi" w:hAnsiTheme="majorHAnsi" w:cstheme="majorHAnsi"/>
          <w:sz w:val="24"/>
          <w:szCs w:val="24"/>
        </w:rPr>
        <w:t xml:space="preserve"> </w:t>
      </w:r>
    </w:p>
    <w:p w:rsidR="0004693C" w:rsidRPr="0004693C" w:rsidRDefault="0004693C" w:rsidP="0004693C">
      <w:pPr>
        <w:pStyle w:val="ListParagraph"/>
        <w:rPr>
          <w:rFonts w:asciiTheme="majorHAnsi" w:hAnsiTheme="majorHAnsi" w:cstheme="majorHAnsi"/>
          <w:sz w:val="24"/>
          <w:szCs w:val="24"/>
        </w:rPr>
      </w:pPr>
    </w:p>
    <w:p w:rsidR="0004693C" w:rsidRPr="0004693C" w:rsidRDefault="00212419" w:rsidP="0004693C">
      <w:pPr>
        <w:pStyle w:val="ListParagraph"/>
        <w:numPr>
          <w:ilvl w:val="0"/>
          <w:numId w:val="1"/>
        </w:numPr>
        <w:spacing w:after="240" w:line="360" w:lineRule="auto"/>
        <w:jc w:val="both"/>
        <w:rPr>
          <w:rFonts w:asciiTheme="majorHAnsi" w:hAnsiTheme="majorHAnsi" w:cstheme="majorHAnsi"/>
          <w:sz w:val="24"/>
          <w:szCs w:val="24"/>
        </w:rPr>
      </w:pPr>
      <w:r>
        <w:rPr>
          <w:rFonts w:asciiTheme="majorHAnsi" w:hAnsiTheme="majorHAnsi" w:cstheme="majorHAnsi"/>
          <w:sz w:val="24"/>
          <w:szCs w:val="24"/>
        </w:rPr>
        <w:t>As matters stand</w:t>
      </w:r>
      <w:r w:rsidR="00632A6D">
        <w:rPr>
          <w:rFonts w:asciiTheme="majorHAnsi" w:hAnsiTheme="majorHAnsi" w:cstheme="majorHAnsi"/>
          <w:sz w:val="24"/>
          <w:szCs w:val="24"/>
        </w:rPr>
        <w:t xml:space="preserve"> then</w:t>
      </w:r>
      <w:r>
        <w:rPr>
          <w:rFonts w:asciiTheme="majorHAnsi" w:hAnsiTheme="majorHAnsi" w:cstheme="majorHAnsi"/>
          <w:sz w:val="24"/>
          <w:szCs w:val="24"/>
        </w:rPr>
        <w:t xml:space="preserve">, there is no evidence before me which establishes whether the four subdivisions were separately registerable on 31 July 2015. </w:t>
      </w:r>
      <w:r w:rsidR="0004693C">
        <w:rPr>
          <w:rFonts w:asciiTheme="majorHAnsi" w:hAnsiTheme="majorHAnsi" w:cstheme="majorHAnsi"/>
          <w:sz w:val="24"/>
          <w:szCs w:val="24"/>
        </w:rPr>
        <w:t xml:space="preserve">Such evidence as there is, </w:t>
      </w:r>
      <w:r w:rsidR="0033449A">
        <w:rPr>
          <w:rFonts w:asciiTheme="majorHAnsi" w:hAnsiTheme="majorHAnsi" w:cstheme="majorHAnsi"/>
          <w:sz w:val="24"/>
          <w:szCs w:val="24"/>
        </w:rPr>
        <w:t xml:space="preserve">including </w:t>
      </w:r>
      <w:r w:rsidR="0004693C">
        <w:rPr>
          <w:rFonts w:asciiTheme="majorHAnsi" w:hAnsiTheme="majorHAnsi" w:cstheme="majorHAnsi"/>
          <w:sz w:val="24"/>
          <w:szCs w:val="24"/>
        </w:rPr>
        <w:t xml:space="preserve">the language employed in </w:t>
      </w:r>
      <w:r w:rsidRPr="0004693C">
        <w:rPr>
          <w:rFonts w:asciiTheme="majorHAnsi" w:hAnsiTheme="majorHAnsi" w:cstheme="majorHAnsi"/>
          <w:sz w:val="24"/>
          <w:szCs w:val="24"/>
        </w:rPr>
        <w:t xml:space="preserve">the </w:t>
      </w:r>
      <w:r w:rsidRPr="0004693C">
        <w:rPr>
          <w:rFonts w:asciiTheme="majorHAnsi" w:hAnsiTheme="majorHAnsi" w:cstheme="majorHAnsi"/>
          <w:sz w:val="24"/>
          <w:szCs w:val="24"/>
          <w:lang w:val="en-US"/>
        </w:rPr>
        <w:t>proposed agreement</w:t>
      </w:r>
      <w:r w:rsidR="0004693C">
        <w:rPr>
          <w:rFonts w:asciiTheme="majorHAnsi" w:hAnsiTheme="majorHAnsi" w:cstheme="majorHAnsi"/>
          <w:sz w:val="24"/>
          <w:szCs w:val="24"/>
          <w:lang w:val="en-US"/>
        </w:rPr>
        <w:t>, suggests that the subdivisions were still in the process of being create</w:t>
      </w:r>
      <w:r w:rsidR="0033449A">
        <w:rPr>
          <w:rFonts w:asciiTheme="majorHAnsi" w:hAnsiTheme="majorHAnsi" w:cstheme="majorHAnsi"/>
          <w:sz w:val="24"/>
          <w:szCs w:val="24"/>
          <w:lang w:val="en-US"/>
        </w:rPr>
        <w:t>d</w:t>
      </w:r>
      <w:r w:rsidR="0004693C">
        <w:rPr>
          <w:rFonts w:asciiTheme="majorHAnsi" w:hAnsiTheme="majorHAnsi" w:cstheme="majorHAnsi"/>
          <w:sz w:val="24"/>
          <w:szCs w:val="24"/>
          <w:lang w:val="en-US"/>
        </w:rPr>
        <w:t xml:space="preserve"> at that date, </w:t>
      </w:r>
      <w:r w:rsidR="00D071E7" w:rsidRPr="0004693C">
        <w:rPr>
          <w:rFonts w:asciiTheme="majorHAnsi" w:hAnsiTheme="majorHAnsi" w:cstheme="majorHAnsi"/>
          <w:sz w:val="24"/>
          <w:szCs w:val="24"/>
          <w:lang w:val="en-US"/>
        </w:rPr>
        <w:t xml:space="preserve">not portions of land which were already separately registerable. </w:t>
      </w:r>
    </w:p>
    <w:p w:rsidR="0004693C" w:rsidRPr="0004693C" w:rsidRDefault="0004693C" w:rsidP="0004693C">
      <w:pPr>
        <w:pStyle w:val="ListParagraph"/>
        <w:rPr>
          <w:rFonts w:asciiTheme="majorHAnsi" w:hAnsiTheme="majorHAnsi" w:cstheme="majorHAnsi"/>
          <w:sz w:val="24"/>
          <w:szCs w:val="24"/>
          <w:lang w:val="en-US"/>
        </w:rPr>
      </w:pPr>
    </w:p>
    <w:p w:rsidR="008A4DFC" w:rsidRDefault="00D071E7" w:rsidP="00FB6C69">
      <w:pPr>
        <w:pStyle w:val="ListParagraph"/>
        <w:numPr>
          <w:ilvl w:val="0"/>
          <w:numId w:val="1"/>
        </w:numPr>
        <w:spacing w:after="240" w:line="360" w:lineRule="auto"/>
        <w:jc w:val="both"/>
        <w:rPr>
          <w:rFonts w:asciiTheme="majorHAnsi" w:hAnsiTheme="majorHAnsi" w:cstheme="majorHAnsi"/>
          <w:sz w:val="24"/>
          <w:szCs w:val="24"/>
        </w:rPr>
      </w:pPr>
      <w:r w:rsidRPr="0004693C">
        <w:rPr>
          <w:rFonts w:asciiTheme="majorHAnsi" w:hAnsiTheme="majorHAnsi" w:cstheme="majorHAnsi"/>
          <w:sz w:val="24"/>
          <w:szCs w:val="24"/>
          <w:lang w:val="en-US"/>
        </w:rPr>
        <w:t>Be that as it may,</w:t>
      </w:r>
      <w:r w:rsidR="00212419" w:rsidRPr="0004693C">
        <w:rPr>
          <w:rFonts w:asciiTheme="majorHAnsi" w:hAnsiTheme="majorHAnsi" w:cstheme="majorHAnsi"/>
          <w:sz w:val="24"/>
          <w:szCs w:val="24"/>
          <w:lang w:val="en-US"/>
        </w:rPr>
        <w:t xml:space="preserve"> </w:t>
      </w:r>
      <w:r w:rsidR="00501C46">
        <w:rPr>
          <w:rFonts w:asciiTheme="majorHAnsi" w:hAnsiTheme="majorHAnsi" w:cstheme="majorHAnsi"/>
          <w:sz w:val="24"/>
          <w:szCs w:val="24"/>
          <w:lang w:val="en-US"/>
        </w:rPr>
        <w:t xml:space="preserve">even if the four subdivisions were separately registerable in July 2015, </w:t>
      </w:r>
      <w:r w:rsidR="0004693C" w:rsidRPr="0004693C">
        <w:rPr>
          <w:rFonts w:asciiTheme="majorHAnsi" w:hAnsiTheme="majorHAnsi" w:cstheme="majorHAnsi"/>
          <w:sz w:val="24"/>
          <w:szCs w:val="24"/>
        </w:rPr>
        <w:t>t</w:t>
      </w:r>
      <w:r w:rsidR="008A4DFC" w:rsidRPr="0004693C">
        <w:rPr>
          <w:rFonts w:asciiTheme="majorHAnsi" w:hAnsiTheme="majorHAnsi" w:cstheme="majorHAnsi"/>
          <w:sz w:val="24"/>
          <w:szCs w:val="24"/>
        </w:rPr>
        <w:t>he option related to an area of land which was identifiable</w:t>
      </w:r>
      <w:r w:rsidR="0004693C">
        <w:rPr>
          <w:rFonts w:asciiTheme="majorHAnsi" w:hAnsiTheme="majorHAnsi" w:cstheme="majorHAnsi"/>
          <w:sz w:val="24"/>
          <w:szCs w:val="24"/>
        </w:rPr>
        <w:t xml:space="preserve"> from the description in the sale agreement</w:t>
      </w:r>
      <w:r w:rsidR="00E57463">
        <w:rPr>
          <w:rFonts w:asciiTheme="majorHAnsi" w:hAnsiTheme="majorHAnsi" w:cstheme="majorHAnsi"/>
          <w:sz w:val="24"/>
          <w:szCs w:val="24"/>
        </w:rPr>
        <w:t xml:space="preserve"> </w:t>
      </w:r>
      <w:r w:rsidR="00E57463">
        <w:rPr>
          <w:rFonts w:ascii="Arial" w:hAnsi="Arial" w:cs="Arial"/>
          <w:sz w:val="24"/>
          <w:szCs w:val="24"/>
        </w:rPr>
        <w:t>a</w:t>
      </w:r>
      <w:r w:rsidR="00E57463" w:rsidRPr="00E57463">
        <w:rPr>
          <w:rFonts w:ascii="Arial" w:hAnsi="Arial" w:cs="Arial"/>
          <w:sz w:val="24"/>
          <w:szCs w:val="24"/>
        </w:rPr>
        <w:t>s required for a valid option in respect of immovable property</w:t>
      </w:r>
      <w:r w:rsidR="00E57463" w:rsidRPr="00E57463">
        <w:rPr>
          <w:rStyle w:val="FootnoteReference"/>
          <w:rFonts w:ascii="Arial" w:hAnsi="Arial" w:cs="Arial"/>
          <w:sz w:val="24"/>
          <w:szCs w:val="24"/>
        </w:rPr>
        <w:t xml:space="preserve"> </w:t>
      </w:r>
      <w:r w:rsidR="00E57463">
        <w:rPr>
          <w:rFonts w:ascii="Arial" w:hAnsi="Arial" w:cs="Arial"/>
          <w:sz w:val="24"/>
          <w:szCs w:val="24"/>
        </w:rPr>
        <w:t>.</w:t>
      </w:r>
      <w:r w:rsidR="00E57463" w:rsidRPr="00E57463">
        <w:rPr>
          <w:rStyle w:val="FootnoteReference"/>
          <w:rFonts w:ascii="Arial" w:hAnsi="Arial" w:cs="Arial"/>
          <w:sz w:val="24"/>
          <w:szCs w:val="24"/>
        </w:rPr>
        <w:footnoteReference w:id="2"/>
      </w:r>
      <w:r w:rsidR="0004693C" w:rsidRPr="00E57463">
        <w:rPr>
          <w:rFonts w:ascii="Arial" w:hAnsi="Arial" w:cs="Arial"/>
          <w:sz w:val="24"/>
          <w:szCs w:val="24"/>
        </w:rPr>
        <w:t xml:space="preserve"> </w:t>
      </w:r>
      <w:r w:rsidR="00FB6C69">
        <w:rPr>
          <w:rFonts w:ascii="Arial" w:hAnsi="Arial" w:cs="Arial"/>
          <w:sz w:val="24"/>
          <w:szCs w:val="24"/>
        </w:rPr>
        <w:t>The agreement of sale defined the House Sub</w:t>
      </w:r>
      <w:r w:rsidR="0033449A">
        <w:rPr>
          <w:rFonts w:ascii="Arial" w:hAnsi="Arial" w:cs="Arial"/>
          <w:sz w:val="24"/>
          <w:szCs w:val="24"/>
        </w:rPr>
        <w:t>-</w:t>
      </w:r>
      <w:r w:rsidR="00FB6C69">
        <w:rPr>
          <w:rFonts w:ascii="Arial" w:hAnsi="Arial" w:cs="Arial"/>
          <w:sz w:val="24"/>
          <w:szCs w:val="24"/>
        </w:rPr>
        <w:t xml:space="preserve">division and depicted it on a layout plan </w:t>
      </w:r>
      <w:r w:rsidR="00E57463" w:rsidRPr="00E57463">
        <w:rPr>
          <w:rFonts w:ascii="Arial" w:hAnsi="Arial" w:cs="Arial"/>
          <w:sz w:val="24"/>
          <w:szCs w:val="24"/>
        </w:rPr>
        <w:t>which</w:t>
      </w:r>
      <w:r w:rsidR="00E57463" w:rsidRPr="00E57463">
        <w:rPr>
          <w:rFonts w:asciiTheme="majorHAnsi" w:hAnsiTheme="majorHAnsi" w:cstheme="majorHAnsi"/>
          <w:sz w:val="24"/>
          <w:szCs w:val="24"/>
        </w:rPr>
        <w:t xml:space="preserve"> </w:t>
      </w:r>
      <w:r w:rsidR="00FB6C69">
        <w:rPr>
          <w:rFonts w:asciiTheme="majorHAnsi" w:hAnsiTheme="majorHAnsi" w:cstheme="majorHAnsi"/>
          <w:sz w:val="24"/>
          <w:szCs w:val="24"/>
        </w:rPr>
        <w:t xml:space="preserve">also formed part of the sale agreement. </w:t>
      </w:r>
      <w:r w:rsidR="00E57463" w:rsidRPr="00FB6C69">
        <w:rPr>
          <w:rFonts w:asciiTheme="majorHAnsi" w:hAnsiTheme="majorHAnsi" w:cstheme="majorHAnsi"/>
          <w:sz w:val="24"/>
          <w:szCs w:val="24"/>
        </w:rPr>
        <w:t>A valid option thus existed in relation to that physical land</w:t>
      </w:r>
      <w:r w:rsidR="00D14065">
        <w:rPr>
          <w:rFonts w:asciiTheme="majorHAnsi" w:hAnsiTheme="majorHAnsi" w:cstheme="majorHAnsi"/>
          <w:sz w:val="24"/>
          <w:szCs w:val="24"/>
        </w:rPr>
        <w:t>.</w:t>
      </w:r>
      <w:r w:rsidR="00E57463" w:rsidRPr="00FB6C69">
        <w:rPr>
          <w:rFonts w:asciiTheme="majorHAnsi" w:hAnsiTheme="majorHAnsi" w:cstheme="majorHAnsi"/>
          <w:sz w:val="24"/>
          <w:szCs w:val="24"/>
        </w:rPr>
        <w:t xml:space="preserve"> Whether that same area on the ground became differently described due to planning applications made by the first respondent, or ultimately became four separate subdivisions instead of one does not change the identity of the </w:t>
      </w:r>
      <w:r w:rsidR="00E57463" w:rsidRPr="00FB6C69">
        <w:rPr>
          <w:rFonts w:asciiTheme="majorHAnsi" w:hAnsiTheme="majorHAnsi" w:cstheme="majorHAnsi"/>
          <w:i/>
          <w:iCs/>
          <w:sz w:val="24"/>
          <w:szCs w:val="24"/>
        </w:rPr>
        <w:t>merx</w:t>
      </w:r>
      <w:r w:rsidR="00E57463" w:rsidRPr="00FB6C69">
        <w:rPr>
          <w:rFonts w:asciiTheme="majorHAnsi" w:hAnsiTheme="majorHAnsi" w:cstheme="majorHAnsi"/>
          <w:sz w:val="24"/>
          <w:szCs w:val="24"/>
        </w:rPr>
        <w:t xml:space="preserve">, much less mean that it ceased to exist on the creation of the four </w:t>
      </w:r>
      <w:r w:rsidR="00FB6C69" w:rsidRPr="00FB6C69">
        <w:rPr>
          <w:rFonts w:asciiTheme="majorHAnsi" w:hAnsiTheme="majorHAnsi" w:cstheme="majorHAnsi"/>
          <w:sz w:val="24"/>
          <w:szCs w:val="24"/>
        </w:rPr>
        <w:t>subdivisions</w:t>
      </w:r>
      <w:r w:rsidR="00E57463" w:rsidRPr="00FB6C69">
        <w:rPr>
          <w:rFonts w:asciiTheme="majorHAnsi" w:hAnsiTheme="majorHAnsi" w:cstheme="majorHAnsi"/>
          <w:sz w:val="24"/>
          <w:szCs w:val="24"/>
        </w:rPr>
        <w:t xml:space="preserve">. </w:t>
      </w:r>
      <w:r w:rsidR="0033449A">
        <w:rPr>
          <w:rFonts w:asciiTheme="majorHAnsi" w:hAnsiTheme="majorHAnsi" w:cstheme="majorHAnsi"/>
          <w:sz w:val="24"/>
          <w:szCs w:val="24"/>
        </w:rPr>
        <w:t xml:space="preserve">In addition, and in any event, as Mr Roolf of the first respondent understood, the four subdivisions could </w:t>
      </w:r>
      <w:r w:rsidR="00312812">
        <w:rPr>
          <w:rFonts w:asciiTheme="majorHAnsi" w:hAnsiTheme="majorHAnsi" w:cstheme="majorHAnsi"/>
          <w:sz w:val="24"/>
          <w:szCs w:val="24"/>
        </w:rPr>
        <w:t xml:space="preserve">always </w:t>
      </w:r>
      <w:r w:rsidR="0033449A">
        <w:rPr>
          <w:rFonts w:asciiTheme="majorHAnsi" w:hAnsiTheme="majorHAnsi" w:cstheme="majorHAnsi"/>
          <w:sz w:val="24"/>
          <w:szCs w:val="24"/>
        </w:rPr>
        <w:t xml:space="preserve">be consolidated to create a single erf. </w:t>
      </w:r>
    </w:p>
    <w:p w:rsidR="00FB6C69" w:rsidRPr="00FB6C69" w:rsidRDefault="00FB6C69" w:rsidP="00FB6C69">
      <w:pPr>
        <w:pStyle w:val="ListParagraph"/>
        <w:rPr>
          <w:rFonts w:asciiTheme="majorHAnsi" w:hAnsiTheme="majorHAnsi" w:cstheme="majorHAnsi"/>
          <w:sz w:val="24"/>
          <w:szCs w:val="24"/>
        </w:rPr>
      </w:pPr>
    </w:p>
    <w:p w:rsidR="00FB6C69" w:rsidRDefault="00FB6C69" w:rsidP="00FB6C69">
      <w:pPr>
        <w:pStyle w:val="ListParagraph"/>
        <w:numPr>
          <w:ilvl w:val="0"/>
          <w:numId w:val="1"/>
        </w:numPr>
        <w:spacing w:after="240" w:line="360" w:lineRule="auto"/>
        <w:jc w:val="both"/>
        <w:rPr>
          <w:rFonts w:asciiTheme="majorHAnsi" w:hAnsiTheme="majorHAnsi" w:cstheme="majorHAnsi"/>
          <w:sz w:val="24"/>
          <w:szCs w:val="24"/>
        </w:rPr>
      </w:pPr>
      <w:r>
        <w:rPr>
          <w:rFonts w:asciiTheme="majorHAnsi" w:hAnsiTheme="majorHAnsi" w:cstheme="majorHAnsi"/>
          <w:sz w:val="24"/>
          <w:szCs w:val="24"/>
        </w:rPr>
        <w:t>I therefore find that the fact that the House Sub</w:t>
      </w:r>
      <w:r w:rsidR="000A4B65">
        <w:rPr>
          <w:rFonts w:asciiTheme="majorHAnsi" w:hAnsiTheme="majorHAnsi" w:cstheme="majorHAnsi"/>
          <w:sz w:val="24"/>
          <w:szCs w:val="24"/>
        </w:rPr>
        <w:t>-</w:t>
      </w:r>
      <w:r>
        <w:rPr>
          <w:rFonts w:asciiTheme="majorHAnsi" w:hAnsiTheme="majorHAnsi" w:cstheme="majorHAnsi"/>
          <w:sz w:val="24"/>
          <w:szCs w:val="24"/>
        </w:rPr>
        <w:t>division was not created did not mean the option was incapable of being exercised</w:t>
      </w:r>
      <w:r w:rsidR="008D49A6">
        <w:rPr>
          <w:rFonts w:asciiTheme="majorHAnsi" w:hAnsiTheme="majorHAnsi" w:cstheme="majorHAnsi"/>
          <w:sz w:val="24"/>
          <w:szCs w:val="24"/>
        </w:rPr>
        <w:t xml:space="preserve">. By parity of reasoning, the fact that the proposed agreement and the resolution referred to the acquisition of the four subdivisions created or to be created on that same area of land did not mean that they related to anything other than the </w:t>
      </w:r>
      <w:r w:rsidR="008D49A6" w:rsidRPr="008D49A6">
        <w:rPr>
          <w:rFonts w:asciiTheme="majorHAnsi" w:hAnsiTheme="majorHAnsi" w:cstheme="majorHAnsi"/>
          <w:i/>
          <w:iCs/>
          <w:sz w:val="24"/>
          <w:szCs w:val="24"/>
        </w:rPr>
        <w:t>merx</w:t>
      </w:r>
      <w:r w:rsidR="008D49A6">
        <w:rPr>
          <w:rFonts w:asciiTheme="majorHAnsi" w:hAnsiTheme="majorHAnsi" w:cstheme="majorHAnsi"/>
          <w:sz w:val="24"/>
          <w:szCs w:val="24"/>
        </w:rPr>
        <w:t xml:space="preserve"> that was the subject matter of the option. </w:t>
      </w:r>
      <w:r w:rsidR="0033449A">
        <w:rPr>
          <w:rFonts w:asciiTheme="majorHAnsi" w:hAnsiTheme="majorHAnsi" w:cstheme="majorHAnsi"/>
          <w:sz w:val="24"/>
          <w:szCs w:val="24"/>
        </w:rPr>
        <w:t>There was a clear intention to exercise the option to secure that parcel of land, even if it w</w:t>
      </w:r>
      <w:r w:rsidR="00312812">
        <w:rPr>
          <w:rFonts w:asciiTheme="majorHAnsi" w:hAnsiTheme="majorHAnsi" w:cstheme="majorHAnsi"/>
          <w:sz w:val="24"/>
          <w:szCs w:val="24"/>
        </w:rPr>
        <w:t>as</w:t>
      </w:r>
      <w:r w:rsidR="0033449A">
        <w:rPr>
          <w:rFonts w:asciiTheme="majorHAnsi" w:hAnsiTheme="majorHAnsi" w:cstheme="majorHAnsi"/>
          <w:sz w:val="24"/>
          <w:szCs w:val="24"/>
        </w:rPr>
        <w:t xml:space="preserve"> now differently described. </w:t>
      </w:r>
    </w:p>
    <w:p w:rsidR="008D49A6" w:rsidRPr="008D49A6" w:rsidRDefault="008D49A6" w:rsidP="008D49A6">
      <w:pPr>
        <w:pStyle w:val="ListParagraph"/>
        <w:rPr>
          <w:rFonts w:asciiTheme="majorHAnsi" w:hAnsiTheme="majorHAnsi" w:cstheme="majorHAnsi"/>
          <w:sz w:val="24"/>
          <w:szCs w:val="24"/>
        </w:rPr>
      </w:pPr>
    </w:p>
    <w:p w:rsidR="006713E6" w:rsidRPr="006713E6" w:rsidRDefault="006713E6" w:rsidP="006713E6">
      <w:pPr>
        <w:pStyle w:val="ListParagraph"/>
        <w:spacing w:after="240" w:line="360" w:lineRule="auto"/>
        <w:ind w:left="0"/>
        <w:jc w:val="both"/>
        <w:rPr>
          <w:rFonts w:asciiTheme="majorHAnsi" w:hAnsiTheme="majorHAnsi" w:cstheme="majorHAnsi"/>
          <w:b/>
          <w:bCs/>
          <w:sz w:val="24"/>
          <w:szCs w:val="24"/>
        </w:rPr>
      </w:pPr>
      <w:r w:rsidRPr="006713E6">
        <w:rPr>
          <w:rFonts w:asciiTheme="majorHAnsi" w:hAnsiTheme="majorHAnsi" w:cstheme="majorHAnsi"/>
          <w:b/>
          <w:bCs/>
          <w:sz w:val="24"/>
          <w:szCs w:val="24"/>
        </w:rPr>
        <w:t>The letter of 31 July 2015 and its annexures</w:t>
      </w:r>
    </w:p>
    <w:p w:rsidR="006713E6" w:rsidRPr="006713E6" w:rsidRDefault="006713E6" w:rsidP="006713E6">
      <w:pPr>
        <w:pStyle w:val="ListParagraph"/>
        <w:rPr>
          <w:rFonts w:asciiTheme="majorHAnsi" w:hAnsiTheme="majorHAnsi" w:cstheme="majorHAnsi"/>
          <w:sz w:val="24"/>
          <w:szCs w:val="24"/>
        </w:rPr>
      </w:pPr>
    </w:p>
    <w:p w:rsidR="00FB6C69" w:rsidRPr="0033449A" w:rsidRDefault="00FB6C69" w:rsidP="0033449A">
      <w:pPr>
        <w:pStyle w:val="ListParagraph"/>
        <w:numPr>
          <w:ilvl w:val="0"/>
          <w:numId w:val="1"/>
        </w:numPr>
        <w:spacing w:after="240" w:line="360" w:lineRule="auto"/>
        <w:jc w:val="both"/>
        <w:rPr>
          <w:rFonts w:asciiTheme="majorHAnsi" w:hAnsiTheme="majorHAnsi" w:cstheme="majorHAnsi"/>
          <w:sz w:val="24"/>
          <w:szCs w:val="24"/>
        </w:rPr>
      </w:pPr>
      <w:r>
        <w:rPr>
          <w:rFonts w:asciiTheme="majorHAnsi" w:hAnsiTheme="majorHAnsi" w:cstheme="majorHAnsi"/>
          <w:sz w:val="24"/>
          <w:szCs w:val="24"/>
        </w:rPr>
        <w:t xml:space="preserve">The first </w:t>
      </w:r>
      <w:r w:rsidRPr="004B54AB">
        <w:rPr>
          <w:rFonts w:asciiTheme="majorHAnsi" w:hAnsiTheme="majorHAnsi" w:cstheme="majorHAnsi"/>
          <w:sz w:val="24"/>
          <w:szCs w:val="24"/>
        </w:rPr>
        <w:t>r</w:t>
      </w:r>
      <w:r w:rsidR="00627461" w:rsidRPr="004B54AB">
        <w:rPr>
          <w:rFonts w:asciiTheme="majorHAnsi" w:hAnsiTheme="majorHAnsi" w:cstheme="majorHAnsi"/>
          <w:sz w:val="24"/>
          <w:szCs w:val="24"/>
        </w:rPr>
        <w:t>e</w:t>
      </w:r>
      <w:r w:rsidRPr="004B54AB">
        <w:rPr>
          <w:rFonts w:asciiTheme="majorHAnsi" w:hAnsiTheme="majorHAnsi" w:cstheme="majorHAnsi"/>
          <w:sz w:val="24"/>
          <w:szCs w:val="24"/>
        </w:rPr>
        <w:t>s</w:t>
      </w:r>
      <w:r w:rsidR="00627461" w:rsidRPr="004B54AB">
        <w:rPr>
          <w:rFonts w:asciiTheme="majorHAnsi" w:hAnsiTheme="majorHAnsi" w:cstheme="majorHAnsi"/>
          <w:sz w:val="24"/>
          <w:szCs w:val="24"/>
        </w:rPr>
        <w:t>p</w:t>
      </w:r>
      <w:r w:rsidRPr="004B54AB">
        <w:rPr>
          <w:rFonts w:asciiTheme="majorHAnsi" w:hAnsiTheme="majorHAnsi" w:cstheme="majorHAnsi"/>
          <w:sz w:val="24"/>
          <w:szCs w:val="24"/>
        </w:rPr>
        <w:t>ondent</w:t>
      </w:r>
      <w:r w:rsidR="00627461" w:rsidRPr="004B54AB">
        <w:rPr>
          <w:rFonts w:asciiTheme="majorHAnsi" w:hAnsiTheme="majorHAnsi" w:cstheme="majorHAnsi"/>
          <w:sz w:val="24"/>
          <w:szCs w:val="24"/>
        </w:rPr>
        <w:t xml:space="preserve"> advances additional reasons</w:t>
      </w:r>
      <w:r w:rsidR="00627461">
        <w:rPr>
          <w:rFonts w:asciiTheme="majorHAnsi" w:hAnsiTheme="majorHAnsi" w:cstheme="majorHAnsi"/>
          <w:sz w:val="24"/>
          <w:szCs w:val="24"/>
        </w:rPr>
        <w:t xml:space="preserve"> as to why it now views the applicant’s exercise of the option as invalid. These reasons are based </w:t>
      </w:r>
      <w:r w:rsidR="00817CBC">
        <w:rPr>
          <w:rFonts w:asciiTheme="majorHAnsi" w:hAnsiTheme="majorHAnsi" w:cstheme="majorHAnsi"/>
          <w:sz w:val="24"/>
          <w:szCs w:val="24"/>
        </w:rPr>
        <w:t xml:space="preserve">in part on </w:t>
      </w:r>
      <w:r w:rsidR="00BA5B1C">
        <w:rPr>
          <w:rFonts w:asciiTheme="majorHAnsi" w:hAnsiTheme="majorHAnsi" w:cstheme="majorHAnsi"/>
          <w:sz w:val="24"/>
          <w:szCs w:val="24"/>
        </w:rPr>
        <w:t xml:space="preserve">its </w:t>
      </w:r>
      <w:r w:rsidR="0033449A">
        <w:rPr>
          <w:rFonts w:asciiTheme="majorHAnsi" w:hAnsiTheme="majorHAnsi" w:cstheme="majorHAnsi"/>
          <w:sz w:val="24"/>
          <w:szCs w:val="24"/>
        </w:rPr>
        <w:t xml:space="preserve">principal </w:t>
      </w:r>
      <w:r w:rsidR="00BA5B1C">
        <w:rPr>
          <w:rFonts w:asciiTheme="majorHAnsi" w:hAnsiTheme="majorHAnsi" w:cstheme="majorHAnsi"/>
          <w:sz w:val="24"/>
          <w:szCs w:val="24"/>
        </w:rPr>
        <w:t>contention that the House Sub</w:t>
      </w:r>
      <w:r w:rsidR="000A4B65">
        <w:rPr>
          <w:rFonts w:asciiTheme="majorHAnsi" w:hAnsiTheme="majorHAnsi" w:cstheme="majorHAnsi"/>
          <w:sz w:val="24"/>
          <w:szCs w:val="24"/>
        </w:rPr>
        <w:t>-</w:t>
      </w:r>
      <w:r w:rsidR="00BA5B1C">
        <w:rPr>
          <w:rFonts w:asciiTheme="majorHAnsi" w:hAnsiTheme="majorHAnsi" w:cstheme="majorHAnsi"/>
          <w:sz w:val="24"/>
          <w:szCs w:val="24"/>
        </w:rPr>
        <w:t xml:space="preserve">division and the four separate </w:t>
      </w:r>
      <w:r w:rsidR="0033449A">
        <w:rPr>
          <w:rFonts w:asciiTheme="majorHAnsi" w:hAnsiTheme="majorHAnsi" w:cstheme="majorHAnsi"/>
          <w:sz w:val="24"/>
          <w:szCs w:val="24"/>
        </w:rPr>
        <w:t>sub</w:t>
      </w:r>
      <w:r w:rsidR="00BA5B1C">
        <w:rPr>
          <w:rFonts w:asciiTheme="majorHAnsi" w:hAnsiTheme="majorHAnsi" w:cstheme="majorHAnsi"/>
          <w:sz w:val="24"/>
          <w:szCs w:val="24"/>
        </w:rPr>
        <w:t>divisions over the same area are two different things</w:t>
      </w:r>
      <w:r w:rsidR="0033449A">
        <w:rPr>
          <w:rFonts w:asciiTheme="majorHAnsi" w:hAnsiTheme="majorHAnsi" w:cstheme="majorHAnsi"/>
          <w:sz w:val="24"/>
          <w:szCs w:val="24"/>
        </w:rPr>
        <w:t xml:space="preserve">, </w:t>
      </w:r>
      <w:r w:rsidR="00BA5B1C">
        <w:rPr>
          <w:rFonts w:asciiTheme="majorHAnsi" w:hAnsiTheme="majorHAnsi" w:cstheme="majorHAnsi"/>
          <w:sz w:val="24"/>
          <w:szCs w:val="24"/>
        </w:rPr>
        <w:t xml:space="preserve">and in part </w:t>
      </w:r>
      <w:r w:rsidR="00627461">
        <w:rPr>
          <w:rFonts w:asciiTheme="majorHAnsi" w:hAnsiTheme="majorHAnsi" w:cstheme="majorHAnsi"/>
          <w:sz w:val="24"/>
          <w:szCs w:val="24"/>
        </w:rPr>
        <w:t>on its interpretation of the letter of 31 July 2015 read together with its annexures</w:t>
      </w:r>
      <w:r w:rsidR="00BA5B1C">
        <w:rPr>
          <w:rFonts w:asciiTheme="majorHAnsi" w:hAnsiTheme="majorHAnsi" w:cstheme="majorHAnsi"/>
          <w:sz w:val="24"/>
          <w:szCs w:val="24"/>
        </w:rPr>
        <w:t xml:space="preserve"> even if the House Sub</w:t>
      </w:r>
      <w:r w:rsidR="000A4B65">
        <w:rPr>
          <w:rFonts w:asciiTheme="majorHAnsi" w:hAnsiTheme="majorHAnsi" w:cstheme="majorHAnsi"/>
          <w:sz w:val="24"/>
          <w:szCs w:val="24"/>
        </w:rPr>
        <w:t>-</w:t>
      </w:r>
      <w:r w:rsidR="00BA5B1C">
        <w:rPr>
          <w:rFonts w:asciiTheme="majorHAnsi" w:hAnsiTheme="majorHAnsi" w:cstheme="majorHAnsi"/>
          <w:sz w:val="24"/>
          <w:szCs w:val="24"/>
        </w:rPr>
        <w:t xml:space="preserve">division and the four separate erven are the same </w:t>
      </w:r>
      <w:r w:rsidR="00BA5B1C" w:rsidRPr="006713E6">
        <w:rPr>
          <w:rFonts w:asciiTheme="majorHAnsi" w:hAnsiTheme="majorHAnsi" w:cstheme="majorHAnsi"/>
          <w:i/>
          <w:iCs/>
          <w:sz w:val="24"/>
          <w:szCs w:val="24"/>
        </w:rPr>
        <w:t>merx</w:t>
      </w:r>
      <w:r w:rsidR="00BA5B1C">
        <w:rPr>
          <w:rFonts w:asciiTheme="majorHAnsi" w:hAnsiTheme="majorHAnsi" w:cstheme="majorHAnsi"/>
          <w:sz w:val="24"/>
          <w:szCs w:val="24"/>
        </w:rPr>
        <w:t xml:space="preserve">. </w:t>
      </w:r>
      <w:r w:rsidR="00BA5B1C" w:rsidRPr="0033449A">
        <w:rPr>
          <w:rFonts w:asciiTheme="majorHAnsi" w:hAnsiTheme="majorHAnsi" w:cstheme="majorHAnsi"/>
          <w:sz w:val="24"/>
          <w:szCs w:val="24"/>
        </w:rPr>
        <w:t>As I have already found against the first respondent on its principal contention it remains necessary only to consider the extent it which its interpretation is sustainable when one accepts that references to the four separate subdivisions as opposed to the House Sub</w:t>
      </w:r>
      <w:r w:rsidR="000A4B65">
        <w:rPr>
          <w:rFonts w:asciiTheme="majorHAnsi" w:hAnsiTheme="majorHAnsi" w:cstheme="majorHAnsi"/>
          <w:sz w:val="24"/>
          <w:szCs w:val="24"/>
        </w:rPr>
        <w:t>-</w:t>
      </w:r>
      <w:r w:rsidR="00BA5B1C" w:rsidRPr="0033449A">
        <w:rPr>
          <w:rFonts w:asciiTheme="majorHAnsi" w:hAnsiTheme="majorHAnsi" w:cstheme="majorHAnsi"/>
          <w:sz w:val="24"/>
          <w:szCs w:val="24"/>
        </w:rPr>
        <w:t>division matter not</w:t>
      </w:r>
      <w:r w:rsidR="00627461" w:rsidRPr="0033449A">
        <w:rPr>
          <w:rFonts w:asciiTheme="majorHAnsi" w:hAnsiTheme="majorHAnsi" w:cstheme="majorHAnsi"/>
          <w:sz w:val="24"/>
          <w:szCs w:val="24"/>
        </w:rPr>
        <w:t xml:space="preserve">. </w:t>
      </w:r>
    </w:p>
    <w:p w:rsidR="00627461" w:rsidRPr="00627461" w:rsidRDefault="00627461" w:rsidP="00627461">
      <w:pPr>
        <w:pStyle w:val="ListParagraph"/>
        <w:rPr>
          <w:rFonts w:asciiTheme="majorHAnsi" w:hAnsiTheme="majorHAnsi" w:cstheme="majorHAnsi"/>
          <w:sz w:val="24"/>
          <w:szCs w:val="24"/>
        </w:rPr>
      </w:pPr>
    </w:p>
    <w:p w:rsidR="00627461" w:rsidRDefault="00627461" w:rsidP="00627461">
      <w:pPr>
        <w:pStyle w:val="ListParagraph"/>
        <w:numPr>
          <w:ilvl w:val="0"/>
          <w:numId w:val="1"/>
        </w:numPr>
        <w:spacing w:after="240" w:line="360" w:lineRule="auto"/>
        <w:jc w:val="both"/>
        <w:rPr>
          <w:rFonts w:asciiTheme="majorHAnsi" w:hAnsiTheme="majorHAnsi" w:cstheme="majorHAnsi"/>
          <w:sz w:val="24"/>
          <w:szCs w:val="24"/>
        </w:rPr>
      </w:pPr>
      <w:r w:rsidRPr="00627461">
        <w:rPr>
          <w:rFonts w:asciiTheme="majorHAnsi" w:hAnsiTheme="majorHAnsi" w:cstheme="majorHAnsi"/>
          <w:sz w:val="24"/>
          <w:szCs w:val="24"/>
        </w:rPr>
        <w:t>The first respondent stresses that the letter cannot be read in isolation and so argue</w:t>
      </w:r>
      <w:r w:rsidR="0033449A">
        <w:rPr>
          <w:rFonts w:asciiTheme="majorHAnsi" w:hAnsiTheme="majorHAnsi" w:cstheme="majorHAnsi"/>
          <w:sz w:val="24"/>
          <w:szCs w:val="24"/>
        </w:rPr>
        <w:t>s</w:t>
      </w:r>
      <w:r w:rsidRPr="00627461">
        <w:rPr>
          <w:rFonts w:asciiTheme="majorHAnsi" w:hAnsiTheme="majorHAnsi" w:cstheme="majorHAnsi"/>
          <w:sz w:val="24"/>
          <w:szCs w:val="24"/>
        </w:rPr>
        <w:t xml:space="preserve"> that the applicant’s attorney’s unequivocal statement that </w:t>
      </w:r>
      <w:r w:rsidR="0033449A">
        <w:rPr>
          <w:rFonts w:asciiTheme="majorHAnsi" w:hAnsiTheme="majorHAnsi" w:cstheme="majorHAnsi"/>
        </w:rPr>
        <w:t xml:space="preserve"> </w:t>
      </w:r>
      <w:r w:rsidRPr="00627461">
        <w:rPr>
          <w:rFonts w:asciiTheme="majorHAnsi" w:hAnsiTheme="majorHAnsi" w:cstheme="majorHAnsi"/>
          <w:sz w:val="24"/>
          <w:szCs w:val="24"/>
        </w:rPr>
        <w:t xml:space="preserve">her ‘client, who is described as the “Seller” in the said “First Agreement of Sale”, hereby exercises </w:t>
      </w:r>
      <w:r w:rsidRPr="004B54AB">
        <w:rPr>
          <w:rFonts w:asciiTheme="majorHAnsi" w:hAnsiTheme="majorHAnsi" w:cstheme="majorHAnsi"/>
          <w:sz w:val="24"/>
          <w:szCs w:val="24"/>
        </w:rPr>
        <w:t>its right and option to purchase the House-Sub division from Blue</w:t>
      </w:r>
      <w:r w:rsidRPr="00627461">
        <w:rPr>
          <w:rFonts w:asciiTheme="majorHAnsi" w:hAnsiTheme="majorHAnsi" w:cstheme="majorHAnsi"/>
          <w:sz w:val="24"/>
          <w:szCs w:val="24"/>
        </w:rPr>
        <w:t xml:space="preserve"> Gum Estate Proprietary Limited’</w:t>
      </w:r>
      <w:r>
        <w:rPr>
          <w:rFonts w:asciiTheme="majorHAnsi" w:hAnsiTheme="majorHAnsi" w:cstheme="majorHAnsi"/>
          <w:sz w:val="24"/>
          <w:szCs w:val="24"/>
        </w:rPr>
        <w:t xml:space="preserve"> cannot be viewed as a valid exercise of the option because it must be construed together the proposed agreement and the resolution.</w:t>
      </w:r>
    </w:p>
    <w:p w:rsidR="00627461" w:rsidRPr="00627461" w:rsidRDefault="00627461" w:rsidP="00627461">
      <w:pPr>
        <w:pStyle w:val="ListParagraph"/>
        <w:rPr>
          <w:rFonts w:asciiTheme="majorHAnsi" w:hAnsiTheme="majorHAnsi" w:cstheme="majorHAnsi"/>
          <w:sz w:val="24"/>
          <w:szCs w:val="24"/>
        </w:rPr>
      </w:pPr>
    </w:p>
    <w:p w:rsidR="00FF0029" w:rsidRDefault="00627461" w:rsidP="00FF0029">
      <w:pPr>
        <w:pStyle w:val="ListParagraph"/>
        <w:numPr>
          <w:ilvl w:val="0"/>
          <w:numId w:val="1"/>
        </w:numPr>
        <w:spacing w:after="240" w:line="360" w:lineRule="auto"/>
        <w:jc w:val="both"/>
        <w:rPr>
          <w:rFonts w:asciiTheme="majorHAnsi" w:hAnsiTheme="majorHAnsi" w:cstheme="majorHAnsi"/>
          <w:sz w:val="24"/>
          <w:szCs w:val="24"/>
        </w:rPr>
      </w:pPr>
      <w:r>
        <w:rPr>
          <w:rFonts w:asciiTheme="majorHAnsi" w:hAnsiTheme="majorHAnsi" w:cstheme="majorHAnsi"/>
          <w:sz w:val="24"/>
          <w:szCs w:val="24"/>
        </w:rPr>
        <w:t>Whilst it is so that the letter must be construed as a whole, it must also be construed in context and purposively with due regard to its language in a business-like manner which does not render an absurd result</w:t>
      </w:r>
      <w:r w:rsidR="006B1DA8">
        <w:rPr>
          <w:rStyle w:val="FootnoteReference"/>
          <w:rFonts w:asciiTheme="majorHAnsi" w:hAnsiTheme="majorHAnsi" w:cstheme="majorHAnsi"/>
          <w:sz w:val="24"/>
          <w:szCs w:val="24"/>
        </w:rPr>
        <w:footnoteReference w:id="3"/>
      </w:r>
      <w:r w:rsidR="006B1DA8">
        <w:rPr>
          <w:rFonts w:asciiTheme="majorHAnsi" w:hAnsiTheme="majorHAnsi" w:cstheme="majorHAnsi"/>
          <w:sz w:val="24"/>
          <w:szCs w:val="24"/>
        </w:rPr>
        <w:t xml:space="preserve"> but a commercially sensible meaning</w:t>
      </w:r>
      <w:r>
        <w:rPr>
          <w:rFonts w:asciiTheme="majorHAnsi" w:hAnsiTheme="majorHAnsi" w:cstheme="majorHAnsi"/>
          <w:sz w:val="24"/>
          <w:szCs w:val="24"/>
        </w:rPr>
        <w:t>.</w:t>
      </w:r>
      <w:r w:rsidR="006B1DA8">
        <w:rPr>
          <w:rStyle w:val="FootnoteReference"/>
          <w:rFonts w:asciiTheme="majorHAnsi" w:hAnsiTheme="majorHAnsi" w:cstheme="majorHAnsi"/>
          <w:sz w:val="24"/>
          <w:szCs w:val="24"/>
        </w:rPr>
        <w:footnoteReference w:id="4"/>
      </w:r>
    </w:p>
    <w:p w:rsidR="00FF0029" w:rsidRPr="00FF0029" w:rsidRDefault="00FF0029" w:rsidP="00FF0029">
      <w:pPr>
        <w:pStyle w:val="ListParagraph"/>
        <w:rPr>
          <w:rFonts w:asciiTheme="majorHAnsi" w:hAnsiTheme="majorHAnsi" w:cstheme="majorHAnsi"/>
          <w:sz w:val="24"/>
          <w:szCs w:val="24"/>
        </w:rPr>
      </w:pPr>
    </w:p>
    <w:p w:rsidR="00FF0029" w:rsidRPr="00FF0029" w:rsidRDefault="00627461" w:rsidP="00FF0029">
      <w:pPr>
        <w:pStyle w:val="ListParagraph"/>
        <w:numPr>
          <w:ilvl w:val="0"/>
          <w:numId w:val="1"/>
        </w:numPr>
        <w:spacing w:after="240" w:line="360" w:lineRule="auto"/>
        <w:jc w:val="both"/>
        <w:rPr>
          <w:rFonts w:asciiTheme="majorHAnsi" w:hAnsiTheme="majorHAnsi" w:cstheme="majorHAnsi"/>
          <w:sz w:val="24"/>
          <w:szCs w:val="24"/>
        </w:rPr>
      </w:pPr>
      <w:r>
        <w:rPr>
          <w:rFonts w:asciiTheme="majorHAnsi" w:hAnsiTheme="majorHAnsi" w:cstheme="majorHAnsi"/>
          <w:sz w:val="24"/>
          <w:szCs w:val="24"/>
        </w:rPr>
        <w:t xml:space="preserve"> </w:t>
      </w:r>
      <w:r w:rsidR="00F676A1">
        <w:rPr>
          <w:rFonts w:asciiTheme="majorHAnsi" w:hAnsiTheme="majorHAnsi" w:cstheme="majorHAnsi"/>
          <w:sz w:val="24"/>
          <w:szCs w:val="24"/>
        </w:rPr>
        <w:t>I engage in that exercise below as I am required to do</w:t>
      </w:r>
      <w:r w:rsidR="00FF0029">
        <w:rPr>
          <w:rFonts w:asciiTheme="majorHAnsi" w:hAnsiTheme="majorHAnsi" w:cstheme="majorHAnsi"/>
          <w:sz w:val="24"/>
          <w:szCs w:val="24"/>
        </w:rPr>
        <w:t>,</w:t>
      </w:r>
      <w:r w:rsidR="00F676A1">
        <w:rPr>
          <w:rStyle w:val="FootnoteReference"/>
          <w:rFonts w:asciiTheme="majorHAnsi" w:hAnsiTheme="majorHAnsi" w:cstheme="majorHAnsi"/>
          <w:sz w:val="24"/>
          <w:szCs w:val="24"/>
        </w:rPr>
        <w:footnoteReference w:id="5"/>
      </w:r>
      <w:r w:rsidR="00FF0029">
        <w:rPr>
          <w:rFonts w:asciiTheme="majorHAnsi" w:hAnsiTheme="majorHAnsi" w:cstheme="majorHAnsi"/>
          <w:sz w:val="24"/>
          <w:szCs w:val="24"/>
        </w:rPr>
        <w:t xml:space="preserve"> but it is worth pausing for a moment </w:t>
      </w:r>
      <w:r w:rsidR="00FF0029" w:rsidRPr="004B54AB">
        <w:rPr>
          <w:rFonts w:asciiTheme="majorHAnsi" w:hAnsiTheme="majorHAnsi" w:cstheme="majorHAnsi"/>
          <w:sz w:val="24"/>
          <w:szCs w:val="24"/>
        </w:rPr>
        <w:t>to consider the implications and results of the first respondent’s</w:t>
      </w:r>
      <w:r w:rsidR="00FF0029">
        <w:rPr>
          <w:rFonts w:asciiTheme="majorHAnsi" w:hAnsiTheme="majorHAnsi" w:cstheme="majorHAnsi"/>
          <w:sz w:val="24"/>
          <w:szCs w:val="24"/>
        </w:rPr>
        <w:t xml:space="preserve"> interpretation</w:t>
      </w:r>
      <w:r w:rsidR="00501C46">
        <w:rPr>
          <w:rFonts w:asciiTheme="majorHAnsi" w:hAnsiTheme="majorHAnsi" w:cstheme="majorHAnsi"/>
          <w:sz w:val="24"/>
          <w:szCs w:val="24"/>
        </w:rPr>
        <w:t xml:space="preserve"> which are as follows</w:t>
      </w:r>
      <w:r w:rsidR="00FF0029">
        <w:rPr>
          <w:rFonts w:asciiTheme="majorHAnsi" w:hAnsiTheme="majorHAnsi" w:cstheme="majorHAnsi"/>
          <w:sz w:val="24"/>
          <w:szCs w:val="24"/>
        </w:rPr>
        <w:t xml:space="preserve">. The applicant plainly wanted to exercise the option and thought it had done so by the letter. That view was shared by the first respondent and its attorneys for seven years. By happenstance however, because the applicant’s attorney had authored the letter and not the applicant, and the applicant had offered to pay an amount in addition to the option price, </w:t>
      </w:r>
      <w:r w:rsidR="00501C46">
        <w:rPr>
          <w:rFonts w:asciiTheme="majorHAnsi" w:hAnsiTheme="majorHAnsi" w:cstheme="majorHAnsi"/>
          <w:sz w:val="24"/>
          <w:szCs w:val="24"/>
        </w:rPr>
        <w:t xml:space="preserve">the applicant had not actually exercised the option and its right to do so has lapsed. </w:t>
      </w:r>
    </w:p>
    <w:p w:rsidR="00627461" w:rsidRPr="00627461" w:rsidRDefault="00627461" w:rsidP="00627461">
      <w:pPr>
        <w:pStyle w:val="ListParagraph"/>
        <w:rPr>
          <w:rFonts w:asciiTheme="majorHAnsi" w:hAnsiTheme="majorHAnsi" w:cstheme="majorHAnsi"/>
          <w:sz w:val="24"/>
          <w:szCs w:val="24"/>
        </w:rPr>
      </w:pPr>
    </w:p>
    <w:p w:rsidR="00627461" w:rsidRDefault="00627461" w:rsidP="00627461">
      <w:pPr>
        <w:pStyle w:val="ListParagraph"/>
        <w:numPr>
          <w:ilvl w:val="0"/>
          <w:numId w:val="1"/>
        </w:numPr>
        <w:spacing w:after="240" w:line="360" w:lineRule="auto"/>
        <w:jc w:val="both"/>
        <w:rPr>
          <w:rFonts w:asciiTheme="majorHAnsi" w:hAnsiTheme="majorHAnsi" w:cstheme="majorHAnsi"/>
          <w:sz w:val="24"/>
          <w:szCs w:val="24"/>
        </w:rPr>
      </w:pPr>
      <w:r>
        <w:rPr>
          <w:rFonts w:asciiTheme="majorHAnsi" w:hAnsiTheme="majorHAnsi" w:cstheme="majorHAnsi"/>
          <w:sz w:val="24"/>
          <w:szCs w:val="24"/>
        </w:rPr>
        <w:t>The first respondent’s construction pays insufficient heed to the purpose</w:t>
      </w:r>
      <w:r w:rsidR="008A63CA">
        <w:rPr>
          <w:rFonts w:asciiTheme="majorHAnsi" w:hAnsiTheme="majorHAnsi" w:cstheme="majorHAnsi"/>
          <w:sz w:val="24"/>
          <w:szCs w:val="24"/>
        </w:rPr>
        <w:t>s</w:t>
      </w:r>
      <w:r>
        <w:rPr>
          <w:rFonts w:asciiTheme="majorHAnsi" w:hAnsiTheme="majorHAnsi" w:cstheme="majorHAnsi"/>
          <w:sz w:val="24"/>
          <w:szCs w:val="24"/>
        </w:rPr>
        <w:t xml:space="preserve"> of the letter and purpose of the proposed agreement and fails to differentiate between the</w:t>
      </w:r>
      <w:r w:rsidR="00700CFD">
        <w:rPr>
          <w:rFonts w:asciiTheme="majorHAnsi" w:hAnsiTheme="majorHAnsi" w:cstheme="majorHAnsi"/>
          <w:sz w:val="24"/>
          <w:szCs w:val="24"/>
        </w:rPr>
        <w:t>m.</w:t>
      </w:r>
      <w:r w:rsidR="008D49A6">
        <w:rPr>
          <w:rFonts w:asciiTheme="majorHAnsi" w:hAnsiTheme="majorHAnsi" w:cstheme="majorHAnsi"/>
          <w:sz w:val="24"/>
          <w:szCs w:val="24"/>
        </w:rPr>
        <w:t xml:space="preserve"> </w:t>
      </w:r>
    </w:p>
    <w:p w:rsidR="00627461" w:rsidRPr="00627461" w:rsidRDefault="00627461" w:rsidP="00627461">
      <w:pPr>
        <w:pStyle w:val="ListParagraph"/>
        <w:rPr>
          <w:rFonts w:asciiTheme="majorHAnsi" w:hAnsiTheme="majorHAnsi" w:cstheme="majorHAnsi"/>
          <w:sz w:val="24"/>
          <w:szCs w:val="24"/>
        </w:rPr>
      </w:pPr>
    </w:p>
    <w:p w:rsidR="008A63CA" w:rsidRDefault="00627461" w:rsidP="008A63CA">
      <w:pPr>
        <w:pStyle w:val="ListParagraph"/>
        <w:numPr>
          <w:ilvl w:val="0"/>
          <w:numId w:val="1"/>
        </w:numPr>
        <w:spacing w:after="240" w:line="360" w:lineRule="auto"/>
        <w:jc w:val="both"/>
        <w:rPr>
          <w:rFonts w:asciiTheme="majorHAnsi" w:hAnsiTheme="majorHAnsi" w:cstheme="majorHAnsi"/>
          <w:sz w:val="24"/>
          <w:szCs w:val="24"/>
        </w:rPr>
      </w:pPr>
      <w:r w:rsidRPr="008A63CA">
        <w:rPr>
          <w:rFonts w:asciiTheme="majorHAnsi" w:hAnsiTheme="majorHAnsi" w:cstheme="majorHAnsi"/>
          <w:sz w:val="24"/>
          <w:szCs w:val="24"/>
        </w:rPr>
        <w:t>The option contained no formalities for its exercise save that it be in writing</w:t>
      </w:r>
      <w:r w:rsidR="008A63CA">
        <w:rPr>
          <w:rFonts w:asciiTheme="majorHAnsi" w:hAnsiTheme="majorHAnsi" w:cstheme="majorHAnsi"/>
          <w:sz w:val="24"/>
          <w:szCs w:val="24"/>
        </w:rPr>
        <w:t xml:space="preserve"> before a specified da</w:t>
      </w:r>
      <w:r w:rsidR="008A63CA" w:rsidRPr="008A63CA">
        <w:rPr>
          <w:rFonts w:asciiTheme="majorHAnsi" w:hAnsiTheme="majorHAnsi" w:cstheme="majorHAnsi"/>
          <w:sz w:val="24"/>
          <w:szCs w:val="24"/>
        </w:rPr>
        <w:t>te</w:t>
      </w:r>
      <w:r w:rsidRPr="008A63CA">
        <w:rPr>
          <w:rFonts w:asciiTheme="majorHAnsi" w:hAnsiTheme="majorHAnsi" w:cstheme="majorHAnsi"/>
          <w:sz w:val="24"/>
          <w:szCs w:val="24"/>
        </w:rPr>
        <w:t xml:space="preserve">. </w:t>
      </w:r>
      <w:r w:rsidR="008A63CA" w:rsidRPr="008A63CA">
        <w:rPr>
          <w:rFonts w:asciiTheme="majorHAnsi" w:hAnsiTheme="majorHAnsi" w:cstheme="majorHAnsi"/>
          <w:sz w:val="24"/>
          <w:szCs w:val="24"/>
        </w:rPr>
        <w:t>If no proposed agreement had been annexed to the letter of 31 July 2015 that would not have invalidated the exercise of the option.</w:t>
      </w:r>
      <w:r w:rsidR="008A63CA">
        <w:rPr>
          <w:rFonts w:asciiTheme="majorHAnsi" w:hAnsiTheme="majorHAnsi" w:cstheme="majorHAnsi"/>
          <w:sz w:val="24"/>
          <w:szCs w:val="24"/>
        </w:rPr>
        <w:t xml:space="preserve"> The option contained only a description of the </w:t>
      </w:r>
      <w:r w:rsidR="008A63CA" w:rsidRPr="008A63CA">
        <w:rPr>
          <w:rFonts w:asciiTheme="majorHAnsi" w:hAnsiTheme="majorHAnsi" w:cstheme="majorHAnsi"/>
          <w:i/>
          <w:iCs/>
          <w:sz w:val="24"/>
          <w:szCs w:val="24"/>
        </w:rPr>
        <w:t>merx</w:t>
      </w:r>
      <w:r w:rsidR="00FF0029">
        <w:rPr>
          <w:rFonts w:asciiTheme="majorHAnsi" w:hAnsiTheme="majorHAnsi" w:cstheme="majorHAnsi"/>
          <w:sz w:val="24"/>
          <w:szCs w:val="24"/>
        </w:rPr>
        <w:t xml:space="preserve"> and </w:t>
      </w:r>
      <w:r w:rsidR="008A63CA">
        <w:rPr>
          <w:rFonts w:asciiTheme="majorHAnsi" w:hAnsiTheme="majorHAnsi" w:cstheme="majorHAnsi"/>
          <w:sz w:val="24"/>
          <w:szCs w:val="24"/>
        </w:rPr>
        <w:t>the acquisition price. This, together with the requirements of the Alienation of Land Act 68 of 1981, meant that a further written agreement would be required for transfer to be registered</w:t>
      </w:r>
      <w:r w:rsidR="00CF3857">
        <w:rPr>
          <w:rFonts w:asciiTheme="majorHAnsi" w:hAnsiTheme="majorHAnsi" w:cstheme="majorHAnsi"/>
          <w:sz w:val="24"/>
          <w:szCs w:val="24"/>
        </w:rPr>
        <w:t xml:space="preserve"> once the option had been exercised</w:t>
      </w:r>
      <w:r w:rsidR="008A63CA">
        <w:rPr>
          <w:rFonts w:asciiTheme="majorHAnsi" w:hAnsiTheme="majorHAnsi" w:cstheme="majorHAnsi"/>
          <w:sz w:val="24"/>
          <w:szCs w:val="24"/>
        </w:rPr>
        <w:t>.</w:t>
      </w:r>
    </w:p>
    <w:p w:rsidR="008A63CA" w:rsidRPr="008A63CA" w:rsidRDefault="008A63CA" w:rsidP="008A63CA">
      <w:pPr>
        <w:pStyle w:val="ListParagraph"/>
        <w:rPr>
          <w:rFonts w:asciiTheme="majorHAnsi" w:hAnsiTheme="majorHAnsi" w:cstheme="majorHAnsi"/>
          <w:sz w:val="24"/>
          <w:szCs w:val="24"/>
        </w:rPr>
      </w:pPr>
    </w:p>
    <w:p w:rsidR="00CF3857" w:rsidRDefault="00CF3857" w:rsidP="00CF3857">
      <w:pPr>
        <w:pStyle w:val="ListParagraph"/>
        <w:numPr>
          <w:ilvl w:val="0"/>
          <w:numId w:val="1"/>
        </w:numPr>
        <w:spacing w:after="240" w:line="360" w:lineRule="auto"/>
        <w:jc w:val="both"/>
        <w:rPr>
          <w:rFonts w:asciiTheme="majorHAnsi" w:hAnsiTheme="majorHAnsi" w:cstheme="majorHAnsi"/>
          <w:sz w:val="24"/>
          <w:szCs w:val="24"/>
        </w:rPr>
      </w:pPr>
      <w:r>
        <w:rPr>
          <w:rFonts w:asciiTheme="majorHAnsi" w:hAnsiTheme="majorHAnsi" w:cstheme="majorHAnsi"/>
          <w:sz w:val="24"/>
          <w:szCs w:val="24"/>
        </w:rPr>
        <w:t>Within this context, t</w:t>
      </w:r>
      <w:r w:rsidR="00627461" w:rsidRPr="008A63CA">
        <w:rPr>
          <w:rFonts w:asciiTheme="majorHAnsi" w:hAnsiTheme="majorHAnsi" w:cstheme="majorHAnsi"/>
          <w:sz w:val="24"/>
          <w:szCs w:val="24"/>
        </w:rPr>
        <w:t xml:space="preserve">he letter </w:t>
      </w:r>
      <w:r w:rsidR="008A63CA">
        <w:rPr>
          <w:rFonts w:asciiTheme="majorHAnsi" w:hAnsiTheme="majorHAnsi" w:cstheme="majorHAnsi"/>
          <w:sz w:val="24"/>
          <w:szCs w:val="24"/>
        </w:rPr>
        <w:t xml:space="preserve">was intended to </w:t>
      </w:r>
      <w:r w:rsidR="00627461" w:rsidRPr="008A63CA">
        <w:rPr>
          <w:rFonts w:asciiTheme="majorHAnsi" w:hAnsiTheme="majorHAnsi" w:cstheme="majorHAnsi"/>
          <w:sz w:val="24"/>
          <w:szCs w:val="24"/>
        </w:rPr>
        <w:t>serve</w:t>
      </w:r>
      <w:r w:rsidR="008A63CA">
        <w:rPr>
          <w:rFonts w:asciiTheme="majorHAnsi" w:hAnsiTheme="majorHAnsi" w:cstheme="majorHAnsi"/>
          <w:sz w:val="24"/>
          <w:szCs w:val="24"/>
        </w:rPr>
        <w:t xml:space="preserve"> two purposes. </w:t>
      </w:r>
      <w:r>
        <w:rPr>
          <w:rFonts w:asciiTheme="majorHAnsi" w:hAnsiTheme="majorHAnsi" w:cstheme="majorHAnsi"/>
          <w:sz w:val="24"/>
          <w:szCs w:val="24"/>
        </w:rPr>
        <w:t>The first was to convey the applicant’s exercise of its option in writing. The second</w:t>
      </w:r>
      <w:r w:rsidR="00164D89">
        <w:rPr>
          <w:rFonts w:asciiTheme="majorHAnsi" w:hAnsiTheme="majorHAnsi" w:cstheme="majorHAnsi"/>
          <w:sz w:val="24"/>
          <w:szCs w:val="24"/>
        </w:rPr>
        <w:t xml:space="preserve"> was</w:t>
      </w:r>
      <w:r>
        <w:rPr>
          <w:rFonts w:asciiTheme="majorHAnsi" w:hAnsiTheme="majorHAnsi" w:cstheme="majorHAnsi"/>
          <w:sz w:val="24"/>
          <w:szCs w:val="24"/>
        </w:rPr>
        <w:t xml:space="preserve"> to set out the terms upon which the applicant proposed the necessary further agreement should be concluded. </w:t>
      </w:r>
    </w:p>
    <w:p w:rsidR="00CF3857" w:rsidRPr="00CF3857" w:rsidRDefault="00CF3857" w:rsidP="00CF3857">
      <w:pPr>
        <w:pStyle w:val="ListParagraph"/>
        <w:rPr>
          <w:rFonts w:asciiTheme="majorHAnsi" w:hAnsiTheme="majorHAnsi" w:cstheme="majorHAnsi"/>
          <w:sz w:val="24"/>
          <w:szCs w:val="24"/>
        </w:rPr>
      </w:pPr>
    </w:p>
    <w:p w:rsidR="008D4655" w:rsidRDefault="00CF3857" w:rsidP="008D4655">
      <w:pPr>
        <w:pStyle w:val="ListParagraph"/>
        <w:numPr>
          <w:ilvl w:val="0"/>
          <w:numId w:val="1"/>
        </w:numPr>
        <w:spacing w:after="240" w:line="360" w:lineRule="auto"/>
        <w:jc w:val="both"/>
        <w:rPr>
          <w:rFonts w:asciiTheme="majorHAnsi" w:hAnsiTheme="majorHAnsi" w:cstheme="majorHAnsi"/>
          <w:sz w:val="24"/>
          <w:szCs w:val="24"/>
        </w:rPr>
      </w:pPr>
      <w:r>
        <w:rPr>
          <w:rFonts w:asciiTheme="majorHAnsi" w:hAnsiTheme="majorHAnsi" w:cstheme="majorHAnsi"/>
          <w:sz w:val="24"/>
          <w:szCs w:val="24"/>
        </w:rPr>
        <w:t xml:space="preserve">As to the first purpose the letter was intended to serve, </w:t>
      </w:r>
      <w:r w:rsidR="008D4655">
        <w:rPr>
          <w:rFonts w:asciiTheme="majorHAnsi" w:hAnsiTheme="majorHAnsi" w:cstheme="majorHAnsi"/>
          <w:sz w:val="24"/>
          <w:szCs w:val="24"/>
        </w:rPr>
        <w:t>t</w:t>
      </w:r>
      <w:r>
        <w:rPr>
          <w:rFonts w:asciiTheme="majorHAnsi" w:hAnsiTheme="majorHAnsi" w:cstheme="majorHAnsi"/>
          <w:sz w:val="24"/>
          <w:szCs w:val="24"/>
        </w:rPr>
        <w:t xml:space="preserve">his is revealed by the recordal of the </w:t>
      </w:r>
      <w:r w:rsidR="00164D89">
        <w:rPr>
          <w:rFonts w:asciiTheme="majorHAnsi" w:hAnsiTheme="majorHAnsi" w:cstheme="majorHAnsi"/>
          <w:sz w:val="24"/>
          <w:szCs w:val="24"/>
        </w:rPr>
        <w:t xml:space="preserve">applicant’s </w:t>
      </w:r>
      <w:r>
        <w:rPr>
          <w:rFonts w:asciiTheme="majorHAnsi" w:hAnsiTheme="majorHAnsi" w:cstheme="majorHAnsi"/>
          <w:sz w:val="24"/>
          <w:szCs w:val="24"/>
        </w:rPr>
        <w:t xml:space="preserve">exercise of the option using the language of the sale agreement and referencing it specifically. </w:t>
      </w:r>
      <w:r w:rsidRPr="008A63CA">
        <w:rPr>
          <w:rFonts w:asciiTheme="majorHAnsi" w:hAnsiTheme="majorHAnsi" w:cstheme="majorHAnsi"/>
          <w:sz w:val="24"/>
          <w:szCs w:val="24"/>
        </w:rPr>
        <w:t xml:space="preserve">The submission by counsel for the first respondent that the attorney who authored the letter was </w:t>
      </w:r>
      <w:r w:rsidRPr="00F633F8">
        <w:rPr>
          <w:rFonts w:asciiTheme="majorHAnsi" w:hAnsiTheme="majorHAnsi" w:cstheme="majorHAnsi"/>
          <w:sz w:val="24"/>
          <w:szCs w:val="24"/>
        </w:rPr>
        <w:t xml:space="preserve">not authorised by the resolution to exercise the </w:t>
      </w:r>
      <w:r w:rsidR="00164D89" w:rsidRPr="00F633F8">
        <w:rPr>
          <w:rFonts w:asciiTheme="majorHAnsi" w:hAnsiTheme="majorHAnsi" w:cstheme="majorHAnsi"/>
          <w:sz w:val="24"/>
          <w:szCs w:val="24"/>
        </w:rPr>
        <w:t>option</w:t>
      </w:r>
      <w:r w:rsidR="00312812">
        <w:rPr>
          <w:rFonts w:asciiTheme="majorHAnsi" w:hAnsiTheme="majorHAnsi" w:cstheme="majorHAnsi"/>
          <w:sz w:val="24"/>
          <w:szCs w:val="24"/>
        </w:rPr>
        <w:t>,</w:t>
      </w:r>
      <w:r w:rsidR="00164D89" w:rsidRPr="00F633F8">
        <w:rPr>
          <w:rFonts w:asciiTheme="majorHAnsi" w:hAnsiTheme="majorHAnsi" w:cstheme="majorHAnsi"/>
          <w:sz w:val="24"/>
          <w:szCs w:val="24"/>
        </w:rPr>
        <w:t xml:space="preserve"> </w:t>
      </w:r>
      <w:r w:rsidRPr="00F633F8">
        <w:rPr>
          <w:rFonts w:asciiTheme="majorHAnsi" w:hAnsiTheme="majorHAnsi" w:cstheme="majorHAnsi"/>
          <w:sz w:val="24"/>
          <w:szCs w:val="24"/>
        </w:rPr>
        <w:t>loses sight of the fact that the attorney</w:t>
      </w:r>
      <w:r w:rsidRPr="008A63CA">
        <w:rPr>
          <w:rFonts w:asciiTheme="majorHAnsi" w:hAnsiTheme="majorHAnsi" w:cstheme="majorHAnsi"/>
          <w:sz w:val="24"/>
          <w:szCs w:val="24"/>
        </w:rPr>
        <w:t xml:space="preserve"> was </w:t>
      </w:r>
      <w:r w:rsidR="00164D89">
        <w:rPr>
          <w:rFonts w:asciiTheme="majorHAnsi" w:hAnsiTheme="majorHAnsi" w:cstheme="majorHAnsi"/>
          <w:sz w:val="24"/>
          <w:szCs w:val="24"/>
        </w:rPr>
        <w:t xml:space="preserve">simply </w:t>
      </w:r>
      <w:r w:rsidRPr="008A63CA">
        <w:rPr>
          <w:rFonts w:asciiTheme="majorHAnsi" w:hAnsiTheme="majorHAnsi" w:cstheme="majorHAnsi"/>
          <w:sz w:val="24"/>
          <w:szCs w:val="24"/>
        </w:rPr>
        <w:t xml:space="preserve">conveying her client’s exercise of its rights, not purporting to exercise them herself. Even if one could style the letter as a purported exercise of the option by the applicant’s attorney, it would be an exercise as agent on behalf of </w:t>
      </w:r>
      <w:r>
        <w:rPr>
          <w:rFonts w:asciiTheme="majorHAnsi" w:hAnsiTheme="majorHAnsi" w:cstheme="majorHAnsi"/>
          <w:sz w:val="24"/>
          <w:szCs w:val="24"/>
        </w:rPr>
        <w:t>her client as</w:t>
      </w:r>
      <w:r w:rsidRPr="008A63CA">
        <w:rPr>
          <w:rFonts w:asciiTheme="majorHAnsi" w:hAnsiTheme="majorHAnsi" w:cstheme="majorHAnsi"/>
          <w:sz w:val="24"/>
          <w:szCs w:val="24"/>
        </w:rPr>
        <w:t xml:space="preserve"> disclosed principal, not </w:t>
      </w:r>
      <w:r w:rsidRPr="00CF3857">
        <w:rPr>
          <w:rFonts w:asciiTheme="majorHAnsi" w:hAnsiTheme="majorHAnsi" w:cstheme="majorHAnsi"/>
          <w:i/>
          <w:iCs/>
          <w:sz w:val="24"/>
          <w:szCs w:val="24"/>
        </w:rPr>
        <w:t xml:space="preserve">qua </w:t>
      </w:r>
      <w:r w:rsidRPr="008A63CA">
        <w:rPr>
          <w:rFonts w:asciiTheme="majorHAnsi" w:hAnsiTheme="majorHAnsi" w:cstheme="majorHAnsi"/>
          <w:sz w:val="24"/>
          <w:szCs w:val="24"/>
        </w:rPr>
        <w:t xml:space="preserve">principal. </w:t>
      </w:r>
    </w:p>
    <w:p w:rsidR="00D14065" w:rsidRPr="00D14065" w:rsidRDefault="00D14065" w:rsidP="00D14065">
      <w:pPr>
        <w:pStyle w:val="ListParagraph"/>
        <w:rPr>
          <w:rFonts w:asciiTheme="majorHAnsi" w:hAnsiTheme="majorHAnsi" w:cstheme="majorHAnsi"/>
          <w:sz w:val="24"/>
          <w:szCs w:val="24"/>
        </w:rPr>
      </w:pPr>
    </w:p>
    <w:p w:rsidR="00DC0B31" w:rsidRDefault="00DC0B31" w:rsidP="002D3A23">
      <w:pPr>
        <w:pStyle w:val="ListParagraph"/>
        <w:numPr>
          <w:ilvl w:val="0"/>
          <w:numId w:val="1"/>
        </w:numPr>
        <w:spacing w:after="240" w:line="360" w:lineRule="auto"/>
        <w:jc w:val="both"/>
        <w:rPr>
          <w:rFonts w:asciiTheme="majorHAnsi" w:hAnsiTheme="majorHAnsi" w:cstheme="majorHAnsi"/>
          <w:sz w:val="24"/>
          <w:szCs w:val="24"/>
        </w:rPr>
      </w:pPr>
      <w:r>
        <w:rPr>
          <w:rFonts w:asciiTheme="majorHAnsi" w:hAnsiTheme="majorHAnsi" w:cstheme="majorHAnsi"/>
          <w:sz w:val="24"/>
          <w:szCs w:val="24"/>
        </w:rPr>
        <w:t xml:space="preserve">The resolution must also be construed in this context and together with the proposed agreement. It is a resolution to acquire the four subdivisions pursuant to a valid exercise of what is referred to in the </w:t>
      </w:r>
      <w:r w:rsidRPr="00F633F8">
        <w:rPr>
          <w:rFonts w:asciiTheme="majorHAnsi" w:hAnsiTheme="majorHAnsi" w:cstheme="majorHAnsi"/>
          <w:sz w:val="24"/>
          <w:szCs w:val="24"/>
        </w:rPr>
        <w:t xml:space="preserve">resolution as </w:t>
      </w:r>
      <w:r w:rsidR="00164D89" w:rsidRPr="00F633F8">
        <w:rPr>
          <w:rFonts w:asciiTheme="majorHAnsi" w:hAnsiTheme="majorHAnsi" w:cstheme="majorHAnsi"/>
          <w:sz w:val="24"/>
          <w:szCs w:val="24"/>
        </w:rPr>
        <w:t>‘</w:t>
      </w:r>
      <w:r w:rsidRPr="00F633F8">
        <w:rPr>
          <w:rFonts w:asciiTheme="majorHAnsi" w:hAnsiTheme="majorHAnsi" w:cstheme="majorHAnsi"/>
          <w:sz w:val="24"/>
          <w:szCs w:val="24"/>
        </w:rPr>
        <w:t>its Option</w:t>
      </w:r>
      <w:r>
        <w:rPr>
          <w:rFonts w:asciiTheme="majorHAnsi" w:hAnsiTheme="majorHAnsi" w:cstheme="majorHAnsi"/>
          <w:sz w:val="24"/>
          <w:szCs w:val="24"/>
        </w:rPr>
        <w:t xml:space="preserve"> to Purchase’. The same term, with identical capitalisation</w:t>
      </w:r>
      <w:r w:rsidR="00164D89">
        <w:rPr>
          <w:rFonts w:asciiTheme="majorHAnsi" w:hAnsiTheme="majorHAnsi" w:cstheme="majorHAnsi"/>
          <w:sz w:val="24"/>
          <w:szCs w:val="24"/>
        </w:rPr>
        <w:t>,</w:t>
      </w:r>
      <w:r>
        <w:rPr>
          <w:rFonts w:asciiTheme="majorHAnsi" w:hAnsiTheme="majorHAnsi" w:cstheme="majorHAnsi"/>
          <w:sz w:val="24"/>
          <w:szCs w:val="24"/>
        </w:rPr>
        <w:t xml:space="preserve"> is defined in the </w:t>
      </w:r>
      <w:r w:rsidR="00164D89">
        <w:rPr>
          <w:rFonts w:asciiTheme="majorHAnsi" w:hAnsiTheme="majorHAnsi" w:cstheme="majorHAnsi"/>
          <w:sz w:val="24"/>
          <w:szCs w:val="24"/>
        </w:rPr>
        <w:t>proposed</w:t>
      </w:r>
      <w:r>
        <w:rPr>
          <w:rFonts w:asciiTheme="majorHAnsi" w:hAnsiTheme="majorHAnsi" w:cstheme="majorHAnsi"/>
          <w:sz w:val="24"/>
          <w:szCs w:val="24"/>
        </w:rPr>
        <w:t xml:space="preserve"> agreement to which the resolution refers</w:t>
      </w:r>
      <w:r w:rsidR="00164D89">
        <w:rPr>
          <w:rFonts w:asciiTheme="majorHAnsi" w:hAnsiTheme="majorHAnsi" w:cstheme="majorHAnsi"/>
          <w:sz w:val="24"/>
          <w:szCs w:val="24"/>
        </w:rPr>
        <w:t xml:space="preserve">. It </w:t>
      </w:r>
      <w:r w:rsidR="00312812">
        <w:rPr>
          <w:rFonts w:asciiTheme="majorHAnsi" w:hAnsiTheme="majorHAnsi" w:cstheme="majorHAnsi"/>
          <w:sz w:val="24"/>
          <w:szCs w:val="24"/>
        </w:rPr>
        <w:t xml:space="preserve">is </w:t>
      </w:r>
      <w:r w:rsidR="00164D89">
        <w:rPr>
          <w:rFonts w:asciiTheme="majorHAnsi" w:hAnsiTheme="majorHAnsi" w:cstheme="majorHAnsi"/>
          <w:sz w:val="24"/>
          <w:szCs w:val="24"/>
        </w:rPr>
        <w:t xml:space="preserve">clear that the term utilised in the resolution was intended to bear the same meaning as </w:t>
      </w:r>
      <w:r>
        <w:rPr>
          <w:rFonts w:asciiTheme="majorHAnsi" w:hAnsiTheme="majorHAnsi" w:cstheme="majorHAnsi"/>
          <w:sz w:val="24"/>
          <w:szCs w:val="24"/>
        </w:rPr>
        <w:t xml:space="preserve"> </w:t>
      </w:r>
      <w:r w:rsidR="00164D89">
        <w:rPr>
          <w:rFonts w:asciiTheme="majorHAnsi" w:hAnsiTheme="majorHAnsi" w:cstheme="majorHAnsi"/>
          <w:sz w:val="24"/>
          <w:szCs w:val="24"/>
        </w:rPr>
        <w:t>in the draft agreement where it is defined as</w:t>
      </w:r>
      <w:r w:rsidR="00312812">
        <w:rPr>
          <w:rFonts w:asciiTheme="majorHAnsi" w:hAnsiTheme="majorHAnsi" w:cstheme="majorHAnsi"/>
          <w:sz w:val="24"/>
          <w:szCs w:val="24"/>
        </w:rPr>
        <w:t xml:space="preserve"> </w:t>
      </w:r>
      <w:r>
        <w:rPr>
          <w:rFonts w:asciiTheme="majorHAnsi" w:hAnsiTheme="majorHAnsi" w:cstheme="majorHAnsi"/>
          <w:sz w:val="24"/>
          <w:szCs w:val="24"/>
        </w:rPr>
        <w:t>the ‘Option to Purchase the House Sub-Division as set out in the First Sale Agreement’</w:t>
      </w:r>
      <w:r w:rsidR="00312812">
        <w:rPr>
          <w:rFonts w:asciiTheme="majorHAnsi" w:hAnsiTheme="majorHAnsi" w:cstheme="majorHAnsi"/>
          <w:sz w:val="24"/>
          <w:szCs w:val="24"/>
        </w:rPr>
        <w:t>. The latter  is in turn defined as the agreement of sale concluded in August 2006</w:t>
      </w:r>
      <w:r>
        <w:rPr>
          <w:rFonts w:asciiTheme="majorHAnsi" w:hAnsiTheme="majorHAnsi" w:cstheme="majorHAnsi"/>
          <w:sz w:val="24"/>
          <w:szCs w:val="24"/>
        </w:rPr>
        <w:t>. The resolution endorses acquisition of the land constituting the House Sub</w:t>
      </w:r>
      <w:r w:rsidR="000A4B65">
        <w:rPr>
          <w:rFonts w:asciiTheme="majorHAnsi" w:hAnsiTheme="majorHAnsi" w:cstheme="majorHAnsi"/>
          <w:sz w:val="24"/>
          <w:szCs w:val="24"/>
        </w:rPr>
        <w:t>-</w:t>
      </w:r>
      <w:r>
        <w:rPr>
          <w:rFonts w:asciiTheme="majorHAnsi" w:hAnsiTheme="majorHAnsi" w:cstheme="majorHAnsi"/>
          <w:sz w:val="24"/>
          <w:szCs w:val="24"/>
        </w:rPr>
        <w:t xml:space="preserve">division on the terms in the proposed agreement, which it seeks to conclude pursuant to the valid exercise of that option.  </w:t>
      </w:r>
    </w:p>
    <w:p w:rsidR="002D3A23" w:rsidRPr="002D3A23" w:rsidRDefault="002D3A23" w:rsidP="002D3A23">
      <w:pPr>
        <w:pStyle w:val="ListParagraph"/>
        <w:rPr>
          <w:rFonts w:asciiTheme="majorHAnsi" w:hAnsiTheme="majorHAnsi" w:cstheme="majorHAnsi"/>
          <w:sz w:val="24"/>
          <w:szCs w:val="24"/>
        </w:rPr>
      </w:pPr>
    </w:p>
    <w:p w:rsidR="008A63CA" w:rsidRPr="00CF3857" w:rsidRDefault="008D4655" w:rsidP="002D3A23">
      <w:pPr>
        <w:pStyle w:val="ListParagraph"/>
        <w:numPr>
          <w:ilvl w:val="0"/>
          <w:numId w:val="1"/>
        </w:numPr>
        <w:spacing w:after="240" w:line="360" w:lineRule="auto"/>
        <w:contextualSpacing w:val="0"/>
        <w:jc w:val="both"/>
        <w:rPr>
          <w:rFonts w:asciiTheme="majorHAnsi" w:hAnsiTheme="majorHAnsi" w:cstheme="majorHAnsi"/>
          <w:sz w:val="24"/>
          <w:szCs w:val="24"/>
        </w:rPr>
      </w:pPr>
      <w:r>
        <w:rPr>
          <w:rFonts w:asciiTheme="majorHAnsi" w:hAnsiTheme="majorHAnsi" w:cstheme="majorHAnsi"/>
          <w:sz w:val="24"/>
          <w:szCs w:val="24"/>
        </w:rPr>
        <w:t xml:space="preserve">As to the </w:t>
      </w:r>
      <w:r w:rsidR="008A63CA" w:rsidRPr="00CF3857">
        <w:rPr>
          <w:rFonts w:asciiTheme="majorHAnsi" w:hAnsiTheme="majorHAnsi" w:cstheme="majorHAnsi"/>
          <w:sz w:val="24"/>
          <w:szCs w:val="24"/>
        </w:rPr>
        <w:t xml:space="preserve">second </w:t>
      </w:r>
      <w:r w:rsidR="00CF3857">
        <w:rPr>
          <w:rFonts w:asciiTheme="majorHAnsi" w:hAnsiTheme="majorHAnsi" w:cstheme="majorHAnsi"/>
          <w:sz w:val="24"/>
          <w:szCs w:val="24"/>
        </w:rPr>
        <w:t>purpose of the letter</w:t>
      </w:r>
      <w:r>
        <w:rPr>
          <w:rFonts w:asciiTheme="majorHAnsi" w:hAnsiTheme="majorHAnsi" w:cstheme="majorHAnsi"/>
          <w:sz w:val="24"/>
          <w:szCs w:val="24"/>
        </w:rPr>
        <w:t xml:space="preserve">, the </w:t>
      </w:r>
      <w:r w:rsidR="008A63CA" w:rsidRPr="00CF3857">
        <w:rPr>
          <w:rFonts w:asciiTheme="majorHAnsi" w:hAnsiTheme="majorHAnsi" w:cstheme="majorHAnsi"/>
          <w:sz w:val="24"/>
          <w:szCs w:val="24"/>
        </w:rPr>
        <w:t>terms upon which the applicant proposed th</w:t>
      </w:r>
      <w:r w:rsidR="00CF3857" w:rsidRPr="00CF3857">
        <w:rPr>
          <w:rFonts w:asciiTheme="majorHAnsi" w:hAnsiTheme="majorHAnsi" w:cstheme="majorHAnsi"/>
          <w:sz w:val="24"/>
          <w:szCs w:val="24"/>
        </w:rPr>
        <w:t>at the</w:t>
      </w:r>
      <w:r w:rsidR="008A63CA" w:rsidRPr="00CF3857">
        <w:rPr>
          <w:rFonts w:asciiTheme="majorHAnsi" w:hAnsiTheme="majorHAnsi" w:cstheme="majorHAnsi"/>
          <w:sz w:val="24"/>
          <w:szCs w:val="24"/>
        </w:rPr>
        <w:t xml:space="preserve"> </w:t>
      </w:r>
      <w:r w:rsidR="00CF3857" w:rsidRPr="00CF3857">
        <w:rPr>
          <w:rFonts w:asciiTheme="majorHAnsi" w:hAnsiTheme="majorHAnsi" w:cstheme="majorHAnsi"/>
          <w:sz w:val="24"/>
          <w:szCs w:val="24"/>
        </w:rPr>
        <w:t xml:space="preserve">option it had exercised </w:t>
      </w:r>
      <w:r w:rsidR="008A63CA" w:rsidRPr="00CF3857">
        <w:rPr>
          <w:rFonts w:asciiTheme="majorHAnsi" w:hAnsiTheme="majorHAnsi" w:cstheme="majorHAnsi"/>
          <w:sz w:val="24"/>
          <w:szCs w:val="24"/>
        </w:rPr>
        <w:t xml:space="preserve">should be implemented were contained in the proposed agreement. The applicant understood those terms to have been agreed, but as this is disputed by the first respondent, the proposed agreement was no more than an offer as to the additional terms not already determined by the option. </w:t>
      </w:r>
    </w:p>
    <w:p w:rsidR="00312812" w:rsidRDefault="001B6797" w:rsidP="00312812">
      <w:pPr>
        <w:pStyle w:val="ListParagraph"/>
        <w:numPr>
          <w:ilvl w:val="0"/>
          <w:numId w:val="1"/>
        </w:numPr>
        <w:spacing w:after="240" w:line="360" w:lineRule="auto"/>
        <w:contextualSpacing w:val="0"/>
        <w:jc w:val="both"/>
        <w:rPr>
          <w:rFonts w:asciiTheme="majorHAnsi" w:hAnsiTheme="majorHAnsi" w:cstheme="majorHAnsi"/>
          <w:sz w:val="24"/>
          <w:szCs w:val="24"/>
        </w:rPr>
      </w:pPr>
      <w:r>
        <w:rPr>
          <w:rFonts w:asciiTheme="majorHAnsi" w:hAnsiTheme="majorHAnsi" w:cstheme="majorHAnsi"/>
          <w:sz w:val="24"/>
          <w:szCs w:val="24"/>
        </w:rPr>
        <w:t xml:space="preserve">The </w:t>
      </w:r>
      <w:r w:rsidR="00BA5B1C">
        <w:rPr>
          <w:rFonts w:asciiTheme="majorHAnsi" w:hAnsiTheme="majorHAnsi" w:cstheme="majorHAnsi"/>
          <w:sz w:val="24"/>
          <w:szCs w:val="24"/>
        </w:rPr>
        <w:t>first respondent styles that offer as</w:t>
      </w:r>
      <w:r w:rsidR="008D4655">
        <w:rPr>
          <w:rFonts w:asciiTheme="majorHAnsi" w:hAnsiTheme="majorHAnsi" w:cstheme="majorHAnsi"/>
          <w:sz w:val="24"/>
          <w:szCs w:val="24"/>
        </w:rPr>
        <w:t xml:space="preserve"> destructive of an acceptance of the option because it was not at the price of R 900 000 stipulated in the option but  R 1,272 million. That contention </w:t>
      </w:r>
      <w:r w:rsidR="006713E6">
        <w:rPr>
          <w:rFonts w:asciiTheme="majorHAnsi" w:hAnsiTheme="majorHAnsi" w:cstheme="majorHAnsi"/>
          <w:sz w:val="24"/>
          <w:szCs w:val="24"/>
        </w:rPr>
        <w:t xml:space="preserve">cannot be sustained. </w:t>
      </w:r>
    </w:p>
    <w:p w:rsidR="00627461" w:rsidRPr="00312812" w:rsidRDefault="006713E6" w:rsidP="00312812">
      <w:pPr>
        <w:pStyle w:val="ListParagraph"/>
        <w:numPr>
          <w:ilvl w:val="0"/>
          <w:numId w:val="1"/>
        </w:numPr>
        <w:spacing w:after="240" w:line="360" w:lineRule="auto"/>
        <w:jc w:val="both"/>
        <w:rPr>
          <w:rFonts w:asciiTheme="majorHAnsi" w:hAnsiTheme="majorHAnsi" w:cstheme="majorHAnsi"/>
          <w:sz w:val="24"/>
          <w:szCs w:val="24"/>
        </w:rPr>
      </w:pPr>
      <w:r>
        <w:rPr>
          <w:rFonts w:asciiTheme="majorHAnsi" w:hAnsiTheme="majorHAnsi" w:cstheme="majorHAnsi"/>
          <w:sz w:val="24"/>
          <w:szCs w:val="24"/>
        </w:rPr>
        <w:t xml:space="preserve">The option stipulated a price and the letter did not purport to change that price, nor did the proposed agreement, which refers </w:t>
      </w:r>
      <w:r w:rsidR="00164D89">
        <w:rPr>
          <w:rFonts w:asciiTheme="majorHAnsi" w:hAnsiTheme="majorHAnsi" w:cstheme="majorHAnsi"/>
          <w:sz w:val="24"/>
          <w:szCs w:val="24"/>
        </w:rPr>
        <w:t xml:space="preserve">to </w:t>
      </w:r>
      <w:r>
        <w:rPr>
          <w:rFonts w:asciiTheme="majorHAnsi" w:hAnsiTheme="majorHAnsi" w:cstheme="majorHAnsi"/>
          <w:sz w:val="24"/>
          <w:szCs w:val="24"/>
        </w:rPr>
        <w:t>R 900 000 as the sum to be paid for the option to purchase, and to the</w:t>
      </w:r>
      <w:r w:rsidR="00312812">
        <w:rPr>
          <w:rFonts w:asciiTheme="majorHAnsi" w:hAnsiTheme="majorHAnsi" w:cstheme="majorHAnsi"/>
          <w:sz w:val="24"/>
          <w:szCs w:val="24"/>
        </w:rPr>
        <w:t xml:space="preserve"> amount</w:t>
      </w:r>
      <w:r>
        <w:rPr>
          <w:rFonts w:asciiTheme="majorHAnsi" w:hAnsiTheme="majorHAnsi" w:cstheme="majorHAnsi"/>
          <w:sz w:val="24"/>
          <w:szCs w:val="24"/>
        </w:rPr>
        <w:t xml:space="preserve"> of R 372 000 as ‘a separate amount’ in respect of the additional sub-divisional development costs arising from the creation of four erven. </w:t>
      </w:r>
      <w:r w:rsidRPr="00312812">
        <w:rPr>
          <w:rFonts w:asciiTheme="majorHAnsi" w:hAnsiTheme="majorHAnsi" w:cstheme="majorHAnsi"/>
          <w:sz w:val="24"/>
          <w:szCs w:val="24"/>
        </w:rPr>
        <w:t xml:space="preserve">The </w:t>
      </w:r>
      <w:r w:rsidR="001B6797" w:rsidRPr="00312812">
        <w:rPr>
          <w:rFonts w:asciiTheme="majorHAnsi" w:hAnsiTheme="majorHAnsi" w:cstheme="majorHAnsi"/>
          <w:sz w:val="24"/>
          <w:szCs w:val="24"/>
        </w:rPr>
        <w:t xml:space="preserve">fact that the proposed agreement contained an offer to pay </w:t>
      </w:r>
      <w:r w:rsidR="00BA5B1C" w:rsidRPr="00312812">
        <w:rPr>
          <w:rFonts w:asciiTheme="majorHAnsi" w:hAnsiTheme="majorHAnsi" w:cstheme="majorHAnsi"/>
          <w:sz w:val="24"/>
          <w:szCs w:val="24"/>
        </w:rPr>
        <w:t xml:space="preserve">amounts in </w:t>
      </w:r>
      <w:r w:rsidRPr="00312812">
        <w:rPr>
          <w:rFonts w:asciiTheme="majorHAnsi" w:hAnsiTheme="majorHAnsi" w:cstheme="majorHAnsi"/>
          <w:sz w:val="24"/>
          <w:szCs w:val="24"/>
        </w:rPr>
        <w:t xml:space="preserve">addition to </w:t>
      </w:r>
      <w:r w:rsidR="00BA5B1C" w:rsidRPr="00312812">
        <w:rPr>
          <w:rFonts w:asciiTheme="majorHAnsi" w:hAnsiTheme="majorHAnsi" w:cstheme="majorHAnsi"/>
          <w:sz w:val="24"/>
          <w:szCs w:val="24"/>
        </w:rPr>
        <w:t>the option price, specifically described as being separate</w:t>
      </w:r>
      <w:r w:rsidRPr="00312812">
        <w:rPr>
          <w:rFonts w:asciiTheme="majorHAnsi" w:hAnsiTheme="majorHAnsi" w:cstheme="majorHAnsi"/>
          <w:sz w:val="24"/>
          <w:szCs w:val="24"/>
        </w:rPr>
        <w:t xml:space="preserve">, does not mean that the applicant had failed to exercise the option at the stipulated price. </w:t>
      </w:r>
    </w:p>
    <w:p w:rsidR="00286498" w:rsidRPr="00286498" w:rsidRDefault="00286498" w:rsidP="00286498">
      <w:pPr>
        <w:pStyle w:val="ListParagraph"/>
        <w:rPr>
          <w:rFonts w:asciiTheme="majorHAnsi" w:hAnsiTheme="majorHAnsi" w:cstheme="majorHAnsi"/>
          <w:sz w:val="24"/>
          <w:szCs w:val="24"/>
        </w:rPr>
      </w:pPr>
    </w:p>
    <w:p w:rsidR="00286498" w:rsidRPr="001D5A19" w:rsidRDefault="00286498" w:rsidP="001D5A19">
      <w:pPr>
        <w:pStyle w:val="ListParagraph"/>
        <w:numPr>
          <w:ilvl w:val="0"/>
          <w:numId w:val="1"/>
        </w:numPr>
        <w:spacing w:after="240" w:line="360" w:lineRule="auto"/>
        <w:jc w:val="both"/>
        <w:rPr>
          <w:rFonts w:asciiTheme="majorHAnsi" w:hAnsiTheme="majorHAnsi" w:cstheme="majorHAnsi"/>
          <w:sz w:val="24"/>
          <w:szCs w:val="24"/>
        </w:rPr>
      </w:pPr>
      <w:r>
        <w:rPr>
          <w:rFonts w:asciiTheme="majorHAnsi" w:hAnsiTheme="majorHAnsi" w:cstheme="majorHAnsi"/>
          <w:sz w:val="24"/>
          <w:szCs w:val="24"/>
        </w:rPr>
        <w:t xml:space="preserve">The first respondent also contends that the option was not validly exercised as the </w:t>
      </w:r>
      <w:r w:rsidR="00164D89">
        <w:rPr>
          <w:rFonts w:asciiTheme="majorHAnsi" w:hAnsiTheme="majorHAnsi" w:cstheme="majorHAnsi"/>
          <w:sz w:val="24"/>
          <w:szCs w:val="24"/>
        </w:rPr>
        <w:t xml:space="preserve">purchase </w:t>
      </w:r>
      <w:r>
        <w:rPr>
          <w:rFonts w:asciiTheme="majorHAnsi" w:hAnsiTheme="majorHAnsi" w:cstheme="majorHAnsi"/>
          <w:sz w:val="24"/>
          <w:szCs w:val="24"/>
        </w:rPr>
        <w:t xml:space="preserve">price was not tendered. </w:t>
      </w:r>
      <w:r w:rsidR="001D5A19">
        <w:rPr>
          <w:rFonts w:asciiTheme="majorHAnsi" w:hAnsiTheme="majorHAnsi" w:cstheme="majorHAnsi"/>
          <w:sz w:val="24"/>
          <w:szCs w:val="24"/>
        </w:rPr>
        <w:t xml:space="preserve">There is in my view no merit to this contention. </w:t>
      </w:r>
      <w:r>
        <w:rPr>
          <w:rFonts w:asciiTheme="majorHAnsi" w:hAnsiTheme="majorHAnsi" w:cstheme="majorHAnsi"/>
          <w:sz w:val="24"/>
          <w:szCs w:val="24"/>
        </w:rPr>
        <w:t xml:space="preserve">Clause 6.3 of the sale agreement only required payment against transfer. </w:t>
      </w:r>
      <w:r w:rsidR="001D5A19">
        <w:rPr>
          <w:rFonts w:asciiTheme="majorHAnsi" w:hAnsiTheme="majorHAnsi" w:cstheme="majorHAnsi"/>
          <w:sz w:val="24"/>
          <w:szCs w:val="24"/>
        </w:rPr>
        <w:t xml:space="preserve">In an email dated </w:t>
      </w:r>
      <w:r w:rsidR="001D5A19" w:rsidRPr="001D5A19">
        <w:rPr>
          <w:rFonts w:asciiTheme="majorHAnsi" w:hAnsiTheme="majorHAnsi" w:cstheme="majorHAnsi"/>
          <w:sz w:val="24"/>
          <w:szCs w:val="24"/>
        </w:rPr>
        <w:t>16 March 2022</w:t>
      </w:r>
      <w:r w:rsidRPr="001D5A19">
        <w:rPr>
          <w:rFonts w:asciiTheme="majorHAnsi" w:hAnsiTheme="majorHAnsi" w:cstheme="majorHAnsi"/>
          <w:sz w:val="24"/>
          <w:szCs w:val="24"/>
        </w:rPr>
        <w:t xml:space="preserve"> </w:t>
      </w:r>
      <w:r w:rsidR="001D5A19" w:rsidRPr="001D5A19">
        <w:rPr>
          <w:rFonts w:asciiTheme="majorHAnsi" w:hAnsiTheme="majorHAnsi" w:cstheme="majorHAnsi"/>
          <w:sz w:val="24"/>
          <w:szCs w:val="24"/>
        </w:rPr>
        <w:t>Mr Rool</w:t>
      </w:r>
      <w:r w:rsidR="001D5A19">
        <w:rPr>
          <w:rFonts w:asciiTheme="majorHAnsi" w:hAnsiTheme="majorHAnsi" w:cstheme="majorHAnsi"/>
          <w:sz w:val="24"/>
          <w:szCs w:val="24"/>
        </w:rPr>
        <w:t xml:space="preserve">f </w:t>
      </w:r>
      <w:r w:rsidR="001D5A19" w:rsidRPr="001D5A19">
        <w:rPr>
          <w:rFonts w:asciiTheme="majorHAnsi" w:hAnsiTheme="majorHAnsi" w:cstheme="majorHAnsi"/>
          <w:sz w:val="24"/>
          <w:szCs w:val="24"/>
        </w:rPr>
        <w:t xml:space="preserve"> recorded</w:t>
      </w:r>
      <w:r w:rsidR="001D5A19">
        <w:rPr>
          <w:rFonts w:asciiTheme="majorHAnsi" w:hAnsiTheme="majorHAnsi" w:cstheme="majorHAnsi"/>
          <w:sz w:val="24"/>
          <w:szCs w:val="24"/>
        </w:rPr>
        <w:t xml:space="preserve"> that the</w:t>
      </w:r>
      <w:r w:rsidR="001D5A19" w:rsidRPr="001D5A19">
        <w:rPr>
          <w:rFonts w:asciiTheme="majorHAnsi" w:hAnsiTheme="majorHAnsi" w:cstheme="majorHAnsi"/>
          <w:sz w:val="24"/>
          <w:szCs w:val="24"/>
        </w:rPr>
        <w:t xml:space="preserve"> </w:t>
      </w:r>
      <w:r w:rsidRPr="001D5A19">
        <w:rPr>
          <w:rFonts w:asciiTheme="majorHAnsi" w:hAnsiTheme="majorHAnsi" w:cstheme="majorHAnsi"/>
          <w:sz w:val="24"/>
          <w:szCs w:val="24"/>
        </w:rPr>
        <w:t xml:space="preserve">first respondent had not yet serviced the four subdivisions and could not therefore secure the section 53 certificates required to pass transfer. Payment of the </w:t>
      </w:r>
      <w:r w:rsidR="00312812">
        <w:rPr>
          <w:rFonts w:asciiTheme="majorHAnsi" w:hAnsiTheme="majorHAnsi" w:cstheme="majorHAnsi"/>
          <w:sz w:val="24"/>
          <w:szCs w:val="24"/>
        </w:rPr>
        <w:t xml:space="preserve">purchase </w:t>
      </w:r>
      <w:r w:rsidRPr="001D5A19">
        <w:rPr>
          <w:rFonts w:asciiTheme="majorHAnsi" w:hAnsiTheme="majorHAnsi" w:cstheme="majorHAnsi"/>
          <w:sz w:val="24"/>
          <w:szCs w:val="24"/>
        </w:rPr>
        <w:t xml:space="preserve">price was however tendered and secured in the applicant’s attorneys’ trust account April 2022 which is shortly after the certificates of registered title were issued and the first respondent was in a position to pass transfer. </w:t>
      </w:r>
    </w:p>
    <w:p w:rsidR="006713E6" w:rsidRPr="006713E6" w:rsidRDefault="006713E6" w:rsidP="006713E6">
      <w:pPr>
        <w:pStyle w:val="ListParagraph"/>
        <w:rPr>
          <w:rFonts w:asciiTheme="majorHAnsi" w:hAnsiTheme="majorHAnsi" w:cstheme="majorHAnsi"/>
          <w:sz w:val="24"/>
          <w:szCs w:val="24"/>
        </w:rPr>
      </w:pPr>
    </w:p>
    <w:p w:rsidR="006713E6" w:rsidRDefault="006713E6" w:rsidP="006713E6">
      <w:pPr>
        <w:pStyle w:val="ListParagraph"/>
        <w:numPr>
          <w:ilvl w:val="0"/>
          <w:numId w:val="1"/>
        </w:numPr>
        <w:spacing w:after="240" w:line="360" w:lineRule="auto"/>
        <w:jc w:val="both"/>
        <w:rPr>
          <w:rFonts w:asciiTheme="majorHAnsi" w:hAnsiTheme="majorHAnsi" w:cstheme="majorHAnsi"/>
          <w:sz w:val="24"/>
          <w:szCs w:val="24"/>
        </w:rPr>
      </w:pPr>
      <w:r>
        <w:rPr>
          <w:rFonts w:asciiTheme="majorHAnsi" w:hAnsiTheme="majorHAnsi" w:cstheme="majorHAnsi"/>
          <w:sz w:val="24"/>
          <w:szCs w:val="24"/>
        </w:rPr>
        <w:t xml:space="preserve">I consequently find that the exercise of the option was conveyed in writing as required by the letter of 31 July 2015. </w:t>
      </w:r>
    </w:p>
    <w:p w:rsidR="00632A6D" w:rsidRDefault="00632A6D" w:rsidP="00632A6D">
      <w:pPr>
        <w:pStyle w:val="ListParagraph"/>
        <w:spacing w:after="240" w:line="360" w:lineRule="auto"/>
        <w:ind w:left="0"/>
        <w:jc w:val="both"/>
        <w:rPr>
          <w:rFonts w:asciiTheme="majorHAnsi" w:hAnsiTheme="majorHAnsi" w:cstheme="majorHAnsi"/>
          <w:sz w:val="24"/>
          <w:szCs w:val="24"/>
        </w:rPr>
      </w:pPr>
    </w:p>
    <w:p w:rsidR="00035C80" w:rsidRPr="00164D89" w:rsidRDefault="00501C46" w:rsidP="00164D89">
      <w:pPr>
        <w:pStyle w:val="ListParagraph"/>
        <w:numPr>
          <w:ilvl w:val="0"/>
          <w:numId w:val="1"/>
        </w:numPr>
        <w:spacing w:after="240" w:line="360" w:lineRule="auto"/>
        <w:jc w:val="both"/>
        <w:rPr>
          <w:rFonts w:asciiTheme="majorHAnsi" w:hAnsiTheme="majorHAnsi" w:cstheme="majorHAnsi"/>
          <w:sz w:val="24"/>
          <w:szCs w:val="24"/>
        </w:rPr>
      </w:pPr>
      <w:r>
        <w:rPr>
          <w:rFonts w:asciiTheme="majorHAnsi" w:hAnsiTheme="majorHAnsi" w:cstheme="majorHAnsi"/>
          <w:sz w:val="24"/>
          <w:szCs w:val="24"/>
        </w:rPr>
        <w:t>Ordinarily that would mean that the first respondent should be directed to do all such things as might be necessary to transfer the land comprising the House Sub</w:t>
      </w:r>
      <w:r w:rsidR="000A4B65">
        <w:rPr>
          <w:rFonts w:asciiTheme="majorHAnsi" w:hAnsiTheme="majorHAnsi" w:cstheme="majorHAnsi"/>
          <w:sz w:val="24"/>
          <w:szCs w:val="24"/>
        </w:rPr>
        <w:t>-</w:t>
      </w:r>
      <w:r>
        <w:rPr>
          <w:rFonts w:asciiTheme="majorHAnsi" w:hAnsiTheme="majorHAnsi" w:cstheme="majorHAnsi"/>
          <w:sz w:val="24"/>
          <w:szCs w:val="24"/>
        </w:rPr>
        <w:t>division as defined in the sale agreement</w:t>
      </w:r>
      <w:r w:rsidR="00164D89">
        <w:rPr>
          <w:rFonts w:asciiTheme="majorHAnsi" w:hAnsiTheme="majorHAnsi" w:cstheme="majorHAnsi"/>
          <w:sz w:val="24"/>
          <w:szCs w:val="24"/>
        </w:rPr>
        <w:t xml:space="preserve"> without more</w:t>
      </w:r>
      <w:r>
        <w:rPr>
          <w:rFonts w:asciiTheme="majorHAnsi" w:hAnsiTheme="majorHAnsi" w:cstheme="majorHAnsi"/>
          <w:sz w:val="24"/>
          <w:szCs w:val="24"/>
        </w:rPr>
        <w:t xml:space="preserve">. </w:t>
      </w:r>
      <w:r w:rsidR="00035C80" w:rsidRPr="00035C80">
        <w:rPr>
          <w:rFonts w:asciiTheme="majorHAnsi" w:hAnsiTheme="majorHAnsi" w:cstheme="majorHAnsi"/>
          <w:sz w:val="24"/>
          <w:szCs w:val="24"/>
        </w:rPr>
        <w:t>However, first respondent contends that the agreement of sale only obliged it to provide the House Sub-division with access to supply routes for the provision of services, not the services themselves. That being so, the argument ran, it could only be compelled to give transfer of those erven to the applicant against payment of the costs of providing the services to them, alternatively payment of the sum representing the difference between the cost of providing services to the four subdivisions and to a single subdivision</w:t>
      </w:r>
      <w:r w:rsidR="00164D89">
        <w:rPr>
          <w:rFonts w:asciiTheme="majorHAnsi" w:hAnsiTheme="majorHAnsi" w:cstheme="majorHAnsi"/>
          <w:sz w:val="24"/>
          <w:szCs w:val="24"/>
        </w:rPr>
        <w:t xml:space="preserve"> if </w:t>
      </w:r>
      <w:r w:rsidR="00035C80" w:rsidRPr="00035C80">
        <w:rPr>
          <w:rFonts w:asciiTheme="majorHAnsi" w:hAnsiTheme="majorHAnsi" w:cstheme="majorHAnsi"/>
          <w:sz w:val="24"/>
          <w:szCs w:val="24"/>
        </w:rPr>
        <w:t>one</w:t>
      </w:r>
      <w:r w:rsidR="00164D89">
        <w:rPr>
          <w:rFonts w:asciiTheme="majorHAnsi" w:hAnsiTheme="majorHAnsi" w:cstheme="majorHAnsi"/>
          <w:sz w:val="24"/>
          <w:szCs w:val="24"/>
        </w:rPr>
        <w:t xml:space="preserve"> had </w:t>
      </w:r>
      <w:r w:rsidR="00035C80" w:rsidRPr="00035C80">
        <w:rPr>
          <w:rFonts w:asciiTheme="majorHAnsi" w:hAnsiTheme="majorHAnsi" w:cstheme="majorHAnsi"/>
          <w:sz w:val="24"/>
          <w:szCs w:val="24"/>
        </w:rPr>
        <w:t xml:space="preserve"> been created. </w:t>
      </w:r>
      <w:r w:rsidR="00035C80" w:rsidRPr="00164D89">
        <w:rPr>
          <w:rFonts w:asciiTheme="majorHAnsi" w:hAnsiTheme="majorHAnsi" w:cstheme="majorHAnsi"/>
          <w:sz w:val="24"/>
          <w:szCs w:val="24"/>
        </w:rPr>
        <w:t xml:space="preserve">It is therefore necessary to consider whether a rider to this effect should be included in the order compelling transfer. </w:t>
      </w:r>
    </w:p>
    <w:p w:rsidR="00035C80" w:rsidRPr="00035C80" w:rsidRDefault="00035C80" w:rsidP="00035C80">
      <w:pPr>
        <w:pStyle w:val="ListParagraph"/>
        <w:spacing w:after="240" w:line="360" w:lineRule="auto"/>
        <w:ind w:left="0"/>
        <w:jc w:val="both"/>
        <w:rPr>
          <w:rFonts w:asciiTheme="majorHAnsi" w:hAnsiTheme="majorHAnsi" w:cstheme="majorHAnsi"/>
          <w:sz w:val="24"/>
          <w:szCs w:val="24"/>
        </w:rPr>
      </w:pPr>
    </w:p>
    <w:p w:rsidR="00035C80" w:rsidRPr="00035C80" w:rsidRDefault="00035C80" w:rsidP="00035C80">
      <w:pPr>
        <w:pStyle w:val="ListParagraph"/>
        <w:spacing w:after="240" w:line="360" w:lineRule="auto"/>
        <w:ind w:left="0"/>
        <w:contextualSpacing w:val="0"/>
        <w:jc w:val="both"/>
        <w:rPr>
          <w:rFonts w:asciiTheme="majorHAnsi" w:hAnsiTheme="majorHAnsi" w:cstheme="majorHAnsi"/>
          <w:b/>
          <w:bCs/>
          <w:sz w:val="24"/>
          <w:szCs w:val="24"/>
        </w:rPr>
      </w:pPr>
      <w:r w:rsidRPr="00632A6D">
        <w:rPr>
          <w:rFonts w:asciiTheme="majorHAnsi" w:hAnsiTheme="majorHAnsi" w:cstheme="majorHAnsi"/>
          <w:b/>
          <w:bCs/>
          <w:sz w:val="24"/>
          <w:szCs w:val="24"/>
        </w:rPr>
        <w:t xml:space="preserve">The cost of servicing the four subdivisions </w:t>
      </w:r>
    </w:p>
    <w:p w:rsidR="00D04817" w:rsidRDefault="006C2B8B" w:rsidP="00D04817">
      <w:pPr>
        <w:pStyle w:val="ListParagraph"/>
        <w:numPr>
          <w:ilvl w:val="0"/>
          <w:numId w:val="1"/>
        </w:numPr>
        <w:spacing w:after="240" w:line="360" w:lineRule="auto"/>
        <w:jc w:val="both"/>
        <w:rPr>
          <w:rFonts w:asciiTheme="majorHAnsi" w:hAnsiTheme="majorHAnsi" w:cstheme="majorHAnsi"/>
          <w:sz w:val="24"/>
          <w:szCs w:val="24"/>
        </w:rPr>
      </w:pPr>
      <w:r>
        <w:rPr>
          <w:rFonts w:asciiTheme="majorHAnsi" w:hAnsiTheme="majorHAnsi" w:cstheme="majorHAnsi"/>
          <w:sz w:val="24"/>
          <w:szCs w:val="24"/>
        </w:rPr>
        <w:t xml:space="preserve">The first respondent has not stated that it has in fact supplied services to the four subdivisions. </w:t>
      </w:r>
      <w:r w:rsidR="00164D89">
        <w:rPr>
          <w:rFonts w:asciiTheme="majorHAnsi" w:hAnsiTheme="majorHAnsi" w:cstheme="majorHAnsi"/>
          <w:sz w:val="24"/>
          <w:szCs w:val="24"/>
        </w:rPr>
        <w:t xml:space="preserve">This had apparently not yet occurred by the time the replying affidavits were filed. </w:t>
      </w:r>
      <w:r w:rsidRPr="006C2B8B">
        <w:rPr>
          <w:rFonts w:asciiTheme="majorHAnsi" w:hAnsiTheme="majorHAnsi" w:cstheme="majorHAnsi"/>
          <w:sz w:val="24"/>
          <w:szCs w:val="24"/>
        </w:rPr>
        <w:t xml:space="preserve">It is however apparent from the amended ROD that </w:t>
      </w:r>
      <w:r w:rsidR="00164D89">
        <w:rPr>
          <w:rFonts w:asciiTheme="majorHAnsi" w:hAnsiTheme="majorHAnsi" w:cstheme="majorHAnsi"/>
          <w:sz w:val="24"/>
          <w:szCs w:val="24"/>
        </w:rPr>
        <w:t>the first respondent</w:t>
      </w:r>
      <w:r w:rsidRPr="006C2B8B">
        <w:rPr>
          <w:rFonts w:asciiTheme="majorHAnsi" w:hAnsiTheme="majorHAnsi" w:cstheme="majorHAnsi"/>
          <w:sz w:val="24"/>
          <w:szCs w:val="24"/>
        </w:rPr>
        <w:t xml:space="preserve"> will need to</w:t>
      </w:r>
      <w:r w:rsidR="00164D89">
        <w:rPr>
          <w:rFonts w:asciiTheme="majorHAnsi" w:hAnsiTheme="majorHAnsi" w:cstheme="majorHAnsi"/>
          <w:sz w:val="24"/>
          <w:szCs w:val="24"/>
        </w:rPr>
        <w:t xml:space="preserve">  provide services to the boundaries of all four subdivisions </w:t>
      </w:r>
      <w:r w:rsidRPr="006C2B8B">
        <w:rPr>
          <w:rFonts w:asciiTheme="majorHAnsi" w:hAnsiTheme="majorHAnsi" w:cstheme="majorHAnsi"/>
          <w:sz w:val="24"/>
          <w:szCs w:val="24"/>
        </w:rPr>
        <w:t xml:space="preserve">in order to pass transfer to the applicant. I therefore deal with this argument on the basis that the first respondent either </w:t>
      </w:r>
      <w:r w:rsidR="00903AD6">
        <w:rPr>
          <w:rFonts w:asciiTheme="majorHAnsi" w:hAnsiTheme="majorHAnsi" w:cstheme="majorHAnsi"/>
          <w:sz w:val="24"/>
          <w:szCs w:val="24"/>
        </w:rPr>
        <w:t xml:space="preserve">already </w:t>
      </w:r>
      <w:r w:rsidRPr="006C2B8B">
        <w:rPr>
          <w:rFonts w:asciiTheme="majorHAnsi" w:hAnsiTheme="majorHAnsi" w:cstheme="majorHAnsi"/>
          <w:sz w:val="24"/>
          <w:szCs w:val="24"/>
        </w:rPr>
        <w:t xml:space="preserve">has or will have to incur </w:t>
      </w:r>
      <w:r>
        <w:rPr>
          <w:rFonts w:asciiTheme="majorHAnsi" w:hAnsiTheme="majorHAnsi" w:cstheme="majorHAnsi"/>
          <w:sz w:val="24"/>
          <w:szCs w:val="24"/>
        </w:rPr>
        <w:t xml:space="preserve">the </w:t>
      </w:r>
      <w:r w:rsidRPr="006C2B8B">
        <w:rPr>
          <w:rFonts w:asciiTheme="majorHAnsi" w:hAnsiTheme="majorHAnsi" w:cstheme="majorHAnsi"/>
          <w:sz w:val="24"/>
          <w:szCs w:val="24"/>
        </w:rPr>
        <w:t xml:space="preserve">costs </w:t>
      </w:r>
      <w:r>
        <w:rPr>
          <w:rFonts w:asciiTheme="majorHAnsi" w:hAnsiTheme="majorHAnsi" w:cstheme="majorHAnsi"/>
          <w:sz w:val="24"/>
          <w:szCs w:val="24"/>
        </w:rPr>
        <w:t xml:space="preserve">of servicing the four subdivisions. </w:t>
      </w:r>
    </w:p>
    <w:p w:rsidR="00E16E37" w:rsidRDefault="00E16E37" w:rsidP="00E16E37">
      <w:pPr>
        <w:pStyle w:val="ListParagraph"/>
        <w:spacing w:after="240" w:line="360" w:lineRule="auto"/>
        <w:ind w:left="0"/>
        <w:jc w:val="both"/>
        <w:rPr>
          <w:rFonts w:asciiTheme="majorHAnsi" w:hAnsiTheme="majorHAnsi" w:cstheme="majorHAnsi"/>
          <w:sz w:val="24"/>
          <w:szCs w:val="24"/>
        </w:rPr>
      </w:pPr>
    </w:p>
    <w:p w:rsidR="00164D89" w:rsidRDefault="00164D89" w:rsidP="00164D89">
      <w:pPr>
        <w:pStyle w:val="ListParagraph"/>
        <w:numPr>
          <w:ilvl w:val="0"/>
          <w:numId w:val="1"/>
        </w:numPr>
        <w:spacing w:after="240" w:line="360" w:lineRule="auto"/>
        <w:contextualSpacing w:val="0"/>
        <w:jc w:val="both"/>
        <w:rPr>
          <w:rFonts w:asciiTheme="majorHAnsi" w:hAnsiTheme="majorHAnsi" w:cstheme="majorHAnsi"/>
          <w:sz w:val="24"/>
          <w:szCs w:val="24"/>
        </w:rPr>
      </w:pPr>
      <w:r w:rsidRPr="001D5DFA">
        <w:rPr>
          <w:rFonts w:asciiTheme="majorHAnsi" w:hAnsiTheme="majorHAnsi" w:cstheme="majorHAnsi"/>
          <w:sz w:val="24"/>
          <w:szCs w:val="24"/>
        </w:rPr>
        <w:t xml:space="preserve">The first respondent </w:t>
      </w:r>
      <w:r>
        <w:rPr>
          <w:rFonts w:asciiTheme="majorHAnsi" w:hAnsiTheme="majorHAnsi" w:cstheme="majorHAnsi"/>
          <w:sz w:val="24"/>
          <w:szCs w:val="24"/>
        </w:rPr>
        <w:t>submitted that as clause 6.5 only requires it to provide supply routes for amenities, the applicant ought to pay for the costs of the services installed to each of the four sub-divisions as this is a benefit to which the applicant is not contractually entitled. The clause reads as follows:</w:t>
      </w:r>
    </w:p>
    <w:p w:rsidR="00E16E37" w:rsidRDefault="00E16E37" w:rsidP="00E16E37">
      <w:pPr>
        <w:pStyle w:val="ListParagraph"/>
        <w:tabs>
          <w:tab w:val="left" w:pos="1418"/>
        </w:tabs>
        <w:spacing w:after="240" w:line="360" w:lineRule="auto"/>
        <w:ind w:left="1985" w:right="1365" w:hanging="567"/>
        <w:jc w:val="both"/>
        <w:rPr>
          <w:rFonts w:asciiTheme="majorHAnsi" w:hAnsiTheme="majorHAnsi" w:cstheme="majorHAnsi"/>
        </w:rPr>
      </w:pPr>
      <w:r w:rsidRPr="008D5602">
        <w:rPr>
          <w:rFonts w:asciiTheme="majorHAnsi" w:hAnsiTheme="majorHAnsi" w:cstheme="majorHAnsi"/>
        </w:rPr>
        <w:t>6.</w:t>
      </w:r>
      <w:r w:rsidR="00164D89">
        <w:rPr>
          <w:rFonts w:asciiTheme="majorHAnsi" w:hAnsiTheme="majorHAnsi" w:cstheme="majorHAnsi"/>
        </w:rPr>
        <w:t>5</w:t>
      </w:r>
      <w:r w:rsidRPr="008D5602">
        <w:rPr>
          <w:rFonts w:asciiTheme="majorHAnsi" w:hAnsiTheme="majorHAnsi" w:cstheme="majorHAnsi"/>
        </w:rPr>
        <w:tab/>
        <w:t>Simultaneously with the transfer of the House Sub</w:t>
      </w:r>
      <w:r w:rsidRPr="00A74C32">
        <w:rPr>
          <w:rFonts w:asciiTheme="majorHAnsi" w:hAnsiTheme="majorHAnsi" w:cstheme="majorHAnsi"/>
        </w:rPr>
        <w:t>-division into the name of the Seller the Purchaser shall cause to be registered over the whole of the remainder of the property sold by the Seller to the Purchaser, a six</w:t>
      </w:r>
      <w:r>
        <w:rPr>
          <w:rFonts w:asciiTheme="majorHAnsi" w:hAnsiTheme="majorHAnsi" w:cstheme="majorHAnsi"/>
        </w:rPr>
        <w:t xml:space="preserve"> </w:t>
      </w:r>
      <w:r w:rsidRPr="00A74C32">
        <w:rPr>
          <w:rFonts w:asciiTheme="majorHAnsi" w:hAnsiTheme="majorHAnsi" w:cstheme="majorHAnsi"/>
        </w:rPr>
        <w:t xml:space="preserve">(6) metre general right of way servitude in favour of the Seller as owner of the House Sub-division granting it full access to the House Sub-division from the Public Road together with </w:t>
      </w:r>
      <w:r w:rsidRPr="00A74C32">
        <w:rPr>
          <w:rFonts w:asciiTheme="majorHAnsi" w:hAnsiTheme="majorHAnsi" w:cstheme="majorHAnsi"/>
          <w:i/>
          <w:iCs/>
        </w:rPr>
        <w:t>electricity, water and amenities supply routes therein</w:t>
      </w:r>
      <w:r w:rsidRPr="00A74C32">
        <w:rPr>
          <w:rFonts w:asciiTheme="majorHAnsi" w:hAnsiTheme="majorHAnsi" w:cstheme="majorHAnsi"/>
        </w:rPr>
        <w:t>.  The exact final location and route of such servitude shall be decided by agreement by the Parties after a sub-divisional development plan has been formulated by the Purchaser and shall be recorded in a servitude diagram to be approved by the Surveyor General at the cost of the Purchaser under this Sale Agreement.’</w:t>
      </w:r>
      <w:r>
        <w:rPr>
          <w:rFonts w:asciiTheme="majorHAnsi" w:hAnsiTheme="majorHAnsi" w:cstheme="majorHAnsi"/>
        </w:rPr>
        <w:t xml:space="preserve"> </w:t>
      </w:r>
      <w:r w:rsidRPr="00164D89">
        <w:rPr>
          <w:rFonts w:asciiTheme="majorHAnsi" w:hAnsiTheme="majorHAnsi" w:cstheme="majorHAnsi"/>
          <w:sz w:val="24"/>
          <w:szCs w:val="24"/>
        </w:rPr>
        <w:t>(emphasis added)</w:t>
      </w:r>
    </w:p>
    <w:p w:rsidR="00E16E37" w:rsidRDefault="00E16E37" w:rsidP="00E16E37">
      <w:pPr>
        <w:pStyle w:val="ListParagraph"/>
        <w:tabs>
          <w:tab w:val="left" w:pos="1418"/>
        </w:tabs>
        <w:spacing w:after="240" w:line="360" w:lineRule="auto"/>
        <w:ind w:left="1985" w:right="1365" w:hanging="567"/>
        <w:jc w:val="both"/>
        <w:rPr>
          <w:rFonts w:asciiTheme="majorHAnsi" w:hAnsiTheme="majorHAnsi" w:cstheme="majorHAnsi"/>
        </w:rPr>
      </w:pPr>
    </w:p>
    <w:p w:rsidR="00685520" w:rsidRDefault="00D04817" w:rsidP="00D04817">
      <w:pPr>
        <w:pStyle w:val="ListParagraph"/>
        <w:numPr>
          <w:ilvl w:val="0"/>
          <w:numId w:val="1"/>
        </w:numPr>
        <w:spacing w:after="240" w:line="360" w:lineRule="auto"/>
        <w:jc w:val="both"/>
        <w:rPr>
          <w:rFonts w:asciiTheme="majorHAnsi" w:hAnsiTheme="majorHAnsi" w:cstheme="majorHAnsi"/>
          <w:sz w:val="24"/>
          <w:szCs w:val="24"/>
        </w:rPr>
      </w:pPr>
      <w:r>
        <w:rPr>
          <w:rFonts w:asciiTheme="majorHAnsi" w:hAnsiTheme="majorHAnsi" w:cstheme="majorHAnsi"/>
          <w:sz w:val="24"/>
          <w:szCs w:val="24"/>
        </w:rPr>
        <w:t xml:space="preserve">Clause 6.5 of the sale agreement cannot be read in isolation. It must be read with clause 6.4 </w:t>
      </w:r>
      <w:r w:rsidR="00685520">
        <w:rPr>
          <w:rFonts w:asciiTheme="majorHAnsi" w:hAnsiTheme="majorHAnsi" w:cstheme="majorHAnsi"/>
          <w:sz w:val="24"/>
          <w:szCs w:val="24"/>
        </w:rPr>
        <w:t>which provides:</w:t>
      </w:r>
    </w:p>
    <w:p w:rsidR="00685520" w:rsidRPr="00685520" w:rsidRDefault="00685520" w:rsidP="00685520">
      <w:pPr>
        <w:pStyle w:val="ListParagraph"/>
        <w:rPr>
          <w:rFonts w:asciiTheme="majorHAnsi" w:hAnsiTheme="majorHAnsi" w:cstheme="majorHAnsi"/>
          <w:sz w:val="24"/>
          <w:szCs w:val="24"/>
        </w:rPr>
      </w:pPr>
    </w:p>
    <w:p w:rsidR="00685520" w:rsidRPr="008D5602" w:rsidRDefault="00685520" w:rsidP="00F633F8">
      <w:pPr>
        <w:pStyle w:val="ListParagraph"/>
        <w:spacing w:after="120" w:line="360" w:lineRule="auto"/>
        <w:ind w:left="1985" w:right="1365" w:hanging="567"/>
        <w:contextualSpacing w:val="0"/>
        <w:jc w:val="both"/>
        <w:rPr>
          <w:rFonts w:asciiTheme="majorHAnsi" w:hAnsiTheme="majorHAnsi" w:cstheme="majorHAnsi"/>
        </w:rPr>
      </w:pPr>
      <w:r w:rsidRPr="00A74C32">
        <w:rPr>
          <w:rFonts w:asciiTheme="majorHAnsi" w:hAnsiTheme="majorHAnsi" w:cstheme="majorHAnsi"/>
        </w:rPr>
        <w:t>‘6.</w:t>
      </w:r>
      <w:r>
        <w:rPr>
          <w:rFonts w:asciiTheme="majorHAnsi" w:hAnsiTheme="majorHAnsi" w:cstheme="majorHAnsi"/>
        </w:rPr>
        <w:t>4</w:t>
      </w:r>
      <w:r w:rsidRPr="00A74C32">
        <w:rPr>
          <w:rFonts w:asciiTheme="majorHAnsi" w:hAnsiTheme="majorHAnsi" w:cstheme="majorHAnsi"/>
        </w:rPr>
        <w:tab/>
        <w:t xml:space="preserve">The Purchaser under the current Sale Agreement as the new registered owner of the whole property shall pay for and be </w:t>
      </w:r>
      <w:r w:rsidRPr="008D5602">
        <w:rPr>
          <w:rFonts w:asciiTheme="majorHAnsi" w:hAnsiTheme="majorHAnsi" w:cstheme="majorHAnsi"/>
          <w:i/>
          <w:iCs/>
        </w:rPr>
        <w:t>liable for all of the costs of creation of the new House Sub-division including survey and compliance with all conditions of approval and other regulatory approvals required in law so as to give effect to the registrability of the House Sub-division</w:t>
      </w:r>
      <w:r>
        <w:rPr>
          <w:rFonts w:asciiTheme="majorHAnsi" w:hAnsiTheme="majorHAnsi" w:cstheme="majorHAnsi"/>
        </w:rPr>
        <w:t>. T</w:t>
      </w:r>
      <w:r w:rsidRPr="00A74C32">
        <w:rPr>
          <w:rFonts w:asciiTheme="majorHAnsi" w:hAnsiTheme="majorHAnsi" w:cstheme="majorHAnsi"/>
        </w:rPr>
        <w:t xml:space="preserve">he transfer documents and registration into the Purchaser’s name shall be prepared and registered by the Conveyancers at the cost of Zenith </w:t>
      </w:r>
      <w:r w:rsidRPr="008D5602">
        <w:rPr>
          <w:rFonts w:asciiTheme="majorHAnsi" w:hAnsiTheme="majorHAnsi" w:cstheme="majorHAnsi"/>
        </w:rPr>
        <w:t>Estates CC.</w:t>
      </w:r>
      <w:r w:rsidR="000A4B65">
        <w:rPr>
          <w:rFonts w:asciiTheme="majorHAnsi" w:hAnsiTheme="majorHAnsi" w:cstheme="majorHAnsi"/>
        </w:rPr>
        <w:t xml:space="preserve">’ </w:t>
      </w:r>
      <w:r w:rsidR="000A4B65" w:rsidRPr="000A4B65">
        <w:rPr>
          <w:rFonts w:asciiTheme="majorHAnsi" w:hAnsiTheme="majorHAnsi" w:cstheme="majorHAnsi"/>
          <w:sz w:val="24"/>
          <w:szCs w:val="24"/>
        </w:rPr>
        <w:t>(emphasis added)</w:t>
      </w:r>
    </w:p>
    <w:p w:rsidR="00987474" w:rsidRPr="000A4B65" w:rsidRDefault="00685520" w:rsidP="000A4B65">
      <w:pPr>
        <w:pStyle w:val="ListParagraph"/>
        <w:numPr>
          <w:ilvl w:val="0"/>
          <w:numId w:val="1"/>
        </w:numPr>
        <w:spacing w:after="240" w:line="360" w:lineRule="auto"/>
        <w:contextualSpacing w:val="0"/>
        <w:jc w:val="both"/>
        <w:rPr>
          <w:rFonts w:asciiTheme="majorHAnsi" w:hAnsiTheme="majorHAnsi" w:cstheme="majorHAnsi"/>
          <w:sz w:val="24"/>
          <w:szCs w:val="24"/>
        </w:rPr>
      </w:pPr>
      <w:r>
        <w:rPr>
          <w:rFonts w:asciiTheme="majorHAnsi" w:hAnsiTheme="majorHAnsi" w:cstheme="majorHAnsi"/>
          <w:sz w:val="24"/>
          <w:szCs w:val="24"/>
        </w:rPr>
        <w:t xml:space="preserve">Clause 6.4 </w:t>
      </w:r>
      <w:r w:rsidR="00D04817">
        <w:rPr>
          <w:rFonts w:asciiTheme="majorHAnsi" w:hAnsiTheme="majorHAnsi" w:cstheme="majorHAnsi"/>
          <w:sz w:val="24"/>
          <w:szCs w:val="24"/>
        </w:rPr>
        <w:t>obliges the first respondent to pay all the costs of creating the new House Sub</w:t>
      </w:r>
      <w:r w:rsidR="000A4B65">
        <w:rPr>
          <w:rFonts w:asciiTheme="majorHAnsi" w:hAnsiTheme="majorHAnsi" w:cstheme="majorHAnsi"/>
          <w:sz w:val="24"/>
          <w:szCs w:val="24"/>
        </w:rPr>
        <w:t>-</w:t>
      </w:r>
      <w:r w:rsidR="00D04817">
        <w:rPr>
          <w:rFonts w:asciiTheme="majorHAnsi" w:hAnsiTheme="majorHAnsi" w:cstheme="majorHAnsi"/>
          <w:sz w:val="24"/>
          <w:szCs w:val="24"/>
        </w:rPr>
        <w:t xml:space="preserve">division </w:t>
      </w:r>
      <w:r>
        <w:rPr>
          <w:rFonts w:asciiTheme="majorHAnsi" w:hAnsiTheme="majorHAnsi" w:cstheme="majorHAnsi"/>
          <w:sz w:val="24"/>
          <w:szCs w:val="24"/>
        </w:rPr>
        <w:t xml:space="preserve">as well as the </w:t>
      </w:r>
      <w:r w:rsidR="00D04817" w:rsidRPr="00D04817">
        <w:rPr>
          <w:rFonts w:asciiTheme="majorHAnsi" w:hAnsiTheme="majorHAnsi" w:cstheme="majorHAnsi"/>
          <w:sz w:val="24"/>
          <w:szCs w:val="24"/>
          <w:lang w:val="en-US"/>
        </w:rPr>
        <w:t>costs of complying with conditions of approval</w:t>
      </w:r>
      <w:r>
        <w:rPr>
          <w:rFonts w:asciiTheme="majorHAnsi" w:hAnsiTheme="majorHAnsi" w:cstheme="majorHAnsi"/>
          <w:sz w:val="24"/>
          <w:szCs w:val="24"/>
          <w:lang w:val="en-US"/>
        </w:rPr>
        <w:t xml:space="preserve">. </w:t>
      </w:r>
      <w:r w:rsidR="00987474">
        <w:rPr>
          <w:rFonts w:asciiTheme="majorHAnsi" w:hAnsiTheme="majorHAnsi" w:cstheme="majorHAnsi"/>
          <w:sz w:val="24"/>
          <w:szCs w:val="24"/>
        </w:rPr>
        <w:t xml:space="preserve">One of the conditions imposed by the amended ROD was the provision of services - not just supply routes - to the boundary of each of the subdivisions that the first respondent had chosen to create. </w:t>
      </w:r>
      <w:r w:rsidR="000A4B65">
        <w:rPr>
          <w:rFonts w:asciiTheme="majorHAnsi" w:hAnsiTheme="majorHAnsi" w:cstheme="majorHAnsi"/>
          <w:sz w:val="24"/>
          <w:szCs w:val="24"/>
        </w:rPr>
        <w:t xml:space="preserve">The provision of such services is therefore required in order for the first respondent to comply with the conditions of approval, and consequently it is the first respondent which is liable for the costs thereof. </w:t>
      </w:r>
      <w:r w:rsidR="00987474" w:rsidRPr="000A4B65">
        <w:rPr>
          <w:rFonts w:asciiTheme="majorHAnsi" w:hAnsiTheme="majorHAnsi" w:cstheme="majorHAnsi"/>
          <w:sz w:val="24"/>
          <w:szCs w:val="24"/>
        </w:rPr>
        <w:t xml:space="preserve">The first respondent would therefore </w:t>
      </w:r>
      <w:r w:rsidR="000A4B65">
        <w:rPr>
          <w:rFonts w:asciiTheme="majorHAnsi" w:hAnsiTheme="majorHAnsi" w:cstheme="majorHAnsi"/>
          <w:sz w:val="24"/>
          <w:szCs w:val="24"/>
        </w:rPr>
        <w:t xml:space="preserve">also </w:t>
      </w:r>
      <w:r w:rsidR="00987474" w:rsidRPr="000A4B65">
        <w:rPr>
          <w:rFonts w:asciiTheme="majorHAnsi" w:hAnsiTheme="majorHAnsi" w:cstheme="majorHAnsi"/>
          <w:sz w:val="24"/>
          <w:szCs w:val="24"/>
        </w:rPr>
        <w:t>ha</w:t>
      </w:r>
      <w:r w:rsidR="000A4B65">
        <w:rPr>
          <w:rFonts w:asciiTheme="majorHAnsi" w:hAnsiTheme="majorHAnsi" w:cstheme="majorHAnsi"/>
          <w:sz w:val="24"/>
          <w:szCs w:val="24"/>
        </w:rPr>
        <w:t>ve</w:t>
      </w:r>
      <w:r w:rsidR="00987474" w:rsidRPr="000A4B65">
        <w:rPr>
          <w:rFonts w:asciiTheme="majorHAnsi" w:hAnsiTheme="majorHAnsi" w:cstheme="majorHAnsi"/>
          <w:sz w:val="24"/>
          <w:szCs w:val="24"/>
        </w:rPr>
        <w:t xml:space="preserve"> been obliged to bear the costs of providing services to the boundary of the House Sub</w:t>
      </w:r>
      <w:r w:rsidR="000A4B65" w:rsidRPr="000A4B65">
        <w:rPr>
          <w:rFonts w:asciiTheme="majorHAnsi" w:hAnsiTheme="majorHAnsi" w:cstheme="majorHAnsi"/>
          <w:sz w:val="24"/>
          <w:szCs w:val="24"/>
        </w:rPr>
        <w:t>-</w:t>
      </w:r>
      <w:r w:rsidR="00987474" w:rsidRPr="000A4B65">
        <w:rPr>
          <w:rFonts w:asciiTheme="majorHAnsi" w:hAnsiTheme="majorHAnsi" w:cstheme="majorHAnsi"/>
          <w:sz w:val="24"/>
          <w:szCs w:val="24"/>
        </w:rPr>
        <w:t xml:space="preserve">division if it had chosen to create only a single subdivision. </w:t>
      </w:r>
    </w:p>
    <w:p w:rsidR="00D04817" w:rsidRDefault="00987474" w:rsidP="00D04817">
      <w:pPr>
        <w:pStyle w:val="ListParagraph"/>
        <w:numPr>
          <w:ilvl w:val="0"/>
          <w:numId w:val="1"/>
        </w:numPr>
        <w:spacing w:after="240" w:line="360" w:lineRule="auto"/>
        <w:jc w:val="both"/>
        <w:rPr>
          <w:rFonts w:asciiTheme="majorHAnsi" w:hAnsiTheme="majorHAnsi" w:cstheme="majorHAnsi"/>
          <w:sz w:val="24"/>
          <w:szCs w:val="24"/>
        </w:rPr>
      </w:pPr>
      <w:r>
        <w:rPr>
          <w:rFonts w:asciiTheme="majorHAnsi" w:hAnsiTheme="majorHAnsi" w:cstheme="majorHAnsi"/>
          <w:sz w:val="24"/>
          <w:szCs w:val="24"/>
        </w:rPr>
        <w:t>It is so that the sale agreement envisaged the creation of a single subdivision and not four. That, coupled with the circumstances under which the  first respondent chose to create four subdivisions, and the conduct of the parties described above which suggests that the applicant ha</w:t>
      </w:r>
      <w:r w:rsidR="000A4B65">
        <w:rPr>
          <w:rFonts w:asciiTheme="majorHAnsi" w:hAnsiTheme="majorHAnsi" w:cstheme="majorHAnsi"/>
          <w:sz w:val="24"/>
          <w:szCs w:val="24"/>
        </w:rPr>
        <w:t>d</w:t>
      </w:r>
      <w:r>
        <w:rPr>
          <w:rFonts w:asciiTheme="majorHAnsi" w:hAnsiTheme="majorHAnsi" w:cstheme="majorHAnsi"/>
          <w:sz w:val="24"/>
          <w:szCs w:val="24"/>
        </w:rPr>
        <w:t xml:space="preserve"> agreed to pay whatever additional costs were occasioned by servicing four erven rather than one, may mean that the first respondent has a claim for the additional servicing costs</w:t>
      </w:r>
      <w:r w:rsidR="006C2B8B">
        <w:rPr>
          <w:rFonts w:asciiTheme="majorHAnsi" w:hAnsiTheme="majorHAnsi" w:cstheme="majorHAnsi"/>
          <w:sz w:val="24"/>
          <w:szCs w:val="24"/>
        </w:rPr>
        <w:t xml:space="preserve"> either in contract or enrichment</w:t>
      </w:r>
      <w:r>
        <w:rPr>
          <w:rFonts w:asciiTheme="majorHAnsi" w:hAnsiTheme="majorHAnsi" w:cstheme="majorHAnsi"/>
          <w:sz w:val="24"/>
          <w:szCs w:val="24"/>
        </w:rPr>
        <w:t xml:space="preserve">. </w:t>
      </w:r>
    </w:p>
    <w:p w:rsidR="00987474" w:rsidRPr="00987474" w:rsidRDefault="00987474" w:rsidP="00987474">
      <w:pPr>
        <w:pStyle w:val="ListParagraph"/>
        <w:rPr>
          <w:rFonts w:asciiTheme="majorHAnsi" w:hAnsiTheme="majorHAnsi" w:cstheme="majorHAnsi"/>
          <w:sz w:val="24"/>
          <w:szCs w:val="24"/>
        </w:rPr>
      </w:pPr>
    </w:p>
    <w:p w:rsidR="008F166F" w:rsidRPr="00903AD6" w:rsidRDefault="00987474" w:rsidP="00903AD6">
      <w:pPr>
        <w:pStyle w:val="ListParagraph"/>
        <w:numPr>
          <w:ilvl w:val="0"/>
          <w:numId w:val="1"/>
        </w:numPr>
        <w:spacing w:after="240" w:line="360" w:lineRule="auto"/>
        <w:jc w:val="both"/>
        <w:rPr>
          <w:rFonts w:asciiTheme="majorHAnsi" w:hAnsiTheme="majorHAnsi" w:cstheme="majorHAnsi"/>
          <w:sz w:val="24"/>
          <w:szCs w:val="24"/>
        </w:rPr>
      </w:pPr>
      <w:r>
        <w:rPr>
          <w:rFonts w:asciiTheme="majorHAnsi" w:hAnsiTheme="majorHAnsi" w:cstheme="majorHAnsi"/>
          <w:sz w:val="24"/>
          <w:szCs w:val="24"/>
        </w:rPr>
        <w:t>It is however not only unnecessary for me to make any finding in this regard, it would be improper for me to do so</w:t>
      </w:r>
      <w:r w:rsidR="00903AD6">
        <w:rPr>
          <w:rFonts w:asciiTheme="majorHAnsi" w:hAnsiTheme="majorHAnsi" w:cstheme="majorHAnsi"/>
          <w:sz w:val="24"/>
          <w:szCs w:val="24"/>
        </w:rPr>
        <w:t xml:space="preserve"> as t</w:t>
      </w:r>
      <w:r>
        <w:rPr>
          <w:rFonts w:asciiTheme="majorHAnsi" w:hAnsiTheme="majorHAnsi" w:cstheme="majorHAnsi"/>
          <w:sz w:val="24"/>
          <w:szCs w:val="24"/>
        </w:rPr>
        <w:t>he first respondent did not institute a conditional counter claim for payment of these amounts against transfer</w:t>
      </w:r>
      <w:r w:rsidR="00903AD6">
        <w:rPr>
          <w:rFonts w:asciiTheme="majorHAnsi" w:hAnsiTheme="majorHAnsi" w:cstheme="majorHAnsi"/>
          <w:sz w:val="24"/>
          <w:szCs w:val="24"/>
        </w:rPr>
        <w:t xml:space="preserve">. As </w:t>
      </w:r>
      <w:r w:rsidR="00D65891">
        <w:rPr>
          <w:rFonts w:asciiTheme="majorHAnsi" w:hAnsiTheme="majorHAnsi" w:cstheme="majorHAnsi"/>
          <w:sz w:val="24"/>
          <w:szCs w:val="24"/>
        </w:rPr>
        <w:t xml:space="preserve">the sale agreement obliges the first respondent to bear the costs of approval before the transfer can be effected there is no room for the application of the </w:t>
      </w:r>
      <w:r w:rsidR="00D65891" w:rsidRPr="00D65891">
        <w:rPr>
          <w:rFonts w:asciiTheme="majorHAnsi" w:hAnsiTheme="majorHAnsi" w:cstheme="majorHAnsi"/>
          <w:i/>
          <w:iCs/>
          <w:sz w:val="24"/>
          <w:szCs w:val="24"/>
        </w:rPr>
        <w:t>exceptio non adempleti contractus</w:t>
      </w:r>
      <w:r>
        <w:rPr>
          <w:rFonts w:asciiTheme="majorHAnsi" w:hAnsiTheme="majorHAnsi" w:cstheme="majorHAnsi"/>
          <w:sz w:val="24"/>
          <w:szCs w:val="24"/>
        </w:rPr>
        <w:t xml:space="preserve">. Confined as I am to the evidence the parties have chosen to present, there is no basis upon which such payment could be ordered </w:t>
      </w:r>
      <w:r w:rsidR="00903AD6">
        <w:rPr>
          <w:rFonts w:asciiTheme="majorHAnsi" w:hAnsiTheme="majorHAnsi" w:cstheme="majorHAnsi"/>
          <w:sz w:val="24"/>
          <w:szCs w:val="24"/>
        </w:rPr>
        <w:t>in these provceedings</w:t>
      </w:r>
      <w:r w:rsidR="00D65891">
        <w:rPr>
          <w:rFonts w:asciiTheme="majorHAnsi" w:hAnsiTheme="majorHAnsi" w:cstheme="majorHAnsi"/>
          <w:sz w:val="24"/>
          <w:szCs w:val="24"/>
        </w:rPr>
        <w:t xml:space="preserve">. </w:t>
      </w:r>
      <w:r w:rsidRPr="00903AD6">
        <w:rPr>
          <w:rFonts w:asciiTheme="majorHAnsi" w:hAnsiTheme="majorHAnsi" w:cstheme="majorHAnsi"/>
          <w:sz w:val="24"/>
          <w:szCs w:val="24"/>
        </w:rPr>
        <w:t>This does not leave the first respondent without recourse</w:t>
      </w:r>
      <w:r w:rsidR="006C2B8B" w:rsidRPr="00903AD6">
        <w:rPr>
          <w:rFonts w:asciiTheme="majorHAnsi" w:hAnsiTheme="majorHAnsi" w:cstheme="majorHAnsi"/>
          <w:sz w:val="24"/>
          <w:szCs w:val="24"/>
        </w:rPr>
        <w:t>. I</w:t>
      </w:r>
      <w:r w:rsidR="008F166F" w:rsidRPr="00903AD6">
        <w:rPr>
          <w:rFonts w:asciiTheme="majorHAnsi" w:hAnsiTheme="majorHAnsi" w:cstheme="majorHAnsi"/>
          <w:sz w:val="24"/>
          <w:szCs w:val="24"/>
        </w:rPr>
        <w:t>f</w:t>
      </w:r>
      <w:r w:rsidR="006C2B8B" w:rsidRPr="00903AD6">
        <w:rPr>
          <w:rFonts w:asciiTheme="majorHAnsi" w:hAnsiTheme="majorHAnsi" w:cstheme="majorHAnsi"/>
          <w:sz w:val="24"/>
          <w:szCs w:val="24"/>
        </w:rPr>
        <w:t xml:space="preserve"> it has a claim, it is </w:t>
      </w:r>
      <w:r w:rsidR="008F166F" w:rsidRPr="00903AD6">
        <w:rPr>
          <w:rFonts w:asciiTheme="majorHAnsi" w:hAnsiTheme="majorHAnsi" w:cstheme="majorHAnsi"/>
          <w:sz w:val="24"/>
          <w:szCs w:val="24"/>
        </w:rPr>
        <w:t xml:space="preserve">still </w:t>
      </w:r>
      <w:r w:rsidR="006C2B8B" w:rsidRPr="00903AD6">
        <w:rPr>
          <w:rFonts w:asciiTheme="majorHAnsi" w:hAnsiTheme="majorHAnsi" w:cstheme="majorHAnsi"/>
          <w:sz w:val="24"/>
          <w:szCs w:val="24"/>
        </w:rPr>
        <w:t xml:space="preserve">free to </w:t>
      </w:r>
      <w:r w:rsidR="008F166F" w:rsidRPr="00903AD6">
        <w:rPr>
          <w:rFonts w:asciiTheme="majorHAnsi" w:hAnsiTheme="majorHAnsi" w:cstheme="majorHAnsi"/>
          <w:sz w:val="24"/>
          <w:szCs w:val="24"/>
        </w:rPr>
        <w:t>pursue</w:t>
      </w:r>
      <w:r w:rsidR="006C2B8B" w:rsidRPr="00903AD6">
        <w:rPr>
          <w:rFonts w:asciiTheme="majorHAnsi" w:hAnsiTheme="majorHAnsi" w:cstheme="majorHAnsi"/>
          <w:sz w:val="24"/>
          <w:szCs w:val="24"/>
        </w:rPr>
        <w:t xml:space="preserve"> it</w:t>
      </w:r>
      <w:r w:rsidR="008F166F" w:rsidRPr="00903AD6">
        <w:rPr>
          <w:rFonts w:asciiTheme="majorHAnsi" w:hAnsiTheme="majorHAnsi" w:cstheme="majorHAnsi"/>
          <w:sz w:val="24"/>
          <w:szCs w:val="24"/>
        </w:rPr>
        <w:t xml:space="preserve">. </w:t>
      </w:r>
    </w:p>
    <w:p w:rsidR="008B1405" w:rsidRPr="00903AD6" w:rsidRDefault="008B1405" w:rsidP="00903AD6">
      <w:pPr>
        <w:rPr>
          <w:rFonts w:asciiTheme="majorHAnsi" w:hAnsiTheme="majorHAnsi" w:cstheme="majorHAnsi"/>
          <w:sz w:val="24"/>
          <w:szCs w:val="24"/>
        </w:rPr>
      </w:pPr>
    </w:p>
    <w:p w:rsidR="008F166F" w:rsidRPr="008F166F" w:rsidRDefault="008F166F" w:rsidP="008F166F">
      <w:pPr>
        <w:pStyle w:val="ListParagraph"/>
        <w:spacing w:after="240" w:line="360" w:lineRule="auto"/>
        <w:ind w:left="0"/>
        <w:jc w:val="both"/>
        <w:rPr>
          <w:rFonts w:asciiTheme="majorHAnsi" w:hAnsiTheme="majorHAnsi" w:cstheme="majorHAnsi"/>
          <w:b/>
          <w:bCs/>
          <w:sz w:val="24"/>
          <w:szCs w:val="24"/>
        </w:rPr>
      </w:pPr>
      <w:r w:rsidRPr="008F166F">
        <w:rPr>
          <w:rFonts w:asciiTheme="majorHAnsi" w:hAnsiTheme="majorHAnsi" w:cstheme="majorHAnsi"/>
          <w:b/>
          <w:bCs/>
          <w:sz w:val="24"/>
          <w:szCs w:val="24"/>
        </w:rPr>
        <w:t>Order</w:t>
      </w:r>
    </w:p>
    <w:p w:rsidR="008F166F" w:rsidRPr="008F166F" w:rsidRDefault="008F166F" w:rsidP="008F166F">
      <w:pPr>
        <w:pStyle w:val="ListParagraph"/>
        <w:rPr>
          <w:rFonts w:asciiTheme="majorHAnsi" w:hAnsiTheme="majorHAnsi" w:cstheme="majorHAnsi"/>
          <w:sz w:val="24"/>
          <w:szCs w:val="24"/>
        </w:rPr>
      </w:pPr>
    </w:p>
    <w:p w:rsidR="00E06EA7" w:rsidRDefault="00E06EA7" w:rsidP="00FF79E1">
      <w:pPr>
        <w:pStyle w:val="ListParagraph"/>
        <w:numPr>
          <w:ilvl w:val="0"/>
          <w:numId w:val="1"/>
        </w:numPr>
        <w:spacing w:after="240" w:line="360" w:lineRule="auto"/>
        <w:jc w:val="both"/>
        <w:rPr>
          <w:rFonts w:asciiTheme="majorHAnsi" w:hAnsiTheme="majorHAnsi" w:cstheme="majorHAnsi"/>
          <w:sz w:val="24"/>
          <w:szCs w:val="24"/>
        </w:rPr>
      </w:pPr>
      <w:r w:rsidRPr="008B1405">
        <w:rPr>
          <w:rFonts w:asciiTheme="majorHAnsi" w:hAnsiTheme="majorHAnsi" w:cstheme="majorHAnsi"/>
          <w:sz w:val="24"/>
          <w:szCs w:val="24"/>
        </w:rPr>
        <w:t>I consequently grant the following order:</w:t>
      </w:r>
    </w:p>
    <w:p w:rsidR="0029497F" w:rsidRDefault="0029497F" w:rsidP="0029497F">
      <w:pPr>
        <w:pStyle w:val="ListParagraph"/>
        <w:spacing w:after="240" w:line="360" w:lineRule="auto"/>
        <w:jc w:val="both"/>
        <w:rPr>
          <w:rFonts w:asciiTheme="majorHAnsi" w:hAnsiTheme="majorHAnsi" w:cstheme="majorHAnsi"/>
          <w:sz w:val="24"/>
          <w:szCs w:val="24"/>
        </w:rPr>
      </w:pPr>
    </w:p>
    <w:p w:rsidR="0029497F" w:rsidRDefault="0029497F" w:rsidP="0029497F">
      <w:pPr>
        <w:pStyle w:val="ListParagraph"/>
        <w:numPr>
          <w:ilvl w:val="0"/>
          <w:numId w:val="11"/>
        </w:numPr>
        <w:spacing w:after="240" w:line="360" w:lineRule="auto"/>
        <w:jc w:val="both"/>
        <w:rPr>
          <w:rFonts w:asciiTheme="majorHAnsi" w:hAnsiTheme="majorHAnsi" w:cstheme="majorHAnsi"/>
          <w:sz w:val="24"/>
          <w:szCs w:val="24"/>
        </w:rPr>
      </w:pPr>
      <w:r>
        <w:rPr>
          <w:rFonts w:asciiTheme="majorHAnsi" w:hAnsiTheme="majorHAnsi" w:cstheme="majorHAnsi"/>
          <w:sz w:val="24"/>
          <w:szCs w:val="24"/>
        </w:rPr>
        <w:t xml:space="preserve">It is declared that the applicant has validly exercised the option contained in clause 6 of the Agreement of Sale of Commercial Timber Farming Enterprise concluded between the applicant and the first respondent on 11 August 2006. </w:t>
      </w:r>
    </w:p>
    <w:p w:rsidR="0029497F" w:rsidRDefault="0029497F" w:rsidP="0029497F">
      <w:pPr>
        <w:pStyle w:val="ListParagraph"/>
        <w:spacing w:after="240" w:line="360" w:lineRule="auto"/>
        <w:ind w:left="1080"/>
        <w:jc w:val="both"/>
        <w:rPr>
          <w:rFonts w:asciiTheme="majorHAnsi" w:hAnsiTheme="majorHAnsi" w:cstheme="majorHAnsi"/>
          <w:sz w:val="24"/>
          <w:szCs w:val="24"/>
        </w:rPr>
      </w:pPr>
    </w:p>
    <w:p w:rsidR="0029497F" w:rsidRDefault="0029497F" w:rsidP="0029497F">
      <w:pPr>
        <w:pStyle w:val="ListParagraph"/>
        <w:numPr>
          <w:ilvl w:val="0"/>
          <w:numId w:val="11"/>
        </w:numPr>
        <w:spacing w:after="240" w:line="360" w:lineRule="auto"/>
        <w:jc w:val="both"/>
        <w:rPr>
          <w:rFonts w:asciiTheme="majorHAnsi" w:hAnsiTheme="majorHAnsi" w:cstheme="majorHAnsi"/>
          <w:sz w:val="24"/>
          <w:szCs w:val="24"/>
        </w:rPr>
      </w:pPr>
      <w:r w:rsidRPr="0029497F">
        <w:rPr>
          <w:rFonts w:asciiTheme="majorHAnsi" w:hAnsiTheme="majorHAnsi" w:cstheme="majorHAnsi"/>
          <w:sz w:val="24"/>
          <w:szCs w:val="24"/>
        </w:rPr>
        <w:t xml:space="preserve">The first respondent is directed </w:t>
      </w:r>
      <w:r>
        <w:rPr>
          <w:rFonts w:asciiTheme="majorHAnsi" w:hAnsiTheme="majorHAnsi" w:cstheme="majorHAnsi"/>
          <w:sz w:val="24"/>
          <w:szCs w:val="24"/>
        </w:rPr>
        <w:t>to do all such things as are necessary to transfer to the applicant the following immovable properties against payment of the purchase price of R 900</w:t>
      </w:r>
      <w:r w:rsidR="00F633F8">
        <w:rPr>
          <w:rFonts w:asciiTheme="majorHAnsi" w:hAnsiTheme="majorHAnsi" w:cstheme="majorHAnsi"/>
          <w:sz w:val="24"/>
          <w:szCs w:val="24"/>
        </w:rPr>
        <w:t> </w:t>
      </w:r>
      <w:r>
        <w:rPr>
          <w:rFonts w:asciiTheme="majorHAnsi" w:hAnsiTheme="majorHAnsi" w:cstheme="majorHAnsi"/>
          <w:sz w:val="24"/>
          <w:szCs w:val="24"/>
        </w:rPr>
        <w:t>000</w:t>
      </w:r>
      <w:r w:rsidR="00F633F8">
        <w:rPr>
          <w:rFonts w:asciiTheme="majorHAnsi" w:hAnsiTheme="majorHAnsi" w:cstheme="majorHAnsi"/>
          <w:sz w:val="24"/>
          <w:szCs w:val="24"/>
        </w:rPr>
        <w:t>:</w:t>
      </w:r>
    </w:p>
    <w:p w:rsidR="00F633F8" w:rsidRPr="00F633F8" w:rsidRDefault="00F633F8" w:rsidP="00F633F8">
      <w:pPr>
        <w:pStyle w:val="ListParagraph"/>
        <w:rPr>
          <w:rFonts w:asciiTheme="majorHAnsi" w:hAnsiTheme="majorHAnsi" w:cstheme="majorHAnsi"/>
          <w:sz w:val="24"/>
          <w:szCs w:val="24"/>
        </w:rPr>
      </w:pPr>
    </w:p>
    <w:p w:rsidR="00F633F8" w:rsidRDefault="00F633F8" w:rsidP="00F633F8">
      <w:pPr>
        <w:pStyle w:val="ListParagraph"/>
        <w:spacing w:after="240" w:line="360" w:lineRule="auto"/>
        <w:ind w:left="1080"/>
        <w:jc w:val="both"/>
        <w:rPr>
          <w:rFonts w:asciiTheme="majorHAnsi" w:hAnsiTheme="majorHAnsi" w:cstheme="majorHAnsi"/>
          <w:sz w:val="24"/>
          <w:szCs w:val="24"/>
        </w:rPr>
      </w:pPr>
      <w:r>
        <w:rPr>
          <w:rFonts w:asciiTheme="majorHAnsi" w:hAnsiTheme="majorHAnsi" w:cstheme="majorHAnsi"/>
          <w:sz w:val="24"/>
          <w:szCs w:val="24"/>
        </w:rPr>
        <w:t>[a]</w:t>
      </w:r>
      <w:r>
        <w:rPr>
          <w:rFonts w:asciiTheme="majorHAnsi" w:hAnsiTheme="majorHAnsi" w:cstheme="majorHAnsi"/>
          <w:sz w:val="24"/>
          <w:szCs w:val="24"/>
        </w:rPr>
        <w:tab/>
        <w:t>Erf 1450 Sheffield Beach, in extent 2498 square metres, as will more fully appear from General Plan S.G. Number 907/2021, held by Certificate of Registered Title number T14766/22;</w:t>
      </w:r>
    </w:p>
    <w:p w:rsidR="00F633F8" w:rsidRDefault="00F633F8" w:rsidP="00F633F8">
      <w:pPr>
        <w:pStyle w:val="ListParagraph"/>
        <w:spacing w:after="240" w:line="360" w:lineRule="auto"/>
        <w:ind w:left="1080"/>
        <w:jc w:val="both"/>
        <w:rPr>
          <w:rFonts w:asciiTheme="majorHAnsi" w:hAnsiTheme="majorHAnsi" w:cstheme="majorHAnsi"/>
          <w:sz w:val="24"/>
          <w:szCs w:val="24"/>
        </w:rPr>
      </w:pPr>
    </w:p>
    <w:p w:rsidR="00F633F8" w:rsidRDefault="00F633F8" w:rsidP="002D3A23">
      <w:pPr>
        <w:pStyle w:val="ListParagraph"/>
        <w:spacing w:after="240" w:line="360" w:lineRule="auto"/>
        <w:ind w:left="1134"/>
        <w:jc w:val="both"/>
        <w:rPr>
          <w:rFonts w:asciiTheme="majorHAnsi" w:hAnsiTheme="majorHAnsi" w:cstheme="majorHAnsi"/>
          <w:sz w:val="24"/>
          <w:szCs w:val="24"/>
        </w:rPr>
      </w:pPr>
      <w:r>
        <w:rPr>
          <w:rFonts w:asciiTheme="majorHAnsi" w:hAnsiTheme="majorHAnsi" w:cstheme="majorHAnsi"/>
          <w:sz w:val="24"/>
          <w:szCs w:val="24"/>
        </w:rPr>
        <w:t>[b]</w:t>
      </w:r>
      <w:r>
        <w:rPr>
          <w:rFonts w:asciiTheme="majorHAnsi" w:hAnsiTheme="majorHAnsi" w:cstheme="majorHAnsi"/>
          <w:sz w:val="24"/>
          <w:szCs w:val="24"/>
        </w:rPr>
        <w:tab/>
        <w:t>Erf 1451 Sheffield Beach, in extent 2500 square metres, as will more fully appear from General Plan S.G. Number 907/2021 held by Certificate of Registered Title number T14767/22;</w:t>
      </w:r>
    </w:p>
    <w:p w:rsidR="00F633F8" w:rsidRDefault="00F633F8" w:rsidP="002D3A23">
      <w:pPr>
        <w:pStyle w:val="ListParagraph"/>
        <w:spacing w:after="240" w:line="360" w:lineRule="auto"/>
        <w:ind w:left="1134"/>
        <w:jc w:val="both"/>
        <w:rPr>
          <w:rFonts w:asciiTheme="majorHAnsi" w:hAnsiTheme="majorHAnsi" w:cstheme="majorHAnsi"/>
          <w:sz w:val="24"/>
          <w:szCs w:val="24"/>
        </w:rPr>
      </w:pPr>
    </w:p>
    <w:p w:rsidR="00F633F8" w:rsidRDefault="00F633F8" w:rsidP="002D3A23">
      <w:pPr>
        <w:pStyle w:val="ListParagraph"/>
        <w:spacing w:after="240" w:line="360" w:lineRule="auto"/>
        <w:ind w:left="1134"/>
        <w:jc w:val="both"/>
        <w:rPr>
          <w:rFonts w:asciiTheme="majorHAnsi" w:hAnsiTheme="majorHAnsi" w:cstheme="majorHAnsi"/>
          <w:sz w:val="24"/>
          <w:szCs w:val="24"/>
        </w:rPr>
      </w:pPr>
      <w:r>
        <w:rPr>
          <w:rFonts w:asciiTheme="majorHAnsi" w:hAnsiTheme="majorHAnsi" w:cstheme="majorHAnsi"/>
          <w:sz w:val="24"/>
          <w:szCs w:val="24"/>
        </w:rPr>
        <w:t>[c]</w:t>
      </w:r>
      <w:r>
        <w:rPr>
          <w:rFonts w:asciiTheme="majorHAnsi" w:hAnsiTheme="majorHAnsi" w:cstheme="majorHAnsi"/>
          <w:sz w:val="24"/>
          <w:szCs w:val="24"/>
        </w:rPr>
        <w:tab/>
        <w:t>Erf 1452 Sheffield Beach, in extent 2498 square metres, as will more fully appear from General Plan S.G. Number 907/2021 held by Certificate of Registered Title number T14768/22;</w:t>
      </w:r>
    </w:p>
    <w:p w:rsidR="00F633F8" w:rsidRDefault="00F633F8" w:rsidP="002D3A23">
      <w:pPr>
        <w:pStyle w:val="ListParagraph"/>
        <w:spacing w:after="240" w:line="360" w:lineRule="auto"/>
        <w:ind w:left="1134"/>
        <w:jc w:val="both"/>
        <w:rPr>
          <w:rFonts w:asciiTheme="majorHAnsi" w:hAnsiTheme="majorHAnsi" w:cstheme="majorHAnsi"/>
          <w:sz w:val="24"/>
          <w:szCs w:val="24"/>
        </w:rPr>
      </w:pPr>
    </w:p>
    <w:p w:rsidR="00F633F8" w:rsidRPr="00F633F8" w:rsidRDefault="00F633F8" w:rsidP="002D3A23">
      <w:pPr>
        <w:pStyle w:val="ListParagraph"/>
        <w:spacing w:after="240" w:line="360" w:lineRule="auto"/>
        <w:ind w:left="1134"/>
        <w:jc w:val="both"/>
        <w:rPr>
          <w:rFonts w:asciiTheme="majorHAnsi" w:hAnsiTheme="majorHAnsi" w:cstheme="majorHAnsi"/>
          <w:sz w:val="24"/>
          <w:szCs w:val="24"/>
        </w:rPr>
      </w:pPr>
      <w:r>
        <w:rPr>
          <w:rFonts w:asciiTheme="majorHAnsi" w:hAnsiTheme="majorHAnsi" w:cstheme="majorHAnsi"/>
          <w:sz w:val="24"/>
          <w:szCs w:val="24"/>
        </w:rPr>
        <w:t>[d]</w:t>
      </w:r>
      <w:r>
        <w:rPr>
          <w:rFonts w:asciiTheme="majorHAnsi" w:hAnsiTheme="majorHAnsi" w:cstheme="majorHAnsi"/>
          <w:sz w:val="24"/>
          <w:szCs w:val="24"/>
        </w:rPr>
        <w:tab/>
        <w:t>Erf 1453 Sheffield Beach, in extent 7437 square metres,  as will more fully appear from General Plan S.G. Number 907/2021 held by Certificate of Registered Title number T14769/22.</w:t>
      </w:r>
    </w:p>
    <w:p w:rsidR="0029497F" w:rsidRDefault="0029497F" w:rsidP="007F1C27">
      <w:pPr>
        <w:spacing w:after="240" w:line="360" w:lineRule="auto"/>
        <w:ind w:left="1134" w:hanging="436"/>
        <w:jc w:val="both"/>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t xml:space="preserve">The first respondent is directed to sign all such documents and to do all such things as are required in order to give effect to the order in paragraph 2 above, within </w:t>
      </w:r>
      <w:r w:rsidR="007F1C27">
        <w:rPr>
          <w:rFonts w:asciiTheme="majorHAnsi" w:hAnsiTheme="majorHAnsi" w:cstheme="majorHAnsi"/>
          <w:sz w:val="24"/>
          <w:szCs w:val="24"/>
        </w:rPr>
        <w:t xml:space="preserve">five calendar days of  being called upon in writing to do so by the conveyancers attending to the transfer. </w:t>
      </w:r>
    </w:p>
    <w:p w:rsidR="007F1C27" w:rsidRPr="0029497F" w:rsidRDefault="007F1C27" w:rsidP="007F1C27">
      <w:pPr>
        <w:spacing w:after="240" w:line="360" w:lineRule="auto"/>
        <w:ind w:left="1134" w:hanging="436"/>
        <w:jc w:val="both"/>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rPr>
        <w:tab/>
        <w:t xml:space="preserve">The first respondent is directed to pay the costs of the application, including all costs previously reserved. </w:t>
      </w:r>
    </w:p>
    <w:p w:rsidR="0029497F" w:rsidRPr="008B1405" w:rsidRDefault="0029497F" w:rsidP="007F1C27">
      <w:pPr>
        <w:pStyle w:val="ListParagraph"/>
        <w:spacing w:after="240" w:line="360" w:lineRule="auto"/>
        <w:ind w:left="0"/>
        <w:jc w:val="both"/>
        <w:rPr>
          <w:rFonts w:asciiTheme="majorHAnsi" w:hAnsiTheme="majorHAnsi" w:cstheme="majorHAnsi"/>
          <w:sz w:val="24"/>
          <w:szCs w:val="24"/>
        </w:rPr>
      </w:pPr>
    </w:p>
    <w:p w:rsidR="00E06EA7" w:rsidRPr="00A74C32" w:rsidRDefault="00E06EA7" w:rsidP="00FF79E1">
      <w:pPr>
        <w:pStyle w:val="ListParagraph"/>
        <w:spacing w:after="240" w:line="360" w:lineRule="auto"/>
        <w:rPr>
          <w:rFonts w:asciiTheme="majorHAnsi" w:hAnsiTheme="majorHAnsi" w:cstheme="majorHAnsi"/>
        </w:rPr>
      </w:pPr>
    </w:p>
    <w:p w:rsidR="00E06EA7" w:rsidRPr="00A74C32" w:rsidRDefault="00E06EA7" w:rsidP="00FF79E1">
      <w:pPr>
        <w:pStyle w:val="ListParagraph"/>
        <w:spacing w:after="240" w:line="360" w:lineRule="auto"/>
        <w:rPr>
          <w:rFonts w:asciiTheme="majorHAnsi" w:hAnsiTheme="majorHAnsi" w:cstheme="majorHAnsi"/>
        </w:rPr>
      </w:pPr>
    </w:p>
    <w:p w:rsidR="00B51744" w:rsidRPr="00A74C32" w:rsidRDefault="00B51744" w:rsidP="00FF79E1">
      <w:pPr>
        <w:spacing w:after="240" w:line="360" w:lineRule="auto"/>
        <w:jc w:val="right"/>
        <w:rPr>
          <w:rFonts w:asciiTheme="majorHAnsi" w:hAnsiTheme="majorHAnsi" w:cstheme="majorHAnsi"/>
          <w:sz w:val="28"/>
          <w:szCs w:val="28"/>
        </w:rPr>
      </w:pPr>
      <w:r w:rsidRPr="00A74C32">
        <w:rPr>
          <w:rFonts w:asciiTheme="majorHAnsi" w:hAnsiTheme="majorHAnsi" w:cstheme="majorHAnsi"/>
          <w:sz w:val="28"/>
          <w:szCs w:val="28"/>
        </w:rPr>
        <w:t>________________________</w:t>
      </w:r>
    </w:p>
    <w:p w:rsidR="00B51744" w:rsidRPr="00A74C32" w:rsidRDefault="00E06EA7" w:rsidP="00FF79E1">
      <w:pPr>
        <w:spacing w:after="240" w:line="360" w:lineRule="auto"/>
        <w:jc w:val="right"/>
        <w:rPr>
          <w:rFonts w:asciiTheme="majorHAnsi" w:hAnsiTheme="majorHAnsi" w:cstheme="majorHAnsi"/>
          <w:sz w:val="28"/>
          <w:szCs w:val="28"/>
        </w:rPr>
      </w:pPr>
      <w:r w:rsidRPr="00A74C32">
        <w:rPr>
          <w:rFonts w:asciiTheme="majorHAnsi" w:hAnsiTheme="majorHAnsi" w:cstheme="majorHAnsi"/>
          <w:sz w:val="28"/>
          <w:szCs w:val="28"/>
        </w:rPr>
        <w:t>ANNANDALE, AJ</w:t>
      </w:r>
    </w:p>
    <w:p w:rsidR="00B51744" w:rsidRPr="00A74C32" w:rsidRDefault="00B51744" w:rsidP="00FF79E1">
      <w:pPr>
        <w:spacing w:after="240" w:line="360" w:lineRule="auto"/>
        <w:ind w:left="5387"/>
        <w:rPr>
          <w:rFonts w:asciiTheme="majorHAnsi" w:hAnsiTheme="majorHAnsi" w:cstheme="majorHAnsi"/>
          <w:sz w:val="28"/>
          <w:szCs w:val="28"/>
        </w:rPr>
      </w:pPr>
      <w:r w:rsidRPr="00A74C32">
        <w:rPr>
          <w:rFonts w:asciiTheme="majorHAnsi" w:hAnsiTheme="majorHAnsi" w:cstheme="majorHAnsi"/>
          <w:sz w:val="28"/>
          <w:szCs w:val="28"/>
        </w:rPr>
        <w:br w:type="page"/>
      </w:r>
    </w:p>
    <w:p w:rsidR="00B51744" w:rsidRPr="00A74C32" w:rsidRDefault="00B51744" w:rsidP="00B51744">
      <w:pPr>
        <w:spacing w:line="360" w:lineRule="auto"/>
        <w:jc w:val="right"/>
        <w:rPr>
          <w:rFonts w:asciiTheme="majorHAnsi" w:hAnsiTheme="majorHAnsi" w:cstheme="majorHAnsi"/>
          <w:sz w:val="28"/>
          <w:szCs w:val="28"/>
        </w:rPr>
      </w:pPr>
    </w:p>
    <w:p w:rsidR="00EB2D31" w:rsidRPr="00D90416" w:rsidRDefault="00EB2D31" w:rsidP="00693314">
      <w:pPr>
        <w:rPr>
          <w:rFonts w:asciiTheme="majorHAnsi" w:hAnsiTheme="majorHAnsi" w:cstheme="majorHAnsi"/>
          <w:bCs/>
          <w:sz w:val="24"/>
          <w:szCs w:val="24"/>
        </w:rPr>
      </w:pPr>
      <w:r w:rsidRPr="00D90416">
        <w:rPr>
          <w:rFonts w:asciiTheme="majorHAnsi" w:hAnsiTheme="majorHAnsi" w:cstheme="majorHAnsi"/>
          <w:bCs/>
          <w:sz w:val="24"/>
          <w:szCs w:val="24"/>
        </w:rPr>
        <w:t>JUDGMENT RESERVED:</w:t>
      </w:r>
      <w:r w:rsidRPr="00D90416">
        <w:rPr>
          <w:rFonts w:asciiTheme="majorHAnsi" w:hAnsiTheme="majorHAnsi" w:cstheme="majorHAnsi"/>
          <w:bCs/>
          <w:sz w:val="24"/>
          <w:szCs w:val="24"/>
        </w:rPr>
        <w:tab/>
      </w:r>
      <w:r w:rsidR="00693314">
        <w:rPr>
          <w:rFonts w:asciiTheme="majorHAnsi" w:hAnsiTheme="majorHAnsi" w:cstheme="majorHAnsi"/>
          <w:bCs/>
          <w:sz w:val="24"/>
          <w:szCs w:val="24"/>
        </w:rPr>
        <w:tab/>
      </w:r>
      <w:r w:rsidR="004B54AB">
        <w:rPr>
          <w:rFonts w:asciiTheme="majorHAnsi" w:hAnsiTheme="majorHAnsi" w:cstheme="majorHAnsi"/>
          <w:bCs/>
          <w:sz w:val="24"/>
          <w:szCs w:val="24"/>
        </w:rPr>
        <w:t>28 JULY 2023</w:t>
      </w:r>
    </w:p>
    <w:p w:rsidR="00EB2D31" w:rsidRPr="00D90416" w:rsidRDefault="00EB2D31" w:rsidP="00EB2D31">
      <w:pPr>
        <w:rPr>
          <w:rFonts w:asciiTheme="majorHAnsi" w:hAnsiTheme="majorHAnsi" w:cstheme="majorHAnsi"/>
          <w:bCs/>
          <w:sz w:val="24"/>
          <w:szCs w:val="24"/>
        </w:rPr>
      </w:pPr>
    </w:p>
    <w:p w:rsidR="00EB2D31" w:rsidRPr="00D90416" w:rsidRDefault="00EB2D31" w:rsidP="00EB2D31">
      <w:pPr>
        <w:rPr>
          <w:rFonts w:asciiTheme="majorHAnsi" w:hAnsiTheme="majorHAnsi" w:cstheme="majorHAnsi"/>
          <w:bCs/>
          <w:sz w:val="24"/>
          <w:szCs w:val="24"/>
        </w:rPr>
      </w:pPr>
      <w:r w:rsidRPr="00D90416">
        <w:rPr>
          <w:rFonts w:asciiTheme="majorHAnsi" w:hAnsiTheme="majorHAnsi" w:cstheme="majorHAnsi"/>
          <w:bCs/>
          <w:sz w:val="24"/>
          <w:szCs w:val="24"/>
        </w:rPr>
        <w:t>JUDGMENT HANDED DOWN:</w:t>
      </w:r>
      <w:r w:rsidRPr="00D90416">
        <w:rPr>
          <w:rFonts w:asciiTheme="majorHAnsi" w:hAnsiTheme="majorHAnsi" w:cstheme="majorHAnsi"/>
          <w:bCs/>
          <w:sz w:val="24"/>
          <w:szCs w:val="24"/>
        </w:rPr>
        <w:tab/>
      </w:r>
      <w:r w:rsidRPr="00D90416">
        <w:rPr>
          <w:rFonts w:asciiTheme="majorHAnsi" w:hAnsiTheme="majorHAnsi" w:cstheme="majorHAnsi"/>
          <w:bCs/>
          <w:sz w:val="24"/>
          <w:szCs w:val="24"/>
        </w:rPr>
        <w:tab/>
      </w:r>
      <w:r w:rsidR="00FC63DD">
        <w:rPr>
          <w:rFonts w:asciiTheme="majorHAnsi" w:hAnsiTheme="majorHAnsi" w:cstheme="majorHAnsi"/>
          <w:bCs/>
          <w:sz w:val="24"/>
          <w:szCs w:val="24"/>
        </w:rPr>
        <w:t>27 November 2023</w:t>
      </w:r>
      <w:r w:rsidRPr="00D90416">
        <w:rPr>
          <w:rFonts w:asciiTheme="majorHAnsi" w:hAnsiTheme="majorHAnsi" w:cstheme="majorHAnsi"/>
          <w:bCs/>
          <w:sz w:val="24"/>
          <w:szCs w:val="24"/>
        </w:rPr>
        <w:tab/>
        <w:t xml:space="preserve">   </w:t>
      </w:r>
      <w:r w:rsidRPr="00D90416">
        <w:rPr>
          <w:rFonts w:asciiTheme="majorHAnsi" w:hAnsiTheme="majorHAnsi" w:cstheme="majorHAnsi"/>
          <w:bCs/>
          <w:sz w:val="24"/>
          <w:szCs w:val="24"/>
        </w:rPr>
        <w:tab/>
      </w:r>
      <w:r w:rsidRPr="00D90416">
        <w:rPr>
          <w:rFonts w:asciiTheme="majorHAnsi" w:hAnsiTheme="majorHAnsi" w:cstheme="majorHAnsi"/>
          <w:bCs/>
          <w:sz w:val="24"/>
          <w:szCs w:val="24"/>
        </w:rPr>
        <w:tab/>
      </w:r>
    </w:p>
    <w:p w:rsidR="00EB2D31" w:rsidRPr="00D90416" w:rsidRDefault="00EB2D31" w:rsidP="00B51744">
      <w:pPr>
        <w:spacing w:line="360" w:lineRule="auto"/>
        <w:rPr>
          <w:rFonts w:asciiTheme="majorHAnsi" w:hAnsiTheme="majorHAnsi" w:cstheme="majorHAnsi"/>
          <w:sz w:val="24"/>
          <w:szCs w:val="24"/>
        </w:rPr>
      </w:pPr>
    </w:p>
    <w:p w:rsidR="00EB2D31" w:rsidRPr="00D90416" w:rsidRDefault="00EB2D31" w:rsidP="00B51744">
      <w:pPr>
        <w:spacing w:line="360" w:lineRule="auto"/>
        <w:rPr>
          <w:rFonts w:asciiTheme="majorHAnsi" w:hAnsiTheme="majorHAnsi" w:cstheme="majorHAnsi"/>
          <w:sz w:val="24"/>
          <w:szCs w:val="24"/>
        </w:rPr>
      </w:pPr>
    </w:p>
    <w:p w:rsidR="00B51744" w:rsidRPr="00D90416" w:rsidRDefault="00B51744" w:rsidP="00B51744">
      <w:pPr>
        <w:spacing w:line="360" w:lineRule="auto"/>
        <w:rPr>
          <w:rFonts w:asciiTheme="majorHAnsi" w:hAnsiTheme="majorHAnsi" w:cstheme="majorHAnsi"/>
          <w:sz w:val="24"/>
          <w:szCs w:val="24"/>
        </w:rPr>
      </w:pPr>
      <w:r w:rsidRPr="00D90416">
        <w:rPr>
          <w:rFonts w:asciiTheme="majorHAnsi" w:hAnsiTheme="majorHAnsi" w:cstheme="majorHAnsi"/>
          <w:sz w:val="24"/>
          <w:szCs w:val="24"/>
        </w:rPr>
        <w:t xml:space="preserve">Appearances </w:t>
      </w:r>
    </w:p>
    <w:p w:rsidR="00B51744" w:rsidRPr="00D90416" w:rsidRDefault="00B51744" w:rsidP="00B51744">
      <w:pPr>
        <w:spacing w:line="360" w:lineRule="auto"/>
        <w:rPr>
          <w:rFonts w:asciiTheme="majorHAnsi" w:hAnsiTheme="majorHAnsi" w:cstheme="majorHAnsi"/>
          <w:sz w:val="24"/>
          <w:szCs w:val="24"/>
        </w:rPr>
      </w:pPr>
    </w:p>
    <w:p w:rsidR="00B51744" w:rsidRPr="00D90416" w:rsidRDefault="00B51744" w:rsidP="00693314">
      <w:pPr>
        <w:spacing w:line="360" w:lineRule="auto"/>
        <w:rPr>
          <w:rFonts w:asciiTheme="majorHAnsi" w:hAnsiTheme="majorHAnsi" w:cstheme="majorHAnsi"/>
          <w:sz w:val="24"/>
          <w:szCs w:val="24"/>
        </w:rPr>
      </w:pPr>
      <w:r w:rsidRPr="00D90416">
        <w:rPr>
          <w:rFonts w:asciiTheme="majorHAnsi" w:hAnsiTheme="majorHAnsi" w:cstheme="majorHAnsi"/>
          <w:sz w:val="24"/>
          <w:szCs w:val="24"/>
        </w:rPr>
        <w:t>For app</w:t>
      </w:r>
      <w:r w:rsidR="004B54AB">
        <w:rPr>
          <w:rFonts w:asciiTheme="majorHAnsi" w:hAnsiTheme="majorHAnsi" w:cstheme="majorHAnsi"/>
          <w:sz w:val="24"/>
          <w:szCs w:val="24"/>
        </w:rPr>
        <w:t>lican</w:t>
      </w:r>
      <w:r w:rsidR="005A4C14">
        <w:rPr>
          <w:rFonts w:asciiTheme="majorHAnsi" w:hAnsiTheme="majorHAnsi" w:cstheme="majorHAnsi"/>
          <w:sz w:val="24"/>
          <w:szCs w:val="24"/>
        </w:rPr>
        <w:t>t</w:t>
      </w:r>
      <w:r w:rsidRPr="00D90416">
        <w:rPr>
          <w:rFonts w:asciiTheme="majorHAnsi" w:hAnsiTheme="majorHAnsi" w:cstheme="majorHAnsi"/>
          <w:sz w:val="24"/>
          <w:szCs w:val="24"/>
        </w:rPr>
        <w:t>:</w:t>
      </w:r>
      <w:r w:rsidRPr="00D90416">
        <w:rPr>
          <w:rFonts w:asciiTheme="majorHAnsi" w:hAnsiTheme="majorHAnsi" w:cstheme="majorHAnsi"/>
          <w:sz w:val="24"/>
          <w:szCs w:val="24"/>
        </w:rPr>
        <w:tab/>
      </w:r>
      <w:r w:rsidR="00693314">
        <w:rPr>
          <w:rFonts w:asciiTheme="majorHAnsi" w:hAnsiTheme="majorHAnsi" w:cstheme="majorHAnsi"/>
          <w:sz w:val="24"/>
          <w:szCs w:val="24"/>
        </w:rPr>
        <w:tab/>
      </w:r>
      <w:r w:rsidR="00693314">
        <w:rPr>
          <w:rFonts w:asciiTheme="majorHAnsi" w:hAnsiTheme="majorHAnsi" w:cstheme="majorHAnsi"/>
          <w:sz w:val="24"/>
          <w:szCs w:val="24"/>
        </w:rPr>
        <w:tab/>
      </w:r>
      <w:r w:rsidR="004B54AB">
        <w:rPr>
          <w:rFonts w:asciiTheme="majorHAnsi" w:hAnsiTheme="majorHAnsi" w:cstheme="majorHAnsi"/>
          <w:sz w:val="24"/>
          <w:szCs w:val="24"/>
        </w:rPr>
        <w:t>MS L MILLS</w:t>
      </w:r>
    </w:p>
    <w:p w:rsidR="00E24120" w:rsidRDefault="00B51744" w:rsidP="00693314">
      <w:pPr>
        <w:spacing w:line="360" w:lineRule="auto"/>
        <w:rPr>
          <w:rFonts w:asciiTheme="majorHAnsi" w:hAnsiTheme="majorHAnsi" w:cstheme="majorHAnsi"/>
          <w:sz w:val="24"/>
          <w:szCs w:val="24"/>
        </w:rPr>
      </w:pPr>
      <w:r w:rsidRPr="00D90416">
        <w:rPr>
          <w:rFonts w:asciiTheme="majorHAnsi" w:hAnsiTheme="majorHAnsi" w:cstheme="majorHAnsi"/>
          <w:bCs/>
          <w:sz w:val="24"/>
          <w:szCs w:val="24"/>
        </w:rPr>
        <w:t xml:space="preserve">Instructed by: </w:t>
      </w:r>
      <w:r w:rsidR="00693314">
        <w:rPr>
          <w:rFonts w:asciiTheme="majorHAnsi" w:hAnsiTheme="majorHAnsi" w:cstheme="majorHAnsi"/>
          <w:bCs/>
          <w:sz w:val="24"/>
          <w:szCs w:val="24"/>
        </w:rPr>
        <w:tab/>
        <w:t xml:space="preserve">                     </w:t>
      </w:r>
      <w:r w:rsidR="005A4C14">
        <w:rPr>
          <w:rFonts w:asciiTheme="majorHAnsi" w:hAnsiTheme="majorHAnsi" w:cstheme="majorHAnsi"/>
          <w:sz w:val="24"/>
          <w:szCs w:val="24"/>
        </w:rPr>
        <w:t>DeRauville Inc</w:t>
      </w:r>
    </w:p>
    <w:p w:rsidR="005A4C14" w:rsidRDefault="00693314" w:rsidP="00693314">
      <w:pPr>
        <w:spacing w:line="36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005A4C14">
        <w:rPr>
          <w:rFonts w:asciiTheme="majorHAnsi" w:hAnsiTheme="majorHAnsi" w:cstheme="majorHAnsi"/>
          <w:sz w:val="24"/>
          <w:szCs w:val="24"/>
        </w:rPr>
        <w:t>c/o Tatham Wilkes Inc</w:t>
      </w:r>
    </w:p>
    <w:p w:rsidR="005A4C14" w:rsidRDefault="00693314" w:rsidP="00693314">
      <w:pPr>
        <w:spacing w:line="36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005A4C14">
        <w:rPr>
          <w:rFonts w:asciiTheme="majorHAnsi" w:hAnsiTheme="majorHAnsi" w:cstheme="majorHAnsi"/>
          <w:sz w:val="24"/>
          <w:szCs w:val="24"/>
        </w:rPr>
        <w:t>200 Hoosen Haffajee Street</w:t>
      </w:r>
    </w:p>
    <w:p w:rsidR="005A4C14" w:rsidRDefault="00693314" w:rsidP="00693314">
      <w:pPr>
        <w:spacing w:line="36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005A4C14">
        <w:rPr>
          <w:rFonts w:asciiTheme="majorHAnsi" w:hAnsiTheme="majorHAnsi" w:cstheme="majorHAnsi"/>
          <w:sz w:val="24"/>
          <w:szCs w:val="24"/>
        </w:rPr>
        <w:t>Pietermaritzburg</w:t>
      </w:r>
    </w:p>
    <w:p w:rsidR="005A4C14" w:rsidRPr="00D90416" w:rsidRDefault="00693314" w:rsidP="00693314">
      <w:pPr>
        <w:spacing w:line="36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005A4C14">
        <w:rPr>
          <w:rFonts w:asciiTheme="majorHAnsi" w:hAnsiTheme="majorHAnsi" w:cstheme="majorHAnsi"/>
          <w:sz w:val="24"/>
          <w:szCs w:val="24"/>
        </w:rPr>
        <w:t>Email: Ureesha@tathamwilkes.co.za</w:t>
      </w:r>
    </w:p>
    <w:p w:rsidR="00B51744" w:rsidRPr="00D90416" w:rsidRDefault="00B51744" w:rsidP="00EB2D31">
      <w:pPr>
        <w:spacing w:line="360" w:lineRule="auto"/>
        <w:rPr>
          <w:rFonts w:asciiTheme="majorHAnsi" w:hAnsiTheme="majorHAnsi" w:cstheme="majorHAnsi"/>
          <w:bCs/>
          <w:sz w:val="24"/>
          <w:szCs w:val="24"/>
        </w:rPr>
      </w:pPr>
    </w:p>
    <w:p w:rsidR="00B51744" w:rsidRPr="00D90416" w:rsidRDefault="00B51744" w:rsidP="00B51744">
      <w:pPr>
        <w:spacing w:line="360" w:lineRule="auto"/>
        <w:rPr>
          <w:rFonts w:asciiTheme="majorHAnsi" w:hAnsiTheme="majorHAnsi" w:cstheme="majorHAnsi"/>
          <w:bCs/>
          <w:sz w:val="24"/>
          <w:szCs w:val="24"/>
        </w:rPr>
      </w:pPr>
      <w:r w:rsidRPr="00D90416">
        <w:rPr>
          <w:rFonts w:asciiTheme="majorHAnsi" w:hAnsiTheme="majorHAnsi" w:cstheme="majorHAnsi"/>
          <w:bCs/>
          <w:sz w:val="24"/>
          <w:szCs w:val="24"/>
        </w:rPr>
        <w:t xml:space="preserve"> </w:t>
      </w:r>
    </w:p>
    <w:p w:rsidR="00B51744" w:rsidRPr="00D90416" w:rsidRDefault="00B51744" w:rsidP="00693314">
      <w:pPr>
        <w:spacing w:line="360" w:lineRule="auto"/>
        <w:rPr>
          <w:rFonts w:ascii="Arial" w:hAnsi="Arial" w:cs="Arial"/>
          <w:sz w:val="24"/>
          <w:szCs w:val="24"/>
        </w:rPr>
      </w:pPr>
      <w:r w:rsidRPr="00D90416">
        <w:rPr>
          <w:rFonts w:ascii="Arial" w:hAnsi="Arial" w:cs="Arial"/>
          <w:sz w:val="24"/>
          <w:szCs w:val="24"/>
        </w:rPr>
        <w:t xml:space="preserve">For </w:t>
      </w:r>
      <w:r w:rsidR="00881D52" w:rsidRPr="00D90416">
        <w:rPr>
          <w:rFonts w:ascii="Arial" w:hAnsi="Arial" w:cs="Arial"/>
          <w:sz w:val="24"/>
          <w:szCs w:val="24"/>
        </w:rPr>
        <w:t xml:space="preserve">first </w:t>
      </w:r>
      <w:r w:rsidRPr="00D90416">
        <w:rPr>
          <w:rFonts w:ascii="Arial" w:hAnsi="Arial" w:cs="Arial"/>
          <w:sz w:val="24"/>
          <w:szCs w:val="24"/>
        </w:rPr>
        <w:t>respondent:</w:t>
      </w:r>
      <w:r w:rsidRPr="00D90416">
        <w:rPr>
          <w:rFonts w:ascii="Arial" w:hAnsi="Arial" w:cs="Arial"/>
          <w:sz w:val="24"/>
          <w:szCs w:val="24"/>
        </w:rPr>
        <w:tab/>
      </w:r>
      <w:r w:rsidR="00693314">
        <w:rPr>
          <w:rFonts w:ascii="Arial" w:hAnsi="Arial" w:cs="Arial"/>
          <w:sz w:val="24"/>
          <w:szCs w:val="24"/>
        </w:rPr>
        <w:tab/>
      </w:r>
      <w:r w:rsidR="00693314">
        <w:rPr>
          <w:rFonts w:ascii="Arial" w:hAnsi="Arial" w:cs="Arial"/>
          <w:sz w:val="24"/>
          <w:szCs w:val="24"/>
        </w:rPr>
        <w:tab/>
      </w:r>
      <w:r w:rsidR="004B54AB">
        <w:rPr>
          <w:rFonts w:ascii="Arial" w:hAnsi="Arial" w:cs="Arial"/>
          <w:sz w:val="24"/>
          <w:szCs w:val="24"/>
        </w:rPr>
        <w:t>MR A J RALL SC</w:t>
      </w:r>
    </w:p>
    <w:p w:rsidR="00EB2D31" w:rsidRDefault="00B51744" w:rsidP="00693314">
      <w:pPr>
        <w:spacing w:line="360" w:lineRule="auto"/>
        <w:rPr>
          <w:rFonts w:ascii="Arial" w:hAnsi="Arial" w:cs="Arial"/>
          <w:bCs/>
          <w:sz w:val="24"/>
          <w:szCs w:val="24"/>
        </w:rPr>
      </w:pPr>
      <w:r w:rsidRPr="00D90416">
        <w:rPr>
          <w:rFonts w:ascii="Arial" w:hAnsi="Arial" w:cs="Arial"/>
          <w:bCs/>
          <w:sz w:val="24"/>
          <w:szCs w:val="24"/>
        </w:rPr>
        <w:t>Instructed by</w:t>
      </w:r>
      <w:r w:rsidR="00693314">
        <w:rPr>
          <w:rFonts w:ascii="Arial" w:hAnsi="Arial" w:cs="Arial"/>
          <w:bCs/>
          <w:sz w:val="24"/>
          <w:szCs w:val="24"/>
        </w:rPr>
        <w:t>:</w:t>
      </w:r>
      <w:r w:rsidR="00693314">
        <w:rPr>
          <w:rFonts w:ascii="Arial" w:hAnsi="Arial" w:cs="Arial"/>
          <w:bCs/>
          <w:sz w:val="24"/>
          <w:szCs w:val="24"/>
        </w:rPr>
        <w:tab/>
      </w:r>
      <w:r w:rsidR="00693314">
        <w:rPr>
          <w:rFonts w:ascii="Arial" w:hAnsi="Arial" w:cs="Arial"/>
          <w:bCs/>
          <w:sz w:val="24"/>
          <w:szCs w:val="24"/>
        </w:rPr>
        <w:tab/>
      </w:r>
      <w:r w:rsidR="00693314">
        <w:rPr>
          <w:rFonts w:ascii="Arial" w:hAnsi="Arial" w:cs="Arial"/>
          <w:bCs/>
          <w:sz w:val="24"/>
          <w:szCs w:val="24"/>
        </w:rPr>
        <w:tab/>
        <w:t xml:space="preserve">Cox Yeats Attorneys </w:t>
      </w:r>
    </w:p>
    <w:p w:rsidR="00693314" w:rsidRDefault="00693314" w:rsidP="00693314">
      <w:pPr>
        <w:spacing w:line="36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c/o Stowell &amp; Co </w:t>
      </w:r>
    </w:p>
    <w:p w:rsidR="00693314" w:rsidRDefault="00693314" w:rsidP="00693314">
      <w:pPr>
        <w:spacing w:line="36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295 Pietermaritz Street </w:t>
      </w:r>
    </w:p>
    <w:p w:rsidR="00693314" w:rsidRDefault="00693314" w:rsidP="00693314">
      <w:pPr>
        <w:spacing w:line="36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Pietermaritzburg </w:t>
      </w:r>
    </w:p>
    <w:p w:rsidR="00693314" w:rsidRDefault="00693314" w:rsidP="00693314">
      <w:pPr>
        <w:spacing w:line="36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Tel: 033 845 0500</w:t>
      </w:r>
    </w:p>
    <w:p w:rsidR="00693314" w:rsidRDefault="00693314" w:rsidP="00693314">
      <w:pPr>
        <w:spacing w:line="36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Email: </w:t>
      </w:r>
      <w:hyperlink r:id="rId9" w:history="1">
        <w:r w:rsidRPr="004C7EE3">
          <w:rPr>
            <w:rStyle w:val="Hyperlink"/>
            <w:rFonts w:ascii="Arial" w:hAnsi="Arial" w:cs="Arial"/>
            <w:bCs/>
            <w:sz w:val="24"/>
            <w:szCs w:val="24"/>
          </w:rPr>
          <w:t>stephanieb@stowell.co.za</w:t>
        </w:r>
      </w:hyperlink>
    </w:p>
    <w:p w:rsidR="00693314" w:rsidRPr="00D90416" w:rsidRDefault="00693314" w:rsidP="00693314">
      <w:pPr>
        <w:spacing w:line="360" w:lineRule="auto"/>
        <w:rPr>
          <w:rFonts w:ascii="Arial" w:hAnsi="Arial" w:cs="Arial"/>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Ref: G J Campbell/Cox/0682</w:t>
      </w:r>
    </w:p>
    <w:p w:rsidR="00EB2D31" w:rsidRPr="00D90416" w:rsidRDefault="00EB2D31" w:rsidP="00EB2D31">
      <w:pPr>
        <w:tabs>
          <w:tab w:val="left" w:pos="5245"/>
        </w:tabs>
        <w:spacing w:line="360" w:lineRule="auto"/>
        <w:rPr>
          <w:rFonts w:ascii="Arial" w:hAnsi="Arial" w:cs="Arial"/>
          <w:bCs/>
          <w:sz w:val="24"/>
          <w:szCs w:val="24"/>
        </w:rPr>
      </w:pPr>
    </w:p>
    <w:p w:rsidR="00B51744" w:rsidRPr="00D90416" w:rsidRDefault="00B51744" w:rsidP="00B51744">
      <w:pPr>
        <w:pStyle w:val="Pa3"/>
        <w:spacing w:line="360" w:lineRule="auto"/>
        <w:rPr>
          <w:rFonts w:cs="Arial"/>
          <w:sz w:val="24"/>
          <w:szCs w:val="24"/>
        </w:rPr>
      </w:pPr>
    </w:p>
    <w:p w:rsidR="00881D52" w:rsidRPr="00D90416" w:rsidRDefault="00693314" w:rsidP="004044D9">
      <w:pPr>
        <w:tabs>
          <w:tab w:val="left" w:pos="5245"/>
        </w:tabs>
        <w:rPr>
          <w:rFonts w:ascii="Arial" w:hAnsi="Arial" w:cs="Arial"/>
          <w:sz w:val="24"/>
          <w:szCs w:val="24"/>
          <w:lang w:val="en-GB"/>
        </w:rPr>
      </w:pPr>
      <w:r>
        <w:rPr>
          <w:rFonts w:ascii="Arial" w:hAnsi="Arial" w:cs="Arial"/>
          <w:sz w:val="24"/>
          <w:szCs w:val="24"/>
          <w:lang w:val="en-GB"/>
        </w:rPr>
        <w:t>F</w:t>
      </w:r>
      <w:r w:rsidR="00881D52" w:rsidRPr="00D90416">
        <w:rPr>
          <w:rFonts w:ascii="Arial" w:hAnsi="Arial" w:cs="Arial"/>
          <w:sz w:val="24"/>
          <w:szCs w:val="24"/>
          <w:lang w:val="en-GB"/>
        </w:rPr>
        <w:t>or second respondent</w:t>
      </w:r>
      <w:r>
        <w:rPr>
          <w:rFonts w:ascii="Arial" w:hAnsi="Arial" w:cs="Arial"/>
          <w:sz w:val="24"/>
          <w:szCs w:val="24"/>
          <w:lang w:val="en-GB"/>
        </w:rPr>
        <w:t xml:space="preserve">:               No appearance </w:t>
      </w:r>
      <w:r w:rsidR="004044D9" w:rsidRPr="00D90416">
        <w:rPr>
          <w:rFonts w:ascii="Arial" w:hAnsi="Arial" w:cs="Arial"/>
          <w:sz w:val="24"/>
          <w:szCs w:val="24"/>
          <w:lang w:val="en-GB"/>
        </w:rPr>
        <w:tab/>
      </w:r>
    </w:p>
    <w:p w:rsidR="00B51744" w:rsidRPr="00D90416" w:rsidRDefault="00B51744" w:rsidP="00B51744">
      <w:pPr>
        <w:spacing w:line="360" w:lineRule="auto"/>
        <w:jc w:val="both"/>
        <w:rPr>
          <w:rFonts w:ascii="Arial" w:hAnsi="Arial" w:cs="Arial"/>
          <w:sz w:val="24"/>
          <w:szCs w:val="24"/>
        </w:rPr>
      </w:pPr>
    </w:p>
    <w:p w:rsidR="00B51744" w:rsidRPr="00D90416" w:rsidRDefault="00B51744" w:rsidP="00B51744">
      <w:pPr>
        <w:rPr>
          <w:rFonts w:ascii="Arial" w:hAnsi="Arial" w:cs="Arial"/>
          <w:sz w:val="24"/>
          <w:szCs w:val="24"/>
        </w:rPr>
      </w:pPr>
    </w:p>
    <w:p w:rsidR="00EB2D31" w:rsidRPr="00D90416" w:rsidRDefault="00EB2D31">
      <w:pPr>
        <w:rPr>
          <w:rFonts w:ascii="Arial" w:hAnsi="Arial" w:cs="Arial"/>
          <w:sz w:val="24"/>
          <w:szCs w:val="24"/>
        </w:rPr>
      </w:pPr>
    </w:p>
    <w:sectPr w:rsidR="00EB2D31" w:rsidRPr="00D90416" w:rsidSect="00633ED3">
      <w:headerReference w:type="even" r:id="rId10"/>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167" w:rsidRDefault="00A31167">
      <w:r>
        <w:separator/>
      </w:r>
    </w:p>
  </w:endnote>
  <w:endnote w:type="continuationSeparator" w:id="0">
    <w:p w:rsidR="00A31167" w:rsidRDefault="00A3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167" w:rsidRDefault="00A31167">
      <w:r>
        <w:separator/>
      </w:r>
    </w:p>
  </w:footnote>
  <w:footnote w:type="continuationSeparator" w:id="0">
    <w:p w:rsidR="00A31167" w:rsidRDefault="00A31167">
      <w:r>
        <w:continuationSeparator/>
      </w:r>
    </w:p>
  </w:footnote>
  <w:footnote w:id="1">
    <w:p w:rsidR="00B76FC6" w:rsidRDefault="00B76FC6" w:rsidP="002D3A23">
      <w:pPr>
        <w:pStyle w:val="FootnoteText"/>
      </w:pPr>
      <w:r>
        <w:rPr>
          <w:rStyle w:val="FootnoteReference"/>
        </w:rPr>
        <w:footnoteRef/>
      </w:r>
      <w:r>
        <w:t xml:space="preserve"> Comwezi Security Services v Cape Empowerment Trust Ltd 2012 ZASCA 127 (21 September 2012) </w:t>
      </w:r>
      <w:r w:rsidR="00512C56">
        <w:t>para 15.</w:t>
      </w:r>
    </w:p>
  </w:footnote>
  <w:footnote w:id="2">
    <w:p w:rsidR="00E57463" w:rsidRDefault="00E57463" w:rsidP="002D3A23">
      <w:pPr>
        <w:pStyle w:val="FootnoteText"/>
      </w:pPr>
      <w:r>
        <w:rPr>
          <w:rStyle w:val="FootnoteReference"/>
        </w:rPr>
        <w:footnoteRef/>
      </w:r>
      <w:r>
        <w:t xml:space="preserve"> </w:t>
      </w:r>
      <w:r w:rsidRPr="00E57463">
        <w:t xml:space="preserve">Du Plessis NO and another v Goldco Motor &amp; Cycle Supplies (Pty) Ltd </w:t>
      </w:r>
      <w:r>
        <w:t>2009 (6) SA 617 (SCA) para 19</w:t>
      </w:r>
      <w:r w:rsidR="00B71DEC">
        <w:t>.</w:t>
      </w:r>
      <w:r>
        <w:t xml:space="preserve"> </w:t>
      </w:r>
    </w:p>
  </w:footnote>
  <w:footnote w:id="3">
    <w:p w:rsidR="006B1DA8" w:rsidRDefault="006B1DA8" w:rsidP="002D3A23">
      <w:pPr>
        <w:pStyle w:val="FootnoteText"/>
      </w:pPr>
      <w:r>
        <w:rPr>
          <w:rStyle w:val="FootnoteReference"/>
        </w:rPr>
        <w:footnoteRef/>
      </w:r>
      <w:r>
        <w:t xml:space="preserve"> Natal Joint Municipal Pension Fund v Endumeni Municipality 2012 (4) SA 593 (SCA) paras 18 </w:t>
      </w:r>
      <w:r w:rsidR="00D14065">
        <w:t>-</w:t>
      </w:r>
      <w:r>
        <w:t>23.</w:t>
      </w:r>
    </w:p>
  </w:footnote>
  <w:footnote w:id="4">
    <w:p w:rsidR="006B1DA8" w:rsidRDefault="006B1DA8" w:rsidP="002D3A23">
      <w:pPr>
        <w:pStyle w:val="FootnoteText"/>
      </w:pPr>
      <w:r>
        <w:rPr>
          <w:rStyle w:val="FootnoteReference"/>
        </w:rPr>
        <w:footnoteRef/>
      </w:r>
      <w:r>
        <w:t xml:space="preserve"> Novartis SA (Pty) Ltd v Maphil Trading Ltd 2016 (1) SA 518 (SCA) paras 24– 25</w:t>
      </w:r>
      <w:r w:rsidR="00FF0029">
        <w:t>.</w:t>
      </w:r>
    </w:p>
  </w:footnote>
  <w:footnote w:id="5">
    <w:p w:rsidR="006B1DA8" w:rsidRPr="006B1DA8" w:rsidRDefault="00F676A1" w:rsidP="006B1DA8">
      <w:pPr>
        <w:tabs>
          <w:tab w:val="left" w:pos="567"/>
        </w:tabs>
        <w:rPr>
          <w:rFonts w:asciiTheme="majorHAnsi" w:hAnsiTheme="majorHAnsi" w:cstheme="majorHAnsi"/>
          <w:sz w:val="20"/>
          <w:szCs w:val="20"/>
        </w:rPr>
      </w:pPr>
      <w:r w:rsidRPr="006B1DA8">
        <w:rPr>
          <w:rStyle w:val="FootnoteReference"/>
          <w:rFonts w:asciiTheme="majorHAnsi" w:hAnsiTheme="majorHAnsi" w:cstheme="majorHAnsi"/>
          <w:sz w:val="20"/>
          <w:szCs w:val="20"/>
        </w:rPr>
        <w:footnoteRef/>
      </w:r>
      <w:r w:rsidRPr="006B1DA8">
        <w:rPr>
          <w:rFonts w:asciiTheme="majorHAnsi" w:hAnsiTheme="majorHAnsi" w:cstheme="majorHAnsi"/>
          <w:sz w:val="20"/>
          <w:szCs w:val="20"/>
        </w:rPr>
        <w:t xml:space="preserve"> </w:t>
      </w:r>
      <w:r w:rsidR="006B1DA8" w:rsidRPr="006B1DA8">
        <w:rPr>
          <w:rFonts w:asciiTheme="majorHAnsi" w:hAnsiTheme="majorHAnsi" w:cstheme="majorHAnsi"/>
          <w:i/>
          <w:sz w:val="20"/>
          <w:szCs w:val="20"/>
        </w:rPr>
        <w:t xml:space="preserve">Auction Alliance v Wade Park </w:t>
      </w:r>
      <w:r w:rsidR="006B1DA8" w:rsidRPr="006B1DA8">
        <w:rPr>
          <w:rFonts w:asciiTheme="majorHAnsi" w:hAnsiTheme="majorHAnsi" w:cstheme="majorHAnsi"/>
          <w:iCs/>
          <w:sz w:val="20"/>
          <w:szCs w:val="20"/>
        </w:rPr>
        <w:t>2018 (4) SA 358 (SCA) para 19.</w:t>
      </w:r>
    </w:p>
    <w:p w:rsidR="00F676A1" w:rsidRDefault="00F676A1" w:rsidP="002D3A2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E80" w:rsidRDefault="00582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2E80" w:rsidRDefault="00582E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E80" w:rsidRDefault="00582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63DD">
      <w:rPr>
        <w:rStyle w:val="PageNumber"/>
        <w:noProof/>
      </w:rPr>
      <w:t>17</w:t>
    </w:r>
    <w:r>
      <w:rPr>
        <w:rStyle w:val="PageNumber"/>
      </w:rPr>
      <w:fldChar w:fldCharType="end"/>
    </w:r>
  </w:p>
  <w:p w:rsidR="00582E80" w:rsidRDefault="00582E8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35FAFFA4"/>
    <w:lvl w:ilvl="0" w:tplc="FB90737C">
      <w:start w:val="1"/>
      <w:numFmt w:val="decimal"/>
      <w:lvlText w:val="[%1]"/>
      <w:lvlJc w:val="left"/>
      <w:pPr>
        <w:ind w:left="0" w:firstLine="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83104"/>
    <w:multiLevelType w:val="multilevel"/>
    <w:tmpl w:val="2E06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A53E25"/>
    <w:multiLevelType w:val="hybridMultilevel"/>
    <w:tmpl w:val="DFC04BB6"/>
    <w:lvl w:ilvl="0" w:tplc="FFFFFFFF">
      <w:start w:val="1"/>
      <w:numFmt w:val="lowerRoman"/>
      <w:lvlText w:val="%1)"/>
      <w:lvlJc w:val="left"/>
      <w:pPr>
        <w:ind w:left="2421" w:hanging="720"/>
      </w:pPr>
      <w:rPr>
        <w:rFonts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3" w15:restartNumberingAfterBreak="0">
    <w:nsid w:val="3ACA151C"/>
    <w:multiLevelType w:val="multilevel"/>
    <w:tmpl w:val="2804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613713"/>
    <w:multiLevelType w:val="multilevel"/>
    <w:tmpl w:val="374CA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345EE3"/>
    <w:multiLevelType w:val="hybridMultilevel"/>
    <w:tmpl w:val="A0D2388A"/>
    <w:lvl w:ilvl="0" w:tplc="A6105698">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6" w15:restartNumberingAfterBreak="0">
    <w:nsid w:val="471079AC"/>
    <w:multiLevelType w:val="multilevel"/>
    <w:tmpl w:val="384E8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9D05BD"/>
    <w:multiLevelType w:val="multilevel"/>
    <w:tmpl w:val="8320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1D0755"/>
    <w:multiLevelType w:val="hybridMultilevel"/>
    <w:tmpl w:val="DFC04BB6"/>
    <w:lvl w:ilvl="0" w:tplc="05EC835C">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9" w15:restartNumberingAfterBreak="0">
    <w:nsid w:val="6B9334B2"/>
    <w:multiLevelType w:val="hybridMultilevel"/>
    <w:tmpl w:val="3494614A"/>
    <w:lvl w:ilvl="0" w:tplc="18501B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8"/>
  </w:num>
  <w:num w:numId="5">
    <w:abstractNumId w:val="2"/>
  </w:num>
  <w:num w:numId="6">
    <w:abstractNumId w:val="3"/>
  </w:num>
  <w:num w:numId="7">
    <w:abstractNumId w:val="6"/>
  </w:num>
  <w:num w:numId="8">
    <w:abstractNumId w:val="7"/>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44"/>
    <w:rsid w:val="00035C80"/>
    <w:rsid w:val="000438CA"/>
    <w:rsid w:val="0004693C"/>
    <w:rsid w:val="00057CDD"/>
    <w:rsid w:val="000614F9"/>
    <w:rsid w:val="000723BB"/>
    <w:rsid w:val="00073F26"/>
    <w:rsid w:val="00075739"/>
    <w:rsid w:val="00077E03"/>
    <w:rsid w:val="000865B3"/>
    <w:rsid w:val="000A4B65"/>
    <w:rsid w:val="000E3932"/>
    <w:rsid w:val="000E4D58"/>
    <w:rsid w:val="000E70D3"/>
    <w:rsid w:val="000F27D2"/>
    <w:rsid w:val="000F7665"/>
    <w:rsid w:val="00111E9C"/>
    <w:rsid w:val="00164D89"/>
    <w:rsid w:val="001A0674"/>
    <w:rsid w:val="001B630B"/>
    <w:rsid w:val="001B6797"/>
    <w:rsid w:val="001C61FF"/>
    <w:rsid w:val="001D5A19"/>
    <w:rsid w:val="001D5DFA"/>
    <w:rsid w:val="001D5F7C"/>
    <w:rsid w:val="001F0EB4"/>
    <w:rsid w:val="00202288"/>
    <w:rsid w:val="00205F75"/>
    <w:rsid w:val="00206981"/>
    <w:rsid w:val="00212419"/>
    <w:rsid w:val="002460B9"/>
    <w:rsid w:val="00275E0F"/>
    <w:rsid w:val="00276C98"/>
    <w:rsid w:val="002832C4"/>
    <w:rsid w:val="00286498"/>
    <w:rsid w:val="0029497F"/>
    <w:rsid w:val="002955E3"/>
    <w:rsid w:val="00295D3D"/>
    <w:rsid w:val="002C61B1"/>
    <w:rsid w:val="002D2DC1"/>
    <w:rsid w:val="002D3A23"/>
    <w:rsid w:val="002F7E5B"/>
    <w:rsid w:val="00312812"/>
    <w:rsid w:val="00331DE3"/>
    <w:rsid w:val="0033449A"/>
    <w:rsid w:val="00337F60"/>
    <w:rsid w:val="0035505E"/>
    <w:rsid w:val="0036261B"/>
    <w:rsid w:val="00363B92"/>
    <w:rsid w:val="00364C19"/>
    <w:rsid w:val="0038171F"/>
    <w:rsid w:val="00391351"/>
    <w:rsid w:val="00392071"/>
    <w:rsid w:val="00393685"/>
    <w:rsid w:val="003C2517"/>
    <w:rsid w:val="003D6642"/>
    <w:rsid w:val="004044D9"/>
    <w:rsid w:val="00425EB7"/>
    <w:rsid w:val="00475D17"/>
    <w:rsid w:val="00493879"/>
    <w:rsid w:val="004A1DAF"/>
    <w:rsid w:val="004B54AB"/>
    <w:rsid w:val="00501C46"/>
    <w:rsid w:val="005050E5"/>
    <w:rsid w:val="00505691"/>
    <w:rsid w:val="005103DA"/>
    <w:rsid w:val="00512C56"/>
    <w:rsid w:val="00513212"/>
    <w:rsid w:val="005144C5"/>
    <w:rsid w:val="00523997"/>
    <w:rsid w:val="0056426A"/>
    <w:rsid w:val="00564383"/>
    <w:rsid w:val="00582E80"/>
    <w:rsid w:val="005A0993"/>
    <w:rsid w:val="005A4C14"/>
    <w:rsid w:val="00603DAE"/>
    <w:rsid w:val="00610DBD"/>
    <w:rsid w:val="00627461"/>
    <w:rsid w:val="00630327"/>
    <w:rsid w:val="00632A6D"/>
    <w:rsid w:val="00633ED3"/>
    <w:rsid w:val="0066050E"/>
    <w:rsid w:val="006713E6"/>
    <w:rsid w:val="00685520"/>
    <w:rsid w:val="00685712"/>
    <w:rsid w:val="00693314"/>
    <w:rsid w:val="006B1DA8"/>
    <w:rsid w:val="006C2B8B"/>
    <w:rsid w:val="00700CFD"/>
    <w:rsid w:val="007103E4"/>
    <w:rsid w:val="00717109"/>
    <w:rsid w:val="00721A8C"/>
    <w:rsid w:val="00725B96"/>
    <w:rsid w:val="007819A7"/>
    <w:rsid w:val="00781BFE"/>
    <w:rsid w:val="00786BA1"/>
    <w:rsid w:val="00794AE8"/>
    <w:rsid w:val="007A73BF"/>
    <w:rsid w:val="007B0E7A"/>
    <w:rsid w:val="007B14B4"/>
    <w:rsid w:val="007B45FA"/>
    <w:rsid w:val="007C03F2"/>
    <w:rsid w:val="007F1C27"/>
    <w:rsid w:val="00817CBC"/>
    <w:rsid w:val="0082333B"/>
    <w:rsid w:val="00824A6E"/>
    <w:rsid w:val="008411D1"/>
    <w:rsid w:val="00842814"/>
    <w:rsid w:val="00846137"/>
    <w:rsid w:val="00881D52"/>
    <w:rsid w:val="00895396"/>
    <w:rsid w:val="008A4DFC"/>
    <w:rsid w:val="008A63CA"/>
    <w:rsid w:val="008B1405"/>
    <w:rsid w:val="008C4973"/>
    <w:rsid w:val="008C62A7"/>
    <w:rsid w:val="008D4655"/>
    <w:rsid w:val="008D49A6"/>
    <w:rsid w:val="008D5602"/>
    <w:rsid w:val="008F166F"/>
    <w:rsid w:val="008F394F"/>
    <w:rsid w:val="00902974"/>
    <w:rsid w:val="00903AD6"/>
    <w:rsid w:val="00915D33"/>
    <w:rsid w:val="00937A1D"/>
    <w:rsid w:val="00943817"/>
    <w:rsid w:val="00946C89"/>
    <w:rsid w:val="0095527B"/>
    <w:rsid w:val="009619B8"/>
    <w:rsid w:val="00987474"/>
    <w:rsid w:val="009B159F"/>
    <w:rsid w:val="009C43BB"/>
    <w:rsid w:val="009C7E79"/>
    <w:rsid w:val="009E2C47"/>
    <w:rsid w:val="009E5D45"/>
    <w:rsid w:val="00A1010F"/>
    <w:rsid w:val="00A206EC"/>
    <w:rsid w:val="00A27161"/>
    <w:rsid w:val="00A31167"/>
    <w:rsid w:val="00A32208"/>
    <w:rsid w:val="00A74C32"/>
    <w:rsid w:val="00A82C63"/>
    <w:rsid w:val="00AE4DFA"/>
    <w:rsid w:val="00AF06B4"/>
    <w:rsid w:val="00B32429"/>
    <w:rsid w:val="00B51744"/>
    <w:rsid w:val="00B5340C"/>
    <w:rsid w:val="00B6056B"/>
    <w:rsid w:val="00B66C12"/>
    <w:rsid w:val="00B67E8C"/>
    <w:rsid w:val="00B71DEC"/>
    <w:rsid w:val="00B76FC6"/>
    <w:rsid w:val="00B837C0"/>
    <w:rsid w:val="00B90CC7"/>
    <w:rsid w:val="00BA5B1C"/>
    <w:rsid w:val="00BB26AD"/>
    <w:rsid w:val="00BC38D9"/>
    <w:rsid w:val="00BD38D1"/>
    <w:rsid w:val="00C155E0"/>
    <w:rsid w:val="00C44C11"/>
    <w:rsid w:val="00C4710B"/>
    <w:rsid w:val="00C5050B"/>
    <w:rsid w:val="00C6655C"/>
    <w:rsid w:val="00C85834"/>
    <w:rsid w:val="00CB511C"/>
    <w:rsid w:val="00CC4BBB"/>
    <w:rsid w:val="00CE0D9B"/>
    <w:rsid w:val="00CE2EE4"/>
    <w:rsid w:val="00CF3857"/>
    <w:rsid w:val="00D002E3"/>
    <w:rsid w:val="00D04817"/>
    <w:rsid w:val="00D05163"/>
    <w:rsid w:val="00D071E7"/>
    <w:rsid w:val="00D14065"/>
    <w:rsid w:val="00D171E3"/>
    <w:rsid w:val="00D60F5F"/>
    <w:rsid w:val="00D65891"/>
    <w:rsid w:val="00D67ADF"/>
    <w:rsid w:val="00D90416"/>
    <w:rsid w:val="00DB0BED"/>
    <w:rsid w:val="00DB4D97"/>
    <w:rsid w:val="00DC0B31"/>
    <w:rsid w:val="00DD5BB8"/>
    <w:rsid w:val="00DD7855"/>
    <w:rsid w:val="00E06EA7"/>
    <w:rsid w:val="00E16E37"/>
    <w:rsid w:val="00E20C63"/>
    <w:rsid w:val="00E24120"/>
    <w:rsid w:val="00E41143"/>
    <w:rsid w:val="00E57463"/>
    <w:rsid w:val="00E64FA9"/>
    <w:rsid w:val="00E7564C"/>
    <w:rsid w:val="00EB2D31"/>
    <w:rsid w:val="00EC38D2"/>
    <w:rsid w:val="00EC3CD2"/>
    <w:rsid w:val="00ED1304"/>
    <w:rsid w:val="00ED1709"/>
    <w:rsid w:val="00ED6D57"/>
    <w:rsid w:val="00EE59E9"/>
    <w:rsid w:val="00F21FF5"/>
    <w:rsid w:val="00F2328B"/>
    <w:rsid w:val="00F26D06"/>
    <w:rsid w:val="00F275AE"/>
    <w:rsid w:val="00F633F8"/>
    <w:rsid w:val="00F676A1"/>
    <w:rsid w:val="00FA0849"/>
    <w:rsid w:val="00FB29D9"/>
    <w:rsid w:val="00FB3956"/>
    <w:rsid w:val="00FB6C69"/>
    <w:rsid w:val="00FC5C65"/>
    <w:rsid w:val="00FC63DD"/>
    <w:rsid w:val="00FD00DA"/>
    <w:rsid w:val="00FE7F8C"/>
    <w:rsid w:val="00FF0029"/>
    <w:rsid w:val="00FF79E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095C"/>
  <w15:chartTrackingRefBased/>
  <w15:docId w15:val="{8420EDB5-8ABE-0F42-A132-36CE4CD5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C32"/>
  </w:style>
  <w:style w:type="paragraph" w:styleId="Heading1">
    <w:name w:val="heading 1"/>
    <w:basedOn w:val="Normal"/>
    <w:next w:val="Normal"/>
    <w:link w:val="Heading1Char"/>
    <w:uiPriority w:val="9"/>
    <w:qFormat/>
    <w:rsid w:val="00A74C32"/>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74C32"/>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74C32"/>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74C32"/>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74C32"/>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74C32"/>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74C32"/>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74C32"/>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74C32"/>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C32"/>
    <w:rPr>
      <w:rFonts w:asciiTheme="majorHAnsi" w:eastAsiaTheme="majorEastAsia" w:hAnsiTheme="majorHAnsi" w:cstheme="majorBidi"/>
      <w:color w:val="1F3864" w:themeColor="accent1" w:themeShade="80"/>
      <w:sz w:val="36"/>
      <w:szCs w:val="36"/>
    </w:rPr>
  </w:style>
  <w:style w:type="character" w:customStyle="1" w:styleId="Heading3Char">
    <w:name w:val="Heading 3 Char"/>
    <w:basedOn w:val="DefaultParagraphFont"/>
    <w:link w:val="Heading3"/>
    <w:uiPriority w:val="9"/>
    <w:rsid w:val="00A74C32"/>
    <w:rPr>
      <w:rFonts w:asciiTheme="majorHAnsi" w:eastAsiaTheme="majorEastAsia" w:hAnsiTheme="majorHAnsi" w:cstheme="majorBidi"/>
      <w:color w:val="2F5496" w:themeColor="accent1" w:themeShade="BF"/>
      <w:sz w:val="28"/>
      <w:szCs w:val="28"/>
    </w:rPr>
  </w:style>
  <w:style w:type="paragraph" w:styleId="Header">
    <w:name w:val="header"/>
    <w:basedOn w:val="Normal"/>
    <w:link w:val="HeaderChar"/>
    <w:rsid w:val="00B51744"/>
    <w:pPr>
      <w:tabs>
        <w:tab w:val="center" w:pos="4153"/>
        <w:tab w:val="right" w:pos="8306"/>
      </w:tabs>
    </w:pPr>
    <w:rPr>
      <w:rFonts w:ascii="Times New Roman" w:eastAsia="Times New Roman" w:hAnsi="Times New Roman" w:cs="Times New Roman"/>
      <w:lang w:val="en-GB"/>
    </w:rPr>
  </w:style>
  <w:style w:type="character" w:customStyle="1" w:styleId="HeaderChar">
    <w:name w:val="Header Char"/>
    <w:basedOn w:val="DefaultParagraphFont"/>
    <w:link w:val="Header"/>
    <w:rsid w:val="00B51744"/>
    <w:rPr>
      <w:rFonts w:ascii="Times New Roman" w:eastAsia="Times New Roman" w:hAnsi="Times New Roman" w:cs="Times New Roman"/>
      <w:lang w:val="en-GB"/>
    </w:rPr>
  </w:style>
  <w:style w:type="character" w:styleId="PageNumber">
    <w:name w:val="page number"/>
    <w:basedOn w:val="DefaultParagraphFont"/>
    <w:rsid w:val="00B51744"/>
    <w:rPr>
      <w:rFonts w:cs="Times New Roman"/>
    </w:rPr>
  </w:style>
  <w:style w:type="paragraph" w:styleId="FootnoteText">
    <w:name w:val="footnote text"/>
    <w:basedOn w:val="Normal"/>
    <w:link w:val="FootnoteTextChar"/>
    <w:autoRedefine/>
    <w:uiPriority w:val="99"/>
    <w:rsid w:val="002D3A23"/>
    <w:pPr>
      <w:ind w:left="142" w:hanging="142"/>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rsid w:val="002D3A23"/>
    <w:rPr>
      <w:rFonts w:ascii="Arial" w:eastAsia="Times New Roman" w:hAnsi="Arial" w:cs="Times New Roman"/>
      <w:sz w:val="20"/>
      <w:szCs w:val="20"/>
      <w:lang w:val="en-GB"/>
    </w:rPr>
  </w:style>
  <w:style w:type="paragraph" w:customStyle="1" w:styleId="Pa3">
    <w:name w:val="Pa3"/>
    <w:basedOn w:val="Normal"/>
    <w:next w:val="Normal"/>
    <w:uiPriority w:val="99"/>
    <w:rsid w:val="00B51744"/>
    <w:pPr>
      <w:autoSpaceDE w:val="0"/>
      <w:autoSpaceDN w:val="0"/>
      <w:adjustRightInd w:val="0"/>
      <w:spacing w:line="241" w:lineRule="atLeast"/>
    </w:pPr>
    <w:rPr>
      <w:rFonts w:ascii="Arial" w:eastAsia="Times New Roman" w:hAnsi="Arial" w:cs="Times New Roman"/>
      <w:lang w:val="en-GB"/>
    </w:rPr>
  </w:style>
  <w:style w:type="paragraph" w:styleId="NormalIndent">
    <w:name w:val="Normal Indent"/>
    <w:basedOn w:val="Normal"/>
    <w:uiPriority w:val="99"/>
    <w:semiHidden/>
    <w:unhideWhenUsed/>
    <w:rsid w:val="00B51744"/>
    <w:pPr>
      <w:spacing w:line="480" w:lineRule="auto"/>
      <w:ind w:left="720"/>
      <w:jc w:val="both"/>
    </w:pPr>
    <w:rPr>
      <w:rFonts w:ascii="Times New Roman" w:eastAsia="Times New Roman" w:hAnsi="Times New Roman" w:cs="Times New Roman"/>
      <w:sz w:val="28"/>
      <w:szCs w:val="28"/>
      <w:lang w:val="en-GB"/>
    </w:rPr>
  </w:style>
  <w:style w:type="paragraph" w:styleId="ListParagraph">
    <w:name w:val="List Paragraph"/>
    <w:basedOn w:val="Normal"/>
    <w:uiPriority w:val="34"/>
    <w:qFormat/>
    <w:rsid w:val="00B51744"/>
    <w:pPr>
      <w:ind w:left="720"/>
      <w:contextualSpacing/>
    </w:pPr>
  </w:style>
  <w:style w:type="character" w:styleId="FootnoteReference">
    <w:name w:val="footnote reference"/>
    <w:basedOn w:val="DefaultParagraphFont"/>
    <w:uiPriority w:val="99"/>
    <w:semiHidden/>
    <w:unhideWhenUsed/>
    <w:rsid w:val="00E06EA7"/>
    <w:rPr>
      <w:vertAlign w:val="superscript"/>
    </w:rPr>
  </w:style>
  <w:style w:type="paragraph" w:customStyle="1" w:styleId="blockquote-x">
    <w:name w:val="blockquote-x"/>
    <w:basedOn w:val="Normal"/>
    <w:rsid w:val="00E06EA7"/>
    <w:pPr>
      <w:spacing w:before="100" w:beforeAutospacing="1" w:after="100" w:afterAutospacing="1"/>
    </w:pPr>
    <w:rPr>
      <w:rFonts w:ascii="Times New Roman" w:eastAsia="Times New Roman" w:hAnsi="Times New Roman" w:cs="Times New Roman"/>
      <w:lang w:eastAsia="en-GB"/>
    </w:rPr>
  </w:style>
  <w:style w:type="paragraph" w:customStyle="1" w:styleId="blockquotetab">
    <w:name w:val="blockquotetab"/>
    <w:basedOn w:val="Normal"/>
    <w:rsid w:val="00E06EA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06EA7"/>
  </w:style>
  <w:style w:type="paragraph" w:customStyle="1" w:styleId="Style1">
    <w:name w:val="Style1"/>
    <w:basedOn w:val="FootnoteText"/>
    <w:link w:val="Style1Char"/>
    <w:rsid w:val="00794AE8"/>
  </w:style>
  <w:style w:type="character" w:customStyle="1" w:styleId="Style1Char">
    <w:name w:val="Style1 Char"/>
    <w:basedOn w:val="FootnoteTextChar"/>
    <w:link w:val="Style1"/>
    <w:rsid w:val="00794AE8"/>
    <w:rPr>
      <w:rFonts w:ascii="Arial" w:eastAsia="Times New Roman" w:hAnsi="Arial" w:cs="Times New Roman"/>
      <w:sz w:val="20"/>
      <w:szCs w:val="20"/>
      <w:lang w:val="en-GB"/>
    </w:rPr>
  </w:style>
  <w:style w:type="character" w:customStyle="1" w:styleId="Heading2Char">
    <w:name w:val="Heading 2 Char"/>
    <w:basedOn w:val="DefaultParagraphFont"/>
    <w:link w:val="Heading2"/>
    <w:uiPriority w:val="9"/>
    <w:semiHidden/>
    <w:rsid w:val="00A74C3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B2D31"/>
    <w:rPr>
      <w:color w:val="0563C1" w:themeColor="hyperlink"/>
      <w:u w:val="single"/>
    </w:rPr>
  </w:style>
  <w:style w:type="character" w:customStyle="1" w:styleId="UnresolvedMention">
    <w:name w:val="Unresolved Mention"/>
    <w:basedOn w:val="DefaultParagraphFont"/>
    <w:uiPriority w:val="99"/>
    <w:rsid w:val="00EB2D31"/>
    <w:rPr>
      <w:color w:val="605E5C"/>
      <w:shd w:val="clear" w:color="auto" w:fill="E1DFDD"/>
    </w:rPr>
  </w:style>
  <w:style w:type="character" w:customStyle="1" w:styleId="Heading4Char">
    <w:name w:val="Heading 4 Char"/>
    <w:basedOn w:val="DefaultParagraphFont"/>
    <w:link w:val="Heading4"/>
    <w:uiPriority w:val="9"/>
    <w:semiHidden/>
    <w:rsid w:val="00A74C3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74C3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74C3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74C3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74C3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74C3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74C32"/>
    <w:rPr>
      <w:b/>
      <w:bCs/>
      <w:smallCaps/>
      <w:color w:val="44546A" w:themeColor="text2"/>
    </w:rPr>
  </w:style>
  <w:style w:type="paragraph" w:styleId="Title">
    <w:name w:val="Title"/>
    <w:basedOn w:val="Normal"/>
    <w:next w:val="Normal"/>
    <w:link w:val="TitleChar"/>
    <w:uiPriority w:val="10"/>
    <w:qFormat/>
    <w:rsid w:val="00A74C32"/>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74C3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74C32"/>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74C3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74C32"/>
    <w:rPr>
      <w:b/>
      <w:bCs/>
    </w:rPr>
  </w:style>
  <w:style w:type="character" w:styleId="Emphasis">
    <w:name w:val="Emphasis"/>
    <w:basedOn w:val="DefaultParagraphFont"/>
    <w:uiPriority w:val="20"/>
    <w:qFormat/>
    <w:rsid w:val="00A74C32"/>
    <w:rPr>
      <w:i/>
      <w:iCs/>
    </w:rPr>
  </w:style>
  <w:style w:type="paragraph" w:styleId="NoSpacing">
    <w:name w:val="No Spacing"/>
    <w:uiPriority w:val="1"/>
    <w:qFormat/>
    <w:rsid w:val="00A74C32"/>
  </w:style>
  <w:style w:type="paragraph" w:styleId="Quote">
    <w:name w:val="Quote"/>
    <w:basedOn w:val="Normal"/>
    <w:next w:val="Normal"/>
    <w:link w:val="QuoteChar"/>
    <w:uiPriority w:val="29"/>
    <w:qFormat/>
    <w:rsid w:val="00A74C3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74C32"/>
    <w:rPr>
      <w:color w:val="44546A" w:themeColor="text2"/>
      <w:sz w:val="24"/>
      <w:szCs w:val="24"/>
    </w:rPr>
  </w:style>
  <w:style w:type="paragraph" w:styleId="IntenseQuote">
    <w:name w:val="Intense Quote"/>
    <w:basedOn w:val="Normal"/>
    <w:next w:val="Normal"/>
    <w:link w:val="IntenseQuoteChar"/>
    <w:uiPriority w:val="30"/>
    <w:qFormat/>
    <w:rsid w:val="00A74C32"/>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74C3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74C32"/>
    <w:rPr>
      <w:i/>
      <w:iCs/>
      <w:color w:val="595959" w:themeColor="text1" w:themeTint="A6"/>
    </w:rPr>
  </w:style>
  <w:style w:type="character" w:styleId="IntenseEmphasis">
    <w:name w:val="Intense Emphasis"/>
    <w:basedOn w:val="DefaultParagraphFont"/>
    <w:uiPriority w:val="21"/>
    <w:qFormat/>
    <w:rsid w:val="00A74C32"/>
    <w:rPr>
      <w:b/>
      <w:bCs/>
      <w:i/>
      <w:iCs/>
    </w:rPr>
  </w:style>
  <w:style w:type="character" w:styleId="SubtleReference">
    <w:name w:val="Subtle Reference"/>
    <w:basedOn w:val="DefaultParagraphFont"/>
    <w:uiPriority w:val="31"/>
    <w:qFormat/>
    <w:rsid w:val="00A74C3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4C32"/>
    <w:rPr>
      <w:b/>
      <w:bCs/>
      <w:smallCaps/>
      <w:color w:val="44546A" w:themeColor="text2"/>
      <w:u w:val="single"/>
    </w:rPr>
  </w:style>
  <w:style w:type="character" w:styleId="BookTitle">
    <w:name w:val="Book Title"/>
    <w:basedOn w:val="DefaultParagraphFont"/>
    <w:uiPriority w:val="33"/>
    <w:qFormat/>
    <w:rsid w:val="00A74C32"/>
    <w:rPr>
      <w:b/>
      <w:bCs/>
      <w:smallCaps/>
      <w:spacing w:val="10"/>
    </w:rPr>
  </w:style>
  <w:style w:type="paragraph" w:styleId="TOCHeading">
    <w:name w:val="TOC Heading"/>
    <w:basedOn w:val="Heading1"/>
    <w:next w:val="Normal"/>
    <w:uiPriority w:val="39"/>
    <w:semiHidden/>
    <w:unhideWhenUsed/>
    <w:qFormat/>
    <w:rsid w:val="00A74C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67404">
      <w:bodyDiv w:val="1"/>
      <w:marLeft w:val="0"/>
      <w:marRight w:val="0"/>
      <w:marTop w:val="0"/>
      <w:marBottom w:val="0"/>
      <w:divBdr>
        <w:top w:val="none" w:sz="0" w:space="0" w:color="auto"/>
        <w:left w:val="none" w:sz="0" w:space="0" w:color="auto"/>
        <w:bottom w:val="none" w:sz="0" w:space="0" w:color="auto"/>
        <w:right w:val="none" w:sz="0" w:space="0" w:color="auto"/>
      </w:divBdr>
      <w:divsChild>
        <w:div w:id="117140477">
          <w:marLeft w:val="0"/>
          <w:marRight w:val="0"/>
          <w:marTop w:val="0"/>
          <w:marBottom w:val="0"/>
          <w:divBdr>
            <w:top w:val="none" w:sz="0" w:space="0" w:color="auto"/>
            <w:left w:val="none" w:sz="0" w:space="0" w:color="auto"/>
            <w:bottom w:val="none" w:sz="0" w:space="0" w:color="auto"/>
            <w:right w:val="none" w:sz="0" w:space="0" w:color="auto"/>
          </w:divBdr>
        </w:div>
        <w:div w:id="1840001181">
          <w:marLeft w:val="0"/>
          <w:marRight w:val="0"/>
          <w:marTop w:val="0"/>
          <w:marBottom w:val="0"/>
          <w:divBdr>
            <w:top w:val="none" w:sz="0" w:space="0" w:color="auto"/>
            <w:left w:val="none" w:sz="0" w:space="0" w:color="auto"/>
            <w:bottom w:val="none" w:sz="0" w:space="0" w:color="auto"/>
            <w:right w:val="none" w:sz="0" w:space="0" w:color="auto"/>
          </w:divBdr>
        </w:div>
      </w:divsChild>
    </w:div>
    <w:div w:id="887836116">
      <w:bodyDiv w:val="1"/>
      <w:marLeft w:val="0"/>
      <w:marRight w:val="0"/>
      <w:marTop w:val="0"/>
      <w:marBottom w:val="0"/>
      <w:divBdr>
        <w:top w:val="none" w:sz="0" w:space="0" w:color="auto"/>
        <w:left w:val="none" w:sz="0" w:space="0" w:color="auto"/>
        <w:bottom w:val="none" w:sz="0" w:space="0" w:color="auto"/>
        <w:right w:val="none" w:sz="0" w:space="0" w:color="auto"/>
      </w:divBdr>
      <w:divsChild>
        <w:div w:id="1177186082">
          <w:marLeft w:val="0"/>
          <w:marRight w:val="0"/>
          <w:marTop w:val="0"/>
          <w:marBottom w:val="0"/>
          <w:divBdr>
            <w:top w:val="none" w:sz="0" w:space="0" w:color="auto"/>
            <w:left w:val="none" w:sz="0" w:space="0" w:color="auto"/>
            <w:bottom w:val="none" w:sz="0" w:space="0" w:color="auto"/>
            <w:right w:val="none" w:sz="0" w:space="0" w:color="auto"/>
          </w:divBdr>
        </w:div>
        <w:div w:id="77799187">
          <w:marLeft w:val="0"/>
          <w:marRight w:val="0"/>
          <w:marTop w:val="0"/>
          <w:marBottom w:val="0"/>
          <w:divBdr>
            <w:top w:val="none" w:sz="0" w:space="0" w:color="auto"/>
            <w:left w:val="none" w:sz="0" w:space="0" w:color="auto"/>
            <w:bottom w:val="none" w:sz="0" w:space="0" w:color="auto"/>
            <w:right w:val="none" w:sz="0" w:space="0" w:color="auto"/>
          </w:divBdr>
        </w:div>
      </w:divsChild>
    </w:div>
    <w:div w:id="1441296896">
      <w:bodyDiv w:val="1"/>
      <w:marLeft w:val="0"/>
      <w:marRight w:val="0"/>
      <w:marTop w:val="0"/>
      <w:marBottom w:val="0"/>
      <w:divBdr>
        <w:top w:val="none" w:sz="0" w:space="0" w:color="auto"/>
        <w:left w:val="none" w:sz="0" w:space="0" w:color="auto"/>
        <w:bottom w:val="none" w:sz="0" w:space="0" w:color="auto"/>
        <w:right w:val="none" w:sz="0" w:space="0" w:color="auto"/>
      </w:divBdr>
      <w:divsChild>
        <w:div w:id="246765330">
          <w:marLeft w:val="0"/>
          <w:marRight w:val="0"/>
          <w:marTop w:val="0"/>
          <w:marBottom w:val="0"/>
          <w:divBdr>
            <w:top w:val="none" w:sz="0" w:space="0" w:color="auto"/>
            <w:left w:val="none" w:sz="0" w:space="0" w:color="auto"/>
            <w:bottom w:val="none" w:sz="0" w:space="0" w:color="auto"/>
            <w:right w:val="none" w:sz="0" w:space="0" w:color="auto"/>
          </w:divBdr>
        </w:div>
        <w:div w:id="32124553">
          <w:marLeft w:val="0"/>
          <w:marRight w:val="0"/>
          <w:marTop w:val="0"/>
          <w:marBottom w:val="0"/>
          <w:divBdr>
            <w:top w:val="none" w:sz="0" w:space="0" w:color="auto"/>
            <w:left w:val="none" w:sz="0" w:space="0" w:color="auto"/>
            <w:bottom w:val="none" w:sz="0" w:space="0" w:color="auto"/>
            <w:right w:val="none" w:sz="0" w:space="0" w:color="auto"/>
          </w:divBdr>
        </w:div>
      </w:divsChild>
    </w:div>
    <w:div w:id="2023584692">
      <w:bodyDiv w:val="1"/>
      <w:marLeft w:val="0"/>
      <w:marRight w:val="0"/>
      <w:marTop w:val="0"/>
      <w:marBottom w:val="0"/>
      <w:divBdr>
        <w:top w:val="none" w:sz="0" w:space="0" w:color="auto"/>
        <w:left w:val="none" w:sz="0" w:space="0" w:color="auto"/>
        <w:bottom w:val="none" w:sz="0" w:space="0" w:color="auto"/>
        <w:right w:val="none" w:sz="0" w:space="0" w:color="auto"/>
      </w:divBdr>
      <w:divsChild>
        <w:div w:id="98912489">
          <w:marLeft w:val="0"/>
          <w:marRight w:val="0"/>
          <w:marTop w:val="0"/>
          <w:marBottom w:val="0"/>
          <w:divBdr>
            <w:top w:val="none" w:sz="0" w:space="0" w:color="auto"/>
            <w:left w:val="none" w:sz="0" w:space="0" w:color="auto"/>
            <w:bottom w:val="none" w:sz="0" w:space="0" w:color="auto"/>
            <w:right w:val="none" w:sz="0" w:space="0" w:color="auto"/>
          </w:divBdr>
        </w:div>
        <w:div w:id="1869947031">
          <w:marLeft w:val="0"/>
          <w:marRight w:val="0"/>
          <w:marTop w:val="0"/>
          <w:marBottom w:val="0"/>
          <w:divBdr>
            <w:top w:val="none" w:sz="0" w:space="0" w:color="auto"/>
            <w:left w:val="none" w:sz="0" w:space="0" w:color="auto"/>
            <w:bottom w:val="none" w:sz="0" w:space="0" w:color="auto"/>
            <w:right w:val="none" w:sz="0" w:space="0" w:color="auto"/>
          </w:divBdr>
        </w:div>
        <w:div w:id="1136529919">
          <w:marLeft w:val="0"/>
          <w:marRight w:val="0"/>
          <w:marTop w:val="0"/>
          <w:marBottom w:val="0"/>
          <w:divBdr>
            <w:top w:val="none" w:sz="0" w:space="0" w:color="auto"/>
            <w:left w:val="none" w:sz="0" w:space="0" w:color="auto"/>
            <w:bottom w:val="none" w:sz="0" w:space="0" w:color="auto"/>
            <w:right w:val="none" w:sz="0" w:space="0" w:color="auto"/>
          </w:divBdr>
        </w:div>
        <w:div w:id="54398576">
          <w:marLeft w:val="0"/>
          <w:marRight w:val="0"/>
          <w:marTop w:val="0"/>
          <w:marBottom w:val="0"/>
          <w:divBdr>
            <w:top w:val="none" w:sz="0" w:space="0" w:color="auto"/>
            <w:left w:val="none" w:sz="0" w:space="0" w:color="auto"/>
            <w:bottom w:val="none" w:sz="0" w:space="0" w:color="auto"/>
            <w:right w:val="none" w:sz="0" w:space="0" w:color="auto"/>
          </w:divBdr>
        </w:div>
        <w:div w:id="1591043298">
          <w:marLeft w:val="0"/>
          <w:marRight w:val="0"/>
          <w:marTop w:val="0"/>
          <w:marBottom w:val="0"/>
          <w:divBdr>
            <w:top w:val="none" w:sz="0" w:space="0" w:color="auto"/>
            <w:left w:val="none" w:sz="0" w:space="0" w:color="auto"/>
            <w:bottom w:val="none" w:sz="0" w:space="0" w:color="auto"/>
            <w:right w:val="none" w:sz="0" w:space="0" w:color="auto"/>
          </w:divBdr>
        </w:div>
        <w:div w:id="1660233578">
          <w:marLeft w:val="0"/>
          <w:marRight w:val="0"/>
          <w:marTop w:val="0"/>
          <w:marBottom w:val="0"/>
          <w:divBdr>
            <w:top w:val="none" w:sz="0" w:space="0" w:color="auto"/>
            <w:left w:val="none" w:sz="0" w:space="0" w:color="auto"/>
            <w:bottom w:val="none" w:sz="0" w:space="0" w:color="auto"/>
            <w:right w:val="none" w:sz="0" w:space="0" w:color="auto"/>
          </w:divBdr>
        </w:div>
        <w:div w:id="719941450">
          <w:marLeft w:val="0"/>
          <w:marRight w:val="0"/>
          <w:marTop w:val="0"/>
          <w:marBottom w:val="0"/>
          <w:divBdr>
            <w:top w:val="none" w:sz="0" w:space="0" w:color="auto"/>
            <w:left w:val="none" w:sz="0" w:space="0" w:color="auto"/>
            <w:bottom w:val="none" w:sz="0" w:space="0" w:color="auto"/>
            <w:right w:val="none" w:sz="0" w:space="0" w:color="auto"/>
          </w:divBdr>
        </w:div>
        <w:div w:id="184052993">
          <w:marLeft w:val="0"/>
          <w:marRight w:val="0"/>
          <w:marTop w:val="0"/>
          <w:marBottom w:val="0"/>
          <w:divBdr>
            <w:top w:val="none" w:sz="0" w:space="0" w:color="auto"/>
            <w:left w:val="none" w:sz="0" w:space="0" w:color="auto"/>
            <w:bottom w:val="none" w:sz="0" w:space="0" w:color="auto"/>
            <w:right w:val="none" w:sz="0" w:space="0" w:color="auto"/>
          </w:divBdr>
        </w:div>
        <w:div w:id="2039042098">
          <w:marLeft w:val="0"/>
          <w:marRight w:val="0"/>
          <w:marTop w:val="0"/>
          <w:marBottom w:val="0"/>
          <w:divBdr>
            <w:top w:val="none" w:sz="0" w:space="0" w:color="auto"/>
            <w:left w:val="none" w:sz="0" w:space="0" w:color="auto"/>
            <w:bottom w:val="none" w:sz="0" w:space="0" w:color="auto"/>
            <w:right w:val="none" w:sz="0" w:space="0" w:color="auto"/>
          </w:divBdr>
        </w:div>
        <w:div w:id="657197514">
          <w:marLeft w:val="0"/>
          <w:marRight w:val="0"/>
          <w:marTop w:val="0"/>
          <w:marBottom w:val="0"/>
          <w:divBdr>
            <w:top w:val="none" w:sz="0" w:space="0" w:color="auto"/>
            <w:left w:val="none" w:sz="0" w:space="0" w:color="auto"/>
            <w:bottom w:val="none" w:sz="0" w:space="0" w:color="auto"/>
            <w:right w:val="none" w:sz="0" w:space="0" w:color="auto"/>
          </w:divBdr>
        </w:div>
        <w:div w:id="524951729">
          <w:marLeft w:val="0"/>
          <w:marRight w:val="0"/>
          <w:marTop w:val="0"/>
          <w:marBottom w:val="0"/>
          <w:divBdr>
            <w:top w:val="none" w:sz="0" w:space="0" w:color="auto"/>
            <w:left w:val="none" w:sz="0" w:space="0" w:color="auto"/>
            <w:bottom w:val="none" w:sz="0" w:space="0" w:color="auto"/>
            <w:right w:val="none" w:sz="0" w:space="0" w:color="auto"/>
          </w:divBdr>
        </w:div>
        <w:div w:id="1022245688">
          <w:marLeft w:val="0"/>
          <w:marRight w:val="0"/>
          <w:marTop w:val="0"/>
          <w:marBottom w:val="0"/>
          <w:divBdr>
            <w:top w:val="none" w:sz="0" w:space="0" w:color="auto"/>
            <w:left w:val="none" w:sz="0" w:space="0" w:color="auto"/>
            <w:bottom w:val="none" w:sz="0" w:space="0" w:color="auto"/>
            <w:right w:val="none" w:sz="0" w:space="0" w:color="auto"/>
          </w:divBdr>
        </w:div>
        <w:div w:id="1570924025">
          <w:marLeft w:val="0"/>
          <w:marRight w:val="0"/>
          <w:marTop w:val="0"/>
          <w:marBottom w:val="0"/>
          <w:divBdr>
            <w:top w:val="none" w:sz="0" w:space="0" w:color="auto"/>
            <w:left w:val="none" w:sz="0" w:space="0" w:color="auto"/>
            <w:bottom w:val="none" w:sz="0" w:space="0" w:color="auto"/>
            <w:right w:val="none" w:sz="0" w:space="0" w:color="auto"/>
          </w:divBdr>
        </w:div>
        <w:div w:id="446851534">
          <w:marLeft w:val="0"/>
          <w:marRight w:val="0"/>
          <w:marTop w:val="0"/>
          <w:marBottom w:val="0"/>
          <w:divBdr>
            <w:top w:val="none" w:sz="0" w:space="0" w:color="auto"/>
            <w:left w:val="none" w:sz="0" w:space="0" w:color="auto"/>
            <w:bottom w:val="none" w:sz="0" w:space="0" w:color="auto"/>
            <w:right w:val="none" w:sz="0" w:space="0" w:color="auto"/>
          </w:divBdr>
        </w:div>
        <w:div w:id="907616241">
          <w:marLeft w:val="0"/>
          <w:marRight w:val="0"/>
          <w:marTop w:val="0"/>
          <w:marBottom w:val="0"/>
          <w:divBdr>
            <w:top w:val="none" w:sz="0" w:space="0" w:color="auto"/>
            <w:left w:val="none" w:sz="0" w:space="0" w:color="auto"/>
            <w:bottom w:val="none" w:sz="0" w:space="0" w:color="auto"/>
            <w:right w:val="none" w:sz="0" w:space="0" w:color="auto"/>
          </w:divBdr>
        </w:div>
        <w:div w:id="59834455">
          <w:marLeft w:val="0"/>
          <w:marRight w:val="0"/>
          <w:marTop w:val="0"/>
          <w:marBottom w:val="0"/>
          <w:divBdr>
            <w:top w:val="none" w:sz="0" w:space="0" w:color="auto"/>
            <w:left w:val="none" w:sz="0" w:space="0" w:color="auto"/>
            <w:bottom w:val="none" w:sz="0" w:space="0" w:color="auto"/>
            <w:right w:val="none" w:sz="0" w:space="0" w:color="auto"/>
          </w:divBdr>
        </w:div>
        <w:div w:id="245581019">
          <w:marLeft w:val="0"/>
          <w:marRight w:val="0"/>
          <w:marTop w:val="0"/>
          <w:marBottom w:val="0"/>
          <w:divBdr>
            <w:top w:val="none" w:sz="0" w:space="0" w:color="auto"/>
            <w:left w:val="none" w:sz="0" w:space="0" w:color="auto"/>
            <w:bottom w:val="none" w:sz="0" w:space="0" w:color="auto"/>
            <w:right w:val="none" w:sz="0" w:space="0" w:color="auto"/>
          </w:divBdr>
        </w:div>
        <w:div w:id="587156347">
          <w:marLeft w:val="0"/>
          <w:marRight w:val="0"/>
          <w:marTop w:val="0"/>
          <w:marBottom w:val="0"/>
          <w:divBdr>
            <w:top w:val="none" w:sz="0" w:space="0" w:color="auto"/>
            <w:left w:val="none" w:sz="0" w:space="0" w:color="auto"/>
            <w:bottom w:val="none" w:sz="0" w:space="0" w:color="auto"/>
            <w:right w:val="none" w:sz="0" w:space="0" w:color="auto"/>
          </w:divBdr>
        </w:div>
        <w:div w:id="1465195614">
          <w:marLeft w:val="0"/>
          <w:marRight w:val="0"/>
          <w:marTop w:val="0"/>
          <w:marBottom w:val="0"/>
          <w:divBdr>
            <w:top w:val="none" w:sz="0" w:space="0" w:color="auto"/>
            <w:left w:val="none" w:sz="0" w:space="0" w:color="auto"/>
            <w:bottom w:val="none" w:sz="0" w:space="0" w:color="auto"/>
            <w:right w:val="none" w:sz="0" w:space="0" w:color="auto"/>
          </w:divBdr>
        </w:div>
        <w:div w:id="1131826562">
          <w:marLeft w:val="0"/>
          <w:marRight w:val="0"/>
          <w:marTop w:val="0"/>
          <w:marBottom w:val="0"/>
          <w:divBdr>
            <w:top w:val="none" w:sz="0" w:space="0" w:color="auto"/>
            <w:left w:val="none" w:sz="0" w:space="0" w:color="auto"/>
            <w:bottom w:val="none" w:sz="0" w:space="0" w:color="auto"/>
            <w:right w:val="none" w:sz="0" w:space="0" w:color="auto"/>
          </w:divBdr>
        </w:div>
        <w:div w:id="619802415">
          <w:marLeft w:val="0"/>
          <w:marRight w:val="0"/>
          <w:marTop w:val="0"/>
          <w:marBottom w:val="0"/>
          <w:divBdr>
            <w:top w:val="none" w:sz="0" w:space="0" w:color="auto"/>
            <w:left w:val="none" w:sz="0" w:space="0" w:color="auto"/>
            <w:bottom w:val="none" w:sz="0" w:space="0" w:color="auto"/>
            <w:right w:val="none" w:sz="0" w:space="0" w:color="auto"/>
          </w:divBdr>
        </w:div>
        <w:div w:id="407188161">
          <w:marLeft w:val="0"/>
          <w:marRight w:val="0"/>
          <w:marTop w:val="0"/>
          <w:marBottom w:val="0"/>
          <w:divBdr>
            <w:top w:val="none" w:sz="0" w:space="0" w:color="auto"/>
            <w:left w:val="none" w:sz="0" w:space="0" w:color="auto"/>
            <w:bottom w:val="none" w:sz="0" w:space="0" w:color="auto"/>
            <w:right w:val="none" w:sz="0" w:space="0" w:color="auto"/>
          </w:divBdr>
        </w:div>
        <w:div w:id="656615128">
          <w:marLeft w:val="0"/>
          <w:marRight w:val="0"/>
          <w:marTop w:val="0"/>
          <w:marBottom w:val="0"/>
          <w:divBdr>
            <w:top w:val="none" w:sz="0" w:space="0" w:color="auto"/>
            <w:left w:val="none" w:sz="0" w:space="0" w:color="auto"/>
            <w:bottom w:val="none" w:sz="0" w:space="0" w:color="auto"/>
            <w:right w:val="none" w:sz="0" w:space="0" w:color="auto"/>
          </w:divBdr>
        </w:div>
        <w:div w:id="771706441">
          <w:marLeft w:val="0"/>
          <w:marRight w:val="0"/>
          <w:marTop w:val="0"/>
          <w:marBottom w:val="0"/>
          <w:divBdr>
            <w:top w:val="none" w:sz="0" w:space="0" w:color="auto"/>
            <w:left w:val="none" w:sz="0" w:space="0" w:color="auto"/>
            <w:bottom w:val="none" w:sz="0" w:space="0" w:color="auto"/>
            <w:right w:val="none" w:sz="0" w:space="0" w:color="auto"/>
          </w:divBdr>
        </w:div>
        <w:div w:id="1662463143">
          <w:marLeft w:val="0"/>
          <w:marRight w:val="0"/>
          <w:marTop w:val="0"/>
          <w:marBottom w:val="0"/>
          <w:divBdr>
            <w:top w:val="none" w:sz="0" w:space="0" w:color="auto"/>
            <w:left w:val="none" w:sz="0" w:space="0" w:color="auto"/>
            <w:bottom w:val="none" w:sz="0" w:space="0" w:color="auto"/>
            <w:right w:val="none" w:sz="0" w:space="0" w:color="auto"/>
          </w:divBdr>
        </w:div>
        <w:div w:id="186454049">
          <w:marLeft w:val="0"/>
          <w:marRight w:val="0"/>
          <w:marTop w:val="0"/>
          <w:marBottom w:val="0"/>
          <w:divBdr>
            <w:top w:val="none" w:sz="0" w:space="0" w:color="auto"/>
            <w:left w:val="none" w:sz="0" w:space="0" w:color="auto"/>
            <w:bottom w:val="none" w:sz="0" w:space="0" w:color="auto"/>
            <w:right w:val="none" w:sz="0" w:space="0" w:color="auto"/>
          </w:divBdr>
        </w:div>
        <w:div w:id="1608804064">
          <w:marLeft w:val="0"/>
          <w:marRight w:val="0"/>
          <w:marTop w:val="0"/>
          <w:marBottom w:val="0"/>
          <w:divBdr>
            <w:top w:val="none" w:sz="0" w:space="0" w:color="auto"/>
            <w:left w:val="none" w:sz="0" w:space="0" w:color="auto"/>
            <w:bottom w:val="none" w:sz="0" w:space="0" w:color="auto"/>
            <w:right w:val="none" w:sz="0" w:space="0" w:color="auto"/>
          </w:divBdr>
        </w:div>
        <w:div w:id="923413656">
          <w:marLeft w:val="0"/>
          <w:marRight w:val="0"/>
          <w:marTop w:val="0"/>
          <w:marBottom w:val="0"/>
          <w:divBdr>
            <w:top w:val="none" w:sz="0" w:space="0" w:color="auto"/>
            <w:left w:val="none" w:sz="0" w:space="0" w:color="auto"/>
            <w:bottom w:val="none" w:sz="0" w:space="0" w:color="auto"/>
            <w:right w:val="none" w:sz="0" w:space="0" w:color="auto"/>
          </w:divBdr>
        </w:div>
        <w:div w:id="1904870855">
          <w:marLeft w:val="0"/>
          <w:marRight w:val="0"/>
          <w:marTop w:val="0"/>
          <w:marBottom w:val="0"/>
          <w:divBdr>
            <w:top w:val="none" w:sz="0" w:space="0" w:color="auto"/>
            <w:left w:val="none" w:sz="0" w:space="0" w:color="auto"/>
            <w:bottom w:val="none" w:sz="0" w:space="0" w:color="auto"/>
            <w:right w:val="none" w:sz="0" w:space="0" w:color="auto"/>
          </w:divBdr>
        </w:div>
        <w:div w:id="767821402">
          <w:marLeft w:val="0"/>
          <w:marRight w:val="0"/>
          <w:marTop w:val="0"/>
          <w:marBottom w:val="0"/>
          <w:divBdr>
            <w:top w:val="none" w:sz="0" w:space="0" w:color="auto"/>
            <w:left w:val="none" w:sz="0" w:space="0" w:color="auto"/>
            <w:bottom w:val="none" w:sz="0" w:space="0" w:color="auto"/>
            <w:right w:val="none" w:sz="0" w:space="0" w:color="auto"/>
          </w:divBdr>
        </w:div>
        <w:div w:id="808547483">
          <w:marLeft w:val="0"/>
          <w:marRight w:val="0"/>
          <w:marTop w:val="0"/>
          <w:marBottom w:val="0"/>
          <w:divBdr>
            <w:top w:val="none" w:sz="0" w:space="0" w:color="auto"/>
            <w:left w:val="none" w:sz="0" w:space="0" w:color="auto"/>
            <w:bottom w:val="none" w:sz="0" w:space="0" w:color="auto"/>
            <w:right w:val="none" w:sz="0" w:space="0" w:color="auto"/>
          </w:divBdr>
        </w:div>
        <w:div w:id="278756690">
          <w:marLeft w:val="0"/>
          <w:marRight w:val="0"/>
          <w:marTop w:val="0"/>
          <w:marBottom w:val="0"/>
          <w:divBdr>
            <w:top w:val="none" w:sz="0" w:space="0" w:color="auto"/>
            <w:left w:val="none" w:sz="0" w:space="0" w:color="auto"/>
            <w:bottom w:val="none" w:sz="0" w:space="0" w:color="auto"/>
            <w:right w:val="none" w:sz="0" w:space="0" w:color="auto"/>
          </w:divBdr>
        </w:div>
        <w:div w:id="1793401283">
          <w:marLeft w:val="0"/>
          <w:marRight w:val="0"/>
          <w:marTop w:val="0"/>
          <w:marBottom w:val="0"/>
          <w:divBdr>
            <w:top w:val="none" w:sz="0" w:space="0" w:color="auto"/>
            <w:left w:val="none" w:sz="0" w:space="0" w:color="auto"/>
            <w:bottom w:val="none" w:sz="0" w:space="0" w:color="auto"/>
            <w:right w:val="none" w:sz="0" w:space="0" w:color="auto"/>
          </w:divBdr>
        </w:div>
        <w:div w:id="1192111519">
          <w:marLeft w:val="0"/>
          <w:marRight w:val="0"/>
          <w:marTop w:val="0"/>
          <w:marBottom w:val="0"/>
          <w:divBdr>
            <w:top w:val="none" w:sz="0" w:space="0" w:color="auto"/>
            <w:left w:val="none" w:sz="0" w:space="0" w:color="auto"/>
            <w:bottom w:val="none" w:sz="0" w:space="0" w:color="auto"/>
            <w:right w:val="none" w:sz="0" w:space="0" w:color="auto"/>
          </w:divBdr>
        </w:div>
        <w:div w:id="1425295789">
          <w:marLeft w:val="0"/>
          <w:marRight w:val="0"/>
          <w:marTop w:val="0"/>
          <w:marBottom w:val="0"/>
          <w:divBdr>
            <w:top w:val="none" w:sz="0" w:space="0" w:color="auto"/>
            <w:left w:val="none" w:sz="0" w:space="0" w:color="auto"/>
            <w:bottom w:val="none" w:sz="0" w:space="0" w:color="auto"/>
            <w:right w:val="none" w:sz="0" w:space="0" w:color="auto"/>
          </w:divBdr>
        </w:div>
        <w:div w:id="100954110">
          <w:marLeft w:val="0"/>
          <w:marRight w:val="0"/>
          <w:marTop w:val="0"/>
          <w:marBottom w:val="0"/>
          <w:divBdr>
            <w:top w:val="none" w:sz="0" w:space="0" w:color="auto"/>
            <w:left w:val="none" w:sz="0" w:space="0" w:color="auto"/>
            <w:bottom w:val="none" w:sz="0" w:space="0" w:color="auto"/>
            <w:right w:val="none" w:sz="0" w:space="0" w:color="auto"/>
          </w:divBdr>
        </w:div>
        <w:div w:id="348214385">
          <w:marLeft w:val="0"/>
          <w:marRight w:val="0"/>
          <w:marTop w:val="0"/>
          <w:marBottom w:val="0"/>
          <w:divBdr>
            <w:top w:val="none" w:sz="0" w:space="0" w:color="auto"/>
            <w:left w:val="none" w:sz="0" w:space="0" w:color="auto"/>
            <w:bottom w:val="none" w:sz="0" w:space="0" w:color="auto"/>
            <w:right w:val="none" w:sz="0" w:space="0" w:color="auto"/>
          </w:divBdr>
        </w:div>
        <w:div w:id="658341151">
          <w:marLeft w:val="0"/>
          <w:marRight w:val="0"/>
          <w:marTop w:val="0"/>
          <w:marBottom w:val="0"/>
          <w:divBdr>
            <w:top w:val="none" w:sz="0" w:space="0" w:color="auto"/>
            <w:left w:val="none" w:sz="0" w:space="0" w:color="auto"/>
            <w:bottom w:val="none" w:sz="0" w:space="0" w:color="auto"/>
            <w:right w:val="none" w:sz="0" w:space="0" w:color="auto"/>
          </w:divBdr>
        </w:div>
        <w:div w:id="1244752766">
          <w:marLeft w:val="0"/>
          <w:marRight w:val="0"/>
          <w:marTop w:val="0"/>
          <w:marBottom w:val="0"/>
          <w:divBdr>
            <w:top w:val="none" w:sz="0" w:space="0" w:color="auto"/>
            <w:left w:val="none" w:sz="0" w:space="0" w:color="auto"/>
            <w:bottom w:val="none" w:sz="0" w:space="0" w:color="auto"/>
            <w:right w:val="none" w:sz="0" w:space="0" w:color="auto"/>
          </w:divBdr>
        </w:div>
        <w:div w:id="1872959677">
          <w:marLeft w:val="0"/>
          <w:marRight w:val="0"/>
          <w:marTop w:val="0"/>
          <w:marBottom w:val="0"/>
          <w:divBdr>
            <w:top w:val="none" w:sz="0" w:space="0" w:color="auto"/>
            <w:left w:val="none" w:sz="0" w:space="0" w:color="auto"/>
            <w:bottom w:val="none" w:sz="0" w:space="0" w:color="auto"/>
            <w:right w:val="none" w:sz="0" w:space="0" w:color="auto"/>
          </w:divBdr>
        </w:div>
        <w:div w:id="615873455">
          <w:marLeft w:val="0"/>
          <w:marRight w:val="0"/>
          <w:marTop w:val="0"/>
          <w:marBottom w:val="0"/>
          <w:divBdr>
            <w:top w:val="none" w:sz="0" w:space="0" w:color="auto"/>
            <w:left w:val="none" w:sz="0" w:space="0" w:color="auto"/>
            <w:bottom w:val="none" w:sz="0" w:space="0" w:color="auto"/>
            <w:right w:val="none" w:sz="0" w:space="0" w:color="auto"/>
          </w:divBdr>
        </w:div>
        <w:div w:id="173082097">
          <w:marLeft w:val="0"/>
          <w:marRight w:val="0"/>
          <w:marTop w:val="0"/>
          <w:marBottom w:val="0"/>
          <w:divBdr>
            <w:top w:val="none" w:sz="0" w:space="0" w:color="auto"/>
            <w:left w:val="none" w:sz="0" w:space="0" w:color="auto"/>
            <w:bottom w:val="none" w:sz="0" w:space="0" w:color="auto"/>
            <w:right w:val="none" w:sz="0" w:space="0" w:color="auto"/>
          </w:divBdr>
        </w:div>
        <w:div w:id="1695617334">
          <w:marLeft w:val="0"/>
          <w:marRight w:val="0"/>
          <w:marTop w:val="0"/>
          <w:marBottom w:val="0"/>
          <w:divBdr>
            <w:top w:val="none" w:sz="0" w:space="0" w:color="auto"/>
            <w:left w:val="none" w:sz="0" w:space="0" w:color="auto"/>
            <w:bottom w:val="none" w:sz="0" w:space="0" w:color="auto"/>
            <w:right w:val="none" w:sz="0" w:space="0" w:color="auto"/>
          </w:divBdr>
        </w:div>
        <w:div w:id="1113280231">
          <w:marLeft w:val="0"/>
          <w:marRight w:val="0"/>
          <w:marTop w:val="0"/>
          <w:marBottom w:val="0"/>
          <w:divBdr>
            <w:top w:val="none" w:sz="0" w:space="0" w:color="auto"/>
            <w:left w:val="none" w:sz="0" w:space="0" w:color="auto"/>
            <w:bottom w:val="none" w:sz="0" w:space="0" w:color="auto"/>
            <w:right w:val="none" w:sz="0" w:space="0" w:color="auto"/>
          </w:divBdr>
        </w:div>
      </w:divsChild>
    </w:div>
    <w:div w:id="2072190461">
      <w:bodyDiv w:val="1"/>
      <w:marLeft w:val="0"/>
      <w:marRight w:val="0"/>
      <w:marTop w:val="0"/>
      <w:marBottom w:val="0"/>
      <w:divBdr>
        <w:top w:val="none" w:sz="0" w:space="0" w:color="auto"/>
        <w:left w:val="none" w:sz="0" w:space="0" w:color="auto"/>
        <w:bottom w:val="none" w:sz="0" w:space="0" w:color="auto"/>
        <w:right w:val="none" w:sz="0" w:space="0" w:color="auto"/>
      </w:divBdr>
      <w:divsChild>
        <w:div w:id="257325155">
          <w:marLeft w:val="0"/>
          <w:marRight w:val="0"/>
          <w:marTop w:val="0"/>
          <w:marBottom w:val="0"/>
          <w:divBdr>
            <w:top w:val="none" w:sz="0" w:space="0" w:color="auto"/>
            <w:left w:val="none" w:sz="0" w:space="0" w:color="auto"/>
            <w:bottom w:val="none" w:sz="0" w:space="0" w:color="auto"/>
            <w:right w:val="none" w:sz="0" w:space="0" w:color="auto"/>
          </w:divBdr>
        </w:div>
        <w:div w:id="353970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hanieb@stowell.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1A89D-0D35-4648-B2D9-5283876D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4837</Words>
  <Characters>27574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Annandale</dc:creator>
  <cp:keywords/>
  <dc:description/>
  <cp:lastModifiedBy>Anna Annandale</cp:lastModifiedBy>
  <cp:revision>2</cp:revision>
  <cp:lastPrinted>2023-11-22T10:23:00Z</cp:lastPrinted>
  <dcterms:created xsi:type="dcterms:W3CDTF">2023-11-22T10:28:00Z</dcterms:created>
  <dcterms:modified xsi:type="dcterms:W3CDTF">2023-11-22T10:28:00Z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2023-10-28T16:32:01Z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569d8729-45df-4682-926a-dcf3414410d9</vt:lpwstr>
  </property>
  <property fmtid="{D5CDD505-2E9C-101B-9397-08002B2CF9AE}" pid="7" name="MSIP_Label_defa4170-0d19-0005-0004-bc88714345d2_ActionId">
    <vt:lpwstr>b4fd3f84-ac48-46a7-b4be-8dc5cdb5d50f</vt:lpwstr>
  </property>
  <property fmtid="{D5CDD505-2E9C-101B-9397-08002B2CF9AE}" pid="8" name="MSIP_Label_defa4170-0d19-0005-0004-bc88714345d2_ContentBits">
    <vt:lpwstr>0</vt:lpwstr>
  </property>
</Properties>
</file>