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3DB8" w14:textId="77777777" w:rsidR="00BC3D91" w:rsidRPr="0025254F" w:rsidRDefault="00CF49E7" w:rsidP="00827FC8">
      <w:pPr>
        <w:pStyle w:val="ListParagraph"/>
        <w:spacing w:after="0" w:line="360" w:lineRule="auto"/>
        <w:ind w:left="0"/>
        <w:jc w:val="center"/>
        <w:rPr>
          <w:rFonts w:ascii="Arial" w:hAnsi="Arial" w:cs="Arial"/>
          <w:sz w:val="24"/>
          <w:szCs w:val="24"/>
        </w:rPr>
      </w:pPr>
      <w:r w:rsidRPr="0025254F">
        <w:rPr>
          <w:rFonts w:ascii="Arial" w:hAnsi="Arial" w:cs="Arial"/>
          <w:noProof/>
          <w:lang w:val="en-US"/>
        </w:rPr>
        <w:drawing>
          <wp:inline distT="0" distB="0" distL="0" distR="0" wp14:anchorId="6B24B60A" wp14:editId="35D20789">
            <wp:extent cx="1025718" cy="1025718"/>
            <wp:effectExtent l="0" t="0" r="3175" b="317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696" cy="1038696"/>
                    </a:xfrm>
                    <a:prstGeom prst="rect">
                      <a:avLst/>
                    </a:prstGeom>
                    <a:noFill/>
                    <a:ln>
                      <a:noFill/>
                    </a:ln>
                  </pic:spPr>
                </pic:pic>
              </a:graphicData>
            </a:graphic>
          </wp:inline>
        </w:drawing>
      </w:r>
    </w:p>
    <w:p w14:paraId="6642C88F" w14:textId="77777777" w:rsidR="00BC3D91" w:rsidRPr="0025254F" w:rsidRDefault="00BC3D91" w:rsidP="00827FC8">
      <w:pPr>
        <w:spacing w:after="0" w:line="360" w:lineRule="auto"/>
        <w:contextualSpacing/>
        <w:jc w:val="center"/>
        <w:rPr>
          <w:rFonts w:ascii="Arial" w:eastAsia="Times New Roman" w:hAnsi="Arial" w:cs="Arial"/>
          <w:b/>
          <w:sz w:val="24"/>
          <w:szCs w:val="24"/>
          <w:lang w:eastAsia="en-GB"/>
        </w:rPr>
      </w:pPr>
      <w:r w:rsidRPr="0025254F">
        <w:rPr>
          <w:rFonts w:ascii="Arial" w:eastAsia="Times New Roman" w:hAnsi="Arial" w:cs="Arial"/>
          <w:b/>
          <w:sz w:val="24"/>
          <w:szCs w:val="24"/>
          <w:lang w:eastAsia="en-GB"/>
        </w:rPr>
        <w:t>IN THE HIGH COURT OF SOUTH AFRICA</w:t>
      </w:r>
    </w:p>
    <w:p w14:paraId="2B14F496" w14:textId="61A5126A" w:rsidR="00BC3D91" w:rsidRPr="0025254F" w:rsidRDefault="00BC3D91" w:rsidP="00827FC8">
      <w:pPr>
        <w:spacing w:after="0" w:line="360" w:lineRule="auto"/>
        <w:contextualSpacing/>
        <w:jc w:val="center"/>
        <w:rPr>
          <w:rFonts w:ascii="Arial" w:eastAsia="Times New Roman" w:hAnsi="Arial" w:cs="Arial"/>
          <w:b/>
          <w:sz w:val="24"/>
          <w:szCs w:val="24"/>
          <w:u w:val="single"/>
          <w:lang w:eastAsia="en-GB"/>
        </w:rPr>
      </w:pPr>
      <w:r w:rsidRPr="0025254F">
        <w:rPr>
          <w:rFonts w:ascii="Arial" w:eastAsia="Times New Roman" w:hAnsi="Arial" w:cs="Arial"/>
          <w:b/>
          <w:sz w:val="24"/>
          <w:szCs w:val="24"/>
          <w:lang w:eastAsia="en-GB"/>
        </w:rPr>
        <w:t>KWAZULU-NATAL DIVISION,</w:t>
      </w:r>
      <w:r w:rsidR="00CF49E7" w:rsidRPr="0025254F">
        <w:rPr>
          <w:rFonts w:ascii="Arial" w:eastAsia="Times New Roman" w:hAnsi="Arial" w:cs="Arial"/>
          <w:b/>
          <w:sz w:val="24"/>
          <w:szCs w:val="24"/>
          <w:lang w:eastAsia="en-GB"/>
        </w:rPr>
        <w:t xml:space="preserve"> </w:t>
      </w:r>
      <w:r w:rsidR="00442650" w:rsidRPr="0025254F">
        <w:rPr>
          <w:rFonts w:ascii="Arial" w:eastAsia="Times New Roman" w:hAnsi="Arial" w:cs="Arial"/>
          <w:b/>
          <w:sz w:val="24"/>
          <w:szCs w:val="24"/>
          <w:lang w:eastAsia="en-GB"/>
        </w:rPr>
        <w:t>PIETERMARITZBURG</w:t>
      </w:r>
    </w:p>
    <w:p w14:paraId="5DF7E1C7" w14:textId="77777777" w:rsidR="00967CE7" w:rsidRPr="0025254F" w:rsidRDefault="00967CE7" w:rsidP="006B48B9">
      <w:pPr>
        <w:spacing w:after="0" w:line="360" w:lineRule="auto"/>
        <w:contextualSpacing/>
        <w:jc w:val="both"/>
        <w:rPr>
          <w:rFonts w:ascii="Arial" w:hAnsi="Arial" w:cs="Arial"/>
          <w:sz w:val="24"/>
          <w:szCs w:val="24"/>
          <w:highlight w:val="yellow"/>
        </w:rPr>
      </w:pPr>
    </w:p>
    <w:p w14:paraId="099D6D7B" w14:textId="45F18E66" w:rsidR="00967CE7" w:rsidRPr="0025254F" w:rsidRDefault="00724F8E" w:rsidP="00827FC8">
      <w:pPr>
        <w:spacing w:after="0" w:line="360" w:lineRule="auto"/>
        <w:contextualSpacing/>
        <w:jc w:val="right"/>
        <w:rPr>
          <w:rFonts w:ascii="Arial" w:hAnsi="Arial" w:cs="Arial"/>
          <w:sz w:val="24"/>
          <w:szCs w:val="24"/>
        </w:rPr>
      </w:pPr>
      <w:r w:rsidRPr="0025254F">
        <w:rPr>
          <w:rFonts w:ascii="Arial" w:hAnsi="Arial" w:cs="Arial"/>
          <w:sz w:val="24"/>
          <w:szCs w:val="24"/>
        </w:rPr>
        <w:t xml:space="preserve">Case No: </w:t>
      </w:r>
      <w:r w:rsidR="00F8232C" w:rsidRPr="0025254F">
        <w:rPr>
          <w:rFonts w:ascii="Arial" w:hAnsi="Arial" w:cs="Arial"/>
          <w:sz w:val="24"/>
          <w:szCs w:val="24"/>
        </w:rPr>
        <w:t>9</w:t>
      </w:r>
      <w:r w:rsidR="00D14B21" w:rsidRPr="0025254F">
        <w:rPr>
          <w:rFonts w:ascii="Arial" w:hAnsi="Arial" w:cs="Arial"/>
          <w:sz w:val="24"/>
          <w:szCs w:val="24"/>
        </w:rPr>
        <w:t>324/22</w:t>
      </w:r>
    </w:p>
    <w:p w14:paraId="777DC785" w14:textId="19BD2AC5" w:rsidR="00967CE7" w:rsidRPr="0025254F" w:rsidRDefault="00F8539B" w:rsidP="006B48B9">
      <w:pPr>
        <w:spacing w:after="0" w:line="360" w:lineRule="auto"/>
        <w:contextualSpacing/>
        <w:jc w:val="both"/>
        <w:rPr>
          <w:rFonts w:ascii="Arial" w:hAnsi="Arial" w:cs="Arial"/>
          <w:sz w:val="24"/>
          <w:szCs w:val="24"/>
        </w:rPr>
      </w:pPr>
      <w:r w:rsidRPr="0025254F">
        <w:rPr>
          <w:rFonts w:ascii="Arial" w:hAnsi="Arial" w:cs="Arial"/>
          <w:sz w:val="24"/>
          <w:szCs w:val="24"/>
        </w:rPr>
        <w:t>In the matter between:</w:t>
      </w:r>
    </w:p>
    <w:p w14:paraId="7EB30519" w14:textId="14F0C919" w:rsidR="00967CE7" w:rsidRPr="0025254F" w:rsidRDefault="00710BA7" w:rsidP="006B48B9">
      <w:pPr>
        <w:tabs>
          <w:tab w:val="right" w:pos="8789"/>
        </w:tabs>
        <w:spacing w:after="0" w:line="360" w:lineRule="auto"/>
        <w:contextualSpacing/>
        <w:jc w:val="both"/>
        <w:rPr>
          <w:rFonts w:ascii="Arial" w:hAnsi="Arial" w:cs="Arial"/>
          <w:b/>
          <w:sz w:val="24"/>
          <w:szCs w:val="24"/>
        </w:rPr>
      </w:pPr>
      <w:r w:rsidRPr="0025254F">
        <w:rPr>
          <w:rFonts w:ascii="Arial" w:hAnsi="Arial" w:cs="Arial"/>
          <w:b/>
          <w:sz w:val="24"/>
          <w:szCs w:val="24"/>
        </w:rPr>
        <w:t>STANDARD BANK OF SOUTH AFRICA LTD</w:t>
      </w:r>
      <w:r w:rsidR="007F1A47" w:rsidRPr="0025254F">
        <w:rPr>
          <w:rFonts w:ascii="Arial" w:hAnsi="Arial" w:cs="Arial"/>
          <w:b/>
          <w:sz w:val="24"/>
          <w:szCs w:val="24"/>
        </w:rPr>
        <w:t xml:space="preserve"> </w:t>
      </w:r>
      <w:r w:rsidR="007F1A47" w:rsidRPr="0025254F">
        <w:rPr>
          <w:rFonts w:ascii="Arial" w:hAnsi="Arial" w:cs="Arial"/>
          <w:b/>
          <w:sz w:val="24"/>
          <w:szCs w:val="24"/>
        </w:rPr>
        <w:tab/>
      </w:r>
      <w:r w:rsidR="008B564F" w:rsidRPr="0025254F">
        <w:rPr>
          <w:rFonts w:ascii="Arial" w:hAnsi="Arial" w:cs="Arial"/>
          <w:b/>
          <w:sz w:val="24"/>
          <w:szCs w:val="24"/>
        </w:rPr>
        <w:t>APP</w:t>
      </w:r>
      <w:r w:rsidR="00A64A49" w:rsidRPr="0025254F">
        <w:rPr>
          <w:rFonts w:ascii="Arial" w:hAnsi="Arial" w:cs="Arial"/>
          <w:b/>
          <w:sz w:val="24"/>
          <w:szCs w:val="24"/>
        </w:rPr>
        <w:t>LICANT</w:t>
      </w:r>
      <w:r w:rsidR="00526D3C" w:rsidRPr="0025254F">
        <w:rPr>
          <w:rFonts w:ascii="Arial" w:hAnsi="Arial" w:cs="Arial"/>
          <w:b/>
          <w:sz w:val="24"/>
          <w:szCs w:val="24"/>
        </w:rPr>
        <w:t xml:space="preserve"> </w:t>
      </w:r>
    </w:p>
    <w:p w14:paraId="34D77CBB" w14:textId="77777777" w:rsidR="00182EEB" w:rsidRPr="0025254F" w:rsidRDefault="00182EEB" w:rsidP="006B48B9">
      <w:pPr>
        <w:tabs>
          <w:tab w:val="right" w:pos="8789"/>
        </w:tabs>
        <w:spacing w:after="0" w:line="360" w:lineRule="auto"/>
        <w:contextualSpacing/>
        <w:jc w:val="both"/>
        <w:rPr>
          <w:rFonts w:ascii="Arial" w:hAnsi="Arial" w:cs="Arial"/>
          <w:sz w:val="24"/>
          <w:szCs w:val="24"/>
        </w:rPr>
      </w:pPr>
    </w:p>
    <w:p w14:paraId="49D8D418" w14:textId="77777777" w:rsidR="00967CE7" w:rsidRPr="0025254F" w:rsidRDefault="00CF49E7" w:rsidP="006B48B9">
      <w:pPr>
        <w:tabs>
          <w:tab w:val="right" w:pos="8789"/>
        </w:tabs>
        <w:spacing w:after="0" w:line="360" w:lineRule="auto"/>
        <w:contextualSpacing/>
        <w:jc w:val="both"/>
        <w:rPr>
          <w:rFonts w:ascii="Arial" w:hAnsi="Arial" w:cs="Arial"/>
          <w:sz w:val="24"/>
          <w:szCs w:val="24"/>
        </w:rPr>
      </w:pPr>
      <w:r w:rsidRPr="0025254F">
        <w:rPr>
          <w:rFonts w:ascii="Arial" w:hAnsi="Arial" w:cs="Arial"/>
          <w:sz w:val="24"/>
          <w:szCs w:val="24"/>
        </w:rPr>
        <w:t>a</w:t>
      </w:r>
      <w:r w:rsidR="00967CE7" w:rsidRPr="0025254F">
        <w:rPr>
          <w:rFonts w:ascii="Arial" w:hAnsi="Arial" w:cs="Arial"/>
          <w:sz w:val="24"/>
          <w:szCs w:val="24"/>
        </w:rPr>
        <w:t>nd</w:t>
      </w:r>
    </w:p>
    <w:p w14:paraId="1E4D8579" w14:textId="77777777" w:rsidR="00182EEB" w:rsidRPr="0025254F" w:rsidRDefault="00182EEB" w:rsidP="006B48B9">
      <w:pPr>
        <w:tabs>
          <w:tab w:val="right" w:pos="8789"/>
        </w:tabs>
        <w:spacing w:after="0" w:line="360" w:lineRule="auto"/>
        <w:contextualSpacing/>
        <w:jc w:val="both"/>
        <w:rPr>
          <w:rFonts w:ascii="Arial" w:hAnsi="Arial" w:cs="Arial"/>
          <w:sz w:val="24"/>
          <w:szCs w:val="24"/>
        </w:rPr>
      </w:pPr>
    </w:p>
    <w:p w14:paraId="79D3BDEB" w14:textId="4FCC067B" w:rsidR="008B564F" w:rsidRPr="0025254F" w:rsidRDefault="00710BA7" w:rsidP="006B48B9">
      <w:pPr>
        <w:pStyle w:val="NoSpacing"/>
        <w:tabs>
          <w:tab w:val="right" w:pos="8789"/>
        </w:tabs>
        <w:spacing w:line="360" w:lineRule="auto"/>
        <w:contextualSpacing/>
        <w:jc w:val="both"/>
        <w:rPr>
          <w:rFonts w:ascii="Arial" w:hAnsi="Arial" w:cs="Arial"/>
          <w:b/>
          <w:sz w:val="24"/>
          <w:szCs w:val="24"/>
        </w:rPr>
      </w:pPr>
      <w:r w:rsidRPr="0025254F">
        <w:rPr>
          <w:rFonts w:ascii="Arial" w:hAnsi="Arial" w:cs="Arial"/>
          <w:b/>
          <w:sz w:val="24"/>
          <w:szCs w:val="24"/>
        </w:rPr>
        <w:t>WAR</w:t>
      </w:r>
      <w:r w:rsidR="00AF767B" w:rsidRPr="0025254F">
        <w:rPr>
          <w:rFonts w:ascii="Arial" w:hAnsi="Arial" w:cs="Arial"/>
          <w:b/>
          <w:sz w:val="24"/>
          <w:szCs w:val="24"/>
        </w:rPr>
        <w:t>DKISS PROPERTY HOLDI</w:t>
      </w:r>
      <w:r w:rsidRPr="0025254F">
        <w:rPr>
          <w:rFonts w:ascii="Arial" w:hAnsi="Arial" w:cs="Arial"/>
          <w:b/>
          <w:sz w:val="24"/>
          <w:szCs w:val="24"/>
        </w:rPr>
        <w:t>NGS (</w:t>
      </w:r>
      <w:r w:rsidR="00AF767B" w:rsidRPr="0025254F">
        <w:rPr>
          <w:rFonts w:ascii="Arial" w:hAnsi="Arial" w:cs="Arial"/>
          <w:b/>
          <w:sz w:val="24"/>
          <w:szCs w:val="24"/>
        </w:rPr>
        <w:t xml:space="preserve">PTY) </w:t>
      </w:r>
      <w:r w:rsidRPr="0025254F">
        <w:rPr>
          <w:rFonts w:ascii="Arial" w:hAnsi="Arial" w:cs="Arial"/>
          <w:b/>
          <w:sz w:val="24"/>
          <w:szCs w:val="24"/>
        </w:rPr>
        <w:t>LTD</w:t>
      </w:r>
      <w:r w:rsidR="00AF767B" w:rsidRPr="0025254F">
        <w:rPr>
          <w:rFonts w:ascii="Arial" w:hAnsi="Arial" w:cs="Arial"/>
          <w:b/>
          <w:sz w:val="24"/>
          <w:szCs w:val="24"/>
        </w:rPr>
        <w:tab/>
        <w:t>RESPONDENT</w:t>
      </w:r>
      <w:r w:rsidR="00526D3C" w:rsidRPr="0025254F">
        <w:rPr>
          <w:rFonts w:ascii="Arial" w:hAnsi="Arial" w:cs="Arial"/>
          <w:b/>
          <w:sz w:val="24"/>
          <w:szCs w:val="24"/>
        </w:rPr>
        <w:t xml:space="preserve"> </w:t>
      </w:r>
    </w:p>
    <w:p w14:paraId="6968D5C9" w14:textId="0CEA3FF0" w:rsidR="00AF767B" w:rsidRPr="0025254F" w:rsidRDefault="00AF767B" w:rsidP="006B48B9">
      <w:pPr>
        <w:pStyle w:val="NoSpacing"/>
        <w:tabs>
          <w:tab w:val="right" w:pos="8789"/>
        </w:tabs>
        <w:spacing w:line="360" w:lineRule="auto"/>
        <w:contextualSpacing/>
        <w:jc w:val="both"/>
        <w:rPr>
          <w:rFonts w:ascii="Arial" w:hAnsi="Arial" w:cs="Arial"/>
          <w:b/>
          <w:sz w:val="24"/>
          <w:szCs w:val="24"/>
        </w:rPr>
      </w:pPr>
      <w:r w:rsidRPr="0025254F">
        <w:rPr>
          <w:rFonts w:ascii="Arial" w:hAnsi="Arial" w:cs="Arial"/>
          <w:b/>
          <w:sz w:val="24"/>
          <w:szCs w:val="24"/>
        </w:rPr>
        <w:t>(Reg No. 2015/421528/07)</w:t>
      </w:r>
    </w:p>
    <w:p w14:paraId="1F79BCFB" w14:textId="77777777" w:rsidR="00ED18EC" w:rsidRPr="0025254F" w:rsidRDefault="00ED18EC" w:rsidP="006B48B9">
      <w:pPr>
        <w:pStyle w:val="NoSpacing"/>
        <w:spacing w:line="360" w:lineRule="auto"/>
        <w:contextualSpacing/>
        <w:jc w:val="both"/>
        <w:rPr>
          <w:rFonts w:ascii="Arial" w:hAnsi="Arial" w:cs="Arial"/>
          <w:b/>
          <w:sz w:val="24"/>
          <w:szCs w:val="24"/>
        </w:rPr>
      </w:pPr>
    </w:p>
    <w:p w14:paraId="221D47C4" w14:textId="77777777" w:rsidR="00493803" w:rsidRPr="0025254F" w:rsidRDefault="00967CE7" w:rsidP="006B48B9">
      <w:pPr>
        <w:pBdr>
          <w:top w:val="single" w:sz="6" w:space="1" w:color="auto"/>
          <w:bottom w:val="single" w:sz="6" w:space="1" w:color="auto"/>
        </w:pBdr>
        <w:spacing w:after="0" w:line="360" w:lineRule="auto"/>
        <w:contextualSpacing/>
        <w:jc w:val="both"/>
        <w:rPr>
          <w:rFonts w:ascii="Arial" w:hAnsi="Arial" w:cs="Arial"/>
          <w:sz w:val="24"/>
          <w:szCs w:val="24"/>
        </w:rPr>
      </w:pPr>
      <w:r w:rsidRPr="0025254F">
        <w:rPr>
          <w:rFonts w:ascii="Arial" w:hAnsi="Arial" w:cs="Arial"/>
          <w:sz w:val="24"/>
          <w:szCs w:val="24"/>
        </w:rPr>
        <w:tab/>
      </w:r>
      <w:r w:rsidRPr="0025254F">
        <w:rPr>
          <w:rFonts w:ascii="Arial" w:hAnsi="Arial" w:cs="Arial"/>
          <w:sz w:val="24"/>
          <w:szCs w:val="24"/>
        </w:rPr>
        <w:tab/>
      </w:r>
      <w:r w:rsidRPr="0025254F">
        <w:rPr>
          <w:rFonts w:ascii="Arial" w:hAnsi="Arial" w:cs="Arial"/>
          <w:sz w:val="24"/>
          <w:szCs w:val="24"/>
        </w:rPr>
        <w:tab/>
      </w:r>
      <w:r w:rsidRPr="0025254F">
        <w:rPr>
          <w:rFonts w:ascii="Arial" w:hAnsi="Arial" w:cs="Arial"/>
          <w:sz w:val="24"/>
          <w:szCs w:val="24"/>
        </w:rPr>
        <w:tab/>
      </w:r>
    </w:p>
    <w:p w14:paraId="6706675F" w14:textId="13B23BED" w:rsidR="00A64A49" w:rsidRPr="0025254F" w:rsidRDefault="00F8232C" w:rsidP="00827FC8">
      <w:pPr>
        <w:pBdr>
          <w:top w:val="single" w:sz="6" w:space="1" w:color="auto"/>
          <w:bottom w:val="single" w:sz="6" w:space="1" w:color="auto"/>
        </w:pBdr>
        <w:spacing w:after="0" w:line="360" w:lineRule="auto"/>
        <w:contextualSpacing/>
        <w:jc w:val="center"/>
        <w:rPr>
          <w:rFonts w:ascii="Arial" w:hAnsi="Arial" w:cs="Arial"/>
          <w:b/>
          <w:sz w:val="24"/>
          <w:szCs w:val="24"/>
        </w:rPr>
      </w:pPr>
      <w:r w:rsidRPr="0025254F">
        <w:rPr>
          <w:rFonts w:ascii="Arial" w:hAnsi="Arial" w:cs="Arial"/>
          <w:b/>
          <w:sz w:val="24"/>
          <w:szCs w:val="24"/>
        </w:rPr>
        <w:t>ORDER</w:t>
      </w:r>
    </w:p>
    <w:p w14:paraId="1C6595A1" w14:textId="353801E5" w:rsidR="00967CE7" w:rsidRPr="0025254F" w:rsidRDefault="00526D3C" w:rsidP="006B48B9">
      <w:pPr>
        <w:pBdr>
          <w:top w:val="single" w:sz="6" w:space="1" w:color="auto"/>
          <w:bottom w:val="single" w:sz="6" w:space="1" w:color="auto"/>
        </w:pBdr>
        <w:spacing w:after="0" w:line="360" w:lineRule="auto"/>
        <w:contextualSpacing/>
        <w:jc w:val="both"/>
        <w:rPr>
          <w:rFonts w:ascii="Arial" w:hAnsi="Arial" w:cs="Arial"/>
          <w:b/>
          <w:sz w:val="20"/>
          <w:szCs w:val="20"/>
        </w:rPr>
      </w:pPr>
      <w:r w:rsidRPr="0025254F">
        <w:rPr>
          <w:rFonts w:ascii="Arial" w:hAnsi="Arial" w:cs="Arial"/>
          <w:b/>
          <w:sz w:val="20"/>
          <w:szCs w:val="20"/>
        </w:rPr>
        <w:t xml:space="preserve"> </w:t>
      </w:r>
    </w:p>
    <w:p w14:paraId="0029FEEF" w14:textId="0810931D" w:rsidR="00BC3D91" w:rsidRDefault="00BC3D91" w:rsidP="006B48B9">
      <w:pPr>
        <w:spacing w:after="0" w:line="360" w:lineRule="auto"/>
        <w:contextualSpacing/>
        <w:jc w:val="both"/>
        <w:rPr>
          <w:rFonts w:ascii="Arial" w:eastAsia="Times New Roman" w:hAnsi="Arial" w:cs="Arial"/>
          <w:b/>
          <w:sz w:val="24"/>
          <w:szCs w:val="24"/>
          <w:u w:val="single"/>
          <w:lang w:eastAsia="en-GB"/>
        </w:rPr>
      </w:pPr>
    </w:p>
    <w:p w14:paraId="7EE866B8" w14:textId="6834E1D8" w:rsidR="001646FF" w:rsidRPr="00D6626F" w:rsidRDefault="001646FF" w:rsidP="006B48B9">
      <w:p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following order is granted:</w:t>
      </w:r>
    </w:p>
    <w:p w14:paraId="709510B2" w14:textId="77777777" w:rsidR="001646FF" w:rsidRPr="0025254F" w:rsidRDefault="001646FF" w:rsidP="001646FF">
      <w:pPr>
        <w:spacing w:after="0" w:line="360" w:lineRule="auto"/>
        <w:contextualSpacing/>
        <w:jc w:val="both"/>
        <w:rPr>
          <w:rFonts w:ascii="Arial" w:hAnsi="Arial" w:cs="Arial"/>
          <w:sz w:val="24"/>
          <w:szCs w:val="24"/>
        </w:rPr>
      </w:pPr>
      <w:r w:rsidRPr="0025254F">
        <w:rPr>
          <w:rFonts w:ascii="Arial" w:hAnsi="Arial" w:cs="Arial"/>
          <w:sz w:val="24"/>
          <w:szCs w:val="24"/>
        </w:rPr>
        <w:t>1.</w:t>
      </w:r>
      <w:r w:rsidRPr="0025254F">
        <w:rPr>
          <w:rFonts w:ascii="Arial" w:hAnsi="Arial" w:cs="Arial"/>
          <w:sz w:val="24"/>
          <w:szCs w:val="24"/>
        </w:rPr>
        <w:tab/>
      </w:r>
      <w:r>
        <w:rPr>
          <w:rFonts w:ascii="Arial" w:hAnsi="Arial" w:cs="Arial"/>
          <w:sz w:val="24"/>
          <w:szCs w:val="24"/>
        </w:rPr>
        <w:t>J</w:t>
      </w:r>
      <w:r w:rsidRPr="0025254F">
        <w:rPr>
          <w:rFonts w:ascii="Arial" w:hAnsi="Arial" w:cs="Arial"/>
          <w:sz w:val="24"/>
          <w:szCs w:val="24"/>
        </w:rPr>
        <w:t xml:space="preserve">udgment </w:t>
      </w:r>
      <w:r>
        <w:rPr>
          <w:rFonts w:ascii="Arial" w:hAnsi="Arial" w:cs="Arial"/>
          <w:sz w:val="24"/>
          <w:szCs w:val="24"/>
        </w:rPr>
        <w:t xml:space="preserve">is granted </w:t>
      </w:r>
      <w:r w:rsidRPr="0025254F">
        <w:rPr>
          <w:rFonts w:ascii="Arial" w:hAnsi="Arial" w:cs="Arial"/>
          <w:sz w:val="24"/>
          <w:szCs w:val="24"/>
        </w:rPr>
        <w:t>against the respondent for:</w:t>
      </w:r>
    </w:p>
    <w:p w14:paraId="21AE6B1C" w14:textId="77777777" w:rsidR="001646FF" w:rsidRPr="0025254F" w:rsidRDefault="001646FF" w:rsidP="00D6626F">
      <w:pPr>
        <w:spacing w:after="0" w:line="360" w:lineRule="auto"/>
        <w:ind w:left="720" w:hanging="720"/>
        <w:contextualSpacing/>
        <w:jc w:val="both"/>
        <w:rPr>
          <w:rFonts w:ascii="Arial" w:hAnsi="Arial" w:cs="Arial"/>
          <w:sz w:val="24"/>
          <w:szCs w:val="24"/>
        </w:rPr>
      </w:pPr>
      <w:r w:rsidRPr="0025254F">
        <w:rPr>
          <w:rFonts w:ascii="Arial" w:hAnsi="Arial" w:cs="Arial"/>
          <w:sz w:val="24"/>
          <w:szCs w:val="24"/>
        </w:rPr>
        <w:t>1.1</w:t>
      </w:r>
      <w:r w:rsidRPr="0025254F">
        <w:rPr>
          <w:rFonts w:ascii="Arial" w:hAnsi="Arial" w:cs="Arial"/>
          <w:sz w:val="24"/>
          <w:szCs w:val="24"/>
        </w:rPr>
        <w:tab/>
        <w:t>Payment of the sum of R3 000 000.</w:t>
      </w:r>
    </w:p>
    <w:p w14:paraId="3B4FE11F" w14:textId="77777777" w:rsidR="001646FF" w:rsidRPr="0025254F" w:rsidRDefault="001646FF" w:rsidP="00D6626F">
      <w:pPr>
        <w:spacing w:after="0" w:line="360" w:lineRule="auto"/>
        <w:ind w:left="720" w:hanging="720"/>
        <w:contextualSpacing/>
        <w:jc w:val="both"/>
        <w:rPr>
          <w:rFonts w:ascii="Arial" w:hAnsi="Arial" w:cs="Arial"/>
          <w:sz w:val="24"/>
          <w:szCs w:val="24"/>
        </w:rPr>
      </w:pPr>
      <w:r w:rsidRPr="0025254F">
        <w:rPr>
          <w:rFonts w:ascii="Arial" w:hAnsi="Arial" w:cs="Arial"/>
          <w:sz w:val="24"/>
          <w:szCs w:val="24"/>
        </w:rPr>
        <w:t>1.2</w:t>
      </w:r>
      <w:r w:rsidRPr="0025254F">
        <w:rPr>
          <w:rFonts w:ascii="Arial" w:hAnsi="Arial" w:cs="Arial"/>
          <w:sz w:val="24"/>
          <w:szCs w:val="24"/>
        </w:rPr>
        <w:tab/>
        <w:t xml:space="preserve">Payment of interest on R3 000 000 from the date of service to </w:t>
      </w:r>
      <w:r>
        <w:rPr>
          <w:rFonts w:ascii="Arial" w:hAnsi="Arial" w:cs="Arial"/>
          <w:sz w:val="24"/>
          <w:szCs w:val="24"/>
        </w:rPr>
        <w:t xml:space="preserve">the </w:t>
      </w:r>
      <w:r w:rsidRPr="0025254F">
        <w:rPr>
          <w:rFonts w:ascii="Arial" w:hAnsi="Arial" w:cs="Arial"/>
          <w:sz w:val="24"/>
          <w:szCs w:val="24"/>
        </w:rPr>
        <w:t>date of payment at the prevailing legal rate.</w:t>
      </w:r>
    </w:p>
    <w:p w14:paraId="027C34D6" w14:textId="77777777" w:rsidR="001646FF" w:rsidRPr="0025254F" w:rsidRDefault="001646FF" w:rsidP="001646FF">
      <w:pPr>
        <w:spacing w:after="0" w:line="360" w:lineRule="auto"/>
        <w:contextualSpacing/>
        <w:jc w:val="both"/>
        <w:rPr>
          <w:rFonts w:ascii="Arial" w:hAnsi="Arial" w:cs="Arial"/>
          <w:sz w:val="24"/>
          <w:szCs w:val="24"/>
        </w:rPr>
      </w:pPr>
      <w:r w:rsidRPr="0025254F">
        <w:rPr>
          <w:rFonts w:ascii="Arial" w:hAnsi="Arial" w:cs="Arial"/>
          <w:sz w:val="24"/>
          <w:szCs w:val="24"/>
        </w:rPr>
        <w:t>2.</w:t>
      </w:r>
      <w:r w:rsidRPr="0025254F">
        <w:rPr>
          <w:rFonts w:ascii="Arial" w:hAnsi="Arial" w:cs="Arial"/>
          <w:sz w:val="24"/>
          <w:szCs w:val="24"/>
        </w:rPr>
        <w:tab/>
        <w:t>The respondent is directed to pay the applicant’s costs of suit.</w:t>
      </w:r>
    </w:p>
    <w:p w14:paraId="47E25042" w14:textId="7602FBC9" w:rsidR="00F8232C" w:rsidRPr="0025254F" w:rsidRDefault="00F8232C"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___________________________________________________________________</w:t>
      </w:r>
    </w:p>
    <w:p w14:paraId="18AE6B8F" w14:textId="77777777" w:rsidR="00DE4064" w:rsidRPr="0025254F" w:rsidRDefault="00DE4064" w:rsidP="006B48B9">
      <w:pPr>
        <w:spacing w:after="0" w:line="360" w:lineRule="auto"/>
        <w:contextualSpacing/>
        <w:jc w:val="both"/>
        <w:rPr>
          <w:rFonts w:ascii="Arial" w:eastAsia="Times New Roman" w:hAnsi="Arial" w:cs="Arial"/>
          <w:b/>
          <w:sz w:val="24"/>
          <w:szCs w:val="24"/>
          <w:lang w:eastAsia="en-GB"/>
        </w:rPr>
      </w:pPr>
    </w:p>
    <w:p w14:paraId="67242D2A" w14:textId="4A54D784" w:rsidR="00DE4064" w:rsidRPr="0025254F" w:rsidRDefault="00DE4064" w:rsidP="00827FC8">
      <w:pPr>
        <w:spacing w:after="0" w:line="360" w:lineRule="auto"/>
        <w:contextualSpacing/>
        <w:jc w:val="center"/>
        <w:rPr>
          <w:rFonts w:ascii="Arial" w:eastAsia="Times New Roman" w:hAnsi="Arial" w:cs="Arial"/>
          <w:b/>
          <w:sz w:val="24"/>
          <w:szCs w:val="24"/>
          <w:lang w:eastAsia="en-GB"/>
        </w:rPr>
      </w:pPr>
      <w:r w:rsidRPr="0025254F">
        <w:rPr>
          <w:rFonts w:ascii="Arial" w:eastAsia="Times New Roman" w:hAnsi="Arial" w:cs="Arial"/>
          <w:b/>
          <w:sz w:val="24"/>
          <w:szCs w:val="24"/>
          <w:lang w:eastAsia="en-GB"/>
        </w:rPr>
        <w:t>JUDGMENT</w:t>
      </w:r>
    </w:p>
    <w:p w14:paraId="73FEA963" w14:textId="169C1ABB" w:rsidR="00DE4064" w:rsidRPr="0025254F" w:rsidRDefault="00DE4064"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___________________________________________________________________</w:t>
      </w:r>
    </w:p>
    <w:p w14:paraId="05CD5980" w14:textId="77777777" w:rsidR="00656167" w:rsidRPr="0025254F" w:rsidRDefault="00656167" w:rsidP="006B48B9">
      <w:pPr>
        <w:spacing w:after="0" w:line="360" w:lineRule="auto"/>
        <w:contextualSpacing/>
        <w:jc w:val="both"/>
        <w:rPr>
          <w:rFonts w:ascii="Arial" w:eastAsia="Times New Roman" w:hAnsi="Arial" w:cs="Arial"/>
          <w:b/>
          <w:sz w:val="24"/>
          <w:szCs w:val="24"/>
          <w:lang w:eastAsia="en-GB"/>
        </w:rPr>
      </w:pPr>
    </w:p>
    <w:p w14:paraId="6625C833" w14:textId="54CE34D3" w:rsidR="00BC3D91" w:rsidRPr="0025254F" w:rsidRDefault="003636B1" w:rsidP="006B48B9">
      <w:pPr>
        <w:spacing w:after="0" w:line="360" w:lineRule="auto"/>
        <w:contextualSpacing/>
        <w:jc w:val="both"/>
        <w:rPr>
          <w:rFonts w:ascii="Arial" w:eastAsia="Times New Roman" w:hAnsi="Arial" w:cs="Arial"/>
          <w:b/>
          <w:sz w:val="24"/>
          <w:szCs w:val="24"/>
          <w:lang w:eastAsia="en-GB"/>
        </w:rPr>
      </w:pPr>
      <w:r w:rsidRPr="0025254F">
        <w:rPr>
          <w:rFonts w:ascii="Arial" w:eastAsia="Times New Roman" w:hAnsi="Arial" w:cs="Arial"/>
          <w:b/>
          <w:sz w:val="24"/>
          <w:szCs w:val="24"/>
          <w:lang w:eastAsia="en-GB"/>
        </w:rPr>
        <w:t>E</w:t>
      </w:r>
      <w:r w:rsidR="00656167" w:rsidRPr="0025254F">
        <w:rPr>
          <w:rFonts w:ascii="Arial" w:eastAsia="Times New Roman" w:hAnsi="Arial" w:cs="Arial"/>
          <w:b/>
          <w:sz w:val="24"/>
          <w:szCs w:val="24"/>
          <w:lang w:eastAsia="en-GB"/>
        </w:rPr>
        <w:t xml:space="preserve"> </w:t>
      </w:r>
      <w:r w:rsidR="008B564F" w:rsidRPr="0025254F">
        <w:rPr>
          <w:rFonts w:ascii="Arial" w:eastAsia="Times New Roman" w:hAnsi="Arial" w:cs="Arial"/>
          <w:b/>
          <w:sz w:val="24"/>
          <w:szCs w:val="24"/>
          <w:lang w:eastAsia="en-GB"/>
        </w:rPr>
        <w:t>Bezuidenhout</w:t>
      </w:r>
      <w:r w:rsidR="00C80685" w:rsidRPr="0025254F">
        <w:rPr>
          <w:rFonts w:ascii="Arial" w:eastAsia="Times New Roman" w:hAnsi="Arial" w:cs="Arial"/>
          <w:b/>
          <w:sz w:val="24"/>
          <w:szCs w:val="24"/>
          <w:lang w:eastAsia="en-GB"/>
        </w:rPr>
        <w:t xml:space="preserve"> </w:t>
      </w:r>
      <w:r w:rsidR="00BC3D91" w:rsidRPr="0025254F">
        <w:rPr>
          <w:rFonts w:ascii="Arial" w:eastAsia="Times New Roman" w:hAnsi="Arial" w:cs="Arial"/>
          <w:b/>
          <w:sz w:val="24"/>
          <w:szCs w:val="24"/>
          <w:lang w:eastAsia="en-GB"/>
        </w:rPr>
        <w:t xml:space="preserve">J </w:t>
      </w:r>
    </w:p>
    <w:p w14:paraId="5E23A2DF" w14:textId="77777777" w:rsidR="00DE4064" w:rsidRPr="0025254F" w:rsidRDefault="00DE4064" w:rsidP="006B48B9">
      <w:pPr>
        <w:spacing w:after="0" w:line="360" w:lineRule="auto"/>
        <w:contextualSpacing/>
        <w:jc w:val="both"/>
        <w:rPr>
          <w:rFonts w:ascii="Arial" w:eastAsia="Times New Roman" w:hAnsi="Arial" w:cs="Arial"/>
          <w:b/>
          <w:sz w:val="24"/>
          <w:szCs w:val="24"/>
          <w:u w:val="single"/>
          <w:lang w:eastAsia="en-GB"/>
        </w:rPr>
      </w:pPr>
    </w:p>
    <w:p w14:paraId="7063A772" w14:textId="10CBEF1B" w:rsidR="00F8232C" w:rsidRPr="0025254F" w:rsidRDefault="00F155EB"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b/>
          <w:sz w:val="24"/>
          <w:szCs w:val="24"/>
          <w:lang w:eastAsia="en-GB"/>
        </w:rPr>
        <w:lastRenderedPageBreak/>
        <w:t>Introduction</w:t>
      </w:r>
    </w:p>
    <w:p w14:paraId="21428B75" w14:textId="17898CFC" w:rsidR="00AF767B" w:rsidRPr="0025254F" w:rsidRDefault="00BC3D91" w:rsidP="006B48B9">
      <w:pPr>
        <w:spacing w:after="0" w:line="360" w:lineRule="auto"/>
        <w:contextualSpacing/>
        <w:jc w:val="both"/>
        <w:rPr>
          <w:rFonts w:ascii="Arial" w:hAnsi="Arial" w:cs="Arial"/>
          <w:sz w:val="24"/>
          <w:szCs w:val="24"/>
        </w:rPr>
      </w:pPr>
      <w:r w:rsidRPr="0025254F">
        <w:rPr>
          <w:rFonts w:ascii="Arial" w:hAnsi="Arial" w:cs="Arial"/>
          <w:sz w:val="24"/>
          <w:szCs w:val="24"/>
        </w:rPr>
        <w:t>[1]</w:t>
      </w:r>
      <w:r w:rsidRPr="0025254F">
        <w:rPr>
          <w:rFonts w:ascii="Arial" w:hAnsi="Arial" w:cs="Arial"/>
          <w:sz w:val="24"/>
          <w:szCs w:val="24"/>
        </w:rPr>
        <w:tab/>
      </w:r>
      <w:r w:rsidR="00AF767B" w:rsidRPr="0025254F">
        <w:rPr>
          <w:rFonts w:ascii="Arial" w:hAnsi="Arial" w:cs="Arial"/>
          <w:sz w:val="24"/>
          <w:szCs w:val="24"/>
        </w:rPr>
        <w:t>The applicant, Standard Bank of South Africa Ltd, seek</w:t>
      </w:r>
      <w:r w:rsidR="00E955D9" w:rsidRPr="0025254F">
        <w:rPr>
          <w:rFonts w:ascii="Arial" w:hAnsi="Arial" w:cs="Arial"/>
          <w:sz w:val="24"/>
          <w:szCs w:val="24"/>
        </w:rPr>
        <w:t>s</w:t>
      </w:r>
      <w:r w:rsidR="00AF767B" w:rsidRPr="0025254F">
        <w:rPr>
          <w:rFonts w:ascii="Arial" w:hAnsi="Arial" w:cs="Arial"/>
          <w:sz w:val="24"/>
          <w:szCs w:val="24"/>
        </w:rPr>
        <w:t xml:space="preserve"> judgment against the respondent, Wardkiss Property Holdings (Pty) Ltd</w:t>
      </w:r>
      <w:r w:rsidR="00F27370" w:rsidRPr="0025254F">
        <w:rPr>
          <w:rFonts w:ascii="Arial" w:hAnsi="Arial" w:cs="Arial"/>
          <w:sz w:val="24"/>
          <w:szCs w:val="24"/>
        </w:rPr>
        <w:t>,</w:t>
      </w:r>
      <w:r w:rsidR="00AF767B" w:rsidRPr="0025254F">
        <w:rPr>
          <w:rFonts w:ascii="Arial" w:hAnsi="Arial" w:cs="Arial"/>
          <w:sz w:val="24"/>
          <w:szCs w:val="24"/>
        </w:rPr>
        <w:t xml:space="preserve"> for payment of the </w:t>
      </w:r>
      <w:r w:rsidR="00E955D9" w:rsidRPr="0025254F">
        <w:rPr>
          <w:rFonts w:ascii="Arial" w:hAnsi="Arial" w:cs="Arial"/>
          <w:sz w:val="24"/>
          <w:szCs w:val="24"/>
        </w:rPr>
        <w:t>a</w:t>
      </w:r>
      <w:r w:rsidR="00AF767B" w:rsidRPr="0025254F">
        <w:rPr>
          <w:rFonts w:ascii="Arial" w:hAnsi="Arial" w:cs="Arial"/>
          <w:sz w:val="24"/>
          <w:szCs w:val="24"/>
        </w:rPr>
        <w:t>mount of R3</w:t>
      </w:r>
      <w:r w:rsidR="00D44D49">
        <w:rPr>
          <w:rFonts w:ascii="Arial" w:hAnsi="Arial" w:cs="Arial"/>
          <w:sz w:val="24"/>
          <w:szCs w:val="24"/>
        </w:rPr>
        <w:t> </w:t>
      </w:r>
      <w:r w:rsidR="00AF767B" w:rsidRPr="0025254F">
        <w:rPr>
          <w:rFonts w:ascii="Arial" w:hAnsi="Arial" w:cs="Arial"/>
          <w:sz w:val="24"/>
          <w:szCs w:val="24"/>
        </w:rPr>
        <w:t>million, together with interest at the legal rate of 7,75% from date of service of the application to date of payment. It also seeks its costs of suit.</w:t>
      </w:r>
    </w:p>
    <w:p w14:paraId="6C8AD59C" w14:textId="77777777" w:rsidR="00AF767B" w:rsidRPr="0025254F" w:rsidRDefault="00AF767B" w:rsidP="006B48B9">
      <w:pPr>
        <w:spacing w:after="0" w:line="360" w:lineRule="auto"/>
        <w:contextualSpacing/>
        <w:jc w:val="both"/>
        <w:rPr>
          <w:rFonts w:ascii="Arial" w:hAnsi="Arial" w:cs="Arial"/>
          <w:sz w:val="24"/>
          <w:szCs w:val="24"/>
        </w:rPr>
      </w:pPr>
    </w:p>
    <w:p w14:paraId="02E3F632" w14:textId="3F863B39" w:rsidR="002C5C2A" w:rsidRPr="0025254F" w:rsidRDefault="005E3AEF" w:rsidP="006B48B9">
      <w:pPr>
        <w:spacing w:after="0" w:line="360" w:lineRule="auto"/>
        <w:contextualSpacing/>
        <w:jc w:val="both"/>
        <w:rPr>
          <w:rFonts w:ascii="Arial" w:hAnsi="Arial" w:cs="Arial"/>
          <w:sz w:val="24"/>
          <w:szCs w:val="24"/>
        </w:rPr>
      </w:pPr>
      <w:r w:rsidRPr="0025254F">
        <w:rPr>
          <w:rFonts w:ascii="Arial" w:hAnsi="Arial" w:cs="Arial"/>
          <w:sz w:val="24"/>
          <w:szCs w:val="24"/>
        </w:rPr>
        <w:t>[2]</w:t>
      </w:r>
      <w:r w:rsidR="00EB532B" w:rsidRPr="0025254F">
        <w:rPr>
          <w:rFonts w:ascii="Arial" w:hAnsi="Arial" w:cs="Arial"/>
          <w:sz w:val="24"/>
          <w:szCs w:val="24"/>
        </w:rPr>
        <w:tab/>
      </w:r>
      <w:r w:rsidR="002C5C2A" w:rsidRPr="0025254F">
        <w:rPr>
          <w:rFonts w:ascii="Arial" w:hAnsi="Arial" w:cs="Arial"/>
          <w:sz w:val="24"/>
          <w:szCs w:val="24"/>
        </w:rPr>
        <w:t>It is common cause that the applicant was approached</w:t>
      </w:r>
      <w:r w:rsidR="00F27370" w:rsidRPr="0025254F">
        <w:rPr>
          <w:rFonts w:ascii="Arial" w:hAnsi="Arial" w:cs="Arial"/>
          <w:sz w:val="24"/>
          <w:szCs w:val="24"/>
        </w:rPr>
        <w:t xml:space="preserve"> by,</w:t>
      </w:r>
      <w:r w:rsidR="002C5C2A" w:rsidRPr="0025254F">
        <w:rPr>
          <w:rFonts w:ascii="Arial" w:hAnsi="Arial" w:cs="Arial"/>
          <w:sz w:val="24"/>
          <w:szCs w:val="24"/>
        </w:rPr>
        <w:t xml:space="preserve"> and subsequently approved </w:t>
      </w:r>
      <w:r w:rsidR="00F27370" w:rsidRPr="0025254F">
        <w:rPr>
          <w:rFonts w:ascii="Arial" w:hAnsi="Arial" w:cs="Arial"/>
          <w:sz w:val="24"/>
          <w:szCs w:val="24"/>
        </w:rPr>
        <w:t xml:space="preserve">the </w:t>
      </w:r>
      <w:r w:rsidR="002C5C2A" w:rsidRPr="0025254F">
        <w:rPr>
          <w:rFonts w:ascii="Arial" w:hAnsi="Arial" w:cs="Arial"/>
          <w:sz w:val="24"/>
          <w:szCs w:val="24"/>
        </w:rPr>
        <w:t>banking facilities in respect of another entity, Wardkiss (Pty) Ltd (Wardkiss), providing it with</w:t>
      </w:r>
      <w:r w:rsidR="006B76E3">
        <w:rPr>
          <w:rFonts w:ascii="Arial" w:hAnsi="Arial" w:cs="Arial"/>
          <w:sz w:val="24"/>
          <w:szCs w:val="24"/>
        </w:rPr>
        <w:t xml:space="preserve"> </w:t>
      </w:r>
      <w:r w:rsidR="006B76E3">
        <w:rPr>
          <w:rFonts w:ascii="Arial" w:hAnsi="Arial" w:cs="Arial"/>
          <w:i/>
          <w:sz w:val="24"/>
          <w:szCs w:val="24"/>
        </w:rPr>
        <w:t>inter alia</w:t>
      </w:r>
      <w:r w:rsidR="002C5C2A" w:rsidRPr="0025254F">
        <w:rPr>
          <w:rFonts w:ascii="Arial" w:hAnsi="Arial" w:cs="Arial"/>
          <w:sz w:val="24"/>
          <w:szCs w:val="24"/>
        </w:rPr>
        <w:t xml:space="preserve"> an overdraft facility limited </w:t>
      </w:r>
      <w:r w:rsidR="00E955D9" w:rsidRPr="0025254F">
        <w:rPr>
          <w:rFonts w:ascii="Arial" w:hAnsi="Arial" w:cs="Arial"/>
          <w:sz w:val="24"/>
          <w:szCs w:val="24"/>
        </w:rPr>
        <w:t>to R6 million,</w:t>
      </w:r>
      <w:r w:rsidR="00DB2FB3" w:rsidRPr="0025254F">
        <w:rPr>
          <w:rFonts w:ascii="Arial" w:hAnsi="Arial" w:cs="Arial"/>
          <w:sz w:val="24"/>
          <w:szCs w:val="24"/>
        </w:rPr>
        <w:t xml:space="preserve"> </w:t>
      </w:r>
      <w:r w:rsidR="00E955D9" w:rsidRPr="0025254F">
        <w:rPr>
          <w:rFonts w:ascii="Arial" w:hAnsi="Arial" w:cs="Arial"/>
          <w:sz w:val="24"/>
          <w:szCs w:val="24"/>
        </w:rPr>
        <w:t>a business revolving credit p</w:t>
      </w:r>
      <w:r w:rsidR="002C5C2A" w:rsidRPr="0025254F">
        <w:rPr>
          <w:rFonts w:ascii="Arial" w:hAnsi="Arial" w:cs="Arial"/>
          <w:sz w:val="24"/>
          <w:szCs w:val="24"/>
        </w:rPr>
        <w:t>lan</w:t>
      </w:r>
      <w:r w:rsidR="00E955D9" w:rsidRPr="0025254F">
        <w:rPr>
          <w:rFonts w:ascii="Arial" w:hAnsi="Arial" w:cs="Arial"/>
          <w:sz w:val="24"/>
          <w:szCs w:val="24"/>
        </w:rPr>
        <w:t xml:space="preserve"> </w:t>
      </w:r>
      <w:r w:rsidR="00EA7719" w:rsidRPr="0025254F">
        <w:rPr>
          <w:rFonts w:ascii="Arial" w:hAnsi="Arial" w:cs="Arial"/>
          <w:sz w:val="24"/>
          <w:szCs w:val="24"/>
        </w:rPr>
        <w:t xml:space="preserve">in the amount of R2,5 million </w:t>
      </w:r>
      <w:r w:rsidR="00E955D9" w:rsidRPr="0025254F">
        <w:rPr>
          <w:rFonts w:ascii="Arial" w:hAnsi="Arial" w:cs="Arial"/>
          <w:sz w:val="24"/>
          <w:szCs w:val="24"/>
        </w:rPr>
        <w:t>and a Covid</w:t>
      </w:r>
      <w:r w:rsidR="00DB2FB3" w:rsidRPr="0025254F">
        <w:rPr>
          <w:rFonts w:ascii="Arial" w:hAnsi="Arial" w:cs="Arial"/>
          <w:sz w:val="24"/>
          <w:szCs w:val="24"/>
        </w:rPr>
        <w:t>-19</w:t>
      </w:r>
      <w:r w:rsidR="00E955D9" w:rsidRPr="0025254F">
        <w:rPr>
          <w:rFonts w:ascii="Arial" w:hAnsi="Arial" w:cs="Arial"/>
          <w:sz w:val="24"/>
          <w:szCs w:val="24"/>
        </w:rPr>
        <w:t xml:space="preserve"> loan</w:t>
      </w:r>
      <w:r w:rsidR="000C605F" w:rsidRPr="0025254F">
        <w:rPr>
          <w:rFonts w:ascii="Arial" w:hAnsi="Arial" w:cs="Arial"/>
          <w:sz w:val="24"/>
          <w:szCs w:val="24"/>
        </w:rPr>
        <w:t xml:space="preserve"> for the amount of R3 million</w:t>
      </w:r>
      <w:r w:rsidR="00D14B21" w:rsidRPr="0025254F">
        <w:rPr>
          <w:rFonts w:ascii="Arial" w:hAnsi="Arial" w:cs="Arial"/>
          <w:sz w:val="24"/>
          <w:szCs w:val="24"/>
        </w:rPr>
        <w:t>.</w:t>
      </w:r>
      <w:r w:rsidR="002C5C2A" w:rsidRPr="0025254F">
        <w:rPr>
          <w:rFonts w:ascii="Arial" w:hAnsi="Arial" w:cs="Arial"/>
          <w:sz w:val="24"/>
          <w:szCs w:val="24"/>
        </w:rPr>
        <w:t xml:space="preserve"> Wardkiss is now in liquidation.</w:t>
      </w:r>
    </w:p>
    <w:p w14:paraId="685E59EA" w14:textId="77777777" w:rsidR="00A779F0" w:rsidRPr="0025254F" w:rsidRDefault="00A779F0" w:rsidP="006B48B9">
      <w:pPr>
        <w:spacing w:after="0" w:line="360" w:lineRule="auto"/>
        <w:ind w:left="720" w:hanging="720"/>
        <w:contextualSpacing/>
        <w:jc w:val="both"/>
        <w:rPr>
          <w:rFonts w:ascii="Arial" w:hAnsi="Arial" w:cs="Arial"/>
          <w:sz w:val="20"/>
          <w:szCs w:val="20"/>
        </w:rPr>
      </w:pPr>
    </w:p>
    <w:p w14:paraId="74E944A0" w14:textId="56B52895" w:rsidR="002C5C2A" w:rsidRPr="0025254F" w:rsidRDefault="005E3AEF"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[3]</w:t>
      </w:r>
      <w:r w:rsidR="00EB532B" w:rsidRPr="0025254F">
        <w:rPr>
          <w:rFonts w:ascii="Arial" w:eastAsia="Times New Roman" w:hAnsi="Arial" w:cs="Arial"/>
          <w:sz w:val="24"/>
          <w:szCs w:val="24"/>
          <w:lang w:eastAsia="en-GB"/>
        </w:rPr>
        <w:tab/>
      </w:r>
      <w:r w:rsidR="002C5C2A" w:rsidRPr="0025254F">
        <w:rPr>
          <w:rFonts w:ascii="Arial" w:eastAsia="Times New Roman" w:hAnsi="Arial" w:cs="Arial"/>
          <w:sz w:val="24"/>
          <w:szCs w:val="24"/>
          <w:lang w:eastAsia="en-GB"/>
        </w:rPr>
        <w:t>The</w:t>
      </w:r>
      <w:r w:rsidR="00E955D9" w:rsidRPr="0025254F">
        <w:rPr>
          <w:rFonts w:ascii="Arial" w:eastAsia="Times New Roman" w:hAnsi="Arial" w:cs="Arial"/>
          <w:sz w:val="24"/>
          <w:szCs w:val="24"/>
          <w:lang w:eastAsia="en-GB"/>
        </w:rPr>
        <w:t xml:space="preserve"> respondent, represented by Mr AH</w:t>
      </w:r>
      <w:r w:rsidR="002C5C2A" w:rsidRPr="0025254F">
        <w:rPr>
          <w:rFonts w:ascii="Arial" w:eastAsia="Times New Roman" w:hAnsi="Arial" w:cs="Arial"/>
          <w:sz w:val="24"/>
          <w:szCs w:val="24"/>
          <w:lang w:eastAsia="en-GB"/>
        </w:rPr>
        <w:t xml:space="preserve"> Palmer, executed</w:t>
      </w:r>
      <w:r w:rsidR="00D07FCA" w:rsidRPr="0025254F">
        <w:rPr>
          <w:rFonts w:ascii="Arial" w:eastAsia="Times New Roman" w:hAnsi="Arial" w:cs="Arial"/>
          <w:sz w:val="24"/>
          <w:szCs w:val="24"/>
          <w:lang w:eastAsia="en-GB"/>
        </w:rPr>
        <w:t xml:space="preserve"> what appears to be</w:t>
      </w:r>
      <w:r w:rsidR="00526D3C" w:rsidRPr="0025254F">
        <w:rPr>
          <w:rFonts w:ascii="Arial" w:eastAsia="Times New Roman" w:hAnsi="Arial" w:cs="Arial"/>
          <w:sz w:val="24"/>
          <w:szCs w:val="24"/>
          <w:lang w:eastAsia="en-GB"/>
        </w:rPr>
        <w:t xml:space="preserve"> </w:t>
      </w:r>
      <w:r w:rsidR="002C5C2A" w:rsidRPr="0025254F">
        <w:rPr>
          <w:rFonts w:ascii="Arial" w:eastAsia="Times New Roman" w:hAnsi="Arial" w:cs="Arial"/>
          <w:sz w:val="24"/>
          <w:szCs w:val="24"/>
          <w:lang w:eastAsia="en-GB"/>
        </w:rPr>
        <w:t>a guarantee in f</w:t>
      </w:r>
      <w:r w:rsidR="00E955D9" w:rsidRPr="0025254F">
        <w:rPr>
          <w:rFonts w:ascii="Arial" w:eastAsia="Times New Roman" w:hAnsi="Arial" w:cs="Arial"/>
          <w:sz w:val="24"/>
          <w:szCs w:val="24"/>
          <w:lang w:eastAsia="en-GB"/>
        </w:rPr>
        <w:t>avour of the applicant for the due,</w:t>
      </w:r>
      <w:r w:rsidR="002C5C2A" w:rsidRPr="0025254F">
        <w:rPr>
          <w:rFonts w:ascii="Arial" w:eastAsia="Times New Roman" w:hAnsi="Arial" w:cs="Arial"/>
          <w:sz w:val="24"/>
          <w:szCs w:val="24"/>
          <w:lang w:eastAsia="en-GB"/>
        </w:rPr>
        <w:t xml:space="preserve"> punctual and full payment of all the debts which Wardkiss </w:t>
      </w:r>
      <w:r w:rsidR="00E955D9" w:rsidRPr="0025254F">
        <w:rPr>
          <w:rFonts w:ascii="Arial" w:eastAsia="Times New Roman" w:hAnsi="Arial" w:cs="Arial"/>
          <w:sz w:val="24"/>
          <w:szCs w:val="24"/>
          <w:lang w:eastAsia="en-GB"/>
        </w:rPr>
        <w:t>ha</w:t>
      </w:r>
      <w:r w:rsidR="00D14B21" w:rsidRPr="0025254F">
        <w:rPr>
          <w:rFonts w:ascii="Arial" w:eastAsia="Times New Roman" w:hAnsi="Arial" w:cs="Arial"/>
          <w:sz w:val="24"/>
          <w:szCs w:val="24"/>
          <w:lang w:eastAsia="en-GB"/>
        </w:rPr>
        <w:t>s</w:t>
      </w:r>
      <w:r w:rsidR="002C5C2A" w:rsidRPr="0025254F">
        <w:rPr>
          <w:rFonts w:ascii="Arial" w:eastAsia="Times New Roman" w:hAnsi="Arial" w:cs="Arial"/>
          <w:sz w:val="24"/>
          <w:szCs w:val="24"/>
          <w:lang w:eastAsia="en-GB"/>
        </w:rPr>
        <w:t xml:space="preserve"> or may </w:t>
      </w:r>
      <w:r w:rsidR="00E955D9" w:rsidRPr="0025254F">
        <w:rPr>
          <w:rFonts w:ascii="Arial" w:eastAsia="Times New Roman" w:hAnsi="Arial" w:cs="Arial"/>
          <w:sz w:val="24"/>
          <w:szCs w:val="24"/>
          <w:lang w:eastAsia="en-GB"/>
        </w:rPr>
        <w:t>h</w:t>
      </w:r>
      <w:r w:rsidR="00D14B21" w:rsidRPr="0025254F">
        <w:rPr>
          <w:rFonts w:ascii="Arial" w:eastAsia="Times New Roman" w:hAnsi="Arial" w:cs="Arial"/>
          <w:sz w:val="24"/>
          <w:szCs w:val="24"/>
          <w:lang w:eastAsia="en-GB"/>
        </w:rPr>
        <w:t>ave</w:t>
      </w:r>
      <w:r w:rsidR="002C5C2A" w:rsidRPr="0025254F">
        <w:rPr>
          <w:rFonts w:ascii="Arial" w:eastAsia="Times New Roman" w:hAnsi="Arial" w:cs="Arial"/>
          <w:sz w:val="24"/>
          <w:szCs w:val="24"/>
          <w:lang w:eastAsia="en-GB"/>
        </w:rPr>
        <w:t xml:space="preserve"> in </w:t>
      </w:r>
      <w:r w:rsidR="00C057E9">
        <w:rPr>
          <w:rFonts w:ascii="Arial" w:eastAsia="Times New Roman" w:hAnsi="Arial" w:cs="Arial"/>
          <w:sz w:val="24"/>
          <w:szCs w:val="24"/>
          <w:lang w:eastAsia="en-GB"/>
        </w:rPr>
        <w:t xml:space="preserve">the </w:t>
      </w:r>
      <w:r w:rsidR="002C5C2A" w:rsidRPr="0025254F">
        <w:rPr>
          <w:rFonts w:ascii="Arial" w:eastAsia="Times New Roman" w:hAnsi="Arial" w:cs="Arial"/>
          <w:sz w:val="24"/>
          <w:szCs w:val="24"/>
          <w:lang w:eastAsia="en-GB"/>
        </w:rPr>
        <w:t>future.</w:t>
      </w:r>
    </w:p>
    <w:p w14:paraId="6E2C8F4A" w14:textId="77777777" w:rsidR="002C5C2A" w:rsidRPr="0025254F" w:rsidRDefault="002C5C2A" w:rsidP="006B48B9">
      <w:pPr>
        <w:spacing w:after="0" w:line="360" w:lineRule="auto"/>
        <w:contextualSpacing/>
        <w:jc w:val="both"/>
        <w:rPr>
          <w:rFonts w:ascii="Arial" w:eastAsia="Times New Roman" w:hAnsi="Arial" w:cs="Arial"/>
          <w:sz w:val="24"/>
          <w:szCs w:val="24"/>
          <w:lang w:eastAsia="en-GB"/>
        </w:rPr>
      </w:pPr>
    </w:p>
    <w:p w14:paraId="7D2AF859" w14:textId="3C144B19" w:rsidR="00FF2E3A"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[4</w:t>
      </w:r>
      <w:r w:rsidR="001D277F" w:rsidRPr="0025254F">
        <w:rPr>
          <w:rFonts w:ascii="Arial" w:eastAsia="Times New Roman" w:hAnsi="Arial" w:cs="Arial"/>
          <w:sz w:val="24"/>
          <w:szCs w:val="24"/>
          <w:lang w:eastAsia="en-GB"/>
        </w:rPr>
        <w:t>]</w:t>
      </w:r>
      <w:r w:rsidR="001D277F" w:rsidRPr="0025254F">
        <w:rPr>
          <w:rFonts w:ascii="Arial" w:eastAsia="Times New Roman" w:hAnsi="Arial" w:cs="Arial"/>
          <w:sz w:val="24"/>
          <w:szCs w:val="24"/>
          <w:lang w:eastAsia="en-GB"/>
        </w:rPr>
        <w:tab/>
        <w:t xml:space="preserve">The </w:t>
      </w:r>
      <w:r w:rsidR="002C5C2A" w:rsidRPr="0025254F">
        <w:rPr>
          <w:rFonts w:ascii="Arial" w:eastAsia="Times New Roman" w:hAnsi="Arial" w:cs="Arial"/>
          <w:sz w:val="24"/>
          <w:szCs w:val="24"/>
          <w:lang w:eastAsia="en-GB"/>
        </w:rPr>
        <w:t>parties are in agreement th</w:t>
      </w:r>
      <w:r w:rsidR="00FF2E3A" w:rsidRPr="0025254F">
        <w:rPr>
          <w:rFonts w:ascii="Arial" w:eastAsia="Times New Roman" w:hAnsi="Arial" w:cs="Arial"/>
          <w:sz w:val="24"/>
          <w:szCs w:val="24"/>
          <w:lang w:eastAsia="en-GB"/>
        </w:rPr>
        <w:t>a</w:t>
      </w:r>
      <w:r w:rsidR="002C5C2A" w:rsidRPr="0025254F">
        <w:rPr>
          <w:rFonts w:ascii="Arial" w:eastAsia="Times New Roman" w:hAnsi="Arial" w:cs="Arial"/>
          <w:sz w:val="24"/>
          <w:szCs w:val="24"/>
          <w:lang w:eastAsia="en-GB"/>
        </w:rPr>
        <w:t xml:space="preserve">t the only issue that requires </w:t>
      </w:r>
      <w:r w:rsidR="00892C5A">
        <w:rPr>
          <w:rFonts w:ascii="Arial" w:eastAsia="Times New Roman" w:hAnsi="Arial" w:cs="Arial"/>
          <w:sz w:val="24"/>
          <w:szCs w:val="24"/>
          <w:lang w:eastAsia="en-GB"/>
        </w:rPr>
        <w:t>determination</w:t>
      </w:r>
      <w:r w:rsidR="002C5C2A" w:rsidRPr="0025254F">
        <w:rPr>
          <w:rFonts w:ascii="Arial" w:eastAsia="Times New Roman" w:hAnsi="Arial" w:cs="Arial"/>
          <w:sz w:val="24"/>
          <w:szCs w:val="24"/>
          <w:lang w:eastAsia="en-GB"/>
        </w:rPr>
        <w:t xml:space="preserve"> is whether annexure ‘K’, </w:t>
      </w:r>
      <w:r w:rsidR="00E955D9" w:rsidRPr="0025254F">
        <w:rPr>
          <w:rFonts w:ascii="Arial" w:eastAsia="Times New Roman" w:hAnsi="Arial" w:cs="Arial"/>
          <w:sz w:val="24"/>
          <w:szCs w:val="24"/>
          <w:lang w:eastAsia="en-GB"/>
        </w:rPr>
        <w:t>titled ‘</w:t>
      </w:r>
      <w:r w:rsidR="00D14B21" w:rsidRPr="0025254F">
        <w:rPr>
          <w:rFonts w:ascii="Arial" w:eastAsia="Times New Roman" w:hAnsi="Arial" w:cs="Arial"/>
          <w:sz w:val="24"/>
          <w:szCs w:val="24"/>
          <w:lang w:eastAsia="en-GB"/>
        </w:rPr>
        <w:t>G</w:t>
      </w:r>
      <w:r w:rsidR="00E955D9" w:rsidRPr="0025254F">
        <w:rPr>
          <w:rFonts w:ascii="Arial" w:eastAsia="Times New Roman" w:hAnsi="Arial" w:cs="Arial"/>
          <w:sz w:val="24"/>
          <w:szCs w:val="24"/>
          <w:lang w:eastAsia="en-GB"/>
        </w:rPr>
        <w:t>uarantee’</w:t>
      </w:r>
      <w:r w:rsidR="002C5C2A" w:rsidRPr="0025254F">
        <w:rPr>
          <w:rFonts w:ascii="Arial" w:eastAsia="Times New Roman" w:hAnsi="Arial" w:cs="Arial"/>
          <w:sz w:val="24"/>
          <w:szCs w:val="24"/>
          <w:lang w:eastAsia="en-GB"/>
        </w:rPr>
        <w:t>, and upon which the applicant relies as its security, is a suretyship or a guarantee</w:t>
      </w:r>
      <w:r w:rsidR="00FF2E3A" w:rsidRPr="0025254F">
        <w:rPr>
          <w:rFonts w:ascii="Arial" w:eastAsia="Times New Roman" w:hAnsi="Arial" w:cs="Arial"/>
          <w:sz w:val="24"/>
          <w:szCs w:val="24"/>
          <w:lang w:eastAsia="en-GB"/>
        </w:rPr>
        <w:t>.</w:t>
      </w:r>
      <w:r w:rsidR="00D07FCA" w:rsidRPr="0025254F">
        <w:rPr>
          <w:rFonts w:ascii="Arial" w:eastAsia="Times New Roman" w:hAnsi="Arial" w:cs="Arial"/>
          <w:sz w:val="24"/>
          <w:szCs w:val="24"/>
          <w:lang w:eastAsia="en-GB"/>
        </w:rPr>
        <w:t xml:space="preserve"> For the sake of convenience</w:t>
      </w:r>
      <w:r w:rsidR="00892C5A">
        <w:rPr>
          <w:rFonts w:ascii="Arial" w:eastAsia="Times New Roman" w:hAnsi="Arial" w:cs="Arial"/>
          <w:sz w:val="24"/>
          <w:szCs w:val="24"/>
          <w:lang w:eastAsia="en-GB"/>
        </w:rPr>
        <w:t>,</w:t>
      </w:r>
      <w:r w:rsidR="00D07FCA" w:rsidRPr="0025254F">
        <w:rPr>
          <w:rFonts w:ascii="Arial" w:eastAsia="Times New Roman" w:hAnsi="Arial" w:cs="Arial"/>
          <w:sz w:val="24"/>
          <w:szCs w:val="24"/>
          <w:lang w:eastAsia="en-GB"/>
        </w:rPr>
        <w:t xml:space="preserve"> I will continue to refer to it as ‘the guarantee’.</w:t>
      </w:r>
    </w:p>
    <w:p w14:paraId="59C429A9" w14:textId="77777777" w:rsidR="001D277F" w:rsidRPr="0025254F" w:rsidRDefault="001D277F" w:rsidP="006B48B9">
      <w:pPr>
        <w:spacing w:after="0" w:line="360" w:lineRule="auto"/>
        <w:contextualSpacing/>
        <w:jc w:val="both"/>
        <w:rPr>
          <w:rFonts w:ascii="Arial" w:eastAsia="Times New Roman" w:hAnsi="Arial" w:cs="Arial"/>
          <w:sz w:val="24"/>
          <w:szCs w:val="24"/>
          <w:lang w:eastAsia="en-GB"/>
        </w:rPr>
      </w:pPr>
    </w:p>
    <w:p w14:paraId="37747175" w14:textId="4DC107F2" w:rsidR="00FF2E3A"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[5</w:t>
      </w:r>
      <w:r w:rsidR="00D71FDF" w:rsidRPr="0025254F">
        <w:rPr>
          <w:rFonts w:ascii="Arial" w:eastAsia="Times New Roman" w:hAnsi="Arial" w:cs="Arial"/>
          <w:sz w:val="24"/>
          <w:szCs w:val="24"/>
          <w:lang w:eastAsia="en-GB"/>
        </w:rPr>
        <w:t>]</w:t>
      </w:r>
      <w:r w:rsidR="00D71FDF" w:rsidRPr="0025254F">
        <w:rPr>
          <w:rFonts w:ascii="Arial" w:eastAsia="Times New Roman" w:hAnsi="Arial" w:cs="Arial"/>
          <w:sz w:val="24"/>
          <w:szCs w:val="24"/>
          <w:lang w:eastAsia="en-GB"/>
        </w:rPr>
        <w:tab/>
      </w:r>
      <w:r w:rsidR="00FF2E3A" w:rsidRPr="0025254F">
        <w:rPr>
          <w:rFonts w:ascii="Arial" w:eastAsia="Times New Roman" w:hAnsi="Arial" w:cs="Arial"/>
          <w:sz w:val="24"/>
          <w:szCs w:val="24"/>
          <w:lang w:eastAsia="en-GB"/>
        </w:rPr>
        <w:t>It i</w:t>
      </w:r>
      <w:r w:rsidR="006B76E3">
        <w:rPr>
          <w:rFonts w:ascii="Arial" w:eastAsia="Times New Roman" w:hAnsi="Arial" w:cs="Arial"/>
          <w:sz w:val="24"/>
          <w:szCs w:val="24"/>
          <w:lang w:eastAsia="en-GB"/>
        </w:rPr>
        <w:t>s common cause that the guarantee</w:t>
      </w:r>
      <w:r w:rsidR="00FF2E3A" w:rsidRPr="0025254F">
        <w:rPr>
          <w:rFonts w:ascii="Arial" w:eastAsia="Times New Roman" w:hAnsi="Arial" w:cs="Arial"/>
          <w:sz w:val="24"/>
          <w:szCs w:val="24"/>
          <w:lang w:eastAsia="en-GB"/>
        </w:rPr>
        <w:t xml:space="preserve"> </w:t>
      </w:r>
      <w:r w:rsidR="00D14B21" w:rsidRPr="0025254F">
        <w:rPr>
          <w:rFonts w:ascii="Arial" w:eastAsia="Times New Roman" w:hAnsi="Arial" w:cs="Arial"/>
          <w:sz w:val="24"/>
          <w:szCs w:val="24"/>
          <w:lang w:eastAsia="en-GB"/>
        </w:rPr>
        <w:t>has been signed electronically by</w:t>
      </w:r>
      <w:r w:rsidR="00FF2E3A" w:rsidRPr="0025254F">
        <w:rPr>
          <w:rFonts w:ascii="Arial" w:eastAsia="Times New Roman" w:hAnsi="Arial" w:cs="Arial"/>
          <w:sz w:val="24"/>
          <w:szCs w:val="24"/>
          <w:lang w:eastAsia="en-GB"/>
        </w:rPr>
        <w:t xml:space="preserve"> Mr Palmer</w:t>
      </w:r>
      <w:r w:rsidR="00E955D9" w:rsidRPr="0025254F">
        <w:rPr>
          <w:rFonts w:ascii="Arial" w:eastAsia="Times New Roman" w:hAnsi="Arial" w:cs="Arial"/>
          <w:sz w:val="24"/>
          <w:szCs w:val="24"/>
          <w:lang w:eastAsia="en-GB"/>
        </w:rPr>
        <w:t>,</w:t>
      </w:r>
      <w:r w:rsidR="00FF2E3A" w:rsidRPr="0025254F">
        <w:rPr>
          <w:rFonts w:ascii="Arial" w:eastAsia="Times New Roman" w:hAnsi="Arial" w:cs="Arial"/>
          <w:sz w:val="24"/>
          <w:szCs w:val="24"/>
          <w:lang w:eastAsia="en-GB"/>
        </w:rPr>
        <w:t xml:space="preserve"> duly authorised on behalf of the respondent</w:t>
      </w:r>
      <w:r w:rsidR="00E955D9" w:rsidRPr="0025254F">
        <w:rPr>
          <w:rFonts w:ascii="Arial" w:eastAsia="Times New Roman" w:hAnsi="Arial" w:cs="Arial"/>
          <w:sz w:val="24"/>
          <w:szCs w:val="24"/>
          <w:lang w:eastAsia="en-GB"/>
        </w:rPr>
        <w:t xml:space="preserve">, </w:t>
      </w:r>
      <w:r w:rsidR="00FF2E3A" w:rsidRPr="0025254F">
        <w:rPr>
          <w:rFonts w:ascii="Arial" w:eastAsia="Times New Roman" w:hAnsi="Arial" w:cs="Arial"/>
          <w:sz w:val="24"/>
          <w:szCs w:val="24"/>
          <w:lang w:eastAsia="en-GB"/>
        </w:rPr>
        <w:t>on 21 July 2020</w:t>
      </w:r>
      <w:r w:rsidR="00DC6695" w:rsidRPr="0025254F">
        <w:rPr>
          <w:rFonts w:ascii="Arial" w:eastAsia="Times New Roman" w:hAnsi="Arial" w:cs="Arial"/>
          <w:sz w:val="24"/>
          <w:szCs w:val="24"/>
          <w:lang w:eastAsia="en-GB"/>
        </w:rPr>
        <w:t>.</w:t>
      </w:r>
    </w:p>
    <w:p w14:paraId="5343ED2A" w14:textId="109A9872"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15D6F940" w14:textId="18C35CFD" w:rsidR="009140F8" w:rsidRPr="0025254F" w:rsidRDefault="009140F8" w:rsidP="006B48B9">
      <w:pPr>
        <w:spacing w:after="0" w:line="360" w:lineRule="auto"/>
        <w:contextualSpacing/>
        <w:jc w:val="both"/>
        <w:rPr>
          <w:rFonts w:ascii="Arial" w:eastAsia="Times New Roman" w:hAnsi="Arial" w:cs="Arial"/>
          <w:b/>
          <w:sz w:val="24"/>
          <w:szCs w:val="24"/>
          <w:lang w:eastAsia="en-GB"/>
        </w:rPr>
      </w:pPr>
      <w:r w:rsidRPr="0025254F">
        <w:rPr>
          <w:rFonts w:ascii="Arial" w:eastAsia="Times New Roman" w:hAnsi="Arial" w:cs="Arial"/>
          <w:b/>
          <w:sz w:val="24"/>
          <w:szCs w:val="24"/>
          <w:lang w:eastAsia="en-GB"/>
        </w:rPr>
        <w:t>Background</w:t>
      </w:r>
    </w:p>
    <w:p w14:paraId="777FA221" w14:textId="7191C530" w:rsidR="00FF18C1" w:rsidRPr="0025254F" w:rsidRDefault="00FF2E3A"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[6]</w:t>
      </w:r>
      <w:r w:rsidRPr="0025254F">
        <w:rPr>
          <w:rFonts w:ascii="Arial" w:eastAsia="Times New Roman" w:hAnsi="Arial" w:cs="Arial"/>
          <w:sz w:val="24"/>
          <w:szCs w:val="24"/>
          <w:lang w:eastAsia="en-GB"/>
        </w:rPr>
        <w:tab/>
      </w:r>
      <w:r w:rsidR="009140F8" w:rsidRPr="0025254F">
        <w:rPr>
          <w:rFonts w:ascii="Arial" w:eastAsia="Times New Roman" w:hAnsi="Arial" w:cs="Arial"/>
          <w:sz w:val="24"/>
          <w:szCs w:val="24"/>
          <w:lang w:eastAsia="en-GB"/>
        </w:rPr>
        <w:t xml:space="preserve">Mr Palmer is a 50% shareholder of the respondent. Another entity, </w:t>
      </w:r>
      <w:r w:rsidR="00E955D9" w:rsidRPr="0025254F">
        <w:rPr>
          <w:rFonts w:ascii="Arial" w:eastAsia="Times New Roman" w:hAnsi="Arial" w:cs="Arial"/>
          <w:sz w:val="24"/>
          <w:szCs w:val="24"/>
          <w:lang w:eastAsia="en-GB"/>
        </w:rPr>
        <w:t>G</w:t>
      </w:r>
      <w:r w:rsidR="009140F8" w:rsidRPr="0025254F">
        <w:rPr>
          <w:rFonts w:ascii="Arial" w:eastAsia="Times New Roman" w:hAnsi="Arial" w:cs="Arial"/>
          <w:sz w:val="24"/>
          <w:szCs w:val="24"/>
          <w:lang w:eastAsia="en-GB"/>
        </w:rPr>
        <w:t>lobal Property In</w:t>
      </w:r>
      <w:r w:rsidR="00E955D9" w:rsidRPr="0025254F">
        <w:rPr>
          <w:rFonts w:ascii="Arial" w:eastAsia="Times New Roman" w:hAnsi="Arial" w:cs="Arial"/>
          <w:sz w:val="24"/>
          <w:szCs w:val="24"/>
          <w:lang w:eastAsia="en-GB"/>
        </w:rPr>
        <w:t>vestments (Pty) Ltd</w:t>
      </w:r>
      <w:r w:rsidR="00DC6695" w:rsidRPr="0025254F">
        <w:rPr>
          <w:rFonts w:ascii="Arial" w:eastAsia="Times New Roman" w:hAnsi="Arial" w:cs="Arial"/>
          <w:sz w:val="24"/>
          <w:szCs w:val="24"/>
          <w:lang w:eastAsia="en-GB"/>
        </w:rPr>
        <w:t>,</w:t>
      </w:r>
      <w:r w:rsidR="00E955D9" w:rsidRPr="0025254F">
        <w:rPr>
          <w:rFonts w:ascii="Arial" w:eastAsia="Times New Roman" w:hAnsi="Arial" w:cs="Arial"/>
          <w:sz w:val="24"/>
          <w:szCs w:val="24"/>
          <w:lang w:eastAsia="en-GB"/>
        </w:rPr>
        <w:t xml:space="preserve"> is the</w:t>
      </w:r>
      <w:r w:rsidR="009140F8" w:rsidRPr="0025254F">
        <w:rPr>
          <w:rFonts w:ascii="Arial" w:eastAsia="Times New Roman" w:hAnsi="Arial" w:cs="Arial"/>
          <w:sz w:val="24"/>
          <w:szCs w:val="24"/>
          <w:lang w:eastAsia="en-GB"/>
        </w:rPr>
        <w:t xml:space="preserve"> shareholder of</w:t>
      </w:r>
      <w:r w:rsidR="005C615D" w:rsidRPr="0025254F">
        <w:rPr>
          <w:rFonts w:ascii="Arial" w:eastAsia="Times New Roman" w:hAnsi="Arial" w:cs="Arial"/>
          <w:sz w:val="24"/>
          <w:szCs w:val="24"/>
          <w:lang w:eastAsia="en-GB"/>
        </w:rPr>
        <w:t xml:space="preserve"> the remaining 50% interest</w:t>
      </w:r>
      <w:r w:rsidR="00E955D9" w:rsidRPr="0025254F">
        <w:rPr>
          <w:rFonts w:ascii="Arial" w:eastAsia="Times New Roman" w:hAnsi="Arial" w:cs="Arial"/>
          <w:sz w:val="24"/>
          <w:szCs w:val="24"/>
          <w:lang w:eastAsia="en-GB"/>
        </w:rPr>
        <w:t>.</w:t>
      </w:r>
      <w:r w:rsidR="005C615D" w:rsidRPr="0025254F">
        <w:rPr>
          <w:rFonts w:ascii="Arial" w:eastAsia="Times New Roman" w:hAnsi="Arial" w:cs="Arial"/>
          <w:sz w:val="24"/>
          <w:szCs w:val="24"/>
          <w:lang w:eastAsia="en-GB"/>
        </w:rPr>
        <w:t xml:space="preserve"> Mr P</w:t>
      </w:r>
      <w:r w:rsidR="009140F8" w:rsidRPr="0025254F">
        <w:rPr>
          <w:rFonts w:ascii="Arial" w:eastAsia="Times New Roman" w:hAnsi="Arial" w:cs="Arial"/>
          <w:sz w:val="24"/>
          <w:szCs w:val="24"/>
          <w:lang w:eastAsia="en-GB"/>
        </w:rPr>
        <w:t>almer approached the applicant during February 2020, requesting banking facilities for Wardkiss.</w:t>
      </w:r>
    </w:p>
    <w:p w14:paraId="1FE79949" w14:textId="77017F50" w:rsidR="00DC7095" w:rsidRPr="0025254F" w:rsidRDefault="00DC7095" w:rsidP="006B48B9">
      <w:pPr>
        <w:spacing w:after="0" w:line="360" w:lineRule="auto"/>
        <w:contextualSpacing/>
        <w:jc w:val="both"/>
        <w:rPr>
          <w:rFonts w:ascii="Arial" w:eastAsia="Times New Roman" w:hAnsi="Arial" w:cs="Arial"/>
          <w:b/>
          <w:sz w:val="24"/>
          <w:szCs w:val="24"/>
          <w:lang w:eastAsia="en-GB"/>
        </w:rPr>
      </w:pPr>
      <w:r w:rsidRPr="0025254F">
        <w:rPr>
          <w:rFonts w:ascii="Arial" w:eastAsia="Times New Roman" w:hAnsi="Arial" w:cs="Arial"/>
          <w:b/>
          <w:sz w:val="24"/>
          <w:szCs w:val="24"/>
          <w:lang w:eastAsia="en-GB"/>
        </w:rPr>
        <w:tab/>
      </w:r>
    </w:p>
    <w:p w14:paraId="20C45C68" w14:textId="10A5A701" w:rsidR="00A97F80"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[7</w:t>
      </w:r>
      <w:r w:rsidR="00F94ADE" w:rsidRPr="0025254F">
        <w:rPr>
          <w:rFonts w:ascii="Arial" w:eastAsia="Times New Roman" w:hAnsi="Arial" w:cs="Arial"/>
          <w:sz w:val="24"/>
          <w:szCs w:val="24"/>
          <w:lang w:eastAsia="en-GB"/>
        </w:rPr>
        <w:t>]</w:t>
      </w:r>
      <w:r w:rsidR="009140F8" w:rsidRPr="0025254F">
        <w:rPr>
          <w:rFonts w:ascii="Arial" w:eastAsia="Times New Roman" w:hAnsi="Arial" w:cs="Arial"/>
          <w:sz w:val="24"/>
          <w:szCs w:val="24"/>
          <w:lang w:eastAsia="en-GB"/>
        </w:rPr>
        <w:tab/>
        <w:t>The applicant attached a number of emails to its founding affidavit which set out the</w:t>
      </w:r>
      <w:r w:rsidR="006B76E3">
        <w:rPr>
          <w:rFonts w:ascii="Arial" w:eastAsia="Times New Roman" w:hAnsi="Arial" w:cs="Arial"/>
          <w:sz w:val="24"/>
          <w:szCs w:val="24"/>
          <w:lang w:eastAsia="en-GB"/>
        </w:rPr>
        <w:t xml:space="preserve"> applicant’s</w:t>
      </w:r>
      <w:r w:rsidR="009140F8" w:rsidRPr="0025254F">
        <w:rPr>
          <w:rFonts w:ascii="Arial" w:eastAsia="Times New Roman" w:hAnsi="Arial" w:cs="Arial"/>
          <w:sz w:val="24"/>
          <w:szCs w:val="24"/>
          <w:lang w:eastAsia="en-GB"/>
        </w:rPr>
        <w:t xml:space="preserve"> requirements for the approval of the banking facilities in respect of Wardkiss. In an email dated 25 February 2020</w:t>
      </w:r>
      <w:r w:rsidR="00892C5A">
        <w:rPr>
          <w:rFonts w:ascii="Arial" w:eastAsia="Times New Roman" w:hAnsi="Arial" w:cs="Arial"/>
          <w:sz w:val="24"/>
          <w:szCs w:val="24"/>
          <w:lang w:eastAsia="en-GB"/>
        </w:rPr>
        <w:t>,</w:t>
      </w:r>
      <w:r w:rsidR="009140F8" w:rsidRPr="0025254F">
        <w:rPr>
          <w:rFonts w:ascii="Arial" w:eastAsia="Times New Roman" w:hAnsi="Arial" w:cs="Arial"/>
          <w:sz w:val="24"/>
          <w:szCs w:val="24"/>
          <w:lang w:eastAsia="en-GB"/>
        </w:rPr>
        <w:t xml:space="preserve"> attached </w:t>
      </w:r>
      <w:r w:rsidR="005C615D" w:rsidRPr="0025254F">
        <w:rPr>
          <w:rFonts w:ascii="Arial" w:eastAsia="Times New Roman" w:hAnsi="Arial" w:cs="Arial"/>
          <w:sz w:val="24"/>
          <w:szCs w:val="24"/>
          <w:lang w:eastAsia="en-GB"/>
        </w:rPr>
        <w:t xml:space="preserve">as annexure ‘A’, written by </w:t>
      </w:r>
      <w:r w:rsidR="005C615D" w:rsidRPr="0025254F">
        <w:rPr>
          <w:rFonts w:ascii="Arial" w:eastAsia="Times New Roman" w:hAnsi="Arial" w:cs="Arial"/>
          <w:sz w:val="24"/>
          <w:szCs w:val="24"/>
          <w:lang w:eastAsia="en-GB"/>
        </w:rPr>
        <w:lastRenderedPageBreak/>
        <w:t>Mr V</w:t>
      </w:r>
      <w:r w:rsidR="009140F8" w:rsidRPr="0025254F">
        <w:rPr>
          <w:rFonts w:ascii="Arial" w:eastAsia="Times New Roman" w:hAnsi="Arial" w:cs="Arial"/>
          <w:sz w:val="24"/>
          <w:szCs w:val="24"/>
          <w:lang w:eastAsia="en-GB"/>
        </w:rPr>
        <w:t xml:space="preserve"> N</w:t>
      </w:r>
      <w:r w:rsidR="00CB3698" w:rsidRPr="0025254F">
        <w:rPr>
          <w:rFonts w:ascii="Arial" w:eastAsia="Times New Roman" w:hAnsi="Arial" w:cs="Arial"/>
          <w:sz w:val="24"/>
          <w:szCs w:val="24"/>
          <w:lang w:eastAsia="en-GB"/>
        </w:rPr>
        <w:t xml:space="preserve">aidoo, the </w:t>
      </w:r>
      <w:r w:rsidR="00C94FD0" w:rsidRPr="0025254F">
        <w:rPr>
          <w:rFonts w:ascii="Arial" w:eastAsia="Times New Roman" w:hAnsi="Arial" w:cs="Arial"/>
          <w:sz w:val="24"/>
          <w:szCs w:val="24"/>
          <w:lang w:eastAsia="en-GB"/>
        </w:rPr>
        <w:t>collateral required</w:t>
      </w:r>
      <w:r w:rsidR="00CB3698" w:rsidRPr="0025254F">
        <w:rPr>
          <w:rFonts w:ascii="Arial" w:eastAsia="Times New Roman" w:hAnsi="Arial" w:cs="Arial"/>
          <w:sz w:val="24"/>
          <w:szCs w:val="24"/>
          <w:lang w:eastAsia="en-GB"/>
        </w:rPr>
        <w:t xml:space="preserve"> was </w:t>
      </w:r>
      <w:r w:rsidR="00CB3698" w:rsidRPr="0025254F">
        <w:rPr>
          <w:rFonts w:ascii="Arial" w:eastAsia="Times New Roman" w:hAnsi="Arial" w:cs="Arial"/>
          <w:i/>
          <w:sz w:val="24"/>
          <w:szCs w:val="24"/>
          <w:lang w:eastAsia="en-GB"/>
        </w:rPr>
        <w:t>inter alia</w:t>
      </w:r>
      <w:r w:rsidR="00CB3698" w:rsidRPr="0025254F">
        <w:rPr>
          <w:rFonts w:ascii="Arial" w:eastAsia="Times New Roman" w:hAnsi="Arial" w:cs="Arial"/>
          <w:sz w:val="24"/>
          <w:szCs w:val="24"/>
          <w:lang w:eastAsia="en-GB"/>
        </w:rPr>
        <w:t xml:space="preserve"> a guarantee</w:t>
      </w:r>
      <w:r w:rsidR="0050064F">
        <w:rPr>
          <w:rFonts w:ascii="Arial" w:eastAsia="Times New Roman" w:hAnsi="Arial" w:cs="Arial"/>
          <w:sz w:val="24"/>
          <w:szCs w:val="24"/>
          <w:lang w:eastAsia="en-GB"/>
        </w:rPr>
        <w:t xml:space="preserve"> by Mr Palmer,</w:t>
      </w:r>
      <w:r w:rsidR="00CB3698" w:rsidRPr="0025254F">
        <w:rPr>
          <w:rFonts w:ascii="Arial" w:eastAsia="Times New Roman" w:hAnsi="Arial" w:cs="Arial"/>
          <w:sz w:val="24"/>
          <w:szCs w:val="24"/>
          <w:lang w:eastAsia="en-GB"/>
        </w:rPr>
        <w:t xml:space="preserve"> restricted to </w:t>
      </w:r>
      <w:r w:rsidR="00E76603" w:rsidRPr="0025254F">
        <w:rPr>
          <w:rFonts w:ascii="Arial" w:eastAsia="Times New Roman" w:hAnsi="Arial" w:cs="Arial"/>
          <w:sz w:val="24"/>
          <w:szCs w:val="24"/>
          <w:lang w:eastAsia="en-GB"/>
        </w:rPr>
        <w:t>R11 million</w:t>
      </w:r>
      <w:r w:rsidR="0050064F">
        <w:rPr>
          <w:rFonts w:ascii="Arial" w:eastAsia="Times New Roman" w:hAnsi="Arial" w:cs="Arial"/>
          <w:sz w:val="24"/>
          <w:szCs w:val="24"/>
          <w:lang w:eastAsia="en-GB"/>
        </w:rPr>
        <w:t>,</w:t>
      </w:r>
      <w:r w:rsidR="00E76603" w:rsidRPr="0025254F">
        <w:rPr>
          <w:rFonts w:ascii="Arial" w:eastAsia="Times New Roman" w:hAnsi="Arial" w:cs="Arial"/>
          <w:sz w:val="24"/>
          <w:szCs w:val="24"/>
          <w:lang w:eastAsia="en-GB"/>
        </w:rPr>
        <w:t xml:space="preserve"> a</w:t>
      </w:r>
      <w:r w:rsidR="00E955D9" w:rsidRPr="0025254F">
        <w:rPr>
          <w:rFonts w:ascii="Arial" w:eastAsia="Times New Roman" w:hAnsi="Arial" w:cs="Arial"/>
          <w:sz w:val="24"/>
          <w:szCs w:val="24"/>
          <w:lang w:eastAsia="en-GB"/>
        </w:rPr>
        <w:t>nd a guarantee</w:t>
      </w:r>
      <w:r w:rsidR="0050064F">
        <w:rPr>
          <w:rFonts w:ascii="Arial" w:eastAsia="Times New Roman" w:hAnsi="Arial" w:cs="Arial"/>
          <w:sz w:val="24"/>
          <w:szCs w:val="24"/>
          <w:lang w:eastAsia="en-GB"/>
        </w:rPr>
        <w:t xml:space="preserve"> by the respondent,</w:t>
      </w:r>
      <w:r w:rsidR="00E955D9" w:rsidRPr="0025254F">
        <w:rPr>
          <w:rFonts w:ascii="Arial" w:eastAsia="Times New Roman" w:hAnsi="Arial" w:cs="Arial"/>
          <w:sz w:val="24"/>
          <w:szCs w:val="24"/>
          <w:lang w:eastAsia="en-GB"/>
        </w:rPr>
        <w:t xml:space="preserve"> restricted to R6</w:t>
      </w:r>
      <w:r w:rsidR="00E76603" w:rsidRPr="0025254F">
        <w:rPr>
          <w:rFonts w:ascii="Arial" w:eastAsia="Times New Roman" w:hAnsi="Arial" w:cs="Arial"/>
          <w:sz w:val="24"/>
          <w:szCs w:val="24"/>
          <w:lang w:eastAsia="en-GB"/>
        </w:rPr>
        <w:t xml:space="preserve"> million.</w:t>
      </w:r>
    </w:p>
    <w:p w14:paraId="7F0DB49C" w14:textId="171CB67E" w:rsidR="00F94ADE" w:rsidRPr="0025254F" w:rsidRDefault="00F94ADE" w:rsidP="006B48B9">
      <w:pPr>
        <w:spacing w:after="0" w:line="360" w:lineRule="auto"/>
        <w:contextualSpacing/>
        <w:jc w:val="both"/>
        <w:rPr>
          <w:rFonts w:ascii="Arial" w:eastAsia="Times New Roman" w:hAnsi="Arial" w:cs="Arial"/>
          <w:sz w:val="24"/>
          <w:szCs w:val="24"/>
          <w:lang w:eastAsia="en-GB"/>
        </w:rPr>
      </w:pPr>
    </w:p>
    <w:p w14:paraId="02B64F16" w14:textId="02A8A2B1" w:rsidR="00F94ADE"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[8</w:t>
      </w:r>
      <w:r w:rsidR="004D72A1" w:rsidRPr="0025254F">
        <w:rPr>
          <w:rFonts w:ascii="Arial" w:eastAsia="Times New Roman" w:hAnsi="Arial" w:cs="Arial"/>
          <w:sz w:val="24"/>
          <w:szCs w:val="24"/>
          <w:lang w:eastAsia="en-GB"/>
        </w:rPr>
        <w:t>]</w:t>
      </w:r>
      <w:r w:rsidR="004D72A1" w:rsidRPr="0025254F">
        <w:rPr>
          <w:rFonts w:ascii="Arial" w:eastAsia="Times New Roman" w:hAnsi="Arial" w:cs="Arial"/>
          <w:sz w:val="24"/>
          <w:szCs w:val="24"/>
          <w:lang w:eastAsia="en-GB"/>
        </w:rPr>
        <w:tab/>
      </w:r>
      <w:r w:rsidR="00E76603" w:rsidRPr="0025254F">
        <w:rPr>
          <w:rFonts w:ascii="Arial" w:eastAsia="Times New Roman" w:hAnsi="Arial" w:cs="Arial"/>
          <w:sz w:val="24"/>
          <w:szCs w:val="24"/>
          <w:lang w:eastAsia="en-GB"/>
        </w:rPr>
        <w:t>In a further email dated 4 March 2020, attached as annexure ‘B’</w:t>
      </w:r>
      <w:r w:rsidR="00EA7719" w:rsidRPr="0025254F">
        <w:rPr>
          <w:rFonts w:ascii="Arial" w:eastAsia="Times New Roman" w:hAnsi="Arial" w:cs="Arial"/>
          <w:sz w:val="24"/>
          <w:szCs w:val="24"/>
          <w:lang w:eastAsia="en-GB"/>
        </w:rPr>
        <w:t>,</w:t>
      </w:r>
      <w:r w:rsidR="00526D3C" w:rsidRPr="0025254F">
        <w:rPr>
          <w:rFonts w:ascii="Arial" w:eastAsia="Times New Roman" w:hAnsi="Arial" w:cs="Arial"/>
          <w:sz w:val="24"/>
          <w:szCs w:val="24"/>
          <w:lang w:eastAsia="en-GB"/>
        </w:rPr>
        <w:t xml:space="preserve"> </w:t>
      </w:r>
      <w:r w:rsidR="00E76603" w:rsidRPr="0025254F">
        <w:rPr>
          <w:rFonts w:ascii="Arial" w:eastAsia="Times New Roman" w:hAnsi="Arial" w:cs="Arial"/>
          <w:sz w:val="24"/>
          <w:szCs w:val="24"/>
          <w:lang w:eastAsia="en-GB"/>
        </w:rPr>
        <w:t xml:space="preserve">dealing again with </w:t>
      </w:r>
      <w:r w:rsidR="00DC6695" w:rsidRPr="0025254F">
        <w:rPr>
          <w:rFonts w:ascii="Arial" w:eastAsia="Times New Roman" w:hAnsi="Arial" w:cs="Arial"/>
          <w:sz w:val="24"/>
          <w:szCs w:val="24"/>
          <w:lang w:eastAsia="en-GB"/>
        </w:rPr>
        <w:t xml:space="preserve">the </w:t>
      </w:r>
      <w:r w:rsidR="00E76603" w:rsidRPr="0025254F">
        <w:rPr>
          <w:rFonts w:ascii="Arial" w:eastAsia="Times New Roman" w:hAnsi="Arial" w:cs="Arial"/>
          <w:sz w:val="24"/>
          <w:szCs w:val="24"/>
          <w:lang w:eastAsia="en-GB"/>
        </w:rPr>
        <w:t>collateral required</w:t>
      </w:r>
      <w:r w:rsidR="00EA7719" w:rsidRPr="0025254F">
        <w:rPr>
          <w:rFonts w:ascii="Arial" w:eastAsia="Times New Roman" w:hAnsi="Arial" w:cs="Arial"/>
          <w:sz w:val="24"/>
          <w:szCs w:val="24"/>
          <w:lang w:eastAsia="en-GB"/>
        </w:rPr>
        <w:t>,</w:t>
      </w:r>
      <w:r w:rsidR="00E76603" w:rsidRPr="0025254F">
        <w:rPr>
          <w:rFonts w:ascii="Arial" w:eastAsia="Times New Roman" w:hAnsi="Arial" w:cs="Arial"/>
          <w:sz w:val="24"/>
          <w:szCs w:val="24"/>
          <w:lang w:eastAsia="en-GB"/>
        </w:rPr>
        <w:t xml:space="preserve"> the</w:t>
      </w:r>
      <w:r w:rsidR="00EA7719" w:rsidRPr="0025254F">
        <w:rPr>
          <w:rFonts w:ascii="Arial" w:eastAsia="Times New Roman" w:hAnsi="Arial" w:cs="Arial"/>
          <w:sz w:val="24"/>
          <w:szCs w:val="24"/>
          <w:lang w:eastAsia="en-GB"/>
        </w:rPr>
        <w:t xml:space="preserve"> initial</w:t>
      </w:r>
      <w:r w:rsidR="00E76603" w:rsidRPr="0025254F">
        <w:rPr>
          <w:rFonts w:ascii="Arial" w:eastAsia="Times New Roman" w:hAnsi="Arial" w:cs="Arial"/>
          <w:sz w:val="24"/>
          <w:szCs w:val="24"/>
          <w:lang w:eastAsia="en-GB"/>
        </w:rPr>
        <w:t xml:space="preserve"> guarantee</w:t>
      </w:r>
      <w:r w:rsidR="00526D3C" w:rsidRPr="0025254F">
        <w:rPr>
          <w:rFonts w:ascii="Arial" w:eastAsia="Times New Roman" w:hAnsi="Arial" w:cs="Arial"/>
          <w:sz w:val="24"/>
          <w:szCs w:val="24"/>
          <w:lang w:eastAsia="en-GB"/>
        </w:rPr>
        <w:t xml:space="preserve"> </w:t>
      </w:r>
      <w:r w:rsidR="00E76603" w:rsidRPr="0025254F">
        <w:rPr>
          <w:rFonts w:ascii="Arial" w:eastAsia="Times New Roman" w:hAnsi="Arial" w:cs="Arial"/>
          <w:sz w:val="24"/>
          <w:szCs w:val="24"/>
          <w:lang w:eastAsia="en-GB"/>
        </w:rPr>
        <w:t>by Mr Palmer was amended to be restricted to R6 million and the guarantee in respect of the respondent was amended to be restricted t</w:t>
      </w:r>
      <w:r w:rsidR="005C615D" w:rsidRPr="0025254F">
        <w:rPr>
          <w:rFonts w:ascii="Arial" w:eastAsia="Times New Roman" w:hAnsi="Arial" w:cs="Arial"/>
          <w:sz w:val="24"/>
          <w:szCs w:val="24"/>
          <w:lang w:eastAsia="en-GB"/>
        </w:rPr>
        <w:t>o</w:t>
      </w:r>
      <w:r w:rsidR="00E76603" w:rsidRPr="0025254F">
        <w:rPr>
          <w:rFonts w:ascii="Arial" w:eastAsia="Times New Roman" w:hAnsi="Arial" w:cs="Arial"/>
          <w:sz w:val="24"/>
          <w:szCs w:val="24"/>
          <w:lang w:eastAsia="en-GB"/>
        </w:rPr>
        <w:t xml:space="preserve"> R3 million.</w:t>
      </w:r>
    </w:p>
    <w:p w14:paraId="462B2C2C" w14:textId="77777777" w:rsidR="00F94ADE" w:rsidRPr="0025254F" w:rsidRDefault="00F94ADE" w:rsidP="006B48B9">
      <w:pPr>
        <w:spacing w:after="0" w:line="360" w:lineRule="auto"/>
        <w:contextualSpacing/>
        <w:jc w:val="both"/>
        <w:rPr>
          <w:rFonts w:ascii="Arial" w:eastAsia="Times New Roman" w:hAnsi="Arial" w:cs="Arial"/>
          <w:sz w:val="24"/>
          <w:szCs w:val="24"/>
          <w:lang w:eastAsia="en-GB"/>
        </w:rPr>
      </w:pPr>
    </w:p>
    <w:p w14:paraId="4391BB31" w14:textId="1A75FFEC" w:rsidR="00F94ADE"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[9</w:t>
      </w:r>
      <w:r w:rsidR="00F94ADE" w:rsidRPr="0025254F">
        <w:rPr>
          <w:rFonts w:ascii="Arial" w:eastAsia="Times New Roman" w:hAnsi="Arial" w:cs="Arial"/>
          <w:sz w:val="24"/>
          <w:szCs w:val="24"/>
          <w:lang w:eastAsia="en-GB"/>
        </w:rPr>
        <w:t>]</w:t>
      </w:r>
      <w:r w:rsidR="00F94ADE" w:rsidRPr="0025254F">
        <w:rPr>
          <w:rFonts w:ascii="Arial" w:eastAsia="Times New Roman" w:hAnsi="Arial" w:cs="Arial"/>
          <w:sz w:val="24"/>
          <w:szCs w:val="24"/>
          <w:lang w:eastAsia="en-GB"/>
        </w:rPr>
        <w:tab/>
      </w:r>
      <w:r w:rsidR="00E76603" w:rsidRPr="0025254F">
        <w:rPr>
          <w:rFonts w:ascii="Arial" w:eastAsia="Times New Roman" w:hAnsi="Arial" w:cs="Arial"/>
          <w:sz w:val="24"/>
          <w:szCs w:val="24"/>
          <w:lang w:eastAsia="en-GB"/>
        </w:rPr>
        <w:t>In an email dated 6 March 2020, written by Mr Palmer to Mr Naidoo, and attached as annex</w:t>
      </w:r>
      <w:r w:rsidR="00EA7719" w:rsidRPr="0025254F">
        <w:rPr>
          <w:rFonts w:ascii="Arial" w:eastAsia="Times New Roman" w:hAnsi="Arial" w:cs="Arial"/>
          <w:sz w:val="24"/>
          <w:szCs w:val="24"/>
          <w:lang w:eastAsia="en-GB"/>
        </w:rPr>
        <w:t>ure ‘C’, the proposal</w:t>
      </w:r>
      <w:r w:rsidR="00892C5A">
        <w:rPr>
          <w:rFonts w:ascii="Arial" w:eastAsia="Times New Roman" w:hAnsi="Arial" w:cs="Arial"/>
          <w:sz w:val="24"/>
          <w:szCs w:val="24"/>
          <w:lang w:eastAsia="en-GB"/>
        </w:rPr>
        <w:t>s</w:t>
      </w:r>
      <w:r w:rsidR="00EA7719" w:rsidRPr="0025254F">
        <w:rPr>
          <w:rFonts w:ascii="Arial" w:eastAsia="Times New Roman" w:hAnsi="Arial" w:cs="Arial"/>
          <w:sz w:val="24"/>
          <w:szCs w:val="24"/>
          <w:lang w:eastAsia="en-GB"/>
        </w:rPr>
        <w:t xml:space="preserve"> regarding</w:t>
      </w:r>
      <w:r w:rsidR="00526D3C" w:rsidRPr="0025254F">
        <w:rPr>
          <w:rFonts w:ascii="Arial" w:eastAsia="Times New Roman" w:hAnsi="Arial" w:cs="Arial"/>
          <w:sz w:val="24"/>
          <w:szCs w:val="24"/>
          <w:lang w:eastAsia="en-GB"/>
        </w:rPr>
        <w:t xml:space="preserve"> </w:t>
      </w:r>
      <w:r w:rsidR="009D5C53" w:rsidRPr="0025254F">
        <w:rPr>
          <w:rFonts w:ascii="Arial" w:eastAsia="Times New Roman" w:hAnsi="Arial" w:cs="Arial"/>
          <w:sz w:val="24"/>
          <w:szCs w:val="24"/>
          <w:lang w:eastAsia="en-GB"/>
        </w:rPr>
        <w:t>the guarantees in respect of Mr Palmer, restricted to R6 million, and the respondent,</w:t>
      </w:r>
      <w:r w:rsidR="00E76603" w:rsidRPr="0025254F">
        <w:rPr>
          <w:rFonts w:ascii="Arial" w:eastAsia="Times New Roman" w:hAnsi="Arial" w:cs="Arial"/>
          <w:sz w:val="24"/>
          <w:szCs w:val="24"/>
          <w:lang w:eastAsia="en-GB"/>
        </w:rPr>
        <w:t xml:space="preserve"> restricted to R</w:t>
      </w:r>
      <w:r w:rsidR="009D5C53" w:rsidRPr="0025254F">
        <w:rPr>
          <w:rFonts w:ascii="Arial" w:eastAsia="Times New Roman" w:hAnsi="Arial" w:cs="Arial"/>
          <w:sz w:val="24"/>
          <w:szCs w:val="24"/>
          <w:lang w:eastAsia="en-GB"/>
        </w:rPr>
        <w:t>3</w:t>
      </w:r>
      <w:r w:rsidR="00E76603" w:rsidRPr="0025254F">
        <w:rPr>
          <w:rFonts w:ascii="Arial" w:eastAsia="Times New Roman" w:hAnsi="Arial" w:cs="Arial"/>
          <w:sz w:val="24"/>
          <w:szCs w:val="24"/>
          <w:lang w:eastAsia="en-GB"/>
        </w:rPr>
        <w:t xml:space="preserve"> million</w:t>
      </w:r>
      <w:r w:rsidR="00A862CC">
        <w:rPr>
          <w:rFonts w:ascii="Arial" w:eastAsia="Times New Roman" w:hAnsi="Arial" w:cs="Arial"/>
          <w:sz w:val="24"/>
          <w:szCs w:val="24"/>
          <w:lang w:eastAsia="en-GB"/>
        </w:rPr>
        <w:t>,</w:t>
      </w:r>
      <w:r w:rsidR="009D5C53" w:rsidRPr="0025254F">
        <w:rPr>
          <w:rFonts w:ascii="Arial" w:eastAsia="Times New Roman" w:hAnsi="Arial" w:cs="Arial"/>
          <w:sz w:val="24"/>
          <w:szCs w:val="24"/>
          <w:lang w:eastAsia="en-GB"/>
        </w:rPr>
        <w:t xml:space="preserve"> </w:t>
      </w:r>
      <w:r w:rsidR="00892C5A">
        <w:rPr>
          <w:rFonts w:ascii="Arial" w:eastAsia="Times New Roman" w:hAnsi="Arial" w:cs="Arial"/>
          <w:sz w:val="24"/>
          <w:szCs w:val="24"/>
          <w:lang w:eastAsia="en-GB"/>
        </w:rPr>
        <w:t>were</w:t>
      </w:r>
      <w:r w:rsidR="00892C5A" w:rsidRPr="0025254F">
        <w:rPr>
          <w:rFonts w:ascii="Arial" w:eastAsia="Times New Roman" w:hAnsi="Arial" w:cs="Arial"/>
          <w:sz w:val="24"/>
          <w:szCs w:val="24"/>
          <w:lang w:eastAsia="en-GB"/>
        </w:rPr>
        <w:t xml:space="preserve"> </w:t>
      </w:r>
      <w:r w:rsidR="00E22392" w:rsidRPr="0025254F">
        <w:rPr>
          <w:rFonts w:ascii="Arial" w:eastAsia="Times New Roman" w:hAnsi="Arial" w:cs="Arial"/>
          <w:sz w:val="24"/>
          <w:szCs w:val="24"/>
          <w:lang w:eastAsia="en-GB"/>
        </w:rPr>
        <w:t>agreed</w:t>
      </w:r>
      <w:r w:rsidR="00E76603" w:rsidRPr="0025254F">
        <w:rPr>
          <w:rFonts w:ascii="Arial" w:eastAsia="Times New Roman" w:hAnsi="Arial" w:cs="Arial"/>
          <w:sz w:val="24"/>
          <w:szCs w:val="24"/>
          <w:lang w:eastAsia="en-GB"/>
        </w:rPr>
        <w:t xml:space="preserve"> to.</w:t>
      </w:r>
    </w:p>
    <w:p w14:paraId="326772F2" w14:textId="77777777" w:rsidR="00E76603" w:rsidRPr="0025254F" w:rsidRDefault="00E76603" w:rsidP="006B48B9">
      <w:pPr>
        <w:spacing w:after="0" w:line="360" w:lineRule="auto"/>
        <w:contextualSpacing/>
        <w:jc w:val="both"/>
        <w:rPr>
          <w:rFonts w:ascii="Arial" w:eastAsia="Times New Roman" w:hAnsi="Arial" w:cs="Arial"/>
          <w:sz w:val="24"/>
          <w:szCs w:val="24"/>
          <w:lang w:eastAsia="en-GB"/>
        </w:rPr>
      </w:pPr>
    </w:p>
    <w:p w14:paraId="76D5847C" w14:textId="5467890D" w:rsidR="009D5C53"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[10</w:t>
      </w:r>
      <w:r w:rsidR="00F40845" w:rsidRPr="0025254F">
        <w:rPr>
          <w:rFonts w:ascii="Arial" w:eastAsia="Times New Roman" w:hAnsi="Arial" w:cs="Arial"/>
          <w:sz w:val="24"/>
          <w:szCs w:val="24"/>
          <w:lang w:eastAsia="en-GB"/>
        </w:rPr>
        <w:t>]</w:t>
      </w:r>
      <w:r w:rsidR="00F40845" w:rsidRPr="0025254F">
        <w:rPr>
          <w:rFonts w:ascii="Arial" w:eastAsia="Times New Roman" w:hAnsi="Arial" w:cs="Arial"/>
          <w:sz w:val="24"/>
          <w:szCs w:val="24"/>
          <w:lang w:eastAsia="en-GB"/>
        </w:rPr>
        <w:tab/>
      </w:r>
      <w:r w:rsidR="00E76603" w:rsidRPr="0025254F">
        <w:rPr>
          <w:rFonts w:ascii="Arial" w:eastAsia="Times New Roman" w:hAnsi="Arial" w:cs="Arial"/>
          <w:sz w:val="24"/>
          <w:szCs w:val="24"/>
          <w:lang w:eastAsia="en-GB"/>
        </w:rPr>
        <w:t>T</w:t>
      </w:r>
      <w:r w:rsidR="009D5C53" w:rsidRPr="0025254F">
        <w:rPr>
          <w:rFonts w:ascii="Arial" w:eastAsia="Times New Roman" w:hAnsi="Arial" w:cs="Arial"/>
          <w:sz w:val="24"/>
          <w:szCs w:val="24"/>
          <w:lang w:eastAsia="en-GB"/>
        </w:rPr>
        <w:t>h</w:t>
      </w:r>
      <w:r w:rsidR="00E76603" w:rsidRPr="0025254F">
        <w:rPr>
          <w:rFonts w:ascii="Arial" w:eastAsia="Times New Roman" w:hAnsi="Arial" w:cs="Arial"/>
          <w:sz w:val="24"/>
          <w:szCs w:val="24"/>
          <w:lang w:eastAsia="en-GB"/>
        </w:rPr>
        <w:t>e respondent,</w:t>
      </w:r>
      <w:r w:rsidR="00EA7719" w:rsidRPr="0025254F">
        <w:rPr>
          <w:rFonts w:ascii="Arial" w:eastAsia="Times New Roman" w:hAnsi="Arial" w:cs="Arial"/>
          <w:sz w:val="24"/>
          <w:szCs w:val="24"/>
          <w:lang w:eastAsia="en-GB"/>
        </w:rPr>
        <w:t xml:space="preserve"> in</w:t>
      </w:r>
      <w:r w:rsidR="00E76603" w:rsidRPr="0025254F">
        <w:rPr>
          <w:rFonts w:ascii="Arial" w:eastAsia="Times New Roman" w:hAnsi="Arial" w:cs="Arial"/>
          <w:sz w:val="24"/>
          <w:szCs w:val="24"/>
          <w:lang w:eastAsia="en-GB"/>
        </w:rPr>
        <w:t xml:space="preserve"> its answering </w:t>
      </w:r>
      <w:r w:rsidR="009D5C53" w:rsidRPr="0025254F">
        <w:rPr>
          <w:rFonts w:ascii="Arial" w:eastAsia="Times New Roman" w:hAnsi="Arial" w:cs="Arial"/>
          <w:sz w:val="24"/>
          <w:szCs w:val="24"/>
          <w:lang w:eastAsia="en-GB"/>
        </w:rPr>
        <w:t>affidavit</w:t>
      </w:r>
      <w:r w:rsidR="00E76603" w:rsidRPr="0025254F">
        <w:rPr>
          <w:rFonts w:ascii="Arial" w:eastAsia="Times New Roman" w:hAnsi="Arial" w:cs="Arial"/>
          <w:sz w:val="24"/>
          <w:szCs w:val="24"/>
          <w:lang w:eastAsia="en-GB"/>
        </w:rPr>
        <w:t xml:space="preserve"> at</w:t>
      </w:r>
      <w:r w:rsidR="009D5C53" w:rsidRPr="0025254F">
        <w:rPr>
          <w:rFonts w:ascii="Arial" w:eastAsia="Times New Roman" w:hAnsi="Arial" w:cs="Arial"/>
          <w:sz w:val="24"/>
          <w:szCs w:val="24"/>
          <w:lang w:eastAsia="en-GB"/>
        </w:rPr>
        <w:t xml:space="preserve">tested to by Mr Palmer, </w:t>
      </w:r>
      <w:r w:rsidR="00333BDF">
        <w:rPr>
          <w:rFonts w:ascii="Arial" w:eastAsia="Times New Roman" w:hAnsi="Arial" w:cs="Arial"/>
          <w:sz w:val="24"/>
          <w:szCs w:val="24"/>
          <w:lang w:eastAsia="en-GB"/>
        </w:rPr>
        <w:t>does</w:t>
      </w:r>
      <w:r w:rsidR="00333BDF" w:rsidRPr="0025254F">
        <w:rPr>
          <w:rFonts w:ascii="Arial" w:eastAsia="Times New Roman" w:hAnsi="Arial" w:cs="Arial"/>
          <w:sz w:val="24"/>
          <w:szCs w:val="24"/>
          <w:lang w:eastAsia="en-GB"/>
        </w:rPr>
        <w:t xml:space="preserve"> </w:t>
      </w:r>
      <w:r w:rsidR="009D5C53" w:rsidRPr="0025254F">
        <w:rPr>
          <w:rFonts w:ascii="Arial" w:eastAsia="Times New Roman" w:hAnsi="Arial" w:cs="Arial"/>
          <w:sz w:val="24"/>
          <w:szCs w:val="24"/>
          <w:lang w:eastAsia="en-GB"/>
        </w:rPr>
        <w:t>not take issue with the content of the annexures.</w:t>
      </w:r>
    </w:p>
    <w:p w14:paraId="7B83A158" w14:textId="26A92EE1" w:rsidR="00531A59" w:rsidRPr="0025254F" w:rsidRDefault="00531A59" w:rsidP="006B48B9">
      <w:pPr>
        <w:spacing w:after="0" w:line="360" w:lineRule="auto"/>
        <w:contextualSpacing/>
        <w:jc w:val="both"/>
        <w:rPr>
          <w:rFonts w:ascii="Arial" w:eastAsia="Times New Roman" w:hAnsi="Arial" w:cs="Arial"/>
          <w:sz w:val="24"/>
          <w:szCs w:val="24"/>
          <w:lang w:eastAsia="en-GB"/>
        </w:rPr>
      </w:pPr>
    </w:p>
    <w:p w14:paraId="270C4967" w14:textId="7D16D1A3" w:rsidR="00E22392"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[11</w:t>
      </w:r>
      <w:r w:rsidR="00531A59" w:rsidRPr="0025254F">
        <w:rPr>
          <w:rFonts w:ascii="Arial" w:eastAsia="Times New Roman" w:hAnsi="Arial" w:cs="Arial"/>
          <w:sz w:val="24"/>
          <w:szCs w:val="24"/>
          <w:lang w:eastAsia="en-GB"/>
        </w:rPr>
        <w:t>]</w:t>
      </w:r>
      <w:r w:rsidR="009D5C53" w:rsidRPr="0025254F">
        <w:rPr>
          <w:rFonts w:ascii="Arial" w:eastAsia="Times New Roman" w:hAnsi="Arial" w:cs="Arial"/>
          <w:sz w:val="24"/>
          <w:szCs w:val="24"/>
          <w:lang w:eastAsia="en-GB"/>
        </w:rPr>
        <w:tab/>
        <w:t xml:space="preserve">The applicant alleges that the terms of the contract </w:t>
      </w:r>
      <w:r w:rsidR="00E22392" w:rsidRPr="0025254F">
        <w:rPr>
          <w:rFonts w:ascii="Arial" w:eastAsia="Times New Roman" w:hAnsi="Arial" w:cs="Arial"/>
          <w:sz w:val="24"/>
          <w:szCs w:val="24"/>
          <w:lang w:eastAsia="en-GB"/>
        </w:rPr>
        <w:t>entered</w:t>
      </w:r>
      <w:r w:rsidR="009D5C53" w:rsidRPr="0025254F">
        <w:rPr>
          <w:rFonts w:ascii="Arial" w:eastAsia="Times New Roman" w:hAnsi="Arial" w:cs="Arial"/>
          <w:sz w:val="24"/>
          <w:szCs w:val="24"/>
          <w:lang w:eastAsia="en-GB"/>
        </w:rPr>
        <w:t xml:space="preserve"> into between the applicant and </w:t>
      </w:r>
      <w:r w:rsidR="00E22392" w:rsidRPr="0025254F">
        <w:rPr>
          <w:rFonts w:ascii="Arial" w:eastAsia="Times New Roman" w:hAnsi="Arial" w:cs="Arial"/>
          <w:sz w:val="24"/>
          <w:szCs w:val="24"/>
          <w:lang w:eastAsia="en-GB"/>
        </w:rPr>
        <w:t>W</w:t>
      </w:r>
      <w:r w:rsidR="009D5C53" w:rsidRPr="0025254F">
        <w:rPr>
          <w:rFonts w:ascii="Arial" w:eastAsia="Times New Roman" w:hAnsi="Arial" w:cs="Arial"/>
          <w:sz w:val="24"/>
          <w:szCs w:val="24"/>
          <w:lang w:eastAsia="en-GB"/>
        </w:rPr>
        <w:t>ardkiss</w:t>
      </w:r>
      <w:r w:rsidR="00E22392" w:rsidRPr="0025254F">
        <w:rPr>
          <w:rFonts w:ascii="Arial" w:eastAsia="Times New Roman" w:hAnsi="Arial" w:cs="Arial"/>
          <w:sz w:val="24"/>
          <w:szCs w:val="24"/>
          <w:lang w:eastAsia="en-GB"/>
        </w:rPr>
        <w:t xml:space="preserve"> is contained </w:t>
      </w:r>
      <w:r w:rsidR="005C615D" w:rsidRPr="0025254F">
        <w:rPr>
          <w:rFonts w:ascii="Arial" w:eastAsia="Times New Roman" w:hAnsi="Arial" w:cs="Arial"/>
          <w:sz w:val="24"/>
          <w:szCs w:val="24"/>
          <w:lang w:eastAsia="en-GB"/>
        </w:rPr>
        <w:t xml:space="preserve">in </w:t>
      </w:r>
      <w:r w:rsidR="00E22392" w:rsidRPr="0025254F">
        <w:rPr>
          <w:rFonts w:ascii="Arial" w:eastAsia="Times New Roman" w:hAnsi="Arial" w:cs="Arial"/>
          <w:sz w:val="24"/>
          <w:szCs w:val="24"/>
          <w:lang w:eastAsia="en-GB"/>
        </w:rPr>
        <w:t>a so</w:t>
      </w:r>
      <w:r w:rsidR="00DC6695" w:rsidRPr="0025254F">
        <w:rPr>
          <w:rFonts w:ascii="Arial" w:eastAsia="Times New Roman" w:hAnsi="Arial" w:cs="Arial"/>
          <w:sz w:val="24"/>
          <w:szCs w:val="24"/>
          <w:lang w:eastAsia="en-GB"/>
        </w:rPr>
        <w:t>-</w:t>
      </w:r>
      <w:r w:rsidR="00E22392" w:rsidRPr="0025254F">
        <w:rPr>
          <w:rFonts w:ascii="Arial" w:eastAsia="Times New Roman" w:hAnsi="Arial" w:cs="Arial"/>
          <w:sz w:val="24"/>
          <w:szCs w:val="24"/>
          <w:lang w:eastAsia="en-GB"/>
        </w:rPr>
        <w:t>called banking facilities letter dated 20 July 2020</w:t>
      </w:r>
      <w:r w:rsidR="00A862CC">
        <w:rPr>
          <w:rFonts w:ascii="Arial" w:eastAsia="Times New Roman" w:hAnsi="Arial" w:cs="Arial"/>
          <w:sz w:val="24"/>
          <w:szCs w:val="24"/>
          <w:lang w:eastAsia="en-GB"/>
        </w:rPr>
        <w:t>,</w:t>
      </w:r>
      <w:r w:rsidR="00E22392" w:rsidRPr="0025254F">
        <w:rPr>
          <w:rFonts w:ascii="Arial" w:eastAsia="Times New Roman" w:hAnsi="Arial" w:cs="Arial"/>
          <w:sz w:val="24"/>
          <w:szCs w:val="24"/>
          <w:lang w:eastAsia="en-GB"/>
        </w:rPr>
        <w:t xml:space="preserve"> attached as annexure ‘D’. It was signed by Mr Naidoo on behalf of the applicant and by Mr Palmer on behalf of War</w:t>
      </w:r>
      <w:r w:rsidR="00A862CC">
        <w:rPr>
          <w:rFonts w:ascii="Arial" w:eastAsia="Times New Roman" w:hAnsi="Arial" w:cs="Arial"/>
          <w:sz w:val="24"/>
          <w:szCs w:val="24"/>
          <w:lang w:eastAsia="en-GB"/>
        </w:rPr>
        <w:t>d</w:t>
      </w:r>
      <w:r w:rsidR="00E22392" w:rsidRPr="0025254F">
        <w:rPr>
          <w:rFonts w:ascii="Arial" w:eastAsia="Times New Roman" w:hAnsi="Arial" w:cs="Arial"/>
          <w:sz w:val="24"/>
          <w:szCs w:val="24"/>
          <w:lang w:eastAsia="en-GB"/>
        </w:rPr>
        <w:t>kiss</w:t>
      </w:r>
      <w:r w:rsidR="00EA7719" w:rsidRPr="0025254F">
        <w:rPr>
          <w:rFonts w:ascii="Arial" w:eastAsia="Times New Roman" w:hAnsi="Arial" w:cs="Arial"/>
          <w:sz w:val="24"/>
          <w:szCs w:val="24"/>
          <w:lang w:eastAsia="en-GB"/>
        </w:rPr>
        <w:t xml:space="preserve">, </w:t>
      </w:r>
      <w:r w:rsidR="00E22392" w:rsidRPr="0025254F">
        <w:rPr>
          <w:rFonts w:ascii="Arial" w:eastAsia="Times New Roman" w:hAnsi="Arial" w:cs="Arial"/>
          <w:sz w:val="24"/>
          <w:szCs w:val="24"/>
          <w:lang w:eastAsia="en-GB"/>
        </w:rPr>
        <w:t>although Mr Palmer alleges that he cannot recall the manner in which the document was signed.</w:t>
      </w:r>
      <w:r w:rsidR="00610264">
        <w:rPr>
          <w:rFonts w:ascii="Arial" w:eastAsia="Times New Roman" w:hAnsi="Arial" w:cs="Arial"/>
          <w:sz w:val="24"/>
          <w:szCs w:val="24"/>
          <w:lang w:eastAsia="en-GB"/>
        </w:rPr>
        <w:t xml:space="preserve"> During argument it was however clear that it was accepted that he signed it electronically.</w:t>
      </w:r>
      <w:r w:rsidR="00E22392" w:rsidRPr="0025254F">
        <w:rPr>
          <w:rFonts w:ascii="Arial" w:eastAsia="Times New Roman" w:hAnsi="Arial" w:cs="Arial"/>
          <w:sz w:val="24"/>
          <w:szCs w:val="24"/>
          <w:lang w:eastAsia="en-GB"/>
        </w:rPr>
        <w:t xml:space="preserve"> He did not dispute the content of annexure </w:t>
      </w:r>
      <w:r w:rsidR="00DC6695" w:rsidRPr="0025254F">
        <w:rPr>
          <w:rFonts w:ascii="Arial" w:eastAsia="Times New Roman" w:hAnsi="Arial" w:cs="Arial"/>
          <w:sz w:val="24"/>
          <w:szCs w:val="24"/>
          <w:lang w:eastAsia="en-GB"/>
        </w:rPr>
        <w:t>‘</w:t>
      </w:r>
      <w:r w:rsidR="00E22392" w:rsidRPr="0025254F">
        <w:rPr>
          <w:rFonts w:ascii="Arial" w:eastAsia="Times New Roman" w:hAnsi="Arial" w:cs="Arial"/>
          <w:sz w:val="24"/>
          <w:szCs w:val="24"/>
          <w:lang w:eastAsia="en-GB"/>
        </w:rPr>
        <w:t>D’</w:t>
      </w:r>
      <w:r w:rsidR="00DC6695" w:rsidRPr="0025254F">
        <w:rPr>
          <w:rFonts w:ascii="Arial" w:eastAsia="Times New Roman" w:hAnsi="Arial" w:cs="Arial"/>
          <w:sz w:val="24"/>
          <w:szCs w:val="24"/>
          <w:lang w:eastAsia="en-GB"/>
        </w:rPr>
        <w:t>.</w:t>
      </w:r>
    </w:p>
    <w:p w14:paraId="59C7D0FA" w14:textId="77777777" w:rsidR="00E22392" w:rsidRPr="0025254F" w:rsidRDefault="00E22392" w:rsidP="006B48B9">
      <w:pPr>
        <w:spacing w:after="0" w:line="360" w:lineRule="auto"/>
        <w:contextualSpacing/>
        <w:jc w:val="both"/>
        <w:rPr>
          <w:rFonts w:ascii="Arial" w:eastAsia="Times New Roman" w:hAnsi="Arial" w:cs="Arial"/>
          <w:sz w:val="24"/>
          <w:szCs w:val="24"/>
          <w:lang w:eastAsia="en-GB"/>
        </w:rPr>
      </w:pPr>
    </w:p>
    <w:p w14:paraId="3CD6B655" w14:textId="0DE4AB93" w:rsidR="00E41085" w:rsidRPr="0025254F" w:rsidRDefault="00E22392"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w:t>
      </w:r>
      <w:r w:rsidR="00E92787" w:rsidRPr="0025254F">
        <w:rPr>
          <w:rFonts w:ascii="Arial" w:eastAsia="Times New Roman" w:hAnsi="Arial" w:cs="Arial"/>
          <w:sz w:val="24"/>
          <w:szCs w:val="24"/>
          <w:lang w:eastAsia="en-GB"/>
        </w:rPr>
        <w:t>12</w:t>
      </w:r>
      <w:r w:rsidR="00E41085" w:rsidRPr="0025254F">
        <w:rPr>
          <w:rFonts w:ascii="Arial" w:eastAsia="Times New Roman" w:hAnsi="Arial" w:cs="Arial"/>
          <w:sz w:val="24"/>
          <w:szCs w:val="24"/>
          <w:lang w:eastAsia="en-GB"/>
        </w:rPr>
        <w:t>]</w:t>
      </w:r>
      <w:r w:rsidR="00E41085" w:rsidRPr="0025254F">
        <w:rPr>
          <w:rFonts w:ascii="Arial" w:eastAsia="Times New Roman" w:hAnsi="Arial" w:cs="Arial"/>
          <w:sz w:val="24"/>
          <w:szCs w:val="24"/>
          <w:lang w:eastAsia="en-GB"/>
        </w:rPr>
        <w:tab/>
      </w:r>
      <w:r w:rsidRPr="0025254F">
        <w:rPr>
          <w:rFonts w:ascii="Arial" w:eastAsia="Times New Roman" w:hAnsi="Arial" w:cs="Arial"/>
          <w:sz w:val="24"/>
          <w:szCs w:val="24"/>
          <w:lang w:eastAsia="en-GB"/>
        </w:rPr>
        <w:t>In terms of clause 1 of annexure ‘D’</w:t>
      </w:r>
      <w:r w:rsidR="00DC6695" w:rsidRPr="0025254F">
        <w:rPr>
          <w:rFonts w:ascii="Arial" w:eastAsia="Times New Roman" w:hAnsi="Arial" w:cs="Arial"/>
          <w:sz w:val="24"/>
          <w:szCs w:val="24"/>
          <w:lang w:eastAsia="en-GB"/>
        </w:rPr>
        <w:t>,</w:t>
      </w:r>
      <w:r w:rsidRPr="0025254F">
        <w:rPr>
          <w:rFonts w:ascii="Arial" w:eastAsia="Times New Roman" w:hAnsi="Arial" w:cs="Arial"/>
          <w:sz w:val="24"/>
          <w:szCs w:val="24"/>
          <w:lang w:eastAsia="en-GB"/>
        </w:rPr>
        <w:t xml:space="preserve"> an overdraft facility of R6 million was made available to Wardkiss. It was also granted a </w:t>
      </w:r>
      <w:r w:rsidR="00DC6695" w:rsidRPr="0025254F">
        <w:rPr>
          <w:rFonts w:ascii="Arial" w:eastAsia="Times New Roman" w:hAnsi="Arial" w:cs="Arial"/>
          <w:sz w:val="24"/>
          <w:szCs w:val="24"/>
          <w:lang w:eastAsia="en-GB"/>
        </w:rPr>
        <w:t xml:space="preserve">business revolving credit plan </w:t>
      </w:r>
      <w:r w:rsidRPr="0025254F">
        <w:rPr>
          <w:rFonts w:ascii="Arial" w:eastAsia="Times New Roman" w:hAnsi="Arial" w:cs="Arial"/>
          <w:sz w:val="24"/>
          <w:szCs w:val="24"/>
          <w:lang w:eastAsia="en-GB"/>
        </w:rPr>
        <w:t>for R2,5 million.</w:t>
      </w:r>
      <w:r w:rsidR="00E41085" w:rsidRPr="0025254F">
        <w:rPr>
          <w:rFonts w:ascii="Arial" w:eastAsia="Times New Roman" w:hAnsi="Arial" w:cs="Arial"/>
          <w:sz w:val="24"/>
          <w:szCs w:val="24"/>
          <w:lang w:eastAsia="en-GB"/>
        </w:rPr>
        <w:t xml:space="preserve"> </w:t>
      </w:r>
    </w:p>
    <w:p w14:paraId="3EE922E2" w14:textId="2E979A78" w:rsidR="00E41085" w:rsidRPr="0025254F" w:rsidRDefault="00E41085" w:rsidP="006B48B9">
      <w:pPr>
        <w:spacing w:after="0" w:line="360" w:lineRule="auto"/>
        <w:contextualSpacing/>
        <w:jc w:val="both"/>
        <w:rPr>
          <w:rFonts w:ascii="Arial" w:eastAsia="Times New Roman" w:hAnsi="Arial" w:cs="Arial"/>
          <w:sz w:val="24"/>
          <w:szCs w:val="24"/>
          <w:lang w:eastAsia="en-GB"/>
        </w:rPr>
      </w:pPr>
    </w:p>
    <w:p w14:paraId="4E924E7C" w14:textId="1896DA41" w:rsidR="00FE740C"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[13</w:t>
      </w:r>
      <w:r w:rsidR="00E41085" w:rsidRPr="0025254F">
        <w:rPr>
          <w:rFonts w:ascii="Arial" w:eastAsia="Times New Roman" w:hAnsi="Arial" w:cs="Arial"/>
          <w:sz w:val="24"/>
          <w:szCs w:val="24"/>
          <w:lang w:eastAsia="en-GB"/>
        </w:rPr>
        <w:t>]</w:t>
      </w:r>
      <w:r w:rsidR="00E41085" w:rsidRPr="0025254F">
        <w:rPr>
          <w:rFonts w:ascii="Arial" w:eastAsia="Times New Roman" w:hAnsi="Arial" w:cs="Arial"/>
          <w:sz w:val="24"/>
          <w:szCs w:val="24"/>
          <w:lang w:eastAsia="en-GB"/>
        </w:rPr>
        <w:tab/>
      </w:r>
      <w:r w:rsidR="00E22392" w:rsidRPr="0025254F">
        <w:rPr>
          <w:rFonts w:ascii="Arial" w:eastAsia="Times New Roman" w:hAnsi="Arial" w:cs="Arial"/>
          <w:sz w:val="24"/>
          <w:szCs w:val="24"/>
          <w:lang w:eastAsia="en-GB"/>
        </w:rPr>
        <w:t>Clause 3 of annexure ‘D’ set</w:t>
      </w:r>
      <w:r w:rsidR="00A862CC">
        <w:rPr>
          <w:rFonts w:ascii="Arial" w:eastAsia="Times New Roman" w:hAnsi="Arial" w:cs="Arial"/>
          <w:sz w:val="24"/>
          <w:szCs w:val="24"/>
          <w:lang w:eastAsia="en-GB"/>
        </w:rPr>
        <w:t>s</w:t>
      </w:r>
      <w:r w:rsidR="00E22392" w:rsidRPr="0025254F">
        <w:rPr>
          <w:rFonts w:ascii="Arial" w:eastAsia="Times New Roman" w:hAnsi="Arial" w:cs="Arial"/>
          <w:sz w:val="24"/>
          <w:szCs w:val="24"/>
          <w:lang w:eastAsia="en-GB"/>
        </w:rPr>
        <w:t xml:space="preserve"> out the collateral required. It included</w:t>
      </w:r>
      <w:r w:rsidR="00633372" w:rsidRPr="0025254F">
        <w:rPr>
          <w:rFonts w:ascii="Arial" w:eastAsia="Times New Roman" w:hAnsi="Arial" w:cs="Arial"/>
          <w:sz w:val="24"/>
          <w:szCs w:val="24"/>
          <w:lang w:eastAsia="en-GB"/>
        </w:rPr>
        <w:t xml:space="preserve"> </w:t>
      </w:r>
      <w:r w:rsidR="00633372" w:rsidRPr="00D6626F">
        <w:rPr>
          <w:rFonts w:ascii="Arial" w:eastAsia="Times New Roman" w:hAnsi="Arial" w:cs="Arial"/>
          <w:i/>
          <w:sz w:val="24"/>
          <w:szCs w:val="24"/>
          <w:lang w:eastAsia="en-GB"/>
        </w:rPr>
        <w:t>inter alia</w:t>
      </w:r>
      <w:r w:rsidR="00E22392" w:rsidRPr="0025254F">
        <w:rPr>
          <w:rFonts w:ascii="Arial" w:eastAsia="Times New Roman" w:hAnsi="Arial" w:cs="Arial"/>
          <w:sz w:val="24"/>
          <w:szCs w:val="24"/>
          <w:lang w:eastAsia="en-GB"/>
        </w:rPr>
        <w:t xml:space="preserve"> a guarantee restricted to R8,5 million by Mr Palmer and a guarantee restricted to</w:t>
      </w:r>
      <w:r w:rsidR="00633372" w:rsidRPr="0025254F">
        <w:rPr>
          <w:rFonts w:ascii="Arial" w:eastAsia="Times New Roman" w:hAnsi="Arial" w:cs="Arial"/>
          <w:sz w:val="24"/>
          <w:szCs w:val="24"/>
          <w:lang w:eastAsia="en-GB"/>
        </w:rPr>
        <w:t xml:space="preserve"> R3</w:t>
      </w:r>
      <w:r w:rsidR="00125CFA">
        <w:rPr>
          <w:rFonts w:ascii="Arial" w:eastAsia="Times New Roman" w:hAnsi="Arial" w:cs="Arial"/>
          <w:sz w:val="24"/>
          <w:szCs w:val="24"/>
          <w:lang w:eastAsia="en-GB"/>
        </w:rPr>
        <w:t> </w:t>
      </w:r>
      <w:r w:rsidR="00633372" w:rsidRPr="0025254F">
        <w:rPr>
          <w:rFonts w:ascii="Arial" w:eastAsia="Times New Roman" w:hAnsi="Arial" w:cs="Arial"/>
          <w:sz w:val="24"/>
          <w:szCs w:val="24"/>
          <w:lang w:eastAsia="en-GB"/>
        </w:rPr>
        <w:t xml:space="preserve">million by the respondent, an unrestricted cession of book debts and a </w:t>
      </w:r>
      <w:r w:rsidR="00DC6695" w:rsidRPr="0025254F">
        <w:rPr>
          <w:rFonts w:ascii="Arial" w:eastAsia="Times New Roman" w:hAnsi="Arial" w:cs="Arial"/>
          <w:sz w:val="24"/>
          <w:szCs w:val="24"/>
          <w:lang w:eastAsia="en-GB"/>
        </w:rPr>
        <w:t xml:space="preserve">notarial general bond </w:t>
      </w:r>
      <w:r w:rsidR="00633372" w:rsidRPr="0025254F">
        <w:rPr>
          <w:rFonts w:ascii="Arial" w:eastAsia="Times New Roman" w:hAnsi="Arial" w:cs="Arial"/>
          <w:sz w:val="24"/>
          <w:szCs w:val="24"/>
          <w:lang w:eastAsia="en-GB"/>
        </w:rPr>
        <w:t xml:space="preserve">for R6 million over certain movable assets. </w:t>
      </w:r>
    </w:p>
    <w:p w14:paraId="0F3EF2CB" w14:textId="77777777" w:rsidR="00E22392" w:rsidRPr="0025254F" w:rsidRDefault="00E22392" w:rsidP="006B48B9">
      <w:pPr>
        <w:spacing w:after="0" w:line="360" w:lineRule="auto"/>
        <w:contextualSpacing/>
        <w:jc w:val="both"/>
        <w:rPr>
          <w:rFonts w:ascii="Arial" w:eastAsia="Times New Roman" w:hAnsi="Arial" w:cs="Arial"/>
          <w:sz w:val="24"/>
          <w:szCs w:val="24"/>
          <w:lang w:eastAsia="en-GB"/>
        </w:rPr>
      </w:pPr>
    </w:p>
    <w:p w14:paraId="167464AF" w14:textId="6E3FBDC3" w:rsidR="006F470E"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lastRenderedPageBreak/>
        <w:t>[14</w:t>
      </w:r>
      <w:r w:rsidR="00FE740C" w:rsidRPr="0025254F">
        <w:rPr>
          <w:rFonts w:ascii="Arial" w:eastAsia="Times New Roman" w:hAnsi="Arial" w:cs="Arial"/>
          <w:sz w:val="24"/>
          <w:szCs w:val="24"/>
          <w:lang w:eastAsia="en-GB"/>
        </w:rPr>
        <w:t>]</w:t>
      </w:r>
      <w:r w:rsidR="00FE740C" w:rsidRPr="0025254F">
        <w:rPr>
          <w:rFonts w:ascii="Arial" w:eastAsia="Times New Roman" w:hAnsi="Arial" w:cs="Arial"/>
          <w:sz w:val="24"/>
          <w:szCs w:val="24"/>
          <w:lang w:eastAsia="en-GB"/>
        </w:rPr>
        <w:tab/>
      </w:r>
      <w:r w:rsidR="00087AEA" w:rsidRPr="0025254F">
        <w:rPr>
          <w:rFonts w:ascii="Arial" w:eastAsia="Times New Roman" w:hAnsi="Arial" w:cs="Arial"/>
          <w:sz w:val="24"/>
          <w:szCs w:val="24"/>
          <w:lang w:eastAsia="en-GB"/>
        </w:rPr>
        <w:t>The terms and conditions, which were accepted by the signatory on beh</w:t>
      </w:r>
      <w:r w:rsidR="00EA7719" w:rsidRPr="0025254F">
        <w:rPr>
          <w:rFonts w:ascii="Arial" w:eastAsia="Times New Roman" w:hAnsi="Arial" w:cs="Arial"/>
          <w:sz w:val="24"/>
          <w:szCs w:val="24"/>
          <w:lang w:eastAsia="en-GB"/>
        </w:rPr>
        <w:t>alf of the respondent, defined ‘</w:t>
      </w:r>
      <w:r w:rsidR="00142614" w:rsidRPr="0025254F">
        <w:rPr>
          <w:rFonts w:ascii="Arial" w:eastAsia="Times New Roman" w:hAnsi="Arial" w:cs="Arial"/>
          <w:sz w:val="24"/>
          <w:szCs w:val="24"/>
          <w:lang w:eastAsia="en-GB"/>
        </w:rPr>
        <w:t xml:space="preserve">collateral’ </w:t>
      </w:r>
      <w:r w:rsidR="00EA7719" w:rsidRPr="0025254F">
        <w:rPr>
          <w:rFonts w:ascii="Arial" w:eastAsia="Times New Roman" w:hAnsi="Arial" w:cs="Arial"/>
          <w:sz w:val="24"/>
          <w:szCs w:val="24"/>
          <w:lang w:eastAsia="en-GB"/>
        </w:rPr>
        <w:t>as ‘</w:t>
      </w:r>
      <w:r w:rsidR="00087AEA" w:rsidRPr="0025254F">
        <w:rPr>
          <w:rFonts w:ascii="Arial" w:eastAsia="Times New Roman" w:hAnsi="Arial" w:cs="Arial"/>
          <w:sz w:val="24"/>
          <w:szCs w:val="24"/>
          <w:lang w:eastAsia="en-GB"/>
        </w:rPr>
        <w:t>any security provided to us to secure payment of your loan obligations in terms of the Overdraft Agreement</w:t>
      </w:r>
      <w:r w:rsidR="00EA7719" w:rsidRPr="0025254F">
        <w:rPr>
          <w:rFonts w:ascii="Arial" w:eastAsia="Times New Roman" w:hAnsi="Arial" w:cs="Arial"/>
          <w:sz w:val="24"/>
          <w:szCs w:val="24"/>
          <w:lang w:eastAsia="en-GB"/>
        </w:rPr>
        <w:t>’</w:t>
      </w:r>
      <w:r w:rsidR="00087AEA" w:rsidRPr="0025254F">
        <w:rPr>
          <w:rFonts w:ascii="Arial" w:eastAsia="Times New Roman" w:hAnsi="Arial" w:cs="Arial"/>
          <w:sz w:val="24"/>
          <w:szCs w:val="24"/>
          <w:lang w:eastAsia="en-GB"/>
        </w:rPr>
        <w:t>. It d</w:t>
      </w:r>
      <w:r w:rsidR="00EA7719" w:rsidRPr="0025254F">
        <w:rPr>
          <w:rFonts w:ascii="Arial" w:eastAsia="Times New Roman" w:hAnsi="Arial" w:cs="Arial"/>
          <w:sz w:val="24"/>
          <w:szCs w:val="24"/>
          <w:lang w:eastAsia="en-GB"/>
        </w:rPr>
        <w:t xml:space="preserve">id not contain a definition </w:t>
      </w:r>
      <w:r w:rsidR="00E47ADF">
        <w:rPr>
          <w:rFonts w:ascii="Arial" w:eastAsia="Times New Roman" w:hAnsi="Arial" w:cs="Arial"/>
          <w:sz w:val="24"/>
          <w:szCs w:val="24"/>
          <w:lang w:eastAsia="en-GB"/>
        </w:rPr>
        <w:t>for</w:t>
      </w:r>
      <w:r w:rsidR="00E47ADF" w:rsidRPr="0025254F">
        <w:rPr>
          <w:rFonts w:ascii="Arial" w:eastAsia="Times New Roman" w:hAnsi="Arial" w:cs="Arial"/>
          <w:sz w:val="24"/>
          <w:szCs w:val="24"/>
          <w:lang w:eastAsia="en-GB"/>
        </w:rPr>
        <w:t xml:space="preserve"> </w:t>
      </w:r>
      <w:r w:rsidR="00E47ADF">
        <w:rPr>
          <w:rFonts w:ascii="Arial" w:eastAsia="Times New Roman" w:hAnsi="Arial" w:cs="Arial"/>
          <w:sz w:val="24"/>
          <w:szCs w:val="24"/>
          <w:lang w:eastAsia="en-GB"/>
        </w:rPr>
        <w:t>‘</w:t>
      </w:r>
      <w:r w:rsidR="00EA7719" w:rsidRPr="0025254F">
        <w:rPr>
          <w:rFonts w:ascii="Arial" w:eastAsia="Times New Roman" w:hAnsi="Arial" w:cs="Arial"/>
          <w:sz w:val="24"/>
          <w:szCs w:val="24"/>
          <w:lang w:eastAsia="en-GB"/>
        </w:rPr>
        <w:t>guarantee</w:t>
      </w:r>
      <w:r w:rsidR="00E47ADF">
        <w:rPr>
          <w:rFonts w:ascii="Arial" w:eastAsia="Times New Roman" w:hAnsi="Arial" w:cs="Arial"/>
          <w:sz w:val="24"/>
          <w:szCs w:val="24"/>
          <w:lang w:eastAsia="en-GB"/>
        </w:rPr>
        <w:t>’</w:t>
      </w:r>
      <w:r w:rsidR="00EA7719" w:rsidRPr="0025254F">
        <w:rPr>
          <w:rFonts w:ascii="Arial" w:eastAsia="Times New Roman" w:hAnsi="Arial" w:cs="Arial"/>
          <w:sz w:val="24"/>
          <w:szCs w:val="24"/>
          <w:lang w:eastAsia="en-GB"/>
        </w:rPr>
        <w:t xml:space="preserve"> but did define s</w:t>
      </w:r>
      <w:r w:rsidR="00087AEA" w:rsidRPr="0025254F">
        <w:rPr>
          <w:rFonts w:ascii="Arial" w:eastAsia="Times New Roman" w:hAnsi="Arial" w:cs="Arial"/>
          <w:sz w:val="24"/>
          <w:szCs w:val="24"/>
          <w:lang w:eastAsia="en-GB"/>
        </w:rPr>
        <w:t>urety</w:t>
      </w:r>
      <w:r w:rsidR="00EA7719" w:rsidRPr="0025254F">
        <w:rPr>
          <w:rFonts w:ascii="Arial" w:eastAsia="Times New Roman" w:hAnsi="Arial" w:cs="Arial"/>
          <w:sz w:val="24"/>
          <w:szCs w:val="24"/>
          <w:lang w:eastAsia="en-GB"/>
        </w:rPr>
        <w:t xml:space="preserve"> as ‘</w:t>
      </w:r>
      <w:r w:rsidR="00087AEA" w:rsidRPr="0025254F">
        <w:rPr>
          <w:rFonts w:ascii="Arial" w:eastAsia="Times New Roman" w:hAnsi="Arial" w:cs="Arial"/>
          <w:sz w:val="24"/>
          <w:szCs w:val="24"/>
          <w:lang w:eastAsia="en-GB"/>
        </w:rPr>
        <w:t xml:space="preserve">a person who undertakes to pay, in full or in part, the amount owing in terms of this Overdraft Agreement in the event of default </w:t>
      </w:r>
      <w:r w:rsidR="00EA7719" w:rsidRPr="0025254F">
        <w:rPr>
          <w:rFonts w:ascii="Arial" w:eastAsia="Times New Roman" w:hAnsi="Arial" w:cs="Arial"/>
          <w:sz w:val="24"/>
          <w:szCs w:val="24"/>
          <w:lang w:eastAsia="en-GB"/>
        </w:rPr>
        <w:t>by you’</w:t>
      </w:r>
      <w:r w:rsidR="00087AEA" w:rsidRPr="0025254F">
        <w:rPr>
          <w:rFonts w:ascii="Arial" w:eastAsia="Times New Roman" w:hAnsi="Arial" w:cs="Arial"/>
          <w:sz w:val="24"/>
          <w:szCs w:val="24"/>
          <w:lang w:eastAsia="en-GB"/>
        </w:rPr>
        <w:t>.</w:t>
      </w:r>
    </w:p>
    <w:p w14:paraId="2C28E543" w14:textId="77777777" w:rsidR="00087AEA" w:rsidRPr="0025254F" w:rsidRDefault="00087AEA" w:rsidP="006B48B9">
      <w:pPr>
        <w:spacing w:after="0" w:line="360" w:lineRule="auto"/>
        <w:contextualSpacing/>
        <w:jc w:val="both"/>
        <w:rPr>
          <w:rFonts w:ascii="Arial" w:eastAsia="Times New Roman" w:hAnsi="Arial" w:cs="Arial"/>
          <w:lang w:eastAsia="en-GB"/>
        </w:rPr>
      </w:pPr>
    </w:p>
    <w:p w14:paraId="40FB2503" w14:textId="41494FC7" w:rsidR="009A094D" w:rsidRPr="0025254F" w:rsidRDefault="00E9278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[15</w:t>
      </w:r>
      <w:r w:rsidR="006F470E" w:rsidRPr="0025254F">
        <w:rPr>
          <w:rFonts w:ascii="Arial" w:eastAsia="Times New Roman" w:hAnsi="Arial" w:cs="Arial"/>
          <w:sz w:val="24"/>
          <w:szCs w:val="24"/>
          <w:lang w:eastAsia="en-GB"/>
        </w:rPr>
        <w:t>]</w:t>
      </w:r>
      <w:r w:rsidR="006F470E" w:rsidRPr="0025254F">
        <w:rPr>
          <w:rFonts w:ascii="Arial" w:eastAsia="Times New Roman" w:hAnsi="Arial" w:cs="Arial"/>
          <w:sz w:val="24"/>
          <w:szCs w:val="24"/>
          <w:lang w:eastAsia="en-GB"/>
        </w:rPr>
        <w:tab/>
      </w:r>
      <w:r w:rsidR="00087AEA" w:rsidRPr="0025254F">
        <w:rPr>
          <w:rFonts w:ascii="Arial" w:eastAsia="Times New Roman" w:hAnsi="Arial" w:cs="Arial"/>
          <w:sz w:val="24"/>
          <w:szCs w:val="24"/>
          <w:lang w:eastAsia="en-GB"/>
        </w:rPr>
        <w:t>The respondent</w:t>
      </w:r>
      <w:r w:rsidR="006F2716">
        <w:rPr>
          <w:rFonts w:ascii="Arial" w:eastAsia="Times New Roman" w:hAnsi="Arial" w:cs="Arial"/>
          <w:sz w:val="24"/>
          <w:szCs w:val="24"/>
          <w:lang w:eastAsia="en-GB"/>
        </w:rPr>
        <w:t>,</w:t>
      </w:r>
      <w:r w:rsidR="00087AEA" w:rsidRPr="0025254F">
        <w:rPr>
          <w:rFonts w:ascii="Arial" w:eastAsia="Times New Roman" w:hAnsi="Arial" w:cs="Arial"/>
          <w:sz w:val="24"/>
          <w:szCs w:val="24"/>
          <w:lang w:eastAsia="en-GB"/>
        </w:rPr>
        <w:t xml:space="preserve"> in its answeri</w:t>
      </w:r>
      <w:r w:rsidR="00EA7719" w:rsidRPr="0025254F">
        <w:rPr>
          <w:rFonts w:ascii="Arial" w:eastAsia="Times New Roman" w:hAnsi="Arial" w:cs="Arial"/>
          <w:sz w:val="24"/>
          <w:szCs w:val="24"/>
          <w:lang w:eastAsia="en-GB"/>
        </w:rPr>
        <w:t>ng affidavit, and in response to the terms of a</w:t>
      </w:r>
      <w:r w:rsidR="00087AEA" w:rsidRPr="0025254F">
        <w:rPr>
          <w:rFonts w:ascii="Arial" w:eastAsia="Times New Roman" w:hAnsi="Arial" w:cs="Arial"/>
          <w:sz w:val="24"/>
          <w:szCs w:val="24"/>
          <w:lang w:eastAsia="en-GB"/>
        </w:rPr>
        <w:t>nnexure ‘D’</w:t>
      </w:r>
      <w:r w:rsidR="004D750B" w:rsidRPr="0025254F">
        <w:rPr>
          <w:rFonts w:ascii="Arial" w:eastAsia="Times New Roman" w:hAnsi="Arial" w:cs="Arial"/>
          <w:sz w:val="24"/>
          <w:szCs w:val="24"/>
          <w:lang w:eastAsia="en-GB"/>
        </w:rPr>
        <w:t>,</w:t>
      </w:r>
      <w:r w:rsidR="00087AEA" w:rsidRPr="0025254F">
        <w:rPr>
          <w:rFonts w:ascii="Arial" w:eastAsia="Times New Roman" w:hAnsi="Arial" w:cs="Arial"/>
          <w:sz w:val="24"/>
          <w:szCs w:val="24"/>
          <w:lang w:eastAsia="en-GB"/>
        </w:rPr>
        <w:t xml:space="preserve"> states that the guarantee to be executed by the respondent for R3</w:t>
      </w:r>
      <w:r w:rsidR="006F2716">
        <w:rPr>
          <w:rFonts w:ascii="Arial" w:eastAsia="Times New Roman" w:hAnsi="Arial" w:cs="Arial"/>
          <w:sz w:val="24"/>
          <w:szCs w:val="24"/>
          <w:lang w:eastAsia="en-GB"/>
        </w:rPr>
        <w:t> </w:t>
      </w:r>
      <w:r w:rsidR="00087AEA" w:rsidRPr="0025254F">
        <w:rPr>
          <w:rFonts w:ascii="Arial" w:eastAsia="Times New Roman" w:hAnsi="Arial" w:cs="Arial"/>
          <w:sz w:val="24"/>
          <w:szCs w:val="24"/>
          <w:lang w:eastAsia="en-GB"/>
        </w:rPr>
        <w:t xml:space="preserve">million was not a principal obligation but an ancillary obligation which was nothing more </w:t>
      </w:r>
      <w:r w:rsidR="00141A82" w:rsidRPr="0025254F">
        <w:rPr>
          <w:rFonts w:ascii="Arial" w:eastAsia="Times New Roman" w:hAnsi="Arial" w:cs="Arial"/>
          <w:sz w:val="24"/>
          <w:szCs w:val="24"/>
          <w:lang w:eastAsia="en-GB"/>
        </w:rPr>
        <w:t>than</w:t>
      </w:r>
      <w:r w:rsidR="00087AEA" w:rsidRPr="0025254F">
        <w:rPr>
          <w:rFonts w:ascii="Arial" w:eastAsia="Times New Roman" w:hAnsi="Arial" w:cs="Arial"/>
          <w:sz w:val="24"/>
          <w:szCs w:val="24"/>
          <w:lang w:eastAsia="en-GB"/>
        </w:rPr>
        <w:t xml:space="preserve"> a suretyship sought from the respondent for the debts of Wardkiss.</w:t>
      </w:r>
      <w:r w:rsidR="00D07FCA" w:rsidRPr="0025254F">
        <w:rPr>
          <w:rFonts w:ascii="Arial" w:eastAsia="Times New Roman" w:hAnsi="Arial" w:cs="Arial"/>
          <w:sz w:val="24"/>
          <w:szCs w:val="24"/>
          <w:lang w:eastAsia="en-GB"/>
        </w:rPr>
        <w:t xml:space="preserve"> There is no indication that this point or issue was raised by Mr Palmer during the negotiations with the applicant for the facilities of Wardkiss.</w:t>
      </w:r>
    </w:p>
    <w:p w14:paraId="1809FB44" w14:textId="77777777" w:rsidR="00087AEA" w:rsidRPr="0025254F" w:rsidRDefault="00087AEA" w:rsidP="006B48B9">
      <w:pPr>
        <w:spacing w:after="0" w:line="360" w:lineRule="auto"/>
        <w:contextualSpacing/>
        <w:jc w:val="both"/>
        <w:rPr>
          <w:rFonts w:ascii="Arial" w:eastAsia="Times New Roman" w:hAnsi="Arial" w:cs="Arial"/>
          <w:sz w:val="24"/>
          <w:szCs w:val="24"/>
          <w:lang w:eastAsia="en-GB"/>
        </w:rPr>
      </w:pPr>
    </w:p>
    <w:p w14:paraId="73113978" w14:textId="4AEFAAFA" w:rsidR="009A094D" w:rsidRPr="0025254F" w:rsidRDefault="009A094D"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[16]</w:t>
      </w:r>
      <w:r w:rsidR="00EB532B" w:rsidRPr="0025254F">
        <w:rPr>
          <w:rFonts w:ascii="Arial" w:eastAsia="Times New Roman" w:hAnsi="Arial" w:cs="Arial"/>
          <w:sz w:val="24"/>
          <w:szCs w:val="24"/>
          <w:lang w:eastAsia="en-GB"/>
        </w:rPr>
        <w:tab/>
      </w:r>
      <w:r w:rsidR="00141A82" w:rsidRPr="0025254F">
        <w:rPr>
          <w:rFonts w:ascii="Arial" w:eastAsia="Times New Roman" w:hAnsi="Arial" w:cs="Arial"/>
          <w:sz w:val="24"/>
          <w:szCs w:val="24"/>
          <w:lang w:eastAsia="en-GB"/>
        </w:rPr>
        <w:t>T</w:t>
      </w:r>
      <w:r w:rsidR="000C605F" w:rsidRPr="0025254F">
        <w:rPr>
          <w:rFonts w:ascii="Arial" w:eastAsia="Times New Roman" w:hAnsi="Arial" w:cs="Arial"/>
          <w:sz w:val="24"/>
          <w:szCs w:val="24"/>
          <w:lang w:eastAsia="en-GB"/>
        </w:rPr>
        <w:t>he applicant also attached the business revolving credit p</w:t>
      </w:r>
      <w:r w:rsidR="00141A82" w:rsidRPr="0025254F">
        <w:rPr>
          <w:rFonts w:ascii="Arial" w:eastAsia="Times New Roman" w:hAnsi="Arial" w:cs="Arial"/>
          <w:sz w:val="24"/>
          <w:szCs w:val="24"/>
          <w:lang w:eastAsia="en-GB"/>
        </w:rPr>
        <w:t xml:space="preserve">lan agreement as annexure ‘E’. Its content </w:t>
      </w:r>
      <w:r w:rsidR="001B1A6F">
        <w:rPr>
          <w:rFonts w:ascii="Arial" w:eastAsia="Times New Roman" w:hAnsi="Arial" w:cs="Arial"/>
          <w:sz w:val="24"/>
          <w:szCs w:val="24"/>
          <w:lang w:eastAsia="en-GB"/>
        </w:rPr>
        <w:t>was</w:t>
      </w:r>
      <w:r w:rsidR="001B1A6F" w:rsidRPr="0025254F">
        <w:rPr>
          <w:rFonts w:ascii="Arial" w:eastAsia="Times New Roman" w:hAnsi="Arial" w:cs="Arial"/>
          <w:sz w:val="24"/>
          <w:szCs w:val="24"/>
          <w:lang w:eastAsia="en-GB"/>
        </w:rPr>
        <w:t xml:space="preserve"> </w:t>
      </w:r>
      <w:r w:rsidR="00141A82" w:rsidRPr="0025254F">
        <w:rPr>
          <w:rFonts w:ascii="Arial" w:eastAsia="Times New Roman" w:hAnsi="Arial" w:cs="Arial"/>
          <w:sz w:val="24"/>
          <w:szCs w:val="24"/>
          <w:lang w:eastAsia="en-GB"/>
        </w:rPr>
        <w:t>not disputed by the respondent. It was signed by Mr Naidoo. In clause 12</w:t>
      </w:r>
      <w:r w:rsidR="004D0C5A">
        <w:rPr>
          <w:rFonts w:ascii="Arial" w:eastAsia="Times New Roman" w:hAnsi="Arial" w:cs="Arial"/>
          <w:sz w:val="24"/>
          <w:szCs w:val="24"/>
          <w:lang w:eastAsia="en-GB"/>
        </w:rPr>
        <w:t>,</w:t>
      </w:r>
      <w:r w:rsidR="00141A82" w:rsidRPr="0025254F">
        <w:rPr>
          <w:rFonts w:ascii="Arial" w:eastAsia="Times New Roman" w:hAnsi="Arial" w:cs="Arial"/>
          <w:sz w:val="24"/>
          <w:szCs w:val="24"/>
          <w:lang w:eastAsia="en-GB"/>
        </w:rPr>
        <w:t xml:space="preserve"> with the </w:t>
      </w:r>
      <w:r w:rsidR="000C605F" w:rsidRPr="0025254F">
        <w:rPr>
          <w:rFonts w:ascii="Arial" w:eastAsia="Times New Roman" w:hAnsi="Arial" w:cs="Arial"/>
          <w:sz w:val="24"/>
          <w:szCs w:val="24"/>
          <w:lang w:eastAsia="en-GB"/>
        </w:rPr>
        <w:t>heading ‘Collateral’</w:t>
      </w:r>
      <w:r w:rsidR="00141A82" w:rsidRPr="0025254F">
        <w:rPr>
          <w:rFonts w:ascii="Arial" w:eastAsia="Times New Roman" w:hAnsi="Arial" w:cs="Arial"/>
          <w:sz w:val="24"/>
          <w:szCs w:val="24"/>
          <w:lang w:eastAsia="en-GB"/>
        </w:rPr>
        <w:t xml:space="preserve"> printed in bold</w:t>
      </w:r>
      <w:r w:rsidR="000C605F" w:rsidRPr="0025254F">
        <w:rPr>
          <w:rFonts w:ascii="Arial" w:eastAsia="Times New Roman" w:hAnsi="Arial" w:cs="Arial"/>
          <w:sz w:val="24"/>
          <w:szCs w:val="24"/>
          <w:lang w:eastAsia="en-GB"/>
        </w:rPr>
        <w:t>, it was stated that ‘</w:t>
      </w:r>
      <w:r w:rsidR="00141A82" w:rsidRPr="0025254F">
        <w:rPr>
          <w:rFonts w:ascii="Arial" w:eastAsia="Times New Roman" w:hAnsi="Arial" w:cs="Arial"/>
          <w:sz w:val="24"/>
          <w:szCs w:val="24"/>
          <w:lang w:eastAsia="en-GB"/>
        </w:rPr>
        <w:t>we hold the following C</w:t>
      </w:r>
      <w:r w:rsidR="000C605F" w:rsidRPr="0025254F">
        <w:rPr>
          <w:rFonts w:ascii="Arial" w:eastAsia="Times New Roman" w:hAnsi="Arial" w:cs="Arial"/>
          <w:sz w:val="24"/>
          <w:szCs w:val="24"/>
          <w:lang w:eastAsia="en-GB"/>
        </w:rPr>
        <w:t>ollateral’</w:t>
      </w:r>
      <w:r w:rsidR="00141A82" w:rsidRPr="0025254F">
        <w:rPr>
          <w:rFonts w:ascii="Arial" w:eastAsia="Times New Roman" w:hAnsi="Arial" w:cs="Arial"/>
          <w:sz w:val="24"/>
          <w:szCs w:val="24"/>
          <w:lang w:eastAsia="en-GB"/>
        </w:rPr>
        <w:t xml:space="preserve">. Reference was made </w:t>
      </w:r>
      <w:r w:rsidR="00141A82" w:rsidRPr="0025254F">
        <w:rPr>
          <w:rFonts w:ascii="Arial" w:eastAsia="Times New Roman" w:hAnsi="Arial" w:cs="Arial"/>
          <w:i/>
          <w:sz w:val="24"/>
          <w:szCs w:val="24"/>
          <w:lang w:eastAsia="en-GB"/>
        </w:rPr>
        <w:t>inter alia</w:t>
      </w:r>
      <w:r w:rsidR="00141A82" w:rsidRPr="0025254F">
        <w:rPr>
          <w:rFonts w:ascii="Arial" w:eastAsia="Times New Roman" w:hAnsi="Arial" w:cs="Arial"/>
          <w:sz w:val="24"/>
          <w:szCs w:val="24"/>
          <w:lang w:eastAsia="en-GB"/>
        </w:rPr>
        <w:t xml:space="preserve"> to the same two guarantees as referred to in annexure ‘D’. The document, on page 6, contained an acceptance by the borrower</w:t>
      </w:r>
      <w:r w:rsidR="00551653">
        <w:rPr>
          <w:rFonts w:ascii="Arial" w:eastAsia="Times New Roman" w:hAnsi="Arial" w:cs="Arial"/>
          <w:sz w:val="24"/>
          <w:szCs w:val="24"/>
          <w:lang w:eastAsia="en-GB"/>
        </w:rPr>
        <w:t>,</w:t>
      </w:r>
      <w:r w:rsidR="00141A82" w:rsidRPr="0025254F">
        <w:rPr>
          <w:rFonts w:ascii="Arial" w:eastAsia="Times New Roman" w:hAnsi="Arial" w:cs="Arial"/>
          <w:sz w:val="24"/>
          <w:szCs w:val="24"/>
          <w:lang w:eastAsia="en-GB"/>
        </w:rPr>
        <w:t xml:space="preserve"> where the signatory</w:t>
      </w:r>
      <w:r w:rsidR="00D07FCA" w:rsidRPr="0025254F">
        <w:rPr>
          <w:rFonts w:ascii="Arial" w:eastAsia="Times New Roman" w:hAnsi="Arial" w:cs="Arial"/>
          <w:sz w:val="24"/>
          <w:szCs w:val="24"/>
          <w:lang w:eastAsia="en-GB"/>
        </w:rPr>
        <w:t xml:space="preserve"> on behalf of the respondent</w:t>
      </w:r>
      <w:r w:rsidR="00141A82" w:rsidRPr="0025254F">
        <w:rPr>
          <w:rFonts w:ascii="Arial" w:eastAsia="Times New Roman" w:hAnsi="Arial" w:cs="Arial"/>
          <w:sz w:val="24"/>
          <w:szCs w:val="24"/>
          <w:lang w:eastAsia="en-GB"/>
        </w:rPr>
        <w:t xml:space="preserve">, Mr Palmer, confirmed </w:t>
      </w:r>
      <w:r w:rsidR="00141A82" w:rsidRPr="0025254F">
        <w:rPr>
          <w:rFonts w:ascii="Arial" w:eastAsia="Times New Roman" w:hAnsi="Arial" w:cs="Arial"/>
          <w:i/>
          <w:sz w:val="24"/>
          <w:szCs w:val="24"/>
          <w:lang w:eastAsia="en-GB"/>
        </w:rPr>
        <w:t>inter alia</w:t>
      </w:r>
      <w:r w:rsidR="00141A82" w:rsidRPr="0025254F">
        <w:rPr>
          <w:rFonts w:ascii="Arial" w:eastAsia="Times New Roman" w:hAnsi="Arial" w:cs="Arial"/>
          <w:sz w:val="24"/>
          <w:szCs w:val="24"/>
          <w:lang w:eastAsia="en-GB"/>
        </w:rPr>
        <w:t xml:space="preserve"> that they were aware of the importance of all the wording printed in bold</w:t>
      </w:r>
      <w:r w:rsidR="000C605F" w:rsidRPr="0025254F">
        <w:rPr>
          <w:rFonts w:ascii="Arial" w:eastAsia="Times New Roman" w:hAnsi="Arial" w:cs="Arial"/>
          <w:sz w:val="24"/>
          <w:szCs w:val="24"/>
          <w:lang w:eastAsia="en-GB"/>
        </w:rPr>
        <w:t>,</w:t>
      </w:r>
      <w:r w:rsidR="00141A82" w:rsidRPr="0025254F">
        <w:rPr>
          <w:rFonts w:ascii="Arial" w:eastAsia="Times New Roman" w:hAnsi="Arial" w:cs="Arial"/>
          <w:sz w:val="24"/>
          <w:szCs w:val="24"/>
          <w:lang w:eastAsia="en-GB"/>
        </w:rPr>
        <w:t xml:space="preserve"> that they have been free to secure independent advice in</w:t>
      </w:r>
      <w:r w:rsidR="000C605F" w:rsidRPr="0025254F">
        <w:rPr>
          <w:rFonts w:ascii="Arial" w:eastAsia="Times New Roman" w:hAnsi="Arial" w:cs="Arial"/>
          <w:sz w:val="24"/>
          <w:szCs w:val="24"/>
          <w:lang w:eastAsia="en-GB"/>
        </w:rPr>
        <w:t xml:space="preserve"> respect of the </w:t>
      </w:r>
      <w:r w:rsidR="00141A82" w:rsidRPr="0025254F">
        <w:rPr>
          <w:rFonts w:ascii="Arial" w:eastAsia="Times New Roman" w:hAnsi="Arial" w:cs="Arial"/>
          <w:sz w:val="24"/>
          <w:szCs w:val="24"/>
          <w:lang w:eastAsia="en-GB"/>
        </w:rPr>
        <w:t>agreement</w:t>
      </w:r>
      <w:r w:rsidR="00551653">
        <w:rPr>
          <w:rFonts w:ascii="Arial" w:eastAsia="Times New Roman" w:hAnsi="Arial" w:cs="Arial"/>
          <w:sz w:val="24"/>
          <w:szCs w:val="24"/>
          <w:lang w:eastAsia="en-GB"/>
        </w:rPr>
        <w:t>,</w:t>
      </w:r>
      <w:r w:rsidR="00141A82" w:rsidRPr="0025254F">
        <w:rPr>
          <w:rFonts w:ascii="Arial" w:eastAsia="Times New Roman" w:hAnsi="Arial" w:cs="Arial"/>
          <w:sz w:val="24"/>
          <w:szCs w:val="24"/>
          <w:lang w:eastAsia="en-GB"/>
        </w:rPr>
        <w:t xml:space="preserve"> and that they were aware that they must not accept the agreement unless they understood their right</w:t>
      </w:r>
      <w:r w:rsidR="000C605F" w:rsidRPr="0025254F">
        <w:rPr>
          <w:rFonts w:ascii="Arial" w:eastAsia="Times New Roman" w:hAnsi="Arial" w:cs="Arial"/>
          <w:sz w:val="24"/>
          <w:szCs w:val="24"/>
          <w:lang w:eastAsia="en-GB"/>
        </w:rPr>
        <w:t>s</w:t>
      </w:r>
      <w:r w:rsidR="00141A82" w:rsidRPr="0025254F">
        <w:rPr>
          <w:rFonts w:ascii="Arial" w:eastAsia="Times New Roman" w:hAnsi="Arial" w:cs="Arial"/>
          <w:sz w:val="24"/>
          <w:szCs w:val="24"/>
          <w:lang w:eastAsia="en-GB"/>
        </w:rPr>
        <w:t xml:space="preserve"> and obligations and the risks and costs of the loan.</w:t>
      </w:r>
    </w:p>
    <w:p w14:paraId="6D5FEECF" w14:textId="668A4DD6" w:rsidR="000348A2" w:rsidRPr="0025254F" w:rsidRDefault="000348A2" w:rsidP="006B48B9">
      <w:pPr>
        <w:spacing w:after="0" w:line="360" w:lineRule="auto"/>
        <w:contextualSpacing/>
        <w:jc w:val="both"/>
        <w:rPr>
          <w:rFonts w:ascii="Arial" w:eastAsia="Times New Roman" w:hAnsi="Arial" w:cs="Arial"/>
          <w:sz w:val="24"/>
          <w:szCs w:val="24"/>
          <w:lang w:eastAsia="en-GB"/>
        </w:rPr>
      </w:pPr>
    </w:p>
    <w:p w14:paraId="729B8C07" w14:textId="3595A5BB" w:rsidR="000348A2" w:rsidRPr="0025254F" w:rsidRDefault="00737BF6"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[17</w:t>
      </w:r>
      <w:r w:rsidR="000348A2" w:rsidRPr="0025254F">
        <w:rPr>
          <w:rFonts w:ascii="Arial" w:eastAsia="Times New Roman" w:hAnsi="Arial" w:cs="Arial"/>
          <w:sz w:val="24"/>
          <w:szCs w:val="24"/>
          <w:lang w:eastAsia="en-GB"/>
        </w:rPr>
        <w:t>]</w:t>
      </w:r>
      <w:r w:rsidR="00EB532B" w:rsidRPr="0025254F">
        <w:rPr>
          <w:rFonts w:ascii="Arial" w:eastAsia="Times New Roman" w:hAnsi="Arial" w:cs="Arial"/>
          <w:sz w:val="24"/>
          <w:szCs w:val="24"/>
          <w:lang w:eastAsia="en-GB"/>
        </w:rPr>
        <w:tab/>
      </w:r>
      <w:r w:rsidR="00141A82" w:rsidRPr="0025254F">
        <w:rPr>
          <w:rFonts w:ascii="Arial" w:eastAsia="Times New Roman" w:hAnsi="Arial" w:cs="Arial"/>
          <w:sz w:val="24"/>
          <w:szCs w:val="24"/>
          <w:lang w:eastAsia="en-GB"/>
        </w:rPr>
        <w:t>Part B of annexure ‘</w:t>
      </w:r>
      <w:r w:rsidR="00664E7D" w:rsidRPr="0025254F">
        <w:rPr>
          <w:rFonts w:ascii="Arial" w:eastAsia="Times New Roman" w:hAnsi="Arial" w:cs="Arial"/>
          <w:sz w:val="24"/>
          <w:szCs w:val="24"/>
          <w:lang w:eastAsia="en-GB"/>
        </w:rPr>
        <w:t>E</w:t>
      </w:r>
      <w:r w:rsidR="00141A82" w:rsidRPr="0025254F">
        <w:rPr>
          <w:rFonts w:ascii="Arial" w:eastAsia="Times New Roman" w:hAnsi="Arial" w:cs="Arial"/>
          <w:sz w:val="24"/>
          <w:szCs w:val="24"/>
          <w:lang w:eastAsia="en-GB"/>
        </w:rPr>
        <w:t>’ contained the terms and conditions</w:t>
      </w:r>
      <w:r w:rsidR="000C605F" w:rsidRPr="0025254F">
        <w:rPr>
          <w:rFonts w:ascii="Arial" w:eastAsia="Times New Roman" w:hAnsi="Arial" w:cs="Arial"/>
          <w:sz w:val="24"/>
          <w:szCs w:val="24"/>
          <w:lang w:eastAsia="en-GB"/>
        </w:rPr>
        <w:t>. In clause 1</w:t>
      </w:r>
      <w:r w:rsidR="001F0217">
        <w:rPr>
          <w:rFonts w:ascii="Arial" w:eastAsia="Times New Roman" w:hAnsi="Arial" w:cs="Arial"/>
          <w:sz w:val="24"/>
          <w:szCs w:val="24"/>
          <w:lang w:eastAsia="en-GB"/>
        </w:rPr>
        <w:t>,</w:t>
      </w:r>
      <w:r w:rsidR="000C605F" w:rsidRPr="0025254F">
        <w:rPr>
          <w:rFonts w:ascii="Arial" w:eastAsia="Times New Roman" w:hAnsi="Arial" w:cs="Arial"/>
          <w:sz w:val="24"/>
          <w:szCs w:val="24"/>
          <w:lang w:eastAsia="en-GB"/>
        </w:rPr>
        <w:t xml:space="preserve"> with the heading ‘Definitions’</w:t>
      </w:r>
      <w:r w:rsidR="001F0217">
        <w:rPr>
          <w:rFonts w:ascii="Arial" w:eastAsia="Times New Roman" w:hAnsi="Arial" w:cs="Arial"/>
          <w:sz w:val="24"/>
          <w:szCs w:val="24"/>
          <w:lang w:eastAsia="en-GB"/>
        </w:rPr>
        <w:t>,</w:t>
      </w:r>
      <w:r w:rsidR="00664E7D" w:rsidRPr="0025254F">
        <w:rPr>
          <w:rFonts w:ascii="Arial" w:eastAsia="Times New Roman" w:hAnsi="Arial" w:cs="Arial"/>
          <w:sz w:val="24"/>
          <w:szCs w:val="24"/>
          <w:lang w:eastAsia="en-GB"/>
        </w:rPr>
        <w:t xml:space="preserve"> </w:t>
      </w:r>
      <w:r w:rsidR="000C605F" w:rsidRPr="0025254F">
        <w:rPr>
          <w:rFonts w:ascii="Arial" w:eastAsia="Times New Roman" w:hAnsi="Arial" w:cs="Arial"/>
          <w:sz w:val="24"/>
          <w:szCs w:val="24"/>
          <w:lang w:eastAsia="en-GB"/>
        </w:rPr>
        <w:t>it defined collateral</w:t>
      </w:r>
      <w:r w:rsidR="00526D3C" w:rsidRPr="0025254F">
        <w:rPr>
          <w:rFonts w:ascii="Arial" w:eastAsia="Times New Roman" w:hAnsi="Arial" w:cs="Arial"/>
          <w:sz w:val="24"/>
          <w:szCs w:val="24"/>
          <w:lang w:eastAsia="en-GB"/>
        </w:rPr>
        <w:t xml:space="preserve"> </w:t>
      </w:r>
      <w:r w:rsidR="000C605F" w:rsidRPr="0025254F">
        <w:rPr>
          <w:rFonts w:ascii="Arial" w:eastAsia="Times New Roman" w:hAnsi="Arial" w:cs="Arial"/>
          <w:sz w:val="24"/>
          <w:szCs w:val="24"/>
          <w:lang w:eastAsia="en-GB"/>
        </w:rPr>
        <w:t>as ‘</w:t>
      </w:r>
      <w:r w:rsidR="00A6747F" w:rsidRPr="0025254F">
        <w:rPr>
          <w:rFonts w:ascii="Arial" w:eastAsia="Times New Roman" w:hAnsi="Arial" w:cs="Arial"/>
          <w:sz w:val="24"/>
          <w:szCs w:val="24"/>
          <w:lang w:eastAsia="en-GB"/>
        </w:rPr>
        <w:t xml:space="preserve">any security and undertaking provided to us to secure the repayment of your </w:t>
      </w:r>
      <w:r w:rsidR="00664E7D" w:rsidRPr="0025254F">
        <w:rPr>
          <w:rFonts w:ascii="Arial" w:eastAsia="Times New Roman" w:hAnsi="Arial" w:cs="Arial"/>
          <w:sz w:val="24"/>
          <w:szCs w:val="24"/>
          <w:lang w:eastAsia="en-GB"/>
        </w:rPr>
        <w:t>l</w:t>
      </w:r>
      <w:r w:rsidR="00A6747F" w:rsidRPr="0025254F">
        <w:rPr>
          <w:rFonts w:ascii="Arial" w:eastAsia="Times New Roman" w:hAnsi="Arial" w:cs="Arial"/>
          <w:sz w:val="24"/>
          <w:szCs w:val="24"/>
          <w:lang w:eastAsia="en-GB"/>
        </w:rPr>
        <w:t>oan obligations</w:t>
      </w:r>
      <w:r w:rsidR="00664E7D" w:rsidRPr="0025254F">
        <w:rPr>
          <w:rFonts w:ascii="Arial" w:eastAsia="Times New Roman" w:hAnsi="Arial" w:cs="Arial"/>
          <w:sz w:val="24"/>
          <w:szCs w:val="24"/>
          <w:lang w:eastAsia="en-GB"/>
        </w:rPr>
        <w:t xml:space="preserve"> in terms of this </w:t>
      </w:r>
      <w:r w:rsidR="000C605F" w:rsidRPr="0025254F">
        <w:rPr>
          <w:rFonts w:ascii="Arial" w:eastAsia="Times New Roman" w:hAnsi="Arial" w:cs="Arial"/>
          <w:sz w:val="24"/>
          <w:szCs w:val="24"/>
          <w:lang w:eastAsia="en-GB"/>
        </w:rPr>
        <w:t>Agreement’.</w:t>
      </w:r>
      <w:r w:rsidR="00664E7D" w:rsidRPr="0025254F">
        <w:rPr>
          <w:rFonts w:ascii="Arial" w:eastAsia="Times New Roman" w:hAnsi="Arial" w:cs="Arial"/>
          <w:sz w:val="24"/>
          <w:szCs w:val="24"/>
          <w:lang w:eastAsia="en-GB"/>
        </w:rPr>
        <w:t xml:space="preserve"> It further</w:t>
      </w:r>
      <w:r w:rsidR="000C605F" w:rsidRPr="0025254F">
        <w:rPr>
          <w:rFonts w:ascii="Arial" w:eastAsia="Times New Roman" w:hAnsi="Arial" w:cs="Arial"/>
          <w:sz w:val="24"/>
          <w:szCs w:val="24"/>
          <w:lang w:eastAsia="en-GB"/>
        </w:rPr>
        <w:t xml:space="preserve"> defined ‘</w:t>
      </w:r>
      <w:r w:rsidR="001F0217" w:rsidRPr="0025254F">
        <w:rPr>
          <w:rFonts w:ascii="Arial" w:eastAsia="Times New Roman" w:hAnsi="Arial" w:cs="Arial"/>
          <w:sz w:val="24"/>
          <w:szCs w:val="24"/>
          <w:lang w:eastAsia="en-GB"/>
        </w:rPr>
        <w:t xml:space="preserve">collateral provider’ </w:t>
      </w:r>
      <w:r w:rsidR="000C605F" w:rsidRPr="0025254F">
        <w:rPr>
          <w:rFonts w:ascii="Arial" w:eastAsia="Times New Roman" w:hAnsi="Arial" w:cs="Arial"/>
          <w:sz w:val="24"/>
          <w:szCs w:val="24"/>
          <w:lang w:eastAsia="en-GB"/>
        </w:rPr>
        <w:t>as ‘</w:t>
      </w:r>
      <w:r w:rsidR="00664E7D" w:rsidRPr="0025254F">
        <w:rPr>
          <w:rFonts w:ascii="Arial" w:eastAsia="Times New Roman" w:hAnsi="Arial" w:cs="Arial"/>
          <w:sz w:val="24"/>
          <w:szCs w:val="24"/>
          <w:lang w:eastAsia="en-GB"/>
        </w:rPr>
        <w:t>each person and/or entity who is to provide collateral to the Bank in respect of the due performance by you of your payment and other obligat</w:t>
      </w:r>
      <w:r w:rsidR="000C605F" w:rsidRPr="0025254F">
        <w:rPr>
          <w:rFonts w:ascii="Arial" w:eastAsia="Times New Roman" w:hAnsi="Arial" w:cs="Arial"/>
          <w:sz w:val="24"/>
          <w:szCs w:val="24"/>
          <w:lang w:eastAsia="en-GB"/>
        </w:rPr>
        <w:t>ions in terms of this Agreement’</w:t>
      </w:r>
      <w:r w:rsidR="00664E7D" w:rsidRPr="0025254F">
        <w:rPr>
          <w:rFonts w:ascii="Arial" w:eastAsia="Times New Roman" w:hAnsi="Arial" w:cs="Arial"/>
          <w:sz w:val="24"/>
          <w:szCs w:val="24"/>
          <w:lang w:eastAsia="en-GB"/>
        </w:rPr>
        <w:t>. It also defined</w:t>
      </w:r>
      <w:r w:rsidR="000C605F" w:rsidRPr="0025254F">
        <w:rPr>
          <w:rFonts w:ascii="Arial" w:eastAsia="Times New Roman" w:hAnsi="Arial" w:cs="Arial"/>
          <w:sz w:val="24"/>
          <w:szCs w:val="24"/>
          <w:lang w:eastAsia="en-GB"/>
        </w:rPr>
        <w:t xml:space="preserve"> ‘</w:t>
      </w:r>
      <w:r w:rsidR="001F0217" w:rsidRPr="0025254F">
        <w:rPr>
          <w:rFonts w:ascii="Arial" w:eastAsia="Times New Roman" w:hAnsi="Arial" w:cs="Arial"/>
          <w:sz w:val="24"/>
          <w:szCs w:val="24"/>
          <w:lang w:eastAsia="en-GB"/>
        </w:rPr>
        <w:t>guarantor</w:t>
      </w:r>
      <w:r w:rsidR="00664E7D" w:rsidRPr="0025254F">
        <w:rPr>
          <w:rFonts w:ascii="Arial" w:eastAsia="Times New Roman" w:hAnsi="Arial" w:cs="Arial"/>
          <w:sz w:val="24"/>
          <w:szCs w:val="24"/>
          <w:lang w:eastAsia="en-GB"/>
        </w:rPr>
        <w:t>(s)</w:t>
      </w:r>
      <w:r w:rsidR="000C605F" w:rsidRPr="0025254F">
        <w:rPr>
          <w:rFonts w:ascii="Arial" w:eastAsia="Times New Roman" w:hAnsi="Arial" w:cs="Arial"/>
          <w:sz w:val="24"/>
          <w:szCs w:val="24"/>
          <w:lang w:eastAsia="en-GB"/>
        </w:rPr>
        <w:t>’</w:t>
      </w:r>
      <w:r w:rsidR="00526D3C" w:rsidRPr="0025254F">
        <w:rPr>
          <w:rFonts w:ascii="Arial" w:eastAsia="Times New Roman" w:hAnsi="Arial" w:cs="Arial"/>
          <w:sz w:val="24"/>
          <w:szCs w:val="24"/>
          <w:lang w:eastAsia="en-GB"/>
        </w:rPr>
        <w:t xml:space="preserve"> </w:t>
      </w:r>
      <w:r w:rsidR="00664E7D" w:rsidRPr="0025254F">
        <w:rPr>
          <w:rFonts w:ascii="Arial" w:eastAsia="Times New Roman" w:hAnsi="Arial" w:cs="Arial"/>
          <w:sz w:val="24"/>
          <w:szCs w:val="24"/>
          <w:lang w:eastAsia="en-GB"/>
        </w:rPr>
        <w:t xml:space="preserve">as </w:t>
      </w:r>
      <w:r w:rsidR="000C605F" w:rsidRPr="0025254F">
        <w:rPr>
          <w:rFonts w:ascii="Arial" w:eastAsia="Times New Roman" w:hAnsi="Arial" w:cs="Arial"/>
          <w:sz w:val="24"/>
          <w:szCs w:val="24"/>
          <w:lang w:eastAsia="en-GB"/>
        </w:rPr>
        <w:t>‘</w:t>
      </w:r>
      <w:r w:rsidR="00664E7D" w:rsidRPr="0025254F">
        <w:rPr>
          <w:rFonts w:ascii="Arial" w:eastAsia="Times New Roman" w:hAnsi="Arial" w:cs="Arial"/>
          <w:sz w:val="24"/>
          <w:szCs w:val="24"/>
          <w:lang w:eastAsia="en-GB"/>
        </w:rPr>
        <w:t xml:space="preserve">a person(s) who undertake (s) to pay, in full or in part, the amount </w:t>
      </w:r>
      <w:r w:rsidR="00664E7D" w:rsidRPr="0025254F">
        <w:rPr>
          <w:rFonts w:ascii="Arial" w:eastAsia="Times New Roman" w:hAnsi="Arial" w:cs="Arial"/>
          <w:sz w:val="24"/>
          <w:szCs w:val="24"/>
          <w:lang w:eastAsia="en-GB"/>
        </w:rPr>
        <w:lastRenderedPageBreak/>
        <w:t xml:space="preserve">owing in terms of the Agreement in the event of a default by you </w:t>
      </w:r>
      <w:r w:rsidR="000C605F" w:rsidRPr="0025254F">
        <w:rPr>
          <w:rFonts w:ascii="Arial" w:eastAsia="Times New Roman" w:hAnsi="Arial" w:cs="Arial"/>
          <w:sz w:val="24"/>
          <w:szCs w:val="24"/>
          <w:lang w:eastAsia="en-GB"/>
        </w:rPr>
        <w:t>under this Agreement’</w:t>
      </w:r>
      <w:r w:rsidR="005537AD" w:rsidRPr="0025254F">
        <w:rPr>
          <w:rFonts w:ascii="Arial" w:eastAsia="Times New Roman" w:hAnsi="Arial" w:cs="Arial"/>
          <w:sz w:val="24"/>
          <w:szCs w:val="24"/>
          <w:lang w:eastAsia="en-GB"/>
        </w:rPr>
        <w:t xml:space="preserve">. There was no definition </w:t>
      </w:r>
      <w:r w:rsidR="007D2121" w:rsidRPr="0025254F">
        <w:rPr>
          <w:rFonts w:ascii="Arial" w:eastAsia="Times New Roman" w:hAnsi="Arial" w:cs="Arial"/>
          <w:sz w:val="24"/>
          <w:szCs w:val="24"/>
          <w:lang w:eastAsia="en-GB"/>
        </w:rPr>
        <w:t>for ‘</w:t>
      </w:r>
      <w:r w:rsidR="005537AD" w:rsidRPr="0025254F">
        <w:rPr>
          <w:rFonts w:ascii="Arial" w:eastAsia="Times New Roman" w:hAnsi="Arial" w:cs="Arial"/>
          <w:sz w:val="24"/>
          <w:szCs w:val="24"/>
          <w:lang w:eastAsia="en-GB"/>
        </w:rPr>
        <w:t>surety</w:t>
      </w:r>
      <w:r w:rsidR="007D2121" w:rsidRPr="0025254F">
        <w:rPr>
          <w:rFonts w:ascii="Arial" w:eastAsia="Times New Roman" w:hAnsi="Arial" w:cs="Arial"/>
          <w:sz w:val="24"/>
          <w:szCs w:val="24"/>
          <w:lang w:eastAsia="en-GB"/>
        </w:rPr>
        <w:t>’</w:t>
      </w:r>
      <w:r w:rsidR="005537AD" w:rsidRPr="0025254F">
        <w:rPr>
          <w:rFonts w:ascii="Arial" w:eastAsia="Times New Roman" w:hAnsi="Arial" w:cs="Arial"/>
          <w:sz w:val="24"/>
          <w:szCs w:val="24"/>
          <w:lang w:eastAsia="en-GB"/>
        </w:rPr>
        <w:t>.</w:t>
      </w:r>
    </w:p>
    <w:p w14:paraId="624ADB5A" w14:textId="77777777" w:rsidR="00A6747F" w:rsidRPr="0025254F" w:rsidRDefault="00A6747F" w:rsidP="006B48B9">
      <w:pPr>
        <w:spacing w:after="0" w:line="360" w:lineRule="auto"/>
        <w:contextualSpacing/>
        <w:jc w:val="both"/>
        <w:rPr>
          <w:rFonts w:ascii="Arial" w:eastAsia="Times New Roman" w:hAnsi="Arial" w:cs="Arial"/>
          <w:lang w:eastAsia="en-GB"/>
        </w:rPr>
      </w:pPr>
    </w:p>
    <w:p w14:paraId="126B5190" w14:textId="4903CE3A" w:rsidR="000348A2" w:rsidRPr="0025254F" w:rsidRDefault="00737BF6"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[18</w:t>
      </w:r>
      <w:r w:rsidR="000348A2" w:rsidRPr="0025254F">
        <w:rPr>
          <w:rFonts w:ascii="Arial" w:eastAsia="Times New Roman" w:hAnsi="Arial" w:cs="Arial"/>
          <w:sz w:val="24"/>
          <w:szCs w:val="24"/>
          <w:lang w:eastAsia="en-GB"/>
        </w:rPr>
        <w:t>]</w:t>
      </w:r>
      <w:r w:rsidR="000348A2" w:rsidRPr="0025254F">
        <w:rPr>
          <w:rFonts w:ascii="Arial" w:eastAsia="Times New Roman" w:hAnsi="Arial" w:cs="Arial"/>
          <w:sz w:val="24"/>
          <w:szCs w:val="24"/>
          <w:lang w:eastAsia="en-GB"/>
        </w:rPr>
        <w:tab/>
      </w:r>
      <w:r w:rsidR="005537AD" w:rsidRPr="0025254F">
        <w:rPr>
          <w:rFonts w:ascii="Arial" w:eastAsia="Times New Roman" w:hAnsi="Arial" w:cs="Arial"/>
          <w:sz w:val="24"/>
          <w:szCs w:val="24"/>
          <w:lang w:eastAsia="en-GB"/>
        </w:rPr>
        <w:t xml:space="preserve">The respondent raised the same issue as before, namely that the guarantee </w:t>
      </w:r>
      <w:r w:rsidR="000C605F" w:rsidRPr="0025254F">
        <w:rPr>
          <w:rFonts w:ascii="Arial" w:eastAsia="Times New Roman" w:hAnsi="Arial" w:cs="Arial"/>
          <w:sz w:val="24"/>
          <w:szCs w:val="24"/>
          <w:lang w:eastAsia="en-GB"/>
        </w:rPr>
        <w:t xml:space="preserve">was </w:t>
      </w:r>
      <w:r w:rsidR="005537AD" w:rsidRPr="0025254F">
        <w:rPr>
          <w:rFonts w:ascii="Arial" w:eastAsia="Times New Roman" w:hAnsi="Arial" w:cs="Arial"/>
          <w:sz w:val="24"/>
          <w:szCs w:val="24"/>
          <w:lang w:eastAsia="en-GB"/>
        </w:rPr>
        <w:t>nothing more than a suretyship.</w:t>
      </w:r>
      <w:r w:rsidR="008E489C" w:rsidRPr="0025254F">
        <w:rPr>
          <w:rFonts w:ascii="Arial" w:eastAsia="Times New Roman" w:hAnsi="Arial" w:cs="Arial"/>
          <w:sz w:val="24"/>
          <w:szCs w:val="24"/>
          <w:lang w:eastAsia="en-GB"/>
        </w:rPr>
        <w:t xml:space="preserve"> The respondent did not attach any correspondence to its affidavit to gainsay or elaborate on what was contained in the email correspondence between Mr Palmer and Mr Naidoo</w:t>
      </w:r>
      <w:r w:rsidR="00BD385B">
        <w:rPr>
          <w:rFonts w:ascii="Arial" w:eastAsia="Times New Roman" w:hAnsi="Arial" w:cs="Arial"/>
          <w:sz w:val="24"/>
          <w:szCs w:val="24"/>
          <w:lang w:eastAsia="en-GB"/>
        </w:rPr>
        <w:t>,</w:t>
      </w:r>
      <w:r w:rsidR="008E489C" w:rsidRPr="0025254F">
        <w:rPr>
          <w:rFonts w:ascii="Arial" w:eastAsia="Times New Roman" w:hAnsi="Arial" w:cs="Arial"/>
          <w:sz w:val="24"/>
          <w:szCs w:val="24"/>
          <w:lang w:eastAsia="en-GB"/>
        </w:rPr>
        <w:t xml:space="preserve"> leading up the agreements being signed. </w:t>
      </w:r>
    </w:p>
    <w:p w14:paraId="51EB85EC" w14:textId="77777777" w:rsidR="005537AD" w:rsidRPr="0025254F" w:rsidRDefault="005537AD" w:rsidP="006B48B9">
      <w:pPr>
        <w:spacing w:after="0" w:line="360" w:lineRule="auto"/>
        <w:contextualSpacing/>
        <w:jc w:val="both"/>
        <w:rPr>
          <w:rFonts w:ascii="Arial" w:eastAsia="Times New Roman" w:hAnsi="Arial" w:cs="Arial"/>
          <w:sz w:val="24"/>
          <w:szCs w:val="24"/>
          <w:lang w:eastAsia="en-GB"/>
        </w:rPr>
      </w:pPr>
    </w:p>
    <w:p w14:paraId="2420915B" w14:textId="296A5893" w:rsidR="000348A2" w:rsidRPr="0025254F" w:rsidRDefault="00737BF6"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[19</w:t>
      </w:r>
      <w:r w:rsidR="000348A2" w:rsidRPr="0025254F">
        <w:rPr>
          <w:rFonts w:ascii="Arial" w:eastAsia="Times New Roman" w:hAnsi="Arial" w:cs="Arial"/>
          <w:sz w:val="24"/>
          <w:szCs w:val="24"/>
          <w:lang w:eastAsia="en-GB"/>
        </w:rPr>
        <w:t>]</w:t>
      </w:r>
      <w:r w:rsidR="000348A2" w:rsidRPr="0025254F">
        <w:rPr>
          <w:rFonts w:ascii="Arial" w:eastAsia="Times New Roman" w:hAnsi="Arial" w:cs="Arial"/>
          <w:sz w:val="24"/>
          <w:szCs w:val="24"/>
          <w:lang w:eastAsia="en-GB"/>
        </w:rPr>
        <w:tab/>
      </w:r>
      <w:r w:rsidR="005537AD" w:rsidRPr="0025254F">
        <w:rPr>
          <w:rFonts w:ascii="Arial" w:eastAsia="Times New Roman" w:hAnsi="Arial" w:cs="Arial"/>
          <w:sz w:val="24"/>
          <w:szCs w:val="24"/>
          <w:lang w:eastAsia="en-GB"/>
        </w:rPr>
        <w:t>The applicant also described and attached annexure ‘F’ which contained the terms of a Covid</w:t>
      </w:r>
      <w:r w:rsidR="00915796" w:rsidRPr="0025254F">
        <w:rPr>
          <w:rFonts w:ascii="Arial" w:eastAsia="Times New Roman" w:hAnsi="Arial" w:cs="Arial"/>
          <w:sz w:val="24"/>
          <w:szCs w:val="24"/>
          <w:lang w:eastAsia="en-GB"/>
        </w:rPr>
        <w:t>-</w:t>
      </w:r>
      <w:r w:rsidR="005537AD" w:rsidRPr="0025254F">
        <w:rPr>
          <w:rFonts w:ascii="Arial" w:eastAsia="Times New Roman" w:hAnsi="Arial" w:cs="Arial"/>
          <w:sz w:val="24"/>
          <w:szCs w:val="24"/>
          <w:lang w:eastAsia="en-GB"/>
        </w:rPr>
        <w:t xml:space="preserve">19 </w:t>
      </w:r>
      <w:r w:rsidR="00915796" w:rsidRPr="0025254F">
        <w:rPr>
          <w:rFonts w:ascii="Arial" w:eastAsia="Times New Roman" w:hAnsi="Arial" w:cs="Arial"/>
          <w:sz w:val="24"/>
          <w:szCs w:val="24"/>
          <w:lang w:eastAsia="en-GB"/>
        </w:rPr>
        <w:t xml:space="preserve">emergency loan agreement </w:t>
      </w:r>
      <w:r w:rsidR="005537AD" w:rsidRPr="0025254F">
        <w:rPr>
          <w:rFonts w:ascii="Arial" w:eastAsia="Times New Roman" w:hAnsi="Arial" w:cs="Arial"/>
          <w:sz w:val="24"/>
          <w:szCs w:val="24"/>
          <w:lang w:eastAsia="en-GB"/>
        </w:rPr>
        <w:t>concluded</w:t>
      </w:r>
      <w:r w:rsidR="0027417D">
        <w:rPr>
          <w:rFonts w:ascii="Arial" w:eastAsia="Times New Roman" w:hAnsi="Arial" w:cs="Arial"/>
          <w:sz w:val="24"/>
          <w:szCs w:val="24"/>
          <w:lang w:eastAsia="en-GB"/>
        </w:rPr>
        <w:t>,</w:t>
      </w:r>
      <w:r w:rsidR="005537AD" w:rsidRPr="0025254F">
        <w:rPr>
          <w:rFonts w:ascii="Arial" w:eastAsia="Times New Roman" w:hAnsi="Arial" w:cs="Arial"/>
          <w:sz w:val="24"/>
          <w:szCs w:val="24"/>
          <w:lang w:eastAsia="en-GB"/>
        </w:rPr>
        <w:t xml:space="preserve"> in terms of which the applicant lent and advanced to Wardkiss an amount of R3 million. </w:t>
      </w:r>
      <w:r w:rsidR="008E489C" w:rsidRPr="0025254F">
        <w:rPr>
          <w:rFonts w:ascii="Arial" w:eastAsia="Times New Roman" w:hAnsi="Arial" w:cs="Arial"/>
          <w:sz w:val="24"/>
          <w:szCs w:val="24"/>
          <w:lang w:eastAsia="en-GB"/>
        </w:rPr>
        <w:t xml:space="preserve">Clause 11 dealt with the collateral required, which included a guarantee restricted to R3,3 million by Mr Palmer. </w:t>
      </w:r>
      <w:r w:rsidR="005537AD" w:rsidRPr="0025254F">
        <w:rPr>
          <w:rFonts w:ascii="Arial" w:eastAsia="Times New Roman" w:hAnsi="Arial" w:cs="Arial"/>
          <w:sz w:val="24"/>
          <w:szCs w:val="24"/>
          <w:lang w:eastAsia="en-GB"/>
        </w:rPr>
        <w:t xml:space="preserve">Mr Palmer signed the document on 10 September 2020. The document was not signed on behalf of the applicant. </w:t>
      </w:r>
      <w:r w:rsidR="00951039">
        <w:rPr>
          <w:rFonts w:ascii="Arial" w:eastAsia="Times New Roman" w:hAnsi="Arial" w:cs="Arial"/>
          <w:sz w:val="24"/>
          <w:szCs w:val="24"/>
          <w:lang w:eastAsia="en-GB"/>
        </w:rPr>
        <w:t>The applicant</w:t>
      </w:r>
      <w:r w:rsidR="00951039" w:rsidRPr="0025254F">
        <w:rPr>
          <w:rFonts w:ascii="Arial" w:eastAsia="Times New Roman" w:hAnsi="Arial" w:cs="Arial"/>
          <w:sz w:val="24"/>
          <w:szCs w:val="24"/>
          <w:lang w:eastAsia="en-GB"/>
        </w:rPr>
        <w:t xml:space="preserve"> </w:t>
      </w:r>
      <w:r w:rsidR="005537AD" w:rsidRPr="0025254F">
        <w:rPr>
          <w:rFonts w:ascii="Arial" w:eastAsia="Times New Roman" w:hAnsi="Arial" w:cs="Arial"/>
          <w:sz w:val="24"/>
          <w:szCs w:val="24"/>
          <w:lang w:eastAsia="en-GB"/>
        </w:rPr>
        <w:t>did</w:t>
      </w:r>
      <w:r w:rsidR="00915796" w:rsidRPr="0025254F">
        <w:rPr>
          <w:rFonts w:ascii="Arial" w:eastAsia="Times New Roman" w:hAnsi="Arial" w:cs="Arial"/>
          <w:sz w:val="24"/>
          <w:szCs w:val="24"/>
          <w:lang w:eastAsia="en-GB"/>
        </w:rPr>
        <w:t>,</w:t>
      </w:r>
      <w:r w:rsidR="005537AD" w:rsidRPr="0025254F">
        <w:rPr>
          <w:rFonts w:ascii="Arial" w:eastAsia="Times New Roman" w:hAnsi="Arial" w:cs="Arial"/>
          <w:sz w:val="24"/>
          <w:szCs w:val="24"/>
          <w:lang w:eastAsia="en-GB"/>
        </w:rPr>
        <w:t xml:space="preserve"> h</w:t>
      </w:r>
      <w:r w:rsidR="000C605F" w:rsidRPr="0025254F">
        <w:rPr>
          <w:rFonts w:ascii="Arial" w:eastAsia="Times New Roman" w:hAnsi="Arial" w:cs="Arial"/>
          <w:sz w:val="24"/>
          <w:szCs w:val="24"/>
          <w:lang w:eastAsia="en-GB"/>
        </w:rPr>
        <w:t>owever</w:t>
      </w:r>
      <w:r w:rsidR="00915796" w:rsidRPr="0025254F">
        <w:rPr>
          <w:rFonts w:ascii="Arial" w:eastAsia="Times New Roman" w:hAnsi="Arial" w:cs="Arial"/>
          <w:sz w:val="24"/>
          <w:szCs w:val="24"/>
          <w:lang w:eastAsia="en-GB"/>
        </w:rPr>
        <w:t>,</w:t>
      </w:r>
      <w:r w:rsidR="000C605F" w:rsidRPr="0025254F">
        <w:rPr>
          <w:rFonts w:ascii="Arial" w:eastAsia="Times New Roman" w:hAnsi="Arial" w:cs="Arial"/>
          <w:sz w:val="24"/>
          <w:szCs w:val="24"/>
          <w:lang w:eastAsia="en-GB"/>
        </w:rPr>
        <w:t xml:space="preserve"> </w:t>
      </w:r>
      <w:r w:rsidR="00204E5E" w:rsidRPr="0025254F">
        <w:rPr>
          <w:rFonts w:ascii="Arial" w:eastAsia="Times New Roman" w:hAnsi="Arial" w:cs="Arial"/>
          <w:sz w:val="24"/>
          <w:szCs w:val="24"/>
          <w:lang w:eastAsia="en-GB"/>
        </w:rPr>
        <w:t>advance</w:t>
      </w:r>
      <w:r w:rsidR="005537AD" w:rsidRPr="0025254F">
        <w:rPr>
          <w:rFonts w:ascii="Arial" w:eastAsia="Times New Roman" w:hAnsi="Arial" w:cs="Arial"/>
          <w:sz w:val="24"/>
          <w:szCs w:val="24"/>
          <w:lang w:eastAsia="en-GB"/>
        </w:rPr>
        <w:t xml:space="preserve"> the money to Wardkiss.</w:t>
      </w:r>
    </w:p>
    <w:p w14:paraId="6BE503EE" w14:textId="7BDE9B83" w:rsidR="00993672" w:rsidRPr="0025254F" w:rsidRDefault="00993672" w:rsidP="006B48B9">
      <w:pPr>
        <w:spacing w:after="0" w:line="360" w:lineRule="auto"/>
        <w:contextualSpacing/>
        <w:jc w:val="both"/>
        <w:rPr>
          <w:rFonts w:ascii="Arial" w:eastAsia="Times New Roman" w:hAnsi="Arial" w:cs="Arial"/>
          <w:sz w:val="24"/>
          <w:szCs w:val="24"/>
          <w:lang w:eastAsia="en-GB"/>
        </w:rPr>
      </w:pPr>
    </w:p>
    <w:p w14:paraId="55EAB6A0" w14:textId="2C36D069" w:rsidR="00993672" w:rsidRPr="0025254F" w:rsidRDefault="00737BF6"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[20</w:t>
      </w:r>
      <w:r w:rsidR="00993672" w:rsidRPr="0025254F">
        <w:rPr>
          <w:rFonts w:ascii="Arial" w:eastAsia="Times New Roman" w:hAnsi="Arial" w:cs="Arial"/>
          <w:sz w:val="24"/>
          <w:szCs w:val="24"/>
          <w:lang w:eastAsia="en-GB"/>
        </w:rPr>
        <w:t>]</w:t>
      </w:r>
      <w:r w:rsidR="00993672" w:rsidRPr="0025254F">
        <w:rPr>
          <w:rFonts w:ascii="Arial" w:eastAsia="Times New Roman" w:hAnsi="Arial" w:cs="Arial"/>
          <w:sz w:val="24"/>
          <w:szCs w:val="24"/>
          <w:lang w:eastAsia="en-GB"/>
        </w:rPr>
        <w:tab/>
      </w:r>
      <w:r w:rsidR="005537AD" w:rsidRPr="0025254F">
        <w:rPr>
          <w:rFonts w:ascii="Arial" w:eastAsia="Times New Roman" w:hAnsi="Arial" w:cs="Arial"/>
          <w:sz w:val="24"/>
          <w:szCs w:val="24"/>
          <w:lang w:eastAsia="en-GB"/>
        </w:rPr>
        <w:t>It is common cause that Wardkiss placed itself in voluntary liquidation on or about 5 Febr</w:t>
      </w:r>
      <w:r w:rsidR="00204E5E" w:rsidRPr="0025254F">
        <w:rPr>
          <w:rFonts w:ascii="Arial" w:eastAsia="Times New Roman" w:hAnsi="Arial" w:cs="Arial"/>
          <w:sz w:val="24"/>
          <w:szCs w:val="24"/>
          <w:lang w:eastAsia="en-GB"/>
        </w:rPr>
        <w:t>uary 2021. On 24 January 2022</w:t>
      </w:r>
      <w:r w:rsidR="00915796" w:rsidRPr="0025254F">
        <w:rPr>
          <w:rFonts w:ascii="Arial" w:eastAsia="Times New Roman" w:hAnsi="Arial" w:cs="Arial"/>
          <w:sz w:val="24"/>
          <w:szCs w:val="24"/>
          <w:lang w:eastAsia="en-GB"/>
        </w:rPr>
        <w:t>,</w:t>
      </w:r>
      <w:r w:rsidR="00526D3C" w:rsidRPr="0025254F">
        <w:rPr>
          <w:rFonts w:ascii="Arial" w:eastAsia="Times New Roman" w:hAnsi="Arial" w:cs="Arial"/>
          <w:sz w:val="24"/>
          <w:szCs w:val="24"/>
          <w:lang w:eastAsia="en-GB"/>
        </w:rPr>
        <w:t xml:space="preserve"> </w:t>
      </w:r>
      <w:r w:rsidR="00204E5E" w:rsidRPr="0025254F">
        <w:rPr>
          <w:rFonts w:ascii="Arial" w:eastAsia="Times New Roman" w:hAnsi="Arial" w:cs="Arial"/>
          <w:sz w:val="24"/>
          <w:szCs w:val="24"/>
          <w:lang w:eastAsia="en-GB"/>
        </w:rPr>
        <w:t>t</w:t>
      </w:r>
      <w:r w:rsidR="005537AD" w:rsidRPr="0025254F">
        <w:rPr>
          <w:rFonts w:ascii="Arial" w:eastAsia="Times New Roman" w:hAnsi="Arial" w:cs="Arial"/>
          <w:sz w:val="24"/>
          <w:szCs w:val="24"/>
          <w:lang w:eastAsia="en-GB"/>
        </w:rPr>
        <w:t>he amount due in respect of Wardkiss</w:t>
      </w:r>
      <w:r w:rsidR="00204E5E" w:rsidRPr="0025254F">
        <w:rPr>
          <w:rFonts w:ascii="Arial" w:eastAsia="Times New Roman" w:hAnsi="Arial" w:cs="Arial"/>
          <w:sz w:val="24"/>
          <w:szCs w:val="24"/>
          <w:lang w:eastAsia="en-GB"/>
        </w:rPr>
        <w:t>’</w:t>
      </w:r>
      <w:r w:rsidR="005537AD" w:rsidRPr="0025254F">
        <w:rPr>
          <w:rFonts w:ascii="Arial" w:eastAsia="Times New Roman" w:hAnsi="Arial" w:cs="Arial"/>
          <w:sz w:val="24"/>
          <w:szCs w:val="24"/>
          <w:lang w:eastAsia="en-GB"/>
        </w:rPr>
        <w:t xml:space="preserve"> overdraft facility was R6 501 440</w:t>
      </w:r>
      <w:r w:rsidR="00915796" w:rsidRPr="0025254F">
        <w:rPr>
          <w:rFonts w:ascii="Arial" w:eastAsia="Times New Roman" w:hAnsi="Arial" w:cs="Arial"/>
          <w:sz w:val="24"/>
          <w:szCs w:val="24"/>
          <w:lang w:eastAsia="en-GB"/>
        </w:rPr>
        <w:t>.</w:t>
      </w:r>
      <w:r w:rsidR="007D32D6" w:rsidRPr="0025254F">
        <w:rPr>
          <w:rFonts w:ascii="Arial" w:eastAsia="Times New Roman" w:hAnsi="Arial" w:cs="Arial"/>
          <w:sz w:val="24"/>
          <w:szCs w:val="24"/>
          <w:lang w:eastAsia="en-GB"/>
        </w:rPr>
        <w:t>98</w:t>
      </w:r>
      <w:r w:rsidR="008069CF">
        <w:rPr>
          <w:rFonts w:ascii="Arial" w:eastAsia="Times New Roman" w:hAnsi="Arial" w:cs="Arial"/>
          <w:sz w:val="24"/>
          <w:szCs w:val="24"/>
          <w:lang w:eastAsia="en-GB"/>
        </w:rPr>
        <w:t>,</w:t>
      </w:r>
      <w:r w:rsidR="007D32D6" w:rsidRPr="0025254F">
        <w:rPr>
          <w:rFonts w:ascii="Arial" w:eastAsia="Times New Roman" w:hAnsi="Arial" w:cs="Arial"/>
          <w:sz w:val="24"/>
          <w:szCs w:val="24"/>
          <w:lang w:eastAsia="en-GB"/>
        </w:rPr>
        <w:t xml:space="preserve"> together with interest. On 25 January 2022</w:t>
      </w:r>
      <w:r w:rsidR="00915796" w:rsidRPr="0025254F">
        <w:rPr>
          <w:rFonts w:ascii="Arial" w:eastAsia="Times New Roman" w:hAnsi="Arial" w:cs="Arial"/>
          <w:sz w:val="24"/>
          <w:szCs w:val="24"/>
          <w:lang w:eastAsia="en-GB"/>
        </w:rPr>
        <w:t>,</w:t>
      </w:r>
      <w:r w:rsidR="007D32D6" w:rsidRPr="0025254F">
        <w:rPr>
          <w:rFonts w:ascii="Arial" w:eastAsia="Times New Roman" w:hAnsi="Arial" w:cs="Arial"/>
          <w:sz w:val="24"/>
          <w:szCs w:val="24"/>
          <w:lang w:eastAsia="en-GB"/>
        </w:rPr>
        <w:t xml:space="preserve"> the amount due in respect of the revolving credit</w:t>
      </w:r>
      <w:r w:rsidR="00204E5E" w:rsidRPr="0025254F">
        <w:rPr>
          <w:rFonts w:ascii="Arial" w:eastAsia="Times New Roman" w:hAnsi="Arial" w:cs="Arial"/>
          <w:sz w:val="24"/>
          <w:szCs w:val="24"/>
          <w:lang w:eastAsia="en-GB"/>
        </w:rPr>
        <w:t xml:space="preserve"> plan</w:t>
      </w:r>
      <w:r w:rsidR="00D07FCA" w:rsidRPr="0025254F">
        <w:rPr>
          <w:rFonts w:ascii="Arial" w:eastAsia="Times New Roman" w:hAnsi="Arial" w:cs="Arial"/>
          <w:sz w:val="24"/>
          <w:szCs w:val="24"/>
          <w:lang w:eastAsia="en-GB"/>
        </w:rPr>
        <w:t xml:space="preserve"> was R2 477</w:t>
      </w:r>
      <w:r w:rsidR="007D32D6" w:rsidRPr="0025254F">
        <w:rPr>
          <w:rFonts w:ascii="Arial" w:eastAsia="Times New Roman" w:hAnsi="Arial" w:cs="Arial"/>
          <w:sz w:val="24"/>
          <w:szCs w:val="24"/>
          <w:lang w:eastAsia="en-GB"/>
        </w:rPr>
        <w:t> 159.27</w:t>
      </w:r>
      <w:r w:rsidR="008069CF">
        <w:rPr>
          <w:rFonts w:ascii="Arial" w:eastAsia="Times New Roman" w:hAnsi="Arial" w:cs="Arial"/>
          <w:sz w:val="24"/>
          <w:szCs w:val="24"/>
          <w:lang w:eastAsia="en-GB"/>
        </w:rPr>
        <w:t>,</w:t>
      </w:r>
      <w:r w:rsidR="00526D3C" w:rsidRPr="0025254F">
        <w:rPr>
          <w:rFonts w:ascii="Arial" w:eastAsia="Times New Roman" w:hAnsi="Arial" w:cs="Arial"/>
          <w:sz w:val="24"/>
          <w:szCs w:val="24"/>
          <w:lang w:eastAsia="en-GB"/>
        </w:rPr>
        <w:t xml:space="preserve"> </w:t>
      </w:r>
      <w:r w:rsidR="007D32D6" w:rsidRPr="0025254F">
        <w:rPr>
          <w:rFonts w:ascii="Arial" w:eastAsia="Times New Roman" w:hAnsi="Arial" w:cs="Arial"/>
          <w:sz w:val="24"/>
          <w:szCs w:val="24"/>
          <w:lang w:eastAsia="en-GB"/>
        </w:rPr>
        <w:t>together with interest. On 31 January 2022</w:t>
      </w:r>
      <w:r w:rsidR="00915796" w:rsidRPr="0025254F">
        <w:rPr>
          <w:rFonts w:ascii="Arial" w:eastAsia="Times New Roman" w:hAnsi="Arial" w:cs="Arial"/>
          <w:sz w:val="24"/>
          <w:szCs w:val="24"/>
          <w:lang w:eastAsia="en-GB"/>
        </w:rPr>
        <w:t>,</w:t>
      </w:r>
      <w:r w:rsidR="007D32D6" w:rsidRPr="0025254F">
        <w:rPr>
          <w:rFonts w:ascii="Arial" w:eastAsia="Times New Roman" w:hAnsi="Arial" w:cs="Arial"/>
          <w:sz w:val="24"/>
          <w:szCs w:val="24"/>
          <w:lang w:eastAsia="en-GB"/>
        </w:rPr>
        <w:t xml:space="preserve"> the amount due in respect of the Covid</w:t>
      </w:r>
      <w:r w:rsidR="00915796" w:rsidRPr="0025254F">
        <w:rPr>
          <w:rFonts w:ascii="Arial" w:eastAsia="Times New Roman" w:hAnsi="Arial" w:cs="Arial"/>
          <w:sz w:val="24"/>
          <w:szCs w:val="24"/>
          <w:lang w:eastAsia="en-GB"/>
        </w:rPr>
        <w:t>-19</w:t>
      </w:r>
      <w:r w:rsidR="007D32D6" w:rsidRPr="0025254F">
        <w:rPr>
          <w:rFonts w:ascii="Arial" w:eastAsia="Times New Roman" w:hAnsi="Arial" w:cs="Arial"/>
          <w:sz w:val="24"/>
          <w:szCs w:val="24"/>
          <w:lang w:eastAsia="en-GB"/>
        </w:rPr>
        <w:t xml:space="preserve"> loan was R3</w:t>
      </w:r>
      <w:r w:rsidR="00915796" w:rsidRPr="0025254F">
        <w:rPr>
          <w:rFonts w:ascii="Arial" w:eastAsia="Times New Roman" w:hAnsi="Arial" w:cs="Arial"/>
          <w:sz w:val="24"/>
          <w:szCs w:val="24"/>
          <w:lang w:eastAsia="en-GB"/>
        </w:rPr>
        <w:t> </w:t>
      </w:r>
      <w:r w:rsidR="007D32D6" w:rsidRPr="0025254F">
        <w:rPr>
          <w:rFonts w:ascii="Arial" w:eastAsia="Times New Roman" w:hAnsi="Arial" w:cs="Arial"/>
          <w:sz w:val="24"/>
          <w:szCs w:val="24"/>
          <w:lang w:eastAsia="en-GB"/>
        </w:rPr>
        <w:t>542 677</w:t>
      </w:r>
      <w:r w:rsidR="00915796" w:rsidRPr="0025254F">
        <w:rPr>
          <w:rFonts w:ascii="Arial" w:eastAsia="Times New Roman" w:hAnsi="Arial" w:cs="Arial"/>
          <w:sz w:val="24"/>
          <w:szCs w:val="24"/>
          <w:lang w:eastAsia="en-GB"/>
        </w:rPr>
        <w:t>.</w:t>
      </w:r>
      <w:r w:rsidR="007D32D6" w:rsidRPr="0025254F">
        <w:rPr>
          <w:rFonts w:ascii="Arial" w:eastAsia="Times New Roman" w:hAnsi="Arial" w:cs="Arial"/>
          <w:sz w:val="24"/>
          <w:szCs w:val="24"/>
          <w:lang w:eastAsia="en-GB"/>
        </w:rPr>
        <w:t>95</w:t>
      </w:r>
      <w:r w:rsidR="008069CF">
        <w:rPr>
          <w:rFonts w:ascii="Arial" w:eastAsia="Times New Roman" w:hAnsi="Arial" w:cs="Arial"/>
          <w:sz w:val="24"/>
          <w:szCs w:val="24"/>
          <w:lang w:eastAsia="en-GB"/>
        </w:rPr>
        <w:t>,</w:t>
      </w:r>
      <w:r w:rsidR="00526D3C" w:rsidRPr="0025254F">
        <w:rPr>
          <w:rFonts w:ascii="Arial" w:eastAsia="Times New Roman" w:hAnsi="Arial" w:cs="Arial"/>
          <w:sz w:val="24"/>
          <w:szCs w:val="24"/>
          <w:lang w:eastAsia="en-GB"/>
        </w:rPr>
        <w:t xml:space="preserve"> </w:t>
      </w:r>
      <w:r w:rsidR="007D32D6" w:rsidRPr="0025254F">
        <w:rPr>
          <w:rFonts w:ascii="Arial" w:eastAsia="Times New Roman" w:hAnsi="Arial" w:cs="Arial"/>
          <w:sz w:val="24"/>
          <w:szCs w:val="24"/>
          <w:lang w:eastAsia="en-GB"/>
        </w:rPr>
        <w:t>together with interest.</w:t>
      </w:r>
      <w:r w:rsidR="00D90D3A" w:rsidRPr="0025254F">
        <w:rPr>
          <w:rFonts w:ascii="Arial" w:eastAsia="Times New Roman" w:hAnsi="Arial" w:cs="Arial"/>
          <w:sz w:val="24"/>
          <w:szCs w:val="24"/>
          <w:lang w:eastAsia="en-GB"/>
        </w:rPr>
        <w:t xml:space="preserve"> The applicant wrote a letter containing a notice </w:t>
      </w:r>
      <w:r w:rsidR="006E2BF3">
        <w:rPr>
          <w:rFonts w:ascii="Arial" w:eastAsia="Times New Roman" w:hAnsi="Arial" w:cs="Arial"/>
          <w:sz w:val="24"/>
          <w:szCs w:val="24"/>
          <w:lang w:eastAsia="en-GB"/>
        </w:rPr>
        <w:t xml:space="preserve">in </w:t>
      </w:r>
      <w:r w:rsidR="00D90D3A" w:rsidRPr="0025254F">
        <w:rPr>
          <w:rFonts w:ascii="Arial" w:eastAsia="Times New Roman" w:hAnsi="Arial" w:cs="Arial"/>
          <w:sz w:val="24"/>
          <w:szCs w:val="24"/>
          <w:lang w:eastAsia="en-GB"/>
        </w:rPr>
        <w:t>terms of sections 344 and 345 of the Companies Act 61 of 1973 to the respondent on 7 February 20222. The respondent’s attorney replied on 22 February 2022</w:t>
      </w:r>
      <w:r w:rsidR="007C5D6B" w:rsidRPr="0025254F">
        <w:rPr>
          <w:rFonts w:ascii="Arial" w:eastAsia="Times New Roman" w:hAnsi="Arial" w:cs="Arial"/>
          <w:sz w:val="24"/>
          <w:szCs w:val="24"/>
          <w:lang w:eastAsia="en-GB"/>
        </w:rPr>
        <w:t>.</w:t>
      </w:r>
      <w:r w:rsidR="00633372" w:rsidRPr="0025254F">
        <w:rPr>
          <w:rFonts w:ascii="Arial" w:eastAsia="Times New Roman" w:hAnsi="Arial" w:cs="Arial"/>
          <w:sz w:val="24"/>
          <w:szCs w:val="24"/>
          <w:lang w:eastAsia="en-GB"/>
        </w:rPr>
        <w:t xml:space="preserve"> The letter is attached as annexure ‘M1’ </w:t>
      </w:r>
      <w:r w:rsidR="00370384" w:rsidRPr="0025254F">
        <w:rPr>
          <w:rFonts w:ascii="Arial" w:eastAsia="Times New Roman" w:hAnsi="Arial" w:cs="Arial"/>
          <w:sz w:val="24"/>
          <w:szCs w:val="24"/>
          <w:lang w:eastAsia="en-GB"/>
        </w:rPr>
        <w:t>to the founding affidavit.</w:t>
      </w:r>
      <w:r w:rsidR="007C5D6B" w:rsidRPr="0025254F">
        <w:rPr>
          <w:rFonts w:ascii="Arial" w:eastAsia="Times New Roman" w:hAnsi="Arial" w:cs="Arial"/>
          <w:sz w:val="24"/>
          <w:szCs w:val="24"/>
          <w:lang w:eastAsia="en-GB"/>
        </w:rPr>
        <w:t xml:space="preserve"> It appears from the letter that some settlement proposals and negotiations had been anticipated but then the section 344 notice was received.</w:t>
      </w:r>
      <w:r w:rsidR="00526D3C" w:rsidRPr="0025254F">
        <w:rPr>
          <w:rFonts w:ascii="Arial" w:eastAsia="Times New Roman" w:hAnsi="Arial" w:cs="Arial"/>
          <w:sz w:val="24"/>
          <w:szCs w:val="24"/>
          <w:lang w:eastAsia="en-GB"/>
        </w:rPr>
        <w:t xml:space="preserve"> </w:t>
      </w:r>
      <w:r w:rsidR="007C5D6B" w:rsidRPr="0025254F">
        <w:rPr>
          <w:rFonts w:ascii="Arial" w:eastAsia="Times New Roman" w:hAnsi="Arial" w:cs="Arial"/>
          <w:sz w:val="24"/>
          <w:szCs w:val="24"/>
          <w:lang w:eastAsia="en-GB"/>
        </w:rPr>
        <w:t>It nonetheless contained a number of proposals but the following was stated</w:t>
      </w:r>
      <w:r w:rsidR="00526D3C" w:rsidRPr="0025254F">
        <w:rPr>
          <w:rFonts w:ascii="Arial" w:eastAsia="Times New Roman" w:hAnsi="Arial" w:cs="Arial"/>
          <w:sz w:val="24"/>
          <w:szCs w:val="24"/>
          <w:lang w:eastAsia="en-GB"/>
        </w:rPr>
        <w:t xml:space="preserve"> </w:t>
      </w:r>
      <w:r w:rsidR="00D90D3A" w:rsidRPr="0025254F">
        <w:rPr>
          <w:rFonts w:ascii="Arial" w:eastAsia="Times New Roman" w:hAnsi="Arial" w:cs="Arial"/>
          <w:sz w:val="24"/>
          <w:szCs w:val="24"/>
          <w:lang w:eastAsia="en-GB"/>
        </w:rPr>
        <w:t>at para 8:</w:t>
      </w:r>
    </w:p>
    <w:p w14:paraId="101361AF" w14:textId="4FD28A09" w:rsidR="00D90D3A" w:rsidRPr="0025254F" w:rsidRDefault="00D90D3A" w:rsidP="006B48B9">
      <w:pPr>
        <w:spacing w:after="0" w:line="360" w:lineRule="auto"/>
        <w:contextualSpacing/>
        <w:jc w:val="both"/>
        <w:rPr>
          <w:rFonts w:ascii="Arial" w:eastAsia="Times New Roman" w:hAnsi="Arial" w:cs="Arial"/>
          <w:szCs w:val="24"/>
          <w:lang w:eastAsia="en-GB"/>
        </w:rPr>
      </w:pPr>
      <w:r w:rsidRPr="0025254F">
        <w:rPr>
          <w:rFonts w:ascii="Arial" w:eastAsia="Times New Roman" w:hAnsi="Arial" w:cs="Arial"/>
          <w:szCs w:val="24"/>
          <w:lang w:eastAsia="en-GB"/>
        </w:rPr>
        <w:t>‘In regard to the alleged guarantee obligation of Wardkiss Property Holdings (Pty) Limited for Wardkiss (Pty) Limited (In Liquidation), our client denies that this guarantee or suretyship complies with either</w:t>
      </w:r>
      <w:r w:rsidR="00526D3C" w:rsidRPr="0025254F">
        <w:rPr>
          <w:rFonts w:ascii="Arial" w:eastAsia="Times New Roman" w:hAnsi="Arial" w:cs="Arial"/>
          <w:szCs w:val="24"/>
          <w:lang w:eastAsia="en-GB"/>
        </w:rPr>
        <w:t xml:space="preserve"> </w:t>
      </w:r>
      <w:r w:rsidRPr="0025254F">
        <w:rPr>
          <w:rFonts w:ascii="Arial" w:eastAsia="Times New Roman" w:hAnsi="Arial" w:cs="Arial"/>
          <w:szCs w:val="24"/>
          <w:lang w:eastAsia="en-GB"/>
        </w:rPr>
        <w:t>the provisions of the General Law Amendment Act 50 of 1956</w:t>
      </w:r>
      <w:r w:rsidR="00526D3C" w:rsidRPr="0025254F">
        <w:rPr>
          <w:rFonts w:ascii="Arial" w:eastAsia="Times New Roman" w:hAnsi="Arial" w:cs="Arial"/>
          <w:szCs w:val="24"/>
          <w:lang w:eastAsia="en-GB"/>
        </w:rPr>
        <w:t xml:space="preserve"> </w:t>
      </w:r>
      <w:r w:rsidRPr="0025254F">
        <w:rPr>
          <w:rFonts w:ascii="Arial" w:eastAsia="Times New Roman" w:hAnsi="Arial" w:cs="Arial"/>
          <w:szCs w:val="24"/>
          <w:lang w:eastAsia="en-GB"/>
        </w:rPr>
        <w:t>or the Electronic Communications Act 25 of 2002 and denies that it</w:t>
      </w:r>
      <w:r w:rsidR="007C5D6B" w:rsidRPr="0025254F">
        <w:rPr>
          <w:rFonts w:ascii="Arial" w:eastAsia="Times New Roman" w:hAnsi="Arial" w:cs="Arial"/>
          <w:szCs w:val="24"/>
          <w:lang w:eastAsia="en-GB"/>
        </w:rPr>
        <w:t xml:space="preserve"> is either binding or enforceable…</w:t>
      </w:r>
      <w:r w:rsidR="00387C8E">
        <w:rPr>
          <w:rFonts w:ascii="Arial" w:eastAsia="Times New Roman" w:hAnsi="Arial" w:cs="Arial"/>
          <w:szCs w:val="24"/>
          <w:lang w:eastAsia="en-GB"/>
        </w:rPr>
        <w:t>.</w:t>
      </w:r>
      <w:r w:rsidR="007C5D6B" w:rsidRPr="0025254F">
        <w:rPr>
          <w:rFonts w:ascii="Arial" w:eastAsia="Times New Roman" w:hAnsi="Arial" w:cs="Arial"/>
          <w:szCs w:val="24"/>
          <w:lang w:eastAsia="en-GB"/>
        </w:rPr>
        <w:t>’</w:t>
      </w:r>
    </w:p>
    <w:p w14:paraId="26624C19" w14:textId="1026D36A" w:rsidR="00370384" w:rsidRPr="0025254F" w:rsidRDefault="00370384"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lastRenderedPageBreak/>
        <w:t>The applicant, through its attorney</w:t>
      </w:r>
      <w:r w:rsidR="003A4DC5" w:rsidRPr="0025254F">
        <w:rPr>
          <w:rFonts w:ascii="Arial" w:eastAsia="Times New Roman" w:hAnsi="Arial" w:cs="Arial"/>
          <w:sz w:val="24"/>
          <w:szCs w:val="24"/>
          <w:lang w:eastAsia="en-GB"/>
        </w:rPr>
        <w:t>,</w:t>
      </w:r>
      <w:r w:rsidRPr="0025254F">
        <w:rPr>
          <w:rFonts w:ascii="Arial" w:eastAsia="Times New Roman" w:hAnsi="Arial" w:cs="Arial"/>
          <w:sz w:val="24"/>
          <w:szCs w:val="24"/>
          <w:lang w:eastAsia="en-GB"/>
        </w:rPr>
        <w:t xml:space="preserve"> issued a formal </w:t>
      </w:r>
      <w:r w:rsidR="00387C8E">
        <w:rPr>
          <w:rFonts w:ascii="Arial" w:eastAsia="Times New Roman" w:hAnsi="Arial" w:cs="Arial"/>
          <w:sz w:val="24"/>
          <w:szCs w:val="24"/>
          <w:lang w:eastAsia="en-GB"/>
        </w:rPr>
        <w:t xml:space="preserve">written </w:t>
      </w:r>
      <w:r w:rsidRPr="0025254F">
        <w:rPr>
          <w:rFonts w:ascii="Arial" w:eastAsia="Times New Roman" w:hAnsi="Arial" w:cs="Arial"/>
          <w:sz w:val="24"/>
          <w:szCs w:val="24"/>
          <w:lang w:eastAsia="en-GB"/>
        </w:rPr>
        <w:t>demand on 10 May 2022, calling upon the respondent to pay the amount owed in terms of the guarantee.</w:t>
      </w:r>
    </w:p>
    <w:p w14:paraId="411CBBCA" w14:textId="68202C4C" w:rsidR="007D32D6" w:rsidRPr="0025254F" w:rsidRDefault="007D32D6" w:rsidP="006B48B9">
      <w:pPr>
        <w:spacing w:after="0" w:line="360" w:lineRule="auto"/>
        <w:contextualSpacing/>
        <w:jc w:val="both"/>
        <w:rPr>
          <w:rFonts w:ascii="Arial" w:eastAsia="Times New Roman" w:hAnsi="Arial" w:cs="Arial"/>
          <w:sz w:val="24"/>
          <w:szCs w:val="24"/>
          <w:lang w:eastAsia="en-GB"/>
        </w:rPr>
      </w:pPr>
    </w:p>
    <w:p w14:paraId="0D6C1104" w14:textId="6A451033" w:rsidR="007D32D6" w:rsidRPr="0025254F" w:rsidRDefault="007D32D6" w:rsidP="006B48B9">
      <w:pPr>
        <w:spacing w:after="0" w:line="360" w:lineRule="auto"/>
        <w:contextualSpacing/>
        <w:jc w:val="both"/>
        <w:rPr>
          <w:rFonts w:ascii="Arial" w:eastAsia="Times New Roman" w:hAnsi="Arial" w:cs="Arial"/>
          <w:b/>
          <w:sz w:val="24"/>
          <w:szCs w:val="24"/>
          <w:lang w:eastAsia="en-GB"/>
        </w:rPr>
      </w:pPr>
      <w:r w:rsidRPr="0025254F">
        <w:rPr>
          <w:rFonts w:ascii="Arial" w:eastAsia="Times New Roman" w:hAnsi="Arial" w:cs="Arial"/>
          <w:b/>
          <w:sz w:val="24"/>
          <w:szCs w:val="24"/>
          <w:lang w:eastAsia="en-GB"/>
        </w:rPr>
        <w:t xml:space="preserve">The </w:t>
      </w:r>
      <w:r w:rsidR="003A4DC5" w:rsidRPr="0025254F">
        <w:rPr>
          <w:rFonts w:ascii="Arial" w:eastAsia="Times New Roman" w:hAnsi="Arial" w:cs="Arial"/>
          <w:b/>
          <w:sz w:val="24"/>
          <w:szCs w:val="24"/>
          <w:lang w:eastAsia="en-GB"/>
        </w:rPr>
        <w:t>guarantee</w:t>
      </w:r>
    </w:p>
    <w:p w14:paraId="39F95A7B" w14:textId="72BBEBF0" w:rsidR="0031722F" w:rsidRPr="0025254F" w:rsidRDefault="00737BF6" w:rsidP="006B48B9">
      <w:pPr>
        <w:pStyle w:val="ListParagraph"/>
        <w:spacing w:after="0" w:line="360" w:lineRule="auto"/>
        <w:ind w:left="0"/>
        <w:jc w:val="both"/>
        <w:rPr>
          <w:rFonts w:ascii="Arial" w:eastAsia="Calibri" w:hAnsi="Arial" w:cs="Arial"/>
          <w:szCs w:val="20"/>
        </w:rPr>
      </w:pPr>
      <w:r w:rsidRPr="0025254F">
        <w:rPr>
          <w:rFonts w:ascii="Arial" w:eastAsia="Times New Roman" w:hAnsi="Arial" w:cs="Arial"/>
          <w:sz w:val="24"/>
          <w:szCs w:val="24"/>
          <w:lang w:eastAsia="en-GB"/>
        </w:rPr>
        <w:t>[21</w:t>
      </w:r>
      <w:r w:rsidR="0031722F" w:rsidRPr="0025254F">
        <w:rPr>
          <w:rFonts w:ascii="Arial" w:eastAsia="Times New Roman" w:hAnsi="Arial" w:cs="Arial"/>
          <w:sz w:val="24"/>
          <w:szCs w:val="24"/>
          <w:lang w:eastAsia="en-GB"/>
        </w:rPr>
        <w:t>]</w:t>
      </w:r>
      <w:r w:rsidR="0031722F" w:rsidRPr="0025254F">
        <w:rPr>
          <w:rFonts w:ascii="Arial" w:eastAsia="Times New Roman" w:hAnsi="Arial" w:cs="Arial"/>
          <w:sz w:val="24"/>
          <w:szCs w:val="24"/>
          <w:lang w:eastAsia="en-GB"/>
        </w:rPr>
        <w:tab/>
      </w:r>
      <w:r w:rsidR="007D32D6" w:rsidRPr="0025254F">
        <w:rPr>
          <w:rFonts w:ascii="Arial" w:eastAsia="Times New Roman" w:hAnsi="Arial" w:cs="Arial"/>
          <w:sz w:val="24"/>
          <w:szCs w:val="24"/>
          <w:lang w:eastAsia="en-GB"/>
        </w:rPr>
        <w:t>The applicant attached</w:t>
      </w:r>
      <w:r w:rsidR="003A4DC5" w:rsidRPr="0025254F">
        <w:rPr>
          <w:rFonts w:ascii="Arial" w:eastAsia="Times New Roman" w:hAnsi="Arial" w:cs="Arial"/>
          <w:sz w:val="24"/>
          <w:szCs w:val="24"/>
          <w:lang w:eastAsia="en-GB"/>
        </w:rPr>
        <w:t>,</w:t>
      </w:r>
      <w:r w:rsidR="007D32D6" w:rsidRPr="0025254F">
        <w:rPr>
          <w:rFonts w:ascii="Arial" w:eastAsia="Times New Roman" w:hAnsi="Arial" w:cs="Arial"/>
          <w:sz w:val="24"/>
          <w:szCs w:val="24"/>
          <w:lang w:eastAsia="en-GB"/>
        </w:rPr>
        <w:t xml:space="preserve"> as annexure ‘K’, the guarantee executed by Mr Palmer on behalf of the respondent on 24 July 2020. It is common cause that it was signed electronically by Mr Palmer. The guarantee did not contain an advanced electronic signature.</w:t>
      </w:r>
    </w:p>
    <w:p w14:paraId="2E10E77E" w14:textId="77777777" w:rsidR="0031722F" w:rsidRPr="0025254F" w:rsidRDefault="0031722F" w:rsidP="006B48B9">
      <w:pPr>
        <w:spacing w:after="0" w:line="360" w:lineRule="auto"/>
        <w:contextualSpacing/>
        <w:jc w:val="both"/>
        <w:rPr>
          <w:rFonts w:ascii="Arial" w:eastAsia="Calibri" w:hAnsi="Arial" w:cs="Arial"/>
          <w:sz w:val="24"/>
          <w:szCs w:val="24"/>
        </w:rPr>
      </w:pPr>
    </w:p>
    <w:p w14:paraId="598D9933" w14:textId="3C893AE3" w:rsidR="0031722F" w:rsidRPr="0025254F" w:rsidRDefault="00737BF6"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[22</w:t>
      </w:r>
      <w:r w:rsidR="0031722F" w:rsidRPr="0025254F">
        <w:rPr>
          <w:rFonts w:ascii="Arial" w:eastAsia="Calibri" w:hAnsi="Arial" w:cs="Arial"/>
          <w:sz w:val="24"/>
          <w:szCs w:val="24"/>
        </w:rPr>
        <w:t>]</w:t>
      </w:r>
      <w:r w:rsidR="0031722F" w:rsidRPr="0025254F">
        <w:rPr>
          <w:rFonts w:ascii="Arial" w:eastAsia="Calibri" w:hAnsi="Arial" w:cs="Arial"/>
          <w:sz w:val="24"/>
          <w:szCs w:val="24"/>
        </w:rPr>
        <w:tab/>
      </w:r>
      <w:r w:rsidR="007D32D6" w:rsidRPr="0025254F">
        <w:rPr>
          <w:rFonts w:ascii="Arial" w:eastAsia="Calibri" w:hAnsi="Arial" w:cs="Arial"/>
          <w:sz w:val="24"/>
          <w:szCs w:val="24"/>
        </w:rPr>
        <w:t xml:space="preserve">The applicant contends that annexure ‘K’ is a guarantee and that </w:t>
      </w:r>
      <w:r w:rsidR="00204E5E" w:rsidRPr="0025254F">
        <w:rPr>
          <w:rFonts w:ascii="Arial" w:eastAsia="Calibri" w:hAnsi="Arial" w:cs="Arial"/>
          <w:sz w:val="24"/>
          <w:szCs w:val="24"/>
        </w:rPr>
        <w:t>it is accordingly</w:t>
      </w:r>
      <w:r w:rsidR="00526D3C" w:rsidRPr="0025254F">
        <w:rPr>
          <w:rFonts w:ascii="Arial" w:eastAsia="Calibri" w:hAnsi="Arial" w:cs="Arial"/>
          <w:sz w:val="24"/>
          <w:szCs w:val="24"/>
        </w:rPr>
        <w:t xml:space="preserve"> </w:t>
      </w:r>
      <w:r w:rsidR="007D32D6" w:rsidRPr="0025254F">
        <w:rPr>
          <w:rFonts w:ascii="Arial" w:eastAsia="Calibri" w:hAnsi="Arial" w:cs="Arial"/>
          <w:sz w:val="24"/>
          <w:szCs w:val="24"/>
        </w:rPr>
        <w:t xml:space="preserve">not necessary that there should be compliance with sections 1 and 13(1) of the Electronic </w:t>
      </w:r>
      <w:r w:rsidR="00A20F70" w:rsidRPr="0025254F">
        <w:rPr>
          <w:rFonts w:ascii="Arial" w:eastAsia="Calibri" w:hAnsi="Arial" w:cs="Arial"/>
          <w:sz w:val="24"/>
          <w:szCs w:val="24"/>
        </w:rPr>
        <w:t xml:space="preserve">Communications and Transactions Act 25 of 2002 (the ECTA). Section 13 </w:t>
      </w:r>
      <w:r w:rsidR="00204E5E" w:rsidRPr="0025254F">
        <w:rPr>
          <w:rFonts w:ascii="Arial" w:eastAsia="Calibri" w:hAnsi="Arial" w:cs="Arial"/>
          <w:sz w:val="24"/>
          <w:szCs w:val="24"/>
        </w:rPr>
        <w:t xml:space="preserve">of the ECTA </w:t>
      </w:r>
      <w:r w:rsidR="00A20F70" w:rsidRPr="0025254F">
        <w:rPr>
          <w:rFonts w:ascii="Arial" w:eastAsia="Calibri" w:hAnsi="Arial" w:cs="Arial"/>
          <w:sz w:val="24"/>
          <w:szCs w:val="24"/>
        </w:rPr>
        <w:t>makes provision for two types of electronic signatures</w:t>
      </w:r>
      <w:r w:rsidR="00204E5E" w:rsidRPr="0025254F">
        <w:rPr>
          <w:rFonts w:ascii="Arial" w:eastAsia="Calibri" w:hAnsi="Arial" w:cs="Arial"/>
          <w:sz w:val="24"/>
          <w:szCs w:val="24"/>
        </w:rPr>
        <w:t>,</w:t>
      </w:r>
      <w:r w:rsidR="00A20F70" w:rsidRPr="0025254F">
        <w:rPr>
          <w:rFonts w:ascii="Arial" w:eastAsia="Calibri" w:hAnsi="Arial" w:cs="Arial"/>
          <w:sz w:val="24"/>
          <w:szCs w:val="24"/>
        </w:rPr>
        <w:t xml:space="preserve"> namely an advanced electronic signature and an electronic signature. An advanced electronic signature is required where </w:t>
      </w:r>
      <w:r w:rsidR="002D63D6">
        <w:rPr>
          <w:rFonts w:ascii="Arial" w:eastAsia="Calibri" w:hAnsi="Arial" w:cs="Arial"/>
          <w:sz w:val="24"/>
          <w:szCs w:val="24"/>
        </w:rPr>
        <w:t>a</w:t>
      </w:r>
      <w:r w:rsidR="002D63D6" w:rsidRPr="0025254F">
        <w:rPr>
          <w:rFonts w:ascii="Arial" w:eastAsia="Calibri" w:hAnsi="Arial" w:cs="Arial"/>
          <w:sz w:val="24"/>
          <w:szCs w:val="24"/>
        </w:rPr>
        <w:t xml:space="preserve"> </w:t>
      </w:r>
      <w:r w:rsidR="00A20F70" w:rsidRPr="0025254F">
        <w:rPr>
          <w:rFonts w:ascii="Arial" w:eastAsia="Calibri" w:hAnsi="Arial" w:cs="Arial"/>
          <w:sz w:val="24"/>
          <w:szCs w:val="24"/>
        </w:rPr>
        <w:t>signature is required by law. Section 13(1) reads as follows:</w:t>
      </w:r>
    </w:p>
    <w:p w14:paraId="726E3229" w14:textId="51A29170" w:rsidR="00A20F70" w:rsidRPr="0025254F" w:rsidRDefault="00204E5E"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w:t>
      </w:r>
      <w:r w:rsidR="00A20F70" w:rsidRPr="0025254F">
        <w:rPr>
          <w:rFonts w:ascii="Arial" w:eastAsia="Calibri" w:hAnsi="Arial" w:cs="Arial"/>
        </w:rPr>
        <w:t>Where the signature of a person is required by law and such law does not specify the type of signature, that requirement in relation to a data message is met only if an advance</w:t>
      </w:r>
      <w:r w:rsidRPr="0025254F">
        <w:rPr>
          <w:rFonts w:ascii="Arial" w:eastAsia="Calibri" w:hAnsi="Arial" w:cs="Arial"/>
        </w:rPr>
        <w:t>d electronic signature is used.’</w:t>
      </w:r>
    </w:p>
    <w:p w14:paraId="72ABE8E5" w14:textId="77777777" w:rsidR="0031722F" w:rsidRPr="0025254F" w:rsidRDefault="0031722F" w:rsidP="006B48B9">
      <w:pPr>
        <w:spacing w:after="0" w:line="360" w:lineRule="auto"/>
        <w:contextualSpacing/>
        <w:jc w:val="both"/>
        <w:rPr>
          <w:rFonts w:ascii="Arial" w:eastAsia="Calibri" w:hAnsi="Arial" w:cs="Arial"/>
          <w:sz w:val="24"/>
          <w:szCs w:val="24"/>
        </w:rPr>
      </w:pPr>
    </w:p>
    <w:p w14:paraId="0C5CEBD3" w14:textId="47D3CDF9" w:rsidR="0031722F" w:rsidRPr="0025254F" w:rsidRDefault="00737BF6" w:rsidP="006B48B9">
      <w:pPr>
        <w:spacing w:after="0" w:line="360" w:lineRule="auto"/>
        <w:contextualSpacing/>
        <w:jc w:val="both"/>
        <w:rPr>
          <w:rFonts w:ascii="Arial" w:eastAsia="Calibri" w:hAnsi="Arial" w:cs="Arial"/>
        </w:rPr>
      </w:pPr>
      <w:r w:rsidRPr="0025254F">
        <w:rPr>
          <w:rFonts w:ascii="Arial" w:eastAsia="Calibri" w:hAnsi="Arial" w:cs="Arial"/>
          <w:sz w:val="24"/>
          <w:szCs w:val="24"/>
        </w:rPr>
        <w:t>[23</w:t>
      </w:r>
      <w:r w:rsidR="0031722F" w:rsidRPr="0025254F">
        <w:rPr>
          <w:rFonts w:ascii="Arial" w:eastAsia="Calibri" w:hAnsi="Arial" w:cs="Arial"/>
          <w:sz w:val="24"/>
          <w:szCs w:val="24"/>
        </w:rPr>
        <w:t>]</w:t>
      </w:r>
      <w:r w:rsidR="0031722F" w:rsidRPr="0025254F">
        <w:rPr>
          <w:rFonts w:ascii="Arial" w:eastAsia="Calibri" w:hAnsi="Arial" w:cs="Arial"/>
          <w:i/>
          <w:sz w:val="24"/>
          <w:szCs w:val="24"/>
        </w:rPr>
        <w:tab/>
      </w:r>
      <w:r w:rsidR="00A20F70" w:rsidRPr="0025254F">
        <w:rPr>
          <w:rFonts w:ascii="Arial" w:eastAsia="Calibri" w:hAnsi="Arial" w:cs="Arial"/>
          <w:sz w:val="24"/>
          <w:szCs w:val="24"/>
        </w:rPr>
        <w:t xml:space="preserve">The respondent contends that the security upon which the applicant relies is not a guarantee but a suretyship. </w:t>
      </w:r>
      <w:r w:rsidR="00342AE0" w:rsidRPr="0025254F">
        <w:rPr>
          <w:rFonts w:ascii="Arial" w:eastAsia="Calibri" w:hAnsi="Arial" w:cs="Arial"/>
          <w:sz w:val="24"/>
          <w:szCs w:val="24"/>
        </w:rPr>
        <w:t>Section 6 of t</w:t>
      </w:r>
      <w:r w:rsidR="00204E5E" w:rsidRPr="0025254F">
        <w:rPr>
          <w:rFonts w:ascii="Arial" w:eastAsia="Calibri" w:hAnsi="Arial" w:cs="Arial"/>
          <w:sz w:val="24"/>
          <w:szCs w:val="24"/>
        </w:rPr>
        <w:t>he General Law Amendment A</w:t>
      </w:r>
      <w:r w:rsidR="00A20F70" w:rsidRPr="0025254F">
        <w:rPr>
          <w:rFonts w:ascii="Arial" w:eastAsia="Calibri" w:hAnsi="Arial" w:cs="Arial"/>
          <w:sz w:val="24"/>
          <w:szCs w:val="24"/>
        </w:rPr>
        <w:t xml:space="preserve">ct 50 of 1956 sets out the formalities in respect of contracts of suretyship. It requires </w:t>
      </w:r>
      <w:r w:rsidR="00A20F70" w:rsidRPr="0025254F">
        <w:rPr>
          <w:rFonts w:ascii="Arial" w:eastAsia="Calibri" w:hAnsi="Arial" w:cs="Arial"/>
          <w:i/>
          <w:sz w:val="24"/>
          <w:szCs w:val="24"/>
        </w:rPr>
        <w:t>inter alia</w:t>
      </w:r>
      <w:r w:rsidR="00A20F70" w:rsidRPr="0025254F">
        <w:rPr>
          <w:rFonts w:ascii="Arial" w:eastAsia="Calibri" w:hAnsi="Arial" w:cs="Arial"/>
          <w:sz w:val="24"/>
          <w:szCs w:val="24"/>
        </w:rPr>
        <w:t xml:space="preserve"> that the written document which contains the terms of the contract, </w:t>
      </w:r>
      <w:r w:rsidR="002D63D6">
        <w:rPr>
          <w:rFonts w:ascii="Arial" w:eastAsia="Calibri" w:hAnsi="Arial" w:cs="Arial"/>
          <w:sz w:val="24"/>
          <w:szCs w:val="24"/>
        </w:rPr>
        <w:t>must</w:t>
      </w:r>
      <w:r w:rsidR="002D63D6" w:rsidRPr="0025254F">
        <w:rPr>
          <w:rFonts w:ascii="Arial" w:eastAsia="Calibri" w:hAnsi="Arial" w:cs="Arial"/>
          <w:sz w:val="24"/>
          <w:szCs w:val="24"/>
        </w:rPr>
        <w:t xml:space="preserve"> </w:t>
      </w:r>
      <w:r w:rsidR="00A20F70" w:rsidRPr="0025254F">
        <w:rPr>
          <w:rFonts w:ascii="Arial" w:eastAsia="Calibri" w:hAnsi="Arial" w:cs="Arial"/>
          <w:sz w:val="24"/>
          <w:szCs w:val="24"/>
        </w:rPr>
        <w:t xml:space="preserve">be signed </w:t>
      </w:r>
      <w:r w:rsidR="001A4587" w:rsidRPr="0025254F">
        <w:rPr>
          <w:rFonts w:ascii="Arial" w:eastAsia="Calibri" w:hAnsi="Arial" w:cs="Arial"/>
          <w:sz w:val="24"/>
          <w:szCs w:val="24"/>
        </w:rPr>
        <w:t>b</w:t>
      </w:r>
      <w:r w:rsidR="00A20F70" w:rsidRPr="0025254F">
        <w:rPr>
          <w:rFonts w:ascii="Arial" w:eastAsia="Calibri" w:hAnsi="Arial" w:cs="Arial"/>
          <w:sz w:val="24"/>
          <w:szCs w:val="24"/>
        </w:rPr>
        <w:t>y or on behalf of the surety. The security signed by Mr</w:t>
      </w:r>
      <w:r w:rsidR="001A4587" w:rsidRPr="0025254F">
        <w:rPr>
          <w:rFonts w:ascii="Arial" w:eastAsia="Calibri" w:hAnsi="Arial" w:cs="Arial"/>
          <w:sz w:val="24"/>
          <w:szCs w:val="24"/>
        </w:rPr>
        <w:t xml:space="preserve"> </w:t>
      </w:r>
      <w:r w:rsidR="00A20F70" w:rsidRPr="0025254F">
        <w:rPr>
          <w:rFonts w:ascii="Arial" w:eastAsia="Calibri" w:hAnsi="Arial" w:cs="Arial"/>
          <w:sz w:val="24"/>
          <w:szCs w:val="24"/>
        </w:rPr>
        <w:t>Palmer was only signed electronically and not by way of an ad</w:t>
      </w:r>
      <w:r w:rsidR="001A4587" w:rsidRPr="0025254F">
        <w:rPr>
          <w:rFonts w:ascii="Arial" w:eastAsia="Calibri" w:hAnsi="Arial" w:cs="Arial"/>
          <w:sz w:val="24"/>
          <w:szCs w:val="24"/>
        </w:rPr>
        <w:t>v</w:t>
      </w:r>
      <w:r w:rsidR="00A20F70" w:rsidRPr="0025254F">
        <w:rPr>
          <w:rFonts w:ascii="Arial" w:eastAsia="Calibri" w:hAnsi="Arial" w:cs="Arial"/>
          <w:sz w:val="24"/>
          <w:szCs w:val="24"/>
        </w:rPr>
        <w:t xml:space="preserve">anced electronic signature. If it is found that the security provided </w:t>
      </w:r>
      <w:r w:rsidR="001A4587" w:rsidRPr="0025254F">
        <w:rPr>
          <w:rFonts w:ascii="Arial" w:eastAsia="Calibri" w:hAnsi="Arial" w:cs="Arial"/>
          <w:sz w:val="24"/>
          <w:szCs w:val="24"/>
        </w:rPr>
        <w:t>by the respondent was a suretyship, then it is not binding as it does not contain an advanced electronic signature but only the electronic signature of Mr Palmer.</w:t>
      </w:r>
    </w:p>
    <w:p w14:paraId="63CFB240" w14:textId="77777777" w:rsidR="0031722F" w:rsidRPr="0025254F" w:rsidRDefault="0031722F" w:rsidP="006B48B9">
      <w:pPr>
        <w:spacing w:after="0" w:line="360" w:lineRule="auto"/>
        <w:contextualSpacing/>
        <w:jc w:val="both"/>
        <w:rPr>
          <w:rFonts w:ascii="Arial" w:eastAsia="Calibri" w:hAnsi="Arial" w:cs="Arial"/>
          <w:sz w:val="24"/>
          <w:szCs w:val="24"/>
        </w:rPr>
      </w:pPr>
    </w:p>
    <w:p w14:paraId="4E231827" w14:textId="22BA08BC" w:rsidR="0031722F" w:rsidRPr="0025254F" w:rsidRDefault="00737BF6"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[24</w:t>
      </w:r>
      <w:r w:rsidR="0031722F" w:rsidRPr="0025254F">
        <w:rPr>
          <w:rFonts w:ascii="Arial" w:eastAsia="Calibri" w:hAnsi="Arial" w:cs="Arial"/>
          <w:sz w:val="24"/>
          <w:szCs w:val="24"/>
        </w:rPr>
        <w:t>]</w:t>
      </w:r>
      <w:r w:rsidR="0031722F" w:rsidRPr="0025254F">
        <w:rPr>
          <w:rFonts w:ascii="Arial" w:eastAsia="Calibri" w:hAnsi="Arial" w:cs="Arial"/>
          <w:sz w:val="24"/>
          <w:szCs w:val="24"/>
        </w:rPr>
        <w:tab/>
      </w:r>
      <w:r w:rsidR="00517159">
        <w:rPr>
          <w:rFonts w:ascii="Arial" w:eastAsia="Calibri" w:hAnsi="Arial" w:cs="Arial"/>
          <w:sz w:val="24"/>
          <w:szCs w:val="24"/>
        </w:rPr>
        <w:t>A</w:t>
      </w:r>
      <w:r w:rsidR="001A4587" w:rsidRPr="0025254F">
        <w:rPr>
          <w:rFonts w:ascii="Arial" w:eastAsia="Calibri" w:hAnsi="Arial" w:cs="Arial"/>
          <w:sz w:val="24"/>
          <w:szCs w:val="24"/>
        </w:rPr>
        <w:t>nnexure ‘K’ deserves closer scrutiny. The docu</w:t>
      </w:r>
      <w:r w:rsidR="00204E5E" w:rsidRPr="0025254F">
        <w:rPr>
          <w:rFonts w:ascii="Arial" w:eastAsia="Calibri" w:hAnsi="Arial" w:cs="Arial"/>
          <w:sz w:val="24"/>
          <w:szCs w:val="24"/>
        </w:rPr>
        <w:t>ment is titled ‘Guarantee’. Clause 1 bears the heading ‘</w:t>
      </w:r>
      <w:r w:rsidR="001A4587" w:rsidRPr="0025254F">
        <w:rPr>
          <w:rFonts w:ascii="Arial" w:eastAsia="Calibri" w:hAnsi="Arial" w:cs="Arial"/>
          <w:sz w:val="24"/>
          <w:szCs w:val="24"/>
        </w:rPr>
        <w:t>Liability a</w:t>
      </w:r>
      <w:r w:rsidR="00204E5E" w:rsidRPr="0025254F">
        <w:rPr>
          <w:rFonts w:ascii="Arial" w:eastAsia="Calibri" w:hAnsi="Arial" w:cs="Arial"/>
          <w:sz w:val="24"/>
          <w:szCs w:val="24"/>
        </w:rPr>
        <w:t>nd Obligations of the Guarantor’</w:t>
      </w:r>
      <w:r w:rsidR="001A4587" w:rsidRPr="0025254F">
        <w:rPr>
          <w:rFonts w:ascii="Arial" w:eastAsia="Calibri" w:hAnsi="Arial" w:cs="Arial"/>
          <w:sz w:val="24"/>
          <w:szCs w:val="24"/>
        </w:rPr>
        <w:t>. Clause</w:t>
      </w:r>
      <w:r w:rsidR="00E36D35">
        <w:rPr>
          <w:rFonts w:ascii="Arial" w:eastAsia="Calibri" w:hAnsi="Arial" w:cs="Arial"/>
          <w:sz w:val="24"/>
          <w:szCs w:val="24"/>
        </w:rPr>
        <w:t> </w:t>
      </w:r>
      <w:r w:rsidR="001A4587" w:rsidRPr="0025254F">
        <w:rPr>
          <w:rFonts w:ascii="Arial" w:eastAsia="Calibri" w:hAnsi="Arial" w:cs="Arial"/>
          <w:sz w:val="24"/>
          <w:szCs w:val="24"/>
        </w:rPr>
        <w:t>1.1 reads as follows:</w:t>
      </w:r>
    </w:p>
    <w:p w14:paraId="6B352B11" w14:textId="05AE2716" w:rsidR="00874DE1" w:rsidRPr="0025254F" w:rsidRDefault="00874DE1" w:rsidP="00342AE0">
      <w:pPr>
        <w:spacing w:after="0" w:line="360" w:lineRule="auto"/>
        <w:contextualSpacing/>
        <w:jc w:val="both"/>
        <w:rPr>
          <w:rFonts w:ascii="Arial" w:eastAsia="Calibri" w:hAnsi="Arial" w:cs="Arial"/>
        </w:rPr>
      </w:pPr>
      <w:r w:rsidRPr="0025254F">
        <w:rPr>
          <w:rFonts w:ascii="Arial" w:eastAsia="Calibri" w:hAnsi="Arial" w:cs="Arial"/>
        </w:rPr>
        <w:lastRenderedPageBreak/>
        <w:t>‘</w:t>
      </w:r>
      <w:r w:rsidR="001A4587" w:rsidRPr="0025254F">
        <w:rPr>
          <w:rFonts w:ascii="Arial" w:eastAsia="Calibri" w:hAnsi="Arial" w:cs="Arial"/>
        </w:rPr>
        <w:t>1.1</w:t>
      </w:r>
      <w:r w:rsidR="001A4587" w:rsidRPr="0025254F">
        <w:rPr>
          <w:rFonts w:ascii="Arial" w:eastAsia="Calibri" w:hAnsi="Arial" w:cs="Arial"/>
        </w:rPr>
        <w:tab/>
        <w:t>I/We Wardkiss Property Holdings (Proprietary) Limited Reg Number 2015/421528/07 the undersigned (“Guarantor”) hereby unconditionally:</w:t>
      </w:r>
    </w:p>
    <w:p w14:paraId="47467465" w14:textId="61BF17C1" w:rsidR="00D81009" w:rsidRPr="0025254F" w:rsidRDefault="001A4587" w:rsidP="00342AE0">
      <w:pPr>
        <w:pStyle w:val="ListParagraph"/>
        <w:numPr>
          <w:ilvl w:val="2"/>
          <w:numId w:val="19"/>
        </w:numPr>
        <w:spacing w:after="0" w:line="360" w:lineRule="auto"/>
        <w:jc w:val="both"/>
        <w:rPr>
          <w:rFonts w:ascii="Arial" w:eastAsia="Calibri" w:hAnsi="Arial" w:cs="Arial"/>
        </w:rPr>
      </w:pPr>
      <w:r w:rsidRPr="0025254F">
        <w:rPr>
          <w:rFonts w:ascii="Arial" w:eastAsia="Calibri" w:hAnsi="Arial" w:cs="Arial"/>
        </w:rPr>
        <w:t>guarantee and undertake as a princi</w:t>
      </w:r>
      <w:r w:rsidR="00D81009" w:rsidRPr="0025254F">
        <w:rPr>
          <w:rFonts w:ascii="Arial" w:eastAsia="Calibri" w:hAnsi="Arial" w:cs="Arial"/>
        </w:rPr>
        <w:t>pal and independent obligation (</w:t>
      </w:r>
      <w:r w:rsidRPr="0025254F">
        <w:rPr>
          <w:rFonts w:ascii="Arial" w:eastAsia="Calibri" w:hAnsi="Arial" w:cs="Arial"/>
        </w:rPr>
        <w:t>and not merely as ancillary obligation) to and in favour</w:t>
      </w:r>
      <w:r w:rsidR="00D81009" w:rsidRPr="0025254F">
        <w:rPr>
          <w:rFonts w:ascii="Arial" w:eastAsia="Calibri" w:hAnsi="Arial" w:cs="Arial"/>
        </w:rPr>
        <w:t xml:space="preserve"> of the S</w:t>
      </w:r>
      <w:r w:rsidRPr="0025254F">
        <w:rPr>
          <w:rFonts w:ascii="Arial" w:eastAsia="Calibri" w:hAnsi="Arial" w:cs="Arial"/>
        </w:rPr>
        <w:t xml:space="preserve">tandard Bank of South </w:t>
      </w:r>
      <w:r w:rsidR="00411E7A" w:rsidRPr="0025254F">
        <w:rPr>
          <w:rFonts w:ascii="Arial" w:eastAsia="Calibri" w:hAnsi="Arial" w:cs="Arial"/>
        </w:rPr>
        <w:t>Africa Limited (registration number: 1962/000738/06) (the “Bank”) or to anyone who takes transfer of the Bank’s rights under this guarantee (</w:t>
      </w:r>
      <w:r w:rsidR="00342AE0" w:rsidRPr="0025254F">
        <w:rPr>
          <w:rFonts w:ascii="Arial" w:eastAsia="Calibri" w:hAnsi="Arial" w:cs="Arial"/>
        </w:rPr>
        <w:t>“</w:t>
      </w:r>
      <w:r w:rsidR="00411E7A" w:rsidRPr="0025254F">
        <w:rPr>
          <w:rFonts w:ascii="Arial" w:eastAsia="Calibri" w:hAnsi="Arial" w:cs="Arial"/>
        </w:rPr>
        <w:t>Guarantee</w:t>
      </w:r>
      <w:r w:rsidR="00342AE0" w:rsidRPr="0025254F">
        <w:rPr>
          <w:rFonts w:ascii="Arial" w:eastAsia="Calibri" w:hAnsi="Arial" w:cs="Arial"/>
        </w:rPr>
        <w:t>”</w:t>
      </w:r>
      <w:r w:rsidR="00411E7A" w:rsidRPr="0025254F">
        <w:rPr>
          <w:rFonts w:ascii="Arial" w:eastAsia="Calibri" w:hAnsi="Arial" w:cs="Arial"/>
        </w:rPr>
        <w:t>):</w:t>
      </w:r>
    </w:p>
    <w:p w14:paraId="63ADB956" w14:textId="7BC9A25D" w:rsidR="00411E7A" w:rsidRPr="0025254F" w:rsidRDefault="00D81009" w:rsidP="00342AE0">
      <w:pPr>
        <w:pStyle w:val="ListParagraph"/>
        <w:numPr>
          <w:ilvl w:val="3"/>
          <w:numId w:val="19"/>
        </w:numPr>
        <w:spacing w:after="0" w:line="360" w:lineRule="auto"/>
        <w:ind w:left="1429"/>
        <w:jc w:val="both"/>
        <w:rPr>
          <w:rFonts w:ascii="Arial" w:eastAsia="Calibri" w:hAnsi="Arial" w:cs="Arial"/>
        </w:rPr>
      </w:pPr>
      <w:r w:rsidRPr="0025254F">
        <w:rPr>
          <w:rFonts w:ascii="Arial" w:eastAsia="Calibri" w:hAnsi="Arial" w:cs="Arial"/>
        </w:rPr>
        <w:t xml:space="preserve"> </w:t>
      </w:r>
      <w:r w:rsidR="00874DE1" w:rsidRPr="0025254F">
        <w:rPr>
          <w:rFonts w:ascii="Arial" w:eastAsia="Calibri" w:hAnsi="Arial" w:cs="Arial"/>
        </w:rPr>
        <w:t xml:space="preserve">the due, </w:t>
      </w:r>
      <w:r w:rsidR="00411E7A" w:rsidRPr="0025254F">
        <w:rPr>
          <w:rFonts w:ascii="Arial" w:eastAsia="Calibri" w:hAnsi="Arial" w:cs="Arial"/>
        </w:rPr>
        <w:t xml:space="preserve">punctual and full payment of all the debts which Wardkiss (Proprietary) Limited Reg Number 1999/007635/07 (the </w:t>
      </w:r>
      <w:r w:rsidRPr="0025254F">
        <w:rPr>
          <w:rFonts w:ascii="Arial" w:eastAsia="Calibri" w:hAnsi="Arial" w:cs="Arial"/>
        </w:rPr>
        <w:t>“</w:t>
      </w:r>
      <w:r w:rsidR="00411E7A" w:rsidRPr="0025254F">
        <w:rPr>
          <w:rFonts w:ascii="Arial" w:eastAsia="Calibri" w:hAnsi="Arial" w:cs="Arial"/>
        </w:rPr>
        <w:t xml:space="preserve">Debtor(s)”), now owes or may in the future owe to the Bank in terms of or </w:t>
      </w:r>
      <w:r w:rsidR="00D07FCA" w:rsidRPr="0025254F">
        <w:rPr>
          <w:rFonts w:ascii="Arial" w:eastAsia="Calibri" w:hAnsi="Arial" w:cs="Arial"/>
        </w:rPr>
        <w:t>a</w:t>
      </w:r>
      <w:r w:rsidR="00411E7A" w:rsidRPr="0025254F">
        <w:rPr>
          <w:rFonts w:ascii="Arial" w:eastAsia="Calibri" w:hAnsi="Arial" w:cs="Arial"/>
        </w:rPr>
        <w:t>rising in connection with</w:t>
      </w:r>
      <w:r w:rsidR="00874DE1" w:rsidRPr="0025254F">
        <w:rPr>
          <w:rFonts w:ascii="Arial" w:eastAsia="Calibri" w:hAnsi="Arial" w:cs="Arial"/>
        </w:rPr>
        <w:t xml:space="preserve"> </w:t>
      </w:r>
      <w:r w:rsidR="00411E7A" w:rsidRPr="0025254F">
        <w:rPr>
          <w:rFonts w:ascii="Arial" w:eastAsia="Calibri" w:hAnsi="Arial" w:cs="Arial"/>
        </w:rPr>
        <w:t>agreements concluded or to be concluded between the Debtor(s) and the Bank (</w:t>
      </w:r>
      <w:r w:rsidRPr="0025254F">
        <w:rPr>
          <w:rFonts w:ascii="Arial" w:eastAsia="Calibri" w:hAnsi="Arial" w:cs="Arial"/>
        </w:rPr>
        <w:t>“</w:t>
      </w:r>
      <w:r w:rsidR="00411E7A" w:rsidRPr="0025254F">
        <w:rPr>
          <w:rFonts w:ascii="Arial" w:eastAsia="Calibri" w:hAnsi="Arial" w:cs="Arial"/>
        </w:rPr>
        <w:t xml:space="preserve">Debts”); and to pay the Bank, on first written </w:t>
      </w:r>
      <w:r w:rsidR="00C84417" w:rsidRPr="0025254F">
        <w:rPr>
          <w:rFonts w:ascii="Arial" w:eastAsia="Calibri" w:hAnsi="Arial" w:cs="Arial"/>
        </w:rPr>
        <w:t>demand</w:t>
      </w:r>
      <w:r w:rsidR="00411E7A" w:rsidRPr="0025254F">
        <w:rPr>
          <w:rFonts w:ascii="Arial" w:eastAsia="Calibri" w:hAnsi="Arial" w:cs="Arial"/>
        </w:rPr>
        <w:t xml:space="preserve"> from t</w:t>
      </w:r>
      <w:r w:rsidR="00C84417" w:rsidRPr="0025254F">
        <w:rPr>
          <w:rFonts w:ascii="Arial" w:eastAsia="Calibri" w:hAnsi="Arial" w:cs="Arial"/>
        </w:rPr>
        <w:t>h</w:t>
      </w:r>
      <w:r w:rsidR="00411E7A" w:rsidRPr="0025254F">
        <w:rPr>
          <w:rFonts w:ascii="Arial" w:eastAsia="Calibri" w:hAnsi="Arial" w:cs="Arial"/>
        </w:rPr>
        <w:t xml:space="preserve">e Bank and without delay, any and all amounts which are or may become due and payable in respect of the </w:t>
      </w:r>
      <w:r w:rsidR="00B0468A" w:rsidRPr="0025254F">
        <w:rPr>
          <w:rFonts w:ascii="Arial" w:eastAsia="Calibri" w:hAnsi="Arial" w:cs="Arial"/>
        </w:rPr>
        <w:t>D</w:t>
      </w:r>
      <w:r w:rsidR="00874DE1" w:rsidRPr="0025254F">
        <w:rPr>
          <w:rFonts w:ascii="Arial" w:eastAsia="Calibri" w:hAnsi="Arial" w:cs="Arial"/>
        </w:rPr>
        <w:t>ebts.’</w:t>
      </w:r>
    </w:p>
    <w:p w14:paraId="336266C9" w14:textId="77777777" w:rsidR="0031722F" w:rsidRPr="0025254F" w:rsidRDefault="0031722F" w:rsidP="006B48B9">
      <w:pPr>
        <w:spacing w:after="0" w:line="360" w:lineRule="auto"/>
        <w:contextualSpacing/>
        <w:jc w:val="both"/>
        <w:rPr>
          <w:rFonts w:ascii="Arial" w:eastAsia="Calibri" w:hAnsi="Arial" w:cs="Arial"/>
          <w:sz w:val="24"/>
          <w:szCs w:val="24"/>
        </w:rPr>
      </w:pPr>
    </w:p>
    <w:p w14:paraId="610E05F5" w14:textId="55EDDF99" w:rsidR="0031722F" w:rsidRPr="0025254F" w:rsidRDefault="00737BF6"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[25</w:t>
      </w:r>
      <w:r w:rsidR="0031722F" w:rsidRPr="0025254F">
        <w:rPr>
          <w:rFonts w:ascii="Arial" w:eastAsia="Calibri" w:hAnsi="Arial" w:cs="Arial"/>
          <w:sz w:val="24"/>
          <w:szCs w:val="24"/>
        </w:rPr>
        <w:t>]</w:t>
      </w:r>
      <w:r w:rsidR="0031722F" w:rsidRPr="0025254F">
        <w:rPr>
          <w:rFonts w:ascii="Arial" w:eastAsia="Calibri" w:hAnsi="Arial" w:cs="Arial"/>
          <w:sz w:val="24"/>
          <w:szCs w:val="24"/>
        </w:rPr>
        <w:tab/>
        <w:t xml:space="preserve"> </w:t>
      </w:r>
      <w:r w:rsidR="00874DE1" w:rsidRPr="0025254F">
        <w:rPr>
          <w:rFonts w:ascii="Arial" w:eastAsia="Calibri" w:hAnsi="Arial" w:cs="Arial"/>
          <w:sz w:val="24"/>
          <w:szCs w:val="24"/>
        </w:rPr>
        <w:t>Clause 2 bears the heading ‘Continuing Security</w:t>
      </w:r>
      <w:r w:rsidR="00C12A78" w:rsidRPr="0025254F">
        <w:rPr>
          <w:rFonts w:ascii="Arial" w:eastAsia="Calibri" w:hAnsi="Arial" w:cs="Arial"/>
          <w:sz w:val="24"/>
          <w:szCs w:val="24"/>
        </w:rPr>
        <w:t>’</w:t>
      </w:r>
      <w:r w:rsidR="00874DE1" w:rsidRPr="0025254F">
        <w:rPr>
          <w:rFonts w:ascii="Arial" w:eastAsia="Calibri" w:hAnsi="Arial" w:cs="Arial"/>
          <w:sz w:val="24"/>
          <w:szCs w:val="24"/>
        </w:rPr>
        <w:t>.</w:t>
      </w:r>
      <w:r w:rsidR="00B0468A" w:rsidRPr="0025254F">
        <w:rPr>
          <w:rFonts w:ascii="Arial" w:eastAsia="Calibri" w:hAnsi="Arial" w:cs="Arial"/>
          <w:sz w:val="24"/>
          <w:szCs w:val="24"/>
        </w:rPr>
        <w:t xml:space="preserve"> Clause 2.1 reads as follows:</w:t>
      </w:r>
    </w:p>
    <w:p w14:paraId="2C5482ED" w14:textId="46EAD685" w:rsidR="00874DE1" w:rsidRPr="0025254F" w:rsidRDefault="00874DE1" w:rsidP="006B48B9">
      <w:pPr>
        <w:spacing w:after="0" w:line="360" w:lineRule="auto"/>
        <w:contextualSpacing/>
        <w:jc w:val="both"/>
        <w:rPr>
          <w:rFonts w:ascii="Arial" w:eastAsia="Calibri" w:hAnsi="Arial" w:cs="Arial"/>
        </w:rPr>
      </w:pPr>
      <w:r w:rsidRPr="0025254F">
        <w:rPr>
          <w:rFonts w:ascii="Arial" w:eastAsia="Calibri" w:hAnsi="Arial" w:cs="Arial"/>
        </w:rPr>
        <w:t>‘</w:t>
      </w:r>
      <w:r w:rsidR="00B0468A" w:rsidRPr="0025254F">
        <w:rPr>
          <w:rFonts w:ascii="Arial" w:eastAsia="Calibri" w:hAnsi="Arial" w:cs="Arial"/>
        </w:rPr>
        <w:t>For its duration, this Guarantee is a continuing covering guarantee and shall remain in full force and effect notwithstanding any temporary fluctuation in or extinction of the Debts or any prio</w:t>
      </w:r>
      <w:r w:rsidRPr="0025254F">
        <w:rPr>
          <w:rFonts w:ascii="Arial" w:eastAsia="Calibri" w:hAnsi="Arial" w:cs="Arial"/>
        </w:rPr>
        <w:t>r payment under this Guarantee.’</w:t>
      </w:r>
    </w:p>
    <w:p w14:paraId="48233A17" w14:textId="77777777" w:rsidR="00874DE1" w:rsidRPr="0029652C" w:rsidRDefault="00874DE1" w:rsidP="006B48B9">
      <w:pPr>
        <w:spacing w:after="0" w:line="360" w:lineRule="auto"/>
        <w:contextualSpacing/>
        <w:jc w:val="both"/>
        <w:rPr>
          <w:rFonts w:ascii="Arial" w:eastAsia="Calibri" w:hAnsi="Arial" w:cs="Arial"/>
          <w:sz w:val="24"/>
          <w:szCs w:val="24"/>
        </w:rPr>
      </w:pPr>
    </w:p>
    <w:p w14:paraId="3FBFB041" w14:textId="40351E91" w:rsidR="00B0468A" w:rsidRPr="0029652C" w:rsidRDefault="00874DE1" w:rsidP="006B48B9">
      <w:pPr>
        <w:spacing w:after="0" w:line="360" w:lineRule="auto"/>
        <w:contextualSpacing/>
        <w:jc w:val="both"/>
        <w:rPr>
          <w:rFonts w:ascii="Arial" w:eastAsia="Calibri" w:hAnsi="Arial" w:cs="Arial"/>
          <w:sz w:val="24"/>
          <w:szCs w:val="24"/>
        </w:rPr>
      </w:pPr>
      <w:r w:rsidRPr="0029652C">
        <w:rPr>
          <w:rFonts w:ascii="Arial" w:eastAsia="Calibri" w:hAnsi="Arial" w:cs="Arial"/>
          <w:sz w:val="24"/>
          <w:szCs w:val="24"/>
        </w:rPr>
        <w:t>[26]</w:t>
      </w:r>
      <w:r w:rsidR="0029652C" w:rsidRPr="0029652C">
        <w:rPr>
          <w:rFonts w:ascii="Arial" w:eastAsia="Calibri" w:hAnsi="Arial" w:cs="Arial"/>
          <w:sz w:val="24"/>
          <w:szCs w:val="24"/>
        </w:rPr>
        <w:tab/>
      </w:r>
      <w:r w:rsidR="00B0468A" w:rsidRPr="0029652C">
        <w:rPr>
          <w:rFonts w:ascii="Arial" w:eastAsia="Calibri" w:hAnsi="Arial" w:cs="Arial"/>
          <w:sz w:val="24"/>
          <w:szCs w:val="24"/>
        </w:rPr>
        <w:t>Clause 2.4 is of particular significance</w:t>
      </w:r>
      <w:r w:rsidR="00C12A78" w:rsidRPr="0029652C">
        <w:rPr>
          <w:rFonts w:ascii="Arial" w:eastAsia="Calibri" w:hAnsi="Arial" w:cs="Arial"/>
          <w:sz w:val="24"/>
          <w:szCs w:val="24"/>
        </w:rPr>
        <w:t>, and</w:t>
      </w:r>
      <w:r w:rsidR="00B0468A" w:rsidRPr="0029652C">
        <w:rPr>
          <w:rFonts w:ascii="Arial" w:eastAsia="Calibri" w:hAnsi="Arial" w:cs="Arial"/>
          <w:sz w:val="24"/>
          <w:szCs w:val="24"/>
        </w:rPr>
        <w:t xml:space="preserve"> reads as follows: </w:t>
      </w:r>
    </w:p>
    <w:p w14:paraId="601ED0DC" w14:textId="158DADF1" w:rsidR="00B0468A" w:rsidRPr="0025254F" w:rsidRDefault="00874DE1" w:rsidP="006B48B9">
      <w:pPr>
        <w:spacing w:after="0" w:line="360" w:lineRule="auto"/>
        <w:contextualSpacing/>
        <w:jc w:val="both"/>
        <w:rPr>
          <w:rFonts w:ascii="Arial" w:eastAsia="Calibri" w:hAnsi="Arial" w:cs="Arial"/>
        </w:rPr>
      </w:pPr>
      <w:r w:rsidRPr="0025254F">
        <w:rPr>
          <w:rFonts w:ascii="Arial" w:eastAsia="Calibri" w:hAnsi="Arial" w:cs="Arial"/>
          <w:sz w:val="24"/>
          <w:szCs w:val="24"/>
        </w:rPr>
        <w:t>‘</w:t>
      </w:r>
      <w:r w:rsidR="00B0468A" w:rsidRPr="0025254F">
        <w:rPr>
          <w:rFonts w:ascii="Arial" w:eastAsia="Calibri" w:hAnsi="Arial" w:cs="Arial"/>
        </w:rPr>
        <w:t>Without derogating from clause 2.3, this Guarantee shall be effective regardless of the validit</w:t>
      </w:r>
      <w:r w:rsidRPr="0025254F">
        <w:rPr>
          <w:rFonts w:ascii="Arial" w:eastAsia="Calibri" w:hAnsi="Arial" w:cs="Arial"/>
        </w:rPr>
        <w:t>y or enforceability of the D</w:t>
      </w:r>
      <w:r w:rsidR="00B0468A" w:rsidRPr="0025254F">
        <w:rPr>
          <w:rFonts w:ascii="Arial" w:eastAsia="Calibri" w:hAnsi="Arial" w:cs="Arial"/>
        </w:rPr>
        <w:t>ebts, any related</w:t>
      </w:r>
      <w:r w:rsidRPr="0025254F">
        <w:rPr>
          <w:rFonts w:ascii="Arial" w:eastAsia="Calibri" w:hAnsi="Arial" w:cs="Arial"/>
        </w:rPr>
        <w:t xml:space="preserve"> documentation, and any</w:t>
      </w:r>
      <w:r w:rsidR="00B0468A" w:rsidRPr="0025254F">
        <w:rPr>
          <w:rFonts w:ascii="Arial" w:eastAsia="Calibri" w:hAnsi="Arial" w:cs="Arial"/>
        </w:rPr>
        <w:t xml:space="preserve"> col</w:t>
      </w:r>
      <w:r w:rsidRPr="0025254F">
        <w:rPr>
          <w:rFonts w:ascii="Arial" w:eastAsia="Calibri" w:hAnsi="Arial" w:cs="Arial"/>
        </w:rPr>
        <w:t>lateral security for the debts.’</w:t>
      </w:r>
    </w:p>
    <w:p w14:paraId="72077925" w14:textId="77777777" w:rsidR="0031722F" w:rsidRPr="0025254F" w:rsidRDefault="0031722F" w:rsidP="006B48B9">
      <w:pPr>
        <w:spacing w:after="0" w:line="360" w:lineRule="auto"/>
        <w:contextualSpacing/>
        <w:jc w:val="both"/>
        <w:rPr>
          <w:rFonts w:ascii="Arial" w:eastAsia="Calibri" w:hAnsi="Arial" w:cs="Arial"/>
          <w:sz w:val="24"/>
          <w:szCs w:val="24"/>
        </w:rPr>
      </w:pPr>
    </w:p>
    <w:p w14:paraId="23BF64EC" w14:textId="50E272F2" w:rsidR="0031722F" w:rsidRPr="0025254F" w:rsidRDefault="00874DE1"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[27</w:t>
      </w:r>
      <w:r w:rsidR="0031722F" w:rsidRPr="0025254F">
        <w:rPr>
          <w:rFonts w:ascii="Arial" w:eastAsia="Calibri" w:hAnsi="Arial" w:cs="Arial"/>
          <w:sz w:val="24"/>
          <w:szCs w:val="24"/>
        </w:rPr>
        <w:t>]</w:t>
      </w:r>
      <w:r w:rsidR="0031722F" w:rsidRPr="0025254F">
        <w:rPr>
          <w:rFonts w:ascii="Arial" w:eastAsia="Calibri" w:hAnsi="Arial" w:cs="Arial"/>
          <w:sz w:val="24"/>
          <w:szCs w:val="24"/>
        </w:rPr>
        <w:tab/>
      </w:r>
      <w:r w:rsidRPr="0025254F">
        <w:rPr>
          <w:rFonts w:ascii="Arial" w:eastAsia="Calibri" w:hAnsi="Arial" w:cs="Arial"/>
          <w:sz w:val="24"/>
          <w:szCs w:val="24"/>
        </w:rPr>
        <w:t>Clause 4, with the heading ‘Warranties’</w:t>
      </w:r>
      <w:r w:rsidR="00660898">
        <w:rPr>
          <w:rFonts w:ascii="Arial" w:eastAsia="Calibri" w:hAnsi="Arial" w:cs="Arial"/>
          <w:sz w:val="24"/>
          <w:szCs w:val="24"/>
        </w:rPr>
        <w:t>,</w:t>
      </w:r>
      <w:r w:rsidR="00CA64CE" w:rsidRPr="0025254F">
        <w:rPr>
          <w:rFonts w:ascii="Arial" w:eastAsia="Calibri" w:hAnsi="Arial" w:cs="Arial"/>
          <w:sz w:val="24"/>
          <w:szCs w:val="24"/>
        </w:rPr>
        <w:t xml:space="preserve"> deals</w:t>
      </w:r>
      <w:r w:rsidR="00B0468A" w:rsidRPr="0025254F">
        <w:rPr>
          <w:rFonts w:ascii="Arial" w:eastAsia="Calibri" w:hAnsi="Arial" w:cs="Arial"/>
          <w:sz w:val="24"/>
          <w:szCs w:val="24"/>
        </w:rPr>
        <w:t xml:space="preserve"> with the warranties, representations and undertakings by the Gua</w:t>
      </w:r>
      <w:r w:rsidRPr="0025254F">
        <w:rPr>
          <w:rFonts w:ascii="Arial" w:eastAsia="Calibri" w:hAnsi="Arial" w:cs="Arial"/>
          <w:sz w:val="24"/>
          <w:szCs w:val="24"/>
        </w:rPr>
        <w:t>rantor. In terms of clause 4.1</w:t>
      </w:r>
      <w:r w:rsidR="00EC30C4" w:rsidRPr="0025254F">
        <w:rPr>
          <w:rFonts w:ascii="Arial" w:eastAsia="Calibri" w:hAnsi="Arial" w:cs="Arial"/>
          <w:sz w:val="24"/>
          <w:szCs w:val="24"/>
        </w:rPr>
        <w:t>,</w:t>
      </w:r>
      <w:r w:rsidRPr="0025254F">
        <w:rPr>
          <w:rFonts w:ascii="Arial" w:eastAsia="Calibri" w:hAnsi="Arial" w:cs="Arial"/>
          <w:sz w:val="24"/>
          <w:szCs w:val="24"/>
        </w:rPr>
        <w:t xml:space="preserve"> t</w:t>
      </w:r>
      <w:r w:rsidR="00B0468A" w:rsidRPr="0025254F">
        <w:rPr>
          <w:rFonts w:ascii="Arial" w:eastAsia="Calibri" w:hAnsi="Arial" w:cs="Arial"/>
          <w:sz w:val="24"/>
          <w:szCs w:val="24"/>
        </w:rPr>
        <w:t>he Guarantor warrants, represent</w:t>
      </w:r>
      <w:r w:rsidR="003E4826" w:rsidRPr="0025254F">
        <w:rPr>
          <w:rFonts w:ascii="Arial" w:eastAsia="Calibri" w:hAnsi="Arial" w:cs="Arial"/>
          <w:sz w:val="24"/>
          <w:szCs w:val="24"/>
        </w:rPr>
        <w:t xml:space="preserve">s and undertakes </w:t>
      </w:r>
      <w:r w:rsidR="003E4826" w:rsidRPr="00D6626F">
        <w:rPr>
          <w:rFonts w:ascii="Arial" w:eastAsia="Calibri" w:hAnsi="Arial" w:cs="Arial"/>
          <w:i/>
          <w:sz w:val="24"/>
          <w:szCs w:val="24"/>
        </w:rPr>
        <w:t>inter alia</w:t>
      </w:r>
      <w:r w:rsidR="003E4826" w:rsidRPr="0025254F">
        <w:rPr>
          <w:rFonts w:ascii="Arial" w:eastAsia="Calibri" w:hAnsi="Arial" w:cs="Arial"/>
          <w:sz w:val="24"/>
          <w:szCs w:val="24"/>
        </w:rPr>
        <w:t xml:space="preserve"> in favo</w:t>
      </w:r>
      <w:r w:rsidR="00660898">
        <w:rPr>
          <w:rFonts w:ascii="Arial" w:eastAsia="Calibri" w:hAnsi="Arial" w:cs="Arial"/>
          <w:sz w:val="24"/>
          <w:szCs w:val="24"/>
        </w:rPr>
        <w:t>u</w:t>
      </w:r>
      <w:r w:rsidR="003E4826" w:rsidRPr="0025254F">
        <w:rPr>
          <w:rFonts w:ascii="Arial" w:eastAsia="Calibri" w:hAnsi="Arial" w:cs="Arial"/>
          <w:sz w:val="24"/>
          <w:szCs w:val="24"/>
        </w:rPr>
        <w:t>r of the Ban</w:t>
      </w:r>
      <w:r w:rsidR="00CA64CE" w:rsidRPr="0025254F">
        <w:rPr>
          <w:rFonts w:ascii="Arial" w:eastAsia="Calibri" w:hAnsi="Arial" w:cs="Arial"/>
          <w:sz w:val="24"/>
          <w:szCs w:val="24"/>
        </w:rPr>
        <w:t>k that the obligations expressed to be assumed by the Guarantor under the g</w:t>
      </w:r>
      <w:r w:rsidR="003E4826" w:rsidRPr="0025254F">
        <w:rPr>
          <w:rFonts w:ascii="Arial" w:eastAsia="Calibri" w:hAnsi="Arial" w:cs="Arial"/>
          <w:sz w:val="24"/>
          <w:szCs w:val="24"/>
        </w:rPr>
        <w:t>uarantee are valid and binding on</w:t>
      </w:r>
      <w:r w:rsidR="00CA64CE" w:rsidRPr="0025254F">
        <w:rPr>
          <w:rFonts w:ascii="Arial" w:eastAsia="Calibri" w:hAnsi="Arial" w:cs="Arial"/>
          <w:sz w:val="24"/>
          <w:szCs w:val="24"/>
        </w:rPr>
        <w:t>,</w:t>
      </w:r>
      <w:r w:rsidR="003E4826" w:rsidRPr="0025254F">
        <w:rPr>
          <w:rFonts w:ascii="Arial" w:eastAsia="Calibri" w:hAnsi="Arial" w:cs="Arial"/>
          <w:sz w:val="24"/>
          <w:szCs w:val="24"/>
        </w:rPr>
        <w:t xml:space="preserve"> and enforceable</w:t>
      </w:r>
      <w:r w:rsidR="00D07FCA" w:rsidRPr="0025254F">
        <w:rPr>
          <w:rFonts w:ascii="Arial" w:eastAsia="Calibri" w:hAnsi="Arial" w:cs="Arial"/>
          <w:sz w:val="24"/>
          <w:szCs w:val="24"/>
        </w:rPr>
        <w:t xml:space="preserve">, </w:t>
      </w:r>
      <w:r w:rsidR="00CA64CE" w:rsidRPr="0025254F">
        <w:rPr>
          <w:rFonts w:ascii="Arial" w:eastAsia="Calibri" w:hAnsi="Arial" w:cs="Arial"/>
          <w:sz w:val="24"/>
          <w:szCs w:val="24"/>
        </w:rPr>
        <w:t>against the Guarantor (</w:t>
      </w:r>
      <w:r w:rsidR="003E4826" w:rsidRPr="0025254F">
        <w:rPr>
          <w:rFonts w:ascii="Arial" w:eastAsia="Calibri" w:hAnsi="Arial" w:cs="Arial"/>
          <w:sz w:val="24"/>
          <w:szCs w:val="24"/>
        </w:rPr>
        <w:t>clause</w:t>
      </w:r>
      <w:r w:rsidR="00D07FCA" w:rsidRPr="0025254F">
        <w:rPr>
          <w:rFonts w:ascii="Arial" w:eastAsia="Calibri" w:hAnsi="Arial" w:cs="Arial"/>
          <w:sz w:val="24"/>
          <w:szCs w:val="24"/>
        </w:rPr>
        <w:t xml:space="preserve"> </w:t>
      </w:r>
      <w:r w:rsidR="003E4826" w:rsidRPr="0025254F">
        <w:rPr>
          <w:rFonts w:ascii="Arial" w:eastAsia="Calibri" w:hAnsi="Arial" w:cs="Arial"/>
          <w:sz w:val="24"/>
          <w:szCs w:val="24"/>
        </w:rPr>
        <w:t>4.1.3) and that all the provisions</w:t>
      </w:r>
      <w:r w:rsidR="00CA64CE" w:rsidRPr="0025254F">
        <w:rPr>
          <w:rFonts w:ascii="Arial" w:eastAsia="Calibri" w:hAnsi="Arial" w:cs="Arial"/>
          <w:sz w:val="24"/>
          <w:szCs w:val="24"/>
        </w:rPr>
        <w:t xml:space="preserve"> and restrictions contained in the g</w:t>
      </w:r>
      <w:r w:rsidR="003E4826" w:rsidRPr="0025254F">
        <w:rPr>
          <w:rFonts w:ascii="Arial" w:eastAsia="Calibri" w:hAnsi="Arial" w:cs="Arial"/>
          <w:sz w:val="24"/>
          <w:szCs w:val="24"/>
        </w:rPr>
        <w:t xml:space="preserve">uarantee are fair and reasonable in the circumstances and part of the overall intention of the </w:t>
      </w:r>
      <w:r w:rsidR="00CA64CE" w:rsidRPr="0025254F">
        <w:rPr>
          <w:rFonts w:ascii="Arial" w:eastAsia="Calibri" w:hAnsi="Arial" w:cs="Arial"/>
          <w:sz w:val="24"/>
          <w:szCs w:val="24"/>
        </w:rPr>
        <w:t>parties in connection with the g</w:t>
      </w:r>
      <w:r w:rsidR="003E4826" w:rsidRPr="0025254F">
        <w:rPr>
          <w:rFonts w:ascii="Arial" w:eastAsia="Calibri" w:hAnsi="Arial" w:cs="Arial"/>
          <w:sz w:val="24"/>
          <w:szCs w:val="24"/>
        </w:rPr>
        <w:t>uarantee (clause 4.1.4). It was further recorded in clauses 4.1.4.1</w:t>
      </w:r>
      <w:r w:rsidR="00E85453" w:rsidRPr="0025254F">
        <w:rPr>
          <w:rFonts w:ascii="Arial" w:eastAsia="Calibri" w:hAnsi="Arial" w:cs="Arial"/>
          <w:sz w:val="24"/>
          <w:szCs w:val="24"/>
        </w:rPr>
        <w:t xml:space="preserve"> </w:t>
      </w:r>
      <w:r w:rsidR="001C5ED0" w:rsidRPr="0025254F">
        <w:rPr>
          <w:rFonts w:ascii="Arial" w:eastAsia="Calibri" w:hAnsi="Arial" w:cs="Arial"/>
          <w:sz w:val="24"/>
          <w:szCs w:val="24"/>
        </w:rPr>
        <w:t xml:space="preserve">and 4.1.4.2 that the </w:t>
      </w:r>
      <w:r w:rsidR="00EC30C4" w:rsidRPr="0025254F">
        <w:rPr>
          <w:rFonts w:ascii="Arial" w:eastAsia="Calibri" w:hAnsi="Arial" w:cs="Arial"/>
          <w:sz w:val="24"/>
          <w:szCs w:val="24"/>
        </w:rPr>
        <w:t xml:space="preserve">Guarantor </w:t>
      </w:r>
      <w:r w:rsidR="003E4826" w:rsidRPr="0025254F">
        <w:rPr>
          <w:rFonts w:ascii="Arial" w:eastAsia="Calibri" w:hAnsi="Arial" w:cs="Arial"/>
          <w:sz w:val="24"/>
          <w:szCs w:val="24"/>
        </w:rPr>
        <w:t xml:space="preserve">understands and appreciates the risks, costs and obligations and </w:t>
      </w:r>
      <w:r w:rsidR="003E4826" w:rsidRPr="0025254F">
        <w:rPr>
          <w:rFonts w:ascii="Arial" w:eastAsia="Calibri" w:hAnsi="Arial" w:cs="Arial"/>
          <w:sz w:val="24"/>
          <w:szCs w:val="24"/>
        </w:rPr>
        <w:lastRenderedPageBreak/>
        <w:t>was given the oppo</w:t>
      </w:r>
      <w:r w:rsidR="00CA64CE" w:rsidRPr="0025254F">
        <w:rPr>
          <w:rFonts w:ascii="Arial" w:eastAsia="Calibri" w:hAnsi="Arial" w:cs="Arial"/>
          <w:sz w:val="24"/>
          <w:szCs w:val="24"/>
        </w:rPr>
        <w:t>rtunity to read and understand the g</w:t>
      </w:r>
      <w:r w:rsidR="003E4826" w:rsidRPr="0025254F">
        <w:rPr>
          <w:rFonts w:ascii="Arial" w:eastAsia="Calibri" w:hAnsi="Arial" w:cs="Arial"/>
          <w:sz w:val="24"/>
          <w:szCs w:val="24"/>
        </w:rPr>
        <w:t>uarantee and is aware of all the terms printed in bold.</w:t>
      </w:r>
    </w:p>
    <w:p w14:paraId="008F7B8B" w14:textId="77777777" w:rsidR="0031722F" w:rsidRPr="0025254F" w:rsidRDefault="0031722F" w:rsidP="006B48B9">
      <w:pPr>
        <w:spacing w:after="0" w:line="360" w:lineRule="auto"/>
        <w:contextualSpacing/>
        <w:jc w:val="both"/>
        <w:rPr>
          <w:rFonts w:ascii="Arial" w:eastAsia="Calibri" w:hAnsi="Arial" w:cs="Arial"/>
          <w:sz w:val="24"/>
          <w:szCs w:val="24"/>
        </w:rPr>
      </w:pPr>
    </w:p>
    <w:p w14:paraId="59E955C3" w14:textId="06CE6B90" w:rsidR="000B4FE7" w:rsidRPr="0025254F" w:rsidRDefault="00CA64CE"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[28</w:t>
      </w:r>
      <w:r w:rsidR="00D122CA" w:rsidRPr="0025254F">
        <w:rPr>
          <w:rFonts w:ascii="Arial" w:eastAsia="Calibri" w:hAnsi="Arial" w:cs="Arial"/>
          <w:sz w:val="24"/>
          <w:szCs w:val="24"/>
        </w:rPr>
        <w:t>]</w:t>
      </w:r>
      <w:r w:rsidR="00D122CA" w:rsidRPr="0025254F">
        <w:rPr>
          <w:rFonts w:ascii="Arial" w:eastAsia="Calibri" w:hAnsi="Arial" w:cs="Arial"/>
          <w:sz w:val="24"/>
          <w:szCs w:val="24"/>
        </w:rPr>
        <w:tab/>
      </w:r>
      <w:r w:rsidRPr="0025254F">
        <w:rPr>
          <w:rFonts w:ascii="Arial" w:eastAsia="Calibri" w:hAnsi="Arial" w:cs="Arial"/>
          <w:sz w:val="24"/>
          <w:szCs w:val="24"/>
        </w:rPr>
        <w:t>Clause 5 deals</w:t>
      </w:r>
      <w:r w:rsidR="003E4826" w:rsidRPr="0025254F">
        <w:rPr>
          <w:rFonts w:ascii="Arial" w:eastAsia="Calibri" w:hAnsi="Arial" w:cs="Arial"/>
          <w:sz w:val="24"/>
          <w:szCs w:val="24"/>
        </w:rPr>
        <w:t xml:space="preserve"> with the Bank’s rights</w:t>
      </w:r>
      <w:r w:rsidR="00EC30C4" w:rsidRPr="0025254F">
        <w:rPr>
          <w:rFonts w:ascii="Arial" w:eastAsia="Calibri" w:hAnsi="Arial" w:cs="Arial"/>
          <w:sz w:val="24"/>
          <w:szCs w:val="24"/>
        </w:rPr>
        <w:t>, and</w:t>
      </w:r>
      <w:r w:rsidR="003E4826" w:rsidRPr="0025254F">
        <w:rPr>
          <w:rFonts w:ascii="Arial" w:eastAsia="Calibri" w:hAnsi="Arial" w:cs="Arial"/>
          <w:sz w:val="24"/>
          <w:szCs w:val="24"/>
        </w:rPr>
        <w:t xml:space="preserve"> reads as follows:</w:t>
      </w:r>
    </w:p>
    <w:p w14:paraId="7EB2A469" w14:textId="063C45EB" w:rsidR="00E876CA" w:rsidRPr="0025254F" w:rsidRDefault="00CA64CE" w:rsidP="006B48B9">
      <w:pPr>
        <w:spacing w:after="0" w:line="360" w:lineRule="auto"/>
        <w:contextualSpacing/>
        <w:jc w:val="both"/>
        <w:rPr>
          <w:rFonts w:ascii="Arial" w:eastAsia="Calibri" w:hAnsi="Arial" w:cs="Arial"/>
        </w:rPr>
      </w:pPr>
      <w:r w:rsidRPr="0025254F">
        <w:rPr>
          <w:rFonts w:ascii="Arial" w:eastAsia="Calibri" w:hAnsi="Arial" w:cs="Arial"/>
        </w:rPr>
        <w:t>‘</w:t>
      </w:r>
      <w:r w:rsidR="00E876CA" w:rsidRPr="0025254F">
        <w:rPr>
          <w:rFonts w:ascii="Arial" w:eastAsia="Calibri" w:hAnsi="Arial" w:cs="Arial"/>
        </w:rPr>
        <w:t>5.1</w:t>
      </w:r>
      <w:r w:rsidR="00E876CA" w:rsidRPr="0025254F">
        <w:rPr>
          <w:rFonts w:ascii="Arial" w:eastAsia="Calibri" w:hAnsi="Arial" w:cs="Arial"/>
        </w:rPr>
        <w:tab/>
        <w:t>The Bank shall be entitled, at any time, in its sole and absolute discretion, whether before or after the due dates for payment of the Debts, without reference or notification to the guarantors and without affecting its right and the Guarantor</w:t>
      </w:r>
      <w:r w:rsidRPr="0025254F">
        <w:rPr>
          <w:rFonts w:ascii="Arial" w:eastAsia="Calibri" w:hAnsi="Arial" w:cs="Arial"/>
        </w:rPr>
        <w:t>’</w:t>
      </w:r>
      <w:r w:rsidR="00E876CA" w:rsidRPr="0025254F">
        <w:rPr>
          <w:rFonts w:ascii="Arial" w:eastAsia="Calibri" w:hAnsi="Arial" w:cs="Arial"/>
        </w:rPr>
        <w:t>s liabilities hereunder, to:</w:t>
      </w:r>
    </w:p>
    <w:p w14:paraId="36F49AEF" w14:textId="12EEC5A3" w:rsidR="00E876CA" w:rsidRPr="0025254F" w:rsidRDefault="00E876CA" w:rsidP="00EC30C4">
      <w:pPr>
        <w:spacing w:after="0" w:line="360" w:lineRule="auto"/>
        <w:ind w:left="720" w:hanging="720"/>
        <w:contextualSpacing/>
        <w:jc w:val="both"/>
        <w:rPr>
          <w:rFonts w:ascii="Arial" w:eastAsia="Calibri" w:hAnsi="Arial" w:cs="Arial"/>
        </w:rPr>
      </w:pPr>
      <w:r w:rsidRPr="0025254F">
        <w:rPr>
          <w:rFonts w:ascii="Arial" w:eastAsia="Calibri" w:hAnsi="Arial" w:cs="Arial"/>
        </w:rPr>
        <w:t>5.1.1</w:t>
      </w:r>
      <w:r w:rsidRPr="0025254F">
        <w:rPr>
          <w:rFonts w:ascii="Arial" w:eastAsia="Calibri" w:hAnsi="Arial" w:cs="Arial"/>
        </w:rPr>
        <w:tab/>
        <w:t>release (or omit to perfect) any other securities of whatsoever nature (including, but not limited to guarantees, suretyships and indemnities) held by it (or given to it) in respect of the Debts;</w:t>
      </w:r>
    </w:p>
    <w:p w14:paraId="180E8CA9" w14:textId="2D0CB883" w:rsidR="00E876CA" w:rsidRPr="0025254F" w:rsidRDefault="00CA64CE" w:rsidP="00EC30C4">
      <w:pPr>
        <w:spacing w:after="0" w:line="360" w:lineRule="auto"/>
        <w:ind w:left="720" w:hanging="720"/>
        <w:contextualSpacing/>
        <w:jc w:val="both"/>
        <w:rPr>
          <w:rFonts w:ascii="Arial" w:eastAsia="Calibri" w:hAnsi="Arial" w:cs="Arial"/>
        </w:rPr>
      </w:pPr>
      <w:r w:rsidRPr="0025254F">
        <w:rPr>
          <w:rFonts w:ascii="Arial" w:eastAsia="Calibri" w:hAnsi="Arial" w:cs="Arial"/>
        </w:rPr>
        <w:t>5.1.2</w:t>
      </w:r>
      <w:r w:rsidRPr="0025254F">
        <w:rPr>
          <w:rFonts w:ascii="Arial" w:eastAsia="Calibri" w:hAnsi="Arial" w:cs="Arial"/>
        </w:rPr>
        <w:tab/>
        <w:t>grant the d</w:t>
      </w:r>
      <w:r w:rsidR="00E876CA" w:rsidRPr="0025254F">
        <w:rPr>
          <w:rFonts w:ascii="Arial" w:eastAsia="Calibri" w:hAnsi="Arial" w:cs="Arial"/>
        </w:rPr>
        <w:t>ebtor (or any surety, guarantor or indemnifier in terms of an agreement re</w:t>
      </w:r>
      <w:r w:rsidRPr="0025254F">
        <w:rPr>
          <w:rFonts w:ascii="Arial" w:eastAsia="Calibri" w:hAnsi="Arial" w:cs="Arial"/>
        </w:rPr>
        <w:t>ferred to in clause</w:t>
      </w:r>
      <w:r w:rsidR="00E876CA" w:rsidRPr="0025254F">
        <w:rPr>
          <w:rFonts w:ascii="Arial" w:eastAsia="Calibri" w:hAnsi="Arial" w:cs="Arial"/>
        </w:rPr>
        <w:t xml:space="preserve"> 5.1.1) extensions of time for payment; and</w:t>
      </w:r>
    </w:p>
    <w:p w14:paraId="086AD353" w14:textId="45B560F1" w:rsidR="00E876CA" w:rsidRPr="0025254F" w:rsidRDefault="00E876CA" w:rsidP="00EC30C4">
      <w:pPr>
        <w:spacing w:after="0" w:line="360" w:lineRule="auto"/>
        <w:ind w:left="720" w:hanging="720"/>
        <w:contextualSpacing/>
        <w:jc w:val="both"/>
        <w:rPr>
          <w:rFonts w:ascii="Arial" w:eastAsia="Calibri" w:hAnsi="Arial" w:cs="Arial"/>
        </w:rPr>
      </w:pPr>
      <w:r w:rsidRPr="0025254F">
        <w:rPr>
          <w:rFonts w:ascii="Arial" w:eastAsia="Calibri" w:hAnsi="Arial" w:cs="Arial"/>
        </w:rPr>
        <w:t>5.1.3</w:t>
      </w:r>
      <w:r w:rsidRPr="0025254F">
        <w:rPr>
          <w:rFonts w:ascii="Arial" w:eastAsia="Calibri" w:hAnsi="Arial" w:cs="Arial"/>
        </w:rPr>
        <w:tab/>
        <w:t>compound, or to make any other arrangements with the debtor (or any surety, guarantor</w:t>
      </w:r>
      <w:r w:rsidR="00C84417" w:rsidRPr="0025254F">
        <w:rPr>
          <w:rFonts w:ascii="Arial" w:eastAsia="Calibri" w:hAnsi="Arial" w:cs="Arial"/>
        </w:rPr>
        <w:t xml:space="preserve"> or indemnifier in terms of an agreement referred to in clause 5.1.1) for the reduction or discharge of the debtor’s indebtedness.</w:t>
      </w:r>
    </w:p>
    <w:p w14:paraId="5A54E613" w14:textId="6D9BEE7B" w:rsidR="00C84417" w:rsidRPr="0025254F" w:rsidRDefault="00C84417" w:rsidP="006B48B9">
      <w:pPr>
        <w:spacing w:after="0" w:line="360" w:lineRule="auto"/>
        <w:contextualSpacing/>
        <w:jc w:val="both"/>
        <w:rPr>
          <w:rFonts w:ascii="Arial" w:eastAsia="Calibri" w:hAnsi="Arial" w:cs="Arial"/>
        </w:rPr>
      </w:pPr>
      <w:r w:rsidRPr="0025254F">
        <w:rPr>
          <w:rFonts w:ascii="Arial" w:eastAsia="Calibri" w:hAnsi="Arial" w:cs="Arial"/>
        </w:rPr>
        <w:t>5.2</w:t>
      </w:r>
      <w:r w:rsidRPr="0025254F">
        <w:rPr>
          <w:rFonts w:ascii="Arial" w:eastAsia="Calibri" w:hAnsi="Arial" w:cs="Arial"/>
        </w:rPr>
        <w:tab/>
        <w:t>The rights of the Bank under the Guarantee shall in no way be affected or diminished if the Bank at any time obtains additional guarantees, suretyships, securities or indemnities in connection with the Debts or to the extent that the Bank has already obtained any guarantees, suretyships, securities or indemnities in co</w:t>
      </w:r>
      <w:r w:rsidR="00CA64CE" w:rsidRPr="0025254F">
        <w:rPr>
          <w:rFonts w:ascii="Arial" w:eastAsia="Calibri" w:hAnsi="Arial" w:cs="Arial"/>
        </w:rPr>
        <w:t>nnection with any of the Debts.’</w:t>
      </w:r>
      <w:r w:rsidR="00D12F73" w:rsidRPr="0025254F">
        <w:rPr>
          <w:rFonts w:ascii="Arial" w:eastAsia="Calibri" w:hAnsi="Arial" w:cs="Arial"/>
        </w:rPr>
        <w:t xml:space="preserve"> </w:t>
      </w:r>
    </w:p>
    <w:p w14:paraId="73A3CA7C" w14:textId="77777777" w:rsidR="00D12F73" w:rsidRPr="0025254F" w:rsidRDefault="00D12F73" w:rsidP="006B48B9">
      <w:pPr>
        <w:spacing w:after="0" w:line="360" w:lineRule="auto"/>
        <w:contextualSpacing/>
        <w:jc w:val="both"/>
        <w:rPr>
          <w:rFonts w:ascii="Arial" w:eastAsia="Calibri" w:hAnsi="Arial" w:cs="Arial"/>
        </w:rPr>
      </w:pPr>
    </w:p>
    <w:p w14:paraId="1218D335" w14:textId="1D907833" w:rsidR="00D12F73" w:rsidRPr="0025254F" w:rsidRDefault="00D12F73"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[29]</w:t>
      </w:r>
      <w:r w:rsidR="0029652C">
        <w:rPr>
          <w:rFonts w:ascii="Arial" w:eastAsia="Calibri" w:hAnsi="Arial" w:cs="Arial"/>
          <w:sz w:val="24"/>
          <w:szCs w:val="24"/>
        </w:rPr>
        <w:tab/>
      </w:r>
      <w:r w:rsidRPr="0025254F">
        <w:rPr>
          <w:rFonts w:ascii="Arial" w:eastAsia="Calibri" w:hAnsi="Arial" w:cs="Arial"/>
          <w:sz w:val="24"/>
          <w:szCs w:val="24"/>
        </w:rPr>
        <w:t>Clause 6 deals with the renunciation of benefits and the right to deduct any amount. In terms of clause 6.1</w:t>
      </w:r>
      <w:r w:rsidR="00EC30C4" w:rsidRPr="0025254F">
        <w:rPr>
          <w:rFonts w:ascii="Arial" w:eastAsia="Calibri" w:hAnsi="Arial" w:cs="Arial"/>
          <w:sz w:val="24"/>
          <w:szCs w:val="24"/>
        </w:rPr>
        <w:t>,</w:t>
      </w:r>
      <w:r w:rsidRPr="0025254F">
        <w:rPr>
          <w:rFonts w:ascii="Arial" w:eastAsia="Calibri" w:hAnsi="Arial" w:cs="Arial"/>
          <w:sz w:val="24"/>
          <w:szCs w:val="24"/>
        </w:rPr>
        <w:t xml:space="preserve"> the </w:t>
      </w:r>
      <w:r w:rsidR="00EC30C4" w:rsidRPr="0025254F">
        <w:rPr>
          <w:rFonts w:ascii="Arial" w:eastAsia="Calibri" w:hAnsi="Arial" w:cs="Arial"/>
          <w:sz w:val="24"/>
          <w:szCs w:val="24"/>
        </w:rPr>
        <w:t xml:space="preserve">Guarantor </w:t>
      </w:r>
      <w:r w:rsidRPr="0025254F">
        <w:rPr>
          <w:rFonts w:ascii="Arial" w:eastAsia="Calibri" w:hAnsi="Arial" w:cs="Arial"/>
          <w:sz w:val="24"/>
          <w:szCs w:val="24"/>
        </w:rPr>
        <w:t>(without prejudice to or limitation of any other provision of the guarantee) ‘</w:t>
      </w:r>
      <w:r w:rsidR="0082763F" w:rsidRPr="0025254F">
        <w:rPr>
          <w:rFonts w:ascii="Arial" w:eastAsia="Calibri" w:hAnsi="Arial" w:cs="Arial"/>
          <w:sz w:val="24"/>
          <w:szCs w:val="24"/>
        </w:rPr>
        <w:t>and to the extent permissible in law’, renounces the benefits of</w:t>
      </w:r>
      <w:r w:rsidR="00526D3C" w:rsidRPr="0025254F">
        <w:rPr>
          <w:rFonts w:ascii="Arial" w:eastAsia="Calibri" w:hAnsi="Arial" w:cs="Arial"/>
          <w:sz w:val="24"/>
          <w:szCs w:val="24"/>
        </w:rPr>
        <w:t xml:space="preserve"> </w:t>
      </w:r>
      <w:r w:rsidR="0082763F" w:rsidRPr="0025254F">
        <w:rPr>
          <w:rFonts w:ascii="Arial" w:eastAsia="Calibri" w:hAnsi="Arial" w:cs="Arial"/>
          <w:sz w:val="24"/>
          <w:szCs w:val="24"/>
        </w:rPr>
        <w:t>‘all otherwise applicable legal immunities, defences and exceptions to the extent that they will be applicable in the absence of this renunciation, including the defences and exceptions of “cession of actions</w:t>
      </w:r>
      <w:r w:rsidR="00EC30C4" w:rsidRPr="0025254F">
        <w:rPr>
          <w:rFonts w:ascii="Arial" w:eastAsia="Calibri" w:hAnsi="Arial" w:cs="Arial"/>
          <w:sz w:val="24"/>
          <w:szCs w:val="24"/>
        </w:rPr>
        <w:t>”</w:t>
      </w:r>
      <w:r w:rsidR="0082763F" w:rsidRPr="0025254F">
        <w:rPr>
          <w:rFonts w:ascii="Arial" w:eastAsia="Calibri" w:hAnsi="Arial" w:cs="Arial"/>
          <w:sz w:val="24"/>
          <w:szCs w:val="24"/>
        </w:rPr>
        <w:t>, “excussion”, “division”…’</w:t>
      </w:r>
      <w:r w:rsidR="00EC30C4" w:rsidRPr="0025254F">
        <w:rPr>
          <w:rFonts w:ascii="Arial" w:eastAsia="Calibri" w:hAnsi="Arial" w:cs="Arial"/>
          <w:sz w:val="24"/>
          <w:szCs w:val="24"/>
        </w:rPr>
        <w:t>.</w:t>
      </w:r>
    </w:p>
    <w:p w14:paraId="5265B029" w14:textId="77777777" w:rsidR="0082763F" w:rsidRPr="0025254F" w:rsidRDefault="0082763F" w:rsidP="006B48B9">
      <w:pPr>
        <w:spacing w:after="0" w:line="360" w:lineRule="auto"/>
        <w:contextualSpacing/>
        <w:jc w:val="both"/>
        <w:rPr>
          <w:rFonts w:ascii="Arial" w:eastAsia="Calibri" w:hAnsi="Arial" w:cs="Arial"/>
          <w:b/>
          <w:sz w:val="24"/>
          <w:szCs w:val="24"/>
        </w:rPr>
      </w:pPr>
    </w:p>
    <w:p w14:paraId="2223F601" w14:textId="3E3DE9E1" w:rsidR="0082763F" w:rsidRPr="0025254F" w:rsidRDefault="0082763F" w:rsidP="006B48B9">
      <w:pPr>
        <w:spacing w:after="0" w:line="360" w:lineRule="auto"/>
        <w:contextualSpacing/>
        <w:jc w:val="both"/>
        <w:rPr>
          <w:rFonts w:ascii="Arial" w:eastAsia="Calibri" w:hAnsi="Arial" w:cs="Arial"/>
          <w:sz w:val="24"/>
          <w:szCs w:val="24"/>
        </w:rPr>
      </w:pPr>
      <w:r w:rsidRPr="0025254F">
        <w:rPr>
          <w:rFonts w:ascii="Arial" w:eastAsia="Calibri" w:hAnsi="Arial" w:cs="Arial"/>
          <w:b/>
          <w:sz w:val="24"/>
          <w:szCs w:val="24"/>
        </w:rPr>
        <w:t xml:space="preserve">Submissions </w:t>
      </w:r>
    </w:p>
    <w:p w14:paraId="45F36456" w14:textId="2923BD01" w:rsidR="00737BF6" w:rsidRPr="0025254F" w:rsidRDefault="0082763F" w:rsidP="006B48B9">
      <w:pPr>
        <w:spacing w:after="0" w:line="360" w:lineRule="auto"/>
        <w:contextualSpacing/>
        <w:jc w:val="both"/>
        <w:rPr>
          <w:rFonts w:ascii="Arial" w:eastAsia="Calibri" w:hAnsi="Arial" w:cs="Arial"/>
          <w:sz w:val="24"/>
          <w:szCs w:val="24"/>
        </w:rPr>
      </w:pPr>
      <w:r w:rsidRPr="0025254F">
        <w:rPr>
          <w:rFonts w:ascii="Arial" w:eastAsia="Calibri" w:hAnsi="Arial" w:cs="Arial"/>
          <w:sz w:val="24"/>
          <w:szCs w:val="24"/>
        </w:rPr>
        <w:t>[30</w:t>
      </w:r>
      <w:r w:rsidR="00737BF6" w:rsidRPr="0025254F">
        <w:rPr>
          <w:rFonts w:ascii="Arial" w:eastAsia="Calibri" w:hAnsi="Arial" w:cs="Arial"/>
          <w:sz w:val="24"/>
          <w:szCs w:val="24"/>
        </w:rPr>
        <w:t>]</w:t>
      </w:r>
      <w:r w:rsidR="00EB532B" w:rsidRPr="0025254F">
        <w:rPr>
          <w:rFonts w:ascii="Arial" w:eastAsia="Calibri" w:hAnsi="Arial" w:cs="Arial"/>
          <w:sz w:val="24"/>
          <w:szCs w:val="24"/>
        </w:rPr>
        <w:tab/>
      </w:r>
      <w:r w:rsidR="005C5EAA">
        <w:rPr>
          <w:rFonts w:ascii="Arial" w:eastAsia="Calibri" w:hAnsi="Arial" w:cs="Arial"/>
          <w:sz w:val="24"/>
          <w:szCs w:val="24"/>
        </w:rPr>
        <w:t>C</w:t>
      </w:r>
      <w:r w:rsidR="00C84417" w:rsidRPr="0025254F">
        <w:rPr>
          <w:rFonts w:ascii="Arial" w:eastAsia="Calibri" w:hAnsi="Arial" w:cs="Arial"/>
          <w:sz w:val="24"/>
          <w:szCs w:val="24"/>
        </w:rPr>
        <w:t xml:space="preserve">counsel for the applicant as </w:t>
      </w:r>
      <w:r w:rsidR="001C5ED0" w:rsidRPr="0025254F">
        <w:rPr>
          <w:rFonts w:ascii="Arial" w:eastAsia="Calibri" w:hAnsi="Arial" w:cs="Arial"/>
          <w:sz w:val="24"/>
          <w:szCs w:val="24"/>
        </w:rPr>
        <w:t>well as the respondent filed</w:t>
      </w:r>
      <w:r w:rsidR="00526D3C" w:rsidRPr="0025254F">
        <w:rPr>
          <w:rFonts w:ascii="Arial" w:eastAsia="Calibri" w:hAnsi="Arial" w:cs="Arial"/>
          <w:sz w:val="24"/>
          <w:szCs w:val="24"/>
        </w:rPr>
        <w:t xml:space="preserve"> </w:t>
      </w:r>
      <w:r w:rsidR="00C84417" w:rsidRPr="0025254F">
        <w:rPr>
          <w:rFonts w:ascii="Arial" w:eastAsia="Calibri" w:hAnsi="Arial" w:cs="Arial"/>
          <w:sz w:val="24"/>
          <w:szCs w:val="24"/>
        </w:rPr>
        <w:t>helpful heads of argument, for which I express my appreciation. Counsel for the applicant submitted further comprehensive supplementary heads of argument to</w:t>
      </w:r>
      <w:r w:rsidR="00CA64CE" w:rsidRPr="0025254F">
        <w:rPr>
          <w:rFonts w:ascii="Arial" w:eastAsia="Calibri" w:hAnsi="Arial" w:cs="Arial"/>
          <w:sz w:val="24"/>
          <w:szCs w:val="24"/>
        </w:rPr>
        <w:t xml:space="preserve"> deal specifically with the </w:t>
      </w:r>
      <w:r w:rsidR="00C84417" w:rsidRPr="0025254F">
        <w:rPr>
          <w:rFonts w:ascii="Arial" w:eastAsia="Calibri" w:hAnsi="Arial" w:cs="Arial"/>
          <w:sz w:val="24"/>
          <w:szCs w:val="24"/>
        </w:rPr>
        <w:t xml:space="preserve">issue to </w:t>
      </w:r>
      <w:r w:rsidR="00294299" w:rsidRPr="0025254F">
        <w:rPr>
          <w:rFonts w:ascii="Arial" w:eastAsia="Calibri" w:hAnsi="Arial" w:cs="Arial"/>
          <w:sz w:val="24"/>
          <w:szCs w:val="24"/>
        </w:rPr>
        <w:t xml:space="preserve">be </w:t>
      </w:r>
      <w:r w:rsidR="0081455E">
        <w:rPr>
          <w:rFonts w:ascii="Arial" w:eastAsia="Calibri" w:hAnsi="Arial" w:cs="Arial"/>
          <w:sz w:val="24"/>
          <w:szCs w:val="24"/>
        </w:rPr>
        <w:t>determined</w:t>
      </w:r>
      <w:r w:rsidR="00294299" w:rsidRPr="0025254F">
        <w:rPr>
          <w:rFonts w:ascii="Arial" w:eastAsia="Calibri" w:hAnsi="Arial" w:cs="Arial"/>
          <w:sz w:val="24"/>
          <w:szCs w:val="24"/>
        </w:rPr>
        <w:t>, and included references to numerous authorities.</w:t>
      </w:r>
    </w:p>
    <w:p w14:paraId="7E574C05" w14:textId="77777777" w:rsidR="007F1A47" w:rsidRPr="0025254F" w:rsidRDefault="007F1A47" w:rsidP="006B48B9">
      <w:pPr>
        <w:spacing w:after="0" w:line="360" w:lineRule="auto"/>
        <w:contextualSpacing/>
        <w:jc w:val="both"/>
        <w:rPr>
          <w:rFonts w:ascii="Arial" w:eastAsia="Calibri" w:hAnsi="Arial" w:cs="Arial"/>
          <w:szCs w:val="20"/>
        </w:rPr>
      </w:pPr>
    </w:p>
    <w:p w14:paraId="429EC213" w14:textId="1D3B569D" w:rsidR="005533EB" w:rsidRDefault="0082763F" w:rsidP="006B48B9">
      <w:pPr>
        <w:spacing w:after="0" w:line="360" w:lineRule="auto"/>
        <w:contextualSpacing/>
        <w:jc w:val="both"/>
        <w:rPr>
          <w:rFonts w:ascii="Arial" w:eastAsia="Calibri" w:hAnsi="Arial" w:cs="Arial"/>
          <w:sz w:val="24"/>
          <w:szCs w:val="20"/>
        </w:rPr>
      </w:pPr>
      <w:r w:rsidRPr="0029652C">
        <w:rPr>
          <w:rFonts w:ascii="Arial" w:eastAsia="Calibri" w:hAnsi="Arial" w:cs="Arial"/>
          <w:sz w:val="24"/>
          <w:szCs w:val="24"/>
        </w:rPr>
        <w:lastRenderedPageBreak/>
        <w:t>[31</w:t>
      </w:r>
      <w:r w:rsidR="00A258F1" w:rsidRPr="0029652C">
        <w:rPr>
          <w:rFonts w:ascii="Arial" w:eastAsia="Calibri" w:hAnsi="Arial" w:cs="Arial"/>
          <w:sz w:val="24"/>
          <w:szCs w:val="24"/>
        </w:rPr>
        <w:t>]</w:t>
      </w:r>
      <w:r w:rsidR="00EB532B" w:rsidRPr="0029652C">
        <w:rPr>
          <w:rFonts w:ascii="Arial" w:eastAsia="Calibri" w:hAnsi="Arial" w:cs="Arial"/>
          <w:sz w:val="24"/>
          <w:szCs w:val="24"/>
        </w:rPr>
        <w:tab/>
      </w:r>
      <w:r w:rsidR="00294299" w:rsidRPr="0029652C">
        <w:rPr>
          <w:rFonts w:ascii="Arial" w:eastAsia="Calibri" w:hAnsi="Arial" w:cs="Arial"/>
          <w:sz w:val="24"/>
          <w:szCs w:val="24"/>
        </w:rPr>
        <w:t xml:space="preserve">Both </w:t>
      </w:r>
      <w:r w:rsidR="003A32FC">
        <w:rPr>
          <w:rFonts w:ascii="Arial" w:eastAsia="Calibri" w:hAnsi="Arial" w:cs="Arial"/>
          <w:sz w:val="24"/>
          <w:szCs w:val="24"/>
        </w:rPr>
        <w:t>counsel</w:t>
      </w:r>
      <w:r w:rsidR="003A32FC" w:rsidRPr="0029652C">
        <w:rPr>
          <w:rFonts w:ascii="Arial" w:eastAsia="Calibri" w:hAnsi="Arial" w:cs="Arial"/>
          <w:sz w:val="24"/>
          <w:szCs w:val="24"/>
        </w:rPr>
        <w:t xml:space="preserve"> </w:t>
      </w:r>
      <w:r w:rsidR="00E85453" w:rsidRPr="0029652C">
        <w:rPr>
          <w:rFonts w:ascii="Arial" w:eastAsia="Calibri" w:hAnsi="Arial" w:cs="Arial"/>
          <w:sz w:val="24"/>
          <w:szCs w:val="24"/>
        </w:rPr>
        <w:t>referred</w:t>
      </w:r>
      <w:r w:rsidR="00294299" w:rsidRPr="0029652C">
        <w:rPr>
          <w:rFonts w:ascii="Arial" w:eastAsia="Calibri" w:hAnsi="Arial" w:cs="Arial"/>
          <w:sz w:val="24"/>
          <w:szCs w:val="24"/>
        </w:rPr>
        <w:t xml:space="preserve"> me </w:t>
      </w:r>
      <w:r w:rsidR="00CA64CE" w:rsidRPr="0029652C">
        <w:rPr>
          <w:rFonts w:ascii="Arial" w:eastAsia="Calibri" w:hAnsi="Arial" w:cs="Arial"/>
          <w:sz w:val="24"/>
          <w:szCs w:val="24"/>
        </w:rPr>
        <w:t>to</w:t>
      </w:r>
      <w:r w:rsidR="00294299" w:rsidRPr="0029652C">
        <w:rPr>
          <w:rFonts w:ascii="Arial" w:eastAsia="Calibri" w:hAnsi="Arial" w:cs="Arial"/>
          <w:sz w:val="24"/>
          <w:szCs w:val="24"/>
        </w:rPr>
        <w:t xml:space="preserve"> </w:t>
      </w:r>
      <w:r w:rsidR="00CA64CE" w:rsidRPr="0029652C">
        <w:rPr>
          <w:rFonts w:ascii="Arial" w:eastAsia="Calibri" w:hAnsi="Arial" w:cs="Arial"/>
          <w:i/>
          <w:sz w:val="24"/>
          <w:szCs w:val="24"/>
        </w:rPr>
        <w:t>Caney’s</w:t>
      </w:r>
      <w:r w:rsidR="00FD6ACF" w:rsidRPr="0029652C">
        <w:rPr>
          <w:rFonts w:ascii="Arial" w:eastAsia="Calibri" w:hAnsi="Arial" w:cs="Arial"/>
          <w:i/>
          <w:sz w:val="24"/>
          <w:szCs w:val="24"/>
        </w:rPr>
        <w:t>:</w:t>
      </w:r>
      <w:r w:rsidR="00CA64CE" w:rsidRPr="0029652C">
        <w:rPr>
          <w:rFonts w:ascii="Arial" w:eastAsia="Calibri" w:hAnsi="Arial" w:cs="Arial"/>
          <w:i/>
          <w:sz w:val="24"/>
          <w:szCs w:val="24"/>
        </w:rPr>
        <w:t xml:space="preserve"> The L</w:t>
      </w:r>
      <w:r w:rsidR="00C84417" w:rsidRPr="0029652C">
        <w:rPr>
          <w:rFonts w:ascii="Arial" w:eastAsia="Calibri" w:hAnsi="Arial" w:cs="Arial"/>
          <w:i/>
          <w:sz w:val="24"/>
          <w:szCs w:val="24"/>
        </w:rPr>
        <w:t>aw of Suretyship</w:t>
      </w:r>
      <w:r w:rsidR="00FD6ACF" w:rsidRPr="0029652C">
        <w:rPr>
          <w:rFonts w:ascii="Arial" w:eastAsia="Calibri" w:hAnsi="Arial" w:cs="Arial"/>
          <w:i/>
          <w:sz w:val="24"/>
          <w:szCs w:val="24"/>
        </w:rPr>
        <w:t xml:space="preserve"> in South Africa</w:t>
      </w:r>
      <w:r w:rsidR="00CA64CE" w:rsidRPr="0029652C">
        <w:rPr>
          <w:rFonts w:ascii="Arial" w:eastAsia="Calibri" w:hAnsi="Arial" w:cs="Arial"/>
          <w:sz w:val="24"/>
          <w:szCs w:val="24"/>
        </w:rPr>
        <w:t>,</w:t>
      </w:r>
      <w:r w:rsidR="00FD6ACF" w:rsidRPr="0029652C">
        <w:rPr>
          <w:rStyle w:val="FootnoteReference"/>
          <w:rFonts w:ascii="Arial" w:eastAsia="Calibri" w:hAnsi="Arial" w:cs="Arial"/>
          <w:sz w:val="24"/>
          <w:szCs w:val="24"/>
        </w:rPr>
        <w:footnoteReference w:id="1"/>
      </w:r>
      <w:r w:rsidR="00C84417" w:rsidRPr="0029652C">
        <w:rPr>
          <w:rFonts w:ascii="Arial" w:eastAsia="Calibri" w:hAnsi="Arial" w:cs="Arial"/>
          <w:sz w:val="24"/>
          <w:szCs w:val="24"/>
        </w:rPr>
        <w:t xml:space="preserve"> where</w:t>
      </w:r>
      <w:r w:rsidR="00FB1262" w:rsidRPr="0029652C">
        <w:rPr>
          <w:rFonts w:ascii="Arial" w:eastAsia="Calibri" w:hAnsi="Arial" w:cs="Arial"/>
          <w:sz w:val="24"/>
          <w:szCs w:val="24"/>
        </w:rPr>
        <w:t xml:space="preserve"> a suretyship is defined as</w:t>
      </w:r>
      <w:r w:rsidR="00FD6ACF" w:rsidRPr="0029652C">
        <w:rPr>
          <w:rFonts w:ascii="Arial" w:eastAsia="Calibri" w:hAnsi="Arial" w:cs="Arial"/>
          <w:sz w:val="24"/>
          <w:szCs w:val="24"/>
        </w:rPr>
        <w:t>:</w:t>
      </w:r>
      <w:r w:rsidR="00FB1262" w:rsidRPr="0025254F">
        <w:rPr>
          <w:rFonts w:ascii="Arial" w:eastAsia="Calibri" w:hAnsi="Arial" w:cs="Arial"/>
          <w:sz w:val="24"/>
          <w:szCs w:val="20"/>
        </w:rPr>
        <w:t xml:space="preserve"> </w:t>
      </w:r>
    </w:p>
    <w:p w14:paraId="096FC485" w14:textId="08768241" w:rsidR="00AA1D6D" w:rsidRPr="0025254F" w:rsidRDefault="00AA1D6D" w:rsidP="006B48B9">
      <w:pPr>
        <w:spacing w:after="0" w:line="360" w:lineRule="auto"/>
        <w:contextualSpacing/>
        <w:jc w:val="both"/>
        <w:rPr>
          <w:rFonts w:ascii="Arial" w:eastAsia="Calibri" w:hAnsi="Arial" w:cs="Arial"/>
          <w:sz w:val="24"/>
          <w:szCs w:val="20"/>
        </w:rPr>
      </w:pPr>
      <w:r w:rsidRPr="0025254F">
        <w:rPr>
          <w:rFonts w:ascii="Arial" w:eastAsia="Calibri" w:hAnsi="Arial" w:cs="Arial"/>
          <w:szCs w:val="20"/>
        </w:rPr>
        <w:t>‘… an accessory contract by which a person (the surety) undertakes to the creditor of another (the principal debtor), </w:t>
      </w:r>
      <w:bookmarkStart w:id="0" w:name="0-0-0-1515"/>
      <w:bookmarkEnd w:id="0"/>
      <w:r w:rsidRPr="0025254F">
        <w:rPr>
          <w:rFonts w:ascii="Arial" w:eastAsia="Calibri" w:hAnsi="Arial" w:cs="Arial"/>
          <w:szCs w:val="20"/>
        </w:rPr>
        <w:t>that the principal debtor, who remains bound, will perform his obligation to the creditor and</w:t>
      </w:r>
      <w:bookmarkStart w:id="1" w:name="0-0-0-1519"/>
      <w:bookmarkEnd w:id="1"/>
      <w:r w:rsidRPr="0025254F">
        <w:rPr>
          <w:rFonts w:ascii="Arial" w:eastAsia="Calibri" w:hAnsi="Arial" w:cs="Arial"/>
          <w:szCs w:val="20"/>
        </w:rPr>
        <w:t> that if and so far as the principal debtor fails to do so, the surety will perform it or, failing that, indemnify the creditor.’</w:t>
      </w:r>
      <w:r w:rsidR="00240CE1" w:rsidRPr="0025254F">
        <w:rPr>
          <w:rFonts w:ascii="Arial" w:eastAsia="Calibri" w:hAnsi="Arial" w:cs="Arial"/>
          <w:szCs w:val="20"/>
        </w:rPr>
        <w:t xml:space="preserve"> (Footnotes omitted.)</w:t>
      </w:r>
    </w:p>
    <w:p w14:paraId="5F3DB865" w14:textId="1803CA86" w:rsidR="00A258F1" w:rsidRPr="0025254F" w:rsidRDefault="00672E47" w:rsidP="006B48B9">
      <w:pPr>
        <w:spacing w:after="0" w:line="360" w:lineRule="auto"/>
        <w:contextualSpacing/>
        <w:jc w:val="both"/>
        <w:rPr>
          <w:rFonts w:ascii="Arial" w:eastAsia="Calibri" w:hAnsi="Arial" w:cs="Arial"/>
          <w:sz w:val="24"/>
          <w:szCs w:val="20"/>
        </w:rPr>
      </w:pPr>
      <w:r w:rsidRPr="0025254F">
        <w:rPr>
          <w:rFonts w:ascii="Arial" w:eastAsia="Calibri" w:hAnsi="Arial" w:cs="Arial"/>
          <w:sz w:val="24"/>
          <w:szCs w:val="20"/>
        </w:rPr>
        <w:t xml:space="preserve">For </w:t>
      </w:r>
      <w:r w:rsidR="00BA31DC" w:rsidRPr="0025254F">
        <w:rPr>
          <w:rFonts w:ascii="Arial" w:eastAsia="Calibri" w:hAnsi="Arial" w:cs="Arial"/>
          <w:sz w:val="24"/>
          <w:szCs w:val="20"/>
        </w:rPr>
        <w:t>‘</w:t>
      </w:r>
      <w:r w:rsidRPr="0025254F">
        <w:rPr>
          <w:rFonts w:ascii="Arial" w:eastAsia="Calibri" w:hAnsi="Arial" w:cs="Arial"/>
          <w:sz w:val="24"/>
          <w:szCs w:val="20"/>
        </w:rPr>
        <w:t>there to be a valid suretyship, there has to be a valid principal obligation between the debtor and the creditor</w:t>
      </w:r>
      <w:r w:rsidR="00BA31DC" w:rsidRPr="0025254F">
        <w:rPr>
          <w:rFonts w:ascii="Arial" w:eastAsia="Calibri" w:hAnsi="Arial" w:cs="Arial"/>
          <w:sz w:val="24"/>
          <w:szCs w:val="20"/>
        </w:rPr>
        <w:t>’</w:t>
      </w:r>
      <w:r w:rsidRPr="0025254F">
        <w:rPr>
          <w:rFonts w:ascii="Arial" w:eastAsia="Calibri" w:hAnsi="Arial" w:cs="Arial"/>
          <w:sz w:val="24"/>
          <w:szCs w:val="20"/>
        </w:rPr>
        <w:t>.</w:t>
      </w:r>
      <w:r w:rsidR="00BA31DC" w:rsidRPr="0025254F">
        <w:rPr>
          <w:rStyle w:val="FootnoteReference"/>
          <w:rFonts w:ascii="Arial" w:eastAsia="Calibri" w:hAnsi="Arial" w:cs="Arial"/>
          <w:sz w:val="24"/>
          <w:szCs w:val="20"/>
        </w:rPr>
        <w:footnoteReference w:id="2"/>
      </w:r>
      <w:r w:rsidR="0012447C" w:rsidRPr="0025254F">
        <w:rPr>
          <w:rFonts w:ascii="Arial" w:eastAsia="Calibri" w:hAnsi="Arial" w:cs="Arial"/>
          <w:sz w:val="24"/>
          <w:szCs w:val="20"/>
        </w:rPr>
        <w:t xml:space="preserve"> </w:t>
      </w:r>
      <w:r w:rsidR="00D72122" w:rsidRPr="0025254F">
        <w:rPr>
          <w:rFonts w:ascii="Arial" w:eastAsia="Calibri" w:hAnsi="Arial" w:cs="Arial"/>
          <w:sz w:val="24"/>
          <w:szCs w:val="20"/>
        </w:rPr>
        <w:t>A ‘</w:t>
      </w:r>
      <w:r w:rsidR="0012447C" w:rsidRPr="0025254F">
        <w:rPr>
          <w:rFonts w:ascii="Arial" w:eastAsia="Calibri" w:hAnsi="Arial" w:cs="Arial"/>
          <w:sz w:val="24"/>
          <w:szCs w:val="20"/>
        </w:rPr>
        <w:t>surety only takes upon himself the risk of a breach of contract by the principal debtor for the surety is not liable for any non-performance based upon the invalidity or extinction of the obligation in question</w:t>
      </w:r>
      <w:r w:rsidR="00D72122" w:rsidRPr="0025254F">
        <w:rPr>
          <w:rFonts w:ascii="Arial" w:eastAsia="Calibri" w:hAnsi="Arial" w:cs="Arial"/>
          <w:sz w:val="24"/>
          <w:szCs w:val="20"/>
        </w:rPr>
        <w:t>’</w:t>
      </w:r>
      <w:r w:rsidR="0012447C" w:rsidRPr="0025254F">
        <w:rPr>
          <w:rFonts w:ascii="Arial" w:eastAsia="Calibri" w:hAnsi="Arial" w:cs="Arial"/>
          <w:sz w:val="24"/>
          <w:szCs w:val="20"/>
        </w:rPr>
        <w:t>.</w:t>
      </w:r>
      <w:r w:rsidR="006E6AC3" w:rsidRPr="0025254F">
        <w:rPr>
          <w:rStyle w:val="FootnoteReference"/>
          <w:rFonts w:ascii="Arial" w:eastAsia="Calibri" w:hAnsi="Arial" w:cs="Arial"/>
          <w:sz w:val="24"/>
          <w:szCs w:val="20"/>
        </w:rPr>
        <w:footnoteReference w:id="3"/>
      </w:r>
      <w:r w:rsidRPr="0025254F">
        <w:rPr>
          <w:rFonts w:ascii="Arial" w:eastAsia="Calibri" w:hAnsi="Arial" w:cs="Arial"/>
          <w:sz w:val="24"/>
          <w:szCs w:val="20"/>
        </w:rPr>
        <w:t xml:space="preserve"> </w:t>
      </w:r>
      <w:r w:rsidR="00D72122" w:rsidRPr="0025254F">
        <w:rPr>
          <w:rFonts w:ascii="Arial" w:eastAsia="Calibri" w:hAnsi="Arial" w:cs="Arial"/>
          <w:sz w:val="24"/>
          <w:szCs w:val="20"/>
        </w:rPr>
        <w:t>In discussi</w:t>
      </w:r>
      <w:r w:rsidR="00D74E72">
        <w:rPr>
          <w:rFonts w:ascii="Arial" w:eastAsia="Calibri" w:hAnsi="Arial" w:cs="Arial"/>
          <w:sz w:val="24"/>
          <w:szCs w:val="20"/>
        </w:rPr>
        <w:t>ng</w:t>
      </w:r>
      <w:r w:rsidR="00D72122" w:rsidRPr="0025254F">
        <w:rPr>
          <w:rFonts w:ascii="Arial" w:eastAsia="Calibri" w:hAnsi="Arial" w:cs="Arial"/>
          <w:sz w:val="24"/>
          <w:szCs w:val="20"/>
        </w:rPr>
        <w:t xml:space="preserve"> t</w:t>
      </w:r>
      <w:r w:rsidR="00C84417" w:rsidRPr="0025254F">
        <w:rPr>
          <w:rFonts w:ascii="Arial" w:eastAsia="Calibri" w:hAnsi="Arial" w:cs="Arial"/>
          <w:sz w:val="24"/>
          <w:szCs w:val="20"/>
        </w:rPr>
        <w:t xml:space="preserve">he relationship between </w:t>
      </w:r>
      <w:r w:rsidR="004E4F26">
        <w:rPr>
          <w:rFonts w:ascii="Arial" w:eastAsia="Calibri" w:hAnsi="Arial" w:cs="Arial"/>
          <w:sz w:val="24"/>
          <w:szCs w:val="20"/>
        </w:rPr>
        <w:t xml:space="preserve">a </w:t>
      </w:r>
      <w:r w:rsidR="00C84417" w:rsidRPr="0025254F">
        <w:rPr>
          <w:rFonts w:ascii="Arial" w:eastAsia="Calibri" w:hAnsi="Arial" w:cs="Arial"/>
          <w:sz w:val="24"/>
          <w:szCs w:val="20"/>
        </w:rPr>
        <w:t>suretyship and the contract of guarantee</w:t>
      </w:r>
      <w:r w:rsidR="00D72122" w:rsidRPr="0025254F">
        <w:rPr>
          <w:rFonts w:ascii="Arial" w:eastAsia="Calibri" w:hAnsi="Arial" w:cs="Arial"/>
          <w:sz w:val="24"/>
          <w:szCs w:val="20"/>
        </w:rPr>
        <w:t>,</w:t>
      </w:r>
      <w:r w:rsidR="00294299" w:rsidRPr="0025254F">
        <w:rPr>
          <w:rFonts w:ascii="Arial" w:eastAsia="Calibri" w:hAnsi="Arial" w:cs="Arial"/>
          <w:sz w:val="24"/>
          <w:szCs w:val="20"/>
        </w:rPr>
        <w:t xml:space="preserve"> </w:t>
      </w:r>
      <w:r w:rsidR="00D72122" w:rsidRPr="0025254F">
        <w:rPr>
          <w:rFonts w:ascii="Arial" w:eastAsia="Calibri" w:hAnsi="Arial" w:cs="Arial"/>
          <w:sz w:val="24"/>
          <w:szCs w:val="20"/>
        </w:rPr>
        <w:t>t</w:t>
      </w:r>
      <w:r w:rsidR="00294299" w:rsidRPr="0025254F">
        <w:rPr>
          <w:rFonts w:ascii="Arial" w:eastAsia="Calibri" w:hAnsi="Arial" w:cs="Arial"/>
          <w:sz w:val="24"/>
          <w:szCs w:val="20"/>
        </w:rPr>
        <w:t>he following is stated:</w:t>
      </w:r>
      <w:r w:rsidR="006A1F1E" w:rsidRPr="0025254F">
        <w:rPr>
          <w:rStyle w:val="FootnoteReference"/>
          <w:rFonts w:ascii="Arial" w:eastAsia="Calibri" w:hAnsi="Arial" w:cs="Arial"/>
          <w:sz w:val="24"/>
          <w:szCs w:val="20"/>
        </w:rPr>
        <w:footnoteReference w:id="4"/>
      </w:r>
    </w:p>
    <w:p w14:paraId="42A08579" w14:textId="1A4AAB57" w:rsidR="00916E9D" w:rsidRPr="0025254F" w:rsidRDefault="00294299" w:rsidP="00320EB8">
      <w:pPr>
        <w:spacing w:after="0" w:line="360" w:lineRule="auto"/>
        <w:contextualSpacing/>
        <w:jc w:val="both"/>
        <w:rPr>
          <w:rFonts w:ascii="Arial" w:eastAsia="Calibri" w:hAnsi="Arial" w:cs="Arial"/>
        </w:rPr>
      </w:pPr>
      <w:r w:rsidRPr="0025254F">
        <w:rPr>
          <w:rFonts w:ascii="Arial" w:eastAsia="Calibri" w:hAnsi="Arial" w:cs="Arial"/>
          <w:sz w:val="24"/>
          <w:szCs w:val="20"/>
        </w:rPr>
        <w:t>‘</w:t>
      </w:r>
      <w:r w:rsidR="00320EB8" w:rsidRPr="0025254F">
        <w:rPr>
          <w:rFonts w:ascii="Arial" w:eastAsia="Calibri" w:hAnsi="Arial" w:cs="Arial"/>
        </w:rPr>
        <w:t>It is clear that the word “guarantee” in common parlance and in many contractual contexts means (and is intended by the parties to mean) simply to undertake the obligations of a surety. </w:t>
      </w:r>
      <w:bookmarkStart w:id="2" w:name="0-0-0-1625"/>
      <w:bookmarkEnd w:id="2"/>
      <w:r w:rsidR="00320EB8" w:rsidRPr="0025254F">
        <w:rPr>
          <w:rFonts w:ascii="Arial" w:eastAsia="Calibri" w:hAnsi="Arial" w:cs="Arial"/>
        </w:rPr>
        <w:t>This is not what is meant by guarantee in this context, for the contract of guarantee is distinct from suretyship . . . With a contract of guarantee, on the other hand, the guarantor undertakes a principal obligation to indemnify the promisee on the happening of certain events . . . Difficulties begin to arise, however, when the event on which the guarantor becomes bound to indemnify the promisee is in fact the performance by a third party of some obligation which that third party owes to the promisee.</w:t>
      </w:r>
      <w:r w:rsidR="008137E2" w:rsidRPr="0025254F">
        <w:rPr>
          <w:rFonts w:ascii="Arial" w:eastAsia="Calibri" w:hAnsi="Arial" w:cs="Arial"/>
        </w:rPr>
        <w:t>’</w:t>
      </w:r>
      <w:r w:rsidR="00320EB8" w:rsidRPr="0025254F">
        <w:rPr>
          <w:rFonts w:ascii="Arial" w:eastAsia="Calibri" w:hAnsi="Arial" w:cs="Arial"/>
        </w:rPr>
        <w:t xml:space="preserve"> </w:t>
      </w:r>
      <w:r w:rsidR="00601108" w:rsidRPr="0025254F">
        <w:rPr>
          <w:rFonts w:ascii="Arial" w:eastAsia="Calibri" w:hAnsi="Arial" w:cs="Arial"/>
        </w:rPr>
        <w:t>(</w:t>
      </w:r>
      <w:r w:rsidR="00320EB8" w:rsidRPr="0025254F">
        <w:rPr>
          <w:rFonts w:ascii="Arial" w:eastAsia="Calibri" w:hAnsi="Arial" w:cs="Arial"/>
        </w:rPr>
        <w:t xml:space="preserve">Footnotes </w:t>
      </w:r>
      <w:r w:rsidR="00601108" w:rsidRPr="0025254F">
        <w:rPr>
          <w:rFonts w:ascii="Arial" w:eastAsia="Calibri" w:hAnsi="Arial" w:cs="Arial"/>
        </w:rPr>
        <w:t>omitted</w:t>
      </w:r>
      <w:r w:rsidR="00320EB8" w:rsidRPr="0025254F">
        <w:rPr>
          <w:rFonts w:ascii="Arial" w:eastAsia="Calibri" w:hAnsi="Arial" w:cs="Arial"/>
        </w:rPr>
        <w:t>.</w:t>
      </w:r>
      <w:r w:rsidR="00601108" w:rsidRPr="0025254F">
        <w:rPr>
          <w:rFonts w:ascii="Arial" w:eastAsia="Calibri" w:hAnsi="Arial" w:cs="Arial"/>
        </w:rPr>
        <w:t>)</w:t>
      </w:r>
    </w:p>
    <w:p w14:paraId="6C9AF62C" w14:textId="77777777" w:rsidR="007F1A47" w:rsidRPr="0025254F" w:rsidRDefault="007F1A47" w:rsidP="006B48B9">
      <w:pPr>
        <w:spacing w:after="0" w:line="360" w:lineRule="auto"/>
        <w:contextualSpacing/>
        <w:jc w:val="both"/>
        <w:rPr>
          <w:rFonts w:ascii="Arial" w:eastAsia="Calibri" w:hAnsi="Arial" w:cs="Arial"/>
          <w:sz w:val="24"/>
          <w:szCs w:val="20"/>
        </w:rPr>
      </w:pPr>
    </w:p>
    <w:p w14:paraId="47E91E0C" w14:textId="13D75B35" w:rsidR="00106675" w:rsidRPr="0025254F" w:rsidRDefault="0082763F" w:rsidP="006B48B9">
      <w:pPr>
        <w:spacing w:after="0" w:line="360" w:lineRule="auto"/>
        <w:contextualSpacing/>
        <w:jc w:val="both"/>
        <w:rPr>
          <w:rFonts w:ascii="Arial" w:eastAsia="Calibri" w:hAnsi="Arial" w:cs="Arial"/>
          <w:sz w:val="24"/>
          <w:szCs w:val="20"/>
        </w:rPr>
      </w:pPr>
      <w:r w:rsidRPr="0025254F">
        <w:rPr>
          <w:rFonts w:ascii="Arial" w:eastAsia="Calibri" w:hAnsi="Arial" w:cs="Arial"/>
          <w:sz w:val="24"/>
          <w:szCs w:val="20"/>
        </w:rPr>
        <w:t>[32</w:t>
      </w:r>
      <w:r w:rsidR="004A355B" w:rsidRPr="0025254F">
        <w:rPr>
          <w:rFonts w:ascii="Arial" w:eastAsia="Calibri" w:hAnsi="Arial" w:cs="Arial"/>
          <w:sz w:val="24"/>
          <w:szCs w:val="20"/>
        </w:rPr>
        <w:t>]</w:t>
      </w:r>
      <w:r w:rsidR="00EB532B" w:rsidRPr="0025254F">
        <w:rPr>
          <w:rFonts w:ascii="Arial" w:eastAsia="Calibri" w:hAnsi="Arial" w:cs="Arial"/>
          <w:sz w:val="24"/>
          <w:szCs w:val="20"/>
        </w:rPr>
        <w:tab/>
      </w:r>
      <w:r w:rsidR="009547EA" w:rsidRPr="0025254F">
        <w:rPr>
          <w:rFonts w:ascii="Arial" w:eastAsia="Calibri" w:hAnsi="Arial" w:cs="Arial"/>
          <w:sz w:val="24"/>
          <w:szCs w:val="20"/>
        </w:rPr>
        <w:t>T</w:t>
      </w:r>
      <w:r w:rsidR="008137E2" w:rsidRPr="0025254F">
        <w:rPr>
          <w:rFonts w:ascii="Arial" w:eastAsia="Calibri" w:hAnsi="Arial" w:cs="Arial"/>
          <w:sz w:val="24"/>
          <w:szCs w:val="20"/>
        </w:rPr>
        <w:t xml:space="preserve">he authors </w:t>
      </w:r>
      <w:r w:rsidR="009547EA" w:rsidRPr="0025254F">
        <w:rPr>
          <w:rFonts w:ascii="Arial" w:eastAsia="Calibri" w:hAnsi="Arial" w:cs="Arial"/>
          <w:sz w:val="24"/>
          <w:szCs w:val="20"/>
        </w:rPr>
        <w:t xml:space="preserve">proceed to </w:t>
      </w:r>
      <w:r w:rsidR="00BB1690" w:rsidRPr="0025254F">
        <w:rPr>
          <w:rFonts w:ascii="Arial" w:eastAsia="Calibri" w:hAnsi="Arial" w:cs="Arial"/>
          <w:sz w:val="24"/>
          <w:szCs w:val="20"/>
        </w:rPr>
        <w:t>discuss the differences between a guarantee that a debtor will perform and a suretyship</w:t>
      </w:r>
      <w:r w:rsidR="00106675" w:rsidRPr="0025254F">
        <w:rPr>
          <w:rFonts w:ascii="Arial" w:eastAsia="Calibri" w:hAnsi="Arial" w:cs="Arial"/>
          <w:sz w:val="24"/>
          <w:szCs w:val="20"/>
        </w:rPr>
        <w:t>,</w:t>
      </w:r>
      <w:r w:rsidR="00BB1690" w:rsidRPr="0025254F">
        <w:rPr>
          <w:rFonts w:ascii="Arial" w:eastAsia="Calibri" w:hAnsi="Arial" w:cs="Arial"/>
          <w:sz w:val="24"/>
          <w:szCs w:val="20"/>
        </w:rPr>
        <w:t xml:space="preserve"> with reference to </w:t>
      </w:r>
      <w:r w:rsidR="00D749F2" w:rsidRPr="0025254F">
        <w:rPr>
          <w:rFonts w:ascii="Arial" w:eastAsia="Calibri" w:hAnsi="Arial" w:cs="Arial"/>
          <w:sz w:val="24"/>
          <w:szCs w:val="20"/>
        </w:rPr>
        <w:t xml:space="preserve">various </w:t>
      </w:r>
      <w:r w:rsidR="00BB1690" w:rsidRPr="0025254F">
        <w:rPr>
          <w:rFonts w:ascii="Arial" w:eastAsia="Calibri" w:hAnsi="Arial" w:cs="Arial"/>
          <w:sz w:val="24"/>
          <w:szCs w:val="20"/>
        </w:rPr>
        <w:t>authorities</w:t>
      </w:r>
      <w:r w:rsidR="00D749F2" w:rsidRPr="0025254F">
        <w:rPr>
          <w:rFonts w:ascii="Arial" w:eastAsia="Calibri" w:hAnsi="Arial" w:cs="Arial"/>
          <w:sz w:val="24"/>
          <w:szCs w:val="20"/>
        </w:rPr>
        <w:t xml:space="preserve">. The first point of distinction mentioned is with reference to a guarantor’s obligation, which is independent from that of the debtor, and which </w:t>
      </w:r>
      <w:r w:rsidR="00106675" w:rsidRPr="0025254F">
        <w:rPr>
          <w:rFonts w:ascii="Arial" w:eastAsia="Calibri" w:hAnsi="Arial" w:cs="Arial"/>
          <w:sz w:val="24"/>
          <w:szCs w:val="20"/>
        </w:rPr>
        <w:t>‘</w:t>
      </w:r>
      <w:r w:rsidR="00D749F2" w:rsidRPr="0025254F">
        <w:rPr>
          <w:rFonts w:ascii="Arial" w:eastAsia="Calibri" w:hAnsi="Arial" w:cs="Arial"/>
          <w:sz w:val="24"/>
          <w:szCs w:val="20"/>
        </w:rPr>
        <w:t>is to indemnify the creditor in respect of losses suffered through the debtor’s non-performance</w:t>
      </w:r>
      <w:r w:rsidR="00106675" w:rsidRPr="0025254F">
        <w:rPr>
          <w:rFonts w:ascii="Arial" w:eastAsia="Calibri" w:hAnsi="Arial" w:cs="Arial"/>
          <w:sz w:val="24"/>
          <w:szCs w:val="20"/>
        </w:rPr>
        <w:t>’</w:t>
      </w:r>
      <w:r w:rsidR="00D749F2" w:rsidRPr="0025254F">
        <w:rPr>
          <w:rFonts w:ascii="Arial" w:eastAsia="Calibri" w:hAnsi="Arial" w:cs="Arial"/>
          <w:sz w:val="24"/>
          <w:szCs w:val="20"/>
        </w:rPr>
        <w:t>.</w:t>
      </w:r>
      <w:r w:rsidR="00106675" w:rsidRPr="0025254F">
        <w:rPr>
          <w:rStyle w:val="FootnoteReference"/>
          <w:rFonts w:ascii="Arial" w:eastAsia="Calibri" w:hAnsi="Arial" w:cs="Arial"/>
          <w:sz w:val="24"/>
          <w:szCs w:val="20"/>
        </w:rPr>
        <w:footnoteReference w:id="5"/>
      </w:r>
      <w:r w:rsidR="00D749F2" w:rsidRPr="0025254F">
        <w:rPr>
          <w:rFonts w:ascii="Arial" w:eastAsia="Calibri" w:hAnsi="Arial" w:cs="Arial"/>
          <w:sz w:val="24"/>
          <w:szCs w:val="20"/>
        </w:rPr>
        <w:t xml:space="preserve"> A surety</w:t>
      </w:r>
      <w:r w:rsidR="00106675" w:rsidRPr="0025254F">
        <w:rPr>
          <w:rFonts w:ascii="Arial" w:eastAsia="Calibri" w:hAnsi="Arial" w:cs="Arial"/>
          <w:sz w:val="24"/>
          <w:szCs w:val="20"/>
        </w:rPr>
        <w:t>,</w:t>
      </w:r>
      <w:r w:rsidR="00D749F2" w:rsidRPr="0025254F">
        <w:rPr>
          <w:rFonts w:ascii="Arial" w:eastAsia="Calibri" w:hAnsi="Arial" w:cs="Arial"/>
          <w:sz w:val="24"/>
          <w:szCs w:val="20"/>
        </w:rPr>
        <w:t xml:space="preserve"> on the other hand</w:t>
      </w:r>
      <w:r w:rsidR="00106675" w:rsidRPr="0025254F">
        <w:rPr>
          <w:rFonts w:ascii="Arial" w:eastAsia="Calibri" w:hAnsi="Arial" w:cs="Arial"/>
          <w:sz w:val="24"/>
          <w:szCs w:val="20"/>
        </w:rPr>
        <w:t>,</w:t>
      </w:r>
      <w:r w:rsidR="00D749F2" w:rsidRPr="0025254F">
        <w:rPr>
          <w:rFonts w:ascii="Arial" w:eastAsia="Calibri" w:hAnsi="Arial" w:cs="Arial"/>
          <w:sz w:val="24"/>
          <w:szCs w:val="20"/>
        </w:rPr>
        <w:t xml:space="preserve"> is only liable for any </w:t>
      </w:r>
    </w:p>
    <w:p w14:paraId="62DA5F25" w14:textId="2BDEDB53" w:rsidR="00106675" w:rsidRPr="0025254F" w:rsidRDefault="00106675" w:rsidP="006B48B9">
      <w:pPr>
        <w:spacing w:after="0" w:line="360" w:lineRule="auto"/>
        <w:contextualSpacing/>
        <w:jc w:val="both"/>
        <w:rPr>
          <w:rFonts w:ascii="Arial" w:eastAsia="Calibri" w:hAnsi="Arial" w:cs="Arial"/>
          <w:szCs w:val="20"/>
        </w:rPr>
      </w:pPr>
      <w:r w:rsidRPr="0025254F">
        <w:rPr>
          <w:rFonts w:ascii="Arial" w:eastAsia="Calibri" w:hAnsi="Arial" w:cs="Arial"/>
          <w:szCs w:val="20"/>
        </w:rPr>
        <w:t>‘</w:t>
      </w:r>
      <w:r w:rsidR="00D749F2" w:rsidRPr="0025254F">
        <w:rPr>
          <w:rFonts w:ascii="Arial" w:eastAsia="Calibri" w:hAnsi="Arial" w:cs="Arial"/>
          <w:szCs w:val="20"/>
        </w:rPr>
        <w:t>losses resulting from the debtor’s breach of contract.</w:t>
      </w:r>
      <w:r w:rsidR="00BB1690" w:rsidRPr="0025254F">
        <w:rPr>
          <w:rFonts w:ascii="Arial" w:eastAsia="Calibri" w:hAnsi="Arial" w:cs="Arial"/>
          <w:szCs w:val="20"/>
        </w:rPr>
        <w:t xml:space="preserve"> </w:t>
      </w:r>
      <w:r w:rsidR="00D749F2" w:rsidRPr="0025254F">
        <w:rPr>
          <w:rFonts w:ascii="Arial" w:eastAsia="Calibri" w:hAnsi="Arial" w:cs="Arial"/>
          <w:szCs w:val="20"/>
        </w:rPr>
        <w:t xml:space="preserve">Thus if the creditor suffers grave losses when it turns out that the debtor’s contract is invalid, the guarantor’s obligation </w:t>
      </w:r>
      <w:r w:rsidR="00D749F2" w:rsidRPr="0025254F">
        <w:rPr>
          <w:rFonts w:ascii="Arial" w:eastAsia="Calibri" w:hAnsi="Arial" w:cs="Arial"/>
          <w:szCs w:val="20"/>
        </w:rPr>
        <w:lastRenderedPageBreak/>
        <w:t>remains in force and he will have to pay those</w:t>
      </w:r>
      <w:r w:rsidR="007917F1" w:rsidRPr="0025254F">
        <w:rPr>
          <w:rFonts w:ascii="Arial" w:eastAsia="Calibri" w:hAnsi="Arial" w:cs="Arial"/>
          <w:szCs w:val="20"/>
        </w:rPr>
        <w:t xml:space="preserve"> losses but a surety’s obligation falls away and he will not have to pay </w:t>
      </w:r>
      <w:r w:rsidRPr="0025254F">
        <w:rPr>
          <w:rFonts w:ascii="Arial" w:eastAsia="Calibri" w:hAnsi="Arial" w:cs="Arial"/>
          <w:szCs w:val="20"/>
        </w:rPr>
        <w:t>[</w:t>
      </w:r>
      <w:r w:rsidR="007917F1" w:rsidRPr="0025254F">
        <w:rPr>
          <w:rFonts w:ascii="Arial" w:eastAsia="Calibri" w:hAnsi="Arial" w:cs="Arial"/>
          <w:szCs w:val="20"/>
        </w:rPr>
        <w:t>anything</w:t>
      </w:r>
      <w:r w:rsidRPr="0025254F">
        <w:rPr>
          <w:rFonts w:ascii="Arial" w:eastAsia="Calibri" w:hAnsi="Arial" w:cs="Arial"/>
          <w:szCs w:val="20"/>
        </w:rPr>
        <w:t>]</w:t>
      </w:r>
      <w:r w:rsidR="007917F1" w:rsidRPr="0025254F">
        <w:rPr>
          <w:rFonts w:ascii="Arial" w:eastAsia="Calibri" w:hAnsi="Arial" w:cs="Arial"/>
          <w:szCs w:val="20"/>
        </w:rPr>
        <w:t>.</w:t>
      </w:r>
      <w:r w:rsidRPr="0025254F">
        <w:rPr>
          <w:rFonts w:ascii="Arial" w:eastAsia="Calibri" w:hAnsi="Arial" w:cs="Arial"/>
          <w:szCs w:val="20"/>
        </w:rPr>
        <w:t>’</w:t>
      </w:r>
      <w:r w:rsidR="00F66B22" w:rsidRPr="0025254F">
        <w:rPr>
          <w:rStyle w:val="FootnoteReference"/>
          <w:rFonts w:ascii="Arial" w:eastAsia="Calibri" w:hAnsi="Arial" w:cs="Arial"/>
          <w:szCs w:val="20"/>
        </w:rPr>
        <w:footnoteReference w:id="6"/>
      </w:r>
      <w:r w:rsidR="007917F1" w:rsidRPr="0025254F">
        <w:rPr>
          <w:rFonts w:ascii="Arial" w:eastAsia="Calibri" w:hAnsi="Arial" w:cs="Arial"/>
          <w:szCs w:val="20"/>
        </w:rPr>
        <w:t xml:space="preserve"> </w:t>
      </w:r>
    </w:p>
    <w:p w14:paraId="6A5AA2E1" w14:textId="47D2B66D" w:rsidR="007917F1" w:rsidRPr="0025254F" w:rsidRDefault="007917F1" w:rsidP="006B48B9">
      <w:pPr>
        <w:spacing w:after="0" w:line="360" w:lineRule="auto"/>
        <w:contextualSpacing/>
        <w:jc w:val="both"/>
        <w:rPr>
          <w:rFonts w:ascii="Arial" w:eastAsia="Calibri" w:hAnsi="Arial" w:cs="Arial"/>
          <w:sz w:val="24"/>
          <w:szCs w:val="20"/>
        </w:rPr>
      </w:pPr>
      <w:r w:rsidRPr="0025254F">
        <w:rPr>
          <w:rFonts w:ascii="Arial" w:eastAsia="Calibri" w:hAnsi="Arial" w:cs="Arial"/>
          <w:sz w:val="24"/>
          <w:szCs w:val="20"/>
        </w:rPr>
        <w:t xml:space="preserve">This is very much in line with what is contained in clause 2.4 of the guarantee. The second point of distinction mentioned is that </w:t>
      </w:r>
      <w:r w:rsidR="00DB53DA" w:rsidRPr="0025254F">
        <w:rPr>
          <w:rFonts w:ascii="Arial" w:eastAsia="Calibri" w:hAnsi="Arial" w:cs="Arial"/>
          <w:sz w:val="24"/>
          <w:szCs w:val="20"/>
        </w:rPr>
        <w:t>‘</w:t>
      </w:r>
      <w:r w:rsidRPr="0025254F">
        <w:rPr>
          <w:rFonts w:ascii="Arial" w:eastAsia="Calibri" w:hAnsi="Arial" w:cs="Arial"/>
          <w:sz w:val="24"/>
          <w:szCs w:val="20"/>
        </w:rPr>
        <w:t xml:space="preserve">a surety undertakes that the debtor himself will perform, and only </w:t>
      </w:r>
      <w:r w:rsidR="00DB53DA" w:rsidRPr="0025254F">
        <w:rPr>
          <w:rFonts w:ascii="Arial" w:eastAsia="Calibri" w:hAnsi="Arial" w:cs="Arial"/>
          <w:sz w:val="24"/>
          <w:szCs w:val="20"/>
        </w:rPr>
        <w:t xml:space="preserve">that </w:t>
      </w:r>
      <w:r w:rsidRPr="0025254F">
        <w:rPr>
          <w:rFonts w:ascii="Arial" w:eastAsia="Calibri" w:hAnsi="Arial" w:cs="Arial"/>
          <w:sz w:val="24"/>
          <w:szCs w:val="20"/>
        </w:rPr>
        <w:t xml:space="preserve">if he fails to perform </w:t>
      </w:r>
      <w:r w:rsidR="00DB53DA" w:rsidRPr="0025254F">
        <w:rPr>
          <w:rFonts w:ascii="Arial" w:eastAsia="Calibri" w:hAnsi="Arial" w:cs="Arial"/>
          <w:sz w:val="24"/>
          <w:szCs w:val="20"/>
        </w:rPr>
        <w:t xml:space="preserve">that </w:t>
      </w:r>
      <w:r w:rsidRPr="0025254F">
        <w:rPr>
          <w:rFonts w:ascii="Arial" w:eastAsia="Calibri" w:hAnsi="Arial" w:cs="Arial"/>
          <w:sz w:val="24"/>
          <w:szCs w:val="20"/>
        </w:rPr>
        <w:t xml:space="preserve">the surety </w:t>
      </w:r>
      <w:r w:rsidR="00DB53DA" w:rsidRPr="0025254F">
        <w:rPr>
          <w:rFonts w:ascii="Arial" w:eastAsia="Calibri" w:hAnsi="Arial" w:cs="Arial"/>
          <w:sz w:val="24"/>
          <w:szCs w:val="20"/>
        </w:rPr>
        <w:t xml:space="preserve">will </w:t>
      </w:r>
      <w:r w:rsidRPr="0025254F">
        <w:rPr>
          <w:rFonts w:ascii="Arial" w:eastAsia="Calibri" w:hAnsi="Arial" w:cs="Arial"/>
          <w:sz w:val="24"/>
          <w:szCs w:val="20"/>
        </w:rPr>
        <w:t>do so</w:t>
      </w:r>
      <w:r w:rsidR="00DB53DA" w:rsidRPr="0025254F">
        <w:rPr>
          <w:rFonts w:ascii="Arial" w:eastAsia="Calibri" w:hAnsi="Arial" w:cs="Arial"/>
          <w:sz w:val="24"/>
          <w:szCs w:val="20"/>
        </w:rPr>
        <w:t>’</w:t>
      </w:r>
      <w:r w:rsidRPr="0025254F">
        <w:rPr>
          <w:rFonts w:ascii="Arial" w:eastAsia="Calibri" w:hAnsi="Arial" w:cs="Arial"/>
          <w:sz w:val="24"/>
          <w:szCs w:val="20"/>
        </w:rPr>
        <w:t>. A guarantor</w:t>
      </w:r>
      <w:r w:rsidR="00601108" w:rsidRPr="0025254F">
        <w:rPr>
          <w:rFonts w:ascii="Arial" w:eastAsia="Calibri" w:hAnsi="Arial" w:cs="Arial"/>
          <w:sz w:val="24"/>
          <w:szCs w:val="20"/>
        </w:rPr>
        <w:t>,</w:t>
      </w:r>
      <w:r w:rsidR="00FB1262" w:rsidRPr="0025254F">
        <w:rPr>
          <w:rFonts w:ascii="Arial" w:eastAsia="Calibri" w:hAnsi="Arial" w:cs="Arial"/>
          <w:sz w:val="24"/>
          <w:szCs w:val="20"/>
        </w:rPr>
        <w:t xml:space="preserve"> on the other hand</w:t>
      </w:r>
      <w:r w:rsidR="0056099B" w:rsidRPr="0025254F">
        <w:rPr>
          <w:rFonts w:ascii="Arial" w:eastAsia="Calibri" w:hAnsi="Arial" w:cs="Arial"/>
          <w:sz w:val="24"/>
          <w:szCs w:val="20"/>
        </w:rPr>
        <w:t xml:space="preserve">, </w:t>
      </w:r>
      <w:r w:rsidR="00DB53DA" w:rsidRPr="0025254F">
        <w:rPr>
          <w:rFonts w:ascii="Arial" w:eastAsia="Calibri" w:hAnsi="Arial" w:cs="Arial"/>
          <w:sz w:val="24"/>
          <w:szCs w:val="20"/>
        </w:rPr>
        <w:t>‘</w:t>
      </w:r>
      <w:r w:rsidR="0056099B" w:rsidRPr="0025254F">
        <w:rPr>
          <w:rFonts w:ascii="Arial" w:eastAsia="Calibri" w:hAnsi="Arial" w:cs="Arial"/>
          <w:sz w:val="24"/>
          <w:szCs w:val="20"/>
        </w:rPr>
        <w:t>undertakes to pay on the happening of a certain event</w:t>
      </w:r>
      <w:r w:rsidR="00DB53DA" w:rsidRPr="0025254F">
        <w:rPr>
          <w:rFonts w:ascii="Arial" w:eastAsia="Calibri" w:hAnsi="Arial" w:cs="Arial"/>
          <w:sz w:val="24"/>
          <w:szCs w:val="20"/>
        </w:rPr>
        <w:t xml:space="preserve"> but does not promise that that</w:t>
      </w:r>
      <w:r w:rsidR="0056099B" w:rsidRPr="0025254F">
        <w:rPr>
          <w:rFonts w:ascii="Arial" w:eastAsia="Calibri" w:hAnsi="Arial" w:cs="Arial"/>
          <w:sz w:val="24"/>
          <w:szCs w:val="20"/>
        </w:rPr>
        <w:t xml:space="preserve"> event will not happen</w:t>
      </w:r>
      <w:r w:rsidR="00DB53DA" w:rsidRPr="0025254F">
        <w:rPr>
          <w:rFonts w:ascii="Arial" w:eastAsia="Calibri" w:hAnsi="Arial" w:cs="Arial"/>
          <w:sz w:val="24"/>
          <w:szCs w:val="20"/>
        </w:rPr>
        <w:t>’</w:t>
      </w:r>
      <w:r w:rsidR="0056099B" w:rsidRPr="0025254F">
        <w:rPr>
          <w:rFonts w:ascii="Arial" w:eastAsia="Calibri" w:hAnsi="Arial" w:cs="Arial"/>
          <w:sz w:val="24"/>
          <w:szCs w:val="20"/>
        </w:rPr>
        <w:t>.</w:t>
      </w:r>
      <w:r w:rsidR="00601108" w:rsidRPr="0025254F">
        <w:rPr>
          <w:rFonts w:ascii="Arial" w:eastAsia="Calibri" w:hAnsi="Arial" w:cs="Arial"/>
          <w:sz w:val="24"/>
          <w:szCs w:val="20"/>
        </w:rPr>
        <w:t xml:space="preserve"> In conclusion</w:t>
      </w:r>
      <w:r w:rsidR="00DB53DA" w:rsidRPr="0025254F">
        <w:rPr>
          <w:rFonts w:ascii="Arial" w:eastAsia="Calibri" w:hAnsi="Arial" w:cs="Arial"/>
          <w:sz w:val="24"/>
          <w:szCs w:val="20"/>
        </w:rPr>
        <w:t>,</w:t>
      </w:r>
      <w:r w:rsidR="00601108" w:rsidRPr="0025254F">
        <w:rPr>
          <w:rFonts w:ascii="Arial" w:eastAsia="Calibri" w:hAnsi="Arial" w:cs="Arial"/>
          <w:sz w:val="24"/>
          <w:szCs w:val="20"/>
        </w:rPr>
        <w:t xml:space="preserve"> it was stated that</w:t>
      </w:r>
      <w:r w:rsidR="00526D3C" w:rsidRPr="0025254F">
        <w:rPr>
          <w:rFonts w:ascii="Arial" w:eastAsia="Calibri" w:hAnsi="Arial" w:cs="Arial"/>
          <w:sz w:val="24"/>
          <w:szCs w:val="20"/>
        </w:rPr>
        <w:t xml:space="preserve"> </w:t>
      </w:r>
      <w:r w:rsidR="00601108" w:rsidRPr="0025254F">
        <w:rPr>
          <w:rFonts w:ascii="Arial" w:eastAsia="Calibri" w:hAnsi="Arial" w:cs="Arial"/>
          <w:sz w:val="24"/>
          <w:szCs w:val="20"/>
        </w:rPr>
        <w:t>‘it remains difficult to tell them apart particularly where the event guaranteed is the performance of a contractual obligation. As Hahlo and Kahn remark “the distinction often turns on a knife edge”’.</w:t>
      </w:r>
      <w:r w:rsidR="00DB53DA" w:rsidRPr="0025254F">
        <w:rPr>
          <w:rStyle w:val="FootnoteReference"/>
          <w:rFonts w:ascii="Arial" w:eastAsia="Calibri" w:hAnsi="Arial" w:cs="Arial"/>
          <w:sz w:val="24"/>
          <w:szCs w:val="20"/>
        </w:rPr>
        <w:footnoteReference w:id="7"/>
      </w:r>
      <w:r w:rsidR="00601108" w:rsidRPr="0025254F">
        <w:rPr>
          <w:rFonts w:ascii="Arial" w:eastAsia="Calibri" w:hAnsi="Arial" w:cs="Arial"/>
          <w:sz w:val="24"/>
          <w:szCs w:val="20"/>
        </w:rPr>
        <w:t xml:space="preserve"> (</w:t>
      </w:r>
      <w:r w:rsidR="00DB53DA" w:rsidRPr="0025254F">
        <w:rPr>
          <w:rFonts w:ascii="Arial" w:eastAsia="Calibri" w:hAnsi="Arial" w:cs="Arial"/>
          <w:sz w:val="24"/>
          <w:szCs w:val="20"/>
        </w:rPr>
        <w:t xml:space="preserve">Footnotes </w:t>
      </w:r>
      <w:r w:rsidR="00601108" w:rsidRPr="0025254F">
        <w:rPr>
          <w:rFonts w:ascii="Arial" w:eastAsia="Calibri" w:hAnsi="Arial" w:cs="Arial"/>
          <w:sz w:val="24"/>
          <w:szCs w:val="20"/>
        </w:rPr>
        <w:t>omitted</w:t>
      </w:r>
      <w:r w:rsidR="00DB53DA" w:rsidRPr="0025254F">
        <w:rPr>
          <w:rFonts w:ascii="Arial" w:eastAsia="Calibri" w:hAnsi="Arial" w:cs="Arial"/>
          <w:sz w:val="24"/>
          <w:szCs w:val="20"/>
        </w:rPr>
        <w:t>.</w:t>
      </w:r>
      <w:r w:rsidR="00601108" w:rsidRPr="0025254F">
        <w:rPr>
          <w:rFonts w:ascii="Arial" w:eastAsia="Calibri" w:hAnsi="Arial" w:cs="Arial"/>
          <w:sz w:val="24"/>
          <w:szCs w:val="20"/>
        </w:rPr>
        <w:t>)</w:t>
      </w:r>
    </w:p>
    <w:p w14:paraId="358ECCBF" w14:textId="77777777" w:rsidR="00FE1098" w:rsidRPr="0025254F" w:rsidRDefault="00FE1098" w:rsidP="006B48B9">
      <w:pPr>
        <w:spacing w:after="0" w:line="360" w:lineRule="auto"/>
        <w:contextualSpacing/>
        <w:jc w:val="both"/>
        <w:rPr>
          <w:rFonts w:ascii="Arial" w:eastAsia="Calibri" w:hAnsi="Arial" w:cs="Arial"/>
          <w:sz w:val="24"/>
          <w:szCs w:val="20"/>
        </w:rPr>
      </w:pPr>
    </w:p>
    <w:p w14:paraId="425191EE" w14:textId="17CCDB46" w:rsidR="00FE1098" w:rsidRPr="0025254F" w:rsidRDefault="00FE1098" w:rsidP="006B48B9">
      <w:pPr>
        <w:spacing w:after="0" w:line="360" w:lineRule="auto"/>
        <w:contextualSpacing/>
        <w:jc w:val="both"/>
        <w:rPr>
          <w:rFonts w:ascii="Arial" w:eastAsia="Calibri" w:hAnsi="Arial" w:cs="Arial"/>
          <w:sz w:val="24"/>
          <w:szCs w:val="20"/>
        </w:rPr>
      </w:pPr>
      <w:r w:rsidRPr="0025254F">
        <w:rPr>
          <w:rFonts w:ascii="Arial" w:eastAsia="Calibri" w:hAnsi="Arial" w:cs="Arial"/>
          <w:sz w:val="24"/>
          <w:szCs w:val="20"/>
        </w:rPr>
        <w:t>[33]</w:t>
      </w:r>
      <w:r w:rsidR="00DB53DA" w:rsidRPr="0025254F">
        <w:rPr>
          <w:rFonts w:ascii="Arial" w:eastAsia="Calibri" w:hAnsi="Arial" w:cs="Arial"/>
          <w:sz w:val="24"/>
          <w:szCs w:val="20"/>
        </w:rPr>
        <w:tab/>
      </w:r>
      <w:r w:rsidRPr="0025254F">
        <w:rPr>
          <w:rFonts w:ascii="Arial" w:eastAsia="Calibri" w:hAnsi="Arial" w:cs="Arial"/>
          <w:sz w:val="24"/>
          <w:szCs w:val="20"/>
        </w:rPr>
        <w:t xml:space="preserve">Counsel for the applicant referred me to </w:t>
      </w:r>
      <w:r w:rsidRPr="0025254F">
        <w:rPr>
          <w:rFonts w:ascii="Arial" w:eastAsia="Calibri" w:hAnsi="Arial" w:cs="Arial"/>
          <w:i/>
          <w:sz w:val="24"/>
          <w:szCs w:val="20"/>
        </w:rPr>
        <w:t xml:space="preserve">Standard Bank of South Africa Ltd v Essa and </w:t>
      </w:r>
      <w:r w:rsidR="00DA0E26" w:rsidRPr="0025254F">
        <w:rPr>
          <w:rFonts w:ascii="Arial" w:eastAsia="Calibri" w:hAnsi="Arial" w:cs="Arial"/>
          <w:i/>
          <w:sz w:val="24"/>
          <w:szCs w:val="20"/>
        </w:rPr>
        <w:t>others</w:t>
      </w:r>
      <w:r w:rsidR="00DA0E26" w:rsidRPr="0025254F">
        <w:rPr>
          <w:rStyle w:val="FootnoteReference"/>
          <w:rFonts w:ascii="Arial" w:eastAsia="Calibri" w:hAnsi="Arial" w:cs="Arial"/>
          <w:sz w:val="24"/>
          <w:szCs w:val="20"/>
        </w:rPr>
        <w:footnoteReference w:id="8"/>
      </w:r>
      <w:r w:rsidRPr="0025254F">
        <w:rPr>
          <w:rFonts w:ascii="Arial" w:eastAsia="Calibri" w:hAnsi="Arial" w:cs="Arial"/>
          <w:sz w:val="24"/>
          <w:szCs w:val="20"/>
        </w:rPr>
        <w:t xml:space="preserve"> where Binns-Ward J stated the following:</w:t>
      </w:r>
    </w:p>
    <w:p w14:paraId="79FEB774" w14:textId="555A2B3B" w:rsidR="00FE1098" w:rsidRPr="0025254F" w:rsidRDefault="009D7AB6" w:rsidP="006B48B9">
      <w:pPr>
        <w:spacing w:after="0" w:line="360" w:lineRule="auto"/>
        <w:contextualSpacing/>
        <w:jc w:val="both"/>
        <w:rPr>
          <w:rFonts w:ascii="Arial" w:hAnsi="Arial" w:cs="Arial"/>
          <w:color w:val="000000"/>
          <w:shd w:val="clear" w:color="auto" w:fill="FFFFFF"/>
        </w:rPr>
      </w:pPr>
      <w:r w:rsidRPr="0025254F">
        <w:rPr>
          <w:rFonts w:ascii="Arial" w:eastAsia="Calibri" w:hAnsi="Arial" w:cs="Arial"/>
        </w:rPr>
        <w:t>‘</w:t>
      </w:r>
      <w:r w:rsidR="00457758" w:rsidRPr="0025254F">
        <w:rPr>
          <w:rFonts w:ascii="Arial" w:hAnsi="Arial" w:cs="Arial"/>
          <w:color w:val="000000"/>
          <w:shd w:val="clear" w:color="auto" w:fill="FFFFFF"/>
        </w:rPr>
        <w:t>In contending that the suretyships do not qualify as “credit guarantees” within the meaning of the Act the defendants rely on the distinction in law between a guarantee, which imposes a self-standing principal obligation on the guarantor, and a suretyship, which creates an obligation which is entirely accessory to that of a principal debtor. While the distinction between these types of contracts is easy to state in the abstract, in practice it can sometimes be difficult to determine into which of the types a particular agreements falls. It is also a not infrequent occurrence for parties to describe what is unquestionably a contract of suretyship as the provision of a guarantee</w:t>
      </w:r>
      <w:r w:rsidRPr="0025254F">
        <w:rPr>
          <w:rFonts w:ascii="Arial" w:hAnsi="Arial" w:cs="Arial"/>
          <w:color w:val="000000"/>
          <w:shd w:val="clear" w:color="auto" w:fill="FFFFFF"/>
        </w:rPr>
        <w:t>.’</w:t>
      </w:r>
      <w:r w:rsidR="00FE1098" w:rsidRPr="0025254F">
        <w:rPr>
          <w:rFonts w:ascii="Arial" w:hAnsi="Arial" w:cs="Arial"/>
          <w:color w:val="000000"/>
          <w:shd w:val="clear" w:color="auto" w:fill="FFFFFF"/>
        </w:rPr>
        <w:t xml:space="preserve"> (</w:t>
      </w:r>
      <w:r w:rsidR="00457758" w:rsidRPr="0025254F">
        <w:rPr>
          <w:rFonts w:ascii="Arial" w:hAnsi="Arial" w:cs="Arial"/>
          <w:color w:val="000000"/>
          <w:shd w:val="clear" w:color="auto" w:fill="FFFFFF"/>
        </w:rPr>
        <w:t xml:space="preserve">Footnotes </w:t>
      </w:r>
      <w:r w:rsidR="00FE1098" w:rsidRPr="0025254F">
        <w:rPr>
          <w:rFonts w:ascii="Arial" w:hAnsi="Arial" w:cs="Arial"/>
          <w:color w:val="000000"/>
          <w:shd w:val="clear" w:color="auto" w:fill="FFFFFF"/>
        </w:rPr>
        <w:t>omitted</w:t>
      </w:r>
      <w:r w:rsidR="00457758" w:rsidRPr="0025254F">
        <w:rPr>
          <w:rFonts w:ascii="Arial" w:hAnsi="Arial" w:cs="Arial"/>
          <w:color w:val="000000"/>
          <w:shd w:val="clear" w:color="auto" w:fill="FFFFFF"/>
        </w:rPr>
        <w:t>.</w:t>
      </w:r>
      <w:r w:rsidR="00FE1098" w:rsidRPr="0025254F">
        <w:rPr>
          <w:rFonts w:ascii="Arial" w:hAnsi="Arial" w:cs="Arial"/>
          <w:color w:val="000000"/>
          <w:shd w:val="clear" w:color="auto" w:fill="FFFFFF"/>
        </w:rPr>
        <w:t>)</w:t>
      </w:r>
    </w:p>
    <w:p w14:paraId="49198B39" w14:textId="2904C959" w:rsidR="009D7AB6" w:rsidRPr="0025254F" w:rsidRDefault="009D7AB6" w:rsidP="006B48B9">
      <w:pPr>
        <w:spacing w:after="0" w:line="360" w:lineRule="auto"/>
        <w:contextualSpacing/>
        <w:jc w:val="both"/>
        <w:rPr>
          <w:rFonts w:ascii="Arial" w:hAnsi="Arial" w:cs="Arial"/>
          <w:color w:val="000000"/>
          <w:sz w:val="24"/>
          <w:shd w:val="clear" w:color="auto" w:fill="FFFFFF"/>
        </w:rPr>
      </w:pPr>
      <w:r w:rsidRPr="0025254F">
        <w:rPr>
          <w:rFonts w:ascii="Arial" w:hAnsi="Arial" w:cs="Arial"/>
          <w:color w:val="000000"/>
          <w:sz w:val="24"/>
          <w:shd w:val="clear" w:color="auto" w:fill="FFFFFF"/>
        </w:rPr>
        <w:t xml:space="preserve">The court </w:t>
      </w:r>
      <w:r w:rsidR="004249C6" w:rsidRPr="00D6626F">
        <w:rPr>
          <w:rFonts w:ascii="Arial" w:hAnsi="Arial" w:cs="Arial"/>
          <w:i/>
          <w:color w:val="000000"/>
          <w:sz w:val="24"/>
          <w:shd w:val="clear" w:color="auto" w:fill="FFFFFF"/>
        </w:rPr>
        <w:t>inter alia</w:t>
      </w:r>
      <w:r w:rsidR="004249C6">
        <w:rPr>
          <w:rFonts w:ascii="Arial" w:hAnsi="Arial" w:cs="Arial"/>
          <w:color w:val="000000"/>
          <w:sz w:val="24"/>
          <w:shd w:val="clear" w:color="auto" w:fill="FFFFFF"/>
        </w:rPr>
        <w:t xml:space="preserve"> </w:t>
      </w:r>
      <w:r w:rsidRPr="0025254F">
        <w:rPr>
          <w:rFonts w:ascii="Arial" w:hAnsi="Arial" w:cs="Arial"/>
          <w:color w:val="000000"/>
          <w:sz w:val="24"/>
          <w:shd w:val="clear" w:color="auto" w:fill="FFFFFF"/>
        </w:rPr>
        <w:t xml:space="preserve">referred to the same passages from </w:t>
      </w:r>
      <w:r w:rsidRPr="0025254F">
        <w:rPr>
          <w:rFonts w:ascii="Arial" w:hAnsi="Arial" w:cs="Arial"/>
          <w:i/>
          <w:color w:val="000000"/>
          <w:sz w:val="24"/>
          <w:shd w:val="clear" w:color="auto" w:fill="FFFFFF"/>
        </w:rPr>
        <w:t>Caney</w:t>
      </w:r>
      <w:r w:rsidR="00457758" w:rsidRPr="0025254F">
        <w:rPr>
          <w:rFonts w:ascii="Arial" w:hAnsi="Arial" w:cs="Arial"/>
          <w:i/>
          <w:color w:val="000000"/>
          <w:sz w:val="24"/>
          <w:shd w:val="clear" w:color="auto" w:fill="FFFFFF"/>
        </w:rPr>
        <w:t>’s</w:t>
      </w:r>
      <w:r w:rsidRPr="0025254F">
        <w:rPr>
          <w:rFonts w:ascii="Arial" w:hAnsi="Arial" w:cs="Arial"/>
          <w:color w:val="000000"/>
          <w:sz w:val="24"/>
          <w:shd w:val="clear" w:color="auto" w:fill="FFFFFF"/>
        </w:rPr>
        <w:t xml:space="preserve"> </w:t>
      </w:r>
      <w:r w:rsidR="00506051">
        <w:rPr>
          <w:rFonts w:ascii="Arial" w:hAnsi="Arial" w:cs="Arial"/>
          <w:color w:val="000000"/>
          <w:sz w:val="24"/>
          <w:shd w:val="clear" w:color="auto" w:fill="FFFFFF"/>
        </w:rPr>
        <w:t xml:space="preserve">which </w:t>
      </w:r>
      <w:r w:rsidR="00B1012F">
        <w:rPr>
          <w:rFonts w:ascii="Arial" w:hAnsi="Arial" w:cs="Arial"/>
          <w:color w:val="000000"/>
          <w:sz w:val="24"/>
          <w:shd w:val="clear" w:color="auto" w:fill="FFFFFF"/>
        </w:rPr>
        <w:t>were</w:t>
      </w:r>
      <w:r w:rsidR="00506051">
        <w:rPr>
          <w:rFonts w:ascii="Arial" w:hAnsi="Arial" w:cs="Arial"/>
          <w:color w:val="000000"/>
          <w:sz w:val="24"/>
          <w:shd w:val="clear" w:color="auto" w:fill="FFFFFF"/>
        </w:rPr>
        <w:t xml:space="preserve"> </w:t>
      </w:r>
      <w:r w:rsidRPr="0025254F">
        <w:rPr>
          <w:rFonts w:ascii="Arial" w:hAnsi="Arial" w:cs="Arial"/>
          <w:color w:val="000000"/>
          <w:sz w:val="24"/>
          <w:shd w:val="clear" w:color="auto" w:fill="FFFFFF"/>
        </w:rPr>
        <w:t>quoted above. It was</w:t>
      </w:r>
      <w:r w:rsidR="00457758" w:rsidRPr="0025254F">
        <w:rPr>
          <w:rFonts w:ascii="Arial" w:hAnsi="Arial" w:cs="Arial"/>
          <w:color w:val="000000"/>
          <w:sz w:val="24"/>
          <w:shd w:val="clear" w:color="auto" w:fill="FFFFFF"/>
        </w:rPr>
        <w:t>,</w:t>
      </w:r>
      <w:r w:rsidRPr="0025254F">
        <w:rPr>
          <w:rFonts w:ascii="Arial" w:hAnsi="Arial" w:cs="Arial"/>
          <w:color w:val="000000"/>
          <w:sz w:val="24"/>
          <w:shd w:val="clear" w:color="auto" w:fill="FFFFFF"/>
        </w:rPr>
        <w:t xml:space="preserve"> however</w:t>
      </w:r>
      <w:r w:rsidR="00B1012F">
        <w:rPr>
          <w:rFonts w:ascii="Arial" w:hAnsi="Arial" w:cs="Arial"/>
          <w:color w:val="000000"/>
          <w:sz w:val="24"/>
          <w:shd w:val="clear" w:color="auto" w:fill="FFFFFF"/>
        </w:rPr>
        <w:t>,</w:t>
      </w:r>
      <w:r w:rsidRPr="0025254F">
        <w:rPr>
          <w:rFonts w:ascii="Arial" w:hAnsi="Arial" w:cs="Arial"/>
          <w:color w:val="000000"/>
          <w:sz w:val="24"/>
          <w:shd w:val="clear" w:color="auto" w:fill="FFFFFF"/>
        </w:rPr>
        <w:t xml:space="preserve"> seized with </w:t>
      </w:r>
      <w:r w:rsidR="00457758" w:rsidRPr="0025254F">
        <w:rPr>
          <w:rFonts w:ascii="Arial" w:hAnsi="Arial" w:cs="Arial"/>
          <w:color w:val="000000"/>
          <w:sz w:val="24"/>
          <w:shd w:val="clear" w:color="auto" w:fill="FFFFFF"/>
        </w:rPr>
        <w:t xml:space="preserve">deeds </w:t>
      </w:r>
      <w:r w:rsidRPr="0025254F">
        <w:rPr>
          <w:rFonts w:ascii="Arial" w:hAnsi="Arial" w:cs="Arial"/>
          <w:color w:val="000000"/>
          <w:sz w:val="24"/>
          <w:shd w:val="clear" w:color="auto" w:fill="FFFFFF"/>
        </w:rPr>
        <w:t xml:space="preserve">of </w:t>
      </w:r>
      <w:r w:rsidR="00457758" w:rsidRPr="0025254F">
        <w:rPr>
          <w:rFonts w:ascii="Arial" w:hAnsi="Arial" w:cs="Arial"/>
          <w:color w:val="000000"/>
          <w:sz w:val="24"/>
          <w:shd w:val="clear" w:color="auto" w:fill="FFFFFF"/>
        </w:rPr>
        <w:t xml:space="preserve">suretyships </w:t>
      </w:r>
      <w:r w:rsidRPr="0025254F">
        <w:rPr>
          <w:rFonts w:ascii="Arial" w:hAnsi="Arial" w:cs="Arial"/>
          <w:color w:val="000000"/>
          <w:sz w:val="24"/>
          <w:shd w:val="clear" w:color="auto" w:fill="FFFFFF"/>
        </w:rPr>
        <w:t>executed by the defendants.</w:t>
      </w:r>
    </w:p>
    <w:p w14:paraId="473A892F" w14:textId="77777777" w:rsidR="007F1A47" w:rsidRPr="0025254F" w:rsidRDefault="007F1A47" w:rsidP="006B48B9">
      <w:pPr>
        <w:spacing w:after="0" w:line="360" w:lineRule="auto"/>
        <w:contextualSpacing/>
        <w:jc w:val="both"/>
        <w:rPr>
          <w:rFonts w:ascii="Arial" w:eastAsia="Calibri" w:hAnsi="Arial" w:cs="Arial"/>
          <w:sz w:val="24"/>
          <w:szCs w:val="20"/>
        </w:rPr>
      </w:pPr>
    </w:p>
    <w:p w14:paraId="6468A224" w14:textId="4DB4ECFF" w:rsidR="00F30503" w:rsidRPr="0025254F" w:rsidRDefault="009D7AB6" w:rsidP="006B48B9">
      <w:pPr>
        <w:spacing w:after="0" w:line="360" w:lineRule="auto"/>
        <w:contextualSpacing/>
        <w:jc w:val="both"/>
        <w:rPr>
          <w:rFonts w:ascii="Arial" w:eastAsia="Calibri" w:hAnsi="Arial" w:cs="Arial"/>
          <w:sz w:val="24"/>
          <w:szCs w:val="20"/>
        </w:rPr>
      </w:pPr>
      <w:r w:rsidRPr="0025254F">
        <w:rPr>
          <w:rFonts w:ascii="Arial" w:eastAsia="Calibri" w:hAnsi="Arial" w:cs="Arial"/>
          <w:sz w:val="24"/>
          <w:szCs w:val="20"/>
        </w:rPr>
        <w:t>[34</w:t>
      </w:r>
      <w:r w:rsidR="00F30503" w:rsidRPr="0025254F">
        <w:rPr>
          <w:rFonts w:ascii="Arial" w:eastAsia="Calibri" w:hAnsi="Arial" w:cs="Arial"/>
          <w:sz w:val="24"/>
          <w:szCs w:val="20"/>
        </w:rPr>
        <w:t>]</w:t>
      </w:r>
      <w:r w:rsidR="00EB532B" w:rsidRPr="0025254F">
        <w:rPr>
          <w:rFonts w:ascii="Arial" w:eastAsia="Calibri" w:hAnsi="Arial" w:cs="Arial"/>
          <w:sz w:val="24"/>
          <w:szCs w:val="20"/>
        </w:rPr>
        <w:tab/>
      </w:r>
      <w:r w:rsidR="003F130E" w:rsidRPr="0025254F">
        <w:rPr>
          <w:rFonts w:ascii="Arial" w:eastAsia="Calibri" w:hAnsi="Arial" w:cs="Arial"/>
          <w:sz w:val="24"/>
          <w:szCs w:val="20"/>
        </w:rPr>
        <w:t>It was submitted on behalf of the applicant</w:t>
      </w:r>
      <w:r w:rsidR="00457758" w:rsidRPr="0025254F">
        <w:rPr>
          <w:rFonts w:ascii="Arial" w:eastAsia="Calibri" w:hAnsi="Arial" w:cs="Arial"/>
          <w:sz w:val="24"/>
          <w:szCs w:val="20"/>
        </w:rPr>
        <w:t xml:space="preserve">, with reference to </w:t>
      </w:r>
      <w:r w:rsidR="00457758" w:rsidRPr="0025254F">
        <w:rPr>
          <w:rFonts w:ascii="Arial" w:eastAsia="Calibri" w:hAnsi="Arial" w:cs="Arial"/>
          <w:i/>
          <w:sz w:val="24"/>
          <w:szCs w:val="20"/>
        </w:rPr>
        <w:t>Natal Joint Municipal Pension Fund v Endumeni Municipality</w:t>
      </w:r>
      <w:r w:rsidR="00457758" w:rsidRPr="0025254F">
        <w:rPr>
          <w:rFonts w:ascii="Arial" w:eastAsia="Calibri" w:hAnsi="Arial" w:cs="Arial"/>
          <w:sz w:val="24"/>
          <w:szCs w:val="20"/>
        </w:rPr>
        <w:t>,</w:t>
      </w:r>
      <w:r w:rsidR="00457758" w:rsidRPr="0025254F">
        <w:rPr>
          <w:rStyle w:val="FootnoteReference"/>
          <w:rFonts w:ascii="Arial" w:eastAsia="Calibri" w:hAnsi="Arial" w:cs="Arial"/>
          <w:sz w:val="24"/>
          <w:szCs w:val="20"/>
        </w:rPr>
        <w:footnoteReference w:id="9"/>
      </w:r>
      <w:r w:rsidR="001C5ED0" w:rsidRPr="0025254F">
        <w:rPr>
          <w:rFonts w:ascii="Arial" w:eastAsia="Calibri" w:hAnsi="Arial" w:cs="Arial"/>
          <w:sz w:val="24"/>
          <w:szCs w:val="20"/>
        </w:rPr>
        <w:t xml:space="preserve"> </w:t>
      </w:r>
      <w:r w:rsidR="003F130E" w:rsidRPr="0025254F">
        <w:rPr>
          <w:rFonts w:ascii="Arial" w:eastAsia="Calibri" w:hAnsi="Arial" w:cs="Arial"/>
          <w:sz w:val="24"/>
          <w:szCs w:val="20"/>
        </w:rPr>
        <w:t>that when interpreting a document</w:t>
      </w:r>
      <w:r w:rsidR="001C5ED0" w:rsidRPr="0025254F">
        <w:rPr>
          <w:rFonts w:ascii="Arial" w:eastAsia="Calibri" w:hAnsi="Arial" w:cs="Arial"/>
          <w:sz w:val="24"/>
          <w:szCs w:val="20"/>
        </w:rPr>
        <w:t xml:space="preserve"> such as a guarantee</w:t>
      </w:r>
      <w:r w:rsidR="003F130E" w:rsidRPr="0025254F">
        <w:rPr>
          <w:rFonts w:ascii="Arial" w:eastAsia="Calibri" w:hAnsi="Arial" w:cs="Arial"/>
          <w:sz w:val="24"/>
          <w:szCs w:val="20"/>
        </w:rPr>
        <w:t>, ‘the inevitable point of departure’ is the language used in the guarantee. A cou</w:t>
      </w:r>
      <w:r w:rsidR="001C5ED0" w:rsidRPr="0025254F">
        <w:rPr>
          <w:rFonts w:ascii="Arial" w:eastAsia="Calibri" w:hAnsi="Arial" w:cs="Arial"/>
          <w:sz w:val="24"/>
          <w:szCs w:val="20"/>
        </w:rPr>
        <w:t>rt furthermore has to take</w:t>
      </w:r>
      <w:r w:rsidR="00526D3C" w:rsidRPr="0025254F">
        <w:rPr>
          <w:rFonts w:ascii="Arial" w:eastAsia="Calibri" w:hAnsi="Arial" w:cs="Arial"/>
          <w:sz w:val="24"/>
          <w:szCs w:val="20"/>
        </w:rPr>
        <w:t xml:space="preserve"> </w:t>
      </w:r>
      <w:r w:rsidR="003F130E" w:rsidRPr="0025254F">
        <w:rPr>
          <w:rFonts w:ascii="Arial" w:eastAsia="Calibri" w:hAnsi="Arial" w:cs="Arial"/>
          <w:sz w:val="24"/>
          <w:szCs w:val="20"/>
        </w:rPr>
        <w:t>the context and purpose into account when interpreting a contract.</w:t>
      </w:r>
      <w:r w:rsidR="00457758" w:rsidRPr="0025254F">
        <w:rPr>
          <w:rStyle w:val="FootnoteReference"/>
          <w:rFonts w:ascii="Arial" w:eastAsia="Calibri" w:hAnsi="Arial" w:cs="Arial"/>
          <w:sz w:val="24"/>
          <w:szCs w:val="20"/>
        </w:rPr>
        <w:footnoteReference w:id="10"/>
      </w:r>
    </w:p>
    <w:p w14:paraId="32D66DC9" w14:textId="77777777" w:rsidR="007F1A47" w:rsidRPr="0025254F" w:rsidRDefault="007F1A47" w:rsidP="006B48B9">
      <w:pPr>
        <w:spacing w:after="0" w:line="360" w:lineRule="auto"/>
        <w:contextualSpacing/>
        <w:jc w:val="both"/>
        <w:rPr>
          <w:rFonts w:ascii="Arial" w:eastAsia="Calibri" w:hAnsi="Arial" w:cs="Arial"/>
          <w:sz w:val="24"/>
          <w:szCs w:val="20"/>
        </w:rPr>
      </w:pPr>
    </w:p>
    <w:p w14:paraId="3FE6E729" w14:textId="02886CDD" w:rsidR="000360E1" w:rsidRPr="0025254F" w:rsidRDefault="009D7AB6" w:rsidP="006B48B9">
      <w:pPr>
        <w:spacing w:after="0" w:line="360" w:lineRule="auto"/>
        <w:contextualSpacing/>
        <w:jc w:val="both"/>
        <w:rPr>
          <w:rFonts w:ascii="Arial" w:eastAsia="Calibri" w:hAnsi="Arial" w:cs="Arial"/>
          <w:sz w:val="24"/>
          <w:szCs w:val="20"/>
        </w:rPr>
      </w:pPr>
      <w:r w:rsidRPr="0025254F">
        <w:rPr>
          <w:rFonts w:ascii="Arial" w:eastAsia="Calibri" w:hAnsi="Arial" w:cs="Arial"/>
          <w:sz w:val="24"/>
          <w:szCs w:val="20"/>
        </w:rPr>
        <w:t>[35</w:t>
      </w:r>
      <w:r w:rsidR="00F30503" w:rsidRPr="0025254F">
        <w:rPr>
          <w:rFonts w:ascii="Arial" w:eastAsia="Calibri" w:hAnsi="Arial" w:cs="Arial"/>
          <w:sz w:val="24"/>
          <w:szCs w:val="20"/>
        </w:rPr>
        <w:t>]</w:t>
      </w:r>
      <w:r w:rsidR="00457758" w:rsidRPr="0025254F">
        <w:rPr>
          <w:rFonts w:ascii="Arial" w:eastAsia="Calibri" w:hAnsi="Arial" w:cs="Arial"/>
          <w:sz w:val="24"/>
          <w:szCs w:val="20"/>
        </w:rPr>
        <w:tab/>
      </w:r>
      <w:r w:rsidR="003F130E" w:rsidRPr="0025254F">
        <w:rPr>
          <w:rFonts w:ascii="Arial" w:eastAsia="Calibri" w:hAnsi="Arial" w:cs="Arial"/>
          <w:sz w:val="24"/>
          <w:szCs w:val="20"/>
        </w:rPr>
        <w:t>Counsel for the applicant also refer</w:t>
      </w:r>
      <w:r w:rsidR="001C5ED0" w:rsidRPr="0025254F">
        <w:rPr>
          <w:rFonts w:ascii="Arial" w:eastAsia="Calibri" w:hAnsi="Arial" w:cs="Arial"/>
          <w:sz w:val="24"/>
          <w:szCs w:val="20"/>
        </w:rPr>
        <w:t xml:space="preserve">red to </w:t>
      </w:r>
      <w:r w:rsidR="001C5ED0" w:rsidRPr="0025254F">
        <w:rPr>
          <w:rFonts w:ascii="Arial" w:eastAsia="Calibri" w:hAnsi="Arial" w:cs="Arial"/>
          <w:i/>
          <w:sz w:val="24"/>
          <w:szCs w:val="20"/>
        </w:rPr>
        <w:t>Capitec</w:t>
      </w:r>
      <w:r w:rsidR="003F130E" w:rsidRPr="0025254F">
        <w:rPr>
          <w:rFonts w:ascii="Arial" w:eastAsia="Calibri" w:hAnsi="Arial" w:cs="Arial"/>
          <w:i/>
          <w:sz w:val="24"/>
          <w:szCs w:val="20"/>
        </w:rPr>
        <w:t xml:space="preserve"> Bank Holdings</w:t>
      </w:r>
      <w:r w:rsidR="002E1F4B" w:rsidRPr="0025254F">
        <w:rPr>
          <w:rFonts w:ascii="Arial" w:eastAsia="Calibri" w:hAnsi="Arial" w:cs="Arial"/>
          <w:i/>
          <w:sz w:val="24"/>
          <w:szCs w:val="20"/>
        </w:rPr>
        <w:t xml:space="preserve"> Ltd</w:t>
      </w:r>
      <w:r w:rsidR="003F130E" w:rsidRPr="0025254F">
        <w:rPr>
          <w:rFonts w:ascii="Arial" w:eastAsia="Calibri" w:hAnsi="Arial" w:cs="Arial"/>
          <w:i/>
          <w:sz w:val="24"/>
          <w:szCs w:val="20"/>
        </w:rPr>
        <w:t xml:space="preserve"> and </w:t>
      </w:r>
      <w:r w:rsidR="002E1F4B" w:rsidRPr="0025254F">
        <w:rPr>
          <w:rFonts w:ascii="Arial" w:eastAsia="Calibri" w:hAnsi="Arial" w:cs="Arial"/>
          <w:i/>
          <w:sz w:val="24"/>
          <w:szCs w:val="20"/>
        </w:rPr>
        <w:t xml:space="preserve">another </w:t>
      </w:r>
      <w:r w:rsidR="003F130E" w:rsidRPr="0025254F">
        <w:rPr>
          <w:rFonts w:ascii="Arial" w:eastAsia="Calibri" w:hAnsi="Arial" w:cs="Arial"/>
          <w:i/>
          <w:sz w:val="24"/>
          <w:szCs w:val="20"/>
        </w:rPr>
        <w:t>v Coral Lagoon Investments 19</w:t>
      </w:r>
      <w:r w:rsidR="002E1F4B" w:rsidRPr="0025254F">
        <w:rPr>
          <w:rFonts w:ascii="Arial" w:eastAsia="Calibri" w:hAnsi="Arial" w:cs="Arial"/>
          <w:i/>
          <w:sz w:val="24"/>
          <w:szCs w:val="20"/>
        </w:rPr>
        <w:t>4</w:t>
      </w:r>
      <w:r w:rsidR="003F130E" w:rsidRPr="0025254F">
        <w:rPr>
          <w:rFonts w:ascii="Arial" w:eastAsia="Calibri" w:hAnsi="Arial" w:cs="Arial"/>
          <w:i/>
          <w:sz w:val="24"/>
          <w:szCs w:val="20"/>
        </w:rPr>
        <w:t xml:space="preserve"> (Pty) Ltd and </w:t>
      </w:r>
      <w:r w:rsidR="002E1F4B" w:rsidRPr="0025254F">
        <w:rPr>
          <w:rFonts w:ascii="Arial" w:eastAsia="Calibri" w:hAnsi="Arial" w:cs="Arial"/>
          <w:i/>
          <w:sz w:val="24"/>
          <w:szCs w:val="20"/>
        </w:rPr>
        <w:t>others</w:t>
      </w:r>
      <w:r w:rsidR="00457758" w:rsidRPr="0025254F">
        <w:rPr>
          <w:rStyle w:val="FootnoteReference"/>
          <w:rFonts w:ascii="Arial" w:eastAsia="Calibri" w:hAnsi="Arial" w:cs="Arial"/>
          <w:sz w:val="24"/>
          <w:szCs w:val="20"/>
        </w:rPr>
        <w:footnoteReference w:id="11"/>
      </w:r>
      <w:r w:rsidR="003F130E" w:rsidRPr="0025254F">
        <w:rPr>
          <w:rFonts w:ascii="Arial" w:eastAsia="Calibri" w:hAnsi="Arial" w:cs="Arial"/>
          <w:sz w:val="24"/>
          <w:szCs w:val="20"/>
        </w:rPr>
        <w:t xml:space="preserve"> where Unterhalter AJA held </w:t>
      </w:r>
      <w:r w:rsidR="002E1F4B" w:rsidRPr="0025254F">
        <w:rPr>
          <w:rFonts w:ascii="Arial" w:eastAsia="Calibri" w:hAnsi="Arial" w:cs="Arial"/>
          <w:sz w:val="24"/>
          <w:szCs w:val="20"/>
        </w:rPr>
        <w:t>that</w:t>
      </w:r>
      <w:r w:rsidR="003F130E" w:rsidRPr="0025254F">
        <w:rPr>
          <w:rFonts w:ascii="Arial" w:eastAsia="Calibri" w:hAnsi="Arial" w:cs="Arial"/>
          <w:sz w:val="24"/>
          <w:szCs w:val="20"/>
        </w:rPr>
        <w:t>:</w:t>
      </w:r>
      <w:r w:rsidR="00EB532B" w:rsidRPr="0025254F">
        <w:rPr>
          <w:rFonts w:ascii="Arial" w:eastAsia="Calibri" w:hAnsi="Arial" w:cs="Arial"/>
          <w:sz w:val="24"/>
          <w:szCs w:val="20"/>
        </w:rPr>
        <w:tab/>
      </w:r>
    </w:p>
    <w:p w14:paraId="29A7B5C2" w14:textId="0F110972" w:rsidR="001152AF" w:rsidRPr="0025254F" w:rsidRDefault="001152AF" w:rsidP="001152AF">
      <w:pPr>
        <w:spacing w:after="0" w:line="360" w:lineRule="auto"/>
        <w:contextualSpacing/>
        <w:jc w:val="both"/>
        <w:rPr>
          <w:rFonts w:ascii="Arial" w:eastAsia="Calibri" w:hAnsi="Arial" w:cs="Arial"/>
          <w:szCs w:val="20"/>
        </w:rPr>
      </w:pPr>
      <w:r w:rsidRPr="0025254F">
        <w:rPr>
          <w:rFonts w:ascii="Arial" w:eastAsia="Calibri" w:hAnsi="Arial" w:cs="Arial"/>
          <w:szCs w:val="20"/>
        </w:rPr>
        <w:t>‘[25] . . . The much-cited passages from </w:t>
      </w:r>
      <w:r w:rsidRPr="0025254F">
        <w:rPr>
          <w:rFonts w:ascii="Arial" w:eastAsia="Calibri" w:hAnsi="Arial" w:cs="Arial"/>
          <w:i/>
          <w:iCs/>
          <w:szCs w:val="20"/>
        </w:rPr>
        <w:t>Natal Joint Municipal Pension Fund v Endumeni Municipality (Endumeni</w:t>
      </w:r>
      <w:r w:rsidRPr="0025254F">
        <w:rPr>
          <w:rFonts w:ascii="Arial" w:eastAsia="Calibri" w:hAnsi="Arial" w:cs="Arial"/>
          <w:szCs w:val="20"/>
        </w:rPr>
        <w:t>) </w:t>
      </w:r>
      <w:bookmarkStart w:id="3" w:name="0-0-0-31933"/>
      <w:bookmarkEnd w:id="3"/>
      <w:r w:rsidRPr="0025254F">
        <w:rPr>
          <w:rFonts w:ascii="Arial" w:eastAsia="Calibri" w:hAnsi="Arial" w:cs="Arial"/>
          <w:szCs w:val="20"/>
        </w:rPr>
        <w:t>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 the enterprise by recourse to which a coherent and salient interpretation is determined. As </w:t>
      </w:r>
      <w:r w:rsidRPr="0025254F">
        <w:rPr>
          <w:rFonts w:ascii="Arial" w:eastAsia="Calibri" w:hAnsi="Arial" w:cs="Arial"/>
          <w:i/>
          <w:iCs/>
          <w:szCs w:val="20"/>
        </w:rPr>
        <w:t>Endumeni</w:t>
      </w:r>
      <w:r w:rsidRPr="0025254F">
        <w:rPr>
          <w:rFonts w:ascii="Arial" w:eastAsia="Calibri" w:hAnsi="Arial" w:cs="Arial"/>
          <w:szCs w:val="20"/>
        </w:rPr>
        <w:t> emphasised, citing well-known cases, “(t)he inevitable point of departure is the language of the provision itself”. </w:t>
      </w:r>
      <w:bookmarkStart w:id="4" w:name="0-0-0-31937"/>
      <w:bookmarkEnd w:id="4"/>
      <w:r w:rsidRPr="0025254F">
        <w:rPr>
          <w:rFonts w:ascii="Arial" w:eastAsia="Calibri" w:hAnsi="Arial" w:cs="Arial"/>
          <w:szCs w:val="20"/>
        </w:rPr>
        <w:t xml:space="preserve"> </w:t>
      </w:r>
    </w:p>
    <w:p w14:paraId="0D77EED2" w14:textId="4CF21A32" w:rsidR="005071DB" w:rsidRPr="0025254F" w:rsidRDefault="001152AF" w:rsidP="001152AF">
      <w:pPr>
        <w:spacing w:after="0" w:line="360" w:lineRule="auto"/>
        <w:contextualSpacing/>
        <w:jc w:val="both"/>
        <w:rPr>
          <w:rFonts w:ascii="Arial" w:eastAsia="Times New Roman" w:hAnsi="Arial" w:cs="Arial"/>
          <w:color w:val="242121"/>
          <w:sz w:val="24"/>
          <w:szCs w:val="27"/>
          <w:lang w:eastAsia="en-GB"/>
        </w:rPr>
      </w:pPr>
      <w:r w:rsidRPr="0025254F">
        <w:rPr>
          <w:rFonts w:ascii="Arial" w:eastAsia="Calibri" w:hAnsi="Arial" w:cs="Arial"/>
          <w:szCs w:val="20"/>
        </w:rPr>
        <w:t>[26] . . . </w:t>
      </w:r>
      <w:r w:rsidRPr="0025254F">
        <w:rPr>
          <w:rFonts w:ascii="Arial" w:eastAsia="Calibri" w:hAnsi="Arial" w:cs="Arial"/>
          <w:i/>
          <w:iCs/>
          <w:szCs w:val="20"/>
        </w:rPr>
        <w:t>Endumeni</w:t>
      </w:r>
      <w:r w:rsidRPr="0025254F">
        <w:rPr>
          <w:rFonts w:ascii="Arial" w:eastAsia="Calibri" w:hAnsi="Arial" w:cs="Arial"/>
          <w:szCs w:val="20"/>
        </w:rPr>
        <w:t> is not a charter for judicial constructs premised upon what a contract should be taken to mean from a vantage point that is not l</w:t>
      </w:r>
      <w:bookmarkStart w:id="5" w:name="_GoBack"/>
      <w:bookmarkEnd w:id="5"/>
      <w:r w:rsidRPr="0025254F">
        <w:rPr>
          <w:rFonts w:ascii="Arial" w:eastAsia="Calibri" w:hAnsi="Arial" w:cs="Arial"/>
          <w:szCs w:val="20"/>
        </w:rPr>
        <w:t>ocated in the text of what the parties in fact agreed. Nor does </w:t>
      </w:r>
      <w:r w:rsidRPr="0025254F">
        <w:rPr>
          <w:rFonts w:ascii="Arial" w:eastAsia="Calibri" w:hAnsi="Arial" w:cs="Arial"/>
          <w:i/>
          <w:iCs/>
          <w:szCs w:val="20"/>
        </w:rPr>
        <w:t>Endumeni</w:t>
      </w:r>
      <w:r w:rsidRPr="0025254F">
        <w:rPr>
          <w:rFonts w:ascii="Arial" w:eastAsia="Calibri" w:hAnsi="Arial" w:cs="Arial"/>
          <w:szCs w:val="20"/>
        </w:rPr>
        <w:t> license judicial interpretation that imports meanings into a contract so as to make it a better contract, or one that is ethically preferable.</w:t>
      </w:r>
      <w:r w:rsidR="000360E1" w:rsidRPr="0025254F">
        <w:rPr>
          <w:rFonts w:ascii="Arial" w:eastAsia="Times New Roman" w:hAnsi="Arial" w:cs="Arial"/>
          <w:color w:val="242121"/>
          <w:szCs w:val="24"/>
          <w:lang w:eastAsia="en-GB"/>
        </w:rPr>
        <w:t>’</w:t>
      </w:r>
      <w:r w:rsidR="00526D3C" w:rsidRPr="0025254F">
        <w:rPr>
          <w:rFonts w:ascii="Arial" w:eastAsia="Times New Roman" w:hAnsi="Arial" w:cs="Arial"/>
          <w:color w:val="242121"/>
          <w:szCs w:val="24"/>
          <w:lang w:eastAsia="en-GB"/>
        </w:rPr>
        <w:t xml:space="preserve"> </w:t>
      </w:r>
      <w:r w:rsidR="000360E1" w:rsidRPr="0025254F">
        <w:rPr>
          <w:rFonts w:ascii="Arial" w:eastAsia="Times New Roman" w:hAnsi="Arial" w:cs="Arial"/>
          <w:color w:val="242121"/>
          <w:szCs w:val="24"/>
          <w:lang w:eastAsia="en-GB"/>
        </w:rPr>
        <w:t>(</w:t>
      </w:r>
      <w:r w:rsidRPr="0025254F">
        <w:rPr>
          <w:rFonts w:ascii="Arial" w:eastAsia="Times New Roman" w:hAnsi="Arial" w:cs="Arial"/>
          <w:color w:val="242121"/>
          <w:szCs w:val="24"/>
          <w:lang w:eastAsia="en-GB"/>
        </w:rPr>
        <w:t xml:space="preserve">Footnotes </w:t>
      </w:r>
      <w:r w:rsidR="000360E1" w:rsidRPr="0025254F">
        <w:rPr>
          <w:rFonts w:ascii="Arial" w:eastAsia="Times New Roman" w:hAnsi="Arial" w:cs="Arial"/>
          <w:color w:val="242121"/>
          <w:szCs w:val="24"/>
          <w:lang w:eastAsia="en-GB"/>
        </w:rPr>
        <w:t>omitted</w:t>
      </w:r>
      <w:r w:rsidRPr="0025254F">
        <w:rPr>
          <w:rFonts w:ascii="Arial" w:eastAsia="Times New Roman" w:hAnsi="Arial" w:cs="Arial"/>
          <w:color w:val="242121"/>
          <w:szCs w:val="24"/>
          <w:lang w:eastAsia="en-GB"/>
        </w:rPr>
        <w:t>.</w:t>
      </w:r>
      <w:r w:rsidR="000360E1" w:rsidRPr="0025254F">
        <w:rPr>
          <w:rFonts w:ascii="Arial" w:eastAsia="Times New Roman" w:hAnsi="Arial" w:cs="Arial"/>
          <w:color w:val="242121"/>
          <w:szCs w:val="24"/>
          <w:lang w:eastAsia="en-GB"/>
        </w:rPr>
        <w:t>)</w:t>
      </w:r>
    </w:p>
    <w:p w14:paraId="5D8A85C5" w14:textId="40D53016" w:rsidR="008E20E6" w:rsidRPr="0025254F" w:rsidRDefault="008E20E6"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ab/>
      </w:r>
    </w:p>
    <w:p w14:paraId="27E33EC5" w14:textId="46C507C4" w:rsidR="00EA1FF2" w:rsidRPr="0025254F" w:rsidRDefault="00EA1FF2"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[3</w:t>
      </w:r>
      <w:r w:rsidR="009D7AB6" w:rsidRPr="0025254F">
        <w:rPr>
          <w:rFonts w:ascii="Arial" w:eastAsia="Times New Roman" w:hAnsi="Arial" w:cs="Arial"/>
          <w:sz w:val="24"/>
          <w:szCs w:val="24"/>
          <w:lang w:eastAsia="en-GB"/>
        </w:rPr>
        <w:t>6</w:t>
      </w:r>
      <w:r w:rsidR="00956A82"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Pr="0025254F">
        <w:rPr>
          <w:rFonts w:ascii="Arial" w:eastAsia="Times New Roman" w:hAnsi="Arial" w:cs="Arial"/>
          <w:sz w:val="24"/>
          <w:szCs w:val="24"/>
          <w:lang w:eastAsia="en-GB"/>
        </w:rPr>
        <w:t>The applicant</w:t>
      </w:r>
      <w:r w:rsidR="001C5ED0" w:rsidRPr="0025254F">
        <w:rPr>
          <w:rFonts w:ascii="Arial" w:eastAsia="Times New Roman" w:hAnsi="Arial" w:cs="Arial"/>
          <w:sz w:val="24"/>
          <w:szCs w:val="24"/>
          <w:lang w:eastAsia="en-GB"/>
        </w:rPr>
        <w:t>, in support of its views,</w:t>
      </w:r>
      <w:r w:rsidR="00526D3C" w:rsidRPr="0025254F">
        <w:rPr>
          <w:rFonts w:ascii="Arial" w:eastAsia="Times New Roman" w:hAnsi="Arial" w:cs="Arial"/>
          <w:sz w:val="24"/>
          <w:szCs w:val="24"/>
          <w:lang w:eastAsia="en-GB"/>
        </w:rPr>
        <w:t xml:space="preserve"> </w:t>
      </w:r>
      <w:r w:rsidRPr="0025254F">
        <w:rPr>
          <w:rFonts w:ascii="Arial" w:eastAsia="Times New Roman" w:hAnsi="Arial" w:cs="Arial"/>
          <w:sz w:val="24"/>
          <w:szCs w:val="24"/>
          <w:lang w:eastAsia="en-GB"/>
        </w:rPr>
        <w:t>places reliance on the wor</w:t>
      </w:r>
      <w:r w:rsidR="001C5ED0" w:rsidRPr="0025254F">
        <w:rPr>
          <w:rFonts w:ascii="Arial" w:eastAsia="Times New Roman" w:hAnsi="Arial" w:cs="Arial"/>
          <w:sz w:val="24"/>
          <w:szCs w:val="24"/>
          <w:lang w:eastAsia="en-GB"/>
        </w:rPr>
        <w:t>ding of clause 1 of the guarantee</w:t>
      </w:r>
      <w:r w:rsidRPr="0025254F">
        <w:rPr>
          <w:rFonts w:ascii="Arial" w:eastAsia="Times New Roman" w:hAnsi="Arial" w:cs="Arial"/>
          <w:sz w:val="24"/>
          <w:szCs w:val="24"/>
          <w:lang w:eastAsia="en-GB"/>
        </w:rPr>
        <w:t>, which, as mentioned above,</w:t>
      </w:r>
      <w:r w:rsidR="00526D3C" w:rsidRPr="0025254F">
        <w:rPr>
          <w:rFonts w:ascii="Arial" w:eastAsia="Times New Roman" w:hAnsi="Arial" w:cs="Arial"/>
          <w:sz w:val="24"/>
          <w:szCs w:val="24"/>
          <w:lang w:eastAsia="en-GB"/>
        </w:rPr>
        <w:t xml:space="preserve"> </w:t>
      </w:r>
      <w:r w:rsidRPr="0025254F">
        <w:rPr>
          <w:rFonts w:ascii="Arial" w:eastAsia="Times New Roman" w:hAnsi="Arial" w:cs="Arial"/>
          <w:sz w:val="24"/>
          <w:szCs w:val="24"/>
          <w:lang w:eastAsia="en-GB"/>
        </w:rPr>
        <w:t xml:space="preserve">is titled ‘Guarantee’ and also relies on the exchange of emails between the applicant’s employee, Mr Naidoo, and Mr Palmer, to provide the context and </w:t>
      </w:r>
      <w:r w:rsidR="001C5ED0" w:rsidRPr="0025254F">
        <w:rPr>
          <w:rFonts w:ascii="Arial" w:eastAsia="Times New Roman" w:hAnsi="Arial" w:cs="Arial"/>
          <w:sz w:val="24"/>
          <w:szCs w:val="24"/>
          <w:lang w:eastAsia="en-GB"/>
        </w:rPr>
        <w:t>purpose of the guarantee</w:t>
      </w:r>
      <w:r w:rsidRPr="0025254F">
        <w:rPr>
          <w:rFonts w:ascii="Arial" w:eastAsia="Times New Roman" w:hAnsi="Arial" w:cs="Arial"/>
          <w:sz w:val="24"/>
          <w:szCs w:val="24"/>
          <w:lang w:eastAsia="en-GB"/>
        </w:rPr>
        <w:t>.</w:t>
      </w:r>
    </w:p>
    <w:p w14:paraId="70C144F8" w14:textId="53EBE208" w:rsidR="00956A82" w:rsidRPr="0025254F" w:rsidRDefault="008E20E6" w:rsidP="006B48B9">
      <w:pPr>
        <w:spacing w:after="0" w:line="360" w:lineRule="auto"/>
        <w:contextualSpacing/>
        <w:jc w:val="both"/>
        <w:rPr>
          <w:rFonts w:ascii="Arial" w:eastAsia="Times New Roman" w:hAnsi="Arial" w:cs="Arial"/>
          <w:b/>
          <w:sz w:val="24"/>
          <w:szCs w:val="24"/>
          <w:lang w:eastAsia="en-GB"/>
        </w:rPr>
      </w:pPr>
      <w:r w:rsidRPr="0025254F">
        <w:rPr>
          <w:rFonts w:ascii="Arial" w:eastAsia="Times New Roman" w:hAnsi="Arial" w:cs="Arial"/>
          <w:sz w:val="24"/>
          <w:szCs w:val="24"/>
          <w:lang w:eastAsia="en-GB"/>
        </w:rPr>
        <w:tab/>
      </w:r>
    </w:p>
    <w:p w14:paraId="2CC5C316" w14:textId="3DCBAEE3" w:rsidR="00E448C1" w:rsidRPr="0025254F" w:rsidRDefault="00EA1FF2"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[3</w:t>
      </w:r>
      <w:r w:rsidR="009D7AB6" w:rsidRPr="0025254F">
        <w:rPr>
          <w:rFonts w:ascii="Arial" w:eastAsia="Times New Roman" w:hAnsi="Arial" w:cs="Arial"/>
          <w:sz w:val="24"/>
          <w:szCs w:val="24"/>
          <w:lang w:eastAsia="en-GB"/>
        </w:rPr>
        <w:t>7</w:t>
      </w:r>
      <w:r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Pr="0025254F">
        <w:rPr>
          <w:rFonts w:ascii="Arial" w:eastAsia="Times New Roman" w:hAnsi="Arial" w:cs="Arial"/>
          <w:sz w:val="24"/>
          <w:szCs w:val="24"/>
          <w:lang w:eastAsia="en-GB"/>
        </w:rPr>
        <w:t xml:space="preserve">It was submitted on behalf of the respondent, with reference to </w:t>
      </w:r>
      <w:r w:rsidRPr="0025254F">
        <w:rPr>
          <w:rFonts w:ascii="Arial" w:eastAsia="Times New Roman" w:hAnsi="Arial" w:cs="Arial"/>
          <w:i/>
          <w:sz w:val="24"/>
          <w:szCs w:val="24"/>
          <w:lang w:eastAsia="en-GB"/>
        </w:rPr>
        <w:t>List</w:t>
      </w:r>
      <w:r w:rsidR="00526D3C" w:rsidRPr="0025254F">
        <w:rPr>
          <w:rFonts w:ascii="Arial" w:eastAsia="Times New Roman" w:hAnsi="Arial" w:cs="Arial"/>
          <w:i/>
          <w:sz w:val="24"/>
          <w:szCs w:val="24"/>
          <w:lang w:eastAsia="en-GB"/>
        </w:rPr>
        <w:t xml:space="preserve"> </w:t>
      </w:r>
      <w:r w:rsidRPr="0025254F">
        <w:rPr>
          <w:rFonts w:ascii="Arial" w:eastAsia="Times New Roman" w:hAnsi="Arial" w:cs="Arial"/>
          <w:i/>
          <w:sz w:val="24"/>
          <w:szCs w:val="24"/>
          <w:lang w:eastAsia="en-GB"/>
        </w:rPr>
        <w:t>v Jungers</w:t>
      </w:r>
      <w:r w:rsidR="00EF0842">
        <w:rPr>
          <w:rFonts w:ascii="Arial" w:eastAsia="Times New Roman" w:hAnsi="Arial" w:cs="Arial"/>
          <w:i/>
          <w:sz w:val="24"/>
          <w:szCs w:val="24"/>
          <w:lang w:eastAsia="en-GB"/>
        </w:rPr>
        <w:t>,</w:t>
      </w:r>
      <w:r w:rsidR="00C82F20" w:rsidRPr="0025254F">
        <w:rPr>
          <w:rStyle w:val="FootnoteReference"/>
          <w:rFonts w:ascii="Arial" w:eastAsia="Times New Roman" w:hAnsi="Arial" w:cs="Arial"/>
          <w:sz w:val="24"/>
          <w:szCs w:val="24"/>
          <w:lang w:eastAsia="en-GB"/>
        </w:rPr>
        <w:footnoteReference w:id="12"/>
      </w:r>
      <w:r w:rsidRPr="0025254F">
        <w:rPr>
          <w:rFonts w:ascii="Arial" w:eastAsia="Times New Roman" w:hAnsi="Arial" w:cs="Arial"/>
          <w:sz w:val="24"/>
          <w:szCs w:val="24"/>
          <w:lang w:eastAsia="en-GB"/>
        </w:rPr>
        <w:t xml:space="preserve"> that one should be cautious not to place reliance on individual words.</w:t>
      </w:r>
      <w:r w:rsidR="00E448C1" w:rsidRPr="0025254F">
        <w:rPr>
          <w:rFonts w:ascii="Arial" w:eastAsia="Times New Roman" w:hAnsi="Arial" w:cs="Arial"/>
          <w:sz w:val="24"/>
          <w:szCs w:val="24"/>
          <w:lang w:eastAsia="en-GB"/>
        </w:rPr>
        <w:t xml:space="preserve"> Diemont JA held as follows:</w:t>
      </w:r>
      <w:r w:rsidR="00C82F20" w:rsidRPr="0025254F">
        <w:rPr>
          <w:rStyle w:val="FootnoteReference"/>
          <w:rFonts w:ascii="Arial" w:eastAsia="Times New Roman" w:hAnsi="Arial" w:cs="Arial"/>
          <w:sz w:val="24"/>
          <w:szCs w:val="24"/>
          <w:lang w:eastAsia="en-GB"/>
        </w:rPr>
        <w:footnoteReference w:id="13"/>
      </w:r>
    </w:p>
    <w:p w14:paraId="19BCA3AF" w14:textId="16AC0767" w:rsidR="00956A82" w:rsidRPr="0025254F" w:rsidRDefault="00E448C1" w:rsidP="006B48B9">
      <w:pPr>
        <w:spacing w:after="0" w:line="360" w:lineRule="auto"/>
        <w:contextualSpacing/>
        <w:jc w:val="both"/>
        <w:rPr>
          <w:rFonts w:ascii="Arial" w:eastAsia="Times New Roman" w:hAnsi="Arial" w:cs="Arial"/>
          <w:szCs w:val="24"/>
          <w:lang w:eastAsia="en-GB"/>
        </w:rPr>
      </w:pPr>
      <w:r w:rsidRPr="0025254F">
        <w:rPr>
          <w:rFonts w:ascii="Arial" w:eastAsia="Times New Roman" w:hAnsi="Arial" w:cs="Arial"/>
          <w:szCs w:val="24"/>
          <w:lang w:eastAsia="en-GB"/>
        </w:rPr>
        <w:t>‘</w:t>
      </w:r>
      <w:r w:rsidR="00C82F20" w:rsidRPr="0025254F">
        <w:rPr>
          <w:rFonts w:ascii="Arial" w:eastAsia="Times New Roman" w:hAnsi="Arial" w:cs="Arial"/>
          <w:szCs w:val="24"/>
          <w:lang w:eastAsia="en-GB"/>
        </w:rPr>
        <w:t xml:space="preserve">It is, in my view, an unrewarding and misleading exercise to seize on one word in a document, determine its more usual or ordinary meaning, and then, having done so, to seek to interpret the document in the light of the meaning so ascribed to that word. Apart from the </w:t>
      </w:r>
      <w:r w:rsidR="00C82F20" w:rsidRPr="0025254F">
        <w:rPr>
          <w:rFonts w:ascii="Arial" w:eastAsia="Times New Roman" w:hAnsi="Arial" w:cs="Arial"/>
          <w:szCs w:val="24"/>
          <w:lang w:eastAsia="en-GB"/>
        </w:rPr>
        <w:lastRenderedPageBreak/>
        <w:t xml:space="preserve">fact that to decide on the more usual or ordinary meaning of a word may be a delicate task </w:t>
      </w:r>
      <w:r w:rsidR="006A4777" w:rsidRPr="0025254F">
        <w:rPr>
          <w:rFonts w:ascii="Arial" w:eastAsia="Times New Roman" w:hAnsi="Arial" w:cs="Arial"/>
          <w:szCs w:val="24"/>
          <w:lang w:eastAsia="en-GB"/>
        </w:rPr>
        <w:t>. . .</w:t>
      </w:r>
      <w:r w:rsidR="00C82F20" w:rsidRPr="0025254F">
        <w:rPr>
          <w:rFonts w:ascii="Arial" w:eastAsia="Times New Roman" w:hAnsi="Arial" w:cs="Arial"/>
          <w:szCs w:val="24"/>
          <w:lang w:eastAsia="en-GB"/>
        </w:rPr>
        <w:t xml:space="preserve"> it is clear that the context in which the word is used is of prime importance.</w:t>
      </w:r>
      <w:r w:rsidRPr="0025254F">
        <w:rPr>
          <w:rFonts w:ascii="Arial" w:eastAsia="Times New Roman" w:hAnsi="Arial" w:cs="Arial"/>
          <w:szCs w:val="24"/>
          <w:lang w:eastAsia="en-GB"/>
        </w:rPr>
        <w:t>’</w:t>
      </w:r>
      <w:r w:rsidR="00EB532B" w:rsidRPr="0025254F">
        <w:rPr>
          <w:rFonts w:ascii="Arial" w:eastAsia="Times New Roman" w:hAnsi="Arial" w:cs="Arial"/>
          <w:szCs w:val="24"/>
          <w:lang w:eastAsia="en-GB"/>
        </w:rPr>
        <w:tab/>
      </w:r>
    </w:p>
    <w:p w14:paraId="1FBADB7A" w14:textId="77777777" w:rsidR="007F1A47" w:rsidRPr="0025254F" w:rsidRDefault="007F1A47" w:rsidP="006B48B9">
      <w:pPr>
        <w:tabs>
          <w:tab w:val="left" w:pos="5745"/>
        </w:tabs>
        <w:spacing w:after="0" w:line="360" w:lineRule="auto"/>
        <w:contextualSpacing/>
        <w:jc w:val="both"/>
        <w:rPr>
          <w:rFonts w:ascii="Arial" w:eastAsia="Times New Roman" w:hAnsi="Arial" w:cs="Arial"/>
          <w:sz w:val="24"/>
          <w:szCs w:val="24"/>
          <w:lang w:eastAsia="en-GB"/>
        </w:rPr>
      </w:pPr>
    </w:p>
    <w:p w14:paraId="7EE1252E" w14:textId="73EA9976" w:rsidR="005B186A" w:rsidRDefault="00E448C1"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[3</w:t>
      </w:r>
      <w:r w:rsidR="009D7AB6" w:rsidRPr="0025254F">
        <w:rPr>
          <w:rFonts w:ascii="Arial" w:eastAsia="Times New Roman" w:hAnsi="Arial" w:cs="Arial"/>
          <w:sz w:val="24"/>
          <w:szCs w:val="24"/>
          <w:lang w:eastAsia="en-GB"/>
        </w:rPr>
        <w:t>8</w:t>
      </w:r>
      <w:r w:rsidR="00CA73C6"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Pr="0025254F">
        <w:rPr>
          <w:rFonts w:ascii="Arial" w:eastAsia="Times New Roman" w:hAnsi="Arial" w:cs="Arial"/>
          <w:sz w:val="24"/>
          <w:szCs w:val="24"/>
          <w:lang w:eastAsia="en-GB"/>
        </w:rPr>
        <w:t xml:space="preserve">I was also referred to </w:t>
      </w:r>
      <w:r w:rsidRPr="00D6626F">
        <w:rPr>
          <w:rFonts w:ascii="Arial" w:eastAsia="Times New Roman" w:hAnsi="Arial" w:cs="Arial"/>
          <w:i/>
          <w:sz w:val="24"/>
          <w:szCs w:val="24"/>
          <w:lang w:eastAsia="en-GB"/>
        </w:rPr>
        <w:t>A</w:t>
      </w:r>
      <w:r w:rsidRPr="0025254F">
        <w:rPr>
          <w:rFonts w:ascii="Arial" w:eastAsia="Times New Roman" w:hAnsi="Arial" w:cs="Arial"/>
          <w:i/>
          <w:sz w:val="24"/>
          <w:szCs w:val="24"/>
          <w:lang w:eastAsia="en-GB"/>
        </w:rPr>
        <w:t>bsa Bank Ltd v Zurich Risk Financing SA Ltd</w:t>
      </w:r>
      <w:r w:rsidR="002467DF" w:rsidRPr="0025254F">
        <w:rPr>
          <w:rStyle w:val="FootnoteReference"/>
          <w:rFonts w:ascii="Arial" w:eastAsia="Times New Roman" w:hAnsi="Arial" w:cs="Arial"/>
          <w:sz w:val="24"/>
          <w:szCs w:val="24"/>
          <w:lang w:eastAsia="en-GB"/>
        </w:rPr>
        <w:footnoteReference w:id="14"/>
      </w:r>
      <w:r w:rsidRPr="0025254F">
        <w:rPr>
          <w:rFonts w:ascii="Arial" w:eastAsia="Times New Roman" w:hAnsi="Arial" w:cs="Arial"/>
          <w:sz w:val="24"/>
          <w:szCs w:val="24"/>
          <w:lang w:eastAsia="en-GB"/>
        </w:rPr>
        <w:t xml:space="preserve"> where Blieden J noted that the nature of the liability created by a document </w:t>
      </w:r>
    </w:p>
    <w:p w14:paraId="385E718A" w14:textId="46CC91D2" w:rsidR="008863C2" w:rsidRPr="005B186A" w:rsidRDefault="00336BC0" w:rsidP="006B48B9">
      <w:pPr>
        <w:spacing w:after="0" w:line="360" w:lineRule="auto"/>
        <w:contextualSpacing/>
        <w:jc w:val="both"/>
        <w:rPr>
          <w:rFonts w:ascii="Arial" w:eastAsia="Times New Roman" w:hAnsi="Arial" w:cs="Arial"/>
          <w:sz w:val="20"/>
          <w:szCs w:val="24"/>
          <w:lang w:eastAsia="en-GB"/>
        </w:rPr>
      </w:pPr>
      <w:r w:rsidRPr="005B186A">
        <w:rPr>
          <w:rFonts w:ascii="Arial" w:eastAsia="Times New Roman" w:hAnsi="Arial" w:cs="Arial"/>
          <w:szCs w:val="24"/>
          <w:lang w:eastAsia="en-GB"/>
        </w:rPr>
        <w:t>‘</w:t>
      </w:r>
      <w:r w:rsidR="00291309" w:rsidRPr="005B186A">
        <w:rPr>
          <w:rFonts w:ascii="Arial" w:eastAsia="Times New Roman" w:hAnsi="Arial" w:cs="Arial"/>
          <w:szCs w:val="24"/>
          <w:lang w:eastAsia="en-GB"/>
        </w:rPr>
        <w:t>… turns not on what the document is named or styled as. Its label is unimportant. What matters is the kind of liability sought to be created by the parties, as evidenced by the language they elected to employ in the context in which their wording appears</w:t>
      </w:r>
      <w:r w:rsidR="00242296" w:rsidRPr="005B186A">
        <w:rPr>
          <w:rFonts w:ascii="Arial" w:eastAsia="Times New Roman" w:hAnsi="Arial" w:cs="Arial"/>
          <w:szCs w:val="24"/>
          <w:lang w:eastAsia="en-GB"/>
        </w:rPr>
        <w:t>.</w:t>
      </w:r>
      <w:r w:rsidR="005B186A">
        <w:rPr>
          <w:rFonts w:ascii="Arial" w:eastAsia="Times New Roman" w:hAnsi="Arial" w:cs="Arial"/>
          <w:szCs w:val="24"/>
          <w:lang w:eastAsia="en-GB"/>
        </w:rPr>
        <w:t>’</w:t>
      </w:r>
    </w:p>
    <w:p w14:paraId="276D445B" w14:textId="77777777" w:rsidR="007F1A47" w:rsidRPr="0025254F" w:rsidRDefault="007F1A47" w:rsidP="006B48B9">
      <w:pPr>
        <w:spacing w:after="0" w:line="360" w:lineRule="auto"/>
        <w:contextualSpacing/>
        <w:jc w:val="both"/>
        <w:rPr>
          <w:rFonts w:ascii="Arial" w:eastAsia="Times New Roman" w:hAnsi="Arial" w:cs="Arial"/>
          <w:sz w:val="24"/>
          <w:szCs w:val="24"/>
          <w:lang w:eastAsia="en-GB"/>
        </w:rPr>
      </w:pPr>
    </w:p>
    <w:p w14:paraId="742C6F7D" w14:textId="61A655E6" w:rsidR="00701B88" w:rsidRPr="0025254F" w:rsidRDefault="00242296"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[3</w:t>
      </w:r>
      <w:r w:rsidR="009D7AB6" w:rsidRPr="0025254F">
        <w:rPr>
          <w:rFonts w:ascii="Arial" w:eastAsia="Times New Roman" w:hAnsi="Arial" w:cs="Arial"/>
          <w:sz w:val="24"/>
          <w:szCs w:val="24"/>
          <w:lang w:eastAsia="en-GB"/>
        </w:rPr>
        <w:t>9</w:t>
      </w:r>
      <w:r w:rsidR="004E01E7"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Pr="0025254F">
        <w:rPr>
          <w:rFonts w:ascii="Arial" w:eastAsia="Times New Roman" w:hAnsi="Arial" w:cs="Arial"/>
          <w:sz w:val="24"/>
          <w:szCs w:val="24"/>
          <w:lang w:eastAsia="en-GB"/>
        </w:rPr>
        <w:t>It was further submitted</w:t>
      </w:r>
      <w:r w:rsidR="00911666" w:rsidRPr="0025254F">
        <w:rPr>
          <w:rFonts w:ascii="Arial" w:eastAsia="Times New Roman" w:hAnsi="Arial" w:cs="Arial"/>
          <w:sz w:val="24"/>
          <w:szCs w:val="24"/>
          <w:lang w:eastAsia="en-GB"/>
        </w:rPr>
        <w:t xml:space="preserve"> by the respondent</w:t>
      </w:r>
      <w:r w:rsidRPr="0025254F">
        <w:rPr>
          <w:rFonts w:ascii="Arial" w:eastAsia="Times New Roman" w:hAnsi="Arial" w:cs="Arial"/>
          <w:sz w:val="24"/>
          <w:szCs w:val="24"/>
          <w:lang w:eastAsia="en-GB"/>
        </w:rPr>
        <w:t xml:space="preserve"> that it is clear </w:t>
      </w:r>
      <w:r w:rsidR="001C5ED0" w:rsidRPr="0025254F">
        <w:rPr>
          <w:rFonts w:ascii="Arial" w:eastAsia="Times New Roman" w:hAnsi="Arial" w:cs="Arial"/>
          <w:sz w:val="24"/>
          <w:szCs w:val="24"/>
          <w:lang w:eastAsia="en-GB"/>
        </w:rPr>
        <w:t>from the wording of the guarantee</w:t>
      </w:r>
      <w:r w:rsidRPr="0025254F">
        <w:rPr>
          <w:rFonts w:ascii="Arial" w:eastAsia="Times New Roman" w:hAnsi="Arial" w:cs="Arial"/>
          <w:sz w:val="24"/>
          <w:szCs w:val="24"/>
          <w:lang w:eastAsia="en-GB"/>
        </w:rPr>
        <w:t xml:space="preserve"> as a whole, that the respondent’s obligations are in respect of</w:t>
      </w:r>
      <w:r w:rsidR="00526D3C" w:rsidRPr="0025254F">
        <w:rPr>
          <w:rFonts w:ascii="Arial" w:eastAsia="Times New Roman" w:hAnsi="Arial" w:cs="Arial"/>
          <w:sz w:val="24"/>
          <w:szCs w:val="24"/>
          <w:lang w:eastAsia="en-GB"/>
        </w:rPr>
        <w:t xml:space="preserve"> </w:t>
      </w:r>
      <w:r w:rsidRPr="0025254F">
        <w:rPr>
          <w:rFonts w:ascii="Arial" w:eastAsia="Times New Roman" w:hAnsi="Arial" w:cs="Arial"/>
          <w:sz w:val="24"/>
          <w:szCs w:val="24"/>
          <w:lang w:eastAsia="en-GB"/>
        </w:rPr>
        <w:t>‘the due, punctual and full payment of all debts’ which Wardkiss owes the applicant in terms of the agreements concluded between the applicant and Wardkiss.</w:t>
      </w:r>
      <w:r w:rsidR="00526D3C" w:rsidRPr="0025254F">
        <w:rPr>
          <w:rFonts w:ascii="Arial" w:eastAsia="Times New Roman" w:hAnsi="Arial" w:cs="Arial"/>
          <w:sz w:val="24"/>
          <w:szCs w:val="24"/>
          <w:lang w:eastAsia="en-GB"/>
        </w:rPr>
        <w:t xml:space="preserve"> </w:t>
      </w:r>
      <w:r w:rsidRPr="0025254F">
        <w:rPr>
          <w:rFonts w:ascii="Arial" w:eastAsia="Times New Roman" w:hAnsi="Arial" w:cs="Arial"/>
          <w:sz w:val="24"/>
          <w:szCs w:val="24"/>
          <w:lang w:eastAsia="en-GB"/>
        </w:rPr>
        <w:t xml:space="preserve">As the obligation </w:t>
      </w:r>
      <w:r w:rsidR="00701B88" w:rsidRPr="0025254F">
        <w:rPr>
          <w:rFonts w:ascii="Arial" w:eastAsia="Times New Roman" w:hAnsi="Arial" w:cs="Arial"/>
          <w:sz w:val="24"/>
          <w:szCs w:val="24"/>
          <w:lang w:eastAsia="en-GB"/>
        </w:rPr>
        <w:t xml:space="preserve">of the respondent </w:t>
      </w:r>
      <w:r w:rsidRPr="0025254F">
        <w:rPr>
          <w:rFonts w:ascii="Arial" w:eastAsia="Times New Roman" w:hAnsi="Arial" w:cs="Arial"/>
          <w:sz w:val="24"/>
          <w:szCs w:val="24"/>
          <w:lang w:eastAsia="en-GB"/>
        </w:rPr>
        <w:t xml:space="preserve">was </w:t>
      </w:r>
      <w:r w:rsidR="005B186A" w:rsidRPr="0025254F">
        <w:rPr>
          <w:rFonts w:ascii="Arial" w:eastAsia="Times New Roman" w:hAnsi="Arial" w:cs="Arial"/>
          <w:sz w:val="24"/>
          <w:szCs w:val="24"/>
          <w:lang w:eastAsia="en-GB"/>
        </w:rPr>
        <w:t>depend</w:t>
      </w:r>
      <w:r w:rsidR="005B186A">
        <w:rPr>
          <w:rFonts w:ascii="Arial" w:eastAsia="Times New Roman" w:hAnsi="Arial" w:cs="Arial"/>
          <w:sz w:val="24"/>
          <w:szCs w:val="24"/>
          <w:lang w:eastAsia="en-GB"/>
        </w:rPr>
        <w:t>e</w:t>
      </w:r>
      <w:r w:rsidR="005B186A" w:rsidRPr="0025254F">
        <w:rPr>
          <w:rFonts w:ascii="Arial" w:eastAsia="Times New Roman" w:hAnsi="Arial" w:cs="Arial"/>
          <w:sz w:val="24"/>
          <w:szCs w:val="24"/>
          <w:lang w:eastAsia="en-GB"/>
        </w:rPr>
        <w:t xml:space="preserve">nt </w:t>
      </w:r>
      <w:r w:rsidRPr="0025254F">
        <w:rPr>
          <w:rFonts w:ascii="Arial" w:eastAsia="Times New Roman" w:hAnsi="Arial" w:cs="Arial"/>
          <w:sz w:val="24"/>
          <w:szCs w:val="24"/>
          <w:lang w:eastAsia="en-GB"/>
        </w:rPr>
        <w:t>on the due, punctual and full payment by W</w:t>
      </w:r>
      <w:r w:rsidR="00701B88" w:rsidRPr="0025254F">
        <w:rPr>
          <w:rFonts w:ascii="Arial" w:eastAsia="Times New Roman" w:hAnsi="Arial" w:cs="Arial"/>
          <w:sz w:val="24"/>
          <w:szCs w:val="24"/>
          <w:lang w:eastAsia="en-GB"/>
        </w:rPr>
        <w:t xml:space="preserve">ardkiss of its obligations to the applicant in terms of the agreements, the obligation of the respondent </w:t>
      </w:r>
      <w:r w:rsidR="006D1B34">
        <w:rPr>
          <w:rFonts w:ascii="Arial" w:eastAsia="Times New Roman" w:hAnsi="Arial" w:cs="Arial"/>
          <w:sz w:val="24"/>
          <w:szCs w:val="24"/>
          <w:lang w:eastAsia="en-GB"/>
        </w:rPr>
        <w:t xml:space="preserve">was argued to </w:t>
      </w:r>
      <w:r w:rsidR="00701B88" w:rsidRPr="0025254F">
        <w:rPr>
          <w:rFonts w:ascii="Arial" w:eastAsia="Times New Roman" w:hAnsi="Arial" w:cs="Arial"/>
          <w:sz w:val="24"/>
          <w:szCs w:val="24"/>
          <w:lang w:eastAsia="en-GB"/>
        </w:rPr>
        <w:t xml:space="preserve">clearly </w:t>
      </w:r>
      <w:r w:rsidR="006D1B34">
        <w:rPr>
          <w:rFonts w:ascii="Arial" w:eastAsia="Times New Roman" w:hAnsi="Arial" w:cs="Arial"/>
          <w:sz w:val="24"/>
          <w:szCs w:val="24"/>
          <w:lang w:eastAsia="en-GB"/>
        </w:rPr>
        <w:t xml:space="preserve">be </w:t>
      </w:r>
      <w:r w:rsidR="00701B88" w:rsidRPr="0025254F">
        <w:rPr>
          <w:rFonts w:ascii="Arial" w:eastAsia="Times New Roman" w:hAnsi="Arial" w:cs="Arial"/>
          <w:sz w:val="24"/>
          <w:szCs w:val="24"/>
          <w:lang w:eastAsia="en-GB"/>
        </w:rPr>
        <w:t>accessory to</w:t>
      </w:r>
      <w:r w:rsidR="001C5ED0" w:rsidRPr="0025254F">
        <w:rPr>
          <w:rFonts w:ascii="Arial" w:eastAsia="Times New Roman" w:hAnsi="Arial" w:cs="Arial"/>
          <w:sz w:val="24"/>
          <w:szCs w:val="24"/>
          <w:lang w:eastAsia="en-GB"/>
        </w:rPr>
        <w:t xml:space="preserve"> that of Wardkiss.</w:t>
      </w:r>
      <w:r w:rsidR="00526D3C" w:rsidRPr="0025254F">
        <w:rPr>
          <w:rFonts w:ascii="Arial" w:eastAsia="Times New Roman" w:hAnsi="Arial" w:cs="Arial"/>
          <w:sz w:val="24"/>
          <w:szCs w:val="24"/>
          <w:lang w:eastAsia="en-GB"/>
        </w:rPr>
        <w:t xml:space="preserve"> </w:t>
      </w:r>
      <w:r w:rsidR="001C5ED0" w:rsidRPr="0025254F">
        <w:rPr>
          <w:rFonts w:ascii="Arial" w:eastAsia="Times New Roman" w:hAnsi="Arial" w:cs="Arial"/>
          <w:sz w:val="24"/>
          <w:szCs w:val="24"/>
          <w:lang w:eastAsia="en-GB"/>
        </w:rPr>
        <w:t>The guarantee</w:t>
      </w:r>
      <w:r w:rsidR="00701B88" w:rsidRPr="0025254F">
        <w:rPr>
          <w:rFonts w:ascii="Arial" w:eastAsia="Times New Roman" w:hAnsi="Arial" w:cs="Arial"/>
          <w:sz w:val="24"/>
          <w:szCs w:val="24"/>
          <w:lang w:eastAsia="en-GB"/>
        </w:rPr>
        <w:t xml:space="preserve"> did not give rise to an independent obligation and is therefore a suretyship and not a guarantee.</w:t>
      </w:r>
    </w:p>
    <w:p w14:paraId="33BB2694" w14:textId="77777777" w:rsidR="00410747" w:rsidRPr="0025254F" w:rsidRDefault="00410747" w:rsidP="006B48B9">
      <w:pPr>
        <w:spacing w:after="0" w:line="360" w:lineRule="auto"/>
        <w:contextualSpacing/>
        <w:jc w:val="both"/>
        <w:rPr>
          <w:rFonts w:ascii="Arial" w:eastAsia="Times New Roman" w:hAnsi="Arial" w:cs="Arial"/>
          <w:sz w:val="24"/>
          <w:szCs w:val="24"/>
          <w:lang w:eastAsia="en-GB"/>
        </w:rPr>
      </w:pPr>
    </w:p>
    <w:p w14:paraId="2DC3CC9D" w14:textId="5611438C" w:rsidR="00410747" w:rsidRPr="0025254F" w:rsidRDefault="00410747"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[40]</w:t>
      </w:r>
      <w:r w:rsidR="006B48B9" w:rsidRPr="0025254F">
        <w:rPr>
          <w:rFonts w:ascii="Arial" w:eastAsia="Times New Roman" w:hAnsi="Arial" w:cs="Arial"/>
          <w:sz w:val="24"/>
          <w:szCs w:val="24"/>
          <w:lang w:eastAsia="en-GB"/>
        </w:rPr>
        <w:tab/>
      </w:r>
      <w:r w:rsidRPr="0025254F">
        <w:rPr>
          <w:rFonts w:ascii="Arial" w:eastAsia="Times New Roman" w:hAnsi="Arial" w:cs="Arial"/>
          <w:sz w:val="24"/>
          <w:szCs w:val="24"/>
          <w:lang w:eastAsia="en-GB"/>
        </w:rPr>
        <w:t>In response to this submission</w:t>
      </w:r>
      <w:r w:rsidR="003B15C2" w:rsidRPr="0025254F">
        <w:rPr>
          <w:rFonts w:ascii="Arial" w:eastAsia="Times New Roman" w:hAnsi="Arial" w:cs="Arial"/>
          <w:sz w:val="24"/>
          <w:szCs w:val="24"/>
          <w:lang w:eastAsia="en-GB"/>
        </w:rPr>
        <w:t>,</w:t>
      </w:r>
      <w:r w:rsidRPr="0025254F">
        <w:rPr>
          <w:rFonts w:ascii="Arial" w:eastAsia="Times New Roman" w:hAnsi="Arial" w:cs="Arial"/>
          <w:sz w:val="24"/>
          <w:szCs w:val="24"/>
          <w:lang w:eastAsia="en-GB"/>
        </w:rPr>
        <w:t xml:space="preserve"> it was argued on behalf of the applicant that the existence of a contractual debt of a third party</w:t>
      </w:r>
      <w:r w:rsidR="003B15C2" w:rsidRPr="0025254F">
        <w:rPr>
          <w:rFonts w:ascii="Arial" w:eastAsia="Times New Roman" w:hAnsi="Arial" w:cs="Arial"/>
          <w:sz w:val="24"/>
          <w:szCs w:val="24"/>
          <w:lang w:eastAsia="en-GB"/>
        </w:rPr>
        <w:t>,</w:t>
      </w:r>
      <w:r w:rsidRPr="0025254F">
        <w:rPr>
          <w:rFonts w:ascii="Arial" w:eastAsia="Times New Roman" w:hAnsi="Arial" w:cs="Arial"/>
          <w:sz w:val="24"/>
          <w:szCs w:val="24"/>
          <w:lang w:eastAsia="en-GB"/>
        </w:rPr>
        <w:t xml:space="preserve"> as the event </w:t>
      </w:r>
      <w:r w:rsidR="004E4F26">
        <w:rPr>
          <w:rFonts w:ascii="Arial" w:eastAsia="Times New Roman" w:hAnsi="Arial" w:cs="Arial"/>
          <w:sz w:val="24"/>
          <w:szCs w:val="24"/>
          <w:lang w:eastAsia="en-GB"/>
        </w:rPr>
        <w:t>for</w:t>
      </w:r>
      <w:r w:rsidRPr="0025254F">
        <w:rPr>
          <w:rFonts w:ascii="Arial" w:eastAsia="Times New Roman" w:hAnsi="Arial" w:cs="Arial"/>
          <w:sz w:val="24"/>
          <w:szCs w:val="24"/>
          <w:lang w:eastAsia="en-GB"/>
        </w:rPr>
        <w:t xml:space="preserve"> which the guarantee is provided</w:t>
      </w:r>
      <w:r w:rsidR="003B15C2" w:rsidRPr="0025254F">
        <w:rPr>
          <w:rFonts w:ascii="Arial" w:eastAsia="Times New Roman" w:hAnsi="Arial" w:cs="Arial"/>
          <w:sz w:val="24"/>
          <w:szCs w:val="24"/>
          <w:lang w:eastAsia="en-GB"/>
        </w:rPr>
        <w:t>,</w:t>
      </w:r>
      <w:r w:rsidRPr="0025254F">
        <w:rPr>
          <w:rFonts w:ascii="Arial" w:eastAsia="Times New Roman" w:hAnsi="Arial" w:cs="Arial"/>
          <w:sz w:val="24"/>
          <w:szCs w:val="24"/>
          <w:lang w:eastAsia="en-GB"/>
        </w:rPr>
        <w:t xml:space="preserve"> does not mean that it is a suretyship instead of a guarantee. Reference was made to </w:t>
      </w:r>
      <w:r w:rsidRPr="0025254F">
        <w:rPr>
          <w:rFonts w:ascii="Arial" w:eastAsia="Times New Roman" w:hAnsi="Arial" w:cs="Arial"/>
          <w:i/>
          <w:sz w:val="24"/>
          <w:szCs w:val="24"/>
          <w:lang w:eastAsia="en-GB"/>
        </w:rPr>
        <w:t>Jungers</w:t>
      </w:r>
      <w:r w:rsidRPr="00D6626F">
        <w:rPr>
          <w:rFonts w:ascii="Arial" w:eastAsia="Times New Roman" w:hAnsi="Arial" w:cs="Arial"/>
          <w:sz w:val="24"/>
          <w:szCs w:val="24"/>
          <w:lang w:eastAsia="en-GB"/>
        </w:rPr>
        <w:t>,</w:t>
      </w:r>
      <w:r w:rsidRPr="0025254F">
        <w:rPr>
          <w:rFonts w:ascii="Arial" w:eastAsia="Times New Roman" w:hAnsi="Arial" w:cs="Arial"/>
          <w:sz w:val="24"/>
          <w:szCs w:val="24"/>
          <w:lang w:eastAsia="en-GB"/>
        </w:rPr>
        <w:t xml:space="preserve"> </w:t>
      </w:r>
      <w:r w:rsidRPr="0025254F">
        <w:rPr>
          <w:rFonts w:ascii="Arial" w:eastAsia="Times New Roman" w:hAnsi="Arial" w:cs="Arial"/>
          <w:i/>
          <w:sz w:val="24"/>
          <w:szCs w:val="24"/>
          <w:lang w:eastAsia="en-GB"/>
        </w:rPr>
        <w:t>Hermes Ship Chandlers (Pty) Ltd v Caltex Oil (SA) Ltd</w:t>
      </w:r>
      <w:r w:rsidR="003B15C2" w:rsidRPr="0025254F">
        <w:rPr>
          <w:rStyle w:val="FootnoteReference"/>
          <w:rFonts w:ascii="Arial" w:eastAsia="Times New Roman" w:hAnsi="Arial" w:cs="Arial"/>
          <w:sz w:val="24"/>
          <w:szCs w:val="24"/>
          <w:lang w:eastAsia="en-GB"/>
        </w:rPr>
        <w:footnoteReference w:id="15"/>
      </w:r>
      <w:r w:rsidR="00CB0628" w:rsidRPr="0025254F">
        <w:rPr>
          <w:rFonts w:ascii="Arial" w:eastAsia="Times New Roman" w:hAnsi="Arial" w:cs="Arial"/>
          <w:sz w:val="24"/>
          <w:szCs w:val="24"/>
          <w:lang w:eastAsia="en-GB"/>
        </w:rPr>
        <w:t xml:space="preserve"> and </w:t>
      </w:r>
      <w:r w:rsidR="00CB0628" w:rsidRPr="0025254F">
        <w:rPr>
          <w:rFonts w:ascii="Arial" w:eastAsia="Times New Roman" w:hAnsi="Arial" w:cs="Arial"/>
          <w:i/>
          <w:sz w:val="24"/>
          <w:szCs w:val="24"/>
          <w:lang w:eastAsia="en-GB"/>
        </w:rPr>
        <w:t>Caz</w:t>
      </w:r>
      <w:r w:rsidR="003B15C2" w:rsidRPr="0025254F">
        <w:rPr>
          <w:rFonts w:ascii="Arial" w:eastAsia="Times New Roman" w:hAnsi="Arial" w:cs="Arial"/>
          <w:i/>
          <w:sz w:val="24"/>
          <w:szCs w:val="24"/>
          <w:lang w:eastAsia="en-GB"/>
        </w:rPr>
        <w:t>a</w:t>
      </w:r>
      <w:r w:rsidR="00CB0628" w:rsidRPr="0025254F">
        <w:rPr>
          <w:rFonts w:ascii="Arial" w:eastAsia="Times New Roman" w:hAnsi="Arial" w:cs="Arial"/>
          <w:i/>
          <w:sz w:val="24"/>
          <w:szCs w:val="24"/>
          <w:lang w:eastAsia="en-GB"/>
        </w:rPr>
        <w:t>let v Johnson</w:t>
      </w:r>
      <w:r w:rsidR="003B15C2" w:rsidRPr="0025254F">
        <w:rPr>
          <w:rStyle w:val="FootnoteReference"/>
          <w:rFonts w:ascii="Arial" w:eastAsia="Times New Roman" w:hAnsi="Arial" w:cs="Arial"/>
          <w:sz w:val="24"/>
          <w:szCs w:val="24"/>
          <w:lang w:eastAsia="en-GB"/>
        </w:rPr>
        <w:footnoteReference w:id="16"/>
      </w:r>
      <w:r w:rsidR="00CB0628" w:rsidRPr="0025254F">
        <w:rPr>
          <w:rFonts w:ascii="Arial" w:eastAsia="Times New Roman" w:hAnsi="Arial" w:cs="Arial"/>
          <w:sz w:val="24"/>
          <w:szCs w:val="24"/>
          <w:lang w:eastAsia="en-GB"/>
        </w:rPr>
        <w:t xml:space="preserve"> where in </w:t>
      </w:r>
      <w:r w:rsidR="008659C2" w:rsidRPr="0025254F">
        <w:rPr>
          <w:rFonts w:ascii="Arial" w:eastAsia="Times New Roman" w:hAnsi="Arial" w:cs="Arial"/>
          <w:sz w:val="24"/>
          <w:szCs w:val="24"/>
          <w:lang w:eastAsia="en-GB"/>
        </w:rPr>
        <w:t>each case the document relied upon</w:t>
      </w:r>
      <w:r w:rsidR="00CB0628" w:rsidRPr="0025254F">
        <w:rPr>
          <w:rFonts w:ascii="Arial" w:eastAsia="Times New Roman" w:hAnsi="Arial" w:cs="Arial"/>
          <w:sz w:val="24"/>
          <w:szCs w:val="24"/>
          <w:lang w:eastAsia="en-GB"/>
        </w:rPr>
        <w:t xml:space="preserve"> contained an undertaking to pay the debt of a third party if the latter did not pay it. In each instance</w:t>
      </w:r>
      <w:r w:rsidR="004277E2" w:rsidRPr="0025254F">
        <w:rPr>
          <w:rFonts w:ascii="Arial" w:eastAsia="Times New Roman" w:hAnsi="Arial" w:cs="Arial"/>
          <w:sz w:val="24"/>
          <w:szCs w:val="24"/>
          <w:lang w:eastAsia="en-GB"/>
        </w:rPr>
        <w:t>,</w:t>
      </w:r>
      <w:r w:rsidR="00CB0628" w:rsidRPr="0025254F">
        <w:rPr>
          <w:rFonts w:ascii="Arial" w:eastAsia="Times New Roman" w:hAnsi="Arial" w:cs="Arial"/>
          <w:sz w:val="24"/>
          <w:szCs w:val="24"/>
          <w:lang w:eastAsia="en-GB"/>
        </w:rPr>
        <w:t xml:space="preserve"> the court interpreted the document to be a guarantee, a principal obligation, and not a suretyship.</w:t>
      </w:r>
      <w:r w:rsidRPr="0025254F">
        <w:rPr>
          <w:rFonts w:ascii="Arial" w:eastAsia="Times New Roman" w:hAnsi="Arial" w:cs="Arial"/>
          <w:sz w:val="24"/>
          <w:szCs w:val="24"/>
          <w:lang w:eastAsia="en-GB"/>
        </w:rPr>
        <w:t xml:space="preserve"> </w:t>
      </w:r>
    </w:p>
    <w:p w14:paraId="01772C75" w14:textId="77777777" w:rsidR="00701B88" w:rsidRPr="0025254F" w:rsidRDefault="00701B88" w:rsidP="006B48B9">
      <w:pPr>
        <w:spacing w:after="0" w:line="360" w:lineRule="auto"/>
        <w:contextualSpacing/>
        <w:jc w:val="both"/>
        <w:rPr>
          <w:rFonts w:ascii="Arial" w:eastAsia="Times New Roman" w:hAnsi="Arial" w:cs="Arial"/>
          <w:sz w:val="24"/>
          <w:szCs w:val="24"/>
          <w:lang w:eastAsia="en-GB"/>
        </w:rPr>
      </w:pPr>
    </w:p>
    <w:p w14:paraId="5666412F" w14:textId="6075304D" w:rsidR="009D7AB6" w:rsidRPr="0025254F" w:rsidRDefault="0082763F"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w:t>
      </w:r>
      <w:r w:rsidR="008659C2" w:rsidRPr="0025254F">
        <w:rPr>
          <w:rFonts w:ascii="Arial" w:eastAsia="Times New Roman" w:hAnsi="Arial" w:cs="Arial"/>
          <w:sz w:val="24"/>
          <w:szCs w:val="24"/>
          <w:lang w:eastAsia="en-GB"/>
        </w:rPr>
        <w:t>41</w:t>
      </w:r>
      <w:r w:rsidR="00701B88"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00701B88" w:rsidRPr="0025254F">
        <w:rPr>
          <w:rFonts w:ascii="Arial" w:eastAsia="Times New Roman" w:hAnsi="Arial" w:cs="Arial"/>
          <w:sz w:val="24"/>
          <w:szCs w:val="24"/>
          <w:lang w:eastAsia="en-GB"/>
        </w:rPr>
        <w:t xml:space="preserve">It was </w:t>
      </w:r>
      <w:r w:rsidR="001C5ED0" w:rsidRPr="0025254F">
        <w:rPr>
          <w:rFonts w:ascii="Arial" w:eastAsia="Times New Roman" w:hAnsi="Arial" w:cs="Arial"/>
          <w:sz w:val="24"/>
          <w:szCs w:val="24"/>
          <w:lang w:eastAsia="en-GB"/>
        </w:rPr>
        <w:t>also submitted</w:t>
      </w:r>
      <w:r w:rsidR="00CB0628" w:rsidRPr="0025254F">
        <w:rPr>
          <w:rFonts w:ascii="Arial" w:eastAsia="Times New Roman" w:hAnsi="Arial" w:cs="Arial"/>
          <w:sz w:val="24"/>
          <w:szCs w:val="24"/>
          <w:lang w:eastAsia="en-GB"/>
        </w:rPr>
        <w:t xml:space="preserve"> on behalf of the respondent</w:t>
      </w:r>
      <w:r w:rsidR="001C5ED0" w:rsidRPr="0025254F">
        <w:rPr>
          <w:rFonts w:ascii="Arial" w:eastAsia="Times New Roman" w:hAnsi="Arial" w:cs="Arial"/>
          <w:sz w:val="24"/>
          <w:szCs w:val="24"/>
          <w:lang w:eastAsia="en-GB"/>
        </w:rPr>
        <w:t xml:space="preserve"> that the guarantee</w:t>
      </w:r>
      <w:r w:rsidR="00526D3C" w:rsidRPr="0025254F">
        <w:rPr>
          <w:rFonts w:ascii="Arial" w:eastAsia="Times New Roman" w:hAnsi="Arial" w:cs="Arial"/>
          <w:sz w:val="24"/>
          <w:szCs w:val="24"/>
          <w:lang w:eastAsia="en-GB"/>
        </w:rPr>
        <w:t xml:space="preserve"> </w:t>
      </w:r>
      <w:r w:rsidR="00701B88" w:rsidRPr="0025254F">
        <w:rPr>
          <w:rFonts w:ascii="Arial" w:eastAsia="Times New Roman" w:hAnsi="Arial" w:cs="Arial"/>
          <w:sz w:val="24"/>
          <w:szCs w:val="24"/>
          <w:lang w:eastAsia="en-GB"/>
        </w:rPr>
        <w:t xml:space="preserve">makes provision for the renouncing of benefits, which defence </w:t>
      </w:r>
      <w:r w:rsidR="004277E2" w:rsidRPr="0025254F">
        <w:rPr>
          <w:rFonts w:ascii="Arial" w:eastAsia="Times New Roman" w:hAnsi="Arial" w:cs="Arial"/>
          <w:sz w:val="24"/>
          <w:szCs w:val="24"/>
          <w:lang w:eastAsia="en-GB"/>
        </w:rPr>
        <w:t xml:space="preserve">is </w:t>
      </w:r>
      <w:r w:rsidR="00701B88" w:rsidRPr="0025254F">
        <w:rPr>
          <w:rFonts w:ascii="Arial" w:eastAsia="Times New Roman" w:hAnsi="Arial" w:cs="Arial"/>
          <w:sz w:val="24"/>
          <w:szCs w:val="24"/>
          <w:lang w:eastAsia="en-GB"/>
        </w:rPr>
        <w:t>only afforded to a surety,</w:t>
      </w:r>
      <w:r w:rsidR="001C5ED0" w:rsidRPr="0025254F">
        <w:rPr>
          <w:rFonts w:ascii="Arial" w:eastAsia="Times New Roman" w:hAnsi="Arial" w:cs="Arial"/>
          <w:sz w:val="24"/>
          <w:szCs w:val="24"/>
          <w:lang w:eastAsia="en-GB"/>
        </w:rPr>
        <w:t xml:space="preserve"> and</w:t>
      </w:r>
      <w:r w:rsidR="00526D3C" w:rsidRPr="0025254F">
        <w:rPr>
          <w:rFonts w:ascii="Arial" w:eastAsia="Times New Roman" w:hAnsi="Arial" w:cs="Arial"/>
          <w:sz w:val="24"/>
          <w:szCs w:val="24"/>
          <w:lang w:eastAsia="en-GB"/>
        </w:rPr>
        <w:t xml:space="preserve"> </w:t>
      </w:r>
      <w:r w:rsidR="00701B88" w:rsidRPr="0025254F">
        <w:rPr>
          <w:rFonts w:ascii="Arial" w:eastAsia="Times New Roman" w:hAnsi="Arial" w:cs="Arial"/>
          <w:sz w:val="24"/>
          <w:szCs w:val="24"/>
          <w:lang w:eastAsia="en-GB"/>
        </w:rPr>
        <w:t xml:space="preserve">which demonstrates that the parties intended to conclude a suretyship. Reliance </w:t>
      </w:r>
      <w:r w:rsidR="00701B88" w:rsidRPr="0025254F">
        <w:rPr>
          <w:rFonts w:ascii="Arial" w:eastAsia="Times New Roman" w:hAnsi="Arial" w:cs="Arial"/>
          <w:sz w:val="24"/>
          <w:szCs w:val="24"/>
          <w:lang w:eastAsia="en-GB"/>
        </w:rPr>
        <w:lastRenderedPageBreak/>
        <w:t xml:space="preserve">was placed on </w:t>
      </w:r>
      <w:r w:rsidR="00D12F73" w:rsidRPr="0025254F">
        <w:rPr>
          <w:rFonts w:ascii="Arial" w:eastAsia="Times New Roman" w:hAnsi="Arial" w:cs="Arial"/>
          <w:i/>
          <w:sz w:val="24"/>
          <w:szCs w:val="24"/>
          <w:lang w:eastAsia="en-GB"/>
        </w:rPr>
        <w:t>Caney</w:t>
      </w:r>
      <w:r w:rsidR="004277E2" w:rsidRPr="0025254F">
        <w:rPr>
          <w:rFonts w:ascii="Arial" w:eastAsia="Times New Roman" w:hAnsi="Arial" w:cs="Arial"/>
          <w:i/>
          <w:sz w:val="24"/>
          <w:szCs w:val="24"/>
          <w:lang w:eastAsia="en-GB"/>
        </w:rPr>
        <w:t>’s</w:t>
      </w:r>
      <w:r w:rsidR="003B1FF9" w:rsidRPr="0025254F">
        <w:rPr>
          <w:rStyle w:val="FootnoteReference"/>
          <w:rFonts w:ascii="Arial" w:eastAsia="Times New Roman" w:hAnsi="Arial" w:cs="Arial"/>
          <w:sz w:val="24"/>
          <w:szCs w:val="24"/>
          <w:lang w:eastAsia="en-GB"/>
        </w:rPr>
        <w:footnoteReference w:id="17"/>
      </w:r>
      <w:r w:rsidR="00D12F73" w:rsidRPr="0025254F">
        <w:rPr>
          <w:rFonts w:ascii="Arial" w:eastAsia="Times New Roman" w:hAnsi="Arial" w:cs="Arial"/>
          <w:sz w:val="24"/>
          <w:szCs w:val="24"/>
          <w:lang w:eastAsia="en-GB"/>
        </w:rPr>
        <w:t xml:space="preserve"> wher</w:t>
      </w:r>
      <w:r w:rsidR="001C5ED0" w:rsidRPr="0025254F">
        <w:rPr>
          <w:rFonts w:ascii="Arial" w:eastAsia="Times New Roman" w:hAnsi="Arial" w:cs="Arial"/>
          <w:sz w:val="24"/>
          <w:szCs w:val="24"/>
          <w:lang w:eastAsia="en-GB"/>
        </w:rPr>
        <w:t>e</w:t>
      </w:r>
      <w:r w:rsidR="00D12F73" w:rsidRPr="0025254F">
        <w:rPr>
          <w:rFonts w:ascii="Arial" w:eastAsia="Times New Roman" w:hAnsi="Arial" w:cs="Arial"/>
          <w:sz w:val="24"/>
          <w:szCs w:val="24"/>
          <w:lang w:eastAsia="en-GB"/>
        </w:rPr>
        <w:t xml:space="preserve"> it was stated that</w:t>
      </w:r>
      <w:r w:rsidR="00526D3C" w:rsidRPr="0025254F">
        <w:rPr>
          <w:rFonts w:ascii="Arial" w:eastAsia="Times New Roman" w:hAnsi="Arial" w:cs="Arial"/>
          <w:sz w:val="24"/>
          <w:szCs w:val="24"/>
          <w:lang w:eastAsia="en-GB"/>
        </w:rPr>
        <w:t xml:space="preserve"> </w:t>
      </w:r>
      <w:r w:rsidR="00D12F73" w:rsidRPr="0025254F">
        <w:rPr>
          <w:rFonts w:ascii="Arial" w:eastAsia="Times New Roman" w:hAnsi="Arial" w:cs="Arial"/>
          <w:sz w:val="24"/>
          <w:szCs w:val="24"/>
          <w:lang w:eastAsia="en-GB"/>
        </w:rPr>
        <w:t xml:space="preserve">‘if a contract is one of suretyship, the surety will be entitled to the suretyship benefits </w:t>
      </w:r>
      <w:r w:rsidR="003B1FF9" w:rsidRPr="0025254F">
        <w:rPr>
          <w:rFonts w:ascii="Arial" w:eastAsia="Times New Roman" w:hAnsi="Arial" w:cs="Arial"/>
          <w:sz w:val="24"/>
          <w:szCs w:val="24"/>
          <w:lang w:eastAsia="en-GB"/>
        </w:rPr>
        <w:t>. . .</w:t>
      </w:r>
      <w:r w:rsidR="00D12F73" w:rsidRPr="0025254F">
        <w:rPr>
          <w:rFonts w:ascii="Arial" w:eastAsia="Times New Roman" w:hAnsi="Arial" w:cs="Arial"/>
          <w:sz w:val="24"/>
          <w:szCs w:val="24"/>
          <w:lang w:eastAsia="en-GB"/>
        </w:rPr>
        <w:t xml:space="preserve"> but otherwise not</w:t>
      </w:r>
      <w:r w:rsidR="00CB0628" w:rsidRPr="0025254F">
        <w:rPr>
          <w:rFonts w:ascii="Arial" w:eastAsia="Times New Roman" w:hAnsi="Arial" w:cs="Arial"/>
          <w:sz w:val="24"/>
          <w:szCs w:val="24"/>
          <w:lang w:eastAsia="en-GB"/>
        </w:rPr>
        <w:t>’.</w:t>
      </w:r>
    </w:p>
    <w:p w14:paraId="489B6BFB" w14:textId="7FA40B95" w:rsidR="007F1A47" w:rsidRPr="0025254F" w:rsidRDefault="007F1A47" w:rsidP="006B48B9">
      <w:pPr>
        <w:spacing w:after="0" w:line="360" w:lineRule="auto"/>
        <w:contextualSpacing/>
        <w:jc w:val="both"/>
        <w:rPr>
          <w:rFonts w:ascii="Arial" w:eastAsia="Times New Roman" w:hAnsi="Arial" w:cs="Arial"/>
          <w:sz w:val="24"/>
          <w:szCs w:val="24"/>
          <w:lang w:eastAsia="en-GB"/>
        </w:rPr>
      </w:pPr>
    </w:p>
    <w:p w14:paraId="6C570183" w14:textId="2B77929C" w:rsidR="009D7AB6" w:rsidRPr="0025254F" w:rsidRDefault="008659C2"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[42</w:t>
      </w:r>
      <w:r w:rsidR="009D7AB6"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00283A46" w:rsidRPr="0025254F">
        <w:rPr>
          <w:rFonts w:ascii="Arial" w:eastAsia="Times New Roman" w:hAnsi="Arial" w:cs="Arial"/>
          <w:sz w:val="24"/>
          <w:szCs w:val="24"/>
          <w:lang w:eastAsia="en-GB"/>
        </w:rPr>
        <w:t>In response to this last submission, the applicant submitted that the existence of clause 6.1.1 does not transform the guarantee into a suretyship.</w:t>
      </w:r>
      <w:r w:rsidR="00CB0628" w:rsidRPr="0025254F">
        <w:rPr>
          <w:rFonts w:ascii="Arial" w:eastAsia="Times New Roman" w:hAnsi="Arial" w:cs="Arial"/>
          <w:sz w:val="24"/>
          <w:szCs w:val="24"/>
          <w:lang w:eastAsia="en-GB"/>
        </w:rPr>
        <w:t xml:space="preserve"> </w:t>
      </w:r>
      <w:r w:rsidR="00283A46" w:rsidRPr="0025254F">
        <w:rPr>
          <w:rFonts w:ascii="Arial" w:eastAsia="Times New Roman" w:hAnsi="Arial" w:cs="Arial"/>
          <w:sz w:val="24"/>
          <w:szCs w:val="24"/>
          <w:lang w:eastAsia="en-GB"/>
        </w:rPr>
        <w:t>It simply closes the door on the respondent opposing a claim for payment under the guarantee by contending that the applicant is obliged to first seek payment from (or excuss</w:t>
      </w:r>
      <w:r w:rsidR="004274CE">
        <w:rPr>
          <w:rFonts w:ascii="Arial" w:eastAsia="Times New Roman" w:hAnsi="Arial" w:cs="Arial"/>
          <w:sz w:val="24"/>
          <w:szCs w:val="24"/>
          <w:lang w:eastAsia="en-GB"/>
        </w:rPr>
        <w:t xml:space="preserve"> against</w:t>
      </w:r>
      <w:r w:rsidR="00283A46" w:rsidRPr="0025254F">
        <w:rPr>
          <w:rFonts w:ascii="Arial" w:eastAsia="Times New Roman" w:hAnsi="Arial" w:cs="Arial"/>
          <w:sz w:val="24"/>
          <w:szCs w:val="24"/>
          <w:lang w:eastAsia="en-GB"/>
        </w:rPr>
        <w:t xml:space="preserve">) Wardkiss. </w:t>
      </w:r>
    </w:p>
    <w:p w14:paraId="6DA7FEF7" w14:textId="77777777" w:rsidR="0082763F" w:rsidRPr="0025254F" w:rsidRDefault="0082763F" w:rsidP="006B48B9">
      <w:pPr>
        <w:spacing w:after="0" w:line="360" w:lineRule="auto"/>
        <w:contextualSpacing/>
        <w:jc w:val="both"/>
        <w:rPr>
          <w:rFonts w:ascii="Arial" w:eastAsia="Times New Roman" w:hAnsi="Arial" w:cs="Arial"/>
          <w:sz w:val="24"/>
          <w:szCs w:val="24"/>
          <w:lang w:eastAsia="en-GB"/>
        </w:rPr>
      </w:pPr>
    </w:p>
    <w:p w14:paraId="60ED40A4" w14:textId="09F1A1F5" w:rsidR="0082763F" w:rsidRPr="0025254F" w:rsidRDefault="0082763F" w:rsidP="006B48B9">
      <w:pPr>
        <w:spacing w:after="0" w:line="360" w:lineRule="auto"/>
        <w:contextualSpacing/>
        <w:jc w:val="both"/>
        <w:rPr>
          <w:rFonts w:ascii="Arial" w:eastAsia="Times New Roman" w:hAnsi="Arial" w:cs="Arial"/>
          <w:b/>
          <w:sz w:val="24"/>
          <w:szCs w:val="24"/>
          <w:lang w:eastAsia="en-GB"/>
        </w:rPr>
      </w:pPr>
      <w:r w:rsidRPr="0025254F">
        <w:rPr>
          <w:rFonts w:ascii="Arial" w:eastAsia="Times New Roman" w:hAnsi="Arial" w:cs="Arial"/>
          <w:b/>
          <w:sz w:val="24"/>
          <w:szCs w:val="24"/>
          <w:lang w:eastAsia="en-GB"/>
        </w:rPr>
        <w:t>Discussion and analysis</w:t>
      </w:r>
    </w:p>
    <w:p w14:paraId="611CBFB6" w14:textId="7680A351" w:rsidR="00AB13B9" w:rsidRPr="0025254F" w:rsidRDefault="008659C2" w:rsidP="006B48B9">
      <w:pPr>
        <w:spacing w:after="0" w:line="360" w:lineRule="auto"/>
        <w:contextualSpacing/>
        <w:jc w:val="both"/>
        <w:rPr>
          <w:rFonts w:ascii="Arial" w:eastAsia="Times New Roman" w:hAnsi="Arial" w:cs="Arial"/>
          <w:sz w:val="24"/>
          <w:szCs w:val="24"/>
          <w:lang w:eastAsia="en-GB"/>
        </w:rPr>
      </w:pPr>
      <w:r w:rsidRPr="0025254F">
        <w:rPr>
          <w:rFonts w:ascii="Arial" w:eastAsia="Times New Roman" w:hAnsi="Arial" w:cs="Arial"/>
          <w:sz w:val="24"/>
          <w:szCs w:val="24"/>
          <w:lang w:eastAsia="en-GB"/>
        </w:rPr>
        <w:t>[43</w:t>
      </w:r>
      <w:r w:rsidR="00EF123A" w:rsidRPr="0025254F">
        <w:rPr>
          <w:rFonts w:ascii="Arial" w:eastAsia="Times New Roman" w:hAnsi="Arial" w:cs="Arial"/>
          <w:sz w:val="24"/>
          <w:szCs w:val="24"/>
          <w:lang w:eastAsia="en-GB"/>
        </w:rPr>
        <w:t>]</w:t>
      </w:r>
      <w:r w:rsidR="006B48B9" w:rsidRPr="0025254F">
        <w:rPr>
          <w:rFonts w:ascii="Arial" w:eastAsia="Times New Roman" w:hAnsi="Arial" w:cs="Arial"/>
          <w:sz w:val="24"/>
          <w:szCs w:val="24"/>
          <w:lang w:eastAsia="en-GB"/>
        </w:rPr>
        <w:tab/>
      </w:r>
      <w:r w:rsidR="00CB0628" w:rsidRPr="0025254F">
        <w:rPr>
          <w:rFonts w:ascii="Arial" w:eastAsia="Times New Roman" w:hAnsi="Arial" w:cs="Arial"/>
          <w:sz w:val="24"/>
          <w:szCs w:val="24"/>
          <w:lang w:eastAsia="en-GB"/>
        </w:rPr>
        <w:t>There is a saying</w:t>
      </w:r>
      <w:r w:rsidR="00526D3C" w:rsidRPr="0025254F">
        <w:rPr>
          <w:rFonts w:ascii="Arial" w:eastAsia="Times New Roman" w:hAnsi="Arial" w:cs="Arial"/>
          <w:sz w:val="24"/>
          <w:szCs w:val="24"/>
          <w:lang w:eastAsia="en-GB"/>
        </w:rPr>
        <w:t xml:space="preserve"> </w:t>
      </w:r>
      <w:r w:rsidR="008E489C" w:rsidRPr="0025254F">
        <w:rPr>
          <w:rFonts w:ascii="Arial" w:eastAsia="Times New Roman" w:hAnsi="Arial" w:cs="Arial"/>
          <w:sz w:val="24"/>
          <w:szCs w:val="24"/>
          <w:lang w:eastAsia="en-GB"/>
        </w:rPr>
        <w:t>that</w:t>
      </w:r>
      <w:r w:rsidR="00AB13B9" w:rsidRPr="0025254F">
        <w:rPr>
          <w:rFonts w:ascii="Arial" w:eastAsia="Times New Roman" w:hAnsi="Arial" w:cs="Arial"/>
          <w:sz w:val="24"/>
          <w:szCs w:val="24"/>
          <w:lang w:eastAsia="en-GB"/>
        </w:rPr>
        <w:t xml:space="preserve"> if it looks like a d</w:t>
      </w:r>
      <w:r w:rsidR="008E489C" w:rsidRPr="0025254F">
        <w:rPr>
          <w:rFonts w:ascii="Arial" w:eastAsia="Times New Roman" w:hAnsi="Arial" w:cs="Arial"/>
          <w:sz w:val="24"/>
          <w:szCs w:val="24"/>
          <w:lang w:eastAsia="en-GB"/>
        </w:rPr>
        <w:t>uck, walks</w:t>
      </w:r>
      <w:r w:rsidR="00526D3C" w:rsidRPr="0025254F">
        <w:rPr>
          <w:rFonts w:ascii="Arial" w:eastAsia="Times New Roman" w:hAnsi="Arial" w:cs="Arial"/>
          <w:sz w:val="24"/>
          <w:szCs w:val="24"/>
          <w:lang w:eastAsia="en-GB"/>
        </w:rPr>
        <w:t xml:space="preserve"> </w:t>
      </w:r>
      <w:r w:rsidR="008E489C" w:rsidRPr="0025254F">
        <w:rPr>
          <w:rFonts w:ascii="Arial" w:eastAsia="Times New Roman" w:hAnsi="Arial" w:cs="Arial"/>
          <w:sz w:val="24"/>
          <w:szCs w:val="24"/>
          <w:lang w:eastAsia="en-GB"/>
        </w:rPr>
        <w:t>lik</w:t>
      </w:r>
      <w:r w:rsidR="00CB0628" w:rsidRPr="0025254F">
        <w:rPr>
          <w:rFonts w:ascii="Arial" w:eastAsia="Times New Roman" w:hAnsi="Arial" w:cs="Arial"/>
          <w:sz w:val="24"/>
          <w:szCs w:val="24"/>
          <w:lang w:eastAsia="en-GB"/>
        </w:rPr>
        <w:t>e a duck and quacks like a duck,</w:t>
      </w:r>
      <w:r w:rsidR="008E489C" w:rsidRPr="0025254F">
        <w:rPr>
          <w:rFonts w:ascii="Arial" w:eastAsia="Times New Roman" w:hAnsi="Arial" w:cs="Arial"/>
          <w:sz w:val="24"/>
          <w:szCs w:val="24"/>
          <w:lang w:eastAsia="en-GB"/>
        </w:rPr>
        <w:t xml:space="preserve"> then it just may be a duck.</w:t>
      </w:r>
      <w:r w:rsidR="00633DA0" w:rsidRPr="0025254F">
        <w:rPr>
          <w:rFonts w:ascii="Arial" w:eastAsia="Times New Roman" w:hAnsi="Arial" w:cs="Arial"/>
          <w:sz w:val="24"/>
          <w:szCs w:val="24"/>
          <w:lang w:eastAsia="en-GB"/>
        </w:rPr>
        <w:t xml:space="preserve"> It later became known as the duck test, a humorous term for a form of inductive reasoning.</w:t>
      </w:r>
      <w:r w:rsidR="00AC7DAA" w:rsidRPr="0025254F">
        <w:rPr>
          <w:rStyle w:val="FootnoteReference"/>
          <w:rFonts w:ascii="Arial" w:eastAsia="Times New Roman" w:hAnsi="Arial" w:cs="Arial"/>
          <w:sz w:val="24"/>
          <w:szCs w:val="24"/>
          <w:lang w:eastAsia="en-GB"/>
        </w:rPr>
        <w:footnoteReference w:id="18"/>
      </w:r>
      <w:r w:rsidR="00AB13B9" w:rsidRPr="0025254F">
        <w:rPr>
          <w:rFonts w:ascii="Arial" w:eastAsia="Times New Roman" w:hAnsi="Arial" w:cs="Arial"/>
          <w:sz w:val="24"/>
          <w:szCs w:val="24"/>
          <w:lang w:eastAsia="en-GB"/>
        </w:rPr>
        <w:t xml:space="preserve"> It has not been easy to find a clear and exact definition of a guarantee. In most instances</w:t>
      </w:r>
      <w:r w:rsidR="00102A55" w:rsidRPr="0025254F">
        <w:rPr>
          <w:rFonts w:ascii="Arial" w:eastAsia="Times New Roman" w:hAnsi="Arial" w:cs="Arial"/>
          <w:sz w:val="24"/>
          <w:szCs w:val="24"/>
          <w:lang w:eastAsia="en-GB"/>
        </w:rPr>
        <w:t>,</w:t>
      </w:r>
      <w:r w:rsidR="00AB13B9" w:rsidRPr="0025254F">
        <w:rPr>
          <w:rFonts w:ascii="Arial" w:eastAsia="Times New Roman" w:hAnsi="Arial" w:cs="Arial"/>
          <w:sz w:val="24"/>
          <w:szCs w:val="24"/>
          <w:lang w:eastAsia="en-GB"/>
        </w:rPr>
        <w:t xml:space="preserve"> it is described by comparing i</w:t>
      </w:r>
      <w:r w:rsidR="00633DA0" w:rsidRPr="0025254F">
        <w:rPr>
          <w:rFonts w:ascii="Arial" w:eastAsia="Times New Roman" w:hAnsi="Arial" w:cs="Arial"/>
          <w:sz w:val="24"/>
          <w:szCs w:val="24"/>
          <w:lang w:eastAsia="en-GB"/>
        </w:rPr>
        <w:t>t with a contract of suretyship.</w:t>
      </w:r>
      <w:r w:rsidR="00526D3C" w:rsidRPr="0025254F">
        <w:rPr>
          <w:rFonts w:ascii="Arial" w:eastAsia="Times New Roman" w:hAnsi="Arial" w:cs="Arial"/>
          <w:sz w:val="24"/>
          <w:szCs w:val="24"/>
          <w:lang w:eastAsia="en-GB"/>
        </w:rPr>
        <w:t xml:space="preserve"> </w:t>
      </w:r>
      <w:r w:rsidR="00AB13B9" w:rsidRPr="0025254F">
        <w:rPr>
          <w:rFonts w:ascii="Arial" w:eastAsia="Times New Roman" w:hAnsi="Arial" w:cs="Arial"/>
          <w:sz w:val="24"/>
          <w:szCs w:val="24"/>
          <w:lang w:eastAsia="en-GB"/>
        </w:rPr>
        <w:t>C</w:t>
      </w:r>
      <w:r w:rsidR="00121677">
        <w:rPr>
          <w:rFonts w:ascii="Arial" w:eastAsia="Times New Roman" w:hAnsi="Arial" w:cs="Arial"/>
          <w:sz w:val="24"/>
          <w:szCs w:val="24"/>
          <w:lang w:eastAsia="en-GB"/>
        </w:rPr>
        <w:t>arl</w:t>
      </w:r>
      <w:r w:rsidR="00AB13B9" w:rsidRPr="0025254F">
        <w:rPr>
          <w:rFonts w:ascii="Arial" w:eastAsia="Times New Roman" w:hAnsi="Arial" w:cs="Arial"/>
          <w:sz w:val="24"/>
          <w:szCs w:val="24"/>
          <w:lang w:eastAsia="en-GB"/>
        </w:rPr>
        <w:t xml:space="preserve"> Hugo, a professor in banking law at the University of Johannesburg,</w:t>
      </w:r>
      <w:r w:rsidR="00526D3C" w:rsidRPr="0025254F">
        <w:rPr>
          <w:rFonts w:ascii="Arial" w:eastAsia="Times New Roman" w:hAnsi="Arial" w:cs="Arial"/>
          <w:sz w:val="24"/>
          <w:szCs w:val="24"/>
          <w:lang w:eastAsia="en-GB"/>
        </w:rPr>
        <w:t xml:space="preserve"> </w:t>
      </w:r>
      <w:r w:rsidR="00BA5273" w:rsidRPr="0025254F">
        <w:rPr>
          <w:rFonts w:ascii="Arial" w:eastAsia="Times New Roman" w:hAnsi="Arial" w:cs="Arial"/>
          <w:sz w:val="24"/>
          <w:szCs w:val="24"/>
          <w:lang w:eastAsia="en-GB"/>
        </w:rPr>
        <w:t>provided</w:t>
      </w:r>
      <w:r w:rsidR="00526D3C" w:rsidRPr="0025254F">
        <w:rPr>
          <w:rFonts w:ascii="Arial" w:eastAsia="Times New Roman" w:hAnsi="Arial" w:cs="Arial"/>
          <w:sz w:val="24"/>
          <w:szCs w:val="24"/>
          <w:lang w:eastAsia="en-GB"/>
        </w:rPr>
        <w:t xml:space="preserve"> </w:t>
      </w:r>
      <w:r w:rsidR="00AB13B9" w:rsidRPr="0025254F">
        <w:rPr>
          <w:rFonts w:ascii="Arial" w:eastAsia="Times New Roman" w:hAnsi="Arial" w:cs="Arial"/>
          <w:sz w:val="24"/>
          <w:szCs w:val="24"/>
          <w:lang w:eastAsia="en-GB"/>
        </w:rPr>
        <w:t xml:space="preserve">the following </w:t>
      </w:r>
      <w:r w:rsidR="00BA5273" w:rsidRPr="0025254F">
        <w:rPr>
          <w:rFonts w:ascii="Arial" w:eastAsia="Times New Roman" w:hAnsi="Arial" w:cs="Arial"/>
          <w:sz w:val="24"/>
          <w:szCs w:val="24"/>
          <w:lang w:eastAsia="en-GB"/>
        </w:rPr>
        <w:t>description</w:t>
      </w:r>
      <w:r w:rsidR="00F37B87" w:rsidRPr="0025254F">
        <w:rPr>
          <w:rFonts w:ascii="Arial" w:eastAsia="Times New Roman" w:hAnsi="Arial" w:cs="Arial"/>
          <w:sz w:val="24"/>
          <w:szCs w:val="24"/>
          <w:lang w:eastAsia="en-GB"/>
        </w:rPr>
        <w:t>:</w:t>
      </w:r>
      <w:r w:rsidR="00102A55" w:rsidRPr="0025254F">
        <w:rPr>
          <w:rStyle w:val="FootnoteReference"/>
          <w:rFonts w:ascii="Arial" w:eastAsia="Times New Roman" w:hAnsi="Arial" w:cs="Arial"/>
          <w:sz w:val="24"/>
          <w:szCs w:val="24"/>
          <w:lang w:eastAsia="en-GB"/>
        </w:rPr>
        <w:footnoteReference w:id="19"/>
      </w:r>
    </w:p>
    <w:p w14:paraId="496EB4CF" w14:textId="1CBE32F3" w:rsidR="00EF123A" w:rsidRPr="0025254F" w:rsidRDefault="004442A5" w:rsidP="006B48B9">
      <w:pPr>
        <w:spacing w:after="0" w:line="360" w:lineRule="auto"/>
        <w:contextualSpacing/>
        <w:jc w:val="both"/>
        <w:rPr>
          <w:rFonts w:ascii="Arial" w:hAnsi="Arial" w:cs="Arial"/>
        </w:rPr>
      </w:pPr>
      <w:r w:rsidRPr="0025254F">
        <w:rPr>
          <w:rFonts w:ascii="Arial" w:hAnsi="Arial" w:cs="Arial"/>
          <w:color w:val="1F497D"/>
        </w:rPr>
        <w:t>‘</w:t>
      </w:r>
      <w:r w:rsidR="002A3DB5" w:rsidRPr="0025254F">
        <w:rPr>
          <w:rFonts w:ascii="Arial" w:hAnsi="Arial" w:cs="Arial"/>
        </w:rPr>
        <w:t>When dealing with guarantees it is important to emphasise that the term "guarantee" can in law refer to two distinctly different instruments, namely an independent guarantee (often referred to as a demand guarantee) and an accessory guarantee (akin to suretyship). </w:t>
      </w:r>
      <w:bookmarkStart w:id="6" w:name="0-0-0-83055"/>
      <w:bookmarkEnd w:id="6"/>
      <w:r w:rsidR="002A3DB5" w:rsidRPr="0025254F">
        <w:rPr>
          <w:rFonts w:ascii="Arial" w:hAnsi="Arial" w:cs="Arial"/>
        </w:rPr>
        <w:t>In the case of the former the beneficiary's right to be paid by the guarantor is to be determined solely with reference to the guarantee itself (and not with reference to the underlying debt secured by the guarantee). In the case of the accessory guarantee, however, the beneficiary will only be entitled to be paid by the guarantor if, in terms of the underlying debt relationship, it is indeed entitled to payment; the guarantor is entitled to raise any defence against the beneficiary that the principal debtor would have been able to raise against the beneficiary in the underlying debt relationship. From a legal perspective this is a fundamental difference which is often not properly understood or appreciated by the parties concerned.</w:t>
      </w:r>
      <w:r w:rsidRPr="0025254F">
        <w:rPr>
          <w:rFonts w:ascii="Arial" w:hAnsi="Arial" w:cs="Arial"/>
        </w:rPr>
        <w:t>’</w:t>
      </w:r>
      <w:r w:rsidR="002A3DB5" w:rsidRPr="0025254F">
        <w:rPr>
          <w:rFonts w:ascii="Arial" w:hAnsi="Arial" w:cs="Arial"/>
        </w:rPr>
        <w:t xml:space="preserve"> (Footnote omitted.)</w:t>
      </w:r>
    </w:p>
    <w:p w14:paraId="2A363597" w14:textId="77777777" w:rsidR="00633DA0" w:rsidRPr="0025254F" w:rsidRDefault="00633DA0" w:rsidP="006B48B9">
      <w:pPr>
        <w:spacing w:after="0" w:line="360" w:lineRule="auto"/>
        <w:contextualSpacing/>
        <w:jc w:val="both"/>
        <w:rPr>
          <w:rFonts w:ascii="Arial" w:hAnsi="Arial" w:cs="Arial"/>
        </w:rPr>
      </w:pPr>
    </w:p>
    <w:p w14:paraId="46E76A65" w14:textId="4C967DD7" w:rsidR="008659C2" w:rsidRPr="0025254F" w:rsidRDefault="008659C2" w:rsidP="006B48B9">
      <w:pPr>
        <w:spacing w:after="0" w:line="360" w:lineRule="auto"/>
        <w:contextualSpacing/>
        <w:jc w:val="both"/>
        <w:rPr>
          <w:rFonts w:ascii="Arial" w:hAnsi="Arial" w:cs="Arial"/>
          <w:sz w:val="24"/>
          <w:szCs w:val="24"/>
        </w:rPr>
      </w:pPr>
      <w:r w:rsidRPr="0025254F">
        <w:rPr>
          <w:rFonts w:ascii="Arial" w:hAnsi="Arial" w:cs="Arial"/>
          <w:sz w:val="24"/>
          <w:szCs w:val="24"/>
        </w:rPr>
        <w:t>[44</w:t>
      </w:r>
      <w:r w:rsidR="00F37B87" w:rsidRPr="0025254F">
        <w:rPr>
          <w:rFonts w:ascii="Arial" w:hAnsi="Arial" w:cs="Arial"/>
          <w:sz w:val="24"/>
          <w:szCs w:val="24"/>
        </w:rPr>
        <w:t>]</w:t>
      </w:r>
      <w:r w:rsidR="006B48B9" w:rsidRPr="0025254F">
        <w:rPr>
          <w:rFonts w:ascii="Arial" w:hAnsi="Arial" w:cs="Arial"/>
          <w:sz w:val="24"/>
          <w:szCs w:val="24"/>
        </w:rPr>
        <w:tab/>
      </w:r>
      <w:r w:rsidR="00633DA0" w:rsidRPr="0025254F">
        <w:rPr>
          <w:rFonts w:ascii="Arial" w:hAnsi="Arial" w:cs="Arial"/>
          <w:sz w:val="24"/>
          <w:szCs w:val="24"/>
        </w:rPr>
        <w:t xml:space="preserve">Counsel for the applicant </w:t>
      </w:r>
      <w:r w:rsidR="00C84A03">
        <w:rPr>
          <w:rFonts w:ascii="Arial" w:hAnsi="Arial" w:cs="Arial"/>
          <w:sz w:val="24"/>
          <w:szCs w:val="24"/>
        </w:rPr>
        <w:t>referenced</w:t>
      </w:r>
      <w:r w:rsidR="00633DA0" w:rsidRPr="0025254F">
        <w:rPr>
          <w:rFonts w:ascii="Arial" w:hAnsi="Arial" w:cs="Arial"/>
          <w:sz w:val="24"/>
          <w:szCs w:val="24"/>
        </w:rPr>
        <w:t xml:space="preserve"> a number of cases and submitted that </w:t>
      </w:r>
      <w:r w:rsidR="005538E2" w:rsidRPr="0025254F">
        <w:rPr>
          <w:rFonts w:ascii="Arial" w:hAnsi="Arial" w:cs="Arial"/>
          <w:sz w:val="24"/>
          <w:szCs w:val="24"/>
        </w:rPr>
        <w:t>the cases will only be</w:t>
      </w:r>
      <w:r w:rsidR="003B16B2" w:rsidRPr="0025254F">
        <w:rPr>
          <w:rFonts w:ascii="Arial" w:hAnsi="Arial" w:cs="Arial"/>
          <w:sz w:val="24"/>
          <w:szCs w:val="24"/>
        </w:rPr>
        <w:t xml:space="preserve"> helpful to the extent that they demonstrate a uniform approach to interpret a contract in accordance with the rules for interpreting contracts.</w:t>
      </w:r>
      <w:r w:rsidR="00526D3C" w:rsidRPr="0025254F">
        <w:rPr>
          <w:rFonts w:ascii="Arial" w:hAnsi="Arial" w:cs="Arial"/>
          <w:sz w:val="24"/>
          <w:szCs w:val="24"/>
        </w:rPr>
        <w:t xml:space="preserve"> </w:t>
      </w:r>
      <w:r w:rsidR="003B16B2" w:rsidRPr="0025254F">
        <w:rPr>
          <w:rFonts w:ascii="Arial" w:hAnsi="Arial" w:cs="Arial"/>
          <w:sz w:val="24"/>
          <w:szCs w:val="24"/>
        </w:rPr>
        <w:t xml:space="preserve">The </w:t>
      </w:r>
      <w:r w:rsidR="003B16B2" w:rsidRPr="0025254F">
        <w:rPr>
          <w:rFonts w:ascii="Arial" w:hAnsi="Arial" w:cs="Arial"/>
          <w:sz w:val="24"/>
          <w:szCs w:val="24"/>
        </w:rPr>
        <w:lastRenderedPageBreak/>
        <w:t>obvious problem with looking at</w:t>
      </w:r>
      <w:r w:rsidR="00A262C4" w:rsidRPr="0025254F">
        <w:rPr>
          <w:rFonts w:ascii="Arial" w:hAnsi="Arial" w:cs="Arial"/>
          <w:sz w:val="24"/>
          <w:szCs w:val="24"/>
        </w:rPr>
        <w:t xml:space="preserve"> other cases is that the facts and the wording of the contracts in each case</w:t>
      </w:r>
      <w:r w:rsidR="00526D3C" w:rsidRPr="0025254F">
        <w:rPr>
          <w:rFonts w:ascii="Arial" w:hAnsi="Arial" w:cs="Arial"/>
          <w:sz w:val="24"/>
          <w:szCs w:val="24"/>
        </w:rPr>
        <w:t xml:space="preserve"> </w:t>
      </w:r>
      <w:r w:rsidR="00A262C4" w:rsidRPr="0025254F">
        <w:rPr>
          <w:rFonts w:ascii="Arial" w:hAnsi="Arial" w:cs="Arial"/>
          <w:sz w:val="24"/>
          <w:szCs w:val="24"/>
        </w:rPr>
        <w:t>would</w:t>
      </w:r>
      <w:r w:rsidR="003B16B2" w:rsidRPr="0025254F">
        <w:rPr>
          <w:rFonts w:ascii="Arial" w:hAnsi="Arial" w:cs="Arial"/>
          <w:sz w:val="24"/>
          <w:szCs w:val="24"/>
        </w:rPr>
        <w:t xml:space="preserve"> d</w:t>
      </w:r>
      <w:r w:rsidRPr="0025254F">
        <w:rPr>
          <w:rFonts w:ascii="Arial" w:hAnsi="Arial" w:cs="Arial"/>
          <w:sz w:val="24"/>
          <w:szCs w:val="24"/>
        </w:rPr>
        <w:t xml:space="preserve">iffer from </w:t>
      </w:r>
      <w:r w:rsidR="00A262C4" w:rsidRPr="0025254F">
        <w:rPr>
          <w:rFonts w:ascii="Arial" w:hAnsi="Arial" w:cs="Arial"/>
          <w:sz w:val="24"/>
          <w:szCs w:val="24"/>
        </w:rPr>
        <w:t xml:space="preserve">case to case and from </w:t>
      </w:r>
      <w:r w:rsidRPr="0025254F">
        <w:rPr>
          <w:rFonts w:ascii="Arial" w:hAnsi="Arial" w:cs="Arial"/>
          <w:sz w:val="24"/>
          <w:szCs w:val="24"/>
        </w:rPr>
        <w:t xml:space="preserve">contract to contract. </w:t>
      </w:r>
    </w:p>
    <w:p w14:paraId="3BD0B15B" w14:textId="77777777" w:rsidR="00A262C4" w:rsidRPr="0025254F" w:rsidRDefault="00A262C4" w:rsidP="006B48B9">
      <w:pPr>
        <w:spacing w:after="0" w:line="360" w:lineRule="auto"/>
        <w:contextualSpacing/>
        <w:jc w:val="both"/>
        <w:rPr>
          <w:rFonts w:ascii="Arial" w:hAnsi="Arial" w:cs="Arial"/>
          <w:sz w:val="24"/>
          <w:szCs w:val="24"/>
        </w:rPr>
      </w:pPr>
    </w:p>
    <w:p w14:paraId="5030C33A" w14:textId="4FC32FF3" w:rsidR="00A262C4" w:rsidRPr="0025254F" w:rsidRDefault="00A262C4" w:rsidP="006B48B9">
      <w:pPr>
        <w:spacing w:after="0" w:line="360" w:lineRule="auto"/>
        <w:contextualSpacing/>
        <w:jc w:val="both"/>
        <w:rPr>
          <w:rFonts w:ascii="Arial" w:hAnsi="Arial" w:cs="Arial"/>
          <w:sz w:val="24"/>
          <w:szCs w:val="24"/>
        </w:rPr>
      </w:pPr>
      <w:r w:rsidRPr="0025254F">
        <w:rPr>
          <w:rFonts w:ascii="Arial" w:hAnsi="Arial" w:cs="Arial"/>
          <w:sz w:val="24"/>
          <w:szCs w:val="24"/>
        </w:rPr>
        <w:t>[45]</w:t>
      </w:r>
      <w:r w:rsidR="006B48B9" w:rsidRPr="0025254F">
        <w:rPr>
          <w:rFonts w:ascii="Arial" w:hAnsi="Arial" w:cs="Arial"/>
          <w:sz w:val="24"/>
          <w:szCs w:val="24"/>
        </w:rPr>
        <w:tab/>
      </w:r>
      <w:r w:rsidR="00E250D2" w:rsidRPr="0025254F">
        <w:rPr>
          <w:rFonts w:ascii="Arial" w:hAnsi="Arial" w:cs="Arial"/>
          <w:sz w:val="24"/>
          <w:szCs w:val="24"/>
        </w:rPr>
        <w:t>Annexure ‘K’ is titled</w:t>
      </w:r>
      <w:r w:rsidR="00526D3C" w:rsidRPr="0025254F">
        <w:rPr>
          <w:rFonts w:ascii="Arial" w:hAnsi="Arial" w:cs="Arial"/>
          <w:sz w:val="24"/>
          <w:szCs w:val="24"/>
        </w:rPr>
        <w:t xml:space="preserve"> </w:t>
      </w:r>
      <w:r w:rsidR="00E250D2" w:rsidRPr="0025254F">
        <w:rPr>
          <w:rFonts w:ascii="Arial" w:hAnsi="Arial" w:cs="Arial"/>
          <w:sz w:val="24"/>
          <w:szCs w:val="24"/>
        </w:rPr>
        <w:t>‘Guarantee’,</w:t>
      </w:r>
      <w:r w:rsidR="00526D3C" w:rsidRPr="0025254F">
        <w:rPr>
          <w:rFonts w:ascii="Arial" w:hAnsi="Arial" w:cs="Arial"/>
          <w:sz w:val="24"/>
          <w:szCs w:val="24"/>
        </w:rPr>
        <w:t xml:space="preserve"> </w:t>
      </w:r>
      <w:r w:rsidR="00E250D2" w:rsidRPr="0025254F">
        <w:rPr>
          <w:rFonts w:ascii="Arial" w:hAnsi="Arial" w:cs="Arial"/>
          <w:sz w:val="24"/>
          <w:szCs w:val="24"/>
        </w:rPr>
        <w:t xml:space="preserve">but as mentioned in </w:t>
      </w:r>
      <w:r w:rsidR="00E250D2" w:rsidRPr="0025254F">
        <w:rPr>
          <w:rFonts w:ascii="Arial" w:hAnsi="Arial" w:cs="Arial"/>
          <w:i/>
          <w:sz w:val="24"/>
          <w:szCs w:val="24"/>
        </w:rPr>
        <w:t>Absa</w:t>
      </w:r>
      <w:r w:rsidR="00E250D2" w:rsidRPr="0025254F">
        <w:rPr>
          <w:rFonts w:ascii="Arial" w:hAnsi="Arial" w:cs="Arial"/>
          <w:sz w:val="24"/>
          <w:szCs w:val="24"/>
        </w:rPr>
        <w:t>, the label of a document is not important.</w:t>
      </w:r>
      <w:r w:rsidR="004B7EE1" w:rsidRPr="0025254F">
        <w:rPr>
          <w:rFonts w:ascii="Arial" w:hAnsi="Arial" w:cs="Arial"/>
          <w:sz w:val="24"/>
          <w:szCs w:val="24"/>
        </w:rPr>
        <w:t xml:space="preserve"> </w:t>
      </w:r>
      <w:r w:rsidR="0087180F" w:rsidRPr="0025254F">
        <w:rPr>
          <w:rFonts w:ascii="Arial" w:hAnsi="Arial" w:cs="Arial"/>
          <w:sz w:val="24"/>
          <w:szCs w:val="24"/>
        </w:rPr>
        <w:t>I will instead concentrate on the content of the guarantee.</w:t>
      </w:r>
      <w:r w:rsidR="00E250D2" w:rsidRPr="0025254F">
        <w:rPr>
          <w:rFonts w:ascii="Arial" w:hAnsi="Arial" w:cs="Arial"/>
          <w:sz w:val="24"/>
          <w:szCs w:val="24"/>
        </w:rPr>
        <w:t xml:space="preserve"> </w:t>
      </w:r>
      <w:r w:rsidRPr="0025254F">
        <w:rPr>
          <w:rFonts w:ascii="Arial" w:hAnsi="Arial" w:cs="Arial"/>
          <w:sz w:val="24"/>
          <w:szCs w:val="24"/>
        </w:rPr>
        <w:t>I</w:t>
      </w:r>
      <w:r w:rsidR="00E250D2" w:rsidRPr="0025254F">
        <w:rPr>
          <w:rFonts w:ascii="Arial" w:hAnsi="Arial" w:cs="Arial"/>
          <w:sz w:val="24"/>
          <w:szCs w:val="24"/>
        </w:rPr>
        <w:t>t</w:t>
      </w:r>
      <w:r w:rsidR="0087180F" w:rsidRPr="0025254F">
        <w:rPr>
          <w:rFonts w:ascii="Arial" w:hAnsi="Arial" w:cs="Arial"/>
          <w:sz w:val="24"/>
          <w:szCs w:val="24"/>
        </w:rPr>
        <w:t xml:space="preserve"> is</w:t>
      </w:r>
      <w:r w:rsidR="00E250D2" w:rsidRPr="0025254F">
        <w:rPr>
          <w:rFonts w:ascii="Arial" w:hAnsi="Arial" w:cs="Arial"/>
          <w:sz w:val="24"/>
          <w:szCs w:val="24"/>
        </w:rPr>
        <w:t xml:space="preserve"> </w:t>
      </w:r>
      <w:r w:rsidRPr="0025254F">
        <w:rPr>
          <w:rFonts w:ascii="Arial" w:hAnsi="Arial" w:cs="Arial"/>
          <w:sz w:val="24"/>
          <w:szCs w:val="24"/>
        </w:rPr>
        <w:t>clear from the wording of clause 1.1 of the guarantee that the respondent undertook</w:t>
      </w:r>
      <w:r w:rsidR="00BB4D86">
        <w:rPr>
          <w:rFonts w:ascii="Arial" w:hAnsi="Arial" w:cs="Arial"/>
          <w:sz w:val="24"/>
          <w:szCs w:val="24"/>
        </w:rPr>
        <w:t>,</w:t>
      </w:r>
      <w:r w:rsidRPr="0025254F">
        <w:rPr>
          <w:rFonts w:ascii="Arial" w:hAnsi="Arial" w:cs="Arial"/>
          <w:sz w:val="24"/>
          <w:szCs w:val="24"/>
        </w:rPr>
        <w:t xml:space="preserve"> as a principal and independent obligation, the due, punctual and full payment of the debts of Wardkiss and to pay to the applicant on first written demand, without delay, all amounts due and payable.</w:t>
      </w:r>
    </w:p>
    <w:p w14:paraId="19BDEA12" w14:textId="77777777" w:rsidR="00A262C4" w:rsidRPr="0025254F" w:rsidRDefault="00A262C4" w:rsidP="006B48B9">
      <w:pPr>
        <w:spacing w:after="0" w:line="360" w:lineRule="auto"/>
        <w:contextualSpacing/>
        <w:jc w:val="both"/>
        <w:rPr>
          <w:rFonts w:ascii="Arial" w:hAnsi="Arial" w:cs="Arial"/>
          <w:sz w:val="24"/>
          <w:szCs w:val="24"/>
        </w:rPr>
      </w:pPr>
    </w:p>
    <w:p w14:paraId="3A017AA0" w14:textId="55A4A01D" w:rsidR="00A262C4" w:rsidRPr="0025254F" w:rsidRDefault="00A262C4" w:rsidP="006B48B9">
      <w:pPr>
        <w:spacing w:after="0" w:line="360" w:lineRule="auto"/>
        <w:contextualSpacing/>
        <w:jc w:val="both"/>
        <w:rPr>
          <w:rFonts w:ascii="Arial" w:hAnsi="Arial" w:cs="Arial"/>
          <w:sz w:val="24"/>
          <w:szCs w:val="24"/>
        </w:rPr>
      </w:pPr>
      <w:r w:rsidRPr="0025254F">
        <w:rPr>
          <w:rFonts w:ascii="Arial" w:hAnsi="Arial" w:cs="Arial"/>
          <w:sz w:val="24"/>
          <w:szCs w:val="24"/>
        </w:rPr>
        <w:t>[46]</w:t>
      </w:r>
      <w:r w:rsidR="006B48B9" w:rsidRPr="0025254F">
        <w:rPr>
          <w:rFonts w:ascii="Arial" w:hAnsi="Arial" w:cs="Arial"/>
          <w:sz w:val="24"/>
          <w:szCs w:val="24"/>
        </w:rPr>
        <w:tab/>
      </w:r>
      <w:r w:rsidRPr="0025254F">
        <w:rPr>
          <w:rFonts w:ascii="Arial" w:hAnsi="Arial" w:cs="Arial"/>
          <w:sz w:val="24"/>
          <w:szCs w:val="24"/>
        </w:rPr>
        <w:t>The guarantee also clearly states that it is not merely an ancillary obligation</w:t>
      </w:r>
      <w:r w:rsidR="004B7EE1" w:rsidRPr="0025254F">
        <w:rPr>
          <w:rFonts w:ascii="Arial" w:hAnsi="Arial" w:cs="Arial"/>
          <w:sz w:val="24"/>
          <w:szCs w:val="24"/>
        </w:rPr>
        <w:t>,</w:t>
      </w:r>
      <w:r w:rsidRPr="0025254F">
        <w:rPr>
          <w:rFonts w:ascii="Arial" w:hAnsi="Arial" w:cs="Arial"/>
          <w:sz w:val="24"/>
          <w:szCs w:val="24"/>
        </w:rPr>
        <w:t xml:space="preserve"> as would be the case in respect of a suretyship (see clause 1.1.1).</w:t>
      </w:r>
      <w:r w:rsidR="00526D3C" w:rsidRPr="0025254F">
        <w:rPr>
          <w:rFonts w:ascii="Arial" w:hAnsi="Arial" w:cs="Arial"/>
          <w:sz w:val="24"/>
          <w:szCs w:val="24"/>
        </w:rPr>
        <w:t xml:space="preserve"> </w:t>
      </w:r>
      <w:r w:rsidRPr="0025254F">
        <w:rPr>
          <w:rFonts w:ascii="Arial" w:hAnsi="Arial" w:cs="Arial"/>
          <w:sz w:val="24"/>
          <w:szCs w:val="24"/>
        </w:rPr>
        <w:t>The guarantee also makes it clear that it shall be effective regardless of the validity or enforceability of the debts of Wardkiss (see clause 2.4).</w:t>
      </w:r>
    </w:p>
    <w:p w14:paraId="14326EBD" w14:textId="77777777" w:rsidR="00873517" w:rsidRPr="0025254F" w:rsidRDefault="00873517" w:rsidP="006B48B9">
      <w:pPr>
        <w:spacing w:after="0" w:line="360" w:lineRule="auto"/>
        <w:contextualSpacing/>
        <w:jc w:val="both"/>
        <w:rPr>
          <w:rFonts w:ascii="Arial" w:hAnsi="Arial" w:cs="Arial"/>
          <w:sz w:val="24"/>
          <w:szCs w:val="24"/>
        </w:rPr>
      </w:pPr>
    </w:p>
    <w:p w14:paraId="6DCF0FEA" w14:textId="02B08CA3" w:rsidR="00873517" w:rsidRPr="0025254F" w:rsidRDefault="00873517" w:rsidP="006B48B9">
      <w:pPr>
        <w:spacing w:after="0" w:line="360" w:lineRule="auto"/>
        <w:contextualSpacing/>
        <w:jc w:val="both"/>
        <w:rPr>
          <w:rFonts w:ascii="Arial" w:hAnsi="Arial" w:cs="Arial"/>
          <w:sz w:val="24"/>
          <w:szCs w:val="24"/>
        </w:rPr>
      </w:pPr>
      <w:r w:rsidRPr="0025254F">
        <w:rPr>
          <w:rFonts w:ascii="Arial" w:hAnsi="Arial" w:cs="Arial"/>
          <w:sz w:val="24"/>
          <w:szCs w:val="24"/>
        </w:rPr>
        <w:t>[47]</w:t>
      </w:r>
      <w:r w:rsidR="006B48B9" w:rsidRPr="0025254F">
        <w:rPr>
          <w:rFonts w:ascii="Arial" w:hAnsi="Arial" w:cs="Arial"/>
          <w:sz w:val="24"/>
          <w:szCs w:val="24"/>
        </w:rPr>
        <w:tab/>
      </w:r>
      <w:r w:rsidRPr="0025254F">
        <w:rPr>
          <w:rFonts w:ascii="Arial" w:hAnsi="Arial" w:cs="Arial"/>
          <w:sz w:val="24"/>
          <w:szCs w:val="24"/>
        </w:rPr>
        <w:t>The guarantee contains no provision that the respondent will only be liable to perform in the event that Wardkiss fails to do so, which would</w:t>
      </w:r>
      <w:r w:rsidR="00526D3C" w:rsidRPr="0025254F">
        <w:rPr>
          <w:rFonts w:ascii="Arial" w:hAnsi="Arial" w:cs="Arial"/>
          <w:sz w:val="24"/>
          <w:szCs w:val="24"/>
        </w:rPr>
        <w:t xml:space="preserve"> </w:t>
      </w:r>
      <w:r w:rsidRPr="0025254F">
        <w:rPr>
          <w:rFonts w:ascii="Arial" w:hAnsi="Arial" w:cs="Arial"/>
          <w:sz w:val="24"/>
          <w:szCs w:val="24"/>
        </w:rPr>
        <w:t xml:space="preserve">fall squarely within the accessory nature of a suretyship, as described in </w:t>
      </w:r>
      <w:r w:rsidRPr="0025254F">
        <w:rPr>
          <w:rFonts w:ascii="Arial" w:hAnsi="Arial" w:cs="Arial"/>
          <w:i/>
          <w:sz w:val="24"/>
          <w:szCs w:val="24"/>
        </w:rPr>
        <w:t>Caney</w:t>
      </w:r>
      <w:r w:rsidR="004B7EE1" w:rsidRPr="0025254F">
        <w:rPr>
          <w:rFonts w:ascii="Arial" w:hAnsi="Arial" w:cs="Arial"/>
          <w:i/>
          <w:sz w:val="24"/>
          <w:szCs w:val="24"/>
        </w:rPr>
        <w:t>’s</w:t>
      </w:r>
      <w:r w:rsidRPr="0025254F">
        <w:rPr>
          <w:rFonts w:ascii="Arial" w:hAnsi="Arial" w:cs="Arial"/>
          <w:sz w:val="24"/>
          <w:szCs w:val="24"/>
        </w:rPr>
        <w:t xml:space="preserve"> and </w:t>
      </w:r>
      <w:r w:rsidRPr="0025254F">
        <w:rPr>
          <w:rFonts w:ascii="Arial" w:hAnsi="Arial" w:cs="Arial"/>
          <w:i/>
          <w:sz w:val="24"/>
          <w:szCs w:val="24"/>
        </w:rPr>
        <w:t>Essa</w:t>
      </w:r>
      <w:r w:rsidRPr="0025254F">
        <w:rPr>
          <w:rFonts w:ascii="Arial" w:hAnsi="Arial" w:cs="Arial"/>
          <w:sz w:val="24"/>
          <w:szCs w:val="24"/>
        </w:rPr>
        <w:t>.</w:t>
      </w:r>
    </w:p>
    <w:p w14:paraId="7ABA7485" w14:textId="77777777" w:rsidR="00873517" w:rsidRPr="0025254F" w:rsidRDefault="00873517" w:rsidP="006B48B9">
      <w:pPr>
        <w:spacing w:after="0" w:line="360" w:lineRule="auto"/>
        <w:contextualSpacing/>
        <w:jc w:val="both"/>
        <w:rPr>
          <w:rFonts w:ascii="Arial" w:hAnsi="Arial" w:cs="Arial"/>
          <w:sz w:val="24"/>
          <w:szCs w:val="24"/>
        </w:rPr>
      </w:pPr>
    </w:p>
    <w:p w14:paraId="67C7FD68" w14:textId="073D45AA" w:rsidR="00873517" w:rsidRPr="0025254F" w:rsidRDefault="00873517" w:rsidP="006B48B9">
      <w:pPr>
        <w:spacing w:after="0" w:line="360" w:lineRule="auto"/>
        <w:contextualSpacing/>
        <w:jc w:val="both"/>
        <w:rPr>
          <w:rFonts w:ascii="Arial" w:hAnsi="Arial" w:cs="Arial"/>
          <w:sz w:val="24"/>
          <w:szCs w:val="24"/>
        </w:rPr>
      </w:pPr>
      <w:r w:rsidRPr="0025254F">
        <w:rPr>
          <w:rFonts w:ascii="Arial" w:hAnsi="Arial" w:cs="Arial"/>
          <w:sz w:val="24"/>
          <w:szCs w:val="24"/>
        </w:rPr>
        <w:t>[48]</w:t>
      </w:r>
      <w:r w:rsidR="0031700A" w:rsidRPr="0025254F">
        <w:rPr>
          <w:rFonts w:ascii="Arial" w:hAnsi="Arial" w:cs="Arial"/>
          <w:sz w:val="24"/>
          <w:szCs w:val="24"/>
        </w:rPr>
        <w:tab/>
      </w:r>
      <w:r w:rsidRPr="0025254F">
        <w:rPr>
          <w:rFonts w:ascii="Arial" w:hAnsi="Arial" w:cs="Arial"/>
          <w:sz w:val="24"/>
          <w:szCs w:val="24"/>
        </w:rPr>
        <w:t>In my view, looking at what has been established as the three legs or triad in respect of the interpretation of a contract, namely, the language used, the context</w:t>
      </w:r>
      <w:r w:rsidR="003F036D">
        <w:rPr>
          <w:rFonts w:ascii="Arial" w:hAnsi="Arial" w:cs="Arial"/>
          <w:sz w:val="24"/>
          <w:szCs w:val="24"/>
        </w:rPr>
        <w:t>,</w:t>
      </w:r>
      <w:r w:rsidRPr="0025254F">
        <w:rPr>
          <w:rFonts w:ascii="Arial" w:hAnsi="Arial" w:cs="Arial"/>
          <w:sz w:val="24"/>
          <w:szCs w:val="24"/>
        </w:rPr>
        <w:t xml:space="preserve"> and </w:t>
      </w:r>
      <w:r w:rsidR="003F036D">
        <w:rPr>
          <w:rFonts w:ascii="Arial" w:hAnsi="Arial" w:cs="Arial"/>
          <w:sz w:val="24"/>
          <w:szCs w:val="24"/>
        </w:rPr>
        <w:t xml:space="preserve">the </w:t>
      </w:r>
      <w:r w:rsidRPr="0025254F">
        <w:rPr>
          <w:rFonts w:ascii="Arial" w:hAnsi="Arial" w:cs="Arial"/>
          <w:sz w:val="24"/>
          <w:szCs w:val="24"/>
        </w:rPr>
        <w:t>purpose, it is clear, firstly,</w:t>
      </w:r>
      <w:r w:rsidR="00526D3C" w:rsidRPr="0025254F">
        <w:rPr>
          <w:rFonts w:ascii="Arial" w:hAnsi="Arial" w:cs="Arial"/>
          <w:sz w:val="24"/>
          <w:szCs w:val="24"/>
        </w:rPr>
        <w:t xml:space="preserve"> </w:t>
      </w:r>
      <w:r w:rsidRPr="0025254F">
        <w:rPr>
          <w:rFonts w:ascii="Arial" w:hAnsi="Arial" w:cs="Arial"/>
          <w:sz w:val="24"/>
          <w:szCs w:val="24"/>
        </w:rPr>
        <w:t xml:space="preserve">that the language of the guarantee is consistent with that of a guarantee, bearing in mind the </w:t>
      </w:r>
      <w:r w:rsidR="008E6AE2" w:rsidRPr="0025254F">
        <w:rPr>
          <w:rFonts w:ascii="Arial" w:hAnsi="Arial" w:cs="Arial"/>
          <w:sz w:val="24"/>
          <w:szCs w:val="24"/>
        </w:rPr>
        <w:t>characteristics of a guarantee as set out above.</w:t>
      </w:r>
    </w:p>
    <w:p w14:paraId="3C4BE382" w14:textId="77777777" w:rsidR="008E6AE2" w:rsidRPr="0025254F" w:rsidRDefault="008E6AE2" w:rsidP="006B48B9">
      <w:pPr>
        <w:spacing w:after="0" w:line="360" w:lineRule="auto"/>
        <w:contextualSpacing/>
        <w:jc w:val="both"/>
        <w:rPr>
          <w:rFonts w:ascii="Arial" w:hAnsi="Arial" w:cs="Arial"/>
          <w:sz w:val="24"/>
          <w:szCs w:val="24"/>
        </w:rPr>
      </w:pPr>
    </w:p>
    <w:p w14:paraId="7C060BF3" w14:textId="6DAA2CC3" w:rsidR="008E6AE2" w:rsidRPr="0025254F" w:rsidRDefault="008E6AE2" w:rsidP="006B48B9">
      <w:pPr>
        <w:spacing w:after="0" w:line="360" w:lineRule="auto"/>
        <w:contextualSpacing/>
        <w:jc w:val="both"/>
        <w:rPr>
          <w:rFonts w:ascii="Arial" w:hAnsi="Arial" w:cs="Arial"/>
          <w:sz w:val="24"/>
          <w:szCs w:val="24"/>
        </w:rPr>
      </w:pPr>
      <w:r w:rsidRPr="0025254F">
        <w:rPr>
          <w:rFonts w:ascii="Arial" w:hAnsi="Arial" w:cs="Arial"/>
          <w:sz w:val="24"/>
          <w:szCs w:val="24"/>
        </w:rPr>
        <w:t>[49]</w:t>
      </w:r>
      <w:r w:rsidR="0031700A" w:rsidRPr="0025254F">
        <w:rPr>
          <w:rFonts w:ascii="Arial" w:hAnsi="Arial" w:cs="Arial"/>
          <w:sz w:val="24"/>
          <w:szCs w:val="24"/>
        </w:rPr>
        <w:tab/>
      </w:r>
      <w:r w:rsidRPr="0025254F">
        <w:rPr>
          <w:rFonts w:ascii="Arial" w:hAnsi="Arial" w:cs="Arial"/>
          <w:sz w:val="24"/>
          <w:szCs w:val="24"/>
        </w:rPr>
        <w:t xml:space="preserve">As far as </w:t>
      </w:r>
      <w:r w:rsidR="0077458C">
        <w:rPr>
          <w:rFonts w:ascii="Arial" w:hAnsi="Arial" w:cs="Arial"/>
          <w:sz w:val="24"/>
          <w:szCs w:val="24"/>
        </w:rPr>
        <w:t xml:space="preserve">the </w:t>
      </w:r>
      <w:r w:rsidRPr="0025254F">
        <w:rPr>
          <w:rFonts w:ascii="Arial" w:hAnsi="Arial" w:cs="Arial"/>
          <w:sz w:val="24"/>
          <w:szCs w:val="24"/>
        </w:rPr>
        <w:t>context is concerned, the applicant placed reliance on the various emails exchanged between the parties. The applicant, through Mr Naidoo, at all times referred to, and requested</w:t>
      </w:r>
      <w:r w:rsidR="00B92B6B" w:rsidRPr="0025254F">
        <w:rPr>
          <w:rFonts w:ascii="Arial" w:hAnsi="Arial" w:cs="Arial"/>
          <w:sz w:val="24"/>
          <w:szCs w:val="24"/>
        </w:rPr>
        <w:t>,</w:t>
      </w:r>
      <w:r w:rsidRPr="0025254F">
        <w:rPr>
          <w:rFonts w:ascii="Arial" w:hAnsi="Arial" w:cs="Arial"/>
          <w:sz w:val="24"/>
          <w:szCs w:val="24"/>
        </w:rPr>
        <w:t xml:space="preserve"> that collateral be provided in the form of guarantees, one by Mr Palmer and one by the respondent. Mr Palmer accepted these proposals</w:t>
      </w:r>
      <w:r w:rsidR="0077458C">
        <w:rPr>
          <w:rFonts w:ascii="Arial" w:hAnsi="Arial" w:cs="Arial"/>
          <w:sz w:val="24"/>
          <w:szCs w:val="24"/>
        </w:rPr>
        <w:t>,</w:t>
      </w:r>
      <w:r w:rsidRPr="0025254F">
        <w:rPr>
          <w:rFonts w:ascii="Arial" w:hAnsi="Arial" w:cs="Arial"/>
          <w:sz w:val="24"/>
          <w:szCs w:val="24"/>
        </w:rPr>
        <w:t xml:space="preserve"> which culminated in the signing of annexures ‘D’, ‘E’ and ‘K’. At no stage did M</w:t>
      </w:r>
      <w:r w:rsidR="00F13D5C">
        <w:rPr>
          <w:rFonts w:ascii="Arial" w:hAnsi="Arial" w:cs="Arial"/>
          <w:sz w:val="24"/>
          <w:szCs w:val="24"/>
        </w:rPr>
        <w:t>r</w:t>
      </w:r>
      <w:r w:rsidRPr="0025254F">
        <w:rPr>
          <w:rFonts w:ascii="Arial" w:hAnsi="Arial" w:cs="Arial"/>
          <w:sz w:val="24"/>
          <w:szCs w:val="24"/>
        </w:rPr>
        <w:t xml:space="preserve"> Palmer counter with a proposal that he would rather provide a suretyship instead of a guarantee.</w:t>
      </w:r>
      <w:r w:rsidR="00526D3C" w:rsidRPr="0025254F">
        <w:rPr>
          <w:rFonts w:ascii="Arial" w:hAnsi="Arial" w:cs="Arial"/>
          <w:sz w:val="24"/>
          <w:szCs w:val="24"/>
        </w:rPr>
        <w:t xml:space="preserve"> </w:t>
      </w:r>
      <w:r w:rsidRPr="0025254F">
        <w:rPr>
          <w:rFonts w:ascii="Arial" w:hAnsi="Arial" w:cs="Arial"/>
          <w:sz w:val="24"/>
          <w:szCs w:val="24"/>
        </w:rPr>
        <w:t xml:space="preserve">He was asked to sign the guarantee and </w:t>
      </w:r>
      <w:r w:rsidR="00B92B6B" w:rsidRPr="0025254F">
        <w:rPr>
          <w:rFonts w:ascii="Arial" w:hAnsi="Arial" w:cs="Arial"/>
          <w:sz w:val="24"/>
          <w:szCs w:val="24"/>
        </w:rPr>
        <w:t xml:space="preserve">then </w:t>
      </w:r>
      <w:r w:rsidRPr="0025254F">
        <w:rPr>
          <w:rFonts w:ascii="Arial" w:hAnsi="Arial" w:cs="Arial"/>
          <w:sz w:val="24"/>
          <w:szCs w:val="24"/>
        </w:rPr>
        <w:t xml:space="preserve">proceeded to sign it, again with no indication that he would have preferred to sign a suretyship instead or that the guarantee was incorrectly worded or wrongly </w:t>
      </w:r>
      <w:r w:rsidRPr="0025254F">
        <w:rPr>
          <w:rFonts w:ascii="Arial" w:hAnsi="Arial" w:cs="Arial"/>
          <w:sz w:val="24"/>
          <w:szCs w:val="24"/>
        </w:rPr>
        <w:lastRenderedPageBreak/>
        <w:t>described.</w:t>
      </w:r>
      <w:r w:rsidR="006602F6" w:rsidRPr="0025254F">
        <w:rPr>
          <w:rFonts w:ascii="Arial" w:hAnsi="Arial" w:cs="Arial"/>
          <w:sz w:val="24"/>
          <w:szCs w:val="24"/>
        </w:rPr>
        <w:t xml:space="preserve"> The respondent did not take issue with </w:t>
      </w:r>
      <w:r w:rsidR="00B92B6B" w:rsidRPr="0025254F">
        <w:rPr>
          <w:rFonts w:ascii="Arial" w:hAnsi="Arial" w:cs="Arial"/>
          <w:sz w:val="24"/>
          <w:szCs w:val="24"/>
        </w:rPr>
        <w:t>the content</w:t>
      </w:r>
      <w:r w:rsidR="006602F6" w:rsidRPr="0025254F">
        <w:rPr>
          <w:rFonts w:ascii="Arial" w:hAnsi="Arial" w:cs="Arial"/>
          <w:sz w:val="24"/>
          <w:szCs w:val="24"/>
        </w:rPr>
        <w:t xml:space="preserve"> of the emails attached</w:t>
      </w:r>
      <w:r w:rsidR="00B92B6B" w:rsidRPr="0025254F">
        <w:rPr>
          <w:rFonts w:ascii="Arial" w:hAnsi="Arial" w:cs="Arial"/>
          <w:sz w:val="24"/>
          <w:szCs w:val="24"/>
        </w:rPr>
        <w:t xml:space="preserve"> and</w:t>
      </w:r>
      <w:r w:rsidR="006602F6" w:rsidRPr="0025254F">
        <w:rPr>
          <w:rFonts w:ascii="Arial" w:hAnsi="Arial" w:cs="Arial"/>
          <w:sz w:val="24"/>
          <w:szCs w:val="24"/>
        </w:rPr>
        <w:t xml:space="preserve"> the documents signed, relying instead only on the legal submission that the </w:t>
      </w:r>
      <w:r w:rsidR="00B92B6B" w:rsidRPr="0025254F">
        <w:rPr>
          <w:rFonts w:ascii="Arial" w:hAnsi="Arial" w:cs="Arial"/>
          <w:sz w:val="24"/>
          <w:szCs w:val="24"/>
        </w:rPr>
        <w:t xml:space="preserve">nature </w:t>
      </w:r>
      <w:r w:rsidR="006602F6" w:rsidRPr="0025254F">
        <w:rPr>
          <w:rFonts w:ascii="Arial" w:hAnsi="Arial" w:cs="Arial"/>
          <w:sz w:val="24"/>
          <w:szCs w:val="24"/>
        </w:rPr>
        <w:t>of the guarantee was an ancillary obligation and not a principal obligation.</w:t>
      </w:r>
    </w:p>
    <w:p w14:paraId="562CDEE6" w14:textId="77777777" w:rsidR="006602F6" w:rsidRPr="0025254F" w:rsidRDefault="006602F6" w:rsidP="006B48B9">
      <w:pPr>
        <w:spacing w:after="0" w:line="360" w:lineRule="auto"/>
        <w:contextualSpacing/>
        <w:jc w:val="both"/>
        <w:rPr>
          <w:rFonts w:ascii="Arial" w:hAnsi="Arial" w:cs="Arial"/>
          <w:sz w:val="24"/>
          <w:szCs w:val="24"/>
        </w:rPr>
      </w:pPr>
    </w:p>
    <w:p w14:paraId="6C0E13E3" w14:textId="34842B61" w:rsidR="006602F6" w:rsidRPr="0025254F" w:rsidRDefault="006602F6" w:rsidP="006B48B9">
      <w:pPr>
        <w:spacing w:after="0" w:line="360" w:lineRule="auto"/>
        <w:contextualSpacing/>
        <w:jc w:val="both"/>
        <w:rPr>
          <w:rFonts w:ascii="Arial" w:hAnsi="Arial" w:cs="Arial"/>
          <w:sz w:val="24"/>
          <w:szCs w:val="24"/>
        </w:rPr>
      </w:pPr>
      <w:r w:rsidRPr="0025254F">
        <w:rPr>
          <w:rFonts w:ascii="Arial" w:hAnsi="Arial" w:cs="Arial"/>
          <w:sz w:val="24"/>
          <w:szCs w:val="24"/>
        </w:rPr>
        <w:t>[50]</w:t>
      </w:r>
      <w:r w:rsidR="0031700A" w:rsidRPr="0025254F">
        <w:rPr>
          <w:rFonts w:ascii="Arial" w:hAnsi="Arial" w:cs="Arial"/>
          <w:sz w:val="24"/>
          <w:szCs w:val="24"/>
        </w:rPr>
        <w:tab/>
      </w:r>
      <w:r w:rsidRPr="0025254F">
        <w:rPr>
          <w:rFonts w:ascii="Arial" w:hAnsi="Arial" w:cs="Arial"/>
          <w:sz w:val="24"/>
          <w:szCs w:val="24"/>
        </w:rPr>
        <w:t>The purpose of the guarantee is</w:t>
      </w:r>
      <w:r w:rsidR="00F13D5C">
        <w:rPr>
          <w:rFonts w:ascii="Arial" w:hAnsi="Arial" w:cs="Arial"/>
          <w:sz w:val="24"/>
          <w:szCs w:val="24"/>
        </w:rPr>
        <w:t>,</w:t>
      </w:r>
      <w:r w:rsidRPr="0025254F">
        <w:rPr>
          <w:rFonts w:ascii="Arial" w:hAnsi="Arial" w:cs="Arial"/>
          <w:sz w:val="24"/>
          <w:szCs w:val="24"/>
        </w:rPr>
        <w:t xml:space="preserve"> in my view</w:t>
      </w:r>
      <w:r w:rsidR="00F13D5C">
        <w:rPr>
          <w:rFonts w:ascii="Arial" w:hAnsi="Arial" w:cs="Arial"/>
          <w:sz w:val="24"/>
          <w:szCs w:val="24"/>
        </w:rPr>
        <w:t>,</w:t>
      </w:r>
      <w:r w:rsidRPr="0025254F">
        <w:rPr>
          <w:rFonts w:ascii="Arial" w:hAnsi="Arial" w:cs="Arial"/>
          <w:sz w:val="24"/>
          <w:szCs w:val="24"/>
        </w:rPr>
        <w:t xml:space="preserve"> rather obvious. The applicant wanted to ensure that it had sufficient collateral as security for the facilities it was providing to Wardkiss. As mentioned above, the collateral required consisted of more than just the guarantees by the respondent and Mr Palmer. Annexure ‘D’ did not only refer to collateral but also made reference to further</w:t>
      </w:r>
      <w:r w:rsidR="00526D3C" w:rsidRPr="0025254F">
        <w:rPr>
          <w:rFonts w:ascii="Arial" w:hAnsi="Arial" w:cs="Arial"/>
          <w:sz w:val="24"/>
          <w:szCs w:val="24"/>
        </w:rPr>
        <w:t xml:space="preserve"> </w:t>
      </w:r>
      <w:r w:rsidRPr="0025254F">
        <w:rPr>
          <w:rFonts w:ascii="Arial" w:hAnsi="Arial" w:cs="Arial"/>
          <w:sz w:val="24"/>
          <w:szCs w:val="24"/>
        </w:rPr>
        <w:t>‘supporting security’ which included a further continuing covering mortgage bond by the respondent in respect of a property in Sydney Road and a cession of life cover by Mr Palmer, restricted to R6 million.</w:t>
      </w:r>
      <w:r w:rsidR="00EA1801" w:rsidRPr="0025254F">
        <w:rPr>
          <w:rFonts w:ascii="Arial" w:hAnsi="Arial" w:cs="Arial"/>
          <w:sz w:val="24"/>
          <w:szCs w:val="24"/>
        </w:rPr>
        <w:t xml:space="preserve"> </w:t>
      </w:r>
      <w:r w:rsidRPr="0025254F">
        <w:rPr>
          <w:rFonts w:ascii="Arial" w:hAnsi="Arial" w:cs="Arial"/>
          <w:sz w:val="24"/>
          <w:szCs w:val="24"/>
        </w:rPr>
        <w:t xml:space="preserve">The applicant was clearly intent on ensuring that it had sufficient collateral, which led to the guarantee being signed by Mr Palmer. </w:t>
      </w:r>
    </w:p>
    <w:p w14:paraId="7F73055C" w14:textId="77777777" w:rsidR="00EA1801" w:rsidRPr="0025254F" w:rsidRDefault="00EA1801" w:rsidP="006B48B9">
      <w:pPr>
        <w:spacing w:after="0" w:line="360" w:lineRule="auto"/>
        <w:contextualSpacing/>
        <w:jc w:val="both"/>
        <w:rPr>
          <w:rFonts w:ascii="Arial" w:hAnsi="Arial" w:cs="Arial"/>
          <w:sz w:val="24"/>
          <w:szCs w:val="24"/>
        </w:rPr>
      </w:pPr>
    </w:p>
    <w:p w14:paraId="7AA18B69" w14:textId="155C4671" w:rsidR="00EA1801" w:rsidRPr="0025254F" w:rsidRDefault="00EA1801" w:rsidP="006B48B9">
      <w:pPr>
        <w:spacing w:after="0" w:line="360" w:lineRule="auto"/>
        <w:contextualSpacing/>
        <w:jc w:val="both"/>
        <w:rPr>
          <w:rFonts w:ascii="Arial" w:hAnsi="Arial" w:cs="Arial"/>
          <w:sz w:val="24"/>
          <w:szCs w:val="24"/>
        </w:rPr>
      </w:pPr>
      <w:r w:rsidRPr="0025254F">
        <w:rPr>
          <w:rFonts w:ascii="Arial" w:hAnsi="Arial" w:cs="Arial"/>
          <w:sz w:val="24"/>
          <w:szCs w:val="24"/>
        </w:rPr>
        <w:t>[51]</w:t>
      </w:r>
      <w:r w:rsidR="008A5BEF" w:rsidRPr="0025254F">
        <w:rPr>
          <w:rFonts w:ascii="Arial" w:hAnsi="Arial" w:cs="Arial"/>
          <w:sz w:val="24"/>
          <w:szCs w:val="24"/>
        </w:rPr>
        <w:tab/>
      </w:r>
      <w:r w:rsidRPr="0025254F">
        <w:rPr>
          <w:rFonts w:ascii="Arial" w:hAnsi="Arial" w:cs="Arial"/>
          <w:sz w:val="24"/>
          <w:szCs w:val="24"/>
        </w:rPr>
        <w:t xml:space="preserve">In my view, bearing in mind the principles as set out in </w:t>
      </w:r>
      <w:r w:rsidRPr="0025254F">
        <w:rPr>
          <w:rFonts w:ascii="Arial" w:hAnsi="Arial" w:cs="Arial"/>
          <w:i/>
          <w:sz w:val="24"/>
          <w:szCs w:val="24"/>
        </w:rPr>
        <w:t>Endumeni, Capitec</w:t>
      </w:r>
      <w:r w:rsidR="00526D3C" w:rsidRPr="0025254F">
        <w:rPr>
          <w:rFonts w:ascii="Arial" w:hAnsi="Arial" w:cs="Arial"/>
          <w:i/>
          <w:sz w:val="24"/>
          <w:szCs w:val="24"/>
        </w:rPr>
        <w:t xml:space="preserve"> </w:t>
      </w:r>
      <w:r w:rsidRPr="0025254F">
        <w:rPr>
          <w:rFonts w:ascii="Arial" w:hAnsi="Arial" w:cs="Arial"/>
          <w:sz w:val="24"/>
          <w:szCs w:val="24"/>
        </w:rPr>
        <w:t xml:space="preserve">and </w:t>
      </w:r>
      <w:r w:rsidRPr="0025254F">
        <w:rPr>
          <w:rFonts w:ascii="Arial" w:hAnsi="Arial" w:cs="Arial"/>
          <w:i/>
          <w:sz w:val="24"/>
          <w:szCs w:val="24"/>
        </w:rPr>
        <w:t>Caney</w:t>
      </w:r>
      <w:r w:rsidR="00B92B6B" w:rsidRPr="0025254F">
        <w:rPr>
          <w:rFonts w:ascii="Arial" w:hAnsi="Arial" w:cs="Arial"/>
          <w:i/>
          <w:sz w:val="24"/>
          <w:szCs w:val="24"/>
        </w:rPr>
        <w:t>’s</w:t>
      </w:r>
      <w:r w:rsidRPr="0025254F">
        <w:rPr>
          <w:rFonts w:ascii="Arial" w:hAnsi="Arial" w:cs="Arial"/>
          <w:sz w:val="24"/>
          <w:szCs w:val="24"/>
        </w:rPr>
        <w:t xml:space="preserve">, I have no doubt that annexure ‘K’ is indeed a guarantee, and that its wording, clearly distinguishes it from that of a suretyship. There is furthermore nothing in my view that supports the suggestion that the parties intended to conclude a suretyship instead of a guarantee, bearing in mind the clear words of the document, the context and </w:t>
      </w:r>
      <w:r w:rsidR="005A2526">
        <w:rPr>
          <w:rFonts w:ascii="Arial" w:hAnsi="Arial" w:cs="Arial"/>
          <w:sz w:val="24"/>
          <w:szCs w:val="24"/>
        </w:rPr>
        <w:t>its</w:t>
      </w:r>
      <w:r w:rsidR="00F13D5C">
        <w:rPr>
          <w:rFonts w:ascii="Arial" w:hAnsi="Arial" w:cs="Arial"/>
          <w:sz w:val="24"/>
          <w:szCs w:val="24"/>
        </w:rPr>
        <w:t xml:space="preserve"> </w:t>
      </w:r>
      <w:r w:rsidRPr="0025254F">
        <w:rPr>
          <w:rFonts w:ascii="Arial" w:hAnsi="Arial" w:cs="Arial"/>
          <w:sz w:val="24"/>
          <w:szCs w:val="24"/>
        </w:rPr>
        <w:t>purpose.</w:t>
      </w:r>
      <w:r w:rsidR="00E250D2" w:rsidRPr="0025254F">
        <w:rPr>
          <w:rFonts w:ascii="Arial" w:hAnsi="Arial" w:cs="Arial"/>
          <w:sz w:val="24"/>
          <w:szCs w:val="24"/>
        </w:rPr>
        <w:t xml:space="preserve"> It looks like a guarantee, it behaves like a guarantee</w:t>
      </w:r>
      <w:r w:rsidR="00043E1D" w:rsidRPr="0025254F">
        <w:rPr>
          <w:rFonts w:ascii="Arial" w:hAnsi="Arial" w:cs="Arial"/>
          <w:sz w:val="24"/>
          <w:szCs w:val="24"/>
        </w:rPr>
        <w:t>,</w:t>
      </w:r>
      <w:r w:rsidR="00E250D2" w:rsidRPr="0025254F">
        <w:rPr>
          <w:rFonts w:ascii="Arial" w:hAnsi="Arial" w:cs="Arial"/>
          <w:sz w:val="24"/>
          <w:szCs w:val="24"/>
        </w:rPr>
        <w:t xml:space="preserve"> </w:t>
      </w:r>
      <w:r w:rsidR="0087180F" w:rsidRPr="0025254F">
        <w:rPr>
          <w:rFonts w:ascii="Arial" w:hAnsi="Arial" w:cs="Arial"/>
          <w:sz w:val="24"/>
          <w:szCs w:val="24"/>
        </w:rPr>
        <w:t>and in my view it is a guarantee.</w:t>
      </w:r>
    </w:p>
    <w:p w14:paraId="5EFC1FCB" w14:textId="77777777" w:rsidR="0087180F" w:rsidRPr="0025254F" w:rsidRDefault="0087180F" w:rsidP="006B48B9">
      <w:pPr>
        <w:spacing w:after="0" w:line="360" w:lineRule="auto"/>
        <w:contextualSpacing/>
        <w:jc w:val="both"/>
        <w:rPr>
          <w:rFonts w:ascii="Arial" w:hAnsi="Arial" w:cs="Arial"/>
          <w:sz w:val="24"/>
          <w:szCs w:val="24"/>
        </w:rPr>
      </w:pPr>
    </w:p>
    <w:p w14:paraId="55793B85" w14:textId="7CE91BFE" w:rsidR="00043E1D" w:rsidRPr="0025254F" w:rsidRDefault="0087180F" w:rsidP="006B48B9">
      <w:pPr>
        <w:spacing w:after="0" w:line="360" w:lineRule="auto"/>
        <w:contextualSpacing/>
        <w:jc w:val="both"/>
        <w:rPr>
          <w:rFonts w:ascii="Arial" w:hAnsi="Arial" w:cs="Arial"/>
          <w:sz w:val="24"/>
          <w:szCs w:val="24"/>
        </w:rPr>
      </w:pPr>
      <w:r w:rsidRPr="0025254F">
        <w:rPr>
          <w:rFonts w:ascii="Arial" w:hAnsi="Arial" w:cs="Arial"/>
          <w:sz w:val="24"/>
          <w:szCs w:val="24"/>
        </w:rPr>
        <w:t>[52]</w:t>
      </w:r>
      <w:r w:rsidR="008A5BEF" w:rsidRPr="0025254F">
        <w:rPr>
          <w:rFonts w:ascii="Arial" w:hAnsi="Arial" w:cs="Arial"/>
          <w:sz w:val="24"/>
          <w:szCs w:val="24"/>
        </w:rPr>
        <w:tab/>
      </w:r>
      <w:r w:rsidRPr="0025254F">
        <w:rPr>
          <w:rFonts w:ascii="Arial" w:hAnsi="Arial" w:cs="Arial"/>
          <w:sz w:val="24"/>
          <w:szCs w:val="24"/>
        </w:rPr>
        <w:t xml:space="preserve">It follows that it was not necessary for the guarantee to </w:t>
      </w:r>
      <w:r w:rsidR="0074622C">
        <w:rPr>
          <w:rFonts w:ascii="Arial" w:hAnsi="Arial" w:cs="Arial"/>
          <w:sz w:val="24"/>
          <w:szCs w:val="24"/>
        </w:rPr>
        <w:t xml:space="preserve">have </w:t>
      </w:r>
      <w:r w:rsidRPr="0025254F">
        <w:rPr>
          <w:rFonts w:ascii="Arial" w:hAnsi="Arial" w:cs="Arial"/>
          <w:sz w:val="24"/>
          <w:szCs w:val="24"/>
        </w:rPr>
        <w:t>be</w:t>
      </w:r>
      <w:r w:rsidR="0074622C">
        <w:rPr>
          <w:rFonts w:ascii="Arial" w:hAnsi="Arial" w:cs="Arial"/>
          <w:sz w:val="24"/>
          <w:szCs w:val="24"/>
        </w:rPr>
        <w:t>en</w:t>
      </w:r>
      <w:r w:rsidRPr="0025254F">
        <w:rPr>
          <w:rFonts w:ascii="Arial" w:hAnsi="Arial" w:cs="Arial"/>
          <w:sz w:val="24"/>
          <w:szCs w:val="24"/>
        </w:rPr>
        <w:t xml:space="preserve"> signed by Mr Palmer by way of an advanced electronic signature</w:t>
      </w:r>
      <w:r w:rsidR="005A2526">
        <w:rPr>
          <w:rFonts w:ascii="Arial" w:hAnsi="Arial" w:cs="Arial"/>
          <w:sz w:val="24"/>
          <w:szCs w:val="24"/>
        </w:rPr>
        <w:t>,</w:t>
      </w:r>
      <w:r w:rsidRPr="0025254F">
        <w:rPr>
          <w:rFonts w:ascii="Arial" w:hAnsi="Arial" w:cs="Arial"/>
          <w:sz w:val="24"/>
          <w:szCs w:val="24"/>
        </w:rPr>
        <w:t xml:space="preserve"> as required by s</w:t>
      </w:r>
      <w:r w:rsidR="00B6049E">
        <w:rPr>
          <w:rFonts w:ascii="Arial" w:hAnsi="Arial" w:cs="Arial"/>
          <w:sz w:val="24"/>
          <w:szCs w:val="24"/>
        </w:rPr>
        <w:t>ection</w:t>
      </w:r>
      <w:r w:rsidRPr="0025254F">
        <w:rPr>
          <w:rFonts w:ascii="Arial" w:hAnsi="Arial" w:cs="Arial"/>
          <w:sz w:val="24"/>
          <w:szCs w:val="24"/>
        </w:rPr>
        <w:t xml:space="preserve"> 13 of the ECTA. The applicant is therefore entitled to judgment against the respondent.</w:t>
      </w:r>
      <w:r w:rsidR="00526D3C" w:rsidRPr="0025254F">
        <w:rPr>
          <w:rFonts w:ascii="Arial" w:hAnsi="Arial" w:cs="Arial"/>
          <w:sz w:val="24"/>
          <w:szCs w:val="24"/>
        </w:rPr>
        <w:t xml:space="preserve"> </w:t>
      </w:r>
    </w:p>
    <w:p w14:paraId="6AA97C29" w14:textId="1F482FAF" w:rsidR="00043E1D" w:rsidRPr="0025254F" w:rsidRDefault="00043E1D" w:rsidP="006B48B9">
      <w:pPr>
        <w:spacing w:after="0" w:line="360" w:lineRule="auto"/>
        <w:contextualSpacing/>
        <w:jc w:val="both"/>
        <w:rPr>
          <w:rFonts w:ascii="Arial" w:hAnsi="Arial" w:cs="Arial"/>
          <w:sz w:val="24"/>
          <w:szCs w:val="24"/>
        </w:rPr>
      </w:pPr>
    </w:p>
    <w:p w14:paraId="2F5A12DC" w14:textId="002566B6" w:rsidR="00043E1D" w:rsidRPr="0025254F" w:rsidRDefault="00043E1D" w:rsidP="006B48B9">
      <w:pPr>
        <w:spacing w:after="0" w:line="360" w:lineRule="auto"/>
        <w:contextualSpacing/>
        <w:jc w:val="both"/>
        <w:rPr>
          <w:rFonts w:ascii="Arial" w:hAnsi="Arial" w:cs="Arial"/>
          <w:b/>
          <w:sz w:val="24"/>
          <w:szCs w:val="24"/>
        </w:rPr>
      </w:pPr>
      <w:r w:rsidRPr="0025254F">
        <w:rPr>
          <w:rFonts w:ascii="Arial" w:hAnsi="Arial" w:cs="Arial"/>
          <w:b/>
          <w:sz w:val="24"/>
          <w:szCs w:val="24"/>
        </w:rPr>
        <w:t>Costs</w:t>
      </w:r>
    </w:p>
    <w:p w14:paraId="3DCB55D9" w14:textId="360D1D82" w:rsidR="0087180F" w:rsidRPr="0025254F" w:rsidRDefault="00043E1D" w:rsidP="006B48B9">
      <w:pPr>
        <w:spacing w:after="0" w:line="360" w:lineRule="auto"/>
        <w:contextualSpacing/>
        <w:jc w:val="both"/>
        <w:rPr>
          <w:rFonts w:ascii="Arial" w:hAnsi="Arial" w:cs="Arial"/>
          <w:sz w:val="24"/>
          <w:szCs w:val="24"/>
        </w:rPr>
      </w:pPr>
      <w:r w:rsidRPr="0025254F">
        <w:rPr>
          <w:rFonts w:ascii="Arial" w:hAnsi="Arial" w:cs="Arial"/>
          <w:sz w:val="24"/>
          <w:szCs w:val="24"/>
        </w:rPr>
        <w:t>[53]</w:t>
      </w:r>
      <w:r w:rsidRPr="0025254F">
        <w:rPr>
          <w:rFonts w:ascii="Arial" w:hAnsi="Arial" w:cs="Arial"/>
          <w:sz w:val="24"/>
          <w:szCs w:val="24"/>
        </w:rPr>
        <w:tab/>
      </w:r>
      <w:r w:rsidR="0020351D">
        <w:rPr>
          <w:rFonts w:ascii="Arial" w:hAnsi="Arial" w:cs="Arial"/>
          <w:sz w:val="24"/>
          <w:szCs w:val="24"/>
        </w:rPr>
        <w:t>As far as  costs</w:t>
      </w:r>
      <w:r w:rsidR="0087180F" w:rsidRPr="0025254F">
        <w:rPr>
          <w:rFonts w:ascii="Arial" w:hAnsi="Arial" w:cs="Arial"/>
          <w:sz w:val="24"/>
          <w:szCs w:val="24"/>
        </w:rPr>
        <w:t xml:space="preserve"> </w:t>
      </w:r>
      <w:r w:rsidR="0020351D">
        <w:rPr>
          <w:rFonts w:ascii="Arial" w:hAnsi="Arial" w:cs="Arial"/>
          <w:sz w:val="24"/>
          <w:szCs w:val="24"/>
        </w:rPr>
        <w:t xml:space="preserve">are concerned, </w:t>
      </w:r>
      <w:r w:rsidR="0087180F" w:rsidRPr="0025254F">
        <w:rPr>
          <w:rFonts w:ascii="Arial" w:hAnsi="Arial" w:cs="Arial"/>
          <w:sz w:val="24"/>
          <w:szCs w:val="24"/>
        </w:rPr>
        <w:t>I have no reason to deviate from the general rule, namely that costs follows the result. The applicant, represented by both senior and junior counsel, has not asked for costs of two counsel</w:t>
      </w:r>
      <w:r w:rsidR="0020351D">
        <w:rPr>
          <w:rFonts w:ascii="Arial" w:hAnsi="Arial" w:cs="Arial"/>
          <w:sz w:val="24"/>
          <w:szCs w:val="24"/>
        </w:rPr>
        <w:t xml:space="preserve"> in its Notice of Motion. At the hearing I was however requested to award costs of two counsel due to the complexity of the matter and its importance to the applicant. Counsel for the respondent was opposed to such an order. Whilst I understand the importance of the </w:t>
      </w:r>
      <w:r w:rsidR="0020351D">
        <w:rPr>
          <w:rFonts w:ascii="Arial" w:hAnsi="Arial" w:cs="Arial"/>
          <w:sz w:val="24"/>
          <w:szCs w:val="24"/>
        </w:rPr>
        <w:lastRenderedPageBreak/>
        <w:t xml:space="preserve">matter I am not convinced that the costs of two counsel is justified. </w:t>
      </w:r>
      <w:r w:rsidR="0087180F" w:rsidRPr="0025254F">
        <w:rPr>
          <w:rFonts w:ascii="Arial" w:hAnsi="Arial" w:cs="Arial"/>
          <w:sz w:val="24"/>
          <w:szCs w:val="24"/>
        </w:rPr>
        <w:t>I will accordingly not include that in the cost</w:t>
      </w:r>
      <w:r w:rsidR="00B6049E">
        <w:rPr>
          <w:rFonts w:ascii="Arial" w:hAnsi="Arial" w:cs="Arial"/>
          <w:sz w:val="24"/>
          <w:szCs w:val="24"/>
        </w:rPr>
        <w:t>s</w:t>
      </w:r>
      <w:r w:rsidR="0087180F" w:rsidRPr="0025254F">
        <w:rPr>
          <w:rFonts w:ascii="Arial" w:hAnsi="Arial" w:cs="Arial"/>
          <w:sz w:val="24"/>
          <w:szCs w:val="24"/>
        </w:rPr>
        <w:t xml:space="preserve"> order.</w:t>
      </w:r>
    </w:p>
    <w:p w14:paraId="709A29CE" w14:textId="74A968AD" w:rsidR="0087180F" w:rsidRPr="0025254F" w:rsidRDefault="0087180F" w:rsidP="006B48B9">
      <w:pPr>
        <w:spacing w:after="0" w:line="360" w:lineRule="auto"/>
        <w:contextualSpacing/>
        <w:jc w:val="both"/>
        <w:rPr>
          <w:rFonts w:ascii="Arial" w:hAnsi="Arial" w:cs="Arial"/>
          <w:sz w:val="24"/>
          <w:szCs w:val="24"/>
        </w:rPr>
      </w:pPr>
    </w:p>
    <w:p w14:paraId="2221A1DF" w14:textId="57287FC4" w:rsidR="00043E1D" w:rsidRPr="0025254F" w:rsidRDefault="00043E1D" w:rsidP="006B48B9">
      <w:pPr>
        <w:spacing w:after="0" w:line="360" w:lineRule="auto"/>
        <w:contextualSpacing/>
        <w:jc w:val="both"/>
        <w:rPr>
          <w:rFonts w:ascii="Arial" w:hAnsi="Arial" w:cs="Arial"/>
          <w:b/>
          <w:sz w:val="24"/>
          <w:szCs w:val="24"/>
        </w:rPr>
      </w:pPr>
      <w:r w:rsidRPr="0025254F">
        <w:rPr>
          <w:rFonts w:ascii="Arial" w:hAnsi="Arial" w:cs="Arial"/>
          <w:b/>
          <w:sz w:val="24"/>
          <w:szCs w:val="24"/>
        </w:rPr>
        <w:t>Order</w:t>
      </w:r>
    </w:p>
    <w:p w14:paraId="6542BDF8" w14:textId="60EA49AF" w:rsidR="0087180F" w:rsidRPr="0025254F" w:rsidRDefault="0087180F" w:rsidP="006B48B9">
      <w:pPr>
        <w:spacing w:after="0" w:line="360" w:lineRule="auto"/>
        <w:contextualSpacing/>
        <w:jc w:val="both"/>
        <w:rPr>
          <w:rFonts w:ascii="Arial" w:hAnsi="Arial" w:cs="Arial"/>
          <w:sz w:val="24"/>
          <w:szCs w:val="24"/>
        </w:rPr>
      </w:pPr>
      <w:r w:rsidRPr="0025254F">
        <w:rPr>
          <w:rFonts w:ascii="Arial" w:hAnsi="Arial" w:cs="Arial"/>
          <w:sz w:val="24"/>
          <w:szCs w:val="24"/>
        </w:rPr>
        <w:t>[5</w:t>
      </w:r>
      <w:r w:rsidR="00043E1D" w:rsidRPr="0025254F">
        <w:rPr>
          <w:rFonts w:ascii="Arial" w:hAnsi="Arial" w:cs="Arial"/>
          <w:sz w:val="24"/>
          <w:szCs w:val="24"/>
        </w:rPr>
        <w:t>4</w:t>
      </w:r>
      <w:r w:rsidRPr="0025254F">
        <w:rPr>
          <w:rFonts w:ascii="Arial" w:hAnsi="Arial" w:cs="Arial"/>
          <w:sz w:val="24"/>
          <w:szCs w:val="24"/>
        </w:rPr>
        <w:t>]</w:t>
      </w:r>
      <w:r w:rsidR="008A5BEF" w:rsidRPr="0025254F">
        <w:rPr>
          <w:rFonts w:ascii="Arial" w:hAnsi="Arial" w:cs="Arial"/>
          <w:sz w:val="24"/>
          <w:szCs w:val="24"/>
        </w:rPr>
        <w:tab/>
      </w:r>
      <w:r w:rsidRPr="0025254F">
        <w:rPr>
          <w:rFonts w:ascii="Arial" w:hAnsi="Arial" w:cs="Arial"/>
          <w:sz w:val="24"/>
          <w:szCs w:val="24"/>
        </w:rPr>
        <w:t>I accordingly make the following order:</w:t>
      </w:r>
    </w:p>
    <w:p w14:paraId="30A522F0" w14:textId="1719B603" w:rsidR="0087180F" w:rsidRPr="0025254F" w:rsidRDefault="008A5BEF" w:rsidP="006B48B9">
      <w:pPr>
        <w:spacing w:after="0" w:line="360" w:lineRule="auto"/>
        <w:contextualSpacing/>
        <w:jc w:val="both"/>
        <w:rPr>
          <w:rFonts w:ascii="Arial" w:hAnsi="Arial" w:cs="Arial"/>
          <w:sz w:val="24"/>
          <w:szCs w:val="24"/>
        </w:rPr>
      </w:pPr>
      <w:r w:rsidRPr="0025254F">
        <w:rPr>
          <w:rFonts w:ascii="Arial" w:hAnsi="Arial" w:cs="Arial"/>
          <w:sz w:val="24"/>
          <w:szCs w:val="24"/>
        </w:rPr>
        <w:t>1.</w:t>
      </w:r>
      <w:r w:rsidRPr="0025254F">
        <w:rPr>
          <w:rFonts w:ascii="Arial" w:hAnsi="Arial" w:cs="Arial"/>
          <w:sz w:val="24"/>
          <w:szCs w:val="24"/>
        </w:rPr>
        <w:tab/>
      </w:r>
      <w:r w:rsidR="00B6049E">
        <w:rPr>
          <w:rFonts w:ascii="Arial" w:hAnsi="Arial" w:cs="Arial"/>
          <w:sz w:val="24"/>
          <w:szCs w:val="24"/>
        </w:rPr>
        <w:t>J</w:t>
      </w:r>
      <w:r w:rsidR="0087180F" w:rsidRPr="0025254F">
        <w:rPr>
          <w:rFonts w:ascii="Arial" w:hAnsi="Arial" w:cs="Arial"/>
          <w:sz w:val="24"/>
          <w:szCs w:val="24"/>
        </w:rPr>
        <w:t xml:space="preserve">udgment </w:t>
      </w:r>
      <w:r w:rsidR="00B6049E">
        <w:rPr>
          <w:rFonts w:ascii="Arial" w:hAnsi="Arial" w:cs="Arial"/>
          <w:sz w:val="24"/>
          <w:szCs w:val="24"/>
        </w:rPr>
        <w:t xml:space="preserve">is granted </w:t>
      </w:r>
      <w:r w:rsidR="0087180F" w:rsidRPr="0025254F">
        <w:rPr>
          <w:rFonts w:ascii="Arial" w:hAnsi="Arial" w:cs="Arial"/>
          <w:sz w:val="24"/>
          <w:szCs w:val="24"/>
        </w:rPr>
        <w:t>against the respondent for:</w:t>
      </w:r>
    </w:p>
    <w:p w14:paraId="45D522E5" w14:textId="50685918" w:rsidR="0087180F" w:rsidRPr="0025254F" w:rsidRDefault="008A5BEF" w:rsidP="00D6626F">
      <w:pPr>
        <w:spacing w:after="0" w:line="360" w:lineRule="auto"/>
        <w:ind w:left="720" w:hanging="720"/>
        <w:contextualSpacing/>
        <w:jc w:val="both"/>
        <w:rPr>
          <w:rFonts w:ascii="Arial" w:hAnsi="Arial" w:cs="Arial"/>
          <w:sz w:val="24"/>
          <w:szCs w:val="24"/>
        </w:rPr>
      </w:pPr>
      <w:r w:rsidRPr="0025254F">
        <w:rPr>
          <w:rFonts w:ascii="Arial" w:hAnsi="Arial" w:cs="Arial"/>
          <w:sz w:val="24"/>
          <w:szCs w:val="24"/>
        </w:rPr>
        <w:t>1.1</w:t>
      </w:r>
      <w:r w:rsidRPr="0025254F">
        <w:rPr>
          <w:rFonts w:ascii="Arial" w:hAnsi="Arial" w:cs="Arial"/>
          <w:sz w:val="24"/>
          <w:szCs w:val="24"/>
        </w:rPr>
        <w:tab/>
      </w:r>
      <w:r w:rsidR="0087180F" w:rsidRPr="0025254F">
        <w:rPr>
          <w:rFonts w:ascii="Arial" w:hAnsi="Arial" w:cs="Arial"/>
          <w:sz w:val="24"/>
          <w:szCs w:val="24"/>
        </w:rPr>
        <w:t>Payment of the sum of R3 000 000</w:t>
      </w:r>
      <w:r w:rsidR="00421A5C" w:rsidRPr="0025254F">
        <w:rPr>
          <w:rFonts w:ascii="Arial" w:hAnsi="Arial" w:cs="Arial"/>
          <w:sz w:val="24"/>
          <w:szCs w:val="24"/>
        </w:rPr>
        <w:t>.</w:t>
      </w:r>
    </w:p>
    <w:p w14:paraId="6A301E53" w14:textId="4E2EDCE9" w:rsidR="00421A5C" w:rsidRPr="0025254F" w:rsidRDefault="008A5BEF" w:rsidP="00D6626F">
      <w:pPr>
        <w:spacing w:after="0" w:line="360" w:lineRule="auto"/>
        <w:ind w:left="720" w:hanging="720"/>
        <w:contextualSpacing/>
        <w:jc w:val="both"/>
        <w:rPr>
          <w:rFonts w:ascii="Arial" w:hAnsi="Arial" w:cs="Arial"/>
          <w:sz w:val="24"/>
          <w:szCs w:val="24"/>
        </w:rPr>
      </w:pPr>
      <w:r w:rsidRPr="0025254F">
        <w:rPr>
          <w:rFonts w:ascii="Arial" w:hAnsi="Arial" w:cs="Arial"/>
          <w:sz w:val="24"/>
          <w:szCs w:val="24"/>
        </w:rPr>
        <w:t>1.2</w:t>
      </w:r>
      <w:r w:rsidRPr="0025254F">
        <w:rPr>
          <w:rFonts w:ascii="Arial" w:hAnsi="Arial" w:cs="Arial"/>
          <w:sz w:val="24"/>
          <w:szCs w:val="24"/>
        </w:rPr>
        <w:tab/>
      </w:r>
      <w:r w:rsidR="00421A5C" w:rsidRPr="0025254F">
        <w:rPr>
          <w:rFonts w:ascii="Arial" w:hAnsi="Arial" w:cs="Arial"/>
          <w:sz w:val="24"/>
          <w:szCs w:val="24"/>
        </w:rPr>
        <w:t xml:space="preserve">Payment of interest on R3 000 000 from the date of service to </w:t>
      </w:r>
      <w:r w:rsidR="001646FF">
        <w:rPr>
          <w:rFonts w:ascii="Arial" w:hAnsi="Arial" w:cs="Arial"/>
          <w:sz w:val="24"/>
          <w:szCs w:val="24"/>
        </w:rPr>
        <w:t xml:space="preserve">the </w:t>
      </w:r>
      <w:r w:rsidR="00421A5C" w:rsidRPr="0025254F">
        <w:rPr>
          <w:rFonts w:ascii="Arial" w:hAnsi="Arial" w:cs="Arial"/>
          <w:sz w:val="24"/>
          <w:szCs w:val="24"/>
        </w:rPr>
        <w:t>date of payment at the prevailing legal rate.</w:t>
      </w:r>
    </w:p>
    <w:p w14:paraId="79CE9938" w14:textId="32D85B59" w:rsidR="00421A5C" w:rsidRPr="0025254F" w:rsidRDefault="008A5BEF" w:rsidP="006B48B9">
      <w:pPr>
        <w:spacing w:after="0" w:line="360" w:lineRule="auto"/>
        <w:contextualSpacing/>
        <w:jc w:val="both"/>
        <w:rPr>
          <w:rFonts w:ascii="Arial" w:hAnsi="Arial" w:cs="Arial"/>
          <w:sz w:val="24"/>
          <w:szCs w:val="24"/>
        </w:rPr>
      </w:pPr>
      <w:r w:rsidRPr="0025254F">
        <w:rPr>
          <w:rFonts w:ascii="Arial" w:hAnsi="Arial" w:cs="Arial"/>
          <w:sz w:val="24"/>
          <w:szCs w:val="24"/>
        </w:rPr>
        <w:t>2.</w:t>
      </w:r>
      <w:r w:rsidRPr="0025254F">
        <w:rPr>
          <w:rFonts w:ascii="Arial" w:hAnsi="Arial" w:cs="Arial"/>
          <w:sz w:val="24"/>
          <w:szCs w:val="24"/>
        </w:rPr>
        <w:tab/>
      </w:r>
      <w:r w:rsidR="00421A5C" w:rsidRPr="0025254F">
        <w:rPr>
          <w:rFonts w:ascii="Arial" w:hAnsi="Arial" w:cs="Arial"/>
          <w:sz w:val="24"/>
          <w:szCs w:val="24"/>
        </w:rPr>
        <w:t>The respondent is directed to pay the applicant’s costs of suit.</w:t>
      </w:r>
    </w:p>
    <w:p w14:paraId="61BB10A0" w14:textId="36E98E91" w:rsidR="00F37B87" w:rsidRPr="0025254F" w:rsidRDefault="003B16B2" w:rsidP="006B48B9">
      <w:pPr>
        <w:spacing w:after="0" w:line="360" w:lineRule="auto"/>
        <w:contextualSpacing/>
        <w:jc w:val="both"/>
        <w:rPr>
          <w:rFonts w:ascii="Arial" w:hAnsi="Arial" w:cs="Arial"/>
          <w:sz w:val="24"/>
          <w:szCs w:val="24"/>
        </w:rPr>
      </w:pPr>
      <w:r w:rsidRPr="0025254F">
        <w:rPr>
          <w:rFonts w:ascii="Arial" w:hAnsi="Arial" w:cs="Arial"/>
          <w:sz w:val="24"/>
          <w:szCs w:val="24"/>
        </w:rPr>
        <w:t xml:space="preserve"> </w:t>
      </w:r>
    </w:p>
    <w:p w14:paraId="37A4E182" w14:textId="77777777" w:rsidR="004442A5" w:rsidRPr="0025254F" w:rsidRDefault="004442A5" w:rsidP="006B48B9">
      <w:pPr>
        <w:spacing w:after="0" w:line="360" w:lineRule="auto"/>
        <w:contextualSpacing/>
        <w:jc w:val="both"/>
        <w:rPr>
          <w:rFonts w:ascii="Arial" w:eastAsia="Times New Roman" w:hAnsi="Arial" w:cs="Arial"/>
          <w:sz w:val="24"/>
          <w:szCs w:val="24"/>
          <w:lang w:eastAsia="en-GB"/>
        </w:rPr>
      </w:pPr>
    </w:p>
    <w:p w14:paraId="4772F360" w14:textId="160CDA01" w:rsidR="00CA73C6" w:rsidRPr="0025254F" w:rsidRDefault="00CA73C6" w:rsidP="006B48B9">
      <w:pPr>
        <w:tabs>
          <w:tab w:val="left" w:pos="5745"/>
        </w:tabs>
        <w:spacing w:after="0" w:line="360" w:lineRule="auto"/>
        <w:contextualSpacing/>
        <w:jc w:val="both"/>
        <w:rPr>
          <w:rFonts w:ascii="Arial" w:eastAsia="Times New Roman" w:hAnsi="Arial" w:cs="Arial"/>
          <w:sz w:val="24"/>
          <w:szCs w:val="24"/>
          <w:vertAlign w:val="superscript"/>
          <w:lang w:eastAsia="en-GB"/>
        </w:rPr>
      </w:pPr>
    </w:p>
    <w:p w14:paraId="061424A5" w14:textId="28FD90ED" w:rsidR="002644AA" w:rsidRPr="0025254F" w:rsidRDefault="002644AA" w:rsidP="0029652C">
      <w:pPr>
        <w:tabs>
          <w:tab w:val="left" w:pos="5745"/>
        </w:tabs>
        <w:spacing w:after="0" w:line="360" w:lineRule="auto"/>
        <w:contextualSpacing/>
        <w:jc w:val="right"/>
        <w:rPr>
          <w:rFonts w:ascii="Arial" w:eastAsia="Times New Roman" w:hAnsi="Arial" w:cs="Arial"/>
          <w:sz w:val="24"/>
          <w:szCs w:val="24"/>
          <w:vertAlign w:val="superscript"/>
          <w:lang w:eastAsia="en-GB"/>
        </w:rPr>
      </w:pPr>
    </w:p>
    <w:p w14:paraId="22ADAAA4" w14:textId="50BE7E6E" w:rsidR="002644AA" w:rsidRPr="0025254F" w:rsidRDefault="002644AA" w:rsidP="0029652C">
      <w:pPr>
        <w:tabs>
          <w:tab w:val="left" w:pos="5745"/>
        </w:tabs>
        <w:spacing w:after="0" w:line="360" w:lineRule="auto"/>
        <w:contextualSpacing/>
        <w:jc w:val="right"/>
        <w:rPr>
          <w:rFonts w:ascii="Arial" w:eastAsia="Times New Roman" w:hAnsi="Arial" w:cs="Arial"/>
          <w:b/>
          <w:sz w:val="24"/>
          <w:szCs w:val="24"/>
          <w:lang w:eastAsia="en-GB"/>
        </w:rPr>
      </w:pPr>
      <w:r w:rsidRPr="0025254F">
        <w:rPr>
          <w:rFonts w:ascii="Arial" w:eastAsia="Times New Roman" w:hAnsi="Arial" w:cs="Arial"/>
          <w:b/>
          <w:sz w:val="24"/>
          <w:szCs w:val="24"/>
          <w:lang w:eastAsia="en-GB"/>
        </w:rPr>
        <w:t>____________________</w:t>
      </w:r>
    </w:p>
    <w:p w14:paraId="6E4DADC3" w14:textId="0711C470" w:rsidR="00C3480B" w:rsidRPr="0025254F" w:rsidRDefault="00C3480B" w:rsidP="0029652C">
      <w:pPr>
        <w:tabs>
          <w:tab w:val="left" w:pos="5745"/>
        </w:tabs>
        <w:spacing w:after="0" w:line="360" w:lineRule="auto"/>
        <w:contextualSpacing/>
        <w:jc w:val="right"/>
        <w:rPr>
          <w:rFonts w:ascii="Arial" w:eastAsia="Times New Roman" w:hAnsi="Arial" w:cs="Arial"/>
          <w:b/>
          <w:sz w:val="24"/>
          <w:szCs w:val="24"/>
          <w:lang w:eastAsia="en-GB"/>
        </w:rPr>
      </w:pPr>
      <w:r w:rsidRPr="0025254F">
        <w:rPr>
          <w:rFonts w:ascii="Arial" w:eastAsia="Times New Roman" w:hAnsi="Arial" w:cs="Arial"/>
          <w:b/>
          <w:sz w:val="24"/>
          <w:szCs w:val="24"/>
          <w:lang w:eastAsia="en-GB"/>
        </w:rPr>
        <w:tab/>
      </w:r>
      <w:r w:rsidR="00731AED" w:rsidRPr="0025254F">
        <w:rPr>
          <w:rFonts w:ascii="Arial" w:eastAsia="Times New Roman" w:hAnsi="Arial" w:cs="Arial"/>
          <w:b/>
          <w:sz w:val="24"/>
          <w:szCs w:val="24"/>
          <w:lang w:eastAsia="en-GB"/>
        </w:rPr>
        <w:t xml:space="preserve">E </w:t>
      </w:r>
      <w:r w:rsidR="0029652C" w:rsidRPr="0025254F">
        <w:rPr>
          <w:rFonts w:ascii="Arial" w:eastAsia="Times New Roman" w:hAnsi="Arial" w:cs="Arial"/>
          <w:b/>
          <w:sz w:val="24"/>
          <w:szCs w:val="24"/>
          <w:lang w:eastAsia="en-GB"/>
        </w:rPr>
        <w:t xml:space="preserve">BEZUIDENHOUT </w:t>
      </w:r>
      <w:r w:rsidRPr="0025254F">
        <w:rPr>
          <w:rFonts w:ascii="Arial" w:eastAsia="Times New Roman" w:hAnsi="Arial" w:cs="Arial"/>
          <w:b/>
          <w:sz w:val="24"/>
          <w:szCs w:val="24"/>
          <w:lang w:eastAsia="en-GB"/>
        </w:rPr>
        <w:t>J</w:t>
      </w:r>
    </w:p>
    <w:p w14:paraId="00469A65" w14:textId="3D976F1E" w:rsidR="009261BA" w:rsidRPr="0025254F" w:rsidRDefault="009261BA" w:rsidP="006B48B9">
      <w:pPr>
        <w:spacing w:after="0" w:line="360" w:lineRule="auto"/>
        <w:contextualSpacing/>
        <w:jc w:val="both"/>
        <w:rPr>
          <w:rFonts w:ascii="Arial" w:eastAsia="Times New Roman" w:hAnsi="Arial" w:cs="Arial"/>
          <w:sz w:val="24"/>
          <w:szCs w:val="24"/>
          <w:lang w:eastAsia="en-GB"/>
        </w:rPr>
      </w:pPr>
    </w:p>
    <w:p w14:paraId="0E6B9CC3" w14:textId="4F7ECEFA" w:rsidR="009261BA" w:rsidRPr="0025254F" w:rsidRDefault="009261BA" w:rsidP="006B48B9">
      <w:pPr>
        <w:spacing w:after="0" w:line="360" w:lineRule="auto"/>
        <w:contextualSpacing/>
        <w:jc w:val="both"/>
        <w:rPr>
          <w:rFonts w:ascii="Arial" w:eastAsia="Times New Roman" w:hAnsi="Arial" w:cs="Arial"/>
          <w:sz w:val="24"/>
          <w:szCs w:val="24"/>
          <w:lang w:eastAsia="en-GB"/>
        </w:rPr>
      </w:pPr>
    </w:p>
    <w:p w14:paraId="4ED72130" w14:textId="2B53B43C"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45363DBC" w14:textId="6601489F"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5A4BF046" w14:textId="01DFC8AC"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12212AE" w14:textId="60A1F920"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40DF17D8" w14:textId="100FBE11"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46FB3DDC" w14:textId="0FCF4A29"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1E5CAEE9" w14:textId="5BBD42BE"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6B66B96" w14:textId="39D0416A"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56A4B44" w14:textId="597F650D"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7549B9D" w14:textId="722EA841"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2F9B1D0" w14:textId="25C83C42"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DBC6554" w14:textId="42E95534"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C7678B2" w14:textId="2D0CBC05"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5C95C669" w14:textId="2B924655"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25A0F98E" w14:textId="210A669D"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270F4691" w14:textId="6279FD39"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7CF47002" w14:textId="20DFFC55"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4BE014EE" w14:textId="25693BF7"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512E3C02" w14:textId="2AD53B61"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5153BAEC" w14:textId="07BBBBAF"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481BCD5D" w14:textId="0741B011"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7E0C32DF" w14:textId="17FC3861" w:rsidR="00FF2E3A" w:rsidRPr="0025254F" w:rsidRDefault="00FF2E3A" w:rsidP="006B48B9">
      <w:pPr>
        <w:spacing w:after="0" w:line="360" w:lineRule="auto"/>
        <w:contextualSpacing/>
        <w:jc w:val="both"/>
        <w:rPr>
          <w:rFonts w:ascii="Arial" w:eastAsia="Times New Roman" w:hAnsi="Arial" w:cs="Arial"/>
          <w:sz w:val="24"/>
          <w:szCs w:val="24"/>
          <w:lang w:eastAsia="en-GB"/>
        </w:rPr>
      </w:pPr>
    </w:p>
    <w:p w14:paraId="0D3FE996" w14:textId="4EE5FFDB" w:rsidR="004F3C27" w:rsidRPr="001646FF" w:rsidRDefault="00AD41EE"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Date of hearing: </w:t>
      </w:r>
      <w:r w:rsidR="00C67674" w:rsidRPr="001646FF">
        <w:rPr>
          <w:rFonts w:ascii="Arial" w:eastAsia="Times New Roman" w:hAnsi="Arial" w:cs="Arial"/>
          <w:sz w:val="24"/>
          <w:szCs w:val="24"/>
          <w:lang w:eastAsia="en-GB"/>
        </w:rPr>
        <w:tab/>
      </w:r>
      <w:r w:rsidR="00D14B21" w:rsidRPr="001646FF">
        <w:rPr>
          <w:rFonts w:ascii="Arial" w:eastAsia="Times New Roman" w:hAnsi="Arial" w:cs="Arial"/>
          <w:sz w:val="24"/>
          <w:szCs w:val="24"/>
          <w:lang w:eastAsia="en-GB"/>
        </w:rPr>
        <w:t>12 June 2023</w:t>
      </w:r>
    </w:p>
    <w:p w14:paraId="3C8199B7" w14:textId="6FA41779" w:rsidR="00AD41EE" w:rsidRPr="001646FF" w:rsidRDefault="00AD41EE"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Date of </w:t>
      </w:r>
      <w:r w:rsidR="006F62E8" w:rsidRPr="001646FF">
        <w:rPr>
          <w:rFonts w:ascii="Arial" w:eastAsia="Times New Roman" w:hAnsi="Arial" w:cs="Arial"/>
          <w:sz w:val="24"/>
          <w:szCs w:val="24"/>
          <w:lang w:eastAsia="en-GB"/>
        </w:rPr>
        <w:t>judgment</w:t>
      </w:r>
      <w:r w:rsidRPr="001646FF">
        <w:rPr>
          <w:rFonts w:ascii="Arial" w:eastAsia="Times New Roman" w:hAnsi="Arial" w:cs="Arial"/>
          <w:sz w:val="24"/>
          <w:szCs w:val="24"/>
          <w:lang w:eastAsia="en-GB"/>
        </w:rPr>
        <w:t>:</w:t>
      </w:r>
      <w:r w:rsidR="00526D3C" w:rsidRPr="001646FF">
        <w:rPr>
          <w:rFonts w:ascii="Arial" w:eastAsia="Times New Roman" w:hAnsi="Arial" w:cs="Arial"/>
          <w:sz w:val="24"/>
          <w:szCs w:val="24"/>
          <w:lang w:eastAsia="en-GB"/>
        </w:rPr>
        <w:t xml:space="preserve"> </w:t>
      </w:r>
      <w:r w:rsidR="00C67674" w:rsidRPr="001646FF">
        <w:rPr>
          <w:rFonts w:ascii="Arial" w:eastAsia="Times New Roman" w:hAnsi="Arial" w:cs="Arial"/>
          <w:sz w:val="24"/>
          <w:szCs w:val="24"/>
          <w:lang w:eastAsia="en-GB"/>
        </w:rPr>
        <w:tab/>
      </w:r>
      <w:r w:rsidR="00421A5C" w:rsidRPr="001646FF">
        <w:rPr>
          <w:rFonts w:ascii="Arial" w:eastAsia="Times New Roman" w:hAnsi="Arial" w:cs="Arial"/>
          <w:sz w:val="24"/>
          <w:szCs w:val="24"/>
          <w:lang w:eastAsia="en-GB"/>
        </w:rPr>
        <w:t>19 December 2023</w:t>
      </w:r>
    </w:p>
    <w:p w14:paraId="22CCC993" w14:textId="2E84D566" w:rsidR="00AD41EE" w:rsidRPr="001646FF" w:rsidRDefault="00AD41EE" w:rsidP="001646FF">
      <w:pPr>
        <w:spacing w:after="0" w:line="360" w:lineRule="auto"/>
        <w:contextualSpacing/>
        <w:jc w:val="both"/>
        <w:rPr>
          <w:rFonts w:ascii="Arial" w:eastAsia="Times New Roman" w:hAnsi="Arial" w:cs="Arial"/>
          <w:sz w:val="24"/>
          <w:szCs w:val="24"/>
          <w:lang w:eastAsia="en-GB"/>
        </w:rPr>
      </w:pPr>
    </w:p>
    <w:p w14:paraId="6ADE0886" w14:textId="77777777" w:rsidR="00731AED" w:rsidRPr="001646FF" w:rsidRDefault="009261BA" w:rsidP="001646FF">
      <w:pPr>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Appearances:</w:t>
      </w:r>
    </w:p>
    <w:p w14:paraId="62FA2254" w14:textId="69AE1250" w:rsidR="00731AED" w:rsidRPr="001646FF" w:rsidRDefault="002F2845"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For the applicant</w:t>
      </w:r>
      <w:r w:rsidR="00731AED" w:rsidRPr="001646FF">
        <w:rPr>
          <w:rFonts w:ascii="Arial" w:eastAsia="Times New Roman" w:hAnsi="Arial" w:cs="Arial"/>
          <w:sz w:val="24"/>
          <w:szCs w:val="24"/>
          <w:lang w:eastAsia="en-GB"/>
        </w:rPr>
        <w:t>:</w:t>
      </w:r>
      <w:r w:rsidR="00526D3C" w:rsidRPr="001646FF">
        <w:rPr>
          <w:rFonts w:ascii="Arial" w:eastAsia="Times New Roman" w:hAnsi="Arial" w:cs="Arial"/>
          <w:sz w:val="24"/>
          <w:szCs w:val="24"/>
          <w:lang w:eastAsia="en-GB"/>
        </w:rPr>
        <w:t xml:space="preserve"> </w:t>
      </w:r>
      <w:r w:rsidR="00EB532B" w:rsidRPr="001646FF">
        <w:rPr>
          <w:rFonts w:ascii="Arial" w:eastAsia="Times New Roman" w:hAnsi="Arial" w:cs="Arial"/>
          <w:sz w:val="24"/>
          <w:szCs w:val="24"/>
          <w:lang w:eastAsia="en-GB"/>
        </w:rPr>
        <w:tab/>
      </w:r>
      <w:r w:rsidR="00421A5C" w:rsidRPr="001646FF">
        <w:rPr>
          <w:rFonts w:ascii="Arial" w:eastAsia="Times New Roman" w:hAnsi="Arial" w:cs="Arial"/>
          <w:sz w:val="24"/>
          <w:szCs w:val="24"/>
          <w:lang w:eastAsia="en-GB"/>
        </w:rPr>
        <w:t>GR Thatcher SC</w:t>
      </w:r>
    </w:p>
    <w:p w14:paraId="307B4651" w14:textId="46026257" w:rsidR="00421A5C" w:rsidRPr="001646FF" w:rsidRDefault="00526D3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1646FF">
        <w:rPr>
          <w:rFonts w:ascii="Arial" w:eastAsia="Times New Roman" w:hAnsi="Arial" w:cs="Arial"/>
          <w:sz w:val="24"/>
          <w:szCs w:val="24"/>
          <w:lang w:eastAsia="en-GB"/>
        </w:rPr>
        <w:tab/>
      </w:r>
      <w:r w:rsidR="00421A5C" w:rsidRPr="001646FF">
        <w:rPr>
          <w:rFonts w:ascii="Arial" w:eastAsia="Times New Roman" w:hAnsi="Arial" w:cs="Arial"/>
          <w:sz w:val="24"/>
          <w:szCs w:val="24"/>
          <w:lang w:eastAsia="en-GB"/>
        </w:rPr>
        <w:t>R van Rooyen</w:t>
      </w:r>
    </w:p>
    <w:p w14:paraId="2265CF02" w14:textId="7AB149EB" w:rsidR="00FF2E3A" w:rsidRPr="001646FF" w:rsidRDefault="00731AED"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Instructed by:</w:t>
      </w:r>
      <w:r w:rsidR="00526D3C" w:rsidRPr="001646FF">
        <w:rPr>
          <w:rFonts w:ascii="Arial" w:eastAsia="Times New Roman" w:hAnsi="Arial" w:cs="Arial"/>
          <w:sz w:val="24"/>
          <w:szCs w:val="24"/>
          <w:lang w:eastAsia="en-GB"/>
        </w:rPr>
        <w:t xml:space="preserve"> </w:t>
      </w:r>
      <w:r w:rsidR="00EB532B" w:rsidRPr="001646FF">
        <w:rPr>
          <w:rFonts w:ascii="Arial" w:eastAsia="Times New Roman" w:hAnsi="Arial" w:cs="Arial"/>
          <w:sz w:val="24"/>
          <w:szCs w:val="24"/>
          <w:lang w:eastAsia="en-GB"/>
        </w:rPr>
        <w:tab/>
      </w:r>
      <w:r w:rsidR="00FF2E3A" w:rsidRPr="001646FF">
        <w:rPr>
          <w:rFonts w:ascii="Arial" w:eastAsia="Times New Roman" w:hAnsi="Arial" w:cs="Arial"/>
          <w:sz w:val="24"/>
          <w:szCs w:val="24"/>
          <w:lang w:eastAsia="en-GB"/>
        </w:rPr>
        <w:t>Shepstone &amp; Wylie ATTORNEYS</w:t>
      </w:r>
    </w:p>
    <w:p w14:paraId="427AA0B8" w14:textId="77777777" w:rsidR="00FF2E3A" w:rsidRPr="001646FF" w:rsidRDefault="00FF2E3A"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t>24 Richfond Circle</w:t>
      </w:r>
    </w:p>
    <w:p w14:paraId="38FB6D57" w14:textId="5121E2E2" w:rsidR="009261BA" w:rsidRPr="001646FF" w:rsidRDefault="00FF2E3A"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t>Ridgeside Office park</w:t>
      </w:r>
    </w:p>
    <w:p w14:paraId="5075616A" w14:textId="1DD4C9CD" w:rsidR="001738A8" w:rsidRPr="001646FF" w:rsidRDefault="00EB532B"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FF2E3A" w:rsidRPr="001646FF">
        <w:rPr>
          <w:rFonts w:ascii="Arial" w:eastAsia="Times New Roman" w:hAnsi="Arial" w:cs="Arial"/>
          <w:sz w:val="24"/>
          <w:szCs w:val="24"/>
          <w:lang w:eastAsia="en-GB"/>
        </w:rPr>
        <w:t>Umhlanga Rocks</w:t>
      </w:r>
    </w:p>
    <w:p w14:paraId="03DE8536" w14:textId="77777777" w:rsidR="00FF2E3A" w:rsidRPr="001646FF" w:rsidRDefault="00EB532B"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FF2E3A" w:rsidRPr="001646FF">
        <w:rPr>
          <w:rFonts w:ascii="Arial" w:eastAsia="Times New Roman" w:hAnsi="Arial" w:cs="Arial"/>
          <w:sz w:val="24"/>
          <w:szCs w:val="24"/>
          <w:lang w:eastAsia="en-GB"/>
        </w:rPr>
        <w:t>Tel: 031 575 7000</w:t>
      </w:r>
    </w:p>
    <w:p w14:paraId="5B1ED513" w14:textId="01FF2341" w:rsidR="00ED26A8" w:rsidRPr="001646FF" w:rsidRDefault="00526D3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c/o</w:t>
      </w:r>
      <w:r w:rsidRPr="001646FF">
        <w:rPr>
          <w:rFonts w:ascii="Arial" w:eastAsia="Times New Roman" w:hAnsi="Arial" w:cs="Arial"/>
          <w:sz w:val="24"/>
          <w:szCs w:val="24"/>
          <w:lang w:eastAsia="en-GB"/>
        </w:rPr>
        <w:t xml:space="preserve"> </w:t>
      </w:r>
      <w:r w:rsidR="00ED26A8" w:rsidRPr="001646FF">
        <w:rPr>
          <w:rFonts w:ascii="Arial" w:eastAsia="Times New Roman" w:hAnsi="Arial" w:cs="Arial"/>
          <w:sz w:val="24"/>
          <w:szCs w:val="24"/>
          <w:lang w:eastAsia="en-GB"/>
        </w:rPr>
        <w:t xml:space="preserve">Shepstone &amp; Wylie </w:t>
      </w:r>
    </w:p>
    <w:p w14:paraId="2EFDEE46" w14:textId="7C163728" w:rsidR="00ED26A8" w:rsidRPr="001646FF" w:rsidRDefault="00526D3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1</w:t>
      </w:r>
      <w:r w:rsidR="00ED26A8" w:rsidRPr="001646FF">
        <w:rPr>
          <w:rFonts w:ascii="Arial" w:eastAsia="Times New Roman" w:hAnsi="Arial" w:cs="Arial"/>
          <w:sz w:val="24"/>
          <w:szCs w:val="24"/>
          <w:vertAlign w:val="superscript"/>
          <w:lang w:eastAsia="en-GB"/>
        </w:rPr>
        <w:t>st</w:t>
      </w:r>
      <w:r w:rsidR="00ED26A8" w:rsidRPr="001646FF">
        <w:rPr>
          <w:rFonts w:ascii="Arial" w:eastAsia="Times New Roman" w:hAnsi="Arial" w:cs="Arial"/>
          <w:sz w:val="24"/>
          <w:szCs w:val="24"/>
          <w:lang w:eastAsia="en-GB"/>
        </w:rPr>
        <w:t xml:space="preserve"> Floor , ABSA Building, 15 Chatterton Road</w:t>
      </w:r>
    </w:p>
    <w:p w14:paraId="1E6EA066" w14:textId="541D2A04" w:rsidR="00ED26A8" w:rsidRPr="001646FF" w:rsidRDefault="00526D3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Pietermaritzburg</w:t>
      </w:r>
    </w:p>
    <w:p w14:paraId="074298DC" w14:textId="3528BA9A" w:rsidR="00ED26A8" w:rsidRPr="001646FF" w:rsidRDefault="00526D3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Tel 033 355 1780</w:t>
      </w:r>
    </w:p>
    <w:p w14:paraId="20241767" w14:textId="7B134A0E" w:rsidR="00ED26A8" w:rsidRPr="001646FF" w:rsidRDefault="00526D3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Ref Josette Manuel /mm</w:t>
      </w:r>
    </w:p>
    <w:p w14:paraId="234B654F" w14:textId="1E7A54BA" w:rsidR="00ED26A8" w:rsidRPr="001646FF" w:rsidRDefault="00EB532B" w:rsidP="001646FF">
      <w:pPr>
        <w:tabs>
          <w:tab w:val="left" w:pos="2552"/>
        </w:tabs>
        <w:spacing w:after="0" w:line="360" w:lineRule="auto"/>
        <w:contextualSpacing/>
        <w:jc w:val="both"/>
        <w:rPr>
          <w:rFonts w:ascii="Arial" w:hAnsi="Arial" w:cs="Arial"/>
          <w:color w:val="0563C1" w:themeColor="hyperlink"/>
          <w:sz w:val="24"/>
          <w:szCs w:val="24"/>
          <w:u w:val="single"/>
        </w:rPr>
      </w:pPr>
      <w:r w:rsidRPr="001646FF">
        <w:rPr>
          <w:rFonts w:ascii="Arial" w:hAnsi="Arial" w:cs="Arial"/>
          <w:sz w:val="24"/>
          <w:szCs w:val="24"/>
        </w:rPr>
        <w:tab/>
      </w:r>
      <w:r w:rsidR="00FF2E3A" w:rsidRPr="001646FF">
        <w:rPr>
          <w:rFonts w:ascii="Arial" w:hAnsi="Arial" w:cs="Arial"/>
          <w:sz w:val="24"/>
          <w:szCs w:val="24"/>
        </w:rPr>
        <w:t xml:space="preserve">Email: </w:t>
      </w:r>
      <w:hyperlink r:id="rId10" w:history="1">
        <w:r w:rsidR="00FF2E3A" w:rsidRPr="001646FF">
          <w:rPr>
            <w:rStyle w:val="Hyperlink"/>
            <w:rFonts w:ascii="Arial" w:hAnsi="Arial" w:cs="Arial"/>
            <w:sz w:val="24"/>
            <w:szCs w:val="24"/>
          </w:rPr>
          <w:t>afd@wylie.co.za</w:t>
        </w:r>
      </w:hyperlink>
    </w:p>
    <w:p w14:paraId="571282E5" w14:textId="1AEE89FE" w:rsidR="00FF2E3A" w:rsidRPr="001646FF" w:rsidRDefault="00FF2E3A" w:rsidP="001646FF">
      <w:pPr>
        <w:tabs>
          <w:tab w:val="left" w:pos="2552"/>
        </w:tabs>
        <w:spacing w:after="0" w:line="360" w:lineRule="auto"/>
        <w:contextualSpacing/>
        <w:jc w:val="both"/>
        <w:rPr>
          <w:rStyle w:val="Hyperlink"/>
          <w:rFonts w:ascii="Arial" w:hAnsi="Arial" w:cs="Arial"/>
          <w:sz w:val="24"/>
          <w:szCs w:val="24"/>
        </w:rPr>
      </w:pPr>
      <w:r w:rsidRPr="001646FF">
        <w:rPr>
          <w:rFonts w:ascii="Arial" w:hAnsi="Arial" w:cs="Arial"/>
          <w:sz w:val="24"/>
          <w:szCs w:val="24"/>
        </w:rPr>
        <w:tab/>
      </w:r>
      <w:hyperlink r:id="rId11" w:history="1">
        <w:r w:rsidRPr="001646FF">
          <w:rPr>
            <w:rStyle w:val="Hyperlink"/>
            <w:rFonts w:ascii="Arial" w:hAnsi="Arial" w:cs="Arial"/>
            <w:sz w:val="24"/>
            <w:szCs w:val="24"/>
          </w:rPr>
          <w:t>jmanuel@wylie.co.za</w:t>
        </w:r>
      </w:hyperlink>
      <w:r w:rsidR="00ED26A8" w:rsidRPr="001646FF">
        <w:rPr>
          <w:rStyle w:val="Hyperlink"/>
          <w:rFonts w:ascii="Arial" w:hAnsi="Arial" w:cs="Arial"/>
          <w:sz w:val="24"/>
          <w:szCs w:val="24"/>
        </w:rPr>
        <w:t xml:space="preserve"> </w:t>
      </w:r>
    </w:p>
    <w:p w14:paraId="23DE5059" w14:textId="42ECB3B1" w:rsidR="00421A5C" w:rsidRPr="001646FF" w:rsidRDefault="00526D3C" w:rsidP="001646FF">
      <w:pPr>
        <w:tabs>
          <w:tab w:val="left" w:pos="2552"/>
        </w:tabs>
        <w:spacing w:after="0" w:line="360" w:lineRule="auto"/>
        <w:contextualSpacing/>
        <w:jc w:val="both"/>
        <w:rPr>
          <w:rFonts w:ascii="Arial" w:hAnsi="Arial" w:cs="Arial"/>
          <w:sz w:val="24"/>
          <w:szCs w:val="24"/>
        </w:rPr>
      </w:pPr>
      <w:r w:rsidRPr="001646FF">
        <w:rPr>
          <w:rStyle w:val="Hyperlink"/>
          <w:rFonts w:ascii="Arial" w:hAnsi="Arial" w:cs="Arial"/>
          <w:sz w:val="24"/>
          <w:szCs w:val="24"/>
        </w:rPr>
        <w:t xml:space="preserve"> </w:t>
      </w:r>
    </w:p>
    <w:p w14:paraId="3BAEB1AE" w14:textId="64FB4237" w:rsidR="00731AED" w:rsidRPr="001646FF" w:rsidRDefault="00421A5C"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For the respondent:</w:t>
      </w:r>
      <w:r w:rsidR="00526D3C"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Pr="001646FF">
        <w:rPr>
          <w:rFonts w:ascii="Arial" w:eastAsia="Times New Roman" w:hAnsi="Arial" w:cs="Arial"/>
          <w:sz w:val="24"/>
          <w:szCs w:val="24"/>
          <w:lang w:eastAsia="en-GB"/>
        </w:rPr>
        <w:t>DW Eades</w:t>
      </w:r>
    </w:p>
    <w:p w14:paraId="78CF8248" w14:textId="2F88A033" w:rsidR="00421A5C" w:rsidRPr="001646FF" w:rsidRDefault="00ED26A8"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 xml:space="preserve"> </w:t>
      </w:r>
      <w:r w:rsidR="00421A5C" w:rsidRPr="001646FF">
        <w:rPr>
          <w:rFonts w:ascii="Arial" w:eastAsia="Times New Roman" w:hAnsi="Arial" w:cs="Arial"/>
          <w:sz w:val="24"/>
          <w:szCs w:val="24"/>
          <w:lang w:eastAsia="en-GB"/>
        </w:rPr>
        <w:t>Instructed by:</w:t>
      </w:r>
      <w:r w:rsidR="00526D3C" w:rsidRPr="001646FF">
        <w:rPr>
          <w:rFonts w:ascii="Arial" w:eastAsia="Times New Roman" w:hAnsi="Arial" w:cs="Arial"/>
          <w:sz w:val="24"/>
          <w:szCs w:val="24"/>
          <w:lang w:eastAsia="en-GB"/>
        </w:rPr>
        <w:t xml:space="preserve"> </w:t>
      </w:r>
      <w:r w:rsidR="001646FF" w:rsidRPr="001646FF">
        <w:rPr>
          <w:rFonts w:ascii="Arial" w:eastAsia="Times New Roman" w:hAnsi="Arial" w:cs="Arial"/>
          <w:sz w:val="24"/>
          <w:szCs w:val="24"/>
          <w:lang w:eastAsia="en-GB"/>
        </w:rPr>
        <w:tab/>
      </w:r>
      <w:r w:rsidR="00421A5C" w:rsidRPr="001646FF">
        <w:rPr>
          <w:rFonts w:ascii="Arial" w:eastAsia="Times New Roman" w:hAnsi="Arial" w:cs="Arial"/>
          <w:sz w:val="24"/>
          <w:szCs w:val="24"/>
          <w:lang w:eastAsia="en-GB"/>
        </w:rPr>
        <w:t>Lester Hall, Fletcher Inc</w:t>
      </w:r>
    </w:p>
    <w:p w14:paraId="73FC6AA3" w14:textId="77777777" w:rsidR="00FF2E3A" w:rsidRPr="001646FF" w:rsidRDefault="00EB532B"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FF2E3A" w:rsidRPr="001646FF">
        <w:rPr>
          <w:rFonts w:ascii="Arial" w:eastAsia="Times New Roman" w:hAnsi="Arial" w:cs="Arial"/>
          <w:sz w:val="24"/>
          <w:szCs w:val="24"/>
          <w:lang w:eastAsia="en-GB"/>
        </w:rPr>
        <w:t>44 Old Main road</w:t>
      </w:r>
    </w:p>
    <w:p w14:paraId="282E57D5" w14:textId="4052D2F2" w:rsidR="00FF2E3A"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FF2E3A" w:rsidRPr="001646FF">
        <w:rPr>
          <w:rFonts w:ascii="Arial" w:eastAsia="Times New Roman" w:hAnsi="Arial" w:cs="Arial"/>
          <w:sz w:val="24"/>
          <w:szCs w:val="24"/>
          <w:lang w:eastAsia="en-GB"/>
        </w:rPr>
        <w:t>Kloof</w:t>
      </w:r>
    </w:p>
    <w:p w14:paraId="66757E72" w14:textId="08A496B5"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FF2E3A" w:rsidRPr="001646FF">
        <w:rPr>
          <w:rFonts w:ascii="Arial" w:eastAsia="Times New Roman" w:hAnsi="Arial" w:cs="Arial"/>
          <w:sz w:val="24"/>
          <w:szCs w:val="24"/>
          <w:lang w:eastAsia="en-GB"/>
        </w:rPr>
        <w:t>Ref: Mr Chris De Beer/</w:t>
      </w:r>
      <w:r w:rsidRPr="001646FF">
        <w:rPr>
          <w:rFonts w:ascii="Arial" w:eastAsia="Times New Roman" w:hAnsi="Arial" w:cs="Arial"/>
          <w:sz w:val="24"/>
          <w:szCs w:val="24"/>
          <w:lang w:eastAsia="en-GB"/>
        </w:rPr>
        <w:t>Roslyn</w:t>
      </w:r>
    </w:p>
    <w:p w14:paraId="052D141F" w14:textId="3B5F7A38"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t>Tel: 031 818 7280</w:t>
      </w:r>
    </w:p>
    <w:p w14:paraId="73B71FD4" w14:textId="7016B29A"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t xml:space="preserve">Email: </w:t>
      </w:r>
      <w:hyperlink r:id="rId12" w:history="1">
        <w:r w:rsidRPr="001646FF">
          <w:rPr>
            <w:rStyle w:val="Hyperlink"/>
            <w:rFonts w:ascii="Arial" w:eastAsia="Times New Roman" w:hAnsi="Arial" w:cs="Arial"/>
            <w:sz w:val="24"/>
            <w:szCs w:val="24"/>
            <w:lang w:eastAsia="en-GB"/>
          </w:rPr>
          <w:t>chris@lesterhall.co.za</w:t>
        </w:r>
      </w:hyperlink>
    </w:p>
    <w:p w14:paraId="761351C8" w14:textId="2F7B59ED"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hyperlink r:id="rId13" w:history="1">
        <w:r w:rsidRPr="001646FF">
          <w:rPr>
            <w:rStyle w:val="Hyperlink"/>
            <w:rFonts w:ascii="Arial" w:eastAsia="Times New Roman" w:hAnsi="Arial" w:cs="Arial"/>
            <w:sz w:val="24"/>
            <w:szCs w:val="24"/>
            <w:lang w:eastAsia="en-GB"/>
          </w:rPr>
          <w:t>roslyn@lesterhall.co.za</w:t>
        </w:r>
      </w:hyperlink>
    </w:p>
    <w:p w14:paraId="5F89EC5D" w14:textId="1F1EC05D"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1646FF" w:rsidRPr="001646FF">
        <w:rPr>
          <w:rFonts w:ascii="Arial" w:eastAsia="Times New Roman" w:hAnsi="Arial" w:cs="Arial"/>
          <w:sz w:val="24"/>
          <w:szCs w:val="24"/>
          <w:lang w:eastAsia="en-GB"/>
        </w:rPr>
        <w:t>c/o Viv Greene Attorneys</w:t>
      </w:r>
    </w:p>
    <w:p w14:paraId="04D29020" w14:textId="77777777"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lastRenderedPageBreak/>
        <w:tab/>
        <w:t xml:space="preserve">132 Roberts Rod </w:t>
      </w:r>
    </w:p>
    <w:p w14:paraId="73BCE57D" w14:textId="2953755D"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t>Clarendon</w:t>
      </w:r>
    </w:p>
    <w:p w14:paraId="74A68E62" w14:textId="35FD25D0" w:rsidR="00D14B21"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t>Pietermaritzburg</w:t>
      </w:r>
    </w:p>
    <w:p w14:paraId="60DFC25C" w14:textId="2C474260" w:rsidR="007423B8" w:rsidRPr="001646FF" w:rsidRDefault="00D14B21"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Tel: 033 342276</w:t>
      </w:r>
      <w:r w:rsidR="007423B8" w:rsidRPr="001646FF">
        <w:rPr>
          <w:rFonts w:ascii="Arial" w:eastAsia="Times New Roman" w:hAnsi="Arial" w:cs="Arial"/>
          <w:sz w:val="24"/>
          <w:szCs w:val="24"/>
          <w:lang w:eastAsia="en-GB"/>
        </w:rPr>
        <w:t xml:space="preserve"> </w:t>
      </w:r>
    </w:p>
    <w:p w14:paraId="1A722824" w14:textId="5DD4A334" w:rsidR="00C0029C" w:rsidRPr="001646FF" w:rsidRDefault="00EB532B" w:rsidP="001646FF">
      <w:pPr>
        <w:tabs>
          <w:tab w:val="left" w:pos="2552"/>
        </w:tabs>
        <w:spacing w:after="0" w:line="360" w:lineRule="auto"/>
        <w:contextualSpacing/>
        <w:jc w:val="both"/>
        <w:rPr>
          <w:rFonts w:ascii="Arial" w:eastAsia="Times New Roman" w:hAnsi="Arial" w:cs="Arial"/>
          <w:sz w:val="24"/>
          <w:szCs w:val="24"/>
          <w:lang w:eastAsia="en-GB"/>
        </w:rPr>
      </w:pPr>
      <w:r w:rsidRPr="001646FF">
        <w:rPr>
          <w:rFonts w:ascii="Arial" w:eastAsia="Times New Roman" w:hAnsi="Arial" w:cs="Arial"/>
          <w:sz w:val="24"/>
          <w:szCs w:val="24"/>
          <w:lang w:eastAsia="en-GB"/>
        </w:rPr>
        <w:tab/>
      </w:r>
      <w:r w:rsidR="00ED26A8" w:rsidRPr="001646FF">
        <w:rPr>
          <w:rFonts w:ascii="Arial" w:eastAsia="Times New Roman" w:hAnsi="Arial" w:cs="Arial"/>
          <w:sz w:val="24"/>
          <w:szCs w:val="24"/>
          <w:lang w:eastAsia="en-GB"/>
        </w:rPr>
        <w:t>Email: pa@vglaw.co.za</w:t>
      </w:r>
    </w:p>
    <w:sectPr w:rsidR="00C0029C" w:rsidRPr="001646FF" w:rsidSect="00813EBB">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52AAF" w14:textId="77777777" w:rsidR="00EF105E" w:rsidRDefault="00EF105E" w:rsidP="00CB6044">
      <w:pPr>
        <w:spacing w:after="0" w:line="240" w:lineRule="auto"/>
      </w:pPr>
      <w:r>
        <w:separator/>
      </w:r>
    </w:p>
  </w:endnote>
  <w:endnote w:type="continuationSeparator" w:id="0">
    <w:p w14:paraId="382CD892" w14:textId="77777777" w:rsidR="00EF105E" w:rsidRDefault="00EF105E" w:rsidP="00C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2337" w14:textId="77777777" w:rsidR="00336BC0" w:rsidRDefault="00336BC0">
    <w:pPr>
      <w:pStyle w:val="Footer"/>
      <w:jc w:val="right"/>
    </w:pPr>
  </w:p>
  <w:p w14:paraId="2A8DD1D1" w14:textId="77777777" w:rsidR="00336BC0" w:rsidRDefault="0033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8D73C" w14:textId="77777777" w:rsidR="00EF105E" w:rsidRDefault="00EF105E" w:rsidP="00CB6044">
      <w:pPr>
        <w:spacing w:after="0" w:line="240" w:lineRule="auto"/>
      </w:pPr>
      <w:r>
        <w:separator/>
      </w:r>
    </w:p>
  </w:footnote>
  <w:footnote w:type="continuationSeparator" w:id="0">
    <w:p w14:paraId="44E0D6FC" w14:textId="77777777" w:rsidR="00EF105E" w:rsidRDefault="00EF105E" w:rsidP="00CB6044">
      <w:pPr>
        <w:spacing w:after="0" w:line="240" w:lineRule="auto"/>
      </w:pPr>
      <w:r>
        <w:continuationSeparator/>
      </w:r>
    </w:p>
  </w:footnote>
  <w:footnote w:id="1">
    <w:p w14:paraId="463FB154" w14:textId="477C8895"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C F Forsyth and J T Pretorius </w:t>
      </w:r>
      <w:r w:rsidRPr="0025254F">
        <w:rPr>
          <w:rFonts w:ascii="Arial" w:hAnsi="Arial" w:cs="Arial"/>
          <w:i/>
        </w:rPr>
        <w:t>Caney’s: The Law of Suretyship in South Africa</w:t>
      </w:r>
      <w:r w:rsidRPr="0025254F">
        <w:rPr>
          <w:rFonts w:ascii="Arial" w:hAnsi="Arial" w:cs="Arial"/>
        </w:rPr>
        <w:t xml:space="preserve"> 6 ed (2010) at 28-29</w:t>
      </w:r>
      <w:r w:rsidR="004B7EE1" w:rsidRPr="0025254F">
        <w:rPr>
          <w:rFonts w:ascii="Arial" w:hAnsi="Arial" w:cs="Arial"/>
        </w:rPr>
        <w:t xml:space="preserve"> (‘</w:t>
      </w:r>
      <w:r w:rsidR="004B7EE1" w:rsidRPr="0025254F">
        <w:rPr>
          <w:rFonts w:ascii="Arial" w:hAnsi="Arial" w:cs="Arial"/>
          <w:i/>
        </w:rPr>
        <w:t>Caney’s</w:t>
      </w:r>
      <w:r w:rsidR="00637390" w:rsidRPr="0025254F">
        <w:rPr>
          <w:rFonts w:ascii="Arial" w:hAnsi="Arial" w:cs="Arial"/>
        </w:rPr>
        <w:t>’</w:t>
      </w:r>
      <w:r w:rsidR="004B7EE1" w:rsidRPr="0025254F">
        <w:rPr>
          <w:rFonts w:ascii="Arial" w:hAnsi="Arial" w:cs="Arial"/>
        </w:rPr>
        <w:t>)</w:t>
      </w:r>
      <w:r w:rsidRPr="0025254F">
        <w:rPr>
          <w:rFonts w:ascii="Arial" w:hAnsi="Arial" w:cs="Arial"/>
        </w:rPr>
        <w:t>.</w:t>
      </w:r>
    </w:p>
  </w:footnote>
  <w:footnote w:id="2">
    <w:p w14:paraId="5D212706" w14:textId="6B177630"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 at 29.</w:t>
      </w:r>
    </w:p>
  </w:footnote>
  <w:footnote w:id="3">
    <w:p w14:paraId="147723AE" w14:textId="4EEB7541"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 at 30.</w:t>
      </w:r>
    </w:p>
  </w:footnote>
  <w:footnote w:id="4">
    <w:p w14:paraId="3EE751F7" w14:textId="660E1CBF"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 at 32.</w:t>
      </w:r>
    </w:p>
  </w:footnote>
  <w:footnote w:id="5">
    <w:p w14:paraId="03070922" w14:textId="4CE9776C"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 at 33.</w:t>
      </w:r>
    </w:p>
  </w:footnote>
  <w:footnote w:id="6">
    <w:p w14:paraId="1F90D519" w14:textId="76BD8956"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w:t>
      </w:r>
    </w:p>
  </w:footnote>
  <w:footnote w:id="7">
    <w:p w14:paraId="59116E76" w14:textId="46927261"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 at 34.</w:t>
      </w:r>
    </w:p>
  </w:footnote>
  <w:footnote w:id="8">
    <w:p w14:paraId="671DF327" w14:textId="4BEB520F"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Standard Bank of South Africa Ltd v Essa and others</w:t>
      </w:r>
      <w:r w:rsidRPr="0025254F">
        <w:rPr>
          <w:rFonts w:ascii="Arial" w:hAnsi="Arial" w:cs="Arial"/>
        </w:rPr>
        <w:t xml:space="preserve"> [2012] ZAWCHC 265 para 13</w:t>
      </w:r>
      <w:r w:rsidR="00A66617" w:rsidRPr="0025254F">
        <w:rPr>
          <w:rFonts w:ascii="Arial" w:hAnsi="Arial" w:cs="Arial"/>
        </w:rPr>
        <w:t xml:space="preserve"> (‘</w:t>
      </w:r>
      <w:r w:rsidR="00A66617" w:rsidRPr="0025254F">
        <w:rPr>
          <w:rFonts w:ascii="Arial" w:hAnsi="Arial" w:cs="Arial"/>
          <w:i/>
        </w:rPr>
        <w:t>Essa</w:t>
      </w:r>
      <w:r w:rsidR="00A66617" w:rsidRPr="0025254F">
        <w:rPr>
          <w:rFonts w:ascii="Arial" w:hAnsi="Arial" w:cs="Arial"/>
        </w:rPr>
        <w:t>’)</w:t>
      </w:r>
      <w:r w:rsidRPr="0025254F">
        <w:rPr>
          <w:rFonts w:ascii="Arial" w:hAnsi="Arial" w:cs="Arial"/>
        </w:rPr>
        <w:t>.</w:t>
      </w:r>
    </w:p>
  </w:footnote>
  <w:footnote w:id="9">
    <w:p w14:paraId="0445A269" w14:textId="02646731"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Natal Joint Municipal Pension Fund v Endumeni Municipality</w:t>
      </w:r>
      <w:r w:rsidRPr="0025254F">
        <w:rPr>
          <w:rFonts w:ascii="Arial" w:hAnsi="Arial" w:cs="Arial"/>
        </w:rPr>
        <w:t xml:space="preserve"> [2012] ZASCA 13; 2012 (4) SA 593 (SCA) at 604C</w:t>
      </w:r>
      <w:r w:rsidRPr="0025254F">
        <w:rPr>
          <w:rFonts w:ascii="Arial" w:hAnsi="Arial" w:cs="Arial"/>
        </w:rPr>
        <w:noBreakHyphen/>
        <w:t>D</w:t>
      </w:r>
      <w:r w:rsidR="00B92B6B" w:rsidRPr="0025254F">
        <w:rPr>
          <w:rFonts w:ascii="Arial" w:hAnsi="Arial" w:cs="Arial"/>
        </w:rPr>
        <w:t xml:space="preserve"> (‘</w:t>
      </w:r>
      <w:r w:rsidR="00B92B6B" w:rsidRPr="0025254F">
        <w:rPr>
          <w:rFonts w:ascii="Arial" w:hAnsi="Arial" w:cs="Arial"/>
          <w:i/>
        </w:rPr>
        <w:t>Endumeni</w:t>
      </w:r>
      <w:r w:rsidR="00B92B6B" w:rsidRPr="0025254F">
        <w:rPr>
          <w:rFonts w:ascii="Arial" w:hAnsi="Arial" w:cs="Arial"/>
        </w:rPr>
        <w:t>’)</w:t>
      </w:r>
      <w:r w:rsidRPr="0025254F">
        <w:rPr>
          <w:rFonts w:ascii="Arial" w:hAnsi="Arial" w:cs="Arial"/>
        </w:rPr>
        <w:t>.</w:t>
      </w:r>
    </w:p>
  </w:footnote>
  <w:footnote w:id="10">
    <w:p w14:paraId="7B4A75D8" w14:textId="51F09E7B"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University of Johannesburg v Auckland Park Theological Seminary and another</w:t>
      </w:r>
      <w:r w:rsidRPr="0025254F">
        <w:rPr>
          <w:rFonts w:ascii="Arial" w:hAnsi="Arial" w:cs="Arial"/>
        </w:rPr>
        <w:t xml:space="preserve"> [2021] ZACC 13; 2021 (6) SA 1 (CC) para 66.</w:t>
      </w:r>
    </w:p>
  </w:footnote>
  <w:footnote w:id="11">
    <w:p w14:paraId="21080AF6" w14:textId="2676E15B"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 xml:space="preserve">Capitec Bank Holdings Ltd and another v Coral Lagoon Investments 194 (Pty) Ltd and </w:t>
      </w:r>
      <w:r w:rsidR="00EF0842" w:rsidRPr="0025254F">
        <w:rPr>
          <w:rFonts w:ascii="Arial" w:hAnsi="Arial" w:cs="Arial"/>
          <w:i/>
        </w:rPr>
        <w:t>others</w:t>
      </w:r>
      <w:r w:rsidR="00EF0842" w:rsidRPr="0025254F">
        <w:rPr>
          <w:rFonts w:ascii="Arial" w:hAnsi="Arial" w:cs="Arial"/>
        </w:rPr>
        <w:t xml:space="preserve"> </w:t>
      </w:r>
      <w:r w:rsidRPr="0025254F">
        <w:rPr>
          <w:rFonts w:ascii="Arial" w:hAnsi="Arial" w:cs="Arial"/>
        </w:rPr>
        <w:t>[2021] ZASCA 99; 2022 (1) SA 100 (SCA) paras 25-26</w:t>
      </w:r>
      <w:r w:rsidR="00B92B6B" w:rsidRPr="0025254F">
        <w:rPr>
          <w:rFonts w:ascii="Arial" w:hAnsi="Arial" w:cs="Arial"/>
        </w:rPr>
        <w:t xml:space="preserve"> (‘</w:t>
      </w:r>
      <w:r w:rsidR="00B92B6B" w:rsidRPr="0025254F">
        <w:rPr>
          <w:rFonts w:ascii="Arial" w:hAnsi="Arial" w:cs="Arial"/>
          <w:i/>
        </w:rPr>
        <w:t>Capitec</w:t>
      </w:r>
      <w:r w:rsidR="00B92B6B" w:rsidRPr="0025254F">
        <w:rPr>
          <w:rFonts w:ascii="Arial" w:hAnsi="Arial" w:cs="Arial"/>
        </w:rPr>
        <w:t>’)</w:t>
      </w:r>
      <w:r w:rsidRPr="0025254F">
        <w:rPr>
          <w:rFonts w:ascii="Arial" w:hAnsi="Arial" w:cs="Arial"/>
        </w:rPr>
        <w:t>.</w:t>
      </w:r>
    </w:p>
  </w:footnote>
  <w:footnote w:id="12">
    <w:p w14:paraId="642160BF" w14:textId="0A2B4293"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List v Jungers</w:t>
      </w:r>
      <w:r w:rsidRPr="0025254F">
        <w:rPr>
          <w:rFonts w:ascii="Arial" w:hAnsi="Arial" w:cs="Arial"/>
        </w:rPr>
        <w:t xml:space="preserve"> 1979 (3) SA 106 (A) at 118D</w:t>
      </w:r>
      <w:r w:rsidR="00B92B6B" w:rsidRPr="0025254F">
        <w:rPr>
          <w:rFonts w:ascii="Arial" w:hAnsi="Arial" w:cs="Arial"/>
        </w:rPr>
        <w:t xml:space="preserve"> (‘</w:t>
      </w:r>
      <w:r w:rsidR="00B92B6B" w:rsidRPr="0025254F">
        <w:rPr>
          <w:rFonts w:ascii="Arial" w:hAnsi="Arial" w:cs="Arial"/>
          <w:i/>
        </w:rPr>
        <w:t>Jungers</w:t>
      </w:r>
      <w:r w:rsidR="00B92B6B" w:rsidRPr="0025254F">
        <w:rPr>
          <w:rFonts w:ascii="Arial" w:hAnsi="Arial" w:cs="Arial"/>
        </w:rPr>
        <w:t>’)</w:t>
      </w:r>
      <w:r w:rsidRPr="0025254F">
        <w:rPr>
          <w:rFonts w:ascii="Arial" w:hAnsi="Arial" w:cs="Arial"/>
        </w:rPr>
        <w:t>.</w:t>
      </w:r>
    </w:p>
  </w:footnote>
  <w:footnote w:id="13">
    <w:p w14:paraId="14B9C2B9" w14:textId="4A0E1C98"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Ibid at 118D-E.</w:t>
      </w:r>
    </w:p>
  </w:footnote>
  <w:footnote w:id="14">
    <w:p w14:paraId="380B6E7C" w14:textId="11F7954A" w:rsidR="00336BC0" w:rsidRPr="0025254F" w:rsidRDefault="00336BC0"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Absa Bank Ltd v Zurich Risk Financing SA Ltd</w:t>
      </w:r>
      <w:r w:rsidRPr="0025254F">
        <w:rPr>
          <w:rFonts w:ascii="Arial" w:hAnsi="Arial" w:cs="Arial"/>
        </w:rPr>
        <w:t xml:space="preserve"> [2009] ZAGPJHC 85 para 5</w:t>
      </w:r>
      <w:r w:rsidR="00A66617" w:rsidRPr="0025254F">
        <w:rPr>
          <w:rFonts w:ascii="Arial" w:hAnsi="Arial" w:cs="Arial"/>
        </w:rPr>
        <w:t xml:space="preserve"> (‘</w:t>
      </w:r>
      <w:r w:rsidR="00A66617" w:rsidRPr="0025254F">
        <w:rPr>
          <w:rFonts w:ascii="Arial" w:hAnsi="Arial" w:cs="Arial"/>
          <w:i/>
        </w:rPr>
        <w:t>Absa</w:t>
      </w:r>
      <w:r w:rsidR="00A66617" w:rsidRPr="0025254F">
        <w:rPr>
          <w:rFonts w:ascii="Arial" w:hAnsi="Arial" w:cs="Arial"/>
        </w:rPr>
        <w:t>’)</w:t>
      </w:r>
      <w:r w:rsidRPr="0025254F">
        <w:rPr>
          <w:rFonts w:ascii="Arial" w:hAnsi="Arial" w:cs="Arial"/>
        </w:rPr>
        <w:t>.</w:t>
      </w:r>
    </w:p>
  </w:footnote>
  <w:footnote w:id="15">
    <w:p w14:paraId="66B11E2C" w14:textId="606D87B6" w:rsidR="003B15C2" w:rsidRPr="0025254F" w:rsidRDefault="003B15C2"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Hermes Ship Chandlers (Pty) Ltd v Caltex Oil (SA) Ltd</w:t>
      </w:r>
      <w:r w:rsidRPr="0025254F">
        <w:rPr>
          <w:rFonts w:ascii="Arial" w:hAnsi="Arial" w:cs="Arial"/>
        </w:rPr>
        <w:t xml:space="preserve"> 1973 (3) SA 263 (D).</w:t>
      </w:r>
    </w:p>
  </w:footnote>
  <w:footnote w:id="16">
    <w:p w14:paraId="1DE36244" w14:textId="31DF39D3" w:rsidR="003B15C2" w:rsidRPr="0025254F" w:rsidRDefault="003B15C2"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Cazalet v Johnson</w:t>
      </w:r>
      <w:r w:rsidRPr="0025254F">
        <w:rPr>
          <w:rFonts w:ascii="Arial" w:hAnsi="Arial" w:cs="Arial"/>
        </w:rPr>
        <w:t xml:space="preserve"> 1914 TPD 142</w:t>
      </w:r>
    </w:p>
  </w:footnote>
  <w:footnote w:id="17">
    <w:p w14:paraId="3DD056DF" w14:textId="0235944D" w:rsidR="003B1FF9" w:rsidRPr="0025254F" w:rsidRDefault="003B1FF9"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r w:rsidRPr="0025254F">
        <w:rPr>
          <w:rFonts w:ascii="Arial" w:hAnsi="Arial" w:cs="Arial"/>
          <w:i/>
        </w:rPr>
        <w:t xml:space="preserve">Caney’s </w:t>
      </w:r>
      <w:r w:rsidRPr="0025254F">
        <w:rPr>
          <w:rFonts w:ascii="Arial" w:hAnsi="Arial" w:cs="Arial"/>
        </w:rPr>
        <w:t>at 26.</w:t>
      </w:r>
    </w:p>
  </w:footnote>
  <w:footnote w:id="18">
    <w:p w14:paraId="6F6172A3" w14:textId="3C1B9E9F" w:rsidR="00AC7DAA" w:rsidRPr="0025254F" w:rsidRDefault="00AC7DAA"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w:t>
      </w:r>
      <w:hyperlink r:id="rId1" w:history="1">
        <w:r w:rsidRPr="0025254F">
          <w:rPr>
            <w:rStyle w:val="Hyperlink"/>
            <w:rFonts w:ascii="Arial" w:hAnsi="Arial" w:cs="Arial"/>
          </w:rPr>
          <w:t>https://en.wikipedia.org/wiki/Duck_test</w:t>
        </w:r>
      </w:hyperlink>
      <w:r w:rsidRPr="0025254F">
        <w:rPr>
          <w:rFonts w:ascii="Arial" w:hAnsi="Arial" w:cs="Arial"/>
        </w:rPr>
        <w:t xml:space="preserve"> (accessed 18 December 2023).</w:t>
      </w:r>
    </w:p>
  </w:footnote>
  <w:footnote w:id="19">
    <w:p w14:paraId="42E1DB4B" w14:textId="4C234986" w:rsidR="00102A55" w:rsidRPr="0025254F" w:rsidRDefault="00102A55" w:rsidP="0025254F">
      <w:pPr>
        <w:pStyle w:val="FootnoteText"/>
        <w:contextualSpacing/>
        <w:jc w:val="both"/>
        <w:rPr>
          <w:rFonts w:ascii="Arial" w:hAnsi="Arial" w:cs="Arial"/>
        </w:rPr>
      </w:pPr>
      <w:r w:rsidRPr="0025254F">
        <w:rPr>
          <w:rStyle w:val="FootnoteReference"/>
          <w:rFonts w:ascii="Arial" w:hAnsi="Arial" w:cs="Arial"/>
        </w:rPr>
        <w:footnoteRef/>
      </w:r>
      <w:r w:rsidRPr="0025254F">
        <w:rPr>
          <w:rFonts w:ascii="Arial" w:hAnsi="Arial" w:cs="Arial"/>
        </w:rPr>
        <w:t xml:space="preserve"> C Hugo ‘Letters of credit and demand guarantees: a tale of two sets of rules of the International Chamber of Commerce’ (2017) 1 </w:t>
      </w:r>
      <w:r w:rsidRPr="0025254F">
        <w:rPr>
          <w:rFonts w:ascii="Arial" w:hAnsi="Arial" w:cs="Arial"/>
          <w:i/>
        </w:rPr>
        <w:t>TSAR</w:t>
      </w:r>
      <w:r w:rsidRPr="0025254F">
        <w:rPr>
          <w:rFonts w:ascii="Arial" w:hAnsi="Arial" w:cs="Arial"/>
        </w:rPr>
        <w:t xml:space="preserve"> </w:t>
      </w:r>
      <w:r w:rsidR="00AA0EFA">
        <w:rPr>
          <w:rFonts w:ascii="Arial" w:hAnsi="Arial" w:cs="Arial"/>
        </w:rPr>
        <w:t xml:space="preserve">1 </w:t>
      </w:r>
      <w:r w:rsidRPr="0025254F">
        <w:rPr>
          <w:rFonts w:ascii="Arial" w:hAnsi="Arial" w:cs="Arial"/>
        </w:rPr>
        <w:t>at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rPr>
      <w:id w:val="-168486521"/>
      <w:docPartObj>
        <w:docPartGallery w:val="Page Numbers (Top of Page)"/>
        <w:docPartUnique/>
      </w:docPartObj>
    </w:sdtPr>
    <w:sdtEndPr>
      <w:rPr>
        <w:noProof/>
      </w:rPr>
    </w:sdtEndPr>
    <w:sdtContent>
      <w:p w14:paraId="2943F65D" w14:textId="5C72B469" w:rsidR="00336BC0" w:rsidRPr="00C46F32" w:rsidRDefault="00336BC0">
        <w:pPr>
          <w:pStyle w:val="Header"/>
          <w:jc w:val="right"/>
          <w:rPr>
            <w:rFonts w:ascii="Arial" w:hAnsi="Arial" w:cs="Arial"/>
            <w:sz w:val="24"/>
          </w:rPr>
        </w:pPr>
        <w:r w:rsidRPr="00C46F32">
          <w:rPr>
            <w:rFonts w:ascii="Arial" w:hAnsi="Arial" w:cs="Arial"/>
            <w:sz w:val="24"/>
          </w:rPr>
          <w:fldChar w:fldCharType="begin"/>
        </w:r>
        <w:r w:rsidRPr="00C46F32">
          <w:rPr>
            <w:rFonts w:ascii="Arial" w:hAnsi="Arial" w:cs="Arial"/>
            <w:sz w:val="24"/>
          </w:rPr>
          <w:instrText xml:space="preserve"> PAGE   \* MERGEFORMAT </w:instrText>
        </w:r>
        <w:r w:rsidRPr="00C46F32">
          <w:rPr>
            <w:rFonts w:ascii="Arial" w:hAnsi="Arial" w:cs="Arial"/>
            <w:sz w:val="24"/>
          </w:rPr>
          <w:fldChar w:fldCharType="separate"/>
        </w:r>
        <w:r w:rsidR="00A8447D">
          <w:rPr>
            <w:rFonts w:ascii="Arial" w:hAnsi="Arial" w:cs="Arial"/>
            <w:noProof/>
            <w:sz w:val="24"/>
          </w:rPr>
          <w:t>11</w:t>
        </w:r>
        <w:r w:rsidRPr="00C46F32">
          <w:rPr>
            <w:rFonts w:ascii="Arial" w:hAnsi="Arial" w:cs="Arial"/>
            <w:noProof/>
            <w:sz w:val="24"/>
          </w:rPr>
          <w:fldChar w:fldCharType="end"/>
        </w:r>
      </w:p>
    </w:sdtContent>
  </w:sdt>
  <w:p w14:paraId="2F4F042F" w14:textId="77777777" w:rsidR="00336BC0" w:rsidRDefault="0033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BB8"/>
    <w:multiLevelType w:val="hybridMultilevel"/>
    <w:tmpl w:val="AA620408"/>
    <w:lvl w:ilvl="0" w:tplc="81BC807C">
      <w:start w:val="1"/>
      <w:numFmt w:val="lowerRoman"/>
      <w:lvlText w:val="(%1)"/>
      <w:lvlJc w:val="left"/>
      <w:pPr>
        <w:ind w:left="1146"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97F0EEF"/>
    <w:multiLevelType w:val="hybridMultilevel"/>
    <w:tmpl w:val="71E28E5A"/>
    <w:lvl w:ilvl="0" w:tplc="8ECC9AE4">
      <w:start w:val="1"/>
      <w:numFmt w:val="decimal"/>
      <w:lvlText w:val="[%1]"/>
      <w:lvlJc w:val="left"/>
      <w:pPr>
        <w:ind w:left="720" w:hanging="360"/>
      </w:pPr>
      <w:rPr>
        <w:rFonts w:hint="default"/>
        <w:b w:val="0"/>
      </w:rPr>
    </w:lvl>
    <w:lvl w:ilvl="1" w:tplc="A238E994">
      <w:start w:val="1"/>
      <w:numFmt w:val="lowerLetter"/>
      <w:lvlText w:val="(%2)"/>
      <w:lvlJc w:val="left"/>
      <w:pPr>
        <w:ind w:left="1440" w:hanging="360"/>
      </w:pPr>
      <w:rPr>
        <w:rFonts w:hint="default"/>
      </w:rPr>
    </w:lvl>
    <w:lvl w:ilvl="2" w:tplc="161E016C">
      <w:start w:val="1"/>
      <w:numFmt w:val="lowerLetter"/>
      <w:lvlText w:val="(%3)"/>
      <w:lvlJc w:val="left"/>
      <w:pPr>
        <w:ind w:left="2700" w:hanging="720"/>
      </w:pPr>
      <w:rPr>
        <w:rFonts w:hint="default"/>
      </w:rPr>
    </w:lvl>
    <w:lvl w:ilvl="3" w:tplc="DCA41282">
      <w:start w:val="1"/>
      <w:numFmt w:val="lowerLetter"/>
      <w:lvlText w:val="%4)"/>
      <w:lvlJc w:val="left"/>
      <w:pPr>
        <w:ind w:left="3240" w:hanging="720"/>
      </w:pPr>
      <w:rPr>
        <w:rFonts w:hint="default"/>
      </w:rPr>
    </w:lvl>
    <w:lvl w:ilvl="4" w:tplc="4D225E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83E"/>
    <w:multiLevelType w:val="hybridMultilevel"/>
    <w:tmpl w:val="EBEC65CE"/>
    <w:lvl w:ilvl="0" w:tplc="219494F8">
      <w:start w:val="1"/>
      <w:numFmt w:val="decimal"/>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A4F6C8B"/>
    <w:multiLevelType w:val="multilevel"/>
    <w:tmpl w:val="D7B497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B05E38"/>
    <w:multiLevelType w:val="hybridMultilevel"/>
    <w:tmpl w:val="AE4AF8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0E6A6B"/>
    <w:multiLevelType w:val="hybridMultilevel"/>
    <w:tmpl w:val="6736166A"/>
    <w:lvl w:ilvl="0" w:tplc="07D27CA6">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49055E6"/>
    <w:multiLevelType w:val="hybridMultilevel"/>
    <w:tmpl w:val="CFF0E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733469"/>
    <w:multiLevelType w:val="hybridMultilevel"/>
    <w:tmpl w:val="DB387604"/>
    <w:lvl w:ilvl="0" w:tplc="E6DE830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F32290"/>
    <w:multiLevelType w:val="multilevel"/>
    <w:tmpl w:val="3B220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0F5831"/>
    <w:multiLevelType w:val="hybridMultilevel"/>
    <w:tmpl w:val="43F0E548"/>
    <w:lvl w:ilvl="0" w:tplc="F6B063C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24B5595"/>
    <w:multiLevelType w:val="hybridMultilevel"/>
    <w:tmpl w:val="AA1099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B4411D"/>
    <w:multiLevelType w:val="hybridMultilevel"/>
    <w:tmpl w:val="71E019C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B1D36A9"/>
    <w:multiLevelType w:val="hybridMultilevel"/>
    <w:tmpl w:val="B07AC0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78367C5"/>
    <w:multiLevelType w:val="hybridMultilevel"/>
    <w:tmpl w:val="225472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8C49E5"/>
    <w:multiLevelType w:val="hybridMultilevel"/>
    <w:tmpl w:val="BFDCD98E"/>
    <w:lvl w:ilvl="0" w:tplc="C7BAAAA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6BB3B4F"/>
    <w:multiLevelType w:val="hybridMultilevel"/>
    <w:tmpl w:val="0782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9A325D7"/>
    <w:multiLevelType w:val="hybridMultilevel"/>
    <w:tmpl w:val="CEF2D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DCD6B69"/>
    <w:multiLevelType w:val="multilevel"/>
    <w:tmpl w:val="CFCA2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CC201B"/>
    <w:multiLevelType w:val="hybridMultilevel"/>
    <w:tmpl w:val="A8646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5B114C"/>
    <w:multiLevelType w:val="hybridMultilevel"/>
    <w:tmpl w:val="0B5E6E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F702FB0"/>
    <w:multiLevelType w:val="hybridMultilevel"/>
    <w:tmpl w:val="0D4456E4"/>
    <w:lvl w:ilvl="0" w:tplc="8A22B6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2"/>
  </w:num>
  <w:num w:numId="3">
    <w:abstractNumId w:val="4"/>
  </w:num>
  <w:num w:numId="4">
    <w:abstractNumId w:val="2"/>
  </w:num>
  <w:num w:numId="5">
    <w:abstractNumId w:val="5"/>
  </w:num>
  <w:num w:numId="6">
    <w:abstractNumId w:val="6"/>
  </w:num>
  <w:num w:numId="7">
    <w:abstractNumId w:val="14"/>
  </w:num>
  <w:num w:numId="8">
    <w:abstractNumId w:val="9"/>
  </w:num>
  <w:num w:numId="9">
    <w:abstractNumId w:val="0"/>
  </w:num>
  <w:num w:numId="10">
    <w:abstractNumId w:val="19"/>
  </w:num>
  <w:num w:numId="11">
    <w:abstractNumId w:val="10"/>
  </w:num>
  <w:num w:numId="12">
    <w:abstractNumId w:val="16"/>
  </w:num>
  <w:num w:numId="13">
    <w:abstractNumId w:val="15"/>
  </w:num>
  <w:num w:numId="14">
    <w:abstractNumId w:val="13"/>
  </w:num>
  <w:num w:numId="15">
    <w:abstractNumId w:val="11"/>
  </w:num>
  <w:num w:numId="16">
    <w:abstractNumId w:val="8"/>
  </w:num>
  <w:num w:numId="17">
    <w:abstractNumId w:val="3"/>
  </w:num>
  <w:num w:numId="18">
    <w:abstractNumId w:val="1"/>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E7"/>
    <w:rsid w:val="000006BC"/>
    <w:rsid w:val="00002593"/>
    <w:rsid w:val="000075E5"/>
    <w:rsid w:val="0001086C"/>
    <w:rsid w:val="00010DE6"/>
    <w:rsid w:val="0001195A"/>
    <w:rsid w:val="00017500"/>
    <w:rsid w:val="00020E95"/>
    <w:rsid w:val="000254A4"/>
    <w:rsid w:val="00027ADC"/>
    <w:rsid w:val="00030231"/>
    <w:rsid w:val="000312C6"/>
    <w:rsid w:val="00033303"/>
    <w:rsid w:val="000346E3"/>
    <w:rsid w:val="000348A2"/>
    <w:rsid w:val="000349BD"/>
    <w:rsid w:val="00034B95"/>
    <w:rsid w:val="00034BBE"/>
    <w:rsid w:val="000360E1"/>
    <w:rsid w:val="000402A1"/>
    <w:rsid w:val="00041B16"/>
    <w:rsid w:val="00041D3F"/>
    <w:rsid w:val="00042786"/>
    <w:rsid w:val="00043E1D"/>
    <w:rsid w:val="000450C3"/>
    <w:rsid w:val="0004793D"/>
    <w:rsid w:val="00051A9C"/>
    <w:rsid w:val="0005383F"/>
    <w:rsid w:val="000554D0"/>
    <w:rsid w:val="00056FC5"/>
    <w:rsid w:val="00063096"/>
    <w:rsid w:val="0006503D"/>
    <w:rsid w:val="0006638C"/>
    <w:rsid w:val="00070CA8"/>
    <w:rsid w:val="00071074"/>
    <w:rsid w:val="00073764"/>
    <w:rsid w:val="000760DF"/>
    <w:rsid w:val="00087AEA"/>
    <w:rsid w:val="000936AC"/>
    <w:rsid w:val="0009771D"/>
    <w:rsid w:val="000A5B33"/>
    <w:rsid w:val="000A64BF"/>
    <w:rsid w:val="000B1257"/>
    <w:rsid w:val="000B4FE7"/>
    <w:rsid w:val="000B511C"/>
    <w:rsid w:val="000B5CAF"/>
    <w:rsid w:val="000C605F"/>
    <w:rsid w:val="000C7019"/>
    <w:rsid w:val="000C744C"/>
    <w:rsid w:val="000E069B"/>
    <w:rsid w:val="000E50D6"/>
    <w:rsid w:val="000E5D16"/>
    <w:rsid w:val="000E6D19"/>
    <w:rsid w:val="000F15E3"/>
    <w:rsid w:val="000F68C6"/>
    <w:rsid w:val="001024D3"/>
    <w:rsid w:val="00102A55"/>
    <w:rsid w:val="00104586"/>
    <w:rsid w:val="00106675"/>
    <w:rsid w:val="001139C1"/>
    <w:rsid w:val="001152AF"/>
    <w:rsid w:val="00115AE3"/>
    <w:rsid w:val="00121421"/>
    <w:rsid w:val="00121677"/>
    <w:rsid w:val="00121FFE"/>
    <w:rsid w:val="0012447C"/>
    <w:rsid w:val="00125CFA"/>
    <w:rsid w:val="0012610D"/>
    <w:rsid w:val="00130748"/>
    <w:rsid w:val="001327A6"/>
    <w:rsid w:val="00135399"/>
    <w:rsid w:val="00137988"/>
    <w:rsid w:val="00141A82"/>
    <w:rsid w:val="00142614"/>
    <w:rsid w:val="0014449E"/>
    <w:rsid w:val="00144F2B"/>
    <w:rsid w:val="00155070"/>
    <w:rsid w:val="00160262"/>
    <w:rsid w:val="0016168D"/>
    <w:rsid w:val="00162C92"/>
    <w:rsid w:val="001646FF"/>
    <w:rsid w:val="00164E1D"/>
    <w:rsid w:val="0016509A"/>
    <w:rsid w:val="001651F4"/>
    <w:rsid w:val="001679AC"/>
    <w:rsid w:val="001738A8"/>
    <w:rsid w:val="00173C33"/>
    <w:rsid w:val="00176B1E"/>
    <w:rsid w:val="0018188B"/>
    <w:rsid w:val="00182EEB"/>
    <w:rsid w:val="00185A9B"/>
    <w:rsid w:val="00187994"/>
    <w:rsid w:val="0019112A"/>
    <w:rsid w:val="0019482E"/>
    <w:rsid w:val="001A1F69"/>
    <w:rsid w:val="001A4587"/>
    <w:rsid w:val="001A5DFF"/>
    <w:rsid w:val="001A6A14"/>
    <w:rsid w:val="001B1A6F"/>
    <w:rsid w:val="001B1AF8"/>
    <w:rsid w:val="001B6FED"/>
    <w:rsid w:val="001C1E44"/>
    <w:rsid w:val="001C248B"/>
    <w:rsid w:val="001C35CA"/>
    <w:rsid w:val="001C5ED0"/>
    <w:rsid w:val="001D277F"/>
    <w:rsid w:val="001D7952"/>
    <w:rsid w:val="001E0C5E"/>
    <w:rsid w:val="001E0CEE"/>
    <w:rsid w:val="001E14AA"/>
    <w:rsid w:val="001E3D8C"/>
    <w:rsid w:val="001E52AC"/>
    <w:rsid w:val="001E798A"/>
    <w:rsid w:val="001F0217"/>
    <w:rsid w:val="001F2F59"/>
    <w:rsid w:val="001F4014"/>
    <w:rsid w:val="001F40F3"/>
    <w:rsid w:val="001F4513"/>
    <w:rsid w:val="001F5DC0"/>
    <w:rsid w:val="0020168D"/>
    <w:rsid w:val="00201B73"/>
    <w:rsid w:val="0020351D"/>
    <w:rsid w:val="00204234"/>
    <w:rsid w:val="002048DA"/>
    <w:rsid w:val="00204E5E"/>
    <w:rsid w:val="00207FE3"/>
    <w:rsid w:val="00211AD4"/>
    <w:rsid w:val="002120D6"/>
    <w:rsid w:val="0021472C"/>
    <w:rsid w:val="002200F9"/>
    <w:rsid w:val="00222C0E"/>
    <w:rsid w:val="002245BD"/>
    <w:rsid w:val="002256D3"/>
    <w:rsid w:val="002275A7"/>
    <w:rsid w:val="00227A69"/>
    <w:rsid w:val="0023096A"/>
    <w:rsid w:val="00230C3F"/>
    <w:rsid w:val="00234C8D"/>
    <w:rsid w:val="0023521C"/>
    <w:rsid w:val="00235861"/>
    <w:rsid w:val="00240CE1"/>
    <w:rsid w:val="00241114"/>
    <w:rsid w:val="00242296"/>
    <w:rsid w:val="00242331"/>
    <w:rsid w:val="00242829"/>
    <w:rsid w:val="002467DF"/>
    <w:rsid w:val="002510A7"/>
    <w:rsid w:val="002520ED"/>
    <w:rsid w:val="0025254F"/>
    <w:rsid w:val="002535F6"/>
    <w:rsid w:val="002538D7"/>
    <w:rsid w:val="00254FC1"/>
    <w:rsid w:val="00257A9E"/>
    <w:rsid w:val="002605EB"/>
    <w:rsid w:val="00260BF4"/>
    <w:rsid w:val="00261DA8"/>
    <w:rsid w:val="00262764"/>
    <w:rsid w:val="002642E5"/>
    <w:rsid w:val="002644AA"/>
    <w:rsid w:val="00264D83"/>
    <w:rsid w:val="0027417D"/>
    <w:rsid w:val="00275058"/>
    <w:rsid w:val="00276A49"/>
    <w:rsid w:val="00276BB3"/>
    <w:rsid w:val="00280350"/>
    <w:rsid w:val="0028098C"/>
    <w:rsid w:val="00281188"/>
    <w:rsid w:val="00283A46"/>
    <w:rsid w:val="00284D17"/>
    <w:rsid w:val="00291309"/>
    <w:rsid w:val="00294299"/>
    <w:rsid w:val="00294848"/>
    <w:rsid w:val="00294AE9"/>
    <w:rsid w:val="0029652C"/>
    <w:rsid w:val="00296B2A"/>
    <w:rsid w:val="002A084E"/>
    <w:rsid w:val="002A1921"/>
    <w:rsid w:val="002A250C"/>
    <w:rsid w:val="002A3DB5"/>
    <w:rsid w:val="002A5D01"/>
    <w:rsid w:val="002B084A"/>
    <w:rsid w:val="002B74BF"/>
    <w:rsid w:val="002C05C5"/>
    <w:rsid w:val="002C0D4C"/>
    <w:rsid w:val="002C0D7A"/>
    <w:rsid w:val="002C11CB"/>
    <w:rsid w:val="002C2C50"/>
    <w:rsid w:val="002C2DE8"/>
    <w:rsid w:val="002C5677"/>
    <w:rsid w:val="002C5C2A"/>
    <w:rsid w:val="002D2085"/>
    <w:rsid w:val="002D4C3D"/>
    <w:rsid w:val="002D63D6"/>
    <w:rsid w:val="002D73D7"/>
    <w:rsid w:val="002E1F4B"/>
    <w:rsid w:val="002F2845"/>
    <w:rsid w:val="002F64F0"/>
    <w:rsid w:val="002F6F70"/>
    <w:rsid w:val="00304ED5"/>
    <w:rsid w:val="003121BF"/>
    <w:rsid w:val="00313A3B"/>
    <w:rsid w:val="003143E5"/>
    <w:rsid w:val="00315125"/>
    <w:rsid w:val="0031554E"/>
    <w:rsid w:val="00315FB9"/>
    <w:rsid w:val="0031700A"/>
    <w:rsid w:val="00317078"/>
    <w:rsid w:val="0031722F"/>
    <w:rsid w:val="00320668"/>
    <w:rsid w:val="00320EB8"/>
    <w:rsid w:val="003217D5"/>
    <w:rsid w:val="00322424"/>
    <w:rsid w:val="00330922"/>
    <w:rsid w:val="00333BDF"/>
    <w:rsid w:val="00336BC0"/>
    <w:rsid w:val="0034121E"/>
    <w:rsid w:val="00342AE0"/>
    <w:rsid w:val="00344637"/>
    <w:rsid w:val="00350AC7"/>
    <w:rsid w:val="00350FAF"/>
    <w:rsid w:val="00356365"/>
    <w:rsid w:val="0036073F"/>
    <w:rsid w:val="00360958"/>
    <w:rsid w:val="00360B39"/>
    <w:rsid w:val="00361ACA"/>
    <w:rsid w:val="003632F5"/>
    <w:rsid w:val="003636B1"/>
    <w:rsid w:val="003647F6"/>
    <w:rsid w:val="00370384"/>
    <w:rsid w:val="00372B44"/>
    <w:rsid w:val="00385A8A"/>
    <w:rsid w:val="00386161"/>
    <w:rsid w:val="003875A3"/>
    <w:rsid w:val="00387C8E"/>
    <w:rsid w:val="0039547C"/>
    <w:rsid w:val="0039555C"/>
    <w:rsid w:val="003A0407"/>
    <w:rsid w:val="003A2AD2"/>
    <w:rsid w:val="003A32FC"/>
    <w:rsid w:val="003A3963"/>
    <w:rsid w:val="003A4727"/>
    <w:rsid w:val="003A4DC5"/>
    <w:rsid w:val="003A5098"/>
    <w:rsid w:val="003A743A"/>
    <w:rsid w:val="003B15C2"/>
    <w:rsid w:val="003B16B2"/>
    <w:rsid w:val="003B1C3E"/>
    <w:rsid w:val="003B1FF9"/>
    <w:rsid w:val="003B41C1"/>
    <w:rsid w:val="003B448C"/>
    <w:rsid w:val="003B74D9"/>
    <w:rsid w:val="003B76F0"/>
    <w:rsid w:val="003B7830"/>
    <w:rsid w:val="003C10C2"/>
    <w:rsid w:val="003C425E"/>
    <w:rsid w:val="003C4E37"/>
    <w:rsid w:val="003D1AA5"/>
    <w:rsid w:val="003D1D5E"/>
    <w:rsid w:val="003D4212"/>
    <w:rsid w:val="003D6FF4"/>
    <w:rsid w:val="003E30F2"/>
    <w:rsid w:val="003E43FF"/>
    <w:rsid w:val="003E4826"/>
    <w:rsid w:val="003E5D9D"/>
    <w:rsid w:val="003F036D"/>
    <w:rsid w:val="003F0AA4"/>
    <w:rsid w:val="003F130E"/>
    <w:rsid w:val="003F1A8A"/>
    <w:rsid w:val="003F37EB"/>
    <w:rsid w:val="003F4355"/>
    <w:rsid w:val="003F44C8"/>
    <w:rsid w:val="004001DF"/>
    <w:rsid w:val="00400DB9"/>
    <w:rsid w:val="00406FDE"/>
    <w:rsid w:val="00407B81"/>
    <w:rsid w:val="00410747"/>
    <w:rsid w:val="00411237"/>
    <w:rsid w:val="00411E7A"/>
    <w:rsid w:val="00413C46"/>
    <w:rsid w:val="00421183"/>
    <w:rsid w:val="00421839"/>
    <w:rsid w:val="00421A5C"/>
    <w:rsid w:val="00422118"/>
    <w:rsid w:val="00422C7A"/>
    <w:rsid w:val="004240F0"/>
    <w:rsid w:val="004249C6"/>
    <w:rsid w:val="00424DE6"/>
    <w:rsid w:val="0042692A"/>
    <w:rsid w:val="004270E2"/>
    <w:rsid w:val="004274CE"/>
    <w:rsid w:val="004277E2"/>
    <w:rsid w:val="00431F2A"/>
    <w:rsid w:val="00434A98"/>
    <w:rsid w:val="0043696B"/>
    <w:rsid w:val="00442650"/>
    <w:rsid w:val="004442A5"/>
    <w:rsid w:val="00447694"/>
    <w:rsid w:val="00447A04"/>
    <w:rsid w:val="00450E19"/>
    <w:rsid w:val="00451EE0"/>
    <w:rsid w:val="0045605A"/>
    <w:rsid w:val="00457758"/>
    <w:rsid w:val="00462984"/>
    <w:rsid w:val="00463067"/>
    <w:rsid w:val="00465983"/>
    <w:rsid w:val="0047169E"/>
    <w:rsid w:val="00471B19"/>
    <w:rsid w:val="00472C25"/>
    <w:rsid w:val="00475DB6"/>
    <w:rsid w:val="00475EBB"/>
    <w:rsid w:val="0047620D"/>
    <w:rsid w:val="0047707D"/>
    <w:rsid w:val="00481E37"/>
    <w:rsid w:val="00483909"/>
    <w:rsid w:val="004864BB"/>
    <w:rsid w:val="00486B2C"/>
    <w:rsid w:val="004876B6"/>
    <w:rsid w:val="004908BB"/>
    <w:rsid w:val="00493803"/>
    <w:rsid w:val="004949BC"/>
    <w:rsid w:val="00495664"/>
    <w:rsid w:val="004960CB"/>
    <w:rsid w:val="004971FF"/>
    <w:rsid w:val="004A355B"/>
    <w:rsid w:val="004A3DDF"/>
    <w:rsid w:val="004A6D81"/>
    <w:rsid w:val="004B25E1"/>
    <w:rsid w:val="004B2BFF"/>
    <w:rsid w:val="004B3D10"/>
    <w:rsid w:val="004B454F"/>
    <w:rsid w:val="004B7EE1"/>
    <w:rsid w:val="004C00B7"/>
    <w:rsid w:val="004C047D"/>
    <w:rsid w:val="004C0D6B"/>
    <w:rsid w:val="004C10F7"/>
    <w:rsid w:val="004C3B68"/>
    <w:rsid w:val="004C43FE"/>
    <w:rsid w:val="004D0C5A"/>
    <w:rsid w:val="004D1D3B"/>
    <w:rsid w:val="004D493D"/>
    <w:rsid w:val="004D55C3"/>
    <w:rsid w:val="004D6BFC"/>
    <w:rsid w:val="004D72A1"/>
    <w:rsid w:val="004D750B"/>
    <w:rsid w:val="004E01E7"/>
    <w:rsid w:val="004E026F"/>
    <w:rsid w:val="004E4F26"/>
    <w:rsid w:val="004F1431"/>
    <w:rsid w:val="004F1EF7"/>
    <w:rsid w:val="004F2757"/>
    <w:rsid w:val="004F3C27"/>
    <w:rsid w:val="004F6500"/>
    <w:rsid w:val="0050064F"/>
    <w:rsid w:val="005015FC"/>
    <w:rsid w:val="00506051"/>
    <w:rsid w:val="005071DB"/>
    <w:rsid w:val="00511FA9"/>
    <w:rsid w:val="00513D32"/>
    <w:rsid w:val="005155D1"/>
    <w:rsid w:val="00517159"/>
    <w:rsid w:val="00517ED5"/>
    <w:rsid w:val="00520248"/>
    <w:rsid w:val="00522135"/>
    <w:rsid w:val="005252EC"/>
    <w:rsid w:val="00526D3C"/>
    <w:rsid w:val="00531A59"/>
    <w:rsid w:val="00536F9D"/>
    <w:rsid w:val="00541A6E"/>
    <w:rsid w:val="005443C8"/>
    <w:rsid w:val="00546231"/>
    <w:rsid w:val="00551653"/>
    <w:rsid w:val="005520F9"/>
    <w:rsid w:val="005533EB"/>
    <w:rsid w:val="005537AD"/>
    <w:rsid w:val="005538E2"/>
    <w:rsid w:val="00555DE8"/>
    <w:rsid w:val="0055610A"/>
    <w:rsid w:val="0056099B"/>
    <w:rsid w:val="005670B2"/>
    <w:rsid w:val="00571BAC"/>
    <w:rsid w:val="00577BD3"/>
    <w:rsid w:val="005837C5"/>
    <w:rsid w:val="00584BAD"/>
    <w:rsid w:val="00585072"/>
    <w:rsid w:val="00586574"/>
    <w:rsid w:val="00593B2E"/>
    <w:rsid w:val="00595C86"/>
    <w:rsid w:val="00596D1C"/>
    <w:rsid w:val="005A2526"/>
    <w:rsid w:val="005A2901"/>
    <w:rsid w:val="005B1811"/>
    <w:rsid w:val="005B186A"/>
    <w:rsid w:val="005B1DF9"/>
    <w:rsid w:val="005B775F"/>
    <w:rsid w:val="005C1BF3"/>
    <w:rsid w:val="005C3733"/>
    <w:rsid w:val="005C5EAA"/>
    <w:rsid w:val="005C615D"/>
    <w:rsid w:val="005C6469"/>
    <w:rsid w:val="005D00EB"/>
    <w:rsid w:val="005D0F03"/>
    <w:rsid w:val="005D189B"/>
    <w:rsid w:val="005D1C17"/>
    <w:rsid w:val="005D2A4B"/>
    <w:rsid w:val="005D3D55"/>
    <w:rsid w:val="005D5CAA"/>
    <w:rsid w:val="005D650F"/>
    <w:rsid w:val="005D7A28"/>
    <w:rsid w:val="005E3A5C"/>
    <w:rsid w:val="005E3AEF"/>
    <w:rsid w:val="005E5047"/>
    <w:rsid w:val="005E7917"/>
    <w:rsid w:val="005F36D8"/>
    <w:rsid w:val="005F3D00"/>
    <w:rsid w:val="005F582F"/>
    <w:rsid w:val="005F6C3F"/>
    <w:rsid w:val="00601108"/>
    <w:rsid w:val="00601A41"/>
    <w:rsid w:val="00605FC7"/>
    <w:rsid w:val="006066FB"/>
    <w:rsid w:val="00610264"/>
    <w:rsid w:val="00611140"/>
    <w:rsid w:val="0061294C"/>
    <w:rsid w:val="006145BC"/>
    <w:rsid w:val="00625A2F"/>
    <w:rsid w:val="00627089"/>
    <w:rsid w:val="006309C3"/>
    <w:rsid w:val="00633372"/>
    <w:rsid w:val="00633841"/>
    <w:rsid w:val="00633DA0"/>
    <w:rsid w:val="0063525C"/>
    <w:rsid w:val="00636027"/>
    <w:rsid w:val="00636BAB"/>
    <w:rsid w:val="00637390"/>
    <w:rsid w:val="00641EE3"/>
    <w:rsid w:val="0064322F"/>
    <w:rsid w:val="00646C45"/>
    <w:rsid w:val="0064772E"/>
    <w:rsid w:val="00656167"/>
    <w:rsid w:val="006602F6"/>
    <w:rsid w:val="00660898"/>
    <w:rsid w:val="00661C7B"/>
    <w:rsid w:val="00664A15"/>
    <w:rsid w:val="00664E7D"/>
    <w:rsid w:val="00666D7B"/>
    <w:rsid w:val="00672E47"/>
    <w:rsid w:val="00674A73"/>
    <w:rsid w:val="0067789E"/>
    <w:rsid w:val="0068230C"/>
    <w:rsid w:val="00682D6F"/>
    <w:rsid w:val="00684B4F"/>
    <w:rsid w:val="00684FD0"/>
    <w:rsid w:val="00693262"/>
    <w:rsid w:val="006965B5"/>
    <w:rsid w:val="0069732A"/>
    <w:rsid w:val="006A04F3"/>
    <w:rsid w:val="006A1F1E"/>
    <w:rsid w:val="006A4777"/>
    <w:rsid w:val="006A674C"/>
    <w:rsid w:val="006B1808"/>
    <w:rsid w:val="006B3843"/>
    <w:rsid w:val="006B48B9"/>
    <w:rsid w:val="006B6546"/>
    <w:rsid w:val="006B76E3"/>
    <w:rsid w:val="006C2768"/>
    <w:rsid w:val="006C3496"/>
    <w:rsid w:val="006C764F"/>
    <w:rsid w:val="006D1B34"/>
    <w:rsid w:val="006D36D7"/>
    <w:rsid w:val="006D3922"/>
    <w:rsid w:val="006D5BF0"/>
    <w:rsid w:val="006E2453"/>
    <w:rsid w:val="006E2BF3"/>
    <w:rsid w:val="006E6AC3"/>
    <w:rsid w:val="006F1C59"/>
    <w:rsid w:val="006F2716"/>
    <w:rsid w:val="006F2DC4"/>
    <w:rsid w:val="006F470E"/>
    <w:rsid w:val="006F4BD4"/>
    <w:rsid w:val="006F4E18"/>
    <w:rsid w:val="006F62E8"/>
    <w:rsid w:val="007001BF"/>
    <w:rsid w:val="00700558"/>
    <w:rsid w:val="00701AF3"/>
    <w:rsid w:val="00701B88"/>
    <w:rsid w:val="00701FE3"/>
    <w:rsid w:val="00702071"/>
    <w:rsid w:val="00703815"/>
    <w:rsid w:val="00706DBA"/>
    <w:rsid w:val="00710BA7"/>
    <w:rsid w:val="00717420"/>
    <w:rsid w:val="00717AF1"/>
    <w:rsid w:val="007217FB"/>
    <w:rsid w:val="00721DA0"/>
    <w:rsid w:val="00724F8E"/>
    <w:rsid w:val="00731AED"/>
    <w:rsid w:val="0073239B"/>
    <w:rsid w:val="00733E80"/>
    <w:rsid w:val="007343E7"/>
    <w:rsid w:val="00736ABA"/>
    <w:rsid w:val="007370FD"/>
    <w:rsid w:val="00737BF6"/>
    <w:rsid w:val="00737EB6"/>
    <w:rsid w:val="00740566"/>
    <w:rsid w:val="007411A7"/>
    <w:rsid w:val="007423B8"/>
    <w:rsid w:val="0074622C"/>
    <w:rsid w:val="00746A02"/>
    <w:rsid w:val="00746A97"/>
    <w:rsid w:val="00747361"/>
    <w:rsid w:val="00751B75"/>
    <w:rsid w:val="00753E3A"/>
    <w:rsid w:val="00756998"/>
    <w:rsid w:val="00756FE3"/>
    <w:rsid w:val="0075798B"/>
    <w:rsid w:val="00757B0E"/>
    <w:rsid w:val="00760CE0"/>
    <w:rsid w:val="007633A3"/>
    <w:rsid w:val="00763797"/>
    <w:rsid w:val="007670ED"/>
    <w:rsid w:val="00773D4E"/>
    <w:rsid w:val="0077458C"/>
    <w:rsid w:val="00777A9F"/>
    <w:rsid w:val="00781F8A"/>
    <w:rsid w:val="00783EDA"/>
    <w:rsid w:val="007840A3"/>
    <w:rsid w:val="007917F1"/>
    <w:rsid w:val="0079608F"/>
    <w:rsid w:val="00796A12"/>
    <w:rsid w:val="007973B3"/>
    <w:rsid w:val="00797E2A"/>
    <w:rsid w:val="007A2FA1"/>
    <w:rsid w:val="007A58AA"/>
    <w:rsid w:val="007B04D9"/>
    <w:rsid w:val="007B1365"/>
    <w:rsid w:val="007B38F4"/>
    <w:rsid w:val="007B42AE"/>
    <w:rsid w:val="007B48AC"/>
    <w:rsid w:val="007B4D8F"/>
    <w:rsid w:val="007C0C95"/>
    <w:rsid w:val="007C1BE7"/>
    <w:rsid w:val="007C3C20"/>
    <w:rsid w:val="007C4428"/>
    <w:rsid w:val="007C4F51"/>
    <w:rsid w:val="007C5D6B"/>
    <w:rsid w:val="007C6654"/>
    <w:rsid w:val="007C6716"/>
    <w:rsid w:val="007D2121"/>
    <w:rsid w:val="007D3088"/>
    <w:rsid w:val="007D32D6"/>
    <w:rsid w:val="007D526B"/>
    <w:rsid w:val="007D59C5"/>
    <w:rsid w:val="007E124E"/>
    <w:rsid w:val="007E1CBF"/>
    <w:rsid w:val="007E3972"/>
    <w:rsid w:val="007E7162"/>
    <w:rsid w:val="007F13BB"/>
    <w:rsid w:val="007F16F1"/>
    <w:rsid w:val="007F1A47"/>
    <w:rsid w:val="007F20A4"/>
    <w:rsid w:val="007F4DEA"/>
    <w:rsid w:val="00800DDA"/>
    <w:rsid w:val="008011E1"/>
    <w:rsid w:val="00802598"/>
    <w:rsid w:val="00803A20"/>
    <w:rsid w:val="00803F36"/>
    <w:rsid w:val="008069CF"/>
    <w:rsid w:val="008073A0"/>
    <w:rsid w:val="00807E83"/>
    <w:rsid w:val="008115A9"/>
    <w:rsid w:val="008137E2"/>
    <w:rsid w:val="00813EBB"/>
    <w:rsid w:val="0081455E"/>
    <w:rsid w:val="00823258"/>
    <w:rsid w:val="00826F36"/>
    <w:rsid w:val="0082763F"/>
    <w:rsid w:val="00827FC8"/>
    <w:rsid w:val="00841498"/>
    <w:rsid w:val="008427B4"/>
    <w:rsid w:val="00843299"/>
    <w:rsid w:val="00844076"/>
    <w:rsid w:val="008510C9"/>
    <w:rsid w:val="00852BC1"/>
    <w:rsid w:val="008601F7"/>
    <w:rsid w:val="00860788"/>
    <w:rsid w:val="00860E2B"/>
    <w:rsid w:val="00863CFB"/>
    <w:rsid w:val="008659C2"/>
    <w:rsid w:val="008678CE"/>
    <w:rsid w:val="00867A24"/>
    <w:rsid w:val="0087180F"/>
    <w:rsid w:val="00871947"/>
    <w:rsid w:val="00873517"/>
    <w:rsid w:val="00874B83"/>
    <w:rsid w:val="00874DE1"/>
    <w:rsid w:val="00880FCE"/>
    <w:rsid w:val="008851FB"/>
    <w:rsid w:val="008863C2"/>
    <w:rsid w:val="00890BBC"/>
    <w:rsid w:val="008916F6"/>
    <w:rsid w:val="00892C5A"/>
    <w:rsid w:val="00894630"/>
    <w:rsid w:val="00894C11"/>
    <w:rsid w:val="00897BA5"/>
    <w:rsid w:val="008A0F4F"/>
    <w:rsid w:val="008A361F"/>
    <w:rsid w:val="008A495C"/>
    <w:rsid w:val="008A5BEF"/>
    <w:rsid w:val="008A714E"/>
    <w:rsid w:val="008A754E"/>
    <w:rsid w:val="008B0FA7"/>
    <w:rsid w:val="008B564F"/>
    <w:rsid w:val="008B5AEA"/>
    <w:rsid w:val="008D5224"/>
    <w:rsid w:val="008E0648"/>
    <w:rsid w:val="008E20E6"/>
    <w:rsid w:val="008E489C"/>
    <w:rsid w:val="008E5410"/>
    <w:rsid w:val="008E5909"/>
    <w:rsid w:val="008E6A5C"/>
    <w:rsid w:val="008E6AE2"/>
    <w:rsid w:val="008E739F"/>
    <w:rsid w:val="008F01E0"/>
    <w:rsid w:val="008F155E"/>
    <w:rsid w:val="008F21D0"/>
    <w:rsid w:val="008F2562"/>
    <w:rsid w:val="008F4DF3"/>
    <w:rsid w:val="008F6490"/>
    <w:rsid w:val="008F777E"/>
    <w:rsid w:val="0090351D"/>
    <w:rsid w:val="00903BB6"/>
    <w:rsid w:val="009052F1"/>
    <w:rsid w:val="00907379"/>
    <w:rsid w:val="0091026C"/>
    <w:rsid w:val="00911279"/>
    <w:rsid w:val="00911666"/>
    <w:rsid w:val="00911A1A"/>
    <w:rsid w:val="00911A63"/>
    <w:rsid w:val="009140F8"/>
    <w:rsid w:val="00915796"/>
    <w:rsid w:val="00916162"/>
    <w:rsid w:val="00916E9D"/>
    <w:rsid w:val="00923870"/>
    <w:rsid w:val="00923F2A"/>
    <w:rsid w:val="0092424A"/>
    <w:rsid w:val="009261BA"/>
    <w:rsid w:val="00932814"/>
    <w:rsid w:val="0093404C"/>
    <w:rsid w:val="00942531"/>
    <w:rsid w:val="00944020"/>
    <w:rsid w:val="00945232"/>
    <w:rsid w:val="00946A92"/>
    <w:rsid w:val="00951039"/>
    <w:rsid w:val="009547EA"/>
    <w:rsid w:val="00956A82"/>
    <w:rsid w:val="009619F7"/>
    <w:rsid w:val="00964A5D"/>
    <w:rsid w:val="00966687"/>
    <w:rsid w:val="00967207"/>
    <w:rsid w:val="009679AC"/>
    <w:rsid w:val="00967CE7"/>
    <w:rsid w:val="00970885"/>
    <w:rsid w:val="009715F6"/>
    <w:rsid w:val="00972726"/>
    <w:rsid w:val="0097442C"/>
    <w:rsid w:val="00974C88"/>
    <w:rsid w:val="00985EC9"/>
    <w:rsid w:val="0099110C"/>
    <w:rsid w:val="0099189F"/>
    <w:rsid w:val="00993672"/>
    <w:rsid w:val="009943CE"/>
    <w:rsid w:val="009A094D"/>
    <w:rsid w:val="009A2718"/>
    <w:rsid w:val="009A75BA"/>
    <w:rsid w:val="009B67E2"/>
    <w:rsid w:val="009C04A8"/>
    <w:rsid w:val="009C0AB8"/>
    <w:rsid w:val="009C11A9"/>
    <w:rsid w:val="009C50BF"/>
    <w:rsid w:val="009C6724"/>
    <w:rsid w:val="009D2DB8"/>
    <w:rsid w:val="009D5C4C"/>
    <w:rsid w:val="009D5C53"/>
    <w:rsid w:val="009D6B80"/>
    <w:rsid w:val="009D7AB6"/>
    <w:rsid w:val="009D7CB0"/>
    <w:rsid w:val="009E178E"/>
    <w:rsid w:val="009E1A9C"/>
    <w:rsid w:val="009E290B"/>
    <w:rsid w:val="009E2BE3"/>
    <w:rsid w:val="009E316F"/>
    <w:rsid w:val="009E7F67"/>
    <w:rsid w:val="009F39FF"/>
    <w:rsid w:val="00A0007F"/>
    <w:rsid w:val="00A017FB"/>
    <w:rsid w:val="00A019FD"/>
    <w:rsid w:val="00A022C5"/>
    <w:rsid w:val="00A054FB"/>
    <w:rsid w:val="00A06D05"/>
    <w:rsid w:val="00A07303"/>
    <w:rsid w:val="00A1025D"/>
    <w:rsid w:val="00A20F70"/>
    <w:rsid w:val="00A2227D"/>
    <w:rsid w:val="00A22F01"/>
    <w:rsid w:val="00A25399"/>
    <w:rsid w:val="00A258F1"/>
    <w:rsid w:val="00A262C4"/>
    <w:rsid w:val="00A272C5"/>
    <w:rsid w:val="00A36C87"/>
    <w:rsid w:val="00A37381"/>
    <w:rsid w:val="00A42EAD"/>
    <w:rsid w:val="00A45103"/>
    <w:rsid w:val="00A509E6"/>
    <w:rsid w:val="00A53B48"/>
    <w:rsid w:val="00A6152F"/>
    <w:rsid w:val="00A62191"/>
    <w:rsid w:val="00A63ADC"/>
    <w:rsid w:val="00A6455A"/>
    <w:rsid w:val="00A64A49"/>
    <w:rsid w:val="00A65801"/>
    <w:rsid w:val="00A65A4C"/>
    <w:rsid w:val="00A66617"/>
    <w:rsid w:val="00A6747F"/>
    <w:rsid w:val="00A7114A"/>
    <w:rsid w:val="00A7179D"/>
    <w:rsid w:val="00A72D5E"/>
    <w:rsid w:val="00A731CB"/>
    <w:rsid w:val="00A733AE"/>
    <w:rsid w:val="00A75F02"/>
    <w:rsid w:val="00A775CF"/>
    <w:rsid w:val="00A779F0"/>
    <w:rsid w:val="00A77FDB"/>
    <w:rsid w:val="00A80B72"/>
    <w:rsid w:val="00A80CF9"/>
    <w:rsid w:val="00A835A9"/>
    <w:rsid w:val="00A8447D"/>
    <w:rsid w:val="00A862CC"/>
    <w:rsid w:val="00A92C23"/>
    <w:rsid w:val="00A949DD"/>
    <w:rsid w:val="00A96D4B"/>
    <w:rsid w:val="00A974BA"/>
    <w:rsid w:val="00A97F80"/>
    <w:rsid w:val="00AA0EFA"/>
    <w:rsid w:val="00AA1D6D"/>
    <w:rsid w:val="00AA2E24"/>
    <w:rsid w:val="00AA34C5"/>
    <w:rsid w:val="00AA5A80"/>
    <w:rsid w:val="00AA5B0E"/>
    <w:rsid w:val="00AA5F63"/>
    <w:rsid w:val="00AA5F84"/>
    <w:rsid w:val="00AA7198"/>
    <w:rsid w:val="00AA771F"/>
    <w:rsid w:val="00AA7BB3"/>
    <w:rsid w:val="00AB13B9"/>
    <w:rsid w:val="00AB1602"/>
    <w:rsid w:val="00AB5BC3"/>
    <w:rsid w:val="00AB615C"/>
    <w:rsid w:val="00AB6EBC"/>
    <w:rsid w:val="00AC031F"/>
    <w:rsid w:val="00AC13DF"/>
    <w:rsid w:val="00AC1DC7"/>
    <w:rsid w:val="00AC21F6"/>
    <w:rsid w:val="00AC6D28"/>
    <w:rsid w:val="00AC7DAA"/>
    <w:rsid w:val="00AD0A3A"/>
    <w:rsid w:val="00AD23EB"/>
    <w:rsid w:val="00AD41EE"/>
    <w:rsid w:val="00AE1900"/>
    <w:rsid w:val="00AF105D"/>
    <w:rsid w:val="00AF2576"/>
    <w:rsid w:val="00AF2E4C"/>
    <w:rsid w:val="00AF443E"/>
    <w:rsid w:val="00AF767B"/>
    <w:rsid w:val="00B0412D"/>
    <w:rsid w:val="00B042FC"/>
    <w:rsid w:val="00B0468A"/>
    <w:rsid w:val="00B060D5"/>
    <w:rsid w:val="00B06D35"/>
    <w:rsid w:val="00B1012F"/>
    <w:rsid w:val="00B10CB4"/>
    <w:rsid w:val="00B122F4"/>
    <w:rsid w:val="00B1386A"/>
    <w:rsid w:val="00B152FA"/>
    <w:rsid w:val="00B17246"/>
    <w:rsid w:val="00B20655"/>
    <w:rsid w:val="00B21742"/>
    <w:rsid w:val="00B23EA8"/>
    <w:rsid w:val="00B25E4A"/>
    <w:rsid w:val="00B31AD4"/>
    <w:rsid w:val="00B31BB6"/>
    <w:rsid w:val="00B340BD"/>
    <w:rsid w:val="00B45159"/>
    <w:rsid w:val="00B5269F"/>
    <w:rsid w:val="00B52BC8"/>
    <w:rsid w:val="00B55117"/>
    <w:rsid w:val="00B6049E"/>
    <w:rsid w:val="00B65508"/>
    <w:rsid w:val="00B6590D"/>
    <w:rsid w:val="00B667D6"/>
    <w:rsid w:val="00B67917"/>
    <w:rsid w:val="00B72642"/>
    <w:rsid w:val="00B7606E"/>
    <w:rsid w:val="00B814B6"/>
    <w:rsid w:val="00B864B3"/>
    <w:rsid w:val="00B86646"/>
    <w:rsid w:val="00B91077"/>
    <w:rsid w:val="00B91D08"/>
    <w:rsid w:val="00B92B6B"/>
    <w:rsid w:val="00B947D2"/>
    <w:rsid w:val="00B94FC6"/>
    <w:rsid w:val="00B94FCD"/>
    <w:rsid w:val="00B969E5"/>
    <w:rsid w:val="00BA12A8"/>
    <w:rsid w:val="00BA27E5"/>
    <w:rsid w:val="00BA31DC"/>
    <w:rsid w:val="00BA438E"/>
    <w:rsid w:val="00BA5273"/>
    <w:rsid w:val="00BA734D"/>
    <w:rsid w:val="00BA7CC0"/>
    <w:rsid w:val="00BB1690"/>
    <w:rsid w:val="00BB4D86"/>
    <w:rsid w:val="00BB5C9C"/>
    <w:rsid w:val="00BB661B"/>
    <w:rsid w:val="00BB73EA"/>
    <w:rsid w:val="00BC0826"/>
    <w:rsid w:val="00BC1221"/>
    <w:rsid w:val="00BC1F4B"/>
    <w:rsid w:val="00BC3895"/>
    <w:rsid w:val="00BC3D91"/>
    <w:rsid w:val="00BC48DD"/>
    <w:rsid w:val="00BC54DE"/>
    <w:rsid w:val="00BC5F2E"/>
    <w:rsid w:val="00BD0257"/>
    <w:rsid w:val="00BD385B"/>
    <w:rsid w:val="00BD6F2C"/>
    <w:rsid w:val="00BD75C2"/>
    <w:rsid w:val="00BE1346"/>
    <w:rsid w:val="00BE3330"/>
    <w:rsid w:val="00BE3CA2"/>
    <w:rsid w:val="00BE4AFC"/>
    <w:rsid w:val="00BE6335"/>
    <w:rsid w:val="00BF04DA"/>
    <w:rsid w:val="00BF2870"/>
    <w:rsid w:val="00BF4079"/>
    <w:rsid w:val="00C0029C"/>
    <w:rsid w:val="00C0078F"/>
    <w:rsid w:val="00C04A39"/>
    <w:rsid w:val="00C057E9"/>
    <w:rsid w:val="00C059D1"/>
    <w:rsid w:val="00C11DE6"/>
    <w:rsid w:val="00C1219D"/>
    <w:rsid w:val="00C1235C"/>
    <w:rsid w:val="00C12A78"/>
    <w:rsid w:val="00C13E5B"/>
    <w:rsid w:val="00C141E5"/>
    <w:rsid w:val="00C14449"/>
    <w:rsid w:val="00C17F1E"/>
    <w:rsid w:val="00C26100"/>
    <w:rsid w:val="00C3047E"/>
    <w:rsid w:val="00C3480B"/>
    <w:rsid w:val="00C40AD9"/>
    <w:rsid w:val="00C4115C"/>
    <w:rsid w:val="00C4247D"/>
    <w:rsid w:val="00C431CD"/>
    <w:rsid w:val="00C435AD"/>
    <w:rsid w:val="00C4473E"/>
    <w:rsid w:val="00C4651E"/>
    <w:rsid w:val="00C46F32"/>
    <w:rsid w:val="00C479DA"/>
    <w:rsid w:val="00C5063F"/>
    <w:rsid w:val="00C5091F"/>
    <w:rsid w:val="00C5251B"/>
    <w:rsid w:val="00C574C0"/>
    <w:rsid w:val="00C6080B"/>
    <w:rsid w:val="00C67674"/>
    <w:rsid w:val="00C72073"/>
    <w:rsid w:val="00C80685"/>
    <w:rsid w:val="00C80C31"/>
    <w:rsid w:val="00C82F20"/>
    <w:rsid w:val="00C8319D"/>
    <w:rsid w:val="00C84417"/>
    <w:rsid w:val="00C84A03"/>
    <w:rsid w:val="00C902F0"/>
    <w:rsid w:val="00C94FD0"/>
    <w:rsid w:val="00CA437E"/>
    <w:rsid w:val="00CA64CE"/>
    <w:rsid w:val="00CA73C6"/>
    <w:rsid w:val="00CB05B5"/>
    <w:rsid w:val="00CB0628"/>
    <w:rsid w:val="00CB3698"/>
    <w:rsid w:val="00CB3983"/>
    <w:rsid w:val="00CB4146"/>
    <w:rsid w:val="00CB5385"/>
    <w:rsid w:val="00CB6044"/>
    <w:rsid w:val="00CB615F"/>
    <w:rsid w:val="00CB730B"/>
    <w:rsid w:val="00CC0A14"/>
    <w:rsid w:val="00CC64E7"/>
    <w:rsid w:val="00CD3AB9"/>
    <w:rsid w:val="00CE0FD7"/>
    <w:rsid w:val="00CE1FB5"/>
    <w:rsid w:val="00CE61D1"/>
    <w:rsid w:val="00CF1B19"/>
    <w:rsid w:val="00CF41FD"/>
    <w:rsid w:val="00CF49E7"/>
    <w:rsid w:val="00CF6B41"/>
    <w:rsid w:val="00D0256F"/>
    <w:rsid w:val="00D04A6B"/>
    <w:rsid w:val="00D06C4F"/>
    <w:rsid w:val="00D07D35"/>
    <w:rsid w:val="00D07FCA"/>
    <w:rsid w:val="00D122CA"/>
    <w:rsid w:val="00D12F73"/>
    <w:rsid w:val="00D14B21"/>
    <w:rsid w:val="00D14CE1"/>
    <w:rsid w:val="00D20CB9"/>
    <w:rsid w:val="00D2161B"/>
    <w:rsid w:val="00D23B11"/>
    <w:rsid w:val="00D24534"/>
    <w:rsid w:val="00D2799D"/>
    <w:rsid w:val="00D305BC"/>
    <w:rsid w:val="00D31037"/>
    <w:rsid w:val="00D33660"/>
    <w:rsid w:val="00D37C2E"/>
    <w:rsid w:val="00D414BB"/>
    <w:rsid w:val="00D44407"/>
    <w:rsid w:val="00D44D49"/>
    <w:rsid w:val="00D57113"/>
    <w:rsid w:val="00D57899"/>
    <w:rsid w:val="00D634FC"/>
    <w:rsid w:val="00D6626F"/>
    <w:rsid w:val="00D67D0A"/>
    <w:rsid w:val="00D7139C"/>
    <w:rsid w:val="00D71FDF"/>
    <w:rsid w:val="00D72122"/>
    <w:rsid w:val="00D74770"/>
    <w:rsid w:val="00D749F2"/>
    <w:rsid w:val="00D74E72"/>
    <w:rsid w:val="00D81009"/>
    <w:rsid w:val="00D815B9"/>
    <w:rsid w:val="00D827B7"/>
    <w:rsid w:val="00D86890"/>
    <w:rsid w:val="00D86F46"/>
    <w:rsid w:val="00D87B6F"/>
    <w:rsid w:val="00D90D3A"/>
    <w:rsid w:val="00D916E8"/>
    <w:rsid w:val="00D91D7B"/>
    <w:rsid w:val="00D934CF"/>
    <w:rsid w:val="00D9428C"/>
    <w:rsid w:val="00D944C7"/>
    <w:rsid w:val="00D94F13"/>
    <w:rsid w:val="00D96E39"/>
    <w:rsid w:val="00DA0E26"/>
    <w:rsid w:val="00DB2FB3"/>
    <w:rsid w:val="00DB3660"/>
    <w:rsid w:val="00DB53DA"/>
    <w:rsid w:val="00DB780F"/>
    <w:rsid w:val="00DB7847"/>
    <w:rsid w:val="00DC0EDC"/>
    <w:rsid w:val="00DC5C36"/>
    <w:rsid w:val="00DC6695"/>
    <w:rsid w:val="00DC7095"/>
    <w:rsid w:val="00DC7433"/>
    <w:rsid w:val="00DC7C76"/>
    <w:rsid w:val="00DD1B46"/>
    <w:rsid w:val="00DD1FD0"/>
    <w:rsid w:val="00DD3282"/>
    <w:rsid w:val="00DD5B70"/>
    <w:rsid w:val="00DD6224"/>
    <w:rsid w:val="00DE4064"/>
    <w:rsid w:val="00DF38C1"/>
    <w:rsid w:val="00DF51B7"/>
    <w:rsid w:val="00DF6246"/>
    <w:rsid w:val="00DF63D6"/>
    <w:rsid w:val="00E02A8E"/>
    <w:rsid w:val="00E02C48"/>
    <w:rsid w:val="00E03063"/>
    <w:rsid w:val="00E03B10"/>
    <w:rsid w:val="00E03B2F"/>
    <w:rsid w:val="00E118C6"/>
    <w:rsid w:val="00E14E97"/>
    <w:rsid w:val="00E15BDF"/>
    <w:rsid w:val="00E20840"/>
    <w:rsid w:val="00E22392"/>
    <w:rsid w:val="00E250D2"/>
    <w:rsid w:val="00E25E9D"/>
    <w:rsid w:val="00E26AE2"/>
    <w:rsid w:val="00E30B96"/>
    <w:rsid w:val="00E310E0"/>
    <w:rsid w:val="00E3432E"/>
    <w:rsid w:val="00E36D35"/>
    <w:rsid w:val="00E36E32"/>
    <w:rsid w:val="00E41085"/>
    <w:rsid w:val="00E41580"/>
    <w:rsid w:val="00E41906"/>
    <w:rsid w:val="00E425CC"/>
    <w:rsid w:val="00E42880"/>
    <w:rsid w:val="00E448C1"/>
    <w:rsid w:val="00E45FE9"/>
    <w:rsid w:val="00E47ADF"/>
    <w:rsid w:val="00E512F3"/>
    <w:rsid w:val="00E51BA6"/>
    <w:rsid w:val="00E51CEE"/>
    <w:rsid w:val="00E52561"/>
    <w:rsid w:val="00E53BD9"/>
    <w:rsid w:val="00E57CFF"/>
    <w:rsid w:val="00E654BF"/>
    <w:rsid w:val="00E71D99"/>
    <w:rsid w:val="00E71E8D"/>
    <w:rsid w:val="00E7400C"/>
    <w:rsid w:val="00E7412C"/>
    <w:rsid w:val="00E7478C"/>
    <w:rsid w:val="00E758EC"/>
    <w:rsid w:val="00E76603"/>
    <w:rsid w:val="00E76F0E"/>
    <w:rsid w:val="00E779D1"/>
    <w:rsid w:val="00E82B30"/>
    <w:rsid w:val="00E84BBC"/>
    <w:rsid w:val="00E85453"/>
    <w:rsid w:val="00E86096"/>
    <w:rsid w:val="00E876CA"/>
    <w:rsid w:val="00E87C5C"/>
    <w:rsid w:val="00E92782"/>
    <w:rsid w:val="00E92787"/>
    <w:rsid w:val="00E9403E"/>
    <w:rsid w:val="00E941D5"/>
    <w:rsid w:val="00E955D9"/>
    <w:rsid w:val="00E9652F"/>
    <w:rsid w:val="00E976A8"/>
    <w:rsid w:val="00EA0D3C"/>
    <w:rsid w:val="00EA1801"/>
    <w:rsid w:val="00EA1FF2"/>
    <w:rsid w:val="00EA4A95"/>
    <w:rsid w:val="00EA7719"/>
    <w:rsid w:val="00EB2D37"/>
    <w:rsid w:val="00EB532B"/>
    <w:rsid w:val="00EB66F8"/>
    <w:rsid w:val="00EC30C4"/>
    <w:rsid w:val="00EC5249"/>
    <w:rsid w:val="00EC7328"/>
    <w:rsid w:val="00EC7784"/>
    <w:rsid w:val="00EC7A2C"/>
    <w:rsid w:val="00ED18EC"/>
    <w:rsid w:val="00ED26A8"/>
    <w:rsid w:val="00ED3053"/>
    <w:rsid w:val="00ED39BB"/>
    <w:rsid w:val="00ED635D"/>
    <w:rsid w:val="00ED68B4"/>
    <w:rsid w:val="00ED71DB"/>
    <w:rsid w:val="00ED7F33"/>
    <w:rsid w:val="00EE3CB7"/>
    <w:rsid w:val="00EE7DAC"/>
    <w:rsid w:val="00EE7E2B"/>
    <w:rsid w:val="00EF0842"/>
    <w:rsid w:val="00EF0D6E"/>
    <w:rsid w:val="00EF105E"/>
    <w:rsid w:val="00EF123A"/>
    <w:rsid w:val="00F0083E"/>
    <w:rsid w:val="00F033AA"/>
    <w:rsid w:val="00F041A8"/>
    <w:rsid w:val="00F108E9"/>
    <w:rsid w:val="00F12AC5"/>
    <w:rsid w:val="00F13D5C"/>
    <w:rsid w:val="00F155EB"/>
    <w:rsid w:val="00F20019"/>
    <w:rsid w:val="00F26569"/>
    <w:rsid w:val="00F27370"/>
    <w:rsid w:val="00F30503"/>
    <w:rsid w:val="00F31D0F"/>
    <w:rsid w:val="00F323BE"/>
    <w:rsid w:val="00F33FC2"/>
    <w:rsid w:val="00F36681"/>
    <w:rsid w:val="00F36A1E"/>
    <w:rsid w:val="00F37B87"/>
    <w:rsid w:val="00F40845"/>
    <w:rsid w:val="00F409E9"/>
    <w:rsid w:val="00F40D0A"/>
    <w:rsid w:val="00F41BA1"/>
    <w:rsid w:val="00F43FE2"/>
    <w:rsid w:val="00F44968"/>
    <w:rsid w:val="00F44C00"/>
    <w:rsid w:val="00F453CA"/>
    <w:rsid w:val="00F479C5"/>
    <w:rsid w:val="00F546EB"/>
    <w:rsid w:val="00F63E56"/>
    <w:rsid w:val="00F66B22"/>
    <w:rsid w:val="00F67FB0"/>
    <w:rsid w:val="00F707E6"/>
    <w:rsid w:val="00F72BA7"/>
    <w:rsid w:val="00F816A9"/>
    <w:rsid w:val="00F8232C"/>
    <w:rsid w:val="00F823D2"/>
    <w:rsid w:val="00F825D5"/>
    <w:rsid w:val="00F8374E"/>
    <w:rsid w:val="00F845E3"/>
    <w:rsid w:val="00F8539B"/>
    <w:rsid w:val="00F9141E"/>
    <w:rsid w:val="00F927ED"/>
    <w:rsid w:val="00F94ADE"/>
    <w:rsid w:val="00F975D5"/>
    <w:rsid w:val="00F978CA"/>
    <w:rsid w:val="00FA2A56"/>
    <w:rsid w:val="00FA4A5D"/>
    <w:rsid w:val="00FA6661"/>
    <w:rsid w:val="00FB1262"/>
    <w:rsid w:val="00FB673A"/>
    <w:rsid w:val="00FB68E1"/>
    <w:rsid w:val="00FC0BD1"/>
    <w:rsid w:val="00FC1A7C"/>
    <w:rsid w:val="00FC2EC0"/>
    <w:rsid w:val="00FC4C35"/>
    <w:rsid w:val="00FC5CB7"/>
    <w:rsid w:val="00FC72B1"/>
    <w:rsid w:val="00FD1C1F"/>
    <w:rsid w:val="00FD3B56"/>
    <w:rsid w:val="00FD55B9"/>
    <w:rsid w:val="00FD5771"/>
    <w:rsid w:val="00FD6ACF"/>
    <w:rsid w:val="00FD7001"/>
    <w:rsid w:val="00FE1098"/>
    <w:rsid w:val="00FE10B3"/>
    <w:rsid w:val="00FE359F"/>
    <w:rsid w:val="00FE41BD"/>
    <w:rsid w:val="00FE6730"/>
    <w:rsid w:val="00FE740C"/>
    <w:rsid w:val="00FF18C1"/>
    <w:rsid w:val="00FF2E3A"/>
    <w:rsid w:val="00FF5E38"/>
    <w:rsid w:val="00FF70C2"/>
    <w:rsid w:val="00FF7F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2AA6"/>
  <w15:docId w15:val="{B87CA1F1-65CD-4F97-9590-03F11E44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85"/>
    <w:pPr>
      <w:ind w:left="720"/>
      <w:contextualSpacing/>
    </w:pPr>
  </w:style>
  <w:style w:type="paragraph" w:styleId="FootnoteText">
    <w:name w:val="footnote text"/>
    <w:basedOn w:val="Normal"/>
    <w:link w:val="FootnoteTextChar"/>
    <w:uiPriority w:val="99"/>
    <w:unhideWhenUsed/>
    <w:rsid w:val="00CB6044"/>
    <w:pPr>
      <w:spacing w:after="0" w:line="240" w:lineRule="auto"/>
    </w:pPr>
    <w:rPr>
      <w:sz w:val="20"/>
      <w:szCs w:val="20"/>
    </w:rPr>
  </w:style>
  <w:style w:type="character" w:customStyle="1" w:styleId="FootnoteTextChar">
    <w:name w:val="Footnote Text Char"/>
    <w:basedOn w:val="DefaultParagraphFont"/>
    <w:link w:val="FootnoteText"/>
    <w:uiPriority w:val="99"/>
    <w:rsid w:val="00CB6044"/>
    <w:rPr>
      <w:sz w:val="20"/>
      <w:szCs w:val="20"/>
    </w:rPr>
  </w:style>
  <w:style w:type="character" w:styleId="FootnoteReference">
    <w:name w:val="footnote reference"/>
    <w:basedOn w:val="DefaultParagraphFont"/>
    <w:uiPriority w:val="99"/>
    <w:semiHidden/>
    <w:unhideWhenUsed/>
    <w:rsid w:val="00CB6044"/>
    <w:rPr>
      <w:vertAlign w:val="superscript"/>
    </w:rPr>
  </w:style>
  <w:style w:type="paragraph" w:styleId="Header">
    <w:name w:val="header"/>
    <w:basedOn w:val="Normal"/>
    <w:link w:val="HeaderChar"/>
    <w:uiPriority w:val="99"/>
    <w:unhideWhenUsed/>
    <w:rsid w:val="00BA1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A8"/>
  </w:style>
  <w:style w:type="paragraph" w:styleId="Footer">
    <w:name w:val="footer"/>
    <w:basedOn w:val="Normal"/>
    <w:link w:val="FooterChar"/>
    <w:uiPriority w:val="99"/>
    <w:unhideWhenUsed/>
    <w:rsid w:val="00BA1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A8"/>
  </w:style>
  <w:style w:type="paragraph" w:styleId="BalloonText">
    <w:name w:val="Balloon Text"/>
    <w:basedOn w:val="Normal"/>
    <w:link w:val="BalloonTextChar"/>
    <w:uiPriority w:val="99"/>
    <w:semiHidden/>
    <w:unhideWhenUsed/>
    <w:rsid w:val="00BC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D91"/>
    <w:rPr>
      <w:rFonts w:ascii="Tahoma" w:hAnsi="Tahoma" w:cs="Tahoma"/>
      <w:sz w:val="16"/>
      <w:szCs w:val="16"/>
    </w:rPr>
  </w:style>
  <w:style w:type="paragraph" w:styleId="NoSpacing">
    <w:name w:val="No Spacing"/>
    <w:uiPriority w:val="1"/>
    <w:qFormat/>
    <w:rsid w:val="00FF7F72"/>
    <w:pPr>
      <w:spacing w:after="0" w:line="240" w:lineRule="auto"/>
    </w:pPr>
  </w:style>
  <w:style w:type="character" w:styleId="CommentReference">
    <w:name w:val="annotation reference"/>
    <w:basedOn w:val="DefaultParagraphFont"/>
    <w:uiPriority w:val="99"/>
    <w:semiHidden/>
    <w:unhideWhenUsed/>
    <w:rsid w:val="005F582F"/>
    <w:rPr>
      <w:sz w:val="16"/>
      <w:szCs w:val="16"/>
    </w:rPr>
  </w:style>
  <w:style w:type="paragraph" w:styleId="CommentText">
    <w:name w:val="annotation text"/>
    <w:basedOn w:val="Normal"/>
    <w:link w:val="CommentTextChar"/>
    <w:uiPriority w:val="99"/>
    <w:unhideWhenUsed/>
    <w:rsid w:val="005F582F"/>
    <w:pPr>
      <w:spacing w:line="240" w:lineRule="auto"/>
    </w:pPr>
    <w:rPr>
      <w:sz w:val="20"/>
      <w:szCs w:val="20"/>
    </w:rPr>
  </w:style>
  <w:style w:type="character" w:customStyle="1" w:styleId="CommentTextChar">
    <w:name w:val="Comment Text Char"/>
    <w:basedOn w:val="DefaultParagraphFont"/>
    <w:link w:val="CommentText"/>
    <w:uiPriority w:val="99"/>
    <w:rsid w:val="005F582F"/>
    <w:rPr>
      <w:sz w:val="20"/>
      <w:szCs w:val="20"/>
    </w:rPr>
  </w:style>
  <w:style w:type="paragraph" w:styleId="CommentSubject">
    <w:name w:val="annotation subject"/>
    <w:basedOn w:val="CommentText"/>
    <w:next w:val="CommentText"/>
    <w:link w:val="CommentSubjectChar"/>
    <w:uiPriority w:val="99"/>
    <w:semiHidden/>
    <w:unhideWhenUsed/>
    <w:rsid w:val="005F582F"/>
    <w:rPr>
      <w:b/>
      <w:bCs/>
    </w:rPr>
  </w:style>
  <w:style w:type="character" w:customStyle="1" w:styleId="CommentSubjectChar">
    <w:name w:val="Comment Subject Char"/>
    <w:basedOn w:val="CommentTextChar"/>
    <w:link w:val="CommentSubject"/>
    <w:uiPriority w:val="99"/>
    <w:semiHidden/>
    <w:rsid w:val="005F582F"/>
    <w:rPr>
      <w:b/>
      <w:bCs/>
      <w:sz w:val="20"/>
      <w:szCs w:val="20"/>
    </w:rPr>
  </w:style>
  <w:style w:type="character" w:styleId="Hyperlink">
    <w:name w:val="Hyperlink"/>
    <w:basedOn w:val="DefaultParagraphFont"/>
    <w:uiPriority w:val="99"/>
    <w:unhideWhenUsed/>
    <w:rsid w:val="009261BA"/>
    <w:rPr>
      <w:color w:val="0563C1" w:themeColor="hyperlink"/>
      <w:u w:val="single"/>
    </w:rPr>
  </w:style>
  <w:style w:type="paragraph" w:styleId="NormalWeb">
    <w:name w:val="Normal (Web)"/>
    <w:basedOn w:val="Normal"/>
    <w:uiPriority w:val="99"/>
    <w:semiHidden/>
    <w:unhideWhenUsed/>
    <w:rsid w:val="005071DB"/>
    <w:rPr>
      <w:rFonts w:ascii="Times New Roman" w:hAnsi="Times New Roman" w:cs="Times New Roman"/>
      <w:sz w:val="24"/>
      <w:szCs w:val="24"/>
    </w:rPr>
  </w:style>
  <w:style w:type="paragraph" w:styleId="Title">
    <w:name w:val="Title"/>
    <w:basedOn w:val="Normal"/>
    <w:next w:val="Normal"/>
    <w:link w:val="TitleChar"/>
    <w:uiPriority w:val="10"/>
    <w:qFormat/>
    <w:rsid w:val="00F37B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7B87"/>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3B1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11607">
      <w:bodyDiv w:val="1"/>
      <w:marLeft w:val="0"/>
      <w:marRight w:val="0"/>
      <w:marTop w:val="0"/>
      <w:marBottom w:val="0"/>
      <w:divBdr>
        <w:top w:val="none" w:sz="0" w:space="0" w:color="auto"/>
        <w:left w:val="none" w:sz="0" w:space="0" w:color="auto"/>
        <w:bottom w:val="none" w:sz="0" w:space="0" w:color="auto"/>
        <w:right w:val="none" w:sz="0" w:space="0" w:color="auto"/>
      </w:divBdr>
    </w:div>
    <w:div w:id="21018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slyn@lesterhal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lesterhall.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nuel@wylie.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fd@wylie.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Duck_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B543-AA0F-43DF-BCD9-CB50E10C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Karthy Govender</dc:creator>
  <cp:lastModifiedBy>Birgit VonFintel</cp:lastModifiedBy>
  <cp:revision>2</cp:revision>
  <cp:lastPrinted>2023-02-07T07:43:00Z</cp:lastPrinted>
  <dcterms:created xsi:type="dcterms:W3CDTF">2023-12-19T13:08:00Z</dcterms:created>
  <dcterms:modified xsi:type="dcterms:W3CDTF">2023-12-19T13:08:00Z</dcterms:modified>
</cp:coreProperties>
</file>