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3AB7D" w14:textId="77777777" w:rsidR="008F3D74" w:rsidRPr="00E30E8A" w:rsidRDefault="008F3D74" w:rsidP="00A55185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30E8A">
        <w:rPr>
          <w:rFonts w:ascii="Arial" w:eastAsia="Calibri" w:hAnsi="Arial" w:cs="Arial"/>
          <w:noProof/>
          <w:sz w:val="28"/>
          <w:szCs w:val="28"/>
          <w:lang w:eastAsia="en-ZA" w:bidi="ar-SA"/>
        </w:rPr>
        <w:drawing>
          <wp:inline distT="0" distB="0" distL="0" distR="0" wp14:anchorId="253DC2DC" wp14:editId="4D69483D">
            <wp:extent cx="1027209" cy="1009650"/>
            <wp:effectExtent l="0" t="0" r="190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79" cy="101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B406" w14:textId="77777777" w:rsidR="008F3D74" w:rsidRPr="00E30E8A" w:rsidRDefault="008F3D74" w:rsidP="00A55185">
      <w:pPr>
        <w:spacing w:line="360" w:lineRule="auto"/>
        <w:jc w:val="center"/>
        <w:rPr>
          <w:rFonts w:ascii="Arial" w:hAnsi="Arial" w:cs="Arial"/>
          <w:b/>
        </w:rPr>
      </w:pPr>
      <w:r w:rsidRPr="00E30E8A">
        <w:rPr>
          <w:rFonts w:ascii="Arial" w:hAnsi="Arial" w:cs="Arial"/>
          <w:b/>
        </w:rPr>
        <w:t>IN THE HIGH COURT OF SOUTH AFRICA</w:t>
      </w:r>
    </w:p>
    <w:p w14:paraId="2F552D50" w14:textId="77777777" w:rsidR="008F3D74" w:rsidRPr="00E30E8A" w:rsidRDefault="008F3D74" w:rsidP="00A55185">
      <w:pPr>
        <w:spacing w:line="360" w:lineRule="auto"/>
        <w:jc w:val="center"/>
        <w:rPr>
          <w:rFonts w:ascii="Arial" w:hAnsi="Arial" w:cs="Arial"/>
          <w:b/>
        </w:rPr>
      </w:pPr>
      <w:r w:rsidRPr="00E30E8A">
        <w:rPr>
          <w:rFonts w:ascii="Arial" w:hAnsi="Arial" w:cs="Arial"/>
          <w:b/>
        </w:rPr>
        <w:t>KWAZULU-NATAL DIVISION, PIETERMARITZBURG</w:t>
      </w:r>
    </w:p>
    <w:p w14:paraId="71B81586" w14:textId="77777777" w:rsidR="008F3D74" w:rsidRDefault="008F3D74" w:rsidP="00A55185">
      <w:pPr>
        <w:spacing w:line="360" w:lineRule="auto"/>
        <w:jc w:val="right"/>
        <w:rPr>
          <w:rFonts w:ascii="Arial" w:hAnsi="Arial" w:cs="Arial"/>
        </w:rPr>
      </w:pPr>
    </w:p>
    <w:p w14:paraId="3E1EB01D" w14:textId="77777777" w:rsidR="008F3D74" w:rsidRPr="00E30E8A" w:rsidRDefault="008F3D74" w:rsidP="00A55185">
      <w:pPr>
        <w:spacing w:line="360" w:lineRule="auto"/>
        <w:jc w:val="right"/>
        <w:rPr>
          <w:rFonts w:ascii="Arial" w:hAnsi="Arial" w:cs="Arial"/>
        </w:rPr>
      </w:pPr>
      <w:r w:rsidRPr="00E30E8A">
        <w:rPr>
          <w:rFonts w:ascii="Arial" w:hAnsi="Arial" w:cs="Arial"/>
        </w:rPr>
        <w:t xml:space="preserve">Case No: </w:t>
      </w:r>
      <w:r>
        <w:rPr>
          <w:rFonts w:ascii="Arial" w:hAnsi="Arial" w:cs="Arial"/>
        </w:rPr>
        <w:t>3618</w:t>
      </w:r>
      <w:r w:rsidRPr="00E30E8A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E30E8A">
        <w:rPr>
          <w:rFonts w:ascii="Arial" w:hAnsi="Arial" w:cs="Arial"/>
        </w:rPr>
        <w:t>P</w:t>
      </w:r>
    </w:p>
    <w:p w14:paraId="3A571AE2" w14:textId="77777777" w:rsidR="008F3D74" w:rsidRPr="00E30E8A" w:rsidRDefault="008F3D74" w:rsidP="00A55185">
      <w:pPr>
        <w:spacing w:line="360" w:lineRule="auto"/>
        <w:jc w:val="both"/>
        <w:rPr>
          <w:rFonts w:ascii="Arial" w:hAnsi="Arial" w:cs="Arial"/>
        </w:rPr>
      </w:pPr>
    </w:p>
    <w:p w14:paraId="3AAF1B7B" w14:textId="77777777" w:rsidR="008F3D74" w:rsidRPr="00E30E8A" w:rsidRDefault="008F3D74" w:rsidP="00A55185">
      <w:pPr>
        <w:spacing w:line="360" w:lineRule="auto"/>
        <w:jc w:val="both"/>
        <w:rPr>
          <w:rFonts w:ascii="Arial" w:hAnsi="Arial" w:cs="Arial"/>
        </w:rPr>
      </w:pPr>
      <w:r w:rsidRPr="00E30E8A">
        <w:rPr>
          <w:rFonts w:ascii="Arial" w:hAnsi="Arial" w:cs="Arial"/>
        </w:rPr>
        <w:t>In the matter between:</w:t>
      </w:r>
    </w:p>
    <w:p w14:paraId="6ABE0D2E" w14:textId="77777777" w:rsidR="008F3D74" w:rsidRPr="00E30E8A" w:rsidRDefault="008F3D74" w:rsidP="00A5518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80C9334" w14:textId="77777777" w:rsidR="008F3D74" w:rsidRPr="00E30E8A" w:rsidRDefault="008F3D74" w:rsidP="0099640D">
      <w:pPr>
        <w:tabs>
          <w:tab w:val="right" w:pos="878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MFANISENI MBONISENI MTUNGWA</w:t>
      </w:r>
      <w:r w:rsidR="0099640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FIRST APPLICANT</w:t>
      </w:r>
    </w:p>
    <w:p w14:paraId="3577DE2D" w14:textId="77777777" w:rsidR="008F3D74" w:rsidRDefault="008F3D74" w:rsidP="0099640D">
      <w:pPr>
        <w:tabs>
          <w:tab w:val="right" w:pos="878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OF UMNDENI WENKOSI LISTED IN</w:t>
      </w:r>
      <w:r w:rsidR="0099640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SECOND APPLICANT</w:t>
      </w:r>
    </w:p>
    <w:p w14:paraId="5293253C" w14:textId="77777777" w:rsidR="008F3D74" w:rsidRDefault="008F3D74" w:rsidP="0099640D">
      <w:pPr>
        <w:tabs>
          <w:tab w:val="right" w:pos="878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ANNEXURE </w:t>
      </w:r>
      <w:r w:rsidR="00B54AE9">
        <w:rPr>
          <w:rFonts w:ascii="Arial" w:hAnsi="Arial" w:cs="Arial"/>
          <w:b/>
          <w:bCs/>
        </w:rPr>
        <w:t>‘</w:t>
      </w:r>
      <w:r>
        <w:rPr>
          <w:rFonts w:ascii="Arial" w:hAnsi="Arial" w:cs="Arial"/>
          <w:b/>
          <w:bCs/>
        </w:rPr>
        <w:t>A</w:t>
      </w:r>
      <w:r w:rsidR="00B54AE9"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</w:rPr>
        <w:t xml:space="preserve"> WHICH IS ATTACHED TO THE </w:t>
      </w:r>
    </w:p>
    <w:p w14:paraId="7208542C" w14:textId="77777777" w:rsidR="008F3D74" w:rsidRPr="00E30E8A" w:rsidRDefault="008F3D74" w:rsidP="0099640D">
      <w:pPr>
        <w:tabs>
          <w:tab w:val="right" w:pos="878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 OF MOTION</w:t>
      </w:r>
    </w:p>
    <w:p w14:paraId="449212F8" w14:textId="77777777" w:rsidR="00A55185" w:rsidRDefault="00A55185" w:rsidP="0099640D">
      <w:pPr>
        <w:tabs>
          <w:tab w:val="right" w:pos="8789"/>
        </w:tabs>
        <w:spacing w:line="360" w:lineRule="auto"/>
        <w:jc w:val="both"/>
        <w:rPr>
          <w:rFonts w:ascii="Arial" w:hAnsi="Arial" w:cs="Arial"/>
          <w:b/>
        </w:rPr>
      </w:pPr>
    </w:p>
    <w:p w14:paraId="32EE9F04" w14:textId="77777777" w:rsidR="008F3D74" w:rsidRPr="00A55185" w:rsidRDefault="008F3D74" w:rsidP="0099640D">
      <w:pPr>
        <w:tabs>
          <w:tab w:val="right" w:pos="8789"/>
        </w:tabs>
        <w:spacing w:line="360" w:lineRule="auto"/>
        <w:jc w:val="both"/>
        <w:rPr>
          <w:rFonts w:ascii="Arial" w:hAnsi="Arial" w:cs="Arial"/>
        </w:rPr>
      </w:pPr>
      <w:r w:rsidRPr="00A55185">
        <w:rPr>
          <w:rFonts w:ascii="Arial" w:hAnsi="Arial" w:cs="Arial"/>
        </w:rPr>
        <w:t>and</w:t>
      </w:r>
    </w:p>
    <w:p w14:paraId="07573E03" w14:textId="77777777" w:rsidR="00A55185" w:rsidRDefault="00A55185" w:rsidP="0099640D">
      <w:pPr>
        <w:tabs>
          <w:tab w:val="right" w:pos="8789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38F2BF99" w14:textId="4FD074D9" w:rsidR="008F3D74" w:rsidRDefault="008F3D74" w:rsidP="0099640D">
      <w:pPr>
        <w:tabs>
          <w:tab w:val="right" w:pos="878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PREMIER OF KWAZULU-</w:t>
      </w:r>
      <w:r w:rsidR="00DD7BF8">
        <w:rPr>
          <w:rFonts w:ascii="Arial" w:hAnsi="Arial" w:cs="Arial"/>
          <w:b/>
          <w:bCs/>
        </w:rPr>
        <w:t>NATAL</w:t>
      </w:r>
      <w:r w:rsidR="00DD7BF8" w:rsidRPr="00E30E8A">
        <w:rPr>
          <w:rFonts w:ascii="Arial" w:hAnsi="Arial" w:cs="Arial"/>
          <w:b/>
          <w:bCs/>
        </w:rPr>
        <w:t xml:space="preserve"> </w:t>
      </w:r>
      <w:r w:rsidR="00DD7BF8" w:rsidRPr="00E30E8A">
        <w:rPr>
          <w:rFonts w:ascii="Arial" w:hAnsi="Arial" w:cs="Arial"/>
          <w:b/>
          <w:bCs/>
        </w:rPr>
        <w:tab/>
      </w:r>
      <w:r w:rsidR="00DD7BF8">
        <w:rPr>
          <w:rFonts w:ascii="Arial" w:hAnsi="Arial" w:cs="Arial"/>
          <w:b/>
          <w:bCs/>
        </w:rPr>
        <w:t xml:space="preserve"> FIRST</w:t>
      </w:r>
      <w:r w:rsidRPr="00E30E8A">
        <w:rPr>
          <w:rFonts w:ascii="Arial" w:hAnsi="Arial" w:cs="Arial"/>
          <w:b/>
          <w:bCs/>
        </w:rPr>
        <w:t xml:space="preserve"> RESPONDENT</w:t>
      </w:r>
    </w:p>
    <w:p w14:paraId="53AD277F" w14:textId="77777777" w:rsidR="008F3D74" w:rsidRDefault="00C06F97" w:rsidP="0099640D">
      <w:pPr>
        <w:pBdr>
          <w:bottom w:val="single" w:sz="12" w:space="1" w:color="auto"/>
        </w:pBdr>
        <w:tabs>
          <w:tab w:val="right" w:pos="878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</w:t>
      </w:r>
      <w:r w:rsidR="008F3D74">
        <w:rPr>
          <w:rFonts w:ascii="Arial" w:hAnsi="Arial" w:cs="Arial"/>
          <w:b/>
          <w:bCs/>
        </w:rPr>
        <w:t xml:space="preserve">PARTMENT </w:t>
      </w:r>
      <w:r w:rsidR="00B54AE9">
        <w:rPr>
          <w:rFonts w:ascii="Arial" w:hAnsi="Arial" w:cs="Arial"/>
          <w:b/>
          <w:bCs/>
        </w:rPr>
        <w:t xml:space="preserve">OF </w:t>
      </w:r>
      <w:r w:rsidR="008F3D74">
        <w:rPr>
          <w:rFonts w:ascii="Arial" w:hAnsi="Arial" w:cs="Arial"/>
          <w:b/>
          <w:bCs/>
        </w:rPr>
        <w:t>CO-OPERATIVE GOVERNANCE</w:t>
      </w:r>
      <w:r w:rsidR="0099640D">
        <w:rPr>
          <w:rFonts w:ascii="Arial" w:hAnsi="Arial" w:cs="Arial"/>
          <w:b/>
          <w:bCs/>
        </w:rPr>
        <w:tab/>
      </w:r>
      <w:r w:rsidR="008F3D74" w:rsidRPr="00E30E8A">
        <w:rPr>
          <w:rFonts w:ascii="Arial" w:hAnsi="Arial" w:cs="Arial"/>
          <w:b/>
          <w:bCs/>
        </w:rPr>
        <w:t>SECOND RESPONDENT</w:t>
      </w:r>
    </w:p>
    <w:p w14:paraId="34D127F3" w14:textId="77777777" w:rsidR="008F3D74" w:rsidRPr="00E30E8A" w:rsidRDefault="008F3D74" w:rsidP="0099640D">
      <w:pPr>
        <w:pBdr>
          <w:bottom w:val="single" w:sz="12" w:space="1" w:color="auto"/>
        </w:pBdr>
        <w:tabs>
          <w:tab w:val="right" w:pos="878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 TRADITIONAL AFFAIRS, KWAZULU-NATAL</w:t>
      </w:r>
      <w:r w:rsidRPr="00E30E8A">
        <w:rPr>
          <w:rFonts w:ascii="Arial" w:hAnsi="Arial" w:cs="Arial"/>
          <w:b/>
          <w:bCs/>
        </w:rPr>
        <w:t xml:space="preserve"> </w:t>
      </w:r>
      <w:r w:rsidRPr="00E30E8A"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 xml:space="preserve">       </w:t>
      </w:r>
    </w:p>
    <w:p w14:paraId="56F675EF" w14:textId="2AE20E04" w:rsidR="008F3D74" w:rsidRDefault="008F3D74" w:rsidP="0099640D">
      <w:pPr>
        <w:pBdr>
          <w:bottom w:val="single" w:sz="12" w:space="1" w:color="auto"/>
        </w:pBdr>
        <w:tabs>
          <w:tab w:val="right" w:pos="878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THOKOZANI MTUNGWA</w:t>
      </w:r>
      <w:r w:rsidR="0099640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THIRD RESPONDENT</w:t>
      </w:r>
    </w:p>
    <w:p w14:paraId="3D406EFE" w14:textId="53CC69A0" w:rsidR="00AE755C" w:rsidRDefault="00AE755C" w:rsidP="0099640D">
      <w:pPr>
        <w:pBdr>
          <w:bottom w:val="single" w:sz="12" w:space="1" w:color="auto"/>
        </w:pBdr>
        <w:tabs>
          <w:tab w:val="right" w:pos="8789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2FF18DCE" w14:textId="77777777" w:rsidR="00AE755C" w:rsidRDefault="00AE755C" w:rsidP="00AE755C">
      <w:pPr>
        <w:rPr>
          <w:rFonts w:asciiTheme="minorBidi" w:hAnsiTheme="minorBidi" w:cstheme="minorBidi"/>
          <w:bCs/>
        </w:rPr>
      </w:pPr>
    </w:p>
    <w:p w14:paraId="6A0EEE8F" w14:textId="77777777" w:rsidR="00AE755C" w:rsidRDefault="00AE755C" w:rsidP="00AE755C">
      <w:pPr>
        <w:rPr>
          <w:rFonts w:asciiTheme="minorBidi" w:hAnsiTheme="minorBidi" w:cstheme="minorBidi"/>
          <w:bCs/>
        </w:rPr>
      </w:pPr>
    </w:p>
    <w:p w14:paraId="515B6287" w14:textId="323ECBB5" w:rsidR="00AE755C" w:rsidRDefault="00AE755C" w:rsidP="00AE755C">
      <w:pPr>
        <w:rPr>
          <w:rFonts w:asciiTheme="minorBidi" w:hAnsiTheme="minorBidi" w:cstheme="minorBidi"/>
          <w:bCs/>
        </w:rPr>
      </w:pPr>
      <w:r w:rsidRPr="008A7491">
        <w:rPr>
          <w:rFonts w:asciiTheme="minorBidi" w:hAnsiTheme="minorBidi" w:cstheme="minorBidi"/>
          <w:bCs/>
        </w:rPr>
        <w:t>Coram:</w:t>
      </w:r>
      <w:r>
        <w:rPr>
          <w:rFonts w:asciiTheme="minorBidi" w:hAnsiTheme="minorBidi" w:cstheme="minorBidi"/>
          <w:bCs/>
        </w:rPr>
        <w:tab/>
        <w:t xml:space="preserve">Mossop J </w:t>
      </w:r>
    </w:p>
    <w:p w14:paraId="39DFA4FE" w14:textId="77777777" w:rsidR="00AE755C" w:rsidRDefault="00AE755C" w:rsidP="00AE755C">
      <w:pPr>
        <w:rPr>
          <w:rFonts w:asciiTheme="minorBidi" w:hAnsiTheme="minorBidi" w:cstheme="minorBidi"/>
          <w:bCs/>
        </w:rPr>
      </w:pPr>
    </w:p>
    <w:p w14:paraId="53C976D8" w14:textId="5584D8DD" w:rsidR="00AE755C" w:rsidRDefault="00AE755C" w:rsidP="00AE755C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Heard:</w:t>
      </w:r>
      <w:r>
        <w:rPr>
          <w:rFonts w:asciiTheme="minorBidi" w:hAnsiTheme="minorBidi" w:cstheme="minorBidi"/>
          <w:bCs/>
        </w:rPr>
        <w:tab/>
        <w:t>28 February 2023</w:t>
      </w:r>
    </w:p>
    <w:p w14:paraId="72E11CC0" w14:textId="77777777" w:rsidR="00AE755C" w:rsidRDefault="00AE755C" w:rsidP="00AE755C">
      <w:pPr>
        <w:rPr>
          <w:rFonts w:asciiTheme="minorBidi" w:hAnsiTheme="minorBidi" w:cstheme="minorBidi"/>
          <w:bCs/>
        </w:rPr>
      </w:pPr>
    </w:p>
    <w:p w14:paraId="4118DB40" w14:textId="7E26DD32" w:rsidR="00AE755C" w:rsidRDefault="00AE755C" w:rsidP="00AE755C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Delivered:</w:t>
      </w:r>
      <w:r>
        <w:rPr>
          <w:rFonts w:asciiTheme="minorBidi" w:hAnsiTheme="minorBidi" w:cstheme="minorBidi"/>
          <w:bCs/>
        </w:rPr>
        <w:tab/>
        <w:t>28 February 2023</w:t>
      </w:r>
    </w:p>
    <w:p w14:paraId="63FD13F0" w14:textId="77777777" w:rsidR="00AE755C" w:rsidRPr="00E30E8A" w:rsidRDefault="00AE755C" w:rsidP="0099640D">
      <w:pPr>
        <w:pBdr>
          <w:bottom w:val="single" w:sz="12" w:space="1" w:color="auto"/>
        </w:pBdr>
        <w:tabs>
          <w:tab w:val="right" w:pos="8789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481737CD" w14:textId="77777777" w:rsidR="008F3D74" w:rsidRPr="00E30E8A" w:rsidRDefault="008F3D74" w:rsidP="008F3D7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14:paraId="3DC4957B" w14:textId="77777777" w:rsidR="008F3D74" w:rsidRPr="00E30E8A" w:rsidRDefault="008F3D74" w:rsidP="008F3D74">
      <w:pPr>
        <w:jc w:val="both"/>
        <w:rPr>
          <w:rFonts w:ascii="Arial" w:hAnsi="Arial" w:cs="Arial"/>
          <w:b/>
          <w:bCs/>
        </w:rPr>
      </w:pPr>
    </w:p>
    <w:p w14:paraId="39A759A3" w14:textId="77777777" w:rsidR="008F3D74" w:rsidRPr="00E30E8A" w:rsidRDefault="008F3D74" w:rsidP="008F3D7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E30E8A">
        <w:rPr>
          <w:rFonts w:ascii="Arial" w:hAnsi="Arial" w:cs="Arial"/>
          <w:b/>
          <w:bCs/>
        </w:rPr>
        <w:t>ORDER</w:t>
      </w:r>
    </w:p>
    <w:p w14:paraId="6426A6C4" w14:textId="77777777" w:rsidR="008F3D74" w:rsidRPr="00E30E8A" w:rsidRDefault="008F3D74" w:rsidP="008F3D7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</w:p>
    <w:p w14:paraId="39D8A444" w14:textId="77777777" w:rsidR="008F3D74" w:rsidRPr="00E30E8A" w:rsidRDefault="008F3D74" w:rsidP="008F3D74">
      <w:pPr>
        <w:jc w:val="both"/>
        <w:rPr>
          <w:rFonts w:ascii="Arial" w:hAnsi="Arial" w:cs="Arial"/>
          <w:b/>
          <w:bCs/>
        </w:rPr>
      </w:pPr>
    </w:p>
    <w:p w14:paraId="4722903B" w14:textId="77777777" w:rsidR="008F3D74" w:rsidRDefault="008F3D74" w:rsidP="008F3D7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order is made:</w:t>
      </w:r>
    </w:p>
    <w:p w14:paraId="7DBAC626" w14:textId="3E76155E" w:rsidR="00B5257A" w:rsidRPr="00E031AA" w:rsidRDefault="00162646" w:rsidP="0016264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  <w:r w:rsidRPr="00E031AA">
        <w:rPr>
          <w:rFonts w:ascii="Arial" w:hAnsi="Arial" w:cs="Arial"/>
        </w:rPr>
        <w:lastRenderedPageBreak/>
        <w:t>1.</w:t>
      </w:r>
      <w:r w:rsidRPr="00E031AA">
        <w:rPr>
          <w:rFonts w:ascii="Arial" w:hAnsi="Arial" w:cs="Arial"/>
        </w:rPr>
        <w:tab/>
      </w:r>
      <w:r w:rsidR="008F3D74">
        <w:rPr>
          <w:rFonts w:ascii="Arial" w:hAnsi="Arial" w:cs="Arial"/>
          <w:bCs/>
        </w:rPr>
        <w:t xml:space="preserve">The </w:t>
      </w:r>
      <w:r w:rsidR="00E873B6">
        <w:rPr>
          <w:rFonts w:ascii="Arial" w:hAnsi="Arial" w:cs="Arial"/>
          <w:bCs/>
        </w:rPr>
        <w:t>application for leave to appeal is refused with costs</w:t>
      </w:r>
      <w:r w:rsidR="00B5257A">
        <w:rPr>
          <w:rFonts w:ascii="Arial" w:hAnsi="Arial" w:cs="Arial"/>
          <w:bCs/>
        </w:rPr>
        <w:t xml:space="preserve">, </w:t>
      </w:r>
      <w:r w:rsidR="00B5257A">
        <w:rPr>
          <w:rFonts w:ascii="Arial" w:hAnsi="Arial" w:cs="Arial"/>
          <w:color w:val="242121"/>
        </w:rPr>
        <w:t>such to include the costs of senior counsel.</w:t>
      </w:r>
    </w:p>
    <w:p w14:paraId="00581597" w14:textId="77777777" w:rsidR="008F3D74" w:rsidRPr="00E30E8A" w:rsidRDefault="008F3D74" w:rsidP="00AE755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</w:p>
    <w:p w14:paraId="4E40FBC6" w14:textId="77777777" w:rsidR="008F3D74" w:rsidRPr="00E30E8A" w:rsidRDefault="008F3D74" w:rsidP="00AE755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E07C46E" w14:textId="77777777" w:rsidR="008F3D74" w:rsidRPr="00E30E8A" w:rsidRDefault="008F3D74" w:rsidP="008F3D7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E30E8A">
        <w:rPr>
          <w:rFonts w:ascii="Arial" w:hAnsi="Arial" w:cs="Arial"/>
          <w:b/>
          <w:bCs/>
        </w:rPr>
        <w:t>JUDGMENT</w:t>
      </w:r>
    </w:p>
    <w:p w14:paraId="7B078E98" w14:textId="77777777" w:rsidR="008F3D74" w:rsidRPr="00E30E8A" w:rsidRDefault="008F3D74" w:rsidP="00AE755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bCs/>
        </w:rPr>
      </w:pPr>
    </w:p>
    <w:p w14:paraId="45FEDB78" w14:textId="77777777" w:rsidR="00B43EF7" w:rsidRDefault="00B43EF7" w:rsidP="00AE755C">
      <w:pPr>
        <w:spacing w:line="360" w:lineRule="auto"/>
        <w:jc w:val="both"/>
        <w:rPr>
          <w:rFonts w:ascii="Arial" w:hAnsi="Arial" w:cs="Arial"/>
          <w:b/>
        </w:rPr>
      </w:pPr>
    </w:p>
    <w:p w14:paraId="240BE166" w14:textId="5BF4622D" w:rsidR="008F3D74" w:rsidRDefault="008F3D74" w:rsidP="00AE75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MOSSOP J</w:t>
      </w:r>
      <w:r w:rsidRPr="00E30E8A">
        <w:rPr>
          <w:rFonts w:ascii="Arial" w:hAnsi="Arial" w:cs="Arial"/>
        </w:rPr>
        <w:t>:</w:t>
      </w:r>
    </w:p>
    <w:p w14:paraId="496744B2" w14:textId="77777777" w:rsidR="00AE755C" w:rsidRDefault="00AE755C" w:rsidP="00AE755C">
      <w:pPr>
        <w:spacing w:line="360" w:lineRule="auto"/>
        <w:jc w:val="both"/>
        <w:rPr>
          <w:rFonts w:ascii="Arial" w:hAnsi="Arial" w:cs="Arial"/>
        </w:rPr>
      </w:pPr>
    </w:p>
    <w:p w14:paraId="24B7FA99" w14:textId="41C1AF7D" w:rsidR="00E873B6" w:rsidRPr="00162646" w:rsidRDefault="00162646" w:rsidP="00162646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n-GB" w:eastAsia="en-US" w:bidi="ar-SA"/>
        </w:rPr>
        <w:t>[1]</w:t>
      </w:r>
      <w:r>
        <w:rPr>
          <w:rFonts w:ascii="Arial" w:eastAsiaTheme="minorHAnsi" w:hAnsi="Arial" w:cs="Arial"/>
          <w:lang w:val="en-GB" w:eastAsia="en-US" w:bidi="ar-SA"/>
        </w:rPr>
        <w:tab/>
      </w:r>
      <w:r w:rsidR="00544D40" w:rsidRPr="00162646">
        <w:rPr>
          <w:rFonts w:ascii="Arial" w:hAnsi="Arial" w:cs="Arial"/>
        </w:rPr>
        <w:t>Th</w:t>
      </w:r>
      <w:r w:rsidR="002E1455" w:rsidRPr="00162646">
        <w:rPr>
          <w:rFonts w:ascii="Arial" w:hAnsi="Arial" w:cs="Arial"/>
        </w:rPr>
        <w:t xml:space="preserve">is is </w:t>
      </w:r>
      <w:r w:rsidR="00E873B6" w:rsidRPr="00162646">
        <w:rPr>
          <w:rFonts w:ascii="Arial" w:hAnsi="Arial" w:cs="Arial"/>
        </w:rPr>
        <w:t>an opposed application for leave to appeal against a judgment handed down by me on 18 November 2022, when I dismissed a</w:t>
      </w:r>
      <w:r w:rsidR="00E031AA" w:rsidRPr="00162646">
        <w:rPr>
          <w:rFonts w:ascii="Arial" w:hAnsi="Arial" w:cs="Arial"/>
        </w:rPr>
        <w:t xml:space="preserve"> review</w:t>
      </w:r>
      <w:r w:rsidR="00E873B6" w:rsidRPr="00162646">
        <w:rPr>
          <w:rFonts w:ascii="Arial" w:hAnsi="Arial" w:cs="Arial"/>
        </w:rPr>
        <w:t xml:space="preserve"> application brought by the applicants in which they sought an order, essentially, that the recognition of the third respondent as the </w:t>
      </w:r>
      <w:proofErr w:type="spellStart"/>
      <w:r w:rsidR="00E873B6" w:rsidRPr="00162646">
        <w:rPr>
          <w:rFonts w:ascii="Arial" w:hAnsi="Arial" w:cs="Arial"/>
        </w:rPr>
        <w:t>iNkosi</w:t>
      </w:r>
      <w:proofErr w:type="spellEnd"/>
      <w:r w:rsidR="00E873B6" w:rsidRPr="00162646">
        <w:rPr>
          <w:rFonts w:ascii="Arial" w:hAnsi="Arial" w:cs="Arial"/>
        </w:rPr>
        <w:t xml:space="preserve"> of the </w:t>
      </w:r>
      <w:proofErr w:type="spellStart"/>
      <w:r w:rsidR="00E873B6" w:rsidRPr="00162646">
        <w:rPr>
          <w:rFonts w:ascii="Arial" w:hAnsi="Arial" w:cs="Arial"/>
        </w:rPr>
        <w:t>Mabaso</w:t>
      </w:r>
      <w:proofErr w:type="spellEnd"/>
      <w:r w:rsidR="00E873B6" w:rsidRPr="00162646">
        <w:rPr>
          <w:rFonts w:ascii="Arial" w:hAnsi="Arial" w:cs="Arial"/>
        </w:rPr>
        <w:t xml:space="preserve"> clan (the traditional community), be reviewed, declared invalid and set aside and that the issue of the identification of the </w:t>
      </w:r>
      <w:proofErr w:type="spellStart"/>
      <w:r w:rsidR="00E873B6" w:rsidRPr="00162646">
        <w:rPr>
          <w:rFonts w:ascii="Arial" w:hAnsi="Arial" w:cs="Arial"/>
        </w:rPr>
        <w:t>iNkosi</w:t>
      </w:r>
      <w:proofErr w:type="spellEnd"/>
      <w:r w:rsidR="00E873B6" w:rsidRPr="00162646">
        <w:rPr>
          <w:rFonts w:ascii="Arial" w:hAnsi="Arial" w:cs="Arial"/>
        </w:rPr>
        <w:t xml:space="preserve"> of th</w:t>
      </w:r>
      <w:r w:rsidR="00E031AA" w:rsidRPr="00162646">
        <w:rPr>
          <w:rFonts w:ascii="Arial" w:hAnsi="Arial" w:cs="Arial"/>
        </w:rPr>
        <w:t>e</w:t>
      </w:r>
      <w:r w:rsidR="00E873B6" w:rsidRPr="00162646">
        <w:rPr>
          <w:rFonts w:ascii="Arial" w:hAnsi="Arial" w:cs="Arial"/>
        </w:rPr>
        <w:t xml:space="preserve"> traditional community be referred back to the </w:t>
      </w:r>
      <w:proofErr w:type="spellStart"/>
      <w:r w:rsidR="00E873B6" w:rsidRPr="00162646">
        <w:rPr>
          <w:rFonts w:ascii="Arial" w:hAnsi="Arial" w:cs="Arial"/>
        </w:rPr>
        <w:t>umndeni</w:t>
      </w:r>
      <w:proofErr w:type="spellEnd"/>
      <w:r w:rsidR="00E873B6" w:rsidRPr="00162646">
        <w:rPr>
          <w:rFonts w:ascii="Arial" w:hAnsi="Arial" w:cs="Arial"/>
        </w:rPr>
        <w:t xml:space="preserve"> </w:t>
      </w:r>
      <w:proofErr w:type="spellStart"/>
      <w:r w:rsidR="00E873B6" w:rsidRPr="00162646">
        <w:rPr>
          <w:rFonts w:ascii="Arial" w:hAnsi="Arial" w:cs="Arial"/>
        </w:rPr>
        <w:t>wenkosi</w:t>
      </w:r>
      <w:proofErr w:type="spellEnd"/>
      <w:r w:rsidR="00E873B6" w:rsidRPr="00162646">
        <w:rPr>
          <w:rFonts w:ascii="Arial" w:hAnsi="Arial" w:cs="Arial"/>
        </w:rPr>
        <w:t xml:space="preserve"> </w:t>
      </w:r>
      <w:r w:rsidR="00B5049E" w:rsidRPr="00162646">
        <w:rPr>
          <w:rFonts w:ascii="Arial" w:hAnsi="Arial" w:cs="Arial"/>
        </w:rPr>
        <w:t xml:space="preserve">of the traditional community </w:t>
      </w:r>
      <w:r w:rsidR="00E873B6" w:rsidRPr="00162646">
        <w:rPr>
          <w:rFonts w:ascii="Arial" w:hAnsi="Arial" w:cs="Arial"/>
        </w:rPr>
        <w:t xml:space="preserve">as provided for in section 19(4) of </w:t>
      </w:r>
      <w:r w:rsidR="00E031AA" w:rsidRPr="00162646">
        <w:rPr>
          <w:rFonts w:ascii="Arial" w:hAnsi="Arial" w:cs="Arial"/>
        </w:rPr>
        <w:t>the KwaZulu-Natal Traditional Leadership and Go</w:t>
      </w:r>
      <w:r w:rsidR="00D8713E" w:rsidRPr="00162646">
        <w:rPr>
          <w:rFonts w:ascii="Arial" w:hAnsi="Arial" w:cs="Arial"/>
        </w:rPr>
        <w:t>vernance Act 5 of 2005</w:t>
      </w:r>
      <w:r w:rsidR="00E031AA" w:rsidRPr="00162646">
        <w:rPr>
          <w:rFonts w:ascii="Arial" w:hAnsi="Arial" w:cs="Arial"/>
        </w:rPr>
        <w:t>.</w:t>
      </w:r>
    </w:p>
    <w:p w14:paraId="3363E4F4" w14:textId="77777777" w:rsidR="00E031AA" w:rsidRPr="00E031AA" w:rsidRDefault="00E031AA" w:rsidP="00B5049E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395B560" w14:textId="1E8FD239" w:rsidR="00AE4740" w:rsidRPr="00162646" w:rsidRDefault="00162646" w:rsidP="00162646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E031AA">
        <w:rPr>
          <w:rFonts w:ascii="Arial" w:eastAsiaTheme="minorHAnsi" w:hAnsi="Arial" w:cs="Arial"/>
          <w:lang w:val="en-GB" w:eastAsia="en-US" w:bidi="ar-SA"/>
        </w:rPr>
        <w:t>[2]</w:t>
      </w:r>
      <w:r w:rsidRPr="00E031AA">
        <w:rPr>
          <w:rFonts w:ascii="Arial" w:eastAsiaTheme="minorHAnsi" w:hAnsi="Arial" w:cs="Arial"/>
          <w:lang w:val="en-GB" w:eastAsia="en-US" w:bidi="ar-SA"/>
        </w:rPr>
        <w:tab/>
      </w:r>
      <w:r w:rsidR="00AE4740" w:rsidRPr="00162646">
        <w:rPr>
          <w:rFonts w:ascii="Arial" w:hAnsi="Arial" w:cs="Arial"/>
          <w:color w:val="242121"/>
          <w:lang w:val="en-US"/>
        </w:rPr>
        <w:t xml:space="preserve">My judgment </w:t>
      </w:r>
      <w:r w:rsidR="00E031AA" w:rsidRPr="00162646">
        <w:rPr>
          <w:rFonts w:ascii="Arial" w:hAnsi="Arial" w:cs="Arial"/>
          <w:color w:val="242121"/>
          <w:lang w:val="en-US"/>
        </w:rPr>
        <w:t xml:space="preserve">on the issues </w:t>
      </w:r>
      <w:r w:rsidR="00AE4740" w:rsidRPr="00162646">
        <w:rPr>
          <w:rFonts w:ascii="Arial" w:hAnsi="Arial" w:cs="Arial"/>
          <w:color w:val="242121"/>
          <w:lang w:val="en-US"/>
        </w:rPr>
        <w:t>is comprehensive and I stand by the reasons set out therein.</w:t>
      </w:r>
    </w:p>
    <w:p w14:paraId="6D46D5A1" w14:textId="77777777" w:rsidR="00E031AA" w:rsidRPr="00E031AA" w:rsidRDefault="00E031AA" w:rsidP="00B5049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0D5972AE" w14:textId="09F0A833" w:rsidR="00876F9C" w:rsidRDefault="00162646" w:rsidP="0016264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  <w:r>
        <w:rPr>
          <w:rFonts w:ascii="Arial" w:hAnsi="Arial" w:cs="Arial"/>
          <w:color w:val="242121"/>
        </w:rPr>
        <w:t>[3]</w:t>
      </w:r>
      <w:r>
        <w:rPr>
          <w:rFonts w:ascii="Arial" w:hAnsi="Arial" w:cs="Arial"/>
          <w:color w:val="242121"/>
        </w:rPr>
        <w:tab/>
      </w:r>
      <w:r w:rsidR="00E031AA">
        <w:rPr>
          <w:rFonts w:ascii="Arial" w:hAnsi="Arial" w:cs="Arial"/>
        </w:rPr>
        <w:t xml:space="preserve">The purpose behind requiring litigants to obtain leave to appeal was set out in the matter of </w:t>
      </w:r>
      <w:r w:rsidR="00E031AA" w:rsidRPr="00E031AA">
        <w:rPr>
          <w:rFonts w:ascii="Arial" w:hAnsi="Arial" w:cs="Arial"/>
          <w:i/>
          <w:iCs/>
          <w:color w:val="000000"/>
          <w:shd w:val="clear" w:color="auto" w:fill="FFFFFF"/>
        </w:rPr>
        <w:t>Dexgroup (Pty) Ltd v Trustco Group International (Pty) Ltd</w:t>
      </w:r>
      <w:r w:rsidR="00876F9C">
        <w:rPr>
          <w:rFonts w:ascii="Arial" w:hAnsi="Arial" w:cs="Arial"/>
          <w:i/>
          <w:iCs/>
          <w:color w:val="000000"/>
          <w:shd w:val="clear" w:color="auto" w:fill="FFFFFF"/>
        </w:rPr>
        <w:t>,</w:t>
      </w:r>
      <w:r w:rsidR="00876F9C" w:rsidRPr="00876F9C">
        <w:rPr>
          <w:rStyle w:val="FootnoteReference"/>
          <w:rFonts w:ascii="Arial" w:hAnsi="Arial" w:cs="Arial"/>
          <w:iCs/>
          <w:color w:val="000000"/>
          <w:shd w:val="clear" w:color="auto" w:fill="FFFFFF"/>
        </w:rPr>
        <w:footnoteReference w:id="1"/>
      </w:r>
      <w:r w:rsidR="00876F9C">
        <w:rPr>
          <w:rFonts w:ascii="Arial" w:hAnsi="Arial" w:cs="Arial"/>
          <w:color w:val="242121"/>
        </w:rPr>
        <w:t xml:space="preserve"> where </w:t>
      </w:r>
      <w:r w:rsidR="00E031AA" w:rsidRPr="00E031AA">
        <w:rPr>
          <w:rFonts w:ascii="Arial" w:hAnsi="Arial" w:cs="Arial"/>
          <w:color w:val="242121"/>
        </w:rPr>
        <w:t>Wallis JA said</w:t>
      </w:r>
      <w:r w:rsidR="00876F9C">
        <w:rPr>
          <w:rFonts w:ascii="Arial" w:hAnsi="Arial" w:cs="Arial"/>
          <w:color w:val="242121"/>
        </w:rPr>
        <w:t xml:space="preserve"> that</w:t>
      </w:r>
      <w:r w:rsidR="00E031AA" w:rsidRPr="00E031AA">
        <w:rPr>
          <w:rFonts w:ascii="Arial" w:hAnsi="Arial" w:cs="Arial"/>
          <w:color w:val="242121"/>
        </w:rPr>
        <w:t>:</w:t>
      </w:r>
    </w:p>
    <w:p w14:paraId="715BEB6E" w14:textId="3DACFDF1" w:rsidR="00AE4740" w:rsidRDefault="00876F9C" w:rsidP="00AB5E67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000000"/>
          <w:sz w:val="22"/>
          <w:szCs w:val="22"/>
        </w:rPr>
        <w:t>‘</w:t>
      </w:r>
      <w:r w:rsidR="00E031AA" w:rsidRPr="00876F9C">
        <w:rPr>
          <w:rFonts w:ascii="Arial" w:hAnsi="Arial" w:cs="Arial"/>
          <w:iCs/>
          <w:color w:val="000000"/>
          <w:sz w:val="22"/>
          <w:szCs w:val="22"/>
        </w:rPr>
        <w:t>T</w:t>
      </w:r>
      <w:r w:rsidR="00E031AA" w:rsidRPr="00876F9C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he need to obtain leave to appeal is a valuable tool in ensuring that scarce judicial resources are not sp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ent on appeals that lack merit.’</w:t>
      </w:r>
    </w:p>
    <w:p w14:paraId="3096D05B" w14:textId="77777777" w:rsidR="00876F9C" w:rsidRPr="00876F9C" w:rsidRDefault="00876F9C" w:rsidP="00AB5E67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  <w:sz w:val="22"/>
          <w:szCs w:val="22"/>
        </w:rPr>
      </w:pPr>
    </w:p>
    <w:p w14:paraId="1E960A0F" w14:textId="04FA1B29" w:rsidR="00876F9C" w:rsidRDefault="00162646" w:rsidP="0016264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  <w:r>
        <w:rPr>
          <w:rFonts w:ascii="Arial" w:hAnsi="Arial" w:cs="Arial"/>
          <w:color w:val="242121"/>
        </w:rPr>
        <w:t>[4]</w:t>
      </w:r>
      <w:r>
        <w:rPr>
          <w:rFonts w:ascii="Arial" w:hAnsi="Arial" w:cs="Arial"/>
          <w:color w:val="242121"/>
        </w:rPr>
        <w:tab/>
      </w:r>
      <w:hyperlink r:id="rId9" w:anchor="s17" w:history="1">
        <w:r w:rsidR="00876F9C" w:rsidRPr="00876F9C">
          <w:rPr>
            <w:rStyle w:val="Hyperlink"/>
            <w:rFonts w:ascii="Arial" w:hAnsi="Arial" w:cs="Arial"/>
            <w:bCs/>
            <w:color w:val="auto"/>
            <w:u w:val="none"/>
          </w:rPr>
          <w:t>Section 17(1)</w:t>
        </w:r>
        <w:r w:rsidR="00876F9C" w:rsidRPr="00AB5E67">
          <w:rPr>
            <w:rStyle w:val="Hyperlink"/>
            <w:rFonts w:ascii="Arial" w:hAnsi="Arial" w:cs="Arial"/>
            <w:bCs/>
            <w:i/>
            <w:color w:val="auto"/>
            <w:u w:val="none"/>
          </w:rPr>
          <w:t>(a)</w:t>
        </w:r>
        <w:r w:rsidR="00876F9C" w:rsidRPr="00876F9C">
          <w:rPr>
            <w:rStyle w:val="Hyperlink"/>
            <w:rFonts w:ascii="Arial" w:hAnsi="Arial" w:cs="Arial"/>
            <w:bCs/>
            <w:color w:val="auto"/>
            <w:u w:val="none"/>
          </w:rPr>
          <w:t>(</w:t>
        </w:r>
        <w:proofErr w:type="spellStart"/>
        <w:r w:rsidR="00876F9C" w:rsidRPr="00876F9C">
          <w:rPr>
            <w:rStyle w:val="Hyperlink"/>
            <w:rFonts w:ascii="Arial" w:hAnsi="Arial" w:cs="Arial"/>
            <w:bCs/>
            <w:color w:val="auto"/>
            <w:u w:val="none"/>
          </w:rPr>
          <w:t>i</w:t>
        </w:r>
        <w:proofErr w:type="spellEnd"/>
        <w:r w:rsidR="00876F9C" w:rsidRPr="00876F9C">
          <w:rPr>
            <w:rStyle w:val="Hyperlink"/>
            <w:rFonts w:ascii="Arial" w:hAnsi="Arial" w:cs="Arial"/>
            <w:bCs/>
            <w:color w:val="auto"/>
            <w:u w:val="none"/>
          </w:rPr>
          <w:t>)</w:t>
        </w:r>
      </w:hyperlink>
      <w:r w:rsidR="00876F9C" w:rsidRPr="00876F9C">
        <w:rPr>
          <w:rFonts w:ascii="Arial" w:hAnsi="Arial" w:cs="Arial"/>
        </w:rPr>
        <w:t> and (ii) of the </w:t>
      </w:r>
      <w:hyperlink r:id="rId10" w:history="1">
        <w:r w:rsidR="00876F9C" w:rsidRPr="00876F9C">
          <w:rPr>
            <w:rStyle w:val="Hyperlink"/>
            <w:rFonts w:ascii="Arial" w:hAnsi="Arial" w:cs="Arial"/>
            <w:bCs/>
            <w:color w:val="auto"/>
            <w:u w:val="none"/>
          </w:rPr>
          <w:t>Superior Courts Act, 10 of 2013</w:t>
        </w:r>
      </w:hyperlink>
      <w:r w:rsidR="00436E09">
        <w:rPr>
          <w:rStyle w:val="Hyperlink"/>
          <w:rFonts w:ascii="Arial" w:hAnsi="Arial" w:cs="Arial"/>
          <w:bCs/>
          <w:color w:val="auto"/>
          <w:u w:val="none"/>
        </w:rPr>
        <w:t xml:space="preserve"> (the Act)</w:t>
      </w:r>
      <w:r w:rsidR="00876F9C" w:rsidRPr="00876F9C">
        <w:rPr>
          <w:rFonts w:ascii="Arial" w:hAnsi="Arial" w:cs="Arial"/>
        </w:rPr>
        <w:t> pro</w:t>
      </w:r>
      <w:r w:rsidR="00876F9C" w:rsidRPr="00E031AA">
        <w:rPr>
          <w:rFonts w:ascii="Arial" w:hAnsi="Arial" w:cs="Arial"/>
          <w:color w:val="242121"/>
        </w:rPr>
        <w:t xml:space="preserve">vides that leave to appeal may only be given where </w:t>
      </w:r>
      <w:r w:rsidR="00876F9C">
        <w:rPr>
          <w:rFonts w:ascii="Arial" w:hAnsi="Arial" w:cs="Arial"/>
          <w:color w:val="242121"/>
        </w:rPr>
        <w:t>a</w:t>
      </w:r>
      <w:r w:rsidR="00876F9C" w:rsidRPr="00E031AA">
        <w:rPr>
          <w:rFonts w:ascii="Arial" w:hAnsi="Arial" w:cs="Arial"/>
          <w:color w:val="242121"/>
        </w:rPr>
        <w:t xml:space="preserve"> judge </w:t>
      </w:r>
      <w:r w:rsidR="00876F9C">
        <w:rPr>
          <w:rFonts w:ascii="Arial" w:hAnsi="Arial" w:cs="Arial"/>
          <w:color w:val="242121"/>
        </w:rPr>
        <w:t>is</w:t>
      </w:r>
      <w:r w:rsidR="00876F9C" w:rsidRPr="00E031AA">
        <w:rPr>
          <w:rFonts w:ascii="Arial" w:hAnsi="Arial" w:cs="Arial"/>
          <w:color w:val="242121"/>
        </w:rPr>
        <w:t xml:space="preserve"> of the opinion that the appeal would have a reasonable prospect of success or there is some other compelling reason why the appeal should be heard, including conflicting judgments on the matter under consideration. </w:t>
      </w:r>
    </w:p>
    <w:p w14:paraId="07BD61FF" w14:textId="584C5F8A" w:rsidR="00436E09" w:rsidRPr="00436E09" w:rsidRDefault="00162646" w:rsidP="0016264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Verdana" w:hAnsi="Verdana"/>
          <w:color w:val="242121"/>
          <w:sz w:val="27"/>
          <w:szCs w:val="27"/>
          <w:lang w:val="en-GB" w:bidi="ar-SA"/>
        </w:rPr>
      </w:pPr>
      <w:r w:rsidRPr="00436E09">
        <w:rPr>
          <w:rFonts w:ascii="Arial" w:hAnsi="Arial"/>
          <w:color w:val="242121"/>
          <w:sz w:val="27"/>
          <w:szCs w:val="27"/>
          <w:lang w:val="en-GB" w:bidi="ar-SA"/>
        </w:rPr>
        <w:lastRenderedPageBreak/>
        <w:t>[5]</w:t>
      </w:r>
      <w:r w:rsidRPr="00436E09">
        <w:rPr>
          <w:rFonts w:ascii="Arial" w:hAnsi="Arial"/>
          <w:color w:val="242121"/>
          <w:sz w:val="27"/>
          <w:szCs w:val="27"/>
          <w:lang w:val="en-GB" w:bidi="ar-SA"/>
        </w:rPr>
        <w:tab/>
      </w:r>
      <w:r w:rsidR="00436E09">
        <w:rPr>
          <w:rFonts w:ascii="Arial" w:hAnsi="Arial" w:cs="Arial"/>
          <w:color w:val="242121"/>
          <w:lang w:val="en-US"/>
        </w:rPr>
        <w:t>Leave to appeal may thus only be granted where a court is of the opinion that the appeal would have a reasonable prospect of success, which prospects are not too remote.</w:t>
      </w:r>
      <w:r w:rsidR="00436E09">
        <w:rPr>
          <w:rStyle w:val="FootnoteReference"/>
          <w:rFonts w:ascii="Arial" w:hAnsi="Arial" w:cs="Arial"/>
          <w:color w:val="242121"/>
          <w:lang w:val="en-US"/>
        </w:rPr>
        <w:footnoteReference w:id="2"/>
      </w:r>
      <w:r w:rsidR="00436E09">
        <w:rPr>
          <w:rFonts w:ascii="Arial" w:hAnsi="Arial" w:cs="Arial"/>
          <w:color w:val="242121"/>
          <w:lang w:val="en-US"/>
        </w:rPr>
        <w:t xml:space="preserve"> An applicant for leave to appeal faces a higher threshold</w:t>
      </w:r>
      <w:r w:rsidR="00436E09">
        <w:rPr>
          <w:rStyle w:val="FootnoteReference"/>
          <w:rFonts w:ascii="Arial" w:hAnsi="Arial" w:cs="Arial"/>
          <w:color w:val="242121"/>
          <w:lang w:val="en-US"/>
        </w:rPr>
        <w:footnoteReference w:id="3"/>
      </w:r>
      <w:r w:rsidR="00436E09">
        <w:rPr>
          <w:rFonts w:ascii="Arial" w:hAnsi="Arial" w:cs="Arial"/>
          <w:color w:val="242121"/>
          <w:lang w:val="en-US"/>
        </w:rPr>
        <w:t> </w:t>
      </w:r>
      <w:r w:rsidR="00D2414D">
        <w:rPr>
          <w:rFonts w:ascii="Arial" w:hAnsi="Arial" w:cs="Arial"/>
          <w:color w:val="242121"/>
          <w:lang w:val="en-US"/>
        </w:rPr>
        <w:t xml:space="preserve">under the provisions of the Act </w:t>
      </w:r>
      <w:r w:rsidR="00436E09">
        <w:rPr>
          <w:rFonts w:ascii="Arial" w:hAnsi="Arial" w:cs="Arial"/>
          <w:color w:val="242121"/>
          <w:lang w:val="en-US"/>
        </w:rPr>
        <w:t>than under the repealed Supreme Court Act 59 of 1959. A sound rational basis for the conclusion that there are prospects of success must be shown to exist</w:t>
      </w:r>
      <w:r w:rsidR="00436E09">
        <w:rPr>
          <w:rFonts w:ascii="Arial" w:hAnsi="Arial" w:cs="Arial"/>
          <w:b/>
          <w:bCs/>
          <w:color w:val="242121"/>
          <w:lang w:val="en-US"/>
        </w:rPr>
        <w:t>.</w:t>
      </w:r>
      <w:r w:rsidR="00436E09" w:rsidRPr="00D2414D">
        <w:rPr>
          <w:rStyle w:val="FootnoteReference"/>
          <w:rFonts w:ascii="Arial" w:hAnsi="Arial" w:cs="Arial"/>
          <w:bCs/>
          <w:color w:val="242121"/>
          <w:lang w:val="en-US"/>
        </w:rPr>
        <w:footnoteReference w:id="4"/>
      </w:r>
    </w:p>
    <w:p w14:paraId="58A55AD9" w14:textId="77777777" w:rsidR="00436E09" w:rsidRDefault="00436E09" w:rsidP="00436E09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</w:p>
    <w:p w14:paraId="6E63C6B5" w14:textId="23719752" w:rsidR="00AE4740" w:rsidRPr="00AB5E67" w:rsidRDefault="00162646" w:rsidP="0016264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  <w:r w:rsidRPr="00AB5E67">
        <w:rPr>
          <w:rFonts w:ascii="Arial" w:hAnsi="Arial" w:cs="Arial"/>
          <w:color w:val="242121"/>
        </w:rPr>
        <w:t>[6]</w:t>
      </w:r>
      <w:r w:rsidRPr="00AB5E67">
        <w:rPr>
          <w:rFonts w:ascii="Arial" w:hAnsi="Arial" w:cs="Arial"/>
          <w:color w:val="242121"/>
        </w:rPr>
        <w:tab/>
      </w:r>
      <w:r w:rsidR="00AE4740" w:rsidRPr="00AB5E67">
        <w:rPr>
          <w:rFonts w:ascii="Arial" w:hAnsi="Arial" w:cs="Arial"/>
          <w:color w:val="242121"/>
        </w:rPr>
        <w:t xml:space="preserve">In </w:t>
      </w:r>
      <w:r w:rsidR="00AB5E67">
        <w:rPr>
          <w:rFonts w:ascii="Arial" w:hAnsi="Arial" w:cs="Arial"/>
          <w:color w:val="242121"/>
        </w:rPr>
        <w:t>their</w:t>
      </w:r>
      <w:r w:rsidR="00AE4740" w:rsidRPr="00AB5E67">
        <w:rPr>
          <w:rFonts w:ascii="Arial" w:hAnsi="Arial" w:cs="Arial"/>
          <w:color w:val="242121"/>
        </w:rPr>
        <w:t xml:space="preserve"> application for leave to appeal, the applicants </w:t>
      </w:r>
      <w:r w:rsidR="00AB5E67">
        <w:rPr>
          <w:rFonts w:ascii="Arial" w:hAnsi="Arial" w:cs="Arial"/>
          <w:color w:val="242121"/>
        </w:rPr>
        <w:t xml:space="preserve">have </w:t>
      </w:r>
      <w:r w:rsidR="00AE4740" w:rsidRPr="00AB5E67">
        <w:rPr>
          <w:rFonts w:ascii="Arial" w:hAnsi="Arial" w:cs="Arial"/>
          <w:color w:val="242121"/>
        </w:rPr>
        <w:t>raised various grounds in support of the</w:t>
      </w:r>
      <w:r w:rsidR="00D2414D">
        <w:rPr>
          <w:rFonts w:ascii="Arial" w:hAnsi="Arial" w:cs="Arial"/>
          <w:color w:val="242121"/>
        </w:rPr>
        <w:t>ir</w:t>
      </w:r>
      <w:r w:rsidR="00AE4740" w:rsidRPr="00AB5E67">
        <w:rPr>
          <w:rFonts w:ascii="Arial" w:hAnsi="Arial" w:cs="Arial"/>
          <w:color w:val="242121"/>
        </w:rPr>
        <w:t xml:space="preserve"> contentions that </w:t>
      </w:r>
      <w:r w:rsidR="00AE4740" w:rsidRPr="00AB5E67">
        <w:rPr>
          <w:rFonts w:ascii="Arial" w:hAnsi="Arial" w:cs="Arial"/>
          <w:color w:val="242121"/>
          <w:lang w:val="en-US"/>
        </w:rPr>
        <w:t>there are</w:t>
      </w:r>
      <w:r w:rsidR="001C1C6D">
        <w:rPr>
          <w:rFonts w:ascii="Arial" w:hAnsi="Arial" w:cs="Arial"/>
          <w:color w:val="242121"/>
          <w:lang w:val="en-US"/>
        </w:rPr>
        <w:t xml:space="preserve"> reasonable prospects</w:t>
      </w:r>
      <w:r w:rsidR="00AE4740" w:rsidRPr="00AB5E67">
        <w:rPr>
          <w:rFonts w:ascii="Arial" w:hAnsi="Arial" w:cs="Arial"/>
          <w:color w:val="242121"/>
          <w:lang w:val="en-US"/>
        </w:rPr>
        <w:t xml:space="preserve"> that another court would grant a different order </w:t>
      </w:r>
      <w:r w:rsidR="00AB5E67">
        <w:rPr>
          <w:rFonts w:ascii="Arial" w:hAnsi="Arial" w:cs="Arial"/>
          <w:color w:val="242121"/>
          <w:lang w:val="en-US"/>
        </w:rPr>
        <w:t>to th</w:t>
      </w:r>
      <w:r w:rsidR="001C1C6D">
        <w:rPr>
          <w:rFonts w:ascii="Arial" w:hAnsi="Arial" w:cs="Arial"/>
          <w:color w:val="242121"/>
          <w:lang w:val="en-US"/>
        </w:rPr>
        <w:t>e order</w:t>
      </w:r>
      <w:r w:rsidR="00AB5E67">
        <w:rPr>
          <w:rFonts w:ascii="Arial" w:hAnsi="Arial" w:cs="Arial"/>
          <w:color w:val="242121"/>
          <w:lang w:val="en-US"/>
        </w:rPr>
        <w:t xml:space="preserve"> granted by me.</w:t>
      </w:r>
    </w:p>
    <w:p w14:paraId="4CF68DD7" w14:textId="77777777" w:rsidR="00AB5E67" w:rsidRDefault="00AB5E67" w:rsidP="00AB5E67">
      <w:pPr>
        <w:pStyle w:val="ListParagraph"/>
        <w:spacing w:after="0" w:line="360" w:lineRule="auto"/>
        <w:rPr>
          <w:rFonts w:ascii="Arial" w:hAnsi="Arial" w:cs="Arial"/>
          <w:color w:val="242121"/>
        </w:rPr>
      </w:pPr>
    </w:p>
    <w:p w14:paraId="22EAADC4" w14:textId="4B5BFFCF" w:rsidR="008806F1" w:rsidRDefault="00162646" w:rsidP="0016264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  <w:r>
        <w:rPr>
          <w:rFonts w:ascii="Arial" w:hAnsi="Arial" w:cs="Arial"/>
          <w:color w:val="242121"/>
        </w:rPr>
        <w:t>[7]</w:t>
      </w:r>
      <w:r>
        <w:rPr>
          <w:rFonts w:ascii="Arial" w:hAnsi="Arial" w:cs="Arial"/>
          <w:color w:val="242121"/>
        </w:rPr>
        <w:tab/>
      </w:r>
      <w:r w:rsidR="00AE4740" w:rsidRPr="00D2414D">
        <w:rPr>
          <w:rFonts w:ascii="Arial" w:hAnsi="Arial" w:cs="Arial"/>
          <w:color w:val="242121"/>
        </w:rPr>
        <w:t xml:space="preserve">I have </w:t>
      </w:r>
      <w:r w:rsidR="00AB5E67" w:rsidRPr="00D2414D">
        <w:rPr>
          <w:rFonts w:ascii="Arial" w:hAnsi="Arial" w:cs="Arial"/>
          <w:color w:val="242121"/>
        </w:rPr>
        <w:t>had a considerable amount of time to consider, in particular, the applicant’s notice of application for leave to appeal and the grounds stated therein</w:t>
      </w:r>
      <w:r w:rsidR="00436E09" w:rsidRPr="00D2414D">
        <w:rPr>
          <w:rFonts w:ascii="Arial" w:hAnsi="Arial" w:cs="Arial"/>
          <w:color w:val="242121"/>
        </w:rPr>
        <w:t>. I received it</w:t>
      </w:r>
      <w:r w:rsidR="00AB5E67" w:rsidRPr="00D2414D">
        <w:rPr>
          <w:rFonts w:ascii="Arial" w:hAnsi="Arial" w:cs="Arial"/>
          <w:color w:val="242121"/>
        </w:rPr>
        <w:t xml:space="preserve"> on 9 December 2022</w:t>
      </w:r>
      <w:r w:rsidR="00B5049E" w:rsidRPr="00D2414D">
        <w:rPr>
          <w:rFonts w:ascii="Arial" w:hAnsi="Arial" w:cs="Arial"/>
          <w:color w:val="242121"/>
        </w:rPr>
        <w:t>,</w:t>
      </w:r>
      <w:r w:rsidR="00AB5E67" w:rsidRPr="00D2414D">
        <w:rPr>
          <w:rFonts w:ascii="Arial" w:hAnsi="Arial" w:cs="Arial"/>
          <w:color w:val="242121"/>
        </w:rPr>
        <w:t xml:space="preserve"> after the conclusion of the judicial year</w:t>
      </w:r>
      <w:r w:rsidR="00B5049E" w:rsidRPr="00D2414D">
        <w:rPr>
          <w:rFonts w:ascii="Arial" w:hAnsi="Arial" w:cs="Arial"/>
          <w:color w:val="242121"/>
        </w:rPr>
        <w:t>,</w:t>
      </w:r>
      <w:r w:rsidR="00AB5E67" w:rsidRPr="00D2414D">
        <w:rPr>
          <w:rFonts w:ascii="Arial" w:hAnsi="Arial" w:cs="Arial"/>
          <w:color w:val="242121"/>
        </w:rPr>
        <w:t xml:space="preserve"> and </w:t>
      </w:r>
      <w:r w:rsidR="00436E09" w:rsidRPr="00D2414D">
        <w:rPr>
          <w:rFonts w:ascii="Arial" w:hAnsi="Arial" w:cs="Arial"/>
          <w:color w:val="242121"/>
        </w:rPr>
        <w:t>read it immediately</w:t>
      </w:r>
      <w:r w:rsidR="00D8713E">
        <w:rPr>
          <w:rFonts w:ascii="Arial" w:hAnsi="Arial" w:cs="Arial"/>
          <w:color w:val="242121"/>
        </w:rPr>
        <w:t xml:space="preserve"> and</w:t>
      </w:r>
      <w:r w:rsidR="00436E09" w:rsidRPr="00D2414D">
        <w:rPr>
          <w:rFonts w:ascii="Arial" w:hAnsi="Arial" w:cs="Arial"/>
          <w:color w:val="242121"/>
        </w:rPr>
        <w:t xml:space="preserve"> </w:t>
      </w:r>
      <w:r w:rsidR="00D2414D">
        <w:rPr>
          <w:rFonts w:ascii="Arial" w:hAnsi="Arial" w:cs="Arial"/>
          <w:color w:val="242121"/>
        </w:rPr>
        <w:t xml:space="preserve">I noticed that the </w:t>
      </w:r>
      <w:r w:rsidR="00D8713E">
        <w:rPr>
          <w:rFonts w:ascii="Arial" w:hAnsi="Arial" w:cs="Arial"/>
          <w:color w:val="242121"/>
        </w:rPr>
        <w:t xml:space="preserve">copy of the </w:t>
      </w:r>
      <w:r w:rsidR="00D2414D">
        <w:rPr>
          <w:rFonts w:ascii="Arial" w:hAnsi="Arial" w:cs="Arial"/>
          <w:color w:val="242121"/>
        </w:rPr>
        <w:t xml:space="preserve">notice of appeal provided to me by the Registrar was incomplete, it being obvious that at least the signature page thereof, and possibly other pages, were missing. </w:t>
      </w:r>
      <w:r w:rsidR="00436E09" w:rsidRPr="00D2414D">
        <w:rPr>
          <w:rFonts w:ascii="Arial" w:hAnsi="Arial" w:cs="Arial"/>
          <w:color w:val="242121"/>
        </w:rPr>
        <w:t xml:space="preserve">I </w:t>
      </w:r>
      <w:r w:rsidR="00AB5E67" w:rsidRPr="00D2414D">
        <w:rPr>
          <w:rFonts w:ascii="Arial" w:hAnsi="Arial" w:cs="Arial"/>
          <w:color w:val="242121"/>
        </w:rPr>
        <w:t>could</w:t>
      </w:r>
      <w:r w:rsidR="00436E09" w:rsidRPr="00D2414D">
        <w:rPr>
          <w:rFonts w:ascii="Arial" w:hAnsi="Arial" w:cs="Arial"/>
          <w:color w:val="242121"/>
        </w:rPr>
        <w:t>, however,</w:t>
      </w:r>
      <w:r w:rsidR="00AB5E67" w:rsidRPr="00D2414D">
        <w:rPr>
          <w:rFonts w:ascii="Arial" w:hAnsi="Arial" w:cs="Arial"/>
          <w:color w:val="242121"/>
        </w:rPr>
        <w:t xml:space="preserve"> not deal with the application </w:t>
      </w:r>
      <w:r w:rsidR="00436E09" w:rsidRPr="00D2414D">
        <w:rPr>
          <w:rFonts w:ascii="Arial" w:hAnsi="Arial" w:cs="Arial"/>
          <w:color w:val="242121"/>
        </w:rPr>
        <w:t xml:space="preserve">for leave to appeal </w:t>
      </w:r>
      <w:r w:rsidR="00AB5E67" w:rsidRPr="00D2414D">
        <w:rPr>
          <w:rFonts w:ascii="Arial" w:hAnsi="Arial" w:cs="Arial"/>
          <w:color w:val="242121"/>
        </w:rPr>
        <w:t>at the beginning of 2023 as I was assigned circuit court duties in Madadeni</w:t>
      </w:r>
      <w:r w:rsidR="00436E09" w:rsidRPr="00D2414D">
        <w:rPr>
          <w:rFonts w:ascii="Arial" w:hAnsi="Arial" w:cs="Arial"/>
          <w:color w:val="242121"/>
        </w:rPr>
        <w:t xml:space="preserve"> during the first session of the first term</w:t>
      </w:r>
      <w:r w:rsidR="00AB5E67" w:rsidRPr="00D2414D">
        <w:rPr>
          <w:rFonts w:ascii="Arial" w:hAnsi="Arial" w:cs="Arial"/>
          <w:color w:val="242121"/>
        </w:rPr>
        <w:t xml:space="preserve">. </w:t>
      </w:r>
      <w:r w:rsidR="00B5049E" w:rsidRPr="00D2414D">
        <w:rPr>
          <w:rFonts w:ascii="Arial" w:hAnsi="Arial" w:cs="Arial"/>
          <w:color w:val="242121"/>
        </w:rPr>
        <w:t xml:space="preserve">I returned last week from such duties. </w:t>
      </w:r>
    </w:p>
    <w:p w14:paraId="49E99475" w14:textId="2C44B19D" w:rsidR="00D2414D" w:rsidRPr="00D2414D" w:rsidRDefault="00D2414D" w:rsidP="00D2414D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</w:p>
    <w:p w14:paraId="3AA180B3" w14:textId="51E14D36" w:rsidR="008806F1" w:rsidRDefault="00162646" w:rsidP="0016264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  <w:r>
        <w:rPr>
          <w:rFonts w:ascii="Arial" w:hAnsi="Arial" w:cs="Arial"/>
          <w:color w:val="242121"/>
        </w:rPr>
        <w:t>[8]</w:t>
      </w:r>
      <w:r>
        <w:rPr>
          <w:rFonts w:ascii="Arial" w:hAnsi="Arial" w:cs="Arial"/>
          <w:color w:val="242121"/>
        </w:rPr>
        <w:tab/>
      </w:r>
      <w:r w:rsidR="00AB5E67">
        <w:rPr>
          <w:rFonts w:ascii="Arial" w:hAnsi="Arial" w:cs="Arial"/>
          <w:color w:val="242121"/>
        </w:rPr>
        <w:t xml:space="preserve">I have </w:t>
      </w:r>
      <w:r w:rsidR="00AE4740" w:rsidRPr="00AB5E67">
        <w:rPr>
          <w:rFonts w:ascii="Arial" w:hAnsi="Arial" w:cs="Arial"/>
          <w:color w:val="242121"/>
        </w:rPr>
        <w:t xml:space="preserve">considered the papers filed </w:t>
      </w:r>
      <w:r w:rsidR="008806F1">
        <w:rPr>
          <w:rFonts w:ascii="Arial" w:hAnsi="Arial" w:cs="Arial"/>
          <w:color w:val="242121"/>
        </w:rPr>
        <w:t xml:space="preserve">by the applicants, such as they are, and I have further considered the arguments, authorities and submissions </w:t>
      </w:r>
      <w:r w:rsidR="00EC0B2D">
        <w:rPr>
          <w:rFonts w:ascii="Arial" w:hAnsi="Arial" w:cs="Arial"/>
          <w:color w:val="242121"/>
        </w:rPr>
        <w:t xml:space="preserve">of the parties </w:t>
      </w:r>
      <w:r w:rsidR="00B5049E">
        <w:rPr>
          <w:rFonts w:ascii="Arial" w:hAnsi="Arial" w:cs="Arial"/>
          <w:color w:val="242121"/>
        </w:rPr>
        <w:t>addressed to me</w:t>
      </w:r>
      <w:r w:rsidR="00EC0B2D">
        <w:rPr>
          <w:rFonts w:ascii="Arial" w:hAnsi="Arial" w:cs="Arial"/>
          <w:color w:val="242121"/>
        </w:rPr>
        <w:t xml:space="preserve"> this morning.</w:t>
      </w:r>
    </w:p>
    <w:p w14:paraId="4481E506" w14:textId="77777777" w:rsidR="008806F1" w:rsidRDefault="008806F1" w:rsidP="008806F1">
      <w:pPr>
        <w:pStyle w:val="ListParagraph"/>
        <w:rPr>
          <w:rFonts w:ascii="Arial" w:hAnsi="Arial" w:cs="Arial"/>
          <w:color w:val="242121"/>
        </w:rPr>
      </w:pPr>
    </w:p>
    <w:p w14:paraId="4A3C3375" w14:textId="32F73CB9" w:rsidR="00B5049E" w:rsidRDefault="00162646" w:rsidP="0016264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  <w:r>
        <w:rPr>
          <w:rFonts w:ascii="Arial" w:hAnsi="Arial" w:cs="Arial"/>
          <w:color w:val="242121"/>
        </w:rPr>
        <w:t>[9]</w:t>
      </w:r>
      <w:r>
        <w:rPr>
          <w:rFonts w:ascii="Arial" w:hAnsi="Arial" w:cs="Arial"/>
          <w:color w:val="242121"/>
        </w:rPr>
        <w:tab/>
      </w:r>
      <w:r w:rsidR="00436E09">
        <w:rPr>
          <w:rFonts w:ascii="Arial" w:hAnsi="Arial" w:cs="Arial"/>
          <w:color w:val="242121"/>
        </w:rPr>
        <w:t>At the core of this matter is the procedure for appointing a successor to a deceased iNkosi</w:t>
      </w:r>
      <w:r w:rsidR="00D2414D">
        <w:rPr>
          <w:rFonts w:ascii="Arial" w:hAnsi="Arial" w:cs="Arial"/>
          <w:color w:val="242121"/>
        </w:rPr>
        <w:t xml:space="preserve"> within the traditional community</w:t>
      </w:r>
      <w:r w:rsidR="00436E09">
        <w:rPr>
          <w:rFonts w:ascii="Arial" w:hAnsi="Arial" w:cs="Arial"/>
          <w:color w:val="242121"/>
        </w:rPr>
        <w:t xml:space="preserve">. </w:t>
      </w:r>
      <w:r w:rsidR="008806F1">
        <w:rPr>
          <w:rFonts w:ascii="Arial" w:hAnsi="Arial" w:cs="Arial"/>
          <w:color w:val="242121"/>
        </w:rPr>
        <w:t>I am</w:t>
      </w:r>
      <w:r w:rsidR="00EC0B2D">
        <w:rPr>
          <w:rFonts w:ascii="Arial" w:hAnsi="Arial" w:cs="Arial"/>
          <w:color w:val="242121"/>
        </w:rPr>
        <w:t xml:space="preserve"> satisfied that the </w:t>
      </w:r>
      <w:r w:rsidR="001C5342">
        <w:rPr>
          <w:rFonts w:ascii="Arial" w:hAnsi="Arial" w:cs="Arial"/>
          <w:color w:val="242121"/>
        </w:rPr>
        <w:t xml:space="preserve">method of identifying a successor to an iNkosi </w:t>
      </w:r>
      <w:r w:rsidR="00D2414D">
        <w:rPr>
          <w:rFonts w:ascii="Arial" w:hAnsi="Arial" w:cs="Arial"/>
          <w:color w:val="242121"/>
        </w:rPr>
        <w:t xml:space="preserve">in the traditional community </w:t>
      </w:r>
      <w:r w:rsidR="001C5342">
        <w:rPr>
          <w:rFonts w:ascii="Arial" w:hAnsi="Arial" w:cs="Arial"/>
          <w:color w:val="242121"/>
        </w:rPr>
        <w:t xml:space="preserve">is through the male line of succession and that line runs through the eldest son of the iNkosi </w:t>
      </w:r>
      <w:r w:rsidR="00B5049E">
        <w:rPr>
          <w:rFonts w:ascii="Arial" w:hAnsi="Arial" w:cs="Arial"/>
          <w:color w:val="242121"/>
        </w:rPr>
        <w:t>and</w:t>
      </w:r>
      <w:r w:rsidR="001C5342">
        <w:rPr>
          <w:rFonts w:ascii="Arial" w:hAnsi="Arial" w:cs="Arial"/>
          <w:color w:val="242121"/>
        </w:rPr>
        <w:t xml:space="preserve"> </w:t>
      </w:r>
      <w:r w:rsidR="00D2414D">
        <w:rPr>
          <w:rFonts w:ascii="Arial" w:hAnsi="Arial" w:cs="Arial"/>
          <w:color w:val="242121"/>
        </w:rPr>
        <w:t xml:space="preserve">that son’s </w:t>
      </w:r>
      <w:r w:rsidR="001C5342">
        <w:rPr>
          <w:rFonts w:ascii="Arial" w:hAnsi="Arial" w:cs="Arial"/>
          <w:color w:val="242121"/>
        </w:rPr>
        <w:t xml:space="preserve">male progeny. If there are no male sons born of the eldest son, then the second eldest son succeeds and so on. </w:t>
      </w:r>
      <w:r w:rsidR="00B5049E">
        <w:rPr>
          <w:rFonts w:ascii="Arial" w:hAnsi="Arial" w:cs="Arial"/>
          <w:color w:val="242121"/>
        </w:rPr>
        <w:t xml:space="preserve">This was the method </w:t>
      </w:r>
      <w:r w:rsidR="00326D91">
        <w:rPr>
          <w:rFonts w:ascii="Arial" w:hAnsi="Arial" w:cs="Arial"/>
          <w:color w:val="242121"/>
        </w:rPr>
        <w:t xml:space="preserve">of succession embraced </w:t>
      </w:r>
      <w:r w:rsidR="00B5049E">
        <w:rPr>
          <w:rFonts w:ascii="Arial" w:hAnsi="Arial" w:cs="Arial"/>
          <w:color w:val="242121"/>
        </w:rPr>
        <w:t xml:space="preserve">by the </w:t>
      </w:r>
      <w:r w:rsidR="00B5049E">
        <w:rPr>
          <w:rFonts w:ascii="Arial" w:hAnsi="Arial" w:cs="Arial"/>
          <w:color w:val="242121"/>
        </w:rPr>
        <w:lastRenderedPageBreak/>
        <w:t xml:space="preserve">traditional community. </w:t>
      </w:r>
      <w:r w:rsidR="001C5342">
        <w:rPr>
          <w:rFonts w:ascii="Arial" w:hAnsi="Arial" w:cs="Arial"/>
          <w:color w:val="242121"/>
        </w:rPr>
        <w:t xml:space="preserve">There is </w:t>
      </w:r>
      <w:r w:rsidR="00326D91">
        <w:rPr>
          <w:rFonts w:ascii="Arial" w:hAnsi="Arial" w:cs="Arial"/>
          <w:color w:val="242121"/>
        </w:rPr>
        <w:t xml:space="preserve">accordingly </w:t>
      </w:r>
      <w:r w:rsidR="001C5342">
        <w:rPr>
          <w:rFonts w:ascii="Arial" w:hAnsi="Arial" w:cs="Arial"/>
          <w:color w:val="242121"/>
        </w:rPr>
        <w:t>no basis for finding, as the applicants urged me to do</w:t>
      </w:r>
      <w:r w:rsidR="00B5049E">
        <w:rPr>
          <w:rFonts w:ascii="Arial" w:hAnsi="Arial" w:cs="Arial"/>
          <w:color w:val="242121"/>
        </w:rPr>
        <w:t xml:space="preserve"> when the matter was initially argued</w:t>
      </w:r>
      <w:r w:rsidR="001C5342">
        <w:rPr>
          <w:rFonts w:ascii="Arial" w:hAnsi="Arial" w:cs="Arial"/>
          <w:color w:val="242121"/>
        </w:rPr>
        <w:t>, that upon the death of the eldest son of an iNkosi, the youngest son succeeds to the position and the</w:t>
      </w:r>
      <w:r w:rsidR="00326D91">
        <w:rPr>
          <w:rFonts w:ascii="Arial" w:hAnsi="Arial" w:cs="Arial"/>
          <w:color w:val="242121"/>
        </w:rPr>
        <w:t xml:space="preserve"> entitlement of the</w:t>
      </w:r>
      <w:r w:rsidR="001C5342">
        <w:rPr>
          <w:rFonts w:ascii="Arial" w:hAnsi="Arial" w:cs="Arial"/>
          <w:color w:val="242121"/>
        </w:rPr>
        <w:t xml:space="preserve"> male progeny of the late iNkosi</w:t>
      </w:r>
      <w:r w:rsidR="008D10AA">
        <w:rPr>
          <w:rFonts w:ascii="Arial" w:hAnsi="Arial" w:cs="Arial"/>
          <w:color w:val="242121"/>
        </w:rPr>
        <w:t xml:space="preserve">, and any other sons ranking between the deceased iNkosi and the youngest son, </w:t>
      </w:r>
      <w:r w:rsidR="001C5342">
        <w:rPr>
          <w:rFonts w:ascii="Arial" w:hAnsi="Arial" w:cs="Arial"/>
          <w:color w:val="242121"/>
        </w:rPr>
        <w:t xml:space="preserve">are to be ignored. As I noted in my judgment, if that was the case, which I found not to be the case, then the first applicant still could not succeed to the position that he covets because the youngest son of the late </w:t>
      </w:r>
      <w:r w:rsidR="001C5342">
        <w:rPr>
          <w:rFonts w:ascii="Arial" w:hAnsi="Arial" w:cs="Arial"/>
        </w:rPr>
        <w:t>Thembitshe would inherit the title, not the first applicant.</w:t>
      </w:r>
      <w:r w:rsidR="008806F1">
        <w:rPr>
          <w:rFonts w:ascii="Arial" w:hAnsi="Arial" w:cs="Arial"/>
          <w:color w:val="242121"/>
        </w:rPr>
        <w:t xml:space="preserve"> </w:t>
      </w:r>
      <w:r w:rsidR="00436E09">
        <w:rPr>
          <w:rFonts w:ascii="Arial" w:hAnsi="Arial" w:cs="Arial"/>
          <w:color w:val="242121"/>
        </w:rPr>
        <w:t>Any appeal therefore is futile, in my view.</w:t>
      </w:r>
    </w:p>
    <w:p w14:paraId="5255A3D6" w14:textId="77777777" w:rsidR="00B5049E" w:rsidRDefault="00B5049E" w:rsidP="00F4018F">
      <w:pPr>
        <w:pStyle w:val="ListParagraph"/>
        <w:spacing w:after="0" w:line="360" w:lineRule="auto"/>
        <w:rPr>
          <w:rFonts w:ascii="Arial" w:hAnsi="Arial" w:cs="Arial"/>
          <w:color w:val="242121"/>
        </w:rPr>
      </w:pPr>
    </w:p>
    <w:p w14:paraId="76658F70" w14:textId="312D53DE" w:rsidR="00677ACC" w:rsidRDefault="00162646" w:rsidP="0016264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  <w:r>
        <w:rPr>
          <w:rFonts w:ascii="Arial" w:hAnsi="Arial" w:cs="Arial"/>
          <w:color w:val="242121"/>
        </w:rPr>
        <w:t>[10]</w:t>
      </w:r>
      <w:r>
        <w:rPr>
          <w:rFonts w:ascii="Arial" w:hAnsi="Arial" w:cs="Arial"/>
          <w:color w:val="242121"/>
        </w:rPr>
        <w:tab/>
      </w:r>
      <w:r w:rsidR="00B5049E">
        <w:rPr>
          <w:rFonts w:ascii="Arial" w:hAnsi="Arial" w:cs="Arial"/>
          <w:color w:val="242121"/>
        </w:rPr>
        <w:t xml:space="preserve">It was not submitted that there </w:t>
      </w:r>
      <w:r w:rsidR="00F4018F">
        <w:rPr>
          <w:rFonts w:ascii="Arial" w:hAnsi="Arial" w:cs="Arial"/>
          <w:color w:val="242121"/>
        </w:rPr>
        <w:t>are</w:t>
      </w:r>
      <w:r w:rsidR="00B5049E">
        <w:rPr>
          <w:rFonts w:ascii="Arial" w:hAnsi="Arial" w:cs="Arial"/>
          <w:color w:val="242121"/>
        </w:rPr>
        <w:t xml:space="preserve"> any compelling reason</w:t>
      </w:r>
      <w:r w:rsidR="00436E09">
        <w:rPr>
          <w:rFonts w:ascii="Arial" w:hAnsi="Arial" w:cs="Arial"/>
          <w:color w:val="242121"/>
        </w:rPr>
        <w:t>s</w:t>
      </w:r>
      <w:r w:rsidR="00B5049E">
        <w:rPr>
          <w:rFonts w:ascii="Arial" w:hAnsi="Arial" w:cs="Arial"/>
          <w:color w:val="242121"/>
        </w:rPr>
        <w:t xml:space="preserve"> why an appeal should be allowed in the matter and I am not independently able to </w:t>
      </w:r>
      <w:r w:rsidR="00D2414D">
        <w:rPr>
          <w:rFonts w:ascii="Arial" w:hAnsi="Arial" w:cs="Arial"/>
          <w:color w:val="242121"/>
        </w:rPr>
        <w:t>conceive</w:t>
      </w:r>
      <w:r w:rsidR="00B5049E">
        <w:rPr>
          <w:rFonts w:ascii="Arial" w:hAnsi="Arial" w:cs="Arial"/>
          <w:color w:val="242121"/>
        </w:rPr>
        <w:t xml:space="preserve"> of one. </w:t>
      </w:r>
    </w:p>
    <w:p w14:paraId="7240D51B" w14:textId="77777777" w:rsidR="00677ACC" w:rsidRDefault="00677ACC" w:rsidP="00F4018F">
      <w:pPr>
        <w:pStyle w:val="ListParagraph"/>
        <w:spacing w:after="0" w:line="360" w:lineRule="auto"/>
        <w:rPr>
          <w:rFonts w:ascii="Arial" w:hAnsi="Arial" w:cs="Arial"/>
          <w:color w:val="242121"/>
        </w:rPr>
      </w:pPr>
    </w:p>
    <w:p w14:paraId="4BDB886D" w14:textId="42CF98FF" w:rsidR="008806F1" w:rsidRDefault="00162646" w:rsidP="0016264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  <w:r>
        <w:rPr>
          <w:rFonts w:ascii="Arial" w:hAnsi="Arial" w:cs="Arial"/>
          <w:color w:val="242121"/>
        </w:rPr>
        <w:t>[11]</w:t>
      </w:r>
      <w:r>
        <w:rPr>
          <w:rFonts w:ascii="Arial" w:hAnsi="Arial" w:cs="Arial"/>
          <w:color w:val="242121"/>
        </w:rPr>
        <w:tab/>
      </w:r>
      <w:r w:rsidR="00B5049E">
        <w:rPr>
          <w:rFonts w:ascii="Arial" w:hAnsi="Arial" w:cs="Arial"/>
          <w:color w:val="242121"/>
        </w:rPr>
        <w:t xml:space="preserve">It follows that I am </w:t>
      </w:r>
      <w:r w:rsidR="008806F1">
        <w:rPr>
          <w:rFonts w:ascii="Arial" w:hAnsi="Arial" w:cs="Arial"/>
          <w:color w:val="242121"/>
        </w:rPr>
        <w:t xml:space="preserve">not persuaded that </w:t>
      </w:r>
      <w:r w:rsidR="0021667C">
        <w:rPr>
          <w:rFonts w:ascii="Arial" w:hAnsi="Arial" w:cs="Arial"/>
          <w:color w:val="242121"/>
        </w:rPr>
        <w:t xml:space="preserve">there is a reasonable possibility that another court would come to a different decision than the one to which I came. </w:t>
      </w:r>
      <w:r w:rsidR="00B5049E">
        <w:rPr>
          <w:rFonts w:ascii="Arial" w:hAnsi="Arial" w:cs="Arial"/>
          <w:color w:val="242121"/>
        </w:rPr>
        <w:t xml:space="preserve">I am of the view that this is precisely the type of matter that Wallis JA was referring to in </w:t>
      </w:r>
      <w:r w:rsidR="00B5049E" w:rsidRPr="00B5049E">
        <w:rPr>
          <w:rFonts w:ascii="Arial" w:hAnsi="Arial" w:cs="Arial"/>
          <w:i/>
          <w:color w:val="242121"/>
        </w:rPr>
        <w:t>Dexgroup</w:t>
      </w:r>
      <w:r w:rsidR="00B5049E">
        <w:rPr>
          <w:rFonts w:ascii="Arial" w:hAnsi="Arial" w:cs="Arial"/>
          <w:color w:val="242121"/>
        </w:rPr>
        <w:t>, namely, an appeal that lacks merit.</w:t>
      </w:r>
    </w:p>
    <w:p w14:paraId="0C6517B8" w14:textId="77777777" w:rsidR="00B5049E" w:rsidRDefault="00B5049E" w:rsidP="00F4018F">
      <w:pPr>
        <w:pStyle w:val="ListParagraph"/>
        <w:spacing w:after="0" w:line="360" w:lineRule="auto"/>
        <w:rPr>
          <w:rFonts w:ascii="Arial" w:hAnsi="Arial" w:cs="Arial"/>
          <w:color w:val="242121"/>
        </w:rPr>
      </w:pPr>
    </w:p>
    <w:p w14:paraId="08A3C9A3" w14:textId="00511CEE" w:rsidR="00B5049E" w:rsidRPr="00E031AA" w:rsidRDefault="00162646" w:rsidP="0016264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121"/>
        </w:rPr>
      </w:pPr>
      <w:r w:rsidRPr="00E031AA">
        <w:rPr>
          <w:rFonts w:ascii="Arial" w:hAnsi="Arial" w:cs="Arial"/>
          <w:color w:val="242121"/>
        </w:rPr>
        <w:t>[12]</w:t>
      </w:r>
      <w:r w:rsidRPr="00E031AA">
        <w:rPr>
          <w:rFonts w:ascii="Arial" w:hAnsi="Arial" w:cs="Arial"/>
          <w:color w:val="242121"/>
        </w:rPr>
        <w:tab/>
      </w:r>
      <w:r w:rsidR="00B5049E">
        <w:rPr>
          <w:rFonts w:ascii="Arial" w:hAnsi="Arial" w:cs="Arial"/>
          <w:color w:val="242121"/>
        </w:rPr>
        <w:t>In the circumstances, the application for leave to appeal is dismissed with costs</w:t>
      </w:r>
      <w:r w:rsidR="00B5257A">
        <w:rPr>
          <w:rFonts w:ascii="Arial" w:hAnsi="Arial" w:cs="Arial"/>
          <w:color w:val="242121"/>
        </w:rPr>
        <w:t>, such to include the costs of senior counsel</w:t>
      </w:r>
      <w:r w:rsidR="00B5049E">
        <w:rPr>
          <w:rFonts w:ascii="Arial" w:hAnsi="Arial" w:cs="Arial"/>
          <w:color w:val="242121"/>
        </w:rPr>
        <w:t>.</w:t>
      </w:r>
    </w:p>
    <w:p w14:paraId="1EF5A80D" w14:textId="77777777" w:rsidR="00C62FBE" w:rsidRPr="00E031AA" w:rsidRDefault="00C62FBE" w:rsidP="00F4018F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8C698D" w14:textId="2BDAAC82" w:rsidR="00C62FBE" w:rsidRDefault="00C62FBE" w:rsidP="00F4018F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18C227" w14:textId="3F87B6D7" w:rsidR="00B5049E" w:rsidRDefault="00B5049E" w:rsidP="00F4018F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47E236E" w14:textId="1ECDBFE2" w:rsidR="00B5049E" w:rsidRDefault="00B5049E" w:rsidP="00F4018F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2F8DE5" w14:textId="39736739" w:rsidR="00B5049E" w:rsidRDefault="00B5049E" w:rsidP="009B6672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CBA369E" w14:textId="1B4BBFF7" w:rsidR="00C62FBE" w:rsidRPr="00E031AA" w:rsidRDefault="00656774" w:rsidP="009B6672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75D9D240" wp14:editId="3177E7E3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26285" cy="499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1" t="71602" r="42186" b="21655"/>
                    <a:stretch/>
                  </pic:blipFill>
                  <pic:spPr bwMode="auto">
                    <a:xfrm>
                      <a:off x="0" y="0"/>
                      <a:ext cx="2026285" cy="49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E108F" w14:textId="77777777" w:rsidR="00C62FBE" w:rsidRPr="00E031AA" w:rsidRDefault="00C62FBE" w:rsidP="00C62FBE">
      <w:pPr>
        <w:pStyle w:val="ListParagraph"/>
        <w:tabs>
          <w:tab w:val="left" w:pos="709"/>
        </w:tabs>
        <w:spacing w:after="0"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031AA">
        <w:rPr>
          <w:rFonts w:ascii="Arial" w:hAnsi="Arial" w:cs="Arial"/>
          <w:sz w:val="24"/>
          <w:szCs w:val="24"/>
        </w:rPr>
        <w:t>__________________________</w:t>
      </w:r>
    </w:p>
    <w:p w14:paraId="325E0A87" w14:textId="77777777" w:rsidR="00C62FBE" w:rsidRPr="00E031AA" w:rsidRDefault="00C62FBE" w:rsidP="00C62FBE">
      <w:pPr>
        <w:pStyle w:val="ListParagraph"/>
        <w:tabs>
          <w:tab w:val="left" w:pos="709"/>
        </w:tabs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CC6A8F2" w14:textId="77777777" w:rsidR="00C62FBE" w:rsidRPr="00E031AA" w:rsidRDefault="00C62FBE" w:rsidP="00C62FBE">
      <w:pPr>
        <w:pStyle w:val="ListParagraph"/>
        <w:tabs>
          <w:tab w:val="left" w:pos="709"/>
        </w:tabs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E031AA">
        <w:rPr>
          <w:rFonts w:ascii="Arial" w:hAnsi="Arial" w:cs="Arial"/>
          <w:b/>
          <w:sz w:val="24"/>
          <w:szCs w:val="24"/>
        </w:rPr>
        <w:t>MOSSOP J</w:t>
      </w:r>
    </w:p>
    <w:p w14:paraId="485EBCDF" w14:textId="77777777" w:rsidR="00B5049E" w:rsidRDefault="00B5049E" w:rsidP="00C62FBE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4B0E9489" w14:textId="6D402B13" w:rsidR="00B5049E" w:rsidRDefault="00B5049E" w:rsidP="00C62FBE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51C16020" w14:textId="2705BA82" w:rsidR="00F4018F" w:rsidRDefault="00F4018F" w:rsidP="00C62FBE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21D0E472" w14:textId="75D9E29C" w:rsidR="00D8713E" w:rsidRDefault="00D8713E" w:rsidP="00C62FBE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42D77002" w14:textId="77777777" w:rsidR="00D8713E" w:rsidRDefault="00D8713E" w:rsidP="00C62FBE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3E32BFB6" w14:textId="4176666A" w:rsidR="00C62FBE" w:rsidRPr="00E031AA" w:rsidRDefault="00C62FBE" w:rsidP="00C62FBE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00E031AA">
        <w:rPr>
          <w:rFonts w:ascii="Arial" w:eastAsia="Calibri" w:hAnsi="Arial" w:cs="Arial"/>
          <w:b/>
          <w:u w:val="single"/>
        </w:rPr>
        <w:lastRenderedPageBreak/>
        <w:t>APPEARANCES</w:t>
      </w:r>
    </w:p>
    <w:p w14:paraId="3BF16D74" w14:textId="77777777" w:rsidR="00C62FBE" w:rsidRPr="00E031AA" w:rsidRDefault="00C62FBE" w:rsidP="00C62FBE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3800C7CB" w14:textId="77777777" w:rsidR="0046743F" w:rsidRPr="00E031AA" w:rsidRDefault="0046743F" w:rsidP="00C62FBE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10FD899F" w14:textId="77777777" w:rsidR="0046743F" w:rsidRPr="00E031AA" w:rsidRDefault="0046743F" w:rsidP="00C62FBE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69954830" w14:textId="77777777" w:rsidR="00C62FBE" w:rsidRPr="00E031AA" w:rsidRDefault="00C62FBE" w:rsidP="00C62FBE">
      <w:pPr>
        <w:spacing w:line="360" w:lineRule="auto"/>
        <w:ind w:right="-82"/>
        <w:jc w:val="both"/>
        <w:rPr>
          <w:rFonts w:ascii="Arial" w:hAnsi="Arial" w:cs="Arial"/>
        </w:rPr>
      </w:pPr>
      <w:r w:rsidRPr="00E031AA">
        <w:rPr>
          <w:rFonts w:ascii="Arial" w:hAnsi="Arial" w:cs="Arial"/>
        </w:rPr>
        <w:t>Counsel for the applicants</w:t>
      </w:r>
      <w:r w:rsidRPr="00E031AA">
        <w:rPr>
          <w:rFonts w:ascii="Arial" w:hAnsi="Arial" w:cs="Arial"/>
        </w:rPr>
        <w:tab/>
      </w:r>
      <w:r w:rsidRPr="00E031AA">
        <w:rPr>
          <w:rFonts w:ascii="Arial" w:hAnsi="Arial" w:cs="Arial"/>
        </w:rPr>
        <w:tab/>
        <w:t xml:space="preserve">:  </w:t>
      </w:r>
      <w:r w:rsidRPr="00E031AA">
        <w:rPr>
          <w:rFonts w:ascii="Arial" w:hAnsi="Arial" w:cs="Arial"/>
        </w:rPr>
        <w:tab/>
      </w:r>
      <w:r w:rsidR="004F161B" w:rsidRPr="00E031AA">
        <w:rPr>
          <w:rFonts w:ascii="Arial" w:hAnsi="Arial" w:cs="Arial"/>
        </w:rPr>
        <w:tab/>
      </w:r>
      <w:r w:rsidRPr="00E031AA">
        <w:rPr>
          <w:rFonts w:ascii="Arial" w:hAnsi="Arial" w:cs="Arial"/>
        </w:rPr>
        <w:t>Mr M. N. Xulu</w:t>
      </w:r>
    </w:p>
    <w:p w14:paraId="1EFF58D1" w14:textId="77777777" w:rsidR="00C62FBE" w:rsidRPr="00E031AA" w:rsidRDefault="00C62FBE" w:rsidP="00C62FBE">
      <w:pPr>
        <w:spacing w:line="360" w:lineRule="auto"/>
        <w:ind w:right="-82"/>
        <w:jc w:val="both"/>
        <w:rPr>
          <w:rFonts w:ascii="Arial" w:hAnsi="Arial" w:cs="Arial"/>
        </w:rPr>
      </w:pPr>
      <w:r w:rsidRPr="00E031AA">
        <w:rPr>
          <w:rFonts w:ascii="Arial" w:hAnsi="Arial" w:cs="Arial"/>
        </w:rPr>
        <w:t>Instructed by:</w:t>
      </w:r>
      <w:r w:rsidRPr="00E031AA">
        <w:rPr>
          <w:rFonts w:ascii="Arial" w:hAnsi="Arial" w:cs="Arial"/>
        </w:rPr>
        <w:tab/>
      </w:r>
      <w:r w:rsidRPr="00E031AA">
        <w:rPr>
          <w:rFonts w:ascii="Arial" w:hAnsi="Arial" w:cs="Arial"/>
        </w:rPr>
        <w:tab/>
      </w:r>
      <w:r w:rsidRPr="00E031AA">
        <w:rPr>
          <w:rFonts w:ascii="Arial" w:hAnsi="Arial" w:cs="Arial"/>
        </w:rPr>
        <w:tab/>
        <w:t>:</w:t>
      </w:r>
      <w:r w:rsidRPr="00E031AA">
        <w:rPr>
          <w:rFonts w:ascii="Arial" w:hAnsi="Arial" w:cs="Arial"/>
        </w:rPr>
        <w:tab/>
      </w:r>
      <w:r w:rsidR="004F161B" w:rsidRPr="00E031AA">
        <w:rPr>
          <w:rFonts w:ascii="Arial" w:hAnsi="Arial" w:cs="Arial"/>
        </w:rPr>
        <w:tab/>
      </w:r>
      <w:r w:rsidRPr="00E031AA">
        <w:rPr>
          <w:rFonts w:ascii="Arial" w:hAnsi="Arial" w:cs="Arial"/>
        </w:rPr>
        <w:t>S N Nxumalo Attorneys Incorporated</w:t>
      </w:r>
    </w:p>
    <w:p w14:paraId="44FF1BAC" w14:textId="77777777" w:rsidR="00C62FBE" w:rsidRDefault="00C62FBE" w:rsidP="00C62FBE">
      <w:pPr>
        <w:spacing w:line="360" w:lineRule="auto"/>
        <w:ind w:right="-82"/>
        <w:jc w:val="both"/>
        <w:rPr>
          <w:rFonts w:ascii="Arial" w:hAnsi="Arial" w:cs="Arial"/>
        </w:rPr>
      </w:pPr>
      <w:r w:rsidRPr="00E031AA">
        <w:rPr>
          <w:rFonts w:ascii="Arial" w:hAnsi="Arial" w:cs="Arial"/>
        </w:rPr>
        <w:tab/>
      </w:r>
      <w:r w:rsidRPr="00E031AA">
        <w:rPr>
          <w:rFonts w:ascii="Arial" w:hAnsi="Arial" w:cs="Arial"/>
        </w:rPr>
        <w:tab/>
      </w:r>
      <w:r w:rsidRPr="00E031AA">
        <w:rPr>
          <w:rFonts w:ascii="Arial" w:hAnsi="Arial" w:cs="Arial"/>
        </w:rPr>
        <w:tab/>
      </w:r>
      <w:r w:rsidRPr="00E031A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61B">
        <w:rPr>
          <w:rFonts w:ascii="Arial" w:hAnsi="Arial" w:cs="Arial"/>
        </w:rPr>
        <w:tab/>
      </w:r>
      <w:r>
        <w:rPr>
          <w:rFonts w:ascii="Arial" w:hAnsi="Arial" w:cs="Arial"/>
        </w:rPr>
        <w:t>20 Otto Street</w:t>
      </w:r>
    </w:p>
    <w:p w14:paraId="09D575D9" w14:textId="77777777" w:rsidR="00C62FBE" w:rsidRDefault="00C62FBE" w:rsidP="00C62FBE">
      <w:pPr>
        <w:spacing w:line="360" w:lineRule="auto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61B">
        <w:rPr>
          <w:rFonts w:ascii="Arial" w:hAnsi="Arial" w:cs="Arial"/>
        </w:rPr>
        <w:tab/>
      </w:r>
      <w:r>
        <w:rPr>
          <w:rFonts w:ascii="Arial" w:hAnsi="Arial" w:cs="Arial"/>
        </w:rPr>
        <w:t>Pietermaritzburg</w:t>
      </w:r>
    </w:p>
    <w:p w14:paraId="5D16A992" w14:textId="77777777" w:rsidR="00C62FBE" w:rsidRPr="00266936" w:rsidRDefault="00C62FBE" w:rsidP="00C62FBE">
      <w:pPr>
        <w:spacing w:line="360" w:lineRule="auto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6936">
        <w:rPr>
          <w:rFonts w:ascii="Arial" w:hAnsi="Arial" w:cs="Arial"/>
        </w:rPr>
        <w:t xml:space="preserve"> </w:t>
      </w:r>
    </w:p>
    <w:p w14:paraId="49743887" w14:textId="77777777" w:rsidR="00C62FBE" w:rsidRDefault="00C62FBE" w:rsidP="00C62FBE">
      <w:pPr>
        <w:spacing w:line="360" w:lineRule="auto"/>
        <w:jc w:val="both"/>
        <w:rPr>
          <w:rFonts w:ascii="Arial" w:hAnsi="Arial" w:cs="Arial"/>
        </w:rPr>
      </w:pPr>
      <w:r w:rsidRPr="00266936">
        <w:rPr>
          <w:rFonts w:ascii="Arial" w:hAnsi="Arial" w:cs="Arial"/>
        </w:rPr>
        <w:t>Counsel for the</w:t>
      </w:r>
      <w:r>
        <w:rPr>
          <w:rFonts w:ascii="Arial" w:hAnsi="Arial" w:cs="Arial"/>
        </w:rPr>
        <w:t xml:space="preserve"> first and second</w:t>
      </w:r>
      <w:r>
        <w:rPr>
          <w:rFonts w:ascii="Arial" w:hAnsi="Arial" w:cs="Arial"/>
        </w:rPr>
        <w:tab/>
      </w:r>
      <w:r w:rsidRPr="0026693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F161B">
        <w:rPr>
          <w:rFonts w:ascii="Arial" w:hAnsi="Arial" w:cs="Arial"/>
        </w:rPr>
        <w:tab/>
      </w:r>
      <w:r>
        <w:rPr>
          <w:rFonts w:ascii="Arial" w:hAnsi="Arial" w:cs="Arial"/>
        </w:rPr>
        <w:t>Mr A. J. Dickson SC</w:t>
      </w:r>
    </w:p>
    <w:p w14:paraId="0AA981DE" w14:textId="77777777" w:rsidR="00C62FBE" w:rsidRDefault="00C62FBE" w:rsidP="00C62F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6936">
        <w:rPr>
          <w:rFonts w:ascii="Arial" w:hAnsi="Arial" w:cs="Arial"/>
        </w:rPr>
        <w:tab/>
      </w:r>
    </w:p>
    <w:p w14:paraId="23E7C790" w14:textId="77777777" w:rsidR="00C62FBE" w:rsidRDefault="00C62FBE" w:rsidP="00C62FBE">
      <w:pPr>
        <w:spacing w:line="360" w:lineRule="auto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Instructed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4F161B">
        <w:rPr>
          <w:rFonts w:ascii="Arial" w:hAnsi="Arial" w:cs="Arial"/>
        </w:rPr>
        <w:tab/>
      </w:r>
      <w:r>
        <w:rPr>
          <w:rFonts w:ascii="Arial" w:hAnsi="Arial" w:cs="Arial"/>
        </w:rPr>
        <w:t>PKX Attorneys</w:t>
      </w:r>
    </w:p>
    <w:p w14:paraId="0DDFB5B5" w14:textId="77777777" w:rsidR="00C62FBE" w:rsidRDefault="00C62FBE" w:rsidP="00C62FBE">
      <w:pPr>
        <w:spacing w:line="360" w:lineRule="auto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61B">
        <w:rPr>
          <w:rFonts w:ascii="Arial" w:hAnsi="Arial" w:cs="Arial"/>
        </w:rPr>
        <w:tab/>
      </w:r>
      <w:r>
        <w:rPr>
          <w:rFonts w:ascii="Arial" w:hAnsi="Arial" w:cs="Arial"/>
        </w:rPr>
        <w:t>Suite 36</w:t>
      </w:r>
    </w:p>
    <w:p w14:paraId="5A4AA4CA" w14:textId="77777777" w:rsidR="00C62FBE" w:rsidRDefault="00C62FBE" w:rsidP="00C62FBE">
      <w:pPr>
        <w:spacing w:line="360" w:lineRule="auto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61B">
        <w:rPr>
          <w:rFonts w:ascii="Arial" w:hAnsi="Arial" w:cs="Arial"/>
        </w:rPr>
        <w:tab/>
      </w:r>
      <w:r>
        <w:rPr>
          <w:rFonts w:ascii="Arial" w:hAnsi="Arial" w:cs="Arial"/>
        </w:rPr>
        <w:t>3 on Cascades Crescent</w:t>
      </w:r>
    </w:p>
    <w:p w14:paraId="7CA0B085" w14:textId="77777777" w:rsidR="00C62FBE" w:rsidRDefault="00C62FBE" w:rsidP="00C62FBE">
      <w:pPr>
        <w:spacing w:line="360" w:lineRule="auto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61B">
        <w:rPr>
          <w:rFonts w:ascii="Arial" w:hAnsi="Arial" w:cs="Arial"/>
        </w:rPr>
        <w:tab/>
      </w:r>
      <w:r>
        <w:rPr>
          <w:rFonts w:ascii="Arial" w:hAnsi="Arial" w:cs="Arial"/>
        </w:rPr>
        <w:t>Montrose</w:t>
      </w:r>
    </w:p>
    <w:p w14:paraId="3BA0E809" w14:textId="77777777" w:rsidR="00C62FBE" w:rsidRDefault="00C62FBE" w:rsidP="00C62FBE">
      <w:pPr>
        <w:spacing w:line="360" w:lineRule="auto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61B">
        <w:rPr>
          <w:rFonts w:ascii="Arial" w:hAnsi="Arial" w:cs="Arial"/>
        </w:rPr>
        <w:tab/>
      </w:r>
      <w:r>
        <w:rPr>
          <w:rFonts w:ascii="Arial" w:hAnsi="Arial" w:cs="Arial"/>
        </w:rPr>
        <w:t>Pietermaritzburg</w:t>
      </w:r>
    </w:p>
    <w:p w14:paraId="26F275B7" w14:textId="77777777" w:rsidR="00C62FBE" w:rsidRDefault="00C62FBE" w:rsidP="00C62FBE">
      <w:pPr>
        <w:spacing w:line="360" w:lineRule="auto"/>
        <w:ind w:left="3600" w:right="-82" w:firstLine="720"/>
        <w:jc w:val="both"/>
        <w:rPr>
          <w:rFonts w:ascii="Arial" w:hAnsi="Arial" w:cs="Arial"/>
        </w:rPr>
      </w:pPr>
    </w:p>
    <w:p w14:paraId="3E9ABC28" w14:textId="53C1D3D1" w:rsidR="00C62FBE" w:rsidRDefault="00C62FBE" w:rsidP="00C62FBE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Date of Hearing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266936">
        <w:rPr>
          <w:rFonts w:ascii="Arial" w:eastAsia="Calibri" w:hAnsi="Arial" w:cs="Arial"/>
        </w:rPr>
        <w:t>:</w:t>
      </w:r>
      <w:r w:rsidRPr="00266936">
        <w:rPr>
          <w:rFonts w:ascii="Arial" w:eastAsia="Calibri" w:hAnsi="Arial" w:cs="Arial"/>
        </w:rPr>
        <w:tab/>
      </w:r>
      <w:r w:rsidR="004F161B">
        <w:rPr>
          <w:rFonts w:ascii="Arial" w:eastAsia="Calibri" w:hAnsi="Arial" w:cs="Arial"/>
        </w:rPr>
        <w:tab/>
      </w:r>
      <w:r w:rsidR="00AE755C">
        <w:rPr>
          <w:rFonts w:ascii="Arial" w:eastAsia="Calibri" w:hAnsi="Arial" w:cs="Arial"/>
        </w:rPr>
        <w:t>28 February 2023</w:t>
      </w:r>
    </w:p>
    <w:p w14:paraId="513119BB" w14:textId="77777777" w:rsidR="00C62FBE" w:rsidRPr="00266936" w:rsidRDefault="00C62FBE" w:rsidP="00C62FBE">
      <w:pPr>
        <w:spacing w:line="360" w:lineRule="auto"/>
        <w:jc w:val="both"/>
        <w:rPr>
          <w:rFonts w:ascii="Arial" w:eastAsia="Calibri" w:hAnsi="Arial" w:cs="Arial"/>
        </w:rPr>
      </w:pPr>
    </w:p>
    <w:p w14:paraId="63B4F48C" w14:textId="58F6FC1A" w:rsidR="00C62FBE" w:rsidRPr="00266936" w:rsidRDefault="00C62FBE" w:rsidP="00C62FBE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Date of Judgment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266936">
        <w:rPr>
          <w:rFonts w:ascii="Arial" w:eastAsia="Calibri" w:hAnsi="Arial" w:cs="Arial"/>
        </w:rPr>
        <w:t>:</w:t>
      </w:r>
      <w:r w:rsidRPr="00266936">
        <w:rPr>
          <w:rFonts w:ascii="Arial" w:eastAsia="Calibri" w:hAnsi="Arial" w:cs="Arial"/>
        </w:rPr>
        <w:tab/>
      </w:r>
      <w:r w:rsidR="004F161B">
        <w:rPr>
          <w:rFonts w:ascii="Arial" w:eastAsia="Calibri" w:hAnsi="Arial" w:cs="Arial"/>
        </w:rPr>
        <w:tab/>
      </w:r>
      <w:r w:rsidR="00AE755C">
        <w:rPr>
          <w:rFonts w:ascii="Arial" w:eastAsia="Calibri" w:hAnsi="Arial" w:cs="Arial"/>
        </w:rPr>
        <w:t>2</w:t>
      </w:r>
      <w:r w:rsidR="00D51A01">
        <w:rPr>
          <w:rFonts w:ascii="Arial" w:eastAsia="Calibri" w:hAnsi="Arial" w:cs="Arial"/>
        </w:rPr>
        <w:t xml:space="preserve">8 </w:t>
      </w:r>
      <w:r w:rsidR="00AE755C">
        <w:rPr>
          <w:rFonts w:ascii="Arial" w:eastAsia="Calibri" w:hAnsi="Arial" w:cs="Arial"/>
        </w:rPr>
        <w:t xml:space="preserve">February </w:t>
      </w:r>
      <w:r w:rsidRPr="00266936">
        <w:rPr>
          <w:rFonts w:ascii="Arial" w:eastAsia="Calibri" w:hAnsi="Arial" w:cs="Arial"/>
        </w:rPr>
        <w:t>202</w:t>
      </w:r>
      <w:r w:rsidR="00AE755C">
        <w:rPr>
          <w:rFonts w:ascii="Arial" w:eastAsia="Calibri" w:hAnsi="Arial" w:cs="Arial"/>
        </w:rPr>
        <w:t>3</w:t>
      </w:r>
    </w:p>
    <w:p w14:paraId="301681FE" w14:textId="77777777" w:rsidR="00C62FBE" w:rsidRPr="00266936" w:rsidRDefault="00C62FBE" w:rsidP="00C62FB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A85ACA9" w14:textId="77777777" w:rsidR="00563988" w:rsidRPr="00563988" w:rsidRDefault="00563988" w:rsidP="00563988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563988" w:rsidRPr="00563988" w:rsidSect="00F02260">
      <w:head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05E20" w14:textId="77777777" w:rsidR="008B42A2" w:rsidRDefault="008B42A2" w:rsidP="00E002CA">
      <w:r>
        <w:separator/>
      </w:r>
    </w:p>
  </w:endnote>
  <w:endnote w:type="continuationSeparator" w:id="0">
    <w:p w14:paraId="0B3649DC" w14:textId="77777777" w:rsidR="008B42A2" w:rsidRDefault="008B42A2" w:rsidP="00E0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2E87F" w14:textId="77777777" w:rsidR="008B42A2" w:rsidRDefault="008B42A2" w:rsidP="00E002CA">
      <w:r>
        <w:separator/>
      </w:r>
    </w:p>
  </w:footnote>
  <w:footnote w:type="continuationSeparator" w:id="0">
    <w:p w14:paraId="02854AA7" w14:textId="77777777" w:rsidR="008B42A2" w:rsidRDefault="008B42A2" w:rsidP="00E002CA">
      <w:r>
        <w:continuationSeparator/>
      </w:r>
    </w:p>
  </w:footnote>
  <w:footnote w:id="1">
    <w:p w14:paraId="10AF2E3F" w14:textId="1EE6BFAF" w:rsidR="001C5342" w:rsidRPr="00876F9C" w:rsidRDefault="001C5342" w:rsidP="00876F9C">
      <w:pPr>
        <w:pStyle w:val="FootnoteText"/>
        <w:jc w:val="both"/>
        <w:rPr>
          <w:rFonts w:ascii="Arial" w:hAnsi="Arial" w:cs="Arial"/>
          <w:lang w:val="en-US"/>
        </w:rPr>
      </w:pPr>
      <w:r w:rsidRPr="00876F9C">
        <w:rPr>
          <w:rStyle w:val="FootnoteReference"/>
          <w:rFonts w:ascii="Arial" w:hAnsi="Arial" w:cs="Arial"/>
        </w:rPr>
        <w:footnoteRef/>
      </w:r>
      <w:r w:rsidRPr="00876F9C">
        <w:rPr>
          <w:rFonts w:ascii="Arial" w:hAnsi="Arial" w:cs="Arial"/>
        </w:rPr>
        <w:t xml:space="preserve"> </w:t>
      </w:r>
      <w:r w:rsidRPr="00876F9C">
        <w:rPr>
          <w:rFonts w:ascii="Arial" w:hAnsi="Arial" w:cs="Arial"/>
          <w:i/>
          <w:iCs/>
          <w:color w:val="000000"/>
          <w:shd w:val="clear" w:color="auto" w:fill="FFFFFF"/>
        </w:rPr>
        <w:t>Dexgroup (Pty) Ltd v Trustco Group International (Pty) Ltd</w:t>
      </w:r>
      <w:r w:rsidRPr="00876F9C">
        <w:rPr>
          <w:rFonts w:ascii="Arial" w:hAnsi="Arial" w:cs="Arial"/>
          <w:color w:val="000000"/>
          <w:shd w:val="clear" w:color="auto" w:fill="FFFFFF"/>
        </w:rPr>
        <w:t xml:space="preserve"> 2013 (6) SA 520 (SCA) para 24.</w:t>
      </w:r>
    </w:p>
  </w:footnote>
  <w:footnote w:id="2">
    <w:p w14:paraId="7FF88168" w14:textId="71E03AE8" w:rsidR="00436E09" w:rsidRPr="00436E09" w:rsidRDefault="00436E09" w:rsidP="00436E09">
      <w:pPr>
        <w:pStyle w:val="FootnoteText"/>
        <w:jc w:val="both"/>
        <w:rPr>
          <w:rFonts w:ascii="Arial" w:hAnsi="Arial" w:cs="Arial"/>
          <w:lang w:val="en-US"/>
        </w:rPr>
      </w:pPr>
      <w:r w:rsidRPr="00436E09">
        <w:rPr>
          <w:rStyle w:val="FootnoteReference"/>
          <w:rFonts w:ascii="Arial" w:hAnsi="Arial" w:cs="Arial"/>
        </w:rPr>
        <w:footnoteRef/>
      </w:r>
      <w:r w:rsidRPr="00436E09">
        <w:rPr>
          <w:rFonts w:ascii="Arial" w:hAnsi="Arial" w:cs="Arial"/>
        </w:rPr>
        <w:t xml:space="preserve"> </w:t>
      </w:r>
      <w:r w:rsidRPr="00436E09">
        <w:rPr>
          <w:rFonts w:ascii="Arial" w:eastAsia="Times New Roman" w:hAnsi="Arial" w:cs="Arial"/>
          <w:i/>
          <w:shd w:val="clear" w:color="auto" w:fill="FFFFFF"/>
          <w:lang w:val="en-ZA" w:eastAsia="en-GB" w:bidi="yi-Hebr"/>
        </w:rPr>
        <w:t>Ramakatsa and Others v African National Congress and Another</w:t>
      </w:r>
      <w:r w:rsidRPr="00436E09">
        <w:rPr>
          <w:rFonts w:ascii="Arial" w:eastAsia="Times New Roman" w:hAnsi="Arial" w:cs="Arial"/>
          <w:shd w:val="clear" w:color="auto" w:fill="FFFFFF"/>
          <w:lang w:val="en-ZA" w:eastAsia="en-GB" w:bidi="yi-Hebr"/>
        </w:rPr>
        <w:t> </w:t>
      </w:r>
      <w:hyperlink r:id="rId1" w:tooltip="View LawCiteRecord" w:history="1">
        <w:r w:rsidRPr="00436E09">
          <w:rPr>
            <w:rFonts w:ascii="Arial" w:eastAsia="Times New Roman" w:hAnsi="Arial" w:cs="Arial"/>
            <w:bCs/>
            <w:shd w:val="clear" w:color="auto" w:fill="FFFFFF"/>
            <w:lang w:val="en-ZA" w:eastAsia="en-GB" w:bidi="yi-Hebr"/>
          </w:rPr>
          <w:t>[2021] JOL 49993</w:t>
        </w:r>
      </w:hyperlink>
      <w:r w:rsidRPr="00436E09">
        <w:rPr>
          <w:rFonts w:ascii="Arial" w:eastAsia="Times New Roman" w:hAnsi="Arial" w:cs="Arial"/>
          <w:shd w:val="clear" w:color="auto" w:fill="FFFFFF"/>
          <w:lang w:val="en-ZA" w:eastAsia="en-GB" w:bidi="yi-Hebr"/>
        </w:rPr>
        <w:t> (SCA) para [10]</w:t>
      </w:r>
    </w:p>
  </w:footnote>
  <w:footnote w:id="3">
    <w:p w14:paraId="7CD95252" w14:textId="6F5C36F6" w:rsidR="00436E09" w:rsidRPr="00436E09" w:rsidRDefault="00436E09" w:rsidP="00436E09">
      <w:pPr>
        <w:pStyle w:val="FootnoteText"/>
        <w:jc w:val="both"/>
        <w:rPr>
          <w:rFonts w:ascii="Arial" w:hAnsi="Arial" w:cs="Arial"/>
          <w:lang w:val="en-US"/>
        </w:rPr>
      </w:pPr>
      <w:r w:rsidRPr="00436E09">
        <w:rPr>
          <w:rStyle w:val="FootnoteReference"/>
          <w:rFonts w:ascii="Arial" w:hAnsi="Arial" w:cs="Arial"/>
        </w:rPr>
        <w:footnoteRef/>
      </w:r>
      <w:r w:rsidRPr="00436E09">
        <w:rPr>
          <w:rFonts w:ascii="Arial" w:hAnsi="Arial" w:cs="Arial"/>
        </w:rPr>
        <w:t xml:space="preserve"> </w:t>
      </w:r>
      <w:r w:rsidRPr="00436E09">
        <w:rPr>
          <w:rFonts w:ascii="Arial" w:hAnsi="Arial" w:cs="Arial"/>
          <w:i/>
          <w:shd w:val="clear" w:color="auto" w:fill="FFFFFF"/>
        </w:rPr>
        <w:t>S v Notshokovu</w:t>
      </w:r>
      <w:r w:rsidRPr="00436E09">
        <w:rPr>
          <w:rFonts w:ascii="Arial" w:hAnsi="Arial" w:cs="Arial"/>
          <w:shd w:val="clear" w:color="auto" w:fill="FFFFFF"/>
        </w:rPr>
        <w:t xml:space="preserve"> Unreported SCA case no 157/15 dated 7 September 2016, para [2]</w:t>
      </w:r>
    </w:p>
  </w:footnote>
  <w:footnote w:id="4">
    <w:p w14:paraId="19A79BBF" w14:textId="4ACEAFD5" w:rsidR="00436E09" w:rsidRPr="00436E09" w:rsidRDefault="00436E09" w:rsidP="00436E09">
      <w:pPr>
        <w:pStyle w:val="FootnoteText"/>
        <w:jc w:val="both"/>
        <w:rPr>
          <w:rFonts w:ascii="Arial" w:hAnsi="Arial" w:cs="Arial"/>
          <w:lang w:val="en-US"/>
        </w:rPr>
      </w:pPr>
      <w:r w:rsidRPr="00436E09">
        <w:rPr>
          <w:rStyle w:val="FootnoteReference"/>
          <w:rFonts w:ascii="Arial" w:hAnsi="Arial" w:cs="Arial"/>
        </w:rPr>
        <w:footnoteRef/>
      </w:r>
      <w:r w:rsidRPr="00436E09">
        <w:rPr>
          <w:rFonts w:ascii="Arial" w:hAnsi="Arial" w:cs="Arial"/>
        </w:rPr>
        <w:t xml:space="preserve"> </w:t>
      </w:r>
      <w:r w:rsidRPr="00436E09">
        <w:rPr>
          <w:rFonts w:ascii="Arial" w:eastAsia="Times New Roman" w:hAnsi="Arial" w:cs="Arial"/>
          <w:i/>
          <w:shd w:val="clear" w:color="auto" w:fill="FFFFFF"/>
          <w:lang w:val="en-ZA" w:eastAsia="en-GB" w:bidi="yi-Hebr"/>
        </w:rPr>
        <w:t>Smith v S</w:t>
      </w:r>
      <w:r w:rsidRPr="00436E09">
        <w:rPr>
          <w:rFonts w:ascii="Arial" w:eastAsia="Times New Roman" w:hAnsi="Arial" w:cs="Arial"/>
          <w:shd w:val="clear" w:color="auto" w:fill="FFFFFF"/>
          <w:lang w:val="en-ZA" w:eastAsia="en-GB" w:bidi="yi-Hebr"/>
        </w:rPr>
        <w:t> </w:t>
      </w:r>
      <w:hyperlink r:id="rId2" w:tooltip="View LawCiteRecord" w:history="1">
        <w:r w:rsidRPr="00436E09">
          <w:rPr>
            <w:rFonts w:ascii="Arial" w:eastAsia="Times New Roman" w:hAnsi="Arial" w:cs="Arial"/>
            <w:bCs/>
            <w:shd w:val="clear" w:color="auto" w:fill="FFFFFF"/>
            <w:lang w:val="en-ZA" w:eastAsia="en-GB" w:bidi="yi-Hebr"/>
          </w:rPr>
          <w:t>[2011] ZASCA 15</w:t>
        </w:r>
      </w:hyperlink>
      <w:r w:rsidRPr="00436E09">
        <w:rPr>
          <w:rFonts w:ascii="Arial" w:eastAsia="Times New Roman" w:hAnsi="Arial" w:cs="Arial"/>
          <w:shd w:val="clear" w:color="auto" w:fill="FFFFFF"/>
          <w:lang w:val="en-ZA" w:eastAsia="en-GB" w:bidi="yi-Hebr"/>
        </w:rPr>
        <w:t xml:space="preserve">; </w:t>
      </w:r>
      <w:r w:rsidRPr="00436E09">
        <w:rPr>
          <w:rFonts w:ascii="Arial" w:eastAsia="Times New Roman" w:hAnsi="Arial" w:cs="Arial"/>
          <w:i/>
          <w:shd w:val="clear" w:color="auto" w:fill="FFFFFF"/>
          <w:lang w:val="en-ZA" w:eastAsia="en-GB" w:bidi="yi-Hebr"/>
        </w:rPr>
        <w:t>MEC for Health, Eastern Cape v Mkhitha</w:t>
      </w:r>
      <w:r w:rsidRPr="00436E09">
        <w:rPr>
          <w:rFonts w:ascii="Arial" w:eastAsia="Times New Roman" w:hAnsi="Arial" w:cs="Arial"/>
          <w:shd w:val="clear" w:color="auto" w:fill="FFFFFF"/>
          <w:lang w:val="en-ZA" w:eastAsia="en-GB" w:bidi="yi-Hebr"/>
        </w:rPr>
        <w:t> </w:t>
      </w:r>
      <w:hyperlink r:id="rId3" w:tooltip="View LawCiteRecord" w:history="1">
        <w:r w:rsidRPr="00436E09">
          <w:rPr>
            <w:rFonts w:ascii="Arial" w:eastAsia="Times New Roman" w:hAnsi="Arial" w:cs="Arial"/>
            <w:bCs/>
            <w:shd w:val="clear" w:color="auto" w:fill="FFFFFF"/>
            <w:lang w:val="en-ZA" w:eastAsia="en-GB" w:bidi="yi-Hebr"/>
          </w:rPr>
          <w:t>[2016] ZASCA 176</w:t>
        </w:r>
      </w:hyperlink>
      <w:r w:rsidRPr="00436E09">
        <w:rPr>
          <w:rFonts w:ascii="Arial" w:eastAsia="Times New Roman" w:hAnsi="Arial" w:cs="Arial"/>
          <w:shd w:val="clear" w:color="auto" w:fill="FFFFFF"/>
          <w:lang w:val="en-ZA" w:eastAsia="en-GB" w:bidi="yi-Hebr"/>
        </w:rPr>
        <w:t>, para [17]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63207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EEF6487" w14:textId="09DE0858" w:rsidR="001C5342" w:rsidRPr="008F3D74" w:rsidRDefault="001C5342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8F3D74">
          <w:rPr>
            <w:rFonts w:ascii="Arial" w:hAnsi="Arial" w:cs="Arial"/>
            <w:sz w:val="24"/>
            <w:szCs w:val="24"/>
          </w:rPr>
          <w:fldChar w:fldCharType="begin"/>
        </w:r>
        <w:r w:rsidRPr="008F3D7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F3D74">
          <w:rPr>
            <w:rFonts w:ascii="Arial" w:hAnsi="Arial" w:cs="Arial"/>
            <w:sz w:val="24"/>
            <w:szCs w:val="24"/>
          </w:rPr>
          <w:fldChar w:fldCharType="separate"/>
        </w:r>
        <w:r w:rsidR="00162646">
          <w:rPr>
            <w:rFonts w:ascii="Arial" w:hAnsi="Arial" w:cs="Arial"/>
            <w:noProof/>
            <w:sz w:val="24"/>
            <w:szCs w:val="24"/>
          </w:rPr>
          <w:t>5</w:t>
        </w:r>
        <w:r w:rsidRPr="008F3D7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0F04B5C" w14:textId="77777777" w:rsidR="001C5342" w:rsidRDefault="001C5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DCD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44C19"/>
    <w:multiLevelType w:val="hybridMultilevel"/>
    <w:tmpl w:val="35C4F590"/>
    <w:lvl w:ilvl="0" w:tplc="EAAE949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4A9D"/>
    <w:multiLevelType w:val="hybridMultilevel"/>
    <w:tmpl w:val="376214FE"/>
    <w:lvl w:ilvl="0" w:tplc="90046972">
      <w:start w:val="1"/>
      <w:numFmt w:val="decimal"/>
      <w:lvlText w:val="[%1]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2C1F"/>
    <w:multiLevelType w:val="hybridMultilevel"/>
    <w:tmpl w:val="F8047BE2"/>
    <w:lvl w:ilvl="0" w:tplc="2D1E331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1AFD"/>
    <w:multiLevelType w:val="hybridMultilevel"/>
    <w:tmpl w:val="59603F4A"/>
    <w:lvl w:ilvl="0" w:tplc="5C463C68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0862"/>
    <w:multiLevelType w:val="hybridMultilevel"/>
    <w:tmpl w:val="C8863F2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04D8"/>
    <w:multiLevelType w:val="hybridMultilevel"/>
    <w:tmpl w:val="7D26907E"/>
    <w:lvl w:ilvl="0" w:tplc="A52E872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97761"/>
    <w:multiLevelType w:val="hybridMultilevel"/>
    <w:tmpl w:val="64962BC0"/>
    <w:lvl w:ilvl="0" w:tplc="736A4766">
      <w:start w:val="2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75D"/>
    <w:multiLevelType w:val="hybridMultilevel"/>
    <w:tmpl w:val="E1A63F50"/>
    <w:lvl w:ilvl="0" w:tplc="5EEE68A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299"/>
    <w:multiLevelType w:val="hybridMultilevel"/>
    <w:tmpl w:val="CA804564"/>
    <w:lvl w:ilvl="0" w:tplc="91FE302C">
      <w:start w:val="1"/>
      <w:numFmt w:val="decimal"/>
      <w:lvlText w:val="[%1]"/>
      <w:lvlJc w:val="left"/>
      <w:pPr>
        <w:ind w:left="2629" w:hanging="360"/>
      </w:pPr>
      <w:rPr>
        <w:rFonts w:ascii="Arial" w:hAnsi="Arial" w:hint="default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595239C"/>
    <w:multiLevelType w:val="hybridMultilevel"/>
    <w:tmpl w:val="A300D05C"/>
    <w:lvl w:ilvl="0" w:tplc="EA28910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41F73"/>
    <w:multiLevelType w:val="hybridMultilevel"/>
    <w:tmpl w:val="F16E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D5BC1"/>
    <w:multiLevelType w:val="hybridMultilevel"/>
    <w:tmpl w:val="970C44B2"/>
    <w:lvl w:ilvl="0" w:tplc="5C463C68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EB1"/>
    <w:multiLevelType w:val="hybridMultilevel"/>
    <w:tmpl w:val="5D6A3D7A"/>
    <w:lvl w:ilvl="0" w:tplc="052E1412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AF5F2B"/>
    <w:multiLevelType w:val="hybridMultilevel"/>
    <w:tmpl w:val="00EC9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94DC6"/>
    <w:multiLevelType w:val="hybridMultilevel"/>
    <w:tmpl w:val="97541C80"/>
    <w:lvl w:ilvl="0" w:tplc="5C463C68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054EA"/>
    <w:multiLevelType w:val="hybridMultilevel"/>
    <w:tmpl w:val="937C60B6"/>
    <w:lvl w:ilvl="0" w:tplc="5C463C68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93DA3"/>
    <w:multiLevelType w:val="hybridMultilevel"/>
    <w:tmpl w:val="F2648538"/>
    <w:lvl w:ilvl="0" w:tplc="5C463C68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F3E9E"/>
    <w:multiLevelType w:val="hybridMultilevel"/>
    <w:tmpl w:val="8CAAC96E"/>
    <w:lvl w:ilvl="0" w:tplc="2018B63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2"/>
  </w:num>
  <w:num w:numId="9">
    <w:abstractNumId w:val="18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0"/>
    <w:rsid w:val="00007620"/>
    <w:rsid w:val="00033C53"/>
    <w:rsid w:val="0004205E"/>
    <w:rsid w:val="000443B8"/>
    <w:rsid w:val="0004573D"/>
    <w:rsid w:val="00047FCA"/>
    <w:rsid w:val="000502D8"/>
    <w:rsid w:val="000517CB"/>
    <w:rsid w:val="0006217B"/>
    <w:rsid w:val="00070053"/>
    <w:rsid w:val="0007611C"/>
    <w:rsid w:val="000777FD"/>
    <w:rsid w:val="000804EF"/>
    <w:rsid w:val="0008291A"/>
    <w:rsid w:val="00082D4E"/>
    <w:rsid w:val="000831E8"/>
    <w:rsid w:val="000852AD"/>
    <w:rsid w:val="0009595E"/>
    <w:rsid w:val="000A1173"/>
    <w:rsid w:val="000A2E18"/>
    <w:rsid w:val="000A41E2"/>
    <w:rsid w:val="000A44C4"/>
    <w:rsid w:val="000A62E5"/>
    <w:rsid w:val="000B147C"/>
    <w:rsid w:val="000B3068"/>
    <w:rsid w:val="000B6F94"/>
    <w:rsid w:val="000C21C3"/>
    <w:rsid w:val="000D4887"/>
    <w:rsid w:val="000E04BD"/>
    <w:rsid w:val="000E0E61"/>
    <w:rsid w:val="000E2301"/>
    <w:rsid w:val="000F59F1"/>
    <w:rsid w:val="00105E80"/>
    <w:rsid w:val="00112BBA"/>
    <w:rsid w:val="00112EF0"/>
    <w:rsid w:val="00113F3D"/>
    <w:rsid w:val="001205E5"/>
    <w:rsid w:val="001233A4"/>
    <w:rsid w:val="00137153"/>
    <w:rsid w:val="001374E5"/>
    <w:rsid w:val="00144C94"/>
    <w:rsid w:val="00151108"/>
    <w:rsid w:val="00153B24"/>
    <w:rsid w:val="00162299"/>
    <w:rsid w:val="0016258B"/>
    <w:rsid w:val="00162646"/>
    <w:rsid w:val="00171B85"/>
    <w:rsid w:val="00181DD3"/>
    <w:rsid w:val="00183E6B"/>
    <w:rsid w:val="00184D66"/>
    <w:rsid w:val="001909EC"/>
    <w:rsid w:val="00192D9B"/>
    <w:rsid w:val="001A2281"/>
    <w:rsid w:val="001B16C6"/>
    <w:rsid w:val="001B27F0"/>
    <w:rsid w:val="001B64B6"/>
    <w:rsid w:val="001B7DC4"/>
    <w:rsid w:val="001C138B"/>
    <w:rsid w:val="001C1C6D"/>
    <w:rsid w:val="001C4586"/>
    <w:rsid w:val="001C5342"/>
    <w:rsid w:val="001E362E"/>
    <w:rsid w:val="001F1B49"/>
    <w:rsid w:val="001F71CF"/>
    <w:rsid w:val="002003E4"/>
    <w:rsid w:val="002025BA"/>
    <w:rsid w:val="002039A5"/>
    <w:rsid w:val="00204213"/>
    <w:rsid w:val="00213826"/>
    <w:rsid w:val="0021516C"/>
    <w:rsid w:val="0021667C"/>
    <w:rsid w:val="00221470"/>
    <w:rsid w:val="00221B60"/>
    <w:rsid w:val="00224A49"/>
    <w:rsid w:val="00225A17"/>
    <w:rsid w:val="0022623C"/>
    <w:rsid w:val="00234CC1"/>
    <w:rsid w:val="002560CB"/>
    <w:rsid w:val="00257371"/>
    <w:rsid w:val="0026636F"/>
    <w:rsid w:val="002748DB"/>
    <w:rsid w:val="0027660A"/>
    <w:rsid w:val="0028004B"/>
    <w:rsid w:val="00283714"/>
    <w:rsid w:val="002855F1"/>
    <w:rsid w:val="00291116"/>
    <w:rsid w:val="00293A2F"/>
    <w:rsid w:val="00294BFE"/>
    <w:rsid w:val="002963CC"/>
    <w:rsid w:val="002A113E"/>
    <w:rsid w:val="002A2592"/>
    <w:rsid w:val="002A588F"/>
    <w:rsid w:val="002B2137"/>
    <w:rsid w:val="002B2855"/>
    <w:rsid w:val="002B7F41"/>
    <w:rsid w:val="002C2ACD"/>
    <w:rsid w:val="002C383F"/>
    <w:rsid w:val="002D6E18"/>
    <w:rsid w:val="002D7AD3"/>
    <w:rsid w:val="002D7B71"/>
    <w:rsid w:val="002E1119"/>
    <w:rsid w:val="002E1455"/>
    <w:rsid w:val="002E1D89"/>
    <w:rsid w:val="002E33A5"/>
    <w:rsid w:val="002E4E1F"/>
    <w:rsid w:val="002E52FC"/>
    <w:rsid w:val="002E57C1"/>
    <w:rsid w:val="002E6167"/>
    <w:rsid w:val="002E6460"/>
    <w:rsid w:val="002F2A6B"/>
    <w:rsid w:val="00301A36"/>
    <w:rsid w:val="00305C0E"/>
    <w:rsid w:val="00307387"/>
    <w:rsid w:val="00310AB0"/>
    <w:rsid w:val="0031570A"/>
    <w:rsid w:val="003215BC"/>
    <w:rsid w:val="003242FF"/>
    <w:rsid w:val="00326D22"/>
    <w:rsid w:val="00326D91"/>
    <w:rsid w:val="0032743F"/>
    <w:rsid w:val="003303FA"/>
    <w:rsid w:val="003336B3"/>
    <w:rsid w:val="00334078"/>
    <w:rsid w:val="00335F6E"/>
    <w:rsid w:val="0034043C"/>
    <w:rsid w:val="003523B0"/>
    <w:rsid w:val="00362CF8"/>
    <w:rsid w:val="003633B0"/>
    <w:rsid w:val="0036615F"/>
    <w:rsid w:val="00373EE6"/>
    <w:rsid w:val="003778E1"/>
    <w:rsid w:val="00384614"/>
    <w:rsid w:val="003846E9"/>
    <w:rsid w:val="003A2D1F"/>
    <w:rsid w:val="003A565C"/>
    <w:rsid w:val="003B0941"/>
    <w:rsid w:val="003B21C2"/>
    <w:rsid w:val="003B4F04"/>
    <w:rsid w:val="003C0C4D"/>
    <w:rsid w:val="003C27C1"/>
    <w:rsid w:val="003C294B"/>
    <w:rsid w:val="003C407C"/>
    <w:rsid w:val="003D08EE"/>
    <w:rsid w:val="003D6583"/>
    <w:rsid w:val="003E4B3C"/>
    <w:rsid w:val="003F15EA"/>
    <w:rsid w:val="003F4CC5"/>
    <w:rsid w:val="003F5D3D"/>
    <w:rsid w:val="003F6554"/>
    <w:rsid w:val="00402148"/>
    <w:rsid w:val="00413786"/>
    <w:rsid w:val="00415780"/>
    <w:rsid w:val="0041705D"/>
    <w:rsid w:val="00436542"/>
    <w:rsid w:val="00436E09"/>
    <w:rsid w:val="0044106A"/>
    <w:rsid w:val="0044358B"/>
    <w:rsid w:val="00444A3B"/>
    <w:rsid w:val="004528E8"/>
    <w:rsid w:val="004627A0"/>
    <w:rsid w:val="004627BD"/>
    <w:rsid w:val="00463447"/>
    <w:rsid w:val="004640CB"/>
    <w:rsid w:val="00465C2B"/>
    <w:rsid w:val="0046743F"/>
    <w:rsid w:val="00471E76"/>
    <w:rsid w:val="00472B07"/>
    <w:rsid w:val="00473AF6"/>
    <w:rsid w:val="004855A0"/>
    <w:rsid w:val="00494A6B"/>
    <w:rsid w:val="00497CF7"/>
    <w:rsid w:val="004A1476"/>
    <w:rsid w:val="004A33C1"/>
    <w:rsid w:val="004A726D"/>
    <w:rsid w:val="004B403E"/>
    <w:rsid w:val="004B45A7"/>
    <w:rsid w:val="004B635B"/>
    <w:rsid w:val="004B6651"/>
    <w:rsid w:val="004D5E86"/>
    <w:rsid w:val="004D5F10"/>
    <w:rsid w:val="004F060B"/>
    <w:rsid w:val="004F1336"/>
    <w:rsid w:val="004F136E"/>
    <w:rsid w:val="004F161B"/>
    <w:rsid w:val="004F2CA7"/>
    <w:rsid w:val="004F3442"/>
    <w:rsid w:val="004F7C15"/>
    <w:rsid w:val="00505E91"/>
    <w:rsid w:val="005112EB"/>
    <w:rsid w:val="00515E84"/>
    <w:rsid w:val="00532A1D"/>
    <w:rsid w:val="00544D40"/>
    <w:rsid w:val="00546AFC"/>
    <w:rsid w:val="0055184E"/>
    <w:rsid w:val="00554977"/>
    <w:rsid w:val="005606DB"/>
    <w:rsid w:val="00560955"/>
    <w:rsid w:val="00563988"/>
    <w:rsid w:val="00564BD5"/>
    <w:rsid w:val="00572726"/>
    <w:rsid w:val="00574023"/>
    <w:rsid w:val="00574027"/>
    <w:rsid w:val="005763EE"/>
    <w:rsid w:val="00576C89"/>
    <w:rsid w:val="005770D5"/>
    <w:rsid w:val="00580BED"/>
    <w:rsid w:val="00586A19"/>
    <w:rsid w:val="00586B23"/>
    <w:rsid w:val="00587A05"/>
    <w:rsid w:val="0059437C"/>
    <w:rsid w:val="00596E1D"/>
    <w:rsid w:val="005A529B"/>
    <w:rsid w:val="005B3BEE"/>
    <w:rsid w:val="005B73C5"/>
    <w:rsid w:val="005B759E"/>
    <w:rsid w:val="005C0C85"/>
    <w:rsid w:val="005E203F"/>
    <w:rsid w:val="005E4790"/>
    <w:rsid w:val="005F2C1D"/>
    <w:rsid w:val="005F66A8"/>
    <w:rsid w:val="006015ED"/>
    <w:rsid w:val="00610A9F"/>
    <w:rsid w:val="00623F8E"/>
    <w:rsid w:val="00630524"/>
    <w:rsid w:val="00633BFB"/>
    <w:rsid w:val="00637A8A"/>
    <w:rsid w:val="0064356D"/>
    <w:rsid w:val="0064461B"/>
    <w:rsid w:val="006511A9"/>
    <w:rsid w:val="006562E0"/>
    <w:rsid w:val="00656774"/>
    <w:rsid w:val="00656B3F"/>
    <w:rsid w:val="00660579"/>
    <w:rsid w:val="00661A89"/>
    <w:rsid w:val="00663B3E"/>
    <w:rsid w:val="006670E5"/>
    <w:rsid w:val="00670E4E"/>
    <w:rsid w:val="00672D6C"/>
    <w:rsid w:val="00677A02"/>
    <w:rsid w:val="00677ACC"/>
    <w:rsid w:val="00683633"/>
    <w:rsid w:val="00683BCE"/>
    <w:rsid w:val="00687A1E"/>
    <w:rsid w:val="00691BDC"/>
    <w:rsid w:val="00695224"/>
    <w:rsid w:val="006B027C"/>
    <w:rsid w:val="006B1485"/>
    <w:rsid w:val="006B2117"/>
    <w:rsid w:val="006B5F57"/>
    <w:rsid w:val="006B7C25"/>
    <w:rsid w:val="006C0F50"/>
    <w:rsid w:val="006C4CB3"/>
    <w:rsid w:val="006D0C2F"/>
    <w:rsid w:val="006E1778"/>
    <w:rsid w:val="006E6DDE"/>
    <w:rsid w:val="006E75A8"/>
    <w:rsid w:val="006E7BB5"/>
    <w:rsid w:val="006F1E65"/>
    <w:rsid w:val="006F20B3"/>
    <w:rsid w:val="006F2A6A"/>
    <w:rsid w:val="006F371D"/>
    <w:rsid w:val="007000F9"/>
    <w:rsid w:val="00710279"/>
    <w:rsid w:val="00712A11"/>
    <w:rsid w:val="00712F9F"/>
    <w:rsid w:val="0071578B"/>
    <w:rsid w:val="007160CC"/>
    <w:rsid w:val="00716B08"/>
    <w:rsid w:val="00734460"/>
    <w:rsid w:val="00737BBF"/>
    <w:rsid w:val="00743CE3"/>
    <w:rsid w:val="0074459C"/>
    <w:rsid w:val="0075242B"/>
    <w:rsid w:val="00773EC8"/>
    <w:rsid w:val="0077786F"/>
    <w:rsid w:val="0078167C"/>
    <w:rsid w:val="00786C90"/>
    <w:rsid w:val="007874B8"/>
    <w:rsid w:val="007A28CE"/>
    <w:rsid w:val="007B467F"/>
    <w:rsid w:val="007B46F3"/>
    <w:rsid w:val="007B5EC0"/>
    <w:rsid w:val="007C4635"/>
    <w:rsid w:val="007D2632"/>
    <w:rsid w:val="007D5CB0"/>
    <w:rsid w:val="007E40B1"/>
    <w:rsid w:val="007E4686"/>
    <w:rsid w:val="007F087D"/>
    <w:rsid w:val="007F2BF6"/>
    <w:rsid w:val="007F62EB"/>
    <w:rsid w:val="007F78C5"/>
    <w:rsid w:val="00812E8C"/>
    <w:rsid w:val="00813F86"/>
    <w:rsid w:val="008204D9"/>
    <w:rsid w:val="008223A4"/>
    <w:rsid w:val="00822422"/>
    <w:rsid w:val="0083480A"/>
    <w:rsid w:val="00840D1B"/>
    <w:rsid w:val="00843895"/>
    <w:rsid w:val="00844B65"/>
    <w:rsid w:val="00854073"/>
    <w:rsid w:val="0086203E"/>
    <w:rsid w:val="008645C3"/>
    <w:rsid w:val="00866FFB"/>
    <w:rsid w:val="00871CE0"/>
    <w:rsid w:val="00873F9F"/>
    <w:rsid w:val="00875142"/>
    <w:rsid w:val="00876F9C"/>
    <w:rsid w:val="008806F1"/>
    <w:rsid w:val="00893647"/>
    <w:rsid w:val="00893C70"/>
    <w:rsid w:val="00893CFC"/>
    <w:rsid w:val="008940C9"/>
    <w:rsid w:val="008956A0"/>
    <w:rsid w:val="008B42A2"/>
    <w:rsid w:val="008C3FFC"/>
    <w:rsid w:val="008C4732"/>
    <w:rsid w:val="008C5A48"/>
    <w:rsid w:val="008D10AA"/>
    <w:rsid w:val="008D5466"/>
    <w:rsid w:val="008D6438"/>
    <w:rsid w:val="008E221A"/>
    <w:rsid w:val="008E5C06"/>
    <w:rsid w:val="008E5F05"/>
    <w:rsid w:val="008F0E8E"/>
    <w:rsid w:val="008F3D74"/>
    <w:rsid w:val="00901072"/>
    <w:rsid w:val="00905A5B"/>
    <w:rsid w:val="00907D71"/>
    <w:rsid w:val="00911848"/>
    <w:rsid w:val="00912DC3"/>
    <w:rsid w:val="00913D27"/>
    <w:rsid w:val="00921805"/>
    <w:rsid w:val="00923B7C"/>
    <w:rsid w:val="009262FC"/>
    <w:rsid w:val="0092669E"/>
    <w:rsid w:val="00930040"/>
    <w:rsid w:val="0093190F"/>
    <w:rsid w:val="00942B26"/>
    <w:rsid w:val="009475CE"/>
    <w:rsid w:val="00951D42"/>
    <w:rsid w:val="00952645"/>
    <w:rsid w:val="00962EB5"/>
    <w:rsid w:val="00967909"/>
    <w:rsid w:val="00982B7C"/>
    <w:rsid w:val="00982CDB"/>
    <w:rsid w:val="00985456"/>
    <w:rsid w:val="009903EC"/>
    <w:rsid w:val="00995094"/>
    <w:rsid w:val="0099640D"/>
    <w:rsid w:val="00996436"/>
    <w:rsid w:val="00997DA2"/>
    <w:rsid w:val="009A7085"/>
    <w:rsid w:val="009A75D2"/>
    <w:rsid w:val="009B0CA5"/>
    <w:rsid w:val="009B19BD"/>
    <w:rsid w:val="009B6672"/>
    <w:rsid w:val="009C21B8"/>
    <w:rsid w:val="009C2AB7"/>
    <w:rsid w:val="009C682D"/>
    <w:rsid w:val="009C7F6E"/>
    <w:rsid w:val="009D1624"/>
    <w:rsid w:val="009D1AC8"/>
    <w:rsid w:val="009D472A"/>
    <w:rsid w:val="009E5AC0"/>
    <w:rsid w:val="009F643C"/>
    <w:rsid w:val="009F7DA2"/>
    <w:rsid w:val="00A103AB"/>
    <w:rsid w:val="00A13774"/>
    <w:rsid w:val="00A17430"/>
    <w:rsid w:val="00A215FB"/>
    <w:rsid w:val="00A21BCF"/>
    <w:rsid w:val="00A355AE"/>
    <w:rsid w:val="00A4144A"/>
    <w:rsid w:val="00A42C00"/>
    <w:rsid w:val="00A461AF"/>
    <w:rsid w:val="00A46697"/>
    <w:rsid w:val="00A51B67"/>
    <w:rsid w:val="00A54C8D"/>
    <w:rsid w:val="00A55185"/>
    <w:rsid w:val="00A56C1F"/>
    <w:rsid w:val="00A57F00"/>
    <w:rsid w:val="00A62782"/>
    <w:rsid w:val="00A773E5"/>
    <w:rsid w:val="00A80DBA"/>
    <w:rsid w:val="00A8163A"/>
    <w:rsid w:val="00A862F7"/>
    <w:rsid w:val="00A86E08"/>
    <w:rsid w:val="00A974B3"/>
    <w:rsid w:val="00AB185E"/>
    <w:rsid w:val="00AB21C7"/>
    <w:rsid w:val="00AB5897"/>
    <w:rsid w:val="00AB5E67"/>
    <w:rsid w:val="00AC5D95"/>
    <w:rsid w:val="00AD1380"/>
    <w:rsid w:val="00AD1B4A"/>
    <w:rsid w:val="00AD409A"/>
    <w:rsid w:val="00AD6F17"/>
    <w:rsid w:val="00AE4740"/>
    <w:rsid w:val="00AE755C"/>
    <w:rsid w:val="00AF0001"/>
    <w:rsid w:val="00B016A0"/>
    <w:rsid w:val="00B072F1"/>
    <w:rsid w:val="00B147F1"/>
    <w:rsid w:val="00B14E0B"/>
    <w:rsid w:val="00B154D0"/>
    <w:rsid w:val="00B221C6"/>
    <w:rsid w:val="00B24001"/>
    <w:rsid w:val="00B27CEF"/>
    <w:rsid w:val="00B31D90"/>
    <w:rsid w:val="00B34CC3"/>
    <w:rsid w:val="00B365DE"/>
    <w:rsid w:val="00B378C2"/>
    <w:rsid w:val="00B378FB"/>
    <w:rsid w:val="00B37EE4"/>
    <w:rsid w:val="00B43303"/>
    <w:rsid w:val="00B43EF7"/>
    <w:rsid w:val="00B4563C"/>
    <w:rsid w:val="00B5049E"/>
    <w:rsid w:val="00B51947"/>
    <w:rsid w:val="00B5257A"/>
    <w:rsid w:val="00B546D6"/>
    <w:rsid w:val="00B54AE9"/>
    <w:rsid w:val="00B551B9"/>
    <w:rsid w:val="00B57361"/>
    <w:rsid w:val="00B577C6"/>
    <w:rsid w:val="00B63BB1"/>
    <w:rsid w:val="00B73A48"/>
    <w:rsid w:val="00B766C8"/>
    <w:rsid w:val="00B841A1"/>
    <w:rsid w:val="00B90B0F"/>
    <w:rsid w:val="00B90F9C"/>
    <w:rsid w:val="00B9239B"/>
    <w:rsid w:val="00B9240C"/>
    <w:rsid w:val="00B95F4C"/>
    <w:rsid w:val="00BA2FAE"/>
    <w:rsid w:val="00BA3E7F"/>
    <w:rsid w:val="00BB4267"/>
    <w:rsid w:val="00BB4CE7"/>
    <w:rsid w:val="00BC1419"/>
    <w:rsid w:val="00BC4202"/>
    <w:rsid w:val="00BC5E17"/>
    <w:rsid w:val="00BD35CA"/>
    <w:rsid w:val="00BD405A"/>
    <w:rsid w:val="00BD4110"/>
    <w:rsid w:val="00BD5A1A"/>
    <w:rsid w:val="00BD6395"/>
    <w:rsid w:val="00BD6CF4"/>
    <w:rsid w:val="00BE0C4A"/>
    <w:rsid w:val="00BE7A0F"/>
    <w:rsid w:val="00C0295C"/>
    <w:rsid w:val="00C06F97"/>
    <w:rsid w:val="00C10656"/>
    <w:rsid w:val="00C2195D"/>
    <w:rsid w:val="00C23FC3"/>
    <w:rsid w:val="00C26FAE"/>
    <w:rsid w:val="00C30A8B"/>
    <w:rsid w:val="00C342AA"/>
    <w:rsid w:val="00C40A11"/>
    <w:rsid w:val="00C40CB4"/>
    <w:rsid w:val="00C4157F"/>
    <w:rsid w:val="00C42301"/>
    <w:rsid w:val="00C440A0"/>
    <w:rsid w:val="00C460C5"/>
    <w:rsid w:val="00C53C11"/>
    <w:rsid w:val="00C57166"/>
    <w:rsid w:val="00C62FBE"/>
    <w:rsid w:val="00C67850"/>
    <w:rsid w:val="00C73789"/>
    <w:rsid w:val="00C73B6F"/>
    <w:rsid w:val="00C81436"/>
    <w:rsid w:val="00C8263A"/>
    <w:rsid w:val="00C84B64"/>
    <w:rsid w:val="00C854D5"/>
    <w:rsid w:val="00C92B37"/>
    <w:rsid w:val="00C955FF"/>
    <w:rsid w:val="00CB38BC"/>
    <w:rsid w:val="00CB682A"/>
    <w:rsid w:val="00CC4FB1"/>
    <w:rsid w:val="00CC51B0"/>
    <w:rsid w:val="00CD37B0"/>
    <w:rsid w:val="00CE45FE"/>
    <w:rsid w:val="00CE4676"/>
    <w:rsid w:val="00CE5ED6"/>
    <w:rsid w:val="00CF11C2"/>
    <w:rsid w:val="00CF1D8C"/>
    <w:rsid w:val="00D04161"/>
    <w:rsid w:val="00D050BF"/>
    <w:rsid w:val="00D10227"/>
    <w:rsid w:val="00D1265B"/>
    <w:rsid w:val="00D21FB9"/>
    <w:rsid w:val="00D222A2"/>
    <w:rsid w:val="00D22B64"/>
    <w:rsid w:val="00D22FB7"/>
    <w:rsid w:val="00D2414D"/>
    <w:rsid w:val="00D25D50"/>
    <w:rsid w:val="00D27A8C"/>
    <w:rsid w:val="00D35548"/>
    <w:rsid w:val="00D36962"/>
    <w:rsid w:val="00D51A01"/>
    <w:rsid w:val="00D53150"/>
    <w:rsid w:val="00D551F7"/>
    <w:rsid w:val="00D55384"/>
    <w:rsid w:val="00D62A8D"/>
    <w:rsid w:val="00D674AC"/>
    <w:rsid w:val="00D7301E"/>
    <w:rsid w:val="00D83A35"/>
    <w:rsid w:val="00D8713E"/>
    <w:rsid w:val="00D9364B"/>
    <w:rsid w:val="00D93EB6"/>
    <w:rsid w:val="00DA2F88"/>
    <w:rsid w:val="00DA5783"/>
    <w:rsid w:val="00DB2949"/>
    <w:rsid w:val="00DB31D3"/>
    <w:rsid w:val="00DB3D79"/>
    <w:rsid w:val="00DB4155"/>
    <w:rsid w:val="00DB6761"/>
    <w:rsid w:val="00DC0419"/>
    <w:rsid w:val="00DC728E"/>
    <w:rsid w:val="00DD0CB2"/>
    <w:rsid w:val="00DD164B"/>
    <w:rsid w:val="00DD1F94"/>
    <w:rsid w:val="00DD2491"/>
    <w:rsid w:val="00DD7BF8"/>
    <w:rsid w:val="00DE2D1E"/>
    <w:rsid w:val="00DE3743"/>
    <w:rsid w:val="00DE65B1"/>
    <w:rsid w:val="00DF0017"/>
    <w:rsid w:val="00DF2E81"/>
    <w:rsid w:val="00E002CA"/>
    <w:rsid w:val="00E009E2"/>
    <w:rsid w:val="00E02216"/>
    <w:rsid w:val="00E031AA"/>
    <w:rsid w:val="00E122E3"/>
    <w:rsid w:val="00E16C61"/>
    <w:rsid w:val="00E1708A"/>
    <w:rsid w:val="00E17CBF"/>
    <w:rsid w:val="00E17F33"/>
    <w:rsid w:val="00E276B3"/>
    <w:rsid w:val="00E31860"/>
    <w:rsid w:val="00E33FDB"/>
    <w:rsid w:val="00E3533C"/>
    <w:rsid w:val="00E37B0B"/>
    <w:rsid w:val="00E40FF3"/>
    <w:rsid w:val="00E4231E"/>
    <w:rsid w:val="00E43EEC"/>
    <w:rsid w:val="00E449F0"/>
    <w:rsid w:val="00E46053"/>
    <w:rsid w:val="00E5337F"/>
    <w:rsid w:val="00E64517"/>
    <w:rsid w:val="00E65D3A"/>
    <w:rsid w:val="00E718C1"/>
    <w:rsid w:val="00E738FC"/>
    <w:rsid w:val="00E873B6"/>
    <w:rsid w:val="00E87EC6"/>
    <w:rsid w:val="00E90C11"/>
    <w:rsid w:val="00EA3B76"/>
    <w:rsid w:val="00EA5E6F"/>
    <w:rsid w:val="00EA6848"/>
    <w:rsid w:val="00EA7738"/>
    <w:rsid w:val="00EB4C95"/>
    <w:rsid w:val="00EB6718"/>
    <w:rsid w:val="00EC0B2D"/>
    <w:rsid w:val="00EC67DC"/>
    <w:rsid w:val="00EC7748"/>
    <w:rsid w:val="00ED0C10"/>
    <w:rsid w:val="00ED2E2D"/>
    <w:rsid w:val="00ED324D"/>
    <w:rsid w:val="00ED365F"/>
    <w:rsid w:val="00ED567E"/>
    <w:rsid w:val="00ED5B9D"/>
    <w:rsid w:val="00EE101E"/>
    <w:rsid w:val="00EE1288"/>
    <w:rsid w:val="00EE34EC"/>
    <w:rsid w:val="00EF4AC3"/>
    <w:rsid w:val="00EF534C"/>
    <w:rsid w:val="00F02260"/>
    <w:rsid w:val="00F024FD"/>
    <w:rsid w:val="00F20649"/>
    <w:rsid w:val="00F23761"/>
    <w:rsid w:val="00F332A9"/>
    <w:rsid w:val="00F4018F"/>
    <w:rsid w:val="00F45273"/>
    <w:rsid w:val="00F45C0F"/>
    <w:rsid w:val="00F55352"/>
    <w:rsid w:val="00F70ABE"/>
    <w:rsid w:val="00F71451"/>
    <w:rsid w:val="00F82763"/>
    <w:rsid w:val="00F932B8"/>
    <w:rsid w:val="00F93753"/>
    <w:rsid w:val="00F94FCE"/>
    <w:rsid w:val="00F95F41"/>
    <w:rsid w:val="00FA2964"/>
    <w:rsid w:val="00FA49BE"/>
    <w:rsid w:val="00FA5203"/>
    <w:rsid w:val="00FB5B04"/>
    <w:rsid w:val="00FB6BEB"/>
    <w:rsid w:val="00FC1664"/>
    <w:rsid w:val="00FC6672"/>
    <w:rsid w:val="00FD0184"/>
    <w:rsid w:val="00FD0230"/>
    <w:rsid w:val="00FD2C08"/>
    <w:rsid w:val="00FD2EBD"/>
    <w:rsid w:val="00FE4B95"/>
    <w:rsid w:val="00FE5FDA"/>
    <w:rsid w:val="00FE7104"/>
    <w:rsid w:val="00FE7708"/>
    <w:rsid w:val="00FF325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A9A8A"/>
  <w15:chartTrackingRefBased/>
  <w15:docId w15:val="{33A67322-9F54-45EA-A8CA-848A5C16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 w:bidi="yi-He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3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D3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 w:bidi="ar-SA"/>
    </w:rPr>
  </w:style>
  <w:style w:type="paragraph" w:styleId="ListBullet">
    <w:name w:val="List Bullet"/>
    <w:basedOn w:val="Normal"/>
    <w:uiPriority w:val="99"/>
    <w:unhideWhenUsed/>
    <w:rsid w:val="00E002CA"/>
    <w:pPr>
      <w:numPr>
        <w:numId w:val="4"/>
      </w:numPr>
      <w:spacing w:before="60" w:line="230" w:lineRule="exact"/>
      <w:contextualSpacing/>
      <w:jc w:val="both"/>
    </w:pPr>
    <w:rPr>
      <w:rFonts w:ascii="Helvetica" w:eastAsiaTheme="minorHAnsi" w:hAnsi="Helvetica" w:cstheme="minorBidi"/>
      <w:sz w:val="20"/>
      <w:szCs w:val="22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002CA"/>
    <w:rPr>
      <w:vertAlign w:val="superscript"/>
    </w:rPr>
  </w:style>
  <w:style w:type="paragraph" w:customStyle="1" w:styleId="Footnote00">
    <w:name w:val="Footnote 00"/>
    <w:basedOn w:val="Normal"/>
    <w:rsid w:val="00E002CA"/>
    <w:pPr>
      <w:tabs>
        <w:tab w:val="right" w:pos="227"/>
        <w:tab w:val="left" w:pos="340"/>
      </w:tabs>
      <w:spacing w:line="210" w:lineRule="exact"/>
      <w:ind w:left="340" w:hanging="340"/>
      <w:jc w:val="both"/>
    </w:pPr>
    <w:rPr>
      <w:rFonts w:ascii="Helvetica" w:eastAsiaTheme="minorHAnsi" w:hAnsi="Helvetica" w:cstheme="minorBidi"/>
      <w:sz w:val="18"/>
      <w:szCs w:val="19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805"/>
    <w:rPr>
      <w:rFonts w:asciiTheme="minorHAnsi" w:eastAsiaTheme="minorHAnsi" w:hAnsiTheme="minorHAnsi" w:cstheme="minorBidi"/>
      <w:sz w:val="20"/>
      <w:szCs w:val="20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80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D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F3D74"/>
  </w:style>
  <w:style w:type="paragraph" w:styleId="Footer">
    <w:name w:val="footer"/>
    <w:basedOn w:val="Normal"/>
    <w:link w:val="FooterChar"/>
    <w:uiPriority w:val="99"/>
    <w:unhideWhenUsed/>
    <w:rsid w:val="008F3D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F3D74"/>
  </w:style>
  <w:style w:type="character" w:styleId="Hyperlink">
    <w:name w:val="Hyperlink"/>
    <w:basedOn w:val="DefaultParagraphFont"/>
    <w:uiPriority w:val="99"/>
    <w:semiHidden/>
    <w:unhideWhenUsed/>
    <w:rsid w:val="00812E8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D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23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9475CE"/>
  </w:style>
  <w:style w:type="paragraph" w:styleId="BalloonText">
    <w:name w:val="Balloon Text"/>
    <w:basedOn w:val="Normal"/>
    <w:link w:val="BalloonTextChar"/>
    <w:uiPriority w:val="99"/>
    <w:semiHidden/>
    <w:unhideWhenUsed/>
    <w:rsid w:val="00F02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60"/>
    <w:rPr>
      <w:rFonts w:ascii="Segoe UI" w:eastAsia="Times New Roman" w:hAnsi="Segoe UI" w:cs="Segoe UI"/>
      <w:sz w:val="18"/>
      <w:szCs w:val="18"/>
      <w:lang w:val="en-ZA" w:eastAsia="en-GB" w:bidi="yi-Hebr"/>
    </w:rPr>
  </w:style>
  <w:style w:type="paragraph" w:styleId="NormalWeb">
    <w:name w:val="Normal (Web)"/>
    <w:basedOn w:val="Normal"/>
    <w:uiPriority w:val="99"/>
    <w:unhideWhenUsed/>
    <w:rsid w:val="009C7F6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12D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1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6C6"/>
    <w:rPr>
      <w:rFonts w:ascii="Times New Roman" w:eastAsia="Times New Roman" w:hAnsi="Times New Roman" w:cs="Times New Roman"/>
      <w:sz w:val="20"/>
      <w:szCs w:val="20"/>
      <w:lang w:val="en-ZA" w:eastAsia="en-GB" w:bidi="yi-He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6C6"/>
    <w:rPr>
      <w:rFonts w:ascii="Times New Roman" w:eastAsia="Times New Roman" w:hAnsi="Times New Roman" w:cs="Times New Roman"/>
      <w:b/>
      <w:bCs/>
      <w:sz w:val="20"/>
      <w:szCs w:val="20"/>
      <w:lang w:val="en-ZA" w:eastAsia="en-GB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23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700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520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025">
          <w:marLeft w:val="0"/>
          <w:marRight w:val="0"/>
          <w:marTop w:val="14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60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375">
          <w:marLeft w:val="198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18">
          <w:marLeft w:val="198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090">
          <w:marLeft w:val="198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99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087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043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801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422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733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aflii.org/za/legis/consol_act/sca20132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lii.org/za/legis/consol_act/sca2013224/index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flii.org/cgi-bin/LawCite?cit=%5b2016%5d%20ZASCA%20176" TargetMode="External"/><Relationship Id="rId2" Type="http://schemas.openxmlformats.org/officeDocument/2006/relationships/hyperlink" Target="https://www.saflii.org/cgi-bin/LawCite?cit=%5b2011%5d%20ZASCA%2015" TargetMode="External"/><Relationship Id="rId1" Type="http://schemas.openxmlformats.org/officeDocument/2006/relationships/hyperlink" Target="https://www.saflii.org/cgi-bin/LawCite?cit=%5b2021%5d%20JOL%204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780C-F708-461A-AE0D-05231492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Robin R. Mossop</dc:creator>
  <cp:keywords/>
  <dc:description/>
  <cp:lastModifiedBy>Mary Bruce</cp:lastModifiedBy>
  <cp:revision>14</cp:revision>
  <cp:lastPrinted>2023-02-28T05:23:00Z</cp:lastPrinted>
  <dcterms:created xsi:type="dcterms:W3CDTF">2023-02-27T05:11:00Z</dcterms:created>
  <dcterms:modified xsi:type="dcterms:W3CDTF">2023-02-28T14:03:00Z</dcterms:modified>
</cp:coreProperties>
</file>