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13AB7D" w14:textId="77777777" w:rsidR="008F3D74" w:rsidRPr="00E30E8A" w:rsidRDefault="008F3D74" w:rsidP="00A55185">
      <w:pPr>
        <w:spacing w:line="360" w:lineRule="auto"/>
        <w:jc w:val="center"/>
        <w:rPr>
          <w:rFonts w:ascii="Arial" w:hAnsi="Arial" w:cs="Arial"/>
          <w:b/>
        </w:rPr>
      </w:pPr>
      <w:bookmarkStart w:id="0" w:name="_GoBack"/>
      <w:bookmarkEnd w:id="0"/>
      <w:r w:rsidRPr="00E30E8A">
        <w:rPr>
          <w:rFonts w:ascii="Arial" w:eastAsia="Calibri" w:hAnsi="Arial" w:cs="Arial"/>
          <w:noProof/>
          <w:sz w:val="28"/>
          <w:szCs w:val="28"/>
          <w:lang w:val="en-US" w:eastAsia="en-US" w:bidi="ar-SA"/>
        </w:rPr>
        <w:drawing>
          <wp:inline distT="0" distB="0" distL="0" distR="0" wp14:anchorId="253DC2DC" wp14:editId="4D69483D">
            <wp:extent cx="1027209" cy="1009650"/>
            <wp:effectExtent l="0" t="0" r="190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0179" cy="1012569"/>
                    </a:xfrm>
                    <a:prstGeom prst="rect">
                      <a:avLst/>
                    </a:prstGeom>
                    <a:noFill/>
                    <a:ln>
                      <a:noFill/>
                    </a:ln>
                  </pic:spPr>
                </pic:pic>
              </a:graphicData>
            </a:graphic>
          </wp:inline>
        </w:drawing>
      </w:r>
    </w:p>
    <w:p w14:paraId="6DA6B406" w14:textId="77777777" w:rsidR="008F3D74" w:rsidRPr="00E30E8A" w:rsidRDefault="008F3D74" w:rsidP="00A55185">
      <w:pPr>
        <w:spacing w:line="360" w:lineRule="auto"/>
        <w:jc w:val="center"/>
        <w:rPr>
          <w:rFonts w:ascii="Arial" w:hAnsi="Arial" w:cs="Arial"/>
          <w:b/>
        </w:rPr>
      </w:pPr>
      <w:r w:rsidRPr="00E30E8A">
        <w:rPr>
          <w:rFonts w:ascii="Arial" w:hAnsi="Arial" w:cs="Arial"/>
          <w:b/>
        </w:rPr>
        <w:t>IN THE HIGH COURT OF SOUTH AFRICA</w:t>
      </w:r>
    </w:p>
    <w:p w14:paraId="2F552D50" w14:textId="77777777" w:rsidR="008F3D74" w:rsidRPr="00E30E8A" w:rsidRDefault="008F3D74" w:rsidP="00A55185">
      <w:pPr>
        <w:spacing w:line="360" w:lineRule="auto"/>
        <w:jc w:val="center"/>
        <w:rPr>
          <w:rFonts w:ascii="Arial" w:hAnsi="Arial" w:cs="Arial"/>
          <w:b/>
        </w:rPr>
      </w:pPr>
      <w:r w:rsidRPr="00E30E8A">
        <w:rPr>
          <w:rFonts w:ascii="Arial" w:hAnsi="Arial" w:cs="Arial"/>
          <w:b/>
        </w:rPr>
        <w:t>KWAZULU-NATAL DIVISION, PIETERMARITZBURG</w:t>
      </w:r>
    </w:p>
    <w:p w14:paraId="71B81586" w14:textId="77777777" w:rsidR="008F3D74" w:rsidRDefault="008F3D74" w:rsidP="00A55185">
      <w:pPr>
        <w:spacing w:line="360" w:lineRule="auto"/>
        <w:jc w:val="right"/>
        <w:rPr>
          <w:rFonts w:ascii="Arial" w:hAnsi="Arial" w:cs="Arial"/>
        </w:rPr>
      </w:pPr>
    </w:p>
    <w:p w14:paraId="396F5CDD" w14:textId="77777777" w:rsidR="00AC34ED" w:rsidRPr="00B76F09" w:rsidRDefault="00AC34ED" w:rsidP="00AC34ED">
      <w:pPr>
        <w:spacing w:line="360" w:lineRule="auto"/>
        <w:contextualSpacing/>
        <w:jc w:val="right"/>
        <w:rPr>
          <w:rFonts w:ascii="Arial" w:hAnsi="Arial" w:cs="Arial"/>
        </w:rPr>
      </w:pPr>
      <w:r w:rsidRPr="00B76F09">
        <w:rPr>
          <w:rFonts w:ascii="Arial" w:hAnsi="Arial" w:cs="Arial"/>
        </w:rPr>
        <w:t>Case No: 9823/2022P</w:t>
      </w:r>
    </w:p>
    <w:p w14:paraId="004A53DE" w14:textId="77777777" w:rsidR="00AC34ED" w:rsidRPr="00B76F09" w:rsidRDefault="00AC34ED" w:rsidP="00AC34ED">
      <w:pPr>
        <w:spacing w:line="360" w:lineRule="auto"/>
        <w:contextualSpacing/>
        <w:jc w:val="both"/>
        <w:rPr>
          <w:rFonts w:ascii="Arial" w:hAnsi="Arial" w:cs="Arial"/>
        </w:rPr>
      </w:pPr>
    </w:p>
    <w:p w14:paraId="3E802D5C" w14:textId="77777777" w:rsidR="00AC34ED" w:rsidRPr="00B76F09" w:rsidRDefault="00AC34ED" w:rsidP="00AC34ED">
      <w:pPr>
        <w:spacing w:line="360" w:lineRule="auto"/>
        <w:contextualSpacing/>
        <w:jc w:val="both"/>
        <w:rPr>
          <w:rFonts w:ascii="Arial" w:hAnsi="Arial" w:cs="Arial"/>
        </w:rPr>
      </w:pPr>
      <w:r w:rsidRPr="00B76F09">
        <w:rPr>
          <w:rFonts w:ascii="Arial" w:hAnsi="Arial" w:cs="Arial"/>
        </w:rPr>
        <w:t>In the matter between:</w:t>
      </w:r>
    </w:p>
    <w:p w14:paraId="565907BA" w14:textId="77777777" w:rsidR="00AC34ED" w:rsidRPr="00B76F09" w:rsidRDefault="00AC34ED" w:rsidP="00AC34ED">
      <w:pPr>
        <w:tabs>
          <w:tab w:val="right" w:pos="9026"/>
        </w:tabs>
        <w:spacing w:line="360" w:lineRule="auto"/>
        <w:contextualSpacing/>
        <w:jc w:val="both"/>
        <w:rPr>
          <w:rFonts w:ascii="Arial" w:hAnsi="Arial" w:cs="Arial"/>
          <w:b/>
          <w:bCs/>
        </w:rPr>
      </w:pPr>
    </w:p>
    <w:p w14:paraId="308A429D" w14:textId="77777777" w:rsidR="00AC34ED" w:rsidRPr="00B76F09" w:rsidRDefault="00AC34ED" w:rsidP="00AC34ED">
      <w:pPr>
        <w:tabs>
          <w:tab w:val="right" w:pos="9026"/>
        </w:tabs>
        <w:spacing w:line="360" w:lineRule="auto"/>
        <w:contextualSpacing/>
        <w:jc w:val="both"/>
        <w:rPr>
          <w:rFonts w:ascii="Arial" w:hAnsi="Arial" w:cs="Arial"/>
          <w:b/>
          <w:bCs/>
        </w:rPr>
      </w:pPr>
      <w:r w:rsidRPr="00B76F09">
        <w:rPr>
          <w:rFonts w:ascii="Arial" w:hAnsi="Arial" w:cs="Arial"/>
          <w:b/>
          <w:bCs/>
        </w:rPr>
        <w:t>HIRALAL RAMPUL</w:t>
      </w:r>
      <w:r w:rsidRPr="00B76F09">
        <w:rPr>
          <w:rFonts w:ascii="Arial" w:hAnsi="Arial" w:cs="Arial"/>
          <w:b/>
          <w:bCs/>
        </w:rPr>
        <w:tab/>
        <w:t xml:space="preserve">             APPELLANT</w:t>
      </w:r>
    </w:p>
    <w:p w14:paraId="432A44EC" w14:textId="77777777" w:rsidR="00AC34ED" w:rsidRPr="00B76F09" w:rsidRDefault="00AC34ED" w:rsidP="00AC34ED">
      <w:pPr>
        <w:tabs>
          <w:tab w:val="right" w:pos="8647"/>
        </w:tabs>
        <w:spacing w:line="360" w:lineRule="auto"/>
        <w:contextualSpacing/>
        <w:jc w:val="both"/>
        <w:rPr>
          <w:rFonts w:ascii="Arial" w:hAnsi="Arial" w:cs="Arial"/>
        </w:rPr>
      </w:pPr>
    </w:p>
    <w:p w14:paraId="47A2DAF0" w14:textId="77777777" w:rsidR="00AC34ED" w:rsidRPr="00B76F09" w:rsidRDefault="00AC34ED" w:rsidP="00AC34ED">
      <w:pPr>
        <w:tabs>
          <w:tab w:val="right" w:pos="8647"/>
        </w:tabs>
        <w:spacing w:line="360" w:lineRule="auto"/>
        <w:contextualSpacing/>
        <w:jc w:val="both"/>
        <w:rPr>
          <w:rFonts w:ascii="Arial" w:hAnsi="Arial" w:cs="Arial"/>
        </w:rPr>
      </w:pPr>
      <w:r w:rsidRPr="00B76F09">
        <w:rPr>
          <w:rFonts w:ascii="Arial" w:hAnsi="Arial" w:cs="Arial"/>
        </w:rPr>
        <w:t>and</w:t>
      </w:r>
    </w:p>
    <w:p w14:paraId="4DB614C9" w14:textId="77777777" w:rsidR="00AC34ED" w:rsidRPr="00B76F09" w:rsidRDefault="00AC34ED" w:rsidP="00AC34ED">
      <w:pPr>
        <w:tabs>
          <w:tab w:val="right" w:pos="8647"/>
        </w:tabs>
        <w:spacing w:line="360" w:lineRule="auto"/>
        <w:contextualSpacing/>
        <w:jc w:val="both"/>
        <w:rPr>
          <w:rFonts w:ascii="Arial" w:hAnsi="Arial" w:cs="Arial"/>
          <w:b/>
          <w:bCs/>
        </w:rPr>
      </w:pPr>
    </w:p>
    <w:p w14:paraId="5D483690" w14:textId="77777777" w:rsidR="00AC34ED" w:rsidRPr="00B76F09" w:rsidRDefault="00AC34ED" w:rsidP="00AC34ED">
      <w:pPr>
        <w:tabs>
          <w:tab w:val="right" w:pos="9026"/>
        </w:tabs>
        <w:spacing w:line="360" w:lineRule="auto"/>
        <w:contextualSpacing/>
        <w:jc w:val="both"/>
        <w:rPr>
          <w:rFonts w:ascii="Arial" w:hAnsi="Arial" w:cs="Arial"/>
          <w:b/>
          <w:bCs/>
        </w:rPr>
      </w:pPr>
      <w:r w:rsidRPr="00B76F09">
        <w:rPr>
          <w:rFonts w:ascii="Arial" w:hAnsi="Arial" w:cs="Arial"/>
          <w:b/>
          <w:bCs/>
        </w:rPr>
        <w:t>TRUSTEES OF MANGROVE BEACH CENTRE:</w:t>
      </w:r>
      <w:r w:rsidRPr="00B76F09">
        <w:rPr>
          <w:rFonts w:ascii="Arial" w:hAnsi="Arial" w:cs="Arial"/>
          <w:b/>
          <w:bCs/>
        </w:rPr>
        <w:tab/>
        <w:t>FIRST RESPONDENT</w:t>
      </w:r>
    </w:p>
    <w:p w14:paraId="36622075" w14:textId="77777777" w:rsidR="00AC34ED" w:rsidRPr="00B76F09" w:rsidRDefault="00AC34ED" w:rsidP="00AC34ED">
      <w:pPr>
        <w:tabs>
          <w:tab w:val="right" w:pos="8647"/>
        </w:tabs>
        <w:spacing w:line="360" w:lineRule="auto"/>
        <w:contextualSpacing/>
        <w:jc w:val="both"/>
        <w:rPr>
          <w:rFonts w:ascii="Arial" w:hAnsi="Arial" w:cs="Arial"/>
          <w:b/>
          <w:bCs/>
        </w:rPr>
      </w:pPr>
      <w:r w:rsidRPr="00B76F09">
        <w:rPr>
          <w:rFonts w:ascii="Arial" w:hAnsi="Arial" w:cs="Arial"/>
          <w:b/>
          <w:bCs/>
        </w:rPr>
        <w:t>BODY CORPORATE</w:t>
      </w:r>
    </w:p>
    <w:p w14:paraId="6D8402CA" w14:textId="77777777" w:rsidR="00AC34ED" w:rsidRPr="00B76F09" w:rsidRDefault="00AC34ED" w:rsidP="00AC34ED">
      <w:pPr>
        <w:pBdr>
          <w:bottom w:val="single" w:sz="12" w:space="1" w:color="auto"/>
        </w:pBdr>
        <w:tabs>
          <w:tab w:val="right" w:pos="9026"/>
        </w:tabs>
        <w:spacing w:line="360" w:lineRule="auto"/>
        <w:contextualSpacing/>
        <w:jc w:val="both"/>
        <w:rPr>
          <w:rFonts w:ascii="Arial" w:hAnsi="Arial" w:cs="Arial"/>
          <w:b/>
          <w:bCs/>
        </w:rPr>
      </w:pPr>
      <w:r w:rsidRPr="00B76F09">
        <w:rPr>
          <w:rFonts w:ascii="Arial" w:hAnsi="Arial" w:cs="Arial"/>
          <w:b/>
          <w:bCs/>
        </w:rPr>
        <w:t xml:space="preserve">THE BODY CORPORATE: MANGROVE </w:t>
      </w:r>
      <w:r w:rsidRPr="00B76F09">
        <w:rPr>
          <w:rFonts w:ascii="Arial" w:hAnsi="Arial" w:cs="Arial"/>
          <w:b/>
          <w:bCs/>
        </w:rPr>
        <w:tab/>
        <w:t xml:space="preserve">       SECOND RESPONDENT</w:t>
      </w:r>
    </w:p>
    <w:p w14:paraId="7C6BFADC" w14:textId="77777777" w:rsidR="00AC34ED" w:rsidRPr="00B76F09" w:rsidRDefault="00AC34ED" w:rsidP="00AC34ED">
      <w:pPr>
        <w:pBdr>
          <w:bottom w:val="single" w:sz="12" w:space="1" w:color="auto"/>
        </w:pBdr>
        <w:tabs>
          <w:tab w:val="right" w:pos="9026"/>
        </w:tabs>
        <w:spacing w:line="360" w:lineRule="auto"/>
        <w:contextualSpacing/>
        <w:jc w:val="both"/>
        <w:rPr>
          <w:rFonts w:ascii="Arial" w:hAnsi="Arial" w:cs="Arial"/>
          <w:b/>
          <w:bCs/>
        </w:rPr>
      </w:pPr>
      <w:r w:rsidRPr="00B76F09">
        <w:rPr>
          <w:rFonts w:ascii="Arial" w:hAnsi="Arial" w:cs="Arial"/>
          <w:b/>
          <w:bCs/>
        </w:rPr>
        <w:t>BEACH CENTRE</w:t>
      </w:r>
    </w:p>
    <w:p w14:paraId="5583D750" w14:textId="77777777" w:rsidR="00AC34ED" w:rsidRPr="00B76F09" w:rsidRDefault="00AC34ED" w:rsidP="00AC34ED">
      <w:pPr>
        <w:pBdr>
          <w:bottom w:val="single" w:sz="12" w:space="1" w:color="auto"/>
        </w:pBdr>
        <w:tabs>
          <w:tab w:val="right" w:pos="9026"/>
        </w:tabs>
        <w:spacing w:line="360" w:lineRule="auto"/>
        <w:contextualSpacing/>
        <w:jc w:val="both"/>
        <w:rPr>
          <w:rFonts w:ascii="Arial" w:hAnsi="Arial" w:cs="Arial"/>
          <w:b/>
          <w:bCs/>
        </w:rPr>
      </w:pPr>
      <w:r w:rsidRPr="00B76F09">
        <w:rPr>
          <w:rFonts w:ascii="Arial" w:hAnsi="Arial" w:cs="Arial"/>
          <w:b/>
          <w:bCs/>
        </w:rPr>
        <w:t>THULANE KHAMBULE N.O.</w:t>
      </w:r>
      <w:r w:rsidRPr="00B76F09">
        <w:rPr>
          <w:rFonts w:ascii="Arial" w:hAnsi="Arial" w:cs="Arial"/>
          <w:b/>
          <w:bCs/>
        </w:rPr>
        <w:tab/>
        <w:t xml:space="preserve"> THIRD RESPONDENT</w:t>
      </w:r>
    </w:p>
    <w:p w14:paraId="3DE7E89C" w14:textId="77777777" w:rsidR="00AC34ED" w:rsidRDefault="00AC34ED" w:rsidP="00AC34ED">
      <w:pPr>
        <w:pBdr>
          <w:bottom w:val="single" w:sz="12" w:space="1" w:color="auto"/>
        </w:pBdr>
        <w:tabs>
          <w:tab w:val="right" w:pos="9026"/>
        </w:tabs>
        <w:spacing w:line="360" w:lineRule="auto"/>
        <w:contextualSpacing/>
        <w:jc w:val="both"/>
        <w:rPr>
          <w:rFonts w:ascii="Arial" w:hAnsi="Arial" w:cs="Arial"/>
          <w:b/>
          <w:bCs/>
        </w:rPr>
      </w:pPr>
      <w:r w:rsidRPr="00B76F09">
        <w:rPr>
          <w:rFonts w:ascii="Arial" w:hAnsi="Arial" w:cs="Arial"/>
          <w:b/>
          <w:bCs/>
        </w:rPr>
        <w:t>COMMUNITY SCHEMES OMBUD SERVICE</w:t>
      </w:r>
      <w:r w:rsidRPr="00B76F09">
        <w:rPr>
          <w:rFonts w:ascii="Arial" w:hAnsi="Arial" w:cs="Arial"/>
          <w:b/>
          <w:bCs/>
        </w:rPr>
        <w:tab/>
        <w:t>FOURTH RESPONDENT</w:t>
      </w:r>
    </w:p>
    <w:p w14:paraId="3D406EFE" w14:textId="53CC69A0" w:rsidR="00AE755C" w:rsidRDefault="00AE755C" w:rsidP="0099640D">
      <w:pPr>
        <w:pBdr>
          <w:bottom w:val="single" w:sz="12" w:space="1" w:color="auto"/>
        </w:pBdr>
        <w:tabs>
          <w:tab w:val="right" w:pos="8789"/>
        </w:tabs>
        <w:spacing w:line="360" w:lineRule="auto"/>
        <w:jc w:val="both"/>
        <w:rPr>
          <w:rFonts w:ascii="Arial" w:hAnsi="Arial" w:cs="Arial"/>
          <w:b/>
          <w:bCs/>
        </w:rPr>
      </w:pPr>
    </w:p>
    <w:p w14:paraId="2FF18DCE" w14:textId="77777777" w:rsidR="00AE755C" w:rsidRDefault="00AE755C" w:rsidP="00AE755C">
      <w:pPr>
        <w:rPr>
          <w:rFonts w:asciiTheme="minorBidi" w:hAnsiTheme="minorBidi" w:cstheme="minorBidi"/>
          <w:bCs/>
        </w:rPr>
      </w:pPr>
    </w:p>
    <w:p w14:paraId="6A0EEE8F" w14:textId="77777777" w:rsidR="00AE755C" w:rsidRDefault="00AE755C" w:rsidP="00AE755C">
      <w:pPr>
        <w:rPr>
          <w:rFonts w:asciiTheme="minorBidi" w:hAnsiTheme="minorBidi" w:cstheme="minorBidi"/>
          <w:bCs/>
        </w:rPr>
      </w:pPr>
    </w:p>
    <w:p w14:paraId="515B6287" w14:textId="323ECBB5" w:rsidR="00AE755C" w:rsidRDefault="00AE755C" w:rsidP="00AE755C">
      <w:pPr>
        <w:rPr>
          <w:rFonts w:asciiTheme="minorBidi" w:hAnsiTheme="minorBidi" w:cstheme="minorBidi"/>
          <w:bCs/>
        </w:rPr>
      </w:pPr>
      <w:r w:rsidRPr="008A7491">
        <w:rPr>
          <w:rFonts w:asciiTheme="minorBidi" w:hAnsiTheme="minorBidi" w:cstheme="minorBidi"/>
          <w:bCs/>
        </w:rPr>
        <w:t>Coram:</w:t>
      </w:r>
      <w:r>
        <w:rPr>
          <w:rFonts w:asciiTheme="minorBidi" w:hAnsiTheme="minorBidi" w:cstheme="minorBidi"/>
          <w:bCs/>
        </w:rPr>
        <w:tab/>
        <w:t xml:space="preserve">Mossop J </w:t>
      </w:r>
    </w:p>
    <w:p w14:paraId="39DFA4FE" w14:textId="77777777" w:rsidR="00AE755C" w:rsidRDefault="00AE755C" w:rsidP="00AE755C">
      <w:pPr>
        <w:rPr>
          <w:rFonts w:asciiTheme="minorBidi" w:hAnsiTheme="minorBidi" w:cstheme="minorBidi"/>
          <w:bCs/>
        </w:rPr>
      </w:pPr>
    </w:p>
    <w:p w14:paraId="53C976D8" w14:textId="23DA2E98" w:rsidR="00AE755C" w:rsidRDefault="00AE755C" w:rsidP="00AE755C">
      <w:pPr>
        <w:rPr>
          <w:rFonts w:asciiTheme="minorBidi" w:hAnsiTheme="minorBidi" w:cstheme="minorBidi"/>
          <w:bCs/>
        </w:rPr>
      </w:pPr>
      <w:r>
        <w:rPr>
          <w:rFonts w:asciiTheme="minorBidi" w:hAnsiTheme="minorBidi" w:cstheme="minorBidi"/>
          <w:bCs/>
        </w:rPr>
        <w:t>Heard:</w:t>
      </w:r>
      <w:r>
        <w:rPr>
          <w:rFonts w:asciiTheme="minorBidi" w:hAnsiTheme="minorBidi" w:cstheme="minorBidi"/>
          <w:bCs/>
        </w:rPr>
        <w:tab/>
      </w:r>
      <w:r w:rsidR="00AC34ED">
        <w:rPr>
          <w:rFonts w:asciiTheme="minorBidi" w:hAnsiTheme="minorBidi" w:cstheme="minorBidi"/>
          <w:bCs/>
        </w:rPr>
        <w:t>3 March</w:t>
      </w:r>
      <w:r>
        <w:rPr>
          <w:rFonts w:asciiTheme="minorBidi" w:hAnsiTheme="minorBidi" w:cstheme="minorBidi"/>
          <w:bCs/>
        </w:rPr>
        <w:t xml:space="preserve"> 2023</w:t>
      </w:r>
    </w:p>
    <w:p w14:paraId="72E11CC0" w14:textId="77777777" w:rsidR="00AE755C" w:rsidRDefault="00AE755C" w:rsidP="00AE755C">
      <w:pPr>
        <w:rPr>
          <w:rFonts w:asciiTheme="minorBidi" w:hAnsiTheme="minorBidi" w:cstheme="minorBidi"/>
          <w:bCs/>
        </w:rPr>
      </w:pPr>
    </w:p>
    <w:p w14:paraId="4118DB40" w14:textId="0551D3E1" w:rsidR="00AE755C" w:rsidRDefault="00AE755C" w:rsidP="00AE755C">
      <w:pPr>
        <w:rPr>
          <w:rFonts w:asciiTheme="minorBidi" w:hAnsiTheme="minorBidi" w:cstheme="minorBidi"/>
          <w:bCs/>
        </w:rPr>
      </w:pPr>
      <w:r>
        <w:rPr>
          <w:rFonts w:asciiTheme="minorBidi" w:hAnsiTheme="minorBidi" w:cstheme="minorBidi"/>
          <w:bCs/>
        </w:rPr>
        <w:t>Delivered:</w:t>
      </w:r>
      <w:r>
        <w:rPr>
          <w:rFonts w:asciiTheme="minorBidi" w:hAnsiTheme="minorBidi" w:cstheme="minorBidi"/>
          <w:bCs/>
        </w:rPr>
        <w:tab/>
      </w:r>
      <w:r w:rsidR="00AC34ED">
        <w:rPr>
          <w:rFonts w:asciiTheme="minorBidi" w:hAnsiTheme="minorBidi" w:cstheme="minorBidi"/>
          <w:bCs/>
        </w:rPr>
        <w:t>3 March</w:t>
      </w:r>
      <w:r>
        <w:rPr>
          <w:rFonts w:asciiTheme="minorBidi" w:hAnsiTheme="minorBidi" w:cstheme="minorBidi"/>
          <w:bCs/>
        </w:rPr>
        <w:t xml:space="preserve"> 2023</w:t>
      </w:r>
    </w:p>
    <w:p w14:paraId="63FD13F0" w14:textId="77777777" w:rsidR="00AE755C" w:rsidRPr="00E30E8A" w:rsidRDefault="00AE755C" w:rsidP="0099640D">
      <w:pPr>
        <w:pBdr>
          <w:bottom w:val="single" w:sz="12" w:space="1" w:color="auto"/>
        </w:pBdr>
        <w:tabs>
          <w:tab w:val="right" w:pos="8789"/>
        </w:tabs>
        <w:spacing w:line="360" w:lineRule="auto"/>
        <w:jc w:val="both"/>
        <w:rPr>
          <w:rFonts w:ascii="Arial" w:hAnsi="Arial" w:cs="Arial"/>
          <w:b/>
          <w:bCs/>
        </w:rPr>
      </w:pPr>
    </w:p>
    <w:p w14:paraId="481737CD" w14:textId="77777777" w:rsidR="008F3D74" w:rsidRPr="00E30E8A" w:rsidRDefault="008F3D74" w:rsidP="008F3D74">
      <w:pPr>
        <w:pBdr>
          <w:bottom w:val="single" w:sz="12" w:space="1" w:color="auto"/>
        </w:pBdr>
        <w:jc w:val="both"/>
        <w:rPr>
          <w:rFonts w:ascii="Arial" w:hAnsi="Arial" w:cs="Arial"/>
          <w:b/>
          <w:bCs/>
        </w:rPr>
      </w:pPr>
    </w:p>
    <w:p w14:paraId="3DC4957B" w14:textId="77777777" w:rsidR="008F3D74" w:rsidRPr="00E30E8A" w:rsidRDefault="008F3D74" w:rsidP="008F3D74">
      <w:pPr>
        <w:jc w:val="both"/>
        <w:rPr>
          <w:rFonts w:ascii="Arial" w:hAnsi="Arial" w:cs="Arial"/>
          <w:b/>
          <w:bCs/>
        </w:rPr>
      </w:pPr>
    </w:p>
    <w:p w14:paraId="39A759A3" w14:textId="77777777" w:rsidR="008F3D74" w:rsidRPr="00E30E8A" w:rsidRDefault="008F3D74" w:rsidP="008F3D74">
      <w:pPr>
        <w:pBdr>
          <w:bottom w:val="single" w:sz="12" w:space="1" w:color="auto"/>
        </w:pBdr>
        <w:jc w:val="center"/>
        <w:rPr>
          <w:rFonts w:ascii="Arial" w:hAnsi="Arial" w:cs="Arial"/>
          <w:b/>
          <w:bCs/>
        </w:rPr>
      </w:pPr>
      <w:r w:rsidRPr="00E30E8A">
        <w:rPr>
          <w:rFonts w:ascii="Arial" w:hAnsi="Arial" w:cs="Arial"/>
          <w:b/>
          <w:bCs/>
        </w:rPr>
        <w:t>ORDER</w:t>
      </w:r>
    </w:p>
    <w:p w14:paraId="6426A6C4" w14:textId="77777777" w:rsidR="008F3D74" w:rsidRPr="00E30E8A" w:rsidRDefault="008F3D74" w:rsidP="008F3D74">
      <w:pPr>
        <w:pBdr>
          <w:bottom w:val="single" w:sz="12" w:space="1" w:color="auto"/>
        </w:pBdr>
        <w:jc w:val="center"/>
        <w:rPr>
          <w:rFonts w:ascii="Arial" w:hAnsi="Arial" w:cs="Arial"/>
          <w:b/>
          <w:bCs/>
        </w:rPr>
      </w:pPr>
    </w:p>
    <w:p w14:paraId="39D8A444" w14:textId="77777777" w:rsidR="008F3D74" w:rsidRPr="00E30E8A" w:rsidRDefault="008F3D74" w:rsidP="008F3D74">
      <w:pPr>
        <w:jc w:val="both"/>
        <w:rPr>
          <w:rFonts w:ascii="Arial" w:hAnsi="Arial" w:cs="Arial"/>
          <w:b/>
          <w:bCs/>
        </w:rPr>
      </w:pPr>
    </w:p>
    <w:p w14:paraId="5901C22A" w14:textId="77777777" w:rsidR="007138D2" w:rsidRDefault="007138D2" w:rsidP="008F3D74">
      <w:pPr>
        <w:spacing w:line="360" w:lineRule="auto"/>
        <w:jc w:val="both"/>
        <w:rPr>
          <w:rFonts w:ascii="Arial" w:hAnsi="Arial" w:cs="Arial"/>
          <w:bCs/>
        </w:rPr>
      </w:pPr>
    </w:p>
    <w:p w14:paraId="71944E54" w14:textId="77777777" w:rsidR="007138D2" w:rsidRDefault="007138D2" w:rsidP="008F3D74">
      <w:pPr>
        <w:spacing w:line="360" w:lineRule="auto"/>
        <w:jc w:val="both"/>
        <w:rPr>
          <w:rFonts w:ascii="Arial" w:hAnsi="Arial" w:cs="Arial"/>
          <w:bCs/>
        </w:rPr>
      </w:pPr>
    </w:p>
    <w:p w14:paraId="4722903B" w14:textId="070F509D" w:rsidR="008F3D74" w:rsidRDefault="008F3D74" w:rsidP="008F3D74">
      <w:pPr>
        <w:spacing w:line="360" w:lineRule="auto"/>
        <w:jc w:val="both"/>
        <w:rPr>
          <w:rFonts w:ascii="Arial" w:hAnsi="Arial" w:cs="Arial"/>
          <w:bCs/>
        </w:rPr>
      </w:pPr>
      <w:r>
        <w:rPr>
          <w:rFonts w:ascii="Arial" w:hAnsi="Arial" w:cs="Arial"/>
          <w:bCs/>
        </w:rPr>
        <w:lastRenderedPageBreak/>
        <w:t>The following order is made:</w:t>
      </w:r>
    </w:p>
    <w:p w14:paraId="58E2684F" w14:textId="77777777" w:rsidR="007138D2" w:rsidRDefault="007138D2" w:rsidP="008F3D74">
      <w:pPr>
        <w:spacing w:line="360" w:lineRule="auto"/>
        <w:jc w:val="both"/>
        <w:rPr>
          <w:rFonts w:ascii="Arial" w:hAnsi="Arial" w:cs="Arial"/>
          <w:bCs/>
        </w:rPr>
      </w:pPr>
    </w:p>
    <w:p w14:paraId="7DBAC626" w14:textId="314746E5" w:rsidR="00B5257A" w:rsidRPr="00E031AA" w:rsidRDefault="008F3D74" w:rsidP="00D8713E">
      <w:pPr>
        <w:pStyle w:val="NormalWeb"/>
        <w:numPr>
          <w:ilvl w:val="0"/>
          <w:numId w:val="19"/>
        </w:numPr>
        <w:shd w:val="clear" w:color="auto" w:fill="FFFFFF"/>
        <w:tabs>
          <w:tab w:val="left" w:pos="709"/>
        </w:tabs>
        <w:spacing w:before="0" w:beforeAutospacing="0" w:after="0" w:afterAutospacing="0" w:line="360" w:lineRule="auto"/>
        <w:ind w:left="0" w:firstLine="0"/>
        <w:jc w:val="both"/>
        <w:rPr>
          <w:rFonts w:ascii="Arial" w:hAnsi="Arial" w:cs="Arial"/>
          <w:color w:val="242121"/>
        </w:rPr>
      </w:pPr>
      <w:r>
        <w:rPr>
          <w:rFonts w:ascii="Arial" w:hAnsi="Arial" w:cs="Arial"/>
          <w:bCs/>
        </w:rPr>
        <w:t xml:space="preserve">The </w:t>
      </w:r>
      <w:r w:rsidR="00E873B6">
        <w:rPr>
          <w:rFonts w:ascii="Arial" w:hAnsi="Arial" w:cs="Arial"/>
          <w:bCs/>
        </w:rPr>
        <w:t>application for leave to appeal is refused with costs</w:t>
      </w:r>
      <w:r w:rsidR="00AC6F76">
        <w:rPr>
          <w:rFonts w:ascii="Arial" w:hAnsi="Arial" w:cs="Arial"/>
          <w:bCs/>
        </w:rPr>
        <w:t>.</w:t>
      </w:r>
    </w:p>
    <w:p w14:paraId="00581597" w14:textId="77777777" w:rsidR="008F3D74" w:rsidRPr="00E30E8A" w:rsidRDefault="008F3D74" w:rsidP="00AE755C">
      <w:pPr>
        <w:pBdr>
          <w:bottom w:val="single" w:sz="12" w:space="1" w:color="auto"/>
        </w:pBdr>
        <w:spacing w:line="360" w:lineRule="auto"/>
        <w:jc w:val="both"/>
        <w:rPr>
          <w:rFonts w:ascii="Arial" w:hAnsi="Arial" w:cs="Arial"/>
          <w:b/>
          <w:bCs/>
        </w:rPr>
      </w:pPr>
    </w:p>
    <w:p w14:paraId="4E40FBC6" w14:textId="77777777" w:rsidR="008F3D74" w:rsidRPr="00E30E8A" w:rsidRDefault="008F3D74" w:rsidP="00AE755C">
      <w:pPr>
        <w:spacing w:line="360" w:lineRule="auto"/>
        <w:jc w:val="both"/>
        <w:rPr>
          <w:rFonts w:ascii="Arial" w:hAnsi="Arial" w:cs="Arial"/>
          <w:b/>
          <w:bCs/>
        </w:rPr>
      </w:pPr>
    </w:p>
    <w:p w14:paraId="2E07C46E" w14:textId="77777777" w:rsidR="008F3D74" w:rsidRPr="00E30E8A" w:rsidRDefault="008F3D74" w:rsidP="008F3D74">
      <w:pPr>
        <w:pBdr>
          <w:bottom w:val="single" w:sz="12" w:space="1" w:color="auto"/>
        </w:pBdr>
        <w:jc w:val="center"/>
        <w:rPr>
          <w:rFonts w:ascii="Arial" w:hAnsi="Arial" w:cs="Arial"/>
          <w:b/>
          <w:bCs/>
        </w:rPr>
      </w:pPr>
      <w:r w:rsidRPr="00E30E8A">
        <w:rPr>
          <w:rFonts w:ascii="Arial" w:hAnsi="Arial" w:cs="Arial"/>
          <w:b/>
          <w:bCs/>
        </w:rPr>
        <w:t>JUDGMENT</w:t>
      </w:r>
    </w:p>
    <w:p w14:paraId="7B078E98" w14:textId="77777777" w:rsidR="008F3D74" w:rsidRPr="00E30E8A" w:rsidRDefault="008F3D74" w:rsidP="00AE755C">
      <w:pPr>
        <w:pBdr>
          <w:bottom w:val="single" w:sz="12" w:space="1" w:color="auto"/>
        </w:pBdr>
        <w:spacing w:line="360" w:lineRule="auto"/>
        <w:jc w:val="center"/>
        <w:rPr>
          <w:rFonts w:ascii="Arial" w:hAnsi="Arial" w:cs="Arial"/>
          <w:b/>
          <w:bCs/>
        </w:rPr>
      </w:pPr>
    </w:p>
    <w:p w14:paraId="45FEDB78" w14:textId="77777777" w:rsidR="00B43EF7" w:rsidRDefault="00B43EF7" w:rsidP="00AE755C">
      <w:pPr>
        <w:spacing w:line="360" w:lineRule="auto"/>
        <w:jc w:val="both"/>
        <w:rPr>
          <w:rFonts w:ascii="Arial" w:hAnsi="Arial" w:cs="Arial"/>
          <w:b/>
        </w:rPr>
      </w:pPr>
    </w:p>
    <w:p w14:paraId="240BE166" w14:textId="5BF4622D" w:rsidR="008F3D74" w:rsidRDefault="008F3D74" w:rsidP="0019107E">
      <w:pPr>
        <w:spacing w:line="360" w:lineRule="auto"/>
        <w:jc w:val="both"/>
        <w:rPr>
          <w:rFonts w:ascii="Arial" w:hAnsi="Arial" w:cs="Arial"/>
        </w:rPr>
      </w:pPr>
      <w:r>
        <w:rPr>
          <w:rFonts w:ascii="Arial" w:hAnsi="Arial" w:cs="Arial"/>
          <w:b/>
        </w:rPr>
        <w:t>MOSSOP J</w:t>
      </w:r>
      <w:r w:rsidRPr="00E30E8A">
        <w:rPr>
          <w:rFonts w:ascii="Arial" w:hAnsi="Arial" w:cs="Arial"/>
        </w:rPr>
        <w:t>:</w:t>
      </w:r>
    </w:p>
    <w:p w14:paraId="496744B2" w14:textId="77777777" w:rsidR="00AE755C" w:rsidRDefault="00AE755C" w:rsidP="0019107E">
      <w:pPr>
        <w:spacing w:line="360" w:lineRule="auto"/>
        <w:jc w:val="both"/>
        <w:rPr>
          <w:rFonts w:ascii="Arial" w:hAnsi="Arial" w:cs="Arial"/>
        </w:rPr>
      </w:pPr>
    </w:p>
    <w:p w14:paraId="7B6F833C" w14:textId="672B3676" w:rsidR="009E7977" w:rsidRDefault="009E7977" w:rsidP="0019107E">
      <w:pPr>
        <w:pStyle w:val="ListParagraph"/>
        <w:numPr>
          <w:ilvl w:val="0"/>
          <w:numId w:val="7"/>
        </w:numPr>
        <w:tabs>
          <w:tab w:val="left" w:pos="709"/>
        </w:tabs>
        <w:spacing w:after="0" w:line="360" w:lineRule="auto"/>
        <w:ind w:left="0" w:firstLine="0"/>
        <w:jc w:val="both"/>
        <w:rPr>
          <w:rFonts w:ascii="Arial" w:hAnsi="Arial" w:cs="Arial"/>
          <w:sz w:val="24"/>
          <w:szCs w:val="24"/>
        </w:rPr>
      </w:pPr>
      <w:r>
        <w:rPr>
          <w:rFonts w:ascii="Arial" w:hAnsi="Arial" w:cs="Arial"/>
          <w:sz w:val="24"/>
          <w:szCs w:val="24"/>
        </w:rPr>
        <w:t xml:space="preserve">On 15 December 2022 I delivered a written judgment in an opposed </w:t>
      </w:r>
      <w:r w:rsidR="002E4410">
        <w:rPr>
          <w:rFonts w:ascii="Arial" w:hAnsi="Arial" w:cs="Arial"/>
          <w:sz w:val="24"/>
          <w:szCs w:val="24"/>
        </w:rPr>
        <w:t>appeal br</w:t>
      </w:r>
      <w:r w:rsidR="00AE5C5A">
        <w:rPr>
          <w:rFonts w:ascii="Arial" w:hAnsi="Arial" w:cs="Arial"/>
          <w:sz w:val="24"/>
          <w:szCs w:val="24"/>
        </w:rPr>
        <w:t>o</w:t>
      </w:r>
      <w:r w:rsidR="002E4410">
        <w:rPr>
          <w:rFonts w:ascii="Arial" w:hAnsi="Arial" w:cs="Arial"/>
          <w:sz w:val="24"/>
          <w:szCs w:val="24"/>
        </w:rPr>
        <w:t xml:space="preserve">ught in terms of section </w:t>
      </w:r>
      <w:r w:rsidR="00625BED">
        <w:rPr>
          <w:rFonts w:ascii="Arial" w:hAnsi="Arial" w:cs="Arial"/>
          <w:sz w:val="24"/>
          <w:szCs w:val="24"/>
        </w:rPr>
        <w:t>57 of the Community Schemes Ombud Service Act 9 of 2011</w:t>
      </w:r>
      <w:r w:rsidR="002E4410">
        <w:rPr>
          <w:rFonts w:ascii="Arial" w:hAnsi="Arial" w:cs="Arial"/>
          <w:sz w:val="24"/>
          <w:szCs w:val="24"/>
        </w:rPr>
        <w:t>. Those parties that played an active</w:t>
      </w:r>
      <w:r>
        <w:rPr>
          <w:rFonts w:ascii="Arial" w:hAnsi="Arial" w:cs="Arial"/>
          <w:sz w:val="24"/>
          <w:szCs w:val="24"/>
        </w:rPr>
        <w:t xml:space="preserve"> </w:t>
      </w:r>
      <w:r w:rsidR="00AE5C5A">
        <w:rPr>
          <w:rFonts w:ascii="Arial" w:hAnsi="Arial" w:cs="Arial"/>
          <w:sz w:val="24"/>
          <w:szCs w:val="24"/>
        </w:rPr>
        <w:t>role in the appeal were the applicant</w:t>
      </w:r>
      <w:r w:rsidR="00625BED">
        <w:rPr>
          <w:rFonts w:ascii="Arial" w:hAnsi="Arial" w:cs="Arial"/>
          <w:sz w:val="24"/>
          <w:szCs w:val="24"/>
        </w:rPr>
        <w:t>, who was the appellant in the appeal,</w:t>
      </w:r>
      <w:r w:rsidR="00AE5C5A">
        <w:rPr>
          <w:rFonts w:ascii="Arial" w:hAnsi="Arial" w:cs="Arial"/>
          <w:sz w:val="24"/>
          <w:szCs w:val="24"/>
        </w:rPr>
        <w:t xml:space="preserve"> and the first and second respondents</w:t>
      </w:r>
      <w:r w:rsidR="00625BED">
        <w:rPr>
          <w:rFonts w:ascii="Arial" w:hAnsi="Arial" w:cs="Arial"/>
          <w:sz w:val="24"/>
          <w:szCs w:val="24"/>
        </w:rPr>
        <w:t xml:space="preserve"> who opposed that appeal</w:t>
      </w:r>
      <w:r w:rsidR="00AE5C5A">
        <w:rPr>
          <w:rFonts w:ascii="Arial" w:hAnsi="Arial" w:cs="Arial"/>
          <w:sz w:val="24"/>
          <w:szCs w:val="24"/>
        </w:rPr>
        <w:t xml:space="preserve">. I shall </w:t>
      </w:r>
      <w:r w:rsidR="00BF040A">
        <w:rPr>
          <w:rFonts w:ascii="Arial" w:hAnsi="Arial" w:cs="Arial"/>
          <w:sz w:val="24"/>
          <w:szCs w:val="24"/>
        </w:rPr>
        <w:t xml:space="preserve">refer </w:t>
      </w:r>
      <w:r w:rsidR="00AE5C5A">
        <w:rPr>
          <w:rFonts w:ascii="Arial" w:hAnsi="Arial" w:cs="Arial"/>
          <w:sz w:val="24"/>
          <w:szCs w:val="24"/>
        </w:rPr>
        <w:t xml:space="preserve">to </w:t>
      </w:r>
      <w:r w:rsidR="00BF040A">
        <w:rPr>
          <w:rFonts w:ascii="Arial" w:hAnsi="Arial" w:cs="Arial"/>
          <w:sz w:val="24"/>
          <w:szCs w:val="24"/>
        </w:rPr>
        <w:t>the appellant as the applicant and I will continue to refer to the first and second respondents by those names.</w:t>
      </w:r>
    </w:p>
    <w:p w14:paraId="608C632D" w14:textId="77777777" w:rsidR="009E7977" w:rsidRDefault="009E7977" w:rsidP="0019107E">
      <w:pPr>
        <w:pStyle w:val="ListParagraph"/>
        <w:tabs>
          <w:tab w:val="left" w:pos="709"/>
        </w:tabs>
        <w:spacing w:after="0" w:line="360" w:lineRule="auto"/>
        <w:ind w:left="0"/>
        <w:jc w:val="both"/>
        <w:rPr>
          <w:rFonts w:ascii="Arial" w:hAnsi="Arial" w:cs="Arial"/>
          <w:sz w:val="24"/>
          <w:szCs w:val="24"/>
        </w:rPr>
      </w:pPr>
    </w:p>
    <w:p w14:paraId="3363E4F4" w14:textId="6C025CE8" w:rsidR="00E031AA" w:rsidRDefault="009E7977" w:rsidP="0019107E">
      <w:pPr>
        <w:pStyle w:val="ListParagraph"/>
        <w:numPr>
          <w:ilvl w:val="0"/>
          <w:numId w:val="7"/>
        </w:numPr>
        <w:tabs>
          <w:tab w:val="left" w:pos="709"/>
        </w:tabs>
        <w:spacing w:after="0" w:line="360" w:lineRule="auto"/>
        <w:ind w:left="0" w:firstLine="0"/>
        <w:jc w:val="both"/>
        <w:rPr>
          <w:rFonts w:ascii="Arial" w:hAnsi="Arial" w:cs="Arial"/>
          <w:sz w:val="24"/>
          <w:szCs w:val="24"/>
        </w:rPr>
      </w:pPr>
      <w:r w:rsidRPr="00AC6F76">
        <w:rPr>
          <w:rFonts w:ascii="Arial" w:hAnsi="Arial" w:cs="Arial"/>
          <w:sz w:val="24"/>
          <w:szCs w:val="24"/>
        </w:rPr>
        <w:t xml:space="preserve">In the </w:t>
      </w:r>
      <w:r w:rsidR="00AE5C5A">
        <w:rPr>
          <w:rFonts w:ascii="Arial" w:hAnsi="Arial" w:cs="Arial"/>
          <w:sz w:val="24"/>
          <w:szCs w:val="24"/>
        </w:rPr>
        <w:t>appeal</w:t>
      </w:r>
      <w:r w:rsidRPr="00AC6F76">
        <w:rPr>
          <w:rFonts w:ascii="Arial" w:hAnsi="Arial" w:cs="Arial"/>
          <w:sz w:val="24"/>
          <w:szCs w:val="24"/>
        </w:rPr>
        <w:t xml:space="preserve">, the applicant appealed against a decision by the third respondent </w:t>
      </w:r>
      <w:r w:rsidR="00625BED">
        <w:rPr>
          <w:rFonts w:ascii="Arial" w:hAnsi="Arial" w:cs="Arial"/>
          <w:sz w:val="24"/>
          <w:szCs w:val="24"/>
        </w:rPr>
        <w:t xml:space="preserve">delivered on 28 June 2022 </w:t>
      </w:r>
      <w:r w:rsidRPr="00AC6F76">
        <w:rPr>
          <w:rFonts w:ascii="Arial" w:hAnsi="Arial" w:cs="Arial"/>
          <w:sz w:val="24"/>
          <w:szCs w:val="24"/>
        </w:rPr>
        <w:t xml:space="preserve">not to </w:t>
      </w:r>
      <w:r w:rsidR="00AC6F76">
        <w:rPr>
          <w:rFonts w:ascii="Arial" w:hAnsi="Arial" w:cs="Arial"/>
          <w:sz w:val="24"/>
          <w:szCs w:val="24"/>
        </w:rPr>
        <w:t>grant him relief and sought the setting aside of th</w:t>
      </w:r>
      <w:r w:rsidR="00625BED">
        <w:rPr>
          <w:rFonts w:ascii="Arial" w:hAnsi="Arial" w:cs="Arial"/>
          <w:sz w:val="24"/>
          <w:szCs w:val="24"/>
        </w:rPr>
        <w:t>at</w:t>
      </w:r>
      <w:r w:rsidR="00AC6F76">
        <w:rPr>
          <w:rFonts w:ascii="Arial" w:hAnsi="Arial" w:cs="Arial"/>
          <w:sz w:val="24"/>
          <w:szCs w:val="24"/>
        </w:rPr>
        <w:t xml:space="preserve"> order </w:t>
      </w:r>
      <w:r w:rsidR="00A20F60">
        <w:rPr>
          <w:rFonts w:ascii="Arial" w:hAnsi="Arial" w:cs="Arial"/>
          <w:sz w:val="24"/>
          <w:szCs w:val="24"/>
        </w:rPr>
        <w:t xml:space="preserve">and a declaration </w:t>
      </w:r>
      <w:r w:rsidR="00A47336">
        <w:rPr>
          <w:rFonts w:ascii="Arial" w:hAnsi="Arial" w:cs="Arial"/>
          <w:sz w:val="24"/>
          <w:szCs w:val="24"/>
        </w:rPr>
        <w:t xml:space="preserve">from this court </w:t>
      </w:r>
      <w:r w:rsidR="00A20F60">
        <w:rPr>
          <w:rFonts w:ascii="Arial" w:hAnsi="Arial" w:cs="Arial"/>
          <w:sz w:val="24"/>
          <w:szCs w:val="24"/>
        </w:rPr>
        <w:t>that</w:t>
      </w:r>
      <w:r w:rsidR="00A47336">
        <w:rPr>
          <w:rFonts w:ascii="Arial" w:hAnsi="Arial" w:cs="Arial"/>
          <w:sz w:val="24"/>
          <w:szCs w:val="24"/>
        </w:rPr>
        <w:t xml:space="preserve"> certain</w:t>
      </w:r>
      <w:r w:rsidR="00AE5C5A">
        <w:rPr>
          <w:rFonts w:ascii="Arial" w:hAnsi="Arial" w:cs="Arial"/>
          <w:sz w:val="24"/>
          <w:szCs w:val="24"/>
        </w:rPr>
        <w:t xml:space="preserve"> special r</w:t>
      </w:r>
      <w:r w:rsidR="00A20F60">
        <w:rPr>
          <w:rFonts w:ascii="Arial" w:hAnsi="Arial" w:cs="Arial"/>
          <w:sz w:val="24"/>
          <w:szCs w:val="24"/>
        </w:rPr>
        <w:t xml:space="preserve">ules that are of application to the </w:t>
      </w:r>
      <w:r w:rsidR="007E3364">
        <w:rPr>
          <w:rFonts w:ascii="Arial" w:hAnsi="Arial" w:cs="Arial"/>
          <w:sz w:val="24"/>
          <w:szCs w:val="24"/>
        </w:rPr>
        <w:t>second respondent</w:t>
      </w:r>
      <w:r w:rsidR="00A47336">
        <w:rPr>
          <w:rFonts w:ascii="Arial" w:hAnsi="Arial" w:cs="Arial"/>
          <w:sz w:val="24"/>
          <w:szCs w:val="24"/>
        </w:rPr>
        <w:t>,</w:t>
      </w:r>
      <w:r w:rsidR="00A20F60">
        <w:rPr>
          <w:rFonts w:ascii="Arial" w:hAnsi="Arial" w:cs="Arial"/>
          <w:sz w:val="24"/>
          <w:szCs w:val="24"/>
        </w:rPr>
        <w:t xml:space="preserve"> of which the applicant is a member</w:t>
      </w:r>
      <w:r w:rsidR="00A47336">
        <w:rPr>
          <w:rFonts w:ascii="Arial" w:hAnsi="Arial" w:cs="Arial"/>
          <w:sz w:val="24"/>
          <w:szCs w:val="24"/>
        </w:rPr>
        <w:t>,</w:t>
      </w:r>
      <w:r w:rsidR="00A20F60">
        <w:rPr>
          <w:rFonts w:ascii="Arial" w:hAnsi="Arial" w:cs="Arial"/>
          <w:sz w:val="24"/>
          <w:szCs w:val="24"/>
        </w:rPr>
        <w:t xml:space="preserve"> are inconsistent with the provisions of the Sectional Titles Schemes Management Act</w:t>
      </w:r>
      <w:r w:rsidR="007E3364">
        <w:rPr>
          <w:rFonts w:ascii="Arial" w:hAnsi="Arial" w:cs="Arial"/>
          <w:sz w:val="24"/>
          <w:szCs w:val="24"/>
        </w:rPr>
        <w:t xml:space="preserve"> 8 of</w:t>
      </w:r>
      <w:r w:rsidR="00A20F60">
        <w:rPr>
          <w:rFonts w:ascii="Arial" w:hAnsi="Arial" w:cs="Arial"/>
          <w:sz w:val="24"/>
          <w:szCs w:val="24"/>
        </w:rPr>
        <w:t xml:space="preserve"> 2011 and are invalid. Certain alternative relief was also claimed</w:t>
      </w:r>
      <w:r w:rsidR="00AE5C5A">
        <w:rPr>
          <w:rFonts w:ascii="Arial" w:hAnsi="Arial" w:cs="Arial"/>
          <w:sz w:val="24"/>
          <w:szCs w:val="24"/>
        </w:rPr>
        <w:t xml:space="preserve"> by the applicant</w:t>
      </w:r>
      <w:r w:rsidR="00A20F60">
        <w:rPr>
          <w:rFonts w:ascii="Arial" w:hAnsi="Arial" w:cs="Arial"/>
          <w:sz w:val="24"/>
          <w:szCs w:val="24"/>
        </w:rPr>
        <w:t>.</w:t>
      </w:r>
    </w:p>
    <w:p w14:paraId="1BE669A6" w14:textId="4AC0C1E3" w:rsidR="00A20F60" w:rsidRPr="00AC6F76" w:rsidRDefault="00A20F60" w:rsidP="0019107E">
      <w:pPr>
        <w:pStyle w:val="ListParagraph"/>
        <w:tabs>
          <w:tab w:val="left" w:pos="709"/>
        </w:tabs>
        <w:spacing w:after="0" w:line="360" w:lineRule="auto"/>
        <w:ind w:left="0"/>
        <w:jc w:val="both"/>
        <w:rPr>
          <w:rFonts w:ascii="Arial" w:hAnsi="Arial" w:cs="Arial"/>
          <w:sz w:val="24"/>
          <w:szCs w:val="24"/>
        </w:rPr>
      </w:pPr>
    </w:p>
    <w:p w14:paraId="001D2D1B" w14:textId="2434B1B1" w:rsidR="00A47336" w:rsidRPr="00AE5C5A" w:rsidRDefault="00A20F60" w:rsidP="0019107E">
      <w:pPr>
        <w:pStyle w:val="ListParagraph"/>
        <w:numPr>
          <w:ilvl w:val="0"/>
          <w:numId w:val="7"/>
        </w:numPr>
        <w:tabs>
          <w:tab w:val="left" w:pos="709"/>
        </w:tabs>
        <w:spacing w:after="0" w:line="360" w:lineRule="auto"/>
        <w:ind w:left="0" w:firstLine="0"/>
        <w:jc w:val="both"/>
        <w:rPr>
          <w:rFonts w:ascii="Arial" w:hAnsi="Arial" w:cs="Arial"/>
          <w:sz w:val="24"/>
          <w:szCs w:val="24"/>
        </w:rPr>
      </w:pPr>
      <w:r>
        <w:rPr>
          <w:rFonts w:ascii="Arial" w:hAnsi="Arial" w:cs="Arial"/>
          <w:color w:val="242121"/>
          <w:sz w:val="24"/>
          <w:szCs w:val="24"/>
          <w:lang w:val="en-US"/>
        </w:rPr>
        <w:t xml:space="preserve">I dismissed the appeal, with costs. </w:t>
      </w:r>
      <w:r w:rsidR="00AE4740" w:rsidRPr="00E031AA">
        <w:rPr>
          <w:rFonts w:ascii="Arial" w:hAnsi="Arial" w:cs="Arial"/>
          <w:color w:val="242121"/>
          <w:sz w:val="24"/>
          <w:szCs w:val="24"/>
          <w:lang w:val="en-US"/>
        </w:rPr>
        <w:t xml:space="preserve">My judgment </w:t>
      </w:r>
      <w:r w:rsidR="00E031AA">
        <w:rPr>
          <w:rFonts w:ascii="Arial" w:hAnsi="Arial" w:cs="Arial"/>
          <w:color w:val="242121"/>
          <w:sz w:val="24"/>
          <w:szCs w:val="24"/>
          <w:lang w:val="en-US"/>
        </w:rPr>
        <w:t xml:space="preserve">on the issues </w:t>
      </w:r>
      <w:r w:rsidR="00AE4740" w:rsidRPr="00E031AA">
        <w:rPr>
          <w:rFonts w:ascii="Arial" w:hAnsi="Arial" w:cs="Arial"/>
          <w:color w:val="242121"/>
          <w:sz w:val="24"/>
          <w:szCs w:val="24"/>
          <w:lang w:val="en-US"/>
        </w:rPr>
        <w:t>is comprehensive and I stand by the reasons set out therein.</w:t>
      </w:r>
    </w:p>
    <w:p w14:paraId="030A2F77" w14:textId="77777777" w:rsidR="00AE5C5A" w:rsidRPr="00AE5C5A" w:rsidRDefault="00AE5C5A" w:rsidP="0019107E">
      <w:pPr>
        <w:pStyle w:val="ListParagraph"/>
        <w:spacing w:after="0" w:line="360" w:lineRule="auto"/>
        <w:rPr>
          <w:rFonts w:ascii="Arial" w:hAnsi="Arial" w:cs="Arial"/>
          <w:sz w:val="24"/>
          <w:szCs w:val="24"/>
        </w:rPr>
      </w:pPr>
    </w:p>
    <w:p w14:paraId="1491964A" w14:textId="58C48160" w:rsidR="00AE5C5A" w:rsidRDefault="00AE5C5A" w:rsidP="0019107E">
      <w:pPr>
        <w:pStyle w:val="ListParagraph"/>
        <w:numPr>
          <w:ilvl w:val="0"/>
          <w:numId w:val="7"/>
        </w:numPr>
        <w:tabs>
          <w:tab w:val="left" w:pos="709"/>
        </w:tabs>
        <w:spacing w:after="0" w:line="360" w:lineRule="auto"/>
        <w:ind w:left="0" w:firstLine="0"/>
        <w:jc w:val="both"/>
        <w:rPr>
          <w:rFonts w:ascii="Arial" w:hAnsi="Arial" w:cs="Arial"/>
          <w:sz w:val="24"/>
          <w:szCs w:val="24"/>
        </w:rPr>
      </w:pPr>
      <w:r>
        <w:rPr>
          <w:rFonts w:ascii="Arial" w:hAnsi="Arial" w:cs="Arial"/>
          <w:sz w:val="24"/>
          <w:szCs w:val="24"/>
        </w:rPr>
        <w:t xml:space="preserve">What is now before me is an opposed application for leave to appeal </w:t>
      </w:r>
      <w:r w:rsidR="007138D2">
        <w:rPr>
          <w:rFonts w:ascii="Arial" w:hAnsi="Arial" w:cs="Arial"/>
          <w:sz w:val="24"/>
          <w:szCs w:val="24"/>
        </w:rPr>
        <w:t xml:space="preserve">against my judgment </w:t>
      </w:r>
      <w:r>
        <w:rPr>
          <w:rFonts w:ascii="Arial" w:hAnsi="Arial" w:cs="Arial"/>
          <w:sz w:val="24"/>
          <w:szCs w:val="24"/>
        </w:rPr>
        <w:t>at the instance of the applicant. It is opposed by the first and second respondents.</w:t>
      </w:r>
      <w:r w:rsidR="0019107E">
        <w:rPr>
          <w:rFonts w:ascii="Arial" w:hAnsi="Arial" w:cs="Arial"/>
          <w:sz w:val="24"/>
          <w:szCs w:val="24"/>
        </w:rPr>
        <w:t xml:space="preserve"> This morning when the application for leave to appeal was argued, as in the appeal, the applicant was represented by Mr Omar and the first and second respondents was represented by Ms Nicholson</w:t>
      </w:r>
      <w:r w:rsidR="00836201">
        <w:rPr>
          <w:rFonts w:ascii="Arial" w:hAnsi="Arial" w:cs="Arial"/>
          <w:sz w:val="24"/>
          <w:szCs w:val="24"/>
        </w:rPr>
        <w:t xml:space="preserve">. I thank both of them for their submissions and for their discipline in complying with the time limits that I requested </w:t>
      </w:r>
      <w:r w:rsidR="00836201">
        <w:rPr>
          <w:rFonts w:ascii="Arial" w:hAnsi="Arial" w:cs="Arial"/>
          <w:sz w:val="24"/>
          <w:szCs w:val="24"/>
        </w:rPr>
        <w:lastRenderedPageBreak/>
        <w:t>them to adhere to when addressing me. Such time limits were necessary given this court’s other duties.</w:t>
      </w:r>
    </w:p>
    <w:p w14:paraId="32E2B732" w14:textId="77777777" w:rsidR="00836201" w:rsidRPr="00836201" w:rsidRDefault="00836201" w:rsidP="00836201">
      <w:pPr>
        <w:pStyle w:val="ListParagraph"/>
        <w:rPr>
          <w:rFonts w:ascii="Arial" w:hAnsi="Arial" w:cs="Arial"/>
          <w:sz w:val="24"/>
          <w:szCs w:val="24"/>
        </w:rPr>
      </w:pPr>
    </w:p>
    <w:p w14:paraId="1665C32D" w14:textId="77777777" w:rsidR="00836201" w:rsidRPr="00836201" w:rsidRDefault="00A47336" w:rsidP="00836201">
      <w:pPr>
        <w:pStyle w:val="ListParagraph"/>
        <w:numPr>
          <w:ilvl w:val="0"/>
          <w:numId w:val="7"/>
        </w:numPr>
        <w:tabs>
          <w:tab w:val="left" w:pos="709"/>
        </w:tabs>
        <w:spacing w:after="0" w:line="360" w:lineRule="auto"/>
        <w:ind w:left="0" w:firstLine="0"/>
        <w:jc w:val="both"/>
        <w:rPr>
          <w:rFonts w:ascii="Arial" w:hAnsi="Arial" w:cs="Arial"/>
          <w:sz w:val="24"/>
          <w:szCs w:val="24"/>
        </w:rPr>
      </w:pPr>
      <w:r w:rsidRPr="00836201">
        <w:rPr>
          <w:rFonts w:ascii="Arial" w:hAnsi="Arial" w:cs="Arial"/>
          <w:sz w:val="24"/>
          <w:szCs w:val="24"/>
        </w:rPr>
        <w:t xml:space="preserve">Section 17 of the </w:t>
      </w:r>
      <w:hyperlink r:id="rId9" w:history="1">
        <w:r w:rsidRPr="00836201">
          <w:rPr>
            <w:rStyle w:val="Hyperlink"/>
            <w:rFonts w:ascii="Arial" w:hAnsi="Arial" w:cs="Arial"/>
            <w:bCs/>
            <w:color w:val="auto"/>
            <w:sz w:val="24"/>
            <w:szCs w:val="24"/>
            <w:u w:val="none"/>
          </w:rPr>
          <w:t>Superior Courts Act, 10 of 2013</w:t>
        </w:r>
      </w:hyperlink>
      <w:r w:rsidRPr="00836201">
        <w:rPr>
          <w:rStyle w:val="Hyperlink"/>
          <w:rFonts w:ascii="Arial" w:hAnsi="Arial" w:cs="Arial"/>
          <w:bCs/>
          <w:color w:val="auto"/>
          <w:sz w:val="24"/>
          <w:szCs w:val="24"/>
          <w:u w:val="none"/>
        </w:rPr>
        <w:t xml:space="preserve"> (the Act) </w:t>
      </w:r>
      <w:r w:rsidRPr="00836201">
        <w:rPr>
          <w:rFonts w:ascii="Arial" w:hAnsi="Arial" w:cs="Arial"/>
          <w:sz w:val="24"/>
          <w:szCs w:val="24"/>
        </w:rPr>
        <w:t>regulates applications for leave to appeal from a decision of a High Court. It provides as follows:</w:t>
      </w:r>
      <w:r w:rsidRPr="00836201">
        <w:rPr>
          <w:sz w:val="24"/>
          <w:szCs w:val="24"/>
        </w:rPr>
        <w:t xml:space="preserve"> </w:t>
      </w:r>
    </w:p>
    <w:p w14:paraId="2BC71F5B" w14:textId="05986273" w:rsidR="00A47336" w:rsidRPr="00836201" w:rsidRDefault="00A47336" w:rsidP="00836201">
      <w:pPr>
        <w:pStyle w:val="ListParagraph"/>
        <w:tabs>
          <w:tab w:val="left" w:pos="709"/>
        </w:tabs>
        <w:spacing w:after="0" w:line="360" w:lineRule="auto"/>
        <w:ind w:left="0"/>
        <w:jc w:val="both"/>
        <w:rPr>
          <w:rFonts w:ascii="Arial" w:hAnsi="Arial" w:cs="Arial"/>
          <w:sz w:val="24"/>
          <w:szCs w:val="24"/>
        </w:rPr>
      </w:pPr>
      <w:r w:rsidRPr="00836201">
        <w:rPr>
          <w:rFonts w:ascii="Arial" w:hAnsi="Arial" w:cs="Arial"/>
        </w:rPr>
        <w:t xml:space="preserve">‘(1) Leave to appeal may only be given where the judge or judges concerned are of the opinion that - </w:t>
      </w:r>
    </w:p>
    <w:p w14:paraId="43D0AB01" w14:textId="23E4B82F" w:rsidR="00A47336" w:rsidRDefault="00A47336" w:rsidP="0019107E">
      <w:pPr>
        <w:pStyle w:val="NormalWeb"/>
        <w:numPr>
          <w:ilvl w:val="0"/>
          <w:numId w:val="22"/>
        </w:numPr>
        <w:shd w:val="clear" w:color="auto" w:fill="FFFFFF"/>
        <w:tabs>
          <w:tab w:val="left" w:pos="709"/>
        </w:tabs>
        <w:spacing w:before="0" w:beforeAutospacing="0" w:after="0" w:afterAutospacing="0" w:line="360" w:lineRule="auto"/>
        <w:ind w:hanging="720"/>
        <w:jc w:val="both"/>
        <w:rPr>
          <w:rFonts w:ascii="Arial" w:hAnsi="Arial" w:cs="Arial"/>
          <w:sz w:val="22"/>
          <w:szCs w:val="22"/>
        </w:rPr>
      </w:pPr>
      <w:r w:rsidRPr="00A47336">
        <w:rPr>
          <w:rFonts w:ascii="Arial" w:hAnsi="Arial" w:cs="Arial"/>
          <w:sz w:val="22"/>
          <w:szCs w:val="22"/>
        </w:rPr>
        <w:t>(i)</w:t>
      </w:r>
      <w:r>
        <w:rPr>
          <w:rFonts w:ascii="Arial" w:hAnsi="Arial" w:cs="Arial"/>
          <w:sz w:val="22"/>
          <w:szCs w:val="22"/>
        </w:rPr>
        <w:tab/>
      </w:r>
      <w:r w:rsidRPr="00A47336">
        <w:rPr>
          <w:rFonts w:ascii="Arial" w:hAnsi="Arial" w:cs="Arial"/>
          <w:sz w:val="22"/>
          <w:szCs w:val="22"/>
        </w:rPr>
        <w:t xml:space="preserve">the appeal would have a reasonable prospect of success; or </w:t>
      </w:r>
    </w:p>
    <w:p w14:paraId="1F8C1DD4" w14:textId="4312C8C0" w:rsidR="00A47336" w:rsidRDefault="007E3364" w:rsidP="0019107E">
      <w:pPr>
        <w:pStyle w:val="NormalWeb"/>
        <w:shd w:val="clear" w:color="auto" w:fill="FFFFFF"/>
        <w:tabs>
          <w:tab w:val="left" w:pos="709"/>
        </w:tabs>
        <w:spacing w:before="0" w:beforeAutospacing="0" w:after="0" w:afterAutospacing="0" w:line="360" w:lineRule="auto"/>
        <w:ind w:left="1440" w:hanging="1440"/>
        <w:jc w:val="both"/>
        <w:rPr>
          <w:rFonts w:ascii="Arial" w:hAnsi="Arial" w:cs="Arial"/>
          <w:sz w:val="22"/>
          <w:szCs w:val="22"/>
        </w:rPr>
      </w:pPr>
      <w:r>
        <w:rPr>
          <w:rFonts w:ascii="Arial" w:hAnsi="Arial" w:cs="Arial"/>
          <w:sz w:val="22"/>
          <w:szCs w:val="22"/>
        </w:rPr>
        <w:t xml:space="preserve">   </w:t>
      </w:r>
      <w:r w:rsidR="00BF040A">
        <w:rPr>
          <w:rFonts w:ascii="Arial" w:hAnsi="Arial" w:cs="Arial"/>
          <w:sz w:val="22"/>
          <w:szCs w:val="22"/>
        </w:rPr>
        <w:tab/>
      </w:r>
      <w:r w:rsidR="00A47336" w:rsidRPr="00A47336">
        <w:rPr>
          <w:rFonts w:ascii="Arial" w:hAnsi="Arial" w:cs="Arial"/>
          <w:sz w:val="22"/>
          <w:szCs w:val="22"/>
        </w:rPr>
        <w:t xml:space="preserve">(ii) </w:t>
      </w:r>
      <w:r w:rsidR="00A47336">
        <w:rPr>
          <w:rFonts w:ascii="Arial" w:hAnsi="Arial" w:cs="Arial"/>
          <w:sz w:val="22"/>
          <w:szCs w:val="22"/>
        </w:rPr>
        <w:tab/>
      </w:r>
      <w:r w:rsidR="00A47336" w:rsidRPr="00A47336">
        <w:rPr>
          <w:rFonts w:ascii="Arial" w:hAnsi="Arial" w:cs="Arial"/>
          <w:sz w:val="22"/>
          <w:szCs w:val="22"/>
        </w:rPr>
        <w:t xml:space="preserve">there is some other compelling reason why the appeal should be heard, including conflicting judgments on the matter under consideration; </w:t>
      </w:r>
    </w:p>
    <w:p w14:paraId="2C9E37FB" w14:textId="588ECAF5" w:rsidR="00A47336" w:rsidRDefault="00A47336" w:rsidP="0019107E">
      <w:pPr>
        <w:pStyle w:val="NormalWeb"/>
        <w:shd w:val="clear" w:color="auto" w:fill="FFFFFF"/>
        <w:tabs>
          <w:tab w:val="left" w:pos="709"/>
        </w:tabs>
        <w:spacing w:before="0" w:beforeAutospacing="0" w:after="0" w:afterAutospacing="0" w:line="360" w:lineRule="auto"/>
        <w:jc w:val="both"/>
        <w:rPr>
          <w:rFonts w:ascii="Arial" w:hAnsi="Arial" w:cs="Arial"/>
          <w:sz w:val="22"/>
          <w:szCs w:val="22"/>
        </w:rPr>
      </w:pPr>
      <w:r w:rsidRPr="00A47336">
        <w:rPr>
          <w:rFonts w:ascii="Arial" w:hAnsi="Arial" w:cs="Arial"/>
          <w:i/>
          <w:sz w:val="22"/>
          <w:szCs w:val="22"/>
        </w:rPr>
        <w:t>(b)</w:t>
      </w:r>
      <w:r w:rsidRPr="00A47336">
        <w:rPr>
          <w:rFonts w:ascii="Arial" w:hAnsi="Arial" w:cs="Arial"/>
          <w:sz w:val="22"/>
          <w:szCs w:val="22"/>
        </w:rPr>
        <w:t xml:space="preserve"> the decision sought on appeal does not fall</w:t>
      </w:r>
      <w:r w:rsidR="007138D2">
        <w:rPr>
          <w:rFonts w:ascii="Arial" w:hAnsi="Arial" w:cs="Arial"/>
          <w:sz w:val="22"/>
          <w:szCs w:val="22"/>
        </w:rPr>
        <w:t xml:space="preserve"> within the ambit of section 16(2)</w:t>
      </w:r>
      <w:r w:rsidRPr="00A47336">
        <w:rPr>
          <w:rFonts w:ascii="Arial" w:hAnsi="Arial" w:cs="Arial"/>
          <w:sz w:val="22"/>
          <w:szCs w:val="22"/>
        </w:rPr>
        <w:t xml:space="preserve">(a); and </w:t>
      </w:r>
    </w:p>
    <w:p w14:paraId="7B65633C" w14:textId="7464BC60" w:rsidR="00A47336" w:rsidRDefault="00A47336" w:rsidP="0019107E">
      <w:pPr>
        <w:pStyle w:val="NormalWeb"/>
        <w:shd w:val="clear" w:color="auto" w:fill="FFFFFF"/>
        <w:tabs>
          <w:tab w:val="left" w:pos="709"/>
        </w:tabs>
        <w:spacing w:before="0" w:beforeAutospacing="0" w:after="0" w:afterAutospacing="0" w:line="360" w:lineRule="auto"/>
        <w:jc w:val="both"/>
      </w:pPr>
      <w:r w:rsidRPr="00A47336">
        <w:rPr>
          <w:rFonts w:ascii="Arial" w:hAnsi="Arial" w:cs="Arial"/>
          <w:i/>
          <w:sz w:val="22"/>
          <w:szCs w:val="22"/>
        </w:rPr>
        <w:t>(c)</w:t>
      </w:r>
      <w:r w:rsidRPr="00A47336">
        <w:rPr>
          <w:rFonts w:ascii="Arial" w:hAnsi="Arial" w:cs="Arial"/>
          <w:sz w:val="22"/>
          <w:szCs w:val="22"/>
        </w:rPr>
        <w:t xml:space="preserve"> Where the decision sought to be appealed does not dispose of all the issues in the case, the appeal would lead to a just and prompt resolution of the real issues between the parties.'</w:t>
      </w:r>
      <w:r>
        <w:t xml:space="preserve"> </w:t>
      </w:r>
    </w:p>
    <w:p w14:paraId="579BACE7" w14:textId="77777777" w:rsidR="007E3364" w:rsidRDefault="007E3364" w:rsidP="0019107E">
      <w:pPr>
        <w:pStyle w:val="NormalWeb"/>
        <w:shd w:val="clear" w:color="auto" w:fill="FFFFFF"/>
        <w:tabs>
          <w:tab w:val="left" w:pos="709"/>
        </w:tabs>
        <w:spacing w:before="0" w:beforeAutospacing="0" w:after="0" w:afterAutospacing="0" w:line="360" w:lineRule="auto"/>
        <w:jc w:val="both"/>
      </w:pPr>
    </w:p>
    <w:p w14:paraId="2DE5E9D8" w14:textId="76BDD670" w:rsidR="001618FE" w:rsidRDefault="00E123EF" w:rsidP="0019107E">
      <w:pPr>
        <w:pStyle w:val="ListParagraph"/>
        <w:numPr>
          <w:ilvl w:val="0"/>
          <w:numId w:val="7"/>
        </w:numPr>
        <w:tabs>
          <w:tab w:val="left" w:pos="709"/>
        </w:tabs>
        <w:spacing w:after="0" w:line="360" w:lineRule="auto"/>
        <w:ind w:left="0" w:firstLine="0"/>
        <w:jc w:val="both"/>
        <w:rPr>
          <w:rFonts w:ascii="Arial" w:hAnsi="Arial" w:cs="Arial"/>
          <w:sz w:val="24"/>
          <w:szCs w:val="24"/>
        </w:rPr>
      </w:pPr>
      <w:r>
        <w:rPr>
          <w:rFonts w:ascii="Arial" w:hAnsi="Arial" w:cs="Arial"/>
          <w:sz w:val="24"/>
          <w:szCs w:val="24"/>
        </w:rPr>
        <w:t>Prior to the enactment of the Act, th</w:t>
      </w:r>
      <w:r w:rsidR="00A47336" w:rsidRPr="00E123EF">
        <w:rPr>
          <w:rFonts w:ascii="Arial" w:hAnsi="Arial" w:cs="Arial"/>
          <w:sz w:val="24"/>
          <w:szCs w:val="24"/>
        </w:rPr>
        <w:t>e</w:t>
      </w:r>
      <w:r>
        <w:rPr>
          <w:rFonts w:ascii="Arial" w:hAnsi="Arial" w:cs="Arial"/>
          <w:sz w:val="24"/>
          <w:szCs w:val="24"/>
        </w:rPr>
        <w:t xml:space="preserve"> applicable test in an application for leave to appeal</w:t>
      </w:r>
      <w:r w:rsidR="00A47336" w:rsidRPr="00E123EF">
        <w:rPr>
          <w:rFonts w:ascii="Arial" w:hAnsi="Arial" w:cs="Arial"/>
          <w:sz w:val="24"/>
          <w:szCs w:val="24"/>
        </w:rPr>
        <w:t xml:space="preserve"> was whether there were reasonable prospects that </w:t>
      </w:r>
      <w:r w:rsidR="007138D2">
        <w:rPr>
          <w:rFonts w:ascii="Arial" w:hAnsi="Arial" w:cs="Arial"/>
          <w:sz w:val="24"/>
          <w:szCs w:val="24"/>
        </w:rPr>
        <w:t>the appeal</w:t>
      </w:r>
      <w:r w:rsidR="00A47336" w:rsidRPr="00E123EF">
        <w:rPr>
          <w:rFonts w:ascii="Arial" w:hAnsi="Arial" w:cs="Arial"/>
          <w:sz w:val="24"/>
          <w:szCs w:val="24"/>
        </w:rPr>
        <w:t xml:space="preserve"> court may come to a different conclusion</w:t>
      </w:r>
      <w:r w:rsidR="00AE5C5A">
        <w:rPr>
          <w:rFonts w:ascii="Arial" w:hAnsi="Arial" w:cs="Arial"/>
          <w:sz w:val="24"/>
          <w:szCs w:val="24"/>
        </w:rPr>
        <w:t xml:space="preserve"> </w:t>
      </w:r>
      <w:r w:rsidR="007138D2">
        <w:rPr>
          <w:rFonts w:ascii="Arial" w:hAnsi="Arial" w:cs="Arial"/>
          <w:sz w:val="24"/>
          <w:szCs w:val="24"/>
        </w:rPr>
        <w:t xml:space="preserve">than that </w:t>
      </w:r>
      <w:r w:rsidR="00AE5C5A">
        <w:rPr>
          <w:rFonts w:ascii="Arial" w:hAnsi="Arial" w:cs="Arial"/>
          <w:sz w:val="24"/>
          <w:szCs w:val="24"/>
        </w:rPr>
        <w:t>arrived at by the lower court</w:t>
      </w:r>
      <w:r w:rsidR="00A47336" w:rsidRPr="00E123EF">
        <w:rPr>
          <w:rFonts w:ascii="Arial" w:hAnsi="Arial" w:cs="Arial"/>
          <w:sz w:val="24"/>
          <w:szCs w:val="24"/>
        </w:rPr>
        <w:t xml:space="preserve">. </w:t>
      </w:r>
      <w:r>
        <w:rPr>
          <w:rFonts w:ascii="Arial" w:hAnsi="Arial" w:cs="Arial"/>
          <w:sz w:val="24"/>
          <w:szCs w:val="24"/>
        </w:rPr>
        <w:t>The enactment of the Act has changed that test and has significantly raised the threshold for the granting of leave to appeal.</w:t>
      </w:r>
      <w:r>
        <w:rPr>
          <w:rStyle w:val="FootnoteReference"/>
          <w:rFonts w:ascii="Arial" w:hAnsi="Arial" w:cs="Arial"/>
          <w:sz w:val="24"/>
          <w:szCs w:val="24"/>
        </w:rPr>
        <w:footnoteReference w:id="1"/>
      </w:r>
      <w:r w:rsidR="00A47336">
        <w:t xml:space="preserve"> </w:t>
      </w:r>
      <w:r w:rsidR="00A47336" w:rsidRPr="001618FE">
        <w:rPr>
          <w:rFonts w:ascii="Arial" w:hAnsi="Arial" w:cs="Arial"/>
          <w:sz w:val="24"/>
          <w:szCs w:val="24"/>
        </w:rPr>
        <w:t xml:space="preserve">The use of the word ‘would’ in the </w:t>
      </w:r>
      <w:r w:rsidR="001618FE">
        <w:rPr>
          <w:rFonts w:ascii="Arial" w:hAnsi="Arial" w:cs="Arial"/>
          <w:sz w:val="24"/>
          <w:szCs w:val="24"/>
        </w:rPr>
        <w:t>Act</w:t>
      </w:r>
      <w:r w:rsidR="00A47336" w:rsidRPr="001618FE">
        <w:rPr>
          <w:rFonts w:ascii="Arial" w:hAnsi="Arial" w:cs="Arial"/>
          <w:sz w:val="24"/>
          <w:szCs w:val="24"/>
        </w:rPr>
        <w:t xml:space="preserve"> indicates </w:t>
      </w:r>
      <w:r w:rsidR="00AE5C5A">
        <w:rPr>
          <w:rFonts w:ascii="Arial" w:hAnsi="Arial" w:cs="Arial"/>
          <w:sz w:val="24"/>
          <w:szCs w:val="24"/>
        </w:rPr>
        <w:t xml:space="preserve">that there must be </w:t>
      </w:r>
      <w:r w:rsidR="00A47336" w:rsidRPr="001618FE">
        <w:rPr>
          <w:rFonts w:ascii="Arial" w:hAnsi="Arial" w:cs="Arial"/>
          <w:sz w:val="24"/>
          <w:szCs w:val="24"/>
        </w:rPr>
        <w:t>a measure of certainty that another court will differ from the court whose judgment i</w:t>
      </w:r>
      <w:r w:rsidR="001618FE">
        <w:rPr>
          <w:rFonts w:ascii="Arial" w:hAnsi="Arial" w:cs="Arial"/>
          <w:sz w:val="24"/>
          <w:szCs w:val="24"/>
        </w:rPr>
        <w:t>s sought to be appealed against.</w:t>
      </w:r>
    </w:p>
    <w:p w14:paraId="160D5CD6" w14:textId="77777777" w:rsidR="001618FE" w:rsidRDefault="001618FE" w:rsidP="0019107E">
      <w:pPr>
        <w:pStyle w:val="ListParagraph"/>
        <w:tabs>
          <w:tab w:val="left" w:pos="709"/>
        </w:tabs>
        <w:spacing w:after="0" w:line="360" w:lineRule="auto"/>
        <w:ind w:left="0"/>
        <w:jc w:val="both"/>
        <w:rPr>
          <w:rFonts w:ascii="Arial" w:hAnsi="Arial" w:cs="Arial"/>
          <w:sz w:val="24"/>
          <w:szCs w:val="24"/>
        </w:rPr>
      </w:pPr>
    </w:p>
    <w:p w14:paraId="792E95F5" w14:textId="29608D4B" w:rsidR="001618FE" w:rsidRPr="001618FE" w:rsidRDefault="00436E09" w:rsidP="0019107E">
      <w:pPr>
        <w:pStyle w:val="ListParagraph"/>
        <w:numPr>
          <w:ilvl w:val="0"/>
          <w:numId w:val="7"/>
        </w:numPr>
        <w:tabs>
          <w:tab w:val="left" w:pos="709"/>
        </w:tabs>
        <w:spacing w:after="0" w:line="360" w:lineRule="auto"/>
        <w:ind w:left="0" w:firstLine="0"/>
        <w:jc w:val="both"/>
        <w:rPr>
          <w:rFonts w:ascii="Arial" w:hAnsi="Arial" w:cs="Arial"/>
          <w:sz w:val="24"/>
          <w:szCs w:val="24"/>
        </w:rPr>
      </w:pPr>
      <w:r w:rsidRPr="001618FE">
        <w:rPr>
          <w:rFonts w:ascii="Arial" w:hAnsi="Arial" w:cs="Arial"/>
          <w:color w:val="242121"/>
          <w:sz w:val="24"/>
          <w:szCs w:val="24"/>
          <w:lang w:val="en-US"/>
        </w:rPr>
        <w:t xml:space="preserve">Leave to appeal may thus only be granted where a court is of the opinion that the appeal would have a reasonable prospect of success, </w:t>
      </w:r>
      <w:r w:rsidR="007E3364">
        <w:rPr>
          <w:rFonts w:ascii="Arial" w:hAnsi="Arial" w:cs="Arial"/>
          <w:color w:val="242121"/>
          <w:sz w:val="24"/>
          <w:szCs w:val="24"/>
          <w:lang w:val="en-US"/>
        </w:rPr>
        <w:t xml:space="preserve">and </w:t>
      </w:r>
      <w:r w:rsidRPr="001618FE">
        <w:rPr>
          <w:rFonts w:ascii="Arial" w:hAnsi="Arial" w:cs="Arial"/>
          <w:color w:val="242121"/>
          <w:sz w:val="24"/>
          <w:szCs w:val="24"/>
          <w:lang w:val="en-US"/>
        </w:rPr>
        <w:t>which prospects are not too remote.</w:t>
      </w:r>
      <w:r w:rsidRPr="001618FE">
        <w:rPr>
          <w:rStyle w:val="FootnoteReference"/>
          <w:rFonts w:ascii="Arial" w:hAnsi="Arial" w:cs="Arial"/>
          <w:color w:val="242121"/>
          <w:sz w:val="24"/>
          <w:szCs w:val="24"/>
          <w:lang w:val="en-US"/>
        </w:rPr>
        <w:footnoteReference w:id="2"/>
      </w:r>
      <w:r w:rsidRPr="001618FE">
        <w:rPr>
          <w:rFonts w:ascii="Arial" w:hAnsi="Arial" w:cs="Arial"/>
          <w:color w:val="242121"/>
          <w:sz w:val="24"/>
          <w:szCs w:val="24"/>
          <w:lang w:val="en-US"/>
        </w:rPr>
        <w:t xml:space="preserve"> </w:t>
      </w:r>
      <w:r w:rsidR="001618FE" w:rsidRPr="001618FE">
        <w:rPr>
          <w:rFonts w:ascii="Arial" w:hAnsi="Arial" w:cs="Arial"/>
          <w:sz w:val="24"/>
          <w:szCs w:val="24"/>
          <w:shd w:val="clear" w:color="auto" w:fill="FFFFFF"/>
        </w:rPr>
        <w:t xml:space="preserve">As was stated by Schippers JA in </w:t>
      </w:r>
      <w:r w:rsidR="001618FE" w:rsidRPr="001618FE">
        <w:rPr>
          <w:rFonts w:ascii="Arial" w:eastAsia="Times New Roman" w:hAnsi="Arial" w:cs="Arial"/>
          <w:i/>
          <w:sz w:val="24"/>
          <w:szCs w:val="24"/>
          <w:lang w:eastAsia="en-GB"/>
        </w:rPr>
        <w:t>MEC for Health, Eastern Cape v Mkhitha and Another</w:t>
      </w:r>
      <w:r w:rsidR="001618FE" w:rsidRPr="001618FE">
        <w:rPr>
          <w:rStyle w:val="FootnoteReference"/>
          <w:rFonts w:ascii="Arial" w:eastAsia="Times New Roman" w:hAnsi="Arial" w:cs="Arial"/>
          <w:sz w:val="24"/>
          <w:szCs w:val="24"/>
          <w:lang w:eastAsia="en-GB"/>
        </w:rPr>
        <w:footnoteReference w:id="3"/>
      </w:r>
      <w:r w:rsidR="001618FE">
        <w:rPr>
          <w:rFonts w:ascii="Arial" w:eastAsia="Times New Roman" w:hAnsi="Arial" w:cs="Arial"/>
          <w:sz w:val="24"/>
          <w:szCs w:val="24"/>
          <w:lang w:eastAsia="en-GB"/>
        </w:rPr>
        <w:t>:</w:t>
      </w:r>
    </w:p>
    <w:p w14:paraId="651A02E6" w14:textId="3078DD47" w:rsidR="001618FE" w:rsidRDefault="001618FE" w:rsidP="0019107E">
      <w:pPr>
        <w:pStyle w:val="ListParagraph"/>
        <w:tabs>
          <w:tab w:val="left" w:pos="709"/>
        </w:tabs>
        <w:spacing w:after="0" w:line="360" w:lineRule="auto"/>
        <w:ind w:left="0"/>
        <w:jc w:val="both"/>
        <w:rPr>
          <w:rFonts w:ascii="Arial" w:hAnsi="Arial" w:cs="Arial"/>
          <w:shd w:val="clear" w:color="auto" w:fill="FFFFFF"/>
        </w:rPr>
      </w:pPr>
      <w:r>
        <w:rPr>
          <w:rFonts w:ascii="Arial" w:hAnsi="Arial" w:cs="Arial"/>
          <w:shd w:val="clear" w:color="auto" w:fill="FFFFFF"/>
        </w:rPr>
        <w:t>‘</w:t>
      </w:r>
      <w:r w:rsidRPr="001618FE">
        <w:rPr>
          <w:rFonts w:ascii="Arial" w:hAnsi="Arial" w:cs="Arial"/>
          <w:shd w:val="clear" w:color="auto" w:fill="FFFFFF"/>
        </w:rPr>
        <w:t>An applicant for leave to appeal must convince the court on proper grounds that there is a reasonable prospect or realistic chance of success on appeal.  A mere possibility of success, an arguable case or one that is not hopeless, is not enough. There must be a sound, rational basis to conclude that there is a reasonable prospect of success on appeal.</w:t>
      </w:r>
      <w:r>
        <w:rPr>
          <w:rFonts w:ascii="Arial" w:hAnsi="Arial" w:cs="Arial"/>
          <w:shd w:val="clear" w:color="auto" w:fill="FFFFFF"/>
        </w:rPr>
        <w:t>’</w:t>
      </w:r>
    </w:p>
    <w:p w14:paraId="58A55AD9" w14:textId="15931B2A" w:rsidR="00436E09" w:rsidRPr="004C1A78" w:rsidRDefault="00436E09" w:rsidP="0019107E">
      <w:pPr>
        <w:pStyle w:val="NormalWeb"/>
        <w:shd w:val="clear" w:color="auto" w:fill="FFFFFF"/>
        <w:tabs>
          <w:tab w:val="left" w:pos="709"/>
        </w:tabs>
        <w:spacing w:before="0" w:beforeAutospacing="0" w:after="0" w:afterAutospacing="0" w:line="360" w:lineRule="auto"/>
        <w:jc w:val="both"/>
        <w:rPr>
          <w:rFonts w:ascii="Arial" w:hAnsi="Arial" w:cs="Arial"/>
          <w:color w:val="242121"/>
        </w:rPr>
      </w:pPr>
    </w:p>
    <w:p w14:paraId="6E63C6B5" w14:textId="394CF4BF" w:rsidR="00AE4740" w:rsidRPr="0019107E" w:rsidRDefault="004C1A78" w:rsidP="0019107E">
      <w:pPr>
        <w:pStyle w:val="NormalWeb"/>
        <w:numPr>
          <w:ilvl w:val="0"/>
          <w:numId w:val="7"/>
        </w:numPr>
        <w:shd w:val="clear" w:color="auto" w:fill="FFFFFF"/>
        <w:tabs>
          <w:tab w:val="left" w:pos="709"/>
        </w:tabs>
        <w:spacing w:before="0" w:beforeAutospacing="0" w:after="0" w:afterAutospacing="0" w:line="360" w:lineRule="auto"/>
        <w:ind w:left="0" w:firstLine="0"/>
        <w:jc w:val="both"/>
        <w:rPr>
          <w:rFonts w:ascii="Arial" w:hAnsi="Arial" w:cs="Arial"/>
          <w:color w:val="242121"/>
        </w:rPr>
      </w:pPr>
      <w:r>
        <w:rPr>
          <w:rFonts w:ascii="Arial" w:hAnsi="Arial" w:cs="Arial"/>
          <w:color w:val="242121"/>
        </w:rPr>
        <w:lastRenderedPageBreak/>
        <w:t>The applicant has delivered a lengthy notice of application for leave to appeal</w:t>
      </w:r>
      <w:r w:rsidR="00AE5C5A">
        <w:rPr>
          <w:rFonts w:ascii="Arial" w:hAnsi="Arial" w:cs="Arial"/>
          <w:color w:val="242121"/>
        </w:rPr>
        <w:t xml:space="preserve">, comprising of 25 pages, on which pages </w:t>
      </w:r>
      <w:r>
        <w:rPr>
          <w:rFonts w:ascii="Arial" w:hAnsi="Arial" w:cs="Arial"/>
          <w:color w:val="242121"/>
        </w:rPr>
        <w:t xml:space="preserve">nine </w:t>
      </w:r>
      <w:r w:rsidR="00AE5C5A">
        <w:rPr>
          <w:rFonts w:ascii="Arial" w:hAnsi="Arial" w:cs="Arial"/>
          <w:color w:val="242121"/>
        </w:rPr>
        <w:t>grounds are set out in granular detail</w:t>
      </w:r>
      <w:r>
        <w:rPr>
          <w:rFonts w:ascii="Arial" w:hAnsi="Arial" w:cs="Arial"/>
          <w:color w:val="242121"/>
        </w:rPr>
        <w:t xml:space="preserve"> </w:t>
      </w:r>
      <w:r w:rsidR="00AE5C5A">
        <w:rPr>
          <w:rFonts w:ascii="Arial" w:hAnsi="Arial" w:cs="Arial"/>
          <w:color w:val="242121"/>
        </w:rPr>
        <w:t xml:space="preserve">identifying </w:t>
      </w:r>
      <w:r>
        <w:rPr>
          <w:rFonts w:ascii="Arial" w:hAnsi="Arial" w:cs="Arial"/>
          <w:color w:val="242121"/>
        </w:rPr>
        <w:t>where I am alleged to have erred, the inference being</w:t>
      </w:r>
      <w:r w:rsidR="00AE4740" w:rsidRPr="00AB5E67">
        <w:rPr>
          <w:rFonts w:ascii="Arial" w:hAnsi="Arial" w:cs="Arial"/>
          <w:color w:val="242121"/>
        </w:rPr>
        <w:t xml:space="preserve"> that </w:t>
      </w:r>
      <w:r w:rsidR="00AE4740" w:rsidRPr="00AB5E67">
        <w:rPr>
          <w:rFonts w:ascii="Arial" w:hAnsi="Arial" w:cs="Arial"/>
          <w:color w:val="242121"/>
          <w:lang w:val="en-US"/>
        </w:rPr>
        <w:t>there are</w:t>
      </w:r>
      <w:r w:rsidR="001C1C6D">
        <w:rPr>
          <w:rFonts w:ascii="Arial" w:hAnsi="Arial" w:cs="Arial"/>
          <w:color w:val="242121"/>
          <w:lang w:val="en-US"/>
        </w:rPr>
        <w:t xml:space="preserve"> reasonable prospects</w:t>
      </w:r>
      <w:r w:rsidR="00AE4740" w:rsidRPr="00AB5E67">
        <w:rPr>
          <w:rFonts w:ascii="Arial" w:hAnsi="Arial" w:cs="Arial"/>
          <w:color w:val="242121"/>
          <w:lang w:val="en-US"/>
        </w:rPr>
        <w:t xml:space="preserve"> that another court would grant a different order </w:t>
      </w:r>
      <w:r w:rsidR="00AB5E67">
        <w:rPr>
          <w:rFonts w:ascii="Arial" w:hAnsi="Arial" w:cs="Arial"/>
          <w:color w:val="242121"/>
          <w:lang w:val="en-US"/>
        </w:rPr>
        <w:t>to th</w:t>
      </w:r>
      <w:r w:rsidR="001C1C6D">
        <w:rPr>
          <w:rFonts w:ascii="Arial" w:hAnsi="Arial" w:cs="Arial"/>
          <w:color w:val="242121"/>
          <w:lang w:val="en-US"/>
        </w:rPr>
        <w:t>e order</w:t>
      </w:r>
      <w:r w:rsidR="00AB5E67">
        <w:rPr>
          <w:rFonts w:ascii="Arial" w:hAnsi="Arial" w:cs="Arial"/>
          <w:color w:val="242121"/>
          <w:lang w:val="en-US"/>
        </w:rPr>
        <w:t xml:space="preserve"> granted by me.</w:t>
      </w:r>
    </w:p>
    <w:p w14:paraId="58560B51" w14:textId="77777777" w:rsidR="0019107E" w:rsidRPr="00AB5E67" w:rsidRDefault="0019107E" w:rsidP="0019107E">
      <w:pPr>
        <w:pStyle w:val="NormalWeb"/>
        <w:shd w:val="clear" w:color="auto" w:fill="FFFFFF"/>
        <w:tabs>
          <w:tab w:val="left" w:pos="709"/>
        </w:tabs>
        <w:spacing w:before="0" w:beforeAutospacing="0" w:after="0" w:afterAutospacing="0" w:line="360" w:lineRule="auto"/>
        <w:jc w:val="both"/>
        <w:rPr>
          <w:rFonts w:ascii="Arial" w:hAnsi="Arial" w:cs="Arial"/>
          <w:color w:val="242121"/>
        </w:rPr>
      </w:pPr>
    </w:p>
    <w:p w14:paraId="5D61BC84" w14:textId="0612B089" w:rsidR="0041295D" w:rsidRDefault="00AE5C5A" w:rsidP="0019107E">
      <w:pPr>
        <w:pStyle w:val="NormalWeb"/>
        <w:numPr>
          <w:ilvl w:val="0"/>
          <w:numId w:val="7"/>
        </w:numPr>
        <w:shd w:val="clear" w:color="auto" w:fill="FFFFFF"/>
        <w:tabs>
          <w:tab w:val="left" w:pos="709"/>
        </w:tabs>
        <w:spacing w:before="0" w:beforeAutospacing="0" w:after="0" w:afterAutospacing="0" w:line="360" w:lineRule="auto"/>
        <w:ind w:left="0" w:firstLine="0"/>
        <w:jc w:val="both"/>
        <w:rPr>
          <w:rFonts w:ascii="Arial" w:hAnsi="Arial" w:cs="Arial"/>
          <w:color w:val="242121"/>
        </w:rPr>
      </w:pPr>
      <w:r>
        <w:rPr>
          <w:rFonts w:ascii="Arial" w:hAnsi="Arial" w:cs="Arial"/>
          <w:color w:val="242121"/>
        </w:rPr>
        <w:t xml:space="preserve">Before dealing with the merits of the application, something needs to be said about the delay in hearing this application. </w:t>
      </w:r>
      <w:r w:rsidR="0041295D">
        <w:rPr>
          <w:rFonts w:ascii="Arial" w:hAnsi="Arial" w:cs="Arial"/>
          <w:color w:val="242121"/>
        </w:rPr>
        <w:t xml:space="preserve">It is my habit to hear applications for leave to appeal as soon as practically possible after they have been filed. This application </w:t>
      </w:r>
      <w:r w:rsidR="00BF040A">
        <w:rPr>
          <w:rFonts w:ascii="Arial" w:hAnsi="Arial" w:cs="Arial"/>
          <w:color w:val="242121"/>
        </w:rPr>
        <w:t xml:space="preserve">for leave to appeal </w:t>
      </w:r>
      <w:r w:rsidR="0041295D">
        <w:rPr>
          <w:rFonts w:ascii="Arial" w:hAnsi="Arial" w:cs="Arial"/>
          <w:color w:val="242121"/>
        </w:rPr>
        <w:t xml:space="preserve">was delivered </w:t>
      </w:r>
      <w:r w:rsidR="00AB5E67" w:rsidRPr="00D2414D">
        <w:rPr>
          <w:rFonts w:ascii="Arial" w:hAnsi="Arial" w:cs="Arial"/>
          <w:color w:val="242121"/>
        </w:rPr>
        <w:t xml:space="preserve">on </w:t>
      </w:r>
      <w:r w:rsidR="004C1A78">
        <w:rPr>
          <w:rFonts w:ascii="Arial" w:hAnsi="Arial" w:cs="Arial"/>
          <w:color w:val="242121"/>
        </w:rPr>
        <w:t>5 January 2023</w:t>
      </w:r>
      <w:r w:rsidR="00B5049E" w:rsidRPr="00D2414D">
        <w:rPr>
          <w:rFonts w:ascii="Arial" w:hAnsi="Arial" w:cs="Arial"/>
          <w:color w:val="242121"/>
        </w:rPr>
        <w:t>,</w:t>
      </w:r>
      <w:r w:rsidR="00AB5E67" w:rsidRPr="00D2414D">
        <w:rPr>
          <w:rFonts w:ascii="Arial" w:hAnsi="Arial" w:cs="Arial"/>
          <w:color w:val="242121"/>
        </w:rPr>
        <w:t xml:space="preserve"> </w:t>
      </w:r>
      <w:r w:rsidR="004C1A78">
        <w:rPr>
          <w:rFonts w:ascii="Arial" w:hAnsi="Arial" w:cs="Arial"/>
          <w:color w:val="242121"/>
        </w:rPr>
        <w:t>before the commencement of the new judicial year</w:t>
      </w:r>
      <w:r w:rsidR="0041295D">
        <w:rPr>
          <w:rFonts w:ascii="Arial" w:hAnsi="Arial" w:cs="Arial"/>
          <w:color w:val="242121"/>
        </w:rPr>
        <w:t>. I was</w:t>
      </w:r>
      <w:r>
        <w:rPr>
          <w:rFonts w:ascii="Arial" w:hAnsi="Arial" w:cs="Arial"/>
          <w:color w:val="242121"/>
        </w:rPr>
        <w:t>, however,</w:t>
      </w:r>
      <w:r w:rsidR="0041295D">
        <w:rPr>
          <w:rFonts w:ascii="Arial" w:hAnsi="Arial" w:cs="Arial"/>
          <w:color w:val="242121"/>
        </w:rPr>
        <w:t xml:space="preserve"> on recess duty </w:t>
      </w:r>
      <w:r w:rsidR="00BF040A">
        <w:rPr>
          <w:rFonts w:ascii="Arial" w:hAnsi="Arial" w:cs="Arial"/>
          <w:color w:val="242121"/>
        </w:rPr>
        <w:t xml:space="preserve">at that time </w:t>
      </w:r>
      <w:r w:rsidR="0041295D">
        <w:rPr>
          <w:rFonts w:ascii="Arial" w:hAnsi="Arial" w:cs="Arial"/>
          <w:color w:val="242121"/>
        </w:rPr>
        <w:t xml:space="preserve">and received </w:t>
      </w:r>
      <w:r w:rsidR="007E3364">
        <w:rPr>
          <w:rFonts w:ascii="Arial" w:hAnsi="Arial" w:cs="Arial"/>
          <w:color w:val="242121"/>
        </w:rPr>
        <w:t xml:space="preserve">the notice of application </w:t>
      </w:r>
      <w:r w:rsidR="0041295D">
        <w:rPr>
          <w:rFonts w:ascii="Arial" w:hAnsi="Arial" w:cs="Arial"/>
          <w:color w:val="242121"/>
        </w:rPr>
        <w:t>on the day that it was filed.</w:t>
      </w:r>
      <w:r w:rsidR="00D2414D">
        <w:rPr>
          <w:rFonts w:ascii="Arial" w:hAnsi="Arial" w:cs="Arial"/>
          <w:color w:val="242121"/>
        </w:rPr>
        <w:t xml:space="preserve"> </w:t>
      </w:r>
      <w:r>
        <w:rPr>
          <w:rFonts w:ascii="Arial" w:hAnsi="Arial" w:cs="Arial"/>
          <w:color w:val="242121"/>
        </w:rPr>
        <w:t xml:space="preserve">Unfortunately, </w:t>
      </w:r>
      <w:r w:rsidR="00436E09" w:rsidRPr="00D2414D">
        <w:rPr>
          <w:rFonts w:ascii="Arial" w:hAnsi="Arial" w:cs="Arial"/>
          <w:color w:val="242121"/>
        </w:rPr>
        <w:t xml:space="preserve">I </w:t>
      </w:r>
      <w:r w:rsidR="00AB5E67" w:rsidRPr="00D2414D">
        <w:rPr>
          <w:rFonts w:ascii="Arial" w:hAnsi="Arial" w:cs="Arial"/>
          <w:color w:val="242121"/>
        </w:rPr>
        <w:t>could</w:t>
      </w:r>
      <w:r>
        <w:rPr>
          <w:rFonts w:ascii="Arial" w:hAnsi="Arial" w:cs="Arial"/>
          <w:color w:val="242121"/>
        </w:rPr>
        <w:t xml:space="preserve"> </w:t>
      </w:r>
      <w:r w:rsidR="00AB5E67" w:rsidRPr="00D2414D">
        <w:rPr>
          <w:rFonts w:ascii="Arial" w:hAnsi="Arial" w:cs="Arial"/>
          <w:color w:val="242121"/>
        </w:rPr>
        <w:t xml:space="preserve">not deal with </w:t>
      </w:r>
      <w:r>
        <w:rPr>
          <w:rFonts w:ascii="Arial" w:hAnsi="Arial" w:cs="Arial"/>
          <w:color w:val="242121"/>
        </w:rPr>
        <w:t>the application</w:t>
      </w:r>
      <w:r w:rsidR="0041295D">
        <w:rPr>
          <w:rFonts w:ascii="Arial" w:hAnsi="Arial" w:cs="Arial"/>
          <w:color w:val="242121"/>
        </w:rPr>
        <w:t xml:space="preserve"> during the </w:t>
      </w:r>
      <w:r>
        <w:rPr>
          <w:rFonts w:ascii="Arial" w:hAnsi="Arial" w:cs="Arial"/>
          <w:color w:val="242121"/>
        </w:rPr>
        <w:t>first session of the first term</w:t>
      </w:r>
      <w:r w:rsidR="0041295D">
        <w:rPr>
          <w:rFonts w:ascii="Arial" w:hAnsi="Arial" w:cs="Arial"/>
          <w:color w:val="242121"/>
        </w:rPr>
        <w:t xml:space="preserve"> of 2023</w:t>
      </w:r>
      <w:r w:rsidR="00AB5E67" w:rsidRPr="00D2414D">
        <w:rPr>
          <w:rFonts w:ascii="Arial" w:hAnsi="Arial" w:cs="Arial"/>
          <w:color w:val="242121"/>
        </w:rPr>
        <w:t xml:space="preserve"> as I was assigned circuit court duties in Madadeni</w:t>
      </w:r>
      <w:r w:rsidR="00BF040A">
        <w:rPr>
          <w:rFonts w:ascii="Arial" w:hAnsi="Arial" w:cs="Arial"/>
          <w:color w:val="242121"/>
        </w:rPr>
        <w:t xml:space="preserve"> in Northern KwaZulu-Natal</w:t>
      </w:r>
      <w:r w:rsidR="0041295D">
        <w:rPr>
          <w:rFonts w:ascii="Arial" w:hAnsi="Arial" w:cs="Arial"/>
          <w:color w:val="242121"/>
        </w:rPr>
        <w:t>.</w:t>
      </w:r>
      <w:r w:rsidR="00AB5E67" w:rsidRPr="00D2414D">
        <w:rPr>
          <w:rFonts w:ascii="Arial" w:hAnsi="Arial" w:cs="Arial"/>
          <w:color w:val="242121"/>
        </w:rPr>
        <w:t xml:space="preserve"> </w:t>
      </w:r>
      <w:r w:rsidR="00B5049E" w:rsidRPr="00D2414D">
        <w:rPr>
          <w:rFonts w:ascii="Arial" w:hAnsi="Arial" w:cs="Arial"/>
          <w:color w:val="242121"/>
        </w:rPr>
        <w:t xml:space="preserve">I returned last week from such duties. </w:t>
      </w:r>
      <w:r>
        <w:rPr>
          <w:rFonts w:ascii="Arial" w:hAnsi="Arial" w:cs="Arial"/>
          <w:color w:val="242121"/>
        </w:rPr>
        <w:t>That explains the delay.</w:t>
      </w:r>
    </w:p>
    <w:p w14:paraId="61870BA2" w14:textId="0AD1F9BC" w:rsidR="007E3364" w:rsidRDefault="007E3364" w:rsidP="0019107E">
      <w:pPr>
        <w:pStyle w:val="NormalWeb"/>
        <w:shd w:val="clear" w:color="auto" w:fill="FFFFFF"/>
        <w:tabs>
          <w:tab w:val="left" w:pos="709"/>
        </w:tabs>
        <w:spacing w:before="0" w:beforeAutospacing="0" w:after="0" w:afterAutospacing="0" w:line="360" w:lineRule="auto"/>
        <w:jc w:val="both"/>
        <w:rPr>
          <w:rFonts w:ascii="Arial" w:hAnsi="Arial" w:cs="Arial"/>
          <w:color w:val="242121"/>
        </w:rPr>
      </w:pPr>
    </w:p>
    <w:p w14:paraId="6CFFC165" w14:textId="77777777" w:rsidR="0019107E" w:rsidRDefault="004954ED" w:rsidP="0019107E">
      <w:pPr>
        <w:pStyle w:val="NormalWeb"/>
        <w:numPr>
          <w:ilvl w:val="0"/>
          <w:numId w:val="7"/>
        </w:numPr>
        <w:shd w:val="clear" w:color="auto" w:fill="FFFFFF"/>
        <w:tabs>
          <w:tab w:val="left" w:pos="709"/>
        </w:tabs>
        <w:spacing w:before="0" w:beforeAutospacing="0" w:after="0" w:afterAutospacing="0" w:line="360" w:lineRule="auto"/>
        <w:ind w:left="0" w:firstLine="0"/>
        <w:jc w:val="both"/>
        <w:rPr>
          <w:rFonts w:ascii="Arial" w:hAnsi="Arial" w:cs="Arial"/>
          <w:color w:val="242121"/>
        </w:rPr>
      </w:pPr>
      <w:r>
        <w:rPr>
          <w:rFonts w:ascii="Arial" w:hAnsi="Arial" w:cs="Arial"/>
          <w:color w:val="242121"/>
        </w:rPr>
        <w:t>During th</w:t>
      </w:r>
      <w:r w:rsidR="0041295D">
        <w:rPr>
          <w:rFonts w:ascii="Arial" w:hAnsi="Arial" w:cs="Arial"/>
          <w:color w:val="242121"/>
        </w:rPr>
        <w:t>e</w:t>
      </w:r>
      <w:r>
        <w:rPr>
          <w:rFonts w:ascii="Arial" w:hAnsi="Arial" w:cs="Arial"/>
          <w:color w:val="242121"/>
        </w:rPr>
        <w:t xml:space="preserve"> period</w:t>
      </w:r>
      <w:r w:rsidR="0041295D">
        <w:rPr>
          <w:rFonts w:ascii="Arial" w:hAnsi="Arial" w:cs="Arial"/>
          <w:color w:val="242121"/>
        </w:rPr>
        <w:t xml:space="preserve"> </w:t>
      </w:r>
      <w:r w:rsidR="00AE5C5A">
        <w:rPr>
          <w:rFonts w:ascii="Arial" w:hAnsi="Arial" w:cs="Arial"/>
          <w:color w:val="242121"/>
        </w:rPr>
        <w:t xml:space="preserve">that I spent </w:t>
      </w:r>
      <w:r w:rsidR="0041295D">
        <w:rPr>
          <w:rFonts w:ascii="Arial" w:hAnsi="Arial" w:cs="Arial"/>
          <w:color w:val="242121"/>
        </w:rPr>
        <w:t>on circuit</w:t>
      </w:r>
      <w:r>
        <w:rPr>
          <w:rFonts w:ascii="Arial" w:hAnsi="Arial" w:cs="Arial"/>
          <w:color w:val="242121"/>
        </w:rPr>
        <w:t>, I ha</w:t>
      </w:r>
      <w:r w:rsidR="00AE5C5A">
        <w:rPr>
          <w:rFonts w:ascii="Arial" w:hAnsi="Arial" w:cs="Arial"/>
          <w:color w:val="242121"/>
        </w:rPr>
        <w:t>d ample time to contemplate</w:t>
      </w:r>
      <w:r>
        <w:rPr>
          <w:rFonts w:ascii="Arial" w:hAnsi="Arial" w:cs="Arial"/>
          <w:color w:val="242121"/>
        </w:rPr>
        <w:t xml:space="preserve"> the merits of this application </w:t>
      </w:r>
      <w:r w:rsidR="008806F1" w:rsidRPr="004954ED">
        <w:rPr>
          <w:rFonts w:ascii="Arial" w:hAnsi="Arial" w:cs="Arial"/>
          <w:color w:val="242121"/>
        </w:rPr>
        <w:t xml:space="preserve">and </w:t>
      </w:r>
      <w:r>
        <w:rPr>
          <w:rFonts w:ascii="Arial" w:hAnsi="Arial" w:cs="Arial"/>
          <w:color w:val="242121"/>
        </w:rPr>
        <w:t xml:space="preserve">this morning </w:t>
      </w:r>
      <w:r w:rsidR="008806F1" w:rsidRPr="004954ED">
        <w:rPr>
          <w:rFonts w:ascii="Arial" w:hAnsi="Arial" w:cs="Arial"/>
          <w:color w:val="242121"/>
        </w:rPr>
        <w:t xml:space="preserve">I have further considered the arguments, authorities and submissions </w:t>
      </w:r>
      <w:r w:rsidR="00EC0B2D" w:rsidRPr="004954ED">
        <w:rPr>
          <w:rFonts w:ascii="Arial" w:hAnsi="Arial" w:cs="Arial"/>
          <w:color w:val="242121"/>
        </w:rPr>
        <w:t xml:space="preserve">of the parties </w:t>
      </w:r>
      <w:r w:rsidR="00B5049E" w:rsidRPr="004954ED">
        <w:rPr>
          <w:rFonts w:ascii="Arial" w:hAnsi="Arial" w:cs="Arial"/>
          <w:color w:val="242121"/>
        </w:rPr>
        <w:t>addressed to me</w:t>
      </w:r>
      <w:r w:rsidR="00EC0B2D" w:rsidRPr="004954ED">
        <w:rPr>
          <w:rFonts w:ascii="Arial" w:hAnsi="Arial" w:cs="Arial"/>
          <w:color w:val="242121"/>
        </w:rPr>
        <w:t xml:space="preserve"> </w:t>
      </w:r>
      <w:r>
        <w:rPr>
          <w:rFonts w:ascii="Arial" w:hAnsi="Arial" w:cs="Arial"/>
          <w:color w:val="242121"/>
        </w:rPr>
        <w:t>by Mr Omar</w:t>
      </w:r>
      <w:r w:rsidR="0019107E">
        <w:rPr>
          <w:rFonts w:ascii="Arial" w:hAnsi="Arial" w:cs="Arial"/>
          <w:color w:val="242121"/>
        </w:rPr>
        <w:t xml:space="preserve"> and Ms Nicholson.</w:t>
      </w:r>
    </w:p>
    <w:p w14:paraId="69F7039E" w14:textId="031BB930" w:rsidR="004C1A78" w:rsidRDefault="0019107E" w:rsidP="0019107E">
      <w:pPr>
        <w:pStyle w:val="NormalWeb"/>
        <w:shd w:val="clear" w:color="auto" w:fill="FFFFFF"/>
        <w:tabs>
          <w:tab w:val="left" w:pos="709"/>
        </w:tabs>
        <w:spacing w:before="0" w:beforeAutospacing="0" w:after="0" w:afterAutospacing="0" w:line="360" w:lineRule="auto"/>
        <w:jc w:val="both"/>
        <w:rPr>
          <w:rFonts w:ascii="Arial" w:hAnsi="Arial" w:cs="Arial"/>
          <w:color w:val="242121"/>
        </w:rPr>
      </w:pPr>
      <w:r>
        <w:rPr>
          <w:rFonts w:ascii="Arial" w:hAnsi="Arial" w:cs="Arial"/>
          <w:color w:val="242121"/>
        </w:rPr>
        <w:t xml:space="preserve"> </w:t>
      </w:r>
    </w:p>
    <w:p w14:paraId="1BBA00C7" w14:textId="6DCEEF97" w:rsidR="007E3364" w:rsidRPr="00836201" w:rsidRDefault="0041295D" w:rsidP="0019107E">
      <w:pPr>
        <w:pStyle w:val="NormalWeb"/>
        <w:numPr>
          <w:ilvl w:val="0"/>
          <w:numId w:val="7"/>
        </w:numPr>
        <w:shd w:val="clear" w:color="auto" w:fill="FFFFFF"/>
        <w:tabs>
          <w:tab w:val="left" w:pos="709"/>
        </w:tabs>
        <w:spacing w:before="0" w:beforeAutospacing="0" w:after="0" w:afterAutospacing="0" w:line="360" w:lineRule="auto"/>
        <w:ind w:left="0" w:firstLine="0"/>
        <w:jc w:val="both"/>
        <w:rPr>
          <w:rFonts w:ascii="Arial" w:hAnsi="Arial" w:cs="Arial"/>
          <w:color w:val="242121"/>
        </w:rPr>
      </w:pPr>
      <w:r>
        <w:rPr>
          <w:rFonts w:ascii="Arial" w:hAnsi="Arial" w:cs="Arial"/>
          <w:color w:val="242121"/>
        </w:rPr>
        <w:t>The second respondent has existed since 1965, when it was initially a share block scheme. In 1994 it was converted to a sectional title scheme and in that year, the special rules that the applicant complains of came into being.</w:t>
      </w:r>
      <w:r w:rsidR="00977250">
        <w:rPr>
          <w:rFonts w:ascii="Arial" w:hAnsi="Arial" w:cs="Arial"/>
          <w:color w:val="242121"/>
        </w:rPr>
        <w:t xml:space="preserve"> The scheme is a mixed use scheme, with the bottom sections </w:t>
      </w:r>
      <w:r w:rsidR="007E3364">
        <w:rPr>
          <w:rFonts w:ascii="Arial" w:hAnsi="Arial" w:cs="Arial"/>
          <w:color w:val="242121"/>
        </w:rPr>
        <w:t xml:space="preserve">of the building </w:t>
      </w:r>
      <w:r w:rsidR="00977250">
        <w:rPr>
          <w:rFonts w:ascii="Arial" w:hAnsi="Arial" w:cs="Arial"/>
          <w:color w:val="242121"/>
        </w:rPr>
        <w:t>being commercial sections and the sections above the commercial sections being residential sections.</w:t>
      </w:r>
      <w:r>
        <w:rPr>
          <w:rFonts w:ascii="Arial" w:hAnsi="Arial" w:cs="Arial"/>
          <w:color w:val="242121"/>
        </w:rPr>
        <w:t xml:space="preserve"> The scheme is a sizeable one</w:t>
      </w:r>
      <w:r w:rsidR="007E3364">
        <w:rPr>
          <w:rFonts w:ascii="Arial" w:hAnsi="Arial" w:cs="Arial"/>
          <w:color w:val="242121"/>
        </w:rPr>
        <w:t>,</w:t>
      </w:r>
      <w:r>
        <w:rPr>
          <w:rFonts w:ascii="Arial" w:hAnsi="Arial" w:cs="Arial"/>
          <w:color w:val="242121"/>
        </w:rPr>
        <w:t xml:space="preserve"> </w:t>
      </w:r>
      <w:r w:rsidR="00977250">
        <w:rPr>
          <w:rFonts w:ascii="Arial" w:hAnsi="Arial" w:cs="Arial"/>
          <w:color w:val="242121"/>
        </w:rPr>
        <w:t>having 257 sections in all</w:t>
      </w:r>
      <w:r>
        <w:rPr>
          <w:rFonts w:ascii="Arial" w:hAnsi="Arial" w:cs="Arial"/>
          <w:color w:val="242121"/>
        </w:rPr>
        <w:t xml:space="preserve">. </w:t>
      </w:r>
      <w:r w:rsidR="007E3364">
        <w:rPr>
          <w:rFonts w:ascii="Arial" w:hAnsi="Arial" w:cs="Arial"/>
          <w:color w:val="242121"/>
        </w:rPr>
        <w:t xml:space="preserve">Of these sections, 235 are residential sections. </w:t>
      </w:r>
      <w:r w:rsidR="00BF040A">
        <w:rPr>
          <w:rFonts w:ascii="Arial" w:hAnsi="Arial" w:cs="Arial"/>
          <w:color w:val="242121"/>
        </w:rPr>
        <w:t>In the previous proceedings, t</w:t>
      </w:r>
      <w:r>
        <w:rPr>
          <w:rFonts w:ascii="Arial" w:hAnsi="Arial" w:cs="Arial"/>
          <w:color w:val="242121"/>
        </w:rPr>
        <w:t>he applicant complain</w:t>
      </w:r>
      <w:r w:rsidR="00977250">
        <w:rPr>
          <w:rFonts w:ascii="Arial" w:hAnsi="Arial" w:cs="Arial"/>
          <w:color w:val="242121"/>
        </w:rPr>
        <w:t>ed</w:t>
      </w:r>
      <w:r>
        <w:rPr>
          <w:rFonts w:ascii="Arial" w:hAnsi="Arial" w:cs="Arial"/>
          <w:color w:val="242121"/>
        </w:rPr>
        <w:t xml:space="preserve"> that the special rules </w:t>
      </w:r>
      <w:r w:rsidR="00A132C9">
        <w:rPr>
          <w:rFonts w:ascii="Arial" w:hAnsi="Arial" w:cs="Arial"/>
          <w:color w:val="242121"/>
        </w:rPr>
        <w:t>are unfair, unequal and prejudicial to the owners of residential units</w:t>
      </w:r>
      <w:r>
        <w:rPr>
          <w:rFonts w:ascii="Arial" w:hAnsi="Arial" w:cs="Arial"/>
          <w:color w:val="242121"/>
        </w:rPr>
        <w:t xml:space="preserve"> and that they unfairly discriminate against </w:t>
      </w:r>
      <w:r w:rsidR="00A132C9">
        <w:rPr>
          <w:rFonts w:ascii="Arial" w:hAnsi="Arial" w:cs="Arial"/>
          <w:color w:val="242121"/>
        </w:rPr>
        <w:t xml:space="preserve">owners of residential sections in favour of the owners of commercial sections. </w:t>
      </w:r>
      <w:r w:rsidR="007E3364">
        <w:rPr>
          <w:rFonts w:ascii="Arial" w:hAnsi="Arial" w:cs="Arial"/>
          <w:color w:val="242121"/>
        </w:rPr>
        <w:t xml:space="preserve">The basis for this complaint is that, as set out in my judgment, </w:t>
      </w:r>
      <w:r w:rsidR="007E3364" w:rsidRPr="007E3364">
        <w:rPr>
          <w:rFonts w:ascii="Arial" w:hAnsi="Arial" w:cs="Arial"/>
        </w:rPr>
        <w:t>the owners of commercial sections</w:t>
      </w:r>
      <w:r w:rsidR="007E3364">
        <w:rPr>
          <w:rFonts w:ascii="Arial" w:hAnsi="Arial" w:cs="Arial"/>
        </w:rPr>
        <w:t xml:space="preserve"> are given</w:t>
      </w:r>
      <w:r w:rsidR="007E3364" w:rsidRPr="007E3364">
        <w:rPr>
          <w:rFonts w:ascii="Arial" w:hAnsi="Arial" w:cs="Arial"/>
        </w:rPr>
        <w:t xml:space="preserve"> 75 percent of the vote at general meetings when the commercial sections only comprise 27 percent of the total area of all the sections in the second respondent. </w:t>
      </w:r>
      <w:r w:rsidR="007E3364">
        <w:rPr>
          <w:rFonts w:ascii="Arial" w:hAnsi="Arial" w:cs="Arial"/>
        </w:rPr>
        <w:t>The</w:t>
      </w:r>
      <w:r w:rsidR="007E3364" w:rsidRPr="007E3364">
        <w:rPr>
          <w:rFonts w:ascii="Arial" w:hAnsi="Arial" w:cs="Arial"/>
        </w:rPr>
        <w:t xml:space="preserve"> owners of residential sections, </w:t>
      </w:r>
      <w:r w:rsidR="007E3364" w:rsidRPr="007E3364">
        <w:rPr>
          <w:rFonts w:ascii="Arial" w:hAnsi="Arial" w:cs="Arial"/>
        </w:rPr>
        <w:lastRenderedPageBreak/>
        <w:t xml:space="preserve">which comprise 68 percent of the scheme, only have 25 percent of the vote at such meetings. </w:t>
      </w:r>
    </w:p>
    <w:p w14:paraId="36CA59FC" w14:textId="77777777" w:rsidR="00836201" w:rsidRPr="007E3364" w:rsidRDefault="00836201" w:rsidP="00836201">
      <w:pPr>
        <w:pStyle w:val="NormalWeb"/>
        <w:shd w:val="clear" w:color="auto" w:fill="FFFFFF"/>
        <w:tabs>
          <w:tab w:val="left" w:pos="709"/>
        </w:tabs>
        <w:spacing w:before="0" w:beforeAutospacing="0" w:after="0" w:afterAutospacing="0" w:line="360" w:lineRule="auto"/>
        <w:jc w:val="both"/>
        <w:rPr>
          <w:rFonts w:ascii="Arial" w:hAnsi="Arial" w:cs="Arial"/>
          <w:color w:val="242121"/>
        </w:rPr>
      </w:pPr>
    </w:p>
    <w:p w14:paraId="58D7201A" w14:textId="49F94BD0" w:rsidR="00EE40AF" w:rsidRDefault="00BF040A" w:rsidP="0019107E">
      <w:pPr>
        <w:pStyle w:val="NormalWeb"/>
        <w:numPr>
          <w:ilvl w:val="0"/>
          <w:numId w:val="7"/>
        </w:numPr>
        <w:shd w:val="clear" w:color="auto" w:fill="FFFFFF"/>
        <w:tabs>
          <w:tab w:val="left" w:pos="709"/>
        </w:tabs>
        <w:spacing w:before="0" w:beforeAutospacing="0" w:after="0" w:afterAutospacing="0" w:line="360" w:lineRule="auto"/>
        <w:ind w:left="0" w:firstLine="0"/>
        <w:jc w:val="both"/>
        <w:rPr>
          <w:rFonts w:ascii="Arial" w:hAnsi="Arial" w:cs="Arial"/>
          <w:color w:val="242121"/>
        </w:rPr>
      </w:pPr>
      <w:r>
        <w:rPr>
          <w:rFonts w:ascii="Arial" w:hAnsi="Arial" w:cs="Arial"/>
          <w:color w:val="242121"/>
        </w:rPr>
        <w:t>At this stage, t</w:t>
      </w:r>
      <w:r w:rsidR="007E3364">
        <w:rPr>
          <w:rFonts w:ascii="Arial" w:hAnsi="Arial" w:cs="Arial"/>
          <w:color w:val="242121"/>
        </w:rPr>
        <w:t>he dissatisfaction with this voting system</w:t>
      </w:r>
      <w:r w:rsidR="00A132C9">
        <w:rPr>
          <w:rFonts w:ascii="Arial" w:hAnsi="Arial" w:cs="Arial"/>
          <w:color w:val="242121"/>
        </w:rPr>
        <w:t xml:space="preserve"> is </w:t>
      </w:r>
      <w:r w:rsidR="007E3364">
        <w:rPr>
          <w:rFonts w:ascii="Arial" w:hAnsi="Arial" w:cs="Arial"/>
          <w:color w:val="242121"/>
        </w:rPr>
        <w:t>the dissat</w:t>
      </w:r>
      <w:r w:rsidR="00EE40AF">
        <w:rPr>
          <w:rFonts w:ascii="Arial" w:hAnsi="Arial" w:cs="Arial"/>
          <w:color w:val="242121"/>
        </w:rPr>
        <w:t>i</w:t>
      </w:r>
      <w:r w:rsidR="007E3364">
        <w:rPr>
          <w:rFonts w:ascii="Arial" w:hAnsi="Arial" w:cs="Arial"/>
          <w:color w:val="242121"/>
        </w:rPr>
        <w:t>sfaction</w:t>
      </w:r>
      <w:r w:rsidR="00A132C9">
        <w:rPr>
          <w:rFonts w:ascii="Arial" w:hAnsi="Arial" w:cs="Arial"/>
          <w:color w:val="242121"/>
        </w:rPr>
        <w:t xml:space="preserve"> of the applicant. What the majority of the owners of sections within the second respondent think is not known. While I found that the judgment of Masipa J </w:t>
      </w:r>
      <w:r w:rsidR="00A132C9" w:rsidRPr="00A132C9">
        <w:rPr>
          <w:rFonts w:ascii="Arial" w:hAnsi="Arial" w:cs="Arial"/>
          <w:color w:val="242121"/>
        </w:rPr>
        <w:t>in</w:t>
      </w:r>
      <w:r w:rsidR="00A132C9" w:rsidRPr="00A132C9">
        <w:rPr>
          <w:rFonts w:ascii="Arial" w:hAnsi="Arial" w:cs="Arial"/>
          <w:i/>
          <w:color w:val="242121"/>
        </w:rPr>
        <w:t xml:space="preserve"> Central Plaza Investments 85 (Pty) Ltd v Body Corporate Mangrove Beach Ce</w:t>
      </w:r>
      <w:r w:rsidR="00A132C9">
        <w:rPr>
          <w:rFonts w:ascii="Arial" w:hAnsi="Arial" w:cs="Arial"/>
          <w:i/>
          <w:color w:val="242121"/>
        </w:rPr>
        <w:t>n</w:t>
      </w:r>
      <w:r w:rsidR="00A132C9" w:rsidRPr="00A132C9">
        <w:rPr>
          <w:rFonts w:ascii="Arial" w:hAnsi="Arial" w:cs="Arial"/>
          <w:i/>
          <w:color w:val="242121"/>
        </w:rPr>
        <w:t>tre</w:t>
      </w:r>
      <w:r w:rsidR="00A132C9" w:rsidRPr="00EE40AF">
        <w:rPr>
          <w:rStyle w:val="FootnoteReference"/>
          <w:rFonts w:ascii="Arial" w:hAnsi="Arial" w:cs="Arial"/>
          <w:color w:val="242121"/>
        </w:rPr>
        <w:footnoteReference w:id="4"/>
      </w:r>
      <w:r w:rsidR="00A132C9">
        <w:rPr>
          <w:rFonts w:ascii="Arial" w:hAnsi="Arial" w:cs="Arial"/>
          <w:i/>
          <w:color w:val="242121"/>
        </w:rPr>
        <w:t xml:space="preserve"> </w:t>
      </w:r>
      <w:r w:rsidR="00A132C9">
        <w:rPr>
          <w:rFonts w:ascii="Arial" w:hAnsi="Arial" w:cs="Arial"/>
          <w:color w:val="242121"/>
        </w:rPr>
        <w:t xml:space="preserve">did not render the issues before the third respondent </w:t>
      </w:r>
      <w:r w:rsidR="00A132C9" w:rsidRPr="00977250">
        <w:rPr>
          <w:rFonts w:ascii="Arial" w:hAnsi="Arial" w:cs="Arial"/>
          <w:i/>
          <w:color w:val="242121"/>
        </w:rPr>
        <w:t>res judicata</w:t>
      </w:r>
      <w:r w:rsidR="00A132C9">
        <w:rPr>
          <w:rFonts w:ascii="Arial" w:hAnsi="Arial" w:cs="Arial"/>
          <w:color w:val="242121"/>
        </w:rPr>
        <w:t xml:space="preserve">, what Masipa J said in her judgment is </w:t>
      </w:r>
      <w:r w:rsidR="00EE40AF">
        <w:rPr>
          <w:rFonts w:ascii="Arial" w:hAnsi="Arial" w:cs="Arial"/>
          <w:color w:val="242121"/>
        </w:rPr>
        <w:t xml:space="preserve">undoubtedly </w:t>
      </w:r>
      <w:r w:rsidR="00A132C9">
        <w:rPr>
          <w:rFonts w:ascii="Arial" w:hAnsi="Arial" w:cs="Arial"/>
          <w:color w:val="242121"/>
        </w:rPr>
        <w:t>correct</w:t>
      </w:r>
      <w:r w:rsidR="00E57EF9">
        <w:rPr>
          <w:rFonts w:ascii="Arial" w:hAnsi="Arial" w:cs="Arial"/>
          <w:color w:val="242121"/>
        </w:rPr>
        <w:t xml:space="preserve">: </w:t>
      </w:r>
    </w:p>
    <w:p w14:paraId="55D5C04D" w14:textId="310D9354" w:rsidR="00EE40AF" w:rsidRPr="00EE40AF" w:rsidRDefault="00EE40AF" w:rsidP="0019107E">
      <w:pPr>
        <w:spacing w:line="360" w:lineRule="auto"/>
        <w:jc w:val="both"/>
        <w:rPr>
          <w:rFonts w:ascii="Arial" w:hAnsi="Arial" w:cs="Arial"/>
          <w:color w:val="242121"/>
          <w:sz w:val="22"/>
          <w:szCs w:val="22"/>
        </w:rPr>
      </w:pPr>
      <w:r w:rsidRPr="00EE40AF">
        <w:rPr>
          <w:rFonts w:ascii="Arial" w:hAnsi="Arial" w:cs="Arial"/>
          <w:color w:val="242121"/>
          <w:sz w:val="22"/>
          <w:szCs w:val="22"/>
        </w:rPr>
        <w:t xml:space="preserve">‘Mechanisms exist to amend the rules should they wish to do so. They have not pursued that recourse which is available to them and seek for this court to bypass that process and put in place what they wish to be the </w:t>
      </w:r>
      <w:r>
        <w:rPr>
          <w:rFonts w:ascii="Arial" w:hAnsi="Arial" w:cs="Arial"/>
          <w:color w:val="242121"/>
          <w:sz w:val="22"/>
          <w:szCs w:val="22"/>
        </w:rPr>
        <w:t>r</w:t>
      </w:r>
      <w:r w:rsidRPr="00EE40AF">
        <w:rPr>
          <w:rFonts w:ascii="Arial" w:hAnsi="Arial" w:cs="Arial"/>
          <w:color w:val="242121"/>
          <w:sz w:val="22"/>
          <w:szCs w:val="22"/>
        </w:rPr>
        <w:t>ul</w:t>
      </w:r>
      <w:r>
        <w:rPr>
          <w:rFonts w:ascii="Arial" w:hAnsi="Arial" w:cs="Arial"/>
          <w:color w:val="242121"/>
          <w:sz w:val="22"/>
          <w:szCs w:val="22"/>
        </w:rPr>
        <w:t>e</w:t>
      </w:r>
      <w:r w:rsidRPr="00EE40AF">
        <w:rPr>
          <w:rFonts w:ascii="Arial" w:hAnsi="Arial" w:cs="Arial"/>
          <w:color w:val="242121"/>
          <w:sz w:val="22"/>
          <w:szCs w:val="22"/>
        </w:rPr>
        <w:t>s of the scheme.’</w:t>
      </w:r>
    </w:p>
    <w:p w14:paraId="3A821642" w14:textId="1FDAAE23" w:rsidR="00245732" w:rsidRDefault="00EE40AF" w:rsidP="0019107E">
      <w:pPr>
        <w:pStyle w:val="NormalWeb"/>
        <w:shd w:val="clear" w:color="auto" w:fill="FFFFFF"/>
        <w:tabs>
          <w:tab w:val="left" w:pos="709"/>
        </w:tabs>
        <w:spacing w:before="0" w:beforeAutospacing="0" w:after="0" w:afterAutospacing="0" w:line="360" w:lineRule="auto"/>
        <w:jc w:val="both"/>
        <w:rPr>
          <w:rFonts w:ascii="Arial" w:hAnsi="Arial" w:cs="Arial"/>
          <w:color w:val="242121"/>
        </w:rPr>
      </w:pPr>
      <w:r>
        <w:rPr>
          <w:rFonts w:ascii="Arial" w:hAnsi="Arial" w:cs="Arial"/>
          <w:color w:val="242121"/>
        </w:rPr>
        <w:t>In other words, i</w:t>
      </w:r>
      <w:r w:rsidR="00E57EF9">
        <w:rPr>
          <w:rFonts w:ascii="Arial" w:hAnsi="Arial" w:cs="Arial"/>
          <w:color w:val="242121"/>
        </w:rPr>
        <w:t>f the applicant is dissatisfied with the special rules, he needs to challenge them at a meeting of the body corporate</w:t>
      </w:r>
      <w:r w:rsidR="00977250">
        <w:rPr>
          <w:rFonts w:ascii="Arial" w:hAnsi="Arial" w:cs="Arial"/>
          <w:color w:val="242121"/>
        </w:rPr>
        <w:t xml:space="preserve"> and have them changed</w:t>
      </w:r>
      <w:r w:rsidR="00E57EF9">
        <w:rPr>
          <w:rFonts w:ascii="Arial" w:hAnsi="Arial" w:cs="Arial"/>
          <w:color w:val="242121"/>
        </w:rPr>
        <w:t>.</w:t>
      </w:r>
      <w:r w:rsidR="00245732">
        <w:rPr>
          <w:rFonts w:ascii="Arial" w:hAnsi="Arial" w:cs="Arial"/>
          <w:color w:val="242121"/>
        </w:rPr>
        <w:t xml:space="preserve"> A court must, as I pointed out in my judgment, act cautiously when asked to change rules that impact on other owners of sections. The rules applicable to sectional schemes constitute a contract between the body corporate and the individual owners and, as was </w:t>
      </w:r>
      <w:r w:rsidR="007138D2">
        <w:rPr>
          <w:rFonts w:ascii="Arial" w:hAnsi="Arial" w:cs="Arial"/>
          <w:color w:val="242121"/>
        </w:rPr>
        <w:t>stat</w:t>
      </w:r>
      <w:r w:rsidR="00245732">
        <w:rPr>
          <w:rFonts w:ascii="Arial" w:hAnsi="Arial" w:cs="Arial"/>
          <w:color w:val="242121"/>
        </w:rPr>
        <w:t xml:space="preserve">ed in </w:t>
      </w:r>
      <w:r w:rsidR="00245732" w:rsidRPr="00245732">
        <w:rPr>
          <w:rFonts w:ascii="Arial" w:hAnsi="Arial" w:cs="Arial"/>
          <w:i/>
          <w:color w:val="242121"/>
        </w:rPr>
        <w:t>Wilds Home Owners Association and others v Van Eeden and others</w:t>
      </w:r>
      <w:r w:rsidR="00245732">
        <w:rPr>
          <w:rFonts w:ascii="Arial" w:hAnsi="Arial" w:cs="Arial"/>
          <w:color w:val="242121"/>
        </w:rPr>
        <w:t>,</w:t>
      </w:r>
      <w:r w:rsidR="00245732">
        <w:rPr>
          <w:rStyle w:val="FootnoteReference"/>
          <w:rFonts w:ascii="Arial" w:hAnsi="Arial" w:cs="Arial"/>
          <w:color w:val="242121"/>
        </w:rPr>
        <w:footnoteReference w:id="5"/>
      </w:r>
      <w:r w:rsidR="00245732">
        <w:rPr>
          <w:rFonts w:ascii="Arial" w:hAnsi="Arial" w:cs="Arial"/>
          <w:color w:val="242121"/>
        </w:rPr>
        <w:t xml:space="preserve"> a court should hesitate to </w:t>
      </w:r>
      <w:r w:rsidR="00B71712">
        <w:rPr>
          <w:rFonts w:ascii="Arial" w:hAnsi="Arial" w:cs="Arial"/>
          <w:color w:val="242121"/>
        </w:rPr>
        <w:t>rewrite a bargain struck between members when the impetus to do so is at the instance of a minority of members.</w:t>
      </w:r>
      <w:r w:rsidR="00245732">
        <w:rPr>
          <w:rFonts w:ascii="Arial" w:hAnsi="Arial" w:cs="Arial"/>
          <w:color w:val="242121"/>
        </w:rPr>
        <w:t xml:space="preserve"> </w:t>
      </w:r>
    </w:p>
    <w:p w14:paraId="54806434" w14:textId="77777777" w:rsidR="00E57EF9" w:rsidRDefault="00E57EF9" w:rsidP="0019107E">
      <w:pPr>
        <w:pStyle w:val="ListParagraph"/>
        <w:spacing w:after="0" w:line="360" w:lineRule="auto"/>
        <w:rPr>
          <w:rFonts w:ascii="Arial" w:hAnsi="Arial" w:cs="Arial"/>
          <w:color w:val="242121"/>
        </w:rPr>
      </w:pPr>
    </w:p>
    <w:p w14:paraId="7035627A" w14:textId="1247FFE2" w:rsidR="00E57EF9" w:rsidRDefault="002E4410" w:rsidP="0019107E">
      <w:pPr>
        <w:pStyle w:val="NormalWeb"/>
        <w:numPr>
          <w:ilvl w:val="0"/>
          <w:numId w:val="7"/>
        </w:numPr>
        <w:shd w:val="clear" w:color="auto" w:fill="FFFFFF"/>
        <w:tabs>
          <w:tab w:val="left" w:pos="709"/>
        </w:tabs>
        <w:spacing w:before="0" w:beforeAutospacing="0" w:after="0" w:afterAutospacing="0" w:line="360" w:lineRule="auto"/>
        <w:ind w:left="0" w:firstLine="0"/>
        <w:jc w:val="both"/>
        <w:rPr>
          <w:rFonts w:ascii="Arial" w:hAnsi="Arial" w:cs="Arial"/>
          <w:color w:val="242121"/>
        </w:rPr>
      </w:pPr>
      <w:r>
        <w:rPr>
          <w:rFonts w:ascii="Arial" w:hAnsi="Arial" w:cs="Arial"/>
          <w:color w:val="242121"/>
        </w:rPr>
        <w:t xml:space="preserve">I consider, briefly, </w:t>
      </w:r>
      <w:r w:rsidR="00EE40AF">
        <w:rPr>
          <w:rFonts w:ascii="Arial" w:hAnsi="Arial" w:cs="Arial"/>
          <w:color w:val="242121"/>
        </w:rPr>
        <w:t xml:space="preserve">some of the </w:t>
      </w:r>
      <w:r>
        <w:rPr>
          <w:rFonts w:ascii="Arial" w:hAnsi="Arial" w:cs="Arial"/>
          <w:color w:val="242121"/>
        </w:rPr>
        <w:t>more important aspects raised by M</w:t>
      </w:r>
      <w:r w:rsidR="00EE40AF">
        <w:rPr>
          <w:rFonts w:ascii="Arial" w:hAnsi="Arial" w:cs="Arial"/>
          <w:color w:val="242121"/>
        </w:rPr>
        <w:t>r</w:t>
      </w:r>
      <w:r>
        <w:rPr>
          <w:rFonts w:ascii="Arial" w:hAnsi="Arial" w:cs="Arial"/>
          <w:color w:val="242121"/>
        </w:rPr>
        <w:t xml:space="preserve"> Omar in his </w:t>
      </w:r>
      <w:r w:rsidR="00AD70B7">
        <w:rPr>
          <w:rFonts w:ascii="Arial" w:hAnsi="Arial" w:cs="Arial"/>
          <w:color w:val="242121"/>
        </w:rPr>
        <w:t xml:space="preserve">detailed </w:t>
      </w:r>
      <w:r w:rsidR="00E57EF9">
        <w:rPr>
          <w:rFonts w:ascii="Arial" w:hAnsi="Arial" w:cs="Arial"/>
          <w:color w:val="242121"/>
        </w:rPr>
        <w:t>notice of application for leave to appeal</w:t>
      </w:r>
      <w:r>
        <w:rPr>
          <w:rFonts w:ascii="Arial" w:hAnsi="Arial" w:cs="Arial"/>
          <w:color w:val="242121"/>
        </w:rPr>
        <w:t xml:space="preserve">. I make it plain that I do not intend dealing with each and every allegation made in that </w:t>
      </w:r>
      <w:r w:rsidR="00977250">
        <w:rPr>
          <w:rFonts w:ascii="Arial" w:hAnsi="Arial" w:cs="Arial"/>
          <w:color w:val="242121"/>
        </w:rPr>
        <w:t xml:space="preserve">substantial </w:t>
      </w:r>
      <w:r>
        <w:rPr>
          <w:rFonts w:ascii="Arial" w:hAnsi="Arial" w:cs="Arial"/>
          <w:color w:val="242121"/>
        </w:rPr>
        <w:t>document</w:t>
      </w:r>
      <w:r w:rsidR="00E57EF9">
        <w:rPr>
          <w:rFonts w:ascii="Arial" w:hAnsi="Arial" w:cs="Arial"/>
          <w:color w:val="242121"/>
        </w:rPr>
        <w:t>:</w:t>
      </w:r>
    </w:p>
    <w:p w14:paraId="0D378A02" w14:textId="6E84568F" w:rsidR="00D36A34" w:rsidRDefault="00E57EF9" w:rsidP="0019107E">
      <w:pPr>
        <w:pStyle w:val="NormalWeb"/>
        <w:numPr>
          <w:ilvl w:val="0"/>
          <w:numId w:val="21"/>
        </w:numPr>
        <w:shd w:val="clear" w:color="auto" w:fill="FFFFFF"/>
        <w:tabs>
          <w:tab w:val="left" w:pos="709"/>
        </w:tabs>
        <w:spacing w:before="0" w:beforeAutospacing="0" w:after="0" w:afterAutospacing="0" w:line="360" w:lineRule="auto"/>
        <w:ind w:left="0" w:firstLine="0"/>
        <w:jc w:val="both"/>
        <w:rPr>
          <w:rFonts w:ascii="Arial" w:hAnsi="Arial" w:cs="Arial"/>
          <w:color w:val="242121"/>
        </w:rPr>
      </w:pPr>
      <w:r>
        <w:rPr>
          <w:rFonts w:ascii="Arial" w:hAnsi="Arial" w:cs="Arial"/>
          <w:color w:val="242121"/>
        </w:rPr>
        <w:t xml:space="preserve"> </w:t>
      </w:r>
      <w:r w:rsidR="00A132C9">
        <w:rPr>
          <w:rFonts w:ascii="Arial" w:hAnsi="Arial" w:cs="Arial"/>
          <w:color w:val="242121"/>
        </w:rPr>
        <w:t xml:space="preserve">  </w:t>
      </w:r>
      <w:r>
        <w:rPr>
          <w:rFonts w:ascii="Arial" w:hAnsi="Arial" w:cs="Arial"/>
          <w:color w:val="242121"/>
        </w:rPr>
        <w:t xml:space="preserve">I do not accept that having found that the third respondent erred in finding that the issue before him was </w:t>
      </w:r>
      <w:r w:rsidRPr="00977250">
        <w:rPr>
          <w:rFonts w:ascii="Arial" w:hAnsi="Arial" w:cs="Arial"/>
          <w:i/>
          <w:color w:val="242121"/>
        </w:rPr>
        <w:t>res judicata</w:t>
      </w:r>
      <w:r>
        <w:rPr>
          <w:rFonts w:ascii="Arial" w:hAnsi="Arial" w:cs="Arial"/>
          <w:color w:val="242121"/>
        </w:rPr>
        <w:t xml:space="preserve">, I was required to allow the appeal and </w:t>
      </w:r>
      <w:r w:rsidR="00AD70B7">
        <w:rPr>
          <w:rFonts w:ascii="Arial" w:hAnsi="Arial" w:cs="Arial"/>
          <w:color w:val="242121"/>
        </w:rPr>
        <w:t xml:space="preserve">simply </w:t>
      </w:r>
      <w:r>
        <w:rPr>
          <w:rFonts w:ascii="Arial" w:hAnsi="Arial" w:cs="Arial"/>
          <w:color w:val="242121"/>
        </w:rPr>
        <w:t xml:space="preserve">refer the matter back to the third respondent. </w:t>
      </w:r>
      <w:r w:rsidR="002E4410">
        <w:rPr>
          <w:rFonts w:ascii="Arial" w:hAnsi="Arial" w:cs="Arial"/>
          <w:color w:val="242121"/>
        </w:rPr>
        <w:t>In his notice of appeal, t</w:t>
      </w:r>
      <w:r>
        <w:rPr>
          <w:rFonts w:ascii="Arial" w:hAnsi="Arial" w:cs="Arial"/>
          <w:color w:val="242121"/>
        </w:rPr>
        <w:t xml:space="preserve">he applicant </w:t>
      </w:r>
      <w:r w:rsidR="00977250">
        <w:rPr>
          <w:rFonts w:ascii="Arial" w:hAnsi="Arial" w:cs="Arial"/>
          <w:color w:val="242121"/>
        </w:rPr>
        <w:t>sought th</w:t>
      </w:r>
      <w:r>
        <w:rPr>
          <w:rFonts w:ascii="Arial" w:hAnsi="Arial" w:cs="Arial"/>
          <w:color w:val="242121"/>
        </w:rPr>
        <w:t>e set</w:t>
      </w:r>
      <w:r w:rsidR="00977250">
        <w:rPr>
          <w:rFonts w:ascii="Arial" w:hAnsi="Arial" w:cs="Arial"/>
          <w:color w:val="242121"/>
        </w:rPr>
        <w:t>ting</w:t>
      </w:r>
      <w:r>
        <w:rPr>
          <w:rFonts w:ascii="Arial" w:hAnsi="Arial" w:cs="Arial"/>
          <w:color w:val="242121"/>
        </w:rPr>
        <w:t xml:space="preserve"> aside </w:t>
      </w:r>
      <w:r w:rsidR="00977250">
        <w:rPr>
          <w:rFonts w:ascii="Arial" w:hAnsi="Arial" w:cs="Arial"/>
          <w:color w:val="242121"/>
        </w:rPr>
        <w:t xml:space="preserve">of </w:t>
      </w:r>
      <w:r>
        <w:rPr>
          <w:rFonts w:ascii="Arial" w:hAnsi="Arial" w:cs="Arial"/>
          <w:color w:val="242121"/>
        </w:rPr>
        <w:t xml:space="preserve">the third respondent’s decision and </w:t>
      </w:r>
      <w:r w:rsidR="00AD70B7">
        <w:rPr>
          <w:rFonts w:ascii="Arial" w:hAnsi="Arial" w:cs="Arial"/>
          <w:color w:val="242121"/>
        </w:rPr>
        <w:t xml:space="preserve">then </w:t>
      </w:r>
      <w:r w:rsidR="00977250">
        <w:rPr>
          <w:rFonts w:ascii="Arial" w:hAnsi="Arial" w:cs="Arial"/>
          <w:color w:val="242121"/>
        </w:rPr>
        <w:t>required</w:t>
      </w:r>
      <w:r>
        <w:rPr>
          <w:rFonts w:ascii="Arial" w:hAnsi="Arial" w:cs="Arial"/>
          <w:color w:val="242121"/>
        </w:rPr>
        <w:t xml:space="preserve"> </w:t>
      </w:r>
      <w:r w:rsidR="00AD70B7">
        <w:rPr>
          <w:rFonts w:ascii="Arial" w:hAnsi="Arial" w:cs="Arial"/>
          <w:color w:val="242121"/>
        </w:rPr>
        <w:t xml:space="preserve">certain </w:t>
      </w:r>
      <w:r>
        <w:rPr>
          <w:rFonts w:ascii="Arial" w:hAnsi="Arial" w:cs="Arial"/>
          <w:color w:val="242121"/>
        </w:rPr>
        <w:t>declaratory relief</w:t>
      </w:r>
      <w:r w:rsidR="00977250">
        <w:rPr>
          <w:rFonts w:ascii="Arial" w:hAnsi="Arial" w:cs="Arial"/>
          <w:color w:val="242121"/>
        </w:rPr>
        <w:t xml:space="preserve"> to be granted to him</w:t>
      </w:r>
      <w:r>
        <w:rPr>
          <w:rFonts w:ascii="Arial" w:hAnsi="Arial" w:cs="Arial"/>
          <w:color w:val="242121"/>
        </w:rPr>
        <w:t>. I</w:t>
      </w:r>
      <w:r w:rsidR="002E4410">
        <w:rPr>
          <w:rFonts w:ascii="Arial" w:hAnsi="Arial" w:cs="Arial"/>
          <w:color w:val="242121"/>
        </w:rPr>
        <w:t>n the result, I</w:t>
      </w:r>
      <w:r>
        <w:rPr>
          <w:rFonts w:ascii="Arial" w:hAnsi="Arial" w:cs="Arial"/>
          <w:color w:val="242121"/>
        </w:rPr>
        <w:t xml:space="preserve"> set aside the decision and then considered the </w:t>
      </w:r>
      <w:r w:rsidR="00AD70B7">
        <w:rPr>
          <w:rFonts w:ascii="Arial" w:hAnsi="Arial" w:cs="Arial"/>
          <w:color w:val="242121"/>
        </w:rPr>
        <w:t>issue of</w:t>
      </w:r>
      <w:r>
        <w:rPr>
          <w:rFonts w:ascii="Arial" w:hAnsi="Arial" w:cs="Arial"/>
          <w:color w:val="242121"/>
        </w:rPr>
        <w:t xml:space="preserve"> declaratory relief, but found that it was not capable of being granted. </w:t>
      </w:r>
      <w:r w:rsidR="00EE40AF">
        <w:rPr>
          <w:rFonts w:ascii="Arial" w:hAnsi="Arial" w:cs="Arial"/>
          <w:color w:val="242121"/>
        </w:rPr>
        <w:t xml:space="preserve">The basis upon which I set aside the </w:t>
      </w:r>
      <w:r w:rsidR="00AD70B7">
        <w:rPr>
          <w:rFonts w:ascii="Arial" w:hAnsi="Arial" w:cs="Arial"/>
          <w:color w:val="242121"/>
        </w:rPr>
        <w:t>third respondent’s decision</w:t>
      </w:r>
      <w:r w:rsidR="00EE40AF">
        <w:rPr>
          <w:rFonts w:ascii="Arial" w:hAnsi="Arial" w:cs="Arial"/>
          <w:color w:val="242121"/>
        </w:rPr>
        <w:t xml:space="preserve"> is irrelevant. </w:t>
      </w:r>
      <w:r>
        <w:rPr>
          <w:rFonts w:ascii="Arial" w:hAnsi="Arial" w:cs="Arial"/>
          <w:color w:val="242121"/>
        </w:rPr>
        <w:lastRenderedPageBreak/>
        <w:t xml:space="preserve">The applicant cannot have it both ways: </w:t>
      </w:r>
      <w:r w:rsidR="00977250">
        <w:rPr>
          <w:rFonts w:ascii="Arial" w:hAnsi="Arial" w:cs="Arial"/>
          <w:color w:val="242121"/>
        </w:rPr>
        <w:t>He</w:t>
      </w:r>
      <w:r>
        <w:rPr>
          <w:rFonts w:ascii="Arial" w:hAnsi="Arial" w:cs="Arial"/>
          <w:color w:val="242121"/>
        </w:rPr>
        <w:t xml:space="preserve"> cannot claim relief but then </w:t>
      </w:r>
      <w:r w:rsidR="00D36A34">
        <w:rPr>
          <w:rFonts w:ascii="Arial" w:hAnsi="Arial" w:cs="Arial"/>
          <w:color w:val="242121"/>
        </w:rPr>
        <w:t xml:space="preserve">insist that </w:t>
      </w:r>
      <w:r w:rsidR="00977250">
        <w:rPr>
          <w:rFonts w:ascii="Arial" w:hAnsi="Arial" w:cs="Arial"/>
          <w:color w:val="242121"/>
        </w:rPr>
        <w:t>he</w:t>
      </w:r>
      <w:r w:rsidR="00D36A34">
        <w:rPr>
          <w:rFonts w:ascii="Arial" w:hAnsi="Arial" w:cs="Arial"/>
          <w:color w:val="242121"/>
        </w:rPr>
        <w:t xml:space="preserve"> should only have been granted half the relief that </w:t>
      </w:r>
      <w:r w:rsidR="00977250">
        <w:rPr>
          <w:rFonts w:ascii="Arial" w:hAnsi="Arial" w:cs="Arial"/>
          <w:color w:val="242121"/>
        </w:rPr>
        <w:t>he</w:t>
      </w:r>
      <w:r w:rsidR="00D36A34">
        <w:rPr>
          <w:rFonts w:ascii="Arial" w:hAnsi="Arial" w:cs="Arial"/>
          <w:color w:val="242121"/>
        </w:rPr>
        <w:t xml:space="preserve"> claimed;</w:t>
      </w:r>
    </w:p>
    <w:p w14:paraId="4DEB9D50" w14:textId="43C4C971" w:rsidR="004C1A78" w:rsidRDefault="00D36A34" w:rsidP="0019107E">
      <w:pPr>
        <w:pStyle w:val="NormalWeb"/>
        <w:numPr>
          <w:ilvl w:val="0"/>
          <w:numId w:val="21"/>
        </w:numPr>
        <w:shd w:val="clear" w:color="auto" w:fill="FFFFFF"/>
        <w:tabs>
          <w:tab w:val="left" w:pos="709"/>
        </w:tabs>
        <w:spacing w:before="0" w:beforeAutospacing="0" w:after="0" w:afterAutospacing="0" w:line="360" w:lineRule="auto"/>
        <w:ind w:left="0" w:firstLine="0"/>
        <w:jc w:val="both"/>
        <w:rPr>
          <w:rFonts w:ascii="Arial" w:hAnsi="Arial" w:cs="Arial"/>
          <w:color w:val="242121"/>
        </w:rPr>
      </w:pPr>
      <w:r>
        <w:rPr>
          <w:rFonts w:ascii="Arial" w:hAnsi="Arial" w:cs="Arial"/>
          <w:color w:val="242121"/>
        </w:rPr>
        <w:t>Whether Mr Christopher Pearson</w:t>
      </w:r>
      <w:r w:rsidR="00977250">
        <w:rPr>
          <w:rFonts w:ascii="Arial" w:hAnsi="Arial" w:cs="Arial"/>
          <w:color w:val="242121"/>
        </w:rPr>
        <w:t>, who deposed to the answering affidavit of the first and second respondents,</w:t>
      </w:r>
      <w:r>
        <w:rPr>
          <w:rFonts w:ascii="Arial" w:hAnsi="Arial" w:cs="Arial"/>
          <w:color w:val="242121"/>
        </w:rPr>
        <w:t xml:space="preserve"> was conflicted, as alleged by the applicant is of no moment. He is a trustee of the second respondent and stated that he was authorised </w:t>
      </w:r>
      <w:r w:rsidR="00977250">
        <w:rPr>
          <w:rFonts w:ascii="Arial" w:hAnsi="Arial" w:cs="Arial"/>
          <w:color w:val="242121"/>
        </w:rPr>
        <w:t xml:space="preserve">to act </w:t>
      </w:r>
      <w:r>
        <w:rPr>
          <w:rFonts w:ascii="Arial" w:hAnsi="Arial" w:cs="Arial"/>
          <w:color w:val="242121"/>
        </w:rPr>
        <w:t>by the board of trustees</w:t>
      </w:r>
      <w:r w:rsidR="00EE40AF">
        <w:rPr>
          <w:rFonts w:ascii="Arial" w:hAnsi="Arial" w:cs="Arial"/>
          <w:color w:val="242121"/>
        </w:rPr>
        <w:t xml:space="preserve"> and put up an affidavit confirming this together with</w:t>
      </w:r>
      <w:r w:rsidR="00245732">
        <w:rPr>
          <w:rFonts w:ascii="Arial" w:hAnsi="Arial" w:cs="Arial"/>
          <w:color w:val="242121"/>
        </w:rPr>
        <w:t xml:space="preserve"> a signed resolution of the trustees of the second respondent</w:t>
      </w:r>
      <w:r>
        <w:rPr>
          <w:rFonts w:ascii="Arial" w:hAnsi="Arial" w:cs="Arial"/>
          <w:color w:val="242121"/>
        </w:rPr>
        <w:t>;</w:t>
      </w:r>
    </w:p>
    <w:p w14:paraId="75CEE603" w14:textId="64AC29E1" w:rsidR="00D36A34" w:rsidRDefault="003F4C8F" w:rsidP="0019107E">
      <w:pPr>
        <w:pStyle w:val="NormalWeb"/>
        <w:numPr>
          <w:ilvl w:val="0"/>
          <w:numId w:val="21"/>
        </w:numPr>
        <w:shd w:val="clear" w:color="auto" w:fill="FFFFFF"/>
        <w:tabs>
          <w:tab w:val="left" w:pos="709"/>
        </w:tabs>
        <w:spacing w:before="0" w:beforeAutospacing="0" w:after="0" w:afterAutospacing="0" w:line="360" w:lineRule="auto"/>
        <w:ind w:left="0" w:firstLine="0"/>
        <w:jc w:val="both"/>
        <w:rPr>
          <w:rFonts w:ascii="Arial" w:hAnsi="Arial" w:cs="Arial"/>
          <w:color w:val="242121"/>
        </w:rPr>
      </w:pPr>
      <w:r>
        <w:rPr>
          <w:rFonts w:ascii="Arial" w:hAnsi="Arial" w:cs="Arial"/>
          <w:color w:val="242121"/>
        </w:rPr>
        <w:t xml:space="preserve">There was no evidence that rules were applied unequally. There was thus no evidence that some residential owners were subject to the rules and that some were not. The same applied </w:t>
      </w:r>
      <w:r w:rsidR="00977250">
        <w:rPr>
          <w:rFonts w:ascii="Arial" w:hAnsi="Arial" w:cs="Arial"/>
          <w:color w:val="242121"/>
        </w:rPr>
        <w:t>in respect of the</w:t>
      </w:r>
      <w:r>
        <w:rPr>
          <w:rFonts w:ascii="Arial" w:hAnsi="Arial" w:cs="Arial"/>
          <w:color w:val="242121"/>
        </w:rPr>
        <w:t xml:space="preserve"> owners of commercial sections. There is, moreover, no requirement that owners of those two disparate types of sections should be </w:t>
      </w:r>
      <w:r w:rsidR="00977250">
        <w:rPr>
          <w:rFonts w:ascii="Arial" w:hAnsi="Arial" w:cs="Arial"/>
          <w:color w:val="242121"/>
        </w:rPr>
        <w:t>treated equally</w:t>
      </w:r>
      <w:r>
        <w:rPr>
          <w:rFonts w:ascii="Arial" w:hAnsi="Arial" w:cs="Arial"/>
          <w:color w:val="242121"/>
        </w:rPr>
        <w:t xml:space="preserve">. </w:t>
      </w:r>
      <w:r w:rsidR="002E4410">
        <w:rPr>
          <w:rFonts w:ascii="Arial" w:hAnsi="Arial" w:cs="Arial"/>
          <w:color w:val="242121"/>
        </w:rPr>
        <w:t xml:space="preserve">Practical considerations dictate that this simply cannot occur in a mixed use scheme. </w:t>
      </w:r>
      <w:r>
        <w:rPr>
          <w:rFonts w:ascii="Arial" w:hAnsi="Arial" w:cs="Arial"/>
          <w:color w:val="242121"/>
        </w:rPr>
        <w:t xml:space="preserve">As the applicant himself points out in his application, rules are to apply equally to owners of units </w:t>
      </w:r>
      <w:r w:rsidR="007138D2">
        <w:rPr>
          <w:rFonts w:ascii="Arial" w:hAnsi="Arial" w:cs="Arial"/>
          <w:color w:val="242121"/>
        </w:rPr>
        <w:t>‘</w:t>
      </w:r>
      <w:r>
        <w:rPr>
          <w:rFonts w:ascii="Arial" w:hAnsi="Arial" w:cs="Arial"/>
          <w:color w:val="242121"/>
        </w:rPr>
        <w:t>put to substantially the same purpose</w:t>
      </w:r>
      <w:r w:rsidR="007138D2">
        <w:rPr>
          <w:rFonts w:ascii="Arial" w:hAnsi="Arial" w:cs="Arial"/>
          <w:color w:val="242121"/>
        </w:rPr>
        <w:t>’</w:t>
      </w:r>
      <w:r>
        <w:rPr>
          <w:rFonts w:ascii="Arial" w:hAnsi="Arial" w:cs="Arial"/>
          <w:color w:val="242121"/>
        </w:rPr>
        <w:t>.</w:t>
      </w:r>
      <w:r w:rsidR="007138D2">
        <w:rPr>
          <w:rStyle w:val="FootnoteReference"/>
          <w:rFonts w:ascii="Arial" w:hAnsi="Arial" w:cs="Arial"/>
          <w:color w:val="242121"/>
        </w:rPr>
        <w:footnoteReference w:id="6"/>
      </w:r>
      <w:r>
        <w:rPr>
          <w:rFonts w:ascii="Arial" w:hAnsi="Arial" w:cs="Arial"/>
          <w:color w:val="242121"/>
        </w:rPr>
        <w:t xml:space="preserve"> I</w:t>
      </w:r>
      <w:r w:rsidR="00977250">
        <w:rPr>
          <w:rFonts w:ascii="Arial" w:hAnsi="Arial" w:cs="Arial"/>
          <w:color w:val="242121"/>
        </w:rPr>
        <w:t xml:space="preserve">t is facile to suggest that </w:t>
      </w:r>
      <w:r>
        <w:rPr>
          <w:rFonts w:ascii="Arial" w:hAnsi="Arial" w:cs="Arial"/>
          <w:color w:val="242121"/>
        </w:rPr>
        <w:t>residential units are put to the same use, or have the same purpose, as commercial units;</w:t>
      </w:r>
      <w:r w:rsidR="00AD70B7">
        <w:rPr>
          <w:rFonts w:ascii="Arial" w:hAnsi="Arial" w:cs="Arial"/>
          <w:color w:val="242121"/>
        </w:rPr>
        <w:t xml:space="preserve"> and</w:t>
      </w:r>
    </w:p>
    <w:p w14:paraId="6FC4AF11" w14:textId="20A6CA5B" w:rsidR="003F4C8F" w:rsidRDefault="003F4C8F" w:rsidP="0019107E">
      <w:pPr>
        <w:pStyle w:val="NormalWeb"/>
        <w:numPr>
          <w:ilvl w:val="0"/>
          <w:numId w:val="21"/>
        </w:numPr>
        <w:shd w:val="clear" w:color="auto" w:fill="FFFFFF"/>
        <w:tabs>
          <w:tab w:val="left" w:pos="709"/>
        </w:tabs>
        <w:spacing w:before="0" w:beforeAutospacing="0" w:after="0" w:afterAutospacing="0" w:line="360" w:lineRule="auto"/>
        <w:ind w:left="0" w:firstLine="0"/>
        <w:jc w:val="both"/>
        <w:rPr>
          <w:rFonts w:ascii="Arial" w:hAnsi="Arial" w:cs="Arial"/>
          <w:color w:val="242121"/>
        </w:rPr>
      </w:pPr>
      <w:r>
        <w:rPr>
          <w:rFonts w:ascii="Arial" w:hAnsi="Arial" w:cs="Arial"/>
          <w:color w:val="242121"/>
        </w:rPr>
        <w:t>Any argument advanced on whether the applicant himself knew of the special rules is of no moment. An appeal from the third respondent lies only in respect of matters of law and not on issues of fact</w:t>
      </w:r>
      <w:r w:rsidR="007138D2">
        <w:rPr>
          <w:rFonts w:ascii="Arial" w:hAnsi="Arial" w:cs="Arial"/>
          <w:color w:val="242121"/>
        </w:rPr>
        <w:t>. Whether the applicant knew of the existence of the special rules is a question of fact</w:t>
      </w:r>
      <w:r>
        <w:rPr>
          <w:rFonts w:ascii="Arial" w:hAnsi="Arial" w:cs="Arial"/>
          <w:color w:val="242121"/>
        </w:rPr>
        <w:t>;</w:t>
      </w:r>
    </w:p>
    <w:p w14:paraId="4FE4174F" w14:textId="77777777" w:rsidR="00AD70B7" w:rsidRDefault="00AD70B7" w:rsidP="0019107E">
      <w:pPr>
        <w:pStyle w:val="NormalWeb"/>
        <w:shd w:val="clear" w:color="auto" w:fill="FFFFFF"/>
        <w:tabs>
          <w:tab w:val="left" w:pos="709"/>
        </w:tabs>
        <w:spacing w:before="0" w:beforeAutospacing="0" w:after="0" w:afterAutospacing="0" w:line="360" w:lineRule="auto"/>
        <w:jc w:val="both"/>
        <w:rPr>
          <w:rFonts w:ascii="Arial" w:hAnsi="Arial" w:cs="Arial"/>
          <w:color w:val="242121"/>
        </w:rPr>
      </w:pPr>
    </w:p>
    <w:p w14:paraId="7DA151FB" w14:textId="50345F6F" w:rsidR="003F4C8F" w:rsidRPr="00AD70B7" w:rsidRDefault="003F4C8F" w:rsidP="0019107E">
      <w:pPr>
        <w:pStyle w:val="NormalWeb"/>
        <w:numPr>
          <w:ilvl w:val="0"/>
          <w:numId w:val="7"/>
        </w:numPr>
        <w:shd w:val="clear" w:color="auto" w:fill="FFFFFF"/>
        <w:tabs>
          <w:tab w:val="left" w:pos="709"/>
        </w:tabs>
        <w:spacing w:before="0" w:beforeAutospacing="0" w:after="0" w:afterAutospacing="0" w:line="360" w:lineRule="auto"/>
        <w:ind w:left="0" w:firstLine="0"/>
        <w:jc w:val="both"/>
        <w:rPr>
          <w:rFonts w:ascii="Arial" w:hAnsi="Arial" w:cs="Arial"/>
          <w:color w:val="242121"/>
        </w:rPr>
      </w:pPr>
      <w:r w:rsidRPr="00AD70B7">
        <w:rPr>
          <w:rFonts w:ascii="Arial" w:hAnsi="Arial" w:cs="Arial"/>
          <w:color w:val="242121"/>
        </w:rPr>
        <w:t xml:space="preserve">I have fully addressed the issue of </w:t>
      </w:r>
      <w:r w:rsidR="002E4410" w:rsidRPr="00AD70B7">
        <w:rPr>
          <w:rFonts w:ascii="Arial" w:hAnsi="Arial" w:cs="Arial"/>
          <w:color w:val="242121"/>
        </w:rPr>
        <w:t xml:space="preserve">the </w:t>
      </w:r>
      <w:r w:rsidRPr="00AD70B7">
        <w:rPr>
          <w:rFonts w:ascii="Arial" w:hAnsi="Arial" w:cs="Arial"/>
          <w:color w:val="242121"/>
        </w:rPr>
        <w:t>reasonableness of the special rules in</w:t>
      </w:r>
      <w:r w:rsidR="00977250" w:rsidRPr="00AD70B7">
        <w:rPr>
          <w:rFonts w:ascii="Arial" w:hAnsi="Arial" w:cs="Arial"/>
          <w:color w:val="242121"/>
        </w:rPr>
        <w:t xml:space="preserve"> a mixed use scheme such as the second respondent in</w:t>
      </w:r>
      <w:r w:rsidRPr="00AD70B7">
        <w:rPr>
          <w:rFonts w:ascii="Arial" w:hAnsi="Arial" w:cs="Arial"/>
          <w:color w:val="242121"/>
        </w:rPr>
        <w:t xml:space="preserve"> my judgment and </w:t>
      </w:r>
      <w:r w:rsidR="002E4410" w:rsidRPr="00AD70B7">
        <w:rPr>
          <w:rFonts w:ascii="Arial" w:hAnsi="Arial" w:cs="Arial"/>
          <w:color w:val="242121"/>
        </w:rPr>
        <w:t xml:space="preserve">I </w:t>
      </w:r>
      <w:r w:rsidRPr="00AD70B7">
        <w:rPr>
          <w:rFonts w:ascii="Arial" w:hAnsi="Arial" w:cs="Arial"/>
          <w:color w:val="242121"/>
        </w:rPr>
        <w:t xml:space="preserve">do not intend </w:t>
      </w:r>
      <w:r w:rsidR="002E4410" w:rsidRPr="00AD70B7">
        <w:rPr>
          <w:rFonts w:ascii="Arial" w:hAnsi="Arial" w:cs="Arial"/>
          <w:color w:val="242121"/>
        </w:rPr>
        <w:t>restating</w:t>
      </w:r>
      <w:r w:rsidRPr="00AD70B7">
        <w:rPr>
          <w:rFonts w:ascii="Arial" w:hAnsi="Arial" w:cs="Arial"/>
          <w:color w:val="242121"/>
        </w:rPr>
        <w:t xml:space="preserve"> those reasons</w:t>
      </w:r>
      <w:r w:rsidR="00AD70B7">
        <w:rPr>
          <w:rFonts w:ascii="Arial" w:hAnsi="Arial" w:cs="Arial"/>
          <w:color w:val="242121"/>
        </w:rPr>
        <w:t xml:space="preserve">. </w:t>
      </w:r>
      <w:r w:rsidRPr="00AD70B7">
        <w:rPr>
          <w:rFonts w:ascii="Arial" w:hAnsi="Arial" w:cs="Arial"/>
          <w:color w:val="242121"/>
        </w:rPr>
        <w:t xml:space="preserve">Given the benefits that commercial sections bring to a mixed use body corporate, </w:t>
      </w:r>
      <w:r w:rsidR="00AD70B7">
        <w:rPr>
          <w:rFonts w:ascii="Arial" w:hAnsi="Arial" w:cs="Arial"/>
          <w:color w:val="242121"/>
        </w:rPr>
        <w:t xml:space="preserve">I </w:t>
      </w:r>
      <w:r w:rsidRPr="00AD70B7">
        <w:rPr>
          <w:rFonts w:ascii="Arial" w:hAnsi="Arial" w:cs="Arial"/>
          <w:color w:val="242121"/>
        </w:rPr>
        <w:t>am unable to agree with the applicant that the special rules are unconstitutional or contrary</w:t>
      </w:r>
      <w:r w:rsidR="002E4410" w:rsidRPr="00AD70B7">
        <w:rPr>
          <w:rFonts w:ascii="Arial" w:hAnsi="Arial" w:cs="Arial"/>
          <w:color w:val="242121"/>
        </w:rPr>
        <w:t xml:space="preserve"> to public policy or discriminatory in their nature.</w:t>
      </w:r>
      <w:r w:rsidRPr="00AD70B7">
        <w:rPr>
          <w:rFonts w:ascii="Arial" w:hAnsi="Arial" w:cs="Arial"/>
          <w:color w:val="242121"/>
        </w:rPr>
        <w:t xml:space="preserve"> </w:t>
      </w:r>
    </w:p>
    <w:p w14:paraId="4481E506" w14:textId="77777777" w:rsidR="008806F1" w:rsidRDefault="008806F1" w:rsidP="0019107E">
      <w:pPr>
        <w:pStyle w:val="ListParagraph"/>
        <w:spacing w:after="0" w:line="360" w:lineRule="auto"/>
        <w:rPr>
          <w:rFonts w:ascii="Arial" w:hAnsi="Arial" w:cs="Arial"/>
          <w:color w:val="242121"/>
        </w:rPr>
      </w:pPr>
    </w:p>
    <w:p w14:paraId="2DE70E00" w14:textId="4A2F1F28" w:rsidR="002E4410" w:rsidRDefault="004954ED" w:rsidP="0019107E">
      <w:pPr>
        <w:pStyle w:val="NormalWeb"/>
        <w:numPr>
          <w:ilvl w:val="0"/>
          <w:numId w:val="7"/>
        </w:numPr>
        <w:shd w:val="clear" w:color="auto" w:fill="FFFFFF"/>
        <w:tabs>
          <w:tab w:val="left" w:pos="709"/>
        </w:tabs>
        <w:spacing w:before="0" w:beforeAutospacing="0" w:after="0" w:afterAutospacing="0" w:line="360" w:lineRule="auto"/>
        <w:ind w:left="0" w:firstLine="0"/>
        <w:jc w:val="both"/>
        <w:rPr>
          <w:rFonts w:ascii="Arial" w:hAnsi="Arial" w:cs="Arial"/>
          <w:color w:val="242121"/>
        </w:rPr>
      </w:pPr>
      <w:r>
        <w:rPr>
          <w:rFonts w:ascii="Arial" w:hAnsi="Arial" w:cs="Arial"/>
          <w:color w:val="242121"/>
        </w:rPr>
        <w:t xml:space="preserve">Mr Omar has </w:t>
      </w:r>
      <w:r w:rsidR="00977250">
        <w:rPr>
          <w:rFonts w:ascii="Arial" w:hAnsi="Arial" w:cs="Arial"/>
          <w:color w:val="242121"/>
        </w:rPr>
        <w:t xml:space="preserve">further </w:t>
      </w:r>
      <w:r>
        <w:rPr>
          <w:rFonts w:ascii="Arial" w:hAnsi="Arial" w:cs="Arial"/>
          <w:color w:val="242121"/>
        </w:rPr>
        <w:t xml:space="preserve">submitted </w:t>
      </w:r>
      <w:r w:rsidR="0019107E">
        <w:rPr>
          <w:rFonts w:ascii="Arial" w:hAnsi="Arial" w:cs="Arial"/>
          <w:color w:val="242121"/>
        </w:rPr>
        <w:t xml:space="preserve">in his notice of appeal </w:t>
      </w:r>
      <w:r>
        <w:rPr>
          <w:rFonts w:ascii="Arial" w:hAnsi="Arial" w:cs="Arial"/>
          <w:color w:val="242121"/>
        </w:rPr>
        <w:t>that there are c</w:t>
      </w:r>
      <w:r w:rsidR="00B5049E">
        <w:rPr>
          <w:rFonts w:ascii="Arial" w:hAnsi="Arial" w:cs="Arial"/>
          <w:color w:val="242121"/>
        </w:rPr>
        <w:t>ompelling reason</w:t>
      </w:r>
      <w:r w:rsidR="00436E09">
        <w:rPr>
          <w:rFonts w:ascii="Arial" w:hAnsi="Arial" w:cs="Arial"/>
          <w:color w:val="242121"/>
        </w:rPr>
        <w:t>s</w:t>
      </w:r>
      <w:r w:rsidR="00B5049E">
        <w:rPr>
          <w:rFonts w:ascii="Arial" w:hAnsi="Arial" w:cs="Arial"/>
          <w:color w:val="242121"/>
        </w:rPr>
        <w:t xml:space="preserve"> why an appeal </w:t>
      </w:r>
      <w:r w:rsidR="00B5049E" w:rsidRPr="0019107E">
        <w:rPr>
          <w:rFonts w:ascii="Arial" w:hAnsi="Arial" w:cs="Arial"/>
          <w:color w:val="242121"/>
        </w:rPr>
        <w:t>should be allowed in the matter</w:t>
      </w:r>
      <w:r w:rsidRPr="0019107E">
        <w:rPr>
          <w:rFonts w:ascii="Arial" w:hAnsi="Arial" w:cs="Arial"/>
          <w:color w:val="242121"/>
        </w:rPr>
        <w:t xml:space="preserve">. </w:t>
      </w:r>
      <w:r w:rsidR="00EF6A1A" w:rsidRPr="0019107E">
        <w:rPr>
          <w:rFonts w:ascii="Arial" w:hAnsi="Arial" w:cs="Arial"/>
          <w:color w:val="242121"/>
        </w:rPr>
        <w:t xml:space="preserve">The ordinary dictionary meaning of ‘compelling’ </w:t>
      </w:r>
      <w:r w:rsidR="00EF6A1A" w:rsidRPr="0019107E">
        <w:rPr>
          <w:rFonts w:ascii="Arial" w:hAnsi="Arial" w:cs="Arial"/>
          <w:color w:val="333333"/>
          <w:shd w:val="clear" w:color="auto" w:fill="FFFFFF"/>
        </w:rPr>
        <w:t xml:space="preserve">is attractive, or irresistible, or very convincing. </w:t>
      </w:r>
      <w:r w:rsidR="00EF6A1A" w:rsidRPr="0019107E">
        <w:rPr>
          <w:rFonts w:ascii="Arial" w:hAnsi="Arial" w:cs="Arial"/>
          <w:color w:val="242121"/>
        </w:rPr>
        <w:t>Compelling</w:t>
      </w:r>
      <w:r w:rsidRPr="0019107E">
        <w:rPr>
          <w:rFonts w:ascii="Arial" w:hAnsi="Arial" w:cs="Arial"/>
          <w:color w:val="242121"/>
        </w:rPr>
        <w:t xml:space="preserve"> reasons are allegedly to be found in </w:t>
      </w:r>
      <w:r w:rsidR="00EF6A1A" w:rsidRPr="0019107E">
        <w:rPr>
          <w:rFonts w:ascii="Arial" w:hAnsi="Arial" w:cs="Arial"/>
          <w:color w:val="242121"/>
        </w:rPr>
        <w:t xml:space="preserve">this matter in </w:t>
      </w:r>
      <w:r w:rsidRPr="0019107E">
        <w:rPr>
          <w:rFonts w:ascii="Arial" w:hAnsi="Arial" w:cs="Arial"/>
          <w:color w:val="242121"/>
        </w:rPr>
        <w:t xml:space="preserve">the fact that </w:t>
      </w:r>
      <w:r w:rsidR="00515420" w:rsidRPr="0019107E">
        <w:rPr>
          <w:rFonts w:ascii="Arial" w:hAnsi="Arial" w:cs="Arial"/>
          <w:color w:val="242121"/>
        </w:rPr>
        <w:t xml:space="preserve">there is an absence of judicial authority </w:t>
      </w:r>
      <w:r w:rsidR="002E4410" w:rsidRPr="0019107E">
        <w:rPr>
          <w:rFonts w:ascii="Arial" w:hAnsi="Arial" w:cs="Arial"/>
          <w:color w:val="242121"/>
        </w:rPr>
        <w:t xml:space="preserve">on the validity of special rules in the context of mixed use schemes. </w:t>
      </w:r>
      <w:r w:rsidR="00C90A7A" w:rsidRPr="0019107E">
        <w:rPr>
          <w:rFonts w:ascii="Arial" w:hAnsi="Arial" w:cs="Arial"/>
          <w:color w:val="242121"/>
        </w:rPr>
        <w:lastRenderedPageBreak/>
        <w:t>An absence of judicial authority is not</w:t>
      </w:r>
      <w:r w:rsidR="00EF6A1A" w:rsidRPr="0019107E">
        <w:rPr>
          <w:rFonts w:ascii="Arial" w:hAnsi="Arial" w:cs="Arial"/>
          <w:color w:val="242121"/>
        </w:rPr>
        <w:t xml:space="preserve"> on its own,</w:t>
      </w:r>
      <w:r w:rsidR="00C90A7A" w:rsidRPr="0019107E">
        <w:rPr>
          <w:rFonts w:ascii="Arial" w:hAnsi="Arial" w:cs="Arial"/>
          <w:color w:val="242121"/>
        </w:rPr>
        <w:t xml:space="preserve"> in my view</w:t>
      </w:r>
      <w:r w:rsidR="00EF6A1A" w:rsidRPr="0019107E">
        <w:rPr>
          <w:rFonts w:ascii="Arial" w:hAnsi="Arial" w:cs="Arial"/>
          <w:color w:val="242121"/>
        </w:rPr>
        <w:t>,</w:t>
      </w:r>
      <w:r w:rsidR="00C90A7A" w:rsidRPr="0019107E">
        <w:rPr>
          <w:rFonts w:ascii="Arial" w:hAnsi="Arial" w:cs="Arial"/>
          <w:color w:val="242121"/>
        </w:rPr>
        <w:t xml:space="preserve"> a compelling reason to permit an appeal. </w:t>
      </w:r>
      <w:r w:rsidR="002E4410" w:rsidRPr="0019107E">
        <w:rPr>
          <w:rFonts w:ascii="Arial" w:hAnsi="Arial" w:cs="Arial"/>
          <w:color w:val="242121"/>
        </w:rPr>
        <w:t>I am</w:t>
      </w:r>
      <w:r w:rsidR="00C90A7A" w:rsidRPr="0019107E">
        <w:rPr>
          <w:rFonts w:ascii="Arial" w:hAnsi="Arial" w:cs="Arial"/>
          <w:color w:val="242121"/>
        </w:rPr>
        <w:t>, furthermore,</w:t>
      </w:r>
      <w:r w:rsidR="002E4410" w:rsidRPr="0019107E">
        <w:rPr>
          <w:rFonts w:ascii="Arial" w:hAnsi="Arial" w:cs="Arial"/>
          <w:color w:val="242121"/>
        </w:rPr>
        <w:t xml:space="preserve"> unaware of whether other mixed use schemes have special rules and, if they do, what the content of those special rules are. The special rules that I was asked to consider relate only to the second respondent. I cannot therefore agree that there are compelling reasons to allow this appeal.</w:t>
      </w:r>
    </w:p>
    <w:p w14:paraId="235A8202" w14:textId="77777777" w:rsidR="0019107E" w:rsidRPr="0019107E" w:rsidRDefault="0019107E" w:rsidP="0019107E">
      <w:pPr>
        <w:pStyle w:val="ListParagraph"/>
        <w:spacing w:after="0" w:line="360" w:lineRule="auto"/>
        <w:rPr>
          <w:rFonts w:ascii="Arial" w:hAnsi="Arial" w:cs="Arial"/>
          <w:color w:val="242121"/>
          <w:sz w:val="24"/>
          <w:szCs w:val="24"/>
        </w:rPr>
      </w:pPr>
    </w:p>
    <w:p w14:paraId="0CCB18D3" w14:textId="49573E03" w:rsidR="0019107E" w:rsidRDefault="0019107E" w:rsidP="00836201">
      <w:pPr>
        <w:pStyle w:val="NormalWeb"/>
        <w:numPr>
          <w:ilvl w:val="0"/>
          <w:numId w:val="7"/>
        </w:numPr>
        <w:shd w:val="clear" w:color="auto" w:fill="FFFFFF"/>
        <w:tabs>
          <w:tab w:val="left" w:pos="709"/>
        </w:tabs>
        <w:spacing w:before="0" w:beforeAutospacing="0" w:after="0" w:afterAutospacing="0" w:line="360" w:lineRule="auto"/>
        <w:ind w:left="0" w:firstLine="0"/>
        <w:jc w:val="both"/>
        <w:rPr>
          <w:rFonts w:ascii="Arial" w:hAnsi="Arial" w:cs="Arial"/>
          <w:color w:val="242121"/>
        </w:rPr>
      </w:pPr>
      <w:r>
        <w:rPr>
          <w:rFonts w:ascii="Arial" w:hAnsi="Arial" w:cs="Arial"/>
          <w:color w:val="242121"/>
        </w:rPr>
        <w:t xml:space="preserve">Having heard argument </w:t>
      </w:r>
      <w:r w:rsidR="00695C77">
        <w:rPr>
          <w:rFonts w:ascii="Arial" w:hAnsi="Arial" w:cs="Arial"/>
          <w:color w:val="242121"/>
        </w:rPr>
        <w:t xml:space="preserve">on the issue of leave to appeal </w:t>
      </w:r>
      <w:r>
        <w:rPr>
          <w:rFonts w:ascii="Arial" w:hAnsi="Arial" w:cs="Arial"/>
          <w:color w:val="242121"/>
        </w:rPr>
        <w:t xml:space="preserve">prior to the ordinary court day commencing this morning, I stood the matter down to consider, and prepare, </w:t>
      </w:r>
      <w:r w:rsidR="00695C77">
        <w:rPr>
          <w:rFonts w:ascii="Arial" w:hAnsi="Arial" w:cs="Arial"/>
          <w:color w:val="242121"/>
        </w:rPr>
        <w:t xml:space="preserve">this </w:t>
      </w:r>
      <w:r>
        <w:rPr>
          <w:rFonts w:ascii="Arial" w:hAnsi="Arial" w:cs="Arial"/>
          <w:color w:val="242121"/>
        </w:rPr>
        <w:t xml:space="preserve">judgment. </w:t>
      </w:r>
    </w:p>
    <w:p w14:paraId="14E83E6B" w14:textId="77777777" w:rsidR="0019107E" w:rsidRDefault="0019107E" w:rsidP="00836201">
      <w:pPr>
        <w:pStyle w:val="ListParagraph"/>
        <w:spacing w:after="0" w:line="360" w:lineRule="auto"/>
        <w:rPr>
          <w:rFonts w:ascii="Arial" w:hAnsi="Arial" w:cs="Arial"/>
          <w:color w:val="242121"/>
        </w:rPr>
      </w:pPr>
    </w:p>
    <w:p w14:paraId="0C6517B8" w14:textId="31763775" w:rsidR="00B5049E" w:rsidRPr="0019107E" w:rsidRDefault="00C90A7A" w:rsidP="00836201">
      <w:pPr>
        <w:pStyle w:val="NormalWeb"/>
        <w:numPr>
          <w:ilvl w:val="0"/>
          <w:numId w:val="7"/>
        </w:numPr>
        <w:shd w:val="clear" w:color="auto" w:fill="FFFFFF"/>
        <w:tabs>
          <w:tab w:val="left" w:pos="709"/>
        </w:tabs>
        <w:spacing w:before="0" w:beforeAutospacing="0" w:after="0" w:afterAutospacing="0" w:line="360" w:lineRule="auto"/>
        <w:ind w:left="0" w:firstLine="0"/>
        <w:jc w:val="both"/>
        <w:rPr>
          <w:rFonts w:ascii="Arial" w:hAnsi="Arial" w:cs="Arial"/>
          <w:color w:val="242121"/>
        </w:rPr>
      </w:pPr>
      <w:r w:rsidRPr="0019107E">
        <w:rPr>
          <w:rFonts w:ascii="Arial" w:hAnsi="Arial" w:cs="Arial"/>
          <w:color w:val="242121"/>
        </w:rPr>
        <w:t>Considering the elevated threshold test</w:t>
      </w:r>
      <w:r w:rsidR="00EF6A1A" w:rsidRPr="0019107E">
        <w:rPr>
          <w:rFonts w:ascii="Arial" w:hAnsi="Arial" w:cs="Arial"/>
          <w:color w:val="242121"/>
        </w:rPr>
        <w:t xml:space="preserve"> when seeking leave to appeal</w:t>
      </w:r>
      <w:r w:rsidR="00695C77">
        <w:rPr>
          <w:rFonts w:ascii="Arial" w:hAnsi="Arial" w:cs="Arial"/>
          <w:color w:val="242121"/>
        </w:rPr>
        <w:t xml:space="preserve"> and the facts in this matter</w:t>
      </w:r>
      <w:r w:rsidRPr="0019107E">
        <w:rPr>
          <w:rFonts w:ascii="Arial" w:hAnsi="Arial" w:cs="Arial"/>
          <w:color w:val="242121"/>
        </w:rPr>
        <w:t xml:space="preserve">, </w:t>
      </w:r>
      <w:r w:rsidR="00B5049E" w:rsidRPr="0019107E">
        <w:rPr>
          <w:rFonts w:ascii="Arial" w:hAnsi="Arial" w:cs="Arial"/>
          <w:color w:val="242121"/>
        </w:rPr>
        <w:t xml:space="preserve">I am </w:t>
      </w:r>
      <w:r w:rsidR="008806F1" w:rsidRPr="0019107E">
        <w:rPr>
          <w:rFonts w:ascii="Arial" w:hAnsi="Arial" w:cs="Arial"/>
          <w:color w:val="242121"/>
        </w:rPr>
        <w:t xml:space="preserve">not persuaded that </w:t>
      </w:r>
      <w:r w:rsidR="0021667C" w:rsidRPr="0019107E">
        <w:rPr>
          <w:rFonts w:ascii="Arial" w:hAnsi="Arial" w:cs="Arial"/>
          <w:color w:val="242121"/>
        </w:rPr>
        <w:t xml:space="preserve">there is a reasonable possibility that another court would come to a different decision than the one to which I came. </w:t>
      </w:r>
    </w:p>
    <w:p w14:paraId="7F8BFD3B" w14:textId="698D54B2" w:rsidR="004C1A78" w:rsidRDefault="004C1A78" w:rsidP="00836201">
      <w:pPr>
        <w:pStyle w:val="NormalWeb"/>
        <w:shd w:val="clear" w:color="auto" w:fill="FFFFFF"/>
        <w:tabs>
          <w:tab w:val="left" w:pos="709"/>
        </w:tabs>
        <w:spacing w:before="0" w:beforeAutospacing="0" w:after="0" w:afterAutospacing="0" w:line="360" w:lineRule="auto"/>
        <w:jc w:val="both"/>
        <w:rPr>
          <w:rFonts w:ascii="Arial" w:hAnsi="Arial" w:cs="Arial"/>
          <w:color w:val="242121"/>
        </w:rPr>
      </w:pPr>
    </w:p>
    <w:p w14:paraId="08A3C9A3" w14:textId="0E7DD017" w:rsidR="00B5049E" w:rsidRPr="00E031AA" w:rsidRDefault="00B5049E" w:rsidP="00836201">
      <w:pPr>
        <w:pStyle w:val="NormalWeb"/>
        <w:numPr>
          <w:ilvl w:val="0"/>
          <w:numId w:val="7"/>
        </w:numPr>
        <w:shd w:val="clear" w:color="auto" w:fill="FFFFFF"/>
        <w:tabs>
          <w:tab w:val="left" w:pos="709"/>
        </w:tabs>
        <w:spacing w:before="0" w:beforeAutospacing="0" w:after="0" w:afterAutospacing="0" w:line="360" w:lineRule="auto"/>
        <w:ind w:left="0" w:firstLine="0"/>
        <w:jc w:val="both"/>
        <w:rPr>
          <w:rFonts w:ascii="Arial" w:hAnsi="Arial" w:cs="Arial"/>
          <w:color w:val="242121"/>
        </w:rPr>
      </w:pPr>
      <w:r>
        <w:rPr>
          <w:rFonts w:ascii="Arial" w:hAnsi="Arial" w:cs="Arial"/>
          <w:color w:val="242121"/>
        </w:rPr>
        <w:t>In the circumstances, the application for leave to appeal is dismissed with costs.</w:t>
      </w:r>
    </w:p>
    <w:p w14:paraId="7F18C227" w14:textId="7AFF3EFB" w:rsidR="00B5049E" w:rsidRDefault="00B5049E" w:rsidP="00836201">
      <w:pPr>
        <w:pStyle w:val="ListParagraph"/>
        <w:tabs>
          <w:tab w:val="left" w:pos="709"/>
        </w:tabs>
        <w:spacing w:after="0" w:line="360" w:lineRule="auto"/>
        <w:ind w:left="0"/>
        <w:jc w:val="both"/>
        <w:rPr>
          <w:rFonts w:ascii="Arial" w:hAnsi="Arial" w:cs="Arial"/>
          <w:sz w:val="24"/>
          <w:szCs w:val="24"/>
        </w:rPr>
      </w:pPr>
    </w:p>
    <w:p w14:paraId="02ABE438" w14:textId="3394DAC3" w:rsidR="002E4410" w:rsidRDefault="002E4410" w:rsidP="00836201">
      <w:pPr>
        <w:pStyle w:val="ListParagraph"/>
        <w:tabs>
          <w:tab w:val="left" w:pos="709"/>
        </w:tabs>
        <w:spacing w:after="0" w:line="360" w:lineRule="auto"/>
        <w:ind w:left="0"/>
        <w:jc w:val="both"/>
        <w:rPr>
          <w:rFonts w:ascii="Arial" w:hAnsi="Arial" w:cs="Arial"/>
          <w:sz w:val="24"/>
          <w:szCs w:val="24"/>
        </w:rPr>
      </w:pPr>
    </w:p>
    <w:p w14:paraId="70993EE8" w14:textId="77777777" w:rsidR="002E4410" w:rsidRDefault="002E4410" w:rsidP="00F4018F">
      <w:pPr>
        <w:pStyle w:val="ListParagraph"/>
        <w:tabs>
          <w:tab w:val="left" w:pos="709"/>
        </w:tabs>
        <w:spacing w:after="0" w:line="360" w:lineRule="auto"/>
        <w:ind w:left="0"/>
        <w:jc w:val="both"/>
        <w:rPr>
          <w:rFonts w:ascii="Arial" w:hAnsi="Arial" w:cs="Arial"/>
          <w:sz w:val="24"/>
          <w:szCs w:val="24"/>
        </w:rPr>
      </w:pPr>
    </w:p>
    <w:p w14:paraId="547E236E" w14:textId="273BAD1F" w:rsidR="00B5049E" w:rsidRDefault="00B5049E" w:rsidP="00F4018F">
      <w:pPr>
        <w:pStyle w:val="ListParagraph"/>
        <w:tabs>
          <w:tab w:val="left" w:pos="709"/>
        </w:tabs>
        <w:spacing w:after="0" w:line="360" w:lineRule="auto"/>
        <w:ind w:left="0"/>
        <w:jc w:val="both"/>
        <w:rPr>
          <w:rFonts w:ascii="Arial" w:hAnsi="Arial" w:cs="Arial"/>
          <w:sz w:val="24"/>
          <w:szCs w:val="24"/>
        </w:rPr>
      </w:pPr>
    </w:p>
    <w:p w14:paraId="1D2F8DE5" w14:textId="39736739" w:rsidR="00B5049E" w:rsidRDefault="00B5049E" w:rsidP="009B6672">
      <w:pPr>
        <w:pStyle w:val="ListParagraph"/>
        <w:tabs>
          <w:tab w:val="left" w:pos="709"/>
        </w:tabs>
        <w:spacing w:after="0" w:line="360" w:lineRule="auto"/>
        <w:ind w:left="0"/>
        <w:jc w:val="both"/>
        <w:rPr>
          <w:rFonts w:ascii="Arial" w:hAnsi="Arial" w:cs="Arial"/>
          <w:sz w:val="24"/>
          <w:szCs w:val="24"/>
        </w:rPr>
      </w:pPr>
    </w:p>
    <w:p w14:paraId="1CBA369E" w14:textId="1B4BBFF7" w:rsidR="00C62FBE" w:rsidRPr="00E031AA" w:rsidRDefault="00656774" w:rsidP="009B6672">
      <w:pPr>
        <w:pStyle w:val="ListParagraph"/>
        <w:tabs>
          <w:tab w:val="left" w:pos="709"/>
        </w:tabs>
        <w:spacing w:after="0" w:line="360" w:lineRule="auto"/>
        <w:ind w:left="0"/>
        <w:jc w:val="both"/>
        <w:rPr>
          <w:rFonts w:ascii="Arial" w:hAnsi="Arial" w:cs="Arial"/>
          <w:sz w:val="24"/>
          <w:szCs w:val="24"/>
        </w:rPr>
      </w:pPr>
      <w:r>
        <w:rPr>
          <w:rFonts w:ascii="Arial" w:hAnsi="Arial" w:cs="Arial"/>
          <w:noProof/>
          <w:lang w:val="en-US"/>
        </w:rPr>
        <w:drawing>
          <wp:anchor distT="0" distB="0" distL="114300" distR="114300" simplePos="0" relativeHeight="251659264" behindDoc="1" locked="0" layoutInCell="1" allowOverlap="1" wp14:anchorId="75D9D240" wp14:editId="3177E7E3">
            <wp:simplePos x="0" y="0"/>
            <wp:positionH relativeFrom="margin">
              <wp:align>right</wp:align>
            </wp:positionH>
            <wp:positionV relativeFrom="paragraph">
              <wp:posOffset>5715</wp:posOffset>
            </wp:positionV>
            <wp:extent cx="2026285" cy="4991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0">
                      <a:extLst>
                        <a:ext uri="{28A0092B-C50C-407E-A947-70E740481C1C}">
                          <a14:useLocalDpi xmlns:a14="http://schemas.microsoft.com/office/drawing/2010/main" val="0"/>
                        </a:ext>
                      </a:extLst>
                    </a:blip>
                    <a:srcRect l="22421" t="71602" r="42186" b="21655"/>
                    <a:stretch/>
                  </pic:blipFill>
                  <pic:spPr bwMode="auto">
                    <a:xfrm>
                      <a:off x="0" y="0"/>
                      <a:ext cx="2026285" cy="499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CE108F" w14:textId="77777777" w:rsidR="00C62FBE" w:rsidRPr="00E031AA" w:rsidRDefault="00C62FBE" w:rsidP="00C62FBE">
      <w:pPr>
        <w:pStyle w:val="ListParagraph"/>
        <w:tabs>
          <w:tab w:val="left" w:pos="709"/>
        </w:tabs>
        <w:spacing w:after="0" w:line="360" w:lineRule="auto"/>
        <w:ind w:left="0"/>
        <w:jc w:val="right"/>
        <w:rPr>
          <w:rFonts w:ascii="Arial" w:hAnsi="Arial" w:cs="Arial"/>
          <w:sz w:val="24"/>
          <w:szCs w:val="24"/>
        </w:rPr>
      </w:pPr>
      <w:r w:rsidRPr="00E031AA">
        <w:rPr>
          <w:rFonts w:ascii="Arial" w:hAnsi="Arial" w:cs="Arial"/>
          <w:sz w:val="24"/>
          <w:szCs w:val="24"/>
        </w:rPr>
        <w:t>__________________________</w:t>
      </w:r>
    </w:p>
    <w:p w14:paraId="325E0A87" w14:textId="77777777" w:rsidR="00C62FBE" w:rsidRPr="00E031AA" w:rsidRDefault="00C62FBE" w:rsidP="00C62FBE">
      <w:pPr>
        <w:pStyle w:val="ListParagraph"/>
        <w:tabs>
          <w:tab w:val="left" w:pos="709"/>
        </w:tabs>
        <w:spacing w:after="0" w:line="360" w:lineRule="auto"/>
        <w:ind w:left="0"/>
        <w:jc w:val="right"/>
        <w:rPr>
          <w:rFonts w:ascii="Arial" w:hAnsi="Arial" w:cs="Arial"/>
          <w:b/>
          <w:sz w:val="24"/>
          <w:szCs w:val="24"/>
        </w:rPr>
      </w:pPr>
    </w:p>
    <w:p w14:paraId="5CC6A8F2" w14:textId="77777777" w:rsidR="00C62FBE" w:rsidRPr="00E031AA" w:rsidRDefault="00C62FBE" w:rsidP="00C62FBE">
      <w:pPr>
        <w:pStyle w:val="ListParagraph"/>
        <w:tabs>
          <w:tab w:val="left" w:pos="709"/>
        </w:tabs>
        <w:spacing w:after="0" w:line="360" w:lineRule="auto"/>
        <w:ind w:left="0"/>
        <w:jc w:val="right"/>
        <w:rPr>
          <w:rFonts w:ascii="Arial" w:hAnsi="Arial" w:cs="Arial"/>
          <w:b/>
          <w:sz w:val="24"/>
          <w:szCs w:val="24"/>
        </w:rPr>
      </w:pPr>
      <w:r w:rsidRPr="00E031AA">
        <w:rPr>
          <w:rFonts w:ascii="Arial" w:hAnsi="Arial" w:cs="Arial"/>
          <w:b/>
          <w:sz w:val="24"/>
          <w:szCs w:val="24"/>
        </w:rPr>
        <w:t>MOSSOP J</w:t>
      </w:r>
    </w:p>
    <w:p w14:paraId="485EBCDF" w14:textId="77777777" w:rsidR="00B5049E" w:rsidRDefault="00B5049E" w:rsidP="00C62FBE">
      <w:pPr>
        <w:spacing w:line="360" w:lineRule="auto"/>
        <w:jc w:val="center"/>
        <w:rPr>
          <w:rFonts w:ascii="Arial" w:eastAsia="Calibri" w:hAnsi="Arial" w:cs="Arial"/>
          <w:b/>
          <w:u w:val="single"/>
        </w:rPr>
      </w:pPr>
    </w:p>
    <w:p w14:paraId="4B0E9489" w14:textId="6D402B13" w:rsidR="00B5049E" w:rsidRDefault="00B5049E" w:rsidP="00C62FBE">
      <w:pPr>
        <w:spacing w:line="360" w:lineRule="auto"/>
        <w:jc w:val="center"/>
        <w:rPr>
          <w:rFonts w:ascii="Arial" w:eastAsia="Calibri" w:hAnsi="Arial" w:cs="Arial"/>
          <w:b/>
          <w:u w:val="single"/>
        </w:rPr>
      </w:pPr>
    </w:p>
    <w:p w14:paraId="51C16020" w14:textId="2705BA82" w:rsidR="00F4018F" w:rsidRDefault="00F4018F" w:rsidP="00C62FBE">
      <w:pPr>
        <w:spacing w:line="360" w:lineRule="auto"/>
        <w:jc w:val="center"/>
        <w:rPr>
          <w:rFonts w:ascii="Arial" w:eastAsia="Calibri" w:hAnsi="Arial" w:cs="Arial"/>
          <w:b/>
          <w:u w:val="single"/>
        </w:rPr>
      </w:pPr>
    </w:p>
    <w:p w14:paraId="21D0E472" w14:textId="75D9E29C" w:rsidR="00D8713E" w:rsidRDefault="00D8713E" w:rsidP="00C62FBE">
      <w:pPr>
        <w:spacing w:line="360" w:lineRule="auto"/>
        <w:jc w:val="center"/>
        <w:rPr>
          <w:rFonts w:ascii="Arial" w:eastAsia="Calibri" w:hAnsi="Arial" w:cs="Arial"/>
          <w:b/>
          <w:u w:val="single"/>
        </w:rPr>
      </w:pPr>
    </w:p>
    <w:p w14:paraId="42D77002" w14:textId="53AA6E6A" w:rsidR="00D8713E" w:rsidRDefault="00D8713E" w:rsidP="00C62FBE">
      <w:pPr>
        <w:spacing w:line="360" w:lineRule="auto"/>
        <w:jc w:val="center"/>
        <w:rPr>
          <w:rFonts w:ascii="Arial" w:eastAsia="Calibri" w:hAnsi="Arial" w:cs="Arial"/>
          <w:b/>
          <w:u w:val="single"/>
        </w:rPr>
      </w:pPr>
    </w:p>
    <w:p w14:paraId="4C5AAB27" w14:textId="1B72947F" w:rsidR="004C1A78" w:rsidRDefault="004C1A78" w:rsidP="00C62FBE">
      <w:pPr>
        <w:spacing w:line="360" w:lineRule="auto"/>
        <w:jc w:val="center"/>
        <w:rPr>
          <w:rFonts w:ascii="Arial" w:eastAsia="Calibri" w:hAnsi="Arial" w:cs="Arial"/>
          <w:b/>
          <w:u w:val="single"/>
        </w:rPr>
      </w:pPr>
    </w:p>
    <w:p w14:paraId="15B78BC1" w14:textId="24667BF0" w:rsidR="004C1A78" w:rsidRDefault="004C1A78" w:rsidP="00C62FBE">
      <w:pPr>
        <w:spacing w:line="360" w:lineRule="auto"/>
        <w:jc w:val="center"/>
        <w:rPr>
          <w:rFonts w:ascii="Arial" w:eastAsia="Calibri" w:hAnsi="Arial" w:cs="Arial"/>
          <w:b/>
          <w:u w:val="single"/>
        </w:rPr>
      </w:pPr>
    </w:p>
    <w:p w14:paraId="0AAD7B62" w14:textId="3C74C461" w:rsidR="004C1A78" w:rsidRDefault="004C1A78" w:rsidP="00C62FBE">
      <w:pPr>
        <w:spacing w:line="360" w:lineRule="auto"/>
        <w:jc w:val="center"/>
        <w:rPr>
          <w:rFonts w:ascii="Arial" w:eastAsia="Calibri" w:hAnsi="Arial" w:cs="Arial"/>
          <w:b/>
          <w:u w:val="single"/>
        </w:rPr>
      </w:pPr>
    </w:p>
    <w:p w14:paraId="669E9E91" w14:textId="310E9923" w:rsidR="004C1A78" w:rsidRDefault="004C1A78" w:rsidP="00C62FBE">
      <w:pPr>
        <w:spacing w:line="360" w:lineRule="auto"/>
        <w:jc w:val="center"/>
        <w:rPr>
          <w:rFonts w:ascii="Arial" w:eastAsia="Calibri" w:hAnsi="Arial" w:cs="Arial"/>
          <w:b/>
          <w:u w:val="single"/>
        </w:rPr>
      </w:pPr>
    </w:p>
    <w:p w14:paraId="1815AF94" w14:textId="58D54420" w:rsidR="004C1A78" w:rsidRDefault="004C1A78" w:rsidP="00C62FBE">
      <w:pPr>
        <w:spacing w:line="360" w:lineRule="auto"/>
        <w:jc w:val="center"/>
        <w:rPr>
          <w:rFonts w:ascii="Arial" w:eastAsia="Calibri" w:hAnsi="Arial" w:cs="Arial"/>
          <w:b/>
          <w:u w:val="single"/>
        </w:rPr>
      </w:pPr>
    </w:p>
    <w:p w14:paraId="633FAF44" w14:textId="77777777" w:rsidR="009E7977" w:rsidRPr="00B76F09" w:rsidRDefault="009E7977" w:rsidP="009E7977">
      <w:pPr>
        <w:spacing w:line="360" w:lineRule="auto"/>
        <w:jc w:val="center"/>
        <w:rPr>
          <w:rFonts w:ascii="Arial" w:eastAsia="Calibri" w:hAnsi="Arial" w:cs="Arial"/>
          <w:b/>
          <w:u w:val="single"/>
        </w:rPr>
      </w:pPr>
      <w:r w:rsidRPr="00B76F09">
        <w:rPr>
          <w:rFonts w:ascii="Arial" w:eastAsia="Calibri" w:hAnsi="Arial" w:cs="Arial"/>
          <w:b/>
          <w:u w:val="single"/>
        </w:rPr>
        <w:lastRenderedPageBreak/>
        <w:t>APPEARANCES</w:t>
      </w:r>
    </w:p>
    <w:p w14:paraId="1D33B3CC" w14:textId="77777777" w:rsidR="009E7977" w:rsidRPr="00B76F09" w:rsidRDefault="009E7977" w:rsidP="009E7977">
      <w:pPr>
        <w:spacing w:line="360" w:lineRule="auto"/>
        <w:jc w:val="center"/>
        <w:rPr>
          <w:rFonts w:ascii="Arial" w:eastAsia="Calibri" w:hAnsi="Arial" w:cs="Arial"/>
          <w:b/>
          <w:u w:val="single"/>
        </w:rPr>
      </w:pPr>
    </w:p>
    <w:p w14:paraId="638568C2" w14:textId="77777777" w:rsidR="009E7977" w:rsidRPr="00B76F09" w:rsidRDefault="009E7977" w:rsidP="009E7977">
      <w:pPr>
        <w:spacing w:line="360" w:lineRule="auto"/>
        <w:jc w:val="center"/>
        <w:rPr>
          <w:rFonts w:ascii="Arial" w:eastAsia="Calibri" w:hAnsi="Arial" w:cs="Arial"/>
          <w:b/>
          <w:u w:val="single"/>
        </w:rPr>
      </w:pPr>
    </w:p>
    <w:p w14:paraId="1010B78A" w14:textId="28BE862D" w:rsidR="009E7977" w:rsidRPr="00B76F09" w:rsidRDefault="009E7977" w:rsidP="009E7977">
      <w:pPr>
        <w:spacing w:line="360" w:lineRule="auto"/>
        <w:ind w:right="-82"/>
        <w:jc w:val="both"/>
        <w:rPr>
          <w:rFonts w:ascii="Arial" w:hAnsi="Arial" w:cs="Arial"/>
        </w:rPr>
      </w:pPr>
      <w:r w:rsidRPr="00B76F09">
        <w:rPr>
          <w:rFonts w:ascii="Arial" w:hAnsi="Arial" w:cs="Arial"/>
        </w:rPr>
        <w:t>Counsel for the app</w:t>
      </w:r>
      <w:r w:rsidR="00E14A1B">
        <w:rPr>
          <w:rFonts w:ascii="Arial" w:hAnsi="Arial" w:cs="Arial"/>
        </w:rPr>
        <w:t>licant</w:t>
      </w:r>
      <w:r w:rsidRPr="00B76F09">
        <w:rPr>
          <w:rFonts w:ascii="Arial" w:hAnsi="Arial" w:cs="Arial"/>
        </w:rPr>
        <w:tab/>
      </w:r>
      <w:r w:rsidRPr="00B76F09">
        <w:rPr>
          <w:rFonts w:ascii="Arial" w:hAnsi="Arial" w:cs="Arial"/>
        </w:rPr>
        <w:tab/>
        <w:t xml:space="preserve">:  </w:t>
      </w:r>
      <w:r w:rsidRPr="00B76F09">
        <w:rPr>
          <w:rFonts w:ascii="Arial" w:hAnsi="Arial" w:cs="Arial"/>
        </w:rPr>
        <w:tab/>
        <w:t xml:space="preserve">Mr. M. S. Omar </w:t>
      </w:r>
    </w:p>
    <w:p w14:paraId="6C5DF389" w14:textId="77777777" w:rsidR="009E7977" w:rsidRPr="00B76F09" w:rsidRDefault="009E7977" w:rsidP="009E7977">
      <w:pPr>
        <w:spacing w:line="360" w:lineRule="auto"/>
        <w:ind w:right="-82"/>
        <w:jc w:val="both"/>
        <w:rPr>
          <w:rFonts w:ascii="Arial" w:hAnsi="Arial" w:cs="Arial"/>
        </w:rPr>
      </w:pPr>
      <w:r w:rsidRPr="00B76F09">
        <w:rPr>
          <w:rFonts w:ascii="Arial" w:hAnsi="Arial" w:cs="Arial"/>
        </w:rPr>
        <w:t>Instructed by:</w:t>
      </w:r>
      <w:r w:rsidRPr="00B76F09">
        <w:rPr>
          <w:rFonts w:ascii="Arial" w:hAnsi="Arial" w:cs="Arial"/>
        </w:rPr>
        <w:tab/>
      </w:r>
      <w:r w:rsidRPr="00B76F09">
        <w:rPr>
          <w:rFonts w:ascii="Arial" w:hAnsi="Arial" w:cs="Arial"/>
        </w:rPr>
        <w:tab/>
      </w:r>
      <w:r w:rsidRPr="00B76F09">
        <w:rPr>
          <w:rFonts w:ascii="Arial" w:hAnsi="Arial" w:cs="Arial"/>
        </w:rPr>
        <w:tab/>
        <w:t>:</w:t>
      </w:r>
      <w:r w:rsidRPr="00B76F09">
        <w:rPr>
          <w:rFonts w:ascii="Arial" w:hAnsi="Arial" w:cs="Arial"/>
        </w:rPr>
        <w:tab/>
        <w:t>M. S. Omar and Associates</w:t>
      </w:r>
    </w:p>
    <w:p w14:paraId="6B54B6C5" w14:textId="77777777" w:rsidR="009E7977" w:rsidRPr="00B76F09" w:rsidRDefault="009E7977" w:rsidP="009E7977">
      <w:pPr>
        <w:spacing w:line="360" w:lineRule="auto"/>
        <w:ind w:right="-82"/>
        <w:jc w:val="both"/>
        <w:rPr>
          <w:rFonts w:ascii="Arial" w:hAnsi="Arial" w:cs="Arial"/>
        </w:rPr>
      </w:pPr>
      <w:r w:rsidRPr="00B76F09">
        <w:rPr>
          <w:rFonts w:ascii="Arial" w:hAnsi="Arial" w:cs="Arial"/>
        </w:rPr>
        <w:tab/>
      </w:r>
      <w:r w:rsidRPr="00B76F09">
        <w:rPr>
          <w:rFonts w:ascii="Arial" w:hAnsi="Arial" w:cs="Arial"/>
        </w:rPr>
        <w:tab/>
      </w:r>
      <w:r w:rsidRPr="00B76F09">
        <w:rPr>
          <w:rFonts w:ascii="Arial" w:hAnsi="Arial" w:cs="Arial"/>
        </w:rPr>
        <w:tab/>
      </w:r>
      <w:r w:rsidRPr="00B76F09">
        <w:rPr>
          <w:rFonts w:ascii="Arial" w:hAnsi="Arial" w:cs="Arial"/>
        </w:rPr>
        <w:tab/>
      </w:r>
      <w:r w:rsidRPr="00B76F09">
        <w:rPr>
          <w:rFonts w:ascii="Arial" w:hAnsi="Arial" w:cs="Arial"/>
        </w:rPr>
        <w:tab/>
      </w:r>
      <w:r w:rsidRPr="00B76F09">
        <w:rPr>
          <w:rFonts w:ascii="Arial" w:hAnsi="Arial" w:cs="Arial"/>
        </w:rPr>
        <w:tab/>
        <w:t>28 Rhodes Avenue</w:t>
      </w:r>
    </w:p>
    <w:p w14:paraId="2BF481E7" w14:textId="77777777" w:rsidR="009E7977" w:rsidRPr="00B76F09" w:rsidRDefault="009E7977" w:rsidP="009E7977">
      <w:pPr>
        <w:spacing w:line="360" w:lineRule="auto"/>
        <w:ind w:right="-82"/>
        <w:jc w:val="both"/>
        <w:rPr>
          <w:rFonts w:ascii="Arial" w:hAnsi="Arial" w:cs="Arial"/>
        </w:rPr>
      </w:pPr>
      <w:r w:rsidRPr="00B76F09">
        <w:rPr>
          <w:rFonts w:ascii="Arial" w:hAnsi="Arial" w:cs="Arial"/>
        </w:rPr>
        <w:tab/>
      </w:r>
      <w:r w:rsidRPr="00B76F09">
        <w:rPr>
          <w:rFonts w:ascii="Arial" w:hAnsi="Arial" w:cs="Arial"/>
        </w:rPr>
        <w:tab/>
      </w:r>
      <w:r w:rsidRPr="00B76F09">
        <w:rPr>
          <w:rFonts w:ascii="Arial" w:hAnsi="Arial" w:cs="Arial"/>
        </w:rPr>
        <w:tab/>
      </w:r>
      <w:r w:rsidRPr="00B76F09">
        <w:rPr>
          <w:rFonts w:ascii="Arial" w:hAnsi="Arial" w:cs="Arial"/>
        </w:rPr>
        <w:tab/>
      </w:r>
      <w:r w:rsidRPr="00B76F09">
        <w:rPr>
          <w:rFonts w:ascii="Arial" w:hAnsi="Arial" w:cs="Arial"/>
        </w:rPr>
        <w:tab/>
      </w:r>
      <w:r w:rsidRPr="00B76F09">
        <w:rPr>
          <w:rFonts w:ascii="Arial" w:hAnsi="Arial" w:cs="Arial"/>
        </w:rPr>
        <w:tab/>
        <w:t>Westville</w:t>
      </w:r>
    </w:p>
    <w:p w14:paraId="5E2848C4" w14:textId="77777777" w:rsidR="009E7977" w:rsidRPr="00B76F09" w:rsidRDefault="009E7977" w:rsidP="009E7977">
      <w:pPr>
        <w:spacing w:line="360" w:lineRule="auto"/>
        <w:ind w:right="-82"/>
        <w:jc w:val="both"/>
        <w:rPr>
          <w:rFonts w:ascii="Arial" w:hAnsi="Arial" w:cs="Arial"/>
        </w:rPr>
      </w:pPr>
      <w:r w:rsidRPr="00B76F09">
        <w:rPr>
          <w:rFonts w:ascii="Arial" w:hAnsi="Arial" w:cs="Arial"/>
        </w:rPr>
        <w:tab/>
      </w:r>
      <w:r w:rsidRPr="00B76F09">
        <w:rPr>
          <w:rFonts w:ascii="Arial" w:hAnsi="Arial" w:cs="Arial"/>
        </w:rPr>
        <w:tab/>
      </w:r>
      <w:r w:rsidRPr="00B76F09">
        <w:rPr>
          <w:rFonts w:ascii="Arial" w:hAnsi="Arial" w:cs="Arial"/>
        </w:rPr>
        <w:tab/>
      </w:r>
      <w:r w:rsidRPr="00B76F09">
        <w:rPr>
          <w:rFonts w:ascii="Arial" w:hAnsi="Arial" w:cs="Arial"/>
        </w:rPr>
        <w:tab/>
      </w:r>
      <w:r w:rsidRPr="00B76F09">
        <w:rPr>
          <w:rFonts w:ascii="Arial" w:hAnsi="Arial" w:cs="Arial"/>
        </w:rPr>
        <w:tab/>
      </w:r>
      <w:r w:rsidRPr="00B76F09">
        <w:rPr>
          <w:rFonts w:ascii="Arial" w:hAnsi="Arial" w:cs="Arial"/>
        </w:rPr>
        <w:tab/>
      </w:r>
      <w:r w:rsidRPr="00B76F09">
        <w:rPr>
          <w:rFonts w:ascii="Arial" w:hAnsi="Arial" w:cs="Arial"/>
        </w:rPr>
        <w:tab/>
      </w:r>
      <w:r w:rsidRPr="00B76F09">
        <w:rPr>
          <w:rFonts w:ascii="Arial" w:hAnsi="Arial" w:cs="Arial"/>
        </w:rPr>
        <w:tab/>
      </w:r>
      <w:r w:rsidRPr="00B76F09">
        <w:rPr>
          <w:rFonts w:ascii="Arial" w:hAnsi="Arial" w:cs="Arial"/>
        </w:rPr>
        <w:tab/>
        <w:t xml:space="preserve"> </w:t>
      </w:r>
    </w:p>
    <w:p w14:paraId="4A7C7CD7" w14:textId="77777777" w:rsidR="009E7977" w:rsidRPr="00B76F09" w:rsidRDefault="009E7977" w:rsidP="009E7977">
      <w:pPr>
        <w:spacing w:line="360" w:lineRule="auto"/>
        <w:jc w:val="both"/>
        <w:rPr>
          <w:rFonts w:ascii="Arial" w:hAnsi="Arial" w:cs="Arial"/>
        </w:rPr>
      </w:pPr>
      <w:r w:rsidRPr="00B76F09">
        <w:rPr>
          <w:rFonts w:ascii="Arial" w:hAnsi="Arial" w:cs="Arial"/>
        </w:rPr>
        <w:t>Counsel for the first and second</w:t>
      </w:r>
      <w:r w:rsidRPr="00B76F09">
        <w:rPr>
          <w:rFonts w:ascii="Arial" w:hAnsi="Arial" w:cs="Arial"/>
        </w:rPr>
        <w:tab/>
        <w:t>:</w:t>
      </w:r>
      <w:r w:rsidRPr="00B76F09">
        <w:rPr>
          <w:rFonts w:ascii="Arial" w:hAnsi="Arial" w:cs="Arial"/>
        </w:rPr>
        <w:tab/>
        <w:t>Ms. J. Nicholson</w:t>
      </w:r>
    </w:p>
    <w:p w14:paraId="24CE24B1" w14:textId="77777777" w:rsidR="009E7977" w:rsidRPr="00B76F09" w:rsidRDefault="009E7977" w:rsidP="009E7977">
      <w:pPr>
        <w:spacing w:line="360" w:lineRule="auto"/>
        <w:jc w:val="both"/>
        <w:rPr>
          <w:rFonts w:ascii="Arial" w:hAnsi="Arial" w:cs="Arial"/>
        </w:rPr>
      </w:pPr>
      <w:r w:rsidRPr="00B76F09">
        <w:rPr>
          <w:rFonts w:ascii="Arial" w:hAnsi="Arial" w:cs="Arial"/>
        </w:rPr>
        <w:t>respondents</w:t>
      </w:r>
      <w:r w:rsidRPr="00B76F09">
        <w:rPr>
          <w:rFonts w:ascii="Arial" w:hAnsi="Arial" w:cs="Arial"/>
        </w:rPr>
        <w:tab/>
      </w:r>
      <w:r w:rsidRPr="00B76F09">
        <w:rPr>
          <w:rFonts w:ascii="Arial" w:hAnsi="Arial" w:cs="Arial"/>
        </w:rPr>
        <w:tab/>
      </w:r>
      <w:r w:rsidRPr="00B76F09">
        <w:rPr>
          <w:rFonts w:ascii="Arial" w:hAnsi="Arial" w:cs="Arial"/>
        </w:rPr>
        <w:tab/>
      </w:r>
    </w:p>
    <w:p w14:paraId="136252F3" w14:textId="77777777" w:rsidR="009E7977" w:rsidRPr="00B76F09" w:rsidRDefault="009E7977" w:rsidP="009E7977">
      <w:pPr>
        <w:spacing w:line="360" w:lineRule="auto"/>
        <w:ind w:right="-82"/>
        <w:jc w:val="both"/>
        <w:rPr>
          <w:rFonts w:ascii="Arial" w:hAnsi="Arial" w:cs="Arial"/>
        </w:rPr>
      </w:pPr>
      <w:r w:rsidRPr="00B76F09">
        <w:rPr>
          <w:rFonts w:ascii="Arial" w:hAnsi="Arial" w:cs="Arial"/>
        </w:rPr>
        <w:t>Instructed by</w:t>
      </w:r>
      <w:r w:rsidRPr="00B76F09">
        <w:rPr>
          <w:rFonts w:ascii="Arial" w:hAnsi="Arial" w:cs="Arial"/>
        </w:rPr>
        <w:tab/>
      </w:r>
      <w:r w:rsidRPr="00B76F09">
        <w:rPr>
          <w:rFonts w:ascii="Arial" w:hAnsi="Arial" w:cs="Arial"/>
        </w:rPr>
        <w:tab/>
      </w:r>
      <w:r w:rsidRPr="00B76F09">
        <w:rPr>
          <w:rFonts w:ascii="Arial" w:hAnsi="Arial" w:cs="Arial"/>
        </w:rPr>
        <w:tab/>
      </w:r>
      <w:r w:rsidRPr="00B76F09">
        <w:rPr>
          <w:rFonts w:ascii="Arial" w:hAnsi="Arial" w:cs="Arial"/>
        </w:rPr>
        <w:tab/>
        <w:t>:</w:t>
      </w:r>
      <w:r w:rsidRPr="00B76F09">
        <w:rPr>
          <w:rFonts w:ascii="Arial" w:hAnsi="Arial" w:cs="Arial"/>
        </w:rPr>
        <w:tab/>
        <w:t>Shepstone and Wylie</w:t>
      </w:r>
    </w:p>
    <w:p w14:paraId="3E14F40B" w14:textId="77777777" w:rsidR="009E7977" w:rsidRPr="00B76F09" w:rsidRDefault="009E7977" w:rsidP="009E7977">
      <w:pPr>
        <w:spacing w:line="360" w:lineRule="auto"/>
        <w:ind w:right="-82"/>
        <w:jc w:val="both"/>
        <w:rPr>
          <w:rFonts w:ascii="Arial" w:hAnsi="Arial" w:cs="Arial"/>
        </w:rPr>
      </w:pPr>
      <w:r w:rsidRPr="00B76F09">
        <w:rPr>
          <w:rFonts w:ascii="Arial" w:hAnsi="Arial" w:cs="Arial"/>
        </w:rPr>
        <w:tab/>
      </w:r>
      <w:r w:rsidRPr="00B76F09">
        <w:rPr>
          <w:rFonts w:ascii="Arial" w:hAnsi="Arial" w:cs="Arial"/>
        </w:rPr>
        <w:tab/>
      </w:r>
      <w:r w:rsidRPr="00B76F09">
        <w:rPr>
          <w:rFonts w:ascii="Arial" w:hAnsi="Arial" w:cs="Arial"/>
        </w:rPr>
        <w:tab/>
      </w:r>
      <w:r w:rsidRPr="00B76F09">
        <w:rPr>
          <w:rFonts w:ascii="Arial" w:hAnsi="Arial" w:cs="Arial"/>
        </w:rPr>
        <w:tab/>
      </w:r>
      <w:r w:rsidRPr="00B76F09">
        <w:rPr>
          <w:rFonts w:ascii="Arial" w:hAnsi="Arial" w:cs="Arial"/>
        </w:rPr>
        <w:tab/>
      </w:r>
      <w:r w:rsidRPr="00B76F09">
        <w:rPr>
          <w:rFonts w:ascii="Arial" w:hAnsi="Arial" w:cs="Arial"/>
        </w:rPr>
        <w:tab/>
        <w:t>24 Richefond Circle</w:t>
      </w:r>
    </w:p>
    <w:p w14:paraId="44E31393" w14:textId="77777777" w:rsidR="009E7977" w:rsidRPr="00B76F09" w:rsidRDefault="009E7977" w:rsidP="009E7977">
      <w:pPr>
        <w:spacing w:line="360" w:lineRule="auto"/>
        <w:ind w:right="-82"/>
        <w:jc w:val="both"/>
        <w:rPr>
          <w:rFonts w:ascii="Arial" w:hAnsi="Arial" w:cs="Arial"/>
        </w:rPr>
      </w:pPr>
      <w:r w:rsidRPr="00B76F09">
        <w:rPr>
          <w:rFonts w:ascii="Arial" w:hAnsi="Arial" w:cs="Arial"/>
        </w:rPr>
        <w:tab/>
      </w:r>
      <w:r w:rsidRPr="00B76F09">
        <w:rPr>
          <w:rFonts w:ascii="Arial" w:hAnsi="Arial" w:cs="Arial"/>
        </w:rPr>
        <w:tab/>
      </w:r>
      <w:r w:rsidRPr="00B76F09">
        <w:rPr>
          <w:rFonts w:ascii="Arial" w:hAnsi="Arial" w:cs="Arial"/>
        </w:rPr>
        <w:tab/>
      </w:r>
      <w:r w:rsidRPr="00B76F09">
        <w:rPr>
          <w:rFonts w:ascii="Arial" w:hAnsi="Arial" w:cs="Arial"/>
        </w:rPr>
        <w:tab/>
      </w:r>
      <w:r w:rsidRPr="00B76F09">
        <w:rPr>
          <w:rFonts w:ascii="Arial" w:hAnsi="Arial" w:cs="Arial"/>
        </w:rPr>
        <w:tab/>
      </w:r>
      <w:r w:rsidRPr="00B76F09">
        <w:rPr>
          <w:rFonts w:ascii="Arial" w:hAnsi="Arial" w:cs="Arial"/>
        </w:rPr>
        <w:tab/>
        <w:t>Ridgeside Office Park</w:t>
      </w:r>
    </w:p>
    <w:p w14:paraId="5672D67A" w14:textId="77777777" w:rsidR="009E7977" w:rsidRPr="00B76F09" w:rsidRDefault="009E7977" w:rsidP="009E7977">
      <w:pPr>
        <w:spacing w:line="360" w:lineRule="auto"/>
        <w:ind w:right="-82"/>
        <w:jc w:val="both"/>
        <w:rPr>
          <w:rFonts w:ascii="Arial" w:hAnsi="Arial" w:cs="Arial"/>
        </w:rPr>
      </w:pPr>
      <w:r w:rsidRPr="00B76F09">
        <w:rPr>
          <w:rFonts w:ascii="Arial" w:hAnsi="Arial" w:cs="Arial"/>
        </w:rPr>
        <w:tab/>
      </w:r>
      <w:r w:rsidRPr="00B76F09">
        <w:rPr>
          <w:rFonts w:ascii="Arial" w:hAnsi="Arial" w:cs="Arial"/>
        </w:rPr>
        <w:tab/>
      </w:r>
      <w:r w:rsidRPr="00B76F09">
        <w:rPr>
          <w:rFonts w:ascii="Arial" w:hAnsi="Arial" w:cs="Arial"/>
        </w:rPr>
        <w:tab/>
      </w:r>
      <w:r w:rsidRPr="00B76F09">
        <w:rPr>
          <w:rFonts w:ascii="Arial" w:hAnsi="Arial" w:cs="Arial"/>
        </w:rPr>
        <w:tab/>
      </w:r>
      <w:r w:rsidRPr="00B76F09">
        <w:rPr>
          <w:rFonts w:ascii="Arial" w:hAnsi="Arial" w:cs="Arial"/>
        </w:rPr>
        <w:tab/>
      </w:r>
      <w:r w:rsidRPr="00B76F09">
        <w:rPr>
          <w:rFonts w:ascii="Arial" w:hAnsi="Arial" w:cs="Arial"/>
        </w:rPr>
        <w:tab/>
        <w:t>Umhlanga Rocks</w:t>
      </w:r>
    </w:p>
    <w:p w14:paraId="0E9AEBA0" w14:textId="77777777" w:rsidR="009E7977" w:rsidRPr="00B76F09" w:rsidRDefault="009E7977" w:rsidP="009E7977">
      <w:pPr>
        <w:spacing w:line="360" w:lineRule="auto"/>
        <w:ind w:left="3600" w:right="-82" w:firstLine="720"/>
        <w:jc w:val="both"/>
        <w:rPr>
          <w:rFonts w:ascii="Arial" w:hAnsi="Arial" w:cs="Arial"/>
        </w:rPr>
      </w:pPr>
    </w:p>
    <w:p w14:paraId="684E22C7" w14:textId="09914591" w:rsidR="009E7977" w:rsidRPr="00B76F09" w:rsidRDefault="009E7977" w:rsidP="009E7977">
      <w:pPr>
        <w:spacing w:line="360" w:lineRule="auto"/>
        <w:jc w:val="both"/>
        <w:rPr>
          <w:rFonts w:ascii="Arial" w:eastAsia="Calibri" w:hAnsi="Arial" w:cs="Arial"/>
        </w:rPr>
      </w:pPr>
      <w:r w:rsidRPr="00B76F09">
        <w:rPr>
          <w:rFonts w:ascii="Arial" w:eastAsia="Calibri" w:hAnsi="Arial" w:cs="Arial"/>
        </w:rPr>
        <w:t xml:space="preserve">Date of Hearing </w:t>
      </w:r>
      <w:r w:rsidRPr="00B76F09">
        <w:rPr>
          <w:rFonts w:ascii="Arial" w:eastAsia="Calibri" w:hAnsi="Arial" w:cs="Arial"/>
        </w:rPr>
        <w:tab/>
      </w:r>
      <w:r w:rsidRPr="00B76F09">
        <w:rPr>
          <w:rFonts w:ascii="Arial" w:eastAsia="Calibri" w:hAnsi="Arial" w:cs="Arial"/>
        </w:rPr>
        <w:tab/>
      </w:r>
      <w:r w:rsidRPr="00B76F09">
        <w:rPr>
          <w:rFonts w:ascii="Arial" w:eastAsia="Calibri" w:hAnsi="Arial" w:cs="Arial"/>
        </w:rPr>
        <w:tab/>
        <w:t>:</w:t>
      </w:r>
      <w:r w:rsidRPr="00B76F09">
        <w:rPr>
          <w:rFonts w:ascii="Arial" w:eastAsia="Calibri" w:hAnsi="Arial" w:cs="Arial"/>
        </w:rPr>
        <w:tab/>
      </w:r>
      <w:r>
        <w:rPr>
          <w:rFonts w:ascii="Arial" w:eastAsia="Calibri" w:hAnsi="Arial" w:cs="Arial"/>
        </w:rPr>
        <w:t>3 March 2023</w:t>
      </w:r>
    </w:p>
    <w:p w14:paraId="18991B57" w14:textId="77777777" w:rsidR="009E7977" w:rsidRPr="00B76F09" w:rsidRDefault="009E7977" w:rsidP="009E7977">
      <w:pPr>
        <w:spacing w:line="360" w:lineRule="auto"/>
        <w:jc w:val="both"/>
        <w:rPr>
          <w:rFonts w:ascii="Arial" w:eastAsia="Calibri" w:hAnsi="Arial" w:cs="Arial"/>
        </w:rPr>
      </w:pPr>
    </w:p>
    <w:p w14:paraId="44BA936D" w14:textId="50FC71CD" w:rsidR="009E7977" w:rsidRPr="00B76F09" w:rsidRDefault="009E7977" w:rsidP="009E7977">
      <w:pPr>
        <w:spacing w:line="360" w:lineRule="auto"/>
        <w:jc w:val="both"/>
        <w:rPr>
          <w:rFonts w:ascii="Arial" w:eastAsia="Calibri" w:hAnsi="Arial" w:cs="Arial"/>
        </w:rPr>
      </w:pPr>
      <w:r w:rsidRPr="00B76F09">
        <w:rPr>
          <w:rFonts w:ascii="Arial" w:eastAsia="Calibri" w:hAnsi="Arial" w:cs="Arial"/>
        </w:rPr>
        <w:t xml:space="preserve">Date of Judgment </w:t>
      </w:r>
      <w:r w:rsidRPr="00B76F09">
        <w:rPr>
          <w:rFonts w:ascii="Arial" w:eastAsia="Calibri" w:hAnsi="Arial" w:cs="Arial"/>
        </w:rPr>
        <w:tab/>
      </w:r>
      <w:r w:rsidRPr="00B76F09">
        <w:rPr>
          <w:rFonts w:ascii="Arial" w:eastAsia="Calibri" w:hAnsi="Arial" w:cs="Arial"/>
        </w:rPr>
        <w:tab/>
      </w:r>
      <w:r w:rsidRPr="00B76F09">
        <w:rPr>
          <w:rFonts w:ascii="Arial" w:eastAsia="Calibri" w:hAnsi="Arial" w:cs="Arial"/>
        </w:rPr>
        <w:tab/>
        <w:t>:</w:t>
      </w:r>
      <w:r w:rsidRPr="00B76F09">
        <w:rPr>
          <w:rFonts w:ascii="Arial" w:eastAsia="Calibri" w:hAnsi="Arial" w:cs="Arial"/>
        </w:rPr>
        <w:tab/>
      </w:r>
      <w:r>
        <w:rPr>
          <w:rFonts w:ascii="Arial" w:eastAsia="Calibri" w:hAnsi="Arial" w:cs="Arial"/>
        </w:rPr>
        <w:t>3 March 2023</w:t>
      </w:r>
    </w:p>
    <w:p w14:paraId="44B686A0" w14:textId="77777777" w:rsidR="009E7977" w:rsidRPr="00B76F09" w:rsidRDefault="009E7977" w:rsidP="009E7977">
      <w:pPr>
        <w:spacing w:line="360" w:lineRule="auto"/>
        <w:jc w:val="both"/>
        <w:rPr>
          <w:rFonts w:ascii="Arial" w:hAnsi="Arial" w:cs="Arial"/>
          <w:b/>
          <w:bCs/>
        </w:rPr>
      </w:pPr>
    </w:p>
    <w:p w14:paraId="6A85ACA9" w14:textId="77777777" w:rsidR="00563988" w:rsidRPr="00563988" w:rsidRDefault="00563988" w:rsidP="009E7977">
      <w:pPr>
        <w:spacing w:line="360" w:lineRule="auto"/>
        <w:jc w:val="center"/>
        <w:rPr>
          <w:rFonts w:ascii="Arial" w:hAnsi="Arial" w:cs="Arial"/>
        </w:rPr>
      </w:pPr>
    </w:p>
    <w:sectPr w:rsidR="00563988" w:rsidRPr="00563988" w:rsidSect="00F02260">
      <w:head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0EBB4" w14:textId="77777777" w:rsidR="00683F8B" w:rsidRDefault="00683F8B" w:rsidP="00E002CA">
      <w:r>
        <w:separator/>
      </w:r>
    </w:p>
  </w:endnote>
  <w:endnote w:type="continuationSeparator" w:id="0">
    <w:p w14:paraId="1B1020C3" w14:textId="77777777" w:rsidR="00683F8B" w:rsidRDefault="00683F8B" w:rsidP="00E00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B569D" w14:textId="77777777" w:rsidR="00683F8B" w:rsidRDefault="00683F8B" w:rsidP="00E002CA">
      <w:r>
        <w:separator/>
      </w:r>
    </w:p>
  </w:footnote>
  <w:footnote w:type="continuationSeparator" w:id="0">
    <w:p w14:paraId="6DDCD8C0" w14:textId="77777777" w:rsidR="00683F8B" w:rsidRDefault="00683F8B" w:rsidP="00E002CA">
      <w:r>
        <w:continuationSeparator/>
      </w:r>
    </w:p>
  </w:footnote>
  <w:footnote w:id="1">
    <w:p w14:paraId="4927494A" w14:textId="5EF067FE" w:rsidR="00977250" w:rsidRPr="001618FE" w:rsidRDefault="00977250" w:rsidP="001618FE">
      <w:pPr>
        <w:pStyle w:val="Heading2"/>
        <w:shd w:val="clear" w:color="auto" w:fill="FFFFFF"/>
        <w:spacing w:before="0" w:line="240" w:lineRule="auto"/>
        <w:jc w:val="both"/>
        <w:rPr>
          <w:rFonts w:ascii="Arial" w:hAnsi="Arial" w:cs="Arial"/>
          <w:color w:val="auto"/>
          <w:sz w:val="20"/>
          <w:szCs w:val="20"/>
          <w:lang w:val="en-US"/>
        </w:rPr>
      </w:pPr>
      <w:r w:rsidRPr="001618FE">
        <w:rPr>
          <w:rStyle w:val="FootnoteReference"/>
          <w:rFonts w:ascii="Arial" w:hAnsi="Arial" w:cs="Arial"/>
          <w:color w:val="auto"/>
          <w:sz w:val="20"/>
          <w:szCs w:val="20"/>
        </w:rPr>
        <w:footnoteRef/>
      </w:r>
      <w:r w:rsidRPr="001618FE">
        <w:rPr>
          <w:rFonts w:ascii="Arial" w:hAnsi="Arial" w:cs="Arial"/>
          <w:color w:val="auto"/>
          <w:sz w:val="20"/>
          <w:szCs w:val="20"/>
        </w:rPr>
        <w:t xml:space="preserve"> </w:t>
      </w:r>
      <w:r w:rsidRPr="001618FE">
        <w:rPr>
          <w:rFonts w:ascii="Arial" w:eastAsia="Times New Roman" w:hAnsi="Arial" w:cs="Arial"/>
          <w:i/>
          <w:color w:val="auto"/>
          <w:sz w:val="20"/>
          <w:szCs w:val="20"/>
          <w:lang w:eastAsia="en-GB"/>
        </w:rPr>
        <w:t>Public Protector of South Africa v Speaker of the National Assembly and Others</w:t>
      </w:r>
      <w:r w:rsidRPr="001618FE">
        <w:rPr>
          <w:rFonts w:ascii="Arial" w:eastAsia="Times New Roman" w:hAnsi="Arial" w:cs="Arial"/>
          <w:color w:val="auto"/>
          <w:sz w:val="20"/>
          <w:szCs w:val="20"/>
          <w:lang w:eastAsia="en-GB"/>
        </w:rPr>
        <w:t xml:space="preserve"> (8500/2022) [2022] ZAWCHC 222 (3 November 2022) para 14.</w:t>
      </w:r>
    </w:p>
  </w:footnote>
  <w:footnote w:id="2">
    <w:p w14:paraId="7FF88168" w14:textId="71E03AE8" w:rsidR="00977250" w:rsidRPr="001618FE" w:rsidRDefault="00977250" w:rsidP="001618FE">
      <w:pPr>
        <w:pStyle w:val="FootnoteText"/>
        <w:jc w:val="both"/>
        <w:rPr>
          <w:rFonts w:ascii="Arial" w:hAnsi="Arial" w:cs="Arial"/>
          <w:lang w:val="en-US"/>
        </w:rPr>
      </w:pPr>
      <w:r w:rsidRPr="001618FE">
        <w:rPr>
          <w:rStyle w:val="FootnoteReference"/>
          <w:rFonts w:ascii="Arial" w:hAnsi="Arial" w:cs="Arial"/>
        </w:rPr>
        <w:footnoteRef/>
      </w:r>
      <w:r w:rsidRPr="001618FE">
        <w:rPr>
          <w:rFonts w:ascii="Arial" w:hAnsi="Arial" w:cs="Arial"/>
        </w:rPr>
        <w:t xml:space="preserve"> </w:t>
      </w:r>
      <w:r w:rsidRPr="001618FE">
        <w:rPr>
          <w:rFonts w:ascii="Arial" w:eastAsia="Times New Roman" w:hAnsi="Arial" w:cs="Arial"/>
          <w:i/>
          <w:shd w:val="clear" w:color="auto" w:fill="FFFFFF"/>
          <w:lang w:val="en-ZA" w:eastAsia="en-GB" w:bidi="yi-Hebr"/>
        </w:rPr>
        <w:t>Ramakatsa and Others v African National Congress and Another</w:t>
      </w:r>
      <w:r w:rsidRPr="001618FE">
        <w:rPr>
          <w:rFonts w:ascii="Arial" w:eastAsia="Times New Roman" w:hAnsi="Arial" w:cs="Arial"/>
          <w:shd w:val="clear" w:color="auto" w:fill="FFFFFF"/>
          <w:lang w:val="en-ZA" w:eastAsia="en-GB" w:bidi="yi-Hebr"/>
        </w:rPr>
        <w:t> </w:t>
      </w:r>
      <w:hyperlink r:id="rId1" w:tooltip="View LawCiteRecord" w:history="1">
        <w:r w:rsidRPr="001618FE">
          <w:rPr>
            <w:rFonts w:ascii="Arial" w:eastAsia="Times New Roman" w:hAnsi="Arial" w:cs="Arial"/>
            <w:bCs/>
            <w:shd w:val="clear" w:color="auto" w:fill="FFFFFF"/>
            <w:lang w:val="en-ZA" w:eastAsia="en-GB" w:bidi="yi-Hebr"/>
          </w:rPr>
          <w:t>[2021] JOL 49993</w:t>
        </w:r>
      </w:hyperlink>
      <w:r w:rsidRPr="001618FE">
        <w:rPr>
          <w:rFonts w:ascii="Arial" w:eastAsia="Times New Roman" w:hAnsi="Arial" w:cs="Arial"/>
          <w:shd w:val="clear" w:color="auto" w:fill="FFFFFF"/>
          <w:lang w:val="en-ZA" w:eastAsia="en-GB" w:bidi="yi-Hebr"/>
        </w:rPr>
        <w:t> (SCA) para [10]</w:t>
      </w:r>
    </w:p>
  </w:footnote>
  <w:footnote w:id="3">
    <w:p w14:paraId="57559762" w14:textId="0525B026" w:rsidR="00977250" w:rsidRPr="001618FE" w:rsidRDefault="00977250" w:rsidP="001618FE">
      <w:pPr>
        <w:pStyle w:val="Heading2"/>
        <w:shd w:val="clear" w:color="auto" w:fill="FFFFFF"/>
        <w:spacing w:before="0" w:line="240" w:lineRule="auto"/>
        <w:jc w:val="both"/>
        <w:rPr>
          <w:rFonts w:ascii="Arial" w:hAnsi="Arial" w:cs="Arial"/>
          <w:color w:val="auto"/>
          <w:sz w:val="20"/>
          <w:szCs w:val="20"/>
          <w:lang w:val="en-US"/>
        </w:rPr>
      </w:pPr>
      <w:r w:rsidRPr="001618FE">
        <w:rPr>
          <w:rStyle w:val="FootnoteReference"/>
          <w:rFonts w:ascii="Arial" w:hAnsi="Arial" w:cs="Arial"/>
          <w:color w:val="auto"/>
          <w:sz w:val="20"/>
          <w:szCs w:val="20"/>
        </w:rPr>
        <w:footnoteRef/>
      </w:r>
      <w:r w:rsidRPr="001618FE">
        <w:rPr>
          <w:rFonts w:ascii="Arial" w:hAnsi="Arial" w:cs="Arial"/>
          <w:color w:val="auto"/>
          <w:sz w:val="20"/>
          <w:szCs w:val="20"/>
        </w:rPr>
        <w:t xml:space="preserve"> </w:t>
      </w:r>
      <w:r w:rsidRPr="001618FE">
        <w:rPr>
          <w:rFonts w:ascii="Arial" w:eastAsia="Times New Roman" w:hAnsi="Arial" w:cs="Arial"/>
          <w:i/>
          <w:color w:val="auto"/>
          <w:sz w:val="20"/>
          <w:szCs w:val="20"/>
          <w:lang w:eastAsia="en-GB"/>
        </w:rPr>
        <w:t>MEC for Health, Eastern Cape v Mkhitha and Another</w:t>
      </w:r>
      <w:r w:rsidRPr="001618FE">
        <w:rPr>
          <w:rFonts w:ascii="Arial" w:eastAsia="Times New Roman" w:hAnsi="Arial" w:cs="Arial"/>
          <w:color w:val="auto"/>
          <w:sz w:val="20"/>
          <w:szCs w:val="20"/>
          <w:lang w:eastAsia="en-GB"/>
        </w:rPr>
        <w:t xml:space="preserve"> [2016] ZASCA 176</w:t>
      </w:r>
      <w:r>
        <w:rPr>
          <w:rFonts w:ascii="Arial" w:eastAsia="Times New Roman" w:hAnsi="Arial" w:cs="Arial"/>
          <w:color w:val="auto"/>
          <w:sz w:val="20"/>
          <w:szCs w:val="20"/>
          <w:lang w:eastAsia="en-GB"/>
        </w:rPr>
        <w:t xml:space="preserve"> para 17.</w:t>
      </w:r>
    </w:p>
  </w:footnote>
  <w:footnote w:id="4">
    <w:p w14:paraId="6983962C" w14:textId="6F7EAF02" w:rsidR="00977250" w:rsidRPr="00A132C9" w:rsidRDefault="00977250">
      <w:pPr>
        <w:pStyle w:val="FootnoteText"/>
        <w:rPr>
          <w:lang w:val="en-US"/>
        </w:rPr>
      </w:pPr>
      <w:r>
        <w:rPr>
          <w:rStyle w:val="FootnoteReference"/>
        </w:rPr>
        <w:footnoteRef/>
      </w:r>
      <w:r>
        <w:t xml:space="preserve"> </w:t>
      </w:r>
      <w:r w:rsidRPr="00A132C9">
        <w:rPr>
          <w:rFonts w:ascii="Arial" w:hAnsi="Arial" w:cs="Arial"/>
          <w:i/>
          <w:color w:val="242121"/>
        </w:rPr>
        <w:t>Central Plaza Investments 85 (Pty) Ltd v Body Corporate Mangrove Beach Ce</w:t>
      </w:r>
      <w:r>
        <w:rPr>
          <w:rFonts w:ascii="Arial" w:hAnsi="Arial" w:cs="Arial"/>
          <w:i/>
          <w:color w:val="242121"/>
        </w:rPr>
        <w:t>n</w:t>
      </w:r>
      <w:r w:rsidRPr="00A132C9">
        <w:rPr>
          <w:rFonts w:ascii="Arial" w:hAnsi="Arial" w:cs="Arial"/>
          <w:i/>
          <w:color w:val="242121"/>
        </w:rPr>
        <w:t>tre</w:t>
      </w:r>
      <w:r>
        <w:rPr>
          <w:rFonts w:ascii="Arial" w:hAnsi="Arial" w:cs="Arial"/>
          <w:color w:val="242121"/>
        </w:rPr>
        <w:t>, case number 11454/2015, KwaZulu-Natal Local Division, Durban.</w:t>
      </w:r>
    </w:p>
  </w:footnote>
  <w:footnote w:id="5">
    <w:p w14:paraId="2EA7B560" w14:textId="31A6E028" w:rsidR="00245732" w:rsidRPr="00245732" w:rsidRDefault="00245732" w:rsidP="00245732">
      <w:pPr>
        <w:pStyle w:val="FootnoteText"/>
        <w:jc w:val="both"/>
        <w:rPr>
          <w:rFonts w:ascii="Arial" w:hAnsi="Arial" w:cs="Arial"/>
          <w:lang w:val="en-US"/>
        </w:rPr>
      </w:pPr>
      <w:r w:rsidRPr="00245732">
        <w:rPr>
          <w:rStyle w:val="FootnoteReference"/>
          <w:rFonts w:ascii="Arial" w:hAnsi="Arial" w:cs="Arial"/>
        </w:rPr>
        <w:footnoteRef/>
      </w:r>
      <w:r w:rsidRPr="00245732">
        <w:rPr>
          <w:rFonts w:ascii="Arial" w:hAnsi="Arial" w:cs="Arial"/>
        </w:rPr>
        <w:t xml:space="preserve"> </w:t>
      </w:r>
      <w:r w:rsidRPr="00245732">
        <w:rPr>
          <w:rFonts w:ascii="Arial" w:hAnsi="Arial" w:cs="Arial"/>
          <w:i/>
          <w:color w:val="242121"/>
        </w:rPr>
        <w:t xml:space="preserve">Wilds Home Owners Association and others v Van Eeden and others </w:t>
      </w:r>
      <w:r w:rsidRPr="00245732">
        <w:rPr>
          <w:rFonts w:ascii="Arial" w:hAnsi="Arial" w:cs="Arial"/>
          <w:color w:val="242121"/>
        </w:rPr>
        <w:t>[2011] ZAGPPHC 101.</w:t>
      </w:r>
    </w:p>
  </w:footnote>
  <w:footnote w:id="6">
    <w:p w14:paraId="132AC8A8" w14:textId="7C9CB48E" w:rsidR="007138D2" w:rsidRPr="007138D2" w:rsidRDefault="007138D2" w:rsidP="007138D2">
      <w:pPr>
        <w:pStyle w:val="FootnoteText"/>
        <w:jc w:val="both"/>
        <w:rPr>
          <w:rFonts w:ascii="Arial" w:hAnsi="Arial" w:cs="Arial"/>
          <w:lang w:val="en-US"/>
        </w:rPr>
      </w:pPr>
      <w:r w:rsidRPr="007138D2">
        <w:rPr>
          <w:rStyle w:val="FootnoteReference"/>
          <w:rFonts w:ascii="Arial" w:hAnsi="Arial" w:cs="Arial"/>
        </w:rPr>
        <w:footnoteRef/>
      </w:r>
      <w:r w:rsidRPr="007138D2">
        <w:rPr>
          <w:rFonts w:ascii="Arial" w:hAnsi="Arial" w:cs="Arial"/>
        </w:rPr>
        <w:t xml:space="preserve"> Section 35(3) of the </w:t>
      </w:r>
      <w:r w:rsidRPr="007138D2">
        <w:rPr>
          <w:rFonts w:ascii="Arial" w:hAnsi="Arial" w:cs="Arial"/>
          <w:lang w:val="en-US"/>
        </w:rPr>
        <w:t>Sectional Titles Act 95 of 1986.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1632077"/>
      <w:docPartObj>
        <w:docPartGallery w:val="Page Numbers (Top of Page)"/>
        <w:docPartUnique/>
      </w:docPartObj>
    </w:sdtPr>
    <w:sdtEndPr>
      <w:rPr>
        <w:rFonts w:ascii="Arial" w:hAnsi="Arial" w:cs="Arial"/>
        <w:noProof/>
        <w:sz w:val="24"/>
        <w:szCs w:val="24"/>
      </w:rPr>
    </w:sdtEndPr>
    <w:sdtContent>
      <w:p w14:paraId="1EEF6487" w14:textId="19CE205C" w:rsidR="00977250" w:rsidRPr="008F3D74" w:rsidRDefault="00977250">
        <w:pPr>
          <w:pStyle w:val="Header"/>
          <w:jc w:val="right"/>
          <w:rPr>
            <w:rFonts w:ascii="Arial" w:hAnsi="Arial" w:cs="Arial"/>
            <w:sz w:val="24"/>
            <w:szCs w:val="24"/>
          </w:rPr>
        </w:pPr>
        <w:r w:rsidRPr="008F3D74">
          <w:rPr>
            <w:rFonts w:ascii="Arial" w:hAnsi="Arial" w:cs="Arial"/>
            <w:sz w:val="24"/>
            <w:szCs w:val="24"/>
          </w:rPr>
          <w:fldChar w:fldCharType="begin"/>
        </w:r>
        <w:r w:rsidRPr="008F3D74">
          <w:rPr>
            <w:rFonts w:ascii="Arial" w:hAnsi="Arial" w:cs="Arial"/>
            <w:sz w:val="24"/>
            <w:szCs w:val="24"/>
          </w:rPr>
          <w:instrText xml:space="preserve"> PAGE   \* MERGEFORMAT </w:instrText>
        </w:r>
        <w:r w:rsidRPr="008F3D74">
          <w:rPr>
            <w:rFonts w:ascii="Arial" w:hAnsi="Arial" w:cs="Arial"/>
            <w:sz w:val="24"/>
            <w:szCs w:val="24"/>
          </w:rPr>
          <w:fldChar w:fldCharType="separate"/>
        </w:r>
        <w:r w:rsidR="00A606EE">
          <w:rPr>
            <w:rFonts w:ascii="Arial" w:hAnsi="Arial" w:cs="Arial"/>
            <w:noProof/>
            <w:sz w:val="24"/>
            <w:szCs w:val="24"/>
          </w:rPr>
          <w:t>2</w:t>
        </w:r>
        <w:r w:rsidRPr="008F3D74">
          <w:rPr>
            <w:rFonts w:ascii="Arial" w:hAnsi="Arial" w:cs="Arial"/>
            <w:noProof/>
            <w:sz w:val="24"/>
            <w:szCs w:val="24"/>
          </w:rPr>
          <w:fldChar w:fldCharType="end"/>
        </w:r>
      </w:p>
    </w:sdtContent>
  </w:sdt>
  <w:p w14:paraId="60F04B5C" w14:textId="77777777" w:rsidR="00977250" w:rsidRDefault="009772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7DCD33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624000"/>
    <w:multiLevelType w:val="hybridMultilevel"/>
    <w:tmpl w:val="AF3ADCCA"/>
    <w:lvl w:ilvl="0" w:tplc="C0089C9E">
      <w:start w:val="1"/>
      <w:numFmt w:val="lowerLetter"/>
      <w:lvlText w:val="(%1)"/>
      <w:lvlJc w:val="left"/>
      <w:pPr>
        <w:ind w:left="720" w:hanging="360"/>
      </w:pPr>
      <w:rPr>
        <w:rFonts w:eastAsiaTheme="minorHAnsi" w:hint="default"/>
        <w:i/>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E44C19"/>
    <w:multiLevelType w:val="hybridMultilevel"/>
    <w:tmpl w:val="35C4F590"/>
    <w:lvl w:ilvl="0" w:tplc="EAAE9498">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7A3466"/>
    <w:multiLevelType w:val="hybridMultilevel"/>
    <w:tmpl w:val="06681AE4"/>
    <w:lvl w:ilvl="0" w:tplc="E2A8CC3E">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374A9D"/>
    <w:multiLevelType w:val="hybridMultilevel"/>
    <w:tmpl w:val="376214FE"/>
    <w:lvl w:ilvl="0" w:tplc="90046972">
      <w:start w:val="1"/>
      <w:numFmt w:val="decimal"/>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792C1F"/>
    <w:multiLevelType w:val="hybridMultilevel"/>
    <w:tmpl w:val="F8047BE2"/>
    <w:lvl w:ilvl="0" w:tplc="2D1E331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8F31AFD"/>
    <w:multiLevelType w:val="hybridMultilevel"/>
    <w:tmpl w:val="21C60396"/>
    <w:lvl w:ilvl="0" w:tplc="5C463C68">
      <w:start w:val="1"/>
      <w:numFmt w:val="decimal"/>
      <w:lvlText w:val="[%1]"/>
      <w:lvlJc w:val="left"/>
      <w:pPr>
        <w:ind w:left="720" w:hanging="360"/>
      </w:pPr>
      <w:rPr>
        <w:rFonts w:ascii="Arial" w:hAnsi="Aria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07B0862"/>
    <w:multiLevelType w:val="hybridMultilevel"/>
    <w:tmpl w:val="C8863F24"/>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35804D8"/>
    <w:multiLevelType w:val="hybridMultilevel"/>
    <w:tmpl w:val="7D26907E"/>
    <w:lvl w:ilvl="0" w:tplc="A52E8728">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697761"/>
    <w:multiLevelType w:val="hybridMultilevel"/>
    <w:tmpl w:val="64962BC0"/>
    <w:lvl w:ilvl="0" w:tplc="736A4766">
      <w:start w:val="2"/>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0D2075D"/>
    <w:multiLevelType w:val="hybridMultilevel"/>
    <w:tmpl w:val="E1A63F50"/>
    <w:lvl w:ilvl="0" w:tplc="5EEE68AC">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5673299"/>
    <w:multiLevelType w:val="hybridMultilevel"/>
    <w:tmpl w:val="CA804564"/>
    <w:lvl w:ilvl="0" w:tplc="91FE302C">
      <w:start w:val="1"/>
      <w:numFmt w:val="decimal"/>
      <w:lvlText w:val="[%1]"/>
      <w:lvlJc w:val="left"/>
      <w:pPr>
        <w:ind w:left="2629" w:hanging="360"/>
      </w:pPr>
      <w:rPr>
        <w:rFonts w:ascii="Arial" w:hAnsi="Arial" w:hint="default"/>
        <w:i w:val="0"/>
        <w:iCs w:val="0"/>
        <w:sz w:val="24"/>
        <w:szCs w:val="24"/>
      </w:rPr>
    </w:lvl>
    <w:lvl w:ilvl="1" w:tplc="08090019" w:tentative="1">
      <w:start w:val="1"/>
      <w:numFmt w:val="lowerLetter"/>
      <w:lvlText w:val="%2."/>
      <w:lvlJc w:val="left"/>
      <w:pPr>
        <w:ind w:left="3349" w:hanging="360"/>
      </w:pPr>
    </w:lvl>
    <w:lvl w:ilvl="2" w:tplc="0809001B" w:tentative="1">
      <w:start w:val="1"/>
      <w:numFmt w:val="lowerRoman"/>
      <w:lvlText w:val="%3."/>
      <w:lvlJc w:val="right"/>
      <w:pPr>
        <w:ind w:left="4069" w:hanging="180"/>
      </w:pPr>
    </w:lvl>
    <w:lvl w:ilvl="3" w:tplc="0809000F" w:tentative="1">
      <w:start w:val="1"/>
      <w:numFmt w:val="decimal"/>
      <w:lvlText w:val="%4."/>
      <w:lvlJc w:val="left"/>
      <w:pPr>
        <w:ind w:left="4789" w:hanging="360"/>
      </w:pPr>
    </w:lvl>
    <w:lvl w:ilvl="4" w:tplc="08090019" w:tentative="1">
      <w:start w:val="1"/>
      <w:numFmt w:val="lowerLetter"/>
      <w:lvlText w:val="%5."/>
      <w:lvlJc w:val="left"/>
      <w:pPr>
        <w:ind w:left="5509" w:hanging="360"/>
      </w:pPr>
    </w:lvl>
    <w:lvl w:ilvl="5" w:tplc="0809001B" w:tentative="1">
      <w:start w:val="1"/>
      <w:numFmt w:val="lowerRoman"/>
      <w:lvlText w:val="%6."/>
      <w:lvlJc w:val="right"/>
      <w:pPr>
        <w:ind w:left="6229" w:hanging="180"/>
      </w:pPr>
    </w:lvl>
    <w:lvl w:ilvl="6" w:tplc="0809000F" w:tentative="1">
      <w:start w:val="1"/>
      <w:numFmt w:val="decimal"/>
      <w:lvlText w:val="%7."/>
      <w:lvlJc w:val="left"/>
      <w:pPr>
        <w:ind w:left="6949" w:hanging="360"/>
      </w:pPr>
    </w:lvl>
    <w:lvl w:ilvl="7" w:tplc="08090019" w:tentative="1">
      <w:start w:val="1"/>
      <w:numFmt w:val="lowerLetter"/>
      <w:lvlText w:val="%8."/>
      <w:lvlJc w:val="left"/>
      <w:pPr>
        <w:ind w:left="7669" w:hanging="360"/>
      </w:pPr>
    </w:lvl>
    <w:lvl w:ilvl="8" w:tplc="0809001B" w:tentative="1">
      <w:start w:val="1"/>
      <w:numFmt w:val="lowerRoman"/>
      <w:lvlText w:val="%9."/>
      <w:lvlJc w:val="right"/>
      <w:pPr>
        <w:ind w:left="8389" w:hanging="180"/>
      </w:pPr>
    </w:lvl>
  </w:abstractNum>
  <w:abstractNum w:abstractNumId="12">
    <w:nsid w:val="4595239C"/>
    <w:multiLevelType w:val="hybridMultilevel"/>
    <w:tmpl w:val="A300D05C"/>
    <w:lvl w:ilvl="0" w:tplc="EA28910A">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E141F73"/>
    <w:multiLevelType w:val="hybridMultilevel"/>
    <w:tmpl w:val="F16E8D00"/>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26D5BC1"/>
    <w:multiLevelType w:val="hybridMultilevel"/>
    <w:tmpl w:val="970C44B2"/>
    <w:lvl w:ilvl="0" w:tplc="5C463C68">
      <w:start w:val="1"/>
      <w:numFmt w:val="decimal"/>
      <w:lvlText w:val="[%1]"/>
      <w:lvlJc w:val="left"/>
      <w:pPr>
        <w:ind w:left="720" w:hanging="360"/>
      </w:pPr>
      <w:rPr>
        <w:rFonts w:ascii="Arial" w:hAnsi="Aria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4A632E7"/>
    <w:multiLevelType w:val="hybridMultilevel"/>
    <w:tmpl w:val="8604D9AA"/>
    <w:lvl w:ilvl="0" w:tplc="38522B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5F26EB1"/>
    <w:multiLevelType w:val="hybridMultilevel"/>
    <w:tmpl w:val="5D6A3D7A"/>
    <w:lvl w:ilvl="0" w:tplc="052E1412">
      <w:start w:val="1"/>
      <w:numFmt w:val="lowerLetter"/>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5DAF5F2B"/>
    <w:multiLevelType w:val="hybridMultilevel"/>
    <w:tmpl w:val="00EC9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3394DC6"/>
    <w:multiLevelType w:val="hybridMultilevel"/>
    <w:tmpl w:val="97541C80"/>
    <w:lvl w:ilvl="0" w:tplc="5C463C68">
      <w:start w:val="1"/>
      <w:numFmt w:val="decimal"/>
      <w:lvlText w:val="[%1]"/>
      <w:lvlJc w:val="left"/>
      <w:pPr>
        <w:ind w:left="720" w:hanging="360"/>
      </w:pPr>
      <w:rPr>
        <w:rFonts w:ascii="Arial" w:hAnsi="Aria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96054EA"/>
    <w:multiLevelType w:val="hybridMultilevel"/>
    <w:tmpl w:val="937C60B6"/>
    <w:lvl w:ilvl="0" w:tplc="5C463C68">
      <w:start w:val="1"/>
      <w:numFmt w:val="decimal"/>
      <w:lvlText w:val="[%1]"/>
      <w:lvlJc w:val="left"/>
      <w:pPr>
        <w:ind w:left="720" w:hanging="360"/>
      </w:pPr>
      <w:rPr>
        <w:rFonts w:ascii="Arial" w:hAnsi="Aria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D093DA3"/>
    <w:multiLevelType w:val="hybridMultilevel"/>
    <w:tmpl w:val="F2648538"/>
    <w:lvl w:ilvl="0" w:tplc="5C463C68">
      <w:start w:val="1"/>
      <w:numFmt w:val="decimal"/>
      <w:lvlText w:val="[%1]"/>
      <w:lvlJc w:val="left"/>
      <w:pPr>
        <w:ind w:left="720" w:hanging="360"/>
      </w:pPr>
      <w:rPr>
        <w:rFonts w:ascii="Arial" w:hAnsi="Aria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4AF3E9E"/>
    <w:multiLevelType w:val="hybridMultilevel"/>
    <w:tmpl w:val="8CAAC96E"/>
    <w:lvl w:ilvl="0" w:tplc="2018B63C">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2"/>
  </w:num>
  <w:num w:numId="3">
    <w:abstractNumId w:val="8"/>
  </w:num>
  <w:num w:numId="4">
    <w:abstractNumId w:val="0"/>
  </w:num>
  <w:num w:numId="5">
    <w:abstractNumId w:val="17"/>
  </w:num>
  <w:num w:numId="6">
    <w:abstractNumId w:val="16"/>
  </w:num>
  <w:num w:numId="7">
    <w:abstractNumId w:val="6"/>
  </w:num>
  <w:num w:numId="8">
    <w:abstractNumId w:val="4"/>
  </w:num>
  <w:num w:numId="9">
    <w:abstractNumId w:val="21"/>
  </w:num>
  <w:num w:numId="10">
    <w:abstractNumId w:val="2"/>
  </w:num>
  <w:num w:numId="11">
    <w:abstractNumId w:val="5"/>
  </w:num>
  <w:num w:numId="12">
    <w:abstractNumId w:val="9"/>
  </w:num>
  <w:num w:numId="13">
    <w:abstractNumId w:val="10"/>
  </w:num>
  <w:num w:numId="14">
    <w:abstractNumId w:val="7"/>
  </w:num>
  <w:num w:numId="15">
    <w:abstractNumId w:val="20"/>
  </w:num>
  <w:num w:numId="16">
    <w:abstractNumId w:val="14"/>
  </w:num>
  <w:num w:numId="17">
    <w:abstractNumId w:val="19"/>
  </w:num>
  <w:num w:numId="18">
    <w:abstractNumId w:val="18"/>
  </w:num>
  <w:num w:numId="19">
    <w:abstractNumId w:val="13"/>
  </w:num>
  <w:num w:numId="20">
    <w:abstractNumId w:val="15"/>
  </w:num>
  <w:num w:numId="21">
    <w:abstractNumId w:val="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D40"/>
    <w:rsid w:val="00007620"/>
    <w:rsid w:val="00033C53"/>
    <w:rsid w:val="0004205E"/>
    <w:rsid w:val="000443B8"/>
    <w:rsid w:val="0004573D"/>
    <w:rsid w:val="00047FCA"/>
    <w:rsid w:val="000502D8"/>
    <w:rsid w:val="000517CB"/>
    <w:rsid w:val="0006217B"/>
    <w:rsid w:val="00070053"/>
    <w:rsid w:val="0007611C"/>
    <w:rsid w:val="000777FD"/>
    <w:rsid w:val="000804EF"/>
    <w:rsid w:val="0008291A"/>
    <w:rsid w:val="00082D4E"/>
    <w:rsid w:val="000831E8"/>
    <w:rsid w:val="000852AD"/>
    <w:rsid w:val="0009595E"/>
    <w:rsid w:val="000A1173"/>
    <w:rsid w:val="000A1D86"/>
    <w:rsid w:val="000A2E18"/>
    <w:rsid w:val="000A41E2"/>
    <w:rsid w:val="000A44C4"/>
    <w:rsid w:val="000A62E5"/>
    <w:rsid w:val="000B147C"/>
    <w:rsid w:val="000B3068"/>
    <w:rsid w:val="000B6F94"/>
    <w:rsid w:val="000C21C3"/>
    <w:rsid w:val="000D4887"/>
    <w:rsid w:val="000E04BD"/>
    <w:rsid w:val="000E0E61"/>
    <w:rsid w:val="000E2301"/>
    <w:rsid w:val="000F59F1"/>
    <w:rsid w:val="00105E80"/>
    <w:rsid w:val="00112BBA"/>
    <w:rsid w:val="00112EF0"/>
    <w:rsid w:val="00113F3D"/>
    <w:rsid w:val="001205E5"/>
    <w:rsid w:val="001233A4"/>
    <w:rsid w:val="00137153"/>
    <w:rsid w:val="001374E5"/>
    <w:rsid w:val="00144C94"/>
    <w:rsid w:val="00151108"/>
    <w:rsid w:val="00153B24"/>
    <w:rsid w:val="001618FE"/>
    <w:rsid w:val="00162299"/>
    <w:rsid w:val="0016258B"/>
    <w:rsid w:val="00171B85"/>
    <w:rsid w:val="00181DD3"/>
    <w:rsid w:val="00183E6B"/>
    <w:rsid w:val="00184D66"/>
    <w:rsid w:val="001909EC"/>
    <w:rsid w:val="0019107E"/>
    <w:rsid w:val="00192D9B"/>
    <w:rsid w:val="001A2281"/>
    <w:rsid w:val="001B16C6"/>
    <w:rsid w:val="001B27F0"/>
    <w:rsid w:val="001B64B6"/>
    <w:rsid w:val="001B7DC4"/>
    <w:rsid w:val="001C138B"/>
    <w:rsid w:val="001C1C6D"/>
    <w:rsid w:val="001C4586"/>
    <w:rsid w:val="001C5342"/>
    <w:rsid w:val="001E362E"/>
    <w:rsid w:val="001F1643"/>
    <w:rsid w:val="001F1B49"/>
    <w:rsid w:val="001F71CF"/>
    <w:rsid w:val="002003E4"/>
    <w:rsid w:val="002025BA"/>
    <w:rsid w:val="002039A5"/>
    <w:rsid w:val="00204213"/>
    <w:rsid w:val="00213826"/>
    <w:rsid w:val="0021516C"/>
    <w:rsid w:val="0021667C"/>
    <w:rsid w:val="00221470"/>
    <w:rsid w:val="00221B60"/>
    <w:rsid w:val="00224A49"/>
    <w:rsid w:val="00225A17"/>
    <w:rsid w:val="0022623C"/>
    <w:rsid w:val="00234CC1"/>
    <w:rsid w:val="00245732"/>
    <w:rsid w:val="002560CB"/>
    <w:rsid w:val="00257371"/>
    <w:rsid w:val="0026636F"/>
    <w:rsid w:val="002748DB"/>
    <w:rsid w:val="0027660A"/>
    <w:rsid w:val="0028004B"/>
    <w:rsid w:val="00283714"/>
    <w:rsid w:val="002855F1"/>
    <w:rsid w:val="00291116"/>
    <w:rsid w:val="00293A2F"/>
    <w:rsid w:val="00294BFE"/>
    <w:rsid w:val="002963CC"/>
    <w:rsid w:val="002A113E"/>
    <w:rsid w:val="002A2592"/>
    <w:rsid w:val="002A588F"/>
    <w:rsid w:val="002B2137"/>
    <w:rsid w:val="002B2855"/>
    <w:rsid w:val="002B7F41"/>
    <w:rsid w:val="002C2ACD"/>
    <w:rsid w:val="002C383F"/>
    <w:rsid w:val="002D6E18"/>
    <w:rsid w:val="002D7AD3"/>
    <w:rsid w:val="002D7B71"/>
    <w:rsid w:val="002E1119"/>
    <w:rsid w:val="002E1455"/>
    <w:rsid w:val="002E1D89"/>
    <w:rsid w:val="002E33A5"/>
    <w:rsid w:val="002E4410"/>
    <w:rsid w:val="002E4E1F"/>
    <w:rsid w:val="002E52FC"/>
    <w:rsid w:val="002E57C1"/>
    <w:rsid w:val="002E6167"/>
    <w:rsid w:val="002E6460"/>
    <w:rsid w:val="002F2A6B"/>
    <w:rsid w:val="00301A36"/>
    <w:rsid w:val="00305C0E"/>
    <w:rsid w:val="00307387"/>
    <w:rsid w:val="00310AB0"/>
    <w:rsid w:val="0031570A"/>
    <w:rsid w:val="003215BC"/>
    <w:rsid w:val="003242FF"/>
    <w:rsid w:val="00326D22"/>
    <w:rsid w:val="00326D91"/>
    <w:rsid w:val="0032743F"/>
    <w:rsid w:val="003303FA"/>
    <w:rsid w:val="003336B3"/>
    <w:rsid w:val="00334078"/>
    <w:rsid w:val="00335F6E"/>
    <w:rsid w:val="0034043C"/>
    <w:rsid w:val="003523B0"/>
    <w:rsid w:val="00362CF8"/>
    <w:rsid w:val="003633B0"/>
    <w:rsid w:val="0036615F"/>
    <w:rsid w:val="00373EE6"/>
    <w:rsid w:val="003778E1"/>
    <w:rsid w:val="00384614"/>
    <w:rsid w:val="003846E9"/>
    <w:rsid w:val="003A2D1F"/>
    <w:rsid w:val="003A565C"/>
    <w:rsid w:val="003B0941"/>
    <w:rsid w:val="003B21C2"/>
    <w:rsid w:val="003B4F04"/>
    <w:rsid w:val="003C0C4D"/>
    <w:rsid w:val="003C27C1"/>
    <w:rsid w:val="003C294B"/>
    <w:rsid w:val="003C407C"/>
    <w:rsid w:val="003D08EE"/>
    <w:rsid w:val="003D6583"/>
    <w:rsid w:val="003E4B3C"/>
    <w:rsid w:val="003E7F2D"/>
    <w:rsid w:val="003F15EA"/>
    <w:rsid w:val="003F4C8F"/>
    <w:rsid w:val="003F4CC5"/>
    <w:rsid w:val="003F5D3D"/>
    <w:rsid w:val="003F6554"/>
    <w:rsid w:val="00402148"/>
    <w:rsid w:val="0041295D"/>
    <w:rsid w:val="00413786"/>
    <w:rsid w:val="00415780"/>
    <w:rsid w:val="0041705D"/>
    <w:rsid w:val="00436542"/>
    <w:rsid w:val="00436E09"/>
    <w:rsid w:val="0044106A"/>
    <w:rsid w:val="0044358B"/>
    <w:rsid w:val="00444A3B"/>
    <w:rsid w:val="004528E8"/>
    <w:rsid w:val="004627A0"/>
    <w:rsid w:val="004627BD"/>
    <w:rsid w:val="00463447"/>
    <w:rsid w:val="004640CB"/>
    <w:rsid w:val="00465C2B"/>
    <w:rsid w:val="0046743F"/>
    <w:rsid w:val="00471E76"/>
    <w:rsid w:val="00472B07"/>
    <w:rsid w:val="00473AF6"/>
    <w:rsid w:val="004855A0"/>
    <w:rsid w:val="00494A6B"/>
    <w:rsid w:val="004954ED"/>
    <w:rsid w:val="00497CF7"/>
    <w:rsid w:val="004A1476"/>
    <w:rsid w:val="004A33C1"/>
    <w:rsid w:val="004A726D"/>
    <w:rsid w:val="004B403E"/>
    <w:rsid w:val="004B45A7"/>
    <w:rsid w:val="004B635B"/>
    <w:rsid w:val="004B6651"/>
    <w:rsid w:val="004C1A78"/>
    <w:rsid w:val="004D5E86"/>
    <w:rsid w:val="004D5F10"/>
    <w:rsid w:val="004F060B"/>
    <w:rsid w:val="004F1336"/>
    <w:rsid w:val="004F136E"/>
    <w:rsid w:val="004F161B"/>
    <w:rsid w:val="004F2CA7"/>
    <w:rsid w:val="004F3442"/>
    <w:rsid w:val="004F7C15"/>
    <w:rsid w:val="00505E91"/>
    <w:rsid w:val="005112EB"/>
    <w:rsid w:val="00515420"/>
    <w:rsid w:val="00515E84"/>
    <w:rsid w:val="00532A1D"/>
    <w:rsid w:val="00544D40"/>
    <w:rsid w:val="00546AFC"/>
    <w:rsid w:val="0055184E"/>
    <w:rsid w:val="00554977"/>
    <w:rsid w:val="005606DB"/>
    <w:rsid w:val="00560955"/>
    <w:rsid w:val="00563988"/>
    <w:rsid w:val="00564BD5"/>
    <w:rsid w:val="00572726"/>
    <w:rsid w:val="00574023"/>
    <w:rsid w:val="00574027"/>
    <w:rsid w:val="005763EE"/>
    <w:rsid w:val="00576C89"/>
    <w:rsid w:val="005770D5"/>
    <w:rsid w:val="00580BED"/>
    <w:rsid w:val="00586A19"/>
    <w:rsid w:val="00586B23"/>
    <w:rsid w:val="00587A05"/>
    <w:rsid w:val="0059437C"/>
    <w:rsid w:val="00596E1D"/>
    <w:rsid w:val="005A529B"/>
    <w:rsid w:val="005B3BEE"/>
    <w:rsid w:val="005B73C5"/>
    <w:rsid w:val="005B759E"/>
    <w:rsid w:val="005C0C85"/>
    <w:rsid w:val="005E203F"/>
    <w:rsid w:val="005E4790"/>
    <w:rsid w:val="005F2C1D"/>
    <w:rsid w:val="005F66A8"/>
    <w:rsid w:val="006015ED"/>
    <w:rsid w:val="00610A9F"/>
    <w:rsid w:val="00623F8E"/>
    <w:rsid w:val="00625BED"/>
    <w:rsid w:val="00630524"/>
    <w:rsid w:val="00633BFB"/>
    <w:rsid w:val="00637A8A"/>
    <w:rsid w:val="0064356D"/>
    <w:rsid w:val="0064461B"/>
    <w:rsid w:val="006511A9"/>
    <w:rsid w:val="006562E0"/>
    <w:rsid w:val="00656774"/>
    <w:rsid w:val="00656B3F"/>
    <w:rsid w:val="00660579"/>
    <w:rsid w:val="00661A89"/>
    <w:rsid w:val="00663B3E"/>
    <w:rsid w:val="006670E5"/>
    <w:rsid w:val="00670E4E"/>
    <w:rsid w:val="00672D6C"/>
    <w:rsid w:val="00677A02"/>
    <w:rsid w:val="00677ACC"/>
    <w:rsid w:val="00683633"/>
    <w:rsid w:val="00683BCE"/>
    <w:rsid w:val="00683F8B"/>
    <w:rsid w:val="00687A1E"/>
    <w:rsid w:val="00691BDC"/>
    <w:rsid w:val="00695224"/>
    <w:rsid w:val="00695C77"/>
    <w:rsid w:val="006B027C"/>
    <w:rsid w:val="006B1485"/>
    <w:rsid w:val="006B2117"/>
    <w:rsid w:val="006B5F57"/>
    <w:rsid w:val="006B7C25"/>
    <w:rsid w:val="006C0F50"/>
    <w:rsid w:val="006C4CB3"/>
    <w:rsid w:val="006D0C2F"/>
    <w:rsid w:val="006D1309"/>
    <w:rsid w:val="006E1778"/>
    <w:rsid w:val="006E6DDE"/>
    <w:rsid w:val="006E75A8"/>
    <w:rsid w:val="006E7BB5"/>
    <w:rsid w:val="006F1E65"/>
    <w:rsid w:val="006F20B3"/>
    <w:rsid w:val="006F2A6A"/>
    <w:rsid w:val="006F371D"/>
    <w:rsid w:val="007000F9"/>
    <w:rsid w:val="00710279"/>
    <w:rsid w:val="00712A11"/>
    <w:rsid w:val="00712F9F"/>
    <w:rsid w:val="007138D2"/>
    <w:rsid w:val="0071578B"/>
    <w:rsid w:val="007160CC"/>
    <w:rsid w:val="00716B08"/>
    <w:rsid w:val="00734460"/>
    <w:rsid w:val="00737BBF"/>
    <w:rsid w:val="00743CE3"/>
    <w:rsid w:val="0074459C"/>
    <w:rsid w:val="0075242B"/>
    <w:rsid w:val="00773EC8"/>
    <w:rsid w:val="0077786F"/>
    <w:rsid w:val="0078167C"/>
    <w:rsid w:val="00786C90"/>
    <w:rsid w:val="007874B8"/>
    <w:rsid w:val="007A28CE"/>
    <w:rsid w:val="007B467F"/>
    <w:rsid w:val="007B46F3"/>
    <w:rsid w:val="007B5EC0"/>
    <w:rsid w:val="007C4635"/>
    <w:rsid w:val="007D2632"/>
    <w:rsid w:val="007D5CB0"/>
    <w:rsid w:val="007E3364"/>
    <w:rsid w:val="007E40B1"/>
    <w:rsid w:val="007E4686"/>
    <w:rsid w:val="007F087D"/>
    <w:rsid w:val="007F2BF6"/>
    <w:rsid w:val="007F62EB"/>
    <w:rsid w:val="007F78C5"/>
    <w:rsid w:val="00812E8C"/>
    <w:rsid w:val="00813F86"/>
    <w:rsid w:val="008204D9"/>
    <w:rsid w:val="008223A4"/>
    <w:rsid w:val="00822422"/>
    <w:rsid w:val="0083480A"/>
    <w:rsid w:val="00836201"/>
    <w:rsid w:val="00840D1B"/>
    <w:rsid w:val="00843895"/>
    <w:rsid w:val="00844B65"/>
    <w:rsid w:val="00854073"/>
    <w:rsid w:val="0086203E"/>
    <w:rsid w:val="008645C3"/>
    <w:rsid w:val="00866FFB"/>
    <w:rsid w:val="00871CE0"/>
    <w:rsid w:val="00873F9F"/>
    <w:rsid w:val="00875142"/>
    <w:rsid w:val="00876F9C"/>
    <w:rsid w:val="008806F1"/>
    <w:rsid w:val="00893647"/>
    <w:rsid w:val="00893C70"/>
    <w:rsid w:val="00893CFC"/>
    <w:rsid w:val="008940C9"/>
    <w:rsid w:val="008956A0"/>
    <w:rsid w:val="008C3FFC"/>
    <w:rsid w:val="008C4732"/>
    <w:rsid w:val="008C5A48"/>
    <w:rsid w:val="008D10AA"/>
    <w:rsid w:val="008D5466"/>
    <w:rsid w:val="008D6438"/>
    <w:rsid w:val="008E221A"/>
    <w:rsid w:val="008E5C06"/>
    <w:rsid w:val="008E5F05"/>
    <w:rsid w:val="008F0E8E"/>
    <w:rsid w:val="008F3D74"/>
    <w:rsid w:val="00901072"/>
    <w:rsid w:val="00905A5B"/>
    <w:rsid w:val="00907D71"/>
    <w:rsid w:val="00911848"/>
    <w:rsid w:val="00912DC3"/>
    <w:rsid w:val="00913D27"/>
    <w:rsid w:val="00921805"/>
    <w:rsid w:val="00923B7C"/>
    <w:rsid w:val="009262FC"/>
    <w:rsid w:val="0092669E"/>
    <w:rsid w:val="00930040"/>
    <w:rsid w:val="0093190F"/>
    <w:rsid w:val="00942B26"/>
    <w:rsid w:val="009475CE"/>
    <w:rsid w:val="00951D42"/>
    <w:rsid w:val="00952645"/>
    <w:rsid w:val="00962EB5"/>
    <w:rsid w:val="00967909"/>
    <w:rsid w:val="00977250"/>
    <w:rsid w:val="00982B7C"/>
    <w:rsid w:val="00982CDB"/>
    <w:rsid w:val="00984AC8"/>
    <w:rsid w:val="00985456"/>
    <w:rsid w:val="009903EC"/>
    <w:rsid w:val="00995094"/>
    <w:rsid w:val="0099640D"/>
    <w:rsid w:val="00996436"/>
    <w:rsid w:val="00997DA2"/>
    <w:rsid w:val="009A7085"/>
    <w:rsid w:val="009A75D2"/>
    <w:rsid w:val="009B0CA5"/>
    <w:rsid w:val="009B19BD"/>
    <w:rsid w:val="009B6672"/>
    <w:rsid w:val="009C21B8"/>
    <w:rsid w:val="009C2AB7"/>
    <w:rsid w:val="009C682D"/>
    <w:rsid w:val="009C7F6E"/>
    <w:rsid w:val="009D1624"/>
    <w:rsid w:val="009D1AC8"/>
    <w:rsid w:val="009D472A"/>
    <w:rsid w:val="009E5AC0"/>
    <w:rsid w:val="009E7977"/>
    <w:rsid w:val="009F3F3A"/>
    <w:rsid w:val="009F643C"/>
    <w:rsid w:val="009F7DA2"/>
    <w:rsid w:val="00A103AB"/>
    <w:rsid w:val="00A132C9"/>
    <w:rsid w:val="00A13774"/>
    <w:rsid w:val="00A17430"/>
    <w:rsid w:val="00A20F60"/>
    <w:rsid w:val="00A215FB"/>
    <w:rsid w:val="00A21BCF"/>
    <w:rsid w:val="00A3394B"/>
    <w:rsid w:val="00A355AE"/>
    <w:rsid w:val="00A4144A"/>
    <w:rsid w:val="00A42C00"/>
    <w:rsid w:val="00A461AF"/>
    <w:rsid w:val="00A46697"/>
    <w:rsid w:val="00A47336"/>
    <w:rsid w:val="00A51B67"/>
    <w:rsid w:val="00A54C8D"/>
    <w:rsid w:val="00A55185"/>
    <w:rsid w:val="00A56C1F"/>
    <w:rsid w:val="00A57F00"/>
    <w:rsid w:val="00A606EE"/>
    <w:rsid w:val="00A62782"/>
    <w:rsid w:val="00A773E5"/>
    <w:rsid w:val="00A80DBA"/>
    <w:rsid w:val="00A8163A"/>
    <w:rsid w:val="00A862F7"/>
    <w:rsid w:val="00A86E08"/>
    <w:rsid w:val="00A974B3"/>
    <w:rsid w:val="00AB185E"/>
    <w:rsid w:val="00AB21C7"/>
    <w:rsid w:val="00AB5897"/>
    <w:rsid w:val="00AB5E67"/>
    <w:rsid w:val="00AC34ED"/>
    <w:rsid w:val="00AC5D95"/>
    <w:rsid w:val="00AC6F76"/>
    <w:rsid w:val="00AD1380"/>
    <w:rsid w:val="00AD1B4A"/>
    <w:rsid w:val="00AD409A"/>
    <w:rsid w:val="00AD6F17"/>
    <w:rsid w:val="00AD70B7"/>
    <w:rsid w:val="00AE4740"/>
    <w:rsid w:val="00AE5C5A"/>
    <w:rsid w:val="00AE755C"/>
    <w:rsid w:val="00AF0001"/>
    <w:rsid w:val="00B016A0"/>
    <w:rsid w:val="00B072F1"/>
    <w:rsid w:val="00B147F1"/>
    <w:rsid w:val="00B14E0B"/>
    <w:rsid w:val="00B154D0"/>
    <w:rsid w:val="00B221C6"/>
    <w:rsid w:val="00B24001"/>
    <w:rsid w:val="00B27CEF"/>
    <w:rsid w:val="00B30531"/>
    <w:rsid w:val="00B31D90"/>
    <w:rsid w:val="00B34CC3"/>
    <w:rsid w:val="00B365DE"/>
    <w:rsid w:val="00B378C2"/>
    <w:rsid w:val="00B378FB"/>
    <w:rsid w:val="00B37EE4"/>
    <w:rsid w:val="00B43303"/>
    <w:rsid w:val="00B43EF7"/>
    <w:rsid w:val="00B4563C"/>
    <w:rsid w:val="00B5049E"/>
    <w:rsid w:val="00B51947"/>
    <w:rsid w:val="00B5257A"/>
    <w:rsid w:val="00B546D6"/>
    <w:rsid w:val="00B54AE9"/>
    <w:rsid w:val="00B551B9"/>
    <w:rsid w:val="00B57361"/>
    <w:rsid w:val="00B577C6"/>
    <w:rsid w:val="00B63BB1"/>
    <w:rsid w:val="00B71712"/>
    <w:rsid w:val="00B73A48"/>
    <w:rsid w:val="00B766C8"/>
    <w:rsid w:val="00B841A1"/>
    <w:rsid w:val="00B90B0F"/>
    <w:rsid w:val="00B90F9C"/>
    <w:rsid w:val="00B9239B"/>
    <w:rsid w:val="00B9240C"/>
    <w:rsid w:val="00B95F4C"/>
    <w:rsid w:val="00BA2FAE"/>
    <w:rsid w:val="00BA3E7F"/>
    <w:rsid w:val="00BB4267"/>
    <w:rsid w:val="00BB4CE7"/>
    <w:rsid w:val="00BC1419"/>
    <w:rsid w:val="00BC4202"/>
    <w:rsid w:val="00BC5E17"/>
    <w:rsid w:val="00BD35CA"/>
    <w:rsid w:val="00BD405A"/>
    <w:rsid w:val="00BD4110"/>
    <w:rsid w:val="00BD5A1A"/>
    <w:rsid w:val="00BD6395"/>
    <w:rsid w:val="00BD6CF4"/>
    <w:rsid w:val="00BE0C4A"/>
    <w:rsid w:val="00BE7A0F"/>
    <w:rsid w:val="00BF040A"/>
    <w:rsid w:val="00C0295C"/>
    <w:rsid w:val="00C06F97"/>
    <w:rsid w:val="00C10656"/>
    <w:rsid w:val="00C2195D"/>
    <w:rsid w:val="00C23FC3"/>
    <w:rsid w:val="00C26FAE"/>
    <w:rsid w:val="00C30A8B"/>
    <w:rsid w:val="00C342AA"/>
    <w:rsid w:val="00C40A11"/>
    <w:rsid w:val="00C40CB4"/>
    <w:rsid w:val="00C4157F"/>
    <w:rsid w:val="00C42301"/>
    <w:rsid w:val="00C440A0"/>
    <w:rsid w:val="00C460C5"/>
    <w:rsid w:val="00C535F1"/>
    <w:rsid w:val="00C53C11"/>
    <w:rsid w:val="00C57166"/>
    <w:rsid w:val="00C62FBE"/>
    <w:rsid w:val="00C67850"/>
    <w:rsid w:val="00C73789"/>
    <w:rsid w:val="00C73B6F"/>
    <w:rsid w:val="00C81436"/>
    <w:rsid w:val="00C8263A"/>
    <w:rsid w:val="00C84B64"/>
    <w:rsid w:val="00C854D5"/>
    <w:rsid w:val="00C90A7A"/>
    <w:rsid w:val="00C92B37"/>
    <w:rsid w:val="00C955FF"/>
    <w:rsid w:val="00CB38BC"/>
    <w:rsid w:val="00CB682A"/>
    <w:rsid w:val="00CC4FB1"/>
    <w:rsid w:val="00CC51B0"/>
    <w:rsid w:val="00CD37B0"/>
    <w:rsid w:val="00CE45FE"/>
    <w:rsid w:val="00CE4676"/>
    <w:rsid w:val="00CE5ED6"/>
    <w:rsid w:val="00CF11C2"/>
    <w:rsid w:val="00CF1D8C"/>
    <w:rsid w:val="00D04161"/>
    <w:rsid w:val="00D050BF"/>
    <w:rsid w:val="00D10227"/>
    <w:rsid w:val="00D1265B"/>
    <w:rsid w:val="00D21FB9"/>
    <w:rsid w:val="00D222A2"/>
    <w:rsid w:val="00D22B64"/>
    <w:rsid w:val="00D22FB7"/>
    <w:rsid w:val="00D2414D"/>
    <w:rsid w:val="00D25D50"/>
    <w:rsid w:val="00D27A8C"/>
    <w:rsid w:val="00D35548"/>
    <w:rsid w:val="00D36962"/>
    <w:rsid w:val="00D36A34"/>
    <w:rsid w:val="00D51A01"/>
    <w:rsid w:val="00D53150"/>
    <w:rsid w:val="00D551F7"/>
    <w:rsid w:val="00D55384"/>
    <w:rsid w:val="00D62A8D"/>
    <w:rsid w:val="00D674AC"/>
    <w:rsid w:val="00D7301E"/>
    <w:rsid w:val="00D83A35"/>
    <w:rsid w:val="00D8713E"/>
    <w:rsid w:val="00D9364B"/>
    <w:rsid w:val="00D93EB6"/>
    <w:rsid w:val="00DA2F88"/>
    <w:rsid w:val="00DA5783"/>
    <w:rsid w:val="00DB2949"/>
    <w:rsid w:val="00DB31D3"/>
    <w:rsid w:val="00DB3D79"/>
    <w:rsid w:val="00DB4155"/>
    <w:rsid w:val="00DB6761"/>
    <w:rsid w:val="00DC0419"/>
    <w:rsid w:val="00DC728E"/>
    <w:rsid w:val="00DD0CB2"/>
    <w:rsid w:val="00DD164B"/>
    <w:rsid w:val="00DD1F94"/>
    <w:rsid w:val="00DD2491"/>
    <w:rsid w:val="00DD7BF8"/>
    <w:rsid w:val="00DE2D1E"/>
    <w:rsid w:val="00DE3743"/>
    <w:rsid w:val="00DE65B1"/>
    <w:rsid w:val="00DF0017"/>
    <w:rsid w:val="00DF2E81"/>
    <w:rsid w:val="00E002CA"/>
    <w:rsid w:val="00E009E2"/>
    <w:rsid w:val="00E02216"/>
    <w:rsid w:val="00E031AA"/>
    <w:rsid w:val="00E122E3"/>
    <w:rsid w:val="00E123EF"/>
    <w:rsid w:val="00E14A1B"/>
    <w:rsid w:val="00E16C61"/>
    <w:rsid w:val="00E1708A"/>
    <w:rsid w:val="00E17CBF"/>
    <w:rsid w:val="00E17F33"/>
    <w:rsid w:val="00E276B3"/>
    <w:rsid w:val="00E31860"/>
    <w:rsid w:val="00E33FDB"/>
    <w:rsid w:val="00E3533C"/>
    <w:rsid w:val="00E37B0B"/>
    <w:rsid w:val="00E40FF3"/>
    <w:rsid w:val="00E4231E"/>
    <w:rsid w:val="00E43EEC"/>
    <w:rsid w:val="00E449F0"/>
    <w:rsid w:val="00E46053"/>
    <w:rsid w:val="00E5337F"/>
    <w:rsid w:val="00E57EF9"/>
    <w:rsid w:val="00E64517"/>
    <w:rsid w:val="00E65D3A"/>
    <w:rsid w:val="00E718C1"/>
    <w:rsid w:val="00E738FC"/>
    <w:rsid w:val="00E873B6"/>
    <w:rsid w:val="00E87EC6"/>
    <w:rsid w:val="00E90C11"/>
    <w:rsid w:val="00EA3B76"/>
    <w:rsid w:val="00EA5C2A"/>
    <w:rsid w:val="00EA5E6F"/>
    <w:rsid w:val="00EA6848"/>
    <w:rsid w:val="00EA7738"/>
    <w:rsid w:val="00EB4C95"/>
    <w:rsid w:val="00EB6718"/>
    <w:rsid w:val="00EC0B2D"/>
    <w:rsid w:val="00EC67DC"/>
    <w:rsid w:val="00EC7748"/>
    <w:rsid w:val="00ED0C10"/>
    <w:rsid w:val="00ED2E2D"/>
    <w:rsid w:val="00ED324D"/>
    <w:rsid w:val="00ED365F"/>
    <w:rsid w:val="00ED567E"/>
    <w:rsid w:val="00ED5B9D"/>
    <w:rsid w:val="00EE101E"/>
    <w:rsid w:val="00EE1288"/>
    <w:rsid w:val="00EE34EC"/>
    <w:rsid w:val="00EE40AF"/>
    <w:rsid w:val="00EF4AC3"/>
    <w:rsid w:val="00EF534C"/>
    <w:rsid w:val="00EF6A1A"/>
    <w:rsid w:val="00F02260"/>
    <w:rsid w:val="00F024FD"/>
    <w:rsid w:val="00F20649"/>
    <w:rsid w:val="00F23761"/>
    <w:rsid w:val="00F332A9"/>
    <w:rsid w:val="00F4018F"/>
    <w:rsid w:val="00F45273"/>
    <w:rsid w:val="00F45C0F"/>
    <w:rsid w:val="00F55352"/>
    <w:rsid w:val="00F70ABE"/>
    <w:rsid w:val="00F71451"/>
    <w:rsid w:val="00F82763"/>
    <w:rsid w:val="00F932B8"/>
    <w:rsid w:val="00F93753"/>
    <w:rsid w:val="00F94FCE"/>
    <w:rsid w:val="00F95F41"/>
    <w:rsid w:val="00FA2964"/>
    <w:rsid w:val="00FA49BE"/>
    <w:rsid w:val="00FA5203"/>
    <w:rsid w:val="00FB5B04"/>
    <w:rsid w:val="00FB6BEB"/>
    <w:rsid w:val="00FC1664"/>
    <w:rsid w:val="00FC6672"/>
    <w:rsid w:val="00FD0184"/>
    <w:rsid w:val="00FD0230"/>
    <w:rsid w:val="00FD2C08"/>
    <w:rsid w:val="00FD2EBD"/>
    <w:rsid w:val="00FE4B95"/>
    <w:rsid w:val="00FE5FDA"/>
    <w:rsid w:val="00FE7104"/>
    <w:rsid w:val="00FE7708"/>
    <w:rsid w:val="00FF3254"/>
    <w:rsid w:val="00FF6044"/>
  </w:rsids>
  <m:mathPr>
    <m:mathFont m:val="Cambria Math"/>
    <m:brkBin m:val="before"/>
    <m:brkBinSub m:val="--"/>
    <m:smallFrac m:val="0"/>
    <m:dispDef/>
    <m:lMargin m:val="0"/>
    <m:rMargin m:val="0"/>
    <m:defJc m:val="centerGroup"/>
    <m:wrapIndent m:val="1440"/>
    <m:intLim m:val="subSup"/>
    <m:naryLim m:val="undOvr"/>
  </m:mathPr>
  <w:themeFontLang w:val="en-GB"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A9A8A"/>
  <w15:chartTrackingRefBased/>
  <w15:docId w15:val="{33A67322-9F54-45EA-A8CA-848A5C169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5CE"/>
    <w:pPr>
      <w:spacing w:after="0" w:line="240" w:lineRule="auto"/>
    </w:pPr>
    <w:rPr>
      <w:rFonts w:ascii="Times New Roman" w:eastAsia="Times New Roman" w:hAnsi="Times New Roman" w:cs="Times New Roman"/>
      <w:sz w:val="24"/>
      <w:szCs w:val="24"/>
      <w:lang w:val="en-ZA" w:eastAsia="en-GB" w:bidi="yi-Hebr"/>
    </w:rPr>
  </w:style>
  <w:style w:type="paragraph" w:styleId="Heading1">
    <w:name w:val="heading 1"/>
    <w:basedOn w:val="Normal"/>
    <w:next w:val="Normal"/>
    <w:link w:val="Heading1Char"/>
    <w:uiPriority w:val="9"/>
    <w:qFormat/>
    <w:rsid w:val="00C42301"/>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n-GB" w:eastAsia="en-US" w:bidi="ar-SA"/>
    </w:rPr>
  </w:style>
  <w:style w:type="paragraph" w:styleId="Heading2">
    <w:name w:val="heading 2"/>
    <w:basedOn w:val="Normal"/>
    <w:next w:val="Normal"/>
    <w:link w:val="Heading2Char"/>
    <w:uiPriority w:val="9"/>
    <w:unhideWhenUsed/>
    <w:qFormat/>
    <w:rsid w:val="00E65D3A"/>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n-GB"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D40"/>
    <w:pPr>
      <w:spacing w:after="160" w:line="259" w:lineRule="auto"/>
      <w:ind w:left="720"/>
      <w:contextualSpacing/>
    </w:pPr>
    <w:rPr>
      <w:rFonts w:asciiTheme="minorHAnsi" w:eastAsiaTheme="minorHAnsi" w:hAnsiTheme="minorHAnsi" w:cstheme="minorBidi"/>
      <w:sz w:val="22"/>
      <w:szCs w:val="22"/>
      <w:lang w:val="en-GB" w:eastAsia="en-US" w:bidi="ar-SA"/>
    </w:rPr>
  </w:style>
  <w:style w:type="paragraph" w:styleId="ListBullet">
    <w:name w:val="List Bullet"/>
    <w:basedOn w:val="Normal"/>
    <w:uiPriority w:val="99"/>
    <w:unhideWhenUsed/>
    <w:rsid w:val="00E002CA"/>
    <w:pPr>
      <w:numPr>
        <w:numId w:val="4"/>
      </w:numPr>
      <w:spacing w:before="60" w:line="230" w:lineRule="exact"/>
      <w:contextualSpacing/>
      <w:jc w:val="both"/>
    </w:pPr>
    <w:rPr>
      <w:rFonts w:ascii="Helvetica" w:eastAsiaTheme="minorHAnsi" w:hAnsi="Helvetica" w:cstheme="minorBidi"/>
      <w:sz w:val="20"/>
      <w:szCs w:val="22"/>
      <w:lang w:val="en-US" w:eastAsia="en-US" w:bidi="ar-SA"/>
    </w:rPr>
  </w:style>
  <w:style w:type="character" w:styleId="FootnoteReference">
    <w:name w:val="footnote reference"/>
    <w:basedOn w:val="DefaultParagraphFont"/>
    <w:uiPriority w:val="99"/>
    <w:semiHidden/>
    <w:unhideWhenUsed/>
    <w:rsid w:val="00E002CA"/>
    <w:rPr>
      <w:vertAlign w:val="superscript"/>
    </w:rPr>
  </w:style>
  <w:style w:type="paragraph" w:customStyle="1" w:styleId="Footnote00">
    <w:name w:val="Footnote 00"/>
    <w:basedOn w:val="Normal"/>
    <w:rsid w:val="00E002CA"/>
    <w:pPr>
      <w:tabs>
        <w:tab w:val="right" w:pos="227"/>
        <w:tab w:val="left" w:pos="340"/>
      </w:tabs>
      <w:spacing w:line="210" w:lineRule="exact"/>
      <w:ind w:left="340" w:hanging="340"/>
      <w:jc w:val="both"/>
    </w:pPr>
    <w:rPr>
      <w:rFonts w:ascii="Helvetica" w:eastAsiaTheme="minorHAnsi" w:hAnsi="Helvetica" w:cstheme="minorBidi"/>
      <w:sz w:val="18"/>
      <w:szCs w:val="19"/>
      <w:lang w:val="en-US" w:eastAsia="en-US" w:bidi="ar-SA"/>
    </w:rPr>
  </w:style>
  <w:style w:type="paragraph" w:styleId="FootnoteText">
    <w:name w:val="footnote text"/>
    <w:basedOn w:val="Normal"/>
    <w:link w:val="FootnoteTextChar"/>
    <w:uiPriority w:val="99"/>
    <w:semiHidden/>
    <w:unhideWhenUsed/>
    <w:rsid w:val="00921805"/>
    <w:rPr>
      <w:rFonts w:asciiTheme="minorHAnsi" w:eastAsiaTheme="minorHAnsi" w:hAnsiTheme="minorHAnsi" w:cstheme="minorBidi"/>
      <w:sz w:val="20"/>
      <w:szCs w:val="20"/>
      <w:lang w:val="en-GB" w:eastAsia="en-US" w:bidi="ar-SA"/>
    </w:rPr>
  </w:style>
  <w:style w:type="character" w:customStyle="1" w:styleId="FootnoteTextChar">
    <w:name w:val="Footnote Text Char"/>
    <w:basedOn w:val="DefaultParagraphFont"/>
    <w:link w:val="FootnoteText"/>
    <w:uiPriority w:val="99"/>
    <w:semiHidden/>
    <w:rsid w:val="00921805"/>
    <w:rPr>
      <w:sz w:val="20"/>
      <w:szCs w:val="20"/>
    </w:rPr>
  </w:style>
  <w:style w:type="paragraph" w:styleId="Header">
    <w:name w:val="header"/>
    <w:basedOn w:val="Normal"/>
    <w:link w:val="HeaderChar"/>
    <w:uiPriority w:val="99"/>
    <w:unhideWhenUsed/>
    <w:rsid w:val="008F3D74"/>
    <w:pPr>
      <w:tabs>
        <w:tab w:val="center" w:pos="4513"/>
        <w:tab w:val="right" w:pos="9026"/>
      </w:tabs>
    </w:pPr>
    <w:rPr>
      <w:rFonts w:asciiTheme="minorHAnsi" w:eastAsiaTheme="minorHAnsi" w:hAnsiTheme="minorHAnsi" w:cstheme="minorBidi"/>
      <w:sz w:val="22"/>
      <w:szCs w:val="22"/>
      <w:lang w:val="en-GB" w:eastAsia="en-US" w:bidi="ar-SA"/>
    </w:rPr>
  </w:style>
  <w:style w:type="character" w:customStyle="1" w:styleId="HeaderChar">
    <w:name w:val="Header Char"/>
    <w:basedOn w:val="DefaultParagraphFont"/>
    <w:link w:val="Header"/>
    <w:uiPriority w:val="99"/>
    <w:rsid w:val="008F3D74"/>
  </w:style>
  <w:style w:type="paragraph" w:styleId="Footer">
    <w:name w:val="footer"/>
    <w:basedOn w:val="Normal"/>
    <w:link w:val="FooterChar"/>
    <w:uiPriority w:val="99"/>
    <w:unhideWhenUsed/>
    <w:rsid w:val="008F3D74"/>
    <w:pPr>
      <w:tabs>
        <w:tab w:val="center" w:pos="4513"/>
        <w:tab w:val="right" w:pos="9026"/>
      </w:tabs>
    </w:pPr>
    <w:rPr>
      <w:rFonts w:asciiTheme="minorHAnsi" w:eastAsiaTheme="minorHAnsi" w:hAnsiTheme="minorHAnsi" w:cstheme="minorBidi"/>
      <w:sz w:val="22"/>
      <w:szCs w:val="22"/>
      <w:lang w:val="en-GB" w:eastAsia="en-US" w:bidi="ar-SA"/>
    </w:rPr>
  </w:style>
  <w:style w:type="character" w:customStyle="1" w:styleId="FooterChar">
    <w:name w:val="Footer Char"/>
    <w:basedOn w:val="DefaultParagraphFont"/>
    <w:link w:val="Footer"/>
    <w:uiPriority w:val="99"/>
    <w:rsid w:val="008F3D74"/>
  </w:style>
  <w:style w:type="character" w:styleId="Hyperlink">
    <w:name w:val="Hyperlink"/>
    <w:basedOn w:val="DefaultParagraphFont"/>
    <w:uiPriority w:val="99"/>
    <w:semiHidden/>
    <w:unhideWhenUsed/>
    <w:rsid w:val="00812E8C"/>
    <w:rPr>
      <w:color w:val="0000FF"/>
      <w:u w:val="single"/>
    </w:rPr>
  </w:style>
  <w:style w:type="character" w:customStyle="1" w:styleId="Heading2Char">
    <w:name w:val="Heading 2 Char"/>
    <w:basedOn w:val="DefaultParagraphFont"/>
    <w:link w:val="Heading2"/>
    <w:uiPriority w:val="9"/>
    <w:rsid w:val="00E65D3A"/>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C42301"/>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9475CE"/>
  </w:style>
  <w:style w:type="paragraph" w:styleId="BalloonText">
    <w:name w:val="Balloon Text"/>
    <w:basedOn w:val="Normal"/>
    <w:link w:val="BalloonTextChar"/>
    <w:uiPriority w:val="99"/>
    <w:semiHidden/>
    <w:unhideWhenUsed/>
    <w:rsid w:val="00F022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260"/>
    <w:rPr>
      <w:rFonts w:ascii="Segoe UI" w:eastAsia="Times New Roman" w:hAnsi="Segoe UI" w:cs="Segoe UI"/>
      <w:sz w:val="18"/>
      <w:szCs w:val="18"/>
      <w:lang w:val="en-ZA" w:eastAsia="en-GB" w:bidi="yi-Hebr"/>
    </w:rPr>
  </w:style>
  <w:style w:type="paragraph" w:styleId="NormalWeb">
    <w:name w:val="Normal (Web)"/>
    <w:basedOn w:val="Normal"/>
    <w:uiPriority w:val="99"/>
    <w:unhideWhenUsed/>
    <w:rsid w:val="009C7F6E"/>
    <w:pPr>
      <w:spacing w:before="100" w:beforeAutospacing="1" w:after="100" w:afterAutospacing="1"/>
    </w:pPr>
  </w:style>
  <w:style w:type="character" w:styleId="FollowedHyperlink">
    <w:name w:val="FollowedHyperlink"/>
    <w:basedOn w:val="DefaultParagraphFont"/>
    <w:uiPriority w:val="99"/>
    <w:semiHidden/>
    <w:unhideWhenUsed/>
    <w:rsid w:val="00912DC3"/>
    <w:rPr>
      <w:color w:val="954F72" w:themeColor="followedHyperlink"/>
      <w:u w:val="single"/>
    </w:rPr>
  </w:style>
  <w:style w:type="character" w:styleId="CommentReference">
    <w:name w:val="annotation reference"/>
    <w:basedOn w:val="DefaultParagraphFont"/>
    <w:uiPriority w:val="99"/>
    <w:semiHidden/>
    <w:unhideWhenUsed/>
    <w:rsid w:val="001B16C6"/>
    <w:rPr>
      <w:sz w:val="16"/>
      <w:szCs w:val="16"/>
    </w:rPr>
  </w:style>
  <w:style w:type="paragraph" w:styleId="CommentText">
    <w:name w:val="annotation text"/>
    <w:basedOn w:val="Normal"/>
    <w:link w:val="CommentTextChar"/>
    <w:uiPriority w:val="99"/>
    <w:semiHidden/>
    <w:unhideWhenUsed/>
    <w:rsid w:val="001B16C6"/>
    <w:rPr>
      <w:sz w:val="20"/>
      <w:szCs w:val="20"/>
    </w:rPr>
  </w:style>
  <w:style w:type="character" w:customStyle="1" w:styleId="CommentTextChar">
    <w:name w:val="Comment Text Char"/>
    <w:basedOn w:val="DefaultParagraphFont"/>
    <w:link w:val="CommentText"/>
    <w:uiPriority w:val="99"/>
    <w:semiHidden/>
    <w:rsid w:val="001B16C6"/>
    <w:rPr>
      <w:rFonts w:ascii="Times New Roman" w:eastAsia="Times New Roman" w:hAnsi="Times New Roman" w:cs="Times New Roman"/>
      <w:sz w:val="20"/>
      <w:szCs w:val="20"/>
      <w:lang w:val="en-ZA" w:eastAsia="en-GB" w:bidi="yi-Hebr"/>
    </w:rPr>
  </w:style>
  <w:style w:type="paragraph" w:styleId="CommentSubject">
    <w:name w:val="annotation subject"/>
    <w:basedOn w:val="CommentText"/>
    <w:next w:val="CommentText"/>
    <w:link w:val="CommentSubjectChar"/>
    <w:uiPriority w:val="99"/>
    <w:semiHidden/>
    <w:unhideWhenUsed/>
    <w:rsid w:val="001B16C6"/>
    <w:rPr>
      <w:b/>
      <w:bCs/>
    </w:rPr>
  </w:style>
  <w:style w:type="character" w:customStyle="1" w:styleId="CommentSubjectChar">
    <w:name w:val="Comment Subject Char"/>
    <w:basedOn w:val="CommentTextChar"/>
    <w:link w:val="CommentSubject"/>
    <w:uiPriority w:val="99"/>
    <w:semiHidden/>
    <w:rsid w:val="001B16C6"/>
    <w:rPr>
      <w:rFonts w:ascii="Times New Roman" w:eastAsia="Times New Roman" w:hAnsi="Times New Roman" w:cs="Times New Roman"/>
      <w:b/>
      <w:bCs/>
      <w:sz w:val="20"/>
      <w:szCs w:val="20"/>
      <w:lang w:val="en-ZA" w:eastAsia="en-GB" w:bidi="yi-He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0527">
      <w:bodyDiv w:val="1"/>
      <w:marLeft w:val="0"/>
      <w:marRight w:val="0"/>
      <w:marTop w:val="0"/>
      <w:marBottom w:val="0"/>
      <w:divBdr>
        <w:top w:val="none" w:sz="0" w:space="0" w:color="auto"/>
        <w:left w:val="none" w:sz="0" w:space="0" w:color="auto"/>
        <w:bottom w:val="none" w:sz="0" w:space="0" w:color="auto"/>
        <w:right w:val="none" w:sz="0" w:space="0" w:color="auto"/>
      </w:divBdr>
    </w:div>
    <w:div w:id="207649227">
      <w:bodyDiv w:val="1"/>
      <w:marLeft w:val="0"/>
      <w:marRight w:val="0"/>
      <w:marTop w:val="0"/>
      <w:marBottom w:val="0"/>
      <w:divBdr>
        <w:top w:val="none" w:sz="0" w:space="0" w:color="auto"/>
        <w:left w:val="none" w:sz="0" w:space="0" w:color="auto"/>
        <w:bottom w:val="none" w:sz="0" w:space="0" w:color="auto"/>
        <w:right w:val="none" w:sz="0" w:space="0" w:color="auto"/>
      </w:divBdr>
    </w:div>
    <w:div w:id="362635759">
      <w:bodyDiv w:val="1"/>
      <w:marLeft w:val="0"/>
      <w:marRight w:val="0"/>
      <w:marTop w:val="0"/>
      <w:marBottom w:val="0"/>
      <w:divBdr>
        <w:top w:val="none" w:sz="0" w:space="0" w:color="auto"/>
        <w:left w:val="none" w:sz="0" w:space="0" w:color="auto"/>
        <w:bottom w:val="none" w:sz="0" w:space="0" w:color="auto"/>
        <w:right w:val="none" w:sz="0" w:space="0" w:color="auto"/>
      </w:divBdr>
    </w:div>
    <w:div w:id="409740028">
      <w:bodyDiv w:val="1"/>
      <w:marLeft w:val="0"/>
      <w:marRight w:val="0"/>
      <w:marTop w:val="0"/>
      <w:marBottom w:val="0"/>
      <w:divBdr>
        <w:top w:val="none" w:sz="0" w:space="0" w:color="auto"/>
        <w:left w:val="none" w:sz="0" w:space="0" w:color="auto"/>
        <w:bottom w:val="none" w:sz="0" w:space="0" w:color="auto"/>
        <w:right w:val="none" w:sz="0" w:space="0" w:color="auto"/>
      </w:divBdr>
    </w:div>
    <w:div w:id="411396494">
      <w:bodyDiv w:val="1"/>
      <w:marLeft w:val="0"/>
      <w:marRight w:val="0"/>
      <w:marTop w:val="0"/>
      <w:marBottom w:val="0"/>
      <w:divBdr>
        <w:top w:val="none" w:sz="0" w:space="0" w:color="auto"/>
        <w:left w:val="none" w:sz="0" w:space="0" w:color="auto"/>
        <w:bottom w:val="none" w:sz="0" w:space="0" w:color="auto"/>
        <w:right w:val="none" w:sz="0" w:space="0" w:color="auto"/>
      </w:divBdr>
    </w:div>
    <w:div w:id="530411452">
      <w:bodyDiv w:val="1"/>
      <w:marLeft w:val="0"/>
      <w:marRight w:val="0"/>
      <w:marTop w:val="0"/>
      <w:marBottom w:val="0"/>
      <w:divBdr>
        <w:top w:val="none" w:sz="0" w:space="0" w:color="auto"/>
        <w:left w:val="none" w:sz="0" w:space="0" w:color="auto"/>
        <w:bottom w:val="none" w:sz="0" w:space="0" w:color="auto"/>
        <w:right w:val="none" w:sz="0" w:space="0" w:color="auto"/>
      </w:divBdr>
    </w:div>
    <w:div w:id="566065272">
      <w:bodyDiv w:val="1"/>
      <w:marLeft w:val="0"/>
      <w:marRight w:val="0"/>
      <w:marTop w:val="0"/>
      <w:marBottom w:val="0"/>
      <w:divBdr>
        <w:top w:val="none" w:sz="0" w:space="0" w:color="auto"/>
        <w:left w:val="none" w:sz="0" w:space="0" w:color="auto"/>
        <w:bottom w:val="none" w:sz="0" w:space="0" w:color="auto"/>
        <w:right w:val="none" w:sz="0" w:space="0" w:color="auto"/>
      </w:divBdr>
    </w:div>
    <w:div w:id="693115114">
      <w:bodyDiv w:val="1"/>
      <w:marLeft w:val="0"/>
      <w:marRight w:val="0"/>
      <w:marTop w:val="0"/>
      <w:marBottom w:val="0"/>
      <w:divBdr>
        <w:top w:val="none" w:sz="0" w:space="0" w:color="auto"/>
        <w:left w:val="none" w:sz="0" w:space="0" w:color="auto"/>
        <w:bottom w:val="none" w:sz="0" w:space="0" w:color="auto"/>
        <w:right w:val="none" w:sz="0" w:space="0" w:color="auto"/>
      </w:divBdr>
    </w:div>
    <w:div w:id="792596430">
      <w:bodyDiv w:val="1"/>
      <w:marLeft w:val="0"/>
      <w:marRight w:val="0"/>
      <w:marTop w:val="0"/>
      <w:marBottom w:val="0"/>
      <w:divBdr>
        <w:top w:val="none" w:sz="0" w:space="0" w:color="auto"/>
        <w:left w:val="none" w:sz="0" w:space="0" w:color="auto"/>
        <w:bottom w:val="none" w:sz="0" w:space="0" w:color="auto"/>
        <w:right w:val="none" w:sz="0" w:space="0" w:color="auto"/>
      </w:divBdr>
    </w:div>
    <w:div w:id="796028151">
      <w:bodyDiv w:val="1"/>
      <w:marLeft w:val="0"/>
      <w:marRight w:val="0"/>
      <w:marTop w:val="0"/>
      <w:marBottom w:val="0"/>
      <w:divBdr>
        <w:top w:val="none" w:sz="0" w:space="0" w:color="auto"/>
        <w:left w:val="none" w:sz="0" w:space="0" w:color="auto"/>
        <w:bottom w:val="none" w:sz="0" w:space="0" w:color="auto"/>
        <w:right w:val="none" w:sz="0" w:space="0" w:color="auto"/>
      </w:divBdr>
    </w:div>
    <w:div w:id="1128086243">
      <w:bodyDiv w:val="1"/>
      <w:marLeft w:val="0"/>
      <w:marRight w:val="0"/>
      <w:marTop w:val="0"/>
      <w:marBottom w:val="0"/>
      <w:divBdr>
        <w:top w:val="none" w:sz="0" w:space="0" w:color="auto"/>
        <w:left w:val="none" w:sz="0" w:space="0" w:color="auto"/>
        <w:bottom w:val="none" w:sz="0" w:space="0" w:color="auto"/>
        <w:right w:val="none" w:sz="0" w:space="0" w:color="auto"/>
      </w:divBdr>
      <w:divsChild>
        <w:div w:id="104931003">
          <w:marLeft w:val="0"/>
          <w:marRight w:val="0"/>
          <w:marTop w:val="120"/>
          <w:marBottom w:val="0"/>
          <w:divBdr>
            <w:top w:val="none" w:sz="0" w:space="0" w:color="auto"/>
            <w:left w:val="none" w:sz="0" w:space="0" w:color="auto"/>
            <w:bottom w:val="none" w:sz="0" w:space="0" w:color="auto"/>
            <w:right w:val="none" w:sz="0" w:space="0" w:color="auto"/>
          </w:divBdr>
        </w:div>
        <w:div w:id="40129723">
          <w:marLeft w:val="1293"/>
          <w:marRight w:val="0"/>
          <w:marTop w:val="0"/>
          <w:marBottom w:val="180"/>
          <w:divBdr>
            <w:top w:val="none" w:sz="0" w:space="0" w:color="auto"/>
            <w:left w:val="none" w:sz="0" w:space="0" w:color="auto"/>
            <w:bottom w:val="none" w:sz="0" w:space="0" w:color="auto"/>
            <w:right w:val="none" w:sz="0" w:space="0" w:color="auto"/>
          </w:divBdr>
        </w:div>
        <w:div w:id="931009700">
          <w:marLeft w:val="1293"/>
          <w:marRight w:val="0"/>
          <w:marTop w:val="0"/>
          <w:marBottom w:val="180"/>
          <w:divBdr>
            <w:top w:val="none" w:sz="0" w:space="0" w:color="auto"/>
            <w:left w:val="none" w:sz="0" w:space="0" w:color="auto"/>
            <w:bottom w:val="none" w:sz="0" w:space="0" w:color="auto"/>
            <w:right w:val="none" w:sz="0" w:space="0" w:color="auto"/>
          </w:divBdr>
        </w:div>
        <w:div w:id="1691754520">
          <w:marLeft w:val="1293"/>
          <w:marRight w:val="0"/>
          <w:marTop w:val="0"/>
          <w:marBottom w:val="180"/>
          <w:divBdr>
            <w:top w:val="none" w:sz="0" w:space="0" w:color="auto"/>
            <w:left w:val="none" w:sz="0" w:space="0" w:color="auto"/>
            <w:bottom w:val="none" w:sz="0" w:space="0" w:color="auto"/>
            <w:right w:val="none" w:sz="0" w:space="0" w:color="auto"/>
          </w:divBdr>
        </w:div>
      </w:divsChild>
    </w:div>
    <w:div w:id="1171145244">
      <w:bodyDiv w:val="1"/>
      <w:marLeft w:val="0"/>
      <w:marRight w:val="0"/>
      <w:marTop w:val="0"/>
      <w:marBottom w:val="0"/>
      <w:divBdr>
        <w:top w:val="none" w:sz="0" w:space="0" w:color="auto"/>
        <w:left w:val="none" w:sz="0" w:space="0" w:color="auto"/>
        <w:bottom w:val="none" w:sz="0" w:space="0" w:color="auto"/>
        <w:right w:val="none" w:sz="0" w:space="0" w:color="auto"/>
      </w:divBdr>
    </w:div>
    <w:div w:id="1446464755">
      <w:bodyDiv w:val="1"/>
      <w:marLeft w:val="0"/>
      <w:marRight w:val="0"/>
      <w:marTop w:val="0"/>
      <w:marBottom w:val="0"/>
      <w:divBdr>
        <w:top w:val="none" w:sz="0" w:space="0" w:color="auto"/>
        <w:left w:val="none" w:sz="0" w:space="0" w:color="auto"/>
        <w:bottom w:val="none" w:sz="0" w:space="0" w:color="auto"/>
        <w:right w:val="none" w:sz="0" w:space="0" w:color="auto"/>
      </w:divBdr>
    </w:div>
    <w:div w:id="1454058850">
      <w:bodyDiv w:val="1"/>
      <w:marLeft w:val="0"/>
      <w:marRight w:val="0"/>
      <w:marTop w:val="0"/>
      <w:marBottom w:val="0"/>
      <w:divBdr>
        <w:top w:val="none" w:sz="0" w:space="0" w:color="auto"/>
        <w:left w:val="none" w:sz="0" w:space="0" w:color="auto"/>
        <w:bottom w:val="none" w:sz="0" w:space="0" w:color="auto"/>
        <w:right w:val="none" w:sz="0" w:space="0" w:color="auto"/>
      </w:divBdr>
    </w:div>
    <w:div w:id="1582911631">
      <w:bodyDiv w:val="1"/>
      <w:marLeft w:val="0"/>
      <w:marRight w:val="0"/>
      <w:marTop w:val="0"/>
      <w:marBottom w:val="0"/>
      <w:divBdr>
        <w:top w:val="none" w:sz="0" w:space="0" w:color="auto"/>
        <w:left w:val="none" w:sz="0" w:space="0" w:color="auto"/>
        <w:bottom w:val="none" w:sz="0" w:space="0" w:color="auto"/>
        <w:right w:val="none" w:sz="0" w:space="0" w:color="auto"/>
      </w:divBdr>
    </w:div>
    <w:div w:id="1739673149">
      <w:bodyDiv w:val="1"/>
      <w:marLeft w:val="0"/>
      <w:marRight w:val="0"/>
      <w:marTop w:val="0"/>
      <w:marBottom w:val="0"/>
      <w:divBdr>
        <w:top w:val="none" w:sz="0" w:space="0" w:color="auto"/>
        <w:left w:val="none" w:sz="0" w:space="0" w:color="auto"/>
        <w:bottom w:val="none" w:sz="0" w:space="0" w:color="auto"/>
        <w:right w:val="none" w:sz="0" w:space="0" w:color="auto"/>
      </w:divBdr>
      <w:divsChild>
        <w:div w:id="324868025">
          <w:marLeft w:val="0"/>
          <w:marRight w:val="0"/>
          <w:marTop w:val="144"/>
          <w:marBottom w:val="24"/>
          <w:divBdr>
            <w:top w:val="none" w:sz="0" w:space="0" w:color="auto"/>
            <w:left w:val="none" w:sz="0" w:space="0" w:color="auto"/>
            <w:bottom w:val="none" w:sz="0" w:space="0" w:color="auto"/>
            <w:right w:val="none" w:sz="0" w:space="0" w:color="auto"/>
          </w:divBdr>
        </w:div>
        <w:div w:id="475537083">
          <w:marLeft w:val="0"/>
          <w:marRight w:val="0"/>
          <w:marTop w:val="120"/>
          <w:marBottom w:val="0"/>
          <w:divBdr>
            <w:top w:val="none" w:sz="0" w:space="0" w:color="auto"/>
            <w:left w:val="none" w:sz="0" w:space="0" w:color="auto"/>
            <w:bottom w:val="none" w:sz="0" w:space="0" w:color="auto"/>
            <w:right w:val="none" w:sz="0" w:space="0" w:color="auto"/>
          </w:divBdr>
        </w:div>
        <w:div w:id="2084791860">
          <w:marLeft w:val="1293"/>
          <w:marRight w:val="0"/>
          <w:marTop w:val="0"/>
          <w:marBottom w:val="180"/>
          <w:divBdr>
            <w:top w:val="none" w:sz="0" w:space="0" w:color="auto"/>
            <w:left w:val="none" w:sz="0" w:space="0" w:color="auto"/>
            <w:bottom w:val="none" w:sz="0" w:space="0" w:color="auto"/>
            <w:right w:val="none" w:sz="0" w:space="0" w:color="auto"/>
          </w:divBdr>
        </w:div>
        <w:div w:id="99422375">
          <w:marLeft w:val="1984"/>
          <w:marRight w:val="0"/>
          <w:marTop w:val="0"/>
          <w:marBottom w:val="180"/>
          <w:divBdr>
            <w:top w:val="none" w:sz="0" w:space="0" w:color="auto"/>
            <w:left w:val="none" w:sz="0" w:space="0" w:color="auto"/>
            <w:bottom w:val="none" w:sz="0" w:space="0" w:color="auto"/>
            <w:right w:val="none" w:sz="0" w:space="0" w:color="auto"/>
          </w:divBdr>
        </w:div>
        <w:div w:id="1694257518">
          <w:marLeft w:val="1984"/>
          <w:marRight w:val="0"/>
          <w:marTop w:val="0"/>
          <w:marBottom w:val="180"/>
          <w:divBdr>
            <w:top w:val="none" w:sz="0" w:space="0" w:color="auto"/>
            <w:left w:val="none" w:sz="0" w:space="0" w:color="auto"/>
            <w:bottom w:val="none" w:sz="0" w:space="0" w:color="auto"/>
            <w:right w:val="none" w:sz="0" w:space="0" w:color="auto"/>
          </w:divBdr>
        </w:div>
        <w:div w:id="2034839090">
          <w:marLeft w:val="1984"/>
          <w:marRight w:val="0"/>
          <w:marTop w:val="0"/>
          <w:marBottom w:val="180"/>
          <w:divBdr>
            <w:top w:val="none" w:sz="0" w:space="0" w:color="auto"/>
            <w:left w:val="none" w:sz="0" w:space="0" w:color="auto"/>
            <w:bottom w:val="none" w:sz="0" w:space="0" w:color="auto"/>
            <w:right w:val="none" w:sz="0" w:space="0" w:color="auto"/>
          </w:divBdr>
        </w:div>
        <w:div w:id="1099445610">
          <w:marLeft w:val="0"/>
          <w:marRight w:val="0"/>
          <w:marTop w:val="120"/>
          <w:marBottom w:val="0"/>
          <w:divBdr>
            <w:top w:val="none" w:sz="0" w:space="0" w:color="auto"/>
            <w:left w:val="none" w:sz="0" w:space="0" w:color="auto"/>
            <w:bottom w:val="none" w:sz="0" w:space="0" w:color="auto"/>
            <w:right w:val="none" w:sz="0" w:space="0" w:color="auto"/>
          </w:divBdr>
        </w:div>
        <w:div w:id="738483099">
          <w:marLeft w:val="1293"/>
          <w:marRight w:val="0"/>
          <w:marTop w:val="0"/>
          <w:marBottom w:val="180"/>
          <w:divBdr>
            <w:top w:val="none" w:sz="0" w:space="0" w:color="auto"/>
            <w:left w:val="none" w:sz="0" w:space="0" w:color="auto"/>
            <w:bottom w:val="none" w:sz="0" w:space="0" w:color="auto"/>
            <w:right w:val="none" w:sz="0" w:space="0" w:color="auto"/>
          </w:divBdr>
        </w:div>
        <w:div w:id="1505777087">
          <w:marLeft w:val="1293"/>
          <w:marRight w:val="0"/>
          <w:marTop w:val="0"/>
          <w:marBottom w:val="180"/>
          <w:divBdr>
            <w:top w:val="none" w:sz="0" w:space="0" w:color="auto"/>
            <w:left w:val="none" w:sz="0" w:space="0" w:color="auto"/>
            <w:bottom w:val="none" w:sz="0" w:space="0" w:color="auto"/>
            <w:right w:val="none" w:sz="0" w:space="0" w:color="auto"/>
          </w:divBdr>
        </w:div>
        <w:div w:id="768503443">
          <w:marLeft w:val="0"/>
          <w:marRight w:val="0"/>
          <w:marTop w:val="120"/>
          <w:marBottom w:val="0"/>
          <w:divBdr>
            <w:top w:val="none" w:sz="0" w:space="0" w:color="auto"/>
            <w:left w:val="none" w:sz="0" w:space="0" w:color="auto"/>
            <w:bottom w:val="none" w:sz="0" w:space="0" w:color="auto"/>
            <w:right w:val="none" w:sz="0" w:space="0" w:color="auto"/>
          </w:divBdr>
        </w:div>
        <w:div w:id="402025613">
          <w:marLeft w:val="0"/>
          <w:marRight w:val="0"/>
          <w:marTop w:val="120"/>
          <w:marBottom w:val="0"/>
          <w:divBdr>
            <w:top w:val="none" w:sz="0" w:space="0" w:color="auto"/>
            <w:left w:val="none" w:sz="0" w:space="0" w:color="auto"/>
            <w:bottom w:val="none" w:sz="0" w:space="0" w:color="auto"/>
            <w:right w:val="none" w:sz="0" w:space="0" w:color="auto"/>
          </w:divBdr>
        </w:div>
        <w:div w:id="1990667043">
          <w:marLeft w:val="1293"/>
          <w:marRight w:val="0"/>
          <w:marTop w:val="0"/>
          <w:marBottom w:val="180"/>
          <w:divBdr>
            <w:top w:val="none" w:sz="0" w:space="0" w:color="auto"/>
            <w:left w:val="none" w:sz="0" w:space="0" w:color="auto"/>
            <w:bottom w:val="none" w:sz="0" w:space="0" w:color="auto"/>
            <w:right w:val="none" w:sz="0" w:space="0" w:color="auto"/>
          </w:divBdr>
        </w:div>
        <w:div w:id="2073111801">
          <w:marLeft w:val="1293"/>
          <w:marRight w:val="0"/>
          <w:marTop w:val="0"/>
          <w:marBottom w:val="180"/>
          <w:divBdr>
            <w:top w:val="none" w:sz="0" w:space="0" w:color="auto"/>
            <w:left w:val="none" w:sz="0" w:space="0" w:color="auto"/>
            <w:bottom w:val="none" w:sz="0" w:space="0" w:color="auto"/>
            <w:right w:val="none" w:sz="0" w:space="0" w:color="auto"/>
          </w:divBdr>
        </w:div>
        <w:div w:id="1584337422">
          <w:marLeft w:val="1293"/>
          <w:marRight w:val="0"/>
          <w:marTop w:val="0"/>
          <w:marBottom w:val="180"/>
          <w:divBdr>
            <w:top w:val="none" w:sz="0" w:space="0" w:color="auto"/>
            <w:left w:val="none" w:sz="0" w:space="0" w:color="auto"/>
            <w:bottom w:val="none" w:sz="0" w:space="0" w:color="auto"/>
            <w:right w:val="none" w:sz="0" w:space="0" w:color="auto"/>
          </w:divBdr>
        </w:div>
        <w:div w:id="1042360789">
          <w:marLeft w:val="0"/>
          <w:marRight w:val="0"/>
          <w:marTop w:val="120"/>
          <w:marBottom w:val="0"/>
          <w:divBdr>
            <w:top w:val="none" w:sz="0" w:space="0" w:color="auto"/>
            <w:left w:val="none" w:sz="0" w:space="0" w:color="auto"/>
            <w:bottom w:val="none" w:sz="0" w:space="0" w:color="auto"/>
            <w:right w:val="none" w:sz="0" w:space="0" w:color="auto"/>
          </w:divBdr>
        </w:div>
        <w:div w:id="1666782520">
          <w:marLeft w:val="0"/>
          <w:marRight w:val="0"/>
          <w:marTop w:val="120"/>
          <w:marBottom w:val="0"/>
          <w:divBdr>
            <w:top w:val="none" w:sz="0" w:space="0" w:color="auto"/>
            <w:left w:val="none" w:sz="0" w:space="0" w:color="auto"/>
            <w:bottom w:val="none" w:sz="0" w:space="0" w:color="auto"/>
            <w:right w:val="none" w:sz="0" w:space="0" w:color="auto"/>
          </w:divBdr>
        </w:div>
        <w:div w:id="15810421">
          <w:marLeft w:val="0"/>
          <w:marRight w:val="0"/>
          <w:marTop w:val="120"/>
          <w:marBottom w:val="0"/>
          <w:divBdr>
            <w:top w:val="none" w:sz="0" w:space="0" w:color="auto"/>
            <w:left w:val="none" w:sz="0" w:space="0" w:color="auto"/>
            <w:bottom w:val="none" w:sz="0" w:space="0" w:color="auto"/>
            <w:right w:val="none" w:sz="0" w:space="0" w:color="auto"/>
          </w:divBdr>
        </w:div>
        <w:div w:id="282854807">
          <w:marLeft w:val="0"/>
          <w:marRight w:val="0"/>
          <w:marTop w:val="120"/>
          <w:marBottom w:val="0"/>
          <w:divBdr>
            <w:top w:val="none" w:sz="0" w:space="0" w:color="auto"/>
            <w:left w:val="none" w:sz="0" w:space="0" w:color="auto"/>
            <w:bottom w:val="none" w:sz="0" w:space="0" w:color="auto"/>
            <w:right w:val="none" w:sz="0" w:space="0" w:color="auto"/>
          </w:divBdr>
        </w:div>
        <w:div w:id="167985733">
          <w:marLeft w:val="1293"/>
          <w:marRight w:val="0"/>
          <w:marTop w:val="0"/>
          <w:marBottom w:val="180"/>
          <w:divBdr>
            <w:top w:val="none" w:sz="0" w:space="0" w:color="auto"/>
            <w:left w:val="none" w:sz="0" w:space="0" w:color="auto"/>
            <w:bottom w:val="none" w:sz="0" w:space="0" w:color="auto"/>
            <w:right w:val="none" w:sz="0" w:space="0" w:color="auto"/>
          </w:divBdr>
        </w:div>
      </w:divsChild>
    </w:div>
    <w:div w:id="1836652506">
      <w:bodyDiv w:val="1"/>
      <w:marLeft w:val="0"/>
      <w:marRight w:val="0"/>
      <w:marTop w:val="0"/>
      <w:marBottom w:val="0"/>
      <w:divBdr>
        <w:top w:val="none" w:sz="0" w:space="0" w:color="auto"/>
        <w:left w:val="none" w:sz="0" w:space="0" w:color="auto"/>
        <w:bottom w:val="none" w:sz="0" w:space="0" w:color="auto"/>
        <w:right w:val="none" w:sz="0" w:space="0" w:color="auto"/>
      </w:divBdr>
    </w:div>
    <w:div w:id="188424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saflii.org/za/legis/consol_act/sca201322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aflii.org/cgi-bin/LawCite?cit=%5b2021%5d%20JOL%20499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DEE16-4BAA-4F34-A5F5-1C1484989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1891</Words>
  <Characters>10782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Robin R. Mossop</dc:creator>
  <cp:keywords/>
  <dc:description/>
  <cp:lastModifiedBy>Mokone</cp:lastModifiedBy>
  <cp:revision>2</cp:revision>
  <cp:lastPrinted>2023-03-03T07:31:00Z</cp:lastPrinted>
  <dcterms:created xsi:type="dcterms:W3CDTF">2023-03-03T14:46:00Z</dcterms:created>
  <dcterms:modified xsi:type="dcterms:W3CDTF">2023-03-03T14:46:00Z</dcterms:modified>
</cp:coreProperties>
</file>