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7C68B" w14:textId="77777777" w:rsidR="00E30E8A" w:rsidRPr="00D90BC2" w:rsidRDefault="00E30E8A" w:rsidP="00D07734">
      <w:pPr>
        <w:spacing w:after="0" w:line="360" w:lineRule="auto"/>
        <w:contextualSpacing/>
        <w:jc w:val="center"/>
        <w:rPr>
          <w:rFonts w:ascii="Arial" w:eastAsia="Times New Roman" w:hAnsi="Arial" w:cs="Arial"/>
          <w:b/>
          <w:sz w:val="24"/>
          <w:szCs w:val="24"/>
          <w:lang w:val="en-ZA" w:eastAsia="en-GB" w:bidi="yi-Hebr"/>
        </w:rPr>
      </w:pPr>
      <w:bookmarkStart w:id="0" w:name="_GoBack"/>
      <w:bookmarkEnd w:id="0"/>
      <w:r w:rsidRPr="00D90BC2">
        <w:rPr>
          <w:rFonts w:ascii="Arial" w:eastAsia="Calibri" w:hAnsi="Arial" w:cs="Arial"/>
          <w:noProof/>
          <w:sz w:val="28"/>
          <w:szCs w:val="28"/>
          <w:lang w:val="en-ZA" w:eastAsia="en-ZA"/>
        </w:rPr>
        <w:drawing>
          <wp:inline distT="0" distB="0" distL="0" distR="0" wp14:anchorId="228750DB" wp14:editId="3C35B63A">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6AB88435" w14:textId="77777777" w:rsidR="00E30E8A" w:rsidRPr="00D90BC2" w:rsidRDefault="00E30E8A" w:rsidP="00D07734">
      <w:pPr>
        <w:spacing w:after="0" w:line="360" w:lineRule="auto"/>
        <w:contextualSpacing/>
        <w:jc w:val="center"/>
        <w:rPr>
          <w:rFonts w:ascii="Arial" w:eastAsia="Times New Roman" w:hAnsi="Arial" w:cs="Arial"/>
          <w:b/>
          <w:sz w:val="16"/>
          <w:szCs w:val="16"/>
          <w:lang w:val="en-ZA" w:eastAsia="en-GB" w:bidi="yi-Hebr"/>
        </w:rPr>
      </w:pPr>
    </w:p>
    <w:p w14:paraId="43B4CA8F" w14:textId="77777777" w:rsidR="00E30E8A" w:rsidRPr="00D90BC2" w:rsidRDefault="00E30E8A" w:rsidP="00D07734">
      <w:pPr>
        <w:spacing w:after="0" w:line="360" w:lineRule="auto"/>
        <w:contextualSpacing/>
        <w:jc w:val="center"/>
        <w:rPr>
          <w:rFonts w:ascii="Arial" w:eastAsia="Times New Roman" w:hAnsi="Arial" w:cs="Arial"/>
          <w:b/>
          <w:sz w:val="24"/>
          <w:szCs w:val="24"/>
          <w:lang w:val="en-ZA" w:eastAsia="en-GB" w:bidi="yi-Hebr"/>
        </w:rPr>
      </w:pPr>
      <w:r w:rsidRPr="00D90BC2">
        <w:rPr>
          <w:rFonts w:ascii="Arial" w:eastAsia="Times New Roman" w:hAnsi="Arial" w:cs="Arial"/>
          <w:b/>
          <w:sz w:val="24"/>
          <w:szCs w:val="24"/>
          <w:lang w:val="en-ZA" w:eastAsia="en-GB" w:bidi="yi-Hebr"/>
        </w:rPr>
        <w:t>IN THE HIGH COURT OF SOUTH AFRICA</w:t>
      </w:r>
    </w:p>
    <w:p w14:paraId="09CB999B" w14:textId="77777777" w:rsidR="00E30E8A" w:rsidRPr="00D90BC2" w:rsidRDefault="00E30E8A" w:rsidP="00D07734">
      <w:pPr>
        <w:spacing w:after="0" w:line="360" w:lineRule="auto"/>
        <w:contextualSpacing/>
        <w:jc w:val="center"/>
        <w:rPr>
          <w:rFonts w:ascii="Arial" w:eastAsia="Times New Roman" w:hAnsi="Arial" w:cs="Arial"/>
          <w:b/>
          <w:sz w:val="24"/>
          <w:szCs w:val="24"/>
          <w:lang w:val="en-ZA" w:eastAsia="en-GB" w:bidi="yi-Hebr"/>
        </w:rPr>
      </w:pPr>
      <w:r w:rsidRPr="00D90BC2">
        <w:rPr>
          <w:rFonts w:ascii="Arial" w:eastAsia="Times New Roman" w:hAnsi="Arial" w:cs="Arial"/>
          <w:b/>
          <w:sz w:val="24"/>
          <w:szCs w:val="24"/>
          <w:lang w:val="en-ZA" w:eastAsia="en-GB" w:bidi="yi-Hebr"/>
        </w:rPr>
        <w:t>KWAZULU-NATAL DIVISION, PIETERMARITZBURG</w:t>
      </w:r>
    </w:p>
    <w:p w14:paraId="62D097FD" w14:textId="77777777" w:rsidR="009F77EE" w:rsidRPr="00D90BC2" w:rsidRDefault="009F77EE" w:rsidP="00D07734">
      <w:pPr>
        <w:spacing w:after="0" w:line="360" w:lineRule="auto"/>
        <w:contextualSpacing/>
        <w:jc w:val="right"/>
        <w:rPr>
          <w:rFonts w:ascii="Arial" w:eastAsia="Times New Roman" w:hAnsi="Arial" w:cs="Arial"/>
          <w:sz w:val="24"/>
          <w:szCs w:val="24"/>
          <w:lang w:val="en-ZA" w:eastAsia="en-GB" w:bidi="yi-Hebr"/>
        </w:rPr>
      </w:pPr>
    </w:p>
    <w:p w14:paraId="7763A617" w14:textId="77777777" w:rsidR="00E30E8A" w:rsidRPr="00D90BC2" w:rsidRDefault="00E30E8A" w:rsidP="00D07734">
      <w:pPr>
        <w:spacing w:after="0" w:line="360" w:lineRule="auto"/>
        <w:contextualSpacing/>
        <w:jc w:val="right"/>
        <w:rPr>
          <w:rFonts w:ascii="Arial" w:eastAsia="Times New Roman" w:hAnsi="Arial" w:cs="Arial"/>
          <w:sz w:val="24"/>
          <w:szCs w:val="24"/>
          <w:lang w:val="en-ZA" w:eastAsia="en-GB" w:bidi="yi-Hebr"/>
        </w:rPr>
      </w:pPr>
      <w:r w:rsidRPr="00D90BC2">
        <w:rPr>
          <w:rFonts w:ascii="Arial" w:eastAsia="Times New Roman" w:hAnsi="Arial" w:cs="Arial"/>
          <w:sz w:val="24"/>
          <w:szCs w:val="24"/>
          <w:lang w:val="en-ZA" w:eastAsia="en-GB" w:bidi="yi-Hebr"/>
        </w:rPr>
        <w:t xml:space="preserve">Case No: </w:t>
      </w:r>
      <w:r w:rsidR="0077375D" w:rsidRPr="00D90BC2">
        <w:rPr>
          <w:rFonts w:ascii="Arial" w:eastAsia="Times New Roman" w:hAnsi="Arial" w:cs="Arial"/>
          <w:sz w:val="24"/>
          <w:szCs w:val="24"/>
          <w:lang w:val="en-ZA" w:eastAsia="en-GB" w:bidi="yi-Hebr"/>
        </w:rPr>
        <w:t>886</w:t>
      </w:r>
      <w:r w:rsidRPr="00D90BC2">
        <w:rPr>
          <w:rFonts w:ascii="Arial" w:eastAsia="Times New Roman" w:hAnsi="Arial" w:cs="Arial"/>
          <w:sz w:val="24"/>
          <w:szCs w:val="24"/>
          <w:lang w:val="en-ZA" w:eastAsia="en-GB" w:bidi="yi-Hebr"/>
        </w:rPr>
        <w:t>/20</w:t>
      </w:r>
      <w:r w:rsidR="00965280" w:rsidRPr="00D90BC2">
        <w:rPr>
          <w:rFonts w:ascii="Arial" w:eastAsia="Times New Roman" w:hAnsi="Arial" w:cs="Arial"/>
          <w:sz w:val="24"/>
          <w:szCs w:val="24"/>
          <w:lang w:val="en-ZA" w:eastAsia="en-GB" w:bidi="yi-Hebr"/>
        </w:rPr>
        <w:t>2</w:t>
      </w:r>
      <w:r w:rsidR="0077375D" w:rsidRPr="00D90BC2">
        <w:rPr>
          <w:rFonts w:ascii="Arial" w:eastAsia="Times New Roman" w:hAnsi="Arial" w:cs="Arial"/>
          <w:sz w:val="24"/>
          <w:szCs w:val="24"/>
          <w:lang w:val="en-ZA" w:eastAsia="en-GB" w:bidi="yi-Hebr"/>
        </w:rPr>
        <w:t>1</w:t>
      </w:r>
      <w:r w:rsidRPr="00D90BC2">
        <w:rPr>
          <w:rFonts w:ascii="Arial" w:eastAsia="Times New Roman" w:hAnsi="Arial" w:cs="Arial"/>
          <w:sz w:val="24"/>
          <w:szCs w:val="24"/>
          <w:lang w:val="en-ZA" w:eastAsia="en-GB" w:bidi="yi-Hebr"/>
        </w:rPr>
        <w:t>P</w:t>
      </w:r>
    </w:p>
    <w:p w14:paraId="44E7B0BF" w14:textId="77777777" w:rsidR="00E30E8A" w:rsidRPr="00D90BC2" w:rsidRDefault="00E30E8A" w:rsidP="00D07734">
      <w:pPr>
        <w:spacing w:after="0" w:line="360" w:lineRule="auto"/>
        <w:contextualSpacing/>
        <w:jc w:val="both"/>
        <w:rPr>
          <w:rFonts w:ascii="Arial" w:eastAsia="Times New Roman" w:hAnsi="Arial" w:cs="Arial"/>
          <w:sz w:val="24"/>
          <w:szCs w:val="24"/>
          <w:lang w:val="en-ZA" w:eastAsia="en-GB" w:bidi="yi-Hebr"/>
        </w:rPr>
      </w:pPr>
    </w:p>
    <w:p w14:paraId="07747AEA" w14:textId="77777777" w:rsidR="00E30E8A" w:rsidRPr="00D90BC2" w:rsidRDefault="00E30E8A" w:rsidP="006D06EA">
      <w:pPr>
        <w:spacing w:after="0" w:line="276" w:lineRule="auto"/>
        <w:contextualSpacing/>
        <w:jc w:val="both"/>
        <w:rPr>
          <w:rFonts w:ascii="Arial" w:eastAsia="Times New Roman" w:hAnsi="Arial" w:cs="Arial"/>
          <w:sz w:val="24"/>
          <w:szCs w:val="24"/>
          <w:lang w:val="en-ZA" w:eastAsia="en-GB" w:bidi="yi-Hebr"/>
        </w:rPr>
      </w:pPr>
      <w:r w:rsidRPr="00D90BC2">
        <w:rPr>
          <w:rFonts w:ascii="Arial" w:eastAsia="Times New Roman" w:hAnsi="Arial" w:cs="Arial"/>
          <w:sz w:val="24"/>
          <w:szCs w:val="24"/>
          <w:lang w:val="en-ZA" w:eastAsia="en-GB" w:bidi="yi-Hebr"/>
        </w:rPr>
        <w:t>In the matter between:</w:t>
      </w:r>
    </w:p>
    <w:p w14:paraId="1A9C0939" w14:textId="77777777" w:rsidR="00DB0AC0" w:rsidRPr="00D90BC2" w:rsidRDefault="00DB0AC0" w:rsidP="006D06EA">
      <w:pPr>
        <w:tabs>
          <w:tab w:val="right" w:pos="9026"/>
        </w:tabs>
        <w:spacing w:after="0" w:line="276" w:lineRule="auto"/>
        <w:contextualSpacing/>
        <w:jc w:val="both"/>
        <w:rPr>
          <w:rFonts w:ascii="Arial" w:eastAsia="Times New Roman" w:hAnsi="Arial" w:cs="Arial"/>
          <w:b/>
          <w:bCs/>
          <w:sz w:val="24"/>
          <w:szCs w:val="24"/>
          <w:lang w:val="en-ZA" w:eastAsia="en-GB" w:bidi="yi-Hebr"/>
        </w:rPr>
      </w:pPr>
    </w:p>
    <w:p w14:paraId="6F1A9B9B" w14:textId="6F4D00DD" w:rsidR="00E30E8A" w:rsidRPr="00D90BC2" w:rsidRDefault="00F52A5E" w:rsidP="006D06EA">
      <w:pPr>
        <w:tabs>
          <w:tab w:val="right" w:pos="9026"/>
        </w:tabs>
        <w:spacing w:after="0" w:line="276" w:lineRule="auto"/>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FIT 24 GYMS PROPRIETARY LIMITED</w:t>
      </w:r>
      <w:r w:rsidR="003E1994" w:rsidRPr="00D90BC2">
        <w:rPr>
          <w:rFonts w:ascii="Arial" w:eastAsia="Times New Roman" w:hAnsi="Arial" w:cs="Arial"/>
          <w:b/>
          <w:bCs/>
          <w:sz w:val="24"/>
          <w:szCs w:val="24"/>
          <w:lang w:val="en-ZA" w:eastAsia="en-GB" w:bidi="yi-Hebr"/>
        </w:rPr>
        <w:tab/>
      </w:r>
      <w:r w:rsidR="009F77EE" w:rsidRPr="00D90BC2">
        <w:rPr>
          <w:rFonts w:ascii="Arial" w:eastAsia="Times New Roman" w:hAnsi="Arial" w:cs="Arial"/>
          <w:b/>
          <w:bCs/>
          <w:sz w:val="24"/>
          <w:szCs w:val="24"/>
          <w:lang w:val="en-ZA" w:eastAsia="en-GB" w:bidi="yi-Hebr"/>
        </w:rPr>
        <w:t xml:space="preserve">     </w:t>
      </w:r>
      <w:r w:rsidR="00D41793" w:rsidRPr="00D90BC2">
        <w:rPr>
          <w:rFonts w:ascii="Arial" w:eastAsia="Times New Roman" w:hAnsi="Arial" w:cs="Arial"/>
          <w:b/>
          <w:bCs/>
          <w:sz w:val="24"/>
          <w:szCs w:val="24"/>
          <w:lang w:val="en-ZA" w:eastAsia="en-GB" w:bidi="yi-Hebr"/>
        </w:rPr>
        <w:t xml:space="preserve">        </w:t>
      </w:r>
      <w:r>
        <w:rPr>
          <w:rFonts w:ascii="Arial" w:eastAsia="Times New Roman" w:hAnsi="Arial" w:cs="Arial"/>
          <w:b/>
          <w:bCs/>
          <w:sz w:val="24"/>
          <w:szCs w:val="24"/>
          <w:lang w:val="en-ZA" w:eastAsia="en-GB" w:bidi="yi-Hebr"/>
        </w:rPr>
        <w:t xml:space="preserve">FIRST </w:t>
      </w:r>
      <w:r w:rsidR="00965280" w:rsidRPr="00D90BC2">
        <w:rPr>
          <w:rFonts w:ascii="Arial" w:eastAsia="Times New Roman" w:hAnsi="Arial" w:cs="Arial"/>
          <w:b/>
          <w:bCs/>
          <w:sz w:val="24"/>
          <w:szCs w:val="24"/>
          <w:lang w:val="en-ZA" w:eastAsia="en-GB" w:bidi="yi-Hebr"/>
        </w:rPr>
        <w:t>APPLICANT</w:t>
      </w:r>
    </w:p>
    <w:p w14:paraId="6AD08995" w14:textId="30DDC373" w:rsidR="003E1994" w:rsidRPr="00F52A5E" w:rsidRDefault="00F52A5E" w:rsidP="006D06EA">
      <w:pPr>
        <w:tabs>
          <w:tab w:val="right" w:pos="8647"/>
        </w:tabs>
        <w:spacing w:after="0" w:line="276" w:lineRule="auto"/>
        <w:contextualSpacing/>
        <w:jc w:val="both"/>
        <w:rPr>
          <w:rFonts w:ascii="Arial" w:eastAsia="Times New Roman" w:hAnsi="Arial" w:cs="Arial"/>
          <w:b/>
          <w:sz w:val="24"/>
          <w:szCs w:val="24"/>
          <w:lang w:val="en-ZA" w:eastAsia="en-GB" w:bidi="yi-Hebr"/>
        </w:rPr>
      </w:pPr>
      <w:r w:rsidRPr="00F52A5E">
        <w:rPr>
          <w:rFonts w:ascii="Arial" w:eastAsia="Times New Roman" w:hAnsi="Arial" w:cs="Arial"/>
          <w:b/>
          <w:sz w:val="24"/>
          <w:szCs w:val="24"/>
          <w:lang w:val="en-ZA" w:eastAsia="en-GB" w:bidi="yi-Hebr"/>
        </w:rPr>
        <w:t>[Registration Number: 2017/240255/07]</w:t>
      </w:r>
    </w:p>
    <w:p w14:paraId="00F338B7" w14:textId="77777777" w:rsidR="00F52A5E" w:rsidRDefault="00F52A5E" w:rsidP="006D06EA">
      <w:pPr>
        <w:tabs>
          <w:tab w:val="right" w:pos="9026"/>
        </w:tabs>
        <w:spacing w:after="0" w:line="276" w:lineRule="auto"/>
        <w:contextualSpacing/>
        <w:jc w:val="both"/>
        <w:rPr>
          <w:rFonts w:ascii="Arial" w:eastAsia="Times New Roman" w:hAnsi="Arial" w:cs="Arial"/>
          <w:b/>
          <w:sz w:val="24"/>
          <w:szCs w:val="24"/>
          <w:lang w:val="en-ZA" w:eastAsia="en-GB" w:bidi="yi-Hebr"/>
        </w:rPr>
      </w:pPr>
    </w:p>
    <w:p w14:paraId="469FDAEF" w14:textId="175A5ECA" w:rsidR="00F52A5E" w:rsidRPr="00F52A5E" w:rsidRDefault="00F52A5E" w:rsidP="006D06EA">
      <w:pPr>
        <w:tabs>
          <w:tab w:val="right" w:pos="9026"/>
        </w:tabs>
        <w:spacing w:after="0" w:line="276"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MAREK STEFAN BURCZAK</w:t>
      </w:r>
      <w:r>
        <w:rPr>
          <w:rFonts w:ascii="Arial" w:eastAsia="Times New Roman" w:hAnsi="Arial" w:cs="Arial"/>
          <w:b/>
          <w:sz w:val="24"/>
          <w:szCs w:val="24"/>
          <w:lang w:val="en-ZA" w:eastAsia="en-GB" w:bidi="yi-Hebr"/>
        </w:rPr>
        <w:tab/>
        <w:t xml:space="preserve">        SECOND APPLICANT</w:t>
      </w:r>
    </w:p>
    <w:p w14:paraId="7FFC5536" w14:textId="77777777" w:rsidR="006D06EA" w:rsidRDefault="006D06EA" w:rsidP="006D06EA">
      <w:pPr>
        <w:tabs>
          <w:tab w:val="right" w:pos="8647"/>
        </w:tabs>
        <w:spacing w:after="0" w:line="276" w:lineRule="auto"/>
        <w:contextualSpacing/>
        <w:jc w:val="both"/>
        <w:rPr>
          <w:rFonts w:ascii="Arial" w:eastAsia="Times New Roman" w:hAnsi="Arial" w:cs="Arial"/>
          <w:sz w:val="24"/>
          <w:szCs w:val="24"/>
          <w:lang w:val="en-ZA" w:eastAsia="en-GB" w:bidi="yi-Hebr"/>
        </w:rPr>
      </w:pPr>
    </w:p>
    <w:p w14:paraId="5D3B1822" w14:textId="132EA854" w:rsidR="00E30E8A" w:rsidRPr="00D90BC2" w:rsidRDefault="00E30E8A" w:rsidP="006D06EA">
      <w:pPr>
        <w:tabs>
          <w:tab w:val="right" w:pos="8647"/>
        </w:tabs>
        <w:spacing w:after="0" w:line="276" w:lineRule="auto"/>
        <w:contextualSpacing/>
        <w:jc w:val="both"/>
        <w:rPr>
          <w:rFonts w:ascii="Arial" w:eastAsia="Times New Roman" w:hAnsi="Arial" w:cs="Arial"/>
          <w:sz w:val="24"/>
          <w:szCs w:val="24"/>
          <w:lang w:val="en-ZA" w:eastAsia="en-GB" w:bidi="yi-Hebr"/>
        </w:rPr>
      </w:pPr>
      <w:r w:rsidRPr="00D90BC2">
        <w:rPr>
          <w:rFonts w:ascii="Arial" w:eastAsia="Times New Roman" w:hAnsi="Arial" w:cs="Arial"/>
          <w:sz w:val="24"/>
          <w:szCs w:val="24"/>
          <w:lang w:val="en-ZA" w:eastAsia="en-GB" w:bidi="yi-Hebr"/>
        </w:rPr>
        <w:t>and</w:t>
      </w:r>
    </w:p>
    <w:p w14:paraId="3F19A5B2" w14:textId="77777777" w:rsidR="003E1994" w:rsidRPr="00D90BC2" w:rsidRDefault="003E1994" w:rsidP="006D06EA">
      <w:pPr>
        <w:tabs>
          <w:tab w:val="right" w:pos="8647"/>
        </w:tabs>
        <w:spacing w:after="0" w:line="276" w:lineRule="auto"/>
        <w:contextualSpacing/>
        <w:jc w:val="both"/>
        <w:rPr>
          <w:rFonts w:ascii="Arial" w:eastAsia="Times New Roman" w:hAnsi="Arial" w:cs="Arial"/>
          <w:b/>
          <w:bCs/>
          <w:sz w:val="24"/>
          <w:szCs w:val="24"/>
          <w:lang w:val="en-ZA" w:eastAsia="en-GB" w:bidi="yi-Hebr"/>
        </w:rPr>
      </w:pPr>
    </w:p>
    <w:p w14:paraId="55F6733B" w14:textId="4E951642" w:rsidR="00E30E8A" w:rsidRPr="00D90BC2" w:rsidRDefault="00F52A5E" w:rsidP="006D06EA">
      <w:pPr>
        <w:tabs>
          <w:tab w:val="right" w:pos="9026"/>
        </w:tabs>
        <w:spacing w:after="0" w:line="276" w:lineRule="auto"/>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TOWER PROPERTY FUND LIMITED</w:t>
      </w:r>
      <w:r w:rsidR="003E1994" w:rsidRPr="00D90BC2">
        <w:rPr>
          <w:rFonts w:ascii="Arial" w:eastAsia="Times New Roman" w:hAnsi="Arial" w:cs="Arial"/>
          <w:b/>
          <w:bCs/>
          <w:sz w:val="24"/>
          <w:szCs w:val="24"/>
          <w:lang w:val="en-ZA" w:eastAsia="en-GB" w:bidi="yi-Hebr"/>
        </w:rPr>
        <w:tab/>
      </w:r>
      <w:r w:rsidR="00E30E8A" w:rsidRPr="00D90BC2">
        <w:rPr>
          <w:rFonts w:ascii="Arial" w:eastAsia="Times New Roman" w:hAnsi="Arial" w:cs="Arial"/>
          <w:b/>
          <w:bCs/>
          <w:sz w:val="24"/>
          <w:szCs w:val="24"/>
          <w:lang w:val="en-ZA" w:eastAsia="en-GB" w:bidi="yi-Hebr"/>
        </w:rPr>
        <w:t>RESPONDENT</w:t>
      </w:r>
    </w:p>
    <w:p w14:paraId="6AAF88E8" w14:textId="1008747C" w:rsidR="00E30E8A" w:rsidRDefault="00F52A5E" w:rsidP="006D06EA">
      <w:pPr>
        <w:pBdr>
          <w:bottom w:val="single" w:sz="12" w:space="1" w:color="auto"/>
        </w:pBdr>
        <w:tabs>
          <w:tab w:val="right" w:pos="9026"/>
        </w:tabs>
        <w:spacing w:after="0" w:line="276" w:lineRule="auto"/>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[Registration Number: 2012/066457/07]</w:t>
      </w:r>
    </w:p>
    <w:p w14:paraId="77A48B1A" w14:textId="7D2F4AC5" w:rsidR="00193E57" w:rsidRDefault="00193E57" w:rsidP="00D41793">
      <w:pPr>
        <w:pBdr>
          <w:bottom w:val="single" w:sz="12" w:space="1" w:color="auto"/>
        </w:pBdr>
        <w:tabs>
          <w:tab w:val="right" w:pos="9026"/>
        </w:tabs>
        <w:spacing w:after="0" w:line="360" w:lineRule="auto"/>
        <w:contextualSpacing/>
        <w:jc w:val="both"/>
        <w:rPr>
          <w:rFonts w:ascii="Arial" w:eastAsia="Times New Roman" w:hAnsi="Arial" w:cs="Arial"/>
          <w:b/>
          <w:bCs/>
          <w:sz w:val="24"/>
          <w:szCs w:val="24"/>
          <w:lang w:val="en-ZA" w:eastAsia="en-GB" w:bidi="yi-Hebr"/>
        </w:rPr>
      </w:pPr>
    </w:p>
    <w:p w14:paraId="2E3C69A3" w14:textId="77777777" w:rsidR="00193E57" w:rsidRPr="00193E57" w:rsidRDefault="00193E57" w:rsidP="00193E57">
      <w:pPr>
        <w:spacing w:after="0" w:line="240" w:lineRule="auto"/>
        <w:rPr>
          <w:rFonts w:asciiTheme="minorBidi" w:eastAsia="Times New Roman" w:hAnsiTheme="minorBidi"/>
          <w:bCs/>
          <w:sz w:val="24"/>
          <w:szCs w:val="24"/>
          <w:lang w:val="en-ZA" w:eastAsia="en-GB" w:bidi="yi-Hebr"/>
        </w:rPr>
      </w:pPr>
    </w:p>
    <w:p w14:paraId="5EAD5619" w14:textId="77777777" w:rsidR="00193E57" w:rsidRPr="00193E57" w:rsidRDefault="00193E57" w:rsidP="00193E57">
      <w:pPr>
        <w:spacing w:after="0" w:line="240" w:lineRule="auto"/>
        <w:rPr>
          <w:rFonts w:asciiTheme="minorBidi" w:eastAsia="Times New Roman" w:hAnsiTheme="minorBidi"/>
          <w:bCs/>
          <w:sz w:val="24"/>
          <w:szCs w:val="24"/>
          <w:lang w:val="en-ZA" w:eastAsia="en-GB" w:bidi="yi-Hebr"/>
        </w:rPr>
      </w:pPr>
    </w:p>
    <w:p w14:paraId="3ACCECA7" w14:textId="77777777" w:rsidR="00193E57" w:rsidRPr="00193E57" w:rsidRDefault="00193E57" w:rsidP="00193E57">
      <w:pPr>
        <w:spacing w:after="0" w:line="240" w:lineRule="auto"/>
        <w:rPr>
          <w:rFonts w:asciiTheme="minorBidi" w:eastAsia="Times New Roman" w:hAnsiTheme="minorBidi"/>
          <w:bCs/>
          <w:sz w:val="24"/>
          <w:szCs w:val="24"/>
          <w:lang w:val="en-ZA" w:eastAsia="en-GB" w:bidi="yi-Hebr"/>
        </w:rPr>
      </w:pPr>
      <w:r w:rsidRPr="00193E57">
        <w:rPr>
          <w:rFonts w:asciiTheme="minorBidi" w:eastAsia="Times New Roman" w:hAnsiTheme="minorBidi"/>
          <w:bCs/>
          <w:sz w:val="24"/>
          <w:szCs w:val="24"/>
          <w:lang w:val="en-ZA" w:eastAsia="en-GB" w:bidi="yi-Hebr"/>
        </w:rPr>
        <w:t>Coram:</w:t>
      </w:r>
      <w:r w:rsidRPr="00193E57">
        <w:rPr>
          <w:rFonts w:asciiTheme="minorBidi" w:eastAsia="Times New Roman" w:hAnsiTheme="minorBidi"/>
          <w:bCs/>
          <w:sz w:val="24"/>
          <w:szCs w:val="24"/>
          <w:lang w:val="en-ZA" w:eastAsia="en-GB" w:bidi="yi-Hebr"/>
        </w:rPr>
        <w:tab/>
        <w:t xml:space="preserve">Mossop J </w:t>
      </w:r>
    </w:p>
    <w:p w14:paraId="629F87E6" w14:textId="77777777" w:rsidR="00193E57" w:rsidRPr="00193E57" w:rsidRDefault="00193E57" w:rsidP="00193E57">
      <w:pPr>
        <w:spacing w:after="0" w:line="240" w:lineRule="auto"/>
        <w:rPr>
          <w:rFonts w:asciiTheme="minorBidi" w:eastAsia="Times New Roman" w:hAnsiTheme="minorBidi"/>
          <w:bCs/>
          <w:sz w:val="24"/>
          <w:szCs w:val="24"/>
          <w:lang w:val="en-ZA" w:eastAsia="en-GB" w:bidi="yi-Hebr"/>
        </w:rPr>
      </w:pPr>
    </w:p>
    <w:p w14:paraId="1D2D7C77" w14:textId="35A446EC" w:rsidR="00193E57" w:rsidRPr="00193E57" w:rsidRDefault="00193E57" w:rsidP="00193E57">
      <w:pPr>
        <w:spacing w:after="0" w:line="240" w:lineRule="auto"/>
        <w:rPr>
          <w:rFonts w:asciiTheme="minorBidi" w:eastAsia="Times New Roman" w:hAnsiTheme="minorBidi"/>
          <w:bCs/>
          <w:sz w:val="24"/>
          <w:szCs w:val="24"/>
          <w:lang w:val="en-ZA" w:eastAsia="en-GB" w:bidi="yi-Hebr"/>
        </w:rPr>
      </w:pPr>
      <w:r w:rsidRPr="00193E57">
        <w:rPr>
          <w:rFonts w:asciiTheme="minorBidi" w:eastAsia="Times New Roman" w:hAnsiTheme="minorBidi"/>
          <w:bCs/>
          <w:sz w:val="24"/>
          <w:szCs w:val="24"/>
          <w:lang w:val="en-ZA" w:eastAsia="en-GB" w:bidi="yi-Hebr"/>
        </w:rPr>
        <w:t>Heard:</w:t>
      </w:r>
      <w:r w:rsidRPr="00193E57">
        <w:rPr>
          <w:rFonts w:asciiTheme="minorBidi" w:eastAsia="Times New Roman" w:hAnsiTheme="minorBidi"/>
          <w:bCs/>
          <w:sz w:val="24"/>
          <w:szCs w:val="24"/>
          <w:lang w:val="en-ZA" w:eastAsia="en-GB" w:bidi="yi-Hebr"/>
        </w:rPr>
        <w:tab/>
      </w:r>
      <w:r w:rsidR="00C87077">
        <w:rPr>
          <w:rFonts w:asciiTheme="minorBidi" w:eastAsia="Times New Roman" w:hAnsiTheme="minorBidi"/>
          <w:bCs/>
          <w:sz w:val="24"/>
          <w:szCs w:val="24"/>
          <w:lang w:val="en-ZA" w:eastAsia="en-GB" w:bidi="yi-Hebr"/>
        </w:rPr>
        <w:t>7</w:t>
      </w:r>
      <w:r w:rsidRPr="00193E57">
        <w:rPr>
          <w:rFonts w:asciiTheme="minorBidi" w:eastAsia="Times New Roman" w:hAnsiTheme="minorBidi"/>
          <w:bCs/>
          <w:sz w:val="24"/>
          <w:szCs w:val="24"/>
          <w:lang w:val="en-ZA" w:eastAsia="en-GB" w:bidi="yi-Hebr"/>
        </w:rPr>
        <w:t xml:space="preserve"> March 2023</w:t>
      </w:r>
    </w:p>
    <w:p w14:paraId="750CA902" w14:textId="77777777" w:rsidR="00193E57" w:rsidRPr="00193E57" w:rsidRDefault="00193E57" w:rsidP="00193E57">
      <w:pPr>
        <w:spacing w:after="0" w:line="240" w:lineRule="auto"/>
        <w:rPr>
          <w:rFonts w:asciiTheme="minorBidi" w:eastAsia="Times New Roman" w:hAnsiTheme="minorBidi"/>
          <w:bCs/>
          <w:sz w:val="24"/>
          <w:szCs w:val="24"/>
          <w:lang w:val="en-ZA" w:eastAsia="en-GB" w:bidi="yi-Hebr"/>
        </w:rPr>
      </w:pPr>
    </w:p>
    <w:p w14:paraId="01BCB262" w14:textId="66B77854" w:rsidR="00193E57" w:rsidRPr="00193E57" w:rsidRDefault="00193E57" w:rsidP="00193E57">
      <w:pPr>
        <w:spacing w:after="0" w:line="240" w:lineRule="auto"/>
        <w:rPr>
          <w:rFonts w:asciiTheme="minorBidi" w:eastAsia="Times New Roman" w:hAnsiTheme="minorBidi"/>
          <w:bCs/>
          <w:sz w:val="24"/>
          <w:szCs w:val="24"/>
          <w:lang w:val="en-ZA" w:eastAsia="en-GB" w:bidi="yi-Hebr"/>
        </w:rPr>
      </w:pPr>
      <w:r w:rsidRPr="00193E57">
        <w:rPr>
          <w:rFonts w:asciiTheme="minorBidi" w:eastAsia="Times New Roman" w:hAnsiTheme="minorBidi"/>
          <w:bCs/>
          <w:sz w:val="24"/>
          <w:szCs w:val="24"/>
          <w:lang w:val="en-ZA" w:eastAsia="en-GB" w:bidi="yi-Hebr"/>
        </w:rPr>
        <w:t>Delivered:</w:t>
      </w:r>
      <w:r w:rsidRPr="00193E57">
        <w:rPr>
          <w:rFonts w:asciiTheme="minorBidi" w:eastAsia="Times New Roman" w:hAnsiTheme="minorBidi"/>
          <w:bCs/>
          <w:sz w:val="24"/>
          <w:szCs w:val="24"/>
          <w:lang w:val="en-ZA" w:eastAsia="en-GB" w:bidi="yi-Hebr"/>
        </w:rPr>
        <w:tab/>
      </w:r>
      <w:r w:rsidR="00C87077">
        <w:rPr>
          <w:rFonts w:asciiTheme="minorBidi" w:eastAsia="Times New Roman" w:hAnsiTheme="minorBidi"/>
          <w:bCs/>
          <w:sz w:val="24"/>
          <w:szCs w:val="24"/>
          <w:lang w:val="en-ZA" w:eastAsia="en-GB" w:bidi="yi-Hebr"/>
        </w:rPr>
        <w:t>9</w:t>
      </w:r>
      <w:r w:rsidRPr="00193E57">
        <w:rPr>
          <w:rFonts w:asciiTheme="minorBidi" w:eastAsia="Times New Roman" w:hAnsiTheme="minorBidi"/>
          <w:bCs/>
          <w:sz w:val="24"/>
          <w:szCs w:val="24"/>
          <w:lang w:val="en-ZA" w:eastAsia="en-GB" w:bidi="yi-Hebr"/>
        </w:rPr>
        <w:t xml:space="preserve"> March 2023</w:t>
      </w:r>
    </w:p>
    <w:p w14:paraId="6B240A64" w14:textId="089DFC1F" w:rsidR="00E30E8A" w:rsidRDefault="00E30E8A" w:rsidP="00E30E8A">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2FDDE484" w14:textId="77777777" w:rsidR="00F52A5E" w:rsidRPr="00D90BC2" w:rsidRDefault="00F52A5E" w:rsidP="00E30E8A">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60AF7D8F" w14:textId="77777777" w:rsidR="00E30E8A" w:rsidRPr="00D90BC2" w:rsidRDefault="00E30E8A" w:rsidP="00E30E8A">
      <w:pPr>
        <w:spacing w:after="0" w:line="240" w:lineRule="auto"/>
        <w:jc w:val="both"/>
        <w:rPr>
          <w:rFonts w:ascii="Arial" w:eastAsia="Times New Roman" w:hAnsi="Arial" w:cs="Arial"/>
          <w:b/>
          <w:bCs/>
          <w:sz w:val="24"/>
          <w:szCs w:val="24"/>
          <w:lang w:val="en-ZA" w:eastAsia="en-GB" w:bidi="yi-Hebr"/>
        </w:rPr>
      </w:pPr>
    </w:p>
    <w:p w14:paraId="4770D20E" w14:textId="77777777"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D90BC2">
        <w:rPr>
          <w:rFonts w:ascii="Arial" w:eastAsia="Times New Roman" w:hAnsi="Arial" w:cs="Arial"/>
          <w:b/>
          <w:bCs/>
          <w:sz w:val="24"/>
          <w:szCs w:val="24"/>
          <w:lang w:val="en-ZA" w:eastAsia="en-GB" w:bidi="yi-Hebr"/>
        </w:rPr>
        <w:t>ORDER</w:t>
      </w:r>
    </w:p>
    <w:p w14:paraId="4E374DA2" w14:textId="77777777"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p>
    <w:p w14:paraId="3AAA24EE" w14:textId="77777777" w:rsidR="00196C09" w:rsidRPr="00D90BC2" w:rsidRDefault="00196C09"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41CCD833" w14:textId="113127F8" w:rsidR="00193E57" w:rsidRDefault="008213B2"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r w:rsidRPr="00D90BC2">
        <w:rPr>
          <w:rFonts w:ascii="Arial" w:eastAsia="Times New Roman" w:hAnsi="Arial" w:cs="Arial"/>
          <w:bCs/>
          <w:sz w:val="24"/>
          <w:szCs w:val="24"/>
          <w:lang w:val="en-ZA" w:eastAsia="en-GB" w:bidi="yi-Hebr"/>
        </w:rPr>
        <w:t xml:space="preserve">The following order is </w:t>
      </w:r>
      <w:r w:rsidR="00C87077">
        <w:rPr>
          <w:rFonts w:ascii="Arial" w:eastAsia="Times New Roman" w:hAnsi="Arial" w:cs="Arial"/>
          <w:bCs/>
          <w:sz w:val="24"/>
          <w:szCs w:val="24"/>
          <w:lang w:val="en-ZA" w:eastAsia="en-GB" w:bidi="yi-Hebr"/>
        </w:rPr>
        <w:t>made</w:t>
      </w:r>
      <w:r w:rsidR="00193E57">
        <w:rPr>
          <w:rFonts w:ascii="Arial" w:eastAsia="Times New Roman" w:hAnsi="Arial" w:cs="Arial"/>
          <w:bCs/>
          <w:sz w:val="24"/>
          <w:szCs w:val="24"/>
          <w:lang w:val="en-ZA" w:eastAsia="en-GB" w:bidi="yi-Hebr"/>
        </w:rPr>
        <w:t>:</w:t>
      </w:r>
    </w:p>
    <w:p w14:paraId="05600C8C" w14:textId="77777777" w:rsidR="00193E57" w:rsidRDefault="00193E57" w:rsidP="00196C09">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6AECEDD5" w14:textId="45B38483" w:rsidR="00196C09" w:rsidRDefault="00193E57" w:rsidP="00193E57">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r>
        <w:rPr>
          <w:rFonts w:ascii="Arial" w:eastAsia="Times New Roman" w:hAnsi="Arial" w:cs="Arial"/>
          <w:bCs/>
          <w:sz w:val="24"/>
          <w:szCs w:val="24"/>
          <w:lang w:val="en-ZA" w:eastAsia="en-GB" w:bidi="yi-Hebr"/>
        </w:rPr>
        <w:t>The application for leave to appeal is dismissed with costs.</w:t>
      </w:r>
    </w:p>
    <w:p w14:paraId="12EF7162" w14:textId="6232D4DE" w:rsidR="006D06EA" w:rsidRDefault="006D06EA" w:rsidP="00193E57">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531D2A34" w14:textId="77777777" w:rsidR="006D06EA" w:rsidRDefault="006D06EA" w:rsidP="00193E57">
      <w:pPr>
        <w:pStyle w:val="ListParagraph"/>
        <w:tabs>
          <w:tab w:val="left" w:pos="709"/>
          <w:tab w:val="left" w:pos="1418"/>
        </w:tabs>
        <w:spacing w:after="0" w:line="360" w:lineRule="auto"/>
        <w:ind w:left="0"/>
        <w:jc w:val="both"/>
        <w:rPr>
          <w:rFonts w:ascii="Arial" w:eastAsia="Times New Roman" w:hAnsi="Arial" w:cs="Arial"/>
          <w:bCs/>
          <w:sz w:val="24"/>
          <w:szCs w:val="24"/>
          <w:lang w:val="en-ZA" w:eastAsia="en-GB" w:bidi="yi-Hebr"/>
        </w:rPr>
      </w:pPr>
    </w:p>
    <w:p w14:paraId="1E6CF1B4" w14:textId="77777777" w:rsidR="008213B2" w:rsidRPr="00D90BC2" w:rsidRDefault="008213B2" w:rsidP="00E30E8A">
      <w:pPr>
        <w:pBdr>
          <w:bottom w:val="single" w:sz="12" w:space="1" w:color="auto"/>
        </w:pBdr>
        <w:spacing w:after="0" w:line="240" w:lineRule="auto"/>
        <w:jc w:val="both"/>
        <w:rPr>
          <w:rFonts w:ascii="Arial" w:eastAsia="Times New Roman" w:hAnsi="Arial" w:cs="Arial"/>
          <w:b/>
          <w:bCs/>
          <w:sz w:val="24"/>
          <w:szCs w:val="24"/>
          <w:lang w:val="en-ZA" w:eastAsia="en-GB" w:bidi="yi-Hebr"/>
        </w:rPr>
      </w:pPr>
    </w:p>
    <w:p w14:paraId="54813A77" w14:textId="77777777" w:rsidR="00E30E8A" w:rsidRPr="00D90BC2" w:rsidRDefault="00E30E8A" w:rsidP="00E30E8A">
      <w:pPr>
        <w:spacing w:after="0" w:line="240" w:lineRule="auto"/>
        <w:jc w:val="both"/>
        <w:rPr>
          <w:rFonts w:ascii="Arial" w:eastAsia="Times New Roman" w:hAnsi="Arial" w:cs="Arial"/>
          <w:b/>
          <w:bCs/>
          <w:sz w:val="24"/>
          <w:szCs w:val="24"/>
          <w:lang w:val="en-ZA" w:eastAsia="en-GB" w:bidi="yi-Hebr"/>
        </w:rPr>
      </w:pPr>
    </w:p>
    <w:p w14:paraId="7CACCA48" w14:textId="77777777"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r w:rsidRPr="00D90BC2">
        <w:rPr>
          <w:rFonts w:ascii="Arial" w:eastAsia="Times New Roman" w:hAnsi="Arial" w:cs="Arial"/>
          <w:b/>
          <w:bCs/>
          <w:sz w:val="24"/>
          <w:szCs w:val="24"/>
          <w:lang w:val="en-ZA" w:eastAsia="en-GB" w:bidi="yi-Hebr"/>
        </w:rPr>
        <w:t>JUDGMENT</w:t>
      </w:r>
    </w:p>
    <w:p w14:paraId="0BD9314F" w14:textId="77777777" w:rsidR="00E30E8A" w:rsidRPr="00D90BC2" w:rsidRDefault="00E30E8A" w:rsidP="00E30E8A">
      <w:pPr>
        <w:pBdr>
          <w:bottom w:val="single" w:sz="12" w:space="1" w:color="auto"/>
        </w:pBdr>
        <w:spacing w:after="0" w:line="240" w:lineRule="auto"/>
        <w:jc w:val="center"/>
        <w:rPr>
          <w:rFonts w:ascii="Arial" w:eastAsia="Times New Roman" w:hAnsi="Arial" w:cs="Arial"/>
          <w:b/>
          <w:bCs/>
          <w:sz w:val="24"/>
          <w:szCs w:val="24"/>
          <w:lang w:val="en-ZA" w:eastAsia="en-GB" w:bidi="yi-Hebr"/>
        </w:rPr>
      </w:pPr>
    </w:p>
    <w:p w14:paraId="26454EA3" w14:textId="77777777" w:rsidR="00E30E8A" w:rsidRPr="00D90BC2" w:rsidRDefault="00E30E8A" w:rsidP="00E30E8A">
      <w:pPr>
        <w:spacing w:after="0" w:line="240" w:lineRule="auto"/>
        <w:jc w:val="both"/>
        <w:rPr>
          <w:rFonts w:ascii="Arial" w:eastAsia="Times New Roman" w:hAnsi="Arial" w:cs="Arial"/>
          <w:b/>
          <w:bCs/>
          <w:sz w:val="24"/>
          <w:szCs w:val="24"/>
          <w:lang w:val="en-ZA" w:eastAsia="en-GB" w:bidi="yi-Hebr"/>
        </w:rPr>
      </w:pPr>
    </w:p>
    <w:p w14:paraId="28B02409" w14:textId="77777777" w:rsidR="00193E57" w:rsidRDefault="00193E57" w:rsidP="003E1994">
      <w:pPr>
        <w:spacing w:after="0" w:line="360" w:lineRule="auto"/>
        <w:jc w:val="both"/>
        <w:rPr>
          <w:rFonts w:ascii="Arial" w:eastAsia="Times New Roman" w:hAnsi="Arial" w:cs="Arial"/>
          <w:b/>
          <w:sz w:val="24"/>
          <w:szCs w:val="24"/>
          <w:lang w:val="en-ZA" w:eastAsia="en-GB" w:bidi="yi-Hebr"/>
        </w:rPr>
      </w:pPr>
    </w:p>
    <w:p w14:paraId="4BE679C3" w14:textId="19212C60" w:rsidR="00E30E8A" w:rsidRPr="00D90BC2" w:rsidRDefault="000D24DB" w:rsidP="00171C8A">
      <w:pPr>
        <w:spacing w:after="0" w:line="360" w:lineRule="auto"/>
        <w:jc w:val="both"/>
        <w:rPr>
          <w:rFonts w:ascii="Arial" w:eastAsia="Times New Roman" w:hAnsi="Arial" w:cs="Arial"/>
          <w:b/>
          <w:bCs/>
          <w:sz w:val="24"/>
          <w:szCs w:val="24"/>
          <w:lang w:val="en-ZA" w:eastAsia="en-GB" w:bidi="yi-Hebr"/>
        </w:rPr>
      </w:pPr>
      <w:r w:rsidRPr="00D90BC2">
        <w:rPr>
          <w:rFonts w:ascii="Arial" w:eastAsia="Times New Roman" w:hAnsi="Arial" w:cs="Arial"/>
          <w:b/>
          <w:sz w:val="24"/>
          <w:szCs w:val="24"/>
          <w:lang w:val="en-ZA" w:eastAsia="en-GB" w:bidi="yi-Hebr"/>
        </w:rPr>
        <w:t>M</w:t>
      </w:r>
      <w:r w:rsidR="00E721D2" w:rsidRPr="00D90BC2">
        <w:rPr>
          <w:rFonts w:ascii="Arial" w:eastAsia="Times New Roman" w:hAnsi="Arial" w:cs="Arial"/>
          <w:b/>
          <w:sz w:val="24"/>
          <w:szCs w:val="24"/>
          <w:lang w:val="en-ZA" w:eastAsia="en-GB" w:bidi="yi-Hebr"/>
        </w:rPr>
        <w:t>OSSOP</w:t>
      </w:r>
      <w:r w:rsidRPr="00D90BC2">
        <w:rPr>
          <w:rFonts w:ascii="Arial" w:eastAsia="Times New Roman" w:hAnsi="Arial" w:cs="Arial"/>
          <w:b/>
          <w:sz w:val="24"/>
          <w:szCs w:val="24"/>
          <w:lang w:val="en-ZA" w:eastAsia="en-GB" w:bidi="yi-Hebr"/>
        </w:rPr>
        <w:t xml:space="preserve"> </w:t>
      </w:r>
      <w:r w:rsidR="00A716F4" w:rsidRPr="00D90BC2">
        <w:rPr>
          <w:rFonts w:ascii="Arial" w:eastAsia="Times New Roman" w:hAnsi="Arial" w:cs="Arial"/>
          <w:b/>
          <w:sz w:val="24"/>
          <w:szCs w:val="24"/>
          <w:lang w:val="en-ZA" w:eastAsia="en-GB" w:bidi="yi-Hebr"/>
        </w:rPr>
        <w:t>J</w:t>
      </w:r>
      <w:r w:rsidRPr="00D90BC2">
        <w:rPr>
          <w:rFonts w:ascii="Arial" w:eastAsia="Times New Roman" w:hAnsi="Arial" w:cs="Arial"/>
          <w:b/>
          <w:bCs/>
          <w:sz w:val="24"/>
          <w:szCs w:val="24"/>
          <w:lang w:val="en-ZA" w:eastAsia="en-GB" w:bidi="yi-Hebr"/>
        </w:rPr>
        <w:t>:</w:t>
      </w:r>
    </w:p>
    <w:p w14:paraId="63DA10AB" w14:textId="77777777" w:rsidR="00C86E89" w:rsidRPr="00D90BC2" w:rsidRDefault="00C86E89" w:rsidP="00171C8A">
      <w:pPr>
        <w:spacing w:after="0" w:line="360" w:lineRule="auto"/>
        <w:jc w:val="both"/>
        <w:rPr>
          <w:rFonts w:ascii="Arial" w:eastAsia="Times New Roman" w:hAnsi="Arial" w:cs="Arial"/>
          <w:b/>
          <w:bCs/>
          <w:sz w:val="24"/>
          <w:szCs w:val="24"/>
          <w:lang w:val="en-ZA" w:eastAsia="en-GB" w:bidi="yi-Hebr"/>
        </w:rPr>
      </w:pPr>
    </w:p>
    <w:p w14:paraId="3DE1A717" w14:textId="383104C5" w:rsidR="00B12BB7"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FD4B5B" w:rsidRPr="00B71AEE">
        <w:rPr>
          <w:rFonts w:ascii="Arial" w:hAnsi="Arial" w:cs="Arial"/>
          <w:sz w:val="24"/>
          <w:szCs w:val="24"/>
          <w:lang w:val="en-ZA"/>
        </w:rPr>
        <w:t xml:space="preserve"> </w:t>
      </w:r>
      <w:r w:rsidR="00CA610A" w:rsidRPr="00B71AEE">
        <w:rPr>
          <w:rFonts w:ascii="Arial" w:hAnsi="Arial" w:cs="Arial"/>
          <w:sz w:val="24"/>
          <w:szCs w:val="24"/>
          <w:lang w:val="en-ZA"/>
        </w:rPr>
        <w:t xml:space="preserve">This is an </w:t>
      </w:r>
      <w:r w:rsidR="00C86E89" w:rsidRPr="00B71AEE">
        <w:rPr>
          <w:rFonts w:ascii="Arial" w:hAnsi="Arial" w:cs="Arial"/>
          <w:sz w:val="24"/>
          <w:szCs w:val="24"/>
          <w:lang w:val="en-ZA"/>
        </w:rPr>
        <w:t xml:space="preserve">application </w:t>
      </w:r>
      <w:r w:rsidR="00193E57" w:rsidRPr="00B71AEE">
        <w:rPr>
          <w:rFonts w:ascii="Arial" w:hAnsi="Arial" w:cs="Arial"/>
          <w:sz w:val="24"/>
          <w:szCs w:val="24"/>
          <w:lang w:val="en-ZA"/>
        </w:rPr>
        <w:t xml:space="preserve">for leave to appeal </w:t>
      </w:r>
      <w:r w:rsidR="00F039F3" w:rsidRPr="00B71AEE">
        <w:rPr>
          <w:rFonts w:ascii="Arial" w:hAnsi="Arial" w:cs="Arial"/>
          <w:sz w:val="24"/>
          <w:szCs w:val="24"/>
          <w:lang w:val="en-ZA"/>
        </w:rPr>
        <w:t>against</w:t>
      </w:r>
      <w:r w:rsidR="00193E57" w:rsidRPr="00B71AEE">
        <w:rPr>
          <w:rFonts w:ascii="Arial" w:hAnsi="Arial" w:cs="Arial"/>
          <w:sz w:val="24"/>
          <w:szCs w:val="24"/>
          <w:lang w:val="en-ZA"/>
        </w:rPr>
        <w:t xml:space="preserve"> a judgment that I delivered on 28 November 2022</w:t>
      </w:r>
      <w:r w:rsidR="00367225" w:rsidRPr="00B71AEE">
        <w:rPr>
          <w:rFonts w:ascii="Arial" w:hAnsi="Arial" w:cs="Arial"/>
          <w:sz w:val="24"/>
          <w:szCs w:val="24"/>
          <w:lang w:val="en-ZA"/>
        </w:rPr>
        <w:t xml:space="preserve"> </w:t>
      </w:r>
      <w:r w:rsidR="00780676" w:rsidRPr="00B71AEE">
        <w:rPr>
          <w:rFonts w:ascii="Arial" w:hAnsi="Arial" w:cs="Arial"/>
          <w:sz w:val="24"/>
          <w:szCs w:val="24"/>
          <w:lang w:val="en-ZA"/>
        </w:rPr>
        <w:t>after hearing argument in</w:t>
      </w:r>
      <w:r w:rsidR="00367225" w:rsidRPr="00B71AEE">
        <w:rPr>
          <w:rFonts w:ascii="Arial" w:hAnsi="Arial" w:cs="Arial"/>
          <w:sz w:val="24"/>
          <w:szCs w:val="24"/>
          <w:lang w:val="en-ZA"/>
        </w:rPr>
        <w:t xml:space="preserve"> </w:t>
      </w:r>
      <w:r w:rsidR="00780676" w:rsidRPr="00B71AEE">
        <w:rPr>
          <w:rFonts w:ascii="Arial" w:hAnsi="Arial" w:cs="Arial"/>
          <w:sz w:val="24"/>
          <w:szCs w:val="24"/>
          <w:lang w:val="en-ZA"/>
        </w:rPr>
        <w:t>an opposed motion (the opposed motion)</w:t>
      </w:r>
      <w:r w:rsidR="00DF25CE" w:rsidRPr="00B71AEE">
        <w:rPr>
          <w:rFonts w:ascii="Arial" w:hAnsi="Arial" w:cs="Arial"/>
          <w:sz w:val="24"/>
          <w:szCs w:val="24"/>
          <w:lang w:val="en-ZA"/>
        </w:rPr>
        <w:t>.</w:t>
      </w:r>
      <w:r w:rsidR="00367225" w:rsidRPr="00B71AEE">
        <w:rPr>
          <w:rFonts w:ascii="Arial" w:hAnsi="Arial" w:cs="Arial"/>
          <w:sz w:val="24"/>
          <w:szCs w:val="24"/>
          <w:lang w:val="en-ZA"/>
        </w:rPr>
        <w:t xml:space="preserve"> I granted </w:t>
      </w:r>
      <w:r w:rsidR="00F52A5E" w:rsidRPr="00B71AEE">
        <w:rPr>
          <w:rFonts w:ascii="Arial" w:hAnsi="Arial" w:cs="Arial"/>
          <w:sz w:val="24"/>
          <w:szCs w:val="24"/>
          <w:lang w:val="en-ZA"/>
        </w:rPr>
        <w:t>judgment in favour of the respondent in this application for payment of the amount of R4 001 328.85, interest thereon and costs.</w:t>
      </w:r>
      <w:r w:rsidR="00F52A5E" w:rsidRPr="00B71AEE">
        <w:rPr>
          <w:rFonts w:ascii="Arial" w:hAnsi="Arial" w:cs="Arial"/>
          <w:color w:val="242121"/>
          <w:sz w:val="24"/>
          <w:szCs w:val="24"/>
          <w:lang w:val="en-US"/>
        </w:rPr>
        <w:t xml:space="preserve"> </w:t>
      </w:r>
      <w:r w:rsidR="00367225" w:rsidRPr="00B71AEE">
        <w:rPr>
          <w:rFonts w:ascii="Arial" w:hAnsi="Arial" w:cs="Arial"/>
          <w:sz w:val="24"/>
          <w:szCs w:val="24"/>
          <w:lang w:val="en-ZA"/>
        </w:rPr>
        <w:t>This</w:t>
      </w:r>
      <w:r w:rsidR="00F039F3" w:rsidRPr="00B71AEE">
        <w:rPr>
          <w:rFonts w:ascii="Arial" w:hAnsi="Arial" w:cs="Arial"/>
          <w:sz w:val="24"/>
          <w:szCs w:val="24"/>
          <w:lang w:val="en-ZA"/>
        </w:rPr>
        <w:t xml:space="preserve"> application is brought </w:t>
      </w:r>
      <w:r w:rsidR="00780676" w:rsidRPr="00B71AEE">
        <w:rPr>
          <w:rFonts w:ascii="Arial" w:hAnsi="Arial" w:cs="Arial"/>
          <w:sz w:val="24"/>
          <w:szCs w:val="24"/>
          <w:lang w:val="en-ZA"/>
        </w:rPr>
        <w:t xml:space="preserve">at the instance of </w:t>
      </w:r>
      <w:r w:rsidR="00F039F3" w:rsidRPr="00B71AEE">
        <w:rPr>
          <w:rFonts w:ascii="Arial" w:hAnsi="Arial" w:cs="Arial"/>
          <w:sz w:val="24"/>
          <w:szCs w:val="24"/>
          <w:lang w:val="en-ZA"/>
        </w:rPr>
        <w:t xml:space="preserve">the first and second respondents </w:t>
      </w:r>
      <w:r w:rsidR="00780676" w:rsidRPr="00B71AEE">
        <w:rPr>
          <w:rFonts w:ascii="Arial" w:hAnsi="Arial" w:cs="Arial"/>
          <w:sz w:val="24"/>
          <w:szCs w:val="24"/>
          <w:lang w:val="en-ZA"/>
        </w:rPr>
        <w:t xml:space="preserve">in the opposed motion </w:t>
      </w:r>
      <w:r w:rsidR="00F039F3" w:rsidRPr="00B71AEE">
        <w:rPr>
          <w:rFonts w:ascii="Arial" w:hAnsi="Arial" w:cs="Arial"/>
          <w:sz w:val="24"/>
          <w:szCs w:val="24"/>
          <w:lang w:val="en-ZA"/>
        </w:rPr>
        <w:t xml:space="preserve">and for the purposes of this application, I shall refer to them </w:t>
      </w:r>
      <w:r w:rsidR="00C87077" w:rsidRPr="00B71AEE">
        <w:rPr>
          <w:rFonts w:ascii="Arial" w:hAnsi="Arial" w:cs="Arial"/>
          <w:sz w:val="24"/>
          <w:szCs w:val="24"/>
          <w:lang w:val="en-ZA"/>
        </w:rPr>
        <w:t xml:space="preserve">now </w:t>
      </w:r>
      <w:r w:rsidR="00F039F3" w:rsidRPr="00B71AEE">
        <w:rPr>
          <w:rFonts w:ascii="Arial" w:hAnsi="Arial" w:cs="Arial"/>
          <w:sz w:val="24"/>
          <w:szCs w:val="24"/>
          <w:lang w:val="en-ZA"/>
        </w:rPr>
        <w:t xml:space="preserve">as ‘the applicants’. </w:t>
      </w:r>
      <w:r w:rsidR="00780676" w:rsidRPr="00B71AEE">
        <w:rPr>
          <w:rFonts w:ascii="Arial" w:hAnsi="Arial" w:cs="Arial"/>
          <w:sz w:val="24"/>
          <w:szCs w:val="24"/>
          <w:lang w:val="en-ZA"/>
        </w:rPr>
        <w:t>It follows that t</w:t>
      </w:r>
      <w:r w:rsidR="00F039F3" w:rsidRPr="00B71AEE">
        <w:rPr>
          <w:rFonts w:ascii="Arial" w:hAnsi="Arial" w:cs="Arial"/>
          <w:sz w:val="24"/>
          <w:szCs w:val="24"/>
          <w:lang w:val="en-ZA"/>
        </w:rPr>
        <w:t xml:space="preserve">he applicant in the </w:t>
      </w:r>
      <w:r w:rsidR="00780676" w:rsidRPr="00B71AEE">
        <w:rPr>
          <w:rFonts w:ascii="Arial" w:hAnsi="Arial" w:cs="Arial"/>
          <w:sz w:val="24"/>
          <w:szCs w:val="24"/>
          <w:lang w:val="en-ZA"/>
        </w:rPr>
        <w:t>opposed motion</w:t>
      </w:r>
      <w:r w:rsidR="00F039F3" w:rsidRPr="00B71AEE">
        <w:rPr>
          <w:rFonts w:ascii="Arial" w:hAnsi="Arial" w:cs="Arial"/>
          <w:sz w:val="24"/>
          <w:szCs w:val="24"/>
          <w:lang w:val="en-ZA"/>
        </w:rPr>
        <w:t xml:space="preserve"> shall </w:t>
      </w:r>
      <w:r w:rsidR="00C87077" w:rsidRPr="00B71AEE">
        <w:rPr>
          <w:rFonts w:ascii="Arial" w:hAnsi="Arial" w:cs="Arial"/>
          <w:sz w:val="24"/>
          <w:szCs w:val="24"/>
          <w:lang w:val="en-ZA"/>
        </w:rPr>
        <w:t xml:space="preserve">now </w:t>
      </w:r>
      <w:r w:rsidR="00F039F3" w:rsidRPr="00B71AEE">
        <w:rPr>
          <w:rFonts w:ascii="Arial" w:hAnsi="Arial" w:cs="Arial"/>
          <w:sz w:val="24"/>
          <w:szCs w:val="24"/>
          <w:lang w:val="en-ZA"/>
        </w:rPr>
        <w:t xml:space="preserve">be referred to as ‘the respondent’. </w:t>
      </w:r>
    </w:p>
    <w:p w14:paraId="399CB37F" w14:textId="77777777" w:rsidR="00780676" w:rsidRPr="00780676" w:rsidRDefault="00780676" w:rsidP="00780676">
      <w:pPr>
        <w:pStyle w:val="ListParagraph"/>
        <w:tabs>
          <w:tab w:val="left" w:pos="709"/>
          <w:tab w:val="left" w:pos="1418"/>
        </w:tabs>
        <w:spacing w:after="0" w:line="360" w:lineRule="auto"/>
        <w:ind w:left="0"/>
        <w:jc w:val="both"/>
        <w:rPr>
          <w:rFonts w:ascii="Arial" w:hAnsi="Arial" w:cs="Arial"/>
          <w:sz w:val="24"/>
          <w:szCs w:val="24"/>
          <w:lang w:val="en-ZA"/>
        </w:rPr>
      </w:pPr>
    </w:p>
    <w:p w14:paraId="2E2F7AD7" w14:textId="1E34DBC0" w:rsidR="00F039F3" w:rsidRPr="00B71AEE" w:rsidRDefault="00B71AEE" w:rsidP="00B71AEE">
      <w:pPr>
        <w:tabs>
          <w:tab w:val="left" w:pos="709"/>
          <w:tab w:val="left" w:pos="1418"/>
        </w:tabs>
        <w:spacing w:after="0" w:line="360" w:lineRule="auto"/>
        <w:jc w:val="both"/>
        <w:rPr>
          <w:rFonts w:ascii="Arial" w:hAnsi="Arial" w:cs="Arial"/>
          <w:sz w:val="24"/>
          <w:szCs w:val="24"/>
          <w:lang w:val="en-ZA"/>
        </w:rPr>
      </w:pPr>
      <w:r w:rsidRPr="00314E2C">
        <w:rPr>
          <w:rFonts w:ascii="Arial" w:hAnsi="Arial" w:cs="Arial"/>
          <w:sz w:val="24"/>
          <w:szCs w:val="24"/>
          <w:lang w:val="en-ZA"/>
        </w:rPr>
        <w:t>[2]</w:t>
      </w:r>
      <w:r w:rsidRPr="00314E2C">
        <w:rPr>
          <w:rFonts w:ascii="Arial" w:hAnsi="Arial" w:cs="Arial"/>
          <w:sz w:val="24"/>
          <w:szCs w:val="24"/>
          <w:lang w:val="en-ZA"/>
        </w:rPr>
        <w:tab/>
      </w:r>
      <w:r w:rsidR="00F039F3" w:rsidRPr="00B71AEE">
        <w:rPr>
          <w:rFonts w:ascii="Arial" w:hAnsi="Arial" w:cs="Arial"/>
          <w:sz w:val="24"/>
          <w:szCs w:val="24"/>
        </w:rPr>
        <w:t xml:space="preserve">As in the </w:t>
      </w:r>
      <w:r w:rsidR="00780676" w:rsidRPr="00B71AEE">
        <w:rPr>
          <w:rFonts w:ascii="Arial" w:hAnsi="Arial" w:cs="Arial"/>
          <w:sz w:val="24"/>
          <w:szCs w:val="24"/>
        </w:rPr>
        <w:t>opposed motion</w:t>
      </w:r>
      <w:r w:rsidR="00F039F3" w:rsidRPr="00B71AEE">
        <w:rPr>
          <w:rFonts w:ascii="Arial" w:hAnsi="Arial" w:cs="Arial"/>
          <w:sz w:val="24"/>
          <w:szCs w:val="24"/>
        </w:rPr>
        <w:t xml:space="preserve">, Mr Reddy appeared for the applicants and Mr Schaup appeared for the respondent. Both counsel are thanked for their </w:t>
      </w:r>
      <w:r w:rsidR="00314E2C" w:rsidRPr="00B71AEE">
        <w:rPr>
          <w:rFonts w:ascii="Arial" w:hAnsi="Arial" w:cs="Arial"/>
          <w:sz w:val="24"/>
          <w:szCs w:val="24"/>
        </w:rPr>
        <w:t>respective contributions.</w:t>
      </w:r>
    </w:p>
    <w:p w14:paraId="2766333E" w14:textId="77777777" w:rsidR="00314E2C" w:rsidRPr="00F039F3" w:rsidRDefault="00314E2C" w:rsidP="00314E2C">
      <w:pPr>
        <w:pStyle w:val="ListParagraph"/>
        <w:tabs>
          <w:tab w:val="left" w:pos="709"/>
          <w:tab w:val="left" w:pos="1418"/>
        </w:tabs>
        <w:spacing w:after="0" w:line="360" w:lineRule="auto"/>
        <w:ind w:left="0"/>
        <w:jc w:val="both"/>
        <w:rPr>
          <w:rFonts w:ascii="Arial" w:hAnsi="Arial" w:cs="Arial"/>
          <w:sz w:val="24"/>
          <w:szCs w:val="24"/>
          <w:lang w:val="en-ZA"/>
        </w:rPr>
      </w:pPr>
    </w:p>
    <w:p w14:paraId="225986EE" w14:textId="2453CE98" w:rsidR="00314E2C" w:rsidRPr="00B71AEE" w:rsidRDefault="00B71AEE" w:rsidP="00B71AEE">
      <w:pPr>
        <w:tabs>
          <w:tab w:val="left" w:pos="709"/>
          <w:tab w:val="left" w:pos="1418"/>
        </w:tabs>
        <w:spacing w:after="0" w:line="360" w:lineRule="auto"/>
        <w:jc w:val="both"/>
        <w:rPr>
          <w:rFonts w:ascii="Arial" w:hAnsi="Arial" w:cs="Arial"/>
          <w:sz w:val="24"/>
          <w:szCs w:val="24"/>
          <w:lang w:val="en-ZA"/>
        </w:rPr>
      </w:pPr>
      <w:r w:rsidRPr="00780676">
        <w:rPr>
          <w:rFonts w:ascii="Arial" w:hAnsi="Arial" w:cs="Arial"/>
          <w:sz w:val="24"/>
          <w:szCs w:val="24"/>
          <w:lang w:val="en-ZA"/>
        </w:rPr>
        <w:t>[3]</w:t>
      </w:r>
      <w:r w:rsidRPr="00780676">
        <w:rPr>
          <w:rFonts w:ascii="Arial" w:hAnsi="Arial" w:cs="Arial"/>
          <w:sz w:val="24"/>
          <w:szCs w:val="24"/>
          <w:lang w:val="en-ZA"/>
        </w:rPr>
        <w:tab/>
      </w:r>
      <w:r w:rsidR="00314E2C" w:rsidRPr="00B71AEE">
        <w:rPr>
          <w:rFonts w:ascii="Arial" w:eastAsia="Times New Roman" w:hAnsi="Arial" w:cs="Arial"/>
          <w:color w:val="242121"/>
          <w:sz w:val="24"/>
          <w:szCs w:val="24"/>
          <w:lang w:val="en-ZA" w:eastAsia="en-GB" w:bidi="yi-Hebr"/>
        </w:rPr>
        <w:t xml:space="preserve">Before dealing with the merits of the application, </w:t>
      </w:r>
      <w:r w:rsidR="00367225" w:rsidRPr="00B71AEE">
        <w:rPr>
          <w:rFonts w:ascii="Arial" w:eastAsia="Times New Roman" w:hAnsi="Arial" w:cs="Arial"/>
          <w:color w:val="242121"/>
          <w:sz w:val="24"/>
          <w:szCs w:val="24"/>
          <w:lang w:val="en-ZA" w:eastAsia="en-GB" w:bidi="yi-Hebr"/>
        </w:rPr>
        <w:t>I need to explain why it has taken so long to hear this application.</w:t>
      </w:r>
      <w:r w:rsidR="00314E2C" w:rsidRPr="00B71AEE">
        <w:rPr>
          <w:rFonts w:ascii="Arial" w:eastAsia="Times New Roman" w:hAnsi="Arial" w:cs="Arial"/>
          <w:color w:val="242121"/>
          <w:sz w:val="24"/>
          <w:szCs w:val="24"/>
          <w:lang w:val="en-ZA" w:eastAsia="en-GB" w:bidi="yi-Hebr"/>
        </w:rPr>
        <w:t xml:space="preserve"> It is my habit to hear applications for leave to appeal as soon as practically possible after they have been filed. This application was delivered on 15 December 2022, after the end of the judicial year and when the court was in</w:t>
      </w:r>
      <w:r w:rsidR="00DF25CE" w:rsidRPr="00B71AEE">
        <w:rPr>
          <w:rFonts w:ascii="Arial" w:eastAsia="Times New Roman" w:hAnsi="Arial" w:cs="Arial"/>
          <w:color w:val="242121"/>
          <w:sz w:val="24"/>
          <w:szCs w:val="24"/>
          <w:lang w:val="en-ZA" w:eastAsia="en-GB" w:bidi="yi-Hebr"/>
        </w:rPr>
        <w:t xml:space="preserve"> its end of year</w:t>
      </w:r>
      <w:r w:rsidR="00314E2C" w:rsidRPr="00B71AEE">
        <w:rPr>
          <w:rFonts w:ascii="Arial" w:eastAsia="Times New Roman" w:hAnsi="Arial" w:cs="Arial"/>
          <w:color w:val="242121"/>
          <w:sz w:val="24"/>
          <w:szCs w:val="24"/>
          <w:lang w:val="en-ZA" w:eastAsia="en-GB" w:bidi="yi-Hebr"/>
        </w:rPr>
        <w:t xml:space="preserve"> recess period. I was, however, on recess duty commencing on 8 January 2023 and received the notice of application on that day. Unfortunately, I could not thereafter immediately deal with the application during the first session of the first term of 2023 as I was assigned circuit court duties in Madadeni in Northern KwaZulu-Natal. I returned from such duties two weeks ago but there was then difficulty in arranging a date convenient to both counsel. </w:t>
      </w:r>
      <w:r w:rsidR="00367225" w:rsidRPr="00B71AEE">
        <w:rPr>
          <w:rFonts w:ascii="Arial" w:eastAsia="Times New Roman" w:hAnsi="Arial" w:cs="Arial"/>
          <w:color w:val="242121"/>
          <w:sz w:val="24"/>
          <w:szCs w:val="24"/>
          <w:lang w:val="en-ZA" w:eastAsia="en-GB" w:bidi="yi-Hebr"/>
        </w:rPr>
        <w:t>This explains why this application has not been heard as swiftly as it should have been.</w:t>
      </w:r>
    </w:p>
    <w:p w14:paraId="16C11A47" w14:textId="77777777" w:rsidR="00780676" w:rsidRPr="00780676" w:rsidRDefault="00780676" w:rsidP="00780676">
      <w:pPr>
        <w:pStyle w:val="ListParagraph"/>
        <w:rPr>
          <w:rFonts w:ascii="Arial" w:hAnsi="Arial" w:cs="Arial"/>
          <w:sz w:val="24"/>
          <w:szCs w:val="24"/>
          <w:lang w:val="en-ZA"/>
        </w:rPr>
      </w:pPr>
    </w:p>
    <w:p w14:paraId="56D0603E" w14:textId="5B783912" w:rsidR="00780676" w:rsidRPr="00B71AEE" w:rsidRDefault="00B71AEE" w:rsidP="00B71AEE">
      <w:pPr>
        <w:tabs>
          <w:tab w:val="left" w:pos="709"/>
          <w:tab w:val="left" w:pos="1418"/>
        </w:tabs>
        <w:spacing w:after="0" w:line="360" w:lineRule="auto"/>
        <w:jc w:val="both"/>
        <w:rPr>
          <w:rFonts w:ascii="Arial" w:hAnsi="Arial" w:cs="Arial"/>
          <w:sz w:val="24"/>
          <w:szCs w:val="24"/>
          <w:lang w:val="en-ZA"/>
        </w:rPr>
      </w:pPr>
      <w:r w:rsidRPr="00780676">
        <w:rPr>
          <w:rFonts w:ascii="Arial" w:hAnsi="Arial" w:cs="Arial"/>
          <w:sz w:val="24"/>
          <w:szCs w:val="24"/>
          <w:lang w:val="en-ZA"/>
        </w:rPr>
        <w:t>[4]</w:t>
      </w:r>
      <w:r w:rsidRPr="00780676">
        <w:rPr>
          <w:rFonts w:ascii="Arial" w:hAnsi="Arial" w:cs="Arial"/>
          <w:sz w:val="24"/>
          <w:szCs w:val="24"/>
          <w:lang w:val="en-ZA"/>
        </w:rPr>
        <w:tab/>
      </w:r>
      <w:r w:rsidR="00C87077" w:rsidRPr="00B71AEE">
        <w:rPr>
          <w:rFonts w:ascii="Arial" w:hAnsi="Arial" w:cs="Arial"/>
          <w:sz w:val="24"/>
          <w:szCs w:val="24"/>
        </w:rPr>
        <w:t>A</w:t>
      </w:r>
      <w:r w:rsidR="00F039F3" w:rsidRPr="00B71AEE">
        <w:rPr>
          <w:rFonts w:ascii="Arial" w:hAnsi="Arial" w:cs="Arial"/>
          <w:sz w:val="24"/>
          <w:szCs w:val="24"/>
        </w:rPr>
        <w:t>s was pointed out by Mr Reddy</w:t>
      </w:r>
      <w:r w:rsidR="00314E2C" w:rsidRPr="00B71AEE">
        <w:rPr>
          <w:rFonts w:ascii="Arial" w:hAnsi="Arial" w:cs="Arial"/>
          <w:sz w:val="24"/>
          <w:szCs w:val="24"/>
        </w:rPr>
        <w:t xml:space="preserve"> in his argument</w:t>
      </w:r>
      <w:r w:rsidR="00F039F3" w:rsidRPr="00B71AEE">
        <w:rPr>
          <w:rFonts w:ascii="Arial" w:hAnsi="Arial" w:cs="Arial"/>
          <w:sz w:val="24"/>
          <w:szCs w:val="24"/>
        </w:rPr>
        <w:t>, s</w:t>
      </w:r>
      <w:r w:rsidR="00193E57" w:rsidRPr="00B71AEE">
        <w:rPr>
          <w:rFonts w:ascii="Arial" w:hAnsi="Arial" w:cs="Arial"/>
          <w:sz w:val="24"/>
          <w:szCs w:val="24"/>
        </w:rPr>
        <w:t xml:space="preserve">ection 17 of the </w:t>
      </w:r>
      <w:hyperlink r:id="rId9" w:history="1">
        <w:r w:rsidR="00193E57" w:rsidRPr="00B71AEE">
          <w:rPr>
            <w:rFonts w:ascii="Arial" w:hAnsi="Arial" w:cs="Arial"/>
            <w:bCs/>
            <w:sz w:val="24"/>
            <w:szCs w:val="24"/>
          </w:rPr>
          <w:t>Superior Courts Act, 10 of 2013</w:t>
        </w:r>
      </w:hyperlink>
      <w:r w:rsidR="00193E57" w:rsidRPr="00B71AEE">
        <w:rPr>
          <w:rFonts w:ascii="Arial" w:hAnsi="Arial" w:cs="Arial"/>
          <w:bCs/>
          <w:sz w:val="24"/>
          <w:szCs w:val="24"/>
        </w:rPr>
        <w:t xml:space="preserve"> (the Act) </w:t>
      </w:r>
      <w:r w:rsidR="00193E57" w:rsidRPr="00B71AEE">
        <w:rPr>
          <w:rFonts w:ascii="Arial" w:hAnsi="Arial" w:cs="Arial"/>
          <w:sz w:val="24"/>
          <w:szCs w:val="24"/>
        </w:rPr>
        <w:t xml:space="preserve">regulates applications for leave to appeal from a </w:t>
      </w:r>
    </w:p>
    <w:p w14:paraId="05050280" w14:textId="2B437AF2" w:rsidR="00193E57" w:rsidRPr="00B12BB7" w:rsidRDefault="00193E57" w:rsidP="00780676">
      <w:pPr>
        <w:pStyle w:val="ListParagraph"/>
        <w:tabs>
          <w:tab w:val="left" w:pos="709"/>
          <w:tab w:val="left" w:pos="1418"/>
        </w:tabs>
        <w:spacing w:after="0" w:line="360" w:lineRule="auto"/>
        <w:ind w:left="0"/>
        <w:jc w:val="both"/>
        <w:rPr>
          <w:rFonts w:ascii="Arial" w:hAnsi="Arial" w:cs="Arial"/>
          <w:sz w:val="24"/>
          <w:szCs w:val="24"/>
          <w:lang w:val="en-ZA"/>
        </w:rPr>
      </w:pPr>
      <w:r w:rsidRPr="00B12BB7">
        <w:rPr>
          <w:rFonts w:ascii="Arial" w:hAnsi="Arial" w:cs="Arial"/>
          <w:sz w:val="24"/>
          <w:szCs w:val="24"/>
        </w:rPr>
        <w:t>decision of a High Court. It provides as follows:</w:t>
      </w:r>
      <w:r w:rsidRPr="00B12BB7">
        <w:rPr>
          <w:sz w:val="24"/>
          <w:szCs w:val="24"/>
        </w:rPr>
        <w:t xml:space="preserve"> </w:t>
      </w:r>
    </w:p>
    <w:p w14:paraId="2C3D9529" w14:textId="77777777" w:rsidR="00193E57" w:rsidRPr="00193E57" w:rsidRDefault="00193E57" w:rsidP="00171C8A">
      <w:pPr>
        <w:tabs>
          <w:tab w:val="left" w:pos="709"/>
        </w:tabs>
        <w:spacing w:after="0" w:line="360" w:lineRule="auto"/>
        <w:contextualSpacing/>
        <w:jc w:val="both"/>
        <w:rPr>
          <w:rFonts w:ascii="Arial" w:hAnsi="Arial" w:cs="Arial"/>
          <w:sz w:val="24"/>
          <w:szCs w:val="24"/>
        </w:rPr>
      </w:pPr>
      <w:r w:rsidRPr="00193E57">
        <w:rPr>
          <w:rFonts w:ascii="Arial" w:hAnsi="Arial" w:cs="Arial"/>
        </w:rPr>
        <w:lastRenderedPageBreak/>
        <w:t xml:space="preserve">‘(1) Leave to appeal may only be given where the judge or judges concerned are of the opinion that - </w:t>
      </w:r>
    </w:p>
    <w:p w14:paraId="51900343" w14:textId="4AE8270E" w:rsidR="00193E57" w:rsidRPr="00193E57" w:rsidRDefault="00B71AEE" w:rsidP="00B71AEE">
      <w:pPr>
        <w:shd w:val="clear" w:color="auto" w:fill="FFFFFF"/>
        <w:tabs>
          <w:tab w:val="left" w:pos="709"/>
        </w:tabs>
        <w:spacing w:after="0" w:line="360" w:lineRule="auto"/>
        <w:ind w:left="720" w:hanging="720"/>
        <w:jc w:val="both"/>
        <w:rPr>
          <w:rFonts w:ascii="Arial" w:eastAsia="Times New Roman" w:hAnsi="Arial" w:cs="Arial"/>
          <w:lang w:val="en-ZA" w:eastAsia="en-GB" w:bidi="yi-Hebr"/>
        </w:rPr>
      </w:pPr>
      <w:r w:rsidRPr="00193E57">
        <w:rPr>
          <w:rFonts w:ascii="Arial" w:eastAsia="Times New Roman" w:hAnsi="Arial" w:cs="Arial"/>
          <w:i/>
          <w:lang w:val="en-ZA" w:eastAsia="en-GB" w:bidi="yi-Hebr"/>
        </w:rPr>
        <w:t>(a)</w:t>
      </w:r>
      <w:r w:rsidRPr="00193E57">
        <w:rPr>
          <w:rFonts w:ascii="Arial" w:eastAsia="Times New Roman" w:hAnsi="Arial" w:cs="Arial"/>
          <w:i/>
          <w:lang w:val="en-ZA" w:eastAsia="en-GB" w:bidi="yi-Hebr"/>
        </w:rPr>
        <w:tab/>
      </w:r>
      <w:r w:rsidR="00193E57" w:rsidRPr="00193E57">
        <w:rPr>
          <w:rFonts w:ascii="Arial" w:eastAsia="Times New Roman" w:hAnsi="Arial" w:cs="Arial"/>
          <w:lang w:val="en-ZA" w:eastAsia="en-GB" w:bidi="yi-Hebr"/>
        </w:rPr>
        <w:t>(i)</w:t>
      </w:r>
      <w:r w:rsidR="00193E57" w:rsidRPr="00193E57">
        <w:rPr>
          <w:rFonts w:ascii="Arial" w:eastAsia="Times New Roman" w:hAnsi="Arial" w:cs="Arial"/>
          <w:lang w:val="en-ZA" w:eastAsia="en-GB" w:bidi="yi-Hebr"/>
        </w:rPr>
        <w:tab/>
        <w:t xml:space="preserve">the appeal would have a reasonable prospect of success; or </w:t>
      </w:r>
    </w:p>
    <w:p w14:paraId="1CD9F21D" w14:textId="77777777" w:rsidR="00193E57" w:rsidRPr="00193E57" w:rsidRDefault="00193E57" w:rsidP="00171C8A">
      <w:pPr>
        <w:shd w:val="clear" w:color="auto" w:fill="FFFFFF"/>
        <w:tabs>
          <w:tab w:val="left" w:pos="709"/>
        </w:tabs>
        <w:spacing w:after="0" w:line="360" w:lineRule="auto"/>
        <w:ind w:left="1440" w:hanging="1440"/>
        <w:jc w:val="both"/>
        <w:rPr>
          <w:rFonts w:ascii="Arial" w:eastAsia="Times New Roman" w:hAnsi="Arial" w:cs="Arial"/>
          <w:lang w:val="en-ZA" w:eastAsia="en-GB" w:bidi="yi-Hebr"/>
        </w:rPr>
      </w:pPr>
      <w:r w:rsidRPr="00193E57">
        <w:rPr>
          <w:rFonts w:ascii="Arial" w:eastAsia="Times New Roman" w:hAnsi="Arial" w:cs="Arial"/>
          <w:lang w:val="en-ZA" w:eastAsia="en-GB" w:bidi="yi-Hebr"/>
        </w:rPr>
        <w:t xml:space="preserve">   </w:t>
      </w:r>
      <w:r w:rsidRPr="00193E57">
        <w:rPr>
          <w:rFonts w:ascii="Arial" w:eastAsia="Times New Roman" w:hAnsi="Arial" w:cs="Arial"/>
          <w:lang w:val="en-ZA" w:eastAsia="en-GB" w:bidi="yi-Hebr"/>
        </w:rPr>
        <w:tab/>
        <w:t xml:space="preserve">(ii) </w:t>
      </w:r>
      <w:r w:rsidRPr="00193E57">
        <w:rPr>
          <w:rFonts w:ascii="Arial" w:eastAsia="Times New Roman" w:hAnsi="Arial" w:cs="Arial"/>
          <w:lang w:val="en-ZA" w:eastAsia="en-GB" w:bidi="yi-Hebr"/>
        </w:rPr>
        <w:tab/>
        <w:t xml:space="preserve">there is some other compelling reason why the appeal should be heard, including conflicting judgments on the matter under consideration; </w:t>
      </w:r>
    </w:p>
    <w:p w14:paraId="702A1507" w14:textId="77777777" w:rsidR="00193E57" w:rsidRPr="00193E57" w:rsidRDefault="00193E57" w:rsidP="00171C8A">
      <w:pPr>
        <w:shd w:val="clear" w:color="auto" w:fill="FFFFFF"/>
        <w:tabs>
          <w:tab w:val="left" w:pos="709"/>
        </w:tabs>
        <w:spacing w:after="0" w:line="360" w:lineRule="auto"/>
        <w:jc w:val="both"/>
        <w:rPr>
          <w:rFonts w:ascii="Arial" w:eastAsia="Times New Roman" w:hAnsi="Arial" w:cs="Arial"/>
          <w:lang w:val="en-ZA" w:eastAsia="en-GB" w:bidi="yi-Hebr"/>
        </w:rPr>
      </w:pPr>
      <w:r w:rsidRPr="00193E57">
        <w:rPr>
          <w:rFonts w:ascii="Arial" w:eastAsia="Times New Roman" w:hAnsi="Arial" w:cs="Arial"/>
          <w:i/>
          <w:lang w:val="en-ZA" w:eastAsia="en-GB" w:bidi="yi-Hebr"/>
        </w:rPr>
        <w:t>(b)</w:t>
      </w:r>
      <w:r w:rsidRPr="00193E57">
        <w:rPr>
          <w:rFonts w:ascii="Arial" w:eastAsia="Times New Roman" w:hAnsi="Arial" w:cs="Arial"/>
          <w:lang w:val="en-ZA" w:eastAsia="en-GB" w:bidi="yi-Hebr"/>
        </w:rPr>
        <w:t xml:space="preserve"> the decision sought on appeal does not fall within the ambit of section 16(2)(a); and </w:t>
      </w:r>
    </w:p>
    <w:p w14:paraId="1975AD39" w14:textId="77777777" w:rsidR="00193E57" w:rsidRPr="00193E57" w:rsidRDefault="00193E57" w:rsidP="00171C8A">
      <w:pPr>
        <w:shd w:val="clear" w:color="auto" w:fill="FFFFFF"/>
        <w:tabs>
          <w:tab w:val="left" w:pos="709"/>
        </w:tabs>
        <w:spacing w:after="0" w:line="360" w:lineRule="auto"/>
        <w:jc w:val="both"/>
        <w:rPr>
          <w:rFonts w:ascii="Times New Roman" w:eastAsia="Times New Roman" w:hAnsi="Times New Roman" w:cs="Times New Roman"/>
          <w:sz w:val="24"/>
          <w:szCs w:val="24"/>
          <w:lang w:val="en-ZA" w:eastAsia="en-GB" w:bidi="yi-Hebr"/>
        </w:rPr>
      </w:pPr>
      <w:r w:rsidRPr="00193E57">
        <w:rPr>
          <w:rFonts w:ascii="Arial" w:eastAsia="Times New Roman" w:hAnsi="Arial" w:cs="Arial"/>
          <w:i/>
          <w:lang w:val="en-ZA" w:eastAsia="en-GB" w:bidi="yi-Hebr"/>
        </w:rPr>
        <w:t>(c)</w:t>
      </w:r>
      <w:r w:rsidRPr="00193E57">
        <w:rPr>
          <w:rFonts w:ascii="Arial" w:eastAsia="Times New Roman" w:hAnsi="Arial" w:cs="Arial"/>
          <w:lang w:val="en-ZA" w:eastAsia="en-GB" w:bidi="yi-Hebr"/>
        </w:rPr>
        <w:t xml:space="preserve"> Where the decision sought to be appealed does not dispose of all the issues in the case, the appeal would lead to a just and prompt resolution of the real issues between the parties.'</w:t>
      </w:r>
      <w:r w:rsidRPr="00193E57">
        <w:rPr>
          <w:rFonts w:ascii="Times New Roman" w:eastAsia="Times New Roman" w:hAnsi="Times New Roman" w:cs="Times New Roman"/>
          <w:sz w:val="24"/>
          <w:szCs w:val="24"/>
          <w:lang w:val="en-ZA" w:eastAsia="en-GB" w:bidi="yi-Hebr"/>
        </w:rPr>
        <w:t xml:space="preserve"> </w:t>
      </w:r>
    </w:p>
    <w:p w14:paraId="1D27AFA8" w14:textId="77777777" w:rsidR="00B12BB7" w:rsidRDefault="00B12BB7" w:rsidP="00171C8A">
      <w:pPr>
        <w:pStyle w:val="ListParagraph"/>
        <w:tabs>
          <w:tab w:val="left" w:pos="709"/>
          <w:tab w:val="left" w:pos="1418"/>
        </w:tabs>
        <w:spacing w:after="0" w:line="360" w:lineRule="auto"/>
        <w:ind w:left="0"/>
        <w:jc w:val="both"/>
        <w:rPr>
          <w:rFonts w:ascii="Arial" w:hAnsi="Arial" w:cs="Arial"/>
          <w:sz w:val="24"/>
          <w:szCs w:val="24"/>
          <w:lang w:val="en-ZA"/>
        </w:rPr>
      </w:pPr>
    </w:p>
    <w:p w14:paraId="0D14159C" w14:textId="7C43AA46" w:rsidR="00193E57" w:rsidRPr="00B71AEE" w:rsidRDefault="00B71AEE" w:rsidP="00B71AEE">
      <w:pPr>
        <w:tabs>
          <w:tab w:val="left" w:pos="709"/>
          <w:tab w:val="left" w:pos="1418"/>
        </w:tabs>
        <w:spacing w:after="0" w:line="360" w:lineRule="auto"/>
        <w:jc w:val="both"/>
        <w:rPr>
          <w:rFonts w:ascii="Arial" w:hAnsi="Arial" w:cs="Arial"/>
          <w:sz w:val="24"/>
          <w:szCs w:val="24"/>
          <w:lang w:val="en-ZA"/>
        </w:rPr>
      </w:pPr>
      <w:r w:rsidRPr="00B12BB7">
        <w:rPr>
          <w:rFonts w:ascii="Arial" w:hAnsi="Arial" w:cs="Arial"/>
          <w:sz w:val="24"/>
          <w:szCs w:val="24"/>
          <w:lang w:val="en-ZA"/>
        </w:rPr>
        <w:t>[5]</w:t>
      </w:r>
      <w:r w:rsidRPr="00B12BB7">
        <w:rPr>
          <w:rFonts w:ascii="Arial" w:hAnsi="Arial" w:cs="Arial"/>
          <w:sz w:val="24"/>
          <w:szCs w:val="24"/>
          <w:lang w:val="en-ZA"/>
        </w:rPr>
        <w:tab/>
      </w:r>
      <w:r w:rsidR="00193E57" w:rsidRPr="00B71AEE">
        <w:rPr>
          <w:rFonts w:ascii="Arial" w:hAnsi="Arial" w:cs="Arial"/>
          <w:sz w:val="24"/>
          <w:szCs w:val="24"/>
        </w:rPr>
        <w:t xml:space="preserve">Prior to the enactment of the Act, the applicable test in an application for leave to appeal was whether there were reasonable prospects that </w:t>
      </w:r>
      <w:r w:rsidR="00780676" w:rsidRPr="00B71AEE">
        <w:rPr>
          <w:rFonts w:ascii="Arial" w:hAnsi="Arial" w:cs="Arial"/>
          <w:sz w:val="24"/>
          <w:szCs w:val="24"/>
        </w:rPr>
        <w:t>an</w:t>
      </w:r>
      <w:r w:rsidR="00193E57" w:rsidRPr="00B71AEE">
        <w:rPr>
          <w:rFonts w:ascii="Arial" w:hAnsi="Arial" w:cs="Arial"/>
          <w:sz w:val="24"/>
          <w:szCs w:val="24"/>
        </w:rPr>
        <w:t xml:space="preserve"> appeal court may come to a different conclusion than that arrived at by the lower court. The enactment of the Act has changed that test and has significantly raised the threshold for the granting of leave to appeal.</w:t>
      </w:r>
      <w:r w:rsidR="00193E57" w:rsidRPr="00193E57">
        <w:rPr>
          <w:vertAlign w:val="superscript"/>
        </w:rPr>
        <w:footnoteReference w:id="1"/>
      </w:r>
      <w:r w:rsidR="00193E57" w:rsidRPr="00193E57">
        <w:t xml:space="preserve"> </w:t>
      </w:r>
      <w:r w:rsidR="00193E57" w:rsidRPr="00B71AEE">
        <w:rPr>
          <w:rFonts w:ascii="Arial" w:hAnsi="Arial" w:cs="Arial"/>
          <w:sz w:val="24"/>
          <w:szCs w:val="24"/>
        </w:rPr>
        <w:t>The use of the word ‘would’ in the Act indicates that there must be a measure of certainty that another court will differ from the court whose judgment is sought to be appealed against.</w:t>
      </w:r>
      <w:r w:rsidR="00314E2C" w:rsidRPr="00B71AEE">
        <w:rPr>
          <w:rFonts w:ascii="Arial" w:hAnsi="Arial" w:cs="Arial"/>
          <w:sz w:val="24"/>
          <w:szCs w:val="24"/>
        </w:rPr>
        <w:t xml:space="preserve"> This was acknowledged by Mr Reddy</w:t>
      </w:r>
      <w:r w:rsidR="00780676" w:rsidRPr="00B71AEE">
        <w:rPr>
          <w:rFonts w:ascii="Arial" w:hAnsi="Arial" w:cs="Arial"/>
          <w:sz w:val="24"/>
          <w:szCs w:val="24"/>
        </w:rPr>
        <w:t xml:space="preserve"> in his argument</w:t>
      </w:r>
      <w:r w:rsidR="00314E2C" w:rsidRPr="00B71AEE">
        <w:rPr>
          <w:rFonts w:ascii="Arial" w:hAnsi="Arial" w:cs="Arial"/>
          <w:sz w:val="24"/>
          <w:szCs w:val="24"/>
        </w:rPr>
        <w:t>.</w:t>
      </w:r>
    </w:p>
    <w:p w14:paraId="09CD0965" w14:textId="4ABD67B0" w:rsidR="00B12BB7" w:rsidRDefault="00B12BB7" w:rsidP="00171C8A">
      <w:pPr>
        <w:pStyle w:val="ListParagraph"/>
        <w:tabs>
          <w:tab w:val="left" w:pos="709"/>
          <w:tab w:val="left" w:pos="1418"/>
        </w:tabs>
        <w:spacing w:after="0" w:line="360" w:lineRule="auto"/>
        <w:ind w:left="0"/>
        <w:jc w:val="both"/>
        <w:rPr>
          <w:rFonts w:ascii="Arial" w:hAnsi="Arial" w:cs="Arial"/>
          <w:sz w:val="24"/>
          <w:szCs w:val="24"/>
        </w:rPr>
      </w:pPr>
    </w:p>
    <w:p w14:paraId="13491D0D" w14:textId="70DD015B" w:rsidR="00193E57" w:rsidRPr="00B71AEE" w:rsidRDefault="00B71AEE" w:rsidP="00B71AEE">
      <w:pPr>
        <w:tabs>
          <w:tab w:val="left" w:pos="709"/>
          <w:tab w:val="left" w:pos="1418"/>
        </w:tabs>
        <w:spacing w:after="0" w:line="360" w:lineRule="auto"/>
        <w:jc w:val="both"/>
        <w:rPr>
          <w:rFonts w:ascii="Arial" w:hAnsi="Arial" w:cs="Arial"/>
          <w:sz w:val="24"/>
          <w:szCs w:val="24"/>
          <w:lang w:val="en-ZA"/>
        </w:rPr>
      </w:pPr>
      <w:r w:rsidRPr="00B12BB7">
        <w:rPr>
          <w:rFonts w:ascii="Arial" w:hAnsi="Arial" w:cs="Arial"/>
          <w:sz w:val="24"/>
          <w:szCs w:val="24"/>
          <w:lang w:val="en-ZA"/>
        </w:rPr>
        <w:t>[6]</w:t>
      </w:r>
      <w:r w:rsidRPr="00B12BB7">
        <w:rPr>
          <w:rFonts w:ascii="Arial" w:hAnsi="Arial" w:cs="Arial"/>
          <w:sz w:val="24"/>
          <w:szCs w:val="24"/>
          <w:lang w:val="en-ZA"/>
        </w:rPr>
        <w:tab/>
      </w:r>
      <w:r w:rsidR="00193E57" w:rsidRPr="00B71AEE">
        <w:rPr>
          <w:rFonts w:ascii="Arial" w:hAnsi="Arial" w:cs="Arial"/>
          <w:color w:val="242121"/>
          <w:sz w:val="24"/>
          <w:szCs w:val="24"/>
          <w:lang w:val="en-US"/>
        </w:rPr>
        <w:t>Leave to appeal may thus only be granted where a court is of the opinion that the appeal would have a reasonable prospect of success, and which prospects are not too remote.</w:t>
      </w:r>
      <w:r w:rsidR="00193E57" w:rsidRPr="00193E57">
        <w:rPr>
          <w:vertAlign w:val="superscript"/>
          <w:lang w:val="en-US"/>
        </w:rPr>
        <w:footnoteReference w:id="2"/>
      </w:r>
      <w:r w:rsidR="00193E57" w:rsidRPr="00B71AEE">
        <w:rPr>
          <w:rFonts w:ascii="Arial" w:hAnsi="Arial" w:cs="Arial"/>
          <w:color w:val="242121"/>
          <w:sz w:val="24"/>
          <w:szCs w:val="24"/>
          <w:lang w:val="en-US"/>
        </w:rPr>
        <w:t xml:space="preserve"> </w:t>
      </w:r>
      <w:r w:rsidR="00193E57" w:rsidRPr="00B71AEE">
        <w:rPr>
          <w:rFonts w:ascii="Arial" w:hAnsi="Arial" w:cs="Arial"/>
          <w:sz w:val="24"/>
          <w:szCs w:val="24"/>
          <w:shd w:val="clear" w:color="auto" w:fill="FFFFFF"/>
        </w:rPr>
        <w:t xml:space="preserve">As was stated by Schippers JA in </w:t>
      </w:r>
      <w:r w:rsidR="00193E57" w:rsidRPr="00B71AEE">
        <w:rPr>
          <w:rFonts w:ascii="Arial" w:eastAsia="Times New Roman" w:hAnsi="Arial" w:cs="Arial"/>
          <w:i/>
          <w:sz w:val="24"/>
          <w:szCs w:val="24"/>
          <w:lang w:eastAsia="en-GB"/>
        </w:rPr>
        <w:t>MEC for Health, Eastern Cape v Mkhitha and Another</w:t>
      </w:r>
      <w:r w:rsidR="00193E57" w:rsidRPr="00193E57">
        <w:rPr>
          <w:rFonts w:eastAsia="Times New Roman"/>
          <w:vertAlign w:val="superscript"/>
          <w:lang w:eastAsia="en-GB"/>
        </w:rPr>
        <w:footnoteReference w:id="3"/>
      </w:r>
      <w:r w:rsidR="00193E57" w:rsidRPr="00B71AEE">
        <w:rPr>
          <w:rFonts w:ascii="Arial" w:eastAsia="Times New Roman" w:hAnsi="Arial" w:cs="Arial"/>
          <w:sz w:val="24"/>
          <w:szCs w:val="24"/>
          <w:lang w:eastAsia="en-GB"/>
        </w:rPr>
        <w:t>:</w:t>
      </w:r>
    </w:p>
    <w:p w14:paraId="76EC3E7B" w14:textId="77777777" w:rsidR="00193E57" w:rsidRPr="00193E57" w:rsidRDefault="00193E57" w:rsidP="00171C8A">
      <w:pPr>
        <w:tabs>
          <w:tab w:val="left" w:pos="709"/>
        </w:tabs>
        <w:spacing w:after="0" w:line="360" w:lineRule="auto"/>
        <w:contextualSpacing/>
        <w:jc w:val="both"/>
        <w:rPr>
          <w:rFonts w:ascii="Arial" w:hAnsi="Arial" w:cs="Arial"/>
          <w:shd w:val="clear" w:color="auto" w:fill="FFFFFF"/>
        </w:rPr>
      </w:pPr>
      <w:r w:rsidRPr="00193E57">
        <w:rPr>
          <w:rFonts w:ascii="Arial" w:hAnsi="Arial" w:cs="Arial"/>
          <w:shd w:val="clear" w:color="auto" w:fill="FFFFFF"/>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p>
    <w:p w14:paraId="3B07B003" w14:textId="77777777" w:rsidR="00B12BB7" w:rsidRDefault="00B12BB7" w:rsidP="00171C8A">
      <w:pPr>
        <w:pStyle w:val="ListParagraph"/>
        <w:tabs>
          <w:tab w:val="left" w:pos="709"/>
          <w:tab w:val="left" w:pos="1418"/>
        </w:tabs>
        <w:spacing w:after="0" w:line="360" w:lineRule="auto"/>
        <w:ind w:left="0"/>
        <w:jc w:val="both"/>
        <w:rPr>
          <w:rFonts w:ascii="Arial" w:hAnsi="Arial" w:cs="Arial"/>
          <w:sz w:val="24"/>
          <w:szCs w:val="24"/>
          <w:lang w:val="en-ZA"/>
        </w:rPr>
      </w:pPr>
    </w:p>
    <w:p w14:paraId="71E0DF4D" w14:textId="513B0966" w:rsidR="00AC41C9" w:rsidRPr="00B71AEE" w:rsidRDefault="00B71AEE" w:rsidP="00B71AEE">
      <w:pPr>
        <w:tabs>
          <w:tab w:val="left" w:pos="709"/>
          <w:tab w:val="left" w:pos="1418"/>
        </w:tabs>
        <w:spacing w:after="0" w:line="360" w:lineRule="auto"/>
        <w:jc w:val="both"/>
        <w:rPr>
          <w:rFonts w:ascii="Arial" w:hAnsi="Arial" w:cs="Arial"/>
          <w:sz w:val="24"/>
          <w:szCs w:val="24"/>
          <w:lang w:val="en-ZA"/>
        </w:rPr>
      </w:pPr>
      <w:r w:rsidRPr="00780676">
        <w:rPr>
          <w:rFonts w:ascii="Arial" w:hAnsi="Arial" w:cs="Arial"/>
          <w:sz w:val="24"/>
          <w:szCs w:val="24"/>
          <w:lang w:val="en-ZA"/>
        </w:rPr>
        <w:t>[7]</w:t>
      </w:r>
      <w:r w:rsidRPr="00780676">
        <w:rPr>
          <w:rFonts w:ascii="Arial" w:hAnsi="Arial" w:cs="Arial"/>
          <w:sz w:val="24"/>
          <w:szCs w:val="24"/>
          <w:lang w:val="en-ZA"/>
        </w:rPr>
        <w:tab/>
      </w:r>
      <w:r w:rsidR="00780676" w:rsidRPr="00B71AEE">
        <w:rPr>
          <w:rFonts w:ascii="Arial" w:hAnsi="Arial" w:cs="Arial"/>
          <w:color w:val="242121"/>
          <w:sz w:val="24"/>
          <w:szCs w:val="24"/>
          <w:lang w:val="en-US"/>
        </w:rPr>
        <w:t xml:space="preserve">My judgment </w:t>
      </w:r>
      <w:r w:rsidR="00DF25CE" w:rsidRPr="00B71AEE">
        <w:rPr>
          <w:rFonts w:ascii="Arial" w:hAnsi="Arial" w:cs="Arial"/>
          <w:color w:val="242121"/>
          <w:sz w:val="24"/>
          <w:szCs w:val="24"/>
          <w:lang w:val="en-US"/>
        </w:rPr>
        <w:t>against which leave to appeal is sought</w:t>
      </w:r>
      <w:r w:rsidR="00780676" w:rsidRPr="00B71AEE">
        <w:rPr>
          <w:rFonts w:ascii="Arial" w:hAnsi="Arial" w:cs="Arial"/>
          <w:color w:val="242121"/>
          <w:sz w:val="24"/>
          <w:szCs w:val="24"/>
          <w:lang w:val="en-US"/>
        </w:rPr>
        <w:t xml:space="preserve"> is comprehensive and I stand by the reasons set out therein. </w:t>
      </w:r>
      <w:r w:rsidR="00AC41C9" w:rsidRPr="00B71AEE">
        <w:rPr>
          <w:rFonts w:ascii="Arial" w:hAnsi="Arial" w:cs="Arial"/>
          <w:color w:val="242121"/>
        </w:rPr>
        <w:t>I have</w:t>
      </w:r>
      <w:r w:rsidR="00780676" w:rsidRPr="00B71AEE">
        <w:rPr>
          <w:rFonts w:ascii="Arial" w:hAnsi="Arial" w:cs="Arial"/>
          <w:color w:val="242121"/>
        </w:rPr>
        <w:t>, however,</w:t>
      </w:r>
      <w:r w:rsidR="00AC41C9" w:rsidRPr="00B71AEE">
        <w:rPr>
          <w:rFonts w:ascii="Arial" w:hAnsi="Arial" w:cs="Arial"/>
          <w:color w:val="242121"/>
        </w:rPr>
        <w:t xml:space="preserve"> considered the </w:t>
      </w:r>
      <w:r w:rsidR="00780676" w:rsidRPr="00B71AEE">
        <w:rPr>
          <w:rFonts w:ascii="Arial" w:hAnsi="Arial" w:cs="Arial"/>
          <w:color w:val="242121"/>
        </w:rPr>
        <w:t xml:space="preserve">respective </w:t>
      </w:r>
      <w:r w:rsidR="00AC41C9" w:rsidRPr="00B71AEE">
        <w:rPr>
          <w:rFonts w:ascii="Arial" w:hAnsi="Arial" w:cs="Arial"/>
          <w:color w:val="242121"/>
        </w:rPr>
        <w:t xml:space="preserve">arguments, authorities and submissions of </w:t>
      </w:r>
      <w:r w:rsidR="00780676" w:rsidRPr="00B71AEE">
        <w:rPr>
          <w:rFonts w:ascii="Arial" w:hAnsi="Arial" w:cs="Arial"/>
          <w:color w:val="242121"/>
        </w:rPr>
        <w:t xml:space="preserve">both </w:t>
      </w:r>
      <w:r w:rsidR="00F039F3" w:rsidRPr="00B71AEE">
        <w:rPr>
          <w:rFonts w:ascii="Arial" w:hAnsi="Arial" w:cs="Arial"/>
          <w:color w:val="242121"/>
        </w:rPr>
        <w:t>counsel</w:t>
      </w:r>
      <w:r w:rsidR="00367225" w:rsidRPr="00B71AEE">
        <w:rPr>
          <w:rFonts w:ascii="Arial" w:hAnsi="Arial" w:cs="Arial"/>
          <w:color w:val="242121"/>
        </w:rPr>
        <w:t xml:space="preserve"> in proposing and resisting leave to appeal</w:t>
      </w:r>
      <w:r w:rsidR="00F039F3" w:rsidRPr="00B71AEE">
        <w:rPr>
          <w:rFonts w:ascii="Arial" w:hAnsi="Arial" w:cs="Arial"/>
          <w:color w:val="242121"/>
        </w:rPr>
        <w:t xml:space="preserve">. </w:t>
      </w:r>
      <w:r w:rsidR="00F71B85" w:rsidRPr="00B71AEE">
        <w:rPr>
          <w:rFonts w:ascii="Arial" w:hAnsi="Arial" w:cs="Arial"/>
          <w:color w:val="242121"/>
        </w:rPr>
        <w:t xml:space="preserve">In particular, the submissions of Mr Reddy gave me pause for thought and I </w:t>
      </w:r>
      <w:r w:rsidR="00F71B85" w:rsidRPr="00B71AEE">
        <w:rPr>
          <w:rFonts w:ascii="Arial" w:hAnsi="Arial" w:cs="Arial"/>
          <w:color w:val="242121"/>
        </w:rPr>
        <w:lastRenderedPageBreak/>
        <w:t xml:space="preserve">accordingly </w:t>
      </w:r>
      <w:r w:rsidR="00314E2C" w:rsidRPr="00B71AEE">
        <w:rPr>
          <w:rFonts w:ascii="Arial" w:hAnsi="Arial" w:cs="Arial"/>
          <w:color w:val="242121"/>
        </w:rPr>
        <w:t xml:space="preserve">deemed it prudent to reserve </w:t>
      </w:r>
      <w:r w:rsidR="0033616F" w:rsidRPr="00B71AEE">
        <w:rPr>
          <w:rFonts w:ascii="Arial" w:hAnsi="Arial" w:cs="Arial"/>
          <w:color w:val="242121"/>
        </w:rPr>
        <w:t xml:space="preserve">judgment in order </w:t>
      </w:r>
      <w:r w:rsidR="00F71B85" w:rsidRPr="00B71AEE">
        <w:rPr>
          <w:rFonts w:ascii="Arial" w:hAnsi="Arial" w:cs="Arial"/>
          <w:color w:val="242121"/>
        </w:rPr>
        <w:t xml:space="preserve">to give me the opportunity to fully </w:t>
      </w:r>
      <w:r w:rsidR="00780676" w:rsidRPr="00B71AEE">
        <w:rPr>
          <w:rFonts w:ascii="Arial" w:hAnsi="Arial" w:cs="Arial"/>
          <w:color w:val="242121"/>
        </w:rPr>
        <w:t>consider</w:t>
      </w:r>
      <w:r w:rsidR="00F71B85" w:rsidRPr="00B71AEE">
        <w:rPr>
          <w:rFonts w:ascii="Arial" w:hAnsi="Arial" w:cs="Arial"/>
          <w:color w:val="242121"/>
        </w:rPr>
        <w:t xml:space="preserve"> th</w:t>
      </w:r>
      <w:r w:rsidR="00314E2C" w:rsidRPr="00B71AEE">
        <w:rPr>
          <w:rFonts w:ascii="Arial" w:hAnsi="Arial" w:cs="Arial"/>
          <w:color w:val="242121"/>
        </w:rPr>
        <w:t xml:space="preserve">ose submissions </w:t>
      </w:r>
      <w:r w:rsidR="00F71B85" w:rsidRPr="00B71AEE">
        <w:rPr>
          <w:rFonts w:ascii="Arial" w:hAnsi="Arial" w:cs="Arial"/>
          <w:color w:val="242121"/>
        </w:rPr>
        <w:t>and assess their significance.</w:t>
      </w:r>
      <w:r w:rsidR="00314E2C" w:rsidRPr="00B71AEE">
        <w:rPr>
          <w:rFonts w:ascii="Arial" w:hAnsi="Arial" w:cs="Arial"/>
          <w:color w:val="242121"/>
        </w:rPr>
        <w:t xml:space="preserve"> I have now done </w:t>
      </w:r>
      <w:r w:rsidR="00780676" w:rsidRPr="00B71AEE">
        <w:rPr>
          <w:rFonts w:ascii="Arial" w:hAnsi="Arial" w:cs="Arial"/>
          <w:color w:val="242121"/>
        </w:rPr>
        <w:t>this</w:t>
      </w:r>
      <w:r w:rsidR="00314E2C" w:rsidRPr="00B71AEE">
        <w:rPr>
          <w:rFonts w:ascii="Arial" w:hAnsi="Arial" w:cs="Arial"/>
          <w:color w:val="242121"/>
        </w:rPr>
        <w:t xml:space="preserve">. </w:t>
      </w:r>
    </w:p>
    <w:p w14:paraId="69EE47E0" w14:textId="31C0A60E" w:rsidR="00AC41C9" w:rsidRDefault="00AC41C9" w:rsidP="00171C8A">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04D4A7D7" w14:textId="2848170E" w:rsidR="00314E2C"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r>
      <w:r w:rsidR="00F039F3" w:rsidRPr="00B71AEE">
        <w:rPr>
          <w:rFonts w:ascii="Arial" w:hAnsi="Arial" w:cs="Arial"/>
          <w:sz w:val="24"/>
          <w:szCs w:val="24"/>
          <w:lang w:val="en-ZA"/>
        </w:rPr>
        <w:t>As was submitted by Mr Schaup</w:t>
      </w:r>
      <w:r w:rsidR="00314E2C" w:rsidRPr="00B71AEE">
        <w:rPr>
          <w:rFonts w:ascii="Arial" w:hAnsi="Arial" w:cs="Arial"/>
          <w:sz w:val="24"/>
          <w:szCs w:val="24"/>
          <w:lang w:val="en-ZA"/>
        </w:rPr>
        <w:t xml:space="preserve"> in argument</w:t>
      </w:r>
      <w:r w:rsidR="00F039F3" w:rsidRPr="00B71AEE">
        <w:rPr>
          <w:rFonts w:ascii="Arial" w:hAnsi="Arial" w:cs="Arial"/>
          <w:sz w:val="24"/>
          <w:szCs w:val="24"/>
          <w:lang w:val="en-ZA"/>
        </w:rPr>
        <w:t xml:space="preserve">, many of the points taken in the answering affidavit </w:t>
      </w:r>
      <w:r w:rsidR="00780676" w:rsidRPr="00B71AEE">
        <w:rPr>
          <w:rFonts w:ascii="Arial" w:hAnsi="Arial" w:cs="Arial"/>
          <w:sz w:val="24"/>
          <w:szCs w:val="24"/>
          <w:lang w:val="en-ZA"/>
        </w:rPr>
        <w:t xml:space="preserve">in the opposed motion </w:t>
      </w:r>
      <w:r w:rsidR="00F039F3" w:rsidRPr="00B71AEE">
        <w:rPr>
          <w:rFonts w:ascii="Arial" w:hAnsi="Arial" w:cs="Arial"/>
          <w:sz w:val="24"/>
          <w:szCs w:val="24"/>
          <w:lang w:val="en-ZA"/>
        </w:rPr>
        <w:t xml:space="preserve">were abandoned and not persisted in when the matter was argued. In addition, certain points were argued by Mr Reddy </w:t>
      </w:r>
      <w:r w:rsidR="00DF25CE" w:rsidRPr="00B71AEE">
        <w:rPr>
          <w:rFonts w:ascii="Arial" w:hAnsi="Arial" w:cs="Arial"/>
          <w:sz w:val="24"/>
          <w:szCs w:val="24"/>
          <w:lang w:val="en-ZA"/>
        </w:rPr>
        <w:t xml:space="preserve">in the opposed motion </w:t>
      </w:r>
      <w:r w:rsidR="00F039F3" w:rsidRPr="00B71AEE">
        <w:rPr>
          <w:rFonts w:ascii="Arial" w:hAnsi="Arial" w:cs="Arial"/>
          <w:sz w:val="24"/>
          <w:szCs w:val="24"/>
          <w:lang w:val="en-ZA"/>
        </w:rPr>
        <w:t>but were not mentioned when this application for leave to appeal was heard</w:t>
      </w:r>
      <w:r w:rsidR="00367225" w:rsidRPr="00B71AEE">
        <w:rPr>
          <w:rFonts w:ascii="Arial" w:hAnsi="Arial" w:cs="Arial"/>
          <w:sz w:val="24"/>
          <w:szCs w:val="24"/>
          <w:lang w:val="en-ZA"/>
        </w:rPr>
        <w:t xml:space="preserve"> nor are they accommodated in the notice of application for leave to appeal</w:t>
      </w:r>
      <w:r w:rsidR="00F039F3" w:rsidRPr="00B71AEE">
        <w:rPr>
          <w:rFonts w:ascii="Arial" w:hAnsi="Arial" w:cs="Arial"/>
          <w:sz w:val="24"/>
          <w:szCs w:val="24"/>
          <w:lang w:val="en-ZA"/>
        </w:rPr>
        <w:t xml:space="preserve">. I refer in this regard to the issue of the attestation of the </w:t>
      </w:r>
      <w:r w:rsidR="00780676" w:rsidRPr="00B71AEE">
        <w:rPr>
          <w:rFonts w:ascii="Arial" w:hAnsi="Arial" w:cs="Arial"/>
          <w:sz w:val="24"/>
          <w:szCs w:val="24"/>
          <w:lang w:val="en-ZA"/>
        </w:rPr>
        <w:t xml:space="preserve">respondent’s </w:t>
      </w:r>
      <w:r w:rsidR="00F039F3" w:rsidRPr="00B71AEE">
        <w:rPr>
          <w:rFonts w:ascii="Arial" w:hAnsi="Arial" w:cs="Arial"/>
          <w:sz w:val="24"/>
          <w:szCs w:val="24"/>
          <w:lang w:val="en-ZA"/>
        </w:rPr>
        <w:t xml:space="preserve">founding affidavit by </w:t>
      </w:r>
      <w:r w:rsidR="00780676" w:rsidRPr="00B71AEE">
        <w:rPr>
          <w:rFonts w:ascii="Arial" w:hAnsi="Arial" w:cs="Arial"/>
          <w:sz w:val="24"/>
          <w:szCs w:val="24"/>
          <w:lang w:val="en-ZA"/>
        </w:rPr>
        <w:t xml:space="preserve">a </w:t>
      </w:r>
      <w:r w:rsidR="00F039F3" w:rsidRPr="00B71AEE">
        <w:rPr>
          <w:rFonts w:ascii="Arial" w:hAnsi="Arial" w:cs="Arial"/>
          <w:sz w:val="24"/>
          <w:szCs w:val="24"/>
          <w:lang w:val="en-ZA"/>
        </w:rPr>
        <w:t xml:space="preserve">Mr </w:t>
      </w:r>
      <w:r w:rsidR="00C3380F" w:rsidRPr="00B71AEE">
        <w:rPr>
          <w:rFonts w:ascii="Arial" w:hAnsi="Arial" w:cs="Arial"/>
          <w:sz w:val="24"/>
          <w:szCs w:val="24"/>
          <w:lang w:val="en-ZA"/>
        </w:rPr>
        <w:t>Rivaaj Singh</w:t>
      </w:r>
      <w:r w:rsidR="00F039F3" w:rsidRPr="00B71AEE">
        <w:rPr>
          <w:rFonts w:ascii="Arial" w:hAnsi="Arial" w:cs="Arial"/>
          <w:sz w:val="24"/>
          <w:szCs w:val="24"/>
          <w:lang w:val="en-ZA"/>
        </w:rPr>
        <w:t xml:space="preserve">. I shall assume that this is not a ground </w:t>
      </w:r>
      <w:r w:rsidR="00314E2C" w:rsidRPr="00B71AEE">
        <w:rPr>
          <w:rFonts w:ascii="Arial" w:hAnsi="Arial" w:cs="Arial"/>
          <w:sz w:val="24"/>
          <w:szCs w:val="24"/>
          <w:lang w:val="en-ZA"/>
        </w:rPr>
        <w:t>upon which that</w:t>
      </w:r>
      <w:r w:rsidR="00F039F3" w:rsidRPr="00B71AEE">
        <w:rPr>
          <w:rFonts w:ascii="Arial" w:hAnsi="Arial" w:cs="Arial"/>
          <w:sz w:val="24"/>
          <w:szCs w:val="24"/>
          <w:lang w:val="en-ZA"/>
        </w:rPr>
        <w:t xml:space="preserve"> the applicants rely in seeking leave to appeal (it was, in my view, satisfactorily resolved on the papers before argument was heard</w:t>
      </w:r>
      <w:r w:rsidR="00DF25CE" w:rsidRPr="00B71AEE">
        <w:rPr>
          <w:rFonts w:ascii="Arial" w:hAnsi="Arial" w:cs="Arial"/>
          <w:sz w:val="24"/>
          <w:szCs w:val="24"/>
          <w:lang w:val="en-ZA"/>
        </w:rPr>
        <w:t xml:space="preserve"> in the opposed motion</w:t>
      </w:r>
      <w:r w:rsidR="00F039F3" w:rsidRPr="00B71AEE">
        <w:rPr>
          <w:rFonts w:ascii="Arial" w:hAnsi="Arial" w:cs="Arial"/>
          <w:sz w:val="24"/>
          <w:szCs w:val="24"/>
          <w:lang w:val="en-ZA"/>
        </w:rPr>
        <w:t xml:space="preserve">). </w:t>
      </w:r>
    </w:p>
    <w:p w14:paraId="3764B525" w14:textId="77777777" w:rsidR="00314E2C" w:rsidRPr="00314E2C" w:rsidRDefault="00314E2C" w:rsidP="00314E2C">
      <w:pPr>
        <w:pStyle w:val="ListParagraph"/>
        <w:spacing w:line="360" w:lineRule="auto"/>
        <w:rPr>
          <w:rFonts w:ascii="Arial" w:hAnsi="Arial" w:cs="Arial"/>
          <w:sz w:val="24"/>
          <w:szCs w:val="24"/>
          <w:lang w:val="en-ZA"/>
        </w:rPr>
      </w:pPr>
    </w:p>
    <w:p w14:paraId="5B5DBC09" w14:textId="008ABDC9" w:rsidR="00535863"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r>
      <w:r w:rsidR="00535863" w:rsidRPr="00B71AEE">
        <w:rPr>
          <w:rFonts w:ascii="Arial" w:hAnsi="Arial" w:cs="Arial"/>
          <w:sz w:val="24"/>
          <w:szCs w:val="24"/>
          <w:lang w:val="en-ZA"/>
        </w:rPr>
        <w:t>The notice of application for leave to appeal sets out the grounds that the applicants rely</w:t>
      </w:r>
      <w:r w:rsidR="00765726" w:rsidRPr="00B71AEE">
        <w:rPr>
          <w:rFonts w:ascii="Arial" w:hAnsi="Arial" w:cs="Arial"/>
          <w:sz w:val="24"/>
          <w:szCs w:val="24"/>
          <w:lang w:val="en-ZA"/>
        </w:rPr>
        <w:t xml:space="preserve"> upon</w:t>
      </w:r>
      <w:r w:rsidR="00535863" w:rsidRPr="00B71AEE">
        <w:rPr>
          <w:rFonts w:ascii="Arial" w:hAnsi="Arial" w:cs="Arial"/>
          <w:sz w:val="24"/>
          <w:szCs w:val="24"/>
          <w:lang w:val="en-ZA"/>
        </w:rPr>
        <w:t xml:space="preserve">. I </w:t>
      </w:r>
      <w:r w:rsidR="00367225" w:rsidRPr="00B71AEE">
        <w:rPr>
          <w:rFonts w:ascii="Arial" w:hAnsi="Arial" w:cs="Arial"/>
          <w:sz w:val="24"/>
          <w:szCs w:val="24"/>
          <w:lang w:val="en-ZA"/>
        </w:rPr>
        <w:t>shall</w:t>
      </w:r>
      <w:r w:rsidR="00535863" w:rsidRPr="00B71AEE">
        <w:rPr>
          <w:rFonts w:ascii="Arial" w:hAnsi="Arial" w:cs="Arial"/>
          <w:sz w:val="24"/>
          <w:szCs w:val="24"/>
          <w:lang w:val="en-ZA"/>
        </w:rPr>
        <w:t xml:space="preserve"> briefly consider each o</w:t>
      </w:r>
      <w:r w:rsidR="00444564" w:rsidRPr="00B71AEE">
        <w:rPr>
          <w:rFonts w:ascii="Arial" w:hAnsi="Arial" w:cs="Arial"/>
          <w:sz w:val="24"/>
          <w:szCs w:val="24"/>
          <w:lang w:val="en-ZA"/>
        </w:rPr>
        <w:t xml:space="preserve">f them, </w:t>
      </w:r>
      <w:r w:rsidR="00444564" w:rsidRPr="00B71AEE">
        <w:rPr>
          <w:rFonts w:ascii="Arial" w:hAnsi="Arial" w:cs="Arial"/>
          <w:i/>
          <w:sz w:val="24"/>
          <w:szCs w:val="24"/>
          <w:lang w:val="en-ZA"/>
        </w:rPr>
        <w:t>seriatim</w:t>
      </w:r>
      <w:r w:rsidR="00444564" w:rsidRPr="00B71AEE">
        <w:rPr>
          <w:rFonts w:ascii="Arial" w:hAnsi="Arial" w:cs="Arial"/>
          <w:sz w:val="24"/>
          <w:szCs w:val="24"/>
          <w:lang w:val="en-ZA"/>
        </w:rPr>
        <w:t>:</w:t>
      </w:r>
    </w:p>
    <w:p w14:paraId="46806631" w14:textId="3995D732" w:rsidR="009D2DF2"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p>
    <w:p w14:paraId="07E63421" w14:textId="3131F9D8" w:rsidR="009D2DF2"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(a)</w:t>
      </w:r>
      <w:r>
        <w:rPr>
          <w:rFonts w:ascii="Arial" w:hAnsi="Arial" w:cs="Arial"/>
          <w:i/>
          <w:sz w:val="24"/>
          <w:szCs w:val="24"/>
          <w:lang w:val="en-ZA"/>
        </w:rPr>
        <w:tab/>
      </w:r>
      <w:r w:rsidR="00444564" w:rsidRPr="00B71AEE">
        <w:rPr>
          <w:rFonts w:ascii="Arial" w:hAnsi="Arial" w:cs="Arial"/>
          <w:b/>
          <w:sz w:val="24"/>
          <w:szCs w:val="24"/>
          <w:lang w:val="en-ZA"/>
        </w:rPr>
        <w:t>The first ground of appeal</w:t>
      </w:r>
      <w:r w:rsidR="00444564" w:rsidRPr="00B71AEE">
        <w:rPr>
          <w:rFonts w:ascii="Arial" w:hAnsi="Arial" w:cs="Arial"/>
          <w:sz w:val="24"/>
          <w:szCs w:val="24"/>
          <w:lang w:val="en-ZA"/>
        </w:rPr>
        <w:t xml:space="preserve"> </w:t>
      </w:r>
    </w:p>
    <w:p w14:paraId="4C0E4BB3" w14:textId="65D0EA63" w:rsidR="00444564"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The first ground of appeal </w:t>
      </w:r>
      <w:r w:rsidR="00444564">
        <w:rPr>
          <w:rFonts w:ascii="Arial" w:hAnsi="Arial" w:cs="Arial"/>
          <w:sz w:val="24"/>
          <w:szCs w:val="24"/>
          <w:lang w:val="en-ZA"/>
        </w:rPr>
        <w:t xml:space="preserve">is that I erred in </w:t>
      </w:r>
      <w:r w:rsidR="00367225">
        <w:rPr>
          <w:rFonts w:ascii="Arial" w:hAnsi="Arial" w:cs="Arial"/>
          <w:sz w:val="24"/>
          <w:szCs w:val="24"/>
          <w:lang w:val="en-ZA"/>
        </w:rPr>
        <w:t xml:space="preserve">finding that the respondent was permitted to rely upon the </w:t>
      </w:r>
      <w:r w:rsidR="00780676">
        <w:rPr>
          <w:rFonts w:ascii="Arial" w:hAnsi="Arial" w:cs="Arial"/>
          <w:sz w:val="24"/>
          <w:szCs w:val="24"/>
          <w:lang w:val="en-ZA"/>
        </w:rPr>
        <w:t>first</w:t>
      </w:r>
      <w:r w:rsidR="00367225">
        <w:rPr>
          <w:rFonts w:ascii="Arial" w:hAnsi="Arial" w:cs="Arial"/>
          <w:sz w:val="24"/>
          <w:szCs w:val="24"/>
          <w:lang w:val="en-ZA"/>
        </w:rPr>
        <w:t xml:space="preserve"> application</w:t>
      </w:r>
      <w:r w:rsidR="00780676">
        <w:rPr>
          <w:rFonts w:ascii="Arial" w:hAnsi="Arial" w:cs="Arial"/>
          <w:sz w:val="24"/>
          <w:szCs w:val="24"/>
          <w:lang w:val="en-ZA"/>
        </w:rPr>
        <w:t xml:space="preserve"> brought by the respondent and which was</w:t>
      </w:r>
      <w:r w:rsidR="00C3380F">
        <w:rPr>
          <w:rFonts w:ascii="Arial" w:hAnsi="Arial" w:cs="Arial"/>
          <w:sz w:val="24"/>
          <w:szCs w:val="24"/>
          <w:lang w:val="en-ZA"/>
        </w:rPr>
        <w:t xml:space="preserve"> launched on 15 February 2021. </w:t>
      </w:r>
      <w:r w:rsidR="00C8678C">
        <w:rPr>
          <w:rFonts w:ascii="Arial" w:hAnsi="Arial" w:cs="Arial"/>
          <w:sz w:val="24"/>
          <w:szCs w:val="24"/>
          <w:lang w:val="en-ZA"/>
        </w:rPr>
        <w:t xml:space="preserve">It is perhaps necessary to mention that in terms of an agreement of lease (the lease agreement), the respondent was the first applicant’s landlord. The first respondent conducted the business of a gymnasium at the respondent’s premises, but fell into arrears with its rental payments. This led to an application for a money judgment being brought </w:t>
      </w:r>
      <w:r w:rsidR="00DF25CE">
        <w:rPr>
          <w:rFonts w:ascii="Arial" w:hAnsi="Arial" w:cs="Arial"/>
          <w:sz w:val="24"/>
          <w:szCs w:val="24"/>
          <w:lang w:val="en-ZA"/>
        </w:rPr>
        <w:t xml:space="preserve">against the applicants </w:t>
      </w:r>
      <w:r w:rsidR="00C8678C">
        <w:rPr>
          <w:rFonts w:ascii="Arial" w:hAnsi="Arial" w:cs="Arial"/>
          <w:sz w:val="24"/>
          <w:szCs w:val="24"/>
          <w:lang w:val="en-ZA"/>
        </w:rPr>
        <w:t>by the respondent (the first application). T</w:t>
      </w:r>
      <w:r w:rsidR="00C3380F">
        <w:rPr>
          <w:rFonts w:ascii="Arial" w:hAnsi="Arial" w:cs="Arial"/>
          <w:sz w:val="24"/>
          <w:szCs w:val="24"/>
          <w:lang w:val="en-ZA"/>
        </w:rPr>
        <w:t>he first application</w:t>
      </w:r>
      <w:r w:rsidR="00C8678C">
        <w:rPr>
          <w:rFonts w:ascii="Arial" w:hAnsi="Arial" w:cs="Arial"/>
          <w:sz w:val="24"/>
          <w:szCs w:val="24"/>
          <w:lang w:val="en-ZA"/>
        </w:rPr>
        <w:t>, which was not opposed by the applicants,</w:t>
      </w:r>
      <w:r w:rsidR="00C3380F">
        <w:rPr>
          <w:rFonts w:ascii="Arial" w:hAnsi="Arial" w:cs="Arial"/>
          <w:sz w:val="24"/>
          <w:szCs w:val="24"/>
          <w:lang w:val="en-ZA"/>
        </w:rPr>
        <w:t xml:space="preserve"> led to the conclusion of </w:t>
      </w:r>
      <w:r w:rsidR="00C8678C">
        <w:rPr>
          <w:rFonts w:ascii="Arial" w:hAnsi="Arial" w:cs="Arial"/>
          <w:sz w:val="24"/>
          <w:szCs w:val="24"/>
          <w:lang w:val="en-ZA"/>
        </w:rPr>
        <w:t>a</w:t>
      </w:r>
      <w:r w:rsidR="00C3380F">
        <w:rPr>
          <w:rFonts w:ascii="Arial" w:hAnsi="Arial" w:cs="Arial"/>
          <w:sz w:val="24"/>
          <w:szCs w:val="24"/>
          <w:lang w:val="en-ZA"/>
        </w:rPr>
        <w:t xml:space="preserve"> settlement agreement</w:t>
      </w:r>
      <w:r w:rsidR="00C8678C">
        <w:rPr>
          <w:rFonts w:ascii="Arial" w:hAnsi="Arial" w:cs="Arial"/>
          <w:sz w:val="24"/>
          <w:szCs w:val="24"/>
          <w:lang w:val="en-ZA"/>
        </w:rPr>
        <w:t xml:space="preserve"> (the settlement agreement)</w:t>
      </w:r>
      <w:r w:rsidR="00C3380F">
        <w:rPr>
          <w:rFonts w:ascii="Arial" w:hAnsi="Arial" w:cs="Arial"/>
          <w:sz w:val="24"/>
          <w:szCs w:val="24"/>
          <w:lang w:val="en-ZA"/>
        </w:rPr>
        <w:t>. Thereafter, another application</w:t>
      </w:r>
      <w:r w:rsidR="00C8678C">
        <w:rPr>
          <w:rFonts w:ascii="Arial" w:hAnsi="Arial" w:cs="Arial"/>
          <w:sz w:val="24"/>
          <w:szCs w:val="24"/>
          <w:lang w:val="en-ZA"/>
        </w:rPr>
        <w:t>, the second application,</w:t>
      </w:r>
      <w:r w:rsidR="00C3380F">
        <w:rPr>
          <w:rFonts w:ascii="Arial" w:hAnsi="Arial" w:cs="Arial"/>
          <w:sz w:val="24"/>
          <w:szCs w:val="24"/>
          <w:lang w:val="en-ZA"/>
        </w:rPr>
        <w:t xml:space="preserve"> was brought when the first applicant defaulted on its </w:t>
      </w:r>
      <w:r w:rsidR="00C8678C">
        <w:rPr>
          <w:rFonts w:ascii="Arial" w:hAnsi="Arial" w:cs="Arial"/>
          <w:sz w:val="24"/>
          <w:szCs w:val="24"/>
          <w:lang w:val="en-ZA"/>
        </w:rPr>
        <w:t xml:space="preserve">obligations arising out of the settlement agreement and also defaulted on its continuing </w:t>
      </w:r>
      <w:r w:rsidR="00765726">
        <w:rPr>
          <w:rFonts w:ascii="Arial" w:hAnsi="Arial" w:cs="Arial"/>
          <w:sz w:val="24"/>
          <w:szCs w:val="24"/>
          <w:lang w:val="en-ZA"/>
        </w:rPr>
        <w:t>obligations to the respondent</w:t>
      </w:r>
      <w:r w:rsidR="00C8678C">
        <w:rPr>
          <w:rFonts w:ascii="Arial" w:hAnsi="Arial" w:cs="Arial"/>
          <w:sz w:val="24"/>
          <w:szCs w:val="24"/>
          <w:lang w:val="en-ZA"/>
        </w:rPr>
        <w:t>, the lease agreement not having been cancelled after the institution of the first application or after the conclusion of the settlement agreement</w:t>
      </w:r>
      <w:r w:rsidR="00765726">
        <w:rPr>
          <w:rFonts w:ascii="Arial" w:hAnsi="Arial" w:cs="Arial"/>
          <w:sz w:val="24"/>
          <w:szCs w:val="24"/>
          <w:lang w:val="en-ZA"/>
        </w:rPr>
        <w:t>.</w:t>
      </w:r>
      <w:r w:rsidR="00020AC3">
        <w:rPr>
          <w:rFonts w:ascii="Arial" w:hAnsi="Arial" w:cs="Arial"/>
          <w:sz w:val="24"/>
          <w:szCs w:val="24"/>
          <w:lang w:val="en-ZA"/>
        </w:rPr>
        <w:t xml:space="preserve"> </w:t>
      </w:r>
      <w:r w:rsidR="00C3380F">
        <w:rPr>
          <w:rFonts w:ascii="Arial" w:hAnsi="Arial" w:cs="Arial"/>
          <w:sz w:val="24"/>
          <w:szCs w:val="24"/>
          <w:lang w:val="en-ZA"/>
        </w:rPr>
        <w:t xml:space="preserve">I did not </w:t>
      </w:r>
      <w:r w:rsidR="00A06257">
        <w:rPr>
          <w:rFonts w:ascii="Arial" w:hAnsi="Arial" w:cs="Arial"/>
          <w:sz w:val="24"/>
          <w:szCs w:val="24"/>
          <w:lang w:val="en-ZA"/>
        </w:rPr>
        <w:t xml:space="preserve">at any stage rely upon the first application to conclude that the respondent was entitled to the relief that it claimed. The first application underpinned the conclusion of the settlement agreement and had never been </w:t>
      </w:r>
      <w:r w:rsidR="00A06257">
        <w:rPr>
          <w:rFonts w:ascii="Arial" w:hAnsi="Arial" w:cs="Arial"/>
          <w:sz w:val="24"/>
          <w:szCs w:val="24"/>
          <w:lang w:val="en-ZA"/>
        </w:rPr>
        <w:lastRenderedPageBreak/>
        <w:t xml:space="preserve">withdrawn, but obviously </w:t>
      </w:r>
      <w:r w:rsidR="00C8678C">
        <w:rPr>
          <w:rFonts w:ascii="Arial" w:hAnsi="Arial" w:cs="Arial"/>
          <w:sz w:val="24"/>
          <w:szCs w:val="24"/>
          <w:lang w:val="en-ZA"/>
        </w:rPr>
        <w:t xml:space="preserve">that application </w:t>
      </w:r>
      <w:r w:rsidR="00A06257">
        <w:rPr>
          <w:rFonts w:ascii="Arial" w:hAnsi="Arial" w:cs="Arial"/>
          <w:sz w:val="24"/>
          <w:szCs w:val="24"/>
          <w:lang w:val="en-ZA"/>
        </w:rPr>
        <w:t xml:space="preserve">had been resolved by the consensual conclusion of the settlement agreement. </w:t>
      </w:r>
      <w:r w:rsidR="00020AC3" w:rsidRPr="00A06257">
        <w:rPr>
          <w:rFonts w:ascii="Arial" w:hAnsi="Arial" w:cs="Arial"/>
          <w:sz w:val="24"/>
          <w:szCs w:val="24"/>
          <w:lang w:val="en-ZA"/>
        </w:rPr>
        <w:t>The first ground</w:t>
      </w:r>
      <w:r>
        <w:rPr>
          <w:rFonts w:ascii="Arial" w:hAnsi="Arial" w:cs="Arial"/>
          <w:sz w:val="24"/>
          <w:szCs w:val="24"/>
          <w:lang w:val="en-ZA"/>
        </w:rPr>
        <w:t xml:space="preserve"> of appeal is thus unpersuasive.</w:t>
      </w:r>
    </w:p>
    <w:p w14:paraId="13A9758D" w14:textId="77777777" w:rsidR="009D2DF2" w:rsidRPr="00A06257"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p>
    <w:p w14:paraId="651FAC27" w14:textId="47258A7A" w:rsidR="009D2DF2"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(b)</w:t>
      </w:r>
      <w:r>
        <w:rPr>
          <w:rFonts w:ascii="Arial" w:hAnsi="Arial" w:cs="Arial"/>
          <w:i/>
          <w:sz w:val="24"/>
          <w:szCs w:val="24"/>
          <w:lang w:val="en-ZA"/>
        </w:rPr>
        <w:tab/>
      </w:r>
      <w:r w:rsidR="00020AC3" w:rsidRPr="00B71AEE">
        <w:rPr>
          <w:rFonts w:ascii="Arial" w:hAnsi="Arial" w:cs="Arial"/>
          <w:b/>
          <w:sz w:val="24"/>
          <w:szCs w:val="24"/>
          <w:lang w:val="en-ZA"/>
        </w:rPr>
        <w:t>The second ground of appeal</w:t>
      </w:r>
      <w:r w:rsidR="00020AC3" w:rsidRPr="00B71AEE">
        <w:rPr>
          <w:rFonts w:ascii="Arial" w:hAnsi="Arial" w:cs="Arial"/>
          <w:sz w:val="24"/>
          <w:szCs w:val="24"/>
          <w:lang w:val="en-ZA"/>
        </w:rPr>
        <w:t xml:space="preserve"> </w:t>
      </w:r>
    </w:p>
    <w:p w14:paraId="427B3283" w14:textId="691599F3" w:rsidR="00020AC3"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The second ground of appeal </w:t>
      </w:r>
      <w:r w:rsidR="00020AC3">
        <w:rPr>
          <w:rFonts w:ascii="Arial" w:hAnsi="Arial" w:cs="Arial"/>
          <w:sz w:val="24"/>
          <w:szCs w:val="24"/>
          <w:lang w:val="en-ZA"/>
        </w:rPr>
        <w:t>appears to comprise an allegation that I erred in concluding that the settlement agreement was effective</w:t>
      </w:r>
      <w:r w:rsidR="00B92B11">
        <w:rPr>
          <w:rFonts w:ascii="Arial" w:hAnsi="Arial" w:cs="Arial"/>
          <w:sz w:val="24"/>
          <w:szCs w:val="24"/>
          <w:lang w:val="en-ZA"/>
        </w:rPr>
        <w:t xml:space="preserve"> but</w:t>
      </w:r>
      <w:r w:rsidR="00020AC3">
        <w:rPr>
          <w:rFonts w:ascii="Arial" w:hAnsi="Arial" w:cs="Arial"/>
          <w:sz w:val="24"/>
          <w:szCs w:val="24"/>
          <w:lang w:val="en-ZA"/>
        </w:rPr>
        <w:t xml:space="preserve"> </w:t>
      </w:r>
      <w:r w:rsidR="00DF25CE">
        <w:rPr>
          <w:rFonts w:ascii="Arial" w:hAnsi="Arial" w:cs="Arial"/>
          <w:sz w:val="24"/>
          <w:szCs w:val="24"/>
          <w:lang w:val="en-ZA"/>
        </w:rPr>
        <w:t xml:space="preserve">still </w:t>
      </w:r>
      <w:r w:rsidR="00020AC3">
        <w:rPr>
          <w:rFonts w:ascii="Arial" w:hAnsi="Arial" w:cs="Arial"/>
          <w:sz w:val="24"/>
          <w:szCs w:val="24"/>
          <w:lang w:val="en-ZA"/>
        </w:rPr>
        <w:t xml:space="preserve">found that the respondent was </w:t>
      </w:r>
      <w:r w:rsidR="00B92B11">
        <w:rPr>
          <w:rFonts w:ascii="Arial" w:hAnsi="Arial" w:cs="Arial"/>
          <w:sz w:val="24"/>
          <w:szCs w:val="24"/>
          <w:lang w:val="en-ZA"/>
        </w:rPr>
        <w:t xml:space="preserve">not </w:t>
      </w:r>
      <w:r w:rsidR="00020AC3">
        <w:rPr>
          <w:rFonts w:ascii="Arial" w:hAnsi="Arial" w:cs="Arial"/>
          <w:sz w:val="24"/>
          <w:szCs w:val="24"/>
          <w:lang w:val="en-ZA"/>
        </w:rPr>
        <w:t>precluded from reverting to its original cause of action, namely the lease agreement.</w:t>
      </w:r>
      <w:r w:rsidR="00B92B11">
        <w:rPr>
          <w:rFonts w:ascii="Arial" w:hAnsi="Arial" w:cs="Arial"/>
          <w:sz w:val="24"/>
          <w:szCs w:val="24"/>
          <w:lang w:val="en-ZA"/>
        </w:rPr>
        <w:t xml:space="preserve"> </w:t>
      </w:r>
      <w:r w:rsidR="00A06257">
        <w:rPr>
          <w:rFonts w:ascii="Arial" w:hAnsi="Arial" w:cs="Arial"/>
          <w:sz w:val="24"/>
          <w:szCs w:val="24"/>
          <w:lang w:val="en-ZA"/>
        </w:rPr>
        <w:t>Clauses 8.1 and 8.2 of the settlement agreement provided as follows:</w:t>
      </w:r>
    </w:p>
    <w:p w14:paraId="673FC7C1" w14:textId="222AB329" w:rsidR="00A06257" w:rsidRPr="00A06257" w:rsidRDefault="00A06257" w:rsidP="00A06257">
      <w:pPr>
        <w:pStyle w:val="ListParagraph"/>
        <w:tabs>
          <w:tab w:val="left" w:pos="709"/>
          <w:tab w:val="left" w:pos="1418"/>
        </w:tabs>
        <w:spacing w:after="0" w:line="360" w:lineRule="auto"/>
        <w:ind w:left="0"/>
        <w:jc w:val="both"/>
        <w:rPr>
          <w:rFonts w:ascii="Arial" w:hAnsi="Arial" w:cs="Arial"/>
          <w:lang w:val="en-ZA"/>
        </w:rPr>
      </w:pPr>
      <w:r w:rsidRPr="00A06257">
        <w:rPr>
          <w:rFonts w:ascii="Arial" w:hAnsi="Arial" w:cs="Arial"/>
          <w:lang w:val="en-ZA"/>
        </w:rPr>
        <w:t>‘8.1</w:t>
      </w:r>
      <w:r w:rsidRPr="00A06257">
        <w:rPr>
          <w:rFonts w:ascii="Arial" w:hAnsi="Arial" w:cs="Arial"/>
          <w:lang w:val="en-ZA"/>
        </w:rPr>
        <w:tab/>
        <w:t>This Agreement is not a novation of the original debt obligation owed by the Tenant to the Landlord in terms of the Lease Agreement.</w:t>
      </w:r>
    </w:p>
    <w:p w14:paraId="5B27DEB2" w14:textId="4C7A8D28" w:rsidR="00A06257" w:rsidRDefault="00A06257" w:rsidP="00A06257">
      <w:pPr>
        <w:pStyle w:val="ListParagraph"/>
        <w:tabs>
          <w:tab w:val="left" w:pos="709"/>
          <w:tab w:val="left" w:pos="1418"/>
        </w:tabs>
        <w:spacing w:after="0" w:line="360" w:lineRule="auto"/>
        <w:ind w:left="0"/>
        <w:jc w:val="both"/>
        <w:rPr>
          <w:rFonts w:ascii="Arial" w:hAnsi="Arial" w:cs="Arial"/>
          <w:lang w:val="en-ZA"/>
        </w:rPr>
      </w:pPr>
      <w:r w:rsidRPr="00A06257">
        <w:rPr>
          <w:rFonts w:ascii="Arial" w:hAnsi="Arial" w:cs="Arial"/>
          <w:lang w:val="en-ZA"/>
        </w:rPr>
        <w:t>8.2</w:t>
      </w:r>
      <w:r w:rsidRPr="00A06257">
        <w:rPr>
          <w:rFonts w:ascii="Arial" w:hAnsi="Arial" w:cs="Arial"/>
          <w:lang w:val="en-ZA"/>
        </w:rPr>
        <w:tab/>
        <w:t xml:space="preserve">It is therefore recorded that, in the event of that the tenant </w:t>
      </w:r>
      <w:r>
        <w:rPr>
          <w:rFonts w:ascii="Arial" w:hAnsi="Arial" w:cs="Arial"/>
          <w:lang w:val="en-ZA"/>
        </w:rPr>
        <w:t>and/or the</w:t>
      </w:r>
      <w:r w:rsidRPr="00A06257">
        <w:rPr>
          <w:rFonts w:ascii="Arial" w:hAnsi="Arial" w:cs="Arial"/>
          <w:lang w:val="en-ZA"/>
        </w:rPr>
        <w:t xml:space="preserve"> Guarantor breach any of the terms of this Agreement and fails to remedy such breach as per clause 9 below, the full amount of the original obligation in the sum of R2,172,991.38 together with interest at the prescribed legal rate </w:t>
      </w:r>
      <w:r w:rsidRPr="00A06257">
        <w:rPr>
          <w:rFonts w:ascii="Arial" w:hAnsi="Arial" w:cs="Arial"/>
          <w:i/>
          <w:lang w:val="en-ZA"/>
        </w:rPr>
        <w:t>a tempore morae</w:t>
      </w:r>
      <w:r w:rsidRPr="00A06257">
        <w:rPr>
          <w:rFonts w:ascii="Arial" w:hAnsi="Arial" w:cs="Arial"/>
          <w:lang w:val="en-ZA"/>
        </w:rPr>
        <w:t xml:space="preserve"> until dat</w:t>
      </w:r>
      <w:r>
        <w:rPr>
          <w:rFonts w:ascii="Arial" w:hAnsi="Arial" w:cs="Arial"/>
          <w:lang w:val="en-ZA"/>
        </w:rPr>
        <w:t>e</w:t>
      </w:r>
      <w:r w:rsidRPr="00A06257">
        <w:rPr>
          <w:rFonts w:ascii="Arial" w:hAnsi="Arial" w:cs="Arial"/>
          <w:lang w:val="en-ZA"/>
        </w:rPr>
        <w:t xml:space="preserve"> of payment, shall immediately become due and payable by the Tenant to the Landlord.’</w:t>
      </w:r>
    </w:p>
    <w:p w14:paraId="1486078F" w14:textId="60537C93" w:rsidR="00A06257" w:rsidRDefault="00A06257" w:rsidP="00A06257">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The provisions of the settlement agreeme</w:t>
      </w:r>
      <w:r w:rsidR="009D2DF2">
        <w:rPr>
          <w:rFonts w:ascii="Arial" w:hAnsi="Arial" w:cs="Arial"/>
          <w:sz w:val="24"/>
          <w:szCs w:val="24"/>
          <w:lang w:val="en-ZA"/>
        </w:rPr>
        <w:t>nt refute this ground of appeal.</w:t>
      </w:r>
    </w:p>
    <w:p w14:paraId="7DDF0849" w14:textId="77777777" w:rsidR="009D2DF2" w:rsidRPr="00A06257" w:rsidRDefault="009D2DF2" w:rsidP="00A06257">
      <w:pPr>
        <w:pStyle w:val="ListParagraph"/>
        <w:tabs>
          <w:tab w:val="left" w:pos="709"/>
          <w:tab w:val="left" w:pos="1418"/>
        </w:tabs>
        <w:spacing w:after="0" w:line="360" w:lineRule="auto"/>
        <w:ind w:left="0"/>
        <w:jc w:val="both"/>
        <w:rPr>
          <w:rFonts w:ascii="Arial" w:hAnsi="Arial" w:cs="Arial"/>
          <w:sz w:val="24"/>
          <w:szCs w:val="24"/>
          <w:lang w:val="en-ZA"/>
        </w:rPr>
      </w:pPr>
    </w:p>
    <w:p w14:paraId="40693D5B" w14:textId="570C201E" w:rsidR="009D2DF2"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(c)</w:t>
      </w:r>
      <w:r>
        <w:rPr>
          <w:rFonts w:ascii="Arial" w:hAnsi="Arial" w:cs="Arial"/>
          <w:i/>
          <w:sz w:val="24"/>
          <w:szCs w:val="24"/>
          <w:lang w:val="en-ZA"/>
        </w:rPr>
        <w:tab/>
      </w:r>
      <w:r w:rsidR="005E6706" w:rsidRPr="00B71AEE">
        <w:rPr>
          <w:rFonts w:ascii="Arial" w:hAnsi="Arial" w:cs="Arial"/>
          <w:b/>
          <w:sz w:val="24"/>
          <w:szCs w:val="24"/>
          <w:lang w:val="en-ZA"/>
        </w:rPr>
        <w:t>The third ground of appeal</w:t>
      </w:r>
      <w:r w:rsidR="005E6706" w:rsidRPr="00B71AEE">
        <w:rPr>
          <w:rFonts w:ascii="Arial" w:hAnsi="Arial" w:cs="Arial"/>
          <w:sz w:val="24"/>
          <w:szCs w:val="24"/>
          <w:lang w:val="en-ZA"/>
        </w:rPr>
        <w:t xml:space="preserve"> </w:t>
      </w:r>
    </w:p>
    <w:p w14:paraId="323AED84" w14:textId="7B5FBA97" w:rsidR="005E6706"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The third ground of appeal </w:t>
      </w:r>
      <w:r w:rsidR="005E6706">
        <w:rPr>
          <w:rFonts w:ascii="Arial" w:hAnsi="Arial" w:cs="Arial"/>
          <w:sz w:val="24"/>
          <w:szCs w:val="24"/>
          <w:lang w:val="en-ZA"/>
        </w:rPr>
        <w:t xml:space="preserve">is that I erred in permitting the respondent to claim future amounts under case number </w:t>
      </w:r>
      <w:r w:rsidR="00DF25CE">
        <w:rPr>
          <w:rFonts w:ascii="Arial" w:hAnsi="Arial" w:cs="Arial"/>
          <w:sz w:val="24"/>
          <w:szCs w:val="24"/>
          <w:lang w:val="en-ZA"/>
        </w:rPr>
        <w:t xml:space="preserve">886/2021P </w:t>
      </w:r>
      <w:r w:rsidR="005E6706">
        <w:rPr>
          <w:rFonts w:ascii="Arial" w:hAnsi="Arial" w:cs="Arial"/>
          <w:sz w:val="24"/>
          <w:szCs w:val="24"/>
          <w:lang w:val="en-ZA"/>
        </w:rPr>
        <w:t xml:space="preserve">in the light of the settlement agreement. This is a point that I explored with Mr Reddy </w:t>
      </w:r>
      <w:r w:rsidR="00DF25CE">
        <w:rPr>
          <w:rFonts w:ascii="Arial" w:hAnsi="Arial" w:cs="Arial"/>
          <w:sz w:val="24"/>
          <w:szCs w:val="24"/>
          <w:lang w:val="en-ZA"/>
        </w:rPr>
        <w:t xml:space="preserve">both </w:t>
      </w:r>
      <w:r w:rsidR="005E6706">
        <w:rPr>
          <w:rFonts w:ascii="Arial" w:hAnsi="Arial" w:cs="Arial"/>
          <w:sz w:val="24"/>
          <w:szCs w:val="24"/>
          <w:lang w:val="en-ZA"/>
        </w:rPr>
        <w:t>during argument</w:t>
      </w:r>
      <w:r w:rsidR="00C8678C">
        <w:rPr>
          <w:rFonts w:ascii="Arial" w:hAnsi="Arial" w:cs="Arial"/>
          <w:sz w:val="24"/>
          <w:szCs w:val="24"/>
          <w:lang w:val="en-ZA"/>
        </w:rPr>
        <w:t xml:space="preserve"> in the opposed application and in this application</w:t>
      </w:r>
      <w:r w:rsidR="005E6706">
        <w:rPr>
          <w:rFonts w:ascii="Arial" w:hAnsi="Arial" w:cs="Arial"/>
          <w:sz w:val="24"/>
          <w:szCs w:val="24"/>
          <w:lang w:val="en-ZA"/>
        </w:rPr>
        <w:t>. It is also canvassed in some detail in my judgment. The settlement agreement determined the liabilities of the first applicant to the respondent at a certain point in time. It did not determine those liabilities for all time. In the light of the fact that the lease continued to run, the first applicant would continue to incur obligations to the respondent</w:t>
      </w:r>
      <w:r w:rsidR="00C8678C">
        <w:rPr>
          <w:rFonts w:ascii="Arial" w:hAnsi="Arial" w:cs="Arial"/>
          <w:sz w:val="24"/>
          <w:szCs w:val="24"/>
          <w:lang w:val="en-ZA"/>
        </w:rPr>
        <w:t xml:space="preserve"> in the future</w:t>
      </w:r>
      <w:r w:rsidR="005E6706">
        <w:rPr>
          <w:rFonts w:ascii="Arial" w:hAnsi="Arial" w:cs="Arial"/>
          <w:sz w:val="24"/>
          <w:szCs w:val="24"/>
          <w:lang w:val="en-ZA"/>
        </w:rPr>
        <w:t xml:space="preserve">. In the event of those </w:t>
      </w:r>
      <w:r w:rsidR="00C8678C">
        <w:rPr>
          <w:rFonts w:ascii="Arial" w:hAnsi="Arial" w:cs="Arial"/>
          <w:sz w:val="24"/>
          <w:szCs w:val="24"/>
          <w:lang w:val="en-ZA"/>
        </w:rPr>
        <w:t xml:space="preserve">future </w:t>
      </w:r>
      <w:r w:rsidR="005E6706">
        <w:rPr>
          <w:rFonts w:ascii="Arial" w:hAnsi="Arial" w:cs="Arial"/>
          <w:sz w:val="24"/>
          <w:szCs w:val="24"/>
          <w:lang w:val="en-ZA"/>
        </w:rPr>
        <w:t>obligations not being met, there is, in my view</w:t>
      </w:r>
      <w:r>
        <w:rPr>
          <w:rFonts w:ascii="Arial" w:hAnsi="Arial" w:cs="Arial"/>
          <w:sz w:val="24"/>
          <w:szCs w:val="24"/>
          <w:lang w:val="en-ZA"/>
        </w:rPr>
        <w:t>,</w:t>
      </w:r>
      <w:r w:rsidR="005E6706">
        <w:rPr>
          <w:rFonts w:ascii="Arial" w:hAnsi="Arial" w:cs="Arial"/>
          <w:sz w:val="24"/>
          <w:szCs w:val="24"/>
          <w:lang w:val="en-ZA"/>
        </w:rPr>
        <w:t xml:space="preserve"> no bar to the respondent claiming both the past obligations</w:t>
      </w:r>
      <w:r w:rsidR="00765726">
        <w:rPr>
          <w:rFonts w:ascii="Arial" w:hAnsi="Arial" w:cs="Arial"/>
          <w:sz w:val="24"/>
          <w:szCs w:val="24"/>
          <w:lang w:val="en-ZA"/>
        </w:rPr>
        <w:t>,</w:t>
      </w:r>
      <w:r w:rsidR="005E6706">
        <w:rPr>
          <w:rFonts w:ascii="Arial" w:hAnsi="Arial" w:cs="Arial"/>
          <w:sz w:val="24"/>
          <w:szCs w:val="24"/>
          <w:lang w:val="en-ZA"/>
        </w:rPr>
        <w:t xml:space="preserve"> dealt with by the settlement agreement</w:t>
      </w:r>
      <w:r w:rsidR="00765726">
        <w:rPr>
          <w:rFonts w:ascii="Arial" w:hAnsi="Arial" w:cs="Arial"/>
          <w:sz w:val="24"/>
          <w:szCs w:val="24"/>
          <w:lang w:val="en-ZA"/>
        </w:rPr>
        <w:t>,</w:t>
      </w:r>
      <w:r w:rsidR="005E6706">
        <w:rPr>
          <w:rFonts w:ascii="Arial" w:hAnsi="Arial" w:cs="Arial"/>
          <w:sz w:val="24"/>
          <w:szCs w:val="24"/>
          <w:lang w:val="en-ZA"/>
        </w:rPr>
        <w:t xml:space="preserve"> and the future obligations that obviously do not fall within the purview of that </w:t>
      </w:r>
      <w:r>
        <w:rPr>
          <w:rFonts w:ascii="Arial" w:hAnsi="Arial" w:cs="Arial"/>
          <w:sz w:val="24"/>
          <w:szCs w:val="24"/>
          <w:lang w:val="en-ZA"/>
        </w:rPr>
        <w:t>agreement</w:t>
      </w:r>
      <w:r w:rsidR="005E6706">
        <w:rPr>
          <w:rFonts w:ascii="Arial" w:hAnsi="Arial" w:cs="Arial"/>
          <w:sz w:val="24"/>
          <w:szCs w:val="24"/>
          <w:lang w:val="en-ZA"/>
        </w:rPr>
        <w:t>. Sight must not be lost of the fact that the respondent claimed these amounts in a fresh application</w:t>
      </w:r>
      <w:r>
        <w:rPr>
          <w:rFonts w:ascii="Arial" w:hAnsi="Arial" w:cs="Arial"/>
          <w:sz w:val="24"/>
          <w:szCs w:val="24"/>
          <w:lang w:val="en-ZA"/>
        </w:rPr>
        <w:t xml:space="preserve">, the second application, </w:t>
      </w:r>
      <w:r w:rsidR="00DF25CE">
        <w:rPr>
          <w:rFonts w:ascii="Arial" w:hAnsi="Arial" w:cs="Arial"/>
          <w:sz w:val="24"/>
          <w:szCs w:val="24"/>
          <w:lang w:val="en-ZA"/>
        </w:rPr>
        <w:t xml:space="preserve">although still under the case number 886/2021P, </w:t>
      </w:r>
      <w:r>
        <w:rPr>
          <w:rFonts w:ascii="Arial" w:hAnsi="Arial" w:cs="Arial"/>
          <w:sz w:val="24"/>
          <w:szCs w:val="24"/>
          <w:lang w:val="en-ZA"/>
        </w:rPr>
        <w:t>and</w:t>
      </w:r>
      <w:r w:rsidR="005E6706">
        <w:rPr>
          <w:rFonts w:ascii="Arial" w:hAnsi="Arial" w:cs="Arial"/>
          <w:sz w:val="24"/>
          <w:szCs w:val="24"/>
          <w:lang w:val="en-ZA"/>
        </w:rPr>
        <w:t xml:space="preserve"> it did not </w:t>
      </w:r>
      <w:r w:rsidR="005E6706">
        <w:rPr>
          <w:rFonts w:ascii="Arial" w:hAnsi="Arial" w:cs="Arial"/>
          <w:sz w:val="24"/>
          <w:szCs w:val="24"/>
          <w:lang w:val="en-ZA"/>
        </w:rPr>
        <w:lastRenderedPageBreak/>
        <w:t xml:space="preserve">simply rely on </w:t>
      </w:r>
      <w:r>
        <w:rPr>
          <w:rFonts w:ascii="Arial" w:hAnsi="Arial" w:cs="Arial"/>
          <w:sz w:val="24"/>
          <w:szCs w:val="24"/>
          <w:lang w:val="en-ZA"/>
        </w:rPr>
        <w:t>the first</w:t>
      </w:r>
      <w:r w:rsidR="005E6706">
        <w:rPr>
          <w:rFonts w:ascii="Arial" w:hAnsi="Arial" w:cs="Arial"/>
          <w:sz w:val="24"/>
          <w:szCs w:val="24"/>
          <w:lang w:val="en-ZA"/>
        </w:rPr>
        <w:t xml:space="preserve"> application that led to the conclusion of the settlement agreement. This ground</w:t>
      </w:r>
      <w:r>
        <w:rPr>
          <w:rFonts w:ascii="Arial" w:hAnsi="Arial" w:cs="Arial"/>
          <w:sz w:val="24"/>
          <w:szCs w:val="24"/>
          <w:lang w:val="en-ZA"/>
        </w:rPr>
        <w:t xml:space="preserve"> of appeal is also unpersuasive.</w:t>
      </w:r>
    </w:p>
    <w:p w14:paraId="21638D6B" w14:textId="0EEA2896" w:rsidR="009D2DF2"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(d)</w:t>
      </w:r>
      <w:r>
        <w:rPr>
          <w:rFonts w:ascii="Arial" w:hAnsi="Arial" w:cs="Arial"/>
          <w:i/>
          <w:sz w:val="24"/>
          <w:szCs w:val="24"/>
          <w:lang w:val="en-ZA"/>
        </w:rPr>
        <w:tab/>
      </w:r>
      <w:r w:rsidR="005E6706" w:rsidRPr="00B71AEE">
        <w:rPr>
          <w:rFonts w:ascii="Arial" w:hAnsi="Arial" w:cs="Arial"/>
          <w:b/>
          <w:sz w:val="24"/>
          <w:szCs w:val="24"/>
          <w:lang w:val="en-ZA"/>
        </w:rPr>
        <w:t>The fourth ground of appeal</w:t>
      </w:r>
      <w:r w:rsidR="005E6706" w:rsidRPr="00B71AEE">
        <w:rPr>
          <w:rFonts w:ascii="Arial" w:hAnsi="Arial" w:cs="Arial"/>
          <w:sz w:val="24"/>
          <w:szCs w:val="24"/>
          <w:lang w:val="en-ZA"/>
        </w:rPr>
        <w:t xml:space="preserve"> </w:t>
      </w:r>
    </w:p>
    <w:p w14:paraId="76BABF1E" w14:textId="4523377C" w:rsidR="00CB4C22"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The fourth ground of appeal </w:t>
      </w:r>
      <w:r w:rsidR="005E6706">
        <w:rPr>
          <w:rFonts w:ascii="Arial" w:hAnsi="Arial" w:cs="Arial"/>
          <w:sz w:val="24"/>
          <w:szCs w:val="24"/>
          <w:lang w:val="en-ZA"/>
        </w:rPr>
        <w:t xml:space="preserve">appears to suggest that </w:t>
      </w:r>
      <w:r w:rsidR="00DA1E93">
        <w:rPr>
          <w:rFonts w:ascii="Arial" w:hAnsi="Arial" w:cs="Arial"/>
          <w:sz w:val="24"/>
          <w:szCs w:val="24"/>
          <w:lang w:val="en-ZA"/>
        </w:rPr>
        <w:t xml:space="preserve">I erred in concluding that </w:t>
      </w:r>
      <w:r w:rsidR="005E6706">
        <w:rPr>
          <w:rFonts w:ascii="Arial" w:hAnsi="Arial" w:cs="Arial"/>
          <w:sz w:val="24"/>
          <w:szCs w:val="24"/>
          <w:lang w:val="en-ZA"/>
        </w:rPr>
        <w:t xml:space="preserve">the </w:t>
      </w:r>
      <w:r w:rsidR="00DA1E93">
        <w:rPr>
          <w:rFonts w:ascii="Arial" w:hAnsi="Arial" w:cs="Arial"/>
          <w:sz w:val="24"/>
          <w:szCs w:val="24"/>
          <w:lang w:val="en-ZA"/>
        </w:rPr>
        <w:t xml:space="preserve">fact that the parties </w:t>
      </w:r>
      <w:r w:rsidR="00DF25CE">
        <w:rPr>
          <w:rFonts w:ascii="Arial" w:hAnsi="Arial" w:cs="Arial"/>
          <w:sz w:val="24"/>
          <w:szCs w:val="24"/>
          <w:lang w:val="en-ZA"/>
        </w:rPr>
        <w:t>execut</w:t>
      </w:r>
      <w:r w:rsidR="00DA1E93">
        <w:rPr>
          <w:rFonts w:ascii="Arial" w:hAnsi="Arial" w:cs="Arial"/>
          <w:sz w:val="24"/>
          <w:szCs w:val="24"/>
          <w:lang w:val="en-ZA"/>
        </w:rPr>
        <w:t xml:space="preserve">ed an addendum to the </w:t>
      </w:r>
      <w:r w:rsidR="005E6706">
        <w:rPr>
          <w:rFonts w:ascii="Arial" w:hAnsi="Arial" w:cs="Arial"/>
          <w:sz w:val="24"/>
          <w:szCs w:val="24"/>
          <w:lang w:val="en-ZA"/>
        </w:rPr>
        <w:t xml:space="preserve">settlement agreement </w:t>
      </w:r>
      <w:r w:rsidR="00CB4C22">
        <w:rPr>
          <w:rFonts w:ascii="Arial" w:hAnsi="Arial" w:cs="Arial"/>
          <w:sz w:val="24"/>
          <w:szCs w:val="24"/>
          <w:lang w:val="en-ZA"/>
        </w:rPr>
        <w:t>rendered</w:t>
      </w:r>
      <w:r w:rsidR="00DA1E93">
        <w:rPr>
          <w:rFonts w:ascii="Arial" w:hAnsi="Arial" w:cs="Arial"/>
          <w:sz w:val="24"/>
          <w:szCs w:val="24"/>
          <w:lang w:val="en-ZA"/>
        </w:rPr>
        <w:t xml:space="preserve"> the settlement agreement not </w:t>
      </w:r>
      <w:r w:rsidR="00765726">
        <w:rPr>
          <w:rFonts w:ascii="Arial" w:hAnsi="Arial" w:cs="Arial"/>
          <w:sz w:val="24"/>
          <w:szCs w:val="24"/>
          <w:lang w:val="en-ZA"/>
        </w:rPr>
        <w:t xml:space="preserve">to be </w:t>
      </w:r>
      <w:r w:rsidR="00DA1E93">
        <w:rPr>
          <w:rFonts w:ascii="Arial" w:hAnsi="Arial" w:cs="Arial"/>
          <w:sz w:val="24"/>
          <w:szCs w:val="24"/>
          <w:lang w:val="en-ZA"/>
        </w:rPr>
        <w:t xml:space="preserve">in full and final settlement of the first applicant’s obligations to the respondent. I came to no such finding. The addendum </w:t>
      </w:r>
      <w:r w:rsidR="00CB4C22">
        <w:rPr>
          <w:rFonts w:ascii="Arial" w:hAnsi="Arial" w:cs="Arial"/>
          <w:sz w:val="24"/>
          <w:szCs w:val="24"/>
          <w:lang w:val="en-ZA"/>
        </w:rPr>
        <w:t xml:space="preserve">merely </w:t>
      </w:r>
      <w:r w:rsidR="00DA1E93">
        <w:rPr>
          <w:rFonts w:ascii="Arial" w:hAnsi="Arial" w:cs="Arial"/>
          <w:sz w:val="24"/>
          <w:szCs w:val="24"/>
          <w:lang w:val="en-ZA"/>
        </w:rPr>
        <w:t xml:space="preserve">led to the revision of the amount claimed by the respondent. But the fact that the parties described the settlement agreement as being in full and final settlement did not mean, as stated above, that the first applicant would not incur any future obligations to the respondent or that the respondent would not be </w:t>
      </w:r>
      <w:r w:rsidR="00CB4C22">
        <w:rPr>
          <w:rFonts w:ascii="Arial" w:hAnsi="Arial" w:cs="Arial"/>
          <w:sz w:val="24"/>
          <w:szCs w:val="24"/>
          <w:lang w:val="en-ZA"/>
        </w:rPr>
        <w:t>able to claim those obligations where they remained unpaid. There is no</w:t>
      </w:r>
      <w:r>
        <w:rPr>
          <w:rFonts w:ascii="Arial" w:hAnsi="Arial" w:cs="Arial"/>
          <w:sz w:val="24"/>
          <w:szCs w:val="24"/>
          <w:lang w:val="en-ZA"/>
        </w:rPr>
        <w:t xml:space="preserve"> merit in this ground of appeal.</w:t>
      </w:r>
    </w:p>
    <w:p w14:paraId="71537A8F" w14:textId="77777777" w:rsidR="009D2DF2"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p>
    <w:p w14:paraId="7C2F7C36" w14:textId="6737910E" w:rsidR="009D2DF2"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(e)</w:t>
      </w:r>
      <w:r>
        <w:rPr>
          <w:rFonts w:ascii="Arial" w:hAnsi="Arial" w:cs="Arial"/>
          <w:i/>
          <w:sz w:val="24"/>
          <w:szCs w:val="24"/>
          <w:lang w:val="en-ZA"/>
        </w:rPr>
        <w:tab/>
      </w:r>
      <w:r w:rsidR="00CB4C22" w:rsidRPr="00B71AEE">
        <w:rPr>
          <w:rFonts w:ascii="Arial" w:hAnsi="Arial" w:cs="Arial"/>
          <w:b/>
          <w:sz w:val="24"/>
          <w:szCs w:val="24"/>
          <w:lang w:val="en-ZA"/>
        </w:rPr>
        <w:t>The fifth ground of appeal</w:t>
      </w:r>
      <w:r w:rsidR="00CB4C22" w:rsidRPr="00B71AEE">
        <w:rPr>
          <w:rFonts w:ascii="Arial" w:hAnsi="Arial" w:cs="Arial"/>
          <w:sz w:val="24"/>
          <w:szCs w:val="24"/>
          <w:lang w:val="en-ZA"/>
        </w:rPr>
        <w:t xml:space="preserve"> </w:t>
      </w:r>
    </w:p>
    <w:p w14:paraId="01FE2A6E" w14:textId="4A366524" w:rsidR="00CB4C22" w:rsidRDefault="009D2DF2" w:rsidP="009D2DF2">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The fifth ground of appeal </w:t>
      </w:r>
      <w:r w:rsidR="00CB4C22">
        <w:rPr>
          <w:rFonts w:ascii="Arial" w:hAnsi="Arial" w:cs="Arial"/>
          <w:sz w:val="24"/>
          <w:szCs w:val="24"/>
          <w:lang w:val="en-ZA"/>
        </w:rPr>
        <w:t>is that I erred in failing to acknowledge that the respondent admitted that the first applicant had been complying with its obligations in terms of the settlement agreement and the addendum. The respondent, in fact, stated the following:</w:t>
      </w:r>
    </w:p>
    <w:p w14:paraId="0FD7BB4C" w14:textId="790228F4" w:rsidR="00E60449" w:rsidRDefault="00CB4C22" w:rsidP="00CB4C22">
      <w:pPr>
        <w:pStyle w:val="ListParagraph"/>
        <w:tabs>
          <w:tab w:val="left" w:pos="709"/>
          <w:tab w:val="left" w:pos="1418"/>
        </w:tabs>
        <w:spacing w:after="0" w:line="360" w:lineRule="auto"/>
        <w:ind w:left="0"/>
        <w:jc w:val="both"/>
        <w:rPr>
          <w:rFonts w:ascii="Arial" w:hAnsi="Arial" w:cs="Arial"/>
          <w:lang w:val="en-ZA"/>
        </w:rPr>
      </w:pPr>
      <w:r w:rsidRPr="00E60449">
        <w:rPr>
          <w:rFonts w:ascii="Arial" w:hAnsi="Arial" w:cs="Arial"/>
          <w:lang w:val="en-ZA"/>
        </w:rPr>
        <w:t>‘</w:t>
      </w:r>
      <w:r w:rsidR="00E60449">
        <w:rPr>
          <w:rFonts w:ascii="Arial" w:hAnsi="Arial" w:cs="Arial"/>
          <w:lang w:val="en-ZA"/>
        </w:rPr>
        <w:t xml:space="preserve">First </w:t>
      </w:r>
      <w:r w:rsidRPr="00E60449">
        <w:rPr>
          <w:rFonts w:ascii="Arial" w:hAnsi="Arial" w:cs="Arial"/>
          <w:lang w:val="en-ZA"/>
        </w:rPr>
        <w:t xml:space="preserve">Respondent </w:t>
      </w:r>
      <w:r w:rsidR="00E60449">
        <w:rPr>
          <w:rFonts w:ascii="Arial" w:hAnsi="Arial" w:cs="Arial"/>
          <w:lang w:val="en-ZA"/>
        </w:rPr>
        <w:t>has failed to comply with its obligations in terms of the Order and in particular its repayment obligations in terms of the Settlement Agreement, as amended by the Addendum.’</w:t>
      </w:r>
    </w:p>
    <w:p w14:paraId="6B3276AB" w14:textId="3BBFE80A" w:rsidR="00CB4C22" w:rsidRDefault="00E60449" w:rsidP="00CB4C22">
      <w:pPr>
        <w:pStyle w:val="ListParagraph"/>
        <w:tabs>
          <w:tab w:val="left" w:pos="709"/>
          <w:tab w:val="left" w:pos="1418"/>
        </w:tabs>
        <w:spacing w:after="0" w:line="360" w:lineRule="auto"/>
        <w:ind w:left="0"/>
        <w:jc w:val="both"/>
        <w:rPr>
          <w:rFonts w:ascii="Arial" w:hAnsi="Arial" w:cs="Arial"/>
          <w:sz w:val="24"/>
          <w:szCs w:val="24"/>
          <w:lang w:val="en-ZA"/>
        </w:rPr>
      </w:pPr>
      <w:r w:rsidRPr="00E60449">
        <w:rPr>
          <w:rFonts w:ascii="Arial" w:hAnsi="Arial" w:cs="Arial"/>
          <w:sz w:val="24"/>
          <w:szCs w:val="24"/>
          <w:lang w:val="en-ZA"/>
        </w:rPr>
        <w:t>This ground of appeal</w:t>
      </w:r>
      <w:r w:rsidR="009D2DF2">
        <w:rPr>
          <w:rFonts w:ascii="Arial" w:hAnsi="Arial" w:cs="Arial"/>
          <w:sz w:val="24"/>
          <w:szCs w:val="24"/>
          <w:lang w:val="en-ZA"/>
        </w:rPr>
        <w:t>,</w:t>
      </w:r>
      <w:r w:rsidRPr="00E60449">
        <w:rPr>
          <w:rFonts w:ascii="Arial" w:hAnsi="Arial" w:cs="Arial"/>
          <w:sz w:val="24"/>
          <w:szCs w:val="24"/>
          <w:lang w:val="en-ZA"/>
        </w:rPr>
        <w:t xml:space="preserve"> accordingly</w:t>
      </w:r>
      <w:r w:rsidR="009D2DF2">
        <w:rPr>
          <w:rFonts w:ascii="Arial" w:hAnsi="Arial" w:cs="Arial"/>
          <w:sz w:val="24"/>
          <w:szCs w:val="24"/>
          <w:lang w:val="en-ZA"/>
        </w:rPr>
        <w:t>,</w:t>
      </w:r>
      <w:r w:rsidRPr="00E60449">
        <w:rPr>
          <w:rFonts w:ascii="Arial" w:hAnsi="Arial" w:cs="Arial"/>
          <w:sz w:val="24"/>
          <w:szCs w:val="24"/>
          <w:lang w:val="en-ZA"/>
        </w:rPr>
        <w:t xml:space="preserve"> holds</w:t>
      </w:r>
      <w:r w:rsidR="009D2DF2">
        <w:rPr>
          <w:rFonts w:ascii="Arial" w:hAnsi="Arial" w:cs="Arial"/>
          <w:sz w:val="24"/>
          <w:szCs w:val="24"/>
          <w:lang w:val="en-ZA"/>
        </w:rPr>
        <w:t xml:space="preserve"> little attraction.</w:t>
      </w:r>
    </w:p>
    <w:p w14:paraId="4C359003" w14:textId="77777777" w:rsidR="009D2DF2" w:rsidRPr="00E60449" w:rsidRDefault="009D2DF2" w:rsidP="00CB4C22">
      <w:pPr>
        <w:pStyle w:val="ListParagraph"/>
        <w:tabs>
          <w:tab w:val="left" w:pos="709"/>
          <w:tab w:val="left" w:pos="1418"/>
        </w:tabs>
        <w:spacing w:after="0" w:line="360" w:lineRule="auto"/>
        <w:ind w:left="0"/>
        <w:jc w:val="both"/>
        <w:rPr>
          <w:rFonts w:ascii="Arial" w:hAnsi="Arial" w:cs="Arial"/>
          <w:sz w:val="24"/>
          <w:szCs w:val="24"/>
          <w:lang w:val="en-ZA"/>
        </w:rPr>
      </w:pPr>
    </w:p>
    <w:p w14:paraId="0E7EC61D" w14:textId="6BB35480" w:rsidR="009D2DF2"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(f)</w:t>
      </w:r>
      <w:r>
        <w:rPr>
          <w:rFonts w:ascii="Arial" w:hAnsi="Arial" w:cs="Arial"/>
          <w:i/>
          <w:sz w:val="24"/>
          <w:szCs w:val="24"/>
          <w:lang w:val="en-ZA"/>
        </w:rPr>
        <w:tab/>
      </w:r>
      <w:r w:rsidR="00E60449" w:rsidRPr="00B71AEE">
        <w:rPr>
          <w:rFonts w:ascii="Arial" w:hAnsi="Arial" w:cs="Arial"/>
          <w:b/>
          <w:sz w:val="24"/>
          <w:szCs w:val="24"/>
          <w:lang w:val="en-ZA"/>
        </w:rPr>
        <w:t>The sixth ground of appeal</w:t>
      </w:r>
      <w:r w:rsidR="00E60449" w:rsidRPr="00B71AEE">
        <w:rPr>
          <w:rFonts w:ascii="Arial" w:hAnsi="Arial" w:cs="Arial"/>
          <w:sz w:val="24"/>
          <w:szCs w:val="24"/>
          <w:lang w:val="en-ZA"/>
        </w:rPr>
        <w:t xml:space="preserve"> </w:t>
      </w:r>
    </w:p>
    <w:p w14:paraId="74CB058E" w14:textId="5F4ED835" w:rsidR="0032058B" w:rsidRDefault="009D2DF2" w:rsidP="0032058B">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The sixth ground of appeal </w:t>
      </w:r>
      <w:r w:rsidR="00E60449">
        <w:rPr>
          <w:rFonts w:ascii="Arial" w:hAnsi="Arial" w:cs="Arial"/>
          <w:sz w:val="24"/>
          <w:szCs w:val="24"/>
          <w:lang w:val="en-ZA"/>
        </w:rPr>
        <w:t>is that I erred by placing reliance on the certificate of balance put up by the respondent as it was rendered unreliable by virtue of the fact that it included amounts levied against the first applicant</w:t>
      </w:r>
      <w:r w:rsidR="00765726">
        <w:rPr>
          <w:rFonts w:ascii="Arial" w:hAnsi="Arial" w:cs="Arial"/>
          <w:sz w:val="24"/>
          <w:szCs w:val="24"/>
          <w:lang w:val="en-ZA"/>
        </w:rPr>
        <w:t>’</w:t>
      </w:r>
      <w:r w:rsidR="00E60449">
        <w:rPr>
          <w:rFonts w:ascii="Arial" w:hAnsi="Arial" w:cs="Arial"/>
          <w:sz w:val="24"/>
          <w:szCs w:val="24"/>
          <w:lang w:val="en-ZA"/>
        </w:rPr>
        <w:t>s account</w:t>
      </w:r>
      <w:r w:rsidR="00DF25CE">
        <w:rPr>
          <w:rFonts w:ascii="Arial" w:hAnsi="Arial" w:cs="Arial"/>
          <w:sz w:val="24"/>
          <w:szCs w:val="24"/>
          <w:lang w:val="en-ZA"/>
        </w:rPr>
        <w:t xml:space="preserve"> by the respondent</w:t>
      </w:r>
      <w:r w:rsidR="00E60449">
        <w:rPr>
          <w:rFonts w:ascii="Arial" w:hAnsi="Arial" w:cs="Arial"/>
          <w:sz w:val="24"/>
          <w:szCs w:val="24"/>
          <w:lang w:val="en-ZA"/>
        </w:rPr>
        <w:t xml:space="preserve"> in respect of legal costs. </w:t>
      </w:r>
      <w:r>
        <w:rPr>
          <w:rFonts w:ascii="Arial" w:hAnsi="Arial" w:cs="Arial"/>
          <w:sz w:val="24"/>
          <w:szCs w:val="24"/>
          <w:lang w:val="en-ZA"/>
        </w:rPr>
        <w:t xml:space="preserve">Mr Schaup conceded when the opposed motion was argued that such costs ought not to appear in the certificate of balance and undertook the mathematical exercise of recalculating the amount claimed by the respondent. The amount claimed was, thus, substantially reduced. </w:t>
      </w:r>
      <w:r w:rsidR="00E60449">
        <w:rPr>
          <w:rFonts w:ascii="Arial" w:hAnsi="Arial" w:cs="Arial"/>
          <w:sz w:val="24"/>
          <w:szCs w:val="24"/>
          <w:lang w:val="en-ZA"/>
        </w:rPr>
        <w:t xml:space="preserve">As a matter of fact, I did not rely on the certificate of balance but I relied upon the mathematical recalculation performed by Mr Shaup. </w:t>
      </w:r>
      <w:r>
        <w:rPr>
          <w:rFonts w:ascii="Arial" w:hAnsi="Arial" w:cs="Arial"/>
          <w:sz w:val="24"/>
          <w:szCs w:val="24"/>
          <w:lang w:val="en-ZA"/>
        </w:rPr>
        <w:t xml:space="preserve">Mr Reddy was satisfied with the accuracy of that calculation but, as was stated in the judgment, did not admit that applicants were, in fact, liable to the </w:t>
      </w:r>
      <w:r>
        <w:rPr>
          <w:rFonts w:ascii="Arial" w:hAnsi="Arial" w:cs="Arial"/>
          <w:sz w:val="24"/>
          <w:szCs w:val="24"/>
          <w:lang w:val="en-ZA"/>
        </w:rPr>
        <w:lastRenderedPageBreak/>
        <w:t xml:space="preserve">respondent in that amount. </w:t>
      </w:r>
      <w:r w:rsidR="00E60449">
        <w:rPr>
          <w:rFonts w:ascii="Arial" w:hAnsi="Arial" w:cs="Arial"/>
          <w:sz w:val="24"/>
          <w:szCs w:val="24"/>
          <w:lang w:val="en-ZA"/>
        </w:rPr>
        <w:t>The quantum of the indebtedness was not disputed in the papers</w:t>
      </w:r>
      <w:r w:rsidR="00765726">
        <w:rPr>
          <w:rFonts w:ascii="Arial" w:hAnsi="Arial" w:cs="Arial"/>
          <w:sz w:val="24"/>
          <w:szCs w:val="24"/>
          <w:lang w:val="en-ZA"/>
        </w:rPr>
        <w:t>,</w:t>
      </w:r>
      <w:r w:rsidR="00E60449">
        <w:rPr>
          <w:rFonts w:ascii="Arial" w:hAnsi="Arial" w:cs="Arial"/>
          <w:sz w:val="24"/>
          <w:szCs w:val="24"/>
          <w:lang w:val="en-ZA"/>
        </w:rPr>
        <w:t xml:space="preserve"> save for the allegation that it </w:t>
      </w:r>
      <w:r>
        <w:rPr>
          <w:rFonts w:ascii="Arial" w:hAnsi="Arial" w:cs="Arial"/>
          <w:sz w:val="24"/>
          <w:szCs w:val="24"/>
          <w:lang w:val="en-ZA"/>
        </w:rPr>
        <w:t xml:space="preserve">impermissibly </w:t>
      </w:r>
      <w:r w:rsidR="00E60449">
        <w:rPr>
          <w:rFonts w:ascii="Arial" w:hAnsi="Arial" w:cs="Arial"/>
          <w:sz w:val="24"/>
          <w:szCs w:val="24"/>
          <w:lang w:val="en-ZA"/>
        </w:rPr>
        <w:t>included legal costs and interest on those costs. Those charges were removed from the calculation and it is upon the sum of that calculation</w:t>
      </w:r>
      <w:r w:rsidR="00765726">
        <w:rPr>
          <w:rFonts w:ascii="Arial" w:hAnsi="Arial" w:cs="Arial"/>
          <w:sz w:val="24"/>
          <w:szCs w:val="24"/>
          <w:lang w:val="en-ZA"/>
        </w:rPr>
        <w:t>, performed by Mr Schaup,</w:t>
      </w:r>
      <w:r w:rsidR="00E60449">
        <w:rPr>
          <w:rFonts w:ascii="Arial" w:hAnsi="Arial" w:cs="Arial"/>
          <w:sz w:val="24"/>
          <w:szCs w:val="24"/>
          <w:lang w:val="en-ZA"/>
        </w:rPr>
        <w:t xml:space="preserve"> that I arrived at the judgment amount. This ground of appeal </w:t>
      </w:r>
      <w:r w:rsidR="0032058B">
        <w:rPr>
          <w:rFonts w:ascii="Arial" w:hAnsi="Arial" w:cs="Arial"/>
          <w:sz w:val="24"/>
          <w:szCs w:val="24"/>
          <w:lang w:val="en-ZA"/>
        </w:rPr>
        <w:t>is accordingly misplaced.</w:t>
      </w:r>
    </w:p>
    <w:p w14:paraId="2F22878C" w14:textId="77777777" w:rsidR="0032058B" w:rsidRDefault="0032058B" w:rsidP="0032058B">
      <w:pPr>
        <w:pStyle w:val="ListParagraph"/>
        <w:tabs>
          <w:tab w:val="left" w:pos="709"/>
          <w:tab w:val="left" w:pos="1418"/>
        </w:tabs>
        <w:spacing w:after="0" w:line="360" w:lineRule="auto"/>
        <w:ind w:left="0"/>
        <w:jc w:val="both"/>
        <w:rPr>
          <w:rFonts w:ascii="Arial" w:hAnsi="Arial" w:cs="Arial"/>
          <w:sz w:val="24"/>
          <w:szCs w:val="24"/>
          <w:lang w:val="en-ZA"/>
        </w:rPr>
      </w:pPr>
    </w:p>
    <w:p w14:paraId="492B94A4" w14:textId="3AB9AB4F" w:rsidR="0032058B"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i/>
          <w:sz w:val="24"/>
          <w:szCs w:val="24"/>
          <w:lang w:val="en-ZA"/>
        </w:rPr>
        <w:t>(g)</w:t>
      </w:r>
      <w:r>
        <w:rPr>
          <w:rFonts w:ascii="Arial" w:hAnsi="Arial" w:cs="Arial"/>
          <w:i/>
          <w:sz w:val="24"/>
          <w:szCs w:val="24"/>
          <w:lang w:val="en-ZA"/>
        </w:rPr>
        <w:tab/>
      </w:r>
      <w:r w:rsidR="0032058B" w:rsidRPr="00B71AEE">
        <w:rPr>
          <w:rFonts w:ascii="Arial" w:hAnsi="Arial" w:cs="Arial"/>
          <w:b/>
          <w:sz w:val="24"/>
          <w:szCs w:val="24"/>
          <w:lang w:val="en-ZA"/>
        </w:rPr>
        <w:t xml:space="preserve">The seventh </w:t>
      </w:r>
      <w:r w:rsidR="00E60449" w:rsidRPr="00B71AEE">
        <w:rPr>
          <w:rFonts w:ascii="Arial" w:hAnsi="Arial" w:cs="Arial"/>
          <w:b/>
          <w:sz w:val="24"/>
          <w:szCs w:val="24"/>
          <w:lang w:val="en-ZA"/>
        </w:rPr>
        <w:t>ground of appeal</w:t>
      </w:r>
      <w:r w:rsidR="00E60449" w:rsidRPr="00B71AEE">
        <w:rPr>
          <w:rFonts w:ascii="Arial" w:hAnsi="Arial" w:cs="Arial"/>
          <w:sz w:val="24"/>
          <w:szCs w:val="24"/>
          <w:lang w:val="en-ZA"/>
        </w:rPr>
        <w:t xml:space="preserve"> </w:t>
      </w:r>
    </w:p>
    <w:p w14:paraId="032D12B9" w14:textId="0238F06A" w:rsidR="00E60449" w:rsidRDefault="0032058B" w:rsidP="0032058B">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The seventh and final ground of appeal </w:t>
      </w:r>
      <w:r w:rsidR="00E60449">
        <w:rPr>
          <w:rFonts w:ascii="Arial" w:hAnsi="Arial" w:cs="Arial"/>
          <w:sz w:val="24"/>
          <w:szCs w:val="24"/>
          <w:lang w:val="en-ZA"/>
        </w:rPr>
        <w:t xml:space="preserve">deals with an allegation </w:t>
      </w:r>
      <w:r w:rsidR="00CD31EF">
        <w:rPr>
          <w:rFonts w:ascii="Arial" w:hAnsi="Arial" w:cs="Arial"/>
          <w:sz w:val="24"/>
          <w:szCs w:val="24"/>
          <w:lang w:val="en-ZA"/>
        </w:rPr>
        <w:t xml:space="preserve">that I erred in failing to uphold an allegation that the respondent no longer existed and therefore lacked </w:t>
      </w:r>
      <w:r w:rsidR="00CD31EF" w:rsidRPr="00CD31EF">
        <w:rPr>
          <w:rFonts w:ascii="Arial" w:hAnsi="Arial" w:cs="Arial"/>
          <w:i/>
          <w:sz w:val="24"/>
          <w:szCs w:val="24"/>
          <w:lang w:val="en-ZA"/>
        </w:rPr>
        <w:t>locus standi in judicio</w:t>
      </w:r>
      <w:r w:rsidR="00CD31EF">
        <w:rPr>
          <w:rFonts w:ascii="Arial" w:hAnsi="Arial" w:cs="Arial"/>
          <w:sz w:val="24"/>
          <w:szCs w:val="24"/>
          <w:lang w:val="en-ZA"/>
        </w:rPr>
        <w:t xml:space="preserve">. There was no evidence adduced in this regard. </w:t>
      </w:r>
      <w:r w:rsidR="00765726">
        <w:rPr>
          <w:rFonts w:ascii="Arial" w:hAnsi="Arial" w:cs="Arial"/>
          <w:sz w:val="24"/>
          <w:szCs w:val="24"/>
          <w:lang w:val="en-ZA"/>
        </w:rPr>
        <w:t xml:space="preserve">There is no reference to such a point in the answering affidavit. As Mr Schaup points out, it first </w:t>
      </w:r>
      <w:r w:rsidR="00DF25CE">
        <w:rPr>
          <w:rFonts w:ascii="Arial" w:hAnsi="Arial" w:cs="Arial"/>
          <w:sz w:val="24"/>
          <w:szCs w:val="24"/>
          <w:lang w:val="en-ZA"/>
        </w:rPr>
        <w:t>appeared</w:t>
      </w:r>
      <w:r w:rsidR="00765726">
        <w:rPr>
          <w:rFonts w:ascii="Arial" w:hAnsi="Arial" w:cs="Arial"/>
          <w:sz w:val="24"/>
          <w:szCs w:val="24"/>
          <w:lang w:val="en-ZA"/>
        </w:rPr>
        <w:t xml:space="preserve"> in the heads of argument delivered by the applicants. </w:t>
      </w:r>
      <w:r w:rsidR="00CD31EF">
        <w:rPr>
          <w:rFonts w:ascii="Arial" w:hAnsi="Arial" w:cs="Arial"/>
          <w:sz w:val="24"/>
          <w:szCs w:val="24"/>
          <w:lang w:val="en-ZA"/>
        </w:rPr>
        <w:t>There is</w:t>
      </w:r>
      <w:r w:rsidR="00765726">
        <w:rPr>
          <w:rFonts w:ascii="Arial" w:hAnsi="Arial" w:cs="Arial"/>
          <w:sz w:val="24"/>
          <w:szCs w:val="24"/>
          <w:lang w:val="en-ZA"/>
        </w:rPr>
        <w:t>, however,</w:t>
      </w:r>
      <w:r w:rsidR="00CD31EF">
        <w:rPr>
          <w:rFonts w:ascii="Arial" w:hAnsi="Arial" w:cs="Arial"/>
          <w:sz w:val="24"/>
          <w:szCs w:val="24"/>
          <w:lang w:val="en-ZA"/>
        </w:rPr>
        <w:t xml:space="preserve"> a</w:t>
      </w:r>
      <w:r>
        <w:rPr>
          <w:rFonts w:ascii="Arial" w:hAnsi="Arial" w:cs="Arial"/>
          <w:sz w:val="24"/>
          <w:szCs w:val="24"/>
          <w:lang w:val="en-ZA"/>
        </w:rPr>
        <w:t xml:space="preserve"> chain of</w:t>
      </w:r>
      <w:r w:rsidR="00CD31EF">
        <w:rPr>
          <w:rFonts w:ascii="Arial" w:hAnsi="Arial" w:cs="Arial"/>
          <w:sz w:val="24"/>
          <w:szCs w:val="24"/>
          <w:lang w:val="en-ZA"/>
        </w:rPr>
        <w:t xml:space="preserve"> email</w:t>
      </w:r>
      <w:r>
        <w:rPr>
          <w:rFonts w:ascii="Arial" w:hAnsi="Arial" w:cs="Arial"/>
          <w:sz w:val="24"/>
          <w:szCs w:val="24"/>
          <w:lang w:val="en-ZA"/>
        </w:rPr>
        <w:t xml:space="preserve">s </w:t>
      </w:r>
      <w:r w:rsidR="00DF25CE">
        <w:rPr>
          <w:rFonts w:ascii="Arial" w:hAnsi="Arial" w:cs="Arial"/>
          <w:sz w:val="24"/>
          <w:szCs w:val="24"/>
          <w:lang w:val="en-ZA"/>
        </w:rPr>
        <w:t>attached to the answering affidavit. In the last email attached,</w:t>
      </w:r>
      <w:r>
        <w:rPr>
          <w:rFonts w:ascii="Arial" w:hAnsi="Arial" w:cs="Arial"/>
          <w:sz w:val="24"/>
          <w:szCs w:val="24"/>
          <w:lang w:val="en-ZA"/>
        </w:rPr>
        <w:t xml:space="preserve"> the following statement appears:</w:t>
      </w:r>
    </w:p>
    <w:p w14:paraId="04355EF9" w14:textId="2D922598" w:rsidR="00CD31EF" w:rsidRDefault="00CD31EF" w:rsidP="00CD31EF">
      <w:pPr>
        <w:pStyle w:val="ListParagraph"/>
        <w:tabs>
          <w:tab w:val="left" w:pos="709"/>
          <w:tab w:val="left" w:pos="1418"/>
        </w:tabs>
        <w:spacing w:after="0" w:line="360" w:lineRule="auto"/>
        <w:ind w:left="0"/>
        <w:jc w:val="both"/>
        <w:rPr>
          <w:rFonts w:ascii="Arial" w:hAnsi="Arial" w:cs="Arial"/>
          <w:lang w:val="en-ZA"/>
        </w:rPr>
      </w:pPr>
      <w:r w:rsidRPr="00CD31EF">
        <w:rPr>
          <w:rFonts w:ascii="Arial" w:hAnsi="Arial" w:cs="Arial"/>
          <w:lang w:val="en-ZA"/>
        </w:rPr>
        <w:t>‘As discussed, Tower has been acquired by RDC Property Group.’</w:t>
      </w:r>
    </w:p>
    <w:p w14:paraId="53AECC0C" w14:textId="135A966B" w:rsidR="00C87077" w:rsidRDefault="00CD31EF" w:rsidP="00CD31EF">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Based </w:t>
      </w:r>
      <w:r w:rsidR="00DF25CE">
        <w:rPr>
          <w:rFonts w:ascii="Arial" w:hAnsi="Arial" w:cs="Arial"/>
          <w:sz w:val="24"/>
          <w:szCs w:val="24"/>
          <w:lang w:val="en-ZA"/>
        </w:rPr>
        <w:t>up</w:t>
      </w:r>
      <w:r>
        <w:rPr>
          <w:rFonts w:ascii="Arial" w:hAnsi="Arial" w:cs="Arial"/>
          <w:sz w:val="24"/>
          <w:szCs w:val="24"/>
          <w:lang w:val="en-ZA"/>
        </w:rPr>
        <w:t xml:space="preserve">on these </w:t>
      </w:r>
      <w:r w:rsidR="0032058B">
        <w:rPr>
          <w:rFonts w:ascii="Arial" w:hAnsi="Arial" w:cs="Arial"/>
          <w:sz w:val="24"/>
          <w:szCs w:val="24"/>
          <w:lang w:val="en-ZA"/>
        </w:rPr>
        <w:t xml:space="preserve">brief </w:t>
      </w:r>
      <w:r>
        <w:rPr>
          <w:rFonts w:ascii="Arial" w:hAnsi="Arial" w:cs="Arial"/>
          <w:sz w:val="24"/>
          <w:szCs w:val="24"/>
          <w:lang w:val="en-ZA"/>
        </w:rPr>
        <w:t>word</w:t>
      </w:r>
      <w:r w:rsidR="0032058B">
        <w:rPr>
          <w:rFonts w:ascii="Arial" w:hAnsi="Arial" w:cs="Arial"/>
          <w:sz w:val="24"/>
          <w:szCs w:val="24"/>
          <w:lang w:val="en-ZA"/>
        </w:rPr>
        <w:t>s</w:t>
      </w:r>
      <w:r>
        <w:rPr>
          <w:rFonts w:ascii="Arial" w:hAnsi="Arial" w:cs="Arial"/>
          <w:sz w:val="24"/>
          <w:szCs w:val="24"/>
          <w:lang w:val="en-ZA"/>
        </w:rPr>
        <w:t xml:space="preserve">, </w:t>
      </w:r>
      <w:r w:rsidR="0032058B">
        <w:rPr>
          <w:rFonts w:ascii="Arial" w:hAnsi="Arial" w:cs="Arial"/>
          <w:sz w:val="24"/>
          <w:szCs w:val="24"/>
          <w:lang w:val="en-ZA"/>
        </w:rPr>
        <w:t>an alternative scenario was created</w:t>
      </w:r>
      <w:r w:rsidR="00DF25CE">
        <w:rPr>
          <w:rFonts w:ascii="Arial" w:hAnsi="Arial" w:cs="Arial"/>
          <w:sz w:val="24"/>
          <w:szCs w:val="24"/>
          <w:lang w:val="en-ZA"/>
        </w:rPr>
        <w:t xml:space="preserve"> by the applicants and advanced only in argument </w:t>
      </w:r>
      <w:r w:rsidR="0032058B">
        <w:rPr>
          <w:rFonts w:ascii="Arial" w:hAnsi="Arial" w:cs="Arial"/>
          <w:sz w:val="24"/>
          <w:szCs w:val="24"/>
          <w:lang w:val="en-ZA"/>
        </w:rPr>
        <w:t xml:space="preserve">that culminated in the following statement in the </w:t>
      </w:r>
      <w:r w:rsidR="00DF25CE">
        <w:rPr>
          <w:rFonts w:ascii="Arial" w:hAnsi="Arial" w:cs="Arial"/>
          <w:sz w:val="24"/>
          <w:szCs w:val="24"/>
          <w:lang w:val="en-ZA"/>
        </w:rPr>
        <w:t xml:space="preserve">appearing in the </w:t>
      </w:r>
      <w:r w:rsidR="0032058B">
        <w:rPr>
          <w:rFonts w:ascii="Arial" w:hAnsi="Arial" w:cs="Arial"/>
          <w:sz w:val="24"/>
          <w:szCs w:val="24"/>
          <w:lang w:val="en-ZA"/>
        </w:rPr>
        <w:t>applicants</w:t>
      </w:r>
      <w:r w:rsidR="00DF25CE">
        <w:rPr>
          <w:rFonts w:ascii="Arial" w:hAnsi="Arial" w:cs="Arial"/>
          <w:sz w:val="24"/>
          <w:szCs w:val="24"/>
          <w:lang w:val="en-ZA"/>
        </w:rPr>
        <w:t>’</w:t>
      </w:r>
      <w:r w:rsidR="0032058B">
        <w:rPr>
          <w:rFonts w:ascii="Arial" w:hAnsi="Arial" w:cs="Arial"/>
          <w:sz w:val="24"/>
          <w:szCs w:val="24"/>
          <w:lang w:val="en-ZA"/>
        </w:rPr>
        <w:t xml:space="preserve"> </w:t>
      </w:r>
      <w:r w:rsidR="00DF25CE">
        <w:rPr>
          <w:rFonts w:ascii="Arial" w:hAnsi="Arial" w:cs="Arial"/>
          <w:sz w:val="24"/>
          <w:szCs w:val="24"/>
          <w:lang w:val="en-ZA"/>
        </w:rPr>
        <w:t>notice of application for leave to appeal</w:t>
      </w:r>
      <w:r w:rsidR="0032058B">
        <w:rPr>
          <w:rFonts w:ascii="Arial" w:hAnsi="Arial" w:cs="Arial"/>
          <w:sz w:val="24"/>
          <w:szCs w:val="24"/>
          <w:lang w:val="en-ZA"/>
        </w:rPr>
        <w:t>:</w:t>
      </w:r>
    </w:p>
    <w:p w14:paraId="517B3CCA" w14:textId="27A6C952" w:rsidR="00CD31EF" w:rsidRPr="00C87077" w:rsidRDefault="00CD31EF" w:rsidP="00CD31EF">
      <w:pPr>
        <w:pStyle w:val="ListParagraph"/>
        <w:tabs>
          <w:tab w:val="left" w:pos="709"/>
          <w:tab w:val="left" w:pos="1418"/>
        </w:tabs>
        <w:spacing w:after="0" w:line="360" w:lineRule="auto"/>
        <w:ind w:left="0"/>
        <w:jc w:val="both"/>
        <w:rPr>
          <w:rFonts w:ascii="Arial" w:hAnsi="Arial" w:cs="Arial"/>
          <w:lang w:val="en-ZA"/>
        </w:rPr>
      </w:pPr>
      <w:r w:rsidRPr="00C87077">
        <w:rPr>
          <w:rFonts w:ascii="Arial" w:hAnsi="Arial" w:cs="Arial"/>
          <w:lang w:val="en-ZA"/>
        </w:rPr>
        <w:t>‘</w:t>
      </w:r>
      <w:r w:rsidR="00DF25CE">
        <w:rPr>
          <w:rFonts w:ascii="Arial" w:hAnsi="Arial" w:cs="Arial"/>
          <w:lang w:val="en-ZA"/>
        </w:rPr>
        <w:t xml:space="preserve">. . . </w:t>
      </w:r>
      <w:r w:rsidRPr="00C87077">
        <w:rPr>
          <w:rFonts w:ascii="Arial" w:hAnsi="Arial" w:cs="Arial"/>
          <w:lang w:val="en-ZA"/>
        </w:rPr>
        <w:t>RDC Property Group has acquired the Respondent, as such the respondent ceased to exist.’</w:t>
      </w:r>
    </w:p>
    <w:p w14:paraId="5AB90385" w14:textId="07146FC4" w:rsidR="00CD31EF" w:rsidRPr="00CD31EF" w:rsidRDefault="00C87077" w:rsidP="00526742">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Such a conclusion is a </w:t>
      </w:r>
      <w:r w:rsidRPr="00765726">
        <w:rPr>
          <w:rFonts w:ascii="Arial" w:hAnsi="Arial" w:cs="Arial"/>
          <w:i/>
          <w:sz w:val="24"/>
          <w:szCs w:val="24"/>
          <w:lang w:val="en-ZA"/>
        </w:rPr>
        <w:t>non sequitur</w:t>
      </w:r>
      <w:r>
        <w:rPr>
          <w:rFonts w:ascii="Arial" w:hAnsi="Arial" w:cs="Arial"/>
          <w:sz w:val="24"/>
          <w:szCs w:val="24"/>
          <w:lang w:val="en-ZA"/>
        </w:rPr>
        <w:t xml:space="preserve">. Acquisition does not automatically lead to the demise of the entity acquired. </w:t>
      </w:r>
      <w:r w:rsidR="00CD31EF">
        <w:rPr>
          <w:rFonts w:ascii="Arial" w:hAnsi="Arial" w:cs="Arial"/>
          <w:sz w:val="24"/>
          <w:szCs w:val="24"/>
          <w:lang w:val="en-ZA"/>
        </w:rPr>
        <w:t xml:space="preserve">It was </w:t>
      </w:r>
      <w:r>
        <w:rPr>
          <w:rFonts w:ascii="Arial" w:hAnsi="Arial" w:cs="Arial"/>
          <w:sz w:val="24"/>
          <w:szCs w:val="24"/>
          <w:lang w:val="en-ZA"/>
        </w:rPr>
        <w:t xml:space="preserve">further </w:t>
      </w:r>
      <w:r w:rsidR="00CD31EF">
        <w:rPr>
          <w:rFonts w:ascii="Arial" w:hAnsi="Arial" w:cs="Arial"/>
          <w:sz w:val="24"/>
          <w:szCs w:val="24"/>
          <w:lang w:val="en-ZA"/>
        </w:rPr>
        <w:t xml:space="preserve">argued </w:t>
      </w:r>
      <w:r w:rsidR="0032058B">
        <w:rPr>
          <w:rFonts w:ascii="Arial" w:hAnsi="Arial" w:cs="Arial"/>
          <w:sz w:val="24"/>
          <w:szCs w:val="24"/>
          <w:lang w:val="en-ZA"/>
        </w:rPr>
        <w:t xml:space="preserve">by Mr Reddy </w:t>
      </w:r>
      <w:r w:rsidR="00CD31EF">
        <w:rPr>
          <w:rFonts w:ascii="Arial" w:hAnsi="Arial" w:cs="Arial"/>
          <w:sz w:val="24"/>
          <w:szCs w:val="24"/>
          <w:lang w:val="en-ZA"/>
        </w:rPr>
        <w:t>that the RDC Prope</w:t>
      </w:r>
      <w:r>
        <w:rPr>
          <w:rFonts w:ascii="Arial" w:hAnsi="Arial" w:cs="Arial"/>
          <w:sz w:val="24"/>
          <w:szCs w:val="24"/>
          <w:lang w:val="en-ZA"/>
        </w:rPr>
        <w:t>rty Group now owns all the asse</w:t>
      </w:r>
      <w:r w:rsidR="00CD31EF">
        <w:rPr>
          <w:rFonts w:ascii="Arial" w:hAnsi="Arial" w:cs="Arial"/>
          <w:sz w:val="24"/>
          <w:szCs w:val="24"/>
          <w:lang w:val="en-ZA"/>
        </w:rPr>
        <w:t>ts of the responde</w:t>
      </w:r>
      <w:r>
        <w:rPr>
          <w:rFonts w:ascii="Arial" w:hAnsi="Arial" w:cs="Arial"/>
          <w:sz w:val="24"/>
          <w:szCs w:val="24"/>
          <w:lang w:val="en-ZA"/>
        </w:rPr>
        <w:t>n</w:t>
      </w:r>
      <w:r w:rsidR="00CD31EF">
        <w:rPr>
          <w:rFonts w:ascii="Arial" w:hAnsi="Arial" w:cs="Arial"/>
          <w:sz w:val="24"/>
          <w:szCs w:val="24"/>
          <w:lang w:val="en-ZA"/>
        </w:rPr>
        <w:t>t. That may be so</w:t>
      </w:r>
      <w:r>
        <w:rPr>
          <w:rFonts w:ascii="Arial" w:hAnsi="Arial" w:cs="Arial"/>
          <w:sz w:val="24"/>
          <w:szCs w:val="24"/>
          <w:lang w:val="en-ZA"/>
        </w:rPr>
        <w:t>. If</w:t>
      </w:r>
      <w:r w:rsidR="00CD31EF">
        <w:rPr>
          <w:rFonts w:ascii="Arial" w:hAnsi="Arial" w:cs="Arial"/>
          <w:sz w:val="24"/>
          <w:szCs w:val="24"/>
          <w:lang w:val="en-ZA"/>
        </w:rPr>
        <w:t xml:space="preserve"> it is so, it has no bearing on the</w:t>
      </w:r>
      <w:r>
        <w:rPr>
          <w:rFonts w:ascii="Arial" w:hAnsi="Arial" w:cs="Arial"/>
          <w:sz w:val="24"/>
          <w:szCs w:val="24"/>
          <w:lang w:val="en-ZA"/>
        </w:rPr>
        <w:t xml:space="preserve"> </w:t>
      </w:r>
      <w:r w:rsidR="00CD31EF">
        <w:rPr>
          <w:rFonts w:ascii="Arial" w:hAnsi="Arial" w:cs="Arial"/>
          <w:sz w:val="24"/>
          <w:szCs w:val="24"/>
          <w:lang w:val="en-ZA"/>
        </w:rPr>
        <w:t>applicants’ obligations to the respondent.</w:t>
      </w:r>
      <w:r>
        <w:rPr>
          <w:rFonts w:ascii="Arial" w:hAnsi="Arial" w:cs="Arial"/>
          <w:sz w:val="24"/>
          <w:szCs w:val="24"/>
          <w:lang w:val="en-ZA"/>
        </w:rPr>
        <w:t xml:space="preserve"> The point </w:t>
      </w:r>
      <w:r w:rsidR="00526742">
        <w:rPr>
          <w:rFonts w:ascii="Arial" w:hAnsi="Arial" w:cs="Arial"/>
          <w:sz w:val="24"/>
          <w:szCs w:val="24"/>
          <w:lang w:val="en-ZA"/>
        </w:rPr>
        <w:t>has no prospects of succeeding</w:t>
      </w:r>
      <w:r>
        <w:rPr>
          <w:rFonts w:ascii="Arial" w:hAnsi="Arial" w:cs="Arial"/>
          <w:sz w:val="24"/>
          <w:szCs w:val="24"/>
          <w:lang w:val="en-ZA"/>
        </w:rPr>
        <w:t>.</w:t>
      </w:r>
    </w:p>
    <w:p w14:paraId="6E499050" w14:textId="77777777" w:rsidR="00535863" w:rsidRPr="00535863" w:rsidRDefault="00535863" w:rsidP="00526742">
      <w:pPr>
        <w:pStyle w:val="ListParagraph"/>
        <w:spacing w:after="0" w:line="360" w:lineRule="auto"/>
        <w:rPr>
          <w:rFonts w:ascii="Arial" w:hAnsi="Arial" w:cs="Arial"/>
          <w:sz w:val="24"/>
          <w:szCs w:val="24"/>
          <w:lang w:val="en-ZA"/>
        </w:rPr>
      </w:pPr>
    </w:p>
    <w:p w14:paraId="3D3D4B30" w14:textId="63F1FDBE" w:rsidR="00C87077"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r>
      <w:r w:rsidR="00C87077" w:rsidRPr="00B71AEE">
        <w:rPr>
          <w:rFonts w:ascii="Arial" w:hAnsi="Arial" w:cs="Arial"/>
          <w:sz w:val="24"/>
          <w:szCs w:val="24"/>
          <w:lang w:val="en-ZA"/>
        </w:rPr>
        <w:t>After a thorough consideration of the grounds upon which leave to appeal is sought</w:t>
      </w:r>
      <w:r w:rsidR="00526742" w:rsidRPr="00B71AEE">
        <w:rPr>
          <w:rFonts w:ascii="Arial" w:hAnsi="Arial" w:cs="Arial"/>
          <w:sz w:val="24"/>
          <w:szCs w:val="24"/>
          <w:lang w:val="en-ZA"/>
        </w:rPr>
        <w:t>,</w:t>
      </w:r>
      <w:r w:rsidR="00C87077" w:rsidRPr="00B71AEE">
        <w:rPr>
          <w:rFonts w:ascii="Arial" w:hAnsi="Arial" w:cs="Arial"/>
          <w:sz w:val="24"/>
          <w:szCs w:val="24"/>
          <w:lang w:val="en-ZA"/>
        </w:rPr>
        <w:t xml:space="preserve"> I remain unpersuaded that there are </w:t>
      </w:r>
      <w:r w:rsidR="0032058B" w:rsidRPr="00B71AEE">
        <w:rPr>
          <w:rFonts w:ascii="Arial" w:hAnsi="Arial" w:cs="Arial"/>
          <w:sz w:val="24"/>
          <w:szCs w:val="24"/>
          <w:lang w:val="en-ZA"/>
        </w:rPr>
        <w:t xml:space="preserve">reasonable prospects that another court would come to a different conclusion than the one to which I came, this being particularly so </w:t>
      </w:r>
      <w:r w:rsidR="00C87077" w:rsidRPr="00B71AEE">
        <w:rPr>
          <w:rFonts w:ascii="Arial" w:hAnsi="Arial" w:cs="Arial"/>
          <w:sz w:val="24"/>
          <w:szCs w:val="24"/>
          <w:lang w:val="en-ZA"/>
        </w:rPr>
        <w:t>given the facts that I found to be established and given the increased threshold that applications for leave to appeal now face.</w:t>
      </w:r>
    </w:p>
    <w:p w14:paraId="658207F2" w14:textId="77777777" w:rsidR="00535863" w:rsidRPr="00535863" w:rsidRDefault="00535863" w:rsidP="00526742">
      <w:pPr>
        <w:pStyle w:val="ListParagraph"/>
        <w:spacing w:after="0" w:line="360" w:lineRule="auto"/>
        <w:rPr>
          <w:rFonts w:ascii="Arial" w:hAnsi="Arial" w:cs="Arial"/>
          <w:sz w:val="24"/>
          <w:szCs w:val="24"/>
          <w:lang w:val="en-ZA"/>
        </w:rPr>
      </w:pPr>
    </w:p>
    <w:p w14:paraId="0E2A4DFA" w14:textId="40F8936A" w:rsidR="00F25EFC" w:rsidRPr="00B71AEE" w:rsidRDefault="00B71AEE" w:rsidP="00B71AEE">
      <w:pPr>
        <w:tabs>
          <w:tab w:val="left" w:pos="709"/>
          <w:tab w:val="left" w:pos="1418"/>
        </w:tabs>
        <w:spacing w:after="0" w:line="360" w:lineRule="auto"/>
        <w:jc w:val="both"/>
        <w:rPr>
          <w:rFonts w:ascii="Arial" w:hAnsi="Arial" w:cs="Arial"/>
          <w:sz w:val="24"/>
          <w:szCs w:val="24"/>
          <w:lang w:val="en-ZA"/>
        </w:rPr>
      </w:pPr>
      <w:r w:rsidRPr="00526742">
        <w:rPr>
          <w:rFonts w:ascii="Arial" w:hAnsi="Arial" w:cs="Arial"/>
          <w:sz w:val="24"/>
          <w:szCs w:val="24"/>
          <w:lang w:val="en-ZA"/>
        </w:rPr>
        <w:t>[11]</w:t>
      </w:r>
      <w:r w:rsidRPr="00526742">
        <w:rPr>
          <w:rFonts w:ascii="Arial" w:hAnsi="Arial" w:cs="Arial"/>
          <w:sz w:val="24"/>
          <w:szCs w:val="24"/>
          <w:lang w:val="en-ZA"/>
        </w:rPr>
        <w:tab/>
      </w:r>
      <w:r w:rsidR="00F25EFC" w:rsidRPr="00B71AEE">
        <w:rPr>
          <w:rFonts w:ascii="Arial" w:hAnsi="Arial" w:cs="Arial"/>
          <w:sz w:val="24"/>
          <w:szCs w:val="24"/>
        </w:rPr>
        <w:t>The purpose behind requiring litigants to obtain leave to appeal</w:t>
      </w:r>
      <w:r w:rsidR="0032058B" w:rsidRPr="00B71AEE">
        <w:rPr>
          <w:rFonts w:ascii="Arial" w:hAnsi="Arial" w:cs="Arial"/>
          <w:sz w:val="24"/>
          <w:szCs w:val="24"/>
        </w:rPr>
        <w:t xml:space="preserve"> and not simply allowing a</w:t>
      </w:r>
      <w:r w:rsidR="00526742" w:rsidRPr="00B71AEE">
        <w:rPr>
          <w:rFonts w:ascii="Arial" w:hAnsi="Arial" w:cs="Arial"/>
          <w:sz w:val="24"/>
          <w:szCs w:val="24"/>
        </w:rPr>
        <w:t>n automatic</w:t>
      </w:r>
      <w:r w:rsidR="0032058B" w:rsidRPr="00B71AEE">
        <w:rPr>
          <w:rFonts w:ascii="Arial" w:hAnsi="Arial" w:cs="Arial"/>
          <w:sz w:val="24"/>
          <w:szCs w:val="24"/>
        </w:rPr>
        <w:t xml:space="preserve"> right of appeal to exist in every matter</w:t>
      </w:r>
      <w:r w:rsidR="00F25EFC" w:rsidRPr="00B71AEE">
        <w:rPr>
          <w:rFonts w:ascii="Arial" w:hAnsi="Arial" w:cs="Arial"/>
          <w:sz w:val="24"/>
          <w:szCs w:val="24"/>
        </w:rPr>
        <w:t xml:space="preserve"> was set out in the matter </w:t>
      </w:r>
      <w:r w:rsidR="00F25EFC" w:rsidRPr="00B71AEE">
        <w:rPr>
          <w:rFonts w:ascii="Arial" w:hAnsi="Arial" w:cs="Arial"/>
          <w:sz w:val="24"/>
          <w:szCs w:val="24"/>
        </w:rPr>
        <w:lastRenderedPageBreak/>
        <w:t xml:space="preserve">of </w:t>
      </w:r>
      <w:r w:rsidR="00F25EFC" w:rsidRPr="00B71AEE">
        <w:rPr>
          <w:rFonts w:ascii="Arial" w:hAnsi="Arial" w:cs="Arial"/>
          <w:i/>
          <w:iCs/>
          <w:color w:val="000000"/>
          <w:sz w:val="24"/>
          <w:szCs w:val="24"/>
          <w:shd w:val="clear" w:color="auto" w:fill="FFFFFF"/>
        </w:rPr>
        <w:t>Dexgroup (Pty) Ltd v Trustco Group International (Pty) Ltd,</w:t>
      </w:r>
      <w:r w:rsidR="00F25EFC" w:rsidRPr="00526742">
        <w:rPr>
          <w:rStyle w:val="FootnoteReference"/>
          <w:rFonts w:ascii="Arial" w:hAnsi="Arial" w:cs="Arial"/>
          <w:iCs/>
          <w:color w:val="000000"/>
          <w:sz w:val="24"/>
          <w:szCs w:val="24"/>
          <w:shd w:val="clear" w:color="auto" w:fill="FFFFFF"/>
        </w:rPr>
        <w:footnoteReference w:id="4"/>
      </w:r>
      <w:r w:rsidR="00F25EFC" w:rsidRPr="00B71AEE">
        <w:rPr>
          <w:rFonts w:ascii="Arial" w:hAnsi="Arial" w:cs="Arial"/>
          <w:color w:val="242121"/>
          <w:sz w:val="24"/>
          <w:szCs w:val="24"/>
        </w:rPr>
        <w:t xml:space="preserve"> where Wallis JA said that:</w:t>
      </w:r>
    </w:p>
    <w:p w14:paraId="07FE2805" w14:textId="611D4128" w:rsidR="00F25EFC" w:rsidRDefault="00F25EFC" w:rsidP="00171C8A">
      <w:pPr>
        <w:pStyle w:val="NormalWeb"/>
        <w:shd w:val="clear" w:color="auto" w:fill="FFFFFF"/>
        <w:tabs>
          <w:tab w:val="left" w:pos="709"/>
        </w:tabs>
        <w:spacing w:before="0" w:beforeAutospacing="0" w:after="0" w:afterAutospacing="0" w:line="360" w:lineRule="auto"/>
        <w:jc w:val="both"/>
        <w:rPr>
          <w:rFonts w:ascii="Arial" w:hAnsi="Arial" w:cs="Arial"/>
          <w:iCs/>
          <w:color w:val="000000"/>
          <w:sz w:val="22"/>
          <w:szCs w:val="22"/>
          <w:shd w:val="clear" w:color="auto" w:fill="FFFFFF"/>
        </w:rPr>
      </w:pPr>
      <w:r>
        <w:rPr>
          <w:rFonts w:ascii="Arial" w:hAnsi="Arial" w:cs="Arial"/>
          <w:iCs/>
          <w:color w:val="000000"/>
          <w:sz w:val="22"/>
          <w:szCs w:val="22"/>
        </w:rPr>
        <w:t>‘</w:t>
      </w:r>
      <w:r w:rsidRPr="00876F9C">
        <w:rPr>
          <w:rFonts w:ascii="Arial" w:hAnsi="Arial" w:cs="Arial"/>
          <w:iCs/>
          <w:color w:val="000000"/>
          <w:sz w:val="22"/>
          <w:szCs w:val="22"/>
        </w:rPr>
        <w:t>T</w:t>
      </w:r>
      <w:r w:rsidRPr="00876F9C">
        <w:rPr>
          <w:rFonts w:ascii="Arial" w:hAnsi="Arial" w:cs="Arial"/>
          <w:iCs/>
          <w:color w:val="000000"/>
          <w:sz w:val="22"/>
          <w:szCs w:val="22"/>
          <w:shd w:val="clear" w:color="auto" w:fill="FFFFFF"/>
        </w:rPr>
        <w:t>he need to obtain leave to appeal is a valuable tool in ensuring that scarce judicial resources are not sp</w:t>
      </w:r>
      <w:r>
        <w:rPr>
          <w:rFonts w:ascii="Arial" w:hAnsi="Arial" w:cs="Arial"/>
          <w:iCs/>
          <w:color w:val="000000"/>
          <w:sz w:val="22"/>
          <w:szCs w:val="22"/>
          <w:shd w:val="clear" w:color="auto" w:fill="FFFFFF"/>
        </w:rPr>
        <w:t>ent on appeals that lack merit.’</w:t>
      </w:r>
    </w:p>
    <w:p w14:paraId="3A598F12" w14:textId="77777777" w:rsidR="00765726" w:rsidRDefault="00765726" w:rsidP="00171C8A">
      <w:pPr>
        <w:pStyle w:val="NormalWeb"/>
        <w:shd w:val="clear" w:color="auto" w:fill="FFFFFF"/>
        <w:tabs>
          <w:tab w:val="left" w:pos="709"/>
        </w:tabs>
        <w:spacing w:before="0" w:beforeAutospacing="0" w:after="0" w:afterAutospacing="0" w:line="360" w:lineRule="auto"/>
        <w:jc w:val="both"/>
        <w:rPr>
          <w:rFonts w:ascii="Arial" w:hAnsi="Arial" w:cs="Arial"/>
          <w:iCs/>
          <w:color w:val="000000"/>
          <w:sz w:val="22"/>
          <w:szCs w:val="22"/>
          <w:shd w:val="clear" w:color="auto" w:fill="FFFFFF"/>
        </w:rPr>
      </w:pPr>
    </w:p>
    <w:p w14:paraId="3BB8553C" w14:textId="301CB161" w:rsidR="0032058B"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C87077" w:rsidRPr="00B71AEE">
        <w:rPr>
          <w:rFonts w:ascii="Arial" w:hAnsi="Arial" w:cs="Arial"/>
          <w:sz w:val="24"/>
          <w:szCs w:val="24"/>
          <w:lang w:val="en-ZA"/>
        </w:rPr>
        <w:t xml:space="preserve">In my view, </w:t>
      </w:r>
      <w:r w:rsidR="0032058B" w:rsidRPr="00B71AEE">
        <w:rPr>
          <w:rFonts w:ascii="Arial" w:hAnsi="Arial" w:cs="Arial"/>
          <w:sz w:val="24"/>
          <w:szCs w:val="24"/>
          <w:lang w:val="en-ZA"/>
        </w:rPr>
        <w:t>if leave to appeal were to be granted in this matter, the appeal would fall within the classification described by Wallis JA.</w:t>
      </w:r>
    </w:p>
    <w:p w14:paraId="364FD153" w14:textId="62AA5629" w:rsidR="00171C8A" w:rsidRDefault="0032058B" w:rsidP="0032058B">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 xml:space="preserve"> </w:t>
      </w:r>
    </w:p>
    <w:p w14:paraId="0C4FB58C" w14:textId="2AD54B3D" w:rsidR="00171C8A" w:rsidRPr="00B71AEE" w:rsidRDefault="00B71AEE" w:rsidP="00B71AEE">
      <w:pPr>
        <w:tabs>
          <w:tab w:val="left" w:pos="709"/>
          <w:tab w:val="left" w:pos="1418"/>
        </w:tabs>
        <w:spacing w:after="0" w:line="360" w:lineRule="auto"/>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171C8A" w:rsidRPr="00B71AEE">
        <w:rPr>
          <w:rFonts w:ascii="Arial" w:hAnsi="Arial" w:cs="Arial"/>
          <w:sz w:val="24"/>
          <w:szCs w:val="24"/>
          <w:lang w:val="en-ZA"/>
        </w:rPr>
        <w:t xml:space="preserve">I accordingly </w:t>
      </w:r>
      <w:r w:rsidR="00F71B85" w:rsidRPr="00B71AEE">
        <w:rPr>
          <w:rFonts w:ascii="Arial" w:hAnsi="Arial" w:cs="Arial"/>
          <w:sz w:val="24"/>
          <w:szCs w:val="24"/>
          <w:lang w:val="en-ZA"/>
        </w:rPr>
        <w:t>make</w:t>
      </w:r>
      <w:r w:rsidR="00171C8A" w:rsidRPr="00B71AEE">
        <w:rPr>
          <w:rFonts w:ascii="Arial" w:hAnsi="Arial" w:cs="Arial"/>
          <w:sz w:val="24"/>
          <w:szCs w:val="24"/>
          <w:lang w:val="en-ZA"/>
        </w:rPr>
        <w:t xml:space="preserve"> the following order:</w:t>
      </w:r>
    </w:p>
    <w:p w14:paraId="502F60E2" w14:textId="77777777" w:rsidR="00171C8A" w:rsidRPr="00171C8A" w:rsidRDefault="00171C8A" w:rsidP="00C87077">
      <w:pPr>
        <w:pStyle w:val="ListParagraph"/>
        <w:spacing w:after="0" w:line="360" w:lineRule="auto"/>
        <w:rPr>
          <w:rFonts w:ascii="Arial" w:hAnsi="Arial" w:cs="Arial"/>
          <w:sz w:val="24"/>
          <w:szCs w:val="24"/>
          <w:lang w:val="en-ZA"/>
        </w:rPr>
      </w:pPr>
    </w:p>
    <w:p w14:paraId="66E878C2" w14:textId="025C098F" w:rsidR="00171C8A" w:rsidRPr="00D90BC2" w:rsidRDefault="00171C8A" w:rsidP="00C87077">
      <w:pPr>
        <w:pStyle w:val="ListParagraph"/>
        <w:tabs>
          <w:tab w:val="left" w:pos="709"/>
          <w:tab w:val="left" w:pos="1418"/>
        </w:tabs>
        <w:spacing w:after="0" w:line="360" w:lineRule="auto"/>
        <w:ind w:left="0"/>
        <w:jc w:val="both"/>
        <w:rPr>
          <w:rFonts w:ascii="Arial" w:hAnsi="Arial" w:cs="Arial"/>
          <w:sz w:val="24"/>
          <w:szCs w:val="24"/>
          <w:lang w:val="en-ZA"/>
        </w:rPr>
      </w:pPr>
      <w:r>
        <w:rPr>
          <w:rFonts w:ascii="Arial" w:hAnsi="Arial" w:cs="Arial"/>
          <w:sz w:val="24"/>
          <w:szCs w:val="24"/>
          <w:lang w:val="en-ZA"/>
        </w:rPr>
        <w:t>The application for leave to appeal is dismissed with costs.</w:t>
      </w:r>
    </w:p>
    <w:p w14:paraId="426FFC4E" w14:textId="07AB9586" w:rsidR="00E43B3D" w:rsidRDefault="00E43B3D" w:rsidP="00171C8A">
      <w:pPr>
        <w:tabs>
          <w:tab w:val="left" w:pos="1418"/>
        </w:tabs>
        <w:spacing w:after="0" w:line="360" w:lineRule="auto"/>
        <w:jc w:val="both"/>
        <w:rPr>
          <w:rFonts w:ascii="Arial" w:hAnsi="Arial" w:cs="Arial"/>
          <w:sz w:val="24"/>
          <w:szCs w:val="24"/>
          <w:lang w:val="en-ZA"/>
        </w:rPr>
      </w:pPr>
    </w:p>
    <w:p w14:paraId="5C93F179" w14:textId="0BCC95FB" w:rsidR="00F66B69" w:rsidRDefault="00F66B69" w:rsidP="000007E9">
      <w:pPr>
        <w:tabs>
          <w:tab w:val="left" w:pos="1418"/>
        </w:tabs>
        <w:spacing w:after="0" w:line="360" w:lineRule="auto"/>
        <w:jc w:val="both"/>
        <w:rPr>
          <w:rFonts w:ascii="Arial" w:hAnsi="Arial" w:cs="Arial"/>
          <w:sz w:val="24"/>
          <w:szCs w:val="24"/>
          <w:lang w:val="en-ZA"/>
        </w:rPr>
      </w:pPr>
    </w:p>
    <w:p w14:paraId="3B5A649F" w14:textId="13E27CE0" w:rsidR="00171C8A" w:rsidRDefault="00171C8A" w:rsidP="000007E9">
      <w:pPr>
        <w:tabs>
          <w:tab w:val="left" w:pos="1418"/>
        </w:tabs>
        <w:spacing w:after="0" w:line="360" w:lineRule="auto"/>
        <w:jc w:val="both"/>
        <w:rPr>
          <w:rFonts w:ascii="Arial" w:hAnsi="Arial" w:cs="Arial"/>
          <w:sz w:val="24"/>
          <w:szCs w:val="24"/>
          <w:lang w:val="en-ZA"/>
        </w:rPr>
      </w:pPr>
    </w:p>
    <w:p w14:paraId="72DD598A" w14:textId="09E1FF7D" w:rsidR="00171C8A" w:rsidRDefault="00171C8A" w:rsidP="000007E9">
      <w:pPr>
        <w:tabs>
          <w:tab w:val="left" w:pos="1418"/>
        </w:tabs>
        <w:spacing w:after="0" w:line="360" w:lineRule="auto"/>
        <w:jc w:val="both"/>
        <w:rPr>
          <w:rFonts w:ascii="Arial" w:hAnsi="Arial" w:cs="Arial"/>
          <w:sz w:val="24"/>
          <w:szCs w:val="24"/>
          <w:lang w:val="en-ZA"/>
        </w:rPr>
      </w:pPr>
    </w:p>
    <w:p w14:paraId="477631BA" w14:textId="4E484D14" w:rsidR="00171C8A" w:rsidRPr="00D90BC2" w:rsidRDefault="00171C8A" w:rsidP="000007E9">
      <w:pPr>
        <w:tabs>
          <w:tab w:val="left" w:pos="1418"/>
        </w:tabs>
        <w:spacing w:after="0" w:line="360" w:lineRule="auto"/>
        <w:jc w:val="both"/>
        <w:rPr>
          <w:rFonts w:ascii="Arial" w:hAnsi="Arial" w:cs="Arial"/>
          <w:sz w:val="24"/>
          <w:szCs w:val="24"/>
          <w:lang w:val="en-ZA"/>
        </w:rPr>
      </w:pPr>
    </w:p>
    <w:p w14:paraId="5D2F0218" w14:textId="46C1E463" w:rsidR="008213B2" w:rsidRPr="00D90BC2" w:rsidRDefault="00526742" w:rsidP="000007E9">
      <w:pPr>
        <w:tabs>
          <w:tab w:val="left" w:pos="1418"/>
        </w:tabs>
        <w:spacing w:after="0" w:line="360" w:lineRule="auto"/>
        <w:jc w:val="both"/>
        <w:rPr>
          <w:rFonts w:ascii="Arial" w:hAnsi="Arial" w:cs="Arial"/>
          <w:sz w:val="24"/>
          <w:szCs w:val="24"/>
          <w:lang w:val="en-ZA"/>
        </w:rPr>
      </w:pPr>
      <w:r>
        <w:rPr>
          <w:rFonts w:ascii="Arial" w:hAnsi="Arial" w:cs="Arial"/>
          <w:noProof/>
          <w:lang w:val="en-ZA" w:eastAsia="en-ZA"/>
        </w:rPr>
        <w:drawing>
          <wp:anchor distT="0" distB="0" distL="114300" distR="114300" simplePos="0" relativeHeight="251659264" behindDoc="1" locked="0" layoutInCell="1" allowOverlap="1" wp14:anchorId="7F5B18B7" wp14:editId="3918DF9A">
            <wp:simplePos x="0" y="0"/>
            <wp:positionH relativeFrom="margin">
              <wp:align>right</wp:align>
            </wp:positionH>
            <wp:positionV relativeFrom="paragraph">
              <wp:posOffset>7620</wp:posOffset>
            </wp:positionV>
            <wp:extent cx="2026285"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22421" t="71602" r="42186" b="21655"/>
                    <a:stretch/>
                  </pic:blipFill>
                  <pic:spPr bwMode="auto">
                    <a:xfrm>
                      <a:off x="0" y="0"/>
                      <a:ext cx="202628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7030AD" w14:textId="77777777" w:rsidR="0003659C" w:rsidRPr="00D90BC2" w:rsidRDefault="0003659C" w:rsidP="0003659C">
      <w:pPr>
        <w:tabs>
          <w:tab w:val="left" w:pos="1418"/>
        </w:tabs>
        <w:spacing w:after="0" w:line="360" w:lineRule="auto"/>
        <w:jc w:val="right"/>
        <w:rPr>
          <w:rFonts w:ascii="Arial" w:hAnsi="Arial" w:cs="Arial"/>
          <w:sz w:val="24"/>
          <w:szCs w:val="24"/>
          <w:lang w:val="en-ZA"/>
        </w:rPr>
      </w:pPr>
      <w:r w:rsidRPr="00D90BC2">
        <w:rPr>
          <w:rFonts w:ascii="Arial" w:hAnsi="Arial" w:cs="Arial"/>
          <w:sz w:val="24"/>
          <w:szCs w:val="24"/>
          <w:lang w:val="en-ZA"/>
        </w:rPr>
        <w:t>__________________________</w:t>
      </w:r>
    </w:p>
    <w:p w14:paraId="3E085482" w14:textId="77777777" w:rsidR="0003659C" w:rsidRPr="00D90BC2" w:rsidRDefault="0003659C" w:rsidP="0003659C">
      <w:pPr>
        <w:tabs>
          <w:tab w:val="left" w:pos="1418"/>
        </w:tabs>
        <w:spacing w:after="0" w:line="360" w:lineRule="auto"/>
        <w:jc w:val="right"/>
        <w:rPr>
          <w:rFonts w:ascii="Arial" w:hAnsi="Arial" w:cs="Arial"/>
          <w:sz w:val="24"/>
          <w:szCs w:val="24"/>
          <w:lang w:val="en-ZA"/>
        </w:rPr>
      </w:pPr>
    </w:p>
    <w:p w14:paraId="609EDC36" w14:textId="77777777" w:rsidR="0003659C" w:rsidRPr="00D90BC2" w:rsidRDefault="0003659C" w:rsidP="0003659C">
      <w:pPr>
        <w:tabs>
          <w:tab w:val="left" w:pos="1418"/>
        </w:tabs>
        <w:spacing w:after="0" w:line="360" w:lineRule="auto"/>
        <w:jc w:val="right"/>
        <w:rPr>
          <w:rFonts w:ascii="Arial" w:hAnsi="Arial" w:cs="Arial"/>
          <w:b/>
          <w:bCs/>
          <w:sz w:val="24"/>
          <w:szCs w:val="24"/>
          <w:lang w:val="en-ZA"/>
        </w:rPr>
      </w:pPr>
      <w:r w:rsidRPr="00D90BC2">
        <w:rPr>
          <w:rFonts w:ascii="Arial" w:hAnsi="Arial" w:cs="Arial"/>
          <w:b/>
          <w:bCs/>
          <w:sz w:val="24"/>
          <w:szCs w:val="24"/>
          <w:lang w:val="en-ZA"/>
        </w:rPr>
        <w:t>MOSSOP J</w:t>
      </w:r>
    </w:p>
    <w:p w14:paraId="2DE16C8D" w14:textId="77777777" w:rsidR="00F66B69" w:rsidRDefault="00F66B69" w:rsidP="00D53F40">
      <w:pPr>
        <w:spacing w:line="360" w:lineRule="auto"/>
        <w:jc w:val="center"/>
        <w:rPr>
          <w:rFonts w:ascii="Arial" w:eastAsia="Calibri" w:hAnsi="Arial" w:cs="Arial"/>
          <w:b/>
          <w:u w:val="single"/>
          <w:lang w:val="en-ZA"/>
        </w:rPr>
      </w:pPr>
    </w:p>
    <w:p w14:paraId="0D9134CE" w14:textId="77777777" w:rsidR="00F66B69" w:rsidRDefault="00F66B69" w:rsidP="00D53F40">
      <w:pPr>
        <w:spacing w:line="360" w:lineRule="auto"/>
        <w:jc w:val="center"/>
        <w:rPr>
          <w:rFonts w:ascii="Arial" w:eastAsia="Calibri" w:hAnsi="Arial" w:cs="Arial"/>
          <w:b/>
          <w:u w:val="single"/>
          <w:lang w:val="en-ZA"/>
        </w:rPr>
      </w:pPr>
    </w:p>
    <w:p w14:paraId="11D9B0C3" w14:textId="7B8897C5" w:rsidR="00F66B69" w:rsidRDefault="00F66B69" w:rsidP="00D53F40">
      <w:pPr>
        <w:spacing w:line="360" w:lineRule="auto"/>
        <w:jc w:val="center"/>
        <w:rPr>
          <w:rFonts w:ascii="Arial" w:eastAsia="Calibri" w:hAnsi="Arial" w:cs="Arial"/>
          <w:b/>
          <w:u w:val="single"/>
          <w:lang w:val="en-ZA"/>
        </w:rPr>
      </w:pPr>
    </w:p>
    <w:p w14:paraId="423367BD" w14:textId="5735BA90" w:rsidR="00193E57" w:rsidRDefault="00193E57" w:rsidP="00D53F40">
      <w:pPr>
        <w:spacing w:line="360" w:lineRule="auto"/>
        <w:jc w:val="center"/>
        <w:rPr>
          <w:rFonts w:ascii="Arial" w:eastAsia="Calibri" w:hAnsi="Arial" w:cs="Arial"/>
          <w:b/>
          <w:u w:val="single"/>
          <w:lang w:val="en-ZA"/>
        </w:rPr>
      </w:pPr>
    </w:p>
    <w:p w14:paraId="43431342" w14:textId="22987900" w:rsidR="00193E57" w:rsidRDefault="00193E57" w:rsidP="00D53F40">
      <w:pPr>
        <w:spacing w:line="360" w:lineRule="auto"/>
        <w:jc w:val="center"/>
        <w:rPr>
          <w:rFonts w:ascii="Arial" w:eastAsia="Calibri" w:hAnsi="Arial" w:cs="Arial"/>
          <w:b/>
          <w:u w:val="single"/>
          <w:lang w:val="en-ZA"/>
        </w:rPr>
      </w:pPr>
    </w:p>
    <w:p w14:paraId="4E66AB79" w14:textId="59B6391C" w:rsidR="00193E57" w:rsidRDefault="00193E57" w:rsidP="00D53F40">
      <w:pPr>
        <w:spacing w:line="360" w:lineRule="auto"/>
        <w:jc w:val="center"/>
        <w:rPr>
          <w:rFonts w:ascii="Arial" w:eastAsia="Calibri" w:hAnsi="Arial" w:cs="Arial"/>
          <w:b/>
          <w:u w:val="single"/>
          <w:lang w:val="en-ZA"/>
        </w:rPr>
      </w:pPr>
    </w:p>
    <w:p w14:paraId="3EB9C150" w14:textId="2DD3E10A" w:rsidR="00193E57" w:rsidRDefault="00193E57" w:rsidP="00D53F40">
      <w:pPr>
        <w:spacing w:line="360" w:lineRule="auto"/>
        <w:jc w:val="center"/>
        <w:rPr>
          <w:rFonts w:ascii="Arial" w:eastAsia="Calibri" w:hAnsi="Arial" w:cs="Arial"/>
          <w:b/>
          <w:u w:val="single"/>
          <w:lang w:val="en-ZA"/>
        </w:rPr>
      </w:pPr>
    </w:p>
    <w:p w14:paraId="346D07DD" w14:textId="4161A454" w:rsidR="00193E57" w:rsidRDefault="00193E57" w:rsidP="00D53F40">
      <w:pPr>
        <w:spacing w:line="360" w:lineRule="auto"/>
        <w:jc w:val="center"/>
        <w:rPr>
          <w:rFonts w:ascii="Arial" w:eastAsia="Calibri" w:hAnsi="Arial" w:cs="Arial"/>
          <w:b/>
          <w:u w:val="single"/>
          <w:lang w:val="en-ZA"/>
        </w:rPr>
      </w:pPr>
    </w:p>
    <w:p w14:paraId="59E9F3F2" w14:textId="65603261" w:rsidR="00193E57" w:rsidRDefault="00193E57" w:rsidP="00D53F40">
      <w:pPr>
        <w:spacing w:line="360" w:lineRule="auto"/>
        <w:jc w:val="center"/>
        <w:rPr>
          <w:rFonts w:ascii="Arial" w:eastAsia="Calibri" w:hAnsi="Arial" w:cs="Arial"/>
          <w:b/>
          <w:u w:val="single"/>
          <w:lang w:val="en-ZA"/>
        </w:rPr>
      </w:pPr>
    </w:p>
    <w:p w14:paraId="419F9F11" w14:textId="259BBE37" w:rsidR="00D53F40" w:rsidRPr="00D90BC2" w:rsidRDefault="00A66FD8" w:rsidP="00D53F40">
      <w:pPr>
        <w:spacing w:line="360" w:lineRule="auto"/>
        <w:jc w:val="center"/>
        <w:rPr>
          <w:rFonts w:ascii="Arial" w:eastAsia="Calibri" w:hAnsi="Arial" w:cs="Arial"/>
          <w:b/>
          <w:u w:val="single"/>
          <w:lang w:val="en-ZA"/>
        </w:rPr>
      </w:pPr>
      <w:r>
        <w:rPr>
          <w:rFonts w:ascii="Arial" w:eastAsia="Calibri" w:hAnsi="Arial" w:cs="Arial"/>
          <w:b/>
          <w:u w:val="single"/>
          <w:lang w:val="en-ZA"/>
        </w:rPr>
        <w:lastRenderedPageBreak/>
        <w:t>A</w:t>
      </w:r>
      <w:r w:rsidR="00D53F40" w:rsidRPr="00D90BC2">
        <w:rPr>
          <w:rFonts w:ascii="Arial" w:eastAsia="Calibri" w:hAnsi="Arial" w:cs="Arial"/>
          <w:b/>
          <w:u w:val="single"/>
          <w:lang w:val="en-ZA"/>
        </w:rPr>
        <w:t>PPEARANCES</w:t>
      </w:r>
    </w:p>
    <w:p w14:paraId="23A62C77" w14:textId="77777777" w:rsidR="00D53F40" w:rsidRPr="00D90BC2" w:rsidRDefault="00D53F40" w:rsidP="00D53F40">
      <w:pPr>
        <w:spacing w:line="360" w:lineRule="auto"/>
        <w:jc w:val="center"/>
        <w:rPr>
          <w:rFonts w:ascii="Arial" w:eastAsia="Calibri" w:hAnsi="Arial" w:cs="Arial"/>
          <w:b/>
          <w:u w:val="single"/>
          <w:lang w:val="en-ZA"/>
        </w:rPr>
      </w:pPr>
    </w:p>
    <w:p w14:paraId="24E9E37F" w14:textId="77777777" w:rsidR="00D53F40" w:rsidRPr="00D90BC2" w:rsidRDefault="00D53F40" w:rsidP="00D53F40">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 xml:space="preserve"> </w:t>
      </w:r>
    </w:p>
    <w:p w14:paraId="3BC93995" w14:textId="77777777" w:rsidR="00F67EE5" w:rsidRPr="00D90BC2" w:rsidRDefault="00D53F40" w:rsidP="00D53F40">
      <w:pPr>
        <w:spacing w:after="0" w:line="360" w:lineRule="auto"/>
        <w:jc w:val="both"/>
        <w:rPr>
          <w:rFonts w:ascii="Arial" w:hAnsi="Arial" w:cs="Arial"/>
          <w:lang w:val="en-ZA"/>
        </w:rPr>
      </w:pPr>
      <w:r w:rsidRPr="00D90BC2">
        <w:rPr>
          <w:rFonts w:ascii="Arial" w:hAnsi="Arial" w:cs="Arial"/>
          <w:lang w:val="en-ZA"/>
        </w:rPr>
        <w:t xml:space="preserve">Counsel for the </w:t>
      </w:r>
      <w:r w:rsidR="00965280" w:rsidRPr="00D90BC2">
        <w:rPr>
          <w:rFonts w:ascii="Arial" w:hAnsi="Arial" w:cs="Arial"/>
          <w:lang w:val="en-ZA"/>
        </w:rPr>
        <w:t>first and second</w:t>
      </w:r>
      <w:r w:rsidR="00965280" w:rsidRPr="00D90BC2">
        <w:rPr>
          <w:rFonts w:ascii="Arial" w:hAnsi="Arial" w:cs="Arial"/>
          <w:lang w:val="en-ZA"/>
        </w:rPr>
        <w:tab/>
        <w:t>:</w:t>
      </w:r>
      <w:r w:rsidR="00965280" w:rsidRPr="00D90BC2">
        <w:rPr>
          <w:rFonts w:ascii="Arial" w:hAnsi="Arial" w:cs="Arial"/>
          <w:lang w:val="en-ZA"/>
        </w:rPr>
        <w:tab/>
      </w:r>
      <w:r w:rsidR="00C86E89" w:rsidRPr="00D90BC2">
        <w:rPr>
          <w:rFonts w:ascii="Arial" w:hAnsi="Arial" w:cs="Arial"/>
          <w:lang w:val="en-ZA"/>
        </w:rPr>
        <w:t>Mr. T. Reddy</w:t>
      </w:r>
    </w:p>
    <w:p w14:paraId="31B2D6AE" w14:textId="60B8DE38" w:rsidR="00D53F40" w:rsidRPr="00D90BC2" w:rsidRDefault="0032058B" w:rsidP="00F67EE5">
      <w:pPr>
        <w:spacing w:after="0" w:line="360" w:lineRule="auto"/>
        <w:jc w:val="both"/>
        <w:rPr>
          <w:rFonts w:ascii="Arial" w:hAnsi="Arial" w:cs="Arial"/>
          <w:lang w:val="en-ZA"/>
        </w:rPr>
      </w:pPr>
      <w:r>
        <w:rPr>
          <w:rFonts w:ascii="Arial" w:hAnsi="Arial" w:cs="Arial"/>
          <w:lang w:val="en-ZA"/>
        </w:rPr>
        <w:t>applicants</w:t>
      </w:r>
      <w:r w:rsidR="00D53F40" w:rsidRPr="00D90BC2">
        <w:rPr>
          <w:rFonts w:ascii="Arial" w:hAnsi="Arial" w:cs="Arial"/>
          <w:lang w:val="en-ZA"/>
        </w:rPr>
        <w:tab/>
      </w:r>
      <w:r w:rsidR="00D53F40" w:rsidRPr="00D90BC2">
        <w:rPr>
          <w:rFonts w:ascii="Arial" w:hAnsi="Arial" w:cs="Arial"/>
          <w:lang w:val="en-ZA"/>
        </w:rPr>
        <w:tab/>
      </w:r>
      <w:r w:rsidR="00D53F40" w:rsidRPr="00D90BC2">
        <w:rPr>
          <w:rFonts w:ascii="Arial" w:hAnsi="Arial" w:cs="Arial"/>
          <w:lang w:val="en-ZA"/>
        </w:rPr>
        <w:tab/>
      </w:r>
    </w:p>
    <w:p w14:paraId="34E2AAFA" w14:textId="77777777" w:rsidR="00965280" w:rsidRPr="00D90BC2" w:rsidRDefault="00D53F40" w:rsidP="00C86E89">
      <w:pPr>
        <w:spacing w:after="0" w:line="360" w:lineRule="auto"/>
        <w:ind w:right="-82"/>
        <w:jc w:val="both"/>
        <w:rPr>
          <w:rFonts w:ascii="Arial" w:hAnsi="Arial" w:cs="Arial"/>
          <w:lang w:val="en-ZA"/>
        </w:rPr>
      </w:pPr>
      <w:r w:rsidRPr="00D90BC2">
        <w:rPr>
          <w:rFonts w:ascii="Arial" w:hAnsi="Arial" w:cs="Arial"/>
          <w:lang w:val="en-ZA"/>
        </w:rPr>
        <w:t>Instructed by</w:t>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w:t>
      </w:r>
      <w:r w:rsidRPr="00D90BC2">
        <w:rPr>
          <w:rFonts w:ascii="Arial" w:hAnsi="Arial" w:cs="Arial"/>
          <w:lang w:val="en-ZA"/>
        </w:rPr>
        <w:tab/>
      </w:r>
      <w:r w:rsidR="00C86E89" w:rsidRPr="00D90BC2">
        <w:rPr>
          <w:rFonts w:ascii="Arial" w:hAnsi="Arial" w:cs="Arial"/>
          <w:lang w:val="en-ZA"/>
        </w:rPr>
        <w:t>Manley Incorporated</w:t>
      </w:r>
    </w:p>
    <w:p w14:paraId="76C60385" w14:textId="77777777" w:rsidR="00C86E89" w:rsidRPr="00D90BC2" w:rsidRDefault="00C86E89" w:rsidP="00C86E89">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179 MacKenzie Street</w:t>
      </w:r>
    </w:p>
    <w:p w14:paraId="25820931" w14:textId="77777777" w:rsidR="00C86E89" w:rsidRPr="00D90BC2" w:rsidRDefault="00C86E89" w:rsidP="00C86E89">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Brooklyn</w:t>
      </w:r>
    </w:p>
    <w:p w14:paraId="08A76AA8" w14:textId="5C679557" w:rsidR="00C86E89" w:rsidRDefault="00C86E89" w:rsidP="00C86E89">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Pretoria</w:t>
      </w:r>
    </w:p>
    <w:p w14:paraId="0CD91E60" w14:textId="77777777" w:rsidR="0032058B" w:rsidRPr="00D90BC2" w:rsidRDefault="0032058B" w:rsidP="00C86E89">
      <w:pPr>
        <w:spacing w:after="0" w:line="360" w:lineRule="auto"/>
        <w:ind w:right="-82"/>
        <w:jc w:val="both"/>
        <w:rPr>
          <w:rFonts w:ascii="Arial" w:hAnsi="Arial" w:cs="Arial"/>
          <w:lang w:val="en-ZA"/>
        </w:rPr>
      </w:pPr>
    </w:p>
    <w:p w14:paraId="72AAC0CE" w14:textId="614F58B6" w:rsidR="0032058B" w:rsidRPr="00D90BC2" w:rsidRDefault="0032058B" w:rsidP="0032058B">
      <w:pPr>
        <w:spacing w:after="0" w:line="360" w:lineRule="auto"/>
        <w:ind w:right="-82"/>
        <w:jc w:val="both"/>
        <w:rPr>
          <w:rFonts w:ascii="Arial" w:hAnsi="Arial" w:cs="Arial"/>
          <w:lang w:val="en-ZA"/>
        </w:rPr>
      </w:pPr>
      <w:r w:rsidRPr="00D90BC2">
        <w:rPr>
          <w:rFonts w:ascii="Arial" w:hAnsi="Arial" w:cs="Arial"/>
          <w:lang w:val="en-ZA"/>
        </w:rPr>
        <w:t xml:space="preserve">Counsel for the </w:t>
      </w:r>
      <w:r>
        <w:rPr>
          <w:rFonts w:ascii="Arial" w:hAnsi="Arial" w:cs="Arial"/>
          <w:lang w:val="en-ZA"/>
        </w:rPr>
        <w:t>respondent</w:t>
      </w:r>
      <w:r w:rsidRPr="00D90BC2">
        <w:rPr>
          <w:rFonts w:ascii="Arial" w:hAnsi="Arial" w:cs="Arial"/>
          <w:lang w:val="en-ZA"/>
        </w:rPr>
        <w:tab/>
      </w:r>
      <w:r w:rsidRPr="00D90BC2">
        <w:rPr>
          <w:rFonts w:ascii="Arial" w:hAnsi="Arial" w:cs="Arial"/>
          <w:lang w:val="en-ZA"/>
        </w:rPr>
        <w:tab/>
        <w:t xml:space="preserve">:  </w:t>
      </w:r>
      <w:r w:rsidRPr="00D90BC2">
        <w:rPr>
          <w:rFonts w:ascii="Arial" w:hAnsi="Arial" w:cs="Arial"/>
          <w:lang w:val="en-ZA"/>
        </w:rPr>
        <w:tab/>
        <w:t xml:space="preserve">Mr. D. Schaup </w:t>
      </w:r>
    </w:p>
    <w:p w14:paraId="1BB384AB" w14:textId="77777777" w:rsidR="0032058B" w:rsidRPr="00D90BC2" w:rsidRDefault="0032058B" w:rsidP="0032058B">
      <w:pPr>
        <w:spacing w:after="0" w:line="360" w:lineRule="auto"/>
        <w:ind w:right="-82"/>
        <w:jc w:val="both"/>
        <w:rPr>
          <w:rFonts w:ascii="Arial" w:hAnsi="Arial" w:cs="Arial"/>
          <w:lang w:val="en-ZA"/>
        </w:rPr>
      </w:pPr>
      <w:r w:rsidRPr="00D90BC2">
        <w:rPr>
          <w:rFonts w:ascii="Arial" w:hAnsi="Arial" w:cs="Arial"/>
          <w:lang w:val="en-ZA"/>
        </w:rPr>
        <w:t>Instructed by:</w:t>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w:t>
      </w:r>
      <w:r w:rsidRPr="00D90BC2">
        <w:rPr>
          <w:rFonts w:ascii="Arial" w:hAnsi="Arial" w:cs="Arial"/>
          <w:lang w:val="en-ZA"/>
        </w:rPr>
        <w:tab/>
        <w:t>Cliffe Dekker Hofmeyer Incorporated</w:t>
      </w:r>
    </w:p>
    <w:p w14:paraId="50F541E7" w14:textId="77777777" w:rsidR="0032058B" w:rsidRPr="00D90BC2" w:rsidRDefault="0032058B" w:rsidP="0032058B">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8</w:t>
      </w:r>
      <w:r w:rsidRPr="00D90BC2">
        <w:rPr>
          <w:rFonts w:ascii="Arial" w:hAnsi="Arial" w:cs="Arial"/>
          <w:vertAlign w:val="superscript"/>
          <w:lang w:val="en-ZA"/>
        </w:rPr>
        <w:t>th</w:t>
      </w:r>
      <w:r w:rsidRPr="00D90BC2">
        <w:rPr>
          <w:rFonts w:ascii="Arial" w:hAnsi="Arial" w:cs="Arial"/>
          <w:lang w:val="en-ZA"/>
        </w:rPr>
        <w:t xml:space="preserve"> Floor, Cliffe Dekker Place</w:t>
      </w:r>
    </w:p>
    <w:p w14:paraId="6BEE1415" w14:textId="77777777" w:rsidR="0032058B" w:rsidRPr="00D90BC2" w:rsidRDefault="0032058B" w:rsidP="0032058B">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11 Buitengracht Street</w:t>
      </w:r>
    </w:p>
    <w:p w14:paraId="27854950" w14:textId="77777777" w:rsidR="0032058B" w:rsidRPr="00D90BC2" w:rsidRDefault="0032058B" w:rsidP="0032058B">
      <w:pPr>
        <w:spacing w:after="0" w:line="360" w:lineRule="auto"/>
        <w:ind w:right="-82"/>
        <w:jc w:val="both"/>
        <w:rPr>
          <w:rFonts w:ascii="Arial" w:hAnsi="Arial" w:cs="Arial"/>
          <w:lang w:val="en-ZA"/>
        </w:rPr>
      </w:pP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r>
      <w:r w:rsidRPr="00D90BC2">
        <w:rPr>
          <w:rFonts w:ascii="Arial" w:hAnsi="Arial" w:cs="Arial"/>
          <w:lang w:val="en-ZA"/>
        </w:rPr>
        <w:tab/>
        <w:t>Cape Town</w:t>
      </w:r>
    </w:p>
    <w:p w14:paraId="19B357F2" w14:textId="77777777" w:rsidR="00D53F40" w:rsidRPr="00D90BC2" w:rsidRDefault="00D53F40" w:rsidP="00D53F40">
      <w:pPr>
        <w:spacing w:after="0" w:line="360" w:lineRule="auto"/>
        <w:ind w:left="3600" w:right="-82" w:firstLine="720"/>
        <w:jc w:val="both"/>
        <w:rPr>
          <w:rFonts w:ascii="Arial" w:hAnsi="Arial" w:cs="Arial"/>
          <w:lang w:val="en-ZA"/>
        </w:rPr>
      </w:pPr>
    </w:p>
    <w:p w14:paraId="10419923" w14:textId="65C9855A" w:rsidR="00D53F40" w:rsidRPr="00D90BC2" w:rsidRDefault="00D53F40" w:rsidP="00D53F40">
      <w:pPr>
        <w:spacing w:after="0" w:line="360" w:lineRule="auto"/>
        <w:jc w:val="both"/>
        <w:rPr>
          <w:rFonts w:ascii="Arial" w:eastAsia="Calibri" w:hAnsi="Arial" w:cs="Arial"/>
          <w:lang w:val="en-ZA"/>
        </w:rPr>
      </w:pPr>
      <w:r w:rsidRPr="00D90BC2">
        <w:rPr>
          <w:rFonts w:ascii="Arial" w:eastAsia="Calibri" w:hAnsi="Arial" w:cs="Arial"/>
          <w:lang w:val="en-ZA"/>
        </w:rPr>
        <w:t xml:space="preserve">Date of Hearing </w:t>
      </w:r>
      <w:r w:rsidRPr="00D90BC2">
        <w:rPr>
          <w:rFonts w:ascii="Arial" w:eastAsia="Calibri" w:hAnsi="Arial" w:cs="Arial"/>
          <w:lang w:val="en-ZA"/>
        </w:rPr>
        <w:tab/>
      </w:r>
      <w:r w:rsidRPr="00D90BC2">
        <w:rPr>
          <w:rFonts w:ascii="Arial" w:eastAsia="Calibri" w:hAnsi="Arial" w:cs="Arial"/>
          <w:lang w:val="en-ZA"/>
        </w:rPr>
        <w:tab/>
      </w:r>
      <w:r w:rsidRPr="00D90BC2">
        <w:rPr>
          <w:rFonts w:ascii="Arial" w:eastAsia="Calibri" w:hAnsi="Arial" w:cs="Arial"/>
          <w:lang w:val="en-ZA"/>
        </w:rPr>
        <w:tab/>
        <w:t>:</w:t>
      </w:r>
      <w:r w:rsidRPr="00D90BC2">
        <w:rPr>
          <w:rFonts w:ascii="Arial" w:eastAsia="Calibri" w:hAnsi="Arial" w:cs="Arial"/>
          <w:lang w:val="en-ZA"/>
        </w:rPr>
        <w:tab/>
      </w:r>
      <w:r w:rsidR="00193E57">
        <w:rPr>
          <w:rFonts w:ascii="Arial" w:eastAsia="Calibri" w:hAnsi="Arial" w:cs="Arial"/>
          <w:lang w:val="en-ZA"/>
        </w:rPr>
        <w:t>7 March 2023</w:t>
      </w:r>
    </w:p>
    <w:p w14:paraId="3F9C8C5C" w14:textId="77777777" w:rsidR="00D53F40" w:rsidRPr="00D90BC2" w:rsidRDefault="00D53F40" w:rsidP="00D53F40">
      <w:pPr>
        <w:spacing w:after="0" w:line="360" w:lineRule="auto"/>
        <w:jc w:val="both"/>
        <w:rPr>
          <w:rFonts w:ascii="Arial" w:eastAsia="Calibri" w:hAnsi="Arial" w:cs="Arial"/>
          <w:lang w:val="en-ZA"/>
        </w:rPr>
      </w:pPr>
    </w:p>
    <w:p w14:paraId="73C18B8C" w14:textId="3D8E1186" w:rsidR="00D53F40" w:rsidRPr="00D90BC2" w:rsidRDefault="00D53F40" w:rsidP="00D53F40">
      <w:pPr>
        <w:spacing w:after="0" w:line="360" w:lineRule="auto"/>
        <w:jc w:val="both"/>
        <w:rPr>
          <w:rFonts w:ascii="Arial" w:eastAsia="Calibri" w:hAnsi="Arial" w:cs="Arial"/>
          <w:lang w:val="en-ZA"/>
        </w:rPr>
      </w:pPr>
      <w:r w:rsidRPr="00D90BC2">
        <w:rPr>
          <w:rFonts w:ascii="Arial" w:eastAsia="Calibri" w:hAnsi="Arial" w:cs="Arial"/>
          <w:lang w:val="en-ZA"/>
        </w:rPr>
        <w:t xml:space="preserve">Date of Judgment </w:t>
      </w:r>
      <w:r w:rsidRPr="00D90BC2">
        <w:rPr>
          <w:rFonts w:ascii="Arial" w:eastAsia="Calibri" w:hAnsi="Arial" w:cs="Arial"/>
          <w:lang w:val="en-ZA"/>
        </w:rPr>
        <w:tab/>
      </w:r>
      <w:r w:rsidRPr="00D90BC2">
        <w:rPr>
          <w:rFonts w:ascii="Arial" w:eastAsia="Calibri" w:hAnsi="Arial" w:cs="Arial"/>
          <w:lang w:val="en-ZA"/>
        </w:rPr>
        <w:tab/>
      </w:r>
      <w:r w:rsidRPr="00D90BC2">
        <w:rPr>
          <w:rFonts w:ascii="Arial" w:eastAsia="Calibri" w:hAnsi="Arial" w:cs="Arial"/>
          <w:lang w:val="en-ZA"/>
        </w:rPr>
        <w:tab/>
        <w:t>:</w:t>
      </w:r>
      <w:r w:rsidRPr="00D90BC2">
        <w:rPr>
          <w:rFonts w:ascii="Arial" w:eastAsia="Calibri" w:hAnsi="Arial" w:cs="Arial"/>
          <w:lang w:val="en-ZA"/>
        </w:rPr>
        <w:tab/>
      </w:r>
      <w:r w:rsidR="00C87077">
        <w:rPr>
          <w:rFonts w:ascii="Arial" w:eastAsia="Calibri" w:hAnsi="Arial" w:cs="Arial"/>
          <w:lang w:val="en-ZA"/>
        </w:rPr>
        <w:t>9</w:t>
      </w:r>
      <w:r w:rsidR="00193E57">
        <w:rPr>
          <w:rFonts w:ascii="Arial" w:eastAsia="Calibri" w:hAnsi="Arial" w:cs="Arial"/>
          <w:lang w:val="en-ZA"/>
        </w:rPr>
        <w:t xml:space="preserve"> March 2023</w:t>
      </w:r>
    </w:p>
    <w:p w14:paraId="631369CD" w14:textId="77777777" w:rsidR="00D53F40" w:rsidRPr="00D90BC2" w:rsidRDefault="00D53F40" w:rsidP="00D53F40">
      <w:pPr>
        <w:spacing w:line="360" w:lineRule="auto"/>
        <w:jc w:val="both"/>
        <w:rPr>
          <w:rFonts w:ascii="Arial" w:hAnsi="Arial" w:cs="Arial"/>
          <w:b/>
          <w:bCs/>
          <w:lang w:val="en-ZA"/>
        </w:rPr>
      </w:pPr>
    </w:p>
    <w:p w14:paraId="7ACEC5B2" w14:textId="77777777" w:rsidR="00D53F40" w:rsidRPr="00D90BC2" w:rsidRDefault="00D53F40" w:rsidP="00D53F40">
      <w:pPr>
        <w:pStyle w:val="ListParagraph"/>
        <w:tabs>
          <w:tab w:val="left" w:pos="900"/>
        </w:tabs>
        <w:spacing w:after="0" w:line="360" w:lineRule="auto"/>
        <w:ind w:left="0"/>
        <w:jc w:val="both"/>
        <w:rPr>
          <w:rFonts w:ascii="Arial" w:hAnsi="Arial" w:cs="Arial"/>
          <w:b/>
          <w:color w:val="000000" w:themeColor="text1"/>
          <w:sz w:val="24"/>
          <w:szCs w:val="24"/>
          <w:lang w:val="en-ZA"/>
        </w:rPr>
      </w:pPr>
    </w:p>
    <w:p w14:paraId="698330E7" w14:textId="77777777" w:rsidR="00D53F40" w:rsidRPr="00D90BC2" w:rsidRDefault="00D53F40" w:rsidP="00D53F40">
      <w:pPr>
        <w:tabs>
          <w:tab w:val="left" w:pos="1418"/>
        </w:tabs>
        <w:spacing w:after="0" w:line="360" w:lineRule="auto"/>
        <w:jc w:val="both"/>
        <w:rPr>
          <w:rFonts w:ascii="Arial" w:hAnsi="Arial" w:cs="Arial"/>
          <w:b/>
          <w:bCs/>
          <w:sz w:val="24"/>
          <w:szCs w:val="24"/>
          <w:lang w:val="en-ZA"/>
        </w:rPr>
      </w:pPr>
    </w:p>
    <w:sectPr w:rsidR="00D53F40" w:rsidRPr="00D90BC2" w:rsidSect="004E3E73">
      <w:headerReference w:type="default" r:id="rId11"/>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BB6C" w14:textId="77777777" w:rsidR="00A34423" w:rsidRDefault="00A34423" w:rsidP="007C243E">
      <w:pPr>
        <w:spacing w:after="0" w:line="240" w:lineRule="auto"/>
      </w:pPr>
      <w:r>
        <w:separator/>
      </w:r>
    </w:p>
  </w:endnote>
  <w:endnote w:type="continuationSeparator" w:id="0">
    <w:p w14:paraId="58C0BC41" w14:textId="77777777" w:rsidR="00A34423" w:rsidRDefault="00A34423" w:rsidP="007C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A5DD" w14:textId="77777777" w:rsidR="00A34423" w:rsidRDefault="00A34423" w:rsidP="007C243E">
      <w:pPr>
        <w:spacing w:after="0" w:line="240" w:lineRule="auto"/>
      </w:pPr>
      <w:r>
        <w:separator/>
      </w:r>
    </w:p>
  </w:footnote>
  <w:footnote w:type="continuationSeparator" w:id="0">
    <w:p w14:paraId="3874B54F" w14:textId="77777777" w:rsidR="00A34423" w:rsidRDefault="00A34423" w:rsidP="007C243E">
      <w:pPr>
        <w:spacing w:after="0" w:line="240" w:lineRule="auto"/>
      </w:pPr>
      <w:r>
        <w:continuationSeparator/>
      </w:r>
    </w:p>
  </w:footnote>
  <w:footnote w:id="1">
    <w:p w14:paraId="286D0C8A" w14:textId="77777777" w:rsidR="009D2DF2" w:rsidRPr="001618FE" w:rsidRDefault="009D2DF2" w:rsidP="00193E57">
      <w:pPr>
        <w:pStyle w:val="Heading2"/>
        <w:shd w:val="clear" w:color="auto" w:fill="FFFFFF"/>
        <w:spacing w:before="0" w:line="240" w:lineRule="auto"/>
        <w:jc w:val="both"/>
        <w:rPr>
          <w:rFonts w:ascii="Arial" w:hAnsi="Arial" w:cs="Arial"/>
          <w:color w:val="auto"/>
          <w:sz w:val="20"/>
          <w:szCs w:val="20"/>
          <w:lang w:val="en-US"/>
        </w:rPr>
      </w:pPr>
      <w:r w:rsidRPr="001618FE">
        <w:rPr>
          <w:rStyle w:val="FootnoteReference"/>
          <w:rFonts w:ascii="Arial" w:hAnsi="Arial" w:cs="Arial"/>
          <w:color w:val="auto"/>
          <w:sz w:val="20"/>
          <w:szCs w:val="20"/>
        </w:rPr>
        <w:footnoteRef/>
      </w:r>
      <w:r w:rsidRPr="001618FE">
        <w:rPr>
          <w:rFonts w:ascii="Arial" w:hAnsi="Arial" w:cs="Arial"/>
          <w:color w:val="auto"/>
          <w:sz w:val="20"/>
          <w:szCs w:val="20"/>
        </w:rPr>
        <w:t xml:space="preserve"> </w:t>
      </w:r>
      <w:r w:rsidRPr="001618FE">
        <w:rPr>
          <w:rFonts w:ascii="Arial" w:eastAsia="Times New Roman" w:hAnsi="Arial" w:cs="Arial"/>
          <w:i/>
          <w:color w:val="auto"/>
          <w:sz w:val="20"/>
          <w:szCs w:val="20"/>
          <w:lang w:eastAsia="en-GB"/>
        </w:rPr>
        <w:t>Public Protector of South Africa v Speaker of the National Assembly and Others</w:t>
      </w:r>
      <w:r w:rsidRPr="001618FE">
        <w:rPr>
          <w:rFonts w:ascii="Arial" w:eastAsia="Times New Roman" w:hAnsi="Arial" w:cs="Arial"/>
          <w:color w:val="auto"/>
          <w:sz w:val="20"/>
          <w:szCs w:val="20"/>
          <w:lang w:eastAsia="en-GB"/>
        </w:rPr>
        <w:t xml:space="preserve"> (8500/2022) [2022] ZAWCHC 222 (3 November 2022) para 14.</w:t>
      </w:r>
    </w:p>
  </w:footnote>
  <w:footnote w:id="2">
    <w:p w14:paraId="7A86E278" w14:textId="77777777" w:rsidR="009D2DF2" w:rsidRPr="001618FE" w:rsidRDefault="009D2DF2" w:rsidP="00193E57">
      <w:pPr>
        <w:pStyle w:val="FootnoteText"/>
        <w:jc w:val="both"/>
        <w:rPr>
          <w:rFonts w:ascii="Arial" w:hAnsi="Arial" w:cs="Arial"/>
          <w:lang w:val="en-US"/>
        </w:rPr>
      </w:pPr>
      <w:r w:rsidRPr="001618FE">
        <w:rPr>
          <w:rStyle w:val="FootnoteReference"/>
          <w:rFonts w:ascii="Arial" w:hAnsi="Arial" w:cs="Arial"/>
        </w:rPr>
        <w:footnoteRef/>
      </w:r>
      <w:r w:rsidRPr="001618FE">
        <w:rPr>
          <w:rFonts w:ascii="Arial" w:hAnsi="Arial" w:cs="Arial"/>
        </w:rPr>
        <w:t xml:space="preserve"> </w:t>
      </w:r>
      <w:r w:rsidRPr="001618FE">
        <w:rPr>
          <w:rFonts w:ascii="Arial" w:eastAsia="Times New Roman" w:hAnsi="Arial" w:cs="Arial"/>
          <w:i/>
          <w:shd w:val="clear" w:color="auto" w:fill="FFFFFF"/>
          <w:lang w:val="en-ZA" w:eastAsia="en-GB" w:bidi="yi-Hebr"/>
        </w:rPr>
        <w:t>Ramakatsa and Others v African National Congress and Another</w:t>
      </w:r>
      <w:r w:rsidRPr="001618FE">
        <w:rPr>
          <w:rFonts w:ascii="Arial" w:eastAsia="Times New Roman" w:hAnsi="Arial" w:cs="Arial"/>
          <w:shd w:val="clear" w:color="auto" w:fill="FFFFFF"/>
          <w:lang w:val="en-ZA" w:eastAsia="en-GB" w:bidi="yi-Hebr"/>
        </w:rPr>
        <w:t> </w:t>
      </w:r>
      <w:hyperlink r:id="rId1" w:tooltip="View LawCiteRecord" w:history="1">
        <w:r w:rsidRPr="001618FE">
          <w:rPr>
            <w:rFonts w:ascii="Arial" w:eastAsia="Times New Roman" w:hAnsi="Arial" w:cs="Arial"/>
            <w:bCs/>
            <w:shd w:val="clear" w:color="auto" w:fill="FFFFFF"/>
            <w:lang w:val="en-ZA" w:eastAsia="en-GB" w:bidi="yi-Hebr"/>
          </w:rPr>
          <w:t>[2021] JOL 49993</w:t>
        </w:r>
      </w:hyperlink>
      <w:r w:rsidRPr="001618FE">
        <w:rPr>
          <w:rFonts w:ascii="Arial" w:eastAsia="Times New Roman" w:hAnsi="Arial" w:cs="Arial"/>
          <w:shd w:val="clear" w:color="auto" w:fill="FFFFFF"/>
          <w:lang w:val="en-ZA" w:eastAsia="en-GB" w:bidi="yi-Hebr"/>
        </w:rPr>
        <w:t> (SCA) para [10]</w:t>
      </w:r>
    </w:p>
  </w:footnote>
  <w:footnote w:id="3">
    <w:p w14:paraId="23AB1BB8" w14:textId="77777777" w:rsidR="009D2DF2" w:rsidRPr="001618FE" w:rsidRDefault="009D2DF2" w:rsidP="00193E57">
      <w:pPr>
        <w:pStyle w:val="Heading2"/>
        <w:shd w:val="clear" w:color="auto" w:fill="FFFFFF"/>
        <w:spacing w:before="0" w:line="240" w:lineRule="auto"/>
        <w:jc w:val="both"/>
        <w:rPr>
          <w:rFonts w:ascii="Arial" w:hAnsi="Arial" w:cs="Arial"/>
          <w:color w:val="auto"/>
          <w:sz w:val="20"/>
          <w:szCs w:val="20"/>
          <w:lang w:val="en-US"/>
        </w:rPr>
      </w:pPr>
      <w:r w:rsidRPr="001618FE">
        <w:rPr>
          <w:rStyle w:val="FootnoteReference"/>
          <w:rFonts w:ascii="Arial" w:hAnsi="Arial" w:cs="Arial"/>
          <w:color w:val="auto"/>
          <w:sz w:val="20"/>
          <w:szCs w:val="20"/>
        </w:rPr>
        <w:footnoteRef/>
      </w:r>
      <w:r w:rsidRPr="001618FE">
        <w:rPr>
          <w:rFonts w:ascii="Arial" w:hAnsi="Arial" w:cs="Arial"/>
          <w:color w:val="auto"/>
          <w:sz w:val="20"/>
          <w:szCs w:val="20"/>
        </w:rPr>
        <w:t xml:space="preserve"> </w:t>
      </w:r>
      <w:r w:rsidRPr="001618FE">
        <w:rPr>
          <w:rFonts w:ascii="Arial" w:eastAsia="Times New Roman" w:hAnsi="Arial" w:cs="Arial"/>
          <w:i/>
          <w:color w:val="auto"/>
          <w:sz w:val="20"/>
          <w:szCs w:val="20"/>
          <w:lang w:eastAsia="en-GB"/>
        </w:rPr>
        <w:t>MEC for Health, Eastern Cape v Mkhitha and Another</w:t>
      </w:r>
      <w:r w:rsidRPr="001618FE">
        <w:rPr>
          <w:rFonts w:ascii="Arial" w:eastAsia="Times New Roman" w:hAnsi="Arial" w:cs="Arial"/>
          <w:color w:val="auto"/>
          <w:sz w:val="20"/>
          <w:szCs w:val="20"/>
          <w:lang w:eastAsia="en-GB"/>
        </w:rPr>
        <w:t xml:space="preserve"> [2016] ZASCA 176</w:t>
      </w:r>
      <w:r>
        <w:rPr>
          <w:rFonts w:ascii="Arial" w:eastAsia="Times New Roman" w:hAnsi="Arial" w:cs="Arial"/>
          <w:color w:val="auto"/>
          <w:sz w:val="20"/>
          <w:szCs w:val="20"/>
          <w:lang w:eastAsia="en-GB"/>
        </w:rPr>
        <w:t xml:space="preserve"> para 17.</w:t>
      </w:r>
    </w:p>
  </w:footnote>
  <w:footnote w:id="4">
    <w:p w14:paraId="3C520422" w14:textId="77777777" w:rsidR="009D2DF2" w:rsidRPr="00876F9C" w:rsidRDefault="009D2DF2" w:rsidP="00F25EFC">
      <w:pPr>
        <w:pStyle w:val="FootnoteText"/>
        <w:jc w:val="both"/>
        <w:rPr>
          <w:rFonts w:ascii="Arial" w:hAnsi="Arial" w:cs="Arial"/>
          <w:lang w:val="en-US"/>
        </w:rPr>
      </w:pPr>
      <w:r w:rsidRPr="00876F9C">
        <w:rPr>
          <w:rStyle w:val="FootnoteReference"/>
          <w:rFonts w:ascii="Arial" w:hAnsi="Arial" w:cs="Arial"/>
        </w:rPr>
        <w:footnoteRef/>
      </w:r>
      <w:r w:rsidRPr="00876F9C">
        <w:rPr>
          <w:rFonts w:ascii="Arial" w:hAnsi="Arial" w:cs="Arial"/>
        </w:rPr>
        <w:t xml:space="preserve"> </w:t>
      </w:r>
      <w:r w:rsidRPr="00876F9C">
        <w:rPr>
          <w:rFonts w:ascii="Arial" w:hAnsi="Arial" w:cs="Arial"/>
          <w:i/>
          <w:iCs/>
          <w:color w:val="000000"/>
          <w:shd w:val="clear" w:color="auto" w:fill="FFFFFF"/>
        </w:rPr>
        <w:t>Dexgroup (Pty) Ltd v Trustco Group International (Pty) Ltd</w:t>
      </w:r>
      <w:r w:rsidRPr="00876F9C">
        <w:rPr>
          <w:rFonts w:ascii="Arial" w:hAnsi="Arial" w:cs="Arial"/>
          <w:color w:val="000000"/>
          <w:shd w:val="clear" w:color="auto" w:fill="FFFFFF"/>
        </w:rPr>
        <w:t xml:space="preserve"> 2013 (6) SA 520 (SCA) para 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458782"/>
      <w:docPartObj>
        <w:docPartGallery w:val="Page Numbers (Top of Page)"/>
        <w:docPartUnique/>
      </w:docPartObj>
    </w:sdtPr>
    <w:sdtEndPr>
      <w:rPr>
        <w:rFonts w:ascii="Arial" w:hAnsi="Arial" w:cs="Arial"/>
        <w:noProof/>
        <w:sz w:val="24"/>
        <w:szCs w:val="24"/>
      </w:rPr>
    </w:sdtEndPr>
    <w:sdtContent>
      <w:p w14:paraId="66CF423F" w14:textId="72DF0A44" w:rsidR="009D2DF2" w:rsidRPr="00747D92" w:rsidRDefault="009D2DF2">
        <w:pPr>
          <w:pStyle w:val="Header"/>
          <w:jc w:val="right"/>
          <w:rPr>
            <w:rFonts w:ascii="Arial" w:hAnsi="Arial" w:cs="Arial"/>
            <w:sz w:val="24"/>
            <w:szCs w:val="24"/>
          </w:rPr>
        </w:pPr>
        <w:r w:rsidRPr="00747D92">
          <w:rPr>
            <w:rFonts w:ascii="Arial" w:hAnsi="Arial" w:cs="Arial"/>
            <w:sz w:val="24"/>
            <w:szCs w:val="24"/>
          </w:rPr>
          <w:fldChar w:fldCharType="begin"/>
        </w:r>
        <w:r w:rsidRPr="00747D92">
          <w:rPr>
            <w:rFonts w:ascii="Arial" w:hAnsi="Arial" w:cs="Arial"/>
            <w:sz w:val="24"/>
            <w:szCs w:val="24"/>
          </w:rPr>
          <w:instrText xml:space="preserve"> PAGE   \* MERGEFORMAT </w:instrText>
        </w:r>
        <w:r w:rsidRPr="00747D92">
          <w:rPr>
            <w:rFonts w:ascii="Arial" w:hAnsi="Arial" w:cs="Arial"/>
            <w:sz w:val="24"/>
            <w:szCs w:val="24"/>
          </w:rPr>
          <w:fldChar w:fldCharType="separate"/>
        </w:r>
        <w:r w:rsidR="00B71AEE">
          <w:rPr>
            <w:rFonts w:ascii="Arial" w:hAnsi="Arial" w:cs="Arial"/>
            <w:noProof/>
            <w:sz w:val="24"/>
            <w:szCs w:val="24"/>
          </w:rPr>
          <w:t>9</w:t>
        </w:r>
        <w:r w:rsidRPr="00747D92">
          <w:rPr>
            <w:rFonts w:ascii="Arial" w:hAnsi="Arial" w:cs="Arial"/>
            <w:noProof/>
            <w:sz w:val="24"/>
            <w:szCs w:val="24"/>
          </w:rPr>
          <w:fldChar w:fldCharType="end"/>
        </w:r>
      </w:p>
    </w:sdtContent>
  </w:sdt>
  <w:p w14:paraId="382D5BE1" w14:textId="77777777" w:rsidR="009D2DF2" w:rsidRDefault="009D2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B38"/>
    <w:multiLevelType w:val="hybridMultilevel"/>
    <w:tmpl w:val="66B6EAEA"/>
    <w:lvl w:ilvl="0" w:tplc="C220D1C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757F"/>
    <w:multiLevelType w:val="hybridMultilevel"/>
    <w:tmpl w:val="AE14AA2C"/>
    <w:lvl w:ilvl="0" w:tplc="F30A5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25A03"/>
    <w:multiLevelType w:val="hybridMultilevel"/>
    <w:tmpl w:val="E74AC25E"/>
    <w:lvl w:ilvl="0" w:tplc="470E301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A3466"/>
    <w:multiLevelType w:val="hybridMultilevel"/>
    <w:tmpl w:val="06681AE4"/>
    <w:lvl w:ilvl="0" w:tplc="E2A8CC3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F0964"/>
    <w:multiLevelType w:val="hybridMultilevel"/>
    <w:tmpl w:val="4B12426E"/>
    <w:lvl w:ilvl="0" w:tplc="002A8D7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326084"/>
    <w:multiLevelType w:val="hybridMultilevel"/>
    <w:tmpl w:val="B072B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31AFD"/>
    <w:multiLevelType w:val="hybridMultilevel"/>
    <w:tmpl w:val="21C60396"/>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73F5C"/>
    <w:multiLevelType w:val="hybridMultilevel"/>
    <w:tmpl w:val="AD9CB878"/>
    <w:lvl w:ilvl="0" w:tplc="62445F7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938B0"/>
    <w:multiLevelType w:val="hybridMultilevel"/>
    <w:tmpl w:val="21C85D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60846"/>
    <w:multiLevelType w:val="hybridMultilevel"/>
    <w:tmpl w:val="5C269ABA"/>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6111F"/>
    <w:multiLevelType w:val="hybridMultilevel"/>
    <w:tmpl w:val="5D3EA864"/>
    <w:lvl w:ilvl="0" w:tplc="F4C860F6">
      <w:start w:val="1"/>
      <w:numFmt w:val="decimal"/>
      <w:lvlText w:val="[%1]"/>
      <w:lvlJc w:val="left"/>
      <w:pPr>
        <w:ind w:left="928"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F37CA5"/>
    <w:multiLevelType w:val="hybridMultilevel"/>
    <w:tmpl w:val="F9806CF6"/>
    <w:lvl w:ilvl="0" w:tplc="A5A07D62">
      <w:start w:val="1"/>
      <w:numFmt w:val="lowerLetter"/>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494010"/>
    <w:multiLevelType w:val="hybridMultilevel"/>
    <w:tmpl w:val="7D186524"/>
    <w:lvl w:ilvl="0" w:tplc="11F2D8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26EB1"/>
    <w:multiLevelType w:val="hybridMultilevel"/>
    <w:tmpl w:val="F5488232"/>
    <w:lvl w:ilvl="0" w:tplc="3A729CA0">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A907D2"/>
    <w:multiLevelType w:val="hybridMultilevel"/>
    <w:tmpl w:val="65DE568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3535C"/>
    <w:multiLevelType w:val="hybridMultilevel"/>
    <w:tmpl w:val="75F0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3E0CF0"/>
    <w:multiLevelType w:val="hybridMultilevel"/>
    <w:tmpl w:val="EAB49E10"/>
    <w:lvl w:ilvl="0" w:tplc="79CC011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D47B96"/>
    <w:multiLevelType w:val="hybridMultilevel"/>
    <w:tmpl w:val="AEB00AE8"/>
    <w:lvl w:ilvl="0" w:tplc="BB84362C">
      <w:start w:val="1"/>
      <w:numFmt w:val="lowerLetter"/>
      <w:lvlText w:val="(%1)"/>
      <w:lvlJc w:val="left"/>
      <w:pPr>
        <w:ind w:left="720" w:hanging="360"/>
      </w:pPr>
      <w:rPr>
        <w:rFonts w:eastAsiaTheme="minorHAnsi"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20926"/>
    <w:multiLevelType w:val="hybridMultilevel"/>
    <w:tmpl w:val="B2BEAEE6"/>
    <w:lvl w:ilvl="0" w:tplc="4BFEE08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AA3D61"/>
    <w:multiLevelType w:val="hybridMultilevel"/>
    <w:tmpl w:val="5DCA7912"/>
    <w:lvl w:ilvl="0" w:tplc="4602315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6E05AE"/>
    <w:multiLevelType w:val="hybridMultilevel"/>
    <w:tmpl w:val="9CC26AC2"/>
    <w:lvl w:ilvl="0" w:tplc="D70A2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6"/>
  </w:num>
  <w:num w:numId="5">
    <w:abstractNumId w:val="8"/>
  </w:num>
  <w:num w:numId="6">
    <w:abstractNumId w:val="4"/>
  </w:num>
  <w:num w:numId="7">
    <w:abstractNumId w:val="18"/>
  </w:num>
  <w:num w:numId="8">
    <w:abstractNumId w:val="5"/>
  </w:num>
  <w:num w:numId="9">
    <w:abstractNumId w:val="17"/>
  </w:num>
  <w:num w:numId="10">
    <w:abstractNumId w:val="1"/>
  </w:num>
  <w:num w:numId="11">
    <w:abstractNumId w:val="20"/>
  </w:num>
  <w:num w:numId="12">
    <w:abstractNumId w:val="10"/>
  </w:num>
  <w:num w:numId="13">
    <w:abstractNumId w:val="11"/>
  </w:num>
  <w:num w:numId="14">
    <w:abstractNumId w:val="0"/>
  </w:num>
  <w:num w:numId="15">
    <w:abstractNumId w:val="19"/>
  </w:num>
  <w:num w:numId="16">
    <w:abstractNumId w:val="12"/>
  </w:num>
  <w:num w:numId="17">
    <w:abstractNumId w:val="21"/>
  </w:num>
  <w:num w:numId="18">
    <w:abstractNumId w:val="14"/>
  </w:num>
  <w:num w:numId="19">
    <w:abstractNumId w:val="6"/>
  </w:num>
  <w:num w:numId="20">
    <w:abstractNumId w:val="3"/>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EC"/>
    <w:rsid w:val="000007E9"/>
    <w:rsid w:val="00001D5C"/>
    <w:rsid w:val="00006C26"/>
    <w:rsid w:val="00012005"/>
    <w:rsid w:val="00012DE8"/>
    <w:rsid w:val="00017C3D"/>
    <w:rsid w:val="00020AC3"/>
    <w:rsid w:val="00032C36"/>
    <w:rsid w:val="0003659C"/>
    <w:rsid w:val="00043114"/>
    <w:rsid w:val="0005156D"/>
    <w:rsid w:val="00055372"/>
    <w:rsid w:val="00060496"/>
    <w:rsid w:val="00064562"/>
    <w:rsid w:val="00072031"/>
    <w:rsid w:val="00074EE9"/>
    <w:rsid w:val="0007651F"/>
    <w:rsid w:val="000767C6"/>
    <w:rsid w:val="00077E87"/>
    <w:rsid w:val="00086455"/>
    <w:rsid w:val="000906C8"/>
    <w:rsid w:val="000919DF"/>
    <w:rsid w:val="0009369C"/>
    <w:rsid w:val="00095066"/>
    <w:rsid w:val="00097D0C"/>
    <w:rsid w:val="000A251C"/>
    <w:rsid w:val="000A5554"/>
    <w:rsid w:val="000B617C"/>
    <w:rsid w:val="000C0576"/>
    <w:rsid w:val="000C3C4D"/>
    <w:rsid w:val="000D0FF5"/>
    <w:rsid w:val="000D24DB"/>
    <w:rsid w:val="000E0AF1"/>
    <w:rsid w:val="000F25F4"/>
    <w:rsid w:val="001004DC"/>
    <w:rsid w:val="00112D39"/>
    <w:rsid w:val="0012013C"/>
    <w:rsid w:val="00123AFF"/>
    <w:rsid w:val="00126190"/>
    <w:rsid w:val="001357C5"/>
    <w:rsid w:val="001369E5"/>
    <w:rsid w:val="001433D3"/>
    <w:rsid w:val="00144E31"/>
    <w:rsid w:val="00153A16"/>
    <w:rsid w:val="001540BB"/>
    <w:rsid w:val="00154BEC"/>
    <w:rsid w:val="00155500"/>
    <w:rsid w:val="00161100"/>
    <w:rsid w:val="00171567"/>
    <w:rsid w:val="00171C8A"/>
    <w:rsid w:val="00187D7F"/>
    <w:rsid w:val="00192E44"/>
    <w:rsid w:val="00193E57"/>
    <w:rsid w:val="001948AD"/>
    <w:rsid w:val="00196C09"/>
    <w:rsid w:val="001A4348"/>
    <w:rsid w:val="001C5BF9"/>
    <w:rsid w:val="001D2183"/>
    <w:rsid w:val="001D26CC"/>
    <w:rsid w:val="001D2982"/>
    <w:rsid w:val="001E10F4"/>
    <w:rsid w:val="001E6E79"/>
    <w:rsid w:val="001F17D7"/>
    <w:rsid w:val="00210FC6"/>
    <w:rsid w:val="00222467"/>
    <w:rsid w:val="00222D04"/>
    <w:rsid w:val="00223E6E"/>
    <w:rsid w:val="00230817"/>
    <w:rsid w:val="002312C8"/>
    <w:rsid w:val="00233CD5"/>
    <w:rsid w:val="00234640"/>
    <w:rsid w:val="00250CF5"/>
    <w:rsid w:val="00255D13"/>
    <w:rsid w:val="0026719C"/>
    <w:rsid w:val="002743FE"/>
    <w:rsid w:val="002822F8"/>
    <w:rsid w:val="00285773"/>
    <w:rsid w:val="00285F3D"/>
    <w:rsid w:val="00286F86"/>
    <w:rsid w:val="0029331C"/>
    <w:rsid w:val="002A2BDD"/>
    <w:rsid w:val="002A2C0E"/>
    <w:rsid w:val="002A7E50"/>
    <w:rsid w:val="002A7FC8"/>
    <w:rsid w:val="002C2501"/>
    <w:rsid w:val="002C29CA"/>
    <w:rsid w:val="002C435E"/>
    <w:rsid w:val="002C7A90"/>
    <w:rsid w:val="002D09F4"/>
    <w:rsid w:val="002D4CE4"/>
    <w:rsid w:val="002D553B"/>
    <w:rsid w:val="002E7119"/>
    <w:rsid w:val="003064D6"/>
    <w:rsid w:val="00306893"/>
    <w:rsid w:val="00313E55"/>
    <w:rsid w:val="00314E2C"/>
    <w:rsid w:val="00316769"/>
    <w:rsid w:val="0032058B"/>
    <w:rsid w:val="00325729"/>
    <w:rsid w:val="0033616F"/>
    <w:rsid w:val="00344ED9"/>
    <w:rsid w:val="00345588"/>
    <w:rsid w:val="00351B6F"/>
    <w:rsid w:val="0035491B"/>
    <w:rsid w:val="0035555E"/>
    <w:rsid w:val="003579C4"/>
    <w:rsid w:val="0036205A"/>
    <w:rsid w:val="003643B9"/>
    <w:rsid w:val="00367225"/>
    <w:rsid w:val="00370776"/>
    <w:rsid w:val="00371D56"/>
    <w:rsid w:val="003729C1"/>
    <w:rsid w:val="003872EC"/>
    <w:rsid w:val="0039020A"/>
    <w:rsid w:val="003A0457"/>
    <w:rsid w:val="003A46C4"/>
    <w:rsid w:val="003A540F"/>
    <w:rsid w:val="003A5A00"/>
    <w:rsid w:val="003B0D9D"/>
    <w:rsid w:val="003B36B2"/>
    <w:rsid w:val="003B3BA0"/>
    <w:rsid w:val="003B41CC"/>
    <w:rsid w:val="003C12E4"/>
    <w:rsid w:val="003C4C9D"/>
    <w:rsid w:val="003D5447"/>
    <w:rsid w:val="003E1994"/>
    <w:rsid w:val="003F507B"/>
    <w:rsid w:val="003F6575"/>
    <w:rsid w:val="00405E57"/>
    <w:rsid w:val="004153DB"/>
    <w:rsid w:val="00417113"/>
    <w:rsid w:val="00417119"/>
    <w:rsid w:val="00417E8F"/>
    <w:rsid w:val="004262B0"/>
    <w:rsid w:val="00427099"/>
    <w:rsid w:val="00433ECB"/>
    <w:rsid w:val="0043445D"/>
    <w:rsid w:val="00444564"/>
    <w:rsid w:val="00446BEF"/>
    <w:rsid w:val="00446D56"/>
    <w:rsid w:val="00447C22"/>
    <w:rsid w:val="0047102C"/>
    <w:rsid w:val="0047551F"/>
    <w:rsid w:val="00475C8A"/>
    <w:rsid w:val="00476B2D"/>
    <w:rsid w:val="00477633"/>
    <w:rsid w:val="00483652"/>
    <w:rsid w:val="00493C7F"/>
    <w:rsid w:val="0049587E"/>
    <w:rsid w:val="004971A5"/>
    <w:rsid w:val="004A3FA7"/>
    <w:rsid w:val="004B0F2B"/>
    <w:rsid w:val="004D0C08"/>
    <w:rsid w:val="004D2753"/>
    <w:rsid w:val="004D4192"/>
    <w:rsid w:val="004D612D"/>
    <w:rsid w:val="004E221A"/>
    <w:rsid w:val="004E3E73"/>
    <w:rsid w:val="004F4BD5"/>
    <w:rsid w:val="004F50C2"/>
    <w:rsid w:val="004F570E"/>
    <w:rsid w:val="0051000C"/>
    <w:rsid w:val="0051045F"/>
    <w:rsid w:val="00520030"/>
    <w:rsid w:val="00521C3C"/>
    <w:rsid w:val="00526742"/>
    <w:rsid w:val="005302AD"/>
    <w:rsid w:val="00535863"/>
    <w:rsid w:val="005370C4"/>
    <w:rsid w:val="005423C8"/>
    <w:rsid w:val="0054551D"/>
    <w:rsid w:val="0055192F"/>
    <w:rsid w:val="005566E8"/>
    <w:rsid w:val="005614D5"/>
    <w:rsid w:val="00575B59"/>
    <w:rsid w:val="00587284"/>
    <w:rsid w:val="0059306E"/>
    <w:rsid w:val="005B0DBD"/>
    <w:rsid w:val="005B41C8"/>
    <w:rsid w:val="005B6140"/>
    <w:rsid w:val="005B78C8"/>
    <w:rsid w:val="005C2906"/>
    <w:rsid w:val="005C3EDD"/>
    <w:rsid w:val="005C6323"/>
    <w:rsid w:val="005D1E2D"/>
    <w:rsid w:val="005E00D0"/>
    <w:rsid w:val="005E36A6"/>
    <w:rsid w:val="005E6706"/>
    <w:rsid w:val="005F5A95"/>
    <w:rsid w:val="006007D3"/>
    <w:rsid w:val="00605BD5"/>
    <w:rsid w:val="00607E4B"/>
    <w:rsid w:val="006119F1"/>
    <w:rsid w:val="0061268A"/>
    <w:rsid w:val="00622D4E"/>
    <w:rsid w:val="00624413"/>
    <w:rsid w:val="00630F45"/>
    <w:rsid w:val="006321EA"/>
    <w:rsid w:val="00634FD3"/>
    <w:rsid w:val="006354B3"/>
    <w:rsid w:val="0064111D"/>
    <w:rsid w:val="00642F94"/>
    <w:rsid w:val="00643084"/>
    <w:rsid w:val="00643D59"/>
    <w:rsid w:val="00644CBD"/>
    <w:rsid w:val="0066089B"/>
    <w:rsid w:val="006725DD"/>
    <w:rsid w:val="00673DD7"/>
    <w:rsid w:val="00675FDD"/>
    <w:rsid w:val="00680B3E"/>
    <w:rsid w:val="0069016B"/>
    <w:rsid w:val="0069281C"/>
    <w:rsid w:val="006A36A7"/>
    <w:rsid w:val="006A5325"/>
    <w:rsid w:val="006A5957"/>
    <w:rsid w:val="006A7708"/>
    <w:rsid w:val="006B0F44"/>
    <w:rsid w:val="006B1FB6"/>
    <w:rsid w:val="006B70A5"/>
    <w:rsid w:val="006D06EA"/>
    <w:rsid w:val="006D48B9"/>
    <w:rsid w:val="006D4B72"/>
    <w:rsid w:val="006D5EB3"/>
    <w:rsid w:val="006D669E"/>
    <w:rsid w:val="006E01FC"/>
    <w:rsid w:val="006E0B42"/>
    <w:rsid w:val="006F0F5D"/>
    <w:rsid w:val="006F54AF"/>
    <w:rsid w:val="0070617B"/>
    <w:rsid w:val="00706D3A"/>
    <w:rsid w:val="007107DC"/>
    <w:rsid w:val="00747D92"/>
    <w:rsid w:val="007507BF"/>
    <w:rsid w:val="00751305"/>
    <w:rsid w:val="00752B8B"/>
    <w:rsid w:val="007542CF"/>
    <w:rsid w:val="007563A6"/>
    <w:rsid w:val="00756B2B"/>
    <w:rsid w:val="00763012"/>
    <w:rsid w:val="007655B3"/>
    <w:rsid w:val="00765726"/>
    <w:rsid w:val="0077375D"/>
    <w:rsid w:val="00780676"/>
    <w:rsid w:val="00780961"/>
    <w:rsid w:val="00787C4B"/>
    <w:rsid w:val="00791FC4"/>
    <w:rsid w:val="00795885"/>
    <w:rsid w:val="00796656"/>
    <w:rsid w:val="007A0157"/>
    <w:rsid w:val="007A3515"/>
    <w:rsid w:val="007B53DC"/>
    <w:rsid w:val="007C243E"/>
    <w:rsid w:val="007C6514"/>
    <w:rsid w:val="007D470C"/>
    <w:rsid w:val="007D719D"/>
    <w:rsid w:val="007F6B23"/>
    <w:rsid w:val="008001F6"/>
    <w:rsid w:val="00802543"/>
    <w:rsid w:val="00804936"/>
    <w:rsid w:val="00814C39"/>
    <w:rsid w:val="008213B2"/>
    <w:rsid w:val="00834548"/>
    <w:rsid w:val="00837BCE"/>
    <w:rsid w:val="008442A4"/>
    <w:rsid w:val="00846E97"/>
    <w:rsid w:val="00855A77"/>
    <w:rsid w:val="00882A65"/>
    <w:rsid w:val="008833B8"/>
    <w:rsid w:val="008836E1"/>
    <w:rsid w:val="00885745"/>
    <w:rsid w:val="00894C17"/>
    <w:rsid w:val="008A42C0"/>
    <w:rsid w:val="008B1EE1"/>
    <w:rsid w:val="008B4DAA"/>
    <w:rsid w:val="008B6817"/>
    <w:rsid w:val="008C563B"/>
    <w:rsid w:val="008D179F"/>
    <w:rsid w:val="008D2D1A"/>
    <w:rsid w:val="008D3EF4"/>
    <w:rsid w:val="008D4639"/>
    <w:rsid w:val="008E06B6"/>
    <w:rsid w:val="00907C61"/>
    <w:rsid w:val="00912A50"/>
    <w:rsid w:val="00944090"/>
    <w:rsid w:val="00945A12"/>
    <w:rsid w:val="00952BC1"/>
    <w:rsid w:val="00953F28"/>
    <w:rsid w:val="009556D8"/>
    <w:rsid w:val="00965280"/>
    <w:rsid w:val="009654A6"/>
    <w:rsid w:val="00967ABA"/>
    <w:rsid w:val="00970A28"/>
    <w:rsid w:val="009710C1"/>
    <w:rsid w:val="00971F3D"/>
    <w:rsid w:val="009807AD"/>
    <w:rsid w:val="00980E44"/>
    <w:rsid w:val="00981E96"/>
    <w:rsid w:val="0099099F"/>
    <w:rsid w:val="00990F5A"/>
    <w:rsid w:val="00992412"/>
    <w:rsid w:val="00993302"/>
    <w:rsid w:val="00993435"/>
    <w:rsid w:val="009A5CDC"/>
    <w:rsid w:val="009A70C3"/>
    <w:rsid w:val="009B36B8"/>
    <w:rsid w:val="009B3844"/>
    <w:rsid w:val="009B5D99"/>
    <w:rsid w:val="009C3046"/>
    <w:rsid w:val="009C6315"/>
    <w:rsid w:val="009D2DF2"/>
    <w:rsid w:val="009D395B"/>
    <w:rsid w:val="009F01E2"/>
    <w:rsid w:val="009F398A"/>
    <w:rsid w:val="009F61B2"/>
    <w:rsid w:val="009F77EE"/>
    <w:rsid w:val="00A0149F"/>
    <w:rsid w:val="00A059AC"/>
    <w:rsid w:val="00A05C59"/>
    <w:rsid w:val="00A06257"/>
    <w:rsid w:val="00A14970"/>
    <w:rsid w:val="00A25EF8"/>
    <w:rsid w:val="00A34423"/>
    <w:rsid w:val="00A43521"/>
    <w:rsid w:val="00A44AA4"/>
    <w:rsid w:val="00A45AE8"/>
    <w:rsid w:val="00A46D37"/>
    <w:rsid w:val="00A6440C"/>
    <w:rsid w:val="00A66FD8"/>
    <w:rsid w:val="00A7044A"/>
    <w:rsid w:val="00A70683"/>
    <w:rsid w:val="00A716F4"/>
    <w:rsid w:val="00A747C8"/>
    <w:rsid w:val="00A75816"/>
    <w:rsid w:val="00A8194B"/>
    <w:rsid w:val="00A821A3"/>
    <w:rsid w:val="00A8241B"/>
    <w:rsid w:val="00A86ED7"/>
    <w:rsid w:val="00A91E54"/>
    <w:rsid w:val="00A96278"/>
    <w:rsid w:val="00AB1254"/>
    <w:rsid w:val="00AC1D9A"/>
    <w:rsid w:val="00AC41C9"/>
    <w:rsid w:val="00AC43C4"/>
    <w:rsid w:val="00AE50EE"/>
    <w:rsid w:val="00AE7739"/>
    <w:rsid w:val="00AF1A25"/>
    <w:rsid w:val="00AF3833"/>
    <w:rsid w:val="00AF5EB6"/>
    <w:rsid w:val="00B04153"/>
    <w:rsid w:val="00B10E2E"/>
    <w:rsid w:val="00B12BB7"/>
    <w:rsid w:val="00B201DE"/>
    <w:rsid w:val="00B220CB"/>
    <w:rsid w:val="00B22388"/>
    <w:rsid w:val="00B266DC"/>
    <w:rsid w:val="00B343CD"/>
    <w:rsid w:val="00B35028"/>
    <w:rsid w:val="00B43665"/>
    <w:rsid w:val="00B4396B"/>
    <w:rsid w:val="00B462F7"/>
    <w:rsid w:val="00B47FE3"/>
    <w:rsid w:val="00B508C3"/>
    <w:rsid w:val="00B620CA"/>
    <w:rsid w:val="00B65B45"/>
    <w:rsid w:val="00B70029"/>
    <w:rsid w:val="00B71AEE"/>
    <w:rsid w:val="00B731DC"/>
    <w:rsid w:val="00B73C4B"/>
    <w:rsid w:val="00B92B11"/>
    <w:rsid w:val="00B92DED"/>
    <w:rsid w:val="00B930AB"/>
    <w:rsid w:val="00B96F04"/>
    <w:rsid w:val="00BB00EE"/>
    <w:rsid w:val="00BB3BCE"/>
    <w:rsid w:val="00BB5579"/>
    <w:rsid w:val="00BC0438"/>
    <w:rsid w:val="00BC09D2"/>
    <w:rsid w:val="00BC2E35"/>
    <w:rsid w:val="00BD0695"/>
    <w:rsid w:val="00BD0D39"/>
    <w:rsid w:val="00BD3948"/>
    <w:rsid w:val="00BD411C"/>
    <w:rsid w:val="00BD576E"/>
    <w:rsid w:val="00BE006C"/>
    <w:rsid w:val="00BE2FDA"/>
    <w:rsid w:val="00BF11B6"/>
    <w:rsid w:val="00BF3A4E"/>
    <w:rsid w:val="00BF5745"/>
    <w:rsid w:val="00BF6AEB"/>
    <w:rsid w:val="00C03A39"/>
    <w:rsid w:val="00C057BE"/>
    <w:rsid w:val="00C07949"/>
    <w:rsid w:val="00C07B54"/>
    <w:rsid w:val="00C13E42"/>
    <w:rsid w:val="00C164B2"/>
    <w:rsid w:val="00C21230"/>
    <w:rsid w:val="00C24A7F"/>
    <w:rsid w:val="00C25B3E"/>
    <w:rsid w:val="00C31E71"/>
    <w:rsid w:val="00C32C32"/>
    <w:rsid w:val="00C3313E"/>
    <w:rsid w:val="00C3380F"/>
    <w:rsid w:val="00C35592"/>
    <w:rsid w:val="00C42C8A"/>
    <w:rsid w:val="00C42E26"/>
    <w:rsid w:val="00C47119"/>
    <w:rsid w:val="00C53A1A"/>
    <w:rsid w:val="00C55E36"/>
    <w:rsid w:val="00C669ED"/>
    <w:rsid w:val="00C7210F"/>
    <w:rsid w:val="00C838E4"/>
    <w:rsid w:val="00C84402"/>
    <w:rsid w:val="00C84B1D"/>
    <w:rsid w:val="00C85118"/>
    <w:rsid w:val="00C85E26"/>
    <w:rsid w:val="00C8678C"/>
    <w:rsid w:val="00C867DF"/>
    <w:rsid w:val="00C86E89"/>
    <w:rsid w:val="00C87077"/>
    <w:rsid w:val="00C9373A"/>
    <w:rsid w:val="00CA0431"/>
    <w:rsid w:val="00CA290A"/>
    <w:rsid w:val="00CA4525"/>
    <w:rsid w:val="00CA610A"/>
    <w:rsid w:val="00CA76D5"/>
    <w:rsid w:val="00CB4C22"/>
    <w:rsid w:val="00CB7430"/>
    <w:rsid w:val="00CC25B9"/>
    <w:rsid w:val="00CC6419"/>
    <w:rsid w:val="00CC714F"/>
    <w:rsid w:val="00CC7E13"/>
    <w:rsid w:val="00CD1DF7"/>
    <w:rsid w:val="00CD2724"/>
    <w:rsid w:val="00CD31EF"/>
    <w:rsid w:val="00CD3B48"/>
    <w:rsid w:val="00CE00B1"/>
    <w:rsid w:val="00CE21DB"/>
    <w:rsid w:val="00CF11CA"/>
    <w:rsid w:val="00CF651B"/>
    <w:rsid w:val="00CF6F2E"/>
    <w:rsid w:val="00D0246D"/>
    <w:rsid w:val="00D05C83"/>
    <w:rsid w:val="00D07734"/>
    <w:rsid w:val="00D22447"/>
    <w:rsid w:val="00D22CC9"/>
    <w:rsid w:val="00D23DD2"/>
    <w:rsid w:val="00D30A8C"/>
    <w:rsid w:val="00D31D6F"/>
    <w:rsid w:val="00D33CF4"/>
    <w:rsid w:val="00D36C5E"/>
    <w:rsid w:val="00D40F44"/>
    <w:rsid w:val="00D4157F"/>
    <w:rsid w:val="00D41793"/>
    <w:rsid w:val="00D53F40"/>
    <w:rsid w:val="00D546B6"/>
    <w:rsid w:val="00D5530B"/>
    <w:rsid w:val="00D614C4"/>
    <w:rsid w:val="00D7023D"/>
    <w:rsid w:val="00D75ACB"/>
    <w:rsid w:val="00D8069E"/>
    <w:rsid w:val="00D8687E"/>
    <w:rsid w:val="00D90BC2"/>
    <w:rsid w:val="00D90EDC"/>
    <w:rsid w:val="00DA1E93"/>
    <w:rsid w:val="00DB0AAE"/>
    <w:rsid w:val="00DB0AC0"/>
    <w:rsid w:val="00DB3C01"/>
    <w:rsid w:val="00DC01F3"/>
    <w:rsid w:val="00DC289C"/>
    <w:rsid w:val="00DC6B5D"/>
    <w:rsid w:val="00DD0046"/>
    <w:rsid w:val="00DE2457"/>
    <w:rsid w:val="00DF25CE"/>
    <w:rsid w:val="00DF2F5E"/>
    <w:rsid w:val="00DF7D92"/>
    <w:rsid w:val="00E03B42"/>
    <w:rsid w:val="00E15B5E"/>
    <w:rsid w:val="00E23325"/>
    <w:rsid w:val="00E30E8A"/>
    <w:rsid w:val="00E40536"/>
    <w:rsid w:val="00E4086F"/>
    <w:rsid w:val="00E43B3D"/>
    <w:rsid w:val="00E44060"/>
    <w:rsid w:val="00E45FE0"/>
    <w:rsid w:val="00E470F4"/>
    <w:rsid w:val="00E5068B"/>
    <w:rsid w:val="00E60449"/>
    <w:rsid w:val="00E61E59"/>
    <w:rsid w:val="00E624EF"/>
    <w:rsid w:val="00E7105D"/>
    <w:rsid w:val="00E721D2"/>
    <w:rsid w:val="00E73D74"/>
    <w:rsid w:val="00E74EDC"/>
    <w:rsid w:val="00E770B2"/>
    <w:rsid w:val="00E86FE3"/>
    <w:rsid w:val="00E877FA"/>
    <w:rsid w:val="00E9065F"/>
    <w:rsid w:val="00E97667"/>
    <w:rsid w:val="00EA2261"/>
    <w:rsid w:val="00EB5EFD"/>
    <w:rsid w:val="00EB7357"/>
    <w:rsid w:val="00EC54E5"/>
    <w:rsid w:val="00EE5C3C"/>
    <w:rsid w:val="00EE75C4"/>
    <w:rsid w:val="00EF07BE"/>
    <w:rsid w:val="00EF133C"/>
    <w:rsid w:val="00F035C3"/>
    <w:rsid w:val="00F039F3"/>
    <w:rsid w:val="00F0600F"/>
    <w:rsid w:val="00F07851"/>
    <w:rsid w:val="00F11872"/>
    <w:rsid w:val="00F22190"/>
    <w:rsid w:val="00F22C18"/>
    <w:rsid w:val="00F25EFC"/>
    <w:rsid w:val="00F2623E"/>
    <w:rsid w:val="00F311A1"/>
    <w:rsid w:val="00F36247"/>
    <w:rsid w:val="00F412CC"/>
    <w:rsid w:val="00F429ED"/>
    <w:rsid w:val="00F52A5E"/>
    <w:rsid w:val="00F5375D"/>
    <w:rsid w:val="00F54536"/>
    <w:rsid w:val="00F56F6A"/>
    <w:rsid w:val="00F62E8B"/>
    <w:rsid w:val="00F66B69"/>
    <w:rsid w:val="00F67EE5"/>
    <w:rsid w:val="00F7161D"/>
    <w:rsid w:val="00F71622"/>
    <w:rsid w:val="00F71B85"/>
    <w:rsid w:val="00F751A5"/>
    <w:rsid w:val="00F759B0"/>
    <w:rsid w:val="00F8003A"/>
    <w:rsid w:val="00F81D5E"/>
    <w:rsid w:val="00F965F1"/>
    <w:rsid w:val="00FA0241"/>
    <w:rsid w:val="00FA04A2"/>
    <w:rsid w:val="00FA0D3A"/>
    <w:rsid w:val="00FA279F"/>
    <w:rsid w:val="00FA2FCC"/>
    <w:rsid w:val="00FA3AAF"/>
    <w:rsid w:val="00FB0B8B"/>
    <w:rsid w:val="00FB0BD7"/>
    <w:rsid w:val="00FB247E"/>
    <w:rsid w:val="00FB52A6"/>
    <w:rsid w:val="00FB6CC6"/>
    <w:rsid w:val="00FB70DC"/>
    <w:rsid w:val="00FB75EE"/>
    <w:rsid w:val="00FC5007"/>
    <w:rsid w:val="00FD1861"/>
    <w:rsid w:val="00FD222C"/>
    <w:rsid w:val="00FD4B5B"/>
    <w:rsid w:val="00FD6C6C"/>
    <w:rsid w:val="00FE5623"/>
    <w:rsid w:val="00FE6A37"/>
    <w:rsid w:val="00FE754F"/>
    <w:rsid w:val="00FF1BE7"/>
    <w:rsid w:val="00FF775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267DA"/>
  <w15:chartTrackingRefBased/>
  <w15:docId w15:val="{CF397A07-3ED3-4AA4-B8AB-D26B541E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004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EC"/>
    <w:pPr>
      <w:ind w:left="720"/>
      <w:contextualSpacing/>
    </w:pPr>
  </w:style>
  <w:style w:type="paragraph" w:styleId="BalloonText">
    <w:name w:val="Balloon Text"/>
    <w:basedOn w:val="Normal"/>
    <w:link w:val="BalloonTextChar"/>
    <w:uiPriority w:val="99"/>
    <w:semiHidden/>
    <w:unhideWhenUsed/>
    <w:rsid w:val="00F3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47"/>
    <w:rPr>
      <w:rFonts w:ascii="Segoe UI" w:hAnsi="Segoe UI" w:cs="Segoe UI"/>
      <w:sz w:val="18"/>
      <w:szCs w:val="18"/>
    </w:rPr>
  </w:style>
  <w:style w:type="paragraph" w:styleId="NormalWeb">
    <w:name w:val="Normal (Web)"/>
    <w:basedOn w:val="Normal"/>
    <w:uiPriority w:val="99"/>
    <w:unhideWhenUsed/>
    <w:rsid w:val="000007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07E9"/>
    <w:rPr>
      <w:color w:val="0000FF"/>
      <w:u w:val="single"/>
    </w:rPr>
  </w:style>
  <w:style w:type="paragraph" w:styleId="FootnoteText">
    <w:name w:val="footnote text"/>
    <w:basedOn w:val="Normal"/>
    <w:link w:val="FootnoteTextChar"/>
    <w:uiPriority w:val="99"/>
    <w:semiHidden/>
    <w:unhideWhenUsed/>
    <w:rsid w:val="007C24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43E"/>
    <w:rPr>
      <w:sz w:val="20"/>
      <w:szCs w:val="20"/>
    </w:rPr>
  </w:style>
  <w:style w:type="character" w:styleId="FootnoteReference">
    <w:name w:val="footnote reference"/>
    <w:basedOn w:val="DefaultParagraphFont"/>
    <w:uiPriority w:val="99"/>
    <w:semiHidden/>
    <w:unhideWhenUsed/>
    <w:rsid w:val="007C243E"/>
    <w:rPr>
      <w:vertAlign w:val="superscript"/>
    </w:rPr>
  </w:style>
  <w:style w:type="paragraph" w:customStyle="1" w:styleId="western">
    <w:name w:val="western"/>
    <w:basedOn w:val="Normal"/>
    <w:rsid w:val="00CA76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7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D92"/>
  </w:style>
  <w:style w:type="paragraph" w:styleId="Footer">
    <w:name w:val="footer"/>
    <w:basedOn w:val="Normal"/>
    <w:link w:val="FooterChar"/>
    <w:uiPriority w:val="99"/>
    <w:unhideWhenUsed/>
    <w:rsid w:val="00747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D92"/>
  </w:style>
  <w:style w:type="character" w:customStyle="1" w:styleId="Heading2Char">
    <w:name w:val="Heading 2 Char"/>
    <w:basedOn w:val="DefaultParagraphFont"/>
    <w:link w:val="Heading2"/>
    <w:uiPriority w:val="9"/>
    <w:rsid w:val="001004D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5FDD"/>
    <w:rPr>
      <w:color w:val="954F72" w:themeColor="followedHyperlink"/>
      <w:u w:val="single"/>
    </w:rPr>
  </w:style>
  <w:style w:type="character" w:styleId="CommentReference">
    <w:name w:val="annotation reference"/>
    <w:basedOn w:val="DefaultParagraphFont"/>
    <w:uiPriority w:val="99"/>
    <w:semiHidden/>
    <w:unhideWhenUsed/>
    <w:rsid w:val="00B220CB"/>
    <w:rPr>
      <w:sz w:val="16"/>
      <w:szCs w:val="16"/>
    </w:rPr>
  </w:style>
  <w:style w:type="paragraph" w:styleId="CommentText">
    <w:name w:val="annotation text"/>
    <w:basedOn w:val="Normal"/>
    <w:link w:val="CommentTextChar"/>
    <w:uiPriority w:val="99"/>
    <w:semiHidden/>
    <w:unhideWhenUsed/>
    <w:rsid w:val="00B220CB"/>
    <w:pPr>
      <w:spacing w:line="240" w:lineRule="auto"/>
    </w:pPr>
    <w:rPr>
      <w:sz w:val="20"/>
      <w:szCs w:val="20"/>
    </w:rPr>
  </w:style>
  <w:style w:type="character" w:customStyle="1" w:styleId="CommentTextChar">
    <w:name w:val="Comment Text Char"/>
    <w:basedOn w:val="DefaultParagraphFont"/>
    <w:link w:val="CommentText"/>
    <w:uiPriority w:val="99"/>
    <w:semiHidden/>
    <w:rsid w:val="00B220CB"/>
    <w:rPr>
      <w:sz w:val="20"/>
      <w:szCs w:val="20"/>
    </w:rPr>
  </w:style>
  <w:style w:type="paragraph" w:styleId="CommentSubject">
    <w:name w:val="annotation subject"/>
    <w:basedOn w:val="CommentText"/>
    <w:next w:val="CommentText"/>
    <w:link w:val="CommentSubjectChar"/>
    <w:uiPriority w:val="99"/>
    <w:semiHidden/>
    <w:unhideWhenUsed/>
    <w:rsid w:val="00B220CB"/>
    <w:rPr>
      <w:b/>
      <w:bCs/>
    </w:rPr>
  </w:style>
  <w:style w:type="character" w:customStyle="1" w:styleId="CommentSubjectChar">
    <w:name w:val="Comment Subject Char"/>
    <w:basedOn w:val="CommentTextChar"/>
    <w:link w:val="CommentSubject"/>
    <w:uiPriority w:val="99"/>
    <w:semiHidden/>
    <w:rsid w:val="00B220CB"/>
    <w:rPr>
      <w:b/>
      <w:bCs/>
      <w:sz w:val="20"/>
      <w:szCs w:val="20"/>
    </w:rPr>
  </w:style>
  <w:style w:type="paragraph" w:customStyle="1" w:styleId="Default">
    <w:name w:val="Default"/>
    <w:rsid w:val="00BE006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3479">
      <w:bodyDiv w:val="1"/>
      <w:marLeft w:val="0"/>
      <w:marRight w:val="0"/>
      <w:marTop w:val="0"/>
      <w:marBottom w:val="0"/>
      <w:divBdr>
        <w:top w:val="none" w:sz="0" w:space="0" w:color="auto"/>
        <w:left w:val="none" w:sz="0" w:space="0" w:color="auto"/>
        <w:bottom w:val="none" w:sz="0" w:space="0" w:color="auto"/>
        <w:right w:val="none" w:sz="0" w:space="0" w:color="auto"/>
      </w:divBdr>
    </w:div>
    <w:div w:id="461385909">
      <w:bodyDiv w:val="1"/>
      <w:marLeft w:val="0"/>
      <w:marRight w:val="0"/>
      <w:marTop w:val="0"/>
      <w:marBottom w:val="0"/>
      <w:divBdr>
        <w:top w:val="none" w:sz="0" w:space="0" w:color="auto"/>
        <w:left w:val="none" w:sz="0" w:space="0" w:color="auto"/>
        <w:bottom w:val="none" w:sz="0" w:space="0" w:color="auto"/>
        <w:right w:val="none" w:sz="0" w:space="0" w:color="auto"/>
      </w:divBdr>
    </w:div>
    <w:div w:id="503477434">
      <w:bodyDiv w:val="1"/>
      <w:marLeft w:val="0"/>
      <w:marRight w:val="0"/>
      <w:marTop w:val="0"/>
      <w:marBottom w:val="0"/>
      <w:divBdr>
        <w:top w:val="none" w:sz="0" w:space="0" w:color="auto"/>
        <w:left w:val="none" w:sz="0" w:space="0" w:color="auto"/>
        <w:bottom w:val="none" w:sz="0" w:space="0" w:color="auto"/>
        <w:right w:val="none" w:sz="0" w:space="0" w:color="auto"/>
      </w:divBdr>
    </w:div>
    <w:div w:id="811825789">
      <w:bodyDiv w:val="1"/>
      <w:marLeft w:val="0"/>
      <w:marRight w:val="0"/>
      <w:marTop w:val="0"/>
      <w:marBottom w:val="0"/>
      <w:divBdr>
        <w:top w:val="none" w:sz="0" w:space="0" w:color="auto"/>
        <w:left w:val="none" w:sz="0" w:space="0" w:color="auto"/>
        <w:bottom w:val="none" w:sz="0" w:space="0" w:color="auto"/>
        <w:right w:val="none" w:sz="0" w:space="0" w:color="auto"/>
      </w:divBdr>
    </w:div>
    <w:div w:id="1196847302">
      <w:bodyDiv w:val="1"/>
      <w:marLeft w:val="0"/>
      <w:marRight w:val="0"/>
      <w:marTop w:val="0"/>
      <w:marBottom w:val="0"/>
      <w:divBdr>
        <w:top w:val="none" w:sz="0" w:space="0" w:color="auto"/>
        <w:left w:val="none" w:sz="0" w:space="0" w:color="auto"/>
        <w:bottom w:val="none" w:sz="0" w:space="0" w:color="auto"/>
        <w:right w:val="none" w:sz="0" w:space="0" w:color="auto"/>
      </w:divBdr>
    </w:div>
    <w:div w:id="1572933882">
      <w:bodyDiv w:val="1"/>
      <w:marLeft w:val="0"/>
      <w:marRight w:val="0"/>
      <w:marTop w:val="0"/>
      <w:marBottom w:val="0"/>
      <w:divBdr>
        <w:top w:val="none" w:sz="0" w:space="0" w:color="auto"/>
        <w:left w:val="none" w:sz="0" w:space="0" w:color="auto"/>
        <w:bottom w:val="none" w:sz="0" w:space="0" w:color="auto"/>
        <w:right w:val="none" w:sz="0" w:space="0" w:color="auto"/>
      </w:divBdr>
    </w:div>
    <w:div w:id="1667786497">
      <w:bodyDiv w:val="1"/>
      <w:marLeft w:val="0"/>
      <w:marRight w:val="0"/>
      <w:marTop w:val="0"/>
      <w:marBottom w:val="0"/>
      <w:divBdr>
        <w:top w:val="none" w:sz="0" w:space="0" w:color="auto"/>
        <w:left w:val="none" w:sz="0" w:space="0" w:color="auto"/>
        <w:bottom w:val="none" w:sz="0" w:space="0" w:color="auto"/>
        <w:right w:val="none" w:sz="0" w:space="0" w:color="auto"/>
      </w:divBdr>
    </w:div>
    <w:div w:id="1898512853">
      <w:bodyDiv w:val="1"/>
      <w:marLeft w:val="0"/>
      <w:marRight w:val="0"/>
      <w:marTop w:val="0"/>
      <w:marBottom w:val="0"/>
      <w:divBdr>
        <w:top w:val="none" w:sz="0" w:space="0" w:color="auto"/>
        <w:left w:val="none" w:sz="0" w:space="0" w:color="auto"/>
        <w:bottom w:val="none" w:sz="0" w:space="0" w:color="auto"/>
        <w:right w:val="none" w:sz="0" w:space="0" w:color="auto"/>
      </w:divBdr>
    </w:div>
    <w:div w:id="1984195654">
      <w:bodyDiv w:val="1"/>
      <w:marLeft w:val="0"/>
      <w:marRight w:val="0"/>
      <w:marTop w:val="0"/>
      <w:marBottom w:val="0"/>
      <w:divBdr>
        <w:top w:val="none" w:sz="0" w:space="0" w:color="auto"/>
        <w:left w:val="none" w:sz="0" w:space="0" w:color="auto"/>
        <w:bottom w:val="none" w:sz="0" w:space="0" w:color="auto"/>
        <w:right w:val="none" w:sz="0" w:space="0" w:color="auto"/>
      </w:divBdr>
    </w:div>
    <w:div w:id="20225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flii.org/za/legis/consol_act/sca20132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1%5d%20JOL%2049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2A97-B242-4AE1-86A6-1B4EF86A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9</cp:revision>
  <cp:lastPrinted>2023-03-08T05:55:00Z</cp:lastPrinted>
  <dcterms:created xsi:type="dcterms:W3CDTF">2023-03-07T06:12:00Z</dcterms:created>
  <dcterms:modified xsi:type="dcterms:W3CDTF">2023-03-10T05:50:00Z</dcterms:modified>
</cp:coreProperties>
</file>