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A64C9" w14:textId="77777777" w:rsidR="008C3983" w:rsidRDefault="008C3983" w:rsidP="008C3983">
      <w:pPr>
        <w:spacing w:line="360" w:lineRule="auto"/>
        <w:jc w:val="center"/>
        <w:rPr>
          <w:rFonts w:ascii="Arial" w:hAnsi="Arial" w:cs="Arial"/>
          <w:lang w:val="en-ZA"/>
        </w:rPr>
      </w:pPr>
      <w:r>
        <w:rPr>
          <w:rFonts w:ascii="Arial" w:hAnsi="Arial" w:cs="Arial"/>
          <w:noProof/>
          <w:sz w:val="18"/>
          <w:szCs w:val="18"/>
          <w:lang w:val="en-US" w:eastAsia="en-US"/>
        </w:rPr>
        <w:drawing>
          <wp:inline distT="0" distB="0" distL="0" distR="0" wp14:anchorId="7495F78F" wp14:editId="38472927">
            <wp:extent cx="120015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114425"/>
                    </a:xfrm>
                    <a:prstGeom prst="rect">
                      <a:avLst/>
                    </a:prstGeom>
                    <a:noFill/>
                    <a:ln>
                      <a:noFill/>
                    </a:ln>
                  </pic:spPr>
                </pic:pic>
              </a:graphicData>
            </a:graphic>
          </wp:inline>
        </w:drawing>
      </w:r>
    </w:p>
    <w:p w14:paraId="155942AC" w14:textId="77777777" w:rsidR="008C3983" w:rsidRDefault="008C3983" w:rsidP="0003708A">
      <w:pPr>
        <w:spacing w:line="360" w:lineRule="auto"/>
        <w:rPr>
          <w:rFonts w:ascii="Arial" w:hAnsi="Arial" w:cs="Arial"/>
          <w:lang w:val="en-ZA"/>
        </w:rPr>
      </w:pPr>
    </w:p>
    <w:p w14:paraId="1C5F772F" w14:textId="77777777" w:rsidR="0003708A" w:rsidRPr="00EC0F86" w:rsidRDefault="0003708A" w:rsidP="008C3983">
      <w:pPr>
        <w:spacing w:line="360" w:lineRule="auto"/>
        <w:jc w:val="center"/>
        <w:rPr>
          <w:rFonts w:ascii="Arial" w:hAnsi="Arial" w:cs="Arial"/>
          <w:b/>
          <w:lang w:val="en-ZA"/>
        </w:rPr>
      </w:pPr>
      <w:r w:rsidRPr="00EC0F86">
        <w:rPr>
          <w:rFonts w:ascii="Arial" w:hAnsi="Arial" w:cs="Arial"/>
          <w:b/>
          <w:lang w:val="en-ZA"/>
        </w:rPr>
        <w:t>IN THE HIGH COURT OF SOUTH AFRICA</w:t>
      </w:r>
    </w:p>
    <w:p w14:paraId="156C107B" w14:textId="77777777" w:rsidR="0003708A" w:rsidRPr="00EC0F86" w:rsidRDefault="0003708A" w:rsidP="008C3983">
      <w:pPr>
        <w:spacing w:line="360" w:lineRule="auto"/>
        <w:jc w:val="center"/>
        <w:rPr>
          <w:rFonts w:ascii="Arial" w:hAnsi="Arial" w:cs="Arial"/>
          <w:b/>
          <w:lang w:val="en-ZA"/>
        </w:rPr>
      </w:pPr>
      <w:r w:rsidRPr="00EC0F86">
        <w:rPr>
          <w:rFonts w:ascii="Arial" w:hAnsi="Arial" w:cs="Arial"/>
          <w:b/>
          <w:lang w:val="en-ZA"/>
        </w:rPr>
        <w:t>KWAZULU-NATAL</w:t>
      </w:r>
      <w:r w:rsidR="00122056" w:rsidRPr="00EC0F86">
        <w:rPr>
          <w:rFonts w:ascii="Arial" w:hAnsi="Arial" w:cs="Arial"/>
          <w:b/>
          <w:lang w:val="en-ZA"/>
        </w:rPr>
        <w:t xml:space="preserve"> </w:t>
      </w:r>
      <w:r w:rsidRPr="00EC0F86">
        <w:rPr>
          <w:rFonts w:ascii="Arial" w:hAnsi="Arial" w:cs="Arial"/>
          <w:b/>
          <w:lang w:val="en-ZA"/>
        </w:rPr>
        <w:t xml:space="preserve">DIVISION, </w:t>
      </w:r>
      <w:r w:rsidR="000A6102" w:rsidRPr="00EC0F86">
        <w:rPr>
          <w:rFonts w:ascii="Arial" w:hAnsi="Arial" w:cs="Arial"/>
          <w:b/>
          <w:lang w:val="en-ZA"/>
        </w:rPr>
        <w:t>PIETERMARITZBURG</w:t>
      </w:r>
    </w:p>
    <w:p w14:paraId="6DC10051" w14:textId="77777777" w:rsidR="0003708A" w:rsidRDefault="0003708A" w:rsidP="0003708A">
      <w:pPr>
        <w:rPr>
          <w:rFonts w:ascii="Arial" w:hAnsi="Arial" w:cs="Arial"/>
          <w:lang w:val="en-ZA"/>
        </w:rPr>
      </w:pPr>
      <w:r>
        <w:rPr>
          <w:rFonts w:ascii="Arial" w:hAnsi="Arial" w:cs="Arial"/>
          <w:lang w:val="en-ZA"/>
        </w:rPr>
        <w:tab/>
      </w:r>
      <w:r>
        <w:rPr>
          <w:rFonts w:ascii="Arial" w:hAnsi="Arial" w:cs="Arial"/>
          <w:lang w:val="en-ZA"/>
        </w:rPr>
        <w:tab/>
      </w:r>
    </w:p>
    <w:p w14:paraId="20362820" w14:textId="1564174F" w:rsidR="0003708A" w:rsidRDefault="005E2E80" w:rsidP="0003708A">
      <w:pPr>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009A5036">
        <w:rPr>
          <w:rFonts w:ascii="Arial" w:hAnsi="Arial" w:cs="Arial"/>
          <w:lang w:val="en-ZA"/>
        </w:rPr>
        <w:t xml:space="preserve">     </w:t>
      </w:r>
      <w:r w:rsidR="00B60558">
        <w:rPr>
          <w:rFonts w:ascii="Arial" w:hAnsi="Arial" w:cs="Arial"/>
          <w:lang w:val="en-ZA"/>
        </w:rPr>
        <w:t xml:space="preserve">CASE NO. </w:t>
      </w:r>
      <w:r w:rsidR="000E73C2">
        <w:rPr>
          <w:rFonts w:ascii="Arial" w:hAnsi="Arial" w:cs="Arial"/>
          <w:lang w:val="en-ZA"/>
        </w:rPr>
        <w:t>AR</w:t>
      </w:r>
      <w:r w:rsidR="0058047D">
        <w:rPr>
          <w:rFonts w:ascii="Arial" w:hAnsi="Arial" w:cs="Arial"/>
          <w:lang w:val="en-ZA"/>
        </w:rPr>
        <w:t>27/2022</w:t>
      </w:r>
    </w:p>
    <w:p w14:paraId="58AE2179" w14:textId="77777777" w:rsidR="0003708A" w:rsidRDefault="0003708A" w:rsidP="0003708A">
      <w:pPr>
        <w:rPr>
          <w:rFonts w:ascii="Arial" w:hAnsi="Arial" w:cs="Arial"/>
          <w:lang w:val="en-ZA"/>
        </w:rPr>
      </w:pPr>
    </w:p>
    <w:p w14:paraId="2B471499" w14:textId="77777777" w:rsidR="0003708A" w:rsidRDefault="0003708A" w:rsidP="0003708A">
      <w:pPr>
        <w:rPr>
          <w:rFonts w:ascii="Arial" w:hAnsi="Arial" w:cs="Arial"/>
          <w:lang w:val="en-ZA"/>
        </w:rPr>
      </w:pPr>
      <w:r>
        <w:rPr>
          <w:rFonts w:ascii="Arial" w:hAnsi="Arial" w:cs="Arial"/>
          <w:lang w:val="en-ZA"/>
        </w:rPr>
        <w:t>In the matter between:</w:t>
      </w:r>
    </w:p>
    <w:p w14:paraId="227BF67C" w14:textId="77777777" w:rsidR="0003708A" w:rsidRDefault="0003708A" w:rsidP="00D67730">
      <w:pPr>
        <w:spacing w:line="360" w:lineRule="auto"/>
        <w:contextualSpacing/>
        <w:rPr>
          <w:rFonts w:ascii="Arial" w:hAnsi="Arial" w:cs="Arial"/>
          <w:lang w:val="en-ZA"/>
        </w:rPr>
      </w:pPr>
    </w:p>
    <w:p w14:paraId="08ABB2D1" w14:textId="0894D177" w:rsidR="009A6995" w:rsidRDefault="0058047D" w:rsidP="00D67730">
      <w:pPr>
        <w:tabs>
          <w:tab w:val="right" w:pos="8789"/>
        </w:tabs>
        <w:spacing w:line="360" w:lineRule="auto"/>
        <w:contextualSpacing/>
        <w:rPr>
          <w:rFonts w:ascii="Arial" w:hAnsi="Arial" w:cs="Arial"/>
          <w:b/>
          <w:lang w:val="en-ZA"/>
        </w:rPr>
      </w:pPr>
      <w:r>
        <w:rPr>
          <w:rFonts w:ascii="Arial" w:hAnsi="Arial" w:cs="Arial"/>
          <w:b/>
          <w:lang w:val="en-ZA"/>
        </w:rPr>
        <w:t>TONGAAT HULETT SUGAR SOUTH AFRICA</w:t>
      </w:r>
      <w:r w:rsidR="00A54B8D">
        <w:rPr>
          <w:rFonts w:ascii="Arial" w:hAnsi="Arial" w:cs="Arial"/>
          <w:b/>
          <w:lang w:val="en-ZA"/>
        </w:rPr>
        <w:t xml:space="preserve"> LIMITED</w:t>
      </w:r>
      <w:r w:rsidR="00D67730">
        <w:rPr>
          <w:rFonts w:ascii="Arial" w:hAnsi="Arial" w:cs="Arial"/>
          <w:b/>
          <w:lang w:val="en-ZA"/>
        </w:rPr>
        <w:tab/>
      </w:r>
      <w:r w:rsidR="000E0E32" w:rsidRPr="00EC0F86">
        <w:rPr>
          <w:rFonts w:ascii="Arial" w:hAnsi="Arial" w:cs="Arial"/>
          <w:b/>
          <w:lang w:val="en-ZA"/>
        </w:rPr>
        <w:t>APPELLANT</w:t>
      </w:r>
    </w:p>
    <w:p w14:paraId="23164323" w14:textId="06479714" w:rsidR="00936D22" w:rsidRPr="00EC0F86" w:rsidRDefault="00936D22" w:rsidP="00D67730">
      <w:pPr>
        <w:tabs>
          <w:tab w:val="right" w:pos="8789"/>
        </w:tabs>
        <w:spacing w:line="360" w:lineRule="auto"/>
        <w:contextualSpacing/>
        <w:rPr>
          <w:rFonts w:ascii="Arial" w:hAnsi="Arial" w:cs="Arial"/>
          <w:b/>
          <w:lang w:val="en-ZA"/>
        </w:rPr>
      </w:pPr>
      <w:r>
        <w:rPr>
          <w:rFonts w:ascii="Arial" w:hAnsi="Arial" w:cs="Arial"/>
          <w:b/>
          <w:lang w:val="en-ZA"/>
        </w:rPr>
        <w:tab/>
      </w:r>
    </w:p>
    <w:p w14:paraId="5FA11027" w14:textId="77777777" w:rsidR="0003708A" w:rsidRPr="005E2E80" w:rsidRDefault="0003708A" w:rsidP="00D67730">
      <w:pPr>
        <w:tabs>
          <w:tab w:val="right" w:pos="8789"/>
        </w:tabs>
        <w:spacing w:line="360" w:lineRule="auto"/>
        <w:contextualSpacing/>
        <w:rPr>
          <w:rFonts w:ascii="Arial" w:hAnsi="Arial" w:cs="Arial"/>
          <w:lang w:val="en-ZA"/>
        </w:rPr>
      </w:pPr>
      <w:r w:rsidRPr="005E2E80">
        <w:rPr>
          <w:rFonts w:ascii="Arial" w:hAnsi="Arial" w:cs="Arial"/>
          <w:lang w:val="en-ZA"/>
        </w:rPr>
        <w:t>and</w:t>
      </w:r>
    </w:p>
    <w:p w14:paraId="2741249D" w14:textId="77777777" w:rsidR="0003708A" w:rsidRPr="005E2E80" w:rsidRDefault="0003708A" w:rsidP="00D67730">
      <w:pPr>
        <w:tabs>
          <w:tab w:val="right" w:pos="8789"/>
        </w:tabs>
        <w:spacing w:line="360" w:lineRule="auto"/>
        <w:contextualSpacing/>
        <w:rPr>
          <w:rFonts w:ascii="Arial" w:hAnsi="Arial" w:cs="Arial"/>
          <w:lang w:val="en-ZA"/>
        </w:rPr>
      </w:pPr>
    </w:p>
    <w:p w14:paraId="092663B8" w14:textId="1FD26CF0" w:rsidR="0003708A" w:rsidRDefault="0058047D" w:rsidP="00D67730">
      <w:pPr>
        <w:tabs>
          <w:tab w:val="right" w:pos="8789"/>
        </w:tabs>
        <w:spacing w:line="360" w:lineRule="auto"/>
        <w:contextualSpacing/>
        <w:rPr>
          <w:rFonts w:ascii="Arial" w:hAnsi="Arial" w:cs="Arial"/>
          <w:b/>
          <w:lang w:val="en-ZA"/>
        </w:rPr>
      </w:pPr>
      <w:r>
        <w:rPr>
          <w:rFonts w:ascii="Arial" w:hAnsi="Arial" w:cs="Arial"/>
          <w:b/>
          <w:lang w:val="en-ZA"/>
        </w:rPr>
        <w:t>TONGAAT HULETT PENSION FUND 2010</w:t>
      </w:r>
      <w:r w:rsidR="00D67730">
        <w:rPr>
          <w:rFonts w:ascii="Arial" w:hAnsi="Arial" w:cs="Arial"/>
          <w:b/>
          <w:lang w:val="en-ZA"/>
        </w:rPr>
        <w:tab/>
      </w:r>
      <w:r>
        <w:rPr>
          <w:rFonts w:ascii="Arial" w:hAnsi="Arial" w:cs="Arial"/>
          <w:b/>
          <w:lang w:val="en-ZA"/>
        </w:rPr>
        <w:t xml:space="preserve">FIRST </w:t>
      </w:r>
      <w:r w:rsidR="000E0E32" w:rsidRPr="00EC0F86">
        <w:rPr>
          <w:rFonts w:ascii="Arial" w:hAnsi="Arial" w:cs="Arial"/>
          <w:b/>
          <w:lang w:val="en-ZA"/>
        </w:rPr>
        <w:t>RESPONDENT</w:t>
      </w:r>
    </w:p>
    <w:p w14:paraId="36D0C753" w14:textId="282119E5" w:rsidR="0058047D" w:rsidRDefault="0058047D" w:rsidP="00D67730">
      <w:pPr>
        <w:tabs>
          <w:tab w:val="right" w:pos="8789"/>
        </w:tabs>
        <w:spacing w:line="360" w:lineRule="auto"/>
        <w:contextualSpacing/>
        <w:rPr>
          <w:rFonts w:ascii="Arial" w:hAnsi="Arial" w:cs="Arial"/>
          <w:b/>
          <w:lang w:val="en-ZA"/>
        </w:rPr>
      </w:pPr>
      <w:r>
        <w:rPr>
          <w:rFonts w:ascii="Arial" w:hAnsi="Arial" w:cs="Arial"/>
          <w:b/>
          <w:lang w:val="en-ZA"/>
        </w:rPr>
        <w:t>MOMENTUM RETIREMENT ADMINISTRATORS</w:t>
      </w:r>
    </w:p>
    <w:p w14:paraId="25BEA9E2" w14:textId="7E7B278C" w:rsidR="0058047D" w:rsidRDefault="0058047D" w:rsidP="00D67730">
      <w:pPr>
        <w:tabs>
          <w:tab w:val="right" w:pos="8789"/>
        </w:tabs>
        <w:spacing w:line="360" w:lineRule="auto"/>
        <w:contextualSpacing/>
        <w:rPr>
          <w:rFonts w:ascii="Arial" w:hAnsi="Arial" w:cs="Arial"/>
          <w:b/>
          <w:lang w:val="en-ZA"/>
        </w:rPr>
      </w:pPr>
      <w:r>
        <w:rPr>
          <w:rFonts w:ascii="Arial" w:hAnsi="Arial" w:cs="Arial"/>
          <w:b/>
          <w:lang w:val="en-ZA"/>
        </w:rPr>
        <w:t>(PTY) LTD</w:t>
      </w:r>
      <w:r w:rsidR="00D67730">
        <w:rPr>
          <w:rFonts w:ascii="Arial" w:hAnsi="Arial" w:cs="Arial"/>
          <w:b/>
          <w:lang w:val="en-ZA"/>
        </w:rPr>
        <w:tab/>
      </w:r>
      <w:r>
        <w:rPr>
          <w:rFonts w:ascii="Arial" w:hAnsi="Arial" w:cs="Arial"/>
          <w:b/>
          <w:lang w:val="en-ZA"/>
        </w:rPr>
        <w:t xml:space="preserve">       SECOND RESPONDENT</w:t>
      </w:r>
    </w:p>
    <w:p w14:paraId="7C9060A7" w14:textId="61530C39" w:rsidR="0058047D" w:rsidRDefault="0058047D" w:rsidP="00D67730">
      <w:pPr>
        <w:tabs>
          <w:tab w:val="right" w:pos="8789"/>
        </w:tabs>
        <w:spacing w:line="360" w:lineRule="auto"/>
        <w:contextualSpacing/>
        <w:rPr>
          <w:rFonts w:ascii="Arial" w:hAnsi="Arial" w:cs="Arial"/>
          <w:b/>
          <w:lang w:val="en-ZA"/>
        </w:rPr>
      </w:pPr>
      <w:r>
        <w:rPr>
          <w:rFonts w:ascii="Arial" w:hAnsi="Arial" w:cs="Arial"/>
          <w:b/>
          <w:lang w:val="en-ZA"/>
        </w:rPr>
        <w:t>NQABOMZI MARA MAYOLA</w:t>
      </w:r>
      <w:r w:rsidR="00D67730">
        <w:rPr>
          <w:rFonts w:ascii="Arial" w:hAnsi="Arial" w:cs="Arial"/>
          <w:b/>
          <w:lang w:val="en-ZA"/>
        </w:rPr>
        <w:tab/>
      </w:r>
      <w:r>
        <w:rPr>
          <w:rFonts w:ascii="Arial" w:hAnsi="Arial" w:cs="Arial"/>
          <w:b/>
          <w:lang w:val="en-ZA"/>
        </w:rPr>
        <w:t>THIRD RESPONDENT</w:t>
      </w:r>
    </w:p>
    <w:p w14:paraId="7407EDDF" w14:textId="6858DB41" w:rsidR="0058047D" w:rsidRPr="00EC0F86" w:rsidRDefault="0058047D" w:rsidP="00D67730">
      <w:pPr>
        <w:tabs>
          <w:tab w:val="right" w:pos="8789"/>
        </w:tabs>
        <w:spacing w:line="360" w:lineRule="auto"/>
        <w:contextualSpacing/>
        <w:rPr>
          <w:rFonts w:ascii="Arial" w:hAnsi="Arial" w:cs="Arial"/>
          <w:b/>
          <w:lang w:val="en-ZA"/>
        </w:rPr>
      </w:pPr>
      <w:r>
        <w:rPr>
          <w:rFonts w:ascii="Arial" w:hAnsi="Arial" w:cs="Arial"/>
          <w:b/>
          <w:lang w:val="en-ZA"/>
        </w:rPr>
        <w:t>THE PENSION FUND</w:t>
      </w:r>
      <w:r w:rsidR="005128B9">
        <w:rPr>
          <w:rFonts w:ascii="Arial" w:hAnsi="Arial" w:cs="Arial"/>
          <w:b/>
          <w:lang w:val="en-ZA"/>
        </w:rPr>
        <w:t>S</w:t>
      </w:r>
      <w:r>
        <w:rPr>
          <w:rFonts w:ascii="Arial" w:hAnsi="Arial" w:cs="Arial"/>
          <w:b/>
          <w:lang w:val="en-ZA"/>
        </w:rPr>
        <w:t xml:space="preserve"> ADJUDICATOR</w:t>
      </w:r>
      <w:r w:rsidR="00D67730">
        <w:rPr>
          <w:rFonts w:ascii="Arial" w:hAnsi="Arial" w:cs="Arial"/>
          <w:b/>
          <w:lang w:val="en-ZA"/>
        </w:rPr>
        <w:tab/>
      </w:r>
      <w:r>
        <w:rPr>
          <w:rFonts w:ascii="Arial" w:hAnsi="Arial" w:cs="Arial"/>
          <w:b/>
          <w:lang w:val="en-ZA"/>
        </w:rPr>
        <w:t xml:space="preserve">       FOURTH RESPONDENT</w:t>
      </w:r>
    </w:p>
    <w:p w14:paraId="5772F7C9" w14:textId="77777777" w:rsidR="00C15616" w:rsidRDefault="00C15616" w:rsidP="00AC48AA">
      <w:pPr>
        <w:pBdr>
          <w:bottom w:val="single" w:sz="12" w:space="1" w:color="auto"/>
        </w:pBdr>
        <w:rPr>
          <w:rFonts w:ascii="Arial" w:hAnsi="Arial" w:cs="Arial"/>
          <w:lang w:val="en-ZA"/>
        </w:rPr>
      </w:pPr>
    </w:p>
    <w:p w14:paraId="7098C58A" w14:textId="77777777" w:rsidR="00C15616" w:rsidRPr="00C15616" w:rsidRDefault="00C15616" w:rsidP="00C15616">
      <w:pPr>
        <w:jc w:val="both"/>
        <w:rPr>
          <w:rFonts w:ascii="Arial" w:hAnsi="Arial" w:cs="Arial"/>
          <w:lang w:val="en-ZA"/>
        </w:rPr>
      </w:pPr>
    </w:p>
    <w:p w14:paraId="2FDF3213" w14:textId="35A3BD01" w:rsidR="00C15616" w:rsidRPr="00C15616" w:rsidRDefault="00C15616" w:rsidP="00C15616">
      <w:pPr>
        <w:pBdr>
          <w:bottom w:val="single" w:sz="12" w:space="1" w:color="auto"/>
        </w:pBdr>
        <w:jc w:val="both"/>
        <w:rPr>
          <w:rFonts w:ascii="Arial" w:hAnsi="Arial" w:cs="Arial"/>
          <w:lang w:val="en-ZA"/>
        </w:rPr>
      </w:pPr>
      <w:r w:rsidRPr="00C15616">
        <w:rPr>
          <w:rFonts w:ascii="Arial" w:hAnsi="Arial" w:cs="Arial"/>
          <w:lang w:val="en-ZA"/>
        </w:rPr>
        <w:t>Coram:</w:t>
      </w:r>
      <w:r w:rsidRPr="00C15616">
        <w:rPr>
          <w:rFonts w:ascii="Arial" w:hAnsi="Arial" w:cs="Arial"/>
          <w:lang w:val="en-ZA"/>
        </w:rPr>
        <w:tab/>
      </w:r>
      <w:r w:rsidR="00655BD2">
        <w:rPr>
          <w:rFonts w:ascii="Arial" w:hAnsi="Arial" w:cs="Arial"/>
          <w:lang w:val="en-ZA"/>
        </w:rPr>
        <w:t>Seegobin</w:t>
      </w:r>
      <w:r w:rsidRPr="00C15616">
        <w:rPr>
          <w:rFonts w:ascii="Arial" w:hAnsi="Arial" w:cs="Arial"/>
          <w:lang w:val="en-ZA"/>
        </w:rPr>
        <w:t xml:space="preserve"> </w:t>
      </w:r>
      <w:r w:rsidR="00B00E9D">
        <w:rPr>
          <w:rFonts w:ascii="Arial" w:hAnsi="Arial" w:cs="Arial"/>
          <w:lang w:val="en-ZA"/>
        </w:rPr>
        <w:t>et</w:t>
      </w:r>
      <w:r w:rsidR="00655BD2">
        <w:rPr>
          <w:rFonts w:ascii="Arial" w:hAnsi="Arial" w:cs="Arial"/>
          <w:lang w:val="en-ZA"/>
        </w:rPr>
        <w:t xml:space="preserve"> P</w:t>
      </w:r>
      <w:r w:rsidR="00B00E9D">
        <w:rPr>
          <w:rFonts w:ascii="Arial" w:hAnsi="Arial" w:cs="Arial"/>
          <w:lang w:val="en-ZA"/>
        </w:rPr>
        <w:t xml:space="preserve"> </w:t>
      </w:r>
      <w:r w:rsidR="007751EC">
        <w:rPr>
          <w:rFonts w:ascii="Arial" w:hAnsi="Arial" w:cs="Arial"/>
          <w:lang w:val="en-ZA"/>
        </w:rPr>
        <w:t>Bezuidenhout JJ</w:t>
      </w:r>
      <w:r w:rsidR="00F732A1">
        <w:rPr>
          <w:rFonts w:ascii="Arial" w:hAnsi="Arial" w:cs="Arial"/>
          <w:lang w:val="en-ZA"/>
        </w:rPr>
        <w:t xml:space="preserve"> </w:t>
      </w:r>
      <w:r w:rsidR="007751EC">
        <w:rPr>
          <w:rFonts w:ascii="Arial" w:hAnsi="Arial" w:cs="Arial"/>
          <w:lang w:val="en-ZA"/>
        </w:rPr>
        <w:t>and</w:t>
      </w:r>
      <w:r w:rsidR="00B00E9D">
        <w:rPr>
          <w:rFonts w:ascii="Arial" w:hAnsi="Arial" w:cs="Arial"/>
          <w:lang w:val="en-ZA"/>
        </w:rPr>
        <w:t xml:space="preserve"> Thobela-Mkhulisi AJ</w:t>
      </w:r>
    </w:p>
    <w:p w14:paraId="2090CEF5" w14:textId="77777777" w:rsidR="00C15616" w:rsidRPr="00C15616" w:rsidRDefault="00C15616" w:rsidP="00C15616">
      <w:pPr>
        <w:pBdr>
          <w:bottom w:val="single" w:sz="12" w:space="1" w:color="auto"/>
        </w:pBdr>
        <w:jc w:val="both"/>
        <w:rPr>
          <w:rFonts w:ascii="Arial" w:hAnsi="Arial" w:cs="Arial"/>
          <w:lang w:val="en-ZA"/>
        </w:rPr>
      </w:pPr>
    </w:p>
    <w:p w14:paraId="6E604E7D" w14:textId="14486014" w:rsidR="00C15616" w:rsidRPr="00C15616" w:rsidRDefault="00C15616" w:rsidP="00C15616">
      <w:pPr>
        <w:pBdr>
          <w:bottom w:val="single" w:sz="12" w:space="1" w:color="auto"/>
        </w:pBdr>
        <w:jc w:val="both"/>
        <w:rPr>
          <w:rFonts w:ascii="Arial" w:hAnsi="Arial" w:cs="Arial"/>
          <w:lang w:val="en-ZA"/>
        </w:rPr>
      </w:pPr>
      <w:r w:rsidRPr="00C15616">
        <w:rPr>
          <w:rFonts w:ascii="Arial" w:hAnsi="Arial" w:cs="Arial"/>
          <w:lang w:val="en-ZA"/>
        </w:rPr>
        <w:t xml:space="preserve">Heard: </w:t>
      </w:r>
      <w:r w:rsidRPr="00C15616">
        <w:rPr>
          <w:rFonts w:ascii="Arial" w:hAnsi="Arial" w:cs="Arial"/>
          <w:lang w:val="en-ZA"/>
        </w:rPr>
        <w:tab/>
      </w:r>
      <w:r w:rsidR="00374F1E">
        <w:rPr>
          <w:rFonts w:ascii="Arial" w:hAnsi="Arial" w:cs="Arial"/>
          <w:lang w:val="en-ZA"/>
        </w:rPr>
        <w:t>25 November 2022</w:t>
      </w:r>
    </w:p>
    <w:p w14:paraId="7FB0082B" w14:textId="77777777" w:rsidR="00C15616" w:rsidRPr="00C15616" w:rsidRDefault="00C15616" w:rsidP="00C15616">
      <w:pPr>
        <w:pBdr>
          <w:bottom w:val="single" w:sz="12" w:space="1" w:color="auto"/>
        </w:pBdr>
        <w:jc w:val="both"/>
        <w:rPr>
          <w:rFonts w:ascii="Arial" w:hAnsi="Arial" w:cs="Arial"/>
          <w:lang w:val="en-ZA"/>
        </w:rPr>
      </w:pPr>
    </w:p>
    <w:p w14:paraId="1F365614" w14:textId="79D8279F" w:rsidR="00C15616" w:rsidRPr="00C15616" w:rsidRDefault="00936D22" w:rsidP="00C15616">
      <w:pPr>
        <w:pBdr>
          <w:bottom w:val="single" w:sz="12" w:space="1" w:color="auto"/>
        </w:pBdr>
        <w:jc w:val="both"/>
        <w:rPr>
          <w:rFonts w:ascii="Arial" w:hAnsi="Arial" w:cs="Arial"/>
          <w:lang w:val="en-ZA"/>
        </w:rPr>
      </w:pPr>
      <w:r>
        <w:rPr>
          <w:rFonts w:ascii="Arial" w:hAnsi="Arial" w:cs="Arial"/>
          <w:lang w:val="en-ZA"/>
        </w:rPr>
        <w:t xml:space="preserve">Delivered:     </w:t>
      </w:r>
      <w:r w:rsidR="00374F1E">
        <w:rPr>
          <w:rFonts w:ascii="Arial" w:hAnsi="Arial" w:cs="Arial"/>
          <w:lang w:val="en-ZA"/>
        </w:rPr>
        <w:t>03 March 2023</w:t>
      </w:r>
    </w:p>
    <w:p w14:paraId="02910BDF" w14:textId="77777777" w:rsidR="00AC48AA" w:rsidRDefault="009A6995" w:rsidP="00AC48AA">
      <w:pPr>
        <w:pBdr>
          <w:bottom w:val="single" w:sz="12" w:space="1" w:color="auto"/>
        </w:pBdr>
        <w:rPr>
          <w:rFonts w:ascii="Arial" w:hAnsi="Arial" w:cs="Arial"/>
          <w:b/>
          <w:lang w:val="en-ZA"/>
        </w:rPr>
      </w:pPr>
      <w:r>
        <w:rPr>
          <w:rFonts w:ascii="Arial" w:hAnsi="Arial" w:cs="Arial"/>
          <w:lang w:val="en-ZA"/>
        </w:rPr>
        <w:tab/>
      </w:r>
    </w:p>
    <w:p w14:paraId="11810BE2" w14:textId="77777777" w:rsidR="00AC48AA" w:rsidRDefault="00AC48AA" w:rsidP="00AC48AA">
      <w:pPr>
        <w:rPr>
          <w:rFonts w:ascii="Arial" w:hAnsi="Arial" w:cs="Arial"/>
          <w:b/>
          <w:lang w:val="en-ZA"/>
        </w:rPr>
      </w:pPr>
    </w:p>
    <w:p w14:paraId="1EB1947A" w14:textId="77777777" w:rsidR="00AC48AA" w:rsidRDefault="00AC48AA" w:rsidP="00AC48AA">
      <w:pPr>
        <w:ind w:left="2880" w:firstLine="720"/>
        <w:rPr>
          <w:rFonts w:ascii="Arial" w:hAnsi="Arial" w:cs="Arial"/>
          <w:b/>
          <w:lang w:val="en-ZA"/>
        </w:rPr>
      </w:pPr>
      <w:r>
        <w:rPr>
          <w:rFonts w:ascii="Arial" w:hAnsi="Arial" w:cs="Arial"/>
          <w:b/>
          <w:lang w:val="en-ZA"/>
        </w:rPr>
        <w:t>ORDER</w:t>
      </w:r>
    </w:p>
    <w:p w14:paraId="1D99DFB8" w14:textId="77777777" w:rsidR="00AC48AA" w:rsidRPr="005E2E80" w:rsidRDefault="00AC48AA" w:rsidP="00AC48AA">
      <w:pPr>
        <w:pBdr>
          <w:bottom w:val="single" w:sz="12" w:space="1" w:color="auto"/>
        </w:pBdr>
        <w:jc w:val="center"/>
        <w:rPr>
          <w:rFonts w:ascii="Arial" w:hAnsi="Arial" w:cs="Arial"/>
          <w:b/>
          <w:sz w:val="16"/>
          <w:szCs w:val="16"/>
          <w:lang w:val="en-ZA"/>
        </w:rPr>
      </w:pP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p>
    <w:p w14:paraId="33284FB1" w14:textId="4EB3D8C8" w:rsidR="00AC48AA" w:rsidRDefault="00AC48AA" w:rsidP="00AC48AA">
      <w:pPr>
        <w:spacing w:line="480" w:lineRule="auto"/>
        <w:jc w:val="both"/>
        <w:rPr>
          <w:rFonts w:ascii="Arial" w:hAnsi="Arial" w:cs="Arial"/>
          <w:lang w:val="en-ZA"/>
        </w:rPr>
      </w:pPr>
    </w:p>
    <w:p w14:paraId="170F8CDB" w14:textId="7EA7B071" w:rsidR="00936D22" w:rsidRDefault="00936D22" w:rsidP="00936D22">
      <w:pPr>
        <w:spacing w:line="360" w:lineRule="auto"/>
        <w:jc w:val="both"/>
        <w:rPr>
          <w:rFonts w:ascii="Arial" w:hAnsi="Arial" w:cs="Arial"/>
          <w:lang w:val="en-ZA"/>
        </w:rPr>
      </w:pPr>
      <w:r w:rsidRPr="00141BA5">
        <w:rPr>
          <w:rFonts w:ascii="Arial" w:hAnsi="Arial" w:cs="Arial"/>
          <w:b/>
          <w:lang w:val="en-ZA"/>
        </w:rPr>
        <w:t>On appeal from</w:t>
      </w:r>
      <w:r w:rsidR="00A54B8D">
        <w:rPr>
          <w:rFonts w:ascii="Arial" w:hAnsi="Arial" w:cs="Arial"/>
          <w:b/>
          <w:lang w:val="en-ZA"/>
        </w:rPr>
        <w:t>:</w:t>
      </w:r>
      <w:r w:rsidRPr="00BA2F80">
        <w:rPr>
          <w:rFonts w:ascii="Arial" w:hAnsi="Arial" w:cs="Arial"/>
          <w:lang w:val="en-ZA"/>
        </w:rPr>
        <w:t xml:space="preserve"> </w:t>
      </w:r>
      <w:r>
        <w:rPr>
          <w:rFonts w:ascii="Arial" w:hAnsi="Arial" w:cs="Arial"/>
          <w:lang w:val="en-ZA"/>
        </w:rPr>
        <w:t xml:space="preserve">the KwaZulu-Natal </w:t>
      </w:r>
      <w:r w:rsidR="00A54B8D">
        <w:rPr>
          <w:rFonts w:ascii="Arial" w:hAnsi="Arial" w:cs="Arial"/>
          <w:lang w:val="en-ZA"/>
        </w:rPr>
        <w:t xml:space="preserve">Division of the </w:t>
      </w:r>
      <w:r>
        <w:rPr>
          <w:rFonts w:ascii="Arial" w:hAnsi="Arial" w:cs="Arial"/>
          <w:lang w:val="en-ZA"/>
        </w:rPr>
        <w:t>High Court, Pietermaritzburg (</w:t>
      </w:r>
      <w:r w:rsidR="00B00E9D">
        <w:rPr>
          <w:rFonts w:ascii="Arial" w:hAnsi="Arial" w:cs="Arial"/>
          <w:lang w:val="en-ZA"/>
        </w:rPr>
        <w:t>Hadebe</w:t>
      </w:r>
      <w:r>
        <w:rPr>
          <w:rFonts w:ascii="Arial" w:hAnsi="Arial" w:cs="Arial"/>
          <w:lang w:val="en-ZA"/>
        </w:rPr>
        <w:t xml:space="preserve"> J sitting as court of first instance):</w:t>
      </w:r>
    </w:p>
    <w:p w14:paraId="7FDC4BCE" w14:textId="32FAD779" w:rsidR="0031668C" w:rsidRDefault="0031668C" w:rsidP="00497265">
      <w:pPr>
        <w:widowControl w:val="0"/>
        <w:spacing w:line="360" w:lineRule="auto"/>
        <w:contextualSpacing/>
        <w:jc w:val="both"/>
        <w:rPr>
          <w:rFonts w:ascii="Arial" w:hAnsi="Arial" w:cs="Arial"/>
        </w:rPr>
      </w:pPr>
      <w:r>
        <w:rPr>
          <w:rFonts w:ascii="Arial" w:hAnsi="Arial" w:cs="Arial"/>
        </w:rPr>
        <w:t>1.</w:t>
      </w:r>
      <w:r>
        <w:rPr>
          <w:rFonts w:ascii="Arial" w:hAnsi="Arial" w:cs="Arial"/>
        </w:rPr>
        <w:tab/>
        <w:t>The appeal is upheld.</w:t>
      </w:r>
    </w:p>
    <w:p w14:paraId="526FA5F2" w14:textId="4ACA1CAB" w:rsidR="00497265" w:rsidRPr="00497265" w:rsidRDefault="0031668C" w:rsidP="00497265">
      <w:pPr>
        <w:widowControl w:val="0"/>
        <w:spacing w:line="360" w:lineRule="auto"/>
        <w:contextualSpacing/>
        <w:jc w:val="both"/>
        <w:rPr>
          <w:rFonts w:ascii="Arial" w:hAnsi="Arial" w:cs="Arial"/>
        </w:rPr>
      </w:pPr>
      <w:r>
        <w:rPr>
          <w:rFonts w:ascii="Arial" w:hAnsi="Arial" w:cs="Arial"/>
        </w:rPr>
        <w:t>2</w:t>
      </w:r>
      <w:r w:rsidR="00497265" w:rsidRPr="00497265">
        <w:rPr>
          <w:rFonts w:ascii="Arial" w:hAnsi="Arial" w:cs="Arial"/>
        </w:rPr>
        <w:t>.</w:t>
      </w:r>
      <w:r w:rsidR="00497265" w:rsidRPr="00497265">
        <w:rPr>
          <w:rFonts w:ascii="Arial" w:hAnsi="Arial" w:cs="Arial"/>
        </w:rPr>
        <w:tab/>
        <w:t xml:space="preserve">The determination of the fourth respondent, dated 16 July 2020 in terms whereof the first respondent was ordered to pay to the third respondent her withdrawal </w:t>
      </w:r>
      <w:r w:rsidR="00497265" w:rsidRPr="00497265">
        <w:rPr>
          <w:rFonts w:ascii="Arial" w:hAnsi="Arial" w:cs="Arial"/>
        </w:rPr>
        <w:lastRenderedPageBreak/>
        <w:t>benefit, inclusive of fund return earned on such benefit calculated from August 2019 to date of payment is hereby reviewed and set aside in terms of section 30P of the Pension Funds Act 24 of 1956.</w:t>
      </w:r>
    </w:p>
    <w:p w14:paraId="203E08E9" w14:textId="01F37ABE" w:rsidR="00497265" w:rsidRPr="00497265" w:rsidRDefault="0031668C" w:rsidP="00497265">
      <w:pPr>
        <w:widowControl w:val="0"/>
        <w:spacing w:line="360" w:lineRule="auto"/>
        <w:contextualSpacing/>
        <w:jc w:val="both"/>
        <w:rPr>
          <w:rFonts w:ascii="Arial" w:hAnsi="Arial" w:cs="Arial"/>
        </w:rPr>
      </w:pPr>
      <w:r>
        <w:rPr>
          <w:rFonts w:ascii="Arial" w:hAnsi="Arial" w:cs="Arial"/>
        </w:rPr>
        <w:t>3</w:t>
      </w:r>
      <w:r w:rsidR="00497265" w:rsidRPr="00497265">
        <w:rPr>
          <w:rFonts w:ascii="Arial" w:hAnsi="Arial" w:cs="Arial"/>
        </w:rPr>
        <w:t>.</w:t>
      </w:r>
      <w:r w:rsidR="00497265" w:rsidRPr="00497265">
        <w:rPr>
          <w:rFonts w:ascii="Arial" w:hAnsi="Arial" w:cs="Arial"/>
        </w:rPr>
        <w:tab/>
        <w:t>The complaint of the third respondent lodged with the fourth respondent on 12 September 2019 is hereby dismissed.</w:t>
      </w:r>
    </w:p>
    <w:p w14:paraId="06E89DE0" w14:textId="4669D23D" w:rsidR="00497265" w:rsidRPr="00497265" w:rsidRDefault="0031668C" w:rsidP="00497265">
      <w:pPr>
        <w:widowControl w:val="0"/>
        <w:spacing w:line="360" w:lineRule="auto"/>
        <w:contextualSpacing/>
        <w:jc w:val="both"/>
        <w:rPr>
          <w:rFonts w:ascii="Arial" w:hAnsi="Arial" w:cs="Arial"/>
        </w:rPr>
      </w:pPr>
      <w:r>
        <w:rPr>
          <w:rFonts w:ascii="Arial" w:hAnsi="Arial" w:cs="Arial"/>
        </w:rPr>
        <w:t>4</w:t>
      </w:r>
      <w:r w:rsidR="00497265" w:rsidRPr="00497265">
        <w:rPr>
          <w:rFonts w:ascii="Arial" w:hAnsi="Arial" w:cs="Arial"/>
        </w:rPr>
        <w:t>.</w:t>
      </w:r>
      <w:r w:rsidR="00497265" w:rsidRPr="00497265">
        <w:rPr>
          <w:rFonts w:ascii="Arial" w:hAnsi="Arial" w:cs="Arial"/>
        </w:rPr>
        <w:tab/>
        <w:t>The third respondent</w:t>
      </w:r>
      <w:r>
        <w:rPr>
          <w:rFonts w:ascii="Arial" w:hAnsi="Arial" w:cs="Arial"/>
        </w:rPr>
        <w:t xml:space="preserve"> is directed</w:t>
      </w:r>
      <w:r w:rsidR="00497265" w:rsidRPr="00497265">
        <w:rPr>
          <w:rFonts w:ascii="Arial" w:hAnsi="Arial" w:cs="Arial"/>
        </w:rPr>
        <w:t xml:space="preserve"> to pay the costs of the appeal, such costs to include the costs of senior counsel.</w:t>
      </w:r>
    </w:p>
    <w:p w14:paraId="2E2B5B70" w14:textId="77777777" w:rsidR="0003708A" w:rsidRDefault="0003708A" w:rsidP="0003708A">
      <w:pPr>
        <w:pBdr>
          <w:bottom w:val="single" w:sz="12" w:space="1" w:color="auto"/>
        </w:pBdr>
        <w:rPr>
          <w:rFonts w:ascii="Arial" w:hAnsi="Arial" w:cs="Arial"/>
          <w:b/>
          <w:lang w:val="en-ZA"/>
        </w:rPr>
      </w:pPr>
    </w:p>
    <w:p w14:paraId="505FAB02" w14:textId="77777777" w:rsidR="0003708A" w:rsidRDefault="0003708A" w:rsidP="0003708A">
      <w:pPr>
        <w:rPr>
          <w:rFonts w:ascii="Arial" w:hAnsi="Arial" w:cs="Arial"/>
          <w:b/>
          <w:lang w:val="en-ZA"/>
        </w:rPr>
      </w:pPr>
    </w:p>
    <w:p w14:paraId="013044F8" w14:textId="77777777" w:rsidR="0003708A" w:rsidRDefault="005E2E80" w:rsidP="006F679A">
      <w:pPr>
        <w:ind w:left="2880" w:firstLine="720"/>
        <w:rPr>
          <w:rFonts w:ascii="Arial" w:hAnsi="Arial" w:cs="Arial"/>
          <w:b/>
          <w:lang w:val="en-ZA"/>
        </w:rPr>
      </w:pPr>
      <w:r>
        <w:rPr>
          <w:rFonts w:ascii="Arial" w:hAnsi="Arial" w:cs="Arial"/>
          <w:b/>
          <w:lang w:val="en-ZA"/>
        </w:rPr>
        <w:t>JUDGMENT</w:t>
      </w:r>
    </w:p>
    <w:p w14:paraId="33D29E62" w14:textId="460A1D50" w:rsidR="0003708A" w:rsidRPr="005E2E80" w:rsidRDefault="005E2E80" w:rsidP="0003708A">
      <w:pPr>
        <w:pBdr>
          <w:bottom w:val="single" w:sz="12" w:space="1" w:color="auto"/>
        </w:pBdr>
        <w:jc w:val="center"/>
        <w:rPr>
          <w:rFonts w:ascii="Arial" w:hAnsi="Arial" w:cs="Arial"/>
          <w:b/>
          <w:sz w:val="16"/>
          <w:szCs w:val="16"/>
          <w:lang w:val="en-ZA"/>
        </w:rPr>
      </w:pP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p>
    <w:p w14:paraId="3212E999" w14:textId="77777777" w:rsidR="0003708A" w:rsidRPr="005E2E80" w:rsidRDefault="0003708A" w:rsidP="0003708A">
      <w:pPr>
        <w:jc w:val="both"/>
        <w:rPr>
          <w:rFonts w:ascii="Arial" w:hAnsi="Arial" w:cs="Arial"/>
          <w:b/>
          <w:sz w:val="16"/>
          <w:szCs w:val="16"/>
          <w:lang w:val="en-ZA"/>
        </w:rPr>
      </w:pPr>
    </w:p>
    <w:p w14:paraId="30C5C871" w14:textId="479B4469" w:rsidR="00A54B8D" w:rsidRDefault="00A54B8D">
      <w:pPr>
        <w:rPr>
          <w:rFonts w:ascii="Arial" w:hAnsi="Arial" w:cs="Arial"/>
          <w:b/>
        </w:rPr>
      </w:pPr>
      <w:r>
        <w:rPr>
          <w:rFonts w:ascii="Arial" w:hAnsi="Arial" w:cs="Arial"/>
          <w:b/>
        </w:rPr>
        <w:t>The Court</w:t>
      </w:r>
    </w:p>
    <w:p w14:paraId="640CF245" w14:textId="0ABA867B" w:rsidR="005E2E80" w:rsidRDefault="008D006E">
      <w:pPr>
        <w:rPr>
          <w:rFonts w:ascii="Arial" w:hAnsi="Arial" w:cs="Arial"/>
          <w:b/>
        </w:rPr>
      </w:pPr>
      <w:r>
        <w:rPr>
          <w:rFonts w:ascii="Arial" w:hAnsi="Arial" w:cs="Arial"/>
          <w:b/>
        </w:rPr>
        <w:t xml:space="preserve"> </w:t>
      </w:r>
    </w:p>
    <w:p w14:paraId="1400B943" w14:textId="3C3CF5B1" w:rsidR="00B71EE6" w:rsidRPr="00796DB4" w:rsidRDefault="0058047D" w:rsidP="005852C4">
      <w:pPr>
        <w:spacing w:line="360" w:lineRule="auto"/>
        <w:contextualSpacing/>
        <w:jc w:val="both"/>
        <w:rPr>
          <w:rFonts w:ascii="Arial" w:hAnsi="Arial" w:cs="Arial"/>
          <w:b/>
        </w:rPr>
      </w:pPr>
      <w:r w:rsidRPr="00796DB4">
        <w:rPr>
          <w:rFonts w:ascii="Arial" w:hAnsi="Arial" w:cs="Arial"/>
          <w:b/>
        </w:rPr>
        <w:t>Introduction</w:t>
      </w:r>
    </w:p>
    <w:p w14:paraId="23400DFF" w14:textId="2525E09C" w:rsidR="00B00E9D" w:rsidRPr="005824B7" w:rsidRDefault="005824B7" w:rsidP="005824B7">
      <w:pPr>
        <w:spacing w:line="360" w:lineRule="auto"/>
        <w:jc w:val="both"/>
        <w:rPr>
          <w:rFonts w:ascii="Arial" w:hAnsi="Arial" w:cs="Arial"/>
        </w:rPr>
      </w:pPr>
      <w:r w:rsidRPr="007A79C3">
        <w:rPr>
          <w:rFonts w:ascii="Arial" w:hAnsi="Arial" w:cs="Arial"/>
        </w:rPr>
        <w:t>[1</w:t>
      </w:r>
      <w:bookmarkStart w:id="0" w:name="_GoBack"/>
      <w:bookmarkEnd w:id="0"/>
      <w:r w:rsidRPr="007A79C3">
        <w:rPr>
          <w:rFonts w:ascii="Arial" w:hAnsi="Arial" w:cs="Arial"/>
        </w:rPr>
        <w:t>]</w:t>
      </w:r>
      <w:r w:rsidRPr="007A79C3">
        <w:rPr>
          <w:rFonts w:ascii="Arial" w:hAnsi="Arial" w:cs="Arial"/>
        </w:rPr>
        <w:tab/>
      </w:r>
      <w:r w:rsidR="00B00E9D" w:rsidRPr="005824B7">
        <w:rPr>
          <w:rFonts w:ascii="Arial" w:hAnsi="Arial" w:cs="Arial"/>
        </w:rPr>
        <w:t xml:space="preserve">This is an appeal against the judgment and order of the Pietermaritzburg High Court (Hadebe J) dismissing the appellant’s application to set aside a determination of the fourth respondent dated 16 July 2020. Leave to appeal having been refused by the court </w:t>
      </w:r>
      <w:r w:rsidR="00B00E9D" w:rsidRPr="005824B7">
        <w:rPr>
          <w:rFonts w:ascii="Arial" w:hAnsi="Arial" w:cs="Arial"/>
          <w:i/>
        </w:rPr>
        <w:t>a quo</w:t>
      </w:r>
      <w:r w:rsidR="00B00E9D" w:rsidRPr="005824B7">
        <w:rPr>
          <w:rFonts w:ascii="Arial" w:hAnsi="Arial" w:cs="Arial"/>
        </w:rPr>
        <w:t>, the present appeal is with leave of the Supreme Court of Appeal granted on 2 November 2021.</w:t>
      </w:r>
    </w:p>
    <w:p w14:paraId="3A76646D" w14:textId="77777777" w:rsidR="00B00E9D" w:rsidRPr="005852C4" w:rsidRDefault="00B00E9D" w:rsidP="007A79C3">
      <w:pPr>
        <w:spacing w:line="360" w:lineRule="auto"/>
        <w:contextualSpacing/>
        <w:jc w:val="both"/>
        <w:rPr>
          <w:rFonts w:ascii="Arial" w:hAnsi="Arial" w:cs="Arial"/>
        </w:rPr>
      </w:pPr>
    </w:p>
    <w:p w14:paraId="11AAC553" w14:textId="269102F4" w:rsidR="00B00E9D" w:rsidRPr="005824B7" w:rsidRDefault="005824B7" w:rsidP="005824B7">
      <w:pPr>
        <w:widowControl w:val="0"/>
        <w:spacing w:line="360" w:lineRule="auto"/>
        <w:jc w:val="both"/>
        <w:rPr>
          <w:rFonts w:ascii="Arial" w:hAnsi="Arial" w:cs="Arial"/>
        </w:rPr>
      </w:pPr>
      <w:r w:rsidRPr="007A79C3">
        <w:rPr>
          <w:rFonts w:ascii="Arial" w:hAnsi="Arial" w:cs="Arial"/>
        </w:rPr>
        <w:t>[2]</w:t>
      </w:r>
      <w:r w:rsidRPr="007A79C3">
        <w:rPr>
          <w:rFonts w:ascii="Arial" w:hAnsi="Arial" w:cs="Arial"/>
        </w:rPr>
        <w:tab/>
      </w:r>
      <w:r w:rsidR="00B00E9D" w:rsidRPr="005824B7">
        <w:rPr>
          <w:rFonts w:ascii="Arial" w:hAnsi="Arial" w:cs="Arial"/>
        </w:rPr>
        <w:t xml:space="preserve">The </w:t>
      </w:r>
      <w:r w:rsidR="005128B9" w:rsidRPr="005824B7">
        <w:rPr>
          <w:rFonts w:ascii="Arial" w:hAnsi="Arial" w:cs="Arial"/>
        </w:rPr>
        <w:t xml:space="preserve">fourth respondent’s </w:t>
      </w:r>
      <w:r w:rsidR="00B00E9D" w:rsidRPr="005824B7">
        <w:rPr>
          <w:rFonts w:ascii="Arial" w:hAnsi="Arial" w:cs="Arial"/>
        </w:rPr>
        <w:t xml:space="preserve">determination, issued in terms of s 30M of the Pension Funds Act 24 of 1956 (the Pensions Act), ordered </w:t>
      </w:r>
      <w:r w:rsidR="0058047D" w:rsidRPr="005824B7">
        <w:rPr>
          <w:rFonts w:ascii="Arial" w:hAnsi="Arial" w:cs="Arial"/>
        </w:rPr>
        <w:t xml:space="preserve">the </w:t>
      </w:r>
      <w:r w:rsidR="00A54B8D" w:rsidRPr="005824B7">
        <w:rPr>
          <w:rFonts w:ascii="Arial" w:hAnsi="Arial" w:cs="Arial"/>
        </w:rPr>
        <w:t xml:space="preserve">first respondent </w:t>
      </w:r>
      <w:r w:rsidR="00B00E9D" w:rsidRPr="005824B7">
        <w:rPr>
          <w:rFonts w:ascii="Arial" w:hAnsi="Arial" w:cs="Arial"/>
        </w:rPr>
        <w:t>to pay the third respondent’s pension benefits, as at 27 August 2019</w:t>
      </w:r>
      <w:r w:rsidR="0058047D" w:rsidRPr="005824B7">
        <w:rPr>
          <w:rFonts w:ascii="Arial" w:hAnsi="Arial" w:cs="Arial"/>
        </w:rPr>
        <w:t>,</w:t>
      </w:r>
      <w:r w:rsidR="00B00E9D" w:rsidRPr="005824B7">
        <w:rPr>
          <w:rFonts w:ascii="Arial" w:hAnsi="Arial" w:cs="Arial"/>
        </w:rPr>
        <w:t xml:space="preserve"> standing </w:t>
      </w:r>
      <w:r w:rsidR="0058047D" w:rsidRPr="005824B7">
        <w:rPr>
          <w:rFonts w:ascii="Arial" w:hAnsi="Arial" w:cs="Arial"/>
        </w:rPr>
        <w:t>in</w:t>
      </w:r>
      <w:r w:rsidR="00B00E9D" w:rsidRPr="005824B7">
        <w:rPr>
          <w:rFonts w:ascii="Arial" w:hAnsi="Arial" w:cs="Arial"/>
        </w:rPr>
        <w:t xml:space="preserve"> the amount of R2 314 022.58, which benefits </w:t>
      </w:r>
      <w:r w:rsidR="0058047D" w:rsidRPr="005824B7">
        <w:rPr>
          <w:rFonts w:ascii="Arial" w:hAnsi="Arial" w:cs="Arial"/>
        </w:rPr>
        <w:t>the appellant</w:t>
      </w:r>
      <w:r w:rsidR="00B00E9D" w:rsidRPr="005824B7">
        <w:rPr>
          <w:rFonts w:ascii="Arial" w:hAnsi="Arial" w:cs="Arial"/>
        </w:rPr>
        <w:t xml:space="preserve"> had caused to be withheld by the </w:t>
      </w:r>
      <w:r w:rsidR="005128B9" w:rsidRPr="005824B7">
        <w:rPr>
          <w:rFonts w:ascii="Arial" w:hAnsi="Arial" w:cs="Arial"/>
        </w:rPr>
        <w:t>first respondent</w:t>
      </w:r>
      <w:r w:rsidR="00B00E9D" w:rsidRPr="005824B7">
        <w:rPr>
          <w:rFonts w:ascii="Arial" w:hAnsi="Arial" w:cs="Arial"/>
        </w:rPr>
        <w:t xml:space="preserve"> in terms of s 37D(1)</w:t>
      </w:r>
      <w:r w:rsidR="00B00E9D" w:rsidRPr="005824B7">
        <w:rPr>
          <w:rFonts w:ascii="Arial" w:hAnsi="Arial" w:cs="Arial"/>
          <w:i/>
        </w:rPr>
        <w:t>(b)</w:t>
      </w:r>
      <w:r w:rsidR="00B00E9D" w:rsidRPr="005824B7">
        <w:rPr>
          <w:rFonts w:ascii="Arial" w:hAnsi="Arial" w:cs="Arial"/>
        </w:rPr>
        <w:t xml:space="preserve">(ii) of the Pensions Act. </w:t>
      </w:r>
    </w:p>
    <w:p w14:paraId="6C25DD30" w14:textId="03A35E2C" w:rsidR="00B00E9D" w:rsidRPr="005852C4" w:rsidRDefault="00B00E9D" w:rsidP="007A79C3">
      <w:pPr>
        <w:widowControl w:val="0"/>
        <w:spacing w:line="360" w:lineRule="auto"/>
        <w:contextualSpacing/>
        <w:jc w:val="both"/>
        <w:rPr>
          <w:rFonts w:ascii="Arial" w:hAnsi="Arial" w:cs="Arial"/>
        </w:rPr>
      </w:pPr>
    </w:p>
    <w:p w14:paraId="2D606878" w14:textId="575627F4" w:rsidR="00B00E9D" w:rsidRPr="005824B7" w:rsidRDefault="005824B7" w:rsidP="005824B7">
      <w:pPr>
        <w:widowControl w:val="0"/>
        <w:spacing w:line="360" w:lineRule="auto"/>
        <w:jc w:val="both"/>
        <w:rPr>
          <w:rFonts w:ascii="Arial" w:hAnsi="Arial" w:cs="Arial"/>
        </w:rPr>
      </w:pPr>
      <w:r w:rsidRPr="007A79C3">
        <w:rPr>
          <w:rFonts w:ascii="Arial" w:hAnsi="Arial" w:cs="Arial"/>
        </w:rPr>
        <w:t>[3]</w:t>
      </w:r>
      <w:r w:rsidRPr="007A79C3">
        <w:rPr>
          <w:rFonts w:ascii="Arial" w:hAnsi="Arial" w:cs="Arial"/>
        </w:rPr>
        <w:tab/>
      </w:r>
      <w:r w:rsidR="00B00E9D" w:rsidRPr="005824B7">
        <w:rPr>
          <w:rFonts w:ascii="Arial" w:hAnsi="Arial" w:cs="Arial"/>
        </w:rPr>
        <w:t xml:space="preserve">The primary issue on appeal is whether the court </w:t>
      </w:r>
      <w:r w:rsidR="00B00E9D" w:rsidRPr="005824B7">
        <w:rPr>
          <w:rFonts w:ascii="Arial" w:hAnsi="Arial" w:cs="Arial"/>
          <w:i/>
          <w:iCs/>
        </w:rPr>
        <w:t>a quo</w:t>
      </w:r>
      <w:r w:rsidR="00B00E9D" w:rsidRPr="005824B7">
        <w:rPr>
          <w:rFonts w:ascii="Arial" w:hAnsi="Arial" w:cs="Arial"/>
        </w:rPr>
        <w:t xml:space="preserve"> erred in dismissing the appellant’s application on ‘procedural grounds’ (without going into the merits) and by failing to consider that the application before it was an appeal in the ‘wide sense’ and not a review regulated by the provision</w:t>
      </w:r>
      <w:r w:rsidR="00A44B4E" w:rsidRPr="005824B7">
        <w:rPr>
          <w:rFonts w:ascii="Arial" w:hAnsi="Arial" w:cs="Arial"/>
        </w:rPr>
        <w:t>s</w:t>
      </w:r>
      <w:r w:rsidR="00B00E9D" w:rsidRPr="005824B7">
        <w:rPr>
          <w:rFonts w:ascii="Arial" w:hAnsi="Arial" w:cs="Arial"/>
        </w:rPr>
        <w:t xml:space="preserve"> of Uniform </w:t>
      </w:r>
      <w:r w:rsidR="00112B45" w:rsidRPr="005824B7">
        <w:rPr>
          <w:rFonts w:ascii="Arial" w:hAnsi="Arial" w:cs="Arial"/>
        </w:rPr>
        <w:t xml:space="preserve">rule </w:t>
      </w:r>
      <w:r w:rsidR="00B00E9D" w:rsidRPr="005824B7">
        <w:rPr>
          <w:rFonts w:ascii="Arial" w:hAnsi="Arial" w:cs="Arial"/>
        </w:rPr>
        <w:t>53.</w:t>
      </w:r>
    </w:p>
    <w:p w14:paraId="03F4F6C4" w14:textId="77777777" w:rsidR="007A79C3" w:rsidRPr="00796DB4" w:rsidRDefault="007A79C3" w:rsidP="007A79C3">
      <w:pPr>
        <w:pStyle w:val="ListParagraph"/>
        <w:widowControl w:val="0"/>
        <w:spacing w:line="360" w:lineRule="auto"/>
        <w:ind w:left="0"/>
        <w:jc w:val="both"/>
        <w:rPr>
          <w:rFonts w:ascii="Arial" w:hAnsi="Arial" w:cs="Arial"/>
          <w:b/>
        </w:rPr>
      </w:pPr>
    </w:p>
    <w:p w14:paraId="7FCD531D" w14:textId="3ACEB521" w:rsidR="00B00E9D" w:rsidRPr="00796DB4" w:rsidRDefault="00B00E9D" w:rsidP="007A79C3">
      <w:pPr>
        <w:pStyle w:val="ListParagraph"/>
        <w:widowControl w:val="0"/>
        <w:spacing w:line="360" w:lineRule="auto"/>
        <w:ind w:left="0"/>
        <w:jc w:val="both"/>
        <w:rPr>
          <w:rFonts w:ascii="Arial" w:hAnsi="Arial" w:cs="Arial"/>
          <w:b/>
        </w:rPr>
      </w:pPr>
      <w:r w:rsidRPr="00796DB4">
        <w:rPr>
          <w:rFonts w:ascii="Arial" w:hAnsi="Arial" w:cs="Arial"/>
          <w:b/>
        </w:rPr>
        <w:t xml:space="preserve">The </w:t>
      </w:r>
      <w:r w:rsidR="00796DB4" w:rsidRPr="00796DB4">
        <w:rPr>
          <w:rFonts w:ascii="Arial" w:hAnsi="Arial" w:cs="Arial"/>
          <w:b/>
        </w:rPr>
        <w:t xml:space="preserve">parties </w:t>
      </w:r>
    </w:p>
    <w:p w14:paraId="02FA7F38" w14:textId="4B6B7C38" w:rsidR="00B00E9D" w:rsidRPr="005824B7" w:rsidRDefault="005824B7" w:rsidP="005824B7">
      <w:pPr>
        <w:widowControl w:val="0"/>
        <w:spacing w:line="360" w:lineRule="auto"/>
        <w:jc w:val="both"/>
        <w:rPr>
          <w:rFonts w:ascii="Arial" w:hAnsi="Arial" w:cs="Arial"/>
        </w:rPr>
      </w:pPr>
      <w:r w:rsidRPr="007A79C3">
        <w:rPr>
          <w:rFonts w:ascii="Arial" w:hAnsi="Arial" w:cs="Arial"/>
        </w:rPr>
        <w:t>[4]</w:t>
      </w:r>
      <w:r w:rsidRPr="007A79C3">
        <w:rPr>
          <w:rFonts w:ascii="Arial" w:hAnsi="Arial" w:cs="Arial"/>
        </w:rPr>
        <w:tab/>
      </w:r>
      <w:r w:rsidR="00B00E9D" w:rsidRPr="005824B7">
        <w:rPr>
          <w:rFonts w:ascii="Arial" w:hAnsi="Arial" w:cs="Arial"/>
        </w:rPr>
        <w:t xml:space="preserve">The </w:t>
      </w:r>
      <w:r w:rsidR="0058047D" w:rsidRPr="005824B7">
        <w:rPr>
          <w:rFonts w:ascii="Arial" w:hAnsi="Arial" w:cs="Arial"/>
        </w:rPr>
        <w:t>appellant</w:t>
      </w:r>
      <w:r w:rsidR="00B00E9D" w:rsidRPr="005824B7">
        <w:rPr>
          <w:rFonts w:ascii="Arial" w:hAnsi="Arial" w:cs="Arial"/>
        </w:rPr>
        <w:t xml:space="preserve"> is Tongaat Hulett Sugar South Africa Limited, a private company with its principal place of business in KwaZulu</w:t>
      </w:r>
      <w:r w:rsidR="00112B45" w:rsidRPr="005824B7">
        <w:rPr>
          <w:rFonts w:ascii="Arial" w:hAnsi="Arial" w:cs="Arial"/>
        </w:rPr>
        <w:t>-</w:t>
      </w:r>
      <w:r w:rsidR="00881755" w:rsidRPr="005824B7">
        <w:rPr>
          <w:rFonts w:ascii="Arial" w:hAnsi="Arial" w:cs="Arial"/>
        </w:rPr>
        <w:t>Natal.</w:t>
      </w:r>
    </w:p>
    <w:p w14:paraId="5EEF283C" w14:textId="77777777" w:rsidR="00B00E9D" w:rsidRPr="005852C4" w:rsidRDefault="00B00E9D" w:rsidP="007A79C3">
      <w:pPr>
        <w:widowControl w:val="0"/>
        <w:spacing w:line="360" w:lineRule="auto"/>
        <w:contextualSpacing/>
        <w:jc w:val="both"/>
        <w:rPr>
          <w:rFonts w:ascii="Arial" w:hAnsi="Arial" w:cs="Arial"/>
        </w:rPr>
      </w:pPr>
    </w:p>
    <w:p w14:paraId="17E77C0A" w14:textId="6D4BFD08" w:rsidR="00B00E9D" w:rsidRPr="005824B7" w:rsidRDefault="005824B7" w:rsidP="005824B7">
      <w:pPr>
        <w:widowControl w:val="0"/>
        <w:spacing w:line="360" w:lineRule="auto"/>
        <w:jc w:val="both"/>
        <w:rPr>
          <w:rFonts w:ascii="Arial" w:hAnsi="Arial" w:cs="Arial"/>
        </w:rPr>
      </w:pPr>
      <w:r w:rsidRPr="007A79C3">
        <w:rPr>
          <w:rFonts w:ascii="Arial" w:hAnsi="Arial" w:cs="Arial"/>
        </w:rPr>
        <w:lastRenderedPageBreak/>
        <w:t>[5]</w:t>
      </w:r>
      <w:r w:rsidRPr="007A79C3">
        <w:rPr>
          <w:rFonts w:ascii="Arial" w:hAnsi="Arial" w:cs="Arial"/>
        </w:rPr>
        <w:tab/>
      </w:r>
      <w:r w:rsidR="00B00E9D" w:rsidRPr="005824B7">
        <w:rPr>
          <w:rFonts w:ascii="Arial" w:hAnsi="Arial" w:cs="Arial"/>
        </w:rPr>
        <w:t xml:space="preserve">The first respondent is the Tongaat Hulett Pension Fund 2010 (the pension fund), a pension fund registered in terms of the Pensions Act. </w:t>
      </w:r>
    </w:p>
    <w:p w14:paraId="268E47E1" w14:textId="77777777" w:rsidR="00B00E9D" w:rsidRPr="005852C4" w:rsidRDefault="00B00E9D" w:rsidP="007A79C3">
      <w:pPr>
        <w:widowControl w:val="0"/>
        <w:spacing w:line="360" w:lineRule="auto"/>
        <w:contextualSpacing/>
        <w:jc w:val="both"/>
        <w:rPr>
          <w:rFonts w:ascii="Arial" w:hAnsi="Arial" w:cs="Arial"/>
        </w:rPr>
      </w:pPr>
    </w:p>
    <w:p w14:paraId="3B6837B7" w14:textId="7AE156B7" w:rsidR="00B00E9D" w:rsidRPr="005824B7" w:rsidRDefault="005824B7" w:rsidP="005824B7">
      <w:pPr>
        <w:widowControl w:val="0"/>
        <w:spacing w:line="360" w:lineRule="auto"/>
        <w:jc w:val="both"/>
        <w:rPr>
          <w:rFonts w:ascii="Arial" w:hAnsi="Arial" w:cs="Arial"/>
        </w:rPr>
      </w:pPr>
      <w:r w:rsidRPr="007A79C3">
        <w:rPr>
          <w:rFonts w:ascii="Arial" w:hAnsi="Arial" w:cs="Arial"/>
        </w:rPr>
        <w:t>[6]</w:t>
      </w:r>
      <w:r w:rsidRPr="007A79C3">
        <w:rPr>
          <w:rFonts w:ascii="Arial" w:hAnsi="Arial" w:cs="Arial"/>
        </w:rPr>
        <w:tab/>
      </w:r>
      <w:r w:rsidR="00B00E9D" w:rsidRPr="005824B7">
        <w:rPr>
          <w:rFonts w:ascii="Arial" w:hAnsi="Arial" w:cs="Arial"/>
        </w:rPr>
        <w:t xml:space="preserve">The second respondent is </w:t>
      </w:r>
      <w:r w:rsidR="00112B45" w:rsidRPr="005824B7">
        <w:rPr>
          <w:rFonts w:ascii="Arial" w:hAnsi="Arial" w:cs="Arial"/>
        </w:rPr>
        <w:t xml:space="preserve">the </w:t>
      </w:r>
      <w:r w:rsidR="00B00E9D" w:rsidRPr="005824B7">
        <w:rPr>
          <w:rFonts w:ascii="Arial" w:hAnsi="Arial" w:cs="Arial"/>
        </w:rPr>
        <w:t xml:space="preserve">Momentum Retirement Administrators (Pty) Ltd, the administrators of the pension fund (the administrators). </w:t>
      </w:r>
    </w:p>
    <w:p w14:paraId="282E2B11" w14:textId="77777777" w:rsidR="00B00E9D" w:rsidRPr="005852C4" w:rsidRDefault="00B00E9D" w:rsidP="007A79C3">
      <w:pPr>
        <w:widowControl w:val="0"/>
        <w:spacing w:line="360" w:lineRule="auto"/>
        <w:contextualSpacing/>
        <w:jc w:val="both"/>
        <w:rPr>
          <w:rFonts w:ascii="Arial" w:hAnsi="Arial" w:cs="Arial"/>
        </w:rPr>
      </w:pPr>
    </w:p>
    <w:p w14:paraId="0E36FEE0" w14:textId="793E29BD" w:rsidR="00B00E9D" w:rsidRPr="005824B7" w:rsidRDefault="005824B7" w:rsidP="005824B7">
      <w:pPr>
        <w:widowControl w:val="0"/>
        <w:spacing w:line="360" w:lineRule="auto"/>
        <w:jc w:val="both"/>
        <w:rPr>
          <w:rFonts w:ascii="Arial" w:hAnsi="Arial" w:cs="Arial"/>
        </w:rPr>
      </w:pPr>
      <w:r w:rsidRPr="007A79C3">
        <w:rPr>
          <w:rFonts w:ascii="Arial" w:hAnsi="Arial" w:cs="Arial"/>
        </w:rPr>
        <w:t>[7]</w:t>
      </w:r>
      <w:r w:rsidRPr="007A79C3">
        <w:rPr>
          <w:rFonts w:ascii="Arial" w:hAnsi="Arial" w:cs="Arial"/>
        </w:rPr>
        <w:tab/>
      </w:r>
      <w:r w:rsidR="00B00E9D" w:rsidRPr="005824B7">
        <w:rPr>
          <w:rFonts w:ascii="Arial" w:hAnsi="Arial" w:cs="Arial"/>
        </w:rPr>
        <w:t xml:space="preserve">The third respondent is </w:t>
      </w:r>
      <w:r w:rsidR="0058047D" w:rsidRPr="005824B7">
        <w:rPr>
          <w:rFonts w:ascii="Arial" w:hAnsi="Arial" w:cs="Arial"/>
        </w:rPr>
        <w:t>a</w:t>
      </w:r>
      <w:r w:rsidR="00B00E9D" w:rsidRPr="005824B7">
        <w:rPr>
          <w:rFonts w:ascii="Arial" w:hAnsi="Arial" w:cs="Arial"/>
        </w:rPr>
        <w:t xml:space="preserve"> former employee of </w:t>
      </w:r>
      <w:r w:rsidR="00112B45" w:rsidRPr="005824B7">
        <w:rPr>
          <w:rFonts w:ascii="Arial" w:hAnsi="Arial" w:cs="Arial"/>
        </w:rPr>
        <w:t xml:space="preserve">the appellant, Ms Nqabomzi Mara Mayola </w:t>
      </w:r>
      <w:r w:rsidR="0058047D" w:rsidRPr="005824B7">
        <w:rPr>
          <w:rFonts w:ascii="Arial" w:hAnsi="Arial" w:cs="Arial"/>
        </w:rPr>
        <w:t>(Ms Mayola)</w:t>
      </w:r>
      <w:r w:rsidR="00A54B8D" w:rsidRPr="005824B7">
        <w:rPr>
          <w:rFonts w:ascii="Arial" w:hAnsi="Arial" w:cs="Arial"/>
        </w:rPr>
        <w:t>,</w:t>
      </w:r>
      <w:r w:rsidR="00B00E9D" w:rsidRPr="005824B7">
        <w:rPr>
          <w:rFonts w:ascii="Arial" w:hAnsi="Arial" w:cs="Arial"/>
        </w:rPr>
        <w:t xml:space="preserve"> and a contributor to the pension fund. </w:t>
      </w:r>
    </w:p>
    <w:p w14:paraId="6EDC86BA" w14:textId="77777777" w:rsidR="00B00E9D" w:rsidRPr="005852C4" w:rsidRDefault="00B00E9D" w:rsidP="007A79C3">
      <w:pPr>
        <w:widowControl w:val="0"/>
        <w:spacing w:line="360" w:lineRule="auto"/>
        <w:contextualSpacing/>
        <w:jc w:val="both"/>
        <w:rPr>
          <w:rFonts w:ascii="Arial" w:hAnsi="Arial" w:cs="Arial"/>
        </w:rPr>
      </w:pPr>
    </w:p>
    <w:p w14:paraId="1D2985FC" w14:textId="26DA86F7" w:rsidR="00B00E9D" w:rsidRPr="005824B7" w:rsidRDefault="005824B7" w:rsidP="005824B7">
      <w:pPr>
        <w:widowControl w:val="0"/>
        <w:spacing w:line="360" w:lineRule="auto"/>
        <w:jc w:val="both"/>
        <w:rPr>
          <w:rFonts w:ascii="Arial" w:hAnsi="Arial" w:cs="Arial"/>
        </w:rPr>
      </w:pPr>
      <w:r>
        <w:rPr>
          <w:rFonts w:ascii="Arial" w:hAnsi="Arial" w:cs="Arial"/>
        </w:rPr>
        <w:t>[8]</w:t>
      </w:r>
      <w:r>
        <w:rPr>
          <w:rFonts w:ascii="Arial" w:hAnsi="Arial" w:cs="Arial"/>
        </w:rPr>
        <w:tab/>
      </w:r>
      <w:r w:rsidR="00B00E9D" w:rsidRPr="005824B7">
        <w:rPr>
          <w:rFonts w:ascii="Arial" w:hAnsi="Arial" w:cs="Arial"/>
        </w:rPr>
        <w:t xml:space="preserve">The fourth respondent is the adjudicator appointed and performing </w:t>
      </w:r>
      <w:r w:rsidR="005128B9" w:rsidRPr="005824B7">
        <w:rPr>
          <w:rFonts w:ascii="Arial" w:hAnsi="Arial" w:cs="Arial"/>
        </w:rPr>
        <w:t xml:space="preserve">its </w:t>
      </w:r>
      <w:r w:rsidR="00B00E9D" w:rsidRPr="005824B7">
        <w:rPr>
          <w:rFonts w:ascii="Arial" w:hAnsi="Arial" w:cs="Arial"/>
        </w:rPr>
        <w:t>functions in terms of the Pensions Act.</w:t>
      </w:r>
    </w:p>
    <w:p w14:paraId="6FDFFBA9" w14:textId="77777777" w:rsidR="0031668C" w:rsidRPr="0031668C" w:rsidRDefault="0031668C" w:rsidP="0031668C">
      <w:pPr>
        <w:pStyle w:val="ListParagraph"/>
        <w:rPr>
          <w:rFonts w:ascii="Arial" w:hAnsi="Arial" w:cs="Arial"/>
        </w:rPr>
      </w:pPr>
    </w:p>
    <w:p w14:paraId="175696B2" w14:textId="28F09729" w:rsidR="0031668C" w:rsidRPr="005824B7" w:rsidRDefault="005824B7" w:rsidP="005824B7">
      <w:pPr>
        <w:widowControl w:val="0"/>
        <w:spacing w:line="360" w:lineRule="auto"/>
        <w:jc w:val="both"/>
        <w:rPr>
          <w:rFonts w:ascii="Arial" w:hAnsi="Arial" w:cs="Arial"/>
        </w:rPr>
      </w:pPr>
      <w:r w:rsidRPr="007A79C3">
        <w:rPr>
          <w:rFonts w:ascii="Arial" w:hAnsi="Arial" w:cs="Arial"/>
        </w:rPr>
        <w:t>[9]</w:t>
      </w:r>
      <w:r w:rsidRPr="007A79C3">
        <w:rPr>
          <w:rFonts w:ascii="Arial" w:hAnsi="Arial" w:cs="Arial"/>
        </w:rPr>
        <w:tab/>
      </w:r>
      <w:r w:rsidR="0031668C" w:rsidRPr="005824B7">
        <w:rPr>
          <w:rFonts w:ascii="Arial" w:hAnsi="Arial" w:cs="Arial"/>
        </w:rPr>
        <w:t>The first, second and fourth respondents did not participate in these proceedings.</w:t>
      </w:r>
    </w:p>
    <w:p w14:paraId="4141E694" w14:textId="77777777" w:rsidR="00B00E9D" w:rsidRPr="005852C4" w:rsidRDefault="00B00E9D" w:rsidP="007A79C3">
      <w:pPr>
        <w:widowControl w:val="0"/>
        <w:spacing w:line="360" w:lineRule="auto"/>
        <w:contextualSpacing/>
        <w:jc w:val="both"/>
        <w:rPr>
          <w:rFonts w:ascii="Arial" w:hAnsi="Arial" w:cs="Arial"/>
        </w:rPr>
      </w:pPr>
    </w:p>
    <w:p w14:paraId="18378546" w14:textId="7DA9A489" w:rsidR="00B00E9D" w:rsidRPr="00796DB4" w:rsidRDefault="00B00E9D" w:rsidP="007A79C3">
      <w:pPr>
        <w:pStyle w:val="ListParagraph"/>
        <w:widowControl w:val="0"/>
        <w:spacing w:line="360" w:lineRule="auto"/>
        <w:ind w:left="0"/>
        <w:jc w:val="both"/>
        <w:rPr>
          <w:rFonts w:ascii="Arial" w:hAnsi="Arial" w:cs="Arial"/>
          <w:b/>
        </w:rPr>
      </w:pPr>
      <w:r w:rsidRPr="00796DB4">
        <w:rPr>
          <w:rFonts w:ascii="Arial" w:hAnsi="Arial" w:cs="Arial"/>
          <w:b/>
        </w:rPr>
        <w:t xml:space="preserve">Factual </w:t>
      </w:r>
      <w:r w:rsidR="00796DB4" w:rsidRPr="00796DB4">
        <w:rPr>
          <w:rFonts w:ascii="Arial" w:hAnsi="Arial" w:cs="Arial"/>
          <w:b/>
        </w:rPr>
        <w:t>background</w:t>
      </w:r>
    </w:p>
    <w:p w14:paraId="2500892D" w14:textId="43336FB5" w:rsidR="00B00E9D" w:rsidRPr="005824B7" w:rsidRDefault="005824B7" w:rsidP="005824B7">
      <w:pPr>
        <w:widowControl w:val="0"/>
        <w:spacing w:line="360" w:lineRule="auto"/>
        <w:jc w:val="both"/>
        <w:rPr>
          <w:rFonts w:ascii="Arial" w:hAnsi="Arial" w:cs="Arial"/>
        </w:rPr>
      </w:pPr>
      <w:r w:rsidRPr="007A79C3">
        <w:rPr>
          <w:rFonts w:ascii="Arial" w:hAnsi="Arial" w:cs="Arial"/>
        </w:rPr>
        <w:t>[10]</w:t>
      </w:r>
      <w:r w:rsidRPr="007A79C3">
        <w:rPr>
          <w:rFonts w:ascii="Arial" w:hAnsi="Arial" w:cs="Arial"/>
        </w:rPr>
        <w:tab/>
      </w:r>
      <w:r w:rsidR="00B00E9D" w:rsidRPr="005824B7">
        <w:rPr>
          <w:rFonts w:ascii="Arial" w:hAnsi="Arial" w:cs="Arial"/>
        </w:rPr>
        <w:t>From 2006 until her resignation on 8 August 2019</w:t>
      </w:r>
      <w:r w:rsidR="00A54B8D" w:rsidRPr="005824B7">
        <w:rPr>
          <w:rFonts w:ascii="Arial" w:hAnsi="Arial" w:cs="Arial"/>
        </w:rPr>
        <w:t>,</w:t>
      </w:r>
      <w:r w:rsidR="00B00E9D" w:rsidRPr="005824B7">
        <w:rPr>
          <w:rFonts w:ascii="Arial" w:hAnsi="Arial" w:cs="Arial"/>
        </w:rPr>
        <w:t xml:space="preserve"> Ms Mayola was employed by </w:t>
      </w:r>
      <w:r w:rsidR="0058047D" w:rsidRPr="005824B7">
        <w:rPr>
          <w:rFonts w:ascii="Arial" w:hAnsi="Arial" w:cs="Arial"/>
        </w:rPr>
        <w:t>the appellant</w:t>
      </w:r>
      <w:r w:rsidR="00B00E9D" w:rsidRPr="005824B7">
        <w:rPr>
          <w:rFonts w:ascii="Arial" w:hAnsi="Arial" w:cs="Arial"/>
        </w:rPr>
        <w:t>. At the time of her resignation</w:t>
      </w:r>
      <w:r w:rsidR="005128B9" w:rsidRPr="005824B7">
        <w:rPr>
          <w:rFonts w:ascii="Arial" w:hAnsi="Arial" w:cs="Arial"/>
        </w:rPr>
        <w:t>,</w:t>
      </w:r>
      <w:r w:rsidR="00B00E9D" w:rsidRPr="005824B7">
        <w:rPr>
          <w:rFonts w:ascii="Arial" w:hAnsi="Arial" w:cs="Arial"/>
        </w:rPr>
        <w:t xml:space="preserve"> Ms Mayola held the position of warehouse and distribution manager within </w:t>
      </w:r>
      <w:r w:rsidR="0058047D" w:rsidRPr="005824B7">
        <w:rPr>
          <w:rFonts w:ascii="Arial" w:hAnsi="Arial" w:cs="Arial"/>
        </w:rPr>
        <w:t>the appellant’s</w:t>
      </w:r>
      <w:r w:rsidR="00B00E9D" w:rsidRPr="005824B7">
        <w:rPr>
          <w:rFonts w:ascii="Arial" w:hAnsi="Arial" w:cs="Arial"/>
        </w:rPr>
        <w:t xml:space="preserve"> marketing, sales and distribution department. </w:t>
      </w:r>
    </w:p>
    <w:p w14:paraId="4AF7BDB2" w14:textId="77777777" w:rsidR="00CB3430" w:rsidRPr="005852C4" w:rsidRDefault="00CB3430" w:rsidP="007A79C3">
      <w:pPr>
        <w:widowControl w:val="0"/>
        <w:spacing w:line="360" w:lineRule="auto"/>
        <w:contextualSpacing/>
        <w:jc w:val="both"/>
        <w:rPr>
          <w:rFonts w:ascii="Arial" w:hAnsi="Arial" w:cs="Arial"/>
        </w:rPr>
      </w:pPr>
    </w:p>
    <w:p w14:paraId="4F7FFC94" w14:textId="0DC398E5" w:rsidR="00CB3430" w:rsidRPr="005824B7" w:rsidRDefault="005824B7" w:rsidP="005824B7">
      <w:pPr>
        <w:widowControl w:val="0"/>
        <w:spacing w:line="360" w:lineRule="auto"/>
        <w:jc w:val="both"/>
        <w:rPr>
          <w:rFonts w:ascii="Arial" w:hAnsi="Arial" w:cs="Arial"/>
        </w:rPr>
      </w:pPr>
      <w:r w:rsidRPr="007A79C3">
        <w:rPr>
          <w:rFonts w:ascii="Arial" w:hAnsi="Arial" w:cs="Arial"/>
        </w:rPr>
        <w:t>[11]</w:t>
      </w:r>
      <w:r w:rsidRPr="007A79C3">
        <w:rPr>
          <w:rFonts w:ascii="Arial" w:hAnsi="Arial" w:cs="Arial"/>
        </w:rPr>
        <w:tab/>
      </w:r>
      <w:r w:rsidR="00674950" w:rsidRPr="005824B7">
        <w:rPr>
          <w:rFonts w:ascii="Arial" w:hAnsi="Arial" w:cs="Arial"/>
        </w:rPr>
        <w:t>At the heart of the dispute between the appellant and Ms Mayola are a</w:t>
      </w:r>
      <w:r w:rsidR="00B00E9D" w:rsidRPr="005824B7">
        <w:rPr>
          <w:rFonts w:ascii="Arial" w:hAnsi="Arial" w:cs="Arial"/>
        </w:rPr>
        <w:t xml:space="preserve">llegations made on 19 March 2019 in an anonymous tip-off to </w:t>
      </w:r>
      <w:r w:rsidR="0058047D" w:rsidRPr="005824B7">
        <w:rPr>
          <w:rFonts w:ascii="Arial" w:hAnsi="Arial" w:cs="Arial"/>
        </w:rPr>
        <w:t>the appellant</w:t>
      </w:r>
      <w:r w:rsidR="00B00E9D" w:rsidRPr="005824B7">
        <w:rPr>
          <w:rFonts w:ascii="Arial" w:hAnsi="Arial" w:cs="Arial"/>
        </w:rPr>
        <w:t>,</w:t>
      </w:r>
      <w:r w:rsidR="00674950" w:rsidRPr="005824B7">
        <w:rPr>
          <w:rFonts w:ascii="Arial" w:hAnsi="Arial" w:cs="Arial"/>
        </w:rPr>
        <w:t xml:space="preserve"> </w:t>
      </w:r>
      <w:r w:rsidR="00A54B8D" w:rsidRPr="005824B7">
        <w:rPr>
          <w:rFonts w:ascii="Arial" w:hAnsi="Arial" w:cs="Arial"/>
        </w:rPr>
        <w:t xml:space="preserve">in which it was </w:t>
      </w:r>
      <w:r w:rsidR="00674950" w:rsidRPr="005824B7">
        <w:rPr>
          <w:rFonts w:ascii="Arial" w:hAnsi="Arial" w:cs="Arial"/>
        </w:rPr>
        <w:t>suggested</w:t>
      </w:r>
      <w:r w:rsidR="00B00E9D" w:rsidRPr="005824B7">
        <w:rPr>
          <w:rFonts w:ascii="Arial" w:hAnsi="Arial" w:cs="Arial"/>
        </w:rPr>
        <w:t xml:space="preserve"> that for a period of 18 months</w:t>
      </w:r>
      <w:r w:rsidR="00112B45" w:rsidRPr="005824B7">
        <w:rPr>
          <w:rFonts w:ascii="Arial" w:hAnsi="Arial" w:cs="Arial"/>
        </w:rPr>
        <w:t>,</w:t>
      </w:r>
      <w:r w:rsidR="00B00E9D" w:rsidRPr="005824B7">
        <w:rPr>
          <w:rFonts w:ascii="Arial" w:hAnsi="Arial" w:cs="Arial"/>
        </w:rPr>
        <w:t xml:space="preserve"> Ms Mayola authorised payments to a service provider when such service provider performed no services at all for </w:t>
      </w:r>
      <w:r w:rsidR="0058047D" w:rsidRPr="005824B7">
        <w:rPr>
          <w:rFonts w:ascii="Arial" w:hAnsi="Arial" w:cs="Arial"/>
        </w:rPr>
        <w:t>the appellant</w:t>
      </w:r>
      <w:r w:rsidR="00B00E9D" w:rsidRPr="005824B7">
        <w:rPr>
          <w:rFonts w:ascii="Arial" w:hAnsi="Arial" w:cs="Arial"/>
        </w:rPr>
        <w:t xml:space="preserve">. The service provider alleged to have been paid by </w:t>
      </w:r>
      <w:r w:rsidR="0058047D" w:rsidRPr="005824B7">
        <w:rPr>
          <w:rFonts w:ascii="Arial" w:hAnsi="Arial" w:cs="Arial"/>
        </w:rPr>
        <w:t>the appellant</w:t>
      </w:r>
      <w:r w:rsidR="00B00E9D" w:rsidRPr="005824B7">
        <w:rPr>
          <w:rFonts w:ascii="Arial" w:hAnsi="Arial" w:cs="Arial"/>
        </w:rPr>
        <w:t xml:space="preserve"> through fraudulent and unlawful conduct </w:t>
      </w:r>
      <w:r w:rsidR="0058047D" w:rsidRPr="005824B7">
        <w:rPr>
          <w:rFonts w:ascii="Arial" w:hAnsi="Arial" w:cs="Arial"/>
        </w:rPr>
        <w:t>on the part of</w:t>
      </w:r>
      <w:r w:rsidR="00B00E9D" w:rsidRPr="005824B7">
        <w:rPr>
          <w:rFonts w:ascii="Arial" w:hAnsi="Arial" w:cs="Arial"/>
        </w:rPr>
        <w:t xml:space="preserve"> Ms Mayola is DeeTee Transport (Pty) Ltd</w:t>
      </w:r>
      <w:r w:rsidR="00A54B8D" w:rsidRPr="005824B7">
        <w:rPr>
          <w:rFonts w:ascii="Arial" w:hAnsi="Arial" w:cs="Arial"/>
        </w:rPr>
        <w:t xml:space="preserve"> (DeeTee)</w:t>
      </w:r>
      <w:r w:rsidR="00B00E9D" w:rsidRPr="005824B7">
        <w:rPr>
          <w:rFonts w:ascii="Arial" w:hAnsi="Arial" w:cs="Arial"/>
        </w:rPr>
        <w:t>.</w:t>
      </w:r>
      <w:r w:rsidR="00FC23BA" w:rsidRPr="005824B7">
        <w:rPr>
          <w:rFonts w:ascii="Arial" w:hAnsi="Arial" w:cs="Arial"/>
        </w:rPr>
        <w:t xml:space="preserve"> </w:t>
      </w:r>
      <w:r w:rsidR="00B00E9D" w:rsidRPr="005824B7">
        <w:rPr>
          <w:rFonts w:ascii="Arial" w:hAnsi="Arial" w:cs="Arial"/>
        </w:rPr>
        <w:t>The</w:t>
      </w:r>
      <w:r w:rsidR="00CB3430" w:rsidRPr="005824B7">
        <w:rPr>
          <w:rFonts w:ascii="Arial" w:hAnsi="Arial" w:cs="Arial"/>
        </w:rPr>
        <w:t xml:space="preserve"> i</w:t>
      </w:r>
      <w:r w:rsidR="0058047D" w:rsidRPr="005824B7">
        <w:rPr>
          <w:rFonts w:ascii="Arial" w:hAnsi="Arial" w:cs="Arial"/>
        </w:rPr>
        <w:t xml:space="preserve">ndependent forensic </w:t>
      </w:r>
      <w:r w:rsidR="00B00E9D" w:rsidRPr="005824B7">
        <w:rPr>
          <w:rFonts w:ascii="Arial" w:hAnsi="Arial" w:cs="Arial"/>
        </w:rPr>
        <w:t xml:space="preserve">investigators </w:t>
      </w:r>
      <w:r w:rsidR="005128B9" w:rsidRPr="005824B7">
        <w:rPr>
          <w:rFonts w:ascii="Arial" w:hAnsi="Arial" w:cs="Arial"/>
        </w:rPr>
        <w:t xml:space="preserve">who were </w:t>
      </w:r>
      <w:r w:rsidR="00B00E9D" w:rsidRPr="005824B7">
        <w:rPr>
          <w:rFonts w:ascii="Arial" w:hAnsi="Arial" w:cs="Arial"/>
        </w:rPr>
        <w:t xml:space="preserve">appointed by </w:t>
      </w:r>
      <w:r w:rsidR="007C7479" w:rsidRPr="005824B7">
        <w:rPr>
          <w:rFonts w:ascii="Arial" w:hAnsi="Arial" w:cs="Arial"/>
        </w:rPr>
        <w:t>the appellant</w:t>
      </w:r>
      <w:r w:rsidR="00B00E9D" w:rsidRPr="005824B7">
        <w:rPr>
          <w:rFonts w:ascii="Arial" w:hAnsi="Arial" w:cs="Arial"/>
        </w:rPr>
        <w:t xml:space="preserve"> to investigate the allegations, deposed to an affidavit which was filed with the South African Police Service </w:t>
      </w:r>
      <w:r w:rsidR="00A54B8D" w:rsidRPr="005824B7">
        <w:rPr>
          <w:rFonts w:ascii="Arial" w:hAnsi="Arial" w:cs="Arial"/>
        </w:rPr>
        <w:t xml:space="preserve">(SAPS) </w:t>
      </w:r>
      <w:r w:rsidR="00B00E9D" w:rsidRPr="005824B7">
        <w:rPr>
          <w:rFonts w:ascii="Arial" w:hAnsi="Arial" w:cs="Arial"/>
        </w:rPr>
        <w:t xml:space="preserve">by </w:t>
      </w:r>
      <w:r w:rsidR="00CB3430" w:rsidRPr="005824B7">
        <w:rPr>
          <w:rFonts w:ascii="Arial" w:hAnsi="Arial" w:cs="Arial"/>
        </w:rPr>
        <w:t>the appellant</w:t>
      </w:r>
      <w:r w:rsidR="00B00E9D" w:rsidRPr="005824B7">
        <w:rPr>
          <w:rFonts w:ascii="Arial" w:hAnsi="Arial" w:cs="Arial"/>
        </w:rPr>
        <w:t xml:space="preserve"> when it laid criminal charges against </w:t>
      </w:r>
      <w:r w:rsidR="00CB3430" w:rsidRPr="005824B7">
        <w:rPr>
          <w:rFonts w:ascii="Arial" w:hAnsi="Arial" w:cs="Arial"/>
        </w:rPr>
        <w:t>Ms Mayola</w:t>
      </w:r>
      <w:r w:rsidR="00B00E9D" w:rsidRPr="005824B7">
        <w:rPr>
          <w:rFonts w:ascii="Arial" w:hAnsi="Arial" w:cs="Arial"/>
        </w:rPr>
        <w:t>.</w:t>
      </w:r>
      <w:r w:rsidR="00881755" w:rsidRPr="005824B7">
        <w:rPr>
          <w:rFonts w:ascii="Arial" w:hAnsi="Arial" w:cs="Arial"/>
        </w:rPr>
        <w:t xml:space="preserve"> </w:t>
      </w:r>
      <w:r w:rsidR="00B00E9D" w:rsidRPr="005824B7">
        <w:rPr>
          <w:rFonts w:ascii="Arial" w:hAnsi="Arial" w:cs="Arial"/>
        </w:rPr>
        <w:t xml:space="preserve">The </w:t>
      </w:r>
      <w:r w:rsidR="00CB3430" w:rsidRPr="005824B7">
        <w:rPr>
          <w:rFonts w:ascii="Arial" w:hAnsi="Arial" w:cs="Arial"/>
        </w:rPr>
        <w:t>appellant</w:t>
      </w:r>
      <w:r w:rsidR="00B00E9D" w:rsidRPr="005824B7">
        <w:rPr>
          <w:rFonts w:ascii="Arial" w:hAnsi="Arial" w:cs="Arial"/>
        </w:rPr>
        <w:t xml:space="preserve"> incorporates </w:t>
      </w:r>
      <w:r w:rsidR="005128B9" w:rsidRPr="005824B7">
        <w:rPr>
          <w:rFonts w:ascii="Arial" w:hAnsi="Arial" w:cs="Arial"/>
        </w:rPr>
        <w:t>this</w:t>
      </w:r>
      <w:r w:rsidR="00B00E9D" w:rsidRPr="005824B7">
        <w:rPr>
          <w:rFonts w:ascii="Arial" w:hAnsi="Arial" w:cs="Arial"/>
        </w:rPr>
        <w:t xml:space="preserve"> affidavit by reference into the founding affidavit. </w:t>
      </w:r>
    </w:p>
    <w:p w14:paraId="15903D12" w14:textId="77777777" w:rsidR="00CB3430" w:rsidRPr="005852C4" w:rsidRDefault="00CB3430" w:rsidP="007A79C3">
      <w:pPr>
        <w:widowControl w:val="0"/>
        <w:spacing w:line="360" w:lineRule="auto"/>
        <w:contextualSpacing/>
        <w:jc w:val="both"/>
        <w:rPr>
          <w:rFonts w:ascii="Arial" w:hAnsi="Arial" w:cs="Arial"/>
        </w:rPr>
      </w:pPr>
    </w:p>
    <w:p w14:paraId="59839D1A" w14:textId="62E1DCF9" w:rsidR="00CB3430" w:rsidRPr="005824B7" w:rsidRDefault="005824B7" w:rsidP="005824B7">
      <w:pPr>
        <w:widowControl w:val="0"/>
        <w:spacing w:line="360" w:lineRule="auto"/>
        <w:jc w:val="both"/>
        <w:rPr>
          <w:rFonts w:ascii="Arial" w:hAnsi="Arial" w:cs="Arial"/>
        </w:rPr>
      </w:pPr>
      <w:r w:rsidRPr="007A79C3">
        <w:rPr>
          <w:rFonts w:ascii="Arial" w:hAnsi="Arial" w:cs="Arial"/>
        </w:rPr>
        <w:t>[12]</w:t>
      </w:r>
      <w:r w:rsidRPr="007A79C3">
        <w:rPr>
          <w:rFonts w:ascii="Arial" w:hAnsi="Arial" w:cs="Arial"/>
        </w:rPr>
        <w:tab/>
      </w:r>
      <w:r w:rsidR="00CB3430" w:rsidRPr="005824B7">
        <w:rPr>
          <w:rFonts w:ascii="Arial" w:hAnsi="Arial" w:cs="Arial"/>
        </w:rPr>
        <w:t>As at March 2019</w:t>
      </w:r>
      <w:r w:rsidR="00A54B8D" w:rsidRPr="005824B7">
        <w:rPr>
          <w:rFonts w:ascii="Arial" w:hAnsi="Arial" w:cs="Arial"/>
        </w:rPr>
        <w:t xml:space="preserve"> or </w:t>
      </w:r>
      <w:r w:rsidR="00CB3430" w:rsidRPr="005824B7">
        <w:rPr>
          <w:rFonts w:ascii="Arial" w:hAnsi="Arial" w:cs="Arial"/>
        </w:rPr>
        <w:t>the beginning of April 2019</w:t>
      </w:r>
      <w:r w:rsidR="005128B9" w:rsidRPr="005824B7">
        <w:rPr>
          <w:rFonts w:ascii="Arial" w:hAnsi="Arial" w:cs="Arial"/>
        </w:rPr>
        <w:t>,</w:t>
      </w:r>
      <w:r w:rsidR="00CB3430" w:rsidRPr="005824B7">
        <w:rPr>
          <w:rFonts w:ascii="Arial" w:hAnsi="Arial" w:cs="Arial"/>
        </w:rPr>
        <w:t xml:space="preserve"> the appellant was informed by </w:t>
      </w:r>
      <w:r w:rsidR="00CB3430" w:rsidRPr="005824B7">
        <w:rPr>
          <w:rFonts w:ascii="Arial" w:hAnsi="Arial" w:cs="Arial"/>
        </w:rPr>
        <w:lastRenderedPageBreak/>
        <w:t xml:space="preserve">the forensic investigators that preliminary investigations confirmed (a) </w:t>
      </w:r>
      <w:r w:rsidR="00674950" w:rsidRPr="005824B7">
        <w:rPr>
          <w:rFonts w:ascii="Arial" w:hAnsi="Arial" w:cs="Arial"/>
        </w:rPr>
        <w:t xml:space="preserve">that </w:t>
      </w:r>
      <w:r w:rsidR="00CB3430" w:rsidRPr="005824B7">
        <w:rPr>
          <w:rFonts w:ascii="Arial" w:hAnsi="Arial" w:cs="Arial"/>
        </w:rPr>
        <w:t>substantial payments had been made to DeeTee, and (b)</w:t>
      </w:r>
      <w:r w:rsidR="00674950" w:rsidRPr="005824B7">
        <w:rPr>
          <w:rFonts w:ascii="Arial" w:hAnsi="Arial" w:cs="Arial"/>
        </w:rPr>
        <w:t xml:space="preserve"> that</w:t>
      </w:r>
      <w:r w:rsidR="00CB3430" w:rsidRPr="005824B7">
        <w:rPr>
          <w:rFonts w:ascii="Arial" w:hAnsi="Arial" w:cs="Arial"/>
        </w:rPr>
        <w:t xml:space="preserve"> no services justifying these payments had been provided.</w:t>
      </w:r>
    </w:p>
    <w:p w14:paraId="31A2D4F9" w14:textId="4ED11EB6" w:rsidR="00CB3430" w:rsidRPr="005852C4" w:rsidRDefault="00CB3430" w:rsidP="007A79C3">
      <w:pPr>
        <w:widowControl w:val="0"/>
        <w:spacing w:line="360" w:lineRule="auto"/>
        <w:contextualSpacing/>
        <w:jc w:val="both"/>
        <w:rPr>
          <w:rFonts w:ascii="Arial" w:hAnsi="Arial" w:cs="Arial"/>
        </w:rPr>
      </w:pPr>
    </w:p>
    <w:p w14:paraId="0A37FC8E" w14:textId="25A4314B" w:rsidR="00CB3430" w:rsidRPr="005824B7" w:rsidRDefault="005824B7" w:rsidP="005824B7">
      <w:pPr>
        <w:widowControl w:val="0"/>
        <w:spacing w:line="360" w:lineRule="auto"/>
        <w:jc w:val="both"/>
        <w:rPr>
          <w:rFonts w:ascii="Arial" w:hAnsi="Arial" w:cs="Arial"/>
        </w:rPr>
      </w:pPr>
      <w:r w:rsidRPr="007A79C3">
        <w:rPr>
          <w:rFonts w:ascii="Arial" w:hAnsi="Arial" w:cs="Arial"/>
        </w:rPr>
        <w:t>[13]</w:t>
      </w:r>
      <w:r w:rsidRPr="007A79C3">
        <w:rPr>
          <w:rFonts w:ascii="Arial" w:hAnsi="Arial" w:cs="Arial"/>
        </w:rPr>
        <w:tab/>
      </w:r>
      <w:r w:rsidR="00CB3430" w:rsidRPr="005824B7">
        <w:rPr>
          <w:rFonts w:ascii="Arial" w:hAnsi="Arial" w:cs="Arial"/>
        </w:rPr>
        <w:t>The forensic investigators’ affidavit detailed that from January 2017 to March 2019 the total amount paid to DeeTee as a consequence of Ms Mayola’s unlawful authorisation of invoices was the sum of R8 635 483.84. The affidavit further described how this amount came to be paid to DeeTee. In brief, DeeTee transported the appellant’s sugar on instructions received from the appellant. However, Ms Mayola had informed a third party transporter whose services were also utilised by the appellant, namely, Kempston Logistics, that sugar transported by DeeTee had been stolen in</w:t>
      </w:r>
      <w:r w:rsidR="00A54B8D" w:rsidRPr="005824B7">
        <w:rPr>
          <w:rFonts w:ascii="Arial" w:hAnsi="Arial" w:cs="Arial"/>
        </w:rPr>
        <w:t xml:space="preserve"> </w:t>
      </w:r>
      <w:r w:rsidR="00CB3430" w:rsidRPr="005824B7">
        <w:rPr>
          <w:rFonts w:ascii="Arial" w:hAnsi="Arial" w:cs="Arial"/>
        </w:rPr>
        <w:t xml:space="preserve">transit. DeeTee was accordingly liable to the appellant for the lost sugar. She further asserted that DeeTee’s claim for the lost sugar had been repudiated by its insurers and </w:t>
      </w:r>
      <w:r w:rsidR="005128B9" w:rsidRPr="005824B7">
        <w:rPr>
          <w:rFonts w:ascii="Arial" w:hAnsi="Arial" w:cs="Arial"/>
        </w:rPr>
        <w:t>that</w:t>
      </w:r>
      <w:r w:rsidR="00CB3430" w:rsidRPr="005824B7">
        <w:rPr>
          <w:rFonts w:ascii="Arial" w:hAnsi="Arial" w:cs="Arial"/>
        </w:rPr>
        <w:t xml:space="preserve"> DeeTee </w:t>
      </w:r>
      <w:r w:rsidR="005128B9" w:rsidRPr="005824B7">
        <w:rPr>
          <w:rFonts w:ascii="Arial" w:hAnsi="Arial" w:cs="Arial"/>
        </w:rPr>
        <w:t xml:space="preserve">therefore </w:t>
      </w:r>
      <w:r w:rsidR="00CB3430" w:rsidRPr="005824B7">
        <w:rPr>
          <w:rFonts w:ascii="Arial" w:hAnsi="Arial" w:cs="Arial"/>
        </w:rPr>
        <w:t>now owed the appellant the sum of R1.2 million. However, since DeeTee did not have the money to pay the appellant, Kempston Logistics agreed to take over loads that Ms Mayola indicated would be given to DeeTee in order to assist it to pay the amount owed to the appellant but at a reduced rate. The difference was to be paid over to the appellant but this did not happen. The investigations revealed that Ms Mayola provided DeeTee with the details of invoices received from Kempston Logistics, that DeeTee then issued invoices for the same ‘route’ as that invoiced by Kempston Logistics and that Ms Mayola thereafter approved DeeTee</w:t>
      </w:r>
      <w:r w:rsidR="00A54B8D" w:rsidRPr="005824B7">
        <w:rPr>
          <w:rFonts w:ascii="Arial" w:hAnsi="Arial" w:cs="Arial"/>
        </w:rPr>
        <w:t>’s</w:t>
      </w:r>
      <w:r w:rsidR="00CB3430" w:rsidRPr="005824B7">
        <w:rPr>
          <w:rFonts w:ascii="Arial" w:hAnsi="Arial" w:cs="Arial"/>
        </w:rPr>
        <w:t xml:space="preserve"> invoices for payment.</w:t>
      </w:r>
    </w:p>
    <w:p w14:paraId="470972B8" w14:textId="5082DB1A" w:rsidR="00CB3430" w:rsidRPr="005852C4" w:rsidRDefault="00CB3430" w:rsidP="007A79C3">
      <w:pPr>
        <w:widowControl w:val="0"/>
        <w:spacing w:line="360" w:lineRule="auto"/>
        <w:contextualSpacing/>
        <w:jc w:val="both"/>
        <w:rPr>
          <w:rFonts w:ascii="Arial" w:hAnsi="Arial" w:cs="Arial"/>
        </w:rPr>
      </w:pPr>
    </w:p>
    <w:p w14:paraId="0947A0FC" w14:textId="0722D5DE" w:rsidR="00CB3430" w:rsidRPr="005824B7" w:rsidRDefault="005824B7" w:rsidP="005824B7">
      <w:pPr>
        <w:widowControl w:val="0"/>
        <w:spacing w:line="360" w:lineRule="auto"/>
        <w:jc w:val="both"/>
        <w:rPr>
          <w:rFonts w:ascii="Arial" w:hAnsi="Arial" w:cs="Arial"/>
        </w:rPr>
      </w:pPr>
      <w:r w:rsidRPr="007A79C3">
        <w:rPr>
          <w:rFonts w:ascii="Arial" w:hAnsi="Arial" w:cs="Arial"/>
        </w:rPr>
        <w:t>[14]</w:t>
      </w:r>
      <w:r w:rsidRPr="007A79C3">
        <w:rPr>
          <w:rFonts w:ascii="Arial" w:hAnsi="Arial" w:cs="Arial"/>
        </w:rPr>
        <w:tab/>
      </w:r>
      <w:r w:rsidR="00CB3430" w:rsidRPr="005824B7">
        <w:rPr>
          <w:rFonts w:ascii="Arial" w:hAnsi="Arial" w:cs="Arial"/>
        </w:rPr>
        <w:t>As a result of the preliminary investigations</w:t>
      </w:r>
      <w:r w:rsidR="00A54B8D" w:rsidRPr="005824B7">
        <w:rPr>
          <w:rFonts w:ascii="Arial" w:hAnsi="Arial" w:cs="Arial"/>
        </w:rPr>
        <w:t>,</w:t>
      </w:r>
      <w:r w:rsidR="00CB3430" w:rsidRPr="005824B7">
        <w:rPr>
          <w:rFonts w:ascii="Arial" w:hAnsi="Arial" w:cs="Arial"/>
        </w:rPr>
        <w:t xml:space="preserve"> the appellant deemed it prudent and appropriate to suspend Ms Mayola pending the finalisation of the investigations. A letter of suspension was handed to Ms Mayola on 12 April 2019. The said letter afforded Ms Mayola an opportunity to make representations to the appellant on why she should not be suspended. Ms Mayola duly made representations to the appellant. Notwithstanding these representations, she was suspended with immediate effect on full pay without any loss of benefits.</w:t>
      </w:r>
    </w:p>
    <w:p w14:paraId="471C619E" w14:textId="1BF79F58" w:rsidR="00CB3430" w:rsidRPr="005852C4" w:rsidRDefault="00CB3430" w:rsidP="007A79C3">
      <w:pPr>
        <w:widowControl w:val="0"/>
        <w:spacing w:line="360" w:lineRule="auto"/>
        <w:contextualSpacing/>
        <w:jc w:val="both"/>
        <w:rPr>
          <w:rFonts w:ascii="Arial" w:hAnsi="Arial" w:cs="Arial"/>
        </w:rPr>
      </w:pPr>
    </w:p>
    <w:p w14:paraId="73762B5F" w14:textId="4911E0D9" w:rsidR="001A1A97" w:rsidRPr="005824B7" w:rsidRDefault="005824B7" w:rsidP="005824B7">
      <w:pPr>
        <w:widowControl w:val="0"/>
        <w:spacing w:line="360" w:lineRule="auto"/>
        <w:jc w:val="both"/>
        <w:rPr>
          <w:rFonts w:ascii="Arial" w:hAnsi="Arial" w:cs="Arial"/>
        </w:rPr>
      </w:pPr>
      <w:r w:rsidRPr="007A79C3">
        <w:rPr>
          <w:rFonts w:ascii="Arial" w:hAnsi="Arial" w:cs="Arial"/>
        </w:rPr>
        <w:t>[15]</w:t>
      </w:r>
      <w:r w:rsidRPr="007A79C3">
        <w:rPr>
          <w:rFonts w:ascii="Arial" w:hAnsi="Arial" w:cs="Arial"/>
        </w:rPr>
        <w:tab/>
      </w:r>
      <w:r w:rsidR="001A1A97" w:rsidRPr="005824B7">
        <w:rPr>
          <w:rFonts w:ascii="Arial" w:hAnsi="Arial" w:cs="Arial"/>
        </w:rPr>
        <w:t xml:space="preserve">Ms Mayola proceeded to refer her suspension to the Commission for Conciliation, Mediation and Arbitration (CCMA) with the CCMA scheduling a conciliation meeting between the appellant and Ms Mayola for 8 August 2019. </w:t>
      </w:r>
      <w:r w:rsidR="005128B9" w:rsidRPr="005824B7">
        <w:rPr>
          <w:rFonts w:ascii="Arial" w:hAnsi="Arial" w:cs="Arial"/>
        </w:rPr>
        <w:t>O</w:t>
      </w:r>
      <w:r w:rsidR="001A1A97" w:rsidRPr="005824B7">
        <w:rPr>
          <w:rFonts w:ascii="Arial" w:hAnsi="Arial" w:cs="Arial"/>
        </w:rPr>
        <w:t xml:space="preserve">n 8 </w:t>
      </w:r>
      <w:r w:rsidR="001A1A97" w:rsidRPr="005824B7">
        <w:rPr>
          <w:rFonts w:ascii="Arial" w:hAnsi="Arial" w:cs="Arial"/>
        </w:rPr>
        <w:lastRenderedPageBreak/>
        <w:t>August 2019 the matter was dealt with by the CCMA but remained unresolved. The appellant thereafter invited Ms Mayola to attend a meeting with it to enable the appellant to discuss the matter with her. She was also advised that disciplinary charges would be instituted against her and that a disciplinary enquiry would be held shortly thereafter.</w:t>
      </w:r>
    </w:p>
    <w:p w14:paraId="4E633164" w14:textId="4E6A9F92" w:rsidR="001A1A97" w:rsidRPr="005852C4" w:rsidRDefault="001A1A97" w:rsidP="007A79C3">
      <w:pPr>
        <w:widowControl w:val="0"/>
        <w:spacing w:line="360" w:lineRule="auto"/>
        <w:contextualSpacing/>
        <w:jc w:val="both"/>
        <w:rPr>
          <w:rFonts w:ascii="Arial" w:hAnsi="Arial" w:cs="Arial"/>
        </w:rPr>
      </w:pPr>
    </w:p>
    <w:p w14:paraId="5EBB96E5" w14:textId="2465A18A" w:rsidR="001A1A97" w:rsidRPr="005824B7" w:rsidRDefault="005824B7" w:rsidP="005824B7">
      <w:pPr>
        <w:widowControl w:val="0"/>
        <w:spacing w:line="360" w:lineRule="auto"/>
        <w:jc w:val="both"/>
        <w:rPr>
          <w:rFonts w:ascii="Arial" w:hAnsi="Arial" w:cs="Arial"/>
        </w:rPr>
      </w:pPr>
      <w:r w:rsidRPr="007A79C3">
        <w:rPr>
          <w:rFonts w:ascii="Arial" w:hAnsi="Arial" w:cs="Arial"/>
        </w:rPr>
        <w:t>[16]</w:t>
      </w:r>
      <w:r w:rsidRPr="007A79C3">
        <w:rPr>
          <w:rFonts w:ascii="Arial" w:hAnsi="Arial" w:cs="Arial"/>
        </w:rPr>
        <w:tab/>
      </w:r>
      <w:r w:rsidR="001A1A97" w:rsidRPr="005824B7">
        <w:rPr>
          <w:rFonts w:ascii="Arial" w:hAnsi="Arial" w:cs="Arial"/>
        </w:rPr>
        <w:t>Ms Mayola did not attend the aforesaid meeting but instead resigned with immediate effect on the same day.</w:t>
      </w:r>
    </w:p>
    <w:p w14:paraId="6B788080" w14:textId="3DDE1D86" w:rsidR="001A1A97" w:rsidRPr="005852C4" w:rsidRDefault="001A1A97" w:rsidP="007A79C3">
      <w:pPr>
        <w:widowControl w:val="0"/>
        <w:spacing w:line="360" w:lineRule="auto"/>
        <w:contextualSpacing/>
        <w:jc w:val="both"/>
        <w:rPr>
          <w:rFonts w:ascii="Arial" w:hAnsi="Arial" w:cs="Arial"/>
        </w:rPr>
      </w:pPr>
    </w:p>
    <w:p w14:paraId="2752EFB1" w14:textId="5F42CBEF" w:rsidR="001A1A97" w:rsidRPr="005824B7" w:rsidRDefault="005824B7" w:rsidP="005824B7">
      <w:pPr>
        <w:widowControl w:val="0"/>
        <w:spacing w:line="360" w:lineRule="auto"/>
        <w:jc w:val="both"/>
        <w:rPr>
          <w:rFonts w:ascii="Arial" w:hAnsi="Arial" w:cs="Arial"/>
        </w:rPr>
      </w:pPr>
      <w:r w:rsidRPr="007A79C3">
        <w:rPr>
          <w:rFonts w:ascii="Arial" w:hAnsi="Arial" w:cs="Arial"/>
        </w:rPr>
        <w:t>[17]</w:t>
      </w:r>
      <w:r w:rsidRPr="007A79C3">
        <w:rPr>
          <w:rFonts w:ascii="Arial" w:hAnsi="Arial" w:cs="Arial"/>
        </w:rPr>
        <w:tab/>
      </w:r>
      <w:r w:rsidR="001A1A97" w:rsidRPr="005824B7">
        <w:rPr>
          <w:rFonts w:ascii="Arial" w:hAnsi="Arial" w:cs="Arial"/>
        </w:rPr>
        <w:t xml:space="preserve">The investigations conducted by the forensic investigators </w:t>
      </w:r>
      <w:r w:rsidR="00AC51DF" w:rsidRPr="005824B7">
        <w:rPr>
          <w:rFonts w:ascii="Arial" w:hAnsi="Arial" w:cs="Arial"/>
        </w:rPr>
        <w:t xml:space="preserve">were </w:t>
      </w:r>
      <w:r w:rsidR="001A1A97" w:rsidRPr="005824B7">
        <w:rPr>
          <w:rFonts w:ascii="Arial" w:hAnsi="Arial" w:cs="Arial"/>
        </w:rPr>
        <w:t>comprehensive in all respects and extremely onerous due to the nature of the matter</w:t>
      </w:r>
      <w:r w:rsidR="00674950" w:rsidRPr="005824B7">
        <w:rPr>
          <w:rFonts w:ascii="Arial" w:hAnsi="Arial" w:cs="Arial"/>
        </w:rPr>
        <w:t xml:space="preserve">. There were </w:t>
      </w:r>
      <w:r w:rsidR="001A1A97" w:rsidRPr="005824B7">
        <w:rPr>
          <w:rFonts w:ascii="Arial" w:hAnsi="Arial" w:cs="Arial"/>
        </w:rPr>
        <w:t>substantial records which had to be obtained and perused bearing in mind the seniority of Ms Mayola who, prior to her suspension, was in a position to manipulate and conceal transactions. The investigation involved a substantial review of documentation running into thousands of pages, cross</w:t>
      </w:r>
      <w:r w:rsidR="00A54B8D" w:rsidRPr="005824B7">
        <w:rPr>
          <w:rFonts w:ascii="Arial" w:hAnsi="Arial" w:cs="Arial"/>
        </w:rPr>
        <w:t>-</w:t>
      </w:r>
      <w:r w:rsidR="001A1A97" w:rsidRPr="005824B7">
        <w:rPr>
          <w:rFonts w:ascii="Arial" w:hAnsi="Arial" w:cs="Arial"/>
        </w:rPr>
        <w:t>referencing and checking. It also involved analysing the hard drive o</w:t>
      </w:r>
      <w:r w:rsidR="004245D3" w:rsidRPr="005824B7">
        <w:rPr>
          <w:rFonts w:ascii="Arial" w:hAnsi="Arial" w:cs="Arial"/>
        </w:rPr>
        <w:t>f</w:t>
      </w:r>
      <w:r w:rsidR="001A1A97" w:rsidRPr="005824B7">
        <w:rPr>
          <w:rFonts w:ascii="Arial" w:hAnsi="Arial" w:cs="Arial"/>
        </w:rPr>
        <w:t xml:space="preserve"> </w:t>
      </w:r>
      <w:r w:rsidR="004245D3" w:rsidRPr="005824B7">
        <w:rPr>
          <w:rFonts w:ascii="Arial" w:hAnsi="Arial" w:cs="Arial"/>
        </w:rPr>
        <w:t xml:space="preserve">the </w:t>
      </w:r>
      <w:r w:rsidR="001A1A97" w:rsidRPr="005824B7">
        <w:rPr>
          <w:rFonts w:ascii="Arial" w:hAnsi="Arial" w:cs="Arial"/>
        </w:rPr>
        <w:t>computer that was utilised by Ms Mayola in her work. The hard drive produced substantial information and emails that had to be cross-checked.</w:t>
      </w:r>
    </w:p>
    <w:p w14:paraId="49B60F0D" w14:textId="686C37C4" w:rsidR="001A1A97" w:rsidRPr="005852C4" w:rsidRDefault="001A1A97" w:rsidP="007A79C3">
      <w:pPr>
        <w:widowControl w:val="0"/>
        <w:spacing w:line="360" w:lineRule="auto"/>
        <w:contextualSpacing/>
        <w:jc w:val="both"/>
        <w:rPr>
          <w:rFonts w:ascii="Arial" w:hAnsi="Arial" w:cs="Arial"/>
        </w:rPr>
      </w:pPr>
    </w:p>
    <w:p w14:paraId="6F9FB6CB" w14:textId="6B8A0352" w:rsidR="001A1A97" w:rsidRPr="005824B7" w:rsidRDefault="005824B7" w:rsidP="005824B7">
      <w:pPr>
        <w:widowControl w:val="0"/>
        <w:spacing w:line="360" w:lineRule="auto"/>
        <w:jc w:val="both"/>
        <w:rPr>
          <w:rFonts w:ascii="Arial" w:hAnsi="Arial" w:cs="Arial"/>
        </w:rPr>
      </w:pPr>
      <w:r w:rsidRPr="007A79C3">
        <w:rPr>
          <w:rFonts w:ascii="Arial" w:hAnsi="Arial" w:cs="Arial"/>
        </w:rPr>
        <w:t>[18]</w:t>
      </w:r>
      <w:r w:rsidRPr="007A79C3">
        <w:rPr>
          <w:rFonts w:ascii="Arial" w:hAnsi="Arial" w:cs="Arial"/>
        </w:rPr>
        <w:tab/>
      </w:r>
      <w:r w:rsidR="001A1A97" w:rsidRPr="005824B7">
        <w:rPr>
          <w:rFonts w:ascii="Arial" w:hAnsi="Arial" w:cs="Arial"/>
        </w:rPr>
        <w:t>On 10 July 2019</w:t>
      </w:r>
      <w:r w:rsidR="00A54B8D" w:rsidRPr="005824B7">
        <w:rPr>
          <w:rFonts w:ascii="Arial" w:hAnsi="Arial" w:cs="Arial"/>
        </w:rPr>
        <w:t>,</w:t>
      </w:r>
      <w:r w:rsidR="001A1A97" w:rsidRPr="005824B7">
        <w:rPr>
          <w:rFonts w:ascii="Arial" w:hAnsi="Arial" w:cs="Arial"/>
        </w:rPr>
        <w:t xml:space="preserve"> the appellant was advised by the forensic investigators that their investigation</w:t>
      </w:r>
      <w:r w:rsidR="00674950" w:rsidRPr="005824B7">
        <w:rPr>
          <w:rFonts w:ascii="Arial" w:hAnsi="Arial" w:cs="Arial"/>
        </w:rPr>
        <w:t>s</w:t>
      </w:r>
      <w:r w:rsidR="001A1A97" w:rsidRPr="005824B7">
        <w:rPr>
          <w:rFonts w:ascii="Arial" w:hAnsi="Arial" w:cs="Arial"/>
        </w:rPr>
        <w:t xml:space="preserve"> thus far had uncovered significant fraudulent and dishonest conduct on the part of Ms Mayola. The appellant was further informed that an analysis of Ms Mayola’s email account, as contained on the appellant’s network, provided a significant amount of evidence of wrongdoing as evidenced by her own bank account statements. These statements revealed significantly high and suspicious amount</w:t>
      </w:r>
      <w:r w:rsidR="00674950" w:rsidRPr="005824B7">
        <w:rPr>
          <w:rFonts w:ascii="Arial" w:hAnsi="Arial" w:cs="Arial"/>
        </w:rPr>
        <w:t>s</w:t>
      </w:r>
      <w:r w:rsidR="001A1A97" w:rsidRPr="005824B7">
        <w:rPr>
          <w:rFonts w:ascii="Arial" w:hAnsi="Arial" w:cs="Arial"/>
        </w:rPr>
        <w:t xml:space="preserve"> in her account. </w:t>
      </w:r>
      <w:r w:rsidR="009229AE" w:rsidRPr="005824B7">
        <w:rPr>
          <w:rFonts w:ascii="Arial" w:hAnsi="Arial" w:cs="Arial"/>
        </w:rPr>
        <w:t xml:space="preserve">An </w:t>
      </w:r>
      <w:r w:rsidR="001A1A97" w:rsidRPr="005824B7">
        <w:rPr>
          <w:rFonts w:ascii="Arial" w:hAnsi="Arial" w:cs="Arial"/>
        </w:rPr>
        <w:t xml:space="preserve">April 2016 </w:t>
      </w:r>
      <w:r w:rsidR="009229AE" w:rsidRPr="005824B7">
        <w:rPr>
          <w:rFonts w:ascii="Arial" w:hAnsi="Arial" w:cs="Arial"/>
        </w:rPr>
        <w:t xml:space="preserve">bank </w:t>
      </w:r>
      <w:r w:rsidR="001A1A97" w:rsidRPr="005824B7">
        <w:rPr>
          <w:rFonts w:ascii="Arial" w:hAnsi="Arial" w:cs="Arial"/>
        </w:rPr>
        <w:t>statement for instance reflect</w:t>
      </w:r>
      <w:r w:rsidR="009229AE" w:rsidRPr="005824B7">
        <w:rPr>
          <w:rFonts w:ascii="Arial" w:hAnsi="Arial" w:cs="Arial"/>
        </w:rPr>
        <w:t>ed</w:t>
      </w:r>
      <w:r w:rsidR="001A1A97" w:rsidRPr="005824B7">
        <w:rPr>
          <w:rFonts w:ascii="Arial" w:hAnsi="Arial" w:cs="Arial"/>
        </w:rPr>
        <w:t xml:space="preserve"> that, apart from her salary of R46 354</w:t>
      </w:r>
      <w:r w:rsidR="00AC51DF" w:rsidRPr="005824B7">
        <w:rPr>
          <w:rFonts w:ascii="Arial" w:hAnsi="Arial" w:cs="Arial"/>
        </w:rPr>
        <w:t>.</w:t>
      </w:r>
      <w:r w:rsidR="001A1A97" w:rsidRPr="005824B7">
        <w:rPr>
          <w:rFonts w:ascii="Arial" w:hAnsi="Arial" w:cs="Arial"/>
        </w:rPr>
        <w:t>56 which she received as a full-time employee, an amount of approximately R94 000 was paid into her account. This comprised the sum of R38</w:t>
      </w:r>
      <w:r w:rsidR="00AC51DF" w:rsidRPr="005824B7">
        <w:rPr>
          <w:rFonts w:ascii="Arial" w:hAnsi="Arial" w:cs="Arial"/>
        </w:rPr>
        <w:t> </w:t>
      </w:r>
      <w:r w:rsidR="001A1A97" w:rsidRPr="005824B7">
        <w:rPr>
          <w:rFonts w:ascii="Arial" w:hAnsi="Arial" w:cs="Arial"/>
        </w:rPr>
        <w:t xml:space="preserve">000 in cash deposits and the balance by virtue of electronic transfers. According to the forensic investigators, further bank statements and records belonging to Ms Mayola could only be obtained under subpoena, something that only the </w:t>
      </w:r>
      <w:r w:rsidR="00A54B8D" w:rsidRPr="005824B7">
        <w:rPr>
          <w:rFonts w:ascii="Arial" w:hAnsi="Arial" w:cs="Arial"/>
        </w:rPr>
        <w:t>SAPS</w:t>
      </w:r>
      <w:r w:rsidR="001A1A97" w:rsidRPr="005824B7">
        <w:rPr>
          <w:rFonts w:ascii="Arial" w:hAnsi="Arial" w:cs="Arial"/>
        </w:rPr>
        <w:t xml:space="preserve"> was empowered to do.</w:t>
      </w:r>
    </w:p>
    <w:p w14:paraId="1AA45670" w14:textId="5D346CF3" w:rsidR="001A1A97" w:rsidRPr="005852C4" w:rsidRDefault="001A1A97" w:rsidP="007A79C3">
      <w:pPr>
        <w:widowControl w:val="0"/>
        <w:spacing w:line="360" w:lineRule="auto"/>
        <w:contextualSpacing/>
        <w:jc w:val="both"/>
        <w:rPr>
          <w:rFonts w:ascii="Arial" w:hAnsi="Arial" w:cs="Arial"/>
        </w:rPr>
      </w:pPr>
    </w:p>
    <w:p w14:paraId="531F2787" w14:textId="7BA80259" w:rsidR="001A1A97" w:rsidRPr="005824B7" w:rsidRDefault="005824B7" w:rsidP="005824B7">
      <w:pPr>
        <w:widowControl w:val="0"/>
        <w:spacing w:line="360" w:lineRule="auto"/>
        <w:jc w:val="both"/>
        <w:rPr>
          <w:rFonts w:ascii="Arial" w:hAnsi="Arial" w:cs="Arial"/>
        </w:rPr>
      </w:pPr>
      <w:r w:rsidRPr="007A79C3">
        <w:rPr>
          <w:rFonts w:ascii="Arial" w:hAnsi="Arial" w:cs="Arial"/>
        </w:rPr>
        <w:t>[19]</w:t>
      </w:r>
      <w:r w:rsidRPr="007A79C3">
        <w:rPr>
          <w:rFonts w:ascii="Arial" w:hAnsi="Arial" w:cs="Arial"/>
        </w:rPr>
        <w:tab/>
      </w:r>
      <w:r w:rsidR="001A1A97" w:rsidRPr="005824B7">
        <w:rPr>
          <w:rFonts w:ascii="Arial" w:hAnsi="Arial" w:cs="Arial"/>
        </w:rPr>
        <w:t>On 16 August 2019</w:t>
      </w:r>
      <w:r w:rsidR="009229AE" w:rsidRPr="005824B7">
        <w:rPr>
          <w:rFonts w:ascii="Arial" w:hAnsi="Arial" w:cs="Arial"/>
        </w:rPr>
        <w:t>,</w:t>
      </w:r>
      <w:r w:rsidR="001A1A97" w:rsidRPr="005824B7">
        <w:rPr>
          <w:rFonts w:ascii="Arial" w:hAnsi="Arial" w:cs="Arial"/>
        </w:rPr>
        <w:t xml:space="preserve"> the appellant laid formal criminal charges against Ms </w:t>
      </w:r>
      <w:r w:rsidR="001A1A97" w:rsidRPr="005824B7">
        <w:rPr>
          <w:rFonts w:ascii="Arial" w:hAnsi="Arial" w:cs="Arial"/>
        </w:rPr>
        <w:lastRenderedPageBreak/>
        <w:t>Mayola at the Montclair Police Station under Cas 151/08/2019. The charges were supported by a 32 page affidavit deposed to by Mr Aubrey McFarland of Moulton and McFarland, the private investigators acting on behalf of the appellant. According to the appellant, the supporting annexures and extracts of its financial and administrative records are in excess of a thousand pages and comprise about nine lever arch files.</w:t>
      </w:r>
    </w:p>
    <w:p w14:paraId="0D1F6D8F" w14:textId="1DBC6515" w:rsidR="001A1A97" w:rsidRPr="005852C4" w:rsidRDefault="001A1A97" w:rsidP="007A79C3">
      <w:pPr>
        <w:widowControl w:val="0"/>
        <w:spacing w:line="360" w:lineRule="auto"/>
        <w:contextualSpacing/>
        <w:jc w:val="both"/>
        <w:rPr>
          <w:rFonts w:ascii="Arial" w:hAnsi="Arial" w:cs="Arial"/>
        </w:rPr>
      </w:pPr>
    </w:p>
    <w:p w14:paraId="22D6977B" w14:textId="6CEBF36D" w:rsidR="00AC51DF" w:rsidRPr="005824B7" w:rsidRDefault="005824B7" w:rsidP="005824B7">
      <w:pPr>
        <w:widowControl w:val="0"/>
        <w:spacing w:line="360" w:lineRule="auto"/>
        <w:jc w:val="both"/>
        <w:rPr>
          <w:rFonts w:ascii="Arial" w:hAnsi="Arial" w:cs="Arial"/>
        </w:rPr>
      </w:pPr>
      <w:r>
        <w:rPr>
          <w:rFonts w:ascii="Arial" w:hAnsi="Arial" w:cs="Arial"/>
        </w:rPr>
        <w:t>[20]</w:t>
      </w:r>
      <w:r>
        <w:rPr>
          <w:rFonts w:ascii="Arial" w:hAnsi="Arial" w:cs="Arial"/>
        </w:rPr>
        <w:tab/>
      </w:r>
      <w:r w:rsidR="001A1A97" w:rsidRPr="005824B7">
        <w:rPr>
          <w:rFonts w:ascii="Arial" w:hAnsi="Arial" w:cs="Arial"/>
        </w:rPr>
        <w:t>In a letter dated 20 August 2019</w:t>
      </w:r>
      <w:r w:rsidR="00000E1E" w:rsidRPr="005824B7">
        <w:rPr>
          <w:rFonts w:ascii="Arial" w:hAnsi="Arial" w:cs="Arial"/>
        </w:rPr>
        <w:t>,</w:t>
      </w:r>
      <w:r w:rsidR="001A1A97" w:rsidRPr="005824B7">
        <w:rPr>
          <w:rFonts w:ascii="Arial" w:hAnsi="Arial" w:cs="Arial"/>
        </w:rPr>
        <w:t xml:space="preserve"> the appellant</w:t>
      </w:r>
      <w:r w:rsidR="00AC51DF" w:rsidRPr="005824B7">
        <w:rPr>
          <w:rFonts w:ascii="Arial" w:hAnsi="Arial" w:cs="Arial"/>
        </w:rPr>
        <w:t xml:space="preserve"> requested the pension fund to </w:t>
      </w:r>
    </w:p>
    <w:p w14:paraId="7FAB37D2" w14:textId="5FC850F4" w:rsidR="001A1A97" w:rsidRPr="00505F63" w:rsidRDefault="00AC51DF" w:rsidP="00AC51DF">
      <w:pPr>
        <w:pStyle w:val="ListParagraph"/>
        <w:widowControl w:val="0"/>
        <w:spacing w:line="360" w:lineRule="auto"/>
        <w:ind w:left="0"/>
        <w:jc w:val="both"/>
        <w:rPr>
          <w:rFonts w:ascii="Arial" w:hAnsi="Arial" w:cs="Arial"/>
          <w:sz w:val="22"/>
        </w:rPr>
      </w:pPr>
      <w:r w:rsidRPr="00505F63">
        <w:rPr>
          <w:rFonts w:ascii="Arial" w:hAnsi="Arial" w:cs="Arial"/>
          <w:sz w:val="22"/>
        </w:rPr>
        <w:t>‘</w:t>
      </w:r>
      <w:r w:rsidR="001A1A97" w:rsidRPr="00505F63">
        <w:rPr>
          <w:rFonts w:ascii="Arial" w:hAnsi="Arial" w:cs="Arial"/>
          <w:sz w:val="22"/>
        </w:rPr>
        <w:t xml:space="preserve">withhold payment of any amounts standing to the credit of (the third respondent) in her Pension Fund pending the finalisation of the investigation and civil proceedings that </w:t>
      </w:r>
      <w:r w:rsidR="00674950" w:rsidRPr="00505F63">
        <w:rPr>
          <w:rFonts w:ascii="Arial" w:hAnsi="Arial" w:cs="Arial"/>
          <w:sz w:val="22"/>
        </w:rPr>
        <w:t>were</w:t>
      </w:r>
      <w:r w:rsidR="001A1A97" w:rsidRPr="00505F63">
        <w:rPr>
          <w:rFonts w:ascii="Arial" w:hAnsi="Arial" w:cs="Arial"/>
          <w:sz w:val="22"/>
        </w:rPr>
        <w:t xml:space="preserve"> to be instituted and</w:t>
      </w:r>
      <w:r w:rsidR="00674950" w:rsidRPr="00505F63">
        <w:rPr>
          <w:rFonts w:ascii="Arial" w:hAnsi="Arial" w:cs="Arial"/>
          <w:sz w:val="22"/>
        </w:rPr>
        <w:t xml:space="preserve"> also pending</w:t>
      </w:r>
      <w:r w:rsidR="001A1A97" w:rsidRPr="00505F63">
        <w:rPr>
          <w:rFonts w:ascii="Arial" w:hAnsi="Arial" w:cs="Arial"/>
          <w:sz w:val="22"/>
        </w:rPr>
        <w:t xml:space="preserve"> the criminal proceedings</w:t>
      </w:r>
      <w:r w:rsidR="00674950" w:rsidRPr="00505F63">
        <w:rPr>
          <w:rFonts w:ascii="Arial" w:hAnsi="Arial" w:cs="Arial"/>
          <w:sz w:val="22"/>
        </w:rPr>
        <w:t xml:space="preserve"> that were</w:t>
      </w:r>
      <w:r w:rsidR="001A1A97" w:rsidRPr="00505F63">
        <w:rPr>
          <w:rFonts w:ascii="Arial" w:hAnsi="Arial" w:cs="Arial"/>
          <w:sz w:val="22"/>
        </w:rPr>
        <w:t xml:space="preserve"> instituted for the amounts misappropriat</w:t>
      </w:r>
      <w:r w:rsidRPr="00505F63">
        <w:rPr>
          <w:rFonts w:ascii="Arial" w:hAnsi="Arial" w:cs="Arial"/>
          <w:sz w:val="22"/>
        </w:rPr>
        <w:t>ed from the (applicant)</w:t>
      </w:r>
      <w:r w:rsidR="001A1A97" w:rsidRPr="00505F63">
        <w:rPr>
          <w:rFonts w:ascii="Arial" w:hAnsi="Arial" w:cs="Arial"/>
          <w:sz w:val="22"/>
        </w:rPr>
        <w:t>.</w:t>
      </w:r>
      <w:r w:rsidRPr="00505F63">
        <w:rPr>
          <w:rFonts w:ascii="Arial" w:hAnsi="Arial" w:cs="Arial"/>
          <w:sz w:val="22"/>
        </w:rPr>
        <w:t>’</w:t>
      </w:r>
      <w:r w:rsidR="001A1A97" w:rsidRPr="00505F63">
        <w:rPr>
          <w:rFonts w:ascii="Arial" w:hAnsi="Arial" w:cs="Arial"/>
          <w:sz w:val="22"/>
        </w:rPr>
        <w:t xml:space="preserve"> </w:t>
      </w:r>
    </w:p>
    <w:p w14:paraId="40D8C943" w14:textId="77777777" w:rsidR="001A1A97" w:rsidRPr="005852C4" w:rsidRDefault="001A1A97" w:rsidP="007A79C3">
      <w:pPr>
        <w:widowControl w:val="0"/>
        <w:spacing w:line="360" w:lineRule="auto"/>
        <w:contextualSpacing/>
        <w:jc w:val="both"/>
        <w:rPr>
          <w:rFonts w:ascii="Arial" w:hAnsi="Arial" w:cs="Arial"/>
        </w:rPr>
      </w:pPr>
    </w:p>
    <w:p w14:paraId="30995D71" w14:textId="61DB9EB1" w:rsidR="001A1A97" w:rsidRPr="005824B7" w:rsidRDefault="005824B7" w:rsidP="005824B7">
      <w:pPr>
        <w:widowControl w:val="0"/>
        <w:spacing w:line="360" w:lineRule="auto"/>
        <w:jc w:val="both"/>
        <w:rPr>
          <w:rFonts w:ascii="Arial" w:hAnsi="Arial" w:cs="Arial"/>
        </w:rPr>
      </w:pPr>
      <w:r w:rsidRPr="007A79C3">
        <w:rPr>
          <w:rFonts w:ascii="Arial" w:hAnsi="Arial" w:cs="Arial"/>
        </w:rPr>
        <w:t>[21]</w:t>
      </w:r>
      <w:r w:rsidRPr="007A79C3">
        <w:rPr>
          <w:rFonts w:ascii="Arial" w:hAnsi="Arial" w:cs="Arial"/>
        </w:rPr>
        <w:tab/>
      </w:r>
      <w:r w:rsidR="001A1A97" w:rsidRPr="005824B7">
        <w:rPr>
          <w:rFonts w:ascii="Arial" w:hAnsi="Arial" w:cs="Arial"/>
        </w:rPr>
        <w:t xml:space="preserve">The pension fund withheld Ms Mayola’s pension benefit and informed her that </w:t>
      </w:r>
      <w:r w:rsidR="00000E1E" w:rsidRPr="005824B7">
        <w:rPr>
          <w:rFonts w:ascii="Arial" w:hAnsi="Arial" w:cs="Arial"/>
        </w:rPr>
        <w:t xml:space="preserve">the </w:t>
      </w:r>
      <w:r w:rsidR="001A1A97" w:rsidRPr="005824B7">
        <w:rPr>
          <w:rFonts w:ascii="Arial" w:hAnsi="Arial" w:cs="Arial"/>
        </w:rPr>
        <w:t xml:space="preserve">payment of her pension benefits </w:t>
      </w:r>
      <w:r w:rsidR="00674950" w:rsidRPr="005824B7">
        <w:rPr>
          <w:rFonts w:ascii="Arial" w:hAnsi="Arial" w:cs="Arial"/>
        </w:rPr>
        <w:t>was</w:t>
      </w:r>
      <w:r w:rsidR="001A1A97" w:rsidRPr="005824B7">
        <w:rPr>
          <w:rFonts w:ascii="Arial" w:hAnsi="Arial" w:cs="Arial"/>
        </w:rPr>
        <w:t xml:space="preserve"> being withheld pending the outcome of the criminal/civil proceedings instituted by the appellant.</w:t>
      </w:r>
    </w:p>
    <w:p w14:paraId="2306490F" w14:textId="77777777" w:rsidR="001A1A97" w:rsidRPr="005852C4" w:rsidRDefault="001A1A97" w:rsidP="007A79C3">
      <w:pPr>
        <w:widowControl w:val="0"/>
        <w:spacing w:line="360" w:lineRule="auto"/>
        <w:contextualSpacing/>
        <w:jc w:val="both"/>
        <w:rPr>
          <w:rFonts w:ascii="Arial" w:hAnsi="Arial" w:cs="Arial"/>
        </w:rPr>
      </w:pPr>
    </w:p>
    <w:p w14:paraId="447A0351" w14:textId="49F1590B" w:rsidR="001A1A97" w:rsidRPr="005824B7" w:rsidRDefault="005824B7" w:rsidP="005824B7">
      <w:pPr>
        <w:widowControl w:val="0"/>
        <w:spacing w:line="360" w:lineRule="auto"/>
        <w:jc w:val="both"/>
        <w:rPr>
          <w:rFonts w:ascii="Arial" w:hAnsi="Arial" w:cs="Arial"/>
        </w:rPr>
      </w:pPr>
      <w:r w:rsidRPr="007A79C3">
        <w:rPr>
          <w:rFonts w:ascii="Arial" w:hAnsi="Arial" w:cs="Arial"/>
        </w:rPr>
        <w:t>[22]</w:t>
      </w:r>
      <w:r w:rsidRPr="007A79C3">
        <w:rPr>
          <w:rFonts w:ascii="Arial" w:hAnsi="Arial" w:cs="Arial"/>
        </w:rPr>
        <w:tab/>
      </w:r>
      <w:r w:rsidR="001A1A97" w:rsidRPr="005824B7">
        <w:rPr>
          <w:rFonts w:ascii="Arial" w:hAnsi="Arial" w:cs="Arial"/>
        </w:rPr>
        <w:t xml:space="preserve">In a letter dated 29 August 2019 penned by Ms Davidson, the pension fund’s principal executive officer, the </w:t>
      </w:r>
      <w:r w:rsidR="00000E1E" w:rsidRPr="005824B7">
        <w:rPr>
          <w:rFonts w:ascii="Arial" w:hAnsi="Arial" w:cs="Arial"/>
        </w:rPr>
        <w:t xml:space="preserve">pension </w:t>
      </w:r>
      <w:r w:rsidR="001A1A97" w:rsidRPr="005824B7">
        <w:rPr>
          <w:rFonts w:ascii="Arial" w:hAnsi="Arial" w:cs="Arial"/>
        </w:rPr>
        <w:t xml:space="preserve">fund furnished Ms Mayola with the appellant’s request made to it to withhold payment, the decision of the board of trustees of the pension fund to withhold payment, an extract of the rules of the pension fund stating that no period </w:t>
      </w:r>
      <w:r w:rsidR="00674950" w:rsidRPr="005824B7">
        <w:rPr>
          <w:rFonts w:ascii="Arial" w:hAnsi="Arial" w:cs="Arial"/>
        </w:rPr>
        <w:t>was</w:t>
      </w:r>
      <w:r w:rsidR="001A1A97" w:rsidRPr="005824B7">
        <w:rPr>
          <w:rFonts w:ascii="Arial" w:hAnsi="Arial" w:cs="Arial"/>
        </w:rPr>
        <w:t xml:space="preserve"> prescribed for the withholding</w:t>
      </w:r>
      <w:r w:rsidR="00000E1E" w:rsidRPr="005824B7">
        <w:rPr>
          <w:rFonts w:ascii="Arial" w:hAnsi="Arial" w:cs="Arial"/>
        </w:rPr>
        <w:t xml:space="preserve"> of benefits</w:t>
      </w:r>
      <w:r w:rsidR="001A1A97" w:rsidRPr="005824B7">
        <w:rPr>
          <w:rFonts w:ascii="Arial" w:hAnsi="Arial" w:cs="Arial"/>
        </w:rPr>
        <w:t xml:space="preserve">, provided </w:t>
      </w:r>
      <w:r w:rsidR="00000E1E" w:rsidRPr="005824B7">
        <w:rPr>
          <w:rFonts w:ascii="Arial" w:hAnsi="Arial" w:cs="Arial"/>
        </w:rPr>
        <w:t xml:space="preserve">that </w:t>
      </w:r>
      <w:r w:rsidR="001A1A97" w:rsidRPr="005824B7">
        <w:rPr>
          <w:rFonts w:ascii="Arial" w:hAnsi="Arial" w:cs="Arial"/>
        </w:rPr>
        <w:t xml:space="preserve">there </w:t>
      </w:r>
      <w:r w:rsidR="00674950" w:rsidRPr="005824B7">
        <w:rPr>
          <w:rFonts w:ascii="Arial" w:hAnsi="Arial" w:cs="Arial"/>
        </w:rPr>
        <w:t>was</w:t>
      </w:r>
      <w:r w:rsidR="001A1A97" w:rsidRPr="005824B7">
        <w:rPr>
          <w:rFonts w:ascii="Arial" w:hAnsi="Arial" w:cs="Arial"/>
        </w:rPr>
        <w:t xml:space="preserve"> no undue delay, as well as the affidavit filed with the SAPS on the basis of which the pension fund formed a </w:t>
      </w:r>
      <w:r w:rsidR="001A1A97" w:rsidRPr="005824B7">
        <w:rPr>
          <w:rFonts w:ascii="Arial" w:hAnsi="Arial" w:cs="Arial"/>
          <w:i/>
          <w:iCs/>
        </w:rPr>
        <w:t>prima facie</w:t>
      </w:r>
      <w:r w:rsidR="001A1A97" w:rsidRPr="005824B7">
        <w:rPr>
          <w:rFonts w:ascii="Arial" w:hAnsi="Arial" w:cs="Arial"/>
        </w:rPr>
        <w:t xml:space="preserve"> view that Ms Mayola committed the acts of misconduct contained in the affidavit filed with </w:t>
      </w:r>
      <w:r w:rsidR="00A54B8D" w:rsidRPr="005824B7">
        <w:rPr>
          <w:rFonts w:ascii="Arial" w:hAnsi="Arial" w:cs="Arial"/>
        </w:rPr>
        <w:t xml:space="preserve">the </w:t>
      </w:r>
      <w:r w:rsidR="001A1A97" w:rsidRPr="005824B7">
        <w:rPr>
          <w:rFonts w:ascii="Arial" w:hAnsi="Arial" w:cs="Arial"/>
        </w:rPr>
        <w:t>SAPS. Finally, the letter state</w:t>
      </w:r>
      <w:r w:rsidR="00674950" w:rsidRPr="005824B7">
        <w:rPr>
          <w:rFonts w:ascii="Arial" w:hAnsi="Arial" w:cs="Arial"/>
        </w:rPr>
        <w:t>d</w:t>
      </w:r>
      <w:r w:rsidR="001A1A97" w:rsidRPr="005824B7">
        <w:rPr>
          <w:rFonts w:ascii="Arial" w:hAnsi="Arial" w:cs="Arial"/>
        </w:rPr>
        <w:t xml:space="preserve"> that Ms Mayola </w:t>
      </w:r>
      <w:r w:rsidR="00674950" w:rsidRPr="005824B7">
        <w:rPr>
          <w:rFonts w:ascii="Arial" w:hAnsi="Arial" w:cs="Arial"/>
        </w:rPr>
        <w:t>was</w:t>
      </w:r>
      <w:r w:rsidR="001A1A97" w:rsidRPr="005824B7">
        <w:rPr>
          <w:rFonts w:ascii="Arial" w:hAnsi="Arial" w:cs="Arial"/>
        </w:rPr>
        <w:t xml:space="preserve"> welcome to address all queries regarding the pension fund to Ms Davidson. It further inform</w:t>
      </w:r>
      <w:r w:rsidR="00DD3975" w:rsidRPr="005824B7">
        <w:rPr>
          <w:rFonts w:ascii="Arial" w:hAnsi="Arial" w:cs="Arial"/>
        </w:rPr>
        <w:t>ed</w:t>
      </w:r>
      <w:r w:rsidR="001A1A97" w:rsidRPr="005824B7">
        <w:rPr>
          <w:rFonts w:ascii="Arial" w:hAnsi="Arial" w:cs="Arial"/>
        </w:rPr>
        <w:t xml:space="preserve"> Ms Mayola that the fund </w:t>
      </w:r>
      <w:r w:rsidR="00674950" w:rsidRPr="005824B7">
        <w:rPr>
          <w:rFonts w:ascii="Arial" w:hAnsi="Arial" w:cs="Arial"/>
        </w:rPr>
        <w:t>was</w:t>
      </w:r>
      <w:r w:rsidR="001A1A97" w:rsidRPr="005824B7">
        <w:rPr>
          <w:rFonts w:ascii="Arial" w:hAnsi="Arial" w:cs="Arial"/>
        </w:rPr>
        <w:t xml:space="preserve"> independent of the appellant and that Ms Davidson </w:t>
      </w:r>
      <w:r w:rsidR="00DD3975" w:rsidRPr="005824B7">
        <w:rPr>
          <w:rFonts w:ascii="Arial" w:hAnsi="Arial" w:cs="Arial"/>
        </w:rPr>
        <w:t>could</w:t>
      </w:r>
      <w:r w:rsidR="001A1A97" w:rsidRPr="005824B7">
        <w:rPr>
          <w:rFonts w:ascii="Arial" w:hAnsi="Arial" w:cs="Arial"/>
        </w:rPr>
        <w:t xml:space="preserve"> assist with any queries </w:t>
      </w:r>
      <w:r w:rsidR="00DD3975" w:rsidRPr="005824B7">
        <w:rPr>
          <w:rFonts w:ascii="Arial" w:hAnsi="Arial" w:cs="Arial"/>
        </w:rPr>
        <w:t xml:space="preserve">that </w:t>
      </w:r>
      <w:r w:rsidR="001A1A97" w:rsidRPr="005824B7">
        <w:rPr>
          <w:rFonts w:ascii="Arial" w:hAnsi="Arial" w:cs="Arial"/>
        </w:rPr>
        <w:t>Ms Mayola may have in relation to the appellant.</w:t>
      </w:r>
    </w:p>
    <w:p w14:paraId="3D77497B" w14:textId="77777777" w:rsidR="001A1A97" w:rsidRPr="005852C4" w:rsidRDefault="001A1A97" w:rsidP="007A79C3">
      <w:pPr>
        <w:widowControl w:val="0"/>
        <w:spacing w:line="360" w:lineRule="auto"/>
        <w:contextualSpacing/>
        <w:jc w:val="both"/>
        <w:rPr>
          <w:rFonts w:ascii="Arial" w:hAnsi="Arial" w:cs="Arial"/>
        </w:rPr>
      </w:pPr>
    </w:p>
    <w:p w14:paraId="3FBB7F2C" w14:textId="73135F4E" w:rsidR="001A1A97" w:rsidRPr="005824B7" w:rsidRDefault="005824B7" w:rsidP="005824B7">
      <w:pPr>
        <w:widowControl w:val="0"/>
        <w:spacing w:line="360" w:lineRule="auto"/>
        <w:jc w:val="both"/>
        <w:rPr>
          <w:rFonts w:ascii="Arial" w:hAnsi="Arial" w:cs="Arial"/>
        </w:rPr>
      </w:pPr>
      <w:r w:rsidRPr="007A79C3">
        <w:rPr>
          <w:rFonts w:ascii="Arial" w:hAnsi="Arial" w:cs="Arial"/>
        </w:rPr>
        <w:t>[23]</w:t>
      </w:r>
      <w:r w:rsidRPr="007A79C3">
        <w:rPr>
          <w:rFonts w:ascii="Arial" w:hAnsi="Arial" w:cs="Arial"/>
        </w:rPr>
        <w:tab/>
      </w:r>
      <w:r w:rsidR="001A1A97" w:rsidRPr="005824B7">
        <w:rPr>
          <w:rFonts w:ascii="Arial" w:hAnsi="Arial" w:cs="Arial"/>
        </w:rPr>
        <w:t>Ms Mayola did not approach Ms Davidson with any queries</w:t>
      </w:r>
      <w:r w:rsidR="00000E1E" w:rsidRPr="005824B7">
        <w:rPr>
          <w:rFonts w:ascii="Arial" w:hAnsi="Arial" w:cs="Arial"/>
        </w:rPr>
        <w:t>.</w:t>
      </w:r>
      <w:r w:rsidR="001A1A97" w:rsidRPr="005824B7">
        <w:rPr>
          <w:rFonts w:ascii="Arial" w:hAnsi="Arial" w:cs="Arial"/>
        </w:rPr>
        <w:t xml:space="preserve"> </w:t>
      </w:r>
      <w:r w:rsidR="00000E1E" w:rsidRPr="005824B7">
        <w:rPr>
          <w:rFonts w:ascii="Arial" w:hAnsi="Arial" w:cs="Arial"/>
        </w:rPr>
        <w:t>H</w:t>
      </w:r>
      <w:r w:rsidR="001A1A97" w:rsidRPr="005824B7">
        <w:rPr>
          <w:rFonts w:ascii="Arial" w:hAnsi="Arial" w:cs="Arial"/>
        </w:rPr>
        <w:t>owever, on 12 September 2019</w:t>
      </w:r>
      <w:r w:rsidR="00000E1E" w:rsidRPr="005824B7">
        <w:rPr>
          <w:rFonts w:ascii="Arial" w:hAnsi="Arial" w:cs="Arial"/>
        </w:rPr>
        <w:t>,</w:t>
      </w:r>
      <w:r w:rsidR="001A1A97" w:rsidRPr="005824B7">
        <w:rPr>
          <w:rFonts w:ascii="Arial" w:hAnsi="Arial" w:cs="Arial"/>
        </w:rPr>
        <w:t xml:space="preserve"> </w:t>
      </w:r>
      <w:r w:rsidR="00DD3975" w:rsidRPr="005824B7">
        <w:rPr>
          <w:rFonts w:ascii="Arial" w:hAnsi="Arial" w:cs="Arial"/>
        </w:rPr>
        <w:t>she</w:t>
      </w:r>
      <w:r w:rsidR="001A1A97" w:rsidRPr="005824B7">
        <w:rPr>
          <w:rFonts w:ascii="Arial" w:hAnsi="Arial" w:cs="Arial"/>
        </w:rPr>
        <w:t xml:space="preserve"> lodged a complaint with the adjudicator in which she described</w:t>
      </w:r>
      <w:r w:rsidR="00DD3975" w:rsidRPr="005824B7">
        <w:rPr>
          <w:rFonts w:ascii="Arial" w:hAnsi="Arial" w:cs="Arial"/>
        </w:rPr>
        <w:t xml:space="preserve"> the</w:t>
      </w:r>
      <w:r w:rsidR="001A1A97" w:rsidRPr="005824B7">
        <w:rPr>
          <w:rFonts w:ascii="Arial" w:hAnsi="Arial" w:cs="Arial"/>
        </w:rPr>
        <w:t xml:space="preserve"> appellant’s decision to withhold her pension benefits as ‘unjust, oppressive and inequitable’ and a personal attack on her by an entity that she describe</w:t>
      </w:r>
      <w:r w:rsidR="00DD3975" w:rsidRPr="005824B7">
        <w:rPr>
          <w:rFonts w:ascii="Arial" w:hAnsi="Arial" w:cs="Arial"/>
        </w:rPr>
        <w:t>d</w:t>
      </w:r>
      <w:r w:rsidR="001A1A97" w:rsidRPr="005824B7">
        <w:rPr>
          <w:rFonts w:ascii="Arial" w:hAnsi="Arial" w:cs="Arial"/>
        </w:rPr>
        <w:t xml:space="preserve"> as being ‘rotten to the core’. It is appropriate to set out a brief extract from Ms Mayola’s response </w:t>
      </w:r>
      <w:r w:rsidR="001A1A97" w:rsidRPr="005824B7">
        <w:rPr>
          <w:rFonts w:ascii="Arial" w:hAnsi="Arial" w:cs="Arial"/>
        </w:rPr>
        <w:lastRenderedPageBreak/>
        <w:t>to the allegations made against her by the appellant</w:t>
      </w:r>
      <w:r w:rsidR="00AC51DF" w:rsidRPr="005824B7">
        <w:rPr>
          <w:rFonts w:ascii="Arial" w:hAnsi="Arial" w:cs="Arial"/>
        </w:rPr>
        <w:t>:</w:t>
      </w:r>
    </w:p>
    <w:p w14:paraId="5F7E98DD" w14:textId="79481500" w:rsidR="001A1A97" w:rsidRPr="007A79C3" w:rsidRDefault="00AC51DF" w:rsidP="007A79C3">
      <w:pPr>
        <w:pStyle w:val="ListParagraph"/>
        <w:widowControl w:val="0"/>
        <w:spacing w:line="360" w:lineRule="auto"/>
        <w:ind w:left="0"/>
        <w:jc w:val="both"/>
        <w:rPr>
          <w:rFonts w:ascii="Arial" w:hAnsi="Arial" w:cs="Arial"/>
          <w:sz w:val="22"/>
          <w:szCs w:val="22"/>
        </w:rPr>
      </w:pPr>
      <w:r>
        <w:rPr>
          <w:rFonts w:ascii="Arial" w:hAnsi="Arial" w:cs="Arial"/>
          <w:sz w:val="22"/>
          <w:szCs w:val="22"/>
        </w:rPr>
        <w:t>‘</w:t>
      </w:r>
      <w:r w:rsidR="001A1A97" w:rsidRPr="007A79C3">
        <w:rPr>
          <w:rFonts w:ascii="Arial" w:hAnsi="Arial" w:cs="Arial"/>
          <w:sz w:val="22"/>
          <w:szCs w:val="22"/>
        </w:rPr>
        <w:t>My response to the matter is the following:</w:t>
      </w:r>
      <w:r w:rsidR="00881755">
        <w:rPr>
          <w:rFonts w:ascii="Arial" w:hAnsi="Arial" w:cs="Arial"/>
          <w:sz w:val="22"/>
          <w:szCs w:val="22"/>
        </w:rPr>
        <w:t xml:space="preserve"> </w:t>
      </w:r>
      <w:r w:rsidR="001A1A97" w:rsidRPr="007A79C3">
        <w:rPr>
          <w:rFonts w:ascii="Arial" w:hAnsi="Arial" w:cs="Arial"/>
          <w:sz w:val="22"/>
          <w:szCs w:val="22"/>
        </w:rPr>
        <w:t>Huletts is a biased and untruthful organization that is rotten to the core with no management process and policies.</w:t>
      </w:r>
      <w:r w:rsidR="00881755">
        <w:rPr>
          <w:rFonts w:ascii="Arial" w:hAnsi="Arial" w:cs="Arial"/>
          <w:sz w:val="22"/>
          <w:szCs w:val="22"/>
        </w:rPr>
        <w:t xml:space="preserve"> </w:t>
      </w:r>
      <w:r w:rsidR="001A1A97" w:rsidRPr="007A79C3">
        <w:rPr>
          <w:rFonts w:ascii="Arial" w:hAnsi="Arial" w:cs="Arial"/>
          <w:sz w:val="22"/>
          <w:szCs w:val="22"/>
        </w:rPr>
        <w:t>This investigation was a personal attack on me as a professional and would attribute it to race and gender violation.</w:t>
      </w:r>
      <w:r w:rsidR="00881755">
        <w:rPr>
          <w:rFonts w:ascii="Arial" w:hAnsi="Arial" w:cs="Arial"/>
          <w:sz w:val="22"/>
          <w:szCs w:val="22"/>
        </w:rPr>
        <w:t xml:space="preserve"> </w:t>
      </w:r>
      <w:r w:rsidR="001A1A97" w:rsidRPr="007A79C3">
        <w:rPr>
          <w:rFonts w:ascii="Arial" w:hAnsi="Arial" w:cs="Arial"/>
          <w:sz w:val="22"/>
          <w:szCs w:val="22"/>
        </w:rPr>
        <w:t>My manager is allowed to verbally provide evidence and be allowed to not account for anything in the company.</w:t>
      </w:r>
      <w:r w:rsidR="00881755">
        <w:rPr>
          <w:rFonts w:ascii="Arial" w:hAnsi="Arial" w:cs="Arial"/>
          <w:sz w:val="22"/>
          <w:szCs w:val="22"/>
        </w:rPr>
        <w:t xml:space="preserve"> </w:t>
      </w:r>
      <w:r w:rsidR="001A1A97" w:rsidRPr="007A79C3">
        <w:rPr>
          <w:rFonts w:ascii="Arial" w:hAnsi="Arial" w:cs="Arial"/>
          <w:sz w:val="22"/>
          <w:szCs w:val="22"/>
        </w:rPr>
        <w:t>An organization that has no job descriptions or KPI for senior management is a serious concern.</w:t>
      </w:r>
      <w:r w:rsidR="00881755">
        <w:rPr>
          <w:rFonts w:ascii="Arial" w:hAnsi="Arial" w:cs="Arial"/>
          <w:sz w:val="22"/>
          <w:szCs w:val="22"/>
        </w:rPr>
        <w:t xml:space="preserve"> </w:t>
      </w:r>
      <w:r w:rsidR="001A1A97" w:rsidRPr="007A79C3">
        <w:rPr>
          <w:rFonts w:ascii="Arial" w:hAnsi="Arial" w:cs="Arial"/>
          <w:sz w:val="22"/>
          <w:szCs w:val="22"/>
        </w:rPr>
        <w:t>An organization that does have NO performance management policy yet is quick to attribute blame to someone lacks objectivity and is prone to f</w:t>
      </w:r>
      <w:r>
        <w:rPr>
          <w:rFonts w:ascii="Arial" w:hAnsi="Arial" w:cs="Arial"/>
          <w:sz w:val="22"/>
          <w:szCs w:val="22"/>
        </w:rPr>
        <w:t>alse accusations and scapegoats</w:t>
      </w:r>
      <w:r w:rsidR="001A1A97" w:rsidRPr="007A79C3">
        <w:rPr>
          <w:rFonts w:ascii="Arial" w:hAnsi="Arial" w:cs="Arial"/>
          <w:sz w:val="22"/>
          <w:szCs w:val="22"/>
        </w:rPr>
        <w:t>.</w:t>
      </w:r>
      <w:r>
        <w:rPr>
          <w:rFonts w:ascii="Arial" w:hAnsi="Arial" w:cs="Arial"/>
          <w:sz w:val="22"/>
          <w:szCs w:val="22"/>
        </w:rPr>
        <w:t>’</w:t>
      </w:r>
      <w:r w:rsidR="001A1A97" w:rsidRPr="007A79C3">
        <w:rPr>
          <w:rFonts w:ascii="Arial" w:hAnsi="Arial" w:cs="Arial"/>
          <w:sz w:val="22"/>
          <w:szCs w:val="22"/>
        </w:rPr>
        <w:t xml:space="preserve"> </w:t>
      </w:r>
    </w:p>
    <w:p w14:paraId="26CF68CD" w14:textId="77777777" w:rsidR="00B00E9D" w:rsidRPr="005852C4" w:rsidRDefault="00B00E9D" w:rsidP="007A79C3">
      <w:pPr>
        <w:widowControl w:val="0"/>
        <w:spacing w:line="360" w:lineRule="auto"/>
        <w:contextualSpacing/>
        <w:jc w:val="both"/>
        <w:rPr>
          <w:rFonts w:ascii="Arial" w:hAnsi="Arial" w:cs="Arial"/>
        </w:rPr>
      </w:pPr>
    </w:p>
    <w:p w14:paraId="48E5CC40" w14:textId="64080643" w:rsidR="00C71F62" w:rsidRPr="005824B7" w:rsidRDefault="005824B7" w:rsidP="005824B7">
      <w:pPr>
        <w:widowControl w:val="0"/>
        <w:spacing w:line="360" w:lineRule="auto"/>
        <w:jc w:val="both"/>
        <w:rPr>
          <w:rFonts w:ascii="Arial" w:hAnsi="Arial" w:cs="Arial"/>
        </w:rPr>
      </w:pPr>
      <w:r w:rsidRPr="007A79C3">
        <w:rPr>
          <w:rFonts w:ascii="Arial" w:hAnsi="Arial" w:cs="Arial"/>
        </w:rPr>
        <w:t>[24]</w:t>
      </w:r>
      <w:r w:rsidRPr="007A79C3">
        <w:rPr>
          <w:rFonts w:ascii="Arial" w:hAnsi="Arial" w:cs="Arial"/>
        </w:rPr>
        <w:tab/>
      </w:r>
      <w:r w:rsidR="003E1E17" w:rsidRPr="005824B7">
        <w:rPr>
          <w:rFonts w:ascii="Arial" w:hAnsi="Arial" w:cs="Arial"/>
        </w:rPr>
        <w:t>Following this complaint the adjudicator invited representations from all parties and thereafter issued his determination as dealt with hereunder.</w:t>
      </w:r>
    </w:p>
    <w:p w14:paraId="0A4D7F76" w14:textId="5A1F7A41" w:rsidR="003E1E17" w:rsidRPr="005852C4" w:rsidRDefault="003E1E17" w:rsidP="007A79C3">
      <w:pPr>
        <w:widowControl w:val="0"/>
        <w:spacing w:line="360" w:lineRule="auto"/>
        <w:contextualSpacing/>
        <w:jc w:val="both"/>
        <w:rPr>
          <w:rFonts w:ascii="Arial" w:hAnsi="Arial" w:cs="Arial"/>
        </w:rPr>
      </w:pPr>
    </w:p>
    <w:p w14:paraId="36FF3205" w14:textId="357139BD" w:rsidR="003E1E17" w:rsidRPr="00796DB4" w:rsidRDefault="003E1E17" w:rsidP="007A79C3">
      <w:pPr>
        <w:pStyle w:val="ListParagraph"/>
        <w:widowControl w:val="0"/>
        <w:spacing w:line="360" w:lineRule="auto"/>
        <w:ind w:left="0"/>
        <w:jc w:val="both"/>
        <w:rPr>
          <w:rFonts w:ascii="Arial" w:hAnsi="Arial" w:cs="Arial"/>
          <w:b/>
        </w:rPr>
      </w:pPr>
      <w:r w:rsidRPr="00796DB4">
        <w:rPr>
          <w:rFonts w:ascii="Arial" w:hAnsi="Arial" w:cs="Arial"/>
          <w:b/>
        </w:rPr>
        <w:t xml:space="preserve">The </w:t>
      </w:r>
      <w:r w:rsidR="00796DB4" w:rsidRPr="00796DB4">
        <w:rPr>
          <w:rFonts w:ascii="Arial" w:hAnsi="Arial" w:cs="Arial"/>
          <w:b/>
        </w:rPr>
        <w:t>adjudicator’s determination</w:t>
      </w:r>
    </w:p>
    <w:p w14:paraId="772EBB2F" w14:textId="69CD0BF3" w:rsidR="003E1E17" w:rsidRPr="005824B7" w:rsidRDefault="005824B7" w:rsidP="005824B7">
      <w:pPr>
        <w:widowControl w:val="0"/>
        <w:spacing w:line="360" w:lineRule="auto"/>
        <w:jc w:val="both"/>
        <w:rPr>
          <w:rFonts w:ascii="Arial" w:hAnsi="Arial" w:cs="Arial"/>
        </w:rPr>
      </w:pPr>
      <w:r w:rsidRPr="007A79C3">
        <w:rPr>
          <w:rFonts w:ascii="Arial" w:hAnsi="Arial" w:cs="Arial"/>
        </w:rPr>
        <w:t>[25]</w:t>
      </w:r>
      <w:r w:rsidRPr="007A79C3">
        <w:rPr>
          <w:rFonts w:ascii="Arial" w:hAnsi="Arial" w:cs="Arial"/>
        </w:rPr>
        <w:tab/>
      </w:r>
      <w:r w:rsidR="003E1E17" w:rsidRPr="005824B7">
        <w:rPr>
          <w:rFonts w:ascii="Arial" w:hAnsi="Arial" w:cs="Arial"/>
        </w:rPr>
        <w:t xml:space="preserve">The adjudicator considered the complaint and submissions filed by Ms Mayola. He further considered the presentations made by the appellant, </w:t>
      </w:r>
      <w:r w:rsidR="00DD3975" w:rsidRPr="005824B7">
        <w:rPr>
          <w:rFonts w:ascii="Arial" w:hAnsi="Arial" w:cs="Arial"/>
        </w:rPr>
        <w:t xml:space="preserve">the </w:t>
      </w:r>
      <w:r w:rsidR="003E1E17" w:rsidRPr="005824B7">
        <w:rPr>
          <w:rFonts w:ascii="Arial" w:hAnsi="Arial" w:cs="Arial"/>
        </w:rPr>
        <w:t>pension fund and the administrators.</w:t>
      </w:r>
      <w:r w:rsidR="00881755" w:rsidRPr="005824B7">
        <w:rPr>
          <w:rFonts w:ascii="Arial" w:hAnsi="Arial" w:cs="Arial"/>
        </w:rPr>
        <w:t xml:space="preserve"> </w:t>
      </w:r>
      <w:r w:rsidR="003E1E17" w:rsidRPr="005824B7">
        <w:rPr>
          <w:rFonts w:ascii="Arial" w:hAnsi="Arial" w:cs="Arial"/>
        </w:rPr>
        <w:t>Ms Mayola makes no allegations against the adjudicator of procedural unfairness in the finalisation of the determination.</w:t>
      </w:r>
    </w:p>
    <w:p w14:paraId="564C65E0" w14:textId="4BED2CC6" w:rsidR="003E1E17" w:rsidRPr="005852C4" w:rsidRDefault="003E1E17" w:rsidP="007A79C3">
      <w:pPr>
        <w:widowControl w:val="0"/>
        <w:spacing w:line="360" w:lineRule="auto"/>
        <w:contextualSpacing/>
        <w:jc w:val="both"/>
        <w:rPr>
          <w:rFonts w:ascii="Arial" w:hAnsi="Arial" w:cs="Arial"/>
        </w:rPr>
      </w:pPr>
    </w:p>
    <w:p w14:paraId="5EDFB5D5" w14:textId="1F448C11" w:rsidR="00035169" w:rsidRPr="005824B7" w:rsidRDefault="005824B7" w:rsidP="005824B7">
      <w:pPr>
        <w:widowControl w:val="0"/>
        <w:spacing w:line="360" w:lineRule="auto"/>
        <w:jc w:val="both"/>
        <w:rPr>
          <w:rFonts w:ascii="Arial" w:hAnsi="Arial" w:cs="Arial"/>
        </w:rPr>
      </w:pPr>
      <w:r w:rsidRPr="007A79C3">
        <w:rPr>
          <w:rFonts w:ascii="Arial" w:hAnsi="Arial" w:cs="Arial"/>
        </w:rPr>
        <w:t>[26]</w:t>
      </w:r>
      <w:r w:rsidRPr="007A79C3">
        <w:rPr>
          <w:rFonts w:ascii="Arial" w:hAnsi="Arial" w:cs="Arial"/>
        </w:rPr>
        <w:tab/>
      </w:r>
      <w:r w:rsidR="003E1E17" w:rsidRPr="005824B7">
        <w:rPr>
          <w:rFonts w:ascii="Arial" w:hAnsi="Arial" w:cs="Arial"/>
        </w:rPr>
        <w:t>The adjudicator identified the issue to be whether the withholding of the pension benefit by the pension fund was lawful.</w:t>
      </w:r>
      <w:r w:rsidR="00881755" w:rsidRPr="005824B7">
        <w:rPr>
          <w:rFonts w:ascii="Arial" w:hAnsi="Arial" w:cs="Arial"/>
        </w:rPr>
        <w:t xml:space="preserve"> </w:t>
      </w:r>
      <w:r w:rsidR="003E1E17" w:rsidRPr="005824B7">
        <w:rPr>
          <w:rFonts w:ascii="Arial" w:hAnsi="Arial" w:cs="Arial"/>
        </w:rPr>
        <w:t xml:space="preserve">In considering the issue he reviewed </w:t>
      </w:r>
      <w:r w:rsidR="00881FCC" w:rsidRPr="005824B7">
        <w:rPr>
          <w:rFonts w:ascii="Arial" w:hAnsi="Arial" w:cs="Arial"/>
        </w:rPr>
        <w:t xml:space="preserve">rule </w:t>
      </w:r>
      <w:r w:rsidR="003E1E17" w:rsidRPr="005824B7">
        <w:rPr>
          <w:rFonts w:ascii="Arial" w:hAnsi="Arial" w:cs="Arial"/>
        </w:rPr>
        <w:t>4.1 of the rules of the pension fund and s 37D(1)</w:t>
      </w:r>
      <w:r w:rsidR="003E1E17" w:rsidRPr="005824B7">
        <w:rPr>
          <w:rFonts w:ascii="Arial" w:hAnsi="Arial" w:cs="Arial"/>
          <w:i/>
        </w:rPr>
        <w:t>(b)</w:t>
      </w:r>
      <w:r w:rsidR="00D11BCF" w:rsidRPr="005824B7">
        <w:rPr>
          <w:rFonts w:ascii="Arial" w:hAnsi="Arial" w:cs="Arial"/>
        </w:rPr>
        <w:t>(ii) and found that it is ‘</w:t>
      </w:r>
      <w:r w:rsidR="003E1E17" w:rsidRPr="005824B7">
        <w:rPr>
          <w:rFonts w:ascii="Arial" w:hAnsi="Arial" w:cs="Arial"/>
        </w:rPr>
        <w:t>permissible for a board of a fund to withhold a benefit in terms of section 37D(1)</w:t>
      </w:r>
      <w:r w:rsidR="003E1E17" w:rsidRPr="005824B7">
        <w:rPr>
          <w:rFonts w:ascii="Arial" w:hAnsi="Arial" w:cs="Arial"/>
          <w:i/>
        </w:rPr>
        <w:t>(b)</w:t>
      </w:r>
      <w:r w:rsidR="003E1E17" w:rsidRPr="005824B7">
        <w:rPr>
          <w:rFonts w:ascii="Arial" w:hAnsi="Arial" w:cs="Arial"/>
        </w:rPr>
        <w:t>(ii) of the (</w:t>
      </w:r>
      <w:r w:rsidR="00D11BCF" w:rsidRPr="005824B7">
        <w:rPr>
          <w:rFonts w:ascii="Arial" w:hAnsi="Arial" w:cs="Arial"/>
        </w:rPr>
        <w:t>Pensions Act)’</w:t>
      </w:r>
      <w:r w:rsidR="003E1E17" w:rsidRPr="005824B7">
        <w:rPr>
          <w:rFonts w:ascii="Arial" w:hAnsi="Arial" w:cs="Arial"/>
        </w:rPr>
        <w:t>.</w:t>
      </w:r>
      <w:r w:rsidR="00881755" w:rsidRPr="005824B7">
        <w:rPr>
          <w:rFonts w:ascii="Arial" w:hAnsi="Arial" w:cs="Arial"/>
        </w:rPr>
        <w:t xml:space="preserve"> </w:t>
      </w:r>
      <w:r w:rsidR="003E1E17" w:rsidRPr="005824B7">
        <w:rPr>
          <w:rFonts w:ascii="Arial" w:hAnsi="Arial" w:cs="Arial"/>
        </w:rPr>
        <w:t>The determination concludes that the pension fund made a decision to withhold the pension benefits without affording Ms Mayola an opportunity to make representations before making its decision. The adjudicator found that the pension fund deprived itself of hearing Ms Mayola’s side.</w:t>
      </w:r>
      <w:r w:rsidR="00881755" w:rsidRPr="005824B7">
        <w:rPr>
          <w:rFonts w:ascii="Arial" w:hAnsi="Arial" w:cs="Arial"/>
        </w:rPr>
        <w:t xml:space="preserve"> </w:t>
      </w:r>
      <w:r w:rsidR="003E1E17" w:rsidRPr="005824B7">
        <w:rPr>
          <w:rFonts w:ascii="Arial" w:hAnsi="Arial" w:cs="Arial"/>
        </w:rPr>
        <w:t xml:space="preserve">Had it afforded her an opportunity to be heard, it would have realised that this </w:t>
      </w:r>
      <w:r w:rsidR="00DD3975" w:rsidRPr="005824B7">
        <w:rPr>
          <w:rFonts w:ascii="Arial" w:hAnsi="Arial" w:cs="Arial"/>
        </w:rPr>
        <w:t>was</w:t>
      </w:r>
      <w:r w:rsidR="003E1E17" w:rsidRPr="005824B7">
        <w:rPr>
          <w:rFonts w:ascii="Arial" w:hAnsi="Arial" w:cs="Arial"/>
        </w:rPr>
        <w:t xml:space="preserve"> not a case that warrants</w:t>
      </w:r>
      <w:r w:rsidR="00DD3975" w:rsidRPr="005824B7">
        <w:rPr>
          <w:rFonts w:ascii="Arial" w:hAnsi="Arial" w:cs="Arial"/>
        </w:rPr>
        <w:t xml:space="preserve"> the</w:t>
      </w:r>
      <w:r w:rsidR="003E1E17" w:rsidRPr="005824B7">
        <w:rPr>
          <w:rFonts w:ascii="Arial" w:hAnsi="Arial" w:cs="Arial"/>
        </w:rPr>
        <w:t xml:space="preserve"> withholding of pension benefits. Likening the withholding of benefits to anti-dissipation orders, the adjudicator accepted that a well-grounded apprehension of harm was required before a benefit was withheld because of the draconian nature of </w:t>
      </w:r>
      <w:r w:rsidR="00000E1E" w:rsidRPr="005824B7">
        <w:rPr>
          <w:rFonts w:ascii="Arial" w:hAnsi="Arial" w:cs="Arial"/>
        </w:rPr>
        <w:t xml:space="preserve">such </w:t>
      </w:r>
      <w:r w:rsidR="003E1E17" w:rsidRPr="005824B7">
        <w:rPr>
          <w:rFonts w:ascii="Arial" w:hAnsi="Arial" w:cs="Arial"/>
        </w:rPr>
        <w:t>decision.</w:t>
      </w:r>
      <w:r w:rsidR="00881755" w:rsidRPr="005824B7">
        <w:rPr>
          <w:rFonts w:ascii="Arial" w:hAnsi="Arial" w:cs="Arial"/>
        </w:rPr>
        <w:t xml:space="preserve"> </w:t>
      </w:r>
      <w:r w:rsidR="003E1E17" w:rsidRPr="005824B7">
        <w:rPr>
          <w:rFonts w:ascii="Arial" w:hAnsi="Arial" w:cs="Arial"/>
        </w:rPr>
        <w:t>The adjudicator concluded that the pension fund failed in its fiduciary duty to Ms Mayola.</w:t>
      </w:r>
    </w:p>
    <w:p w14:paraId="506FA8EE" w14:textId="77777777" w:rsidR="00035169" w:rsidRPr="005852C4" w:rsidRDefault="00035169" w:rsidP="007A79C3">
      <w:pPr>
        <w:widowControl w:val="0"/>
        <w:spacing w:line="360" w:lineRule="auto"/>
        <w:contextualSpacing/>
        <w:jc w:val="both"/>
        <w:rPr>
          <w:rFonts w:ascii="Arial" w:hAnsi="Arial" w:cs="Arial"/>
        </w:rPr>
      </w:pPr>
    </w:p>
    <w:p w14:paraId="01F7F9DB" w14:textId="64B45919" w:rsidR="00035169" w:rsidRPr="00796DB4" w:rsidRDefault="00000E1E" w:rsidP="007A79C3">
      <w:pPr>
        <w:pStyle w:val="ListParagraph"/>
        <w:widowControl w:val="0"/>
        <w:spacing w:line="360" w:lineRule="auto"/>
        <w:ind w:left="0"/>
        <w:jc w:val="both"/>
        <w:rPr>
          <w:rFonts w:ascii="Arial" w:hAnsi="Arial" w:cs="Arial"/>
          <w:b/>
          <w:bCs/>
          <w:lang w:val="en-ZA" w:eastAsia="en-ZA"/>
        </w:rPr>
      </w:pPr>
      <w:r>
        <w:rPr>
          <w:rFonts w:ascii="Arial" w:hAnsi="Arial" w:cs="Arial"/>
          <w:b/>
          <w:bCs/>
          <w:lang w:val="en-ZA" w:eastAsia="en-ZA"/>
        </w:rPr>
        <w:t>Proceedings in</w:t>
      </w:r>
      <w:r w:rsidR="00035169" w:rsidRPr="00796DB4">
        <w:rPr>
          <w:rFonts w:ascii="Arial" w:hAnsi="Arial" w:cs="Arial"/>
          <w:b/>
          <w:bCs/>
          <w:lang w:val="en-ZA" w:eastAsia="en-ZA"/>
        </w:rPr>
        <w:t xml:space="preserve"> the </w:t>
      </w:r>
      <w:r w:rsidR="00796DB4" w:rsidRPr="00796DB4">
        <w:rPr>
          <w:rFonts w:ascii="Arial" w:hAnsi="Arial" w:cs="Arial"/>
          <w:b/>
          <w:bCs/>
          <w:lang w:val="en-ZA" w:eastAsia="en-ZA"/>
        </w:rPr>
        <w:t xml:space="preserve">court </w:t>
      </w:r>
      <w:r w:rsidR="00035169" w:rsidRPr="00796DB4">
        <w:rPr>
          <w:rFonts w:ascii="Arial" w:hAnsi="Arial" w:cs="Arial"/>
          <w:b/>
          <w:bCs/>
          <w:i/>
          <w:lang w:val="en-ZA" w:eastAsia="en-ZA"/>
        </w:rPr>
        <w:t>a quo</w:t>
      </w:r>
      <w:r w:rsidR="00035169" w:rsidRPr="00796DB4">
        <w:rPr>
          <w:rFonts w:ascii="Arial" w:hAnsi="Arial" w:cs="Arial"/>
          <w:b/>
          <w:bCs/>
          <w:lang w:val="en-ZA" w:eastAsia="en-ZA"/>
        </w:rPr>
        <w:t xml:space="preserve"> </w:t>
      </w:r>
    </w:p>
    <w:p w14:paraId="21390A72" w14:textId="4D329AB0" w:rsidR="00035169" w:rsidRPr="005824B7" w:rsidRDefault="005824B7" w:rsidP="005824B7">
      <w:pPr>
        <w:widowControl w:val="0"/>
        <w:spacing w:line="360" w:lineRule="auto"/>
        <w:jc w:val="both"/>
        <w:rPr>
          <w:rFonts w:ascii="Arial" w:hAnsi="Arial" w:cs="Arial"/>
          <w:lang w:val="en-ZA" w:eastAsia="en-ZA"/>
        </w:rPr>
      </w:pPr>
      <w:r w:rsidRPr="007A79C3">
        <w:rPr>
          <w:rFonts w:ascii="Arial" w:hAnsi="Arial" w:cs="Arial"/>
          <w:lang w:val="en-ZA" w:eastAsia="en-ZA"/>
        </w:rPr>
        <w:lastRenderedPageBreak/>
        <w:t>[27]</w:t>
      </w:r>
      <w:r w:rsidRPr="007A79C3">
        <w:rPr>
          <w:rFonts w:ascii="Arial" w:hAnsi="Arial" w:cs="Arial"/>
          <w:lang w:val="en-ZA" w:eastAsia="en-ZA"/>
        </w:rPr>
        <w:tab/>
      </w:r>
      <w:r w:rsidR="00A54B8D" w:rsidRPr="005824B7">
        <w:rPr>
          <w:rFonts w:ascii="Arial" w:hAnsi="Arial" w:cs="Arial"/>
          <w:lang w:val="en-ZA" w:eastAsia="en-ZA"/>
        </w:rPr>
        <w:t xml:space="preserve">The relief sought in the court </w:t>
      </w:r>
      <w:r w:rsidR="00A54B8D" w:rsidRPr="005824B7">
        <w:rPr>
          <w:rFonts w:ascii="Arial" w:hAnsi="Arial" w:cs="Arial"/>
          <w:i/>
          <w:lang w:val="en-ZA" w:eastAsia="en-ZA"/>
        </w:rPr>
        <w:t xml:space="preserve">a quo </w:t>
      </w:r>
      <w:r w:rsidR="00A54B8D" w:rsidRPr="005824B7">
        <w:rPr>
          <w:rFonts w:ascii="Arial" w:hAnsi="Arial" w:cs="Arial"/>
          <w:lang w:val="en-ZA" w:eastAsia="en-ZA"/>
        </w:rPr>
        <w:t>was the following:</w:t>
      </w:r>
    </w:p>
    <w:p w14:paraId="245280A0" w14:textId="0AA29AFB" w:rsidR="00035169" w:rsidRPr="00F01556" w:rsidRDefault="00F01556" w:rsidP="007A79C3">
      <w:pPr>
        <w:pStyle w:val="ListParagraph"/>
        <w:widowControl w:val="0"/>
        <w:spacing w:line="360" w:lineRule="auto"/>
        <w:ind w:left="0"/>
        <w:jc w:val="both"/>
        <w:rPr>
          <w:rFonts w:ascii="Arial" w:hAnsi="Arial" w:cs="Arial"/>
          <w:sz w:val="22"/>
          <w:szCs w:val="22"/>
          <w:lang w:val="en-ZA" w:eastAsia="en-ZA"/>
        </w:rPr>
      </w:pPr>
      <w:r>
        <w:rPr>
          <w:rFonts w:ascii="Arial" w:hAnsi="Arial" w:cs="Arial"/>
          <w:sz w:val="22"/>
          <w:szCs w:val="22"/>
          <w:lang w:val="en-ZA" w:eastAsia="en-ZA"/>
        </w:rPr>
        <w:t>‘</w:t>
      </w:r>
      <w:r w:rsidR="00035169" w:rsidRPr="00F01556">
        <w:rPr>
          <w:rFonts w:ascii="Arial" w:hAnsi="Arial" w:cs="Arial"/>
          <w:sz w:val="22"/>
          <w:szCs w:val="22"/>
          <w:lang w:val="en-ZA" w:eastAsia="en-ZA"/>
        </w:rPr>
        <w:t>1.</w:t>
      </w:r>
      <w:r w:rsidR="00035169" w:rsidRPr="00F01556">
        <w:rPr>
          <w:rFonts w:ascii="Arial" w:hAnsi="Arial" w:cs="Arial"/>
          <w:sz w:val="22"/>
          <w:szCs w:val="22"/>
          <w:lang w:val="en-ZA" w:eastAsia="en-ZA"/>
        </w:rPr>
        <w:tab/>
        <w:t>Pending the finalisation of the criminal proceedings instituted against the Third Respondent under case number Montclair CAS151/08/2019 at the South African Police Services, Montclair Police Station, KwaZulu Natal, and / or any civil proceedings instituted by the applicant against the Third Respondent (within 30 [thirty] days from the date of such Order) alternatively, pending the finalisation of the review proceedings referred to in paragraph 4 below, the First Respondent is interdicted and prohibited to pay to the Third Respondent any /all amounts (including any withdrawal benefit) held by the First and/or Second Respondents for the credit of the Third Respondent, and;</w:t>
      </w:r>
    </w:p>
    <w:p w14:paraId="56C73A7A" w14:textId="77777777" w:rsidR="00035169" w:rsidRPr="00F01556" w:rsidRDefault="00035169" w:rsidP="007A79C3">
      <w:pPr>
        <w:pStyle w:val="ListParagraph"/>
        <w:widowControl w:val="0"/>
        <w:spacing w:line="360" w:lineRule="auto"/>
        <w:ind w:left="0"/>
        <w:jc w:val="both"/>
        <w:rPr>
          <w:rFonts w:ascii="Arial" w:hAnsi="Arial" w:cs="Arial"/>
          <w:sz w:val="22"/>
          <w:szCs w:val="22"/>
          <w:lang w:val="en-ZA" w:eastAsia="en-ZA"/>
        </w:rPr>
      </w:pPr>
      <w:r w:rsidRPr="00F01556">
        <w:rPr>
          <w:rFonts w:ascii="Arial" w:hAnsi="Arial" w:cs="Arial"/>
          <w:sz w:val="22"/>
          <w:szCs w:val="22"/>
          <w:lang w:val="en-ZA" w:eastAsia="en-ZA"/>
        </w:rPr>
        <w:t>2.</w:t>
      </w:r>
      <w:r w:rsidRPr="00F01556">
        <w:rPr>
          <w:rFonts w:ascii="Arial" w:hAnsi="Arial" w:cs="Arial"/>
          <w:sz w:val="22"/>
          <w:szCs w:val="22"/>
          <w:lang w:val="en-ZA" w:eastAsia="en-ZA"/>
        </w:rPr>
        <w:tab/>
        <w:t>Reviewing and/or setting aside the determination of the Fourth Respondent in terms of Section 30P of the Pension Funds Act, as amended (“the Act”), dated 16 July 2020 in terms whereof the First Respondent was ordered to pay to the Third Respondent her withdrawal benefit, inclusive of fund return earned on such benefit calculated from August 2019 to date of payment (“the determination of the Fourth Respondent”), and;</w:t>
      </w:r>
    </w:p>
    <w:p w14:paraId="15D77619" w14:textId="77777777" w:rsidR="00035169" w:rsidRPr="00F01556" w:rsidRDefault="00035169" w:rsidP="007A79C3">
      <w:pPr>
        <w:pStyle w:val="ListParagraph"/>
        <w:widowControl w:val="0"/>
        <w:spacing w:line="360" w:lineRule="auto"/>
        <w:ind w:left="0"/>
        <w:jc w:val="both"/>
        <w:rPr>
          <w:rFonts w:ascii="Arial" w:hAnsi="Arial" w:cs="Arial"/>
          <w:sz w:val="22"/>
          <w:szCs w:val="22"/>
          <w:lang w:val="en-ZA" w:eastAsia="en-ZA"/>
        </w:rPr>
      </w:pPr>
      <w:r w:rsidRPr="00F01556">
        <w:rPr>
          <w:rFonts w:ascii="Arial" w:hAnsi="Arial" w:cs="Arial"/>
          <w:sz w:val="22"/>
          <w:szCs w:val="22"/>
          <w:lang w:val="en-ZA" w:eastAsia="en-ZA"/>
        </w:rPr>
        <w:t>3.</w:t>
      </w:r>
      <w:r w:rsidRPr="00F01556">
        <w:rPr>
          <w:rFonts w:ascii="Arial" w:hAnsi="Arial" w:cs="Arial"/>
          <w:sz w:val="22"/>
          <w:szCs w:val="22"/>
          <w:lang w:val="en-ZA" w:eastAsia="en-ZA"/>
        </w:rPr>
        <w:tab/>
        <w:t>Dismissing the complaint of the Third Respondent lodged with the Fourth Respondent on 12 September 2019;</w:t>
      </w:r>
    </w:p>
    <w:p w14:paraId="2750A195" w14:textId="77777777" w:rsidR="00035169" w:rsidRPr="00F01556" w:rsidRDefault="00035169" w:rsidP="007A79C3">
      <w:pPr>
        <w:pStyle w:val="ListParagraph"/>
        <w:widowControl w:val="0"/>
        <w:spacing w:line="360" w:lineRule="auto"/>
        <w:ind w:left="0"/>
        <w:jc w:val="both"/>
        <w:rPr>
          <w:rFonts w:ascii="Arial" w:hAnsi="Arial" w:cs="Arial"/>
          <w:sz w:val="22"/>
          <w:szCs w:val="22"/>
          <w:u w:val="single"/>
          <w:lang w:val="en-ZA" w:eastAsia="en-ZA"/>
        </w:rPr>
      </w:pPr>
      <w:r w:rsidRPr="00F01556">
        <w:rPr>
          <w:rFonts w:ascii="Arial" w:hAnsi="Arial" w:cs="Arial"/>
          <w:sz w:val="22"/>
          <w:szCs w:val="22"/>
          <w:u w:val="single"/>
          <w:lang w:val="en-ZA" w:eastAsia="en-ZA"/>
        </w:rPr>
        <w:t>alternatively to prayers 2 and 3 above</w:t>
      </w:r>
    </w:p>
    <w:p w14:paraId="325D0E94" w14:textId="2BBCC3DF" w:rsidR="00035169" w:rsidRPr="00F01556" w:rsidRDefault="00035169" w:rsidP="007A79C3">
      <w:pPr>
        <w:pStyle w:val="ListParagraph"/>
        <w:widowControl w:val="0"/>
        <w:spacing w:line="360" w:lineRule="auto"/>
        <w:ind w:left="0"/>
        <w:jc w:val="both"/>
        <w:rPr>
          <w:rFonts w:ascii="Arial" w:hAnsi="Arial" w:cs="Arial"/>
          <w:sz w:val="22"/>
          <w:szCs w:val="22"/>
          <w:lang w:val="en-ZA" w:eastAsia="en-ZA"/>
        </w:rPr>
      </w:pPr>
      <w:r w:rsidRPr="00F01556">
        <w:rPr>
          <w:rFonts w:ascii="Arial" w:hAnsi="Arial" w:cs="Arial"/>
          <w:sz w:val="22"/>
          <w:szCs w:val="22"/>
          <w:lang w:val="en-ZA" w:eastAsia="en-ZA"/>
        </w:rPr>
        <w:t>4.</w:t>
      </w:r>
      <w:r w:rsidRPr="00F01556">
        <w:rPr>
          <w:rFonts w:ascii="Arial" w:hAnsi="Arial" w:cs="Arial"/>
          <w:sz w:val="22"/>
          <w:szCs w:val="22"/>
          <w:lang w:val="en-ZA" w:eastAsia="en-ZA"/>
        </w:rPr>
        <w:tab/>
        <w:t xml:space="preserve">The Applicant is ordered to, within 30 days from the date of an order being granted herein in terms of paragraph 1 above, commence with proceedings to review and/or set aside the determination of the Fourth Respondent and/or to institute any civil proceedings against the Third Respondent </w:t>
      </w:r>
      <w:r w:rsidR="008A5F8F">
        <w:rPr>
          <w:rFonts w:ascii="Arial" w:hAnsi="Arial" w:cs="Arial"/>
          <w:sz w:val="22"/>
          <w:szCs w:val="22"/>
          <w:lang w:val="en-ZA" w:eastAsia="en-ZA"/>
        </w:rPr>
        <w:t>t</w:t>
      </w:r>
      <w:r w:rsidRPr="00F01556">
        <w:rPr>
          <w:rFonts w:ascii="Arial" w:hAnsi="Arial" w:cs="Arial"/>
          <w:sz w:val="22"/>
          <w:szCs w:val="22"/>
          <w:lang w:val="en-ZA" w:eastAsia="en-ZA"/>
        </w:rPr>
        <w:t>he Applicant may deem appropriate and or necessary;</w:t>
      </w:r>
    </w:p>
    <w:p w14:paraId="5A089815" w14:textId="77777777" w:rsidR="00035169" w:rsidRPr="00F01556" w:rsidRDefault="00035169" w:rsidP="007A79C3">
      <w:pPr>
        <w:pStyle w:val="ListParagraph"/>
        <w:widowControl w:val="0"/>
        <w:spacing w:line="360" w:lineRule="auto"/>
        <w:ind w:left="0"/>
        <w:jc w:val="both"/>
        <w:rPr>
          <w:rFonts w:ascii="Arial" w:hAnsi="Arial" w:cs="Arial"/>
          <w:sz w:val="22"/>
          <w:szCs w:val="22"/>
          <w:lang w:val="en-ZA" w:eastAsia="en-ZA"/>
        </w:rPr>
      </w:pPr>
      <w:r w:rsidRPr="00F01556">
        <w:rPr>
          <w:rFonts w:ascii="Arial" w:hAnsi="Arial" w:cs="Arial"/>
          <w:sz w:val="22"/>
          <w:szCs w:val="22"/>
          <w:lang w:val="en-ZA" w:eastAsia="en-ZA"/>
        </w:rPr>
        <w:t>5.</w:t>
      </w:r>
      <w:r w:rsidRPr="00F01556">
        <w:rPr>
          <w:rFonts w:ascii="Arial" w:hAnsi="Arial" w:cs="Arial"/>
          <w:sz w:val="22"/>
          <w:szCs w:val="22"/>
          <w:lang w:val="en-ZA" w:eastAsia="en-ZA"/>
        </w:rPr>
        <w:tab/>
        <w:t>Costs against the Third Respondent and, insofar as the other Respondent are concerned, costs only against any of the other Respondents opposing this application;</w:t>
      </w:r>
    </w:p>
    <w:p w14:paraId="440162C3" w14:textId="3D136D68" w:rsidR="00035169" w:rsidRPr="00F01556" w:rsidRDefault="00035169" w:rsidP="007A79C3">
      <w:pPr>
        <w:pStyle w:val="ListParagraph"/>
        <w:widowControl w:val="0"/>
        <w:spacing w:line="360" w:lineRule="auto"/>
        <w:ind w:left="0"/>
        <w:jc w:val="both"/>
        <w:rPr>
          <w:rFonts w:ascii="Arial" w:hAnsi="Arial" w:cs="Arial"/>
          <w:sz w:val="22"/>
          <w:szCs w:val="22"/>
          <w:lang w:val="en-ZA" w:eastAsia="en-ZA"/>
        </w:rPr>
      </w:pPr>
      <w:r w:rsidRPr="00F01556">
        <w:rPr>
          <w:rFonts w:ascii="Arial" w:hAnsi="Arial" w:cs="Arial"/>
          <w:sz w:val="22"/>
          <w:szCs w:val="22"/>
          <w:lang w:val="en-ZA" w:eastAsia="en-ZA"/>
        </w:rPr>
        <w:t>6.</w:t>
      </w:r>
      <w:r w:rsidRPr="00F01556">
        <w:rPr>
          <w:rFonts w:ascii="Arial" w:hAnsi="Arial" w:cs="Arial"/>
          <w:sz w:val="22"/>
          <w:szCs w:val="22"/>
          <w:lang w:val="en-ZA" w:eastAsia="en-ZA"/>
        </w:rPr>
        <w:tab/>
        <w:t>Further and/or alternative relief</w:t>
      </w:r>
      <w:r w:rsidR="00F01556">
        <w:rPr>
          <w:rFonts w:ascii="Arial" w:hAnsi="Arial" w:cs="Arial"/>
          <w:sz w:val="22"/>
          <w:szCs w:val="22"/>
          <w:lang w:val="en-ZA" w:eastAsia="en-ZA"/>
        </w:rPr>
        <w:t>.’</w:t>
      </w:r>
    </w:p>
    <w:p w14:paraId="1E6AB2FE" w14:textId="77777777" w:rsidR="00035169" w:rsidRPr="005852C4" w:rsidRDefault="00035169" w:rsidP="007A79C3">
      <w:pPr>
        <w:widowControl w:val="0"/>
        <w:spacing w:line="360" w:lineRule="auto"/>
        <w:contextualSpacing/>
        <w:jc w:val="both"/>
        <w:rPr>
          <w:rFonts w:ascii="Arial" w:hAnsi="Arial" w:cs="Arial"/>
        </w:rPr>
      </w:pPr>
    </w:p>
    <w:p w14:paraId="5E27F887" w14:textId="787EEA9D" w:rsidR="00FE3E4E" w:rsidRPr="005824B7" w:rsidRDefault="005824B7" w:rsidP="005824B7">
      <w:pPr>
        <w:widowControl w:val="0"/>
        <w:spacing w:line="360" w:lineRule="auto"/>
        <w:jc w:val="both"/>
        <w:rPr>
          <w:rFonts w:ascii="Arial" w:hAnsi="Arial" w:cs="Arial"/>
        </w:rPr>
      </w:pPr>
      <w:r w:rsidRPr="007A79C3">
        <w:rPr>
          <w:rFonts w:ascii="Arial" w:hAnsi="Arial" w:cs="Arial"/>
        </w:rPr>
        <w:t>[28]</w:t>
      </w:r>
      <w:r w:rsidRPr="007A79C3">
        <w:rPr>
          <w:rFonts w:ascii="Arial" w:hAnsi="Arial" w:cs="Arial"/>
        </w:rPr>
        <w:tab/>
      </w:r>
      <w:r w:rsidR="00A54B8D" w:rsidRPr="005824B7">
        <w:rPr>
          <w:rFonts w:ascii="Arial" w:hAnsi="Arial" w:cs="Arial"/>
          <w:lang w:val="en-ZA" w:eastAsia="en-ZA"/>
        </w:rPr>
        <w:t xml:space="preserve">The court </w:t>
      </w:r>
      <w:r w:rsidR="00A54B8D" w:rsidRPr="005824B7">
        <w:rPr>
          <w:rFonts w:ascii="Arial" w:hAnsi="Arial" w:cs="Arial"/>
          <w:i/>
          <w:iCs/>
          <w:lang w:val="en-ZA" w:eastAsia="en-ZA"/>
        </w:rPr>
        <w:t>a quo</w:t>
      </w:r>
      <w:r w:rsidR="00A54B8D" w:rsidRPr="005824B7">
        <w:rPr>
          <w:rFonts w:ascii="Arial" w:hAnsi="Arial" w:cs="Arial"/>
          <w:lang w:val="en-ZA" w:eastAsia="en-ZA"/>
        </w:rPr>
        <w:t xml:space="preserve"> handed down an </w:t>
      </w:r>
      <w:r w:rsidR="00A54B8D" w:rsidRPr="005824B7">
        <w:rPr>
          <w:rFonts w:ascii="Arial" w:hAnsi="Arial" w:cs="Arial"/>
          <w:i/>
          <w:lang w:val="en-ZA" w:eastAsia="en-ZA"/>
        </w:rPr>
        <w:t>ex tempore</w:t>
      </w:r>
      <w:r w:rsidR="00A54B8D" w:rsidRPr="005824B7">
        <w:rPr>
          <w:rFonts w:ascii="Arial" w:hAnsi="Arial" w:cs="Arial"/>
          <w:lang w:val="en-ZA" w:eastAsia="en-ZA"/>
        </w:rPr>
        <w:t xml:space="preserve"> judgment and not surprisingly, the judgment was brief. </w:t>
      </w:r>
      <w:r w:rsidR="00035169" w:rsidRPr="005824B7">
        <w:rPr>
          <w:rFonts w:ascii="Arial" w:hAnsi="Arial" w:cs="Arial"/>
        </w:rPr>
        <w:t xml:space="preserve">The judgment of the court </w:t>
      </w:r>
      <w:r w:rsidR="00035169" w:rsidRPr="005824B7">
        <w:rPr>
          <w:rFonts w:ascii="Arial" w:hAnsi="Arial" w:cs="Arial"/>
          <w:i/>
          <w:iCs/>
        </w:rPr>
        <w:t>a quo</w:t>
      </w:r>
      <w:r w:rsidR="00035169" w:rsidRPr="005824B7">
        <w:rPr>
          <w:rFonts w:ascii="Arial" w:hAnsi="Arial" w:cs="Arial"/>
        </w:rPr>
        <w:t xml:space="preserve"> does not deal with the interdict aspect at all.</w:t>
      </w:r>
      <w:r w:rsidR="00881755" w:rsidRPr="005824B7">
        <w:rPr>
          <w:rFonts w:ascii="Arial" w:hAnsi="Arial" w:cs="Arial"/>
        </w:rPr>
        <w:t xml:space="preserve"> </w:t>
      </w:r>
      <w:r w:rsidR="00035169" w:rsidRPr="005824B7">
        <w:rPr>
          <w:rFonts w:ascii="Arial" w:hAnsi="Arial" w:cs="Arial"/>
        </w:rPr>
        <w:t>It merely records that the argument</w:t>
      </w:r>
      <w:r w:rsidR="00000E1E" w:rsidRPr="005824B7">
        <w:rPr>
          <w:rFonts w:ascii="Arial" w:hAnsi="Arial" w:cs="Arial"/>
        </w:rPr>
        <w:t>s</w:t>
      </w:r>
      <w:r w:rsidR="00035169" w:rsidRPr="005824B7">
        <w:rPr>
          <w:rFonts w:ascii="Arial" w:hAnsi="Arial" w:cs="Arial"/>
        </w:rPr>
        <w:t xml:space="preserve"> by the parties ‘inevitably spilled over into the merits’ without making </w:t>
      </w:r>
      <w:r w:rsidR="00A54B8D" w:rsidRPr="005824B7">
        <w:rPr>
          <w:rFonts w:ascii="Arial" w:hAnsi="Arial" w:cs="Arial"/>
        </w:rPr>
        <w:t xml:space="preserve">it </w:t>
      </w:r>
      <w:r w:rsidR="00035169" w:rsidRPr="005824B7">
        <w:rPr>
          <w:rFonts w:ascii="Arial" w:hAnsi="Arial" w:cs="Arial"/>
        </w:rPr>
        <w:t>clear whether the appellant had abandoned the interdictory relief sought on the papers.</w:t>
      </w:r>
      <w:r w:rsidR="00881755" w:rsidRPr="005824B7">
        <w:rPr>
          <w:rFonts w:ascii="Arial" w:hAnsi="Arial" w:cs="Arial"/>
        </w:rPr>
        <w:t xml:space="preserve"> </w:t>
      </w:r>
      <w:r w:rsidR="00DD3975" w:rsidRPr="005824B7">
        <w:rPr>
          <w:rFonts w:ascii="Arial" w:hAnsi="Arial" w:cs="Arial"/>
        </w:rPr>
        <w:t>The</w:t>
      </w:r>
      <w:r w:rsidR="00035169" w:rsidRPr="005824B7">
        <w:rPr>
          <w:rFonts w:ascii="Arial" w:hAnsi="Arial" w:cs="Arial"/>
        </w:rPr>
        <w:t xml:space="preserve"> judgment simply observes that the appellant relies on an appeal in the wide sense and concludes that whilst s 30P permits such an appeal, the court cannot ‘turn a blind eye to non-compliance for no apparent reason’, without identifying the nature and extent of the non-compliance by the appellant and </w:t>
      </w:r>
      <w:r w:rsidR="005E4E49" w:rsidRPr="005824B7">
        <w:rPr>
          <w:rFonts w:ascii="Arial" w:hAnsi="Arial" w:cs="Arial"/>
        </w:rPr>
        <w:t>without any</w:t>
      </w:r>
      <w:r w:rsidR="00035169" w:rsidRPr="005824B7">
        <w:rPr>
          <w:rFonts w:ascii="Arial" w:hAnsi="Arial" w:cs="Arial"/>
        </w:rPr>
        <w:t xml:space="preserve"> discussion of the reasons why the court cannot condone such non-compliance in the exercise of its discretion.</w:t>
      </w:r>
      <w:r w:rsidR="00881755" w:rsidRPr="005824B7">
        <w:rPr>
          <w:rFonts w:ascii="Arial" w:hAnsi="Arial" w:cs="Arial"/>
        </w:rPr>
        <w:t xml:space="preserve"> </w:t>
      </w:r>
      <w:r w:rsidR="00035169" w:rsidRPr="005824B7">
        <w:rPr>
          <w:rFonts w:ascii="Arial" w:hAnsi="Arial" w:cs="Arial"/>
        </w:rPr>
        <w:t xml:space="preserve">Since the founding affidavit </w:t>
      </w:r>
      <w:r w:rsidR="005E4E49" w:rsidRPr="005824B7">
        <w:rPr>
          <w:rFonts w:ascii="Arial" w:hAnsi="Arial" w:cs="Arial"/>
        </w:rPr>
        <w:t xml:space="preserve">did </w:t>
      </w:r>
      <w:r w:rsidR="005E4E49" w:rsidRPr="005824B7">
        <w:rPr>
          <w:rFonts w:ascii="Arial" w:hAnsi="Arial" w:cs="Arial"/>
        </w:rPr>
        <w:lastRenderedPageBreak/>
        <w:t>not state explicitly</w:t>
      </w:r>
      <w:r w:rsidR="00035169" w:rsidRPr="005824B7">
        <w:rPr>
          <w:rFonts w:ascii="Arial" w:hAnsi="Arial" w:cs="Arial"/>
        </w:rPr>
        <w:t xml:space="preserve"> that what </w:t>
      </w:r>
      <w:r w:rsidR="005E4E49" w:rsidRPr="005824B7">
        <w:rPr>
          <w:rFonts w:ascii="Arial" w:hAnsi="Arial" w:cs="Arial"/>
        </w:rPr>
        <w:t>was being</w:t>
      </w:r>
      <w:r w:rsidR="00035169" w:rsidRPr="005824B7">
        <w:rPr>
          <w:rFonts w:ascii="Arial" w:hAnsi="Arial" w:cs="Arial"/>
        </w:rPr>
        <w:t xml:space="preserve"> sought </w:t>
      </w:r>
      <w:r w:rsidR="005E4E49" w:rsidRPr="005824B7">
        <w:rPr>
          <w:rFonts w:ascii="Arial" w:hAnsi="Arial" w:cs="Arial"/>
        </w:rPr>
        <w:t>was an appeal in the wide se</w:t>
      </w:r>
      <w:r w:rsidR="00FE3E4E" w:rsidRPr="005824B7">
        <w:rPr>
          <w:rFonts w:ascii="Arial" w:hAnsi="Arial" w:cs="Arial"/>
        </w:rPr>
        <w:t>nse,</w:t>
      </w:r>
      <w:r w:rsidR="00035169" w:rsidRPr="005824B7">
        <w:rPr>
          <w:rFonts w:ascii="Arial" w:hAnsi="Arial" w:cs="Arial"/>
        </w:rPr>
        <w:t xml:space="preserve"> the court concluded that ‘it is unfair for both the court and the opposing party to be expected to…decipher what an applicant in any given case seeks exactly from the court’.</w:t>
      </w:r>
      <w:r w:rsidR="00881755" w:rsidRPr="005824B7">
        <w:rPr>
          <w:rFonts w:ascii="Arial" w:hAnsi="Arial" w:cs="Arial"/>
        </w:rPr>
        <w:t xml:space="preserve"> </w:t>
      </w:r>
    </w:p>
    <w:p w14:paraId="57BE5F19" w14:textId="77777777" w:rsidR="00FE3E4E" w:rsidRPr="005852C4" w:rsidRDefault="00FE3E4E" w:rsidP="007A79C3">
      <w:pPr>
        <w:widowControl w:val="0"/>
        <w:spacing w:line="360" w:lineRule="auto"/>
        <w:contextualSpacing/>
        <w:jc w:val="both"/>
        <w:rPr>
          <w:rFonts w:ascii="Arial" w:hAnsi="Arial" w:cs="Arial"/>
        </w:rPr>
      </w:pPr>
    </w:p>
    <w:p w14:paraId="4EF67E1A" w14:textId="52604D60" w:rsidR="00FE3E4E" w:rsidRPr="005824B7" w:rsidRDefault="005824B7" w:rsidP="005824B7">
      <w:pPr>
        <w:widowControl w:val="0"/>
        <w:spacing w:line="360" w:lineRule="auto"/>
        <w:jc w:val="both"/>
        <w:rPr>
          <w:rFonts w:ascii="Arial" w:hAnsi="Arial" w:cs="Arial"/>
        </w:rPr>
      </w:pPr>
      <w:r w:rsidRPr="007A79C3">
        <w:rPr>
          <w:rFonts w:ascii="Arial" w:hAnsi="Arial" w:cs="Arial"/>
        </w:rPr>
        <w:t>[29]</w:t>
      </w:r>
      <w:r w:rsidRPr="007A79C3">
        <w:rPr>
          <w:rFonts w:ascii="Arial" w:hAnsi="Arial" w:cs="Arial"/>
        </w:rPr>
        <w:tab/>
      </w:r>
      <w:r w:rsidR="00FE3E4E" w:rsidRPr="005824B7">
        <w:rPr>
          <w:rFonts w:ascii="Arial" w:hAnsi="Arial" w:cs="Arial"/>
        </w:rPr>
        <w:t xml:space="preserve">In the result, the court </w:t>
      </w:r>
      <w:r w:rsidR="00FE3E4E" w:rsidRPr="005824B7">
        <w:rPr>
          <w:rFonts w:ascii="Arial" w:hAnsi="Arial" w:cs="Arial"/>
          <w:i/>
          <w:iCs/>
        </w:rPr>
        <w:t>a quo</w:t>
      </w:r>
      <w:r w:rsidR="00FE3E4E" w:rsidRPr="005824B7">
        <w:rPr>
          <w:rFonts w:ascii="Arial" w:hAnsi="Arial" w:cs="Arial"/>
        </w:rPr>
        <w:t xml:space="preserve"> dismissed the entire application with costs ‘on the point of procedure’. </w:t>
      </w:r>
    </w:p>
    <w:p w14:paraId="6A9D019A" w14:textId="77777777" w:rsidR="00FE3E4E" w:rsidRPr="005852C4" w:rsidRDefault="00FE3E4E" w:rsidP="007A79C3">
      <w:pPr>
        <w:widowControl w:val="0"/>
        <w:spacing w:line="360" w:lineRule="auto"/>
        <w:contextualSpacing/>
        <w:jc w:val="both"/>
        <w:rPr>
          <w:rFonts w:ascii="Arial" w:hAnsi="Arial" w:cs="Arial"/>
        </w:rPr>
      </w:pPr>
    </w:p>
    <w:p w14:paraId="35D4B9AF" w14:textId="41E373EF" w:rsidR="00FE3E4E" w:rsidRPr="005824B7" w:rsidRDefault="005824B7" w:rsidP="005824B7">
      <w:pPr>
        <w:widowControl w:val="0"/>
        <w:spacing w:line="360" w:lineRule="auto"/>
        <w:jc w:val="both"/>
        <w:rPr>
          <w:rFonts w:ascii="Arial" w:hAnsi="Arial" w:cs="Arial"/>
        </w:rPr>
      </w:pPr>
      <w:r w:rsidRPr="007A79C3">
        <w:rPr>
          <w:rFonts w:ascii="Arial" w:hAnsi="Arial" w:cs="Arial"/>
        </w:rPr>
        <w:t>[30]</w:t>
      </w:r>
      <w:r w:rsidRPr="007A79C3">
        <w:rPr>
          <w:rFonts w:ascii="Arial" w:hAnsi="Arial" w:cs="Arial"/>
        </w:rPr>
        <w:tab/>
      </w:r>
      <w:r w:rsidR="00FE3E4E" w:rsidRPr="005824B7">
        <w:rPr>
          <w:rFonts w:ascii="Arial" w:hAnsi="Arial" w:cs="Arial"/>
        </w:rPr>
        <w:t xml:space="preserve">The appellant contended that the question whether the adjudicator acted within </w:t>
      </w:r>
      <w:r w:rsidR="00A54B8D" w:rsidRPr="005824B7">
        <w:rPr>
          <w:rFonts w:ascii="Arial" w:hAnsi="Arial" w:cs="Arial"/>
        </w:rPr>
        <w:t xml:space="preserve">its </w:t>
      </w:r>
      <w:r w:rsidR="00FE3E4E" w:rsidRPr="005824B7">
        <w:rPr>
          <w:rFonts w:ascii="Arial" w:hAnsi="Arial" w:cs="Arial"/>
        </w:rPr>
        <w:t xml:space="preserve">powers when ordering </w:t>
      </w:r>
      <w:r w:rsidR="00A54B8D" w:rsidRPr="005824B7">
        <w:rPr>
          <w:rFonts w:ascii="Arial" w:hAnsi="Arial" w:cs="Arial"/>
        </w:rPr>
        <w:t xml:space="preserve">the first respondent </w:t>
      </w:r>
      <w:r w:rsidR="00FE3E4E" w:rsidRPr="005824B7">
        <w:rPr>
          <w:rFonts w:ascii="Arial" w:hAnsi="Arial" w:cs="Arial"/>
        </w:rPr>
        <w:t>to pay Ms Mayola her pension benefits, is one that must be challenged in terms of s 30P of the Pensions Act which provides for a ‘wide appeal’.</w:t>
      </w:r>
      <w:r w:rsidR="00881755" w:rsidRPr="005824B7">
        <w:rPr>
          <w:rFonts w:ascii="Arial" w:hAnsi="Arial" w:cs="Arial"/>
        </w:rPr>
        <w:t xml:space="preserve"> </w:t>
      </w:r>
      <w:r w:rsidR="00FE3E4E" w:rsidRPr="005824B7">
        <w:rPr>
          <w:rFonts w:ascii="Arial" w:hAnsi="Arial" w:cs="Arial"/>
        </w:rPr>
        <w:t xml:space="preserve">On the other hand, the argument advanced on behalf of Ms Mayola </w:t>
      </w:r>
      <w:r w:rsidR="00A54B8D" w:rsidRPr="005824B7">
        <w:rPr>
          <w:rFonts w:ascii="Arial" w:hAnsi="Arial" w:cs="Arial"/>
        </w:rPr>
        <w:t xml:space="preserve">was </w:t>
      </w:r>
      <w:r w:rsidR="00FE3E4E" w:rsidRPr="005824B7">
        <w:rPr>
          <w:rFonts w:ascii="Arial" w:hAnsi="Arial" w:cs="Arial"/>
        </w:rPr>
        <w:t xml:space="preserve">that first, the decision of the adjudicator </w:t>
      </w:r>
      <w:r w:rsidR="00A54B8D" w:rsidRPr="005824B7">
        <w:rPr>
          <w:rFonts w:ascii="Arial" w:hAnsi="Arial" w:cs="Arial"/>
        </w:rPr>
        <w:t xml:space="preserve">was </w:t>
      </w:r>
      <w:r w:rsidR="00FE3E4E" w:rsidRPr="005824B7">
        <w:rPr>
          <w:rFonts w:ascii="Arial" w:hAnsi="Arial" w:cs="Arial"/>
        </w:rPr>
        <w:t xml:space="preserve">administrative </w:t>
      </w:r>
      <w:r w:rsidR="00A54B8D" w:rsidRPr="005824B7">
        <w:rPr>
          <w:rFonts w:ascii="Arial" w:hAnsi="Arial" w:cs="Arial"/>
        </w:rPr>
        <w:t xml:space="preserve">and fell </w:t>
      </w:r>
      <w:r w:rsidR="00FE3E4E" w:rsidRPr="005824B7">
        <w:rPr>
          <w:rFonts w:ascii="Arial" w:hAnsi="Arial" w:cs="Arial"/>
        </w:rPr>
        <w:t>to be reviewed in terms of the Promotion of Administrative Justice Act 3 of</w:t>
      </w:r>
      <w:r w:rsidR="00881755" w:rsidRPr="005824B7">
        <w:rPr>
          <w:rFonts w:ascii="Arial" w:hAnsi="Arial" w:cs="Arial"/>
        </w:rPr>
        <w:t xml:space="preserve"> </w:t>
      </w:r>
      <w:r w:rsidR="00FE3E4E" w:rsidRPr="005824B7">
        <w:rPr>
          <w:rFonts w:ascii="Arial" w:hAnsi="Arial" w:cs="Arial"/>
        </w:rPr>
        <w:t>2000 (PAJA),</w:t>
      </w:r>
      <w:r w:rsidR="00881755" w:rsidRPr="005824B7">
        <w:rPr>
          <w:rFonts w:ascii="Arial" w:hAnsi="Arial" w:cs="Arial"/>
        </w:rPr>
        <w:t xml:space="preserve"> </w:t>
      </w:r>
      <w:r w:rsidR="00FE3E4E" w:rsidRPr="005824B7">
        <w:rPr>
          <w:rFonts w:ascii="Arial" w:hAnsi="Arial" w:cs="Arial"/>
        </w:rPr>
        <w:t>second,</w:t>
      </w:r>
      <w:r w:rsidR="00DD3975" w:rsidRPr="005824B7">
        <w:rPr>
          <w:rFonts w:ascii="Arial" w:hAnsi="Arial" w:cs="Arial"/>
        </w:rPr>
        <w:t xml:space="preserve"> that</w:t>
      </w:r>
      <w:r w:rsidR="00FE3E4E" w:rsidRPr="005824B7">
        <w:rPr>
          <w:rFonts w:ascii="Arial" w:hAnsi="Arial" w:cs="Arial"/>
        </w:rPr>
        <w:t xml:space="preserve"> before approaching the courts the appellant was compelled to exhaust its internal remedies provided for in s 230 of the Financial Sector Regulation Act 9 of 2017 (FSRA) read with rules 22 to 28 of the Financial Service Tribunal</w:t>
      </w:r>
      <w:r w:rsidR="00000E1E" w:rsidRPr="005824B7">
        <w:rPr>
          <w:rFonts w:ascii="Arial" w:hAnsi="Arial" w:cs="Arial"/>
        </w:rPr>
        <w:t xml:space="preserve"> Rules</w:t>
      </w:r>
      <w:r w:rsidR="00FE3E4E" w:rsidRPr="005824B7">
        <w:rPr>
          <w:rFonts w:ascii="Arial" w:hAnsi="Arial" w:cs="Arial"/>
        </w:rPr>
        <w:t>, and third,</w:t>
      </w:r>
      <w:r w:rsidR="00DD3975" w:rsidRPr="005824B7">
        <w:rPr>
          <w:rFonts w:ascii="Arial" w:hAnsi="Arial" w:cs="Arial"/>
        </w:rPr>
        <w:t xml:space="preserve"> that</w:t>
      </w:r>
      <w:r w:rsidR="00FE3E4E" w:rsidRPr="005824B7">
        <w:rPr>
          <w:rFonts w:ascii="Arial" w:hAnsi="Arial" w:cs="Arial"/>
        </w:rPr>
        <w:t xml:space="preserve"> the appellant could only approach this court if it was exempted from exhausting the internal remedies provided for in FSRA. Since it did not obtain such exemption the application to the court </w:t>
      </w:r>
      <w:r w:rsidR="00FE3E4E" w:rsidRPr="005824B7">
        <w:rPr>
          <w:rFonts w:ascii="Arial" w:hAnsi="Arial" w:cs="Arial"/>
          <w:i/>
          <w:iCs/>
        </w:rPr>
        <w:t>a quo</w:t>
      </w:r>
      <w:r w:rsidR="00FE3E4E" w:rsidRPr="005824B7">
        <w:rPr>
          <w:rFonts w:ascii="Arial" w:hAnsi="Arial" w:cs="Arial"/>
        </w:rPr>
        <w:t xml:space="preserve"> was premature.</w:t>
      </w:r>
    </w:p>
    <w:p w14:paraId="1B846A26" w14:textId="77777777" w:rsidR="00FE3E4E" w:rsidRPr="005852C4" w:rsidRDefault="00FE3E4E" w:rsidP="007A79C3">
      <w:pPr>
        <w:widowControl w:val="0"/>
        <w:spacing w:line="360" w:lineRule="auto"/>
        <w:contextualSpacing/>
        <w:jc w:val="both"/>
        <w:rPr>
          <w:rFonts w:ascii="Arial" w:hAnsi="Arial" w:cs="Arial"/>
        </w:rPr>
      </w:pPr>
    </w:p>
    <w:p w14:paraId="1261ACCC" w14:textId="4C4F5306" w:rsidR="00FE3E4E" w:rsidRPr="00796DB4" w:rsidRDefault="00FE3E4E" w:rsidP="007A79C3">
      <w:pPr>
        <w:pStyle w:val="ListParagraph"/>
        <w:widowControl w:val="0"/>
        <w:spacing w:line="360" w:lineRule="auto"/>
        <w:ind w:left="0"/>
        <w:jc w:val="both"/>
        <w:rPr>
          <w:rFonts w:ascii="Arial" w:hAnsi="Arial" w:cs="Arial"/>
          <w:b/>
        </w:rPr>
      </w:pPr>
      <w:r w:rsidRPr="00796DB4">
        <w:rPr>
          <w:rFonts w:ascii="Arial" w:hAnsi="Arial" w:cs="Arial"/>
          <w:b/>
        </w:rPr>
        <w:t xml:space="preserve">In this </w:t>
      </w:r>
      <w:r w:rsidR="00796DB4" w:rsidRPr="00796DB4">
        <w:rPr>
          <w:rFonts w:ascii="Arial" w:hAnsi="Arial" w:cs="Arial"/>
          <w:b/>
        </w:rPr>
        <w:t>court</w:t>
      </w:r>
    </w:p>
    <w:p w14:paraId="2764E6E1" w14:textId="61D35F1A" w:rsidR="00CE6DFE" w:rsidRPr="005824B7" w:rsidRDefault="005824B7" w:rsidP="005824B7">
      <w:pPr>
        <w:widowControl w:val="0"/>
        <w:spacing w:line="360" w:lineRule="auto"/>
        <w:jc w:val="both"/>
        <w:rPr>
          <w:rFonts w:ascii="Arial" w:hAnsi="Arial" w:cs="Arial"/>
        </w:rPr>
      </w:pPr>
      <w:r>
        <w:rPr>
          <w:rFonts w:ascii="Arial" w:hAnsi="Arial" w:cs="Arial"/>
        </w:rPr>
        <w:t>[31]</w:t>
      </w:r>
      <w:r>
        <w:rPr>
          <w:rFonts w:ascii="Arial" w:hAnsi="Arial" w:cs="Arial"/>
        </w:rPr>
        <w:tab/>
      </w:r>
      <w:r w:rsidR="00FE3E4E" w:rsidRPr="005824B7">
        <w:rPr>
          <w:rFonts w:ascii="Arial" w:hAnsi="Arial" w:cs="Arial"/>
        </w:rPr>
        <w:t xml:space="preserve">In heads of argument filed by </w:t>
      </w:r>
      <w:r w:rsidR="00854980" w:rsidRPr="005824B7">
        <w:rPr>
          <w:rFonts w:ascii="Arial" w:hAnsi="Arial" w:cs="Arial"/>
        </w:rPr>
        <w:t>the appellant</w:t>
      </w:r>
      <w:r w:rsidR="00FE3E4E" w:rsidRPr="005824B7">
        <w:rPr>
          <w:rFonts w:ascii="Arial" w:hAnsi="Arial" w:cs="Arial"/>
        </w:rPr>
        <w:t xml:space="preserve"> in this appeal a draft amended order is attached.</w:t>
      </w:r>
      <w:r w:rsidR="00881755" w:rsidRPr="005824B7">
        <w:rPr>
          <w:rFonts w:ascii="Arial" w:hAnsi="Arial" w:cs="Arial"/>
        </w:rPr>
        <w:t xml:space="preserve"> </w:t>
      </w:r>
      <w:r w:rsidR="00FE3E4E" w:rsidRPr="005824B7">
        <w:rPr>
          <w:rFonts w:ascii="Arial" w:hAnsi="Arial" w:cs="Arial"/>
        </w:rPr>
        <w:t xml:space="preserve">Paragraph 1 </w:t>
      </w:r>
      <w:r w:rsidR="00854980" w:rsidRPr="005824B7">
        <w:rPr>
          <w:rFonts w:ascii="Arial" w:hAnsi="Arial" w:cs="Arial"/>
        </w:rPr>
        <w:t>of</w:t>
      </w:r>
      <w:r w:rsidR="00FE3E4E" w:rsidRPr="005824B7">
        <w:rPr>
          <w:rFonts w:ascii="Arial" w:hAnsi="Arial" w:cs="Arial"/>
        </w:rPr>
        <w:t xml:space="preserve"> the draft order remains unchanged when compared to the amended notice of motion.</w:t>
      </w:r>
      <w:r w:rsidR="00881755" w:rsidRPr="005824B7">
        <w:rPr>
          <w:rFonts w:ascii="Arial" w:hAnsi="Arial" w:cs="Arial"/>
        </w:rPr>
        <w:t xml:space="preserve"> </w:t>
      </w:r>
      <w:r w:rsidR="00FE3E4E" w:rsidRPr="005824B7">
        <w:rPr>
          <w:rFonts w:ascii="Arial" w:hAnsi="Arial" w:cs="Arial"/>
        </w:rPr>
        <w:t xml:space="preserve">Paragraph 2 was amended to read that: </w:t>
      </w:r>
    </w:p>
    <w:p w14:paraId="2ED226B7" w14:textId="38976D88" w:rsidR="00CE6DFE" w:rsidRPr="00CE6DFE" w:rsidRDefault="00CE6DFE" w:rsidP="00CE6DFE">
      <w:pPr>
        <w:pStyle w:val="ListParagraph"/>
        <w:widowControl w:val="0"/>
        <w:spacing w:line="360" w:lineRule="auto"/>
        <w:ind w:left="0"/>
        <w:jc w:val="both"/>
        <w:rPr>
          <w:rFonts w:ascii="Arial" w:hAnsi="Arial" w:cs="Arial"/>
          <w:sz w:val="22"/>
        </w:rPr>
      </w:pPr>
      <w:r w:rsidRPr="00CE6DFE">
        <w:rPr>
          <w:rFonts w:ascii="Arial" w:hAnsi="Arial" w:cs="Arial"/>
          <w:sz w:val="22"/>
        </w:rPr>
        <w:t>‘</w:t>
      </w:r>
      <w:r w:rsidR="00755AE0" w:rsidRPr="00CE6DFE">
        <w:rPr>
          <w:rFonts w:ascii="Arial" w:hAnsi="Arial" w:cs="Arial"/>
          <w:sz w:val="22"/>
        </w:rPr>
        <w:t xml:space="preserve">The </w:t>
      </w:r>
      <w:r w:rsidR="00FE3E4E" w:rsidRPr="00CE6DFE">
        <w:rPr>
          <w:rFonts w:ascii="Arial" w:hAnsi="Arial" w:cs="Arial"/>
          <w:sz w:val="22"/>
        </w:rPr>
        <w:t xml:space="preserve">determination of the </w:t>
      </w:r>
      <w:r w:rsidR="00755AE0" w:rsidRPr="00CE6DFE">
        <w:rPr>
          <w:rFonts w:ascii="Arial" w:hAnsi="Arial" w:cs="Arial"/>
          <w:sz w:val="22"/>
        </w:rPr>
        <w:t>Fourth Respondent</w:t>
      </w:r>
      <w:r w:rsidR="00FE3E4E" w:rsidRPr="00CE6DFE">
        <w:rPr>
          <w:rFonts w:ascii="Arial" w:hAnsi="Arial" w:cs="Arial"/>
          <w:sz w:val="22"/>
        </w:rPr>
        <w:t xml:space="preserve">, dated 16 July 2020 in terms whereof the </w:t>
      </w:r>
      <w:r w:rsidR="00755AE0" w:rsidRPr="00CE6DFE">
        <w:rPr>
          <w:rFonts w:ascii="Arial" w:hAnsi="Arial" w:cs="Arial"/>
          <w:sz w:val="22"/>
        </w:rPr>
        <w:t xml:space="preserve">First Respondent </w:t>
      </w:r>
      <w:r w:rsidR="00FE3E4E" w:rsidRPr="00CE6DFE">
        <w:rPr>
          <w:rFonts w:ascii="Arial" w:hAnsi="Arial" w:cs="Arial"/>
          <w:sz w:val="22"/>
        </w:rPr>
        <w:t xml:space="preserve">was ordered to pay to the </w:t>
      </w:r>
      <w:r w:rsidR="00755AE0" w:rsidRPr="00CE6DFE">
        <w:rPr>
          <w:rFonts w:ascii="Arial" w:hAnsi="Arial" w:cs="Arial"/>
          <w:sz w:val="22"/>
        </w:rPr>
        <w:t xml:space="preserve">Third Respondent </w:t>
      </w:r>
      <w:r w:rsidR="00FE3E4E" w:rsidRPr="00CE6DFE">
        <w:rPr>
          <w:rFonts w:ascii="Arial" w:hAnsi="Arial" w:cs="Arial"/>
          <w:sz w:val="22"/>
        </w:rPr>
        <w:t xml:space="preserve">her withdrawal benefit, </w:t>
      </w:r>
      <w:r w:rsidR="00FE3E4E" w:rsidRPr="00755AE0">
        <w:rPr>
          <w:rFonts w:ascii="Arial" w:hAnsi="Arial" w:cs="Arial"/>
          <w:sz w:val="22"/>
        </w:rPr>
        <w:t>inclusive of fund</w:t>
      </w:r>
      <w:r w:rsidR="00FE3E4E" w:rsidRPr="00CE6DFE">
        <w:rPr>
          <w:rFonts w:ascii="Arial" w:hAnsi="Arial" w:cs="Arial"/>
          <w:sz w:val="22"/>
        </w:rPr>
        <w:t xml:space="preserve"> return earned on such benefit calculated from August 2019 to date of payment is hereby reviewed and set aside in terms of Section 30P of th</w:t>
      </w:r>
      <w:r w:rsidRPr="00CE6DFE">
        <w:rPr>
          <w:rFonts w:ascii="Arial" w:hAnsi="Arial" w:cs="Arial"/>
          <w:sz w:val="22"/>
        </w:rPr>
        <w:t>e Pension Funds Act, as amended</w:t>
      </w:r>
      <w:r w:rsidR="00FE3E4E" w:rsidRPr="00CE6DFE">
        <w:rPr>
          <w:rFonts w:ascii="Arial" w:hAnsi="Arial" w:cs="Arial"/>
          <w:sz w:val="22"/>
        </w:rPr>
        <w:t>.</w:t>
      </w:r>
      <w:r w:rsidRPr="00CE6DFE">
        <w:rPr>
          <w:rFonts w:ascii="Arial" w:hAnsi="Arial" w:cs="Arial"/>
          <w:sz w:val="22"/>
        </w:rPr>
        <w:t>’</w:t>
      </w:r>
      <w:r w:rsidR="00881755" w:rsidRPr="00CE6DFE">
        <w:rPr>
          <w:rFonts w:ascii="Arial" w:hAnsi="Arial" w:cs="Arial"/>
          <w:sz w:val="22"/>
        </w:rPr>
        <w:t xml:space="preserve"> </w:t>
      </w:r>
    </w:p>
    <w:p w14:paraId="2A6020C3" w14:textId="6732514E" w:rsidR="00FE3E4E" w:rsidRPr="007A79C3" w:rsidRDefault="00FE3E4E" w:rsidP="00CE6DFE">
      <w:pPr>
        <w:pStyle w:val="ListParagraph"/>
        <w:widowControl w:val="0"/>
        <w:spacing w:line="360" w:lineRule="auto"/>
        <w:ind w:left="0"/>
        <w:jc w:val="both"/>
        <w:rPr>
          <w:rFonts w:ascii="Arial" w:hAnsi="Arial" w:cs="Arial"/>
        </w:rPr>
      </w:pPr>
      <w:r w:rsidRPr="007A79C3">
        <w:rPr>
          <w:rFonts w:ascii="Arial" w:hAnsi="Arial" w:cs="Arial"/>
        </w:rPr>
        <w:t xml:space="preserve">Paragraph 3 is similarly </w:t>
      </w:r>
      <w:r w:rsidR="00A54B8D">
        <w:rPr>
          <w:rFonts w:ascii="Arial" w:hAnsi="Arial" w:cs="Arial"/>
        </w:rPr>
        <w:t xml:space="preserve">slightly </w:t>
      </w:r>
      <w:r w:rsidRPr="007A79C3">
        <w:rPr>
          <w:rFonts w:ascii="Arial" w:hAnsi="Arial" w:cs="Arial"/>
        </w:rPr>
        <w:t xml:space="preserve">amended, and all of the relief sought in the alternative </w:t>
      </w:r>
      <w:r w:rsidR="00854980" w:rsidRPr="007A79C3">
        <w:rPr>
          <w:rFonts w:ascii="Arial" w:hAnsi="Arial" w:cs="Arial"/>
        </w:rPr>
        <w:t>was</w:t>
      </w:r>
      <w:r w:rsidRPr="007A79C3">
        <w:rPr>
          <w:rFonts w:ascii="Arial" w:hAnsi="Arial" w:cs="Arial"/>
        </w:rPr>
        <w:t xml:space="preserve"> deleted.</w:t>
      </w:r>
    </w:p>
    <w:p w14:paraId="44D5A51E" w14:textId="77777777" w:rsidR="00FE3E4E" w:rsidRPr="005852C4" w:rsidRDefault="00FE3E4E" w:rsidP="007A79C3">
      <w:pPr>
        <w:widowControl w:val="0"/>
        <w:spacing w:line="360" w:lineRule="auto"/>
        <w:contextualSpacing/>
        <w:jc w:val="both"/>
        <w:rPr>
          <w:rFonts w:ascii="Arial" w:hAnsi="Arial" w:cs="Arial"/>
        </w:rPr>
      </w:pPr>
    </w:p>
    <w:p w14:paraId="0D83D3E0" w14:textId="0DBD9195" w:rsidR="00854980" w:rsidRPr="005824B7" w:rsidRDefault="005824B7" w:rsidP="005824B7">
      <w:pPr>
        <w:widowControl w:val="0"/>
        <w:spacing w:line="360" w:lineRule="auto"/>
        <w:jc w:val="both"/>
        <w:rPr>
          <w:rFonts w:ascii="Arial" w:hAnsi="Arial" w:cs="Arial"/>
        </w:rPr>
      </w:pPr>
      <w:r w:rsidRPr="007A79C3">
        <w:rPr>
          <w:rFonts w:ascii="Arial" w:hAnsi="Arial" w:cs="Arial"/>
        </w:rPr>
        <w:t>[32]</w:t>
      </w:r>
      <w:r w:rsidRPr="007A79C3">
        <w:rPr>
          <w:rFonts w:ascii="Arial" w:hAnsi="Arial" w:cs="Arial"/>
        </w:rPr>
        <w:tab/>
      </w:r>
      <w:r w:rsidR="00FE3E4E" w:rsidRPr="005824B7">
        <w:rPr>
          <w:rFonts w:ascii="Arial" w:hAnsi="Arial" w:cs="Arial"/>
        </w:rPr>
        <w:t xml:space="preserve">It follows, both in the court </w:t>
      </w:r>
      <w:r w:rsidR="00FE3E4E" w:rsidRPr="005824B7">
        <w:rPr>
          <w:rFonts w:ascii="Arial" w:hAnsi="Arial" w:cs="Arial"/>
          <w:i/>
          <w:iCs/>
        </w:rPr>
        <w:t>a quo</w:t>
      </w:r>
      <w:r w:rsidR="00FE3E4E" w:rsidRPr="005824B7">
        <w:rPr>
          <w:rFonts w:ascii="Arial" w:hAnsi="Arial" w:cs="Arial"/>
        </w:rPr>
        <w:t xml:space="preserve"> and in this court</w:t>
      </w:r>
      <w:r w:rsidR="00A54B8D" w:rsidRPr="005824B7">
        <w:rPr>
          <w:rFonts w:ascii="Arial" w:hAnsi="Arial" w:cs="Arial"/>
        </w:rPr>
        <w:t>,</w:t>
      </w:r>
      <w:r w:rsidR="00FE3E4E" w:rsidRPr="005824B7">
        <w:rPr>
          <w:rFonts w:ascii="Arial" w:hAnsi="Arial" w:cs="Arial"/>
        </w:rPr>
        <w:t xml:space="preserve"> </w:t>
      </w:r>
      <w:r w:rsidR="00000E1E" w:rsidRPr="005824B7">
        <w:rPr>
          <w:rFonts w:ascii="Arial" w:hAnsi="Arial" w:cs="Arial"/>
        </w:rPr>
        <w:t xml:space="preserve">that </w:t>
      </w:r>
      <w:r w:rsidR="00854980" w:rsidRPr="005824B7">
        <w:rPr>
          <w:rFonts w:ascii="Arial" w:hAnsi="Arial" w:cs="Arial"/>
        </w:rPr>
        <w:t>the appellant</w:t>
      </w:r>
      <w:r w:rsidR="00FE3E4E" w:rsidRPr="005824B7">
        <w:rPr>
          <w:rFonts w:ascii="Arial" w:hAnsi="Arial" w:cs="Arial"/>
        </w:rPr>
        <w:t xml:space="preserve"> sought, in the first instance, an interdict that prevents the pension fund from paying Ms Mayola’s </w:t>
      </w:r>
      <w:r w:rsidR="00FE3E4E" w:rsidRPr="005824B7">
        <w:rPr>
          <w:rFonts w:ascii="Arial" w:hAnsi="Arial" w:cs="Arial"/>
        </w:rPr>
        <w:lastRenderedPageBreak/>
        <w:t>pension benefits, pending finalisation of the criminal and civil proceedings against her.</w:t>
      </w:r>
    </w:p>
    <w:p w14:paraId="359DF8E5" w14:textId="77777777" w:rsidR="00854980" w:rsidRPr="005852C4" w:rsidRDefault="00854980" w:rsidP="007A79C3">
      <w:pPr>
        <w:widowControl w:val="0"/>
        <w:spacing w:line="360" w:lineRule="auto"/>
        <w:contextualSpacing/>
        <w:jc w:val="both"/>
        <w:rPr>
          <w:rFonts w:ascii="Arial" w:hAnsi="Arial" w:cs="Arial"/>
        </w:rPr>
      </w:pPr>
    </w:p>
    <w:p w14:paraId="11667CC1" w14:textId="4D149464" w:rsidR="00854980" w:rsidRPr="005824B7" w:rsidRDefault="005824B7" w:rsidP="005824B7">
      <w:pPr>
        <w:widowControl w:val="0"/>
        <w:spacing w:line="360" w:lineRule="auto"/>
        <w:jc w:val="both"/>
        <w:rPr>
          <w:rFonts w:ascii="Arial" w:hAnsi="Arial" w:cs="Arial"/>
        </w:rPr>
      </w:pPr>
      <w:r>
        <w:rPr>
          <w:rFonts w:ascii="Arial" w:hAnsi="Arial" w:cs="Arial"/>
        </w:rPr>
        <w:t>[33]</w:t>
      </w:r>
      <w:r>
        <w:rPr>
          <w:rFonts w:ascii="Arial" w:hAnsi="Arial" w:cs="Arial"/>
        </w:rPr>
        <w:tab/>
      </w:r>
      <w:r w:rsidR="00854980" w:rsidRPr="005824B7">
        <w:rPr>
          <w:rFonts w:ascii="Arial" w:hAnsi="Arial" w:cs="Arial"/>
        </w:rPr>
        <w:t xml:space="preserve">Ms Mayola also brought an application to strike out certain allegations, however, this </w:t>
      </w:r>
      <w:r w:rsidR="00DD3975" w:rsidRPr="005824B7">
        <w:rPr>
          <w:rFonts w:ascii="Arial" w:hAnsi="Arial" w:cs="Arial"/>
        </w:rPr>
        <w:t>application</w:t>
      </w:r>
      <w:r w:rsidR="00854980" w:rsidRPr="005824B7">
        <w:rPr>
          <w:rFonts w:ascii="Arial" w:hAnsi="Arial" w:cs="Arial"/>
        </w:rPr>
        <w:t xml:space="preserve"> was dismissed by the court </w:t>
      </w:r>
      <w:r w:rsidR="00854980" w:rsidRPr="005824B7">
        <w:rPr>
          <w:rFonts w:ascii="Arial" w:hAnsi="Arial" w:cs="Arial"/>
          <w:i/>
          <w:iCs/>
        </w:rPr>
        <w:t>a quo</w:t>
      </w:r>
      <w:r w:rsidR="00854980" w:rsidRPr="005824B7">
        <w:rPr>
          <w:rFonts w:ascii="Arial" w:hAnsi="Arial" w:cs="Arial"/>
        </w:rPr>
        <w:t>. There is no counter</w:t>
      </w:r>
      <w:r w:rsidR="00A54B8D" w:rsidRPr="005824B7">
        <w:rPr>
          <w:rFonts w:ascii="Arial" w:hAnsi="Arial" w:cs="Arial"/>
        </w:rPr>
        <w:t>-</w:t>
      </w:r>
      <w:r w:rsidR="00854980" w:rsidRPr="005824B7">
        <w:rPr>
          <w:rFonts w:ascii="Arial" w:hAnsi="Arial" w:cs="Arial"/>
        </w:rPr>
        <w:t>appeal against this order of the court</w:t>
      </w:r>
      <w:r w:rsidR="00000E1E" w:rsidRPr="005824B7">
        <w:rPr>
          <w:rFonts w:ascii="Arial" w:hAnsi="Arial" w:cs="Arial"/>
        </w:rPr>
        <w:t xml:space="preserve"> </w:t>
      </w:r>
      <w:r w:rsidR="00000E1E" w:rsidRPr="005824B7">
        <w:rPr>
          <w:rFonts w:ascii="Arial" w:hAnsi="Arial" w:cs="Arial"/>
          <w:i/>
        </w:rPr>
        <w:t>a quo</w:t>
      </w:r>
      <w:r w:rsidR="00854980" w:rsidRPr="005824B7">
        <w:rPr>
          <w:rFonts w:ascii="Arial" w:hAnsi="Arial" w:cs="Arial"/>
        </w:rPr>
        <w:t xml:space="preserve"> and the record of appeal does not contain the papers in the application to strike out.</w:t>
      </w:r>
      <w:r w:rsidR="00881755" w:rsidRPr="005824B7">
        <w:rPr>
          <w:rFonts w:ascii="Arial" w:hAnsi="Arial" w:cs="Arial"/>
        </w:rPr>
        <w:t xml:space="preserve"> </w:t>
      </w:r>
      <w:r w:rsidR="00854980" w:rsidRPr="005824B7">
        <w:rPr>
          <w:rFonts w:ascii="Arial" w:hAnsi="Arial" w:cs="Arial"/>
        </w:rPr>
        <w:t xml:space="preserve">Accordingly, nothing further needs </w:t>
      </w:r>
      <w:r w:rsidR="00A54B8D" w:rsidRPr="005824B7">
        <w:rPr>
          <w:rFonts w:ascii="Arial" w:hAnsi="Arial" w:cs="Arial"/>
        </w:rPr>
        <w:t xml:space="preserve">to </w:t>
      </w:r>
      <w:r w:rsidR="00854980" w:rsidRPr="005824B7">
        <w:rPr>
          <w:rFonts w:ascii="Arial" w:hAnsi="Arial" w:cs="Arial"/>
        </w:rPr>
        <w:t>be said about the application to strike out or the order dismissing it.</w:t>
      </w:r>
    </w:p>
    <w:p w14:paraId="20582BCA" w14:textId="77777777" w:rsidR="007A79C3" w:rsidRPr="007A79C3" w:rsidRDefault="007A79C3" w:rsidP="007A79C3">
      <w:pPr>
        <w:pStyle w:val="ListParagraph"/>
        <w:widowControl w:val="0"/>
        <w:spacing w:line="360" w:lineRule="auto"/>
        <w:ind w:left="0"/>
        <w:jc w:val="both"/>
        <w:rPr>
          <w:rFonts w:ascii="Arial" w:hAnsi="Arial" w:cs="Arial"/>
        </w:rPr>
      </w:pPr>
    </w:p>
    <w:p w14:paraId="747C4259" w14:textId="567C3A97" w:rsidR="00854980" w:rsidRPr="00796DB4" w:rsidRDefault="00DD3975" w:rsidP="003F0945">
      <w:pPr>
        <w:pStyle w:val="ListParagraph"/>
        <w:widowControl w:val="0"/>
        <w:spacing w:line="360" w:lineRule="auto"/>
        <w:ind w:left="0"/>
        <w:jc w:val="both"/>
        <w:rPr>
          <w:rFonts w:ascii="Arial" w:hAnsi="Arial" w:cs="Arial"/>
          <w:b/>
        </w:rPr>
      </w:pPr>
      <w:r w:rsidRPr="00796DB4">
        <w:rPr>
          <w:rFonts w:ascii="Arial" w:hAnsi="Arial" w:cs="Arial"/>
          <w:b/>
        </w:rPr>
        <w:t>Section 37D(1)</w:t>
      </w:r>
      <w:r w:rsidRPr="00DC4374">
        <w:rPr>
          <w:rFonts w:ascii="Arial" w:hAnsi="Arial" w:cs="Arial"/>
          <w:b/>
          <w:i/>
        </w:rPr>
        <w:t>(b)</w:t>
      </w:r>
      <w:r w:rsidRPr="00796DB4">
        <w:rPr>
          <w:rFonts w:ascii="Arial" w:hAnsi="Arial" w:cs="Arial"/>
          <w:b/>
        </w:rPr>
        <w:t>(ii) of the Pensions Act</w:t>
      </w:r>
    </w:p>
    <w:p w14:paraId="3FB04E92" w14:textId="35D12824" w:rsidR="00854980" w:rsidRPr="005824B7" w:rsidRDefault="005824B7" w:rsidP="005824B7">
      <w:pPr>
        <w:widowControl w:val="0"/>
        <w:spacing w:line="360" w:lineRule="auto"/>
        <w:jc w:val="both"/>
        <w:rPr>
          <w:rFonts w:ascii="Arial" w:hAnsi="Arial" w:cs="Arial"/>
          <w:lang w:val="en-ZA" w:eastAsia="en-ZA"/>
        </w:rPr>
      </w:pPr>
      <w:r w:rsidRPr="005852C4">
        <w:rPr>
          <w:rFonts w:ascii="Arial" w:hAnsi="Arial" w:cs="Arial"/>
          <w:lang w:val="en-ZA" w:eastAsia="en-ZA"/>
        </w:rPr>
        <w:t>[34]</w:t>
      </w:r>
      <w:r w:rsidRPr="005852C4">
        <w:rPr>
          <w:rFonts w:ascii="Arial" w:hAnsi="Arial" w:cs="Arial"/>
          <w:lang w:val="en-ZA" w:eastAsia="en-ZA"/>
        </w:rPr>
        <w:tab/>
      </w:r>
      <w:r w:rsidR="00854980" w:rsidRPr="005824B7">
        <w:rPr>
          <w:rFonts w:ascii="Arial" w:hAnsi="Arial" w:cs="Arial"/>
          <w:lang w:val="en-ZA" w:eastAsia="en-ZA"/>
        </w:rPr>
        <w:t>The decision by the pension fund not to pay Ms Mayola her pension benefits was made in terms of s 37D(1)</w:t>
      </w:r>
      <w:r w:rsidR="00854980" w:rsidRPr="005824B7">
        <w:rPr>
          <w:rFonts w:ascii="Arial" w:hAnsi="Arial" w:cs="Arial"/>
          <w:i/>
          <w:lang w:val="en-ZA" w:eastAsia="en-ZA"/>
        </w:rPr>
        <w:t>(b)</w:t>
      </w:r>
      <w:r w:rsidR="00854980" w:rsidRPr="005824B7">
        <w:rPr>
          <w:rFonts w:ascii="Arial" w:hAnsi="Arial" w:cs="Arial"/>
          <w:lang w:val="en-ZA" w:eastAsia="en-ZA"/>
        </w:rPr>
        <w:t>(ii) of the Pensions Act.</w:t>
      </w:r>
      <w:r w:rsidR="00881755" w:rsidRPr="005824B7">
        <w:rPr>
          <w:rFonts w:ascii="Arial" w:hAnsi="Arial" w:cs="Arial"/>
          <w:lang w:val="en-ZA" w:eastAsia="en-ZA"/>
        </w:rPr>
        <w:t xml:space="preserve"> </w:t>
      </w:r>
      <w:r w:rsidR="00854980" w:rsidRPr="005824B7">
        <w:rPr>
          <w:rFonts w:ascii="Arial" w:hAnsi="Arial" w:cs="Arial"/>
          <w:lang w:val="en-ZA" w:eastAsia="en-ZA"/>
        </w:rPr>
        <w:t>This section provides</w:t>
      </w:r>
      <w:r w:rsidR="006106C5" w:rsidRPr="005824B7">
        <w:rPr>
          <w:rFonts w:ascii="Arial" w:hAnsi="Arial" w:cs="Arial"/>
          <w:lang w:val="en-ZA" w:eastAsia="en-ZA"/>
        </w:rPr>
        <w:t xml:space="preserve"> as follows</w:t>
      </w:r>
      <w:r w:rsidR="00854980" w:rsidRPr="005824B7">
        <w:rPr>
          <w:rFonts w:ascii="Arial" w:hAnsi="Arial" w:cs="Arial"/>
          <w:lang w:val="en-ZA" w:eastAsia="en-ZA"/>
        </w:rPr>
        <w:t>:</w:t>
      </w:r>
    </w:p>
    <w:p w14:paraId="31B39249" w14:textId="50EBD8F2" w:rsidR="00380A6D" w:rsidRDefault="00380A6D" w:rsidP="00380A6D">
      <w:pPr>
        <w:pStyle w:val="ListParagraph"/>
        <w:widowControl w:val="0"/>
        <w:spacing w:line="360" w:lineRule="auto"/>
        <w:ind w:left="0"/>
        <w:jc w:val="both"/>
        <w:rPr>
          <w:rFonts w:ascii="Arial" w:hAnsi="Arial" w:cs="Arial"/>
          <w:sz w:val="22"/>
          <w:szCs w:val="22"/>
          <w:lang w:val="en-ZA" w:eastAsia="en-ZA"/>
        </w:rPr>
      </w:pPr>
      <w:r>
        <w:rPr>
          <w:rFonts w:ascii="Arial" w:hAnsi="Arial" w:cs="Arial"/>
          <w:sz w:val="22"/>
          <w:szCs w:val="22"/>
          <w:lang w:val="en-ZA" w:eastAsia="en-ZA"/>
        </w:rPr>
        <w:t>‘</w:t>
      </w:r>
      <w:r w:rsidRPr="00380A6D">
        <w:rPr>
          <w:rFonts w:ascii="Arial" w:hAnsi="Arial" w:cs="Arial"/>
          <w:sz w:val="22"/>
          <w:szCs w:val="22"/>
          <w:lang w:val="en-ZA" w:eastAsia="en-ZA"/>
        </w:rPr>
        <w:t>37D.   Fund may make certain de</w:t>
      </w:r>
      <w:r>
        <w:rPr>
          <w:rFonts w:ascii="Arial" w:hAnsi="Arial" w:cs="Arial"/>
          <w:sz w:val="22"/>
          <w:szCs w:val="22"/>
          <w:lang w:val="en-ZA" w:eastAsia="en-ZA"/>
        </w:rPr>
        <w:t>ductions from pension benefits.</w:t>
      </w:r>
    </w:p>
    <w:p w14:paraId="5942044F" w14:textId="265BDF2F" w:rsidR="00380A6D" w:rsidRPr="00380A6D" w:rsidRDefault="00380A6D" w:rsidP="00380A6D">
      <w:pPr>
        <w:pStyle w:val="ListParagraph"/>
        <w:widowControl w:val="0"/>
        <w:spacing w:line="360" w:lineRule="auto"/>
        <w:ind w:left="0"/>
        <w:jc w:val="both"/>
        <w:rPr>
          <w:rFonts w:ascii="Arial" w:hAnsi="Arial" w:cs="Arial"/>
          <w:sz w:val="22"/>
          <w:szCs w:val="22"/>
          <w:lang w:val="en-ZA" w:eastAsia="en-ZA"/>
        </w:rPr>
      </w:pPr>
      <w:r w:rsidRPr="00380A6D">
        <w:rPr>
          <w:rFonts w:ascii="Arial" w:hAnsi="Arial" w:cs="Arial"/>
          <w:sz w:val="22"/>
          <w:szCs w:val="22"/>
          <w:lang w:val="en-ZA" w:eastAsia="en-ZA"/>
        </w:rPr>
        <w:t xml:space="preserve">(1)  </w:t>
      </w:r>
      <w:r w:rsidR="00433E99">
        <w:rPr>
          <w:rFonts w:ascii="Arial" w:hAnsi="Arial" w:cs="Arial"/>
          <w:sz w:val="22"/>
          <w:szCs w:val="22"/>
          <w:lang w:val="en-ZA" w:eastAsia="en-ZA"/>
        </w:rPr>
        <w:tab/>
      </w:r>
      <w:r w:rsidRPr="00380A6D">
        <w:rPr>
          <w:rFonts w:ascii="Arial" w:hAnsi="Arial" w:cs="Arial"/>
          <w:sz w:val="22"/>
          <w:szCs w:val="22"/>
          <w:lang w:val="en-ZA" w:eastAsia="en-ZA"/>
        </w:rPr>
        <w:t>A registered fund may—</w:t>
      </w:r>
    </w:p>
    <w:p w14:paraId="54AC3ADE" w14:textId="23F45C71" w:rsidR="00380A6D" w:rsidRPr="00380A6D" w:rsidRDefault="00380A6D" w:rsidP="00380A6D">
      <w:pPr>
        <w:pStyle w:val="ListParagraph"/>
        <w:widowControl w:val="0"/>
        <w:spacing w:line="360" w:lineRule="auto"/>
        <w:ind w:left="0"/>
        <w:jc w:val="both"/>
        <w:rPr>
          <w:rFonts w:ascii="Arial" w:hAnsi="Arial" w:cs="Arial"/>
          <w:sz w:val="22"/>
          <w:szCs w:val="22"/>
          <w:lang w:val="en-ZA" w:eastAsia="en-ZA"/>
        </w:rPr>
      </w:pPr>
      <w:r w:rsidRPr="00380A6D">
        <w:rPr>
          <w:rFonts w:ascii="Arial" w:hAnsi="Arial" w:cs="Arial"/>
          <w:sz w:val="22"/>
          <w:szCs w:val="22"/>
          <w:lang w:val="en-ZA" w:eastAsia="en-ZA"/>
        </w:rPr>
        <w:t xml:space="preserve">(a) </w:t>
      </w:r>
      <w:r>
        <w:rPr>
          <w:rFonts w:ascii="Arial" w:hAnsi="Arial" w:cs="Arial"/>
          <w:sz w:val="22"/>
          <w:szCs w:val="22"/>
          <w:lang w:val="en-ZA" w:eastAsia="en-ZA"/>
        </w:rPr>
        <w:tab/>
      </w:r>
      <w:r w:rsidRPr="00380A6D">
        <w:rPr>
          <w:rFonts w:ascii="Arial" w:hAnsi="Arial" w:cs="Arial"/>
          <w:sz w:val="22"/>
          <w:szCs w:val="22"/>
          <w:lang w:val="en-ZA" w:eastAsia="en-ZA"/>
        </w:rPr>
        <w:t>. . .</w:t>
      </w:r>
    </w:p>
    <w:p w14:paraId="6E5B2D43" w14:textId="3E9A384A" w:rsidR="00380A6D" w:rsidRPr="00380A6D" w:rsidRDefault="00380A6D" w:rsidP="00380A6D">
      <w:pPr>
        <w:pStyle w:val="ListParagraph"/>
        <w:widowControl w:val="0"/>
        <w:spacing w:line="360" w:lineRule="auto"/>
        <w:ind w:hanging="720"/>
        <w:jc w:val="both"/>
        <w:rPr>
          <w:rFonts w:ascii="Arial" w:hAnsi="Arial" w:cs="Arial"/>
          <w:sz w:val="22"/>
          <w:szCs w:val="22"/>
          <w:lang w:val="en-ZA" w:eastAsia="en-ZA"/>
        </w:rPr>
      </w:pPr>
      <w:r w:rsidRPr="00380A6D">
        <w:rPr>
          <w:rFonts w:ascii="Arial" w:hAnsi="Arial" w:cs="Arial"/>
          <w:sz w:val="22"/>
          <w:szCs w:val="22"/>
          <w:lang w:val="en-ZA" w:eastAsia="en-ZA"/>
        </w:rPr>
        <w:t xml:space="preserve">(b) </w:t>
      </w:r>
      <w:r>
        <w:rPr>
          <w:rFonts w:ascii="Arial" w:hAnsi="Arial" w:cs="Arial"/>
          <w:sz w:val="22"/>
          <w:szCs w:val="22"/>
          <w:lang w:val="en-ZA" w:eastAsia="en-ZA"/>
        </w:rPr>
        <w:tab/>
      </w:r>
      <w:r w:rsidRPr="00380A6D">
        <w:rPr>
          <w:rFonts w:ascii="Arial" w:hAnsi="Arial" w:cs="Arial"/>
          <w:sz w:val="22"/>
          <w:szCs w:val="22"/>
          <w:lang w:val="en-ZA" w:eastAsia="en-ZA"/>
        </w:rPr>
        <w:t>deduct any amount due by a member to his employer on the date of his retirement or on which he ceases to be a member of the fund, in respect of—</w:t>
      </w:r>
    </w:p>
    <w:p w14:paraId="3AE462A5" w14:textId="2C7BF44B" w:rsidR="00380A6D" w:rsidRPr="00380A6D" w:rsidRDefault="00380A6D" w:rsidP="00380A6D">
      <w:pPr>
        <w:pStyle w:val="ListParagraph"/>
        <w:widowControl w:val="0"/>
        <w:spacing w:line="360" w:lineRule="auto"/>
        <w:ind w:left="0"/>
        <w:jc w:val="both"/>
        <w:rPr>
          <w:rFonts w:ascii="Arial" w:hAnsi="Arial" w:cs="Arial"/>
          <w:sz w:val="22"/>
          <w:szCs w:val="22"/>
          <w:lang w:val="en-ZA" w:eastAsia="en-ZA"/>
        </w:rPr>
      </w:pPr>
      <w:r>
        <w:rPr>
          <w:rFonts w:ascii="Arial" w:hAnsi="Arial" w:cs="Arial"/>
          <w:sz w:val="22"/>
          <w:szCs w:val="22"/>
          <w:lang w:val="en-ZA" w:eastAsia="en-ZA"/>
        </w:rPr>
        <w:tab/>
      </w:r>
      <w:r w:rsidRPr="00380A6D">
        <w:rPr>
          <w:rFonts w:ascii="Arial" w:hAnsi="Arial" w:cs="Arial"/>
          <w:sz w:val="22"/>
          <w:szCs w:val="22"/>
          <w:lang w:val="en-ZA" w:eastAsia="en-ZA"/>
        </w:rPr>
        <w:t xml:space="preserve">(i) </w:t>
      </w:r>
      <w:r>
        <w:rPr>
          <w:rFonts w:ascii="Arial" w:hAnsi="Arial" w:cs="Arial"/>
          <w:sz w:val="22"/>
          <w:szCs w:val="22"/>
          <w:lang w:val="en-ZA" w:eastAsia="en-ZA"/>
        </w:rPr>
        <w:tab/>
      </w:r>
      <w:r w:rsidRPr="00380A6D">
        <w:rPr>
          <w:rFonts w:ascii="Arial" w:hAnsi="Arial" w:cs="Arial"/>
          <w:sz w:val="22"/>
          <w:szCs w:val="22"/>
          <w:lang w:val="en-ZA" w:eastAsia="en-ZA"/>
        </w:rPr>
        <w:t>. . .</w:t>
      </w:r>
    </w:p>
    <w:p w14:paraId="66A91ECB" w14:textId="27504E7D" w:rsidR="00380A6D" w:rsidRPr="00380A6D" w:rsidRDefault="00380A6D" w:rsidP="00380A6D">
      <w:pPr>
        <w:pStyle w:val="ListParagraph"/>
        <w:widowControl w:val="0"/>
        <w:spacing w:line="360" w:lineRule="auto"/>
        <w:ind w:left="1440" w:hanging="720"/>
        <w:jc w:val="both"/>
        <w:rPr>
          <w:rFonts w:ascii="Arial" w:hAnsi="Arial" w:cs="Arial"/>
          <w:sz w:val="22"/>
          <w:szCs w:val="22"/>
          <w:lang w:val="en-ZA" w:eastAsia="en-ZA"/>
        </w:rPr>
      </w:pPr>
      <w:r w:rsidRPr="00380A6D">
        <w:rPr>
          <w:rFonts w:ascii="Arial" w:hAnsi="Arial" w:cs="Arial"/>
          <w:sz w:val="22"/>
          <w:szCs w:val="22"/>
          <w:lang w:val="en-ZA" w:eastAsia="en-ZA"/>
        </w:rPr>
        <w:t xml:space="preserve">(ii) </w:t>
      </w:r>
      <w:r>
        <w:rPr>
          <w:rFonts w:ascii="Arial" w:hAnsi="Arial" w:cs="Arial"/>
          <w:sz w:val="22"/>
          <w:szCs w:val="22"/>
          <w:lang w:val="en-ZA" w:eastAsia="en-ZA"/>
        </w:rPr>
        <w:tab/>
      </w:r>
      <w:r w:rsidRPr="00380A6D">
        <w:rPr>
          <w:rFonts w:ascii="Arial" w:hAnsi="Arial" w:cs="Arial"/>
          <w:sz w:val="22"/>
          <w:szCs w:val="22"/>
          <w:lang w:val="en-ZA" w:eastAsia="en-ZA"/>
        </w:rPr>
        <w:t>compensation (including any legal costs recoverable from the member in a matter contemplated in subparagraph (bb)) in respect of any damage caused to the employer by reason of any theft, dishonesty, fraud or misconduct by the member, and in respect of which—</w:t>
      </w:r>
    </w:p>
    <w:p w14:paraId="010F3D33" w14:textId="0D2897C5" w:rsidR="00380A6D" w:rsidRPr="00380A6D" w:rsidRDefault="00380A6D" w:rsidP="00380A6D">
      <w:pPr>
        <w:pStyle w:val="ListParagraph"/>
        <w:widowControl w:val="0"/>
        <w:spacing w:line="360" w:lineRule="auto"/>
        <w:ind w:left="1440"/>
        <w:jc w:val="both"/>
        <w:rPr>
          <w:rFonts w:ascii="Arial" w:hAnsi="Arial" w:cs="Arial"/>
          <w:sz w:val="22"/>
          <w:szCs w:val="22"/>
          <w:lang w:val="en-ZA" w:eastAsia="en-ZA"/>
        </w:rPr>
      </w:pPr>
      <w:r w:rsidRPr="00380A6D">
        <w:rPr>
          <w:rFonts w:ascii="Arial" w:hAnsi="Arial" w:cs="Arial"/>
          <w:sz w:val="22"/>
          <w:szCs w:val="22"/>
          <w:lang w:val="en-ZA" w:eastAsia="en-ZA"/>
        </w:rPr>
        <w:t xml:space="preserve">(aa) </w:t>
      </w:r>
      <w:r>
        <w:rPr>
          <w:rFonts w:ascii="Arial" w:hAnsi="Arial" w:cs="Arial"/>
          <w:sz w:val="22"/>
          <w:szCs w:val="22"/>
          <w:lang w:val="en-ZA" w:eastAsia="en-ZA"/>
        </w:rPr>
        <w:tab/>
      </w:r>
      <w:r w:rsidRPr="00380A6D">
        <w:rPr>
          <w:rFonts w:ascii="Arial" w:hAnsi="Arial" w:cs="Arial"/>
          <w:sz w:val="22"/>
          <w:szCs w:val="22"/>
          <w:lang w:val="en-ZA" w:eastAsia="en-ZA"/>
        </w:rPr>
        <w:t>the member has in writing admitted liability to the employer; or</w:t>
      </w:r>
    </w:p>
    <w:p w14:paraId="40AB6CC6" w14:textId="64D0AC3D" w:rsidR="00380A6D" w:rsidRPr="00380A6D" w:rsidRDefault="00380A6D" w:rsidP="00380A6D">
      <w:pPr>
        <w:pStyle w:val="ListParagraph"/>
        <w:widowControl w:val="0"/>
        <w:spacing w:line="360" w:lineRule="auto"/>
        <w:ind w:left="1440"/>
        <w:jc w:val="both"/>
        <w:rPr>
          <w:rFonts w:ascii="Arial" w:hAnsi="Arial" w:cs="Arial"/>
          <w:sz w:val="22"/>
          <w:szCs w:val="22"/>
          <w:lang w:val="en-ZA" w:eastAsia="en-ZA"/>
        </w:rPr>
      </w:pPr>
      <w:r w:rsidRPr="00380A6D">
        <w:rPr>
          <w:rFonts w:ascii="Arial" w:hAnsi="Arial" w:cs="Arial"/>
          <w:sz w:val="22"/>
          <w:szCs w:val="22"/>
          <w:lang w:val="en-ZA" w:eastAsia="en-ZA"/>
        </w:rPr>
        <w:t xml:space="preserve">(bb) </w:t>
      </w:r>
      <w:r>
        <w:rPr>
          <w:rFonts w:ascii="Arial" w:hAnsi="Arial" w:cs="Arial"/>
          <w:sz w:val="22"/>
          <w:szCs w:val="22"/>
          <w:lang w:val="en-ZA" w:eastAsia="en-ZA"/>
        </w:rPr>
        <w:tab/>
      </w:r>
      <w:r w:rsidRPr="00380A6D">
        <w:rPr>
          <w:rFonts w:ascii="Arial" w:hAnsi="Arial" w:cs="Arial"/>
          <w:sz w:val="22"/>
          <w:szCs w:val="22"/>
          <w:lang w:val="en-ZA" w:eastAsia="en-ZA"/>
        </w:rPr>
        <w:t>judgment has been obtained against the member in any court, including a magistrate’s court,</w:t>
      </w:r>
    </w:p>
    <w:p w14:paraId="5F6E366E" w14:textId="7F73DB29" w:rsidR="00854980" w:rsidRPr="00380A6D" w:rsidRDefault="00380A6D" w:rsidP="00433E99">
      <w:pPr>
        <w:pStyle w:val="ListParagraph"/>
        <w:widowControl w:val="0"/>
        <w:spacing w:line="360" w:lineRule="auto"/>
        <w:jc w:val="both"/>
        <w:rPr>
          <w:rFonts w:ascii="Arial" w:hAnsi="Arial" w:cs="Arial"/>
          <w:sz w:val="22"/>
          <w:szCs w:val="22"/>
          <w:lang w:val="en-ZA" w:eastAsia="en-ZA"/>
        </w:rPr>
      </w:pPr>
      <w:r w:rsidRPr="00380A6D">
        <w:rPr>
          <w:rFonts w:ascii="Arial" w:hAnsi="Arial" w:cs="Arial"/>
          <w:sz w:val="22"/>
          <w:szCs w:val="22"/>
          <w:lang w:val="en-ZA" w:eastAsia="en-ZA"/>
        </w:rPr>
        <w:t>from any benefit payable in respect of the member or a beneficiary in terms of the rules of the fund, and pay such a</w:t>
      </w:r>
      <w:r>
        <w:rPr>
          <w:rFonts w:ascii="Arial" w:hAnsi="Arial" w:cs="Arial"/>
          <w:sz w:val="22"/>
          <w:szCs w:val="22"/>
          <w:lang w:val="en-ZA" w:eastAsia="en-ZA"/>
        </w:rPr>
        <w:t>mount to the employer concerned.’</w:t>
      </w:r>
    </w:p>
    <w:p w14:paraId="222AF500" w14:textId="77777777" w:rsidR="00854980" w:rsidRPr="005852C4" w:rsidRDefault="00854980" w:rsidP="007A79C3">
      <w:pPr>
        <w:widowControl w:val="0"/>
        <w:spacing w:line="360" w:lineRule="auto"/>
        <w:contextualSpacing/>
        <w:jc w:val="both"/>
        <w:rPr>
          <w:rFonts w:ascii="Arial" w:hAnsi="Arial" w:cs="Arial"/>
          <w:lang w:val="en-ZA" w:eastAsia="en-ZA"/>
        </w:rPr>
      </w:pPr>
    </w:p>
    <w:p w14:paraId="2F6D9699" w14:textId="3553560F" w:rsidR="00854980" w:rsidRPr="005824B7" w:rsidRDefault="005824B7" w:rsidP="005824B7">
      <w:pPr>
        <w:widowControl w:val="0"/>
        <w:spacing w:line="360" w:lineRule="auto"/>
        <w:jc w:val="both"/>
        <w:rPr>
          <w:rFonts w:ascii="Arial" w:hAnsi="Arial" w:cs="Arial"/>
          <w:lang w:val="en-ZA" w:eastAsia="en-ZA"/>
        </w:rPr>
      </w:pPr>
      <w:r w:rsidRPr="007A79C3">
        <w:rPr>
          <w:rFonts w:ascii="Arial" w:hAnsi="Arial" w:cs="Arial"/>
          <w:lang w:val="en-ZA" w:eastAsia="en-ZA"/>
        </w:rPr>
        <w:t>[35]</w:t>
      </w:r>
      <w:r w:rsidRPr="007A79C3">
        <w:rPr>
          <w:rFonts w:ascii="Arial" w:hAnsi="Arial" w:cs="Arial"/>
          <w:lang w:val="en-ZA" w:eastAsia="en-ZA"/>
        </w:rPr>
        <w:tab/>
      </w:r>
      <w:r w:rsidR="00854980" w:rsidRPr="005824B7">
        <w:rPr>
          <w:rFonts w:ascii="Arial" w:hAnsi="Arial" w:cs="Arial"/>
          <w:lang w:val="en-ZA" w:eastAsia="en-ZA"/>
        </w:rPr>
        <w:t>The object of the section (as noted in a number of cases) is to protect the employer’s right to pursue the recovery of money misappropriated by its employees.</w:t>
      </w:r>
      <w:r w:rsidR="00881755" w:rsidRPr="005824B7">
        <w:rPr>
          <w:rFonts w:ascii="Arial" w:hAnsi="Arial" w:cs="Arial"/>
          <w:lang w:val="en-ZA" w:eastAsia="en-ZA"/>
        </w:rPr>
        <w:t xml:space="preserve"> </w:t>
      </w:r>
      <w:r w:rsidR="00854980" w:rsidRPr="005824B7">
        <w:rPr>
          <w:rFonts w:ascii="Arial" w:hAnsi="Arial" w:cs="Arial"/>
          <w:lang w:val="en-ZA" w:eastAsia="en-ZA"/>
        </w:rPr>
        <w:t>Ms Mayola has neither admitted liability in this case nor has she dealt pertinently with the serious allegations made against her by the appellant. On the other hand, the appellant has not obtained judgment against her in any court.</w:t>
      </w:r>
      <w:r w:rsidR="00881755" w:rsidRPr="005824B7">
        <w:rPr>
          <w:rFonts w:ascii="Arial" w:hAnsi="Arial" w:cs="Arial"/>
          <w:lang w:val="en-ZA" w:eastAsia="en-ZA"/>
        </w:rPr>
        <w:t xml:space="preserve"> </w:t>
      </w:r>
      <w:r w:rsidR="00854980" w:rsidRPr="005824B7">
        <w:rPr>
          <w:rFonts w:ascii="Arial" w:hAnsi="Arial" w:cs="Arial"/>
          <w:lang w:val="en-ZA" w:eastAsia="en-ZA"/>
        </w:rPr>
        <w:t xml:space="preserve">However, to give effect </w:t>
      </w:r>
      <w:r w:rsidR="00854980" w:rsidRPr="005824B7">
        <w:rPr>
          <w:rFonts w:ascii="Arial" w:hAnsi="Arial" w:cs="Arial"/>
          <w:lang w:val="en-ZA" w:eastAsia="en-ZA"/>
        </w:rPr>
        <w:lastRenderedPageBreak/>
        <w:t>to the purpose of the section</w:t>
      </w:r>
      <w:r w:rsidR="006145DB" w:rsidRPr="005824B7">
        <w:rPr>
          <w:rFonts w:ascii="Arial" w:hAnsi="Arial" w:cs="Arial"/>
          <w:lang w:val="en-ZA" w:eastAsia="en-ZA"/>
        </w:rPr>
        <w:t>,</w:t>
      </w:r>
      <w:r w:rsidR="00854980" w:rsidRPr="005824B7">
        <w:rPr>
          <w:rFonts w:ascii="Arial" w:hAnsi="Arial" w:cs="Arial"/>
          <w:lang w:val="en-ZA" w:eastAsia="en-ZA"/>
        </w:rPr>
        <w:t xml:space="preserve"> the Supreme Court of Appeal in </w:t>
      </w:r>
      <w:r w:rsidR="00854980" w:rsidRPr="005824B7">
        <w:rPr>
          <w:rFonts w:ascii="Arial" w:hAnsi="Arial" w:cs="Arial"/>
          <w:i/>
          <w:lang w:val="en-ZA" w:eastAsia="en-ZA"/>
        </w:rPr>
        <w:t>Highveld</w:t>
      </w:r>
      <w:r w:rsidR="00854980" w:rsidRPr="005852C4">
        <w:rPr>
          <w:vertAlign w:val="superscript"/>
          <w:lang w:val="en-ZA" w:eastAsia="en-ZA"/>
        </w:rPr>
        <w:footnoteReference w:id="1"/>
      </w:r>
      <w:r w:rsidR="00854980" w:rsidRPr="005824B7">
        <w:rPr>
          <w:rFonts w:ascii="Arial" w:hAnsi="Arial" w:cs="Arial"/>
          <w:lang w:val="en-ZA" w:eastAsia="en-ZA"/>
        </w:rPr>
        <w:t xml:space="preserve"> reasoned that the wording of s</w:t>
      </w:r>
      <w:r w:rsidR="006145DB" w:rsidRPr="005824B7">
        <w:rPr>
          <w:rFonts w:ascii="Arial" w:hAnsi="Arial" w:cs="Arial"/>
          <w:lang w:val="en-ZA" w:eastAsia="en-ZA"/>
        </w:rPr>
        <w:t xml:space="preserve"> </w:t>
      </w:r>
      <w:r w:rsidR="00854980" w:rsidRPr="005824B7">
        <w:rPr>
          <w:rFonts w:ascii="Arial" w:hAnsi="Arial" w:cs="Arial"/>
          <w:lang w:val="en-ZA" w:eastAsia="en-ZA"/>
        </w:rPr>
        <w:t>37(1)</w:t>
      </w:r>
      <w:r w:rsidR="00854980" w:rsidRPr="005824B7">
        <w:rPr>
          <w:rFonts w:ascii="Arial" w:hAnsi="Arial" w:cs="Arial"/>
          <w:i/>
          <w:lang w:val="en-ZA" w:eastAsia="en-ZA"/>
        </w:rPr>
        <w:t>(b)</w:t>
      </w:r>
      <w:r w:rsidR="00854980" w:rsidRPr="005824B7">
        <w:rPr>
          <w:rFonts w:ascii="Arial" w:hAnsi="Arial" w:cs="Arial"/>
          <w:lang w:val="en-ZA" w:eastAsia="en-ZA"/>
        </w:rPr>
        <w:t>(ii) must be interpreted to include the power to withhold payment</w:t>
      </w:r>
      <w:r w:rsidR="00C20AC2" w:rsidRPr="005824B7">
        <w:rPr>
          <w:rFonts w:ascii="Arial" w:hAnsi="Arial" w:cs="Arial"/>
          <w:lang w:val="en-ZA" w:eastAsia="en-ZA"/>
        </w:rPr>
        <w:t xml:space="preserve"> </w:t>
      </w:r>
      <w:r w:rsidR="00854980" w:rsidRPr="005824B7">
        <w:rPr>
          <w:rFonts w:ascii="Arial" w:hAnsi="Arial" w:cs="Arial"/>
          <w:lang w:val="en-ZA" w:eastAsia="en-ZA"/>
        </w:rPr>
        <w:t>of a member’s pension benefits ‘pending the determination or acknowledgment of such member’s liability’</w:t>
      </w:r>
      <w:r w:rsidR="00D454D4" w:rsidRPr="005824B7">
        <w:rPr>
          <w:rFonts w:ascii="Arial" w:hAnsi="Arial" w:cs="Arial"/>
          <w:lang w:val="en-ZA" w:eastAsia="en-ZA"/>
        </w:rPr>
        <w:t>.</w:t>
      </w:r>
      <w:r w:rsidR="00881755" w:rsidRPr="005824B7">
        <w:rPr>
          <w:rFonts w:ascii="Arial" w:hAnsi="Arial" w:cs="Arial"/>
          <w:lang w:val="en-ZA" w:eastAsia="en-ZA"/>
        </w:rPr>
        <w:t xml:space="preserve"> </w:t>
      </w:r>
    </w:p>
    <w:p w14:paraId="53838805" w14:textId="77777777" w:rsidR="00854980" w:rsidRPr="005852C4" w:rsidRDefault="00854980" w:rsidP="007A79C3">
      <w:pPr>
        <w:widowControl w:val="0"/>
        <w:spacing w:line="360" w:lineRule="auto"/>
        <w:contextualSpacing/>
        <w:jc w:val="both"/>
        <w:rPr>
          <w:rFonts w:ascii="Arial" w:hAnsi="Arial" w:cs="Arial"/>
          <w:lang w:val="en-ZA" w:eastAsia="en-ZA"/>
        </w:rPr>
      </w:pPr>
    </w:p>
    <w:p w14:paraId="1B88640A" w14:textId="597AE2D2" w:rsidR="00854980" w:rsidRPr="005824B7" w:rsidRDefault="005824B7" w:rsidP="005824B7">
      <w:pPr>
        <w:widowControl w:val="0"/>
        <w:spacing w:line="360" w:lineRule="auto"/>
        <w:jc w:val="both"/>
        <w:rPr>
          <w:rFonts w:ascii="Arial" w:hAnsi="Arial" w:cs="Arial"/>
          <w:lang w:val="en-ZA" w:eastAsia="en-ZA"/>
        </w:rPr>
      </w:pPr>
      <w:r w:rsidRPr="007A79C3">
        <w:rPr>
          <w:rFonts w:ascii="Arial" w:hAnsi="Arial" w:cs="Arial"/>
          <w:lang w:val="en-ZA" w:eastAsia="en-ZA"/>
        </w:rPr>
        <w:t>[36]</w:t>
      </w:r>
      <w:r w:rsidRPr="007A79C3">
        <w:rPr>
          <w:rFonts w:ascii="Arial" w:hAnsi="Arial" w:cs="Arial"/>
          <w:lang w:val="en-ZA" w:eastAsia="en-ZA"/>
        </w:rPr>
        <w:tab/>
      </w:r>
      <w:r w:rsidR="00854980" w:rsidRPr="005824B7">
        <w:rPr>
          <w:rFonts w:ascii="Arial" w:hAnsi="Arial" w:cs="Arial"/>
          <w:lang w:val="en-ZA" w:eastAsia="en-ZA"/>
        </w:rPr>
        <w:t xml:space="preserve">The following passages from </w:t>
      </w:r>
      <w:r w:rsidR="00854980" w:rsidRPr="005824B7">
        <w:rPr>
          <w:rFonts w:ascii="Arial" w:hAnsi="Arial" w:cs="Arial"/>
          <w:i/>
          <w:iCs/>
          <w:lang w:val="en-ZA" w:eastAsia="en-ZA"/>
        </w:rPr>
        <w:t>Highveld</w:t>
      </w:r>
      <w:r w:rsidR="00854980" w:rsidRPr="005824B7">
        <w:rPr>
          <w:rFonts w:ascii="Arial" w:hAnsi="Arial" w:cs="Arial"/>
          <w:lang w:val="en-ZA" w:eastAsia="en-ZA"/>
        </w:rPr>
        <w:t xml:space="preserve"> are </w:t>
      </w:r>
      <w:r w:rsidR="00C20AC2" w:rsidRPr="005824B7">
        <w:rPr>
          <w:rFonts w:ascii="Arial" w:hAnsi="Arial" w:cs="Arial"/>
          <w:lang w:val="en-ZA" w:eastAsia="en-ZA"/>
        </w:rPr>
        <w:t>instructive</w:t>
      </w:r>
      <w:r w:rsidR="00854980" w:rsidRPr="005824B7">
        <w:rPr>
          <w:rFonts w:ascii="Arial" w:hAnsi="Arial" w:cs="Arial"/>
          <w:lang w:val="en-ZA" w:eastAsia="en-ZA"/>
        </w:rPr>
        <w:t>:</w:t>
      </w:r>
    </w:p>
    <w:p w14:paraId="28DC3EF2" w14:textId="549FC586" w:rsidR="00141471" w:rsidRPr="00337763" w:rsidRDefault="00141471" w:rsidP="00141471">
      <w:pPr>
        <w:spacing w:line="360" w:lineRule="auto"/>
        <w:contextualSpacing/>
        <w:jc w:val="both"/>
        <w:rPr>
          <w:rFonts w:ascii="Arial" w:hAnsi="Arial" w:cs="Arial"/>
          <w:color w:val="000000"/>
          <w:sz w:val="22"/>
          <w:szCs w:val="22"/>
        </w:rPr>
      </w:pPr>
      <w:r>
        <w:rPr>
          <w:rFonts w:ascii="Arial" w:hAnsi="Arial" w:cs="Arial"/>
          <w:color w:val="000000"/>
          <w:sz w:val="22"/>
          <w:szCs w:val="22"/>
        </w:rPr>
        <w:t>‘</w:t>
      </w:r>
      <w:r w:rsidRPr="00337763">
        <w:rPr>
          <w:rFonts w:ascii="Arial" w:hAnsi="Arial" w:cs="Arial"/>
          <w:color w:val="000000"/>
          <w:sz w:val="22"/>
          <w:szCs w:val="22"/>
        </w:rPr>
        <w:t>[16] It has been stated in a number of cases that the object of s 37D(1)</w:t>
      </w:r>
      <w:r w:rsidRPr="00337763">
        <w:rPr>
          <w:rFonts w:ascii="Arial" w:hAnsi="Arial" w:cs="Arial"/>
          <w:i/>
          <w:iCs/>
          <w:color w:val="000000"/>
          <w:sz w:val="22"/>
          <w:szCs w:val="22"/>
        </w:rPr>
        <w:t>(b)</w:t>
      </w:r>
      <w:r w:rsidRPr="00337763">
        <w:rPr>
          <w:rFonts w:ascii="Arial" w:hAnsi="Arial" w:cs="Arial"/>
          <w:color w:val="000000"/>
          <w:sz w:val="22"/>
          <w:szCs w:val="22"/>
        </w:rPr>
        <w:t> is to protect the employer's right to pursue the recovery of money misappropriated by its employees.</w:t>
      </w:r>
      <w:bookmarkStart w:id="1" w:name="0-0-0-323731"/>
      <w:bookmarkEnd w:id="1"/>
      <w:r w:rsidRPr="00337763">
        <w:rPr>
          <w:rFonts w:ascii="Arial" w:hAnsi="Arial" w:cs="Arial"/>
          <w:color w:val="000000"/>
          <w:sz w:val="22"/>
          <w:szCs w:val="22"/>
        </w:rPr>
        <w:t xml:space="preserve"> This approach is, in my view, supported by the plain wording of the section and is, with respect, correct.</w:t>
      </w:r>
    </w:p>
    <w:p w14:paraId="246782B6" w14:textId="77777777" w:rsidR="00141471" w:rsidRPr="00337763" w:rsidRDefault="00141471" w:rsidP="00141471">
      <w:pPr>
        <w:spacing w:line="360" w:lineRule="auto"/>
        <w:contextualSpacing/>
        <w:jc w:val="both"/>
        <w:rPr>
          <w:rFonts w:ascii="Arial" w:hAnsi="Arial" w:cs="Arial"/>
          <w:color w:val="000000"/>
          <w:sz w:val="22"/>
          <w:szCs w:val="22"/>
        </w:rPr>
      </w:pPr>
      <w:r w:rsidRPr="00337763">
        <w:rPr>
          <w:rFonts w:ascii="Arial" w:hAnsi="Arial" w:cs="Arial"/>
          <w:color w:val="000000"/>
          <w:sz w:val="22"/>
          <w:szCs w:val="22"/>
        </w:rPr>
        <w:t>[17] However, a practical problem threatens the efficacy of the remedy afforded by the section. In many a case employers only suspect dishonesty on the date of termination of an employee's service and fund membership with the consequence that pension benefits are paid before the suspected dishonesty can be properly investigated. Furthermore, it has to be accepted as a matter of logic that it is only in a few cases that an employer will have obtained a judgment against its employee by the time the latter's employment is terminated because of the lengthy delays in finalising cases in the justice system. The result, therefore, is that an employer will find it difficult to enforce an award made in its favour by the time judgment is obtained against him.</w:t>
      </w:r>
    </w:p>
    <w:p w14:paraId="320E4DD2" w14:textId="53F52711" w:rsidR="00141471" w:rsidRPr="00337763" w:rsidRDefault="00141471" w:rsidP="00141471">
      <w:pPr>
        <w:spacing w:line="360" w:lineRule="auto"/>
        <w:contextualSpacing/>
        <w:jc w:val="both"/>
        <w:rPr>
          <w:rFonts w:ascii="Arial" w:hAnsi="Arial" w:cs="Arial"/>
          <w:color w:val="000000"/>
          <w:sz w:val="22"/>
          <w:szCs w:val="22"/>
        </w:rPr>
      </w:pPr>
      <w:r w:rsidRPr="00337763">
        <w:rPr>
          <w:rFonts w:ascii="Arial" w:hAnsi="Arial" w:cs="Arial"/>
          <w:color w:val="000000"/>
          <w:sz w:val="22"/>
          <w:szCs w:val="22"/>
        </w:rPr>
        <w:t>[18] These practicalities lead me to disagree with the submissions for the respondent, inter alia, that the tense used by the legislature in s 37D(1)</w:t>
      </w:r>
      <w:r w:rsidRPr="00337763">
        <w:rPr>
          <w:rFonts w:ascii="Arial" w:hAnsi="Arial" w:cs="Arial"/>
          <w:i/>
          <w:iCs/>
          <w:color w:val="000000"/>
          <w:sz w:val="22"/>
          <w:szCs w:val="22"/>
        </w:rPr>
        <w:t>(b)</w:t>
      </w:r>
      <w:r w:rsidRPr="00337763">
        <w:rPr>
          <w:rFonts w:ascii="Arial" w:hAnsi="Arial" w:cs="Arial"/>
          <w:color w:val="000000"/>
          <w:sz w:val="22"/>
          <w:szCs w:val="22"/>
        </w:rPr>
        <w:t>(ii)</w:t>
      </w:r>
      <w:r w:rsidRPr="00337763">
        <w:rPr>
          <w:rFonts w:ascii="Arial" w:hAnsi="Arial" w:cs="Arial"/>
          <w:i/>
          <w:iCs/>
          <w:color w:val="000000"/>
          <w:sz w:val="22"/>
          <w:szCs w:val="22"/>
        </w:rPr>
        <w:t>(aa)</w:t>
      </w:r>
      <w:r w:rsidRPr="00337763">
        <w:rPr>
          <w:rFonts w:ascii="Arial" w:hAnsi="Arial" w:cs="Arial"/>
          <w:color w:val="000000"/>
          <w:sz w:val="22"/>
          <w:szCs w:val="22"/>
        </w:rPr>
        <w:t> and </w:t>
      </w:r>
      <w:r w:rsidRPr="00337763">
        <w:rPr>
          <w:rFonts w:ascii="Arial" w:hAnsi="Arial" w:cs="Arial"/>
          <w:i/>
          <w:iCs/>
          <w:color w:val="000000"/>
          <w:sz w:val="22"/>
          <w:szCs w:val="22"/>
        </w:rPr>
        <w:t>(bb)</w:t>
      </w:r>
      <w:r w:rsidRPr="00337763">
        <w:rPr>
          <w:rFonts w:ascii="Arial" w:hAnsi="Arial" w:cs="Arial"/>
          <w:color w:val="000000"/>
          <w:sz w:val="22"/>
          <w:szCs w:val="22"/>
        </w:rPr>
        <w:t>, in the words '</w:t>
      </w:r>
      <w:r w:rsidRPr="00337763">
        <w:rPr>
          <w:rFonts w:ascii="Arial" w:hAnsi="Arial" w:cs="Arial"/>
          <w:i/>
          <w:iCs/>
          <w:color w:val="000000"/>
          <w:sz w:val="22"/>
          <w:szCs w:val="22"/>
        </w:rPr>
        <w:t>has</w:t>
      </w:r>
      <w:r w:rsidRPr="00337763">
        <w:rPr>
          <w:rFonts w:ascii="Arial" w:hAnsi="Arial" w:cs="Arial"/>
          <w:color w:val="000000"/>
          <w:sz w:val="22"/>
          <w:szCs w:val="22"/>
        </w:rPr>
        <w:t> in writing </w:t>
      </w:r>
      <w:r w:rsidRPr="00337763">
        <w:rPr>
          <w:rFonts w:ascii="Arial" w:hAnsi="Arial" w:cs="Arial"/>
          <w:i/>
          <w:iCs/>
          <w:color w:val="000000"/>
          <w:sz w:val="22"/>
          <w:szCs w:val="22"/>
        </w:rPr>
        <w:t>admitted</w:t>
      </w:r>
      <w:r w:rsidRPr="00337763">
        <w:rPr>
          <w:rFonts w:ascii="Arial" w:hAnsi="Arial" w:cs="Arial"/>
          <w:color w:val="000000"/>
          <w:sz w:val="22"/>
          <w:szCs w:val="22"/>
        </w:rPr>
        <w:t> liability' and 'judgment </w:t>
      </w:r>
      <w:r w:rsidRPr="00337763">
        <w:rPr>
          <w:rFonts w:ascii="Arial" w:hAnsi="Arial" w:cs="Arial"/>
          <w:i/>
          <w:iCs/>
          <w:color w:val="000000"/>
          <w:sz w:val="22"/>
          <w:szCs w:val="22"/>
        </w:rPr>
        <w:t>has been obtained</w:t>
      </w:r>
      <w:r w:rsidRPr="00337763">
        <w:rPr>
          <w:rFonts w:ascii="Arial" w:hAnsi="Arial" w:cs="Arial"/>
          <w:color w:val="000000"/>
          <w:sz w:val="22"/>
          <w:szCs w:val="22"/>
        </w:rPr>
        <w:t>' reflects an intention that either proof of liability must be available on</w:t>
      </w:r>
      <w:r w:rsidRPr="00141471">
        <w:rPr>
          <w:rFonts w:ascii="Arial" w:hAnsi="Arial" w:cs="Arial"/>
          <w:color w:val="000000"/>
          <w:sz w:val="22"/>
          <w:szCs w:val="22"/>
        </w:rPr>
        <w:t xml:space="preserve"> termination of the employment </w:t>
      </w:r>
      <w:r w:rsidRPr="00337763">
        <w:rPr>
          <w:rFonts w:ascii="Arial" w:hAnsi="Arial" w:cs="Arial"/>
          <w:color w:val="000000"/>
          <w:sz w:val="22"/>
          <w:szCs w:val="22"/>
        </w:rPr>
        <w:t>contract. I similarly have a difficulty with the contention that the words</w:t>
      </w:r>
      <w:r w:rsidR="00071642">
        <w:rPr>
          <w:rFonts w:ascii="Arial" w:hAnsi="Arial" w:cs="Arial"/>
          <w:color w:val="000000"/>
          <w:sz w:val="22"/>
          <w:szCs w:val="22"/>
        </w:rPr>
        <w:t xml:space="preserve"> </w:t>
      </w:r>
      <w:r w:rsidRPr="00337763">
        <w:rPr>
          <w:rFonts w:ascii="Arial" w:hAnsi="Arial" w:cs="Arial"/>
          <w:color w:val="000000"/>
          <w:sz w:val="22"/>
          <w:szCs w:val="22"/>
        </w:rPr>
        <w:t>'as soon as possible' in rule 7.3 require payment of the pension benefits to be effected immediately upon termination of an employee's service.</w:t>
      </w:r>
    </w:p>
    <w:p w14:paraId="6FF57DC6" w14:textId="213AA619" w:rsidR="00DA1F4E" w:rsidRPr="00141471" w:rsidRDefault="00141471" w:rsidP="00141471">
      <w:pPr>
        <w:spacing w:line="360" w:lineRule="auto"/>
        <w:contextualSpacing/>
        <w:jc w:val="both"/>
        <w:rPr>
          <w:rFonts w:ascii="Arial" w:hAnsi="Arial" w:cs="Arial"/>
          <w:sz w:val="22"/>
          <w:szCs w:val="22"/>
          <w:lang w:val="en-ZA" w:eastAsia="en-ZA"/>
        </w:rPr>
      </w:pPr>
      <w:r w:rsidRPr="00337763">
        <w:rPr>
          <w:rFonts w:ascii="Arial" w:hAnsi="Arial" w:cs="Arial"/>
          <w:color w:val="000000"/>
          <w:sz w:val="22"/>
          <w:szCs w:val="22"/>
        </w:rPr>
        <w:t xml:space="preserve">[19] Such an interpretation would render </w:t>
      </w:r>
      <w:r w:rsidRPr="00141471">
        <w:rPr>
          <w:rFonts w:ascii="Arial" w:hAnsi="Arial" w:cs="Arial"/>
          <w:color w:val="000000"/>
          <w:sz w:val="22"/>
          <w:szCs w:val="22"/>
        </w:rPr>
        <w:t>the protection afforded to the </w:t>
      </w:r>
      <w:r w:rsidRPr="00337763">
        <w:rPr>
          <w:rFonts w:ascii="Arial" w:hAnsi="Arial" w:cs="Arial"/>
          <w:color w:val="000000"/>
          <w:sz w:val="22"/>
          <w:szCs w:val="22"/>
        </w:rPr>
        <w:t>employer by s</w:t>
      </w:r>
      <w:r w:rsidR="00071642">
        <w:rPr>
          <w:rFonts w:ascii="Arial" w:hAnsi="Arial" w:cs="Arial"/>
          <w:color w:val="000000"/>
          <w:sz w:val="22"/>
          <w:szCs w:val="22"/>
        </w:rPr>
        <w:t> </w:t>
      </w:r>
      <w:r w:rsidRPr="00337763">
        <w:rPr>
          <w:rFonts w:ascii="Arial" w:hAnsi="Arial" w:cs="Arial"/>
          <w:color w:val="000000"/>
          <w:sz w:val="22"/>
          <w:szCs w:val="22"/>
        </w:rPr>
        <w:t>37D(1)</w:t>
      </w:r>
      <w:r w:rsidRPr="00337763">
        <w:rPr>
          <w:rFonts w:ascii="Arial" w:hAnsi="Arial" w:cs="Arial"/>
          <w:i/>
          <w:iCs/>
          <w:color w:val="000000"/>
          <w:sz w:val="22"/>
          <w:szCs w:val="22"/>
        </w:rPr>
        <w:t>(b)</w:t>
      </w:r>
      <w:r w:rsidRPr="00337763">
        <w:rPr>
          <w:rFonts w:ascii="Arial" w:hAnsi="Arial" w:cs="Arial"/>
          <w:color w:val="000000"/>
          <w:sz w:val="22"/>
          <w:szCs w:val="22"/>
        </w:rPr>
        <w:t> meaningless, a result which plainly cannot have been intended by the legislature. It seems to me that to give effect to the manifest purpose of the section, its wording must be interpreted purposively to include the power to withhold payment of a member's pension benefits pending the determination or acknowledgment of such member's liability.</w:t>
      </w:r>
      <w:bookmarkStart w:id="2" w:name="0-0-0-323735"/>
      <w:bookmarkEnd w:id="2"/>
      <w:r w:rsidRPr="00337763">
        <w:rPr>
          <w:rFonts w:ascii="Arial" w:hAnsi="Arial" w:cs="Arial"/>
          <w:color w:val="000000"/>
          <w:sz w:val="22"/>
          <w:szCs w:val="22"/>
        </w:rPr>
        <w:t xml:space="preserve"> The Funds therefore had the discretion to withhold</w:t>
      </w:r>
      <w:r w:rsidRPr="00141471">
        <w:rPr>
          <w:rFonts w:ascii="Arial" w:hAnsi="Arial" w:cs="Arial"/>
          <w:color w:val="000000"/>
          <w:sz w:val="22"/>
          <w:szCs w:val="22"/>
        </w:rPr>
        <w:t xml:space="preserve"> </w:t>
      </w:r>
      <w:r w:rsidRPr="00337763">
        <w:rPr>
          <w:rFonts w:ascii="Arial" w:hAnsi="Arial" w:cs="Arial"/>
          <w:color w:val="000000"/>
          <w:sz w:val="22"/>
          <w:szCs w:val="22"/>
        </w:rPr>
        <w:t xml:space="preserve">payment of the respondent's pension benefit in the circumstances. I dare say that such discretion was properly exercised in view of the glaring </w:t>
      </w:r>
      <w:r w:rsidRPr="00337763">
        <w:rPr>
          <w:rFonts w:ascii="Arial" w:hAnsi="Arial" w:cs="Arial"/>
          <w:color w:val="000000"/>
          <w:sz w:val="22"/>
          <w:szCs w:val="22"/>
        </w:rPr>
        <w:lastRenderedPageBreak/>
        <w:t>absence of any serious challenge to the appellant's detailed allegations of di</w:t>
      </w:r>
      <w:r w:rsidRPr="00141471">
        <w:rPr>
          <w:rFonts w:ascii="Arial" w:hAnsi="Arial" w:cs="Arial"/>
          <w:color w:val="000000"/>
          <w:sz w:val="22"/>
          <w:szCs w:val="22"/>
        </w:rPr>
        <w:t>shonesty against the respondent.’</w:t>
      </w:r>
      <w:r w:rsidR="00A170DE" w:rsidRPr="00141471">
        <w:rPr>
          <w:rStyle w:val="FootnoteReference"/>
          <w:rFonts w:ascii="Arial" w:hAnsi="Arial" w:cs="Arial"/>
          <w:sz w:val="22"/>
          <w:szCs w:val="22"/>
          <w:lang w:val="en-ZA" w:eastAsia="en-ZA"/>
        </w:rPr>
        <w:footnoteReference w:id="2"/>
      </w:r>
      <w:r w:rsidR="00071642">
        <w:rPr>
          <w:rFonts w:ascii="Arial" w:hAnsi="Arial" w:cs="Arial"/>
          <w:color w:val="000000"/>
          <w:sz w:val="22"/>
          <w:szCs w:val="22"/>
        </w:rPr>
        <w:t xml:space="preserve"> (Footnotes omitted.)</w:t>
      </w:r>
      <w:r w:rsidR="00DA1F4E" w:rsidRPr="00141471">
        <w:rPr>
          <w:rFonts w:ascii="Arial" w:hAnsi="Arial" w:cs="Arial"/>
          <w:sz w:val="22"/>
          <w:szCs w:val="22"/>
          <w:lang w:val="en-ZA" w:eastAsia="en-ZA"/>
        </w:rPr>
        <w:t xml:space="preserve"> </w:t>
      </w:r>
    </w:p>
    <w:p w14:paraId="52BCE4E1" w14:textId="77777777" w:rsidR="00973E0F" w:rsidRPr="005852C4" w:rsidRDefault="00973E0F" w:rsidP="007A79C3">
      <w:pPr>
        <w:widowControl w:val="0"/>
        <w:spacing w:line="360" w:lineRule="auto"/>
        <w:contextualSpacing/>
        <w:jc w:val="both"/>
        <w:rPr>
          <w:rFonts w:ascii="Arial" w:hAnsi="Arial" w:cs="Arial"/>
          <w:lang w:val="en-ZA" w:eastAsia="en-ZA"/>
        </w:rPr>
      </w:pPr>
    </w:p>
    <w:p w14:paraId="6505CF13" w14:textId="3222EBE0" w:rsidR="00854980" w:rsidRPr="005824B7" w:rsidRDefault="005824B7" w:rsidP="005824B7">
      <w:pPr>
        <w:widowControl w:val="0"/>
        <w:spacing w:line="360" w:lineRule="auto"/>
        <w:jc w:val="both"/>
        <w:rPr>
          <w:rFonts w:ascii="Arial" w:hAnsi="Arial" w:cs="Arial"/>
          <w:lang w:val="en-ZA" w:eastAsia="en-ZA"/>
        </w:rPr>
      </w:pPr>
      <w:r w:rsidRPr="007A79C3">
        <w:rPr>
          <w:rFonts w:ascii="Arial" w:hAnsi="Arial" w:cs="Arial"/>
          <w:lang w:val="en-ZA" w:eastAsia="en-ZA"/>
        </w:rPr>
        <w:t>[37]</w:t>
      </w:r>
      <w:r w:rsidRPr="007A79C3">
        <w:rPr>
          <w:rFonts w:ascii="Arial" w:hAnsi="Arial" w:cs="Arial"/>
          <w:lang w:val="en-ZA" w:eastAsia="en-ZA"/>
        </w:rPr>
        <w:tab/>
      </w:r>
      <w:r w:rsidR="005E03CE" w:rsidRPr="005824B7">
        <w:rPr>
          <w:rFonts w:ascii="Arial" w:hAnsi="Arial" w:cs="Arial"/>
          <w:lang w:val="en-ZA" w:eastAsia="en-ZA"/>
        </w:rPr>
        <w:t>The appellant</w:t>
      </w:r>
      <w:r w:rsidR="00854980" w:rsidRPr="005824B7">
        <w:rPr>
          <w:rFonts w:ascii="Arial" w:hAnsi="Arial" w:cs="Arial"/>
          <w:lang w:val="en-ZA" w:eastAsia="en-ZA"/>
        </w:rPr>
        <w:t xml:space="preserve"> relies on the interpretation of s</w:t>
      </w:r>
      <w:r w:rsidR="006106C5" w:rsidRPr="005824B7">
        <w:rPr>
          <w:rFonts w:ascii="Arial" w:hAnsi="Arial" w:cs="Arial"/>
          <w:lang w:val="en-ZA" w:eastAsia="en-ZA"/>
        </w:rPr>
        <w:t xml:space="preserve"> </w:t>
      </w:r>
      <w:r w:rsidR="006106C5" w:rsidRPr="005824B7">
        <w:rPr>
          <w:rFonts w:ascii="Arial" w:hAnsi="Arial" w:cs="Arial"/>
          <w:color w:val="000000"/>
          <w:szCs w:val="22"/>
        </w:rPr>
        <w:t>37D(1)</w:t>
      </w:r>
      <w:r w:rsidR="006106C5" w:rsidRPr="005824B7">
        <w:rPr>
          <w:rFonts w:ascii="Arial" w:hAnsi="Arial" w:cs="Arial"/>
          <w:i/>
          <w:iCs/>
          <w:color w:val="000000"/>
          <w:szCs w:val="22"/>
        </w:rPr>
        <w:t>(b)</w:t>
      </w:r>
      <w:r w:rsidR="006106C5" w:rsidRPr="005824B7">
        <w:rPr>
          <w:rFonts w:ascii="Arial" w:hAnsi="Arial" w:cs="Arial"/>
          <w:color w:val="000000"/>
          <w:szCs w:val="22"/>
        </w:rPr>
        <w:t> </w:t>
      </w:r>
      <w:r w:rsidR="00854980" w:rsidRPr="005824B7">
        <w:rPr>
          <w:rFonts w:ascii="Arial" w:hAnsi="Arial" w:cs="Arial"/>
          <w:lang w:val="en-ZA" w:eastAsia="en-ZA"/>
        </w:rPr>
        <w:t xml:space="preserve">in </w:t>
      </w:r>
      <w:r w:rsidR="00854980" w:rsidRPr="005824B7">
        <w:rPr>
          <w:rFonts w:ascii="Arial" w:hAnsi="Arial" w:cs="Arial"/>
          <w:i/>
          <w:lang w:val="en-ZA" w:eastAsia="en-ZA"/>
        </w:rPr>
        <w:t>Highveld</w:t>
      </w:r>
      <w:r w:rsidR="00854980" w:rsidRPr="005824B7">
        <w:rPr>
          <w:rFonts w:ascii="Arial" w:hAnsi="Arial" w:cs="Arial"/>
          <w:lang w:val="en-ZA" w:eastAsia="en-ZA"/>
        </w:rPr>
        <w:t xml:space="preserve"> for its case that Ms Mayola’s pension benefits be withheld by the pension fund</w:t>
      </w:r>
      <w:r w:rsidR="005E03CE" w:rsidRPr="005824B7">
        <w:rPr>
          <w:rFonts w:ascii="Arial" w:hAnsi="Arial" w:cs="Arial"/>
          <w:lang w:val="en-ZA" w:eastAsia="en-ZA"/>
        </w:rPr>
        <w:t xml:space="preserve">. Interestingly, </w:t>
      </w:r>
      <w:r w:rsidR="00854980" w:rsidRPr="005824B7">
        <w:rPr>
          <w:rFonts w:ascii="Arial" w:hAnsi="Arial" w:cs="Arial"/>
          <w:lang w:val="en-ZA" w:eastAsia="en-ZA"/>
        </w:rPr>
        <w:t xml:space="preserve">in the email dated 29 August 2019 the pension fund itself cited </w:t>
      </w:r>
      <w:r w:rsidR="00854980" w:rsidRPr="005824B7">
        <w:rPr>
          <w:rFonts w:ascii="Arial" w:hAnsi="Arial" w:cs="Arial"/>
          <w:i/>
          <w:lang w:val="en-ZA" w:eastAsia="en-ZA"/>
        </w:rPr>
        <w:t>Highveld</w:t>
      </w:r>
      <w:r w:rsidR="00854980" w:rsidRPr="005824B7">
        <w:rPr>
          <w:rFonts w:ascii="Arial" w:hAnsi="Arial" w:cs="Arial"/>
          <w:lang w:val="en-ZA" w:eastAsia="en-ZA"/>
        </w:rPr>
        <w:t xml:space="preserve"> as the basis for its decision.</w:t>
      </w:r>
    </w:p>
    <w:p w14:paraId="6417A59A" w14:textId="7A38E154" w:rsidR="005E03CE" w:rsidRPr="005852C4" w:rsidRDefault="005E03CE" w:rsidP="007A79C3">
      <w:pPr>
        <w:widowControl w:val="0"/>
        <w:spacing w:line="360" w:lineRule="auto"/>
        <w:contextualSpacing/>
        <w:jc w:val="both"/>
        <w:rPr>
          <w:rFonts w:ascii="Arial" w:hAnsi="Arial" w:cs="Arial"/>
          <w:lang w:val="en-ZA" w:eastAsia="en-ZA"/>
        </w:rPr>
      </w:pPr>
    </w:p>
    <w:p w14:paraId="3A31E7F4" w14:textId="31E439A9" w:rsidR="005E03CE" w:rsidRPr="005824B7" w:rsidRDefault="005824B7" w:rsidP="005824B7">
      <w:pPr>
        <w:widowControl w:val="0"/>
        <w:spacing w:line="360" w:lineRule="auto"/>
        <w:jc w:val="both"/>
        <w:rPr>
          <w:rFonts w:ascii="Arial" w:hAnsi="Arial" w:cs="Arial"/>
          <w:lang w:val="en-ZA" w:eastAsia="en-ZA"/>
        </w:rPr>
      </w:pPr>
      <w:r w:rsidRPr="007A79C3">
        <w:rPr>
          <w:rFonts w:ascii="Arial" w:hAnsi="Arial" w:cs="Arial"/>
          <w:lang w:val="en-ZA" w:eastAsia="en-ZA"/>
        </w:rPr>
        <w:t>[38]</w:t>
      </w:r>
      <w:r w:rsidRPr="007A79C3">
        <w:rPr>
          <w:rFonts w:ascii="Arial" w:hAnsi="Arial" w:cs="Arial"/>
          <w:lang w:val="en-ZA" w:eastAsia="en-ZA"/>
        </w:rPr>
        <w:tab/>
      </w:r>
      <w:r w:rsidR="005E03CE" w:rsidRPr="005824B7">
        <w:rPr>
          <w:rFonts w:ascii="Arial" w:hAnsi="Arial" w:cs="Arial"/>
          <w:lang w:val="en-ZA" w:eastAsia="en-ZA"/>
        </w:rPr>
        <w:t xml:space="preserve">At the commencement of the hearing of the appeal we enquired from counsel for the appellant, Mr Wallis SC, why the interdictory relief </w:t>
      </w:r>
      <w:r w:rsidR="006106C5" w:rsidRPr="005824B7">
        <w:rPr>
          <w:rFonts w:ascii="Arial" w:hAnsi="Arial" w:cs="Arial"/>
          <w:lang w:val="en-ZA" w:eastAsia="en-ZA"/>
        </w:rPr>
        <w:t xml:space="preserve">neither </w:t>
      </w:r>
      <w:r w:rsidR="005E03CE" w:rsidRPr="005824B7">
        <w:rPr>
          <w:rFonts w:ascii="Arial" w:hAnsi="Arial" w:cs="Arial"/>
          <w:lang w:val="en-ZA" w:eastAsia="en-ZA"/>
        </w:rPr>
        <w:t xml:space="preserve">features in the judgment nor in the heads of argument filed by the parties in this appeal, but remains included in the draft order attached to the heads of argument filed for </w:t>
      </w:r>
      <w:r w:rsidR="00AB7350" w:rsidRPr="005824B7">
        <w:rPr>
          <w:rFonts w:ascii="Arial" w:hAnsi="Arial" w:cs="Arial"/>
          <w:lang w:val="en-ZA" w:eastAsia="en-ZA"/>
        </w:rPr>
        <w:t>the appellant</w:t>
      </w:r>
      <w:r w:rsidR="005E03CE" w:rsidRPr="005824B7">
        <w:rPr>
          <w:rFonts w:ascii="Arial" w:hAnsi="Arial" w:cs="Arial"/>
          <w:lang w:val="en-ZA" w:eastAsia="en-ZA"/>
        </w:rPr>
        <w:t xml:space="preserve"> in this appeal.</w:t>
      </w:r>
      <w:r w:rsidR="00881755" w:rsidRPr="005824B7">
        <w:rPr>
          <w:rFonts w:ascii="Arial" w:hAnsi="Arial" w:cs="Arial"/>
          <w:lang w:val="en-ZA" w:eastAsia="en-ZA"/>
        </w:rPr>
        <w:t xml:space="preserve"> </w:t>
      </w:r>
      <w:r w:rsidR="005E03CE" w:rsidRPr="005824B7">
        <w:rPr>
          <w:rFonts w:ascii="Arial" w:hAnsi="Arial" w:cs="Arial"/>
          <w:lang w:val="en-ZA" w:eastAsia="en-ZA"/>
        </w:rPr>
        <w:t xml:space="preserve">Mr Wallis explained that at the hearing in the court </w:t>
      </w:r>
      <w:r w:rsidR="005E03CE" w:rsidRPr="005824B7">
        <w:rPr>
          <w:rFonts w:ascii="Arial" w:hAnsi="Arial" w:cs="Arial"/>
          <w:i/>
          <w:iCs/>
          <w:lang w:val="en-ZA" w:eastAsia="en-ZA"/>
        </w:rPr>
        <w:t>a quo</w:t>
      </w:r>
      <w:r w:rsidR="006106C5" w:rsidRPr="005824B7">
        <w:rPr>
          <w:rFonts w:ascii="Arial" w:hAnsi="Arial" w:cs="Arial"/>
          <w:i/>
          <w:iCs/>
          <w:lang w:val="en-ZA" w:eastAsia="en-ZA"/>
        </w:rPr>
        <w:t>,</w:t>
      </w:r>
      <w:r w:rsidR="005E03CE" w:rsidRPr="005824B7">
        <w:rPr>
          <w:rFonts w:ascii="Arial" w:hAnsi="Arial" w:cs="Arial"/>
          <w:lang w:val="en-ZA" w:eastAsia="en-ZA"/>
        </w:rPr>
        <w:t xml:space="preserve"> </w:t>
      </w:r>
      <w:r w:rsidR="00AB7350" w:rsidRPr="005824B7">
        <w:rPr>
          <w:rFonts w:ascii="Arial" w:hAnsi="Arial" w:cs="Arial"/>
          <w:lang w:val="en-ZA" w:eastAsia="en-ZA"/>
        </w:rPr>
        <w:t>the appellant</w:t>
      </w:r>
      <w:r w:rsidR="005E03CE" w:rsidRPr="005824B7">
        <w:rPr>
          <w:rFonts w:ascii="Arial" w:hAnsi="Arial" w:cs="Arial"/>
          <w:lang w:val="en-ZA" w:eastAsia="en-ZA"/>
        </w:rPr>
        <w:t xml:space="preserve"> abandoned the relief for the interdict and in this </w:t>
      </w:r>
      <w:r w:rsidR="00AB7350" w:rsidRPr="005824B7">
        <w:rPr>
          <w:rFonts w:ascii="Arial" w:hAnsi="Arial" w:cs="Arial"/>
          <w:lang w:val="en-ZA" w:eastAsia="en-ZA"/>
        </w:rPr>
        <w:t>court,</w:t>
      </w:r>
      <w:r w:rsidR="005E03CE" w:rsidRPr="005824B7">
        <w:rPr>
          <w:rFonts w:ascii="Arial" w:hAnsi="Arial" w:cs="Arial"/>
          <w:lang w:val="en-ZA" w:eastAsia="en-ZA"/>
        </w:rPr>
        <w:t xml:space="preserve"> it only seeks the relief in paragraphs 2, 3 and 4 of the draft order.</w:t>
      </w:r>
      <w:r w:rsidR="00881755" w:rsidRPr="005824B7">
        <w:rPr>
          <w:rFonts w:ascii="Arial" w:hAnsi="Arial" w:cs="Arial"/>
          <w:lang w:val="en-ZA" w:eastAsia="en-ZA"/>
        </w:rPr>
        <w:t xml:space="preserve"> </w:t>
      </w:r>
      <w:r w:rsidR="005E03CE" w:rsidRPr="005824B7">
        <w:rPr>
          <w:rFonts w:ascii="Arial" w:hAnsi="Arial" w:cs="Arial"/>
          <w:lang w:val="en-ZA" w:eastAsia="en-ZA"/>
        </w:rPr>
        <w:t>Counsel for Ms Mayola, Mr Gumbi, agreed with this explanation.</w:t>
      </w:r>
      <w:r w:rsidR="00881755" w:rsidRPr="005824B7">
        <w:rPr>
          <w:rFonts w:ascii="Arial" w:hAnsi="Arial" w:cs="Arial"/>
          <w:lang w:val="en-ZA" w:eastAsia="en-ZA"/>
        </w:rPr>
        <w:t xml:space="preserve"> </w:t>
      </w:r>
    </w:p>
    <w:p w14:paraId="279C4D50" w14:textId="2317ED67" w:rsidR="005E03CE" w:rsidRPr="005852C4" w:rsidRDefault="005E03CE" w:rsidP="007A79C3">
      <w:pPr>
        <w:widowControl w:val="0"/>
        <w:spacing w:line="360" w:lineRule="auto"/>
        <w:contextualSpacing/>
        <w:jc w:val="both"/>
        <w:rPr>
          <w:rFonts w:ascii="Arial" w:hAnsi="Arial" w:cs="Arial"/>
          <w:lang w:val="en-ZA" w:eastAsia="en-ZA"/>
        </w:rPr>
      </w:pPr>
    </w:p>
    <w:p w14:paraId="67FB51D8" w14:textId="6A651702" w:rsidR="00C20AC2" w:rsidRPr="00796DB4" w:rsidRDefault="00C20AC2" w:rsidP="003F0945">
      <w:pPr>
        <w:pStyle w:val="ListParagraph"/>
        <w:widowControl w:val="0"/>
        <w:spacing w:line="360" w:lineRule="auto"/>
        <w:ind w:left="0"/>
        <w:jc w:val="both"/>
        <w:rPr>
          <w:rFonts w:ascii="Arial" w:hAnsi="Arial" w:cs="Arial"/>
          <w:b/>
          <w:lang w:val="en-ZA" w:eastAsia="en-ZA"/>
        </w:rPr>
      </w:pPr>
      <w:r w:rsidRPr="00796DB4">
        <w:rPr>
          <w:rFonts w:ascii="Arial" w:hAnsi="Arial" w:cs="Arial"/>
          <w:b/>
          <w:lang w:val="en-ZA" w:eastAsia="en-ZA"/>
        </w:rPr>
        <w:t xml:space="preserve">Analysis and </w:t>
      </w:r>
      <w:r w:rsidR="00796DB4" w:rsidRPr="00796DB4">
        <w:rPr>
          <w:rFonts w:ascii="Arial" w:hAnsi="Arial" w:cs="Arial"/>
          <w:b/>
          <w:lang w:val="en-ZA" w:eastAsia="en-ZA"/>
        </w:rPr>
        <w:t>findings</w:t>
      </w:r>
    </w:p>
    <w:p w14:paraId="324ECF74" w14:textId="27165DBB" w:rsidR="005E03CE" w:rsidRPr="005824B7" w:rsidRDefault="005824B7" w:rsidP="005824B7">
      <w:pPr>
        <w:widowControl w:val="0"/>
        <w:spacing w:line="360" w:lineRule="auto"/>
        <w:jc w:val="both"/>
        <w:rPr>
          <w:rFonts w:ascii="Arial" w:hAnsi="Arial" w:cs="Arial"/>
          <w:lang w:val="en-ZA" w:eastAsia="en-ZA"/>
        </w:rPr>
      </w:pPr>
      <w:r w:rsidRPr="007A79C3">
        <w:rPr>
          <w:rFonts w:ascii="Arial" w:hAnsi="Arial" w:cs="Arial"/>
          <w:lang w:val="en-ZA" w:eastAsia="en-ZA"/>
        </w:rPr>
        <w:t>[39]</w:t>
      </w:r>
      <w:r w:rsidRPr="007A79C3">
        <w:rPr>
          <w:rFonts w:ascii="Arial" w:hAnsi="Arial" w:cs="Arial"/>
          <w:lang w:val="en-ZA" w:eastAsia="en-ZA"/>
        </w:rPr>
        <w:tab/>
      </w:r>
      <w:r w:rsidR="005E03CE" w:rsidRPr="005824B7">
        <w:rPr>
          <w:rFonts w:ascii="Arial" w:hAnsi="Arial" w:cs="Arial"/>
          <w:lang w:val="en-ZA" w:eastAsia="en-ZA"/>
        </w:rPr>
        <w:t xml:space="preserve">The first question we consider is whether the adjudicator’s determination and the challenge against it in terms of s 30P of the Pensions Act, </w:t>
      </w:r>
      <w:r w:rsidR="00C20AC2" w:rsidRPr="005824B7">
        <w:rPr>
          <w:rFonts w:ascii="Arial" w:hAnsi="Arial" w:cs="Arial"/>
          <w:lang w:val="en-ZA" w:eastAsia="en-ZA"/>
        </w:rPr>
        <w:t>constitutes</w:t>
      </w:r>
      <w:r w:rsidR="005E03CE" w:rsidRPr="005824B7">
        <w:rPr>
          <w:rFonts w:ascii="Arial" w:hAnsi="Arial" w:cs="Arial"/>
          <w:lang w:val="en-ZA" w:eastAsia="en-ZA"/>
        </w:rPr>
        <w:t xml:space="preserve"> administrative action</w:t>
      </w:r>
      <w:r w:rsidR="006356FF" w:rsidRPr="005824B7">
        <w:rPr>
          <w:rFonts w:ascii="Arial" w:hAnsi="Arial" w:cs="Arial"/>
          <w:lang w:val="en-ZA" w:eastAsia="en-ZA"/>
        </w:rPr>
        <w:t>,</w:t>
      </w:r>
      <w:r w:rsidR="005E03CE" w:rsidRPr="005824B7">
        <w:rPr>
          <w:rFonts w:ascii="Arial" w:hAnsi="Arial" w:cs="Arial"/>
          <w:lang w:val="en-ZA" w:eastAsia="en-ZA"/>
        </w:rPr>
        <w:t xml:space="preserve"> the challenge to which must be brought in terms of PAJA, or whether, when issuing a determination, the adjudicator performs a judicial function the challenge to which </w:t>
      </w:r>
      <w:r w:rsidR="00C20AC2" w:rsidRPr="005824B7">
        <w:rPr>
          <w:rFonts w:ascii="Arial" w:hAnsi="Arial" w:cs="Arial"/>
          <w:lang w:val="en-ZA" w:eastAsia="en-ZA"/>
        </w:rPr>
        <w:t>would be</w:t>
      </w:r>
      <w:r w:rsidR="005E03CE" w:rsidRPr="005824B7">
        <w:rPr>
          <w:rFonts w:ascii="Arial" w:hAnsi="Arial" w:cs="Arial"/>
          <w:lang w:val="en-ZA" w:eastAsia="en-ZA"/>
        </w:rPr>
        <w:t xml:space="preserve"> an appeal in the wide sense.</w:t>
      </w:r>
      <w:r w:rsidR="00881755" w:rsidRPr="005824B7">
        <w:rPr>
          <w:rFonts w:ascii="Arial" w:hAnsi="Arial" w:cs="Arial"/>
          <w:lang w:val="en-ZA" w:eastAsia="en-ZA"/>
        </w:rPr>
        <w:t xml:space="preserve"> </w:t>
      </w:r>
    </w:p>
    <w:p w14:paraId="1479635E" w14:textId="77777777" w:rsidR="005E03CE" w:rsidRPr="005852C4" w:rsidRDefault="005E03CE" w:rsidP="007A79C3">
      <w:pPr>
        <w:widowControl w:val="0"/>
        <w:spacing w:line="360" w:lineRule="auto"/>
        <w:contextualSpacing/>
        <w:jc w:val="both"/>
        <w:rPr>
          <w:rFonts w:ascii="Arial" w:hAnsi="Arial" w:cs="Arial"/>
          <w:lang w:val="en-ZA" w:eastAsia="en-ZA"/>
        </w:rPr>
      </w:pPr>
    </w:p>
    <w:p w14:paraId="0FE5D8E7" w14:textId="2738796E" w:rsidR="005E03CE" w:rsidRPr="005824B7" w:rsidRDefault="005824B7" w:rsidP="005824B7">
      <w:pPr>
        <w:widowControl w:val="0"/>
        <w:spacing w:line="360" w:lineRule="auto"/>
        <w:jc w:val="both"/>
        <w:rPr>
          <w:rFonts w:ascii="Arial" w:hAnsi="Arial" w:cs="Arial"/>
          <w:lang w:val="en-ZA" w:eastAsia="en-ZA"/>
        </w:rPr>
      </w:pPr>
      <w:r w:rsidRPr="007A79C3">
        <w:rPr>
          <w:rFonts w:ascii="Arial" w:hAnsi="Arial" w:cs="Arial"/>
          <w:lang w:val="en-ZA" w:eastAsia="en-ZA"/>
        </w:rPr>
        <w:t>[40]</w:t>
      </w:r>
      <w:r w:rsidRPr="007A79C3">
        <w:rPr>
          <w:rFonts w:ascii="Arial" w:hAnsi="Arial" w:cs="Arial"/>
          <w:lang w:val="en-ZA" w:eastAsia="en-ZA"/>
        </w:rPr>
        <w:tab/>
      </w:r>
      <w:r w:rsidR="005E03CE" w:rsidRPr="005824B7">
        <w:rPr>
          <w:rFonts w:ascii="Arial" w:hAnsi="Arial" w:cs="Arial"/>
          <w:lang w:val="en-ZA" w:eastAsia="en-ZA"/>
        </w:rPr>
        <w:t>In its founding affidavit</w:t>
      </w:r>
      <w:r w:rsidR="00A54B8D" w:rsidRPr="005824B7">
        <w:rPr>
          <w:rFonts w:ascii="Arial" w:hAnsi="Arial" w:cs="Arial"/>
          <w:lang w:val="en-ZA" w:eastAsia="en-ZA"/>
        </w:rPr>
        <w:t>,</w:t>
      </w:r>
      <w:r w:rsidR="005E03CE" w:rsidRPr="005824B7">
        <w:rPr>
          <w:rFonts w:ascii="Arial" w:hAnsi="Arial" w:cs="Arial"/>
          <w:lang w:val="en-ZA" w:eastAsia="en-ZA"/>
        </w:rPr>
        <w:t xml:space="preserve"> </w:t>
      </w:r>
      <w:r w:rsidR="00AB7350" w:rsidRPr="005824B7">
        <w:rPr>
          <w:rFonts w:ascii="Arial" w:hAnsi="Arial" w:cs="Arial"/>
          <w:lang w:val="en-ZA" w:eastAsia="en-ZA"/>
        </w:rPr>
        <w:t>the appellant</w:t>
      </w:r>
      <w:r w:rsidR="005E03CE" w:rsidRPr="005824B7">
        <w:rPr>
          <w:rFonts w:ascii="Arial" w:hAnsi="Arial" w:cs="Arial"/>
          <w:lang w:val="en-ZA" w:eastAsia="en-ZA"/>
        </w:rPr>
        <w:t xml:space="preserve"> alleges that the adjudicator did not consider relevant considerations, took into account irrelevant considerations and made errors of law in breach </w:t>
      </w:r>
      <w:r w:rsidR="001C6A9E" w:rsidRPr="005824B7">
        <w:rPr>
          <w:rFonts w:ascii="Arial" w:hAnsi="Arial" w:cs="Arial"/>
          <w:lang w:val="en-ZA" w:eastAsia="en-ZA"/>
        </w:rPr>
        <w:t xml:space="preserve">of </w:t>
      </w:r>
      <w:r w:rsidR="005E03CE" w:rsidRPr="005824B7">
        <w:rPr>
          <w:rFonts w:ascii="Arial" w:hAnsi="Arial" w:cs="Arial"/>
          <w:lang w:val="en-ZA" w:eastAsia="en-ZA"/>
        </w:rPr>
        <w:t>s 6 of PAJA.</w:t>
      </w:r>
      <w:r w:rsidR="00881755" w:rsidRPr="005824B7">
        <w:rPr>
          <w:rFonts w:ascii="Arial" w:hAnsi="Arial" w:cs="Arial"/>
          <w:lang w:val="en-ZA" w:eastAsia="en-ZA"/>
        </w:rPr>
        <w:t xml:space="preserve"> </w:t>
      </w:r>
      <w:r w:rsidR="00AB7350" w:rsidRPr="005824B7">
        <w:rPr>
          <w:rFonts w:ascii="Arial" w:hAnsi="Arial" w:cs="Arial"/>
          <w:lang w:val="en-ZA" w:eastAsia="en-ZA"/>
        </w:rPr>
        <w:t>However,</w:t>
      </w:r>
      <w:r w:rsidR="005E03CE" w:rsidRPr="005824B7">
        <w:rPr>
          <w:rFonts w:ascii="Arial" w:hAnsi="Arial" w:cs="Arial"/>
          <w:lang w:val="en-ZA" w:eastAsia="en-ZA"/>
        </w:rPr>
        <w:t xml:space="preserve"> by the time the matter was heard, </w:t>
      </w:r>
      <w:r w:rsidR="00AB7350" w:rsidRPr="005824B7">
        <w:rPr>
          <w:rFonts w:ascii="Arial" w:hAnsi="Arial" w:cs="Arial"/>
          <w:lang w:val="en-ZA" w:eastAsia="en-ZA"/>
        </w:rPr>
        <w:t>the appellant</w:t>
      </w:r>
      <w:r w:rsidR="005E03CE" w:rsidRPr="005824B7">
        <w:rPr>
          <w:rFonts w:ascii="Arial" w:hAnsi="Arial" w:cs="Arial"/>
          <w:lang w:val="en-ZA" w:eastAsia="en-ZA"/>
        </w:rPr>
        <w:t xml:space="preserve"> limited its challenge to an appeal in terms of s 30P of the Pensions Act only and did not pursue a review in terms of PAJA.</w:t>
      </w:r>
      <w:r w:rsidR="00881755" w:rsidRPr="005824B7">
        <w:rPr>
          <w:rFonts w:ascii="Arial" w:hAnsi="Arial" w:cs="Arial"/>
          <w:lang w:val="en-ZA" w:eastAsia="en-ZA"/>
        </w:rPr>
        <w:t xml:space="preserve"> </w:t>
      </w:r>
      <w:r w:rsidR="005E03CE" w:rsidRPr="005824B7">
        <w:rPr>
          <w:rFonts w:ascii="Arial" w:hAnsi="Arial" w:cs="Arial"/>
          <w:lang w:val="en-ZA" w:eastAsia="en-ZA"/>
        </w:rPr>
        <w:t>It is well est</w:t>
      </w:r>
      <w:r w:rsidR="006356FF" w:rsidRPr="005824B7">
        <w:rPr>
          <w:rFonts w:ascii="Arial" w:hAnsi="Arial" w:cs="Arial"/>
          <w:lang w:val="en-ZA" w:eastAsia="en-ZA"/>
        </w:rPr>
        <w:t xml:space="preserve">ablished that </w:t>
      </w:r>
      <w:r w:rsidR="009151D4" w:rsidRPr="005824B7">
        <w:rPr>
          <w:rFonts w:ascii="Arial" w:hAnsi="Arial" w:cs="Arial"/>
          <w:lang w:val="en-ZA" w:eastAsia="en-ZA"/>
        </w:rPr>
        <w:t>‘[w]</w:t>
      </w:r>
      <w:r w:rsidR="009151D4" w:rsidRPr="005824B7">
        <w:rPr>
          <w:rFonts w:ascii="Arial" w:hAnsi="Arial" w:cs="Arial"/>
          <w:lang w:eastAsia="en-ZA"/>
        </w:rPr>
        <w:t xml:space="preserve">here a litigant relies upon a statutory provision, it is not necessary to specify it, but it must be clear from the facts alleged by the litigant that the section is relevant and </w:t>
      </w:r>
      <w:r w:rsidR="009151D4" w:rsidRPr="005824B7">
        <w:rPr>
          <w:rFonts w:ascii="Arial" w:hAnsi="Arial" w:cs="Arial"/>
          <w:lang w:eastAsia="en-ZA"/>
        </w:rPr>
        <w:lastRenderedPageBreak/>
        <w:t>operative</w:t>
      </w:r>
      <w:r w:rsidR="006356FF" w:rsidRPr="005824B7">
        <w:rPr>
          <w:rFonts w:ascii="Arial" w:hAnsi="Arial" w:cs="Arial"/>
          <w:lang w:val="en-ZA" w:eastAsia="en-ZA"/>
        </w:rPr>
        <w:t>’</w:t>
      </w:r>
      <w:r w:rsidR="005E03CE" w:rsidRPr="005824B7">
        <w:rPr>
          <w:rFonts w:ascii="Arial" w:hAnsi="Arial" w:cs="Arial"/>
          <w:lang w:val="en-ZA" w:eastAsia="en-ZA"/>
        </w:rPr>
        <w:t>.</w:t>
      </w:r>
      <w:r w:rsidR="009151D4">
        <w:rPr>
          <w:rStyle w:val="FootnoteReference"/>
          <w:rFonts w:ascii="Arial" w:hAnsi="Arial" w:cs="Arial"/>
          <w:lang w:val="en-ZA" w:eastAsia="en-ZA"/>
        </w:rPr>
        <w:footnoteReference w:id="3"/>
      </w:r>
      <w:r w:rsidR="00881755" w:rsidRPr="005824B7">
        <w:rPr>
          <w:rFonts w:ascii="Arial" w:hAnsi="Arial" w:cs="Arial"/>
          <w:lang w:val="en-ZA" w:eastAsia="en-ZA"/>
        </w:rPr>
        <w:t xml:space="preserve"> </w:t>
      </w:r>
      <w:r w:rsidR="00A54B8D" w:rsidRPr="005824B7">
        <w:rPr>
          <w:rFonts w:ascii="Arial" w:hAnsi="Arial" w:cs="Arial"/>
          <w:lang w:val="en-ZA" w:eastAsia="en-ZA"/>
        </w:rPr>
        <w:t xml:space="preserve">Based on this, we find </w:t>
      </w:r>
      <w:r w:rsidR="005E03CE" w:rsidRPr="005824B7">
        <w:rPr>
          <w:rFonts w:ascii="Arial" w:hAnsi="Arial" w:cs="Arial"/>
          <w:lang w:val="en-ZA" w:eastAsia="en-ZA"/>
        </w:rPr>
        <w:t xml:space="preserve">that </w:t>
      </w:r>
      <w:r w:rsidR="00AB7350" w:rsidRPr="005824B7">
        <w:rPr>
          <w:rFonts w:ascii="Arial" w:hAnsi="Arial" w:cs="Arial"/>
          <w:lang w:val="en-ZA" w:eastAsia="en-ZA"/>
        </w:rPr>
        <w:t>the appellant</w:t>
      </w:r>
      <w:r w:rsidR="005E03CE" w:rsidRPr="005824B7">
        <w:rPr>
          <w:rFonts w:ascii="Arial" w:hAnsi="Arial" w:cs="Arial"/>
          <w:lang w:val="en-ZA" w:eastAsia="en-ZA"/>
        </w:rPr>
        <w:t xml:space="preserve"> was </w:t>
      </w:r>
      <w:r w:rsidR="00A54B8D" w:rsidRPr="005824B7">
        <w:rPr>
          <w:rFonts w:ascii="Arial" w:hAnsi="Arial" w:cs="Arial"/>
          <w:lang w:val="en-ZA" w:eastAsia="en-ZA"/>
        </w:rPr>
        <w:t xml:space="preserve">not </w:t>
      </w:r>
      <w:r w:rsidR="005E03CE" w:rsidRPr="005824B7">
        <w:rPr>
          <w:rFonts w:ascii="Arial" w:hAnsi="Arial" w:cs="Arial"/>
          <w:lang w:val="en-ZA" w:eastAsia="en-ZA"/>
        </w:rPr>
        <w:t>obliged to specify</w:t>
      </w:r>
      <w:r w:rsidR="00156331" w:rsidRPr="005824B7">
        <w:rPr>
          <w:rFonts w:ascii="Arial" w:hAnsi="Arial" w:cs="Arial"/>
          <w:lang w:val="en-ZA" w:eastAsia="en-ZA"/>
        </w:rPr>
        <w:t xml:space="preserve"> that</w:t>
      </w:r>
      <w:r w:rsidR="005E03CE" w:rsidRPr="005824B7">
        <w:rPr>
          <w:rFonts w:ascii="Arial" w:hAnsi="Arial" w:cs="Arial"/>
          <w:lang w:val="en-ZA" w:eastAsia="en-ZA"/>
        </w:rPr>
        <w:t xml:space="preserve"> s</w:t>
      </w:r>
      <w:r w:rsidR="00156331" w:rsidRPr="005824B7">
        <w:rPr>
          <w:rFonts w:ascii="Arial" w:hAnsi="Arial" w:cs="Arial"/>
          <w:lang w:val="en-ZA" w:eastAsia="en-ZA"/>
        </w:rPr>
        <w:t> </w:t>
      </w:r>
      <w:r w:rsidR="005E03CE" w:rsidRPr="005824B7">
        <w:rPr>
          <w:rFonts w:ascii="Arial" w:hAnsi="Arial" w:cs="Arial"/>
          <w:lang w:val="en-ZA" w:eastAsia="en-ZA"/>
        </w:rPr>
        <w:t>30P of the Pensions Act</w:t>
      </w:r>
      <w:r w:rsidR="00156331" w:rsidRPr="005824B7">
        <w:rPr>
          <w:rFonts w:ascii="Arial" w:hAnsi="Arial" w:cs="Arial"/>
          <w:lang w:val="en-ZA" w:eastAsia="en-ZA"/>
        </w:rPr>
        <w:t xml:space="preserve"> was applicable</w:t>
      </w:r>
      <w:r w:rsidR="005E03CE" w:rsidRPr="005824B7">
        <w:rPr>
          <w:rFonts w:ascii="Arial" w:hAnsi="Arial" w:cs="Arial"/>
          <w:lang w:val="en-ZA" w:eastAsia="en-ZA"/>
        </w:rPr>
        <w:t>.</w:t>
      </w:r>
      <w:r w:rsidR="00881755" w:rsidRPr="005824B7">
        <w:rPr>
          <w:rFonts w:ascii="Arial" w:hAnsi="Arial" w:cs="Arial"/>
          <w:lang w:val="en-ZA" w:eastAsia="en-ZA"/>
        </w:rPr>
        <w:t xml:space="preserve"> </w:t>
      </w:r>
      <w:r w:rsidR="005E03CE" w:rsidRPr="005824B7">
        <w:rPr>
          <w:rFonts w:ascii="Arial" w:hAnsi="Arial" w:cs="Arial"/>
          <w:lang w:val="en-ZA" w:eastAsia="en-ZA"/>
        </w:rPr>
        <w:t xml:space="preserve">Mr Gumbi accepted that the application was brought in terms of s 30P of the Pensions Act, and the reference to PAJA, later abandoned by </w:t>
      </w:r>
      <w:r w:rsidR="00AB7350" w:rsidRPr="005824B7">
        <w:rPr>
          <w:rFonts w:ascii="Arial" w:hAnsi="Arial" w:cs="Arial"/>
          <w:lang w:val="en-ZA" w:eastAsia="en-ZA"/>
        </w:rPr>
        <w:t>the appellant</w:t>
      </w:r>
      <w:r w:rsidR="005E03CE" w:rsidRPr="005824B7">
        <w:rPr>
          <w:rFonts w:ascii="Arial" w:hAnsi="Arial" w:cs="Arial"/>
          <w:lang w:val="en-ZA" w:eastAsia="en-ZA"/>
        </w:rPr>
        <w:t xml:space="preserve">, </w:t>
      </w:r>
      <w:r w:rsidR="0031668C" w:rsidRPr="005824B7">
        <w:rPr>
          <w:rFonts w:ascii="Arial" w:hAnsi="Arial" w:cs="Arial"/>
          <w:lang w:val="en-ZA" w:eastAsia="en-ZA"/>
        </w:rPr>
        <w:t>was, in our view,</w:t>
      </w:r>
      <w:r w:rsidR="005E03CE" w:rsidRPr="005824B7">
        <w:rPr>
          <w:rFonts w:ascii="Arial" w:hAnsi="Arial" w:cs="Arial"/>
          <w:lang w:val="en-ZA" w:eastAsia="en-ZA"/>
        </w:rPr>
        <w:t xml:space="preserve"> not fatal to the </w:t>
      </w:r>
      <w:r w:rsidR="0031668C" w:rsidRPr="005824B7">
        <w:rPr>
          <w:rFonts w:ascii="Arial" w:hAnsi="Arial" w:cs="Arial"/>
          <w:lang w:val="en-ZA" w:eastAsia="en-ZA"/>
        </w:rPr>
        <w:t>appeal</w:t>
      </w:r>
      <w:r w:rsidR="005E03CE" w:rsidRPr="005824B7">
        <w:rPr>
          <w:rFonts w:ascii="Arial" w:hAnsi="Arial" w:cs="Arial"/>
          <w:lang w:val="en-ZA" w:eastAsia="en-ZA"/>
        </w:rPr>
        <w:t xml:space="preserve"> before us.</w:t>
      </w:r>
    </w:p>
    <w:p w14:paraId="7FBEE1E4" w14:textId="77777777" w:rsidR="005E03CE" w:rsidRPr="005852C4" w:rsidRDefault="005E03CE" w:rsidP="007A79C3">
      <w:pPr>
        <w:widowControl w:val="0"/>
        <w:spacing w:line="360" w:lineRule="auto"/>
        <w:contextualSpacing/>
        <w:jc w:val="both"/>
        <w:rPr>
          <w:rFonts w:ascii="Arial" w:hAnsi="Arial" w:cs="Arial"/>
          <w:lang w:val="en-ZA" w:eastAsia="en-ZA"/>
        </w:rPr>
      </w:pPr>
    </w:p>
    <w:p w14:paraId="58ECEF13" w14:textId="5B286561" w:rsidR="005E03CE" w:rsidRPr="005824B7" w:rsidRDefault="005824B7" w:rsidP="005824B7">
      <w:pPr>
        <w:widowControl w:val="0"/>
        <w:spacing w:line="360" w:lineRule="auto"/>
        <w:jc w:val="both"/>
        <w:rPr>
          <w:rFonts w:ascii="Arial" w:hAnsi="Arial" w:cs="Arial"/>
          <w:lang w:val="en-ZA" w:eastAsia="en-ZA"/>
        </w:rPr>
      </w:pPr>
      <w:r w:rsidRPr="007A79C3">
        <w:rPr>
          <w:rFonts w:ascii="Arial" w:hAnsi="Arial" w:cs="Arial"/>
          <w:lang w:val="en-ZA" w:eastAsia="en-ZA"/>
        </w:rPr>
        <w:t>[41]</w:t>
      </w:r>
      <w:r w:rsidRPr="007A79C3">
        <w:rPr>
          <w:rFonts w:ascii="Arial" w:hAnsi="Arial" w:cs="Arial"/>
          <w:lang w:val="en-ZA" w:eastAsia="en-ZA"/>
        </w:rPr>
        <w:tab/>
      </w:r>
      <w:r w:rsidR="005E03CE" w:rsidRPr="005824B7">
        <w:rPr>
          <w:rFonts w:ascii="Arial" w:hAnsi="Arial" w:cs="Arial"/>
          <w:lang w:val="en-ZA" w:eastAsia="en-ZA"/>
        </w:rPr>
        <w:t>Ms Mayola contends that the challenge must be a review in terms of PAJA,</w:t>
      </w:r>
      <w:r w:rsidR="00C20AC2" w:rsidRPr="005824B7">
        <w:rPr>
          <w:rFonts w:ascii="Arial" w:hAnsi="Arial" w:cs="Arial"/>
          <w:lang w:val="en-ZA" w:eastAsia="en-ZA"/>
        </w:rPr>
        <w:t xml:space="preserve"> and</w:t>
      </w:r>
      <w:r w:rsidR="005E03CE" w:rsidRPr="005824B7">
        <w:rPr>
          <w:rFonts w:ascii="Arial" w:hAnsi="Arial" w:cs="Arial"/>
          <w:lang w:val="en-ZA" w:eastAsia="en-ZA"/>
        </w:rPr>
        <w:t xml:space="preserve"> that s 230 of FSRA dictates that </w:t>
      </w:r>
      <w:r w:rsidR="00AB7350" w:rsidRPr="005824B7">
        <w:rPr>
          <w:rFonts w:ascii="Arial" w:hAnsi="Arial" w:cs="Arial"/>
          <w:lang w:val="en-ZA" w:eastAsia="en-ZA"/>
        </w:rPr>
        <w:t>the appellant</w:t>
      </w:r>
      <w:r w:rsidR="00156331" w:rsidRPr="005824B7">
        <w:rPr>
          <w:rFonts w:ascii="Arial" w:hAnsi="Arial" w:cs="Arial"/>
          <w:lang w:val="en-ZA" w:eastAsia="en-ZA"/>
        </w:rPr>
        <w:t xml:space="preserve"> must</w:t>
      </w:r>
      <w:r w:rsidR="005E03CE" w:rsidRPr="005824B7">
        <w:rPr>
          <w:rFonts w:ascii="Arial" w:hAnsi="Arial" w:cs="Arial"/>
          <w:lang w:val="en-ZA" w:eastAsia="en-ZA"/>
        </w:rPr>
        <w:t xml:space="preserve"> first exhaust the appeal procedure to the Financial Service Tribunal before approaching the cour</w:t>
      </w:r>
      <w:r w:rsidR="00C20AC2" w:rsidRPr="005824B7">
        <w:rPr>
          <w:rFonts w:ascii="Arial" w:hAnsi="Arial" w:cs="Arial"/>
          <w:lang w:val="en-ZA" w:eastAsia="en-ZA"/>
        </w:rPr>
        <w:t>ts for any relief</w:t>
      </w:r>
      <w:r w:rsidR="005E03CE" w:rsidRPr="005824B7">
        <w:rPr>
          <w:rFonts w:ascii="Arial" w:hAnsi="Arial" w:cs="Arial"/>
          <w:lang w:val="en-ZA" w:eastAsia="en-ZA"/>
        </w:rPr>
        <w:t>.</w:t>
      </w:r>
    </w:p>
    <w:p w14:paraId="149C8080" w14:textId="77777777" w:rsidR="005E03CE" w:rsidRPr="005852C4" w:rsidRDefault="005E03CE" w:rsidP="007A79C3">
      <w:pPr>
        <w:widowControl w:val="0"/>
        <w:spacing w:line="360" w:lineRule="auto"/>
        <w:contextualSpacing/>
        <w:jc w:val="both"/>
        <w:rPr>
          <w:rFonts w:ascii="Arial" w:hAnsi="Arial" w:cs="Arial"/>
          <w:lang w:val="en-ZA" w:eastAsia="en-ZA"/>
        </w:rPr>
      </w:pPr>
    </w:p>
    <w:p w14:paraId="52FA64BF" w14:textId="3EE1C647" w:rsidR="005E03CE" w:rsidRPr="005824B7" w:rsidRDefault="005824B7" w:rsidP="005824B7">
      <w:pPr>
        <w:widowControl w:val="0"/>
        <w:spacing w:line="360" w:lineRule="auto"/>
        <w:jc w:val="both"/>
        <w:rPr>
          <w:rFonts w:ascii="Arial" w:hAnsi="Arial" w:cs="Arial"/>
          <w:lang w:val="en-ZA" w:eastAsia="en-ZA"/>
        </w:rPr>
      </w:pPr>
      <w:r w:rsidRPr="007A79C3">
        <w:rPr>
          <w:rFonts w:ascii="Arial" w:hAnsi="Arial" w:cs="Arial"/>
          <w:lang w:val="en-ZA" w:eastAsia="en-ZA"/>
        </w:rPr>
        <w:t>[42]</w:t>
      </w:r>
      <w:r w:rsidRPr="007A79C3">
        <w:rPr>
          <w:rFonts w:ascii="Arial" w:hAnsi="Arial" w:cs="Arial"/>
          <w:lang w:val="en-ZA" w:eastAsia="en-ZA"/>
        </w:rPr>
        <w:tab/>
      </w:r>
      <w:r w:rsidR="005E03CE" w:rsidRPr="005824B7">
        <w:rPr>
          <w:rFonts w:ascii="Arial" w:hAnsi="Arial" w:cs="Arial"/>
          <w:lang w:val="en-ZA" w:eastAsia="en-ZA"/>
        </w:rPr>
        <w:t xml:space="preserve">Section 30P of the Pensions Act </w:t>
      </w:r>
      <w:r w:rsidR="00C20AC2" w:rsidRPr="005824B7">
        <w:rPr>
          <w:rFonts w:ascii="Arial" w:hAnsi="Arial" w:cs="Arial"/>
          <w:lang w:val="en-ZA" w:eastAsia="en-ZA"/>
        </w:rPr>
        <w:t>provides</w:t>
      </w:r>
      <w:r w:rsidR="005E03CE" w:rsidRPr="005824B7">
        <w:rPr>
          <w:rFonts w:ascii="Arial" w:hAnsi="Arial" w:cs="Arial"/>
          <w:lang w:val="en-ZA" w:eastAsia="en-ZA"/>
        </w:rPr>
        <w:t xml:space="preserve"> as follows</w:t>
      </w:r>
      <w:r w:rsidR="00505F63" w:rsidRPr="005824B7">
        <w:rPr>
          <w:rFonts w:ascii="Arial" w:hAnsi="Arial" w:cs="Arial"/>
          <w:lang w:val="en-ZA" w:eastAsia="en-ZA"/>
        </w:rPr>
        <w:t>:</w:t>
      </w:r>
    </w:p>
    <w:p w14:paraId="27D6E01B" w14:textId="277B85AA" w:rsidR="00505F63" w:rsidRPr="00505F63" w:rsidRDefault="00505F63" w:rsidP="00156331">
      <w:pPr>
        <w:spacing w:line="360" w:lineRule="auto"/>
        <w:contextualSpacing/>
        <w:jc w:val="both"/>
        <w:rPr>
          <w:rFonts w:ascii="Arial" w:hAnsi="Arial" w:cs="Arial"/>
          <w:sz w:val="22"/>
          <w:szCs w:val="22"/>
        </w:rPr>
      </w:pPr>
      <w:r>
        <w:rPr>
          <w:rFonts w:ascii="Arial" w:hAnsi="Arial" w:cs="Arial"/>
          <w:bCs/>
          <w:sz w:val="22"/>
          <w:szCs w:val="22"/>
        </w:rPr>
        <w:t>‘</w:t>
      </w:r>
      <w:r w:rsidRPr="00505F63">
        <w:rPr>
          <w:rFonts w:ascii="Arial" w:hAnsi="Arial" w:cs="Arial"/>
          <w:bCs/>
          <w:sz w:val="22"/>
          <w:szCs w:val="22"/>
        </w:rPr>
        <w:t>30P.   Access to court.</w:t>
      </w:r>
    </w:p>
    <w:p w14:paraId="796025BA" w14:textId="77777777" w:rsidR="00505F63" w:rsidRPr="00505F63" w:rsidRDefault="00505F63" w:rsidP="00156331">
      <w:pPr>
        <w:spacing w:line="360" w:lineRule="auto"/>
        <w:contextualSpacing/>
        <w:jc w:val="both"/>
        <w:rPr>
          <w:rFonts w:ascii="Arial" w:hAnsi="Arial" w:cs="Arial"/>
          <w:sz w:val="22"/>
          <w:szCs w:val="22"/>
        </w:rPr>
      </w:pPr>
      <w:r w:rsidRPr="00505F63">
        <w:rPr>
          <w:rFonts w:ascii="Arial" w:hAnsi="Arial" w:cs="Arial"/>
          <w:sz w:val="22"/>
          <w:szCs w:val="22"/>
        </w:rPr>
        <w:t>(1)  Any party who feels aggrieved by a determination of the Adjudicator may, within six weeks after the date of the determination, apply to the division of the High Court which has jurisdiction, for relief, and shall at the same time give written notice of his or her intention so to apply to the other parties to the complaint.</w:t>
      </w:r>
    </w:p>
    <w:p w14:paraId="78943A11" w14:textId="77777777" w:rsidR="00505F63" w:rsidRPr="00505F63" w:rsidRDefault="00505F63" w:rsidP="00156331">
      <w:pPr>
        <w:spacing w:line="360" w:lineRule="auto"/>
        <w:contextualSpacing/>
        <w:jc w:val="both"/>
        <w:rPr>
          <w:rFonts w:ascii="Arial" w:hAnsi="Arial" w:cs="Arial"/>
          <w:sz w:val="22"/>
          <w:szCs w:val="22"/>
        </w:rPr>
      </w:pPr>
      <w:r w:rsidRPr="00505F63">
        <w:rPr>
          <w:rFonts w:ascii="Arial" w:hAnsi="Arial" w:cs="Arial"/>
          <w:sz w:val="22"/>
          <w:szCs w:val="22"/>
        </w:rPr>
        <w:t>(2)  The division of the High Court contemplated in subsection (1) may consider the merits of the complaint made to the Adjudicator under section 30A (3) and on which the Adjudicator’s determination was based, and may make any order it deems fit.</w:t>
      </w:r>
    </w:p>
    <w:p w14:paraId="698494C9" w14:textId="7F531475" w:rsidR="00505F63" w:rsidRPr="00505F63" w:rsidRDefault="00505F63" w:rsidP="00156331">
      <w:pPr>
        <w:spacing w:line="360" w:lineRule="auto"/>
        <w:contextualSpacing/>
        <w:jc w:val="both"/>
        <w:rPr>
          <w:rFonts w:ascii="Arial" w:hAnsi="Arial" w:cs="Arial"/>
          <w:sz w:val="22"/>
          <w:szCs w:val="22"/>
        </w:rPr>
      </w:pPr>
      <w:r w:rsidRPr="00505F63">
        <w:rPr>
          <w:rFonts w:ascii="Arial" w:hAnsi="Arial" w:cs="Arial"/>
          <w:sz w:val="22"/>
          <w:szCs w:val="22"/>
        </w:rPr>
        <w:t>(3)  Subsection (2) shall not affect the court’s power to decide that sufficient evidence has been adduced on which a decision can be arrived at, and to order that no further evidence shall be adduced.</w:t>
      </w:r>
      <w:r>
        <w:rPr>
          <w:rFonts w:ascii="Arial" w:hAnsi="Arial" w:cs="Arial"/>
          <w:sz w:val="22"/>
          <w:szCs w:val="22"/>
        </w:rPr>
        <w:t>’</w:t>
      </w:r>
    </w:p>
    <w:p w14:paraId="046009D6" w14:textId="7366112F" w:rsidR="005E03CE" w:rsidRPr="005852C4" w:rsidRDefault="005E03CE" w:rsidP="007A79C3">
      <w:pPr>
        <w:widowControl w:val="0"/>
        <w:spacing w:line="360" w:lineRule="auto"/>
        <w:contextualSpacing/>
        <w:jc w:val="both"/>
        <w:rPr>
          <w:rFonts w:ascii="Arial" w:hAnsi="Arial" w:cs="Arial"/>
          <w:lang w:val="en-ZA" w:eastAsia="en-ZA"/>
        </w:rPr>
      </w:pPr>
    </w:p>
    <w:p w14:paraId="2DAE2BFD" w14:textId="35492B0F" w:rsidR="005E03CE" w:rsidRPr="005824B7" w:rsidRDefault="005824B7" w:rsidP="005824B7">
      <w:pPr>
        <w:widowControl w:val="0"/>
        <w:spacing w:line="360" w:lineRule="auto"/>
        <w:jc w:val="both"/>
        <w:rPr>
          <w:rFonts w:ascii="Arial" w:hAnsi="Arial" w:cs="Arial"/>
          <w:lang w:val="en-ZA" w:eastAsia="en-ZA"/>
        </w:rPr>
      </w:pPr>
      <w:r w:rsidRPr="007A79C3">
        <w:rPr>
          <w:rFonts w:ascii="Arial" w:hAnsi="Arial" w:cs="Arial"/>
          <w:lang w:val="en-ZA" w:eastAsia="en-ZA"/>
        </w:rPr>
        <w:t>[43]</w:t>
      </w:r>
      <w:r w:rsidRPr="007A79C3">
        <w:rPr>
          <w:rFonts w:ascii="Arial" w:hAnsi="Arial" w:cs="Arial"/>
          <w:lang w:val="en-ZA" w:eastAsia="en-ZA"/>
        </w:rPr>
        <w:tab/>
      </w:r>
      <w:r w:rsidR="00D07C07" w:rsidRPr="005824B7">
        <w:rPr>
          <w:rFonts w:ascii="Arial" w:hAnsi="Arial" w:cs="Arial"/>
          <w:lang w:val="en-ZA" w:eastAsia="en-ZA"/>
        </w:rPr>
        <w:t>The Supreme Court of Appeal had occasion to consider the provisions of s</w:t>
      </w:r>
      <w:r w:rsidR="00505F63" w:rsidRPr="005824B7">
        <w:rPr>
          <w:rFonts w:ascii="Arial" w:hAnsi="Arial" w:cs="Arial"/>
          <w:lang w:val="en-ZA" w:eastAsia="en-ZA"/>
        </w:rPr>
        <w:t> </w:t>
      </w:r>
      <w:r w:rsidR="00D07C07" w:rsidRPr="005824B7">
        <w:rPr>
          <w:rFonts w:ascii="Arial" w:hAnsi="Arial" w:cs="Arial"/>
          <w:lang w:val="en-ZA" w:eastAsia="en-ZA"/>
        </w:rPr>
        <w:t xml:space="preserve">30P of the Pension’s Act in </w:t>
      </w:r>
      <w:r w:rsidR="00D07C07" w:rsidRPr="005824B7">
        <w:rPr>
          <w:rFonts w:ascii="Arial" w:hAnsi="Arial" w:cs="Arial"/>
          <w:i/>
          <w:lang w:val="en-ZA" w:eastAsia="en-ZA"/>
        </w:rPr>
        <w:t>Meyer v Iscor Pension Fund</w:t>
      </w:r>
      <w:r w:rsidR="00505F63" w:rsidRPr="005824B7">
        <w:rPr>
          <w:rFonts w:ascii="Arial" w:hAnsi="Arial" w:cs="Arial"/>
          <w:i/>
          <w:lang w:val="en-ZA" w:eastAsia="en-ZA"/>
        </w:rPr>
        <w:t>.</w:t>
      </w:r>
      <w:r w:rsidR="00D07C07" w:rsidRPr="005852C4">
        <w:rPr>
          <w:rStyle w:val="FootnoteReference"/>
          <w:rFonts w:ascii="Arial" w:hAnsi="Arial" w:cs="Arial"/>
          <w:lang w:val="en-ZA" w:eastAsia="en-ZA"/>
        </w:rPr>
        <w:footnoteReference w:id="4"/>
      </w:r>
      <w:r w:rsidR="00D07C07" w:rsidRPr="005824B7">
        <w:rPr>
          <w:rFonts w:ascii="Arial" w:hAnsi="Arial" w:cs="Arial"/>
          <w:lang w:val="en-ZA" w:eastAsia="en-ZA"/>
        </w:rPr>
        <w:t xml:space="preserve"> It endorsed</w:t>
      </w:r>
      <w:r w:rsidR="00156331">
        <w:rPr>
          <w:rStyle w:val="FootnoteReference"/>
          <w:rFonts w:ascii="Arial" w:hAnsi="Arial" w:cs="Arial"/>
          <w:lang w:val="en-ZA" w:eastAsia="en-ZA"/>
        </w:rPr>
        <w:footnoteReference w:id="5"/>
      </w:r>
      <w:r w:rsidR="00D07C07" w:rsidRPr="005824B7">
        <w:rPr>
          <w:rFonts w:ascii="Arial" w:hAnsi="Arial" w:cs="Arial"/>
          <w:lang w:val="en-ZA" w:eastAsia="en-ZA"/>
        </w:rPr>
        <w:t xml:space="preserve"> the views expressed in </w:t>
      </w:r>
      <w:r w:rsidR="00D07C07" w:rsidRPr="005824B7">
        <w:rPr>
          <w:rFonts w:ascii="Arial" w:hAnsi="Arial" w:cs="Arial"/>
          <w:i/>
          <w:lang w:val="en-ZA" w:eastAsia="en-ZA"/>
        </w:rPr>
        <w:t xml:space="preserve">Tikly and others v Johannes NO and </w:t>
      </w:r>
      <w:r w:rsidR="00CF4D23" w:rsidRPr="005824B7">
        <w:rPr>
          <w:rFonts w:ascii="Arial" w:hAnsi="Arial" w:cs="Arial"/>
          <w:i/>
          <w:lang w:val="en-ZA" w:eastAsia="en-ZA"/>
        </w:rPr>
        <w:t>others</w:t>
      </w:r>
      <w:r w:rsidR="001C6A9E" w:rsidRPr="005824B7">
        <w:rPr>
          <w:rFonts w:ascii="Arial" w:hAnsi="Arial" w:cs="Arial"/>
          <w:i/>
          <w:lang w:val="en-ZA" w:eastAsia="en-ZA"/>
        </w:rPr>
        <w:t>,</w:t>
      </w:r>
      <w:r w:rsidR="00D07C07" w:rsidRPr="005852C4">
        <w:rPr>
          <w:rStyle w:val="FootnoteReference"/>
          <w:rFonts w:ascii="Arial" w:hAnsi="Arial" w:cs="Arial"/>
          <w:lang w:val="en-ZA" w:eastAsia="en-ZA"/>
        </w:rPr>
        <w:footnoteReference w:id="6"/>
      </w:r>
      <w:r w:rsidR="00682B6B" w:rsidRPr="005824B7">
        <w:rPr>
          <w:rFonts w:ascii="Arial" w:hAnsi="Arial" w:cs="Arial"/>
          <w:lang w:val="en-ZA" w:eastAsia="en-ZA"/>
        </w:rPr>
        <w:t xml:space="preserve"> </w:t>
      </w:r>
      <w:r w:rsidR="002F7E6E" w:rsidRPr="005824B7">
        <w:rPr>
          <w:rFonts w:ascii="Arial" w:hAnsi="Arial" w:cs="Arial"/>
          <w:lang w:val="en-ZA" w:eastAsia="en-ZA"/>
        </w:rPr>
        <w:t xml:space="preserve">where Trollip J held </w:t>
      </w:r>
      <w:r w:rsidR="00682B6B" w:rsidRPr="005824B7">
        <w:rPr>
          <w:rFonts w:ascii="Arial" w:hAnsi="Arial" w:cs="Arial"/>
          <w:lang w:val="en-ZA" w:eastAsia="en-ZA"/>
        </w:rPr>
        <w:t>that an appeal usually falls into one of the following three categories:</w:t>
      </w:r>
    </w:p>
    <w:p w14:paraId="728E0A5D" w14:textId="77777777" w:rsidR="00187CF7" w:rsidRPr="00187CF7" w:rsidRDefault="00187CF7" w:rsidP="00187CF7">
      <w:pPr>
        <w:spacing w:line="360" w:lineRule="auto"/>
        <w:contextualSpacing/>
        <w:jc w:val="both"/>
        <w:rPr>
          <w:rFonts w:ascii="Arial" w:hAnsi="Arial" w:cs="Arial"/>
          <w:bCs/>
          <w:sz w:val="22"/>
        </w:rPr>
      </w:pPr>
      <w:r w:rsidRPr="00187CF7">
        <w:rPr>
          <w:rFonts w:ascii="Arial" w:hAnsi="Arial" w:cs="Arial"/>
          <w:bCs/>
          <w:sz w:val="22"/>
        </w:rPr>
        <w:t>(i)   an appeal in the wide sense, that is, a complete re-hearing of, and fresh determination on the merits of the matter with or without additional evidence or information . . .;</w:t>
      </w:r>
    </w:p>
    <w:p w14:paraId="4E308C84" w14:textId="77777777" w:rsidR="00187CF7" w:rsidRPr="00187CF7" w:rsidRDefault="00187CF7" w:rsidP="00187CF7">
      <w:pPr>
        <w:spacing w:line="360" w:lineRule="auto"/>
        <w:contextualSpacing/>
        <w:jc w:val="both"/>
        <w:rPr>
          <w:rFonts w:ascii="Arial" w:hAnsi="Arial" w:cs="Arial"/>
          <w:bCs/>
          <w:sz w:val="22"/>
        </w:rPr>
      </w:pPr>
      <w:r w:rsidRPr="00187CF7">
        <w:rPr>
          <w:rFonts w:ascii="Arial" w:hAnsi="Arial" w:cs="Arial"/>
          <w:bCs/>
          <w:sz w:val="22"/>
        </w:rPr>
        <w:t>(ii)   an appeal in the ordinary strict sense, that is, a re-hearing on the merits but limited to the evidence or information on which the decision under appeal was given, and in which the only determination is whether that decision was right or wrong . . .;</w:t>
      </w:r>
    </w:p>
    <w:p w14:paraId="378B922C" w14:textId="77777777" w:rsidR="00187CF7" w:rsidRPr="00187CF7" w:rsidRDefault="00187CF7" w:rsidP="00187CF7">
      <w:pPr>
        <w:spacing w:line="360" w:lineRule="auto"/>
        <w:contextualSpacing/>
        <w:jc w:val="both"/>
        <w:rPr>
          <w:rFonts w:ascii="Arial" w:hAnsi="Arial" w:cs="Arial"/>
          <w:bCs/>
          <w:sz w:val="22"/>
        </w:rPr>
      </w:pPr>
      <w:r w:rsidRPr="00187CF7">
        <w:rPr>
          <w:rFonts w:ascii="Arial" w:hAnsi="Arial" w:cs="Arial"/>
          <w:bCs/>
          <w:sz w:val="22"/>
        </w:rPr>
        <w:lastRenderedPageBreak/>
        <w:t>(iii)   a review, that is, a limited re-hearing with or without additional  evidence or information to determine, not whether the decision under appeal was correct or not, but whether the arbiters had exercised their powers and discretion honestly and properly . . .’</w:t>
      </w:r>
    </w:p>
    <w:p w14:paraId="52593253" w14:textId="6827A975" w:rsidR="00682B6B" w:rsidRPr="005852C4" w:rsidRDefault="00682B6B" w:rsidP="007A79C3">
      <w:pPr>
        <w:widowControl w:val="0"/>
        <w:spacing w:line="360" w:lineRule="auto"/>
        <w:contextualSpacing/>
        <w:jc w:val="both"/>
        <w:rPr>
          <w:rFonts w:ascii="Arial" w:hAnsi="Arial" w:cs="Arial"/>
          <w:lang w:val="en-ZA" w:eastAsia="en-ZA"/>
        </w:rPr>
      </w:pPr>
    </w:p>
    <w:p w14:paraId="549CDC9F" w14:textId="0C836A17" w:rsidR="00682B6B" w:rsidRPr="005824B7" w:rsidRDefault="005824B7" w:rsidP="005824B7">
      <w:pPr>
        <w:widowControl w:val="0"/>
        <w:spacing w:line="360" w:lineRule="auto"/>
        <w:jc w:val="both"/>
        <w:rPr>
          <w:rFonts w:ascii="Arial" w:hAnsi="Arial" w:cs="Arial"/>
          <w:lang w:val="en-ZA" w:eastAsia="en-ZA"/>
        </w:rPr>
      </w:pPr>
      <w:r w:rsidRPr="007A79C3">
        <w:rPr>
          <w:rFonts w:ascii="Arial" w:hAnsi="Arial" w:cs="Arial"/>
          <w:lang w:val="en-ZA" w:eastAsia="en-ZA"/>
        </w:rPr>
        <w:t>[44]</w:t>
      </w:r>
      <w:r w:rsidRPr="007A79C3">
        <w:rPr>
          <w:rFonts w:ascii="Arial" w:hAnsi="Arial" w:cs="Arial"/>
          <w:lang w:val="en-ZA" w:eastAsia="en-ZA"/>
        </w:rPr>
        <w:tab/>
      </w:r>
      <w:r w:rsidR="00682B6B" w:rsidRPr="005824B7">
        <w:rPr>
          <w:rFonts w:ascii="Arial" w:hAnsi="Arial" w:cs="Arial"/>
          <w:lang w:val="en-ZA" w:eastAsia="en-ZA"/>
        </w:rPr>
        <w:t xml:space="preserve">The court in </w:t>
      </w:r>
      <w:r w:rsidR="00682B6B" w:rsidRPr="005824B7">
        <w:rPr>
          <w:rFonts w:ascii="Arial" w:hAnsi="Arial" w:cs="Arial"/>
          <w:i/>
          <w:iCs/>
          <w:lang w:val="en-ZA" w:eastAsia="en-ZA"/>
        </w:rPr>
        <w:t>Meyer</w:t>
      </w:r>
      <w:r w:rsidR="00682B6B" w:rsidRPr="005824B7">
        <w:rPr>
          <w:rFonts w:ascii="Arial" w:hAnsi="Arial" w:cs="Arial"/>
          <w:lang w:val="en-ZA" w:eastAsia="en-ZA"/>
        </w:rPr>
        <w:t xml:space="preserve"> went on to find that:</w:t>
      </w:r>
    </w:p>
    <w:p w14:paraId="69C1FE35" w14:textId="0BB643C6" w:rsidR="00682B6B" w:rsidRPr="007A79C3" w:rsidRDefault="007101F8" w:rsidP="00796BFD">
      <w:pPr>
        <w:pStyle w:val="ListParagraph"/>
        <w:widowControl w:val="0"/>
        <w:spacing w:line="360" w:lineRule="auto"/>
        <w:ind w:left="0"/>
        <w:jc w:val="both"/>
        <w:rPr>
          <w:rFonts w:ascii="Arial" w:hAnsi="Arial" w:cs="Arial"/>
          <w:sz w:val="22"/>
          <w:szCs w:val="22"/>
          <w:lang w:val="en-ZA" w:eastAsia="en-ZA"/>
        </w:rPr>
      </w:pPr>
      <w:r>
        <w:rPr>
          <w:rFonts w:ascii="Arial" w:hAnsi="Arial" w:cs="Arial"/>
          <w:sz w:val="22"/>
          <w:szCs w:val="22"/>
          <w:lang w:eastAsia="en-ZA"/>
        </w:rPr>
        <w:t>‘</w:t>
      </w:r>
      <w:r w:rsidRPr="007101F8">
        <w:rPr>
          <w:rFonts w:ascii="Arial" w:hAnsi="Arial" w:cs="Arial"/>
          <w:sz w:val="22"/>
          <w:szCs w:val="22"/>
          <w:lang w:eastAsia="en-ZA"/>
        </w:rPr>
        <w:t>From the wording of section 30P(2) it is clear that the appeal to the High Court contemplated is an appeal in the wide sense. The High Court is therefore not limited to a decision whether the Adjudicator’s determination was right or wrong. Neither is it confined to the evidence or the grounds upon which the Adjudicator’s determination was based. The court can consider the matter afresh and make any order it deems fit. At the same time, however, the High Court’s jurisdiction is limited by section 30P(2) to a consideration of “the merits of the complaint in question”</w:t>
      </w:r>
      <w:r w:rsidR="00682B6B" w:rsidRPr="007A79C3">
        <w:rPr>
          <w:rFonts w:ascii="Arial" w:hAnsi="Arial" w:cs="Arial"/>
          <w:sz w:val="22"/>
          <w:szCs w:val="22"/>
          <w:lang w:val="en-ZA" w:eastAsia="en-ZA"/>
        </w:rPr>
        <w:t>.</w:t>
      </w:r>
      <w:r>
        <w:rPr>
          <w:rFonts w:ascii="Arial" w:hAnsi="Arial" w:cs="Arial"/>
          <w:sz w:val="22"/>
          <w:szCs w:val="22"/>
          <w:lang w:val="en-ZA" w:eastAsia="en-ZA"/>
        </w:rPr>
        <w:t>’</w:t>
      </w:r>
      <w:r>
        <w:rPr>
          <w:rStyle w:val="FootnoteReference"/>
          <w:rFonts w:ascii="Arial" w:hAnsi="Arial" w:cs="Arial"/>
          <w:sz w:val="22"/>
          <w:szCs w:val="22"/>
          <w:lang w:val="en-ZA" w:eastAsia="en-ZA"/>
        </w:rPr>
        <w:footnoteReference w:id="7"/>
      </w:r>
      <w:r w:rsidR="00682B6B" w:rsidRPr="007A79C3">
        <w:rPr>
          <w:rFonts w:ascii="Arial" w:hAnsi="Arial" w:cs="Arial"/>
          <w:sz w:val="22"/>
          <w:szCs w:val="22"/>
          <w:lang w:val="en-ZA" w:eastAsia="en-ZA"/>
        </w:rPr>
        <w:t xml:space="preserve"> </w:t>
      </w:r>
    </w:p>
    <w:p w14:paraId="04A1E5C9" w14:textId="1F58C9D1" w:rsidR="003E1E17" w:rsidRPr="005852C4" w:rsidRDefault="003E1E17" w:rsidP="007A79C3">
      <w:pPr>
        <w:widowControl w:val="0"/>
        <w:spacing w:line="360" w:lineRule="auto"/>
        <w:contextualSpacing/>
        <w:jc w:val="both"/>
        <w:rPr>
          <w:rFonts w:ascii="Arial" w:hAnsi="Arial" w:cs="Arial"/>
        </w:rPr>
      </w:pPr>
    </w:p>
    <w:p w14:paraId="1FEA5B9A" w14:textId="15DDDAA6" w:rsidR="001F5000" w:rsidRPr="005824B7" w:rsidRDefault="005824B7" w:rsidP="005824B7">
      <w:pPr>
        <w:widowControl w:val="0"/>
        <w:spacing w:line="360" w:lineRule="auto"/>
        <w:jc w:val="both"/>
        <w:rPr>
          <w:rFonts w:ascii="Arial" w:hAnsi="Arial" w:cs="Arial"/>
        </w:rPr>
      </w:pPr>
      <w:r w:rsidRPr="00C128CA">
        <w:rPr>
          <w:rFonts w:ascii="Arial" w:hAnsi="Arial" w:cs="Arial"/>
        </w:rPr>
        <w:t>[45]</w:t>
      </w:r>
      <w:r w:rsidRPr="00C128CA">
        <w:rPr>
          <w:rFonts w:ascii="Arial" w:hAnsi="Arial" w:cs="Arial"/>
        </w:rPr>
        <w:tab/>
      </w:r>
      <w:r w:rsidR="00DD7771" w:rsidRPr="005824B7">
        <w:rPr>
          <w:rFonts w:ascii="Arial" w:hAnsi="Arial" w:cs="Arial"/>
        </w:rPr>
        <w:t xml:space="preserve">We are accordingly satisfied that an appeal in terms of s 30P is an appeal in the ‘wide sense’. Although s 30P provides for an appeal in the wide sense, it does not preclude a review against the decision of the adjudicator on the basis of other sections in the Pensions Act. In </w:t>
      </w:r>
      <w:r w:rsidR="00DD7771" w:rsidRPr="005824B7">
        <w:rPr>
          <w:rFonts w:ascii="Arial" w:hAnsi="Arial" w:cs="Arial"/>
          <w:i/>
          <w:lang w:val="en-US"/>
        </w:rPr>
        <w:t>Municipal Employees' Pension Fund and another v Mongwaketse and others</w:t>
      </w:r>
      <w:r w:rsidR="00DD7771" w:rsidRPr="00DD7771">
        <w:rPr>
          <w:vertAlign w:val="superscript"/>
        </w:rPr>
        <w:footnoteReference w:id="8"/>
      </w:r>
      <w:r w:rsidR="00DD7771" w:rsidRPr="005824B7">
        <w:rPr>
          <w:rFonts w:ascii="Arial" w:hAnsi="Arial" w:cs="Arial"/>
          <w:i/>
          <w:lang w:val="en-US"/>
        </w:rPr>
        <w:t xml:space="preserve"> </w:t>
      </w:r>
      <w:r w:rsidR="00DD7771" w:rsidRPr="005824B7">
        <w:rPr>
          <w:rFonts w:ascii="Arial" w:hAnsi="Arial" w:cs="Arial"/>
          <w:lang w:val="en-US"/>
        </w:rPr>
        <w:t>an appeal in terms of s 30P of the Pensions Act and a review in terms of PAJA (alternatively legality) was instituted by the relevant pension fund. The court hearing the matter had no issue with the fact that a review and an appeal were instituted. On appeal to the Supreme Court of Appeal,</w:t>
      </w:r>
      <w:r w:rsidR="00DD7771" w:rsidRPr="00DD7771">
        <w:rPr>
          <w:vertAlign w:val="superscript"/>
          <w:lang w:val="en-US"/>
        </w:rPr>
        <w:footnoteReference w:id="9"/>
      </w:r>
      <w:r w:rsidR="00DD7771" w:rsidRPr="005824B7">
        <w:rPr>
          <w:rFonts w:ascii="Arial" w:hAnsi="Arial" w:cs="Arial"/>
          <w:lang w:val="en-US"/>
        </w:rPr>
        <w:t xml:space="preserve"> </w:t>
      </w:r>
      <w:r w:rsidR="00DD7771" w:rsidRPr="005824B7">
        <w:rPr>
          <w:rFonts w:ascii="Arial" w:hAnsi="Arial" w:cs="Arial"/>
        </w:rPr>
        <w:t xml:space="preserve">Wallis JA (writing for the majority), </w:t>
      </w:r>
      <w:r w:rsidR="00355F54" w:rsidRPr="005824B7">
        <w:rPr>
          <w:rFonts w:ascii="Arial" w:hAnsi="Arial" w:cs="Arial"/>
        </w:rPr>
        <w:t>stated</w:t>
      </w:r>
      <w:r w:rsidR="00DD7771" w:rsidRPr="005824B7">
        <w:rPr>
          <w:rFonts w:ascii="Arial" w:hAnsi="Arial" w:cs="Arial"/>
        </w:rPr>
        <w:t xml:space="preserve"> that it would be </w:t>
      </w:r>
      <w:r w:rsidR="00DD7771" w:rsidRPr="005824B7">
        <w:rPr>
          <w:rFonts w:ascii="Arial" w:hAnsi="Arial" w:cs="Arial"/>
          <w:lang w:val="en-US"/>
        </w:rPr>
        <w:t>‘difficult to envisage when, if at all, challenges to determinations by the adjudicator will be subject to judicial review or whether PAJA can have any application</w:t>
      </w:r>
      <w:r w:rsidR="00355F54" w:rsidRPr="005824B7">
        <w:rPr>
          <w:rFonts w:ascii="Arial" w:hAnsi="Arial" w:cs="Arial"/>
          <w:lang w:val="en-US"/>
        </w:rPr>
        <w:t>’.</w:t>
      </w:r>
      <w:r w:rsidR="00DD7771" w:rsidRPr="005824B7">
        <w:rPr>
          <w:rFonts w:ascii="Arial" w:hAnsi="Arial" w:cs="Arial"/>
          <w:lang w:val="en-US"/>
        </w:rPr>
        <w:t xml:space="preserve"> </w:t>
      </w:r>
      <w:r w:rsidR="00355F54" w:rsidRPr="005824B7">
        <w:rPr>
          <w:rFonts w:ascii="Arial" w:hAnsi="Arial" w:cs="Arial"/>
          <w:lang w:val="en-US"/>
        </w:rPr>
        <w:t xml:space="preserve">He </w:t>
      </w:r>
      <w:r w:rsidR="00DD7771" w:rsidRPr="005824B7">
        <w:rPr>
          <w:rFonts w:ascii="Arial" w:hAnsi="Arial" w:cs="Arial"/>
          <w:lang w:val="en-US"/>
        </w:rPr>
        <w:t>was</w:t>
      </w:r>
      <w:r w:rsidR="00355F54" w:rsidRPr="005824B7">
        <w:rPr>
          <w:rFonts w:ascii="Arial" w:hAnsi="Arial" w:cs="Arial"/>
          <w:lang w:val="en-US"/>
        </w:rPr>
        <w:t>, however,</w:t>
      </w:r>
      <w:r w:rsidR="00DD7771" w:rsidRPr="005824B7">
        <w:rPr>
          <w:rFonts w:ascii="Arial" w:hAnsi="Arial" w:cs="Arial"/>
          <w:lang w:val="en-US"/>
        </w:rPr>
        <w:t xml:space="preserve"> ‘not prepared to go so far as to say that there are no circumstances in which the adjudicator’s decision would be subject to judicial review’. The matter then proceeded to the Constitutional Court,</w:t>
      </w:r>
      <w:r w:rsidR="00DD7771" w:rsidRPr="00DD7771">
        <w:rPr>
          <w:vertAlign w:val="superscript"/>
          <w:lang w:val="en-US"/>
        </w:rPr>
        <w:footnoteReference w:id="10"/>
      </w:r>
      <w:r w:rsidR="00DD7771" w:rsidRPr="005824B7">
        <w:rPr>
          <w:rFonts w:ascii="Arial" w:hAnsi="Arial" w:cs="Arial"/>
          <w:lang w:val="en-US"/>
        </w:rPr>
        <w:t xml:space="preserve"> where Rogers AJ dealt with the merits of the review in terms of PAJA (alternatively legality) and the appeal in terms of s 30P. No view was expressed on the issue of whether it was competent to bring an appeal and a review against an adjudicator’s determination.</w:t>
      </w:r>
      <w:r w:rsidR="00DD7771" w:rsidRPr="005824B7">
        <w:rPr>
          <w:rFonts w:ascii="Arial" w:hAnsi="Arial" w:cs="Arial"/>
        </w:rPr>
        <w:t xml:space="preserve"> We see no reason why an appeal in terms of s 30P cannot stand alongside a review </w:t>
      </w:r>
      <w:r w:rsidR="0031668C" w:rsidRPr="005824B7">
        <w:rPr>
          <w:rFonts w:ascii="Arial" w:hAnsi="Arial" w:cs="Arial"/>
        </w:rPr>
        <w:t xml:space="preserve">in </w:t>
      </w:r>
      <w:r w:rsidR="0031668C" w:rsidRPr="005824B7">
        <w:rPr>
          <w:rFonts w:ascii="Arial" w:hAnsi="Arial" w:cs="Arial"/>
        </w:rPr>
        <w:lastRenderedPageBreak/>
        <w:t>terms of PAJA as well</w:t>
      </w:r>
      <w:r w:rsidR="00DD7771" w:rsidRPr="005824B7">
        <w:rPr>
          <w:rFonts w:ascii="Arial" w:hAnsi="Arial" w:cs="Arial"/>
        </w:rPr>
        <w:t>.</w:t>
      </w:r>
    </w:p>
    <w:p w14:paraId="4486832A" w14:textId="77777777" w:rsidR="0031668C" w:rsidRPr="005852C4" w:rsidRDefault="0031668C" w:rsidP="007A79C3">
      <w:pPr>
        <w:widowControl w:val="0"/>
        <w:spacing w:line="360" w:lineRule="auto"/>
        <w:contextualSpacing/>
        <w:jc w:val="both"/>
        <w:rPr>
          <w:rFonts w:ascii="Arial" w:hAnsi="Arial" w:cs="Arial"/>
        </w:rPr>
      </w:pPr>
    </w:p>
    <w:p w14:paraId="21454D5C" w14:textId="410D1520" w:rsidR="001F5000" w:rsidRPr="005824B7" w:rsidRDefault="005824B7" w:rsidP="005824B7">
      <w:pPr>
        <w:widowControl w:val="0"/>
        <w:spacing w:line="360" w:lineRule="auto"/>
        <w:jc w:val="both"/>
        <w:rPr>
          <w:rFonts w:ascii="Arial" w:hAnsi="Arial" w:cs="Arial"/>
        </w:rPr>
      </w:pPr>
      <w:r w:rsidRPr="007A79C3">
        <w:rPr>
          <w:rFonts w:ascii="Arial" w:hAnsi="Arial" w:cs="Arial"/>
        </w:rPr>
        <w:t>[46]</w:t>
      </w:r>
      <w:r w:rsidRPr="007A79C3">
        <w:rPr>
          <w:rFonts w:ascii="Arial" w:hAnsi="Arial" w:cs="Arial"/>
        </w:rPr>
        <w:tab/>
      </w:r>
      <w:r w:rsidR="001F5000" w:rsidRPr="005824B7">
        <w:rPr>
          <w:rFonts w:ascii="Arial" w:hAnsi="Arial" w:cs="Arial"/>
        </w:rPr>
        <w:t xml:space="preserve">In the present matter, the </w:t>
      </w:r>
      <w:r w:rsidR="00156331" w:rsidRPr="005824B7">
        <w:rPr>
          <w:rFonts w:ascii="Arial" w:hAnsi="Arial" w:cs="Arial"/>
        </w:rPr>
        <w:t xml:space="preserve">court </w:t>
      </w:r>
      <w:r w:rsidR="00156331" w:rsidRPr="005824B7">
        <w:rPr>
          <w:rFonts w:ascii="Arial" w:hAnsi="Arial" w:cs="Arial"/>
          <w:i/>
        </w:rPr>
        <w:t>a quo</w:t>
      </w:r>
      <w:r w:rsidR="001F5000" w:rsidRPr="005824B7">
        <w:rPr>
          <w:rFonts w:ascii="Arial" w:hAnsi="Arial" w:cs="Arial"/>
        </w:rPr>
        <w:t xml:space="preserve"> was simply faced with an appeal in terms of s 30P only, and not a review whether under PAJA or on any other basis. </w:t>
      </w:r>
    </w:p>
    <w:p w14:paraId="7AB59524" w14:textId="77777777" w:rsidR="001F5000" w:rsidRPr="005852C4" w:rsidRDefault="001F5000" w:rsidP="007A79C3">
      <w:pPr>
        <w:widowControl w:val="0"/>
        <w:spacing w:line="360" w:lineRule="auto"/>
        <w:contextualSpacing/>
        <w:jc w:val="both"/>
        <w:rPr>
          <w:rFonts w:ascii="Arial" w:hAnsi="Arial" w:cs="Arial"/>
        </w:rPr>
      </w:pPr>
    </w:p>
    <w:p w14:paraId="2327744D" w14:textId="035E9DB4" w:rsidR="001F5000" w:rsidRPr="005824B7" w:rsidRDefault="005824B7" w:rsidP="005824B7">
      <w:pPr>
        <w:widowControl w:val="0"/>
        <w:spacing w:line="360" w:lineRule="auto"/>
        <w:jc w:val="both"/>
        <w:rPr>
          <w:rFonts w:ascii="Arial" w:hAnsi="Arial" w:cs="Arial"/>
        </w:rPr>
      </w:pPr>
      <w:r w:rsidRPr="007A79C3">
        <w:rPr>
          <w:rFonts w:ascii="Arial" w:hAnsi="Arial" w:cs="Arial"/>
        </w:rPr>
        <w:t>[47]</w:t>
      </w:r>
      <w:r w:rsidRPr="007A79C3">
        <w:rPr>
          <w:rFonts w:ascii="Arial" w:hAnsi="Arial" w:cs="Arial"/>
        </w:rPr>
        <w:tab/>
      </w:r>
      <w:r w:rsidR="001C6A9E" w:rsidRPr="005824B7">
        <w:rPr>
          <w:rFonts w:ascii="Arial" w:hAnsi="Arial" w:cs="Arial"/>
        </w:rPr>
        <w:t>I</w:t>
      </w:r>
      <w:r w:rsidR="001F5000" w:rsidRPr="005824B7">
        <w:rPr>
          <w:rFonts w:ascii="Arial" w:hAnsi="Arial" w:cs="Arial"/>
        </w:rPr>
        <w:t xml:space="preserve">n </w:t>
      </w:r>
      <w:r w:rsidR="001F5000" w:rsidRPr="005824B7">
        <w:rPr>
          <w:rFonts w:ascii="Arial" w:hAnsi="Arial" w:cs="Arial"/>
          <w:i/>
          <w:iCs/>
        </w:rPr>
        <w:t>Old Mutual v Pensions Fund Adjudicator</w:t>
      </w:r>
      <w:r w:rsidR="00F21A0A" w:rsidRPr="003B65F4">
        <w:rPr>
          <w:rStyle w:val="FootnoteReference"/>
          <w:rFonts w:ascii="Arial" w:hAnsi="Arial" w:cs="Arial"/>
          <w:iCs/>
        </w:rPr>
        <w:footnoteReference w:id="11"/>
      </w:r>
      <w:r w:rsidR="001F5000" w:rsidRPr="005824B7">
        <w:rPr>
          <w:rFonts w:ascii="Arial" w:hAnsi="Arial" w:cs="Arial"/>
        </w:rPr>
        <w:t xml:space="preserve"> the </w:t>
      </w:r>
      <w:r w:rsidR="003A43F9" w:rsidRPr="005824B7">
        <w:rPr>
          <w:rFonts w:ascii="Arial" w:hAnsi="Arial" w:cs="Arial"/>
        </w:rPr>
        <w:t xml:space="preserve">court </w:t>
      </w:r>
      <w:r w:rsidR="001F5000" w:rsidRPr="005824B7">
        <w:rPr>
          <w:rFonts w:ascii="Arial" w:hAnsi="Arial" w:cs="Arial"/>
        </w:rPr>
        <w:t xml:space="preserve">held that the function performed by the adjudicator is a judicial one </w:t>
      </w:r>
      <w:r w:rsidR="001C6A9E" w:rsidRPr="005824B7">
        <w:rPr>
          <w:rFonts w:ascii="Arial" w:hAnsi="Arial" w:cs="Arial"/>
        </w:rPr>
        <w:t xml:space="preserve">as </w:t>
      </w:r>
      <w:r w:rsidR="001F5000" w:rsidRPr="005824B7">
        <w:rPr>
          <w:rFonts w:ascii="Arial" w:hAnsi="Arial" w:cs="Arial"/>
        </w:rPr>
        <w:t xml:space="preserve">the adjudicator is a functionary who resolves disputes by the application of law in a fair public hearing and </w:t>
      </w:r>
      <w:r w:rsidR="003A43F9" w:rsidRPr="005824B7">
        <w:rPr>
          <w:rFonts w:ascii="Arial" w:hAnsi="Arial" w:cs="Arial"/>
        </w:rPr>
        <w:t>'</w:t>
      </w:r>
      <w:r w:rsidR="001F5000" w:rsidRPr="005824B7">
        <w:rPr>
          <w:rFonts w:ascii="Arial" w:hAnsi="Arial" w:cs="Arial"/>
        </w:rPr>
        <w:t>in an independent and impartial manner</w:t>
      </w:r>
      <w:r w:rsidR="003A43F9" w:rsidRPr="005824B7">
        <w:rPr>
          <w:rFonts w:ascii="Arial" w:hAnsi="Arial" w:cs="Arial"/>
        </w:rPr>
        <w:t>’</w:t>
      </w:r>
      <w:r w:rsidR="001F5000" w:rsidRPr="005824B7">
        <w:rPr>
          <w:rFonts w:ascii="Arial" w:hAnsi="Arial" w:cs="Arial"/>
        </w:rPr>
        <w:t>.</w:t>
      </w:r>
      <w:r w:rsidR="00881755" w:rsidRPr="005824B7">
        <w:rPr>
          <w:rFonts w:ascii="Arial" w:hAnsi="Arial" w:cs="Arial"/>
        </w:rPr>
        <w:t xml:space="preserve"> </w:t>
      </w:r>
      <w:r w:rsidR="001C6A9E" w:rsidRPr="005824B7">
        <w:rPr>
          <w:rFonts w:ascii="Arial" w:hAnsi="Arial" w:cs="Arial"/>
        </w:rPr>
        <w:t>We accept this characterisation.</w:t>
      </w:r>
    </w:p>
    <w:p w14:paraId="3BA568F1" w14:textId="77777777" w:rsidR="001F5000" w:rsidRPr="005852C4" w:rsidRDefault="001F5000" w:rsidP="007A79C3">
      <w:pPr>
        <w:widowControl w:val="0"/>
        <w:spacing w:line="360" w:lineRule="auto"/>
        <w:contextualSpacing/>
        <w:jc w:val="both"/>
        <w:rPr>
          <w:rFonts w:ascii="Arial" w:hAnsi="Arial" w:cs="Arial"/>
        </w:rPr>
      </w:pPr>
    </w:p>
    <w:p w14:paraId="0C529570" w14:textId="208EF103" w:rsidR="008042E6" w:rsidRPr="005824B7" w:rsidRDefault="005824B7" w:rsidP="005824B7">
      <w:pPr>
        <w:widowControl w:val="0"/>
        <w:spacing w:line="360" w:lineRule="auto"/>
        <w:jc w:val="both"/>
        <w:rPr>
          <w:rFonts w:ascii="Arial" w:hAnsi="Arial" w:cs="Arial"/>
        </w:rPr>
      </w:pPr>
      <w:r>
        <w:rPr>
          <w:rFonts w:ascii="Arial" w:hAnsi="Arial" w:cs="Arial"/>
        </w:rPr>
        <w:t>[48]</w:t>
      </w:r>
      <w:r>
        <w:rPr>
          <w:rFonts w:ascii="Arial" w:hAnsi="Arial" w:cs="Arial"/>
        </w:rPr>
        <w:tab/>
      </w:r>
      <w:r w:rsidR="001F5000" w:rsidRPr="005824B7">
        <w:rPr>
          <w:rFonts w:ascii="Arial" w:hAnsi="Arial" w:cs="Arial"/>
        </w:rPr>
        <w:t xml:space="preserve">This conclusion by the court is buttressed by s 30O of the Pensions Act which states that any determination of the </w:t>
      </w:r>
      <w:r w:rsidR="003A43F9" w:rsidRPr="005824B7">
        <w:rPr>
          <w:rFonts w:ascii="Arial" w:hAnsi="Arial" w:cs="Arial"/>
        </w:rPr>
        <w:t>adjudicator ‘</w:t>
      </w:r>
      <w:r w:rsidR="001F5000" w:rsidRPr="005824B7">
        <w:rPr>
          <w:rFonts w:ascii="Arial" w:hAnsi="Arial" w:cs="Arial"/>
        </w:rPr>
        <w:t>shall be deemed to be a civil judgment of any court of law had the matter in qu</w:t>
      </w:r>
      <w:r w:rsidR="003A43F9" w:rsidRPr="005824B7">
        <w:rPr>
          <w:rFonts w:ascii="Arial" w:hAnsi="Arial" w:cs="Arial"/>
        </w:rPr>
        <w:t>estion been heard by such court’</w:t>
      </w:r>
      <w:r w:rsidR="001F5000" w:rsidRPr="005824B7">
        <w:rPr>
          <w:rFonts w:ascii="Arial" w:hAnsi="Arial" w:cs="Arial"/>
        </w:rPr>
        <w:t>.</w:t>
      </w:r>
      <w:r w:rsidR="00881755" w:rsidRPr="005824B7">
        <w:rPr>
          <w:rFonts w:ascii="Arial" w:hAnsi="Arial" w:cs="Arial"/>
        </w:rPr>
        <w:t xml:space="preserve"> </w:t>
      </w:r>
      <w:r w:rsidR="001F5000" w:rsidRPr="005824B7">
        <w:rPr>
          <w:rFonts w:ascii="Arial" w:hAnsi="Arial" w:cs="Arial"/>
        </w:rPr>
        <w:t>With reference to s 30</w:t>
      </w:r>
      <w:r w:rsidR="001A5529" w:rsidRPr="005824B7">
        <w:rPr>
          <w:rFonts w:ascii="Arial" w:hAnsi="Arial" w:cs="Arial"/>
        </w:rPr>
        <w:t>P</w:t>
      </w:r>
      <w:r w:rsidR="001F5000" w:rsidRPr="005824B7">
        <w:rPr>
          <w:rFonts w:ascii="Arial" w:hAnsi="Arial" w:cs="Arial"/>
        </w:rPr>
        <w:t xml:space="preserve">, </w:t>
      </w:r>
      <w:r w:rsidR="001F5000" w:rsidRPr="005824B7">
        <w:rPr>
          <w:rFonts w:ascii="Arial" w:hAnsi="Arial" w:cs="Arial"/>
          <w:i/>
          <w:iCs/>
        </w:rPr>
        <w:t>inter alia</w:t>
      </w:r>
      <w:r w:rsidR="001F5000" w:rsidRPr="005824B7">
        <w:rPr>
          <w:rFonts w:ascii="Arial" w:hAnsi="Arial" w:cs="Arial"/>
        </w:rPr>
        <w:t xml:space="preserve">, the court in </w:t>
      </w:r>
      <w:r w:rsidR="001F5000" w:rsidRPr="005824B7">
        <w:rPr>
          <w:rFonts w:ascii="Arial" w:hAnsi="Arial" w:cs="Arial"/>
          <w:i/>
          <w:iCs/>
        </w:rPr>
        <w:t>Otis</w:t>
      </w:r>
      <w:r w:rsidR="00C00D14" w:rsidRPr="003A43F9">
        <w:rPr>
          <w:rStyle w:val="FootnoteReference"/>
          <w:rFonts w:ascii="Arial" w:hAnsi="Arial" w:cs="Arial"/>
          <w:iCs/>
        </w:rPr>
        <w:footnoteReference w:id="12"/>
      </w:r>
      <w:r w:rsidR="001F5000" w:rsidRPr="005824B7">
        <w:rPr>
          <w:rFonts w:ascii="Arial" w:hAnsi="Arial" w:cs="Arial"/>
        </w:rPr>
        <w:t xml:space="preserve"> also observed that </w:t>
      </w:r>
    </w:p>
    <w:p w14:paraId="38B43F0C" w14:textId="11A8FB71" w:rsidR="008042E6" w:rsidRPr="00101F81" w:rsidRDefault="008042E6" w:rsidP="008042E6">
      <w:pPr>
        <w:spacing w:line="360" w:lineRule="auto"/>
        <w:contextualSpacing/>
        <w:jc w:val="both"/>
        <w:rPr>
          <w:rFonts w:ascii="Arial" w:hAnsi="Arial" w:cs="Arial"/>
          <w:sz w:val="22"/>
          <w:szCs w:val="22"/>
        </w:rPr>
      </w:pPr>
      <w:r w:rsidRPr="00101F81">
        <w:rPr>
          <w:rFonts w:ascii="Arial" w:hAnsi="Arial" w:cs="Arial"/>
          <w:color w:val="000000"/>
          <w:sz w:val="22"/>
          <w:szCs w:val="22"/>
          <w:shd w:val="clear" w:color="auto" w:fill="FFFFFF"/>
        </w:rPr>
        <w:t>‘It is apparent . . . that the intention of the legislature was to constitute a complaints forum which would, for all practical purposes, be equivalent to a court of law but which was not bound by the formalities of procedure which might ordinarily have the effect of delaying adjudication and causing the parties to incur substantial expenses for legal representation.’</w:t>
      </w:r>
    </w:p>
    <w:p w14:paraId="378CE386" w14:textId="0A398413" w:rsidR="00420FBA" w:rsidRDefault="001F5000" w:rsidP="008042E6">
      <w:pPr>
        <w:pStyle w:val="ListParagraph"/>
        <w:widowControl w:val="0"/>
        <w:spacing w:line="360" w:lineRule="auto"/>
        <w:ind w:left="0"/>
        <w:jc w:val="both"/>
        <w:rPr>
          <w:rFonts w:ascii="Arial" w:hAnsi="Arial" w:cs="Arial"/>
        </w:rPr>
      </w:pPr>
      <w:r w:rsidRPr="007A79C3">
        <w:rPr>
          <w:rFonts w:ascii="Arial" w:hAnsi="Arial" w:cs="Arial"/>
        </w:rPr>
        <w:t xml:space="preserve">It follows, and as was observed in </w:t>
      </w:r>
      <w:r w:rsidRPr="007A79C3">
        <w:rPr>
          <w:rFonts w:ascii="Arial" w:hAnsi="Arial" w:cs="Arial"/>
          <w:i/>
          <w:iCs/>
        </w:rPr>
        <w:t>Old Mutual</w:t>
      </w:r>
      <w:r w:rsidR="008042E6">
        <w:rPr>
          <w:rFonts w:ascii="Arial" w:hAnsi="Arial" w:cs="Arial"/>
          <w:i/>
          <w:iCs/>
        </w:rPr>
        <w:t>,</w:t>
      </w:r>
      <w:r w:rsidR="00C00D14" w:rsidRPr="008042E6">
        <w:rPr>
          <w:rStyle w:val="FootnoteReference"/>
          <w:rFonts w:ascii="Arial" w:hAnsi="Arial" w:cs="Arial"/>
          <w:iCs/>
        </w:rPr>
        <w:footnoteReference w:id="13"/>
      </w:r>
      <w:r w:rsidRPr="007A79C3">
        <w:rPr>
          <w:rFonts w:ascii="Arial" w:hAnsi="Arial" w:cs="Arial"/>
        </w:rPr>
        <w:t xml:space="preserve"> </w:t>
      </w:r>
      <w:r w:rsidR="009828E5">
        <w:rPr>
          <w:rFonts w:ascii="Arial" w:hAnsi="Arial" w:cs="Arial"/>
        </w:rPr>
        <w:t xml:space="preserve">that </w:t>
      </w:r>
      <w:r w:rsidRPr="007A79C3">
        <w:rPr>
          <w:rFonts w:ascii="Arial" w:hAnsi="Arial" w:cs="Arial"/>
        </w:rPr>
        <w:t>a warrant of execution may be issued on the strength of any determination</w:t>
      </w:r>
      <w:r w:rsidR="001C6A9E">
        <w:rPr>
          <w:rFonts w:ascii="Arial" w:hAnsi="Arial" w:cs="Arial"/>
        </w:rPr>
        <w:t xml:space="preserve"> made</w:t>
      </w:r>
      <w:r w:rsidRPr="007A79C3">
        <w:rPr>
          <w:rFonts w:ascii="Arial" w:hAnsi="Arial" w:cs="Arial"/>
        </w:rPr>
        <w:t xml:space="preserve"> by the adjudicator. </w:t>
      </w:r>
    </w:p>
    <w:p w14:paraId="01EDF119" w14:textId="77777777" w:rsidR="00796BFD" w:rsidRPr="007A79C3" w:rsidRDefault="00796BFD" w:rsidP="00796BFD">
      <w:pPr>
        <w:pStyle w:val="ListParagraph"/>
        <w:widowControl w:val="0"/>
        <w:spacing w:line="360" w:lineRule="auto"/>
        <w:ind w:left="0"/>
        <w:jc w:val="both"/>
        <w:rPr>
          <w:rFonts w:ascii="Arial" w:hAnsi="Arial" w:cs="Arial"/>
        </w:rPr>
      </w:pPr>
    </w:p>
    <w:p w14:paraId="6115F812" w14:textId="62AF094C" w:rsidR="001F5000" w:rsidRPr="005824B7" w:rsidRDefault="005824B7" w:rsidP="005824B7">
      <w:pPr>
        <w:widowControl w:val="0"/>
        <w:spacing w:line="360" w:lineRule="auto"/>
        <w:jc w:val="both"/>
        <w:rPr>
          <w:rFonts w:ascii="Arial" w:hAnsi="Arial" w:cs="Arial"/>
        </w:rPr>
      </w:pPr>
      <w:r w:rsidRPr="007A79C3">
        <w:rPr>
          <w:rFonts w:ascii="Arial" w:hAnsi="Arial" w:cs="Arial"/>
        </w:rPr>
        <w:t>[49]</w:t>
      </w:r>
      <w:r w:rsidRPr="007A79C3">
        <w:rPr>
          <w:rFonts w:ascii="Arial" w:hAnsi="Arial" w:cs="Arial"/>
        </w:rPr>
        <w:tab/>
      </w:r>
      <w:r w:rsidR="001F5000" w:rsidRPr="005824B7">
        <w:rPr>
          <w:rFonts w:ascii="Arial" w:hAnsi="Arial" w:cs="Arial"/>
        </w:rPr>
        <w:t>The FSRA came into effect on 1 April 2018.</w:t>
      </w:r>
      <w:r w:rsidR="00881755" w:rsidRPr="005824B7">
        <w:rPr>
          <w:rFonts w:ascii="Arial" w:hAnsi="Arial" w:cs="Arial"/>
        </w:rPr>
        <w:t xml:space="preserve"> </w:t>
      </w:r>
      <w:r w:rsidR="001F5000" w:rsidRPr="005824B7">
        <w:rPr>
          <w:rFonts w:ascii="Arial" w:hAnsi="Arial" w:cs="Arial"/>
        </w:rPr>
        <w:t>The preamble describes its object to include regulating and supervising financial product providers and financial service providers</w:t>
      </w:r>
      <w:r w:rsidR="009828E5" w:rsidRPr="005824B7">
        <w:rPr>
          <w:rFonts w:ascii="Arial" w:hAnsi="Arial" w:cs="Arial"/>
        </w:rPr>
        <w:t>;</w:t>
      </w:r>
      <w:r w:rsidR="001F5000" w:rsidRPr="005824B7">
        <w:rPr>
          <w:rFonts w:ascii="Arial" w:hAnsi="Arial" w:cs="Arial"/>
        </w:rPr>
        <w:t xml:space="preserve"> establishing the Financial Services Tribunal as an independent tribunal</w:t>
      </w:r>
      <w:r w:rsidR="009828E5" w:rsidRPr="005824B7">
        <w:rPr>
          <w:rFonts w:ascii="Arial" w:hAnsi="Arial" w:cs="Arial"/>
        </w:rPr>
        <w:t>;</w:t>
      </w:r>
      <w:r w:rsidR="001F5000" w:rsidRPr="005824B7">
        <w:rPr>
          <w:rFonts w:ascii="Arial" w:hAnsi="Arial" w:cs="Arial"/>
        </w:rPr>
        <w:t xml:space="preserve"> and conferring powers </w:t>
      </w:r>
      <w:r w:rsidR="009828E5" w:rsidRPr="005824B7">
        <w:rPr>
          <w:rFonts w:ascii="Arial" w:hAnsi="Arial" w:cs="Arial"/>
        </w:rPr>
        <w:t xml:space="preserve">on it </w:t>
      </w:r>
      <w:r w:rsidR="001F5000" w:rsidRPr="005824B7">
        <w:rPr>
          <w:rFonts w:ascii="Arial" w:hAnsi="Arial" w:cs="Arial"/>
        </w:rPr>
        <w:t>to reconsider decisions by financial sector regulators, the Ombud Council and certain market infrastructures.</w:t>
      </w:r>
      <w:r w:rsidR="00881755" w:rsidRPr="005824B7">
        <w:rPr>
          <w:rFonts w:ascii="Arial" w:hAnsi="Arial" w:cs="Arial"/>
        </w:rPr>
        <w:t xml:space="preserve"> </w:t>
      </w:r>
      <w:r w:rsidR="001F5000" w:rsidRPr="005824B7">
        <w:rPr>
          <w:rFonts w:ascii="Arial" w:hAnsi="Arial" w:cs="Arial"/>
        </w:rPr>
        <w:t xml:space="preserve">In s 7 </w:t>
      </w:r>
      <w:r w:rsidR="009828E5" w:rsidRPr="005824B7">
        <w:rPr>
          <w:rFonts w:ascii="Arial" w:hAnsi="Arial" w:cs="Arial"/>
        </w:rPr>
        <w:t xml:space="preserve">of the FSRA </w:t>
      </w:r>
      <w:r w:rsidR="001F5000" w:rsidRPr="005824B7">
        <w:rPr>
          <w:rFonts w:ascii="Arial" w:hAnsi="Arial" w:cs="Arial"/>
        </w:rPr>
        <w:t xml:space="preserve">the object is described to </w:t>
      </w:r>
      <w:r w:rsidR="008042E6" w:rsidRPr="005824B7">
        <w:rPr>
          <w:rFonts w:ascii="Arial" w:hAnsi="Arial" w:cs="Arial"/>
          <w:i/>
        </w:rPr>
        <w:t>inter alia</w:t>
      </w:r>
      <w:r w:rsidR="008042E6" w:rsidRPr="005824B7">
        <w:rPr>
          <w:rFonts w:ascii="Arial" w:hAnsi="Arial" w:cs="Arial"/>
        </w:rPr>
        <w:t xml:space="preserve"> ‘</w:t>
      </w:r>
      <w:r w:rsidR="001F5000" w:rsidRPr="005824B7">
        <w:rPr>
          <w:rFonts w:ascii="Arial" w:hAnsi="Arial" w:cs="Arial"/>
        </w:rPr>
        <w:t xml:space="preserve">achieve a stable financial system that works in the interests of financial customers and that supports balanced </w:t>
      </w:r>
      <w:r w:rsidR="008042E6" w:rsidRPr="005824B7">
        <w:rPr>
          <w:rFonts w:ascii="Arial" w:hAnsi="Arial" w:cs="Arial"/>
        </w:rPr>
        <w:t>and sustainable economic growth’</w:t>
      </w:r>
      <w:r w:rsidR="001F5000" w:rsidRPr="005824B7">
        <w:rPr>
          <w:rFonts w:ascii="Arial" w:hAnsi="Arial" w:cs="Arial"/>
        </w:rPr>
        <w:t>.</w:t>
      </w:r>
      <w:r w:rsidR="00881755" w:rsidRPr="005824B7">
        <w:rPr>
          <w:rFonts w:ascii="Arial" w:hAnsi="Arial" w:cs="Arial"/>
        </w:rPr>
        <w:t xml:space="preserve"> </w:t>
      </w:r>
    </w:p>
    <w:p w14:paraId="22DAA727" w14:textId="77777777" w:rsidR="001F5000" w:rsidRPr="005852C4" w:rsidRDefault="001F5000" w:rsidP="007A79C3">
      <w:pPr>
        <w:widowControl w:val="0"/>
        <w:spacing w:line="360" w:lineRule="auto"/>
        <w:contextualSpacing/>
        <w:jc w:val="both"/>
        <w:rPr>
          <w:rFonts w:ascii="Arial" w:hAnsi="Arial" w:cs="Arial"/>
        </w:rPr>
      </w:pPr>
    </w:p>
    <w:p w14:paraId="394B4A20" w14:textId="02EFF69A" w:rsidR="001F5000" w:rsidRPr="005824B7" w:rsidRDefault="005824B7" w:rsidP="005824B7">
      <w:pPr>
        <w:widowControl w:val="0"/>
        <w:spacing w:line="360" w:lineRule="auto"/>
        <w:jc w:val="both"/>
        <w:rPr>
          <w:rFonts w:ascii="Arial" w:hAnsi="Arial" w:cs="Arial"/>
        </w:rPr>
      </w:pPr>
      <w:r w:rsidRPr="007A79C3">
        <w:rPr>
          <w:rFonts w:ascii="Arial" w:hAnsi="Arial" w:cs="Arial"/>
        </w:rPr>
        <w:t>[50]</w:t>
      </w:r>
      <w:r w:rsidRPr="007A79C3">
        <w:rPr>
          <w:rFonts w:ascii="Arial" w:hAnsi="Arial" w:cs="Arial"/>
        </w:rPr>
        <w:tab/>
      </w:r>
      <w:r w:rsidR="001F5000" w:rsidRPr="005824B7">
        <w:rPr>
          <w:rFonts w:ascii="Arial" w:hAnsi="Arial" w:cs="Arial"/>
        </w:rPr>
        <w:t>Ms Mayola relies on s 230 of the FSRA to which we turn to next.</w:t>
      </w:r>
      <w:r w:rsidR="00881755" w:rsidRPr="005824B7">
        <w:rPr>
          <w:rFonts w:ascii="Arial" w:hAnsi="Arial" w:cs="Arial"/>
        </w:rPr>
        <w:t xml:space="preserve"> </w:t>
      </w:r>
      <w:r w:rsidR="001F5000" w:rsidRPr="005824B7">
        <w:rPr>
          <w:rFonts w:ascii="Arial" w:hAnsi="Arial" w:cs="Arial"/>
        </w:rPr>
        <w:t xml:space="preserve">It reads as </w:t>
      </w:r>
      <w:r w:rsidR="001F5000" w:rsidRPr="005824B7">
        <w:rPr>
          <w:rFonts w:ascii="Arial" w:hAnsi="Arial" w:cs="Arial"/>
        </w:rPr>
        <w:lastRenderedPageBreak/>
        <w:t>follows</w:t>
      </w:r>
      <w:r w:rsidR="008042E6" w:rsidRPr="005824B7">
        <w:rPr>
          <w:rFonts w:ascii="Arial" w:hAnsi="Arial" w:cs="Arial"/>
        </w:rPr>
        <w:t>:</w:t>
      </w:r>
    </w:p>
    <w:p w14:paraId="5D92A5A8" w14:textId="78118D64" w:rsidR="008042E6" w:rsidRPr="00D73D79" w:rsidRDefault="008042E6" w:rsidP="008D7B58">
      <w:pPr>
        <w:spacing w:line="360" w:lineRule="auto"/>
        <w:contextualSpacing/>
        <w:jc w:val="both"/>
        <w:rPr>
          <w:rFonts w:ascii="Arial" w:hAnsi="Arial" w:cs="Arial"/>
          <w:color w:val="000000"/>
          <w:sz w:val="22"/>
          <w:szCs w:val="18"/>
          <w:shd w:val="clear" w:color="auto" w:fill="FFFFFF"/>
        </w:rPr>
      </w:pPr>
      <w:r>
        <w:rPr>
          <w:rFonts w:ascii="Arial" w:hAnsi="Arial" w:cs="Arial"/>
          <w:bCs/>
          <w:color w:val="000000"/>
          <w:sz w:val="22"/>
          <w:szCs w:val="18"/>
          <w:shd w:val="clear" w:color="auto" w:fill="FFFFFF"/>
        </w:rPr>
        <w:t>‘</w:t>
      </w:r>
      <w:r w:rsidRPr="00D73D79">
        <w:rPr>
          <w:rFonts w:ascii="Arial" w:hAnsi="Arial" w:cs="Arial"/>
          <w:bCs/>
          <w:color w:val="000000"/>
          <w:sz w:val="22"/>
          <w:szCs w:val="18"/>
          <w:shd w:val="clear" w:color="auto" w:fill="FFFFFF"/>
        </w:rPr>
        <w:t>30.   Applications for reconsideration of decisions.</w:t>
      </w:r>
    </w:p>
    <w:p w14:paraId="5DE9FE50" w14:textId="77777777" w:rsidR="008042E6" w:rsidRPr="00D73D79" w:rsidRDefault="008042E6" w:rsidP="008D7B58">
      <w:pPr>
        <w:spacing w:line="360" w:lineRule="auto"/>
        <w:ind w:left="720" w:hanging="720"/>
        <w:contextualSpacing/>
        <w:jc w:val="both"/>
        <w:rPr>
          <w:rFonts w:ascii="Arial" w:hAnsi="Arial" w:cs="Arial"/>
          <w:color w:val="000000"/>
          <w:sz w:val="22"/>
          <w:szCs w:val="18"/>
          <w:shd w:val="clear" w:color="auto" w:fill="FFFFFF"/>
        </w:rPr>
      </w:pPr>
      <w:r w:rsidRPr="00D73D79">
        <w:rPr>
          <w:rFonts w:ascii="Arial" w:hAnsi="Arial" w:cs="Arial"/>
          <w:color w:val="000000"/>
          <w:sz w:val="22"/>
          <w:szCs w:val="18"/>
          <w:shd w:val="clear" w:color="auto" w:fill="FFFFFF"/>
        </w:rPr>
        <w:t>(1)  (</w:t>
      </w:r>
      <w:r w:rsidRPr="00D73D79">
        <w:rPr>
          <w:rFonts w:ascii="Arial" w:hAnsi="Arial" w:cs="Arial"/>
          <w:i/>
          <w:iCs/>
          <w:color w:val="000000"/>
          <w:sz w:val="22"/>
          <w:szCs w:val="18"/>
          <w:shd w:val="clear" w:color="auto" w:fill="FFFFFF"/>
        </w:rPr>
        <w:t>a</w:t>
      </w:r>
      <w:r w:rsidRPr="00D73D79">
        <w:rPr>
          <w:rFonts w:ascii="Arial" w:hAnsi="Arial" w:cs="Arial"/>
          <w:color w:val="000000"/>
          <w:sz w:val="22"/>
          <w:szCs w:val="18"/>
          <w:shd w:val="clear" w:color="auto" w:fill="FFFFFF"/>
        </w:rPr>
        <w:t>)  A person aggrieved by a decision may apply to the Tribunal for a reconsideration of the decision by the Tribunal in accordance with this Part.</w:t>
      </w:r>
    </w:p>
    <w:p w14:paraId="74CE2C8F" w14:textId="09FF2DA6" w:rsidR="008042E6" w:rsidRPr="00D73D79" w:rsidRDefault="008042E6" w:rsidP="008D7B58">
      <w:pPr>
        <w:spacing w:line="360" w:lineRule="auto"/>
        <w:ind w:left="720" w:hanging="720"/>
        <w:contextualSpacing/>
        <w:jc w:val="both"/>
        <w:rPr>
          <w:rFonts w:ascii="Arial" w:hAnsi="Arial" w:cs="Arial"/>
          <w:color w:val="000000"/>
          <w:sz w:val="22"/>
          <w:szCs w:val="18"/>
          <w:shd w:val="clear" w:color="auto" w:fill="FFFFFF"/>
        </w:rPr>
      </w:pPr>
      <w:r w:rsidRPr="00D73D79">
        <w:rPr>
          <w:rFonts w:ascii="Arial" w:hAnsi="Arial" w:cs="Arial"/>
          <w:color w:val="000000"/>
          <w:sz w:val="22"/>
          <w:szCs w:val="18"/>
          <w:shd w:val="clear" w:color="auto" w:fill="FFFFFF"/>
        </w:rPr>
        <w:t>(</w:t>
      </w:r>
      <w:r w:rsidRPr="00D73D79">
        <w:rPr>
          <w:rFonts w:ascii="Arial" w:hAnsi="Arial" w:cs="Arial"/>
          <w:i/>
          <w:iCs/>
          <w:color w:val="000000"/>
          <w:sz w:val="22"/>
          <w:szCs w:val="18"/>
          <w:shd w:val="clear" w:color="auto" w:fill="FFFFFF"/>
        </w:rPr>
        <w:t>b</w:t>
      </w:r>
      <w:r w:rsidRPr="00D73D79">
        <w:rPr>
          <w:rFonts w:ascii="Arial" w:hAnsi="Arial" w:cs="Arial"/>
          <w:color w:val="000000"/>
          <w:sz w:val="22"/>
          <w:szCs w:val="18"/>
          <w:shd w:val="clear" w:color="auto" w:fill="FFFFFF"/>
        </w:rPr>
        <w:t>)  </w:t>
      </w:r>
      <w:r w:rsidR="008D7B58">
        <w:rPr>
          <w:rFonts w:ascii="Arial" w:hAnsi="Arial" w:cs="Arial"/>
          <w:color w:val="000000"/>
          <w:sz w:val="22"/>
          <w:szCs w:val="18"/>
          <w:shd w:val="clear" w:color="auto" w:fill="FFFFFF"/>
        </w:rPr>
        <w:tab/>
      </w:r>
      <w:r w:rsidRPr="00D73D79">
        <w:rPr>
          <w:rFonts w:ascii="Arial" w:hAnsi="Arial" w:cs="Arial"/>
          <w:color w:val="000000"/>
          <w:sz w:val="22"/>
          <w:szCs w:val="18"/>
          <w:shd w:val="clear" w:color="auto" w:fill="FFFFFF"/>
        </w:rPr>
        <w:t>A reconsideration of a decision in terms of this Part constitutes an internal remedy as contemplated in section 7 (2) of the Promotion of Administrative Justice Act.</w:t>
      </w:r>
    </w:p>
    <w:p w14:paraId="24906090" w14:textId="0E96A093" w:rsidR="008042E6" w:rsidRPr="00D73D79" w:rsidRDefault="008042E6" w:rsidP="008D7B58">
      <w:pPr>
        <w:spacing w:line="360" w:lineRule="auto"/>
        <w:contextualSpacing/>
        <w:jc w:val="both"/>
        <w:rPr>
          <w:rFonts w:ascii="Arial" w:hAnsi="Arial" w:cs="Arial"/>
          <w:color w:val="000000"/>
          <w:sz w:val="22"/>
          <w:szCs w:val="18"/>
          <w:shd w:val="clear" w:color="auto" w:fill="FFFFFF"/>
        </w:rPr>
      </w:pPr>
      <w:r w:rsidRPr="00D73D79">
        <w:rPr>
          <w:rFonts w:ascii="Arial" w:hAnsi="Arial" w:cs="Arial"/>
          <w:color w:val="000000"/>
          <w:sz w:val="22"/>
          <w:szCs w:val="18"/>
          <w:shd w:val="clear" w:color="auto" w:fill="FFFFFF"/>
        </w:rPr>
        <w:t>(2)  </w:t>
      </w:r>
      <w:r w:rsidR="008D7B58">
        <w:rPr>
          <w:rFonts w:ascii="Arial" w:hAnsi="Arial" w:cs="Arial"/>
          <w:color w:val="000000"/>
          <w:sz w:val="22"/>
          <w:szCs w:val="18"/>
          <w:shd w:val="clear" w:color="auto" w:fill="FFFFFF"/>
        </w:rPr>
        <w:tab/>
      </w:r>
      <w:r w:rsidRPr="00D73D79">
        <w:rPr>
          <w:rFonts w:ascii="Arial" w:hAnsi="Arial" w:cs="Arial"/>
          <w:color w:val="000000"/>
          <w:sz w:val="22"/>
          <w:szCs w:val="18"/>
          <w:shd w:val="clear" w:color="auto" w:fill="FFFFFF"/>
        </w:rPr>
        <w:t>The application must be made—</w:t>
      </w:r>
    </w:p>
    <w:p w14:paraId="51D53C78" w14:textId="2E8E1718" w:rsidR="008042E6" w:rsidRPr="00D73D79" w:rsidRDefault="008042E6" w:rsidP="008D7B58">
      <w:pPr>
        <w:spacing w:line="360" w:lineRule="auto"/>
        <w:ind w:left="720" w:hanging="720"/>
        <w:contextualSpacing/>
        <w:jc w:val="both"/>
        <w:rPr>
          <w:rFonts w:ascii="Arial" w:hAnsi="Arial" w:cs="Arial"/>
          <w:color w:val="000000"/>
          <w:sz w:val="22"/>
          <w:szCs w:val="18"/>
          <w:shd w:val="clear" w:color="auto" w:fill="FFFFFF"/>
        </w:rPr>
      </w:pPr>
      <w:r w:rsidRPr="00D73D79">
        <w:rPr>
          <w:rFonts w:ascii="Arial" w:hAnsi="Arial" w:cs="Arial"/>
          <w:color w:val="000000"/>
          <w:sz w:val="22"/>
          <w:szCs w:val="18"/>
          <w:shd w:val="clear" w:color="auto" w:fill="FFFFFF"/>
        </w:rPr>
        <w:t>(</w:t>
      </w:r>
      <w:r w:rsidRPr="00D73D79">
        <w:rPr>
          <w:rFonts w:ascii="Arial" w:hAnsi="Arial" w:cs="Arial"/>
          <w:i/>
          <w:iCs/>
          <w:color w:val="000000"/>
          <w:sz w:val="22"/>
          <w:szCs w:val="18"/>
          <w:shd w:val="clear" w:color="auto" w:fill="FFFFFF"/>
        </w:rPr>
        <w:t>a</w:t>
      </w:r>
      <w:r w:rsidRPr="00D73D79">
        <w:rPr>
          <w:rFonts w:ascii="Arial" w:hAnsi="Arial" w:cs="Arial"/>
          <w:color w:val="000000"/>
          <w:sz w:val="22"/>
          <w:szCs w:val="18"/>
          <w:shd w:val="clear" w:color="auto" w:fill="FFFFFF"/>
        </w:rPr>
        <w:t xml:space="preserve">) </w:t>
      </w:r>
      <w:r w:rsidR="008D7B58">
        <w:rPr>
          <w:rFonts w:ascii="Arial" w:hAnsi="Arial" w:cs="Arial"/>
          <w:color w:val="000000"/>
          <w:sz w:val="22"/>
          <w:szCs w:val="18"/>
          <w:shd w:val="clear" w:color="auto" w:fill="FFFFFF"/>
        </w:rPr>
        <w:tab/>
      </w:r>
      <w:r w:rsidRPr="00D73D79">
        <w:rPr>
          <w:rFonts w:ascii="Arial" w:hAnsi="Arial" w:cs="Arial"/>
          <w:color w:val="000000"/>
          <w:sz w:val="22"/>
          <w:szCs w:val="18"/>
          <w:shd w:val="clear" w:color="auto" w:fill="FFFFFF"/>
        </w:rPr>
        <w:t>if the applicant requested reasons in terms of section 229, within 30 days after the statement of reasons was given to the person; or</w:t>
      </w:r>
    </w:p>
    <w:p w14:paraId="7C7D9E5B" w14:textId="151A1692" w:rsidR="008042E6" w:rsidRPr="00D73D79" w:rsidRDefault="008042E6" w:rsidP="008D7B58">
      <w:pPr>
        <w:spacing w:line="360" w:lineRule="auto"/>
        <w:ind w:left="720" w:hanging="720"/>
        <w:contextualSpacing/>
        <w:jc w:val="both"/>
        <w:rPr>
          <w:rFonts w:ascii="Arial" w:hAnsi="Arial" w:cs="Arial"/>
          <w:color w:val="000000"/>
          <w:sz w:val="22"/>
          <w:szCs w:val="18"/>
          <w:shd w:val="clear" w:color="auto" w:fill="FFFFFF"/>
        </w:rPr>
      </w:pPr>
      <w:r w:rsidRPr="00D73D79">
        <w:rPr>
          <w:rFonts w:ascii="Arial" w:hAnsi="Arial" w:cs="Arial"/>
          <w:color w:val="000000"/>
          <w:sz w:val="22"/>
          <w:szCs w:val="18"/>
          <w:shd w:val="clear" w:color="auto" w:fill="FFFFFF"/>
        </w:rPr>
        <w:t>(</w:t>
      </w:r>
      <w:r w:rsidRPr="00D73D79">
        <w:rPr>
          <w:rFonts w:ascii="Arial" w:hAnsi="Arial" w:cs="Arial"/>
          <w:i/>
          <w:iCs/>
          <w:color w:val="000000"/>
          <w:sz w:val="22"/>
          <w:szCs w:val="18"/>
          <w:shd w:val="clear" w:color="auto" w:fill="FFFFFF"/>
        </w:rPr>
        <w:t>b</w:t>
      </w:r>
      <w:r w:rsidRPr="00D73D79">
        <w:rPr>
          <w:rFonts w:ascii="Arial" w:hAnsi="Arial" w:cs="Arial"/>
          <w:color w:val="000000"/>
          <w:sz w:val="22"/>
          <w:szCs w:val="18"/>
          <w:shd w:val="clear" w:color="auto" w:fill="FFFFFF"/>
        </w:rPr>
        <w:t>)</w:t>
      </w:r>
      <w:r w:rsidR="008D7B58">
        <w:rPr>
          <w:rFonts w:ascii="Arial" w:hAnsi="Arial" w:cs="Arial"/>
          <w:color w:val="000000"/>
          <w:sz w:val="22"/>
          <w:szCs w:val="18"/>
          <w:shd w:val="clear" w:color="auto" w:fill="FFFFFF"/>
        </w:rPr>
        <w:tab/>
      </w:r>
      <w:r w:rsidRPr="00D73D79">
        <w:rPr>
          <w:rFonts w:ascii="Arial" w:hAnsi="Arial" w:cs="Arial"/>
          <w:color w:val="000000"/>
          <w:sz w:val="22"/>
          <w:szCs w:val="18"/>
          <w:shd w:val="clear" w:color="auto" w:fill="FFFFFF"/>
        </w:rPr>
        <w:t>in all other cases, within 60 days after the applicant was notified of the decision, or such longer period as may on good cause be allowed.</w:t>
      </w:r>
    </w:p>
    <w:p w14:paraId="7A31164C" w14:textId="5DAC4229" w:rsidR="008042E6" w:rsidRPr="00D73D79" w:rsidRDefault="008042E6" w:rsidP="008D7B58">
      <w:pPr>
        <w:spacing w:line="360" w:lineRule="auto"/>
        <w:contextualSpacing/>
        <w:jc w:val="both"/>
        <w:rPr>
          <w:rFonts w:ascii="Arial" w:hAnsi="Arial" w:cs="Arial"/>
          <w:color w:val="000000"/>
          <w:sz w:val="22"/>
          <w:szCs w:val="18"/>
          <w:shd w:val="clear" w:color="auto" w:fill="FFFFFF"/>
        </w:rPr>
      </w:pPr>
      <w:r w:rsidRPr="00D73D79">
        <w:rPr>
          <w:rFonts w:ascii="Arial" w:hAnsi="Arial" w:cs="Arial"/>
          <w:color w:val="000000"/>
          <w:sz w:val="22"/>
          <w:szCs w:val="18"/>
          <w:shd w:val="clear" w:color="auto" w:fill="FFFFFF"/>
        </w:rPr>
        <w:t>(3)  </w:t>
      </w:r>
      <w:r w:rsidR="008D7B58">
        <w:rPr>
          <w:rFonts w:ascii="Arial" w:hAnsi="Arial" w:cs="Arial"/>
          <w:color w:val="000000"/>
          <w:sz w:val="22"/>
          <w:szCs w:val="18"/>
          <w:shd w:val="clear" w:color="auto" w:fill="FFFFFF"/>
        </w:rPr>
        <w:tab/>
      </w:r>
      <w:r w:rsidRPr="00D73D79">
        <w:rPr>
          <w:rFonts w:ascii="Arial" w:hAnsi="Arial" w:cs="Arial"/>
          <w:color w:val="000000"/>
          <w:sz w:val="22"/>
          <w:szCs w:val="18"/>
          <w:shd w:val="clear" w:color="auto" w:fill="FFFFFF"/>
        </w:rPr>
        <w:t>An application in terms of subsection (1) must be made in accordance with the Tribunal rules.</w:t>
      </w:r>
      <w:r>
        <w:rPr>
          <w:rFonts w:ascii="Arial" w:hAnsi="Arial" w:cs="Arial"/>
          <w:color w:val="000000"/>
          <w:sz w:val="22"/>
          <w:szCs w:val="18"/>
          <w:shd w:val="clear" w:color="auto" w:fill="FFFFFF"/>
        </w:rPr>
        <w:t>’</w:t>
      </w:r>
    </w:p>
    <w:p w14:paraId="2529BDA2" w14:textId="77777777" w:rsidR="001F5000" w:rsidRPr="005852C4" w:rsidRDefault="001F5000" w:rsidP="007A79C3">
      <w:pPr>
        <w:widowControl w:val="0"/>
        <w:spacing w:line="360" w:lineRule="auto"/>
        <w:contextualSpacing/>
        <w:jc w:val="both"/>
        <w:rPr>
          <w:rFonts w:ascii="Arial" w:hAnsi="Arial" w:cs="Arial"/>
        </w:rPr>
      </w:pPr>
    </w:p>
    <w:p w14:paraId="185ACFBB" w14:textId="312098A4" w:rsidR="001A5529" w:rsidRPr="005824B7" w:rsidRDefault="005824B7" w:rsidP="005824B7">
      <w:pPr>
        <w:widowControl w:val="0"/>
        <w:spacing w:line="360" w:lineRule="auto"/>
        <w:jc w:val="both"/>
        <w:rPr>
          <w:rFonts w:ascii="Arial" w:hAnsi="Arial" w:cs="Arial"/>
        </w:rPr>
      </w:pPr>
      <w:r w:rsidRPr="007A79C3">
        <w:rPr>
          <w:rFonts w:ascii="Arial" w:hAnsi="Arial" w:cs="Arial"/>
        </w:rPr>
        <w:t>[51]</w:t>
      </w:r>
      <w:r w:rsidRPr="007A79C3">
        <w:rPr>
          <w:rFonts w:ascii="Arial" w:hAnsi="Arial" w:cs="Arial"/>
        </w:rPr>
        <w:tab/>
      </w:r>
      <w:r w:rsidR="001F5000" w:rsidRPr="005824B7">
        <w:rPr>
          <w:rFonts w:ascii="Arial" w:hAnsi="Arial" w:cs="Arial"/>
        </w:rPr>
        <w:t>A ‘decision’ as referred to in s 230(1)</w:t>
      </w:r>
      <w:r w:rsidR="001C6A9E" w:rsidRPr="005824B7">
        <w:rPr>
          <w:rFonts w:ascii="Arial" w:hAnsi="Arial" w:cs="Arial"/>
        </w:rPr>
        <w:t>,</w:t>
      </w:r>
      <w:r w:rsidR="001F5000" w:rsidRPr="005824B7">
        <w:rPr>
          <w:rFonts w:ascii="Arial" w:hAnsi="Arial" w:cs="Arial"/>
        </w:rPr>
        <w:t xml:space="preserve"> is defined in s 218 and it includes </w:t>
      </w:r>
      <w:r w:rsidR="00F43A26" w:rsidRPr="005824B7">
        <w:rPr>
          <w:rFonts w:ascii="Arial" w:hAnsi="Arial" w:cs="Arial"/>
        </w:rPr>
        <w:t>‘</w:t>
      </w:r>
      <w:r w:rsidR="001F5000" w:rsidRPr="005824B7">
        <w:rPr>
          <w:rFonts w:ascii="Arial" w:hAnsi="Arial" w:cs="Arial"/>
        </w:rPr>
        <w:t>a decision of a statutory ombud in terms of a financial sector law in relation to a specific complaint by a person</w:t>
      </w:r>
      <w:r w:rsidR="00F43A26" w:rsidRPr="005824B7">
        <w:rPr>
          <w:rFonts w:ascii="Arial" w:hAnsi="Arial" w:cs="Arial"/>
        </w:rPr>
        <w:t>’</w:t>
      </w:r>
      <w:r w:rsidR="001F5000" w:rsidRPr="005824B7">
        <w:rPr>
          <w:rFonts w:ascii="Arial" w:hAnsi="Arial" w:cs="Arial"/>
        </w:rPr>
        <w:t>.</w:t>
      </w:r>
      <w:r w:rsidR="00881755" w:rsidRPr="005824B7">
        <w:rPr>
          <w:rFonts w:ascii="Arial" w:hAnsi="Arial" w:cs="Arial"/>
        </w:rPr>
        <w:t xml:space="preserve"> </w:t>
      </w:r>
      <w:r w:rsidR="001F5000" w:rsidRPr="005824B7">
        <w:rPr>
          <w:rFonts w:ascii="Arial" w:hAnsi="Arial" w:cs="Arial"/>
        </w:rPr>
        <w:t>The adjudicator is included in the definition of a ‘statutory ombud’ contained in s 1 of FSRA. Section 230(1) does not repeal s 30P of the Pensions Act.</w:t>
      </w:r>
      <w:r w:rsidR="00881755" w:rsidRPr="005824B7">
        <w:rPr>
          <w:rFonts w:ascii="Arial" w:hAnsi="Arial" w:cs="Arial"/>
        </w:rPr>
        <w:t xml:space="preserve"> </w:t>
      </w:r>
      <w:r w:rsidR="001F5000" w:rsidRPr="005824B7">
        <w:rPr>
          <w:rFonts w:ascii="Arial" w:hAnsi="Arial" w:cs="Arial"/>
        </w:rPr>
        <w:t>The two co-exist and the appellant had an election to make as to which section it wanted to proceed in terms of.</w:t>
      </w:r>
      <w:r w:rsidR="00881755" w:rsidRPr="005824B7">
        <w:rPr>
          <w:rFonts w:ascii="Arial" w:hAnsi="Arial" w:cs="Arial"/>
        </w:rPr>
        <w:t xml:space="preserve"> </w:t>
      </w:r>
      <w:r w:rsidR="001F5000" w:rsidRPr="005824B7">
        <w:rPr>
          <w:rFonts w:ascii="Arial" w:hAnsi="Arial" w:cs="Arial"/>
        </w:rPr>
        <w:t>It elected to utilise the appeal procedure in s</w:t>
      </w:r>
      <w:r w:rsidR="00F43A26" w:rsidRPr="005824B7">
        <w:rPr>
          <w:rFonts w:ascii="Arial" w:hAnsi="Arial" w:cs="Arial"/>
        </w:rPr>
        <w:t> </w:t>
      </w:r>
      <w:r w:rsidR="001F5000" w:rsidRPr="005824B7">
        <w:rPr>
          <w:rFonts w:ascii="Arial" w:hAnsi="Arial" w:cs="Arial"/>
        </w:rPr>
        <w:t>30P</w:t>
      </w:r>
      <w:r w:rsidR="00004698" w:rsidRPr="005824B7">
        <w:rPr>
          <w:rFonts w:ascii="Arial" w:hAnsi="Arial" w:cs="Arial"/>
        </w:rPr>
        <w:t xml:space="preserve"> of the Pensions Act</w:t>
      </w:r>
      <w:r w:rsidR="001F5000" w:rsidRPr="005824B7">
        <w:rPr>
          <w:rFonts w:ascii="Arial" w:hAnsi="Arial" w:cs="Arial"/>
        </w:rPr>
        <w:t xml:space="preserve"> and not the reconsideration procedure in s 230 of FSRA.</w:t>
      </w:r>
      <w:r w:rsidR="00881755" w:rsidRPr="005824B7">
        <w:rPr>
          <w:rFonts w:ascii="Arial" w:hAnsi="Arial" w:cs="Arial"/>
        </w:rPr>
        <w:t xml:space="preserve"> </w:t>
      </w:r>
      <w:r w:rsidR="001F5000" w:rsidRPr="005824B7">
        <w:rPr>
          <w:rFonts w:ascii="Arial" w:hAnsi="Arial" w:cs="Arial"/>
        </w:rPr>
        <w:t>We find no reason why, having made the election, the appellant was obliged to explain why it did not utilise the reconsideration process in s 230 of FSRA, as was contended by Mr Gumbi during argument</w:t>
      </w:r>
      <w:r w:rsidR="001A5529" w:rsidRPr="005824B7">
        <w:rPr>
          <w:rFonts w:ascii="Arial" w:hAnsi="Arial" w:cs="Arial"/>
        </w:rPr>
        <w:t xml:space="preserve">. Mr Gumbi, however, </w:t>
      </w:r>
      <w:r w:rsidR="00C00D14" w:rsidRPr="005824B7">
        <w:rPr>
          <w:rFonts w:ascii="Arial" w:hAnsi="Arial" w:cs="Arial"/>
        </w:rPr>
        <w:t>whilst conceding</w:t>
      </w:r>
      <w:r w:rsidR="001F5000" w:rsidRPr="005824B7">
        <w:rPr>
          <w:rFonts w:ascii="Arial" w:hAnsi="Arial" w:cs="Arial"/>
        </w:rPr>
        <w:t xml:space="preserve"> that s 30P provides for an appeal in the wide sense, </w:t>
      </w:r>
      <w:r w:rsidR="001A5529" w:rsidRPr="005824B7">
        <w:rPr>
          <w:rFonts w:ascii="Arial" w:hAnsi="Arial" w:cs="Arial"/>
        </w:rPr>
        <w:t>nonetheless contended that the appellant</w:t>
      </w:r>
      <w:r w:rsidR="001F5000" w:rsidRPr="005824B7">
        <w:rPr>
          <w:rFonts w:ascii="Arial" w:hAnsi="Arial" w:cs="Arial"/>
        </w:rPr>
        <w:t xml:space="preserve"> has failed to make out a case for such an appeal to be granted.</w:t>
      </w:r>
      <w:r w:rsidR="00881755" w:rsidRPr="005824B7">
        <w:rPr>
          <w:rFonts w:ascii="Arial" w:hAnsi="Arial" w:cs="Arial"/>
        </w:rPr>
        <w:t xml:space="preserve"> </w:t>
      </w:r>
      <w:r w:rsidR="001A5529" w:rsidRPr="005824B7">
        <w:rPr>
          <w:rFonts w:ascii="Arial" w:hAnsi="Arial" w:cs="Arial"/>
        </w:rPr>
        <w:t>We</w:t>
      </w:r>
      <w:r w:rsidR="00C00D14" w:rsidRPr="005824B7">
        <w:rPr>
          <w:rFonts w:ascii="Arial" w:hAnsi="Arial" w:cs="Arial"/>
        </w:rPr>
        <w:t>, however,</w:t>
      </w:r>
      <w:r w:rsidR="001A5529" w:rsidRPr="005824B7">
        <w:rPr>
          <w:rFonts w:ascii="Arial" w:hAnsi="Arial" w:cs="Arial"/>
        </w:rPr>
        <w:t xml:space="preserve"> hold the view that the</w:t>
      </w:r>
      <w:r w:rsidR="001F5000" w:rsidRPr="005824B7">
        <w:rPr>
          <w:rFonts w:ascii="Arial" w:hAnsi="Arial" w:cs="Arial"/>
        </w:rPr>
        <w:t xml:space="preserve"> Pensions Act, specifically s 30P</w:t>
      </w:r>
      <w:r w:rsidR="00004698" w:rsidRPr="005824B7">
        <w:rPr>
          <w:rFonts w:ascii="Arial" w:hAnsi="Arial" w:cs="Arial"/>
        </w:rPr>
        <w:t xml:space="preserve"> </w:t>
      </w:r>
      <w:r w:rsidR="0031668C" w:rsidRPr="005824B7">
        <w:rPr>
          <w:rFonts w:ascii="Arial" w:hAnsi="Arial" w:cs="Arial"/>
        </w:rPr>
        <w:t>thereof</w:t>
      </w:r>
      <w:r w:rsidR="001F5000" w:rsidRPr="005824B7">
        <w:rPr>
          <w:rFonts w:ascii="Arial" w:hAnsi="Arial" w:cs="Arial"/>
        </w:rPr>
        <w:t xml:space="preserve">, </w:t>
      </w:r>
      <w:r w:rsidR="001A5529" w:rsidRPr="005824B7">
        <w:rPr>
          <w:rFonts w:ascii="Arial" w:hAnsi="Arial" w:cs="Arial"/>
        </w:rPr>
        <w:t>continues to apply</w:t>
      </w:r>
      <w:r w:rsidR="001F5000" w:rsidRPr="005824B7">
        <w:rPr>
          <w:rFonts w:ascii="Arial" w:hAnsi="Arial" w:cs="Arial"/>
        </w:rPr>
        <w:t xml:space="preserve">. </w:t>
      </w:r>
    </w:p>
    <w:p w14:paraId="1FAB47C0" w14:textId="77777777" w:rsidR="001A5529" w:rsidRPr="005852C4" w:rsidRDefault="001A5529" w:rsidP="007A79C3">
      <w:pPr>
        <w:widowControl w:val="0"/>
        <w:spacing w:line="360" w:lineRule="auto"/>
        <w:contextualSpacing/>
        <w:jc w:val="both"/>
        <w:rPr>
          <w:rFonts w:ascii="Arial" w:hAnsi="Arial" w:cs="Arial"/>
        </w:rPr>
      </w:pPr>
    </w:p>
    <w:p w14:paraId="671F2443" w14:textId="41BE681E" w:rsidR="00CD0EB9" w:rsidRPr="005824B7" w:rsidRDefault="005824B7" w:rsidP="005824B7">
      <w:pPr>
        <w:widowControl w:val="0"/>
        <w:spacing w:line="360" w:lineRule="auto"/>
        <w:jc w:val="both"/>
        <w:rPr>
          <w:rFonts w:ascii="Arial" w:hAnsi="Arial" w:cs="Arial"/>
        </w:rPr>
      </w:pPr>
      <w:r>
        <w:rPr>
          <w:rFonts w:ascii="Arial" w:hAnsi="Arial" w:cs="Arial"/>
        </w:rPr>
        <w:t>[52]</w:t>
      </w:r>
      <w:r>
        <w:rPr>
          <w:rFonts w:ascii="Arial" w:hAnsi="Arial" w:cs="Arial"/>
        </w:rPr>
        <w:tab/>
      </w:r>
      <w:r w:rsidR="00B07942" w:rsidRPr="005824B7">
        <w:rPr>
          <w:rFonts w:ascii="Arial" w:hAnsi="Arial" w:cs="Arial"/>
        </w:rPr>
        <w:t>In heads of argument prepared on behalf of Ms Mayola</w:t>
      </w:r>
      <w:r w:rsidR="00CD0EB9" w:rsidRPr="005824B7">
        <w:rPr>
          <w:rFonts w:ascii="Arial" w:hAnsi="Arial" w:cs="Arial"/>
        </w:rPr>
        <w:t xml:space="preserve">, Mr Gumbi placed heavy reliance </w:t>
      </w:r>
      <w:r w:rsidR="00CD0EB9" w:rsidRPr="005824B7">
        <w:rPr>
          <w:rFonts w:ascii="Arial" w:hAnsi="Arial" w:cs="Arial"/>
          <w:i/>
          <w:iCs/>
        </w:rPr>
        <w:t>Jeftha</w:t>
      </w:r>
      <w:r w:rsidR="00F43A26" w:rsidRPr="005824B7">
        <w:rPr>
          <w:rFonts w:ascii="Arial" w:hAnsi="Arial" w:cs="Arial"/>
          <w:iCs/>
        </w:rPr>
        <w:t>.</w:t>
      </w:r>
      <w:r w:rsidR="00B07942" w:rsidRPr="00A756BF">
        <w:rPr>
          <w:rStyle w:val="FootnoteReference"/>
          <w:rFonts w:ascii="Arial" w:hAnsi="Arial" w:cs="Arial"/>
          <w:iCs/>
        </w:rPr>
        <w:footnoteReference w:id="14"/>
      </w:r>
      <w:r w:rsidR="00881755" w:rsidRPr="005824B7">
        <w:rPr>
          <w:rFonts w:ascii="Arial" w:hAnsi="Arial" w:cs="Arial"/>
        </w:rPr>
        <w:t xml:space="preserve"> </w:t>
      </w:r>
      <w:r w:rsidR="00CD0EB9" w:rsidRPr="005824B7">
        <w:rPr>
          <w:rFonts w:ascii="Arial" w:hAnsi="Arial" w:cs="Arial"/>
        </w:rPr>
        <w:t>In that case the employee was retrenched after returning from leave.</w:t>
      </w:r>
      <w:r w:rsidR="00881755" w:rsidRPr="005824B7">
        <w:rPr>
          <w:rFonts w:ascii="Arial" w:hAnsi="Arial" w:cs="Arial"/>
        </w:rPr>
        <w:t xml:space="preserve"> </w:t>
      </w:r>
      <w:r w:rsidR="00CD0EB9" w:rsidRPr="005824B7">
        <w:rPr>
          <w:rFonts w:ascii="Arial" w:hAnsi="Arial" w:cs="Arial"/>
        </w:rPr>
        <w:t>Before his pension benefits were paid out the company became aware of fraud committed by the employee to the detriment of the company.</w:t>
      </w:r>
      <w:r w:rsidR="00881755" w:rsidRPr="005824B7">
        <w:rPr>
          <w:rFonts w:ascii="Arial" w:hAnsi="Arial" w:cs="Arial"/>
        </w:rPr>
        <w:t xml:space="preserve"> </w:t>
      </w:r>
      <w:r w:rsidR="00CD0EB9" w:rsidRPr="005824B7">
        <w:rPr>
          <w:rFonts w:ascii="Arial" w:hAnsi="Arial" w:cs="Arial"/>
        </w:rPr>
        <w:t>The employer requested the pension fund to withhold the employee’s pension benefit in terms of s 37(1)</w:t>
      </w:r>
      <w:r w:rsidR="00CD0EB9" w:rsidRPr="005824B7">
        <w:rPr>
          <w:rFonts w:ascii="Arial" w:hAnsi="Arial" w:cs="Arial"/>
          <w:i/>
        </w:rPr>
        <w:t>(b)</w:t>
      </w:r>
      <w:r w:rsidR="00CD0EB9" w:rsidRPr="005824B7">
        <w:rPr>
          <w:rFonts w:ascii="Arial" w:hAnsi="Arial" w:cs="Arial"/>
        </w:rPr>
        <w:t xml:space="preserve">(ii) </w:t>
      </w:r>
      <w:r w:rsidR="001C6A9E" w:rsidRPr="005824B7">
        <w:rPr>
          <w:rFonts w:ascii="Arial" w:hAnsi="Arial" w:cs="Arial"/>
        </w:rPr>
        <w:lastRenderedPageBreak/>
        <w:t xml:space="preserve">of the Pensions Fund </w:t>
      </w:r>
      <w:r w:rsidR="00CD0EB9" w:rsidRPr="005824B7">
        <w:rPr>
          <w:rFonts w:ascii="Arial" w:hAnsi="Arial" w:cs="Arial"/>
        </w:rPr>
        <w:t>and the fund did so. The court held that the pension fund was obliged to put its case to the employee and afford him an opportunity to respond to the allegations made against him by the employer before making a decision in terms of s</w:t>
      </w:r>
      <w:r w:rsidR="00A756BF" w:rsidRPr="005824B7">
        <w:rPr>
          <w:rFonts w:ascii="Arial" w:hAnsi="Arial" w:cs="Arial"/>
        </w:rPr>
        <w:t> </w:t>
      </w:r>
      <w:r w:rsidR="00CD0EB9" w:rsidRPr="005824B7">
        <w:rPr>
          <w:rFonts w:ascii="Arial" w:hAnsi="Arial" w:cs="Arial"/>
        </w:rPr>
        <w:t>37(1)</w:t>
      </w:r>
      <w:r w:rsidR="00CD0EB9" w:rsidRPr="005824B7">
        <w:rPr>
          <w:rFonts w:ascii="Arial" w:hAnsi="Arial" w:cs="Arial"/>
          <w:i/>
        </w:rPr>
        <w:t>(b)</w:t>
      </w:r>
      <w:r w:rsidR="00CD0EB9" w:rsidRPr="005824B7">
        <w:rPr>
          <w:rFonts w:ascii="Arial" w:hAnsi="Arial" w:cs="Arial"/>
        </w:rPr>
        <w:t>(ii).</w:t>
      </w:r>
      <w:r w:rsidR="00881755" w:rsidRPr="005824B7">
        <w:rPr>
          <w:rFonts w:ascii="Arial" w:hAnsi="Arial" w:cs="Arial"/>
        </w:rPr>
        <w:t xml:space="preserve"> </w:t>
      </w:r>
      <w:r w:rsidR="00CD0EB9" w:rsidRPr="005824B7">
        <w:rPr>
          <w:rFonts w:ascii="Arial" w:hAnsi="Arial" w:cs="Arial"/>
        </w:rPr>
        <w:t>The court accepted the argument that a decision by a pension fund to withhold a pension benefit pending the determination of an employer’s civil action, is analogous to the granting of an anti-dissipation order and that there is no justification for an employer being afforded such a remedy based only on allegations of dishonesty.</w:t>
      </w:r>
    </w:p>
    <w:p w14:paraId="3F57FECA" w14:textId="77777777" w:rsidR="00796BFD" w:rsidRPr="007A79C3" w:rsidRDefault="00796BFD" w:rsidP="00796BFD">
      <w:pPr>
        <w:pStyle w:val="ListParagraph"/>
        <w:widowControl w:val="0"/>
        <w:spacing w:line="360" w:lineRule="auto"/>
        <w:ind w:left="0"/>
        <w:jc w:val="both"/>
        <w:rPr>
          <w:rFonts w:ascii="Arial" w:hAnsi="Arial" w:cs="Arial"/>
        </w:rPr>
      </w:pPr>
    </w:p>
    <w:p w14:paraId="6DF3DEFA" w14:textId="391656BD" w:rsidR="00CD0EB9" w:rsidRPr="005824B7" w:rsidRDefault="005824B7" w:rsidP="005824B7">
      <w:pPr>
        <w:widowControl w:val="0"/>
        <w:spacing w:line="360" w:lineRule="auto"/>
        <w:jc w:val="both"/>
        <w:rPr>
          <w:rFonts w:ascii="Arial" w:hAnsi="Arial" w:cs="Arial"/>
        </w:rPr>
      </w:pPr>
      <w:r w:rsidRPr="007A79C3">
        <w:rPr>
          <w:rFonts w:ascii="Arial" w:hAnsi="Arial" w:cs="Arial"/>
        </w:rPr>
        <w:t>[53]</w:t>
      </w:r>
      <w:r w:rsidRPr="007A79C3">
        <w:rPr>
          <w:rFonts w:ascii="Arial" w:hAnsi="Arial" w:cs="Arial"/>
        </w:rPr>
        <w:tab/>
      </w:r>
      <w:r w:rsidR="008A5F8F" w:rsidRPr="005824B7">
        <w:rPr>
          <w:rFonts w:ascii="Arial" w:hAnsi="Arial" w:cs="Arial"/>
        </w:rPr>
        <w:t xml:space="preserve">The adjudicator </w:t>
      </w:r>
      <w:r w:rsidR="001C6A9E" w:rsidRPr="005824B7">
        <w:rPr>
          <w:rFonts w:ascii="Arial" w:hAnsi="Arial" w:cs="Arial"/>
        </w:rPr>
        <w:t xml:space="preserve">in the present matter </w:t>
      </w:r>
      <w:r w:rsidR="008A5F8F" w:rsidRPr="005824B7">
        <w:rPr>
          <w:rFonts w:ascii="Arial" w:hAnsi="Arial" w:cs="Arial"/>
        </w:rPr>
        <w:t xml:space="preserve">also relied on </w:t>
      </w:r>
      <w:r w:rsidR="008A5F8F" w:rsidRPr="005824B7">
        <w:rPr>
          <w:rFonts w:ascii="Arial" w:hAnsi="Arial" w:cs="Arial"/>
          <w:i/>
        </w:rPr>
        <w:t xml:space="preserve">Jeftha </w:t>
      </w:r>
      <w:r w:rsidR="008A5F8F" w:rsidRPr="005824B7">
        <w:rPr>
          <w:rFonts w:ascii="Arial" w:hAnsi="Arial" w:cs="Arial"/>
        </w:rPr>
        <w:t xml:space="preserve">when it overturned the decision of the </w:t>
      </w:r>
      <w:r w:rsidR="001C6A9E" w:rsidRPr="005824B7">
        <w:rPr>
          <w:rFonts w:ascii="Arial" w:hAnsi="Arial" w:cs="Arial"/>
        </w:rPr>
        <w:t xml:space="preserve">pension </w:t>
      </w:r>
      <w:r w:rsidR="008A5F8F" w:rsidRPr="005824B7">
        <w:rPr>
          <w:rFonts w:ascii="Arial" w:hAnsi="Arial" w:cs="Arial"/>
        </w:rPr>
        <w:t xml:space="preserve">fund to withhold the pension benefits. </w:t>
      </w:r>
      <w:r w:rsidR="00653902" w:rsidRPr="005824B7">
        <w:rPr>
          <w:rFonts w:ascii="Arial" w:hAnsi="Arial" w:cs="Arial"/>
        </w:rPr>
        <w:t xml:space="preserve">We consider the </w:t>
      </w:r>
      <w:r w:rsidR="00004698" w:rsidRPr="005824B7">
        <w:rPr>
          <w:rFonts w:ascii="Arial" w:hAnsi="Arial" w:cs="Arial"/>
        </w:rPr>
        <w:t xml:space="preserve">adjudicator’s </w:t>
      </w:r>
      <w:r w:rsidR="00653902" w:rsidRPr="005824B7">
        <w:rPr>
          <w:rFonts w:ascii="Arial" w:hAnsi="Arial" w:cs="Arial"/>
        </w:rPr>
        <w:t xml:space="preserve">reliance on </w:t>
      </w:r>
      <w:r w:rsidR="00653902" w:rsidRPr="005824B7">
        <w:rPr>
          <w:rFonts w:ascii="Arial" w:hAnsi="Arial" w:cs="Arial"/>
          <w:i/>
        </w:rPr>
        <w:t>Jeftha</w:t>
      </w:r>
      <w:r w:rsidR="001F2206" w:rsidRPr="005824B7">
        <w:rPr>
          <w:rFonts w:ascii="Arial" w:hAnsi="Arial" w:cs="Arial"/>
        </w:rPr>
        <w:t xml:space="preserve"> to be factually and legally unfounded. We say so for the following reasons:</w:t>
      </w:r>
    </w:p>
    <w:p w14:paraId="715B5FDF" w14:textId="038811B6" w:rsidR="001F2206" w:rsidRPr="007A79C3" w:rsidRDefault="00F067E8" w:rsidP="00796BFD">
      <w:pPr>
        <w:pStyle w:val="ListParagraph"/>
        <w:widowControl w:val="0"/>
        <w:spacing w:line="360" w:lineRule="auto"/>
        <w:ind w:left="0"/>
        <w:jc w:val="both"/>
        <w:rPr>
          <w:rFonts w:ascii="Arial" w:hAnsi="Arial" w:cs="Arial"/>
        </w:rPr>
      </w:pPr>
      <w:r>
        <w:rPr>
          <w:rFonts w:ascii="Arial" w:hAnsi="Arial" w:cs="Arial"/>
        </w:rPr>
        <w:t>(a)</w:t>
      </w:r>
      <w:r w:rsidR="001F2206" w:rsidRPr="007A79C3">
        <w:rPr>
          <w:rFonts w:ascii="Arial" w:hAnsi="Arial" w:cs="Arial"/>
        </w:rPr>
        <w:tab/>
        <w:t>Factually, Ms Mayola was given multiple opportunities to make representation</w:t>
      </w:r>
      <w:r w:rsidR="00B07942" w:rsidRPr="007A79C3">
        <w:rPr>
          <w:rFonts w:ascii="Arial" w:hAnsi="Arial" w:cs="Arial"/>
        </w:rPr>
        <w:t>s</w:t>
      </w:r>
      <w:r w:rsidR="001F2206" w:rsidRPr="007A79C3">
        <w:rPr>
          <w:rFonts w:ascii="Arial" w:hAnsi="Arial" w:cs="Arial"/>
        </w:rPr>
        <w:t xml:space="preserve"> but declined all of them. More particularly, she did not positively refute the fraud at a disciplinary hearing, or at the CCMA (instead she chose to resign) and has not directly refuted the allegations in these proceedings or before the adjudicator. There is no dispute that upon notification of the withholding</w:t>
      </w:r>
      <w:r w:rsidR="00004698">
        <w:rPr>
          <w:rFonts w:ascii="Arial" w:hAnsi="Arial" w:cs="Arial"/>
        </w:rPr>
        <w:t xml:space="preserve"> of the benefits</w:t>
      </w:r>
      <w:r w:rsidR="001F2206" w:rsidRPr="007A79C3">
        <w:rPr>
          <w:rFonts w:ascii="Arial" w:hAnsi="Arial" w:cs="Arial"/>
        </w:rPr>
        <w:t xml:space="preserve">, Ms Mayola was invited by the </w:t>
      </w:r>
      <w:r w:rsidR="004E3DF7">
        <w:rPr>
          <w:rFonts w:ascii="Arial" w:hAnsi="Arial" w:cs="Arial"/>
        </w:rPr>
        <w:t xml:space="preserve">pension </w:t>
      </w:r>
      <w:r w:rsidR="001F2206" w:rsidRPr="007A79C3">
        <w:rPr>
          <w:rFonts w:ascii="Arial" w:hAnsi="Arial" w:cs="Arial"/>
        </w:rPr>
        <w:t>fund to address any queries. She did not</w:t>
      </w:r>
      <w:r w:rsidR="00004698">
        <w:rPr>
          <w:rFonts w:ascii="Arial" w:hAnsi="Arial" w:cs="Arial"/>
        </w:rPr>
        <w:t xml:space="preserve"> do so</w:t>
      </w:r>
      <w:r w:rsidR="001F2206" w:rsidRPr="007A79C3">
        <w:rPr>
          <w:rFonts w:ascii="Arial" w:hAnsi="Arial" w:cs="Arial"/>
        </w:rPr>
        <w:t xml:space="preserve">. Additionally, the </w:t>
      </w:r>
      <w:r w:rsidR="00004698" w:rsidRPr="007A79C3">
        <w:rPr>
          <w:rFonts w:ascii="Arial" w:hAnsi="Arial" w:cs="Arial"/>
        </w:rPr>
        <w:t xml:space="preserve">fund </w:t>
      </w:r>
      <w:r w:rsidR="001F2206" w:rsidRPr="007A79C3">
        <w:rPr>
          <w:rFonts w:ascii="Arial" w:hAnsi="Arial" w:cs="Arial"/>
        </w:rPr>
        <w:t xml:space="preserve">expressly invited </w:t>
      </w:r>
      <w:r w:rsidR="00AE4ABD" w:rsidRPr="007A79C3">
        <w:rPr>
          <w:rFonts w:ascii="Arial" w:hAnsi="Arial" w:cs="Arial"/>
        </w:rPr>
        <w:t>representations prior to the adjudicator’s decision. She made none.</w:t>
      </w:r>
    </w:p>
    <w:p w14:paraId="618F292B" w14:textId="019D089A" w:rsidR="00AE4ABD" w:rsidRPr="007A79C3" w:rsidRDefault="00F067E8" w:rsidP="00796BFD">
      <w:pPr>
        <w:pStyle w:val="ListParagraph"/>
        <w:widowControl w:val="0"/>
        <w:spacing w:line="360" w:lineRule="auto"/>
        <w:ind w:left="0"/>
        <w:jc w:val="both"/>
        <w:rPr>
          <w:rFonts w:ascii="Arial" w:hAnsi="Arial" w:cs="Arial"/>
        </w:rPr>
      </w:pPr>
      <w:r>
        <w:rPr>
          <w:rFonts w:ascii="Arial" w:hAnsi="Arial" w:cs="Arial"/>
        </w:rPr>
        <w:t>(b)</w:t>
      </w:r>
      <w:r w:rsidR="00AE4ABD" w:rsidRPr="007A79C3">
        <w:rPr>
          <w:rFonts w:ascii="Arial" w:hAnsi="Arial" w:cs="Arial"/>
        </w:rPr>
        <w:tab/>
        <w:t xml:space="preserve">There are also material distinctions between this case and that of </w:t>
      </w:r>
      <w:r w:rsidR="00AE4ABD" w:rsidRPr="00F067E8">
        <w:rPr>
          <w:rFonts w:ascii="Arial" w:hAnsi="Arial" w:cs="Arial"/>
          <w:i/>
        </w:rPr>
        <w:t>Jeftha</w:t>
      </w:r>
      <w:r w:rsidR="00AE4ABD" w:rsidRPr="007A79C3">
        <w:rPr>
          <w:rFonts w:ascii="Arial" w:hAnsi="Arial" w:cs="Arial"/>
        </w:rPr>
        <w:t xml:space="preserve">: it appears that </w:t>
      </w:r>
      <w:r w:rsidR="004E3DF7">
        <w:rPr>
          <w:rFonts w:ascii="Arial" w:hAnsi="Arial" w:cs="Arial"/>
        </w:rPr>
        <w:t xml:space="preserve">in </w:t>
      </w:r>
      <w:r w:rsidR="00AE4ABD" w:rsidRPr="00141BA5">
        <w:rPr>
          <w:rFonts w:ascii="Arial" w:hAnsi="Arial" w:cs="Arial"/>
          <w:i/>
        </w:rPr>
        <w:t>Jeftha</w:t>
      </w:r>
      <w:r w:rsidR="004E3DF7">
        <w:rPr>
          <w:rFonts w:ascii="Arial" w:hAnsi="Arial" w:cs="Arial"/>
        </w:rPr>
        <w:t>,</w:t>
      </w:r>
      <w:r w:rsidR="00AE4ABD" w:rsidRPr="007A79C3">
        <w:rPr>
          <w:rFonts w:ascii="Arial" w:hAnsi="Arial" w:cs="Arial"/>
        </w:rPr>
        <w:t xml:space="preserve"> </w:t>
      </w:r>
      <w:r w:rsidR="004E3DF7">
        <w:rPr>
          <w:rFonts w:ascii="Arial" w:hAnsi="Arial" w:cs="Arial"/>
        </w:rPr>
        <w:t xml:space="preserve">the </w:t>
      </w:r>
      <w:r w:rsidR="00AE4ABD" w:rsidRPr="007A79C3">
        <w:rPr>
          <w:rFonts w:ascii="Arial" w:hAnsi="Arial" w:cs="Arial"/>
        </w:rPr>
        <w:t xml:space="preserve">employer had taken no real steps to advance the underlying claim; </w:t>
      </w:r>
      <w:r w:rsidR="004E3DF7">
        <w:rPr>
          <w:rFonts w:ascii="Arial" w:hAnsi="Arial" w:cs="Arial"/>
        </w:rPr>
        <w:t>that it</w:t>
      </w:r>
      <w:r w:rsidR="00AE4ABD" w:rsidRPr="007A79C3">
        <w:rPr>
          <w:rFonts w:ascii="Arial" w:hAnsi="Arial" w:cs="Arial"/>
        </w:rPr>
        <w:t xml:space="preserve"> had only belatedly contended for dishonesty on </w:t>
      </w:r>
      <w:r w:rsidR="004E3DF7">
        <w:rPr>
          <w:rFonts w:ascii="Arial" w:hAnsi="Arial" w:cs="Arial"/>
        </w:rPr>
        <w:t xml:space="preserve">the employee’s </w:t>
      </w:r>
      <w:r w:rsidR="00B07942" w:rsidRPr="007A79C3">
        <w:rPr>
          <w:rFonts w:ascii="Arial" w:hAnsi="Arial" w:cs="Arial"/>
        </w:rPr>
        <w:t>part</w:t>
      </w:r>
      <w:r w:rsidR="00AE4ABD" w:rsidRPr="007A79C3">
        <w:rPr>
          <w:rFonts w:ascii="Arial" w:hAnsi="Arial" w:cs="Arial"/>
        </w:rPr>
        <w:t xml:space="preserve"> and</w:t>
      </w:r>
      <w:r w:rsidR="004E3DF7">
        <w:rPr>
          <w:rFonts w:ascii="Arial" w:hAnsi="Arial" w:cs="Arial"/>
        </w:rPr>
        <w:t xml:space="preserve"> that the employee</w:t>
      </w:r>
      <w:r w:rsidR="00AE4ABD" w:rsidRPr="007A79C3">
        <w:rPr>
          <w:rFonts w:ascii="Arial" w:hAnsi="Arial" w:cs="Arial"/>
        </w:rPr>
        <w:t xml:space="preserve"> had positively refuted the allegations.</w:t>
      </w:r>
    </w:p>
    <w:p w14:paraId="3E625D30" w14:textId="005FA5E9" w:rsidR="00AE4ABD" w:rsidRPr="007A79C3" w:rsidRDefault="00F067E8" w:rsidP="00796BFD">
      <w:pPr>
        <w:pStyle w:val="ListParagraph"/>
        <w:widowControl w:val="0"/>
        <w:spacing w:line="360" w:lineRule="auto"/>
        <w:ind w:left="0"/>
        <w:jc w:val="both"/>
        <w:rPr>
          <w:rFonts w:ascii="Arial" w:hAnsi="Arial" w:cs="Arial"/>
        </w:rPr>
      </w:pPr>
      <w:r>
        <w:rPr>
          <w:rFonts w:ascii="Arial" w:hAnsi="Arial" w:cs="Arial"/>
        </w:rPr>
        <w:t>(c)</w:t>
      </w:r>
      <w:r w:rsidR="00AE4ABD" w:rsidRPr="007A79C3">
        <w:rPr>
          <w:rFonts w:ascii="Arial" w:hAnsi="Arial" w:cs="Arial"/>
        </w:rPr>
        <w:tab/>
        <w:t>From a legal perspective,</w:t>
      </w:r>
      <w:r w:rsidR="00B07942" w:rsidRPr="007A79C3">
        <w:rPr>
          <w:rFonts w:ascii="Arial" w:hAnsi="Arial" w:cs="Arial"/>
        </w:rPr>
        <w:t xml:space="preserve"> the</w:t>
      </w:r>
      <w:r w:rsidR="00AE4ABD" w:rsidRPr="007A79C3">
        <w:rPr>
          <w:rFonts w:ascii="Arial" w:hAnsi="Arial" w:cs="Arial"/>
        </w:rPr>
        <w:t xml:space="preserve"> adoption </w:t>
      </w:r>
      <w:r w:rsidR="00B07942" w:rsidRPr="007A79C3">
        <w:rPr>
          <w:rFonts w:ascii="Arial" w:hAnsi="Arial" w:cs="Arial"/>
        </w:rPr>
        <w:t>of</w:t>
      </w:r>
      <w:r w:rsidR="00AE4ABD" w:rsidRPr="007A79C3">
        <w:rPr>
          <w:rFonts w:ascii="Arial" w:hAnsi="Arial" w:cs="Arial"/>
        </w:rPr>
        <w:t xml:space="preserve"> an approach that renders s 37D orders analogous to anti-dissipation order</w:t>
      </w:r>
      <w:r w:rsidR="00004698">
        <w:rPr>
          <w:rFonts w:ascii="Arial" w:hAnsi="Arial" w:cs="Arial"/>
        </w:rPr>
        <w:t>s</w:t>
      </w:r>
      <w:r w:rsidR="00AE4ABD" w:rsidRPr="007A79C3">
        <w:rPr>
          <w:rFonts w:ascii="Arial" w:hAnsi="Arial" w:cs="Arial"/>
        </w:rPr>
        <w:t xml:space="preserve"> has no precedent and in our view is inconsistent with the test for interim interdictory relief which requires only a </w:t>
      </w:r>
      <w:r w:rsidR="00AE4ABD" w:rsidRPr="007A79C3">
        <w:rPr>
          <w:rFonts w:ascii="Arial" w:hAnsi="Arial" w:cs="Arial"/>
          <w:i/>
          <w:iCs/>
        </w:rPr>
        <w:t>prima facie</w:t>
      </w:r>
      <w:r w:rsidR="00AE4ABD" w:rsidRPr="007A79C3">
        <w:rPr>
          <w:rFonts w:ascii="Arial" w:hAnsi="Arial" w:cs="Arial"/>
        </w:rPr>
        <w:t xml:space="preserve"> claim (as would be required for s 37D). It cannot be that a more onerous test is required for s 37D than would </w:t>
      </w:r>
      <w:r w:rsidR="00004698">
        <w:rPr>
          <w:rFonts w:ascii="Arial" w:hAnsi="Arial" w:cs="Arial"/>
        </w:rPr>
        <w:t xml:space="preserve">be </w:t>
      </w:r>
      <w:r w:rsidR="00AE4ABD" w:rsidRPr="007A79C3">
        <w:rPr>
          <w:rFonts w:ascii="Arial" w:hAnsi="Arial" w:cs="Arial"/>
        </w:rPr>
        <w:t>the case for an interdict against payment of the same funds.</w:t>
      </w:r>
    </w:p>
    <w:p w14:paraId="6DFE45B8" w14:textId="706C8454" w:rsidR="00AE4ABD" w:rsidRPr="007A79C3" w:rsidRDefault="00F067E8" w:rsidP="00796BFD">
      <w:pPr>
        <w:pStyle w:val="ListParagraph"/>
        <w:widowControl w:val="0"/>
        <w:spacing w:line="360" w:lineRule="auto"/>
        <w:ind w:left="0"/>
        <w:jc w:val="both"/>
        <w:rPr>
          <w:rFonts w:ascii="Arial" w:hAnsi="Arial" w:cs="Arial"/>
        </w:rPr>
      </w:pPr>
      <w:r>
        <w:rPr>
          <w:rFonts w:ascii="Arial" w:hAnsi="Arial" w:cs="Arial"/>
        </w:rPr>
        <w:t>(d)</w:t>
      </w:r>
      <w:r w:rsidR="00AE4ABD" w:rsidRPr="007A79C3">
        <w:rPr>
          <w:rFonts w:ascii="Arial" w:hAnsi="Arial" w:cs="Arial"/>
        </w:rPr>
        <w:tab/>
        <w:t xml:space="preserve">The court in </w:t>
      </w:r>
      <w:r w:rsidR="00AE4ABD" w:rsidRPr="00F067E8">
        <w:rPr>
          <w:rFonts w:ascii="Arial" w:hAnsi="Arial" w:cs="Arial"/>
          <w:i/>
        </w:rPr>
        <w:t>Jeftha</w:t>
      </w:r>
      <w:r w:rsidR="00AE4ABD" w:rsidRPr="007A79C3">
        <w:rPr>
          <w:rFonts w:ascii="Arial" w:hAnsi="Arial" w:cs="Arial"/>
        </w:rPr>
        <w:t xml:space="preserve"> appeared not consider that in certain instances it may be permissible to allow for representations </w:t>
      </w:r>
      <w:r w:rsidR="00004698">
        <w:rPr>
          <w:rFonts w:ascii="Arial" w:hAnsi="Arial" w:cs="Arial"/>
        </w:rPr>
        <w:t xml:space="preserve">to be made </w:t>
      </w:r>
      <w:r w:rsidR="00AE4ABD" w:rsidRPr="007A79C3">
        <w:rPr>
          <w:rFonts w:ascii="Arial" w:hAnsi="Arial" w:cs="Arial"/>
        </w:rPr>
        <w:t>after the initial decision</w:t>
      </w:r>
      <w:r w:rsidR="00004698">
        <w:rPr>
          <w:rFonts w:ascii="Arial" w:hAnsi="Arial" w:cs="Arial"/>
        </w:rPr>
        <w:t xml:space="preserve"> was taken</w:t>
      </w:r>
      <w:r>
        <w:rPr>
          <w:rFonts w:ascii="Arial" w:hAnsi="Arial" w:cs="Arial"/>
        </w:rPr>
        <w:t>.</w:t>
      </w:r>
      <w:r w:rsidR="00AE4ABD" w:rsidRPr="005852C4">
        <w:rPr>
          <w:rStyle w:val="FootnoteReference"/>
          <w:rFonts w:ascii="Arial" w:hAnsi="Arial" w:cs="Arial"/>
        </w:rPr>
        <w:footnoteReference w:id="15"/>
      </w:r>
    </w:p>
    <w:p w14:paraId="727DCE7E" w14:textId="0E1D880F" w:rsidR="00AE4ABD" w:rsidRPr="007A79C3" w:rsidRDefault="00F067E8" w:rsidP="00796BFD">
      <w:pPr>
        <w:pStyle w:val="ListParagraph"/>
        <w:widowControl w:val="0"/>
        <w:spacing w:line="360" w:lineRule="auto"/>
        <w:ind w:left="0"/>
        <w:jc w:val="both"/>
        <w:rPr>
          <w:rFonts w:ascii="Arial" w:hAnsi="Arial" w:cs="Arial"/>
        </w:rPr>
      </w:pPr>
      <w:r>
        <w:rPr>
          <w:rFonts w:ascii="Arial" w:hAnsi="Arial" w:cs="Arial"/>
        </w:rPr>
        <w:lastRenderedPageBreak/>
        <w:t>(e)</w:t>
      </w:r>
      <w:r w:rsidR="00AE4ABD" w:rsidRPr="007A79C3">
        <w:rPr>
          <w:rFonts w:ascii="Arial" w:hAnsi="Arial" w:cs="Arial"/>
        </w:rPr>
        <w:tab/>
        <w:t xml:space="preserve">Even if there has been a procedural unfairness in failing to grant a hearing, it does not follow that the </w:t>
      </w:r>
      <w:r w:rsidR="00A12EC7" w:rsidRPr="007A79C3">
        <w:rPr>
          <w:rFonts w:ascii="Arial" w:hAnsi="Arial" w:cs="Arial"/>
        </w:rPr>
        <w:t xml:space="preserve">withholding </w:t>
      </w:r>
      <w:r w:rsidR="00004698">
        <w:rPr>
          <w:rFonts w:ascii="Arial" w:hAnsi="Arial" w:cs="Arial"/>
        </w:rPr>
        <w:t xml:space="preserve">of the benefits </w:t>
      </w:r>
      <w:r w:rsidR="00A12EC7" w:rsidRPr="007A79C3">
        <w:rPr>
          <w:rFonts w:ascii="Arial" w:hAnsi="Arial" w:cs="Arial"/>
        </w:rPr>
        <w:t>must be set aside. Instead, both the adjudicator and the court are entitled to grant a just and equitable remedy</w:t>
      </w:r>
      <w:r>
        <w:rPr>
          <w:rFonts w:ascii="Arial" w:hAnsi="Arial" w:cs="Arial"/>
        </w:rPr>
        <w:t>.</w:t>
      </w:r>
      <w:r w:rsidR="00A12EC7" w:rsidRPr="005852C4">
        <w:rPr>
          <w:rStyle w:val="FootnoteReference"/>
          <w:rFonts w:ascii="Arial" w:hAnsi="Arial" w:cs="Arial"/>
        </w:rPr>
        <w:footnoteReference w:id="16"/>
      </w:r>
    </w:p>
    <w:p w14:paraId="00D92E62" w14:textId="26D51CAD" w:rsidR="00573E49" w:rsidRPr="005852C4" w:rsidRDefault="00573E49" w:rsidP="007A79C3">
      <w:pPr>
        <w:widowControl w:val="0"/>
        <w:spacing w:line="360" w:lineRule="auto"/>
        <w:contextualSpacing/>
        <w:jc w:val="both"/>
        <w:rPr>
          <w:rFonts w:ascii="Arial" w:hAnsi="Arial" w:cs="Arial"/>
        </w:rPr>
      </w:pPr>
    </w:p>
    <w:p w14:paraId="4C03A287" w14:textId="5FA1E103" w:rsidR="00B07942" w:rsidRPr="005824B7" w:rsidRDefault="005824B7" w:rsidP="005824B7">
      <w:pPr>
        <w:widowControl w:val="0"/>
        <w:spacing w:line="360" w:lineRule="auto"/>
        <w:jc w:val="both"/>
        <w:rPr>
          <w:rFonts w:ascii="Arial" w:hAnsi="Arial" w:cs="Arial"/>
        </w:rPr>
      </w:pPr>
      <w:r w:rsidRPr="007A79C3">
        <w:rPr>
          <w:rFonts w:ascii="Arial" w:hAnsi="Arial" w:cs="Arial"/>
        </w:rPr>
        <w:t>[54]</w:t>
      </w:r>
      <w:r w:rsidRPr="007A79C3">
        <w:rPr>
          <w:rFonts w:ascii="Arial" w:hAnsi="Arial" w:cs="Arial"/>
        </w:rPr>
        <w:tab/>
      </w:r>
      <w:r w:rsidR="00573E49" w:rsidRPr="005824B7">
        <w:rPr>
          <w:rFonts w:ascii="Arial" w:hAnsi="Arial" w:cs="Arial"/>
        </w:rPr>
        <w:t xml:space="preserve">The finding by the adjudicator that Ms Mayola was afforded no opportunity to state her case is, in our view, flawed for the reasons </w:t>
      </w:r>
      <w:r w:rsidR="00B07942" w:rsidRPr="005824B7">
        <w:rPr>
          <w:rFonts w:ascii="Arial" w:hAnsi="Arial" w:cs="Arial"/>
        </w:rPr>
        <w:t>that follow:</w:t>
      </w:r>
      <w:r w:rsidR="00573E49" w:rsidRPr="005824B7">
        <w:rPr>
          <w:rFonts w:ascii="Arial" w:hAnsi="Arial" w:cs="Arial"/>
        </w:rPr>
        <w:t xml:space="preserve"> </w:t>
      </w:r>
    </w:p>
    <w:p w14:paraId="3069C056" w14:textId="1DF96711" w:rsidR="00573E49" w:rsidRPr="007A79C3" w:rsidRDefault="004677A9" w:rsidP="00796BFD">
      <w:pPr>
        <w:pStyle w:val="ListParagraph"/>
        <w:widowControl w:val="0"/>
        <w:spacing w:line="360" w:lineRule="auto"/>
        <w:ind w:left="0"/>
        <w:jc w:val="both"/>
        <w:rPr>
          <w:rFonts w:ascii="Arial" w:hAnsi="Arial" w:cs="Arial"/>
        </w:rPr>
      </w:pPr>
      <w:r>
        <w:rPr>
          <w:rFonts w:ascii="Arial" w:hAnsi="Arial" w:cs="Arial"/>
        </w:rPr>
        <w:t>(a)</w:t>
      </w:r>
      <w:r w:rsidR="00573E49" w:rsidRPr="007A79C3">
        <w:rPr>
          <w:rFonts w:ascii="Arial" w:hAnsi="Arial" w:cs="Arial"/>
        </w:rPr>
        <w:tab/>
        <w:t xml:space="preserve">First, we accept that the CCMA proceedings provided an opportunity to Ms Mayola to state her case as </w:t>
      </w:r>
      <w:r w:rsidR="00B07942" w:rsidRPr="007A79C3">
        <w:rPr>
          <w:rFonts w:ascii="Arial" w:hAnsi="Arial" w:cs="Arial"/>
        </w:rPr>
        <w:t xml:space="preserve">contended by the appellant. Even </w:t>
      </w:r>
      <w:r w:rsidR="00573E49" w:rsidRPr="007A79C3">
        <w:rPr>
          <w:rFonts w:ascii="Arial" w:hAnsi="Arial" w:cs="Arial"/>
        </w:rPr>
        <w:t>after the proceedings at the CCMA on 8 August 2019</w:t>
      </w:r>
      <w:r w:rsidR="00721E23">
        <w:rPr>
          <w:rFonts w:ascii="Arial" w:hAnsi="Arial" w:cs="Arial"/>
        </w:rPr>
        <w:t>,</w:t>
      </w:r>
      <w:r w:rsidR="00573E49" w:rsidRPr="007A79C3">
        <w:rPr>
          <w:rFonts w:ascii="Arial" w:hAnsi="Arial" w:cs="Arial"/>
        </w:rPr>
        <w:t xml:space="preserve"> the appellant invite</w:t>
      </w:r>
      <w:r w:rsidR="00B07942" w:rsidRPr="007A79C3">
        <w:rPr>
          <w:rFonts w:ascii="Arial" w:hAnsi="Arial" w:cs="Arial"/>
        </w:rPr>
        <w:t>d</w:t>
      </w:r>
      <w:r w:rsidR="00573E49" w:rsidRPr="007A79C3">
        <w:rPr>
          <w:rFonts w:ascii="Arial" w:hAnsi="Arial" w:cs="Arial"/>
        </w:rPr>
        <w:t xml:space="preserve"> Ms Mayola to a meeting to discuss the matter, at which meeting Ms Mayola could have presented her version of what transpired with DeeTee and Kempston Logistics.</w:t>
      </w:r>
      <w:r w:rsidR="00881755">
        <w:rPr>
          <w:rFonts w:ascii="Arial" w:hAnsi="Arial" w:cs="Arial"/>
        </w:rPr>
        <w:t xml:space="preserve"> </w:t>
      </w:r>
      <w:r w:rsidR="00573E49" w:rsidRPr="007A79C3">
        <w:rPr>
          <w:rFonts w:ascii="Arial" w:hAnsi="Arial" w:cs="Arial"/>
        </w:rPr>
        <w:t>Ms Majola did not attend this meeting, instead, on the same day she tendered her resignation with immediate effect.</w:t>
      </w:r>
      <w:r w:rsidR="00881755">
        <w:rPr>
          <w:rFonts w:ascii="Arial" w:hAnsi="Arial" w:cs="Arial"/>
        </w:rPr>
        <w:t xml:space="preserve"> </w:t>
      </w:r>
    </w:p>
    <w:p w14:paraId="197934BD" w14:textId="371FEC3F" w:rsidR="00573E49" w:rsidRPr="007A79C3" w:rsidRDefault="004677A9" w:rsidP="00796BFD">
      <w:pPr>
        <w:pStyle w:val="ListParagraph"/>
        <w:widowControl w:val="0"/>
        <w:spacing w:line="360" w:lineRule="auto"/>
        <w:ind w:left="0"/>
        <w:jc w:val="both"/>
        <w:rPr>
          <w:rFonts w:ascii="Arial" w:hAnsi="Arial" w:cs="Arial"/>
        </w:rPr>
      </w:pPr>
      <w:r>
        <w:rPr>
          <w:rFonts w:ascii="Arial" w:hAnsi="Arial" w:cs="Arial"/>
        </w:rPr>
        <w:t>(b)</w:t>
      </w:r>
      <w:r w:rsidR="00573E49" w:rsidRPr="007A79C3">
        <w:rPr>
          <w:rFonts w:ascii="Arial" w:hAnsi="Arial" w:cs="Arial"/>
        </w:rPr>
        <w:tab/>
        <w:t>Second, in the email dated 29 August 2019</w:t>
      </w:r>
      <w:r w:rsidR="00721E23">
        <w:rPr>
          <w:rFonts w:ascii="Arial" w:hAnsi="Arial" w:cs="Arial"/>
        </w:rPr>
        <w:t>,</w:t>
      </w:r>
      <w:r w:rsidR="00573E49" w:rsidRPr="007A79C3">
        <w:rPr>
          <w:rFonts w:ascii="Arial" w:hAnsi="Arial" w:cs="Arial"/>
        </w:rPr>
        <w:t xml:space="preserve"> the pension fund provided Ms Mayola with the information </w:t>
      </w:r>
      <w:r w:rsidR="00F21DDA" w:rsidRPr="007A79C3">
        <w:rPr>
          <w:rFonts w:ascii="Arial" w:hAnsi="Arial" w:cs="Arial"/>
        </w:rPr>
        <w:t>which the appellant</w:t>
      </w:r>
      <w:r w:rsidR="00573E49" w:rsidRPr="007A79C3">
        <w:rPr>
          <w:rFonts w:ascii="Arial" w:hAnsi="Arial" w:cs="Arial"/>
        </w:rPr>
        <w:t xml:space="preserve"> had given to the pension fund and it invited Ms Mayola to address all queries regarding the </w:t>
      </w:r>
      <w:r w:rsidR="00F21DDA" w:rsidRPr="007A79C3">
        <w:rPr>
          <w:rFonts w:ascii="Arial" w:hAnsi="Arial" w:cs="Arial"/>
        </w:rPr>
        <w:t>f</w:t>
      </w:r>
      <w:r w:rsidR="00573E49" w:rsidRPr="007A79C3">
        <w:rPr>
          <w:rFonts w:ascii="Arial" w:hAnsi="Arial" w:cs="Arial"/>
        </w:rPr>
        <w:t>und to Ms Davidson.</w:t>
      </w:r>
      <w:r w:rsidR="00881755">
        <w:rPr>
          <w:rFonts w:ascii="Arial" w:hAnsi="Arial" w:cs="Arial"/>
        </w:rPr>
        <w:t xml:space="preserve"> </w:t>
      </w:r>
      <w:r w:rsidR="00573E49" w:rsidRPr="007A79C3">
        <w:rPr>
          <w:rFonts w:ascii="Arial" w:hAnsi="Arial" w:cs="Arial"/>
        </w:rPr>
        <w:t>Queries about the non-payment of pension benefits and the reasons therefor</w:t>
      </w:r>
      <w:r w:rsidR="00004698">
        <w:rPr>
          <w:rFonts w:ascii="Arial" w:hAnsi="Arial" w:cs="Arial"/>
        </w:rPr>
        <w:t>e</w:t>
      </w:r>
      <w:r w:rsidR="00573E49" w:rsidRPr="007A79C3">
        <w:rPr>
          <w:rFonts w:ascii="Arial" w:hAnsi="Arial" w:cs="Arial"/>
        </w:rPr>
        <w:t xml:space="preserve"> </w:t>
      </w:r>
      <w:r w:rsidR="00F21DDA" w:rsidRPr="007A79C3">
        <w:rPr>
          <w:rFonts w:ascii="Arial" w:hAnsi="Arial" w:cs="Arial"/>
        </w:rPr>
        <w:t>were</w:t>
      </w:r>
      <w:r w:rsidR="00573E49" w:rsidRPr="007A79C3">
        <w:rPr>
          <w:rFonts w:ascii="Arial" w:hAnsi="Arial" w:cs="Arial"/>
        </w:rPr>
        <w:t xml:space="preserve"> queries </w:t>
      </w:r>
      <w:r w:rsidR="00F21DDA" w:rsidRPr="007A79C3">
        <w:rPr>
          <w:rFonts w:ascii="Arial" w:hAnsi="Arial" w:cs="Arial"/>
        </w:rPr>
        <w:t xml:space="preserve">that could be addressed </w:t>
      </w:r>
      <w:r w:rsidR="00004698">
        <w:rPr>
          <w:rFonts w:ascii="Arial" w:hAnsi="Arial" w:cs="Arial"/>
        </w:rPr>
        <w:t>to</w:t>
      </w:r>
      <w:r w:rsidR="00573E49" w:rsidRPr="007A79C3">
        <w:rPr>
          <w:rFonts w:ascii="Arial" w:hAnsi="Arial" w:cs="Arial"/>
        </w:rPr>
        <w:t xml:space="preserve"> the pension fund.</w:t>
      </w:r>
      <w:r w:rsidR="00881755">
        <w:rPr>
          <w:rFonts w:ascii="Arial" w:hAnsi="Arial" w:cs="Arial"/>
        </w:rPr>
        <w:t xml:space="preserve"> </w:t>
      </w:r>
      <w:r w:rsidR="00573E49" w:rsidRPr="007A79C3">
        <w:rPr>
          <w:rFonts w:ascii="Arial" w:hAnsi="Arial" w:cs="Arial"/>
        </w:rPr>
        <w:t xml:space="preserve">Ms Mayola could have used this opportunity to state her version on the allegations in questions, however, </w:t>
      </w:r>
      <w:r w:rsidR="00F21DDA" w:rsidRPr="007A79C3">
        <w:rPr>
          <w:rFonts w:ascii="Arial" w:hAnsi="Arial" w:cs="Arial"/>
        </w:rPr>
        <w:t>she</w:t>
      </w:r>
      <w:r w:rsidR="00573E49" w:rsidRPr="007A79C3">
        <w:rPr>
          <w:rFonts w:ascii="Arial" w:hAnsi="Arial" w:cs="Arial"/>
        </w:rPr>
        <w:t xml:space="preserve"> did not address any </w:t>
      </w:r>
      <w:r w:rsidR="00F21DDA" w:rsidRPr="007A79C3">
        <w:rPr>
          <w:rFonts w:ascii="Arial" w:hAnsi="Arial" w:cs="Arial"/>
        </w:rPr>
        <w:t>queries</w:t>
      </w:r>
      <w:r w:rsidR="00573E49" w:rsidRPr="007A79C3">
        <w:rPr>
          <w:rFonts w:ascii="Arial" w:hAnsi="Arial" w:cs="Arial"/>
        </w:rPr>
        <w:t xml:space="preserve"> or </w:t>
      </w:r>
      <w:r w:rsidR="00F21DDA" w:rsidRPr="007A79C3">
        <w:rPr>
          <w:rFonts w:ascii="Arial" w:hAnsi="Arial" w:cs="Arial"/>
        </w:rPr>
        <w:t>provide any information</w:t>
      </w:r>
      <w:r w:rsidR="00573E49" w:rsidRPr="007A79C3">
        <w:rPr>
          <w:rFonts w:ascii="Arial" w:hAnsi="Arial" w:cs="Arial"/>
        </w:rPr>
        <w:t xml:space="preserve"> as per the invitation to her.</w:t>
      </w:r>
    </w:p>
    <w:p w14:paraId="573194F9" w14:textId="6002D6DE" w:rsidR="00573E49" w:rsidRDefault="004677A9" w:rsidP="00796BFD">
      <w:pPr>
        <w:pStyle w:val="ListParagraph"/>
        <w:widowControl w:val="0"/>
        <w:spacing w:line="360" w:lineRule="auto"/>
        <w:ind w:left="0"/>
        <w:jc w:val="both"/>
        <w:rPr>
          <w:rFonts w:ascii="Arial" w:hAnsi="Arial" w:cs="Arial"/>
        </w:rPr>
      </w:pPr>
      <w:r>
        <w:rPr>
          <w:rFonts w:ascii="Arial" w:hAnsi="Arial" w:cs="Arial"/>
        </w:rPr>
        <w:t>(c)</w:t>
      </w:r>
      <w:r w:rsidR="00573E49" w:rsidRPr="007A79C3">
        <w:rPr>
          <w:rFonts w:ascii="Arial" w:hAnsi="Arial" w:cs="Arial"/>
        </w:rPr>
        <w:tab/>
        <w:t>Third, on 12 September 2019 Ms Mayola lodged her complaint with the adjudicator.</w:t>
      </w:r>
      <w:r w:rsidR="00881755">
        <w:rPr>
          <w:rFonts w:ascii="Arial" w:hAnsi="Arial" w:cs="Arial"/>
        </w:rPr>
        <w:t xml:space="preserve"> </w:t>
      </w:r>
      <w:r w:rsidR="00573E49" w:rsidRPr="007A79C3">
        <w:rPr>
          <w:rFonts w:ascii="Arial" w:hAnsi="Arial" w:cs="Arial"/>
        </w:rPr>
        <w:t>Having been provided with the information attached to the email dated 29 August 2019, the complaint glaringly contains no challenge at all to the allegations</w:t>
      </w:r>
      <w:r w:rsidR="00F21DDA" w:rsidRPr="007A79C3">
        <w:rPr>
          <w:rFonts w:ascii="Arial" w:hAnsi="Arial" w:cs="Arial"/>
        </w:rPr>
        <w:t xml:space="preserve"> made</w:t>
      </w:r>
      <w:r w:rsidR="00573E49" w:rsidRPr="007A79C3">
        <w:rPr>
          <w:rFonts w:ascii="Arial" w:hAnsi="Arial" w:cs="Arial"/>
        </w:rPr>
        <w:t xml:space="preserve"> against </w:t>
      </w:r>
      <w:r w:rsidR="00F21DDA" w:rsidRPr="007A79C3">
        <w:rPr>
          <w:rFonts w:ascii="Arial" w:hAnsi="Arial" w:cs="Arial"/>
        </w:rPr>
        <w:t>her. Ms Mayola has simply maintained her silence throughout</w:t>
      </w:r>
      <w:r w:rsidR="00573E49" w:rsidRPr="007A79C3">
        <w:rPr>
          <w:rFonts w:ascii="Arial" w:hAnsi="Arial" w:cs="Arial"/>
        </w:rPr>
        <w:t>.</w:t>
      </w:r>
      <w:r w:rsidR="00881755">
        <w:rPr>
          <w:rFonts w:ascii="Arial" w:hAnsi="Arial" w:cs="Arial"/>
        </w:rPr>
        <w:t xml:space="preserve"> </w:t>
      </w:r>
    </w:p>
    <w:p w14:paraId="6B87E23A" w14:textId="09B15B6C" w:rsidR="00573E49" w:rsidRPr="007A79C3" w:rsidRDefault="004677A9" w:rsidP="00796BFD">
      <w:pPr>
        <w:pStyle w:val="ListParagraph"/>
        <w:widowControl w:val="0"/>
        <w:spacing w:line="360" w:lineRule="auto"/>
        <w:ind w:left="0"/>
        <w:jc w:val="both"/>
        <w:rPr>
          <w:rFonts w:ascii="Arial" w:hAnsi="Arial" w:cs="Arial"/>
        </w:rPr>
      </w:pPr>
      <w:r>
        <w:rPr>
          <w:rFonts w:ascii="Arial" w:hAnsi="Arial" w:cs="Arial"/>
        </w:rPr>
        <w:lastRenderedPageBreak/>
        <w:t>(d)</w:t>
      </w:r>
      <w:r w:rsidR="00F21DDA" w:rsidRPr="007A79C3">
        <w:rPr>
          <w:rFonts w:ascii="Arial" w:hAnsi="Arial" w:cs="Arial"/>
        </w:rPr>
        <w:tab/>
      </w:r>
      <w:r w:rsidR="00573E49" w:rsidRPr="007A79C3">
        <w:rPr>
          <w:rFonts w:ascii="Arial" w:hAnsi="Arial" w:cs="Arial"/>
        </w:rPr>
        <w:t xml:space="preserve">Fourth, the wording of </w:t>
      </w:r>
      <w:r w:rsidR="00511565" w:rsidRPr="007A79C3">
        <w:rPr>
          <w:rFonts w:ascii="Arial" w:hAnsi="Arial" w:cs="Arial"/>
        </w:rPr>
        <w:t xml:space="preserve">rule </w:t>
      </w:r>
      <w:r w:rsidR="00573E49" w:rsidRPr="007A79C3">
        <w:rPr>
          <w:rFonts w:ascii="Arial" w:hAnsi="Arial" w:cs="Arial"/>
        </w:rPr>
        <w:t>4.3.1</w:t>
      </w:r>
      <w:r w:rsidR="00573E49" w:rsidRPr="00511565">
        <w:rPr>
          <w:rFonts w:ascii="Arial" w:hAnsi="Arial" w:cs="Arial"/>
          <w:i/>
        </w:rPr>
        <w:t>(b)</w:t>
      </w:r>
      <w:r w:rsidR="00F21DDA" w:rsidRPr="005852C4">
        <w:rPr>
          <w:rStyle w:val="FootnoteReference"/>
          <w:rFonts w:ascii="Arial" w:hAnsi="Arial" w:cs="Arial"/>
        </w:rPr>
        <w:footnoteReference w:id="17"/>
      </w:r>
      <w:r w:rsidR="00573E49" w:rsidRPr="007A79C3">
        <w:rPr>
          <w:rFonts w:ascii="Arial" w:hAnsi="Arial" w:cs="Arial"/>
        </w:rPr>
        <w:t xml:space="preserve"> of the rules of the pension fund largely mirror</w:t>
      </w:r>
      <w:r w:rsidR="00F21DDA" w:rsidRPr="007A79C3">
        <w:rPr>
          <w:rFonts w:ascii="Arial" w:hAnsi="Arial" w:cs="Arial"/>
        </w:rPr>
        <w:t>s</w:t>
      </w:r>
      <w:r w:rsidR="00573E49" w:rsidRPr="007A79C3">
        <w:rPr>
          <w:rFonts w:ascii="Arial" w:hAnsi="Arial" w:cs="Arial"/>
        </w:rPr>
        <w:t xml:space="preserve"> s 37D(1)</w:t>
      </w:r>
      <w:r w:rsidR="00573E49" w:rsidRPr="00511565">
        <w:rPr>
          <w:rFonts w:ascii="Arial" w:hAnsi="Arial" w:cs="Arial"/>
          <w:i/>
        </w:rPr>
        <w:t>(b)</w:t>
      </w:r>
      <w:r w:rsidR="00573E49" w:rsidRPr="007A79C3">
        <w:rPr>
          <w:rFonts w:ascii="Arial" w:hAnsi="Arial" w:cs="Arial"/>
        </w:rPr>
        <w:t>(ii)</w:t>
      </w:r>
      <w:r w:rsidR="00721E23">
        <w:rPr>
          <w:rFonts w:ascii="Arial" w:hAnsi="Arial" w:cs="Arial"/>
        </w:rPr>
        <w:t xml:space="preserve"> of the Pensions Act</w:t>
      </w:r>
      <w:r w:rsidR="00573E49" w:rsidRPr="007A79C3">
        <w:rPr>
          <w:rFonts w:ascii="Arial" w:hAnsi="Arial" w:cs="Arial"/>
        </w:rPr>
        <w:t>.</w:t>
      </w:r>
      <w:r w:rsidR="00881755">
        <w:rPr>
          <w:rFonts w:ascii="Arial" w:hAnsi="Arial" w:cs="Arial"/>
        </w:rPr>
        <w:t xml:space="preserve"> </w:t>
      </w:r>
      <w:r w:rsidR="00573E49" w:rsidRPr="007A79C3">
        <w:rPr>
          <w:rFonts w:ascii="Arial" w:hAnsi="Arial" w:cs="Arial"/>
        </w:rPr>
        <w:t xml:space="preserve">Similar to the Pensions Act, rule 4.3.1 gives the trustees of the pension fund the right to make such deductions from the benefit to which a member is entitled </w:t>
      </w:r>
      <w:r w:rsidR="00721E23">
        <w:rPr>
          <w:rFonts w:ascii="Arial" w:hAnsi="Arial" w:cs="Arial"/>
        </w:rPr>
        <w:t xml:space="preserve">to </w:t>
      </w:r>
      <w:r w:rsidR="00573E49" w:rsidRPr="007A79C3">
        <w:rPr>
          <w:rFonts w:ascii="Arial" w:hAnsi="Arial" w:cs="Arial"/>
        </w:rPr>
        <w:t>in terms of s 37D of the Pensions Act as is necessary.</w:t>
      </w:r>
      <w:r w:rsidR="00881755">
        <w:rPr>
          <w:rFonts w:ascii="Arial" w:hAnsi="Arial" w:cs="Arial"/>
        </w:rPr>
        <w:t xml:space="preserve"> </w:t>
      </w:r>
      <w:r w:rsidR="00573E49" w:rsidRPr="007A79C3">
        <w:rPr>
          <w:rFonts w:ascii="Arial" w:hAnsi="Arial" w:cs="Arial"/>
        </w:rPr>
        <w:t xml:space="preserve">The trustees have the right to withhold payment of a benefit until such time as the matter has been finally determined by a competent court of law, provided that the trustees must be satisfied that the employer made out a </w:t>
      </w:r>
      <w:r w:rsidR="00573E49" w:rsidRPr="00141BA5">
        <w:rPr>
          <w:rFonts w:ascii="Arial" w:hAnsi="Arial" w:cs="Arial"/>
          <w:i/>
        </w:rPr>
        <w:t>prima facie</w:t>
      </w:r>
      <w:r w:rsidR="00573E49" w:rsidRPr="007A79C3">
        <w:rPr>
          <w:rFonts w:ascii="Arial" w:hAnsi="Arial" w:cs="Arial"/>
        </w:rPr>
        <w:t xml:space="preserve"> case against the member and they believe that the employer has a reasonable chance of success in the proceedings instituted.</w:t>
      </w:r>
      <w:r w:rsidR="00881755">
        <w:rPr>
          <w:rFonts w:ascii="Arial" w:hAnsi="Arial" w:cs="Arial"/>
        </w:rPr>
        <w:t xml:space="preserve"> </w:t>
      </w:r>
      <w:r w:rsidR="00573E49" w:rsidRPr="007A79C3">
        <w:rPr>
          <w:rFonts w:ascii="Arial" w:hAnsi="Arial" w:cs="Arial"/>
        </w:rPr>
        <w:t xml:space="preserve">Ms Majola was provided with these rules in the email dated 29 August 2019 and she took no issue with the pension fund about the content of the pension fund rules or the application of such rules against her. The email of 29 August 2019 records that the trustees considered the information before them and they were satisfied that the appellant has a </w:t>
      </w:r>
      <w:r w:rsidR="00573E49" w:rsidRPr="00141BA5">
        <w:rPr>
          <w:rFonts w:ascii="Arial" w:hAnsi="Arial" w:cs="Arial"/>
          <w:i/>
        </w:rPr>
        <w:t>prima facie</w:t>
      </w:r>
      <w:r w:rsidR="00573E49" w:rsidRPr="007A79C3">
        <w:rPr>
          <w:rFonts w:ascii="Arial" w:hAnsi="Arial" w:cs="Arial"/>
        </w:rPr>
        <w:t xml:space="preserve"> case of dishonest misconduct against Ms Mayola, and </w:t>
      </w:r>
      <w:r w:rsidR="00F21DDA" w:rsidRPr="007A79C3">
        <w:rPr>
          <w:rFonts w:ascii="Arial" w:hAnsi="Arial" w:cs="Arial"/>
        </w:rPr>
        <w:t>she</w:t>
      </w:r>
      <w:r w:rsidR="00573E49" w:rsidRPr="007A79C3">
        <w:rPr>
          <w:rFonts w:ascii="Arial" w:hAnsi="Arial" w:cs="Arial"/>
        </w:rPr>
        <w:t xml:space="preserve"> did not challenge this in writing to the pension fund.</w:t>
      </w:r>
    </w:p>
    <w:p w14:paraId="04BB315B" w14:textId="5EB6EB13" w:rsidR="00573E49" w:rsidRDefault="004677A9" w:rsidP="00796BFD">
      <w:pPr>
        <w:pStyle w:val="ListParagraph"/>
        <w:widowControl w:val="0"/>
        <w:spacing w:line="360" w:lineRule="auto"/>
        <w:ind w:left="0"/>
        <w:jc w:val="both"/>
        <w:rPr>
          <w:rFonts w:ascii="Arial" w:hAnsi="Arial" w:cs="Arial"/>
        </w:rPr>
      </w:pPr>
      <w:r>
        <w:rPr>
          <w:rFonts w:ascii="Arial" w:hAnsi="Arial" w:cs="Arial"/>
        </w:rPr>
        <w:t>(e)</w:t>
      </w:r>
      <w:r w:rsidR="00F21DDA" w:rsidRPr="007A79C3">
        <w:rPr>
          <w:rFonts w:ascii="Arial" w:hAnsi="Arial" w:cs="Arial"/>
        </w:rPr>
        <w:tab/>
      </w:r>
      <w:r w:rsidR="00573E49" w:rsidRPr="007A79C3">
        <w:rPr>
          <w:rFonts w:ascii="Arial" w:hAnsi="Arial" w:cs="Arial"/>
        </w:rPr>
        <w:t xml:space="preserve">Finally, in an email dated 27 February 2020 the pension fund invited Ms Mayola to make written representations to it </w:t>
      </w:r>
      <w:r w:rsidR="00511565">
        <w:rPr>
          <w:rFonts w:ascii="Arial" w:hAnsi="Arial" w:cs="Arial"/>
        </w:rPr>
        <w:t xml:space="preserve">in </w:t>
      </w:r>
      <w:r w:rsidR="00573E49" w:rsidRPr="007A79C3">
        <w:rPr>
          <w:rFonts w:ascii="Arial" w:hAnsi="Arial" w:cs="Arial"/>
        </w:rPr>
        <w:t xml:space="preserve">the light of its position that the investigations in the criminal proceedings </w:t>
      </w:r>
      <w:r w:rsidR="00F21DDA" w:rsidRPr="007A79C3">
        <w:rPr>
          <w:rFonts w:ascii="Arial" w:hAnsi="Arial" w:cs="Arial"/>
        </w:rPr>
        <w:t>were</w:t>
      </w:r>
      <w:r w:rsidR="00573E49" w:rsidRPr="007A79C3">
        <w:rPr>
          <w:rFonts w:ascii="Arial" w:hAnsi="Arial" w:cs="Arial"/>
        </w:rPr>
        <w:t xml:space="preserve"> continuing and that the </w:t>
      </w:r>
      <w:r w:rsidR="00B5006E">
        <w:rPr>
          <w:rFonts w:ascii="Arial" w:hAnsi="Arial" w:cs="Arial"/>
        </w:rPr>
        <w:t xml:space="preserve">pension </w:t>
      </w:r>
      <w:r w:rsidR="00573E49" w:rsidRPr="007A79C3">
        <w:rPr>
          <w:rFonts w:ascii="Arial" w:hAnsi="Arial" w:cs="Arial"/>
        </w:rPr>
        <w:t xml:space="preserve">fund </w:t>
      </w:r>
      <w:r w:rsidR="00F21DDA" w:rsidRPr="007A79C3">
        <w:rPr>
          <w:rFonts w:ascii="Arial" w:hAnsi="Arial" w:cs="Arial"/>
        </w:rPr>
        <w:t>was</w:t>
      </w:r>
      <w:r w:rsidR="00573E49" w:rsidRPr="007A79C3">
        <w:rPr>
          <w:rFonts w:ascii="Arial" w:hAnsi="Arial" w:cs="Arial"/>
        </w:rPr>
        <w:t xml:space="preserve"> likely to continue to withhold </w:t>
      </w:r>
      <w:r w:rsidR="00413FD7">
        <w:rPr>
          <w:rFonts w:ascii="Arial" w:hAnsi="Arial" w:cs="Arial"/>
        </w:rPr>
        <w:t xml:space="preserve">the </w:t>
      </w:r>
      <w:r w:rsidR="00573E49" w:rsidRPr="007A79C3">
        <w:rPr>
          <w:rFonts w:ascii="Arial" w:hAnsi="Arial" w:cs="Arial"/>
        </w:rPr>
        <w:t xml:space="preserve">payment of </w:t>
      </w:r>
      <w:r w:rsidR="00413FD7">
        <w:rPr>
          <w:rFonts w:ascii="Arial" w:hAnsi="Arial" w:cs="Arial"/>
        </w:rPr>
        <w:t>her</w:t>
      </w:r>
      <w:r w:rsidR="00413FD7" w:rsidRPr="007A79C3">
        <w:rPr>
          <w:rFonts w:ascii="Arial" w:hAnsi="Arial" w:cs="Arial"/>
        </w:rPr>
        <w:t xml:space="preserve"> </w:t>
      </w:r>
      <w:r w:rsidR="00573E49" w:rsidRPr="007A79C3">
        <w:rPr>
          <w:rFonts w:ascii="Arial" w:hAnsi="Arial" w:cs="Arial"/>
        </w:rPr>
        <w:t>pension benefits.</w:t>
      </w:r>
      <w:r w:rsidR="00881755">
        <w:rPr>
          <w:rFonts w:ascii="Arial" w:hAnsi="Arial" w:cs="Arial"/>
        </w:rPr>
        <w:t xml:space="preserve"> </w:t>
      </w:r>
      <w:r w:rsidR="00573E49" w:rsidRPr="007A79C3">
        <w:rPr>
          <w:rFonts w:ascii="Arial" w:hAnsi="Arial" w:cs="Arial"/>
        </w:rPr>
        <w:t>Ms Mayola made no such representations and has</w:t>
      </w:r>
      <w:r w:rsidR="00413FD7">
        <w:rPr>
          <w:rFonts w:ascii="Arial" w:hAnsi="Arial" w:cs="Arial"/>
        </w:rPr>
        <w:t>, in fact,</w:t>
      </w:r>
      <w:r w:rsidR="00573E49" w:rsidRPr="007A79C3">
        <w:rPr>
          <w:rFonts w:ascii="Arial" w:hAnsi="Arial" w:cs="Arial"/>
        </w:rPr>
        <w:t xml:space="preserve"> made </w:t>
      </w:r>
      <w:r w:rsidR="005354A5" w:rsidRPr="007A79C3">
        <w:rPr>
          <w:rFonts w:ascii="Arial" w:hAnsi="Arial" w:cs="Arial"/>
        </w:rPr>
        <w:t>none</w:t>
      </w:r>
      <w:r w:rsidR="00573E49" w:rsidRPr="007A79C3">
        <w:rPr>
          <w:rFonts w:ascii="Arial" w:hAnsi="Arial" w:cs="Arial"/>
        </w:rPr>
        <w:t xml:space="preserve"> to date.</w:t>
      </w:r>
    </w:p>
    <w:p w14:paraId="57D916B4" w14:textId="2887BE98" w:rsidR="00573E49" w:rsidRPr="005824B7" w:rsidRDefault="005824B7" w:rsidP="005824B7">
      <w:pPr>
        <w:widowControl w:val="0"/>
        <w:spacing w:line="360" w:lineRule="auto"/>
        <w:jc w:val="both"/>
        <w:rPr>
          <w:rFonts w:ascii="Arial" w:hAnsi="Arial" w:cs="Arial"/>
        </w:rPr>
      </w:pPr>
      <w:r w:rsidRPr="007A79C3">
        <w:rPr>
          <w:rFonts w:ascii="Arial" w:hAnsi="Arial" w:cs="Arial"/>
        </w:rPr>
        <w:lastRenderedPageBreak/>
        <w:t>[55]</w:t>
      </w:r>
      <w:r w:rsidRPr="007A79C3">
        <w:rPr>
          <w:rFonts w:ascii="Arial" w:hAnsi="Arial" w:cs="Arial"/>
        </w:rPr>
        <w:tab/>
      </w:r>
      <w:r w:rsidR="00573E49" w:rsidRPr="005824B7">
        <w:rPr>
          <w:rFonts w:ascii="Arial" w:hAnsi="Arial" w:cs="Arial"/>
        </w:rPr>
        <w:t>Neither the rules of the pension fund nor s 37D(1)</w:t>
      </w:r>
      <w:r w:rsidR="00573E49" w:rsidRPr="005824B7">
        <w:rPr>
          <w:rFonts w:ascii="Arial" w:hAnsi="Arial" w:cs="Arial"/>
          <w:i/>
        </w:rPr>
        <w:t>(b</w:t>
      </w:r>
      <w:r w:rsidR="00511565" w:rsidRPr="005824B7">
        <w:rPr>
          <w:rFonts w:ascii="Arial" w:hAnsi="Arial" w:cs="Arial"/>
          <w:i/>
        </w:rPr>
        <w:t>)</w:t>
      </w:r>
      <w:r w:rsidR="00573E49" w:rsidRPr="005824B7">
        <w:rPr>
          <w:rFonts w:ascii="Arial" w:hAnsi="Arial" w:cs="Arial"/>
        </w:rPr>
        <w:t xml:space="preserve">(ii) of the Pensions Act afford an employee the right to make representation at a stage where the basis for </w:t>
      </w:r>
      <w:r w:rsidR="00413FD7" w:rsidRPr="005824B7">
        <w:rPr>
          <w:rFonts w:ascii="Arial" w:hAnsi="Arial" w:cs="Arial"/>
        </w:rPr>
        <w:t xml:space="preserve">the </w:t>
      </w:r>
      <w:r w:rsidR="00573E49" w:rsidRPr="005824B7">
        <w:rPr>
          <w:rFonts w:ascii="Arial" w:hAnsi="Arial" w:cs="Arial"/>
        </w:rPr>
        <w:t xml:space="preserve">withholding </w:t>
      </w:r>
      <w:r w:rsidR="00413FD7" w:rsidRPr="005824B7">
        <w:rPr>
          <w:rFonts w:ascii="Arial" w:hAnsi="Arial" w:cs="Arial"/>
        </w:rPr>
        <w:t xml:space="preserve">of </w:t>
      </w:r>
      <w:r w:rsidR="00573E49" w:rsidRPr="005824B7">
        <w:rPr>
          <w:rFonts w:ascii="Arial" w:hAnsi="Arial" w:cs="Arial"/>
        </w:rPr>
        <w:t xml:space="preserve">the pension benefit is </w:t>
      </w:r>
      <w:r w:rsidR="00413FD7" w:rsidRPr="005824B7">
        <w:rPr>
          <w:rFonts w:ascii="Arial" w:hAnsi="Arial" w:cs="Arial"/>
        </w:rPr>
        <w:t xml:space="preserve">made, </w:t>
      </w:r>
      <w:r w:rsidR="00573E49" w:rsidRPr="005824B7">
        <w:rPr>
          <w:rFonts w:ascii="Arial" w:hAnsi="Arial" w:cs="Arial"/>
        </w:rPr>
        <w:t xml:space="preserve">pending </w:t>
      </w:r>
      <w:r w:rsidR="00413FD7" w:rsidRPr="005824B7">
        <w:rPr>
          <w:rFonts w:ascii="Arial" w:hAnsi="Arial" w:cs="Arial"/>
        </w:rPr>
        <w:t xml:space="preserve">the </w:t>
      </w:r>
      <w:r w:rsidR="00573E49" w:rsidRPr="005824B7">
        <w:rPr>
          <w:rFonts w:ascii="Arial" w:hAnsi="Arial" w:cs="Arial"/>
        </w:rPr>
        <w:t>finalisation of the investigation that is underway.</w:t>
      </w:r>
      <w:r w:rsidR="00881755" w:rsidRPr="005824B7">
        <w:rPr>
          <w:rFonts w:ascii="Arial" w:hAnsi="Arial" w:cs="Arial"/>
        </w:rPr>
        <w:t xml:space="preserve"> </w:t>
      </w:r>
      <w:r w:rsidR="00573E49" w:rsidRPr="005824B7">
        <w:rPr>
          <w:rFonts w:ascii="Arial" w:hAnsi="Arial" w:cs="Arial"/>
        </w:rPr>
        <w:t>In any event, Ms Mayola was afforded no less than five opportunities to state her case by both the appellant before the decision to withhold</w:t>
      </w:r>
      <w:r w:rsidR="00413FD7" w:rsidRPr="005824B7">
        <w:rPr>
          <w:rFonts w:ascii="Arial" w:hAnsi="Arial" w:cs="Arial"/>
        </w:rPr>
        <w:t xml:space="preserve"> was taken</w:t>
      </w:r>
      <w:r w:rsidR="00573E49" w:rsidRPr="005824B7">
        <w:rPr>
          <w:rFonts w:ascii="Arial" w:hAnsi="Arial" w:cs="Arial"/>
        </w:rPr>
        <w:t>, and by the pension fund at the time of making the decision to withhold and thereafter.</w:t>
      </w:r>
      <w:r w:rsidR="005354A5" w:rsidRPr="005824B7">
        <w:rPr>
          <w:rFonts w:ascii="Arial" w:hAnsi="Arial" w:cs="Arial"/>
        </w:rPr>
        <w:t xml:space="preserve"> She simply failed to do so.</w:t>
      </w:r>
    </w:p>
    <w:p w14:paraId="780A7B5A" w14:textId="77777777" w:rsidR="00474F0A" w:rsidRPr="005852C4" w:rsidRDefault="00474F0A" w:rsidP="007A79C3">
      <w:pPr>
        <w:widowControl w:val="0"/>
        <w:spacing w:line="360" w:lineRule="auto"/>
        <w:contextualSpacing/>
        <w:jc w:val="both"/>
        <w:rPr>
          <w:rFonts w:ascii="Arial" w:hAnsi="Arial" w:cs="Arial"/>
        </w:rPr>
      </w:pPr>
    </w:p>
    <w:p w14:paraId="0E134DA1" w14:textId="64D8BFE4" w:rsidR="00573E49" w:rsidRPr="005824B7" w:rsidRDefault="005824B7" w:rsidP="005824B7">
      <w:pPr>
        <w:widowControl w:val="0"/>
        <w:spacing w:line="360" w:lineRule="auto"/>
        <w:jc w:val="both"/>
        <w:rPr>
          <w:rFonts w:ascii="Arial" w:hAnsi="Arial" w:cs="Arial"/>
        </w:rPr>
      </w:pPr>
      <w:r w:rsidRPr="007A79C3">
        <w:rPr>
          <w:rFonts w:ascii="Arial" w:hAnsi="Arial" w:cs="Arial"/>
        </w:rPr>
        <w:t>[56]</w:t>
      </w:r>
      <w:r w:rsidRPr="007A79C3">
        <w:rPr>
          <w:rFonts w:ascii="Arial" w:hAnsi="Arial" w:cs="Arial"/>
        </w:rPr>
        <w:tab/>
      </w:r>
      <w:r w:rsidR="00573E49" w:rsidRPr="005824B7">
        <w:rPr>
          <w:rFonts w:ascii="Arial" w:hAnsi="Arial" w:cs="Arial"/>
        </w:rPr>
        <w:t>For</w:t>
      </w:r>
      <w:r w:rsidR="005354A5" w:rsidRPr="005824B7">
        <w:rPr>
          <w:rFonts w:ascii="Arial" w:hAnsi="Arial" w:cs="Arial"/>
        </w:rPr>
        <w:t xml:space="preserve"> all</w:t>
      </w:r>
      <w:r w:rsidR="00573E49" w:rsidRPr="005824B7">
        <w:rPr>
          <w:rFonts w:ascii="Arial" w:hAnsi="Arial" w:cs="Arial"/>
        </w:rPr>
        <w:t xml:space="preserve"> the reasons stated </w:t>
      </w:r>
      <w:r w:rsidR="005354A5" w:rsidRPr="005824B7">
        <w:rPr>
          <w:rFonts w:ascii="Arial" w:hAnsi="Arial" w:cs="Arial"/>
        </w:rPr>
        <w:t xml:space="preserve">above </w:t>
      </w:r>
      <w:r w:rsidR="00573E49" w:rsidRPr="005824B7">
        <w:rPr>
          <w:rFonts w:ascii="Arial" w:hAnsi="Arial" w:cs="Arial"/>
        </w:rPr>
        <w:t xml:space="preserve">we conclude that the adjudicator erred in reasoning as he did and Ms Mayola’s complaint to the adjudicator </w:t>
      </w:r>
      <w:r w:rsidR="005354A5" w:rsidRPr="005824B7">
        <w:rPr>
          <w:rFonts w:ascii="Arial" w:hAnsi="Arial" w:cs="Arial"/>
        </w:rPr>
        <w:t>fell</w:t>
      </w:r>
      <w:r w:rsidR="00573E49" w:rsidRPr="005824B7">
        <w:rPr>
          <w:rFonts w:ascii="Arial" w:hAnsi="Arial" w:cs="Arial"/>
        </w:rPr>
        <w:t xml:space="preserve"> to be dismissed.</w:t>
      </w:r>
    </w:p>
    <w:p w14:paraId="1B770241" w14:textId="77777777" w:rsidR="00413FD7" w:rsidRDefault="00413FD7" w:rsidP="007A79C3">
      <w:pPr>
        <w:widowControl w:val="0"/>
        <w:spacing w:line="360" w:lineRule="auto"/>
        <w:contextualSpacing/>
        <w:jc w:val="both"/>
        <w:rPr>
          <w:rFonts w:ascii="Arial" w:hAnsi="Arial" w:cs="Arial"/>
          <w:b/>
        </w:rPr>
      </w:pPr>
    </w:p>
    <w:p w14:paraId="330C5E9E" w14:textId="526F4ADB" w:rsidR="00CB72D4" w:rsidRDefault="00413FD7" w:rsidP="007A79C3">
      <w:pPr>
        <w:widowControl w:val="0"/>
        <w:spacing w:line="360" w:lineRule="auto"/>
        <w:contextualSpacing/>
        <w:jc w:val="both"/>
        <w:rPr>
          <w:rFonts w:ascii="Arial" w:hAnsi="Arial" w:cs="Arial"/>
          <w:b/>
        </w:rPr>
      </w:pPr>
      <w:r w:rsidRPr="00141BA5">
        <w:rPr>
          <w:rFonts w:ascii="Arial" w:hAnsi="Arial" w:cs="Arial"/>
          <w:b/>
        </w:rPr>
        <w:t>Costs</w:t>
      </w:r>
    </w:p>
    <w:p w14:paraId="188F68DE" w14:textId="55F05017" w:rsidR="00413FD7" w:rsidRPr="005824B7" w:rsidRDefault="005824B7" w:rsidP="005824B7">
      <w:pPr>
        <w:widowControl w:val="0"/>
        <w:spacing w:line="360" w:lineRule="auto"/>
        <w:jc w:val="both"/>
        <w:rPr>
          <w:rFonts w:ascii="Arial" w:hAnsi="Arial" w:cs="Arial"/>
        </w:rPr>
      </w:pPr>
      <w:r w:rsidRPr="00141BA5">
        <w:rPr>
          <w:rFonts w:ascii="Arial" w:hAnsi="Arial" w:cs="Arial"/>
        </w:rPr>
        <w:t>[57]</w:t>
      </w:r>
      <w:r w:rsidRPr="00141BA5">
        <w:rPr>
          <w:rFonts w:ascii="Arial" w:hAnsi="Arial" w:cs="Arial"/>
        </w:rPr>
        <w:tab/>
      </w:r>
      <w:r w:rsidR="006A2ED7" w:rsidRPr="005824B7">
        <w:rPr>
          <w:rFonts w:ascii="Arial" w:hAnsi="Arial" w:cs="Arial"/>
        </w:rPr>
        <w:t>The general rule is that costs should follow the result and we see no need to depart from it.</w:t>
      </w:r>
    </w:p>
    <w:p w14:paraId="48C7EF6C" w14:textId="77777777" w:rsidR="00413FD7" w:rsidRDefault="00413FD7" w:rsidP="00796BFD">
      <w:pPr>
        <w:pStyle w:val="ListParagraph"/>
        <w:widowControl w:val="0"/>
        <w:spacing w:line="360" w:lineRule="auto"/>
        <w:ind w:left="0"/>
        <w:jc w:val="both"/>
        <w:rPr>
          <w:rFonts w:ascii="Arial" w:hAnsi="Arial" w:cs="Arial"/>
          <w:b/>
        </w:rPr>
      </w:pPr>
    </w:p>
    <w:p w14:paraId="1595DAFB" w14:textId="2F9D836E" w:rsidR="00573E49" w:rsidRPr="00796DB4" w:rsidRDefault="00CB72D4" w:rsidP="00796BFD">
      <w:pPr>
        <w:pStyle w:val="ListParagraph"/>
        <w:widowControl w:val="0"/>
        <w:spacing w:line="360" w:lineRule="auto"/>
        <w:ind w:left="0"/>
        <w:jc w:val="both"/>
        <w:rPr>
          <w:rFonts w:ascii="Arial" w:hAnsi="Arial" w:cs="Arial"/>
          <w:b/>
        </w:rPr>
      </w:pPr>
      <w:r w:rsidRPr="00796DB4">
        <w:rPr>
          <w:rFonts w:ascii="Arial" w:hAnsi="Arial" w:cs="Arial"/>
          <w:b/>
        </w:rPr>
        <w:t>Order</w:t>
      </w:r>
      <w:r w:rsidR="00881755">
        <w:rPr>
          <w:rFonts w:ascii="Arial" w:hAnsi="Arial" w:cs="Arial"/>
          <w:b/>
        </w:rPr>
        <w:t xml:space="preserve"> </w:t>
      </w:r>
    </w:p>
    <w:p w14:paraId="30FE7938" w14:textId="7FD819B3" w:rsidR="00573E49" w:rsidRPr="005824B7" w:rsidRDefault="005824B7" w:rsidP="005824B7">
      <w:pPr>
        <w:widowControl w:val="0"/>
        <w:spacing w:line="360" w:lineRule="auto"/>
        <w:jc w:val="both"/>
        <w:rPr>
          <w:rFonts w:ascii="Arial" w:hAnsi="Arial" w:cs="Arial"/>
        </w:rPr>
      </w:pPr>
      <w:r w:rsidRPr="007A79C3">
        <w:rPr>
          <w:rFonts w:ascii="Arial" w:hAnsi="Arial" w:cs="Arial"/>
        </w:rPr>
        <w:t>[58]</w:t>
      </w:r>
      <w:r w:rsidRPr="007A79C3">
        <w:rPr>
          <w:rFonts w:ascii="Arial" w:hAnsi="Arial" w:cs="Arial"/>
        </w:rPr>
        <w:tab/>
      </w:r>
      <w:r w:rsidR="00573E49" w:rsidRPr="005824B7">
        <w:rPr>
          <w:rFonts w:ascii="Arial" w:hAnsi="Arial" w:cs="Arial"/>
        </w:rPr>
        <w:t>In the result we make the following order:</w:t>
      </w:r>
    </w:p>
    <w:p w14:paraId="4530DA49" w14:textId="1399C05C" w:rsidR="006A2ED7" w:rsidRDefault="006A2ED7" w:rsidP="00497265">
      <w:pPr>
        <w:widowControl w:val="0"/>
        <w:spacing w:line="360" w:lineRule="auto"/>
        <w:contextualSpacing/>
        <w:jc w:val="both"/>
        <w:rPr>
          <w:rFonts w:ascii="Arial" w:hAnsi="Arial" w:cs="Arial"/>
        </w:rPr>
      </w:pPr>
      <w:r>
        <w:rPr>
          <w:rFonts w:ascii="Arial" w:hAnsi="Arial" w:cs="Arial"/>
        </w:rPr>
        <w:t>1.</w:t>
      </w:r>
      <w:r>
        <w:rPr>
          <w:rFonts w:ascii="Arial" w:hAnsi="Arial" w:cs="Arial"/>
        </w:rPr>
        <w:tab/>
        <w:t>The appeal is upheld.</w:t>
      </w:r>
    </w:p>
    <w:p w14:paraId="368ECA58" w14:textId="0C45EBD9" w:rsidR="00573E49" w:rsidRPr="00497265" w:rsidRDefault="006A2ED7" w:rsidP="00497265">
      <w:pPr>
        <w:widowControl w:val="0"/>
        <w:spacing w:line="360" w:lineRule="auto"/>
        <w:contextualSpacing/>
        <w:jc w:val="both"/>
        <w:rPr>
          <w:rFonts w:ascii="Arial" w:hAnsi="Arial" w:cs="Arial"/>
        </w:rPr>
      </w:pPr>
      <w:r>
        <w:rPr>
          <w:rFonts w:ascii="Arial" w:hAnsi="Arial" w:cs="Arial"/>
        </w:rPr>
        <w:t>2</w:t>
      </w:r>
      <w:r w:rsidR="00573E49" w:rsidRPr="00497265">
        <w:rPr>
          <w:rFonts w:ascii="Arial" w:hAnsi="Arial" w:cs="Arial"/>
        </w:rPr>
        <w:t>.</w:t>
      </w:r>
      <w:r w:rsidR="00573E49" w:rsidRPr="00497265">
        <w:rPr>
          <w:rFonts w:ascii="Arial" w:hAnsi="Arial" w:cs="Arial"/>
        </w:rPr>
        <w:tab/>
      </w:r>
      <w:r w:rsidR="005354A5" w:rsidRPr="00497265">
        <w:rPr>
          <w:rFonts w:ascii="Arial" w:hAnsi="Arial" w:cs="Arial"/>
        </w:rPr>
        <w:t xml:space="preserve">The determination of the fourth respondent, dated 16 July 2020 in terms whereof the first respondent was ordered to pay to the third respondent </w:t>
      </w:r>
      <w:r w:rsidR="00294EC9" w:rsidRPr="00497265">
        <w:rPr>
          <w:rFonts w:ascii="Arial" w:hAnsi="Arial" w:cs="Arial"/>
        </w:rPr>
        <w:t>her withdrawal benefit, inclusive of fund return earned on such benefit calculated from August 2019 to date of payment is hereby reviewed and set aside in terms of section 30P of the Pension Funds Act</w:t>
      </w:r>
      <w:r w:rsidR="00B5006E" w:rsidRPr="00497265">
        <w:rPr>
          <w:rFonts w:ascii="Arial" w:hAnsi="Arial" w:cs="Arial"/>
        </w:rPr>
        <w:t xml:space="preserve"> 24 of 1956</w:t>
      </w:r>
      <w:r w:rsidR="00294EC9" w:rsidRPr="00497265">
        <w:rPr>
          <w:rFonts w:ascii="Arial" w:hAnsi="Arial" w:cs="Arial"/>
        </w:rPr>
        <w:t>.</w:t>
      </w:r>
    </w:p>
    <w:p w14:paraId="4524F92D" w14:textId="45015CFA" w:rsidR="00573E49" w:rsidRPr="00497265" w:rsidRDefault="006A2ED7" w:rsidP="00497265">
      <w:pPr>
        <w:widowControl w:val="0"/>
        <w:spacing w:line="360" w:lineRule="auto"/>
        <w:contextualSpacing/>
        <w:jc w:val="both"/>
        <w:rPr>
          <w:rFonts w:ascii="Arial" w:hAnsi="Arial" w:cs="Arial"/>
        </w:rPr>
      </w:pPr>
      <w:r>
        <w:rPr>
          <w:rFonts w:ascii="Arial" w:hAnsi="Arial" w:cs="Arial"/>
        </w:rPr>
        <w:t>3</w:t>
      </w:r>
      <w:r w:rsidR="00573E49" w:rsidRPr="00497265">
        <w:rPr>
          <w:rFonts w:ascii="Arial" w:hAnsi="Arial" w:cs="Arial"/>
        </w:rPr>
        <w:t>.</w:t>
      </w:r>
      <w:r w:rsidR="00573E49" w:rsidRPr="00497265">
        <w:rPr>
          <w:rFonts w:ascii="Arial" w:hAnsi="Arial" w:cs="Arial"/>
        </w:rPr>
        <w:tab/>
      </w:r>
      <w:r w:rsidR="00294EC9" w:rsidRPr="00497265">
        <w:rPr>
          <w:rFonts w:ascii="Arial" w:hAnsi="Arial" w:cs="Arial"/>
        </w:rPr>
        <w:t>The complaint of the third respondent lodged with the fourth respondent on 12 September 2019 is hereby dismissed</w:t>
      </w:r>
      <w:r w:rsidR="00573E49" w:rsidRPr="00497265">
        <w:rPr>
          <w:rFonts w:ascii="Arial" w:hAnsi="Arial" w:cs="Arial"/>
        </w:rPr>
        <w:t>.</w:t>
      </w:r>
    </w:p>
    <w:p w14:paraId="386D874A" w14:textId="1CFED282" w:rsidR="00573E49" w:rsidRDefault="006A2ED7" w:rsidP="00497265">
      <w:pPr>
        <w:widowControl w:val="0"/>
        <w:spacing w:line="360" w:lineRule="auto"/>
        <w:contextualSpacing/>
        <w:jc w:val="both"/>
        <w:rPr>
          <w:rFonts w:ascii="Arial" w:hAnsi="Arial" w:cs="Arial"/>
        </w:rPr>
      </w:pPr>
      <w:r>
        <w:rPr>
          <w:rFonts w:ascii="Arial" w:hAnsi="Arial" w:cs="Arial"/>
        </w:rPr>
        <w:t>4</w:t>
      </w:r>
      <w:r w:rsidR="00573E49" w:rsidRPr="00497265">
        <w:rPr>
          <w:rFonts w:ascii="Arial" w:hAnsi="Arial" w:cs="Arial"/>
        </w:rPr>
        <w:t>.</w:t>
      </w:r>
      <w:r w:rsidR="00573E49" w:rsidRPr="00497265">
        <w:rPr>
          <w:rFonts w:ascii="Arial" w:hAnsi="Arial" w:cs="Arial"/>
        </w:rPr>
        <w:tab/>
      </w:r>
      <w:r w:rsidR="00294EC9" w:rsidRPr="00497265">
        <w:rPr>
          <w:rFonts w:ascii="Arial" w:hAnsi="Arial" w:cs="Arial"/>
        </w:rPr>
        <w:t xml:space="preserve">The third respondent </w:t>
      </w:r>
      <w:r>
        <w:rPr>
          <w:rFonts w:ascii="Arial" w:hAnsi="Arial" w:cs="Arial"/>
        </w:rPr>
        <w:t xml:space="preserve">is directed </w:t>
      </w:r>
      <w:r w:rsidR="00511565" w:rsidRPr="00497265">
        <w:rPr>
          <w:rFonts w:ascii="Arial" w:hAnsi="Arial" w:cs="Arial"/>
        </w:rPr>
        <w:t xml:space="preserve">to </w:t>
      </w:r>
      <w:r w:rsidR="00294EC9" w:rsidRPr="00497265">
        <w:rPr>
          <w:rFonts w:ascii="Arial" w:hAnsi="Arial" w:cs="Arial"/>
        </w:rPr>
        <w:t>pay the costs of the appeal, such costs to include the costs of senior counsel</w:t>
      </w:r>
      <w:r w:rsidR="00573E49" w:rsidRPr="00497265">
        <w:rPr>
          <w:rFonts w:ascii="Arial" w:hAnsi="Arial" w:cs="Arial"/>
        </w:rPr>
        <w:t>.</w:t>
      </w:r>
    </w:p>
    <w:p w14:paraId="76DE7E52" w14:textId="50A0F95D" w:rsidR="006A2ED7" w:rsidRDefault="006A2ED7" w:rsidP="00497265">
      <w:pPr>
        <w:widowControl w:val="0"/>
        <w:spacing w:line="360" w:lineRule="auto"/>
        <w:contextualSpacing/>
        <w:jc w:val="both"/>
        <w:rPr>
          <w:rFonts w:ascii="Arial" w:hAnsi="Arial" w:cs="Arial"/>
        </w:rPr>
      </w:pPr>
    </w:p>
    <w:p w14:paraId="4A8B3C14" w14:textId="4A811E8C" w:rsidR="006A2ED7" w:rsidRDefault="006A2ED7" w:rsidP="00497265">
      <w:pPr>
        <w:widowControl w:val="0"/>
        <w:spacing w:line="360" w:lineRule="auto"/>
        <w:contextualSpacing/>
        <w:jc w:val="both"/>
        <w:rPr>
          <w:rFonts w:ascii="Arial" w:hAnsi="Arial" w:cs="Arial"/>
        </w:rPr>
      </w:pPr>
    </w:p>
    <w:p w14:paraId="567DD020" w14:textId="77777777" w:rsidR="00C128CA" w:rsidRDefault="00C128CA" w:rsidP="00497265">
      <w:pPr>
        <w:widowControl w:val="0"/>
        <w:spacing w:line="360" w:lineRule="auto"/>
        <w:contextualSpacing/>
        <w:jc w:val="both"/>
        <w:rPr>
          <w:rFonts w:ascii="Arial" w:hAnsi="Arial" w:cs="Arial"/>
        </w:rPr>
      </w:pPr>
    </w:p>
    <w:p w14:paraId="5E6AC837" w14:textId="418FCDD5" w:rsidR="006A2ED7" w:rsidRDefault="006A2ED7" w:rsidP="00497265">
      <w:pPr>
        <w:widowControl w:val="0"/>
        <w:spacing w:line="360" w:lineRule="auto"/>
        <w:contextualSpacing/>
        <w:jc w:val="both"/>
        <w:rPr>
          <w:rFonts w:ascii="Arial" w:hAnsi="Arial" w:cs="Arial"/>
        </w:rPr>
      </w:pPr>
    </w:p>
    <w:p w14:paraId="44D834C7" w14:textId="356D8C50" w:rsidR="006A2ED7" w:rsidRDefault="006A2ED7" w:rsidP="00497265">
      <w:pPr>
        <w:widowControl w:val="0"/>
        <w:spacing w:line="360" w:lineRule="auto"/>
        <w:contextualSpacing/>
        <w:jc w:val="both"/>
        <w:rPr>
          <w:rFonts w:ascii="Arial" w:hAnsi="Arial" w:cs="Arial"/>
        </w:rPr>
      </w:pPr>
    </w:p>
    <w:p w14:paraId="46ACA09E" w14:textId="77777777" w:rsidR="006A2ED7" w:rsidRPr="00497265" w:rsidRDefault="006A2ED7" w:rsidP="00497265">
      <w:pPr>
        <w:widowControl w:val="0"/>
        <w:spacing w:line="360" w:lineRule="auto"/>
        <w:contextualSpacing/>
        <w:jc w:val="both"/>
        <w:rPr>
          <w:rFonts w:ascii="Arial" w:hAnsi="Arial" w:cs="Arial"/>
        </w:rPr>
      </w:pPr>
    </w:p>
    <w:p w14:paraId="5C05B24A" w14:textId="77777777" w:rsidR="00CB72D4" w:rsidRPr="005852C4" w:rsidRDefault="00CB72D4" w:rsidP="005852C4">
      <w:pPr>
        <w:widowControl w:val="0"/>
        <w:spacing w:line="360" w:lineRule="auto"/>
        <w:contextualSpacing/>
        <w:jc w:val="both"/>
        <w:rPr>
          <w:rFonts w:ascii="Arial" w:hAnsi="Arial" w:cs="Arial"/>
        </w:rPr>
      </w:pPr>
    </w:p>
    <w:p w14:paraId="231F7E62" w14:textId="24088242" w:rsidR="00573E49" w:rsidRPr="00764038" w:rsidRDefault="00573E49" w:rsidP="00764038">
      <w:pPr>
        <w:widowControl w:val="0"/>
        <w:spacing w:line="360" w:lineRule="auto"/>
        <w:ind w:left="6480" w:firstLine="720"/>
        <w:contextualSpacing/>
        <w:jc w:val="right"/>
        <w:rPr>
          <w:rFonts w:ascii="Arial" w:hAnsi="Arial" w:cs="Arial"/>
          <w:b/>
        </w:rPr>
      </w:pPr>
      <w:r w:rsidRPr="00764038">
        <w:rPr>
          <w:rFonts w:ascii="Arial" w:hAnsi="Arial" w:cs="Arial"/>
          <w:b/>
        </w:rPr>
        <w:lastRenderedPageBreak/>
        <w:t>____________</w:t>
      </w:r>
    </w:p>
    <w:p w14:paraId="0A402ACE" w14:textId="77777777" w:rsidR="00573E49" w:rsidRPr="00764038" w:rsidRDefault="00573E49" w:rsidP="00764038">
      <w:pPr>
        <w:widowControl w:val="0"/>
        <w:spacing w:line="360" w:lineRule="auto"/>
        <w:ind w:left="6480" w:firstLine="720"/>
        <w:contextualSpacing/>
        <w:jc w:val="right"/>
        <w:rPr>
          <w:rFonts w:ascii="Arial" w:hAnsi="Arial" w:cs="Arial"/>
          <w:b/>
        </w:rPr>
      </w:pPr>
      <w:r w:rsidRPr="00764038">
        <w:rPr>
          <w:rFonts w:ascii="Arial" w:hAnsi="Arial" w:cs="Arial"/>
          <w:b/>
        </w:rPr>
        <w:t>SEEGOBIN J</w:t>
      </w:r>
    </w:p>
    <w:p w14:paraId="5AB6D2F6" w14:textId="03802767" w:rsidR="00573E49" w:rsidRPr="00764038" w:rsidRDefault="00573E49" w:rsidP="00764038">
      <w:pPr>
        <w:widowControl w:val="0"/>
        <w:spacing w:line="360" w:lineRule="auto"/>
        <w:contextualSpacing/>
        <w:jc w:val="right"/>
        <w:rPr>
          <w:rFonts w:ascii="Arial" w:hAnsi="Arial" w:cs="Arial"/>
          <w:b/>
        </w:rPr>
      </w:pPr>
    </w:p>
    <w:p w14:paraId="667447BF" w14:textId="679AB925" w:rsidR="00573E49" w:rsidRDefault="00573E49" w:rsidP="00764038">
      <w:pPr>
        <w:widowControl w:val="0"/>
        <w:spacing w:line="360" w:lineRule="auto"/>
        <w:contextualSpacing/>
        <w:jc w:val="right"/>
        <w:rPr>
          <w:rFonts w:ascii="Arial" w:hAnsi="Arial" w:cs="Arial"/>
          <w:b/>
        </w:rPr>
      </w:pPr>
    </w:p>
    <w:p w14:paraId="35BDA1ED" w14:textId="77777777" w:rsidR="006A2ED7" w:rsidRPr="00764038" w:rsidRDefault="006A2ED7" w:rsidP="00764038">
      <w:pPr>
        <w:widowControl w:val="0"/>
        <w:spacing w:line="360" w:lineRule="auto"/>
        <w:contextualSpacing/>
        <w:jc w:val="right"/>
        <w:rPr>
          <w:rFonts w:ascii="Arial" w:hAnsi="Arial" w:cs="Arial"/>
          <w:b/>
        </w:rPr>
      </w:pPr>
    </w:p>
    <w:p w14:paraId="79B4AF5D" w14:textId="4BA3A20E" w:rsidR="00573E49" w:rsidRPr="00764038" w:rsidRDefault="00573E49" w:rsidP="00764038">
      <w:pPr>
        <w:widowControl w:val="0"/>
        <w:spacing w:line="360" w:lineRule="auto"/>
        <w:ind w:left="5760" w:firstLine="720"/>
        <w:contextualSpacing/>
        <w:jc w:val="right"/>
        <w:rPr>
          <w:rFonts w:ascii="Arial" w:hAnsi="Arial" w:cs="Arial"/>
          <w:b/>
        </w:rPr>
      </w:pPr>
      <w:r w:rsidRPr="00764038">
        <w:rPr>
          <w:rFonts w:ascii="Arial" w:hAnsi="Arial" w:cs="Arial"/>
          <w:b/>
        </w:rPr>
        <w:t>________________</w:t>
      </w:r>
      <w:r w:rsidRPr="00764038">
        <w:rPr>
          <w:rFonts w:ascii="Arial" w:hAnsi="Arial" w:cs="Arial"/>
          <w:b/>
        </w:rPr>
        <w:tab/>
      </w:r>
    </w:p>
    <w:p w14:paraId="23B88ED4" w14:textId="38C56823" w:rsidR="00573E49" w:rsidRDefault="00B5006E" w:rsidP="00764038">
      <w:pPr>
        <w:widowControl w:val="0"/>
        <w:spacing w:line="360" w:lineRule="auto"/>
        <w:ind w:left="5760" w:firstLine="720"/>
        <w:contextualSpacing/>
        <w:jc w:val="right"/>
        <w:rPr>
          <w:rFonts w:ascii="Arial" w:hAnsi="Arial" w:cs="Arial"/>
          <w:b/>
        </w:rPr>
      </w:pPr>
      <w:r>
        <w:rPr>
          <w:rFonts w:ascii="Arial" w:hAnsi="Arial" w:cs="Arial"/>
          <w:b/>
        </w:rPr>
        <w:t xml:space="preserve">P </w:t>
      </w:r>
      <w:r w:rsidR="00573E49" w:rsidRPr="00764038">
        <w:rPr>
          <w:rFonts w:ascii="Arial" w:hAnsi="Arial" w:cs="Arial"/>
          <w:b/>
        </w:rPr>
        <w:t>BEZUIDENHOUT J</w:t>
      </w:r>
    </w:p>
    <w:p w14:paraId="0838E14F" w14:textId="092837F8" w:rsidR="006A2ED7" w:rsidRDefault="006A2ED7" w:rsidP="00764038">
      <w:pPr>
        <w:widowControl w:val="0"/>
        <w:spacing w:line="360" w:lineRule="auto"/>
        <w:ind w:left="5760" w:firstLine="720"/>
        <w:contextualSpacing/>
        <w:jc w:val="right"/>
        <w:rPr>
          <w:rFonts w:ascii="Arial" w:hAnsi="Arial" w:cs="Arial"/>
          <w:b/>
        </w:rPr>
      </w:pPr>
    </w:p>
    <w:p w14:paraId="66F7D545" w14:textId="77777777" w:rsidR="006A2ED7" w:rsidRPr="00764038" w:rsidRDefault="006A2ED7" w:rsidP="00764038">
      <w:pPr>
        <w:widowControl w:val="0"/>
        <w:spacing w:line="360" w:lineRule="auto"/>
        <w:ind w:left="5760" w:firstLine="720"/>
        <w:contextualSpacing/>
        <w:jc w:val="right"/>
        <w:rPr>
          <w:rFonts w:ascii="Arial" w:hAnsi="Arial" w:cs="Arial"/>
          <w:b/>
        </w:rPr>
      </w:pPr>
    </w:p>
    <w:p w14:paraId="375C46C1" w14:textId="15F16679" w:rsidR="00573E49" w:rsidRPr="00764038" w:rsidRDefault="00573E49" w:rsidP="00764038">
      <w:pPr>
        <w:widowControl w:val="0"/>
        <w:spacing w:line="360" w:lineRule="auto"/>
        <w:contextualSpacing/>
        <w:jc w:val="right"/>
        <w:rPr>
          <w:rFonts w:ascii="Arial" w:hAnsi="Arial" w:cs="Arial"/>
          <w:b/>
        </w:rPr>
      </w:pPr>
      <w:r w:rsidRPr="00764038">
        <w:rPr>
          <w:rFonts w:ascii="Arial" w:hAnsi="Arial" w:cs="Arial"/>
          <w:b/>
        </w:rPr>
        <w:tab/>
      </w:r>
      <w:r w:rsidRPr="00764038">
        <w:rPr>
          <w:rFonts w:ascii="Arial" w:hAnsi="Arial" w:cs="Arial"/>
          <w:b/>
        </w:rPr>
        <w:tab/>
      </w:r>
      <w:r w:rsidRPr="00764038">
        <w:rPr>
          <w:rFonts w:ascii="Arial" w:hAnsi="Arial" w:cs="Arial"/>
          <w:b/>
        </w:rPr>
        <w:tab/>
      </w:r>
      <w:r w:rsidRPr="00764038">
        <w:rPr>
          <w:rFonts w:ascii="Arial" w:hAnsi="Arial" w:cs="Arial"/>
          <w:b/>
        </w:rPr>
        <w:tab/>
      </w:r>
      <w:r w:rsidRPr="00764038">
        <w:rPr>
          <w:rFonts w:ascii="Arial" w:hAnsi="Arial" w:cs="Arial"/>
          <w:b/>
        </w:rPr>
        <w:tab/>
      </w:r>
      <w:r w:rsidRPr="00764038">
        <w:rPr>
          <w:rFonts w:ascii="Arial" w:hAnsi="Arial" w:cs="Arial"/>
          <w:b/>
        </w:rPr>
        <w:tab/>
      </w:r>
      <w:r w:rsidRPr="00764038">
        <w:rPr>
          <w:rFonts w:ascii="Arial" w:hAnsi="Arial" w:cs="Arial"/>
          <w:b/>
        </w:rPr>
        <w:tab/>
      </w:r>
      <w:r w:rsidRPr="00764038">
        <w:rPr>
          <w:rFonts w:ascii="Arial" w:hAnsi="Arial" w:cs="Arial"/>
          <w:b/>
        </w:rPr>
        <w:tab/>
      </w:r>
      <w:r w:rsidRPr="00764038">
        <w:rPr>
          <w:rFonts w:ascii="Arial" w:hAnsi="Arial" w:cs="Arial"/>
          <w:b/>
        </w:rPr>
        <w:tab/>
      </w:r>
      <w:r w:rsidRPr="00764038">
        <w:rPr>
          <w:rFonts w:ascii="Arial" w:hAnsi="Arial" w:cs="Arial"/>
          <w:b/>
        </w:rPr>
        <w:tab/>
      </w:r>
    </w:p>
    <w:p w14:paraId="6A1327F6" w14:textId="77777777" w:rsidR="00573E49" w:rsidRPr="00764038" w:rsidRDefault="00573E49" w:rsidP="00764038">
      <w:pPr>
        <w:widowControl w:val="0"/>
        <w:spacing w:line="360" w:lineRule="auto"/>
        <w:ind w:left="5040" w:firstLine="720"/>
        <w:contextualSpacing/>
        <w:jc w:val="right"/>
        <w:rPr>
          <w:rFonts w:ascii="Arial" w:hAnsi="Arial" w:cs="Arial"/>
          <w:b/>
        </w:rPr>
      </w:pPr>
      <w:r w:rsidRPr="00764038">
        <w:rPr>
          <w:rFonts w:ascii="Arial" w:hAnsi="Arial" w:cs="Arial"/>
          <w:b/>
        </w:rPr>
        <w:t>_____________________</w:t>
      </w:r>
    </w:p>
    <w:p w14:paraId="58B9DFBB" w14:textId="7BF0FE00" w:rsidR="00573E49" w:rsidRPr="00764038" w:rsidRDefault="00573E49" w:rsidP="00764038">
      <w:pPr>
        <w:widowControl w:val="0"/>
        <w:spacing w:line="360" w:lineRule="auto"/>
        <w:ind w:left="5040" w:firstLine="720"/>
        <w:contextualSpacing/>
        <w:jc w:val="right"/>
        <w:rPr>
          <w:rFonts w:ascii="Arial" w:hAnsi="Arial" w:cs="Arial"/>
          <w:b/>
        </w:rPr>
      </w:pPr>
      <w:r w:rsidRPr="00764038">
        <w:rPr>
          <w:rFonts w:ascii="Arial" w:hAnsi="Arial" w:cs="Arial"/>
          <w:b/>
        </w:rPr>
        <w:t>THOBELA-MKHULISI AJ</w:t>
      </w:r>
    </w:p>
    <w:p w14:paraId="4499C6E3" w14:textId="386072C1" w:rsidR="001F5000" w:rsidRPr="005852C4" w:rsidRDefault="00CD0EB9" w:rsidP="005852C4">
      <w:pPr>
        <w:widowControl w:val="0"/>
        <w:spacing w:line="360" w:lineRule="auto"/>
        <w:contextualSpacing/>
        <w:jc w:val="both"/>
        <w:rPr>
          <w:rFonts w:ascii="Arial" w:hAnsi="Arial" w:cs="Arial"/>
        </w:rPr>
      </w:pPr>
      <w:r w:rsidRPr="005852C4">
        <w:rPr>
          <w:rFonts w:ascii="Arial" w:hAnsi="Arial" w:cs="Arial"/>
        </w:rPr>
        <w:t xml:space="preserve">  </w:t>
      </w:r>
    </w:p>
    <w:p w14:paraId="2AE57940" w14:textId="01A1BA5B" w:rsidR="00F172B7" w:rsidRPr="005852C4" w:rsidRDefault="00F172B7" w:rsidP="005852C4">
      <w:pPr>
        <w:widowControl w:val="0"/>
        <w:spacing w:line="360" w:lineRule="auto"/>
        <w:contextualSpacing/>
        <w:jc w:val="both"/>
        <w:rPr>
          <w:rFonts w:ascii="Arial" w:hAnsi="Arial" w:cs="Arial"/>
        </w:rPr>
      </w:pPr>
    </w:p>
    <w:p w14:paraId="3476E803" w14:textId="50AF8DD8" w:rsidR="00CB72D4" w:rsidRPr="005852C4" w:rsidRDefault="00CB72D4" w:rsidP="005852C4">
      <w:pPr>
        <w:widowControl w:val="0"/>
        <w:spacing w:line="360" w:lineRule="auto"/>
        <w:contextualSpacing/>
        <w:jc w:val="both"/>
        <w:rPr>
          <w:rFonts w:ascii="Arial" w:hAnsi="Arial" w:cs="Arial"/>
        </w:rPr>
      </w:pPr>
    </w:p>
    <w:p w14:paraId="79E18559" w14:textId="77777777" w:rsidR="00CB72D4" w:rsidRPr="005852C4" w:rsidRDefault="00CB72D4" w:rsidP="005852C4">
      <w:pPr>
        <w:widowControl w:val="0"/>
        <w:spacing w:line="360" w:lineRule="auto"/>
        <w:contextualSpacing/>
        <w:jc w:val="both"/>
        <w:rPr>
          <w:rFonts w:ascii="Arial" w:hAnsi="Arial" w:cs="Arial"/>
        </w:rPr>
      </w:pPr>
    </w:p>
    <w:p w14:paraId="35473CCC" w14:textId="77777777" w:rsidR="00294EC9" w:rsidRPr="005852C4" w:rsidRDefault="00294EC9" w:rsidP="005852C4">
      <w:pPr>
        <w:spacing w:line="360" w:lineRule="auto"/>
        <w:contextualSpacing/>
        <w:jc w:val="both"/>
        <w:rPr>
          <w:rFonts w:ascii="Arial" w:hAnsi="Arial" w:cs="Arial"/>
          <w:i/>
        </w:rPr>
      </w:pPr>
    </w:p>
    <w:p w14:paraId="1A080E7D" w14:textId="77777777" w:rsidR="00294EC9" w:rsidRPr="005852C4" w:rsidRDefault="00294EC9" w:rsidP="005852C4">
      <w:pPr>
        <w:spacing w:line="360" w:lineRule="auto"/>
        <w:contextualSpacing/>
        <w:jc w:val="both"/>
        <w:rPr>
          <w:rFonts w:ascii="Arial" w:hAnsi="Arial" w:cs="Arial"/>
          <w:i/>
        </w:rPr>
      </w:pPr>
    </w:p>
    <w:p w14:paraId="77B02671" w14:textId="77777777" w:rsidR="00294EC9" w:rsidRPr="005852C4" w:rsidRDefault="00294EC9" w:rsidP="005852C4">
      <w:pPr>
        <w:spacing w:line="360" w:lineRule="auto"/>
        <w:contextualSpacing/>
        <w:jc w:val="both"/>
        <w:rPr>
          <w:rFonts w:ascii="Arial" w:hAnsi="Arial" w:cs="Arial"/>
          <w:i/>
        </w:rPr>
      </w:pPr>
    </w:p>
    <w:p w14:paraId="4200A413" w14:textId="77777777" w:rsidR="00294EC9" w:rsidRPr="005852C4" w:rsidRDefault="00294EC9" w:rsidP="005852C4">
      <w:pPr>
        <w:spacing w:line="360" w:lineRule="auto"/>
        <w:contextualSpacing/>
        <w:jc w:val="both"/>
        <w:rPr>
          <w:rFonts w:ascii="Arial" w:hAnsi="Arial" w:cs="Arial"/>
          <w:i/>
        </w:rPr>
      </w:pPr>
    </w:p>
    <w:p w14:paraId="68DE3B39" w14:textId="77777777" w:rsidR="00294EC9" w:rsidRPr="005852C4" w:rsidRDefault="00294EC9" w:rsidP="005852C4">
      <w:pPr>
        <w:spacing w:line="360" w:lineRule="auto"/>
        <w:contextualSpacing/>
        <w:jc w:val="both"/>
        <w:rPr>
          <w:rFonts w:ascii="Arial" w:hAnsi="Arial" w:cs="Arial"/>
          <w:i/>
        </w:rPr>
      </w:pPr>
    </w:p>
    <w:p w14:paraId="0FA4672D" w14:textId="77777777" w:rsidR="00294EC9" w:rsidRPr="005852C4" w:rsidRDefault="00294EC9" w:rsidP="005852C4">
      <w:pPr>
        <w:spacing w:line="360" w:lineRule="auto"/>
        <w:contextualSpacing/>
        <w:jc w:val="both"/>
        <w:rPr>
          <w:rFonts w:ascii="Arial" w:hAnsi="Arial" w:cs="Arial"/>
          <w:i/>
        </w:rPr>
      </w:pPr>
    </w:p>
    <w:p w14:paraId="24252E52" w14:textId="77777777" w:rsidR="006A2ED7" w:rsidRDefault="006A2ED7" w:rsidP="005852C4">
      <w:pPr>
        <w:spacing w:line="360" w:lineRule="auto"/>
        <w:contextualSpacing/>
        <w:jc w:val="both"/>
        <w:rPr>
          <w:rFonts w:ascii="Arial" w:hAnsi="Arial" w:cs="Arial"/>
          <w:i/>
        </w:rPr>
      </w:pPr>
    </w:p>
    <w:p w14:paraId="5069D7A8" w14:textId="77777777" w:rsidR="006A2ED7" w:rsidRDefault="006A2ED7" w:rsidP="005852C4">
      <w:pPr>
        <w:spacing w:line="360" w:lineRule="auto"/>
        <w:contextualSpacing/>
        <w:jc w:val="both"/>
        <w:rPr>
          <w:rFonts w:ascii="Arial" w:hAnsi="Arial" w:cs="Arial"/>
          <w:i/>
        </w:rPr>
      </w:pPr>
    </w:p>
    <w:p w14:paraId="4E46C7B5" w14:textId="77777777" w:rsidR="006A2ED7" w:rsidRDefault="006A2ED7" w:rsidP="005852C4">
      <w:pPr>
        <w:spacing w:line="360" w:lineRule="auto"/>
        <w:contextualSpacing/>
        <w:jc w:val="both"/>
        <w:rPr>
          <w:rFonts w:ascii="Arial" w:hAnsi="Arial" w:cs="Arial"/>
          <w:i/>
        </w:rPr>
      </w:pPr>
    </w:p>
    <w:p w14:paraId="176FA925" w14:textId="77777777" w:rsidR="006A2ED7" w:rsidRDefault="006A2ED7" w:rsidP="005852C4">
      <w:pPr>
        <w:spacing w:line="360" w:lineRule="auto"/>
        <w:contextualSpacing/>
        <w:jc w:val="both"/>
        <w:rPr>
          <w:rFonts w:ascii="Arial" w:hAnsi="Arial" w:cs="Arial"/>
          <w:i/>
        </w:rPr>
      </w:pPr>
    </w:p>
    <w:p w14:paraId="12BA6874" w14:textId="77777777" w:rsidR="006A2ED7" w:rsidRDefault="006A2ED7" w:rsidP="005852C4">
      <w:pPr>
        <w:spacing w:line="360" w:lineRule="auto"/>
        <w:contextualSpacing/>
        <w:jc w:val="both"/>
        <w:rPr>
          <w:rFonts w:ascii="Arial" w:hAnsi="Arial" w:cs="Arial"/>
          <w:i/>
        </w:rPr>
      </w:pPr>
    </w:p>
    <w:p w14:paraId="40DE5208" w14:textId="31B89F0C" w:rsidR="00731007" w:rsidRPr="005852C4" w:rsidRDefault="00731007" w:rsidP="005852C4">
      <w:pPr>
        <w:spacing w:line="360" w:lineRule="auto"/>
        <w:contextualSpacing/>
        <w:jc w:val="both"/>
        <w:rPr>
          <w:rFonts w:ascii="Arial" w:hAnsi="Arial" w:cs="Arial"/>
        </w:rPr>
      </w:pPr>
      <w:r w:rsidRPr="005852C4">
        <w:rPr>
          <w:rFonts w:ascii="Arial" w:hAnsi="Arial" w:cs="Arial"/>
          <w:i/>
        </w:rPr>
        <w:t>APPEARANCES</w:t>
      </w:r>
      <w:r w:rsidRPr="005852C4">
        <w:rPr>
          <w:rFonts w:ascii="Arial" w:hAnsi="Arial" w:cs="Arial"/>
        </w:rPr>
        <w:t xml:space="preserve">: </w:t>
      </w:r>
    </w:p>
    <w:p w14:paraId="2BFDE3DC" w14:textId="77777777" w:rsidR="000F1436" w:rsidRPr="005852C4" w:rsidRDefault="000F1436" w:rsidP="005852C4">
      <w:pPr>
        <w:spacing w:line="360" w:lineRule="auto"/>
        <w:contextualSpacing/>
        <w:jc w:val="both"/>
        <w:rPr>
          <w:rFonts w:ascii="Arial" w:hAnsi="Arial" w:cs="Arial"/>
        </w:rPr>
      </w:pPr>
    </w:p>
    <w:p w14:paraId="461B386D" w14:textId="441C821D" w:rsidR="000F1436" w:rsidRPr="005852C4" w:rsidRDefault="00731007" w:rsidP="005852C4">
      <w:pPr>
        <w:spacing w:line="360" w:lineRule="auto"/>
        <w:contextualSpacing/>
        <w:jc w:val="both"/>
        <w:rPr>
          <w:rFonts w:ascii="Arial" w:hAnsi="Arial" w:cs="Arial"/>
        </w:rPr>
      </w:pPr>
      <w:r w:rsidRPr="005852C4">
        <w:rPr>
          <w:rFonts w:ascii="Arial" w:hAnsi="Arial" w:cs="Arial"/>
        </w:rPr>
        <w:t xml:space="preserve">Heard:     </w:t>
      </w:r>
      <w:r w:rsidR="000F1436" w:rsidRPr="005852C4">
        <w:rPr>
          <w:rFonts w:ascii="Arial" w:hAnsi="Arial" w:cs="Arial"/>
        </w:rPr>
        <w:tab/>
      </w:r>
      <w:r w:rsidR="000F1436" w:rsidRPr="005852C4">
        <w:rPr>
          <w:rFonts w:ascii="Arial" w:hAnsi="Arial" w:cs="Arial"/>
        </w:rPr>
        <w:tab/>
      </w:r>
      <w:r w:rsidR="00114AA8" w:rsidRPr="005852C4">
        <w:rPr>
          <w:rFonts w:ascii="Arial" w:hAnsi="Arial" w:cs="Arial"/>
        </w:rPr>
        <w:tab/>
      </w:r>
      <w:r w:rsidR="000F1436" w:rsidRPr="005852C4">
        <w:rPr>
          <w:rFonts w:ascii="Arial" w:hAnsi="Arial" w:cs="Arial"/>
        </w:rPr>
        <w:tab/>
      </w:r>
      <w:r w:rsidR="00764038" w:rsidRPr="005852C4">
        <w:rPr>
          <w:rFonts w:ascii="Arial" w:hAnsi="Arial" w:cs="Arial"/>
        </w:rPr>
        <w:t>25 November 2022</w:t>
      </w:r>
      <w:r w:rsidRPr="005852C4">
        <w:rPr>
          <w:rFonts w:ascii="Arial" w:hAnsi="Arial" w:cs="Arial"/>
        </w:rPr>
        <w:t xml:space="preserve"> </w:t>
      </w:r>
    </w:p>
    <w:p w14:paraId="1D508EB5" w14:textId="59B19862" w:rsidR="00731007" w:rsidRPr="005852C4" w:rsidRDefault="00731007" w:rsidP="005852C4">
      <w:pPr>
        <w:spacing w:line="360" w:lineRule="auto"/>
        <w:contextualSpacing/>
        <w:jc w:val="both"/>
        <w:rPr>
          <w:rFonts w:ascii="Arial" w:hAnsi="Arial" w:cs="Arial"/>
        </w:rPr>
      </w:pPr>
      <w:r w:rsidRPr="005852C4">
        <w:rPr>
          <w:rFonts w:ascii="Arial" w:hAnsi="Arial" w:cs="Arial"/>
        </w:rPr>
        <w:t xml:space="preserve">Delivered:    </w:t>
      </w:r>
      <w:r w:rsidR="000F1436" w:rsidRPr="005852C4">
        <w:rPr>
          <w:rFonts w:ascii="Arial" w:hAnsi="Arial" w:cs="Arial"/>
        </w:rPr>
        <w:tab/>
      </w:r>
      <w:r w:rsidR="000F1436" w:rsidRPr="005852C4">
        <w:rPr>
          <w:rFonts w:ascii="Arial" w:hAnsi="Arial" w:cs="Arial"/>
        </w:rPr>
        <w:tab/>
      </w:r>
      <w:r w:rsidR="000F1436" w:rsidRPr="005852C4">
        <w:rPr>
          <w:rFonts w:ascii="Arial" w:hAnsi="Arial" w:cs="Arial"/>
        </w:rPr>
        <w:tab/>
      </w:r>
      <w:r w:rsidR="00207236" w:rsidRPr="005852C4">
        <w:rPr>
          <w:rFonts w:ascii="Arial" w:hAnsi="Arial" w:cs="Arial"/>
        </w:rPr>
        <w:tab/>
      </w:r>
      <w:r w:rsidR="00764038" w:rsidRPr="005852C4">
        <w:rPr>
          <w:rFonts w:ascii="Arial" w:hAnsi="Arial" w:cs="Arial"/>
        </w:rPr>
        <w:t>03 March 2023</w:t>
      </w:r>
    </w:p>
    <w:p w14:paraId="367F78D1" w14:textId="77777777" w:rsidR="000F1436" w:rsidRPr="005852C4" w:rsidRDefault="000F1436" w:rsidP="00E42830">
      <w:pPr>
        <w:tabs>
          <w:tab w:val="left" w:pos="3402"/>
        </w:tabs>
        <w:spacing w:line="360" w:lineRule="auto"/>
        <w:contextualSpacing/>
        <w:jc w:val="both"/>
        <w:rPr>
          <w:rFonts w:ascii="Arial" w:hAnsi="Arial" w:cs="Arial"/>
        </w:rPr>
      </w:pPr>
    </w:p>
    <w:p w14:paraId="534AB334" w14:textId="1445DC7F" w:rsidR="000F1436" w:rsidRPr="005852C4" w:rsidRDefault="00731007" w:rsidP="00E42830">
      <w:pPr>
        <w:tabs>
          <w:tab w:val="left" w:pos="3402"/>
        </w:tabs>
        <w:spacing w:line="360" w:lineRule="auto"/>
        <w:contextualSpacing/>
        <w:jc w:val="both"/>
        <w:rPr>
          <w:rFonts w:ascii="Arial" w:hAnsi="Arial" w:cs="Arial"/>
        </w:rPr>
      </w:pPr>
      <w:r w:rsidRPr="005852C4">
        <w:rPr>
          <w:rFonts w:ascii="Arial" w:hAnsi="Arial" w:cs="Arial"/>
        </w:rPr>
        <w:t>For the appellant:</w:t>
      </w:r>
      <w:r w:rsidR="00E42830">
        <w:rPr>
          <w:rFonts w:ascii="Arial" w:hAnsi="Arial" w:cs="Arial"/>
        </w:rPr>
        <w:tab/>
      </w:r>
      <w:r w:rsidR="006A2ED7">
        <w:rPr>
          <w:rFonts w:ascii="Arial" w:hAnsi="Arial" w:cs="Arial"/>
        </w:rPr>
        <w:tab/>
      </w:r>
      <w:r w:rsidR="00207236" w:rsidRPr="005852C4">
        <w:rPr>
          <w:rFonts w:ascii="Arial" w:hAnsi="Arial" w:cs="Arial"/>
        </w:rPr>
        <w:t>Mr P.J. Wallis SC</w:t>
      </w:r>
      <w:r w:rsidR="000F1436" w:rsidRPr="005852C4">
        <w:rPr>
          <w:rFonts w:ascii="Arial" w:hAnsi="Arial" w:cs="Arial"/>
        </w:rPr>
        <w:tab/>
      </w:r>
      <w:r w:rsidRPr="005852C4">
        <w:rPr>
          <w:rFonts w:ascii="Arial" w:hAnsi="Arial" w:cs="Arial"/>
        </w:rPr>
        <w:t xml:space="preserve"> </w:t>
      </w:r>
    </w:p>
    <w:p w14:paraId="42CA3527" w14:textId="5728AA02" w:rsidR="00207236" w:rsidRPr="005852C4" w:rsidRDefault="00E42830" w:rsidP="00E42830">
      <w:pPr>
        <w:tabs>
          <w:tab w:val="left" w:pos="3402"/>
        </w:tabs>
        <w:spacing w:line="360" w:lineRule="auto"/>
        <w:contextualSpacing/>
        <w:jc w:val="both"/>
        <w:rPr>
          <w:rFonts w:ascii="Arial" w:hAnsi="Arial" w:cs="Arial"/>
        </w:rPr>
      </w:pPr>
      <w:r w:rsidRPr="005852C4">
        <w:rPr>
          <w:rFonts w:ascii="Arial" w:hAnsi="Arial" w:cs="Arial"/>
        </w:rPr>
        <w:t>Instructed by</w:t>
      </w:r>
      <w:r w:rsidR="00731007" w:rsidRPr="005852C4">
        <w:rPr>
          <w:rFonts w:ascii="Arial" w:hAnsi="Arial" w:cs="Arial"/>
        </w:rPr>
        <w:t>:</w:t>
      </w:r>
      <w:r>
        <w:rPr>
          <w:rFonts w:ascii="Arial" w:hAnsi="Arial" w:cs="Arial"/>
        </w:rPr>
        <w:tab/>
      </w:r>
      <w:r w:rsidR="006A2ED7">
        <w:rPr>
          <w:rFonts w:ascii="Arial" w:hAnsi="Arial" w:cs="Arial"/>
        </w:rPr>
        <w:tab/>
      </w:r>
      <w:r w:rsidR="00E87ABA" w:rsidRPr="005852C4">
        <w:rPr>
          <w:rFonts w:ascii="Arial" w:hAnsi="Arial" w:cs="Arial"/>
        </w:rPr>
        <w:t xml:space="preserve">EVH </w:t>
      </w:r>
      <w:r w:rsidR="00207236" w:rsidRPr="005852C4">
        <w:rPr>
          <w:rFonts w:ascii="Arial" w:hAnsi="Arial" w:cs="Arial"/>
        </w:rPr>
        <w:t>Incorporated</w:t>
      </w:r>
    </w:p>
    <w:p w14:paraId="73C9C474" w14:textId="4E0EFF91" w:rsidR="000F1436" w:rsidRPr="005852C4" w:rsidRDefault="00207236" w:rsidP="00E42830">
      <w:pPr>
        <w:tabs>
          <w:tab w:val="left" w:pos="3402"/>
        </w:tabs>
        <w:spacing w:line="360" w:lineRule="auto"/>
        <w:contextualSpacing/>
        <w:jc w:val="both"/>
        <w:rPr>
          <w:rFonts w:ascii="Arial" w:hAnsi="Arial" w:cs="Arial"/>
        </w:rPr>
      </w:pPr>
      <w:r w:rsidRPr="005852C4">
        <w:rPr>
          <w:rFonts w:ascii="Arial" w:hAnsi="Arial" w:cs="Arial"/>
        </w:rPr>
        <w:lastRenderedPageBreak/>
        <w:t>C/</w:t>
      </w:r>
      <w:r w:rsidR="00E42830" w:rsidRPr="005852C4">
        <w:rPr>
          <w:rFonts w:ascii="Arial" w:hAnsi="Arial" w:cs="Arial"/>
        </w:rPr>
        <w:t>o</w:t>
      </w:r>
      <w:r w:rsidRPr="005852C4">
        <w:rPr>
          <w:rFonts w:ascii="Arial" w:hAnsi="Arial" w:cs="Arial"/>
        </w:rPr>
        <w:t>:</w:t>
      </w:r>
      <w:r w:rsidR="00E42830">
        <w:rPr>
          <w:rFonts w:ascii="Arial" w:hAnsi="Arial" w:cs="Arial"/>
        </w:rPr>
        <w:tab/>
      </w:r>
      <w:r w:rsidR="006A2ED7">
        <w:rPr>
          <w:rFonts w:ascii="Arial" w:hAnsi="Arial" w:cs="Arial"/>
        </w:rPr>
        <w:tab/>
      </w:r>
      <w:r w:rsidRPr="005852C4">
        <w:rPr>
          <w:rFonts w:ascii="Arial" w:hAnsi="Arial" w:cs="Arial"/>
        </w:rPr>
        <w:t>Viv Greene</w:t>
      </w:r>
      <w:r w:rsidR="000F1436" w:rsidRPr="005852C4">
        <w:rPr>
          <w:rFonts w:ascii="Arial" w:hAnsi="Arial" w:cs="Arial"/>
        </w:rPr>
        <w:tab/>
      </w:r>
      <w:r w:rsidR="00731007" w:rsidRPr="005852C4">
        <w:rPr>
          <w:rFonts w:ascii="Arial" w:hAnsi="Arial" w:cs="Arial"/>
        </w:rPr>
        <w:t xml:space="preserve"> </w:t>
      </w:r>
    </w:p>
    <w:p w14:paraId="1E828BEE" w14:textId="306F4CA5" w:rsidR="000F1436" w:rsidRPr="005852C4" w:rsidRDefault="00E42830" w:rsidP="00E42830">
      <w:pPr>
        <w:tabs>
          <w:tab w:val="left" w:pos="3402"/>
        </w:tabs>
        <w:spacing w:line="360" w:lineRule="auto"/>
        <w:contextualSpacing/>
        <w:jc w:val="both"/>
        <w:rPr>
          <w:rFonts w:ascii="Arial" w:hAnsi="Arial" w:cs="Arial"/>
        </w:rPr>
      </w:pPr>
      <w:r w:rsidRPr="005852C4">
        <w:rPr>
          <w:rFonts w:ascii="Arial" w:hAnsi="Arial" w:cs="Arial"/>
        </w:rPr>
        <w:t>Ref</w:t>
      </w:r>
      <w:r w:rsidR="00731007" w:rsidRPr="005852C4">
        <w:rPr>
          <w:rFonts w:ascii="Arial" w:hAnsi="Arial" w:cs="Arial"/>
        </w:rPr>
        <w:t>.:</w:t>
      </w:r>
      <w:r>
        <w:rPr>
          <w:rFonts w:ascii="Arial" w:hAnsi="Arial" w:cs="Arial"/>
        </w:rPr>
        <w:tab/>
      </w:r>
      <w:r w:rsidR="006A2ED7">
        <w:rPr>
          <w:rFonts w:ascii="Arial" w:hAnsi="Arial" w:cs="Arial"/>
        </w:rPr>
        <w:tab/>
      </w:r>
      <w:r w:rsidR="00207236" w:rsidRPr="005852C4">
        <w:rPr>
          <w:rFonts w:ascii="Arial" w:hAnsi="Arial" w:cs="Arial"/>
        </w:rPr>
        <w:t xml:space="preserve">E. van Huyssteen/Visha </w:t>
      </w:r>
      <w:r w:rsidR="000F1436" w:rsidRPr="005852C4">
        <w:rPr>
          <w:rFonts w:ascii="Arial" w:hAnsi="Arial" w:cs="Arial"/>
        </w:rPr>
        <w:tab/>
      </w:r>
      <w:r w:rsidR="000F1436" w:rsidRPr="005852C4">
        <w:rPr>
          <w:rFonts w:ascii="Arial" w:hAnsi="Arial" w:cs="Arial"/>
        </w:rPr>
        <w:tab/>
      </w:r>
      <w:r w:rsidR="00731007" w:rsidRPr="005852C4">
        <w:rPr>
          <w:rFonts w:ascii="Arial" w:hAnsi="Arial" w:cs="Arial"/>
        </w:rPr>
        <w:t xml:space="preserve"> </w:t>
      </w:r>
    </w:p>
    <w:p w14:paraId="113EF19F" w14:textId="38DC3028" w:rsidR="00731007" w:rsidRPr="005852C4" w:rsidRDefault="00E42830" w:rsidP="00E42830">
      <w:pPr>
        <w:tabs>
          <w:tab w:val="left" w:pos="3402"/>
        </w:tabs>
        <w:spacing w:line="360" w:lineRule="auto"/>
        <w:contextualSpacing/>
        <w:jc w:val="both"/>
        <w:rPr>
          <w:rFonts w:ascii="Arial" w:hAnsi="Arial" w:cs="Arial"/>
        </w:rPr>
      </w:pPr>
      <w:r w:rsidRPr="005852C4">
        <w:rPr>
          <w:rFonts w:ascii="Arial" w:hAnsi="Arial" w:cs="Arial"/>
        </w:rPr>
        <w:t>Tel</w:t>
      </w:r>
      <w:r w:rsidR="00731007" w:rsidRPr="005852C4">
        <w:rPr>
          <w:rFonts w:ascii="Arial" w:hAnsi="Arial" w:cs="Arial"/>
        </w:rPr>
        <w:t>:</w:t>
      </w:r>
      <w:r>
        <w:rPr>
          <w:rFonts w:ascii="Arial" w:hAnsi="Arial" w:cs="Arial"/>
        </w:rPr>
        <w:tab/>
      </w:r>
      <w:r w:rsidR="006A2ED7">
        <w:rPr>
          <w:rFonts w:ascii="Arial" w:hAnsi="Arial" w:cs="Arial"/>
        </w:rPr>
        <w:tab/>
      </w:r>
      <w:r w:rsidR="00207236" w:rsidRPr="005852C4">
        <w:rPr>
          <w:rFonts w:ascii="Arial" w:hAnsi="Arial" w:cs="Arial"/>
        </w:rPr>
        <w:t>031-492 79 71</w:t>
      </w:r>
    </w:p>
    <w:p w14:paraId="36C8112B" w14:textId="77777777" w:rsidR="000F1436" w:rsidRPr="005852C4" w:rsidRDefault="000F1436" w:rsidP="00E42830">
      <w:pPr>
        <w:tabs>
          <w:tab w:val="left" w:pos="3402"/>
        </w:tabs>
        <w:spacing w:line="360" w:lineRule="auto"/>
        <w:contextualSpacing/>
        <w:jc w:val="both"/>
        <w:rPr>
          <w:rFonts w:ascii="Arial" w:hAnsi="Arial" w:cs="Arial"/>
        </w:rPr>
      </w:pPr>
    </w:p>
    <w:p w14:paraId="34475F23" w14:textId="30762785" w:rsidR="000F1436" w:rsidRPr="005852C4" w:rsidRDefault="00731007" w:rsidP="00E42830">
      <w:pPr>
        <w:tabs>
          <w:tab w:val="left" w:pos="3402"/>
        </w:tabs>
        <w:spacing w:line="360" w:lineRule="auto"/>
        <w:contextualSpacing/>
        <w:jc w:val="both"/>
        <w:rPr>
          <w:rFonts w:ascii="Arial" w:hAnsi="Arial" w:cs="Arial"/>
        </w:rPr>
      </w:pPr>
      <w:r w:rsidRPr="005852C4">
        <w:rPr>
          <w:rFonts w:ascii="Arial" w:hAnsi="Arial" w:cs="Arial"/>
        </w:rPr>
        <w:t xml:space="preserve">For the </w:t>
      </w:r>
      <w:r w:rsidR="00207236" w:rsidRPr="005852C4">
        <w:rPr>
          <w:rFonts w:ascii="Arial" w:hAnsi="Arial" w:cs="Arial"/>
        </w:rPr>
        <w:t>3</w:t>
      </w:r>
      <w:r w:rsidR="00207236" w:rsidRPr="005852C4">
        <w:rPr>
          <w:rFonts w:ascii="Arial" w:hAnsi="Arial" w:cs="Arial"/>
          <w:vertAlign w:val="superscript"/>
        </w:rPr>
        <w:t>rd</w:t>
      </w:r>
      <w:r w:rsidR="00207236" w:rsidRPr="005852C4">
        <w:rPr>
          <w:rFonts w:ascii="Arial" w:hAnsi="Arial" w:cs="Arial"/>
        </w:rPr>
        <w:t xml:space="preserve"> </w:t>
      </w:r>
      <w:r w:rsidR="00E42830" w:rsidRPr="005852C4">
        <w:rPr>
          <w:rFonts w:ascii="Arial" w:hAnsi="Arial" w:cs="Arial"/>
        </w:rPr>
        <w:t>respondent</w:t>
      </w:r>
      <w:r w:rsidRPr="005852C4">
        <w:rPr>
          <w:rFonts w:ascii="Arial" w:hAnsi="Arial" w:cs="Arial"/>
        </w:rPr>
        <w:t xml:space="preserve">:  </w:t>
      </w:r>
      <w:r w:rsidR="000F1436" w:rsidRPr="005852C4">
        <w:rPr>
          <w:rFonts w:ascii="Arial" w:hAnsi="Arial" w:cs="Arial"/>
        </w:rPr>
        <w:tab/>
      </w:r>
      <w:r w:rsidRPr="005852C4">
        <w:rPr>
          <w:rFonts w:ascii="Arial" w:hAnsi="Arial" w:cs="Arial"/>
        </w:rPr>
        <w:t xml:space="preserve"> </w:t>
      </w:r>
      <w:r w:rsidR="00207236" w:rsidRPr="005852C4">
        <w:rPr>
          <w:rFonts w:ascii="Arial" w:hAnsi="Arial" w:cs="Arial"/>
        </w:rPr>
        <w:tab/>
      </w:r>
    </w:p>
    <w:p w14:paraId="31198441" w14:textId="72303CAE" w:rsidR="000F1436" w:rsidRPr="005852C4" w:rsidRDefault="00E42830" w:rsidP="00E42830">
      <w:pPr>
        <w:tabs>
          <w:tab w:val="left" w:pos="3402"/>
        </w:tabs>
        <w:spacing w:line="360" w:lineRule="auto"/>
        <w:contextualSpacing/>
        <w:jc w:val="both"/>
        <w:rPr>
          <w:rFonts w:ascii="Arial" w:hAnsi="Arial" w:cs="Arial"/>
        </w:rPr>
      </w:pPr>
      <w:r w:rsidRPr="005852C4">
        <w:rPr>
          <w:rFonts w:ascii="Arial" w:hAnsi="Arial" w:cs="Arial"/>
        </w:rPr>
        <w:t>Instructed By</w:t>
      </w:r>
      <w:r w:rsidR="000F1436" w:rsidRPr="005852C4">
        <w:rPr>
          <w:rFonts w:ascii="Arial" w:hAnsi="Arial" w:cs="Arial"/>
        </w:rPr>
        <w:t>:</w:t>
      </w:r>
      <w:r>
        <w:rPr>
          <w:rFonts w:ascii="Arial" w:hAnsi="Arial" w:cs="Arial"/>
        </w:rPr>
        <w:tab/>
      </w:r>
      <w:r w:rsidR="006A2ED7">
        <w:rPr>
          <w:rFonts w:ascii="Arial" w:hAnsi="Arial" w:cs="Arial"/>
        </w:rPr>
        <w:tab/>
      </w:r>
      <w:r w:rsidR="00207236" w:rsidRPr="005852C4">
        <w:rPr>
          <w:rFonts w:ascii="Arial" w:hAnsi="Arial" w:cs="Arial"/>
        </w:rPr>
        <w:t>Kanyile MB Attorneys Inc.</w:t>
      </w:r>
    </w:p>
    <w:p w14:paraId="38C68B70" w14:textId="3F94CA5C" w:rsidR="00207236" w:rsidRPr="005852C4" w:rsidRDefault="00207236" w:rsidP="00E42830">
      <w:pPr>
        <w:tabs>
          <w:tab w:val="left" w:pos="3402"/>
        </w:tabs>
        <w:spacing w:line="360" w:lineRule="auto"/>
        <w:contextualSpacing/>
        <w:jc w:val="both"/>
        <w:rPr>
          <w:rFonts w:ascii="Arial" w:hAnsi="Arial" w:cs="Arial"/>
        </w:rPr>
      </w:pPr>
      <w:r w:rsidRPr="005852C4">
        <w:rPr>
          <w:rFonts w:ascii="Arial" w:hAnsi="Arial" w:cs="Arial"/>
        </w:rPr>
        <w:t>C/</w:t>
      </w:r>
      <w:r w:rsidR="00E42830" w:rsidRPr="005852C4">
        <w:rPr>
          <w:rFonts w:ascii="Arial" w:hAnsi="Arial" w:cs="Arial"/>
        </w:rPr>
        <w:t>o</w:t>
      </w:r>
      <w:r w:rsidRPr="005852C4">
        <w:rPr>
          <w:rFonts w:ascii="Arial" w:hAnsi="Arial" w:cs="Arial"/>
        </w:rPr>
        <w:t>:</w:t>
      </w:r>
      <w:r w:rsidR="00E42830">
        <w:rPr>
          <w:rFonts w:ascii="Arial" w:hAnsi="Arial" w:cs="Arial"/>
        </w:rPr>
        <w:tab/>
      </w:r>
      <w:r w:rsidR="006A2ED7">
        <w:rPr>
          <w:rFonts w:ascii="Arial" w:hAnsi="Arial" w:cs="Arial"/>
        </w:rPr>
        <w:tab/>
      </w:r>
      <w:r w:rsidRPr="005852C4">
        <w:rPr>
          <w:rFonts w:ascii="Arial" w:hAnsi="Arial" w:cs="Arial"/>
        </w:rPr>
        <w:t>LLM Attorneys Inc.</w:t>
      </w:r>
    </w:p>
    <w:p w14:paraId="3AF3707B" w14:textId="4A23FBAB" w:rsidR="000F1436" w:rsidRPr="005852C4" w:rsidRDefault="00E42830" w:rsidP="00E42830">
      <w:pPr>
        <w:tabs>
          <w:tab w:val="left" w:pos="3402"/>
        </w:tabs>
        <w:spacing w:line="360" w:lineRule="auto"/>
        <w:contextualSpacing/>
        <w:jc w:val="both"/>
        <w:rPr>
          <w:rFonts w:ascii="Arial" w:hAnsi="Arial" w:cs="Arial"/>
        </w:rPr>
      </w:pPr>
      <w:r w:rsidRPr="005852C4">
        <w:rPr>
          <w:rFonts w:ascii="Arial" w:hAnsi="Arial" w:cs="Arial"/>
        </w:rPr>
        <w:t>Ref</w:t>
      </w:r>
      <w:r w:rsidR="00731007" w:rsidRPr="005852C4">
        <w:rPr>
          <w:rFonts w:ascii="Arial" w:hAnsi="Arial" w:cs="Arial"/>
        </w:rPr>
        <w:t>.:</w:t>
      </w:r>
      <w:r>
        <w:rPr>
          <w:rFonts w:ascii="Arial" w:hAnsi="Arial" w:cs="Arial"/>
        </w:rPr>
        <w:tab/>
      </w:r>
      <w:r w:rsidR="006A2ED7">
        <w:rPr>
          <w:rFonts w:ascii="Arial" w:hAnsi="Arial" w:cs="Arial"/>
        </w:rPr>
        <w:tab/>
      </w:r>
      <w:r w:rsidR="00207236" w:rsidRPr="005852C4">
        <w:rPr>
          <w:rFonts w:ascii="Arial" w:hAnsi="Arial" w:cs="Arial"/>
        </w:rPr>
        <w:t>LIT011/BK/20</w:t>
      </w:r>
    </w:p>
    <w:p w14:paraId="282EE15F" w14:textId="617ABD90" w:rsidR="00731007" w:rsidRPr="005852C4" w:rsidRDefault="00E42830" w:rsidP="00E42830">
      <w:pPr>
        <w:tabs>
          <w:tab w:val="left" w:pos="3402"/>
        </w:tabs>
        <w:spacing w:line="360" w:lineRule="auto"/>
        <w:contextualSpacing/>
        <w:jc w:val="both"/>
        <w:rPr>
          <w:rFonts w:ascii="Arial" w:hAnsi="Arial" w:cs="Arial"/>
        </w:rPr>
      </w:pPr>
      <w:r w:rsidRPr="005852C4">
        <w:rPr>
          <w:rFonts w:ascii="Arial" w:hAnsi="Arial" w:cs="Arial"/>
        </w:rPr>
        <w:t>Tel</w:t>
      </w:r>
      <w:r w:rsidR="00731007" w:rsidRPr="005852C4">
        <w:rPr>
          <w:rFonts w:ascii="Arial" w:hAnsi="Arial" w:cs="Arial"/>
        </w:rPr>
        <w:t>:</w:t>
      </w:r>
      <w:r>
        <w:rPr>
          <w:rFonts w:ascii="Arial" w:hAnsi="Arial" w:cs="Arial"/>
        </w:rPr>
        <w:tab/>
      </w:r>
      <w:r w:rsidR="006A2ED7">
        <w:rPr>
          <w:rFonts w:ascii="Arial" w:hAnsi="Arial" w:cs="Arial"/>
        </w:rPr>
        <w:tab/>
      </w:r>
      <w:r w:rsidR="00207236" w:rsidRPr="005852C4">
        <w:rPr>
          <w:rFonts w:ascii="Arial" w:hAnsi="Arial" w:cs="Arial"/>
        </w:rPr>
        <w:t>011- 778 92 01</w:t>
      </w:r>
    </w:p>
    <w:sectPr w:rsidR="00731007" w:rsidRPr="005852C4" w:rsidSect="00FD5E5A">
      <w:headerReference w:type="default" r:id="rId9"/>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DC6C1" w14:textId="77777777" w:rsidR="002160A6" w:rsidRDefault="002160A6" w:rsidP="00250735">
      <w:r>
        <w:separator/>
      </w:r>
    </w:p>
  </w:endnote>
  <w:endnote w:type="continuationSeparator" w:id="0">
    <w:p w14:paraId="27E805D3" w14:textId="77777777" w:rsidR="002160A6" w:rsidRDefault="002160A6" w:rsidP="0025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1C84D" w14:textId="77777777" w:rsidR="002160A6" w:rsidRDefault="002160A6" w:rsidP="00250735">
      <w:r>
        <w:separator/>
      </w:r>
    </w:p>
  </w:footnote>
  <w:footnote w:type="continuationSeparator" w:id="0">
    <w:p w14:paraId="70085967" w14:textId="77777777" w:rsidR="002160A6" w:rsidRDefault="002160A6" w:rsidP="00250735">
      <w:r>
        <w:continuationSeparator/>
      </w:r>
    </w:p>
  </w:footnote>
  <w:footnote w:id="1">
    <w:p w14:paraId="523829D9" w14:textId="66C356B9" w:rsidR="00A54B8D" w:rsidRPr="00E650E8" w:rsidRDefault="00A54B8D" w:rsidP="00E650E8">
      <w:pPr>
        <w:pStyle w:val="FootnoteText"/>
        <w:keepNext/>
        <w:keepLines/>
        <w:contextualSpacing/>
        <w:jc w:val="both"/>
        <w:rPr>
          <w:rFonts w:ascii="Arial" w:hAnsi="Arial" w:cs="Arial"/>
        </w:rPr>
      </w:pPr>
      <w:r w:rsidRPr="00E650E8">
        <w:rPr>
          <w:rStyle w:val="FootnoteReference"/>
          <w:rFonts w:ascii="Arial" w:hAnsi="Arial" w:cs="Arial"/>
        </w:rPr>
        <w:footnoteRef/>
      </w:r>
      <w:r w:rsidRPr="00E650E8">
        <w:rPr>
          <w:rFonts w:ascii="Arial" w:hAnsi="Arial" w:cs="Arial"/>
        </w:rPr>
        <w:t xml:space="preserve"> </w:t>
      </w:r>
      <w:r w:rsidRPr="00E650E8">
        <w:rPr>
          <w:rFonts w:ascii="Arial" w:hAnsi="Arial" w:cs="Arial"/>
          <w:bCs/>
          <w:i/>
        </w:rPr>
        <w:t>Highveld Steel &amp; Vanadium Corporation Ltd v Oosthuizen</w:t>
      </w:r>
      <w:r w:rsidRPr="00E650E8">
        <w:rPr>
          <w:rFonts w:ascii="Arial" w:hAnsi="Arial" w:cs="Arial"/>
        </w:rPr>
        <w:t xml:space="preserve"> [2008] ZASCA 164; 2009 (4) SA 1 (SCA) para 19.</w:t>
      </w:r>
    </w:p>
  </w:footnote>
  <w:footnote w:id="2">
    <w:p w14:paraId="6D867042" w14:textId="17A8B4C3" w:rsidR="00A54B8D" w:rsidRPr="00E650E8" w:rsidRDefault="00A54B8D" w:rsidP="00E650E8">
      <w:pPr>
        <w:pStyle w:val="FootnoteText"/>
        <w:keepNext/>
        <w:keepLines/>
        <w:contextualSpacing/>
        <w:jc w:val="both"/>
        <w:rPr>
          <w:rFonts w:ascii="Arial" w:hAnsi="Arial" w:cs="Arial"/>
        </w:rPr>
      </w:pPr>
      <w:r w:rsidRPr="00E650E8">
        <w:rPr>
          <w:rStyle w:val="FootnoteReference"/>
          <w:rFonts w:ascii="Arial" w:hAnsi="Arial" w:cs="Arial"/>
        </w:rPr>
        <w:footnoteRef/>
      </w:r>
      <w:r w:rsidRPr="00E650E8">
        <w:rPr>
          <w:rFonts w:ascii="Arial" w:hAnsi="Arial" w:cs="Arial"/>
        </w:rPr>
        <w:t xml:space="preserve"> See for example: </w:t>
      </w:r>
      <w:r w:rsidRPr="00E650E8">
        <w:rPr>
          <w:rFonts w:ascii="Arial" w:hAnsi="Arial" w:cs="Arial"/>
          <w:i/>
        </w:rPr>
        <w:t>Twigg v Orion Money Purchase Pension Fund and another (1)</w:t>
      </w:r>
      <w:r w:rsidRPr="00E650E8">
        <w:rPr>
          <w:rFonts w:ascii="Arial" w:hAnsi="Arial" w:cs="Arial"/>
        </w:rPr>
        <w:t xml:space="preserve"> [2001] 12 BPLR 2870 (PFA) para 21, </w:t>
      </w:r>
      <w:r w:rsidRPr="00E650E8">
        <w:rPr>
          <w:rFonts w:ascii="Arial" w:hAnsi="Arial" w:cs="Arial"/>
          <w:i/>
        </w:rPr>
        <w:t>Charlton and others v Tongaat-Hulett Pension Fund and others</w:t>
      </w:r>
      <w:r w:rsidRPr="00E650E8">
        <w:rPr>
          <w:rFonts w:ascii="Arial" w:hAnsi="Arial" w:cs="Arial"/>
        </w:rPr>
        <w:t xml:space="preserve"> [2006] 2 BPLR 94 (D) at 97-98.</w:t>
      </w:r>
    </w:p>
  </w:footnote>
  <w:footnote w:id="3">
    <w:p w14:paraId="1FCD3B74" w14:textId="3F4F8DAA" w:rsidR="00A54B8D" w:rsidRPr="00E650E8" w:rsidRDefault="00A54B8D" w:rsidP="00E650E8">
      <w:pPr>
        <w:pStyle w:val="FootnoteText"/>
        <w:keepNext/>
        <w:keepLines/>
        <w:contextualSpacing/>
        <w:jc w:val="both"/>
        <w:rPr>
          <w:rFonts w:ascii="Arial" w:hAnsi="Arial" w:cs="Arial"/>
        </w:rPr>
      </w:pPr>
      <w:r w:rsidRPr="00E650E8">
        <w:rPr>
          <w:rStyle w:val="FootnoteReference"/>
          <w:rFonts w:ascii="Arial" w:hAnsi="Arial" w:cs="Arial"/>
        </w:rPr>
        <w:footnoteRef/>
      </w:r>
      <w:r w:rsidRPr="00E650E8">
        <w:rPr>
          <w:rFonts w:ascii="Arial" w:hAnsi="Arial" w:cs="Arial"/>
        </w:rPr>
        <w:t xml:space="preserve"> </w:t>
      </w:r>
      <w:r w:rsidRPr="00E650E8">
        <w:rPr>
          <w:rFonts w:ascii="Arial" w:hAnsi="Arial" w:cs="Arial"/>
          <w:i/>
        </w:rPr>
        <w:t>Bato Star Fishing (Pty) Ltd v Minister of Environmental Affairs and Tourism and others</w:t>
      </w:r>
      <w:r w:rsidRPr="00E650E8">
        <w:rPr>
          <w:rFonts w:ascii="Arial" w:hAnsi="Arial" w:cs="Arial"/>
        </w:rPr>
        <w:t xml:space="preserve"> [2004] ZACC 15; 2004 (4) SA 490 (CC); 2004 (7) BCLR 687 (CC) para 27.</w:t>
      </w:r>
    </w:p>
  </w:footnote>
  <w:footnote w:id="4">
    <w:p w14:paraId="47521610" w14:textId="3FC39EA7" w:rsidR="00A54B8D" w:rsidRPr="00E650E8" w:rsidRDefault="00A54B8D" w:rsidP="00E650E8">
      <w:pPr>
        <w:pStyle w:val="FootnoteText"/>
        <w:keepNext/>
        <w:keepLines/>
        <w:contextualSpacing/>
        <w:jc w:val="both"/>
        <w:rPr>
          <w:rFonts w:ascii="Arial" w:hAnsi="Arial" w:cs="Arial"/>
        </w:rPr>
      </w:pPr>
      <w:r w:rsidRPr="00E650E8">
        <w:rPr>
          <w:rStyle w:val="FootnoteReference"/>
          <w:rFonts w:ascii="Arial" w:hAnsi="Arial" w:cs="Arial"/>
        </w:rPr>
        <w:footnoteRef/>
      </w:r>
      <w:r w:rsidRPr="00E650E8">
        <w:rPr>
          <w:rFonts w:ascii="Arial" w:hAnsi="Arial" w:cs="Arial"/>
        </w:rPr>
        <w:t xml:space="preserve"> </w:t>
      </w:r>
      <w:r w:rsidRPr="00E650E8">
        <w:rPr>
          <w:rFonts w:ascii="Arial" w:hAnsi="Arial" w:cs="Arial"/>
          <w:i/>
        </w:rPr>
        <w:t>Meyer v Iscor Pension Fund</w:t>
      </w:r>
      <w:r w:rsidRPr="00E650E8">
        <w:rPr>
          <w:rFonts w:ascii="Arial" w:hAnsi="Arial" w:cs="Arial"/>
        </w:rPr>
        <w:t xml:space="preserve"> </w:t>
      </w:r>
      <w:r w:rsidR="00156331" w:rsidRPr="00E650E8">
        <w:rPr>
          <w:rFonts w:ascii="Arial" w:hAnsi="Arial" w:cs="Arial"/>
        </w:rPr>
        <w:t xml:space="preserve">2003 (2) SA 715 (SCA); </w:t>
      </w:r>
      <w:r w:rsidRPr="00E650E8">
        <w:rPr>
          <w:rFonts w:ascii="Arial" w:hAnsi="Arial" w:cs="Arial"/>
        </w:rPr>
        <w:t>[2003] 1 All SA 40 (SCA).</w:t>
      </w:r>
    </w:p>
  </w:footnote>
  <w:footnote w:id="5">
    <w:p w14:paraId="19EE5067" w14:textId="77777777" w:rsidR="00156331" w:rsidRPr="00E650E8" w:rsidRDefault="00156331" w:rsidP="00E650E8">
      <w:pPr>
        <w:pStyle w:val="FootnoteText"/>
        <w:keepNext/>
        <w:keepLines/>
        <w:contextualSpacing/>
        <w:jc w:val="both"/>
        <w:rPr>
          <w:rFonts w:ascii="Arial" w:hAnsi="Arial" w:cs="Arial"/>
        </w:rPr>
      </w:pPr>
      <w:r w:rsidRPr="00E650E8">
        <w:rPr>
          <w:rStyle w:val="FootnoteReference"/>
          <w:rFonts w:ascii="Arial" w:hAnsi="Arial" w:cs="Arial"/>
        </w:rPr>
        <w:footnoteRef/>
      </w:r>
      <w:r w:rsidRPr="00E650E8">
        <w:rPr>
          <w:rFonts w:ascii="Arial" w:hAnsi="Arial" w:cs="Arial"/>
        </w:rPr>
        <w:t xml:space="preserve"> Ibid para 8.</w:t>
      </w:r>
    </w:p>
  </w:footnote>
  <w:footnote w:id="6">
    <w:p w14:paraId="35417EF0" w14:textId="4A7B3A87" w:rsidR="00A54B8D" w:rsidRPr="00E650E8" w:rsidRDefault="00A54B8D" w:rsidP="00E650E8">
      <w:pPr>
        <w:pStyle w:val="FootnoteText"/>
        <w:keepNext/>
        <w:keepLines/>
        <w:contextualSpacing/>
        <w:jc w:val="both"/>
        <w:rPr>
          <w:rFonts w:ascii="Arial" w:hAnsi="Arial" w:cs="Arial"/>
        </w:rPr>
      </w:pPr>
      <w:r w:rsidRPr="00E650E8">
        <w:rPr>
          <w:rStyle w:val="FootnoteReference"/>
          <w:rFonts w:ascii="Arial" w:hAnsi="Arial" w:cs="Arial"/>
        </w:rPr>
        <w:footnoteRef/>
      </w:r>
      <w:r w:rsidRPr="00E650E8">
        <w:rPr>
          <w:rFonts w:ascii="Arial" w:hAnsi="Arial" w:cs="Arial"/>
        </w:rPr>
        <w:t xml:space="preserve"> </w:t>
      </w:r>
      <w:r w:rsidRPr="00E650E8">
        <w:rPr>
          <w:rFonts w:ascii="Arial" w:hAnsi="Arial" w:cs="Arial"/>
          <w:i/>
        </w:rPr>
        <w:t>Tikly and others v Johannes NO and others</w:t>
      </w:r>
      <w:r w:rsidRPr="00E650E8">
        <w:rPr>
          <w:rFonts w:ascii="Arial" w:hAnsi="Arial" w:cs="Arial"/>
        </w:rPr>
        <w:t xml:space="preserve"> 1963 (2) SA 588 (T) at 590G-591A. </w:t>
      </w:r>
    </w:p>
  </w:footnote>
  <w:footnote w:id="7">
    <w:p w14:paraId="3EEE6C62" w14:textId="626B97A7" w:rsidR="00A54B8D" w:rsidRPr="00E650E8" w:rsidRDefault="00A54B8D" w:rsidP="00E650E8">
      <w:pPr>
        <w:pStyle w:val="FootnoteText"/>
        <w:keepNext/>
        <w:keepLines/>
        <w:contextualSpacing/>
        <w:jc w:val="both"/>
        <w:rPr>
          <w:rFonts w:ascii="Arial" w:hAnsi="Arial" w:cs="Arial"/>
        </w:rPr>
      </w:pPr>
      <w:r w:rsidRPr="00E650E8">
        <w:rPr>
          <w:rStyle w:val="FootnoteReference"/>
          <w:rFonts w:ascii="Arial" w:hAnsi="Arial" w:cs="Arial"/>
        </w:rPr>
        <w:footnoteRef/>
      </w:r>
      <w:r w:rsidRPr="00E650E8">
        <w:rPr>
          <w:rFonts w:ascii="Arial" w:hAnsi="Arial" w:cs="Arial"/>
        </w:rPr>
        <w:t xml:space="preserve"> </w:t>
      </w:r>
      <w:r w:rsidRPr="00E650E8">
        <w:rPr>
          <w:rFonts w:ascii="Arial" w:hAnsi="Arial" w:cs="Arial"/>
          <w:i/>
        </w:rPr>
        <w:t>Meyer v Iscor Pension Fund</w:t>
      </w:r>
      <w:r w:rsidRPr="00E650E8">
        <w:rPr>
          <w:rFonts w:ascii="Arial" w:hAnsi="Arial" w:cs="Arial"/>
        </w:rPr>
        <w:t xml:space="preserve"> </w:t>
      </w:r>
      <w:r w:rsidR="00156331" w:rsidRPr="00E650E8">
        <w:rPr>
          <w:rFonts w:ascii="Arial" w:hAnsi="Arial" w:cs="Arial"/>
        </w:rPr>
        <w:t xml:space="preserve">2003 (2) SA 715 (SCA); </w:t>
      </w:r>
      <w:r w:rsidRPr="00E650E8">
        <w:rPr>
          <w:rFonts w:ascii="Arial" w:hAnsi="Arial" w:cs="Arial"/>
        </w:rPr>
        <w:t>[2003] 1 All SA 40 (SCA) para 8.</w:t>
      </w:r>
    </w:p>
  </w:footnote>
  <w:footnote w:id="8">
    <w:p w14:paraId="1A7CBD83" w14:textId="77777777" w:rsidR="00DD7771" w:rsidRPr="00E650E8" w:rsidRDefault="00DD7771" w:rsidP="00E650E8">
      <w:pPr>
        <w:pStyle w:val="FootnoteText"/>
        <w:contextualSpacing/>
        <w:jc w:val="both"/>
        <w:rPr>
          <w:rFonts w:ascii="Arial" w:hAnsi="Arial" w:cs="Arial"/>
        </w:rPr>
      </w:pPr>
      <w:r w:rsidRPr="00E650E8">
        <w:rPr>
          <w:rStyle w:val="FootnoteReference"/>
          <w:rFonts w:ascii="Arial" w:hAnsi="Arial" w:cs="Arial"/>
        </w:rPr>
        <w:footnoteRef/>
      </w:r>
      <w:r w:rsidRPr="00E650E8">
        <w:rPr>
          <w:rFonts w:ascii="Arial" w:hAnsi="Arial" w:cs="Arial"/>
        </w:rPr>
        <w:t xml:space="preserve"> </w:t>
      </w:r>
      <w:r w:rsidRPr="00E650E8">
        <w:rPr>
          <w:rFonts w:ascii="Arial" w:hAnsi="Arial" w:cs="Arial"/>
          <w:i/>
        </w:rPr>
        <w:t>Municipal Employees' Pension Fund and another v Mongwaketse and others</w:t>
      </w:r>
      <w:r w:rsidRPr="00E650E8">
        <w:rPr>
          <w:rFonts w:ascii="Arial" w:hAnsi="Arial" w:cs="Arial"/>
        </w:rPr>
        <w:t xml:space="preserve"> [2019] ZAGPJHC 162.</w:t>
      </w:r>
    </w:p>
  </w:footnote>
  <w:footnote w:id="9">
    <w:p w14:paraId="3E7F00B0" w14:textId="7FBABFE3" w:rsidR="00DD7771" w:rsidRPr="00E650E8" w:rsidRDefault="00DD7771" w:rsidP="00E650E8">
      <w:pPr>
        <w:pStyle w:val="FootnoteText"/>
        <w:contextualSpacing/>
        <w:jc w:val="both"/>
        <w:rPr>
          <w:rFonts w:ascii="Arial" w:hAnsi="Arial" w:cs="Arial"/>
        </w:rPr>
      </w:pPr>
      <w:r w:rsidRPr="00E650E8">
        <w:rPr>
          <w:rStyle w:val="FootnoteReference"/>
          <w:rFonts w:ascii="Arial" w:hAnsi="Arial" w:cs="Arial"/>
        </w:rPr>
        <w:footnoteRef/>
      </w:r>
      <w:r w:rsidRPr="00E650E8">
        <w:rPr>
          <w:rFonts w:ascii="Arial" w:hAnsi="Arial" w:cs="Arial"/>
        </w:rPr>
        <w:t xml:space="preserve"> </w:t>
      </w:r>
      <w:r w:rsidRPr="00E650E8">
        <w:rPr>
          <w:rFonts w:ascii="Arial" w:hAnsi="Arial" w:cs="Arial"/>
          <w:i/>
          <w:lang w:val="en-US"/>
        </w:rPr>
        <w:t>Municipal Employees Pension Fund and another v Mongwaketse</w:t>
      </w:r>
      <w:r w:rsidRPr="00E650E8">
        <w:rPr>
          <w:rFonts w:ascii="Arial" w:hAnsi="Arial" w:cs="Arial"/>
          <w:lang w:val="en-US"/>
        </w:rPr>
        <w:t xml:space="preserve"> [2020] ZASCA 181; [2021] 1 All SA 772 (SCA) para 25.</w:t>
      </w:r>
    </w:p>
  </w:footnote>
  <w:footnote w:id="10">
    <w:p w14:paraId="294A3F53" w14:textId="77777777" w:rsidR="00DD7771" w:rsidRPr="00E650E8" w:rsidRDefault="00DD7771" w:rsidP="00E650E8">
      <w:pPr>
        <w:pStyle w:val="FootnoteText"/>
        <w:contextualSpacing/>
        <w:jc w:val="both"/>
        <w:rPr>
          <w:rFonts w:ascii="Arial" w:hAnsi="Arial" w:cs="Arial"/>
        </w:rPr>
      </w:pPr>
      <w:r w:rsidRPr="00E650E8">
        <w:rPr>
          <w:rStyle w:val="FootnoteReference"/>
          <w:rFonts w:ascii="Arial" w:hAnsi="Arial" w:cs="Arial"/>
        </w:rPr>
        <w:footnoteRef/>
      </w:r>
      <w:r w:rsidRPr="00E650E8">
        <w:rPr>
          <w:rFonts w:ascii="Arial" w:hAnsi="Arial" w:cs="Arial"/>
        </w:rPr>
        <w:t xml:space="preserve"> </w:t>
      </w:r>
      <w:r w:rsidRPr="00E650E8">
        <w:rPr>
          <w:rFonts w:ascii="Arial" w:hAnsi="Arial" w:cs="Arial"/>
          <w:i/>
        </w:rPr>
        <w:t>Municipal Employees Pension Fund and another V Mongwaketse</w:t>
      </w:r>
      <w:r w:rsidRPr="00E650E8">
        <w:rPr>
          <w:rFonts w:ascii="Arial" w:hAnsi="Arial" w:cs="Arial"/>
        </w:rPr>
        <w:t xml:space="preserve"> [2022] ZACC 9; 2022 (6) SA 1 (CC); 2022 (11) BCLR 1404 (CC).</w:t>
      </w:r>
    </w:p>
  </w:footnote>
  <w:footnote w:id="11">
    <w:p w14:paraId="64B3C215" w14:textId="067749C5" w:rsidR="00A54B8D" w:rsidRPr="00E650E8" w:rsidRDefault="00A54B8D" w:rsidP="00E650E8">
      <w:pPr>
        <w:pStyle w:val="FootnoteText"/>
        <w:keepNext/>
        <w:keepLines/>
        <w:contextualSpacing/>
        <w:jc w:val="both"/>
        <w:rPr>
          <w:rFonts w:ascii="Arial" w:hAnsi="Arial" w:cs="Arial"/>
        </w:rPr>
      </w:pPr>
      <w:r w:rsidRPr="00E650E8">
        <w:rPr>
          <w:rStyle w:val="FootnoteReference"/>
          <w:rFonts w:ascii="Arial" w:hAnsi="Arial" w:cs="Arial"/>
        </w:rPr>
        <w:footnoteRef/>
      </w:r>
      <w:r w:rsidRPr="00E650E8">
        <w:rPr>
          <w:rFonts w:ascii="Arial" w:hAnsi="Arial" w:cs="Arial"/>
        </w:rPr>
        <w:t xml:space="preserve"> </w:t>
      </w:r>
      <w:r w:rsidRPr="00E650E8">
        <w:rPr>
          <w:rFonts w:ascii="Arial" w:hAnsi="Arial" w:cs="Arial"/>
          <w:i/>
        </w:rPr>
        <w:t>Old Mutual Life Assurance Co (South Africa) Ltd v Pension Funds Adjudicator and others</w:t>
      </w:r>
      <w:r w:rsidRPr="00E650E8">
        <w:rPr>
          <w:rFonts w:ascii="Arial" w:hAnsi="Arial" w:cs="Arial"/>
        </w:rPr>
        <w:t xml:space="preserve"> 2007 (3) SA 458 (C)</w:t>
      </w:r>
      <w:r w:rsidR="001C6A9E" w:rsidRPr="00E650E8">
        <w:rPr>
          <w:rFonts w:ascii="Arial" w:hAnsi="Arial" w:cs="Arial"/>
        </w:rPr>
        <w:t>; [2007] 2 All SA 98 (C)</w:t>
      </w:r>
      <w:r w:rsidRPr="00E650E8">
        <w:rPr>
          <w:rFonts w:ascii="Arial" w:hAnsi="Arial" w:cs="Arial"/>
        </w:rPr>
        <w:t xml:space="preserve"> para 12.</w:t>
      </w:r>
    </w:p>
  </w:footnote>
  <w:footnote w:id="12">
    <w:p w14:paraId="741A6B51" w14:textId="63432701" w:rsidR="00A54B8D" w:rsidRPr="00E650E8" w:rsidRDefault="00A54B8D" w:rsidP="00E650E8">
      <w:pPr>
        <w:pStyle w:val="FootnoteText"/>
        <w:keepNext/>
        <w:keepLines/>
        <w:tabs>
          <w:tab w:val="left" w:pos="990"/>
        </w:tabs>
        <w:contextualSpacing/>
        <w:jc w:val="both"/>
        <w:rPr>
          <w:rFonts w:ascii="Arial" w:hAnsi="Arial" w:cs="Arial"/>
        </w:rPr>
      </w:pPr>
      <w:r w:rsidRPr="00E650E8">
        <w:rPr>
          <w:rStyle w:val="FootnoteReference"/>
          <w:rFonts w:ascii="Arial" w:hAnsi="Arial" w:cs="Arial"/>
        </w:rPr>
        <w:footnoteRef/>
      </w:r>
      <w:r w:rsidRPr="00E650E8">
        <w:rPr>
          <w:rFonts w:ascii="Arial" w:hAnsi="Arial" w:cs="Arial"/>
        </w:rPr>
        <w:t xml:space="preserve"> </w:t>
      </w:r>
      <w:r w:rsidRPr="00E650E8">
        <w:rPr>
          <w:rFonts w:ascii="Arial" w:hAnsi="Arial" w:cs="Arial"/>
          <w:i/>
        </w:rPr>
        <w:t>Otis (South Africa) Pension Fund and another v Hinton and another</w:t>
      </w:r>
      <w:r w:rsidRPr="00E650E8">
        <w:rPr>
          <w:rFonts w:ascii="Arial" w:hAnsi="Arial" w:cs="Arial"/>
        </w:rPr>
        <w:t xml:space="preserve"> [2005] 1 BPLR 17 (PFA) at 18.</w:t>
      </w:r>
    </w:p>
  </w:footnote>
  <w:footnote w:id="13">
    <w:p w14:paraId="2D886C00" w14:textId="67AC5C7E" w:rsidR="00A54B8D" w:rsidRPr="00E650E8" w:rsidRDefault="00A54B8D" w:rsidP="00E650E8">
      <w:pPr>
        <w:pStyle w:val="FootnoteText"/>
        <w:keepNext/>
        <w:keepLines/>
        <w:contextualSpacing/>
        <w:jc w:val="both"/>
        <w:rPr>
          <w:rFonts w:ascii="Arial" w:hAnsi="Arial" w:cs="Arial"/>
        </w:rPr>
      </w:pPr>
      <w:r w:rsidRPr="00E650E8">
        <w:rPr>
          <w:rStyle w:val="FootnoteReference"/>
          <w:rFonts w:ascii="Arial" w:hAnsi="Arial" w:cs="Arial"/>
        </w:rPr>
        <w:footnoteRef/>
      </w:r>
      <w:r w:rsidRPr="00E650E8">
        <w:rPr>
          <w:rFonts w:ascii="Arial" w:hAnsi="Arial" w:cs="Arial"/>
        </w:rPr>
        <w:t xml:space="preserve"> </w:t>
      </w:r>
      <w:r w:rsidRPr="00E650E8">
        <w:rPr>
          <w:rFonts w:ascii="Arial" w:hAnsi="Arial" w:cs="Arial"/>
          <w:i/>
        </w:rPr>
        <w:t>Old Mutual Life Assurance Co (South Africa) Ltd v Pension Funds Adjudicator and others</w:t>
      </w:r>
      <w:r w:rsidRPr="00E650E8">
        <w:rPr>
          <w:rFonts w:ascii="Arial" w:hAnsi="Arial" w:cs="Arial"/>
        </w:rPr>
        <w:t xml:space="preserve"> 2007 (3) SA 458 (C).</w:t>
      </w:r>
    </w:p>
  </w:footnote>
  <w:footnote w:id="14">
    <w:p w14:paraId="646DE351" w14:textId="1B21EDBD" w:rsidR="00A54B8D" w:rsidRPr="00E650E8" w:rsidRDefault="00A54B8D" w:rsidP="00E650E8">
      <w:pPr>
        <w:pStyle w:val="FootnoteText"/>
        <w:keepNext/>
        <w:keepLines/>
        <w:contextualSpacing/>
        <w:jc w:val="both"/>
        <w:rPr>
          <w:rFonts w:ascii="Arial" w:hAnsi="Arial" w:cs="Arial"/>
        </w:rPr>
      </w:pPr>
      <w:r w:rsidRPr="00E650E8">
        <w:rPr>
          <w:rStyle w:val="FootnoteReference"/>
          <w:rFonts w:ascii="Arial" w:hAnsi="Arial" w:cs="Arial"/>
        </w:rPr>
        <w:footnoteRef/>
      </w:r>
      <w:r w:rsidRPr="00E650E8">
        <w:rPr>
          <w:rFonts w:ascii="Arial" w:hAnsi="Arial" w:cs="Arial"/>
        </w:rPr>
        <w:t xml:space="preserve"> </w:t>
      </w:r>
      <w:r w:rsidRPr="00E650E8">
        <w:rPr>
          <w:rFonts w:ascii="Arial" w:hAnsi="Arial" w:cs="Arial"/>
          <w:i/>
        </w:rPr>
        <w:t>SA Metal Group (Pty) Ltd v Jeftha and others</w:t>
      </w:r>
      <w:r w:rsidRPr="00E650E8">
        <w:rPr>
          <w:rFonts w:ascii="Arial" w:hAnsi="Arial" w:cs="Arial"/>
        </w:rPr>
        <w:t xml:space="preserve"> [2020] 1 BPLR 20 (WCC).</w:t>
      </w:r>
    </w:p>
  </w:footnote>
  <w:footnote w:id="15">
    <w:p w14:paraId="767F11F7" w14:textId="793DB4C6" w:rsidR="00A54B8D" w:rsidRPr="00E650E8" w:rsidRDefault="00A54B8D" w:rsidP="00E650E8">
      <w:pPr>
        <w:pStyle w:val="FootnoteText"/>
        <w:keepNext/>
        <w:keepLines/>
        <w:contextualSpacing/>
        <w:jc w:val="both"/>
        <w:rPr>
          <w:rFonts w:ascii="Arial" w:hAnsi="Arial" w:cs="Arial"/>
        </w:rPr>
      </w:pPr>
      <w:r w:rsidRPr="00E650E8">
        <w:rPr>
          <w:rStyle w:val="FootnoteReference"/>
          <w:rFonts w:ascii="Arial" w:hAnsi="Arial" w:cs="Arial"/>
        </w:rPr>
        <w:footnoteRef/>
      </w:r>
      <w:r w:rsidRPr="00E650E8">
        <w:rPr>
          <w:rFonts w:ascii="Arial" w:hAnsi="Arial" w:cs="Arial"/>
        </w:rPr>
        <w:t xml:space="preserve"> C Hoexter and G Penfold </w:t>
      </w:r>
      <w:r w:rsidRPr="00E650E8">
        <w:rPr>
          <w:rFonts w:ascii="Arial" w:hAnsi="Arial" w:cs="Arial"/>
          <w:i/>
        </w:rPr>
        <w:t>Administrative Law in South Africa</w:t>
      </w:r>
      <w:r w:rsidRPr="00E650E8">
        <w:rPr>
          <w:rFonts w:ascii="Arial" w:hAnsi="Arial" w:cs="Arial"/>
        </w:rPr>
        <w:t xml:space="preserve"> 3 ed (2021) at 532 citing </w:t>
      </w:r>
      <w:r w:rsidRPr="00E650E8">
        <w:rPr>
          <w:rFonts w:ascii="Arial" w:hAnsi="Arial" w:cs="Arial"/>
          <w:i/>
        </w:rPr>
        <w:t>Sachs v Minister of Justice</w:t>
      </w:r>
      <w:r w:rsidRPr="00E650E8">
        <w:rPr>
          <w:rFonts w:ascii="Arial" w:hAnsi="Arial" w:cs="Arial"/>
        </w:rPr>
        <w:t xml:space="preserve"> 1934 AD 11 at 22-23.</w:t>
      </w:r>
    </w:p>
  </w:footnote>
  <w:footnote w:id="16">
    <w:p w14:paraId="5946539D" w14:textId="18B04CAB" w:rsidR="00A54B8D" w:rsidRPr="00E650E8" w:rsidRDefault="00A54B8D" w:rsidP="00E650E8">
      <w:pPr>
        <w:pStyle w:val="FootnoteText"/>
        <w:keepNext/>
        <w:keepLines/>
        <w:contextualSpacing/>
        <w:jc w:val="both"/>
        <w:rPr>
          <w:rFonts w:ascii="Arial" w:hAnsi="Arial" w:cs="Arial"/>
        </w:rPr>
      </w:pPr>
      <w:r w:rsidRPr="00E650E8">
        <w:rPr>
          <w:rStyle w:val="FootnoteReference"/>
          <w:rFonts w:ascii="Arial" w:hAnsi="Arial" w:cs="Arial"/>
        </w:rPr>
        <w:footnoteRef/>
      </w:r>
      <w:r w:rsidRPr="00E650E8">
        <w:rPr>
          <w:rFonts w:ascii="Arial" w:hAnsi="Arial" w:cs="Arial"/>
        </w:rPr>
        <w:t xml:space="preserve"> Section 8 of PAJA; s 172(1)</w:t>
      </w:r>
      <w:r w:rsidRPr="00E650E8">
        <w:rPr>
          <w:rFonts w:ascii="Arial" w:hAnsi="Arial" w:cs="Arial"/>
          <w:i/>
        </w:rPr>
        <w:t>(b)</w:t>
      </w:r>
      <w:r w:rsidRPr="00E650E8">
        <w:rPr>
          <w:rFonts w:ascii="Arial" w:hAnsi="Arial" w:cs="Arial"/>
        </w:rPr>
        <w:t xml:space="preserve"> of the Constitution.</w:t>
      </w:r>
    </w:p>
  </w:footnote>
  <w:footnote w:id="17">
    <w:p w14:paraId="454C79EE" w14:textId="77777777" w:rsidR="00A54B8D" w:rsidRPr="00E650E8" w:rsidRDefault="00A54B8D" w:rsidP="00E650E8">
      <w:pPr>
        <w:pStyle w:val="FootnoteText"/>
        <w:keepNext/>
        <w:keepLines/>
        <w:contextualSpacing/>
        <w:jc w:val="both"/>
        <w:rPr>
          <w:rFonts w:ascii="Arial" w:hAnsi="Arial" w:cs="Arial"/>
        </w:rPr>
      </w:pPr>
      <w:r w:rsidRPr="00E650E8">
        <w:rPr>
          <w:rStyle w:val="FootnoteReference"/>
          <w:rFonts w:ascii="Arial" w:hAnsi="Arial" w:cs="Arial"/>
        </w:rPr>
        <w:footnoteRef/>
      </w:r>
      <w:r w:rsidRPr="00E650E8">
        <w:rPr>
          <w:rFonts w:ascii="Arial" w:hAnsi="Arial" w:cs="Arial"/>
        </w:rPr>
        <w:t xml:space="preserve"> The rule provides as follows:</w:t>
      </w:r>
    </w:p>
    <w:p w14:paraId="29CFCA54" w14:textId="77777777" w:rsidR="00721E23" w:rsidRPr="00E650E8" w:rsidRDefault="00A54B8D" w:rsidP="00E650E8">
      <w:pPr>
        <w:pStyle w:val="FootnoteText"/>
        <w:keepNext/>
        <w:keepLines/>
        <w:contextualSpacing/>
        <w:jc w:val="both"/>
        <w:rPr>
          <w:rFonts w:ascii="Arial" w:hAnsi="Arial" w:cs="Arial"/>
        </w:rPr>
      </w:pPr>
      <w:r w:rsidRPr="00E650E8">
        <w:rPr>
          <w:rFonts w:ascii="Arial" w:hAnsi="Arial" w:cs="Arial"/>
        </w:rPr>
        <w:t>‘4.3</w:t>
      </w:r>
      <w:r w:rsidRPr="00E650E8">
        <w:rPr>
          <w:rFonts w:ascii="Arial" w:hAnsi="Arial" w:cs="Arial"/>
        </w:rPr>
        <w:tab/>
        <w:t>PRIOR RIGHT TO BENEFITS</w:t>
      </w:r>
    </w:p>
    <w:p w14:paraId="136C522B" w14:textId="1AE04BFC" w:rsidR="00A54B8D" w:rsidRPr="00E650E8" w:rsidRDefault="00A54B8D" w:rsidP="00E650E8">
      <w:pPr>
        <w:pStyle w:val="FootnoteText"/>
        <w:keepNext/>
        <w:keepLines/>
        <w:contextualSpacing/>
        <w:jc w:val="both"/>
        <w:rPr>
          <w:rFonts w:ascii="Arial" w:hAnsi="Arial" w:cs="Arial"/>
        </w:rPr>
      </w:pPr>
      <w:r w:rsidRPr="00E650E8">
        <w:rPr>
          <w:rFonts w:ascii="Arial" w:hAnsi="Arial" w:cs="Arial"/>
        </w:rPr>
        <w:t>4.3.1</w:t>
      </w:r>
      <w:r w:rsidRPr="00E650E8">
        <w:rPr>
          <w:rFonts w:ascii="Arial" w:hAnsi="Arial" w:cs="Arial"/>
        </w:rPr>
        <w:tab/>
        <w:t>The TRUSTEES shall have the right to make such deductions from the benefit to which a MEMBER or BENEFICIARY is entitled in terms of the RULES or which is to be transferred to an APPROVED FUND for his benefit as permitted in terms of Section 37D of the ACT. Such claims may include:</w:t>
      </w:r>
    </w:p>
    <w:p w14:paraId="729B0079" w14:textId="77777777" w:rsidR="00A54B8D" w:rsidRPr="00E650E8" w:rsidRDefault="00A54B8D" w:rsidP="00E650E8">
      <w:pPr>
        <w:pStyle w:val="FootnoteText"/>
        <w:keepNext/>
        <w:keepLines/>
        <w:ind w:left="720" w:hanging="720"/>
        <w:contextualSpacing/>
        <w:jc w:val="both"/>
        <w:rPr>
          <w:rFonts w:ascii="Arial" w:hAnsi="Arial" w:cs="Arial"/>
        </w:rPr>
      </w:pPr>
      <w:r w:rsidRPr="00E650E8">
        <w:rPr>
          <w:rFonts w:ascii="Arial" w:hAnsi="Arial" w:cs="Arial"/>
        </w:rPr>
        <w:t>(a)</w:t>
      </w:r>
      <w:r w:rsidRPr="00E650E8">
        <w:rPr>
          <w:rFonts w:ascii="Arial" w:hAnsi="Arial" w:cs="Arial"/>
        </w:rPr>
        <w:tab/>
        <w:t>any amount for which the FUND or the EMPLOYER is liable in terms of a HOUSING GUARANTEE; or</w:t>
      </w:r>
    </w:p>
    <w:p w14:paraId="713A233B" w14:textId="77777777" w:rsidR="00A54B8D" w:rsidRPr="00E650E8" w:rsidRDefault="00A54B8D" w:rsidP="00E650E8">
      <w:pPr>
        <w:pStyle w:val="FootnoteText"/>
        <w:keepNext/>
        <w:keepLines/>
        <w:ind w:left="720" w:hanging="720"/>
        <w:contextualSpacing/>
        <w:jc w:val="both"/>
        <w:rPr>
          <w:rFonts w:ascii="Arial" w:hAnsi="Arial" w:cs="Arial"/>
        </w:rPr>
      </w:pPr>
      <w:r w:rsidRPr="00E650E8">
        <w:rPr>
          <w:rFonts w:ascii="Arial" w:hAnsi="Arial" w:cs="Arial"/>
        </w:rPr>
        <w:t>(b)</w:t>
      </w:r>
      <w:r w:rsidRPr="00E650E8">
        <w:rPr>
          <w:rFonts w:ascii="Arial" w:hAnsi="Arial" w:cs="Arial"/>
        </w:rPr>
        <w:tab/>
        <w:t>compensation (including legal costs recoverable from the MEMBER) in respect of any loss suffered by the EMPLOYER as a result of any theft, misconduct, fraud or dishonesty on the MEMBER’S part for which the MEMBER has admitted liability in writing or in respect of which judgement has been obtained against the MEMBER in court.</w:t>
      </w:r>
    </w:p>
    <w:p w14:paraId="7AF32B74" w14:textId="77777777" w:rsidR="00A54B8D" w:rsidRPr="00E650E8" w:rsidRDefault="00A54B8D" w:rsidP="00E650E8">
      <w:pPr>
        <w:pStyle w:val="FootnoteText"/>
        <w:keepNext/>
        <w:keepLines/>
        <w:ind w:left="720" w:hanging="720"/>
        <w:contextualSpacing/>
        <w:jc w:val="both"/>
        <w:rPr>
          <w:rFonts w:ascii="Arial" w:hAnsi="Arial" w:cs="Arial"/>
        </w:rPr>
      </w:pPr>
      <w:r w:rsidRPr="00E650E8">
        <w:rPr>
          <w:rFonts w:ascii="Arial" w:hAnsi="Arial" w:cs="Arial"/>
        </w:rPr>
        <w:tab/>
        <w:t>The TRUSTEES may, where an EMPLOYER has instituted legal proceedings in a court of law against the MEMBER concerned for compensation in respect of damage caused to the EMPLOYER as contemplated in section 37D of the Act, withhold payment of any benefit until such time as the matter has been finally determined a competent court of law or has been settled or formally withdrawn, provided that:</w:t>
      </w:r>
    </w:p>
    <w:p w14:paraId="53D8FE8F" w14:textId="68008D18" w:rsidR="00A54B8D" w:rsidRPr="00E650E8" w:rsidRDefault="00A54B8D" w:rsidP="00E650E8">
      <w:pPr>
        <w:pStyle w:val="FootnoteText"/>
        <w:keepNext/>
        <w:keepLines/>
        <w:ind w:left="1440" w:hanging="720"/>
        <w:contextualSpacing/>
        <w:jc w:val="both"/>
        <w:rPr>
          <w:rFonts w:ascii="Arial" w:hAnsi="Arial" w:cs="Arial"/>
        </w:rPr>
      </w:pPr>
      <w:r w:rsidRPr="00E650E8">
        <w:rPr>
          <w:rFonts w:ascii="Arial" w:hAnsi="Arial" w:cs="Arial"/>
        </w:rPr>
        <w:t>(i)</w:t>
      </w:r>
      <w:r w:rsidRPr="00E650E8">
        <w:rPr>
          <w:rFonts w:ascii="Arial" w:hAnsi="Arial" w:cs="Arial"/>
        </w:rPr>
        <w:tab/>
        <w:t xml:space="preserve">the TRUSTEES are satisfied that the EMPLOYER has made out a </w:t>
      </w:r>
      <w:r w:rsidRPr="00E650E8">
        <w:rPr>
          <w:rFonts w:ascii="Arial" w:hAnsi="Arial" w:cs="Arial"/>
          <w:i/>
          <w:iCs/>
        </w:rPr>
        <w:t>prima facie</w:t>
      </w:r>
      <w:r w:rsidRPr="00E650E8">
        <w:rPr>
          <w:rFonts w:ascii="Arial" w:hAnsi="Arial" w:cs="Arial"/>
        </w:rPr>
        <w:t xml:space="preserve"> case against the MEMBER concerned and there is reason to believe that the EMPLOYER has a reasonable chance of success in the proceedings that have been instituted; and</w:t>
      </w:r>
    </w:p>
    <w:p w14:paraId="00D09673" w14:textId="77777777" w:rsidR="00A54B8D" w:rsidRPr="00E650E8" w:rsidRDefault="00A54B8D" w:rsidP="00E650E8">
      <w:pPr>
        <w:pStyle w:val="FootnoteText"/>
        <w:keepNext/>
        <w:keepLines/>
        <w:ind w:left="1440" w:hanging="720"/>
        <w:contextualSpacing/>
        <w:jc w:val="both"/>
        <w:rPr>
          <w:rFonts w:ascii="Arial" w:hAnsi="Arial" w:cs="Arial"/>
        </w:rPr>
      </w:pPr>
      <w:r w:rsidRPr="00E650E8">
        <w:rPr>
          <w:rFonts w:ascii="Arial" w:hAnsi="Arial" w:cs="Arial"/>
        </w:rPr>
        <w:t>(ii)</w:t>
      </w:r>
      <w:r w:rsidRPr="00E650E8">
        <w:rPr>
          <w:rFonts w:ascii="Arial" w:hAnsi="Arial" w:cs="Arial"/>
        </w:rPr>
        <w:tab/>
        <w:t>the TRUSTEES are satisfied that the EMPLOYER is not at any stage of the proceedings responsible for any undue delay in the prosecution of the proceedings;</w:t>
      </w:r>
    </w:p>
    <w:p w14:paraId="7831B97E" w14:textId="1DC5034C" w:rsidR="00A54B8D" w:rsidRPr="00E650E8" w:rsidRDefault="00A54B8D" w:rsidP="00E650E8">
      <w:pPr>
        <w:pStyle w:val="FootnoteText"/>
        <w:keepNext/>
        <w:keepLines/>
        <w:ind w:left="1440" w:hanging="720"/>
        <w:contextualSpacing/>
        <w:jc w:val="both"/>
        <w:rPr>
          <w:rFonts w:ascii="Arial" w:hAnsi="Arial" w:cs="Arial"/>
        </w:rPr>
      </w:pPr>
      <w:r w:rsidRPr="00E650E8">
        <w:rPr>
          <w:rFonts w:ascii="Arial" w:hAnsi="Arial" w:cs="Arial"/>
        </w:rPr>
        <w:t>(iii)</w:t>
      </w:r>
      <w:r w:rsidRPr="00E650E8">
        <w:rPr>
          <w:rFonts w:ascii="Arial" w:hAnsi="Arial" w:cs="Arial"/>
        </w:rPr>
        <w:tab/>
        <w:t xml:space="preserve">once the proceedings have been determined, settled or withdrawn, any benefit to which the MEMBER is entitled, is paid forthwith, or, if any amount is lawfully deducted from the benefit in terms of section 37D, the balance thereof is paid forthwith.’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036187"/>
      <w:docPartObj>
        <w:docPartGallery w:val="Page Numbers (Top of Page)"/>
        <w:docPartUnique/>
      </w:docPartObj>
    </w:sdtPr>
    <w:sdtEndPr>
      <w:rPr>
        <w:rFonts w:ascii="Arial" w:hAnsi="Arial" w:cs="Arial"/>
        <w:noProof/>
      </w:rPr>
    </w:sdtEndPr>
    <w:sdtContent>
      <w:p w14:paraId="21B2AF4B" w14:textId="479BA02F" w:rsidR="00A54B8D" w:rsidRPr="001163A0" w:rsidRDefault="00A54B8D">
        <w:pPr>
          <w:pStyle w:val="Header"/>
          <w:jc w:val="right"/>
          <w:rPr>
            <w:rFonts w:ascii="Arial" w:hAnsi="Arial" w:cs="Arial"/>
          </w:rPr>
        </w:pPr>
        <w:r w:rsidRPr="001163A0">
          <w:rPr>
            <w:rFonts w:ascii="Arial" w:hAnsi="Arial" w:cs="Arial"/>
          </w:rPr>
          <w:fldChar w:fldCharType="begin"/>
        </w:r>
        <w:r w:rsidRPr="001163A0">
          <w:rPr>
            <w:rFonts w:ascii="Arial" w:hAnsi="Arial" w:cs="Arial"/>
          </w:rPr>
          <w:instrText xml:space="preserve"> PAGE   \* MERGEFORMAT </w:instrText>
        </w:r>
        <w:r w:rsidRPr="001163A0">
          <w:rPr>
            <w:rFonts w:ascii="Arial" w:hAnsi="Arial" w:cs="Arial"/>
          </w:rPr>
          <w:fldChar w:fldCharType="separate"/>
        </w:r>
        <w:r w:rsidR="005824B7">
          <w:rPr>
            <w:rFonts w:ascii="Arial" w:hAnsi="Arial" w:cs="Arial"/>
            <w:noProof/>
          </w:rPr>
          <w:t>21</w:t>
        </w:r>
        <w:r w:rsidRPr="001163A0">
          <w:rPr>
            <w:rFonts w:ascii="Arial" w:hAnsi="Arial" w:cs="Arial"/>
            <w:noProof/>
          </w:rPr>
          <w:fldChar w:fldCharType="end"/>
        </w:r>
      </w:p>
    </w:sdtContent>
  </w:sdt>
  <w:p w14:paraId="5EFB9F4B" w14:textId="77777777" w:rsidR="00A54B8D" w:rsidRDefault="00A54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E0CD4"/>
    <w:multiLevelType w:val="hybridMultilevel"/>
    <w:tmpl w:val="CA5EEFC4"/>
    <w:lvl w:ilvl="0" w:tplc="2524595E">
      <w:start w:val="1"/>
      <w:numFmt w:val="lowerRoman"/>
      <w:lvlText w:val="(%1)"/>
      <w:lvlJc w:val="left"/>
      <w:pPr>
        <w:ind w:left="3960" w:hanging="720"/>
      </w:pPr>
      <w:rPr>
        <w:rFonts w:hint="default"/>
      </w:r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1">
    <w:nsid w:val="2C1A14D9"/>
    <w:multiLevelType w:val="hybridMultilevel"/>
    <w:tmpl w:val="B106B33E"/>
    <w:lvl w:ilvl="0" w:tplc="EDAA2286">
      <w:start w:val="1"/>
      <w:numFmt w:val="decimal"/>
      <w:lvlText w:val="(%1)"/>
      <w:lvlJc w:val="left"/>
      <w:pPr>
        <w:ind w:left="2520"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nsid w:val="31733581"/>
    <w:multiLevelType w:val="hybridMultilevel"/>
    <w:tmpl w:val="84344BBA"/>
    <w:lvl w:ilvl="0" w:tplc="0418833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676085A"/>
    <w:multiLevelType w:val="hybridMultilevel"/>
    <w:tmpl w:val="FB00D8B0"/>
    <w:lvl w:ilvl="0" w:tplc="DFAE9978">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4">
    <w:nsid w:val="44912A88"/>
    <w:multiLevelType w:val="hybridMultilevel"/>
    <w:tmpl w:val="89F60B8C"/>
    <w:lvl w:ilvl="0" w:tplc="7CAE816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D4717F"/>
    <w:multiLevelType w:val="multilevel"/>
    <w:tmpl w:val="7FFEB7B2"/>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rPr>
    </w:lvl>
    <w:lvl w:ilvl="2">
      <w:numFmt w:val="lowerLetter"/>
      <w:isLgl/>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54481748"/>
    <w:multiLevelType w:val="hybridMultilevel"/>
    <w:tmpl w:val="2E443CE0"/>
    <w:lvl w:ilvl="0" w:tplc="3F5C1E78">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7809521E"/>
    <w:multiLevelType w:val="hybridMultilevel"/>
    <w:tmpl w:val="342A8FD2"/>
    <w:lvl w:ilvl="0" w:tplc="47AE2C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B4EBC04">
      <w:start w:val="1"/>
      <w:numFmt w:val="decimal"/>
      <w:lvlText w:val="(%4)"/>
      <w:lvlJc w:val="left"/>
      <w:pPr>
        <w:ind w:left="3240" w:hanging="720"/>
      </w:pPr>
      <w:rPr>
        <w:rFonts w:hint="default"/>
      </w:rPr>
    </w:lvl>
    <w:lvl w:ilvl="4" w:tplc="F260F02A">
      <w:start w:val="1"/>
      <w:numFmt w:val="lowerLetter"/>
      <w:lvlText w:val="(%5)"/>
      <w:lvlJc w:val="left"/>
      <w:pPr>
        <w:ind w:left="3960" w:hanging="72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08A"/>
    <w:rsid w:val="000000B7"/>
    <w:rsid w:val="00000E1E"/>
    <w:rsid w:val="0000225D"/>
    <w:rsid w:val="0000276E"/>
    <w:rsid w:val="00004698"/>
    <w:rsid w:val="000048EA"/>
    <w:rsid w:val="0000550D"/>
    <w:rsid w:val="0000626C"/>
    <w:rsid w:val="0000715E"/>
    <w:rsid w:val="0000790E"/>
    <w:rsid w:val="0001184B"/>
    <w:rsid w:val="00011887"/>
    <w:rsid w:val="0001256E"/>
    <w:rsid w:val="000129FD"/>
    <w:rsid w:val="00013C2D"/>
    <w:rsid w:val="000143CB"/>
    <w:rsid w:val="00014CD2"/>
    <w:rsid w:val="00015433"/>
    <w:rsid w:val="000176FB"/>
    <w:rsid w:val="0002146E"/>
    <w:rsid w:val="000237B6"/>
    <w:rsid w:val="00023C2F"/>
    <w:rsid w:val="0002499D"/>
    <w:rsid w:val="000253BE"/>
    <w:rsid w:val="00032086"/>
    <w:rsid w:val="00032349"/>
    <w:rsid w:val="00032DD6"/>
    <w:rsid w:val="00033663"/>
    <w:rsid w:val="00033750"/>
    <w:rsid w:val="000342E0"/>
    <w:rsid w:val="00035169"/>
    <w:rsid w:val="000354E3"/>
    <w:rsid w:val="000365BA"/>
    <w:rsid w:val="0003708A"/>
    <w:rsid w:val="0004218F"/>
    <w:rsid w:val="00043611"/>
    <w:rsid w:val="00045246"/>
    <w:rsid w:val="00051FB6"/>
    <w:rsid w:val="000524A4"/>
    <w:rsid w:val="000531C5"/>
    <w:rsid w:val="00053DF4"/>
    <w:rsid w:val="00054250"/>
    <w:rsid w:val="0005773E"/>
    <w:rsid w:val="00060707"/>
    <w:rsid w:val="0006452E"/>
    <w:rsid w:val="00065235"/>
    <w:rsid w:val="00071642"/>
    <w:rsid w:val="00077613"/>
    <w:rsid w:val="00083E20"/>
    <w:rsid w:val="00085D1C"/>
    <w:rsid w:val="0009019B"/>
    <w:rsid w:val="00090D77"/>
    <w:rsid w:val="00097E51"/>
    <w:rsid w:val="000A0020"/>
    <w:rsid w:val="000A137A"/>
    <w:rsid w:val="000A1CE7"/>
    <w:rsid w:val="000A2D62"/>
    <w:rsid w:val="000A4223"/>
    <w:rsid w:val="000A45E1"/>
    <w:rsid w:val="000A4B50"/>
    <w:rsid w:val="000A6102"/>
    <w:rsid w:val="000B23C9"/>
    <w:rsid w:val="000B3812"/>
    <w:rsid w:val="000B46B3"/>
    <w:rsid w:val="000B4EBE"/>
    <w:rsid w:val="000B5DB3"/>
    <w:rsid w:val="000B5E81"/>
    <w:rsid w:val="000C3605"/>
    <w:rsid w:val="000D1C68"/>
    <w:rsid w:val="000E0303"/>
    <w:rsid w:val="000E07B6"/>
    <w:rsid w:val="000E0E32"/>
    <w:rsid w:val="000E4D45"/>
    <w:rsid w:val="000E5C67"/>
    <w:rsid w:val="000E5E5C"/>
    <w:rsid w:val="000E6B46"/>
    <w:rsid w:val="000E73C2"/>
    <w:rsid w:val="000F0A91"/>
    <w:rsid w:val="000F1436"/>
    <w:rsid w:val="000F558F"/>
    <w:rsid w:val="000F6E3E"/>
    <w:rsid w:val="000F7307"/>
    <w:rsid w:val="000F752C"/>
    <w:rsid w:val="00100257"/>
    <w:rsid w:val="00100A42"/>
    <w:rsid w:val="00100E08"/>
    <w:rsid w:val="00101C68"/>
    <w:rsid w:val="00101F81"/>
    <w:rsid w:val="001054D7"/>
    <w:rsid w:val="001069E3"/>
    <w:rsid w:val="00110652"/>
    <w:rsid w:val="00112B45"/>
    <w:rsid w:val="00113070"/>
    <w:rsid w:val="00114AA8"/>
    <w:rsid w:val="001163A0"/>
    <w:rsid w:val="00122056"/>
    <w:rsid w:val="001228C3"/>
    <w:rsid w:val="00123A4F"/>
    <w:rsid w:val="001254C0"/>
    <w:rsid w:val="00127DDF"/>
    <w:rsid w:val="0013206F"/>
    <w:rsid w:val="001351E1"/>
    <w:rsid w:val="00137E5B"/>
    <w:rsid w:val="00141471"/>
    <w:rsid w:val="00141BA5"/>
    <w:rsid w:val="001434B7"/>
    <w:rsid w:val="00147BE3"/>
    <w:rsid w:val="001504F5"/>
    <w:rsid w:val="001510C9"/>
    <w:rsid w:val="0015303A"/>
    <w:rsid w:val="001537B1"/>
    <w:rsid w:val="00153900"/>
    <w:rsid w:val="00153C6C"/>
    <w:rsid w:val="00154FE8"/>
    <w:rsid w:val="00156331"/>
    <w:rsid w:val="00157670"/>
    <w:rsid w:val="00157C11"/>
    <w:rsid w:val="00160E8C"/>
    <w:rsid w:val="00161520"/>
    <w:rsid w:val="00161EAC"/>
    <w:rsid w:val="00162A10"/>
    <w:rsid w:val="00162E01"/>
    <w:rsid w:val="00163945"/>
    <w:rsid w:val="00166852"/>
    <w:rsid w:val="00166D39"/>
    <w:rsid w:val="001709DA"/>
    <w:rsid w:val="00171616"/>
    <w:rsid w:val="00172552"/>
    <w:rsid w:val="00172679"/>
    <w:rsid w:val="001726CB"/>
    <w:rsid w:val="00182177"/>
    <w:rsid w:val="0018237E"/>
    <w:rsid w:val="00182F56"/>
    <w:rsid w:val="001874A0"/>
    <w:rsid w:val="001877CE"/>
    <w:rsid w:val="00187CF7"/>
    <w:rsid w:val="00191C60"/>
    <w:rsid w:val="00192C60"/>
    <w:rsid w:val="00193790"/>
    <w:rsid w:val="0019528E"/>
    <w:rsid w:val="0019581A"/>
    <w:rsid w:val="001A04A6"/>
    <w:rsid w:val="001A1A97"/>
    <w:rsid w:val="001A32A1"/>
    <w:rsid w:val="001A45CB"/>
    <w:rsid w:val="001A5529"/>
    <w:rsid w:val="001A7AA3"/>
    <w:rsid w:val="001B595C"/>
    <w:rsid w:val="001B6539"/>
    <w:rsid w:val="001B74CB"/>
    <w:rsid w:val="001B7F0C"/>
    <w:rsid w:val="001C0B07"/>
    <w:rsid w:val="001C1D42"/>
    <w:rsid w:val="001C3C22"/>
    <w:rsid w:val="001C5C3F"/>
    <w:rsid w:val="001C61B0"/>
    <w:rsid w:val="001C6513"/>
    <w:rsid w:val="001C6A9E"/>
    <w:rsid w:val="001D268F"/>
    <w:rsid w:val="001D369B"/>
    <w:rsid w:val="001D42BC"/>
    <w:rsid w:val="001D54F7"/>
    <w:rsid w:val="001D68E0"/>
    <w:rsid w:val="001E1E2A"/>
    <w:rsid w:val="001E3E3B"/>
    <w:rsid w:val="001F046F"/>
    <w:rsid w:val="001F0714"/>
    <w:rsid w:val="001F07AA"/>
    <w:rsid w:val="001F2206"/>
    <w:rsid w:val="001F5000"/>
    <w:rsid w:val="001F7AC0"/>
    <w:rsid w:val="00201AAB"/>
    <w:rsid w:val="00202760"/>
    <w:rsid w:val="00205E14"/>
    <w:rsid w:val="00207236"/>
    <w:rsid w:val="00210985"/>
    <w:rsid w:val="00211824"/>
    <w:rsid w:val="002129F3"/>
    <w:rsid w:val="00212EFE"/>
    <w:rsid w:val="002160A6"/>
    <w:rsid w:val="00220F06"/>
    <w:rsid w:val="00224C7A"/>
    <w:rsid w:val="00225468"/>
    <w:rsid w:val="00230D9B"/>
    <w:rsid w:val="0023175E"/>
    <w:rsid w:val="0024138B"/>
    <w:rsid w:val="002427D2"/>
    <w:rsid w:val="002430B3"/>
    <w:rsid w:val="00244C1C"/>
    <w:rsid w:val="0024758E"/>
    <w:rsid w:val="002476E5"/>
    <w:rsid w:val="00250735"/>
    <w:rsid w:val="00252F3C"/>
    <w:rsid w:val="0025443B"/>
    <w:rsid w:val="00255339"/>
    <w:rsid w:val="00256659"/>
    <w:rsid w:val="00256E6C"/>
    <w:rsid w:val="00257022"/>
    <w:rsid w:val="002577D5"/>
    <w:rsid w:val="00257C37"/>
    <w:rsid w:val="00261BBA"/>
    <w:rsid w:val="00261F33"/>
    <w:rsid w:val="00262CBD"/>
    <w:rsid w:val="0026738B"/>
    <w:rsid w:val="00267732"/>
    <w:rsid w:val="0027076B"/>
    <w:rsid w:val="00271479"/>
    <w:rsid w:val="00272322"/>
    <w:rsid w:val="0027560C"/>
    <w:rsid w:val="00275D74"/>
    <w:rsid w:val="00276B46"/>
    <w:rsid w:val="00276F7E"/>
    <w:rsid w:val="002804C0"/>
    <w:rsid w:val="002810C8"/>
    <w:rsid w:val="0028389F"/>
    <w:rsid w:val="00284DBC"/>
    <w:rsid w:val="002903FA"/>
    <w:rsid w:val="00290DE0"/>
    <w:rsid w:val="00290ECE"/>
    <w:rsid w:val="00293820"/>
    <w:rsid w:val="00294EC9"/>
    <w:rsid w:val="00295BCA"/>
    <w:rsid w:val="00295C1F"/>
    <w:rsid w:val="002A3C9D"/>
    <w:rsid w:val="002A4B0B"/>
    <w:rsid w:val="002A6890"/>
    <w:rsid w:val="002A6CD4"/>
    <w:rsid w:val="002B0A20"/>
    <w:rsid w:val="002B34CC"/>
    <w:rsid w:val="002B4D20"/>
    <w:rsid w:val="002B6419"/>
    <w:rsid w:val="002B6470"/>
    <w:rsid w:val="002B7D3C"/>
    <w:rsid w:val="002C089D"/>
    <w:rsid w:val="002C548E"/>
    <w:rsid w:val="002C6185"/>
    <w:rsid w:val="002C7BF5"/>
    <w:rsid w:val="002D1FF8"/>
    <w:rsid w:val="002D5D0E"/>
    <w:rsid w:val="002D68E8"/>
    <w:rsid w:val="002E05AF"/>
    <w:rsid w:val="002E0DAE"/>
    <w:rsid w:val="002E140B"/>
    <w:rsid w:val="002E1860"/>
    <w:rsid w:val="002F104C"/>
    <w:rsid w:val="002F219F"/>
    <w:rsid w:val="002F2818"/>
    <w:rsid w:val="002F3466"/>
    <w:rsid w:val="002F3509"/>
    <w:rsid w:val="002F75D4"/>
    <w:rsid w:val="002F7E34"/>
    <w:rsid w:val="002F7E6E"/>
    <w:rsid w:val="00301C95"/>
    <w:rsid w:val="00302FF1"/>
    <w:rsid w:val="00304C4C"/>
    <w:rsid w:val="0030577B"/>
    <w:rsid w:val="00305A1C"/>
    <w:rsid w:val="00306889"/>
    <w:rsid w:val="003106AE"/>
    <w:rsid w:val="00310A9F"/>
    <w:rsid w:val="00310CBA"/>
    <w:rsid w:val="00316428"/>
    <w:rsid w:val="0031668C"/>
    <w:rsid w:val="00317801"/>
    <w:rsid w:val="00320D4E"/>
    <w:rsid w:val="00322576"/>
    <w:rsid w:val="003230ED"/>
    <w:rsid w:val="00323A7E"/>
    <w:rsid w:val="00326A8F"/>
    <w:rsid w:val="00327256"/>
    <w:rsid w:val="00333CD7"/>
    <w:rsid w:val="00335EBA"/>
    <w:rsid w:val="003375C2"/>
    <w:rsid w:val="00340CBB"/>
    <w:rsid w:val="00345FDF"/>
    <w:rsid w:val="003477B2"/>
    <w:rsid w:val="00347FCA"/>
    <w:rsid w:val="00350E51"/>
    <w:rsid w:val="00351DBB"/>
    <w:rsid w:val="00352674"/>
    <w:rsid w:val="00354B9F"/>
    <w:rsid w:val="00355583"/>
    <w:rsid w:val="00355F54"/>
    <w:rsid w:val="00356F56"/>
    <w:rsid w:val="00357C0B"/>
    <w:rsid w:val="00360189"/>
    <w:rsid w:val="00360AC4"/>
    <w:rsid w:val="0036311F"/>
    <w:rsid w:val="00374F1E"/>
    <w:rsid w:val="00375373"/>
    <w:rsid w:val="0037612F"/>
    <w:rsid w:val="00376392"/>
    <w:rsid w:val="00380A6D"/>
    <w:rsid w:val="0038431B"/>
    <w:rsid w:val="003847E2"/>
    <w:rsid w:val="003855D9"/>
    <w:rsid w:val="003858E8"/>
    <w:rsid w:val="00385DC5"/>
    <w:rsid w:val="00391025"/>
    <w:rsid w:val="00394BC6"/>
    <w:rsid w:val="0039641D"/>
    <w:rsid w:val="00396766"/>
    <w:rsid w:val="00397392"/>
    <w:rsid w:val="00397ED8"/>
    <w:rsid w:val="003A0823"/>
    <w:rsid w:val="003A2ECC"/>
    <w:rsid w:val="003A32E6"/>
    <w:rsid w:val="003A43F9"/>
    <w:rsid w:val="003A6E1A"/>
    <w:rsid w:val="003A7BD5"/>
    <w:rsid w:val="003A7D4E"/>
    <w:rsid w:val="003B0729"/>
    <w:rsid w:val="003B257A"/>
    <w:rsid w:val="003B2672"/>
    <w:rsid w:val="003B65F4"/>
    <w:rsid w:val="003C2AAB"/>
    <w:rsid w:val="003C3207"/>
    <w:rsid w:val="003C365F"/>
    <w:rsid w:val="003C5F40"/>
    <w:rsid w:val="003D164A"/>
    <w:rsid w:val="003D1BC7"/>
    <w:rsid w:val="003E1E17"/>
    <w:rsid w:val="003E6F85"/>
    <w:rsid w:val="003F00B2"/>
    <w:rsid w:val="003F0945"/>
    <w:rsid w:val="003F0F49"/>
    <w:rsid w:val="003F214D"/>
    <w:rsid w:val="003F256F"/>
    <w:rsid w:val="003F5975"/>
    <w:rsid w:val="003F7DDE"/>
    <w:rsid w:val="004021A0"/>
    <w:rsid w:val="004064A3"/>
    <w:rsid w:val="0041198F"/>
    <w:rsid w:val="0041249C"/>
    <w:rsid w:val="00413930"/>
    <w:rsid w:val="00413FD7"/>
    <w:rsid w:val="004148F1"/>
    <w:rsid w:val="00414F1E"/>
    <w:rsid w:val="00415B87"/>
    <w:rsid w:val="00415C83"/>
    <w:rsid w:val="004162BB"/>
    <w:rsid w:val="00416800"/>
    <w:rsid w:val="00420FBA"/>
    <w:rsid w:val="00422F6A"/>
    <w:rsid w:val="00424021"/>
    <w:rsid w:val="004245D3"/>
    <w:rsid w:val="00427EA9"/>
    <w:rsid w:val="004313C8"/>
    <w:rsid w:val="00431665"/>
    <w:rsid w:val="00431C21"/>
    <w:rsid w:val="004330DA"/>
    <w:rsid w:val="00433E99"/>
    <w:rsid w:val="00434C04"/>
    <w:rsid w:val="00435A08"/>
    <w:rsid w:val="00435B7C"/>
    <w:rsid w:val="00435F2E"/>
    <w:rsid w:val="004372DB"/>
    <w:rsid w:val="00442C6B"/>
    <w:rsid w:val="00442D9B"/>
    <w:rsid w:val="004434BC"/>
    <w:rsid w:val="004513B7"/>
    <w:rsid w:val="00451AFB"/>
    <w:rsid w:val="00451EFA"/>
    <w:rsid w:val="00453286"/>
    <w:rsid w:val="004602A2"/>
    <w:rsid w:val="004636CB"/>
    <w:rsid w:val="004641EA"/>
    <w:rsid w:val="0046744B"/>
    <w:rsid w:val="004677A9"/>
    <w:rsid w:val="004679AC"/>
    <w:rsid w:val="00470B0B"/>
    <w:rsid w:val="00470CB1"/>
    <w:rsid w:val="00474911"/>
    <w:rsid w:val="00474F0A"/>
    <w:rsid w:val="00475414"/>
    <w:rsid w:val="004765A4"/>
    <w:rsid w:val="00476B44"/>
    <w:rsid w:val="00477935"/>
    <w:rsid w:val="00480B2F"/>
    <w:rsid w:val="0048118C"/>
    <w:rsid w:val="00483D12"/>
    <w:rsid w:val="00485289"/>
    <w:rsid w:val="004870D1"/>
    <w:rsid w:val="00493077"/>
    <w:rsid w:val="00497265"/>
    <w:rsid w:val="00497C54"/>
    <w:rsid w:val="004A01AD"/>
    <w:rsid w:val="004A1BB9"/>
    <w:rsid w:val="004A254E"/>
    <w:rsid w:val="004A6BB7"/>
    <w:rsid w:val="004B10FE"/>
    <w:rsid w:val="004B3B74"/>
    <w:rsid w:val="004B51B2"/>
    <w:rsid w:val="004B5851"/>
    <w:rsid w:val="004B6B13"/>
    <w:rsid w:val="004B6F25"/>
    <w:rsid w:val="004C04F1"/>
    <w:rsid w:val="004C16F3"/>
    <w:rsid w:val="004C245D"/>
    <w:rsid w:val="004C39DE"/>
    <w:rsid w:val="004C5224"/>
    <w:rsid w:val="004C662A"/>
    <w:rsid w:val="004C6A93"/>
    <w:rsid w:val="004C7020"/>
    <w:rsid w:val="004C71EF"/>
    <w:rsid w:val="004D2425"/>
    <w:rsid w:val="004D71AD"/>
    <w:rsid w:val="004E0944"/>
    <w:rsid w:val="004E0F1C"/>
    <w:rsid w:val="004E11F3"/>
    <w:rsid w:val="004E2D27"/>
    <w:rsid w:val="004E386D"/>
    <w:rsid w:val="004E3DF7"/>
    <w:rsid w:val="004E460D"/>
    <w:rsid w:val="004E7A26"/>
    <w:rsid w:val="004F0EE4"/>
    <w:rsid w:val="004F2C35"/>
    <w:rsid w:val="004F37E4"/>
    <w:rsid w:val="005007B0"/>
    <w:rsid w:val="00501FBD"/>
    <w:rsid w:val="005029DF"/>
    <w:rsid w:val="00503B00"/>
    <w:rsid w:val="005044D3"/>
    <w:rsid w:val="00504C1F"/>
    <w:rsid w:val="00505BED"/>
    <w:rsid w:val="00505F63"/>
    <w:rsid w:val="00511565"/>
    <w:rsid w:val="005128B9"/>
    <w:rsid w:val="00512C3A"/>
    <w:rsid w:val="005140ED"/>
    <w:rsid w:val="00517A2A"/>
    <w:rsid w:val="00517A36"/>
    <w:rsid w:val="0052365A"/>
    <w:rsid w:val="0052463F"/>
    <w:rsid w:val="005350B0"/>
    <w:rsid w:val="005354A5"/>
    <w:rsid w:val="005375CB"/>
    <w:rsid w:val="0054024A"/>
    <w:rsid w:val="0054179B"/>
    <w:rsid w:val="00541928"/>
    <w:rsid w:val="00541AD8"/>
    <w:rsid w:val="00542680"/>
    <w:rsid w:val="00543D9A"/>
    <w:rsid w:val="00544610"/>
    <w:rsid w:val="005468A7"/>
    <w:rsid w:val="00546D79"/>
    <w:rsid w:val="005477DD"/>
    <w:rsid w:val="005502B1"/>
    <w:rsid w:val="00551085"/>
    <w:rsid w:val="00551C20"/>
    <w:rsid w:val="00552A10"/>
    <w:rsid w:val="00554362"/>
    <w:rsid w:val="0055477E"/>
    <w:rsid w:val="00554C98"/>
    <w:rsid w:val="00554E73"/>
    <w:rsid w:val="0055624C"/>
    <w:rsid w:val="0055642F"/>
    <w:rsid w:val="00556DCF"/>
    <w:rsid w:val="00560D92"/>
    <w:rsid w:val="00562657"/>
    <w:rsid w:val="00562883"/>
    <w:rsid w:val="00562A13"/>
    <w:rsid w:val="00562B7A"/>
    <w:rsid w:val="005633ED"/>
    <w:rsid w:val="005657FF"/>
    <w:rsid w:val="005668D7"/>
    <w:rsid w:val="005678FE"/>
    <w:rsid w:val="00567AFE"/>
    <w:rsid w:val="0057243C"/>
    <w:rsid w:val="0057303C"/>
    <w:rsid w:val="005732D2"/>
    <w:rsid w:val="00573E49"/>
    <w:rsid w:val="00573FEC"/>
    <w:rsid w:val="005751F6"/>
    <w:rsid w:val="0058047D"/>
    <w:rsid w:val="00580A4C"/>
    <w:rsid w:val="00581A72"/>
    <w:rsid w:val="005824B7"/>
    <w:rsid w:val="0058382B"/>
    <w:rsid w:val="00583869"/>
    <w:rsid w:val="005852C4"/>
    <w:rsid w:val="005866E3"/>
    <w:rsid w:val="00587B10"/>
    <w:rsid w:val="00594ADD"/>
    <w:rsid w:val="00595D8E"/>
    <w:rsid w:val="00596AC1"/>
    <w:rsid w:val="00596C78"/>
    <w:rsid w:val="005A228B"/>
    <w:rsid w:val="005A3030"/>
    <w:rsid w:val="005A3F20"/>
    <w:rsid w:val="005A417F"/>
    <w:rsid w:val="005A4DE6"/>
    <w:rsid w:val="005A51BC"/>
    <w:rsid w:val="005A5C20"/>
    <w:rsid w:val="005A7712"/>
    <w:rsid w:val="005A7A45"/>
    <w:rsid w:val="005B1BEA"/>
    <w:rsid w:val="005B2A12"/>
    <w:rsid w:val="005B3822"/>
    <w:rsid w:val="005B5B36"/>
    <w:rsid w:val="005B78FE"/>
    <w:rsid w:val="005C3312"/>
    <w:rsid w:val="005C48A9"/>
    <w:rsid w:val="005C49BF"/>
    <w:rsid w:val="005C5CED"/>
    <w:rsid w:val="005D1400"/>
    <w:rsid w:val="005D2595"/>
    <w:rsid w:val="005D481A"/>
    <w:rsid w:val="005D5CA7"/>
    <w:rsid w:val="005D6EAE"/>
    <w:rsid w:val="005D73B5"/>
    <w:rsid w:val="005E03CE"/>
    <w:rsid w:val="005E2888"/>
    <w:rsid w:val="005E2E80"/>
    <w:rsid w:val="005E4E49"/>
    <w:rsid w:val="005E4FFF"/>
    <w:rsid w:val="005E5940"/>
    <w:rsid w:val="005E6E4A"/>
    <w:rsid w:val="005F6492"/>
    <w:rsid w:val="005F72C6"/>
    <w:rsid w:val="005F75B0"/>
    <w:rsid w:val="00603463"/>
    <w:rsid w:val="006054C9"/>
    <w:rsid w:val="006106C5"/>
    <w:rsid w:val="00613D41"/>
    <w:rsid w:val="00613F69"/>
    <w:rsid w:val="006145DB"/>
    <w:rsid w:val="006147AF"/>
    <w:rsid w:val="00614EE8"/>
    <w:rsid w:val="0062095C"/>
    <w:rsid w:val="00623B13"/>
    <w:rsid w:val="00627CAE"/>
    <w:rsid w:val="006326DD"/>
    <w:rsid w:val="006341A7"/>
    <w:rsid w:val="006356FF"/>
    <w:rsid w:val="006357DE"/>
    <w:rsid w:val="006358C3"/>
    <w:rsid w:val="00635A63"/>
    <w:rsid w:val="00635F44"/>
    <w:rsid w:val="00636728"/>
    <w:rsid w:val="0063722E"/>
    <w:rsid w:val="00637A6B"/>
    <w:rsid w:val="00637D7C"/>
    <w:rsid w:val="00641D84"/>
    <w:rsid w:val="006429B4"/>
    <w:rsid w:val="00646B38"/>
    <w:rsid w:val="00646CC9"/>
    <w:rsid w:val="006475A9"/>
    <w:rsid w:val="00650055"/>
    <w:rsid w:val="00651589"/>
    <w:rsid w:val="006518FD"/>
    <w:rsid w:val="0065206B"/>
    <w:rsid w:val="00652DA8"/>
    <w:rsid w:val="00653861"/>
    <w:rsid w:val="00653902"/>
    <w:rsid w:val="00653C78"/>
    <w:rsid w:val="00655676"/>
    <w:rsid w:val="00655BD2"/>
    <w:rsid w:val="006562E5"/>
    <w:rsid w:val="006564A3"/>
    <w:rsid w:val="006568AC"/>
    <w:rsid w:val="00657A8D"/>
    <w:rsid w:val="006625CD"/>
    <w:rsid w:val="0066391D"/>
    <w:rsid w:val="00664229"/>
    <w:rsid w:val="006653AE"/>
    <w:rsid w:val="00665FCC"/>
    <w:rsid w:val="00666099"/>
    <w:rsid w:val="006660D3"/>
    <w:rsid w:val="00674950"/>
    <w:rsid w:val="00676487"/>
    <w:rsid w:val="006807DF"/>
    <w:rsid w:val="00681207"/>
    <w:rsid w:val="00681794"/>
    <w:rsid w:val="00682B6B"/>
    <w:rsid w:val="00683577"/>
    <w:rsid w:val="006848DC"/>
    <w:rsid w:val="0068542E"/>
    <w:rsid w:val="006913EA"/>
    <w:rsid w:val="0069176D"/>
    <w:rsid w:val="0069231C"/>
    <w:rsid w:val="0069572A"/>
    <w:rsid w:val="00695923"/>
    <w:rsid w:val="00696E25"/>
    <w:rsid w:val="006A18ED"/>
    <w:rsid w:val="006A2ED7"/>
    <w:rsid w:val="006A4D2A"/>
    <w:rsid w:val="006A72EC"/>
    <w:rsid w:val="006B0624"/>
    <w:rsid w:val="006B0C48"/>
    <w:rsid w:val="006B1E9D"/>
    <w:rsid w:val="006B2202"/>
    <w:rsid w:val="006B4CF7"/>
    <w:rsid w:val="006B5744"/>
    <w:rsid w:val="006B7E7F"/>
    <w:rsid w:val="006C00E2"/>
    <w:rsid w:val="006C32F3"/>
    <w:rsid w:val="006C4C68"/>
    <w:rsid w:val="006C5A8B"/>
    <w:rsid w:val="006C5F16"/>
    <w:rsid w:val="006C622D"/>
    <w:rsid w:val="006C69D4"/>
    <w:rsid w:val="006C6F44"/>
    <w:rsid w:val="006D099B"/>
    <w:rsid w:val="006D1F15"/>
    <w:rsid w:val="006D2611"/>
    <w:rsid w:val="006D46A6"/>
    <w:rsid w:val="006D4FA3"/>
    <w:rsid w:val="006D7060"/>
    <w:rsid w:val="006E09F5"/>
    <w:rsid w:val="006E1B93"/>
    <w:rsid w:val="006E2B05"/>
    <w:rsid w:val="006E4B1C"/>
    <w:rsid w:val="006E5977"/>
    <w:rsid w:val="006E5A8A"/>
    <w:rsid w:val="006E6D50"/>
    <w:rsid w:val="006E7FFE"/>
    <w:rsid w:val="006F20EA"/>
    <w:rsid w:val="006F679A"/>
    <w:rsid w:val="006F6FBB"/>
    <w:rsid w:val="00700611"/>
    <w:rsid w:val="007017E5"/>
    <w:rsid w:val="00701C39"/>
    <w:rsid w:val="00701E81"/>
    <w:rsid w:val="007040DF"/>
    <w:rsid w:val="00705D77"/>
    <w:rsid w:val="00706843"/>
    <w:rsid w:val="00706B69"/>
    <w:rsid w:val="00707508"/>
    <w:rsid w:val="0070770C"/>
    <w:rsid w:val="00707CEF"/>
    <w:rsid w:val="007101F8"/>
    <w:rsid w:val="00710312"/>
    <w:rsid w:val="0071312B"/>
    <w:rsid w:val="0071341B"/>
    <w:rsid w:val="0071505C"/>
    <w:rsid w:val="00715237"/>
    <w:rsid w:val="00715847"/>
    <w:rsid w:val="00717E9B"/>
    <w:rsid w:val="00721D6D"/>
    <w:rsid w:val="00721E23"/>
    <w:rsid w:val="00724620"/>
    <w:rsid w:val="00730503"/>
    <w:rsid w:val="0073065C"/>
    <w:rsid w:val="00731007"/>
    <w:rsid w:val="00732DD4"/>
    <w:rsid w:val="007346B4"/>
    <w:rsid w:val="00740A36"/>
    <w:rsid w:val="007418FB"/>
    <w:rsid w:val="00743496"/>
    <w:rsid w:val="007460C4"/>
    <w:rsid w:val="007518D0"/>
    <w:rsid w:val="00751A79"/>
    <w:rsid w:val="00751ACC"/>
    <w:rsid w:val="00751DA6"/>
    <w:rsid w:val="00752DBA"/>
    <w:rsid w:val="007536EF"/>
    <w:rsid w:val="0075508F"/>
    <w:rsid w:val="00755AE0"/>
    <w:rsid w:val="00756EDE"/>
    <w:rsid w:val="00757BF2"/>
    <w:rsid w:val="00760708"/>
    <w:rsid w:val="00761511"/>
    <w:rsid w:val="00762376"/>
    <w:rsid w:val="0076297B"/>
    <w:rsid w:val="00764038"/>
    <w:rsid w:val="00765396"/>
    <w:rsid w:val="00770BDD"/>
    <w:rsid w:val="00772D90"/>
    <w:rsid w:val="0077485B"/>
    <w:rsid w:val="007751EC"/>
    <w:rsid w:val="0077574F"/>
    <w:rsid w:val="00777C84"/>
    <w:rsid w:val="00782DD3"/>
    <w:rsid w:val="00783064"/>
    <w:rsid w:val="00783816"/>
    <w:rsid w:val="0078416C"/>
    <w:rsid w:val="00792073"/>
    <w:rsid w:val="00794A37"/>
    <w:rsid w:val="00796BFD"/>
    <w:rsid w:val="00796DB4"/>
    <w:rsid w:val="007A24A2"/>
    <w:rsid w:val="007A3D12"/>
    <w:rsid w:val="007A5359"/>
    <w:rsid w:val="007A72A0"/>
    <w:rsid w:val="007A79C3"/>
    <w:rsid w:val="007B0FDC"/>
    <w:rsid w:val="007B1EEC"/>
    <w:rsid w:val="007B4799"/>
    <w:rsid w:val="007C1D32"/>
    <w:rsid w:val="007C26AF"/>
    <w:rsid w:val="007C314C"/>
    <w:rsid w:val="007C419A"/>
    <w:rsid w:val="007C43DE"/>
    <w:rsid w:val="007C5303"/>
    <w:rsid w:val="007C580B"/>
    <w:rsid w:val="007C7479"/>
    <w:rsid w:val="007C7B5F"/>
    <w:rsid w:val="007D0C8A"/>
    <w:rsid w:val="007D24A0"/>
    <w:rsid w:val="007D2534"/>
    <w:rsid w:val="007D2BFF"/>
    <w:rsid w:val="007D2E2D"/>
    <w:rsid w:val="007D38CD"/>
    <w:rsid w:val="007D5399"/>
    <w:rsid w:val="007E07D8"/>
    <w:rsid w:val="007E0EB6"/>
    <w:rsid w:val="007E2235"/>
    <w:rsid w:val="007E2911"/>
    <w:rsid w:val="007E3AA2"/>
    <w:rsid w:val="007E3AC1"/>
    <w:rsid w:val="007E42D3"/>
    <w:rsid w:val="007E4E00"/>
    <w:rsid w:val="007E69C1"/>
    <w:rsid w:val="007E7472"/>
    <w:rsid w:val="007F1A02"/>
    <w:rsid w:val="007F3ABD"/>
    <w:rsid w:val="007F48DF"/>
    <w:rsid w:val="007F5CB6"/>
    <w:rsid w:val="00801C5E"/>
    <w:rsid w:val="008033B0"/>
    <w:rsid w:val="008042E6"/>
    <w:rsid w:val="008052D6"/>
    <w:rsid w:val="008057DE"/>
    <w:rsid w:val="008059D4"/>
    <w:rsid w:val="00806C92"/>
    <w:rsid w:val="00806D82"/>
    <w:rsid w:val="00807FF7"/>
    <w:rsid w:val="0081213E"/>
    <w:rsid w:val="00812538"/>
    <w:rsid w:val="00812DB7"/>
    <w:rsid w:val="00821197"/>
    <w:rsid w:val="008236B5"/>
    <w:rsid w:val="008255DC"/>
    <w:rsid w:val="00825DB9"/>
    <w:rsid w:val="008302AB"/>
    <w:rsid w:val="008325AC"/>
    <w:rsid w:val="008327CB"/>
    <w:rsid w:val="008336AB"/>
    <w:rsid w:val="008338BE"/>
    <w:rsid w:val="0083584F"/>
    <w:rsid w:val="008439D1"/>
    <w:rsid w:val="00844257"/>
    <w:rsid w:val="0085211E"/>
    <w:rsid w:val="00854980"/>
    <w:rsid w:val="00855539"/>
    <w:rsid w:val="00860457"/>
    <w:rsid w:val="0086126A"/>
    <w:rsid w:val="00862DE1"/>
    <w:rsid w:val="008648A9"/>
    <w:rsid w:val="00864B0C"/>
    <w:rsid w:val="00866F6B"/>
    <w:rsid w:val="00867FEA"/>
    <w:rsid w:val="00872B7A"/>
    <w:rsid w:val="00873252"/>
    <w:rsid w:val="0087421A"/>
    <w:rsid w:val="00877BBB"/>
    <w:rsid w:val="008812C0"/>
    <w:rsid w:val="008812C9"/>
    <w:rsid w:val="00881511"/>
    <w:rsid w:val="00881755"/>
    <w:rsid w:val="00881FCC"/>
    <w:rsid w:val="00883641"/>
    <w:rsid w:val="00884358"/>
    <w:rsid w:val="00885009"/>
    <w:rsid w:val="00890D8E"/>
    <w:rsid w:val="00890E00"/>
    <w:rsid w:val="008955A5"/>
    <w:rsid w:val="008964BB"/>
    <w:rsid w:val="008A2874"/>
    <w:rsid w:val="008A5F8F"/>
    <w:rsid w:val="008B3B58"/>
    <w:rsid w:val="008B73DC"/>
    <w:rsid w:val="008C0B9D"/>
    <w:rsid w:val="008C0E0C"/>
    <w:rsid w:val="008C3983"/>
    <w:rsid w:val="008C45F6"/>
    <w:rsid w:val="008D006E"/>
    <w:rsid w:val="008D0510"/>
    <w:rsid w:val="008D0A30"/>
    <w:rsid w:val="008D1C97"/>
    <w:rsid w:val="008D52D9"/>
    <w:rsid w:val="008D7B58"/>
    <w:rsid w:val="008D7F8A"/>
    <w:rsid w:val="008E2B09"/>
    <w:rsid w:val="008E45E2"/>
    <w:rsid w:val="008E4D4E"/>
    <w:rsid w:val="008E4E85"/>
    <w:rsid w:val="008E51F4"/>
    <w:rsid w:val="008E5AB1"/>
    <w:rsid w:val="008F0FA8"/>
    <w:rsid w:val="008F251B"/>
    <w:rsid w:val="008F3DD1"/>
    <w:rsid w:val="008F4915"/>
    <w:rsid w:val="008F6ECE"/>
    <w:rsid w:val="008F7425"/>
    <w:rsid w:val="009000C9"/>
    <w:rsid w:val="00901559"/>
    <w:rsid w:val="0090179C"/>
    <w:rsid w:val="009059CB"/>
    <w:rsid w:val="00907BC5"/>
    <w:rsid w:val="00910328"/>
    <w:rsid w:val="0091305D"/>
    <w:rsid w:val="009151D4"/>
    <w:rsid w:val="0091624C"/>
    <w:rsid w:val="00920EE1"/>
    <w:rsid w:val="009219D1"/>
    <w:rsid w:val="009229AE"/>
    <w:rsid w:val="0092340D"/>
    <w:rsid w:val="009254D7"/>
    <w:rsid w:val="00932255"/>
    <w:rsid w:val="00932919"/>
    <w:rsid w:val="00932A69"/>
    <w:rsid w:val="00933AF1"/>
    <w:rsid w:val="00934563"/>
    <w:rsid w:val="00936D22"/>
    <w:rsid w:val="00937EA7"/>
    <w:rsid w:val="0094113C"/>
    <w:rsid w:val="00941253"/>
    <w:rsid w:val="0094136C"/>
    <w:rsid w:val="00941AFE"/>
    <w:rsid w:val="0094395C"/>
    <w:rsid w:val="0094749B"/>
    <w:rsid w:val="00950721"/>
    <w:rsid w:val="00952905"/>
    <w:rsid w:val="00954159"/>
    <w:rsid w:val="0095514D"/>
    <w:rsid w:val="0095621D"/>
    <w:rsid w:val="00956C35"/>
    <w:rsid w:val="00960D1F"/>
    <w:rsid w:val="0096207C"/>
    <w:rsid w:val="0096386F"/>
    <w:rsid w:val="00964439"/>
    <w:rsid w:val="00965700"/>
    <w:rsid w:val="00966B58"/>
    <w:rsid w:val="00967831"/>
    <w:rsid w:val="0097054F"/>
    <w:rsid w:val="00973C00"/>
    <w:rsid w:val="00973E0F"/>
    <w:rsid w:val="0097445E"/>
    <w:rsid w:val="00976A77"/>
    <w:rsid w:val="00976F56"/>
    <w:rsid w:val="00981946"/>
    <w:rsid w:val="009824F6"/>
    <w:rsid w:val="009824FA"/>
    <w:rsid w:val="009828E5"/>
    <w:rsid w:val="00982EDF"/>
    <w:rsid w:val="009836BD"/>
    <w:rsid w:val="00983E1C"/>
    <w:rsid w:val="00984289"/>
    <w:rsid w:val="00984390"/>
    <w:rsid w:val="00987173"/>
    <w:rsid w:val="00992B06"/>
    <w:rsid w:val="009969E2"/>
    <w:rsid w:val="00996DAC"/>
    <w:rsid w:val="0099716A"/>
    <w:rsid w:val="009976D7"/>
    <w:rsid w:val="009A2214"/>
    <w:rsid w:val="009A28F1"/>
    <w:rsid w:val="009A2F92"/>
    <w:rsid w:val="009A388B"/>
    <w:rsid w:val="009A3D9F"/>
    <w:rsid w:val="009A48E7"/>
    <w:rsid w:val="009A5036"/>
    <w:rsid w:val="009A5C7E"/>
    <w:rsid w:val="009A60D8"/>
    <w:rsid w:val="009A6995"/>
    <w:rsid w:val="009B057C"/>
    <w:rsid w:val="009B18DF"/>
    <w:rsid w:val="009B2CDE"/>
    <w:rsid w:val="009B2F38"/>
    <w:rsid w:val="009C2A7B"/>
    <w:rsid w:val="009C3043"/>
    <w:rsid w:val="009C33CF"/>
    <w:rsid w:val="009C58FB"/>
    <w:rsid w:val="009C7615"/>
    <w:rsid w:val="009D122A"/>
    <w:rsid w:val="009D40CE"/>
    <w:rsid w:val="009D5A02"/>
    <w:rsid w:val="009D76C7"/>
    <w:rsid w:val="009E0CB1"/>
    <w:rsid w:val="009E1C7D"/>
    <w:rsid w:val="009E20AC"/>
    <w:rsid w:val="009E20B2"/>
    <w:rsid w:val="009F1AE5"/>
    <w:rsid w:val="009F1CBA"/>
    <w:rsid w:val="009F2C84"/>
    <w:rsid w:val="009F33F0"/>
    <w:rsid w:val="009F3C9F"/>
    <w:rsid w:val="009F6479"/>
    <w:rsid w:val="009F67DF"/>
    <w:rsid w:val="009F681D"/>
    <w:rsid w:val="009F6950"/>
    <w:rsid w:val="00A008D2"/>
    <w:rsid w:val="00A02E6A"/>
    <w:rsid w:val="00A05154"/>
    <w:rsid w:val="00A0545A"/>
    <w:rsid w:val="00A05DB4"/>
    <w:rsid w:val="00A07A3B"/>
    <w:rsid w:val="00A11A3A"/>
    <w:rsid w:val="00A12EC7"/>
    <w:rsid w:val="00A164A6"/>
    <w:rsid w:val="00A170DE"/>
    <w:rsid w:val="00A20FF5"/>
    <w:rsid w:val="00A23534"/>
    <w:rsid w:val="00A24678"/>
    <w:rsid w:val="00A24F72"/>
    <w:rsid w:val="00A2559D"/>
    <w:rsid w:val="00A25CF3"/>
    <w:rsid w:val="00A31321"/>
    <w:rsid w:val="00A32C85"/>
    <w:rsid w:val="00A4124E"/>
    <w:rsid w:val="00A41EBB"/>
    <w:rsid w:val="00A44B4E"/>
    <w:rsid w:val="00A466BA"/>
    <w:rsid w:val="00A47134"/>
    <w:rsid w:val="00A51FF1"/>
    <w:rsid w:val="00A52A72"/>
    <w:rsid w:val="00A52F93"/>
    <w:rsid w:val="00A54B8D"/>
    <w:rsid w:val="00A5501E"/>
    <w:rsid w:val="00A5540A"/>
    <w:rsid w:val="00A60A92"/>
    <w:rsid w:val="00A62161"/>
    <w:rsid w:val="00A62167"/>
    <w:rsid w:val="00A628B3"/>
    <w:rsid w:val="00A6554D"/>
    <w:rsid w:val="00A70039"/>
    <w:rsid w:val="00A7030F"/>
    <w:rsid w:val="00A70DC9"/>
    <w:rsid w:val="00A72FE4"/>
    <w:rsid w:val="00A756BF"/>
    <w:rsid w:val="00A7608F"/>
    <w:rsid w:val="00A76EF5"/>
    <w:rsid w:val="00A77408"/>
    <w:rsid w:val="00A80A73"/>
    <w:rsid w:val="00A80E86"/>
    <w:rsid w:val="00A83546"/>
    <w:rsid w:val="00A83801"/>
    <w:rsid w:val="00A91B9F"/>
    <w:rsid w:val="00A946CB"/>
    <w:rsid w:val="00AA173D"/>
    <w:rsid w:val="00AA3E67"/>
    <w:rsid w:val="00AA4E6A"/>
    <w:rsid w:val="00AA5896"/>
    <w:rsid w:val="00AA7875"/>
    <w:rsid w:val="00AB25AF"/>
    <w:rsid w:val="00AB2B15"/>
    <w:rsid w:val="00AB5296"/>
    <w:rsid w:val="00AB548E"/>
    <w:rsid w:val="00AB58F7"/>
    <w:rsid w:val="00AB5CE9"/>
    <w:rsid w:val="00AB5FB1"/>
    <w:rsid w:val="00AB6881"/>
    <w:rsid w:val="00AB7350"/>
    <w:rsid w:val="00AB7E31"/>
    <w:rsid w:val="00AB7EAF"/>
    <w:rsid w:val="00AC016E"/>
    <w:rsid w:val="00AC48AA"/>
    <w:rsid w:val="00AC51DF"/>
    <w:rsid w:val="00AC5850"/>
    <w:rsid w:val="00AD13AE"/>
    <w:rsid w:val="00AD14B7"/>
    <w:rsid w:val="00AD3394"/>
    <w:rsid w:val="00AD4F2F"/>
    <w:rsid w:val="00AD704D"/>
    <w:rsid w:val="00AD72A7"/>
    <w:rsid w:val="00AE0BE3"/>
    <w:rsid w:val="00AE3784"/>
    <w:rsid w:val="00AE4ABD"/>
    <w:rsid w:val="00AE52FE"/>
    <w:rsid w:val="00AE78BF"/>
    <w:rsid w:val="00AF1129"/>
    <w:rsid w:val="00AF27E3"/>
    <w:rsid w:val="00AF2E7A"/>
    <w:rsid w:val="00AF41E7"/>
    <w:rsid w:val="00AF710D"/>
    <w:rsid w:val="00B00E9D"/>
    <w:rsid w:val="00B026BF"/>
    <w:rsid w:val="00B04465"/>
    <w:rsid w:val="00B05607"/>
    <w:rsid w:val="00B07942"/>
    <w:rsid w:val="00B13683"/>
    <w:rsid w:val="00B142B0"/>
    <w:rsid w:val="00B14EA6"/>
    <w:rsid w:val="00B17866"/>
    <w:rsid w:val="00B17F32"/>
    <w:rsid w:val="00B21AE4"/>
    <w:rsid w:val="00B2268E"/>
    <w:rsid w:val="00B23EDA"/>
    <w:rsid w:val="00B242EC"/>
    <w:rsid w:val="00B24681"/>
    <w:rsid w:val="00B26C59"/>
    <w:rsid w:val="00B270EB"/>
    <w:rsid w:val="00B27CFB"/>
    <w:rsid w:val="00B31484"/>
    <w:rsid w:val="00B345D9"/>
    <w:rsid w:val="00B358FB"/>
    <w:rsid w:val="00B360E3"/>
    <w:rsid w:val="00B4197E"/>
    <w:rsid w:val="00B41E1C"/>
    <w:rsid w:val="00B4327C"/>
    <w:rsid w:val="00B5006E"/>
    <w:rsid w:val="00B5072A"/>
    <w:rsid w:val="00B52E3B"/>
    <w:rsid w:val="00B5312B"/>
    <w:rsid w:val="00B55E08"/>
    <w:rsid w:val="00B60313"/>
    <w:rsid w:val="00B60558"/>
    <w:rsid w:val="00B608DF"/>
    <w:rsid w:val="00B630D5"/>
    <w:rsid w:val="00B6458E"/>
    <w:rsid w:val="00B66778"/>
    <w:rsid w:val="00B71146"/>
    <w:rsid w:val="00B71EE6"/>
    <w:rsid w:val="00B74D4C"/>
    <w:rsid w:val="00B74EAC"/>
    <w:rsid w:val="00B75951"/>
    <w:rsid w:val="00B76462"/>
    <w:rsid w:val="00B8102A"/>
    <w:rsid w:val="00B82963"/>
    <w:rsid w:val="00B82AE3"/>
    <w:rsid w:val="00B82F54"/>
    <w:rsid w:val="00B85532"/>
    <w:rsid w:val="00B878AA"/>
    <w:rsid w:val="00B9267D"/>
    <w:rsid w:val="00B93B84"/>
    <w:rsid w:val="00B948DA"/>
    <w:rsid w:val="00B95E83"/>
    <w:rsid w:val="00B96237"/>
    <w:rsid w:val="00B96319"/>
    <w:rsid w:val="00B96C5A"/>
    <w:rsid w:val="00B96CF6"/>
    <w:rsid w:val="00B97C00"/>
    <w:rsid w:val="00BA3E61"/>
    <w:rsid w:val="00BA756C"/>
    <w:rsid w:val="00BA78B8"/>
    <w:rsid w:val="00BB0EC1"/>
    <w:rsid w:val="00BB0F02"/>
    <w:rsid w:val="00BB1512"/>
    <w:rsid w:val="00BB333E"/>
    <w:rsid w:val="00BB42AC"/>
    <w:rsid w:val="00BB4C81"/>
    <w:rsid w:val="00BB4FCC"/>
    <w:rsid w:val="00BB667C"/>
    <w:rsid w:val="00BC2CE7"/>
    <w:rsid w:val="00BC3A43"/>
    <w:rsid w:val="00BC5E61"/>
    <w:rsid w:val="00BC6FBE"/>
    <w:rsid w:val="00BC7B98"/>
    <w:rsid w:val="00BD1678"/>
    <w:rsid w:val="00BD1FBF"/>
    <w:rsid w:val="00BD3A13"/>
    <w:rsid w:val="00BD57B9"/>
    <w:rsid w:val="00BD6603"/>
    <w:rsid w:val="00BE2111"/>
    <w:rsid w:val="00BE35E3"/>
    <w:rsid w:val="00BE4016"/>
    <w:rsid w:val="00BF0B2D"/>
    <w:rsid w:val="00BF1856"/>
    <w:rsid w:val="00BF2C54"/>
    <w:rsid w:val="00BF4540"/>
    <w:rsid w:val="00BF595C"/>
    <w:rsid w:val="00BF5C27"/>
    <w:rsid w:val="00C00D14"/>
    <w:rsid w:val="00C02B78"/>
    <w:rsid w:val="00C03CAA"/>
    <w:rsid w:val="00C04714"/>
    <w:rsid w:val="00C10E35"/>
    <w:rsid w:val="00C128CA"/>
    <w:rsid w:val="00C13753"/>
    <w:rsid w:val="00C15616"/>
    <w:rsid w:val="00C165FF"/>
    <w:rsid w:val="00C20AC2"/>
    <w:rsid w:val="00C20CA6"/>
    <w:rsid w:val="00C23626"/>
    <w:rsid w:val="00C23C6E"/>
    <w:rsid w:val="00C24A84"/>
    <w:rsid w:val="00C25D57"/>
    <w:rsid w:val="00C26A67"/>
    <w:rsid w:val="00C319CA"/>
    <w:rsid w:val="00C33C77"/>
    <w:rsid w:val="00C3549B"/>
    <w:rsid w:val="00C362BE"/>
    <w:rsid w:val="00C3768E"/>
    <w:rsid w:val="00C37AEB"/>
    <w:rsid w:val="00C40C19"/>
    <w:rsid w:val="00C439AC"/>
    <w:rsid w:val="00C44C01"/>
    <w:rsid w:val="00C457B6"/>
    <w:rsid w:val="00C47C66"/>
    <w:rsid w:val="00C54944"/>
    <w:rsid w:val="00C54D50"/>
    <w:rsid w:val="00C5666E"/>
    <w:rsid w:val="00C569B5"/>
    <w:rsid w:val="00C57CC3"/>
    <w:rsid w:val="00C61082"/>
    <w:rsid w:val="00C6180F"/>
    <w:rsid w:val="00C623C5"/>
    <w:rsid w:val="00C64F7D"/>
    <w:rsid w:val="00C6557C"/>
    <w:rsid w:val="00C677A2"/>
    <w:rsid w:val="00C703FE"/>
    <w:rsid w:val="00C706D1"/>
    <w:rsid w:val="00C71F62"/>
    <w:rsid w:val="00C72060"/>
    <w:rsid w:val="00C72481"/>
    <w:rsid w:val="00C74B16"/>
    <w:rsid w:val="00C75B89"/>
    <w:rsid w:val="00C7713A"/>
    <w:rsid w:val="00C81054"/>
    <w:rsid w:val="00C81F2F"/>
    <w:rsid w:val="00C82B48"/>
    <w:rsid w:val="00C83335"/>
    <w:rsid w:val="00C84384"/>
    <w:rsid w:val="00C85CE7"/>
    <w:rsid w:val="00C94B8E"/>
    <w:rsid w:val="00C972A3"/>
    <w:rsid w:val="00C97E1B"/>
    <w:rsid w:val="00CA01A1"/>
    <w:rsid w:val="00CA08D5"/>
    <w:rsid w:val="00CA2567"/>
    <w:rsid w:val="00CA3F0C"/>
    <w:rsid w:val="00CA48BA"/>
    <w:rsid w:val="00CA4FAF"/>
    <w:rsid w:val="00CA5EE6"/>
    <w:rsid w:val="00CA6465"/>
    <w:rsid w:val="00CA6483"/>
    <w:rsid w:val="00CA6687"/>
    <w:rsid w:val="00CA66AA"/>
    <w:rsid w:val="00CB00CF"/>
    <w:rsid w:val="00CB0438"/>
    <w:rsid w:val="00CB067F"/>
    <w:rsid w:val="00CB3430"/>
    <w:rsid w:val="00CB72D4"/>
    <w:rsid w:val="00CB7973"/>
    <w:rsid w:val="00CC15BF"/>
    <w:rsid w:val="00CC2C50"/>
    <w:rsid w:val="00CC6141"/>
    <w:rsid w:val="00CC6211"/>
    <w:rsid w:val="00CC702D"/>
    <w:rsid w:val="00CC71FC"/>
    <w:rsid w:val="00CD0A0E"/>
    <w:rsid w:val="00CD0EB9"/>
    <w:rsid w:val="00CD4C75"/>
    <w:rsid w:val="00CE1C4C"/>
    <w:rsid w:val="00CE4653"/>
    <w:rsid w:val="00CE6DFE"/>
    <w:rsid w:val="00CF168B"/>
    <w:rsid w:val="00CF18A8"/>
    <w:rsid w:val="00CF25AE"/>
    <w:rsid w:val="00CF3D8F"/>
    <w:rsid w:val="00CF4BDB"/>
    <w:rsid w:val="00CF4D23"/>
    <w:rsid w:val="00CF57CA"/>
    <w:rsid w:val="00D01757"/>
    <w:rsid w:val="00D03249"/>
    <w:rsid w:val="00D05FD2"/>
    <w:rsid w:val="00D067C3"/>
    <w:rsid w:val="00D06F81"/>
    <w:rsid w:val="00D07C07"/>
    <w:rsid w:val="00D11BCF"/>
    <w:rsid w:val="00D12D33"/>
    <w:rsid w:val="00D12F12"/>
    <w:rsid w:val="00D14377"/>
    <w:rsid w:val="00D14C94"/>
    <w:rsid w:val="00D14E6F"/>
    <w:rsid w:val="00D16754"/>
    <w:rsid w:val="00D209C5"/>
    <w:rsid w:val="00D21356"/>
    <w:rsid w:val="00D22475"/>
    <w:rsid w:val="00D228C2"/>
    <w:rsid w:val="00D22DFB"/>
    <w:rsid w:val="00D2383D"/>
    <w:rsid w:val="00D23D54"/>
    <w:rsid w:val="00D2572F"/>
    <w:rsid w:val="00D25942"/>
    <w:rsid w:val="00D2731E"/>
    <w:rsid w:val="00D309F5"/>
    <w:rsid w:val="00D311B5"/>
    <w:rsid w:val="00D34FB0"/>
    <w:rsid w:val="00D35C3F"/>
    <w:rsid w:val="00D35D15"/>
    <w:rsid w:val="00D437DD"/>
    <w:rsid w:val="00D454D4"/>
    <w:rsid w:val="00D50235"/>
    <w:rsid w:val="00D517C3"/>
    <w:rsid w:val="00D51B5B"/>
    <w:rsid w:val="00D51BBF"/>
    <w:rsid w:val="00D52862"/>
    <w:rsid w:val="00D548CF"/>
    <w:rsid w:val="00D56C16"/>
    <w:rsid w:val="00D60263"/>
    <w:rsid w:val="00D60460"/>
    <w:rsid w:val="00D61109"/>
    <w:rsid w:val="00D61110"/>
    <w:rsid w:val="00D61206"/>
    <w:rsid w:val="00D66873"/>
    <w:rsid w:val="00D67730"/>
    <w:rsid w:val="00D731AD"/>
    <w:rsid w:val="00D7456D"/>
    <w:rsid w:val="00D76D80"/>
    <w:rsid w:val="00D7773A"/>
    <w:rsid w:val="00D77802"/>
    <w:rsid w:val="00D807CF"/>
    <w:rsid w:val="00D82E8A"/>
    <w:rsid w:val="00D91686"/>
    <w:rsid w:val="00D96273"/>
    <w:rsid w:val="00DA0136"/>
    <w:rsid w:val="00DA0753"/>
    <w:rsid w:val="00DA1F4E"/>
    <w:rsid w:val="00DA2351"/>
    <w:rsid w:val="00DA301E"/>
    <w:rsid w:val="00DA45DE"/>
    <w:rsid w:val="00DA7669"/>
    <w:rsid w:val="00DB1A5F"/>
    <w:rsid w:val="00DB4F6F"/>
    <w:rsid w:val="00DC125E"/>
    <w:rsid w:val="00DC3995"/>
    <w:rsid w:val="00DC4304"/>
    <w:rsid w:val="00DC4374"/>
    <w:rsid w:val="00DC5BB6"/>
    <w:rsid w:val="00DC63F8"/>
    <w:rsid w:val="00DC6741"/>
    <w:rsid w:val="00DC7DD4"/>
    <w:rsid w:val="00DD3820"/>
    <w:rsid w:val="00DD3975"/>
    <w:rsid w:val="00DD4E88"/>
    <w:rsid w:val="00DD7771"/>
    <w:rsid w:val="00DE10F4"/>
    <w:rsid w:val="00DE1A98"/>
    <w:rsid w:val="00DE252C"/>
    <w:rsid w:val="00DE47BC"/>
    <w:rsid w:val="00DE5EBB"/>
    <w:rsid w:val="00DE720D"/>
    <w:rsid w:val="00DE7D74"/>
    <w:rsid w:val="00DF209C"/>
    <w:rsid w:val="00DF291D"/>
    <w:rsid w:val="00DF30D0"/>
    <w:rsid w:val="00DF5AE6"/>
    <w:rsid w:val="00DF6E37"/>
    <w:rsid w:val="00DF720B"/>
    <w:rsid w:val="00E12C29"/>
    <w:rsid w:val="00E1438B"/>
    <w:rsid w:val="00E16082"/>
    <w:rsid w:val="00E17AC5"/>
    <w:rsid w:val="00E17DA5"/>
    <w:rsid w:val="00E20618"/>
    <w:rsid w:val="00E21F58"/>
    <w:rsid w:val="00E24FDB"/>
    <w:rsid w:val="00E27DE5"/>
    <w:rsid w:val="00E32873"/>
    <w:rsid w:val="00E33064"/>
    <w:rsid w:val="00E34A02"/>
    <w:rsid w:val="00E354E2"/>
    <w:rsid w:val="00E369E7"/>
    <w:rsid w:val="00E42830"/>
    <w:rsid w:val="00E43B8D"/>
    <w:rsid w:val="00E47F91"/>
    <w:rsid w:val="00E5041D"/>
    <w:rsid w:val="00E51779"/>
    <w:rsid w:val="00E52C71"/>
    <w:rsid w:val="00E5360B"/>
    <w:rsid w:val="00E57170"/>
    <w:rsid w:val="00E61436"/>
    <w:rsid w:val="00E624A0"/>
    <w:rsid w:val="00E6358A"/>
    <w:rsid w:val="00E650E8"/>
    <w:rsid w:val="00E6536D"/>
    <w:rsid w:val="00E658D1"/>
    <w:rsid w:val="00E675EF"/>
    <w:rsid w:val="00E67A82"/>
    <w:rsid w:val="00E67C80"/>
    <w:rsid w:val="00E71EC8"/>
    <w:rsid w:val="00E74F42"/>
    <w:rsid w:val="00E7526B"/>
    <w:rsid w:val="00E80B47"/>
    <w:rsid w:val="00E812C0"/>
    <w:rsid w:val="00E86998"/>
    <w:rsid w:val="00E8779A"/>
    <w:rsid w:val="00E87ABA"/>
    <w:rsid w:val="00E90028"/>
    <w:rsid w:val="00E94499"/>
    <w:rsid w:val="00E96384"/>
    <w:rsid w:val="00EA1CAC"/>
    <w:rsid w:val="00EA3D43"/>
    <w:rsid w:val="00EA635D"/>
    <w:rsid w:val="00EA6BDF"/>
    <w:rsid w:val="00EB19C6"/>
    <w:rsid w:val="00EB223A"/>
    <w:rsid w:val="00EB237D"/>
    <w:rsid w:val="00EB2B40"/>
    <w:rsid w:val="00EB37EA"/>
    <w:rsid w:val="00EB5AD0"/>
    <w:rsid w:val="00EB5EBB"/>
    <w:rsid w:val="00EB7D1B"/>
    <w:rsid w:val="00EC0980"/>
    <w:rsid w:val="00EC0F86"/>
    <w:rsid w:val="00EC4777"/>
    <w:rsid w:val="00EC6B43"/>
    <w:rsid w:val="00ED0A16"/>
    <w:rsid w:val="00ED0EF4"/>
    <w:rsid w:val="00ED1F84"/>
    <w:rsid w:val="00ED3C49"/>
    <w:rsid w:val="00ED42B2"/>
    <w:rsid w:val="00ED4743"/>
    <w:rsid w:val="00ED632A"/>
    <w:rsid w:val="00EE0211"/>
    <w:rsid w:val="00EE1B7D"/>
    <w:rsid w:val="00EE2240"/>
    <w:rsid w:val="00EE282A"/>
    <w:rsid w:val="00EE70FB"/>
    <w:rsid w:val="00EF0237"/>
    <w:rsid w:val="00EF141B"/>
    <w:rsid w:val="00EF744A"/>
    <w:rsid w:val="00EF7A0F"/>
    <w:rsid w:val="00F01556"/>
    <w:rsid w:val="00F01D2F"/>
    <w:rsid w:val="00F02022"/>
    <w:rsid w:val="00F04168"/>
    <w:rsid w:val="00F04B5E"/>
    <w:rsid w:val="00F067E8"/>
    <w:rsid w:val="00F07955"/>
    <w:rsid w:val="00F07BAB"/>
    <w:rsid w:val="00F108EE"/>
    <w:rsid w:val="00F12772"/>
    <w:rsid w:val="00F1356D"/>
    <w:rsid w:val="00F1460C"/>
    <w:rsid w:val="00F172B7"/>
    <w:rsid w:val="00F173F9"/>
    <w:rsid w:val="00F17F09"/>
    <w:rsid w:val="00F20E25"/>
    <w:rsid w:val="00F20E67"/>
    <w:rsid w:val="00F2133B"/>
    <w:rsid w:val="00F2190F"/>
    <w:rsid w:val="00F21A0A"/>
    <w:rsid w:val="00F21DDA"/>
    <w:rsid w:val="00F2320E"/>
    <w:rsid w:val="00F2461A"/>
    <w:rsid w:val="00F258FD"/>
    <w:rsid w:val="00F34271"/>
    <w:rsid w:val="00F3429A"/>
    <w:rsid w:val="00F368EE"/>
    <w:rsid w:val="00F37DFD"/>
    <w:rsid w:val="00F43A26"/>
    <w:rsid w:val="00F468B1"/>
    <w:rsid w:val="00F475D3"/>
    <w:rsid w:val="00F47978"/>
    <w:rsid w:val="00F501B9"/>
    <w:rsid w:val="00F5138C"/>
    <w:rsid w:val="00F51570"/>
    <w:rsid w:val="00F51800"/>
    <w:rsid w:val="00F52320"/>
    <w:rsid w:val="00F5334C"/>
    <w:rsid w:val="00F54A72"/>
    <w:rsid w:val="00F56F4C"/>
    <w:rsid w:val="00F639C9"/>
    <w:rsid w:val="00F63BC9"/>
    <w:rsid w:val="00F64BF9"/>
    <w:rsid w:val="00F64FC0"/>
    <w:rsid w:val="00F66384"/>
    <w:rsid w:val="00F66457"/>
    <w:rsid w:val="00F67AC3"/>
    <w:rsid w:val="00F67E64"/>
    <w:rsid w:val="00F71CF3"/>
    <w:rsid w:val="00F732A1"/>
    <w:rsid w:val="00F737F5"/>
    <w:rsid w:val="00F73C5D"/>
    <w:rsid w:val="00F75004"/>
    <w:rsid w:val="00F7698C"/>
    <w:rsid w:val="00F77291"/>
    <w:rsid w:val="00F8096F"/>
    <w:rsid w:val="00F81A81"/>
    <w:rsid w:val="00F81CAE"/>
    <w:rsid w:val="00F862C5"/>
    <w:rsid w:val="00F870FA"/>
    <w:rsid w:val="00F92414"/>
    <w:rsid w:val="00F94572"/>
    <w:rsid w:val="00F97A5F"/>
    <w:rsid w:val="00FA0CA1"/>
    <w:rsid w:val="00FA41B2"/>
    <w:rsid w:val="00FA65C7"/>
    <w:rsid w:val="00FA71C1"/>
    <w:rsid w:val="00FB0E15"/>
    <w:rsid w:val="00FB36FA"/>
    <w:rsid w:val="00FB6950"/>
    <w:rsid w:val="00FC23BA"/>
    <w:rsid w:val="00FC2565"/>
    <w:rsid w:val="00FC31F6"/>
    <w:rsid w:val="00FC3FEB"/>
    <w:rsid w:val="00FC4823"/>
    <w:rsid w:val="00FC5248"/>
    <w:rsid w:val="00FC5486"/>
    <w:rsid w:val="00FC767E"/>
    <w:rsid w:val="00FD053C"/>
    <w:rsid w:val="00FD44C7"/>
    <w:rsid w:val="00FD5D03"/>
    <w:rsid w:val="00FD5E5A"/>
    <w:rsid w:val="00FD7782"/>
    <w:rsid w:val="00FD7F7A"/>
    <w:rsid w:val="00FE3E4E"/>
    <w:rsid w:val="00FE7E4A"/>
    <w:rsid w:val="00FF30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BF66"/>
  <w15:docId w15:val="{07F43C30-E11A-4477-98E5-F2152957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08A"/>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uiPriority w:val="9"/>
    <w:semiHidden/>
    <w:unhideWhenUsed/>
    <w:qFormat/>
    <w:rsid w:val="008338B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CA6"/>
    <w:pPr>
      <w:ind w:left="720"/>
      <w:contextualSpacing/>
    </w:pPr>
  </w:style>
  <w:style w:type="paragraph" w:styleId="Header">
    <w:name w:val="header"/>
    <w:basedOn w:val="Normal"/>
    <w:link w:val="HeaderChar"/>
    <w:uiPriority w:val="99"/>
    <w:unhideWhenUsed/>
    <w:rsid w:val="00250735"/>
    <w:pPr>
      <w:tabs>
        <w:tab w:val="center" w:pos="4513"/>
        <w:tab w:val="right" w:pos="9026"/>
      </w:tabs>
    </w:pPr>
  </w:style>
  <w:style w:type="character" w:customStyle="1" w:styleId="HeaderChar">
    <w:name w:val="Header Char"/>
    <w:basedOn w:val="DefaultParagraphFont"/>
    <w:link w:val="Header"/>
    <w:uiPriority w:val="99"/>
    <w:rsid w:val="0025073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50735"/>
    <w:pPr>
      <w:tabs>
        <w:tab w:val="center" w:pos="4513"/>
        <w:tab w:val="right" w:pos="9026"/>
      </w:tabs>
    </w:pPr>
  </w:style>
  <w:style w:type="character" w:customStyle="1" w:styleId="FooterChar">
    <w:name w:val="Footer Char"/>
    <w:basedOn w:val="DefaultParagraphFont"/>
    <w:link w:val="Footer"/>
    <w:uiPriority w:val="99"/>
    <w:rsid w:val="0025073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717E9B"/>
    <w:rPr>
      <w:rFonts w:ascii="Tahoma" w:hAnsi="Tahoma" w:cs="Tahoma"/>
      <w:sz w:val="16"/>
      <w:szCs w:val="16"/>
    </w:rPr>
  </w:style>
  <w:style w:type="character" w:customStyle="1" w:styleId="BalloonTextChar">
    <w:name w:val="Balloon Text Char"/>
    <w:basedOn w:val="DefaultParagraphFont"/>
    <w:link w:val="BalloonText"/>
    <w:uiPriority w:val="99"/>
    <w:semiHidden/>
    <w:rsid w:val="00717E9B"/>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8F0FA8"/>
    <w:rPr>
      <w:sz w:val="16"/>
      <w:szCs w:val="16"/>
    </w:rPr>
  </w:style>
  <w:style w:type="paragraph" w:styleId="CommentText">
    <w:name w:val="annotation text"/>
    <w:basedOn w:val="Normal"/>
    <w:link w:val="CommentTextChar"/>
    <w:uiPriority w:val="99"/>
    <w:semiHidden/>
    <w:unhideWhenUsed/>
    <w:rsid w:val="008F0FA8"/>
    <w:rPr>
      <w:sz w:val="20"/>
      <w:szCs w:val="20"/>
    </w:rPr>
  </w:style>
  <w:style w:type="character" w:customStyle="1" w:styleId="CommentTextChar">
    <w:name w:val="Comment Text Char"/>
    <w:basedOn w:val="DefaultParagraphFont"/>
    <w:link w:val="CommentText"/>
    <w:uiPriority w:val="99"/>
    <w:semiHidden/>
    <w:rsid w:val="008F0FA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F0FA8"/>
    <w:rPr>
      <w:b/>
      <w:bCs/>
    </w:rPr>
  </w:style>
  <w:style w:type="character" w:customStyle="1" w:styleId="CommentSubjectChar">
    <w:name w:val="Comment Subject Char"/>
    <w:basedOn w:val="CommentTextChar"/>
    <w:link w:val="CommentSubject"/>
    <w:uiPriority w:val="99"/>
    <w:semiHidden/>
    <w:rsid w:val="008F0FA8"/>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41249C"/>
    <w:pPr>
      <w:spacing w:after="0"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113070"/>
    <w:rPr>
      <w:sz w:val="20"/>
      <w:szCs w:val="20"/>
    </w:rPr>
  </w:style>
  <w:style w:type="character" w:customStyle="1" w:styleId="FootnoteTextChar">
    <w:name w:val="Footnote Text Char"/>
    <w:basedOn w:val="DefaultParagraphFont"/>
    <w:link w:val="FootnoteText"/>
    <w:uiPriority w:val="99"/>
    <w:semiHidden/>
    <w:rsid w:val="00113070"/>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unhideWhenUsed/>
    <w:rsid w:val="00113070"/>
    <w:rPr>
      <w:vertAlign w:val="superscript"/>
    </w:rPr>
  </w:style>
  <w:style w:type="character" w:customStyle="1" w:styleId="mc">
    <w:name w:val="mc"/>
    <w:basedOn w:val="DefaultParagraphFont"/>
    <w:rsid w:val="00435F2E"/>
  </w:style>
  <w:style w:type="character" w:styleId="Hyperlink">
    <w:name w:val="Hyperlink"/>
    <w:basedOn w:val="DefaultParagraphFont"/>
    <w:uiPriority w:val="99"/>
    <w:semiHidden/>
    <w:unhideWhenUsed/>
    <w:rsid w:val="00435F2E"/>
    <w:rPr>
      <w:color w:val="0000FF"/>
      <w:u w:val="single"/>
    </w:rPr>
  </w:style>
  <w:style w:type="character" w:customStyle="1" w:styleId="Heading2Char">
    <w:name w:val="Heading 2 Char"/>
    <w:basedOn w:val="DefaultParagraphFont"/>
    <w:link w:val="Heading2"/>
    <w:uiPriority w:val="9"/>
    <w:semiHidden/>
    <w:rsid w:val="008338BE"/>
    <w:rPr>
      <w:rFonts w:asciiTheme="majorHAnsi" w:eastAsiaTheme="majorEastAsia" w:hAnsiTheme="majorHAnsi" w:cstheme="majorBidi"/>
      <w:color w:val="365F91" w:themeColor="accent1" w:themeShade="BF"/>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39396">
      <w:bodyDiv w:val="1"/>
      <w:marLeft w:val="0"/>
      <w:marRight w:val="0"/>
      <w:marTop w:val="0"/>
      <w:marBottom w:val="0"/>
      <w:divBdr>
        <w:top w:val="none" w:sz="0" w:space="0" w:color="auto"/>
        <w:left w:val="none" w:sz="0" w:space="0" w:color="auto"/>
        <w:bottom w:val="none" w:sz="0" w:space="0" w:color="auto"/>
        <w:right w:val="none" w:sz="0" w:space="0" w:color="auto"/>
      </w:divBdr>
    </w:div>
    <w:div w:id="373699424">
      <w:bodyDiv w:val="1"/>
      <w:marLeft w:val="0"/>
      <w:marRight w:val="0"/>
      <w:marTop w:val="0"/>
      <w:marBottom w:val="0"/>
      <w:divBdr>
        <w:top w:val="none" w:sz="0" w:space="0" w:color="auto"/>
        <w:left w:val="none" w:sz="0" w:space="0" w:color="auto"/>
        <w:bottom w:val="none" w:sz="0" w:space="0" w:color="auto"/>
        <w:right w:val="none" w:sz="0" w:space="0" w:color="auto"/>
      </w:divBdr>
    </w:div>
    <w:div w:id="752943368">
      <w:bodyDiv w:val="1"/>
      <w:marLeft w:val="0"/>
      <w:marRight w:val="0"/>
      <w:marTop w:val="0"/>
      <w:marBottom w:val="0"/>
      <w:divBdr>
        <w:top w:val="none" w:sz="0" w:space="0" w:color="auto"/>
        <w:left w:val="none" w:sz="0" w:space="0" w:color="auto"/>
        <w:bottom w:val="none" w:sz="0" w:space="0" w:color="auto"/>
        <w:right w:val="none" w:sz="0" w:space="0" w:color="auto"/>
      </w:divBdr>
    </w:div>
    <w:div w:id="780683913">
      <w:bodyDiv w:val="1"/>
      <w:marLeft w:val="0"/>
      <w:marRight w:val="0"/>
      <w:marTop w:val="0"/>
      <w:marBottom w:val="0"/>
      <w:divBdr>
        <w:top w:val="none" w:sz="0" w:space="0" w:color="auto"/>
        <w:left w:val="none" w:sz="0" w:space="0" w:color="auto"/>
        <w:bottom w:val="none" w:sz="0" w:space="0" w:color="auto"/>
        <w:right w:val="none" w:sz="0" w:space="0" w:color="auto"/>
      </w:divBdr>
    </w:div>
    <w:div w:id="794519142">
      <w:bodyDiv w:val="1"/>
      <w:marLeft w:val="0"/>
      <w:marRight w:val="0"/>
      <w:marTop w:val="0"/>
      <w:marBottom w:val="0"/>
      <w:divBdr>
        <w:top w:val="none" w:sz="0" w:space="0" w:color="auto"/>
        <w:left w:val="none" w:sz="0" w:space="0" w:color="auto"/>
        <w:bottom w:val="none" w:sz="0" w:space="0" w:color="auto"/>
        <w:right w:val="none" w:sz="0" w:space="0" w:color="auto"/>
      </w:divBdr>
    </w:div>
    <w:div w:id="866219782">
      <w:bodyDiv w:val="1"/>
      <w:marLeft w:val="0"/>
      <w:marRight w:val="0"/>
      <w:marTop w:val="0"/>
      <w:marBottom w:val="0"/>
      <w:divBdr>
        <w:top w:val="none" w:sz="0" w:space="0" w:color="auto"/>
        <w:left w:val="none" w:sz="0" w:space="0" w:color="auto"/>
        <w:bottom w:val="none" w:sz="0" w:space="0" w:color="auto"/>
        <w:right w:val="none" w:sz="0" w:space="0" w:color="auto"/>
      </w:divBdr>
    </w:div>
    <w:div w:id="136343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5BC86-0C54-424E-B44E-CE0D65C0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6263</Words>
  <Characters>35705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tlushaba</dc:creator>
  <cp:lastModifiedBy>Mokone</cp:lastModifiedBy>
  <cp:revision>3</cp:revision>
  <cp:lastPrinted>2023-03-01T10:53:00Z</cp:lastPrinted>
  <dcterms:created xsi:type="dcterms:W3CDTF">2023-03-24T09:34:00Z</dcterms:created>
  <dcterms:modified xsi:type="dcterms:W3CDTF">2023-03-24T09:34:00Z</dcterms:modified>
</cp:coreProperties>
</file>