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8A" w:rsidRPr="00D90BC2" w:rsidRDefault="00E30E8A" w:rsidP="00D07734">
      <w:pPr>
        <w:spacing w:after="0" w:line="360" w:lineRule="auto"/>
        <w:contextualSpacing/>
        <w:jc w:val="center"/>
        <w:rPr>
          <w:rFonts w:ascii="Arial" w:eastAsia="Times New Roman" w:hAnsi="Arial" w:cs="Arial"/>
          <w:b/>
          <w:sz w:val="24"/>
          <w:szCs w:val="24"/>
          <w:lang w:val="en-ZA" w:eastAsia="en-GB" w:bidi="yi-Hebr"/>
        </w:rPr>
      </w:pPr>
      <w:r w:rsidRPr="00D90BC2">
        <w:rPr>
          <w:rFonts w:ascii="Arial" w:eastAsia="Calibri" w:hAnsi="Arial" w:cs="Arial"/>
          <w:noProof/>
          <w:sz w:val="28"/>
          <w:szCs w:val="28"/>
          <w:lang w:val="en-US"/>
        </w:rPr>
        <w:drawing>
          <wp:inline distT="0" distB="0" distL="0" distR="0" wp14:anchorId="493C1403" wp14:editId="20D88637">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E30E8A" w:rsidRPr="00D90BC2" w:rsidRDefault="00E30E8A" w:rsidP="00D07734">
      <w:pPr>
        <w:spacing w:after="0" w:line="360" w:lineRule="auto"/>
        <w:contextualSpacing/>
        <w:jc w:val="center"/>
        <w:rPr>
          <w:rFonts w:ascii="Arial" w:eastAsia="Times New Roman" w:hAnsi="Arial" w:cs="Arial"/>
          <w:b/>
          <w:sz w:val="16"/>
          <w:szCs w:val="16"/>
          <w:lang w:val="en-ZA" w:eastAsia="en-GB" w:bidi="yi-Hebr"/>
        </w:rPr>
      </w:pPr>
    </w:p>
    <w:p w:rsidR="00E30E8A" w:rsidRPr="00D90BC2" w:rsidRDefault="00E30E8A" w:rsidP="00D07734">
      <w:pPr>
        <w:spacing w:after="0" w:line="360" w:lineRule="auto"/>
        <w:contextualSpacing/>
        <w:jc w:val="center"/>
        <w:rPr>
          <w:rFonts w:ascii="Arial" w:eastAsia="Times New Roman" w:hAnsi="Arial" w:cs="Arial"/>
          <w:b/>
          <w:sz w:val="24"/>
          <w:szCs w:val="24"/>
          <w:lang w:val="en-ZA" w:eastAsia="en-GB" w:bidi="yi-Hebr"/>
        </w:rPr>
      </w:pPr>
      <w:r w:rsidRPr="00D90BC2">
        <w:rPr>
          <w:rFonts w:ascii="Arial" w:eastAsia="Times New Roman" w:hAnsi="Arial" w:cs="Arial"/>
          <w:b/>
          <w:sz w:val="24"/>
          <w:szCs w:val="24"/>
          <w:lang w:val="en-ZA" w:eastAsia="en-GB" w:bidi="yi-Hebr"/>
        </w:rPr>
        <w:t>IN THE HIGH COURT OF SOUTH AFRICA</w:t>
      </w:r>
    </w:p>
    <w:p w:rsidR="00E30E8A" w:rsidRPr="00D90BC2" w:rsidRDefault="00E30E8A" w:rsidP="00D07734">
      <w:pPr>
        <w:spacing w:after="0" w:line="360" w:lineRule="auto"/>
        <w:contextualSpacing/>
        <w:jc w:val="center"/>
        <w:rPr>
          <w:rFonts w:ascii="Arial" w:eastAsia="Times New Roman" w:hAnsi="Arial" w:cs="Arial"/>
          <w:b/>
          <w:sz w:val="24"/>
          <w:szCs w:val="24"/>
          <w:lang w:val="en-ZA" w:eastAsia="en-GB" w:bidi="yi-Hebr"/>
        </w:rPr>
      </w:pPr>
      <w:r w:rsidRPr="00D90BC2">
        <w:rPr>
          <w:rFonts w:ascii="Arial" w:eastAsia="Times New Roman" w:hAnsi="Arial" w:cs="Arial"/>
          <w:b/>
          <w:sz w:val="24"/>
          <w:szCs w:val="24"/>
          <w:lang w:val="en-ZA" w:eastAsia="en-GB" w:bidi="yi-Hebr"/>
        </w:rPr>
        <w:t>KWAZULU-NATAL DIVISION, PIETERMARITZBURG</w:t>
      </w:r>
    </w:p>
    <w:p w:rsidR="009F77EE" w:rsidRPr="00D90BC2" w:rsidRDefault="009F77EE" w:rsidP="00D07734">
      <w:pPr>
        <w:spacing w:after="0" w:line="360" w:lineRule="auto"/>
        <w:contextualSpacing/>
        <w:jc w:val="right"/>
        <w:rPr>
          <w:rFonts w:ascii="Arial" w:eastAsia="Times New Roman" w:hAnsi="Arial" w:cs="Arial"/>
          <w:sz w:val="24"/>
          <w:szCs w:val="24"/>
          <w:lang w:val="en-ZA" w:eastAsia="en-GB" w:bidi="yi-Hebr"/>
        </w:rPr>
      </w:pPr>
    </w:p>
    <w:p w:rsidR="00E30E8A" w:rsidRPr="00D90BC2" w:rsidRDefault="00E30E8A" w:rsidP="00D07734">
      <w:pPr>
        <w:spacing w:after="0" w:line="360" w:lineRule="auto"/>
        <w:contextualSpacing/>
        <w:jc w:val="right"/>
        <w:rPr>
          <w:rFonts w:ascii="Arial" w:eastAsia="Times New Roman" w:hAnsi="Arial" w:cs="Arial"/>
          <w:sz w:val="24"/>
          <w:szCs w:val="24"/>
          <w:lang w:val="en-ZA" w:eastAsia="en-GB" w:bidi="yi-Hebr"/>
        </w:rPr>
      </w:pPr>
      <w:r w:rsidRPr="00D90BC2">
        <w:rPr>
          <w:rFonts w:ascii="Arial" w:eastAsia="Times New Roman" w:hAnsi="Arial" w:cs="Arial"/>
          <w:sz w:val="24"/>
          <w:szCs w:val="24"/>
          <w:lang w:val="en-ZA" w:eastAsia="en-GB" w:bidi="yi-Hebr"/>
        </w:rPr>
        <w:t xml:space="preserve">Case No: </w:t>
      </w:r>
      <w:r w:rsidR="00DA32C4">
        <w:rPr>
          <w:rFonts w:ascii="Arial" w:eastAsia="Times New Roman" w:hAnsi="Arial" w:cs="Arial"/>
          <w:sz w:val="24"/>
          <w:szCs w:val="24"/>
          <w:lang w:val="en-ZA" w:eastAsia="en-GB" w:bidi="yi-Hebr"/>
        </w:rPr>
        <w:t>732</w:t>
      </w:r>
      <w:r w:rsidRPr="00D90BC2">
        <w:rPr>
          <w:rFonts w:ascii="Arial" w:eastAsia="Times New Roman" w:hAnsi="Arial" w:cs="Arial"/>
          <w:sz w:val="24"/>
          <w:szCs w:val="24"/>
          <w:lang w:val="en-ZA" w:eastAsia="en-GB" w:bidi="yi-Hebr"/>
        </w:rPr>
        <w:t>/20</w:t>
      </w:r>
      <w:r w:rsidR="00965280" w:rsidRPr="00D90BC2">
        <w:rPr>
          <w:rFonts w:ascii="Arial" w:eastAsia="Times New Roman" w:hAnsi="Arial" w:cs="Arial"/>
          <w:sz w:val="24"/>
          <w:szCs w:val="24"/>
          <w:lang w:val="en-ZA" w:eastAsia="en-GB" w:bidi="yi-Hebr"/>
        </w:rPr>
        <w:t>2</w:t>
      </w:r>
      <w:r w:rsidR="00DA32C4">
        <w:rPr>
          <w:rFonts w:ascii="Arial" w:eastAsia="Times New Roman" w:hAnsi="Arial" w:cs="Arial"/>
          <w:sz w:val="24"/>
          <w:szCs w:val="24"/>
          <w:lang w:val="en-ZA" w:eastAsia="en-GB" w:bidi="yi-Hebr"/>
        </w:rPr>
        <w:t>2</w:t>
      </w:r>
      <w:r w:rsidRPr="00D90BC2">
        <w:rPr>
          <w:rFonts w:ascii="Arial" w:eastAsia="Times New Roman" w:hAnsi="Arial" w:cs="Arial"/>
          <w:sz w:val="24"/>
          <w:szCs w:val="24"/>
          <w:lang w:val="en-ZA" w:eastAsia="en-GB" w:bidi="yi-Hebr"/>
        </w:rPr>
        <w:t>P</w:t>
      </w:r>
    </w:p>
    <w:p w:rsidR="00E30E8A" w:rsidRPr="00D90BC2" w:rsidRDefault="00E30E8A" w:rsidP="00D07734">
      <w:pPr>
        <w:spacing w:after="0" w:line="360" w:lineRule="auto"/>
        <w:contextualSpacing/>
        <w:jc w:val="both"/>
        <w:rPr>
          <w:rFonts w:ascii="Arial" w:eastAsia="Times New Roman" w:hAnsi="Arial" w:cs="Arial"/>
          <w:sz w:val="24"/>
          <w:szCs w:val="24"/>
          <w:lang w:val="en-ZA" w:eastAsia="en-GB" w:bidi="yi-Hebr"/>
        </w:rPr>
      </w:pPr>
    </w:p>
    <w:p w:rsidR="00E30E8A" w:rsidRPr="00D90BC2" w:rsidRDefault="00E30E8A" w:rsidP="00D07734">
      <w:pPr>
        <w:spacing w:after="0" w:line="360" w:lineRule="auto"/>
        <w:contextualSpacing/>
        <w:jc w:val="both"/>
        <w:rPr>
          <w:rFonts w:ascii="Arial" w:eastAsia="Times New Roman" w:hAnsi="Arial" w:cs="Arial"/>
          <w:sz w:val="24"/>
          <w:szCs w:val="24"/>
          <w:lang w:val="en-ZA" w:eastAsia="en-GB" w:bidi="yi-Hebr"/>
        </w:rPr>
      </w:pPr>
      <w:r w:rsidRPr="00D90BC2">
        <w:rPr>
          <w:rFonts w:ascii="Arial" w:eastAsia="Times New Roman" w:hAnsi="Arial" w:cs="Arial"/>
          <w:sz w:val="24"/>
          <w:szCs w:val="24"/>
          <w:lang w:val="en-ZA" w:eastAsia="en-GB" w:bidi="yi-Hebr"/>
        </w:rPr>
        <w:t>In the matter between:</w:t>
      </w:r>
    </w:p>
    <w:p w:rsidR="00DB0AC0" w:rsidRPr="00D90BC2" w:rsidRDefault="00DB0AC0" w:rsidP="00D41793">
      <w:pPr>
        <w:tabs>
          <w:tab w:val="right" w:pos="9026"/>
        </w:tabs>
        <w:spacing w:after="0" w:line="360" w:lineRule="auto"/>
        <w:contextualSpacing/>
        <w:jc w:val="both"/>
        <w:rPr>
          <w:rFonts w:ascii="Arial" w:eastAsia="Times New Roman" w:hAnsi="Arial" w:cs="Arial"/>
          <w:b/>
          <w:bCs/>
          <w:sz w:val="24"/>
          <w:szCs w:val="24"/>
          <w:lang w:val="en-ZA" w:eastAsia="en-GB" w:bidi="yi-Hebr"/>
        </w:rPr>
      </w:pPr>
    </w:p>
    <w:p w:rsidR="00E30E8A" w:rsidRPr="00D90BC2" w:rsidRDefault="00DA32C4" w:rsidP="00D41793">
      <w:pPr>
        <w:tabs>
          <w:tab w:val="right" w:pos="9026"/>
        </w:tabs>
        <w:spacing w:after="0" w:line="360" w:lineRule="auto"/>
        <w:contextualSpacing/>
        <w:jc w:val="both"/>
        <w:rPr>
          <w:rFonts w:ascii="Arial" w:eastAsia="Times New Roman" w:hAnsi="Arial" w:cs="Arial"/>
          <w:b/>
          <w:bCs/>
          <w:sz w:val="24"/>
          <w:szCs w:val="24"/>
          <w:lang w:val="en-ZA" w:eastAsia="en-GB" w:bidi="yi-Hebr"/>
        </w:rPr>
      </w:pPr>
      <w:r>
        <w:rPr>
          <w:rFonts w:ascii="Arial" w:eastAsia="Times New Roman" w:hAnsi="Arial" w:cs="Arial"/>
          <w:b/>
          <w:bCs/>
          <w:sz w:val="24"/>
          <w:szCs w:val="24"/>
          <w:lang w:val="en-ZA" w:eastAsia="en-GB" w:bidi="yi-Hebr"/>
        </w:rPr>
        <w:t>ABSA BANK LIMITED</w:t>
      </w:r>
      <w:r w:rsidR="003E1994" w:rsidRPr="00D90BC2">
        <w:rPr>
          <w:rFonts w:ascii="Arial" w:eastAsia="Times New Roman" w:hAnsi="Arial" w:cs="Arial"/>
          <w:b/>
          <w:bCs/>
          <w:sz w:val="24"/>
          <w:szCs w:val="24"/>
          <w:lang w:val="en-ZA" w:eastAsia="en-GB" w:bidi="yi-Hebr"/>
        </w:rPr>
        <w:tab/>
      </w:r>
      <w:r w:rsidR="009F77EE" w:rsidRPr="00D90BC2">
        <w:rPr>
          <w:rFonts w:ascii="Arial" w:eastAsia="Times New Roman" w:hAnsi="Arial" w:cs="Arial"/>
          <w:b/>
          <w:bCs/>
          <w:sz w:val="24"/>
          <w:szCs w:val="24"/>
          <w:lang w:val="en-ZA" w:eastAsia="en-GB" w:bidi="yi-Hebr"/>
        </w:rPr>
        <w:t xml:space="preserve">     </w:t>
      </w:r>
      <w:r w:rsidR="00D41793" w:rsidRPr="00D90BC2">
        <w:rPr>
          <w:rFonts w:ascii="Arial" w:eastAsia="Times New Roman" w:hAnsi="Arial" w:cs="Arial"/>
          <w:b/>
          <w:bCs/>
          <w:sz w:val="24"/>
          <w:szCs w:val="24"/>
          <w:lang w:val="en-ZA" w:eastAsia="en-GB" w:bidi="yi-Hebr"/>
        </w:rPr>
        <w:t xml:space="preserve">        </w:t>
      </w:r>
      <w:r w:rsidR="00965280" w:rsidRPr="00D90BC2">
        <w:rPr>
          <w:rFonts w:ascii="Arial" w:eastAsia="Times New Roman" w:hAnsi="Arial" w:cs="Arial"/>
          <w:b/>
          <w:bCs/>
          <w:sz w:val="24"/>
          <w:szCs w:val="24"/>
          <w:lang w:val="en-ZA" w:eastAsia="en-GB" w:bidi="yi-Hebr"/>
        </w:rPr>
        <w:t>APPLICANT</w:t>
      </w:r>
    </w:p>
    <w:p w:rsidR="003E1994" w:rsidRPr="00D90BC2" w:rsidRDefault="003E1994" w:rsidP="00D07734">
      <w:pPr>
        <w:tabs>
          <w:tab w:val="right" w:pos="8647"/>
        </w:tabs>
        <w:spacing w:after="0" w:line="360" w:lineRule="auto"/>
        <w:contextualSpacing/>
        <w:jc w:val="both"/>
        <w:rPr>
          <w:rFonts w:ascii="Arial" w:eastAsia="Times New Roman" w:hAnsi="Arial" w:cs="Arial"/>
          <w:sz w:val="24"/>
          <w:szCs w:val="24"/>
          <w:lang w:val="en-ZA" w:eastAsia="en-GB" w:bidi="yi-Hebr"/>
        </w:rPr>
      </w:pPr>
    </w:p>
    <w:p w:rsidR="00E30E8A" w:rsidRPr="00D90BC2" w:rsidRDefault="00E30E8A" w:rsidP="00D07734">
      <w:pPr>
        <w:tabs>
          <w:tab w:val="right" w:pos="8647"/>
        </w:tabs>
        <w:spacing w:after="0" w:line="360" w:lineRule="auto"/>
        <w:contextualSpacing/>
        <w:jc w:val="both"/>
        <w:rPr>
          <w:rFonts w:ascii="Arial" w:eastAsia="Times New Roman" w:hAnsi="Arial" w:cs="Arial"/>
          <w:sz w:val="24"/>
          <w:szCs w:val="24"/>
          <w:lang w:val="en-ZA" w:eastAsia="en-GB" w:bidi="yi-Hebr"/>
        </w:rPr>
      </w:pPr>
      <w:r w:rsidRPr="00D90BC2">
        <w:rPr>
          <w:rFonts w:ascii="Arial" w:eastAsia="Times New Roman" w:hAnsi="Arial" w:cs="Arial"/>
          <w:sz w:val="24"/>
          <w:szCs w:val="24"/>
          <w:lang w:val="en-ZA" w:eastAsia="en-GB" w:bidi="yi-Hebr"/>
        </w:rPr>
        <w:t>and</w:t>
      </w:r>
    </w:p>
    <w:p w:rsidR="003E1994" w:rsidRPr="00D90BC2" w:rsidRDefault="003E1994" w:rsidP="00D07734">
      <w:pPr>
        <w:tabs>
          <w:tab w:val="right" w:pos="8647"/>
        </w:tabs>
        <w:spacing w:after="0" w:line="360" w:lineRule="auto"/>
        <w:contextualSpacing/>
        <w:jc w:val="both"/>
        <w:rPr>
          <w:rFonts w:ascii="Arial" w:eastAsia="Times New Roman" w:hAnsi="Arial" w:cs="Arial"/>
          <w:b/>
          <w:bCs/>
          <w:sz w:val="24"/>
          <w:szCs w:val="24"/>
          <w:lang w:val="en-ZA" w:eastAsia="en-GB" w:bidi="yi-Hebr"/>
        </w:rPr>
      </w:pPr>
    </w:p>
    <w:p w:rsidR="00E30E8A" w:rsidRPr="00D90BC2" w:rsidRDefault="00BC645C" w:rsidP="00D41793">
      <w:pPr>
        <w:tabs>
          <w:tab w:val="right" w:pos="9026"/>
        </w:tabs>
        <w:spacing w:after="0" w:line="360" w:lineRule="auto"/>
        <w:contextualSpacing/>
        <w:jc w:val="both"/>
        <w:rPr>
          <w:rFonts w:ascii="Arial" w:eastAsia="Times New Roman" w:hAnsi="Arial" w:cs="Arial"/>
          <w:b/>
          <w:bCs/>
          <w:sz w:val="24"/>
          <w:szCs w:val="24"/>
          <w:lang w:val="en-ZA" w:eastAsia="en-GB" w:bidi="yi-Hebr"/>
        </w:rPr>
      </w:pPr>
      <w:r>
        <w:rPr>
          <w:rFonts w:ascii="Arial" w:eastAsia="Times New Roman" w:hAnsi="Arial" w:cs="Arial"/>
          <w:b/>
          <w:bCs/>
          <w:sz w:val="24"/>
          <w:szCs w:val="24"/>
          <w:lang w:val="en-ZA" w:eastAsia="en-GB" w:bidi="yi-Hebr"/>
        </w:rPr>
        <w:t xml:space="preserve">AFRIFURN </w:t>
      </w:r>
      <w:r w:rsidR="00DA32C4">
        <w:rPr>
          <w:rFonts w:ascii="Arial" w:eastAsia="Times New Roman" w:hAnsi="Arial" w:cs="Arial"/>
          <w:b/>
          <w:bCs/>
          <w:sz w:val="24"/>
          <w:szCs w:val="24"/>
          <w:lang w:val="en-ZA" w:eastAsia="en-GB" w:bidi="yi-Hebr"/>
        </w:rPr>
        <w:t>MANUFACTURING (PTY) LTD</w:t>
      </w:r>
      <w:r w:rsidR="003E1994" w:rsidRPr="00D90BC2">
        <w:rPr>
          <w:rFonts w:ascii="Arial" w:eastAsia="Times New Roman" w:hAnsi="Arial" w:cs="Arial"/>
          <w:b/>
          <w:bCs/>
          <w:sz w:val="24"/>
          <w:szCs w:val="24"/>
          <w:lang w:val="en-ZA" w:eastAsia="en-GB" w:bidi="yi-Hebr"/>
        </w:rPr>
        <w:tab/>
      </w:r>
      <w:r w:rsidR="00E30E8A" w:rsidRPr="00D90BC2">
        <w:rPr>
          <w:rFonts w:ascii="Arial" w:eastAsia="Times New Roman" w:hAnsi="Arial" w:cs="Arial"/>
          <w:b/>
          <w:bCs/>
          <w:sz w:val="24"/>
          <w:szCs w:val="24"/>
          <w:lang w:val="en-ZA" w:eastAsia="en-GB" w:bidi="yi-Hebr"/>
        </w:rPr>
        <w:t>RESPONDENT</w:t>
      </w:r>
    </w:p>
    <w:p w:rsidR="00DA32C4" w:rsidRPr="00DA32C4" w:rsidRDefault="00BC645C" w:rsidP="00DA32C4">
      <w:pPr>
        <w:spacing w:after="0" w:line="240" w:lineRule="auto"/>
        <w:rPr>
          <w:rFonts w:asciiTheme="minorBidi" w:eastAsia="Times New Roman" w:hAnsiTheme="minorBidi"/>
          <w:bCs/>
          <w:sz w:val="24"/>
          <w:szCs w:val="24"/>
          <w:lang w:val="en-ZA" w:eastAsia="en-GB" w:bidi="yi-Hebr"/>
        </w:rPr>
      </w:pPr>
      <w:r w:rsidRPr="00BC645C">
        <w:rPr>
          <w:rFonts w:asciiTheme="minorBidi" w:eastAsia="Times New Roman" w:hAnsiTheme="minorBidi"/>
          <w:b/>
          <w:bCs/>
          <w:sz w:val="24"/>
          <w:szCs w:val="24"/>
          <w:lang w:val="en-ZA" w:eastAsia="en-GB" w:bidi="yi-Hebr"/>
        </w:rPr>
        <w:t>(REGISTRATION NO: 2016/338668/07)</w:t>
      </w:r>
    </w:p>
    <w:p w:rsidR="00BC645C" w:rsidRPr="00BC645C" w:rsidRDefault="00BC645C" w:rsidP="00BC645C">
      <w:pPr>
        <w:pBdr>
          <w:bottom w:val="single" w:sz="12" w:space="1" w:color="auto"/>
        </w:pBdr>
        <w:tabs>
          <w:tab w:val="right" w:pos="8789"/>
        </w:tabs>
        <w:spacing w:after="0" w:line="360" w:lineRule="auto"/>
        <w:jc w:val="both"/>
        <w:rPr>
          <w:rFonts w:ascii="Arial" w:eastAsia="Times New Roman" w:hAnsi="Arial" w:cs="Arial"/>
          <w:b/>
          <w:bCs/>
          <w:sz w:val="24"/>
          <w:szCs w:val="24"/>
          <w:lang w:val="en-ZA" w:eastAsia="en-GB" w:bidi="yi-Hebr"/>
        </w:rPr>
      </w:pPr>
    </w:p>
    <w:p w:rsidR="00BC645C" w:rsidRPr="00BC645C" w:rsidRDefault="00BC645C" w:rsidP="00BC645C">
      <w:pPr>
        <w:spacing w:after="0" w:line="240" w:lineRule="auto"/>
        <w:rPr>
          <w:rFonts w:asciiTheme="minorBidi" w:eastAsia="Times New Roman" w:hAnsiTheme="minorBidi"/>
          <w:bCs/>
          <w:sz w:val="24"/>
          <w:szCs w:val="24"/>
          <w:lang w:val="en-ZA" w:eastAsia="en-GB" w:bidi="yi-Hebr"/>
        </w:rPr>
      </w:pPr>
    </w:p>
    <w:p w:rsidR="00BC645C" w:rsidRDefault="00BC645C" w:rsidP="00DA32C4">
      <w:pPr>
        <w:spacing w:after="0" w:line="240" w:lineRule="auto"/>
        <w:rPr>
          <w:rFonts w:asciiTheme="minorBidi" w:eastAsia="Times New Roman" w:hAnsiTheme="minorBidi"/>
          <w:bCs/>
          <w:sz w:val="24"/>
          <w:szCs w:val="24"/>
          <w:lang w:val="en-ZA" w:eastAsia="en-GB" w:bidi="yi-Hebr"/>
        </w:rPr>
      </w:pPr>
    </w:p>
    <w:p w:rsidR="00DA32C4" w:rsidRPr="00DA32C4" w:rsidRDefault="00DA32C4" w:rsidP="00DA32C4">
      <w:pPr>
        <w:spacing w:after="0" w:line="240" w:lineRule="auto"/>
        <w:rPr>
          <w:rFonts w:asciiTheme="minorBidi" w:eastAsia="Times New Roman" w:hAnsiTheme="minorBidi"/>
          <w:bCs/>
          <w:sz w:val="24"/>
          <w:szCs w:val="24"/>
          <w:lang w:val="en-ZA" w:eastAsia="en-GB" w:bidi="yi-Hebr"/>
        </w:rPr>
      </w:pPr>
      <w:r w:rsidRPr="00DA32C4">
        <w:rPr>
          <w:rFonts w:asciiTheme="minorBidi" w:eastAsia="Times New Roman" w:hAnsiTheme="minorBidi"/>
          <w:bCs/>
          <w:sz w:val="24"/>
          <w:szCs w:val="24"/>
          <w:lang w:val="en-ZA" w:eastAsia="en-GB" w:bidi="yi-Hebr"/>
        </w:rPr>
        <w:t>Coram:</w:t>
      </w:r>
      <w:r w:rsidRPr="00DA32C4">
        <w:rPr>
          <w:rFonts w:asciiTheme="minorBidi" w:eastAsia="Times New Roman" w:hAnsiTheme="minorBidi"/>
          <w:bCs/>
          <w:sz w:val="24"/>
          <w:szCs w:val="24"/>
          <w:lang w:val="en-ZA" w:eastAsia="en-GB" w:bidi="yi-Hebr"/>
        </w:rPr>
        <w:tab/>
        <w:t xml:space="preserve">Mossop J </w:t>
      </w:r>
    </w:p>
    <w:p w:rsidR="00DA32C4" w:rsidRPr="00DA32C4" w:rsidRDefault="00DA32C4" w:rsidP="00DA32C4">
      <w:pPr>
        <w:spacing w:after="0" w:line="240" w:lineRule="auto"/>
        <w:rPr>
          <w:rFonts w:asciiTheme="minorBidi" w:eastAsia="Times New Roman" w:hAnsiTheme="minorBidi"/>
          <w:bCs/>
          <w:sz w:val="24"/>
          <w:szCs w:val="24"/>
          <w:lang w:val="en-ZA" w:eastAsia="en-GB" w:bidi="yi-Hebr"/>
        </w:rPr>
      </w:pPr>
    </w:p>
    <w:p w:rsidR="00DA32C4" w:rsidRPr="00DA32C4" w:rsidRDefault="00DA32C4" w:rsidP="00DA32C4">
      <w:pPr>
        <w:spacing w:after="0" w:line="240" w:lineRule="auto"/>
        <w:rPr>
          <w:rFonts w:asciiTheme="minorBidi" w:eastAsia="Times New Roman" w:hAnsiTheme="minorBidi"/>
          <w:bCs/>
          <w:sz w:val="24"/>
          <w:szCs w:val="24"/>
          <w:lang w:val="en-ZA" w:eastAsia="en-GB" w:bidi="yi-Hebr"/>
        </w:rPr>
      </w:pPr>
      <w:r w:rsidRPr="00DA32C4">
        <w:rPr>
          <w:rFonts w:asciiTheme="minorBidi" w:eastAsia="Times New Roman" w:hAnsiTheme="minorBidi"/>
          <w:bCs/>
          <w:sz w:val="24"/>
          <w:szCs w:val="24"/>
          <w:lang w:val="en-ZA" w:eastAsia="en-GB" w:bidi="yi-Hebr"/>
        </w:rPr>
        <w:t>Heard:</w:t>
      </w:r>
      <w:r w:rsidRPr="00DA32C4">
        <w:rPr>
          <w:rFonts w:asciiTheme="minorBidi" w:eastAsia="Times New Roman" w:hAnsiTheme="minorBidi"/>
          <w:bCs/>
          <w:sz w:val="24"/>
          <w:szCs w:val="24"/>
          <w:lang w:val="en-ZA" w:eastAsia="en-GB" w:bidi="yi-Hebr"/>
        </w:rPr>
        <w:tab/>
      </w:r>
      <w:r>
        <w:rPr>
          <w:rFonts w:asciiTheme="minorBidi" w:eastAsia="Times New Roman" w:hAnsiTheme="minorBidi"/>
          <w:bCs/>
          <w:sz w:val="24"/>
          <w:szCs w:val="24"/>
          <w:lang w:val="en-ZA" w:eastAsia="en-GB" w:bidi="yi-Hebr"/>
        </w:rPr>
        <w:t>14</w:t>
      </w:r>
      <w:r w:rsidRPr="00DA32C4">
        <w:rPr>
          <w:rFonts w:asciiTheme="minorBidi" w:eastAsia="Times New Roman" w:hAnsiTheme="minorBidi"/>
          <w:bCs/>
          <w:sz w:val="24"/>
          <w:szCs w:val="24"/>
          <w:lang w:val="en-ZA" w:eastAsia="en-GB" w:bidi="yi-Hebr"/>
        </w:rPr>
        <w:t xml:space="preserve"> March 2023</w:t>
      </w:r>
    </w:p>
    <w:p w:rsidR="00DA32C4" w:rsidRPr="00DA32C4" w:rsidRDefault="00DA32C4" w:rsidP="00DA32C4">
      <w:pPr>
        <w:spacing w:after="0" w:line="240" w:lineRule="auto"/>
        <w:rPr>
          <w:rFonts w:asciiTheme="minorBidi" w:eastAsia="Times New Roman" w:hAnsiTheme="minorBidi"/>
          <w:bCs/>
          <w:sz w:val="24"/>
          <w:szCs w:val="24"/>
          <w:lang w:val="en-ZA" w:eastAsia="en-GB" w:bidi="yi-Hebr"/>
        </w:rPr>
      </w:pPr>
    </w:p>
    <w:p w:rsidR="00DA32C4" w:rsidRPr="00DA32C4" w:rsidRDefault="00DA32C4" w:rsidP="00DA32C4">
      <w:pPr>
        <w:spacing w:after="0" w:line="240" w:lineRule="auto"/>
        <w:rPr>
          <w:rFonts w:asciiTheme="minorBidi" w:eastAsia="Times New Roman" w:hAnsiTheme="minorBidi"/>
          <w:bCs/>
          <w:sz w:val="24"/>
          <w:szCs w:val="24"/>
          <w:lang w:val="en-ZA" w:eastAsia="en-GB" w:bidi="yi-Hebr"/>
        </w:rPr>
      </w:pPr>
      <w:r w:rsidRPr="00DA32C4">
        <w:rPr>
          <w:rFonts w:asciiTheme="minorBidi" w:eastAsia="Times New Roman" w:hAnsiTheme="minorBidi"/>
          <w:bCs/>
          <w:sz w:val="24"/>
          <w:szCs w:val="24"/>
          <w:lang w:val="en-ZA" w:eastAsia="en-GB" w:bidi="yi-Hebr"/>
        </w:rPr>
        <w:t>Delivered:</w:t>
      </w:r>
      <w:r w:rsidRPr="00DA32C4">
        <w:rPr>
          <w:rFonts w:asciiTheme="minorBidi" w:eastAsia="Times New Roman" w:hAnsiTheme="minorBidi"/>
          <w:bCs/>
          <w:sz w:val="24"/>
          <w:szCs w:val="24"/>
          <w:lang w:val="en-ZA" w:eastAsia="en-GB" w:bidi="yi-Hebr"/>
        </w:rPr>
        <w:tab/>
      </w:r>
      <w:r w:rsidR="006D1266">
        <w:rPr>
          <w:rFonts w:asciiTheme="minorBidi" w:eastAsia="Times New Roman" w:hAnsiTheme="minorBidi"/>
          <w:bCs/>
          <w:sz w:val="24"/>
          <w:szCs w:val="24"/>
          <w:lang w:val="en-ZA" w:eastAsia="en-GB" w:bidi="yi-Hebr"/>
        </w:rPr>
        <w:t xml:space="preserve">27 </w:t>
      </w:r>
      <w:r w:rsidRPr="00DA32C4">
        <w:rPr>
          <w:rFonts w:asciiTheme="minorBidi" w:eastAsia="Times New Roman" w:hAnsiTheme="minorBidi"/>
          <w:bCs/>
          <w:sz w:val="24"/>
          <w:szCs w:val="24"/>
          <w:lang w:val="en-ZA" w:eastAsia="en-GB" w:bidi="yi-Hebr"/>
        </w:rPr>
        <w:t>March 2023</w:t>
      </w:r>
    </w:p>
    <w:p w:rsidR="00DA32C4" w:rsidRPr="00DA32C4" w:rsidRDefault="00DA32C4" w:rsidP="00DA32C4">
      <w:pPr>
        <w:spacing w:after="0" w:line="240" w:lineRule="auto"/>
        <w:rPr>
          <w:rFonts w:asciiTheme="minorBidi" w:eastAsia="Times New Roman" w:hAnsiTheme="minorBidi"/>
          <w:b/>
          <w:bCs/>
          <w:sz w:val="24"/>
          <w:szCs w:val="24"/>
          <w:lang w:val="en-ZA" w:eastAsia="en-GB" w:bidi="yi-Hebr"/>
        </w:rPr>
      </w:pPr>
    </w:p>
    <w:p w:rsidR="00E30E8A" w:rsidRPr="00D90BC2" w:rsidRDefault="00E30E8A" w:rsidP="00E30E8A">
      <w:pPr>
        <w:pBdr>
          <w:bottom w:val="single" w:sz="12" w:space="1" w:color="auto"/>
        </w:pBdr>
        <w:spacing w:after="0" w:line="240" w:lineRule="auto"/>
        <w:jc w:val="both"/>
        <w:rPr>
          <w:rFonts w:ascii="Arial" w:eastAsia="Times New Roman" w:hAnsi="Arial" w:cs="Arial"/>
          <w:b/>
          <w:bCs/>
          <w:sz w:val="24"/>
          <w:szCs w:val="24"/>
          <w:lang w:val="en-ZA" w:eastAsia="en-GB" w:bidi="yi-Hebr"/>
        </w:rPr>
      </w:pPr>
    </w:p>
    <w:p w:rsidR="00E30E8A" w:rsidRPr="00D90BC2" w:rsidRDefault="00E30E8A" w:rsidP="00E30E8A">
      <w:pPr>
        <w:spacing w:after="0" w:line="240" w:lineRule="auto"/>
        <w:jc w:val="both"/>
        <w:rPr>
          <w:rFonts w:ascii="Arial" w:eastAsia="Times New Roman" w:hAnsi="Arial" w:cs="Arial"/>
          <w:b/>
          <w:bCs/>
          <w:sz w:val="24"/>
          <w:szCs w:val="24"/>
          <w:lang w:val="en-ZA" w:eastAsia="en-GB" w:bidi="yi-Hebr"/>
        </w:rPr>
      </w:pPr>
    </w:p>
    <w:p w:rsidR="00E30E8A" w:rsidRPr="00D90BC2" w:rsidRDefault="00E30E8A" w:rsidP="00E30E8A">
      <w:pPr>
        <w:pBdr>
          <w:bottom w:val="single" w:sz="12" w:space="1" w:color="auto"/>
        </w:pBdr>
        <w:spacing w:after="0" w:line="240" w:lineRule="auto"/>
        <w:jc w:val="center"/>
        <w:rPr>
          <w:rFonts w:ascii="Arial" w:eastAsia="Times New Roman" w:hAnsi="Arial" w:cs="Arial"/>
          <w:b/>
          <w:bCs/>
          <w:sz w:val="24"/>
          <w:szCs w:val="24"/>
          <w:lang w:val="en-ZA" w:eastAsia="en-GB" w:bidi="yi-Hebr"/>
        </w:rPr>
      </w:pPr>
      <w:r w:rsidRPr="00D90BC2">
        <w:rPr>
          <w:rFonts w:ascii="Arial" w:eastAsia="Times New Roman" w:hAnsi="Arial" w:cs="Arial"/>
          <w:b/>
          <w:bCs/>
          <w:sz w:val="24"/>
          <w:szCs w:val="24"/>
          <w:lang w:val="en-ZA" w:eastAsia="en-GB" w:bidi="yi-Hebr"/>
        </w:rPr>
        <w:t>ORDER</w:t>
      </w:r>
    </w:p>
    <w:p w:rsidR="00E30E8A" w:rsidRPr="00D90BC2" w:rsidRDefault="00E30E8A" w:rsidP="00E30E8A">
      <w:pPr>
        <w:pBdr>
          <w:bottom w:val="single" w:sz="12" w:space="1" w:color="auto"/>
        </w:pBdr>
        <w:spacing w:after="0" w:line="240" w:lineRule="auto"/>
        <w:jc w:val="center"/>
        <w:rPr>
          <w:rFonts w:ascii="Arial" w:eastAsia="Times New Roman" w:hAnsi="Arial" w:cs="Arial"/>
          <w:b/>
          <w:bCs/>
          <w:sz w:val="24"/>
          <w:szCs w:val="24"/>
          <w:lang w:val="en-ZA" w:eastAsia="en-GB" w:bidi="yi-Hebr"/>
        </w:rPr>
      </w:pPr>
    </w:p>
    <w:p w:rsidR="00196C09" w:rsidRDefault="00196C09" w:rsidP="00196C09">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p>
    <w:p w:rsidR="00012BA6" w:rsidRDefault="00012BA6" w:rsidP="00196C09">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r>
        <w:rPr>
          <w:rFonts w:ascii="Arial" w:eastAsia="Times New Roman" w:hAnsi="Arial" w:cs="Arial"/>
          <w:bCs/>
          <w:sz w:val="24"/>
          <w:szCs w:val="24"/>
          <w:lang w:val="en-ZA" w:eastAsia="en-GB" w:bidi="yi-Hebr"/>
        </w:rPr>
        <w:t>The following order is granted:</w:t>
      </w:r>
    </w:p>
    <w:p w:rsidR="00352D28" w:rsidRPr="00220BDA" w:rsidRDefault="00220BDA" w:rsidP="00220BDA">
      <w:pPr>
        <w:tabs>
          <w:tab w:val="left" w:pos="709"/>
          <w:tab w:val="left" w:pos="1418"/>
        </w:tabs>
        <w:spacing w:after="0" w:line="360" w:lineRule="auto"/>
        <w:jc w:val="both"/>
        <w:rPr>
          <w:rFonts w:ascii="Arial" w:hAnsi="Arial" w:cs="Arial"/>
          <w:sz w:val="24"/>
          <w:szCs w:val="24"/>
          <w:lang w:val="en-ZA"/>
        </w:rPr>
      </w:pPr>
      <w:r w:rsidRPr="00CC26DE">
        <w:rPr>
          <w:rFonts w:ascii="Arial" w:hAnsi="Arial" w:cs="Arial"/>
          <w:sz w:val="24"/>
          <w:szCs w:val="24"/>
          <w:lang w:val="en-ZA"/>
        </w:rPr>
        <w:t>1.</w:t>
      </w:r>
      <w:r w:rsidRPr="00CC26DE">
        <w:rPr>
          <w:rFonts w:ascii="Arial" w:hAnsi="Arial" w:cs="Arial"/>
          <w:sz w:val="24"/>
          <w:szCs w:val="24"/>
          <w:lang w:val="en-ZA"/>
        </w:rPr>
        <w:tab/>
      </w:r>
      <w:r w:rsidR="00352D28" w:rsidRPr="00220BDA">
        <w:rPr>
          <w:rFonts w:ascii="Arial" w:hAnsi="Arial" w:cs="Arial"/>
          <w:sz w:val="24"/>
          <w:szCs w:val="24"/>
          <w:lang w:val="en-ZA"/>
        </w:rPr>
        <w:t>The respondent is provisionally wound up.</w:t>
      </w:r>
    </w:p>
    <w:p w:rsidR="00352D28" w:rsidRPr="00220BDA" w:rsidRDefault="00220BDA" w:rsidP="00220BDA">
      <w:pPr>
        <w:tabs>
          <w:tab w:val="left" w:pos="709"/>
          <w:tab w:val="left" w:pos="1418"/>
        </w:tabs>
        <w:spacing w:after="0" w:line="360" w:lineRule="auto"/>
        <w:jc w:val="both"/>
        <w:rPr>
          <w:rFonts w:ascii="Arial" w:hAnsi="Arial" w:cs="Arial"/>
          <w:sz w:val="24"/>
          <w:szCs w:val="24"/>
          <w:lang w:val="en-ZA"/>
        </w:rPr>
      </w:pPr>
      <w:r w:rsidRPr="00CC26DE">
        <w:rPr>
          <w:rFonts w:ascii="Arial" w:hAnsi="Arial" w:cs="Arial"/>
          <w:sz w:val="24"/>
          <w:szCs w:val="24"/>
          <w:lang w:val="en-ZA"/>
        </w:rPr>
        <w:t>2.</w:t>
      </w:r>
      <w:r w:rsidRPr="00CC26DE">
        <w:rPr>
          <w:rFonts w:ascii="Arial" w:hAnsi="Arial" w:cs="Arial"/>
          <w:sz w:val="24"/>
          <w:szCs w:val="24"/>
          <w:lang w:val="en-ZA"/>
        </w:rPr>
        <w:tab/>
      </w:r>
      <w:r w:rsidR="00352D28" w:rsidRPr="00220BDA">
        <w:rPr>
          <w:rFonts w:ascii="Arial" w:hAnsi="Arial" w:cs="Arial"/>
          <w:sz w:val="24"/>
          <w:szCs w:val="24"/>
          <w:lang w:val="en-ZA"/>
        </w:rPr>
        <w:t>A rule nisi is issued calling upon the respondent and all interested parties to show cause to this court on 16 May 2023 at 09h30, or so soon thereafter as the matter may be heard, why the respondent should not be finally wound up.</w:t>
      </w:r>
    </w:p>
    <w:p w:rsidR="00352D28"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lastRenderedPageBreak/>
        <w:t>3.</w:t>
      </w:r>
      <w:r>
        <w:rPr>
          <w:rFonts w:ascii="Arial" w:hAnsi="Arial" w:cs="Arial"/>
          <w:sz w:val="24"/>
          <w:szCs w:val="24"/>
          <w:lang w:val="en-ZA"/>
        </w:rPr>
        <w:tab/>
      </w:r>
      <w:r w:rsidR="00352D28" w:rsidRPr="00220BDA">
        <w:rPr>
          <w:rFonts w:ascii="Arial" w:hAnsi="Arial" w:cs="Arial"/>
          <w:sz w:val="24"/>
          <w:szCs w:val="24"/>
          <w:lang w:val="en-ZA"/>
        </w:rPr>
        <w:t>The relief set forth in paragraph 1 of this order shall operate as a provisional order winding up the respondent with immediate effect.</w:t>
      </w:r>
    </w:p>
    <w:p w:rsidR="00352D28" w:rsidRPr="00220BDA" w:rsidRDefault="00220BDA" w:rsidP="00220BDA">
      <w:pPr>
        <w:tabs>
          <w:tab w:val="left" w:pos="709"/>
          <w:tab w:val="left" w:pos="1418"/>
        </w:tabs>
        <w:spacing w:after="0" w:line="360" w:lineRule="auto"/>
        <w:jc w:val="both"/>
        <w:rPr>
          <w:rFonts w:ascii="Arial" w:hAnsi="Arial" w:cs="Arial"/>
          <w:sz w:val="24"/>
          <w:szCs w:val="24"/>
          <w:lang w:val="en-ZA"/>
        </w:rPr>
      </w:pPr>
      <w:r w:rsidRPr="00A61F5F">
        <w:rPr>
          <w:rFonts w:ascii="Arial" w:hAnsi="Arial" w:cs="Arial"/>
          <w:sz w:val="24"/>
          <w:szCs w:val="24"/>
          <w:lang w:val="en-ZA"/>
        </w:rPr>
        <w:t>4.</w:t>
      </w:r>
      <w:r w:rsidRPr="00A61F5F">
        <w:rPr>
          <w:rFonts w:ascii="Arial" w:hAnsi="Arial" w:cs="Arial"/>
          <w:sz w:val="24"/>
          <w:szCs w:val="24"/>
          <w:lang w:val="en-ZA"/>
        </w:rPr>
        <w:tab/>
      </w:r>
      <w:r w:rsidR="00352D28" w:rsidRPr="00220BDA">
        <w:rPr>
          <w:rFonts w:ascii="Arial" w:hAnsi="Arial" w:cs="Arial"/>
          <w:sz w:val="24"/>
          <w:szCs w:val="24"/>
          <w:lang w:val="en-ZA"/>
        </w:rPr>
        <w:t>A copy of this provisional order is to be served upon the respondent at its registered office, the Master of the High Court, the South African Revenue Service and the respondent’s employees and trade unions.</w:t>
      </w:r>
    </w:p>
    <w:p w:rsidR="00352D28" w:rsidRPr="00220BDA" w:rsidRDefault="00220BDA" w:rsidP="00220BDA">
      <w:pPr>
        <w:tabs>
          <w:tab w:val="left" w:pos="709"/>
          <w:tab w:val="left" w:pos="1418"/>
        </w:tabs>
        <w:spacing w:after="0" w:line="360" w:lineRule="auto"/>
        <w:jc w:val="both"/>
        <w:rPr>
          <w:rFonts w:ascii="Arial" w:hAnsi="Arial" w:cs="Arial"/>
          <w:sz w:val="24"/>
          <w:szCs w:val="24"/>
          <w:lang w:val="en-ZA"/>
        </w:rPr>
      </w:pPr>
      <w:r w:rsidRPr="007133DB">
        <w:rPr>
          <w:rFonts w:ascii="Arial" w:hAnsi="Arial" w:cs="Arial"/>
          <w:sz w:val="24"/>
          <w:szCs w:val="24"/>
          <w:lang w:val="en-ZA"/>
        </w:rPr>
        <w:t>5.</w:t>
      </w:r>
      <w:r w:rsidRPr="007133DB">
        <w:rPr>
          <w:rFonts w:ascii="Arial" w:hAnsi="Arial" w:cs="Arial"/>
          <w:sz w:val="24"/>
          <w:szCs w:val="24"/>
          <w:lang w:val="en-ZA"/>
        </w:rPr>
        <w:tab/>
      </w:r>
      <w:r w:rsidR="00352D28" w:rsidRPr="00220BDA">
        <w:rPr>
          <w:rFonts w:ascii="Arial" w:hAnsi="Arial" w:cs="Arial"/>
          <w:sz w:val="24"/>
          <w:szCs w:val="24"/>
          <w:lang w:val="en-ZA"/>
        </w:rPr>
        <w:t xml:space="preserve">A copy of the provisional order is to be published on or before 28 April 2023, once in the </w:t>
      </w:r>
      <w:r w:rsidR="00352D28" w:rsidRPr="00220BDA">
        <w:rPr>
          <w:rFonts w:ascii="Arial" w:hAnsi="Arial" w:cs="Arial"/>
          <w:i/>
          <w:sz w:val="24"/>
          <w:szCs w:val="24"/>
          <w:lang w:val="en-ZA"/>
        </w:rPr>
        <w:t>Government Gazette</w:t>
      </w:r>
      <w:r w:rsidR="00352D28" w:rsidRPr="00220BDA">
        <w:rPr>
          <w:rFonts w:ascii="Arial" w:hAnsi="Arial" w:cs="Arial"/>
          <w:sz w:val="24"/>
          <w:szCs w:val="24"/>
          <w:lang w:val="en-ZA"/>
        </w:rPr>
        <w:t xml:space="preserve"> and once in a daily newspaper published and circulating in KwaZulu-Natal.                                                        </w:t>
      </w:r>
    </w:p>
    <w:p w:rsidR="00352D28" w:rsidRPr="00220BDA" w:rsidRDefault="00220BDA" w:rsidP="00220BDA">
      <w:pPr>
        <w:tabs>
          <w:tab w:val="left" w:pos="709"/>
          <w:tab w:val="left" w:pos="1418"/>
        </w:tabs>
        <w:spacing w:after="0" w:line="360" w:lineRule="auto"/>
        <w:jc w:val="both"/>
        <w:rPr>
          <w:rFonts w:ascii="Arial" w:hAnsi="Arial" w:cs="Arial"/>
          <w:sz w:val="24"/>
          <w:szCs w:val="24"/>
          <w:lang w:val="en-ZA"/>
        </w:rPr>
      </w:pPr>
      <w:r w:rsidRPr="00AE2AD4">
        <w:rPr>
          <w:rFonts w:ascii="Arial" w:hAnsi="Arial" w:cs="Arial"/>
          <w:sz w:val="24"/>
          <w:szCs w:val="24"/>
          <w:lang w:val="en-ZA"/>
        </w:rPr>
        <w:t>6.</w:t>
      </w:r>
      <w:r w:rsidRPr="00AE2AD4">
        <w:rPr>
          <w:rFonts w:ascii="Arial" w:hAnsi="Arial" w:cs="Arial"/>
          <w:sz w:val="24"/>
          <w:szCs w:val="24"/>
          <w:lang w:val="en-ZA"/>
        </w:rPr>
        <w:tab/>
      </w:r>
      <w:r w:rsidR="00352D28" w:rsidRPr="00220BDA">
        <w:rPr>
          <w:rFonts w:ascii="Arial" w:hAnsi="Arial" w:cs="Arial"/>
          <w:sz w:val="24"/>
          <w:szCs w:val="24"/>
          <w:lang w:val="en-ZA"/>
        </w:rPr>
        <w:t>The costs of this application shall be costs in the winding-up of the respondent.</w:t>
      </w:r>
    </w:p>
    <w:p w:rsidR="008213B2" w:rsidRDefault="008213B2" w:rsidP="00CC26DE">
      <w:pPr>
        <w:pBdr>
          <w:bottom w:val="single" w:sz="12" w:space="1" w:color="auto"/>
        </w:pBdr>
        <w:tabs>
          <w:tab w:val="left" w:pos="709"/>
        </w:tabs>
        <w:spacing w:after="0" w:line="240" w:lineRule="auto"/>
        <w:jc w:val="both"/>
        <w:rPr>
          <w:rFonts w:ascii="Arial" w:eastAsia="Times New Roman" w:hAnsi="Arial" w:cs="Arial"/>
          <w:b/>
          <w:bCs/>
          <w:sz w:val="24"/>
          <w:szCs w:val="24"/>
          <w:lang w:val="en-ZA" w:eastAsia="en-GB" w:bidi="yi-Hebr"/>
        </w:rPr>
      </w:pPr>
    </w:p>
    <w:p w:rsidR="00012BA6" w:rsidRPr="00D90BC2" w:rsidRDefault="00012BA6" w:rsidP="00E30E8A">
      <w:pPr>
        <w:pBdr>
          <w:bottom w:val="single" w:sz="12" w:space="1" w:color="auto"/>
        </w:pBdr>
        <w:spacing w:after="0" w:line="240" w:lineRule="auto"/>
        <w:jc w:val="both"/>
        <w:rPr>
          <w:rFonts w:ascii="Arial" w:eastAsia="Times New Roman" w:hAnsi="Arial" w:cs="Arial"/>
          <w:b/>
          <w:bCs/>
          <w:sz w:val="24"/>
          <w:szCs w:val="24"/>
          <w:lang w:val="en-ZA" w:eastAsia="en-GB" w:bidi="yi-Hebr"/>
        </w:rPr>
      </w:pPr>
    </w:p>
    <w:p w:rsidR="00E30E8A" w:rsidRPr="00D90BC2" w:rsidRDefault="00E30E8A" w:rsidP="00E30E8A">
      <w:pPr>
        <w:spacing w:after="0" w:line="240" w:lineRule="auto"/>
        <w:jc w:val="both"/>
        <w:rPr>
          <w:rFonts w:ascii="Arial" w:eastAsia="Times New Roman" w:hAnsi="Arial" w:cs="Arial"/>
          <w:b/>
          <w:bCs/>
          <w:sz w:val="24"/>
          <w:szCs w:val="24"/>
          <w:lang w:val="en-ZA" w:eastAsia="en-GB" w:bidi="yi-Hebr"/>
        </w:rPr>
      </w:pPr>
    </w:p>
    <w:p w:rsidR="00E30E8A" w:rsidRPr="00D90BC2" w:rsidRDefault="00E30E8A" w:rsidP="00E30E8A">
      <w:pPr>
        <w:pBdr>
          <w:bottom w:val="single" w:sz="12" w:space="1" w:color="auto"/>
        </w:pBdr>
        <w:spacing w:after="0" w:line="240" w:lineRule="auto"/>
        <w:jc w:val="center"/>
        <w:rPr>
          <w:rFonts w:ascii="Arial" w:eastAsia="Times New Roman" w:hAnsi="Arial" w:cs="Arial"/>
          <w:b/>
          <w:bCs/>
          <w:sz w:val="24"/>
          <w:szCs w:val="24"/>
          <w:lang w:val="en-ZA" w:eastAsia="en-GB" w:bidi="yi-Hebr"/>
        </w:rPr>
      </w:pPr>
      <w:r w:rsidRPr="00D90BC2">
        <w:rPr>
          <w:rFonts w:ascii="Arial" w:eastAsia="Times New Roman" w:hAnsi="Arial" w:cs="Arial"/>
          <w:b/>
          <w:bCs/>
          <w:sz w:val="24"/>
          <w:szCs w:val="24"/>
          <w:lang w:val="en-ZA" w:eastAsia="en-GB" w:bidi="yi-Hebr"/>
        </w:rPr>
        <w:t>JUDGMENT</w:t>
      </w:r>
    </w:p>
    <w:p w:rsidR="00E30E8A" w:rsidRPr="00D90BC2" w:rsidRDefault="00E30E8A" w:rsidP="00E30E8A">
      <w:pPr>
        <w:pBdr>
          <w:bottom w:val="single" w:sz="12" w:space="1" w:color="auto"/>
        </w:pBdr>
        <w:spacing w:after="0" w:line="240" w:lineRule="auto"/>
        <w:jc w:val="center"/>
        <w:rPr>
          <w:rFonts w:ascii="Arial" w:eastAsia="Times New Roman" w:hAnsi="Arial" w:cs="Arial"/>
          <w:b/>
          <w:bCs/>
          <w:sz w:val="24"/>
          <w:szCs w:val="24"/>
          <w:lang w:val="en-ZA" w:eastAsia="en-GB" w:bidi="yi-Hebr"/>
        </w:rPr>
      </w:pPr>
    </w:p>
    <w:p w:rsidR="00E30E8A" w:rsidRPr="00D90BC2" w:rsidRDefault="00E30E8A" w:rsidP="00E30E8A">
      <w:pPr>
        <w:spacing w:after="0" w:line="240" w:lineRule="auto"/>
        <w:jc w:val="both"/>
        <w:rPr>
          <w:rFonts w:ascii="Arial" w:eastAsia="Times New Roman" w:hAnsi="Arial" w:cs="Arial"/>
          <w:b/>
          <w:bCs/>
          <w:sz w:val="24"/>
          <w:szCs w:val="24"/>
          <w:lang w:val="en-ZA" w:eastAsia="en-GB" w:bidi="yi-Hebr"/>
        </w:rPr>
      </w:pPr>
    </w:p>
    <w:p w:rsidR="00DA32C4" w:rsidRDefault="00DA32C4" w:rsidP="003E1994">
      <w:pPr>
        <w:spacing w:after="0" w:line="360" w:lineRule="auto"/>
        <w:jc w:val="both"/>
        <w:rPr>
          <w:rFonts w:ascii="Arial" w:eastAsia="Times New Roman" w:hAnsi="Arial" w:cs="Arial"/>
          <w:b/>
          <w:sz w:val="24"/>
          <w:szCs w:val="24"/>
          <w:lang w:val="en-ZA" w:eastAsia="en-GB" w:bidi="yi-Hebr"/>
        </w:rPr>
      </w:pPr>
    </w:p>
    <w:p w:rsidR="00E30E8A" w:rsidRPr="00D90BC2" w:rsidRDefault="000D24DB" w:rsidP="003E1994">
      <w:pPr>
        <w:spacing w:after="0" w:line="360" w:lineRule="auto"/>
        <w:jc w:val="both"/>
        <w:rPr>
          <w:rFonts w:ascii="Arial" w:eastAsia="Times New Roman" w:hAnsi="Arial" w:cs="Arial"/>
          <w:b/>
          <w:bCs/>
          <w:sz w:val="24"/>
          <w:szCs w:val="24"/>
          <w:lang w:val="en-ZA" w:eastAsia="en-GB" w:bidi="yi-Hebr"/>
        </w:rPr>
      </w:pPr>
      <w:r w:rsidRPr="00D90BC2">
        <w:rPr>
          <w:rFonts w:ascii="Arial" w:eastAsia="Times New Roman" w:hAnsi="Arial" w:cs="Arial"/>
          <w:b/>
          <w:sz w:val="24"/>
          <w:szCs w:val="24"/>
          <w:lang w:val="en-ZA" w:eastAsia="en-GB" w:bidi="yi-Hebr"/>
        </w:rPr>
        <w:t>M</w:t>
      </w:r>
      <w:r w:rsidR="00E721D2" w:rsidRPr="00D90BC2">
        <w:rPr>
          <w:rFonts w:ascii="Arial" w:eastAsia="Times New Roman" w:hAnsi="Arial" w:cs="Arial"/>
          <w:b/>
          <w:sz w:val="24"/>
          <w:szCs w:val="24"/>
          <w:lang w:val="en-ZA" w:eastAsia="en-GB" w:bidi="yi-Hebr"/>
        </w:rPr>
        <w:t>OSSOP</w:t>
      </w:r>
      <w:r w:rsidRPr="00D90BC2">
        <w:rPr>
          <w:rFonts w:ascii="Arial" w:eastAsia="Times New Roman" w:hAnsi="Arial" w:cs="Arial"/>
          <w:b/>
          <w:sz w:val="24"/>
          <w:szCs w:val="24"/>
          <w:lang w:val="en-ZA" w:eastAsia="en-GB" w:bidi="yi-Hebr"/>
        </w:rPr>
        <w:t xml:space="preserve"> </w:t>
      </w:r>
      <w:r w:rsidR="00A716F4" w:rsidRPr="00D90BC2">
        <w:rPr>
          <w:rFonts w:ascii="Arial" w:eastAsia="Times New Roman" w:hAnsi="Arial" w:cs="Arial"/>
          <w:b/>
          <w:sz w:val="24"/>
          <w:szCs w:val="24"/>
          <w:lang w:val="en-ZA" w:eastAsia="en-GB" w:bidi="yi-Hebr"/>
        </w:rPr>
        <w:t>J</w:t>
      </w:r>
      <w:r w:rsidRPr="00D90BC2">
        <w:rPr>
          <w:rFonts w:ascii="Arial" w:eastAsia="Times New Roman" w:hAnsi="Arial" w:cs="Arial"/>
          <w:b/>
          <w:bCs/>
          <w:sz w:val="24"/>
          <w:szCs w:val="24"/>
          <w:lang w:val="en-ZA" w:eastAsia="en-GB" w:bidi="yi-Hebr"/>
        </w:rPr>
        <w:t>:</w:t>
      </w:r>
    </w:p>
    <w:p w:rsidR="00C86E89" w:rsidRPr="00D90BC2" w:rsidRDefault="00C86E89" w:rsidP="003E1994">
      <w:pPr>
        <w:spacing w:after="0" w:line="360" w:lineRule="auto"/>
        <w:jc w:val="both"/>
        <w:rPr>
          <w:rFonts w:ascii="Arial" w:eastAsia="Times New Roman" w:hAnsi="Arial" w:cs="Arial"/>
          <w:b/>
          <w:bCs/>
          <w:sz w:val="24"/>
          <w:szCs w:val="24"/>
          <w:lang w:val="en-ZA" w:eastAsia="en-GB" w:bidi="yi-Hebr"/>
        </w:rPr>
      </w:pPr>
    </w:p>
    <w:p w:rsidR="00DA32C4"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[1</w:t>
      </w:r>
      <w:bookmarkStart w:id="0" w:name="_GoBack"/>
      <w:bookmarkEnd w:id="0"/>
      <w:r>
        <w:rPr>
          <w:rFonts w:ascii="Arial" w:hAnsi="Arial" w:cs="Arial"/>
          <w:sz w:val="24"/>
          <w:szCs w:val="24"/>
          <w:lang w:val="en-ZA"/>
        </w:rPr>
        <w:t>]</w:t>
      </w:r>
      <w:r>
        <w:rPr>
          <w:rFonts w:ascii="Arial" w:hAnsi="Arial" w:cs="Arial"/>
          <w:sz w:val="24"/>
          <w:szCs w:val="24"/>
          <w:lang w:val="en-ZA"/>
        </w:rPr>
        <w:tab/>
      </w:r>
      <w:r w:rsidR="00FD4B5B" w:rsidRPr="00220BDA">
        <w:rPr>
          <w:rFonts w:ascii="Arial" w:hAnsi="Arial" w:cs="Arial"/>
          <w:sz w:val="24"/>
          <w:szCs w:val="24"/>
          <w:lang w:val="en-ZA"/>
        </w:rPr>
        <w:t xml:space="preserve"> </w:t>
      </w:r>
      <w:r w:rsidR="00DA32C4" w:rsidRPr="00220BDA">
        <w:rPr>
          <w:rFonts w:ascii="Arial" w:hAnsi="Arial" w:cs="Arial"/>
          <w:sz w:val="24"/>
          <w:szCs w:val="24"/>
          <w:lang w:val="en-ZA"/>
        </w:rPr>
        <w:t>This is an opposed application in which the applica</w:t>
      </w:r>
      <w:r w:rsidR="00D407D8" w:rsidRPr="00220BDA">
        <w:rPr>
          <w:rFonts w:ascii="Arial" w:hAnsi="Arial" w:cs="Arial"/>
          <w:sz w:val="24"/>
          <w:szCs w:val="24"/>
          <w:lang w:val="en-ZA"/>
        </w:rPr>
        <w:t>n</w:t>
      </w:r>
      <w:r w:rsidR="007133DB" w:rsidRPr="00220BDA">
        <w:rPr>
          <w:rFonts w:ascii="Arial" w:hAnsi="Arial" w:cs="Arial"/>
          <w:sz w:val="24"/>
          <w:szCs w:val="24"/>
          <w:lang w:val="en-ZA"/>
        </w:rPr>
        <w:t>t</w:t>
      </w:r>
      <w:r w:rsidR="00DA32C4" w:rsidRPr="00220BDA">
        <w:rPr>
          <w:rFonts w:ascii="Arial" w:hAnsi="Arial" w:cs="Arial"/>
          <w:sz w:val="24"/>
          <w:szCs w:val="24"/>
          <w:lang w:val="en-ZA"/>
        </w:rPr>
        <w:t xml:space="preserve"> seeks an order provisionally liquidating the respondent. The grounds </w:t>
      </w:r>
      <w:r w:rsidR="00BC645C" w:rsidRPr="00220BDA">
        <w:rPr>
          <w:rFonts w:ascii="Arial" w:hAnsi="Arial" w:cs="Arial"/>
          <w:sz w:val="24"/>
          <w:szCs w:val="24"/>
          <w:lang w:val="en-ZA"/>
        </w:rPr>
        <w:t>for</w:t>
      </w:r>
      <w:r w:rsidR="00DA32C4" w:rsidRPr="00220BDA">
        <w:rPr>
          <w:rFonts w:ascii="Arial" w:hAnsi="Arial" w:cs="Arial"/>
          <w:sz w:val="24"/>
          <w:szCs w:val="24"/>
          <w:lang w:val="en-ZA"/>
        </w:rPr>
        <w:t xml:space="preserve"> the relief claimed is that the respondent is deemed to be insolvent </w:t>
      </w:r>
      <w:r w:rsidR="00BC645C" w:rsidRPr="00220BDA">
        <w:rPr>
          <w:rFonts w:ascii="Arial" w:hAnsi="Arial" w:cs="Arial"/>
          <w:sz w:val="24"/>
          <w:szCs w:val="24"/>
          <w:lang w:val="en-ZA"/>
        </w:rPr>
        <w:t>by virtue</w:t>
      </w:r>
      <w:r w:rsidR="00DA32C4" w:rsidRPr="00220BDA">
        <w:rPr>
          <w:rFonts w:ascii="Arial" w:hAnsi="Arial" w:cs="Arial"/>
          <w:sz w:val="24"/>
          <w:szCs w:val="24"/>
          <w:lang w:val="en-ZA"/>
        </w:rPr>
        <w:t xml:space="preserve"> of the provisions of section 344</w:t>
      </w:r>
      <w:r w:rsidR="00DA32C4" w:rsidRPr="00220BDA">
        <w:rPr>
          <w:rFonts w:ascii="Arial" w:hAnsi="Arial" w:cs="Arial"/>
          <w:i/>
          <w:sz w:val="24"/>
          <w:szCs w:val="24"/>
          <w:lang w:val="en-ZA"/>
        </w:rPr>
        <w:t>(f)</w:t>
      </w:r>
      <w:r w:rsidR="00BC645C" w:rsidRPr="00220BDA">
        <w:rPr>
          <w:rFonts w:ascii="Arial" w:hAnsi="Arial" w:cs="Arial"/>
          <w:sz w:val="24"/>
          <w:szCs w:val="24"/>
          <w:lang w:val="en-ZA"/>
        </w:rPr>
        <w:t>,</w:t>
      </w:r>
      <w:r w:rsidR="00DA32C4" w:rsidRPr="00220BDA">
        <w:rPr>
          <w:rFonts w:ascii="Arial" w:hAnsi="Arial" w:cs="Arial"/>
          <w:sz w:val="24"/>
          <w:szCs w:val="24"/>
          <w:lang w:val="en-ZA"/>
        </w:rPr>
        <w:t xml:space="preserve"> read with section 345(1)</w:t>
      </w:r>
      <w:r w:rsidR="00DA32C4" w:rsidRPr="00220BDA">
        <w:rPr>
          <w:rFonts w:ascii="Arial" w:hAnsi="Arial" w:cs="Arial"/>
          <w:i/>
          <w:sz w:val="24"/>
          <w:szCs w:val="24"/>
          <w:lang w:val="en-ZA"/>
        </w:rPr>
        <w:t xml:space="preserve">(a) </w:t>
      </w:r>
      <w:r w:rsidR="00DA32C4" w:rsidRPr="00220BDA">
        <w:rPr>
          <w:rFonts w:ascii="Arial" w:hAnsi="Arial" w:cs="Arial"/>
          <w:sz w:val="24"/>
          <w:szCs w:val="24"/>
          <w:lang w:val="en-ZA"/>
        </w:rPr>
        <w:t xml:space="preserve">and </w:t>
      </w:r>
      <w:r w:rsidR="00DA32C4" w:rsidRPr="00220BDA">
        <w:rPr>
          <w:rFonts w:ascii="Arial" w:hAnsi="Arial" w:cs="Arial"/>
          <w:i/>
          <w:sz w:val="24"/>
          <w:szCs w:val="24"/>
          <w:lang w:val="en-ZA"/>
        </w:rPr>
        <w:t>(c)</w:t>
      </w:r>
      <w:r w:rsidR="00BC645C" w:rsidRPr="00220BDA">
        <w:rPr>
          <w:rFonts w:ascii="Arial" w:hAnsi="Arial" w:cs="Arial"/>
          <w:sz w:val="24"/>
          <w:szCs w:val="24"/>
          <w:lang w:val="en-ZA"/>
        </w:rPr>
        <w:t>,</w:t>
      </w:r>
      <w:r w:rsidR="00DA32C4" w:rsidRPr="00220BDA">
        <w:rPr>
          <w:rFonts w:ascii="Arial" w:hAnsi="Arial" w:cs="Arial"/>
          <w:sz w:val="24"/>
          <w:szCs w:val="24"/>
          <w:lang w:val="en-ZA"/>
        </w:rPr>
        <w:t xml:space="preserve"> of the Companies Act 61 of 1973 (the old Act), as read with item 9 of Schedule 5 of the Companies Act 71 of 2008.</w:t>
      </w:r>
    </w:p>
    <w:p w:rsidR="005D4314" w:rsidRDefault="005D4314" w:rsidP="005D4314">
      <w:pPr>
        <w:pStyle w:val="ListParagraph"/>
        <w:tabs>
          <w:tab w:val="left" w:pos="709"/>
          <w:tab w:val="left" w:pos="1418"/>
        </w:tabs>
        <w:spacing w:after="0" w:line="360" w:lineRule="auto"/>
        <w:ind w:left="0"/>
        <w:jc w:val="both"/>
        <w:rPr>
          <w:rFonts w:ascii="Arial" w:hAnsi="Arial" w:cs="Arial"/>
          <w:sz w:val="24"/>
          <w:szCs w:val="24"/>
          <w:lang w:val="en-ZA"/>
        </w:rPr>
      </w:pPr>
    </w:p>
    <w:p w:rsidR="005D4314"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sidR="005D4314" w:rsidRPr="00220BDA">
        <w:rPr>
          <w:rFonts w:ascii="Arial" w:hAnsi="Arial" w:cs="Arial"/>
          <w:sz w:val="24"/>
          <w:szCs w:val="24"/>
          <w:lang w:val="en-ZA"/>
        </w:rPr>
        <w:t xml:space="preserve">The applicant was represented when the matter was argued by Mr Pietersen and the respondent was represented by </w:t>
      </w:r>
      <w:r w:rsidR="00F75E64" w:rsidRPr="00220BDA">
        <w:rPr>
          <w:rFonts w:ascii="Arial" w:hAnsi="Arial" w:cs="Arial"/>
          <w:sz w:val="24"/>
          <w:szCs w:val="24"/>
          <w:lang w:val="en-ZA"/>
        </w:rPr>
        <w:t xml:space="preserve">Mr Kissoon Singh SC </w:t>
      </w:r>
      <w:r w:rsidR="00D407D8" w:rsidRPr="00220BDA">
        <w:rPr>
          <w:rFonts w:ascii="Arial" w:hAnsi="Arial" w:cs="Arial"/>
          <w:sz w:val="24"/>
          <w:szCs w:val="24"/>
          <w:lang w:val="en-ZA"/>
        </w:rPr>
        <w:t>who</w:t>
      </w:r>
      <w:r w:rsidR="00F75E64" w:rsidRPr="00220BDA">
        <w:rPr>
          <w:rFonts w:ascii="Arial" w:hAnsi="Arial" w:cs="Arial"/>
          <w:sz w:val="24"/>
          <w:szCs w:val="24"/>
          <w:lang w:val="en-ZA"/>
        </w:rPr>
        <w:t>, I must point out,</w:t>
      </w:r>
      <w:r w:rsidR="00D407D8" w:rsidRPr="00220BDA">
        <w:rPr>
          <w:rFonts w:ascii="Arial" w:hAnsi="Arial" w:cs="Arial"/>
          <w:sz w:val="24"/>
          <w:szCs w:val="24"/>
          <w:lang w:val="en-ZA"/>
        </w:rPr>
        <w:t xml:space="preserve"> did not draw the </w:t>
      </w:r>
      <w:r w:rsidR="0023662F" w:rsidRPr="00220BDA">
        <w:rPr>
          <w:rFonts w:ascii="Arial" w:hAnsi="Arial" w:cs="Arial"/>
          <w:sz w:val="24"/>
          <w:szCs w:val="24"/>
          <w:lang w:val="en-ZA"/>
        </w:rPr>
        <w:t xml:space="preserve">respondent’s </w:t>
      </w:r>
      <w:r w:rsidR="00D407D8" w:rsidRPr="00220BDA">
        <w:rPr>
          <w:rFonts w:ascii="Arial" w:hAnsi="Arial" w:cs="Arial"/>
          <w:sz w:val="24"/>
          <w:szCs w:val="24"/>
          <w:lang w:val="en-ZA"/>
        </w:rPr>
        <w:t>heads of argument</w:t>
      </w:r>
      <w:r w:rsidR="0023662F" w:rsidRPr="00220BDA">
        <w:rPr>
          <w:rFonts w:ascii="Arial" w:hAnsi="Arial" w:cs="Arial"/>
          <w:sz w:val="24"/>
          <w:szCs w:val="24"/>
          <w:lang w:val="en-ZA"/>
        </w:rPr>
        <w:t>.</w:t>
      </w:r>
      <w:r w:rsidR="005D4314" w:rsidRPr="00220BDA">
        <w:rPr>
          <w:rFonts w:ascii="Arial" w:hAnsi="Arial" w:cs="Arial"/>
          <w:sz w:val="24"/>
          <w:szCs w:val="24"/>
          <w:lang w:val="en-ZA"/>
        </w:rPr>
        <w:t xml:space="preserve"> Both counsel are thanked for the assistance that they have provided to the court.</w:t>
      </w:r>
    </w:p>
    <w:p w:rsidR="00DA32C4" w:rsidRDefault="00DA32C4" w:rsidP="00DA32C4">
      <w:pPr>
        <w:pStyle w:val="ListParagraph"/>
        <w:tabs>
          <w:tab w:val="left" w:pos="709"/>
          <w:tab w:val="left" w:pos="1418"/>
        </w:tabs>
        <w:spacing w:after="0" w:line="360" w:lineRule="auto"/>
        <w:ind w:left="0"/>
        <w:jc w:val="both"/>
        <w:rPr>
          <w:rFonts w:ascii="Arial" w:hAnsi="Arial" w:cs="Arial"/>
          <w:sz w:val="24"/>
          <w:szCs w:val="24"/>
          <w:lang w:val="en-ZA"/>
        </w:rPr>
      </w:pPr>
    </w:p>
    <w:p w:rsidR="00AF7E2F"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00DA32C4" w:rsidRPr="00220BDA">
        <w:rPr>
          <w:rFonts w:ascii="Arial" w:hAnsi="Arial" w:cs="Arial"/>
          <w:sz w:val="24"/>
          <w:szCs w:val="24"/>
          <w:lang w:val="en-ZA"/>
        </w:rPr>
        <w:t xml:space="preserve">The applicant is a </w:t>
      </w:r>
      <w:r w:rsidR="00DA31EF" w:rsidRPr="00220BDA">
        <w:rPr>
          <w:rFonts w:ascii="Arial" w:hAnsi="Arial" w:cs="Arial"/>
          <w:sz w:val="24"/>
          <w:szCs w:val="24"/>
          <w:lang w:val="en-ZA"/>
        </w:rPr>
        <w:t>major</w:t>
      </w:r>
      <w:r w:rsidR="00DA32C4" w:rsidRPr="00220BDA">
        <w:rPr>
          <w:rFonts w:ascii="Arial" w:hAnsi="Arial" w:cs="Arial"/>
          <w:sz w:val="24"/>
          <w:szCs w:val="24"/>
          <w:lang w:val="en-ZA"/>
        </w:rPr>
        <w:t xml:space="preserve"> financ</w:t>
      </w:r>
      <w:r w:rsidR="00DA31EF" w:rsidRPr="00220BDA">
        <w:rPr>
          <w:rFonts w:ascii="Arial" w:hAnsi="Arial" w:cs="Arial"/>
          <w:sz w:val="24"/>
          <w:szCs w:val="24"/>
          <w:lang w:val="en-ZA"/>
        </w:rPr>
        <w:t>ial</w:t>
      </w:r>
      <w:r w:rsidR="00DA32C4" w:rsidRPr="00220BDA">
        <w:rPr>
          <w:rFonts w:ascii="Arial" w:hAnsi="Arial" w:cs="Arial"/>
          <w:sz w:val="24"/>
          <w:szCs w:val="24"/>
          <w:lang w:val="en-ZA"/>
        </w:rPr>
        <w:t xml:space="preserve"> institution that operates throughout South Africa. The respondent is a </w:t>
      </w:r>
      <w:r w:rsidR="00526555" w:rsidRPr="00220BDA">
        <w:rPr>
          <w:rFonts w:ascii="Arial" w:hAnsi="Arial" w:cs="Arial"/>
          <w:sz w:val="24"/>
          <w:szCs w:val="24"/>
          <w:lang w:val="en-ZA"/>
        </w:rPr>
        <w:t>private company</w:t>
      </w:r>
      <w:r w:rsidR="00DA32C4" w:rsidRPr="00220BDA">
        <w:rPr>
          <w:rFonts w:ascii="Arial" w:hAnsi="Arial" w:cs="Arial"/>
          <w:sz w:val="24"/>
          <w:szCs w:val="24"/>
          <w:lang w:val="en-ZA"/>
        </w:rPr>
        <w:t xml:space="preserve"> based in </w:t>
      </w:r>
      <w:r w:rsidR="004D5D74" w:rsidRPr="00220BDA">
        <w:rPr>
          <w:rFonts w:ascii="Arial" w:hAnsi="Arial" w:cs="Arial"/>
          <w:sz w:val="24"/>
          <w:szCs w:val="24"/>
          <w:lang w:val="en-ZA"/>
        </w:rPr>
        <w:t>KwaDukuza</w:t>
      </w:r>
      <w:r w:rsidR="00BC645C" w:rsidRPr="00220BDA">
        <w:rPr>
          <w:rFonts w:ascii="Arial" w:hAnsi="Arial" w:cs="Arial"/>
          <w:sz w:val="24"/>
          <w:szCs w:val="24"/>
          <w:lang w:val="en-ZA"/>
        </w:rPr>
        <w:t>, KwaZulu-Natal</w:t>
      </w:r>
      <w:r w:rsidR="004D5D74" w:rsidRPr="00220BDA">
        <w:rPr>
          <w:rFonts w:ascii="Arial" w:hAnsi="Arial" w:cs="Arial"/>
          <w:sz w:val="24"/>
          <w:szCs w:val="24"/>
          <w:lang w:val="en-ZA"/>
        </w:rPr>
        <w:t xml:space="preserve">. On </w:t>
      </w:r>
      <w:r w:rsidR="00382F76" w:rsidRPr="00220BDA">
        <w:rPr>
          <w:rFonts w:ascii="Arial" w:hAnsi="Arial" w:cs="Arial"/>
          <w:sz w:val="24"/>
          <w:szCs w:val="24"/>
          <w:lang w:val="en-ZA"/>
        </w:rPr>
        <w:t>19 June 2019</w:t>
      </w:r>
      <w:r w:rsidR="004D5D74" w:rsidRPr="00220BDA">
        <w:rPr>
          <w:rFonts w:ascii="Arial" w:hAnsi="Arial" w:cs="Arial"/>
          <w:sz w:val="24"/>
          <w:szCs w:val="24"/>
          <w:lang w:val="en-ZA"/>
        </w:rPr>
        <w:t>, the parties concluded a</w:t>
      </w:r>
      <w:r w:rsidR="003A3F20" w:rsidRPr="00220BDA">
        <w:rPr>
          <w:rFonts w:ascii="Arial" w:hAnsi="Arial" w:cs="Arial"/>
          <w:sz w:val="24"/>
          <w:szCs w:val="24"/>
          <w:lang w:val="en-ZA"/>
        </w:rPr>
        <w:t xml:space="preserve"> written agreement</w:t>
      </w:r>
      <w:r w:rsidR="008A76FB" w:rsidRPr="00220BDA">
        <w:rPr>
          <w:rFonts w:ascii="Arial" w:hAnsi="Arial" w:cs="Arial"/>
          <w:sz w:val="24"/>
          <w:szCs w:val="24"/>
          <w:lang w:val="en-ZA"/>
        </w:rPr>
        <w:t>,</w:t>
      </w:r>
      <w:r w:rsidR="003A3F20" w:rsidRPr="00220BDA">
        <w:rPr>
          <w:rFonts w:ascii="Arial" w:hAnsi="Arial" w:cs="Arial"/>
          <w:sz w:val="24"/>
          <w:szCs w:val="24"/>
          <w:lang w:val="en-ZA"/>
        </w:rPr>
        <w:t xml:space="preserve"> described on the face of that document as being a ‘Mortgage Backed Business Loan’</w:t>
      </w:r>
      <w:r w:rsidR="004D5D74" w:rsidRPr="00220BDA">
        <w:rPr>
          <w:rFonts w:ascii="Arial" w:hAnsi="Arial" w:cs="Arial"/>
          <w:sz w:val="24"/>
          <w:szCs w:val="24"/>
          <w:lang w:val="en-ZA"/>
        </w:rPr>
        <w:t xml:space="preserve"> </w:t>
      </w:r>
      <w:r w:rsidR="00C12176" w:rsidRPr="00220BDA">
        <w:rPr>
          <w:rFonts w:ascii="Arial" w:hAnsi="Arial" w:cs="Arial"/>
          <w:sz w:val="24"/>
          <w:szCs w:val="24"/>
          <w:lang w:val="en-ZA"/>
        </w:rPr>
        <w:t>(the agreement)</w:t>
      </w:r>
      <w:r w:rsidR="00526555" w:rsidRPr="00220BDA">
        <w:rPr>
          <w:rFonts w:ascii="Arial" w:hAnsi="Arial" w:cs="Arial"/>
          <w:sz w:val="24"/>
          <w:szCs w:val="24"/>
          <w:lang w:val="en-ZA"/>
        </w:rPr>
        <w:t>,</w:t>
      </w:r>
      <w:r w:rsidR="00C12176" w:rsidRPr="00220BDA">
        <w:rPr>
          <w:rFonts w:ascii="Arial" w:hAnsi="Arial" w:cs="Arial"/>
          <w:sz w:val="24"/>
          <w:szCs w:val="24"/>
          <w:lang w:val="en-ZA"/>
        </w:rPr>
        <w:t xml:space="preserve"> </w:t>
      </w:r>
      <w:r w:rsidR="004D5D74" w:rsidRPr="00220BDA">
        <w:rPr>
          <w:rFonts w:ascii="Arial" w:hAnsi="Arial" w:cs="Arial"/>
          <w:sz w:val="24"/>
          <w:szCs w:val="24"/>
          <w:lang w:val="en-ZA"/>
        </w:rPr>
        <w:t xml:space="preserve">in terms of which the applicant agreed to advance </w:t>
      </w:r>
      <w:r w:rsidR="00526555" w:rsidRPr="00220BDA">
        <w:rPr>
          <w:rFonts w:ascii="Arial" w:hAnsi="Arial" w:cs="Arial"/>
          <w:sz w:val="24"/>
          <w:szCs w:val="24"/>
          <w:lang w:val="en-ZA"/>
        </w:rPr>
        <w:t xml:space="preserve">to </w:t>
      </w:r>
      <w:r w:rsidR="004D5D74" w:rsidRPr="00220BDA">
        <w:rPr>
          <w:rFonts w:ascii="Arial" w:hAnsi="Arial" w:cs="Arial"/>
          <w:sz w:val="24"/>
          <w:szCs w:val="24"/>
          <w:lang w:val="en-ZA"/>
        </w:rPr>
        <w:t xml:space="preserve">the respondent </w:t>
      </w:r>
      <w:r w:rsidR="00C12176" w:rsidRPr="00220BDA">
        <w:rPr>
          <w:rFonts w:ascii="Arial" w:hAnsi="Arial" w:cs="Arial"/>
          <w:sz w:val="24"/>
          <w:szCs w:val="24"/>
          <w:lang w:val="en-ZA"/>
        </w:rPr>
        <w:t>a loan in the amount</w:t>
      </w:r>
      <w:r w:rsidR="004D5D74" w:rsidRPr="00220BDA">
        <w:rPr>
          <w:rFonts w:ascii="Arial" w:hAnsi="Arial" w:cs="Arial"/>
          <w:sz w:val="24"/>
          <w:szCs w:val="24"/>
          <w:lang w:val="en-ZA"/>
        </w:rPr>
        <w:t xml:space="preserve"> of approximately R5 million. The </w:t>
      </w:r>
      <w:r w:rsidR="00526555" w:rsidRPr="00220BDA">
        <w:rPr>
          <w:rFonts w:ascii="Arial" w:hAnsi="Arial" w:cs="Arial"/>
          <w:sz w:val="24"/>
          <w:szCs w:val="24"/>
          <w:lang w:val="en-ZA"/>
        </w:rPr>
        <w:t xml:space="preserve">parties agreed that the </w:t>
      </w:r>
      <w:r w:rsidR="004D5D74" w:rsidRPr="00220BDA">
        <w:rPr>
          <w:rFonts w:ascii="Arial" w:hAnsi="Arial" w:cs="Arial"/>
          <w:sz w:val="24"/>
          <w:szCs w:val="24"/>
          <w:lang w:val="en-ZA"/>
        </w:rPr>
        <w:t xml:space="preserve">respondent was to </w:t>
      </w:r>
      <w:r w:rsidR="00465B6D" w:rsidRPr="00220BDA">
        <w:rPr>
          <w:rFonts w:ascii="Arial" w:hAnsi="Arial" w:cs="Arial"/>
          <w:sz w:val="24"/>
          <w:szCs w:val="24"/>
          <w:lang w:val="en-ZA"/>
        </w:rPr>
        <w:t>repay</w:t>
      </w:r>
      <w:r w:rsidR="004D5D74" w:rsidRPr="00220BDA">
        <w:rPr>
          <w:rFonts w:ascii="Arial" w:hAnsi="Arial" w:cs="Arial"/>
          <w:sz w:val="24"/>
          <w:szCs w:val="24"/>
          <w:lang w:val="en-ZA"/>
        </w:rPr>
        <w:t xml:space="preserve"> the </w:t>
      </w:r>
      <w:r w:rsidR="004D5D74" w:rsidRPr="00220BDA">
        <w:rPr>
          <w:rFonts w:ascii="Arial" w:hAnsi="Arial" w:cs="Arial"/>
          <w:sz w:val="24"/>
          <w:szCs w:val="24"/>
          <w:lang w:val="en-ZA"/>
        </w:rPr>
        <w:lastRenderedPageBreak/>
        <w:t xml:space="preserve">loan in </w:t>
      </w:r>
      <w:r w:rsidR="00E0357A" w:rsidRPr="00220BDA">
        <w:rPr>
          <w:rFonts w:ascii="Arial" w:hAnsi="Arial" w:cs="Arial"/>
          <w:sz w:val="24"/>
          <w:szCs w:val="24"/>
          <w:lang w:val="en-ZA"/>
        </w:rPr>
        <w:t xml:space="preserve">120 monthly </w:t>
      </w:r>
      <w:r w:rsidR="004D5D74" w:rsidRPr="00220BDA">
        <w:rPr>
          <w:rFonts w:ascii="Arial" w:hAnsi="Arial" w:cs="Arial"/>
          <w:sz w:val="24"/>
          <w:szCs w:val="24"/>
          <w:lang w:val="en-ZA"/>
        </w:rPr>
        <w:t>instalments</w:t>
      </w:r>
      <w:r w:rsidR="0023662F" w:rsidRPr="00220BDA">
        <w:rPr>
          <w:rFonts w:ascii="Arial" w:hAnsi="Arial" w:cs="Arial"/>
          <w:sz w:val="24"/>
          <w:szCs w:val="24"/>
          <w:lang w:val="en-ZA"/>
        </w:rPr>
        <w:t>.</w:t>
      </w:r>
      <w:r w:rsidR="004D5D74" w:rsidRPr="00220BDA">
        <w:rPr>
          <w:rFonts w:ascii="Arial" w:hAnsi="Arial" w:cs="Arial"/>
          <w:sz w:val="24"/>
          <w:szCs w:val="24"/>
          <w:lang w:val="en-ZA"/>
        </w:rPr>
        <w:t xml:space="preserve"> </w:t>
      </w:r>
      <w:r w:rsidR="00AE2AD4" w:rsidRPr="00220BDA">
        <w:rPr>
          <w:rFonts w:ascii="Arial" w:hAnsi="Arial" w:cs="Arial"/>
          <w:sz w:val="24"/>
          <w:szCs w:val="24"/>
          <w:lang w:val="en-ZA"/>
        </w:rPr>
        <w:t xml:space="preserve">In the </w:t>
      </w:r>
      <w:r w:rsidR="003A3F20" w:rsidRPr="00220BDA">
        <w:rPr>
          <w:rFonts w:ascii="Arial" w:hAnsi="Arial" w:cs="Arial"/>
          <w:sz w:val="24"/>
          <w:szCs w:val="24"/>
          <w:lang w:val="en-ZA"/>
        </w:rPr>
        <w:t>e</w:t>
      </w:r>
      <w:r w:rsidR="00AE2AD4" w:rsidRPr="00220BDA">
        <w:rPr>
          <w:rFonts w:ascii="Arial" w:hAnsi="Arial" w:cs="Arial"/>
          <w:sz w:val="24"/>
          <w:szCs w:val="24"/>
          <w:lang w:val="en-ZA"/>
        </w:rPr>
        <w:t>vent of the respondent falling into arrea</w:t>
      </w:r>
      <w:r w:rsidR="003A3F20" w:rsidRPr="00220BDA">
        <w:rPr>
          <w:rFonts w:ascii="Arial" w:hAnsi="Arial" w:cs="Arial"/>
          <w:sz w:val="24"/>
          <w:szCs w:val="24"/>
          <w:lang w:val="en-ZA"/>
        </w:rPr>
        <w:t>r</w:t>
      </w:r>
      <w:r w:rsidR="00AE2AD4" w:rsidRPr="00220BDA">
        <w:rPr>
          <w:rFonts w:ascii="Arial" w:hAnsi="Arial" w:cs="Arial"/>
          <w:sz w:val="24"/>
          <w:szCs w:val="24"/>
          <w:lang w:val="en-ZA"/>
        </w:rPr>
        <w:t xml:space="preserve">s with its payment obligations, the parties </w:t>
      </w:r>
      <w:r w:rsidR="00526555" w:rsidRPr="00220BDA">
        <w:rPr>
          <w:rFonts w:ascii="Arial" w:hAnsi="Arial" w:cs="Arial"/>
          <w:sz w:val="24"/>
          <w:szCs w:val="24"/>
          <w:lang w:val="en-ZA"/>
        </w:rPr>
        <w:t xml:space="preserve">further </w:t>
      </w:r>
      <w:r w:rsidR="00AE2AD4" w:rsidRPr="00220BDA">
        <w:rPr>
          <w:rFonts w:ascii="Arial" w:hAnsi="Arial" w:cs="Arial"/>
          <w:sz w:val="24"/>
          <w:szCs w:val="24"/>
          <w:lang w:val="en-ZA"/>
        </w:rPr>
        <w:t>a</w:t>
      </w:r>
      <w:r w:rsidR="003A3F20" w:rsidRPr="00220BDA">
        <w:rPr>
          <w:rFonts w:ascii="Arial" w:hAnsi="Arial" w:cs="Arial"/>
          <w:sz w:val="24"/>
          <w:szCs w:val="24"/>
          <w:lang w:val="en-ZA"/>
        </w:rPr>
        <w:t>gr</w:t>
      </w:r>
      <w:r w:rsidR="00AE2AD4" w:rsidRPr="00220BDA">
        <w:rPr>
          <w:rFonts w:ascii="Arial" w:hAnsi="Arial" w:cs="Arial"/>
          <w:sz w:val="24"/>
          <w:szCs w:val="24"/>
          <w:lang w:val="en-ZA"/>
        </w:rPr>
        <w:t>eed that the applicant could establish the quantum o</w:t>
      </w:r>
      <w:r w:rsidR="003A3F20" w:rsidRPr="00220BDA">
        <w:rPr>
          <w:rFonts w:ascii="Arial" w:hAnsi="Arial" w:cs="Arial"/>
          <w:sz w:val="24"/>
          <w:szCs w:val="24"/>
          <w:lang w:val="en-ZA"/>
        </w:rPr>
        <w:t xml:space="preserve">f </w:t>
      </w:r>
      <w:r w:rsidR="0023662F" w:rsidRPr="00220BDA">
        <w:rPr>
          <w:rFonts w:ascii="Arial" w:hAnsi="Arial" w:cs="Arial"/>
          <w:sz w:val="24"/>
          <w:szCs w:val="24"/>
          <w:lang w:val="en-ZA"/>
        </w:rPr>
        <w:t>its</w:t>
      </w:r>
      <w:r w:rsidR="003A3F20" w:rsidRPr="00220BDA">
        <w:rPr>
          <w:rFonts w:ascii="Arial" w:hAnsi="Arial" w:cs="Arial"/>
          <w:sz w:val="24"/>
          <w:szCs w:val="24"/>
          <w:lang w:val="en-ZA"/>
        </w:rPr>
        <w:t xml:space="preserve"> indebtedness </w:t>
      </w:r>
      <w:r w:rsidR="0023662F" w:rsidRPr="00220BDA">
        <w:rPr>
          <w:rFonts w:ascii="Arial" w:hAnsi="Arial" w:cs="Arial"/>
          <w:sz w:val="24"/>
          <w:szCs w:val="24"/>
          <w:lang w:val="en-ZA"/>
        </w:rPr>
        <w:t xml:space="preserve">to the applicant </w:t>
      </w:r>
      <w:r w:rsidR="003A3F20" w:rsidRPr="00220BDA">
        <w:rPr>
          <w:rFonts w:ascii="Arial" w:hAnsi="Arial" w:cs="Arial"/>
          <w:sz w:val="24"/>
          <w:szCs w:val="24"/>
          <w:lang w:val="en-ZA"/>
        </w:rPr>
        <w:t xml:space="preserve">by way of a </w:t>
      </w:r>
      <w:r w:rsidR="00AF7E2F" w:rsidRPr="00220BDA">
        <w:rPr>
          <w:rFonts w:ascii="Arial" w:hAnsi="Arial" w:cs="Arial"/>
          <w:sz w:val="24"/>
          <w:szCs w:val="24"/>
          <w:lang w:val="en-ZA"/>
        </w:rPr>
        <w:t xml:space="preserve">certificate </w:t>
      </w:r>
      <w:r w:rsidR="0080745B" w:rsidRPr="00220BDA">
        <w:rPr>
          <w:rFonts w:ascii="Arial" w:hAnsi="Arial" w:cs="Arial"/>
          <w:sz w:val="24"/>
          <w:szCs w:val="24"/>
          <w:lang w:val="en-ZA"/>
        </w:rPr>
        <w:t xml:space="preserve">of balance (the certificate) </w:t>
      </w:r>
      <w:r w:rsidR="00526555" w:rsidRPr="00220BDA">
        <w:rPr>
          <w:rFonts w:ascii="Arial" w:hAnsi="Arial" w:cs="Arial"/>
          <w:sz w:val="24"/>
          <w:szCs w:val="24"/>
          <w:lang w:val="en-ZA"/>
        </w:rPr>
        <w:t xml:space="preserve">given </w:t>
      </w:r>
      <w:r w:rsidR="00AF7E2F" w:rsidRPr="00220BDA">
        <w:rPr>
          <w:rFonts w:ascii="Arial" w:hAnsi="Arial" w:cs="Arial"/>
          <w:sz w:val="24"/>
          <w:szCs w:val="24"/>
          <w:lang w:val="en-ZA"/>
        </w:rPr>
        <w:t xml:space="preserve">by an authorised employee </w:t>
      </w:r>
      <w:r w:rsidR="0023662F" w:rsidRPr="00220BDA">
        <w:rPr>
          <w:rFonts w:ascii="Arial" w:hAnsi="Arial" w:cs="Arial"/>
          <w:sz w:val="24"/>
          <w:szCs w:val="24"/>
          <w:lang w:val="en-ZA"/>
        </w:rPr>
        <w:t xml:space="preserve">of the applicant </w:t>
      </w:r>
      <w:r w:rsidR="00AF7E2F" w:rsidRPr="00220BDA">
        <w:rPr>
          <w:rFonts w:ascii="Arial" w:hAnsi="Arial" w:cs="Arial"/>
          <w:sz w:val="24"/>
          <w:szCs w:val="24"/>
          <w:lang w:val="en-ZA"/>
        </w:rPr>
        <w:t>whose appointment and authority did not have to be prove</w:t>
      </w:r>
      <w:r w:rsidR="00E10EBA" w:rsidRPr="00220BDA">
        <w:rPr>
          <w:rFonts w:ascii="Arial" w:hAnsi="Arial" w:cs="Arial"/>
          <w:sz w:val="24"/>
          <w:szCs w:val="24"/>
          <w:lang w:val="en-ZA"/>
        </w:rPr>
        <w:t>d</w:t>
      </w:r>
      <w:r w:rsidR="00AF7E2F" w:rsidRPr="00220BDA">
        <w:rPr>
          <w:rFonts w:ascii="Arial" w:hAnsi="Arial" w:cs="Arial"/>
          <w:sz w:val="24"/>
          <w:szCs w:val="24"/>
          <w:lang w:val="en-ZA"/>
        </w:rPr>
        <w:t>.</w:t>
      </w:r>
      <w:r w:rsidR="00993BCD" w:rsidRPr="00220BDA">
        <w:rPr>
          <w:rFonts w:ascii="Arial" w:hAnsi="Arial" w:cs="Arial"/>
          <w:sz w:val="24"/>
          <w:szCs w:val="24"/>
          <w:lang w:val="en-ZA"/>
        </w:rPr>
        <w:t xml:space="preserve"> As security for the amount to be advanced to </w:t>
      </w:r>
      <w:r w:rsidR="00526555" w:rsidRPr="00220BDA">
        <w:rPr>
          <w:rFonts w:ascii="Arial" w:hAnsi="Arial" w:cs="Arial"/>
          <w:sz w:val="24"/>
          <w:szCs w:val="24"/>
          <w:lang w:val="en-ZA"/>
        </w:rPr>
        <w:t>it</w:t>
      </w:r>
      <w:r w:rsidR="00C402C4" w:rsidRPr="00220BDA">
        <w:rPr>
          <w:rFonts w:ascii="Arial" w:hAnsi="Arial" w:cs="Arial"/>
          <w:sz w:val="24"/>
          <w:szCs w:val="24"/>
          <w:lang w:val="en-ZA"/>
        </w:rPr>
        <w:t>,</w:t>
      </w:r>
      <w:r w:rsidR="00993BCD" w:rsidRPr="00220BDA">
        <w:rPr>
          <w:rFonts w:ascii="Arial" w:hAnsi="Arial" w:cs="Arial"/>
          <w:sz w:val="24"/>
          <w:szCs w:val="24"/>
          <w:lang w:val="en-ZA"/>
        </w:rPr>
        <w:t xml:space="preserve"> </w:t>
      </w:r>
      <w:r w:rsidR="00526555" w:rsidRPr="00220BDA">
        <w:rPr>
          <w:rFonts w:ascii="Arial" w:hAnsi="Arial" w:cs="Arial"/>
          <w:sz w:val="24"/>
          <w:szCs w:val="24"/>
          <w:lang w:val="en-ZA"/>
        </w:rPr>
        <w:t>the respondent</w:t>
      </w:r>
      <w:r w:rsidR="00993BCD" w:rsidRPr="00220BDA">
        <w:rPr>
          <w:rFonts w:ascii="Arial" w:hAnsi="Arial" w:cs="Arial"/>
          <w:sz w:val="24"/>
          <w:szCs w:val="24"/>
          <w:lang w:val="en-ZA"/>
        </w:rPr>
        <w:t xml:space="preserve"> was required to pass a mortgage bond over </w:t>
      </w:r>
      <w:r w:rsidR="00C402C4" w:rsidRPr="00220BDA">
        <w:rPr>
          <w:rFonts w:ascii="Arial" w:hAnsi="Arial" w:cs="Arial"/>
          <w:sz w:val="24"/>
          <w:szCs w:val="24"/>
          <w:lang w:val="en-ZA"/>
        </w:rPr>
        <w:t>certain immovable property that it owns in KwaDukuza. It did so.</w:t>
      </w:r>
    </w:p>
    <w:p w:rsidR="007C33A0" w:rsidRPr="007C33A0" w:rsidRDefault="007C33A0" w:rsidP="007C33A0">
      <w:pPr>
        <w:pStyle w:val="ListParagraph"/>
        <w:spacing w:line="360" w:lineRule="auto"/>
        <w:rPr>
          <w:rFonts w:ascii="Arial" w:hAnsi="Arial" w:cs="Arial"/>
          <w:sz w:val="24"/>
          <w:szCs w:val="24"/>
          <w:lang w:val="en-ZA"/>
        </w:rPr>
      </w:pPr>
    </w:p>
    <w:p w:rsidR="007C33A0"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r>
      <w:r w:rsidR="007C33A0" w:rsidRPr="00220BDA">
        <w:rPr>
          <w:rFonts w:ascii="Arial" w:hAnsi="Arial" w:cs="Arial"/>
          <w:sz w:val="24"/>
          <w:szCs w:val="24"/>
          <w:lang w:val="en-ZA"/>
        </w:rPr>
        <w:t xml:space="preserve">It </w:t>
      </w:r>
      <w:r w:rsidR="00F75E64" w:rsidRPr="00220BDA">
        <w:rPr>
          <w:rFonts w:ascii="Arial" w:hAnsi="Arial" w:cs="Arial"/>
          <w:sz w:val="24"/>
          <w:szCs w:val="24"/>
          <w:lang w:val="en-ZA"/>
        </w:rPr>
        <w:t>is appropriate to mention at this juncture</w:t>
      </w:r>
      <w:r w:rsidR="007C33A0" w:rsidRPr="00220BDA">
        <w:rPr>
          <w:rFonts w:ascii="Arial" w:hAnsi="Arial" w:cs="Arial"/>
          <w:sz w:val="24"/>
          <w:szCs w:val="24"/>
          <w:lang w:val="en-ZA"/>
        </w:rPr>
        <w:t xml:space="preserve"> that there is an action proceeding in this court for the repayment to the applicant of the respondent’s alleged indebtedness to it. I was advised from the </w:t>
      </w:r>
      <w:r w:rsidR="00E10EBA" w:rsidRPr="00220BDA">
        <w:rPr>
          <w:rFonts w:ascii="Arial" w:hAnsi="Arial" w:cs="Arial"/>
          <w:sz w:val="24"/>
          <w:szCs w:val="24"/>
          <w:lang w:val="en-ZA"/>
        </w:rPr>
        <w:t xml:space="preserve">bar </w:t>
      </w:r>
      <w:r w:rsidR="007C33A0" w:rsidRPr="00220BDA">
        <w:rPr>
          <w:rFonts w:ascii="Arial" w:hAnsi="Arial" w:cs="Arial"/>
          <w:sz w:val="24"/>
          <w:szCs w:val="24"/>
          <w:lang w:val="en-ZA"/>
        </w:rPr>
        <w:t xml:space="preserve">that the respondent has pleaded to the applicant’s particulars of claim, </w:t>
      </w:r>
      <w:r w:rsidR="00F75E64" w:rsidRPr="00220BDA">
        <w:rPr>
          <w:rFonts w:ascii="Arial" w:hAnsi="Arial" w:cs="Arial"/>
          <w:sz w:val="24"/>
          <w:szCs w:val="24"/>
          <w:lang w:val="en-ZA"/>
        </w:rPr>
        <w:t xml:space="preserve">that pleadings </w:t>
      </w:r>
      <w:r w:rsidR="00296B76" w:rsidRPr="00220BDA">
        <w:rPr>
          <w:rFonts w:ascii="Arial" w:hAnsi="Arial" w:cs="Arial"/>
          <w:sz w:val="24"/>
          <w:szCs w:val="24"/>
          <w:lang w:val="en-ZA"/>
        </w:rPr>
        <w:t xml:space="preserve">had </w:t>
      </w:r>
      <w:r w:rsidR="00F75E64" w:rsidRPr="00220BDA">
        <w:rPr>
          <w:rFonts w:ascii="Arial" w:hAnsi="Arial" w:cs="Arial"/>
          <w:sz w:val="24"/>
          <w:szCs w:val="24"/>
          <w:lang w:val="en-ZA"/>
        </w:rPr>
        <w:t xml:space="preserve">closed and </w:t>
      </w:r>
      <w:r w:rsidR="007C33A0" w:rsidRPr="00220BDA">
        <w:rPr>
          <w:rFonts w:ascii="Arial" w:hAnsi="Arial" w:cs="Arial"/>
          <w:sz w:val="24"/>
          <w:szCs w:val="24"/>
          <w:lang w:val="en-ZA"/>
        </w:rPr>
        <w:t>that</w:t>
      </w:r>
      <w:r w:rsidR="00F75E64" w:rsidRPr="00220BDA">
        <w:rPr>
          <w:rFonts w:ascii="Arial" w:hAnsi="Arial" w:cs="Arial"/>
          <w:sz w:val="24"/>
          <w:szCs w:val="24"/>
          <w:lang w:val="en-ZA"/>
        </w:rPr>
        <w:t xml:space="preserve"> an amendment was </w:t>
      </w:r>
      <w:r w:rsidR="00E10EBA" w:rsidRPr="00220BDA">
        <w:rPr>
          <w:rFonts w:ascii="Arial" w:hAnsi="Arial" w:cs="Arial"/>
          <w:sz w:val="24"/>
          <w:szCs w:val="24"/>
          <w:lang w:val="en-ZA"/>
        </w:rPr>
        <w:t xml:space="preserve">then </w:t>
      </w:r>
      <w:r w:rsidR="00F75E64" w:rsidRPr="00220BDA">
        <w:rPr>
          <w:rFonts w:ascii="Arial" w:hAnsi="Arial" w:cs="Arial"/>
          <w:sz w:val="24"/>
          <w:szCs w:val="24"/>
          <w:lang w:val="en-ZA"/>
        </w:rPr>
        <w:t xml:space="preserve">introduced to the particulars of claim but that </w:t>
      </w:r>
      <w:r w:rsidR="007C33A0" w:rsidRPr="00220BDA">
        <w:rPr>
          <w:rFonts w:ascii="Arial" w:hAnsi="Arial" w:cs="Arial"/>
          <w:sz w:val="24"/>
          <w:szCs w:val="24"/>
          <w:lang w:val="en-ZA"/>
        </w:rPr>
        <w:t>the pleadings have now closed for a second time. The pleadings in the action have not been placed before this court.</w:t>
      </w:r>
    </w:p>
    <w:p w:rsidR="00AF7E2F" w:rsidRPr="00AF7E2F" w:rsidRDefault="00AF7E2F" w:rsidP="007C33A0">
      <w:pPr>
        <w:pStyle w:val="ListParagraph"/>
        <w:spacing w:after="0" w:line="360" w:lineRule="auto"/>
        <w:rPr>
          <w:rFonts w:ascii="Arial" w:hAnsi="Arial" w:cs="Arial"/>
          <w:sz w:val="24"/>
          <w:szCs w:val="24"/>
          <w:lang w:val="en-ZA"/>
        </w:rPr>
      </w:pPr>
    </w:p>
    <w:p w:rsidR="00382F76"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r>
      <w:r w:rsidR="0093686D" w:rsidRPr="00220BDA">
        <w:rPr>
          <w:rFonts w:ascii="Arial" w:hAnsi="Arial" w:cs="Arial"/>
          <w:sz w:val="24"/>
          <w:szCs w:val="24"/>
          <w:lang w:val="en-ZA"/>
        </w:rPr>
        <w:t>It ha</w:t>
      </w:r>
      <w:r w:rsidR="008A76FB" w:rsidRPr="00220BDA">
        <w:rPr>
          <w:rFonts w:ascii="Arial" w:hAnsi="Arial" w:cs="Arial"/>
          <w:sz w:val="24"/>
          <w:szCs w:val="24"/>
          <w:lang w:val="en-ZA"/>
        </w:rPr>
        <w:t>s not</w:t>
      </w:r>
      <w:r w:rsidR="0093686D" w:rsidRPr="00220BDA">
        <w:rPr>
          <w:rFonts w:ascii="Arial" w:hAnsi="Arial" w:cs="Arial"/>
          <w:sz w:val="24"/>
          <w:szCs w:val="24"/>
          <w:lang w:val="en-ZA"/>
        </w:rPr>
        <w:t xml:space="preserve"> been</w:t>
      </w:r>
      <w:r w:rsidR="00A43A14" w:rsidRPr="00220BDA">
        <w:rPr>
          <w:rFonts w:ascii="Arial" w:hAnsi="Arial" w:cs="Arial"/>
          <w:sz w:val="24"/>
          <w:szCs w:val="24"/>
          <w:lang w:val="en-ZA"/>
        </w:rPr>
        <w:t xml:space="preserve"> directly </w:t>
      </w:r>
      <w:r w:rsidR="0093686D" w:rsidRPr="00220BDA">
        <w:rPr>
          <w:rFonts w:ascii="Arial" w:hAnsi="Arial" w:cs="Arial"/>
          <w:sz w:val="24"/>
          <w:szCs w:val="24"/>
          <w:lang w:val="en-ZA"/>
        </w:rPr>
        <w:t>disputed in the answering affidavit</w:t>
      </w:r>
      <w:r w:rsidR="008A76FB" w:rsidRPr="00220BDA">
        <w:rPr>
          <w:rFonts w:ascii="Arial" w:hAnsi="Arial" w:cs="Arial"/>
          <w:sz w:val="24"/>
          <w:szCs w:val="24"/>
          <w:lang w:val="en-ZA"/>
        </w:rPr>
        <w:t xml:space="preserve"> </w:t>
      </w:r>
      <w:r w:rsidR="00AF7E2F" w:rsidRPr="00220BDA">
        <w:rPr>
          <w:rFonts w:ascii="Arial" w:hAnsi="Arial" w:cs="Arial"/>
          <w:sz w:val="24"/>
          <w:szCs w:val="24"/>
          <w:lang w:val="en-ZA"/>
        </w:rPr>
        <w:t xml:space="preserve">that </w:t>
      </w:r>
      <w:r w:rsidR="008A76FB" w:rsidRPr="00220BDA">
        <w:rPr>
          <w:rFonts w:ascii="Arial" w:hAnsi="Arial" w:cs="Arial"/>
          <w:sz w:val="24"/>
          <w:szCs w:val="24"/>
          <w:lang w:val="en-ZA"/>
        </w:rPr>
        <w:t>the applicant</w:t>
      </w:r>
      <w:r w:rsidR="00AF7E2F" w:rsidRPr="00220BDA">
        <w:rPr>
          <w:rFonts w:ascii="Arial" w:hAnsi="Arial" w:cs="Arial"/>
          <w:sz w:val="24"/>
          <w:szCs w:val="24"/>
          <w:lang w:val="en-ZA"/>
        </w:rPr>
        <w:t xml:space="preserve"> advanced the </w:t>
      </w:r>
      <w:r w:rsidR="00C402C4" w:rsidRPr="00220BDA">
        <w:rPr>
          <w:rFonts w:ascii="Arial" w:hAnsi="Arial" w:cs="Arial"/>
          <w:sz w:val="24"/>
          <w:szCs w:val="24"/>
          <w:lang w:val="en-ZA"/>
        </w:rPr>
        <w:t>loan amount</w:t>
      </w:r>
      <w:r w:rsidR="00AF7E2F" w:rsidRPr="00220BDA">
        <w:rPr>
          <w:rFonts w:ascii="Arial" w:hAnsi="Arial" w:cs="Arial"/>
          <w:sz w:val="24"/>
          <w:szCs w:val="24"/>
          <w:lang w:val="en-ZA"/>
        </w:rPr>
        <w:t xml:space="preserve"> to the respondent.</w:t>
      </w:r>
      <w:r w:rsidR="0093686D" w:rsidRPr="00220BDA">
        <w:rPr>
          <w:rFonts w:ascii="Arial" w:hAnsi="Arial" w:cs="Arial"/>
          <w:sz w:val="24"/>
          <w:szCs w:val="24"/>
          <w:lang w:val="en-ZA"/>
        </w:rPr>
        <w:t xml:space="preserve"> I shall therefore regard the loan as admitted.</w:t>
      </w:r>
      <w:r w:rsidR="00AF7E2F" w:rsidRPr="00220BDA">
        <w:rPr>
          <w:rFonts w:ascii="Arial" w:hAnsi="Arial" w:cs="Arial"/>
          <w:sz w:val="24"/>
          <w:szCs w:val="24"/>
          <w:lang w:val="en-ZA"/>
        </w:rPr>
        <w:t xml:space="preserve"> The </w:t>
      </w:r>
      <w:r w:rsidR="00D407D8" w:rsidRPr="00220BDA">
        <w:rPr>
          <w:rFonts w:ascii="Arial" w:hAnsi="Arial" w:cs="Arial"/>
          <w:sz w:val="24"/>
          <w:szCs w:val="24"/>
          <w:lang w:val="en-ZA"/>
        </w:rPr>
        <w:t xml:space="preserve">applicant alleges that the </w:t>
      </w:r>
      <w:r w:rsidR="00AF7E2F" w:rsidRPr="00220BDA">
        <w:rPr>
          <w:rFonts w:ascii="Arial" w:hAnsi="Arial" w:cs="Arial"/>
          <w:sz w:val="24"/>
          <w:szCs w:val="24"/>
          <w:lang w:val="en-ZA"/>
        </w:rPr>
        <w:t xml:space="preserve">respondent </w:t>
      </w:r>
      <w:r w:rsidR="004D5D74" w:rsidRPr="00220BDA">
        <w:rPr>
          <w:rFonts w:ascii="Arial" w:hAnsi="Arial" w:cs="Arial"/>
          <w:sz w:val="24"/>
          <w:szCs w:val="24"/>
          <w:lang w:val="en-ZA"/>
        </w:rPr>
        <w:t xml:space="preserve">fell into arrears with </w:t>
      </w:r>
      <w:r w:rsidR="00AF7E2F" w:rsidRPr="00220BDA">
        <w:rPr>
          <w:rFonts w:ascii="Arial" w:hAnsi="Arial" w:cs="Arial"/>
          <w:sz w:val="24"/>
          <w:szCs w:val="24"/>
          <w:lang w:val="en-ZA"/>
        </w:rPr>
        <w:t>its</w:t>
      </w:r>
      <w:r w:rsidR="004D5D74" w:rsidRPr="00220BDA">
        <w:rPr>
          <w:rFonts w:ascii="Arial" w:hAnsi="Arial" w:cs="Arial"/>
          <w:sz w:val="24"/>
          <w:szCs w:val="24"/>
          <w:lang w:val="en-ZA"/>
        </w:rPr>
        <w:t xml:space="preserve"> instalment</w:t>
      </w:r>
      <w:r w:rsidR="0093686D" w:rsidRPr="00220BDA">
        <w:rPr>
          <w:rFonts w:ascii="Arial" w:hAnsi="Arial" w:cs="Arial"/>
          <w:sz w:val="24"/>
          <w:szCs w:val="24"/>
          <w:lang w:val="en-ZA"/>
        </w:rPr>
        <w:t xml:space="preserve"> payment</w:t>
      </w:r>
      <w:r w:rsidR="004D5D74" w:rsidRPr="00220BDA">
        <w:rPr>
          <w:rFonts w:ascii="Arial" w:hAnsi="Arial" w:cs="Arial"/>
          <w:sz w:val="24"/>
          <w:szCs w:val="24"/>
          <w:lang w:val="en-ZA"/>
        </w:rPr>
        <w:t>s</w:t>
      </w:r>
      <w:r w:rsidR="00382F76" w:rsidRPr="00220BDA">
        <w:rPr>
          <w:rFonts w:ascii="Arial" w:hAnsi="Arial" w:cs="Arial"/>
          <w:sz w:val="24"/>
          <w:szCs w:val="24"/>
          <w:lang w:val="en-ZA"/>
        </w:rPr>
        <w:t xml:space="preserve">. As the applicant </w:t>
      </w:r>
      <w:r w:rsidR="00BA4DBD" w:rsidRPr="00220BDA">
        <w:rPr>
          <w:rFonts w:ascii="Arial" w:hAnsi="Arial" w:cs="Arial"/>
          <w:sz w:val="24"/>
          <w:szCs w:val="24"/>
          <w:lang w:val="en-ZA"/>
        </w:rPr>
        <w:t xml:space="preserve">bluntly </w:t>
      </w:r>
      <w:r w:rsidR="00382F76" w:rsidRPr="00220BDA">
        <w:rPr>
          <w:rFonts w:ascii="Arial" w:hAnsi="Arial" w:cs="Arial"/>
          <w:sz w:val="24"/>
          <w:szCs w:val="24"/>
          <w:lang w:val="en-ZA"/>
        </w:rPr>
        <w:t>puts it, the respondent ‘stopped paying the monthly instalments’,</w:t>
      </w:r>
      <w:r w:rsidR="004D5D74" w:rsidRPr="00220BDA">
        <w:rPr>
          <w:rFonts w:ascii="Arial" w:hAnsi="Arial" w:cs="Arial"/>
          <w:sz w:val="24"/>
          <w:szCs w:val="24"/>
          <w:lang w:val="en-ZA"/>
        </w:rPr>
        <w:t xml:space="preserve"> and as at 30 November 2021 was in arrears </w:t>
      </w:r>
      <w:r w:rsidR="00382F76" w:rsidRPr="00220BDA">
        <w:rPr>
          <w:rFonts w:ascii="Arial" w:hAnsi="Arial" w:cs="Arial"/>
          <w:sz w:val="24"/>
          <w:szCs w:val="24"/>
          <w:lang w:val="en-ZA"/>
        </w:rPr>
        <w:t xml:space="preserve">with its repayment obligations </w:t>
      </w:r>
      <w:r w:rsidR="004D5D74" w:rsidRPr="00220BDA">
        <w:rPr>
          <w:rFonts w:ascii="Arial" w:hAnsi="Arial" w:cs="Arial"/>
          <w:sz w:val="24"/>
          <w:szCs w:val="24"/>
          <w:lang w:val="en-ZA"/>
        </w:rPr>
        <w:t>in the sum of</w:t>
      </w:r>
      <w:r w:rsidR="00BC645C" w:rsidRPr="00220BDA">
        <w:rPr>
          <w:rFonts w:ascii="Arial" w:hAnsi="Arial" w:cs="Arial"/>
          <w:sz w:val="24"/>
          <w:szCs w:val="24"/>
          <w:lang w:val="en-ZA"/>
        </w:rPr>
        <w:t xml:space="preserve"> approximately</w:t>
      </w:r>
      <w:r w:rsidR="004D5D74" w:rsidRPr="00220BDA">
        <w:rPr>
          <w:rFonts w:ascii="Arial" w:hAnsi="Arial" w:cs="Arial"/>
          <w:sz w:val="24"/>
          <w:szCs w:val="24"/>
          <w:lang w:val="en-ZA"/>
        </w:rPr>
        <w:t xml:space="preserve"> R</w:t>
      </w:r>
      <w:r w:rsidR="00BC645C" w:rsidRPr="00220BDA">
        <w:rPr>
          <w:rFonts w:ascii="Arial" w:hAnsi="Arial" w:cs="Arial"/>
          <w:sz w:val="24"/>
          <w:szCs w:val="24"/>
          <w:lang w:val="en-ZA"/>
        </w:rPr>
        <w:t xml:space="preserve">730 000. </w:t>
      </w:r>
      <w:r w:rsidR="00AF7E2F" w:rsidRPr="00220BDA">
        <w:rPr>
          <w:rFonts w:ascii="Arial" w:hAnsi="Arial" w:cs="Arial"/>
          <w:sz w:val="24"/>
          <w:szCs w:val="24"/>
          <w:lang w:val="en-ZA"/>
        </w:rPr>
        <w:t xml:space="preserve">The total amount owing to the applicant was the sum of approximately R5,9 million on that date. This was confirmed in </w:t>
      </w:r>
      <w:r w:rsidR="00DA31EF" w:rsidRPr="00220BDA">
        <w:rPr>
          <w:rFonts w:ascii="Arial" w:hAnsi="Arial" w:cs="Arial"/>
          <w:sz w:val="24"/>
          <w:szCs w:val="24"/>
          <w:lang w:val="en-ZA"/>
        </w:rPr>
        <w:t>the</w:t>
      </w:r>
      <w:r w:rsidR="00AF7E2F" w:rsidRPr="00220BDA">
        <w:rPr>
          <w:rFonts w:ascii="Arial" w:hAnsi="Arial" w:cs="Arial"/>
          <w:sz w:val="24"/>
          <w:szCs w:val="24"/>
          <w:lang w:val="en-ZA"/>
        </w:rPr>
        <w:t xml:space="preserve"> certificate that </w:t>
      </w:r>
      <w:r w:rsidR="00C402C4" w:rsidRPr="00220BDA">
        <w:rPr>
          <w:rFonts w:ascii="Arial" w:hAnsi="Arial" w:cs="Arial"/>
          <w:sz w:val="24"/>
          <w:szCs w:val="24"/>
          <w:lang w:val="en-ZA"/>
        </w:rPr>
        <w:t>the applicant</w:t>
      </w:r>
      <w:r w:rsidR="00AF7E2F" w:rsidRPr="00220BDA">
        <w:rPr>
          <w:rFonts w:ascii="Arial" w:hAnsi="Arial" w:cs="Arial"/>
          <w:sz w:val="24"/>
          <w:szCs w:val="24"/>
          <w:lang w:val="en-ZA"/>
        </w:rPr>
        <w:t xml:space="preserve"> issued.</w:t>
      </w:r>
      <w:r w:rsidR="00D407D8" w:rsidRPr="00220BDA">
        <w:rPr>
          <w:rFonts w:ascii="Arial" w:hAnsi="Arial" w:cs="Arial"/>
          <w:sz w:val="24"/>
          <w:szCs w:val="24"/>
          <w:lang w:val="en-ZA"/>
        </w:rPr>
        <w:t xml:space="preserve"> The respondent appears to dispute all of these allegations.</w:t>
      </w:r>
    </w:p>
    <w:p w:rsidR="00382F76" w:rsidRPr="00382F76" w:rsidRDefault="00382F76" w:rsidP="00012BA6">
      <w:pPr>
        <w:pStyle w:val="ListParagraph"/>
        <w:spacing w:after="0" w:line="360" w:lineRule="auto"/>
        <w:rPr>
          <w:rFonts w:ascii="Arial" w:hAnsi="Arial" w:cs="Arial"/>
          <w:sz w:val="24"/>
          <w:szCs w:val="24"/>
          <w:lang w:val="en-ZA"/>
        </w:rPr>
      </w:pPr>
    </w:p>
    <w:p w:rsidR="008A76FB"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[6]</w:t>
      </w:r>
      <w:r>
        <w:rPr>
          <w:rFonts w:ascii="Arial" w:hAnsi="Arial" w:cs="Arial"/>
          <w:sz w:val="24"/>
          <w:szCs w:val="24"/>
          <w:lang w:val="en-ZA"/>
        </w:rPr>
        <w:tab/>
      </w:r>
      <w:r w:rsidR="00BC645C" w:rsidRPr="00220BDA">
        <w:rPr>
          <w:rFonts w:ascii="Arial" w:hAnsi="Arial" w:cs="Arial"/>
          <w:sz w:val="24"/>
          <w:szCs w:val="24"/>
          <w:lang w:val="en-ZA"/>
        </w:rPr>
        <w:t xml:space="preserve">According to the applicant, </w:t>
      </w:r>
      <w:r w:rsidR="00D407D8" w:rsidRPr="00220BDA">
        <w:rPr>
          <w:rFonts w:ascii="Arial" w:hAnsi="Arial" w:cs="Arial"/>
          <w:sz w:val="24"/>
          <w:szCs w:val="24"/>
          <w:lang w:val="en-ZA"/>
        </w:rPr>
        <w:t>as a consequence of the respondent</w:t>
      </w:r>
      <w:r w:rsidR="00BA4DBD" w:rsidRPr="00220BDA">
        <w:rPr>
          <w:rFonts w:ascii="Arial" w:hAnsi="Arial" w:cs="Arial"/>
          <w:sz w:val="24"/>
          <w:szCs w:val="24"/>
          <w:lang w:val="en-ZA"/>
        </w:rPr>
        <w:t>’</w:t>
      </w:r>
      <w:r w:rsidR="00D407D8" w:rsidRPr="00220BDA">
        <w:rPr>
          <w:rFonts w:ascii="Arial" w:hAnsi="Arial" w:cs="Arial"/>
          <w:sz w:val="24"/>
          <w:szCs w:val="24"/>
          <w:lang w:val="en-ZA"/>
        </w:rPr>
        <w:t xml:space="preserve">s </w:t>
      </w:r>
      <w:r w:rsidR="00BA4DBD" w:rsidRPr="00220BDA">
        <w:rPr>
          <w:rFonts w:ascii="Arial" w:hAnsi="Arial" w:cs="Arial"/>
          <w:sz w:val="24"/>
          <w:szCs w:val="24"/>
          <w:lang w:val="en-ZA"/>
        </w:rPr>
        <w:t>failure to make payments that it was obliged to make,</w:t>
      </w:r>
      <w:r w:rsidR="00D407D8" w:rsidRPr="00220BDA">
        <w:rPr>
          <w:rFonts w:ascii="Arial" w:hAnsi="Arial" w:cs="Arial"/>
          <w:sz w:val="24"/>
          <w:szCs w:val="24"/>
          <w:lang w:val="en-ZA"/>
        </w:rPr>
        <w:t xml:space="preserve"> </w:t>
      </w:r>
      <w:r w:rsidR="00BC645C" w:rsidRPr="00220BDA">
        <w:rPr>
          <w:rFonts w:ascii="Arial" w:hAnsi="Arial" w:cs="Arial"/>
          <w:sz w:val="24"/>
          <w:szCs w:val="24"/>
          <w:lang w:val="en-ZA"/>
        </w:rPr>
        <w:t xml:space="preserve">a demand </w:t>
      </w:r>
      <w:r w:rsidR="009864A3" w:rsidRPr="00220BDA">
        <w:rPr>
          <w:rFonts w:ascii="Arial" w:hAnsi="Arial" w:cs="Arial"/>
          <w:sz w:val="24"/>
          <w:szCs w:val="24"/>
          <w:lang w:val="en-ZA"/>
        </w:rPr>
        <w:t xml:space="preserve">(the </w:t>
      </w:r>
      <w:r w:rsidR="00173AC5" w:rsidRPr="00220BDA">
        <w:rPr>
          <w:rFonts w:ascii="Arial" w:hAnsi="Arial" w:cs="Arial"/>
          <w:sz w:val="24"/>
          <w:szCs w:val="24"/>
          <w:lang w:val="en-ZA"/>
        </w:rPr>
        <w:t>demand</w:t>
      </w:r>
      <w:r w:rsidR="009864A3" w:rsidRPr="00220BDA">
        <w:rPr>
          <w:rFonts w:ascii="Arial" w:hAnsi="Arial" w:cs="Arial"/>
          <w:sz w:val="24"/>
          <w:szCs w:val="24"/>
          <w:lang w:val="en-ZA"/>
        </w:rPr>
        <w:t xml:space="preserve">) </w:t>
      </w:r>
      <w:r w:rsidR="00382F76" w:rsidRPr="00220BDA">
        <w:rPr>
          <w:rFonts w:ascii="Arial" w:hAnsi="Arial" w:cs="Arial"/>
          <w:sz w:val="24"/>
          <w:szCs w:val="24"/>
          <w:lang w:val="en-ZA"/>
        </w:rPr>
        <w:t xml:space="preserve">was delivered to the </w:t>
      </w:r>
      <w:r w:rsidR="00A52159" w:rsidRPr="00220BDA">
        <w:rPr>
          <w:rFonts w:ascii="Arial" w:hAnsi="Arial" w:cs="Arial"/>
          <w:sz w:val="24"/>
          <w:szCs w:val="24"/>
          <w:lang w:val="en-ZA"/>
        </w:rPr>
        <w:t xml:space="preserve">respondent’s </w:t>
      </w:r>
      <w:r w:rsidR="00382F76" w:rsidRPr="00220BDA">
        <w:rPr>
          <w:rFonts w:ascii="Arial" w:hAnsi="Arial" w:cs="Arial"/>
          <w:sz w:val="24"/>
          <w:szCs w:val="24"/>
          <w:lang w:val="en-ZA"/>
        </w:rPr>
        <w:t>registered address by the sheriff</w:t>
      </w:r>
      <w:r w:rsidR="00A52159" w:rsidRPr="00220BDA">
        <w:rPr>
          <w:rFonts w:ascii="Arial" w:hAnsi="Arial" w:cs="Arial"/>
          <w:sz w:val="24"/>
          <w:szCs w:val="24"/>
          <w:lang w:val="en-ZA"/>
        </w:rPr>
        <w:t xml:space="preserve">. </w:t>
      </w:r>
      <w:r w:rsidR="00C402C4" w:rsidRPr="00220BDA">
        <w:rPr>
          <w:rFonts w:ascii="Arial" w:hAnsi="Arial" w:cs="Arial"/>
          <w:sz w:val="24"/>
          <w:szCs w:val="24"/>
          <w:lang w:val="en-ZA"/>
        </w:rPr>
        <w:t>It</w:t>
      </w:r>
      <w:r w:rsidR="008A76FB" w:rsidRPr="00220BDA">
        <w:rPr>
          <w:rFonts w:ascii="Arial" w:hAnsi="Arial" w:cs="Arial"/>
          <w:sz w:val="24"/>
          <w:szCs w:val="24"/>
          <w:lang w:val="en-ZA"/>
        </w:rPr>
        <w:t xml:space="preserve"> claims that it is a </w:t>
      </w:r>
      <w:r w:rsidR="00826D86" w:rsidRPr="00220BDA">
        <w:rPr>
          <w:rFonts w:ascii="Arial" w:hAnsi="Arial" w:cs="Arial"/>
          <w:sz w:val="24"/>
          <w:szCs w:val="24"/>
          <w:lang w:val="en-ZA"/>
        </w:rPr>
        <w:t>written demand as</w:t>
      </w:r>
      <w:r w:rsidR="008A76FB" w:rsidRPr="00220BDA">
        <w:rPr>
          <w:rFonts w:ascii="Arial" w:hAnsi="Arial" w:cs="Arial"/>
          <w:sz w:val="24"/>
          <w:szCs w:val="24"/>
          <w:lang w:val="en-ZA"/>
        </w:rPr>
        <w:t xml:space="preserve"> contemplated in section 345(1)</w:t>
      </w:r>
      <w:r w:rsidR="008A76FB" w:rsidRPr="00220BDA">
        <w:rPr>
          <w:rFonts w:ascii="Arial" w:hAnsi="Arial" w:cs="Arial"/>
          <w:i/>
          <w:sz w:val="24"/>
          <w:szCs w:val="24"/>
          <w:lang w:val="en-ZA"/>
        </w:rPr>
        <w:t xml:space="preserve">(a) </w:t>
      </w:r>
      <w:r w:rsidR="008A76FB" w:rsidRPr="00220BDA">
        <w:rPr>
          <w:rFonts w:ascii="Arial" w:hAnsi="Arial" w:cs="Arial"/>
          <w:sz w:val="24"/>
          <w:szCs w:val="24"/>
          <w:lang w:val="en-ZA"/>
        </w:rPr>
        <w:t>of the old Act.</w:t>
      </w:r>
      <w:r w:rsidR="00C402C4" w:rsidRPr="00220BDA">
        <w:rPr>
          <w:rFonts w:ascii="Arial" w:hAnsi="Arial" w:cs="Arial"/>
          <w:sz w:val="24"/>
          <w:szCs w:val="24"/>
          <w:lang w:val="en-ZA"/>
        </w:rPr>
        <w:t xml:space="preserve"> </w:t>
      </w:r>
    </w:p>
    <w:p w:rsidR="0023662F" w:rsidRPr="0023662F" w:rsidRDefault="0023662F" w:rsidP="0023662F">
      <w:pPr>
        <w:pStyle w:val="ListParagraph"/>
        <w:tabs>
          <w:tab w:val="left" w:pos="709"/>
          <w:tab w:val="left" w:pos="1418"/>
        </w:tabs>
        <w:spacing w:after="0" w:line="360" w:lineRule="auto"/>
        <w:ind w:left="0"/>
        <w:jc w:val="both"/>
        <w:rPr>
          <w:rFonts w:ascii="Arial" w:hAnsi="Arial" w:cs="Arial"/>
          <w:sz w:val="24"/>
          <w:szCs w:val="24"/>
          <w:lang w:val="en-ZA"/>
        </w:rPr>
      </w:pPr>
    </w:p>
    <w:p w:rsidR="008A76FB"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[7]</w:t>
      </w:r>
      <w:r>
        <w:rPr>
          <w:rFonts w:ascii="Arial" w:hAnsi="Arial" w:cs="Arial"/>
          <w:sz w:val="24"/>
          <w:szCs w:val="24"/>
          <w:lang w:val="en-ZA"/>
        </w:rPr>
        <w:tab/>
      </w:r>
      <w:r w:rsidR="008A76FB" w:rsidRPr="00220BDA">
        <w:rPr>
          <w:rFonts w:ascii="Arial" w:hAnsi="Arial" w:cs="Arial"/>
          <w:sz w:val="24"/>
          <w:szCs w:val="24"/>
          <w:lang w:val="en-ZA"/>
        </w:rPr>
        <w:t>Section 345(1)</w:t>
      </w:r>
      <w:r w:rsidR="00296B76" w:rsidRPr="00220BDA">
        <w:rPr>
          <w:rFonts w:ascii="Arial" w:hAnsi="Arial" w:cs="Arial"/>
          <w:i/>
          <w:sz w:val="24"/>
          <w:szCs w:val="24"/>
          <w:lang w:val="en-ZA"/>
        </w:rPr>
        <w:t>(a)</w:t>
      </w:r>
      <w:r w:rsidR="008A76FB" w:rsidRPr="00220BDA">
        <w:rPr>
          <w:rFonts w:ascii="Arial" w:hAnsi="Arial" w:cs="Arial"/>
          <w:sz w:val="24"/>
          <w:szCs w:val="24"/>
          <w:lang w:val="en-ZA"/>
        </w:rPr>
        <w:t xml:space="preserve"> reads</w:t>
      </w:r>
      <w:r w:rsidR="00A43A14" w:rsidRPr="00220BDA">
        <w:rPr>
          <w:rFonts w:ascii="Arial" w:hAnsi="Arial" w:cs="Arial"/>
          <w:sz w:val="24"/>
          <w:szCs w:val="24"/>
          <w:lang w:val="en-ZA"/>
        </w:rPr>
        <w:t xml:space="preserve"> </w:t>
      </w:r>
      <w:r w:rsidR="008A76FB" w:rsidRPr="00220BDA">
        <w:rPr>
          <w:rFonts w:ascii="Arial" w:hAnsi="Arial" w:cs="Arial"/>
          <w:sz w:val="24"/>
          <w:szCs w:val="24"/>
          <w:lang w:val="en-ZA"/>
        </w:rPr>
        <w:t>as follows:</w:t>
      </w:r>
    </w:p>
    <w:p w:rsidR="0013679B" w:rsidRPr="0013679B" w:rsidRDefault="0013679B" w:rsidP="0013679B">
      <w:pPr>
        <w:pStyle w:val="lg-section"/>
        <w:shd w:val="clear" w:color="auto" w:fill="FFFFFF"/>
        <w:spacing w:before="0" w:beforeAutospacing="0" w:after="0" w:afterAutospacing="0" w:line="360" w:lineRule="auto"/>
        <w:contextualSpacing/>
        <w:jc w:val="both"/>
        <w:rPr>
          <w:rFonts w:ascii="Arial" w:hAnsi="Arial" w:cs="Arial"/>
          <w:color w:val="000000"/>
          <w:sz w:val="22"/>
          <w:szCs w:val="22"/>
        </w:rPr>
      </w:pPr>
      <w:r>
        <w:rPr>
          <w:rFonts w:ascii="Arial" w:hAnsi="Arial" w:cs="Arial"/>
          <w:color w:val="000000"/>
          <w:sz w:val="22"/>
          <w:szCs w:val="22"/>
        </w:rPr>
        <w:t>‘</w:t>
      </w:r>
      <w:r w:rsidRPr="0013679B">
        <w:rPr>
          <w:rFonts w:ascii="Arial" w:hAnsi="Arial" w:cs="Arial"/>
          <w:color w:val="000000"/>
          <w:sz w:val="22"/>
          <w:szCs w:val="22"/>
        </w:rPr>
        <w:t>(1)  A company or body corporate shall be deemed to be unable to pay its debts if—</w:t>
      </w:r>
    </w:p>
    <w:p w:rsidR="0013679B" w:rsidRPr="0013679B" w:rsidRDefault="0013679B" w:rsidP="0013679B">
      <w:pPr>
        <w:pStyle w:val="lg-a-1"/>
        <w:shd w:val="clear" w:color="auto" w:fill="FFFFFF"/>
        <w:spacing w:before="0" w:beforeAutospacing="0" w:after="0" w:afterAutospacing="0" w:line="360" w:lineRule="auto"/>
        <w:contextualSpacing/>
        <w:jc w:val="both"/>
        <w:rPr>
          <w:rFonts w:ascii="Arial" w:hAnsi="Arial" w:cs="Arial"/>
          <w:color w:val="000000"/>
          <w:sz w:val="22"/>
          <w:szCs w:val="22"/>
        </w:rPr>
      </w:pPr>
      <w:r w:rsidRPr="0013679B">
        <w:rPr>
          <w:rFonts w:ascii="Arial" w:hAnsi="Arial" w:cs="Arial"/>
          <w:color w:val="000000"/>
          <w:sz w:val="22"/>
          <w:szCs w:val="22"/>
        </w:rPr>
        <w:lastRenderedPageBreak/>
        <w:t>(</w:t>
      </w:r>
      <w:r w:rsidRPr="0013679B">
        <w:rPr>
          <w:rFonts w:ascii="Arial" w:hAnsi="Arial" w:cs="Arial"/>
          <w:i/>
          <w:iCs/>
          <w:color w:val="000000"/>
          <w:sz w:val="22"/>
          <w:szCs w:val="22"/>
        </w:rPr>
        <w:t>a</w:t>
      </w:r>
      <w:r w:rsidRPr="0013679B">
        <w:rPr>
          <w:rFonts w:ascii="Arial" w:hAnsi="Arial" w:cs="Arial"/>
          <w:color w:val="000000"/>
          <w:sz w:val="22"/>
          <w:szCs w:val="22"/>
        </w:rPr>
        <w:t xml:space="preserve">) </w:t>
      </w:r>
      <w:r w:rsidRPr="0013679B">
        <w:rPr>
          <w:rFonts w:ascii="Arial" w:hAnsi="Arial" w:cs="Arial"/>
          <w:color w:val="000000"/>
          <w:sz w:val="22"/>
          <w:szCs w:val="22"/>
        </w:rPr>
        <w:tab/>
        <w:t>a creditor, by cession or otherwise, to whom the company is indebted in a sum not less than one hundred rand then due—</w:t>
      </w:r>
    </w:p>
    <w:p w:rsidR="0013679B" w:rsidRPr="0013679B" w:rsidRDefault="0013679B" w:rsidP="0013679B">
      <w:pPr>
        <w:pStyle w:val="lg-i-a-1"/>
        <w:shd w:val="clear" w:color="auto" w:fill="FFFFFF"/>
        <w:spacing w:before="0" w:beforeAutospacing="0" w:after="0" w:afterAutospacing="0" w:line="360" w:lineRule="auto"/>
        <w:ind w:left="720"/>
        <w:contextualSpacing/>
        <w:jc w:val="both"/>
        <w:rPr>
          <w:rFonts w:ascii="Arial" w:hAnsi="Arial" w:cs="Arial"/>
          <w:color w:val="000000"/>
          <w:sz w:val="22"/>
          <w:szCs w:val="22"/>
        </w:rPr>
      </w:pPr>
      <w:r w:rsidRPr="0013679B">
        <w:rPr>
          <w:rFonts w:ascii="Arial" w:hAnsi="Arial" w:cs="Arial"/>
          <w:color w:val="000000"/>
          <w:sz w:val="22"/>
          <w:szCs w:val="22"/>
        </w:rPr>
        <w:t>(i) has served on the company, by leaving the same at its registered office, a demand requiring the company to pay the sum so due; or</w:t>
      </w:r>
    </w:p>
    <w:p w:rsidR="0013679B" w:rsidRPr="0013679B" w:rsidRDefault="0013679B" w:rsidP="0013679B">
      <w:pPr>
        <w:pStyle w:val="lg-i-a-1"/>
        <w:shd w:val="clear" w:color="auto" w:fill="FFFFFF"/>
        <w:spacing w:before="0" w:beforeAutospacing="0" w:after="0" w:afterAutospacing="0" w:line="360" w:lineRule="auto"/>
        <w:ind w:left="720"/>
        <w:contextualSpacing/>
        <w:jc w:val="both"/>
        <w:rPr>
          <w:rFonts w:ascii="Arial" w:hAnsi="Arial" w:cs="Arial"/>
          <w:color w:val="000000"/>
          <w:sz w:val="22"/>
          <w:szCs w:val="22"/>
        </w:rPr>
      </w:pPr>
      <w:r w:rsidRPr="0013679B">
        <w:rPr>
          <w:rFonts w:ascii="Arial" w:hAnsi="Arial" w:cs="Arial"/>
          <w:color w:val="000000"/>
          <w:sz w:val="22"/>
          <w:szCs w:val="22"/>
        </w:rPr>
        <w:t>(ii) in the case of any body corporate not incorporated under this Act, has served such demand by leaving it at its main office or delivering it to the secretary or some director, manager or principal officer of such body corporate or in such other manner as the Court may direct,</w:t>
      </w:r>
    </w:p>
    <w:p w:rsidR="00A43A14" w:rsidRPr="0013679B" w:rsidRDefault="0013679B" w:rsidP="0013679B">
      <w:pPr>
        <w:pStyle w:val="lg-a-1"/>
        <w:shd w:val="clear" w:color="auto" w:fill="FFFFFF"/>
        <w:spacing w:before="0" w:beforeAutospacing="0" w:after="0" w:afterAutospacing="0" w:line="360" w:lineRule="auto"/>
        <w:contextualSpacing/>
        <w:jc w:val="both"/>
        <w:rPr>
          <w:rFonts w:ascii="Arial" w:hAnsi="Arial" w:cs="Arial"/>
          <w:sz w:val="22"/>
          <w:szCs w:val="22"/>
        </w:rPr>
      </w:pPr>
      <w:r w:rsidRPr="0013679B">
        <w:rPr>
          <w:rFonts w:ascii="Arial" w:hAnsi="Arial" w:cs="Arial"/>
          <w:color w:val="000000"/>
          <w:sz w:val="22"/>
          <w:szCs w:val="22"/>
        </w:rPr>
        <w:t>and the company or body corporate has for three weeks thereafter neglected to pay the sum, or to secure or compound for it to the reasonable satisfaction of the creditor’</w:t>
      </w:r>
      <w:r w:rsidR="00A43A14" w:rsidRPr="0013679B">
        <w:rPr>
          <w:rFonts w:ascii="Arial" w:hAnsi="Arial" w:cs="Arial"/>
          <w:sz w:val="22"/>
          <w:szCs w:val="22"/>
        </w:rPr>
        <w:t>.</w:t>
      </w:r>
    </w:p>
    <w:p w:rsidR="008A76FB" w:rsidRDefault="008A76FB" w:rsidP="008A76FB">
      <w:pPr>
        <w:pStyle w:val="ListParagraph"/>
        <w:tabs>
          <w:tab w:val="left" w:pos="709"/>
        </w:tabs>
        <w:spacing w:line="360" w:lineRule="auto"/>
        <w:ind w:left="0"/>
        <w:jc w:val="both"/>
        <w:rPr>
          <w:rFonts w:ascii="Arial" w:hAnsi="Arial" w:cs="Arial"/>
        </w:rPr>
      </w:pPr>
    </w:p>
    <w:p w:rsidR="00A52159" w:rsidRPr="00220BDA" w:rsidRDefault="00220BDA" w:rsidP="00220BDA">
      <w:pPr>
        <w:tabs>
          <w:tab w:val="left" w:pos="709"/>
          <w:tab w:val="left" w:pos="1418"/>
        </w:tabs>
        <w:spacing w:after="0" w:line="360" w:lineRule="auto"/>
        <w:jc w:val="both"/>
        <w:rPr>
          <w:rFonts w:ascii="Arial" w:hAnsi="Arial" w:cs="Arial"/>
          <w:sz w:val="24"/>
          <w:szCs w:val="24"/>
          <w:lang w:val="en-ZA"/>
        </w:rPr>
      </w:pPr>
      <w:r w:rsidRPr="008A76FB">
        <w:rPr>
          <w:rFonts w:ascii="Arial" w:hAnsi="Arial" w:cs="Arial"/>
          <w:sz w:val="24"/>
          <w:szCs w:val="24"/>
          <w:lang w:val="en-ZA"/>
        </w:rPr>
        <w:t>[8]</w:t>
      </w:r>
      <w:r w:rsidRPr="008A76FB">
        <w:rPr>
          <w:rFonts w:ascii="Arial" w:hAnsi="Arial" w:cs="Arial"/>
          <w:sz w:val="24"/>
          <w:szCs w:val="24"/>
          <w:lang w:val="en-ZA"/>
        </w:rPr>
        <w:tab/>
      </w:r>
      <w:r w:rsidR="008A76FB" w:rsidRPr="00220BDA">
        <w:rPr>
          <w:rFonts w:ascii="Arial" w:hAnsi="Arial" w:cs="Arial"/>
          <w:sz w:val="24"/>
          <w:szCs w:val="24"/>
          <w:lang w:val="en-ZA"/>
        </w:rPr>
        <w:t xml:space="preserve">It is necessary to dwell </w:t>
      </w:r>
      <w:r w:rsidR="00D407D8" w:rsidRPr="00220BDA">
        <w:rPr>
          <w:rFonts w:ascii="Arial" w:hAnsi="Arial" w:cs="Arial"/>
          <w:sz w:val="24"/>
          <w:szCs w:val="24"/>
          <w:lang w:val="en-ZA"/>
        </w:rPr>
        <w:t xml:space="preserve">for </w:t>
      </w:r>
      <w:r w:rsidR="008A76FB" w:rsidRPr="00220BDA">
        <w:rPr>
          <w:rFonts w:ascii="Arial" w:hAnsi="Arial" w:cs="Arial"/>
          <w:sz w:val="24"/>
          <w:szCs w:val="24"/>
          <w:lang w:val="en-ZA"/>
        </w:rPr>
        <w:t xml:space="preserve">a moment on the content of the </w:t>
      </w:r>
      <w:r w:rsidR="00173AC5" w:rsidRPr="00220BDA">
        <w:rPr>
          <w:rFonts w:ascii="Arial" w:hAnsi="Arial" w:cs="Arial"/>
          <w:sz w:val="24"/>
          <w:szCs w:val="24"/>
          <w:lang w:val="en-ZA"/>
        </w:rPr>
        <w:t>demand</w:t>
      </w:r>
      <w:r w:rsidR="008A76FB" w:rsidRPr="00220BDA">
        <w:rPr>
          <w:rFonts w:ascii="Arial" w:hAnsi="Arial" w:cs="Arial"/>
          <w:sz w:val="24"/>
          <w:szCs w:val="24"/>
          <w:lang w:val="en-ZA"/>
        </w:rPr>
        <w:t xml:space="preserve">, given the excitement that it has generated in this matter. </w:t>
      </w:r>
      <w:r w:rsidR="00DC6771" w:rsidRPr="00220BDA">
        <w:rPr>
          <w:rFonts w:ascii="Arial" w:hAnsi="Arial" w:cs="Arial"/>
          <w:sz w:val="24"/>
          <w:szCs w:val="24"/>
          <w:lang w:val="en-ZA"/>
        </w:rPr>
        <w:t>It</w:t>
      </w:r>
      <w:r w:rsidR="008A76FB" w:rsidRPr="00220BDA">
        <w:rPr>
          <w:rFonts w:ascii="Arial" w:hAnsi="Arial" w:cs="Arial"/>
          <w:sz w:val="24"/>
          <w:szCs w:val="24"/>
          <w:lang w:val="en-ZA"/>
        </w:rPr>
        <w:t xml:space="preserve"> plainly reveals that it was delivered in accordance with the provisions of section 345(1)</w:t>
      </w:r>
      <w:r w:rsidR="008A76FB" w:rsidRPr="00220BDA">
        <w:rPr>
          <w:rFonts w:ascii="Arial" w:hAnsi="Arial" w:cs="Arial"/>
          <w:i/>
          <w:sz w:val="24"/>
          <w:szCs w:val="24"/>
          <w:lang w:val="en-ZA"/>
        </w:rPr>
        <w:t xml:space="preserve">(a) </w:t>
      </w:r>
      <w:r w:rsidR="008A76FB" w:rsidRPr="00220BDA">
        <w:rPr>
          <w:rFonts w:ascii="Arial" w:hAnsi="Arial" w:cs="Arial"/>
          <w:sz w:val="24"/>
          <w:szCs w:val="24"/>
          <w:lang w:val="en-ZA"/>
        </w:rPr>
        <w:t xml:space="preserve">of the old Act. </w:t>
      </w:r>
      <w:r w:rsidR="00A52159" w:rsidRPr="00220BDA">
        <w:rPr>
          <w:rFonts w:ascii="Arial" w:hAnsi="Arial" w:cs="Arial"/>
          <w:sz w:val="24"/>
          <w:szCs w:val="24"/>
          <w:lang w:val="en-ZA"/>
        </w:rPr>
        <w:t xml:space="preserve">It demanded the repayment </w:t>
      </w:r>
      <w:r w:rsidR="00D407D8" w:rsidRPr="00220BDA">
        <w:rPr>
          <w:rFonts w:ascii="Arial" w:hAnsi="Arial" w:cs="Arial"/>
          <w:sz w:val="24"/>
          <w:szCs w:val="24"/>
          <w:lang w:val="en-ZA"/>
        </w:rPr>
        <w:t xml:space="preserve">from the respondent </w:t>
      </w:r>
      <w:r w:rsidR="00A52159" w:rsidRPr="00220BDA">
        <w:rPr>
          <w:rFonts w:ascii="Arial" w:hAnsi="Arial" w:cs="Arial"/>
          <w:sz w:val="24"/>
          <w:szCs w:val="24"/>
          <w:lang w:val="en-ZA"/>
        </w:rPr>
        <w:t xml:space="preserve">of an amount of R5 894 028.43 within </w:t>
      </w:r>
      <w:r w:rsidR="00A43A14" w:rsidRPr="00220BDA">
        <w:rPr>
          <w:rFonts w:ascii="Arial" w:hAnsi="Arial" w:cs="Arial"/>
          <w:sz w:val="24"/>
          <w:szCs w:val="24"/>
          <w:lang w:val="en-ZA"/>
        </w:rPr>
        <w:t>the statutorily defined period</w:t>
      </w:r>
      <w:r w:rsidR="00A52159" w:rsidRPr="00220BDA">
        <w:rPr>
          <w:rFonts w:ascii="Arial" w:hAnsi="Arial" w:cs="Arial"/>
          <w:sz w:val="24"/>
          <w:szCs w:val="24"/>
          <w:lang w:val="en-ZA"/>
        </w:rPr>
        <w:t>. It further stated the following:</w:t>
      </w:r>
    </w:p>
    <w:p w:rsidR="00A52159" w:rsidRPr="00A52159" w:rsidRDefault="00A52159" w:rsidP="00A52159">
      <w:pPr>
        <w:pStyle w:val="ListParagraph"/>
        <w:tabs>
          <w:tab w:val="left" w:pos="709"/>
          <w:tab w:val="left" w:pos="1418"/>
        </w:tabs>
        <w:spacing w:after="0" w:line="360" w:lineRule="auto"/>
        <w:ind w:left="0"/>
        <w:jc w:val="both"/>
        <w:rPr>
          <w:rFonts w:ascii="Arial" w:hAnsi="Arial" w:cs="Arial"/>
          <w:lang w:val="en-ZA"/>
        </w:rPr>
      </w:pPr>
      <w:r w:rsidRPr="00A52159">
        <w:rPr>
          <w:rFonts w:ascii="Arial" w:hAnsi="Arial" w:cs="Arial"/>
          <w:lang w:val="en-ZA"/>
        </w:rPr>
        <w:t>‘In this regard we draw your attention to Section 345(1)(a) of the Companies Act 61 of 1973, as amended, which states …’.</w:t>
      </w:r>
    </w:p>
    <w:p w:rsidR="00A52159" w:rsidRDefault="00A52159" w:rsidP="00A52159">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 xml:space="preserve">What thereafter appears in the </w:t>
      </w:r>
      <w:r w:rsidR="00173AC5">
        <w:rPr>
          <w:rFonts w:ascii="Arial" w:hAnsi="Arial" w:cs="Arial"/>
          <w:sz w:val="24"/>
          <w:szCs w:val="24"/>
          <w:lang w:val="en-ZA"/>
        </w:rPr>
        <w:t>demand</w:t>
      </w:r>
      <w:r>
        <w:rPr>
          <w:rFonts w:ascii="Arial" w:hAnsi="Arial" w:cs="Arial"/>
          <w:sz w:val="24"/>
          <w:szCs w:val="24"/>
          <w:lang w:val="en-ZA"/>
        </w:rPr>
        <w:t xml:space="preserve"> is a</w:t>
      </w:r>
      <w:r w:rsidR="00701787">
        <w:rPr>
          <w:rFonts w:ascii="Arial" w:hAnsi="Arial" w:cs="Arial"/>
          <w:sz w:val="24"/>
          <w:szCs w:val="24"/>
          <w:lang w:val="en-ZA"/>
        </w:rPr>
        <w:t xml:space="preserve"> </w:t>
      </w:r>
      <w:r w:rsidR="008A76FB">
        <w:rPr>
          <w:rFonts w:ascii="Arial" w:hAnsi="Arial" w:cs="Arial"/>
          <w:sz w:val="24"/>
          <w:szCs w:val="24"/>
          <w:lang w:val="en-ZA"/>
        </w:rPr>
        <w:t>verbatim narration</w:t>
      </w:r>
      <w:r w:rsidR="00701787">
        <w:rPr>
          <w:rFonts w:ascii="Arial" w:hAnsi="Arial" w:cs="Arial"/>
          <w:sz w:val="24"/>
          <w:szCs w:val="24"/>
          <w:lang w:val="en-ZA"/>
        </w:rPr>
        <w:t xml:space="preserve"> of the provisions of section 345(1)</w:t>
      </w:r>
      <w:r w:rsidR="00701787" w:rsidRPr="00D407D8">
        <w:rPr>
          <w:rFonts w:ascii="Arial" w:hAnsi="Arial" w:cs="Arial"/>
          <w:i/>
          <w:sz w:val="24"/>
          <w:szCs w:val="24"/>
          <w:lang w:val="en-ZA"/>
        </w:rPr>
        <w:t xml:space="preserve">(a) </w:t>
      </w:r>
      <w:r w:rsidR="00701787">
        <w:rPr>
          <w:rFonts w:ascii="Arial" w:hAnsi="Arial" w:cs="Arial"/>
          <w:sz w:val="24"/>
          <w:szCs w:val="24"/>
          <w:lang w:val="en-ZA"/>
        </w:rPr>
        <w:t>of the old Act.</w:t>
      </w:r>
      <w:r w:rsidR="009864A3">
        <w:rPr>
          <w:rFonts w:ascii="Arial" w:hAnsi="Arial" w:cs="Arial"/>
          <w:sz w:val="24"/>
          <w:szCs w:val="24"/>
          <w:lang w:val="en-ZA"/>
        </w:rPr>
        <w:t xml:space="preserve"> </w:t>
      </w:r>
      <w:r w:rsidR="00701787">
        <w:rPr>
          <w:rFonts w:ascii="Arial" w:hAnsi="Arial" w:cs="Arial"/>
          <w:sz w:val="24"/>
          <w:szCs w:val="24"/>
          <w:lang w:val="en-ZA"/>
        </w:rPr>
        <w:t xml:space="preserve">The </w:t>
      </w:r>
      <w:r w:rsidR="00173AC5">
        <w:rPr>
          <w:rFonts w:ascii="Arial" w:hAnsi="Arial" w:cs="Arial"/>
          <w:sz w:val="24"/>
          <w:szCs w:val="24"/>
          <w:lang w:val="en-ZA"/>
        </w:rPr>
        <w:t>demand</w:t>
      </w:r>
      <w:r w:rsidR="00701787">
        <w:rPr>
          <w:rFonts w:ascii="Arial" w:hAnsi="Arial" w:cs="Arial"/>
          <w:sz w:val="24"/>
          <w:szCs w:val="24"/>
          <w:lang w:val="en-ZA"/>
        </w:rPr>
        <w:t xml:space="preserve"> goes on to state the following:</w:t>
      </w:r>
    </w:p>
    <w:p w:rsidR="00701787" w:rsidRPr="009864A3" w:rsidRDefault="00701787" w:rsidP="00A52159">
      <w:pPr>
        <w:pStyle w:val="ListParagraph"/>
        <w:tabs>
          <w:tab w:val="left" w:pos="709"/>
          <w:tab w:val="left" w:pos="1418"/>
        </w:tabs>
        <w:spacing w:after="0" w:line="360" w:lineRule="auto"/>
        <w:ind w:left="0"/>
        <w:jc w:val="both"/>
        <w:rPr>
          <w:rFonts w:ascii="Arial" w:hAnsi="Arial" w:cs="Arial"/>
          <w:lang w:val="en-ZA"/>
        </w:rPr>
      </w:pPr>
      <w:r w:rsidRPr="009864A3">
        <w:rPr>
          <w:rFonts w:ascii="Arial" w:hAnsi="Arial" w:cs="Arial"/>
          <w:lang w:val="en-ZA"/>
        </w:rPr>
        <w:t>‘8.</w:t>
      </w:r>
      <w:r w:rsidRPr="009864A3">
        <w:rPr>
          <w:rFonts w:ascii="Arial" w:hAnsi="Arial" w:cs="Arial"/>
          <w:lang w:val="en-ZA"/>
        </w:rPr>
        <w:tab/>
        <w:t>Should you therefore neglect to pay the said amount or to secure or compound for it [sic] to the reasonable satisfaction of our client within TWENTY ONE (21) DAYS of</w:t>
      </w:r>
      <w:r w:rsidR="009864A3">
        <w:rPr>
          <w:rFonts w:ascii="Arial" w:hAnsi="Arial" w:cs="Arial"/>
          <w:lang w:val="en-ZA"/>
        </w:rPr>
        <w:t xml:space="preserve"> </w:t>
      </w:r>
      <w:r w:rsidRPr="009864A3">
        <w:rPr>
          <w:rFonts w:ascii="Arial" w:hAnsi="Arial" w:cs="Arial"/>
          <w:lang w:val="en-ZA"/>
        </w:rPr>
        <w:t xml:space="preserve">receipt of this </w:t>
      </w:r>
      <w:r w:rsidR="00173AC5">
        <w:rPr>
          <w:rFonts w:ascii="Arial" w:hAnsi="Arial" w:cs="Arial"/>
          <w:lang w:val="en-ZA"/>
        </w:rPr>
        <w:t>the demand</w:t>
      </w:r>
      <w:r w:rsidRPr="009864A3">
        <w:rPr>
          <w:rFonts w:ascii="Arial" w:hAnsi="Arial" w:cs="Arial"/>
          <w:lang w:val="en-ZA"/>
        </w:rPr>
        <w:t>, you will, in terms of the abovementioned Section, be deemed to be unable to pay your debts.</w:t>
      </w:r>
    </w:p>
    <w:p w:rsidR="00701787" w:rsidRPr="009864A3" w:rsidRDefault="00701787" w:rsidP="00147CBA">
      <w:pPr>
        <w:pStyle w:val="ListParagraph"/>
        <w:tabs>
          <w:tab w:val="left" w:pos="709"/>
          <w:tab w:val="left" w:pos="1418"/>
        </w:tabs>
        <w:spacing w:after="0" w:line="360" w:lineRule="auto"/>
        <w:ind w:left="0"/>
        <w:jc w:val="both"/>
        <w:rPr>
          <w:rFonts w:ascii="Arial" w:hAnsi="Arial" w:cs="Arial"/>
          <w:lang w:val="en-ZA"/>
        </w:rPr>
      </w:pPr>
      <w:r w:rsidRPr="009864A3">
        <w:rPr>
          <w:rFonts w:ascii="Arial" w:hAnsi="Arial" w:cs="Arial"/>
          <w:lang w:val="en-ZA"/>
        </w:rPr>
        <w:t>9.</w:t>
      </w:r>
      <w:r w:rsidRPr="009864A3">
        <w:rPr>
          <w:rFonts w:ascii="Arial" w:hAnsi="Arial" w:cs="Arial"/>
          <w:lang w:val="en-ZA"/>
        </w:rPr>
        <w:tab/>
        <w:t>The effect of the abovementioned section is that our client will be able to proceed to apply for the liquidation of yourselves pursuant to section 345</w:t>
      </w:r>
      <w:r w:rsidR="009864A3" w:rsidRPr="009864A3">
        <w:rPr>
          <w:rFonts w:ascii="Arial" w:hAnsi="Arial" w:cs="Arial"/>
          <w:lang w:val="en-ZA"/>
        </w:rPr>
        <w:t>(1)(a)</w:t>
      </w:r>
      <w:r w:rsidRPr="009864A3">
        <w:rPr>
          <w:rFonts w:ascii="Arial" w:hAnsi="Arial" w:cs="Arial"/>
          <w:lang w:val="en-ZA"/>
        </w:rPr>
        <w:t xml:space="preserve"> on the basis of your deemed inability to pay your debts.</w:t>
      </w:r>
      <w:r w:rsidR="009864A3" w:rsidRPr="009864A3">
        <w:rPr>
          <w:rFonts w:ascii="Arial" w:hAnsi="Arial" w:cs="Arial"/>
          <w:lang w:val="en-ZA"/>
        </w:rPr>
        <w:t>’</w:t>
      </w:r>
    </w:p>
    <w:p w:rsidR="00A52159" w:rsidRPr="00A52159" w:rsidRDefault="00A52159" w:rsidP="00147CBA">
      <w:pPr>
        <w:pStyle w:val="ListParagraph"/>
        <w:spacing w:after="0" w:line="360" w:lineRule="auto"/>
        <w:rPr>
          <w:rFonts w:ascii="Arial" w:hAnsi="Arial" w:cs="Arial"/>
          <w:sz w:val="24"/>
          <w:szCs w:val="24"/>
          <w:lang w:val="en-ZA"/>
        </w:rPr>
      </w:pPr>
    </w:p>
    <w:p w:rsidR="00BC645C"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[9]</w:t>
      </w:r>
      <w:r>
        <w:rPr>
          <w:rFonts w:ascii="Arial" w:hAnsi="Arial" w:cs="Arial"/>
          <w:sz w:val="24"/>
          <w:szCs w:val="24"/>
          <w:lang w:val="en-ZA"/>
        </w:rPr>
        <w:tab/>
      </w:r>
      <w:r w:rsidR="009864A3" w:rsidRPr="00220BDA">
        <w:rPr>
          <w:rFonts w:ascii="Arial" w:hAnsi="Arial" w:cs="Arial"/>
          <w:sz w:val="24"/>
          <w:szCs w:val="24"/>
          <w:lang w:val="en-ZA"/>
        </w:rPr>
        <w:t xml:space="preserve">The </w:t>
      </w:r>
      <w:r w:rsidR="00173AC5" w:rsidRPr="00220BDA">
        <w:rPr>
          <w:rFonts w:ascii="Arial" w:hAnsi="Arial" w:cs="Arial"/>
          <w:sz w:val="24"/>
          <w:szCs w:val="24"/>
          <w:lang w:val="en-ZA"/>
        </w:rPr>
        <w:t>demand</w:t>
      </w:r>
      <w:r w:rsidR="009864A3" w:rsidRPr="00220BDA">
        <w:rPr>
          <w:rFonts w:ascii="Arial" w:hAnsi="Arial" w:cs="Arial"/>
          <w:sz w:val="24"/>
          <w:szCs w:val="24"/>
          <w:lang w:val="en-ZA"/>
        </w:rPr>
        <w:t xml:space="preserve"> </w:t>
      </w:r>
      <w:r w:rsidR="00BC645C" w:rsidRPr="00220BDA">
        <w:rPr>
          <w:rFonts w:ascii="Arial" w:hAnsi="Arial" w:cs="Arial"/>
          <w:sz w:val="24"/>
          <w:szCs w:val="24"/>
          <w:lang w:val="en-ZA"/>
        </w:rPr>
        <w:t>elicited no reaction from the respondent, which did not pay the amount demanded of it nor did it secure</w:t>
      </w:r>
      <w:r w:rsidR="00DC6771" w:rsidRPr="00220BDA">
        <w:rPr>
          <w:rFonts w:ascii="Arial" w:hAnsi="Arial" w:cs="Arial"/>
          <w:sz w:val="24"/>
          <w:szCs w:val="24"/>
          <w:lang w:val="en-ZA"/>
        </w:rPr>
        <w:t xml:space="preserve"> or compound </w:t>
      </w:r>
      <w:r w:rsidR="00BC645C" w:rsidRPr="00220BDA">
        <w:rPr>
          <w:rFonts w:ascii="Arial" w:hAnsi="Arial" w:cs="Arial"/>
          <w:sz w:val="24"/>
          <w:szCs w:val="24"/>
          <w:lang w:val="en-ZA"/>
        </w:rPr>
        <w:t xml:space="preserve">that amount to the reasonable satisfaction of the applicant. </w:t>
      </w:r>
      <w:r w:rsidR="00C12176" w:rsidRPr="00220BDA">
        <w:rPr>
          <w:rFonts w:ascii="Arial" w:hAnsi="Arial" w:cs="Arial"/>
          <w:sz w:val="24"/>
          <w:szCs w:val="24"/>
          <w:lang w:val="en-ZA"/>
        </w:rPr>
        <w:t>Thus, so the applicant contends,</w:t>
      </w:r>
      <w:r w:rsidR="00BC645C" w:rsidRPr="00220BDA">
        <w:rPr>
          <w:rFonts w:ascii="Arial" w:hAnsi="Arial" w:cs="Arial"/>
          <w:sz w:val="24"/>
          <w:szCs w:val="24"/>
          <w:lang w:val="en-ZA"/>
        </w:rPr>
        <w:t xml:space="preserve"> </w:t>
      </w:r>
      <w:r w:rsidR="00C12176" w:rsidRPr="00220BDA">
        <w:rPr>
          <w:rFonts w:ascii="Arial" w:hAnsi="Arial" w:cs="Arial"/>
          <w:sz w:val="24"/>
          <w:szCs w:val="24"/>
          <w:lang w:val="en-ZA"/>
        </w:rPr>
        <w:t>t</w:t>
      </w:r>
      <w:r w:rsidR="00BC645C" w:rsidRPr="00220BDA">
        <w:rPr>
          <w:rFonts w:ascii="Arial" w:hAnsi="Arial" w:cs="Arial"/>
          <w:sz w:val="24"/>
          <w:szCs w:val="24"/>
          <w:lang w:val="en-ZA"/>
        </w:rPr>
        <w:t xml:space="preserve">he </w:t>
      </w:r>
      <w:r w:rsidR="00DA31EF" w:rsidRPr="00220BDA">
        <w:rPr>
          <w:rFonts w:ascii="Arial" w:hAnsi="Arial" w:cs="Arial"/>
          <w:sz w:val="24"/>
          <w:szCs w:val="24"/>
          <w:lang w:val="en-ZA"/>
        </w:rPr>
        <w:t xml:space="preserve">law deems the </w:t>
      </w:r>
      <w:r w:rsidR="00BC645C" w:rsidRPr="00220BDA">
        <w:rPr>
          <w:rFonts w:ascii="Arial" w:hAnsi="Arial" w:cs="Arial"/>
          <w:sz w:val="24"/>
          <w:szCs w:val="24"/>
          <w:lang w:val="en-ZA"/>
        </w:rPr>
        <w:t>respondent to be insolvent.</w:t>
      </w:r>
      <w:r w:rsidR="009864A3" w:rsidRPr="00220BDA">
        <w:rPr>
          <w:rFonts w:ascii="Arial" w:hAnsi="Arial" w:cs="Arial"/>
          <w:sz w:val="24"/>
          <w:szCs w:val="24"/>
          <w:lang w:val="en-ZA"/>
        </w:rPr>
        <w:t xml:space="preserve"> </w:t>
      </w:r>
    </w:p>
    <w:p w:rsidR="00826D86" w:rsidRPr="00826D86" w:rsidRDefault="00826D86" w:rsidP="00826D86">
      <w:pPr>
        <w:pStyle w:val="ListParagraph"/>
        <w:tabs>
          <w:tab w:val="left" w:pos="709"/>
          <w:tab w:val="left" w:pos="1418"/>
        </w:tabs>
        <w:spacing w:after="0" w:line="360" w:lineRule="auto"/>
        <w:ind w:left="0"/>
        <w:jc w:val="both"/>
        <w:rPr>
          <w:rFonts w:ascii="Arial" w:hAnsi="Arial" w:cs="Arial"/>
          <w:sz w:val="24"/>
          <w:szCs w:val="24"/>
          <w:lang w:val="en-ZA"/>
        </w:rPr>
      </w:pPr>
    </w:p>
    <w:p w:rsidR="00147CBA"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[10]</w:t>
      </w:r>
      <w:r>
        <w:rPr>
          <w:rFonts w:ascii="Arial" w:hAnsi="Arial" w:cs="Arial"/>
          <w:sz w:val="24"/>
          <w:szCs w:val="24"/>
          <w:lang w:val="en-ZA"/>
        </w:rPr>
        <w:tab/>
      </w:r>
      <w:r w:rsidR="009864A3" w:rsidRPr="00220BDA">
        <w:rPr>
          <w:rFonts w:ascii="Arial" w:hAnsi="Arial" w:cs="Arial"/>
          <w:sz w:val="24"/>
          <w:szCs w:val="24"/>
          <w:lang w:val="en-ZA"/>
        </w:rPr>
        <w:t>Multiple defences are raised by the respondent</w:t>
      </w:r>
      <w:r w:rsidR="005D4314" w:rsidRPr="00220BDA">
        <w:rPr>
          <w:rFonts w:ascii="Arial" w:hAnsi="Arial" w:cs="Arial"/>
          <w:sz w:val="24"/>
          <w:szCs w:val="24"/>
          <w:lang w:val="en-ZA"/>
        </w:rPr>
        <w:t xml:space="preserve"> in its answering affidavit</w:t>
      </w:r>
      <w:r w:rsidR="009864A3" w:rsidRPr="00220BDA">
        <w:rPr>
          <w:rFonts w:ascii="Arial" w:hAnsi="Arial" w:cs="Arial"/>
          <w:sz w:val="24"/>
          <w:szCs w:val="24"/>
          <w:lang w:val="en-ZA"/>
        </w:rPr>
        <w:t>.</w:t>
      </w:r>
      <w:r w:rsidR="005D4314" w:rsidRPr="00220BDA">
        <w:rPr>
          <w:rFonts w:ascii="Arial" w:hAnsi="Arial" w:cs="Arial"/>
          <w:sz w:val="24"/>
          <w:szCs w:val="24"/>
          <w:lang w:val="en-ZA"/>
        </w:rPr>
        <w:t xml:space="preserve"> Not all </w:t>
      </w:r>
    </w:p>
    <w:p w:rsidR="005D4314" w:rsidRDefault="005D4314" w:rsidP="00147CBA">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lastRenderedPageBreak/>
        <w:t xml:space="preserve">of them were persisted with in argument. </w:t>
      </w:r>
      <w:r w:rsidR="009864A3">
        <w:rPr>
          <w:rFonts w:ascii="Arial" w:hAnsi="Arial" w:cs="Arial"/>
          <w:sz w:val="24"/>
          <w:szCs w:val="24"/>
          <w:lang w:val="en-ZA"/>
        </w:rPr>
        <w:t>Th</w:t>
      </w:r>
      <w:r>
        <w:rPr>
          <w:rFonts w:ascii="Arial" w:hAnsi="Arial" w:cs="Arial"/>
          <w:sz w:val="24"/>
          <w:szCs w:val="24"/>
          <w:lang w:val="en-ZA"/>
        </w:rPr>
        <w:t xml:space="preserve">ose that were persisted </w:t>
      </w:r>
      <w:r w:rsidR="00714250">
        <w:rPr>
          <w:rFonts w:ascii="Arial" w:hAnsi="Arial" w:cs="Arial"/>
          <w:sz w:val="24"/>
          <w:szCs w:val="24"/>
          <w:lang w:val="en-ZA"/>
        </w:rPr>
        <w:t xml:space="preserve">with </w:t>
      </w:r>
      <w:r>
        <w:rPr>
          <w:rFonts w:ascii="Arial" w:hAnsi="Arial" w:cs="Arial"/>
          <w:sz w:val="24"/>
          <w:szCs w:val="24"/>
          <w:lang w:val="en-ZA"/>
        </w:rPr>
        <w:t>are trenchantly</w:t>
      </w:r>
      <w:r w:rsidR="009864A3">
        <w:rPr>
          <w:rFonts w:ascii="Arial" w:hAnsi="Arial" w:cs="Arial"/>
          <w:sz w:val="24"/>
          <w:szCs w:val="24"/>
          <w:lang w:val="en-ZA"/>
        </w:rPr>
        <w:t xml:space="preserve"> set out in the heads of argument prepared </w:t>
      </w:r>
      <w:r w:rsidR="00147CBA">
        <w:rPr>
          <w:rFonts w:ascii="Arial" w:hAnsi="Arial" w:cs="Arial"/>
          <w:sz w:val="24"/>
          <w:szCs w:val="24"/>
          <w:lang w:val="en-ZA"/>
        </w:rPr>
        <w:t xml:space="preserve">on </w:t>
      </w:r>
      <w:r w:rsidR="0023662F">
        <w:rPr>
          <w:rFonts w:ascii="Arial" w:hAnsi="Arial" w:cs="Arial"/>
          <w:sz w:val="24"/>
          <w:szCs w:val="24"/>
          <w:lang w:val="en-ZA"/>
        </w:rPr>
        <w:t xml:space="preserve">the respondent’s </w:t>
      </w:r>
      <w:r w:rsidR="00147CBA">
        <w:rPr>
          <w:rFonts w:ascii="Arial" w:hAnsi="Arial" w:cs="Arial"/>
          <w:sz w:val="24"/>
          <w:szCs w:val="24"/>
          <w:lang w:val="en-ZA"/>
        </w:rPr>
        <w:t>behalf</w:t>
      </w:r>
      <w:r>
        <w:rPr>
          <w:rFonts w:ascii="Arial" w:hAnsi="Arial" w:cs="Arial"/>
          <w:sz w:val="24"/>
          <w:szCs w:val="24"/>
          <w:lang w:val="en-ZA"/>
        </w:rPr>
        <w:t>. Each must be considered.</w:t>
      </w:r>
    </w:p>
    <w:p w:rsidR="00147CBA"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[11]</w:t>
      </w:r>
      <w:r>
        <w:rPr>
          <w:rFonts w:ascii="Arial" w:hAnsi="Arial" w:cs="Arial"/>
          <w:sz w:val="24"/>
          <w:szCs w:val="24"/>
          <w:lang w:val="en-ZA"/>
        </w:rPr>
        <w:tab/>
      </w:r>
      <w:r w:rsidR="005D4314" w:rsidRPr="00220BDA">
        <w:rPr>
          <w:rFonts w:ascii="Arial" w:hAnsi="Arial" w:cs="Arial"/>
          <w:sz w:val="24"/>
          <w:szCs w:val="24"/>
          <w:lang w:val="en-ZA"/>
        </w:rPr>
        <w:t xml:space="preserve">The </w:t>
      </w:r>
      <w:r w:rsidR="00AE2AD4" w:rsidRPr="00220BDA">
        <w:rPr>
          <w:rFonts w:ascii="Arial" w:hAnsi="Arial" w:cs="Arial"/>
          <w:sz w:val="24"/>
          <w:szCs w:val="24"/>
          <w:lang w:val="en-ZA"/>
        </w:rPr>
        <w:t xml:space="preserve">first defence raised is that the applicant has failed to establish a breach of the agreement. </w:t>
      </w:r>
      <w:r w:rsidR="00826D86" w:rsidRPr="00220BDA">
        <w:rPr>
          <w:rFonts w:ascii="Arial" w:hAnsi="Arial" w:cs="Arial"/>
          <w:sz w:val="24"/>
          <w:szCs w:val="24"/>
          <w:lang w:val="en-ZA"/>
        </w:rPr>
        <w:t>I</w:t>
      </w:r>
      <w:r w:rsidR="00A43A14" w:rsidRPr="00220BDA">
        <w:rPr>
          <w:rFonts w:ascii="Arial" w:hAnsi="Arial" w:cs="Arial"/>
          <w:sz w:val="24"/>
          <w:szCs w:val="24"/>
          <w:lang w:val="en-ZA"/>
        </w:rPr>
        <w:t>t i</w:t>
      </w:r>
      <w:r w:rsidR="00826D86" w:rsidRPr="00220BDA">
        <w:rPr>
          <w:rFonts w:ascii="Arial" w:hAnsi="Arial" w:cs="Arial"/>
          <w:sz w:val="24"/>
          <w:szCs w:val="24"/>
          <w:lang w:val="en-ZA"/>
        </w:rPr>
        <w:t>s submitted</w:t>
      </w:r>
      <w:r w:rsidR="00AE2AD4" w:rsidRPr="00220BDA">
        <w:rPr>
          <w:rFonts w:ascii="Arial" w:hAnsi="Arial" w:cs="Arial"/>
          <w:sz w:val="24"/>
          <w:szCs w:val="24"/>
          <w:lang w:val="en-ZA"/>
        </w:rPr>
        <w:t xml:space="preserve"> that the applicant has not put up a </w:t>
      </w:r>
      <w:r w:rsidR="008A76FB" w:rsidRPr="00220BDA">
        <w:rPr>
          <w:rFonts w:ascii="Arial" w:hAnsi="Arial" w:cs="Arial"/>
          <w:sz w:val="24"/>
          <w:szCs w:val="24"/>
          <w:lang w:val="en-ZA"/>
        </w:rPr>
        <w:t>schedule</w:t>
      </w:r>
      <w:r w:rsidR="00AE2AD4" w:rsidRPr="00220BDA">
        <w:rPr>
          <w:rFonts w:ascii="Arial" w:hAnsi="Arial" w:cs="Arial"/>
          <w:sz w:val="24"/>
          <w:szCs w:val="24"/>
          <w:lang w:val="en-ZA"/>
        </w:rPr>
        <w:t xml:space="preserve"> of the payments made by the respondent from which a missed payment or payments by the respondent </w:t>
      </w:r>
      <w:r w:rsidR="00AF7E2F" w:rsidRPr="00220BDA">
        <w:rPr>
          <w:rFonts w:ascii="Arial" w:hAnsi="Arial" w:cs="Arial"/>
          <w:sz w:val="24"/>
          <w:szCs w:val="24"/>
          <w:lang w:val="en-ZA"/>
        </w:rPr>
        <w:t>can</w:t>
      </w:r>
      <w:r w:rsidR="00AE2AD4" w:rsidRPr="00220BDA">
        <w:rPr>
          <w:rFonts w:ascii="Arial" w:hAnsi="Arial" w:cs="Arial"/>
          <w:sz w:val="24"/>
          <w:szCs w:val="24"/>
          <w:lang w:val="en-ZA"/>
        </w:rPr>
        <w:t xml:space="preserve"> be discerned.</w:t>
      </w:r>
      <w:r w:rsidR="00AF7E2F" w:rsidRPr="00220BDA">
        <w:rPr>
          <w:rFonts w:ascii="Arial" w:hAnsi="Arial" w:cs="Arial"/>
          <w:sz w:val="24"/>
          <w:szCs w:val="24"/>
          <w:lang w:val="en-ZA"/>
        </w:rPr>
        <w:t xml:space="preserve"> </w:t>
      </w:r>
      <w:r w:rsidR="00C402C4" w:rsidRPr="00220BDA">
        <w:rPr>
          <w:rFonts w:ascii="Arial" w:hAnsi="Arial" w:cs="Arial"/>
          <w:sz w:val="24"/>
          <w:szCs w:val="24"/>
          <w:lang w:val="en-ZA"/>
        </w:rPr>
        <w:t xml:space="preserve">That may be correct. </w:t>
      </w:r>
      <w:r w:rsidR="00A43A14" w:rsidRPr="00220BDA">
        <w:rPr>
          <w:rFonts w:ascii="Arial" w:hAnsi="Arial" w:cs="Arial"/>
          <w:sz w:val="24"/>
          <w:szCs w:val="24"/>
          <w:lang w:val="en-ZA"/>
        </w:rPr>
        <w:t>However, i</w:t>
      </w:r>
      <w:r w:rsidR="00147CBA" w:rsidRPr="00220BDA">
        <w:rPr>
          <w:rFonts w:ascii="Arial" w:hAnsi="Arial" w:cs="Arial"/>
          <w:sz w:val="24"/>
          <w:szCs w:val="24"/>
          <w:lang w:val="en-ZA"/>
        </w:rPr>
        <w:t>n terms of section 345</w:t>
      </w:r>
      <w:r w:rsidR="00826D86" w:rsidRPr="00220BDA">
        <w:rPr>
          <w:rFonts w:ascii="Arial" w:hAnsi="Arial" w:cs="Arial"/>
          <w:sz w:val="24"/>
          <w:szCs w:val="24"/>
          <w:lang w:val="en-ZA"/>
        </w:rPr>
        <w:t>(1)</w:t>
      </w:r>
      <w:r w:rsidR="00826D86" w:rsidRPr="00220BDA">
        <w:rPr>
          <w:rFonts w:ascii="Arial" w:hAnsi="Arial" w:cs="Arial"/>
          <w:i/>
          <w:sz w:val="24"/>
          <w:szCs w:val="24"/>
          <w:lang w:val="en-ZA"/>
        </w:rPr>
        <w:t>(a)</w:t>
      </w:r>
      <w:r w:rsidR="00147CBA" w:rsidRPr="00220BDA">
        <w:rPr>
          <w:rFonts w:ascii="Arial" w:hAnsi="Arial" w:cs="Arial"/>
          <w:sz w:val="24"/>
          <w:szCs w:val="24"/>
          <w:lang w:val="en-ZA"/>
        </w:rPr>
        <w:t xml:space="preserve"> of the old Act, all the applicant had to establish was that the respondent was indebted to it in an amount not less than R100. It was not required to establish the respondent’s indebtedness to it in granular detail. </w:t>
      </w:r>
    </w:p>
    <w:p w:rsidR="00147CBA" w:rsidRDefault="00147CBA" w:rsidP="00147CBA">
      <w:pPr>
        <w:pStyle w:val="ListParagraph"/>
        <w:tabs>
          <w:tab w:val="left" w:pos="709"/>
          <w:tab w:val="left" w:pos="1418"/>
        </w:tabs>
        <w:spacing w:after="0" w:line="360" w:lineRule="auto"/>
        <w:ind w:left="0"/>
        <w:jc w:val="both"/>
        <w:rPr>
          <w:rFonts w:ascii="Arial" w:hAnsi="Arial" w:cs="Arial"/>
          <w:sz w:val="24"/>
          <w:szCs w:val="24"/>
          <w:lang w:val="en-ZA"/>
        </w:rPr>
      </w:pPr>
    </w:p>
    <w:p w:rsidR="00BB3794"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[12]</w:t>
      </w:r>
      <w:r>
        <w:rPr>
          <w:rFonts w:ascii="Arial" w:hAnsi="Arial" w:cs="Arial"/>
          <w:sz w:val="24"/>
          <w:szCs w:val="24"/>
          <w:lang w:val="en-ZA"/>
        </w:rPr>
        <w:tab/>
      </w:r>
      <w:r w:rsidR="00A43A14" w:rsidRPr="00220BDA">
        <w:rPr>
          <w:rFonts w:ascii="Arial" w:hAnsi="Arial" w:cs="Arial"/>
          <w:sz w:val="24"/>
          <w:szCs w:val="24"/>
          <w:lang w:val="en-ZA"/>
        </w:rPr>
        <w:t xml:space="preserve">The specific allegation that </w:t>
      </w:r>
      <w:r w:rsidR="008C3498" w:rsidRPr="00220BDA">
        <w:rPr>
          <w:rFonts w:ascii="Arial" w:hAnsi="Arial" w:cs="Arial"/>
          <w:sz w:val="24"/>
          <w:szCs w:val="24"/>
          <w:lang w:val="en-ZA"/>
        </w:rPr>
        <w:t xml:space="preserve">the respondent </w:t>
      </w:r>
      <w:r w:rsidR="004E3F0A" w:rsidRPr="00220BDA">
        <w:rPr>
          <w:rFonts w:ascii="Arial" w:hAnsi="Arial" w:cs="Arial"/>
          <w:sz w:val="24"/>
          <w:szCs w:val="24"/>
          <w:lang w:val="en-ZA"/>
        </w:rPr>
        <w:t>‘</w:t>
      </w:r>
      <w:r w:rsidR="008C3498" w:rsidRPr="00220BDA">
        <w:rPr>
          <w:rFonts w:ascii="Arial" w:hAnsi="Arial" w:cs="Arial"/>
          <w:sz w:val="24"/>
          <w:szCs w:val="24"/>
          <w:lang w:val="en-ZA"/>
        </w:rPr>
        <w:t>stopped making payments</w:t>
      </w:r>
      <w:r w:rsidR="004E3F0A" w:rsidRPr="00220BDA">
        <w:rPr>
          <w:rFonts w:ascii="Arial" w:hAnsi="Arial" w:cs="Arial"/>
          <w:sz w:val="24"/>
          <w:szCs w:val="24"/>
          <w:lang w:val="en-ZA"/>
        </w:rPr>
        <w:t>’</w:t>
      </w:r>
      <w:r w:rsidR="008C3498" w:rsidRPr="00220BDA">
        <w:rPr>
          <w:rFonts w:ascii="Arial" w:hAnsi="Arial" w:cs="Arial"/>
          <w:sz w:val="24"/>
          <w:szCs w:val="24"/>
          <w:lang w:val="en-ZA"/>
        </w:rPr>
        <w:t xml:space="preserve"> that it was obliged to make and </w:t>
      </w:r>
      <w:r w:rsidR="002D4E07" w:rsidRPr="00220BDA">
        <w:rPr>
          <w:rFonts w:ascii="Arial" w:hAnsi="Arial" w:cs="Arial"/>
          <w:sz w:val="24"/>
          <w:szCs w:val="24"/>
          <w:lang w:val="en-ZA"/>
        </w:rPr>
        <w:t xml:space="preserve">consequently </w:t>
      </w:r>
      <w:r w:rsidR="008C3498" w:rsidRPr="00220BDA">
        <w:rPr>
          <w:rFonts w:ascii="Arial" w:hAnsi="Arial" w:cs="Arial"/>
          <w:sz w:val="24"/>
          <w:szCs w:val="24"/>
          <w:lang w:val="en-ZA"/>
        </w:rPr>
        <w:t>fell into arrears that totalled R730 000 by 30 November 2021</w:t>
      </w:r>
      <w:r w:rsidR="00A43A14" w:rsidRPr="00220BDA">
        <w:rPr>
          <w:rFonts w:ascii="Arial" w:hAnsi="Arial" w:cs="Arial"/>
          <w:sz w:val="24"/>
          <w:szCs w:val="24"/>
          <w:lang w:val="en-ZA"/>
        </w:rPr>
        <w:t xml:space="preserve"> is a statement of some significance by the applicant</w:t>
      </w:r>
      <w:r w:rsidR="008C3498" w:rsidRPr="00220BDA">
        <w:rPr>
          <w:rFonts w:ascii="Arial" w:hAnsi="Arial" w:cs="Arial"/>
          <w:sz w:val="24"/>
          <w:szCs w:val="24"/>
          <w:lang w:val="en-ZA"/>
        </w:rPr>
        <w:t xml:space="preserve">. </w:t>
      </w:r>
      <w:r w:rsidR="004E3F0A" w:rsidRPr="00220BDA">
        <w:rPr>
          <w:rFonts w:ascii="Arial" w:hAnsi="Arial" w:cs="Arial"/>
          <w:sz w:val="24"/>
          <w:szCs w:val="24"/>
          <w:lang w:val="en-ZA"/>
        </w:rPr>
        <w:t xml:space="preserve">How that specific allegation is addressed </w:t>
      </w:r>
      <w:r w:rsidR="00DA31EF" w:rsidRPr="00220BDA">
        <w:rPr>
          <w:rFonts w:ascii="Arial" w:hAnsi="Arial" w:cs="Arial"/>
          <w:sz w:val="24"/>
          <w:szCs w:val="24"/>
          <w:lang w:val="en-ZA"/>
        </w:rPr>
        <w:t xml:space="preserve">in the answering affidavit </w:t>
      </w:r>
      <w:r w:rsidR="004E3F0A" w:rsidRPr="00220BDA">
        <w:rPr>
          <w:rFonts w:ascii="Arial" w:hAnsi="Arial" w:cs="Arial"/>
          <w:sz w:val="24"/>
          <w:szCs w:val="24"/>
          <w:lang w:val="en-ZA"/>
        </w:rPr>
        <w:t>is</w:t>
      </w:r>
      <w:r w:rsidR="00826D86" w:rsidRPr="00220BDA">
        <w:rPr>
          <w:rFonts w:ascii="Arial" w:hAnsi="Arial" w:cs="Arial"/>
          <w:sz w:val="24"/>
          <w:szCs w:val="24"/>
          <w:lang w:val="en-ZA"/>
        </w:rPr>
        <w:t>, in my view,</w:t>
      </w:r>
      <w:r w:rsidR="00A43A14" w:rsidRPr="00220BDA">
        <w:rPr>
          <w:rFonts w:ascii="Arial" w:hAnsi="Arial" w:cs="Arial"/>
          <w:sz w:val="24"/>
          <w:szCs w:val="24"/>
          <w:lang w:val="en-ZA"/>
        </w:rPr>
        <w:t xml:space="preserve"> also</w:t>
      </w:r>
      <w:r w:rsidR="004E3F0A" w:rsidRPr="00220BDA">
        <w:rPr>
          <w:rFonts w:ascii="Arial" w:hAnsi="Arial" w:cs="Arial"/>
          <w:sz w:val="24"/>
          <w:szCs w:val="24"/>
          <w:lang w:val="en-ZA"/>
        </w:rPr>
        <w:t xml:space="preserve"> of some significance when considering this </w:t>
      </w:r>
      <w:r w:rsidR="00147CBA" w:rsidRPr="00220BDA">
        <w:rPr>
          <w:rFonts w:ascii="Arial" w:hAnsi="Arial" w:cs="Arial"/>
          <w:sz w:val="24"/>
          <w:szCs w:val="24"/>
          <w:lang w:val="en-ZA"/>
        </w:rPr>
        <w:t xml:space="preserve">specific </w:t>
      </w:r>
      <w:r w:rsidR="004E3F0A" w:rsidRPr="00220BDA">
        <w:rPr>
          <w:rFonts w:ascii="Arial" w:hAnsi="Arial" w:cs="Arial"/>
          <w:sz w:val="24"/>
          <w:szCs w:val="24"/>
          <w:lang w:val="en-ZA"/>
        </w:rPr>
        <w:t xml:space="preserve">defence. </w:t>
      </w:r>
    </w:p>
    <w:p w:rsidR="00BB3794" w:rsidRPr="00BB3794" w:rsidRDefault="00BB3794" w:rsidP="00BB3794">
      <w:pPr>
        <w:pStyle w:val="ListParagraph"/>
        <w:spacing w:line="360" w:lineRule="auto"/>
        <w:rPr>
          <w:rFonts w:ascii="Arial" w:hAnsi="Arial" w:cs="Arial"/>
          <w:sz w:val="24"/>
          <w:szCs w:val="24"/>
          <w:lang w:val="en-ZA"/>
        </w:rPr>
      </w:pPr>
    </w:p>
    <w:p w:rsidR="00DC31C8"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[13]</w:t>
      </w:r>
      <w:r>
        <w:rPr>
          <w:rFonts w:ascii="Arial" w:hAnsi="Arial" w:cs="Arial"/>
          <w:sz w:val="24"/>
          <w:szCs w:val="24"/>
          <w:lang w:val="en-ZA"/>
        </w:rPr>
        <w:tab/>
      </w:r>
      <w:r w:rsidR="008C3498" w:rsidRPr="00220BDA">
        <w:rPr>
          <w:rFonts w:ascii="Arial" w:hAnsi="Arial" w:cs="Arial"/>
          <w:sz w:val="24"/>
          <w:szCs w:val="24"/>
          <w:lang w:val="en-ZA"/>
        </w:rPr>
        <w:t xml:space="preserve">In its answer to this allegation, the respondent did not deny that it was in arrears or that it </w:t>
      </w:r>
      <w:r w:rsidR="00C177D7" w:rsidRPr="00220BDA">
        <w:rPr>
          <w:rFonts w:ascii="Arial" w:hAnsi="Arial" w:cs="Arial"/>
          <w:sz w:val="24"/>
          <w:szCs w:val="24"/>
          <w:lang w:val="en-ZA"/>
        </w:rPr>
        <w:t xml:space="preserve">had </w:t>
      </w:r>
      <w:r w:rsidR="008C3498" w:rsidRPr="00220BDA">
        <w:rPr>
          <w:rFonts w:ascii="Arial" w:hAnsi="Arial" w:cs="Arial"/>
          <w:sz w:val="24"/>
          <w:szCs w:val="24"/>
          <w:lang w:val="en-ZA"/>
        </w:rPr>
        <w:t>stopped making payments to the applicant. Instead, it raised other points of criticism of the applicant’s case</w:t>
      </w:r>
      <w:r w:rsidR="002D4E07" w:rsidRPr="00220BDA">
        <w:rPr>
          <w:rFonts w:ascii="Arial" w:hAnsi="Arial" w:cs="Arial"/>
          <w:sz w:val="24"/>
          <w:szCs w:val="24"/>
          <w:lang w:val="en-ZA"/>
        </w:rPr>
        <w:t xml:space="preserve"> and the</w:t>
      </w:r>
      <w:r w:rsidR="004E3F0A" w:rsidRPr="00220BDA">
        <w:rPr>
          <w:rFonts w:ascii="Arial" w:hAnsi="Arial" w:cs="Arial"/>
          <w:sz w:val="24"/>
          <w:szCs w:val="24"/>
          <w:lang w:val="en-ZA"/>
        </w:rPr>
        <w:t>n</w:t>
      </w:r>
      <w:r w:rsidR="00BB3794" w:rsidRPr="00220BDA">
        <w:rPr>
          <w:rFonts w:ascii="Arial" w:hAnsi="Arial" w:cs="Arial"/>
          <w:sz w:val="24"/>
          <w:szCs w:val="24"/>
          <w:lang w:val="en-ZA"/>
        </w:rPr>
        <w:t xml:space="preserve"> made an oblique </w:t>
      </w:r>
      <w:r w:rsidR="002D4E07" w:rsidRPr="00220BDA">
        <w:rPr>
          <w:rFonts w:ascii="Arial" w:hAnsi="Arial" w:cs="Arial"/>
          <w:sz w:val="24"/>
          <w:szCs w:val="24"/>
          <w:lang w:val="en-ZA"/>
        </w:rPr>
        <w:t>reference to the effects of the Covid-19 pandemic</w:t>
      </w:r>
      <w:r w:rsidR="00BB3794" w:rsidRPr="00220BDA">
        <w:rPr>
          <w:rFonts w:ascii="Arial" w:hAnsi="Arial" w:cs="Arial"/>
          <w:sz w:val="24"/>
          <w:szCs w:val="24"/>
          <w:lang w:val="en-ZA"/>
        </w:rPr>
        <w:t>, the high watermark of th</w:t>
      </w:r>
      <w:r w:rsidR="00DC31C8" w:rsidRPr="00220BDA">
        <w:rPr>
          <w:rFonts w:ascii="Arial" w:hAnsi="Arial" w:cs="Arial"/>
          <w:sz w:val="24"/>
          <w:szCs w:val="24"/>
          <w:lang w:val="en-ZA"/>
        </w:rPr>
        <w:t>at reference</w:t>
      </w:r>
      <w:r w:rsidR="00BB3794" w:rsidRPr="00220BDA">
        <w:rPr>
          <w:rFonts w:ascii="Arial" w:hAnsi="Arial" w:cs="Arial"/>
          <w:sz w:val="24"/>
          <w:szCs w:val="24"/>
          <w:lang w:val="en-ZA"/>
        </w:rPr>
        <w:t xml:space="preserve"> being that it was alleged that</w:t>
      </w:r>
      <w:r w:rsidR="00DC31C8" w:rsidRPr="00220BDA">
        <w:rPr>
          <w:rFonts w:ascii="Arial" w:hAnsi="Arial" w:cs="Arial"/>
          <w:sz w:val="24"/>
          <w:szCs w:val="24"/>
          <w:lang w:val="en-ZA"/>
        </w:rPr>
        <w:t xml:space="preserve"> because of Covid-19, the respondent’s</w:t>
      </w:r>
      <w:r w:rsidR="00BB3794" w:rsidRPr="00220BDA">
        <w:rPr>
          <w:rFonts w:ascii="Arial" w:hAnsi="Arial" w:cs="Arial"/>
          <w:sz w:val="24"/>
          <w:szCs w:val="24"/>
          <w:lang w:val="en-ZA"/>
        </w:rPr>
        <w:t xml:space="preserve"> obligations ‘were suspended’. </w:t>
      </w:r>
      <w:r w:rsidR="00F75E64" w:rsidRPr="00220BDA">
        <w:rPr>
          <w:rFonts w:ascii="Arial" w:hAnsi="Arial" w:cs="Arial"/>
          <w:sz w:val="24"/>
          <w:szCs w:val="24"/>
          <w:lang w:val="en-ZA"/>
        </w:rPr>
        <w:t>This is a legal conclusion. For it to be upheld, the facts entitling th</w:t>
      </w:r>
      <w:r w:rsidR="006E785F" w:rsidRPr="00220BDA">
        <w:rPr>
          <w:rFonts w:ascii="Arial" w:hAnsi="Arial" w:cs="Arial"/>
          <w:sz w:val="24"/>
          <w:szCs w:val="24"/>
          <w:lang w:val="en-ZA"/>
        </w:rPr>
        <w:t>is</w:t>
      </w:r>
      <w:r w:rsidR="00F75E64" w:rsidRPr="00220BDA">
        <w:rPr>
          <w:rFonts w:ascii="Arial" w:hAnsi="Arial" w:cs="Arial"/>
          <w:sz w:val="24"/>
          <w:szCs w:val="24"/>
          <w:lang w:val="en-ZA"/>
        </w:rPr>
        <w:t xml:space="preserve"> conclusio</w:t>
      </w:r>
      <w:r w:rsidR="00DC31C8" w:rsidRPr="00220BDA">
        <w:rPr>
          <w:rFonts w:ascii="Arial" w:hAnsi="Arial" w:cs="Arial"/>
          <w:sz w:val="24"/>
          <w:szCs w:val="24"/>
          <w:lang w:val="en-ZA"/>
        </w:rPr>
        <w:t xml:space="preserve">n to be drawn must be revealed. </w:t>
      </w:r>
      <w:r w:rsidR="00BB3794" w:rsidRPr="00220BDA">
        <w:rPr>
          <w:rFonts w:ascii="Arial" w:hAnsi="Arial" w:cs="Arial"/>
          <w:sz w:val="24"/>
          <w:szCs w:val="24"/>
          <w:lang w:val="en-ZA"/>
        </w:rPr>
        <w:t>The respondent has, however</w:t>
      </w:r>
      <w:r w:rsidR="009D6409" w:rsidRPr="00220BDA">
        <w:rPr>
          <w:rFonts w:ascii="Arial" w:hAnsi="Arial" w:cs="Arial"/>
          <w:sz w:val="24"/>
          <w:szCs w:val="24"/>
          <w:lang w:val="en-ZA"/>
        </w:rPr>
        <w:t>, been rather coy in d</w:t>
      </w:r>
      <w:r w:rsidR="00F75E64" w:rsidRPr="00220BDA">
        <w:rPr>
          <w:rFonts w:ascii="Arial" w:hAnsi="Arial" w:cs="Arial"/>
          <w:sz w:val="24"/>
          <w:szCs w:val="24"/>
          <w:lang w:val="en-ZA"/>
        </w:rPr>
        <w:t>oing so</w:t>
      </w:r>
      <w:r w:rsidR="009D6409" w:rsidRPr="00220BDA">
        <w:rPr>
          <w:rFonts w:ascii="Arial" w:hAnsi="Arial" w:cs="Arial"/>
          <w:sz w:val="24"/>
          <w:szCs w:val="24"/>
          <w:lang w:val="en-ZA"/>
        </w:rPr>
        <w:t xml:space="preserve">. </w:t>
      </w:r>
      <w:r w:rsidR="00F75E64" w:rsidRPr="00220BDA">
        <w:rPr>
          <w:rFonts w:ascii="Arial" w:hAnsi="Arial" w:cs="Arial"/>
          <w:sz w:val="24"/>
          <w:szCs w:val="24"/>
          <w:lang w:val="en-ZA"/>
        </w:rPr>
        <w:t>The respondent</w:t>
      </w:r>
      <w:r w:rsidR="009D6409" w:rsidRPr="00220BDA">
        <w:rPr>
          <w:rFonts w:ascii="Arial" w:hAnsi="Arial" w:cs="Arial"/>
          <w:sz w:val="24"/>
          <w:szCs w:val="24"/>
          <w:lang w:val="en-ZA"/>
        </w:rPr>
        <w:t xml:space="preserve"> has not specifically stated that it did not make all the required instalments. It rather prefers the court to infer that this is the case. This is presumably because it could not dispute that it was potentially in arrears if it conceded that it had not paid all the prescribed instalments. </w:t>
      </w:r>
      <w:r w:rsidR="004E3F0A" w:rsidRPr="00220BDA">
        <w:rPr>
          <w:rFonts w:ascii="Arial" w:hAnsi="Arial" w:cs="Arial"/>
          <w:sz w:val="24"/>
          <w:szCs w:val="24"/>
          <w:lang w:val="en-ZA"/>
        </w:rPr>
        <w:t xml:space="preserve">I can conceive of no need to make reference to the blight of Covid-19 if all payments due by the respondent to the applicant had been made. The inclusion of this allegation ineluctably drives one to the conclusion that it was mentioned because not all the required </w:t>
      </w:r>
      <w:r w:rsidR="00BB3794" w:rsidRPr="00220BDA">
        <w:rPr>
          <w:rFonts w:ascii="Arial" w:hAnsi="Arial" w:cs="Arial"/>
          <w:sz w:val="24"/>
          <w:szCs w:val="24"/>
          <w:lang w:val="en-ZA"/>
        </w:rPr>
        <w:t>instalment</w:t>
      </w:r>
      <w:r w:rsidR="004E3F0A" w:rsidRPr="00220BDA">
        <w:rPr>
          <w:rFonts w:ascii="Arial" w:hAnsi="Arial" w:cs="Arial"/>
          <w:sz w:val="24"/>
          <w:szCs w:val="24"/>
          <w:lang w:val="en-ZA"/>
        </w:rPr>
        <w:t xml:space="preserve">s had been made by the respondent. </w:t>
      </w:r>
      <w:r w:rsidR="00F75E64" w:rsidRPr="00220BDA">
        <w:rPr>
          <w:rFonts w:ascii="Arial" w:hAnsi="Arial" w:cs="Arial"/>
          <w:sz w:val="24"/>
          <w:szCs w:val="24"/>
          <w:lang w:val="en-ZA"/>
        </w:rPr>
        <w:t xml:space="preserve">Without disclosing the </w:t>
      </w:r>
      <w:r w:rsidR="00DC31C8" w:rsidRPr="00220BDA">
        <w:rPr>
          <w:rFonts w:ascii="Arial" w:hAnsi="Arial" w:cs="Arial"/>
          <w:sz w:val="24"/>
          <w:szCs w:val="24"/>
          <w:lang w:val="en-ZA"/>
        </w:rPr>
        <w:t>facts establishing the legal conclusion advanced by the respondent</w:t>
      </w:r>
      <w:r w:rsidR="00F75E64" w:rsidRPr="00220BDA">
        <w:rPr>
          <w:rFonts w:ascii="Arial" w:hAnsi="Arial" w:cs="Arial"/>
          <w:sz w:val="24"/>
          <w:szCs w:val="24"/>
          <w:lang w:val="en-ZA"/>
        </w:rPr>
        <w:t xml:space="preserve"> it is not possible to determine that the respondent has a bona fide defence </w:t>
      </w:r>
      <w:r w:rsidR="00F75E64" w:rsidRPr="00220BDA">
        <w:rPr>
          <w:rFonts w:ascii="Arial" w:hAnsi="Arial" w:cs="Arial"/>
          <w:sz w:val="24"/>
          <w:szCs w:val="24"/>
          <w:lang w:val="en-ZA"/>
        </w:rPr>
        <w:lastRenderedPageBreak/>
        <w:t>to the applicant’s allegations.</w:t>
      </w:r>
      <w:r w:rsidR="00DC31C8" w:rsidRPr="00220BDA">
        <w:rPr>
          <w:rFonts w:ascii="Arial" w:hAnsi="Arial" w:cs="Arial"/>
          <w:sz w:val="24"/>
          <w:szCs w:val="24"/>
          <w:lang w:val="en-ZA"/>
        </w:rPr>
        <w:t xml:space="preserve"> The principle established in </w:t>
      </w:r>
      <w:r w:rsidR="00DC31C8" w:rsidRPr="00220BDA">
        <w:rPr>
          <w:rFonts w:ascii="Arial" w:hAnsi="Arial" w:cs="Arial"/>
          <w:i/>
          <w:sz w:val="24"/>
          <w:szCs w:val="24"/>
          <w:lang w:val="en-ZA"/>
        </w:rPr>
        <w:t xml:space="preserve">Badenhorst v Northern Construction Enterprises </w:t>
      </w:r>
      <w:r w:rsidR="00ED4513" w:rsidRPr="00220BDA">
        <w:rPr>
          <w:rFonts w:ascii="Arial" w:hAnsi="Arial" w:cs="Arial"/>
          <w:i/>
          <w:sz w:val="24"/>
          <w:szCs w:val="24"/>
          <w:lang w:val="en-ZA"/>
        </w:rPr>
        <w:t xml:space="preserve">(Pty) </w:t>
      </w:r>
      <w:r w:rsidR="00DC31C8" w:rsidRPr="00220BDA">
        <w:rPr>
          <w:rFonts w:ascii="Arial" w:hAnsi="Arial" w:cs="Arial"/>
          <w:i/>
          <w:sz w:val="24"/>
          <w:szCs w:val="24"/>
          <w:lang w:val="en-ZA"/>
        </w:rPr>
        <w:t>Ltd</w:t>
      </w:r>
      <w:r w:rsidR="00DC31C8" w:rsidRPr="00ED4513">
        <w:rPr>
          <w:rStyle w:val="FootnoteReference"/>
          <w:rFonts w:ascii="Arial" w:hAnsi="Arial" w:cs="Arial"/>
          <w:sz w:val="24"/>
          <w:szCs w:val="24"/>
          <w:lang w:val="en-ZA"/>
        </w:rPr>
        <w:footnoteReference w:id="1"/>
      </w:r>
      <w:r w:rsidR="00DC31C8" w:rsidRPr="00220BDA">
        <w:rPr>
          <w:rFonts w:ascii="Arial" w:hAnsi="Arial" w:cs="Arial"/>
          <w:sz w:val="24"/>
          <w:szCs w:val="24"/>
          <w:lang w:val="en-ZA"/>
        </w:rPr>
        <w:t xml:space="preserve"> accordingly does not avail the respondent.</w:t>
      </w:r>
    </w:p>
    <w:p w:rsidR="004E3F0A"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[14]</w:t>
      </w:r>
      <w:r>
        <w:rPr>
          <w:rFonts w:ascii="Arial" w:hAnsi="Arial" w:cs="Arial"/>
          <w:sz w:val="24"/>
          <w:szCs w:val="24"/>
          <w:lang w:val="en-ZA"/>
        </w:rPr>
        <w:tab/>
      </w:r>
      <w:r w:rsidR="00147CBA" w:rsidRPr="00220BDA">
        <w:rPr>
          <w:rFonts w:ascii="Arial" w:hAnsi="Arial" w:cs="Arial"/>
          <w:sz w:val="24"/>
          <w:szCs w:val="24"/>
          <w:lang w:val="en-ZA"/>
        </w:rPr>
        <w:t>The applicant’s allegations regarding the failure to pay and the quantum of the respondent’s arrears needed, in my view, to be directly addressed by the respondent if this ground of defence was to be sustained. It did not do so.</w:t>
      </w:r>
      <w:r w:rsidR="00F75E64" w:rsidRPr="00220BDA">
        <w:rPr>
          <w:rFonts w:ascii="Arial" w:hAnsi="Arial" w:cs="Arial"/>
          <w:sz w:val="24"/>
          <w:szCs w:val="24"/>
          <w:lang w:val="en-ZA"/>
        </w:rPr>
        <w:t xml:space="preserve"> </w:t>
      </w:r>
    </w:p>
    <w:p w:rsidR="00DC31C8" w:rsidRPr="00DC31C8" w:rsidRDefault="00DC31C8" w:rsidP="00DC31C8">
      <w:pPr>
        <w:pStyle w:val="ListParagraph"/>
        <w:tabs>
          <w:tab w:val="left" w:pos="709"/>
          <w:tab w:val="left" w:pos="1418"/>
        </w:tabs>
        <w:spacing w:after="0" w:line="360" w:lineRule="auto"/>
        <w:ind w:left="0"/>
        <w:jc w:val="both"/>
        <w:rPr>
          <w:rFonts w:ascii="Arial" w:hAnsi="Arial" w:cs="Arial"/>
          <w:sz w:val="24"/>
          <w:szCs w:val="24"/>
          <w:lang w:val="en-ZA"/>
        </w:rPr>
      </w:pPr>
    </w:p>
    <w:p w:rsidR="00147CBA"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[15]</w:t>
      </w:r>
      <w:r>
        <w:rPr>
          <w:rFonts w:ascii="Arial" w:hAnsi="Arial" w:cs="Arial"/>
          <w:sz w:val="24"/>
          <w:szCs w:val="24"/>
          <w:lang w:val="en-ZA"/>
        </w:rPr>
        <w:tab/>
      </w:r>
      <w:r w:rsidR="004E3F0A" w:rsidRPr="00220BDA">
        <w:rPr>
          <w:rFonts w:ascii="Arial" w:hAnsi="Arial" w:cs="Arial"/>
          <w:sz w:val="24"/>
          <w:szCs w:val="24"/>
          <w:lang w:val="en-ZA"/>
        </w:rPr>
        <w:t>The respondent</w:t>
      </w:r>
      <w:r w:rsidR="008C3498" w:rsidRPr="00220BDA">
        <w:rPr>
          <w:rFonts w:ascii="Arial" w:hAnsi="Arial" w:cs="Arial"/>
          <w:sz w:val="24"/>
          <w:szCs w:val="24"/>
          <w:lang w:val="en-ZA"/>
        </w:rPr>
        <w:t xml:space="preserve"> did, however, </w:t>
      </w:r>
      <w:r w:rsidR="00147CBA" w:rsidRPr="00220BDA">
        <w:rPr>
          <w:rFonts w:ascii="Arial" w:hAnsi="Arial" w:cs="Arial"/>
          <w:sz w:val="24"/>
          <w:szCs w:val="24"/>
          <w:lang w:val="en-ZA"/>
        </w:rPr>
        <w:t>make th</w:t>
      </w:r>
      <w:r w:rsidR="00412AF1" w:rsidRPr="00220BDA">
        <w:rPr>
          <w:rFonts w:ascii="Arial" w:hAnsi="Arial" w:cs="Arial"/>
          <w:sz w:val="24"/>
          <w:szCs w:val="24"/>
          <w:lang w:val="en-ZA"/>
        </w:rPr>
        <w:t xml:space="preserve">e following </w:t>
      </w:r>
      <w:r w:rsidR="00147CBA" w:rsidRPr="00220BDA">
        <w:rPr>
          <w:rFonts w:ascii="Arial" w:hAnsi="Arial" w:cs="Arial"/>
          <w:sz w:val="24"/>
          <w:szCs w:val="24"/>
          <w:lang w:val="en-ZA"/>
        </w:rPr>
        <w:t>statement in its answering affidavit:</w:t>
      </w:r>
    </w:p>
    <w:p w:rsidR="00412AF1" w:rsidRDefault="00412AF1" w:rsidP="00412AF1">
      <w:pPr>
        <w:pStyle w:val="ListParagraph"/>
        <w:tabs>
          <w:tab w:val="left" w:pos="709"/>
          <w:tab w:val="left" w:pos="1418"/>
        </w:tabs>
        <w:spacing w:after="0" w:line="360" w:lineRule="auto"/>
        <w:ind w:left="0"/>
        <w:jc w:val="both"/>
        <w:rPr>
          <w:rFonts w:ascii="Arial" w:hAnsi="Arial" w:cs="Arial"/>
          <w:lang w:val="en-ZA"/>
        </w:rPr>
      </w:pPr>
      <w:r w:rsidRPr="00412AF1">
        <w:rPr>
          <w:rFonts w:ascii="Arial" w:hAnsi="Arial" w:cs="Arial"/>
          <w:lang w:val="en-ZA"/>
        </w:rPr>
        <w:t xml:space="preserve">‘I dispute that the amount the applicant claims to be in arrears is correct in all material respects. The applicant has not alleged or proved what amounts constitutes the monthly instalments, for which amounts the respondent was allegedly in breach and how the sum it claims to be the total arrear amount has been calculated.’ </w:t>
      </w:r>
    </w:p>
    <w:p w:rsidR="009D6409" w:rsidRDefault="00147CBA" w:rsidP="00412AF1">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 xml:space="preserve">Significantly, </w:t>
      </w:r>
      <w:r w:rsidR="009D6409">
        <w:rPr>
          <w:rFonts w:ascii="Arial" w:hAnsi="Arial" w:cs="Arial"/>
          <w:sz w:val="24"/>
          <w:szCs w:val="24"/>
          <w:lang w:val="en-ZA"/>
        </w:rPr>
        <w:t xml:space="preserve">in this statement </w:t>
      </w:r>
      <w:r>
        <w:rPr>
          <w:rFonts w:ascii="Arial" w:hAnsi="Arial" w:cs="Arial"/>
          <w:sz w:val="24"/>
          <w:szCs w:val="24"/>
          <w:lang w:val="en-ZA"/>
        </w:rPr>
        <w:t xml:space="preserve">the respondent did not deny the fact of the arrears, but merely </w:t>
      </w:r>
      <w:r w:rsidR="00412AF1">
        <w:rPr>
          <w:rFonts w:ascii="Arial" w:hAnsi="Arial" w:cs="Arial"/>
          <w:sz w:val="24"/>
          <w:szCs w:val="24"/>
          <w:lang w:val="en-ZA"/>
        </w:rPr>
        <w:t xml:space="preserve">that it was not correct </w:t>
      </w:r>
      <w:r w:rsidR="009D6409">
        <w:rPr>
          <w:rFonts w:ascii="Arial" w:hAnsi="Arial" w:cs="Arial"/>
          <w:sz w:val="24"/>
          <w:szCs w:val="24"/>
          <w:lang w:val="en-ZA"/>
        </w:rPr>
        <w:t>‘</w:t>
      </w:r>
      <w:r w:rsidR="00412AF1">
        <w:rPr>
          <w:rFonts w:ascii="Arial" w:hAnsi="Arial" w:cs="Arial"/>
          <w:sz w:val="24"/>
          <w:szCs w:val="24"/>
          <w:lang w:val="en-ZA"/>
        </w:rPr>
        <w:t>in all material respects</w:t>
      </w:r>
      <w:r w:rsidR="009D6409">
        <w:rPr>
          <w:rFonts w:ascii="Arial" w:hAnsi="Arial" w:cs="Arial"/>
          <w:sz w:val="24"/>
          <w:szCs w:val="24"/>
          <w:lang w:val="en-ZA"/>
        </w:rPr>
        <w:t>’</w:t>
      </w:r>
      <w:r w:rsidR="00412AF1">
        <w:rPr>
          <w:rFonts w:ascii="Arial" w:hAnsi="Arial" w:cs="Arial"/>
          <w:sz w:val="24"/>
          <w:szCs w:val="24"/>
          <w:lang w:val="en-ZA"/>
        </w:rPr>
        <w:t xml:space="preserve">. That means that in certain material respects it is correct. </w:t>
      </w:r>
      <w:r w:rsidR="009D6409">
        <w:rPr>
          <w:rFonts w:ascii="Arial" w:hAnsi="Arial" w:cs="Arial"/>
          <w:sz w:val="24"/>
          <w:szCs w:val="24"/>
          <w:lang w:val="en-ZA"/>
        </w:rPr>
        <w:t xml:space="preserve">What the incorrect aspects were was not identified. </w:t>
      </w:r>
      <w:r w:rsidR="00412AF1">
        <w:rPr>
          <w:rFonts w:ascii="Arial" w:hAnsi="Arial" w:cs="Arial"/>
          <w:sz w:val="24"/>
          <w:szCs w:val="24"/>
          <w:lang w:val="en-ZA"/>
        </w:rPr>
        <w:t xml:space="preserve">The further allegation that the applicant had not alleged or proved the amount of each instalment was incorrect. </w:t>
      </w:r>
      <w:r w:rsidR="009D6409">
        <w:rPr>
          <w:rFonts w:ascii="Arial" w:hAnsi="Arial" w:cs="Arial"/>
          <w:sz w:val="24"/>
          <w:szCs w:val="24"/>
          <w:lang w:val="en-ZA"/>
        </w:rPr>
        <w:t xml:space="preserve">This was established </w:t>
      </w:r>
      <w:r w:rsidR="00DC31C8">
        <w:rPr>
          <w:rFonts w:ascii="Arial" w:hAnsi="Arial" w:cs="Arial"/>
          <w:sz w:val="24"/>
          <w:szCs w:val="24"/>
          <w:lang w:val="en-ZA"/>
        </w:rPr>
        <w:t xml:space="preserve">by the applicant </w:t>
      </w:r>
      <w:r w:rsidR="009D6409">
        <w:rPr>
          <w:rFonts w:ascii="Arial" w:hAnsi="Arial" w:cs="Arial"/>
          <w:sz w:val="24"/>
          <w:szCs w:val="24"/>
          <w:lang w:val="en-ZA"/>
        </w:rPr>
        <w:t>in at least three ways:</w:t>
      </w:r>
    </w:p>
    <w:p w:rsidR="009D6409" w:rsidRPr="00220BDA" w:rsidRDefault="00220BDA" w:rsidP="00220BDA">
      <w:pPr>
        <w:tabs>
          <w:tab w:val="left" w:pos="709"/>
          <w:tab w:val="left" w:pos="1418"/>
        </w:tabs>
        <w:spacing w:after="0" w:line="360" w:lineRule="auto"/>
        <w:jc w:val="both"/>
        <w:rPr>
          <w:rFonts w:ascii="Arial" w:hAnsi="Arial" w:cs="Arial"/>
          <w:lang w:val="en-ZA"/>
        </w:rPr>
      </w:pPr>
      <w:r w:rsidRPr="009D6409">
        <w:rPr>
          <w:rFonts w:ascii="Arial" w:hAnsi="Arial" w:cs="Arial"/>
          <w:i/>
          <w:sz w:val="24"/>
          <w:lang w:val="en-ZA"/>
        </w:rPr>
        <w:t>(a)</w:t>
      </w:r>
      <w:r w:rsidRPr="009D6409">
        <w:rPr>
          <w:rFonts w:ascii="Arial" w:hAnsi="Arial" w:cs="Arial"/>
          <w:i/>
          <w:sz w:val="24"/>
          <w:lang w:val="en-ZA"/>
        </w:rPr>
        <w:tab/>
      </w:r>
      <w:r w:rsidR="009D6409" w:rsidRPr="00220BDA">
        <w:rPr>
          <w:rFonts w:ascii="Arial" w:hAnsi="Arial" w:cs="Arial"/>
          <w:sz w:val="24"/>
          <w:szCs w:val="24"/>
          <w:lang w:val="en-ZA"/>
        </w:rPr>
        <w:t xml:space="preserve">In the founding affidavit, where the applicant stated </w:t>
      </w:r>
      <w:r w:rsidR="00DA31EF" w:rsidRPr="00220BDA">
        <w:rPr>
          <w:rFonts w:ascii="Arial" w:hAnsi="Arial" w:cs="Arial"/>
          <w:sz w:val="24"/>
          <w:szCs w:val="24"/>
          <w:lang w:val="en-ZA"/>
        </w:rPr>
        <w:t xml:space="preserve">that each instalment was </w:t>
      </w:r>
      <w:r w:rsidR="00147CBA" w:rsidRPr="00220BDA">
        <w:rPr>
          <w:rFonts w:ascii="Arial" w:hAnsi="Arial" w:cs="Arial"/>
          <w:sz w:val="24"/>
          <w:szCs w:val="24"/>
          <w:lang w:val="en-ZA"/>
        </w:rPr>
        <w:t xml:space="preserve">in the sum of </w:t>
      </w:r>
      <w:r w:rsidR="00DA31EF" w:rsidRPr="00220BDA">
        <w:rPr>
          <w:rFonts w:asciiTheme="minorBidi" w:hAnsiTheme="minorBidi"/>
          <w:color w:val="000000" w:themeColor="text1"/>
          <w:sz w:val="24"/>
          <w:szCs w:val="24"/>
          <w:lang w:val="en-US"/>
        </w:rPr>
        <w:t>R70 302.72</w:t>
      </w:r>
      <w:r w:rsidR="00412AF1" w:rsidRPr="00220BDA">
        <w:rPr>
          <w:rFonts w:asciiTheme="minorBidi" w:hAnsiTheme="minorBidi"/>
          <w:color w:val="000000" w:themeColor="text1"/>
          <w:sz w:val="24"/>
          <w:szCs w:val="24"/>
          <w:lang w:val="en-US"/>
        </w:rPr>
        <w:t xml:space="preserve"> per month</w:t>
      </w:r>
      <w:r w:rsidR="009D6409" w:rsidRPr="00220BDA">
        <w:rPr>
          <w:rFonts w:asciiTheme="minorBidi" w:hAnsiTheme="minorBidi"/>
          <w:color w:val="000000" w:themeColor="text1"/>
          <w:sz w:val="24"/>
          <w:szCs w:val="24"/>
          <w:lang w:val="en-US"/>
        </w:rPr>
        <w:t>;</w:t>
      </w:r>
    </w:p>
    <w:p w:rsidR="009D6409" w:rsidRPr="00220BDA" w:rsidRDefault="00220BDA" w:rsidP="00220BDA">
      <w:pPr>
        <w:tabs>
          <w:tab w:val="left" w:pos="709"/>
          <w:tab w:val="left" w:pos="1418"/>
        </w:tabs>
        <w:spacing w:after="0" w:line="360" w:lineRule="auto"/>
        <w:jc w:val="both"/>
        <w:rPr>
          <w:rFonts w:ascii="Arial" w:hAnsi="Arial" w:cs="Arial"/>
          <w:lang w:val="en-ZA"/>
        </w:rPr>
      </w:pPr>
      <w:r w:rsidRPr="009D6409">
        <w:rPr>
          <w:rFonts w:ascii="Arial" w:hAnsi="Arial" w:cs="Arial"/>
          <w:i/>
          <w:sz w:val="24"/>
          <w:lang w:val="en-ZA"/>
        </w:rPr>
        <w:t>(b)</w:t>
      </w:r>
      <w:r w:rsidRPr="009D6409">
        <w:rPr>
          <w:rFonts w:ascii="Arial" w:hAnsi="Arial" w:cs="Arial"/>
          <w:i/>
          <w:sz w:val="24"/>
          <w:lang w:val="en-ZA"/>
        </w:rPr>
        <w:tab/>
      </w:r>
      <w:r w:rsidR="009D6409" w:rsidRPr="00220BDA">
        <w:rPr>
          <w:rFonts w:asciiTheme="minorBidi" w:hAnsiTheme="minorBidi"/>
          <w:color w:val="000000" w:themeColor="text1"/>
          <w:sz w:val="24"/>
          <w:szCs w:val="24"/>
          <w:lang w:val="en-US"/>
        </w:rPr>
        <w:t>In the commercial terms part of the agreement where the amount of the instalment is stated to be R70 302</w:t>
      </w:r>
      <w:r w:rsidR="00DC31C8" w:rsidRPr="00220BDA">
        <w:rPr>
          <w:rFonts w:asciiTheme="minorBidi" w:hAnsiTheme="minorBidi"/>
          <w:color w:val="000000" w:themeColor="text1"/>
          <w:sz w:val="24"/>
          <w:szCs w:val="24"/>
          <w:lang w:val="en-US"/>
        </w:rPr>
        <w:t>.</w:t>
      </w:r>
      <w:r w:rsidR="009D6409" w:rsidRPr="00220BDA">
        <w:rPr>
          <w:rFonts w:asciiTheme="minorBidi" w:hAnsiTheme="minorBidi"/>
          <w:color w:val="000000" w:themeColor="text1"/>
          <w:sz w:val="24"/>
          <w:szCs w:val="24"/>
          <w:lang w:val="en-US"/>
        </w:rPr>
        <w:t>72</w:t>
      </w:r>
      <w:r w:rsidR="004B18E6" w:rsidRPr="00220BDA">
        <w:rPr>
          <w:rFonts w:asciiTheme="minorBidi" w:hAnsiTheme="minorBidi"/>
          <w:color w:val="000000" w:themeColor="text1"/>
          <w:sz w:val="24"/>
          <w:szCs w:val="24"/>
          <w:lang w:val="en-US"/>
        </w:rPr>
        <w:t xml:space="preserve"> per month</w:t>
      </w:r>
      <w:r w:rsidR="009D6409" w:rsidRPr="00220BDA">
        <w:rPr>
          <w:rFonts w:asciiTheme="minorBidi" w:hAnsiTheme="minorBidi"/>
          <w:color w:val="000000" w:themeColor="text1"/>
          <w:sz w:val="24"/>
          <w:szCs w:val="24"/>
          <w:lang w:val="en-US"/>
        </w:rPr>
        <w:t>; and</w:t>
      </w:r>
    </w:p>
    <w:p w:rsidR="004E3F0A"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i/>
          <w:sz w:val="24"/>
          <w:szCs w:val="24"/>
          <w:lang w:val="en-ZA"/>
        </w:rPr>
        <w:t>(c)</w:t>
      </w:r>
      <w:r>
        <w:rPr>
          <w:rFonts w:ascii="Arial" w:hAnsi="Arial" w:cs="Arial"/>
          <w:i/>
          <w:sz w:val="24"/>
          <w:szCs w:val="24"/>
          <w:lang w:val="en-ZA"/>
        </w:rPr>
        <w:tab/>
      </w:r>
      <w:r w:rsidR="009D6409" w:rsidRPr="00220BDA">
        <w:rPr>
          <w:rFonts w:asciiTheme="minorBidi" w:hAnsiTheme="minorBidi"/>
          <w:color w:val="000000" w:themeColor="text1"/>
          <w:sz w:val="24"/>
          <w:szCs w:val="24"/>
          <w:lang w:val="en-US"/>
        </w:rPr>
        <w:t>By way of attaching a schedule to the agreement reflecting</w:t>
      </w:r>
      <w:r w:rsidR="009048EB" w:rsidRPr="00220BDA">
        <w:rPr>
          <w:rFonts w:asciiTheme="minorBidi" w:hAnsiTheme="minorBidi"/>
          <w:color w:val="000000" w:themeColor="text1"/>
          <w:sz w:val="24"/>
          <w:szCs w:val="24"/>
          <w:lang w:val="en-US"/>
        </w:rPr>
        <w:t>, inter alia,</w:t>
      </w:r>
      <w:r w:rsidR="009D6409" w:rsidRPr="00220BDA">
        <w:rPr>
          <w:rFonts w:asciiTheme="minorBidi" w:hAnsiTheme="minorBidi"/>
          <w:color w:val="000000" w:themeColor="text1"/>
          <w:sz w:val="24"/>
          <w:szCs w:val="24"/>
          <w:lang w:val="en-US"/>
        </w:rPr>
        <w:t xml:space="preserve"> the date, day of the week, </w:t>
      </w:r>
      <w:r w:rsidR="009048EB" w:rsidRPr="00220BDA">
        <w:rPr>
          <w:rFonts w:asciiTheme="minorBidi" w:hAnsiTheme="minorBidi"/>
          <w:color w:val="000000" w:themeColor="text1"/>
          <w:sz w:val="24"/>
          <w:szCs w:val="24"/>
          <w:lang w:val="en-US"/>
        </w:rPr>
        <w:t>interest rate and amount of each instalment</w:t>
      </w:r>
      <w:r w:rsidR="004B18E6" w:rsidRPr="00220BDA">
        <w:rPr>
          <w:rFonts w:asciiTheme="minorBidi" w:hAnsiTheme="minorBidi"/>
          <w:color w:val="000000" w:themeColor="text1"/>
          <w:sz w:val="24"/>
          <w:szCs w:val="24"/>
          <w:lang w:val="en-US"/>
        </w:rPr>
        <w:t xml:space="preserve"> as from 7 January 2023</w:t>
      </w:r>
      <w:r w:rsidR="009048EB" w:rsidRPr="00220BDA">
        <w:rPr>
          <w:rFonts w:asciiTheme="minorBidi" w:hAnsiTheme="minorBidi"/>
          <w:color w:val="000000" w:themeColor="text1"/>
          <w:sz w:val="24"/>
          <w:szCs w:val="24"/>
          <w:lang w:val="en-US"/>
        </w:rPr>
        <w:t>: the figure of</w:t>
      </w:r>
      <w:r w:rsidR="00F75E64" w:rsidRPr="00220BDA">
        <w:rPr>
          <w:rFonts w:asciiTheme="minorBidi" w:hAnsiTheme="minorBidi"/>
          <w:color w:val="000000" w:themeColor="text1"/>
          <w:sz w:val="24"/>
          <w:szCs w:val="24"/>
          <w:lang w:val="en-US"/>
        </w:rPr>
        <w:t xml:space="preserve"> R</w:t>
      </w:r>
      <w:r w:rsidR="009048EB" w:rsidRPr="00220BDA">
        <w:rPr>
          <w:rFonts w:asciiTheme="minorBidi" w:hAnsiTheme="minorBidi"/>
          <w:color w:val="000000" w:themeColor="text1"/>
          <w:sz w:val="24"/>
          <w:szCs w:val="24"/>
          <w:lang w:val="en-US"/>
        </w:rPr>
        <w:t>70 302.72 appears in the last column throughout the schedule.</w:t>
      </w:r>
      <w:r w:rsidR="009048EB" w:rsidRPr="00220BDA">
        <w:rPr>
          <w:rFonts w:ascii="Arial" w:hAnsi="Arial" w:cs="Arial"/>
          <w:sz w:val="24"/>
          <w:szCs w:val="24"/>
          <w:lang w:val="en-ZA"/>
        </w:rPr>
        <w:t xml:space="preserve"> </w:t>
      </w:r>
    </w:p>
    <w:p w:rsidR="009048EB" w:rsidRPr="004E3F0A" w:rsidRDefault="009048EB" w:rsidP="009048EB">
      <w:pPr>
        <w:pStyle w:val="ListParagraph"/>
        <w:tabs>
          <w:tab w:val="left" w:pos="709"/>
          <w:tab w:val="left" w:pos="1418"/>
        </w:tabs>
        <w:spacing w:after="0" w:line="360" w:lineRule="auto"/>
        <w:ind w:left="0"/>
        <w:jc w:val="both"/>
        <w:rPr>
          <w:rFonts w:ascii="Arial" w:hAnsi="Arial" w:cs="Arial"/>
          <w:sz w:val="24"/>
          <w:szCs w:val="24"/>
          <w:lang w:val="en-ZA"/>
        </w:rPr>
      </w:pPr>
    </w:p>
    <w:p w:rsidR="00FB4510" w:rsidRPr="00220BDA" w:rsidRDefault="00220BDA" w:rsidP="00220BDA">
      <w:pPr>
        <w:tabs>
          <w:tab w:val="left" w:pos="709"/>
          <w:tab w:val="left" w:pos="1418"/>
        </w:tabs>
        <w:spacing w:after="0" w:line="360" w:lineRule="auto"/>
        <w:jc w:val="both"/>
        <w:rPr>
          <w:rFonts w:ascii="Arial" w:hAnsi="Arial" w:cs="Arial"/>
          <w:sz w:val="24"/>
          <w:szCs w:val="24"/>
          <w:lang w:val="en-ZA"/>
        </w:rPr>
      </w:pPr>
      <w:r w:rsidRPr="006C4275">
        <w:rPr>
          <w:rFonts w:ascii="Arial" w:hAnsi="Arial" w:cs="Arial"/>
          <w:sz w:val="24"/>
          <w:szCs w:val="24"/>
          <w:lang w:val="en-ZA"/>
        </w:rPr>
        <w:t>[16]</w:t>
      </w:r>
      <w:r w:rsidRPr="006C4275">
        <w:rPr>
          <w:rFonts w:ascii="Arial" w:hAnsi="Arial" w:cs="Arial"/>
          <w:sz w:val="24"/>
          <w:szCs w:val="24"/>
          <w:lang w:val="en-ZA"/>
        </w:rPr>
        <w:tab/>
      </w:r>
      <w:r w:rsidR="00774887" w:rsidRPr="00220BDA">
        <w:rPr>
          <w:rFonts w:ascii="Arial" w:hAnsi="Arial" w:cs="Arial"/>
          <w:sz w:val="24"/>
          <w:szCs w:val="24"/>
          <w:lang w:val="en-ZA"/>
        </w:rPr>
        <w:t xml:space="preserve">The respondent also denied the accuracy of the certificate relied upon by the applicant to establish the respondent’s total indebtedness to it. No explanation was forthcoming for this denial: the respondent chose </w:t>
      </w:r>
      <w:r w:rsidR="00D360B9" w:rsidRPr="00220BDA">
        <w:rPr>
          <w:rFonts w:ascii="Arial" w:hAnsi="Arial" w:cs="Arial"/>
          <w:sz w:val="24"/>
          <w:szCs w:val="24"/>
          <w:lang w:val="en-ZA"/>
        </w:rPr>
        <w:t xml:space="preserve">merely </w:t>
      </w:r>
      <w:r w:rsidR="00774887" w:rsidRPr="00220BDA">
        <w:rPr>
          <w:rFonts w:ascii="Arial" w:hAnsi="Arial" w:cs="Arial"/>
          <w:sz w:val="24"/>
          <w:szCs w:val="24"/>
          <w:lang w:val="en-ZA"/>
        </w:rPr>
        <w:t>to dispute the accuracy of the certificate but gave no hint as to why it contended that it was inaccurate. It did not state, for example</w:t>
      </w:r>
      <w:r w:rsidR="00C177D7" w:rsidRPr="00220BDA">
        <w:rPr>
          <w:rFonts w:ascii="Arial" w:hAnsi="Arial" w:cs="Arial"/>
          <w:sz w:val="24"/>
          <w:szCs w:val="24"/>
          <w:lang w:val="en-ZA"/>
        </w:rPr>
        <w:t>,</w:t>
      </w:r>
      <w:r w:rsidR="00774887" w:rsidRPr="00220BDA">
        <w:rPr>
          <w:rFonts w:ascii="Arial" w:hAnsi="Arial" w:cs="Arial"/>
          <w:sz w:val="24"/>
          <w:szCs w:val="24"/>
          <w:lang w:val="en-ZA"/>
        </w:rPr>
        <w:t xml:space="preserve"> that it had made payments to the applicant that had not been accounted for by the applicant.</w:t>
      </w:r>
      <w:r w:rsidR="00DA31EF" w:rsidRPr="00220BDA">
        <w:rPr>
          <w:rFonts w:ascii="Arial" w:hAnsi="Arial" w:cs="Arial"/>
          <w:sz w:val="24"/>
          <w:szCs w:val="24"/>
          <w:lang w:val="en-ZA"/>
        </w:rPr>
        <w:t xml:space="preserve"> </w:t>
      </w:r>
      <w:r w:rsidR="00FB4510" w:rsidRPr="00220BDA">
        <w:rPr>
          <w:rFonts w:asciiTheme="minorBidi" w:hAnsiTheme="minorBidi"/>
          <w:color w:val="242121"/>
          <w:sz w:val="24"/>
          <w:szCs w:val="24"/>
        </w:rPr>
        <w:t xml:space="preserve">It is settled law that </w:t>
      </w:r>
      <w:r w:rsidR="0080745B" w:rsidRPr="00220BDA">
        <w:rPr>
          <w:rFonts w:asciiTheme="minorBidi" w:hAnsiTheme="minorBidi"/>
          <w:color w:val="242121"/>
          <w:sz w:val="24"/>
          <w:szCs w:val="24"/>
        </w:rPr>
        <w:t>where parties have agreed to the use of a</w:t>
      </w:r>
      <w:r w:rsidR="00FB4510" w:rsidRPr="00220BDA">
        <w:rPr>
          <w:rFonts w:asciiTheme="minorBidi" w:hAnsiTheme="minorBidi"/>
          <w:color w:val="242121"/>
          <w:sz w:val="24"/>
          <w:szCs w:val="24"/>
        </w:rPr>
        <w:t xml:space="preserve"> certificate of balance</w:t>
      </w:r>
      <w:r w:rsidR="0080745B" w:rsidRPr="00220BDA">
        <w:rPr>
          <w:rFonts w:asciiTheme="minorBidi" w:hAnsiTheme="minorBidi"/>
          <w:color w:val="242121"/>
          <w:sz w:val="24"/>
          <w:szCs w:val="24"/>
        </w:rPr>
        <w:t>, they may agree that it</w:t>
      </w:r>
      <w:r w:rsidR="00FB4510" w:rsidRPr="00220BDA">
        <w:rPr>
          <w:rFonts w:asciiTheme="minorBidi" w:hAnsiTheme="minorBidi"/>
          <w:color w:val="242121"/>
          <w:sz w:val="24"/>
          <w:szCs w:val="24"/>
        </w:rPr>
        <w:t xml:space="preserve"> constitutes</w:t>
      </w:r>
      <w:r w:rsidR="00FB4510" w:rsidRPr="00220BDA">
        <w:rPr>
          <w:rStyle w:val="apple-converted-space"/>
          <w:rFonts w:asciiTheme="minorBidi" w:hAnsiTheme="minorBidi"/>
          <w:color w:val="242121"/>
          <w:sz w:val="24"/>
          <w:szCs w:val="24"/>
        </w:rPr>
        <w:t> </w:t>
      </w:r>
      <w:r w:rsidR="00FB4510" w:rsidRPr="00220BDA">
        <w:rPr>
          <w:rFonts w:asciiTheme="minorBidi" w:hAnsiTheme="minorBidi"/>
          <w:i/>
          <w:iCs/>
          <w:color w:val="242121"/>
          <w:sz w:val="24"/>
          <w:szCs w:val="24"/>
        </w:rPr>
        <w:t>prima facie</w:t>
      </w:r>
      <w:r w:rsidR="00FB4510" w:rsidRPr="00220BDA">
        <w:rPr>
          <w:rStyle w:val="apple-converted-space"/>
          <w:rFonts w:asciiTheme="minorBidi" w:hAnsiTheme="minorBidi"/>
          <w:i/>
          <w:iCs/>
          <w:color w:val="242121"/>
          <w:sz w:val="24"/>
          <w:szCs w:val="24"/>
        </w:rPr>
        <w:t> </w:t>
      </w:r>
      <w:r w:rsidR="00FB4510" w:rsidRPr="00220BDA">
        <w:rPr>
          <w:rFonts w:asciiTheme="minorBidi" w:hAnsiTheme="minorBidi"/>
          <w:color w:val="242121"/>
          <w:sz w:val="24"/>
          <w:szCs w:val="24"/>
        </w:rPr>
        <w:t xml:space="preserve">proof of </w:t>
      </w:r>
      <w:r w:rsidR="0080745B" w:rsidRPr="00220BDA">
        <w:rPr>
          <w:rFonts w:asciiTheme="minorBidi" w:hAnsiTheme="minorBidi"/>
          <w:color w:val="242121"/>
          <w:sz w:val="24"/>
          <w:szCs w:val="24"/>
        </w:rPr>
        <w:lastRenderedPageBreak/>
        <w:t>what is stated therein</w:t>
      </w:r>
      <w:r w:rsidR="00FB4510" w:rsidRPr="00220BDA">
        <w:rPr>
          <w:rFonts w:asciiTheme="minorBidi" w:hAnsiTheme="minorBidi"/>
          <w:color w:val="242121"/>
          <w:sz w:val="24"/>
          <w:szCs w:val="24"/>
        </w:rPr>
        <w:t>. In</w:t>
      </w:r>
      <w:r w:rsidR="00FB4510" w:rsidRPr="00220BDA">
        <w:rPr>
          <w:rStyle w:val="apple-converted-space"/>
          <w:rFonts w:asciiTheme="minorBidi" w:hAnsiTheme="minorBidi"/>
          <w:color w:val="242121"/>
          <w:sz w:val="24"/>
          <w:szCs w:val="24"/>
        </w:rPr>
        <w:t> </w:t>
      </w:r>
      <w:r w:rsidR="00FB4510" w:rsidRPr="00220BDA">
        <w:rPr>
          <w:rFonts w:asciiTheme="minorBidi" w:hAnsiTheme="minorBidi"/>
          <w:i/>
          <w:iCs/>
          <w:color w:val="242121"/>
          <w:sz w:val="24"/>
          <w:szCs w:val="24"/>
        </w:rPr>
        <w:t>Ex parte Minister of Justice: In re R v Jacobson and Levy,</w:t>
      </w:r>
      <w:r w:rsidR="00FB4510" w:rsidRPr="005D7567">
        <w:rPr>
          <w:rStyle w:val="FootnoteReference"/>
          <w:rFonts w:asciiTheme="minorBidi" w:hAnsiTheme="minorBidi"/>
          <w:iCs/>
          <w:color w:val="242121"/>
          <w:sz w:val="24"/>
          <w:szCs w:val="24"/>
        </w:rPr>
        <w:footnoteReference w:id="2"/>
      </w:r>
      <w:r w:rsidR="00FB4510" w:rsidRPr="00220BDA">
        <w:rPr>
          <w:rFonts w:asciiTheme="minorBidi" w:hAnsiTheme="minorBidi"/>
          <w:color w:val="242121"/>
          <w:sz w:val="24"/>
          <w:szCs w:val="24"/>
        </w:rPr>
        <w:t xml:space="preserve"> Stratford JA stated:</w:t>
      </w:r>
      <w:r w:rsidR="00FB4510" w:rsidRPr="00220BDA">
        <w:rPr>
          <w:rStyle w:val="apple-converted-space"/>
          <w:rFonts w:asciiTheme="minorBidi" w:hAnsiTheme="minorBidi"/>
          <w:color w:val="242121"/>
          <w:sz w:val="24"/>
          <w:szCs w:val="24"/>
        </w:rPr>
        <w:t> </w:t>
      </w:r>
    </w:p>
    <w:p w:rsidR="00FB4510" w:rsidRPr="00BA233F" w:rsidRDefault="00BA233F" w:rsidP="00012BA6">
      <w:pPr>
        <w:pStyle w:val="NormalWeb"/>
        <w:tabs>
          <w:tab w:val="left" w:pos="709"/>
        </w:tabs>
        <w:spacing w:before="0" w:beforeAutospacing="0" w:after="0" w:afterAutospacing="0" w:line="360" w:lineRule="auto"/>
        <w:jc w:val="both"/>
        <w:rPr>
          <w:rFonts w:ascii="Arial" w:hAnsi="Arial" w:cs="Arial"/>
          <w:color w:val="242121"/>
          <w:sz w:val="22"/>
          <w:szCs w:val="22"/>
        </w:rPr>
      </w:pPr>
      <w:r w:rsidRPr="00BA233F">
        <w:rPr>
          <w:rFonts w:ascii="Arial" w:hAnsi="Arial" w:cs="Arial"/>
          <w:iCs/>
          <w:color w:val="242121"/>
          <w:sz w:val="22"/>
          <w:szCs w:val="22"/>
        </w:rPr>
        <w:t>‘</w:t>
      </w:r>
      <w:r w:rsidR="006D1266">
        <w:rPr>
          <w:rFonts w:ascii="Arial" w:hAnsi="Arial" w:cs="Arial"/>
          <w:color w:val="242121"/>
          <w:sz w:val="22"/>
          <w:szCs w:val="22"/>
        </w:rPr>
        <w:t>“</w:t>
      </w:r>
      <w:r w:rsidRPr="00BA233F">
        <w:rPr>
          <w:rFonts w:ascii="Arial" w:hAnsi="Arial" w:cs="Arial"/>
          <w:i/>
          <w:iCs/>
          <w:color w:val="242121"/>
          <w:sz w:val="22"/>
          <w:szCs w:val="22"/>
        </w:rPr>
        <w:t>Prima facie</w:t>
      </w:r>
      <w:r w:rsidRPr="00BA233F">
        <w:rPr>
          <w:rFonts w:ascii="Arial" w:hAnsi="Arial" w:cs="Arial"/>
          <w:color w:val="242121"/>
          <w:sz w:val="22"/>
          <w:szCs w:val="22"/>
        </w:rPr>
        <w:t>” evidence in its more usual sense, is used to mean </w:t>
      </w:r>
      <w:r w:rsidRPr="00BA233F">
        <w:rPr>
          <w:rFonts w:ascii="Arial" w:hAnsi="Arial" w:cs="Arial"/>
          <w:i/>
          <w:iCs/>
          <w:color w:val="242121"/>
          <w:sz w:val="22"/>
          <w:szCs w:val="22"/>
        </w:rPr>
        <w:t>prima facie</w:t>
      </w:r>
      <w:r w:rsidRPr="00BA233F">
        <w:rPr>
          <w:rFonts w:ascii="Arial" w:hAnsi="Arial" w:cs="Arial"/>
          <w:color w:val="242121"/>
          <w:sz w:val="22"/>
          <w:szCs w:val="22"/>
        </w:rPr>
        <w:t> proof of an issue the burden of proving which is upon the party giving that evidence</w:t>
      </w:r>
      <w:r w:rsidR="00FB4510" w:rsidRPr="00BA233F">
        <w:rPr>
          <w:rFonts w:ascii="Arial" w:hAnsi="Arial" w:cs="Arial"/>
          <w:color w:val="242121"/>
          <w:sz w:val="22"/>
          <w:szCs w:val="22"/>
        </w:rPr>
        <w:t>.’</w:t>
      </w:r>
    </w:p>
    <w:p w:rsidR="004B18E6" w:rsidRDefault="00FB4510" w:rsidP="00CC26DE">
      <w:pPr>
        <w:pStyle w:val="NormalWeb"/>
        <w:tabs>
          <w:tab w:val="left" w:pos="709"/>
        </w:tabs>
        <w:spacing w:before="0" w:beforeAutospacing="0" w:after="0" w:afterAutospacing="0" w:line="360" w:lineRule="auto"/>
        <w:jc w:val="both"/>
        <w:rPr>
          <w:rFonts w:asciiTheme="minorBidi" w:hAnsiTheme="minorBidi" w:cstheme="minorBidi"/>
          <w:color w:val="242121"/>
        </w:rPr>
      </w:pPr>
      <w:r w:rsidRPr="00374C46">
        <w:rPr>
          <w:rFonts w:asciiTheme="minorBidi" w:hAnsiTheme="minorBidi" w:cstheme="minorBidi"/>
          <w:color w:val="242121"/>
        </w:rPr>
        <w:t>If the</w:t>
      </w:r>
      <w:r w:rsidRPr="00374C46">
        <w:rPr>
          <w:rStyle w:val="apple-converted-space"/>
          <w:rFonts w:asciiTheme="minorBidi" w:hAnsiTheme="minorBidi" w:cstheme="minorBidi"/>
          <w:color w:val="242121"/>
        </w:rPr>
        <w:t> </w:t>
      </w:r>
      <w:r w:rsidRPr="00374C46">
        <w:rPr>
          <w:rFonts w:asciiTheme="minorBidi" w:hAnsiTheme="minorBidi" w:cstheme="minorBidi"/>
          <w:i/>
          <w:iCs/>
          <w:color w:val="242121"/>
        </w:rPr>
        <w:t>prima facie</w:t>
      </w:r>
      <w:r w:rsidRPr="00374C46">
        <w:rPr>
          <w:rStyle w:val="apple-converted-space"/>
          <w:rFonts w:asciiTheme="minorBidi" w:hAnsiTheme="minorBidi" w:cstheme="minorBidi"/>
          <w:i/>
          <w:iCs/>
          <w:color w:val="242121"/>
        </w:rPr>
        <w:t> </w:t>
      </w:r>
      <w:r w:rsidRPr="00374C46">
        <w:rPr>
          <w:rFonts w:asciiTheme="minorBidi" w:hAnsiTheme="minorBidi" w:cstheme="minorBidi"/>
          <w:color w:val="242121"/>
        </w:rPr>
        <w:t>evidence or proof remains unrebutted at the close of a cas</w:t>
      </w:r>
      <w:r w:rsidR="004A51EC">
        <w:rPr>
          <w:rFonts w:asciiTheme="minorBidi" w:hAnsiTheme="minorBidi" w:cstheme="minorBidi"/>
          <w:color w:val="242121"/>
        </w:rPr>
        <w:t>e, it becomes ‘sufficient proof’</w:t>
      </w:r>
      <w:r w:rsidRPr="00374C46">
        <w:rPr>
          <w:rFonts w:asciiTheme="minorBidi" w:hAnsiTheme="minorBidi" w:cstheme="minorBidi"/>
          <w:color w:val="242121"/>
        </w:rPr>
        <w:t xml:space="preserve"> of the fact or facts (on the issues with which it is concerned) </w:t>
      </w:r>
      <w:r w:rsidR="004A51EC">
        <w:rPr>
          <w:rFonts w:asciiTheme="minorBidi" w:hAnsiTheme="minorBidi" w:cstheme="minorBidi"/>
          <w:color w:val="242121"/>
        </w:rPr>
        <w:t>which are required</w:t>
      </w:r>
      <w:r w:rsidR="004A51EC" w:rsidRPr="002D4E07">
        <w:rPr>
          <w:rFonts w:asciiTheme="minorBidi" w:hAnsiTheme="minorBidi" w:cstheme="minorBidi"/>
          <w:color w:val="242121"/>
        </w:rPr>
        <w:t xml:space="preserve"> </w:t>
      </w:r>
      <w:r w:rsidRPr="002D4E07">
        <w:rPr>
          <w:rFonts w:asciiTheme="minorBidi" w:hAnsiTheme="minorBidi" w:cstheme="minorBidi"/>
          <w:color w:val="242121"/>
        </w:rPr>
        <w:t>to be established by the party bearing the onus of proof.</w:t>
      </w:r>
      <w:r w:rsidRPr="002D4E07">
        <w:rPr>
          <w:rStyle w:val="FootnoteReference"/>
          <w:rFonts w:asciiTheme="minorBidi" w:hAnsiTheme="minorBidi" w:cstheme="minorBidi"/>
          <w:color w:val="242121"/>
        </w:rPr>
        <w:footnoteReference w:id="3"/>
      </w:r>
      <w:r w:rsidRPr="002D4E07">
        <w:rPr>
          <w:rFonts w:asciiTheme="minorBidi" w:hAnsiTheme="minorBidi" w:cstheme="minorBidi"/>
          <w:color w:val="242121"/>
        </w:rPr>
        <w:t xml:space="preserve"> </w:t>
      </w:r>
    </w:p>
    <w:p w:rsidR="004B18E6" w:rsidRDefault="004B18E6" w:rsidP="00CC26DE">
      <w:pPr>
        <w:pStyle w:val="NormalWeb"/>
        <w:tabs>
          <w:tab w:val="left" w:pos="709"/>
        </w:tabs>
        <w:spacing w:before="0" w:beforeAutospacing="0" w:after="0" w:afterAutospacing="0" w:line="360" w:lineRule="auto"/>
        <w:jc w:val="both"/>
        <w:rPr>
          <w:rFonts w:asciiTheme="minorBidi" w:hAnsiTheme="minorBidi" w:cstheme="minorBidi"/>
          <w:color w:val="242121"/>
        </w:rPr>
      </w:pPr>
    </w:p>
    <w:p w:rsidR="00CC26DE" w:rsidRPr="00220BDA" w:rsidRDefault="00220BDA" w:rsidP="00220BDA">
      <w:pPr>
        <w:tabs>
          <w:tab w:val="left" w:pos="709"/>
          <w:tab w:val="left" w:pos="1418"/>
        </w:tabs>
        <w:spacing w:after="0" w:line="360" w:lineRule="auto"/>
        <w:jc w:val="both"/>
        <w:rPr>
          <w:rFonts w:ascii="Arial" w:hAnsi="Arial" w:cs="Arial"/>
          <w:sz w:val="24"/>
          <w:szCs w:val="24"/>
          <w:lang w:val="en-ZA"/>
        </w:rPr>
      </w:pPr>
      <w:r w:rsidRPr="004C1E75">
        <w:rPr>
          <w:rFonts w:ascii="Arial" w:hAnsi="Arial" w:cs="Arial"/>
          <w:sz w:val="24"/>
          <w:szCs w:val="24"/>
          <w:lang w:val="en-ZA"/>
        </w:rPr>
        <w:t>[17]</w:t>
      </w:r>
      <w:r w:rsidRPr="004C1E75">
        <w:rPr>
          <w:rFonts w:ascii="Arial" w:hAnsi="Arial" w:cs="Arial"/>
          <w:sz w:val="24"/>
          <w:szCs w:val="24"/>
          <w:lang w:val="en-ZA"/>
        </w:rPr>
        <w:tab/>
      </w:r>
      <w:r w:rsidR="00374C46" w:rsidRPr="00220BDA">
        <w:rPr>
          <w:rFonts w:asciiTheme="minorBidi" w:hAnsiTheme="minorBidi"/>
          <w:color w:val="242121"/>
          <w:sz w:val="24"/>
          <w:szCs w:val="24"/>
        </w:rPr>
        <w:t>To baldly deny something without disclosing the reason for such denial does not</w:t>
      </w:r>
      <w:r w:rsidR="0080745B" w:rsidRPr="00220BDA">
        <w:rPr>
          <w:rFonts w:asciiTheme="minorBidi" w:hAnsiTheme="minorBidi"/>
          <w:color w:val="242121"/>
          <w:sz w:val="24"/>
          <w:szCs w:val="24"/>
        </w:rPr>
        <w:t>, in my view,</w:t>
      </w:r>
      <w:r w:rsidR="00374C46" w:rsidRPr="00220BDA">
        <w:rPr>
          <w:rFonts w:asciiTheme="minorBidi" w:hAnsiTheme="minorBidi"/>
          <w:color w:val="242121"/>
          <w:sz w:val="24"/>
          <w:szCs w:val="24"/>
        </w:rPr>
        <w:t xml:space="preserve"> create a genuine dispute of fact.</w:t>
      </w:r>
      <w:r w:rsidR="0080745B" w:rsidRPr="00220BDA">
        <w:rPr>
          <w:sz w:val="24"/>
          <w:szCs w:val="24"/>
        </w:rPr>
        <w:t xml:space="preserve"> </w:t>
      </w:r>
      <w:r w:rsidR="0080745B" w:rsidRPr="00220BDA">
        <w:rPr>
          <w:rFonts w:ascii="Arial" w:hAnsi="Arial" w:cs="Arial"/>
          <w:sz w:val="24"/>
          <w:szCs w:val="24"/>
        </w:rPr>
        <w:t>As was stated i</w:t>
      </w:r>
      <w:r w:rsidR="00CC26DE" w:rsidRPr="00220BDA">
        <w:rPr>
          <w:rFonts w:ascii="Arial" w:hAnsi="Arial" w:cs="Arial"/>
          <w:sz w:val="24"/>
          <w:szCs w:val="24"/>
        </w:rPr>
        <w:t>n</w:t>
      </w:r>
      <w:r w:rsidR="0080745B" w:rsidRPr="00220BDA">
        <w:rPr>
          <w:rFonts w:ascii="Arial" w:hAnsi="Arial" w:cs="Arial"/>
          <w:sz w:val="24"/>
          <w:szCs w:val="24"/>
        </w:rPr>
        <w:t xml:space="preserve"> </w:t>
      </w:r>
      <w:r w:rsidR="0080745B" w:rsidRPr="00220BDA">
        <w:rPr>
          <w:rFonts w:ascii="Arial" w:hAnsi="Arial" w:cs="Arial"/>
          <w:i/>
          <w:sz w:val="24"/>
          <w:szCs w:val="24"/>
        </w:rPr>
        <w:t>Wightman t/a JW Construction v Headfour (Pty) Ltd and another</w:t>
      </w:r>
      <w:r w:rsidR="00CC26DE" w:rsidRPr="00220BDA">
        <w:rPr>
          <w:rFonts w:ascii="Arial" w:hAnsi="Arial" w:cs="Arial"/>
          <w:i/>
          <w:sz w:val="24"/>
          <w:szCs w:val="24"/>
        </w:rPr>
        <w:t>:</w:t>
      </w:r>
      <w:r w:rsidR="0080745B" w:rsidRPr="00220BDA">
        <w:rPr>
          <w:rFonts w:ascii="Arial" w:hAnsi="Arial" w:cs="Arial"/>
          <w:sz w:val="24"/>
          <w:szCs w:val="24"/>
        </w:rPr>
        <w:t xml:space="preserve"> </w:t>
      </w:r>
    </w:p>
    <w:p w:rsidR="0080745B" w:rsidRDefault="00CC26DE" w:rsidP="00CC26DE">
      <w:pPr>
        <w:pStyle w:val="NormalWeb"/>
        <w:tabs>
          <w:tab w:val="left" w:pos="709"/>
        </w:tabs>
        <w:spacing w:before="0" w:beforeAutospacing="0" w:after="0" w:afterAutospacing="0" w:line="360" w:lineRule="auto"/>
        <w:jc w:val="both"/>
        <w:rPr>
          <w:rFonts w:ascii="Arial" w:hAnsi="Arial" w:cs="Arial"/>
          <w:sz w:val="22"/>
          <w:szCs w:val="22"/>
        </w:rPr>
      </w:pPr>
      <w:r>
        <w:rPr>
          <w:rFonts w:ascii="Arial" w:hAnsi="Arial" w:cs="Arial"/>
          <w:sz w:val="22"/>
          <w:szCs w:val="22"/>
        </w:rPr>
        <w:t>‘</w:t>
      </w:r>
      <w:r w:rsidR="00FD31D8" w:rsidRPr="00FD31D8">
        <w:rPr>
          <w:rFonts w:ascii="Arial" w:hAnsi="Arial" w:cs="Arial"/>
          <w:sz w:val="22"/>
          <w:szCs w:val="22"/>
          <w:lang w:val="en-US"/>
        </w:rPr>
        <w:t>A real, genuine and bona fide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w:t>
      </w:r>
      <w:r w:rsidR="00FD31D8">
        <w:rPr>
          <w:rFonts w:ascii="Arial" w:hAnsi="Arial" w:cs="Arial"/>
          <w:sz w:val="22"/>
          <w:szCs w:val="22"/>
          <w:lang w:val="en-US"/>
        </w:rPr>
        <w:t>ding that the test is satisfied</w:t>
      </w:r>
      <w:r w:rsidR="0080745B" w:rsidRPr="00CC26DE">
        <w:rPr>
          <w:rFonts w:ascii="Arial" w:hAnsi="Arial" w:cs="Arial"/>
          <w:sz w:val="22"/>
          <w:szCs w:val="22"/>
        </w:rPr>
        <w:t>.</w:t>
      </w:r>
      <w:r w:rsidR="0080745B" w:rsidRPr="009473E0">
        <w:rPr>
          <w:rFonts w:ascii="Arial" w:hAnsi="Arial" w:cs="Arial"/>
          <w:sz w:val="22"/>
          <w:szCs w:val="22"/>
        </w:rPr>
        <w:t>’</w:t>
      </w:r>
      <w:r w:rsidR="009473E0" w:rsidRPr="009473E0">
        <w:rPr>
          <w:rStyle w:val="FootnoteReference"/>
          <w:rFonts w:ascii="Arial" w:hAnsi="Arial" w:cs="Arial"/>
          <w:sz w:val="22"/>
          <w:szCs w:val="22"/>
        </w:rPr>
        <w:footnoteReference w:id="4"/>
      </w:r>
    </w:p>
    <w:p w:rsidR="00D360B9" w:rsidRDefault="00D360B9" w:rsidP="0045288F">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The respondent</w:t>
      </w:r>
      <w:r w:rsidR="004E3F0A">
        <w:rPr>
          <w:rFonts w:ascii="Arial" w:hAnsi="Arial" w:cs="Arial"/>
          <w:sz w:val="24"/>
          <w:szCs w:val="24"/>
          <w:lang w:val="en-ZA"/>
        </w:rPr>
        <w:t>, wh</w:t>
      </w:r>
      <w:r w:rsidR="004C1E75">
        <w:rPr>
          <w:rFonts w:ascii="Arial" w:hAnsi="Arial" w:cs="Arial"/>
          <w:sz w:val="24"/>
          <w:szCs w:val="24"/>
          <w:lang w:val="en-ZA"/>
        </w:rPr>
        <w:t>ich</w:t>
      </w:r>
      <w:r w:rsidR="004E3F0A">
        <w:rPr>
          <w:rFonts w:ascii="Arial" w:hAnsi="Arial" w:cs="Arial"/>
          <w:sz w:val="24"/>
          <w:szCs w:val="24"/>
          <w:lang w:val="en-ZA"/>
        </w:rPr>
        <w:t xml:space="preserve"> bore the onus of disturbing the </w:t>
      </w:r>
      <w:r w:rsidR="00DA31EF">
        <w:rPr>
          <w:rFonts w:ascii="Arial" w:hAnsi="Arial" w:cs="Arial"/>
          <w:sz w:val="24"/>
          <w:szCs w:val="24"/>
          <w:lang w:val="en-ZA"/>
        </w:rPr>
        <w:t xml:space="preserve">accuracy of the </w:t>
      </w:r>
      <w:r w:rsidR="004E3F0A">
        <w:rPr>
          <w:rFonts w:ascii="Arial" w:hAnsi="Arial" w:cs="Arial"/>
          <w:sz w:val="24"/>
          <w:szCs w:val="24"/>
          <w:lang w:val="en-ZA"/>
        </w:rPr>
        <w:t xml:space="preserve">certificate, </w:t>
      </w:r>
      <w:r>
        <w:rPr>
          <w:rFonts w:ascii="Arial" w:hAnsi="Arial" w:cs="Arial"/>
          <w:sz w:val="24"/>
          <w:szCs w:val="24"/>
          <w:lang w:val="en-ZA"/>
        </w:rPr>
        <w:t xml:space="preserve">has not, in the circumstances, </w:t>
      </w:r>
      <w:r w:rsidR="004E3F0A">
        <w:rPr>
          <w:rFonts w:ascii="Arial" w:hAnsi="Arial" w:cs="Arial"/>
          <w:sz w:val="24"/>
          <w:szCs w:val="24"/>
          <w:lang w:val="en-ZA"/>
        </w:rPr>
        <w:t>done so</w:t>
      </w:r>
      <w:r>
        <w:rPr>
          <w:rFonts w:ascii="Arial" w:hAnsi="Arial" w:cs="Arial"/>
          <w:sz w:val="24"/>
          <w:szCs w:val="24"/>
          <w:lang w:val="en-ZA"/>
        </w:rPr>
        <w:t xml:space="preserve">. I must therefore conclude that the respondent is indebted to the applicant in an amount of approximately R5,9 million. There is </w:t>
      </w:r>
      <w:r w:rsidR="00DA31EF">
        <w:rPr>
          <w:rFonts w:ascii="Arial" w:hAnsi="Arial" w:cs="Arial"/>
          <w:sz w:val="24"/>
          <w:szCs w:val="24"/>
          <w:lang w:val="en-ZA"/>
        </w:rPr>
        <w:t xml:space="preserve">accordingly </w:t>
      </w:r>
      <w:r>
        <w:rPr>
          <w:rFonts w:ascii="Arial" w:hAnsi="Arial" w:cs="Arial"/>
          <w:sz w:val="24"/>
          <w:szCs w:val="24"/>
          <w:lang w:val="en-ZA"/>
        </w:rPr>
        <w:t>no merit in the first ground of defence.</w:t>
      </w:r>
    </w:p>
    <w:p w:rsidR="0045288F" w:rsidRDefault="0045288F" w:rsidP="0045288F">
      <w:pPr>
        <w:pStyle w:val="ListParagraph"/>
        <w:tabs>
          <w:tab w:val="left" w:pos="709"/>
          <w:tab w:val="left" w:pos="1418"/>
        </w:tabs>
        <w:spacing w:after="0" w:line="360" w:lineRule="auto"/>
        <w:ind w:left="0"/>
        <w:jc w:val="both"/>
        <w:rPr>
          <w:rFonts w:ascii="Arial" w:hAnsi="Arial" w:cs="Arial"/>
          <w:sz w:val="24"/>
          <w:szCs w:val="24"/>
          <w:lang w:val="en-ZA"/>
        </w:rPr>
      </w:pPr>
    </w:p>
    <w:p w:rsidR="00A30B6A"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[18]</w:t>
      </w:r>
      <w:r>
        <w:rPr>
          <w:rFonts w:ascii="Arial" w:hAnsi="Arial" w:cs="Arial"/>
          <w:sz w:val="24"/>
          <w:szCs w:val="24"/>
          <w:lang w:val="en-ZA"/>
        </w:rPr>
        <w:tab/>
      </w:r>
      <w:r w:rsidR="00F547AD" w:rsidRPr="00220BDA">
        <w:rPr>
          <w:rFonts w:ascii="Arial" w:hAnsi="Arial" w:cs="Arial"/>
          <w:sz w:val="24"/>
          <w:szCs w:val="24"/>
          <w:lang w:val="en-ZA"/>
        </w:rPr>
        <w:t xml:space="preserve">The second ground of defence </w:t>
      </w:r>
      <w:r w:rsidR="00B26EF9" w:rsidRPr="00220BDA">
        <w:rPr>
          <w:rFonts w:ascii="Arial" w:hAnsi="Arial" w:cs="Arial"/>
          <w:sz w:val="24"/>
          <w:szCs w:val="24"/>
          <w:lang w:val="en-ZA"/>
        </w:rPr>
        <w:t xml:space="preserve">is that the </w:t>
      </w:r>
      <w:r w:rsidR="009048EB" w:rsidRPr="00220BDA">
        <w:rPr>
          <w:rFonts w:ascii="Arial" w:hAnsi="Arial" w:cs="Arial"/>
          <w:sz w:val="24"/>
          <w:szCs w:val="24"/>
          <w:lang w:val="en-ZA"/>
        </w:rPr>
        <w:t xml:space="preserve">provisions of the </w:t>
      </w:r>
      <w:r w:rsidR="00B26EF9" w:rsidRPr="00220BDA">
        <w:rPr>
          <w:rFonts w:ascii="Arial" w:hAnsi="Arial" w:cs="Arial"/>
          <w:sz w:val="24"/>
          <w:szCs w:val="24"/>
          <w:lang w:val="en-ZA"/>
        </w:rPr>
        <w:t>agreement did not allow for the full indebtedness then in existence to immediately fall due on the occurrence of a breach of the agreement.</w:t>
      </w:r>
      <w:r w:rsidR="00C116B2" w:rsidRPr="00220BDA">
        <w:rPr>
          <w:rFonts w:ascii="Arial" w:hAnsi="Arial" w:cs="Arial"/>
          <w:sz w:val="24"/>
          <w:szCs w:val="24"/>
          <w:lang w:val="en-ZA"/>
        </w:rPr>
        <w:t xml:space="preserve"> In </w:t>
      </w:r>
      <w:r w:rsidR="004E3F0A" w:rsidRPr="00220BDA">
        <w:rPr>
          <w:rFonts w:ascii="Arial" w:hAnsi="Arial" w:cs="Arial"/>
          <w:sz w:val="24"/>
          <w:szCs w:val="24"/>
          <w:lang w:val="en-ZA"/>
        </w:rPr>
        <w:t xml:space="preserve">other words, there was no provision </w:t>
      </w:r>
      <w:r w:rsidR="004E3F0A" w:rsidRPr="00220BDA">
        <w:rPr>
          <w:rFonts w:ascii="Arial" w:hAnsi="Arial" w:cs="Arial"/>
          <w:sz w:val="24"/>
          <w:szCs w:val="24"/>
          <w:lang w:val="en-ZA"/>
        </w:rPr>
        <w:lastRenderedPageBreak/>
        <w:t xml:space="preserve">permitting the applicant to claim the accelerated payment of the </w:t>
      </w:r>
      <w:r w:rsidR="004C1E75" w:rsidRPr="00220BDA">
        <w:rPr>
          <w:rFonts w:ascii="Arial" w:hAnsi="Arial" w:cs="Arial"/>
          <w:sz w:val="24"/>
          <w:szCs w:val="24"/>
          <w:lang w:val="en-ZA"/>
        </w:rPr>
        <w:t>total in</w:t>
      </w:r>
      <w:r w:rsidR="004E3F0A" w:rsidRPr="00220BDA">
        <w:rPr>
          <w:rFonts w:ascii="Arial" w:hAnsi="Arial" w:cs="Arial"/>
          <w:sz w:val="24"/>
          <w:szCs w:val="24"/>
          <w:lang w:val="en-ZA"/>
        </w:rPr>
        <w:t>debt</w:t>
      </w:r>
      <w:r w:rsidR="004C1E75" w:rsidRPr="00220BDA">
        <w:rPr>
          <w:rFonts w:ascii="Arial" w:hAnsi="Arial" w:cs="Arial"/>
          <w:sz w:val="24"/>
          <w:szCs w:val="24"/>
          <w:lang w:val="en-ZA"/>
        </w:rPr>
        <w:t>edness</w:t>
      </w:r>
      <w:r w:rsidR="004E3F0A" w:rsidRPr="00220BDA">
        <w:rPr>
          <w:rFonts w:ascii="Arial" w:hAnsi="Arial" w:cs="Arial"/>
          <w:sz w:val="24"/>
          <w:szCs w:val="24"/>
          <w:lang w:val="en-ZA"/>
        </w:rPr>
        <w:t xml:space="preserve"> upon the occurrence of a breach by the respondent. </w:t>
      </w:r>
    </w:p>
    <w:p w:rsidR="00A30B6A" w:rsidRDefault="00A30B6A" w:rsidP="00A30B6A">
      <w:pPr>
        <w:pStyle w:val="ListParagraph"/>
        <w:tabs>
          <w:tab w:val="left" w:pos="709"/>
          <w:tab w:val="left" w:pos="1418"/>
        </w:tabs>
        <w:spacing w:after="0" w:line="360" w:lineRule="auto"/>
        <w:ind w:left="0"/>
        <w:jc w:val="both"/>
        <w:rPr>
          <w:rFonts w:ascii="Arial" w:hAnsi="Arial" w:cs="Arial"/>
          <w:sz w:val="24"/>
          <w:szCs w:val="24"/>
          <w:lang w:val="en-ZA"/>
        </w:rPr>
      </w:pPr>
    </w:p>
    <w:p w:rsidR="00A30B6A"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[19]</w:t>
      </w:r>
      <w:r>
        <w:rPr>
          <w:rFonts w:ascii="Arial" w:hAnsi="Arial" w:cs="Arial"/>
          <w:sz w:val="24"/>
          <w:szCs w:val="24"/>
          <w:lang w:val="en-ZA"/>
        </w:rPr>
        <w:tab/>
      </w:r>
      <w:r w:rsidR="00C116B2" w:rsidRPr="00220BDA">
        <w:rPr>
          <w:rFonts w:ascii="Arial" w:hAnsi="Arial" w:cs="Arial"/>
          <w:sz w:val="24"/>
          <w:szCs w:val="24"/>
          <w:lang w:val="en-ZA"/>
        </w:rPr>
        <w:t xml:space="preserve">Clause 22 of the standard terms applicable to the agreement is headed ‘Events of Default’. </w:t>
      </w:r>
      <w:r w:rsidR="00A30B6A" w:rsidRPr="00220BDA">
        <w:rPr>
          <w:rFonts w:ascii="Arial" w:hAnsi="Arial" w:cs="Arial"/>
          <w:sz w:val="24"/>
          <w:szCs w:val="24"/>
          <w:lang w:val="en-ZA"/>
        </w:rPr>
        <w:t>The preamble to the clause reads as follows:</w:t>
      </w:r>
    </w:p>
    <w:p w:rsidR="00A30B6A" w:rsidRPr="00A30B6A" w:rsidRDefault="00A30B6A" w:rsidP="00471926">
      <w:pPr>
        <w:spacing w:after="0" w:line="360" w:lineRule="auto"/>
        <w:jc w:val="both"/>
        <w:rPr>
          <w:rFonts w:ascii="Arial" w:hAnsi="Arial" w:cs="Arial"/>
          <w:lang w:val="en-ZA"/>
        </w:rPr>
      </w:pPr>
      <w:r w:rsidRPr="00A30B6A">
        <w:rPr>
          <w:rFonts w:ascii="Arial" w:hAnsi="Arial" w:cs="Arial"/>
          <w:lang w:val="en-ZA"/>
        </w:rPr>
        <w:t>‘Each of the events or circumstances set out in this Clause 22 is an Event of Default (save for clause 22.15 (consequences of default))’.</w:t>
      </w:r>
    </w:p>
    <w:p w:rsidR="00D360B9" w:rsidRDefault="00A30B6A" w:rsidP="00A30B6A">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 xml:space="preserve">Clauses 22.1 to 22.14 then appear below the abovementioned words, each sub clause being linked </w:t>
      </w:r>
      <w:r w:rsidR="00471926">
        <w:rPr>
          <w:rFonts w:ascii="Arial" w:hAnsi="Arial" w:cs="Arial"/>
          <w:sz w:val="24"/>
          <w:szCs w:val="24"/>
          <w:lang w:val="en-ZA"/>
        </w:rPr>
        <w:t>by</w:t>
      </w:r>
      <w:r>
        <w:rPr>
          <w:rFonts w:ascii="Arial" w:hAnsi="Arial" w:cs="Arial"/>
          <w:sz w:val="24"/>
          <w:szCs w:val="24"/>
          <w:lang w:val="en-ZA"/>
        </w:rPr>
        <w:t xml:space="preserve"> the conjunction ‘or’. </w:t>
      </w:r>
      <w:r w:rsidR="00C116B2">
        <w:rPr>
          <w:rFonts w:ascii="Arial" w:hAnsi="Arial" w:cs="Arial"/>
          <w:sz w:val="24"/>
          <w:szCs w:val="24"/>
          <w:lang w:val="en-ZA"/>
        </w:rPr>
        <w:t xml:space="preserve">The fifteenth </w:t>
      </w:r>
      <w:r>
        <w:rPr>
          <w:rFonts w:ascii="Arial" w:hAnsi="Arial" w:cs="Arial"/>
          <w:sz w:val="24"/>
          <w:szCs w:val="24"/>
          <w:lang w:val="en-ZA"/>
        </w:rPr>
        <w:t>sub-clause</w:t>
      </w:r>
      <w:r w:rsidR="00C116B2">
        <w:rPr>
          <w:rFonts w:ascii="Arial" w:hAnsi="Arial" w:cs="Arial"/>
          <w:sz w:val="24"/>
          <w:szCs w:val="24"/>
          <w:lang w:val="en-ZA"/>
        </w:rPr>
        <w:t xml:space="preserve"> under this </w:t>
      </w:r>
      <w:r w:rsidR="00471926">
        <w:rPr>
          <w:rFonts w:ascii="Arial" w:hAnsi="Arial" w:cs="Arial"/>
          <w:sz w:val="24"/>
          <w:szCs w:val="24"/>
          <w:lang w:val="en-ZA"/>
        </w:rPr>
        <w:t xml:space="preserve">heading is not linked by that conjunction and </w:t>
      </w:r>
      <w:r w:rsidR="00C116B2">
        <w:rPr>
          <w:rFonts w:ascii="Arial" w:hAnsi="Arial" w:cs="Arial"/>
          <w:sz w:val="24"/>
          <w:szCs w:val="24"/>
          <w:lang w:val="en-ZA"/>
        </w:rPr>
        <w:t>reads:</w:t>
      </w:r>
    </w:p>
    <w:p w:rsidR="00D61B77" w:rsidRPr="001A5697" w:rsidRDefault="00471926" w:rsidP="00471926">
      <w:pPr>
        <w:pStyle w:val="ListParagraph"/>
        <w:tabs>
          <w:tab w:val="left" w:pos="709"/>
          <w:tab w:val="left" w:pos="993"/>
        </w:tabs>
        <w:spacing w:after="0" w:line="360" w:lineRule="auto"/>
        <w:ind w:left="0"/>
        <w:jc w:val="both"/>
        <w:rPr>
          <w:rFonts w:ascii="Arial" w:hAnsi="Arial" w:cs="Arial"/>
          <w:lang w:val="en-ZA"/>
        </w:rPr>
      </w:pPr>
      <w:r>
        <w:rPr>
          <w:rFonts w:ascii="Arial" w:hAnsi="Arial" w:cs="Arial"/>
          <w:lang w:val="en-ZA"/>
        </w:rPr>
        <w:t>’22.15</w:t>
      </w:r>
      <w:r>
        <w:rPr>
          <w:rFonts w:ascii="Arial" w:hAnsi="Arial" w:cs="Arial"/>
          <w:lang w:val="en-ZA"/>
        </w:rPr>
        <w:tab/>
      </w:r>
      <w:r>
        <w:rPr>
          <w:rFonts w:ascii="Arial" w:hAnsi="Arial" w:cs="Arial"/>
          <w:lang w:val="en-ZA"/>
        </w:rPr>
        <w:tab/>
      </w:r>
      <w:r w:rsidR="00D61B77" w:rsidRPr="001A5697">
        <w:rPr>
          <w:rFonts w:ascii="Arial" w:hAnsi="Arial" w:cs="Arial"/>
          <w:lang w:val="en-ZA"/>
        </w:rPr>
        <w:t xml:space="preserve">any event occurs in relation to a Relevant Party in any jurisdiction which is substantially similar to any of the events specified in clause is 22:1 to 22.14 above then, in any such case the Bank may, in addition to any other rights it may have in law, on written notice to the Borrower: </w:t>
      </w:r>
    </w:p>
    <w:p w:rsidR="00D61B77" w:rsidRPr="00220BDA" w:rsidRDefault="00220BDA" w:rsidP="00220BDA">
      <w:pPr>
        <w:tabs>
          <w:tab w:val="left" w:pos="709"/>
          <w:tab w:val="left" w:pos="1418"/>
        </w:tabs>
        <w:spacing w:after="0" w:line="360" w:lineRule="auto"/>
        <w:jc w:val="both"/>
        <w:rPr>
          <w:rFonts w:ascii="Arial" w:hAnsi="Arial" w:cs="Arial"/>
          <w:lang w:val="en-ZA"/>
        </w:rPr>
      </w:pPr>
      <w:r w:rsidRPr="001A5697">
        <w:rPr>
          <w:rFonts w:ascii="Arial" w:hAnsi="Arial" w:cs="Arial"/>
          <w:lang w:val="en-ZA"/>
        </w:rPr>
        <w:t>(a)</w:t>
      </w:r>
      <w:r w:rsidRPr="001A5697">
        <w:rPr>
          <w:rFonts w:ascii="Arial" w:hAnsi="Arial" w:cs="Arial"/>
          <w:lang w:val="en-ZA"/>
        </w:rPr>
        <w:tab/>
      </w:r>
      <w:r w:rsidR="00D61B77" w:rsidRPr="00220BDA">
        <w:rPr>
          <w:rFonts w:ascii="Arial" w:hAnsi="Arial" w:cs="Arial"/>
          <w:lang w:val="en-ZA"/>
        </w:rPr>
        <w:t>review the Facility;</w:t>
      </w:r>
    </w:p>
    <w:p w:rsidR="00D61B77" w:rsidRPr="00220BDA" w:rsidRDefault="00220BDA" w:rsidP="00220BDA">
      <w:pPr>
        <w:tabs>
          <w:tab w:val="left" w:pos="709"/>
          <w:tab w:val="left" w:pos="1418"/>
        </w:tabs>
        <w:spacing w:after="0" w:line="360" w:lineRule="auto"/>
        <w:jc w:val="both"/>
        <w:rPr>
          <w:rFonts w:ascii="Arial" w:hAnsi="Arial" w:cs="Arial"/>
          <w:lang w:val="en-ZA"/>
        </w:rPr>
      </w:pPr>
      <w:r w:rsidRPr="001A5697">
        <w:rPr>
          <w:rFonts w:ascii="Arial" w:hAnsi="Arial" w:cs="Arial"/>
          <w:lang w:val="en-ZA"/>
        </w:rPr>
        <w:t>(b)</w:t>
      </w:r>
      <w:r w:rsidRPr="001A5697">
        <w:rPr>
          <w:rFonts w:ascii="Arial" w:hAnsi="Arial" w:cs="Arial"/>
          <w:lang w:val="en-ZA"/>
        </w:rPr>
        <w:tab/>
      </w:r>
      <w:r w:rsidR="00D61B77" w:rsidRPr="00220BDA">
        <w:rPr>
          <w:rFonts w:ascii="Arial" w:hAnsi="Arial" w:cs="Arial"/>
          <w:lang w:val="en-ZA"/>
        </w:rPr>
        <w:t xml:space="preserve">cancel the Available Facility; </w:t>
      </w:r>
    </w:p>
    <w:p w:rsidR="00D61B77" w:rsidRPr="00220BDA" w:rsidRDefault="00220BDA" w:rsidP="00220BDA">
      <w:pPr>
        <w:tabs>
          <w:tab w:val="left" w:pos="709"/>
          <w:tab w:val="left" w:pos="1418"/>
        </w:tabs>
        <w:spacing w:after="0" w:line="360" w:lineRule="auto"/>
        <w:jc w:val="both"/>
        <w:rPr>
          <w:rFonts w:ascii="Arial" w:hAnsi="Arial" w:cs="Arial"/>
          <w:lang w:val="en-ZA"/>
        </w:rPr>
      </w:pPr>
      <w:r w:rsidRPr="001A5697">
        <w:rPr>
          <w:rFonts w:ascii="Arial" w:hAnsi="Arial" w:cs="Arial"/>
          <w:lang w:val="en-ZA"/>
        </w:rPr>
        <w:t>(c)</w:t>
      </w:r>
      <w:r w:rsidRPr="001A5697">
        <w:rPr>
          <w:rFonts w:ascii="Arial" w:hAnsi="Arial" w:cs="Arial"/>
          <w:lang w:val="en-ZA"/>
        </w:rPr>
        <w:tab/>
      </w:r>
      <w:r w:rsidR="00D61B77" w:rsidRPr="00220BDA">
        <w:rPr>
          <w:rFonts w:ascii="Arial" w:hAnsi="Arial" w:cs="Arial"/>
          <w:lang w:val="en-ZA"/>
        </w:rPr>
        <w:t xml:space="preserve">increase the </w:t>
      </w:r>
      <w:r w:rsidR="003C5865" w:rsidRPr="00220BDA">
        <w:rPr>
          <w:rFonts w:ascii="Arial" w:hAnsi="Arial" w:cs="Arial"/>
          <w:lang w:val="en-ZA"/>
        </w:rPr>
        <w:t>I</w:t>
      </w:r>
      <w:r w:rsidR="00D61B77" w:rsidRPr="00220BDA">
        <w:rPr>
          <w:rFonts w:ascii="Arial" w:hAnsi="Arial" w:cs="Arial"/>
          <w:lang w:val="en-ZA"/>
        </w:rPr>
        <w:t>nterest rate Margin by</w:t>
      </w:r>
      <w:r w:rsidR="003C5865" w:rsidRPr="00220BDA">
        <w:rPr>
          <w:rFonts w:ascii="Arial" w:hAnsi="Arial" w:cs="Arial"/>
          <w:lang w:val="en-ZA"/>
        </w:rPr>
        <w:t xml:space="preserve"> a further</w:t>
      </w:r>
      <w:r w:rsidR="00D61B77" w:rsidRPr="00220BDA">
        <w:rPr>
          <w:rFonts w:ascii="Arial" w:hAnsi="Arial" w:cs="Arial"/>
          <w:lang w:val="en-ZA"/>
        </w:rPr>
        <w:t xml:space="preserve"> 2% per annum for so long as the default continues;</w:t>
      </w:r>
    </w:p>
    <w:p w:rsidR="00D61B77" w:rsidRPr="00220BDA" w:rsidRDefault="00220BDA" w:rsidP="00220BDA">
      <w:pPr>
        <w:tabs>
          <w:tab w:val="left" w:pos="709"/>
          <w:tab w:val="left" w:pos="1418"/>
        </w:tabs>
        <w:spacing w:after="0" w:line="360" w:lineRule="auto"/>
        <w:jc w:val="both"/>
        <w:rPr>
          <w:rFonts w:ascii="Arial" w:hAnsi="Arial" w:cs="Arial"/>
          <w:lang w:val="en-ZA"/>
        </w:rPr>
      </w:pPr>
      <w:r w:rsidRPr="001A5697">
        <w:rPr>
          <w:rFonts w:ascii="Arial" w:hAnsi="Arial" w:cs="Arial"/>
          <w:lang w:val="en-ZA"/>
        </w:rPr>
        <w:t>(d)</w:t>
      </w:r>
      <w:r w:rsidRPr="001A5697">
        <w:rPr>
          <w:rFonts w:ascii="Arial" w:hAnsi="Arial" w:cs="Arial"/>
          <w:lang w:val="en-ZA"/>
        </w:rPr>
        <w:tab/>
      </w:r>
      <w:r w:rsidR="00D61B77" w:rsidRPr="00220BDA">
        <w:rPr>
          <w:rFonts w:ascii="Arial" w:hAnsi="Arial" w:cs="Arial"/>
          <w:lang w:val="en-ZA"/>
        </w:rPr>
        <w:t>declare that</w:t>
      </w:r>
      <w:r w:rsidR="001A5697" w:rsidRPr="00220BDA">
        <w:rPr>
          <w:rFonts w:ascii="Arial" w:hAnsi="Arial" w:cs="Arial"/>
          <w:lang w:val="en-ZA"/>
        </w:rPr>
        <w:t xml:space="preserve"> all or any part of the Loan become immediately due and payable;</w:t>
      </w:r>
    </w:p>
    <w:p w:rsidR="001A5697" w:rsidRPr="00220BDA" w:rsidRDefault="00220BDA" w:rsidP="00220BDA">
      <w:pPr>
        <w:tabs>
          <w:tab w:val="left" w:pos="709"/>
          <w:tab w:val="left" w:pos="1418"/>
        </w:tabs>
        <w:spacing w:after="0" w:line="360" w:lineRule="auto"/>
        <w:jc w:val="both"/>
        <w:rPr>
          <w:rFonts w:ascii="Arial" w:hAnsi="Arial" w:cs="Arial"/>
          <w:lang w:val="en-ZA"/>
        </w:rPr>
      </w:pPr>
      <w:r w:rsidRPr="001A5697">
        <w:rPr>
          <w:rFonts w:ascii="Arial" w:hAnsi="Arial" w:cs="Arial"/>
          <w:lang w:val="en-ZA"/>
        </w:rPr>
        <w:t>(e)</w:t>
      </w:r>
      <w:r w:rsidRPr="001A5697">
        <w:rPr>
          <w:rFonts w:ascii="Arial" w:hAnsi="Arial" w:cs="Arial"/>
          <w:lang w:val="en-ZA"/>
        </w:rPr>
        <w:tab/>
      </w:r>
      <w:r w:rsidR="001A5697" w:rsidRPr="00220BDA">
        <w:rPr>
          <w:rFonts w:ascii="Arial" w:hAnsi="Arial" w:cs="Arial"/>
          <w:lang w:val="en-ZA"/>
        </w:rPr>
        <w:t>claim immediate payment of all or any part of any amounts outstanding under any Finance Document;</w:t>
      </w:r>
    </w:p>
    <w:p w:rsidR="001A5697" w:rsidRPr="00220BDA" w:rsidRDefault="00220BDA" w:rsidP="00220BDA">
      <w:pPr>
        <w:tabs>
          <w:tab w:val="left" w:pos="709"/>
          <w:tab w:val="left" w:pos="1418"/>
        </w:tabs>
        <w:spacing w:after="0" w:line="360" w:lineRule="auto"/>
        <w:jc w:val="both"/>
        <w:rPr>
          <w:rFonts w:ascii="Arial" w:hAnsi="Arial" w:cs="Arial"/>
          <w:lang w:val="en-ZA"/>
        </w:rPr>
      </w:pPr>
      <w:r w:rsidRPr="001A5697">
        <w:rPr>
          <w:rFonts w:ascii="Arial" w:hAnsi="Arial" w:cs="Arial"/>
          <w:lang w:val="en-ZA"/>
        </w:rPr>
        <w:t>(f)</w:t>
      </w:r>
      <w:r w:rsidRPr="001A5697">
        <w:rPr>
          <w:rFonts w:ascii="Arial" w:hAnsi="Arial" w:cs="Arial"/>
          <w:lang w:val="en-ZA"/>
        </w:rPr>
        <w:tab/>
      </w:r>
      <w:r w:rsidR="001A5697" w:rsidRPr="00220BDA">
        <w:rPr>
          <w:rFonts w:ascii="Arial" w:hAnsi="Arial" w:cs="Arial"/>
          <w:lang w:val="en-ZA"/>
        </w:rPr>
        <w:t>exercise its rights under any Security;</w:t>
      </w:r>
    </w:p>
    <w:p w:rsidR="001A5697" w:rsidRPr="00220BDA" w:rsidRDefault="00220BDA" w:rsidP="00220BDA">
      <w:pPr>
        <w:tabs>
          <w:tab w:val="left" w:pos="709"/>
          <w:tab w:val="left" w:pos="1418"/>
        </w:tabs>
        <w:spacing w:after="0" w:line="360" w:lineRule="auto"/>
        <w:jc w:val="both"/>
        <w:rPr>
          <w:rFonts w:ascii="Arial" w:hAnsi="Arial" w:cs="Arial"/>
          <w:lang w:val="en-ZA"/>
        </w:rPr>
      </w:pPr>
      <w:r w:rsidRPr="001A5697">
        <w:rPr>
          <w:rFonts w:ascii="Arial" w:hAnsi="Arial" w:cs="Arial"/>
          <w:lang w:val="en-ZA"/>
        </w:rPr>
        <w:t>(g)</w:t>
      </w:r>
      <w:r w:rsidRPr="001A5697">
        <w:rPr>
          <w:rFonts w:ascii="Arial" w:hAnsi="Arial" w:cs="Arial"/>
          <w:lang w:val="en-ZA"/>
        </w:rPr>
        <w:tab/>
      </w:r>
      <w:r w:rsidR="001A5697" w:rsidRPr="00220BDA">
        <w:rPr>
          <w:rFonts w:ascii="Arial" w:hAnsi="Arial" w:cs="Arial"/>
          <w:lang w:val="en-ZA"/>
        </w:rPr>
        <w:t>cancel this Agreement; and/or</w:t>
      </w:r>
    </w:p>
    <w:p w:rsidR="001A5697" w:rsidRPr="00220BDA" w:rsidRDefault="00220BDA" w:rsidP="00220BDA">
      <w:pPr>
        <w:tabs>
          <w:tab w:val="left" w:pos="709"/>
          <w:tab w:val="left" w:pos="1418"/>
        </w:tabs>
        <w:spacing w:after="0" w:line="360" w:lineRule="auto"/>
        <w:jc w:val="both"/>
        <w:rPr>
          <w:rFonts w:ascii="Arial" w:hAnsi="Arial" w:cs="Arial"/>
          <w:lang w:val="en-ZA"/>
        </w:rPr>
      </w:pPr>
      <w:r>
        <w:rPr>
          <w:rFonts w:ascii="Arial" w:hAnsi="Arial" w:cs="Arial"/>
          <w:lang w:val="en-ZA"/>
        </w:rPr>
        <w:t>(h)</w:t>
      </w:r>
      <w:r>
        <w:rPr>
          <w:rFonts w:ascii="Arial" w:hAnsi="Arial" w:cs="Arial"/>
          <w:lang w:val="en-ZA"/>
        </w:rPr>
        <w:tab/>
      </w:r>
      <w:r w:rsidR="001A5697" w:rsidRPr="00220BDA">
        <w:rPr>
          <w:rFonts w:ascii="Arial" w:hAnsi="Arial" w:cs="Arial"/>
          <w:lang w:val="en-ZA"/>
        </w:rPr>
        <w:t>institute action for damages.’</w:t>
      </w:r>
    </w:p>
    <w:p w:rsidR="009048EB" w:rsidRPr="001A5697" w:rsidRDefault="009048EB" w:rsidP="009048EB">
      <w:pPr>
        <w:pStyle w:val="ListParagraph"/>
        <w:tabs>
          <w:tab w:val="left" w:pos="709"/>
          <w:tab w:val="left" w:pos="1418"/>
        </w:tabs>
        <w:spacing w:after="0" w:line="360" w:lineRule="auto"/>
        <w:ind w:left="0"/>
        <w:jc w:val="both"/>
        <w:rPr>
          <w:rFonts w:ascii="Arial" w:hAnsi="Arial" w:cs="Arial"/>
          <w:lang w:val="en-ZA"/>
        </w:rPr>
      </w:pPr>
    </w:p>
    <w:p w:rsidR="001E30BA"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[20]</w:t>
      </w:r>
      <w:r>
        <w:rPr>
          <w:rFonts w:ascii="Arial" w:hAnsi="Arial" w:cs="Arial"/>
          <w:sz w:val="24"/>
          <w:szCs w:val="24"/>
          <w:lang w:val="en-ZA"/>
        </w:rPr>
        <w:tab/>
      </w:r>
      <w:r w:rsidR="009048EB" w:rsidRPr="00220BDA">
        <w:rPr>
          <w:rFonts w:ascii="Arial" w:hAnsi="Arial" w:cs="Arial"/>
          <w:sz w:val="24"/>
          <w:szCs w:val="24"/>
          <w:lang w:val="en-ZA"/>
        </w:rPr>
        <w:t>Clause 22 accordingly does contain an acceleration clause. T</w:t>
      </w:r>
      <w:r w:rsidR="001E30BA" w:rsidRPr="00220BDA">
        <w:rPr>
          <w:rFonts w:ascii="Arial" w:hAnsi="Arial" w:cs="Arial"/>
          <w:sz w:val="24"/>
          <w:szCs w:val="24"/>
          <w:lang w:val="en-ZA"/>
        </w:rPr>
        <w:t>he respondent contends</w:t>
      </w:r>
      <w:r w:rsidR="009048EB" w:rsidRPr="00220BDA">
        <w:rPr>
          <w:rFonts w:ascii="Arial" w:hAnsi="Arial" w:cs="Arial"/>
          <w:sz w:val="24"/>
          <w:szCs w:val="24"/>
          <w:lang w:val="en-ZA"/>
        </w:rPr>
        <w:t>, however,</w:t>
      </w:r>
      <w:r w:rsidR="001E30BA" w:rsidRPr="00220BDA">
        <w:rPr>
          <w:rFonts w:ascii="Arial" w:hAnsi="Arial" w:cs="Arial"/>
          <w:sz w:val="24"/>
          <w:szCs w:val="24"/>
          <w:lang w:val="en-ZA"/>
        </w:rPr>
        <w:t xml:space="preserve"> that based upon </w:t>
      </w:r>
      <w:r w:rsidR="004C1E75" w:rsidRPr="00220BDA">
        <w:rPr>
          <w:rFonts w:ascii="Arial" w:hAnsi="Arial" w:cs="Arial"/>
          <w:sz w:val="24"/>
          <w:szCs w:val="24"/>
          <w:lang w:val="en-ZA"/>
        </w:rPr>
        <w:t>the</w:t>
      </w:r>
      <w:r w:rsidR="001E30BA" w:rsidRPr="00220BDA">
        <w:rPr>
          <w:rFonts w:ascii="Arial" w:hAnsi="Arial" w:cs="Arial"/>
          <w:sz w:val="24"/>
          <w:szCs w:val="24"/>
          <w:lang w:val="en-ZA"/>
        </w:rPr>
        <w:t xml:space="preserve"> wording</w:t>
      </w:r>
      <w:r w:rsidR="004C1E75" w:rsidRPr="00220BDA">
        <w:rPr>
          <w:rFonts w:ascii="Arial" w:hAnsi="Arial" w:cs="Arial"/>
          <w:sz w:val="24"/>
          <w:szCs w:val="24"/>
          <w:lang w:val="en-ZA"/>
        </w:rPr>
        <w:t xml:space="preserve"> of that clause</w:t>
      </w:r>
      <w:r w:rsidR="001E30BA" w:rsidRPr="00220BDA">
        <w:rPr>
          <w:rFonts w:ascii="Arial" w:hAnsi="Arial" w:cs="Arial"/>
          <w:sz w:val="24"/>
          <w:szCs w:val="24"/>
          <w:lang w:val="en-ZA"/>
        </w:rPr>
        <w:t xml:space="preserve">, the applicant only had the right to accelerate payments insofar as any event of default arose in respect of a </w:t>
      </w:r>
      <w:r w:rsidR="009048EB" w:rsidRPr="00220BDA">
        <w:rPr>
          <w:rFonts w:ascii="Arial" w:hAnsi="Arial" w:cs="Arial"/>
          <w:sz w:val="24"/>
          <w:szCs w:val="24"/>
          <w:lang w:val="en-ZA"/>
        </w:rPr>
        <w:t>‘</w:t>
      </w:r>
      <w:r w:rsidR="001E30BA" w:rsidRPr="00220BDA">
        <w:rPr>
          <w:rFonts w:ascii="Arial" w:hAnsi="Arial" w:cs="Arial"/>
          <w:sz w:val="24"/>
          <w:szCs w:val="24"/>
          <w:lang w:val="en-ZA"/>
        </w:rPr>
        <w:t>relevant party</w:t>
      </w:r>
      <w:r w:rsidR="009048EB" w:rsidRPr="00220BDA">
        <w:rPr>
          <w:rFonts w:ascii="Arial" w:hAnsi="Arial" w:cs="Arial"/>
          <w:sz w:val="24"/>
          <w:szCs w:val="24"/>
          <w:lang w:val="en-ZA"/>
        </w:rPr>
        <w:t>’</w:t>
      </w:r>
      <w:r w:rsidR="001E30BA" w:rsidRPr="00220BDA">
        <w:rPr>
          <w:rFonts w:ascii="Arial" w:hAnsi="Arial" w:cs="Arial"/>
          <w:sz w:val="24"/>
          <w:szCs w:val="24"/>
          <w:lang w:val="en-ZA"/>
        </w:rPr>
        <w:t xml:space="preserve">. </w:t>
      </w:r>
    </w:p>
    <w:p w:rsidR="00FC668C" w:rsidRDefault="00FC668C" w:rsidP="00FC668C">
      <w:pPr>
        <w:pStyle w:val="ListParagraph"/>
        <w:tabs>
          <w:tab w:val="left" w:pos="709"/>
          <w:tab w:val="left" w:pos="1418"/>
        </w:tabs>
        <w:spacing w:after="0" w:line="360" w:lineRule="auto"/>
        <w:ind w:left="0"/>
        <w:jc w:val="both"/>
        <w:rPr>
          <w:rFonts w:ascii="Arial" w:hAnsi="Arial" w:cs="Arial"/>
          <w:sz w:val="24"/>
          <w:szCs w:val="24"/>
          <w:lang w:val="en-ZA"/>
        </w:rPr>
      </w:pPr>
    </w:p>
    <w:p w:rsidR="00FC668C"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[21]</w:t>
      </w:r>
      <w:r>
        <w:rPr>
          <w:rFonts w:ascii="Arial" w:hAnsi="Arial" w:cs="Arial"/>
          <w:sz w:val="24"/>
          <w:szCs w:val="24"/>
          <w:lang w:val="en-ZA"/>
        </w:rPr>
        <w:tab/>
      </w:r>
      <w:r w:rsidR="00FC668C" w:rsidRPr="00220BDA">
        <w:rPr>
          <w:rFonts w:ascii="Arial" w:hAnsi="Arial" w:cs="Arial"/>
          <w:sz w:val="24"/>
          <w:szCs w:val="24"/>
          <w:lang w:val="en-ZA"/>
        </w:rPr>
        <w:t xml:space="preserve">At first blush, that argument held some attraction, </w:t>
      </w:r>
      <w:r w:rsidR="00886908" w:rsidRPr="00220BDA">
        <w:rPr>
          <w:rFonts w:ascii="Arial" w:hAnsi="Arial" w:cs="Arial"/>
          <w:sz w:val="24"/>
          <w:szCs w:val="24"/>
          <w:lang w:val="en-ZA"/>
        </w:rPr>
        <w:t xml:space="preserve">as this is what the agreement, on a simple reading thereof, appeared to state. </w:t>
      </w:r>
      <w:r w:rsidR="009048EB" w:rsidRPr="00220BDA">
        <w:rPr>
          <w:rFonts w:ascii="Arial" w:hAnsi="Arial" w:cs="Arial"/>
          <w:sz w:val="24"/>
          <w:szCs w:val="24"/>
          <w:lang w:val="en-ZA"/>
        </w:rPr>
        <w:t>However, t</w:t>
      </w:r>
      <w:r w:rsidR="0040698D" w:rsidRPr="00220BDA">
        <w:rPr>
          <w:rFonts w:ascii="Arial" w:hAnsi="Arial" w:cs="Arial"/>
          <w:sz w:val="24"/>
          <w:szCs w:val="24"/>
          <w:lang w:val="en-ZA"/>
        </w:rPr>
        <w:t xml:space="preserve">o maintain this attraction, it would be necessary to </w:t>
      </w:r>
      <w:r w:rsidR="00FC668C" w:rsidRPr="00220BDA">
        <w:rPr>
          <w:rFonts w:ascii="Arial" w:hAnsi="Arial" w:cs="Arial"/>
          <w:sz w:val="24"/>
          <w:szCs w:val="24"/>
          <w:lang w:val="en-ZA"/>
        </w:rPr>
        <w:t xml:space="preserve">overlook the fact that it was passing strange that the applicant, who drew the agreement, only afforded itself the right to accelerate </w:t>
      </w:r>
      <w:r w:rsidR="0040698D" w:rsidRPr="00220BDA">
        <w:rPr>
          <w:rFonts w:ascii="Arial" w:hAnsi="Arial" w:cs="Arial"/>
          <w:sz w:val="24"/>
          <w:szCs w:val="24"/>
          <w:lang w:val="en-ZA"/>
        </w:rPr>
        <w:t xml:space="preserve">the payment of </w:t>
      </w:r>
      <w:r w:rsidR="00FC668C" w:rsidRPr="00220BDA">
        <w:rPr>
          <w:rFonts w:ascii="Arial" w:hAnsi="Arial" w:cs="Arial"/>
          <w:sz w:val="24"/>
          <w:szCs w:val="24"/>
          <w:lang w:val="en-ZA"/>
        </w:rPr>
        <w:lastRenderedPageBreak/>
        <w:t xml:space="preserve">amounts due to </w:t>
      </w:r>
      <w:r w:rsidR="0040698D" w:rsidRPr="00220BDA">
        <w:rPr>
          <w:rFonts w:ascii="Arial" w:hAnsi="Arial" w:cs="Arial"/>
          <w:sz w:val="24"/>
          <w:szCs w:val="24"/>
          <w:lang w:val="en-ZA"/>
        </w:rPr>
        <w:t xml:space="preserve">it </w:t>
      </w:r>
      <w:r w:rsidR="00FC668C" w:rsidRPr="00220BDA">
        <w:rPr>
          <w:rFonts w:ascii="Arial" w:hAnsi="Arial" w:cs="Arial"/>
          <w:sz w:val="24"/>
          <w:szCs w:val="24"/>
          <w:lang w:val="en-ZA"/>
        </w:rPr>
        <w:t xml:space="preserve">if an event of default occurred </w:t>
      </w:r>
      <w:r w:rsidR="00685B5E" w:rsidRPr="00220BDA">
        <w:rPr>
          <w:rFonts w:ascii="Arial" w:hAnsi="Arial" w:cs="Arial"/>
          <w:sz w:val="24"/>
          <w:szCs w:val="24"/>
          <w:lang w:val="en-ZA"/>
        </w:rPr>
        <w:t xml:space="preserve">in relation </w:t>
      </w:r>
      <w:r w:rsidR="00FC668C" w:rsidRPr="00220BDA">
        <w:rPr>
          <w:rFonts w:ascii="Arial" w:hAnsi="Arial" w:cs="Arial"/>
          <w:sz w:val="24"/>
          <w:szCs w:val="24"/>
          <w:lang w:val="en-ZA"/>
        </w:rPr>
        <w:t xml:space="preserve">to a </w:t>
      </w:r>
      <w:r w:rsidR="009048EB" w:rsidRPr="00220BDA">
        <w:rPr>
          <w:rFonts w:ascii="Arial" w:hAnsi="Arial" w:cs="Arial"/>
          <w:sz w:val="24"/>
          <w:szCs w:val="24"/>
          <w:lang w:val="en-ZA"/>
        </w:rPr>
        <w:t>‘</w:t>
      </w:r>
      <w:r w:rsidR="00FC668C" w:rsidRPr="00220BDA">
        <w:rPr>
          <w:rFonts w:ascii="Arial" w:hAnsi="Arial" w:cs="Arial"/>
          <w:sz w:val="24"/>
          <w:szCs w:val="24"/>
          <w:lang w:val="en-ZA"/>
        </w:rPr>
        <w:t>relevant party</w:t>
      </w:r>
      <w:r w:rsidR="009048EB" w:rsidRPr="00220BDA">
        <w:rPr>
          <w:rFonts w:ascii="Arial" w:hAnsi="Arial" w:cs="Arial"/>
          <w:sz w:val="24"/>
          <w:szCs w:val="24"/>
          <w:lang w:val="en-ZA"/>
        </w:rPr>
        <w:t>’</w:t>
      </w:r>
      <w:r w:rsidR="00FC668C" w:rsidRPr="00220BDA">
        <w:rPr>
          <w:rFonts w:ascii="Arial" w:hAnsi="Arial" w:cs="Arial"/>
          <w:sz w:val="24"/>
          <w:szCs w:val="24"/>
          <w:lang w:val="en-ZA"/>
        </w:rPr>
        <w:t xml:space="preserve"> and not to the respondent</w:t>
      </w:r>
      <w:r w:rsidR="009048EB" w:rsidRPr="00220BDA">
        <w:rPr>
          <w:rFonts w:ascii="Arial" w:hAnsi="Arial" w:cs="Arial"/>
          <w:sz w:val="24"/>
          <w:szCs w:val="24"/>
          <w:lang w:val="en-ZA"/>
        </w:rPr>
        <w:t xml:space="preserve"> itself</w:t>
      </w:r>
      <w:r w:rsidR="00FC668C" w:rsidRPr="00220BDA">
        <w:rPr>
          <w:rFonts w:ascii="Arial" w:hAnsi="Arial" w:cs="Arial"/>
          <w:sz w:val="24"/>
          <w:szCs w:val="24"/>
          <w:lang w:val="en-ZA"/>
        </w:rPr>
        <w:t xml:space="preserve">. </w:t>
      </w:r>
      <w:r w:rsidR="009048EB" w:rsidRPr="00220BDA">
        <w:rPr>
          <w:rFonts w:ascii="Arial" w:hAnsi="Arial" w:cs="Arial"/>
          <w:sz w:val="24"/>
          <w:szCs w:val="24"/>
          <w:lang w:val="en-ZA"/>
        </w:rPr>
        <w:t>Could this, possibly, be so?</w:t>
      </w:r>
    </w:p>
    <w:p w:rsidR="0040698D" w:rsidRDefault="0040698D" w:rsidP="002D4E07">
      <w:pPr>
        <w:spacing w:after="0" w:line="360" w:lineRule="auto"/>
        <w:jc w:val="both"/>
        <w:rPr>
          <w:rFonts w:ascii="Arial" w:hAnsi="Arial" w:cs="Arial"/>
          <w:sz w:val="24"/>
          <w:szCs w:val="24"/>
          <w:lang w:val="en-ZA"/>
        </w:rPr>
      </w:pPr>
    </w:p>
    <w:p w:rsidR="0040698D" w:rsidRPr="00220BDA" w:rsidRDefault="00220BDA" w:rsidP="00220BDA">
      <w:pPr>
        <w:tabs>
          <w:tab w:val="left" w:pos="709"/>
          <w:tab w:val="left" w:pos="1418"/>
        </w:tabs>
        <w:spacing w:after="0" w:line="360" w:lineRule="auto"/>
        <w:jc w:val="both"/>
        <w:rPr>
          <w:rFonts w:ascii="Arial" w:hAnsi="Arial" w:cs="Arial"/>
          <w:sz w:val="24"/>
          <w:szCs w:val="24"/>
          <w:lang w:val="en-ZA"/>
        </w:rPr>
      </w:pPr>
      <w:r w:rsidRPr="0045288F">
        <w:rPr>
          <w:rFonts w:ascii="Arial" w:hAnsi="Arial" w:cs="Arial"/>
          <w:sz w:val="24"/>
          <w:szCs w:val="24"/>
          <w:lang w:val="en-ZA"/>
        </w:rPr>
        <w:t>[22]</w:t>
      </w:r>
      <w:r w:rsidRPr="0045288F">
        <w:rPr>
          <w:rFonts w:ascii="Arial" w:hAnsi="Arial" w:cs="Arial"/>
          <w:sz w:val="24"/>
          <w:szCs w:val="24"/>
          <w:lang w:val="en-ZA"/>
        </w:rPr>
        <w:tab/>
      </w:r>
      <w:r w:rsidR="0040698D" w:rsidRPr="00220BDA">
        <w:rPr>
          <w:rFonts w:ascii="Arial" w:hAnsi="Arial" w:cs="Arial"/>
          <w:sz w:val="24"/>
          <w:szCs w:val="24"/>
          <w:lang w:val="en-ZA"/>
        </w:rPr>
        <w:t xml:space="preserve">The answer is to be found in the definition of the term ‘relevant party’. On the first page of the agreement, </w:t>
      </w:r>
      <w:r w:rsidR="009048EB" w:rsidRPr="00220BDA">
        <w:rPr>
          <w:rFonts w:ascii="Arial" w:hAnsi="Arial" w:cs="Arial"/>
          <w:sz w:val="24"/>
          <w:szCs w:val="24"/>
          <w:lang w:val="en-ZA"/>
        </w:rPr>
        <w:t>it is defined as follows:</w:t>
      </w:r>
    </w:p>
    <w:p w:rsidR="0040698D" w:rsidRDefault="0040698D" w:rsidP="0040698D">
      <w:pPr>
        <w:spacing w:after="0" w:line="360" w:lineRule="auto"/>
        <w:jc w:val="both"/>
        <w:rPr>
          <w:rFonts w:ascii="Arial" w:hAnsi="Arial" w:cs="Arial"/>
          <w:lang w:val="en-ZA"/>
        </w:rPr>
      </w:pPr>
      <w:r w:rsidRPr="0045288F">
        <w:rPr>
          <w:rFonts w:ascii="Arial" w:hAnsi="Arial" w:cs="Arial"/>
          <w:lang w:val="en-ZA"/>
        </w:rPr>
        <w:t>‘The Borrower and The Guarantor(s) and their Subsidiaries and any other person who has given a guarantee or a Security Interest in relation to the Facility.’</w:t>
      </w:r>
    </w:p>
    <w:p w:rsidR="00C116B2" w:rsidRDefault="009048EB" w:rsidP="009048EB">
      <w:pPr>
        <w:spacing w:after="0" w:line="360" w:lineRule="auto"/>
        <w:jc w:val="both"/>
        <w:rPr>
          <w:rFonts w:ascii="Arial" w:hAnsi="Arial" w:cs="Arial"/>
          <w:sz w:val="24"/>
          <w:szCs w:val="24"/>
          <w:lang w:val="en-ZA"/>
        </w:rPr>
      </w:pPr>
      <w:r>
        <w:rPr>
          <w:rFonts w:ascii="Arial" w:hAnsi="Arial" w:cs="Arial"/>
          <w:sz w:val="24"/>
          <w:szCs w:val="24"/>
          <w:lang w:val="en-ZA"/>
        </w:rPr>
        <w:t>The agreement defines the respondent as</w:t>
      </w:r>
      <w:r w:rsidR="0040698D">
        <w:rPr>
          <w:rFonts w:ascii="Arial" w:hAnsi="Arial" w:cs="Arial"/>
          <w:sz w:val="24"/>
          <w:szCs w:val="24"/>
          <w:lang w:val="en-ZA"/>
        </w:rPr>
        <w:t xml:space="preserve"> ‘the Borrower’</w:t>
      </w:r>
      <w:r>
        <w:rPr>
          <w:rFonts w:ascii="Arial" w:hAnsi="Arial" w:cs="Arial"/>
          <w:sz w:val="24"/>
          <w:szCs w:val="24"/>
          <w:lang w:val="en-ZA"/>
        </w:rPr>
        <w:t>.</w:t>
      </w:r>
      <w:r w:rsidR="0040698D">
        <w:rPr>
          <w:rFonts w:ascii="Arial" w:hAnsi="Arial" w:cs="Arial"/>
          <w:sz w:val="24"/>
          <w:szCs w:val="24"/>
          <w:lang w:val="en-ZA"/>
        </w:rPr>
        <w:t xml:space="preserve"> </w:t>
      </w:r>
      <w:r>
        <w:rPr>
          <w:rFonts w:ascii="Arial" w:hAnsi="Arial" w:cs="Arial"/>
          <w:sz w:val="24"/>
          <w:szCs w:val="24"/>
          <w:lang w:val="en-ZA"/>
        </w:rPr>
        <w:t xml:space="preserve">The respondent is thus </w:t>
      </w:r>
      <w:r w:rsidR="004C1E75">
        <w:rPr>
          <w:rFonts w:ascii="Arial" w:hAnsi="Arial" w:cs="Arial"/>
          <w:sz w:val="24"/>
          <w:szCs w:val="24"/>
          <w:lang w:val="en-ZA"/>
        </w:rPr>
        <w:t xml:space="preserve">both </w:t>
      </w:r>
      <w:r>
        <w:rPr>
          <w:rFonts w:ascii="Arial" w:hAnsi="Arial" w:cs="Arial"/>
          <w:sz w:val="24"/>
          <w:szCs w:val="24"/>
          <w:lang w:val="en-ZA"/>
        </w:rPr>
        <w:t xml:space="preserve">the borrower and a relevant party. </w:t>
      </w:r>
      <w:r w:rsidR="0040698D" w:rsidRPr="0040698D">
        <w:rPr>
          <w:rFonts w:ascii="Arial" w:hAnsi="Arial" w:cs="Arial"/>
          <w:sz w:val="24"/>
          <w:szCs w:val="24"/>
          <w:lang w:val="en-ZA"/>
        </w:rPr>
        <w:t xml:space="preserve">The </w:t>
      </w:r>
      <w:r w:rsidR="0040698D">
        <w:rPr>
          <w:rFonts w:ascii="Arial" w:hAnsi="Arial" w:cs="Arial"/>
          <w:sz w:val="24"/>
          <w:szCs w:val="24"/>
          <w:lang w:val="en-ZA"/>
        </w:rPr>
        <w:t xml:space="preserve">right to take </w:t>
      </w:r>
      <w:r w:rsidR="005D7567">
        <w:rPr>
          <w:rFonts w:ascii="Arial" w:hAnsi="Arial" w:cs="Arial"/>
          <w:sz w:val="24"/>
          <w:szCs w:val="24"/>
          <w:lang w:val="en-ZA"/>
        </w:rPr>
        <w:t xml:space="preserve">any of the </w:t>
      </w:r>
      <w:r w:rsidR="0040698D">
        <w:rPr>
          <w:rFonts w:ascii="Arial" w:hAnsi="Arial" w:cs="Arial"/>
          <w:sz w:val="24"/>
          <w:szCs w:val="24"/>
          <w:lang w:val="en-ZA"/>
        </w:rPr>
        <w:t>action</w:t>
      </w:r>
      <w:r w:rsidR="005D7567">
        <w:rPr>
          <w:rFonts w:ascii="Arial" w:hAnsi="Arial" w:cs="Arial"/>
          <w:sz w:val="24"/>
          <w:szCs w:val="24"/>
          <w:lang w:val="en-ZA"/>
        </w:rPr>
        <w:t>s</w:t>
      </w:r>
      <w:r w:rsidR="0040698D">
        <w:rPr>
          <w:rFonts w:ascii="Arial" w:hAnsi="Arial" w:cs="Arial"/>
          <w:sz w:val="24"/>
          <w:szCs w:val="24"/>
          <w:lang w:val="en-ZA"/>
        </w:rPr>
        <w:t xml:space="preserve"> mentioned in clause 22.15 </w:t>
      </w:r>
      <w:r>
        <w:rPr>
          <w:rFonts w:ascii="Arial" w:hAnsi="Arial" w:cs="Arial"/>
          <w:sz w:val="24"/>
          <w:szCs w:val="24"/>
          <w:lang w:val="en-ZA"/>
        </w:rPr>
        <w:t xml:space="preserve">of the agreement accordingly </w:t>
      </w:r>
      <w:r w:rsidR="00867BC6">
        <w:rPr>
          <w:rFonts w:ascii="Arial" w:hAnsi="Arial" w:cs="Arial"/>
          <w:sz w:val="24"/>
          <w:szCs w:val="24"/>
          <w:lang w:val="en-ZA"/>
        </w:rPr>
        <w:t xml:space="preserve">applies </w:t>
      </w:r>
      <w:r w:rsidR="0040698D">
        <w:rPr>
          <w:rFonts w:ascii="Arial" w:hAnsi="Arial" w:cs="Arial"/>
          <w:sz w:val="24"/>
          <w:szCs w:val="24"/>
          <w:lang w:val="en-ZA"/>
        </w:rPr>
        <w:t xml:space="preserve">to the respondent as well. The applicant thus did have the right to accelerate </w:t>
      </w:r>
      <w:r>
        <w:rPr>
          <w:rFonts w:ascii="Arial" w:hAnsi="Arial" w:cs="Arial"/>
          <w:sz w:val="24"/>
          <w:szCs w:val="24"/>
          <w:lang w:val="en-ZA"/>
        </w:rPr>
        <w:t xml:space="preserve">the respondent’s </w:t>
      </w:r>
      <w:r w:rsidR="0040698D">
        <w:rPr>
          <w:rFonts w:ascii="Arial" w:hAnsi="Arial" w:cs="Arial"/>
          <w:sz w:val="24"/>
          <w:szCs w:val="24"/>
          <w:lang w:val="en-ZA"/>
        </w:rPr>
        <w:t xml:space="preserve">payments. </w:t>
      </w:r>
      <w:r w:rsidR="001A5697">
        <w:rPr>
          <w:rFonts w:ascii="Arial" w:hAnsi="Arial" w:cs="Arial"/>
          <w:sz w:val="24"/>
          <w:szCs w:val="24"/>
          <w:lang w:val="en-ZA"/>
        </w:rPr>
        <w:t xml:space="preserve">The second ground of defence must </w:t>
      </w:r>
      <w:r w:rsidR="003C5865">
        <w:rPr>
          <w:rFonts w:ascii="Arial" w:hAnsi="Arial" w:cs="Arial"/>
          <w:sz w:val="24"/>
          <w:szCs w:val="24"/>
          <w:lang w:val="en-ZA"/>
        </w:rPr>
        <w:t>also</w:t>
      </w:r>
      <w:r w:rsidR="001A5697">
        <w:rPr>
          <w:rFonts w:ascii="Arial" w:hAnsi="Arial" w:cs="Arial"/>
          <w:sz w:val="24"/>
          <w:szCs w:val="24"/>
          <w:lang w:val="en-ZA"/>
        </w:rPr>
        <w:t xml:space="preserve"> fail.</w:t>
      </w:r>
    </w:p>
    <w:p w:rsidR="001A5697" w:rsidRDefault="001A5697" w:rsidP="009048EB">
      <w:pPr>
        <w:pStyle w:val="ListParagraph"/>
        <w:tabs>
          <w:tab w:val="left" w:pos="709"/>
          <w:tab w:val="left" w:pos="1418"/>
        </w:tabs>
        <w:spacing w:after="0" w:line="360" w:lineRule="auto"/>
        <w:ind w:left="0"/>
        <w:jc w:val="both"/>
        <w:rPr>
          <w:rFonts w:ascii="Arial" w:hAnsi="Arial" w:cs="Arial"/>
          <w:sz w:val="24"/>
          <w:szCs w:val="24"/>
          <w:lang w:val="en-ZA"/>
        </w:rPr>
      </w:pPr>
    </w:p>
    <w:p w:rsidR="002D56AC"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[23]</w:t>
      </w:r>
      <w:r>
        <w:rPr>
          <w:rFonts w:ascii="Arial" w:hAnsi="Arial" w:cs="Arial"/>
          <w:sz w:val="24"/>
          <w:szCs w:val="24"/>
          <w:lang w:val="en-ZA"/>
        </w:rPr>
        <w:tab/>
      </w:r>
      <w:r w:rsidR="001A5697" w:rsidRPr="00220BDA">
        <w:rPr>
          <w:rFonts w:ascii="Arial" w:hAnsi="Arial" w:cs="Arial"/>
          <w:sz w:val="24"/>
          <w:szCs w:val="24"/>
          <w:lang w:val="en-ZA"/>
        </w:rPr>
        <w:t xml:space="preserve">The third and final ground of defence </w:t>
      </w:r>
      <w:r w:rsidR="00231404" w:rsidRPr="00220BDA">
        <w:rPr>
          <w:rFonts w:ascii="Arial" w:hAnsi="Arial" w:cs="Arial"/>
          <w:sz w:val="24"/>
          <w:szCs w:val="24"/>
          <w:lang w:val="en-ZA"/>
        </w:rPr>
        <w:t>hinges on an allegation that the statutory demand relied upon by the applicant</w:t>
      </w:r>
      <w:r w:rsidR="003C5865" w:rsidRPr="00220BDA">
        <w:rPr>
          <w:rFonts w:ascii="Arial" w:hAnsi="Arial" w:cs="Arial"/>
          <w:sz w:val="24"/>
          <w:szCs w:val="24"/>
          <w:lang w:val="en-ZA"/>
        </w:rPr>
        <w:t xml:space="preserve">, namely the service of the </w:t>
      </w:r>
      <w:r w:rsidR="004C1E75" w:rsidRPr="00220BDA">
        <w:rPr>
          <w:rFonts w:ascii="Arial" w:hAnsi="Arial" w:cs="Arial"/>
          <w:sz w:val="24"/>
          <w:szCs w:val="24"/>
          <w:lang w:val="en-ZA"/>
        </w:rPr>
        <w:t>d</w:t>
      </w:r>
      <w:r w:rsidR="00173AC5" w:rsidRPr="00220BDA">
        <w:rPr>
          <w:rFonts w:ascii="Arial" w:hAnsi="Arial" w:cs="Arial"/>
          <w:sz w:val="24"/>
          <w:szCs w:val="24"/>
          <w:lang w:val="en-ZA"/>
        </w:rPr>
        <w:t>emand</w:t>
      </w:r>
      <w:r w:rsidR="003C5865" w:rsidRPr="00220BDA">
        <w:rPr>
          <w:rFonts w:ascii="Arial" w:hAnsi="Arial" w:cs="Arial"/>
          <w:sz w:val="24"/>
          <w:szCs w:val="24"/>
          <w:lang w:val="en-ZA"/>
        </w:rPr>
        <w:t>,</w:t>
      </w:r>
      <w:r w:rsidR="00231404" w:rsidRPr="00220BDA">
        <w:rPr>
          <w:rFonts w:ascii="Arial" w:hAnsi="Arial" w:cs="Arial"/>
          <w:sz w:val="24"/>
          <w:szCs w:val="24"/>
          <w:lang w:val="en-ZA"/>
        </w:rPr>
        <w:t xml:space="preserve"> is defective and does not permit the applicant to </w:t>
      </w:r>
      <w:r w:rsidR="00777E3D" w:rsidRPr="00220BDA">
        <w:rPr>
          <w:rFonts w:ascii="Arial" w:hAnsi="Arial" w:cs="Arial"/>
          <w:sz w:val="24"/>
          <w:szCs w:val="24"/>
          <w:lang w:val="en-ZA"/>
        </w:rPr>
        <w:t>rely upon</w:t>
      </w:r>
      <w:r w:rsidR="00231404" w:rsidRPr="00220BDA">
        <w:rPr>
          <w:rFonts w:ascii="Arial" w:hAnsi="Arial" w:cs="Arial"/>
          <w:sz w:val="24"/>
          <w:szCs w:val="24"/>
          <w:lang w:val="en-ZA"/>
        </w:rPr>
        <w:t xml:space="preserve"> </w:t>
      </w:r>
      <w:r w:rsidR="00173AC5" w:rsidRPr="00220BDA">
        <w:rPr>
          <w:rFonts w:ascii="Arial" w:hAnsi="Arial" w:cs="Arial"/>
          <w:sz w:val="24"/>
          <w:szCs w:val="24"/>
          <w:lang w:val="en-ZA"/>
        </w:rPr>
        <w:t>the</w:t>
      </w:r>
      <w:r w:rsidR="00231404" w:rsidRPr="00220BDA">
        <w:rPr>
          <w:rFonts w:ascii="Arial" w:hAnsi="Arial" w:cs="Arial"/>
          <w:sz w:val="24"/>
          <w:szCs w:val="24"/>
          <w:lang w:val="en-ZA"/>
        </w:rPr>
        <w:t xml:space="preserve"> deemed ground of insolvency</w:t>
      </w:r>
      <w:r w:rsidR="00173AC5" w:rsidRPr="00220BDA">
        <w:rPr>
          <w:rFonts w:ascii="Arial" w:hAnsi="Arial" w:cs="Arial"/>
          <w:sz w:val="24"/>
          <w:szCs w:val="24"/>
          <w:lang w:val="en-ZA"/>
        </w:rPr>
        <w:t xml:space="preserve"> found in section 345(1)</w:t>
      </w:r>
      <w:r w:rsidR="00173AC5" w:rsidRPr="00220BDA">
        <w:rPr>
          <w:rFonts w:ascii="Arial" w:hAnsi="Arial" w:cs="Arial"/>
          <w:i/>
          <w:sz w:val="24"/>
          <w:szCs w:val="24"/>
          <w:lang w:val="en-ZA"/>
        </w:rPr>
        <w:t>(a)</w:t>
      </w:r>
      <w:r w:rsidR="00173AC5" w:rsidRPr="00220BDA">
        <w:rPr>
          <w:rFonts w:ascii="Arial" w:hAnsi="Arial" w:cs="Arial"/>
          <w:sz w:val="24"/>
          <w:szCs w:val="24"/>
          <w:lang w:val="en-ZA"/>
        </w:rPr>
        <w:t xml:space="preserve"> of the old Act</w:t>
      </w:r>
      <w:r w:rsidR="00231404" w:rsidRPr="00220BDA">
        <w:rPr>
          <w:rFonts w:ascii="Arial" w:hAnsi="Arial" w:cs="Arial"/>
          <w:sz w:val="24"/>
          <w:szCs w:val="24"/>
          <w:lang w:val="en-ZA"/>
        </w:rPr>
        <w:t xml:space="preserve">. The basis for this is </w:t>
      </w:r>
      <w:r w:rsidR="00777E3D" w:rsidRPr="00220BDA">
        <w:rPr>
          <w:rFonts w:ascii="Arial" w:hAnsi="Arial" w:cs="Arial"/>
          <w:sz w:val="24"/>
          <w:szCs w:val="24"/>
          <w:lang w:val="en-ZA"/>
        </w:rPr>
        <w:t xml:space="preserve">that </w:t>
      </w:r>
      <w:r w:rsidR="00231404" w:rsidRPr="00220BDA">
        <w:rPr>
          <w:rFonts w:ascii="Arial" w:hAnsi="Arial" w:cs="Arial"/>
          <w:sz w:val="24"/>
          <w:szCs w:val="24"/>
          <w:lang w:val="en-ZA"/>
        </w:rPr>
        <w:t xml:space="preserve">despite the </w:t>
      </w:r>
      <w:r w:rsidR="006D1266" w:rsidRPr="00220BDA">
        <w:rPr>
          <w:rFonts w:ascii="Arial" w:hAnsi="Arial" w:cs="Arial"/>
          <w:sz w:val="24"/>
          <w:szCs w:val="24"/>
          <w:lang w:val="en-ZA"/>
        </w:rPr>
        <w:t xml:space="preserve">explicit </w:t>
      </w:r>
      <w:r w:rsidR="00231404" w:rsidRPr="00220BDA">
        <w:rPr>
          <w:rFonts w:ascii="Arial" w:hAnsi="Arial" w:cs="Arial"/>
          <w:sz w:val="24"/>
          <w:szCs w:val="24"/>
          <w:lang w:val="en-ZA"/>
        </w:rPr>
        <w:t xml:space="preserve">content of the </w:t>
      </w:r>
      <w:r w:rsidR="00173AC5" w:rsidRPr="00220BDA">
        <w:rPr>
          <w:rFonts w:ascii="Arial" w:hAnsi="Arial" w:cs="Arial"/>
          <w:sz w:val="24"/>
          <w:szCs w:val="24"/>
          <w:lang w:val="en-ZA"/>
        </w:rPr>
        <w:t>demand</w:t>
      </w:r>
      <w:r w:rsidR="00231404" w:rsidRPr="00220BDA">
        <w:rPr>
          <w:rFonts w:ascii="Arial" w:hAnsi="Arial" w:cs="Arial"/>
          <w:sz w:val="24"/>
          <w:szCs w:val="24"/>
          <w:lang w:val="en-ZA"/>
        </w:rPr>
        <w:t xml:space="preserve">, the deponent to the founding affidavit asserted </w:t>
      </w:r>
      <w:r w:rsidR="003C5865" w:rsidRPr="00220BDA">
        <w:rPr>
          <w:rFonts w:ascii="Arial" w:hAnsi="Arial" w:cs="Arial"/>
          <w:sz w:val="24"/>
          <w:szCs w:val="24"/>
          <w:lang w:val="en-ZA"/>
        </w:rPr>
        <w:t xml:space="preserve">in that affidavit </w:t>
      </w:r>
      <w:r w:rsidR="00231404" w:rsidRPr="00220BDA">
        <w:rPr>
          <w:rFonts w:ascii="Arial" w:hAnsi="Arial" w:cs="Arial"/>
          <w:sz w:val="24"/>
          <w:szCs w:val="24"/>
          <w:lang w:val="en-ZA"/>
        </w:rPr>
        <w:t xml:space="preserve">that the </w:t>
      </w:r>
      <w:r w:rsidR="00173AC5" w:rsidRPr="00220BDA">
        <w:rPr>
          <w:rFonts w:ascii="Arial" w:hAnsi="Arial" w:cs="Arial"/>
          <w:sz w:val="24"/>
          <w:szCs w:val="24"/>
          <w:lang w:val="en-ZA"/>
        </w:rPr>
        <w:t>demand</w:t>
      </w:r>
      <w:r w:rsidR="00231404" w:rsidRPr="00220BDA">
        <w:rPr>
          <w:rFonts w:ascii="Arial" w:hAnsi="Arial" w:cs="Arial"/>
          <w:sz w:val="24"/>
          <w:szCs w:val="24"/>
          <w:lang w:val="en-ZA"/>
        </w:rPr>
        <w:t xml:space="preserve"> had been served in terms of section 69 of the Close Corporations Act 69 of 1984</w:t>
      </w:r>
      <w:r w:rsidR="003C5865" w:rsidRPr="00220BDA">
        <w:rPr>
          <w:rFonts w:ascii="Arial" w:hAnsi="Arial" w:cs="Arial"/>
          <w:sz w:val="24"/>
          <w:szCs w:val="24"/>
          <w:lang w:val="en-ZA"/>
        </w:rPr>
        <w:t xml:space="preserve"> </w:t>
      </w:r>
      <w:r w:rsidR="004C1E75" w:rsidRPr="00220BDA">
        <w:rPr>
          <w:rFonts w:ascii="Arial" w:hAnsi="Arial" w:cs="Arial"/>
          <w:sz w:val="24"/>
          <w:szCs w:val="24"/>
          <w:lang w:val="en-ZA"/>
        </w:rPr>
        <w:t xml:space="preserve">(the Close Corporations Act) </w:t>
      </w:r>
      <w:r w:rsidR="003C5865" w:rsidRPr="00220BDA">
        <w:rPr>
          <w:rFonts w:ascii="Arial" w:hAnsi="Arial" w:cs="Arial"/>
          <w:sz w:val="24"/>
          <w:szCs w:val="24"/>
          <w:lang w:val="en-ZA"/>
        </w:rPr>
        <w:t>and not in terms of section 345 of the old Act</w:t>
      </w:r>
      <w:r w:rsidR="00231404" w:rsidRPr="00220BDA">
        <w:rPr>
          <w:rFonts w:ascii="Arial" w:hAnsi="Arial" w:cs="Arial"/>
          <w:sz w:val="24"/>
          <w:szCs w:val="24"/>
          <w:lang w:val="en-ZA"/>
        </w:rPr>
        <w:t xml:space="preserve">. </w:t>
      </w:r>
      <w:r w:rsidR="00173AC5" w:rsidRPr="00220BDA">
        <w:rPr>
          <w:rFonts w:ascii="Arial" w:hAnsi="Arial" w:cs="Arial"/>
          <w:sz w:val="24"/>
          <w:szCs w:val="24"/>
          <w:lang w:val="en-ZA"/>
        </w:rPr>
        <w:t xml:space="preserve">In its replying affidavit, the applicant acknowledged that it had referred to the incorrect </w:t>
      </w:r>
      <w:r w:rsidR="00A6503C" w:rsidRPr="00220BDA">
        <w:rPr>
          <w:rFonts w:ascii="Arial" w:hAnsi="Arial" w:cs="Arial"/>
          <w:sz w:val="24"/>
          <w:szCs w:val="24"/>
          <w:lang w:val="en-ZA"/>
        </w:rPr>
        <w:t xml:space="preserve">Act </w:t>
      </w:r>
      <w:r w:rsidR="00173AC5" w:rsidRPr="00220BDA">
        <w:rPr>
          <w:rFonts w:ascii="Arial" w:hAnsi="Arial" w:cs="Arial"/>
          <w:sz w:val="24"/>
          <w:szCs w:val="24"/>
          <w:lang w:val="en-ZA"/>
        </w:rPr>
        <w:t>in its founding affidavit. The respondent</w:t>
      </w:r>
      <w:r w:rsidR="004C1E75" w:rsidRPr="00220BDA">
        <w:rPr>
          <w:rFonts w:ascii="Arial" w:hAnsi="Arial" w:cs="Arial"/>
          <w:sz w:val="24"/>
          <w:szCs w:val="24"/>
          <w:lang w:val="en-ZA"/>
        </w:rPr>
        <w:t>,</w:t>
      </w:r>
      <w:r w:rsidR="00173AC5" w:rsidRPr="00220BDA">
        <w:rPr>
          <w:rFonts w:ascii="Arial" w:hAnsi="Arial" w:cs="Arial"/>
          <w:sz w:val="24"/>
          <w:szCs w:val="24"/>
          <w:lang w:val="en-ZA"/>
        </w:rPr>
        <w:t xml:space="preserve"> nonetheless</w:t>
      </w:r>
      <w:r w:rsidR="004C1E75" w:rsidRPr="00220BDA">
        <w:rPr>
          <w:rFonts w:ascii="Arial" w:hAnsi="Arial" w:cs="Arial"/>
          <w:sz w:val="24"/>
          <w:szCs w:val="24"/>
          <w:lang w:val="en-ZA"/>
        </w:rPr>
        <w:t>,</w:t>
      </w:r>
      <w:r w:rsidR="00173AC5" w:rsidRPr="00220BDA">
        <w:rPr>
          <w:rFonts w:ascii="Arial" w:hAnsi="Arial" w:cs="Arial"/>
          <w:sz w:val="24"/>
          <w:szCs w:val="24"/>
          <w:lang w:val="en-ZA"/>
        </w:rPr>
        <w:t xml:space="preserve"> argued that the applicant had not made out a case for the relief that it claimed in its founding affidavit</w:t>
      </w:r>
      <w:r w:rsidR="004C1E75" w:rsidRPr="00220BDA">
        <w:rPr>
          <w:rFonts w:ascii="Arial" w:hAnsi="Arial" w:cs="Arial"/>
          <w:sz w:val="24"/>
          <w:szCs w:val="24"/>
          <w:lang w:val="en-ZA"/>
        </w:rPr>
        <w:t xml:space="preserve"> by virtue of the incorrect reference to the applicable </w:t>
      </w:r>
      <w:r w:rsidR="00A6503C" w:rsidRPr="00220BDA">
        <w:rPr>
          <w:rFonts w:ascii="Arial" w:hAnsi="Arial" w:cs="Arial"/>
          <w:sz w:val="24"/>
          <w:szCs w:val="24"/>
          <w:lang w:val="en-ZA"/>
        </w:rPr>
        <w:t>Act</w:t>
      </w:r>
      <w:r w:rsidR="00173AC5" w:rsidRPr="00220BDA">
        <w:rPr>
          <w:rFonts w:ascii="Arial" w:hAnsi="Arial" w:cs="Arial"/>
          <w:sz w:val="24"/>
          <w:szCs w:val="24"/>
          <w:lang w:val="en-ZA"/>
        </w:rPr>
        <w:t>.</w:t>
      </w:r>
    </w:p>
    <w:p w:rsidR="002D56AC" w:rsidRPr="002D56AC" w:rsidRDefault="002D56AC" w:rsidP="009048EB">
      <w:pPr>
        <w:pStyle w:val="ListParagraph"/>
        <w:spacing w:line="360" w:lineRule="auto"/>
        <w:rPr>
          <w:rFonts w:ascii="Arial" w:hAnsi="Arial" w:cs="Arial"/>
          <w:sz w:val="24"/>
          <w:szCs w:val="24"/>
          <w:lang w:val="en-ZA"/>
        </w:rPr>
      </w:pPr>
    </w:p>
    <w:p w:rsidR="001A5697"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[24]</w:t>
      </w:r>
      <w:r>
        <w:rPr>
          <w:rFonts w:ascii="Arial" w:hAnsi="Arial" w:cs="Arial"/>
          <w:sz w:val="24"/>
          <w:szCs w:val="24"/>
          <w:lang w:val="en-ZA"/>
        </w:rPr>
        <w:tab/>
      </w:r>
      <w:r w:rsidR="003C5865" w:rsidRPr="00220BDA">
        <w:rPr>
          <w:rFonts w:ascii="Arial" w:hAnsi="Arial" w:cs="Arial"/>
          <w:sz w:val="24"/>
          <w:szCs w:val="24"/>
          <w:lang w:val="en-ZA"/>
        </w:rPr>
        <w:t>The</w:t>
      </w:r>
      <w:r w:rsidR="00231404" w:rsidRPr="00220BDA">
        <w:rPr>
          <w:rFonts w:ascii="Arial" w:hAnsi="Arial" w:cs="Arial"/>
          <w:sz w:val="24"/>
          <w:szCs w:val="24"/>
          <w:lang w:val="en-ZA"/>
        </w:rPr>
        <w:t xml:space="preserve"> respondent is </w:t>
      </w:r>
      <w:r w:rsidR="007133DB" w:rsidRPr="00220BDA">
        <w:rPr>
          <w:rFonts w:ascii="Arial" w:hAnsi="Arial" w:cs="Arial"/>
          <w:sz w:val="24"/>
          <w:szCs w:val="24"/>
          <w:lang w:val="en-ZA"/>
        </w:rPr>
        <w:t xml:space="preserve">plainly </w:t>
      </w:r>
      <w:r w:rsidR="00231404" w:rsidRPr="00220BDA">
        <w:rPr>
          <w:rFonts w:ascii="Arial" w:hAnsi="Arial" w:cs="Arial"/>
          <w:sz w:val="24"/>
          <w:szCs w:val="24"/>
          <w:lang w:val="en-ZA"/>
        </w:rPr>
        <w:t xml:space="preserve">a private company and not a close corporation. </w:t>
      </w:r>
      <w:r w:rsidR="007133DB" w:rsidRPr="00220BDA">
        <w:rPr>
          <w:rFonts w:ascii="Arial" w:hAnsi="Arial" w:cs="Arial"/>
          <w:sz w:val="24"/>
          <w:szCs w:val="24"/>
          <w:lang w:val="en-ZA"/>
        </w:rPr>
        <w:t>T</w:t>
      </w:r>
      <w:r w:rsidR="00231404" w:rsidRPr="00220BDA">
        <w:rPr>
          <w:rFonts w:ascii="Arial" w:hAnsi="Arial" w:cs="Arial"/>
          <w:sz w:val="24"/>
          <w:szCs w:val="24"/>
          <w:lang w:val="en-ZA"/>
        </w:rPr>
        <w:t xml:space="preserve">he </w:t>
      </w:r>
      <w:r w:rsidR="00173AC5" w:rsidRPr="00220BDA">
        <w:rPr>
          <w:rFonts w:ascii="Arial" w:hAnsi="Arial" w:cs="Arial"/>
          <w:sz w:val="24"/>
          <w:szCs w:val="24"/>
          <w:lang w:val="en-ZA"/>
        </w:rPr>
        <w:t>demand</w:t>
      </w:r>
      <w:r w:rsidR="00231404" w:rsidRPr="00220BDA">
        <w:rPr>
          <w:rFonts w:ascii="Arial" w:hAnsi="Arial" w:cs="Arial"/>
          <w:sz w:val="24"/>
          <w:szCs w:val="24"/>
          <w:lang w:val="en-ZA"/>
        </w:rPr>
        <w:t xml:space="preserve"> itself, as previously set out in this judgment, only makes reference to section 345(1)</w:t>
      </w:r>
      <w:r w:rsidR="00231404" w:rsidRPr="00220BDA">
        <w:rPr>
          <w:rFonts w:ascii="Arial" w:hAnsi="Arial" w:cs="Arial"/>
          <w:i/>
          <w:sz w:val="24"/>
          <w:szCs w:val="24"/>
          <w:lang w:val="en-ZA"/>
        </w:rPr>
        <w:t xml:space="preserve">(a) </w:t>
      </w:r>
      <w:r w:rsidR="00231404" w:rsidRPr="00220BDA">
        <w:rPr>
          <w:rFonts w:ascii="Arial" w:hAnsi="Arial" w:cs="Arial"/>
          <w:sz w:val="24"/>
          <w:szCs w:val="24"/>
          <w:lang w:val="en-ZA"/>
        </w:rPr>
        <w:t xml:space="preserve">of the old Act. </w:t>
      </w:r>
      <w:r w:rsidR="00777E3D" w:rsidRPr="00220BDA">
        <w:rPr>
          <w:rFonts w:ascii="Arial" w:hAnsi="Arial" w:cs="Arial"/>
          <w:sz w:val="24"/>
          <w:szCs w:val="24"/>
          <w:lang w:val="en-ZA"/>
        </w:rPr>
        <w:t>There is no reference whatsoever to the Close Corporations Act</w:t>
      </w:r>
      <w:r w:rsidR="004C1E75" w:rsidRPr="00220BDA">
        <w:rPr>
          <w:rFonts w:ascii="Arial" w:hAnsi="Arial" w:cs="Arial"/>
          <w:sz w:val="24"/>
          <w:szCs w:val="24"/>
          <w:lang w:val="en-ZA"/>
        </w:rPr>
        <w:t xml:space="preserve"> in the demand</w:t>
      </w:r>
      <w:r w:rsidR="00777E3D" w:rsidRPr="00220BDA">
        <w:rPr>
          <w:rFonts w:ascii="Arial" w:hAnsi="Arial" w:cs="Arial"/>
          <w:sz w:val="24"/>
          <w:szCs w:val="24"/>
          <w:lang w:val="en-ZA"/>
        </w:rPr>
        <w:t xml:space="preserve">. </w:t>
      </w:r>
      <w:r w:rsidR="00231404" w:rsidRPr="00220BDA">
        <w:rPr>
          <w:rFonts w:ascii="Arial" w:hAnsi="Arial" w:cs="Arial"/>
          <w:sz w:val="24"/>
          <w:szCs w:val="24"/>
          <w:lang w:val="en-ZA"/>
        </w:rPr>
        <w:t xml:space="preserve">In </w:t>
      </w:r>
      <w:r w:rsidR="00173AC5" w:rsidRPr="00220BDA">
        <w:rPr>
          <w:rFonts w:ascii="Arial" w:hAnsi="Arial" w:cs="Arial"/>
          <w:sz w:val="24"/>
          <w:szCs w:val="24"/>
          <w:lang w:val="en-ZA"/>
        </w:rPr>
        <w:t>substance, the demand</w:t>
      </w:r>
      <w:r w:rsidR="00777E3D" w:rsidRPr="00220BDA">
        <w:rPr>
          <w:rFonts w:ascii="Arial" w:hAnsi="Arial" w:cs="Arial"/>
          <w:sz w:val="24"/>
          <w:szCs w:val="24"/>
          <w:lang w:val="en-ZA"/>
        </w:rPr>
        <w:t xml:space="preserve"> </w:t>
      </w:r>
      <w:r w:rsidR="00231404" w:rsidRPr="00220BDA">
        <w:rPr>
          <w:rFonts w:ascii="Arial" w:hAnsi="Arial" w:cs="Arial"/>
          <w:sz w:val="24"/>
          <w:szCs w:val="24"/>
          <w:lang w:val="en-ZA"/>
        </w:rPr>
        <w:t>complies with the requisites of the old Act.</w:t>
      </w:r>
      <w:r w:rsidR="00EC590F" w:rsidRPr="00220BDA">
        <w:rPr>
          <w:rFonts w:ascii="Arial" w:hAnsi="Arial" w:cs="Arial"/>
          <w:sz w:val="24"/>
          <w:szCs w:val="24"/>
          <w:lang w:val="en-ZA"/>
        </w:rPr>
        <w:t xml:space="preserve"> The fact that the deponent to the affidavit refers to the incorrect Act does not detrac</w:t>
      </w:r>
      <w:r w:rsidR="00173AC5" w:rsidRPr="00220BDA">
        <w:rPr>
          <w:rFonts w:ascii="Arial" w:hAnsi="Arial" w:cs="Arial"/>
          <w:sz w:val="24"/>
          <w:szCs w:val="24"/>
          <w:lang w:val="en-ZA"/>
        </w:rPr>
        <w:t>t from the efficacy of the demand</w:t>
      </w:r>
      <w:r w:rsidR="00777E3D" w:rsidRPr="00220BDA">
        <w:rPr>
          <w:rFonts w:ascii="Arial" w:hAnsi="Arial" w:cs="Arial"/>
          <w:sz w:val="24"/>
          <w:szCs w:val="24"/>
          <w:lang w:val="en-ZA"/>
        </w:rPr>
        <w:t xml:space="preserve"> </w:t>
      </w:r>
      <w:r w:rsidR="002D56AC" w:rsidRPr="00220BDA">
        <w:rPr>
          <w:rFonts w:ascii="Arial" w:hAnsi="Arial" w:cs="Arial"/>
          <w:sz w:val="24"/>
          <w:szCs w:val="24"/>
          <w:lang w:val="en-ZA"/>
        </w:rPr>
        <w:t>or</w:t>
      </w:r>
      <w:r w:rsidR="00777E3D" w:rsidRPr="00220BDA">
        <w:rPr>
          <w:rFonts w:ascii="Arial" w:hAnsi="Arial" w:cs="Arial"/>
          <w:sz w:val="24"/>
          <w:szCs w:val="24"/>
          <w:lang w:val="en-ZA"/>
        </w:rPr>
        <w:t xml:space="preserve"> its consequences</w:t>
      </w:r>
      <w:r w:rsidR="00EC590F" w:rsidRPr="00220BDA">
        <w:rPr>
          <w:rFonts w:ascii="Arial" w:hAnsi="Arial" w:cs="Arial"/>
          <w:sz w:val="24"/>
          <w:szCs w:val="24"/>
          <w:lang w:val="en-ZA"/>
        </w:rPr>
        <w:t xml:space="preserve">. To hold that </w:t>
      </w:r>
      <w:r w:rsidR="00777E3D" w:rsidRPr="00220BDA">
        <w:rPr>
          <w:rFonts w:ascii="Arial" w:hAnsi="Arial" w:cs="Arial"/>
          <w:sz w:val="24"/>
          <w:szCs w:val="24"/>
          <w:lang w:val="en-ZA"/>
        </w:rPr>
        <w:t>the</w:t>
      </w:r>
      <w:r w:rsidR="00173AC5" w:rsidRPr="00220BDA">
        <w:rPr>
          <w:rFonts w:ascii="Arial" w:hAnsi="Arial" w:cs="Arial"/>
          <w:sz w:val="24"/>
          <w:szCs w:val="24"/>
          <w:lang w:val="en-ZA"/>
        </w:rPr>
        <w:t xml:space="preserve"> demand</w:t>
      </w:r>
      <w:r w:rsidR="00777E3D" w:rsidRPr="00220BDA">
        <w:rPr>
          <w:rFonts w:ascii="Arial" w:hAnsi="Arial" w:cs="Arial"/>
          <w:sz w:val="24"/>
          <w:szCs w:val="24"/>
          <w:lang w:val="en-ZA"/>
        </w:rPr>
        <w:t xml:space="preserve"> </w:t>
      </w:r>
      <w:r w:rsidR="00EC590F" w:rsidRPr="00220BDA">
        <w:rPr>
          <w:rFonts w:ascii="Arial" w:hAnsi="Arial" w:cs="Arial"/>
          <w:sz w:val="24"/>
          <w:szCs w:val="24"/>
          <w:lang w:val="en-ZA"/>
        </w:rPr>
        <w:t>was compromised by an incorrect description of the Act would be to elevate</w:t>
      </w:r>
      <w:r w:rsidR="00173AC5" w:rsidRPr="00220BDA">
        <w:rPr>
          <w:rFonts w:ascii="Arial" w:hAnsi="Arial" w:cs="Arial"/>
          <w:sz w:val="24"/>
          <w:szCs w:val="24"/>
          <w:lang w:val="en-ZA"/>
        </w:rPr>
        <w:t xml:space="preserve"> </w:t>
      </w:r>
      <w:r w:rsidR="00173AC5" w:rsidRPr="00220BDA">
        <w:rPr>
          <w:rFonts w:ascii="Arial" w:hAnsi="Arial" w:cs="Arial"/>
          <w:sz w:val="24"/>
          <w:szCs w:val="24"/>
          <w:lang w:val="en-ZA"/>
        </w:rPr>
        <w:lastRenderedPageBreak/>
        <w:t>appearance over form.</w:t>
      </w:r>
      <w:r w:rsidR="000A35FF">
        <w:rPr>
          <w:rStyle w:val="FootnoteReference"/>
          <w:rFonts w:ascii="Arial" w:hAnsi="Arial" w:cs="Arial"/>
          <w:sz w:val="24"/>
          <w:szCs w:val="24"/>
          <w:lang w:val="en-ZA"/>
        </w:rPr>
        <w:footnoteReference w:id="5"/>
      </w:r>
      <w:r w:rsidR="00173AC5" w:rsidRPr="00220BDA">
        <w:rPr>
          <w:rFonts w:ascii="Arial" w:hAnsi="Arial" w:cs="Arial"/>
          <w:sz w:val="24"/>
          <w:szCs w:val="24"/>
          <w:lang w:val="en-ZA"/>
        </w:rPr>
        <w:t xml:space="preserve"> When the demand</w:t>
      </w:r>
      <w:r w:rsidR="00EC590F" w:rsidRPr="00220BDA">
        <w:rPr>
          <w:rFonts w:ascii="Arial" w:hAnsi="Arial" w:cs="Arial"/>
          <w:sz w:val="24"/>
          <w:szCs w:val="24"/>
          <w:lang w:val="en-ZA"/>
        </w:rPr>
        <w:t xml:space="preserve"> was received</w:t>
      </w:r>
      <w:r w:rsidR="007133DB" w:rsidRPr="00220BDA">
        <w:rPr>
          <w:rFonts w:ascii="Arial" w:hAnsi="Arial" w:cs="Arial"/>
          <w:sz w:val="24"/>
          <w:szCs w:val="24"/>
          <w:lang w:val="en-ZA"/>
        </w:rPr>
        <w:t xml:space="preserve"> by the respondent</w:t>
      </w:r>
      <w:r w:rsidR="00EC590F" w:rsidRPr="00220BDA">
        <w:rPr>
          <w:rFonts w:ascii="Arial" w:hAnsi="Arial" w:cs="Arial"/>
          <w:sz w:val="24"/>
          <w:szCs w:val="24"/>
          <w:lang w:val="en-ZA"/>
        </w:rPr>
        <w:t xml:space="preserve">, it could not have been clearer to anyone reading </w:t>
      </w:r>
      <w:r w:rsidR="00777E3D" w:rsidRPr="00220BDA">
        <w:rPr>
          <w:rFonts w:ascii="Arial" w:hAnsi="Arial" w:cs="Arial"/>
          <w:sz w:val="24"/>
          <w:szCs w:val="24"/>
          <w:lang w:val="en-ZA"/>
        </w:rPr>
        <w:t xml:space="preserve">it </w:t>
      </w:r>
      <w:r w:rsidR="00EC590F" w:rsidRPr="00220BDA">
        <w:rPr>
          <w:rFonts w:ascii="Arial" w:hAnsi="Arial" w:cs="Arial"/>
          <w:sz w:val="24"/>
          <w:szCs w:val="24"/>
          <w:lang w:val="en-ZA"/>
        </w:rPr>
        <w:t>that it was being delivered in terms of section 345(1)</w:t>
      </w:r>
      <w:r w:rsidR="00EC590F" w:rsidRPr="00220BDA">
        <w:rPr>
          <w:rFonts w:ascii="Arial" w:hAnsi="Arial" w:cs="Arial"/>
          <w:i/>
          <w:sz w:val="24"/>
          <w:szCs w:val="24"/>
          <w:lang w:val="en-ZA"/>
        </w:rPr>
        <w:t xml:space="preserve">(a) </w:t>
      </w:r>
      <w:r w:rsidR="00EC590F" w:rsidRPr="00220BDA">
        <w:rPr>
          <w:rFonts w:ascii="Arial" w:hAnsi="Arial" w:cs="Arial"/>
          <w:sz w:val="24"/>
          <w:szCs w:val="24"/>
          <w:lang w:val="en-ZA"/>
        </w:rPr>
        <w:t xml:space="preserve">of the old Act. What was required of the respondent was made </w:t>
      </w:r>
      <w:r w:rsidR="000A35FF" w:rsidRPr="00220BDA">
        <w:rPr>
          <w:rFonts w:ascii="Arial" w:hAnsi="Arial" w:cs="Arial"/>
          <w:sz w:val="24"/>
          <w:szCs w:val="24"/>
          <w:lang w:val="en-ZA"/>
        </w:rPr>
        <w:t>explicit</w:t>
      </w:r>
      <w:r w:rsidR="00EC590F" w:rsidRPr="00220BDA">
        <w:rPr>
          <w:rFonts w:ascii="Arial" w:hAnsi="Arial" w:cs="Arial"/>
          <w:sz w:val="24"/>
          <w:szCs w:val="24"/>
          <w:lang w:val="en-ZA"/>
        </w:rPr>
        <w:t xml:space="preserve"> by the narration of the provisions of that section. </w:t>
      </w:r>
      <w:r w:rsidR="003C5865" w:rsidRPr="00220BDA">
        <w:rPr>
          <w:rFonts w:ascii="Arial" w:hAnsi="Arial" w:cs="Arial"/>
          <w:sz w:val="24"/>
          <w:szCs w:val="24"/>
          <w:lang w:val="en-ZA"/>
        </w:rPr>
        <w:t xml:space="preserve">The </w:t>
      </w:r>
      <w:r w:rsidR="000A35FF" w:rsidRPr="00220BDA">
        <w:rPr>
          <w:rFonts w:ascii="Arial" w:hAnsi="Arial" w:cs="Arial"/>
          <w:sz w:val="24"/>
          <w:szCs w:val="24"/>
          <w:lang w:val="en-ZA"/>
        </w:rPr>
        <w:t>respondent</w:t>
      </w:r>
      <w:r w:rsidR="003C5865" w:rsidRPr="00220BDA">
        <w:rPr>
          <w:rFonts w:ascii="Arial" w:hAnsi="Arial" w:cs="Arial"/>
          <w:sz w:val="24"/>
          <w:szCs w:val="24"/>
          <w:lang w:val="en-ZA"/>
        </w:rPr>
        <w:t xml:space="preserve"> was not at liberty to </w:t>
      </w:r>
      <w:r w:rsidR="000A35FF" w:rsidRPr="00220BDA">
        <w:rPr>
          <w:rFonts w:ascii="Arial" w:hAnsi="Arial" w:cs="Arial"/>
          <w:sz w:val="24"/>
          <w:szCs w:val="24"/>
          <w:lang w:val="en-ZA"/>
        </w:rPr>
        <w:t>ignore</w:t>
      </w:r>
      <w:r w:rsidR="003C5865" w:rsidRPr="00220BDA">
        <w:rPr>
          <w:rFonts w:ascii="Arial" w:hAnsi="Arial" w:cs="Arial"/>
          <w:sz w:val="24"/>
          <w:szCs w:val="24"/>
          <w:lang w:val="en-ZA"/>
        </w:rPr>
        <w:t xml:space="preserve"> the demand </w:t>
      </w:r>
      <w:r w:rsidR="000A35FF" w:rsidRPr="00220BDA">
        <w:rPr>
          <w:rFonts w:ascii="Arial" w:hAnsi="Arial" w:cs="Arial"/>
          <w:sz w:val="24"/>
          <w:szCs w:val="24"/>
          <w:lang w:val="en-ZA"/>
        </w:rPr>
        <w:t>based up</w:t>
      </w:r>
      <w:r w:rsidR="003C5865" w:rsidRPr="00220BDA">
        <w:rPr>
          <w:rFonts w:ascii="Arial" w:hAnsi="Arial" w:cs="Arial"/>
          <w:sz w:val="24"/>
          <w:szCs w:val="24"/>
          <w:lang w:val="en-ZA"/>
        </w:rPr>
        <w:t xml:space="preserve">on an expectation that </w:t>
      </w:r>
      <w:r w:rsidR="007133DB" w:rsidRPr="00220BDA">
        <w:rPr>
          <w:rFonts w:ascii="Arial" w:hAnsi="Arial" w:cs="Arial"/>
          <w:sz w:val="24"/>
          <w:szCs w:val="24"/>
          <w:lang w:val="en-ZA"/>
        </w:rPr>
        <w:t xml:space="preserve">the </w:t>
      </w:r>
      <w:r w:rsidR="00A61F5F" w:rsidRPr="00220BDA">
        <w:rPr>
          <w:rFonts w:ascii="Arial" w:hAnsi="Arial" w:cs="Arial"/>
          <w:sz w:val="24"/>
          <w:szCs w:val="24"/>
          <w:lang w:val="en-ZA"/>
        </w:rPr>
        <w:t xml:space="preserve">Act </w:t>
      </w:r>
      <w:r w:rsidR="007133DB" w:rsidRPr="00220BDA">
        <w:rPr>
          <w:rFonts w:ascii="Arial" w:hAnsi="Arial" w:cs="Arial"/>
          <w:sz w:val="24"/>
          <w:szCs w:val="24"/>
          <w:lang w:val="en-ZA"/>
        </w:rPr>
        <w:t xml:space="preserve">that </w:t>
      </w:r>
      <w:r w:rsidR="003413CA" w:rsidRPr="00220BDA">
        <w:rPr>
          <w:rFonts w:ascii="Arial" w:hAnsi="Arial" w:cs="Arial"/>
          <w:sz w:val="24"/>
          <w:szCs w:val="24"/>
          <w:lang w:val="en-ZA"/>
        </w:rPr>
        <w:t>the demand</w:t>
      </w:r>
      <w:r w:rsidR="007133DB" w:rsidRPr="00220BDA">
        <w:rPr>
          <w:rFonts w:ascii="Arial" w:hAnsi="Arial" w:cs="Arial"/>
          <w:sz w:val="24"/>
          <w:szCs w:val="24"/>
          <w:lang w:val="en-ZA"/>
        </w:rPr>
        <w:t xml:space="preserve"> was </w:t>
      </w:r>
      <w:r w:rsidR="003413CA" w:rsidRPr="00220BDA">
        <w:rPr>
          <w:rFonts w:ascii="Arial" w:hAnsi="Arial" w:cs="Arial"/>
          <w:sz w:val="24"/>
          <w:szCs w:val="24"/>
          <w:lang w:val="en-ZA"/>
        </w:rPr>
        <w:t>predicated</w:t>
      </w:r>
      <w:r w:rsidR="007133DB" w:rsidRPr="00220BDA">
        <w:rPr>
          <w:rFonts w:ascii="Arial" w:hAnsi="Arial" w:cs="Arial"/>
          <w:sz w:val="24"/>
          <w:szCs w:val="24"/>
          <w:lang w:val="en-ZA"/>
        </w:rPr>
        <w:t xml:space="preserve"> on</w:t>
      </w:r>
      <w:r w:rsidR="003C5865" w:rsidRPr="00220BDA">
        <w:rPr>
          <w:rFonts w:ascii="Arial" w:hAnsi="Arial" w:cs="Arial"/>
          <w:sz w:val="24"/>
          <w:szCs w:val="24"/>
          <w:lang w:val="en-ZA"/>
        </w:rPr>
        <w:t xml:space="preserve"> would later be misdescribed in a future liquidation application. </w:t>
      </w:r>
      <w:r w:rsidR="00EC590F" w:rsidRPr="00220BDA">
        <w:rPr>
          <w:rFonts w:ascii="Arial" w:hAnsi="Arial" w:cs="Arial"/>
          <w:sz w:val="24"/>
          <w:szCs w:val="24"/>
          <w:lang w:val="en-ZA"/>
        </w:rPr>
        <w:t xml:space="preserve">The </w:t>
      </w:r>
      <w:r w:rsidR="00173AC5" w:rsidRPr="00220BDA">
        <w:rPr>
          <w:rFonts w:ascii="Arial" w:hAnsi="Arial" w:cs="Arial"/>
          <w:sz w:val="24"/>
          <w:szCs w:val="24"/>
          <w:lang w:val="en-ZA"/>
        </w:rPr>
        <w:t>demand</w:t>
      </w:r>
      <w:r w:rsidR="00EC590F" w:rsidRPr="00220BDA">
        <w:rPr>
          <w:rFonts w:ascii="Arial" w:hAnsi="Arial" w:cs="Arial"/>
          <w:sz w:val="24"/>
          <w:szCs w:val="24"/>
          <w:lang w:val="en-ZA"/>
        </w:rPr>
        <w:t xml:space="preserve"> was sent with the requisite intent and </w:t>
      </w:r>
      <w:r w:rsidR="00BB434B" w:rsidRPr="00220BDA">
        <w:rPr>
          <w:rFonts w:ascii="Arial" w:hAnsi="Arial" w:cs="Arial"/>
          <w:sz w:val="24"/>
          <w:szCs w:val="24"/>
          <w:lang w:val="en-ZA"/>
        </w:rPr>
        <w:t>knowledge of the consequences of non-compliance with it</w:t>
      </w:r>
      <w:r w:rsidR="007133DB" w:rsidRPr="00220BDA">
        <w:rPr>
          <w:rFonts w:ascii="Arial" w:hAnsi="Arial" w:cs="Arial"/>
          <w:sz w:val="24"/>
          <w:szCs w:val="24"/>
          <w:lang w:val="en-ZA"/>
        </w:rPr>
        <w:t xml:space="preserve"> and that</w:t>
      </w:r>
      <w:r w:rsidR="00EC590F" w:rsidRPr="00220BDA">
        <w:rPr>
          <w:rFonts w:ascii="Arial" w:hAnsi="Arial" w:cs="Arial"/>
          <w:sz w:val="24"/>
          <w:szCs w:val="24"/>
          <w:lang w:val="en-ZA"/>
        </w:rPr>
        <w:t xml:space="preserve"> intent cannot be eroded by an error in description made at a later date.</w:t>
      </w:r>
    </w:p>
    <w:p w:rsidR="00F75E64" w:rsidRDefault="00F75E64" w:rsidP="00F75E64">
      <w:pPr>
        <w:pStyle w:val="ListParagraph"/>
        <w:tabs>
          <w:tab w:val="left" w:pos="709"/>
          <w:tab w:val="left" w:pos="1418"/>
        </w:tabs>
        <w:spacing w:after="0" w:line="360" w:lineRule="auto"/>
        <w:ind w:left="0"/>
        <w:jc w:val="both"/>
        <w:rPr>
          <w:rFonts w:ascii="Arial" w:hAnsi="Arial" w:cs="Arial"/>
          <w:sz w:val="24"/>
          <w:szCs w:val="24"/>
          <w:lang w:val="en-ZA"/>
        </w:rPr>
      </w:pPr>
    </w:p>
    <w:p w:rsidR="00173AC5"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[25]</w:t>
      </w:r>
      <w:r>
        <w:rPr>
          <w:rFonts w:ascii="Arial" w:hAnsi="Arial" w:cs="Arial"/>
          <w:sz w:val="24"/>
          <w:szCs w:val="24"/>
          <w:lang w:val="en-ZA"/>
        </w:rPr>
        <w:tab/>
      </w:r>
      <w:r w:rsidR="00173AC5" w:rsidRPr="00220BDA">
        <w:rPr>
          <w:rFonts w:ascii="Arial" w:hAnsi="Arial" w:cs="Arial"/>
          <w:sz w:val="24"/>
          <w:szCs w:val="24"/>
          <w:lang w:val="en-ZA"/>
        </w:rPr>
        <w:t>It was further argued by Mr Kissoon Singh that another demand may well have been sent in terms of the Close Corporations Act and that the founding affidavit may thus be correct</w:t>
      </w:r>
      <w:r w:rsidR="003413CA" w:rsidRPr="00220BDA">
        <w:rPr>
          <w:rFonts w:ascii="Arial" w:hAnsi="Arial" w:cs="Arial"/>
          <w:sz w:val="24"/>
          <w:szCs w:val="24"/>
          <w:lang w:val="en-ZA"/>
        </w:rPr>
        <w:t xml:space="preserve"> when it makes reference to that </w:t>
      </w:r>
      <w:r w:rsidR="004D3700" w:rsidRPr="00220BDA">
        <w:rPr>
          <w:rFonts w:ascii="Arial" w:hAnsi="Arial" w:cs="Arial"/>
          <w:sz w:val="24"/>
          <w:szCs w:val="24"/>
          <w:lang w:val="en-ZA"/>
        </w:rPr>
        <w:t>Act</w:t>
      </w:r>
      <w:r w:rsidR="00173AC5" w:rsidRPr="00220BDA">
        <w:rPr>
          <w:rFonts w:ascii="Arial" w:hAnsi="Arial" w:cs="Arial"/>
          <w:sz w:val="24"/>
          <w:szCs w:val="24"/>
          <w:lang w:val="en-ZA"/>
        </w:rPr>
        <w:t>. I fail to see the relevance of this. If another demand was sent in terms of the Close Corporation</w:t>
      </w:r>
      <w:r w:rsidR="006D1266" w:rsidRPr="00220BDA">
        <w:rPr>
          <w:rFonts w:ascii="Arial" w:hAnsi="Arial" w:cs="Arial"/>
          <w:sz w:val="24"/>
          <w:szCs w:val="24"/>
          <w:lang w:val="en-ZA"/>
        </w:rPr>
        <w:t>s</w:t>
      </w:r>
      <w:r w:rsidR="00173AC5" w:rsidRPr="00220BDA">
        <w:rPr>
          <w:rFonts w:ascii="Arial" w:hAnsi="Arial" w:cs="Arial"/>
          <w:sz w:val="24"/>
          <w:szCs w:val="24"/>
          <w:lang w:val="en-ZA"/>
        </w:rPr>
        <w:t xml:space="preserve"> Act, it would have no legal effect as the respondent is not a close corporation.</w:t>
      </w:r>
      <w:r w:rsidR="00F75E64" w:rsidRPr="00220BDA">
        <w:rPr>
          <w:rFonts w:ascii="Arial" w:hAnsi="Arial" w:cs="Arial"/>
          <w:sz w:val="24"/>
          <w:szCs w:val="24"/>
          <w:lang w:val="en-ZA"/>
        </w:rPr>
        <w:t xml:space="preserve"> But one can be reasonably confident that this is not what occurred: if a second demand had been delivered to the respondent in terms of the incorrect </w:t>
      </w:r>
      <w:r w:rsidR="00A61F5F" w:rsidRPr="00220BDA">
        <w:rPr>
          <w:rFonts w:ascii="Arial" w:hAnsi="Arial" w:cs="Arial"/>
          <w:sz w:val="24"/>
          <w:szCs w:val="24"/>
          <w:lang w:val="en-ZA"/>
        </w:rPr>
        <w:t xml:space="preserve">Act </w:t>
      </w:r>
      <w:r w:rsidR="00F75E64" w:rsidRPr="00220BDA">
        <w:rPr>
          <w:rFonts w:ascii="Arial" w:hAnsi="Arial" w:cs="Arial"/>
          <w:sz w:val="24"/>
          <w:szCs w:val="24"/>
          <w:lang w:val="en-ZA"/>
        </w:rPr>
        <w:t>it would surely have been attached to the answering affidavit. It was not.</w:t>
      </w:r>
    </w:p>
    <w:p w:rsidR="00EC590F" w:rsidRDefault="00EC590F" w:rsidP="003C5865">
      <w:pPr>
        <w:pStyle w:val="ListParagraph"/>
        <w:tabs>
          <w:tab w:val="left" w:pos="709"/>
          <w:tab w:val="left" w:pos="1418"/>
        </w:tabs>
        <w:spacing w:after="0" w:line="360" w:lineRule="auto"/>
        <w:ind w:left="0"/>
        <w:jc w:val="both"/>
        <w:rPr>
          <w:rFonts w:ascii="Arial" w:hAnsi="Arial" w:cs="Arial"/>
          <w:sz w:val="24"/>
          <w:szCs w:val="24"/>
          <w:lang w:val="en-ZA"/>
        </w:rPr>
      </w:pPr>
    </w:p>
    <w:p w:rsidR="00EC590F"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[26]</w:t>
      </w:r>
      <w:r>
        <w:rPr>
          <w:rFonts w:ascii="Arial" w:hAnsi="Arial" w:cs="Arial"/>
          <w:sz w:val="24"/>
          <w:szCs w:val="24"/>
          <w:lang w:val="en-ZA"/>
        </w:rPr>
        <w:tab/>
      </w:r>
      <w:r w:rsidR="00F75E64" w:rsidRPr="00220BDA">
        <w:rPr>
          <w:rFonts w:ascii="Arial" w:hAnsi="Arial" w:cs="Arial"/>
          <w:sz w:val="24"/>
          <w:szCs w:val="24"/>
          <w:lang w:val="en-ZA"/>
        </w:rPr>
        <w:t>As pointed out in the replying affidavit, t</w:t>
      </w:r>
      <w:r w:rsidR="00EC590F" w:rsidRPr="00220BDA">
        <w:rPr>
          <w:rFonts w:ascii="Arial" w:hAnsi="Arial" w:cs="Arial"/>
          <w:sz w:val="24"/>
          <w:szCs w:val="24"/>
          <w:lang w:val="en-ZA"/>
        </w:rPr>
        <w:t>his ground of defence is entirely opportunistic in its nature.</w:t>
      </w:r>
      <w:r w:rsidR="00BB434B" w:rsidRPr="00220BDA">
        <w:rPr>
          <w:rFonts w:ascii="Arial" w:hAnsi="Arial" w:cs="Arial"/>
          <w:sz w:val="24"/>
          <w:szCs w:val="24"/>
          <w:lang w:val="en-ZA"/>
        </w:rPr>
        <w:t xml:space="preserve"> </w:t>
      </w:r>
      <w:r w:rsidR="007133DB" w:rsidRPr="00220BDA">
        <w:rPr>
          <w:rFonts w:ascii="Arial" w:hAnsi="Arial" w:cs="Arial"/>
          <w:sz w:val="24"/>
          <w:szCs w:val="24"/>
          <w:lang w:val="en-ZA"/>
        </w:rPr>
        <w:t xml:space="preserve">The argument that the applicant did not make out its case in the founding affidavit cannot be sustained. The third ground of </w:t>
      </w:r>
      <w:r w:rsidR="00BB434B" w:rsidRPr="00220BDA">
        <w:rPr>
          <w:rFonts w:ascii="Arial" w:hAnsi="Arial" w:cs="Arial"/>
          <w:sz w:val="24"/>
          <w:szCs w:val="24"/>
          <w:lang w:val="en-ZA"/>
        </w:rPr>
        <w:t>defence to the application</w:t>
      </w:r>
      <w:r w:rsidR="002D56AC" w:rsidRPr="00220BDA">
        <w:rPr>
          <w:rFonts w:ascii="Arial" w:hAnsi="Arial" w:cs="Arial"/>
          <w:sz w:val="24"/>
          <w:szCs w:val="24"/>
          <w:lang w:val="en-ZA"/>
        </w:rPr>
        <w:t xml:space="preserve"> must </w:t>
      </w:r>
      <w:r w:rsidR="007133DB" w:rsidRPr="00220BDA">
        <w:rPr>
          <w:rFonts w:ascii="Arial" w:hAnsi="Arial" w:cs="Arial"/>
          <w:sz w:val="24"/>
          <w:szCs w:val="24"/>
          <w:lang w:val="en-ZA"/>
        </w:rPr>
        <w:t xml:space="preserve">accordingly </w:t>
      </w:r>
      <w:r w:rsidR="002D56AC" w:rsidRPr="00220BDA">
        <w:rPr>
          <w:rFonts w:ascii="Arial" w:hAnsi="Arial" w:cs="Arial"/>
          <w:sz w:val="24"/>
          <w:szCs w:val="24"/>
          <w:lang w:val="en-ZA"/>
        </w:rPr>
        <w:t>fail</w:t>
      </w:r>
      <w:r w:rsidR="00BB434B" w:rsidRPr="00220BDA">
        <w:rPr>
          <w:rFonts w:ascii="Arial" w:hAnsi="Arial" w:cs="Arial"/>
          <w:sz w:val="24"/>
          <w:szCs w:val="24"/>
          <w:lang w:val="en-ZA"/>
        </w:rPr>
        <w:t>.</w:t>
      </w:r>
    </w:p>
    <w:p w:rsidR="00BB434B" w:rsidRPr="00BB434B" w:rsidRDefault="00BB434B" w:rsidP="002D56AC">
      <w:pPr>
        <w:pStyle w:val="ListParagraph"/>
        <w:spacing w:after="0" w:line="360" w:lineRule="auto"/>
        <w:rPr>
          <w:rFonts w:ascii="Arial" w:hAnsi="Arial" w:cs="Arial"/>
          <w:sz w:val="24"/>
          <w:szCs w:val="24"/>
          <w:lang w:val="en-ZA"/>
        </w:rPr>
      </w:pPr>
    </w:p>
    <w:p w:rsidR="00BB434B"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[27]</w:t>
      </w:r>
      <w:r>
        <w:rPr>
          <w:rFonts w:ascii="Arial" w:hAnsi="Arial" w:cs="Arial"/>
          <w:sz w:val="24"/>
          <w:szCs w:val="24"/>
          <w:lang w:val="en-ZA"/>
        </w:rPr>
        <w:tab/>
      </w:r>
      <w:r w:rsidR="00BB434B" w:rsidRPr="00220BDA">
        <w:rPr>
          <w:rFonts w:ascii="Arial" w:hAnsi="Arial" w:cs="Arial"/>
          <w:sz w:val="24"/>
          <w:szCs w:val="24"/>
          <w:lang w:val="en-ZA"/>
        </w:rPr>
        <w:t>I accordingly find that the applicant has established that</w:t>
      </w:r>
      <w:r w:rsidR="002D56AC" w:rsidRPr="00220BDA">
        <w:rPr>
          <w:rFonts w:ascii="Arial" w:hAnsi="Arial" w:cs="Arial"/>
          <w:sz w:val="24"/>
          <w:szCs w:val="24"/>
          <w:lang w:val="en-ZA"/>
        </w:rPr>
        <w:t xml:space="preserve"> it is a creditor of the respondent in excess of the statutory threshold amount, that it served a </w:t>
      </w:r>
      <w:r w:rsidR="00173AC5" w:rsidRPr="00220BDA">
        <w:rPr>
          <w:rFonts w:ascii="Arial" w:hAnsi="Arial" w:cs="Arial"/>
          <w:sz w:val="24"/>
          <w:szCs w:val="24"/>
          <w:lang w:val="en-ZA"/>
        </w:rPr>
        <w:t>demand</w:t>
      </w:r>
      <w:r w:rsidR="002D56AC" w:rsidRPr="00220BDA">
        <w:rPr>
          <w:rFonts w:ascii="Arial" w:hAnsi="Arial" w:cs="Arial"/>
          <w:sz w:val="24"/>
          <w:szCs w:val="24"/>
          <w:lang w:val="en-ZA"/>
        </w:rPr>
        <w:t xml:space="preserve"> upon the respondent in terms of the provisions of section 345(1)</w:t>
      </w:r>
      <w:r w:rsidR="002D56AC" w:rsidRPr="00220BDA">
        <w:rPr>
          <w:rFonts w:ascii="Arial" w:hAnsi="Arial" w:cs="Arial"/>
          <w:i/>
          <w:sz w:val="24"/>
          <w:szCs w:val="24"/>
          <w:lang w:val="en-ZA"/>
        </w:rPr>
        <w:t xml:space="preserve">(a) </w:t>
      </w:r>
      <w:r w:rsidR="002D56AC" w:rsidRPr="00220BDA">
        <w:rPr>
          <w:rFonts w:ascii="Arial" w:hAnsi="Arial" w:cs="Arial"/>
          <w:sz w:val="24"/>
          <w:szCs w:val="24"/>
          <w:lang w:val="en-ZA"/>
        </w:rPr>
        <w:t xml:space="preserve">of the old Act and that the respondent failed to pay the amount demanded, or to secure </w:t>
      </w:r>
      <w:r w:rsidR="006D1266" w:rsidRPr="00220BDA">
        <w:rPr>
          <w:rFonts w:ascii="Arial" w:hAnsi="Arial" w:cs="Arial"/>
          <w:sz w:val="24"/>
          <w:szCs w:val="24"/>
          <w:lang w:val="en-ZA"/>
        </w:rPr>
        <w:t xml:space="preserve">or compound </w:t>
      </w:r>
      <w:r w:rsidR="002D56AC" w:rsidRPr="00220BDA">
        <w:rPr>
          <w:rFonts w:ascii="Arial" w:hAnsi="Arial" w:cs="Arial"/>
          <w:sz w:val="24"/>
          <w:szCs w:val="24"/>
          <w:lang w:val="en-ZA"/>
        </w:rPr>
        <w:t>it to the reasonable satisfaction of the applicant, and is thus deemed to be insolvent.</w:t>
      </w:r>
      <w:r w:rsidR="003413CA" w:rsidRPr="00220BDA">
        <w:rPr>
          <w:rFonts w:ascii="Arial" w:hAnsi="Arial" w:cs="Arial"/>
          <w:sz w:val="24"/>
          <w:szCs w:val="24"/>
          <w:lang w:val="en-ZA"/>
        </w:rPr>
        <w:t xml:space="preserve"> The respondent has not demonstrated the existence of a bona fide defence to the applicant’s claim.</w:t>
      </w:r>
    </w:p>
    <w:p w:rsidR="002D56AC" w:rsidRDefault="002D56AC" w:rsidP="002D56AC">
      <w:pPr>
        <w:pStyle w:val="ListParagraph"/>
        <w:tabs>
          <w:tab w:val="left" w:pos="709"/>
          <w:tab w:val="left" w:pos="1418"/>
        </w:tabs>
        <w:spacing w:after="0" w:line="360" w:lineRule="auto"/>
        <w:ind w:left="0"/>
        <w:jc w:val="both"/>
        <w:rPr>
          <w:rFonts w:ascii="Arial" w:hAnsi="Arial" w:cs="Arial"/>
          <w:sz w:val="24"/>
          <w:szCs w:val="24"/>
          <w:lang w:val="en-ZA"/>
        </w:rPr>
      </w:pPr>
    </w:p>
    <w:p w:rsidR="00BB434B"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[28]</w:t>
      </w:r>
      <w:r>
        <w:rPr>
          <w:rFonts w:ascii="Arial" w:hAnsi="Arial" w:cs="Arial"/>
          <w:sz w:val="24"/>
          <w:szCs w:val="24"/>
          <w:lang w:val="en-ZA"/>
        </w:rPr>
        <w:tab/>
      </w:r>
      <w:r w:rsidR="00BB434B" w:rsidRPr="00220BDA">
        <w:rPr>
          <w:rFonts w:ascii="Arial" w:hAnsi="Arial" w:cs="Arial"/>
          <w:sz w:val="24"/>
          <w:szCs w:val="24"/>
          <w:lang w:val="en-ZA"/>
        </w:rPr>
        <w:t>I therefore grant the following order:</w:t>
      </w:r>
    </w:p>
    <w:p w:rsidR="00BB434B" w:rsidRPr="00220BDA" w:rsidRDefault="00220BDA" w:rsidP="00220BDA">
      <w:pPr>
        <w:tabs>
          <w:tab w:val="left" w:pos="709"/>
          <w:tab w:val="left" w:pos="1418"/>
        </w:tabs>
        <w:spacing w:after="0" w:line="360" w:lineRule="auto"/>
        <w:ind w:left="720" w:hanging="720"/>
        <w:jc w:val="both"/>
        <w:rPr>
          <w:rFonts w:ascii="Arial" w:hAnsi="Arial" w:cs="Arial"/>
          <w:sz w:val="24"/>
          <w:szCs w:val="24"/>
          <w:lang w:val="en-ZA"/>
        </w:rPr>
      </w:pPr>
      <w:r w:rsidRPr="00CC26DE">
        <w:rPr>
          <w:rFonts w:ascii="Arial" w:hAnsi="Arial" w:cs="Arial"/>
          <w:sz w:val="24"/>
          <w:szCs w:val="24"/>
          <w:lang w:val="en-ZA"/>
        </w:rPr>
        <w:t>1.</w:t>
      </w:r>
      <w:r w:rsidRPr="00CC26DE">
        <w:rPr>
          <w:rFonts w:ascii="Arial" w:hAnsi="Arial" w:cs="Arial"/>
          <w:sz w:val="24"/>
          <w:szCs w:val="24"/>
          <w:lang w:val="en-ZA"/>
        </w:rPr>
        <w:tab/>
      </w:r>
      <w:r w:rsidR="00BB434B" w:rsidRPr="00220BDA">
        <w:rPr>
          <w:rFonts w:ascii="Arial" w:hAnsi="Arial" w:cs="Arial"/>
          <w:sz w:val="24"/>
          <w:szCs w:val="24"/>
          <w:lang w:val="en-ZA"/>
        </w:rPr>
        <w:t>The respondent is provisionally wound up.</w:t>
      </w:r>
    </w:p>
    <w:p w:rsidR="00BB434B" w:rsidRPr="00220BDA" w:rsidRDefault="00220BDA" w:rsidP="00220BDA">
      <w:pPr>
        <w:tabs>
          <w:tab w:val="left" w:pos="709"/>
          <w:tab w:val="left" w:pos="1418"/>
        </w:tabs>
        <w:spacing w:after="0" w:line="360" w:lineRule="auto"/>
        <w:jc w:val="both"/>
        <w:rPr>
          <w:rFonts w:ascii="Arial" w:hAnsi="Arial" w:cs="Arial"/>
          <w:sz w:val="24"/>
          <w:szCs w:val="24"/>
          <w:lang w:val="en-ZA"/>
        </w:rPr>
      </w:pPr>
      <w:r w:rsidRPr="00CC26DE">
        <w:rPr>
          <w:rFonts w:ascii="Arial" w:hAnsi="Arial" w:cs="Arial"/>
          <w:sz w:val="24"/>
          <w:szCs w:val="24"/>
          <w:lang w:val="en-ZA"/>
        </w:rPr>
        <w:t>2.</w:t>
      </w:r>
      <w:r w:rsidRPr="00CC26DE">
        <w:rPr>
          <w:rFonts w:ascii="Arial" w:hAnsi="Arial" w:cs="Arial"/>
          <w:sz w:val="24"/>
          <w:szCs w:val="24"/>
          <w:lang w:val="en-ZA"/>
        </w:rPr>
        <w:tab/>
      </w:r>
      <w:r w:rsidR="00BB434B" w:rsidRPr="00220BDA">
        <w:rPr>
          <w:rFonts w:ascii="Arial" w:hAnsi="Arial" w:cs="Arial"/>
          <w:sz w:val="24"/>
          <w:szCs w:val="24"/>
          <w:lang w:val="en-ZA"/>
        </w:rPr>
        <w:t xml:space="preserve">A rule nisi </w:t>
      </w:r>
      <w:r w:rsidR="001E48C3" w:rsidRPr="00220BDA">
        <w:rPr>
          <w:rFonts w:ascii="Arial" w:hAnsi="Arial" w:cs="Arial"/>
          <w:sz w:val="24"/>
          <w:szCs w:val="24"/>
          <w:lang w:val="en-ZA"/>
        </w:rPr>
        <w:t xml:space="preserve">is </w:t>
      </w:r>
      <w:r w:rsidR="00BB434B" w:rsidRPr="00220BDA">
        <w:rPr>
          <w:rFonts w:ascii="Arial" w:hAnsi="Arial" w:cs="Arial"/>
          <w:sz w:val="24"/>
          <w:szCs w:val="24"/>
          <w:lang w:val="en-ZA"/>
        </w:rPr>
        <w:t>issue</w:t>
      </w:r>
      <w:r w:rsidR="001E48C3" w:rsidRPr="00220BDA">
        <w:rPr>
          <w:rFonts w:ascii="Arial" w:hAnsi="Arial" w:cs="Arial"/>
          <w:sz w:val="24"/>
          <w:szCs w:val="24"/>
          <w:lang w:val="en-ZA"/>
        </w:rPr>
        <w:t>d</w:t>
      </w:r>
      <w:r w:rsidR="00BB434B" w:rsidRPr="00220BDA">
        <w:rPr>
          <w:rFonts w:ascii="Arial" w:hAnsi="Arial" w:cs="Arial"/>
          <w:sz w:val="24"/>
          <w:szCs w:val="24"/>
          <w:lang w:val="en-ZA"/>
        </w:rPr>
        <w:t xml:space="preserve"> calling upon the respondent and all interested parties to s</w:t>
      </w:r>
      <w:r w:rsidR="007133DB" w:rsidRPr="00220BDA">
        <w:rPr>
          <w:rFonts w:ascii="Arial" w:hAnsi="Arial" w:cs="Arial"/>
          <w:sz w:val="24"/>
          <w:szCs w:val="24"/>
          <w:lang w:val="en-ZA"/>
        </w:rPr>
        <w:t xml:space="preserve">how cause to this court on 16 May </w:t>
      </w:r>
      <w:r w:rsidR="00BB434B" w:rsidRPr="00220BDA">
        <w:rPr>
          <w:rFonts w:ascii="Arial" w:hAnsi="Arial" w:cs="Arial"/>
          <w:sz w:val="24"/>
          <w:szCs w:val="24"/>
          <w:lang w:val="en-ZA"/>
        </w:rPr>
        <w:t>2023 at 09h30, or so soon thereafter as the matter may be heard, why the respondent</w:t>
      </w:r>
      <w:r w:rsidR="001E48C3" w:rsidRPr="00220BDA">
        <w:rPr>
          <w:rFonts w:ascii="Arial" w:hAnsi="Arial" w:cs="Arial"/>
          <w:sz w:val="24"/>
          <w:szCs w:val="24"/>
          <w:lang w:val="en-ZA"/>
        </w:rPr>
        <w:t xml:space="preserve"> should not be finally wound up</w:t>
      </w:r>
      <w:r w:rsidR="00BB434B" w:rsidRPr="00220BDA">
        <w:rPr>
          <w:rFonts w:ascii="Arial" w:hAnsi="Arial" w:cs="Arial"/>
          <w:sz w:val="24"/>
          <w:szCs w:val="24"/>
          <w:lang w:val="en-ZA"/>
        </w:rPr>
        <w:t>.</w:t>
      </w:r>
    </w:p>
    <w:p w:rsidR="00BB434B" w:rsidRPr="00220BDA" w:rsidRDefault="00220BDA" w:rsidP="00220BDA">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00BB434B" w:rsidRPr="00220BDA">
        <w:rPr>
          <w:rFonts w:ascii="Arial" w:hAnsi="Arial" w:cs="Arial"/>
          <w:sz w:val="24"/>
          <w:szCs w:val="24"/>
          <w:lang w:val="en-ZA"/>
        </w:rPr>
        <w:t>The relief set forth in paragraph 1 of this order shall operate as a provisional order winding up the respondent with immediate effect.</w:t>
      </w:r>
    </w:p>
    <w:p w:rsidR="00BB434B" w:rsidRPr="00220BDA" w:rsidRDefault="00220BDA" w:rsidP="00220BDA">
      <w:pPr>
        <w:tabs>
          <w:tab w:val="left" w:pos="709"/>
          <w:tab w:val="left" w:pos="1418"/>
        </w:tabs>
        <w:spacing w:after="0" w:line="360" w:lineRule="auto"/>
        <w:jc w:val="both"/>
        <w:rPr>
          <w:rFonts w:ascii="Arial" w:hAnsi="Arial" w:cs="Arial"/>
          <w:sz w:val="24"/>
          <w:szCs w:val="24"/>
          <w:lang w:val="en-ZA"/>
        </w:rPr>
      </w:pPr>
      <w:r w:rsidRPr="00A61F5F">
        <w:rPr>
          <w:rFonts w:ascii="Arial" w:hAnsi="Arial" w:cs="Arial"/>
          <w:sz w:val="24"/>
          <w:szCs w:val="24"/>
          <w:lang w:val="en-ZA"/>
        </w:rPr>
        <w:t>4.</w:t>
      </w:r>
      <w:r w:rsidRPr="00A61F5F">
        <w:rPr>
          <w:rFonts w:ascii="Arial" w:hAnsi="Arial" w:cs="Arial"/>
          <w:sz w:val="24"/>
          <w:szCs w:val="24"/>
          <w:lang w:val="en-ZA"/>
        </w:rPr>
        <w:tab/>
      </w:r>
      <w:r w:rsidR="001E48C3" w:rsidRPr="00220BDA">
        <w:rPr>
          <w:rFonts w:ascii="Arial" w:hAnsi="Arial" w:cs="Arial"/>
          <w:sz w:val="24"/>
          <w:szCs w:val="24"/>
          <w:lang w:val="en-ZA"/>
        </w:rPr>
        <w:t>A</w:t>
      </w:r>
      <w:r w:rsidR="00012BA6" w:rsidRPr="00220BDA">
        <w:rPr>
          <w:rFonts w:ascii="Arial" w:hAnsi="Arial" w:cs="Arial"/>
          <w:sz w:val="24"/>
          <w:szCs w:val="24"/>
          <w:lang w:val="en-ZA"/>
        </w:rPr>
        <w:t xml:space="preserve"> copy of this provisional order is </w:t>
      </w:r>
      <w:r w:rsidR="001E48C3" w:rsidRPr="00220BDA">
        <w:rPr>
          <w:rFonts w:ascii="Arial" w:hAnsi="Arial" w:cs="Arial"/>
          <w:sz w:val="24"/>
          <w:szCs w:val="24"/>
          <w:lang w:val="en-ZA"/>
        </w:rPr>
        <w:t xml:space="preserve">to be </w:t>
      </w:r>
      <w:r w:rsidR="00012BA6" w:rsidRPr="00220BDA">
        <w:rPr>
          <w:rFonts w:ascii="Arial" w:hAnsi="Arial" w:cs="Arial"/>
          <w:sz w:val="24"/>
          <w:szCs w:val="24"/>
          <w:lang w:val="en-ZA"/>
        </w:rPr>
        <w:t xml:space="preserve">served upon the respondent at its registered office, </w:t>
      </w:r>
      <w:r w:rsidR="00B04F67" w:rsidRPr="00220BDA">
        <w:rPr>
          <w:rFonts w:ascii="Arial" w:hAnsi="Arial" w:cs="Arial"/>
          <w:sz w:val="24"/>
          <w:szCs w:val="24"/>
          <w:lang w:val="en-ZA"/>
        </w:rPr>
        <w:t xml:space="preserve">the </w:t>
      </w:r>
      <w:r w:rsidR="00012BA6" w:rsidRPr="00220BDA">
        <w:rPr>
          <w:rFonts w:ascii="Arial" w:hAnsi="Arial" w:cs="Arial"/>
          <w:sz w:val="24"/>
          <w:szCs w:val="24"/>
          <w:lang w:val="en-ZA"/>
        </w:rPr>
        <w:t>Master of the High Court, the South African Revenue Service and the respondent’s employees and trade unions.</w:t>
      </w:r>
    </w:p>
    <w:p w:rsidR="00012BA6" w:rsidRPr="00220BDA" w:rsidRDefault="00220BDA" w:rsidP="00220BDA">
      <w:pPr>
        <w:tabs>
          <w:tab w:val="left" w:pos="709"/>
          <w:tab w:val="left" w:pos="1418"/>
        </w:tabs>
        <w:spacing w:after="0" w:line="360" w:lineRule="auto"/>
        <w:jc w:val="both"/>
        <w:rPr>
          <w:rFonts w:ascii="Arial" w:hAnsi="Arial" w:cs="Arial"/>
          <w:sz w:val="24"/>
          <w:szCs w:val="24"/>
          <w:lang w:val="en-ZA"/>
        </w:rPr>
      </w:pPr>
      <w:r w:rsidRPr="007133DB">
        <w:rPr>
          <w:rFonts w:ascii="Arial" w:hAnsi="Arial" w:cs="Arial"/>
          <w:sz w:val="24"/>
          <w:szCs w:val="24"/>
          <w:lang w:val="en-ZA"/>
        </w:rPr>
        <w:t>5.</w:t>
      </w:r>
      <w:r w:rsidRPr="007133DB">
        <w:rPr>
          <w:rFonts w:ascii="Arial" w:hAnsi="Arial" w:cs="Arial"/>
          <w:sz w:val="24"/>
          <w:szCs w:val="24"/>
          <w:lang w:val="en-ZA"/>
        </w:rPr>
        <w:tab/>
      </w:r>
      <w:r w:rsidR="001E48C3" w:rsidRPr="00220BDA">
        <w:rPr>
          <w:rFonts w:ascii="Arial" w:hAnsi="Arial" w:cs="Arial"/>
          <w:sz w:val="24"/>
          <w:szCs w:val="24"/>
          <w:lang w:val="en-ZA"/>
        </w:rPr>
        <w:t>A</w:t>
      </w:r>
      <w:r w:rsidR="00012BA6" w:rsidRPr="00220BDA">
        <w:rPr>
          <w:rFonts w:ascii="Arial" w:hAnsi="Arial" w:cs="Arial"/>
          <w:sz w:val="24"/>
          <w:szCs w:val="24"/>
          <w:lang w:val="en-ZA"/>
        </w:rPr>
        <w:t xml:space="preserve"> copy of the provisional order </w:t>
      </w:r>
      <w:r w:rsidR="00B04F67" w:rsidRPr="00220BDA">
        <w:rPr>
          <w:rFonts w:ascii="Arial" w:hAnsi="Arial" w:cs="Arial"/>
          <w:sz w:val="24"/>
          <w:szCs w:val="24"/>
          <w:lang w:val="en-ZA"/>
        </w:rPr>
        <w:t xml:space="preserve">is to </w:t>
      </w:r>
      <w:r w:rsidR="00012BA6" w:rsidRPr="00220BDA">
        <w:rPr>
          <w:rFonts w:ascii="Arial" w:hAnsi="Arial" w:cs="Arial"/>
          <w:sz w:val="24"/>
          <w:szCs w:val="24"/>
          <w:lang w:val="en-ZA"/>
        </w:rPr>
        <w:t xml:space="preserve">be published on or </w:t>
      </w:r>
      <w:r w:rsidR="007133DB" w:rsidRPr="00220BDA">
        <w:rPr>
          <w:rFonts w:ascii="Arial" w:hAnsi="Arial" w:cs="Arial"/>
          <w:sz w:val="24"/>
          <w:szCs w:val="24"/>
          <w:lang w:val="en-ZA"/>
        </w:rPr>
        <w:t>before 28 April 2023</w:t>
      </w:r>
      <w:r w:rsidR="00012BA6" w:rsidRPr="00220BDA">
        <w:rPr>
          <w:rFonts w:ascii="Arial" w:hAnsi="Arial" w:cs="Arial"/>
          <w:sz w:val="24"/>
          <w:szCs w:val="24"/>
          <w:lang w:val="en-ZA"/>
        </w:rPr>
        <w:t xml:space="preserve">, once in the </w:t>
      </w:r>
      <w:r w:rsidR="00012BA6" w:rsidRPr="00220BDA">
        <w:rPr>
          <w:rFonts w:ascii="Arial" w:hAnsi="Arial" w:cs="Arial"/>
          <w:i/>
          <w:sz w:val="24"/>
          <w:szCs w:val="24"/>
          <w:lang w:val="en-ZA"/>
        </w:rPr>
        <w:t>Government Gazette</w:t>
      </w:r>
      <w:r w:rsidR="00012BA6" w:rsidRPr="00220BDA">
        <w:rPr>
          <w:rFonts w:ascii="Arial" w:hAnsi="Arial" w:cs="Arial"/>
          <w:sz w:val="24"/>
          <w:szCs w:val="24"/>
          <w:lang w:val="en-ZA"/>
        </w:rPr>
        <w:t xml:space="preserve"> and once in a daily newspaper published and circulating in KwaZulu-Natal.                                                        </w:t>
      </w:r>
    </w:p>
    <w:p w:rsidR="00012BA6" w:rsidRPr="00220BDA" w:rsidRDefault="00220BDA" w:rsidP="00220BDA">
      <w:pPr>
        <w:tabs>
          <w:tab w:val="left" w:pos="709"/>
          <w:tab w:val="left" w:pos="1418"/>
        </w:tabs>
        <w:spacing w:after="0" w:line="360" w:lineRule="auto"/>
        <w:jc w:val="both"/>
        <w:rPr>
          <w:rFonts w:ascii="Arial" w:hAnsi="Arial" w:cs="Arial"/>
          <w:sz w:val="24"/>
          <w:szCs w:val="24"/>
          <w:lang w:val="en-ZA"/>
        </w:rPr>
      </w:pPr>
      <w:r w:rsidRPr="00AE2AD4">
        <w:rPr>
          <w:rFonts w:ascii="Arial" w:hAnsi="Arial" w:cs="Arial"/>
          <w:sz w:val="24"/>
          <w:szCs w:val="24"/>
          <w:lang w:val="en-ZA"/>
        </w:rPr>
        <w:t>6.</w:t>
      </w:r>
      <w:r w:rsidRPr="00AE2AD4">
        <w:rPr>
          <w:rFonts w:ascii="Arial" w:hAnsi="Arial" w:cs="Arial"/>
          <w:sz w:val="24"/>
          <w:szCs w:val="24"/>
          <w:lang w:val="en-ZA"/>
        </w:rPr>
        <w:tab/>
      </w:r>
      <w:r w:rsidR="00012BA6" w:rsidRPr="00220BDA">
        <w:rPr>
          <w:rFonts w:ascii="Arial" w:hAnsi="Arial" w:cs="Arial"/>
          <w:sz w:val="24"/>
          <w:szCs w:val="24"/>
          <w:lang w:val="en-ZA"/>
        </w:rPr>
        <w:t>The costs of this application shall be costs in the winding-up of the respondent.</w:t>
      </w:r>
    </w:p>
    <w:p w:rsidR="00F66B69" w:rsidRDefault="00F66B69" w:rsidP="00231404">
      <w:pPr>
        <w:tabs>
          <w:tab w:val="left" w:pos="1418"/>
        </w:tabs>
        <w:spacing w:after="0" w:line="360" w:lineRule="auto"/>
        <w:jc w:val="both"/>
        <w:rPr>
          <w:rFonts w:ascii="Arial" w:hAnsi="Arial" w:cs="Arial"/>
          <w:sz w:val="24"/>
          <w:szCs w:val="24"/>
          <w:lang w:val="en-ZA"/>
        </w:rPr>
      </w:pPr>
    </w:p>
    <w:p w:rsidR="00F66B69" w:rsidRDefault="00F66B69" w:rsidP="000007E9">
      <w:pPr>
        <w:tabs>
          <w:tab w:val="left" w:pos="1418"/>
        </w:tabs>
        <w:spacing w:after="0" w:line="360" w:lineRule="auto"/>
        <w:jc w:val="both"/>
        <w:rPr>
          <w:rFonts w:ascii="Arial" w:hAnsi="Arial" w:cs="Arial"/>
          <w:sz w:val="24"/>
          <w:szCs w:val="24"/>
          <w:lang w:val="en-ZA"/>
        </w:rPr>
      </w:pPr>
    </w:p>
    <w:p w:rsidR="00AF6FB0" w:rsidRDefault="00AF6FB0" w:rsidP="000007E9">
      <w:pPr>
        <w:tabs>
          <w:tab w:val="left" w:pos="1418"/>
        </w:tabs>
        <w:spacing w:after="0" w:line="360" w:lineRule="auto"/>
        <w:jc w:val="both"/>
        <w:rPr>
          <w:rFonts w:ascii="Arial" w:hAnsi="Arial" w:cs="Arial"/>
          <w:sz w:val="24"/>
          <w:szCs w:val="24"/>
          <w:lang w:val="en-ZA"/>
        </w:rPr>
      </w:pPr>
    </w:p>
    <w:p w:rsidR="00AF6FB0" w:rsidRDefault="00AF6FB0" w:rsidP="000007E9">
      <w:pPr>
        <w:tabs>
          <w:tab w:val="left" w:pos="1418"/>
        </w:tabs>
        <w:spacing w:after="0" w:line="360" w:lineRule="auto"/>
        <w:jc w:val="both"/>
        <w:rPr>
          <w:rFonts w:ascii="Arial" w:hAnsi="Arial" w:cs="Arial"/>
          <w:sz w:val="24"/>
          <w:szCs w:val="24"/>
          <w:lang w:val="en-ZA"/>
        </w:rPr>
      </w:pPr>
    </w:p>
    <w:p w:rsidR="00012BA6" w:rsidRPr="00D90BC2" w:rsidRDefault="00012BA6" w:rsidP="000007E9">
      <w:pPr>
        <w:tabs>
          <w:tab w:val="left" w:pos="1418"/>
        </w:tabs>
        <w:spacing w:after="0" w:line="360" w:lineRule="auto"/>
        <w:jc w:val="both"/>
        <w:rPr>
          <w:rFonts w:ascii="Arial" w:hAnsi="Arial" w:cs="Arial"/>
          <w:sz w:val="24"/>
          <w:szCs w:val="24"/>
          <w:lang w:val="en-ZA"/>
        </w:rPr>
      </w:pPr>
    </w:p>
    <w:p w:rsidR="008213B2" w:rsidRPr="00D90BC2" w:rsidRDefault="006D1266" w:rsidP="000007E9">
      <w:pPr>
        <w:tabs>
          <w:tab w:val="left" w:pos="1418"/>
        </w:tabs>
        <w:spacing w:after="0" w:line="360" w:lineRule="auto"/>
        <w:jc w:val="both"/>
        <w:rPr>
          <w:rFonts w:ascii="Arial" w:hAnsi="Arial" w:cs="Arial"/>
          <w:sz w:val="24"/>
          <w:szCs w:val="24"/>
          <w:lang w:val="en-ZA"/>
        </w:rPr>
      </w:pPr>
      <w:r>
        <w:rPr>
          <w:rFonts w:ascii="Arial" w:hAnsi="Arial" w:cs="Arial"/>
          <w:noProof/>
          <w:lang w:val="en-US"/>
        </w:rPr>
        <w:drawing>
          <wp:anchor distT="0" distB="0" distL="114300" distR="114300" simplePos="0" relativeHeight="251659264" behindDoc="1" locked="0" layoutInCell="1" allowOverlap="1" wp14:anchorId="2BC135D6" wp14:editId="2B8C05C0">
            <wp:simplePos x="0" y="0"/>
            <wp:positionH relativeFrom="margin">
              <wp:align>right</wp:align>
            </wp:positionH>
            <wp:positionV relativeFrom="paragraph">
              <wp:posOffset>3810</wp:posOffset>
            </wp:positionV>
            <wp:extent cx="2026285" cy="499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l="22421" t="71602" r="42186" b="21655"/>
                    <a:stretch/>
                  </pic:blipFill>
                  <pic:spPr bwMode="auto">
                    <a:xfrm>
                      <a:off x="0" y="0"/>
                      <a:ext cx="2026285" cy="499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659C" w:rsidRPr="00D90BC2" w:rsidRDefault="0003659C" w:rsidP="0003659C">
      <w:pPr>
        <w:tabs>
          <w:tab w:val="left" w:pos="1418"/>
        </w:tabs>
        <w:spacing w:after="0" w:line="360" w:lineRule="auto"/>
        <w:jc w:val="right"/>
        <w:rPr>
          <w:rFonts w:ascii="Arial" w:hAnsi="Arial" w:cs="Arial"/>
          <w:sz w:val="24"/>
          <w:szCs w:val="24"/>
          <w:lang w:val="en-ZA"/>
        </w:rPr>
      </w:pPr>
      <w:r w:rsidRPr="00D90BC2">
        <w:rPr>
          <w:rFonts w:ascii="Arial" w:hAnsi="Arial" w:cs="Arial"/>
          <w:sz w:val="24"/>
          <w:szCs w:val="24"/>
          <w:lang w:val="en-ZA"/>
        </w:rPr>
        <w:t>__________________________</w:t>
      </w:r>
    </w:p>
    <w:p w:rsidR="0003659C" w:rsidRPr="00D90BC2" w:rsidRDefault="0003659C" w:rsidP="0003659C">
      <w:pPr>
        <w:tabs>
          <w:tab w:val="left" w:pos="1418"/>
        </w:tabs>
        <w:spacing w:after="0" w:line="360" w:lineRule="auto"/>
        <w:jc w:val="right"/>
        <w:rPr>
          <w:rFonts w:ascii="Arial" w:hAnsi="Arial" w:cs="Arial"/>
          <w:sz w:val="24"/>
          <w:szCs w:val="24"/>
          <w:lang w:val="en-ZA"/>
        </w:rPr>
      </w:pPr>
    </w:p>
    <w:p w:rsidR="0003659C" w:rsidRPr="00D90BC2" w:rsidRDefault="0003659C" w:rsidP="0003659C">
      <w:pPr>
        <w:tabs>
          <w:tab w:val="left" w:pos="1418"/>
        </w:tabs>
        <w:spacing w:after="0" w:line="360" w:lineRule="auto"/>
        <w:jc w:val="right"/>
        <w:rPr>
          <w:rFonts w:ascii="Arial" w:hAnsi="Arial" w:cs="Arial"/>
          <w:b/>
          <w:bCs/>
          <w:sz w:val="24"/>
          <w:szCs w:val="24"/>
          <w:lang w:val="en-ZA"/>
        </w:rPr>
      </w:pPr>
      <w:r w:rsidRPr="00D90BC2">
        <w:rPr>
          <w:rFonts w:ascii="Arial" w:hAnsi="Arial" w:cs="Arial"/>
          <w:b/>
          <w:bCs/>
          <w:sz w:val="24"/>
          <w:szCs w:val="24"/>
          <w:lang w:val="en-ZA"/>
        </w:rPr>
        <w:t>MOSSOP J</w:t>
      </w:r>
    </w:p>
    <w:p w:rsidR="00CC26DE" w:rsidRDefault="00CC26DE" w:rsidP="00D53F40">
      <w:pPr>
        <w:spacing w:line="360" w:lineRule="auto"/>
        <w:jc w:val="center"/>
        <w:rPr>
          <w:rFonts w:ascii="Arial" w:eastAsia="Calibri" w:hAnsi="Arial" w:cs="Arial"/>
          <w:b/>
          <w:u w:val="single"/>
          <w:lang w:val="en-ZA"/>
        </w:rPr>
      </w:pPr>
    </w:p>
    <w:p w:rsidR="00CC26DE" w:rsidRDefault="00CC26DE" w:rsidP="00D53F40">
      <w:pPr>
        <w:spacing w:line="360" w:lineRule="auto"/>
        <w:jc w:val="center"/>
        <w:rPr>
          <w:rFonts w:ascii="Arial" w:eastAsia="Calibri" w:hAnsi="Arial" w:cs="Arial"/>
          <w:b/>
          <w:u w:val="single"/>
          <w:lang w:val="en-ZA"/>
        </w:rPr>
      </w:pPr>
    </w:p>
    <w:p w:rsidR="00CC26DE" w:rsidRDefault="00CC26DE" w:rsidP="00D53F40">
      <w:pPr>
        <w:spacing w:line="360" w:lineRule="auto"/>
        <w:jc w:val="center"/>
        <w:rPr>
          <w:rFonts w:ascii="Arial" w:eastAsia="Calibri" w:hAnsi="Arial" w:cs="Arial"/>
          <w:b/>
          <w:u w:val="single"/>
          <w:lang w:val="en-ZA"/>
        </w:rPr>
      </w:pPr>
    </w:p>
    <w:p w:rsidR="00CC26DE" w:rsidRDefault="00CC26DE" w:rsidP="00D53F40">
      <w:pPr>
        <w:spacing w:line="360" w:lineRule="auto"/>
        <w:jc w:val="center"/>
        <w:rPr>
          <w:rFonts w:ascii="Arial" w:eastAsia="Calibri" w:hAnsi="Arial" w:cs="Arial"/>
          <w:b/>
          <w:u w:val="single"/>
          <w:lang w:val="en-ZA"/>
        </w:rPr>
      </w:pPr>
    </w:p>
    <w:p w:rsidR="00CC26DE" w:rsidRDefault="00CC26DE" w:rsidP="00D53F40">
      <w:pPr>
        <w:spacing w:line="360" w:lineRule="auto"/>
        <w:jc w:val="center"/>
        <w:rPr>
          <w:rFonts w:ascii="Arial" w:eastAsia="Calibri" w:hAnsi="Arial" w:cs="Arial"/>
          <w:b/>
          <w:u w:val="single"/>
          <w:lang w:val="en-ZA"/>
        </w:rPr>
      </w:pPr>
    </w:p>
    <w:p w:rsidR="00CC26DE" w:rsidRDefault="00CC26DE" w:rsidP="00D53F40">
      <w:pPr>
        <w:spacing w:line="360" w:lineRule="auto"/>
        <w:jc w:val="center"/>
        <w:rPr>
          <w:rFonts w:ascii="Arial" w:eastAsia="Calibri" w:hAnsi="Arial" w:cs="Arial"/>
          <w:b/>
          <w:u w:val="single"/>
          <w:lang w:val="en-ZA"/>
        </w:rPr>
      </w:pPr>
    </w:p>
    <w:p w:rsidR="00CC26DE" w:rsidRDefault="00CC26DE" w:rsidP="00D53F40">
      <w:pPr>
        <w:spacing w:line="360" w:lineRule="auto"/>
        <w:jc w:val="center"/>
        <w:rPr>
          <w:rFonts w:ascii="Arial" w:eastAsia="Calibri" w:hAnsi="Arial" w:cs="Arial"/>
          <w:b/>
          <w:u w:val="single"/>
          <w:lang w:val="en-ZA"/>
        </w:rPr>
      </w:pPr>
    </w:p>
    <w:p w:rsidR="00CC26DE" w:rsidRDefault="00CC26DE" w:rsidP="00D53F40">
      <w:pPr>
        <w:spacing w:line="360" w:lineRule="auto"/>
        <w:jc w:val="center"/>
        <w:rPr>
          <w:rFonts w:ascii="Arial" w:eastAsia="Calibri" w:hAnsi="Arial" w:cs="Arial"/>
          <w:b/>
          <w:u w:val="single"/>
          <w:lang w:val="en-ZA"/>
        </w:rPr>
      </w:pPr>
    </w:p>
    <w:p w:rsidR="00CC26DE" w:rsidRDefault="00CC26DE" w:rsidP="00D53F40">
      <w:pPr>
        <w:spacing w:line="360" w:lineRule="auto"/>
        <w:jc w:val="center"/>
        <w:rPr>
          <w:rFonts w:ascii="Arial" w:eastAsia="Calibri" w:hAnsi="Arial" w:cs="Arial"/>
          <w:b/>
          <w:u w:val="single"/>
          <w:lang w:val="en-ZA"/>
        </w:rPr>
      </w:pPr>
    </w:p>
    <w:p w:rsidR="00CC26DE" w:rsidRDefault="00CC26DE" w:rsidP="00D53F40">
      <w:pPr>
        <w:spacing w:line="360" w:lineRule="auto"/>
        <w:jc w:val="center"/>
        <w:rPr>
          <w:rFonts w:ascii="Arial" w:eastAsia="Calibri" w:hAnsi="Arial" w:cs="Arial"/>
          <w:b/>
          <w:u w:val="single"/>
          <w:lang w:val="en-ZA"/>
        </w:rPr>
      </w:pPr>
    </w:p>
    <w:p w:rsidR="00CC26DE" w:rsidRDefault="00CC26DE" w:rsidP="00D53F40">
      <w:pPr>
        <w:spacing w:line="360" w:lineRule="auto"/>
        <w:jc w:val="center"/>
        <w:rPr>
          <w:rFonts w:ascii="Arial" w:eastAsia="Calibri" w:hAnsi="Arial" w:cs="Arial"/>
          <w:b/>
          <w:u w:val="single"/>
          <w:lang w:val="en-ZA"/>
        </w:rPr>
      </w:pPr>
    </w:p>
    <w:p w:rsidR="00CC26DE" w:rsidRDefault="00CC26DE" w:rsidP="00D53F40">
      <w:pPr>
        <w:spacing w:line="360" w:lineRule="auto"/>
        <w:jc w:val="center"/>
        <w:rPr>
          <w:rFonts w:ascii="Arial" w:eastAsia="Calibri" w:hAnsi="Arial" w:cs="Arial"/>
          <w:b/>
          <w:u w:val="single"/>
          <w:lang w:val="en-ZA"/>
        </w:rPr>
      </w:pPr>
    </w:p>
    <w:p w:rsidR="00D53F40" w:rsidRPr="00D90BC2" w:rsidRDefault="00A66FD8" w:rsidP="00D53F40">
      <w:pPr>
        <w:spacing w:line="360" w:lineRule="auto"/>
        <w:jc w:val="center"/>
        <w:rPr>
          <w:rFonts w:ascii="Arial" w:eastAsia="Calibri" w:hAnsi="Arial" w:cs="Arial"/>
          <w:b/>
          <w:u w:val="single"/>
          <w:lang w:val="en-ZA"/>
        </w:rPr>
      </w:pPr>
      <w:r>
        <w:rPr>
          <w:rFonts w:ascii="Arial" w:eastAsia="Calibri" w:hAnsi="Arial" w:cs="Arial"/>
          <w:b/>
          <w:u w:val="single"/>
          <w:lang w:val="en-ZA"/>
        </w:rPr>
        <w:t>A</w:t>
      </w:r>
      <w:r w:rsidR="00D53F40" w:rsidRPr="00D90BC2">
        <w:rPr>
          <w:rFonts w:ascii="Arial" w:eastAsia="Calibri" w:hAnsi="Arial" w:cs="Arial"/>
          <w:b/>
          <w:u w:val="single"/>
          <w:lang w:val="en-ZA"/>
        </w:rPr>
        <w:t>PPEARANCES</w:t>
      </w:r>
    </w:p>
    <w:p w:rsidR="00446D56" w:rsidRPr="00D90BC2" w:rsidRDefault="00446D56" w:rsidP="00D53F40">
      <w:pPr>
        <w:spacing w:line="360" w:lineRule="auto"/>
        <w:jc w:val="center"/>
        <w:rPr>
          <w:rFonts w:ascii="Arial" w:eastAsia="Calibri" w:hAnsi="Arial" w:cs="Arial"/>
          <w:b/>
          <w:u w:val="single"/>
          <w:lang w:val="en-ZA"/>
        </w:rPr>
      </w:pPr>
    </w:p>
    <w:p w:rsidR="00D53F40" w:rsidRPr="00D90BC2" w:rsidRDefault="00D53F40" w:rsidP="00D53F40">
      <w:pPr>
        <w:spacing w:after="0" w:line="360" w:lineRule="auto"/>
        <w:ind w:right="-82"/>
        <w:jc w:val="both"/>
        <w:rPr>
          <w:rFonts w:ascii="Arial" w:hAnsi="Arial" w:cs="Arial"/>
          <w:lang w:val="en-ZA"/>
        </w:rPr>
      </w:pPr>
      <w:r w:rsidRPr="00D90BC2">
        <w:rPr>
          <w:rFonts w:ascii="Arial" w:hAnsi="Arial" w:cs="Arial"/>
          <w:lang w:val="en-ZA"/>
        </w:rPr>
        <w:t>Counsel for the app</w:t>
      </w:r>
      <w:r w:rsidR="00C86E89" w:rsidRPr="00D90BC2">
        <w:rPr>
          <w:rFonts w:ascii="Arial" w:hAnsi="Arial" w:cs="Arial"/>
          <w:lang w:val="en-ZA"/>
        </w:rPr>
        <w:t>licant</w:t>
      </w:r>
      <w:r w:rsidRPr="00D90BC2">
        <w:rPr>
          <w:rFonts w:ascii="Arial" w:hAnsi="Arial" w:cs="Arial"/>
          <w:lang w:val="en-ZA"/>
        </w:rPr>
        <w:tab/>
      </w:r>
      <w:r w:rsidRPr="00D90BC2">
        <w:rPr>
          <w:rFonts w:ascii="Arial" w:hAnsi="Arial" w:cs="Arial"/>
          <w:lang w:val="en-ZA"/>
        </w:rPr>
        <w:tab/>
        <w:t xml:space="preserve">:  </w:t>
      </w:r>
      <w:r w:rsidRPr="00D90BC2">
        <w:rPr>
          <w:rFonts w:ascii="Arial" w:hAnsi="Arial" w:cs="Arial"/>
          <w:lang w:val="en-ZA"/>
        </w:rPr>
        <w:tab/>
        <w:t>Mr</w:t>
      </w:r>
      <w:r w:rsidR="00965280" w:rsidRPr="00D90BC2">
        <w:rPr>
          <w:rFonts w:ascii="Arial" w:hAnsi="Arial" w:cs="Arial"/>
          <w:lang w:val="en-ZA"/>
        </w:rPr>
        <w:t xml:space="preserve">. </w:t>
      </w:r>
      <w:r w:rsidR="00CD2028">
        <w:rPr>
          <w:rFonts w:ascii="Arial" w:hAnsi="Arial" w:cs="Arial"/>
          <w:lang w:val="en-ZA"/>
        </w:rPr>
        <w:t xml:space="preserve">W. </w:t>
      </w:r>
      <w:r w:rsidR="004D5D74">
        <w:rPr>
          <w:rFonts w:ascii="Arial" w:hAnsi="Arial" w:cs="Arial"/>
          <w:lang w:val="en-ZA"/>
        </w:rPr>
        <w:t>J</w:t>
      </w:r>
      <w:r w:rsidR="00CD2028">
        <w:rPr>
          <w:rFonts w:ascii="Arial" w:hAnsi="Arial" w:cs="Arial"/>
          <w:lang w:val="en-ZA"/>
        </w:rPr>
        <w:t>.</w:t>
      </w:r>
      <w:r w:rsidR="004D5D74">
        <w:rPr>
          <w:rFonts w:ascii="Arial" w:hAnsi="Arial" w:cs="Arial"/>
          <w:lang w:val="en-ZA"/>
        </w:rPr>
        <w:t xml:space="preserve"> </w:t>
      </w:r>
      <w:r w:rsidR="00CD2028">
        <w:rPr>
          <w:rFonts w:ascii="Arial" w:hAnsi="Arial" w:cs="Arial"/>
          <w:lang w:val="en-ZA"/>
        </w:rPr>
        <w:t>Pietersen</w:t>
      </w:r>
    </w:p>
    <w:p w:rsidR="00446D56" w:rsidRPr="00D90BC2" w:rsidRDefault="00D53F40" w:rsidP="00C86E89">
      <w:pPr>
        <w:spacing w:after="0" w:line="360" w:lineRule="auto"/>
        <w:ind w:right="-82"/>
        <w:jc w:val="both"/>
        <w:rPr>
          <w:rFonts w:ascii="Arial" w:hAnsi="Arial" w:cs="Arial"/>
          <w:lang w:val="en-ZA"/>
        </w:rPr>
      </w:pPr>
      <w:r w:rsidRPr="00D90BC2">
        <w:rPr>
          <w:rFonts w:ascii="Arial" w:hAnsi="Arial" w:cs="Arial"/>
          <w:lang w:val="en-ZA"/>
        </w:rPr>
        <w:t>Instructed by:</w:t>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t>:</w:t>
      </w:r>
      <w:r w:rsidRPr="00D90BC2">
        <w:rPr>
          <w:rFonts w:ascii="Arial" w:hAnsi="Arial" w:cs="Arial"/>
          <w:lang w:val="en-ZA"/>
        </w:rPr>
        <w:tab/>
      </w:r>
      <w:r w:rsidR="00CD2028">
        <w:rPr>
          <w:rFonts w:ascii="Arial" w:hAnsi="Arial" w:cs="Arial"/>
          <w:lang w:val="en-ZA"/>
        </w:rPr>
        <w:t>Johnston and Partners</w:t>
      </w:r>
    </w:p>
    <w:p w:rsidR="00C86E89" w:rsidRDefault="00C86E89" w:rsidP="00CD2028">
      <w:pPr>
        <w:spacing w:after="0" w:line="360" w:lineRule="auto"/>
        <w:ind w:right="-82"/>
        <w:jc w:val="both"/>
        <w:rPr>
          <w:rFonts w:ascii="Arial" w:hAnsi="Arial" w:cs="Arial"/>
          <w:lang w:val="en-ZA"/>
        </w:rPr>
      </w:pP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004D5D74">
        <w:rPr>
          <w:rFonts w:ascii="Arial" w:hAnsi="Arial" w:cs="Arial"/>
          <w:lang w:val="en-ZA"/>
        </w:rPr>
        <w:t>Locally represented by</w:t>
      </w:r>
      <w:r w:rsidR="00CD2028">
        <w:rPr>
          <w:rFonts w:ascii="Arial" w:hAnsi="Arial" w:cs="Arial"/>
          <w:lang w:val="en-ZA"/>
        </w:rPr>
        <w:t>:</w:t>
      </w:r>
    </w:p>
    <w:p w:rsidR="00CD2028" w:rsidRDefault="00CD2028" w:rsidP="00CD2028">
      <w:pPr>
        <w:spacing w:after="0" w:line="360" w:lineRule="auto"/>
        <w:ind w:left="3600" w:right="-82" w:firstLine="720"/>
        <w:jc w:val="both"/>
        <w:rPr>
          <w:rFonts w:ascii="Arial" w:hAnsi="Arial" w:cs="Arial"/>
          <w:lang w:val="en-ZA"/>
        </w:rPr>
      </w:pPr>
      <w:r>
        <w:rPr>
          <w:rFonts w:ascii="Arial" w:hAnsi="Arial" w:cs="Arial"/>
          <w:lang w:val="en-ZA"/>
        </w:rPr>
        <w:t>Stowell and Co</w:t>
      </w:r>
    </w:p>
    <w:p w:rsidR="00CD2028" w:rsidRDefault="00CD2028" w:rsidP="00CD2028">
      <w:pPr>
        <w:spacing w:after="0" w:line="360" w:lineRule="auto"/>
        <w:ind w:right="-82"/>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295 Pietermaritz Street</w:t>
      </w:r>
    </w:p>
    <w:p w:rsidR="00CD2028" w:rsidRPr="00D90BC2" w:rsidRDefault="00CD2028" w:rsidP="00CD2028">
      <w:pPr>
        <w:spacing w:after="0" w:line="360" w:lineRule="auto"/>
        <w:ind w:right="-82"/>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Pietermaritzburg</w:t>
      </w:r>
    </w:p>
    <w:p w:rsidR="00D53F40" w:rsidRPr="00D90BC2" w:rsidRDefault="00D53F40" w:rsidP="00D53F40">
      <w:pPr>
        <w:spacing w:after="0" w:line="360" w:lineRule="auto"/>
        <w:ind w:right="-82"/>
        <w:jc w:val="both"/>
        <w:rPr>
          <w:rFonts w:ascii="Arial" w:hAnsi="Arial" w:cs="Arial"/>
          <w:lang w:val="en-ZA"/>
        </w:rPr>
      </w:pP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t xml:space="preserve"> </w:t>
      </w:r>
    </w:p>
    <w:p w:rsidR="00D53F40" w:rsidRPr="00D90BC2" w:rsidRDefault="00D53F40" w:rsidP="00F67EE5">
      <w:pPr>
        <w:spacing w:after="0" w:line="360" w:lineRule="auto"/>
        <w:jc w:val="both"/>
        <w:rPr>
          <w:rFonts w:ascii="Arial" w:hAnsi="Arial" w:cs="Arial"/>
          <w:lang w:val="en-ZA"/>
        </w:rPr>
      </w:pPr>
      <w:r w:rsidRPr="00D90BC2">
        <w:rPr>
          <w:rFonts w:ascii="Arial" w:hAnsi="Arial" w:cs="Arial"/>
          <w:lang w:val="en-ZA"/>
        </w:rPr>
        <w:t xml:space="preserve">Counsel for the </w:t>
      </w:r>
      <w:r w:rsidR="004D5D74">
        <w:rPr>
          <w:rFonts w:ascii="Arial" w:hAnsi="Arial" w:cs="Arial"/>
          <w:lang w:val="en-ZA"/>
        </w:rPr>
        <w:t>respondent</w:t>
      </w:r>
      <w:r w:rsidR="00965280" w:rsidRPr="00D90BC2">
        <w:rPr>
          <w:rFonts w:ascii="Arial" w:hAnsi="Arial" w:cs="Arial"/>
          <w:lang w:val="en-ZA"/>
        </w:rPr>
        <w:tab/>
        <w:t>:</w:t>
      </w:r>
      <w:r w:rsidR="00965280" w:rsidRPr="00D90BC2">
        <w:rPr>
          <w:rFonts w:ascii="Arial" w:hAnsi="Arial" w:cs="Arial"/>
          <w:lang w:val="en-ZA"/>
        </w:rPr>
        <w:tab/>
      </w:r>
      <w:r w:rsidR="004D5D74">
        <w:rPr>
          <w:rFonts w:ascii="Arial" w:hAnsi="Arial" w:cs="Arial"/>
          <w:lang w:val="en-ZA"/>
        </w:rPr>
        <w:tab/>
      </w:r>
      <w:r w:rsidR="00C86E89" w:rsidRPr="00D90BC2">
        <w:rPr>
          <w:rFonts w:ascii="Arial" w:hAnsi="Arial" w:cs="Arial"/>
          <w:lang w:val="en-ZA"/>
        </w:rPr>
        <w:t>M</w:t>
      </w:r>
      <w:r w:rsidR="00D407D8">
        <w:rPr>
          <w:rFonts w:ascii="Arial" w:hAnsi="Arial" w:cs="Arial"/>
          <w:lang w:val="en-ZA"/>
        </w:rPr>
        <w:t>r A. K. Kissoon Singh SC</w:t>
      </w:r>
      <w:r w:rsidRPr="00D90BC2">
        <w:rPr>
          <w:rFonts w:ascii="Arial" w:hAnsi="Arial" w:cs="Arial"/>
          <w:lang w:val="en-ZA"/>
        </w:rPr>
        <w:tab/>
      </w:r>
    </w:p>
    <w:p w:rsidR="00965280" w:rsidRPr="00D90BC2" w:rsidRDefault="00D53F40" w:rsidP="00C86E89">
      <w:pPr>
        <w:spacing w:after="0" w:line="360" w:lineRule="auto"/>
        <w:ind w:right="-82"/>
        <w:jc w:val="both"/>
        <w:rPr>
          <w:rFonts w:ascii="Arial" w:hAnsi="Arial" w:cs="Arial"/>
          <w:lang w:val="en-ZA"/>
        </w:rPr>
      </w:pPr>
      <w:r w:rsidRPr="00D90BC2">
        <w:rPr>
          <w:rFonts w:ascii="Arial" w:hAnsi="Arial" w:cs="Arial"/>
          <w:lang w:val="en-ZA"/>
        </w:rPr>
        <w:t>Instructed by</w:t>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t>:</w:t>
      </w:r>
      <w:r w:rsidRPr="00D90BC2">
        <w:rPr>
          <w:rFonts w:ascii="Arial" w:hAnsi="Arial" w:cs="Arial"/>
          <w:lang w:val="en-ZA"/>
        </w:rPr>
        <w:tab/>
      </w:r>
      <w:r w:rsidR="004D5D74">
        <w:rPr>
          <w:rFonts w:ascii="Arial" w:hAnsi="Arial" w:cs="Arial"/>
          <w:lang w:val="en-ZA"/>
        </w:rPr>
        <w:t>Kevesh Singh and Company</w:t>
      </w:r>
    </w:p>
    <w:p w:rsidR="00C86E89" w:rsidRDefault="00C86E89" w:rsidP="004D5D74">
      <w:pPr>
        <w:spacing w:after="0" w:line="360" w:lineRule="auto"/>
        <w:ind w:right="-82"/>
        <w:jc w:val="both"/>
        <w:rPr>
          <w:rFonts w:ascii="Arial" w:hAnsi="Arial" w:cs="Arial"/>
          <w:lang w:val="en-ZA"/>
        </w:rPr>
      </w:pP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004D5D74">
        <w:rPr>
          <w:rFonts w:ascii="Arial" w:hAnsi="Arial" w:cs="Arial"/>
          <w:lang w:val="en-ZA"/>
        </w:rPr>
        <w:t>Locally represented by:</w:t>
      </w:r>
    </w:p>
    <w:p w:rsidR="004D5D74" w:rsidRDefault="004D5D74" w:rsidP="004D5D74">
      <w:pPr>
        <w:spacing w:after="0" w:line="360" w:lineRule="auto"/>
        <w:ind w:right="-82"/>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Anand Pillay Incorporated </w:t>
      </w:r>
    </w:p>
    <w:p w:rsidR="004D5D74" w:rsidRDefault="004D5D74" w:rsidP="004D5D74">
      <w:pPr>
        <w:spacing w:after="0" w:line="360" w:lineRule="auto"/>
        <w:ind w:right="-82"/>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37 Henrietta Street</w:t>
      </w:r>
    </w:p>
    <w:p w:rsidR="004D5D74" w:rsidRPr="00D90BC2" w:rsidRDefault="004D5D74" w:rsidP="004D5D74">
      <w:pPr>
        <w:spacing w:after="0" w:line="360" w:lineRule="auto"/>
        <w:ind w:right="-82"/>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Pietermaritzburg</w:t>
      </w:r>
    </w:p>
    <w:p w:rsidR="00D53F40" w:rsidRPr="00D90BC2" w:rsidRDefault="00D53F40" w:rsidP="00D53F40">
      <w:pPr>
        <w:spacing w:after="0" w:line="360" w:lineRule="auto"/>
        <w:ind w:left="3600" w:right="-82" w:firstLine="720"/>
        <w:jc w:val="both"/>
        <w:rPr>
          <w:rFonts w:ascii="Arial" w:hAnsi="Arial" w:cs="Arial"/>
          <w:lang w:val="en-ZA"/>
        </w:rPr>
      </w:pPr>
    </w:p>
    <w:p w:rsidR="00D53F40" w:rsidRPr="00D90BC2" w:rsidRDefault="00D53F40" w:rsidP="00D53F40">
      <w:pPr>
        <w:spacing w:after="0" w:line="360" w:lineRule="auto"/>
        <w:jc w:val="both"/>
        <w:rPr>
          <w:rFonts w:ascii="Arial" w:eastAsia="Calibri" w:hAnsi="Arial" w:cs="Arial"/>
          <w:lang w:val="en-ZA"/>
        </w:rPr>
      </w:pPr>
      <w:r w:rsidRPr="00D90BC2">
        <w:rPr>
          <w:rFonts w:ascii="Arial" w:eastAsia="Calibri" w:hAnsi="Arial" w:cs="Arial"/>
          <w:lang w:val="en-ZA"/>
        </w:rPr>
        <w:t xml:space="preserve">Date of Hearing </w:t>
      </w:r>
      <w:r w:rsidRPr="00D90BC2">
        <w:rPr>
          <w:rFonts w:ascii="Arial" w:eastAsia="Calibri" w:hAnsi="Arial" w:cs="Arial"/>
          <w:lang w:val="en-ZA"/>
        </w:rPr>
        <w:tab/>
      </w:r>
      <w:r w:rsidRPr="00D90BC2">
        <w:rPr>
          <w:rFonts w:ascii="Arial" w:eastAsia="Calibri" w:hAnsi="Arial" w:cs="Arial"/>
          <w:lang w:val="en-ZA"/>
        </w:rPr>
        <w:tab/>
      </w:r>
      <w:r w:rsidRPr="00D90BC2">
        <w:rPr>
          <w:rFonts w:ascii="Arial" w:eastAsia="Calibri" w:hAnsi="Arial" w:cs="Arial"/>
          <w:lang w:val="en-ZA"/>
        </w:rPr>
        <w:tab/>
        <w:t>:</w:t>
      </w:r>
      <w:r w:rsidRPr="00D90BC2">
        <w:rPr>
          <w:rFonts w:ascii="Arial" w:eastAsia="Calibri" w:hAnsi="Arial" w:cs="Arial"/>
          <w:lang w:val="en-ZA"/>
        </w:rPr>
        <w:tab/>
      </w:r>
      <w:r w:rsidR="004D5D74">
        <w:rPr>
          <w:rFonts w:ascii="Arial" w:eastAsia="Calibri" w:hAnsi="Arial" w:cs="Arial"/>
          <w:lang w:val="en-ZA"/>
        </w:rPr>
        <w:t>14 March 2023</w:t>
      </w:r>
    </w:p>
    <w:p w:rsidR="00D53F40" w:rsidRPr="00D90BC2" w:rsidRDefault="00D53F40" w:rsidP="00D53F40">
      <w:pPr>
        <w:spacing w:after="0" w:line="360" w:lineRule="auto"/>
        <w:jc w:val="both"/>
        <w:rPr>
          <w:rFonts w:ascii="Arial" w:eastAsia="Calibri" w:hAnsi="Arial" w:cs="Arial"/>
          <w:lang w:val="en-ZA"/>
        </w:rPr>
      </w:pPr>
    </w:p>
    <w:p w:rsidR="00D53F40" w:rsidRPr="00D90BC2" w:rsidRDefault="00D53F40" w:rsidP="00D53F40">
      <w:pPr>
        <w:spacing w:after="0" w:line="360" w:lineRule="auto"/>
        <w:jc w:val="both"/>
        <w:rPr>
          <w:rFonts w:ascii="Arial" w:eastAsia="Calibri" w:hAnsi="Arial" w:cs="Arial"/>
          <w:lang w:val="en-ZA"/>
        </w:rPr>
      </w:pPr>
      <w:r w:rsidRPr="00D90BC2">
        <w:rPr>
          <w:rFonts w:ascii="Arial" w:eastAsia="Calibri" w:hAnsi="Arial" w:cs="Arial"/>
          <w:lang w:val="en-ZA"/>
        </w:rPr>
        <w:t xml:space="preserve">Date of Judgment </w:t>
      </w:r>
      <w:r w:rsidRPr="00D90BC2">
        <w:rPr>
          <w:rFonts w:ascii="Arial" w:eastAsia="Calibri" w:hAnsi="Arial" w:cs="Arial"/>
          <w:lang w:val="en-ZA"/>
        </w:rPr>
        <w:tab/>
      </w:r>
      <w:r w:rsidRPr="00D90BC2">
        <w:rPr>
          <w:rFonts w:ascii="Arial" w:eastAsia="Calibri" w:hAnsi="Arial" w:cs="Arial"/>
          <w:lang w:val="en-ZA"/>
        </w:rPr>
        <w:tab/>
      </w:r>
      <w:r w:rsidRPr="00D90BC2">
        <w:rPr>
          <w:rFonts w:ascii="Arial" w:eastAsia="Calibri" w:hAnsi="Arial" w:cs="Arial"/>
          <w:lang w:val="en-ZA"/>
        </w:rPr>
        <w:tab/>
        <w:t>:</w:t>
      </w:r>
      <w:r w:rsidRPr="00D90BC2">
        <w:rPr>
          <w:rFonts w:ascii="Arial" w:eastAsia="Calibri" w:hAnsi="Arial" w:cs="Arial"/>
          <w:lang w:val="en-ZA"/>
        </w:rPr>
        <w:tab/>
      </w:r>
      <w:r w:rsidR="006D1266">
        <w:rPr>
          <w:rFonts w:ascii="Arial" w:eastAsia="Calibri" w:hAnsi="Arial" w:cs="Arial"/>
          <w:lang w:val="en-ZA"/>
        </w:rPr>
        <w:t xml:space="preserve">27 </w:t>
      </w:r>
      <w:r w:rsidR="004D5D74">
        <w:rPr>
          <w:rFonts w:ascii="Arial" w:eastAsia="Calibri" w:hAnsi="Arial" w:cs="Arial"/>
          <w:lang w:val="en-ZA"/>
        </w:rPr>
        <w:t>March 2023</w:t>
      </w:r>
    </w:p>
    <w:p w:rsidR="00D53F40" w:rsidRPr="00D90BC2" w:rsidRDefault="00D53F40" w:rsidP="00D53F40">
      <w:pPr>
        <w:spacing w:line="360" w:lineRule="auto"/>
        <w:jc w:val="both"/>
        <w:rPr>
          <w:rFonts w:ascii="Arial" w:hAnsi="Arial" w:cs="Arial"/>
          <w:b/>
          <w:bCs/>
          <w:lang w:val="en-ZA"/>
        </w:rPr>
      </w:pPr>
    </w:p>
    <w:p w:rsidR="00D53F40" w:rsidRPr="00D90BC2" w:rsidRDefault="00D53F40" w:rsidP="00D53F40">
      <w:pPr>
        <w:pStyle w:val="ListParagraph"/>
        <w:tabs>
          <w:tab w:val="left" w:pos="900"/>
        </w:tabs>
        <w:spacing w:after="0" w:line="360" w:lineRule="auto"/>
        <w:ind w:left="0"/>
        <w:jc w:val="both"/>
        <w:rPr>
          <w:rFonts w:ascii="Arial" w:hAnsi="Arial" w:cs="Arial"/>
          <w:b/>
          <w:color w:val="000000" w:themeColor="text1"/>
          <w:sz w:val="24"/>
          <w:szCs w:val="24"/>
          <w:lang w:val="en-ZA"/>
        </w:rPr>
      </w:pPr>
    </w:p>
    <w:p w:rsidR="00D53F40" w:rsidRPr="00D90BC2" w:rsidRDefault="00D53F40" w:rsidP="00D53F40">
      <w:pPr>
        <w:tabs>
          <w:tab w:val="left" w:pos="1418"/>
        </w:tabs>
        <w:spacing w:after="0" w:line="360" w:lineRule="auto"/>
        <w:jc w:val="both"/>
        <w:rPr>
          <w:rFonts w:ascii="Arial" w:hAnsi="Arial" w:cs="Arial"/>
          <w:b/>
          <w:bCs/>
          <w:sz w:val="24"/>
          <w:szCs w:val="24"/>
          <w:lang w:val="en-ZA"/>
        </w:rPr>
      </w:pPr>
    </w:p>
    <w:sectPr w:rsidR="00D53F40" w:rsidRPr="00D90BC2" w:rsidSect="004E3E73">
      <w:headerReference w:type="default" r:id="rId10"/>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8F3" w:rsidRDefault="00C338F3" w:rsidP="007C243E">
      <w:pPr>
        <w:spacing w:after="0" w:line="240" w:lineRule="auto"/>
      </w:pPr>
      <w:r>
        <w:separator/>
      </w:r>
    </w:p>
  </w:endnote>
  <w:endnote w:type="continuationSeparator" w:id="0">
    <w:p w:rsidR="00C338F3" w:rsidRDefault="00C338F3" w:rsidP="007C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8F3" w:rsidRDefault="00C338F3" w:rsidP="007C243E">
      <w:pPr>
        <w:spacing w:after="0" w:line="240" w:lineRule="auto"/>
      </w:pPr>
      <w:r>
        <w:separator/>
      </w:r>
    </w:p>
  </w:footnote>
  <w:footnote w:type="continuationSeparator" w:id="0">
    <w:p w:rsidR="00C338F3" w:rsidRDefault="00C338F3" w:rsidP="007C243E">
      <w:pPr>
        <w:spacing w:after="0" w:line="240" w:lineRule="auto"/>
      </w:pPr>
      <w:r>
        <w:continuationSeparator/>
      </w:r>
    </w:p>
  </w:footnote>
  <w:footnote w:id="1">
    <w:p w:rsidR="00DC31C8" w:rsidRPr="00DC31C8" w:rsidRDefault="00DC31C8" w:rsidP="00DC31C8">
      <w:pPr>
        <w:pStyle w:val="FootnoteText"/>
        <w:jc w:val="both"/>
        <w:rPr>
          <w:rFonts w:ascii="Arial" w:hAnsi="Arial" w:cs="Arial"/>
          <w:lang w:val="en-US"/>
        </w:rPr>
      </w:pPr>
      <w:r w:rsidRPr="00DC31C8">
        <w:rPr>
          <w:rStyle w:val="FootnoteReference"/>
          <w:rFonts w:ascii="Arial" w:hAnsi="Arial" w:cs="Arial"/>
        </w:rPr>
        <w:footnoteRef/>
      </w:r>
      <w:r w:rsidRPr="00DC31C8">
        <w:rPr>
          <w:rFonts w:ascii="Arial" w:hAnsi="Arial" w:cs="Arial"/>
        </w:rPr>
        <w:t xml:space="preserve"> </w:t>
      </w:r>
      <w:r w:rsidRPr="00DC31C8">
        <w:rPr>
          <w:rFonts w:ascii="Arial" w:hAnsi="Arial" w:cs="Arial"/>
          <w:i/>
          <w:lang w:val="en-ZA"/>
        </w:rPr>
        <w:t xml:space="preserve">Badenhorst v Northern Construction Enterprises </w:t>
      </w:r>
      <w:r w:rsidR="00ED4513">
        <w:rPr>
          <w:rFonts w:ascii="Arial" w:hAnsi="Arial" w:cs="Arial"/>
          <w:i/>
          <w:lang w:val="en-ZA"/>
        </w:rPr>
        <w:t xml:space="preserve">(Pty) </w:t>
      </w:r>
      <w:r w:rsidRPr="00DC31C8">
        <w:rPr>
          <w:rFonts w:ascii="Arial" w:hAnsi="Arial" w:cs="Arial"/>
          <w:i/>
          <w:lang w:val="en-ZA"/>
        </w:rPr>
        <w:t>Ltd</w:t>
      </w:r>
      <w:r w:rsidRPr="00DC31C8">
        <w:rPr>
          <w:rFonts w:ascii="Arial" w:hAnsi="Arial" w:cs="Arial"/>
          <w:lang w:val="en-ZA"/>
        </w:rPr>
        <w:t xml:space="preserve"> 1956 (2) SA 346 (T). </w:t>
      </w:r>
    </w:p>
  </w:footnote>
  <w:footnote w:id="2">
    <w:p w:rsidR="00F75E64" w:rsidRPr="00DC31C8" w:rsidRDefault="00F75E64" w:rsidP="00DC31C8">
      <w:pPr>
        <w:spacing w:after="0" w:line="240" w:lineRule="auto"/>
        <w:jc w:val="both"/>
        <w:rPr>
          <w:rFonts w:ascii="Arial" w:hAnsi="Arial" w:cs="Arial"/>
          <w:color w:val="000000" w:themeColor="text1"/>
          <w:sz w:val="20"/>
          <w:szCs w:val="20"/>
          <w:lang w:val="en-US"/>
        </w:rPr>
      </w:pPr>
      <w:r w:rsidRPr="00DC31C8">
        <w:rPr>
          <w:rStyle w:val="FootnoteReference"/>
          <w:rFonts w:ascii="Arial" w:hAnsi="Arial" w:cs="Arial"/>
          <w:color w:val="000000" w:themeColor="text1"/>
          <w:sz w:val="20"/>
          <w:szCs w:val="20"/>
        </w:rPr>
        <w:footnoteRef/>
      </w:r>
      <w:r w:rsidRPr="00DC31C8">
        <w:rPr>
          <w:rFonts w:ascii="Arial" w:hAnsi="Arial" w:cs="Arial"/>
          <w:i/>
          <w:iCs/>
          <w:color w:val="000000" w:themeColor="text1"/>
          <w:sz w:val="20"/>
          <w:szCs w:val="20"/>
        </w:rPr>
        <w:t xml:space="preserve"> Ex parte </w:t>
      </w:r>
      <w:r w:rsidR="00BA233F">
        <w:rPr>
          <w:rFonts w:ascii="Arial" w:hAnsi="Arial" w:cs="Arial"/>
          <w:i/>
          <w:iCs/>
          <w:color w:val="000000" w:themeColor="text1"/>
          <w:sz w:val="20"/>
          <w:szCs w:val="20"/>
        </w:rPr>
        <w:t xml:space="preserve">the </w:t>
      </w:r>
      <w:r w:rsidRPr="00DC31C8">
        <w:rPr>
          <w:rFonts w:ascii="Arial" w:hAnsi="Arial" w:cs="Arial"/>
          <w:i/>
          <w:iCs/>
          <w:color w:val="000000" w:themeColor="text1"/>
          <w:sz w:val="20"/>
          <w:szCs w:val="20"/>
        </w:rPr>
        <w:t>Minister of Justice: In re R</w:t>
      </w:r>
      <w:r w:rsidR="00BA233F">
        <w:rPr>
          <w:rFonts w:ascii="Arial" w:hAnsi="Arial" w:cs="Arial"/>
          <w:i/>
          <w:iCs/>
          <w:color w:val="000000" w:themeColor="text1"/>
          <w:sz w:val="20"/>
          <w:szCs w:val="20"/>
        </w:rPr>
        <w:t>ex</w:t>
      </w:r>
      <w:r w:rsidRPr="00DC31C8">
        <w:rPr>
          <w:rFonts w:ascii="Arial" w:hAnsi="Arial" w:cs="Arial"/>
          <w:i/>
          <w:iCs/>
          <w:color w:val="000000" w:themeColor="text1"/>
          <w:sz w:val="20"/>
          <w:szCs w:val="20"/>
        </w:rPr>
        <w:t xml:space="preserve"> v Jacobson and Levy</w:t>
      </w:r>
      <w:r w:rsidRPr="00DC31C8">
        <w:rPr>
          <w:rFonts w:ascii="Arial" w:hAnsi="Arial" w:cs="Arial"/>
          <w:color w:val="000000" w:themeColor="text1"/>
          <w:sz w:val="20"/>
          <w:szCs w:val="20"/>
        </w:rPr>
        <w:t xml:space="preserve"> </w:t>
      </w:r>
      <w:hyperlink r:id="rId1" w:tooltip="View LawCiteRecord" w:history="1">
        <w:r w:rsidRPr="00DC31C8">
          <w:rPr>
            <w:rStyle w:val="Hyperlink"/>
            <w:rFonts w:ascii="Arial" w:hAnsi="Arial" w:cs="Arial"/>
            <w:color w:val="000000" w:themeColor="text1"/>
            <w:sz w:val="20"/>
            <w:szCs w:val="20"/>
            <w:u w:val="none"/>
          </w:rPr>
          <w:t>1931 AD 466</w:t>
        </w:r>
      </w:hyperlink>
      <w:r w:rsidRPr="00DC31C8">
        <w:rPr>
          <w:rStyle w:val="apple-converted-space"/>
          <w:rFonts w:ascii="Arial" w:hAnsi="Arial" w:cs="Arial"/>
          <w:color w:val="000000" w:themeColor="text1"/>
          <w:sz w:val="20"/>
          <w:szCs w:val="20"/>
          <w:shd w:val="clear" w:color="auto" w:fill="FFFFFF"/>
        </w:rPr>
        <w:t> </w:t>
      </w:r>
      <w:r w:rsidRPr="00DC31C8">
        <w:rPr>
          <w:rFonts w:ascii="Arial" w:hAnsi="Arial" w:cs="Arial"/>
          <w:color w:val="000000" w:themeColor="text1"/>
          <w:sz w:val="20"/>
          <w:szCs w:val="20"/>
          <w:shd w:val="clear" w:color="auto" w:fill="FFFFFF"/>
        </w:rPr>
        <w:t>at 478.</w:t>
      </w:r>
    </w:p>
  </w:footnote>
  <w:footnote w:id="3">
    <w:p w:rsidR="00F75E64" w:rsidRPr="00CC26DE" w:rsidRDefault="00F75E64" w:rsidP="00CC26DE">
      <w:pPr>
        <w:spacing w:after="0" w:line="240" w:lineRule="auto"/>
        <w:jc w:val="both"/>
        <w:rPr>
          <w:rFonts w:ascii="Arial" w:hAnsi="Arial" w:cs="Arial"/>
          <w:sz w:val="20"/>
          <w:szCs w:val="20"/>
          <w:lang w:val="en-US"/>
        </w:rPr>
      </w:pPr>
      <w:r w:rsidRPr="00CC26DE">
        <w:rPr>
          <w:rStyle w:val="FootnoteReference"/>
          <w:rFonts w:ascii="Arial" w:hAnsi="Arial" w:cs="Arial"/>
          <w:color w:val="000000" w:themeColor="text1"/>
          <w:sz w:val="20"/>
          <w:szCs w:val="20"/>
        </w:rPr>
        <w:footnoteRef/>
      </w:r>
      <w:r w:rsidRPr="00CC26DE">
        <w:rPr>
          <w:rFonts w:ascii="Arial" w:hAnsi="Arial" w:cs="Arial"/>
          <w:color w:val="000000" w:themeColor="text1"/>
          <w:sz w:val="20"/>
          <w:szCs w:val="20"/>
        </w:rPr>
        <w:t xml:space="preserve"> </w:t>
      </w:r>
      <w:r w:rsidRPr="00CC26DE">
        <w:rPr>
          <w:rFonts w:ascii="Arial" w:hAnsi="Arial" w:cs="Arial"/>
          <w:i/>
          <w:iCs/>
          <w:color w:val="000000" w:themeColor="text1"/>
          <w:sz w:val="20"/>
          <w:szCs w:val="20"/>
        </w:rPr>
        <w:t>Salmons v Jacoby</w:t>
      </w:r>
      <w:r w:rsidRPr="00CC26DE">
        <w:rPr>
          <w:rStyle w:val="apple-converted-space"/>
          <w:rFonts w:ascii="Arial" w:hAnsi="Arial" w:cs="Arial"/>
          <w:i/>
          <w:iCs/>
          <w:color w:val="000000" w:themeColor="text1"/>
          <w:sz w:val="20"/>
          <w:szCs w:val="20"/>
        </w:rPr>
        <w:t> </w:t>
      </w:r>
      <w:hyperlink r:id="rId2" w:tooltip="View LawCiteRecord" w:history="1">
        <w:r w:rsidRPr="00CC26DE">
          <w:rPr>
            <w:rStyle w:val="Hyperlink"/>
            <w:rFonts w:ascii="Arial" w:hAnsi="Arial" w:cs="Arial"/>
            <w:color w:val="000000" w:themeColor="text1"/>
            <w:sz w:val="20"/>
            <w:szCs w:val="20"/>
            <w:u w:val="none"/>
          </w:rPr>
          <w:t>1939 AD 588</w:t>
        </w:r>
      </w:hyperlink>
      <w:r w:rsidRPr="00CC26DE">
        <w:rPr>
          <w:rStyle w:val="apple-converted-space"/>
          <w:rFonts w:ascii="Arial" w:hAnsi="Arial" w:cs="Arial"/>
          <w:color w:val="000000" w:themeColor="text1"/>
          <w:sz w:val="20"/>
          <w:szCs w:val="20"/>
        </w:rPr>
        <w:t> </w:t>
      </w:r>
      <w:r w:rsidRPr="00CC26DE">
        <w:rPr>
          <w:rFonts w:ascii="Arial" w:hAnsi="Arial" w:cs="Arial"/>
          <w:color w:val="000000" w:themeColor="text1"/>
          <w:sz w:val="20"/>
          <w:szCs w:val="20"/>
        </w:rPr>
        <w:t>at 593.</w:t>
      </w:r>
    </w:p>
  </w:footnote>
  <w:footnote w:id="4">
    <w:p w:rsidR="009473E0" w:rsidRPr="00CC26DE" w:rsidRDefault="009473E0" w:rsidP="009473E0">
      <w:pPr>
        <w:pStyle w:val="FootnoteText"/>
        <w:jc w:val="both"/>
        <w:rPr>
          <w:rFonts w:ascii="Arial" w:hAnsi="Arial" w:cs="Arial"/>
          <w:lang w:val="en-US"/>
        </w:rPr>
      </w:pPr>
      <w:r w:rsidRPr="00CC26DE">
        <w:rPr>
          <w:rStyle w:val="FootnoteReference"/>
          <w:rFonts w:ascii="Arial" w:hAnsi="Arial" w:cs="Arial"/>
        </w:rPr>
        <w:footnoteRef/>
      </w:r>
      <w:r w:rsidRPr="00CC26DE">
        <w:rPr>
          <w:rFonts w:ascii="Arial" w:hAnsi="Arial" w:cs="Arial"/>
        </w:rPr>
        <w:t xml:space="preserve"> </w:t>
      </w:r>
      <w:r w:rsidRPr="00CC26DE">
        <w:rPr>
          <w:rFonts w:ascii="Arial" w:hAnsi="Arial" w:cs="Arial"/>
          <w:i/>
        </w:rPr>
        <w:t>Wightman t/a JW Construction v Headfour (Pty) Ltd and another</w:t>
      </w:r>
      <w:r w:rsidRPr="00CC26DE">
        <w:rPr>
          <w:rFonts w:ascii="Arial" w:hAnsi="Arial" w:cs="Arial"/>
        </w:rPr>
        <w:t xml:space="preserve"> </w:t>
      </w:r>
      <w:r w:rsidR="00FD31D8">
        <w:rPr>
          <w:rFonts w:ascii="Arial" w:hAnsi="Arial" w:cs="Arial"/>
        </w:rPr>
        <w:t xml:space="preserve">[2008] ZASCA 6; </w:t>
      </w:r>
      <w:r w:rsidRPr="00CC26DE">
        <w:rPr>
          <w:rFonts w:ascii="Arial" w:hAnsi="Arial" w:cs="Arial"/>
        </w:rPr>
        <w:t xml:space="preserve">2008 (3) SA 371 (SCA) </w:t>
      </w:r>
      <w:r>
        <w:rPr>
          <w:rFonts w:ascii="Arial" w:hAnsi="Arial" w:cs="Arial"/>
        </w:rPr>
        <w:t>para 13.</w:t>
      </w:r>
    </w:p>
  </w:footnote>
  <w:footnote w:id="5">
    <w:p w:rsidR="000A35FF" w:rsidRPr="000A35FF" w:rsidRDefault="000A35FF">
      <w:pPr>
        <w:pStyle w:val="FootnoteText"/>
        <w:rPr>
          <w:rFonts w:ascii="Arial" w:hAnsi="Arial" w:cs="Arial"/>
          <w:lang w:val="en-US"/>
        </w:rPr>
      </w:pPr>
      <w:r w:rsidRPr="000A35FF">
        <w:rPr>
          <w:rStyle w:val="FootnoteReference"/>
          <w:rFonts w:ascii="Arial" w:hAnsi="Arial" w:cs="Arial"/>
        </w:rPr>
        <w:footnoteRef/>
      </w:r>
      <w:r w:rsidRPr="000A35FF">
        <w:rPr>
          <w:rFonts w:ascii="Arial" w:hAnsi="Arial" w:cs="Arial"/>
        </w:rPr>
        <w:t xml:space="preserve"> </w:t>
      </w:r>
      <w:r w:rsidRPr="008718E1">
        <w:rPr>
          <w:rFonts w:ascii="Arial" w:eastAsia="Times New Roman" w:hAnsi="Arial" w:cs="Arial"/>
          <w:i/>
          <w:iCs/>
          <w:color w:val="242121"/>
          <w:lang w:eastAsia="en-GB"/>
        </w:rPr>
        <w:t>Goncalves and another v Franchising to Africa (Pty) Ltd</w:t>
      </w:r>
      <w:r w:rsidR="00C47556">
        <w:rPr>
          <w:rFonts w:ascii="Arial" w:eastAsia="Times New Roman" w:hAnsi="Arial" w:cs="Arial"/>
          <w:i/>
          <w:iCs/>
          <w:color w:val="242121"/>
          <w:lang w:eastAsia="en-GB"/>
        </w:rPr>
        <w:t xml:space="preserve"> t/a Gold Brands</w:t>
      </w:r>
      <w:r w:rsidRPr="000A35FF">
        <w:rPr>
          <w:rFonts w:ascii="Arial" w:hAnsi="Arial" w:cs="Arial"/>
          <w:color w:val="242121"/>
          <w:shd w:val="clear" w:color="auto" w:fill="FFFFFF"/>
        </w:rPr>
        <w:t xml:space="preserve"> [2016] ZAGPPHC 960 </w:t>
      </w:r>
      <w:r w:rsidR="00C47556">
        <w:rPr>
          <w:rFonts w:ascii="Arial" w:hAnsi="Arial" w:cs="Arial"/>
          <w:color w:val="242121"/>
          <w:shd w:val="clear" w:color="auto" w:fill="FFFFFF"/>
        </w:rPr>
        <w:t>para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458782"/>
      <w:docPartObj>
        <w:docPartGallery w:val="Page Numbers (Top of Page)"/>
        <w:docPartUnique/>
      </w:docPartObj>
    </w:sdtPr>
    <w:sdtEndPr>
      <w:rPr>
        <w:rFonts w:ascii="Arial" w:hAnsi="Arial" w:cs="Arial"/>
        <w:noProof/>
        <w:sz w:val="24"/>
        <w:szCs w:val="24"/>
      </w:rPr>
    </w:sdtEndPr>
    <w:sdtContent>
      <w:p w:rsidR="00F75E64" w:rsidRPr="00747D92" w:rsidRDefault="00F75E64">
        <w:pPr>
          <w:pStyle w:val="Header"/>
          <w:jc w:val="right"/>
          <w:rPr>
            <w:rFonts w:ascii="Arial" w:hAnsi="Arial" w:cs="Arial"/>
            <w:sz w:val="24"/>
            <w:szCs w:val="24"/>
          </w:rPr>
        </w:pPr>
        <w:r w:rsidRPr="00747D92">
          <w:rPr>
            <w:rFonts w:ascii="Arial" w:hAnsi="Arial" w:cs="Arial"/>
            <w:sz w:val="24"/>
            <w:szCs w:val="24"/>
          </w:rPr>
          <w:fldChar w:fldCharType="begin"/>
        </w:r>
        <w:r w:rsidRPr="00747D92">
          <w:rPr>
            <w:rFonts w:ascii="Arial" w:hAnsi="Arial" w:cs="Arial"/>
            <w:sz w:val="24"/>
            <w:szCs w:val="24"/>
          </w:rPr>
          <w:instrText xml:space="preserve"> PAGE   \* MERGEFORMAT </w:instrText>
        </w:r>
        <w:r w:rsidRPr="00747D92">
          <w:rPr>
            <w:rFonts w:ascii="Arial" w:hAnsi="Arial" w:cs="Arial"/>
            <w:sz w:val="24"/>
            <w:szCs w:val="24"/>
          </w:rPr>
          <w:fldChar w:fldCharType="separate"/>
        </w:r>
        <w:r w:rsidR="00220BDA">
          <w:rPr>
            <w:rFonts w:ascii="Arial" w:hAnsi="Arial" w:cs="Arial"/>
            <w:noProof/>
            <w:sz w:val="24"/>
            <w:szCs w:val="24"/>
          </w:rPr>
          <w:t>2</w:t>
        </w:r>
        <w:r w:rsidRPr="00747D92">
          <w:rPr>
            <w:rFonts w:ascii="Arial" w:hAnsi="Arial" w:cs="Arial"/>
            <w:noProof/>
            <w:sz w:val="24"/>
            <w:szCs w:val="24"/>
          </w:rPr>
          <w:fldChar w:fldCharType="end"/>
        </w:r>
      </w:p>
    </w:sdtContent>
  </w:sdt>
  <w:p w:rsidR="00F75E64" w:rsidRDefault="00F75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1B38"/>
    <w:multiLevelType w:val="hybridMultilevel"/>
    <w:tmpl w:val="66B6EAEA"/>
    <w:lvl w:ilvl="0" w:tplc="C220D1C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B757F"/>
    <w:multiLevelType w:val="hybridMultilevel"/>
    <w:tmpl w:val="AE14AA2C"/>
    <w:lvl w:ilvl="0" w:tplc="F30A56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51A7E"/>
    <w:multiLevelType w:val="hybridMultilevel"/>
    <w:tmpl w:val="15F2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B32EFC"/>
    <w:multiLevelType w:val="hybridMultilevel"/>
    <w:tmpl w:val="15F2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AF0964"/>
    <w:multiLevelType w:val="hybridMultilevel"/>
    <w:tmpl w:val="4B12426E"/>
    <w:lvl w:ilvl="0" w:tplc="002A8D7A">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2D578A3"/>
    <w:multiLevelType w:val="hybridMultilevel"/>
    <w:tmpl w:val="14C2B6B0"/>
    <w:lvl w:ilvl="0" w:tplc="7F8202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326084"/>
    <w:multiLevelType w:val="hybridMultilevel"/>
    <w:tmpl w:val="B072B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4938B0"/>
    <w:multiLevelType w:val="hybridMultilevel"/>
    <w:tmpl w:val="21C85D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260846"/>
    <w:multiLevelType w:val="hybridMultilevel"/>
    <w:tmpl w:val="CE1A3AAA"/>
    <w:lvl w:ilvl="0" w:tplc="F4C860F6">
      <w:start w:val="1"/>
      <w:numFmt w:val="decimal"/>
      <w:lvlText w:val="[%1]"/>
      <w:lvlJc w:val="left"/>
      <w:pPr>
        <w:ind w:left="928"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6651B5"/>
    <w:multiLevelType w:val="hybridMultilevel"/>
    <w:tmpl w:val="FEB041F4"/>
    <w:lvl w:ilvl="0" w:tplc="8EEC90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E6111F"/>
    <w:multiLevelType w:val="hybridMultilevel"/>
    <w:tmpl w:val="5D3EA864"/>
    <w:lvl w:ilvl="0" w:tplc="F4C860F6">
      <w:start w:val="1"/>
      <w:numFmt w:val="decimal"/>
      <w:lvlText w:val="[%1]"/>
      <w:lvlJc w:val="left"/>
      <w:pPr>
        <w:ind w:left="928"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F37CA5"/>
    <w:multiLevelType w:val="hybridMultilevel"/>
    <w:tmpl w:val="F9806CF6"/>
    <w:lvl w:ilvl="0" w:tplc="A5A07D62">
      <w:start w:val="1"/>
      <w:numFmt w:val="lowerLetter"/>
      <w:lvlText w:val="(%1)"/>
      <w:lvlJc w:val="left"/>
      <w:pPr>
        <w:ind w:left="72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494010"/>
    <w:multiLevelType w:val="hybridMultilevel"/>
    <w:tmpl w:val="7D186524"/>
    <w:lvl w:ilvl="0" w:tplc="11F2D8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F26EB1"/>
    <w:multiLevelType w:val="hybridMultilevel"/>
    <w:tmpl w:val="F5488232"/>
    <w:lvl w:ilvl="0" w:tplc="3A729CA0">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8A907D2"/>
    <w:multiLevelType w:val="hybridMultilevel"/>
    <w:tmpl w:val="65DE568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8574CF"/>
    <w:multiLevelType w:val="hybridMultilevel"/>
    <w:tmpl w:val="5052E016"/>
    <w:lvl w:ilvl="0" w:tplc="79F4E4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AF5F2B"/>
    <w:multiLevelType w:val="hybridMultilevel"/>
    <w:tmpl w:val="00EC9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53535C"/>
    <w:multiLevelType w:val="hybridMultilevel"/>
    <w:tmpl w:val="75F0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457CBB"/>
    <w:multiLevelType w:val="hybridMultilevel"/>
    <w:tmpl w:val="BCFEF0BC"/>
    <w:lvl w:ilvl="0" w:tplc="54C6B0C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3E0CF0"/>
    <w:multiLevelType w:val="hybridMultilevel"/>
    <w:tmpl w:val="EAB49E10"/>
    <w:lvl w:ilvl="0" w:tplc="79CC0114">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ED47B96"/>
    <w:multiLevelType w:val="hybridMultilevel"/>
    <w:tmpl w:val="AEB00AE8"/>
    <w:lvl w:ilvl="0" w:tplc="BB84362C">
      <w:start w:val="1"/>
      <w:numFmt w:val="lowerLetter"/>
      <w:lvlText w:val="(%1)"/>
      <w:lvlJc w:val="left"/>
      <w:pPr>
        <w:ind w:left="720" w:hanging="360"/>
      </w:pPr>
      <w:rPr>
        <w:rFonts w:eastAsiaTheme="minorHAnsi"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053670"/>
    <w:multiLevelType w:val="hybridMultilevel"/>
    <w:tmpl w:val="C2526362"/>
    <w:lvl w:ilvl="0" w:tplc="12B05C28">
      <w:start w:val="1"/>
      <w:numFmt w:val="lowerLetter"/>
      <w:lvlText w:val="(%1)"/>
      <w:lvlJc w:val="left"/>
      <w:pPr>
        <w:ind w:left="72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220926"/>
    <w:multiLevelType w:val="hybridMultilevel"/>
    <w:tmpl w:val="B2BEAEE6"/>
    <w:lvl w:ilvl="0" w:tplc="4BFEE08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AA3D61"/>
    <w:multiLevelType w:val="hybridMultilevel"/>
    <w:tmpl w:val="5DCA7912"/>
    <w:lvl w:ilvl="0" w:tplc="4602315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6E05AE"/>
    <w:multiLevelType w:val="hybridMultilevel"/>
    <w:tmpl w:val="9CC26AC2"/>
    <w:lvl w:ilvl="0" w:tplc="D70A2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17"/>
  </w:num>
  <w:num w:numId="5">
    <w:abstractNumId w:val="7"/>
  </w:num>
  <w:num w:numId="6">
    <w:abstractNumId w:val="4"/>
  </w:num>
  <w:num w:numId="7">
    <w:abstractNumId w:val="20"/>
  </w:num>
  <w:num w:numId="8">
    <w:abstractNumId w:val="6"/>
  </w:num>
  <w:num w:numId="9">
    <w:abstractNumId w:val="19"/>
  </w:num>
  <w:num w:numId="10">
    <w:abstractNumId w:val="1"/>
  </w:num>
  <w:num w:numId="11">
    <w:abstractNumId w:val="23"/>
  </w:num>
  <w:num w:numId="12">
    <w:abstractNumId w:val="10"/>
  </w:num>
  <w:num w:numId="13">
    <w:abstractNumId w:val="11"/>
  </w:num>
  <w:num w:numId="14">
    <w:abstractNumId w:val="0"/>
  </w:num>
  <w:num w:numId="15">
    <w:abstractNumId w:val="22"/>
  </w:num>
  <w:num w:numId="16">
    <w:abstractNumId w:val="12"/>
  </w:num>
  <w:num w:numId="17">
    <w:abstractNumId w:val="24"/>
  </w:num>
  <w:num w:numId="18">
    <w:abstractNumId w:val="14"/>
  </w:num>
  <w:num w:numId="19">
    <w:abstractNumId w:val="15"/>
  </w:num>
  <w:num w:numId="20">
    <w:abstractNumId w:val="9"/>
  </w:num>
  <w:num w:numId="21">
    <w:abstractNumId w:val="5"/>
  </w:num>
  <w:num w:numId="22">
    <w:abstractNumId w:val="18"/>
  </w:num>
  <w:num w:numId="23">
    <w:abstractNumId w:val="2"/>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EC"/>
    <w:rsid w:val="000007E9"/>
    <w:rsid w:val="00001D5C"/>
    <w:rsid w:val="00006C26"/>
    <w:rsid w:val="00012005"/>
    <w:rsid w:val="00012BA6"/>
    <w:rsid w:val="00012DE8"/>
    <w:rsid w:val="00017C3D"/>
    <w:rsid w:val="00032C36"/>
    <w:rsid w:val="0003659C"/>
    <w:rsid w:val="00043114"/>
    <w:rsid w:val="0005156D"/>
    <w:rsid w:val="00055372"/>
    <w:rsid w:val="00060496"/>
    <w:rsid w:val="00064562"/>
    <w:rsid w:val="00072031"/>
    <w:rsid w:val="00074EE9"/>
    <w:rsid w:val="0007651F"/>
    <w:rsid w:val="000767C6"/>
    <w:rsid w:val="00077E87"/>
    <w:rsid w:val="00086455"/>
    <w:rsid w:val="000906C8"/>
    <w:rsid w:val="000919DF"/>
    <w:rsid w:val="0009369C"/>
    <w:rsid w:val="00095066"/>
    <w:rsid w:val="00097D0C"/>
    <w:rsid w:val="000A251C"/>
    <w:rsid w:val="000A35FF"/>
    <w:rsid w:val="000A5554"/>
    <w:rsid w:val="000B617C"/>
    <w:rsid w:val="000C0576"/>
    <w:rsid w:val="000C3C4D"/>
    <w:rsid w:val="000C6965"/>
    <w:rsid w:val="000D0FF5"/>
    <w:rsid w:val="000D24DB"/>
    <w:rsid w:val="000E0AF1"/>
    <w:rsid w:val="000F25F4"/>
    <w:rsid w:val="001004DC"/>
    <w:rsid w:val="00112D39"/>
    <w:rsid w:val="0012013C"/>
    <w:rsid w:val="00123AFF"/>
    <w:rsid w:val="00126190"/>
    <w:rsid w:val="001357C5"/>
    <w:rsid w:val="0013679B"/>
    <w:rsid w:val="001369E5"/>
    <w:rsid w:val="001433D3"/>
    <w:rsid w:val="00144E31"/>
    <w:rsid w:val="00147CBA"/>
    <w:rsid w:val="00153A16"/>
    <w:rsid w:val="001540BB"/>
    <w:rsid w:val="00154BEC"/>
    <w:rsid w:val="00155500"/>
    <w:rsid w:val="00161100"/>
    <w:rsid w:val="00171567"/>
    <w:rsid w:val="00173AC5"/>
    <w:rsid w:val="00192E44"/>
    <w:rsid w:val="001948AD"/>
    <w:rsid w:val="00195FF2"/>
    <w:rsid w:val="00196C09"/>
    <w:rsid w:val="001A2A0B"/>
    <w:rsid w:val="001A4348"/>
    <w:rsid w:val="001A5697"/>
    <w:rsid w:val="001C5BF9"/>
    <w:rsid w:val="001D2183"/>
    <w:rsid w:val="001D26CC"/>
    <w:rsid w:val="001D2982"/>
    <w:rsid w:val="001E10F4"/>
    <w:rsid w:val="001E30BA"/>
    <w:rsid w:val="001E48C3"/>
    <w:rsid w:val="001E6E79"/>
    <w:rsid w:val="001F17D7"/>
    <w:rsid w:val="00210FC6"/>
    <w:rsid w:val="00220BDA"/>
    <w:rsid w:val="00222467"/>
    <w:rsid w:val="00222D04"/>
    <w:rsid w:val="00223E6E"/>
    <w:rsid w:val="00230817"/>
    <w:rsid w:val="002312C8"/>
    <w:rsid w:val="00231404"/>
    <w:rsid w:val="00233CD5"/>
    <w:rsid w:val="00234640"/>
    <w:rsid w:val="0023662F"/>
    <w:rsid w:val="00250CF5"/>
    <w:rsid w:val="00255D13"/>
    <w:rsid w:val="0026719C"/>
    <w:rsid w:val="0027281F"/>
    <w:rsid w:val="002743FE"/>
    <w:rsid w:val="002822F8"/>
    <w:rsid w:val="00285773"/>
    <w:rsid w:val="00285F3D"/>
    <w:rsid w:val="00286F86"/>
    <w:rsid w:val="0029331C"/>
    <w:rsid w:val="00296B76"/>
    <w:rsid w:val="002A2BDD"/>
    <w:rsid w:val="002A7E50"/>
    <w:rsid w:val="002A7FC8"/>
    <w:rsid w:val="002C2501"/>
    <w:rsid w:val="002C29CA"/>
    <w:rsid w:val="002C435E"/>
    <w:rsid w:val="002C7A90"/>
    <w:rsid w:val="002D09F4"/>
    <w:rsid w:val="002D4CE4"/>
    <w:rsid w:val="002D4E07"/>
    <w:rsid w:val="002D553B"/>
    <w:rsid w:val="002D56AC"/>
    <w:rsid w:val="002E7119"/>
    <w:rsid w:val="002F7B54"/>
    <w:rsid w:val="003064D6"/>
    <w:rsid w:val="00306893"/>
    <w:rsid w:val="00313E55"/>
    <w:rsid w:val="00316769"/>
    <w:rsid w:val="00324E95"/>
    <w:rsid w:val="00325729"/>
    <w:rsid w:val="003413CA"/>
    <w:rsid w:val="00342E1D"/>
    <w:rsid w:val="00344ED9"/>
    <w:rsid w:val="00345588"/>
    <w:rsid w:val="00351B6F"/>
    <w:rsid w:val="00352D28"/>
    <w:rsid w:val="0035491B"/>
    <w:rsid w:val="0035555E"/>
    <w:rsid w:val="003579C4"/>
    <w:rsid w:val="0036205A"/>
    <w:rsid w:val="003643B9"/>
    <w:rsid w:val="00370776"/>
    <w:rsid w:val="00371D56"/>
    <w:rsid w:val="003729C1"/>
    <w:rsid w:val="00374C46"/>
    <w:rsid w:val="00382F76"/>
    <w:rsid w:val="003872EC"/>
    <w:rsid w:val="0039020A"/>
    <w:rsid w:val="0039440B"/>
    <w:rsid w:val="003A0457"/>
    <w:rsid w:val="003A3F20"/>
    <w:rsid w:val="003A46C4"/>
    <w:rsid w:val="003A540F"/>
    <w:rsid w:val="003A5A00"/>
    <w:rsid w:val="003B0D9D"/>
    <w:rsid w:val="003B36B2"/>
    <w:rsid w:val="003B3BA0"/>
    <w:rsid w:val="003B41CC"/>
    <w:rsid w:val="003C12E4"/>
    <w:rsid w:val="003C4C9D"/>
    <w:rsid w:val="003C5865"/>
    <w:rsid w:val="003D5447"/>
    <w:rsid w:val="003E1994"/>
    <w:rsid w:val="003F507B"/>
    <w:rsid w:val="003F6575"/>
    <w:rsid w:val="0040458F"/>
    <w:rsid w:val="00405E57"/>
    <w:rsid w:val="0040698D"/>
    <w:rsid w:val="00410F61"/>
    <w:rsid w:val="00412AF1"/>
    <w:rsid w:val="004153DB"/>
    <w:rsid w:val="00417113"/>
    <w:rsid w:val="00417119"/>
    <w:rsid w:val="00417E8F"/>
    <w:rsid w:val="004262B0"/>
    <w:rsid w:val="00427099"/>
    <w:rsid w:val="00433ECB"/>
    <w:rsid w:val="0043445D"/>
    <w:rsid w:val="00442CF9"/>
    <w:rsid w:val="00446BEF"/>
    <w:rsid w:val="00446D56"/>
    <w:rsid w:val="00447C22"/>
    <w:rsid w:val="0045288F"/>
    <w:rsid w:val="00465B6D"/>
    <w:rsid w:val="0047102C"/>
    <w:rsid w:val="00471926"/>
    <w:rsid w:val="004743D0"/>
    <w:rsid w:val="0047551F"/>
    <w:rsid w:val="00475C8A"/>
    <w:rsid w:val="00476B2D"/>
    <w:rsid w:val="00477633"/>
    <w:rsid w:val="00483652"/>
    <w:rsid w:val="00493C7F"/>
    <w:rsid w:val="0049587E"/>
    <w:rsid w:val="004971A5"/>
    <w:rsid w:val="004A3FA7"/>
    <w:rsid w:val="004A51EC"/>
    <w:rsid w:val="004B0F2B"/>
    <w:rsid w:val="004B18E6"/>
    <w:rsid w:val="004C1E75"/>
    <w:rsid w:val="004D0C08"/>
    <w:rsid w:val="004D1C3E"/>
    <w:rsid w:val="004D2753"/>
    <w:rsid w:val="004D3700"/>
    <w:rsid w:val="004D4192"/>
    <w:rsid w:val="004D5D74"/>
    <w:rsid w:val="004D612D"/>
    <w:rsid w:val="004E221A"/>
    <w:rsid w:val="004E3E73"/>
    <w:rsid w:val="004E3F0A"/>
    <w:rsid w:val="004F4BD5"/>
    <w:rsid w:val="004F50C2"/>
    <w:rsid w:val="004F570E"/>
    <w:rsid w:val="0051000C"/>
    <w:rsid w:val="0051045F"/>
    <w:rsid w:val="00520030"/>
    <w:rsid w:val="00521C3C"/>
    <w:rsid w:val="00526555"/>
    <w:rsid w:val="005302AD"/>
    <w:rsid w:val="005370C4"/>
    <w:rsid w:val="005423C8"/>
    <w:rsid w:val="0054551D"/>
    <w:rsid w:val="00550664"/>
    <w:rsid w:val="0055192F"/>
    <w:rsid w:val="005566E8"/>
    <w:rsid w:val="005614D5"/>
    <w:rsid w:val="00580FC7"/>
    <w:rsid w:val="00587284"/>
    <w:rsid w:val="0059306E"/>
    <w:rsid w:val="005B0DBD"/>
    <w:rsid w:val="005B41C8"/>
    <w:rsid w:val="005B6140"/>
    <w:rsid w:val="005B78C8"/>
    <w:rsid w:val="005C2906"/>
    <w:rsid w:val="005C3EDD"/>
    <w:rsid w:val="005C6323"/>
    <w:rsid w:val="005D1E2D"/>
    <w:rsid w:val="005D4314"/>
    <w:rsid w:val="005D7567"/>
    <w:rsid w:val="005E00D0"/>
    <w:rsid w:val="005E36A6"/>
    <w:rsid w:val="005F5A95"/>
    <w:rsid w:val="006007D3"/>
    <w:rsid w:val="00605BD5"/>
    <w:rsid w:val="00607E4B"/>
    <w:rsid w:val="006119F1"/>
    <w:rsid w:val="0061268A"/>
    <w:rsid w:val="00614D74"/>
    <w:rsid w:val="00622D4E"/>
    <w:rsid w:val="00624413"/>
    <w:rsid w:val="00630F45"/>
    <w:rsid w:val="006321EA"/>
    <w:rsid w:val="00634FD3"/>
    <w:rsid w:val="006354B3"/>
    <w:rsid w:val="0064111D"/>
    <w:rsid w:val="00642F94"/>
    <w:rsid w:val="00643084"/>
    <w:rsid w:val="00643D59"/>
    <w:rsid w:val="00644CBD"/>
    <w:rsid w:val="0066089B"/>
    <w:rsid w:val="006725DD"/>
    <w:rsid w:val="00673DD7"/>
    <w:rsid w:val="00675FDD"/>
    <w:rsid w:val="00680B3E"/>
    <w:rsid w:val="00685B5E"/>
    <w:rsid w:val="0069016B"/>
    <w:rsid w:val="0069281C"/>
    <w:rsid w:val="006A36A7"/>
    <w:rsid w:val="006A5325"/>
    <w:rsid w:val="006A5957"/>
    <w:rsid w:val="006A7708"/>
    <w:rsid w:val="006B0F44"/>
    <w:rsid w:val="006B1FB6"/>
    <w:rsid w:val="006B70A5"/>
    <w:rsid w:val="006C4275"/>
    <w:rsid w:val="006D1266"/>
    <w:rsid w:val="006D48B9"/>
    <w:rsid w:val="006D4B72"/>
    <w:rsid w:val="006D5EB3"/>
    <w:rsid w:val="006D669E"/>
    <w:rsid w:val="006E01FC"/>
    <w:rsid w:val="006E0B42"/>
    <w:rsid w:val="006E785F"/>
    <w:rsid w:val="006F0F5D"/>
    <w:rsid w:val="006F54AF"/>
    <w:rsid w:val="00701787"/>
    <w:rsid w:val="0070617B"/>
    <w:rsid w:val="00706D3A"/>
    <w:rsid w:val="007107DC"/>
    <w:rsid w:val="007133DB"/>
    <w:rsid w:val="00714250"/>
    <w:rsid w:val="00747D92"/>
    <w:rsid w:val="007507BF"/>
    <w:rsid w:val="00751305"/>
    <w:rsid w:val="00752B8B"/>
    <w:rsid w:val="007542CF"/>
    <w:rsid w:val="007563A6"/>
    <w:rsid w:val="00756B2B"/>
    <w:rsid w:val="00763012"/>
    <w:rsid w:val="007655B3"/>
    <w:rsid w:val="0077375D"/>
    <w:rsid w:val="00774887"/>
    <w:rsid w:val="00777E3D"/>
    <w:rsid w:val="00780961"/>
    <w:rsid w:val="0078451A"/>
    <w:rsid w:val="00787C4B"/>
    <w:rsid w:val="00791FC4"/>
    <w:rsid w:val="00795885"/>
    <w:rsid w:val="00796656"/>
    <w:rsid w:val="007A0157"/>
    <w:rsid w:val="007A3515"/>
    <w:rsid w:val="007B53DC"/>
    <w:rsid w:val="007C243E"/>
    <w:rsid w:val="007C33A0"/>
    <w:rsid w:val="007C6514"/>
    <w:rsid w:val="007D470C"/>
    <w:rsid w:val="007D719D"/>
    <w:rsid w:val="007E7513"/>
    <w:rsid w:val="007F6B23"/>
    <w:rsid w:val="008001F6"/>
    <w:rsid w:val="00802543"/>
    <w:rsid w:val="00804936"/>
    <w:rsid w:val="0080745B"/>
    <w:rsid w:val="00814C39"/>
    <w:rsid w:val="008213B2"/>
    <w:rsid w:val="00826A4D"/>
    <w:rsid w:val="00826D86"/>
    <w:rsid w:val="00834548"/>
    <w:rsid w:val="00837BCE"/>
    <w:rsid w:val="00841BF8"/>
    <w:rsid w:val="008442A4"/>
    <w:rsid w:val="00846E97"/>
    <w:rsid w:val="00855A77"/>
    <w:rsid w:val="00867BC6"/>
    <w:rsid w:val="00882A65"/>
    <w:rsid w:val="008833B8"/>
    <w:rsid w:val="008836E1"/>
    <w:rsid w:val="00885745"/>
    <w:rsid w:val="00886908"/>
    <w:rsid w:val="00894C17"/>
    <w:rsid w:val="008A42C0"/>
    <w:rsid w:val="008A59C3"/>
    <w:rsid w:val="008A76FB"/>
    <w:rsid w:val="008B1EE1"/>
    <w:rsid w:val="008B4DAA"/>
    <w:rsid w:val="008B6817"/>
    <w:rsid w:val="008B6B31"/>
    <w:rsid w:val="008C3498"/>
    <w:rsid w:val="008C563B"/>
    <w:rsid w:val="008D179F"/>
    <w:rsid w:val="008D2D1A"/>
    <w:rsid w:val="008D3EF4"/>
    <w:rsid w:val="008D4639"/>
    <w:rsid w:val="008D5774"/>
    <w:rsid w:val="008E06B6"/>
    <w:rsid w:val="00904074"/>
    <w:rsid w:val="009048EB"/>
    <w:rsid w:val="00907C61"/>
    <w:rsid w:val="00907CB4"/>
    <w:rsid w:val="00912A50"/>
    <w:rsid w:val="0093686D"/>
    <w:rsid w:val="00944090"/>
    <w:rsid w:val="00945A12"/>
    <w:rsid w:val="009473E0"/>
    <w:rsid w:val="00952BC1"/>
    <w:rsid w:val="00953F28"/>
    <w:rsid w:val="009556D8"/>
    <w:rsid w:val="00965280"/>
    <w:rsid w:val="009654A6"/>
    <w:rsid w:val="00967ABA"/>
    <w:rsid w:val="00970A28"/>
    <w:rsid w:val="009710C1"/>
    <w:rsid w:val="00971F3D"/>
    <w:rsid w:val="009807AD"/>
    <w:rsid w:val="00980E44"/>
    <w:rsid w:val="00981E96"/>
    <w:rsid w:val="009864A3"/>
    <w:rsid w:val="0099099F"/>
    <w:rsid w:val="00992412"/>
    <w:rsid w:val="00993302"/>
    <w:rsid w:val="00993435"/>
    <w:rsid w:val="00993BCD"/>
    <w:rsid w:val="009A1AD3"/>
    <w:rsid w:val="009A5CDC"/>
    <w:rsid w:val="009A70C3"/>
    <w:rsid w:val="009B36B8"/>
    <w:rsid w:val="009B3844"/>
    <w:rsid w:val="009B5D99"/>
    <w:rsid w:val="009B728D"/>
    <w:rsid w:val="009C3046"/>
    <w:rsid w:val="009C6315"/>
    <w:rsid w:val="009D31B9"/>
    <w:rsid w:val="009D395B"/>
    <w:rsid w:val="009D4F34"/>
    <w:rsid w:val="009D6409"/>
    <w:rsid w:val="009F01E2"/>
    <w:rsid w:val="009F398A"/>
    <w:rsid w:val="009F61B2"/>
    <w:rsid w:val="009F77EE"/>
    <w:rsid w:val="00A0149F"/>
    <w:rsid w:val="00A059AC"/>
    <w:rsid w:val="00A05C59"/>
    <w:rsid w:val="00A14970"/>
    <w:rsid w:val="00A25EF8"/>
    <w:rsid w:val="00A30B6A"/>
    <w:rsid w:val="00A43521"/>
    <w:rsid w:val="00A43A14"/>
    <w:rsid w:val="00A44AA4"/>
    <w:rsid w:val="00A45AE8"/>
    <w:rsid w:val="00A46D37"/>
    <w:rsid w:val="00A52159"/>
    <w:rsid w:val="00A56F89"/>
    <w:rsid w:val="00A61F5F"/>
    <w:rsid w:val="00A6440C"/>
    <w:rsid w:val="00A6503C"/>
    <w:rsid w:val="00A66FD8"/>
    <w:rsid w:val="00A7044A"/>
    <w:rsid w:val="00A70683"/>
    <w:rsid w:val="00A716F4"/>
    <w:rsid w:val="00A747C8"/>
    <w:rsid w:val="00A75816"/>
    <w:rsid w:val="00A8194B"/>
    <w:rsid w:val="00A821A3"/>
    <w:rsid w:val="00A8241B"/>
    <w:rsid w:val="00A86ED7"/>
    <w:rsid w:val="00A91E54"/>
    <w:rsid w:val="00A96278"/>
    <w:rsid w:val="00AB1254"/>
    <w:rsid w:val="00AC1D9A"/>
    <w:rsid w:val="00AC43C4"/>
    <w:rsid w:val="00AD086E"/>
    <w:rsid w:val="00AE2AD4"/>
    <w:rsid w:val="00AE50EE"/>
    <w:rsid w:val="00AE7739"/>
    <w:rsid w:val="00AF1A25"/>
    <w:rsid w:val="00AF3833"/>
    <w:rsid w:val="00AF5EB6"/>
    <w:rsid w:val="00AF6FB0"/>
    <w:rsid w:val="00AF7E2F"/>
    <w:rsid w:val="00B04153"/>
    <w:rsid w:val="00B04F67"/>
    <w:rsid w:val="00B10E2E"/>
    <w:rsid w:val="00B201DE"/>
    <w:rsid w:val="00B220CB"/>
    <w:rsid w:val="00B22388"/>
    <w:rsid w:val="00B266DC"/>
    <w:rsid w:val="00B26EF9"/>
    <w:rsid w:val="00B343CD"/>
    <w:rsid w:val="00B35028"/>
    <w:rsid w:val="00B43665"/>
    <w:rsid w:val="00B4396B"/>
    <w:rsid w:val="00B462F7"/>
    <w:rsid w:val="00B47E62"/>
    <w:rsid w:val="00B47FE3"/>
    <w:rsid w:val="00B508C3"/>
    <w:rsid w:val="00B620CA"/>
    <w:rsid w:val="00B65B45"/>
    <w:rsid w:val="00B70029"/>
    <w:rsid w:val="00B7091C"/>
    <w:rsid w:val="00B731DC"/>
    <w:rsid w:val="00B73C4B"/>
    <w:rsid w:val="00B92DED"/>
    <w:rsid w:val="00B930AB"/>
    <w:rsid w:val="00B96F04"/>
    <w:rsid w:val="00BA0675"/>
    <w:rsid w:val="00BA233F"/>
    <w:rsid w:val="00BA4DBD"/>
    <w:rsid w:val="00BB00EE"/>
    <w:rsid w:val="00BB3794"/>
    <w:rsid w:val="00BB3BCE"/>
    <w:rsid w:val="00BB434B"/>
    <w:rsid w:val="00BB5579"/>
    <w:rsid w:val="00BC0438"/>
    <w:rsid w:val="00BC09D2"/>
    <w:rsid w:val="00BC2E35"/>
    <w:rsid w:val="00BC645C"/>
    <w:rsid w:val="00BD0695"/>
    <w:rsid w:val="00BD0D39"/>
    <w:rsid w:val="00BD3948"/>
    <w:rsid w:val="00BD411C"/>
    <w:rsid w:val="00BD576E"/>
    <w:rsid w:val="00BE006C"/>
    <w:rsid w:val="00BE2FDA"/>
    <w:rsid w:val="00BF11B6"/>
    <w:rsid w:val="00BF3A4E"/>
    <w:rsid w:val="00BF5745"/>
    <w:rsid w:val="00BF6AEB"/>
    <w:rsid w:val="00C03A39"/>
    <w:rsid w:val="00C057BE"/>
    <w:rsid w:val="00C07949"/>
    <w:rsid w:val="00C07B54"/>
    <w:rsid w:val="00C116B2"/>
    <w:rsid w:val="00C12176"/>
    <w:rsid w:val="00C13E42"/>
    <w:rsid w:val="00C164B2"/>
    <w:rsid w:val="00C177D7"/>
    <w:rsid w:val="00C21230"/>
    <w:rsid w:val="00C24A7F"/>
    <w:rsid w:val="00C25B3E"/>
    <w:rsid w:val="00C31E71"/>
    <w:rsid w:val="00C32C32"/>
    <w:rsid w:val="00C3313E"/>
    <w:rsid w:val="00C338F3"/>
    <w:rsid w:val="00C35592"/>
    <w:rsid w:val="00C402C4"/>
    <w:rsid w:val="00C42657"/>
    <w:rsid w:val="00C42C8A"/>
    <w:rsid w:val="00C42E26"/>
    <w:rsid w:val="00C47119"/>
    <w:rsid w:val="00C47556"/>
    <w:rsid w:val="00C53A1A"/>
    <w:rsid w:val="00C55E36"/>
    <w:rsid w:val="00C669ED"/>
    <w:rsid w:val="00C7210F"/>
    <w:rsid w:val="00C838E4"/>
    <w:rsid w:val="00C84402"/>
    <w:rsid w:val="00C84B1D"/>
    <w:rsid w:val="00C85118"/>
    <w:rsid w:val="00C85E26"/>
    <w:rsid w:val="00C867DF"/>
    <w:rsid w:val="00C86E89"/>
    <w:rsid w:val="00C9373A"/>
    <w:rsid w:val="00CA0431"/>
    <w:rsid w:val="00CA4525"/>
    <w:rsid w:val="00CA5511"/>
    <w:rsid w:val="00CA610A"/>
    <w:rsid w:val="00CA76D5"/>
    <w:rsid w:val="00CB7430"/>
    <w:rsid w:val="00CC25B9"/>
    <w:rsid w:val="00CC26DE"/>
    <w:rsid w:val="00CC6419"/>
    <w:rsid w:val="00CC714F"/>
    <w:rsid w:val="00CC7E13"/>
    <w:rsid w:val="00CD1DF7"/>
    <w:rsid w:val="00CD2028"/>
    <w:rsid w:val="00CD2724"/>
    <w:rsid w:val="00CD3B48"/>
    <w:rsid w:val="00CE00B1"/>
    <w:rsid w:val="00CE21DB"/>
    <w:rsid w:val="00CE4347"/>
    <w:rsid w:val="00CF11CA"/>
    <w:rsid w:val="00CF651B"/>
    <w:rsid w:val="00CF6F2E"/>
    <w:rsid w:val="00D0246D"/>
    <w:rsid w:val="00D05C83"/>
    <w:rsid w:val="00D07734"/>
    <w:rsid w:val="00D22447"/>
    <w:rsid w:val="00D22CC9"/>
    <w:rsid w:val="00D23DD2"/>
    <w:rsid w:val="00D30A8C"/>
    <w:rsid w:val="00D31D6F"/>
    <w:rsid w:val="00D33CF4"/>
    <w:rsid w:val="00D360B9"/>
    <w:rsid w:val="00D36C5E"/>
    <w:rsid w:val="00D407D8"/>
    <w:rsid w:val="00D40F44"/>
    <w:rsid w:val="00D4157F"/>
    <w:rsid w:val="00D41793"/>
    <w:rsid w:val="00D52A15"/>
    <w:rsid w:val="00D53F40"/>
    <w:rsid w:val="00D546B6"/>
    <w:rsid w:val="00D5530B"/>
    <w:rsid w:val="00D614C4"/>
    <w:rsid w:val="00D61B77"/>
    <w:rsid w:val="00D67F31"/>
    <w:rsid w:val="00D7023D"/>
    <w:rsid w:val="00D75ACB"/>
    <w:rsid w:val="00D8069E"/>
    <w:rsid w:val="00D8687E"/>
    <w:rsid w:val="00D90BC2"/>
    <w:rsid w:val="00D90EDC"/>
    <w:rsid w:val="00DA31EF"/>
    <w:rsid w:val="00DA32C4"/>
    <w:rsid w:val="00DB0AAE"/>
    <w:rsid w:val="00DB0AC0"/>
    <w:rsid w:val="00DB3C01"/>
    <w:rsid w:val="00DC01F3"/>
    <w:rsid w:val="00DC289C"/>
    <w:rsid w:val="00DC31C8"/>
    <w:rsid w:val="00DC6771"/>
    <w:rsid w:val="00DC69E9"/>
    <w:rsid w:val="00DC6B5D"/>
    <w:rsid w:val="00DD0046"/>
    <w:rsid w:val="00DE2457"/>
    <w:rsid w:val="00DF2F5E"/>
    <w:rsid w:val="00DF7D92"/>
    <w:rsid w:val="00E0357A"/>
    <w:rsid w:val="00E03B42"/>
    <w:rsid w:val="00E10EBA"/>
    <w:rsid w:val="00E15B5E"/>
    <w:rsid w:val="00E23325"/>
    <w:rsid w:val="00E30E8A"/>
    <w:rsid w:val="00E40536"/>
    <w:rsid w:val="00E4086F"/>
    <w:rsid w:val="00E43B3D"/>
    <w:rsid w:val="00E44060"/>
    <w:rsid w:val="00E45FE0"/>
    <w:rsid w:val="00E470F4"/>
    <w:rsid w:val="00E5068B"/>
    <w:rsid w:val="00E61E59"/>
    <w:rsid w:val="00E624EF"/>
    <w:rsid w:val="00E7105D"/>
    <w:rsid w:val="00E721D2"/>
    <w:rsid w:val="00E73D74"/>
    <w:rsid w:val="00E74EDC"/>
    <w:rsid w:val="00E770B2"/>
    <w:rsid w:val="00E86FE3"/>
    <w:rsid w:val="00E877FA"/>
    <w:rsid w:val="00E9065F"/>
    <w:rsid w:val="00E97667"/>
    <w:rsid w:val="00EA2261"/>
    <w:rsid w:val="00EB5EFD"/>
    <w:rsid w:val="00EB7357"/>
    <w:rsid w:val="00EC54E5"/>
    <w:rsid w:val="00EC590F"/>
    <w:rsid w:val="00ED4513"/>
    <w:rsid w:val="00EE75C4"/>
    <w:rsid w:val="00EF07BE"/>
    <w:rsid w:val="00EF133C"/>
    <w:rsid w:val="00F035C3"/>
    <w:rsid w:val="00F0600F"/>
    <w:rsid w:val="00F07851"/>
    <w:rsid w:val="00F11872"/>
    <w:rsid w:val="00F22190"/>
    <w:rsid w:val="00F22C18"/>
    <w:rsid w:val="00F2623E"/>
    <w:rsid w:val="00F311A1"/>
    <w:rsid w:val="00F36247"/>
    <w:rsid w:val="00F412CC"/>
    <w:rsid w:val="00F429ED"/>
    <w:rsid w:val="00F5375D"/>
    <w:rsid w:val="00F54536"/>
    <w:rsid w:val="00F547AD"/>
    <w:rsid w:val="00F56F6A"/>
    <w:rsid w:val="00F62E8B"/>
    <w:rsid w:val="00F66B69"/>
    <w:rsid w:val="00F67EE5"/>
    <w:rsid w:val="00F7161D"/>
    <w:rsid w:val="00F71622"/>
    <w:rsid w:val="00F751A5"/>
    <w:rsid w:val="00F759B0"/>
    <w:rsid w:val="00F75E64"/>
    <w:rsid w:val="00F8003A"/>
    <w:rsid w:val="00F81D5E"/>
    <w:rsid w:val="00F965F1"/>
    <w:rsid w:val="00FA0241"/>
    <w:rsid w:val="00FA04A2"/>
    <w:rsid w:val="00FA0D3A"/>
    <w:rsid w:val="00FA279F"/>
    <w:rsid w:val="00FA2FCC"/>
    <w:rsid w:val="00FA3AAF"/>
    <w:rsid w:val="00FB0B8B"/>
    <w:rsid w:val="00FB0BD7"/>
    <w:rsid w:val="00FB247E"/>
    <w:rsid w:val="00FB4510"/>
    <w:rsid w:val="00FB52A6"/>
    <w:rsid w:val="00FB6CC6"/>
    <w:rsid w:val="00FB70DC"/>
    <w:rsid w:val="00FB75EE"/>
    <w:rsid w:val="00FC5007"/>
    <w:rsid w:val="00FC668C"/>
    <w:rsid w:val="00FC7AF4"/>
    <w:rsid w:val="00FD1861"/>
    <w:rsid w:val="00FD222C"/>
    <w:rsid w:val="00FD31D8"/>
    <w:rsid w:val="00FD4B5B"/>
    <w:rsid w:val="00FD6C6C"/>
    <w:rsid w:val="00FE5623"/>
    <w:rsid w:val="00FE6A37"/>
    <w:rsid w:val="00FE754F"/>
    <w:rsid w:val="00FF1BE7"/>
    <w:rsid w:val="00FF775F"/>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397A07-3ED3-4AA4-B8AB-D26B541E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004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EC"/>
    <w:pPr>
      <w:ind w:left="720"/>
      <w:contextualSpacing/>
    </w:pPr>
  </w:style>
  <w:style w:type="paragraph" w:styleId="BalloonText">
    <w:name w:val="Balloon Text"/>
    <w:basedOn w:val="Normal"/>
    <w:link w:val="BalloonTextChar"/>
    <w:uiPriority w:val="99"/>
    <w:semiHidden/>
    <w:unhideWhenUsed/>
    <w:rsid w:val="00F36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47"/>
    <w:rPr>
      <w:rFonts w:ascii="Segoe UI" w:hAnsi="Segoe UI" w:cs="Segoe UI"/>
      <w:sz w:val="18"/>
      <w:szCs w:val="18"/>
    </w:rPr>
  </w:style>
  <w:style w:type="paragraph" w:styleId="NormalWeb">
    <w:name w:val="Normal (Web)"/>
    <w:basedOn w:val="Normal"/>
    <w:uiPriority w:val="99"/>
    <w:unhideWhenUsed/>
    <w:rsid w:val="000007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007E9"/>
    <w:rPr>
      <w:color w:val="0000FF"/>
      <w:u w:val="single"/>
    </w:rPr>
  </w:style>
  <w:style w:type="paragraph" w:styleId="FootnoteText">
    <w:name w:val="footnote text"/>
    <w:basedOn w:val="Normal"/>
    <w:link w:val="FootnoteTextChar"/>
    <w:uiPriority w:val="99"/>
    <w:semiHidden/>
    <w:unhideWhenUsed/>
    <w:rsid w:val="007C24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43E"/>
    <w:rPr>
      <w:sz w:val="20"/>
      <w:szCs w:val="20"/>
    </w:rPr>
  </w:style>
  <w:style w:type="character" w:styleId="FootnoteReference">
    <w:name w:val="footnote reference"/>
    <w:basedOn w:val="DefaultParagraphFont"/>
    <w:uiPriority w:val="99"/>
    <w:semiHidden/>
    <w:unhideWhenUsed/>
    <w:rsid w:val="007C243E"/>
    <w:rPr>
      <w:vertAlign w:val="superscript"/>
    </w:rPr>
  </w:style>
  <w:style w:type="paragraph" w:customStyle="1" w:styleId="western">
    <w:name w:val="western"/>
    <w:basedOn w:val="Normal"/>
    <w:rsid w:val="00CA76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47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D92"/>
  </w:style>
  <w:style w:type="paragraph" w:styleId="Footer">
    <w:name w:val="footer"/>
    <w:basedOn w:val="Normal"/>
    <w:link w:val="FooterChar"/>
    <w:uiPriority w:val="99"/>
    <w:unhideWhenUsed/>
    <w:rsid w:val="00747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D92"/>
  </w:style>
  <w:style w:type="character" w:customStyle="1" w:styleId="Heading2Char">
    <w:name w:val="Heading 2 Char"/>
    <w:basedOn w:val="DefaultParagraphFont"/>
    <w:link w:val="Heading2"/>
    <w:uiPriority w:val="9"/>
    <w:rsid w:val="001004D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75FDD"/>
    <w:rPr>
      <w:color w:val="954F72" w:themeColor="followedHyperlink"/>
      <w:u w:val="single"/>
    </w:rPr>
  </w:style>
  <w:style w:type="character" w:styleId="CommentReference">
    <w:name w:val="annotation reference"/>
    <w:basedOn w:val="DefaultParagraphFont"/>
    <w:uiPriority w:val="99"/>
    <w:semiHidden/>
    <w:unhideWhenUsed/>
    <w:rsid w:val="00B220CB"/>
    <w:rPr>
      <w:sz w:val="16"/>
      <w:szCs w:val="16"/>
    </w:rPr>
  </w:style>
  <w:style w:type="paragraph" w:styleId="CommentText">
    <w:name w:val="annotation text"/>
    <w:basedOn w:val="Normal"/>
    <w:link w:val="CommentTextChar"/>
    <w:uiPriority w:val="99"/>
    <w:semiHidden/>
    <w:unhideWhenUsed/>
    <w:rsid w:val="00B220CB"/>
    <w:pPr>
      <w:spacing w:line="240" w:lineRule="auto"/>
    </w:pPr>
    <w:rPr>
      <w:sz w:val="20"/>
      <w:szCs w:val="20"/>
    </w:rPr>
  </w:style>
  <w:style w:type="character" w:customStyle="1" w:styleId="CommentTextChar">
    <w:name w:val="Comment Text Char"/>
    <w:basedOn w:val="DefaultParagraphFont"/>
    <w:link w:val="CommentText"/>
    <w:uiPriority w:val="99"/>
    <w:semiHidden/>
    <w:rsid w:val="00B220CB"/>
    <w:rPr>
      <w:sz w:val="20"/>
      <w:szCs w:val="20"/>
    </w:rPr>
  </w:style>
  <w:style w:type="paragraph" w:styleId="CommentSubject">
    <w:name w:val="annotation subject"/>
    <w:basedOn w:val="CommentText"/>
    <w:next w:val="CommentText"/>
    <w:link w:val="CommentSubjectChar"/>
    <w:uiPriority w:val="99"/>
    <w:semiHidden/>
    <w:unhideWhenUsed/>
    <w:rsid w:val="00B220CB"/>
    <w:rPr>
      <w:b/>
      <w:bCs/>
    </w:rPr>
  </w:style>
  <w:style w:type="character" w:customStyle="1" w:styleId="CommentSubjectChar">
    <w:name w:val="Comment Subject Char"/>
    <w:basedOn w:val="CommentTextChar"/>
    <w:link w:val="CommentSubject"/>
    <w:uiPriority w:val="99"/>
    <w:semiHidden/>
    <w:rsid w:val="00B220CB"/>
    <w:rPr>
      <w:b/>
      <w:bCs/>
      <w:sz w:val="20"/>
      <w:szCs w:val="20"/>
    </w:rPr>
  </w:style>
  <w:style w:type="paragraph" w:customStyle="1" w:styleId="Default">
    <w:name w:val="Default"/>
    <w:rsid w:val="00BE006C"/>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DefaultParagraphFont"/>
    <w:rsid w:val="00FB4510"/>
  </w:style>
  <w:style w:type="paragraph" w:customStyle="1" w:styleId="lg-section">
    <w:name w:val="lg-section"/>
    <w:basedOn w:val="Normal"/>
    <w:rsid w:val="001367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a-1">
    <w:name w:val="lg-a-1"/>
    <w:basedOn w:val="Normal"/>
    <w:rsid w:val="001367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i-a-1">
    <w:name w:val="lg-i-a-1"/>
    <w:basedOn w:val="Normal"/>
    <w:rsid w:val="0013679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63479">
      <w:bodyDiv w:val="1"/>
      <w:marLeft w:val="0"/>
      <w:marRight w:val="0"/>
      <w:marTop w:val="0"/>
      <w:marBottom w:val="0"/>
      <w:divBdr>
        <w:top w:val="none" w:sz="0" w:space="0" w:color="auto"/>
        <w:left w:val="none" w:sz="0" w:space="0" w:color="auto"/>
        <w:bottom w:val="none" w:sz="0" w:space="0" w:color="auto"/>
        <w:right w:val="none" w:sz="0" w:space="0" w:color="auto"/>
      </w:divBdr>
    </w:div>
    <w:div w:id="461385909">
      <w:bodyDiv w:val="1"/>
      <w:marLeft w:val="0"/>
      <w:marRight w:val="0"/>
      <w:marTop w:val="0"/>
      <w:marBottom w:val="0"/>
      <w:divBdr>
        <w:top w:val="none" w:sz="0" w:space="0" w:color="auto"/>
        <w:left w:val="none" w:sz="0" w:space="0" w:color="auto"/>
        <w:bottom w:val="none" w:sz="0" w:space="0" w:color="auto"/>
        <w:right w:val="none" w:sz="0" w:space="0" w:color="auto"/>
      </w:divBdr>
    </w:div>
    <w:div w:id="503477434">
      <w:bodyDiv w:val="1"/>
      <w:marLeft w:val="0"/>
      <w:marRight w:val="0"/>
      <w:marTop w:val="0"/>
      <w:marBottom w:val="0"/>
      <w:divBdr>
        <w:top w:val="none" w:sz="0" w:space="0" w:color="auto"/>
        <w:left w:val="none" w:sz="0" w:space="0" w:color="auto"/>
        <w:bottom w:val="none" w:sz="0" w:space="0" w:color="auto"/>
        <w:right w:val="none" w:sz="0" w:space="0" w:color="auto"/>
      </w:divBdr>
    </w:div>
    <w:div w:id="811825789">
      <w:bodyDiv w:val="1"/>
      <w:marLeft w:val="0"/>
      <w:marRight w:val="0"/>
      <w:marTop w:val="0"/>
      <w:marBottom w:val="0"/>
      <w:divBdr>
        <w:top w:val="none" w:sz="0" w:space="0" w:color="auto"/>
        <w:left w:val="none" w:sz="0" w:space="0" w:color="auto"/>
        <w:bottom w:val="none" w:sz="0" w:space="0" w:color="auto"/>
        <w:right w:val="none" w:sz="0" w:space="0" w:color="auto"/>
      </w:divBdr>
    </w:div>
    <w:div w:id="1155411627">
      <w:bodyDiv w:val="1"/>
      <w:marLeft w:val="0"/>
      <w:marRight w:val="0"/>
      <w:marTop w:val="0"/>
      <w:marBottom w:val="0"/>
      <w:divBdr>
        <w:top w:val="none" w:sz="0" w:space="0" w:color="auto"/>
        <w:left w:val="none" w:sz="0" w:space="0" w:color="auto"/>
        <w:bottom w:val="none" w:sz="0" w:space="0" w:color="auto"/>
        <w:right w:val="none" w:sz="0" w:space="0" w:color="auto"/>
      </w:divBdr>
    </w:div>
    <w:div w:id="1196847302">
      <w:bodyDiv w:val="1"/>
      <w:marLeft w:val="0"/>
      <w:marRight w:val="0"/>
      <w:marTop w:val="0"/>
      <w:marBottom w:val="0"/>
      <w:divBdr>
        <w:top w:val="none" w:sz="0" w:space="0" w:color="auto"/>
        <w:left w:val="none" w:sz="0" w:space="0" w:color="auto"/>
        <w:bottom w:val="none" w:sz="0" w:space="0" w:color="auto"/>
        <w:right w:val="none" w:sz="0" w:space="0" w:color="auto"/>
      </w:divBdr>
    </w:div>
    <w:div w:id="1219897368">
      <w:bodyDiv w:val="1"/>
      <w:marLeft w:val="0"/>
      <w:marRight w:val="0"/>
      <w:marTop w:val="0"/>
      <w:marBottom w:val="0"/>
      <w:divBdr>
        <w:top w:val="none" w:sz="0" w:space="0" w:color="auto"/>
        <w:left w:val="none" w:sz="0" w:space="0" w:color="auto"/>
        <w:bottom w:val="none" w:sz="0" w:space="0" w:color="auto"/>
        <w:right w:val="none" w:sz="0" w:space="0" w:color="auto"/>
      </w:divBdr>
    </w:div>
    <w:div w:id="1382825386">
      <w:bodyDiv w:val="1"/>
      <w:marLeft w:val="0"/>
      <w:marRight w:val="0"/>
      <w:marTop w:val="0"/>
      <w:marBottom w:val="0"/>
      <w:divBdr>
        <w:top w:val="none" w:sz="0" w:space="0" w:color="auto"/>
        <w:left w:val="none" w:sz="0" w:space="0" w:color="auto"/>
        <w:bottom w:val="none" w:sz="0" w:space="0" w:color="auto"/>
        <w:right w:val="none" w:sz="0" w:space="0" w:color="auto"/>
      </w:divBdr>
    </w:div>
    <w:div w:id="1572933882">
      <w:bodyDiv w:val="1"/>
      <w:marLeft w:val="0"/>
      <w:marRight w:val="0"/>
      <w:marTop w:val="0"/>
      <w:marBottom w:val="0"/>
      <w:divBdr>
        <w:top w:val="none" w:sz="0" w:space="0" w:color="auto"/>
        <w:left w:val="none" w:sz="0" w:space="0" w:color="auto"/>
        <w:bottom w:val="none" w:sz="0" w:space="0" w:color="auto"/>
        <w:right w:val="none" w:sz="0" w:space="0" w:color="auto"/>
      </w:divBdr>
    </w:div>
    <w:div w:id="1667786497">
      <w:bodyDiv w:val="1"/>
      <w:marLeft w:val="0"/>
      <w:marRight w:val="0"/>
      <w:marTop w:val="0"/>
      <w:marBottom w:val="0"/>
      <w:divBdr>
        <w:top w:val="none" w:sz="0" w:space="0" w:color="auto"/>
        <w:left w:val="none" w:sz="0" w:space="0" w:color="auto"/>
        <w:bottom w:val="none" w:sz="0" w:space="0" w:color="auto"/>
        <w:right w:val="none" w:sz="0" w:space="0" w:color="auto"/>
      </w:divBdr>
    </w:div>
    <w:div w:id="1898512853">
      <w:bodyDiv w:val="1"/>
      <w:marLeft w:val="0"/>
      <w:marRight w:val="0"/>
      <w:marTop w:val="0"/>
      <w:marBottom w:val="0"/>
      <w:divBdr>
        <w:top w:val="none" w:sz="0" w:space="0" w:color="auto"/>
        <w:left w:val="none" w:sz="0" w:space="0" w:color="auto"/>
        <w:bottom w:val="none" w:sz="0" w:space="0" w:color="auto"/>
        <w:right w:val="none" w:sz="0" w:space="0" w:color="auto"/>
      </w:divBdr>
    </w:div>
    <w:div w:id="1964267660">
      <w:bodyDiv w:val="1"/>
      <w:marLeft w:val="0"/>
      <w:marRight w:val="0"/>
      <w:marTop w:val="0"/>
      <w:marBottom w:val="0"/>
      <w:divBdr>
        <w:top w:val="none" w:sz="0" w:space="0" w:color="auto"/>
        <w:left w:val="none" w:sz="0" w:space="0" w:color="auto"/>
        <w:bottom w:val="none" w:sz="0" w:space="0" w:color="auto"/>
        <w:right w:val="none" w:sz="0" w:space="0" w:color="auto"/>
      </w:divBdr>
    </w:div>
    <w:div w:id="1984195654">
      <w:bodyDiv w:val="1"/>
      <w:marLeft w:val="0"/>
      <w:marRight w:val="0"/>
      <w:marTop w:val="0"/>
      <w:marBottom w:val="0"/>
      <w:divBdr>
        <w:top w:val="none" w:sz="0" w:space="0" w:color="auto"/>
        <w:left w:val="none" w:sz="0" w:space="0" w:color="auto"/>
        <w:bottom w:val="none" w:sz="0" w:space="0" w:color="auto"/>
        <w:right w:val="none" w:sz="0" w:space="0" w:color="auto"/>
      </w:divBdr>
    </w:div>
    <w:div w:id="2022510486">
      <w:bodyDiv w:val="1"/>
      <w:marLeft w:val="0"/>
      <w:marRight w:val="0"/>
      <w:marTop w:val="0"/>
      <w:marBottom w:val="0"/>
      <w:divBdr>
        <w:top w:val="none" w:sz="0" w:space="0" w:color="auto"/>
        <w:left w:val="none" w:sz="0" w:space="0" w:color="auto"/>
        <w:bottom w:val="none" w:sz="0" w:space="0" w:color="auto"/>
        <w:right w:val="none" w:sz="0" w:space="0" w:color="auto"/>
      </w:divBdr>
    </w:div>
    <w:div w:id="20740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1939%20AD%20588" TargetMode="External"/><Relationship Id="rId1" Type="http://schemas.openxmlformats.org/officeDocument/2006/relationships/hyperlink" Target="https://www.saflii.org/cgi-bin/LawCite?cit=1931%20AD%20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746B-13FC-4621-823E-09509CD7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3</cp:revision>
  <cp:lastPrinted>2023-03-14T12:33:00Z</cp:lastPrinted>
  <dcterms:created xsi:type="dcterms:W3CDTF">2023-04-11T06:54:00Z</dcterms:created>
  <dcterms:modified xsi:type="dcterms:W3CDTF">2023-04-11T06:59:00Z</dcterms:modified>
</cp:coreProperties>
</file>